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FAB8" w14:textId="64FCA260" w:rsidR="00473416" w:rsidRPr="004676F5" w:rsidRDefault="001527B1" w:rsidP="00473416">
      <w:pPr>
        <w:jc w:val="center"/>
        <w:rPr>
          <w:bCs/>
          <w:lang w:val="de-DE"/>
        </w:rPr>
      </w:pPr>
      <w:r w:rsidRPr="004676F5">
        <w:rPr>
          <w:lang w:val="de-DE"/>
        </w:rPr>
        <w:t>[</w:t>
      </w:r>
      <w:r w:rsidR="00505D97" w:rsidRPr="004676F5">
        <w:rPr>
          <w:b/>
          <w:lang w:val="de-DE"/>
        </w:rPr>
        <w:t xml:space="preserve">BUCH XI </w:t>
      </w:r>
      <w:r w:rsidR="005B7A5C" w:rsidRPr="004676F5">
        <w:rPr>
          <w:b/>
          <w:lang w:val="de-DE"/>
        </w:rPr>
        <w:t>- </w:t>
      </w:r>
      <w:r w:rsidR="006B0D16" w:rsidRPr="004676F5">
        <w:rPr>
          <w:b/>
          <w:lang w:val="de-DE"/>
        </w:rPr>
        <w:t>GEISTIGES EIGENTUM</w:t>
      </w:r>
      <w:r w:rsidR="009D1A1A" w:rsidRPr="004676F5">
        <w:rPr>
          <w:b/>
          <w:lang w:val="de-DE"/>
        </w:rPr>
        <w:t xml:space="preserve"> </w:t>
      </w:r>
      <w:r w:rsidR="009D1A1A" w:rsidRPr="004676F5">
        <w:rPr>
          <w:bCs/>
          <w:lang w:val="de-DE"/>
        </w:rPr>
        <w:t>[</w:t>
      </w:r>
      <w:r w:rsidR="009D1A1A" w:rsidRPr="004676F5">
        <w:rPr>
          <w:b/>
          <w:lang w:val="de-DE"/>
        </w:rPr>
        <w:t>UND GESCHÄFTSGEHEIMNISSE</w:t>
      </w:r>
      <w:r w:rsidR="009D1A1A" w:rsidRPr="004676F5">
        <w:rPr>
          <w:bCs/>
          <w:lang w:val="de-DE"/>
        </w:rPr>
        <w:t>]</w:t>
      </w:r>
    </w:p>
    <w:p w14:paraId="79CA4E31" w14:textId="77777777" w:rsidR="006B0D16" w:rsidRPr="004676F5" w:rsidRDefault="006B0D16" w:rsidP="00473416">
      <w:pPr>
        <w:jc w:val="center"/>
        <w:rPr>
          <w:b/>
          <w:lang w:val="de-DE"/>
        </w:rPr>
      </w:pPr>
    </w:p>
    <w:p w14:paraId="61269679" w14:textId="1C7264A8" w:rsidR="006B0D16" w:rsidRPr="004676F5" w:rsidRDefault="001527B1" w:rsidP="001527B1">
      <w:pPr>
        <w:jc w:val="both"/>
        <w:rPr>
          <w:i/>
          <w:lang w:val="de-DE"/>
        </w:rPr>
      </w:pPr>
      <w:r w:rsidRPr="004676F5">
        <w:rPr>
          <w:i/>
          <w:lang w:val="de-DE"/>
        </w:rPr>
        <w:t>[Buch XI mi</w:t>
      </w:r>
      <w:r w:rsidR="00320AA7" w:rsidRPr="004676F5">
        <w:rPr>
          <w:i/>
          <w:lang w:val="de-DE"/>
        </w:rPr>
        <w:t xml:space="preserve">t den Artikeln XI.1 bis XI.335 </w:t>
      </w:r>
      <w:r w:rsidRPr="004676F5">
        <w:rPr>
          <w:i/>
          <w:lang w:val="de-DE"/>
        </w:rPr>
        <w:t xml:space="preserve">eingefügt durch </w:t>
      </w:r>
      <w:r w:rsidR="00BE0A56" w:rsidRPr="004676F5">
        <w:rPr>
          <w:i/>
          <w:lang w:val="de-DE"/>
        </w:rPr>
        <w:t>Art. </w:t>
      </w:r>
      <w:r w:rsidRPr="004676F5">
        <w:rPr>
          <w:i/>
          <w:lang w:val="de-DE"/>
        </w:rPr>
        <w:t>3 des G. vom 19. April 2014 (II) (B.S. vom 12. Juni 2014)</w:t>
      </w:r>
      <w:r w:rsidR="009D1A1A" w:rsidRPr="004676F5">
        <w:rPr>
          <w:i/>
          <w:lang w:val="de-DE"/>
        </w:rPr>
        <w:t>; Überschrift von Buch XI abgeändert durch Art. 3 des G. vom 30. Juli 2018</w:t>
      </w:r>
      <w:r w:rsidR="004F314D" w:rsidRPr="004676F5">
        <w:rPr>
          <w:bCs/>
          <w:lang w:val="de-DE"/>
        </w:rPr>
        <w:t> </w:t>
      </w:r>
      <w:r w:rsidR="004F314D" w:rsidRPr="004676F5">
        <w:rPr>
          <w:bCs/>
          <w:i/>
          <w:iCs/>
          <w:lang w:val="de-DE"/>
        </w:rPr>
        <w:t>(I)</w:t>
      </w:r>
      <w:r w:rsidR="009D1A1A" w:rsidRPr="004676F5">
        <w:rPr>
          <w:i/>
          <w:lang w:val="de-DE"/>
        </w:rPr>
        <w:t xml:space="preserve"> (B.S. vom 14. August 2018)</w:t>
      </w:r>
      <w:r w:rsidRPr="004676F5">
        <w:rPr>
          <w:i/>
          <w:lang w:val="de-DE"/>
        </w:rPr>
        <w:t>]</w:t>
      </w:r>
    </w:p>
    <w:p w14:paraId="1EB220A9" w14:textId="77777777" w:rsidR="003A72F6" w:rsidRPr="004676F5" w:rsidRDefault="003A72F6" w:rsidP="001527B1">
      <w:pPr>
        <w:jc w:val="both"/>
        <w:rPr>
          <w:i/>
          <w:lang w:val="de-DE"/>
        </w:rPr>
      </w:pPr>
    </w:p>
    <w:p w14:paraId="103C66A7" w14:textId="77777777" w:rsidR="003A72F6" w:rsidRPr="004676F5" w:rsidRDefault="003A72F6" w:rsidP="001527B1">
      <w:pPr>
        <w:jc w:val="both"/>
        <w:rPr>
          <w:i/>
          <w:lang w:val="de-DE"/>
        </w:rPr>
      </w:pPr>
    </w:p>
    <w:p w14:paraId="1D0F14A1" w14:textId="2D2EE208" w:rsidR="003A72F6" w:rsidRPr="004676F5" w:rsidRDefault="003A72F6" w:rsidP="003A72F6">
      <w:pPr>
        <w:jc w:val="center"/>
        <w:rPr>
          <w:b/>
          <w:bCs/>
          <w:iCs/>
          <w:lang w:val="de-DE"/>
        </w:rPr>
      </w:pPr>
      <w:r w:rsidRPr="004676F5">
        <w:rPr>
          <w:b/>
          <w:bCs/>
          <w:iCs/>
          <w:lang w:val="de-DE"/>
        </w:rPr>
        <w:t xml:space="preserve">TITEL 1 </w:t>
      </w:r>
      <w:r w:rsidR="005B7A5C" w:rsidRPr="004676F5">
        <w:rPr>
          <w:b/>
          <w:bCs/>
          <w:iCs/>
          <w:lang w:val="de-DE"/>
        </w:rPr>
        <w:t>- </w:t>
      </w:r>
      <w:r w:rsidRPr="004676F5">
        <w:rPr>
          <w:b/>
          <w:bCs/>
          <w:i/>
          <w:lang w:val="de-DE"/>
        </w:rPr>
        <w:t>Erfindungspatente</w:t>
      </w:r>
    </w:p>
    <w:p w14:paraId="00AA35CD" w14:textId="77777777" w:rsidR="003A72F6" w:rsidRPr="004676F5" w:rsidRDefault="003A72F6" w:rsidP="003A72F6">
      <w:pPr>
        <w:jc w:val="center"/>
        <w:rPr>
          <w:iCs/>
          <w:lang w:val="de-DE"/>
        </w:rPr>
      </w:pPr>
    </w:p>
    <w:p w14:paraId="4E6640AE" w14:textId="77777777" w:rsidR="003A72F6" w:rsidRPr="004676F5" w:rsidRDefault="003A72F6" w:rsidP="003A72F6">
      <w:pPr>
        <w:jc w:val="center"/>
        <w:rPr>
          <w:iCs/>
          <w:lang w:val="de-DE"/>
        </w:rPr>
      </w:pPr>
    </w:p>
    <w:p w14:paraId="09C83A6F" w14:textId="359EEE22" w:rsidR="003A72F6" w:rsidRPr="004676F5" w:rsidRDefault="003A72F6" w:rsidP="003A72F6">
      <w:pPr>
        <w:jc w:val="center"/>
        <w:rPr>
          <w:iCs/>
          <w:lang w:val="de-DE"/>
        </w:rPr>
      </w:pPr>
      <w:r w:rsidRPr="004676F5">
        <w:rPr>
          <w:iCs/>
          <w:lang w:val="de-DE"/>
        </w:rPr>
        <w:t xml:space="preserve">KAPITEL 1 </w:t>
      </w:r>
      <w:r w:rsidR="005B7A5C" w:rsidRPr="004676F5">
        <w:rPr>
          <w:iCs/>
          <w:lang w:val="de-DE"/>
        </w:rPr>
        <w:t>- </w:t>
      </w:r>
      <w:r w:rsidRPr="004676F5">
        <w:rPr>
          <w:i/>
          <w:lang w:val="de-DE"/>
        </w:rPr>
        <w:t>Allgemeines</w:t>
      </w:r>
    </w:p>
    <w:p w14:paraId="206796B8" w14:textId="77777777" w:rsidR="00054D39" w:rsidRPr="004676F5" w:rsidRDefault="00054D39" w:rsidP="00473416">
      <w:pPr>
        <w:jc w:val="center"/>
        <w:rPr>
          <w:lang w:val="de-DE"/>
        </w:rPr>
      </w:pPr>
    </w:p>
    <w:p w14:paraId="410DE6DD" w14:textId="77777777" w:rsidR="001527B1" w:rsidRPr="004676F5" w:rsidRDefault="001527B1" w:rsidP="00473416">
      <w:pPr>
        <w:jc w:val="center"/>
        <w:rPr>
          <w:lang w:val="de-DE"/>
        </w:rPr>
      </w:pPr>
    </w:p>
    <w:p w14:paraId="4D5E73D7" w14:textId="1C8DEB44" w:rsidR="001527B1" w:rsidRPr="004676F5" w:rsidRDefault="00BE0A56" w:rsidP="001527B1">
      <w:pPr>
        <w:ind w:firstLine="708"/>
        <w:jc w:val="both"/>
        <w:rPr>
          <w:lang w:val="de-DE"/>
        </w:rPr>
      </w:pPr>
      <w:r w:rsidRPr="004676F5">
        <w:rPr>
          <w:b/>
          <w:lang w:val="de-DE"/>
        </w:rPr>
        <w:t>Art. </w:t>
      </w:r>
      <w:r w:rsidR="001527B1" w:rsidRPr="004676F5">
        <w:rPr>
          <w:b/>
          <w:lang w:val="de-DE"/>
        </w:rPr>
        <w:t>XI.1</w:t>
      </w:r>
      <w:r w:rsidR="001527B1" w:rsidRPr="004676F5">
        <w:rPr>
          <w:lang w:val="de-DE"/>
        </w:rPr>
        <w:t> </w:t>
      </w:r>
      <w:r w:rsidR="005B7A5C" w:rsidRPr="004676F5">
        <w:rPr>
          <w:lang w:val="de-DE"/>
        </w:rPr>
        <w:t>- </w:t>
      </w:r>
      <w:r w:rsidR="001527B1" w:rsidRPr="004676F5">
        <w:rPr>
          <w:lang w:val="de-DE"/>
        </w:rPr>
        <w:t>Vorliegender Titel beeinträchtigt nicht die Bestimmungen einer Übereinkunft, eines Vertrags oder eines Übereinkommens, die in Belgien anwendbar sind.</w:t>
      </w:r>
    </w:p>
    <w:p w14:paraId="3B8EEADA" w14:textId="77777777" w:rsidR="001527B1" w:rsidRPr="004676F5" w:rsidRDefault="001527B1" w:rsidP="001527B1">
      <w:pPr>
        <w:ind w:firstLine="708"/>
        <w:jc w:val="both"/>
        <w:rPr>
          <w:lang w:val="de-DE"/>
        </w:rPr>
      </w:pPr>
    </w:p>
    <w:p w14:paraId="74D48EAD" w14:textId="77777777" w:rsidR="001527B1" w:rsidRPr="004676F5" w:rsidRDefault="001527B1" w:rsidP="001527B1">
      <w:pPr>
        <w:ind w:firstLine="708"/>
        <w:jc w:val="both"/>
        <w:rPr>
          <w:lang w:val="de-DE"/>
        </w:rPr>
      </w:pPr>
      <w:r w:rsidRPr="004676F5">
        <w:rPr>
          <w:lang w:val="de-DE"/>
        </w:rPr>
        <w:t>Dies beinhaltet insbesondere die Einhaltung folgender internationaler Texte: das Übereinkommen über die biologische Vielfalt, am 5. Juni 1992 in Rio de Janeiro abgeschlossen, das Übereinkommen über handelsbezogene Aspekte der Rechte des geistigen Eigentums, am 15. April 1994 in Marrakesch abgeschlossen, die Europäische Konvention vom 4. November 1950 zum Schutz der Menschenrechte und das Übereinkommen vom 19. Februar 2013 über ein Einheitliches Patentgericht.</w:t>
      </w:r>
    </w:p>
    <w:p w14:paraId="197268C1" w14:textId="77777777" w:rsidR="001527B1" w:rsidRPr="004676F5" w:rsidRDefault="001527B1" w:rsidP="001527B1">
      <w:pPr>
        <w:jc w:val="both"/>
        <w:rPr>
          <w:lang w:val="de-DE"/>
        </w:rPr>
      </w:pPr>
    </w:p>
    <w:p w14:paraId="552968C9" w14:textId="77777777" w:rsidR="001527B1" w:rsidRPr="004676F5" w:rsidRDefault="001527B1" w:rsidP="001527B1">
      <w:pPr>
        <w:jc w:val="both"/>
        <w:rPr>
          <w:lang w:val="de-DE"/>
        </w:rPr>
      </w:pPr>
    </w:p>
    <w:p w14:paraId="30A5DB76" w14:textId="63F1964A" w:rsidR="001527B1" w:rsidRPr="004676F5" w:rsidRDefault="00BE0A56" w:rsidP="001527B1">
      <w:pPr>
        <w:ind w:firstLine="708"/>
        <w:jc w:val="both"/>
        <w:rPr>
          <w:lang w:val="de-DE"/>
        </w:rPr>
      </w:pPr>
      <w:r w:rsidRPr="004676F5">
        <w:rPr>
          <w:b/>
          <w:lang w:val="de-DE"/>
        </w:rPr>
        <w:t>Art. </w:t>
      </w:r>
      <w:r w:rsidR="001527B1" w:rsidRPr="004676F5">
        <w:rPr>
          <w:b/>
          <w:lang w:val="de-DE"/>
        </w:rPr>
        <w:t>XI.2</w:t>
      </w:r>
      <w:r w:rsidR="001527B1" w:rsidRPr="004676F5">
        <w:rPr>
          <w:lang w:val="de-DE"/>
        </w:rPr>
        <w:t> </w:t>
      </w:r>
      <w:r w:rsidR="005B7A5C" w:rsidRPr="004676F5">
        <w:rPr>
          <w:lang w:val="de-DE"/>
        </w:rPr>
        <w:t>- </w:t>
      </w:r>
      <w:r w:rsidR="001527B1" w:rsidRPr="004676F5">
        <w:rPr>
          <w:lang w:val="de-DE"/>
        </w:rPr>
        <w:t>Vorliegender Titel und Titel 3 setzen die Richtlinie 98/44/EG des Europäischen Parlaments und des Rates vom 6. Juli 1998 über den rechtlichen Schutz biotechnologischer Erfindungen um.</w:t>
      </w:r>
    </w:p>
    <w:p w14:paraId="65E0FBAE" w14:textId="77777777" w:rsidR="001527B1" w:rsidRPr="004676F5" w:rsidRDefault="001527B1" w:rsidP="001527B1">
      <w:pPr>
        <w:ind w:firstLine="708"/>
        <w:jc w:val="both"/>
        <w:rPr>
          <w:lang w:val="de-DE"/>
        </w:rPr>
      </w:pPr>
    </w:p>
    <w:p w14:paraId="03243CCC" w14:textId="77777777" w:rsidR="001527B1" w:rsidRPr="004676F5" w:rsidRDefault="001527B1" w:rsidP="001527B1">
      <w:pPr>
        <w:ind w:firstLine="708"/>
        <w:jc w:val="both"/>
        <w:rPr>
          <w:lang w:val="de-DE"/>
        </w:rPr>
      </w:pPr>
    </w:p>
    <w:p w14:paraId="203D17E2" w14:textId="77777777" w:rsidR="001527B1" w:rsidRPr="004676F5" w:rsidRDefault="001527B1">
      <w:pPr>
        <w:rPr>
          <w:lang w:val="de-DE"/>
        </w:rPr>
      </w:pPr>
      <w:r w:rsidRPr="004676F5">
        <w:rPr>
          <w:lang w:val="de-DE"/>
        </w:rPr>
        <w:br w:type="page"/>
      </w:r>
    </w:p>
    <w:p w14:paraId="62C9EE4D" w14:textId="4034F1E1" w:rsidR="001527B1" w:rsidRPr="004676F5" w:rsidRDefault="001527B1" w:rsidP="001527B1">
      <w:pPr>
        <w:jc w:val="center"/>
        <w:rPr>
          <w:lang w:val="de-DE"/>
        </w:rPr>
      </w:pPr>
      <w:r w:rsidRPr="004676F5">
        <w:rPr>
          <w:lang w:val="de-DE"/>
        </w:rPr>
        <w:lastRenderedPageBreak/>
        <w:t>KAPITEL 2 </w:t>
      </w:r>
      <w:r w:rsidR="005B7A5C" w:rsidRPr="004676F5">
        <w:rPr>
          <w:lang w:val="de-DE"/>
        </w:rPr>
        <w:t>- </w:t>
      </w:r>
      <w:r w:rsidRPr="004676F5">
        <w:rPr>
          <w:i/>
          <w:lang w:val="de-DE"/>
        </w:rPr>
        <w:t>Erfindungspatente</w:t>
      </w:r>
    </w:p>
    <w:p w14:paraId="77C7EF76" w14:textId="77777777" w:rsidR="001527B1" w:rsidRPr="004676F5" w:rsidRDefault="001527B1" w:rsidP="001527B1">
      <w:pPr>
        <w:jc w:val="both"/>
        <w:rPr>
          <w:lang w:val="de-DE"/>
        </w:rPr>
      </w:pPr>
    </w:p>
    <w:p w14:paraId="4C3A8CDC" w14:textId="77777777" w:rsidR="001527B1" w:rsidRPr="004676F5" w:rsidRDefault="001527B1" w:rsidP="001527B1">
      <w:pPr>
        <w:jc w:val="both"/>
        <w:rPr>
          <w:lang w:val="de-DE"/>
        </w:rPr>
      </w:pPr>
    </w:p>
    <w:p w14:paraId="7D3AABA9" w14:textId="305A44BC" w:rsidR="001527B1" w:rsidRPr="004676F5" w:rsidRDefault="001527B1" w:rsidP="001527B1">
      <w:pPr>
        <w:jc w:val="center"/>
        <w:rPr>
          <w:lang w:val="de-DE"/>
        </w:rPr>
      </w:pPr>
      <w:r w:rsidRPr="004676F5">
        <w:rPr>
          <w:i/>
          <w:lang w:val="de-DE"/>
        </w:rPr>
        <w:t>Abschnitt 1 </w:t>
      </w:r>
      <w:r w:rsidR="005B7A5C" w:rsidRPr="004676F5">
        <w:rPr>
          <w:i/>
          <w:lang w:val="de-DE"/>
        </w:rPr>
        <w:t>- </w:t>
      </w:r>
      <w:r w:rsidRPr="004676F5">
        <w:rPr>
          <w:lang w:val="de-DE"/>
        </w:rPr>
        <w:t>Allgemeine Bestimmungen</w:t>
      </w:r>
    </w:p>
    <w:p w14:paraId="4ED86722" w14:textId="77777777" w:rsidR="001527B1" w:rsidRPr="004676F5" w:rsidRDefault="001527B1" w:rsidP="001527B1">
      <w:pPr>
        <w:jc w:val="center"/>
        <w:rPr>
          <w:lang w:val="de-DE"/>
        </w:rPr>
      </w:pPr>
    </w:p>
    <w:p w14:paraId="5EF95D30" w14:textId="77777777" w:rsidR="001527B1" w:rsidRPr="004676F5" w:rsidRDefault="001527B1" w:rsidP="001527B1">
      <w:pPr>
        <w:jc w:val="center"/>
        <w:rPr>
          <w:lang w:val="de-DE"/>
        </w:rPr>
      </w:pPr>
    </w:p>
    <w:p w14:paraId="1F78F27A" w14:textId="66D9A36B" w:rsidR="001527B1" w:rsidRPr="004676F5" w:rsidRDefault="00BE0A56" w:rsidP="001527B1">
      <w:pPr>
        <w:ind w:firstLine="708"/>
        <w:jc w:val="both"/>
        <w:rPr>
          <w:lang w:val="de-DE"/>
        </w:rPr>
      </w:pPr>
      <w:r w:rsidRPr="004676F5">
        <w:rPr>
          <w:b/>
          <w:lang w:val="de-DE"/>
        </w:rPr>
        <w:t>Art. </w:t>
      </w:r>
      <w:r w:rsidR="001527B1" w:rsidRPr="004676F5">
        <w:rPr>
          <w:b/>
          <w:lang w:val="de-DE"/>
        </w:rPr>
        <w:t>XI.3</w:t>
      </w:r>
      <w:r w:rsidR="001527B1" w:rsidRPr="004676F5">
        <w:rPr>
          <w:lang w:val="de-DE"/>
        </w:rPr>
        <w:t> </w:t>
      </w:r>
      <w:r w:rsidR="005B7A5C" w:rsidRPr="004676F5">
        <w:rPr>
          <w:lang w:val="de-DE"/>
        </w:rPr>
        <w:t>- </w:t>
      </w:r>
      <w:r w:rsidR="001527B1" w:rsidRPr="004676F5">
        <w:rPr>
          <w:lang w:val="de-DE"/>
        </w:rPr>
        <w:t>Unter den Bedingungen und in den Grenzen des vorliegenden Titels wird unter dem Namen "Erfindungspatent", nachstehend "Patent" genannt, ein ausschließliches und zeitweiliges Recht erteilt, Dritten auf allen Gebieten der Technik die Nutzung von Erfindungen zu verbieten, die neu sind, auf einer erfinderischen Tätigkeit beruhen und gewerblich anwendbar sind.</w:t>
      </w:r>
    </w:p>
    <w:p w14:paraId="7DFAE558" w14:textId="77777777" w:rsidR="001527B1" w:rsidRPr="004676F5" w:rsidRDefault="001527B1" w:rsidP="001527B1">
      <w:pPr>
        <w:ind w:firstLine="708"/>
        <w:jc w:val="both"/>
        <w:rPr>
          <w:lang w:val="de-DE"/>
        </w:rPr>
      </w:pPr>
    </w:p>
    <w:p w14:paraId="1D3D558F" w14:textId="77777777" w:rsidR="001527B1" w:rsidRPr="004676F5" w:rsidRDefault="001527B1" w:rsidP="001527B1">
      <w:pPr>
        <w:ind w:firstLine="708"/>
        <w:jc w:val="both"/>
        <w:rPr>
          <w:lang w:val="de-DE"/>
        </w:rPr>
      </w:pPr>
      <w:r w:rsidRPr="004676F5">
        <w:rPr>
          <w:lang w:val="de-DE"/>
        </w:rPr>
        <w:t>Erfindungen, die neu sind, auf einer erfinderischen Tätigkeit beruhen und gewerblich anwendbar sind, können auch dann patentiert werden, wenn sie ein Erzeugnis, das aus biologischem Material besteht oder dieses enthält, oder ein Verfahren, mit dem biologisches Material hergestellt, bearbeitet oder verwendet wird, zum Gegenstand haben.</w:t>
      </w:r>
    </w:p>
    <w:p w14:paraId="55081AB3" w14:textId="77777777" w:rsidR="001527B1" w:rsidRPr="004676F5" w:rsidRDefault="001527B1" w:rsidP="001527B1">
      <w:pPr>
        <w:ind w:firstLine="708"/>
        <w:jc w:val="both"/>
        <w:rPr>
          <w:lang w:val="de-DE"/>
        </w:rPr>
      </w:pPr>
    </w:p>
    <w:p w14:paraId="32F5375E" w14:textId="77777777" w:rsidR="001527B1" w:rsidRPr="004676F5" w:rsidRDefault="001527B1" w:rsidP="001527B1">
      <w:pPr>
        <w:ind w:firstLine="708"/>
        <w:jc w:val="both"/>
        <w:rPr>
          <w:lang w:val="de-DE"/>
        </w:rPr>
      </w:pPr>
      <w:r w:rsidRPr="004676F5">
        <w:rPr>
          <w:lang w:val="de-DE"/>
        </w:rPr>
        <w:t>Biologisches Material, das mit Hilfe eines technischen Verfahrens aus seiner natürlichen Umgebung isoliert oder hergestellt wird, kann auch dann Gegenstand einer Erfindung sein, wenn es in der Natur schon vorhanden war.</w:t>
      </w:r>
    </w:p>
    <w:p w14:paraId="0459F209" w14:textId="77777777" w:rsidR="001527B1" w:rsidRPr="004676F5" w:rsidRDefault="001527B1" w:rsidP="001527B1">
      <w:pPr>
        <w:ind w:firstLine="708"/>
        <w:jc w:val="both"/>
        <w:rPr>
          <w:lang w:val="de-DE"/>
        </w:rPr>
      </w:pPr>
    </w:p>
    <w:p w14:paraId="09A6F16E" w14:textId="77777777" w:rsidR="00CE5A09" w:rsidRPr="004676F5" w:rsidRDefault="00CE5A09" w:rsidP="001527B1">
      <w:pPr>
        <w:ind w:firstLine="708"/>
        <w:jc w:val="both"/>
        <w:rPr>
          <w:lang w:val="de-DE"/>
        </w:rPr>
      </w:pPr>
    </w:p>
    <w:p w14:paraId="6488B83D" w14:textId="5280E428" w:rsidR="001527B1" w:rsidRPr="004676F5" w:rsidRDefault="00BE0A56" w:rsidP="001527B1">
      <w:pPr>
        <w:ind w:firstLine="708"/>
        <w:jc w:val="both"/>
        <w:rPr>
          <w:lang w:val="de-DE"/>
        </w:rPr>
      </w:pPr>
      <w:r w:rsidRPr="004676F5">
        <w:rPr>
          <w:b/>
          <w:lang w:val="de-DE"/>
        </w:rPr>
        <w:t>Art. </w:t>
      </w:r>
      <w:r w:rsidR="001527B1" w:rsidRPr="004676F5">
        <w:rPr>
          <w:b/>
          <w:lang w:val="de-DE"/>
        </w:rPr>
        <w:t>XI.4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Als Erfindungen im Sinne von Artikel XI.3 gelten insbesondere nicht:</w:t>
      </w:r>
    </w:p>
    <w:p w14:paraId="6C10ED99" w14:textId="77777777" w:rsidR="001527B1" w:rsidRPr="004676F5" w:rsidRDefault="001527B1" w:rsidP="001527B1">
      <w:pPr>
        <w:ind w:firstLine="708"/>
        <w:jc w:val="both"/>
        <w:rPr>
          <w:lang w:val="de-DE"/>
        </w:rPr>
      </w:pPr>
    </w:p>
    <w:p w14:paraId="607806EF" w14:textId="77777777" w:rsidR="001527B1" w:rsidRPr="004676F5" w:rsidRDefault="001527B1" w:rsidP="001527B1">
      <w:pPr>
        <w:ind w:firstLine="708"/>
        <w:jc w:val="both"/>
        <w:rPr>
          <w:lang w:val="de-DE"/>
        </w:rPr>
      </w:pPr>
      <w:r w:rsidRPr="004676F5">
        <w:rPr>
          <w:lang w:val="de-DE"/>
        </w:rPr>
        <w:t>1. Entdeckungen sowie wissenschaftliche Theorien und mathematische Methoden,</w:t>
      </w:r>
    </w:p>
    <w:p w14:paraId="77AEDE81" w14:textId="77777777" w:rsidR="001527B1" w:rsidRPr="004676F5" w:rsidRDefault="001527B1" w:rsidP="001527B1">
      <w:pPr>
        <w:jc w:val="both"/>
        <w:rPr>
          <w:lang w:val="de-DE"/>
        </w:rPr>
      </w:pPr>
    </w:p>
    <w:p w14:paraId="0A9AF959" w14:textId="77777777" w:rsidR="001527B1" w:rsidRPr="004676F5" w:rsidRDefault="001527B1" w:rsidP="001527B1">
      <w:pPr>
        <w:ind w:firstLine="708"/>
        <w:jc w:val="both"/>
        <w:rPr>
          <w:lang w:val="de-DE"/>
        </w:rPr>
      </w:pPr>
      <w:r w:rsidRPr="004676F5">
        <w:rPr>
          <w:lang w:val="de-DE"/>
        </w:rPr>
        <w:t>2. ästhetische Formschöpfungen,</w:t>
      </w:r>
    </w:p>
    <w:p w14:paraId="765C6FD2" w14:textId="77777777" w:rsidR="001527B1" w:rsidRPr="004676F5" w:rsidRDefault="001527B1" w:rsidP="001527B1">
      <w:pPr>
        <w:ind w:firstLine="708"/>
        <w:jc w:val="both"/>
        <w:rPr>
          <w:lang w:val="de-DE"/>
        </w:rPr>
      </w:pPr>
    </w:p>
    <w:p w14:paraId="533AB6BC" w14:textId="77777777" w:rsidR="001527B1" w:rsidRPr="004676F5" w:rsidRDefault="001527B1" w:rsidP="001527B1">
      <w:pPr>
        <w:ind w:firstLine="708"/>
        <w:jc w:val="both"/>
        <w:rPr>
          <w:lang w:val="de-DE"/>
        </w:rPr>
      </w:pPr>
      <w:r w:rsidRPr="004676F5">
        <w:rPr>
          <w:lang w:val="de-DE"/>
        </w:rPr>
        <w:t>3. Pläne, Regeln und Verfahren für gedankliche Tätigkeiten, für Spiele oder für geschäftliche Tätigkeiten und Programme für Datenverarbeitungsanlagen,</w:t>
      </w:r>
    </w:p>
    <w:p w14:paraId="0E81366C" w14:textId="77777777" w:rsidR="001527B1" w:rsidRPr="004676F5" w:rsidRDefault="001527B1" w:rsidP="001527B1">
      <w:pPr>
        <w:ind w:firstLine="708"/>
        <w:jc w:val="both"/>
        <w:rPr>
          <w:lang w:val="de-DE"/>
        </w:rPr>
      </w:pPr>
    </w:p>
    <w:p w14:paraId="0E1184D6" w14:textId="77777777" w:rsidR="001527B1" w:rsidRPr="004676F5" w:rsidRDefault="001527B1" w:rsidP="001527B1">
      <w:pPr>
        <w:ind w:firstLine="708"/>
        <w:jc w:val="both"/>
        <w:rPr>
          <w:lang w:val="de-DE"/>
        </w:rPr>
      </w:pPr>
      <w:r w:rsidRPr="004676F5">
        <w:rPr>
          <w:lang w:val="de-DE"/>
        </w:rPr>
        <w:t>4. die Wiedergabe von Informationen.</w:t>
      </w:r>
    </w:p>
    <w:p w14:paraId="5121B0AD" w14:textId="77777777" w:rsidR="001527B1" w:rsidRPr="004676F5" w:rsidRDefault="001527B1" w:rsidP="001527B1">
      <w:pPr>
        <w:ind w:firstLine="708"/>
        <w:jc w:val="both"/>
        <w:rPr>
          <w:lang w:val="de-DE"/>
        </w:rPr>
      </w:pPr>
    </w:p>
    <w:p w14:paraId="1483B9C3" w14:textId="475F97A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Bestimmungen von § 1 stehen der Patentierbarkeit der in diesen Bestimmungen genannten Gegenstände oder Tätigkeiten nur insoweit entgegen, als sich die Patentanmeldung oder das Patent auf die genannten Gegenstände oder Tätigkeiten als solche bezieht.</w:t>
      </w:r>
    </w:p>
    <w:p w14:paraId="1C7A2A4F" w14:textId="77777777" w:rsidR="001527B1" w:rsidRPr="004676F5" w:rsidRDefault="001527B1" w:rsidP="001527B1">
      <w:pPr>
        <w:ind w:firstLine="708"/>
        <w:jc w:val="both"/>
        <w:rPr>
          <w:lang w:val="de-DE"/>
        </w:rPr>
      </w:pPr>
    </w:p>
    <w:p w14:paraId="15B5E295" w14:textId="77777777" w:rsidR="00CE5A09" w:rsidRPr="004676F5" w:rsidRDefault="00CE5A09" w:rsidP="001527B1">
      <w:pPr>
        <w:ind w:firstLine="708"/>
        <w:jc w:val="both"/>
        <w:rPr>
          <w:lang w:val="de-DE"/>
        </w:rPr>
      </w:pPr>
    </w:p>
    <w:p w14:paraId="7DC22559" w14:textId="46911EAF" w:rsidR="001527B1" w:rsidRPr="004676F5" w:rsidRDefault="00BE0A56" w:rsidP="001527B1">
      <w:pPr>
        <w:ind w:firstLine="708"/>
        <w:jc w:val="both"/>
        <w:rPr>
          <w:lang w:val="de-DE"/>
        </w:rPr>
      </w:pPr>
      <w:r w:rsidRPr="004676F5">
        <w:rPr>
          <w:b/>
          <w:lang w:val="de-DE"/>
        </w:rPr>
        <w:t>Art. </w:t>
      </w:r>
      <w:r w:rsidR="001527B1" w:rsidRPr="004676F5">
        <w:rPr>
          <w:b/>
          <w:lang w:val="de-DE"/>
        </w:rPr>
        <w:t>XI.5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Nicht patentierbar sind:</w:t>
      </w:r>
    </w:p>
    <w:p w14:paraId="1C1FC284" w14:textId="77777777" w:rsidR="001527B1" w:rsidRPr="004676F5" w:rsidRDefault="001527B1" w:rsidP="001527B1">
      <w:pPr>
        <w:ind w:firstLine="708"/>
        <w:jc w:val="both"/>
        <w:rPr>
          <w:lang w:val="de-DE"/>
        </w:rPr>
      </w:pPr>
    </w:p>
    <w:p w14:paraId="09760D1C" w14:textId="77777777" w:rsidR="001527B1" w:rsidRPr="004676F5" w:rsidRDefault="001527B1" w:rsidP="001527B1">
      <w:pPr>
        <w:ind w:firstLine="708"/>
        <w:jc w:val="both"/>
        <w:rPr>
          <w:lang w:val="de-DE"/>
        </w:rPr>
      </w:pPr>
      <w:r w:rsidRPr="004676F5">
        <w:rPr>
          <w:lang w:val="de-DE"/>
        </w:rPr>
        <w:t>1. Pflanzensorten und Tierrassen,</w:t>
      </w:r>
    </w:p>
    <w:p w14:paraId="10E1A5C5" w14:textId="77777777" w:rsidR="001527B1" w:rsidRPr="004676F5" w:rsidRDefault="001527B1" w:rsidP="001527B1">
      <w:pPr>
        <w:ind w:firstLine="708"/>
        <w:jc w:val="both"/>
        <w:rPr>
          <w:lang w:val="de-DE"/>
        </w:rPr>
      </w:pPr>
    </w:p>
    <w:p w14:paraId="6156083E" w14:textId="7B344073" w:rsidR="00457D9D" w:rsidRPr="004676F5" w:rsidRDefault="001527B1" w:rsidP="00B2592A">
      <w:pPr>
        <w:pStyle w:val="Paragraphedeliste"/>
        <w:numPr>
          <w:ilvl w:val="0"/>
          <w:numId w:val="1"/>
        </w:numPr>
        <w:jc w:val="both"/>
      </w:pPr>
      <w:r w:rsidRPr="004676F5">
        <w:t>im Wesentlichen biologische Verfahren zur Züchtung von Pflanzen oder Tieren</w:t>
      </w:r>
      <w:r w:rsidR="00457D9D" w:rsidRPr="004676F5">
        <w:t>,</w:t>
      </w:r>
    </w:p>
    <w:p w14:paraId="44C9A19B" w14:textId="77777777" w:rsidR="00457D9D" w:rsidRPr="004676F5" w:rsidRDefault="00457D9D" w:rsidP="00457D9D">
      <w:pPr>
        <w:jc w:val="both"/>
        <w:rPr>
          <w:lang w:val="de-DE"/>
        </w:rPr>
      </w:pPr>
    </w:p>
    <w:p w14:paraId="37804F88" w14:textId="26EF605C" w:rsidR="00457D9D" w:rsidRPr="004676F5" w:rsidRDefault="00457D9D" w:rsidP="00457D9D">
      <w:pPr>
        <w:jc w:val="both"/>
        <w:rPr>
          <w:lang w:val="de-DE"/>
        </w:rPr>
      </w:pPr>
      <w:r w:rsidRPr="004676F5">
        <w:rPr>
          <w:lang w:val="de-DE"/>
        </w:rPr>
        <w:tab/>
        <w:t>[3. Pflanzen oder Tiere, die ausschließlich durch die in Nr. 2 erwähnten Verfahren gezüchtet wurden, einschließlich der Teile dieser Pflanzen oder Tiere, die Vermehrungs</w:t>
      </w:r>
      <w:r w:rsidRPr="004676F5">
        <w:rPr>
          <w:lang w:val="de-DE"/>
        </w:rPr>
        <w:softHyphen/>
        <w:t>material bilden.]</w:t>
      </w:r>
    </w:p>
    <w:p w14:paraId="3115F6D3" w14:textId="77777777" w:rsidR="001527B1" w:rsidRPr="004676F5" w:rsidRDefault="001527B1" w:rsidP="001527B1">
      <w:pPr>
        <w:jc w:val="both"/>
        <w:rPr>
          <w:lang w:val="de-DE"/>
        </w:rPr>
      </w:pPr>
    </w:p>
    <w:p w14:paraId="32AAC81B" w14:textId="32D26232" w:rsidR="001527B1" w:rsidRPr="004676F5" w:rsidRDefault="001527B1" w:rsidP="001527B1">
      <w:pPr>
        <w:ind w:firstLine="708"/>
        <w:jc w:val="both"/>
        <w:rPr>
          <w:lang w:val="de-DE"/>
        </w:rPr>
      </w:pPr>
      <w:r w:rsidRPr="004676F5">
        <w:rPr>
          <w:lang w:val="de-DE"/>
        </w:rPr>
        <w:t>§ 2 </w:t>
      </w:r>
      <w:r w:rsidR="005B7A5C" w:rsidRPr="004676F5">
        <w:rPr>
          <w:lang w:val="de-DE"/>
        </w:rPr>
        <w:t>- </w:t>
      </w:r>
      <w:r w:rsidR="00457D9D" w:rsidRPr="004676F5">
        <w:rPr>
          <w:lang w:val="de-DE"/>
        </w:rPr>
        <w:t>[Unbeschadet des Paragraphen 1 können Erfindungen, deren Gegenstand Pflanzen oder Tiere sind,]</w:t>
      </w:r>
      <w:r w:rsidRPr="004676F5">
        <w:rPr>
          <w:lang w:val="de-DE"/>
        </w:rPr>
        <w:t xml:space="preserve"> patentiert werden, wenn die Ausführungen der Erfindung technisch nicht auf eine bestimmte Pflanzensorte oder Tierrasse beschränkt sind.</w:t>
      </w:r>
    </w:p>
    <w:p w14:paraId="5CCB8A46" w14:textId="77777777" w:rsidR="001527B1" w:rsidRPr="004676F5" w:rsidRDefault="001527B1" w:rsidP="001527B1">
      <w:pPr>
        <w:ind w:firstLine="708"/>
        <w:jc w:val="both"/>
        <w:rPr>
          <w:lang w:val="de-DE"/>
        </w:rPr>
      </w:pPr>
    </w:p>
    <w:p w14:paraId="078490CD" w14:textId="4F1DD59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Paragraph 1 Nr. 2 berührt nicht die Patentierbarkeit von Erfindungen, die ein mikrobiologisches oder sonstiges technisches Verfahren oder ein durch diese Verfahren gewonnenes Erzeugnis zum Gegenstand haben.</w:t>
      </w:r>
    </w:p>
    <w:p w14:paraId="03B3B522" w14:textId="77777777" w:rsidR="001527B1" w:rsidRPr="004676F5" w:rsidRDefault="001527B1" w:rsidP="001527B1">
      <w:pPr>
        <w:ind w:firstLine="708"/>
        <w:jc w:val="both"/>
        <w:rPr>
          <w:lang w:val="de-DE"/>
        </w:rPr>
      </w:pPr>
    </w:p>
    <w:p w14:paraId="203896B8" w14:textId="6804D306"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Erfindungen, deren gewerbliche Verwertung gegen die öffentliche Ordnung oder die guten Sitten verstoßen würde, einschließlich des Schutzes der Gesundheit und des Lebens von Mensch und Tier oder des Erhalts von Pflanzen oder der Vermeidung schwerwiegender Umweltschäden, sind von der Patentierbarkeit ausgenommen; ein solcher Verstoß kann nicht allein daraus hergeleitet werden, dass die Verwertung der Erfindung durch Gesetzes</w:t>
      </w:r>
      <w:r w:rsidR="005B7A5C" w:rsidRPr="004676F5">
        <w:rPr>
          <w:lang w:val="de-DE"/>
        </w:rPr>
        <w:t>- </w:t>
      </w:r>
      <w:r w:rsidRPr="004676F5">
        <w:rPr>
          <w:lang w:val="de-DE"/>
        </w:rPr>
        <w:t>oder Verordnungsbestimmung verboten ist.</w:t>
      </w:r>
    </w:p>
    <w:p w14:paraId="35FAE19E" w14:textId="77777777" w:rsidR="001527B1" w:rsidRPr="004676F5" w:rsidRDefault="001527B1" w:rsidP="001527B1">
      <w:pPr>
        <w:jc w:val="both"/>
        <w:rPr>
          <w:lang w:val="de-DE"/>
        </w:rPr>
      </w:pPr>
    </w:p>
    <w:p w14:paraId="74AE3CE4" w14:textId="226A9900"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Im Sinne von § 4 gelten unter anderem als nicht patentierbar:</w:t>
      </w:r>
    </w:p>
    <w:p w14:paraId="5B62F681" w14:textId="77777777" w:rsidR="001527B1" w:rsidRPr="004676F5" w:rsidRDefault="001527B1" w:rsidP="001527B1">
      <w:pPr>
        <w:ind w:firstLine="708"/>
        <w:jc w:val="both"/>
        <w:rPr>
          <w:lang w:val="de-DE"/>
        </w:rPr>
      </w:pPr>
    </w:p>
    <w:p w14:paraId="7E97A07B" w14:textId="77777777" w:rsidR="001527B1" w:rsidRPr="004676F5" w:rsidRDefault="001527B1" w:rsidP="001527B1">
      <w:pPr>
        <w:ind w:firstLine="708"/>
        <w:jc w:val="both"/>
        <w:rPr>
          <w:lang w:val="de-DE"/>
        </w:rPr>
      </w:pPr>
      <w:r w:rsidRPr="004676F5">
        <w:rPr>
          <w:lang w:val="de-DE"/>
        </w:rPr>
        <w:t>1. Verfahren zum Klonen von menschlichen Lebewesen, das heißt jedes Verfahren, einschließlich der Verfahren zur Embryonenspaltung, das darauf abzielt, ein menschliches Lebewesen zu schaffen, das im Zellkern die gleiche Erbinformation wie ein anderes lebendes oder verstorbenes menschliches Lebewesen besitzt,</w:t>
      </w:r>
    </w:p>
    <w:p w14:paraId="19F484EC" w14:textId="77777777" w:rsidR="001527B1" w:rsidRPr="004676F5" w:rsidRDefault="001527B1" w:rsidP="001527B1">
      <w:pPr>
        <w:ind w:firstLine="708"/>
        <w:jc w:val="both"/>
        <w:rPr>
          <w:lang w:val="de-DE"/>
        </w:rPr>
      </w:pPr>
    </w:p>
    <w:p w14:paraId="549C1D7C" w14:textId="77777777" w:rsidR="001527B1" w:rsidRPr="004676F5" w:rsidRDefault="001527B1" w:rsidP="001527B1">
      <w:pPr>
        <w:ind w:firstLine="708"/>
        <w:jc w:val="both"/>
        <w:rPr>
          <w:lang w:val="de-DE"/>
        </w:rPr>
      </w:pPr>
      <w:r w:rsidRPr="004676F5">
        <w:rPr>
          <w:lang w:val="de-DE"/>
        </w:rPr>
        <w:t>2. Verfahren zur Veränderung der genetischen Identität der Keimbahn des menschlichen Lebewesens,</w:t>
      </w:r>
    </w:p>
    <w:p w14:paraId="04241064" w14:textId="77777777" w:rsidR="001527B1" w:rsidRPr="004676F5" w:rsidRDefault="001527B1" w:rsidP="001527B1">
      <w:pPr>
        <w:ind w:firstLine="708"/>
        <w:jc w:val="both"/>
        <w:rPr>
          <w:lang w:val="de-DE"/>
        </w:rPr>
      </w:pPr>
    </w:p>
    <w:p w14:paraId="769586D8" w14:textId="77777777" w:rsidR="001527B1" w:rsidRPr="004676F5" w:rsidRDefault="001527B1" w:rsidP="001527B1">
      <w:pPr>
        <w:ind w:firstLine="708"/>
        <w:jc w:val="both"/>
        <w:rPr>
          <w:lang w:val="de-DE"/>
        </w:rPr>
      </w:pPr>
      <w:r w:rsidRPr="004676F5">
        <w:rPr>
          <w:lang w:val="de-DE"/>
        </w:rPr>
        <w:t>3. die Verwendung von menschlichen Embryonen zu industriellen oder kommerziellen Zwecken,</w:t>
      </w:r>
    </w:p>
    <w:p w14:paraId="61630759" w14:textId="77777777" w:rsidR="001527B1" w:rsidRPr="004676F5" w:rsidRDefault="001527B1" w:rsidP="001527B1">
      <w:pPr>
        <w:jc w:val="both"/>
        <w:rPr>
          <w:lang w:val="de-DE"/>
        </w:rPr>
      </w:pPr>
    </w:p>
    <w:p w14:paraId="2F1DDD57" w14:textId="77777777" w:rsidR="001527B1" w:rsidRPr="004676F5" w:rsidRDefault="001527B1" w:rsidP="001527B1">
      <w:pPr>
        <w:ind w:firstLine="708"/>
        <w:jc w:val="both"/>
        <w:rPr>
          <w:lang w:val="de-DE"/>
        </w:rPr>
      </w:pPr>
      <w:r w:rsidRPr="004676F5">
        <w:rPr>
          <w:lang w:val="de-DE"/>
        </w:rPr>
        <w:t>4. Verfahren zur Veränderung der genetischen Identität von Tieren, die geeignet sind, Leiden dieser Tiere ohne wesentlichen medizinischen Nutzen für den Menschen oder das Tier zu verursachen, sowie die mit Hilfe solcher Verfahren erzeugten Tiere.</w:t>
      </w:r>
    </w:p>
    <w:p w14:paraId="27C11DAF" w14:textId="77777777" w:rsidR="001527B1" w:rsidRPr="004676F5" w:rsidRDefault="001527B1" w:rsidP="001527B1">
      <w:pPr>
        <w:ind w:firstLine="708"/>
        <w:jc w:val="both"/>
        <w:rPr>
          <w:lang w:val="de-DE"/>
        </w:rPr>
      </w:pPr>
    </w:p>
    <w:p w14:paraId="369C9C90" w14:textId="31769C2C"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Der menschliche Körper in den einzelnen Phasen seiner Entstehung und Entwicklung und die bloße Entdeckung eines seiner Bestandteile, einschließlich der Sequenz oder Teilsequenz eines Gens, können keine patentierbaren Erfindungen darstellen.</w:t>
      </w:r>
    </w:p>
    <w:p w14:paraId="312F1FEC" w14:textId="77777777" w:rsidR="001527B1" w:rsidRPr="004676F5" w:rsidRDefault="001527B1" w:rsidP="001527B1">
      <w:pPr>
        <w:ind w:firstLine="708"/>
        <w:jc w:val="both"/>
        <w:rPr>
          <w:lang w:val="de-DE"/>
        </w:rPr>
      </w:pPr>
    </w:p>
    <w:p w14:paraId="77E871E1" w14:textId="77777777" w:rsidR="001527B1" w:rsidRPr="004676F5" w:rsidRDefault="001527B1" w:rsidP="001527B1">
      <w:pPr>
        <w:ind w:firstLine="708"/>
        <w:jc w:val="both"/>
        <w:rPr>
          <w:lang w:val="de-DE"/>
        </w:rPr>
      </w:pPr>
      <w:r w:rsidRPr="004676F5">
        <w:rPr>
          <w:lang w:val="de-DE"/>
        </w:rPr>
        <w:t>Ein isolierter Bestandteil des menschlichen Körpers oder ein auf andere Weise durch ein technisches Verfahren gewonnener Bestandteil, einschließlich der Sequenz oder Teilsequenz eines Gens, kann eine patentierbare Erfindung sein, selbst wenn der Aufbau dieses Bestandteils mit dem Aufbau eines natürlichen Bestandteils identisch ist.</w:t>
      </w:r>
    </w:p>
    <w:p w14:paraId="2B65BA14" w14:textId="77777777" w:rsidR="001527B1" w:rsidRPr="004676F5" w:rsidRDefault="001527B1" w:rsidP="001527B1">
      <w:pPr>
        <w:jc w:val="both"/>
        <w:rPr>
          <w:lang w:val="de-DE"/>
        </w:rPr>
      </w:pPr>
    </w:p>
    <w:p w14:paraId="78A0561F" w14:textId="77777777" w:rsidR="001527B1" w:rsidRPr="004676F5" w:rsidRDefault="001527B1" w:rsidP="001527B1">
      <w:pPr>
        <w:ind w:firstLine="708"/>
        <w:jc w:val="both"/>
        <w:rPr>
          <w:lang w:val="de-DE"/>
        </w:rPr>
      </w:pPr>
      <w:r w:rsidRPr="004676F5">
        <w:rPr>
          <w:lang w:val="de-DE"/>
        </w:rPr>
        <w:t>Die gewerbliche Anwendbarkeit einer Sequenz oder Teilsequenz eines Gens, das einer Erfindung zu Grunde liegt, muss in der Patentanmeldung konkret beschrieben werden.</w:t>
      </w:r>
    </w:p>
    <w:p w14:paraId="3A14E0B1" w14:textId="77777777" w:rsidR="001527B1" w:rsidRPr="004676F5" w:rsidRDefault="001527B1" w:rsidP="001527B1">
      <w:pPr>
        <w:ind w:firstLine="708"/>
        <w:jc w:val="both"/>
        <w:rPr>
          <w:lang w:val="de-DE"/>
        </w:rPr>
      </w:pPr>
    </w:p>
    <w:p w14:paraId="4DFCC2D6" w14:textId="2034EEFB"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Erfindungspatente werden nicht erteilt für Verfahren zur chirurgischen oder therapeutischen Behandlung des menschlichen oder tierischen Körpers und Diagnostizier</w:t>
      </w:r>
      <w:r w:rsidRPr="004676F5">
        <w:rPr>
          <w:lang w:val="de-DE"/>
        </w:rPr>
        <w:softHyphen/>
        <w:t>verfahren, die am menschlichen oder tierischen Körper vorgenommen werden. Dies gilt nicht für Erzeugnisse, insbesondere Stoffe oder Stoffgemische, zur Anwendung in einem dieser Verfahren.</w:t>
      </w:r>
    </w:p>
    <w:p w14:paraId="4DDE0B5B" w14:textId="77777777" w:rsidR="00457D9D" w:rsidRPr="004676F5" w:rsidRDefault="00457D9D" w:rsidP="001527B1">
      <w:pPr>
        <w:ind w:firstLine="708"/>
        <w:jc w:val="both"/>
        <w:rPr>
          <w:lang w:val="de-DE"/>
        </w:rPr>
      </w:pPr>
    </w:p>
    <w:p w14:paraId="2B01DD54" w14:textId="5FD6276B" w:rsidR="00457D9D" w:rsidRPr="004676F5" w:rsidRDefault="00457D9D" w:rsidP="00457D9D">
      <w:pPr>
        <w:jc w:val="both"/>
        <w:rPr>
          <w:i/>
          <w:iCs/>
          <w:lang w:val="de-DE"/>
        </w:rPr>
      </w:pPr>
      <w:r w:rsidRPr="004676F5">
        <w:rPr>
          <w:i/>
          <w:iCs/>
          <w:lang w:val="de-DE"/>
        </w:rPr>
        <w:t>[Art. XI.5 § 1 einziger Absatz Nr. 3 eingefügt durch Art. 15 Nr. 1</w:t>
      </w:r>
      <w:r w:rsidRPr="004676F5">
        <w:rPr>
          <w:i/>
          <w:lang w:val="de-DE"/>
        </w:rPr>
        <w:t xml:space="preserve"> des G. vom 2. Mai 2019 (IV) (B.S. vom 22. Mai 2019); § 2 abgeändert durch Art. 15 Nr. 2 des G. vom 2. Mai 2019 (IV) (B.S. vom 22. Mai 2019)]</w:t>
      </w:r>
    </w:p>
    <w:p w14:paraId="74CB7217" w14:textId="77777777" w:rsidR="001527B1" w:rsidRPr="004676F5" w:rsidRDefault="001527B1" w:rsidP="001527B1">
      <w:pPr>
        <w:ind w:firstLine="708"/>
        <w:jc w:val="both"/>
        <w:rPr>
          <w:lang w:val="de-DE"/>
        </w:rPr>
      </w:pPr>
    </w:p>
    <w:p w14:paraId="3BE4E134" w14:textId="77777777" w:rsidR="00CE5A09" w:rsidRPr="004676F5" w:rsidRDefault="00CE5A09" w:rsidP="001527B1">
      <w:pPr>
        <w:ind w:firstLine="708"/>
        <w:jc w:val="both"/>
        <w:rPr>
          <w:lang w:val="de-DE"/>
        </w:rPr>
      </w:pPr>
    </w:p>
    <w:p w14:paraId="56A063AD" w14:textId="05A76DDD"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Erfindung gilt als neu, wenn sie nicht zum Stand der Technik gehört.</w:t>
      </w:r>
    </w:p>
    <w:p w14:paraId="621CD13E" w14:textId="77777777" w:rsidR="001527B1" w:rsidRPr="004676F5" w:rsidRDefault="001527B1" w:rsidP="001527B1">
      <w:pPr>
        <w:ind w:firstLine="708"/>
        <w:jc w:val="both"/>
        <w:rPr>
          <w:lang w:val="de-DE"/>
        </w:rPr>
      </w:pPr>
    </w:p>
    <w:p w14:paraId="069418DC" w14:textId="274C864E"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Den Stand der Technik bildet alles, was vor dem Anmeldetag der Patent</w:t>
      </w:r>
      <w:r w:rsidRPr="004676F5">
        <w:rPr>
          <w:lang w:val="de-DE"/>
        </w:rPr>
        <w:softHyphen/>
        <w:t>anmeldung der Öffentlichkeit durch schriftliche oder mündliche Beschreibung, durch Benutzung oder in sonstiger Weise zugänglich gemacht worden ist.</w:t>
      </w:r>
    </w:p>
    <w:p w14:paraId="7A8A6185" w14:textId="77777777" w:rsidR="001527B1" w:rsidRPr="004676F5" w:rsidRDefault="001527B1" w:rsidP="001527B1">
      <w:pPr>
        <w:jc w:val="both"/>
        <w:rPr>
          <w:lang w:val="de-DE"/>
        </w:rPr>
      </w:pPr>
    </w:p>
    <w:p w14:paraId="1A188EC5" w14:textId="6A85CA2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Als Stand der Technik gilt auch der Inhalt:</w:t>
      </w:r>
    </w:p>
    <w:p w14:paraId="3B29E765" w14:textId="77777777" w:rsidR="001527B1" w:rsidRPr="004676F5" w:rsidRDefault="001527B1" w:rsidP="001527B1">
      <w:pPr>
        <w:ind w:firstLine="708"/>
        <w:jc w:val="both"/>
        <w:rPr>
          <w:lang w:val="de-DE"/>
        </w:rPr>
      </w:pPr>
    </w:p>
    <w:p w14:paraId="519EE0A3" w14:textId="77777777" w:rsidR="001527B1" w:rsidRPr="004676F5" w:rsidRDefault="001527B1" w:rsidP="001527B1">
      <w:pPr>
        <w:ind w:firstLine="708"/>
        <w:jc w:val="both"/>
        <w:rPr>
          <w:lang w:val="de-DE"/>
        </w:rPr>
      </w:pPr>
      <w:r w:rsidRPr="004676F5">
        <w:rPr>
          <w:lang w:val="de-DE"/>
        </w:rPr>
        <w:t>1. belgischer Patentanmeldungen,</w:t>
      </w:r>
    </w:p>
    <w:p w14:paraId="571CA9FA" w14:textId="77777777" w:rsidR="001527B1" w:rsidRPr="004676F5" w:rsidRDefault="001527B1" w:rsidP="001527B1">
      <w:pPr>
        <w:ind w:firstLine="708"/>
        <w:jc w:val="both"/>
        <w:rPr>
          <w:lang w:val="de-DE"/>
        </w:rPr>
      </w:pPr>
    </w:p>
    <w:p w14:paraId="01B1B0B8" w14:textId="77777777" w:rsidR="001527B1" w:rsidRPr="004676F5" w:rsidRDefault="001527B1" w:rsidP="001527B1">
      <w:pPr>
        <w:ind w:firstLine="708"/>
        <w:jc w:val="both"/>
        <w:rPr>
          <w:lang w:val="de-DE"/>
        </w:rPr>
      </w:pPr>
      <w:r w:rsidRPr="004676F5">
        <w:rPr>
          <w:lang w:val="de-DE"/>
        </w:rPr>
        <w:t>2. europäischer Patentanmeldungen,</w:t>
      </w:r>
    </w:p>
    <w:p w14:paraId="18D52E9B" w14:textId="77777777" w:rsidR="001527B1" w:rsidRPr="004676F5" w:rsidRDefault="001527B1" w:rsidP="001527B1">
      <w:pPr>
        <w:ind w:firstLine="708"/>
        <w:jc w:val="both"/>
        <w:rPr>
          <w:lang w:val="de-DE"/>
        </w:rPr>
      </w:pPr>
    </w:p>
    <w:p w14:paraId="4569A6C9" w14:textId="77777777" w:rsidR="001527B1" w:rsidRPr="004676F5" w:rsidRDefault="001527B1" w:rsidP="001527B1">
      <w:pPr>
        <w:ind w:firstLine="708"/>
        <w:jc w:val="both"/>
        <w:rPr>
          <w:lang w:val="de-DE"/>
        </w:rPr>
      </w:pPr>
      <w:r w:rsidRPr="004676F5">
        <w:rPr>
          <w:lang w:val="de-DE"/>
        </w:rPr>
        <w:t>3. oder internationaler Patentanmeldungen, für die das Europäische Patentamt Bestimmungsamt ist und für die der Anmelder innerhalb der vorgeschriebenen Fristen je nach Fall die in Artikel 153 Absatz 3 oder 4 des Europäischen Patentübereinkommens und in Regel 159 Absatz 1 der Ausführungsordnung zum Europäischen Patentübereinkommen vorgesehenen Bedingungen erfüllt,</w:t>
      </w:r>
    </w:p>
    <w:p w14:paraId="01303987" w14:textId="77777777" w:rsidR="001527B1" w:rsidRPr="004676F5" w:rsidRDefault="001527B1" w:rsidP="001527B1">
      <w:pPr>
        <w:ind w:firstLine="708"/>
        <w:jc w:val="both"/>
        <w:rPr>
          <w:lang w:val="de-DE"/>
        </w:rPr>
      </w:pPr>
    </w:p>
    <w:p w14:paraId="321B8E9D" w14:textId="77777777" w:rsidR="001527B1" w:rsidRPr="004676F5" w:rsidRDefault="001527B1" w:rsidP="001527B1">
      <w:pPr>
        <w:ind w:firstLine="708"/>
        <w:jc w:val="both"/>
        <w:rPr>
          <w:lang w:val="de-DE"/>
        </w:rPr>
      </w:pPr>
      <w:r w:rsidRPr="004676F5">
        <w:rPr>
          <w:lang w:val="de-DE"/>
        </w:rPr>
        <w:t>in der ursprünglich eingereichten Fassung, deren Anmeldetag vor dem in § 2 genannten Tag liegt und die erst an oder nach diesem Tag veröffentlicht worden sind.</w:t>
      </w:r>
    </w:p>
    <w:p w14:paraId="663AFB12" w14:textId="77777777" w:rsidR="001527B1" w:rsidRPr="004676F5" w:rsidRDefault="001527B1" w:rsidP="001527B1">
      <w:pPr>
        <w:jc w:val="both"/>
        <w:rPr>
          <w:lang w:val="de-DE"/>
        </w:rPr>
      </w:pPr>
    </w:p>
    <w:p w14:paraId="7FBEC54D" w14:textId="4AE38779"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Gehören Stoffe oder Stoffgemische zum Stand der Technik, so wird ihre Patentierbarkeit durch die Paragraphen 2 und 3 nicht ausgeschlossen, sofern sie zur Anwendung in einem in Artikel XI.5 § 7 genannten Verfahren bestimmt sind und ihre Anwendung in einem dieser Verfahren nicht zum Stand der Technik gehört.</w:t>
      </w:r>
    </w:p>
    <w:p w14:paraId="54A428BC" w14:textId="77777777" w:rsidR="001527B1" w:rsidRPr="004676F5" w:rsidRDefault="001527B1" w:rsidP="001527B1">
      <w:pPr>
        <w:jc w:val="both"/>
        <w:rPr>
          <w:lang w:val="de-DE"/>
        </w:rPr>
      </w:pPr>
    </w:p>
    <w:p w14:paraId="38BBA79D" w14:textId="1203CEFF"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Ebenso wenig wird die Patentierbarkeit der in § 4 genannten Stoffe oder Stoffgemische zur spezifischen Anwendung in einem in Artikel XI.5 § 7 genannten Verfahren durch die Paragraphen 2 und 3 ausgeschlossen, wenn diese Anwendung nicht zum Stand der Technik gehört.</w:t>
      </w:r>
    </w:p>
    <w:p w14:paraId="1219FA6B" w14:textId="77777777" w:rsidR="001527B1" w:rsidRPr="004676F5" w:rsidRDefault="001527B1" w:rsidP="001527B1">
      <w:pPr>
        <w:ind w:firstLine="708"/>
        <w:jc w:val="both"/>
        <w:rPr>
          <w:lang w:val="de-DE"/>
        </w:rPr>
      </w:pPr>
    </w:p>
    <w:p w14:paraId="09A8A02F" w14:textId="31E60421"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Eine Offenbarung der Erfindung bleibt für die Feststellung des Standes der Technik außer Betracht, wenn sie nicht früher als sechs Monate vor Einreichung der Patentanmeldung erfolgt ist und unmittelbar oder mittelbar zurückgeht:</w:t>
      </w:r>
    </w:p>
    <w:p w14:paraId="2515DF3A" w14:textId="77777777" w:rsidR="001527B1" w:rsidRPr="004676F5" w:rsidRDefault="001527B1" w:rsidP="001527B1">
      <w:pPr>
        <w:ind w:firstLine="708"/>
        <w:jc w:val="both"/>
        <w:rPr>
          <w:lang w:val="de-DE"/>
        </w:rPr>
      </w:pPr>
    </w:p>
    <w:p w14:paraId="532177BB" w14:textId="77777777" w:rsidR="001527B1" w:rsidRPr="004676F5" w:rsidRDefault="001527B1" w:rsidP="001527B1">
      <w:pPr>
        <w:ind w:firstLine="708"/>
        <w:jc w:val="both"/>
        <w:rPr>
          <w:lang w:val="de-DE"/>
        </w:rPr>
      </w:pPr>
      <w:r w:rsidRPr="004676F5">
        <w:rPr>
          <w:i/>
          <w:lang w:val="de-DE"/>
        </w:rPr>
        <w:t>a)</w:t>
      </w:r>
      <w:r w:rsidRPr="004676F5">
        <w:rPr>
          <w:lang w:val="de-DE"/>
        </w:rPr>
        <w:t> auf einen offensichtlichen Missbrauch zum Nachteil des Anmelders oder seines Rechtsvorgängers oder</w:t>
      </w:r>
    </w:p>
    <w:p w14:paraId="45FB1B99" w14:textId="77777777" w:rsidR="001527B1" w:rsidRPr="004676F5" w:rsidRDefault="001527B1" w:rsidP="001527B1">
      <w:pPr>
        <w:ind w:firstLine="708"/>
        <w:jc w:val="both"/>
        <w:rPr>
          <w:lang w:val="de-DE"/>
        </w:rPr>
      </w:pPr>
    </w:p>
    <w:p w14:paraId="4D5E8E2E" w14:textId="77777777" w:rsidR="001527B1" w:rsidRPr="004676F5" w:rsidRDefault="001527B1" w:rsidP="001527B1">
      <w:pPr>
        <w:ind w:firstLine="708"/>
        <w:jc w:val="both"/>
        <w:rPr>
          <w:lang w:val="de-DE"/>
        </w:rPr>
      </w:pPr>
      <w:r w:rsidRPr="004676F5">
        <w:rPr>
          <w:i/>
          <w:lang w:val="de-DE"/>
        </w:rPr>
        <w:t>b)</w:t>
      </w:r>
      <w:r w:rsidRPr="004676F5">
        <w:rPr>
          <w:lang w:val="de-DE"/>
        </w:rPr>
        <w:t xml:space="preserve"> auf die Tatsache, dass der Anmelder oder sein Rechtsvorgänger die Erfindung auf amtlichen oder amtlich anerkannten Ausstellungen im Sinne des am 22. November 1928 in Paris unterzeichneten Übereinkommens über internationale Ausstellungen zur Schau gestellt hat, wenn der Anmelder bei Einreichung der Patentanmeldung angibt, dass die Erfindung tatsächlich zur Schau gestellt worden ist, und innerhalb der Frist und unter den Bedingungen, die vom König festgelegt werden, eine entsprechende Bescheinigung einreicht.</w:t>
      </w:r>
    </w:p>
    <w:p w14:paraId="3F814D22" w14:textId="77777777" w:rsidR="001527B1" w:rsidRPr="004676F5" w:rsidRDefault="001527B1" w:rsidP="001527B1">
      <w:pPr>
        <w:ind w:firstLine="708"/>
        <w:jc w:val="both"/>
        <w:rPr>
          <w:lang w:val="de-DE"/>
        </w:rPr>
      </w:pPr>
    </w:p>
    <w:p w14:paraId="5E78E3B2" w14:textId="77777777" w:rsidR="00CE5A09" w:rsidRPr="004676F5" w:rsidRDefault="00CE5A09" w:rsidP="001527B1">
      <w:pPr>
        <w:ind w:firstLine="708"/>
        <w:jc w:val="both"/>
        <w:rPr>
          <w:lang w:val="de-DE"/>
        </w:rPr>
      </w:pPr>
    </w:p>
    <w:p w14:paraId="5EC41567" w14:textId="0EF95DB3" w:rsidR="001527B1" w:rsidRPr="004676F5" w:rsidRDefault="00BE0A56" w:rsidP="001527B1">
      <w:pPr>
        <w:ind w:firstLine="708"/>
        <w:jc w:val="both"/>
        <w:rPr>
          <w:lang w:val="de-DE"/>
        </w:rPr>
      </w:pPr>
      <w:r w:rsidRPr="004676F5">
        <w:rPr>
          <w:b/>
          <w:lang w:val="de-DE"/>
        </w:rPr>
        <w:t>Art. </w:t>
      </w:r>
      <w:r w:rsidR="001527B1" w:rsidRPr="004676F5">
        <w:rPr>
          <w:b/>
          <w:lang w:val="de-DE"/>
        </w:rPr>
        <w:t>XI.7</w:t>
      </w:r>
      <w:r w:rsidR="001527B1" w:rsidRPr="004676F5">
        <w:rPr>
          <w:lang w:val="de-DE"/>
        </w:rPr>
        <w:t> </w:t>
      </w:r>
      <w:r w:rsidR="005B7A5C" w:rsidRPr="004676F5">
        <w:rPr>
          <w:lang w:val="de-DE"/>
        </w:rPr>
        <w:t>- </w:t>
      </w:r>
      <w:r w:rsidR="001527B1" w:rsidRPr="004676F5">
        <w:rPr>
          <w:lang w:val="de-DE"/>
        </w:rPr>
        <w:t>Eine Erfindung gilt als auf einer erfinderischen Tätigkeit beruhend, wenn sie sich für den Fachmann nicht in naheliegender Weise aus dem Stand der Technik ergibt. In Artikel XI.6 § 3 erwähnte Unterlagen werden bei der Beurteilung der erfinderischen Tätigkeit nicht in Betracht gezogen.</w:t>
      </w:r>
    </w:p>
    <w:p w14:paraId="23760648" w14:textId="77777777" w:rsidR="001527B1" w:rsidRPr="004676F5" w:rsidRDefault="001527B1" w:rsidP="001527B1">
      <w:pPr>
        <w:ind w:firstLine="708"/>
        <w:jc w:val="both"/>
        <w:rPr>
          <w:lang w:val="de-DE"/>
        </w:rPr>
      </w:pPr>
    </w:p>
    <w:p w14:paraId="01DBC749" w14:textId="77777777" w:rsidR="00CE5A09" w:rsidRPr="004676F5" w:rsidRDefault="00CE5A09" w:rsidP="001527B1">
      <w:pPr>
        <w:ind w:firstLine="708"/>
        <w:jc w:val="both"/>
        <w:rPr>
          <w:lang w:val="de-DE"/>
        </w:rPr>
      </w:pPr>
    </w:p>
    <w:p w14:paraId="6778E7CD" w14:textId="16A76475" w:rsidR="001527B1" w:rsidRPr="004676F5" w:rsidRDefault="00BE0A56" w:rsidP="001527B1">
      <w:pPr>
        <w:ind w:firstLine="708"/>
        <w:jc w:val="both"/>
        <w:rPr>
          <w:lang w:val="de-DE"/>
        </w:rPr>
      </w:pPr>
      <w:r w:rsidRPr="004676F5">
        <w:rPr>
          <w:b/>
          <w:lang w:val="de-DE"/>
        </w:rPr>
        <w:t>Art. </w:t>
      </w:r>
      <w:r w:rsidR="001527B1" w:rsidRPr="004676F5">
        <w:rPr>
          <w:b/>
          <w:lang w:val="de-DE"/>
        </w:rPr>
        <w:t>XI.8</w:t>
      </w:r>
      <w:r w:rsidR="001527B1" w:rsidRPr="004676F5">
        <w:rPr>
          <w:lang w:val="de-DE"/>
        </w:rPr>
        <w:t> </w:t>
      </w:r>
      <w:r w:rsidR="005B7A5C" w:rsidRPr="004676F5">
        <w:rPr>
          <w:lang w:val="de-DE"/>
        </w:rPr>
        <w:t>- </w:t>
      </w:r>
      <w:r w:rsidR="001527B1" w:rsidRPr="004676F5">
        <w:rPr>
          <w:lang w:val="de-DE"/>
        </w:rPr>
        <w:t>Eine Erfindung gilt als gewerblich anwendbar, wenn ihr Gegenstand auf irgendeinem gewerblichen Gebiet einschließlich der Landwirtschaft hergestellt oder benutzt werden kann.</w:t>
      </w:r>
    </w:p>
    <w:p w14:paraId="24618ABA" w14:textId="77777777" w:rsidR="001527B1" w:rsidRPr="004676F5" w:rsidRDefault="001527B1" w:rsidP="001527B1">
      <w:pPr>
        <w:ind w:firstLine="708"/>
        <w:jc w:val="both"/>
        <w:rPr>
          <w:lang w:val="de-DE"/>
        </w:rPr>
      </w:pPr>
    </w:p>
    <w:p w14:paraId="4D13D796" w14:textId="77777777" w:rsidR="00CE5A09" w:rsidRPr="004676F5" w:rsidRDefault="00CE5A09" w:rsidP="001527B1">
      <w:pPr>
        <w:ind w:firstLine="708"/>
        <w:jc w:val="both"/>
        <w:rPr>
          <w:lang w:val="de-DE"/>
        </w:rPr>
      </w:pPr>
    </w:p>
    <w:p w14:paraId="4BB83EE4" w14:textId="6EF1A22B" w:rsidR="001527B1" w:rsidRPr="004676F5" w:rsidRDefault="001527B1" w:rsidP="001527B1">
      <w:pPr>
        <w:jc w:val="center"/>
        <w:rPr>
          <w:lang w:val="de-DE"/>
        </w:rPr>
      </w:pPr>
      <w:r w:rsidRPr="004676F5">
        <w:rPr>
          <w:i/>
          <w:lang w:val="de-DE"/>
        </w:rPr>
        <w:t>Abschnitt 2 </w:t>
      </w:r>
      <w:r w:rsidR="005B7A5C" w:rsidRPr="004676F5">
        <w:rPr>
          <w:i/>
          <w:lang w:val="de-DE"/>
        </w:rPr>
        <w:t>- </w:t>
      </w:r>
      <w:r w:rsidRPr="004676F5">
        <w:rPr>
          <w:lang w:val="de-DE"/>
        </w:rPr>
        <w:t>Recht auf Erhalt eines Erfindungspatents</w:t>
      </w:r>
    </w:p>
    <w:p w14:paraId="7651924F" w14:textId="77777777" w:rsidR="001527B1" w:rsidRPr="004676F5" w:rsidRDefault="001527B1" w:rsidP="001527B1">
      <w:pPr>
        <w:jc w:val="center"/>
        <w:rPr>
          <w:lang w:val="de-DE"/>
        </w:rPr>
      </w:pPr>
    </w:p>
    <w:p w14:paraId="3266C69A" w14:textId="77777777" w:rsidR="00CE5A09" w:rsidRPr="004676F5" w:rsidRDefault="00CE5A09" w:rsidP="001527B1">
      <w:pPr>
        <w:jc w:val="center"/>
        <w:rPr>
          <w:lang w:val="de-DE"/>
        </w:rPr>
      </w:pPr>
    </w:p>
    <w:p w14:paraId="2BDDDCFC" w14:textId="306EE555" w:rsidR="001527B1" w:rsidRPr="004676F5" w:rsidRDefault="00BE0A56" w:rsidP="001527B1">
      <w:pPr>
        <w:ind w:firstLine="708"/>
        <w:jc w:val="both"/>
        <w:rPr>
          <w:lang w:val="de-DE"/>
        </w:rPr>
      </w:pPr>
      <w:r w:rsidRPr="004676F5">
        <w:rPr>
          <w:b/>
          <w:lang w:val="de-DE"/>
        </w:rPr>
        <w:t>Art. </w:t>
      </w:r>
      <w:r w:rsidR="001527B1" w:rsidRPr="004676F5">
        <w:rPr>
          <w:b/>
          <w:lang w:val="de-DE"/>
        </w:rPr>
        <w:t>XI.9</w:t>
      </w:r>
      <w:r w:rsidR="001527B1" w:rsidRPr="004676F5">
        <w:rPr>
          <w:lang w:val="de-DE"/>
        </w:rPr>
        <w:t> </w:t>
      </w:r>
      <w:r w:rsidR="005B7A5C" w:rsidRPr="004676F5">
        <w:rPr>
          <w:lang w:val="de-DE"/>
        </w:rPr>
        <w:t>- </w:t>
      </w:r>
      <w:r w:rsidR="001527B1" w:rsidRPr="004676F5">
        <w:rPr>
          <w:lang w:val="de-DE"/>
        </w:rPr>
        <w:t>Das Recht auf das Patent steht dem Erfinder oder seinem Rechtsnachfolger zu.</w:t>
      </w:r>
    </w:p>
    <w:p w14:paraId="79737D9E" w14:textId="77777777" w:rsidR="001527B1" w:rsidRPr="004676F5" w:rsidRDefault="001527B1" w:rsidP="001527B1">
      <w:pPr>
        <w:ind w:firstLine="708"/>
        <w:jc w:val="both"/>
        <w:rPr>
          <w:lang w:val="de-DE"/>
        </w:rPr>
      </w:pPr>
    </w:p>
    <w:p w14:paraId="5EA720F0" w14:textId="77777777" w:rsidR="001527B1" w:rsidRPr="004676F5" w:rsidRDefault="001527B1" w:rsidP="001527B1">
      <w:pPr>
        <w:ind w:firstLine="708"/>
        <w:jc w:val="both"/>
        <w:rPr>
          <w:lang w:val="de-DE"/>
        </w:rPr>
      </w:pPr>
      <w:r w:rsidRPr="004676F5">
        <w:rPr>
          <w:lang w:val="de-DE"/>
        </w:rPr>
        <w:t>Haben mehrere eine Erfindung unabhängig voneinander gemacht, so steht das Recht auf das Patent demjenigen zu, dessen Patentanmeldung den früheren Anmeldetag hat.</w:t>
      </w:r>
    </w:p>
    <w:p w14:paraId="4CA791D8" w14:textId="77777777" w:rsidR="001527B1" w:rsidRPr="004676F5" w:rsidRDefault="001527B1" w:rsidP="001527B1">
      <w:pPr>
        <w:ind w:firstLine="708"/>
        <w:jc w:val="both"/>
        <w:rPr>
          <w:lang w:val="de-DE"/>
        </w:rPr>
      </w:pPr>
    </w:p>
    <w:p w14:paraId="5392F292" w14:textId="77777777" w:rsidR="001527B1" w:rsidRPr="004676F5" w:rsidRDefault="001527B1" w:rsidP="001527B1">
      <w:pPr>
        <w:ind w:firstLine="708"/>
        <w:jc w:val="both"/>
        <w:rPr>
          <w:lang w:val="de-DE"/>
        </w:rPr>
      </w:pPr>
      <w:r w:rsidRPr="004676F5">
        <w:rPr>
          <w:lang w:val="de-DE"/>
        </w:rPr>
        <w:t>Im Verfahren vor dem Amt gilt der Anmelder als berechtigt, das Recht auf das Patent geltend zu machen.</w:t>
      </w:r>
    </w:p>
    <w:p w14:paraId="4770A27B" w14:textId="77777777" w:rsidR="001527B1" w:rsidRPr="004676F5" w:rsidRDefault="001527B1" w:rsidP="001527B1">
      <w:pPr>
        <w:ind w:firstLine="708"/>
        <w:jc w:val="both"/>
        <w:rPr>
          <w:lang w:val="de-DE"/>
        </w:rPr>
      </w:pPr>
    </w:p>
    <w:p w14:paraId="4716218C" w14:textId="77777777" w:rsidR="00CE5A09" w:rsidRPr="004676F5" w:rsidRDefault="00CE5A09" w:rsidP="001527B1">
      <w:pPr>
        <w:ind w:firstLine="708"/>
        <w:jc w:val="both"/>
        <w:rPr>
          <w:lang w:val="de-DE"/>
        </w:rPr>
      </w:pPr>
    </w:p>
    <w:p w14:paraId="3711E209" w14:textId="3B559EE5" w:rsidR="001527B1" w:rsidRPr="004676F5" w:rsidRDefault="00BE0A56" w:rsidP="001527B1">
      <w:pPr>
        <w:ind w:firstLine="708"/>
        <w:jc w:val="both"/>
        <w:rPr>
          <w:lang w:val="de-DE"/>
        </w:rPr>
      </w:pPr>
      <w:r w:rsidRPr="004676F5">
        <w:rPr>
          <w:b/>
          <w:lang w:val="de-DE"/>
        </w:rPr>
        <w:t>Art. </w:t>
      </w:r>
      <w:r w:rsidR="001527B1" w:rsidRPr="004676F5">
        <w:rPr>
          <w:b/>
          <w:lang w:val="de-DE"/>
        </w:rPr>
        <w:t>XI.10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Ist entweder für eine Erfindung, die dem Erfinder oder seinen Rechtsnachfolgern entwendet worden ist, oder unter Verstoß gegen eine gesetzliche oder vertragliche Verpflichtung ein Patent beantragt worden, kann die geschädigte Person unbeschadet aller anderen Rechte oder Klagen verlangen, dass die Anmeldung oder das erteilte Patent ihr als Inhaber übertragen wird.</w:t>
      </w:r>
    </w:p>
    <w:p w14:paraId="44193582" w14:textId="77777777" w:rsidR="001527B1" w:rsidRPr="004676F5" w:rsidRDefault="001527B1" w:rsidP="001527B1">
      <w:pPr>
        <w:ind w:firstLine="708"/>
        <w:jc w:val="both"/>
        <w:rPr>
          <w:lang w:val="de-DE"/>
        </w:rPr>
      </w:pPr>
    </w:p>
    <w:p w14:paraId="16268596" w14:textId="289FDB05"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Hat die geschädigte Person nur Anspruch auf einen Teil der Anmeldung oder des erteilten Patents, kann sie gemäß § 1 verlangen, dass die Anmeldung oder das erteilte Patent ihr als Mitinhaber übertragen wird.</w:t>
      </w:r>
    </w:p>
    <w:p w14:paraId="5EDF784C" w14:textId="77777777" w:rsidR="001527B1" w:rsidRPr="004676F5" w:rsidRDefault="001527B1" w:rsidP="001527B1">
      <w:pPr>
        <w:ind w:firstLine="708"/>
        <w:jc w:val="both"/>
        <w:rPr>
          <w:lang w:val="de-DE"/>
        </w:rPr>
      </w:pPr>
    </w:p>
    <w:p w14:paraId="3E16ED47" w14:textId="420471F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In den Paragraphen 1 und 2 erwähnte Ansprüche müssen spätestens zwei Jahre nach Patenterteilung geltend gemacht werden. Diese Bestimmung ist nicht anwendbar, wenn der Patentinhaber zum Zeitpunkt der Patenterteilung oder des Patenterwerbs wusste, dass er keinen Anspruch auf das Patent hatte.</w:t>
      </w:r>
    </w:p>
    <w:p w14:paraId="10998554" w14:textId="77777777" w:rsidR="001527B1" w:rsidRPr="004676F5" w:rsidRDefault="001527B1" w:rsidP="001527B1">
      <w:pPr>
        <w:jc w:val="both"/>
        <w:rPr>
          <w:lang w:val="de-DE"/>
        </w:rPr>
      </w:pPr>
    </w:p>
    <w:p w14:paraId="6C9C9465" w14:textId="3FA4053E"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Einreichung einer Klage wird in das Register eingetragen. Der formell rechtskräftige Beschluss über eine Klage oder jede andere Beendigung des Verfahrens wird ebenfalls eingetragen. Diese Eintragungen erfolgen auf Antrag des Klägers oder eines Interessehabenden auf Betreiben des Greffiers des Gerichts, bei dem die Sache anhängig gemacht worden ist.</w:t>
      </w:r>
    </w:p>
    <w:p w14:paraId="4DF5DF53" w14:textId="77777777" w:rsidR="001527B1" w:rsidRPr="004676F5" w:rsidRDefault="001527B1" w:rsidP="001527B1">
      <w:pPr>
        <w:ind w:firstLine="708"/>
        <w:jc w:val="both"/>
        <w:rPr>
          <w:lang w:val="de-DE"/>
        </w:rPr>
      </w:pPr>
    </w:p>
    <w:p w14:paraId="6C855E13" w14:textId="77777777" w:rsidR="00CE5A09" w:rsidRPr="004676F5" w:rsidRDefault="00CE5A09" w:rsidP="001527B1">
      <w:pPr>
        <w:ind w:firstLine="708"/>
        <w:jc w:val="both"/>
        <w:rPr>
          <w:lang w:val="de-DE"/>
        </w:rPr>
      </w:pPr>
    </w:p>
    <w:p w14:paraId="5376E075" w14:textId="0E7596E1" w:rsidR="001527B1" w:rsidRPr="004676F5" w:rsidRDefault="00BE0A56" w:rsidP="001527B1">
      <w:pPr>
        <w:ind w:firstLine="708"/>
        <w:jc w:val="both"/>
        <w:rPr>
          <w:lang w:val="de-DE"/>
        </w:rPr>
      </w:pPr>
      <w:r w:rsidRPr="004676F5">
        <w:rPr>
          <w:b/>
          <w:lang w:val="de-DE"/>
        </w:rPr>
        <w:t>Art. </w:t>
      </w:r>
      <w:r w:rsidR="001527B1" w:rsidRPr="004676F5">
        <w:rPr>
          <w:b/>
          <w:lang w:val="de-DE"/>
        </w:rPr>
        <w:t>XI.11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Geht eine Patentanmeldung oder ein Patent aufgrund einer in Artikel XI.10 § 4 erwähnten Klage vollständig auf einen anderen Inhaber über, erlöschen Lizenzen und andere Rechte durch Eintragung des Berechtigten in das Register.</w:t>
      </w:r>
    </w:p>
    <w:p w14:paraId="128DD587" w14:textId="77777777" w:rsidR="001527B1" w:rsidRPr="004676F5" w:rsidRDefault="001527B1" w:rsidP="001527B1">
      <w:pPr>
        <w:ind w:firstLine="708"/>
        <w:jc w:val="both"/>
        <w:rPr>
          <w:lang w:val="de-DE"/>
        </w:rPr>
      </w:pPr>
    </w:p>
    <w:p w14:paraId="66455A88" w14:textId="75F5715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Hat vor Eintragung der Einreichung einer Klage</w:t>
      </w:r>
    </w:p>
    <w:p w14:paraId="0DAEFFFB" w14:textId="77777777" w:rsidR="001527B1" w:rsidRPr="004676F5" w:rsidRDefault="001527B1" w:rsidP="001527B1">
      <w:pPr>
        <w:ind w:firstLine="708"/>
        <w:jc w:val="both"/>
        <w:rPr>
          <w:lang w:val="de-DE"/>
        </w:rPr>
      </w:pPr>
    </w:p>
    <w:p w14:paraId="0D9EFB3B" w14:textId="77777777" w:rsidR="001527B1" w:rsidRPr="004676F5" w:rsidRDefault="001527B1" w:rsidP="001527B1">
      <w:pPr>
        <w:ind w:firstLine="708"/>
        <w:jc w:val="both"/>
        <w:rPr>
          <w:lang w:val="de-DE"/>
        </w:rPr>
      </w:pPr>
      <w:r w:rsidRPr="004676F5">
        <w:rPr>
          <w:i/>
          <w:lang w:val="de-DE"/>
        </w:rPr>
        <w:t>a)</w:t>
      </w:r>
      <w:r w:rsidRPr="004676F5">
        <w:rPr>
          <w:lang w:val="de-DE"/>
        </w:rPr>
        <w:t xml:space="preserve"> der Patentanmelder oder der Patentinhaber die Erfindung in Belgien in Benutzung genommen oder dazu wirkliche und ernsthafte Vorbereitungen getroffen oder</w:t>
      </w:r>
    </w:p>
    <w:p w14:paraId="2718BF02" w14:textId="77777777" w:rsidR="001527B1" w:rsidRPr="004676F5" w:rsidRDefault="001527B1" w:rsidP="001527B1">
      <w:pPr>
        <w:ind w:firstLine="708"/>
        <w:jc w:val="both"/>
        <w:rPr>
          <w:lang w:val="de-DE"/>
        </w:rPr>
      </w:pPr>
    </w:p>
    <w:p w14:paraId="7B646885" w14:textId="77777777" w:rsidR="001527B1" w:rsidRPr="004676F5" w:rsidRDefault="001527B1" w:rsidP="001527B1">
      <w:pPr>
        <w:ind w:firstLine="708"/>
        <w:jc w:val="both"/>
        <w:rPr>
          <w:lang w:val="de-DE"/>
        </w:rPr>
      </w:pPr>
      <w:r w:rsidRPr="004676F5">
        <w:rPr>
          <w:i/>
          <w:lang w:val="de-DE"/>
        </w:rPr>
        <w:lastRenderedPageBreak/>
        <w:t>b)</w:t>
      </w:r>
      <w:r w:rsidRPr="004676F5">
        <w:rPr>
          <w:lang w:val="de-DE"/>
        </w:rPr>
        <w:t xml:space="preserve"> ein Lizenznehmer eine Lizenz erhalten und die Erfindung auf belgischem Staatsgebiet in Benutzung genommen oder dazu wirkliche und ernsthafte Vorbereitungen getroffen,</w:t>
      </w:r>
    </w:p>
    <w:p w14:paraId="560AAA61" w14:textId="77777777" w:rsidR="001527B1" w:rsidRPr="004676F5" w:rsidRDefault="001527B1" w:rsidP="001527B1">
      <w:pPr>
        <w:jc w:val="both"/>
        <w:rPr>
          <w:lang w:val="de-DE"/>
        </w:rPr>
      </w:pPr>
    </w:p>
    <w:p w14:paraId="72373303" w14:textId="77777777" w:rsidR="001527B1" w:rsidRPr="004676F5" w:rsidRDefault="001527B1" w:rsidP="001527B1">
      <w:pPr>
        <w:ind w:firstLine="708"/>
        <w:jc w:val="both"/>
        <w:rPr>
          <w:lang w:val="de-DE"/>
        </w:rPr>
      </w:pPr>
      <w:r w:rsidRPr="004676F5">
        <w:rPr>
          <w:lang w:val="de-DE"/>
        </w:rPr>
        <w:t>können sie diese Benutzung fortsetzen, insofern sie bei dem im Register eingetragenen neuen Patentanmelder oder Patentinhaber eine nicht ausschließliche Lizenz beantragen. Dieser Antrag muss innerhalb der vom König vorgeschriebenen Frist eingereicht werden. Die Lizenz muss für einen vernünftigen Zeitraum und unter vernünftigen Bedingungen erteilt werden.</w:t>
      </w:r>
    </w:p>
    <w:p w14:paraId="4AACE9E2" w14:textId="77777777" w:rsidR="001527B1" w:rsidRPr="004676F5" w:rsidRDefault="001527B1" w:rsidP="001527B1">
      <w:pPr>
        <w:ind w:firstLine="708"/>
        <w:jc w:val="both"/>
        <w:rPr>
          <w:lang w:val="de-DE"/>
        </w:rPr>
      </w:pPr>
    </w:p>
    <w:p w14:paraId="66955D3D" w14:textId="75E8492D"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vorhergehende Paragraph ist nicht anwendbar, wenn der Patentanmelder oder der Patentinhaber oder der Lizenznehmer zu Beginn der Benutzung der Erfindung oder der dazu getroffenen Vorbereitungen bösgläubig war.</w:t>
      </w:r>
    </w:p>
    <w:p w14:paraId="0B26DAB5" w14:textId="77777777" w:rsidR="001527B1" w:rsidRPr="004676F5" w:rsidRDefault="001527B1" w:rsidP="001527B1">
      <w:pPr>
        <w:ind w:firstLine="708"/>
        <w:jc w:val="both"/>
        <w:rPr>
          <w:lang w:val="de-DE"/>
        </w:rPr>
      </w:pPr>
    </w:p>
    <w:p w14:paraId="6CA11AA8" w14:textId="77777777" w:rsidR="00CE5A09" w:rsidRPr="004676F5" w:rsidRDefault="00CE5A09" w:rsidP="001527B1">
      <w:pPr>
        <w:ind w:firstLine="708"/>
        <w:jc w:val="both"/>
        <w:rPr>
          <w:lang w:val="de-DE"/>
        </w:rPr>
      </w:pPr>
    </w:p>
    <w:p w14:paraId="7B88951D" w14:textId="67696E4F" w:rsidR="001527B1" w:rsidRPr="004676F5" w:rsidRDefault="00BE0A56" w:rsidP="001527B1">
      <w:pPr>
        <w:ind w:firstLine="708"/>
        <w:jc w:val="both"/>
        <w:rPr>
          <w:lang w:val="de-DE"/>
        </w:rPr>
      </w:pPr>
      <w:r w:rsidRPr="004676F5">
        <w:rPr>
          <w:b/>
          <w:lang w:val="de-DE"/>
        </w:rPr>
        <w:t>Art. </w:t>
      </w:r>
      <w:r w:rsidR="001527B1" w:rsidRPr="004676F5">
        <w:rPr>
          <w:b/>
          <w:lang w:val="de-DE"/>
        </w:rPr>
        <w:t>XI.12</w:t>
      </w:r>
      <w:r w:rsidR="001527B1" w:rsidRPr="004676F5">
        <w:rPr>
          <w:lang w:val="de-DE"/>
        </w:rPr>
        <w:t> </w:t>
      </w:r>
      <w:r w:rsidR="005B7A5C" w:rsidRPr="004676F5">
        <w:rPr>
          <w:lang w:val="de-DE"/>
        </w:rPr>
        <w:t>- </w:t>
      </w:r>
      <w:r w:rsidR="001527B1" w:rsidRPr="004676F5">
        <w:rPr>
          <w:lang w:val="de-DE"/>
        </w:rPr>
        <w:t>Die Bestimmungen der Artikel XI.10 und XI.11 sind nicht anwendbar, wenn der Streitfall in Bezug auf die Inhaberschaft einer Patentanmeldung oder eines Patents vor ein Schiedsgericht gebracht wird.</w:t>
      </w:r>
    </w:p>
    <w:p w14:paraId="41CD83EE" w14:textId="77777777" w:rsidR="001527B1" w:rsidRPr="004676F5" w:rsidRDefault="001527B1" w:rsidP="001527B1">
      <w:pPr>
        <w:ind w:firstLine="708"/>
        <w:jc w:val="both"/>
        <w:rPr>
          <w:lang w:val="de-DE"/>
        </w:rPr>
      </w:pPr>
    </w:p>
    <w:p w14:paraId="044B07D3" w14:textId="77777777" w:rsidR="00CE5A09" w:rsidRPr="004676F5" w:rsidRDefault="00CE5A09" w:rsidP="001527B1">
      <w:pPr>
        <w:ind w:firstLine="708"/>
        <w:jc w:val="both"/>
        <w:rPr>
          <w:lang w:val="de-DE"/>
        </w:rPr>
      </w:pPr>
    </w:p>
    <w:p w14:paraId="4D77CC45" w14:textId="3C611251" w:rsidR="001527B1" w:rsidRPr="004676F5" w:rsidRDefault="00BE0A56" w:rsidP="001527B1">
      <w:pPr>
        <w:ind w:firstLine="708"/>
        <w:jc w:val="both"/>
        <w:rPr>
          <w:lang w:val="de-DE"/>
        </w:rPr>
      </w:pPr>
      <w:r w:rsidRPr="004676F5">
        <w:rPr>
          <w:b/>
          <w:lang w:val="de-DE"/>
        </w:rPr>
        <w:t>Art. </w:t>
      </w:r>
      <w:r w:rsidR="001527B1" w:rsidRPr="004676F5">
        <w:rPr>
          <w:b/>
          <w:lang w:val="de-DE"/>
        </w:rPr>
        <w:t>XI.13</w:t>
      </w:r>
      <w:r w:rsidR="001527B1" w:rsidRPr="004676F5">
        <w:rPr>
          <w:lang w:val="de-DE"/>
        </w:rPr>
        <w:t> </w:t>
      </w:r>
      <w:r w:rsidR="005B7A5C" w:rsidRPr="004676F5">
        <w:rPr>
          <w:lang w:val="de-DE"/>
        </w:rPr>
        <w:t>- </w:t>
      </w:r>
      <w:r w:rsidR="001527B1" w:rsidRPr="004676F5">
        <w:rPr>
          <w:lang w:val="de-DE"/>
        </w:rPr>
        <w:t>Der Erfinder wird im Patent genannt, außer wenn er ausdrücklich das Gegenteil beantragt.</w:t>
      </w:r>
    </w:p>
    <w:p w14:paraId="07E449C3" w14:textId="77777777" w:rsidR="001527B1" w:rsidRPr="004676F5" w:rsidRDefault="001527B1" w:rsidP="001527B1">
      <w:pPr>
        <w:ind w:firstLine="708"/>
        <w:jc w:val="both"/>
        <w:rPr>
          <w:lang w:val="de-DE"/>
        </w:rPr>
      </w:pPr>
    </w:p>
    <w:p w14:paraId="5BEE7762" w14:textId="77777777" w:rsidR="001527B1" w:rsidRPr="004676F5" w:rsidRDefault="001527B1" w:rsidP="001527B1">
      <w:pPr>
        <w:ind w:firstLine="708"/>
        <w:jc w:val="both"/>
        <w:rPr>
          <w:lang w:val="de-DE"/>
        </w:rPr>
      </w:pPr>
      <w:r w:rsidRPr="004676F5">
        <w:rPr>
          <w:lang w:val="de-DE"/>
        </w:rPr>
        <w:t>Der König bestimmt die Modalitäten und Fristen für die Übermittlung des in vorhergehendem Absatz erwähnten Antrags an das Amt.</w:t>
      </w:r>
    </w:p>
    <w:p w14:paraId="6666D79F" w14:textId="77777777" w:rsidR="001527B1" w:rsidRPr="004676F5" w:rsidRDefault="001527B1" w:rsidP="001527B1">
      <w:pPr>
        <w:ind w:firstLine="708"/>
        <w:jc w:val="both"/>
        <w:rPr>
          <w:lang w:val="de-DE"/>
        </w:rPr>
      </w:pPr>
    </w:p>
    <w:p w14:paraId="126AD39E" w14:textId="77777777" w:rsidR="00CE5A09" w:rsidRPr="004676F5" w:rsidRDefault="00CE5A09" w:rsidP="001527B1">
      <w:pPr>
        <w:ind w:firstLine="708"/>
        <w:jc w:val="both"/>
        <w:rPr>
          <w:lang w:val="de-DE"/>
        </w:rPr>
      </w:pPr>
    </w:p>
    <w:p w14:paraId="27451A9C" w14:textId="26C76992" w:rsidR="001527B1" w:rsidRPr="004676F5" w:rsidRDefault="001527B1" w:rsidP="001527B1">
      <w:pPr>
        <w:jc w:val="center"/>
        <w:rPr>
          <w:lang w:val="de-DE"/>
        </w:rPr>
      </w:pPr>
      <w:r w:rsidRPr="004676F5">
        <w:rPr>
          <w:i/>
          <w:lang w:val="de-DE"/>
        </w:rPr>
        <w:t>Abschnitt 3 </w:t>
      </w:r>
      <w:r w:rsidR="005B7A5C" w:rsidRPr="004676F5">
        <w:rPr>
          <w:i/>
          <w:lang w:val="de-DE"/>
        </w:rPr>
        <w:t>- </w:t>
      </w:r>
      <w:r w:rsidRPr="004676F5">
        <w:rPr>
          <w:lang w:val="de-DE"/>
        </w:rPr>
        <w:t>Erteilung des Erfindungspatents</w:t>
      </w:r>
    </w:p>
    <w:p w14:paraId="211A8DB8" w14:textId="77777777" w:rsidR="001527B1" w:rsidRPr="004676F5" w:rsidRDefault="001527B1" w:rsidP="001527B1">
      <w:pPr>
        <w:jc w:val="both"/>
        <w:rPr>
          <w:lang w:val="de-DE"/>
        </w:rPr>
      </w:pPr>
    </w:p>
    <w:p w14:paraId="12BB846B" w14:textId="77777777" w:rsidR="00CE5A09" w:rsidRPr="004676F5" w:rsidRDefault="00CE5A09" w:rsidP="001527B1">
      <w:pPr>
        <w:jc w:val="both"/>
        <w:rPr>
          <w:lang w:val="de-DE"/>
        </w:rPr>
      </w:pPr>
    </w:p>
    <w:p w14:paraId="3ED3B5AB" w14:textId="1D14B3BA" w:rsidR="001527B1" w:rsidRPr="004676F5" w:rsidRDefault="00BE0A56" w:rsidP="001527B1">
      <w:pPr>
        <w:ind w:firstLine="708"/>
        <w:jc w:val="both"/>
        <w:rPr>
          <w:lang w:val="de-DE"/>
        </w:rPr>
      </w:pPr>
      <w:r w:rsidRPr="004676F5">
        <w:rPr>
          <w:b/>
          <w:lang w:val="de-DE"/>
        </w:rPr>
        <w:t>Art. </w:t>
      </w:r>
      <w:r w:rsidR="001527B1" w:rsidRPr="004676F5">
        <w:rPr>
          <w:b/>
          <w:lang w:val="de-DE"/>
        </w:rPr>
        <w:t>XI.14</w:t>
      </w:r>
      <w:r w:rsidR="001527B1" w:rsidRPr="004676F5">
        <w:rPr>
          <w:lang w:val="de-DE"/>
        </w:rPr>
        <w:t> </w:t>
      </w:r>
      <w:r w:rsidR="005B7A5C" w:rsidRPr="004676F5">
        <w:rPr>
          <w:lang w:val="de-DE"/>
        </w:rPr>
        <w:t>- </w:t>
      </w:r>
      <w:r w:rsidR="001527B1" w:rsidRPr="004676F5">
        <w:rPr>
          <w:lang w:val="de-DE"/>
        </w:rPr>
        <w:t>Wer ein Erfindungspatent erhalten will, muss eine Anmeldung einreichen. Diese Anmeldung muss den Bedingungen und Formen genügen, die durch vorliegenden Titel und vom König festgelegt werden.</w:t>
      </w:r>
    </w:p>
    <w:p w14:paraId="5AED2ED2" w14:textId="77777777" w:rsidR="001527B1" w:rsidRPr="004676F5" w:rsidRDefault="001527B1" w:rsidP="001527B1">
      <w:pPr>
        <w:ind w:firstLine="708"/>
        <w:jc w:val="both"/>
        <w:rPr>
          <w:lang w:val="de-DE"/>
        </w:rPr>
      </w:pPr>
    </w:p>
    <w:p w14:paraId="582A15FD" w14:textId="77777777" w:rsidR="00CE5A09" w:rsidRPr="004676F5" w:rsidRDefault="00CE5A09" w:rsidP="001527B1">
      <w:pPr>
        <w:ind w:firstLine="708"/>
        <w:jc w:val="both"/>
        <w:rPr>
          <w:lang w:val="de-DE"/>
        </w:rPr>
      </w:pPr>
    </w:p>
    <w:p w14:paraId="619A73BC" w14:textId="2CBA255B" w:rsidR="001527B1" w:rsidRPr="004676F5" w:rsidRDefault="00BE0A56" w:rsidP="001527B1">
      <w:pPr>
        <w:ind w:firstLine="708"/>
        <w:jc w:val="both"/>
        <w:rPr>
          <w:lang w:val="de-DE"/>
        </w:rPr>
      </w:pPr>
      <w:r w:rsidRPr="004676F5">
        <w:rPr>
          <w:b/>
          <w:lang w:val="de-DE"/>
        </w:rPr>
        <w:t>Art. </w:t>
      </w:r>
      <w:r w:rsidR="001527B1" w:rsidRPr="004676F5">
        <w:rPr>
          <w:b/>
          <w:lang w:val="de-DE"/>
        </w:rPr>
        <w:t>XI.15</w:t>
      </w:r>
      <w:r w:rsidR="001527B1" w:rsidRPr="004676F5">
        <w:rPr>
          <w:lang w:val="de-DE"/>
        </w:rPr>
        <w:t> </w:t>
      </w:r>
      <w:r w:rsidR="005B7A5C" w:rsidRPr="004676F5">
        <w:rPr>
          <w:lang w:val="de-DE"/>
        </w:rPr>
        <w:t>- </w:t>
      </w:r>
      <w:r w:rsidR="001527B1" w:rsidRPr="004676F5">
        <w:rPr>
          <w:lang w:val="de-DE"/>
        </w:rPr>
        <w:t>Unbeschadet der Anwendung der Bestimmungen von Kapitel 3 kann die Einreichung der Patentanmeldung beim Amt entweder persönlich, auf dem Postweg oder auf eine andere vom König festgelegte Weise erfolgen.</w:t>
      </w:r>
    </w:p>
    <w:p w14:paraId="7D56D18E" w14:textId="77777777" w:rsidR="001527B1" w:rsidRPr="004676F5" w:rsidRDefault="001527B1" w:rsidP="001527B1">
      <w:pPr>
        <w:ind w:firstLine="708"/>
        <w:jc w:val="both"/>
        <w:rPr>
          <w:lang w:val="de-DE"/>
        </w:rPr>
      </w:pPr>
    </w:p>
    <w:p w14:paraId="06B221C3" w14:textId="77777777" w:rsidR="001527B1" w:rsidRPr="004676F5" w:rsidRDefault="001527B1" w:rsidP="001527B1">
      <w:pPr>
        <w:ind w:firstLine="708"/>
        <w:jc w:val="both"/>
        <w:rPr>
          <w:lang w:val="de-DE"/>
        </w:rPr>
      </w:pPr>
      <w:r w:rsidRPr="004676F5">
        <w:rPr>
          <w:lang w:val="de-DE"/>
        </w:rPr>
        <w:t>In einer Empfangsbescheinigung, die kostenlos von dem zu diesem Zweck vom Minister bestellten Beamten des Amtes erstellt wird, wird jede Einreichung mit Vermerk des Empfangsdatums der Schriftstücke festgestellt. Die Empfangsbescheinigung wird dem Anmelder oder seinem Vertreter gemäß den vom König festgelegten Modalitäten notifiziert.</w:t>
      </w:r>
    </w:p>
    <w:p w14:paraId="7AC5DBFA" w14:textId="77777777" w:rsidR="001527B1" w:rsidRPr="004676F5" w:rsidRDefault="001527B1" w:rsidP="001527B1">
      <w:pPr>
        <w:ind w:firstLine="708"/>
        <w:jc w:val="both"/>
        <w:rPr>
          <w:lang w:val="de-DE"/>
        </w:rPr>
      </w:pPr>
    </w:p>
    <w:p w14:paraId="1394F11F" w14:textId="77777777" w:rsidR="00CE5A09" w:rsidRPr="004676F5" w:rsidRDefault="00CE5A09" w:rsidP="001527B1">
      <w:pPr>
        <w:ind w:firstLine="708"/>
        <w:jc w:val="both"/>
        <w:rPr>
          <w:lang w:val="de-DE"/>
        </w:rPr>
      </w:pPr>
    </w:p>
    <w:p w14:paraId="53F2E9EF" w14:textId="475E60FB" w:rsidR="001527B1" w:rsidRPr="004676F5" w:rsidRDefault="00BE0A56" w:rsidP="001527B1">
      <w:pPr>
        <w:ind w:firstLine="708"/>
        <w:jc w:val="both"/>
        <w:rPr>
          <w:lang w:val="de-DE"/>
        </w:rPr>
      </w:pPr>
      <w:r w:rsidRPr="004676F5">
        <w:rPr>
          <w:b/>
          <w:lang w:val="de-DE"/>
        </w:rPr>
        <w:t>Art. </w:t>
      </w:r>
      <w:r w:rsidR="001527B1" w:rsidRPr="004676F5">
        <w:rPr>
          <w:b/>
          <w:lang w:val="de-DE"/>
        </w:rPr>
        <w:t>XI.16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Patentanmeldung muss folgende Unterlagen enthalten:</w:t>
      </w:r>
    </w:p>
    <w:p w14:paraId="29054E17" w14:textId="77777777" w:rsidR="001527B1" w:rsidRPr="004676F5" w:rsidRDefault="001527B1" w:rsidP="001527B1">
      <w:pPr>
        <w:ind w:firstLine="708"/>
        <w:jc w:val="both"/>
        <w:rPr>
          <w:lang w:val="de-DE"/>
        </w:rPr>
      </w:pPr>
    </w:p>
    <w:p w14:paraId="4B91A125" w14:textId="77777777" w:rsidR="001527B1" w:rsidRPr="004676F5" w:rsidRDefault="001527B1" w:rsidP="001527B1">
      <w:pPr>
        <w:ind w:firstLine="708"/>
        <w:jc w:val="both"/>
        <w:rPr>
          <w:lang w:val="de-DE"/>
        </w:rPr>
      </w:pPr>
      <w:r w:rsidRPr="004676F5">
        <w:rPr>
          <w:lang w:val="de-DE"/>
        </w:rPr>
        <w:t>1. einen an den Minister gerichteten Antrag auf Erteilung eines Patents,</w:t>
      </w:r>
    </w:p>
    <w:p w14:paraId="2CDFEBA6" w14:textId="77777777" w:rsidR="001527B1" w:rsidRPr="004676F5" w:rsidRDefault="001527B1" w:rsidP="001527B1">
      <w:pPr>
        <w:ind w:firstLine="708"/>
        <w:jc w:val="both"/>
        <w:rPr>
          <w:lang w:val="de-DE"/>
        </w:rPr>
      </w:pPr>
    </w:p>
    <w:p w14:paraId="256005AA" w14:textId="77777777" w:rsidR="001527B1" w:rsidRPr="004676F5" w:rsidRDefault="001527B1" w:rsidP="001527B1">
      <w:pPr>
        <w:ind w:firstLine="708"/>
        <w:jc w:val="both"/>
        <w:rPr>
          <w:lang w:val="de-DE"/>
        </w:rPr>
      </w:pPr>
      <w:r w:rsidRPr="004676F5">
        <w:rPr>
          <w:lang w:val="de-DE"/>
        </w:rPr>
        <w:t>2. eine Beschreibung der Erfindung,</w:t>
      </w:r>
    </w:p>
    <w:p w14:paraId="6FC613BC" w14:textId="77777777" w:rsidR="001527B1" w:rsidRPr="004676F5" w:rsidRDefault="001527B1" w:rsidP="001527B1">
      <w:pPr>
        <w:ind w:firstLine="708"/>
        <w:jc w:val="both"/>
        <w:rPr>
          <w:lang w:val="de-DE"/>
        </w:rPr>
      </w:pPr>
    </w:p>
    <w:p w14:paraId="1CF0105B" w14:textId="77777777" w:rsidR="001527B1" w:rsidRPr="004676F5" w:rsidRDefault="001527B1" w:rsidP="001527B1">
      <w:pPr>
        <w:ind w:firstLine="708"/>
        <w:jc w:val="both"/>
        <w:rPr>
          <w:lang w:val="de-DE"/>
        </w:rPr>
      </w:pPr>
      <w:r w:rsidRPr="004676F5">
        <w:rPr>
          <w:lang w:val="de-DE"/>
        </w:rPr>
        <w:t>3. einen oder mehrere Patentansprüche,</w:t>
      </w:r>
    </w:p>
    <w:p w14:paraId="40B02CAE" w14:textId="77777777" w:rsidR="001527B1" w:rsidRPr="004676F5" w:rsidRDefault="001527B1" w:rsidP="001527B1">
      <w:pPr>
        <w:jc w:val="both"/>
        <w:rPr>
          <w:lang w:val="de-DE"/>
        </w:rPr>
      </w:pPr>
    </w:p>
    <w:p w14:paraId="41AEDCD6" w14:textId="77777777" w:rsidR="001527B1" w:rsidRPr="004676F5" w:rsidRDefault="001527B1" w:rsidP="001527B1">
      <w:pPr>
        <w:ind w:firstLine="708"/>
        <w:jc w:val="both"/>
        <w:rPr>
          <w:lang w:val="de-DE"/>
        </w:rPr>
      </w:pPr>
      <w:r w:rsidRPr="004676F5">
        <w:rPr>
          <w:lang w:val="de-DE"/>
        </w:rPr>
        <w:lastRenderedPageBreak/>
        <w:t>4. die Zeichnungen, auf die sich die Beschreibung oder die Patentansprüche beziehen,</w:t>
      </w:r>
    </w:p>
    <w:p w14:paraId="6C5ADE79" w14:textId="77777777" w:rsidR="001527B1" w:rsidRPr="004676F5" w:rsidRDefault="001527B1" w:rsidP="001527B1">
      <w:pPr>
        <w:jc w:val="both"/>
        <w:rPr>
          <w:lang w:val="de-DE"/>
        </w:rPr>
      </w:pPr>
    </w:p>
    <w:p w14:paraId="7515B4E6" w14:textId="77777777" w:rsidR="001527B1" w:rsidRPr="004676F5" w:rsidRDefault="001527B1" w:rsidP="001527B1">
      <w:pPr>
        <w:ind w:firstLine="708"/>
        <w:jc w:val="both"/>
        <w:rPr>
          <w:lang w:val="de-DE"/>
        </w:rPr>
      </w:pPr>
      <w:r w:rsidRPr="004676F5">
        <w:rPr>
          <w:lang w:val="de-DE"/>
        </w:rPr>
        <w:t>5. eine Zusammenfassung,</w:t>
      </w:r>
    </w:p>
    <w:p w14:paraId="5CC9DFF4" w14:textId="77777777" w:rsidR="001527B1" w:rsidRPr="004676F5" w:rsidRDefault="001527B1" w:rsidP="001527B1">
      <w:pPr>
        <w:jc w:val="both"/>
        <w:rPr>
          <w:lang w:val="de-DE"/>
        </w:rPr>
      </w:pPr>
    </w:p>
    <w:p w14:paraId="47A16BFB" w14:textId="77777777" w:rsidR="001527B1" w:rsidRPr="004676F5" w:rsidRDefault="001527B1" w:rsidP="001527B1">
      <w:pPr>
        <w:ind w:firstLine="708"/>
        <w:jc w:val="both"/>
        <w:rPr>
          <w:lang w:val="de-DE"/>
        </w:rPr>
      </w:pPr>
      <w:r w:rsidRPr="004676F5">
        <w:rPr>
          <w:lang w:val="de-DE"/>
        </w:rPr>
        <w:t>6. Angaben zum geografischen Herkunftsort des biologischen Materials pflanzlichen oder tierischen Ursprungs, das der Erfindung zu Grunde liegt, falls dieser bekannt ist. Der König kann die anwendbaren Bedingungen und Ausführungsmaßnahmen festlegen,</w:t>
      </w:r>
    </w:p>
    <w:p w14:paraId="16B85BF2" w14:textId="77777777" w:rsidR="001527B1" w:rsidRPr="004676F5" w:rsidRDefault="001527B1" w:rsidP="001527B1">
      <w:pPr>
        <w:ind w:firstLine="708"/>
        <w:jc w:val="both"/>
        <w:rPr>
          <w:lang w:val="de-DE"/>
        </w:rPr>
      </w:pPr>
    </w:p>
    <w:p w14:paraId="39AC0BA3" w14:textId="77777777" w:rsidR="001527B1" w:rsidRPr="004676F5" w:rsidRDefault="001527B1" w:rsidP="001527B1">
      <w:pPr>
        <w:ind w:firstLine="708"/>
        <w:jc w:val="both"/>
        <w:rPr>
          <w:lang w:val="de-DE"/>
        </w:rPr>
      </w:pPr>
      <w:r w:rsidRPr="004676F5">
        <w:rPr>
          <w:lang w:val="de-DE"/>
        </w:rPr>
        <w:t>7. die Bestimmung des Erfinders oder den in Artikel XI.13 Absatz 1 erwähnten Antrag.</w:t>
      </w:r>
    </w:p>
    <w:p w14:paraId="033D143B" w14:textId="77777777" w:rsidR="0013666A" w:rsidRPr="004676F5" w:rsidRDefault="0013666A" w:rsidP="001527B1">
      <w:pPr>
        <w:ind w:firstLine="708"/>
        <w:jc w:val="both"/>
        <w:rPr>
          <w:lang w:val="de-DE"/>
        </w:rPr>
      </w:pPr>
    </w:p>
    <w:p w14:paraId="647E508C" w14:textId="77777777" w:rsidR="0013666A" w:rsidRPr="004676F5" w:rsidRDefault="0013666A" w:rsidP="0013666A">
      <w:pPr>
        <w:ind w:firstLine="720"/>
        <w:jc w:val="both"/>
        <w:rPr>
          <w:lang w:val="de-DE"/>
        </w:rPr>
      </w:pPr>
      <w:r w:rsidRPr="004676F5">
        <w:rPr>
          <w:lang w:val="de-DE"/>
        </w:rPr>
        <w:t>[Die Patentanmeldung wird in der Landessprache abgefasst, die durch die Vorschriften über den Sprachengebrauch vorgeschrieben ist, mit Ausnahme der in Absatz 1 Nr. 2, 4 und 5 erwähnten Unterlagen, die entweder in derselben Landessprache oder in Englisch abgefasst sind.</w:t>
      </w:r>
    </w:p>
    <w:p w14:paraId="5CE4F8A1" w14:textId="77777777" w:rsidR="0013666A" w:rsidRPr="004676F5" w:rsidRDefault="0013666A" w:rsidP="0013666A">
      <w:pPr>
        <w:ind w:firstLine="720"/>
        <w:jc w:val="both"/>
        <w:rPr>
          <w:lang w:val="de-DE"/>
        </w:rPr>
      </w:pPr>
    </w:p>
    <w:p w14:paraId="23D18902" w14:textId="6AF6CBB2" w:rsidR="0013666A" w:rsidRPr="004676F5" w:rsidRDefault="0013666A" w:rsidP="0013666A">
      <w:pPr>
        <w:ind w:firstLine="708"/>
        <w:jc w:val="both"/>
        <w:rPr>
          <w:lang w:val="de-DE"/>
        </w:rPr>
      </w:pPr>
      <w:r w:rsidRPr="004676F5">
        <w:rPr>
          <w:lang w:val="de-DE"/>
        </w:rPr>
        <w:t>Unbeschadet des Absatzes 2 dürfen die Patentansprüche am Tag der Einreichung der Patentanmeldung in Englisch abgefasst sein. Die Übersetzung der Patentansprüche in die durch die Vorschriften über den Sprachengebrauch vorgeschriebene Landessprache wird innerhalb der vom König festgelegten Frist eingereicht.]</w:t>
      </w:r>
    </w:p>
    <w:p w14:paraId="184732F3" w14:textId="77777777" w:rsidR="001527B1" w:rsidRPr="004676F5" w:rsidRDefault="001527B1" w:rsidP="001527B1">
      <w:pPr>
        <w:ind w:firstLine="708"/>
        <w:jc w:val="both"/>
        <w:rPr>
          <w:lang w:val="de-DE"/>
        </w:rPr>
      </w:pPr>
    </w:p>
    <w:p w14:paraId="7E7A59BB" w14:textId="5084CD29"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Für die Patentanmeldung ist eine Anmeldegebühr zu zahlen; der Nachweis für die Zahlung dieser Gebühr muss dem Amt spätestens einen Monat nach Einreichung der Anmeldung zukommen.</w:t>
      </w:r>
    </w:p>
    <w:p w14:paraId="776F1E8E" w14:textId="77777777" w:rsidR="0013666A" w:rsidRPr="004676F5" w:rsidRDefault="0013666A" w:rsidP="0013666A">
      <w:pPr>
        <w:jc w:val="both"/>
        <w:rPr>
          <w:lang w:val="de-DE"/>
        </w:rPr>
      </w:pPr>
    </w:p>
    <w:p w14:paraId="3ACA7B61" w14:textId="646C3810" w:rsidR="0013666A" w:rsidRPr="004676F5" w:rsidRDefault="0013666A" w:rsidP="0013666A">
      <w:pPr>
        <w:jc w:val="both"/>
        <w:rPr>
          <w:i/>
          <w:iCs/>
          <w:lang w:val="de-DE"/>
        </w:rPr>
      </w:pPr>
      <w:r w:rsidRPr="004676F5">
        <w:rPr>
          <w:i/>
          <w:iCs/>
          <w:lang w:val="de-DE"/>
        </w:rPr>
        <w:t>[Art. XI.16 § 1 Abs. 2 und 3 eingefügt durch Art. 2 des G. vom 25. September 2022 (B.S. vom 24. Oktober 2022)]</w:t>
      </w:r>
    </w:p>
    <w:p w14:paraId="36D169BF" w14:textId="77777777" w:rsidR="001527B1" w:rsidRPr="004676F5" w:rsidRDefault="001527B1" w:rsidP="001527B1">
      <w:pPr>
        <w:ind w:firstLine="708"/>
        <w:jc w:val="both"/>
        <w:rPr>
          <w:lang w:val="de-DE"/>
        </w:rPr>
      </w:pPr>
    </w:p>
    <w:p w14:paraId="1AD2A652" w14:textId="77777777" w:rsidR="00CE5A09" w:rsidRPr="004676F5" w:rsidRDefault="00CE5A09" w:rsidP="001527B1">
      <w:pPr>
        <w:ind w:firstLine="708"/>
        <w:jc w:val="both"/>
        <w:rPr>
          <w:lang w:val="de-DE"/>
        </w:rPr>
      </w:pPr>
    </w:p>
    <w:p w14:paraId="1E435AC7" w14:textId="7E5B6D84" w:rsidR="001527B1" w:rsidRPr="004676F5" w:rsidRDefault="00BE0A56" w:rsidP="001527B1">
      <w:pPr>
        <w:ind w:firstLine="708"/>
        <w:jc w:val="both"/>
        <w:rPr>
          <w:lang w:val="de-DE"/>
        </w:rPr>
      </w:pPr>
      <w:r w:rsidRPr="004676F5">
        <w:rPr>
          <w:b/>
          <w:lang w:val="de-DE"/>
        </w:rPr>
        <w:t>Art. </w:t>
      </w:r>
      <w:r w:rsidR="001527B1" w:rsidRPr="004676F5">
        <w:rPr>
          <w:b/>
          <w:lang w:val="de-DE"/>
        </w:rPr>
        <w:t>XI.17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Insofern den Bestimmungen von Artikel XI.15 genügt wurde und vorbehaltlich der Bestimmungen der Paragraphen 4 bis 9, ist der Anmeldetag der Patentanmeldung der Tag, an dem das Amt alle folgenden Bestandteile vom Anmelder erhalten hat:</w:t>
      </w:r>
    </w:p>
    <w:p w14:paraId="18FE469B" w14:textId="77777777" w:rsidR="001527B1" w:rsidRPr="004676F5" w:rsidRDefault="001527B1" w:rsidP="001527B1">
      <w:pPr>
        <w:ind w:firstLine="708"/>
        <w:jc w:val="both"/>
        <w:rPr>
          <w:lang w:val="de-DE"/>
        </w:rPr>
      </w:pPr>
    </w:p>
    <w:p w14:paraId="6DE778A1" w14:textId="77777777" w:rsidR="001527B1" w:rsidRPr="004676F5" w:rsidRDefault="001527B1" w:rsidP="001527B1">
      <w:pPr>
        <w:ind w:firstLine="708"/>
        <w:jc w:val="both"/>
        <w:rPr>
          <w:lang w:val="de-DE"/>
        </w:rPr>
      </w:pPr>
      <w:r w:rsidRPr="004676F5">
        <w:rPr>
          <w:lang w:val="de-DE"/>
        </w:rPr>
        <w:t>1. eine ausdrückliche oder stillschweigende Angabe, dass die Bestandteile eine Patentanmeldung begründen sollen,</w:t>
      </w:r>
    </w:p>
    <w:p w14:paraId="640BADE6" w14:textId="77777777" w:rsidR="001527B1" w:rsidRPr="004676F5" w:rsidRDefault="001527B1" w:rsidP="001527B1">
      <w:pPr>
        <w:ind w:firstLine="708"/>
        <w:jc w:val="both"/>
        <w:rPr>
          <w:lang w:val="de-DE"/>
        </w:rPr>
      </w:pPr>
    </w:p>
    <w:p w14:paraId="2F1B42AC" w14:textId="77777777" w:rsidR="001527B1" w:rsidRPr="004676F5" w:rsidRDefault="001527B1" w:rsidP="001527B1">
      <w:pPr>
        <w:ind w:firstLine="708"/>
        <w:jc w:val="both"/>
        <w:rPr>
          <w:lang w:val="de-DE"/>
        </w:rPr>
      </w:pPr>
      <w:r w:rsidRPr="004676F5">
        <w:rPr>
          <w:lang w:val="de-DE"/>
        </w:rPr>
        <w:t>2. Angaben, die es erlauben, die Identität des Anmelders festzustellen, und die es dem Amt ermöglichen, mit dem Anmelder Kontakt aufzunehmen,</w:t>
      </w:r>
    </w:p>
    <w:p w14:paraId="43D98C76" w14:textId="77777777" w:rsidR="001527B1" w:rsidRPr="004676F5" w:rsidRDefault="001527B1" w:rsidP="001527B1">
      <w:pPr>
        <w:ind w:firstLine="708"/>
        <w:jc w:val="both"/>
        <w:rPr>
          <w:lang w:val="de-DE"/>
        </w:rPr>
      </w:pPr>
    </w:p>
    <w:p w14:paraId="0BEE6BC1" w14:textId="77777777" w:rsidR="001527B1" w:rsidRPr="004676F5" w:rsidRDefault="001527B1" w:rsidP="001527B1">
      <w:pPr>
        <w:ind w:firstLine="708"/>
        <w:jc w:val="both"/>
        <w:rPr>
          <w:lang w:val="de-DE"/>
        </w:rPr>
      </w:pPr>
      <w:r w:rsidRPr="004676F5">
        <w:rPr>
          <w:lang w:val="de-DE"/>
        </w:rPr>
        <w:t>3. ein Teil, der dem Aussehen nach als Beschreibung angesehen werden kann.</w:t>
      </w:r>
    </w:p>
    <w:p w14:paraId="54A87945" w14:textId="77777777" w:rsidR="001527B1" w:rsidRPr="004676F5" w:rsidRDefault="001527B1" w:rsidP="001527B1">
      <w:pPr>
        <w:ind w:firstLine="708"/>
        <w:jc w:val="both"/>
        <w:rPr>
          <w:lang w:val="de-DE"/>
        </w:rPr>
      </w:pPr>
    </w:p>
    <w:p w14:paraId="5E4121B5" w14:textId="59214D8E"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Zum Zweck der Zuerkennung des Anmeldetags kann eine Zeichnung als Bestandteil gemäß § 1 Nr. 3 akzeptiert werden.</w:t>
      </w:r>
    </w:p>
    <w:p w14:paraId="03B70E33" w14:textId="77777777" w:rsidR="001527B1" w:rsidRPr="004676F5" w:rsidRDefault="001527B1" w:rsidP="001527B1">
      <w:pPr>
        <w:ind w:firstLine="708"/>
        <w:jc w:val="both"/>
        <w:rPr>
          <w:lang w:val="de-DE"/>
        </w:rPr>
      </w:pPr>
    </w:p>
    <w:p w14:paraId="20A86E28" w14:textId="5865A5E0" w:rsidR="001527B1" w:rsidRPr="004676F5" w:rsidRDefault="001527B1" w:rsidP="001527B1">
      <w:pPr>
        <w:ind w:firstLine="708"/>
        <w:jc w:val="both"/>
        <w:rPr>
          <w:lang w:val="de-DE"/>
        </w:rPr>
      </w:pPr>
      <w:r w:rsidRPr="004676F5">
        <w:rPr>
          <w:lang w:val="de-DE"/>
        </w:rPr>
        <w:t>§ 3 </w:t>
      </w:r>
      <w:r w:rsidR="005B7A5C" w:rsidRPr="004676F5">
        <w:rPr>
          <w:lang w:val="de-DE"/>
        </w:rPr>
        <w:t>- </w:t>
      </w:r>
      <w:r w:rsidR="0013666A" w:rsidRPr="004676F5">
        <w:rPr>
          <w:lang w:val="de-DE"/>
        </w:rPr>
        <w:t>[...]</w:t>
      </w:r>
    </w:p>
    <w:p w14:paraId="7896ADC6" w14:textId="77777777" w:rsidR="001527B1" w:rsidRPr="004676F5" w:rsidRDefault="001527B1" w:rsidP="001527B1">
      <w:pPr>
        <w:ind w:firstLine="708"/>
        <w:jc w:val="both"/>
        <w:rPr>
          <w:lang w:val="de-DE"/>
        </w:rPr>
      </w:pPr>
    </w:p>
    <w:p w14:paraId="47957C71" w14:textId="0B326780" w:rsidR="001527B1" w:rsidRPr="004676F5" w:rsidRDefault="0013666A" w:rsidP="001527B1">
      <w:pPr>
        <w:ind w:firstLine="708"/>
        <w:jc w:val="both"/>
        <w:rPr>
          <w:lang w:val="de-DE"/>
        </w:rPr>
      </w:pPr>
      <w:r w:rsidRPr="004676F5">
        <w:rPr>
          <w:lang w:val="de-DE"/>
        </w:rPr>
        <w:t>[Der in § 1 Nr. 3 erwähnte Teil kann]</w:t>
      </w:r>
      <w:r w:rsidR="001527B1" w:rsidRPr="004676F5">
        <w:rPr>
          <w:lang w:val="de-DE"/>
        </w:rPr>
        <w:t xml:space="preserve"> zum Zwecke der Zuerkennung des Anmeldetags in einer beliebigen Sprache eingereicht werden.</w:t>
      </w:r>
    </w:p>
    <w:p w14:paraId="4CD3CA1A" w14:textId="77777777" w:rsidR="001527B1" w:rsidRPr="004676F5" w:rsidRDefault="001527B1" w:rsidP="001527B1">
      <w:pPr>
        <w:ind w:firstLine="708"/>
        <w:jc w:val="both"/>
        <w:rPr>
          <w:lang w:val="de-DE"/>
        </w:rPr>
      </w:pPr>
    </w:p>
    <w:p w14:paraId="73FD131F" w14:textId="232DC1F1"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 xml:space="preserve">Erfüllt die Anmeldung eine oder mehrere der in § 1 vorgesehenen Bedingungen nicht, so teilt das Amt dies dem Anmelder so schnell wie möglich mit und gibt ihm die </w:t>
      </w:r>
      <w:r w:rsidRPr="004676F5">
        <w:rPr>
          <w:lang w:val="de-DE"/>
        </w:rPr>
        <w:lastRenderedPageBreak/>
        <w:t>Gelegenheit, innerhalb einer vom König festgelegten Frist die Bedingungen zu erfüllen und Stellung zu nehmen.</w:t>
      </w:r>
    </w:p>
    <w:p w14:paraId="4ED377A2" w14:textId="77777777" w:rsidR="001527B1" w:rsidRPr="004676F5" w:rsidRDefault="001527B1" w:rsidP="001527B1">
      <w:pPr>
        <w:ind w:firstLine="708"/>
        <w:jc w:val="both"/>
        <w:rPr>
          <w:lang w:val="de-DE"/>
        </w:rPr>
      </w:pPr>
    </w:p>
    <w:p w14:paraId="21A166EF" w14:textId="25131C59"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Erfüllt die Anmeldung in der ursprünglich eingereichten Fassung eine oder mehrere der in § 1 vorgesehenen Bedingungen nicht, so gilt vorbehaltlich der Bestimmungen von Absatz 2 und § 7 der Tag als Anmeldetag, an dem alle in § 1 vorgesehenen Bedingungen erfüllt sind.</w:t>
      </w:r>
    </w:p>
    <w:p w14:paraId="47F69393" w14:textId="77777777" w:rsidR="001527B1" w:rsidRPr="004676F5" w:rsidRDefault="001527B1" w:rsidP="001527B1">
      <w:pPr>
        <w:jc w:val="both"/>
        <w:rPr>
          <w:lang w:val="de-DE"/>
        </w:rPr>
      </w:pPr>
    </w:p>
    <w:p w14:paraId="59884372" w14:textId="77777777" w:rsidR="001527B1" w:rsidRPr="004676F5" w:rsidRDefault="001527B1" w:rsidP="001527B1">
      <w:pPr>
        <w:ind w:firstLine="708"/>
        <w:jc w:val="both"/>
        <w:rPr>
          <w:lang w:val="de-DE"/>
        </w:rPr>
      </w:pPr>
      <w:r w:rsidRPr="004676F5">
        <w:rPr>
          <w:lang w:val="de-DE"/>
        </w:rPr>
        <w:t>Die Anmeldung gilt als nicht eingereicht, wenn eine oder mehrere der in Absatz 1 vorgesehenen Bedingungen innerhalb der vom König festgelegten Frist nicht erfüllt sind. Gilt die Anmeldung als nicht eingereicht, so teilt das Amt dies dem Anmelder unter Angabe der Gründe mit.</w:t>
      </w:r>
    </w:p>
    <w:p w14:paraId="5B904C79" w14:textId="77777777" w:rsidR="001527B1" w:rsidRPr="004676F5" w:rsidRDefault="001527B1" w:rsidP="001527B1">
      <w:pPr>
        <w:jc w:val="both"/>
        <w:rPr>
          <w:lang w:val="de-DE"/>
        </w:rPr>
      </w:pPr>
    </w:p>
    <w:p w14:paraId="49D2928D" w14:textId="6FFCB154"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Stellt das Amt anlässlich der Zuerkennung des Anmeldetags fest, dass in der Anmeldung ein Teil der Beschreibung anscheinend fehlt oder dass die Anmeldung auf eine Zeichnung verweist, die in der Anmeldung anscheinend nicht enthalten ist, so teilt es dies dem Anmelder umgehend mit.</w:t>
      </w:r>
    </w:p>
    <w:p w14:paraId="2E4D07D6" w14:textId="77777777" w:rsidR="001527B1" w:rsidRPr="004676F5" w:rsidRDefault="001527B1" w:rsidP="001527B1">
      <w:pPr>
        <w:ind w:firstLine="708"/>
        <w:jc w:val="both"/>
        <w:rPr>
          <w:lang w:val="de-DE"/>
        </w:rPr>
      </w:pPr>
    </w:p>
    <w:p w14:paraId="5C3263B3" w14:textId="4AA95D24"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Wird ein fehlender Teil der Beschreibung oder eine fehlende Zeichnung beim Amt innerhalb der vom König festgelegten Frist eingereicht, so wird dieser Teil der Beschreibung oder diese Zeichnung in die Anmeldung integriert, und der Anmeldetag ist vorbehaltlich der Bestimmungen der Absätze 2 und 3 entweder der Tag, an dem das Amt diesen Teil der Beschreibung oder diese Zeichnung erhalten hat, oder der Tag, an dem alle in den Paragraphen 1 und 2 vorgesehenen Bedingungen erfüllt sind, je nachdem welcher der spätere Zeitpunkt ist.</w:t>
      </w:r>
    </w:p>
    <w:p w14:paraId="1427A465" w14:textId="77777777" w:rsidR="001527B1" w:rsidRPr="004676F5" w:rsidRDefault="001527B1" w:rsidP="001527B1">
      <w:pPr>
        <w:ind w:firstLine="708"/>
        <w:jc w:val="both"/>
        <w:rPr>
          <w:lang w:val="de-DE"/>
        </w:rPr>
      </w:pPr>
    </w:p>
    <w:p w14:paraId="4FDA6C6A" w14:textId="3E1E9AD7" w:rsidR="001527B1" w:rsidRPr="004676F5" w:rsidRDefault="001527B1" w:rsidP="001527B1">
      <w:pPr>
        <w:ind w:firstLine="708"/>
        <w:jc w:val="both"/>
        <w:rPr>
          <w:lang w:val="de-DE"/>
        </w:rPr>
      </w:pPr>
      <w:r w:rsidRPr="004676F5">
        <w:rPr>
          <w:lang w:val="de-DE"/>
        </w:rPr>
        <w:t>Wird der fehlende Teil der Beschreibung oder die fehlende Zeichnung beim Amt gemäß den Bestimmungen von Absatz 1 zur Anpassung einer unvollständigen Anmeldung eingereicht, in der zum Zeitpunkt, in dem das Amt eine oder mehrere der in § 1 genannten Bestandteile erhalten hat, die Priorität einer früheren Anmeldung beansprucht wird, so gilt </w:t>
      </w:r>
      <w:r w:rsidR="005B7A5C" w:rsidRPr="004676F5">
        <w:rPr>
          <w:lang w:val="de-DE"/>
        </w:rPr>
        <w:t>- </w:t>
      </w:r>
      <w:r w:rsidRPr="004676F5">
        <w:rPr>
          <w:lang w:val="de-DE"/>
        </w:rPr>
        <w:t>auf einen vom Anmelder gestellten Antrag hin, der innerhalb der vom König festgelegten Frist eingereicht wird, vorbehaltlich der vom König vorgeschriebenen Bedingungen und unter dem Vorbehalt, dass die nachträglich eingereichten Bestandteile in den Prioritätsunterlagen enthalten sind </w:t>
      </w:r>
      <w:r w:rsidR="005B7A5C" w:rsidRPr="004676F5">
        <w:rPr>
          <w:lang w:val="de-DE"/>
        </w:rPr>
        <w:t>- </w:t>
      </w:r>
      <w:r w:rsidRPr="004676F5">
        <w:rPr>
          <w:lang w:val="de-DE"/>
        </w:rPr>
        <w:t>der Tag als Anmeldetag, an dem alle in den Paragraphen 1 und 2 vorgesehenen Bedingungen erfüllt sind.</w:t>
      </w:r>
    </w:p>
    <w:p w14:paraId="097E016B" w14:textId="77777777" w:rsidR="001527B1" w:rsidRPr="004676F5" w:rsidRDefault="001527B1" w:rsidP="001527B1">
      <w:pPr>
        <w:ind w:firstLine="708"/>
        <w:jc w:val="both"/>
        <w:rPr>
          <w:lang w:val="de-DE"/>
        </w:rPr>
      </w:pPr>
    </w:p>
    <w:p w14:paraId="4209105B" w14:textId="77777777" w:rsidR="001527B1" w:rsidRPr="004676F5" w:rsidRDefault="001527B1" w:rsidP="001527B1">
      <w:pPr>
        <w:ind w:firstLine="708"/>
        <w:jc w:val="both"/>
        <w:rPr>
          <w:lang w:val="de-DE"/>
        </w:rPr>
      </w:pPr>
      <w:r w:rsidRPr="004676F5">
        <w:rPr>
          <w:lang w:val="de-DE"/>
        </w:rPr>
        <w:t>Wird der gemäß den Bestimmungen von Absatz 1 eingereichte fehlende Teil der Beschreibung oder die fehlende Zeichnung danach innerhalb einer vom König festgelegten Frist zurückgezogen, so gilt als Anmeldetag der Tag, an dem die in den Paragraphen 1 und 2 vorgesehenen Bedingungen erfüllt sind.</w:t>
      </w:r>
    </w:p>
    <w:p w14:paraId="70C54C85" w14:textId="77777777" w:rsidR="001527B1" w:rsidRPr="004676F5" w:rsidRDefault="001527B1" w:rsidP="001527B1">
      <w:pPr>
        <w:ind w:firstLine="708"/>
        <w:jc w:val="both"/>
        <w:rPr>
          <w:lang w:val="de-DE"/>
        </w:rPr>
      </w:pPr>
    </w:p>
    <w:p w14:paraId="5C1585DF" w14:textId="6F284893"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Vorbehaltlich der vom König festgelegten Bedingungen ersetzt eine bei der Einreichung der Anmeldung vorgenommene Bezugnahme auf eine früher eingereichte Anmeldung für die Zuerkennung des Anmeldetags die Beschreibung und eventuelle Zeichnungen.</w:t>
      </w:r>
    </w:p>
    <w:p w14:paraId="40BDAA15" w14:textId="77777777" w:rsidR="001527B1" w:rsidRPr="004676F5" w:rsidRDefault="001527B1" w:rsidP="001527B1">
      <w:pPr>
        <w:ind w:firstLine="708"/>
        <w:jc w:val="both"/>
        <w:rPr>
          <w:lang w:val="de-DE"/>
        </w:rPr>
      </w:pPr>
    </w:p>
    <w:p w14:paraId="4732BAF3" w14:textId="77777777" w:rsidR="001527B1" w:rsidRPr="004676F5" w:rsidRDefault="001527B1" w:rsidP="001527B1">
      <w:pPr>
        <w:ind w:firstLine="708"/>
        <w:jc w:val="both"/>
        <w:rPr>
          <w:lang w:val="de-DE"/>
        </w:rPr>
      </w:pPr>
      <w:r w:rsidRPr="004676F5">
        <w:rPr>
          <w:lang w:val="de-DE"/>
        </w:rPr>
        <w:t>Die Anmeldung gilt als nicht eingereicht, wenn die in Absatz 1 vorgesehenen Bedingungen nicht erfüllt sind. In diesem Fall teilt das Amt dies dem Anmelder unter Angabe der Gründe mit.</w:t>
      </w:r>
    </w:p>
    <w:p w14:paraId="003AD585" w14:textId="77777777" w:rsidR="001527B1" w:rsidRPr="004676F5" w:rsidRDefault="001527B1" w:rsidP="001527B1">
      <w:pPr>
        <w:jc w:val="both"/>
        <w:rPr>
          <w:lang w:val="de-DE"/>
        </w:rPr>
      </w:pPr>
    </w:p>
    <w:p w14:paraId="6C1E0F9A" w14:textId="63B9159C" w:rsidR="001527B1" w:rsidRPr="004676F5" w:rsidRDefault="001527B1" w:rsidP="001527B1">
      <w:pPr>
        <w:ind w:firstLine="708"/>
        <w:jc w:val="both"/>
        <w:rPr>
          <w:lang w:val="de-DE"/>
        </w:rPr>
      </w:pPr>
      <w:r w:rsidRPr="004676F5">
        <w:rPr>
          <w:lang w:val="de-DE"/>
        </w:rPr>
        <w:t>§ 9 </w:t>
      </w:r>
      <w:r w:rsidR="005B7A5C" w:rsidRPr="004676F5">
        <w:rPr>
          <w:lang w:val="de-DE"/>
        </w:rPr>
        <w:t>- </w:t>
      </w:r>
      <w:r w:rsidRPr="004676F5">
        <w:rPr>
          <w:lang w:val="de-DE"/>
        </w:rPr>
        <w:t>Wenn alle in § 1 erwähnten Bedingungen erfüllt sind, teilt das Amt dem Anmelder den Anmeldetag mit, der der Anmeldung zuerkannt wird.</w:t>
      </w:r>
    </w:p>
    <w:p w14:paraId="5849814E" w14:textId="77777777" w:rsidR="001527B1" w:rsidRPr="004676F5" w:rsidRDefault="001527B1" w:rsidP="001527B1">
      <w:pPr>
        <w:ind w:firstLine="708"/>
        <w:jc w:val="both"/>
        <w:rPr>
          <w:lang w:val="de-DE"/>
        </w:rPr>
      </w:pPr>
    </w:p>
    <w:p w14:paraId="16F26707" w14:textId="78414E03" w:rsidR="001527B1" w:rsidRPr="004676F5" w:rsidRDefault="001527B1" w:rsidP="001527B1">
      <w:pPr>
        <w:ind w:firstLine="708"/>
        <w:jc w:val="both"/>
        <w:rPr>
          <w:lang w:val="de-DE"/>
        </w:rPr>
      </w:pPr>
      <w:r w:rsidRPr="004676F5">
        <w:rPr>
          <w:lang w:val="de-DE"/>
        </w:rPr>
        <w:t>§ 10 </w:t>
      </w:r>
      <w:r w:rsidR="005B7A5C" w:rsidRPr="004676F5">
        <w:rPr>
          <w:lang w:val="de-DE"/>
        </w:rPr>
        <w:t>- </w:t>
      </w:r>
      <w:r w:rsidRPr="004676F5">
        <w:rPr>
          <w:lang w:val="de-DE"/>
        </w:rPr>
        <w:t>Keine Bestimmung des vorliegenden Artikels beschränkt das Recht eines Anmelders nach Artikel 4G Absatz 1 oder 2 der Pariser Übereinkunft, als Zeitpunkt einer Teilanmeldung gemäß diesem Artikel den Zeitpunkt der ursprünglichen Anmeldung gemäß diesem Artikel und gegebenenfalls das Prioritätsrecht beizubehalten.</w:t>
      </w:r>
    </w:p>
    <w:p w14:paraId="6C673B47" w14:textId="77777777" w:rsidR="001527B1" w:rsidRPr="004676F5" w:rsidRDefault="001527B1" w:rsidP="001527B1">
      <w:pPr>
        <w:rPr>
          <w:lang w:val="de-DE"/>
        </w:rPr>
      </w:pPr>
    </w:p>
    <w:p w14:paraId="0D6B863C" w14:textId="39EE1067" w:rsidR="0013666A" w:rsidRPr="004676F5" w:rsidRDefault="0013666A" w:rsidP="0013666A">
      <w:pPr>
        <w:jc w:val="both"/>
        <w:rPr>
          <w:i/>
          <w:iCs/>
          <w:lang w:val="de-DE"/>
        </w:rPr>
      </w:pPr>
      <w:r w:rsidRPr="004676F5">
        <w:rPr>
          <w:i/>
          <w:iCs/>
          <w:lang w:val="de-DE"/>
        </w:rPr>
        <w:t xml:space="preserve">[Art. XI.17 </w:t>
      </w:r>
      <w:r w:rsidR="00DB6E41" w:rsidRPr="004676F5">
        <w:rPr>
          <w:i/>
          <w:iCs/>
          <w:lang w:val="de-DE"/>
        </w:rPr>
        <w:t xml:space="preserve">§ 3 abgeändert durch Art. 3 Nr. 2 des G. vom 25. September 2022 (B.S. vom 24. Oktober 2022); </w:t>
      </w:r>
      <w:r w:rsidRPr="004676F5">
        <w:rPr>
          <w:i/>
          <w:iCs/>
          <w:lang w:val="de-DE"/>
        </w:rPr>
        <w:t>§ 3 früherer Absatz 1 aufgehoben durch Art. 3 Nr. 1 des G. vom 25. September 2022 (B.S. vom 24. Oktober 2022)]</w:t>
      </w:r>
    </w:p>
    <w:p w14:paraId="005FC17E" w14:textId="77777777" w:rsidR="0013666A" w:rsidRPr="004676F5" w:rsidRDefault="0013666A" w:rsidP="0013666A">
      <w:pPr>
        <w:jc w:val="both"/>
        <w:rPr>
          <w:i/>
          <w:iCs/>
          <w:lang w:val="de-DE"/>
        </w:rPr>
      </w:pPr>
    </w:p>
    <w:p w14:paraId="4F59F46D" w14:textId="77777777" w:rsidR="00CE5A09" w:rsidRPr="004676F5" w:rsidRDefault="00CE5A09" w:rsidP="001527B1">
      <w:pPr>
        <w:rPr>
          <w:lang w:val="de-DE"/>
        </w:rPr>
      </w:pPr>
    </w:p>
    <w:p w14:paraId="4902C726" w14:textId="57B6413F" w:rsidR="001527B1" w:rsidRPr="004676F5" w:rsidRDefault="00BE0A56" w:rsidP="001527B1">
      <w:pPr>
        <w:ind w:firstLine="708"/>
        <w:jc w:val="both"/>
        <w:rPr>
          <w:lang w:val="de-DE"/>
        </w:rPr>
      </w:pPr>
      <w:r w:rsidRPr="004676F5">
        <w:rPr>
          <w:b/>
          <w:lang w:val="de-DE"/>
        </w:rPr>
        <w:t>Art. </w:t>
      </w:r>
      <w:r w:rsidR="001527B1" w:rsidRPr="004676F5">
        <w:rPr>
          <w:b/>
          <w:lang w:val="de-DE"/>
        </w:rPr>
        <w:t>XI.18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Die Erfindung ist in einer Patentanmeldung so deutlich und vollständig zu offenbaren, dass ein Fachmann sie ausführen kann.</w:t>
      </w:r>
    </w:p>
    <w:p w14:paraId="0A9ED693" w14:textId="77777777" w:rsidR="001527B1" w:rsidRPr="004676F5" w:rsidRDefault="001527B1" w:rsidP="001527B1">
      <w:pPr>
        <w:ind w:firstLine="708"/>
        <w:jc w:val="both"/>
        <w:rPr>
          <w:lang w:val="de-DE"/>
        </w:rPr>
      </w:pPr>
    </w:p>
    <w:p w14:paraId="0A9A69BF" w14:textId="77777777" w:rsidR="001527B1" w:rsidRPr="004676F5" w:rsidRDefault="001527B1" w:rsidP="001527B1">
      <w:pPr>
        <w:ind w:firstLine="708"/>
        <w:jc w:val="both"/>
        <w:rPr>
          <w:lang w:val="de-DE"/>
        </w:rPr>
      </w:pPr>
      <w:r w:rsidRPr="004676F5">
        <w:rPr>
          <w:lang w:val="de-DE"/>
        </w:rPr>
        <w:t>Betrifft eine Erfindung biologisches Material, das der Öffentlichkeit nicht zugänglich ist und in der Patentanmeldung nicht so beschrieben werden kann, dass ein Fachmann diese Erfindung danach ausführen kann, oder beinhaltet die Erfindung die Verwendung eines solchen Materials, so gilt die Beschreibung für die Anwendung des Patentrechts nur dann als ausreichend, wenn das biologische Material spätestens am Tag der Patentanmeldung bei einer anerkannten Hinterlegungsstelle hinterlegt wurde und die vom König festgelegten Anforderungen erfüllt sind.</w:t>
      </w:r>
    </w:p>
    <w:p w14:paraId="60D77B88" w14:textId="77777777" w:rsidR="001527B1" w:rsidRPr="004676F5" w:rsidRDefault="001527B1" w:rsidP="001527B1">
      <w:pPr>
        <w:ind w:firstLine="708"/>
        <w:jc w:val="both"/>
        <w:rPr>
          <w:lang w:val="de-DE"/>
        </w:rPr>
      </w:pPr>
    </w:p>
    <w:p w14:paraId="45AB049F" w14:textId="2B3FA8A9" w:rsidR="001527B1" w:rsidRPr="004676F5" w:rsidRDefault="001527B1" w:rsidP="001527B1">
      <w:pPr>
        <w:ind w:firstLine="708"/>
        <w:jc w:val="both"/>
        <w:rPr>
          <w:lang w:val="de-DE"/>
        </w:rPr>
      </w:pPr>
      <w:r w:rsidRPr="004676F5">
        <w:rPr>
          <w:lang w:val="de-DE"/>
        </w:rPr>
        <w:t>Sind in der Patentanmeldung Nukleotid</w:t>
      </w:r>
      <w:r w:rsidR="005B7A5C" w:rsidRPr="004676F5">
        <w:rPr>
          <w:lang w:val="de-DE"/>
        </w:rPr>
        <w:t>- </w:t>
      </w:r>
      <w:r w:rsidRPr="004676F5">
        <w:rPr>
          <w:lang w:val="de-DE"/>
        </w:rPr>
        <w:t>oder Aminosäuresequenzen offenbart, so muss die Beschreibung ein Protokoll dieser Sequenzen enthalten. Der König kann die Form festlegen, in der diese Sequenzen beschrieben werden müssen.</w:t>
      </w:r>
    </w:p>
    <w:p w14:paraId="4CDD1709" w14:textId="77777777" w:rsidR="001527B1" w:rsidRPr="004676F5" w:rsidRDefault="001527B1" w:rsidP="001527B1">
      <w:pPr>
        <w:ind w:firstLine="708"/>
        <w:jc w:val="both"/>
        <w:rPr>
          <w:lang w:val="de-DE"/>
        </w:rPr>
      </w:pPr>
    </w:p>
    <w:p w14:paraId="58C994DA" w14:textId="6A9FFEC4"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oder die Patentansprüche müssen den Gegenstand angeben, für den Schutz beantragt wird. Sie müssen deutlich, knapp gefasst und durch die Beschreibung gestützt sein.</w:t>
      </w:r>
    </w:p>
    <w:p w14:paraId="48604E34" w14:textId="77777777" w:rsidR="001527B1" w:rsidRPr="004676F5" w:rsidRDefault="001527B1" w:rsidP="001527B1">
      <w:pPr>
        <w:jc w:val="both"/>
        <w:rPr>
          <w:lang w:val="de-DE"/>
        </w:rPr>
      </w:pPr>
    </w:p>
    <w:p w14:paraId="31A50705" w14:textId="188EFD2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Zeichnungen werden beigefügt, wenn sie für das Verständnis der Erfindung notwendig sind.</w:t>
      </w:r>
    </w:p>
    <w:p w14:paraId="230B1466" w14:textId="77777777" w:rsidR="001527B1" w:rsidRPr="004676F5" w:rsidRDefault="001527B1" w:rsidP="001527B1">
      <w:pPr>
        <w:ind w:firstLine="708"/>
        <w:jc w:val="both"/>
        <w:rPr>
          <w:lang w:val="de-DE"/>
        </w:rPr>
      </w:pPr>
    </w:p>
    <w:p w14:paraId="7B1A4EC3" w14:textId="7E69BD0B"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Zusammenfassung, der gegebenenfalls eine Zeichnung beigefügt ist, dient ausschließlich der technischen Information; sie kann nicht für andere Zwecke herangezogen werden. Sie kann der Kontrolle des Amtes unterworfen werden.</w:t>
      </w:r>
    </w:p>
    <w:p w14:paraId="3B4C9A82" w14:textId="77777777" w:rsidR="001527B1" w:rsidRPr="004676F5" w:rsidRDefault="001527B1" w:rsidP="001527B1">
      <w:pPr>
        <w:ind w:firstLine="708"/>
        <w:jc w:val="both"/>
        <w:rPr>
          <w:lang w:val="de-DE"/>
        </w:rPr>
      </w:pPr>
    </w:p>
    <w:p w14:paraId="04D036E3" w14:textId="77777777" w:rsidR="00CE5A09" w:rsidRPr="004676F5" w:rsidRDefault="00CE5A09" w:rsidP="001527B1">
      <w:pPr>
        <w:ind w:firstLine="708"/>
        <w:jc w:val="both"/>
        <w:rPr>
          <w:lang w:val="de-DE"/>
        </w:rPr>
      </w:pPr>
    </w:p>
    <w:p w14:paraId="42D644C8" w14:textId="07AC6AD2" w:rsidR="001527B1" w:rsidRPr="004676F5" w:rsidRDefault="00BE0A56" w:rsidP="001527B1">
      <w:pPr>
        <w:ind w:firstLine="708"/>
        <w:jc w:val="both"/>
        <w:rPr>
          <w:lang w:val="de-DE"/>
        </w:rPr>
      </w:pPr>
      <w:r w:rsidRPr="004676F5">
        <w:rPr>
          <w:b/>
          <w:lang w:val="de-DE"/>
        </w:rPr>
        <w:t>Art. </w:t>
      </w:r>
      <w:r w:rsidR="001527B1" w:rsidRPr="004676F5">
        <w:rPr>
          <w:b/>
          <w:lang w:val="de-DE"/>
        </w:rPr>
        <w:t>XI.19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Patentanmeldung darf nur eine einzige Erfindung enthalten oder eine Gruppe von Erfindungen, die untereinander in einer Weise verbunden sind, dass sie eine einzige allgemeine erfinderische Idee verwirklichen.</w:t>
      </w:r>
    </w:p>
    <w:p w14:paraId="31198DD7" w14:textId="77777777" w:rsidR="001527B1" w:rsidRPr="004676F5" w:rsidRDefault="001527B1" w:rsidP="001527B1">
      <w:pPr>
        <w:ind w:firstLine="708"/>
        <w:jc w:val="both"/>
        <w:rPr>
          <w:lang w:val="de-DE"/>
        </w:rPr>
      </w:pPr>
    </w:p>
    <w:p w14:paraId="3C633B23" w14:textId="6EFCAC97"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Eine Anmeldung, die die Bedingungen von § 1 nicht erfüllt, muss innerhalb der vom König festgelegten Frist entweder auf eine einzige Erfindung oder eine einzige allgemeine erfinderische Idee im Sinne von § 1 beschränkt werden oder so geteilt werden, dass die ursprüngliche Patentanmeldung und die Teilanmeldung(en) sich jeweils auf eine einzige Erfindung oder eine einzige allgemeine erfinderische Idee im Sinne von § 1 beziehen.</w:t>
      </w:r>
    </w:p>
    <w:p w14:paraId="45E072E0" w14:textId="77777777" w:rsidR="001527B1" w:rsidRPr="004676F5" w:rsidRDefault="001527B1" w:rsidP="001527B1">
      <w:pPr>
        <w:ind w:firstLine="708"/>
        <w:jc w:val="both"/>
        <w:rPr>
          <w:lang w:val="de-DE"/>
        </w:rPr>
      </w:pPr>
    </w:p>
    <w:p w14:paraId="4EA3C7F3" w14:textId="3FF00C1E"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Eine beschränkte Anmeldung beziehungsweise eine Teilanmeldung kann nur für einen Gegenstand eingereicht werden, der nicht über den Inhalt der früheren Anmeldung in der ursprünglich eingereichten Fassung hinausgeht. Soweit dieser Anforderung entsprochen wird, gilt die beschränkte Anmeldung beziehungsweise die Teilanmeldung als an dem Anmeldetag der ursprünglichen Anmeldung eingereicht und hat gegebenenfalls deren Prioritätsrecht.</w:t>
      </w:r>
    </w:p>
    <w:p w14:paraId="7C3AA78A" w14:textId="77777777" w:rsidR="001527B1" w:rsidRPr="004676F5" w:rsidRDefault="001527B1" w:rsidP="001527B1">
      <w:pPr>
        <w:ind w:firstLine="708"/>
        <w:jc w:val="both"/>
        <w:rPr>
          <w:lang w:val="de-DE"/>
        </w:rPr>
      </w:pPr>
    </w:p>
    <w:p w14:paraId="713A5968" w14:textId="61C4E063"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Anmelder kann innerhalb der vom König festgelegten Frist aus eigener Initiative seine Anmeldung beschränken oder eine Teilanmeldung einreichen.</w:t>
      </w:r>
    </w:p>
    <w:p w14:paraId="6684E9C8" w14:textId="77777777" w:rsidR="001527B1" w:rsidRPr="004676F5" w:rsidRDefault="001527B1" w:rsidP="001527B1">
      <w:pPr>
        <w:ind w:firstLine="708"/>
        <w:jc w:val="both"/>
        <w:rPr>
          <w:lang w:val="de-DE"/>
        </w:rPr>
      </w:pPr>
    </w:p>
    <w:p w14:paraId="1409995E" w14:textId="77777777" w:rsidR="001527B1" w:rsidRPr="004676F5" w:rsidRDefault="001527B1" w:rsidP="001527B1">
      <w:pPr>
        <w:ind w:firstLine="708"/>
        <w:jc w:val="both"/>
        <w:rPr>
          <w:lang w:val="de-DE"/>
        </w:rPr>
      </w:pPr>
      <w:r w:rsidRPr="004676F5">
        <w:rPr>
          <w:lang w:val="de-DE"/>
        </w:rPr>
        <w:t>Ist für die Patentanmeldung ein Recherchenbericht erstellt worden, in dem ein Mangel an Einheitlichkeit der Erfindung im Sinne von § 1 vermerkt ist, und hat der Anmelder weder eine Beschränkung seiner Anmeldung vorgenommen noch eine Teilanmeldung gemäß den Ergebnissen des Recherchenberichts eingereicht, so wird das erteilte Patent auf die Patentansprüche beschränkt, für die der Recherchenbericht erstellt worden ist.</w:t>
      </w:r>
    </w:p>
    <w:p w14:paraId="4F4D5A5A" w14:textId="77777777" w:rsidR="001527B1" w:rsidRPr="004676F5" w:rsidRDefault="001527B1" w:rsidP="001527B1">
      <w:pPr>
        <w:ind w:firstLine="708"/>
        <w:jc w:val="both"/>
        <w:rPr>
          <w:lang w:val="de-DE"/>
        </w:rPr>
      </w:pPr>
    </w:p>
    <w:p w14:paraId="6590192B" w14:textId="4CFA2594"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Patentanmeldungen, die nicht gemäß den Bestimmungen des vorliegenden Artikels beschränkt oder geteilt worden sind, können zurückgewiesen werden.</w:t>
      </w:r>
    </w:p>
    <w:p w14:paraId="642264BB" w14:textId="77777777" w:rsidR="001527B1" w:rsidRPr="004676F5" w:rsidRDefault="001527B1" w:rsidP="001527B1">
      <w:pPr>
        <w:ind w:firstLine="708"/>
        <w:jc w:val="both"/>
        <w:rPr>
          <w:lang w:val="de-DE"/>
        </w:rPr>
      </w:pPr>
    </w:p>
    <w:p w14:paraId="167F392C" w14:textId="77777777" w:rsidR="00CE5A09" w:rsidRPr="004676F5" w:rsidRDefault="00CE5A09" w:rsidP="001527B1">
      <w:pPr>
        <w:ind w:firstLine="708"/>
        <w:jc w:val="both"/>
        <w:rPr>
          <w:lang w:val="de-DE"/>
        </w:rPr>
      </w:pPr>
    </w:p>
    <w:p w14:paraId="29C0FB4B" w14:textId="72F2B036" w:rsidR="001527B1" w:rsidRPr="004676F5" w:rsidRDefault="00BE0A56" w:rsidP="001527B1">
      <w:pPr>
        <w:ind w:firstLine="708"/>
        <w:jc w:val="both"/>
        <w:rPr>
          <w:lang w:val="de-DE"/>
        </w:rPr>
      </w:pPr>
      <w:r w:rsidRPr="004676F5">
        <w:rPr>
          <w:b/>
          <w:lang w:val="de-DE"/>
        </w:rPr>
        <w:t>Art. </w:t>
      </w:r>
      <w:r w:rsidR="001527B1" w:rsidRPr="004676F5">
        <w:rPr>
          <w:b/>
          <w:lang w:val="de-DE"/>
        </w:rPr>
        <w:t>XI.20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 Patentanmelder, der die durch die Pariser Übereinkunft oder das TRIPS-Übereinkommen vorgesehene Priorität einer früheren Anmeldung in Anspruch nehmen will, hat unter den Bedingungen und innerhalb der Fristen, die vom König festgelegt werden, eine Prioritätserklärung und eine Abschrift der früheren Anmeldung einzureichen.</w:t>
      </w:r>
    </w:p>
    <w:p w14:paraId="6B752976" w14:textId="77777777" w:rsidR="001527B1" w:rsidRPr="004676F5" w:rsidRDefault="001527B1" w:rsidP="001527B1">
      <w:pPr>
        <w:ind w:firstLine="708"/>
        <w:jc w:val="both"/>
        <w:rPr>
          <w:lang w:val="de-DE"/>
        </w:rPr>
      </w:pPr>
    </w:p>
    <w:p w14:paraId="08C47D12" w14:textId="77777777" w:rsidR="001527B1" w:rsidRPr="004676F5" w:rsidRDefault="001527B1" w:rsidP="001527B1">
      <w:pPr>
        <w:ind w:firstLine="708"/>
        <w:jc w:val="both"/>
        <w:rPr>
          <w:lang w:val="de-DE"/>
        </w:rPr>
      </w:pPr>
      <w:r w:rsidRPr="004676F5">
        <w:rPr>
          <w:lang w:val="de-DE"/>
        </w:rPr>
        <w:t>Bei der Prioritätserklärung kann der Patentanmelder auch, anstatt eine Abschrift der früheren Patentanmeldung einzureichen, auf eine vom König bestimmte Datenbank verweisen.</w:t>
      </w:r>
    </w:p>
    <w:p w14:paraId="74FECFE9" w14:textId="77777777" w:rsidR="001527B1" w:rsidRPr="004676F5" w:rsidRDefault="001527B1" w:rsidP="001527B1">
      <w:pPr>
        <w:ind w:firstLine="708"/>
        <w:jc w:val="both"/>
        <w:rPr>
          <w:lang w:val="de-DE"/>
        </w:rPr>
      </w:pPr>
    </w:p>
    <w:p w14:paraId="6E7B1C92" w14:textId="77777777" w:rsidR="001527B1" w:rsidRPr="004676F5" w:rsidRDefault="001527B1" w:rsidP="001527B1">
      <w:pPr>
        <w:ind w:firstLine="708"/>
        <w:jc w:val="both"/>
        <w:rPr>
          <w:lang w:val="de-DE"/>
        </w:rPr>
      </w:pPr>
      <w:r w:rsidRPr="004676F5">
        <w:rPr>
          <w:lang w:val="de-DE"/>
        </w:rPr>
        <w:t>Unbeschadet der Anwendung internationaler Abkommen in dieser Angelegenheit kann die frühere Anmeldung insbesondere eine erste vorschriftsmäßige Einreichung einer Patentanmeldung, die in einem der Vertragsstaaten der Pariser Übereinkunft oder der Welthandelsorganisation vorgenommen worden ist, einer regionalen Patentanmeldung oder auch einer internationalen Patentanmeldung sein.</w:t>
      </w:r>
    </w:p>
    <w:p w14:paraId="040401DB" w14:textId="77777777" w:rsidR="001527B1" w:rsidRPr="004676F5" w:rsidRDefault="001527B1" w:rsidP="001527B1">
      <w:pPr>
        <w:ind w:firstLine="708"/>
        <w:jc w:val="both"/>
        <w:rPr>
          <w:lang w:val="de-DE"/>
        </w:rPr>
      </w:pPr>
    </w:p>
    <w:p w14:paraId="28C7E8EE" w14:textId="77777777" w:rsidR="001527B1" w:rsidRPr="004676F5" w:rsidRDefault="001527B1" w:rsidP="001527B1">
      <w:pPr>
        <w:ind w:firstLine="708"/>
        <w:jc w:val="both"/>
        <w:rPr>
          <w:lang w:val="de-DE"/>
        </w:rPr>
      </w:pPr>
      <w:r w:rsidRPr="004676F5">
        <w:rPr>
          <w:lang w:val="de-DE"/>
        </w:rPr>
        <w:t>Das Prioritätsrecht aus einer ersten Einreichung in einem nicht zu den Vertragsstaaten der Pariser Übereinkunft gehörenden Staat kann nur unter Voraussetzungen und mit Wirkungen, die denen der Pariser Übereinkunft entsprechen, in Anspruch genommen werden, insofern dieser Staat aufgrund eines internationalen Abkommens auf der Grundlage einer ersten Einreichung einer belgischen Patentanmeldung oder einer europäischen oder auch internationalen Patentanmeldung unter Voraussetzungen und mit Wirkungen, die mit denen der Pariser Übereinkunft vergleichbar sind, ein Prioritätsrecht gewährt.</w:t>
      </w:r>
    </w:p>
    <w:p w14:paraId="183FB90C" w14:textId="77777777" w:rsidR="001527B1" w:rsidRPr="004676F5" w:rsidRDefault="001527B1" w:rsidP="001527B1">
      <w:pPr>
        <w:ind w:firstLine="708"/>
        <w:jc w:val="both"/>
        <w:rPr>
          <w:lang w:val="de-DE"/>
        </w:rPr>
      </w:pPr>
    </w:p>
    <w:p w14:paraId="5FAAB8E1" w14:textId="4C4C3C9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Anmelder eines belgischen Patents genießt ebenfalls eine Priorität, die mit der in § 1 erwähnten Priorität gleichwertig ist, wenn er unter den Bedingungen und innerhalb der Fristen, die vom König festgelegt werden, eine Prioritätserklärung auf der Grundlage einer früheren belgischen Patentanmeldung und eine Abschrift der früheren belgischen Anmeldung einreicht.</w:t>
      </w:r>
    </w:p>
    <w:p w14:paraId="3383806E" w14:textId="77777777" w:rsidR="001527B1" w:rsidRPr="004676F5" w:rsidRDefault="001527B1" w:rsidP="001527B1">
      <w:pPr>
        <w:ind w:firstLine="708"/>
        <w:jc w:val="both"/>
        <w:rPr>
          <w:lang w:val="de-DE"/>
        </w:rPr>
      </w:pPr>
    </w:p>
    <w:p w14:paraId="56E2DCFE" w14:textId="77777777" w:rsidR="001527B1" w:rsidRPr="004676F5" w:rsidRDefault="001527B1" w:rsidP="001527B1">
      <w:pPr>
        <w:ind w:firstLine="708"/>
        <w:jc w:val="both"/>
        <w:rPr>
          <w:lang w:val="de-DE"/>
        </w:rPr>
      </w:pPr>
      <w:r w:rsidRPr="004676F5">
        <w:rPr>
          <w:lang w:val="de-DE"/>
        </w:rPr>
        <w:t>Bei der Prioritätserklärung kann der Patentanmelder auch auf eine vom König bestimmte Datenbank verweisen.</w:t>
      </w:r>
    </w:p>
    <w:p w14:paraId="5844DEBA" w14:textId="77777777" w:rsidR="001527B1" w:rsidRPr="004676F5" w:rsidRDefault="001527B1" w:rsidP="001527B1">
      <w:pPr>
        <w:ind w:firstLine="708"/>
        <w:jc w:val="both"/>
        <w:rPr>
          <w:lang w:val="de-DE"/>
        </w:rPr>
      </w:pPr>
    </w:p>
    <w:p w14:paraId="65217955" w14:textId="4C48FE8C"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Für eine Patentanmeldung können mehrere Prioritäten in Anspruch genommen werden, selbst wenn sie aus verschiedenen Staaten stammen. Gegebenenfalls können für einen selben Patentanspruch auch mehrere Prioritäten in Anspruch genommen werden. Werden mehrere Prioritäten in Anspruch genommen, so beginnen Fristen, die vom Prioritätstag an laufen, vom frühesten Prioritätstag an zu laufen.</w:t>
      </w:r>
    </w:p>
    <w:p w14:paraId="5038A412" w14:textId="77777777" w:rsidR="001527B1" w:rsidRPr="004676F5" w:rsidRDefault="001527B1" w:rsidP="001527B1">
      <w:pPr>
        <w:ind w:firstLine="708"/>
        <w:jc w:val="both"/>
        <w:rPr>
          <w:lang w:val="de-DE"/>
        </w:rPr>
      </w:pPr>
    </w:p>
    <w:p w14:paraId="27FB197D" w14:textId="4535486B" w:rsidR="001527B1" w:rsidRPr="004676F5" w:rsidRDefault="001527B1" w:rsidP="001527B1">
      <w:pPr>
        <w:ind w:firstLine="708"/>
        <w:jc w:val="both"/>
        <w:rPr>
          <w:lang w:val="de-DE"/>
        </w:rPr>
      </w:pPr>
      <w:r w:rsidRPr="004676F5">
        <w:rPr>
          <w:lang w:val="de-DE"/>
        </w:rPr>
        <w:lastRenderedPageBreak/>
        <w:t>§ 4 </w:t>
      </w:r>
      <w:r w:rsidR="005B7A5C" w:rsidRPr="004676F5">
        <w:rPr>
          <w:lang w:val="de-DE"/>
        </w:rPr>
        <w:t>- </w:t>
      </w:r>
      <w:r w:rsidRPr="004676F5">
        <w:rPr>
          <w:lang w:val="de-DE"/>
        </w:rPr>
        <w:t>Werden eine oder mehrere Prioritäten für eine Patentanmeldung in Anspruch genommen, so umfasst das Prioritätsrecht nur die Merkmale der Patentanmeldung, die in der Anmeldung oder in den Anmeldungen enthalten sind, deren Priorität in Anspruch genommen wird.</w:t>
      </w:r>
    </w:p>
    <w:p w14:paraId="670D86CE" w14:textId="77777777" w:rsidR="001527B1" w:rsidRPr="004676F5" w:rsidRDefault="001527B1" w:rsidP="001527B1">
      <w:pPr>
        <w:ind w:firstLine="708"/>
        <w:jc w:val="both"/>
        <w:rPr>
          <w:lang w:val="de-DE"/>
        </w:rPr>
      </w:pPr>
    </w:p>
    <w:p w14:paraId="0CF98819" w14:textId="217DAD52"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Sind bestimmte Merkmale der Erfindung, für die die Priorität in Anspruch genommen wird, nicht in den in der früheren Anmeldung aufgestellten Patentansprüchen enthalten, so reicht es für die Gewährung der Priorität aus, dass die Gesamtheit der Anmeldungsunterlagen der früheren Anmeldung diese Merkmale deutlich offenbart.</w:t>
      </w:r>
    </w:p>
    <w:p w14:paraId="5BE6D2D7" w14:textId="77777777" w:rsidR="001527B1" w:rsidRPr="004676F5" w:rsidRDefault="001527B1" w:rsidP="001527B1">
      <w:pPr>
        <w:ind w:firstLine="708"/>
        <w:jc w:val="both"/>
        <w:rPr>
          <w:lang w:val="de-DE"/>
        </w:rPr>
      </w:pPr>
    </w:p>
    <w:p w14:paraId="41335EF1" w14:textId="51525289"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Das Prioritätsrecht hat die Wirkung, dass für die Anwendung von Artikel XI.6 §§ 2 und 3 der Prioritätstag als Tag der Patentanmeldung gilt.</w:t>
      </w:r>
    </w:p>
    <w:p w14:paraId="6ACE1F69" w14:textId="77777777" w:rsidR="001527B1" w:rsidRPr="004676F5" w:rsidRDefault="001527B1" w:rsidP="001527B1">
      <w:pPr>
        <w:ind w:firstLine="708"/>
        <w:jc w:val="both"/>
        <w:rPr>
          <w:lang w:val="de-DE"/>
        </w:rPr>
      </w:pPr>
    </w:p>
    <w:p w14:paraId="0097F383" w14:textId="3BB0F07F"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Der König kann für die Inanspruchnahme eines Prioritätsrechts eine Gebühr auferlegen, die innerhalb einer Frist und gemäß Modalitäten, die Er festlegt, zu entrichten ist.</w:t>
      </w:r>
    </w:p>
    <w:p w14:paraId="60659F83" w14:textId="77777777" w:rsidR="001527B1" w:rsidRPr="004676F5" w:rsidRDefault="001527B1" w:rsidP="001527B1">
      <w:pPr>
        <w:ind w:firstLine="708"/>
        <w:jc w:val="both"/>
        <w:rPr>
          <w:lang w:val="de-DE"/>
        </w:rPr>
      </w:pPr>
    </w:p>
    <w:p w14:paraId="35A543E7" w14:textId="77777777" w:rsidR="001527B1" w:rsidRPr="004676F5" w:rsidRDefault="001527B1" w:rsidP="001527B1">
      <w:pPr>
        <w:ind w:firstLine="708"/>
        <w:jc w:val="both"/>
        <w:rPr>
          <w:lang w:val="de-DE"/>
        </w:rPr>
      </w:pPr>
      <w:r w:rsidRPr="004676F5">
        <w:rPr>
          <w:lang w:val="de-DE"/>
        </w:rPr>
        <w:t>Legt der König aufgrund von Absatz 1 eine Gebühr fest, führt die Nichtzahlung der Gebühr innerhalb der in Absatz 1 vorgesehenen Frist und den dort vorgesehenen Bedingungen für die betreffende Patentanmeldung von Rechts wegen zum Verlust des Prioritätsrechts.</w:t>
      </w:r>
    </w:p>
    <w:p w14:paraId="202AB5A9" w14:textId="77777777" w:rsidR="001527B1" w:rsidRPr="004676F5" w:rsidRDefault="001527B1" w:rsidP="001527B1">
      <w:pPr>
        <w:ind w:firstLine="708"/>
        <w:jc w:val="both"/>
        <w:rPr>
          <w:lang w:val="de-DE"/>
        </w:rPr>
      </w:pPr>
    </w:p>
    <w:p w14:paraId="70AF8BD2" w14:textId="77777777" w:rsidR="001527B1" w:rsidRPr="004676F5" w:rsidRDefault="001527B1" w:rsidP="001527B1">
      <w:pPr>
        <w:ind w:firstLine="708"/>
        <w:jc w:val="both"/>
        <w:rPr>
          <w:lang w:val="de-DE"/>
        </w:rPr>
      </w:pPr>
      <w:r w:rsidRPr="004676F5">
        <w:rPr>
          <w:lang w:val="de-DE"/>
        </w:rPr>
        <w:t>Bei der eventuellen Festlegung der Gebühr und gegebenenfalls bei der Bestimmung deren Höhe berücksichtigt der König zumindest folgende Kriterien:</w:t>
      </w:r>
    </w:p>
    <w:p w14:paraId="1993E177" w14:textId="77777777" w:rsidR="001527B1" w:rsidRPr="004676F5" w:rsidRDefault="001527B1" w:rsidP="001527B1">
      <w:pPr>
        <w:ind w:firstLine="708"/>
        <w:jc w:val="both"/>
        <w:rPr>
          <w:lang w:val="de-DE"/>
        </w:rPr>
      </w:pPr>
    </w:p>
    <w:p w14:paraId="593D548A" w14:textId="77777777" w:rsidR="001527B1" w:rsidRPr="004676F5" w:rsidRDefault="001527B1" w:rsidP="001527B1">
      <w:pPr>
        <w:ind w:firstLine="708"/>
        <w:jc w:val="both"/>
        <w:rPr>
          <w:lang w:val="de-DE"/>
        </w:rPr>
      </w:pPr>
      <w:r w:rsidRPr="004676F5">
        <w:rPr>
          <w:lang w:val="de-DE"/>
        </w:rPr>
        <w:t>1. Zugang zum belgischen Patentsystem und</w:t>
      </w:r>
    </w:p>
    <w:p w14:paraId="20E128D2" w14:textId="77777777" w:rsidR="001527B1" w:rsidRPr="004676F5" w:rsidRDefault="001527B1" w:rsidP="001527B1">
      <w:pPr>
        <w:ind w:firstLine="708"/>
        <w:jc w:val="both"/>
        <w:rPr>
          <w:lang w:val="de-DE"/>
        </w:rPr>
      </w:pPr>
    </w:p>
    <w:p w14:paraId="78E7CF56" w14:textId="77777777" w:rsidR="001527B1" w:rsidRPr="004676F5" w:rsidRDefault="001527B1" w:rsidP="001527B1">
      <w:pPr>
        <w:ind w:firstLine="708"/>
        <w:jc w:val="both"/>
        <w:rPr>
          <w:lang w:val="de-DE"/>
        </w:rPr>
      </w:pPr>
      <w:r w:rsidRPr="004676F5">
        <w:rPr>
          <w:lang w:val="de-DE"/>
        </w:rPr>
        <w:t>2. Verhältnis zwischen den Verwaltungskosten der in Absatz 1 erwähnten Gebühr für das Amt und den Einnahmen aus dieser Gebühr.</w:t>
      </w:r>
    </w:p>
    <w:p w14:paraId="700A0848" w14:textId="77777777" w:rsidR="001527B1" w:rsidRPr="004676F5" w:rsidRDefault="001527B1" w:rsidP="001527B1">
      <w:pPr>
        <w:ind w:firstLine="708"/>
        <w:jc w:val="both"/>
        <w:rPr>
          <w:lang w:val="de-DE"/>
        </w:rPr>
      </w:pPr>
    </w:p>
    <w:p w14:paraId="4BEC9DAE" w14:textId="3E948926"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Außer in den vom König festgelegten Fällen ist eine Berichtigung eines Prioritätsanspruchs oder seine Hinzufügung hinsichtlich einer Anmeldung (die "spätere Anmeldung") erlaubt, wenn:</w:t>
      </w:r>
    </w:p>
    <w:p w14:paraId="4F69E8DD" w14:textId="77777777" w:rsidR="001527B1" w:rsidRPr="004676F5" w:rsidRDefault="001527B1" w:rsidP="001527B1">
      <w:pPr>
        <w:ind w:firstLine="708"/>
        <w:jc w:val="both"/>
        <w:rPr>
          <w:lang w:val="de-DE"/>
        </w:rPr>
      </w:pPr>
    </w:p>
    <w:p w14:paraId="2D173928" w14:textId="77777777" w:rsidR="001527B1" w:rsidRPr="004676F5" w:rsidRDefault="001527B1" w:rsidP="001527B1">
      <w:pPr>
        <w:ind w:firstLine="708"/>
        <w:jc w:val="both"/>
        <w:rPr>
          <w:lang w:val="de-DE"/>
        </w:rPr>
      </w:pPr>
      <w:r w:rsidRPr="004676F5">
        <w:rPr>
          <w:lang w:val="de-DE"/>
        </w:rPr>
        <w:t>1. dem Amt ein diesbezüglicher Antrag gemäß den vom König festgelegten Bedingungen vorgelegt wird,</w:t>
      </w:r>
    </w:p>
    <w:p w14:paraId="6EF88952" w14:textId="77777777" w:rsidR="001527B1" w:rsidRPr="004676F5" w:rsidRDefault="001527B1" w:rsidP="001527B1">
      <w:pPr>
        <w:jc w:val="both"/>
        <w:rPr>
          <w:lang w:val="de-DE"/>
        </w:rPr>
      </w:pPr>
    </w:p>
    <w:p w14:paraId="4FB90E2B" w14:textId="77777777" w:rsidR="001527B1" w:rsidRPr="004676F5" w:rsidRDefault="001527B1" w:rsidP="001527B1">
      <w:pPr>
        <w:ind w:firstLine="708"/>
        <w:jc w:val="both"/>
        <w:rPr>
          <w:lang w:val="de-DE"/>
        </w:rPr>
      </w:pPr>
      <w:r w:rsidRPr="004676F5">
        <w:rPr>
          <w:lang w:val="de-DE"/>
        </w:rPr>
        <w:t>2. der Antrag innerhalb der vom König festgelegten Frist eingereicht wird,</w:t>
      </w:r>
    </w:p>
    <w:p w14:paraId="0961595F" w14:textId="77777777" w:rsidR="001527B1" w:rsidRPr="004676F5" w:rsidRDefault="001527B1" w:rsidP="001527B1">
      <w:pPr>
        <w:ind w:firstLine="708"/>
        <w:jc w:val="both"/>
        <w:rPr>
          <w:lang w:val="de-DE"/>
        </w:rPr>
      </w:pPr>
    </w:p>
    <w:p w14:paraId="76AE4B81" w14:textId="77777777" w:rsidR="001527B1" w:rsidRPr="004676F5" w:rsidRDefault="001527B1" w:rsidP="001527B1">
      <w:pPr>
        <w:ind w:firstLine="708"/>
        <w:jc w:val="both"/>
        <w:rPr>
          <w:lang w:val="de-DE"/>
        </w:rPr>
      </w:pPr>
      <w:r w:rsidRPr="004676F5">
        <w:rPr>
          <w:lang w:val="de-DE"/>
        </w:rPr>
        <w:t>3. der Anmeldetag der späteren Anmeldung nicht nach dem Zeitpunkt des Ablaufs der Prioritätsfrist liegt, gerechnet ab dem Anmeldetag der ältesten Anmeldung, deren Priorität beansprucht wird.</w:t>
      </w:r>
    </w:p>
    <w:p w14:paraId="17938455" w14:textId="77777777" w:rsidR="001527B1" w:rsidRPr="004676F5" w:rsidRDefault="001527B1" w:rsidP="001527B1">
      <w:pPr>
        <w:ind w:firstLine="708"/>
        <w:jc w:val="both"/>
        <w:rPr>
          <w:lang w:val="de-DE"/>
        </w:rPr>
      </w:pPr>
    </w:p>
    <w:p w14:paraId="11487D16" w14:textId="77777777" w:rsidR="001527B1" w:rsidRPr="004676F5" w:rsidRDefault="001527B1" w:rsidP="001527B1">
      <w:pPr>
        <w:ind w:firstLine="708"/>
        <w:jc w:val="both"/>
        <w:rPr>
          <w:lang w:val="de-DE"/>
        </w:rPr>
      </w:pPr>
      <w:r w:rsidRPr="004676F5">
        <w:rPr>
          <w:lang w:val="de-DE"/>
        </w:rPr>
        <w:t>Ein Antrag kann nicht ganz oder teilweise zurückgewiesen werden, ohne dass der antragstellenden Partei die Möglichkeit eingeräumt wird, innerhalb einer vom König festgelegten Frist zu der beabsichtigten Zurückweisung Stellung zu nehmen.</w:t>
      </w:r>
    </w:p>
    <w:p w14:paraId="24F35E0E" w14:textId="77777777" w:rsidR="001527B1" w:rsidRPr="004676F5" w:rsidRDefault="001527B1" w:rsidP="001527B1">
      <w:pPr>
        <w:ind w:firstLine="708"/>
        <w:jc w:val="both"/>
        <w:rPr>
          <w:lang w:val="de-DE"/>
        </w:rPr>
      </w:pPr>
    </w:p>
    <w:p w14:paraId="276C073E" w14:textId="361A46AA" w:rsidR="001527B1" w:rsidRPr="004676F5" w:rsidRDefault="001527B1" w:rsidP="001527B1">
      <w:pPr>
        <w:ind w:firstLine="708"/>
        <w:jc w:val="both"/>
        <w:rPr>
          <w:lang w:val="de-DE"/>
        </w:rPr>
      </w:pPr>
      <w:r w:rsidRPr="004676F5">
        <w:rPr>
          <w:lang w:val="de-DE"/>
        </w:rPr>
        <w:t>§ 9 </w:t>
      </w:r>
      <w:r w:rsidR="005B7A5C" w:rsidRPr="004676F5">
        <w:rPr>
          <w:lang w:val="de-DE"/>
        </w:rPr>
        <w:t>- </w:t>
      </w:r>
      <w:r w:rsidRPr="004676F5">
        <w:rPr>
          <w:lang w:val="de-DE"/>
        </w:rPr>
        <w:t>Wird eine Anmeldung (die "spätere Anmeldung"), die die Priorität einer früheren Anmeldung beansprucht oder hätte beanspruchen können, nach dem Zeitpunkt des Ablaufs der Prioritätsfrist, aber noch innerhalb der vom König festgelegten Frist eingereicht, so stellt das Amt das Prioritätsrecht wieder her, wenn:</w:t>
      </w:r>
    </w:p>
    <w:p w14:paraId="765EAC4A" w14:textId="77777777" w:rsidR="001527B1" w:rsidRPr="004676F5" w:rsidRDefault="001527B1" w:rsidP="001527B1">
      <w:pPr>
        <w:jc w:val="both"/>
        <w:rPr>
          <w:lang w:val="de-DE"/>
        </w:rPr>
      </w:pPr>
    </w:p>
    <w:p w14:paraId="290479C3" w14:textId="77777777" w:rsidR="001527B1" w:rsidRPr="004676F5" w:rsidRDefault="001527B1" w:rsidP="001527B1">
      <w:pPr>
        <w:ind w:firstLine="708"/>
        <w:jc w:val="both"/>
        <w:rPr>
          <w:lang w:val="de-DE"/>
        </w:rPr>
      </w:pPr>
      <w:r w:rsidRPr="004676F5">
        <w:rPr>
          <w:lang w:val="de-DE"/>
        </w:rPr>
        <w:t>1. dem Amt ein diesbezüglicher Antrag gemäß den vom König festgelegten Bedingungen vorgelegt wird,</w:t>
      </w:r>
    </w:p>
    <w:p w14:paraId="2BBFF074" w14:textId="77777777" w:rsidR="001527B1" w:rsidRPr="004676F5" w:rsidRDefault="001527B1" w:rsidP="001527B1">
      <w:pPr>
        <w:ind w:firstLine="708"/>
        <w:jc w:val="both"/>
        <w:rPr>
          <w:lang w:val="de-DE"/>
        </w:rPr>
      </w:pPr>
    </w:p>
    <w:p w14:paraId="7D7857F8" w14:textId="77777777" w:rsidR="001527B1" w:rsidRPr="004676F5" w:rsidRDefault="001527B1" w:rsidP="001527B1">
      <w:pPr>
        <w:ind w:firstLine="708"/>
        <w:jc w:val="both"/>
        <w:rPr>
          <w:lang w:val="de-DE"/>
        </w:rPr>
      </w:pPr>
      <w:r w:rsidRPr="004676F5">
        <w:rPr>
          <w:lang w:val="de-DE"/>
        </w:rPr>
        <w:t>2. der Antrag innerhalb der vom König festgelegten Frist eingereicht wird,</w:t>
      </w:r>
    </w:p>
    <w:p w14:paraId="0CD3D064" w14:textId="77777777" w:rsidR="001527B1" w:rsidRPr="004676F5" w:rsidRDefault="001527B1" w:rsidP="001527B1">
      <w:pPr>
        <w:ind w:firstLine="708"/>
        <w:jc w:val="both"/>
        <w:rPr>
          <w:lang w:val="de-DE"/>
        </w:rPr>
      </w:pPr>
    </w:p>
    <w:p w14:paraId="34EE3338" w14:textId="77777777" w:rsidR="001527B1" w:rsidRPr="004676F5" w:rsidRDefault="001527B1" w:rsidP="001527B1">
      <w:pPr>
        <w:ind w:firstLine="708"/>
        <w:jc w:val="both"/>
        <w:rPr>
          <w:lang w:val="de-DE"/>
        </w:rPr>
      </w:pPr>
      <w:r w:rsidRPr="004676F5">
        <w:rPr>
          <w:lang w:val="de-DE"/>
        </w:rPr>
        <w:t>3. in dem Antrag angegeben wird, aus welchen Gründen die Prioritätsfrist nicht eingehalten wurde,</w:t>
      </w:r>
    </w:p>
    <w:p w14:paraId="312FA93C" w14:textId="77777777" w:rsidR="001527B1" w:rsidRPr="004676F5" w:rsidRDefault="001527B1" w:rsidP="001527B1">
      <w:pPr>
        <w:ind w:firstLine="708"/>
        <w:jc w:val="both"/>
        <w:rPr>
          <w:lang w:val="de-DE"/>
        </w:rPr>
      </w:pPr>
    </w:p>
    <w:p w14:paraId="0C7C3DFD" w14:textId="77777777" w:rsidR="001527B1" w:rsidRPr="004676F5" w:rsidRDefault="001527B1" w:rsidP="001527B1">
      <w:pPr>
        <w:ind w:firstLine="708"/>
        <w:jc w:val="both"/>
        <w:rPr>
          <w:lang w:val="de-DE"/>
        </w:rPr>
      </w:pPr>
      <w:r w:rsidRPr="004676F5">
        <w:rPr>
          <w:lang w:val="de-DE"/>
        </w:rPr>
        <w:t>4. das Amt feststellt, dass das Versäumnis, die spätere Anmeldung innerhalb der Prioritätsfrist einzureichen, trotz Beachtung der im konkreten Fall gebotenen Sorgfalt eintrat.</w:t>
      </w:r>
    </w:p>
    <w:p w14:paraId="1562C890" w14:textId="77777777" w:rsidR="001527B1" w:rsidRPr="004676F5" w:rsidRDefault="001527B1" w:rsidP="001527B1">
      <w:pPr>
        <w:ind w:firstLine="708"/>
        <w:jc w:val="both"/>
        <w:rPr>
          <w:lang w:val="de-DE"/>
        </w:rPr>
      </w:pPr>
    </w:p>
    <w:p w14:paraId="09B4F1E4" w14:textId="77777777" w:rsidR="001527B1" w:rsidRPr="004676F5" w:rsidRDefault="001527B1" w:rsidP="001527B1">
      <w:pPr>
        <w:ind w:firstLine="708"/>
        <w:jc w:val="both"/>
        <w:rPr>
          <w:lang w:val="de-DE"/>
        </w:rPr>
      </w:pPr>
      <w:r w:rsidRPr="004676F5">
        <w:rPr>
          <w:lang w:val="de-DE"/>
        </w:rPr>
        <w:t>Ein Antrag kann nicht ganz oder teilweise zurückgewiesen werden, ohne dass der antragstellenden Partei die Möglichkeit eingeräumt wird, innerhalb einer vom König festgelegten Frist zu der beabsichtigten Zurückweisung Stellung zu nehmen.</w:t>
      </w:r>
    </w:p>
    <w:p w14:paraId="7DB0666E" w14:textId="77777777" w:rsidR="001527B1" w:rsidRPr="004676F5" w:rsidRDefault="001527B1" w:rsidP="001527B1">
      <w:pPr>
        <w:jc w:val="both"/>
        <w:rPr>
          <w:lang w:val="de-DE"/>
        </w:rPr>
      </w:pPr>
    </w:p>
    <w:p w14:paraId="73568969" w14:textId="404F77AC" w:rsidR="001527B1" w:rsidRPr="004676F5" w:rsidRDefault="001527B1" w:rsidP="001527B1">
      <w:pPr>
        <w:ind w:firstLine="708"/>
        <w:jc w:val="both"/>
        <w:rPr>
          <w:lang w:val="de-DE"/>
        </w:rPr>
      </w:pPr>
      <w:r w:rsidRPr="004676F5">
        <w:rPr>
          <w:lang w:val="de-DE"/>
        </w:rPr>
        <w:t>§ 10 </w:t>
      </w:r>
      <w:r w:rsidR="005B7A5C" w:rsidRPr="004676F5">
        <w:rPr>
          <w:lang w:val="de-DE"/>
        </w:rPr>
        <w:t>- </w:t>
      </w:r>
      <w:r w:rsidRPr="004676F5">
        <w:rPr>
          <w:lang w:val="de-DE"/>
        </w:rPr>
        <w:t>Wird eine Abschrift einer früheren Anmeldung als Prioritätsnachweis beim Amt nicht innerhalb der vom König festgelegten Frist eingereicht, so stellt das Amt das Prioritätsrecht wieder her, wenn:</w:t>
      </w:r>
    </w:p>
    <w:p w14:paraId="59E2804C" w14:textId="77777777" w:rsidR="001527B1" w:rsidRPr="004676F5" w:rsidRDefault="001527B1" w:rsidP="001527B1">
      <w:pPr>
        <w:ind w:firstLine="708"/>
        <w:jc w:val="both"/>
        <w:rPr>
          <w:lang w:val="de-DE"/>
        </w:rPr>
      </w:pPr>
    </w:p>
    <w:p w14:paraId="6160C6E3" w14:textId="77777777" w:rsidR="001527B1" w:rsidRPr="004676F5" w:rsidRDefault="001527B1" w:rsidP="001527B1">
      <w:pPr>
        <w:ind w:firstLine="708"/>
        <w:jc w:val="both"/>
        <w:rPr>
          <w:lang w:val="de-DE"/>
        </w:rPr>
      </w:pPr>
      <w:r w:rsidRPr="004676F5">
        <w:rPr>
          <w:lang w:val="de-DE"/>
        </w:rPr>
        <w:t>1. dem Amt ein diesbezüglicher Antrag gemäß den vom König festgelegten Bedingungen vorgelegt wird,</w:t>
      </w:r>
    </w:p>
    <w:p w14:paraId="58BAE627" w14:textId="77777777" w:rsidR="001527B1" w:rsidRPr="004676F5" w:rsidRDefault="001527B1" w:rsidP="001527B1">
      <w:pPr>
        <w:ind w:firstLine="708"/>
        <w:jc w:val="both"/>
        <w:rPr>
          <w:lang w:val="de-DE"/>
        </w:rPr>
      </w:pPr>
    </w:p>
    <w:p w14:paraId="151C5165" w14:textId="77777777" w:rsidR="001527B1" w:rsidRPr="004676F5" w:rsidRDefault="001527B1" w:rsidP="001527B1">
      <w:pPr>
        <w:ind w:firstLine="708"/>
        <w:jc w:val="both"/>
        <w:rPr>
          <w:lang w:val="de-DE"/>
        </w:rPr>
      </w:pPr>
      <w:r w:rsidRPr="004676F5">
        <w:rPr>
          <w:lang w:val="de-DE"/>
        </w:rPr>
        <w:t>2. der Antrag innerhalb der vom König festgelegten Frist für die Einreichung der Abschrift der früheren Anmeldung eingereicht wird,</w:t>
      </w:r>
    </w:p>
    <w:p w14:paraId="7A6B4064" w14:textId="77777777" w:rsidR="001527B1" w:rsidRPr="004676F5" w:rsidRDefault="001527B1" w:rsidP="001527B1">
      <w:pPr>
        <w:ind w:firstLine="708"/>
        <w:jc w:val="both"/>
        <w:rPr>
          <w:lang w:val="de-DE"/>
        </w:rPr>
      </w:pPr>
    </w:p>
    <w:p w14:paraId="7F923F13" w14:textId="77777777" w:rsidR="001527B1" w:rsidRPr="004676F5" w:rsidRDefault="001527B1" w:rsidP="001527B1">
      <w:pPr>
        <w:ind w:firstLine="708"/>
        <w:jc w:val="both"/>
        <w:rPr>
          <w:lang w:val="de-DE"/>
        </w:rPr>
      </w:pPr>
      <w:r w:rsidRPr="004676F5">
        <w:rPr>
          <w:lang w:val="de-DE"/>
        </w:rPr>
        <w:t>3. das Amt feststellt, dass die einzureichende Abschrift innerhalb der vom König festgelegten Frist bei dem Amt, bei dem die frühere Anmeldung eingereicht wurde, angefordert wurde,</w:t>
      </w:r>
    </w:p>
    <w:p w14:paraId="288ABAC2" w14:textId="77777777" w:rsidR="001527B1" w:rsidRPr="004676F5" w:rsidRDefault="001527B1" w:rsidP="001527B1">
      <w:pPr>
        <w:ind w:firstLine="708"/>
        <w:jc w:val="both"/>
        <w:rPr>
          <w:lang w:val="de-DE"/>
        </w:rPr>
      </w:pPr>
    </w:p>
    <w:p w14:paraId="6D2B6BE1" w14:textId="77777777" w:rsidR="001527B1" w:rsidRPr="004676F5" w:rsidRDefault="001527B1" w:rsidP="001527B1">
      <w:pPr>
        <w:ind w:firstLine="708"/>
        <w:jc w:val="both"/>
        <w:rPr>
          <w:lang w:val="de-DE"/>
        </w:rPr>
      </w:pPr>
      <w:r w:rsidRPr="004676F5">
        <w:rPr>
          <w:lang w:val="de-DE"/>
        </w:rPr>
        <w:t>4. eine Abschrift der früheren Anmeldung innerhalb der vom König festgelegten Frist eingereicht wurde.</w:t>
      </w:r>
    </w:p>
    <w:p w14:paraId="35D69AEA" w14:textId="77777777" w:rsidR="001527B1" w:rsidRPr="004676F5" w:rsidRDefault="001527B1" w:rsidP="001527B1">
      <w:pPr>
        <w:jc w:val="both"/>
        <w:rPr>
          <w:lang w:val="de-DE"/>
        </w:rPr>
      </w:pPr>
    </w:p>
    <w:p w14:paraId="0501C65F" w14:textId="77777777" w:rsidR="001527B1" w:rsidRPr="004676F5" w:rsidRDefault="001527B1" w:rsidP="001527B1">
      <w:pPr>
        <w:ind w:firstLine="708"/>
        <w:jc w:val="both"/>
        <w:rPr>
          <w:lang w:val="de-DE"/>
        </w:rPr>
      </w:pPr>
      <w:r w:rsidRPr="004676F5">
        <w:rPr>
          <w:lang w:val="de-DE"/>
        </w:rPr>
        <w:t>Ein Antrag kann nicht ganz oder teilweise zurückgewiesen werden, ohne dass der antragstellenden Partei die Möglichkeit eingeräumt wird, innerhalb einer vom König festgelegten Frist zu der beabsichtigten Zurückweisung Stellung zu nehmen.</w:t>
      </w:r>
    </w:p>
    <w:p w14:paraId="3023E94E" w14:textId="77777777" w:rsidR="001527B1" w:rsidRPr="004676F5" w:rsidRDefault="001527B1" w:rsidP="001527B1">
      <w:pPr>
        <w:ind w:firstLine="708"/>
        <w:jc w:val="both"/>
        <w:rPr>
          <w:lang w:val="de-DE"/>
        </w:rPr>
      </w:pPr>
    </w:p>
    <w:p w14:paraId="6CBA110D" w14:textId="24C2209B" w:rsidR="001527B1" w:rsidRPr="004676F5" w:rsidRDefault="001527B1" w:rsidP="001527B1">
      <w:pPr>
        <w:ind w:firstLine="708"/>
        <w:jc w:val="both"/>
        <w:rPr>
          <w:lang w:val="de-DE"/>
        </w:rPr>
      </w:pPr>
      <w:r w:rsidRPr="004676F5">
        <w:rPr>
          <w:lang w:val="de-DE"/>
        </w:rPr>
        <w:t>§ 11 </w:t>
      </w:r>
      <w:r w:rsidR="005B7A5C" w:rsidRPr="004676F5">
        <w:rPr>
          <w:lang w:val="de-DE"/>
        </w:rPr>
        <w:t>- </w:t>
      </w:r>
      <w:r w:rsidRPr="004676F5">
        <w:rPr>
          <w:lang w:val="de-DE"/>
        </w:rPr>
        <w:t>Die Einreichung eines Antrags im Sinne der Paragraphen 8, 9 und 10 begründet die Zahlung der vom König festgelegten Gebühr.</w:t>
      </w:r>
    </w:p>
    <w:p w14:paraId="392D1702" w14:textId="77777777" w:rsidR="001527B1" w:rsidRPr="004676F5" w:rsidRDefault="001527B1" w:rsidP="001527B1">
      <w:pPr>
        <w:ind w:firstLine="708"/>
        <w:jc w:val="both"/>
        <w:rPr>
          <w:lang w:val="de-DE"/>
        </w:rPr>
      </w:pPr>
    </w:p>
    <w:p w14:paraId="11D8882A" w14:textId="77777777" w:rsidR="001527B1" w:rsidRPr="004676F5" w:rsidRDefault="001527B1" w:rsidP="001527B1">
      <w:pPr>
        <w:ind w:firstLine="708"/>
        <w:jc w:val="both"/>
        <w:rPr>
          <w:lang w:val="de-DE"/>
        </w:rPr>
      </w:pPr>
      <w:r w:rsidRPr="004676F5">
        <w:rPr>
          <w:lang w:val="de-DE"/>
        </w:rPr>
        <w:t>Ein in den Paragraphen 8, 9 und 10 erwähnter Antrag ist von Rechts wegen unwirksam, wenn die in Absatz 1 erwähnte Gebühr nicht innerhalb der vom König festgelegten Frist entrichtet worden ist.</w:t>
      </w:r>
    </w:p>
    <w:p w14:paraId="3AEC5DF8" w14:textId="77777777" w:rsidR="001527B1" w:rsidRPr="004676F5" w:rsidRDefault="001527B1" w:rsidP="001527B1">
      <w:pPr>
        <w:ind w:firstLine="708"/>
        <w:jc w:val="both"/>
        <w:rPr>
          <w:lang w:val="de-DE"/>
        </w:rPr>
      </w:pPr>
    </w:p>
    <w:p w14:paraId="23169EE1" w14:textId="77777777" w:rsidR="0013666A" w:rsidRPr="004676F5" w:rsidRDefault="0013666A" w:rsidP="001527B1">
      <w:pPr>
        <w:ind w:firstLine="708"/>
        <w:jc w:val="both"/>
        <w:rPr>
          <w:lang w:val="de-DE"/>
        </w:rPr>
      </w:pPr>
    </w:p>
    <w:p w14:paraId="04580D53" w14:textId="39EBE7D4" w:rsidR="0013666A" w:rsidRPr="004676F5" w:rsidRDefault="0013666A" w:rsidP="001527B1">
      <w:pPr>
        <w:ind w:firstLine="708"/>
        <w:jc w:val="both"/>
        <w:rPr>
          <w:lang w:val="de-DE"/>
        </w:rPr>
      </w:pPr>
      <w:r w:rsidRPr="004676F5">
        <w:rPr>
          <w:lang w:val="de-DE"/>
        </w:rPr>
        <w:t>[</w:t>
      </w:r>
      <w:r w:rsidRPr="004676F5">
        <w:rPr>
          <w:b/>
          <w:bCs/>
          <w:lang w:val="de-DE"/>
        </w:rPr>
        <w:t>Art. XI.20/1</w:t>
      </w:r>
      <w:r w:rsidRPr="004676F5">
        <w:rPr>
          <w:lang w:val="de-DE"/>
        </w:rPr>
        <w:t> - Das Amt kann die beglaubigte belgische Patentanmeldung zusammen mit einer Bescheinigung, in der der Tag der Einreichung der Anmeldung angegeben ist, in einer vom König bestimmten Datenbank unter den von Ihm festgelegten Bedingungen und Modalitäten zugänglich machen.]</w:t>
      </w:r>
    </w:p>
    <w:p w14:paraId="4407F0A8" w14:textId="77777777" w:rsidR="0013666A" w:rsidRPr="004676F5" w:rsidRDefault="0013666A" w:rsidP="0013666A">
      <w:pPr>
        <w:jc w:val="both"/>
        <w:rPr>
          <w:lang w:val="de-DE"/>
        </w:rPr>
      </w:pPr>
    </w:p>
    <w:p w14:paraId="73A136EE" w14:textId="677DC245" w:rsidR="0013666A" w:rsidRPr="004676F5" w:rsidRDefault="0013666A" w:rsidP="0013666A">
      <w:pPr>
        <w:jc w:val="both"/>
        <w:rPr>
          <w:i/>
          <w:iCs/>
          <w:lang w:val="de-DE"/>
        </w:rPr>
      </w:pPr>
      <w:r w:rsidRPr="004676F5">
        <w:rPr>
          <w:i/>
          <w:iCs/>
          <w:lang w:val="de-DE"/>
        </w:rPr>
        <w:t>[Art. XI.20/1 eingefügt durch Art. 4 des G. vom 25. September 2022 (B.S. vom 24. Oktober 2022)]</w:t>
      </w:r>
    </w:p>
    <w:p w14:paraId="3D234766" w14:textId="77777777" w:rsidR="0013666A" w:rsidRPr="004676F5" w:rsidRDefault="0013666A" w:rsidP="0013666A">
      <w:pPr>
        <w:jc w:val="both"/>
        <w:rPr>
          <w:i/>
          <w:iCs/>
          <w:lang w:val="de-DE"/>
        </w:rPr>
      </w:pPr>
    </w:p>
    <w:p w14:paraId="18DDBB1A" w14:textId="77777777" w:rsidR="00CE5A09" w:rsidRPr="004676F5" w:rsidRDefault="00CE5A09" w:rsidP="001527B1">
      <w:pPr>
        <w:ind w:firstLine="708"/>
        <w:jc w:val="both"/>
        <w:rPr>
          <w:lang w:val="de-DE"/>
        </w:rPr>
      </w:pPr>
    </w:p>
    <w:p w14:paraId="0D5F9D47" w14:textId="13FC1243"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XI.21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Erfüllt eine Patentanmeldung die in Artikel XI.17 vorgesehenen Bedingungen, aber nicht die sonstigen gesetzlichen oder verordnungsrechtlichen Bedingungen, so teilt das Amt dies dem Anmelder mit und gibt ihm die Gelegenheit, innerhalb der vom König festgelegten Frist und gegen Zahlung </w:t>
      </w:r>
      <w:r w:rsidR="00E875CD" w:rsidRPr="004676F5">
        <w:rPr>
          <w:lang w:val="de-DE"/>
        </w:rPr>
        <w:t>[einer einmaligen Gebühr für die gesamte Anpassung der Anmeldung]</w:t>
      </w:r>
      <w:r w:rsidR="001527B1" w:rsidRPr="004676F5">
        <w:rPr>
          <w:lang w:val="de-DE"/>
        </w:rPr>
        <w:t xml:space="preserve"> seine Anmeldung anzupassen und Stellung zu nehmen.</w:t>
      </w:r>
    </w:p>
    <w:p w14:paraId="2821758D" w14:textId="77777777" w:rsidR="001527B1" w:rsidRPr="004676F5" w:rsidRDefault="001527B1" w:rsidP="001527B1">
      <w:pPr>
        <w:ind w:firstLine="708"/>
        <w:jc w:val="both"/>
        <w:rPr>
          <w:lang w:val="de-DE"/>
        </w:rPr>
      </w:pPr>
    </w:p>
    <w:p w14:paraId="26A76403" w14:textId="77777777" w:rsidR="001527B1" w:rsidRPr="004676F5" w:rsidRDefault="001527B1" w:rsidP="001527B1">
      <w:pPr>
        <w:ind w:firstLine="708"/>
        <w:jc w:val="both"/>
        <w:rPr>
          <w:lang w:val="de-DE"/>
        </w:rPr>
      </w:pPr>
      <w:r w:rsidRPr="004676F5">
        <w:rPr>
          <w:lang w:val="de-DE"/>
        </w:rPr>
        <w:t>Bei Ablauf dieser Frist gilt eine nicht angepasste Anmeldung als zurückgenommen.</w:t>
      </w:r>
    </w:p>
    <w:p w14:paraId="7EB48CFF" w14:textId="77777777" w:rsidR="001527B1" w:rsidRPr="004676F5" w:rsidRDefault="001527B1" w:rsidP="001527B1">
      <w:pPr>
        <w:jc w:val="both"/>
        <w:rPr>
          <w:lang w:val="de-DE"/>
        </w:rPr>
      </w:pPr>
    </w:p>
    <w:p w14:paraId="6F91FE88" w14:textId="77777777" w:rsidR="001527B1" w:rsidRPr="004676F5" w:rsidRDefault="001527B1" w:rsidP="001527B1">
      <w:pPr>
        <w:ind w:firstLine="708"/>
        <w:jc w:val="both"/>
        <w:rPr>
          <w:lang w:val="de-DE"/>
        </w:rPr>
      </w:pPr>
      <w:r w:rsidRPr="004676F5">
        <w:rPr>
          <w:lang w:val="de-DE"/>
        </w:rPr>
        <w:t>Wird eine mit einem Prioritätsanspruch verbundene Bedingung innerhalb der vom König festgelegten Frist nicht erfüllt, so gilt der Prioritätsanspruch vorbehaltlich der Bestimmungen des Artikels XI.20 §§ 8 bis 11 als nicht vorhanden.</w:t>
      </w:r>
    </w:p>
    <w:p w14:paraId="4EDE96D3" w14:textId="77777777" w:rsidR="001527B1" w:rsidRPr="004676F5" w:rsidRDefault="001527B1" w:rsidP="001527B1">
      <w:pPr>
        <w:ind w:firstLine="708"/>
        <w:jc w:val="both"/>
        <w:rPr>
          <w:lang w:val="de-DE"/>
        </w:rPr>
      </w:pPr>
    </w:p>
    <w:p w14:paraId="4C4CFA63" w14:textId="0BFE5F99"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 xml:space="preserve">Erfüllt eine Patentanmeldung die in Artikel XI.17 vorgesehenen Bedingungen, aber nicht die sonstigen gesetzlichen oder verordnungsrechtlichen Bedingungen, so hat der Anmelder die Möglichkeit, selbst wenn er nicht von dem Amt gemäß § 1 dazu aufgefordert wird, die Anmeldung </w:t>
      </w:r>
      <w:r w:rsidR="00E875CD" w:rsidRPr="004676F5">
        <w:rPr>
          <w:lang w:val="de-DE"/>
        </w:rPr>
        <w:t>[...]</w:t>
      </w:r>
      <w:r w:rsidRPr="004676F5">
        <w:rPr>
          <w:lang w:val="de-DE"/>
        </w:rPr>
        <w:t xml:space="preserve"> anzupassen, solange das Patent nicht erteilt worden ist.</w:t>
      </w:r>
      <w:r w:rsidR="00E875CD" w:rsidRPr="004676F5">
        <w:rPr>
          <w:lang w:val="de-DE"/>
        </w:rPr>
        <w:t xml:space="preserve"> [In diesem Fall ist die einmalige Anpassungsgebühr nicht zu entrichten.]</w:t>
      </w:r>
    </w:p>
    <w:p w14:paraId="402E8AB8" w14:textId="77777777" w:rsidR="001527B1" w:rsidRPr="004676F5" w:rsidRDefault="001527B1" w:rsidP="001527B1">
      <w:pPr>
        <w:ind w:firstLine="708"/>
        <w:jc w:val="both"/>
        <w:rPr>
          <w:lang w:val="de-DE"/>
        </w:rPr>
      </w:pPr>
    </w:p>
    <w:p w14:paraId="548C9E1E" w14:textId="5BCA423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Hat ein Anmelder die in Artikel XI.16 § 2 erwähnte Anmeldegebühr für die Patentanmeldung nicht entrichtet, so fordert das Amt ihn auf, diese Gebühr und eine Zuschlagsgebühr innerhalb der vom König festgelegten Frist zu zahlen. Nach Ablauf dieser Frist gilt eine Anmeldung, für die die in Artikel XI.16 § 2 erwähnte Gebühr nicht entrichtet worden ist, als zurückgenommen.</w:t>
      </w:r>
    </w:p>
    <w:p w14:paraId="319AC69B" w14:textId="77777777" w:rsidR="001527B1" w:rsidRPr="004676F5" w:rsidRDefault="001527B1" w:rsidP="001527B1">
      <w:pPr>
        <w:ind w:firstLine="708"/>
        <w:jc w:val="both"/>
        <w:rPr>
          <w:lang w:val="de-DE"/>
        </w:rPr>
      </w:pPr>
    </w:p>
    <w:p w14:paraId="19C1FCC1" w14:textId="24713EA4"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Aus der Patentanmeldung hervorgehende Rechtsfolgen gelten als null und nichtig, wenn die Patentanmeldung zurückgenommen oder durch formell rechtskräftige Entscheidung zurückgewiesen worden ist. Vorliegende Bestimmung beeinträchtigt nicht die Bestimmungen der Pariser Übereinkunft in Bezug auf die Erlangung des Prioritätsrechts.</w:t>
      </w:r>
    </w:p>
    <w:p w14:paraId="420A46CA" w14:textId="77777777" w:rsidR="001527B1" w:rsidRPr="004676F5" w:rsidRDefault="001527B1" w:rsidP="001527B1">
      <w:pPr>
        <w:jc w:val="both"/>
        <w:rPr>
          <w:lang w:val="de-DE"/>
        </w:rPr>
      </w:pPr>
    </w:p>
    <w:p w14:paraId="779CDAD0" w14:textId="025DC4A1" w:rsidR="00E875CD" w:rsidRPr="004676F5" w:rsidRDefault="00E875CD" w:rsidP="001527B1">
      <w:pPr>
        <w:jc w:val="both"/>
        <w:rPr>
          <w:i/>
          <w:lang w:val="de-DE"/>
        </w:rPr>
      </w:pPr>
      <w:r w:rsidRPr="004676F5">
        <w:rPr>
          <w:i/>
          <w:iCs/>
          <w:lang w:val="de-DE"/>
        </w:rPr>
        <w:t>[Art. XI.21 § 1 Abs. 1 abgeändert durch Art. 16 Nr. 1</w:t>
      </w:r>
      <w:r w:rsidRPr="004676F5">
        <w:rPr>
          <w:i/>
          <w:lang w:val="de-DE"/>
        </w:rPr>
        <w:t xml:space="preserve"> des G. vom 2. Mai 2019 (IV) (B.S. vom 22. Mai 2019); § 2 abgeändert durch Art. 16 Nr. 2 und 3 des G. vom 2. Mai 2019 (IV) (B.S. vom 22. Mai 2019)]</w:t>
      </w:r>
    </w:p>
    <w:p w14:paraId="3EE87F79" w14:textId="77777777" w:rsidR="00E875CD" w:rsidRPr="004676F5" w:rsidRDefault="00E875CD" w:rsidP="001527B1">
      <w:pPr>
        <w:jc w:val="both"/>
        <w:rPr>
          <w:i/>
          <w:iCs/>
          <w:lang w:val="de-DE"/>
        </w:rPr>
      </w:pPr>
    </w:p>
    <w:p w14:paraId="1F4A8296" w14:textId="77777777" w:rsidR="00CE5A09" w:rsidRPr="004676F5" w:rsidRDefault="00CE5A09" w:rsidP="001527B1">
      <w:pPr>
        <w:jc w:val="both"/>
        <w:rPr>
          <w:lang w:val="de-DE"/>
        </w:rPr>
      </w:pPr>
    </w:p>
    <w:p w14:paraId="088067BF" w14:textId="7EB8AB5E" w:rsidR="001527B1" w:rsidRPr="004676F5" w:rsidRDefault="00BE0A56" w:rsidP="001527B1">
      <w:pPr>
        <w:ind w:firstLine="708"/>
        <w:jc w:val="both"/>
        <w:rPr>
          <w:lang w:val="de-DE"/>
        </w:rPr>
      </w:pPr>
      <w:r w:rsidRPr="004676F5">
        <w:rPr>
          <w:b/>
          <w:lang w:val="de-DE"/>
        </w:rPr>
        <w:t>Art. </w:t>
      </w:r>
      <w:r w:rsidR="001527B1" w:rsidRPr="004676F5">
        <w:rPr>
          <w:b/>
          <w:lang w:val="de-DE"/>
        </w:rPr>
        <w:t>XI.22</w:t>
      </w:r>
      <w:r w:rsidR="001527B1" w:rsidRPr="004676F5">
        <w:rPr>
          <w:lang w:val="de-DE"/>
        </w:rPr>
        <w:t> </w:t>
      </w:r>
      <w:r w:rsidR="005B7A5C" w:rsidRPr="004676F5">
        <w:rPr>
          <w:lang w:val="de-DE"/>
        </w:rPr>
        <w:t>- </w:t>
      </w:r>
      <w:r w:rsidR="001527B1" w:rsidRPr="004676F5">
        <w:rPr>
          <w:lang w:val="de-DE"/>
        </w:rPr>
        <w:t>Ein Patentanmelder kann aus eigener Initiative unter den Bedingungen und innerhalb der Fristen, die vom König festgelegt werden, sprachliche Fehler oder Schreibfehler berichtigen.</w:t>
      </w:r>
    </w:p>
    <w:p w14:paraId="4118C727" w14:textId="77777777" w:rsidR="001527B1" w:rsidRPr="004676F5" w:rsidRDefault="001527B1" w:rsidP="001527B1">
      <w:pPr>
        <w:ind w:firstLine="708"/>
        <w:jc w:val="both"/>
        <w:rPr>
          <w:lang w:val="de-DE"/>
        </w:rPr>
      </w:pPr>
    </w:p>
    <w:p w14:paraId="6E9D08EB" w14:textId="77777777" w:rsidR="001527B1" w:rsidRPr="004676F5" w:rsidRDefault="001527B1" w:rsidP="001527B1">
      <w:pPr>
        <w:ind w:firstLine="708"/>
        <w:jc w:val="both"/>
        <w:rPr>
          <w:lang w:val="de-DE"/>
        </w:rPr>
      </w:pPr>
      <w:r w:rsidRPr="004676F5">
        <w:rPr>
          <w:lang w:val="de-DE"/>
        </w:rPr>
        <w:t>Der König kann für die in Absatz 1 erwähnte Berichtigung eine Gebühr festlegen.</w:t>
      </w:r>
    </w:p>
    <w:p w14:paraId="196C12D7" w14:textId="77777777" w:rsidR="001527B1" w:rsidRPr="004676F5" w:rsidRDefault="001527B1" w:rsidP="001527B1">
      <w:pPr>
        <w:ind w:firstLine="708"/>
        <w:jc w:val="both"/>
        <w:rPr>
          <w:lang w:val="de-DE"/>
        </w:rPr>
      </w:pPr>
    </w:p>
    <w:p w14:paraId="621B7222" w14:textId="77777777" w:rsidR="001527B1" w:rsidRPr="004676F5" w:rsidRDefault="001527B1" w:rsidP="001527B1">
      <w:pPr>
        <w:ind w:firstLine="708"/>
        <w:jc w:val="both"/>
        <w:rPr>
          <w:lang w:val="de-DE"/>
        </w:rPr>
      </w:pPr>
      <w:r w:rsidRPr="004676F5">
        <w:rPr>
          <w:lang w:val="de-DE"/>
        </w:rPr>
        <w:t>Bei der eventuellen Festlegung der Gebühr und gegebenenfalls bei der Bestimmung deren Höhe berücksichtigt der König zumindest folgende Kriterien:</w:t>
      </w:r>
    </w:p>
    <w:p w14:paraId="51F66CC0" w14:textId="77777777" w:rsidR="001527B1" w:rsidRPr="004676F5" w:rsidRDefault="001527B1" w:rsidP="001527B1">
      <w:pPr>
        <w:ind w:firstLine="708"/>
        <w:jc w:val="both"/>
        <w:rPr>
          <w:lang w:val="de-DE"/>
        </w:rPr>
      </w:pPr>
    </w:p>
    <w:p w14:paraId="75B6D8E3" w14:textId="77777777" w:rsidR="001527B1" w:rsidRPr="004676F5" w:rsidRDefault="001527B1" w:rsidP="001527B1">
      <w:pPr>
        <w:ind w:firstLine="708"/>
        <w:jc w:val="both"/>
        <w:rPr>
          <w:lang w:val="de-DE"/>
        </w:rPr>
      </w:pPr>
      <w:r w:rsidRPr="004676F5">
        <w:rPr>
          <w:lang w:val="de-DE"/>
        </w:rPr>
        <w:t>1. Zugang zum belgischen Patentsystem,</w:t>
      </w:r>
    </w:p>
    <w:p w14:paraId="02AB8630" w14:textId="77777777" w:rsidR="001527B1" w:rsidRPr="004676F5" w:rsidRDefault="001527B1" w:rsidP="001527B1">
      <w:pPr>
        <w:ind w:firstLine="708"/>
        <w:jc w:val="both"/>
        <w:rPr>
          <w:lang w:val="de-DE"/>
        </w:rPr>
      </w:pPr>
    </w:p>
    <w:p w14:paraId="09478D86" w14:textId="77777777" w:rsidR="001527B1" w:rsidRPr="004676F5" w:rsidRDefault="001527B1" w:rsidP="001527B1">
      <w:pPr>
        <w:ind w:firstLine="708"/>
        <w:jc w:val="both"/>
        <w:rPr>
          <w:lang w:val="de-DE"/>
        </w:rPr>
      </w:pPr>
      <w:r w:rsidRPr="004676F5">
        <w:rPr>
          <w:lang w:val="de-DE"/>
        </w:rPr>
        <w:t>2. Verhältnis zwischen den Verwaltungskosten der in Absatz 1 erwähnten Gebühr für das Amt und den Einnahmen aus dieser Gebühr und</w:t>
      </w:r>
    </w:p>
    <w:p w14:paraId="190CF5FF" w14:textId="77777777" w:rsidR="001527B1" w:rsidRPr="004676F5" w:rsidRDefault="001527B1" w:rsidP="001527B1">
      <w:pPr>
        <w:ind w:firstLine="708"/>
        <w:jc w:val="both"/>
        <w:rPr>
          <w:lang w:val="de-DE"/>
        </w:rPr>
      </w:pPr>
    </w:p>
    <w:p w14:paraId="2145F778" w14:textId="77777777" w:rsidR="001527B1" w:rsidRPr="004676F5" w:rsidRDefault="001527B1" w:rsidP="001527B1">
      <w:pPr>
        <w:ind w:firstLine="708"/>
        <w:jc w:val="both"/>
        <w:rPr>
          <w:lang w:val="de-DE"/>
        </w:rPr>
      </w:pPr>
      <w:r w:rsidRPr="004676F5">
        <w:rPr>
          <w:lang w:val="de-DE"/>
        </w:rPr>
        <w:t>3. Responsabilisierung des Patentanmelders.</w:t>
      </w:r>
    </w:p>
    <w:p w14:paraId="143377E6" w14:textId="77777777" w:rsidR="001527B1" w:rsidRPr="004676F5" w:rsidRDefault="001527B1" w:rsidP="001527B1">
      <w:pPr>
        <w:ind w:firstLine="708"/>
        <w:jc w:val="both"/>
        <w:rPr>
          <w:lang w:val="de-DE"/>
        </w:rPr>
      </w:pPr>
    </w:p>
    <w:p w14:paraId="158B5E5A" w14:textId="77777777" w:rsidR="00CE5A09" w:rsidRPr="004676F5" w:rsidRDefault="00CE5A09" w:rsidP="001527B1">
      <w:pPr>
        <w:ind w:firstLine="708"/>
        <w:jc w:val="both"/>
        <w:rPr>
          <w:lang w:val="de-DE"/>
        </w:rPr>
      </w:pPr>
    </w:p>
    <w:p w14:paraId="1EAF6FD6" w14:textId="3C707011"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XI.23</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Patentanmeldung kann im Verfahren vor dem Amt oder den Gerichten gemäß dem Gesetz und den Ausführungserlassen geändert werden.</w:t>
      </w:r>
    </w:p>
    <w:p w14:paraId="4B622B5D" w14:textId="77777777" w:rsidR="001527B1" w:rsidRPr="004676F5" w:rsidRDefault="001527B1" w:rsidP="001527B1">
      <w:pPr>
        <w:jc w:val="both"/>
        <w:rPr>
          <w:lang w:val="de-DE"/>
        </w:rPr>
      </w:pPr>
    </w:p>
    <w:p w14:paraId="10265CFA" w14:textId="3CC7AB6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Für die Patentanmeldung wird ein Recherchenbericht über die Erfindung erstellt.</w:t>
      </w:r>
    </w:p>
    <w:p w14:paraId="2AC997DF" w14:textId="77777777" w:rsidR="001527B1" w:rsidRPr="004676F5" w:rsidRDefault="001527B1" w:rsidP="001527B1">
      <w:pPr>
        <w:ind w:firstLine="708"/>
        <w:jc w:val="both"/>
        <w:rPr>
          <w:lang w:val="de-DE"/>
        </w:rPr>
      </w:pPr>
    </w:p>
    <w:p w14:paraId="12D41092" w14:textId="77777777" w:rsidR="001527B1" w:rsidRPr="004676F5" w:rsidRDefault="001527B1" w:rsidP="001527B1">
      <w:pPr>
        <w:ind w:firstLine="708"/>
        <w:jc w:val="both"/>
        <w:rPr>
          <w:lang w:val="de-DE"/>
        </w:rPr>
      </w:pPr>
      <w:r w:rsidRPr="004676F5">
        <w:rPr>
          <w:lang w:val="de-DE"/>
        </w:rPr>
        <w:t>Diesem Bericht wird zur Information des Anmelders eine schriftliche Stellungnahme über die Patentierbarkeit der Erfindung anhand der erwähnten Unterlagen beigefügt. Diese Stellungnahme können Drittpersonen in der Akte des erteilten Patents einsehen.</w:t>
      </w:r>
    </w:p>
    <w:p w14:paraId="6C8C5A3F" w14:textId="77777777" w:rsidR="001527B1" w:rsidRPr="004676F5" w:rsidRDefault="001527B1" w:rsidP="001527B1">
      <w:pPr>
        <w:ind w:firstLine="708"/>
        <w:jc w:val="both"/>
        <w:rPr>
          <w:lang w:val="de-DE"/>
        </w:rPr>
      </w:pPr>
    </w:p>
    <w:p w14:paraId="5F6F1F57" w14:textId="5555C3F2"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Recherchenbericht und die schriftliche Stellungnahme werden von einer vom König bestimmten zwischenstaatlichen Organisation erstellt.</w:t>
      </w:r>
    </w:p>
    <w:p w14:paraId="45124192" w14:textId="77777777" w:rsidR="001527B1" w:rsidRPr="004676F5" w:rsidRDefault="001527B1" w:rsidP="001527B1">
      <w:pPr>
        <w:jc w:val="both"/>
        <w:rPr>
          <w:lang w:val="de-DE"/>
        </w:rPr>
      </w:pPr>
    </w:p>
    <w:p w14:paraId="686A4645" w14:textId="77777777" w:rsidR="001527B1" w:rsidRPr="004676F5" w:rsidRDefault="001527B1" w:rsidP="001527B1">
      <w:pPr>
        <w:ind w:firstLine="708"/>
        <w:jc w:val="both"/>
        <w:rPr>
          <w:lang w:val="de-DE"/>
        </w:rPr>
      </w:pPr>
      <w:r w:rsidRPr="004676F5">
        <w:rPr>
          <w:lang w:val="de-DE"/>
        </w:rPr>
        <w:t>Dieser Bericht und diese schriftliche Stellungnahme werden auf der Grundlage der Patentansprüche unter Berücksichtigung der Beschreibung und gegebenenfalls der Zeichnungen erstellt. Sie enthalten Angaben über den Stand der Technik, die für die Beurteilung der Neuheit der Erfindung und der erfinderischen Tätigkeit in Betracht gezogen werden können.</w:t>
      </w:r>
    </w:p>
    <w:p w14:paraId="5016A2CD" w14:textId="77777777" w:rsidR="001527B1" w:rsidRPr="004676F5" w:rsidRDefault="001527B1" w:rsidP="001527B1">
      <w:pPr>
        <w:jc w:val="both"/>
        <w:rPr>
          <w:lang w:val="de-DE"/>
        </w:rPr>
      </w:pPr>
    </w:p>
    <w:p w14:paraId="0F70753B" w14:textId="2F1D6959"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 xml:space="preserve">Der Anmelder hat </w:t>
      </w:r>
      <w:r w:rsidR="008C5996" w:rsidRPr="004676F5">
        <w:rPr>
          <w:lang w:val="de-DE"/>
        </w:rPr>
        <w:t>[eine Recherchengebühr zu entrichten, die die Kosten der Übermittlung der in § 2 erwähnten schriftlichen Stellungnahme umfasst; der König legt Höhe, Frist und Modalitäten der Zahlung dieser Gebühr fest. Um unter anderem die Tragfähigkeit des in Absatz 3 erwähnten Systems der staatlichen Finanzierung zu wahren, kann der König einen höheren Betrag für Anmeldungen festlegen, die die von Ihm festgelegten Bedingungen nicht erfüllen.]</w:t>
      </w:r>
    </w:p>
    <w:p w14:paraId="5FBE2866" w14:textId="77777777" w:rsidR="008C5996" w:rsidRPr="004676F5" w:rsidRDefault="008C5996" w:rsidP="001527B1">
      <w:pPr>
        <w:ind w:firstLine="708"/>
        <w:jc w:val="both"/>
        <w:rPr>
          <w:lang w:val="de-DE"/>
        </w:rPr>
      </w:pPr>
    </w:p>
    <w:p w14:paraId="0D4836D4" w14:textId="0F6B28F8" w:rsidR="008C5996" w:rsidRPr="004676F5" w:rsidRDefault="008C5996" w:rsidP="001527B1">
      <w:pPr>
        <w:ind w:firstLine="708"/>
        <w:jc w:val="both"/>
        <w:rPr>
          <w:lang w:val="de-DE"/>
        </w:rPr>
      </w:pPr>
      <w:r w:rsidRPr="004676F5">
        <w:rPr>
          <w:lang w:val="de-DE"/>
        </w:rPr>
        <w:t>[Ist der in Absatz 1 erwähnte höhere Betrag festgelegt, reicht der Anmelder eine schriftliche Erklärung mit der Angabe ein, ob die Patentanmeldung die gemäß Absatz 1 festgelegten Bedingungen erfüllt. Unabhängig davon, ob sich das Patent noch im Stadium der Anmeldung befindet oder bereits erteilt worden ist, stellt der Anmelder dem Amt auf dessen Verlangen innerhalb der vom König festgelegten Frist alle Informationen zur Unterstützung seiner Erklärung bereit. Stellt das Amt fest, dass der Anmelder seine Erklärung nicht innerhalb der vom König festgelegten Frist abgegeben hat, dass sie unrichtig ist oder dass der Anmelder auf Verlangen des Amtes nicht alle Informationen zur Unterstützung seiner Erklärung bereitgestellt hat, so ist die Recherchengebühr für die Anmeldung der höhere der in Absatz 1 erwähnten Beträge zuzüglich einer Zuschlagsgebühr. Der König bestimmt die Höhe der Zuschlagsgebühr und die Frist und die Modalitäten der Zahlung.]</w:t>
      </w:r>
    </w:p>
    <w:p w14:paraId="684E1B58" w14:textId="77777777" w:rsidR="001527B1" w:rsidRPr="004676F5" w:rsidRDefault="001527B1" w:rsidP="001527B1">
      <w:pPr>
        <w:ind w:firstLine="708"/>
        <w:jc w:val="both"/>
        <w:rPr>
          <w:lang w:val="de-DE"/>
        </w:rPr>
      </w:pPr>
    </w:p>
    <w:p w14:paraId="177BE0AE" w14:textId="24F89A03" w:rsidR="001527B1" w:rsidRPr="004676F5" w:rsidRDefault="001527B1" w:rsidP="001527B1">
      <w:pPr>
        <w:ind w:firstLine="708"/>
        <w:jc w:val="both"/>
        <w:rPr>
          <w:lang w:val="de-DE"/>
        </w:rPr>
      </w:pPr>
      <w:r w:rsidRPr="004676F5">
        <w:rPr>
          <w:lang w:val="de-DE"/>
        </w:rPr>
        <w:t>Die Differenz</w:t>
      </w:r>
      <w:r w:rsidR="008C5996" w:rsidRPr="004676F5">
        <w:rPr>
          <w:lang w:val="de-DE"/>
        </w:rPr>
        <w:t>[, sofern vorhanden,]</w:t>
      </w:r>
      <w:r w:rsidRPr="004676F5">
        <w:rPr>
          <w:lang w:val="de-DE"/>
        </w:rPr>
        <w:t xml:space="preserve"> zwischen der Abgabe, die der in § 3 Absatz 1 erwähnten zwischenstaatlichen Organisation für die Übermittlung der Recherchenberichte gezahlt werden muss, und der Recherchengebühr geht zu Lasten des Staates.</w:t>
      </w:r>
    </w:p>
    <w:p w14:paraId="0667214C" w14:textId="77777777" w:rsidR="001527B1" w:rsidRPr="004676F5" w:rsidRDefault="001527B1" w:rsidP="001527B1">
      <w:pPr>
        <w:ind w:firstLine="708"/>
        <w:jc w:val="both"/>
        <w:rPr>
          <w:lang w:val="de-DE"/>
        </w:rPr>
      </w:pPr>
    </w:p>
    <w:p w14:paraId="3D7508EC" w14:textId="23280BB5" w:rsidR="001527B1" w:rsidRPr="004676F5" w:rsidRDefault="008C5996" w:rsidP="001527B1">
      <w:pPr>
        <w:ind w:firstLine="708"/>
        <w:jc w:val="both"/>
        <w:rPr>
          <w:lang w:val="de-DE"/>
        </w:rPr>
      </w:pPr>
      <w:r w:rsidRPr="004676F5">
        <w:rPr>
          <w:lang w:val="de-DE"/>
        </w:rPr>
        <w:t>[Die Patentanmeldung oder das Patent erlischt, wenn die Recherchengebühr und gegebenenfalls die Zuschlagsgebühr nicht innerhalb der in Absatz 1 beziehungsweise Absatz 2 erwähnten Frist entrichtet wurde.]</w:t>
      </w:r>
    </w:p>
    <w:p w14:paraId="4DE414EF" w14:textId="77777777" w:rsidR="001527B1" w:rsidRPr="004676F5" w:rsidRDefault="001527B1" w:rsidP="001527B1">
      <w:pPr>
        <w:jc w:val="both"/>
        <w:rPr>
          <w:lang w:val="de-DE"/>
        </w:rPr>
      </w:pPr>
    </w:p>
    <w:p w14:paraId="4203EE70" w14:textId="16AB371D"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Das Amt weist den Anmelder auf den nahenden Ablauf der Frist, in der er die Recherchengebühr entrichten muss, und auf die Folgen bei Nichtzahlung der Gebühr hin. Eine Abschrift dieses Hinweises sendet das Amt dem Nießbraucher, dem Pfandgläubiger oder Pfändenden und dem Lizenznehmer, die im Register eingetragen sind, zu.</w:t>
      </w:r>
    </w:p>
    <w:p w14:paraId="2BDF21D2" w14:textId="77777777" w:rsidR="001527B1" w:rsidRPr="004676F5" w:rsidRDefault="001527B1" w:rsidP="001527B1">
      <w:pPr>
        <w:ind w:firstLine="708"/>
        <w:jc w:val="both"/>
        <w:rPr>
          <w:lang w:val="de-DE"/>
        </w:rPr>
      </w:pPr>
    </w:p>
    <w:p w14:paraId="2A2134AE" w14:textId="77777777" w:rsidR="001527B1" w:rsidRPr="004676F5" w:rsidRDefault="001527B1" w:rsidP="001527B1">
      <w:pPr>
        <w:ind w:firstLine="708"/>
        <w:jc w:val="both"/>
        <w:rPr>
          <w:lang w:val="de-DE"/>
        </w:rPr>
      </w:pPr>
      <w:r w:rsidRPr="004676F5">
        <w:rPr>
          <w:lang w:val="de-DE"/>
        </w:rPr>
        <w:t>Eine Abschrift des Hinweises sendet das Amt ebenfalls der Person, deren Klage auf Anspruch auf die Patentanmeldung im Register eingetragen worden ist, zu.</w:t>
      </w:r>
    </w:p>
    <w:p w14:paraId="56EEC450" w14:textId="77777777" w:rsidR="001527B1" w:rsidRPr="004676F5" w:rsidRDefault="001527B1" w:rsidP="001527B1">
      <w:pPr>
        <w:ind w:firstLine="708"/>
        <w:jc w:val="both"/>
        <w:rPr>
          <w:lang w:val="de-DE"/>
        </w:rPr>
      </w:pPr>
    </w:p>
    <w:p w14:paraId="20EE0762" w14:textId="77777777" w:rsidR="001527B1" w:rsidRPr="004676F5" w:rsidRDefault="001527B1" w:rsidP="001527B1">
      <w:pPr>
        <w:ind w:firstLine="708"/>
        <w:jc w:val="both"/>
        <w:rPr>
          <w:lang w:val="de-DE"/>
        </w:rPr>
      </w:pPr>
      <w:r w:rsidRPr="004676F5">
        <w:rPr>
          <w:lang w:val="de-DE"/>
        </w:rPr>
        <w:t>In Abweichung von den Bestimmungen von § 4 des vorliegenden Artikels darf der Anspruchsteller die Recherchengebühr innerhalb der in diesem Paragraphen erwähnten Frist entrichten. Entrichtet der Patentanmelder ebenfalls diese Gebühr, erstattet das Amt dem Anspruchsteller die von ihm entrichtete Gebühr.</w:t>
      </w:r>
    </w:p>
    <w:p w14:paraId="669DF7AB" w14:textId="77777777" w:rsidR="001527B1" w:rsidRPr="004676F5" w:rsidRDefault="001527B1" w:rsidP="001527B1">
      <w:pPr>
        <w:ind w:firstLine="708"/>
        <w:jc w:val="both"/>
        <w:rPr>
          <w:lang w:val="de-DE"/>
        </w:rPr>
      </w:pPr>
    </w:p>
    <w:p w14:paraId="55333662" w14:textId="77777777" w:rsidR="001527B1" w:rsidRPr="004676F5" w:rsidRDefault="001527B1" w:rsidP="001527B1">
      <w:pPr>
        <w:ind w:firstLine="708"/>
        <w:jc w:val="both"/>
        <w:rPr>
          <w:lang w:val="de-DE"/>
        </w:rPr>
      </w:pPr>
      <w:r w:rsidRPr="004676F5">
        <w:rPr>
          <w:lang w:val="de-DE"/>
        </w:rPr>
        <w:t>Bei Zurückweisung oder Aufgabe der Anspruchsklage kann der Anspruchsteller, der die Recherchengebühr entrichtet hat, die Erstattung dieser Gebühr weder beim Amt noch beim Patentanmelder einfordern, wenn dieser Patentanmelder die Gebühr nicht entrichtet hat.</w:t>
      </w:r>
    </w:p>
    <w:p w14:paraId="28BA3095" w14:textId="77777777" w:rsidR="001527B1" w:rsidRPr="004676F5" w:rsidRDefault="001527B1" w:rsidP="001527B1">
      <w:pPr>
        <w:ind w:firstLine="708"/>
        <w:jc w:val="both"/>
        <w:rPr>
          <w:lang w:val="de-DE"/>
        </w:rPr>
      </w:pPr>
    </w:p>
    <w:p w14:paraId="09E69BF3" w14:textId="77777777" w:rsidR="001527B1" w:rsidRPr="004676F5" w:rsidRDefault="001527B1" w:rsidP="001527B1">
      <w:pPr>
        <w:ind w:firstLine="708"/>
        <w:jc w:val="both"/>
        <w:rPr>
          <w:lang w:val="de-DE"/>
        </w:rPr>
      </w:pPr>
      <w:r w:rsidRPr="004676F5">
        <w:rPr>
          <w:lang w:val="de-DE"/>
        </w:rPr>
        <w:t>Hinweise und Abschriften werden vom Amt an die letztbekannte Adresse der Interessehabenden gesendet. Nichtzusendung oder Nichterhalt dieser Hinweise und Abschriften führt nicht zur Befreiung von der Zahlung der Recherchengebühr innerhalb der vorgeschriebenen Frist; es kann sich weder vor Gericht noch gegenüber dem Amt darauf berufen werden.</w:t>
      </w:r>
    </w:p>
    <w:p w14:paraId="6EF96841" w14:textId="77777777" w:rsidR="001527B1" w:rsidRPr="004676F5" w:rsidRDefault="001527B1" w:rsidP="001527B1">
      <w:pPr>
        <w:ind w:firstLine="708"/>
        <w:jc w:val="both"/>
        <w:rPr>
          <w:lang w:val="de-DE"/>
        </w:rPr>
      </w:pPr>
    </w:p>
    <w:p w14:paraId="7121818B" w14:textId="3848CAA5"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Das Amt übermittelt dem Patentanmelder den Recherchenbericht und die schriftliche Stellungnahme; der Anmelder kann eine neue Fassung der Patentansprüche und der Zusammenfassung einreichen. Der Anmelder, der eine neue Fassung der Patentansprüche eingereicht hat, ändert die Beschreibung ab, um sie mit den neuen Patentansprüchen in Übereinstimmung zu bringen.</w:t>
      </w:r>
    </w:p>
    <w:p w14:paraId="2D739C1F" w14:textId="77777777" w:rsidR="001527B1" w:rsidRPr="004676F5" w:rsidRDefault="001527B1" w:rsidP="001527B1">
      <w:pPr>
        <w:ind w:firstLine="708"/>
        <w:jc w:val="both"/>
        <w:rPr>
          <w:lang w:val="de-DE"/>
        </w:rPr>
      </w:pPr>
    </w:p>
    <w:p w14:paraId="47391705" w14:textId="77777777" w:rsidR="001527B1" w:rsidRPr="004676F5" w:rsidRDefault="001527B1" w:rsidP="001527B1">
      <w:pPr>
        <w:ind w:firstLine="708"/>
        <w:jc w:val="both"/>
        <w:rPr>
          <w:lang w:val="de-DE"/>
        </w:rPr>
      </w:pPr>
      <w:r w:rsidRPr="004676F5">
        <w:rPr>
          <w:lang w:val="de-DE"/>
        </w:rPr>
        <w:t>Der Anmelder kann zur Information auch schriftliche Kommentare zur schriftlichen Stellungnahme, die ihm übermittelt wurde, einreichen.</w:t>
      </w:r>
    </w:p>
    <w:p w14:paraId="7434F8C6" w14:textId="77777777" w:rsidR="001527B1" w:rsidRPr="004676F5" w:rsidRDefault="001527B1" w:rsidP="001527B1">
      <w:pPr>
        <w:ind w:firstLine="708"/>
        <w:jc w:val="both"/>
        <w:rPr>
          <w:lang w:val="de-DE"/>
        </w:rPr>
      </w:pPr>
    </w:p>
    <w:p w14:paraId="2F38BB97" w14:textId="77777777" w:rsidR="001527B1" w:rsidRPr="004676F5" w:rsidRDefault="001527B1" w:rsidP="001527B1">
      <w:pPr>
        <w:ind w:firstLine="708"/>
        <w:jc w:val="both"/>
        <w:rPr>
          <w:lang w:val="de-DE"/>
        </w:rPr>
      </w:pPr>
      <w:r w:rsidRPr="004676F5">
        <w:rPr>
          <w:lang w:val="de-DE"/>
        </w:rPr>
        <w:t>Die Patentanmeldung darf nicht in der Weise geändert werden, dass ihr Gegenstand über den Inhalt der Anmeldung in der ursprünglich eingereichten Fassung hinausgeht.</w:t>
      </w:r>
    </w:p>
    <w:p w14:paraId="2E816CD8" w14:textId="77777777" w:rsidR="001527B1" w:rsidRPr="004676F5" w:rsidRDefault="001527B1" w:rsidP="001527B1">
      <w:pPr>
        <w:ind w:firstLine="708"/>
        <w:jc w:val="both"/>
        <w:rPr>
          <w:lang w:val="de-DE"/>
        </w:rPr>
      </w:pPr>
    </w:p>
    <w:p w14:paraId="36395DE8" w14:textId="77777777" w:rsidR="001527B1" w:rsidRPr="004676F5" w:rsidRDefault="001527B1" w:rsidP="001527B1">
      <w:pPr>
        <w:ind w:firstLine="708"/>
        <w:jc w:val="both"/>
        <w:rPr>
          <w:lang w:val="de-DE"/>
        </w:rPr>
      </w:pPr>
      <w:r w:rsidRPr="004676F5">
        <w:rPr>
          <w:lang w:val="de-DE"/>
        </w:rPr>
        <w:t>Der König bestimmt Bedingungen und Fristen für die Änderung der Patentansprüche, der Beschreibung und der Zusammenfassung im Rahmen des vorliegenden Paragraphen.</w:t>
      </w:r>
    </w:p>
    <w:p w14:paraId="51D4530A" w14:textId="77777777" w:rsidR="001527B1" w:rsidRPr="004676F5" w:rsidRDefault="001527B1" w:rsidP="001527B1">
      <w:pPr>
        <w:ind w:firstLine="708"/>
        <w:jc w:val="both"/>
        <w:rPr>
          <w:lang w:val="de-DE"/>
        </w:rPr>
      </w:pPr>
    </w:p>
    <w:p w14:paraId="59828497" w14:textId="30D4A0DB"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Der König bestimmt Bedingungen und Fristen für die Erstellung des Recherchenberichts und der schriftlichen Stellungnahme, die Einreichung der Kommentare und die Änderung der Ansprüche, der Beschreibung und der Zusammenfassung.</w:t>
      </w:r>
    </w:p>
    <w:p w14:paraId="7F258C83" w14:textId="77777777" w:rsidR="001527B1" w:rsidRPr="004676F5" w:rsidRDefault="001527B1" w:rsidP="001527B1">
      <w:pPr>
        <w:ind w:firstLine="708"/>
        <w:jc w:val="both"/>
        <w:rPr>
          <w:lang w:val="de-DE"/>
        </w:rPr>
      </w:pPr>
    </w:p>
    <w:p w14:paraId="5E8C80DD" w14:textId="6F0DA8EE"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Fällt die Erfindung, die Gegenstand einer Patentanmeldung ist, unter die Bestimmungen des Gesetzes vom 10. Januar 1955, kann das durch vorliegenden Artikel vorgesehene Verfahren erst ab Aufhebung des Erfindungsgeheimnisses eingeleitet werden.</w:t>
      </w:r>
    </w:p>
    <w:p w14:paraId="4F38811D" w14:textId="77777777" w:rsidR="001527B1" w:rsidRPr="004676F5" w:rsidRDefault="001527B1" w:rsidP="001527B1">
      <w:pPr>
        <w:ind w:firstLine="708"/>
        <w:jc w:val="both"/>
        <w:rPr>
          <w:lang w:val="de-DE"/>
        </w:rPr>
      </w:pPr>
    </w:p>
    <w:p w14:paraId="45BE25C7" w14:textId="4F338A95" w:rsidR="001527B1" w:rsidRPr="004676F5" w:rsidRDefault="001527B1" w:rsidP="001527B1">
      <w:pPr>
        <w:ind w:firstLine="708"/>
        <w:jc w:val="both"/>
        <w:rPr>
          <w:lang w:val="de-DE"/>
        </w:rPr>
      </w:pPr>
      <w:r w:rsidRPr="004676F5">
        <w:rPr>
          <w:lang w:val="de-DE"/>
        </w:rPr>
        <w:t>§ 9 </w:t>
      </w:r>
      <w:r w:rsidR="005B7A5C" w:rsidRPr="004676F5">
        <w:rPr>
          <w:lang w:val="de-DE"/>
        </w:rPr>
        <w:t>- </w:t>
      </w:r>
      <w:r w:rsidRPr="004676F5">
        <w:rPr>
          <w:lang w:val="de-DE"/>
        </w:rPr>
        <w:t>Der König kann beschließen, dass, wenn im Erteilungsverfahren für ein belgisches oder ausländisches, nationales oder regionales Patent oder im Verfahren für eine internationale Patentanmeldung vor Ablauf der Frist für die Entrichtung der in § 4 erwähnten Recherchengebühr ein Recherchenbericht und die dazugehörende schriftliche Stellungnahme vorgelegt wurden, die durch eine in § 3 des vorliegenden Artikels erwähnte zwischen</w:t>
      </w:r>
      <w:r w:rsidRPr="004676F5">
        <w:rPr>
          <w:lang w:val="de-DE"/>
        </w:rPr>
        <w:softHyphen/>
        <w:t>staatliche Organisation erstellt worden sind und die sich auf eine Erfindung beziehen, die einer Erfindung entspricht, für die in Belgien eine Patentanmeldung eingereicht wird, dieser Recherchenbericht und diese schriftliche Stellungnahme unter den von Ihm festgelegten Bedingungen auf Antrag des Anmelders beim Erteilungsverfahren für ein belgisches Patent verwendet werden können.</w:t>
      </w:r>
    </w:p>
    <w:p w14:paraId="2ABC20E1" w14:textId="77777777" w:rsidR="001527B1" w:rsidRPr="004676F5" w:rsidRDefault="001527B1" w:rsidP="001527B1">
      <w:pPr>
        <w:ind w:firstLine="708"/>
        <w:jc w:val="both"/>
        <w:rPr>
          <w:lang w:val="de-DE"/>
        </w:rPr>
      </w:pPr>
    </w:p>
    <w:p w14:paraId="0E462C8F" w14:textId="62CFA574" w:rsidR="001527B1" w:rsidRPr="004676F5" w:rsidRDefault="001527B1" w:rsidP="001527B1">
      <w:pPr>
        <w:ind w:firstLine="708"/>
        <w:jc w:val="both"/>
        <w:rPr>
          <w:lang w:val="de-DE"/>
        </w:rPr>
      </w:pPr>
      <w:r w:rsidRPr="004676F5">
        <w:rPr>
          <w:lang w:val="de-DE"/>
        </w:rPr>
        <w:t>§ 10 </w:t>
      </w:r>
      <w:r w:rsidR="005B7A5C" w:rsidRPr="004676F5">
        <w:rPr>
          <w:lang w:val="de-DE"/>
        </w:rPr>
        <w:t>- </w:t>
      </w:r>
      <w:r w:rsidRPr="004676F5">
        <w:rPr>
          <w:lang w:val="de-DE"/>
        </w:rPr>
        <w:t>Auf Antrag des Anmelders, der dem Amt innerhalb der in § 4 erwähnten Frist zugesendet wird, unterwirft das Amt die Erfindung, die Gegenstand einer Patentanmeldung ist, der in Artikel 15 Absatz 5 Buchstabe </w:t>
      </w:r>
      <w:r w:rsidRPr="004676F5">
        <w:rPr>
          <w:i/>
          <w:lang w:val="de-DE"/>
        </w:rPr>
        <w:t>a)</w:t>
      </w:r>
      <w:r w:rsidRPr="004676F5">
        <w:rPr>
          <w:lang w:val="de-DE"/>
        </w:rPr>
        <w:t xml:space="preserve"> des Zusammenarbeitsvertrags erwähnten Recherche </w:t>
      </w:r>
      <w:r w:rsidRPr="004676F5">
        <w:rPr>
          <w:lang w:val="de-DE"/>
        </w:rPr>
        <w:lastRenderedPageBreak/>
        <w:t xml:space="preserve">internationaler </w:t>
      </w:r>
      <w:r w:rsidR="00BE0A56" w:rsidRPr="004676F5">
        <w:rPr>
          <w:lang w:val="de-DE"/>
        </w:rPr>
        <w:t>Art. </w:t>
      </w:r>
      <w:r w:rsidRPr="004676F5">
        <w:rPr>
          <w:lang w:val="de-DE"/>
        </w:rPr>
        <w:t>Diese Recherche gilt als eine in § 2 des vorliegenden Artikels erwähnte Recherche über die Erfindung.</w:t>
      </w:r>
    </w:p>
    <w:p w14:paraId="3528351A" w14:textId="77777777" w:rsidR="001527B1" w:rsidRPr="004676F5" w:rsidRDefault="001527B1" w:rsidP="001527B1">
      <w:pPr>
        <w:jc w:val="both"/>
        <w:rPr>
          <w:lang w:val="de-DE"/>
        </w:rPr>
      </w:pPr>
    </w:p>
    <w:p w14:paraId="628A0767" w14:textId="77777777" w:rsidR="001527B1" w:rsidRPr="004676F5" w:rsidRDefault="001527B1" w:rsidP="001527B1">
      <w:pPr>
        <w:ind w:firstLine="708"/>
        <w:jc w:val="both"/>
        <w:rPr>
          <w:lang w:val="de-DE"/>
        </w:rPr>
      </w:pPr>
      <w:r w:rsidRPr="004676F5">
        <w:rPr>
          <w:lang w:val="de-DE"/>
        </w:rPr>
        <w:t>Der König kann für die Einreichung des in Absatz 1 erwähnten Antrags eine Gebühr festlegen, die innerhalb einer Frist und gemäß Modalitäten zu entrichten ist, die der König festlegt.</w:t>
      </w:r>
    </w:p>
    <w:p w14:paraId="644AD5E7" w14:textId="77777777" w:rsidR="001527B1" w:rsidRPr="004676F5" w:rsidRDefault="001527B1" w:rsidP="001527B1">
      <w:pPr>
        <w:ind w:firstLine="708"/>
        <w:jc w:val="both"/>
        <w:rPr>
          <w:lang w:val="de-DE"/>
        </w:rPr>
      </w:pPr>
    </w:p>
    <w:p w14:paraId="25FCF6CE" w14:textId="77777777" w:rsidR="001527B1" w:rsidRPr="004676F5" w:rsidRDefault="001527B1" w:rsidP="001527B1">
      <w:pPr>
        <w:ind w:firstLine="708"/>
        <w:jc w:val="both"/>
        <w:rPr>
          <w:lang w:val="de-DE"/>
        </w:rPr>
      </w:pPr>
      <w:r w:rsidRPr="004676F5">
        <w:rPr>
          <w:lang w:val="de-DE"/>
        </w:rPr>
        <w:t>Legt der König aufgrund von Absatz 2 eine Gebühr fest, hat die Nichtzahlung der Gebühr innerhalb der in Absatz 2 vorgesehenen Frist und den dort vorgesehenen Bedingungen zur Folge, dass der betreffende Antrag von Rechts wegen als nicht eingereicht gilt.</w:t>
      </w:r>
    </w:p>
    <w:p w14:paraId="74950849" w14:textId="77777777" w:rsidR="001527B1" w:rsidRPr="004676F5" w:rsidRDefault="001527B1" w:rsidP="001527B1">
      <w:pPr>
        <w:ind w:firstLine="708"/>
        <w:jc w:val="both"/>
        <w:rPr>
          <w:lang w:val="de-DE"/>
        </w:rPr>
      </w:pPr>
    </w:p>
    <w:p w14:paraId="146BD55A" w14:textId="77777777" w:rsidR="001527B1" w:rsidRPr="004676F5" w:rsidRDefault="001527B1" w:rsidP="001527B1">
      <w:pPr>
        <w:ind w:firstLine="708"/>
        <w:jc w:val="both"/>
        <w:rPr>
          <w:lang w:val="de-DE"/>
        </w:rPr>
      </w:pPr>
      <w:r w:rsidRPr="004676F5">
        <w:rPr>
          <w:lang w:val="de-DE"/>
        </w:rPr>
        <w:t>Bei der eventuellen Festlegung der Gebühr und gegebenenfalls bei der Bestimmung deren Höhe berücksichtigt der König zumindest folgende Kriterien:</w:t>
      </w:r>
    </w:p>
    <w:p w14:paraId="07E4A8DA" w14:textId="77777777" w:rsidR="001527B1" w:rsidRPr="004676F5" w:rsidRDefault="001527B1" w:rsidP="001527B1">
      <w:pPr>
        <w:ind w:firstLine="708"/>
        <w:jc w:val="both"/>
        <w:rPr>
          <w:lang w:val="de-DE"/>
        </w:rPr>
      </w:pPr>
    </w:p>
    <w:p w14:paraId="6A2E6DC9" w14:textId="77777777" w:rsidR="001527B1" w:rsidRPr="004676F5" w:rsidRDefault="001527B1" w:rsidP="001527B1">
      <w:pPr>
        <w:ind w:firstLine="708"/>
        <w:jc w:val="both"/>
        <w:rPr>
          <w:lang w:val="de-DE"/>
        </w:rPr>
      </w:pPr>
      <w:r w:rsidRPr="004676F5">
        <w:rPr>
          <w:lang w:val="de-DE"/>
        </w:rPr>
        <w:t>1. Zugang zum belgischen Patentsystem und</w:t>
      </w:r>
    </w:p>
    <w:p w14:paraId="1236B9E0" w14:textId="77777777" w:rsidR="001527B1" w:rsidRPr="004676F5" w:rsidRDefault="001527B1" w:rsidP="001527B1">
      <w:pPr>
        <w:ind w:firstLine="708"/>
        <w:jc w:val="both"/>
        <w:rPr>
          <w:lang w:val="de-DE"/>
        </w:rPr>
      </w:pPr>
    </w:p>
    <w:p w14:paraId="58857188" w14:textId="77777777" w:rsidR="001527B1" w:rsidRPr="004676F5" w:rsidRDefault="001527B1" w:rsidP="001527B1">
      <w:pPr>
        <w:ind w:firstLine="708"/>
        <w:jc w:val="both"/>
        <w:rPr>
          <w:lang w:val="de-DE"/>
        </w:rPr>
      </w:pPr>
      <w:r w:rsidRPr="004676F5">
        <w:rPr>
          <w:lang w:val="de-DE"/>
        </w:rPr>
        <w:t>2. Verhältnis zwischen den Verwaltungskosten der in Absatz 2 erwähnten Gebühr für das Amt und den Einnahmen aus dieser Gebühr.</w:t>
      </w:r>
    </w:p>
    <w:p w14:paraId="1261603A" w14:textId="77777777" w:rsidR="001527B1" w:rsidRPr="004676F5" w:rsidRDefault="001527B1" w:rsidP="008C5996">
      <w:pPr>
        <w:jc w:val="both"/>
        <w:rPr>
          <w:lang w:val="de-DE"/>
        </w:rPr>
      </w:pPr>
    </w:p>
    <w:p w14:paraId="441B1453" w14:textId="304506F9" w:rsidR="008C5996" w:rsidRPr="004676F5" w:rsidRDefault="008C5996" w:rsidP="008C5996">
      <w:pPr>
        <w:jc w:val="both"/>
        <w:rPr>
          <w:i/>
          <w:iCs/>
          <w:lang w:val="de-DE"/>
        </w:rPr>
      </w:pPr>
      <w:r w:rsidRPr="004676F5">
        <w:rPr>
          <w:i/>
          <w:iCs/>
          <w:lang w:val="de-DE"/>
        </w:rPr>
        <w:t>[Art. XI.23 § 4 Abs. 1 abgeändert durch Art. 5 Nr. 1 des G. vom 25. September 2022 (B.S. vom 24. Oktober 2022); § 4 neuer Absatz 2 eingefügt durch Art. 5 Nr. 2 des G. vom 25. September 2022 (B.S. vom 24. Oktober 2022); § 4 Abs. 3 abgeändert durch Art. 5 Nr. 3 des G. vom 25. September 2022 (B.S. vom 24. Oktober 2022); § 4 Abs. 4 ersetzt durch Art. 5 Nr. 4 des G. vom 25. September 2022 (B.S. vom 24. Oktober 2022)]</w:t>
      </w:r>
    </w:p>
    <w:p w14:paraId="4186CBCD" w14:textId="77777777" w:rsidR="008C5996" w:rsidRPr="004676F5" w:rsidRDefault="008C5996" w:rsidP="008C5996">
      <w:pPr>
        <w:jc w:val="both"/>
        <w:rPr>
          <w:i/>
          <w:iCs/>
          <w:lang w:val="de-DE"/>
        </w:rPr>
      </w:pPr>
    </w:p>
    <w:p w14:paraId="3CB5412D" w14:textId="77777777" w:rsidR="00CE5A09" w:rsidRPr="004676F5" w:rsidRDefault="00CE5A09" w:rsidP="001527B1">
      <w:pPr>
        <w:ind w:firstLine="708"/>
        <w:jc w:val="both"/>
        <w:rPr>
          <w:lang w:val="de-DE"/>
        </w:rPr>
      </w:pPr>
    </w:p>
    <w:p w14:paraId="1092265B" w14:textId="342AEEF0" w:rsidR="001527B1" w:rsidRPr="004676F5" w:rsidRDefault="00BE0A56" w:rsidP="001527B1">
      <w:pPr>
        <w:ind w:firstLine="708"/>
        <w:jc w:val="both"/>
        <w:rPr>
          <w:lang w:val="de-DE"/>
        </w:rPr>
      </w:pPr>
      <w:r w:rsidRPr="004676F5">
        <w:rPr>
          <w:b/>
          <w:lang w:val="de-DE"/>
        </w:rPr>
        <w:t>Art. </w:t>
      </w:r>
      <w:r w:rsidR="001527B1" w:rsidRPr="004676F5">
        <w:rPr>
          <w:b/>
          <w:lang w:val="de-DE"/>
        </w:rPr>
        <w:t>XI.24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Unter Vorbehalt der Bestimmungen von Artikel XI.47 § 2 wird die Erfüllung der für die Erteilung des Patents vorgeschriebenen Formalitäten durch Ministeriellen Erlass sanktioniert. Dieser Erlass bildet das Patent.</w:t>
      </w:r>
    </w:p>
    <w:p w14:paraId="51D61DB7" w14:textId="77777777" w:rsidR="001527B1" w:rsidRPr="004676F5" w:rsidRDefault="001527B1" w:rsidP="001527B1">
      <w:pPr>
        <w:ind w:firstLine="708"/>
        <w:jc w:val="both"/>
        <w:rPr>
          <w:lang w:val="de-DE"/>
        </w:rPr>
      </w:pPr>
    </w:p>
    <w:p w14:paraId="1E3ED936" w14:textId="738B511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Erlass ergeht so schnell wie möglich nach Ablauf einer Frist von achtzehn Monaten nach dem Anmeldetag oder, wenn gemäß den Bestimmungen von Artikel XI.20 ein Prioritätsrecht in Anspruch genommen worden ist, nach der ältesten Priorität, die in der Prioritätserklärung angegeben ist.</w:t>
      </w:r>
    </w:p>
    <w:p w14:paraId="6C1FBD63" w14:textId="77777777" w:rsidR="001527B1" w:rsidRPr="004676F5" w:rsidRDefault="001527B1" w:rsidP="001527B1">
      <w:pPr>
        <w:ind w:firstLine="708"/>
        <w:jc w:val="both"/>
        <w:rPr>
          <w:lang w:val="de-DE"/>
        </w:rPr>
      </w:pPr>
    </w:p>
    <w:p w14:paraId="18B177D4" w14:textId="77777777" w:rsidR="001527B1" w:rsidRPr="004676F5" w:rsidRDefault="001527B1" w:rsidP="001527B1">
      <w:pPr>
        <w:ind w:firstLine="708"/>
        <w:jc w:val="both"/>
        <w:rPr>
          <w:lang w:val="de-DE"/>
        </w:rPr>
      </w:pPr>
      <w:r w:rsidRPr="004676F5">
        <w:rPr>
          <w:lang w:val="de-DE"/>
        </w:rPr>
        <w:t>Auf Antrag des Anmelders ergeht der Erlass vor Ablauf der in Absatz 1 festgelegten Frist, sobald die für die Patenterteilung vorgeschriebenen Formalitäten erfüllt sind.</w:t>
      </w:r>
    </w:p>
    <w:p w14:paraId="6B4EB30A" w14:textId="77777777" w:rsidR="001527B1" w:rsidRPr="004676F5" w:rsidRDefault="001527B1" w:rsidP="001527B1">
      <w:pPr>
        <w:ind w:firstLine="708"/>
        <w:jc w:val="both"/>
        <w:rPr>
          <w:lang w:val="de-DE"/>
        </w:rPr>
      </w:pPr>
    </w:p>
    <w:p w14:paraId="7FBF96DA" w14:textId="77777777" w:rsidR="008C5996" w:rsidRPr="004676F5" w:rsidRDefault="001527B1" w:rsidP="008C5996">
      <w:pPr>
        <w:ind w:firstLine="720"/>
        <w:jc w:val="both"/>
        <w:rPr>
          <w:lang w:val="de-DE"/>
        </w:rPr>
      </w:pPr>
      <w:r w:rsidRPr="004676F5">
        <w:rPr>
          <w:lang w:val="de-DE"/>
        </w:rPr>
        <w:t>§ 3 </w:t>
      </w:r>
      <w:r w:rsidR="005B7A5C" w:rsidRPr="004676F5">
        <w:rPr>
          <w:lang w:val="de-DE"/>
        </w:rPr>
        <w:t>- </w:t>
      </w:r>
      <w:r w:rsidR="008C5996" w:rsidRPr="004676F5">
        <w:rPr>
          <w:lang w:val="de-DE"/>
        </w:rPr>
        <w:t>[Unbeschadet der Paragraphen 3/1 und 3/2 und des Gesetzes vom 10. Januar 1955 macht das Amt die Patentanmeldung bei Ablauf der in § 2 Absatz 1 erwähnten Frist von achtzehn Monaten der Öffentlichkeit zugänglich.</w:t>
      </w:r>
    </w:p>
    <w:p w14:paraId="740B146A" w14:textId="77777777" w:rsidR="008C5996" w:rsidRPr="004676F5" w:rsidRDefault="008C5996" w:rsidP="008C5996">
      <w:pPr>
        <w:ind w:firstLine="720"/>
        <w:jc w:val="both"/>
        <w:rPr>
          <w:lang w:val="de-DE"/>
        </w:rPr>
      </w:pPr>
    </w:p>
    <w:p w14:paraId="4C4CD6F5" w14:textId="40A4DB5A" w:rsidR="001527B1" w:rsidRPr="004676F5" w:rsidRDefault="008C5996" w:rsidP="008C5996">
      <w:pPr>
        <w:ind w:firstLine="708"/>
        <w:jc w:val="both"/>
        <w:rPr>
          <w:lang w:val="de-DE"/>
        </w:rPr>
      </w:pPr>
      <w:r w:rsidRPr="004676F5">
        <w:rPr>
          <w:lang w:val="de-DE"/>
        </w:rPr>
        <w:t>Wird die Anmeldung der Öffentlichkeit zugänglich gemacht, so wird dies in das Register eingetragen.]</w:t>
      </w:r>
    </w:p>
    <w:p w14:paraId="3A10F95F" w14:textId="77777777" w:rsidR="008C5996" w:rsidRPr="004676F5" w:rsidRDefault="008C5996" w:rsidP="008C5996">
      <w:pPr>
        <w:ind w:firstLine="708"/>
        <w:jc w:val="both"/>
        <w:rPr>
          <w:lang w:val="de-DE"/>
        </w:rPr>
      </w:pPr>
    </w:p>
    <w:p w14:paraId="078292B5" w14:textId="23AA4126" w:rsidR="008C5996" w:rsidRPr="004676F5" w:rsidRDefault="008C5996" w:rsidP="008C5996">
      <w:pPr>
        <w:ind w:firstLine="720"/>
        <w:jc w:val="both"/>
        <w:rPr>
          <w:lang w:val="de-DE"/>
        </w:rPr>
      </w:pPr>
      <w:r w:rsidRPr="004676F5">
        <w:rPr>
          <w:lang w:val="de-DE"/>
        </w:rPr>
        <w:t>[§ 3/1 - Möchte ein Anmelder nicht, dass seine Anmeldung der Öffentlichkeit zugänglich gemacht wird, so reicht er innerhalb der in Absatz 2 festgelegten Frist einen Antrag zur Zurücknahme seiner Anmeldung ein. Der König legt die Modalitäten für diesen Antrag fest.</w:t>
      </w:r>
    </w:p>
    <w:p w14:paraId="3742D570" w14:textId="77777777" w:rsidR="008C5996" w:rsidRPr="004676F5" w:rsidRDefault="008C5996" w:rsidP="008C5996">
      <w:pPr>
        <w:ind w:firstLine="720"/>
        <w:jc w:val="both"/>
        <w:rPr>
          <w:lang w:val="de-DE"/>
        </w:rPr>
      </w:pPr>
    </w:p>
    <w:p w14:paraId="1A02FF8F" w14:textId="77777777" w:rsidR="008C5996" w:rsidRPr="004676F5" w:rsidRDefault="008C5996" w:rsidP="008C5996">
      <w:pPr>
        <w:ind w:firstLine="720"/>
        <w:jc w:val="both"/>
        <w:rPr>
          <w:lang w:val="de-DE"/>
        </w:rPr>
      </w:pPr>
      <w:r w:rsidRPr="004676F5">
        <w:rPr>
          <w:lang w:val="de-DE"/>
        </w:rPr>
        <w:t xml:space="preserve">Die in Absatz 1 erwähnte Patentanmeldung wird der Öffentlichkeit nicht zugänglich gemacht, wenn diese Anmeldung zurückgenommen wurde oder als zurückgenommen gilt vor Ablauf des siebzehnten Monats nach dem Anmeldetag oder, wenn gemäß den Bestimmungen </w:t>
      </w:r>
      <w:r w:rsidRPr="004676F5">
        <w:rPr>
          <w:lang w:val="de-DE"/>
        </w:rPr>
        <w:lastRenderedPageBreak/>
        <w:t>von Artikel XI.20 ein Prioritätsrecht in Anspruch genommen worden ist, nach der ältesten Priorität, die in der Prioritätserklärung angegeben ist, oder an einem späteren Datum, insofern es noch möglich ist, die Veröffentlichung der Patentanmeldung zu verhindern.</w:t>
      </w:r>
    </w:p>
    <w:p w14:paraId="0012CA93" w14:textId="77777777" w:rsidR="008C5996" w:rsidRPr="004676F5" w:rsidRDefault="008C5996" w:rsidP="008C5996">
      <w:pPr>
        <w:ind w:firstLine="720"/>
        <w:jc w:val="both"/>
        <w:rPr>
          <w:lang w:val="de-DE"/>
        </w:rPr>
      </w:pPr>
    </w:p>
    <w:p w14:paraId="6BF210AA" w14:textId="77777777" w:rsidR="008C5996" w:rsidRPr="004676F5" w:rsidRDefault="008C5996" w:rsidP="008C5996">
      <w:pPr>
        <w:ind w:firstLine="720"/>
        <w:jc w:val="both"/>
        <w:rPr>
          <w:lang w:val="de-DE"/>
        </w:rPr>
      </w:pPr>
      <w:r w:rsidRPr="004676F5">
        <w:rPr>
          <w:lang w:val="de-DE"/>
        </w:rPr>
        <w:t>Sind Nießbrauch-, Pfand- oder Lizenzrechte im Register eingetragen, kann die Anmeldung nur mit Zustimmung der Inhaber dieser Rechte zurückgenommen werden. Eine Patentanmeldung, die Gegenstand eines Eigentumsanspruchs oder einer Beschlagnahme ist, kann nicht zurückgenommen werden. Eine unter Verstoß gegen vorliegenden Artikel vorgenommene Zurücknahme ist von Rechts wegen nichtig.</w:t>
      </w:r>
    </w:p>
    <w:p w14:paraId="40762A7E" w14:textId="77777777" w:rsidR="008C5996" w:rsidRPr="004676F5" w:rsidRDefault="008C5996" w:rsidP="008C5996">
      <w:pPr>
        <w:ind w:firstLine="720"/>
        <w:jc w:val="both"/>
        <w:rPr>
          <w:lang w:val="de-DE"/>
        </w:rPr>
      </w:pPr>
    </w:p>
    <w:p w14:paraId="5E441A0A" w14:textId="55921815" w:rsidR="008C5996" w:rsidRPr="004676F5" w:rsidRDefault="008C5996" w:rsidP="008C5996">
      <w:pPr>
        <w:ind w:firstLine="708"/>
        <w:jc w:val="both"/>
        <w:rPr>
          <w:lang w:val="de-DE"/>
        </w:rPr>
      </w:pPr>
      <w:r w:rsidRPr="004676F5">
        <w:rPr>
          <w:lang w:val="de-DE"/>
        </w:rPr>
        <w:t>§ 3/2 - Auf Antrag des Anmelders oder gegebenenfalls des Nießbrauchers, der dem Amt zugesendet wird, wird die Anmeldung der Öffentlichkeit vor Ablauf der in § 2 Absatz 1 erwähnten Frist zugänglich gemacht.]</w:t>
      </w:r>
    </w:p>
    <w:p w14:paraId="3ADF4268" w14:textId="77777777" w:rsidR="001527B1" w:rsidRPr="004676F5" w:rsidRDefault="001527B1" w:rsidP="001527B1">
      <w:pPr>
        <w:ind w:firstLine="708"/>
        <w:jc w:val="both"/>
        <w:rPr>
          <w:lang w:val="de-DE"/>
        </w:rPr>
      </w:pPr>
    </w:p>
    <w:p w14:paraId="22035B9C" w14:textId="7A0D0FF1"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Erteilung von Patenten erfolgt ohne vorherige Prüfung der Patentierbarkeit der Erfindungen, ohne Garantie des Wertes der Erfindungen oder der Richtigkeit ihrer Beschreibung und auf Gefahr des Patentanmelders.</w:t>
      </w:r>
    </w:p>
    <w:p w14:paraId="75DE429D" w14:textId="77777777" w:rsidR="001527B1" w:rsidRPr="004676F5" w:rsidRDefault="001527B1" w:rsidP="001527B1">
      <w:pPr>
        <w:ind w:firstLine="708"/>
        <w:jc w:val="both"/>
        <w:rPr>
          <w:lang w:val="de-DE"/>
        </w:rPr>
      </w:pPr>
    </w:p>
    <w:p w14:paraId="6AAE8428" w14:textId="77777777" w:rsidR="001527B1" w:rsidRPr="004676F5" w:rsidRDefault="001527B1" w:rsidP="001527B1">
      <w:pPr>
        <w:ind w:firstLine="708"/>
        <w:jc w:val="both"/>
        <w:rPr>
          <w:lang w:val="de-DE"/>
        </w:rPr>
      </w:pPr>
      <w:r w:rsidRPr="004676F5">
        <w:rPr>
          <w:lang w:val="de-DE"/>
        </w:rPr>
        <w:t>Die in Artikel XI.23 § 2 erwähnte schriftliche Stellungnahme bindet das Amt keinesfalls und kann nicht als Prüfung der Patentierbarkeit der Erfindung gelten.</w:t>
      </w:r>
    </w:p>
    <w:p w14:paraId="4410EDF0" w14:textId="77777777" w:rsidR="001527B1" w:rsidRPr="004676F5" w:rsidRDefault="001527B1" w:rsidP="001527B1">
      <w:pPr>
        <w:ind w:firstLine="708"/>
        <w:jc w:val="both"/>
        <w:rPr>
          <w:lang w:val="de-DE"/>
        </w:rPr>
      </w:pPr>
    </w:p>
    <w:p w14:paraId="5884F03F" w14:textId="70E7DF2B"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Unbeschadet der Anwendung der Bestimmungen des Gesetzes vom 10. Januar 1955 werden Patenterteilungen in das Register eingetragen.</w:t>
      </w:r>
    </w:p>
    <w:p w14:paraId="7F01757A" w14:textId="77777777" w:rsidR="001527B1" w:rsidRPr="004676F5" w:rsidRDefault="001527B1" w:rsidP="001527B1">
      <w:pPr>
        <w:ind w:firstLine="708"/>
        <w:jc w:val="both"/>
        <w:rPr>
          <w:lang w:val="de-DE"/>
        </w:rPr>
      </w:pPr>
    </w:p>
    <w:p w14:paraId="7604CC4B" w14:textId="6FC010CC" w:rsidR="00CE5A09" w:rsidRPr="004676F5" w:rsidRDefault="00E875CD" w:rsidP="00E875CD">
      <w:pPr>
        <w:jc w:val="both"/>
        <w:rPr>
          <w:i/>
          <w:lang w:val="de-DE"/>
        </w:rPr>
      </w:pPr>
      <w:r w:rsidRPr="004676F5">
        <w:rPr>
          <w:i/>
          <w:iCs/>
          <w:lang w:val="de-DE"/>
        </w:rPr>
        <w:t xml:space="preserve">[Art. XI.24 § 3 </w:t>
      </w:r>
      <w:r w:rsidR="008C5996" w:rsidRPr="004676F5">
        <w:rPr>
          <w:i/>
          <w:iCs/>
          <w:lang w:val="de-DE"/>
        </w:rPr>
        <w:t>ersetzt durch Art. 6 Nr. 1 des G. vom 25. September 2022 (B.S. vom 24. Oktober 2022); §§ 3/1 und 3/2 eingefügt durch Art. 6 Nr. 2 des G. vom 25. September 2022 (B.S. vom 24. Oktober 2022)</w:t>
      </w:r>
      <w:r w:rsidRPr="004676F5">
        <w:rPr>
          <w:i/>
          <w:lang w:val="de-DE"/>
        </w:rPr>
        <w:t>]</w:t>
      </w:r>
    </w:p>
    <w:p w14:paraId="66271B96" w14:textId="77777777" w:rsidR="00E875CD" w:rsidRPr="004676F5" w:rsidRDefault="00E875CD" w:rsidP="00E875CD">
      <w:pPr>
        <w:jc w:val="both"/>
        <w:rPr>
          <w:i/>
          <w:lang w:val="de-DE"/>
        </w:rPr>
      </w:pPr>
    </w:p>
    <w:p w14:paraId="708868D6" w14:textId="77777777" w:rsidR="00E875CD" w:rsidRPr="004676F5" w:rsidRDefault="00E875CD" w:rsidP="00E875CD">
      <w:pPr>
        <w:jc w:val="both"/>
        <w:rPr>
          <w:i/>
          <w:iCs/>
          <w:lang w:val="de-DE"/>
        </w:rPr>
      </w:pPr>
    </w:p>
    <w:p w14:paraId="6251E4FB" w14:textId="77777777" w:rsidR="008C5996" w:rsidRPr="004676F5" w:rsidRDefault="00BE0A56" w:rsidP="008C5996">
      <w:pPr>
        <w:ind w:firstLine="720"/>
        <w:jc w:val="both"/>
        <w:rPr>
          <w:lang w:val="de-DE"/>
        </w:rPr>
      </w:pPr>
      <w:r w:rsidRPr="004676F5">
        <w:rPr>
          <w:b/>
          <w:lang w:val="de-DE"/>
        </w:rPr>
        <w:t>Art. </w:t>
      </w:r>
      <w:r w:rsidR="001527B1" w:rsidRPr="004676F5">
        <w:rPr>
          <w:b/>
          <w:lang w:val="de-DE"/>
        </w:rPr>
        <w:t>XI.25</w:t>
      </w:r>
      <w:r w:rsidR="001527B1" w:rsidRPr="004676F5">
        <w:rPr>
          <w:lang w:val="de-DE"/>
        </w:rPr>
        <w:t> </w:t>
      </w:r>
      <w:r w:rsidR="005B7A5C" w:rsidRPr="004676F5">
        <w:rPr>
          <w:lang w:val="de-DE"/>
        </w:rPr>
        <w:t>- </w:t>
      </w:r>
      <w:r w:rsidR="008C5996" w:rsidRPr="004676F5">
        <w:rPr>
          <w:lang w:val="de-DE"/>
        </w:rPr>
        <w:t>[§ 1 - Unter den in Artikel XI.24 §§ 3 bis 5 erwähnten Bedingungen macht das Amt die Patentanmeldung über das Register der Öffentlichkeit zugänglich.</w:t>
      </w:r>
    </w:p>
    <w:p w14:paraId="7ACA652B" w14:textId="77777777" w:rsidR="008C5996" w:rsidRPr="004676F5" w:rsidRDefault="008C5996" w:rsidP="008C5996">
      <w:pPr>
        <w:ind w:firstLine="720"/>
        <w:jc w:val="both"/>
        <w:rPr>
          <w:lang w:val="de-DE"/>
        </w:rPr>
      </w:pPr>
    </w:p>
    <w:p w14:paraId="419829B8" w14:textId="77777777" w:rsidR="008C5996" w:rsidRPr="004676F5" w:rsidRDefault="008C5996" w:rsidP="008C5996">
      <w:pPr>
        <w:ind w:firstLine="720"/>
        <w:jc w:val="both"/>
        <w:rPr>
          <w:lang w:val="de-DE"/>
        </w:rPr>
      </w:pPr>
      <w:r w:rsidRPr="004676F5">
        <w:rPr>
          <w:lang w:val="de-DE"/>
        </w:rPr>
        <w:t>Sobald die Patentanmeldung gemäß Absatz 1 der Öffentlichkeit zugänglich gemacht wird, erhält die Öffentlichkeit über das Register Einsicht in die Anmeldungsakte.</w:t>
      </w:r>
    </w:p>
    <w:p w14:paraId="05853E81" w14:textId="77777777" w:rsidR="008C5996" w:rsidRPr="004676F5" w:rsidRDefault="008C5996" w:rsidP="008C5996">
      <w:pPr>
        <w:ind w:firstLine="720"/>
        <w:jc w:val="both"/>
        <w:rPr>
          <w:lang w:val="de-DE"/>
        </w:rPr>
      </w:pPr>
    </w:p>
    <w:p w14:paraId="63BB995A" w14:textId="77777777" w:rsidR="008C5996" w:rsidRPr="004676F5" w:rsidRDefault="008C5996" w:rsidP="008C5996">
      <w:pPr>
        <w:ind w:firstLine="720"/>
        <w:jc w:val="both"/>
        <w:rPr>
          <w:lang w:val="de-DE"/>
        </w:rPr>
      </w:pPr>
      <w:r w:rsidRPr="004676F5">
        <w:rPr>
          <w:lang w:val="de-DE"/>
        </w:rPr>
        <w:t>§ 2 ­ Nach Erteilung des Patents erhält die Öffentlichkeit über das Register Einsicht in die Patentakte, vorbehaltlich der Anwendung des Gesetzes vom 10. Januar 1955.</w:t>
      </w:r>
    </w:p>
    <w:p w14:paraId="2EF6FE45" w14:textId="77777777" w:rsidR="008C5996" w:rsidRPr="004676F5" w:rsidRDefault="008C5996" w:rsidP="008C5996">
      <w:pPr>
        <w:ind w:firstLine="720"/>
        <w:jc w:val="both"/>
        <w:rPr>
          <w:lang w:val="de-DE"/>
        </w:rPr>
      </w:pPr>
    </w:p>
    <w:p w14:paraId="5485581C" w14:textId="77777777" w:rsidR="008C5996" w:rsidRPr="004676F5" w:rsidRDefault="008C5996" w:rsidP="008C5996">
      <w:pPr>
        <w:ind w:firstLine="720"/>
        <w:jc w:val="both"/>
        <w:rPr>
          <w:lang w:val="de-DE"/>
        </w:rPr>
      </w:pPr>
      <w:r w:rsidRPr="004676F5">
        <w:rPr>
          <w:lang w:val="de-DE"/>
        </w:rPr>
        <w:t>Ab dem Datum der Patenterteilung ist gemäß den vom König festgelegten Bedingungen und Formen eine Abschrift erhältlich.</w:t>
      </w:r>
    </w:p>
    <w:p w14:paraId="1A92091C" w14:textId="77777777" w:rsidR="008C5996" w:rsidRPr="004676F5" w:rsidRDefault="008C5996" w:rsidP="008C5996">
      <w:pPr>
        <w:ind w:firstLine="720"/>
        <w:jc w:val="both"/>
        <w:rPr>
          <w:lang w:val="de-DE"/>
        </w:rPr>
      </w:pPr>
    </w:p>
    <w:p w14:paraId="6F742FF7" w14:textId="77777777" w:rsidR="008C5996" w:rsidRPr="004676F5" w:rsidRDefault="008C5996" w:rsidP="008C5996">
      <w:pPr>
        <w:ind w:firstLine="720"/>
        <w:jc w:val="both"/>
        <w:rPr>
          <w:lang w:val="de-DE"/>
        </w:rPr>
      </w:pPr>
      <w:r w:rsidRPr="004676F5">
        <w:rPr>
          <w:lang w:val="de-DE"/>
        </w:rPr>
        <w:t>§ 3 ­ Die Akten der Patentanmeldung und des Patents, die gemäß den Paragraphen 1 und 2 der Akteneinsicht unterliegen, enthalten alle Informationen und Unterlagen in Bezug auf das Patenterteilungsverfahren und insbesondere:</w:t>
      </w:r>
    </w:p>
    <w:p w14:paraId="57610ACB" w14:textId="77777777" w:rsidR="008C5996" w:rsidRPr="004676F5" w:rsidRDefault="008C5996" w:rsidP="008C5996">
      <w:pPr>
        <w:ind w:firstLine="720"/>
        <w:jc w:val="both"/>
        <w:rPr>
          <w:lang w:val="de-DE"/>
        </w:rPr>
      </w:pPr>
    </w:p>
    <w:p w14:paraId="40E7F586" w14:textId="77777777" w:rsidR="008C5996" w:rsidRPr="004676F5" w:rsidRDefault="008C5996" w:rsidP="008C5996">
      <w:pPr>
        <w:ind w:firstLine="720"/>
        <w:jc w:val="both"/>
        <w:rPr>
          <w:lang w:val="de-DE"/>
        </w:rPr>
      </w:pPr>
      <w:r w:rsidRPr="004676F5">
        <w:rPr>
          <w:lang w:val="de-DE"/>
        </w:rPr>
        <w:t>1. die Patentanmeldung,</w:t>
      </w:r>
    </w:p>
    <w:p w14:paraId="1DC2DF1D" w14:textId="77777777" w:rsidR="008C5996" w:rsidRPr="004676F5" w:rsidRDefault="008C5996" w:rsidP="008C5996">
      <w:pPr>
        <w:ind w:firstLine="720"/>
        <w:jc w:val="both"/>
        <w:rPr>
          <w:lang w:val="de-DE"/>
        </w:rPr>
      </w:pPr>
    </w:p>
    <w:p w14:paraId="57F60F4F" w14:textId="77777777" w:rsidR="008C5996" w:rsidRPr="004676F5" w:rsidRDefault="008C5996" w:rsidP="008C5996">
      <w:pPr>
        <w:ind w:firstLine="720"/>
        <w:jc w:val="both"/>
        <w:rPr>
          <w:lang w:val="de-DE"/>
        </w:rPr>
      </w:pPr>
      <w:r w:rsidRPr="004676F5">
        <w:rPr>
          <w:lang w:val="de-DE"/>
        </w:rPr>
        <w:t>2. den Ministeriellen Erlass zur Patenterteilung,</w:t>
      </w:r>
    </w:p>
    <w:p w14:paraId="15B6373F" w14:textId="77777777" w:rsidR="008C5996" w:rsidRPr="004676F5" w:rsidRDefault="008C5996" w:rsidP="008C5996">
      <w:pPr>
        <w:ind w:firstLine="720"/>
        <w:jc w:val="both"/>
        <w:rPr>
          <w:lang w:val="de-DE"/>
        </w:rPr>
      </w:pPr>
    </w:p>
    <w:p w14:paraId="0A7234CC" w14:textId="77777777" w:rsidR="008C5996" w:rsidRPr="004676F5" w:rsidRDefault="008C5996" w:rsidP="008C5996">
      <w:pPr>
        <w:ind w:firstLine="720"/>
        <w:jc w:val="both"/>
        <w:rPr>
          <w:lang w:val="de-DE"/>
        </w:rPr>
      </w:pPr>
      <w:r w:rsidRPr="004676F5">
        <w:rPr>
          <w:lang w:val="de-DE"/>
        </w:rPr>
        <w:t xml:space="preserve">3. die Beschreibung der Erfindung, die Patentansprüche, etwaige ursprüngliche Fassungen der Patentansprüche, die Zeichnungen, auf die sich die Beschreibung bezieht, den </w:t>
      </w:r>
      <w:r w:rsidRPr="004676F5">
        <w:rPr>
          <w:lang w:val="de-DE"/>
        </w:rPr>
        <w:lastRenderedPageBreak/>
        <w:t>Recherchenbericht über die Erfindung, die schriftliche Stellungnahme, und gegebenenfalls die Kommentare, die neue Fassung der Patentansprüche und die geänderte Beschreibung,</w:t>
      </w:r>
    </w:p>
    <w:p w14:paraId="5A601F78" w14:textId="77777777" w:rsidR="008C5996" w:rsidRPr="004676F5" w:rsidRDefault="008C5996" w:rsidP="008C5996">
      <w:pPr>
        <w:ind w:firstLine="720"/>
        <w:jc w:val="both"/>
        <w:rPr>
          <w:lang w:val="de-DE"/>
        </w:rPr>
      </w:pPr>
    </w:p>
    <w:p w14:paraId="34A422A0" w14:textId="77777777" w:rsidR="008C5996" w:rsidRPr="004676F5" w:rsidRDefault="008C5996" w:rsidP="008C5996">
      <w:pPr>
        <w:ind w:firstLine="720"/>
        <w:jc w:val="both"/>
        <w:rPr>
          <w:lang w:val="de-DE"/>
        </w:rPr>
      </w:pPr>
      <w:r w:rsidRPr="004676F5">
        <w:rPr>
          <w:lang w:val="de-DE"/>
        </w:rPr>
        <w:t>4. die Unterlagen zu dem in der Pariser Übereinkunft vorgesehenen Prioritätsanspruch,</w:t>
      </w:r>
    </w:p>
    <w:p w14:paraId="17D11A69" w14:textId="77777777" w:rsidR="008C5996" w:rsidRPr="004676F5" w:rsidRDefault="008C5996" w:rsidP="008C5996">
      <w:pPr>
        <w:ind w:firstLine="720"/>
        <w:jc w:val="both"/>
        <w:rPr>
          <w:lang w:val="de-DE"/>
        </w:rPr>
      </w:pPr>
    </w:p>
    <w:p w14:paraId="4BEEF028" w14:textId="77777777" w:rsidR="008C5996" w:rsidRPr="004676F5" w:rsidRDefault="008C5996" w:rsidP="008C5996">
      <w:pPr>
        <w:ind w:firstLine="720"/>
        <w:jc w:val="both"/>
        <w:rPr>
          <w:lang w:val="de-DE"/>
        </w:rPr>
      </w:pPr>
      <w:r w:rsidRPr="004676F5">
        <w:rPr>
          <w:lang w:val="de-DE"/>
        </w:rPr>
        <w:t>5. personenbezogene Daten, wenn sie für die Erfüllung der Aufträge öffentlichen Interesses erforderlich sind, die durch und aufgrund der Bestimmungen des vorliegenden Titels dem Amt gemäß Artikel XI.80/1 § 3 übertragen worden sind.</w:t>
      </w:r>
    </w:p>
    <w:p w14:paraId="28800959" w14:textId="77777777" w:rsidR="008C5996" w:rsidRPr="004676F5" w:rsidRDefault="008C5996" w:rsidP="008C5996">
      <w:pPr>
        <w:ind w:firstLine="720"/>
        <w:jc w:val="both"/>
        <w:rPr>
          <w:lang w:val="de-DE"/>
        </w:rPr>
      </w:pPr>
    </w:p>
    <w:p w14:paraId="52F35480" w14:textId="77777777" w:rsidR="008C5996" w:rsidRPr="004676F5" w:rsidRDefault="008C5996" w:rsidP="008C5996">
      <w:pPr>
        <w:ind w:firstLine="720"/>
        <w:jc w:val="both"/>
        <w:rPr>
          <w:lang w:val="de-DE"/>
        </w:rPr>
      </w:pPr>
      <w:r w:rsidRPr="004676F5">
        <w:rPr>
          <w:lang w:val="de-DE"/>
        </w:rPr>
        <w:t>Der König bestimmt die Modalitäten für die Verarbeitung dieser Daten.</w:t>
      </w:r>
    </w:p>
    <w:p w14:paraId="5BFDA30A" w14:textId="77777777" w:rsidR="008C5996" w:rsidRPr="004676F5" w:rsidRDefault="008C5996" w:rsidP="008C5996">
      <w:pPr>
        <w:ind w:firstLine="720"/>
        <w:jc w:val="both"/>
        <w:rPr>
          <w:lang w:val="de-DE"/>
        </w:rPr>
      </w:pPr>
    </w:p>
    <w:p w14:paraId="2C64B018" w14:textId="77777777" w:rsidR="008C5996" w:rsidRPr="004676F5" w:rsidRDefault="008C5996" w:rsidP="008C5996">
      <w:pPr>
        <w:ind w:firstLine="720"/>
        <w:jc w:val="both"/>
        <w:rPr>
          <w:lang w:val="de-DE"/>
        </w:rPr>
      </w:pPr>
      <w:r w:rsidRPr="004676F5">
        <w:rPr>
          <w:lang w:val="de-DE"/>
        </w:rPr>
        <w:t>§ 4 - Von Amts wegen von der Akteneinsicht gemäß den Paragraphen 1 und 2 ausgeschlossen sind:</w:t>
      </w:r>
    </w:p>
    <w:p w14:paraId="2DC44D0E" w14:textId="77777777" w:rsidR="008C5996" w:rsidRPr="004676F5" w:rsidRDefault="008C5996" w:rsidP="008C5996">
      <w:pPr>
        <w:ind w:firstLine="720"/>
        <w:jc w:val="both"/>
        <w:rPr>
          <w:lang w:val="de-DE"/>
        </w:rPr>
      </w:pPr>
    </w:p>
    <w:p w14:paraId="5ECCDEBC" w14:textId="77777777" w:rsidR="008C5996" w:rsidRPr="004676F5" w:rsidRDefault="008C5996" w:rsidP="008C5996">
      <w:pPr>
        <w:ind w:firstLine="720"/>
        <w:jc w:val="both"/>
        <w:rPr>
          <w:lang w:val="de-DE"/>
        </w:rPr>
      </w:pPr>
      <w:r w:rsidRPr="004676F5">
        <w:rPr>
          <w:lang w:val="de-DE"/>
        </w:rPr>
        <w:t>1. ärztliche Atteste,</w:t>
      </w:r>
    </w:p>
    <w:p w14:paraId="7489CB87" w14:textId="77777777" w:rsidR="008C5996" w:rsidRPr="004676F5" w:rsidRDefault="008C5996" w:rsidP="008C5996">
      <w:pPr>
        <w:ind w:firstLine="720"/>
        <w:jc w:val="both"/>
        <w:rPr>
          <w:lang w:val="de-DE"/>
        </w:rPr>
      </w:pPr>
    </w:p>
    <w:p w14:paraId="6551F632" w14:textId="77777777" w:rsidR="008C5996" w:rsidRPr="004676F5" w:rsidRDefault="008C5996" w:rsidP="008C5996">
      <w:pPr>
        <w:ind w:firstLine="720"/>
        <w:jc w:val="both"/>
        <w:rPr>
          <w:lang w:val="de-DE"/>
        </w:rPr>
      </w:pPr>
      <w:r w:rsidRPr="004676F5">
        <w:rPr>
          <w:lang w:val="de-DE"/>
        </w:rPr>
        <w:t>2. Vermerk des Erfinders, wenn dieser gemäß Artikel XI.13 einen dahingehenden Antrag gestellt hat, und dieser Antrag.</w:t>
      </w:r>
    </w:p>
    <w:p w14:paraId="145EDB9F" w14:textId="77777777" w:rsidR="008C5996" w:rsidRPr="004676F5" w:rsidRDefault="008C5996" w:rsidP="008C5996">
      <w:pPr>
        <w:ind w:firstLine="720"/>
        <w:jc w:val="both"/>
        <w:rPr>
          <w:lang w:val="de-DE"/>
        </w:rPr>
      </w:pPr>
    </w:p>
    <w:p w14:paraId="7BC470A6" w14:textId="75317608" w:rsidR="001527B1" w:rsidRPr="004676F5" w:rsidRDefault="008C5996" w:rsidP="008C5996">
      <w:pPr>
        <w:ind w:firstLine="708"/>
        <w:jc w:val="both"/>
        <w:rPr>
          <w:lang w:val="de-DE"/>
        </w:rPr>
      </w:pPr>
      <w:r w:rsidRPr="004676F5">
        <w:rPr>
          <w:lang w:val="de-DE"/>
        </w:rPr>
        <w:t>§ 5 - Der König bestimmt andere Unterlagen oder Angaben, die in Abweichung von den Paragraphen 1 und 2 von der Akteneinsicht ausgeschlossen sind.]</w:t>
      </w:r>
    </w:p>
    <w:p w14:paraId="186F6295" w14:textId="77777777" w:rsidR="008C5996" w:rsidRPr="004676F5" w:rsidRDefault="008C5996" w:rsidP="008C5996">
      <w:pPr>
        <w:jc w:val="both"/>
        <w:rPr>
          <w:lang w:val="de-DE"/>
        </w:rPr>
      </w:pPr>
    </w:p>
    <w:p w14:paraId="351F8D2D" w14:textId="61F1BA61" w:rsidR="008C5996" w:rsidRPr="004676F5" w:rsidRDefault="008C5996" w:rsidP="008C5996">
      <w:pPr>
        <w:jc w:val="both"/>
        <w:rPr>
          <w:i/>
          <w:iCs/>
          <w:lang w:val="de-DE"/>
        </w:rPr>
      </w:pPr>
      <w:r w:rsidRPr="004676F5">
        <w:rPr>
          <w:i/>
          <w:iCs/>
          <w:lang w:val="de-DE"/>
        </w:rPr>
        <w:t>[Art. XI.25 ersetzt durch Art. 7 des G. vom 25. September 2022 (B.S. vom 24. Oktober 2022)]</w:t>
      </w:r>
    </w:p>
    <w:p w14:paraId="3A229680" w14:textId="77777777" w:rsidR="001527B1" w:rsidRPr="004676F5" w:rsidRDefault="001527B1" w:rsidP="001527B1">
      <w:pPr>
        <w:ind w:firstLine="708"/>
        <w:jc w:val="both"/>
        <w:rPr>
          <w:lang w:val="de-DE"/>
        </w:rPr>
      </w:pPr>
    </w:p>
    <w:p w14:paraId="5BF492A0" w14:textId="77777777" w:rsidR="00CE5A09" w:rsidRPr="004676F5" w:rsidRDefault="00CE5A09" w:rsidP="001527B1">
      <w:pPr>
        <w:ind w:firstLine="708"/>
        <w:jc w:val="both"/>
        <w:rPr>
          <w:lang w:val="de-DE"/>
        </w:rPr>
      </w:pPr>
    </w:p>
    <w:p w14:paraId="50A9F411" w14:textId="37AE15AA" w:rsidR="001527B1" w:rsidRPr="004676F5" w:rsidRDefault="00BE0A56" w:rsidP="001527B1">
      <w:pPr>
        <w:ind w:firstLine="708"/>
        <w:jc w:val="both"/>
        <w:rPr>
          <w:lang w:val="de-DE"/>
        </w:rPr>
      </w:pPr>
      <w:r w:rsidRPr="004676F5">
        <w:rPr>
          <w:b/>
          <w:lang w:val="de-DE"/>
        </w:rPr>
        <w:t>Art. </w:t>
      </w:r>
      <w:r w:rsidR="001527B1" w:rsidRPr="004676F5">
        <w:rPr>
          <w:b/>
          <w:lang w:val="de-DE"/>
        </w:rPr>
        <w:t>XI.26</w:t>
      </w:r>
      <w:r w:rsidR="001527B1" w:rsidRPr="004676F5">
        <w:rPr>
          <w:lang w:val="de-DE"/>
        </w:rPr>
        <w:t> </w:t>
      </w:r>
      <w:r w:rsidR="005B7A5C" w:rsidRPr="004676F5">
        <w:rPr>
          <w:lang w:val="de-DE"/>
        </w:rPr>
        <w:t>- </w:t>
      </w:r>
      <w:r w:rsidR="001527B1" w:rsidRPr="004676F5">
        <w:rPr>
          <w:lang w:val="de-DE"/>
        </w:rPr>
        <w:t>Das in Artikel XI.3 erwähnte ausschließliche Recht wird wirksam ab dem Tag, an dem das Patent für die Öffentlichkeit zugänglich gemacht wird.</w:t>
      </w:r>
    </w:p>
    <w:p w14:paraId="23051841" w14:textId="77777777" w:rsidR="001527B1" w:rsidRPr="004676F5" w:rsidRDefault="001527B1" w:rsidP="001527B1">
      <w:pPr>
        <w:ind w:firstLine="708"/>
        <w:jc w:val="both"/>
        <w:rPr>
          <w:lang w:val="de-DE"/>
        </w:rPr>
      </w:pPr>
    </w:p>
    <w:p w14:paraId="1580348E" w14:textId="77777777" w:rsidR="00CE5A09" w:rsidRPr="004676F5" w:rsidRDefault="00CE5A09" w:rsidP="001527B1">
      <w:pPr>
        <w:ind w:firstLine="708"/>
        <w:jc w:val="both"/>
        <w:rPr>
          <w:lang w:val="de-DE"/>
        </w:rPr>
      </w:pPr>
    </w:p>
    <w:p w14:paraId="02527934" w14:textId="77777777" w:rsidR="008C5996" w:rsidRPr="004676F5" w:rsidRDefault="00BE0A56" w:rsidP="008C5996">
      <w:pPr>
        <w:ind w:firstLine="720"/>
        <w:jc w:val="both"/>
        <w:rPr>
          <w:lang w:val="de-DE"/>
        </w:rPr>
      </w:pPr>
      <w:r w:rsidRPr="004676F5">
        <w:rPr>
          <w:b/>
          <w:lang w:val="de-DE"/>
        </w:rPr>
        <w:t>Art. </w:t>
      </w:r>
      <w:r w:rsidR="001527B1" w:rsidRPr="004676F5">
        <w:rPr>
          <w:b/>
          <w:lang w:val="de-DE"/>
        </w:rPr>
        <w:t>XI.27</w:t>
      </w:r>
      <w:r w:rsidR="001527B1" w:rsidRPr="004676F5">
        <w:rPr>
          <w:lang w:val="de-DE"/>
        </w:rPr>
        <w:t> </w:t>
      </w:r>
      <w:r w:rsidR="005B7A5C" w:rsidRPr="004676F5">
        <w:rPr>
          <w:lang w:val="de-DE"/>
        </w:rPr>
        <w:t>- </w:t>
      </w:r>
      <w:r w:rsidR="008C5996" w:rsidRPr="004676F5">
        <w:rPr>
          <w:lang w:val="de-DE"/>
        </w:rPr>
        <w:t>[§ 1 - Das Amt macht das Register und die Sammlung der Öffentlichkeit auf elektronischem Wege zugänglich. Der König bestimmt die Modalitäten der Führung des Registers und der Sammlung und die Bedingungen, unter denen das Register und die Sammlung der Öffentlichkeit zugänglich gemacht werden.</w:t>
      </w:r>
    </w:p>
    <w:p w14:paraId="31008474" w14:textId="77777777" w:rsidR="008C5996" w:rsidRPr="004676F5" w:rsidRDefault="008C5996" w:rsidP="008C5996">
      <w:pPr>
        <w:ind w:firstLine="720"/>
        <w:jc w:val="both"/>
        <w:rPr>
          <w:lang w:val="de-DE"/>
        </w:rPr>
      </w:pPr>
    </w:p>
    <w:p w14:paraId="7BE61155" w14:textId="77777777" w:rsidR="008C5996" w:rsidRPr="004676F5" w:rsidRDefault="008C5996" w:rsidP="008C5996">
      <w:pPr>
        <w:ind w:firstLine="720"/>
        <w:jc w:val="both"/>
        <w:rPr>
          <w:lang w:val="de-DE"/>
        </w:rPr>
      </w:pPr>
      <w:r w:rsidRPr="004676F5">
        <w:rPr>
          <w:lang w:val="de-DE"/>
        </w:rPr>
        <w:t>§ 2 ­ Das Amt vermerkt in der Sammlung die Registereintragungen. Die bibliographischen Angaben der veröffentlichten Patentanmeldungen, der erteilten Patente und der veröffentlichten Patentanmeldungen und erteilten Patente, die in Anwendung der Artikel XI.55, XI.56 und XI.57 geändert werden, werden in der Sammlung vermerkt.</w:t>
      </w:r>
    </w:p>
    <w:p w14:paraId="4433EDC1" w14:textId="77777777" w:rsidR="008C5996" w:rsidRPr="004676F5" w:rsidRDefault="008C5996" w:rsidP="008C5996">
      <w:pPr>
        <w:ind w:firstLine="720"/>
        <w:jc w:val="both"/>
        <w:rPr>
          <w:lang w:val="de-DE"/>
        </w:rPr>
      </w:pPr>
    </w:p>
    <w:p w14:paraId="1734D2F7" w14:textId="77777777" w:rsidR="008C5996" w:rsidRPr="004676F5" w:rsidRDefault="008C5996" w:rsidP="008C5996">
      <w:pPr>
        <w:ind w:firstLine="720"/>
        <w:jc w:val="both"/>
        <w:rPr>
          <w:lang w:val="de-DE"/>
        </w:rPr>
      </w:pPr>
      <w:r w:rsidRPr="004676F5">
        <w:rPr>
          <w:lang w:val="de-DE"/>
        </w:rPr>
        <w:t>§ 3 ­ Zusätzlich zu den in vorliegendem Gesetzbuch aufgeführten Eintragungen zählt der König die Eintragungen im Register und in der Sammlung gemäß den Artikeln XI.80/1 und XI.80/2 auf.</w:t>
      </w:r>
    </w:p>
    <w:p w14:paraId="608E1D01" w14:textId="77777777" w:rsidR="008C5996" w:rsidRPr="004676F5" w:rsidRDefault="008C5996" w:rsidP="008C5996">
      <w:pPr>
        <w:ind w:firstLine="720"/>
        <w:jc w:val="both"/>
        <w:rPr>
          <w:lang w:val="de-DE"/>
        </w:rPr>
      </w:pPr>
    </w:p>
    <w:p w14:paraId="497BB3C4" w14:textId="65772FD2" w:rsidR="001527B1" w:rsidRPr="004676F5" w:rsidRDefault="008C5996" w:rsidP="008C5996">
      <w:pPr>
        <w:ind w:firstLine="708"/>
        <w:jc w:val="both"/>
        <w:rPr>
          <w:lang w:val="de-DE"/>
        </w:rPr>
      </w:pPr>
      <w:r w:rsidRPr="004676F5">
        <w:rPr>
          <w:lang w:val="de-DE"/>
        </w:rPr>
        <w:t>§ 4 - Außer in den vom König festgelegten Fällen unterliegen die Eintragungen im Register und in der Sammlung der Akteneinsicht auf unbegrenzte Zeit.]</w:t>
      </w:r>
    </w:p>
    <w:p w14:paraId="4947E185" w14:textId="77777777" w:rsidR="008C5996" w:rsidRPr="004676F5" w:rsidRDefault="008C5996" w:rsidP="008C5996">
      <w:pPr>
        <w:jc w:val="both"/>
        <w:rPr>
          <w:lang w:val="de-DE"/>
        </w:rPr>
      </w:pPr>
    </w:p>
    <w:p w14:paraId="1B00215B" w14:textId="2FC26109" w:rsidR="008C5996" w:rsidRPr="004676F5" w:rsidRDefault="008C5996" w:rsidP="008C5996">
      <w:pPr>
        <w:jc w:val="both"/>
        <w:rPr>
          <w:i/>
          <w:iCs/>
          <w:lang w:val="de-DE"/>
        </w:rPr>
      </w:pPr>
      <w:r w:rsidRPr="004676F5">
        <w:rPr>
          <w:i/>
          <w:iCs/>
          <w:lang w:val="de-DE"/>
        </w:rPr>
        <w:t>[Art. XI.27 ersetzt durch Art. 8 des G. vom 25. September 2022 (B.S. vom 24. Oktober 2022)]</w:t>
      </w:r>
    </w:p>
    <w:p w14:paraId="29AC3388" w14:textId="77777777" w:rsidR="001527B1" w:rsidRPr="004676F5" w:rsidRDefault="001527B1" w:rsidP="001527B1">
      <w:pPr>
        <w:ind w:firstLine="708"/>
        <w:jc w:val="both"/>
        <w:rPr>
          <w:lang w:val="de-DE"/>
        </w:rPr>
      </w:pPr>
    </w:p>
    <w:p w14:paraId="4E41AD44" w14:textId="77777777" w:rsidR="00CE5A09" w:rsidRPr="004676F5" w:rsidRDefault="00CE5A09" w:rsidP="001527B1">
      <w:pPr>
        <w:ind w:firstLine="708"/>
        <w:jc w:val="both"/>
        <w:rPr>
          <w:lang w:val="de-DE"/>
        </w:rPr>
      </w:pPr>
    </w:p>
    <w:p w14:paraId="6BE6E9C1" w14:textId="77777777" w:rsidR="008C5996" w:rsidRPr="004676F5" w:rsidRDefault="008C5996">
      <w:pPr>
        <w:rPr>
          <w:i/>
          <w:lang w:val="de-DE"/>
        </w:rPr>
      </w:pPr>
      <w:r w:rsidRPr="004676F5">
        <w:rPr>
          <w:i/>
          <w:lang w:val="de-DE"/>
        </w:rPr>
        <w:br w:type="page"/>
      </w:r>
    </w:p>
    <w:p w14:paraId="48A0E0C5" w14:textId="4F1175F4" w:rsidR="001527B1" w:rsidRPr="004676F5" w:rsidRDefault="001527B1" w:rsidP="001527B1">
      <w:pPr>
        <w:jc w:val="center"/>
        <w:rPr>
          <w:lang w:val="de-DE"/>
        </w:rPr>
      </w:pPr>
      <w:r w:rsidRPr="004676F5">
        <w:rPr>
          <w:i/>
          <w:lang w:val="de-DE"/>
        </w:rPr>
        <w:lastRenderedPageBreak/>
        <w:t>Abschnitt 4 </w:t>
      </w:r>
      <w:r w:rsidR="005B7A5C" w:rsidRPr="004676F5">
        <w:rPr>
          <w:lang w:val="de-DE"/>
        </w:rPr>
        <w:t>- </w:t>
      </w:r>
      <w:r w:rsidRPr="004676F5">
        <w:rPr>
          <w:lang w:val="de-DE"/>
        </w:rPr>
        <w:t xml:space="preserve">Rechte und Verpflichtungen aus dem Erfindungspatent </w:t>
      </w:r>
      <w:r w:rsidRPr="004676F5">
        <w:rPr>
          <w:lang w:val="de-DE"/>
        </w:rPr>
        <w:br/>
        <w:t>und der Anmeldung eines Erfindungspatents</w:t>
      </w:r>
    </w:p>
    <w:p w14:paraId="5EDBC1F4" w14:textId="77777777" w:rsidR="001527B1" w:rsidRPr="004676F5" w:rsidRDefault="001527B1" w:rsidP="001527B1">
      <w:pPr>
        <w:jc w:val="both"/>
        <w:rPr>
          <w:lang w:val="de-DE"/>
        </w:rPr>
      </w:pPr>
    </w:p>
    <w:p w14:paraId="2FAC860F" w14:textId="77777777" w:rsidR="00CE5A09" w:rsidRPr="004676F5" w:rsidRDefault="00CE5A09" w:rsidP="001527B1">
      <w:pPr>
        <w:jc w:val="both"/>
        <w:rPr>
          <w:lang w:val="de-DE"/>
        </w:rPr>
      </w:pPr>
    </w:p>
    <w:p w14:paraId="089FADD1" w14:textId="35FA2229" w:rsidR="001527B1" w:rsidRPr="004676F5" w:rsidRDefault="00BE0A56" w:rsidP="001527B1">
      <w:pPr>
        <w:ind w:firstLine="708"/>
        <w:jc w:val="both"/>
        <w:rPr>
          <w:lang w:val="de-DE"/>
        </w:rPr>
      </w:pPr>
      <w:r w:rsidRPr="004676F5">
        <w:rPr>
          <w:b/>
          <w:lang w:val="de-DE"/>
        </w:rPr>
        <w:t>Art. </w:t>
      </w:r>
      <w:r w:rsidR="001527B1" w:rsidRPr="004676F5">
        <w:rPr>
          <w:b/>
          <w:lang w:val="de-DE"/>
        </w:rPr>
        <w:t>XI.28</w:t>
      </w:r>
      <w:r w:rsidR="001527B1" w:rsidRPr="004676F5">
        <w:rPr>
          <w:lang w:val="de-DE"/>
        </w:rPr>
        <w:t> </w:t>
      </w:r>
      <w:r w:rsidR="005B7A5C" w:rsidRPr="004676F5">
        <w:rPr>
          <w:lang w:val="de-DE"/>
        </w:rPr>
        <w:t>- </w:t>
      </w:r>
      <w:r w:rsidR="001527B1" w:rsidRPr="004676F5">
        <w:rPr>
          <w:lang w:val="de-DE"/>
        </w:rPr>
        <w:t>Der Schutzbereich des Patents wird durch den Inhalt der Patentansprüche bestimmt. Die Beschreibung und die Zeichnungen werden jedoch zur Auslegung der Patentansprüche herangezogen.</w:t>
      </w:r>
    </w:p>
    <w:p w14:paraId="70DBDF86" w14:textId="77777777" w:rsidR="001527B1" w:rsidRPr="004676F5" w:rsidRDefault="001527B1" w:rsidP="001527B1">
      <w:pPr>
        <w:ind w:firstLine="708"/>
        <w:jc w:val="both"/>
        <w:rPr>
          <w:lang w:val="de-DE"/>
        </w:rPr>
      </w:pPr>
    </w:p>
    <w:p w14:paraId="3E1B0526" w14:textId="77777777" w:rsidR="001527B1" w:rsidRPr="004676F5" w:rsidRDefault="001527B1" w:rsidP="001527B1">
      <w:pPr>
        <w:ind w:firstLine="708"/>
        <w:jc w:val="both"/>
        <w:rPr>
          <w:lang w:val="de-DE"/>
        </w:rPr>
      </w:pPr>
      <w:r w:rsidRPr="004676F5">
        <w:rPr>
          <w:lang w:val="de-DE"/>
        </w:rPr>
        <w:t>Bei der Bestimmung des Schutzbereichs des Patents ist solchen Bestandteilen gebührend Rechnung zu tragen, die Äquivalente der in den Patentansprüchen genannten Bestandteile sind.</w:t>
      </w:r>
    </w:p>
    <w:p w14:paraId="2DA16B2E" w14:textId="77777777" w:rsidR="001527B1" w:rsidRPr="004676F5" w:rsidRDefault="001527B1" w:rsidP="001527B1">
      <w:pPr>
        <w:ind w:firstLine="708"/>
        <w:jc w:val="both"/>
        <w:rPr>
          <w:lang w:val="de-DE"/>
        </w:rPr>
      </w:pPr>
    </w:p>
    <w:p w14:paraId="24999E87" w14:textId="77777777" w:rsidR="001527B1" w:rsidRPr="004676F5" w:rsidRDefault="001527B1" w:rsidP="001527B1">
      <w:pPr>
        <w:ind w:firstLine="708"/>
        <w:jc w:val="both"/>
        <w:rPr>
          <w:lang w:val="de-DE"/>
        </w:rPr>
      </w:pPr>
      <w:r w:rsidRPr="004676F5">
        <w:rPr>
          <w:lang w:val="de-DE"/>
        </w:rPr>
        <w:t>Ist ein Verfahren Gegenstand des Patents, so erstreckt sich der Schutz auch auf die durch das Verfahren unmittelbar hergestellten Erzeugnisse.</w:t>
      </w:r>
    </w:p>
    <w:p w14:paraId="34635A37" w14:textId="77777777" w:rsidR="001527B1" w:rsidRPr="004676F5" w:rsidRDefault="001527B1" w:rsidP="001527B1">
      <w:pPr>
        <w:ind w:firstLine="708"/>
        <w:jc w:val="both"/>
        <w:rPr>
          <w:lang w:val="de-DE"/>
        </w:rPr>
      </w:pPr>
    </w:p>
    <w:p w14:paraId="6288BA28" w14:textId="77777777" w:rsidR="00CE5A09" w:rsidRPr="004676F5" w:rsidRDefault="00CE5A09" w:rsidP="001527B1">
      <w:pPr>
        <w:ind w:firstLine="708"/>
        <w:jc w:val="both"/>
        <w:rPr>
          <w:lang w:val="de-DE"/>
        </w:rPr>
      </w:pPr>
    </w:p>
    <w:p w14:paraId="2387FEF4" w14:textId="5AC82EB8" w:rsidR="00BC461C" w:rsidRPr="004676F5" w:rsidRDefault="00BE0A56" w:rsidP="007769E2">
      <w:pPr>
        <w:ind w:firstLine="708"/>
        <w:jc w:val="both"/>
        <w:rPr>
          <w:szCs w:val="32"/>
          <w:lang w:val="de-DE"/>
        </w:rPr>
      </w:pPr>
      <w:r w:rsidRPr="004676F5">
        <w:rPr>
          <w:b/>
          <w:lang w:val="de-DE"/>
        </w:rPr>
        <w:t>Art. </w:t>
      </w:r>
      <w:r w:rsidR="001527B1" w:rsidRPr="004676F5">
        <w:rPr>
          <w:b/>
          <w:lang w:val="de-DE"/>
        </w:rPr>
        <w:t>XI.29</w:t>
      </w:r>
      <w:r w:rsidR="001527B1" w:rsidRPr="004676F5">
        <w:rPr>
          <w:lang w:val="de-DE"/>
        </w:rPr>
        <w:t> </w:t>
      </w:r>
      <w:r w:rsidR="005B7A5C" w:rsidRPr="004676F5">
        <w:rPr>
          <w:lang w:val="de-DE"/>
        </w:rPr>
        <w:t>- </w:t>
      </w:r>
      <w:r w:rsidR="00BC461C" w:rsidRPr="004676F5">
        <w:rPr>
          <w:szCs w:val="32"/>
          <w:lang w:val="de-DE"/>
        </w:rPr>
        <w:t>[§ 1 </w:t>
      </w:r>
      <w:r w:rsidR="005B7A5C" w:rsidRPr="004676F5">
        <w:rPr>
          <w:szCs w:val="32"/>
          <w:lang w:val="de-DE"/>
        </w:rPr>
        <w:t>- </w:t>
      </w:r>
      <w:r w:rsidR="00BC461C" w:rsidRPr="004676F5">
        <w:rPr>
          <w:szCs w:val="32"/>
          <w:lang w:val="de-DE"/>
        </w:rPr>
        <w:t>Ein Patent gewährt seinem Inhaber das Recht, Dritten zu verbieten, ohne seine Zustimmung:</w:t>
      </w:r>
    </w:p>
    <w:p w14:paraId="334C8FD0" w14:textId="77777777" w:rsidR="00BC461C" w:rsidRPr="004676F5" w:rsidRDefault="00BC461C" w:rsidP="00BC461C">
      <w:pPr>
        <w:jc w:val="both"/>
        <w:rPr>
          <w:szCs w:val="32"/>
          <w:lang w:val="de-DE"/>
        </w:rPr>
      </w:pPr>
    </w:p>
    <w:p w14:paraId="1B35E8BE" w14:textId="0081AF1E" w:rsidR="00BC461C" w:rsidRPr="004676F5" w:rsidRDefault="007769E2" w:rsidP="00BC461C">
      <w:pPr>
        <w:jc w:val="both"/>
        <w:rPr>
          <w:szCs w:val="32"/>
          <w:lang w:val="de-DE"/>
        </w:rPr>
      </w:pPr>
      <w:r w:rsidRPr="004676F5">
        <w:rPr>
          <w:i/>
          <w:szCs w:val="32"/>
          <w:lang w:val="de-DE"/>
        </w:rPr>
        <w:tab/>
      </w:r>
      <w:r w:rsidR="00BC461C" w:rsidRPr="004676F5">
        <w:rPr>
          <w:i/>
          <w:szCs w:val="32"/>
          <w:lang w:val="de-DE"/>
        </w:rPr>
        <w:t>a)</w:t>
      </w:r>
      <w:r w:rsidR="00BC461C" w:rsidRPr="004676F5">
        <w:rPr>
          <w:szCs w:val="32"/>
          <w:lang w:val="de-DE"/>
        </w:rPr>
        <w:t xml:space="preserve"> ein Erzeugnis, das Gegenstand des Patents ist, herzustellen, anzubieten, in Verkehr zu bringen, zu gebrauchen oder zu den genannten Zwecken einzuführen oder zu besitzen,</w:t>
      </w:r>
    </w:p>
    <w:p w14:paraId="7E2E941E" w14:textId="77777777" w:rsidR="00BC461C" w:rsidRPr="004676F5" w:rsidRDefault="00BC461C" w:rsidP="00BC461C">
      <w:pPr>
        <w:jc w:val="both"/>
        <w:rPr>
          <w:szCs w:val="32"/>
          <w:lang w:val="de-DE"/>
        </w:rPr>
      </w:pPr>
    </w:p>
    <w:p w14:paraId="5BF52D98" w14:textId="0A27BB6A" w:rsidR="00BC461C" w:rsidRPr="004676F5" w:rsidRDefault="007769E2" w:rsidP="00BC461C">
      <w:pPr>
        <w:jc w:val="both"/>
        <w:rPr>
          <w:szCs w:val="32"/>
          <w:lang w:val="de-DE"/>
        </w:rPr>
      </w:pPr>
      <w:r w:rsidRPr="004676F5">
        <w:rPr>
          <w:i/>
          <w:szCs w:val="32"/>
          <w:lang w:val="de-DE"/>
        </w:rPr>
        <w:tab/>
      </w:r>
      <w:r w:rsidR="00BC461C" w:rsidRPr="004676F5">
        <w:rPr>
          <w:i/>
          <w:szCs w:val="32"/>
          <w:lang w:val="de-DE"/>
        </w:rPr>
        <w:t>b)</w:t>
      </w:r>
      <w:r w:rsidR="00BC461C" w:rsidRPr="004676F5">
        <w:rPr>
          <w:szCs w:val="32"/>
          <w:lang w:val="de-DE"/>
        </w:rPr>
        <w:t xml:space="preserve"> ein Verfahren, das Gegenstand des Patents ist, anzuwenden oder, falls der Dritte weiß oder hätte wissen müssen, dass die Anwendung des Verfahrens ohne Zustimmung des Patentinhabers verboten ist, zur Anwendung auf belgischem Staatsgebiet anzubieten,</w:t>
      </w:r>
    </w:p>
    <w:p w14:paraId="67E3133B" w14:textId="77777777" w:rsidR="00BC461C" w:rsidRPr="004676F5" w:rsidRDefault="00BC461C" w:rsidP="00BC461C">
      <w:pPr>
        <w:jc w:val="both"/>
        <w:rPr>
          <w:szCs w:val="32"/>
          <w:lang w:val="de-DE"/>
        </w:rPr>
      </w:pPr>
    </w:p>
    <w:p w14:paraId="0D65B7AC" w14:textId="314D76C0" w:rsidR="00BC461C" w:rsidRPr="004676F5" w:rsidRDefault="007769E2" w:rsidP="00BC461C">
      <w:pPr>
        <w:jc w:val="both"/>
        <w:rPr>
          <w:szCs w:val="32"/>
          <w:lang w:val="de-DE"/>
        </w:rPr>
      </w:pPr>
      <w:r w:rsidRPr="004676F5">
        <w:rPr>
          <w:i/>
          <w:szCs w:val="32"/>
          <w:lang w:val="de-DE"/>
        </w:rPr>
        <w:tab/>
      </w:r>
      <w:r w:rsidR="00BC461C" w:rsidRPr="004676F5">
        <w:rPr>
          <w:i/>
          <w:szCs w:val="32"/>
          <w:lang w:val="de-DE"/>
        </w:rPr>
        <w:t>c)</w:t>
      </w:r>
      <w:r w:rsidR="00BC461C" w:rsidRPr="004676F5">
        <w:rPr>
          <w:szCs w:val="32"/>
          <w:lang w:val="de-DE"/>
        </w:rPr>
        <w:t xml:space="preserve"> ein Erzeugnis, das unmittelbar durch ein Verfahren, das Gegenstand des Patents ist, hergestellt wird, anzubieten, in Verkehr zu bringen, zu gebrauchen oder zu den genannten Zwecken einzuführen oder zu besitzen.</w:t>
      </w:r>
    </w:p>
    <w:p w14:paraId="1243F0EB" w14:textId="77777777" w:rsidR="00BC461C" w:rsidRPr="004676F5" w:rsidRDefault="00BC461C" w:rsidP="00BC461C">
      <w:pPr>
        <w:jc w:val="both"/>
        <w:rPr>
          <w:szCs w:val="32"/>
          <w:lang w:val="de-DE"/>
        </w:rPr>
      </w:pPr>
    </w:p>
    <w:p w14:paraId="537E1A06" w14:textId="03D16D4C" w:rsidR="00BC461C" w:rsidRPr="004676F5" w:rsidRDefault="007769E2" w:rsidP="00BC461C">
      <w:pPr>
        <w:jc w:val="both"/>
        <w:rPr>
          <w:szCs w:val="32"/>
          <w:lang w:val="de-DE"/>
        </w:rPr>
      </w:pPr>
      <w:r w:rsidRPr="004676F5">
        <w:rPr>
          <w:szCs w:val="32"/>
          <w:lang w:val="de-DE"/>
        </w:rPr>
        <w:tab/>
      </w:r>
      <w:r w:rsidR="00BC461C" w:rsidRPr="004676F5">
        <w:rPr>
          <w:szCs w:val="32"/>
          <w:lang w:val="de-DE"/>
        </w:rPr>
        <w:t>§ 2 ­ Ein Patent gewährt seinem Inhaber das Recht, Dritten zu verbieten, ohne seine Zustimmung auf belgischem Staatsgebiet anderen als zur Benutzung der patentierten Erfindung berechtigten Personen Mittel, die sich auf ein wesentliches Element der Erfindung beziehen, zur Benutzung der Erfindung auf dem Gebiet anzubieten oder zu liefern, wenn der Dritte weiß oder hätte wissen müssen, dass diese Mittel dazu geeignet und bestimmt sind, für die Benutzung der Erfindung verwendet zu werden.</w:t>
      </w:r>
    </w:p>
    <w:p w14:paraId="27B929EE" w14:textId="77777777" w:rsidR="00BC461C" w:rsidRPr="004676F5" w:rsidRDefault="00BC461C" w:rsidP="00BC461C">
      <w:pPr>
        <w:jc w:val="both"/>
        <w:rPr>
          <w:szCs w:val="32"/>
          <w:lang w:val="de-DE"/>
        </w:rPr>
      </w:pPr>
    </w:p>
    <w:p w14:paraId="058A4976" w14:textId="145AA7A9" w:rsidR="00BC461C" w:rsidRPr="004676F5" w:rsidRDefault="007769E2" w:rsidP="00BC461C">
      <w:pPr>
        <w:jc w:val="both"/>
        <w:rPr>
          <w:szCs w:val="32"/>
          <w:lang w:val="de-DE"/>
        </w:rPr>
      </w:pPr>
      <w:r w:rsidRPr="004676F5">
        <w:rPr>
          <w:szCs w:val="32"/>
          <w:lang w:val="de-DE"/>
        </w:rPr>
        <w:tab/>
      </w:r>
      <w:r w:rsidR="00BC461C" w:rsidRPr="004676F5">
        <w:rPr>
          <w:szCs w:val="32"/>
          <w:lang w:val="de-DE"/>
        </w:rPr>
        <w:t>Die Bestimmungen von Absatz 1 gelten nicht, wenn es sich bei den betreffenden Mitteln um allgemein im Handel erhältliche Erzeugnisse handelt, es sei denn, dass der Dritte den Belieferten bewusst veranlasst, in einer nach § 1 verbotenen Weise zu handeln.</w:t>
      </w:r>
    </w:p>
    <w:p w14:paraId="2530D79C" w14:textId="77777777" w:rsidR="00BC461C" w:rsidRPr="004676F5" w:rsidRDefault="00BC461C" w:rsidP="00BC461C">
      <w:pPr>
        <w:jc w:val="both"/>
        <w:rPr>
          <w:szCs w:val="32"/>
          <w:lang w:val="de-DE"/>
        </w:rPr>
      </w:pPr>
    </w:p>
    <w:p w14:paraId="54ED0761" w14:textId="1245414F" w:rsidR="00BC461C" w:rsidRPr="004676F5" w:rsidRDefault="00BC461C" w:rsidP="00BC461C">
      <w:pPr>
        <w:jc w:val="both"/>
        <w:rPr>
          <w:szCs w:val="32"/>
          <w:lang w:val="de-DE"/>
        </w:rPr>
      </w:pPr>
      <w:r w:rsidRPr="004676F5">
        <w:rPr>
          <w:szCs w:val="32"/>
          <w:lang w:val="de-DE"/>
        </w:rPr>
        <w:t>Personen, die die in Artikel XI.34 § 1 Buchstabe </w:t>
      </w:r>
      <w:r w:rsidRPr="004676F5">
        <w:rPr>
          <w:i/>
          <w:iCs/>
          <w:szCs w:val="32"/>
          <w:lang w:val="de-DE"/>
        </w:rPr>
        <w:t>a)</w:t>
      </w:r>
      <w:r w:rsidRPr="004676F5">
        <w:rPr>
          <w:szCs w:val="32"/>
          <w:lang w:val="de-DE"/>
        </w:rPr>
        <w:t xml:space="preserve"> bis </w:t>
      </w:r>
      <w:r w:rsidRPr="004676F5">
        <w:rPr>
          <w:i/>
          <w:iCs/>
          <w:szCs w:val="32"/>
          <w:lang w:val="de-DE"/>
        </w:rPr>
        <w:t>e)</w:t>
      </w:r>
      <w:r w:rsidRPr="004676F5">
        <w:rPr>
          <w:szCs w:val="32"/>
          <w:lang w:val="de-DE"/>
        </w:rPr>
        <w:t xml:space="preserve"> genannten Handlungen vornehmen, gelten nicht als zur Benutzung der Erfindung berechtigte Personen im Sinne von Absatz 1.]</w:t>
      </w:r>
    </w:p>
    <w:p w14:paraId="05E72BC0" w14:textId="10861322" w:rsidR="00BC461C" w:rsidRPr="004676F5" w:rsidRDefault="00BC461C" w:rsidP="00BC461C">
      <w:pPr>
        <w:jc w:val="both"/>
        <w:rPr>
          <w:szCs w:val="32"/>
          <w:lang w:val="de-DE"/>
        </w:rPr>
      </w:pPr>
    </w:p>
    <w:p w14:paraId="0298C38A" w14:textId="74DEAC36" w:rsidR="00BC461C" w:rsidRPr="004676F5" w:rsidRDefault="00BC461C" w:rsidP="00BC461C">
      <w:pPr>
        <w:jc w:val="both"/>
        <w:rPr>
          <w:szCs w:val="32"/>
          <w:lang w:val="de-DE"/>
        </w:rPr>
      </w:pPr>
      <w:r w:rsidRPr="004676F5">
        <w:rPr>
          <w:i/>
          <w:szCs w:val="32"/>
          <w:lang w:val="de-DE"/>
        </w:rPr>
        <w:t>[Art. XI.29 ersetzt durch Art. 2 des G. vom 19. Dezember 2017 (B.S. vom 28. Dezember 2017)]</w:t>
      </w:r>
    </w:p>
    <w:p w14:paraId="096FCA6C" w14:textId="20B53C9F" w:rsidR="00BC461C" w:rsidRPr="004676F5" w:rsidRDefault="00BC461C" w:rsidP="00BC461C">
      <w:pPr>
        <w:jc w:val="both"/>
        <w:rPr>
          <w:szCs w:val="32"/>
          <w:lang w:val="de-DE"/>
        </w:rPr>
      </w:pPr>
    </w:p>
    <w:p w14:paraId="63E359C1" w14:textId="77777777" w:rsidR="00BC461C" w:rsidRPr="004676F5" w:rsidRDefault="00BC461C" w:rsidP="00BC461C">
      <w:pPr>
        <w:jc w:val="both"/>
        <w:rPr>
          <w:sz w:val="32"/>
          <w:szCs w:val="32"/>
          <w:lang w:val="de-DE"/>
        </w:rPr>
      </w:pPr>
    </w:p>
    <w:p w14:paraId="1B4668F2" w14:textId="15DB6036" w:rsidR="001527B1" w:rsidRPr="004676F5" w:rsidRDefault="00BE0A56" w:rsidP="001527B1">
      <w:pPr>
        <w:ind w:firstLine="708"/>
        <w:jc w:val="both"/>
        <w:rPr>
          <w:lang w:val="de-DE"/>
        </w:rPr>
      </w:pPr>
      <w:r w:rsidRPr="004676F5">
        <w:rPr>
          <w:b/>
          <w:lang w:val="de-DE"/>
        </w:rPr>
        <w:t>Art. </w:t>
      </w:r>
      <w:r w:rsidR="001527B1" w:rsidRPr="004676F5">
        <w:rPr>
          <w:b/>
          <w:lang w:val="de-DE"/>
        </w:rPr>
        <w:t>XI.30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Schutz eines Patents für biologisches Material, das aufgrund der Erfindung mit bestimmten Eigenschaften ausgestattet ist, umfasst jedes biologische Material, das aus diesem biologischen Material durch generative oder vegetative Vermehrung in gleicher oder abweichender Form gewonnen wird und mit denselben Eigenschaften ausgestattet ist.</w:t>
      </w:r>
    </w:p>
    <w:p w14:paraId="7734B9D8" w14:textId="77777777" w:rsidR="001527B1" w:rsidRPr="004676F5" w:rsidRDefault="001527B1" w:rsidP="001527B1">
      <w:pPr>
        <w:ind w:firstLine="708"/>
        <w:jc w:val="both"/>
        <w:rPr>
          <w:lang w:val="de-DE"/>
        </w:rPr>
      </w:pPr>
    </w:p>
    <w:p w14:paraId="3CCA7A92" w14:textId="46DE8964" w:rsidR="001527B1" w:rsidRPr="004676F5" w:rsidRDefault="001527B1" w:rsidP="001527B1">
      <w:pPr>
        <w:ind w:firstLine="708"/>
        <w:jc w:val="both"/>
        <w:rPr>
          <w:lang w:val="de-DE"/>
        </w:rPr>
      </w:pPr>
      <w:r w:rsidRPr="004676F5">
        <w:rPr>
          <w:lang w:val="de-DE"/>
        </w:rPr>
        <w:lastRenderedPageBreak/>
        <w:t>§ 2 </w:t>
      </w:r>
      <w:r w:rsidR="005B7A5C" w:rsidRPr="004676F5">
        <w:rPr>
          <w:lang w:val="de-DE"/>
        </w:rPr>
        <w:t>- </w:t>
      </w:r>
      <w:r w:rsidRPr="004676F5">
        <w:rPr>
          <w:lang w:val="de-DE"/>
        </w:rPr>
        <w:t>Der Schutz eines Patents für ein Verfahren, das die Gewinnung eines aufgrund der Erfindung mit bestimmten Eigenschaften ausgestatteten biologischen Materials ermöglicht, umfasst das mit diesem Verfahren unmittelbar gewonnene biologische Material und jedes andere mit denselben Eigenschaften ausgestattete biologische Material, das durch generative oder vegetative Vermehrung in gleicher oder abweichender Form aus dem unmittelbar gewonnenen biologischen Material gewonnen wird.</w:t>
      </w:r>
    </w:p>
    <w:p w14:paraId="3ECD0A7B" w14:textId="77777777" w:rsidR="001527B1" w:rsidRPr="004676F5" w:rsidRDefault="001527B1" w:rsidP="001527B1">
      <w:pPr>
        <w:ind w:firstLine="708"/>
        <w:jc w:val="both"/>
        <w:rPr>
          <w:lang w:val="de-DE"/>
        </w:rPr>
      </w:pPr>
    </w:p>
    <w:p w14:paraId="5B17E98C" w14:textId="77777777" w:rsidR="00CE5A09" w:rsidRPr="004676F5" w:rsidRDefault="00CE5A09" w:rsidP="001527B1">
      <w:pPr>
        <w:ind w:firstLine="708"/>
        <w:jc w:val="both"/>
        <w:rPr>
          <w:lang w:val="de-DE"/>
        </w:rPr>
      </w:pPr>
    </w:p>
    <w:p w14:paraId="3F678A08" w14:textId="3CC15312" w:rsidR="001527B1" w:rsidRPr="004676F5" w:rsidRDefault="00BE0A56" w:rsidP="001527B1">
      <w:pPr>
        <w:ind w:firstLine="708"/>
        <w:jc w:val="both"/>
        <w:rPr>
          <w:lang w:val="de-DE"/>
        </w:rPr>
      </w:pPr>
      <w:r w:rsidRPr="004676F5">
        <w:rPr>
          <w:b/>
          <w:lang w:val="de-DE"/>
        </w:rPr>
        <w:t>Art. </w:t>
      </w:r>
      <w:r w:rsidR="001527B1" w:rsidRPr="004676F5">
        <w:rPr>
          <w:b/>
          <w:lang w:val="de-DE"/>
        </w:rPr>
        <w:t>XI.31</w:t>
      </w:r>
      <w:r w:rsidR="001527B1" w:rsidRPr="004676F5">
        <w:rPr>
          <w:lang w:val="de-DE"/>
        </w:rPr>
        <w:t> </w:t>
      </w:r>
      <w:r w:rsidR="005B7A5C" w:rsidRPr="004676F5">
        <w:rPr>
          <w:lang w:val="de-DE"/>
        </w:rPr>
        <w:t>- </w:t>
      </w:r>
      <w:r w:rsidR="001527B1" w:rsidRPr="004676F5">
        <w:rPr>
          <w:lang w:val="de-DE"/>
        </w:rPr>
        <w:t>Der Schutz, der durch ein Patent für ein Erzeugnis erteilt wird, das aus einer genetischen Information besteht oder sie enthält, erstreckt sich vorbehaltlich des Artikels XI.5 § 6 Absatz 1 auf jedes Material, in das dieses Erzeugnis Eingang findet und in dem die genetische Information enthalten ist und ihre Funktion erfüllt.</w:t>
      </w:r>
    </w:p>
    <w:p w14:paraId="02273D83" w14:textId="77777777" w:rsidR="001527B1" w:rsidRPr="004676F5" w:rsidRDefault="001527B1" w:rsidP="001527B1">
      <w:pPr>
        <w:ind w:firstLine="708"/>
        <w:jc w:val="both"/>
        <w:rPr>
          <w:lang w:val="de-DE"/>
        </w:rPr>
      </w:pPr>
    </w:p>
    <w:p w14:paraId="366F6D95" w14:textId="77777777" w:rsidR="00CE5A09" w:rsidRPr="004676F5" w:rsidRDefault="00CE5A09" w:rsidP="001527B1">
      <w:pPr>
        <w:ind w:firstLine="708"/>
        <w:jc w:val="both"/>
        <w:rPr>
          <w:lang w:val="de-DE"/>
        </w:rPr>
      </w:pPr>
    </w:p>
    <w:p w14:paraId="379C9831" w14:textId="177DFA3A" w:rsidR="00BC461C" w:rsidRPr="004676F5" w:rsidRDefault="00E875CD" w:rsidP="00E875CD">
      <w:pPr>
        <w:rPr>
          <w:b/>
          <w:lang w:val="de-DE"/>
        </w:rPr>
      </w:pPr>
      <w:r w:rsidRPr="004676F5">
        <w:rPr>
          <w:b/>
          <w:lang w:val="de-DE"/>
        </w:rPr>
        <w:tab/>
      </w:r>
      <w:r w:rsidR="00BE0A56" w:rsidRPr="004676F5">
        <w:rPr>
          <w:b/>
          <w:lang w:val="de-DE"/>
        </w:rPr>
        <w:t>Art. </w:t>
      </w:r>
      <w:r w:rsidR="001527B1" w:rsidRPr="004676F5">
        <w:rPr>
          <w:b/>
          <w:lang w:val="de-DE"/>
        </w:rPr>
        <w:t>XI.32</w:t>
      </w:r>
      <w:r w:rsidR="001527B1" w:rsidRPr="004676F5">
        <w:rPr>
          <w:lang w:val="de-DE"/>
        </w:rPr>
        <w:t> </w:t>
      </w:r>
      <w:r w:rsidR="005B7A5C" w:rsidRPr="004676F5">
        <w:rPr>
          <w:lang w:val="de-DE"/>
        </w:rPr>
        <w:t>- </w:t>
      </w:r>
      <w:r w:rsidR="00BC461C" w:rsidRPr="004676F5">
        <w:rPr>
          <w:szCs w:val="32"/>
          <w:lang w:val="de-DE"/>
        </w:rPr>
        <w:t>[...]</w:t>
      </w:r>
    </w:p>
    <w:p w14:paraId="25CFCECE" w14:textId="303D6EE8" w:rsidR="00BC461C" w:rsidRPr="004676F5" w:rsidRDefault="00BC461C" w:rsidP="00BC461C">
      <w:pPr>
        <w:jc w:val="both"/>
        <w:rPr>
          <w:szCs w:val="32"/>
          <w:lang w:val="de-DE"/>
        </w:rPr>
      </w:pPr>
    </w:p>
    <w:p w14:paraId="3FD48B5B" w14:textId="09822166" w:rsidR="00BC461C" w:rsidRPr="004676F5" w:rsidRDefault="00BC461C" w:rsidP="00BC461C">
      <w:pPr>
        <w:jc w:val="both"/>
        <w:rPr>
          <w:szCs w:val="32"/>
          <w:lang w:val="de-DE"/>
        </w:rPr>
      </w:pPr>
      <w:r w:rsidRPr="004676F5">
        <w:rPr>
          <w:i/>
          <w:szCs w:val="32"/>
          <w:lang w:val="de-DE"/>
        </w:rPr>
        <w:t>[Art. XI.32 aufgehoben durch Art. 3 des G. vom 19. Dezember 2017 (B.S. vom 28. Dezember 2017)]</w:t>
      </w:r>
    </w:p>
    <w:p w14:paraId="4BCF40E8" w14:textId="77777777" w:rsidR="00BC461C" w:rsidRPr="004676F5" w:rsidRDefault="00BC461C" w:rsidP="00BC461C">
      <w:pPr>
        <w:jc w:val="both"/>
        <w:rPr>
          <w:sz w:val="32"/>
          <w:szCs w:val="32"/>
          <w:lang w:val="de-DE"/>
        </w:rPr>
      </w:pPr>
    </w:p>
    <w:p w14:paraId="62B8859E" w14:textId="77777777" w:rsidR="00CE5A09" w:rsidRPr="004676F5" w:rsidRDefault="00CE5A09" w:rsidP="001527B1">
      <w:pPr>
        <w:ind w:firstLine="708"/>
        <w:jc w:val="both"/>
        <w:rPr>
          <w:sz w:val="32"/>
          <w:szCs w:val="32"/>
          <w:lang w:val="de-DE"/>
        </w:rPr>
      </w:pPr>
    </w:p>
    <w:p w14:paraId="059A4DAD" w14:textId="19489E61" w:rsidR="00BC461C" w:rsidRPr="004676F5" w:rsidRDefault="00BE0A56" w:rsidP="007769E2">
      <w:pPr>
        <w:ind w:firstLine="708"/>
        <w:jc w:val="both"/>
        <w:rPr>
          <w:szCs w:val="32"/>
          <w:lang w:val="de-DE"/>
        </w:rPr>
      </w:pPr>
      <w:r w:rsidRPr="004676F5">
        <w:rPr>
          <w:b/>
          <w:lang w:val="de-DE"/>
        </w:rPr>
        <w:t>Art. </w:t>
      </w:r>
      <w:r w:rsidR="001527B1" w:rsidRPr="004676F5">
        <w:rPr>
          <w:b/>
          <w:lang w:val="de-DE"/>
        </w:rPr>
        <w:t>XI.33</w:t>
      </w:r>
      <w:r w:rsidR="001527B1" w:rsidRPr="004676F5">
        <w:rPr>
          <w:lang w:val="de-DE"/>
        </w:rPr>
        <w:t> </w:t>
      </w:r>
      <w:r w:rsidR="005B7A5C" w:rsidRPr="004676F5">
        <w:rPr>
          <w:lang w:val="de-DE"/>
        </w:rPr>
        <w:t>- </w:t>
      </w:r>
      <w:r w:rsidR="00BC461C" w:rsidRPr="004676F5">
        <w:rPr>
          <w:szCs w:val="32"/>
          <w:lang w:val="de-DE"/>
        </w:rPr>
        <w:t>[...]</w:t>
      </w:r>
    </w:p>
    <w:p w14:paraId="0BA29342" w14:textId="77777777" w:rsidR="00BC461C" w:rsidRPr="004676F5" w:rsidRDefault="00BC461C" w:rsidP="00BC461C">
      <w:pPr>
        <w:jc w:val="both"/>
        <w:rPr>
          <w:szCs w:val="32"/>
          <w:lang w:val="de-DE"/>
        </w:rPr>
      </w:pPr>
    </w:p>
    <w:p w14:paraId="76F8014C" w14:textId="29A5CA22" w:rsidR="00BC461C" w:rsidRPr="004676F5" w:rsidRDefault="00BC461C" w:rsidP="00BC461C">
      <w:pPr>
        <w:jc w:val="both"/>
        <w:rPr>
          <w:szCs w:val="32"/>
          <w:lang w:val="de-DE"/>
        </w:rPr>
      </w:pPr>
      <w:r w:rsidRPr="004676F5">
        <w:rPr>
          <w:i/>
          <w:szCs w:val="32"/>
          <w:lang w:val="de-DE"/>
        </w:rPr>
        <w:t>[Art. XI.33 aufgehoben durch Art. 3 des G. vom 19. Dezember 2017 (B.S. vom 28. Dezember 2017)]</w:t>
      </w:r>
    </w:p>
    <w:p w14:paraId="2356B4E6" w14:textId="77777777" w:rsidR="00BC461C" w:rsidRPr="004676F5" w:rsidRDefault="00BC461C" w:rsidP="00BC461C">
      <w:pPr>
        <w:jc w:val="both"/>
        <w:rPr>
          <w:sz w:val="32"/>
          <w:szCs w:val="32"/>
          <w:lang w:val="de-DE"/>
        </w:rPr>
      </w:pPr>
    </w:p>
    <w:p w14:paraId="14E37195" w14:textId="77777777" w:rsidR="00BC461C" w:rsidRPr="004676F5" w:rsidRDefault="00BC461C" w:rsidP="00BC461C">
      <w:pPr>
        <w:jc w:val="both"/>
        <w:rPr>
          <w:sz w:val="32"/>
          <w:szCs w:val="32"/>
          <w:lang w:val="de-DE"/>
        </w:rPr>
      </w:pPr>
    </w:p>
    <w:p w14:paraId="25489D6B" w14:textId="2722D5D2" w:rsidR="00BC461C" w:rsidRPr="004676F5" w:rsidRDefault="00BE0A56" w:rsidP="007769E2">
      <w:pPr>
        <w:ind w:firstLine="708"/>
        <w:jc w:val="both"/>
        <w:rPr>
          <w:szCs w:val="32"/>
          <w:lang w:val="de-DE"/>
        </w:rPr>
      </w:pPr>
      <w:r w:rsidRPr="004676F5">
        <w:rPr>
          <w:b/>
          <w:lang w:val="de-DE"/>
        </w:rPr>
        <w:t>Art. </w:t>
      </w:r>
      <w:r w:rsidR="001527B1" w:rsidRPr="004676F5">
        <w:rPr>
          <w:b/>
          <w:lang w:val="de-DE"/>
        </w:rPr>
        <w:t>XI.34</w:t>
      </w:r>
      <w:r w:rsidR="001527B1" w:rsidRPr="004676F5">
        <w:rPr>
          <w:lang w:val="de-DE"/>
        </w:rPr>
        <w:t> </w:t>
      </w:r>
      <w:r w:rsidR="005B7A5C" w:rsidRPr="004676F5">
        <w:rPr>
          <w:lang w:val="de-DE"/>
        </w:rPr>
        <w:t>- </w:t>
      </w:r>
      <w:r w:rsidR="00BC461C" w:rsidRPr="004676F5">
        <w:rPr>
          <w:szCs w:val="32"/>
          <w:lang w:val="de-DE"/>
        </w:rPr>
        <w:t>§ 1 </w:t>
      </w:r>
      <w:r w:rsidR="005B7A5C" w:rsidRPr="004676F5">
        <w:rPr>
          <w:szCs w:val="32"/>
          <w:lang w:val="de-DE"/>
        </w:rPr>
        <w:t>- </w:t>
      </w:r>
      <w:r w:rsidR="00BC461C" w:rsidRPr="004676F5">
        <w:rPr>
          <w:szCs w:val="32"/>
          <w:lang w:val="de-DE"/>
        </w:rPr>
        <w:t>[Die Rechte aus einem Patent erstrecken sich nicht auf:</w:t>
      </w:r>
    </w:p>
    <w:p w14:paraId="6DCBD108" w14:textId="77777777" w:rsidR="00BC461C" w:rsidRPr="004676F5" w:rsidRDefault="00BC461C" w:rsidP="00BC461C">
      <w:pPr>
        <w:jc w:val="both"/>
        <w:rPr>
          <w:szCs w:val="32"/>
          <w:lang w:val="de-DE"/>
        </w:rPr>
      </w:pPr>
    </w:p>
    <w:p w14:paraId="3F1F24D4" w14:textId="726ABA65"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 xml:space="preserve">a) </w:t>
      </w:r>
      <w:r w:rsidR="00BC461C" w:rsidRPr="004676F5">
        <w:rPr>
          <w:szCs w:val="32"/>
          <w:lang w:val="de-DE"/>
        </w:rPr>
        <w:t>Handlungen, die im privaten Bereich zu nichtgewerblichen Zwecken vorgenommen werden,</w:t>
      </w:r>
    </w:p>
    <w:p w14:paraId="28D4BBD9" w14:textId="77777777" w:rsidR="00BC461C" w:rsidRPr="004676F5" w:rsidRDefault="00BC461C" w:rsidP="00BC461C">
      <w:pPr>
        <w:jc w:val="both"/>
        <w:rPr>
          <w:szCs w:val="32"/>
          <w:lang w:val="de-DE"/>
        </w:rPr>
      </w:pPr>
    </w:p>
    <w:p w14:paraId="04373DB7" w14:textId="037DAAEF" w:rsidR="00BC461C" w:rsidRPr="004676F5" w:rsidRDefault="007769E2" w:rsidP="00BC461C">
      <w:pPr>
        <w:jc w:val="both"/>
        <w:rPr>
          <w:szCs w:val="32"/>
          <w:lang w:val="de-DE"/>
        </w:rPr>
      </w:pPr>
      <w:r w:rsidRPr="004676F5">
        <w:rPr>
          <w:i/>
          <w:szCs w:val="32"/>
          <w:lang w:val="de-DE"/>
        </w:rPr>
        <w:tab/>
      </w:r>
      <w:r w:rsidR="00BC461C" w:rsidRPr="004676F5">
        <w:rPr>
          <w:i/>
          <w:szCs w:val="32"/>
          <w:lang w:val="de-DE"/>
        </w:rPr>
        <w:t>b)</w:t>
      </w:r>
      <w:r w:rsidR="00BC461C" w:rsidRPr="004676F5">
        <w:rPr>
          <w:szCs w:val="32"/>
          <w:lang w:val="de-DE"/>
        </w:rPr>
        <w:t xml:space="preserve"> Handlungen zu Versuchszwecken, die sich auf den Gegenstand der patentierten Erfindung beziehen,</w:t>
      </w:r>
    </w:p>
    <w:p w14:paraId="56474CB4" w14:textId="77777777" w:rsidR="00BC461C" w:rsidRPr="004676F5" w:rsidRDefault="00BC461C" w:rsidP="00BC461C">
      <w:pPr>
        <w:jc w:val="both"/>
        <w:rPr>
          <w:szCs w:val="32"/>
          <w:lang w:val="de-DE"/>
        </w:rPr>
      </w:pPr>
    </w:p>
    <w:p w14:paraId="08566A37" w14:textId="07133838"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c)</w:t>
      </w:r>
      <w:r w:rsidR="00BC461C" w:rsidRPr="004676F5">
        <w:rPr>
          <w:szCs w:val="32"/>
          <w:lang w:val="de-DE"/>
        </w:rPr>
        <w:t xml:space="preserve"> die Verwendung biologischen Materials zum Zwecke der Züchtung, Entdeckung oder Entwicklung anderer Pflanzensorten,</w:t>
      </w:r>
    </w:p>
    <w:p w14:paraId="763564C4" w14:textId="77777777" w:rsidR="00BC461C" w:rsidRPr="004676F5" w:rsidRDefault="00BC461C" w:rsidP="00BC461C">
      <w:pPr>
        <w:jc w:val="both"/>
        <w:rPr>
          <w:szCs w:val="32"/>
          <w:lang w:val="de-DE"/>
        </w:rPr>
      </w:pPr>
    </w:p>
    <w:p w14:paraId="7967BA85" w14:textId="2982D74E"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d)</w:t>
      </w:r>
      <w:r w:rsidR="00BC461C" w:rsidRPr="004676F5">
        <w:rPr>
          <w:szCs w:val="32"/>
          <w:lang w:val="de-DE"/>
        </w:rPr>
        <w:t xml:space="preserve"> erlaubte Handlungen nach Artikel 6</w:t>
      </w:r>
      <w:r w:rsidR="00BC461C" w:rsidRPr="004676F5">
        <w:rPr>
          <w:i/>
          <w:iCs/>
          <w:szCs w:val="32"/>
          <w:lang w:val="de-DE"/>
        </w:rPr>
        <w:t>bis</w:t>
      </w:r>
      <w:r w:rsidR="00BC461C" w:rsidRPr="004676F5">
        <w:rPr>
          <w:szCs w:val="32"/>
          <w:lang w:val="de-DE"/>
        </w:rPr>
        <w:t xml:space="preserve"> § 1 Absatz 12 und § 6 Absatz 13 des Gesetzes vom 25. März 1964 über Arzneimittel, im Hinblick auf alle Patente, die das Erzeugnis im Sinne dieser Bestimmungen erfassen,</w:t>
      </w:r>
    </w:p>
    <w:p w14:paraId="1B6B8252" w14:textId="77777777" w:rsidR="00BC461C" w:rsidRPr="004676F5" w:rsidRDefault="00BC461C" w:rsidP="00BC461C">
      <w:pPr>
        <w:jc w:val="both"/>
        <w:rPr>
          <w:szCs w:val="32"/>
          <w:lang w:val="de-DE"/>
        </w:rPr>
      </w:pPr>
    </w:p>
    <w:p w14:paraId="06733CF7" w14:textId="6D212C51"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e)</w:t>
      </w:r>
      <w:r w:rsidR="00BC461C" w:rsidRPr="004676F5">
        <w:rPr>
          <w:szCs w:val="32"/>
          <w:lang w:val="de-DE"/>
        </w:rPr>
        <w:t xml:space="preserve"> die unmittelbare Einzelzubereitung von Arzneimitteln in Apotheken aufgrund ärztlicher Verschreibung und auf Handlungen, die die auf diese Weise zubereiteten Arzneimittel betreffen,</w:t>
      </w:r>
    </w:p>
    <w:p w14:paraId="0DF6738D" w14:textId="77777777" w:rsidR="00BC461C" w:rsidRPr="004676F5" w:rsidRDefault="00BC461C" w:rsidP="00BC461C">
      <w:pPr>
        <w:jc w:val="both"/>
        <w:rPr>
          <w:szCs w:val="32"/>
          <w:lang w:val="de-DE"/>
        </w:rPr>
      </w:pPr>
    </w:p>
    <w:p w14:paraId="42BB94F4" w14:textId="2CAE21A7"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f)</w:t>
      </w:r>
      <w:r w:rsidR="00BC461C" w:rsidRPr="004676F5">
        <w:rPr>
          <w:szCs w:val="32"/>
          <w:lang w:val="de-DE"/>
        </w:rPr>
        <w:t xml:space="preserve"> den Gebrauch des Gegenstands der patentierten Erfindung an Bord von Schiffen anderer Länder des Internationalen Verbands zum Schutz des gewerblichen Eigentums (Pariser Verband) oder anderer Mitglieder der Welthandelsorganisation als Belgien im Schiffskörper, in den Maschinen, im Takelwerk, an den Geräten und sonstigem Zubehör, wenn die Schiffe vorübergehend oder zufällig in die Gewässer Belgiens gelangen, vorausgesetzt, dieser Gegenstand wird dort ausschließlich für die Bedürfnisse des Schiffs verwendet,</w:t>
      </w:r>
    </w:p>
    <w:p w14:paraId="314E3F57" w14:textId="77777777" w:rsidR="00BC461C" w:rsidRPr="004676F5" w:rsidRDefault="00BC461C" w:rsidP="00BC461C">
      <w:pPr>
        <w:jc w:val="both"/>
        <w:rPr>
          <w:szCs w:val="32"/>
          <w:lang w:val="de-DE"/>
        </w:rPr>
      </w:pPr>
    </w:p>
    <w:p w14:paraId="21E0B942" w14:textId="53FBEB77"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 xml:space="preserve">g) </w:t>
      </w:r>
      <w:r w:rsidR="00BC461C" w:rsidRPr="004676F5">
        <w:rPr>
          <w:szCs w:val="32"/>
          <w:lang w:val="de-DE"/>
        </w:rPr>
        <w:t>den Gebrauch des Gegenstands der patentierten Erfindung in der Bauausführung oder für den Betrieb von Luft</w:t>
      </w:r>
      <w:r w:rsidR="005B7A5C" w:rsidRPr="004676F5">
        <w:rPr>
          <w:szCs w:val="32"/>
          <w:lang w:val="de-DE"/>
        </w:rPr>
        <w:t>- </w:t>
      </w:r>
      <w:r w:rsidR="00BC461C" w:rsidRPr="004676F5">
        <w:rPr>
          <w:szCs w:val="32"/>
          <w:lang w:val="de-DE"/>
        </w:rPr>
        <w:t>oder Landfahrzeugen oder sonstigen Transportmitteln anderer Länder des Internationalen Verbands zum Schutz des gewerblichen Eigentums (Pariser Verband) oder anderer Mitglieder der Welthandelsorganisation als Belgien oder des Zubehörs solcher Luft</w:t>
      </w:r>
      <w:r w:rsidR="005B7A5C" w:rsidRPr="004676F5">
        <w:rPr>
          <w:szCs w:val="32"/>
          <w:lang w:val="de-DE"/>
        </w:rPr>
        <w:t>- </w:t>
      </w:r>
      <w:r w:rsidR="00BC461C" w:rsidRPr="004676F5">
        <w:rPr>
          <w:szCs w:val="32"/>
          <w:lang w:val="de-DE"/>
        </w:rPr>
        <w:t>oder Landfahrzeuge, wenn diese vorübergehend oder zufällig auf das belgische Staatsgebiet gelangen,</w:t>
      </w:r>
    </w:p>
    <w:p w14:paraId="452FEBD9" w14:textId="77777777" w:rsidR="00BC461C" w:rsidRPr="004676F5" w:rsidRDefault="00BC461C" w:rsidP="00BC461C">
      <w:pPr>
        <w:jc w:val="both"/>
        <w:rPr>
          <w:szCs w:val="32"/>
          <w:lang w:val="de-DE"/>
        </w:rPr>
      </w:pPr>
    </w:p>
    <w:p w14:paraId="5A77B9A0" w14:textId="40CE12FD"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h)</w:t>
      </w:r>
      <w:r w:rsidR="00BC461C" w:rsidRPr="004676F5">
        <w:rPr>
          <w:szCs w:val="32"/>
          <w:lang w:val="de-DE"/>
        </w:rPr>
        <w:t xml:space="preserve"> die in Artikel 27 des Abkommens vom 7. Dezember 1944 über die internationale Zivilluftfahrt vorgesehenen Handlungen, wenn diese Handlungen ein Luftfahrzeug eines anderen Vertragsstaates jenes Abkommens als Belgien betreffen,</w:t>
      </w:r>
    </w:p>
    <w:p w14:paraId="3E190824" w14:textId="77777777" w:rsidR="00BC461C" w:rsidRPr="004676F5" w:rsidRDefault="00BC461C" w:rsidP="00BC461C">
      <w:pPr>
        <w:jc w:val="both"/>
        <w:rPr>
          <w:szCs w:val="32"/>
          <w:lang w:val="de-DE"/>
        </w:rPr>
      </w:pPr>
    </w:p>
    <w:p w14:paraId="615A1ED3" w14:textId="3CBB4E33"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i)</w:t>
      </w:r>
      <w:r w:rsidR="00BC461C" w:rsidRPr="004676F5">
        <w:rPr>
          <w:szCs w:val="32"/>
          <w:lang w:val="de-DE"/>
        </w:rPr>
        <w:t xml:space="preserve"> die Verwendung seines Ernteguts durch einen Landwirt zur generativen oder vegetativen Vermehrung durch ihn selbst im eigenen Betrieb, sofern das pflanzliche Vermehrungsmaterial vom Patentinhaber oder mit dessen Zustimmung zum landwirtschaftlichen Anbau an den Landwirt verkauft oder auf andere Weise in Verkehr gebracht wurde. Das Ausmaß und die Modalitäten dieser Verwendung entsprechen denjenigen des Artikels 14 der Verordnung (EG) Nr. 2100/94 des Rates vom 27. Juli 1994 über den gemeinschaftlichen Sortenschutz,</w:t>
      </w:r>
    </w:p>
    <w:p w14:paraId="595D6502" w14:textId="77777777" w:rsidR="00BC461C" w:rsidRPr="004676F5" w:rsidRDefault="00BC461C" w:rsidP="00BC461C">
      <w:pPr>
        <w:jc w:val="both"/>
        <w:rPr>
          <w:szCs w:val="32"/>
          <w:lang w:val="de-DE"/>
        </w:rPr>
      </w:pPr>
    </w:p>
    <w:p w14:paraId="6EF8EE31" w14:textId="78B3CFA5"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j)</w:t>
      </w:r>
      <w:r w:rsidR="00BC461C" w:rsidRPr="004676F5">
        <w:rPr>
          <w:szCs w:val="32"/>
          <w:lang w:val="de-DE"/>
        </w:rPr>
        <w:t xml:space="preserve"> die Verwendung von geschützten landwirtschaftlichen Nutztieren durch einen Landwirt zu landwirtschaftlichen Zwecken, sofern die Zuchttiere oder anderes tierisches Vermehrungsmaterial vom Patentinhaber oder mit dessen Zustimmung an den Landwirt verkauft oder auf andere Weise in Verkehr gebracht wurden. Diese Verwendung erstreckt sich auch auf die Überlassung der landwirtschaftlichen Nutztiere oder des anderen tierischen Vermehrungsmaterials zur Ausübung der landwirtschaftlichen Tätigkeit des Landwirts, jedoch nicht auf seinen Verkauf mit dem Ziel oder im Rahmen einer Vermehrung zu Erwerbszwecken,</w:t>
      </w:r>
    </w:p>
    <w:p w14:paraId="5ED6C04A" w14:textId="77777777" w:rsidR="00BC461C" w:rsidRPr="004676F5" w:rsidRDefault="00BC461C" w:rsidP="00BC461C">
      <w:pPr>
        <w:jc w:val="both"/>
        <w:rPr>
          <w:szCs w:val="32"/>
          <w:lang w:val="de-DE"/>
        </w:rPr>
      </w:pPr>
    </w:p>
    <w:p w14:paraId="6F9BC5B3" w14:textId="2531D3F8"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k)</w:t>
      </w:r>
      <w:r w:rsidR="00BC461C" w:rsidRPr="004676F5">
        <w:rPr>
          <w:szCs w:val="32"/>
          <w:lang w:val="de-DE"/>
        </w:rPr>
        <w:t xml:space="preserve"> Handlungen und die Verwendung von Informationen, die gemäß den Artikeln XI.299 und XI.300, insbesondere den Bestimmungen betreffend Dekompilierung und Interoperabilität, erlaubt sind, und</w:t>
      </w:r>
    </w:p>
    <w:p w14:paraId="45FC56AB" w14:textId="77777777" w:rsidR="00BC461C" w:rsidRPr="004676F5" w:rsidRDefault="00BC461C" w:rsidP="00BC461C">
      <w:pPr>
        <w:jc w:val="both"/>
        <w:rPr>
          <w:szCs w:val="32"/>
          <w:lang w:val="de-DE"/>
        </w:rPr>
      </w:pPr>
    </w:p>
    <w:p w14:paraId="07335BDC" w14:textId="039DA1A5" w:rsidR="00BC461C" w:rsidRPr="004676F5" w:rsidRDefault="007769E2" w:rsidP="00BC461C">
      <w:pPr>
        <w:jc w:val="both"/>
        <w:rPr>
          <w:szCs w:val="32"/>
          <w:lang w:val="de-DE"/>
        </w:rPr>
      </w:pPr>
      <w:r w:rsidRPr="004676F5">
        <w:rPr>
          <w:i/>
          <w:iCs/>
          <w:szCs w:val="32"/>
          <w:lang w:val="de-DE"/>
        </w:rPr>
        <w:tab/>
      </w:r>
      <w:r w:rsidR="00BC461C" w:rsidRPr="004676F5">
        <w:rPr>
          <w:i/>
          <w:iCs/>
          <w:szCs w:val="32"/>
          <w:lang w:val="de-DE"/>
        </w:rPr>
        <w:t>l)</w:t>
      </w:r>
      <w:r w:rsidR="00BC461C" w:rsidRPr="004676F5">
        <w:rPr>
          <w:szCs w:val="32"/>
          <w:lang w:val="de-DE"/>
        </w:rPr>
        <w:t xml:space="preserve"> biologisches Material, das durch generative oder vegetative Vermehrung von biologischem Material gewonnen wird, das im Hoheitsgebiet eines Mitgliedstaats der Europäischen Union vom Patentinhaber oder mit dessen Zustimmung in Verkehr gebracht wurde, wenn die generative oder vegetative Vermehrung notwendigerweise das Ergebnis der Verwendung ist, für die das biologische Material in Verkehr gebracht wurde, vorausgesetzt, das so gewonnene Material wird anschließend nicht für andere generative oder vegetative Vermehrung verwendet.]</w:t>
      </w:r>
    </w:p>
    <w:p w14:paraId="5857B753" w14:textId="4BC400AA" w:rsidR="00BC461C" w:rsidRPr="004676F5" w:rsidRDefault="00BC461C" w:rsidP="00BC461C">
      <w:pPr>
        <w:jc w:val="both"/>
        <w:rPr>
          <w:szCs w:val="32"/>
          <w:lang w:val="de-DE"/>
        </w:rPr>
      </w:pPr>
    </w:p>
    <w:p w14:paraId="395A6954" w14:textId="45DB55D0" w:rsidR="00BC461C" w:rsidRPr="004676F5" w:rsidRDefault="007769E2" w:rsidP="00BC461C">
      <w:pPr>
        <w:jc w:val="both"/>
        <w:rPr>
          <w:szCs w:val="32"/>
          <w:lang w:val="de-DE"/>
        </w:rPr>
      </w:pPr>
      <w:r w:rsidRPr="004676F5">
        <w:rPr>
          <w:szCs w:val="32"/>
          <w:lang w:val="de-DE"/>
        </w:rPr>
        <w:tab/>
      </w:r>
      <w:r w:rsidR="00BC461C" w:rsidRPr="004676F5">
        <w:rPr>
          <w:szCs w:val="32"/>
          <w:lang w:val="de-DE"/>
        </w:rPr>
        <w:t>[§ 1/1 </w:t>
      </w:r>
      <w:r w:rsidR="005B7A5C" w:rsidRPr="004676F5">
        <w:rPr>
          <w:szCs w:val="32"/>
          <w:lang w:val="de-DE"/>
        </w:rPr>
        <w:t>- </w:t>
      </w:r>
      <w:r w:rsidR="00BC461C" w:rsidRPr="004676F5">
        <w:rPr>
          <w:szCs w:val="32"/>
          <w:lang w:val="de-DE"/>
        </w:rPr>
        <w:t>Alle Handlungen, die für die Beurteilung von Arzneimitteln vorgenommen werden, gelten als Handlungen zu Versuchszwecken, die sich auf den Gegenstand der patentierten Erfindung beziehen, im Sinne von § 1 Buchstabe </w:t>
      </w:r>
      <w:r w:rsidR="00BC461C" w:rsidRPr="004676F5">
        <w:rPr>
          <w:i/>
          <w:iCs/>
          <w:szCs w:val="32"/>
          <w:lang w:val="de-DE"/>
        </w:rPr>
        <w:t>b)</w:t>
      </w:r>
      <w:r w:rsidR="00BC461C" w:rsidRPr="004676F5">
        <w:rPr>
          <w:szCs w:val="32"/>
          <w:lang w:val="de-DE"/>
        </w:rPr>
        <w:t>.]</w:t>
      </w:r>
    </w:p>
    <w:p w14:paraId="7B9F5D76" w14:textId="77777777" w:rsidR="00BC461C" w:rsidRPr="004676F5" w:rsidRDefault="00BC461C" w:rsidP="00BC461C">
      <w:pPr>
        <w:jc w:val="both"/>
        <w:rPr>
          <w:szCs w:val="32"/>
          <w:lang w:val="de-DE"/>
        </w:rPr>
      </w:pPr>
    </w:p>
    <w:p w14:paraId="3820D208" w14:textId="74C790CB" w:rsidR="00BC461C" w:rsidRPr="004676F5" w:rsidRDefault="007769E2" w:rsidP="00BC461C">
      <w:pPr>
        <w:jc w:val="both"/>
        <w:rPr>
          <w:szCs w:val="32"/>
          <w:lang w:val="de-DE"/>
        </w:rPr>
      </w:pPr>
      <w:r w:rsidRPr="004676F5">
        <w:rPr>
          <w:szCs w:val="32"/>
          <w:lang w:val="de-DE"/>
        </w:rPr>
        <w:tab/>
      </w:r>
      <w:r w:rsidR="00BC461C" w:rsidRPr="004676F5">
        <w:rPr>
          <w:szCs w:val="32"/>
          <w:lang w:val="de-DE"/>
        </w:rPr>
        <w:t>§ 2 </w:t>
      </w:r>
      <w:r w:rsidR="005B7A5C" w:rsidRPr="004676F5">
        <w:rPr>
          <w:szCs w:val="32"/>
          <w:lang w:val="de-DE"/>
        </w:rPr>
        <w:t>- </w:t>
      </w:r>
      <w:r w:rsidR="00BC461C" w:rsidRPr="004676F5">
        <w:rPr>
          <w:szCs w:val="32"/>
          <w:lang w:val="de-DE"/>
        </w:rPr>
        <w:t xml:space="preserve">Die Rechte aus dem Patent erstrecken sich nicht auf Handlungen, die sich auf ein Erzeugnis beziehen, das durch dieses Patent geschützt ist, und die auf belgischem Staatsgebiet vorgenommen werden, nachdem dieses Erzeugnis vom Patentinhaber oder mit seiner ausdrücklichen Zustimmung </w:t>
      </w:r>
      <w:r w:rsidR="008C5996" w:rsidRPr="004676F5">
        <w:rPr>
          <w:szCs w:val="32"/>
          <w:lang w:val="de-DE"/>
        </w:rPr>
        <w:t>[</w:t>
      </w:r>
      <w:r w:rsidR="008C5996" w:rsidRPr="004676F5">
        <w:rPr>
          <w:lang w:val="de-DE"/>
        </w:rPr>
        <w:t>in einem Mitgliedstaat</w:t>
      </w:r>
      <w:r w:rsidR="008C5996" w:rsidRPr="004676F5">
        <w:rPr>
          <w:szCs w:val="32"/>
          <w:lang w:val="de-DE"/>
        </w:rPr>
        <w:t>]</w:t>
      </w:r>
      <w:r w:rsidR="00BC461C" w:rsidRPr="004676F5">
        <w:rPr>
          <w:szCs w:val="32"/>
          <w:lang w:val="de-DE"/>
        </w:rPr>
        <w:t xml:space="preserve"> in Verkehr gebracht wurde.</w:t>
      </w:r>
    </w:p>
    <w:p w14:paraId="761E6AA0" w14:textId="2BD1790C" w:rsidR="00BC461C" w:rsidRPr="004676F5" w:rsidRDefault="00BC461C" w:rsidP="00BC461C">
      <w:pPr>
        <w:jc w:val="both"/>
        <w:rPr>
          <w:szCs w:val="32"/>
          <w:lang w:val="de-DE"/>
        </w:rPr>
      </w:pPr>
    </w:p>
    <w:p w14:paraId="5304E1F6" w14:textId="7198AFD4" w:rsidR="00BC461C" w:rsidRPr="004676F5" w:rsidRDefault="00BC461C" w:rsidP="00BC461C">
      <w:pPr>
        <w:jc w:val="both"/>
        <w:rPr>
          <w:szCs w:val="32"/>
          <w:lang w:val="de-DE"/>
        </w:rPr>
      </w:pPr>
      <w:r w:rsidRPr="004676F5">
        <w:rPr>
          <w:i/>
          <w:szCs w:val="32"/>
          <w:lang w:val="de-DE"/>
        </w:rPr>
        <w:t xml:space="preserve">[Art. XI.34 § 1 ersetzt durch Art. 4 Nr. 1 des G. vom 19. Dezember 2017 (B.S. vom 28. Dezember 2017); § 1/1 eingefügt durch Art. 4 Nr. 2 des G. vom 19. Dezember 2017 (B.S. </w:t>
      </w:r>
      <w:r w:rsidRPr="004676F5">
        <w:rPr>
          <w:i/>
          <w:szCs w:val="32"/>
          <w:lang w:val="de-DE"/>
        </w:rPr>
        <w:lastRenderedPageBreak/>
        <w:t>vom 28. Dezember 2017)</w:t>
      </w:r>
      <w:r w:rsidR="008C5996" w:rsidRPr="004676F5">
        <w:rPr>
          <w:i/>
          <w:szCs w:val="32"/>
          <w:lang w:val="de-DE"/>
        </w:rPr>
        <w:t>; § 2 abgeändert durch Art. 9</w:t>
      </w:r>
      <w:r w:rsidR="008C5996" w:rsidRPr="004676F5">
        <w:rPr>
          <w:i/>
          <w:iCs/>
          <w:lang w:val="de-DE"/>
        </w:rPr>
        <w:t xml:space="preserve"> des G. vom 25. September 2022 (B.S. vom 24. Oktober 2022)</w:t>
      </w:r>
      <w:r w:rsidRPr="004676F5">
        <w:rPr>
          <w:i/>
          <w:szCs w:val="32"/>
          <w:lang w:val="de-DE"/>
        </w:rPr>
        <w:t>]</w:t>
      </w:r>
    </w:p>
    <w:p w14:paraId="1E1D7A88" w14:textId="57CA1379" w:rsidR="00BC461C" w:rsidRPr="004676F5" w:rsidRDefault="00BC461C" w:rsidP="00BC461C">
      <w:pPr>
        <w:jc w:val="both"/>
        <w:rPr>
          <w:i/>
          <w:lang w:val="de-DE"/>
        </w:rPr>
      </w:pPr>
    </w:p>
    <w:p w14:paraId="7DBDB905" w14:textId="77777777" w:rsidR="00CE5A09" w:rsidRPr="004676F5" w:rsidRDefault="00CE5A09" w:rsidP="001527B1">
      <w:pPr>
        <w:ind w:firstLine="708"/>
        <w:jc w:val="both"/>
        <w:rPr>
          <w:lang w:val="de-DE"/>
        </w:rPr>
      </w:pPr>
    </w:p>
    <w:p w14:paraId="726FDECD" w14:textId="7429208C" w:rsidR="001527B1" w:rsidRPr="004676F5" w:rsidRDefault="00BE0A56" w:rsidP="001527B1">
      <w:pPr>
        <w:ind w:firstLine="708"/>
        <w:jc w:val="both"/>
        <w:rPr>
          <w:lang w:val="de-DE"/>
        </w:rPr>
      </w:pPr>
      <w:r w:rsidRPr="004676F5">
        <w:rPr>
          <w:b/>
          <w:lang w:val="de-DE"/>
        </w:rPr>
        <w:t>Art. </w:t>
      </w:r>
      <w:r w:rsidR="001527B1" w:rsidRPr="004676F5">
        <w:rPr>
          <w:b/>
          <w:lang w:val="de-DE"/>
        </w:rPr>
        <w:t>XI.35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 Patentanmelder kann eine den Umständen angemessene Entschädigung von einer Drittperson verlangen, die zwischen dem Datum, an dem entweder aufgrund von Artikel XI.24 § 3 die Patentanmeldung der Öffentlichkeit zugänglich gemacht wurde oder der interessehabenden Drittperson eine Abschrift dieser Patentanmeldung übermittelt wurde, und dem Datum der Patenterteilung die Erfindung auf eine Weise benutzt hat, die nach diesem Zeitraum aufgrund des Patents verboten wäre. Der Schutzbereich der Patentanmeldung wird durch die Patentansprüche bestimmt, die wie in Artikel XI.24 § 3 erwähnt der Öffentlichkeit zugänglich gemacht worden sind, oder gegebenenfalls durch die zuletzt beim Amt eingereichten Patentansprüche, die in der Abschrift enthalten sind, die der Drittperson übermittelt wird.</w:t>
      </w:r>
    </w:p>
    <w:p w14:paraId="48C348F2" w14:textId="77777777" w:rsidR="001527B1" w:rsidRPr="004676F5" w:rsidRDefault="001527B1" w:rsidP="001527B1">
      <w:pPr>
        <w:ind w:firstLine="708"/>
        <w:jc w:val="both"/>
        <w:rPr>
          <w:lang w:val="de-DE"/>
        </w:rPr>
      </w:pPr>
    </w:p>
    <w:p w14:paraId="06D24A1A" w14:textId="70CD5AFD"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in § 1 erwähnte Abschrift, die der interessehabenden Drittperson übermittelt wird, muss vom Amt beglaubigt werden.</w:t>
      </w:r>
    </w:p>
    <w:p w14:paraId="4C718749" w14:textId="77777777" w:rsidR="001527B1" w:rsidRPr="004676F5" w:rsidRDefault="001527B1" w:rsidP="001527B1">
      <w:pPr>
        <w:ind w:firstLine="708"/>
        <w:jc w:val="both"/>
        <w:rPr>
          <w:lang w:val="de-DE"/>
        </w:rPr>
      </w:pPr>
    </w:p>
    <w:p w14:paraId="3A5FCC11" w14:textId="5ECBACC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In Ermangelung einer Vereinbarung zwischen den Parteien wird die Entschädigung vom Gericht festgelegt. Das Gericht kann ferner Maßnahmen auferlegen, die es für die Wahrung der Interessen des Patentanmelders und der Drittperson als notwendig erachtet.</w:t>
      </w:r>
    </w:p>
    <w:p w14:paraId="08248C22" w14:textId="77777777" w:rsidR="001527B1" w:rsidRPr="004676F5" w:rsidRDefault="001527B1" w:rsidP="001527B1">
      <w:pPr>
        <w:ind w:firstLine="708"/>
        <w:jc w:val="both"/>
        <w:rPr>
          <w:lang w:val="de-DE"/>
        </w:rPr>
      </w:pPr>
    </w:p>
    <w:p w14:paraId="7D20B3AA" w14:textId="5E98CEF8"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Nach Patenterteilung kann die Drittperson die entrichtete Entschädigung zurück</w:t>
      </w:r>
      <w:r w:rsidRPr="004676F5">
        <w:rPr>
          <w:lang w:val="de-DE"/>
        </w:rPr>
        <w:softHyphen/>
        <w:t>fordern, insofern die Schlussfassung der Patentansprüche die Tragweite der Patentansprüche, die als Grundlage für die Bestimmung der Entschädigung gedient haben, einschränkt.</w:t>
      </w:r>
    </w:p>
    <w:p w14:paraId="6A996D40" w14:textId="77777777" w:rsidR="001527B1" w:rsidRPr="004676F5" w:rsidRDefault="001527B1" w:rsidP="001527B1">
      <w:pPr>
        <w:ind w:firstLine="708"/>
        <w:jc w:val="both"/>
        <w:rPr>
          <w:lang w:val="de-DE"/>
        </w:rPr>
      </w:pPr>
    </w:p>
    <w:p w14:paraId="1B01310E" w14:textId="3078DC06"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Die Klage auf Entschädigung und die Klage auf Erstattung verjähren in fünf Jahren ab Ende der Nutzung der Erfindung beziehungsweise dem Datum der Patenterteilung.</w:t>
      </w:r>
    </w:p>
    <w:p w14:paraId="17C3A2C8" w14:textId="77777777" w:rsidR="001527B1" w:rsidRPr="004676F5" w:rsidRDefault="001527B1" w:rsidP="001527B1">
      <w:pPr>
        <w:ind w:firstLine="708"/>
        <w:jc w:val="both"/>
        <w:rPr>
          <w:lang w:val="de-DE"/>
        </w:rPr>
      </w:pPr>
    </w:p>
    <w:p w14:paraId="47488B14" w14:textId="656A3E2B"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Der Nießbraucher der Patentanmeldung kann sich auf die Bestimmungen des vorliegenden Artikels berufen.</w:t>
      </w:r>
    </w:p>
    <w:p w14:paraId="450C4F7D" w14:textId="77777777" w:rsidR="001527B1" w:rsidRPr="004676F5" w:rsidRDefault="001527B1" w:rsidP="001527B1">
      <w:pPr>
        <w:ind w:firstLine="708"/>
        <w:jc w:val="both"/>
        <w:rPr>
          <w:lang w:val="de-DE"/>
        </w:rPr>
      </w:pPr>
    </w:p>
    <w:p w14:paraId="0452445B" w14:textId="77777777" w:rsidR="00CE5A09" w:rsidRPr="004676F5" w:rsidRDefault="00CE5A09" w:rsidP="001527B1">
      <w:pPr>
        <w:ind w:firstLine="708"/>
        <w:jc w:val="both"/>
        <w:rPr>
          <w:lang w:val="de-DE"/>
        </w:rPr>
      </w:pPr>
    </w:p>
    <w:p w14:paraId="631517A5" w14:textId="09862AB5" w:rsidR="001527B1" w:rsidRPr="004676F5" w:rsidRDefault="00BE0A56" w:rsidP="001527B1">
      <w:pPr>
        <w:ind w:firstLine="708"/>
        <w:jc w:val="both"/>
        <w:rPr>
          <w:lang w:val="de-DE"/>
        </w:rPr>
      </w:pPr>
      <w:r w:rsidRPr="004676F5">
        <w:rPr>
          <w:b/>
          <w:lang w:val="de-DE"/>
        </w:rPr>
        <w:t>Art. </w:t>
      </w:r>
      <w:r w:rsidR="001527B1" w:rsidRPr="004676F5">
        <w:rPr>
          <w:b/>
          <w:lang w:val="de-DE"/>
        </w:rPr>
        <w:t>XI.36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 auf belgischem Staatsgebiet die Erfindung, die Gegenstand eines Patents ist, vor dem Datum der Patentanmeldung oder der Priorität eines Patents in gutem Glauben benutzt oder besessen hat, hat das Recht, ungeachtet des Patents die Erfindung persönlich zu nutzen.</w:t>
      </w:r>
    </w:p>
    <w:p w14:paraId="3B3904CF" w14:textId="77777777" w:rsidR="001527B1" w:rsidRPr="004676F5" w:rsidRDefault="001527B1" w:rsidP="001527B1">
      <w:pPr>
        <w:ind w:firstLine="708"/>
        <w:jc w:val="both"/>
        <w:rPr>
          <w:lang w:val="de-DE"/>
        </w:rPr>
      </w:pPr>
    </w:p>
    <w:p w14:paraId="157A5A4F" w14:textId="3E8EB1B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Rechte aus dem Patent erstrecken sich nicht auf Handlungen, die sich auf ein Erzeugnis beziehen, das durch dieses Patent geschützt ist, und die auf belgischem Staatsgebiet vorgenommen werden, nachdem dieses Erzeugnis von der Person, die das in § 1 erwähnte Recht besitzt, in Belgien in Verkehr gebracht wurde.</w:t>
      </w:r>
    </w:p>
    <w:p w14:paraId="11E74BC3" w14:textId="77777777" w:rsidR="001527B1" w:rsidRPr="004676F5" w:rsidRDefault="001527B1" w:rsidP="001527B1">
      <w:pPr>
        <w:ind w:firstLine="708"/>
        <w:jc w:val="both"/>
        <w:rPr>
          <w:lang w:val="de-DE"/>
        </w:rPr>
      </w:pPr>
    </w:p>
    <w:p w14:paraId="7152411E" w14:textId="177621AA"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durch vorliegenden Artikel zuerkannten Rechte können nur zusammen mit dem Betrieb übertragen werden, an den sie gebunden sind.</w:t>
      </w:r>
    </w:p>
    <w:p w14:paraId="7B990E76" w14:textId="77777777" w:rsidR="001527B1" w:rsidRPr="004676F5" w:rsidRDefault="001527B1" w:rsidP="001527B1">
      <w:pPr>
        <w:ind w:firstLine="708"/>
        <w:jc w:val="both"/>
        <w:rPr>
          <w:lang w:val="de-DE"/>
        </w:rPr>
      </w:pPr>
    </w:p>
    <w:p w14:paraId="39CCBABB" w14:textId="77777777" w:rsidR="00CE5A09" w:rsidRPr="004676F5" w:rsidRDefault="00CE5A09" w:rsidP="001527B1">
      <w:pPr>
        <w:ind w:firstLine="708"/>
        <w:jc w:val="both"/>
        <w:rPr>
          <w:lang w:val="de-DE"/>
        </w:rPr>
      </w:pPr>
    </w:p>
    <w:p w14:paraId="7E246721" w14:textId="73EE851F" w:rsidR="001527B1" w:rsidRPr="004676F5" w:rsidRDefault="00BE0A56" w:rsidP="001527B1">
      <w:pPr>
        <w:ind w:firstLine="708"/>
        <w:jc w:val="both"/>
        <w:rPr>
          <w:lang w:val="de-DE"/>
        </w:rPr>
      </w:pPr>
      <w:r w:rsidRPr="004676F5">
        <w:rPr>
          <w:b/>
          <w:lang w:val="de-DE"/>
        </w:rPr>
        <w:t>Art. </w:t>
      </w:r>
      <w:r w:rsidR="001527B1" w:rsidRPr="004676F5">
        <w:rPr>
          <w:b/>
          <w:lang w:val="de-DE"/>
        </w:rPr>
        <w:t>XI.37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Minister kann gemäß den Artikeln XI.40 bis XI.42 eine Lizenz zur Nutzung einer durch ein Patent geschützten Erfindung erteilen:</w:t>
      </w:r>
    </w:p>
    <w:p w14:paraId="55955CF7" w14:textId="77777777" w:rsidR="001527B1" w:rsidRPr="004676F5" w:rsidRDefault="001527B1" w:rsidP="001527B1">
      <w:pPr>
        <w:ind w:firstLine="708"/>
        <w:jc w:val="both"/>
        <w:rPr>
          <w:lang w:val="de-DE"/>
        </w:rPr>
      </w:pPr>
    </w:p>
    <w:p w14:paraId="5E1C52DC" w14:textId="64F38DA3" w:rsidR="001527B1" w:rsidRPr="004676F5" w:rsidRDefault="001527B1" w:rsidP="001527B1">
      <w:pPr>
        <w:ind w:firstLine="708"/>
        <w:jc w:val="both"/>
        <w:rPr>
          <w:lang w:val="de-DE"/>
        </w:rPr>
      </w:pPr>
      <w:r w:rsidRPr="004676F5">
        <w:rPr>
          <w:lang w:val="de-DE"/>
        </w:rPr>
        <w:t xml:space="preserve">1. wenn eine Frist von vier Jahren ab dem Anmeldetag der Patentanmeldung oder von drei Jahren ab der Patenterteilung abgelaufen ist </w:t>
      </w:r>
      <w:r w:rsidR="005B7A5C" w:rsidRPr="004676F5">
        <w:rPr>
          <w:lang w:val="de-DE"/>
        </w:rPr>
        <w:t>- </w:t>
      </w:r>
      <w:r w:rsidRPr="004676F5">
        <w:rPr>
          <w:lang w:val="de-DE"/>
        </w:rPr>
        <w:t xml:space="preserve">wobei die zuletzt abgelaufene Frist </w:t>
      </w:r>
      <w:r w:rsidRPr="004676F5">
        <w:rPr>
          <w:lang w:val="de-DE"/>
        </w:rPr>
        <w:lastRenderedPageBreak/>
        <w:t>anzuwenden ist -, ohne dass die patentierte Erfindung durch Einfuhr oder ernsthafte und fortgesetzte Herstellung in Belgien verwertet wurde und ohne dass der Patentinhaber seine Untätigkeit durch triftige Gründe rechtfertigen kann.</w:t>
      </w:r>
    </w:p>
    <w:p w14:paraId="7FA3A7AC" w14:textId="77777777" w:rsidR="001527B1" w:rsidRPr="004676F5" w:rsidRDefault="001527B1" w:rsidP="001527B1">
      <w:pPr>
        <w:jc w:val="both"/>
        <w:rPr>
          <w:lang w:val="de-DE"/>
        </w:rPr>
      </w:pPr>
    </w:p>
    <w:p w14:paraId="446464F3" w14:textId="77777777" w:rsidR="001527B1" w:rsidRPr="004676F5" w:rsidRDefault="001527B1" w:rsidP="001527B1">
      <w:pPr>
        <w:ind w:firstLine="708"/>
        <w:jc w:val="both"/>
        <w:rPr>
          <w:lang w:val="de-DE"/>
        </w:rPr>
      </w:pPr>
      <w:r w:rsidRPr="004676F5">
        <w:rPr>
          <w:lang w:val="de-DE"/>
        </w:rPr>
        <w:t>Bezieht sich das Patent auf eine Maschine, so kann die ernsthafte und fortgesetzte Herstellung in Belgien von Erzeugnissen mit Hilfe dieser Maschine seitens des Patentinhabers als Verwertung der patentierten Erfindung in Belgien betrachtet werden, wenn diese Herstellung für die Wirtschaft des Landes wichtiger ist als die Herstellung der Maschine selbst.</w:t>
      </w:r>
    </w:p>
    <w:p w14:paraId="5A8194AB" w14:textId="77777777" w:rsidR="001527B1" w:rsidRPr="004676F5" w:rsidRDefault="001527B1" w:rsidP="001527B1">
      <w:pPr>
        <w:ind w:firstLine="708"/>
        <w:jc w:val="both"/>
        <w:rPr>
          <w:lang w:val="de-DE"/>
        </w:rPr>
      </w:pPr>
    </w:p>
    <w:p w14:paraId="38314E85" w14:textId="77777777" w:rsidR="001527B1" w:rsidRPr="004676F5" w:rsidRDefault="001527B1" w:rsidP="001527B1">
      <w:pPr>
        <w:ind w:firstLine="708"/>
        <w:jc w:val="both"/>
        <w:rPr>
          <w:lang w:val="de-DE"/>
        </w:rPr>
      </w:pPr>
      <w:r w:rsidRPr="004676F5">
        <w:rPr>
          <w:lang w:val="de-DE"/>
        </w:rPr>
        <w:t>Eine Zwangslizenz aufgrund fehlender oder unzureichender Verwertung wird nur bewilligt, insofern die Lizenz hauptsächlich für die Inlandversorgung erteilt wird,</w:t>
      </w:r>
    </w:p>
    <w:p w14:paraId="569E1B75" w14:textId="77777777" w:rsidR="001527B1" w:rsidRPr="004676F5" w:rsidRDefault="001527B1" w:rsidP="001527B1">
      <w:pPr>
        <w:ind w:firstLine="708"/>
        <w:jc w:val="both"/>
        <w:rPr>
          <w:lang w:val="de-DE"/>
        </w:rPr>
      </w:pPr>
    </w:p>
    <w:p w14:paraId="0A903ADD" w14:textId="77777777" w:rsidR="001527B1" w:rsidRPr="004676F5" w:rsidRDefault="001527B1" w:rsidP="001527B1">
      <w:pPr>
        <w:ind w:firstLine="708"/>
        <w:jc w:val="both"/>
        <w:rPr>
          <w:lang w:val="de-DE"/>
        </w:rPr>
      </w:pPr>
      <w:r w:rsidRPr="004676F5">
        <w:rPr>
          <w:lang w:val="de-DE"/>
        </w:rPr>
        <w:t>2. wenn eine Erfindung, die durch ein Patent im Besitz desjenigen, der eine Lizenz beantragt, geschützt ist, nicht verwertet werden kann, ohne dass Rechte aus einem Patent, das aus einer früheren Anmeldung hervorgeht, beeinträchtigt werden und insofern das abhängige Patent einen wesentlichen technischen Fortschritt von großem wirtschaftlichem Interesse im Vergleich zu der im dominierenden Patent beanspruchten Erfindung ermöglicht und die Lizenz hauptsächlich für die Inlandversorgung erteilt wird,</w:t>
      </w:r>
    </w:p>
    <w:p w14:paraId="5A2EDE37" w14:textId="77777777" w:rsidR="001527B1" w:rsidRPr="004676F5" w:rsidRDefault="001527B1" w:rsidP="001527B1">
      <w:pPr>
        <w:ind w:firstLine="708"/>
        <w:jc w:val="both"/>
        <w:rPr>
          <w:lang w:val="de-DE"/>
        </w:rPr>
      </w:pPr>
    </w:p>
    <w:p w14:paraId="530FCB15" w14:textId="77777777" w:rsidR="001527B1" w:rsidRPr="004676F5" w:rsidRDefault="001527B1" w:rsidP="001527B1">
      <w:pPr>
        <w:ind w:firstLine="708"/>
        <w:jc w:val="both"/>
        <w:rPr>
          <w:lang w:val="de-DE"/>
        </w:rPr>
      </w:pPr>
      <w:r w:rsidRPr="004676F5">
        <w:rPr>
          <w:lang w:val="de-DE"/>
        </w:rPr>
        <w:t>3. wenn ein Pflanzenzüchter ein Sortenschutzrecht nicht erhalten oder verwerten kann, ohne ein früher erteiltes Patent zu verletzen, soweit diese Lizenz zur Verwertung der zu schützenden Pflanzensorte erforderlich ist und insofern die Sorte einen bedeutenden technischen Fortschritt von erheblichem wirtschaftlichen Interesse gegenüber der patentgeschützten Erfindung ermöglicht und diese Lizenz hauptsächlich für die Inland</w:t>
      </w:r>
      <w:r w:rsidRPr="004676F5">
        <w:rPr>
          <w:lang w:val="de-DE"/>
        </w:rPr>
        <w:softHyphen/>
        <w:t>versorgung erteilt wird,</w:t>
      </w:r>
    </w:p>
    <w:p w14:paraId="1FEEBC13" w14:textId="77777777" w:rsidR="001527B1" w:rsidRPr="004676F5" w:rsidRDefault="001527B1" w:rsidP="001527B1">
      <w:pPr>
        <w:ind w:firstLine="708"/>
        <w:jc w:val="both"/>
        <w:rPr>
          <w:lang w:val="de-DE"/>
        </w:rPr>
      </w:pPr>
    </w:p>
    <w:p w14:paraId="24B1D768" w14:textId="77777777" w:rsidR="001527B1" w:rsidRPr="004676F5" w:rsidRDefault="001527B1" w:rsidP="001527B1">
      <w:pPr>
        <w:ind w:firstLine="708"/>
        <w:jc w:val="both"/>
        <w:rPr>
          <w:lang w:val="de-DE"/>
        </w:rPr>
      </w:pPr>
      <w:r w:rsidRPr="004676F5">
        <w:rPr>
          <w:lang w:val="de-DE"/>
        </w:rPr>
        <w:t>4. an Inhaber eines Sortenschutzrechts, wenn dem Inhaber eines Patents für eine biotechnologische Erfindung gemäß den Bestimmungen des Gesetzes zum Schutz von pflanzlichen Zuchtprodukten eine nicht ausschließliche Zwangslizenz für die durch dieses Sortenschutzrecht geschützte Pflanzensorte erteilt worden ist, weil er die biotechnologische Erfindung nicht verwerten kann, ohne ein früher erteiltes Sortenschutzrecht zu verletzen und insofern die Lizenz hauptsächlich für die Inlandversorgung erteilt wird.</w:t>
      </w:r>
    </w:p>
    <w:p w14:paraId="55A17497" w14:textId="77777777" w:rsidR="001527B1" w:rsidRPr="004676F5" w:rsidRDefault="001527B1" w:rsidP="001527B1">
      <w:pPr>
        <w:ind w:firstLine="708"/>
        <w:jc w:val="both"/>
        <w:rPr>
          <w:lang w:val="de-DE"/>
        </w:rPr>
      </w:pPr>
    </w:p>
    <w:p w14:paraId="2E02AD75" w14:textId="4A36540D" w:rsidR="001527B1" w:rsidRPr="004676F5" w:rsidRDefault="001527B1" w:rsidP="001527B1">
      <w:pPr>
        <w:ind w:firstLine="708"/>
        <w:jc w:val="both"/>
        <w:rPr>
          <w:lang w:val="de-DE"/>
        </w:rPr>
      </w:pPr>
      <w:r w:rsidRPr="004676F5">
        <w:rPr>
          <w:lang w:val="de-DE"/>
        </w:rPr>
        <w:t>Für Topographien von Halbleitererzeugnissen wie in der Richtlinie 87/54 des Rates vom 16. Dezember 1986 festgelegt können die in den Nummern 1 und 2 des vorliegenden Paragraphen erwähnten Lizenzen nur erteilt werden, insofern sie dazu dienen, einer Praktik entgegenzutreten, von der nach einem Gerichts</w:t>
      </w:r>
      <w:r w:rsidR="005B7A5C" w:rsidRPr="004676F5">
        <w:rPr>
          <w:lang w:val="de-DE"/>
        </w:rPr>
        <w:t>- </w:t>
      </w:r>
      <w:r w:rsidRPr="004676F5">
        <w:rPr>
          <w:lang w:val="de-DE"/>
        </w:rPr>
        <w:t>oder Verwaltungsverfahren festgelegt wurde, dass sie wettbewerbsbeschränkend ist.</w:t>
      </w:r>
    </w:p>
    <w:p w14:paraId="37C52ADC" w14:textId="77777777" w:rsidR="001527B1" w:rsidRPr="004676F5" w:rsidRDefault="001527B1" w:rsidP="001527B1">
      <w:pPr>
        <w:ind w:firstLine="708"/>
        <w:jc w:val="both"/>
        <w:rPr>
          <w:lang w:val="de-DE"/>
        </w:rPr>
      </w:pPr>
    </w:p>
    <w:p w14:paraId="220A0D18" w14:textId="31A11184"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Derjenige, der die Lizenz beantragt, muss nachweisen:</w:t>
      </w:r>
    </w:p>
    <w:p w14:paraId="76A51D05" w14:textId="77777777" w:rsidR="001527B1" w:rsidRPr="004676F5" w:rsidRDefault="001527B1" w:rsidP="001527B1">
      <w:pPr>
        <w:ind w:firstLine="708"/>
        <w:jc w:val="both"/>
        <w:rPr>
          <w:lang w:val="de-DE"/>
        </w:rPr>
      </w:pPr>
    </w:p>
    <w:p w14:paraId="375737B6" w14:textId="77777777" w:rsidR="001527B1" w:rsidRPr="004676F5" w:rsidRDefault="001527B1" w:rsidP="001527B1">
      <w:pPr>
        <w:ind w:firstLine="708"/>
        <w:jc w:val="both"/>
        <w:rPr>
          <w:lang w:val="de-DE"/>
        </w:rPr>
      </w:pPr>
      <w:r w:rsidRPr="004676F5">
        <w:rPr>
          <w:lang w:val="de-DE"/>
        </w:rPr>
        <w:t>1. in den in vorhergehendem Paragraph erwähnten Fällen:</w:t>
      </w:r>
    </w:p>
    <w:p w14:paraId="2801145D" w14:textId="77777777" w:rsidR="001527B1" w:rsidRPr="004676F5" w:rsidRDefault="001527B1" w:rsidP="001527B1">
      <w:pPr>
        <w:ind w:firstLine="708"/>
        <w:jc w:val="both"/>
        <w:rPr>
          <w:lang w:val="de-DE"/>
        </w:rPr>
      </w:pPr>
    </w:p>
    <w:p w14:paraId="4C77060E" w14:textId="77777777" w:rsidR="001527B1" w:rsidRPr="004676F5" w:rsidRDefault="001527B1" w:rsidP="001527B1">
      <w:pPr>
        <w:ind w:firstLine="708"/>
        <w:jc w:val="both"/>
        <w:rPr>
          <w:lang w:val="de-DE"/>
        </w:rPr>
      </w:pPr>
      <w:r w:rsidRPr="004676F5">
        <w:rPr>
          <w:i/>
          <w:lang w:val="de-DE"/>
        </w:rPr>
        <w:t>a)</w:t>
      </w:r>
      <w:r w:rsidRPr="004676F5">
        <w:rPr>
          <w:lang w:val="de-DE"/>
        </w:rPr>
        <w:t> dass der Patentinhaber unter die Anwendung einer dieser Bestimmungen fällt,</w:t>
      </w:r>
    </w:p>
    <w:p w14:paraId="0D3031DD" w14:textId="77777777" w:rsidR="001527B1" w:rsidRPr="004676F5" w:rsidRDefault="001527B1" w:rsidP="001527B1">
      <w:pPr>
        <w:jc w:val="both"/>
        <w:rPr>
          <w:lang w:val="de-DE"/>
        </w:rPr>
      </w:pPr>
    </w:p>
    <w:p w14:paraId="0CF5988C" w14:textId="77777777" w:rsidR="001527B1" w:rsidRPr="004676F5" w:rsidRDefault="001527B1" w:rsidP="001527B1">
      <w:pPr>
        <w:ind w:firstLine="708"/>
        <w:jc w:val="both"/>
        <w:rPr>
          <w:lang w:val="de-DE"/>
        </w:rPr>
      </w:pPr>
      <w:r w:rsidRPr="004676F5">
        <w:rPr>
          <w:i/>
          <w:lang w:val="de-DE"/>
        </w:rPr>
        <w:t>b) </w:t>
      </w:r>
      <w:r w:rsidRPr="004676F5">
        <w:rPr>
          <w:lang w:val="de-DE"/>
        </w:rPr>
        <w:t>dass er sich vergeblich an den Patentinhaber gewandt hat, um eine Lizenz auf gütlichem Wege zu erwerben,</w:t>
      </w:r>
    </w:p>
    <w:p w14:paraId="44E9DB3F" w14:textId="77777777" w:rsidR="001527B1" w:rsidRPr="004676F5" w:rsidRDefault="001527B1" w:rsidP="001527B1">
      <w:pPr>
        <w:ind w:firstLine="708"/>
        <w:jc w:val="both"/>
        <w:rPr>
          <w:lang w:val="de-DE"/>
        </w:rPr>
      </w:pPr>
    </w:p>
    <w:p w14:paraId="5A8CD60E" w14:textId="77777777" w:rsidR="001527B1" w:rsidRPr="004676F5" w:rsidRDefault="001527B1" w:rsidP="001527B1">
      <w:pPr>
        <w:ind w:firstLine="708"/>
        <w:jc w:val="both"/>
        <w:rPr>
          <w:lang w:val="de-DE"/>
        </w:rPr>
      </w:pPr>
      <w:r w:rsidRPr="004676F5">
        <w:rPr>
          <w:lang w:val="de-DE"/>
        </w:rPr>
        <w:t>2. wenn die Lizenz in Anwendung von Nr. 1 des vorhergehenden Paragraphen beantragt wurde, dass er außerdem über die Mittel verfügt, die für eine ernsthafte und fortgesetzte Herstellung in Belgien unter Anwendung der patentierten Erfindung erforderlich sind, insofern ihm die Lizenz erteilt wird.</w:t>
      </w:r>
    </w:p>
    <w:p w14:paraId="67FCAC94" w14:textId="77777777" w:rsidR="001527B1" w:rsidRPr="004676F5" w:rsidRDefault="001527B1" w:rsidP="001527B1">
      <w:pPr>
        <w:ind w:firstLine="708"/>
        <w:jc w:val="both"/>
        <w:rPr>
          <w:lang w:val="de-DE"/>
        </w:rPr>
      </w:pPr>
    </w:p>
    <w:p w14:paraId="63758D45" w14:textId="5C2EA797"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Eine Klage wegen Nachahmung einer durch Patent geschützten Erfindung, für die eine Zwangslizenz beantragt wurde, gegen denjenigen, der eine solche Lizenz beantragt hat, setzt das Verfahren zur Lizenzerteilung aus, bis das Urteil oder der Entscheid formell rechtskräftig ist. Ist die Nachahmung nachgewiesen, wird der Antrag auf Zwangslizenz zurückgewiesen.</w:t>
      </w:r>
    </w:p>
    <w:p w14:paraId="2FB9724C" w14:textId="77777777" w:rsidR="001527B1" w:rsidRPr="004676F5" w:rsidRDefault="001527B1" w:rsidP="001527B1">
      <w:pPr>
        <w:ind w:firstLine="708"/>
        <w:jc w:val="both"/>
        <w:rPr>
          <w:lang w:val="de-DE"/>
        </w:rPr>
      </w:pPr>
    </w:p>
    <w:p w14:paraId="7862AC77" w14:textId="2A5CFDEF"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Ein Vorbehalt gilt für die Anwendung der Gesetze, in denen die Erteilung von Lizenzen für die Nutzung von patentierten Erfindungen für Sonderbereiche vorgesehen ist, unter anderem die Landesverteidigung und die Atomenergie.</w:t>
      </w:r>
    </w:p>
    <w:p w14:paraId="7C7F4FC8" w14:textId="77777777" w:rsidR="001527B1" w:rsidRPr="004676F5" w:rsidRDefault="001527B1" w:rsidP="001527B1">
      <w:pPr>
        <w:ind w:firstLine="708"/>
        <w:jc w:val="both"/>
        <w:rPr>
          <w:lang w:val="de-DE"/>
        </w:rPr>
      </w:pPr>
    </w:p>
    <w:p w14:paraId="07B13662" w14:textId="7A68C081" w:rsidR="00620833" w:rsidRPr="004676F5" w:rsidRDefault="00620833">
      <w:pPr>
        <w:rPr>
          <w:b/>
          <w:lang w:val="de-DE"/>
        </w:rPr>
      </w:pPr>
    </w:p>
    <w:p w14:paraId="347FF012" w14:textId="5621690E" w:rsidR="001527B1" w:rsidRPr="004676F5" w:rsidRDefault="00BE0A56" w:rsidP="001527B1">
      <w:pPr>
        <w:ind w:firstLine="708"/>
        <w:jc w:val="both"/>
        <w:rPr>
          <w:lang w:val="de-DE"/>
        </w:rPr>
      </w:pPr>
      <w:r w:rsidRPr="004676F5">
        <w:rPr>
          <w:b/>
          <w:lang w:val="de-DE"/>
        </w:rPr>
        <w:t>Art. </w:t>
      </w:r>
      <w:r w:rsidR="001527B1" w:rsidRPr="004676F5">
        <w:rPr>
          <w:b/>
          <w:lang w:val="de-DE"/>
        </w:rPr>
        <w:t>XI.38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Im Interesse der Volksgesundheit kann der König durch einen im Ministerrat beratenen Erlass eine Lizenz zur Verwertung und Anwendung einer durch ein Patent geschützten Erfindung erteilen für:</w:t>
      </w:r>
    </w:p>
    <w:p w14:paraId="2B29AB4C" w14:textId="77777777" w:rsidR="001527B1" w:rsidRPr="004676F5" w:rsidRDefault="001527B1" w:rsidP="001527B1">
      <w:pPr>
        <w:ind w:firstLine="708"/>
        <w:jc w:val="both"/>
        <w:rPr>
          <w:lang w:val="de-DE"/>
        </w:rPr>
      </w:pPr>
    </w:p>
    <w:p w14:paraId="789D4465" w14:textId="77777777" w:rsidR="001527B1" w:rsidRPr="004676F5" w:rsidRDefault="001527B1" w:rsidP="001527B1">
      <w:pPr>
        <w:ind w:firstLine="708"/>
        <w:jc w:val="both"/>
        <w:rPr>
          <w:lang w:val="de-DE"/>
        </w:rPr>
      </w:pPr>
      <w:r w:rsidRPr="004676F5">
        <w:rPr>
          <w:i/>
          <w:lang w:val="de-DE"/>
        </w:rPr>
        <w:t>a)</w:t>
      </w:r>
      <w:r w:rsidRPr="004676F5">
        <w:rPr>
          <w:lang w:val="de-DE"/>
        </w:rPr>
        <w:t> Arzneimittel, medizinische Hilfsmittel, Diagnostika oder abgeleitete beziehungs</w:t>
      </w:r>
      <w:r w:rsidRPr="004676F5">
        <w:rPr>
          <w:lang w:val="de-DE"/>
        </w:rPr>
        <w:softHyphen/>
        <w:t>weise kombinierbare Heilmittel,</w:t>
      </w:r>
    </w:p>
    <w:p w14:paraId="4455C2F6" w14:textId="77777777" w:rsidR="001527B1" w:rsidRPr="004676F5" w:rsidRDefault="001527B1" w:rsidP="001527B1">
      <w:pPr>
        <w:ind w:firstLine="708"/>
        <w:jc w:val="both"/>
        <w:rPr>
          <w:lang w:val="de-DE"/>
        </w:rPr>
      </w:pPr>
    </w:p>
    <w:p w14:paraId="29254357" w14:textId="77777777" w:rsidR="001527B1" w:rsidRPr="004676F5" w:rsidRDefault="001527B1" w:rsidP="001527B1">
      <w:pPr>
        <w:ind w:firstLine="708"/>
        <w:jc w:val="both"/>
        <w:rPr>
          <w:lang w:val="de-DE"/>
        </w:rPr>
      </w:pPr>
      <w:r w:rsidRPr="004676F5">
        <w:rPr>
          <w:i/>
          <w:lang w:val="de-DE"/>
        </w:rPr>
        <w:t>b)</w:t>
      </w:r>
      <w:r w:rsidRPr="004676F5">
        <w:rPr>
          <w:lang w:val="de-DE"/>
        </w:rPr>
        <w:t xml:space="preserve"> Verfahren oder Erzeugnisse, die für die Herstellung eines oder mehrerer in Buchstabe </w:t>
      </w:r>
      <w:r w:rsidRPr="004676F5">
        <w:rPr>
          <w:i/>
          <w:lang w:val="de-DE"/>
        </w:rPr>
        <w:t>a)</w:t>
      </w:r>
      <w:r w:rsidRPr="004676F5">
        <w:rPr>
          <w:lang w:val="de-DE"/>
        </w:rPr>
        <w:t xml:space="preserve"> erwähnten Erzeugnisse notwendig sind,</w:t>
      </w:r>
    </w:p>
    <w:p w14:paraId="159530A2" w14:textId="77777777" w:rsidR="001527B1" w:rsidRPr="004676F5" w:rsidRDefault="001527B1" w:rsidP="001527B1">
      <w:pPr>
        <w:ind w:firstLine="708"/>
        <w:jc w:val="both"/>
        <w:rPr>
          <w:lang w:val="de-DE"/>
        </w:rPr>
      </w:pPr>
    </w:p>
    <w:p w14:paraId="17776A08" w14:textId="77777777" w:rsidR="001527B1" w:rsidRPr="004676F5" w:rsidRDefault="001527B1" w:rsidP="001527B1">
      <w:pPr>
        <w:ind w:firstLine="708"/>
        <w:jc w:val="both"/>
        <w:rPr>
          <w:lang w:val="de-DE"/>
        </w:rPr>
      </w:pPr>
      <w:r w:rsidRPr="004676F5">
        <w:rPr>
          <w:i/>
          <w:lang w:val="de-DE"/>
        </w:rPr>
        <w:t>c)</w:t>
      </w:r>
      <w:r w:rsidRPr="004676F5">
        <w:rPr>
          <w:lang w:val="de-DE"/>
        </w:rPr>
        <w:t> Diagnostizierverfahren, die außerhalb des menschlichen oder tierischen Körpers angewandt werden.</w:t>
      </w:r>
    </w:p>
    <w:p w14:paraId="5B2B6AB4" w14:textId="77777777" w:rsidR="001527B1" w:rsidRPr="004676F5" w:rsidRDefault="001527B1" w:rsidP="001527B1">
      <w:pPr>
        <w:jc w:val="both"/>
        <w:rPr>
          <w:lang w:val="de-DE"/>
        </w:rPr>
      </w:pPr>
    </w:p>
    <w:p w14:paraId="2BA96544" w14:textId="48593BA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Wer eine Zwangslizenz beantragt, muss nachweisen, dass er über die Mittel verfügt oder in gutem Glauben die Absicht hat, die Mittel zu erlangen, die für eine ernsthafte und fortgesetzte Herstellung und/oder Anwendung der patentierten Erfindung in Belgien erforderlich sind, insofern ihm die Zwangslizenz erteilt wird.</w:t>
      </w:r>
    </w:p>
    <w:p w14:paraId="1C9EAE6F" w14:textId="77777777" w:rsidR="001527B1" w:rsidRPr="004676F5" w:rsidRDefault="001527B1" w:rsidP="001527B1">
      <w:pPr>
        <w:ind w:firstLine="708"/>
        <w:jc w:val="both"/>
        <w:rPr>
          <w:lang w:val="de-DE"/>
        </w:rPr>
      </w:pPr>
    </w:p>
    <w:p w14:paraId="0E968BCE" w14:textId="2E138A33"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Klagen wegen Nachahmung einer durch ein Patent geschützten Erfindung, für die aus Gründen der Volksgesundheit eine Zwangslizenz beantragt wurde, gegen denjenigen, der eine solche Lizenz beantragt hat, werden in Bezug auf die Nachahmung ausgesetzt, bis der König gemäß § 1 einen Beschluss in Bezug auf die Zwangslizenz gefasst hat.</w:t>
      </w:r>
    </w:p>
    <w:p w14:paraId="407E0925" w14:textId="77777777" w:rsidR="001527B1" w:rsidRPr="004676F5" w:rsidRDefault="001527B1" w:rsidP="001527B1">
      <w:pPr>
        <w:ind w:firstLine="708"/>
        <w:jc w:val="both"/>
        <w:rPr>
          <w:lang w:val="de-DE"/>
        </w:rPr>
      </w:pPr>
    </w:p>
    <w:p w14:paraId="3E31A9D5" w14:textId="08B43347"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In Anwendung des vorliegenden Artikels erteilte Lizenzen sind keine ausschließlichen Lizenzen.</w:t>
      </w:r>
    </w:p>
    <w:p w14:paraId="124D1E9B" w14:textId="77777777" w:rsidR="001527B1" w:rsidRPr="004676F5" w:rsidRDefault="001527B1" w:rsidP="001527B1">
      <w:pPr>
        <w:ind w:firstLine="708"/>
        <w:jc w:val="both"/>
        <w:rPr>
          <w:lang w:val="de-DE"/>
        </w:rPr>
      </w:pPr>
    </w:p>
    <w:p w14:paraId="339BEC10" w14:textId="5617894E"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Zwangslizenzen können zeitlich begrenzt oder auf einen Anwendungsbereich beschränkt werden.</w:t>
      </w:r>
    </w:p>
    <w:p w14:paraId="7FBBEDC9" w14:textId="77777777" w:rsidR="001527B1" w:rsidRPr="004676F5" w:rsidRDefault="001527B1" w:rsidP="001527B1">
      <w:pPr>
        <w:ind w:firstLine="708"/>
        <w:jc w:val="both"/>
        <w:rPr>
          <w:lang w:val="de-DE"/>
        </w:rPr>
      </w:pPr>
    </w:p>
    <w:p w14:paraId="679E3F43" w14:textId="49D6A377"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Anträge auf Zwangslizenz werden dem Minister mit Kopie an den Beratenden Ausschuss für Bioethik vom Antragsteller übermittelt.</w:t>
      </w:r>
    </w:p>
    <w:p w14:paraId="3CEDE84C" w14:textId="77777777" w:rsidR="001527B1" w:rsidRPr="004676F5" w:rsidRDefault="001527B1" w:rsidP="001527B1">
      <w:pPr>
        <w:ind w:firstLine="708"/>
        <w:jc w:val="both"/>
        <w:rPr>
          <w:lang w:val="de-DE"/>
        </w:rPr>
      </w:pPr>
    </w:p>
    <w:p w14:paraId="0DF58839" w14:textId="77777777" w:rsidR="001527B1" w:rsidRPr="004676F5" w:rsidRDefault="001527B1" w:rsidP="001527B1">
      <w:pPr>
        <w:ind w:firstLine="708"/>
        <w:jc w:val="both"/>
        <w:rPr>
          <w:lang w:val="de-DE"/>
        </w:rPr>
      </w:pPr>
      <w:r w:rsidRPr="004676F5">
        <w:rPr>
          <w:lang w:val="de-DE"/>
        </w:rPr>
        <w:t>Der Minister übermittelt den Antrag binnen zehn Tagen dem Beratenden Ausschuss für Bioethik. Binnen derselben Frist setzt der Minister den Inhaber des Patents, das Gegenstand des Antrags auf Zwangslizenz ist, über den Inhalt des Antrags in Kenntnis und fordert ihn auf, binnen einem Monat beim Beratenden Ausschuss für Bioethik seinen Standpunkt zur möglichen Erteilung einer Zwangslizenz und seine Anmerkungen zu einer angemessenen Vergütung im Falle der Erteilung der Zwangslizenz mitzuteilen und eine Ausfertigung dieser Unterlagen ihm selbst zu übermitteln.</w:t>
      </w:r>
    </w:p>
    <w:p w14:paraId="1F77B9AB" w14:textId="77777777" w:rsidR="001527B1" w:rsidRPr="004676F5" w:rsidRDefault="001527B1" w:rsidP="001527B1">
      <w:pPr>
        <w:ind w:firstLine="708"/>
        <w:jc w:val="both"/>
        <w:rPr>
          <w:lang w:val="de-DE"/>
        </w:rPr>
      </w:pPr>
    </w:p>
    <w:p w14:paraId="4F1A891F" w14:textId="77777777" w:rsidR="001527B1" w:rsidRPr="004676F5" w:rsidRDefault="001527B1" w:rsidP="001527B1">
      <w:pPr>
        <w:ind w:firstLine="708"/>
        <w:jc w:val="both"/>
        <w:rPr>
          <w:lang w:val="de-DE"/>
        </w:rPr>
      </w:pPr>
      <w:r w:rsidRPr="004676F5">
        <w:rPr>
          <w:lang w:val="de-DE"/>
        </w:rPr>
        <w:lastRenderedPageBreak/>
        <w:t>Der Beratende Ausschuss für Bioethik legt dem Minister eine mit Gründen versehene nicht zwingende Stellungnahme über die Begründetheit des Antrags vor.</w:t>
      </w:r>
    </w:p>
    <w:p w14:paraId="480B4659" w14:textId="77777777" w:rsidR="001527B1" w:rsidRPr="004676F5" w:rsidRDefault="001527B1" w:rsidP="001527B1">
      <w:pPr>
        <w:ind w:firstLine="708"/>
        <w:jc w:val="both"/>
        <w:rPr>
          <w:lang w:val="de-DE"/>
        </w:rPr>
      </w:pPr>
    </w:p>
    <w:p w14:paraId="7396A73C" w14:textId="77777777" w:rsidR="001527B1" w:rsidRPr="004676F5" w:rsidRDefault="001527B1" w:rsidP="001527B1">
      <w:pPr>
        <w:ind w:firstLine="708"/>
        <w:jc w:val="both"/>
        <w:rPr>
          <w:lang w:val="de-DE"/>
        </w:rPr>
      </w:pPr>
      <w:r w:rsidRPr="004676F5">
        <w:rPr>
          <w:lang w:val="de-DE"/>
        </w:rPr>
        <w:t>Binnen einer Frist von drei Monaten ab Erhalt der Stellungnahme des Beratenden Ausschusses für Bioethik legt der Minister den mit Gründen versehenen Entwurf eines Königlichen Erlasses über die Begründetheit des Antrags dem Ministerrat zur Beratung vor. Der Minister legt ebenfalls einen Vorschlag für die Vergütung des Patentinhabers vor.</w:t>
      </w:r>
    </w:p>
    <w:p w14:paraId="759AA001" w14:textId="77777777" w:rsidR="001527B1" w:rsidRPr="004676F5" w:rsidRDefault="001527B1" w:rsidP="001527B1">
      <w:pPr>
        <w:ind w:firstLine="708"/>
        <w:jc w:val="both"/>
        <w:rPr>
          <w:lang w:val="de-DE"/>
        </w:rPr>
      </w:pPr>
    </w:p>
    <w:p w14:paraId="47F94644" w14:textId="77777777" w:rsidR="001527B1" w:rsidRPr="004676F5" w:rsidRDefault="001527B1" w:rsidP="001527B1">
      <w:pPr>
        <w:ind w:firstLine="708"/>
        <w:jc w:val="both"/>
        <w:rPr>
          <w:lang w:val="de-DE"/>
        </w:rPr>
      </w:pPr>
      <w:r w:rsidRPr="004676F5">
        <w:rPr>
          <w:lang w:val="de-DE"/>
        </w:rPr>
        <w:t>Beschließt der König gemäß § 1, eine Zwangslizenz zu erteilen, bestimmt Er gegebenenfalls durch einen im Ministerrat beratenen Erlass Dauer, Anwendungsbereich und andere Bedingungen für die Verwertung dieser Lizenz. Die Verwertungsbedingungen umfassen ebenfalls die Vergütung für die Verwertung der patentierten Erfindung während des Lizenzerteilungsverfahrens.</w:t>
      </w:r>
    </w:p>
    <w:p w14:paraId="41097AF1" w14:textId="77777777" w:rsidR="001527B1" w:rsidRPr="004676F5" w:rsidRDefault="001527B1" w:rsidP="001527B1">
      <w:pPr>
        <w:ind w:firstLine="708"/>
        <w:jc w:val="both"/>
        <w:rPr>
          <w:lang w:val="de-DE"/>
        </w:rPr>
      </w:pPr>
    </w:p>
    <w:p w14:paraId="23BE3A08" w14:textId="77777777" w:rsidR="001527B1" w:rsidRPr="004676F5" w:rsidRDefault="001527B1" w:rsidP="001527B1">
      <w:pPr>
        <w:ind w:firstLine="708"/>
        <w:jc w:val="both"/>
        <w:rPr>
          <w:lang w:val="de-DE"/>
        </w:rPr>
      </w:pPr>
      <w:r w:rsidRPr="004676F5">
        <w:rPr>
          <w:lang w:val="de-DE"/>
        </w:rPr>
        <w:t>Im Falle einer Krise im Bereich der Volksgesundheit und auf Vorschlag des für die Volksgesundheit zuständigen Ministers kann der König durch einen im Ministerrat beratenen Erlass Maßnahmen zur Beschleunigung des in vorliegendem Paragraphen erwähnten Verfahrens treffen. Er kann gegebenenfalls im Hinblick auf die Beschleunigung des Lizenzerteilungsverfahrens vorsehen, dass auf die Stellungnahme des Beratenden Aus</w:t>
      </w:r>
      <w:r w:rsidRPr="004676F5">
        <w:rPr>
          <w:lang w:val="de-DE"/>
        </w:rPr>
        <w:softHyphen/>
        <w:t>schusses für Bioethik verzichtet wird.</w:t>
      </w:r>
    </w:p>
    <w:p w14:paraId="53C50D83" w14:textId="77777777" w:rsidR="001527B1" w:rsidRPr="004676F5" w:rsidRDefault="001527B1" w:rsidP="001527B1">
      <w:pPr>
        <w:ind w:firstLine="708"/>
        <w:jc w:val="both"/>
        <w:rPr>
          <w:lang w:val="de-DE"/>
        </w:rPr>
      </w:pPr>
    </w:p>
    <w:p w14:paraId="49A434CE" w14:textId="77777777" w:rsidR="001527B1" w:rsidRPr="004676F5" w:rsidRDefault="001527B1" w:rsidP="001527B1">
      <w:pPr>
        <w:ind w:firstLine="708"/>
        <w:jc w:val="both"/>
        <w:rPr>
          <w:lang w:val="de-DE"/>
        </w:rPr>
      </w:pPr>
      <w:r w:rsidRPr="004676F5">
        <w:rPr>
          <w:lang w:val="de-DE"/>
        </w:rPr>
        <w:t xml:space="preserve">Beschlüsse, die im Rahmen der in den vorhergehenden Absätzen erwähnten Verfahren gefasst werden, werden im </w:t>
      </w:r>
      <w:r w:rsidRPr="004676F5">
        <w:rPr>
          <w:i/>
          <w:lang w:val="de-DE"/>
        </w:rPr>
        <w:t>Belgischen Staatsblatt</w:t>
      </w:r>
      <w:r w:rsidRPr="004676F5">
        <w:rPr>
          <w:lang w:val="de-DE"/>
        </w:rPr>
        <w:t xml:space="preserve"> veröffentlicht und in der Sammlung erwähnt.</w:t>
      </w:r>
    </w:p>
    <w:p w14:paraId="3B8A90FD" w14:textId="77777777" w:rsidR="001527B1" w:rsidRPr="004676F5" w:rsidRDefault="001527B1" w:rsidP="001527B1">
      <w:pPr>
        <w:ind w:firstLine="708"/>
        <w:jc w:val="both"/>
        <w:rPr>
          <w:lang w:val="de-DE"/>
        </w:rPr>
      </w:pPr>
    </w:p>
    <w:p w14:paraId="4DE8FEB2" w14:textId="77777777" w:rsidR="001527B1" w:rsidRPr="004676F5" w:rsidRDefault="001527B1" w:rsidP="001527B1">
      <w:pPr>
        <w:ind w:firstLine="708"/>
        <w:jc w:val="both"/>
        <w:rPr>
          <w:lang w:val="de-DE"/>
        </w:rPr>
      </w:pPr>
      <w:r w:rsidRPr="004676F5">
        <w:rPr>
          <w:lang w:val="de-DE"/>
        </w:rPr>
        <w:t>Die Zwangslizenz wird mit dem Datum der Verwertung und frühestens mit dem Datum des Antrags auf Zwangslizenz wirksam.</w:t>
      </w:r>
    </w:p>
    <w:p w14:paraId="7E7FC2C2" w14:textId="77777777" w:rsidR="001527B1" w:rsidRPr="004676F5" w:rsidRDefault="001527B1" w:rsidP="001527B1">
      <w:pPr>
        <w:ind w:firstLine="708"/>
        <w:jc w:val="both"/>
        <w:rPr>
          <w:lang w:val="de-DE"/>
        </w:rPr>
      </w:pPr>
    </w:p>
    <w:p w14:paraId="065F935A" w14:textId="0EC460F5"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Für den Zeitraum zwischen dem Antrag auf Zwangslizenz aus Gründen der Volksgesundheit und dem Königlichen Erlass zur Erteilung der Zwangslizenz muss die Person, die die Lizenz beantragt, für die Benutzung der patentierten Erfindung eine angemessene Vergütung entrichten. In diesem Fall legt der König durch einen im Ministerrat beratenen Erlass die Höhe dieser Vergütung fest.</w:t>
      </w:r>
    </w:p>
    <w:p w14:paraId="1BA49560" w14:textId="77777777" w:rsidR="001527B1" w:rsidRPr="004676F5" w:rsidRDefault="001527B1" w:rsidP="001527B1">
      <w:pPr>
        <w:ind w:firstLine="708"/>
        <w:jc w:val="both"/>
        <w:rPr>
          <w:lang w:val="de-DE"/>
        </w:rPr>
      </w:pPr>
    </w:p>
    <w:p w14:paraId="140347C3" w14:textId="063712D7"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Ab Erteilung der Zwangslizenz werden die Beziehungen zwischen Patentinhaber und Lizenznehmer außer bei Abweichungen gemäß § 6 den Beziehungen zwischen vertraglich gebundenem Lizenzgeber und vertraglich gebundenem Lizenznehmer gleich</w:t>
      </w:r>
      <w:r w:rsidRPr="004676F5">
        <w:rPr>
          <w:lang w:val="de-DE"/>
        </w:rPr>
        <w:softHyphen/>
        <w:t>gesetzt.</w:t>
      </w:r>
    </w:p>
    <w:p w14:paraId="5CE4CD0B" w14:textId="77777777" w:rsidR="001527B1" w:rsidRPr="004676F5" w:rsidRDefault="001527B1" w:rsidP="001527B1">
      <w:pPr>
        <w:ind w:firstLine="708"/>
        <w:jc w:val="both"/>
        <w:rPr>
          <w:lang w:val="de-DE"/>
        </w:rPr>
      </w:pPr>
    </w:p>
    <w:p w14:paraId="509B0A98" w14:textId="1D6D6056" w:rsidR="001527B1" w:rsidRPr="004676F5" w:rsidRDefault="001527B1" w:rsidP="001527B1">
      <w:pPr>
        <w:ind w:firstLine="708"/>
        <w:jc w:val="both"/>
        <w:rPr>
          <w:lang w:val="de-DE"/>
        </w:rPr>
      </w:pPr>
      <w:r w:rsidRPr="004676F5">
        <w:rPr>
          <w:lang w:val="de-DE"/>
        </w:rPr>
        <w:t>§ 9 </w:t>
      </w:r>
      <w:r w:rsidR="005B7A5C" w:rsidRPr="004676F5">
        <w:rPr>
          <w:lang w:val="de-DE"/>
        </w:rPr>
        <w:t>- </w:t>
      </w:r>
      <w:r w:rsidRPr="004676F5">
        <w:rPr>
          <w:lang w:val="de-DE"/>
        </w:rPr>
        <w:t>Die Erteilung der Zwangslizenz und diesbezügliche Beschlüsse werden in das Register eingetragen.</w:t>
      </w:r>
    </w:p>
    <w:p w14:paraId="66F23CC3" w14:textId="77777777" w:rsidR="001527B1" w:rsidRPr="004676F5" w:rsidRDefault="001527B1" w:rsidP="001527B1">
      <w:pPr>
        <w:ind w:firstLine="708"/>
        <w:jc w:val="both"/>
        <w:rPr>
          <w:lang w:val="de-DE"/>
        </w:rPr>
      </w:pPr>
    </w:p>
    <w:p w14:paraId="7611F2FB" w14:textId="3E0499A6" w:rsidR="001527B1" w:rsidRPr="004676F5" w:rsidRDefault="001527B1" w:rsidP="001527B1">
      <w:pPr>
        <w:ind w:firstLine="708"/>
        <w:jc w:val="both"/>
        <w:rPr>
          <w:lang w:val="de-DE"/>
        </w:rPr>
      </w:pPr>
      <w:r w:rsidRPr="004676F5">
        <w:rPr>
          <w:lang w:val="de-DE"/>
        </w:rPr>
        <w:t>§ 10 </w:t>
      </w:r>
      <w:r w:rsidR="005B7A5C" w:rsidRPr="004676F5">
        <w:rPr>
          <w:lang w:val="de-DE"/>
        </w:rPr>
        <w:t>- </w:t>
      </w:r>
      <w:r w:rsidRPr="004676F5">
        <w:rPr>
          <w:lang w:val="de-DE"/>
        </w:rPr>
        <w:t>Auf Antrag des Patentinhabers oder des Lizenznehmers kann der König gemäß den in § 6 vorgesehenen Verfahren durch einen im Ministerrat beratenen Erlass Beschlüsse über ihre gegenseitigen Verpflichtungen und gegebenenfalls die Verwertungsbedingungen revidieren, insofern neue Umstände aufgetreten sind.</w:t>
      </w:r>
    </w:p>
    <w:p w14:paraId="29A387D6" w14:textId="77777777" w:rsidR="001527B1" w:rsidRPr="004676F5" w:rsidRDefault="001527B1" w:rsidP="001527B1">
      <w:pPr>
        <w:ind w:firstLine="708"/>
        <w:jc w:val="both"/>
        <w:rPr>
          <w:lang w:val="de-DE"/>
        </w:rPr>
      </w:pPr>
    </w:p>
    <w:p w14:paraId="019EF1F1" w14:textId="4F334D44" w:rsidR="001527B1" w:rsidRPr="004676F5" w:rsidRDefault="001527B1" w:rsidP="001527B1">
      <w:pPr>
        <w:ind w:firstLine="708"/>
        <w:jc w:val="both"/>
        <w:rPr>
          <w:lang w:val="de-DE"/>
        </w:rPr>
      </w:pPr>
      <w:r w:rsidRPr="004676F5">
        <w:rPr>
          <w:lang w:val="de-DE"/>
        </w:rPr>
        <w:t>§ 11 </w:t>
      </w:r>
      <w:r w:rsidR="005B7A5C" w:rsidRPr="004676F5">
        <w:rPr>
          <w:lang w:val="de-DE"/>
        </w:rPr>
        <w:t>- </w:t>
      </w:r>
      <w:r w:rsidRPr="004676F5">
        <w:rPr>
          <w:lang w:val="de-DE"/>
        </w:rPr>
        <w:t>Auf Antrag jedes Interessehabenden kann der König nach erneuter Stellung</w:t>
      </w:r>
      <w:r w:rsidRPr="004676F5">
        <w:rPr>
          <w:lang w:val="de-DE"/>
        </w:rPr>
        <w:softHyphen/>
        <w:t>nahme des Beratenden Ausschusses für Bioethik die Zwangslizenz, die aus Gründen der Volksgesundheit erteilt wurde, durch einen im Ministerrat beratenen Erlass entziehen, wenn der Lizenznehmer nach Ablauf der für die Verwertung festgelegten Frist die patentierte Erfindung nicht durch eine ernsthafte und fortgesetzte Herstellung in Belgien verwertet hat.</w:t>
      </w:r>
    </w:p>
    <w:p w14:paraId="49B44BD2" w14:textId="77777777" w:rsidR="001527B1" w:rsidRPr="004676F5" w:rsidRDefault="001527B1" w:rsidP="001527B1">
      <w:pPr>
        <w:ind w:firstLine="708"/>
        <w:jc w:val="both"/>
        <w:rPr>
          <w:lang w:val="de-DE"/>
        </w:rPr>
      </w:pPr>
    </w:p>
    <w:p w14:paraId="24CD83A5" w14:textId="77777777" w:rsidR="001527B1" w:rsidRPr="004676F5" w:rsidRDefault="001527B1" w:rsidP="001527B1">
      <w:pPr>
        <w:ind w:firstLine="708"/>
        <w:jc w:val="both"/>
        <w:rPr>
          <w:lang w:val="de-DE"/>
        </w:rPr>
      </w:pPr>
      <w:r w:rsidRPr="004676F5">
        <w:rPr>
          <w:lang w:val="de-DE"/>
        </w:rPr>
        <w:lastRenderedPageBreak/>
        <w:t xml:space="preserve">Der Entziehungserlass wird auszugsweise im </w:t>
      </w:r>
      <w:r w:rsidRPr="004676F5">
        <w:rPr>
          <w:i/>
          <w:lang w:val="de-DE"/>
        </w:rPr>
        <w:t>Belgischen Staatsblatt</w:t>
      </w:r>
      <w:r w:rsidRPr="004676F5">
        <w:rPr>
          <w:lang w:val="de-DE"/>
        </w:rPr>
        <w:t xml:space="preserve"> veröffentlicht und in der Sammlung erwähnt.</w:t>
      </w:r>
    </w:p>
    <w:p w14:paraId="7B401366" w14:textId="77777777" w:rsidR="001527B1" w:rsidRPr="004676F5" w:rsidRDefault="001527B1" w:rsidP="001527B1">
      <w:pPr>
        <w:ind w:firstLine="708"/>
        <w:jc w:val="both"/>
        <w:rPr>
          <w:lang w:val="de-DE"/>
        </w:rPr>
      </w:pPr>
    </w:p>
    <w:p w14:paraId="643534AD" w14:textId="63B493C8" w:rsidR="001527B1" w:rsidRPr="004676F5" w:rsidRDefault="001527B1" w:rsidP="001527B1">
      <w:pPr>
        <w:ind w:firstLine="708"/>
        <w:jc w:val="both"/>
        <w:rPr>
          <w:lang w:val="de-DE"/>
        </w:rPr>
      </w:pPr>
      <w:r w:rsidRPr="004676F5">
        <w:rPr>
          <w:lang w:val="de-DE"/>
        </w:rPr>
        <w:t>§ 12 </w:t>
      </w:r>
      <w:r w:rsidR="005B7A5C" w:rsidRPr="004676F5">
        <w:rPr>
          <w:lang w:val="de-DE"/>
        </w:rPr>
        <w:t>- </w:t>
      </w:r>
      <w:r w:rsidRPr="004676F5">
        <w:rPr>
          <w:lang w:val="de-DE"/>
        </w:rPr>
        <w:t>Die Artikel XI.37 und XI.40 bis XI.46 sind auf die in vorliegendem Artikel erwähnte Zwangslizenz nicht anwendbar. Die Bestimmungen des vorliegenden Artikels sind auf die in den Artikeln XI.37 und XI.40 bis XI.46 erwähnten Zwangslizenzen nicht anwend</w:t>
      </w:r>
      <w:r w:rsidRPr="004676F5">
        <w:rPr>
          <w:lang w:val="de-DE"/>
        </w:rPr>
        <w:softHyphen/>
        <w:t>bar.</w:t>
      </w:r>
    </w:p>
    <w:p w14:paraId="6832BE2A" w14:textId="77777777" w:rsidR="001527B1" w:rsidRPr="004676F5" w:rsidRDefault="001527B1" w:rsidP="001527B1">
      <w:pPr>
        <w:jc w:val="both"/>
        <w:rPr>
          <w:lang w:val="de-DE"/>
        </w:rPr>
      </w:pPr>
    </w:p>
    <w:p w14:paraId="7DB651FB" w14:textId="77777777" w:rsidR="00CE5A09" w:rsidRPr="004676F5" w:rsidRDefault="00CE5A09" w:rsidP="001527B1">
      <w:pPr>
        <w:jc w:val="both"/>
        <w:rPr>
          <w:lang w:val="de-DE"/>
        </w:rPr>
      </w:pPr>
    </w:p>
    <w:p w14:paraId="56740CA2" w14:textId="44E79328" w:rsidR="001527B1" w:rsidRPr="004676F5" w:rsidRDefault="00BE0A56" w:rsidP="001527B1">
      <w:pPr>
        <w:ind w:firstLine="708"/>
        <w:jc w:val="both"/>
        <w:rPr>
          <w:lang w:val="de-DE"/>
        </w:rPr>
      </w:pPr>
      <w:r w:rsidRPr="004676F5">
        <w:rPr>
          <w:b/>
          <w:lang w:val="de-DE"/>
        </w:rPr>
        <w:t>Art. </w:t>
      </w:r>
      <w:r w:rsidR="001527B1" w:rsidRPr="004676F5">
        <w:rPr>
          <w:b/>
          <w:lang w:val="de-DE"/>
        </w:rPr>
        <w:t>XI.39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Unbeschadet des Paragraphen 2 ist der König die zuständige Behörde im Sinne von Artikel 2 Nr. 4 der Verordnung (EG) Nr. 816/2006 des Europäischen Parlaments und des Rates vom 17. Mai 2006 über Zwangslizenzen für Patente an der Herstellung von pharmazeutischen Erzeugnissen für die Ausfuhr in Länder mit Problemen im Bereich der öffentlichen Gesundheit.</w:t>
      </w:r>
    </w:p>
    <w:p w14:paraId="3D1585D5" w14:textId="77777777" w:rsidR="001527B1" w:rsidRPr="004676F5" w:rsidRDefault="001527B1" w:rsidP="001527B1">
      <w:pPr>
        <w:jc w:val="both"/>
        <w:rPr>
          <w:lang w:val="de-DE"/>
        </w:rPr>
      </w:pPr>
    </w:p>
    <w:p w14:paraId="7DBC1431" w14:textId="77777777" w:rsidR="001527B1" w:rsidRPr="004676F5" w:rsidRDefault="001527B1" w:rsidP="001527B1">
      <w:pPr>
        <w:ind w:firstLine="708"/>
        <w:jc w:val="both"/>
        <w:rPr>
          <w:lang w:val="de-DE"/>
        </w:rPr>
      </w:pPr>
      <w:r w:rsidRPr="004676F5">
        <w:rPr>
          <w:lang w:val="de-DE"/>
        </w:rPr>
        <w:t>Beschlüsse über Erteilung, Überprüfung, Zurückweisung und Rücknahme einer Zwangslizenz ergehen durch einen im Ministerrat beratenen Erlass.</w:t>
      </w:r>
    </w:p>
    <w:p w14:paraId="335F9782" w14:textId="77777777" w:rsidR="001527B1" w:rsidRPr="004676F5" w:rsidRDefault="001527B1" w:rsidP="001527B1">
      <w:pPr>
        <w:ind w:firstLine="708"/>
        <w:jc w:val="both"/>
        <w:rPr>
          <w:lang w:val="de-DE"/>
        </w:rPr>
      </w:pPr>
    </w:p>
    <w:p w14:paraId="75442BDE" w14:textId="79350A03"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König kann die belgischen Behörden bestimmen, die für die Anwendung der Artikel 6 Absatz 1, 7, 14, 16 Absatz 1 Unterabsatz 2, 16 Absatz 3 und 16 Absatz 4 der Verordnung (EG) Nr. 816/2006 zuständig sind.</w:t>
      </w:r>
    </w:p>
    <w:p w14:paraId="5353D517" w14:textId="77777777" w:rsidR="001527B1" w:rsidRPr="004676F5" w:rsidRDefault="001527B1" w:rsidP="001527B1">
      <w:pPr>
        <w:ind w:firstLine="708"/>
        <w:jc w:val="both"/>
        <w:rPr>
          <w:lang w:val="de-DE"/>
        </w:rPr>
      </w:pPr>
    </w:p>
    <w:p w14:paraId="5222AD7E" w14:textId="34DAA087"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König kann rein formale und verwaltungstechnische Auflagen, die für die effiziente Bearbeitung der in der Verordnung (EG) Nr. 816/2006 erwähnten Anträge auf Zwangslizenz notwendig sind, festlegen.</w:t>
      </w:r>
    </w:p>
    <w:p w14:paraId="1766A852" w14:textId="77777777" w:rsidR="001527B1" w:rsidRPr="004676F5" w:rsidRDefault="001527B1" w:rsidP="001527B1">
      <w:pPr>
        <w:ind w:firstLine="708"/>
        <w:jc w:val="both"/>
        <w:rPr>
          <w:lang w:val="de-DE"/>
        </w:rPr>
      </w:pPr>
    </w:p>
    <w:p w14:paraId="58541AB1" w14:textId="2712495B"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Artikel XI.37, XI.38 und XI.40 bis XI.46 sind auf die in vorliegendem Artikel erwähnte Zwangslizenz nicht anwendbar. Die Bestimmungen des vorliegenden Artikels sind auf die in den Artikeln XI.37, XI.38 und XI.40 bis XI.46 erwähnten Zwangslizenzen nicht anwendbar.</w:t>
      </w:r>
    </w:p>
    <w:p w14:paraId="2D90EE64" w14:textId="77777777" w:rsidR="001527B1" w:rsidRPr="004676F5" w:rsidRDefault="001527B1" w:rsidP="001527B1">
      <w:pPr>
        <w:ind w:firstLine="708"/>
        <w:jc w:val="both"/>
        <w:rPr>
          <w:lang w:val="de-DE"/>
        </w:rPr>
      </w:pPr>
    </w:p>
    <w:p w14:paraId="2C162FFF" w14:textId="77777777" w:rsidR="00CE5A09" w:rsidRPr="004676F5" w:rsidRDefault="00CE5A09" w:rsidP="001527B1">
      <w:pPr>
        <w:ind w:firstLine="708"/>
        <w:jc w:val="both"/>
        <w:rPr>
          <w:lang w:val="de-DE"/>
        </w:rPr>
      </w:pPr>
    </w:p>
    <w:p w14:paraId="6A3C0FEB" w14:textId="548F087C" w:rsidR="001527B1" w:rsidRPr="004676F5" w:rsidRDefault="00BE0A56" w:rsidP="001527B1">
      <w:pPr>
        <w:ind w:firstLine="708"/>
        <w:jc w:val="both"/>
        <w:rPr>
          <w:lang w:val="de-DE"/>
        </w:rPr>
      </w:pPr>
      <w:r w:rsidRPr="004676F5">
        <w:rPr>
          <w:b/>
          <w:lang w:val="de-DE"/>
        </w:rPr>
        <w:t>Art. </w:t>
      </w:r>
      <w:r w:rsidR="001527B1" w:rsidRPr="004676F5">
        <w:rPr>
          <w:b/>
          <w:lang w:val="de-DE"/>
        </w:rPr>
        <w:t>XI.40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In Anwendung von Artikel XI.37 erteilte Zwangslizenzen sind keine ausschließlichen Lizenzen.</w:t>
      </w:r>
    </w:p>
    <w:p w14:paraId="1D3B92C0" w14:textId="77777777" w:rsidR="001527B1" w:rsidRPr="004676F5" w:rsidRDefault="001527B1" w:rsidP="001527B1">
      <w:pPr>
        <w:ind w:firstLine="708"/>
        <w:jc w:val="both"/>
        <w:rPr>
          <w:lang w:val="de-DE"/>
        </w:rPr>
      </w:pPr>
    </w:p>
    <w:p w14:paraId="11798434" w14:textId="14261F85"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Unbeschadet des Artikels XI.37 § 1 Nr. 1 Absatz 2 gibt die in Anwendung von dieser Nr. 1 erteilte Lizenz dem Lizenznehmer nur das Recht, die patentierte Erfindung durch eine ernsthafte und fortgesetzte Herstellung in Belgien zu verwerten. Der Minister legt die Frist fest, in der eine derartige Herstellung erfolgen muss, die im Übrigen die vollständige Anwendung des im Patent gegebenenfalls beanspruchten Verfahrens voraussetzt.</w:t>
      </w:r>
    </w:p>
    <w:p w14:paraId="7DD1780F" w14:textId="77777777" w:rsidR="001527B1" w:rsidRPr="004676F5" w:rsidRDefault="001527B1" w:rsidP="001527B1">
      <w:pPr>
        <w:ind w:firstLine="708"/>
        <w:jc w:val="both"/>
        <w:rPr>
          <w:lang w:val="de-DE"/>
        </w:rPr>
      </w:pPr>
    </w:p>
    <w:p w14:paraId="67F7C7FD" w14:textId="77777777" w:rsidR="001527B1" w:rsidRPr="004676F5" w:rsidRDefault="001527B1" w:rsidP="001527B1">
      <w:pPr>
        <w:ind w:firstLine="708"/>
        <w:jc w:val="both"/>
        <w:rPr>
          <w:lang w:val="de-DE"/>
        </w:rPr>
      </w:pPr>
      <w:r w:rsidRPr="004676F5">
        <w:rPr>
          <w:lang w:val="de-DE"/>
        </w:rPr>
        <w:t>Die Zwangslizenz kann zeitlich begrenzt oder auf nur einen Teil der Erfindung beschränkt werden, wenn diese die Herstellung anderer Erzeugnisse ermöglicht als derjenigen, die für die Erfüllung des in Artikel XI.37 § 1 erwähnten Bedarfs notwendig sind.</w:t>
      </w:r>
    </w:p>
    <w:p w14:paraId="27C02E85" w14:textId="77777777" w:rsidR="001527B1" w:rsidRPr="004676F5" w:rsidRDefault="001527B1" w:rsidP="001527B1">
      <w:pPr>
        <w:ind w:firstLine="708"/>
        <w:jc w:val="both"/>
        <w:rPr>
          <w:lang w:val="de-DE"/>
        </w:rPr>
      </w:pPr>
    </w:p>
    <w:p w14:paraId="12C57697" w14:textId="77777777" w:rsidR="001527B1" w:rsidRPr="004676F5" w:rsidRDefault="001527B1" w:rsidP="001527B1">
      <w:pPr>
        <w:ind w:firstLine="708"/>
        <w:jc w:val="both"/>
        <w:rPr>
          <w:lang w:val="de-DE"/>
        </w:rPr>
      </w:pPr>
      <w:r w:rsidRPr="004676F5">
        <w:rPr>
          <w:lang w:val="de-DE"/>
        </w:rPr>
        <w:t>Ab Erteilung der Zwangslizenz werden die Beziehungen zwischen Patentinhaber und Lizenznehmer außer bei Abweichungen gemäß dem Erteilungserlass den Beziehungen zwischen vertraglich gebundenem Lizenzgeber und vertraglich gebundenem Lizenznehmer gleichgesetzt.</w:t>
      </w:r>
    </w:p>
    <w:p w14:paraId="3C634344" w14:textId="77777777" w:rsidR="001527B1" w:rsidRPr="004676F5" w:rsidRDefault="001527B1" w:rsidP="001527B1">
      <w:pPr>
        <w:ind w:firstLine="708"/>
        <w:jc w:val="both"/>
        <w:rPr>
          <w:lang w:val="de-DE"/>
        </w:rPr>
      </w:pPr>
    </w:p>
    <w:p w14:paraId="47185B53" w14:textId="6846B430"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 xml:space="preserve">Die in Anwendung von Artikel XI.37 § 1 Nr. 2 erteilte Lizenz ist auf den Teil der durch das dominierende Patent geschützten Erfindung beschränkt, dessen Benutzung für die </w:t>
      </w:r>
      <w:r w:rsidRPr="004676F5">
        <w:rPr>
          <w:lang w:val="de-DE"/>
        </w:rPr>
        <w:lastRenderedPageBreak/>
        <w:t>Verwertung der abhängigen patentierten Erfindung unentbehrlich ist, und sie lässt diese Benutzung nur in Zusammenhang mit der vorerwähnten Verwertung zu.</w:t>
      </w:r>
    </w:p>
    <w:p w14:paraId="0C744DE8" w14:textId="77777777" w:rsidR="001527B1" w:rsidRPr="004676F5" w:rsidRDefault="001527B1" w:rsidP="001527B1">
      <w:pPr>
        <w:ind w:firstLine="708"/>
        <w:jc w:val="both"/>
        <w:rPr>
          <w:lang w:val="de-DE"/>
        </w:rPr>
      </w:pPr>
    </w:p>
    <w:p w14:paraId="64DD6D15" w14:textId="77777777" w:rsidR="001527B1" w:rsidRPr="004676F5" w:rsidRDefault="001527B1" w:rsidP="001527B1">
      <w:pPr>
        <w:ind w:firstLine="708"/>
        <w:jc w:val="both"/>
        <w:rPr>
          <w:lang w:val="de-DE"/>
        </w:rPr>
      </w:pPr>
      <w:r w:rsidRPr="004676F5">
        <w:rPr>
          <w:lang w:val="de-DE"/>
        </w:rPr>
        <w:t>Paragraph 2 Absatz 3 ist auf die Zwangslizenz anwendbar.</w:t>
      </w:r>
    </w:p>
    <w:p w14:paraId="1DAEBA7D" w14:textId="77777777" w:rsidR="001527B1" w:rsidRPr="004676F5" w:rsidRDefault="001527B1" w:rsidP="001527B1">
      <w:pPr>
        <w:ind w:firstLine="708"/>
        <w:jc w:val="both"/>
        <w:rPr>
          <w:lang w:val="de-DE"/>
        </w:rPr>
      </w:pPr>
    </w:p>
    <w:p w14:paraId="53350A8D" w14:textId="77777777" w:rsidR="001527B1" w:rsidRPr="004676F5" w:rsidRDefault="001527B1" w:rsidP="001527B1">
      <w:pPr>
        <w:ind w:firstLine="708"/>
        <w:jc w:val="both"/>
        <w:rPr>
          <w:lang w:val="de-DE"/>
        </w:rPr>
      </w:pPr>
      <w:r w:rsidRPr="004676F5">
        <w:rPr>
          <w:lang w:val="de-DE"/>
        </w:rPr>
        <w:t>Der Patentinhaber, dem die Zwangslizenz auferlegt wird, kann sich seinerseits eine Lizenz für das Patent erteilen lassen, auf das derjenige, der die Zwangslizenz beantragt hat, sich berufen hat, wenn die zwei Erfindungen sich auf eine gleiche Industrie beziehen.</w:t>
      </w:r>
    </w:p>
    <w:p w14:paraId="34E2A574" w14:textId="77777777" w:rsidR="001527B1" w:rsidRPr="004676F5" w:rsidRDefault="001527B1" w:rsidP="001527B1">
      <w:pPr>
        <w:ind w:firstLine="708"/>
        <w:jc w:val="both"/>
        <w:rPr>
          <w:lang w:val="de-DE"/>
        </w:rPr>
      </w:pPr>
    </w:p>
    <w:p w14:paraId="75F231FF" w14:textId="4D7F1964"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in Anwendung von Artikel XI.37 § 1 Nr. 3 beziehungsweise Nr. 4 erteilte Lizenz ist auf den Teil der durch das dominierende Patent geschützten Erfindung beschränkt, dessen Benutzung für die Verwertung der abhängigen patentierten Erfindung oder die durch das Sortenschutzrecht geschützte abhängige Pflanzensorte unentbehrlich ist, und sie lässt diese Benutzung nur in Zusammenhang mit der vorerwähnten Verwertung zu.</w:t>
      </w:r>
    </w:p>
    <w:p w14:paraId="67750230" w14:textId="77777777" w:rsidR="001527B1" w:rsidRPr="004676F5" w:rsidRDefault="001527B1" w:rsidP="001527B1">
      <w:pPr>
        <w:ind w:firstLine="708"/>
        <w:jc w:val="both"/>
        <w:rPr>
          <w:lang w:val="de-DE"/>
        </w:rPr>
      </w:pPr>
    </w:p>
    <w:p w14:paraId="0EE1E3B3" w14:textId="77777777" w:rsidR="001527B1" w:rsidRPr="004676F5" w:rsidRDefault="001527B1" w:rsidP="001527B1">
      <w:pPr>
        <w:ind w:firstLine="708"/>
        <w:jc w:val="both"/>
        <w:rPr>
          <w:lang w:val="de-DE"/>
        </w:rPr>
      </w:pPr>
      <w:r w:rsidRPr="004676F5">
        <w:rPr>
          <w:lang w:val="de-DE"/>
        </w:rPr>
        <w:t>Paragraph 2 Absatz 3 ist auf die Zwangslizenz anwendbar, die in Anwendung von Artikel XI.37 § 1 Nr. 3 beziehungsweise Nr. 4 erteilt worden ist.</w:t>
      </w:r>
    </w:p>
    <w:p w14:paraId="0AE911F6" w14:textId="77777777" w:rsidR="001527B1" w:rsidRPr="004676F5" w:rsidRDefault="001527B1" w:rsidP="001527B1">
      <w:pPr>
        <w:ind w:firstLine="708"/>
        <w:jc w:val="both"/>
        <w:rPr>
          <w:lang w:val="de-DE"/>
        </w:rPr>
      </w:pPr>
    </w:p>
    <w:p w14:paraId="2A62CC3B" w14:textId="77777777" w:rsidR="00CE5A09" w:rsidRPr="004676F5" w:rsidRDefault="00CE5A09" w:rsidP="001527B1">
      <w:pPr>
        <w:ind w:firstLine="708"/>
        <w:jc w:val="both"/>
        <w:rPr>
          <w:lang w:val="de-DE"/>
        </w:rPr>
      </w:pPr>
    </w:p>
    <w:p w14:paraId="2B41C050" w14:textId="759BE015" w:rsidR="001527B1" w:rsidRPr="004676F5" w:rsidRDefault="00BE0A56" w:rsidP="001527B1">
      <w:pPr>
        <w:ind w:firstLine="708"/>
        <w:jc w:val="both"/>
        <w:rPr>
          <w:lang w:val="de-DE"/>
        </w:rPr>
      </w:pPr>
      <w:r w:rsidRPr="004676F5">
        <w:rPr>
          <w:b/>
          <w:lang w:val="de-DE"/>
        </w:rPr>
        <w:t>Art. </w:t>
      </w:r>
      <w:r w:rsidR="001527B1" w:rsidRPr="004676F5">
        <w:rPr>
          <w:b/>
          <w:lang w:val="de-DE"/>
        </w:rPr>
        <w:t>XI.41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In den in Artikel XI.37 § 1 erwähnten Fällen erteilt der Minister die Zwangslizenzen auf Antrag.</w:t>
      </w:r>
    </w:p>
    <w:p w14:paraId="147B7E7A" w14:textId="77777777" w:rsidR="001527B1" w:rsidRPr="004676F5" w:rsidRDefault="001527B1" w:rsidP="001527B1">
      <w:pPr>
        <w:ind w:firstLine="708"/>
        <w:jc w:val="both"/>
        <w:rPr>
          <w:lang w:val="de-DE"/>
        </w:rPr>
      </w:pPr>
    </w:p>
    <w:p w14:paraId="60AFD7C0" w14:textId="5FFD9D20"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Minister übermittelt den Antrag dem Ausschuss für Zwangslizenzen, damit dieser die Betroffenen anhört, wenn möglich zwischen ihnen schlichtet und anderenfalls dem Minister eine mit Gründen versehene Stellungnahme über die Begründetheit des Antrags abgibt. Der Ausschuss fügt seiner Stellungnahme die Akte dieser Sache bei.</w:t>
      </w:r>
    </w:p>
    <w:p w14:paraId="54F4BAE3" w14:textId="77777777" w:rsidR="001527B1" w:rsidRPr="004676F5" w:rsidRDefault="001527B1" w:rsidP="001527B1">
      <w:pPr>
        <w:ind w:firstLine="708"/>
        <w:jc w:val="both"/>
        <w:rPr>
          <w:lang w:val="de-DE"/>
        </w:rPr>
      </w:pPr>
    </w:p>
    <w:p w14:paraId="4BB28402" w14:textId="77777777" w:rsidR="001527B1" w:rsidRPr="004676F5" w:rsidRDefault="001527B1" w:rsidP="001527B1">
      <w:pPr>
        <w:ind w:firstLine="708"/>
        <w:jc w:val="both"/>
        <w:rPr>
          <w:lang w:val="de-DE"/>
        </w:rPr>
      </w:pPr>
      <w:r w:rsidRPr="004676F5">
        <w:rPr>
          <w:lang w:val="de-DE"/>
        </w:rPr>
        <w:t>Der Minister entscheidet, ob dem Antrag stattgegeben wird, und notifiziert den Betroffenen seinen Beschluss per Einschreiben.</w:t>
      </w:r>
    </w:p>
    <w:p w14:paraId="1A7F2FFF" w14:textId="77777777" w:rsidR="001527B1" w:rsidRPr="004676F5" w:rsidRDefault="001527B1" w:rsidP="001527B1">
      <w:pPr>
        <w:ind w:firstLine="708"/>
        <w:jc w:val="both"/>
        <w:rPr>
          <w:lang w:val="de-DE"/>
        </w:rPr>
      </w:pPr>
    </w:p>
    <w:p w14:paraId="1C61195D" w14:textId="50B23300"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In den in Artikel XI.37 § 1 Nr. 2 und 3 erwähnten Fällen wird der Antrag auf Zwangslizenz als begründet erklärt, wenn der Inhaber des dominierenden Patents weder die Abhängigkeit des Patents oder des Sortenschutzrechts desjenigen, der die Lizenz beantragt, noch dessen Gültigkeit noch die Tatsache anfechtet, dass die Erfindung beziehungsweise Pflanzensorte einen bedeutenden technischen Fortschritt von erheblichem wirtschaftlichem Interesse gegenüber der patentgeschützten Erfindung ermöglicht.</w:t>
      </w:r>
    </w:p>
    <w:p w14:paraId="5416C273" w14:textId="77777777" w:rsidR="001527B1" w:rsidRPr="004676F5" w:rsidRDefault="001527B1" w:rsidP="001527B1">
      <w:pPr>
        <w:ind w:firstLine="708"/>
        <w:jc w:val="both"/>
        <w:rPr>
          <w:lang w:val="de-DE"/>
        </w:rPr>
      </w:pPr>
    </w:p>
    <w:p w14:paraId="082EA26D" w14:textId="50AD1D9F"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Tatsache, dass der Inhaber des früher erteilten Patents die Abhängigkeit des Patents oder Sortenschutzrechts desjenigen, der die Lizenz beantragt, bestreitet, beinhaltet für Letzteren von Rechts wegen die Erlaubnis, die in seinem eigenen Patent oder Sorten</w:t>
      </w:r>
      <w:r w:rsidRPr="004676F5">
        <w:rPr>
          <w:lang w:val="de-DE"/>
        </w:rPr>
        <w:softHyphen/>
        <w:t>schutzrecht beschriebene Erfindung und die so genannte dominierende Erfindung zu verwerten, ohne aus diesem Grund vom Inhaber des früher erteilten Patents wegen Patentverletzung verfolgt werden zu können.</w:t>
      </w:r>
    </w:p>
    <w:p w14:paraId="0019F19D" w14:textId="77777777" w:rsidR="001527B1" w:rsidRPr="004676F5" w:rsidRDefault="001527B1" w:rsidP="001527B1">
      <w:pPr>
        <w:ind w:firstLine="708"/>
        <w:jc w:val="both"/>
        <w:rPr>
          <w:lang w:val="de-DE"/>
        </w:rPr>
      </w:pPr>
    </w:p>
    <w:p w14:paraId="7E56C87B" w14:textId="77777777" w:rsidR="001527B1" w:rsidRPr="004676F5" w:rsidRDefault="001527B1" w:rsidP="001527B1">
      <w:pPr>
        <w:ind w:firstLine="708"/>
        <w:jc w:val="both"/>
        <w:rPr>
          <w:lang w:val="de-DE"/>
        </w:rPr>
      </w:pPr>
      <w:r w:rsidRPr="004676F5">
        <w:rPr>
          <w:lang w:val="de-DE"/>
        </w:rPr>
        <w:t>Die Anfechtung der Gültigkeit des abhängigen Patents oder Sortenschutzrechts setzt das Verwaltungsverfahren zur Anerkennung der Begründetheit des Lizenzantrags aus, insofern der Inhaber des dominierenden Patents entweder bereits eine Klage auf Nichtigkeit des abhängigen Patents oder Sortenschutzrechts vor der zuständigen Behörde eingeleitet hat oder denjenigen, der die Lizenz beantragt, binnen zwei Monaten, nachdem ihm die Einreichung des Lizenzantrags notifiziert worden ist, vor Gericht laden lässt.</w:t>
      </w:r>
    </w:p>
    <w:p w14:paraId="62561C94" w14:textId="77777777" w:rsidR="001527B1" w:rsidRPr="004676F5" w:rsidRDefault="001527B1" w:rsidP="001527B1">
      <w:pPr>
        <w:ind w:firstLine="708"/>
        <w:jc w:val="both"/>
        <w:rPr>
          <w:lang w:val="de-DE"/>
        </w:rPr>
      </w:pPr>
    </w:p>
    <w:p w14:paraId="1C935806" w14:textId="77777777" w:rsidR="001527B1" w:rsidRPr="004676F5" w:rsidRDefault="001527B1" w:rsidP="001527B1">
      <w:pPr>
        <w:ind w:firstLine="708"/>
        <w:jc w:val="both"/>
        <w:rPr>
          <w:lang w:val="de-DE"/>
        </w:rPr>
      </w:pPr>
      <w:r w:rsidRPr="004676F5">
        <w:rPr>
          <w:lang w:val="de-DE"/>
        </w:rPr>
        <w:lastRenderedPageBreak/>
        <w:t>Die Anfechtung in Bezug auf den bedeutenden technischen Fortschritt von erheblichem wirtschaftlichem Interesse, den das abhängige Patent oder Sortenschutzrecht gegenüber der im dominierenden Patent beschriebenen Erfindung aufweist, setzt das Verwaltungsverfahren zur Anerkennung der Begründetheit des Lizenzantrags aus, insofern der Inhaber des dominierenden Patents binnen zwei Monaten, nachdem ihm die Einreichung des Lizenzantrags notifiziert worden ist, einen Antrag bei dem Gericht stellt, das wie im Eilverfahren tagt. Gegen die gerichtliche Entscheidung kann weder Berufung noch Einspruch eingelegt werden.</w:t>
      </w:r>
    </w:p>
    <w:p w14:paraId="5BA49420" w14:textId="77777777" w:rsidR="001527B1" w:rsidRPr="004676F5" w:rsidRDefault="001527B1" w:rsidP="001527B1">
      <w:pPr>
        <w:ind w:firstLine="708"/>
        <w:jc w:val="both"/>
        <w:rPr>
          <w:lang w:val="de-DE"/>
        </w:rPr>
      </w:pPr>
    </w:p>
    <w:p w14:paraId="53D3876F" w14:textId="77777777" w:rsidR="001527B1" w:rsidRPr="004676F5" w:rsidRDefault="001527B1" w:rsidP="001527B1">
      <w:pPr>
        <w:ind w:firstLine="708"/>
        <w:jc w:val="both"/>
        <w:rPr>
          <w:lang w:val="de-DE"/>
        </w:rPr>
      </w:pPr>
      <w:r w:rsidRPr="004676F5">
        <w:rPr>
          <w:lang w:val="de-DE"/>
        </w:rPr>
        <w:t>Die Nichtbeachtung der in den zwei vorhergehenden Absätzen vorgesehenen Frist schließt das Recht des Inhabers des dominierenden Patents aus, seine Anfechtung vor Gericht geltend zu machen.</w:t>
      </w:r>
    </w:p>
    <w:p w14:paraId="74FF982B" w14:textId="77777777" w:rsidR="001527B1" w:rsidRPr="004676F5" w:rsidRDefault="001527B1" w:rsidP="001527B1">
      <w:pPr>
        <w:ind w:firstLine="708"/>
        <w:jc w:val="both"/>
        <w:rPr>
          <w:lang w:val="de-DE"/>
        </w:rPr>
      </w:pPr>
    </w:p>
    <w:p w14:paraId="0C7DAA93" w14:textId="77777777" w:rsidR="00CE5A09" w:rsidRPr="004676F5" w:rsidRDefault="00CE5A09" w:rsidP="001527B1">
      <w:pPr>
        <w:ind w:firstLine="708"/>
        <w:jc w:val="both"/>
        <w:rPr>
          <w:lang w:val="de-DE"/>
        </w:rPr>
      </w:pPr>
    </w:p>
    <w:p w14:paraId="4C05941B" w14:textId="3EC11141" w:rsidR="001527B1" w:rsidRPr="004676F5" w:rsidRDefault="00BE0A56" w:rsidP="001527B1">
      <w:pPr>
        <w:ind w:firstLine="708"/>
        <w:jc w:val="both"/>
        <w:rPr>
          <w:lang w:val="de-DE"/>
        </w:rPr>
      </w:pPr>
      <w:r w:rsidRPr="004676F5">
        <w:rPr>
          <w:b/>
          <w:lang w:val="de-DE"/>
        </w:rPr>
        <w:t>Art. </w:t>
      </w:r>
      <w:r w:rsidR="001527B1" w:rsidRPr="004676F5">
        <w:rPr>
          <w:b/>
          <w:lang w:val="de-DE"/>
        </w:rPr>
        <w:t>XI.42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Binnen vier Monaten nach Notifizierung der Entscheidung schließen der Patentinhaber und derjenige, der die Lizenz beantragt hat, eine schriftliche Vereinbarung über ihre gegenseitigen Rechte und Verpflichtungen ab. Der Minister wird hiervon in Kenntnis gesetzt. In Ermangelung einer Vereinbarung innerhalb der weiter oben erwähnten Frist werden die gegenseitigen Rechte und Verpflichtungen auf Ladung der zuerst handelnden Partei vom Gericht festgelegt, das wie im Eilverfahren tagt.</w:t>
      </w:r>
    </w:p>
    <w:p w14:paraId="0D0FAD53" w14:textId="77777777" w:rsidR="001527B1" w:rsidRPr="004676F5" w:rsidRDefault="001527B1" w:rsidP="001527B1">
      <w:pPr>
        <w:ind w:firstLine="708"/>
        <w:jc w:val="both"/>
        <w:rPr>
          <w:lang w:val="de-DE"/>
        </w:rPr>
      </w:pPr>
    </w:p>
    <w:p w14:paraId="2D78F0A4" w14:textId="77777777" w:rsidR="001527B1" w:rsidRPr="004676F5" w:rsidRDefault="001527B1" w:rsidP="001527B1">
      <w:pPr>
        <w:ind w:firstLine="708"/>
        <w:jc w:val="both"/>
        <w:rPr>
          <w:lang w:val="de-DE"/>
        </w:rPr>
      </w:pPr>
      <w:r w:rsidRPr="004676F5">
        <w:rPr>
          <w:lang w:val="de-DE"/>
        </w:rPr>
        <w:t>Der Greffier übermittelt dem Minister sofort eine Abschrift des Endurteils.</w:t>
      </w:r>
    </w:p>
    <w:p w14:paraId="13B492DB" w14:textId="77777777" w:rsidR="001527B1" w:rsidRPr="004676F5" w:rsidRDefault="001527B1" w:rsidP="001527B1">
      <w:pPr>
        <w:ind w:firstLine="708"/>
        <w:jc w:val="both"/>
        <w:rPr>
          <w:lang w:val="de-DE"/>
        </w:rPr>
      </w:pPr>
    </w:p>
    <w:p w14:paraId="117295C8" w14:textId="77777777" w:rsidR="001527B1" w:rsidRPr="004676F5" w:rsidRDefault="001527B1" w:rsidP="001527B1">
      <w:pPr>
        <w:ind w:firstLine="708"/>
        <w:jc w:val="both"/>
        <w:rPr>
          <w:lang w:val="de-DE"/>
        </w:rPr>
      </w:pPr>
      <w:r w:rsidRPr="004676F5">
        <w:rPr>
          <w:lang w:val="de-DE"/>
        </w:rPr>
        <w:t>Die Festlegung der Verpflichtungen der Parteien umfasst auf jeden Fall eine angemessene Vergütung unter Berücksichtigung des wirtschaftlichen Wertes der Lizenz.</w:t>
      </w:r>
    </w:p>
    <w:p w14:paraId="73E8D24D" w14:textId="77777777" w:rsidR="001527B1" w:rsidRPr="004676F5" w:rsidRDefault="001527B1" w:rsidP="001527B1">
      <w:pPr>
        <w:ind w:firstLine="708"/>
        <w:jc w:val="both"/>
        <w:rPr>
          <w:lang w:val="de-DE"/>
        </w:rPr>
      </w:pPr>
    </w:p>
    <w:p w14:paraId="45D8BA1A" w14:textId="4992F6D0"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Minister erteilt die Lizenz durch einen mit Gründen versehenen Erlass.</w:t>
      </w:r>
    </w:p>
    <w:p w14:paraId="2668411A" w14:textId="77777777" w:rsidR="001527B1" w:rsidRPr="004676F5" w:rsidRDefault="001527B1" w:rsidP="001527B1">
      <w:pPr>
        <w:ind w:firstLine="708"/>
        <w:jc w:val="both"/>
        <w:rPr>
          <w:lang w:val="de-DE"/>
        </w:rPr>
      </w:pPr>
    </w:p>
    <w:p w14:paraId="08964B21" w14:textId="77777777" w:rsidR="001527B1" w:rsidRPr="004676F5" w:rsidRDefault="001527B1" w:rsidP="001527B1">
      <w:pPr>
        <w:ind w:firstLine="708"/>
        <w:jc w:val="both"/>
        <w:rPr>
          <w:lang w:val="de-DE"/>
        </w:rPr>
      </w:pPr>
      <w:r w:rsidRPr="004676F5">
        <w:rPr>
          <w:lang w:val="de-DE"/>
        </w:rPr>
        <w:t>Die Zwangslizenz und diesbezügliche Beschlüsse werden in das Register eingetragen.</w:t>
      </w:r>
    </w:p>
    <w:p w14:paraId="08CCEBD0" w14:textId="77777777" w:rsidR="001527B1" w:rsidRPr="004676F5" w:rsidRDefault="001527B1" w:rsidP="001527B1">
      <w:pPr>
        <w:ind w:firstLine="708"/>
        <w:jc w:val="both"/>
        <w:rPr>
          <w:lang w:val="de-DE"/>
        </w:rPr>
      </w:pPr>
    </w:p>
    <w:p w14:paraId="387F2E3B" w14:textId="77777777" w:rsidR="001527B1" w:rsidRPr="004676F5" w:rsidRDefault="001527B1" w:rsidP="001527B1">
      <w:pPr>
        <w:ind w:firstLine="708"/>
        <w:jc w:val="both"/>
        <w:rPr>
          <w:lang w:val="de-DE"/>
        </w:rPr>
      </w:pPr>
      <w:r w:rsidRPr="004676F5">
        <w:rPr>
          <w:lang w:val="de-DE"/>
        </w:rPr>
        <w:t xml:space="preserve">Der Erlass wird im </w:t>
      </w:r>
      <w:r w:rsidRPr="004676F5">
        <w:rPr>
          <w:i/>
          <w:lang w:val="de-DE"/>
        </w:rPr>
        <w:t>Belgischen Staatsblatt</w:t>
      </w:r>
      <w:r w:rsidRPr="004676F5">
        <w:rPr>
          <w:lang w:val="de-DE"/>
        </w:rPr>
        <w:t xml:space="preserve"> veröffentlicht und in der Sammlung erwähnt.</w:t>
      </w:r>
    </w:p>
    <w:p w14:paraId="021D5299" w14:textId="77777777" w:rsidR="001527B1" w:rsidRPr="004676F5" w:rsidRDefault="001527B1" w:rsidP="001527B1">
      <w:pPr>
        <w:ind w:firstLine="708"/>
        <w:jc w:val="both"/>
        <w:rPr>
          <w:lang w:val="de-DE"/>
        </w:rPr>
      </w:pPr>
    </w:p>
    <w:p w14:paraId="39F65DCC" w14:textId="77777777" w:rsidR="00CE5A09" w:rsidRPr="004676F5" w:rsidRDefault="00CE5A09" w:rsidP="001527B1">
      <w:pPr>
        <w:ind w:firstLine="708"/>
        <w:jc w:val="both"/>
        <w:rPr>
          <w:lang w:val="de-DE"/>
        </w:rPr>
      </w:pPr>
    </w:p>
    <w:p w14:paraId="3B792704" w14:textId="72ABB33F" w:rsidR="001527B1" w:rsidRPr="004676F5" w:rsidRDefault="00BE0A56" w:rsidP="001527B1">
      <w:pPr>
        <w:ind w:firstLine="708"/>
        <w:jc w:val="both"/>
        <w:rPr>
          <w:lang w:val="de-DE"/>
        </w:rPr>
      </w:pPr>
      <w:r w:rsidRPr="004676F5">
        <w:rPr>
          <w:b/>
          <w:lang w:val="de-DE"/>
        </w:rPr>
        <w:t>Art. </w:t>
      </w:r>
      <w:r w:rsidR="001527B1" w:rsidRPr="004676F5">
        <w:rPr>
          <w:b/>
          <w:lang w:val="de-DE"/>
        </w:rPr>
        <w:t>XI.43</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Beim FÖD Wirtschaft wird ein Ausschuss für Zwangslizenzen eingesetzt, der als Auftrag hat, die ihm aufgrund der Artikel XI.41, XI.44 und XI.45 anvertrauten Aufgaben zu erfüllen.</w:t>
      </w:r>
    </w:p>
    <w:p w14:paraId="31DA8F02" w14:textId="77777777" w:rsidR="001527B1" w:rsidRPr="004676F5" w:rsidRDefault="001527B1" w:rsidP="001527B1">
      <w:pPr>
        <w:ind w:firstLine="708"/>
        <w:jc w:val="both"/>
        <w:rPr>
          <w:lang w:val="de-DE"/>
        </w:rPr>
      </w:pPr>
    </w:p>
    <w:p w14:paraId="28AD0F4D" w14:textId="77777777" w:rsidR="001527B1" w:rsidRPr="004676F5" w:rsidRDefault="001527B1" w:rsidP="001527B1">
      <w:pPr>
        <w:ind w:firstLine="708"/>
        <w:jc w:val="both"/>
        <w:rPr>
          <w:lang w:val="de-DE"/>
        </w:rPr>
      </w:pPr>
      <w:r w:rsidRPr="004676F5">
        <w:rPr>
          <w:lang w:val="de-DE"/>
        </w:rPr>
        <w:t>Der Ausschuss setzt sich aus zehn Mitgliedern zusammen, die vom Minister ernannt werden.</w:t>
      </w:r>
    </w:p>
    <w:p w14:paraId="1230D312" w14:textId="77777777" w:rsidR="001527B1" w:rsidRPr="004676F5" w:rsidRDefault="001527B1" w:rsidP="001527B1">
      <w:pPr>
        <w:ind w:firstLine="708"/>
        <w:jc w:val="both"/>
        <w:rPr>
          <w:lang w:val="de-DE"/>
        </w:rPr>
      </w:pPr>
    </w:p>
    <w:p w14:paraId="761E01B3" w14:textId="77777777" w:rsidR="001527B1" w:rsidRPr="004676F5" w:rsidRDefault="001527B1" w:rsidP="001527B1">
      <w:pPr>
        <w:ind w:firstLine="708"/>
        <w:jc w:val="both"/>
        <w:rPr>
          <w:lang w:val="de-DE"/>
        </w:rPr>
      </w:pPr>
      <w:r w:rsidRPr="004676F5">
        <w:rPr>
          <w:lang w:val="de-DE"/>
        </w:rPr>
        <w:t>Acht Mitglieder werden auf Vorschlag der repräsentativen Organisationen der Industrie, der Landwirtschaft, des Handels, der kleinen und mittleren Industriebetriebe und der Verbraucher bestimmt.</w:t>
      </w:r>
    </w:p>
    <w:p w14:paraId="783417A6" w14:textId="77777777" w:rsidR="001527B1" w:rsidRPr="004676F5" w:rsidRDefault="001527B1" w:rsidP="001527B1">
      <w:pPr>
        <w:ind w:firstLine="708"/>
        <w:jc w:val="both"/>
        <w:rPr>
          <w:lang w:val="de-DE"/>
        </w:rPr>
      </w:pPr>
    </w:p>
    <w:p w14:paraId="017C439A" w14:textId="77777777" w:rsidR="001527B1" w:rsidRPr="004676F5" w:rsidRDefault="001527B1" w:rsidP="001527B1">
      <w:pPr>
        <w:ind w:firstLine="708"/>
        <w:jc w:val="both"/>
        <w:rPr>
          <w:lang w:val="de-DE"/>
        </w:rPr>
      </w:pPr>
      <w:r w:rsidRPr="004676F5">
        <w:rPr>
          <w:lang w:val="de-DE"/>
        </w:rPr>
        <w:t>Die in vorhergehendem Absatz erwähnten Organisationen werden vom Minister bestimmt.</w:t>
      </w:r>
    </w:p>
    <w:p w14:paraId="173A2E02" w14:textId="77777777" w:rsidR="001527B1" w:rsidRPr="004676F5" w:rsidRDefault="001527B1" w:rsidP="001527B1">
      <w:pPr>
        <w:ind w:firstLine="708"/>
        <w:jc w:val="both"/>
        <w:rPr>
          <w:lang w:val="de-DE"/>
        </w:rPr>
      </w:pPr>
    </w:p>
    <w:p w14:paraId="2E03CC02" w14:textId="77777777" w:rsidR="001527B1" w:rsidRPr="004676F5" w:rsidRDefault="001527B1" w:rsidP="001527B1">
      <w:pPr>
        <w:ind w:firstLine="708"/>
        <w:jc w:val="both"/>
        <w:rPr>
          <w:lang w:val="de-DE"/>
        </w:rPr>
      </w:pPr>
      <w:r w:rsidRPr="004676F5">
        <w:rPr>
          <w:lang w:val="de-DE"/>
        </w:rPr>
        <w:t>Zwei Mitglieder werden unter den Mitgliedern des Rates für geistiges Eigentum bestimmt. Sie bleiben Mitglieder des Ausschusses für die Dauer ihres Mandats in diesem Ausschuss, unabhängig von ihrer Mitgliedschaft bei vorerwähntem Rat.</w:t>
      </w:r>
    </w:p>
    <w:p w14:paraId="62B6406E" w14:textId="77777777" w:rsidR="001527B1" w:rsidRPr="004676F5" w:rsidRDefault="001527B1" w:rsidP="001527B1">
      <w:pPr>
        <w:ind w:firstLine="708"/>
        <w:jc w:val="both"/>
        <w:rPr>
          <w:lang w:val="de-DE"/>
        </w:rPr>
      </w:pPr>
    </w:p>
    <w:p w14:paraId="04D29A0A" w14:textId="77777777" w:rsidR="001527B1" w:rsidRPr="004676F5" w:rsidRDefault="001527B1" w:rsidP="001527B1">
      <w:pPr>
        <w:ind w:firstLine="708"/>
        <w:jc w:val="both"/>
        <w:rPr>
          <w:lang w:val="de-DE"/>
        </w:rPr>
      </w:pPr>
      <w:r w:rsidRPr="004676F5">
        <w:rPr>
          <w:lang w:val="de-DE"/>
        </w:rPr>
        <w:t>Das Mandat eines Mitglieds des Ausschusses hat eine Dauer von sechs Jahren. Es ist erneuerbar.</w:t>
      </w:r>
    </w:p>
    <w:p w14:paraId="1E6C13CD" w14:textId="77777777" w:rsidR="001527B1" w:rsidRPr="004676F5" w:rsidRDefault="001527B1" w:rsidP="001527B1">
      <w:pPr>
        <w:ind w:firstLine="708"/>
        <w:jc w:val="both"/>
        <w:rPr>
          <w:lang w:val="de-DE"/>
        </w:rPr>
      </w:pPr>
    </w:p>
    <w:p w14:paraId="334072B8" w14:textId="77777777" w:rsidR="001527B1" w:rsidRPr="004676F5" w:rsidRDefault="001527B1" w:rsidP="001527B1">
      <w:pPr>
        <w:ind w:firstLine="708"/>
        <w:jc w:val="both"/>
        <w:rPr>
          <w:lang w:val="de-DE"/>
        </w:rPr>
      </w:pPr>
      <w:r w:rsidRPr="004676F5">
        <w:rPr>
          <w:lang w:val="de-DE"/>
        </w:rPr>
        <w:t>Der Vorsitz des Ausschusses wird von einem seiner Mitglieder geführt, das vom Minister für einen erneuerbaren Zeitraum von drei Jahren bestimmt wird.</w:t>
      </w:r>
    </w:p>
    <w:p w14:paraId="4A7DCF1D" w14:textId="77777777" w:rsidR="001527B1" w:rsidRPr="004676F5" w:rsidRDefault="001527B1" w:rsidP="001527B1">
      <w:pPr>
        <w:ind w:firstLine="708"/>
        <w:jc w:val="both"/>
        <w:rPr>
          <w:lang w:val="de-DE"/>
        </w:rPr>
      </w:pPr>
    </w:p>
    <w:p w14:paraId="577F764F" w14:textId="77777777" w:rsidR="001527B1" w:rsidRPr="004676F5" w:rsidRDefault="001527B1" w:rsidP="001527B1">
      <w:pPr>
        <w:ind w:firstLine="708"/>
        <w:jc w:val="both"/>
        <w:rPr>
          <w:lang w:val="de-DE"/>
        </w:rPr>
      </w:pPr>
      <w:r w:rsidRPr="004676F5">
        <w:rPr>
          <w:lang w:val="de-DE"/>
        </w:rPr>
        <w:t>Die Stellungnahmen werden im Konsens getroffen. In Ermangelung eines Konsenses werden in der Stellungnahme die verschiedenen Ansichten aufgenommen.</w:t>
      </w:r>
    </w:p>
    <w:p w14:paraId="4FEA8852" w14:textId="77777777" w:rsidR="001527B1" w:rsidRPr="004676F5" w:rsidRDefault="001527B1" w:rsidP="001527B1">
      <w:pPr>
        <w:ind w:firstLine="708"/>
        <w:jc w:val="both"/>
        <w:rPr>
          <w:lang w:val="de-DE"/>
        </w:rPr>
      </w:pPr>
    </w:p>
    <w:p w14:paraId="737C8089" w14:textId="77777777" w:rsidR="001527B1" w:rsidRPr="004676F5" w:rsidRDefault="001527B1" w:rsidP="001527B1">
      <w:pPr>
        <w:ind w:firstLine="708"/>
        <w:jc w:val="both"/>
        <w:rPr>
          <w:lang w:val="de-DE"/>
        </w:rPr>
      </w:pPr>
      <w:r w:rsidRPr="004676F5">
        <w:rPr>
          <w:lang w:val="de-DE"/>
        </w:rPr>
        <w:t>Der König bestimmt die Modalitäten für die Arbeitsweise und Organisation des Ausschusses.</w:t>
      </w:r>
    </w:p>
    <w:p w14:paraId="0A5C044E" w14:textId="77777777" w:rsidR="001527B1" w:rsidRPr="004676F5" w:rsidRDefault="001527B1" w:rsidP="001527B1">
      <w:pPr>
        <w:ind w:firstLine="708"/>
        <w:jc w:val="both"/>
        <w:rPr>
          <w:lang w:val="de-DE"/>
        </w:rPr>
      </w:pPr>
    </w:p>
    <w:p w14:paraId="071DD39F" w14:textId="77777777" w:rsidR="001527B1" w:rsidRPr="004676F5" w:rsidRDefault="001527B1" w:rsidP="001527B1">
      <w:pPr>
        <w:ind w:firstLine="708"/>
        <w:jc w:val="both"/>
        <w:rPr>
          <w:lang w:val="de-DE"/>
        </w:rPr>
      </w:pPr>
      <w:r w:rsidRPr="004676F5">
        <w:rPr>
          <w:lang w:val="de-DE"/>
        </w:rPr>
        <w:t>Der Ausschuss erstellt seine Geschäftsordnung. Diese Geschäftsordnung tritt nach Billigung seitens des Ministers in Kraft.</w:t>
      </w:r>
    </w:p>
    <w:p w14:paraId="1E4C1F7B" w14:textId="77777777" w:rsidR="001527B1" w:rsidRPr="004676F5" w:rsidRDefault="001527B1" w:rsidP="001527B1">
      <w:pPr>
        <w:ind w:firstLine="708"/>
        <w:jc w:val="both"/>
        <w:rPr>
          <w:lang w:val="de-DE"/>
        </w:rPr>
      </w:pPr>
    </w:p>
    <w:p w14:paraId="6960654F" w14:textId="1D30BBEB"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Wird der Minister mit einem Antrag auf Erteilung einer Zwangslizenz befasst, so bestimmt er beim Ausschuss einen oder mehrere qualifizierte Bedienstete, die unter den Beamten des FÖD Wirtschaft ausgewählt werden.</w:t>
      </w:r>
    </w:p>
    <w:p w14:paraId="321B674F" w14:textId="77777777" w:rsidR="001527B1" w:rsidRPr="004676F5" w:rsidRDefault="001527B1" w:rsidP="001527B1">
      <w:pPr>
        <w:ind w:firstLine="708"/>
        <w:jc w:val="both"/>
        <w:rPr>
          <w:lang w:val="de-DE"/>
        </w:rPr>
      </w:pPr>
    </w:p>
    <w:p w14:paraId="605712D8" w14:textId="77777777" w:rsidR="001527B1" w:rsidRPr="004676F5" w:rsidRDefault="001527B1" w:rsidP="001527B1">
      <w:pPr>
        <w:ind w:firstLine="708"/>
        <w:jc w:val="both"/>
        <w:rPr>
          <w:lang w:val="de-DE"/>
        </w:rPr>
      </w:pPr>
      <w:r w:rsidRPr="004676F5">
        <w:rPr>
          <w:lang w:val="de-DE"/>
        </w:rPr>
        <w:t>Der Ausschuss bestimmt den Auftrag der in Absatz 1 erwähnten Bediensteten und legt die Modalitäten fest, gemäß denen diese Bediensteten ihm über ihren Auftrag Bericht erstatten. Der Ausschuss gibt die Bedingungen für die Übermittlung der in Absatz 4 erwähnten Unterlagen im Hinblick auf den Schutz vertraulicher Auskünfte genauer an.</w:t>
      </w:r>
    </w:p>
    <w:p w14:paraId="077ADDCF" w14:textId="77777777" w:rsidR="001527B1" w:rsidRPr="004676F5" w:rsidRDefault="001527B1" w:rsidP="001527B1">
      <w:pPr>
        <w:ind w:firstLine="708"/>
        <w:jc w:val="both"/>
        <w:rPr>
          <w:lang w:val="de-DE"/>
        </w:rPr>
      </w:pPr>
    </w:p>
    <w:p w14:paraId="0F9C12E9" w14:textId="77777777" w:rsidR="001527B1" w:rsidRPr="004676F5" w:rsidRDefault="001527B1" w:rsidP="001527B1">
      <w:pPr>
        <w:ind w:firstLine="708"/>
        <w:jc w:val="both"/>
        <w:rPr>
          <w:lang w:val="de-DE"/>
        </w:rPr>
      </w:pPr>
      <w:r w:rsidRPr="004676F5">
        <w:rPr>
          <w:lang w:val="de-DE"/>
        </w:rPr>
        <w:t>Die vom Minister bestellten Bediensteten sind befugt, alle Informationen zusammenzutragen und alle schriftlichen oder mündlichen Erklärungen und Aussagen aufzunehmen, die sie für die Erfüllung ihres Auftrags als erforderlich erachten.</w:t>
      </w:r>
    </w:p>
    <w:p w14:paraId="718E3DC6" w14:textId="77777777" w:rsidR="001527B1" w:rsidRPr="004676F5" w:rsidRDefault="001527B1" w:rsidP="001527B1">
      <w:pPr>
        <w:ind w:firstLine="708"/>
        <w:jc w:val="both"/>
        <w:rPr>
          <w:lang w:val="de-DE"/>
        </w:rPr>
      </w:pPr>
    </w:p>
    <w:p w14:paraId="78E4B98E" w14:textId="77777777" w:rsidR="001527B1" w:rsidRPr="004676F5" w:rsidRDefault="001527B1" w:rsidP="001527B1">
      <w:pPr>
        <w:ind w:firstLine="708"/>
        <w:jc w:val="both"/>
        <w:rPr>
          <w:lang w:val="de-DE"/>
        </w:rPr>
      </w:pPr>
      <w:r w:rsidRPr="004676F5">
        <w:rPr>
          <w:lang w:val="de-DE"/>
        </w:rPr>
        <w:t>In der Ausübung ihres Amtes dürfen die Bediensteten:</w:t>
      </w:r>
    </w:p>
    <w:p w14:paraId="79AF7AB0" w14:textId="77777777" w:rsidR="001527B1" w:rsidRPr="004676F5" w:rsidRDefault="001527B1" w:rsidP="001527B1">
      <w:pPr>
        <w:ind w:firstLine="708"/>
        <w:jc w:val="both"/>
        <w:rPr>
          <w:lang w:val="de-DE"/>
        </w:rPr>
      </w:pPr>
    </w:p>
    <w:p w14:paraId="5C02A6C0" w14:textId="060FE410" w:rsidR="001527B1" w:rsidRPr="004676F5" w:rsidRDefault="001527B1" w:rsidP="001527B1">
      <w:pPr>
        <w:ind w:firstLine="708"/>
        <w:jc w:val="both"/>
        <w:rPr>
          <w:lang w:val="de-DE"/>
        </w:rPr>
      </w:pPr>
      <w:r w:rsidRPr="004676F5">
        <w:rPr>
          <w:lang w:val="de-DE"/>
        </w:rPr>
        <w:t>1. nach vorheriger Ankündigung mindestens fünf Werktage im Voraus oder ohne vorherige Ankündigung, falls der begründete Verdacht besteht, dass Schriftstücke, die für die Untersuchung des Antrags auf Zwangslizenz nützlich sein können, zerstört werden könnten, während der üblichen Öffnungs</w:t>
      </w:r>
      <w:r w:rsidR="005B7A5C" w:rsidRPr="004676F5">
        <w:rPr>
          <w:lang w:val="de-DE"/>
        </w:rPr>
        <w:t>- </w:t>
      </w:r>
      <w:r w:rsidRPr="004676F5">
        <w:rPr>
          <w:lang w:val="de-DE"/>
        </w:rPr>
        <w:t>beziehungsweise Arbeitszeiten Büroräume, Räumlichkeiten, Werkstätten, Gebäude, angrenzende Höfe und eingefriedete Grundstücke betreten, zu denen sie für die Erfüllung ihres Auftrags Zugang haben müssen,</w:t>
      </w:r>
    </w:p>
    <w:p w14:paraId="6CC3F47B" w14:textId="77777777" w:rsidR="001527B1" w:rsidRPr="004676F5" w:rsidRDefault="001527B1" w:rsidP="001527B1">
      <w:pPr>
        <w:ind w:firstLine="708"/>
        <w:jc w:val="both"/>
        <w:rPr>
          <w:lang w:val="de-DE"/>
        </w:rPr>
      </w:pPr>
    </w:p>
    <w:p w14:paraId="3486FFA1" w14:textId="77777777" w:rsidR="001527B1" w:rsidRPr="004676F5" w:rsidRDefault="001527B1" w:rsidP="001527B1">
      <w:pPr>
        <w:ind w:firstLine="708"/>
        <w:jc w:val="both"/>
        <w:rPr>
          <w:lang w:val="de-DE"/>
        </w:rPr>
      </w:pPr>
      <w:r w:rsidRPr="004676F5">
        <w:rPr>
          <w:lang w:val="de-DE"/>
        </w:rPr>
        <w:t>2. alle zweckdienlichen Feststellungen machen, sich bei der ersten Forderung an Ort und Stelle die für ihre Ermittlungen und Feststellungen erforderlichen Unterlagen, Belege und Bücher vorlegen lassen und Abschriften davon anfertigen,</w:t>
      </w:r>
    </w:p>
    <w:p w14:paraId="3A09A186" w14:textId="77777777" w:rsidR="001527B1" w:rsidRPr="004676F5" w:rsidRDefault="001527B1" w:rsidP="001527B1">
      <w:pPr>
        <w:ind w:firstLine="708"/>
        <w:jc w:val="both"/>
        <w:rPr>
          <w:lang w:val="de-DE"/>
        </w:rPr>
      </w:pPr>
    </w:p>
    <w:p w14:paraId="1E8669F3" w14:textId="77777777" w:rsidR="001527B1" w:rsidRPr="004676F5" w:rsidRDefault="001527B1" w:rsidP="001527B1">
      <w:pPr>
        <w:ind w:firstLine="708"/>
        <w:jc w:val="both"/>
        <w:rPr>
          <w:lang w:val="de-DE"/>
        </w:rPr>
      </w:pPr>
      <w:r w:rsidRPr="004676F5">
        <w:rPr>
          <w:lang w:val="de-DE"/>
        </w:rPr>
        <w:t>3. gemäß den vom König bestimmten Modalitäten und Bedingungen Proben ent</w:t>
      </w:r>
      <w:r w:rsidRPr="004676F5">
        <w:rPr>
          <w:lang w:val="de-DE"/>
        </w:rPr>
        <w:softHyphen/>
        <w:t>nehmen,</w:t>
      </w:r>
    </w:p>
    <w:p w14:paraId="259B41B5" w14:textId="77777777" w:rsidR="001527B1" w:rsidRPr="004676F5" w:rsidRDefault="001527B1" w:rsidP="001527B1">
      <w:pPr>
        <w:ind w:firstLine="708"/>
        <w:jc w:val="both"/>
        <w:rPr>
          <w:lang w:val="de-DE"/>
        </w:rPr>
      </w:pPr>
    </w:p>
    <w:p w14:paraId="50347998" w14:textId="77777777" w:rsidR="001527B1" w:rsidRPr="004676F5" w:rsidRDefault="001527B1" w:rsidP="001527B1">
      <w:pPr>
        <w:ind w:firstLine="708"/>
        <w:jc w:val="both"/>
        <w:rPr>
          <w:lang w:val="de-DE"/>
        </w:rPr>
      </w:pPr>
      <w:r w:rsidRPr="004676F5">
        <w:rPr>
          <w:lang w:val="de-DE"/>
        </w:rPr>
        <w:t>4. die in Nr. 2 erwähnten Unterlagen, die für die Erfüllung ihres Auftrags erforderlich sind, gegen Empfangsbescheinigung beschlagnahmen,</w:t>
      </w:r>
    </w:p>
    <w:p w14:paraId="0829A8F2" w14:textId="77777777" w:rsidR="001527B1" w:rsidRPr="004676F5" w:rsidRDefault="001527B1" w:rsidP="001527B1">
      <w:pPr>
        <w:ind w:firstLine="708"/>
        <w:jc w:val="both"/>
        <w:rPr>
          <w:lang w:val="de-DE"/>
        </w:rPr>
      </w:pPr>
    </w:p>
    <w:p w14:paraId="4142EE88" w14:textId="77777777" w:rsidR="001527B1" w:rsidRPr="004676F5" w:rsidRDefault="001527B1" w:rsidP="001527B1">
      <w:pPr>
        <w:ind w:firstLine="708"/>
        <w:jc w:val="both"/>
        <w:rPr>
          <w:lang w:val="de-DE"/>
        </w:rPr>
      </w:pPr>
      <w:r w:rsidRPr="004676F5">
        <w:rPr>
          <w:lang w:val="de-DE"/>
        </w:rPr>
        <w:t>5. gemäß den vom König bestimmten Bedingungen Sachverständige mit einem von ihnen bestimmten Auftrag betrauen.</w:t>
      </w:r>
    </w:p>
    <w:p w14:paraId="3FC5AE19" w14:textId="77777777" w:rsidR="001527B1" w:rsidRPr="004676F5" w:rsidRDefault="001527B1" w:rsidP="001527B1">
      <w:pPr>
        <w:ind w:firstLine="708"/>
        <w:jc w:val="both"/>
        <w:rPr>
          <w:lang w:val="de-DE"/>
        </w:rPr>
      </w:pPr>
    </w:p>
    <w:p w14:paraId="1DB4D4FE" w14:textId="77777777" w:rsidR="001527B1" w:rsidRPr="004676F5" w:rsidRDefault="001527B1" w:rsidP="001527B1">
      <w:pPr>
        <w:ind w:firstLine="708"/>
        <w:jc w:val="both"/>
        <w:rPr>
          <w:lang w:val="de-DE"/>
        </w:rPr>
      </w:pPr>
      <w:r w:rsidRPr="004676F5">
        <w:rPr>
          <w:lang w:val="de-DE"/>
        </w:rPr>
        <w:t>In Ermangelung einer Bestätigung seitens des Präsidenten des Ausschusses binnen fünfzehn Tagen ist die Beschlagnahme von Rechts wegen aufgehoben. Personen, bei denen die Gegenstände beschlagnahmt werden, können vom Gericht als Verwahrer dieser Gegenstände bestellt werden.</w:t>
      </w:r>
    </w:p>
    <w:p w14:paraId="3D5BDAEE" w14:textId="77777777" w:rsidR="001527B1" w:rsidRPr="004676F5" w:rsidRDefault="001527B1" w:rsidP="001527B1">
      <w:pPr>
        <w:ind w:firstLine="708"/>
        <w:jc w:val="both"/>
        <w:rPr>
          <w:lang w:val="de-DE"/>
        </w:rPr>
      </w:pPr>
    </w:p>
    <w:p w14:paraId="07EAC151" w14:textId="77777777" w:rsidR="001527B1" w:rsidRPr="004676F5" w:rsidRDefault="001527B1" w:rsidP="001527B1">
      <w:pPr>
        <w:ind w:firstLine="708"/>
        <w:jc w:val="both"/>
        <w:rPr>
          <w:lang w:val="de-DE"/>
        </w:rPr>
      </w:pPr>
      <w:r w:rsidRPr="004676F5">
        <w:rPr>
          <w:lang w:val="de-DE"/>
        </w:rPr>
        <w:t>Der Präsident des Ausschusses kann die von ihm bestätigte Beschlagnahme gegebenenfalls auf einen an den Ausschuss gerichteten Antrag des Eigentümers der beschlagnahmten Gegenstände hin aufheben.</w:t>
      </w:r>
    </w:p>
    <w:p w14:paraId="540706A2" w14:textId="77777777" w:rsidR="001527B1" w:rsidRPr="004676F5" w:rsidRDefault="001527B1" w:rsidP="001527B1">
      <w:pPr>
        <w:ind w:firstLine="708"/>
        <w:jc w:val="both"/>
        <w:rPr>
          <w:lang w:val="de-DE"/>
        </w:rPr>
      </w:pPr>
    </w:p>
    <w:p w14:paraId="2C965643" w14:textId="1BF6F178" w:rsidR="001527B1" w:rsidRPr="004676F5" w:rsidRDefault="001527B1" w:rsidP="001527B1">
      <w:pPr>
        <w:ind w:firstLine="708"/>
        <w:jc w:val="both"/>
        <w:rPr>
          <w:lang w:val="de-DE"/>
        </w:rPr>
      </w:pPr>
      <w:r w:rsidRPr="004676F5">
        <w:rPr>
          <w:lang w:val="de-DE"/>
        </w:rPr>
        <w:t xml:space="preserve">Nach vorheriger Ankündigung mindestens fünf Werktage im Voraus oder ohne vorherige Ankündigung, falls der begründete Verdacht besteht, dass Schriftstücke, die für die Untersuchung des Antrags auf Zwangslizenz nützlich sein können, zerstört werden könnten, dürfen die bestellten Bediensteten mit vorheriger Ermächtigung des Präsidenten des </w:t>
      </w:r>
      <w:r w:rsidR="00361072" w:rsidRPr="004676F5">
        <w:rPr>
          <w:lang w:val="de-DE"/>
        </w:rPr>
        <w:t xml:space="preserve">[Unternehmensgerichts] </w:t>
      </w:r>
      <w:r w:rsidRPr="004676F5">
        <w:rPr>
          <w:lang w:val="de-DE"/>
        </w:rPr>
        <w:t>bewohnte Räumlichkeiten besuchen. Besuche in bewohnten Räumlichkeiten müssen zwischen acht und achtzehn Uhr erfolgen und von mindestens zwei Bediensteten gemeinsam durchgeführt werden.</w:t>
      </w:r>
    </w:p>
    <w:p w14:paraId="1E7800EA" w14:textId="77777777" w:rsidR="001527B1" w:rsidRPr="004676F5" w:rsidRDefault="001527B1" w:rsidP="001527B1">
      <w:pPr>
        <w:ind w:firstLine="708"/>
        <w:jc w:val="both"/>
        <w:rPr>
          <w:lang w:val="de-DE"/>
        </w:rPr>
      </w:pPr>
    </w:p>
    <w:p w14:paraId="7CC7C9CD" w14:textId="77777777" w:rsidR="001527B1" w:rsidRPr="004676F5" w:rsidRDefault="001527B1" w:rsidP="001527B1">
      <w:pPr>
        <w:ind w:firstLine="708"/>
        <w:jc w:val="both"/>
        <w:rPr>
          <w:lang w:val="de-DE"/>
        </w:rPr>
      </w:pPr>
      <w:r w:rsidRPr="004676F5">
        <w:rPr>
          <w:lang w:val="de-DE"/>
        </w:rPr>
        <w:t>In der Ausführung ihres Auftrags dürfen sie die Unterstützung der Polizeidienste anfordern.</w:t>
      </w:r>
    </w:p>
    <w:p w14:paraId="1795B18A" w14:textId="77777777" w:rsidR="001527B1" w:rsidRPr="004676F5" w:rsidRDefault="001527B1" w:rsidP="001527B1">
      <w:pPr>
        <w:ind w:firstLine="708"/>
        <w:jc w:val="both"/>
        <w:rPr>
          <w:lang w:val="de-DE"/>
        </w:rPr>
      </w:pPr>
    </w:p>
    <w:p w14:paraId="64C8BC8B" w14:textId="77777777" w:rsidR="001527B1" w:rsidRPr="004676F5" w:rsidRDefault="001527B1" w:rsidP="001527B1">
      <w:pPr>
        <w:ind w:firstLine="708"/>
        <w:jc w:val="both"/>
        <w:rPr>
          <w:lang w:val="de-DE"/>
        </w:rPr>
      </w:pPr>
      <w:r w:rsidRPr="004676F5">
        <w:rPr>
          <w:lang w:val="de-DE"/>
        </w:rPr>
        <w:t>Die bestellten Bediensteten üben die ihnen durch vorliegenden Artikel erteilten Befugnisse unter Aufsicht des Generalprokurators aus unbeschadet der Tatsache, dass sie ihren Verwaltungsvorgesetzten untergeordnet bleiben.</w:t>
      </w:r>
    </w:p>
    <w:p w14:paraId="03F6104B" w14:textId="77777777" w:rsidR="001527B1" w:rsidRPr="004676F5" w:rsidRDefault="001527B1" w:rsidP="001527B1">
      <w:pPr>
        <w:ind w:firstLine="708"/>
        <w:jc w:val="both"/>
        <w:rPr>
          <w:lang w:val="de-DE"/>
        </w:rPr>
      </w:pPr>
    </w:p>
    <w:p w14:paraId="11DBC106" w14:textId="4865728D"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zu diesem Zweck bestellten Bediensteten übermitteln dem Ausschuss ihren Bericht. Der Ausschuss gibt seine Stellungnahme erst ab, nachdem er den Patentinhaber und die Person, die eine Zwangslizenz beantragt oder erhalten hat, angehört hat. Ein Anwalt oder eine Person, die der Ausschuss eigens für jede Sache zulässt, kann diesen Personen beistehen oder sie vertreten. Der Ausschuss hört auch Sachverständige und Personen an, deren Anhörung er als nützlich erachtet. Er kann die bestellten Bediensteten beauftragen, eine ergänzende Untersuchung durchzuführen oder ihm einen ergänzenden Bericht zu übermitteln.</w:t>
      </w:r>
    </w:p>
    <w:p w14:paraId="3688CA5D" w14:textId="77777777" w:rsidR="001527B1" w:rsidRPr="004676F5" w:rsidRDefault="001527B1" w:rsidP="001527B1">
      <w:pPr>
        <w:ind w:firstLine="708"/>
        <w:jc w:val="both"/>
        <w:rPr>
          <w:lang w:val="de-DE"/>
        </w:rPr>
      </w:pPr>
    </w:p>
    <w:p w14:paraId="38C81AB1" w14:textId="77777777" w:rsidR="001527B1" w:rsidRPr="004676F5" w:rsidRDefault="001527B1" w:rsidP="001527B1">
      <w:pPr>
        <w:ind w:firstLine="708"/>
        <w:jc w:val="both"/>
        <w:rPr>
          <w:lang w:val="de-DE"/>
        </w:rPr>
      </w:pPr>
      <w:r w:rsidRPr="004676F5">
        <w:rPr>
          <w:lang w:val="de-DE"/>
        </w:rPr>
        <w:t>Mindestens einen Monat vor dem Datum der Versammlung des Ausschusses benachrichtigt der Ausschuss per Einschreiben die Personen, die im Laufe dieser Versammlung angehört werden müssen. In dringenden Fällen wird die Frist um die Hälfte verkürzt.</w:t>
      </w:r>
    </w:p>
    <w:p w14:paraId="6FB4C806" w14:textId="77777777" w:rsidR="001527B1" w:rsidRPr="004676F5" w:rsidRDefault="001527B1" w:rsidP="001527B1">
      <w:pPr>
        <w:ind w:firstLine="708"/>
        <w:jc w:val="both"/>
        <w:rPr>
          <w:lang w:val="de-DE"/>
        </w:rPr>
      </w:pPr>
    </w:p>
    <w:p w14:paraId="056A7236" w14:textId="4F820591"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Betriebskosten des Ausschusses gehen zu Lasten des Haushaltsplans des FÖD Wirtschaft.</w:t>
      </w:r>
    </w:p>
    <w:p w14:paraId="5FAC47F9" w14:textId="1757A4B9" w:rsidR="001527B1" w:rsidRPr="004676F5" w:rsidRDefault="001527B1" w:rsidP="00361072">
      <w:pPr>
        <w:jc w:val="both"/>
        <w:rPr>
          <w:lang w:val="de-DE"/>
        </w:rPr>
      </w:pPr>
    </w:p>
    <w:p w14:paraId="18570063" w14:textId="5DD1A64D" w:rsidR="00361072" w:rsidRPr="004676F5" w:rsidRDefault="00361072" w:rsidP="00361072">
      <w:pPr>
        <w:jc w:val="both"/>
        <w:rPr>
          <w:i/>
          <w:lang w:val="de-DE"/>
        </w:rPr>
      </w:pPr>
      <w:r w:rsidRPr="004676F5">
        <w:rPr>
          <w:i/>
          <w:lang w:val="de-DE"/>
        </w:rPr>
        <w:t>[Art. XI.43 § 2 Abs. 7 abgeändert durch Art. 252 des G. vom 15. April 2018 (B.S. vom 27. April 2018)]</w:t>
      </w:r>
    </w:p>
    <w:p w14:paraId="4EE5CD16" w14:textId="77777777" w:rsidR="00361072" w:rsidRPr="004676F5" w:rsidRDefault="00361072" w:rsidP="00361072">
      <w:pPr>
        <w:jc w:val="both"/>
        <w:rPr>
          <w:i/>
          <w:lang w:val="de-DE"/>
        </w:rPr>
      </w:pPr>
    </w:p>
    <w:p w14:paraId="6F520ACC" w14:textId="77777777" w:rsidR="00CE5A09" w:rsidRPr="004676F5" w:rsidRDefault="00CE5A09" w:rsidP="001527B1">
      <w:pPr>
        <w:ind w:firstLine="708"/>
        <w:jc w:val="both"/>
        <w:rPr>
          <w:lang w:val="de-DE"/>
        </w:rPr>
      </w:pPr>
    </w:p>
    <w:p w14:paraId="3975312A" w14:textId="3E584BA9" w:rsidR="001527B1" w:rsidRPr="004676F5" w:rsidRDefault="00BE0A56" w:rsidP="001527B1">
      <w:pPr>
        <w:ind w:firstLine="708"/>
        <w:jc w:val="both"/>
        <w:rPr>
          <w:lang w:val="de-DE"/>
        </w:rPr>
      </w:pPr>
      <w:r w:rsidRPr="004676F5">
        <w:rPr>
          <w:b/>
          <w:lang w:val="de-DE"/>
        </w:rPr>
        <w:t>Art. </w:t>
      </w:r>
      <w:r w:rsidR="001527B1" w:rsidRPr="004676F5">
        <w:rPr>
          <w:b/>
          <w:lang w:val="de-DE"/>
        </w:rPr>
        <w:t>XI.44</w:t>
      </w:r>
      <w:r w:rsidR="001527B1" w:rsidRPr="004676F5">
        <w:rPr>
          <w:lang w:val="de-DE"/>
        </w:rPr>
        <w:t> </w:t>
      </w:r>
      <w:r w:rsidR="005B7A5C" w:rsidRPr="004676F5">
        <w:rPr>
          <w:lang w:val="de-DE"/>
        </w:rPr>
        <w:t>- </w:t>
      </w:r>
      <w:r w:rsidR="001527B1" w:rsidRPr="004676F5">
        <w:rPr>
          <w:lang w:val="de-DE"/>
        </w:rPr>
        <w:t>Auf Antrag des Patentinhabers oder des Lizenznehmers können Beschlüsse über ihre gegenseitigen Verpflichtungen und gegebenenfalls die Verwertungs</w:t>
      </w:r>
      <w:r w:rsidR="001527B1" w:rsidRPr="004676F5">
        <w:rPr>
          <w:lang w:val="de-DE"/>
        </w:rPr>
        <w:softHyphen/>
        <w:t>bedingungen revidiert werden, insofern neue Umstände aufgetreten sind. Für die Revision ist die Behörde, von der die Entscheidung ausging, zuständig und das anzuwendende Verfahren entspricht dem Verfahren, nach dem die Entscheidung, die zu revidieren ist, getroffen wurde.</w:t>
      </w:r>
    </w:p>
    <w:p w14:paraId="5FEBF83D" w14:textId="77777777" w:rsidR="001527B1" w:rsidRPr="004676F5" w:rsidRDefault="001527B1" w:rsidP="001527B1">
      <w:pPr>
        <w:ind w:firstLine="708"/>
        <w:jc w:val="both"/>
        <w:rPr>
          <w:lang w:val="de-DE"/>
        </w:rPr>
      </w:pPr>
    </w:p>
    <w:p w14:paraId="7A9F3025" w14:textId="77777777" w:rsidR="00CE5A09" w:rsidRPr="004676F5" w:rsidRDefault="00CE5A09" w:rsidP="001527B1">
      <w:pPr>
        <w:ind w:firstLine="708"/>
        <w:jc w:val="both"/>
        <w:rPr>
          <w:lang w:val="de-DE"/>
        </w:rPr>
      </w:pPr>
    </w:p>
    <w:p w14:paraId="48070289" w14:textId="14B8C8F6" w:rsidR="001527B1" w:rsidRPr="004676F5" w:rsidRDefault="00BE0A56" w:rsidP="001527B1">
      <w:pPr>
        <w:ind w:firstLine="708"/>
        <w:jc w:val="both"/>
        <w:rPr>
          <w:lang w:val="de-DE"/>
        </w:rPr>
      </w:pPr>
      <w:r w:rsidRPr="004676F5">
        <w:rPr>
          <w:b/>
          <w:lang w:val="de-DE"/>
        </w:rPr>
        <w:t>Art. </w:t>
      </w:r>
      <w:r w:rsidR="001527B1" w:rsidRPr="004676F5">
        <w:rPr>
          <w:b/>
          <w:lang w:val="de-DE"/>
        </w:rPr>
        <w:t>XI.45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Auf Antrag des Patentinhabers entzieht der Minister die Zwangslizenz, wenn aus einem formell rechtskräftigen Urteil hervorgeht, dass der Lizenz</w:t>
      </w:r>
      <w:r w:rsidR="001527B1" w:rsidRPr="004676F5">
        <w:rPr>
          <w:lang w:val="de-DE"/>
        </w:rPr>
        <w:softHyphen/>
        <w:t>nehmer sich gegenüber dem Patentinhaber einer unerlaubten Handlung schuldig gemacht hat oder dass er seinen Verpflichtungen nicht nachgekommen ist.</w:t>
      </w:r>
    </w:p>
    <w:p w14:paraId="4FF92ECA" w14:textId="77777777" w:rsidR="001527B1" w:rsidRPr="004676F5" w:rsidRDefault="001527B1" w:rsidP="001527B1">
      <w:pPr>
        <w:ind w:firstLine="708"/>
        <w:jc w:val="both"/>
        <w:rPr>
          <w:lang w:val="de-DE"/>
        </w:rPr>
      </w:pPr>
    </w:p>
    <w:p w14:paraId="2584E03D" w14:textId="3F1AD5D9" w:rsidR="001527B1" w:rsidRPr="004676F5" w:rsidRDefault="001527B1" w:rsidP="001527B1">
      <w:pPr>
        <w:ind w:firstLine="708"/>
        <w:jc w:val="both"/>
        <w:rPr>
          <w:lang w:val="de-DE"/>
        </w:rPr>
      </w:pPr>
      <w:r w:rsidRPr="004676F5">
        <w:rPr>
          <w:lang w:val="de-DE"/>
        </w:rPr>
        <w:lastRenderedPageBreak/>
        <w:t>§ 2 </w:t>
      </w:r>
      <w:r w:rsidR="005B7A5C" w:rsidRPr="004676F5">
        <w:rPr>
          <w:lang w:val="de-DE"/>
        </w:rPr>
        <w:t>- </w:t>
      </w:r>
      <w:r w:rsidRPr="004676F5">
        <w:rPr>
          <w:lang w:val="de-DE"/>
        </w:rPr>
        <w:t>Auf Antrag eines Interessehabenden kann der Minister die Zwangslizenz, die aufgrund fehlender Verwertung erteilt wurde, entziehen, wenn der Lizenznehmer nach Ablauf der vom Minister für die Verwertung festgelegten Frist die Erfindung nicht durch eine ernsthafte und fortgesetzte Herstellung in Belgien verwertet hat.</w:t>
      </w:r>
    </w:p>
    <w:p w14:paraId="759B4A5D" w14:textId="77777777" w:rsidR="001527B1" w:rsidRPr="004676F5" w:rsidRDefault="001527B1" w:rsidP="001527B1">
      <w:pPr>
        <w:ind w:firstLine="708"/>
        <w:jc w:val="both"/>
        <w:rPr>
          <w:lang w:val="de-DE"/>
        </w:rPr>
      </w:pPr>
    </w:p>
    <w:p w14:paraId="6180D98E" w14:textId="7F0FE252"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Minister legt dem Ausschuss für Zwangslizenzen Entziehungsbeschlüsse zwecks Stellungnahme vor.</w:t>
      </w:r>
    </w:p>
    <w:p w14:paraId="2726FB86" w14:textId="77777777" w:rsidR="001527B1" w:rsidRPr="004676F5" w:rsidRDefault="001527B1" w:rsidP="001527B1">
      <w:pPr>
        <w:ind w:firstLine="708"/>
        <w:jc w:val="both"/>
        <w:rPr>
          <w:lang w:val="de-DE"/>
        </w:rPr>
      </w:pPr>
    </w:p>
    <w:p w14:paraId="1D8BFC7A" w14:textId="77777777" w:rsidR="001527B1" w:rsidRPr="004676F5" w:rsidRDefault="001527B1" w:rsidP="001527B1">
      <w:pPr>
        <w:ind w:firstLine="708"/>
        <w:jc w:val="both"/>
        <w:rPr>
          <w:lang w:val="de-DE"/>
        </w:rPr>
      </w:pPr>
      <w:r w:rsidRPr="004676F5">
        <w:rPr>
          <w:lang w:val="de-DE"/>
        </w:rPr>
        <w:t>Der Entzug erfolgt durch einen mit Gründen versehenen Beschluss. In diesem Beschluss wird gegebenenfalls der Grund vermerkt, weshalb von der Stellungnahme des Ausschusses abgewichen wurde.</w:t>
      </w:r>
    </w:p>
    <w:p w14:paraId="1E61A206" w14:textId="77777777" w:rsidR="001527B1" w:rsidRPr="004676F5" w:rsidRDefault="001527B1" w:rsidP="001527B1">
      <w:pPr>
        <w:ind w:firstLine="708"/>
        <w:jc w:val="both"/>
        <w:rPr>
          <w:lang w:val="de-DE"/>
        </w:rPr>
      </w:pPr>
    </w:p>
    <w:p w14:paraId="22918185" w14:textId="77777777" w:rsidR="001527B1" w:rsidRPr="004676F5" w:rsidRDefault="001527B1" w:rsidP="001527B1">
      <w:pPr>
        <w:ind w:firstLine="708"/>
        <w:jc w:val="both"/>
        <w:rPr>
          <w:lang w:val="de-DE"/>
        </w:rPr>
      </w:pPr>
      <w:r w:rsidRPr="004676F5">
        <w:rPr>
          <w:lang w:val="de-DE"/>
        </w:rPr>
        <w:t xml:space="preserve">Der Entziehungserlass wird auszugsweise im </w:t>
      </w:r>
      <w:r w:rsidRPr="004676F5">
        <w:rPr>
          <w:i/>
          <w:lang w:val="de-DE"/>
        </w:rPr>
        <w:t>Belgischen Staatsblatt</w:t>
      </w:r>
      <w:r w:rsidRPr="004676F5">
        <w:rPr>
          <w:lang w:val="de-DE"/>
        </w:rPr>
        <w:t xml:space="preserve"> veröffentlicht und in der Sammlung erwähnt. </w:t>
      </w:r>
    </w:p>
    <w:p w14:paraId="43228DC7" w14:textId="77777777" w:rsidR="001527B1" w:rsidRPr="004676F5" w:rsidRDefault="001527B1" w:rsidP="001527B1">
      <w:pPr>
        <w:ind w:firstLine="708"/>
        <w:jc w:val="both"/>
        <w:rPr>
          <w:lang w:val="de-DE"/>
        </w:rPr>
      </w:pPr>
    </w:p>
    <w:p w14:paraId="1FA5E98E" w14:textId="77777777" w:rsidR="00CE5A09" w:rsidRPr="004676F5" w:rsidRDefault="00CE5A09" w:rsidP="001527B1">
      <w:pPr>
        <w:ind w:firstLine="708"/>
        <w:jc w:val="both"/>
        <w:rPr>
          <w:lang w:val="de-DE"/>
        </w:rPr>
      </w:pPr>
    </w:p>
    <w:p w14:paraId="3AFDB365" w14:textId="51A180F7" w:rsidR="001527B1" w:rsidRPr="004676F5" w:rsidRDefault="00BE0A56" w:rsidP="001527B1">
      <w:pPr>
        <w:ind w:firstLine="708"/>
        <w:jc w:val="both"/>
        <w:rPr>
          <w:lang w:val="de-DE"/>
        </w:rPr>
      </w:pPr>
      <w:r w:rsidRPr="004676F5">
        <w:rPr>
          <w:b/>
          <w:lang w:val="de-DE"/>
        </w:rPr>
        <w:t>Art. </w:t>
      </w:r>
      <w:r w:rsidR="001527B1" w:rsidRPr="004676F5">
        <w:rPr>
          <w:b/>
          <w:lang w:val="de-DE"/>
        </w:rPr>
        <w:t>XI.46</w:t>
      </w:r>
      <w:r w:rsidR="001527B1" w:rsidRPr="004676F5">
        <w:rPr>
          <w:lang w:val="de-DE"/>
        </w:rPr>
        <w:t> </w:t>
      </w:r>
      <w:r w:rsidR="005B7A5C" w:rsidRPr="004676F5">
        <w:rPr>
          <w:lang w:val="de-DE"/>
        </w:rPr>
        <w:t>- </w:t>
      </w:r>
      <w:r w:rsidR="001527B1" w:rsidRPr="004676F5">
        <w:rPr>
          <w:lang w:val="de-DE"/>
        </w:rPr>
        <w:t>Der Inhaber einer Zwangslizenz kann mit der Lizenz verbundene Rechte nur zusammen mit dem Teil des Betriebs oder des Handelsgeschäfts, der mit der Verwertung der Lizenz betraut ist, durch Übertragung oder Unterlizenz an Drittpersonen übertragen, insofern die in Anwendung von Artikel XI.37 § 1 Nr. 2 erteilten Lizenzen nur gemeinsam mit dem abhängigen Patent übertragbar sind.</w:t>
      </w:r>
    </w:p>
    <w:p w14:paraId="31D7F61F" w14:textId="77777777" w:rsidR="001527B1" w:rsidRPr="004676F5" w:rsidRDefault="001527B1" w:rsidP="001527B1">
      <w:pPr>
        <w:ind w:firstLine="708"/>
        <w:jc w:val="both"/>
        <w:rPr>
          <w:lang w:val="de-DE"/>
        </w:rPr>
      </w:pPr>
    </w:p>
    <w:p w14:paraId="4509C13A" w14:textId="77777777" w:rsidR="001527B1" w:rsidRPr="004676F5" w:rsidRDefault="001527B1" w:rsidP="001527B1">
      <w:pPr>
        <w:ind w:firstLine="708"/>
        <w:jc w:val="both"/>
        <w:rPr>
          <w:lang w:val="de-DE"/>
        </w:rPr>
      </w:pPr>
      <w:r w:rsidRPr="004676F5">
        <w:rPr>
          <w:lang w:val="de-DE"/>
        </w:rPr>
        <w:t>Artikel XI.51 ist entsprechend anwendbar.</w:t>
      </w:r>
    </w:p>
    <w:p w14:paraId="2246B03A" w14:textId="77777777" w:rsidR="001527B1" w:rsidRPr="004676F5" w:rsidRDefault="001527B1" w:rsidP="001527B1">
      <w:pPr>
        <w:ind w:firstLine="708"/>
        <w:jc w:val="both"/>
        <w:rPr>
          <w:lang w:val="de-DE"/>
        </w:rPr>
      </w:pPr>
    </w:p>
    <w:p w14:paraId="0CE378F7" w14:textId="77777777" w:rsidR="00CE5A09" w:rsidRPr="004676F5" w:rsidRDefault="00CE5A09" w:rsidP="001527B1">
      <w:pPr>
        <w:ind w:firstLine="708"/>
        <w:jc w:val="both"/>
        <w:rPr>
          <w:lang w:val="de-DE"/>
        </w:rPr>
      </w:pPr>
    </w:p>
    <w:p w14:paraId="0DA451AF" w14:textId="29DA831F" w:rsidR="001527B1" w:rsidRPr="004676F5" w:rsidRDefault="00BE0A56" w:rsidP="001527B1">
      <w:pPr>
        <w:ind w:firstLine="708"/>
        <w:jc w:val="both"/>
        <w:rPr>
          <w:lang w:val="de-DE"/>
        </w:rPr>
      </w:pPr>
      <w:r w:rsidRPr="004676F5">
        <w:rPr>
          <w:b/>
          <w:lang w:val="de-DE"/>
        </w:rPr>
        <w:t>Art. </w:t>
      </w:r>
      <w:r w:rsidR="001527B1" w:rsidRPr="004676F5">
        <w:rPr>
          <w:b/>
          <w:lang w:val="de-DE"/>
        </w:rPr>
        <w:t>XI.47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Patent erlischt nach Ende des zwanzigsten Jahres, gerechnet vom Anmeldetag an, unter Vorbehalt der Zahlung der in Artikel XI.48 erwähnten Jahres</w:t>
      </w:r>
      <w:r w:rsidR="001527B1" w:rsidRPr="004676F5">
        <w:rPr>
          <w:lang w:val="de-DE"/>
        </w:rPr>
        <w:softHyphen/>
        <w:t>gebühren.</w:t>
      </w:r>
    </w:p>
    <w:p w14:paraId="73DE51A8" w14:textId="77777777" w:rsidR="001527B1" w:rsidRPr="004676F5" w:rsidRDefault="001527B1" w:rsidP="001527B1">
      <w:pPr>
        <w:ind w:firstLine="708"/>
        <w:jc w:val="both"/>
        <w:rPr>
          <w:lang w:val="de-DE"/>
        </w:rPr>
      </w:pPr>
    </w:p>
    <w:p w14:paraId="32EF84E1" w14:textId="73FE2717"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In dem in Artikel XI.23 § 8 vorgesehenen Fall erlischt die Patentanmeldung unter Vorbehalt der Zahlung der Jahresgebühren nach Ablauf der für die Zahlung der Recherchen</w:t>
      </w:r>
      <w:r w:rsidRPr="004676F5">
        <w:rPr>
          <w:lang w:val="de-DE"/>
        </w:rPr>
        <w:softHyphen/>
        <w:t>gebühr vorgeschriebenen Frist, wenn diese Gebühr nicht entrichtet wurde.</w:t>
      </w:r>
    </w:p>
    <w:p w14:paraId="29C9867A" w14:textId="77777777" w:rsidR="001527B1" w:rsidRPr="004676F5" w:rsidRDefault="001527B1" w:rsidP="001527B1">
      <w:pPr>
        <w:ind w:firstLine="708"/>
        <w:jc w:val="both"/>
        <w:rPr>
          <w:lang w:val="de-DE"/>
        </w:rPr>
      </w:pPr>
    </w:p>
    <w:p w14:paraId="3338CEE3" w14:textId="77777777" w:rsidR="00CE5A09" w:rsidRPr="004676F5" w:rsidRDefault="00CE5A09" w:rsidP="001527B1">
      <w:pPr>
        <w:ind w:firstLine="708"/>
        <w:jc w:val="both"/>
        <w:rPr>
          <w:lang w:val="de-DE"/>
        </w:rPr>
      </w:pPr>
    </w:p>
    <w:p w14:paraId="2565A8C4" w14:textId="0061E2BC" w:rsidR="001527B1" w:rsidRPr="004676F5" w:rsidRDefault="00BE0A56" w:rsidP="001527B1">
      <w:pPr>
        <w:ind w:firstLine="708"/>
        <w:jc w:val="both"/>
        <w:rPr>
          <w:lang w:val="de-DE"/>
        </w:rPr>
      </w:pPr>
      <w:r w:rsidRPr="004676F5">
        <w:rPr>
          <w:b/>
          <w:lang w:val="de-DE"/>
        </w:rPr>
        <w:t>Art. </w:t>
      </w:r>
      <w:r w:rsidR="001527B1" w:rsidRPr="004676F5">
        <w:rPr>
          <w:b/>
          <w:lang w:val="de-DE"/>
        </w:rPr>
        <w:t>XI.48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Für jede Patentanmeldung oder jedes Patent sind im Hinblick auf ihre beziehungsweise seine Aufrechterhaltung Jahresgebühren zu zahlen. Der König kann das Jahr festlegen, ab dem Jahresgebühren zum ersten Mal geschuldet werden. Die Jahres</w:t>
      </w:r>
      <w:r w:rsidR="001527B1" w:rsidRPr="004676F5">
        <w:rPr>
          <w:lang w:val="de-DE"/>
        </w:rPr>
        <w:softHyphen/>
        <w:t>gebühren sind frühestens am Anfang des dritten Jahres und spätestens am Anfang des fünften Jahres, gerechnet vom Anmeldetag der Patentanmeldung an, und danach am Anfang jeden weiteren Jahres zu entrichten.</w:t>
      </w:r>
    </w:p>
    <w:p w14:paraId="480839EC" w14:textId="77777777" w:rsidR="001527B1" w:rsidRPr="004676F5" w:rsidRDefault="001527B1" w:rsidP="001527B1">
      <w:pPr>
        <w:ind w:firstLine="708"/>
        <w:jc w:val="both"/>
        <w:rPr>
          <w:lang w:val="de-DE"/>
        </w:rPr>
      </w:pPr>
    </w:p>
    <w:p w14:paraId="7EA300F3" w14:textId="77777777" w:rsidR="001527B1" w:rsidRPr="004676F5" w:rsidRDefault="001527B1" w:rsidP="001527B1">
      <w:pPr>
        <w:ind w:firstLine="708"/>
        <w:jc w:val="both"/>
        <w:rPr>
          <w:lang w:val="de-DE"/>
        </w:rPr>
      </w:pPr>
      <w:r w:rsidRPr="004676F5">
        <w:rPr>
          <w:lang w:val="de-DE"/>
        </w:rPr>
        <w:t>Für die Festlegung des Jahres, ab dem Jahresgebühren zum ersten Mal geschuldet werden, berücksichtigt der König zumindest folgende Kriterien:</w:t>
      </w:r>
    </w:p>
    <w:p w14:paraId="4E6871E6" w14:textId="77777777" w:rsidR="001527B1" w:rsidRPr="004676F5" w:rsidRDefault="001527B1" w:rsidP="001527B1">
      <w:pPr>
        <w:ind w:firstLine="708"/>
        <w:jc w:val="both"/>
        <w:rPr>
          <w:lang w:val="de-DE"/>
        </w:rPr>
      </w:pPr>
    </w:p>
    <w:p w14:paraId="17E655B4" w14:textId="77777777" w:rsidR="001527B1" w:rsidRPr="004676F5" w:rsidRDefault="001527B1" w:rsidP="001527B1">
      <w:pPr>
        <w:ind w:firstLine="708"/>
        <w:jc w:val="both"/>
        <w:rPr>
          <w:lang w:val="de-DE"/>
        </w:rPr>
      </w:pPr>
      <w:r w:rsidRPr="004676F5">
        <w:rPr>
          <w:lang w:val="de-DE"/>
        </w:rPr>
        <w:t>1. Zugang zum belgischen Patentsystem und</w:t>
      </w:r>
    </w:p>
    <w:p w14:paraId="7A72A95D" w14:textId="77777777" w:rsidR="001527B1" w:rsidRPr="004676F5" w:rsidRDefault="001527B1" w:rsidP="001527B1">
      <w:pPr>
        <w:ind w:firstLine="708"/>
        <w:jc w:val="both"/>
        <w:rPr>
          <w:lang w:val="de-DE"/>
        </w:rPr>
      </w:pPr>
    </w:p>
    <w:p w14:paraId="1BD83FDC" w14:textId="77777777" w:rsidR="001527B1" w:rsidRPr="004676F5" w:rsidRDefault="001527B1" w:rsidP="001527B1">
      <w:pPr>
        <w:ind w:firstLine="708"/>
        <w:jc w:val="both"/>
        <w:rPr>
          <w:lang w:val="de-DE"/>
        </w:rPr>
      </w:pPr>
      <w:r w:rsidRPr="004676F5">
        <w:rPr>
          <w:lang w:val="de-DE"/>
        </w:rPr>
        <w:t>2. Verhältnis zwischen den Verwaltungskosten der in Absatz 1 erwähnten Gebühr für das Amt und den Einnahmen aus dieser Gebühr.</w:t>
      </w:r>
    </w:p>
    <w:p w14:paraId="5216A420" w14:textId="77777777" w:rsidR="001527B1" w:rsidRPr="004676F5" w:rsidRDefault="001527B1" w:rsidP="001527B1">
      <w:pPr>
        <w:ind w:firstLine="708"/>
        <w:jc w:val="both"/>
        <w:rPr>
          <w:lang w:val="de-DE"/>
        </w:rPr>
      </w:pPr>
    </w:p>
    <w:p w14:paraId="49A34B39" w14:textId="77777777" w:rsidR="001527B1" w:rsidRPr="004676F5" w:rsidRDefault="001527B1" w:rsidP="001527B1">
      <w:pPr>
        <w:ind w:firstLine="708"/>
        <w:jc w:val="both"/>
        <w:rPr>
          <w:lang w:val="de-DE"/>
        </w:rPr>
      </w:pPr>
      <w:r w:rsidRPr="004676F5">
        <w:rPr>
          <w:lang w:val="de-DE"/>
        </w:rPr>
        <w:t>Die Zahlung der Jahresgebühr wird am letzten Tag des Monats des Jahrestags der Patentanmeldung fällig. Die Jahresgebühr kann frühestens sechs Monate vor ihrer Fälligkeit wirksam entrichtet werden.</w:t>
      </w:r>
    </w:p>
    <w:p w14:paraId="18899D41" w14:textId="77777777" w:rsidR="001527B1" w:rsidRPr="004676F5" w:rsidRDefault="001527B1" w:rsidP="001527B1">
      <w:pPr>
        <w:ind w:firstLine="708"/>
        <w:jc w:val="both"/>
        <w:rPr>
          <w:lang w:val="de-DE"/>
        </w:rPr>
      </w:pPr>
    </w:p>
    <w:p w14:paraId="72628E64" w14:textId="77777777" w:rsidR="001527B1" w:rsidRPr="004676F5" w:rsidRDefault="001527B1" w:rsidP="001527B1">
      <w:pPr>
        <w:ind w:firstLine="708"/>
        <w:jc w:val="both"/>
        <w:rPr>
          <w:lang w:val="de-DE"/>
        </w:rPr>
      </w:pPr>
      <w:r w:rsidRPr="004676F5">
        <w:rPr>
          <w:lang w:val="de-DE"/>
        </w:rPr>
        <w:lastRenderedPageBreak/>
        <w:t>Erfolgt die Zahlung der Jahresgebühr nicht bis zum Fälligkeitstag, so kann diese Gebühr, erhöht um eine Zuschlagsgebühr, noch innerhalb einer Nachfrist von sechs Monaten, gerechnet vom Fälligkeitstag der Jahresgebühr an, entrichtet werden.</w:t>
      </w:r>
    </w:p>
    <w:p w14:paraId="49FD92FB" w14:textId="77777777" w:rsidR="001527B1" w:rsidRPr="004676F5" w:rsidRDefault="001527B1" w:rsidP="001527B1">
      <w:pPr>
        <w:ind w:firstLine="708"/>
        <w:jc w:val="both"/>
        <w:rPr>
          <w:lang w:val="de-DE"/>
        </w:rPr>
      </w:pPr>
    </w:p>
    <w:p w14:paraId="1FFC7C61" w14:textId="77777777" w:rsidR="001527B1" w:rsidRPr="004676F5" w:rsidRDefault="001527B1" w:rsidP="001527B1">
      <w:pPr>
        <w:ind w:firstLine="708"/>
        <w:jc w:val="both"/>
        <w:rPr>
          <w:lang w:val="de-DE"/>
        </w:rPr>
      </w:pPr>
      <w:r w:rsidRPr="004676F5">
        <w:rPr>
          <w:lang w:val="de-DE"/>
        </w:rPr>
        <w:t>Die Höhe der Jahresgebühr und der Zuschlagsgebühr wird vom König durch einen im Ministerrat beratenen Erlass festgelegt.</w:t>
      </w:r>
    </w:p>
    <w:p w14:paraId="343C5CDF" w14:textId="77777777" w:rsidR="001527B1" w:rsidRPr="004676F5" w:rsidRDefault="001527B1" w:rsidP="001527B1">
      <w:pPr>
        <w:ind w:firstLine="708"/>
        <w:jc w:val="both"/>
        <w:rPr>
          <w:lang w:val="de-DE"/>
        </w:rPr>
      </w:pPr>
    </w:p>
    <w:p w14:paraId="0AC3A35E" w14:textId="3A981E2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Wird die Jahresgebühr und die Zuschlagsgebühr nicht innerhalb der in vorhergehendem Paragraphen vorgesehenen Nachfrist von sechs Monaten entrichtet, werden die Rechte des Patentanmelders oder Patentinhabers von Rechts wegen aufgehoben. Die Aufhebung wird wirksam mit dem Fälligkeitstag der nicht entrichteten Jahresgebühr. Die Aufhebung wird in das Register eingetragen.</w:t>
      </w:r>
    </w:p>
    <w:p w14:paraId="0E5F0426" w14:textId="77777777" w:rsidR="001527B1" w:rsidRPr="004676F5" w:rsidRDefault="001527B1" w:rsidP="001527B1">
      <w:pPr>
        <w:ind w:firstLine="708"/>
        <w:jc w:val="both"/>
        <w:rPr>
          <w:lang w:val="de-DE"/>
        </w:rPr>
      </w:pPr>
    </w:p>
    <w:p w14:paraId="6E2EE5B7" w14:textId="021733AE"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In Bezug auf die in Artikel XI.78 § 3 erwähnten Personen wird der Betrag der Jahresgebühr und der Zuschlagsgebühr um 50 Prozent verringert. Der König legt die Modalitäten des Antrags auf Verringerung des Betrags der in vorliegendem Paragraphen erwähnten Jahresgebühr und Zuschlagsgebühr fest.</w:t>
      </w:r>
    </w:p>
    <w:p w14:paraId="182F9B5D" w14:textId="77777777" w:rsidR="001527B1" w:rsidRPr="004676F5" w:rsidRDefault="001527B1" w:rsidP="001527B1">
      <w:pPr>
        <w:ind w:firstLine="708"/>
        <w:jc w:val="both"/>
        <w:rPr>
          <w:lang w:val="de-DE"/>
        </w:rPr>
      </w:pPr>
    </w:p>
    <w:p w14:paraId="7567F841" w14:textId="77777777" w:rsidR="00CE5A09" w:rsidRPr="004676F5" w:rsidRDefault="00CE5A09" w:rsidP="001527B1">
      <w:pPr>
        <w:ind w:firstLine="708"/>
        <w:jc w:val="both"/>
        <w:rPr>
          <w:lang w:val="de-DE"/>
        </w:rPr>
      </w:pPr>
    </w:p>
    <w:p w14:paraId="30ABBBAB" w14:textId="08AACB35" w:rsidR="001527B1" w:rsidRPr="004676F5" w:rsidRDefault="001527B1" w:rsidP="001527B1">
      <w:pPr>
        <w:jc w:val="center"/>
        <w:rPr>
          <w:lang w:val="de-DE"/>
        </w:rPr>
      </w:pPr>
      <w:r w:rsidRPr="004676F5">
        <w:rPr>
          <w:i/>
          <w:lang w:val="de-DE"/>
        </w:rPr>
        <w:t>Abschnitt 5 </w:t>
      </w:r>
      <w:r w:rsidR="005B7A5C" w:rsidRPr="004676F5">
        <w:rPr>
          <w:i/>
          <w:lang w:val="de-DE"/>
        </w:rPr>
        <w:t>- </w:t>
      </w:r>
      <w:r w:rsidRPr="004676F5">
        <w:rPr>
          <w:lang w:val="de-DE"/>
        </w:rPr>
        <w:t xml:space="preserve">Erfindungspatent und Anmeldung eines Erfindungspatents </w:t>
      </w:r>
      <w:r w:rsidRPr="004676F5">
        <w:rPr>
          <w:lang w:val="de-DE"/>
        </w:rPr>
        <w:br/>
        <w:t>als Gegenstand des Vermögens</w:t>
      </w:r>
    </w:p>
    <w:p w14:paraId="474B51E2" w14:textId="77777777" w:rsidR="001527B1" w:rsidRPr="004676F5" w:rsidRDefault="001527B1" w:rsidP="001527B1">
      <w:pPr>
        <w:jc w:val="both"/>
        <w:rPr>
          <w:lang w:val="de-DE"/>
        </w:rPr>
      </w:pPr>
    </w:p>
    <w:p w14:paraId="2F911EDF" w14:textId="77777777" w:rsidR="00CE5A09" w:rsidRPr="004676F5" w:rsidRDefault="00CE5A09" w:rsidP="001527B1">
      <w:pPr>
        <w:jc w:val="both"/>
        <w:rPr>
          <w:lang w:val="de-DE"/>
        </w:rPr>
      </w:pPr>
    </w:p>
    <w:p w14:paraId="6D5A2DB2" w14:textId="725972C4" w:rsidR="001527B1" w:rsidRPr="004676F5" w:rsidRDefault="00BE0A56" w:rsidP="001527B1">
      <w:pPr>
        <w:ind w:firstLine="708"/>
        <w:jc w:val="both"/>
        <w:rPr>
          <w:lang w:val="de-DE"/>
        </w:rPr>
      </w:pPr>
      <w:r w:rsidRPr="004676F5">
        <w:rPr>
          <w:b/>
          <w:lang w:val="de-DE"/>
        </w:rPr>
        <w:t>Art. </w:t>
      </w:r>
      <w:r w:rsidR="001527B1" w:rsidRPr="004676F5">
        <w:rPr>
          <w:b/>
          <w:lang w:val="de-DE"/>
        </w:rPr>
        <w:t>XI.49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Mangels Vereinbarung wird das Miteigentum an einer Patent</w:t>
      </w:r>
      <w:r w:rsidR="001527B1" w:rsidRPr="004676F5">
        <w:rPr>
          <w:lang w:val="de-DE"/>
        </w:rPr>
        <w:softHyphen/>
        <w:t>anmeldung oder einem Patent durch die Bestimmungen des vorliegenden Artikels geregelt.</w:t>
      </w:r>
    </w:p>
    <w:p w14:paraId="3797F9F4" w14:textId="77777777" w:rsidR="001527B1" w:rsidRPr="004676F5" w:rsidRDefault="001527B1" w:rsidP="001527B1">
      <w:pPr>
        <w:ind w:firstLine="708"/>
        <w:jc w:val="both"/>
        <w:rPr>
          <w:lang w:val="de-DE"/>
        </w:rPr>
      </w:pPr>
    </w:p>
    <w:p w14:paraId="5C5CDBE2" w14:textId="2144C07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Jeder Miteigentümer hat das Recht, die Erfindung persönlich zu verwerten.</w:t>
      </w:r>
    </w:p>
    <w:p w14:paraId="716C498F" w14:textId="77777777" w:rsidR="001527B1" w:rsidRPr="004676F5" w:rsidRDefault="001527B1" w:rsidP="001527B1">
      <w:pPr>
        <w:ind w:firstLine="708"/>
        <w:jc w:val="both"/>
        <w:rPr>
          <w:lang w:val="de-DE"/>
        </w:rPr>
      </w:pPr>
    </w:p>
    <w:p w14:paraId="624EF8B2" w14:textId="77777777" w:rsidR="001527B1" w:rsidRPr="004676F5" w:rsidRDefault="001527B1" w:rsidP="001527B1">
      <w:pPr>
        <w:ind w:firstLine="708"/>
        <w:jc w:val="both"/>
        <w:rPr>
          <w:lang w:val="de-DE"/>
        </w:rPr>
      </w:pPr>
      <w:r w:rsidRPr="004676F5">
        <w:rPr>
          <w:lang w:val="de-DE"/>
        </w:rPr>
        <w:t>Ein Miteigentümer darf nur mit der Zustimmung des anderen Miteigentümers oder in Ermangelung dieser Zustimmung mit der Erlaubnis des Gerichtes die Patentanmeldung oder das Patent mit einem Recht belasten, eine Nutzungslizenz erteilen oder eine Klage wegen Patentverletzung einleiten.</w:t>
      </w:r>
    </w:p>
    <w:p w14:paraId="0AA7A759" w14:textId="77777777" w:rsidR="001527B1" w:rsidRPr="004676F5" w:rsidRDefault="001527B1" w:rsidP="001527B1">
      <w:pPr>
        <w:ind w:firstLine="708"/>
        <w:jc w:val="both"/>
        <w:rPr>
          <w:lang w:val="de-DE"/>
        </w:rPr>
      </w:pPr>
    </w:p>
    <w:p w14:paraId="5CCBBD46" w14:textId="77777777" w:rsidR="001527B1" w:rsidRPr="004676F5" w:rsidRDefault="001527B1" w:rsidP="001527B1">
      <w:pPr>
        <w:ind w:firstLine="708"/>
        <w:jc w:val="both"/>
        <w:rPr>
          <w:lang w:val="de-DE"/>
        </w:rPr>
      </w:pPr>
      <w:r w:rsidRPr="004676F5">
        <w:rPr>
          <w:lang w:val="de-DE"/>
        </w:rPr>
        <w:t>Es wird davon ausgegangen, dass ungeteilte Anteile gleich sind.</w:t>
      </w:r>
    </w:p>
    <w:p w14:paraId="0F290C43" w14:textId="77777777" w:rsidR="001527B1" w:rsidRPr="004676F5" w:rsidRDefault="001527B1" w:rsidP="001527B1">
      <w:pPr>
        <w:ind w:firstLine="708"/>
        <w:jc w:val="both"/>
        <w:rPr>
          <w:lang w:val="de-DE"/>
        </w:rPr>
      </w:pPr>
    </w:p>
    <w:p w14:paraId="34C8140C" w14:textId="77777777" w:rsidR="001527B1" w:rsidRPr="004676F5" w:rsidRDefault="001527B1" w:rsidP="001527B1">
      <w:pPr>
        <w:ind w:firstLine="708"/>
        <w:jc w:val="both"/>
        <w:rPr>
          <w:lang w:val="de-DE"/>
        </w:rPr>
      </w:pPr>
      <w:r w:rsidRPr="004676F5">
        <w:rPr>
          <w:lang w:val="de-DE"/>
        </w:rPr>
        <w:t>Will ein Miteigentümer seinen Anteil übertragen, hat der andere Miteigentümer während dreier Monate ab Notifizierung des Vorhabens ein Vorkaufsrecht.</w:t>
      </w:r>
    </w:p>
    <w:p w14:paraId="7AB5E28D" w14:textId="77777777" w:rsidR="001527B1" w:rsidRPr="004676F5" w:rsidRDefault="001527B1" w:rsidP="001527B1">
      <w:pPr>
        <w:ind w:firstLine="708"/>
        <w:jc w:val="both"/>
        <w:rPr>
          <w:lang w:val="de-DE"/>
        </w:rPr>
      </w:pPr>
    </w:p>
    <w:p w14:paraId="2EC14564" w14:textId="77777777" w:rsidR="001527B1" w:rsidRPr="004676F5" w:rsidRDefault="001527B1" w:rsidP="001527B1">
      <w:pPr>
        <w:ind w:firstLine="708"/>
        <w:jc w:val="both"/>
        <w:rPr>
          <w:lang w:val="de-DE"/>
        </w:rPr>
      </w:pPr>
      <w:r w:rsidRPr="004676F5">
        <w:rPr>
          <w:lang w:val="de-DE"/>
        </w:rPr>
        <w:t>Die zuerst handelnde Partei kann beim Gerichtspräsidenten beantragen, dass er gemäß den Regeln des Eilverfahrens einen Sachverständigen bestimmt, um die Bedingungen der rechtsgeschäftlichen Übertragung festzulegen. Die Schlussfolgerungen des Sachverständigen binden die Parteien, es sei denn, eine der Parteien lässt im Monat nach der Notifizierung dieser Schlussfolgerungen wissen, dass sie auf die Übertragung verzichtet, wobei entstandene Kosten in diesem Fall zu ihren Lasten gehen.</w:t>
      </w:r>
    </w:p>
    <w:p w14:paraId="478FE512" w14:textId="77777777" w:rsidR="001527B1" w:rsidRPr="004676F5" w:rsidRDefault="001527B1" w:rsidP="001527B1">
      <w:pPr>
        <w:ind w:firstLine="708"/>
        <w:jc w:val="both"/>
        <w:rPr>
          <w:lang w:val="de-DE"/>
        </w:rPr>
      </w:pPr>
    </w:p>
    <w:p w14:paraId="7653B1E9" w14:textId="0587752C" w:rsidR="001527B1" w:rsidRPr="004676F5" w:rsidRDefault="001527B1" w:rsidP="001527B1">
      <w:pPr>
        <w:ind w:firstLine="708"/>
        <w:jc w:val="both"/>
        <w:rPr>
          <w:lang w:val="de-DE"/>
        </w:rPr>
      </w:pPr>
      <w:r w:rsidRPr="004676F5">
        <w:rPr>
          <w:lang w:val="de-DE"/>
        </w:rPr>
        <w:t>§ 3 </w:t>
      </w:r>
      <w:r w:rsidR="005B7A5C" w:rsidRPr="004676F5">
        <w:rPr>
          <w:lang w:val="de-DE"/>
        </w:rPr>
        <w:t>- </w:t>
      </w:r>
      <w:r w:rsidR="009F50B6" w:rsidRPr="004676F5">
        <w:rPr>
          <w:lang w:val="de-DE"/>
        </w:rPr>
        <w:t>[Die Bestimmungen von Buch IV Titel I Untertitel 8 Kapitel 1 und 4]</w:t>
      </w:r>
      <w:r w:rsidRPr="004676F5">
        <w:rPr>
          <w:lang w:val="de-DE"/>
        </w:rPr>
        <w:t xml:space="preserve"> des Zivilgesetzbuches sind nicht anwendbar auf das Miteigentum an einer Patentanmeldung oder einem Patent.</w:t>
      </w:r>
    </w:p>
    <w:p w14:paraId="03DD37B3" w14:textId="77777777" w:rsidR="001527B1" w:rsidRPr="004676F5" w:rsidRDefault="001527B1" w:rsidP="001527B1">
      <w:pPr>
        <w:ind w:firstLine="708"/>
        <w:jc w:val="both"/>
        <w:rPr>
          <w:lang w:val="de-DE"/>
        </w:rPr>
      </w:pPr>
    </w:p>
    <w:p w14:paraId="58AE91D6" w14:textId="701BB243"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 xml:space="preserve">Der Miteigentümer einer Patentanmeldung oder eines Patents kann den anderen Miteigentümern seine Entscheidung notifizieren, zu ihren Gunsten auf seinen Anteil zu verzichten. Ab der Eintragung dieses Verzichts in das Register ist dieser Miteigentümer von </w:t>
      </w:r>
      <w:r w:rsidRPr="004676F5">
        <w:rPr>
          <w:lang w:val="de-DE"/>
        </w:rPr>
        <w:lastRenderedPageBreak/>
        <w:t>allen Verpflichtungen gegenüber den anderen Miteigentümern entlastet; außer bei gegenteiliger Vereinbarung teilen diese den abgetretenen Anteil untereinander im Verhältnis zu ihren Rechten im Miteigentum auf.</w:t>
      </w:r>
    </w:p>
    <w:p w14:paraId="13A302CF" w14:textId="77777777" w:rsidR="009F50B6" w:rsidRPr="004676F5" w:rsidRDefault="009F50B6" w:rsidP="001527B1">
      <w:pPr>
        <w:ind w:firstLine="708"/>
        <w:jc w:val="both"/>
        <w:rPr>
          <w:lang w:val="de-DE"/>
        </w:rPr>
      </w:pPr>
    </w:p>
    <w:p w14:paraId="3BCBC61F" w14:textId="44409720" w:rsidR="009F50B6" w:rsidRPr="004676F5" w:rsidRDefault="009F50B6" w:rsidP="009F50B6">
      <w:pPr>
        <w:jc w:val="both"/>
        <w:rPr>
          <w:i/>
          <w:iCs/>
          <w:lang w:val="de-DE"/>
        </w:rPr>
      </w:pPr>
      <w:r w:rsidRPr="004676F5">
        <w:rPr>
          <w:i/>
          <w:iCs/>
          <w:lang w:val="de-DE"/>
        </w:rPr>
        <w:t>[Art. XI.49 § 3 abgeändert durch Art. 40</w:t>
      </w:r>
      <w:r w:rsidRPr="004676F5">
        <w:rPr>
          <w:i/>
          <w:lang w:val="de-DE"/>
        </w:rPr>
        <w:t xml:space="preserve"> des G. vom 19. Januar 2022 (B.S. vom 14. März 2022)]</w:t>
      </w:r>
    </w:p>
    <w:p w14:paraId="3C1DA758" w14:textId="77777777" w:rsidR="001527B1" w:rsidRPr="004676F5" w:rsidRDefault="001527B1" w:rsidP="001527B1">
      <w:pPr>
        <w:ind w:firstLine="708"/>
        <w:jc w:val="both"/>
        <w:rPr>
          <w:lang w:val="de-DE"/>
        </w:rPr>
      </w:pPr>
    </w:p>
    <w:p w14:paraId="58A9A453" w14:textId="77777777" w:rsidR="00CE5A09" w:rsidRPr="004676F5" w:rsidRDefault="00CE5A09" w:rsidP="001527B1">
      <w:pPr>
        <w:ind w:firstLine="708"/>
        <w:jc w:val="both"/>
        <w:rPr>
          <w:lang w:val="de-DE"/>
        </w:rPr>
      </w:pPr>
    </w:p>
    <w:p w14:paraId="7F11D752" w14:textId="03C50D7D" w:rsidR="001527B1" w:rsidRPr="004676F5" w:rsidRDefault="00BE0A56" w:rsidP="001527B1">
      <w:pPr>
        <w:ind w:firstLine="708"/>
        <w:jc w:val="both"/>
        <w:rPr>
          <w:lang w:val="de-DE"/>
        </w:rPr>
      </w:pPr>
      <w:r w:rsidRPr="004676F5">
        <w:rPr>
          <w:b/>
          <w:lang w:val="de-DE"/>
        </w:rPr>
        <w:t>Art. </w:t>
      </w:r>
      <w:r w:rsidR="001527B1" w:rsidRPr="004676F5">
        <w:rPr>
          <w:b/>
          <w:lang w:val="de-DE"/>
        </w:rPr>
        <w:t>XI.50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rechtsgeschäftliche Gesamt</w:t>
      </w:r>
      <w:r w:rsidR="005B7A5C" w:rsidRPr="004676F5">
        <w:rPr>
          <w:lang w:val="de-DE"/>
        </w:rPr>
        <w:t>- </w:t>
      </w:r>
      <w:r w:rsidR="001527B1" w:rsidRPr="004676F5">
        <w:rPr>
          <w:lang w:val="de-DE"/>
        </w:rPr>
        <w:t>oder Teilübertragung einer Patent</w:t>
      </w:r>
      <w:r w:rsidR="001527B1" w:rsidRPr="004676F5">
        <w:rPr>
          <w:lang w:val="de-DE"/>
        </w:rPr>
        <w:softHyphen/>
        <w:t>anmeldung oder eines Patents beziehungsweise ein Gesamt</w:t>
      </w:r>
      <w:r w:rsidR="005B7A5C" w:rsidRPr="004676F5">
        <w:rPr>
          <w:lang w:val="de-DE"/>
        </w:rPr>
        <w:t>- </w:t>
      </w:r>
      <w:r w:rsidR="001527B1" w:rsidRPr="004676F5">
        <w:rPr>
          <w:lang w:val="de-DE"/>
        </w:rPr>
        <w:t>oder Teilwechsel des Eigentums an einer Patentanmeldung oder einem Patent muss dem Amt notifiziert werden.</w:t>
      </w:r>
    </w:p>
    <w:p w14:paraId="6A7E5674" w14:textId="77777777" w:rsidR="001527B1" w:rsidRPr="004676F5" w:rsidRDefault="001527B1" w:rsidP="001527B1">
      <w:pPr>
        <w:ind w:firstLine="708"/>
        <w:jc w:val="both"/>
        <w:rPr>
          <w:lang w:val="de-DE"/>
        </w:rPr>
      </w:pPr>
    </w:p>
    <w:p w14:paraId="0BC78F1D" w14:textId="440CF7D3"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Eine rechtsgeschäftliche Übertragung unter Lebenden einer Patentanmeldung oder eines Patents muss zur Vermeidung der Nichtigkeit schriftlich erfolgen.</w:t>
      </w:r>
    </w:p>
    <w:p w14:paraId="01C9FF64" w14:textId="77777777" w:rsidR="001527B1" w:rsidRPr="004676F5" w:rsidRDefault="001527B1" w:rsidP="001527B1">
      <w:pPr>
        <w:ind w:firstLine="708"/>
        <w:jc w:val="both"/>
        <w:rPr>
          <w:lang w:val="de-DE"/>
        </w:rPr>
      </w:pPr>
    </w:p>
    <w:p w14:paraId="3D57471E" w14:textId="5F15E9A2"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in § 1 erwähnten Notifizierung muss eine Abschrift der Übertragungsurkun</w:t>
      </w:r>
      <w:r w:rsidRPr="004676F5">
        <w:rPr>
          <w:lang w:val="de-DE"/>
        </w:rPr>
        <w:softHyphen/>
        <w:t>de oder des offiziellen Dokuments, aus dem der Wechsel der Rechte hervorgeht, oder ein Auszug aus dieser Urkunde oder diesem Dokument, aus dem die Übertragung in ausreichendem Maße hervorgeht, oder eine von den Parteien unterzeichnete Übertragungsbescheinigung beigefügt werden.</w:t>
      </w:r>
    </w:p>
    <w:p w14:paraId="58500EAF" w14:textId="77777777" w:rsidR="001527B1" w:rsidRPr="004676F5" w:rsidRDefault="001527B1" w:rsidP="001527B1">
      <w:pPr>
        <w:ind w:firstLine="708"/>
        <w:jc w:val="both"/>
        <w:rPr>
          <w:lang w:val="de-DE"/>
        </w:rPr>
      </w:pPr>
    </w:p>
    <w:p w14:paraId="125036AE" w14:textId="77777777" w:rsidR="001527B1" w:rsidRPr="004676F5" w:rsidRDefault="001527B1" w:rsidP="001527B1">
      <w:pPr>
        <w:ind w:firstLine="708"/>
        <w:jc w:val="both"/>
        <w:rPr>
          <w:lang w:val="de-DE"/>
        </w:rPr>
      </w:pPr>
      <w:r w:rsidRPr="004676F5">
        <w:rPr>
          <w:lang w:val="de-DE"/>
        </w:rPr>
        <w:t>Der König bestimmt Inhalt und Modalitäten dieser Notifizierung. Er kann eine Gebühr festlegen, die vor Eintragung der Abschrift, des Auszugs oder der Bescheinigung in das Register zu zahlen ist.</w:t>
      </w:r>
    </w:p>
    <w:p w14:paraId="2A4E624A" w14:textId="77777777" w:rsidR="001527B1" w:rsidRPr="004676F5" w:rsidRDefault="001527B1" w:rsidP="001527B1">
      <w:pPr>
        <w:ind w:firstLine="708"/>
        <w:jc w:val="both"/>
        <w:rPr>
          <w:lang w:val="de-DE"/>
        </w:rPr>
      </w:pPr>
    </w:p>
    <w:p w14:paraId="1C1D89C0" w14:textId="1FAE1152" w:rsidR="001527B1" w:rsidRPr="004676F5" w:rsidRDefault="001527B1" w:rsidP="001527B1">
      <w:pPr>
        <w:ind w:firstLine="708"/>
        <w:jc w:val="both"/>
        <w:rPr>
          <w:lang w:val="de-DE"/>
        </w:rPr>
      </w:pPr>
      <w:r w:rsidRPr="004676F5">
        <w:rPr>
          <w:lang w:val="de-DE"/>
        </w:rPr>
        <w:t>Bei der eventuellen Festlegung der Gebühr und gegebenenfalls bei der Bestimmung deren Höhe berücksichtigt der König zumindest folgende Kriterien:</w:t>
      </w:r>
    </w:p>
    <w:p w14:paraId="343A4E90" w14:textId="77777777" w:rsidR="001527B1" w:rsidRPr="004676F5" w:rsidRDefault="001527B1" w:rsidP="001527B1">
      <w:pPr>
        <w:ind w:firstLine="708"/>
        <w:jc w:val="both"/>
        <w:rPr>
          <w:lang w:val="de-DE"/>
        </w:rPr>
      </w:pPr>
    </w:p>
    <w:p w14:paraId="3BE4AC8D" w14:textId="77777777" w:rsidR="001527B1" w:rsidRPr="004676F5" w:rsidRDefault="001527B1" w:rsidP="001527B1">
      <w:pPr>
        <w:ind w:firstLine="708"/>
        <w:jc w:val="both"/>
        <w:rPr>
          <w:lang w:val="de-DE"/>
        </w:rPr>
      </w:pPr>
      <w:r w:rsidRPr="004676F5">
        <w:rPr>
          <w:lang w:val="de-DE"/>
        </w:rPr>
        <w:t>1. Zugang zum belgischen Patentsystem,</w:t>
      </w:r>
    </w:p>
    <w:p w14:paraId="4EBC6694" w14:textId="77777777" w:rsidR="001527B1" w:rsidRPr="004676F5" w:rsidRDefault="001527B1" w:rsidP="001527B1">
      <w:pPr>
        <w:ind w:firstLine="708"/>
        <w:jc w:val="both"/>
        <w:rPr>
          <w:lang w:val="de-DE"/>
        </w:rPr>
      </w:pPr>
    </w:p>
    <w:p w14:paraId="2CB80EF0" w14:textId="77777777" w:rsidR="001527B1" w:rsidRPr="004676F5" w:rsidRDefault="001527B1" w:rsidP="001527B1">
      <w:pPr>
        <w:ind w:firstLine="708"/>
        <w:jc w:val="both"/>
        <w:rPr>
          <w:lang w:val="de-DE"/>
        </w:rPr>
      </w:pPr>
      <w:r w:rsidRPr="004676F5">
        <w:rPr>
          <w:lang w:val="de-DE"/>
        </w:rPr>
        <w:t>2. Verhältnis zwischen den Verwaltungskosten der in Absatz 2 erwähnten Gebühr für das Amt und den Einnahmen aus dieser Gebühr und</w:t>
      </w:r>
    </w:p>
    <w:p w14:paraId="2C21D87E" w14:textId="77777777" w:rsidR="001527B1" w:rsidRPr="004676F5" w:rsidRDefault="001527B1" w:rsidP="001527B1">
      <w:pPr>
        <w:ind w:firstLine="708"/>
        <w:jc w:val="both"/>
        <w:rPr>
          <w:lang w:val="de-DE"/>
        </w:rPr>
      </w:pPr>
    </w:p>
    <w:p w14:paraId="297B224E" w14:textId="77777777" w:rsidR="001527B1" w:rsidRPr="004676F5" w:rsidRDefault="001527B1" w:rsidP="001527B1">
      <w:pPr>
        <w:ind w:firstLine="708"/>
        <w:jc w:val="both"/>
        <w:rPr>
          <w:lang w:val="de-DE"/>
        </w:rPr>
      </w:pPr>
      <w:r w:rsidRPr="004676F5">
        <w:rPr>
          <w:lang w:val="de-DE"/>
        </w:rPr>
        <w:t>3. Information von Drittpersonen über den Status des Patents oder der Patent</w:t>
      </w:r>
      <w:r w:rsidRPr="004676F5">
        <w:rPr>
          <w:lang w:val="de-DE"/>
        </w:rPr>
        <w:softHyphen/>
        <w:t xml:space="preserve">anmeldung. </w:t>
      </w:r>
    </w:p>
    <w:p w14:paraId="73DFDD94" w14:textId="77777777" w:rsidR="001527B1" w:rsidRPr="004676F5" w:rsidRDefault="001527B1" w:rsidP="001527B1">
      <w:pPr>
        <w:ind w:firstLine="708"/>
        <w:jc w:val="both"/>
        <w:rPr>
          <w:lang w:val="de-DE"/>
        </w:rPr>
      </w:pPr>
    </w:p>
    <w:p w14:paraId="6E446F66" w14:textId="26BF676C"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Notifizierungen werden in chronologischer Reihenfolge ihres Empfangs in das Register eingetragen.</w:t>
      </w:r>
    </w:p>
    <w:p w14:paraId="527286FA" w14:textId="77777777" w:rsidR="001527B1" w:rsidRPr="004676F5" w:rsidRDefault="001527B1" w:rsidP="001527B1">
      <w:pPr>
        <w:ind w:firstLine="708"/>
        <w:jc w:val="both"/>
        <w:rPr>
          <w:lang w:val="de-DE"/>
        </w:rPr>
      </w:pPr>
    </w:p>
    <w:p w14:paraId="0EB10675" w14:textId="568A227D"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Unter Vorbehalt des in Artikel XI.10 vorgesehenen Falles beeinträchtigt die Übertragung nicht die von Drittpersonen vor dem Übertragungsdatum erworbenen Rechte.</w:t>
      </w:r>
    </w:p>
    <w:p w14:paraId="38515D9E" w14:textId="77777777" w:rsidR="001527B1" w:rsidRPr="004676F5" w:rsidRDefault="001527B1" w:rsidP="001527B1">
      <w:pPr>
        <w:ind w:firstLine="708"/>
        <w:jc w:val="both"/>
        <w:rPr>
          <w:lang w:val="de-DE"/>
        </w:rPr>
      </w:pPr>
    </w:p>
    <w:p w14:paraId="24814932" w14:textId="744A18BE"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Die rechtsgeschäftliche Übertragung beziehungsweise der Wechsel ist erst nach Eintragung ihrer Notifizierung in das Register und nur in den Grenzen, die aus der Urkunde oder dem Dokument hervorgehen, die in § 3 erwähnt sind, dem Amt und Dritten gegenüber wirksam. Die rechtsgeschäftliche Übertragung beziehungsweise der Wechsel ist jedoch vor Eintragung der Notifizierung Dritten gegenüber wirksam, die Rechte nach dem Datum der rechtsgeschäftlichen Übertragung beziehungsweise des Wechsels erworben haben, bei Erwerb dieser Rechte jedoch von der Übertragung beziehungsweise dem Wechsel Kenntnis hatten.</w:t>
      </w:r>
    </w:p>
    <w:p w14:paraId="0EE1D1FE" w14:textId="77777777" w:rsidR="001527B1" w:rsidRPr="004676F5" w:rsidRDefault="001527B1" w:rsidP="001527B1">
      <w:pPr>
        <w:ind w:firstLine="708"/>
        <w:jc w:val="both"/>
        <w:rPr>
          <w:lang w:val="de-DE"/>
        </w:rPr>
      </w:pPr>
    </w:p>
    <w:p w14:paraId="0841B40D" w14:textId="77777777" w:rsidR="00CE5A09" w:rsidRPr="004676F5" w:rsidRDefault="00CE5A09" w:rsidP="001527B1">
      <w:pPr>
        <w:ind w:firstLine="708"/>
        <w:jc w:val="both"/>
        <w:rPr>
          <w:lang w:val="de-DE"/>
        </w:rPr>
      </w:pPr>
    </w:p>
    <w:p w14:paraId="5BA501BB" w14:textId="10BEF3B3" w:rsidR="001527B1" w:rsidRPr="004676F5" w:rsidRDefault="00BE0A56" w:rsidP="001527B1">
      <w:pPr>
        <w:ind w:firstLine="708"/>
        <w:jc w:val="both"/>
        <w:rPr>
          <w:lang w:val="de-DE"/>
        </w:rPr>
      </w:pPr>
      <w:r w:rsidRPr="004676F5">
        <w:rPr>
          <w:b/>
          <w:lang w:val="de-DE"/>
        </w:rPr>
        <w:t>Art. </w:t>
      </w:r>
      <w:r w:rsidR="001527B1" w:rsidRPr="004676F5">
        <w:rPr>
          <w:b/>
          <w:lang w:val="de-DE"/>
        </w:rPr>
        <w:t>XI.51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Eine Patentanmeldung oder ein Patent kann ganz oder teilweise Gegenstand von vertraglichen Lizenzen für das ganze oder einen Teil des Königreichs sein. </w:t>
      </w:r>
      <w:r w:rsidR="001527B1" w:rsidRPr="004676F5">
        <w:rPr>
          <w:lang w:val="de-DE"/>
        </w:rPr>
        <w:lastRenderedPageBreak/>
        <w:t>Eine Lizenz kann ausschließlich oder nicht ausschließlich sein. Lizenzen müssen zur Vermeidung der Nichtigkeit schriftlich erfolgen.</w:t>
      </w:r>
    </w:p>
    <w:p w14:paraId="644046D0" w14:textId="77777777" w:rsidR="001527B1" w:rsidRPr="004676F5" w:rsidRDefault="001527B1" w:rsidP="001527B1">
      <w:pPr>
        <w:ind w:firstLine="708"/>
        <w:jc w:val="both"/>
        <w:rPr>
          <w:lang w:val="de-DE"/>
        </w:rPr>
      </w:pPr>
    </w:p>
    <w:p w14:paraId="10E97846" w14:textId="4570FFFB"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Rechte aus einer Patentanmeldung oder einem Patent können gegen einen Lizenznehmer geltend gemacht werden, der eine der aufgrund von § 1 auferlegten Grenzen seiner Lizenz überschreitet.</w:t>
      </w:r>
    </w:p>
    <w:p w14:paraId="67B7DFAE" w14:textId="77777777" w:rsidR="001527B1" w:rsidRPr="004676F5" w:rsidRDefault="001527B1" w:rsidP="001527B1">
      <w:pPr>
        <w:ind w:firstLine="708"/>
        <w:jc w:val="both"/>
        <w:rPr>
          <w:lang w:val="de-DE"/>
        </w:rPr>
      </w:pPr>
    </w:p>
    <w:p w14:paraId="140D16A4" w14:textId="2BC07899"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Artikel XI.50 § 5 ist anwendbar auf die Vergabe einer Lizenz für eine Patentanmeldung oder ein Patent.</w:t>
      </w:r>
    </w:p>
    <w:p w14:paraId="552A51CA" w14:textId="77777777" w:rsidR="001527B1" w:rsidRPr="004676F5" w:rsidRDefault="001527B1" w:rsidP="001527B1">
      <w:pPr>
        <w:ind w:firstLine="708"/>
        <w:jc w:val="both"/>
        <w:rPr>
          <w:lang w:val="de-DE"/>
        </w:rPr>
      </w:pPr>
    </w:p>
    <w:p w14:paraId="5390A5C6" w14:textId="3CF5B69A"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Vergabe einer Lizenz für eine Patentanmeldung oder ein Patent und Ände</w:t>
      </w:r>
      <w:r w:rsidRPr="004676F5">
        <w:rPr>
          <w:lang w:val="de-DE"/>
        </w:rPr>
        <w:softHyphen/>
        <w:t>rungen in der in folgendem Absatz erwähnten Bescheinigung müssen dem Amt notifiziert werden.</w:t>
      </w:r>
    </w:p>
    <w:p w14:paraId="6F346C47" w14:textId="77777777" w:rsidR="001527B1" w:rsidRPr="004676F5" w:rsidRDefault="001527B1" w:rsidP="001527B1">
      <w:pPr>
        <w:ind w:firstLine="708"/>
        <w:jc w:val="both"/>
        <w:rPr>
          <w:lang w:val="de-DE"/>
        </w:rPr>
      </w:pPr>
    </w:p>
    <w:p w14:paraId="492AC758" w14:textId="77777777" w:rsidR="001527B1" w:rsidRPr="004676F5" w:rsidRDefault="001527B1" w:rsidP="001527B1">
      <w:pPr>
        <w:ind w:firstLine="708"/>
        <w:jc w:val="both"/>
        <w:rPr>
          <w:lang w:val="de-DE"/>
        </w:rPr>
      </w:pPr>
      <w:r w:rsidRPr="004676F5">
        <w:rPr>
          <w:lang w:val="de-DE"/>
        </w:rPr>
        <w:t>Diese Notifizierung erfolgt durch Einreichung einer von den Parteien unterzeichneten Bescheinigung. Der König bestimmt Inhalt und Modalitäten dieser Bescheinigung. Er kann eine Gebühr festlegen, die vor Eintragung der Bescheinigung in das Register zu zahlen ist.</w:t>
      </w:r>
    </w:p>
    <w:p w14:paraId="092E5603" w14:textId="77777777" w:rsidR="001527B1" w:rsidRPr="004676F5" w:rsidRDefault="001527B1" w:rsidP="001527B1">
      <w:pPr>
        <w:ind w:firstLine="708"/>
        <w:jc w:val="both"/>
        <w:rPr>
          <w:lang w:val="de-DE"/>
        </w:rPr>
      </w:pPr>
    </w:p>
    <w:p w14:paraId="51A658CD" w14:textId="2B7E3360" w:rsidR="001527B1" w:rsidRPr="004676F5" w:rsidRDefault="001527B1" w:rsidP="001527B1">
      <w:pPr>
        <w:ind w:firstLine="708"/>
        <w:jc w:val="both"/>
        <w:rPr>
          <w:lang w:val="de-DE"/>
        </w:rPr>
      </w:pPr>
      <w:r w:rsidRPr="004676F5">
        <w:rPr>
          <w:lang w:val="de-DE"/>
        </w:rPr>
        <w:t>Bei der eventuellen Festlegung der Gebühr und gegebenenfalls bei der Bestimmung deren Höhe berücksichtigt der König zumindest folgende Kriterien:</w:t>
      </w:r>
    </w:p>
    <w:p w14:paraId="75A994A6" w14:textId="77777777" w:rsidR="001527B1" w:rsidRPr="004676F5" w:rsidRDefault="001527B1" w:rsidP="001527B1">
      <w:pPr>
        <w:ind w:firstLine="708"/>
        <w:jc w:val="both"/>
        <w:rPr>
          <w:lang w:val="de-DE"/>
        </w:rPr>
      </w:pPr>
    </w:p>
    <w:p w14:paraId="05B89EE4" w14:textId="77777777" w:rsidR="001527B1" w:rsidRPr="004676F5" w:rsidRDefault="001527B1" w:rsidP="001527B1">
      <w:pPr>
        <w:ind w:firstLine="708"/>
        <w:jc w:val="both"/>
        <w:rPr>
          <w:lang w:val="de-DE"/>
        </w:rPr>
      </w:pPr>
      <w:r w:rsidRPr="004676F5">
        <w:rPr>
          <w:lang w:val="de-DE"/>
        </w:rPr>
        <w:t>1. Zugang zum belgischen Patentsystem,</w:t>
      </w:r>
    </w:p>
    <w:p w14:paraId="16B44A9A" w14:textId="77777777" w:rsidR="001527B1" w:rsidRPr="004676F5" w:rsidRDefault="001527B1" w:rsidP="001527B1">
      <w:pPr>
        <w:ind w:firstLine="708"/>
        <w:jc w:val="both"/>
        <w:rPr>
          <w:lang w:val="de-DE"/>
        </w:rPr>
      </w:pPr>
    </w:p>
    <w:p w14:paraId="1D9EAB26" w14:textId="77777777" w:rsidR="001527B1" w:rsidRPr="004676F5" w:rsidRDefault="001527B1" w:rsidP="001527B1">
      <w:pPr>
        <w:ind w:firstLine="708"/>
        <w:jc w:val="both"/>
        <w:rPr>
          <w:lang w:val="de-DE"/>
        </w:rPr>
      </w:pPr>
      <w:r w:rsidRPr="004676F5">
        <w:rPr>
          <w:lang w:val="de-DE"/>
        </w:rPr>
        <w:t>2. Verhältnis zwischen den Verwaltungskosten der in Absatz 2 erwähnten Gebühr für das Amt und den Einnahmen aus dieser Gebühr und</w:t>
      </w:r>
    </w:p>
    <w:p w14:paraId="6B1882EE" w14:textId="77777777" w:rsidR="001527B1" w:rsidRPr="004676F5" w:rsidRDefault="001527B1" w:rsidP="001527B1">
      <w:pPr>
        <w:ind w:firstLine="708"/>
        <w:jc w:val="both"/>
        <w:rPr>
          <w:lang w:val="de-DE"/>
        </w:rPr>
      </w:pPr>
    </w:p>
    <w:p w14:paraId="2663D228" w14:textId="77777777" w:rsidR="001527B1" w:rsidRPr="004676F5" w:rsidRDefault="001527B1" w:rsidP="001527B1">
      <w:pPr>
        <w:ind w:firstLine="708"/>
        <w:jc w:val="both"/>
        <w:rPr>
          <w:lang w:val="de-DE"/>
        </w:rPr>
      </w:pPr>
      <w:r w:rsidRPr="004676F5">
        <w:rPr>
          <w:lang w:val="de-DE"/>
        </w:rPr>
        <w:t>3. Information von Drittpersonen über den Status des Patents oder der Patentanmel</w:t>
      </w:r>
      <w:r w:rsidRPr="004676F5">
        <w:rPr>
          <w:lang w:val="de-DE"/>
        </w:rPr>
        <w:softHyphen/>
        <w:t>dung.</w:t>
      </w:r>
    </w:p>
    <w:p w14:paraId="5E821F5F" w14:textId="77777777" w:rsidR="001527B1" w:rsidRPr="004676F5" w:rsidRDefault="001527B1" w:rsidP="001527B1">
      <w:pPr>
        <w:ind w:firstLine="708"/>
        <w:jc w:val="both"/>
        <w:rPr>
          <w:lang w:val="de-DE"/>
        </w:rPr>
      </w:pPr>
    </w:p>
    <w:p w14:paraId="40FA6D5B" w14:textId="5B3FA939"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Die Vergabe einer Lizenz für eine Patentanmeldung oder ein Patent und Änderungen in der in vorhergehendem Paragraphen vorgesehenen Bescheinigung sind erst nach Eintragung der Bescheinigung oder der Änderungsbescheinigung in das Register und nur in den Grenzen, die aus den vorerwähnten Bescheinigungen hervorgehen, dem Amt und Drittpersonen gegenüber wirksam. Artikel XI.50 § 6 zweiter Satz ist anwendbar.</w:t>
      </w:r>
    </w:p>
    <w:p w14:paraId="624220D6" w14:textId="77777777" w:rsidR="001527B1" w:rsidRPr="004676F5" w:rsidRDefault="001527B1" w:rsidP="001527B1">
      <w:pPr>
        <w:ind w:firstLine="708"/>
        <w:jc w:val="both"/>
        <w:rPr>
          <w:lang w:val="de-DE"/>
        </w:rPr>
      </w:pPr>
    </w:p>
    <w:p w14:paraId="1DF29759" w14:textId="5E0C28AA"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Die Übertragung einer Lizenz für eine Patentanmeldung oder ein Patent muss zur Vermeidung der Nichtigkeit schriftlich erfolgen. Sie muss dem Amt notifiziert werden.</w:t>
      </w:r>
    </w:p>
    <w:p w14:paraId="7EA4F07E" w14:textId="77777777" w:rsidR="001527B1" w:rsidRPr="004676F5" w:rsidRDefault="001527B1" w:rsidP="001527B1">
      <w:pPr>
        <w:ind w:firstLine="708"/>
        <w:jc w:val="both"/>
        <w:rPr>
          <w:lang w:val="de-DE"/>
        </w:rPr>
      </w:pPr>
    </w:p>
    <w:p w14:paraId="18AB16B3" w14:textId="77777777" w:rsidR="001527B1" w:rsidRPr="004676F5" w:rsidRDefault="001527B1" w:rsidP="001527B1">
      <w:pPr>
        <w:ind w:firstLine="708"/>
        <w:jc w:val="both"/>
        <w:rPr>
          <w:lang w:val="de-DE"/>
        </w:rPr>
      </w:pPr>
      <w:r w:rsidRPr="004676F5">
        <w:rPr>
          <w:lang w:val="de-DE"/>
        </w:rPr>
        <w:t>Artikel XI.50 §§ 3 bis 6 ist entsprechend anwendbar auf die Lizenzübertragung.</w:t>
      </w:r>
    </w:p>
    <w:p w14:paraId="76928D7E" w14:textId="77777777" w:rsidR="001527B1" w:rsidRPr="004676F5" w:rsidRDefault="001527B1" w:rsidP="001527B1">
      <w:pPr>
        <w:ind w:firstLine="708"/>
        <w:jc w:val="both"/>
        <w:rPr>
          <w:lang w:val="de-DE"/>
        </w:rPr>
      </w:pPr>
    </w:p>
    <w:p w14:paraId="6F4B0B03" w14:textId="77777777" w:rsidR="00CE5A09" w:rsidRPr="004676F5" w:rsidRDefault="00CE5A09" w:rsidP="001527B1">
      <w:pPr>
        <w:ind w:firstLine="708"/>
        <w:jc w:val="both"/>
        <w:rPr>
          <w:lang w:val="de-DE"/>
        </w:rPr>
      </w:pPr>
    </w:p>
    <w:p w14:paraId="2CF27631" w14:textId="56EAF20C" w:rsidR="001527B1" w:rsidRPr="004676F5" w:rsidRDefault="00BE0A56" w:rsidP="001527B1">
      <w:pPr>
        <w:ind w:firstLine="708"/>
        <w:jc w:val="both"/>
        <w:rPr>
          <w:lang w:val="de-DE"/>
        </w:rPr>
      </w:pPr>
      <w:r w:rsidRPr="004676F5">
        <w:rPr>
          <w:b/>
          <w:lang w:val="de-DE"/>
        </w:rPr>
        <w:t>Art. </w:t>
      </w:r>
      <w:r w:rsidR="001527B1" w:rsidRPr="004676F5">
        <w:rPr>
          <w:b/>
          <w:lang w:val="de-DE"/>
        </w:rPr>
        <w:t>XI.52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Nießbrauch beziehungsweise die Verpfändung einer Patent</w:t>
      </w:r>
      <w:r w:rsidR="001527B1" w:rsidRPr="004676F5">
        <w:rPr>
          <w:lang w:val="de-DE"/>
        </w:rPr>
        <w:softHyphen/>
        <w:t>anmel</w:t>
      </w:r>
      <w:r w:rsidR="001527B1" w:rsidRPr="004676F5">
        <w:rPr>
          <w:lang w:val="de-DE"/>
        </w:rPr>
        <w:softHyphen/>
        <w:t>dung oder eines Patents müssen dem Amt notifiziert werden.</w:t>
      </w:r>
    </w:p>
    <w:p w14:paraId="6CACF244" w14:textId="77777777" w:rsidR="001527B1" w:rsidRPr="004676F5" w:rsidRDefault="001527B1" w:rsidP="001527B1">
      <w:pPr>
        <w:ind w:firstLine="708"/>
        <w:jc w:val="both"/>
        <w:rPr>
          <w:lang w:val="de-DE"/>
        </w:rPr>
      </w:pPr>
    </w:p>
    <w:p w14:paraId="41D70AF2" w14:textId="60B35D97"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Artikel XI.50 §§ 3 bis 6 ist entsprechend anwendbar auf die in vorhergehendem Absatz erwähnten dinglichen Rechte.</w:t>
      </w:r>
    </w:p>
    <w:p w14:paraId="71CBC3A6" w14:textId="77777777" w:rsidR="001527B1" w:rsidRPr="004676F5" w:rsidRDefault="001527B1" w:rsidP="001527B1">
      <w:pPr>
        <w:ind w:firstLine="708"/>
        <w:jc w:val="both"/>
        <w:rPr>
          <w:lang w:val="de-DE"/>
        </w:rPr>
      </w:pPr>
    </w:p>
    <w:p w14:paraId="311D9A10" w14:textId="77777777" w:rsidR="00CE5A09" w:rsidRPr="004676F5" w:rsidRDefault="00CE5A09" w:rsidP="001527B1">
      <w:pPr>
        <w:ind w:firstLine="708"/>
        <w:jc w:val="both"/>
        <w:rPr>
          <w:lang w:val="de-DE"/>
        </w:rPr>
      </w:pPr>
    </w:p>
    <w:p w14:paraId="57AC1ADF" w14:textId="781F4443" w:rsidR="001527B1" w:rsidRPr="004676F5" w:rsidRDefault="00BE0A56" w:rsidP="001527B1">
      <w:pPr>
        <w:ind w:firstLine="708"/>
        <w:jc w:val="both"/>
        <w:rPr>
          <w:lang w:val="de-DE"/>
        </w:rPr>
      </w:pPr>
      <w:r w:rsidRPr="004676F5">
        <w:rPr>
          <w:b/>
          <w:lang w:val="de-DE"/>
        </w:rPr>
        <w:t>Art. </w:t>
      </w:r>
      <w:r w:rsidR="001527B1" w:rsidRPr="004676F5">
        <w:rPr>
          <w:b/>
          <w:lang w:val="de-DE"/>
        </w:rPr>
        <w:t>XI.53</w:t>
      </w:r>
      <w:r w:rsidR="001527B1" w:rsidRPr="004676F5">
        <w:rPr>
          <w:lang w:val="de-DE"/>
        </w:rPr>
        <w:t> </w:t>
      </w:r>
      <w:r w:rsidR="005B7A5C" w:rsidRPr="004676F5">
        <w:rPr>
          <w:lang w:val="de-DE"/>
        </w:rPr>
        <w:t>- </w:t>
      </w:r>
      <w:r w:rsidR="001527B1" w:rsidRPr="004676F5">
        <w:rPr>
          <w:lang w:val="de-DE"/>
        </w:rPr>
        <w:t>Pfändung einer Patentanmeldung oder eines Patents erfolgt gemäß dem für Mobiliarpfändung vorgesehenen Verfahren.</w:t>
      </w:r>
    </w:p>
    <w:p w14:paraId="008FCCA9" w14:textId="77777777" w:rsidR="001527B1" w:rsidRPr="004676F5" w:rsidRDefault="001527B1" w:rsidP="001527B1">
      <w:pPr>
        <w:ind w:firstLine="708"/>
        <w:jc w:val="both"/>
        <w:rPr>
          <w:lang w:val="de-DE"/>
        </w:rPr>
      </w:pPr>
    </w:p>
    <w:p w14:paraId="27AB153C" w14:textId="77777777" w:rsidR="001527B1" w:rsidRPr="004676F5" w:rsidRDefault="001527B1" w:rsidP="001527B1">
      <w:pPr>
        <w:ind w:firstLine="708"/>
        <w:jc w:val="both"/>
        <w:rPr>
          <w:lang w:val="de-DE"/>
        </w:rPr>
      </w:pPr>
      <w:r w:rsidRPr="004676F5">
        <w:rPr>
          <w:lang w:val="de-DE"/>
        </w:rPr>
        <w:t>Eine Abschrift der Pfändungsurkunde muss dem Amt vom pfändenden Gläubiger notifiziert werden; die Pfändung wird in das Register eingetragen.</w:t>
      </w:r>
    </w:p>
    <w:p w14:paraId="695A6E38" w14:textId="77777777" w:rsidR="001527B1" w:rsidRPr="004676F5" w:rsidRDefault="001527B1" w:rsidP="001527B1">
      <w:pPr>
        <w:ind w:firstLine="708"/>
        <w:jc w:val="both"/>
        <w:rPr>
          <w:lang w:val="de-DE"/>
        </w:rPr>
      </w:pPr>
    </w:p>
    <w:p w14:paraId="4D43545D" w14:textId="77777777" w:rsidR="001527B1" w:rsidRPr="004676F5" w:rsidRDefault="001527B1" w:rsidP="001527B1">
      <w:pPr>
        <w:ind w:firstLine="708"/>
        <w:jc w:val="both"/>
        <w:rPr>
          <w:lang w:val="de-DE"/>
        </w:rPr>
      </w:pPr>
      <w:r w:rsidRPr="004676F5">
        <w:rPr>
          <w:lang w:val="de-DE"/>
        </w:rPr>
        <w:t>Die Pfändung führt dazu, dass spätere Änderungen, die vom Inhaber an den Rechten aus einer Patentanmeldung oder einem Patent vorgenommen werden, dem Pfändenden gegenüber nicht wirksam gemacht werden können.</w:t>
      </w:r>
    </w:p>
    <w:p w14:paraId="2B08593D" w14:textId="77777777" w:rsidR="001527B1" w:rsidRPr="004676F5" w:rsidRDefault="001527B1" w:rsidP="001527B1">
      <w:pPr>
        <w:ind w:firstLine="708"/>
        <w:jc w:val="both"/>
        <w:rPr>
          <w:lang w:val="de-DE"/>
        </w:rPr>
      </w:pPr>
    </w:p>
    <w:p w14:paraId="7A5450C0" w14:textId="77777777" w:rsidR="00CE5A09" w:rsidRPr="004676F5" w:rsidRDefault="00CE5A09" w:rsidP="001527B1">
      <w:pPr>
        <w:ind w:firstLine="708"/>
        <w:jc w:val="both"/>
        <w:rPr>
          <w:lang w:val="de-DE"/>
        </w:rPr>
      </w:pPr>
    </w:p>
    <w:p w14:paraId="24104F28" w14:textId="7EA2F8EA" w:rsidR="001527B1" w:rsidRPr="004676F5" w:rsidRDefault="00BE0A56" w:rsidP="001527B1">
      <w:pPr>
        <w:ind w:firstLine="708"/>
        <w:jc w:val="both"/>
        <w:rPr>
          <w:lang w:val="de-DE"/>
        </w:rPr>
      </w:pPr>
      <w:r w:rsidRPr="004676F5">
        <w:rPr>
          <w:b/>
          <w:lang w:val="de-DE"/>
        </w:rPr>
        <w:t>Art. </w:t>
      </w:r>
      <w:r w:rsidR="001527B1" w:rsidRPr="004676F5">
        <w:rPr>
          <w:b/>
          <w:lang w:val="de-DE"/>
        </w:rPr>
        <w:t>XI.54</w:t>
      </w:r>
      <w:r w:rsidR="001527B1" w:rsidRPr="004676F5">
        <w:rPr>
          <w:lang w:val="de-DE"/>
        </w:rPr>
        <w:t> </w:t>
      </w:r>
      <w:r w:rsidR="005B7A5C" w:rsidRPr="004676F5">
        <w:rPr>
          <w:lang w:val="de-DE"/>
        </w:rPr>
        <w:t>- </w:t>
      </w:r>
      <w:r w:rsidR="001527B1" w:rsidRPr="004676F5">
        <w:rPr>
          <w:lang w:val="de-DE"/>
        </w:rPr>
        <w:t>Von Drittpersonen erworbene Rechte an einer Patentanmeldung bleiben dem Patent gegenüber wirksam, das infolge dieser Anmeldung erteilt wird.</w:t>
      </w:r>
    </w:p>
    <w:p w14:paraId="0A168685" w14:textId="77777777" w:rsidR="009F50B6" w:rsidRPr="004676F5" w:rsidRDefault="009F50B6" w:rsidP="001527B1">
      <w:pPr>
        <w:ind w:firstLine="708"/>
        <w:jc w:val="both"/>
        <w:rPr>
          <w:lang w:val="de-DE"/>
        </w:rPr>
      </w:pPr>
    </w:p>
    <w:p w14:paraId="56E49542" w14:textId="77777777" w:rsidR="009F50B6" w:rsidRPr="004676F5" w:rsidRDefault="009F50B6" w:rsidP="001527B1">
      <w:pPr>
        <w:ind w:firstLine="708"/>
        <w:jc w:val="both"/>
        <w:rPr>
          <w:lang w:val="de-DE"/>
        </w:rPr>
      </w:pPr>
    </w:p>
    <w:p w14:paraId="05B7D4A2" w14:textId="63604255" w:rsidR="001527B1" w:rsidRPr="004676F5" w:rsidRDefault="001527B1" w:rsidP="001527B1">
      <w:pPr>
        <w:ind w:firstLine="708"/>
        <w:jc w:val="center"/>
        <w:rPr>
          <w:lang w:val="de-DE"/>
        </w:rPr>
      </w:pPr>
      <w:r w:rsidRPr="004676F5">
        <w:rPr>
          <w:i/>
          <w:lang w:val="de-DE"/>
        </w:rPr>
        <w:t>Abschnitt 6 </w:t>
      </w:r>
      <w:r w:rsidR="005B7A5C" w:rsidRPr="004676F5">
        <w:rPr>
          <w:i/>
          <w:lang w:val="de-DE"/>
        </w:rPr>
        <w:t>- </w:t>
      </w:r>
      <w:r w:rsidRPr="004676F5">
        <w:rPr>
          <w:lang w:val="de-DE"/>
        </w:rPr>
        <w:t>Nichtigkeit, Verzicht und Widerruf des Erfindungspatents</w:t>
      </w:r>
    </w:p>
    <w:p w14:paraId="7864F4CF" w14:textId="77777777" w:rsidR="001527B1" w:rsidRPr="004676F5" w:rsidRDefault="001527B1" w:rsidP="001527B1">
      <w:pPr>
        <w:ind w:firstLine="708"/>
        <w:jc w:val="both"/>
        <w:rPr>
          <w:lang w:val="de-DE"/>
        </w:rPr>
      </w:pPr>
    </w:p>
    <w:p w14:paraId="54109E9C" w14:textId="77777777" w:rsidR="00CE5A09" w:rsidRPr="004676F5" w:rsidRDefault="00CE5A09" w:rsidP="001527B1">
      <w:pPr>
        <w:ind w:firstLine="708"/>
        <w:jc w:val="both"/>
        <w:rPr>
          <w:lang w:val="de-DE"/>
        </w:rPr>
      </w:pPr>
    </w:p>
    <w:p w14:paraId="1CA1B8CA" w14:textId="07B6215F" w:rsidR="001527B1" w:rsidRPr="004676F5" w:rsidRDefault="00BE0A56" w:rsidP="001527B1">
      <w:pPr>
        <w:ind w:firstLine="708"/>
        <w:jc w:val="both"/>
        <w:rPr>
          <w:lang w:val="de-DE"/>
        </w:rPr>
      </w:pPr>
      <w:r w:rsidRPr="004676F5">
        <w:rPr>
          <w:b/>
          <w:lang w:val="de-DE"/>
        </w:rPr>
        <w:t>Art. </w:t>
      </w:r>
      <w:r w:rsidR="001527B1" w:rsidRPr="004676F5">
        <w:rPr>
          <w:b/>
          <w:lang w:val="de-DE"/>
        </w:rPr>
        <w:t>XI.55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Ein Patentinhaber kann jederzeit ganz oder teilweise auf das Patent verzichten </w:t>
      </w:r>
      <w:r w:rsidR="00E875CD" w:rsidRPr="004676F5">
        <w:rPr>
          <w:lang w:val="de-DE"/>
        </w:rPr>
        <w:t>[durch einen schriftlichen und unterzeichneten Antrag, der]</w:t>
      </w:r>
      <w:r w:rsidR="001527B1" w:rsidRPr="004676F5">
        <w:rPr>
          <w:lang w:val="de-DE"/>
        </w:rPr>
        <w:t xml:space="preserve"> an den Minister zu richten ist. </w:t>
      </w:r>
      <w:r w:rsidR="00E875CD" w:rsidRPr="004676F5">
        <w:rPr>
          <w:lang w:val="de-DE"/>
        </w:rPr>
        <w:t>[Der Verzichtsantrag]</w:t>
      </w:r>
      <w:r w:rsidR="001527B1" w:rsidRPr="004676F5">
        <w:rPr>
          <w:lang w:val="de-DE"/>
        </w:rPr>
        <w:t xml:space="preserve"> wird in das Register eingetragen.</w:t>
      </w:r>
    </w:p>
    <w:p w14:paraId="033AE95D" w14:textId="77777777" w:rsidR="001527B1" w:rsidRPr="004676F5" w:rsidRDefault="001527B1" w:rsidP="001527B1">
      <w:pPr>
        <w:ind w:firstLine="708"/>
        <w:jc w:val="both"/>
        <w:rPr>
          <w:lang w:val="de-DE"/>
        </w:rPr>
      </w:pPr>
    </w:p>
    <w:p w14:paraId="06174F4F" w14:textId="77777777" w:rsidR="001527B1" w:rsidRPr="004676F5" w:rsidRDefault="001527B1" w:rsidP="001527B1">
      <w:pPr>
        <w:ind w:firstLine="708"/>
        <w:jc w:val="both"/>
        <w:rPr>
          <w:lang w:val="de-DE"/>
        </w:rPr>
      </w:pPr>
      <w:r w:rsidRPr="004676F5">
        <w:rPr>
          <w:lang w:val="de-DE"/>
        </w:rPr>
        <w:t>Das Patent darf durch einen Verzicht nicht in der Weise geändert werden, dass sein Gegenstand über den Inhalt der Anmeldung in der ursprünglich eingereichten Fassung hinausgeht.</w:t>
      </w:r>
    </w:p>
    <w:p w14:paraId="474A37DB" w14:textId="77777777" w:rsidR="001527B1" w:rsidRPr="004676F5" w:rsidRDefault="001527B1" w:rsidP="001527B1">
      <w:pPr>
        <w:ind w:firstLine="708"/>
        <w:jc w:val="both"/>
        <w:rPr>
          <w:lang w:val="de-DE"/>
        </w:rPr>
      </w:pPr>
    </w:p>
    <w:p w14:paraId="054DB933" w14:textId="77777777" w:rsidR="001527B1" w:rsidRPr="004676F5" w:rsidRDefault="001527B1" w:rsidP="001527B1">
      <w:pPr>
        <w:ind w:firstLine="708"/>
        <w:jc w:val="both"/>
        <w:rPr>
          <w:lang w:val="de-DE"/>
        </w:rPr>
      </w:pPr>
      <w:r w:rsidRPr="004676F5">
        <w:rPr>
          <w:lang w:val="de-DE"/>
        </w:rPr>
        <w:t>Das Patent darf durch einen Verzicht nicht in der Weise geändert werden, dass sein Schutzbereich in Anwendung der letzten geltenden Fassung des Patents erweitert wird.</w:t>
      </w:r>
    </w:p>
    <w:p w14:paraId="11C68C42" w14:textId="77777777" w:rsidR="001527B1" w:rsidRPr="004676F5" w:rsidRDefault="001527B1" w:rsidP="001527B1">
      <w:pPr>
        <w:ind w:firstLine="708"/>
        <w:jc w:val="both"/>
        <w:rPr>
          <w:lang w:val="de-DE"/>
        </w:rPr>
      </w:pPr>
    </w:p>
    <w:p w14:paraId="08FF7255" w14:textId="19BDD5F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 xml:space="preserve">Der Gesamtverzicht führt zur Aufhebung des Patents am Datum der Eintragung </w:t>
      </w:r>
      <w:r w:rsidR="00E875CD" w:rsidRPr="004676F5">
        <w:rPr>
          <w:lang w:val="de-DE"/>
        </w:rPr>
        <w:t>[des Antrags]</w:t>
      </w:r>
      <w:r w:rsidRPr="004676F5">
        <w:rPr>
          <w:lang w:val="de-DE"/>
        </w:rPr>
        <w:t xml:space="preserve"> in das Register. Wurde an diesem Tag die Jahresgebühr jedoch noch nicht entrichtet, so wird die Aufhebung des Patents nach Ablauf des Zeitraums wirksam, für den die letzte Jahresgebühr entrichtet worden ist.</w:t>
      </w:r>
    </w:p>
    <w:p w14:paraId="4AD1DCC1" w14:textId="77777777" w:rsidR="001527B1" w:rsidRPr="004676F5" w:rsidRDefault="001527B1" w:rsidP="001527B1">
      <w:pPr>
        <w:ind w:firstLine="708"/>
        <w:jc w:val="both"/>
        <w:rPr>
          <w:lang w:val="de-DE"/>
        </w:rPr>
      </w:pPr>
    </w:p>
    <w:p w14:paraId="700EA297" w14:textId="1F37B901"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 xml:space="preserve">Der Verzicht kann auf einen oder mehrere Patentansprüche oder auf einen Teil eines oder mehrerer Patentansprüche beschränkt werden. Der Teilverzicht führt zur Aufhebung der Rechte, die mit dem beziehungsweise den Patentansprüchen oder mit den Teilen dieser Patentansprüche verbunden sind, auf die verzichtet wird, ab dem Tag der Eintragung </w:t>
      </w:r>
      <w:r w:rsidR="00E875CD" w:rsidRPr="004676F5">
        <w:rPr>
          <w:lang w:val="de-DE"/>
        </w:rPr>
        <w:t xml:space="preserve">[des Antrags] </w:t>
      </w:r>
      <w:r w:rsidRPr="004676F5">
        <w:rPr>
          <w:lang w:val="de-DE"/>
        </w:rPr>
        <w:t>in das Register.</w:t>
      </w:r>
    </w:p>
    <w:p w14:paraId="7C8069D2" w14:textId="77777777" w:rsidR="001527B1" w:rsidRPr="004676F5" w:rsidRDefault="001527B1" w:rsidP="001527B1">
      <w:pPr>
        <w:ind w:firstLine="708"/>
        <w:jc w:val="both"/>
        <w:rPr>
          <w:lang w:val="de-DE"/>
        </w:rPr>
      </w:pPr>
    </w:p>
    <w:p w14:paraId="65689DF0" w14:textId="078DBB50" w:rsidR="001527B1" w:rsidRPr="004676F5" w:rsidRDefault="001527B1" w:rsidP="001527B1">
      <w:pPr>
        <w:ind w:firstLine="708"/>
        <w:jc w:val="both"/>
        <w:rPr>
          <w:lang w:val="de-DE"/>
        </w:rPr>
      </w:pPr>
      <w:r w:rsidRPr="004676F5">
        <w:rPr>
          <w:lang w:val="de-DE"/>
        </w:rPr>
        <w:t>§ 4 </w:t>
      </w:r>
      <w:r w:rsidR="005B7A5C" w:rsidRPr="004676F5">
        <w:rPr>
          <w:lang w:val="de-DE"/>
        </w:rPr>
        <w:t>- </w:t>
      </w:r>
      <w:r w:rsidR="00E875CD" w:rsidRPr="004676F5">
        <w:rPr>
          <w:lang w:val="de-DE"/>
        </w:rPr>
        <w:t>[Dem Antrag auf Verzicht]</w:t>
      </w:r>
      <w:r w:rsidRPr="004676F5">
        <w:rPr>
          <w:lang w:val="de-DE"/>
        </w:rPr>
        <w:t xml:space="preserve"> auf das Patent müssen beigefügt werden:</w:t>
      </w:r>
    </w:p>
    <w:p w14:paraId="797FFBBE" w14:textId="77777777" w:rsidR="001527B1" w:rsidRPr="004676F5" w:rsidRDefault="001527B1" w:rsidP="001527B1">
      <w:pPr>
        <w:ind w:firstLine="708"/>
        <w:jc w:val="both"/>
        <w:rPr>
          <w:lang w:val="de-DE"/>
        </w:rPr>
      </w:pPr>
    </w:p>
    <w:p w14:paraId="3DE99605" w14:textId="77777777" w:rsidR="001527B1" w:rsidRPr="004676F5" w:rsidRDefault="001527B1" w:rsidP="001527B1">
      <w:pPr>
        <w:ind w:firstLine="708"/>
        <w:jc w:val="both"/>
        <w:rPr>
          <w:lang w:val="de-DE"/>
        </w:rPr>
      </w:pPr>
      <w:r w:rsidRPr="004676F5">
        <w:rPr>
          <w:lang w:val="de-DE"/>
        </w:rPr>
        <w:t>1. der beziehungsweise die Patentansprüche oder der Teil dieser Patentansprüche, auf die der Patentinhaber verzichten möchte,</w:t>
      </w:r>
    </w:p>
    <w:p w14:paraId="452D0A2B" w14:textId="77777777" w:rsidR="001527B1" w:rsidRPr="004676F5" w:rsidRDefault="001527B1" w:rsidP="001527B1">
      <w:pPr>
        <w:ind w:firstLine="708"/>
        <w:jc w:val="both"/>
        <w:rPr>
          <w:lang w:val="de-DE"/>
        </w:rPr>
      </w:pPr>
    </w:p>
    <w:p w14:paraId="6BEBF0FB" w14:textId="77777777" w:rsidR="001527B1" w:rsidRPr="004676F5" w:rsidRDefault="001527B1" w:rsidP="001527B1">
      <w:pPr>
        <w:ind w:firstLine="708"/>
        <w:jc w:val="both"/>
        <w:rPr>
          <w:lang w:val="de-DE"/>
        </w:rPr>
      </w:pPr>
      <w:r w:rsidRPr="004676F5">
        <w:rPr>
          <w:lang w:val="de-DE"/>
        </w:rPr>
        <w:t>2. gegebenenfalls eine vollständige Fassung des beziehungsweise der geänderten Patentansprüche, die der Patentinhaber aufrechterhalten möchte, und gegebenenfalls die Beschreibung und Zeichnungen in der geänderten Fassung.</w:t>
      </w:r>
    </w:p>
    <w:p w14:paraId="5588B376" w14:textId="77777777" w:rsidR="001527B1" w:rsidRPr="004676F5" w:rsidRDefault="001527B1" w:rsidP="001527B1">
      <w:pPr>
        <w:ind w:firstLine="708"/>
        <w:jc w:val="both"/>
        <w:rPr>
          <w:lang w:val="de-DE"/>
        </w:rPr>
      </w:pPr>
    </w:p>
    <w:p w14:paraId="78598D75" w14:textId="282F511D" w:rsidR="001527B1" w:rsidRPr="004676F5" w:rsidRDefault="00E875CD" w:rsidP="001527B1">
      <w:pPr>
        <w:ind w:firstLine="708"/>
        <w:jc w:val="both"/>
        <w:rPr>
          <w:lang w:val="de-DE"/>
        </w:rPr>
      </w:pPr>
      <w:r w:rsidRPr="004676F5">
        <w:rPr>
          <w:lang w:val="de-DE"/>
        </w:rPr>
        <w:t>[</w:t>
      </w:r>
      <w:r w:rsidR="001527B1" w:rsidRPr="004676F5">
        <w:rPr>
          <w:lang w:val="de-DE"/>
        </w:rPr>
        <w:t>Ein Verzichts</w:t>
      </w:r>
      <w:r w:rsidRPr="004676F5">
        <w:rPr>
          <w:lang w:val="de-DE"/>
        </w:rPr>
        <w:t>antrag]</w:t>
      </w:r>
      <w:r w:rsidR="001527B1" w:rsidRPr="004676F5">
        <w:rPr>
          <w:lang w:val="de-DE"/>
        </w:rPr>
        <w:t xml:space="preserve"> kann sich nur auf ein einziges Patent beziehen.</w:t>
      </w:r>
    </w:p>
    <w:p w14:paraId="1E94A84F" w14:textId="77777777" w:rsidR="001527B1" w:rsidRPr="004676F5" w:rsidRDefault="001527B1" w:rsidP="001527B1">
      <w:pPr>
        <w:ind w:firstLine="708"/>
        <w:jc w:val="both"/>
        <w:rPr>
          <w:lang w:val="de-DE"/>
        </w:rPr>
      </w:pPr>
    </w:p>
    <w:p w14:paraId="48099A44" w14:textId="2FC449AA"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Bei Miteigentum muss der Gesamt</w:t>
      </w:r>
      <w:r w:rsidR="005B7A5C" w:rsidRPr="004676F5">
        <w:rPr>
          <w:lang w:val="de-DE"/>
        </w:rPr>
        <w:t>- </w:t>
      </w:r>
      <w:r w:rsidRPr="004676F5">
        <w:rPr>
          <w:lang w:val="de-DE"/>
        </w:rPr>
        <w:t>oder Teilverzicht von allen Miteigentümern vorgenommen werden.</w:t>
      </w:r>
    </w:p>
    <w:p w14:paraId="33700C0E" w14:textId="77777777" w:rsidR="001527B1" w:rsidRPr="004676F5" w:rsidRDefault="001527B1" w:rsidP="001527B1">
      <w:pPr>
        <w:ind w:firstLine="708"/>
        <w:jc w:val="both"/>
        <w:rPr>
          <w:lang w:val="de-DE"/>
        </w:rPr>
      </w:pPr>
    </w:p>
    <w:p w14:paraId="6C8B3765" w14:textId="2BCE79B9"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Sind Nießbrauch-, Pfand</w:t>
      </w:r>
      <w:r w:rsidR="005B7A5C" w:rsidRPr="004676F5">
        <w:rPr>
          <w:lang w:val="de-DE"/>
        </w:rPr>
        <w:t>- </w:t>
      </w:r>
      <w:r w:rsidRPr="004676F5">
        <w:rPr>
          <w:lang w:val="de-DE"/>
        </w:rPr>
        <w:t>oder Lizenzrechte im Register eingetragen, kann auf das Patent nur mit Zustimmung der Inhaber dieser Rechte ganz oder teilweise verzichtet werden.</w:t>
      </w:r>
    </w:p>
    <w:p w14:paraId="33D91461" w14:textId="77777777" w:rsidR="001527B1" w:rsidRPr="004676F5" w:rsidRDefault="001527B1" w:rsidP="001527B1">
      <w:pPr>
        <w:ind w:firstLine="708"/>
        <w:jc w:val="both"/>
        <w:rPr>
          <w:lang w:val="de-DE"/>
        </w:rPr>
      </w:pPr>
    </w:p>
    <w:p w14:paraId="29EF9C4A" w14:textId="191E90E6" w:rsidR="001527B1" w:rsidRPr="004676F5" w:rsidRDefault="001527B1" w:rsidP="001527B1">
      <w:pPr>
        <w:ind w:firstLine="708"/>
        <w:jc w:val="both"/>
        <w:rPr>
          <w:lang w:val="de-DE"/>
        </w:rPr>
      </w:pPr>
      <w:r w:rsidRPr="004676F5">
        <w:rPr>
          <w:lang w:val="de-DE"/>
        </w:rPr>
        <w:lastRenderedPageBreak/>
        <w:t>§ 7 </w:t>
      </w:r>
      <w:r w:rsidR="005B7A5C" w:rsidRPr="004676F5">
        <w:rPr>
          <w:lang w:val="de-DE"/>
        </w:rPr>
        <w:t>- </w:t>
      </w:r>
      <w:r w:rsidRPr="004676F5">
        <w:rPr>
          <w:lang w:val="de-DE"/>
        </w:rPr>
        <w:t>Auf ein Patent, das Gegenstand eines Eigentumsanspruchs ist, auf ein beschlag</w:t>
      </w:r>
      <w:r w:rsidRPr="004676F5">
        <w:rPr>
          <w:lang w:val="de-DE"/>
        </w:rPr>
        <w:softHyphen/>
        <w:t>nahmtes Patent oder auf ein Patent, das Gegenstand einer Zwangslizenz ist, kann weder ganz noch teilweise verzichtet werden.</w:t>
      </w:r>
    </w:p>
    <w:p w14:paraId="684B8E8F" w14:textId="77777777" w:rsidR="001527B1" w:rsidRPr="004676F5" w:rsidRDefault="001527B1" w:rsidP="001527B1">
      <w:pPr>
        <w:ind w:firstLine="708"/>
        <w:jc w:val="both"/>
        <w:rPr>
          <w:lang w:val="de-DE"/>
        </w:rPr>
      </w:pPr>
    </w:p>
    <w:p w14:paraId="35A8EF53" w14:textId="34F2F2CE"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Die Bestimmungen des vorliegenden Artikels sind entsprechend anwendbar auf die Patentanmeldung.</w:t>
      </w:r>
    </w:p>
    <w:p w14:paraId="2CF201CB" w14:textId="77777777" w:rsidR="001527B1" w:rsidRPr="004676F5" w:rsidRDefault="001527B1" w:rsidP="001527B1">
      <w:pPr>
        <w:ind w:firstLine="708"/>
        <w:jc w:val="both"/>
        <w:rPr>
          <w:lang w:val="de-DE"/>
        </w:rPr>
      </w:pPr>
    </w:p>
    <w:p w14:paraId="5B3B9CE4" w14:textId="70FCC3F8" w:rsidR="001527B1" w:rsidRPr="004676F5" w:rsidRDefault="001527B1" w:rsidP="001527B1">
      <w:pPr>
        <w:ind w:firstLine="708"/>
        <w:jc w:val="both"/>
        <w:rPr>
          <w:lang w:val="de-DE"/>
        </w:rPr>
      </w:pPr>
      <w:r w:rsidRPr="004676F5">
        <w:rPr>
          <w:lang w:val="de-DE"/>
        </w:rPr>
        <w:t>§ 9 </w:t>
      </w:r>
      <w:r w:rsidR="005B7A5C" w:rsidRPr="004676F5">
        <w:rPr>
          <w:lang w:val="de-DE"/>
        </w:rPr>
        <w:t>- </w:t>
      </w:r>
      <w:r w:rsidRPr="004676F5">
        <w:rPr>
          <w:lang w:val="de-DE"/>
        </w:rPr>
        <w:t>Ein unter Verstoß gegen die Paragraphen 6 und 7 vorgenommener Verzicht ist von Rechts wegen nichtig.</w:t>
      </w:r>
    </w:p>
    <w:p w14:paraId="18FEAFFF" w14:textId="77777777" w:rsidR="001527B1" w:rsidRPr="004676F5" w:rsidRDefault="001527B1" w:rsidP="001527B1">
      <w:pPr>
        <w:ind w:firstLine="708"/>
        <w:jc w:val="both"/>
        <w:rPr>
          <w:lang w:val="de-DE"/>
        </w:rPr>
      </w:pPr>
    </w:p>
    <w:p w14:paraId="7DB282F4" w14:textId="3E724CED" w:rsidR="001527B1" w:rsidRPr="004676F5" w:rsidRDefault="001527B1" w:rsidP="001527B1">
      <w:pPr>
        <w:ind w:firstLine="708"/>
        <w:jc w:val="both"/>
        <w:rPr>
          <w:lang w:val="de-DE"/>
        </w:rPr>
      </w:pPr>
      <w:r w:rsidRPr="004676F5">
        <w:rPr>
          <w:lang w:val="de-DE"/>
        </w:rPr>
        <w:t>§ 10 </w:t>
      </w:r>
      <w:r w:rsidR="005B7A5C" w:rsidRPr="004676F5">
        <w:rPr>
          <w:lang w:val="de-DE"/>
        </w:rPr>
        <w:t>- </w:t>
      </w:r>
      <w:r w:rsidRPr="004676F5">
        <w:rPr>
          <w:lang w:val="de-DE"/>
        </w:rPr>
        <w:t>Der König bestimmt Modalitäten für das Verzichtsverfahren beim Amt und legt Höhe und Zahlungsweise der Abgabe fest, die das Amt einnehmen kann.</w:t>
      </w:r>
    </w:p>
    <w:p w14:paraId="4456C91F" w14:textId="77777777" w:rsidR="001527B1" w:rsidRPr="004676F5" w:rsidRDefault="001527B1" w:rsidP="001527B1">
      <w:pPr>
        <w:ind w:firstLine="708"/>
        <w:jc w:val="both"/>
        <w:rPr>
          <w:lang w:val="de-DE"/>
        </w:rPr>
      </w:pPr>
    </w:p>
    <w:p w14:paraId="506E751D" w14:textId="6514BDA9" w:rsidR="00CE5A09" w:rsidRPr="004676F5" w:rsidRDefault="008E7245" w:rsidP="008E7245">
      <w:pPr>
        <w:jc w:val="both"/>
        <w:rPr>
          <w:i/>
          <w:lang w:val="de-DE"/>
        </w:rPr>
      </w:pPr>
      <w:r w:rsidRPr="004676F5">
        <w:rPr>
          <w:i/>
          <w:iCs/>
          <w:lang w:val="de-DE"/>
        </w:rPr>
        <w:t>[Art. XI.55 § 1 Abs. 1 abgeändert durch Art. 18 Nr. 1</w:t>
      </w:r>
      <w:r w:rsidRPr="004676F5">
        <w:rPr>
          <w:i/>
          <w:lang w:val="de-DE"/>
        </w:rPr>
        <w:t xml:space="preserve"> des G. vom 2. Mai 2019 (IV) (B.S. vom 22. Mai 2019); § 2 abgeändert durch Art. 18 Nr.</w:t>
      </w:r>
      <w:r w:rsidRPr="004676F5">
        <w:rPr>
          <w:lang w:val="de-DE"/>
        </w:rPr>
        <w:t>2</w:t>
      </w:r>
      <w:r w:rsidRPr="004676F5">
        <w:rPr>
          <w:i/>
          <w:lang w:val="de-DE"/>
        </w:rPr>
        <w:t xml:space="preserve"> des G. vom 2. Mai 2019 (IV) (B.S. vom 22. Mai 2019); § 3 abgeändert durch Art. 18 Nr. 2 des G. vom 2. Mai 2019 (IV) (B.S. vom 22. Mai 2019); § 4 Abs. 1 einleitende Bestimmung abgeändert durch Art. 18 Nr. 3 des G. vom 2. Mai 2019 (IV) (B.S. vom 22. Mai 2019); § 4 Abs. 2 abgeändert durch Art. 18 Nr. 3 des G. vom 2. Mai 2019 (IV) (B.S. vom 22. Mai 2019)]</w:t>
      </w:r>
    </w:p>
    <w:p w14:paraId="5359831F" w14:textId="77777777" w:rsidR="008E7245" w:rsidRPr="004676F5" w:rsidRDefault="008E7245" w:rsidP="008E7245">
      <w:pPr>
        <w:jc w:val="both"/>
        <w:rPr>
          <w:i/>
          <w:lang w:val="de-DE"/>
        </w:rPr>
      </w:pPr>
    </w:p>
    <w:p w14:paraId="4F895AFE" w14:textId="77777777" w:rsidR="008E7245" w:rsidRPr="004676F5" w:rsidRDefault="008E7245" w:rsidP="008E7245">
      <w:pPr>
        <w:jc w:val="both"/>
        <w:rPr>
          <w:lang w:val="de-DE"/>
        </w:rPr>
      </w:pPr>
    </w:p>
    <w:p w14:paraId="388FC4FC" w14:textId="0B0BC9CF" w:rsidR="001527B1" w:rsidRPr="004676F5" w:rsidRDefault="00BE0A56" w:rsidP="001527B1">
      <w:pPr>
        <w:ind w:firstLine="708"/>
        <w:jc w:val="both"/>
        <w:rPr>
          <w:lang w:val="de-DE"/>
        </w:rPr>
      </w:pPr>
      <w:r w:rsidRPr="004676F5">
        <w:rPr>
          <w:b/>
          <w:lang w:val="de-DE"/>
        </w:rPr>
        <w:t>Art. </w:t>
      </w:r>
      <w:r w:rsidR="001527B1" w:rsidRPr="004676F5">
        <w:rPr>
          <w:b/>
          <w:lang w:val="de-DE"/>
        </w:rPr>
        <w:t>XI.56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Ein Patentinhaber kann das Patent jederzeit ganz oder teilweise widerrufen </w:t>
      </w:r>
      <w:r w:rsidR="008E7245" w:rsidRPr="004676F5">
        <w:rPr>
          <w:lang w:val="de-DE"/>
        </w:rPr>
        <w:t>[durch einen schriftlichen und unterzeichneten Antrag, der]</w:t>
      </w:r>
      <w:r w:rsidR="001527B1" w:rsidRPr="004676F5">
        <w:rPr>
          <w:lang w:val="de-DE"/>
        </w:rPr>
        <w:t xml:space="preserve"> an den Minister zu richten ist, unbeschadet der zivilrechtlichen Verantwortlichkeit des Erklärenden. </w:t>
      </w:r>
      <w:r w:rsidR="008E7245" w:rsidRPr="004676F5">
        <w:rPr>
          <w:lang w:val="de-DE"/>
        </w:rPr>
        <w:t>[Der Widerrufsantrag]</w:t>
      </w:r>
      <w:r w:rsidR="001527B1" w:rsidRPr="004676F5">
        <w:rPr>
          <w:lang w:val="de-DE"/>
        </w:rPr>
        <w:t xml:space="preserve"> wird in das Register eingetragen.</w:t>
      </w:r>
    </w:p>
    <w:p w14:paraId="7E84BD27" w14:textId="77777777" w:rsidR="001527B1" w:rsidRPr="004676F5" w:rsidRDefault="001527B1" w:rsidP="001527B1">
      <w:pPr>
        <w:ind w:firstLine="708"/>
        <w:jc w:val="both"/>
        <w:rPr>
          <w:lang w:val="de-DE"/>
        </w:rPr>
      </w:pPr>
    </w:p>
    <w:p w14:paraId="4559778E" w14:textId="07D27328" w:rsidR="001527B1" w:rsidRPr="004676F5" w:rsidRDefault="001527B1" w:rsidP="001527B1">
      <w:pPr>
        <w:ind w:firstLine="708"/>
        <w:jc w:val="both"/>
        <w:rPr>
          <w:lang w:val="de-DE"/>
        </w:rPr>
      </w:pPr>
      <w:r w:rsidRPr="004676F5">
        <w:rPr>
          <w:lang w:val="de-DE"/>
        </w:rPr>
        <w:t xml:space="preserve">Wird der Widerruf im Laufe eines Gerichtsverfahrens in Bezug auf das Patent vorgenommen, so muss der Patentinhaber </w:t>
      </w:r>
      <w:r w:rsidR="008E7245" w:rsidRPr="004676F5">
        <w:rPr>
          <w:lang w:val="de-DE"/>
        </w:rPr>
        <w:t>[den in Absatz 1 erwähnten Antrag]</w:t>
      </w:r>
      <w:r w:rsidRPr="004676F5">
        <w:rPr>
          <w:lang w:val="de-DE"/>
        </w:rPr>
        <w:t xml:space="preserve"> zuvor beim Amt einreichen. Das so geänderte Patent dient als Grundlage für das Gerichtsverfahren.</w:t>
      </w:r>
    </w:p>
    <w:p w14:paraId="144C5C21" w14:textId="77777777" w:rsidR="001527B1" w:rsidRPr="004676F5" w:rsidRDefault="001527B1" w:rsidP="001527B1">
      <w:pPr>
        <w:ind w:firstLine="708"/>
        <w:jc w:val="both"/>
        <w:rPr>
          <w:lang w:val="de-DE"/>
        </w:rPr>
      </w:pPr>
    </w:p>
    <w:p w14:paraId="507713C9" w14:textId="77777777" w:rsidR="001527B1" w:rsidRPr="004676F5" w:rsidRDefault="001527B1" w:rsidP="001527B1">
      <w:pPr>
        <w:ind w:firstLine="708"/>
        <w:jc w:val="both"/>
        <w:rPr>
          <w:lang w:val="de-DE"/>
        </w:rPr>
      </w:pPr>
      <w:r w:rsidRPr="004676F5">
        <w:rPr>
          <w:lang w:val="de-DE"/>
        </w:rPr>
        <w:t>Das Patent darf durch einen Widerruf nicht in der Weise geändert werden, dass sein Gegenstand über den Inhalt der Anmeldung in der ursprünglich eingereichten Fassung hinausgeht.</w:t>
      </w:r>
    </w:p>
    <w:p w14:paraId="033EEFE6" w14:textId="77777777" w:rsidR="001527B1" w:rsidRPr="004676F5" w:rsidRDefault="001527B1" w:rsidP="001527B1">
      <w:pPr>
        <w:ind w:firstLine="708"/>
        <w:jc w:val="both"/>
        <w:rPr>
          <w:lang w:val="de-DE"/>
        </w:rPr>
      </w:pPr>
    </w:p>
    <w:p w14:paraId="2085F0EC" w14:textId="77777777" w:rsidR="001527B1" w:rsidRPr="004676F5" w:rsidRDefault="001527B1" w:rsidP="001527B1">
      <w:pPr>
        <w:ind w:firstLine="708"/>
        <w:jc w:val="both"/>
        <w:rPr>
          <w:lang w:val="de-DE"/>
        </w:rPr>
      </w:pPr>
      <w:r w:rsidRPr="004676F5">
        <w:rPr>
          <w:lang w:val="de-DE"/>
        </w:rPr>
        <w:t>Das Patent darf durch einen Widerruf nicht in der Weise geändert werden, dass sein Schutzbereich in Anwendung der letzten geltenden Fassung des Patents erweitert wird.</w:t>
      </w:r>
    </w:p>
    <w:p w14:paraId="4D784136" w14:textId="77777777" w:rsidR="001527B1" w:rsidRPr="004676F5" w:rsidRDefault="001527B1" w:rsidP="001527B1">
      <w:pPr>
        <w:ind w:firstLine="708"/>
        <w:jc w:val="both"/>
        <w:rPr>
          <w:lang w:val="de-DE"/>
        </w:rPr>
      </w:pPr>
    </w:p>
    <w:p w14:paraId="196A9D4B" w14:textId="4C43BB6F"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Teilwiderruf wird durch eine Änderung der Patentansprüche und gegebenenfalls der Beschreibung oder Zeichnungen vorgenommen. Der Widerruf kann auf einen oder mehrere Patentansprüche oder auf einen Teil eines oder mehrerer Patentansprüche beschränkt werden. Der Teilwiderruf führt zur Aufhebung der Rechte, die mit dem beziehungsweise den Patentansprüchen oder mit den Teilen dieser Patentansprüche verbunden sind, die widerrufen werden, ab dem Tag der Einreichung der Patentanmeldung.</w:t>
      </w:r>
    </w:p>
    <w:p w14:paraId="2A211692" w14:textId="77777777" w:rsidR="001527B1" w:rsidRPr="004676F5" w:rsidRDefault="001527B1" w:rsidP="001527B1">
      <w:pPr>
        <w:ind w:firstLine="708"/>
        <w:jc w:val="both"/>
        <w:rPr>
          <w:lang w:val="de-DE"/>
        </w:rPr>
      </w:pPr>
    </w:p>
    <w:p w14:paraId="526BAE16" w14:textId="3F7BD8C1" w:rsidR="001527B1" w:rsidRPr="004676F5" w:rsidRDefault="001527B1" w:rsidP="001527B1">
      <w:pPr>
        <w:ind w:firstLine="708"/>
        <w:jc w:val="both"/>
        <w:rPr>
          <w:lang w:val="de-DE"/>
        </w:rPr>
      </w:pPr>
      <w:r w:rsidRPr="004676F5">
        <w:rPr>
          <w:lang w:val="de-DE"/>
        </w:rPr>
        <w:t>§ 3 </w:t>
      </w:r>
      <w:r w:rsidR="005B7A5C" w:rsidRPr="004676F5">
        <w:rPr>
          <w:lang w:val="de-DE"/>
        </w:rPr>
        <w:t>- </w:t>
      </w:r>
      <w:r w:rsidR="008E7245" w:rsidRPr="004676F5">
        <w:rPr>
          <w:lang w:val="de-DE"/>
        </w:rPr>
        <w:t>[Dem Antrag auf Teilwiderruf]</w:t>
      </w:r>
      <w:r w:rsidRPr="004676F5">
        <w:rPr>
          <w:lang w:val="de-DE"/>
        </w:rPr>
        <w:t xml:space="preserve"> des Patents müssen beigefügt werden:</w:t>
      </w:r>
    </w:p>
    <w:p w14:paraId="08027409" w14:textId="77777777" w:rsidR="001527B1" w:rsidRPr="004676F5" w:rsidRDefault="001527B1" w:rsidP="001527B1">
      <w:pPr>
        <w:ind w:firstLine="708"/>
        <w:jc w:val="both"/>
        <w:rPr>
          <w:lang w:val="de-DE"/>
        </w:rPr>
      </w:pPr>
    </w:p>
    <w:p w14:paraId="612A4247" w14:textId="77777777" w:rsidR="001527B1" w:rsidRPr="004676F5" w:rsidRDefault="001527B1" w:rsidP="001527B1">
      <w:pPr>
        <w:ind w:firstLine="708"/>
        <w:jc w:val="both"/>
        <w:rPr>
          <w:lang w:val="de-DE"/>
        </w:rPr>
      </w:pPr>
      <w:r w:rsidRPr="004676F5">
        <w:rPr>
          <w:lang w:val="de-DE"/>
        </w:rPr>
        <w:t>1. der beziehungsweise die Patentansprüche oder der Teil dieser Patentansprüche, die der Patentinhaber widerrufen möchte,</w:t>
      </w:r>
    </w:p>
    <w:p w14:paraId="2D3D82CC" w14:textId="77777777" w:rsidR="001527B1" w:rsidRPr="004676F5" w:rsidRDefault="001527B1" w:rsidP="001527B1">
      <w:pPr>
        <w:ind w:firstLine="708"/>
        <w:jc w:val="both"/>
        <w:rPr>
          <w:lang w:val="de-DE"/>
        </w:rPr>
      </w:pPr>
    </w:p>
    <w:p w14:paraId="2BCFA041" w14:textId="77777777" w:rsidR="001527B1" w:rsidRPr="004676F5" w:rsidRDefault="001527B1" w:rsidP="001527B1">
      <w:pPr>
        <w:ind w:firstLine="708"/>
        <w:jc w:val="both"/>
        <w:rPr>
          <w:lang w:val="de-DE"/>
        </w:rPr>
      </w:pPr>
      <w:r w:rsidRPr="004676F5">
        <w:rPr>
          <w:lang w:val="de-DE"/>
        </w:rPr>
        <w:t>2. gegebenenfalls eine vollständige Fassung des beziehungsweise der geänderten Patentansprüche, die der Patentinhaber aufrechterhalten möchte, und gegebenenfalls die Beschreibung und Zeichnungen in der geänderten Fassung.</w:t>
      </w:r>
    </w:p>
    <w:p w14:paraId="5743B6C7" w14:textId="77777777" w:rsidR="001527B1" w:rsidRPr="004676F5" w:rsidRDefault="001527B1" w:rsidP="001527B1">
      <w:pPr>
        <w:ind w:firstLine="708"/>
        <w:jc w:val="both"/>
        <w:rPr>
          <w:lang w:val="de-DE"/>
        </w:rPr>
      </w:pPr>
    </w:p>
    <w:p w14:paraId="5BC7CFFA" w14:textId="77777777" w:rsidR="001527B1" w:rsidRPr="004676F5" w:rsidRDefault="001527B1" w:rsidP="001527B1">
      <w:pPr>
        <w:ind w:firstLine="708"/>
        <w:jc w:val="both"/>
        <w:rPr>
          <w:lang w:val="de-DE"/>
        </w:rPr>
      </w:pPr>
      <w:r w:rsidRPr="004676F5">
        <w:rPr>
          <w:lang w:val="de-DE"/>
        </w:rPr>
        <w:t>Der Widerruf des Patents ist Dritten gegenüber ab dem Datum seiner Eintragung in das Register wirksam, unbeschadet der Verantwortlichkeit des Erklärenden.</w:t>
      </w:r>
    </w:p>
    <w:p w14:paraId="1B8281F0" w14:textId="77777777" w:rsidR="001527B1" w:rsidRPr="004676F5" w:rsidRDefault="001527B1" w:rsidP="001527B1">
      <w:pPr>
        <w:ind w:firstLine="708"/>
        <w:jc w:val="both"/>
        <w:rPr>
          <w:lang w:val="de-DE"/>
        </w:rPr>
      </w:pPr>
    </w:p>
    <w:p w14:paraId="78BF9F0A" w14:textId="07A5DBFB" w:rsidR="001527B1" w:rsidRPr="004676F5" w:rsidRDefault="008E7245" w:rsidP="001527B1">
      <w:pPr>
        <w:ind w:firstLine="708"/>
        <w:jc w:val="both"/>
        <w:rPr>
          <w:lang w:val="de-DE"/>
        </w:rPr>
      </w:pPr>
      <w:r w:rsidRPr="004676F5">
        <w:rPr>
          <w:lang w:val="de-DE"/>
        </w:rPr>
        <w:t>[Ein Widerrufsantrag]</w:t>
      </w:r>
      <w:r w:rsidR="001527B1" w:rsidRPr="004676F5">
        <w:rPr>
          <w:lang w:val="de-DE"/>
        </w:rPr>
        <w:t xml:space="preserve"> kann sich nur auf ein einziges Patent beziehen.</w:t>
      </w:r>
    </w:p>
    <w:p w14:paraId="6A452E14" w14:textId="77777777" w:rsidR="001527B1" w:rsidRPr="004676F5" w:rsidRDefault="001527B1" w:rsidP="001527B1">
      <w:pPr>
        <w:ind w:firstLine="708"/>
        <w:jc w:val="both"/>
        <w:rPr>
          <w:lang w:val="de-DE"/>
        </w:rPr>
      </w:pPr>
    </w:p>
    <w:p w14:paraId="7B05A162" w14:textId="3B971971"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Bei Miteigentum muss der Gesamt</w:t>
      </w:r>
      <w:r w:rsidR="005B7A5C" w:rsidRPr="004676F5">
        <w:rPr>
          <w:lang w:val="de-DE"/>
        </w:rPr>
        <w:t>- </w:t>
      </w:r>
      <w:r w:rsidRPr="004676F5">
        <w:rPr>
          <w:lang w:val="de-DE"/>
        </w:rPr>
        <w:t>oder Teilwiderruf von allen Miteigentümern vorgenommen werden.</w:t>
      </w:r>
    </w:p>
    <w:p w14:paraId="220D30ED" w14:textId="77777777" w:rsidR="001527B1" w:rsidRPr="004676F5" w:rsidRDefault="001527B1" w:rsidP="001527B1">
      <w:pPr>
        <w:ind w:firstLine="708"/>
        <w:jc w:val="both"/>
        <w:rPr>
          <w:lang w:val="de-DE"/>
        </w:rPr>
      </w:pPr>
    </w:p>
    <w:p w14:paraId="6F1AC58B" w14:textId="705CD97E"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Sind Nießbrauch-, Pfand</w:t>
      </w:r>
      <w:r w:rsidR="005B7A5C" w:rsidRPr="004676F5">
        <w:rPr>
          <w:lang w:val="de-DE"/>
        </w:rPr>
        <w:t>- </w:t>
      </w:r>
      <w:r w:rsidRPr="004676F5">
        <w:rPr>
          <w:lang w:val="de-DE"/>
        </w:rPr>
        <w:t>oder Lizenzrechte im Register eingetragen, kann das Patent nur mit Zustimmung der Inhaber dieser Rechte ganz oder teilweise widerrufen werden.</w:t>
      </w:r>
    </w:p>
    <w:p w14:paraId="71195057" w14:textId="77777777" w:rsidR="001527B1" w:rsidRPr="004676F5" w:rsidRDefault="001527B1" w:rsidP="001527B1">
      <w:pPr>
        <w:ind w:firstLine="708"/>
        <w:jc w:val="both"/>
        <w:rPr>
          <w:lang w:val="de-DE"/>
        </w:rPr>
      </w:pPr>
    </w:p>
    <w:p w14:paraId="732C1AB4" w14:textId="5C0C34CB"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Ein Patent, das Gegenstand eines Eigentumsanspruchs, einer Beschlagnahme oder einer Zwangslizenz ist, kann weder ganz noch teilweise widerrufen werden.</w:t>
      </w:r>
    </w:p>
    <w:p w14:paraId="7E096A64" w14:textId="77777777" w:rsidR="001527B1" w:rsidRPr="004676F5" w:rsidRDefault="001527B1" w:rsidP="001527B1">
      <w:pPr>
        <w:ind w:firstLine="708"/>
        <w:jc w:val="both"/>
        <w:rPr>
          <w:lang w:val="de-DE"/>
        </w:rPr>
      </w:pPr>
    </w:p>
    <w:p w14:paraId="4A437A09" w14:textId="79FE1211"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Die Bestimmungen des vorliegenden Artikels sind entsprechend anwendbar auf die Patentanmeldung.</w:t>
      </w:r>
    </w:p>
    <w:p w14:paraId="19AD80EA" w14:textId="77777777" w:rsidR="001527B1" w:rsidRPr="004676F5" w:rsidRDefault="001527B1" w:rsidP="001527B1">
      <w:pPr>
        <w:jc w:val="both"/>
        <w:rPr>
          <w:lang w:val="de-DE"/>
        </w:rPr>
      </w:pPr>
    </w:p>
    <w:p w14:paraId="30375C16" w14:textId="06D10A44"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Ein unter Verstoß gegen die Paragraphen 5 und 6 vorgenommener Widerruf ist von Rechts wegen nichtig.</w:t>
      </w:r>
    </w:p>
    <w:p w14:paraId="56D491FB" w14:textId="77777777" w:rsidR="001527B1" w:rsidRPr="004676F5" w:rsidRDefault="001527B1" w:rsidP="001527B1">
      <w:pPr>
        <w:ind w:firstLine="708"/>
        <w:jc w:val="both"/>
        <w:rPr>
          <w:lang w:val="de-DE"/>
        </w:rPr>
      </w:pPr>
    </w:p>
    <w:p w14:paraId="33F129CB" w14:textId="7AAB9C4E" w:rsidR="001527B1" w:rsidRPr="004676F5" w:rsidRDefault="001527B1" w:rsidP="001527B1">
      <w:pPr>
        <w:ind w:firstLine="708"/>
        <w:jc w:val="both"/>
        <w:rPr>
          <w:lang w:val="de-DE"/>
        </w:rPr>
      </w:pPr>
      <w:r w:rsidRPr="004676F5">
        <w:rPr>
          <w:lang w:val="de-DE"/>
        </w:rPr>
        <w:t>§ 9 </w:t>
      </w:r>
      <w:r w:rsidR="005B7A5C" w:rsidRPr="004676F5">
        <w:rPr>
          <w:lang w:val="de-DE"/>
        </w:rPr>
        <w:t>- </w:t>
      </w:r>
      <w:r w:rsidRPr="004676F5">
        <w:rPr>
          <w:lang w:val="de-DE"/>
        </w:rPr>
        <w:t>Der König bestimmt Modalitäten für das Widerrufsverfahren beim Amt und legt Höhe und Zahlungsweise der Abgabe fest, die das Amt einnehmen kann.</w:t>
      </w:r>
    </w:p>
    <w:p w14:paraId="45DD21E5" w14:textId="77777777" w:rsidR="001527B1" w:rsidRPr="004676F5" w:rsidRDefault="001527B1" w:rsidP="001527B1">
      <w:pPr>
        <w:ind w:firstLine="708"/>
        <w:jc w:val="both"/>
        <w:rPr>
          <w:lang w:val="de-DE"/>
        </w:rPr>
      </w:pPr>
    </w:p>
    <w:p w14:paraId="4F6A1D2A" w14:textId="510366DB" w:rsidR="00CE5A09" w:rsidRPr="004676F5" w:rsidRDefault="008E7245" w:rsidP="008E7245">
      <w:pPr>
        <w:jc w:val="both"/>
        <w:rPr>
          <w:i/>
          <w:lang w:val="de-DE"/>
        </w:rPr>
      </w:pPr>
      <w:r w:rsidRPr="004676F5">
        <w:rPr>
          <w:i/>
          <w:iCs/>
          <w:lang w:val="de-DE"/>
        </w:rPr>
        <w:t>[Art. XI.56 § 1 Abs. 1 und 2 abgeändert durch Art. 19 Nr. 1</w:t>
      </w:r>
      <w:r w:rsidRPr="004676F5">
        <w:rPr>
          <w:i/>
          <w:lang w:val="de-DE"/>
        </w:rPr>
        <w:t xml:space="preserve"> des G. vom 2. Mai 2019 (IV) (B.S. vom 22. Mai 2019); § 3 Abs. 1 einleitende Bestimmung abgeändert durch Art. 19 Nr. 2 des G. vom 2. Mai 2019 (IV) (B.S. vom 22. Mai 2019); § 3 Abs. 3 abgeändert durch Art. 19 Nr. 2 des G. vom 2. Mai 2019 (IV) (B.S. vom 22. Mai 2019)]</w:t>
      </w:r>
    </w:p>
    <w:p w14:paraId="7A2B0E6E" w14:textId="77777777" w:rsidR="008E7245" w:rsidRPr="004676F5" w:rsidRDefault="008E7245" w:rsidP="008E7245">
      <w:pPr>
        <w:jc w:val="both"/>
        <w:rPr>
          <w:i/>
          <w:lang w:val="de-DE"/>
        </w:rPr>
      </w:pPr>
    </w:p>
    <w:p w14:paraId="7BD6ACB1" w14:textId="77777777" w:rsidR="008E7245" w:rsidRPr="004676F5" w:rsidRDefault="008E7245" w:rsidP="008E7245">
      <w:pPr>
        <w:jc w:val="both"/>
        <w:rPr>
          <w:i/>
          <w:iCs/>
          <w:lang w:val="de-DE"/>
        </w:rPr>
      </w:pPr>
    </w:p>
    <w:p w14:paraId="34EDBF55" w14:textId="69069BE6" w:rsidR="001527B1" w:rsidRPr="004676F5" w:rsidRDefault="00BE0A56" w:rsidP="001527B1">
      <w:pPr>
        <w:ind w:firstLine="708"/>
        <w:jc w:val="both"/>
        <w:rPr>
          <w:lang w:val="de-DE"/>
        </w:rPr>
      </w:pPr>
      <w:r w:rsidRPr="004676F5">
        <w:rPr>
          <w:b/>
          <w:lang w:val="de-DE"/>
        </w:rPr>
        <w:t>Art. </w:t>
      </w:r>
      <w:r w:rsidR="001527B1" w:rsidRPr="004676F5">
        <w:rPr>
          <w:b/>
          <w:lang w:val="de-DE"/>
        </w:rPr>
        <w:t>XI.57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Patent wird vom Gericht für nichtig erklärt:</w:t>
      </w:r>
    </w:p>
    <w:p w14:paraId="1FD1E903" w14:textId="77777777" w:rsidR="001527B1" w:rsidRPr="004676F5" w:rsidRDefault="001527B1" w:rsidP="001527B1">
      <w:pPr>
        <w:ind w:firstLine="708"/>
        <w:jc w:val="both"/>
        <w:rPr>
          <w:lang w:val="de-DE"/>
        </w:rPr>
      </w:pPr>
    </w:p>
    <w:p w14:paraId="52E4D65B" w14:textId="77777777" w:rsidR="001527B1" w:rsidRPr="004676F5" w:rsidRDefault="001527B1" w:rsidP="001527B1">
      <w:pPr>
        <w:ind w:firstLine="708"/>
        <w:jc w:val="both"/>
        <w:rPr>
          <w:lang w:val="de-DE"/>
        </w:rPr>
      </w:pPr>
      <w:r w:rsidRPr="004676F5">
        <w:rPr>
          <w:lang w:val="de-DE"/>
        </w:rPr>
        <w:t>1. wenn der Gegenstand des Patents unter die Anwendung der Artikel XI.4 oder XI.5 fällt oder den Bestimmungen der Artikel XI.3, XI.6, XI.7 und XI.8 nicht genügt,</w:t>
      </w:r>
    </w:p>
    <w:p w14:paraId="300038BA" w14:textId="77777777" w:rsidR="001527B1" w:rsidRPr="004676F5" w:rsidRDefault="001527B1" w:rsidP="001527B1">
      <w:pPr>
        <w:ind w:firstLine="708"/>
        <w:jc w:val="both"/>
        <w:rPr>
          <w:lang w:val="de-DE"/>
        </w:rPr>
      </w:pPr>
    </w:p>
    <w:p w14:paraId="138CFEFB" w14:textId="77777777" w:rsidR="001527B1" w:rsidRPr="004676F5" w:rsidRDefault="001527B1" w:rsidP="001527B1">
      <w:pPr>
        <w:ind w:firstLine="708"/>
        <w:jc w:val="both"/>
        <w:rPr>
          <w:lang w:val="de-DE"/>
        </w:rPr>
      </w:pPr>
      <w:r w:rsidRPr="004676F5">
        <w:rPr>
          <w:lang w:val="de-DE"/>
        </w:rPr>
        <w:t>2. wenn das Patent die Erfindung nicht so deutlich und vollständig offenbart, dass ein Fachmann sie ausführen kann,</w:t>
      </w:r>
    </w:p>
    <w:p w14:paraId="231E9AA2" w14:textId="77777777" w:rsidR="001527B1" w:rsidRPr="004676F5" w:rsidRDefault="001527B1" w:rsidP="001527B1">
      <w:pPr>
        <w:ind w:firstLine="708"/>
        <w:jc w:val="both"/>
        <w:rPr>
          <w:lang w:val="de-DE"/>
        </w:rPr>
      </w:pPr>
    </w:p>
    <w:p w14:paraId="681EFC36" w14:textId="77777777" w:rsidR="001527B1" w:rsidRPr="004676F5" w:rsidRDefault="001527B1" w:rsidP="001527B1">
      <w:pPr>
        <w:ind w:firstLine="708"/>
        <w:jc w:val="both"/>
        <w:rPr>
          <w:lang w:val="de-DE"/>
        </w:rPr>
      </w:pPr>
      <w:r w:rsidRPr="004676F5">
        <w:rPr>
          <w:lang w:val="de-DE"/>
        </w:rPr>
        <w:t>3. wenn der Gegenstand des Patents über den Inhalt der Anmeldung in der eingereichten Fassung oder, wenn das Patent auf einer Teilanmeldung beruht, über den Inhalt der früheren Anmeldung in der ursprünglich eingereichten Fassung hinausgeht,</w:t>
      </w:r>
    </w:p>
    <w:p w14:paraId="07BE88C6" w14:textId="77777777" w:rsidR="001527B1" w:rsidRPr="004676F5" w:rsidRDefault="001527B1" w:rsidP="001527B1">
      <w:pPr>
        <w:ind w:firstLine="708"/>
        <w:jc w:val="both"/>
        <w:rPr>
          <w:lang w:val="de-DE"/>
        </w:rPr>
      </w:pPr>
    </w:p>
    <w:p w14:paraId="3391CFA6" w14:textId="77777777" w:rsidR="001527B1" w:rsidRPr="004676F5" w:rsidRDefault="001527B1" w:rsidP="001527B1">
      <w:pPr>
        <w:ind w:firstLine="708"/>
        <w:jc w:val="both"/>
        <w:rPr>
          <w:lang w:val="de-DE"/>
        </w:rPr>
      </w:pPr>
      <w:r w:rsidRPr="004676F5">
        <w:rPr>
          <w:lang w:val="de-DE"/>
        </w:rPr>
        <w:t>4. wenn der Patentinhaber nicht nach Artikel XI.9 berechtigt ist.</w:t>
      </w:r>
    </w:p>
    <w:p w14:paraId="7BD7E439" w14:textId="77777777" w:rsidR="001527B1" w:rsidRPr="004676F5" w:rsidRDefault="001527B1" w:rsidP="001527B1">
      <w:pPr>
        <w:ind w:firstLine="708"/>
        <w:jc w:val="both"/>
        <w:rPr>
          <w:lang w:val="de-DE"/>
        </w:rPr>
      </w:pPr>
    </w:p>
    <w:p w14:paraId="245B6581" w14:textId="7DCE6A67"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Betreffen die Nichtigkeitsgründe nur einen Teil des Patents, so wird das Patent durch entsprechende Änderung der Patentansprüche und gegebenenfalls der Beschreibung und Zeichnungen beschränkt und für teilweise nichtig erklärt. Diese Änderung wird in das Register eingetragen.</w:t>
      </w:r>
    </w:p>
    <w:p w14:paraId="6151D702" w14:textId="77777777" w:rsidR="001527B1" w:rsidRPr="004676F5" w:rsidRDefault="001527B1" w:rsidP="001527B1">
      <w:pPr>
        <w:ind w:firstLine="708"/>
        <w:jc w:val="both"/>
        <w:rPr>
          <w:lang w:val="de-DE"/>
        </w:rPr>
      </w:pPr>
    </w:p>
    <w:p w14:paraId="1BB25D11" w14:textId="6CA56555"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Das Patent darf durch eine Nichtigkeitserklärung nicht in der Weise geändert werden, dass sein Gegenstand über den Inhalt der Anmeldung in der ursprünglich eingereichten Fassung hinausgeht.</w:t>
      </w:r>
    </w:p>
    <w:p w14:paraId="24A919E3" w14:textId="77777777" w:rsidR="001527B1" w:rsidRPr="004676F5" w:rsidRDefault="001527B1" w:rsidP="001527B1">
      <w:pPr>
        <w:ind w:firstLine="708"/>
        <w:jc w:val="both"/>
        <w:rPr>
          <w:lang w:val="de-DE"/>
        </w:rPr>
      </w:pPr>
    </w:p>
    <w:p w14:paraId="0652E299" w14:textId="77777777" w:rsidR="001527B1" w:rsidRPr="004676F5" w:rsidRDefault="001527B1" w:rsidP="001527B1">
      <w:pPr>
        <w:ind w:firstLine="708"/>
        <w:jc w:val="both"/>
        <w:rPr>
          <w:lang w:val="de-DE"/>
        </w:rPr>
      </w:pPr>
      <w:r w:rsidRPr="004676F5">
        <w:rPr>
          <w:lang w:val="de-DE"/>
        </w:rPr>
        <w:t>Das Patent darf durch eine Nichtigkeitserklärung nicht in der Weise geändert werden, dass sein Schutzbereich in Anwendung der letzten geltenden Fassung des Patents erweitert wird.</w:t>
      </w:r>
    </w:p>
    <w:p w14:paraId="34CBC5D9" w14:textId="77777777" w:rsidR="001527B1" w:rsidRPr="004676F5" w:rsidRDefault="001527B1" w:rsidP="001527B1">
      <w:pPr>
        <w:ind w:firstLine="708"/>
        <w:jc w:val="both"/>
        <w:rPr>
          <w:lang w:val="de-DE"/>
        </w:rPr>
      </w:pPr>
    </w:p>
    <w:p w14:paraId="0871ED80" w14:textId="77777777" w:rsidR="00CE5A09" w:rsidRPr="004676F5" w:rsidRDefault="00CE5A09" w:rsidP="001527B1">
      <w:pPr>
        <w:ind w:firstLine="708"/>
        <w:jc w:val="both"/>
        <w:rPr>
          <w:lang w:val="de-DE"/>
        </w:rPr>
      </w:pPr>
    </w:p>
    <w:p w14:paraId="15B10EE9" w14:textId="57031F0D" w:rsidR="001527B1" w:rsidRPr="004676F5" w:rsidRDefault="00BE0A56" w:rsidP="001527B1">
      <w:pPr>
        <w:ind w:firstLine="708"/>
        <w:jc w:val="both"/>
        <w:rPr>
          <w:lang w:val="de-DE"/>
        </w:rPr>
      </w:pPr>
      <w:r w:rsidRPr="004676F5">
        <w:rPr>
          <w:b/>
          <w:lang w:val="de-DE"/>
        </w:rPr>
        <w:t>Art. </w:t>
      </w:r>
      <w:r w:rsidR="001527B1" w:rsidRPr="004676F5">
        <w:rPr>
          <w:b/>
          <w:lang w:val="de-DE"/>
        </w:rPr>
        <w:t>XI.58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Die Gesamt</w:t>
      </w:r>
      <w:r w:rsidR="005B7A5C" w:rsidRPr="004676F5">
        <w:rPr>
          <w:lang w:val="de-DE"/>
        </w:rPr>
        <w:t>- </w:t>
      </w:r>
      <w:r w:rsidR="001527B1" w:rsidRPr="004676F5">
        <w:rPr>
          <w:lang w:val="de-DE"/>
        </w:rPr>
        <w:t>oder Teilnichtigkeit eines Patents und der Gesamt</w:t>
      </w:r>
      <w:r w:rsidR="005B7A5C" w:rsidRPr="004676F5">
        <w:rPr>
          <w:lang w:val="de-DE"/>
        </w:rPr>
        <w:t>- </w:t>
      </w:r>
      <w:r w:rsidR="001527B1" w:rsidRPr="004676F5">
        <w:rPr>
          <w:lang w:val="de-DE"/>
        </w:rPr>
        <w:t>oder Teilwiderruf eines Patents in Anwendung von Artikel XI.56 haben rückwirkende Kraft bis zum Anmeldetag der Patentanmeldung.</w:t>
      </w:r>
    </w:p>
    <w:p w14:paraId="4495B817" w14:textId="77777777" w:rsidR="001527B1" w:rsidRPr="004676F5" w:rsidRDefault="001527B1" w:rsidP="001527B1">
      <w:pPr>
        <w:ind w:firstLine="708"/>
        <w:jc w:val="both"/>
        <w:rPr>
          <w:lang w:val="de-DE"/>
        </w:rPr>
      </w:pPr>
    </w:p>
    <w:p w14:paraId="3EC43414" w14:textId="62C4B19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Unter Vorbehalt der Bestimmungen über die Klage auf Schadenersatz für den durch Fahrlässigkeit oder bösen Glauben des Patentinhabers entstandenen Schaden oder über die ungerechtfertigte Bereicherung hat die rückwirkende Kraft der Nichtigkeit oder des Widerrufs des Patents keinen Einfluss auf:</w:t>
      </w:r>
    </w:p>
    <w:p w14:paraId="080EC86C" w14:textId="77777777" w:rsidR="001527B1" w:rsidRPr="004676F5" w:rsidRDefault="001527B1" w:rsidP="001527B1">
      <w:pPr>
        <w:ind w:firstLine="708"/>
        <w:jc w:val="both"/>
        <w:rPr>
          <w:lang w:val="de-DE"/>
        </w:rPr>
      </w:pPr>
    </w:p>
    <w:p w14:paraId="3A2B92F4" w14:textId="77777777" w:rsidR="001527B1" w:rsidRPr="004676F5" w:rsidRDefault="001527B1" w:rsidP="001527B1">
      <w:pPr>
        <w:ind w:firstLine="708"/>
        <w:jc w:val="both"/>
        <w:rPr>
          <w:lang w:val="de-DE"/>
        </w:rPr>
      </w:pPr>
      <w:r w:rsidRPr="004676F5">
        <w:rPr>
          <w:lang w:val="de-DE"/>
        </w:rPr>
        <w:t>1. Entscheidungen in Bezug auf die Patentverletzung, die vor dem Nichtigkeits</w:t>
      </w:r>
      <w:r w:rsidRPr="004676F5">
        <w:rPr>
          <w:lang w:val="de-DE"/>
        </w:rPr>
        <w:softHyphen/>
        <w:t>beschluss oder der Eintragung des freiwilligen Widerrufs des Patents in das Register formell rechtskräftig geworden sind und ausgeführt wurden,</w:t>
      </w:r>
    </w:p>
    <w:p w14:paraId="34B16B90" w14:textId="77777777" w:rsidR="001527B1" w:rsidRPr="004676F5" w:rsidRDefault="001527B1" w:rsidP="001527B1">
      <w:pPr>
        <w:ind w:firstLine="708"/>
        <w:jc w:val="both"/>
        <w:rPr>
          <w:lang w:val="de-DE"/>
        </w:rPr>
      </w:pPr>
    </w:p>
    <w:p w14:paraId="157853C0" w14:textId="77777777" w:rsidR="001527B1" w:rsidRPr="004676F5" w:rsidRDefault="001527B1" w:rsidP="001527B1">
      <w:pPr>
        <w:ind w:firstLine="708"/>
        <w:jc w:val="both"/>
        <w:rPr>
          <w:lang w:val="de-DE"/>
        </w:rPr>
      </w:pPr>
      <w:r w:rsidRPr="004676F5">
        <w:rPr>
          <w:lang w:val="de-DE"/>
        </w:rPr>
        <w:t>2. vor dem Nichtigkeitsbeschluss oder der Eintragung des Widerrufs in das Register geschlossene Verträge, insofern sie vor diesem Nichtigkeitsbeschluss ausgeführt wurden; die Rückzahlung der aufgrund des Vertrags entrichteten Beträge kann jedoch aus Billigkeits</w:t>
      </w:r>
      <w:r w:rsidRPr="004676F5">
        <w:rPr>
          <w:lang w:val="de-DE"/>
        </w:rPr>
        <w:softHyphen/>
        <w:t>gründen gefordert werden, insofern die Umstände dies rechtfertigen.</w:t>
      </w:r>
    </w:p>
    <w:p w14:paraId="44319776" w14:textId="77777777" w:rsidR="001527B1" w:rsidRPr="004676F5" w:rsidRDefault="001527B1" w:rsidP="001527B1">
      <w:pPr>
        <w:ind w:firstLine="708"/>
        <w:jc w:val="both"/>
        <w:rPr>
          <w:lang w:val="de-DE"/>
        </w:rPr>
      </w:pPr>
    </w:p>
    <w:p w14:paraId="3D8C51E0" w14:textId="77777777" w:rsidR="00CE5A09" w:rsidRPr="004676F5" w:rsidRDefault="00CE5A09" w:rsidP="001527B1">
      <w:pPr>
        <w:ind w:firstLine="708"/>
        <w:jc w:val="both"/>
        <w:rPr>
          <w:lang w:val="de-DE"/>
        </w:rPr>
      </w:pPr>
    </w:p>
    <w:p w14:paraId="4B2DC734" w14:textId="246C02FC" w:rsidR="001527B1" w:rsidRPr="004676F5" w:rsidRDefault="00BE0A56" w:rsidP="001527B1">
      <w:pPr>
        <w:ind w:firstLine="708"/>
        <w:jc w:val="both"/>
        <w:rPr>
          <w:lang w:val="de-DE"/>
        </w:rPr>
      </w:pPr>
      <w:r w:rsidRPr="004676F5">
        <w:rPr>
          <w:b/>
          <w:lang w:val="de-DE"/>
        </w:rPr>
        <w:t>Art. </w:t>
      </w:r>
      <w:r w:rsidR="001527B1" w:rsidRPr="004676F5">
        <w:rPr>
          <w:b/>
          <w:lang w:val="de-DE"/>
        </w:rPr>
        <w:t>XI.59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Wird ein Patent durch ein Urteil oder einen Entscheid oder einen Schiedsspruch ganz oder teilweise für nichtig erklärt, ist der Nichtigkeitsbeschluss vorbehaltlich eines Dritteinspruchs allen gegenüber materiell rechtskräftig.</w:t>
      </w:r>
    </w:p>
    <w:p w14:paraId="36400503" w14:textId="77777777" w:rsidR="001527B1" w:rsidRPr="004676F5" w:rsidRDefault="001527B1" w:rsidP="001527B1">
      <w:pPr>
        <w:ind w:firstLine="708"/>
        <w:jc w:val="both"/>
        <w:rPr>
          <w:lang w:val="de-DE"/>
        </w:rPr>
      </w:pPr>
    </w:p>
    <w:p w14:paraId="510D05E0" w14:textId="77777777" w:rsidR="001527B1" w:rsidRPr="004676F5" w:rsidRDefault="001527B1" w:rsidP="001527B1">
      <w:pPr>
        <w:ind w:firstLine="708"/>
        <w:jc w:val="both"/>
        <w:rPr>
          <w:lang w:val="de-DE"/>
        </w:rPr>
      </w:pPr>
      <w:r w:rsidRPr="004676F5">
        <w:rPr>
          <w:lang w:val="de-DE"/>
        </w:rPr>
        <w:t>Formell rechtskräftige Nichtigkeitsbeschlüsse werden in das Register eingetragen.</w:t>
      </w:r>
    </w:p>
    <w:p w14:paraId="7BA74EA5" w14:textId="77777777" w:rsidR="001527B1" w:rsidRPr="004676F5" w:rsidRDefault="001527B1" w:rsidP="001527B1">
      <w:pPr>
        <w:ind w:firstLine="708"/>
        <w:jc w:val="both"/>
        <w:rPr>
          <w:lang w:val="de-DE"/>
        </w:rPr>
      </w:pPr>
    </w:p>
    <w:p w14:paraId="5C80FBD6" w14:textId="7E83845C" w:rsidR="001527B1" w:rsidRPr="004676F5" w:rsidRDefault="001527B1" w:rsidP="001527B1">
      <w:pPr>
        <w:ind w:firstLine="708"/>
        <w:jc w:val="both"/>
        <w:rPr>
          <w:lang w:val="de-DE"/>
        </w:rPr>
      </w:pPr>
      <w:r w:rsidRPr="004676F5">
        <w:rPr>
          <w:lang w:val="de-DE"/>
        </w:rPr>
        <w:t>§ 2 </w:t>
      </w:r>
      <w:r w:rsidR="005B7A5C" w:rsidRPr="004676F5">
        <w:rPr>
          <w:lang w:val="de-DE"/>
        </w:rPr>
        <w:t>- </w:t>
      </w:r>
      <w:r w:rsidR="00FC6DC1" w:rsidRPr="004676F5">
        <w:rPr>
          <w:lang w:val="de-DE"/>
        </w:rPr>
        <w:t>[Wird die Nichtigkeit eines Patents ausgesprochen, haben Berufung und Kassationsbeschwerde aufschiebende Wirkung.]</w:t>
      </w:r>
    </w:p>
    <w:p w14:paraId="56194422" w14:textId="77777777" w:rsidR="00FC6DC1" w:rsidRPr="004676F5" w:rsidRDefault="00FC6DC1" w:rsidP="00FC6DC1">
      <w:pPr>
        <w:jc w:val="both"/>
        <w:rPr>
          <w:lang w:val="de-DE"/>
        </w:rPr>
      </w:pPr>
    </w:p>
    <w:p w14:paraId="16AC61B1" w14:textId="3EA8DD00" w:rsidR="00FC6DC1" w:rsidRPr="004676F5" w:rsidRDefault="00FC6DC1" w:rsidP="00FC6DC1">
      <w:pPr>
        <w:jc w:val="both"/>
        <w:rPr>
          <w:i/>
          <w:iCs/>
          <w:lang w:val="de-DE"/>
        </w:rPr>
      </w:pPr>
      <w:r w:rsidRPr="004676F5">
        <w:rPr>
          <w:i/>
          <w:iCs/>
          <w:lang w:val="de-DE"/>
        </w:rPr>
        <w:t>[Art. XI.59 § 2 ersetzt durch Art. 10 des G. vom 25. September 2022 (B.S. vom 24. Oktober 2022)]</w:t>
      </w:r>
    </w:p>
    <w:p w14:paraId="5B4A3029" w14:textId="77777777" w:rsidR="001527B1" w:rsidRPr="004676F5" w:rsidRDefault="001527B1" w:rsidP="001527B1">
      <w:pPr>
        <w:jc w:val="both"/>
        <w:rPr>
          <w:lang w:val="de-DE"/>
        </w:rPr>
      </w:pPr>
    </w:p>
    <w:p w14:paraId="4826728E" w14:textId="77777777" w:rsidR="00CE5A09" w:rsidRPr="004676F5" w:rsidRDefault="00CE5A09" w:rsidP="001527B1">
      <w:pPr>
        <w:jc w:val="both"/>
        <w:rPr>
          <w:lang w:val="de-DE"/>
        </w:rPr>
      </w:pPr>
    </w:p>
    <w:p w14:paraId="06058D61" w14:textId="7EA2F515" w:rsidR="001527B1" w:rsidRPr="004676F5" w:rsidRDefault="001527B1" w:rsidP="001527B1">
      <w:pPr>
        <w:jc w:val="center"/>
        <w:rPr>
          <w:lang w:val="de-DE"/>
        </w:rPr>
      </w:pPr>
      <w:r w:rsidRPr="004676F5">
        <w:rPr>
          <w:i/>
          <w:lang w:val="de-DE"/>
        </w:rPr>
        <w:t>Abschnitt 7 </w:t>
      </w:r>
      <w:r w:rsidR="005B7A5C" w:rsidRPr="004676F5">
        <w:rPr>
          <w:i/>
          <w:lang w:val="de-DE"/>
        </w:rPr>
        <w:t>- </w:t>
      </w:r>
      <w:r w:rsidRPr="004676F5">
        <w:rPr>
          <w:lang w:val="de-DE"/>
        </w:rPr>
        <w:t>Schutz der Rechte aus dem Erfindungspatent</w:t>
      </w:r>
    </w:p>
    <w:p w14:paraId="1E0D62E9" w14:textId="77777777" w:rsidR="001527B1" w:rsidRPr="004676F5" w:rsidRDefault="001527B1" w:rsidP="001527B1">
      <w:pPr>
        <w:ind w:firstLine="708"/>
        <w:jc w:val="both"/>
        <w:rPr>
          <w:lang w:val="de-DE"/>
        </w:rPr>
      </w:pPr>
    </w:p>
    <w:p w14:paraId="02983F9E" w14:textId="77777777" w:rsidR="00CE5A09" w:rsidRPr="004676F5" w:rsidRDefault="00CE5A09" w:rsidP="001527B1">
      <w:pPr>
        <w:ind w:firstLine="708"/>
        <w:jc w:val="both"/>
        <w:rPr>
          <w:lang w:val="de-DE"/>
        </w:rPr>
      </w:pPr>
    </w:p>
    <w:p w14:paraId="25CD4201" w14:textId="5C483D9D" w:rsidR="001527B1" w:rsidRPr="004676F5" w:rsidRDefault="00BE0A56" w:rsidP="001527B1">
      <w:pPr>
        <w:ind w:firstLine="708"/>
        <w:jc w:val="both"/>
        <w:rPr>
          <w:lang w:val="de-DE"/>
        </w:rPr>
      </w:pPr>
      <w:r w:rsidRPr="004676F5">
        <w:rPr>
          <w:b/>
          <w:lang w:val="de-DE"/>
        </w:rPr>
        <w:t>Art. </w:t>
      </w:r>
      <w:r w:rsidR="001527B1" w:rsidRPr="004676F5">
        <w:rPr>
          <w:b/>
          <w:lang w:val="de-DE"/>
        </w:rPr>
        <w:t>XI.60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Verletzungen der in Artikel XI.59 erwähnten Rechte des Inhabers bilden eine Patentverletzung, für die der Täter als verantwortlich gilt.</w:t>
      </w:r>
    </w:p>
    <w:p w14:paraId="4E69DD48" w14:textId="77777777" w:rsidR="001527B1" w:rsidRPr="004676F5" w:rsidRDefault="001527B1" w:rsidP="001527B1">
      <w:pPr>
        <w:ind w:firstLine="708"/>
        <w:jc w:val="both"/>
        <w:rPr>
          <w:lang w:val="de-DE"/>
        </w:rPr>
      </w:pPr>
    </w:p>
    <w:p w14:paraId="4E5AF77C" w14:textId="2DA4E2AC" w:rsidR="001527B1" w:rsidRPr="004676F5" w:rsidRDefault="001527B1" w:rsidP="001527B1">
      <w:pPr>
        <w:ind w:firstLine="708"/>
        <w:jc w:val="both"/>
        <w:rPr>
          <w:lang w:val="de-DE"/>
        </w:rPr>
      </w:pPr>
      <w:r w:rsidRPr="004676F5">
        <w:rPr>
          <w:lang w:val="de-DE"/>
        </w:rPr>
        <w:t>Ist ein Verfahren zur Herstellung eines neuen Erzeugnisses Gegenstand des Patents, so gilt bis zum Beweis des Gegenteils das gleiche Erzeugnis, das von einem anderen als dem Patentinhaber hergestellt worden ist, als nach dem patentierten Verfahren hergestellt. Bei der Erhebung des Beweises des Gegenteils sind die berechtigten Interessen des Beklagten an der Wahrung seiner Herstellungs</w:t>
      </w:r>
      <w:r w:rsidR="005B7A5C" w:rsidRPr="004676F5">
        <w:rPr>
          <w:lang w:val="de-DE"/>
        </w:rPr>
        <w:t>- </w:t>
      </w:r>
      <w:r w:rsidRPr="004676F5">
        <w:rPr>
          <w:lang w:val="de-DE"/>
        </w:rPr>
        <w:t>und Betriebsgeheimnisse zu berücksichtigen.</w:t>
      </w:r>
    </w:p>
    <w:p w14:paraId="12D53235" w14:textId="77777777" w:rsidR="001527B1" w:rsidRPr="004676F5" w:rsidRDefault="001527B1" w:rsidP="001527B1">
      <w:pPr>
        <w:ind w:firstLine="708"/>
        <w:jc w:val="both"/>
        <w:rPr>
          <w:lang w:val="de-DE"/>
        </w:rPr>
      </w:pPr>
    </w:p>
    <w:p w14:paraId="17F3CCC9" w14:textId="62DD7793"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Inhaber oder Nießbraucher eines Patents sind befugt, Klage wegen Patent</w:t>
      </w:r>
      <w:r w:rsidRPr="004676F5">
        <w:rPr>
          <w:lang w:val="de-DE"/>
        </w:rPr>
        <w:softHyphen/>
        <w:t>verletzung einzuleiten.</w:t>
      </w:r>
    </w:p>
    <w:p w14:paraId="7F03F0F7" w14:textId="77777777" w:rsidR="001527B1" w:rsidRPr="004676F5" w:rsidRDefault="001527B1" w:rsidP="001527B1">
      <w:pPr>
        <w:ind w:firstLine="708"/>
        <w:jc w:val="both"/>
        <w:rPr>
          <w:lang w:val="de-DE"/>
        </w:rPr>
      </w:pPr>
    </w:p>
    <w:p w14:paraId="55402B8A" w14:textId="77777777" w:rsidR="001527B1" w:rsidRPr="004676F5" w:rsidRDefault="001527B1" w:rsidP="001527B1">
      <w:pPr>
        <w:ind w:firstLine="708"/>
        <w:jc w:val="both"/>
        <w:rPr>
          <w:lang w:val="de-DE"/>
        </w:rPr>
      </w:pPr>
      <w:r w:rsidRPr="004676F5">
        <w:rPr>
          <w:lang w:val="de-DE"/>
        </w:rPr>
        <w:t>Inhaber einer in Anwendung von Artikel XI.37 § 1 Nr. 1 erteilten Zwangslizenz können jedoch Klage wegen Patentverletzung einleiten, wenn der Inhaber oder Nießbraucher des Patents nach Inverzugsetzung keine derartige Klage einleitet.</w:t>
      </w:r>
    </w:p>
    <w:p w14:paraId="19D3380F" w14:textId="77777777" w:rsidR="001527B1" w:rsidRPr="004676F5" w:rsidRDefault="001527B1" w:rsidP="001527B1">
      <w:pPr>
        <w:ind w:firstLine="708"/>
        <w:jc w:val="both"/>
        <w:rPr>
          <w:lang w:val="de-DE"/>
        </w:rPr>
      </w:pPr>
    </w:p>
    <w:p w14:paraId="571A52A4" w14:textId="77777777" w:rsidR="001527B1" w:rsidRPr="004676F5" w:rsidRDefault="001527B1" w:rsidP="001527B1">
      <w:pPr>
        <w:ind w:firstLine="708"/>
        <w:jc w:val="both"/>
        <w:rPr>
          <w:lang w:val="de-DE"/>
        </w:rPr>
      </w:pPr>
      <w:r w:rsidRPr="004676F5">
        <w:rPr>
          <w:lang w:val="de-DE"/>
        </w:rPr>
        <w:t>Vorbehaltlich anders lautender Bestimmung im Lizenzvertrag ist der vorhergehende Absatz ebenfalls auf Inhaber einer ausschließlichen Lizenz anwendbar.</w:t>
      </w:r>
    </w:p>
    <w:p w14:paraId="27E14A73" w14:textId="77777777" w:rsidR="001527B1" w:rsidRPr="004676F5" w:rsidRDefault="001527B1" w:rsidP="001527B1">
      <w:pPr>
        <w:ind w:firstLine="708"/>
        <w:jc w:val="both"/>
        <w:rPr>
          <w:lang w:val="de-DE"/>
        </w:rPr>
      </w:pPr>
    </w:p>
    <w:p w14:paraId="08F1F4B3" w14:textId="77777777" w:rsidR="001527B1" w:rsidRPr="004676F5" w:rsidRDefault="001527B1" w:rsidP="001527B1">
      <w:pPr>
        <w:ind w:firstLine="708"/>
        <w:jc w:val="both"/>
        <w:rPr>
          <w:lang w:val="de-DE"/>
        </w:rPr>
      </w:pPr>
      <w:r w:rsidRPr="004676F5">
        <w:rPr>
          <w:lang w:val="de-DE"/>
        </w:rPr>
        <w:t>Lizenznehmer dürfen einer vom Inhaber oder Nießbraucher des Patents eingereichten Klage wegen Patentverletzung beitreten, um den Ersatz ihres eigenen Schadens geltend zu machen.</w:t>
      </w:r>
    </w:p>
    <w:p w14:paraId="45451F1D" w14:textId="77777777" w:rsidR="001527B1" w:rsidRPr="004676F5" w:rsidRDefault="001527B1" w:rsidP="001527B1">
      <w:pPr>
        <w:ind w:firstLine="708"/>
        <w:jc w:val="both"/>
        <w:rPr>
          <w:lang w:val="de-DE"/>
        </w:rPr>
      </w:pPr>
    </w:p>
    <w:p w14:paraId="07C77C32" w14:textId="0E7DA158"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Eine Klage wegen Patentverletzung kann erst ab dem Datum, an dem das Patent der Öffentlichkeit zugänglich gemacht wird, und nur für Verletzungen, die ab diesem Datum begangen wurden, eingeleitet werden.</w:t>
      </w:r>
    </w:p>
    <w:p w14:paraId="0AF449C8" w14:textId="77777777" w:rsidR="001527B1" w:rsidRPr="004676F5" w:rsidRDefault="001527B1" w:rsidP="001527B1">
      <w:pPr>
        <w:ind w:firstLine="708"/>
        <w:jc w:val="both"/>
        <w:rPr>
          <w:lang w:val="de-DE"/>
        </w:rPr>
      </w:pPr>
    </w:p>
    <w:p w14:paraId="58BF394C" w14:textId="77777777" w:rsidR="00CE5A09" w:rsidRPr="004676F5" w:rsidRDefault="00CE5A09" w:rsidP="001527B1">
      <w:pPr>
        <w:ind w:firstLine="708"/>
        <w:jc w:val="both"/>
        <w:rPr>
          <w:lang w:val="de-DE"/>
        </w:rPr>
      </w:pPr>
    </w:p>
    <w:p w14:paraId="3B0608ED" w14:textId="0C69D390" w:rsidR="001527B1" w:rsidRPr="004676F5" w:rsidRDefault="00BE0A56" w:rsidP="001527B1">
      <w:pPr>
        <w:ind w:firstLine="708"/>
        <w:jc w:val="both"/>
        <w:rPr>
          <w:lang w:val="de-DE"/>
        </w:rPr>
      </w:pPr>
      <w:r w:rsidRPr="004676F5">
        <w:rPr>
          <w:b/>
          <w:lang w:val="de-DE"/>
        </w:rPr>
        <w:t>Art. </w:t>
      </w:r>
      <w:r w:rsidR="001527B1" w:rsidRPr="004676F5">
        <w:rPr>
          <w:b/>
          <w:lang w:val="de-DE"/>
        </w:rPr>
        <w:t>XI.61</w:t>
      </w:r>
      <w:r w:rsidR="001527B1" w:rsidRPr="004676F5">
        <w:rPr>
          <w:lang w:val="de-DE"/>
        </w:rPr>
        <w:t> </w:t>
      </w:r>
      <w:r w:rsidR="005B7A5C" w:rsidRPr="004676F5">
        <w:rPr>
          <w:lang w:val="de-DE"/>
        </w:rPr>
        <w:t>- </w:t>
      </w:r>
      <w:r w:rsidR="001527B1" w:rsidRPr="004676F5">
        <w:rPr>
          <w:lang w:val="de-DE"/>
        </w:rPr>
        <w:t>Eine Klage wegen Patentverletzung verjährt in fünf Jahren ab dem Tag, an dem die Verletzung begangen wurde.</w:t>
      </w:r>
    </w:p>
    <w:p w14:paraId="719150A6" w14:textId="77777777" w:rsidR="001527B1" w:rsidRPr="004676F5" w:rsidRDefault="001527B1" w:rsidP="001527B1">
      <w:pPr>
        <w:ind w:firstLine="708"/>
        <w:jc w:val="both"/>
        <w:rPr>
          <w:lang w:val="de-DE"/>
        </w:rPr>
      </w:pPr>
    </w:p>
    <w:p w14:paraId="6ECFE75D" w14:textId="77777777" w:rsidR="00CE5A09" w:rsidRPr="004676F5" w:rsidRDefault="00CE5A09" w:rsidP="001527B1">
      <w:pPr>
        <w:ind w:firstLine="708"/>
        <w:jc w:val="both"/>
        <w:rPr>
          <w:lang w:val="de-DE"/>
        </w:rPr>
      </w:pPr>
    </w:p>
    <w:p w14:paraId="38EBCCC0" w14:textId="77777777" w:rsidR="00CE5A09" w:rsidRPr="004676F5" w:rsidRDefault="00CE5A09">
      <w:pPr>
        <w:rPr>
          <w:lang w:val="de-DE"/>
        </w:rPr>
      </w:pPr>
      <w:r w:rsidRPr="004676F5">
        <w:rPr>
          <w:lang w:val="de-DE"/>
        </w:rPr>
        <w:br w:type="page"/>
      </w:r>
    </w:p>
    <w:p w14:paraId="491AC63B" w14:textId="58B07C71" w:rsidR="001527B1" w:rsidRPr="004676F5" w:rsidRDefault="001527B1" w:rsidP="001527B1">
      <w:pPr>
        <w:jc w:val="center"/>
        <w:rPr>
          <w:lang w:val="de-DE"/>
        </w:rPr>
      </w:pPr>
      <w:r w:rsidRPr="004676F5">
        <w:rPr>
          <w:lang w:val="de-DE"/>
        </w:rPr>
        <w:lastRenderedPageBreak/>
        <w:t>KAPITEL 3 </w:t>
      </w:r>
      <w:r w:rsidR="005B7A5C" w:rsidRPr="004676F5">
        <w:rPr>
          <w:lang w:val="de-DE"/>
        </w:rPr>
        <w:t>- </w:t>
      </w:r>
      <w:r w:rsidRPr="004676F5">
        <w:rPr>
          <w:i/>
          <w:lang w:val="de-DE"/>
        </w:rPr>
        <w:t>Vertretung vor dem Amt</w:t>
      </w:r>
    </w:p>
    <w:p w14:paraId="23338F2A" w14:textId="77777777" w:rsidR="001527B1" w:rsidRPr="004676F5" w:rsidRDefault="001527B1" w:rsidP="001527B1">
      <w:pPr>
        <w:ind w:firstLine="708"/>
        <w:jc w:val="both"/>
        <w:rPr>
          <w:lang w:val="de-DE"/>
        </w:rPr>
      </w:pPr>
    </w:p>
    <w:p w14:paraId="0C080DE9" w14:textId="1284D9BB" w:rsidR="00CE5A09" w:rsidRPr="004676F5" w:rsidRDefault="00CE5A09" w:rsidP="001527B1">
      <w:pPr>
        <w:ind w:firstLine="708"/>
        <w:jc w:val="both"/>
        <w:rPr>
          <w:lang w:val="de-DE"/>
        </w:rPr>
      </w:pPr>
    </w:p>
    <w:p w14:paraId="0DA1A93D" w14:textId="573D6D6A" w:rsidR="00437658" w:rsidRPr="004676F5" w:rsidRDefault="00437658" w:rsidP="00437658">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Vertretungspflicht]</w:t>
      </w:r>
    </w:p>
    <w:p w14:paraId="5A02BE5B" w14:textId="364D9422" w:rsidR="00437658" w:rsidRPr="004676F5" w:rsidRDefault="00437658" w:rsidP="00437658">
      <w:pPr>
        <w:jc w:val="center"/>
        <w:rPr>
          <w:lang w:val="de-DE"/>
        </w:rPr>
      </w:pPr>
    </w:p>
    <w:p w14:paraId="5938A57B" w14:textId="58D81F1A" w:rsidR="00437658" w:rsidRPr="004676F5" w:rsidRDefault="00437658" w:rsidP="00437658">
      <w:pPr>
        <w:jc w:val="both"/>
        <w:rPr>
          <w:i/>
          <w:iCs/>
          <w:lang w:val="de-DE"/>
        </w:rPr>
      </w:pPr>
      <w:r w:rsidRPr="004676F5">
        <w:rPr>
          <w:i/>
          <w:lang w:val="de-DE"/>
        </w:rPr>
        <w:t>[Unterteilung Abschnitt 1 eingefügt durch Art. 5</w:t>
      </w:r>
      <w:r w:rsidRPr="004676F5">
        <w:rPr>
          <w:i/>
          <w:iCs/>
          <w:lang w:val="de-DE"/>
        </w:rPr>
        <w:t xml:space="preserve"> des G. vom 8. Juli 2018 (B.S. vom 19. Juli 2018)]</w:t>
      </w:r>
    </w:p>
    <w:p w14:paraId="1D575AD8" w14:textId="312BFF40" w:rsidR="00437658" w:rsidRPr="004676F5" w:rsidRDefault="00437658" w:rsidP="00437658">
      <w:pPr>
        <w:jc w:val="both"/>
        <w:rPr>
          <w:lang w:val="de-DE"/>
        </w:rPr>
      </w:pPr>
    </w:p>
    <w:p w14:paraId="539FF72C" w14:textId="77777777" w:rsidR="00437658" w:rsidRPr="004676F5" w:rsidRDefault="00437658" w:rsidP="001527B1">
      <w:pPr>
        <w:ind w:firstLine="708"/>
        <w:jc w:val="both"/>
        <w:rPr>
          <w:lang w:val="de-DE"/>
        </w:rPr>
      </w:pPr>
    </w:p>
    <w:p w14:paraId="2C0A5A58" w14:textId="7633B820" w:rsidR="001527B1" w:rsidRPr="004676F5" w:rsidRDefault="00BE0A56" w:rsidP="001527B1">
      <w:pPr>
        <w:ind w:firstLine="708"/>
        <w:jc w:val="both"/>
        <w:rPr>
          <w:lang w:val="de-DE"/>
        </w:rPr>
      </w:pPr>
      <w:r w:rsidRPr="004676F5">
        <w:rPr>
          <w:b/>
          <w:lang w:val="de-DE"/>
        </w:rPr>
        <w:t>Art. </w:t>
      </w:r>
      <w:r w:rsidR="001527B1" w:rsidRPr="004676F5">
        <w:rPr>
          <w:b/>
          <w:lang w:val="de-DE"/>
        </w:rPr>
        <w:t>XI.62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Vorbehaltlich der Bestimmungen von § 2 und § 3 Absatz 1 ist niemand verpflichtet, sich auf dem Gebiet des Patentwesens vor dem Amt vertreten zu lassen.</w:t>
      </w:r>
    </w:p>
    <w:p w14:paraId="2438AC60" w14:textId="77777777" w:rsidR="001527B1" w:rsidRPr="004676F5" w:rsidRDefault="001527B1" w:rsidP="001527B1">
      <w:pPr>
        <w:ind w:firstLine="708"/>
        <w:jc w:val="both"/>
        <w:rPr>
          <w:lang w:val="de-DE"/>
        </w:rPr>
      </w:pPr>
    </w:p>
    <w:p w14:paraId="2D39A083" w14:textId="572DD0B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Natürliche und juristische Personen, die auf dem Gebiet des Patentwesens vor dem Amt durch eine Drittperson handeln wollen, müssen auf einen zugelassenen Vertreter zurückgreifen.</w:t>
      </w:r>
    </w:p>
    <w:p w14:paraId="16CF9FED" w14:textId="77777777" w:rsidR="001527B1" w:rsidRPr="004676F5" w:rsidRDefault="001527B1" w:rsidP="001527B1">
      <w:pPr>
        <w:ind w:firstLine="708"/>
        <w:jc w:val="both"/>
        <w:rPr>
          <w:lang w:val="de-DE"/>
        </w:rPr>
      </w:pPr>
    </w:p>
    <w:p w14:paraId="363714E0" w14:textId="05F827CC"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 xml:space="preserve">Natürliche und juristische Personen, die weder Wohnsitz noch tatsächliche Niederlassung in einem Mitgliedstaat </w:t>
      </w:r>
      <w:r w:rsidR="000279D2" w:rsidRPr="004676F5">
        <w:rPr>
          <w:lang w:val="de-DE"/>
        </w:rPr>
        <w:t>[...]</w:t>
      </w:r>
      <w:r w:rsidRPr="004676F5">
        <w:rPr>
          <w:lang w:val="de-DE"/>
        </w:rPr>
        <w:t xml:space="preserve"> haben, müssen von einem zugelassenen Vertreter vertreten werden und durch ihn handeln, um auf dem Gebiet des Patentwesens vor dem Amt zu handeln.</w:t>
      </w:r>
    </w:p>
    <w:p w14:paraId="7A289DAD" w14:textId="77777777" w:rsidR="001527B1" w:rsidRPr="004676F5" w:rsidRDefault="001527B1" w:rsidP="001527B1">
      <w:pPr>
        <w:ind w:firstLine="708"/>
        <w:jc w:val="both"/>
        <w:rPr>
          <w:lang w:val="de-DE"/>
        </w:rPr>
      </w:pPr>
    </w:p>
    <w:p w14:paraId="033600EB" w14:textId="77777777" w:rsidR="001527B1" w:rsidRPr="004676F5" w:rsidRDefault="001527B1" w:rsidP="001527B1">
      <w:pPr>
        <w:ind w:firstLine="708"/>
        <w:jc w:val="both"/>
        <w:rPr>
          <w:lang w:val="de-DE"/>
        </w:rPr>
      </w:pPr>
      <w:r w:rsidRPr="004676F5">
        <w:rPr>
          <w:lang w:val="de-DE"/>
        </w:rPr>
        <w:t>In Absatz 1 erwähnte natürliche und juristische Personen können bei folgenden Verfahren selbst vor dem Amt handeln:</w:t>
      </w:r>
    </w:p>
    <w:p w14:paraId="49CDEFA4" w14:textId="77777777" w:rsidR="001527B1" w:rsidRPr="004676F5" w:rsidRDefault="001527B1" w:rsidP="001527B1">
      <w:pPr>
        <w:ind w:firstLine="708"/>
        <w:jc w:val="both"/>
        <w:rPr>
          <w:lang w:val="de-DE"/>
        </w:rPr>
      </w:pPr>
    </w:p>
    <w:p w14:paraId="7C6F503A" w14:textId="77777777" w:rsidR="001527B1" w:rsidRPr="004676F5" w:rsidRDefault="001527B1" w:rsidP="001527B1">
      <w:pPr>
        <w:ind w:firstLine="708"/>
        <w:jc w:val="both"/>
        <w:rPr>
          <w:lang w:val="de-DE"/>
        </w:rPr>
      </w:pPr>
      <w:r w:rsidRPr="004676F5">
        <w:rPr>
          <w:lang w:val="de-DE"/>
        </w:rPr>
        <w:t>1. Einreichung einer Anmeldung zum Zweck der Zuerkennung eines Anmeldetags,</w:t>
      </w:r>
    </w:p>
    <w:p w14:paraId="5565B642" w14:textId="77777777" w:rsidR="001527B1" w:rsidRPr="004676F5" w:rsidRDefault="001527B1" w:rsidP="001527B1">
      <w:pPr>
        <w:ind w:firstLine="708"/>
        <w:jc w:val="both"/>
        <w:rPr>
          <w:lang w:val="de-DE"/>
        </w:rPr>
      </w:pPr>
    </w:p>
    <w:p w14:paraId="3A0DDF1D" w14:textId="77777777" w:rsidR="001527B1" w:rsidRPr="004676F5" w:rsidRDefault="001527B1" w:rsidP="001527B1">
      <w:pPr>
        <w:ind w:firstLine="708"/>
        <w:jc w:val="both"/>
        <w:rPr>
          <w:lang w:val="de-DE"/>
        </w:rPr>
      </w:pPr>
      <w:r w:rsidRPr="004676F5">
        <w:rPr>
          <w:lang w:val="de-DE"/>
        </w:rPr>
        <w:t>2. Zahlung einer Gebühr,</w:t>
      </w:r>
    </w:p>
    <w:p w14:paraId="41352CE8" w14:textId="77777777" w:rsidR="001527B1" w:rsidRPr="004676F5" w:rsidRDefault="001527B1" w:rsidP="001527B1">
      <w:pPr>
        <w:ind w:firstLine="708"/>
        <w:jc w:val="both"/>
        <w:rPr>
          <w:lang w:val="de-DE"/>
        </w:rPr>
      </w:pPr>
    </w:p>
    <w:p w14:paraId="3008A429" w14:textId="77777777" w:rsidR="001527B1" w:rsidRPr="004676F5" w:rsidRDefault="001527B1" w:rsidP="001527B1">
      <w:pPr>
        <w:ind w:firstLine="708"/>
        <w:jc w:val="both"/>
        <w:rPr>
          <w:lang w:val="de-DE"/>
        </w:rPr>
      </w:pPr>
      <w:r w:rsidRPr="004676F5">
        <w:rPr>
          <w:lang w:val="de-DE"/>
        </w:rPr>
        <w:t>3. Einreichung der Abschrift einer früheren Anmeldung,</w:t>
      </w:r>
    </w:p>
    <w:p w14:paraId="568E979A" w14:textId="77777777" w:rsidR="001527B1" w:rsidRPr="004676F5" w:rsidRDefault="001527B1" w:rsidP="001527B1">
      <w:pPr>
        <w:ind w:firstLine="708"/>
        <w:jc w:val="both"/>
        <w:rPr>
          <w:lang w:val="de-DE"/>
        </w:rPr>
      </w:pPr>
    </w:p>
    <w:p w14:paraId="375ADF90" w14:textId="77777777" w:rsidR="001527B1" w:rsidRPr="004676F5" w:rsidRDefault="001527B1" w:rsidP="001527B1">
      <w:pPr>
        <w:ind w:firstLine="708"/>
        <w:jc w:val="both"/>
        <w:rPr>
          <w:lang w:val="de-DE"/>
        </w:rPr>
      </w:pPr>
      <w:r w:rsidRPr="004676F5">
        <w:rPr>
          <w:lang w:val="de-DE"/>
        </w:rPr>
        <w:t>4. Ausstellung einer Empfangsbescheinigung oder einer Notifizierung des Amtes im Zusammenhang mit einem in Nr. 1, 2 oder 3 erwähnten Verfahren.</w:t>
      </w:r>
    </w:p>
    <w:p w14:paraId="343F7161" w14:textId="77777777" w:rsidR="001527B1" w:rsidRPr="004676F5" w:rsidRDefault="001527B1" w:rsidP="001527B1">
      <w:pPr>
        <w:ind w:firstLine="708"/>
        <w:jc w:val="both"/>
        <w:rPr>
          <w:lang w:val="de-DE"/>
        </w:rPr>
      </w:pPr>
    </w:p>
    <w:p w14:paraId="00ED5675" w14:textId="60E97CA0"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Jede Person kann die Jahresgebühren entrichten.</w:t>
      </w:r>
    </w:p>
    <w:p w14:paraId="2C1A6D2B" w14:textId="77777777" w:rsidR="001527B1" w:rsidRPr="004676F5" w:rsidRDefault="001527B1" w:rsidP="001527B1">
      <w:pPr>
        <w:ind w:firstLine="708"/>
        <w:jc w:val="both"/>
        <w:rPr>
          <w:lang w:val="de-DE"/>
        </w:rPr>
      </w:pPr>
    </w:p>
    <w:p w14:paraId="7D9E5EF9" w14:textId="6A7AFBA2" w:rsidR="001527B1" w:rsidRPr="004676F5" w:rsidRDefault="001527B1" w:rsidP="00437658">
      <w:pPr>
        <w:ind w:firstLine="708"/>
        <w:jc w:val="both"/>
        <w:rPr>
          <w:lang w:val="de-DE"/>
        </w:rPr>
      </w:pPr>
      <w:r w:rsidRPr="004676F5">
        <w:rPr>
          <w:lang w:val="de-DE"/>
        </w:rPr>
        <w:t>§ 5 </w:t>
      </w:r>
      <w:r w:rsidR="005B7A5C" w:rsidRPr="004676F5">
        <w:rPr>
          <w:lang w:val="de-DE"/>
        </w:rPr>
        <w:t>- </w:t>
      </w:r>
      <w:r w:rsidR="00437658" w:rsidRPr="004676F5">
        <w:rPr>
          <w:lang w:val="de-DE"/>
        </w:rPr>
        <w:t>[...]</w:t>
      </w:r>
    </w:p>
    <w:p w14:paraId="3FAE83C6" w14:textId="77777777" w:rsidR="001527B1" w:rsidRPr="004676F5" w:rsidRDefault="001527B1" w:rsidP="001527B1">
      <w:pPr>
        <w:ind w:firstLine="708"/>
        <w:jc w:val="both"/>
        <w:rPr>
          <w:lang w:val="de-DE"/>
        </w:rPr>
      </w:pPr>
    </w:p>
    <w:p w14:paraId="25020C96" w14:textId="29249E3A"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Natürliche und juristische Personen mit Wohnsitz oder tatsächlicher Nieder</w:t>
      </w:r>
      <w:r w:rsidRPr="004676F5">
        <w:rPr>
          <w:lang w:val="de-DE"/>
        </w:rPr>
        <w:softHyphen/>
        <w:t>lassung in einem Mitgliedstaat der Europäischen Union können auf dem Gebiet des Patentwesens vor dem Amt durch einen ihrer Angestellten handeln, der kein zugelassener Vertreter zu sein braucht, aber einer Vollmacht bedarf. Der König kann vorschreiben, ob und unter welchen Bedingungen Angestellte einer in vorliegendem Paragraphen erwähnten juristischen Person auch für andere juristische Personen mit tatsächlicher Niederlassung in einem Mitgliedstaat der Europäischen Union, die mit ihr wirtschaftlich verbunden sind, handeln können.</w:t>
      </w:r>
    </w:p>
    <w:p w14:paraId="5AA99F2C" w14:textId="77777777" w:rsidR="001527B1" w:rsidRPr="004676F5" w:rsidRDefault="001527B1" w:rsidP="001527B1">
      <w:pPr>
        <w:ind w:firstLine="708"/>
        <w:jc w:val="both"/>
        <w:rPr>
          <w:lang w:val="de-DE"/>
        </w:rPr>
      </w:pPr>
    </w:p>
    <w:p w14:paraId="384C3C2B" w14:textId="5BDC7837"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Sonderbestimmungen über die gemeinsame Vertretung mehrerer Beteiligter, die gemeinsam handeln, können vom König festgelegt werden.</w:t>
      </w:r>
    </w:p>
    <w:p w14:paraId="5FAD07A6" w14:textId="77777777" w:rsidR="001527B1" w:rsidRPr="004676F5" w:rsidRDefault="001527B1" w:rsidP="001527B1">
      <w:pPr>
        <w:ind w:firstLine="708"/>
        <w:jc w:val="both"/>
        <w:rPr>
          <w:lang w:val="de-DE"/>
        </w:rPr>
      </w:pPr>
    </w:p>
    <w:p w14:paraId="78641AE6" w14:textId="77777777" w:rsidR="000279D2" w:rsidRPr="004676F5" w:rsidRDefault="000279D2">
      <w:pPr>
        <w:rPr>
          <w:lang w:val="de-DE"/>
        </w:rPr>
      </w:pPr>
      <w:r w:rsidRPr="004676F5">
        <w:rPr>
          <w:lang w:val="de-DE"/>
        </w:rPr>
        <w:br w:type="page"/>
      </w:r>
    </w:p>
    <w:p w14:paraId="0C0B56D5" w14:textId="781D0257" w:rsidR="001527B1" w:rsidRPr="004676F5" w:rsidRDefault="001527B1" w:rsidP="001527B1">
      <w:pPr>
        <w:ind w:firstLine="708"/>
        <w:jc w:val="both"/>
        <w:rPr>
          <w:lang w:val="de-DE"/>
        </w:rPr>
      </w:pPr>
      <w:r w:rsidRPr="004676F5">
        <w:rPr>
          <w:lang w:val="de-DE"/>
        </w:rPr>
        <w:lastRenderedPageBreak/>
        <w:t>§ 8 </w:t>
      </w:r>
      <w:r w:rsidR="005B7A5C" w:rsidRPr="004676F5">
        <w:rPr>
          <w:lang w:val="de-DE"/>
        </w:rPr>
        <w:t>- </w:t>
      </w:r>
      <w:r w:rsidRPr="004676F5">
        <w:rPr>
          <w:lang w:val="de-DE"/>
        </w:rPr>
        <w:t xml:space="preserve">Für die Anwendung des vorliegenden Kapitels ist die Verfahrenssprache und die Sprache für die Korrespondenz mit dem Amt die Sprache, die ein Patentanmelder oder Patentinhaber gemäß </w:t>
      </w:r>
      <w:r w:rsidR="00FC6DC1" w:rsidRPr="004676F5">
        <w:rPr>
          <w:lang w:val="de-DE"/>
        </w:rPr>
        <w:t>[den Regeln für den Sprachengebrauch]</w:t>
      </w:r>
      <w:r w:rsidRPr="004676F5">
        <w:rPr>
          <w:lang w:val="de-DE"/>
        </w:rPr>
        <w:t xml:space="preserve"> benutzen muss.</w:t>
      </w:r>
    </w:p>
    <w:p w14:paraId="063DC4B6" w14:textId="77777777" w:rsidR="00FC6DC1" w:rsidRPr="004676F5" w:rsidRDefault="00FC6DC1" w:rsidP="001527B1">
      <w:pPr>
        <w:ind w:firstLine="708"/>
        <w:jc w:val="both"/>
        <w:rPr>
          <w:lang w:val="de-DE"/>
        </w:rPr>
      </w:pPr>
    </w:p>
    <w:p w14:paraId="24420CD9" w14:textId="75D2A057" w:rsidR="00FC6DC1" w:rsidRPr="004676F5" w:rsidRDefault="00FC6DC1" w:rsidP="001527B1">
      <w:pPr>
        <w:ind w:firstLine="708"/>
        <w:jc w:val="both"/>
        <w:rPr>
          <w:lang w:val="de-DE"/>
        </w:rPr>
      </w:pPr>
      <w:r w:rsidRPr="004676F5">
        <w:rPr>
          <w:lang w:val="de-DE"/>
        </w:rPr>
        <w:t>[Gibt es mehrere Patentanmelder, so ist die Verfahrenssprache und die Sprache für die Korrespondenz mit dem Amt die Sprache, die von den Patentanmeldern unter den Sprachen gewählt wird, die jeder von ihnen einzeln betrachtet zum Zeitpunkt der Einreichung des Antrags auf Erteilung des Patents im Prinzip benutzen muss.]</w:t>
      </w:r>
    </w:p>
    <w:p w14:paraId="6FF666AB" w14:textId="5ACD9FA3" w:rsidR="00437658" w:rsidRPr="004676F5" w:rsidRDefault="00437658" w:rsidP="001527B1">
      <w:pPr>
        <w:ind w:firstLine="708"/>
        <w:jc w:val="both"/>
        <w:rPr>
          <w:lang w:val="de-DE"/>
        </w:rPr>
      </w:pPr>
    </w:p>
    <w:p w14:paraId="1D721140" w14:textId="22B8B649" w:rsidR="00437658" w:rsidRPr="004676F5" w:rsidRDefault="00437658" w:rsidP="00437658">
      <w:pPr>
        <w:jc w:val="both"/>
        <w:rPr>
          <w:i/>
          <w:lang w:val="de-DE"/>
        </w:rPr>
      </w:pPr>
      <w:r w:rsidRPr="004676F5">
        <w:rPr>
          <w:i/>
          <w:lang w:val="de-DE"/>
        </w:rPr>
        <w:t>[Art. XI.62</w:t>
      </w:r>
      <w:r w:rsidR="000279D2" w:rsidRPr="004676F5">
        <w:rPr>
          <w:i/>
          <w:lang w:val="de-DE"/>
        </w:rPr>
        <w:t xml:space="preserve"> § 3 Abs. 1 abgeändert durch Art. 39</w:t>
      </w:r>
      <w:r w:rsidR="000279D2" w:rsidRPr="004676F5">
        <w:rPr>
          <w:i/>
          <w:iCs/>
          <w:lang w:val="de-DE"/>
        </w:rPr>
        <w:t xml:space="preserve"> des G. vom 8. Juli 2018 (B.S. vom 19. Juli 2018);</w:t>
      </w:r>
      <w:r w:rsidRPr="004676F5">
        <w:rPr>
          <w:i/>
          <w:lang w:val="de-DE"/>
        </w:rPr>
        <w:t xml:space="preserve"> § 5 aufgehoben durch Art. 6</w:t>
      </w:r>
      <w:r w:rsidRPr="004676F5">
        <w:rPr>
          <w:i/>
          <w:iCs/>
          <w:lang w:val="de-DE"/>
        </w:rPr>
        <w:t xml:space="preserve"> des G. vom 8. Juli 2018 (B.S. vom 19. Juli 2018)</w:t>
      </w:r>
      <w:r w:rsidR="00FC6DC1" w:rsidRPr="004676F5">
        <w:rPr>
          <w:i/>
          <w:iCs/>
          <w:lang w:val="de-DE"/>
        </w:rPr>
        <w:t>; § 8 Abs. 1 abgeändert durch Art. 11 Nr. 1 des G. vom 25. September 2022 (B.S. vom 24. Oktober 2022); § 8 Abs. 2 eingefügt durch Art. 11 Nr. 2 des G. vom 25. September 2022 (B.S. vom 24. Oktober 2022)</w:t>
      </w:r>
      <w:r w:rsidRPr="004676F5">
        <w:rPr>
          <w:i/>
          <w:iCs/>
          <w:lang w:val="de-DE"/>
        </w:rPr>
        <w:t>]</w:t>
      </w:r>
    </w:p>
    <w:p w14:paraId="2A0ECF98" w14:textId="77777777" w:rsidR="001527B1" w:rsidRPr="004676F5" w:rsidRDefault="001527B1" w:rsidP="001527B1">
      <w:pPr>
        <w:ind w:firstLine="708"/>
        <w:jc w:val="both"/>
        <w:rPr>
          <w:lang w:val="de-DE"/>
        </w:rPr>
      </w:pPr>
    </w:p>
    <w:p w14:paraId="153EC620" w14:textId="77777777" w:rsidR="00CE5A09" w:rsidRPr="004676F5" w:rsidRDefault="00CE5A09" w:rsidP="001527B1">
      <w:pPr>
        <w:ind w:firstLine="708"/>
        <w:jc w:val="both"/>
        <w:rPr>
          <w:lang w:val="de-DE"/>
        </w:rPr>
      </w:pPr>
    </w:p>
    <w:p w14:paraId="24436D2D" w14:textId="327AADCD" w:rsidR="001527B1" w:rsidRPr="004676F5" w:rsidRDefault="00BE0A56" w:rsidP="001527B1">
      <w:pPr>
        <w:ind w:firstLine="708"/>
        <w:jc w:val="both"/>
        <w:rPr>
          <w:lang w:val="de-DE"/>
        </w:rPr>
      </w:pPr>
      <w:r w:rsidRPr="004676F5">
        <w:rPr>
          <w:b/>
          <w:lang w:val="de-DE"/>
        </w:rPr>
        <w:t>Art. </w:t>
      </w:r>
      <w:r w:rsidR="001527B1" w:rsidRPr="004676F5">
        <w:rPr>
          <w:b/>
          <w:lang w:val="de-DE"/>
        </w:rPr>
        <w:t>XI.63</w:t>
      </w:r>
      <w:r w:rsidR="001527B1" w:rsidRPr="004676F5">
        <w:rPr>
          <w:lang w:val="de-DE"/>
        </w:rPr>
        <w:t> </w:t>
      </w:r>
      <w:r w:rsidR="005B7A5C" w:rsidRPr="004676F5">
        <w:rPr>
          <w:lang w:val="de-DE"/>
        </w:rPr>
        <w:t>- </w:t>
      </w:r>
      <w:r w:rsidR="001527B1" w:rsidRPr="004676F5">
        <w:rPr>
          <w:lang w:val="de-DE"/>
        </w:rPr>
        <w:t>Unbeschadet der Bestimmungen des Gesetzes vom 8. Juli 1977 zur Billigung bestimmter internationaler Akte auf dem Gebiet des Patentwesens und unbeschadet des Artikels XI.91 sind die Bestimmungen des vorliegenden Kapitels ebenfalls auf Einreichungen von Patentanmeldungen anwendbar, die gemäß diesen internationalen Akten erfolgen, und auf alle anderen Handlungen, die sich auf diese Anmeldungen oder die aufgrund dieser Anmeldungen erteilten Patente beziehen.</w:t>
      </w:r>
    </w:p>
    <w:p w14:paraId="49C02FFD" w14:textId="77777777" w:rsidR="001527B1" w:rsidRPr="004676F5" w:rsidRDefault="001527B1" w:rsidP="001527B1">
      <w:pPr>
        <w:ind w:firstLine="708"/>
        <w:jc w:val="both"/>
        <w:rPr>
          <w:lang w:val="de-DE"/>
        </w:rPr>
      </w:pPr>
    </w:p>
    <w:p w14:paraId="6CFDD22D" w14:textId="77777777" w:rsidR="00CE5A09" w:rsidRPr="004676F5" w:rsidRDefault="00CE5A09" w:rsidP="001527B1">
      <w:pPr>
        <w:ind w:firstLine="708"/>
        <w:jc w:val="both"/>
        <w:rPr>
          <w:lang w:val="de-DE"/>
        </w:rPr>
      </w:pPr>
    </w:p>
    <w:p w14:paraId="6074FD4F" w14:textId="68EE5420" w:rsidR="001527B1" w:rsidRPr="004676F5" w:rsidRDefault="00BE0A56" w:rsidP="001527B1">
      <w:pPr>
        <w:ind w:firstLine="708"/>
        <w:jc w:val="both"/>
        <w:rPr>
          <w:lang w:val="de-DE"/>
        </w:rPr>
      </w:pPr>
      <w:r w:rsidRPr="004676F5">
        <w:rPr>
          <w:b/>
          <w:lang w:val="de-DE"/>
        </w:rPr>
        <w:t>Art. </w:t>
      </w:r>
      <w:r w:rsidR="001527B1" w:rsidRPr="004676F5">
        <w:rPr>
          <w:b/>
          <w:lang w:val="de-DE"/>
        </w:rPr>
        <w:t>XI.64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Werden eine oder mehrere der in den Artikeln XI.62 und XI.63 vorgesehenen Bedingungen nicht erfüllt, so teilt das Amt dies der Person mit, die die Handlung vorgenommen hat, und gibt ihr die Gelegenheit, innerhalb einer vom König festgelegten Frist diese Bedingungen zu erfüllen und Stellung zu nehmen.</w:t>
      </w:r>
    </w:p>
    <w:p w14:paraId="0326AE5F" w14:textId="77777777" w:rsidR="001527B1" w:rsidRPr="004676F5" w:rsidRDefault="001527B1" w:rsidP="001527B1">
      <w:pPr>
        <w:ind w:firstLine="708"/>
        <w:jc w:val="both"/>
        <w:rPr>
          <w:lang w:val="de-DE"/>
        </w:rPr>
      </w:pPr>
    </w:p>
    <w:p w14:paraId="7DFC30D9" w14:textId="12F8829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Werden eine oder mehrere der in den Artikeln XI.62 und XI.63 vorgesehenen Bedingungen innerhalb der vom König gemäß § 1 festgelegten Frist nicht erfüllt, so ist die vorgenommene Handlung von Rechts wegen nichtig.</w:t>
      </w:r>
    </w:p>
    <w:p w14:paraId="4EEAF9D5" w14:textId="77777777" w:rsidR="001527B1" w:rsidRPr="004676F5" w:rsidRDefault="001527B1" w:rsidP="001527B1">
      <w:pPr>
        <w:ind w:firstLine="708"/>
        <w:jc w:val="both"/>
        <w:rPr>
          <w:lang w:val="de-DE"/>
        </w:rPr>
      </w:pPr>
    </w:p>
    <w:p w14:paraId="277F3AAB" w14:textId="17B49187"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Nicht geschuldete Gebühren, die gezahlt worden sind, werden erstattet.</w:t>
      </w:r>
    </w:p>
    <w:p w14:paraId="56FA873D" w14:textId="77777777" w:rsidR="001527B1" w:rsidRPr="004676F5" w:rsidRDefault="001527B1" w:rsidP="001527B1">
      <w:pPr>
        <w:ind w:firstLine="708"/>
        <w:jc w:val="both"/>
        <w:rPr>
          <w:lang w:val="de-DE"/>
        </w:rPr>
      </w:pPr>
    </w:p>
    <w:p w14:paraId="6423162F" w14:textId="67B59698" w:rsidR="00CE5A09" w:rsidRPr="004676F5" w:rsidRDefault="00CE5A09" w:rsidP="00437658">
      <w:pPr>
        <w:jc w:val="both"/>
        <w:rPr>
          <w:lang w:val="de-DE"/>
        </w:rPr>
      </w:pPr>
    </w:p>
    <w:p w14:paraId="72D25AFF" w14:textId="74608D6F" w:rsidR="00437658" w:rsidRPr="004676F5" w:rsidRDefault="00437658" w:rsidP="00437658">
      <w:pPr>
        <w:jc w:val="center"/>
        <w:rPr>
          <w:lang w:val="de-DE"/>
        </w:rPr>
      </w:pPr>
      <w:r w:rsidRPr="004676F5">
        <w:rPr>
          <w:lang w:val="de-DE"/>
        </w:rPr>
        <w:t>[</w:t>
      </w:r>
      <w:r w:rsidRPr="004676F5">
        <w:rPr>
          <w:i/>
          <w:lang w:val="de-DE"/>
        </w:rPr>
        <w:t>Abschnitt 2</w:t>
      </w:r>
      <w:r w:rsidRPr="004676F5">
        <w:rPr>
          <w:lang w:val="de-DE"/>
        </w:rPr>
        <w:t> </w:t>
      </w:r>
      <w:r w:rsidR="005B7A5C" w:rsidRPr="004676F5">
        <w:rPr>
          <w:lang w:val="de-DE"/>
        </w:rPr>
        <w:t>- </w:t>
      </w:r>
      <w:r w:rsidRPr="004676F5">
        <w:rPr>
          <w:lang w:val="de-DE"/>
        </w:rPr>
        <w:t>Zugang zum Beruf des Patentanwalts]</w:t>
      </w:r>
    </w:p>
    <w:p w14:paraId="64032D37" w14:textId="68EA7D41" w:rsidR="00437658" w:rsidRPr="004676F5" w:rsidRDefault="00437658" w:rsidP="00437658">
      <w:pPr>
        <w:jc w:val="center"/>
        <w:rPr>
          <w:lang w:val="de-DE"/>
        </w:rPr>
      </w:pPr>
    </w:p>
    <w:p w14:paraId="14A0B223" w14:textId="7C2A8E7C" w:rsidR="00437658" w:rsidRPr="004676F5" w:rsidRDefault="00437658" w:rsidP="00437658">
      <w:pPr>
        <w:jc w:val="both"/>
        <w:rPr>
          <w:i/>
          <w:iCs/>
          <w:lang w:val="de-DE"/>
        </w:rPr>
      </w:pPr>
      <w:r w:rsidRPr="004676F5">
        <w:rPr>
          <w:i/>
          <w:lang w:val="de-DE"/>
        </w:rPr>
        <w:t>[Unterteilung Abschnitt 2 eingefügt durch Art. 7</w:t>
      </w:r>
      <w:r w:rsidRPr="004676F5">
        <w:rPr>
          <w:i/>
          <w:iCs/>
          <w:lang w:val="de-DE"/>
        </w:rPr>
        <w:t xml:space="preserve"> des G. vom 8. Juli 2018 (B.S. vom 19. Juli 2018)]</w:t>
      </w:r>
    </w:p>
    <w:p w14:paraId="07A93046" w14:textId="00AD9F69" w:rsidR="00437658" w:rsidRPr="004676F5" w:rsidRDefault="00437658" w:rsidP="00437658">
      <w:pPr>
        <w:jc w:val="both"/>
        <w:rPr>
          <w:iCs/>
          <w:lang w:val="de-DE"/>
        </w:rPr>
      </w:pPr>
    </w:p>
    <w:p w14:paraId="1FC9388B" w14:textId="058AE539" w:rsidR="00437658" w:rsidRPr="004676F5" w:rsidRDefault="00437658" w:rsidP="00437658">
      <w:pPr>
        <w:jc w:val="both"/>
        <w:rPr>
          <w:iCs/>
          <w:lang w:val="de-DE"/>
        </w:rPr>
      </w:pPr>
    </w:p>
    <w:p w14:paraId="7ACC19AE" w14:textId="341DEFB5" w:rsidR="00437658" w:rsidRPr="004676F5" w:rsidRDefault="00437658" w:rsidP="00437658">
      <w:pPr>
        <w:ind w:firstLine="708"/>
        <w:jc w:val="both"/>
        <w:rPr>
          <w:lang w:val="de-DE"/>
        </w:rPr>
      </w:pPr>
      <w:r w:rsidRPr="004676F5">
        <w:rPr>
          <w:iCs/>
          <w:lang w:val="de-DE"/>
        </w:rPr>
        <w:t>[</w:t>
      </w:r>
      <w:r w:rsidRPr="004676F5">
        <w:rPr>
          <w:b/>
          <w:lang w:val="de-DE"/>
        </w:rPr>
        <w:t>Art. XI.64/1</w:t>
      </w:r>
      <w:r w:rsidRPr="004676F5">
        <w:rPr>
          <w:lang w:val="de-DE"/>
        </w:rPr>
        <w:t> </w:t>
      </w:r>
      <w:r w:rsidR="005B7A5C" w:rsidRPr="004676F5">
        <w:rPr>
          <w:lang w:val="de-DE"/>
        </w:rPr>
        <w:t>- </w:t>
      </w:r>
      <w:r w:rsidRPr="004676F5">
        <w:rPr>
          <w:lang w:val="de-DE"/>
        </w:rPr>
        <w:t>Personen, die sich in Belgien niederlassen, um dort den Beruf des Patentanwalts auszuüben, müssen vor Beginn dieser Ausübung in dem in Artikel XI.65 erwähnten Register der zugelassenen Vertreter eingetragen sein.]</w:t>
      </w:r>
    </w:p>
    <w:p w14:paraId="39686FA2" w14:textId="768F6F91" w:rsidR="00437658" w:rsidRPr="004676F5" w:rsidRDefault="00437658" w:rsidP="00437658">
      <w:pPr>
        <w:ind w:firstLine="708"/>
        <w:jc w:val="both"/>
        <w:rPr>
          <w:lang w:val="de-DE"/>
        </w:rPr>
      </w:pPr>
    </w:p>
    <w:p w14:paraId="77B8118C" w14:textId="46F88D25" w:rsidR="00437658" w:rsidRPr="004676F5" w:rsidRDefault="00437658" w:rsidP="00437658">
      <w:pPr>
        <w:jc w:val="both"/>
        <w:rPr>
          <w:i/>
          <w:lang w:val="de-DE"/>
        </w:rPr>
      </w:pPr>
      <w:r w:rsidRPr="004676F5">
        <w:rPr>
          <w:i/>
          <w:lang w:val="de-DE"/>
        </w:rPr>
        <w:t>[Art. XI.64/1 eingefügt durch Art. 8</w:t>
      </w:r>
      <w:r w:rsidRPr="004676F5">
        <w:rPr>
          <w:i/>
          <w:iCs/>
          <w:lang w:val="de-DE"/>
        </w:rPr>
        <w:t xml:space="preserve"> des G. vom 8. Juli 2018 (B.S. vom 19. Juli 2018)]</w:t>
      </w:r>
    </w:p>
    <w:p w14:paraId="0302159C" w14:textId="77777777" w:rsidR="00437658" w:rsidRPr="004676F5" w:rsidRDefault="00437658" w:rsidP="00437658">
      <w:pPr>
        <w:ind w:firstLine="708"/>
        <w:jc w:val="both"/>
        <w:rPr>
          <w:lang w:val="de-DE"/>
        </w:rPr>
      </w:pPr>
    </w:p>
    <w:p w14:paraId="50D45FD0" w14:textId="77777777" w:rsidR="00437658" w:rsidRPr="004676F5" w:rsidRDefault="00437658" w:rsidP="00437658">
      <w:pPr>
        <w:ind w:firstLine="708"/>
        <w:jc w:val="both"/>
        <w:rPr>
          <w:lang w:val="de-DE"/>
        </w:rPr>
      </w:pPr>
    </w:p>
    <w:p w14:paraId="6290AC17" w14:textId="77777777" w:rsidR="00FC6DC1" w:rsidRPr="004676F5" w:rsidRDefault="00FC6DC1">
      <w:pPr>
        <w:rPr>
          <w:lang w:val="de-DE"/>
        </w:rPr>
      </w:pPr>
      <w:r w:rsidRPr="004676F5">
        <w:rPr>
          <w:lang w:val="de-DE"/>
        </w:rPr>
        <w:br w:type="page"/>
      </w:r>
    </w:p>
    <w:p w14:paraId="295913E9" w14:textId="2335D09C" w:rsidR="00437658" w:rsidRPr="004676F5" w:rsidRDefault="00437658" w:rsidP="00437658">
      <w:pPr>
        <w:ind w:firstLine="708"/>
        <w:jc w:val="both"/>
        <w:rPr>
          <w:lang w:val="de-DE"/>
        </w:rPr>
      </w:pPr>
      <w:r w:rsidRPr="004676F5">
        <w:rPr>
          <w:lang w:val="de-DE"/>
        </w:rPr>
        <w:lastRenderedPageBreak/>
        <w:t>[</w:t>
      </w:r>
      <w:r w:rsidRPr="004676F5">
        <w:rPr>
          <w:b/>
          <w:lang w:val="de-DE"/>
        </w:rPr>
        <w:t>Art. XI.64/2</w:t>
      </w:r>
      <w:r w:rsidRPr="004676F5">
        <w:rPr>
          <w:lang w:val="de-DE"/>
        </w:rPr>
        <w:t> </w:t>
      </w:r>
      <w:r w:rsidR="005B7A5C" w:rsidRPr="004676F5">
        <w:rPr>
          <w:lang w:val="de-DE"/>
        </w:rPr>
        <w:t>- </w:t>
      </w:r>
      <w:r w:rsidRPr="004676F5">
        <w:rPr>
          <w:lang w:val="de-DE"/>
        </w:rPr>
        <w:t>Können wie ein zugelassener Vertreter beim Amt auftreten:</w:t>
      </w:r>
    </w:p>
    <w:p w14:paraId="595DA976" w14:textId="77777777" w:rsidR="00437658" w:rsidRPr="004676F5" w:rsidRDefault="00437658" w:rsidP="00437658">
      <w:pPr>
        <w:ind w:firstLine="708"/>
        <w:jc w:val="both"/>
        <w:rPr>
          <w:lang w:val="de-DE"/>
        </w:rPr>
      </w:pPr>
    </w:p>
    <w:p w14:paraId="793AE935" w14:textId="77777777" w:rsidR="00437658" w:rsidRPr="004676F5" w:rsidRDefault="00437658" w:rsidP="00437658">
      <w:pPr>
        <w:ind w:firstLine="708"/>
        <w:jc w:val="both"/>
        <w:rPr>
          <w:lang w:val="de-DE"/>
        </w:rPr>
      </w:pPr>
      <w:r w:rsidRPr="004676F5">
        <w:rPr>
          <w:lang w:val="de-DE"/>
        </w:rPr>
        <w:t>1. Patentanwälte, die die Bedingungen des Artikels XI.64/3 erfüllen und Mitglied des in Artikel XI.75/3 § 1 erwähnten Instituts der Patentanwälte sind,</w:t>
      </w:r>
    </w:p>
    <w:p w14:paraId="6411922F" w14:textId="77777777" w:rsidR="00437658" w:rsidRPr="004676F5" w:rsidRDefault="00437658" w:rsidP="00437658">
      <w:pPr>
        <w:ind w:firstLine="708"/>
        <w:jc w:val="both"/>
        <w:rPr>
          <w:lang w:val="de-DE"/>
        </w:rPr>
      </w:pPr>
    </w:p>
    <w:p w14:paraId="1121FFB3" w14:textId="77777777" w:rsidR="00437658" w:rsidRPr="004676F5" w:rsidRDefault="00437658" w:rsidP="00437658">
      <w:pPr>
        <w:ind w:firstLine="708"/>
        <w:jc w:val="both"/>
        <w:rPr>
          <w:lang w:val="de-DE"/>
        </w:rPr>
      </w:pPr>
      <w:r w:rsidRPr="004676F5">
        <w:rPr>
          <w:lang w:val="de-DE"/>
        </w:rPr>
        <w:t>2. Patentanwälte, die die Bedingungen des Artikels XI.64/4 erfüllen,</w:t>
      </w:r>
    </w:p>
    <w:p w14:paraId="605B3BB6" w14:textId="77777777" w:rsidR="00437658" w:rsidRPr="004676F5" w:rsidRDefault="00437658" w:rsidP="00437658">
      <w:pPr>
        <w:ind w:firstLine="708"/>
        <w:jc w:val="both"/>
        <w:rPr>
          <w:lang w:val="de-DE"/>
        </w:rPr>
      </w:pPr>
    </w:p>
    <w:p w14:paraId="270E8C1C" w14:textId="77777777" w:rsidR="00437658" w:rsidRPr="004676F5" w:rsidRDefault="00437658" w:rsidP="00437658">
      <w:pPr>
        <w:ind w:firstLine="708"/>
        <w:jc w:val="both"/>
        <w:rPr>
          <w:lang w:val="de-DE"/>
        </w:rPr>
      </w:pPr>
      <w:r w:rsidRPr="004676F5">
        <w:rPr>
          <w:lang w:val="de-DE"/>
        </w:rPr>
        <w:t>3. Rechtsanwälte, die im Kammerverzeichnis oder in der Praktikantenliste eingetragen sind,</w:t>
      </w:r>
    </w:p>
    <w:p w14:paraId="7421E396" w14:textId="77777777" w:rsidR="00437658" w:rsidRPr="004676F5" w:rsidRDefault="00437658" w:rsidP="00437658">
      <w:pPr>
        <w:ind w:firstLine="708"/>
        <w:jc w:val="both"/>
        <w:rPr>
          <w:lang w:val="de-DE"/>
        </w:rPr>
      </w:pPr>
    </w:p>
    <w:p w14:paraId="5324F464" w14:textId="77777777" w:rsidR="00437658" w:rsidRPr="004676F5" w:rsidRDefault="00437658" w:rsidP="00437658">
      <w:pPr>
        <w:ind w:firstLine="708"/>
        <w:jc w:val="both"/>
        <w:rPr>
          <w:lang w:val="de-DE"/>
        </w:rPr>
      </w:pPr>
      <w:r w:rsidRPr="004676F5">
        <w:rPr>
          <w:lang w:val="de-DE"/>
        </w:rPr>
        <w:t>4. Rechtsanwälte, die die Staatsangehörigkeit eines Mitgliedstaats haben und ermächtigt sind, diesen Beruf in einem Mitgliedstaat auszuüben,</w:t>
      </w:r>
    </w:p>
    <w:p w14:paraId="4BC086C1" w14:textId="77777777" w:rsidR="00437658" w:rsidRPr="004676F5" w:rsidRDefault="00437658" w:rsidP="00437658">
      <w:pPr>
        <w:ind w:firstLine="708"/>
        <w:jc w:val="both"/>
        <w:rPr>
          <w:lang w:val="de-DE"/>
        </w:rPr>
      </w:pPr>
    </w:p>
    <w:p w14:paraId="33FE7F91" w14:textId="73849A90" w:rsidR="00437658" w:rsidRPr="004676F5" w:rsidRDefault="00437658" w:rsidP="00437658">
      <w:pPr>
        <w:ind w:firstLine="708"/>
        <w:jc w:val="both"/>
        <w:rPr>
          <w:lang w:val="de-DE"/>
        </w:rPr>
      </w:pPr>
      <w:r w:rsidRPr="004676F5">
        <w:rPr>
          <w:lang w:val="de-DE"/>
        </w:rPr>
        <w:t>5. Rechtsanwälte, die aufgrund eines Gesetzes oder eines internationalen Abkommens ermächtigt sind, diesen Beruf in Belgien auszuüben.]</w:t>
      </w:r>
    </w:p>
    <w:p w14:paraId="412A74FB" w14:textId="14D6A5F7" w:rsidR="00437658" w:rsidRPr="004676F5" w:rsidRDefault="00437658" w:rsidP="00437658">
      <w:pPr>
        <w:ind w:firstLine="708"/>
        <w:jc w:val="both"/>
        <w:rPr>
          <w:lang w:val="de-DE"/>
        </w:rPr>
      </w:pPr>
    </w:p>
    <w:p w14:paraId="11525DC0" w14:textId="7936828A" w:rsidR="00437658" w:rsidRPr="004676F5" w:rsidRDefault="00437658" w:rsidP="00437658">
      <w:pPr>
        <w:jc w:val="both"/>
        <w:rPr>
          <w:i/>
          <w:lang w:val="de-DE"/>
        </w:rPr>
      </w:pPr>
      <w:r w:rsidRPr="004676F5">
        <w:rPr>
          <w:i/>
          <w:lang w:val="de-DE"/>
        </w:rPr>
        <w:t>[Art. XI.64/2 eingefügt durch Art. 9</w:t>
      </w:r>
      <w:r w:rsidRPr="004676F5">
        <w:rPr>
          <w:i/>
          <w:iCs/>
          <w:lang w:val="de-DE"/>
        </w:rPr>
        <w:t xml:space="preserve"> des G. vom 8. Juli 2018 (B.S. vom 19. Juli 2018)]</w:t>
      </w:r>
    </w:p>
    <w:p w14:paraId="09A9B3F9" w14:textId="77777777" w:rsidR="00437658" w:rsidRPr="004676F5" w:rsidRDefault="00437658" w:rsidP="00437658">
      <w:pPr>
        <w:ind w:firstLine="708"/>
        <w:jc w:val="both"/>
        <w:rPr>
          <w:lang w:val="de-DE"/>
        </w:rPr>
      </w:pPr>
    </w:p>
    <w:p w14:paraId="4570B544" w14:textId="77777777" w:rsidR="00437658" w:rsidRPr="004676F5" w:rsidRDefault="00437658" w:rsidP="00437658">
      <w:pPr>
        <w:ind w:firstLine="708"/>
        <w:jc w:val="both"/>
        <w:rPr>
          <w:lang w:val="de-DE"/>
        </w:rPr>
      </w:pPr>
    </w:p>
    <w:p w14:paraId="76D70064" w14:textId="0405CCA3" w:rsidR="00437658" w:rsidRPr="004676F5" w:rsidRDefault="00437658" w:rsidP="00437658">
      <w:pPr>
        <w:ind w:firstLine="708"/>
        <w:jc w:val="both"/>
        <w:rPr>
          <w:lang w:val="de-DE"/>
        </w:rPr>
      </w:pPr>
      <w:r w:rsidRPr="004676F5">
        <w:rPr>
          <w:lang w:val="de-DE"/>
        </w:rPr>
        <w:t>[</w:t>
      </w:r>
      <w:r w:rsidRPr="004676F5">
        <w:rPr>
          <w:b/>
          <w:lang w:val="de-DE"/>
        </w:rPr>
        <w:t>Art. XI.64/3</w:t>
      </w:r>
      <w:r w:rsidRPr="004676F5">
        <w:rPr>
          <w:lang w:val="de-DE"/>
        </w:rPr>
        <w:t> </w:t>
      </w:r>
      <w:r w:rsidR="005B7A5C" w:rsidRPr="004676F5">
        <w:rPr>
          <w:lang w:val="de-DE"/>
        </w:rPr>
        <w:t>- </w:t>
      </w:r>
      <w:r w:rsidRPr="004676F5">
        <w:rPr>
          <w:lang w:val="de-DE"/>
        </w:rPr>
        <w:t>Personen, die die Staatsangehörigkeit eines Mitgliedstaats haben, rechtmäßig in einem Mitgliedstaat niedergelassen sind, um dort den Beruf des Patentanwalts auszuüben, und erstmals nach Belgien wechseln, um dort vorübergehend oder gelegentlich den Beruf des Patentanwalts auszuüben, müssen vor Beginn dieser Ausübung folgende Bedingungen erfüllen:</w:t>
      </w:r>
    </w:p>
    <w:p w14:paraId="3136F304" w14:textId="77777777" w:rsidR="00437658" w:rsidRPr="004676F5" w:rsidRDefault="00437658" w:rsidP="00437658">
      <w:pPr>
        <w:ind w:firstLine="708"/>
        <w:jc w:val="both"/>
        <w:rPr>
          <w:lang w:val="de-DE"/>
        </w:rPr>
      </w:pPr>
    </w:p>
    <w:p w14:paraId="2415AF81" w14:textId="77777777" w:rsidR="00437658" w:rsidRPr="004676F5" w:rsidRDefault="00437658" w:rsidP="00437658">
      <w:pPr>
        <w:ind w:firstLine="708"/>
        <w:jc w:val="both"/>
        <w:rPr>
          <w:lang w:val="de-DE"/>
        </w:rPr>
      </w:pPr>
      <w:r w:rsidRPr="004676F5">
        <w:rPr>
          <w:lang w:val="de-DE"/>
        </w:rPr>
        <w:t>1. wenn der Beruf des Patentanwalts im Niederlassungsmitgliedstaat nicht reglementiert ist, diesen Beruf in einem oder mehreren Mitgliedstaaten mindestens ein Jahr während der zehn der Dienstleistung vorhergehenden Jahre ausgeübt haben,</w:t>
      </w:r>
    </w:p>
    <w:p w14:paraId="6EFAB38A" w14:textId="77777777" w:rsidR="00437658" w:rsidRPr="004676F5" w:rsidRDefault="00437658" w:rsidP="00437658">
      <w:pPr>
        <w:ind w:firstLine="708"/>
        <w:jc w:val="both"/>
        <w:rPr>
          <w:lang w:val="de-DE"/>
        </w:rPr>
      </w:pPr>
    </w:p>
    <w:p w14:paraId="22C6A082" w14:textId="77777777" w:rsidR="00437658" w:rsidRPr="004676F5" w:rsidRDefault="00437658" w:rsidP="00437658">
      <w:pPr>
        <w:ind w:firstLine="708"/>
        <w:jc w:val="both"/>
        <w:rPr>
          <w:lang w:val="de-DE"/>
        </w:rPr>
      </w:pPr>
      <w:r w:rsidRPr="004676F5">
        <w:rPr>
          <w:lang w:val="de-DE"/>
        </w:rPr>
        <w:t>2. schriftlich eine Meldung eingereicht haben, deren erforderlichen Inhalt, Adressaten und weitere Modalitäten der König festlegt.</w:t>
      </w:r>
    </w:p>
    <w:p w14:paraId="390859F1" w14:textId="77777777" w:rsidR="00437658" w:rsidRPr="004676F5" w:rsidRDefault="00437658" w:rsidP="00437658">
      <w:pPr>
        <w:ind w:firstLine="708"/>
        <w:jc w:val="both"/>
        <w:rPr>
          <w:lang w:val="de-DE"/>
        </w:rPr>
      </w:pPr>
    </w:p>
    <w:p w14:paraId="106F4DAB" w14:textId="77777777" w:rsidR="00437658" w:rsidRPr="004676F5" w:rsidRDefault="00437658" w:rsidP="00437658">
      <w:pPr>
        <w:ind w:firstLine="708"/>
        <w:jc w:val="both"/>
        <w:rPr>
          <w:lang w:val="de-DE"/>
        </w:rPr>
      </w:pPr>
      <w:r w:rsidRPr="004676F5">
        <w:rPr>
          <w:lang w:val="de-DE"/>
        </w:rPr>
        <w:t>Diese schriftliche Meldung ist einmal jährlich zu erneuern, wenn der Dienstleister beabsichtigt, während des betreffenden Jahres vorübergehend oder gelegentlich Dienst</w:t>
      </w:r>
      <w:r w:rsidRPr="004676F5">
        <w:rPr>
          <w:lang w:val="de-DE"/>
        </w:rPr>
        <w:softHyphen/>
        <w:t>leistungen in Belgien zu erbringen. Der Dienstleister kann die Meldung in beliebiger Form vornehmen.</w:t>
      </w:r>
    </w:p>
    <w:p w14:paraId="190347CE" w14:textId="77777777" w:rsidR="00437658" w:rsidRPr="004676F5" w:rsidRDefault="00437658" w:rsidP="00437658">
      <w:pPr>
        <w:ind w:firstLine="708"/>
        <w:jc w:val="both"/>
        <w:rPr>
          <w:lang w:val="de-DE"/>
        </w:rPr>
      </w:pPr>
    </w:p>
    <w:p w14:paraId="2DE66388" w14:textId="77777777" w:rsidR="00437658" w:rsidRPr="004676F5" w:rsidRDefault="00437658" w:rsidP="00437658">
      <w:pPr>
        <w:ind w:firstLine="708"/>
        <w:jc w:val="both"/>
        <w:rPr>
          <w:lang w:val="de-DE"/>
        </w:rPr>
      </w:pPr>
      <w:r w:rsidRPr="004676F5">
        <w:rPr>
          <w:lang w:val="de-DE"/>
        </w:rPr>
        <w:t>Der vorübergehende und gelegentliche Charakter der Erbringung von Dienstleistungen wird im Einzelfall von dem in Artikel XI.75/3 § 1 erwähnten Rat des Instituts der Patentanwälte beurteilt, insbesondere anhand der Dauer, der Häufigkeit, der regelmäßigen Wiederkehr und der Kontinuität der Dienstleistung.</w:t>
      </w:r>
    </w:p>
    <w:p w14:paraId="7A852CFF" w14:textId="77777777" w:rsidR="00437658" w:rsidRPr="004676F5" w:rsidRDefault="00437658" w:rsidP="00437658">
      <w:pPr>
        <w:ind w:firstLine="708"/>
        <w:jc w:val="both"/>
        <w:rPr>
          <w:lang w:val="de-DE"/>
        </w:rPr>
      </w:pPr>
    </w:p>
    <w:p w14:paraId="621C359C" w14:textId="29A6D7C0" w:rsidR="00437658" w:rsidRPr="004676F5" w:rsidRDefault="00437658" w:rsidP="00437658">
      <w:pPr>
        <w:ind w:firstLine="708"/>
        <w:jc w:val="both"/>
        <w:rPr>
          <w:lang w:val="de-DE"/>
        </w:rPr>
      </w:pPr>
      <w:r w:rsidRPr="004676F5">
        <w:rPr>
          <w:lang w:val="de-DE"/>
        </w:rPr>
        <w:t>Wenn Dienstleistungen erstmals erbracht werden oder sich eine wesentliche Änderung gegenüber der in den Dokumenten bescheinigten Situation ergibt, legen Dienstleister darüber hinaus ebenfalls die in Artikel 9 § 2 Buchstabe </w:t>
      </w:r>
      <w:r w:rsidRPr="004676F5">
        <w:rPr>
          <w:i/>
          <w:iCs/>
          <w:lang w:val="de-DE"/>
        </w:rPr>
        <w:t>a)</w:t>
      </w:r>
      <w:r w:rsidRPr="004676F5">
        <w:rPr>
          <w:lang w:val="de-DE"/>
        </w:rPr>
        <w:t xml:space="preserve"> bis </w:t>
      </w:r>
      <w:r w:rsidRPr="004676F5">
        <w:rPr>
          <w:i/>
          <w:iCs/>
          <w:lang w:val="de-DE"/>
        </w:rPr>
        <w:t>d)</w:t>
      </w:r>
      <w:r w:rsidRPr="004676F5">
        <w:rPr>
          <w:lang w:val="de-DE"/>
        </w:rPr>
        <w:t xml:space="preserve"> des Gesetzes vom 12. Februar 2008 zur Einführung eines allgemeinen Rahmens für die Anerkennung von EU-Berufs</w:t>
      </w:r>
      <w:r w:rsidRPr="004676F5">
        <w:rPr>
          <w:lang w:val="de-DE"/>
        </w:rPr>
        <w:softHyphen/>
        <w:t>qualifikationen vorgesehenen Dokumente vor.]</w:t>
      </w:r>
    </w:p>
    <w:p w14:paraId="00AFAE4E" w14:textId="77777777" w:rsidR="00437658" w:rsidRPr="004676F5" w:rsidRDefault="00437658" w:rsidP="00437658">
      <w:pPr>
        <w:ind w:firstLine="708"/>
        <w:jc w:val="both"/>
        <w:rPr>
          <w:lang w:val="de-DE"/>
        </w:rPr>
      </w:pPr>
    </w:p>
    <w:p w14:paraId="6EF36729" w14:textId="19C89D88" w:rsidR="00437658" w:rsidRPr="004676F5" w:rsidRDefault="00437658" w:rsidP="00437658">
      <w:pPr>
        <w:jc w:val="both"/>
        <w:rPr>
          <w:i/>
          <w:lang w:val="de-DE"/>
        </w:rPr>
      </w:pPr>
      <w:r w:rsidRPr="004676F5">
        <w:rPr>
          <w:i/>
          <w:lang w:val="de-DE"/>
        </w:rPr>
        <w:t>[Art. XI.64/3 eingefügt durch Art. 10</w:t>
      </w:r>
      <w:r w:rsidRPr="004676F5">
        <w:rPr>
          <w:i/>
          <w:iCs/>
          <w:lang w:val="de-DE"/>
        </w:rPr>
        <w:t xml:space="preserve"> des G. vom 8. Juli 2018 (B.S. vom 19. Juli 2018)]</w:t>
      </w:r>
    </w:p>
    <w:p w14:paraId="6F418EFD" w14:textId="77777777" w:rsidR="00437658" w:rsidRPr="004676F5" w:rsidRDefault="00437658" w:rsidP="00437658">
      <w:pPr>
        <w:ind w:firstLine="708"/>
        <w:jc w:val="both"/>
        <w:rPr>
          <w:lang w:val="de-DE"/>
        </w:rPr>
      </w:pPr>
    </w:p>
    <w:p w14:paraId="5F183BEF" w14:textId="77777777" w:rsidR="00437658" w:rsidRPr="004676F5" w:rsidRDefault="00437658" w:rsidP="00437658">
      <w:pPr>
        <w:ind w:firstLine="708"/>
        <w:jc w:val="both"/>
        <w:rPr>
          <w:lang w:val="de-DE"/>
        </w:rPr>
      </w:pPr>
    </w:p>
    <w:p w14:paraId="5F43695E" w14:textId="1EAFA26C" w:rsidR="00437658" w:rsidRPr="004676F5" w:rsidRDefault="00437658" w:rsidP="00437658">
      <w:pPr>
        <w:ind w:firstLine="708"/>
        <w:jc w:val="both"/>
        <w:rPr>
          <w:lang w:val="de-DE"/>
        </w:rPr>
      </w:pPr>
      <w:r w:rsidRPr="004676F5">
        <w:rPr>
          <w:lang w:val="de-DE"/>
        </w:rPr>
        <w:lastRenderedPageBreak/>
        <w:t>[</w:t>
      </w:r>
      <w:r w:rsidRPr="004676F5">
        <w:rPr>
          <w:b/>
          <w:lang w:val="de-DE"/>
        </w:rPr>
        <w:t>Art. XI.64/4</w:t>
      </w:r>
      <w:r w:rsidRPr="004676F5">
        <w:rPr>
          <w:lang w:val="de-DE"/>
        </w:rPr>
        <w:t> </w:t>
      </w:r>
      <w:r w:rsidR="005B7A5C" w:rsidRPr="004676F5">
        <w:rPr>
          <w:lang w:val="de-DE"/>
        </w:rPr>
        <w:t>- </w:t>
      </w:r>
      <w:r w:rsidRPr="004676F5">
        <w:rPr>
          <w:lang w:val="de-DE"/>
        </w:rPr>
        <w:t>Personen, die die Staatsangehörigkeit eines Mitgliedstaats haben, rechtmäßig in einem Mitgliedstaat niedergelassen sind, um dort den Beruf des Patentanwalts auszuüben, und den Beruf des Patentanwalts erstmals in Belgien ausüben, ohne sich nach Belgien zu begeben, müssen vor Beginn dieser Ausübung folgende Bedingungen erfüllen:</w:t>
      </w:r>
    </w:p>
    <w:p w14:paraId="382E1570" w14:textId="77777777" w:rsidR="00437658" w:rsidRPr="004676F5" w:rsidRDefault="00437658" w:rsidP="00437658">
      <w:pPr>
        <w:ind w:firstLine="708"/>
        <w:jc w:val="both"/>
        <w:rPr>
          <w:lang w:val="de-DE"/>
        </w:rPr>
      </w:pPr>
    </w:p>
    <w:p w14:paraId="5AF93ECE" w14:textId="77777777" w:rsidR="00437658" w:rsidRPr="004676F5" w:rsidRDefault="00437658" w:rsidP="00437658">
      <w:pPr>
        <w:ind w:firstLine="708"/>
        <w:jc w:val="both"/>
        <w:rPr>
          <w:lang w:val="de-DE"/>
        </w:rPr>
      </w:pPr>
      <w:r w:rsidRPr="004676F5">
        <w:rPr>
          <w:lang w:val="de-DE"/>
        </w:rPr>
        <w:t>1. wenn der Beruf des Patentanwalts im Niederlassungsmitgliedstaat nicht reglementiert ist, diesen Beruf in einem oder mehreren Mitgliedstaaten mindestens ein Jahr während der zehn der Dienstleistung vorhergehenden Jahre ausgeübt haben,</w:t>
      </w:r>
    </w:p>
    <w:p w14:paraId="26EB4BDD" w14:textId="77777777" w:rsidR="00437658" w:rsidRPr="004676F5" w:rsidRDefault="00437658" w:rsidP="00437658">
      <w:pPr>
        <w:ind w:firstLine="708"/>
        <w:jc w:val="both"/>
        <w:rPr>
          <w:lang w:val="de-DE"/>
        </w:rPr>
      </w:pPr>
    </w:p>
    <w:p w14:paraId="2BCA2DC2" w14:textId="77777777" w:rsidR="00437658" w:rsidRPr="004676F5" w:rsidRDefault="00437658" w:rsidP="00437658">
      <w:pPr>
        <w:ind w:firstLine="708"/>
        <w:jc w:val="both"/>
        <w:rPr>
          <w:lang w:val="de-DE"/>
        </w:rPr>
      </w:pPr>
      <w:r w:rsidRPr="004676F5">
        <w:rPr>
          <w:lang w:val="de-DE"/>
        </w:rPr>
        <w:t>2. schriftlich eine Meldung eingereicht haben, deren erforderlichen Inhalt, Adressaten und weitere Modalitäten der König festlegt.</w:t>
      </w:r>
    </w:p>
    <w:p w14:paraId="064A4877" w14:textId="77777777" w:rsidR="00437658" w:rsidRPr="004676F5" w:rsidRDefault="00437658" w:rsidP="00437658">
      <w:pPr>
        <w:ind w:firstLine="708"/>
        <w:jc w:val="both"/>
        <w:rPr>
          <w:lang w:val="de-DE"/>
        </w:rPr>
      </w:pPr>
    </w:p>
    <w:p w14:paraId="6ACAC0AA" w14:textId="5F630C4B" w:rsidR="00437658" w:rsidRPr="004676F5" w:rsidRDefault="00437658" w:rsidP="00437658">
      <w:pPr>
        <w:ind w:firstLine="708"/>
        <w:jc w:val="both"/>
        <w:rPr>
          <w:lang w:val="de-DE"/>
        </w:rPr>
      </w:pPr>
      <w:r w:rsidRPr="004676F5">
        <w:rPr>
          <w:lang w:val="de-DE"/>
        </w:rPr>
        <w:t>Wenn Dienstleistungen erstmals erbracht werden oder sich eine wesentliche Änderung gegenüber der in den Dokumenten bescheinigten Situation ergibt, legen Dienstleister darüber hinaus ebenfalls die in Artikel 9 § 2 Buchstabe </w:t>
      </w:r>
      <w:r w:rsidRPr="004676F5">
        <w:rPr>
          <w:i/>
          <w:iCs/>
          <w:lang w:val="de-DE"/>
        </w:rPr>
        <w:t>a)</w:t>
      </w:r>
      <w:r w:rsidRPr="004676F5">
        <w:rPr>
          <w:lang w:val="de-DE"/>
        </w:rPr>
        <w:t xml:space="preserve"> bis </w:t>
      </w:r>
      <w:r w:rsidRPr="004676F5">
        <w:rPr>
          <w:i/>
          <w:iCs/>
          <w:lang w:val="de-DE"/>
        </w:rPr>
        <w:t>d)</w:t>
      </w:r>
      <w:r w:rsidRPr="004676F5">
        <w:rPr>
          <w:lang w:val="de-DE"/>
        </w:rPr>
        <w:t xml:space="preserve"> des Gesetzes vom 12. Februar 2008 zur Einführung eines allgemeinen Rahmens für die Anerkennung von EU-Berufs</w:t>
      </w:r>
      <w:r w:rsidRPr="004676F5">
        <w:rPr>
          <w:lang w:val="de-DE"/>
        </w:rPr>
        <w:softHyphen/>
        <w:t>qualifikationen vorgesehenen Dokumente vor.]</w:t>
      </w:r>
    </w:p>
    <w:p w14:paraId="75DB9480" w14:textId="03DCEAFD" w:rsidR="00437658" w:rsidRPr="004676F5" w:rsidRDefault="00437658" w:rsidP="00437658">
      <w:pPr>
        <w:ind w:firstLine="708"/>
        <w:jc w:val="both"/>
        <w:rPr>
          <w:lang w:val="de-DE"/>
        </w:rPr>
      </w:pPr>
    </w:p>
    <w:p w14:paraId="54A70F17" w14:textId="7DAFBA59" w:rsidR="00437658" w:rsidRPr="004676F5" w:rsidRDefault="00437658" w:rsidP="00437658">
      <w:pPr>
        <w:jc w:val="both"/>
        <w:rPr>
          <w:i/>
          <w:lang w:val="de-DE"/>
        </w:rPr>
      </w:pPr>
      <w:r w:rsidRPr="004676F5">
        <w:rPr>
          <w:i/>
          <w:lang w:val="de-DE"/>
        </w:rPr>
        <w:t>[Art. XI.64/4 eingefügt durch Art. 11</w:t>
      </w:r>
      <w:r w:rsidRPr="004676F5">
        <w:rPr>
          <w:i/>
          <w:iCs/>
          <w:lang w:val="de-DE"/>
        </w:rPr>
        <w:t xml:space="preserve"> des G. vom 8. Juli 2018 (B.S. vom 19. Juli 2018)]</w:t>
      </w:r>
    </w:p>
    <w:p w14:paraId="4D2FA262" w14:textId="77777777" w:rsidR="00437658" w:rsidRPr="004676F5" w:rsidRDefault="00437658" w:rsidP="00437658">
      <w:pPr>
        <w:ind w:firstLine="708"/>
        <w:jc w:val="both"/>
        <w:rPr>
          <w:lang w:val="de-DE"/>
        </w:rPr>
      </w:pPr>
    </w:p>
    <w:p w14:paraId="7F4E25E0" w14:textId="77777777" w:rsidR="00437658" w:rsidRPr="004676F5" w:rsidRDefault="00437658" w:rsidP="00437658">
      <w:pPr>
        <w:ind w:firstLine="708"/>
        <w:jc w:val="both"/>
        <w:rPr>
          <w:lang w:val="de-DE"/>
        </w:rPr>
      </w:pPr>
    </w:p>
    <w:p w14:paraId="5377BD9B" w14:textId="62BD353B" w:rsidR="00437658" w:rsidRPr="004676F5" w:rsidRDefault="00437658" w:rsidP="00437658">
      <w:pPr>
        <w:ind w:firstLine="708"/>
        <w:jc w:val="both"/>
        <w:rPr>
          <w:lang w:val="de-DE"/>
        </w:rPr>
      </w:pPr>
      <w:r w:rsidRPr="004676F5">
        <w:rPr>
          <w:lang w:val="de-DE"/>
        </w:rPr>
        <w:t>[</w:t>
      </w:r>
      <w:r w:rsidRPr="004676F5">
        <w:rPr>
          <w:b/>
          <w:lang w:val="de-DE"/>
        </w:rPr>
        <w:t>Art. XI.64/5</w:t>
      </w:r>
      <w:r w:rsidRPr="004676F5">
        <w:rPr>
          <w:lang w:val="de-DE"/>
        </w:rPr>
        <w:t> </w:t>
      </w:r>
      <w:r w:rsidR="005B7A5C" w:rsidRPr="004676F5">
        <w:rPr>
          <w:lang w:val="de-DE"/>
        </w:rPr>
        <w:t>- </w:t>
      </w:r>
      <w:r w:rsidRPr="004676F5">
        <w:rPr>
          <w:lang w:val="de-DE"/>
        </w:rPr>
        <w:t>Der König trifft die Maßnahmen, die in Bezug auf die Dienstleistungs</w:t>
      </w:r>
      <w:r w:rsidRPr="004676F5">
        <w:rPr>
          <w:lang w:val="de-DE"/>
        </w:rPr>
        <w:softHyphen/>
        <w:t>freiheit eines Patentanwalts vor dem Amt im Sinne der Artikel XI.64/3 und XI.64/4 zur Erfüllung der Verpflichtungen erforderlich sind, die sich aus den folgenden internationalen Texten oder aus den aufgrund dieser Texte erlassenen Bestimmungen ergeben:</w:t>
      </w:r>
    </w:p>
    <w:p w14:paraId="33B1CC49" w14:textId="77777777" w:rsidR="00437658" w:rsidRPr="004676F5" w:rsidRDefault="00437658" w:rsidP="00437658">
      <w:pPr>
        <w:ind w:firstLine="708"/>
        <w:jc w:val="both"/>
        <w:rPr>
          <w:lang w:val="de-DE"/>
        </w:rPr>
      </w:pPr>
    </w:p>
    <w:p w14:paraId="46F6D25A" w14:textId="77777777" w:rsidR="00437658" w:rsidRPr="004676F5" w:rsidRDefault="00437658" w:rsidP="00437658">
      <w:pPr>
        <w:ind w:firstLine="708"/>
        <w:jc w:val="both"/>
        <w:rPr>
          <w:lang w:val="de-DE"/>
        </w:rPr>
      </w:pPr>
      <w:r w:rsidRPr="004676F5">
        <w:rPr>
          <w:lang w:val="de-DE"/>
        </w:rPr>
        <w:t>1. Vertrag über die Arbeitsweise der Europäischen Union,</w:t>
      </w:r>
    </w:p>
    <w:p w14:paraId="05F0ABA1" w14:textId="77777777" w:rsidR="00437658" w:rsidRPr="004676F5" w:rsidRDefault="00437658" w:rsidP="00437658">
      <w:pPr>
        <w:ind w:firstLine="708"/>
        <w:jc w:val="both"/>
        <w:rPr>
          <w:lang w:val="de-DE"/>
        </w:rPr>
      </w:pPr>
    </w:p>
    <w:p w14:paraId="3C886794" w14:textId="04D59AEB" w:rsidR="00437658" w:rsidRPr="004676F5" w:rsidRDefault="00437658" w:rsidP="00437658">
      <w:pPr>
        <w:jc w:val="both"/>
        <w:rPr>
          <w:lang w:val="de-DE"/>
        </w:rPr>
      </w:pPr>
      <w:r w:rsidRPr="004676F5">
        <w:rPr>
          <w:lang w:val="de-DE"/>
        </w:rPr>
        <w:tab/>
        <w:t>2. Abkommen über den Europäischen Wirtschaftsraum.]</w:t>
      </w:r>
    </w:p>
    <w:p w14:paraId="11A4CBC4" w14:textId="7A29DFFD" w:rsidR="00437658" w:rsidRPr="004676F5" w:rsidRDefault="00437658" w:rsidP="00437658">
      <w:pPr>
        <w:jc w:val="both"/>
        <w:rPr>
          <w:lang w:val="de-DE"/>
        </w:rPr>
      </w:pPr>
    </w:p>
    <w:p w14:paraId="453119A4" w14:textId="057C4A9E" w:rsidR="00437658" w:rsidRPr="004676F5" w:rsidRDefault="00437658" w:rsidP="00437658">
      <w:pPr>
        <w:jc w:val="both"/>
        <w:rPr>
          <w:i/>
          <w:lang w:val="de-DE"/>
        </w:rPr>
      </w:pPr>
      <w:r w:rsidRPr="004676F5">
        <w:rPr>
          <w:i/>
          <w:lang w:val="de-DE"/>
        </w:rPr>
        <w:t>[Art. XI.64/5 eingefügt durch Art. 12</w:t>
      </w:r>
      <w:r w:rsidRPr="004676F5">
        <w:rPr>
          <w:i/>
          <w:iCs/>
          <w:lang w:val="de-DE"/>
        </w:rPr>
        <w:t xml:space="preserve"> des G. vom 8. Juli 2018 (B.S. vom 19. Juli 2018)]</w:t>
      </w:r>
    </w:p>
    <w:p w14:paraId="3382D92F" w14:textId="77777777" w:rsidR="00437658" w:rsidRPr="004676F5" w:rsidRDefault="00437658" w:rsidP="00437658">
      <w:pPr>
        <w:jc w:val="both"/>
        <w:rPr>
          <w:iCs/>
          <w:lang w:val="de-DE"/>
        </w:rPr>
      </w:pPr>
    </w:p>
    <w:p w14:paraId="06D4247F" w14:textId="34B8225F" w:rsidR="00437658" w:rsidRPr="004676F5" w:rsidRDefault="00437658" w:rsidP="00437658">
      <w:pPr>
        <w:jc w:val="center"/>
        <w:rPr>
          <w:lang w:val="de-DE"/>
        </w:rPr>
      </w:pPr>
    </w:p>
    <w:p w14:paraId="3663EAD4" w14:textId="6DBFE426" w:rsidR="003918D2" w:rsidRPr="004676F5" w:rsidRDefault="003918D2" w:rsidP="00437658">
      <w:pPr>
        <w:jc w:val="center"/>
        <w:rPr>
          <w:lang w:val="de-DE"/>
        </w:rPr>
      </w:pPr>
      <w:r w:rsidRPr="004676F5">
        <w:rPr>
          <w:lang w:val="de-DE"/>
        </w:rPr>
        <w:t>[</w:t>
      </w:r>
      <w:r w:rsidRPr="004676F5">
        <w:rPr>
          <w:i/>
          <w:lang w:val="de-DE"/>
        </w:rPr>
        <w:t>Abschnitt 3</w:t>
      </w:r>
      <w:r w:rsidRPr="004676F5">
        <w:rPr>
          <w:lang w:val="de-DE"/>
        </w:rPr>
        <w:t> </w:t>
      </w:r>
      <w:r w:rsidR="005B7A5C" w:rsidRPr="004676F5">
        <w:rPr>
          <w:lang w:val="de-DE"/>
        </w:rPr>
        <w:t>- </w:t>
      </w:r>
      <w:r w:rsidRPr="004676F5">
        <w:rPr>
          <w:lang w:val="de-DE"/>
        </w:rPr>
        <w:t>Register der zugelassenen Vertreter]</w:t>
      </w:r>
    </w:p>
    <w:p w14:paraId="5F657391" w14:textId="520F7A03" w:rsidR="003918D2" w:rsidRPr="004676F5" w:rsidRDefault="003918D2" w:rsidP="00437658">
      <w:pPr>
        <w:jc w:val="center"/>
        <w:rPr>
          <w:lang w:val="de-DE"/>
        </w:rPr>
      </w:pPr>
    </w:p>
    <w:p w14:paraId="0E5C56F1" w14:textId="75BE0590" w:rsidR="003918D2" w:rsidRPr="004676F5" w:rsidRDefault="003918D2" w:rsidP="003918D2">
      <w:pPr>
        <w:jc w:val="both"/>
        <w:rPr>
          <w:i/>
          <w:iCs/>
          <w:lang w:val="de-DE"/>
        </w:rPr>
      </w:pPr>
      <w:r w:rsidRPr="004676F5">
        <w:rPr>
          <w:i/>
          <w:lang w:val="de-DE"/>
        </w:rPr>
        <w:t>[Unterteilung Abschnitt 3 eingefügt durch Art. 13</w:t>
      </w:r>
      <w:r w:rsidRPr="004676F5">
        <w:rPr>
          <w:i/>
          <w:iCs/>
          <w:lang w:val="de-DE"/>
        </w:rPr>
        <w:t xml:space="preserve"> des G. vom 8. Juli 2018 (B.S. vom 19. Juli 2018)]</w:t>
      </w:r>
    </w:p>
    <w:p w14:paraId="15E865E4" w14:textId="77777777" w:rsidR="003918D2" w:rsidRPr="004676F5" w:rsidRDefault="003918D2" w:rsidP="003918D2">
      <w:pPr>
        <w:jc w:val="both"/>
        <w:rPr>
          <w:i/>
          <w:iCs/>
          <w:lang w:val="de-DE"/>
        </w:rPr>
      </w:pPr>
    </w:p>
    <w:p w14:paraId="36C893FD" w14:textId="77777777" w:rsidR="003918D2" w:rsidRPr="004676F5" w:rsidRDefault="003918D2" w:rsidP="00437658">
      <w:pPr>
        <w:jc w:val="center"/>
        <w:rPr>
          <w:lang w:val="de-DE"/>
        </w:rPr>
      </w:pPr>
    </w:p>
    <w:p w14:paraId="3116FFE9" w14:textId="513F7C6A" w:rsidR="001527B1" w:rsidRPr="004676F5" w:rsidRDefault="00BE0A56" w:rsidP="00437658">
      <w:pPr>
        <w:ind w:firstLine="708"/>
        <w:jc w:val="both"/>
        <w:rPr>
          <w:lang w:val="de-DE"/>
        </w:rPr>
      </w:pPr>
      <w:r w:rsidRPr="004676F5">
        <w:rPr>
          <w:b/>
          <w:lang w:val="de-DE"/>
        </w:rPr>
        <w:t>Art. </w:t>
      </w:r>
      <w:r w:rsidR="001527B1" w:rsidRPr="004676F5">
        <w:rPr>
          <w:b/>
          <w:lang w:val="de-DE"/>
        </w:rPr>
        <w:t>XI.65</w:t>
      </w:r>
      <w:r w:rsidR="001527B1" w:rsidRPr="004676F5">
        <w:rPr>
          <w:lang w:val="de-DE"/>
        </w:rPr>
        <w:t> </w:t>
      </w:r>
      <w:r w:rsidR="005B7A5C" w:rsidRPr="004676F5">
        <w:rPr>
          <w:lang w:val="de-DE"/>
        </w:rPr>
        <w:t>- </w:t>
      </w:r>
      <w:r w:rsidR="00A82659" w:rsidRPr="004676F5">
        <w:rPr>
          <w:lang w:val="de-DE"/>
        </w:rPr>
        <w:t xml:space="preserve">[§ 1] - </w:t>
      </w:r>
      <w:r w:rsidR="001527B1" w:rsidRPr="004676F5">
        <w:rPr>
          <w:lang w:val="de-DE"/>
        </w:rPr>
        <w:t xml:space="preserve">Beim Amt wird ein Register geschaffen, in dem alle zugelassenen Vertreter eingetragen sind, die in den </w:t>
      </w:r>
      <w:r w:rsidR="008E7245" w:rsidRPr="004676F5">
        <w:rPr>
          <w:lang w:val="de-DE"/>
        </w:rPr>
        <w:t>[in den Artikeln XI.62 und XI.63]</w:t>
      </w:r>
      <w:r w:rsidR="001527B1" w:rsidRPr="004676F5">
        <w:rPr>
          <w:lang w:val="de-DE"/>
        </w:rPr>
        <w:t xml:space="preserve"> erwähnten Angelegenheiten die Vertretung von natürlichen oder juristischen Personen vor dem Amt gewährleisten.</w:t>
      </w:r>
    </w:p>
    <w:p w14:paraId="5A646AA1" w14:textId="77777777" w:rsidR="001527B1" w:rsidRPr="004676F5" w:rsidRDefault="001527B1" w:rsidP="001527B1">
      <w:pPr>
        <w:ind w:firstLine="708"/>
        <w:jc w:val="both"/>
        <w:rPr>
          <w:lang w:val="de-DE"/>
        </w:rPr>
      </w:pPr>
    </w:p>
    <w:p w14:paraId="595B8C49" w14:textId="57884B15" w:rsidR="001527B1" w:rsidRPr="004676F5" w:rsidRDefault="001527B1" w:rsidP="001527B1">
      <w:pPr>
        <w:ind w:firstLine="708"/>
        <w:jc w:val="both"/>
        <w:rPr>
          <w:lang w:val="de-DE"/>
        </w:rPr>
      </w:pPr>
      <w:r w:rsidRPr="004676F5">
        <w:rPr>
          <w:lang w:val="de-DE"/>
        </w:rPr>
        <w:t>Der König bestimmt die Vermerke, die im Register der zugelassenen Vertreter aufgenommen werden müssen, und die Modalitäten der Führung dieses Registers.</w:t>
      </w:r>
      <w:r w:rsidR="00A82659" w:rsidRPr="004676F5">
        <w:rPr>
          <w:lang w:val="de-DE"/>
        </w:rPr>
        <w:t>]</w:t>
      </w:r>
    </w:p>
    <w:p w14:paraId="66160D28" w14:textId="77777777" w:rsidR="00A82659" w:rsidRPr="004676F5" w:rsidRDefault="00A82659" w:rsidP="001527B1">
      <w:pPr>
        <w:ind w:firstLine="708"/>
        <w:jc w:val="both"/>
        <w:rPr>
          <w:lang w:val="de-DE"/>
        </w:rPr>
      </w:pPr>
    </w:p>
    <w:p w14:paraId="2D27FF9A" w14:textId="3C6E84AD" w:rsidR="00A82659" w:rsidRPr="004676F5" w:rsidRDefault="00A82659" w:rsidP="00A82659">
      <w:pPr>
        <w:ind w:firstLine="708"/>
        <w:jc w:val="both"/>
        <w:rPr>
          <w:lang w:val="de-DE"/>
        </w:rPr>
      </w:pPr>
      <w:r w:rsidRPr="004676F5">
        <w:rPr>
          <w:lang w:val="de-DE"/>
        </w:rPr>
        <w:t>[§ 2 - Das Amt macht das Register der zugelassenen Vertreter der Öffentlichkeit auf elektronischem Wege zugänglich.</w:t>
      </w:r>
    </w:p>
    <w:p w14:paraId="72857A4E" w14:textId="77777777" w:rsidR="00A82659" w:rsidRPr="004676F5" w:rsidRDefault="00A82659" w:rsidP="00A82659">
      <w:pPr>
        <w:jc w:val="both"/>
        <w:rPr>
          <w:lang w:val="de-DE"/>
        </w:rPr>
      </w:pPr>
    </w:p>
    <w:p w14:paraId="628491CC" w14:textId="76E4B943" w:rsidR="00A82659" w:rsidRPr="004676F5" w:rsidRDefault="00A82659" w:rsidP="00A82659">
      <w:pPr>
        <w:ind w:firstLine="708"/>
        <w:jc w:val="both"/>
        <w:rPr>
          <w:lang w:val="de-DE"/>
        </w:rPr>
      </w:pPr>
      <w:r w:rsidRPr="004676F5">
        <w:rPr>
          <w:lang w:val="de-DE"/>
        </w:rPr>
        <w:lastRenderedPageBreak/>
        <w:t>Der König bestimmt die Bedingungen, unter denen das Register der zugelassenen Vertreter der Öffentlichkeit zugänglich gemacht wird, und die Vermerke des Registers, die der Akteneinsicht unterliegen.]</w:t>
      </w:r>
    </w:p>
    <w:p w14:paraId="2821B8A5" w14:textId="77777777" w:rsidR="001527B1" w:rsidRPr="004676F5" w:rsidRDefault="001527B1" w:rsidP="001527B1">
      <w:pPr>
        <w:ind w:firstLine="708"/>
        <w:jc w:val="both"/>
        <w:rPr>
          <w:lang w:val="de-DE"/>
        </w:rPr>
      </w:pPr>
    </w:p>
    <w:p w14:paraId="44FA5B92" w14:textId="1D6F3AE2" w:rsidR="008E7245" w:rsidRPr="004676F5" w:rsidRDefault="008E7245" w:rsidP="008E7245">
      <w:pPr>
        <w:jc w:val="both"/>
        <w:rPr>
          <w:i/>
          <w:lang w:val="de-DE"/>
        </w:rPr>
      </w:pPr>
      <w:r w:rsidRPr="004676F5">
        <w:rPr>
          <w:i/>
          <w:iCs/>
          <w:lang w:val="de-DE"/>
        </w:rPr>
        <w:t xml:space="preserve">[Art. XI.65 </w:t>
      </w:r>
      <w:r w:rsidR="00A82659" w:rsidRPr="004676F5">
        <w:rPr>
          <w:i/>
          <w:iCs/>
          <w:lang w:val="de-DE"/>
        </w:rPr>
        <w:t xml:space="preserve">§ 1 (frühere Absätze 1 und 2) nummeriert durch Art. 31 des G. vom 9. Februar 2024 (B.S. vom 21. März 2024); § 1 </w:t>
      </w:r>
      <w:r w:rsidRPr="004676F5">
        <w:rPr>
          <w:i/>
          <w:iCs/>
          <w:lang w:val="de-DE"/>
        </w:rPr>
        <w:t>Abs. 1 abgeändert durch Art. 20</w:t>
      </w:r>
      <w:r w:rsidRPr="004676F5">
        <w:rPr>
          <w:i/>
          <w:lang w:val="de-DE"/>
        </w:rPr>
        <w:t xml:space="preserve"> des G. vom 2. Mai 2019 (IV) (B.S. vom 22. Mai 2019)</w:t>
      </w:r>
      <w:r w:rsidR="00A82659" w:rsidRPr="004676F5">
        <w:rPr>
          <w:i/>
          <w:lang w:val="de-DE"/>
        </w:rPr>
        <w:t>; § 2 eingefügt durch Art. 31</w:t>
      </w:r>
      <w:r w:rsidR="00A82659" w:rsidRPr="004676F5">
        <w:rPr>
          <w:i/>
          <w:iCs/>
          <w:lang w:val="de-DE"/>
        </w:rPr>
        <w:t xml:space="preserve"> des G. vom 9. Februar 2024 (B.S. vom 21. März 2024)</w:t>
      </w:r>
      <w:r w:rsidRPr="004676F5">
        <w:rPr>
          <w:i/>
          <w:lang w:val="de-DE"/>
        </w:rPr>
        <w:t>]</w:t>
      </w:r>
    </w:p>
    <w:p w14:paraId="461423A7" w14:textId="77777777" w:rsidR="008E7245" w:rsidRPr="004676F5" w:rsidRDefault="008E7245" w:rsidP="008E7245">
      <w:pPr>
        <w:jc w:val="both"/>
        <w:rPr>
          <w:i/>
          <w:iCs/>
          <w:lang w:val="de-DE"/>
        </w:rPr>
      </w:pPr>
    </w:p>
    <w:p w14:paraId="30B5498A" w14:textId="3CC5D9DB" w:rsidR="00CE5A09" w:rsidRPr="004676F5" w:rsidRDefault="00CE5A09" w:rsidP="001527B1">
      <w:pPr>
        <w:ind w:firstLine="708"/>
        <w:jc w:val="both"/>
        <w:rPr>
          <w:lang w:val="de-DE"/>
        </w:rPr>
      </w:pPr>
    </w:p>
    <w:p w14:paraId="70A785FA" w14:textId="415ED7DE" w:rsidR="0073667D" w:rsidRPr="004676F5" w:rsidRDefault="0073667D" w:rsidP="0073667D">
      <w:pPr>
        <w:ind w:firstLine="708"/>
        <w:jc w:val="both"/>
        <w:rPr>
          <w:lang w:val="de-DE"/>
        </w:rPr>
      </w:pPr>
      <w:r w:rsidRPr="004676F5">
        <w:rPr>
          <w:lang w:val="de-DE"/>
        </w:rPr>
        <w:t>[</w:t>
      </w:r>
      <w:r w:rsidRPr="004676F5">
        <w:rPr>
          <w:b/>
          <w:lang w:val="de-DE"/>
        </w:rPr>
        <w:t>Art. XI.65/1</w:t>
      </w:r>
      <w:r w:rsidRPr="004676F5">
        <w:rPr>
          <w:lang w:val="de-DE"/>
        </w:rPr>
        <w:t>] </w:t>
      </w:r>
      <w:r w:rsidR="005B7A5C" w:rsidRPr="004676F5">
        <w:rPr>
          <w:lang w:val="de-DE"/>
        </w:rPr>
        <w:t>- </w:t>
      </w:r>
      <w:r w:rsidR="00A82659" w:rsidRPr="004676F5">
        <w:rPr>
          <w:lang w:val="de-DE"/>
        </w:rPr>
        <w:t>[...]</w:t>
      </w:r>
    </w:p>
    <w:p w14:paraId="65CBAE78" w14:textId="77777777" w:rsidR="0073667D" w:rsidRPr="004676F5" w:rsidRDefault="0073667D" w:rsidP="0073667D">
      <w:pPr>
        <w:ind w:firstLine="708"/>
        <w:jc w:val="both"/>
        <w:rPr>
          <w:lang w:val="de-DE"/>
        </w:rPr>
      </w:pPr>
    </w:p>
    <w:p w14:paraId="51F12C1A" w14:textId="77F993E7" w:rsidR="0073667D" w:rsidRPr="004676F5" w:rsidRDefault="0073667D" w:rsidP="0073667D">
      <w:pPr>
        <w:jc w:val="both"/>
        <w:rPr>
          <w:lang w:val="de-DE"/>
        </w:rPr>
      </w:pPr>
      <w:r w:rsidRPr="004676F5">
        <w:rPr>
          <w:i/>
          <w:lang w:val="de-DE"/>
        </w:rPr>
        <w:t>[Früherer Artikel XI.76 umnummeriert zu Art. XI.65/1 durch Art. 35</w:t>
      </w:r>
      <w:r w:rsidRPr="004676F5">
        <w:rPr>
          <w:i/>
          <w:iCs/>
          <w:lang w:val="de-DE"/>
        </w:rPr>
        <w:t xml:space="preserve"> des G. vom 8. Juli 2018 (B.S. vom 19. Juli 2018)</w:t>
      </w:r>
      <w:r w:rsidR="00A82659" w:rsidRPr="004676F5">
        <w:rPr>
          <w:i/>
          <w:iCs/>
          <w:lang w:val="de-DE"/>
        </w:rPr>
        <w:t xml:space="preserve"> und aufgehoben durch Art. 32 des G. vom 9. Februar 2024 (B.S. vom 21. März 2024)</w:t>
      </w:r>
      <w:r w:rsidRPr="004676F5">
        <w:rPr>
          <w:i/>
          <w:iCs/>
          <w:lang w:val="de-DE"/>
        </w:rPr>
        <w:t>]</w:t>
      </w:r>
    </w:p>
    <w:p w14:paraId="0D4379E2" w14:textId="2C35BA9D" w:rsidR="0073667D" w:rsidRPr="004676F5" w:rsidRDefault="0073667D" w:rsidP="001527B1">
      <w:pPr>
        <w:ind w:firstLine="708"/>
        <w:jc w:val="both"/>
        <w:rPr>
          <w:lang w:val="de-DE"/>
        </w:rPr>
      </w:pPr>
    </w:p>
    <w:p w14:paraId="2444D25B" w14:textId="77777777" w:rsidR="0073667D" w:rsidRPr="004676F5" w:rsidRDefault="0073667D" w:rsidP="001527B1">
      <w:pPr>
        <w:ind w:firstLine="708"/>
        <w:jc w:val="both"/>
        <w:rPr>
          <w:lang w:val="de-DE"/>
        </w:rPr>
      </w:pPr>
    </w:p>
    <w:p w14:paraId="3946D219" w14:textId="51FB3C43" w:rsidR="003918D2" w:rsidRPr="004676F5" w:rsidRDefault="00BE0A56" w:rsidP="003918D2">
      <w:pPr>
        <w:ind w:firstLine="708"/>
        <w:jc w:val="both"/>
        <w:rPr>
          <w:lang w:val="de-DE"/>
        </w:rPr>
      </w:pPr>
      <w:r w:rsidRPr="004676F5">
        <w:rPr>
          <w:b/>
          <w:lang w:val="de-DE"/>
        </w:rPr>
        <w:t>Art. </w:t>
      </w:r>
      <w:r w:rsidR="001527B1" w:rsidRPr="004676F5">
        <w:rPr>
          <w:b/>
          <w:lang w:val="de-DE"/>
        </w:rPr>
        <w:t>XI.66</w:t>
      </w:r>
      <w:r w:rsidR="001527B1" w:rsidRPr="004676F5">
        <w:rPr>
          <w:lang w:val="de-DE"/>
        </w:rPr>
        <w:t> </w:t>
      </w:r>
      <w:r w:rsidR="005B7A5C" w:rsidRPr="004676F5">
        <w:rPr>
          <w:lang w:val="de-DE"/>
        </w:rPr>
        <w:t>- </w:t>
      </w:r>
      <w:r w:rsidR="003918D2" w:rsidRPr="004676F5">
        <w:rPr>
          <w:lang w:val="de-DE"/>
        </w:rPr>
        <w:t>[§ 1 ­ Personen, die in das Register der zugelassenen Vertreter eingetragen werden möchten, müssen folgende Bedingungen erfüllen:</w:t>
      </w:r>
    </w:p>
    <w:p w14:paraId="6CF6E757" w14:textId="77777777" w:rsidR="003918D2" w:rsidRPr="004676F5" w:rsidRDefault="003918D2" w:rsidP="003918D2">
      <w:pPr>
        <w:ind w:firstLine="708"/>
        <w:jc w:val="both"/>
        <w:rPr>
          <w:lang w:val="de-DE"/>
        </w:rPr>
      </w:pPr>
    </w:p>
    <w:p w14:paraId="5715E1C6" w14:textId="77777777" w:rsidR="003918D2" w:rsidRPr="004676F5" w:rsidRDefault="003918D2" w:rsidP="003918D2">
      <w:pPr>
        <w:ind w:firstLine="708"/>
        <w:jc w:val="both"/>
        <w:rPr>
          <w:lang w:val="de-DE"/>
        </w:rPr>
      </w:pPr>
      <w:r w:rsidRPr="004676F5">
        <w:rPr>
          <w:lang w:val="de-DE"/>
        </w:rPr>
        <w:t>1. die Eigenschaft einer natürlichen Person haben,</w:t>
      </w:r>
    </w:p>
    <w:p w14:paraId="7D835BCB" w14:textId="77777777" w:rsidR="003918D2" w:rsidRPr="004676F5" w:rsidRDefault="003918D2" w:rsidP="003918D2">
      <w:pPr>
        <w:ind w:firstLine="708"/>
        <w:jc w:val="both"/>
        <w:rPr>
          <w:lang w:val="de-DE"/>
        </w:rPr>
      </w:pPr>
    </w:p>
    <w:p w14:paraId="3365660B" w14:textId="77777777" w:rsidR="003918D2" w:rsidRPr="004676F5" w:rsidRDefault="003918D2" w:rsidP="003918D2">
      <w:pPr>
        <w:ind w:firstLine="708"/>
        <w:jc w:val="both"/>
        <w:rPr>
          <w:lang w:val="de-DE"/>
        </w:rPr>
      </w:pPr>
      <w:r w:rsidRPr="004676F5">
        <w:rPr>
          <w:lang w:val="de-DE"/>
        </w:rPr>
        <w:t>2. Staatsangehörige eines Mitgliedstaats sein und den Wohnsitz in einem Mitgliedstaat haben,</w:t>
      </w:r>
    </w:p>
    <w:p w14:paraId="54089208" w14:textId="77777777" w:rsidR="003918D2" w:rsidRPr="004676F5" w:rsidRDefault="003918D2" w:rsidP="003918D2">
      <w:pPr>
        <w:ind w:firstLine="708"/>
        <w:jc w:val="both"/>
        <w:rPr>
          <w:lang w:val="de-DE"/>
        </w:rPr>
      </w:pPr>
    </w:p>
    <w:p w14:paraId="67D7152B" w14:textId="77777777" w:rsidR="003918D2" w:rsidRPr="004676F5" w:rsidRDefault="003918D2" w:rsidP="003918D2">
      <w:pPr>
        <w:ind w:firstLine="708"/>
        <w:jc w:val="both"/>
        <w:rPr>
          <w:lang w:val="de-DE"/>
        </w:rPr>
      </w:pPr>
      <w:r w:rsidRPr="004676F5">
        <w:rPr>
          <w:lang w:val="de-DE"/>
        </w:rPr>
        <w:t>3. nicht Gegenstand einer in Artikel 492/1 des Zivilgesetzbuches erwähnten gerichtlichen Schutzmaßnahme sein,</w:t>
      </w:r>
    </w:p>
    <w:p w14:paraId="415411C6" w14:textId="77777777" w:rsidR="003918D2" w:rsidRPr="004676F5" w:rsidRDefault="003918D2" w:rsidP="003918D2">
      <w:pPr>
        <w:ind w:firstLine="708"/>
        <w:jc w:val="both"/>
        <w:rPr>
          <w:lang w:val="de-DE"/>
        </w:rPr>
      </w:pPr>
    </w:p>
    <w:p w14:paraId="513ABC22" w14:textId="77777777" w:rsidR="003918D2" w:rsidRPr="004676F5" w:rsidRDefault="003918D2" w:rsidP="003918D2">
      <w:pPr>
        <w:ind w:firstLine="708"/>
        <w:jc w:val="both"/>
        <w:rPr>
          <w:lang w:val="de-DE"/>
        </w:rPr>
      </w:pPr>
      <w:r w:rsidRPr="004676F5">
        <w:rPr>
          <w:lang w:val="de-DE"/>
        </w:rPr>
        <w:t>4. nicht Gegenstand einer Aberkennung im Sinne der Artikel 31 bis 34 des Strafgesetzbuches sein,</w:t>
      </w:r>
    </w:p>
    <w:p w14:paraId="55505112" w14:textId="77777777" w:rsidR="003918D2" w:rsidRPr="004676F5" w:rsidRDefault="003918D2" w:rsidP="003918D2">
      <w:pPr>
        <w:ind w:firstLine="708"/>
        <w:jc w:val="both"/>
        <w:rPr>
          <w:lang w:val="de-DE"/>
        </w:rPr>
      </w:pPr>
    </w:p>
    <w:p w14:paraId="05430EE3" w14:textId="77777777" w:rsidR="003918D2" w:rsidRPr="004676F5" w:rsidRDefault="003918D2" w:rsidP="003918D2">
      <w:pPr>
        <w:ind w:firstLine="708"/>
        <w:jc w:val="both"/>
        <w:rPr>
          <w:lang w:val="de-DE"/>
        </w:rPr>
      </w:pPr>
      <w:r w:rsidRPr="004676F5">
        <w:rPr>
          <w:lang w:val="de-DE"/>
        </w:rPr>
        <w:t xml:space="preserve">5. in Belgien oder im Ausland nicht für eine der Straftaten verurteilt worden sein, die erwähnt sind im Königlichen Erlass Nr. 22 vom 24. Oktober 1934 über das für bestimmte Verurteilte und für Konkursschuldner geltende gerichtliche Verbot, bestimmte Ämter, Berufe oder Tätigkeiten auszuüben. </w:t>
      </w:r>
    </w:p>
    <w:p w14:paraId="789ECACA" w14:textId="77777777" w:rsidR="003918D2" w:rsidRPr="004676F5" w:rsidRDefault="003918D2" w:rsidP="003918D2">
      <w:pPr>
        <w:ind w:firstLine="708"/>
        <w:jc w:val="both"/>
        <w:rPr>
          <w:lang w:val="de-DE"/>
        </w:rPr>
      </w:pPr>
    </w:p>
    <w:p w14:paraId="7ED6ADA7" w14:textId="77777777" w:rsidR="003918D2" w:rsidRPr="004676F5" w:rsidRDefault="003918D2" w:rsidP="003918D2">
      <w:pPr>
        <w:ind w:firstLine="708"/>
        <w:jc w:val="both"/>
        <w:rPr>
          <w:lang w:val="de-DE"/>
        </w:rPr>
      </w:pPr>
      <w:r w:rsidRPr="004676F5">
        <w:rPr>
          <w:lang w:val="de-DE"/>
        </w:rPr>
        <w:t>Die in Absatz 1 Nr. 2 erwähnten Bedingungen müssen nicht von Personen erfüllt werden, die aufgrund eines internationalen Abkommens oder aufgrund einer vom König wegen Gegenseitigkeit gewährten Abweichung davon befreit sind.</w:t>
      </w:r>
    </w:p>
    <w:p w14:paraId="0CD0CCB1" w14:textId="0F88F08D" w:rsidR="003918D2" w:rsidRPr="004676F5" w:rsidRDefault="003918D2" w:rsidP="003918D2">
      <w:pPr>
        <w:jc w:val="both"/>
        <w:rPr>
          <w:lang w:val="de-DE"/>
        </w:rPr>
      </w:pPr>
    </w:p>
    <w:p w14:paraId="414960DE" w14:textId="76F598EE" w:rsidR="003918D2" w:rsidRPr="004676F5" w:rsidRDefault="003918D2" w:rsidP="003918D2">
      <w:pPr>
        <w:ind w:firstLine="708"/>
        <w:jc w:val="both"/>
        <w:rPr>
          <w:lang w:val="de-DE"/>
        </w:rPr>
      </w:pPr>
      <w:r w:rsidRPr="004676F5">
        <w:rPr>
          <w:lang w:val="de-DE"/>
        </w:rPr>
        <w:t>§ 2 </w:t>
      </w:r>
      <w:r w:rsidR="005B7A5C" w:rsidRPr="004676F5">
        <w:rPr>
          <w:lang w:val="de-DE"/>
        </w:rPr>
        <w:t>- </w:t>
      </w:r>
      <w:r w:rsidRPr="004676F5">
        <w:rPr>
          <w:lang w:val="de-DE"/>
        </w:rPr>
        <w:t>Zusätzlich zu den in § 1 erwähnten Bedingungen müssen Personen, die in das Register der zugelassenen Vertreter eingetragen werden möchten, folgende Bedingungen erfüllen:</w:t>
      </w:r>
    </w:p>
    <w:p w14:paraId="3715F1D3" w14:textId="77777777" w:rsidR="003918D2" w:rsidRPr="004676F5" w:rsidRDefault="003918D2" w:rsidP="003918D2">
      <w:pPr>
        <w:ind w:firstLine="708"/>
        <w:jc w:val="both"/>
        <w:rPr>
          <w:lang w:val="de-DE"/>
        </w:rPr>
      </w:pPr>
    </w:p>
    <w:p w14:paraId="5FEB08F0" w14:textId="77777777" w:rsidR="003918D2" w:rsidRPr="004676F5" w:rsidRDefault="003918D2" w:rsidP="003918D2">
      <w:pPr>
        <w:ind w:firstLine="708"/>
        <w:jc w:val="both"/>
        <w:rPr>
          <w:lang w:val="de-DE"/>
        </w:rPr>
      </w:pPr>
      <w:r w:rsidRPr="004676F5">
        <w:rPr>
          <w:lang w:val="de-DE"/>
        </w:rPr>
        <w:t>1. Inhaber eines belgischen Universitätsdiploms oder eines belgischen Diploms des Hochschulunterrichts einer Mindestdauer von vier Jahren sein, das in einem wissenschaftlichen, technischen oder juristischen Fach ausgestellt wird,</w:t>
      </w:r>
    </w:p>
    <w:p w14:paraId="56C2BE7F" w14:textId="77777777" w:rsidR="003918D2" w:rsidRPr="004676F5" w:rsidRDefault="003918D2" w:rsidP="003918D2">
      <w:pPr>
        <w:ind w:firstLine="708"/>
        <w:jc w:val="both"/>
        <w:rPr>
          <w:lang w:val="de-DE"/>
        </w:rPr>
      </w:pPr>
    </w:p>
    <w:p w14:paraId="0812E9C7" w14:textId="77777777" w:rsidR="003918D2" w:rsidRPr="004676F5" w:rsidRDefault="003918D2" w:rsidP="003918D2">
      <w:pPr>
        <w:ind w:firstLine="708"/>
        <w:jc w:val="both"/>
        <w:rPr>
          <w:lang w:val="de-DE"/>
        </w:rPr>
      </w:pPr>
      <w:r w:rsidRPr="004676F5">
        <w:rPr>
          <w:lang w:val="de-DE"/>
        </w:rPr>
        <w:t>2. eine Tätigkeit auf dem Gebiet des Patentwesens über einen Zeitraum und gemäß Modalitäten ausgeübt haben, die vom König festgelegt werden,</w:t>
      </w:r>
    </w:p>
    <w:p w14:paraId="589F3063" w14:textId="77777777" w:rsidR="003918D2" w:rsidRPr="004676F5" w:rsidRDefault="003918D2" w:rsidP="003918D2">
      <w:pPr>
        <w:ind w:firstLine="708"/>
        <w:jc w:val="both"/>
        <w:rPr>
          <w:lang w:val="de-DE"/>
        </w:rPr>
      </w:pPr>
    </w:p>
    <w:p w14:paraId="6E102F89" w14:textId="77777777" w:rsidR="003918D2" w:rsidRPr="004676F5" w:rsidRDefault="003918D2" w:rsidP="003918D2">
      <w:pPr>
        <w:ind w:firstLine="708"/>
        <w:jc w:val="both"/>
        <w:rPr>
          <w:lang w:val="de-DE"/>
        </w:rPr>
      </w:pPr>
      <w:r w:rsidRPr="004676F5">
        <w:rPr>
          <w:lang w:val="de-DE"/>
        </w:rPr>
        <w:lastRenderedPageBreak/>
        <w:t>3. spätestens zwei Jahre nach Einstellung der in Nr. 2 erwähnten Tätigkeit eine Prüfung über das gewerbliche Eigentum und insbesondere über Erfindungspatente vor dem in Artikel XI.75/1 erwähnten Ausschuss für die Zulassung von Vertretern erfolgreich abgelegt haben.</w:t>
      </w:r>
    </w:p>
    <w:p w14:paraId="7DFC9859" w14:textId="77777777" w:rsidR="003918D2" w:rsidRPr="004676F5" w:rsidRDefault="003918D2" w:rsidP="003918D2">
      <w:pPr>
        <w:ind w:firstLine="708"/>
        <w:jc w:val="both"/>
        <w:rPr>
          <w:lang w:val="de-DE"/>
        </w:rPr>
      </w:pPr>
    </w:p>
    <w:p w14:paraId="5E6D78A7" w14:textId="77777777" w:rsidR="003918D2" w:rsidRPr="004676F5" w:rsidRDefault="003918D2" w:rsidP="003918D2">
      <w:pPr>
        <w:ind w:firstLine="708"/>
        <w:jc w:val="both"/>
        <w:rPr>
          <w:lang w:val="de-DE"/>
        </w:rPr>
      </w:pPr>
      <w:r w:rsidRPr="004676F5">
        <w:rPr>
          <w:lang w:val="de-DE"/>
        </w:rPr>
        <w:t>Im Ausland nach mindestens vier Studienjahren ausgestellte Diplome in denselben Fächern sind zugelassen, insofern ihre Gleichwertigkeit von den befugten belgischen Behörden anerkannt wurde.</w:t>
      </w:r>
    </w:p>
    <w:p w14:paraId="28BA9548" w14:textId="77777777" w:rsidR="003918D2" w:rsidRPr="004676F5" w:rsidRDefault="003918D2" w:rsidP="003918D2">
      <w:pPr>
        <w:ind w:firstLine="708"/>
        <w:jc w:val="both"/>
        <w:rPr>
          <w:lang w:val="de-DE"/>
        </w:rPr>
      </w:pPr>
    </w:p>
    <w:p w14:paraId="18FDB33D" w14:textId="540E31A9" w:rsidR="003918D2" w:rsidRPr="004676F5" w:rsidRDefault="003918D2" w:rsidP="003918D2">
      <w:pPr>
        <w:ind w:firstLine="708"/>
        <w:jc w:val="both"/>
        <w:rPr>
          <w:lang w:val="de-DE"/>
        </w:rPr>
      </w:pPr>
      <w:r w:rsidRPr="004676F5">
        <w:rPr>
          <w:lang w:val="de-DE"/>
        </w:rPr>
        <w:t>§ 3 </w:t>
      </w:r>
      <w:r w:rsidR="005B7A5C" w:rsidRPr="004676F5">
        <w:rPr>
          <w:lang w:val="de-DE"/>
        </w:rPr>
        <w:t>- </w:t>
      </w:r>
      <w:r w:rsidRPr="004676F5">
        <w:rPr>
          <w:lang w:val="de-DE"/>
        </w:rPr>
        <w:t>Die in § 2 erwähnten Bedingungen gelten nicht für Staatsangehörige eines Mitgliedstaats, die die vom König gemäß Absatz 2 festgelegten Bedingungen erfüllen.</w:t>
      </w:r>
    </w:p>
    <w:p w14:paraId="57D1FAF5" w14:textId="77777777" w:rsidR="003918D2" w:rsidRPr="004676F5" w:rsidRDefault="003918D2" w:rsidP="003918D2">
      <w:pPr>
        <w:ind w:firstLine="708"/>
        <w:jc w:val="both"/>
        <w:rPr>
          <w:lang w:val="de-DE"/>
        </w:rPr>
      </w:pPr>
    </w:p>
    <w:p w14:paraId="2D957401" w14:textId="77777777" w:rsidR="003918D2" w:rsidRPr="004676F5" w:rsidRDefault="003918D2" w:rsidP="003918D2">
      <w:pPr>
        <w:ind w:firstLine="708"/>
        <w:jc w:val="both"/>
        <w:rPr>
          <w:lang w:val="de-DE"/>
        </w:rPr>
      </w:pPr>
      <w:r w:rsidRPr="004676F5">
        <w:rPr>
          <w:lang w:val="de-DE"/>
        </w:rPr>
        <w:t>Der König trifft Maßnahmen, die in Bezug auf den Zugang zum Beruf des zugelassenen Vertreters und die Ausübung dieser Berufstätigkeit erforderlich sind für die Ausführung der Verpflichtungen, die sich aus den folgenden internationalen Texten oder aus den aufgrund dieser Texte erlassenen Bestimmungen ergeben und sich auf Anforderungen in Bezug auf Diplome, Zeugnisse und andere Nachweise beziehen:</w:t>
      </w:r>
    </w:p>
    <w:p w14:paraId="59900C86" w14:textId="77777777" w:rsidR="003918D2" w:rsidRPr="004676F5" w:rsidRDefault="003918D2" w:rsidP="003918D2">
      <w:pPr>
        <w:ind w:firstLine="708"/>
        <w:jc w:val="both"/>
        <w:rPr>
          <w:lang w:val="de-DE"/>
        </w:rPr>
      </w:pPr>
    </w:p>
    <w:p w14:paraId="063D596F" w14:textId="77777777" w:rsidR="003918D2" w:rsidRPr="004676F5" w:rsidRDefault="003918D2" w:rsidP="003918D2">
      <w:pPr>
        <w:ind w:firstLine="708"/>
        <w:jc w:val="both"/>
        <w:rPr>
          <w:lang w:val="de-DE"/>
        </w:rPr>
      </w:pPr>
      <w:r w:rsidRPr="004676F5">
        <w:rPr>
          <w:lang w:val="de-DE"/>
        </w:rPr>
        <w:t>1. Vertrag über die Arbeitsweise der Europäischen Union,</w:t>
      </w:r>
    </w:p>
    <w:p w14:paraId="7A9CA840" w14:textId="77777777" w:rsidR="003918D2" w:rsidRPr="004676F5" w:rsidRDefault="003918D2" w:rsidP="003918D2">
      <w:pPr>
        <w:ind w:firstLine="708"/>
        <w:jc w:val="both"/>
        <w:rPr>
          <w:lang w:val="de-DE"/>
        </w:rPr>
      </w:pPr>
    </w:p>
    <w:p w14:paraId="48DA30A9" w14:textId="509CA550" w:rsidR="001527B1" w:rsidRPr="004676F5" w:rsidRDefault="003918D2" w:rsidP="003918D2">
      <w:pPr>
        <w:ind w:firstLine="708"/>
        <w:jc w:val="both"/>
        <w:rPr>
          <w:lang w:val="de-DE"/>
        </w:rPr>
      </w:pPr>
      <w:r w:rsidRPr="004676F5">
        <w:rPr>
          <w:lang w:val="de-DE"/>
        </w:rPr>
        <w:t>2. Abkommen über den Europäischen Wirtschaftsraum.</w:t>
      </w:r>
      <w:r w:rsidR="00DD7E15" w:rsidRPr="004676F5">
        <w:rPr>
          <w:lang w:val="de-DE"/>
        </w:rPr>
        <w:t>]</w:t>
      </w:r>
    </w:p>
    <w:p w14:paraId="7589924B" w14:textId="77777777" w:rsidR="001527B1" w:rsidRPr="004676F5" w:rsidRDefault="001527B1" w:rsidP="001527B1">
      <w:pPr>
        <w:ind w:firstLine="708"/>
        <w:jc w:val="both"/>
        <w:rPr>
          <w:lang w:val="de-DE"/>
        </w:rPr>
      </w:pPr>
    </w:p>
    <w:p w14:paraId="7AAC7E70" w14:textId="77777777" w:rsidR="008E7245" w:rsidRPr="004676F5" w:rsidRDefault="00710C79" w:rsidP="008E7245">
      <w:pPr>
        <w:jc w:val="both"/>
        <w:rPr>
          <w:i/>
          <w:lang w:val="de-DE"/>
        </w:rPr>
      </w:pPr>
      <w:r w:rsidRPr="004676F5">
        <w:rPr>
          <w:i/>
          <w:lang w:val="de-DE"/>
        </w:rPr>
        <w:t xml:space="preserve">[Art. XI.66 </w:t>
      </w:r>
      <w:r w:rsidR="003918D2" w:rsidRPr="004676F5">
        <w:rPr>
          <w:i/>
          <w:lang w:val="de-DE"/>
        </w:rPr>
        <w:t>ersetzt durch Art. 14</w:t>
      </w:r>
      <w:r w:rsidR="003918D2" w:rsidRPr="004676F5">
        <w:rPr>
          <w:i/>
          <w:iCs/>
          <w:lang w:val="de-DE"/>
        </w:rPr>
        <w:t xml:space="preserve"> des G. vom 8. Juli 2018 (B.S. vom 19. Juli 2018)</w:t>
      </w:r>
      <w:r w:rsidRPr="004676F5">
        <w:rPr>
          <w:i/>
          <w:lang w:val="de-DE"/>
        </w:rPr>
        <w:t>]</w:t>
      </w:r>
    </w:p>
    <w:p w14:paraId="0AC42DFF" w14:textId="77777777" w:rsidR="008E7245" w:rsidRPr="004676F5" w:rsidRDefault="008E7245" w:rsidP="008E7245">
      <w:pPr>
        <w:jc w:val="both"/>
        <w:rPr>
          <w:iCs/>
          <w:lang w:val="de-DE"/>
        </w:rPr>
      </w:pPr>
    </w:p>
    <w:p w14:paraId="2A97FBB9" w14:textId="77777777" w:rsidR="005437EE" w:rsidRPr="004676F5" w:rsidRDefault="005437EE" w:rsidP="008E7245">
      <w:pPr>
        <w:jc w:val="both"/>
        <w:rPr>
          <w:iCs/>
          <w:lang w:val="de-DE"/>
        </w:rPr>
      </w:pPr>
    </w:p>
    <w:p w14:paraId="143BCA76" w14:textId="1B875F4A" w:rsidR="005437EE" w:rsidRPr="004676F5" w:rsidRDefault="005437EE" w:rsidP="005437EE">
      <w:pPr>
        <w:jc w:val="both"/>
        <w:rPr>
          <w:sz w:val="20"/>
          <w:szCs w:val="20"/>
          <w:lang w:val="de-DE"/>
        </w:rPr>
      </w:pPr>
      <w:r w:rsidRPr="004676F5">
        <w:rPr>
          <w:sz w:val="20"/>
          <w:szCs w:val="20"/>
          <w:lang w:val="de-DE"/>
        </w:rPr>
        <w:t>Ab dem 8. April 2026 (gemäß Art. 38 des G. vom 29. Februar 2024</w:t>
      </w:r>
      <w:r w:rsidR="00CE5BB7" w:rsidRPr="004676F5">
        <w:rPr>
          <w:sz w:val="20"/>
          <w:szCs w:val="20"/>
          <w:lang w:val="de-DE"/>
        </w:rPr>
        <w:t> </w:t>
      </w:r>
      <w:r w:rsidR="00CE5BB7" w:rsidRPr="004676F5">
        <w:rPr>
          <w:i/>
          <w:iCs/>
          <w:sz w:val="20"/>
          <w:szCs w:val="20"/>
          <w:lang w:val="de-DE"/>
        </w:rPr>
        <w:t>(I)</w:t>
      </w:r>
      <w:r w:rsidRPr="004676F5">
        <w:rPr>
          <w:sz w:val="20"/>
          <w:szCs w:val="20"/>
          <w:lang w:val="de-DE"/>
        </w:rPr>
        <w:t xml:space="preserve"> (B.S. vom 8. April 2024)) lautet Art. XI.66 wie folgt:</w:t>
      </w:r>
    </w:p>
    <w:p w14:paraId="54D2C444" w14:textId="77777777" w:rsidR="005437EE" w:rsidRPr="004676F5" w:rsidRDefault="005437EE" w:rsidP="005437EE">
      <w:pPr>
        <w:rPr>
          <w:sz w:val="20"/>
          <w:szCs w:val="20"/>
          <w:lang w:val="de-DE"/>
        </w:rPr>
      </w:pPr>
    </w:p>
    <w:p w14:paraId="1D0B1757" w14:textId="0588D07A" w:rsidR="005437EE" w:rsidRPr="004676F5" w:rsidRDefault="005437EE" w:rsidP="005437EE">
      <w:pPr>
        <w:jc w:val="both"/>
        <w:rPr>
          <w:sz w:val="20"/>
          <w:szCs w:val="20"/>
          <w:lang w:val="de-DE"/>
        </w:rPr>
      </w:pPr>
      <w:r w:rsidRPr="004676F5">
        <w:rPr>
          <w:sz w:val="20"/>
          <w:szCs w:val="20"/>
          <w:lang w:val="de-DE"/>
        </w:rPr>
        <w:t>"</w:t>
      </w:r>
      <w:r w:rsidRPr="004676F5">
        <w:rPr>
          <w:bCs/>
          <w:sz w:val="20"/>
          <w:szCs w:val="20"/>
          <w:lang w:val="de-DE"/>
        </w:rPr>
        <w:t>Art. XI.66</w:t>
      </w:r>
      <w:r w:rsidRPr="004676F5">
        <w:rPr>
          <w:sz w:val="20"/>
          <w:szCs w:val="20"/>
          <w:lang w:val="de-DE"/>
        </w:rPr>
        <w:t> - [§ 1 ­ Personen, die in das Register der zugelassenen Vertreter eingetragen werden möchten, müssen folgende Bedingungen erfüllen:</w:t>
      </w:r>
    </w:p>
    <w:p w14:paraId="4D8B1828" w14:textId="77777777" w:rsidR="005437EE" w:rsidRPr="004676F5" w:rsidRDefault="005437EE" w:rsidP="005437EE">
      <w:pPr>
        <w:jc w:val="both"/>
        <w:rPr>
          <w:sz w:val="20"/>
          <w:szCs w:val="20"/>
          <w:lang w:val="de-DE"/>
        </w:rPr>
      </w:pPr>
    </w:p>
    <w:p w14:paraId="6C2A8F2B" w14:textId="77777777" w:rsidR="005437EE" w:rsidRPr="004676F5" w:rsidRDefault="005437EE" w:rsidP="005437EE">
      <w:pPr>
        <w:jc w:val="both"/>
        <w:rPr>
          <w:sz w:val="20"/>
          <w:szCs w:val="20"/>
          <w:lang w:val="de-DE"/>
        </w:rPr>
      </w:pPr>
      <w:r w:rsidRPr="004676F5">
        <w:rPr>
          <w:sz w:val="20"/>
          <w:szCs w:val="20"/>
          <w:lang w:val="de-DE"/>
        </w:rPr>
        <w:t>1. die Eigenschaft einer natürlichen Person haben,</w:t>
      </w:r>
    </w:p>
    <w:p w14:paraId="37C36041" w14:textId="77777777" w:rsidR="005437EE" w:rsidRPr="004676F5" w:rsidRDefault="005437EE" w:rsidP="005437EE">
      <w:pPr>
        <w:jc w:val="both"/>
        <w:rPr>
          <w:sz w:val="20"/>
          <w:szCs w:val="20"/>
          <w:lang w:val="de-DE"/>
        </w:rPr>
      </w:pPr>
    </w:p>
    <w:p w14:paraId="5D506C5D" w14:textId="77777777" w:rsidR="005437EE" w:rsidRPr="004676F5" w:rsidRDefault="005437EE" w:rsidP="005437EE">
      <w:pPr>
        <w:jc w:val="both"/>
        <w:rPr>
          <w:sz w:val="20"/>
          <w:szCs w:val="20"/>
          <w:lang w:val="de-DE"/>
        </w:rPr>
      </w:pPr>
      <w:r w:rsidRPr="004676F5">
        <w:rPr>
          <w:sz w:val="20"/>
          <w:szCs w:val="20"/>
          <w:lang w:val="de-DE"/>
        </w:rPr>
        <w:t>2. Staatsangehörige eines Mitgliedstaats sein und den Wohnsitz in einem Mitgliedstaat haben,</w:t>
      </w:r>
    </w:p>
    <w:p w14:paraId="715A01F3" w14:textId="77777777" w:rsidR="005437EE" w:rsidRPr="004676F5" w:rsidRDefault="005437EE" w:rsidP="005437EE">
      <w:pPr>
        <w:jc w:val="both"/>
        <w:rPr>
          <w:sz w:val="20"/>
          <w:szCs w:val="20"/>
          <w:lang w:val="de-DE"/>
        </w:rPr>
      </w:pPr>
    </w:p>
    <w:p w14:paraId="2509C323" w14:textId="77777777" w:rsidR="005437EE" w:rsidRPr="004676F5" w:rsidRDefault="005437EE" w:rsidP="005437EE">
      <w:pPr>
        <w:jc w:val="both"/>
        <w:rPr>
          <w:sz w:val="20"/>
          <w:szCs w:val="20"/>
          <w:lang w:val="de-DE"/>
        </w:rPr>
      </w:pPr>
      <w:r w:rsidRPr="004676F5">
        <w:rPr>
          <w:sz w:val="20"/>
          <w:szCs w:val="20"/>
          <w:lang w:val="de-DE"/>
        </w:rPr>
        <w:t>3. nicht Gegenstand einer in Artikel 492/1 des Zivilgesetzbuches erwähnten gerichtlichen Schutzmaßnahme sein,</w:t>
      </w:r>
    </w:p>
    <w:p w14:paraId="028FD2EF" w14:textId="77777777" w:rsidR="005437EE" w:rsidRPr="004676F5" w:rsidRDefault="005437EE" w:rsidP="005437EE">
      <w:pPr>
        <w:jc w:val="both"/>
        <w:rPr>
          <w:sz w:val="20"/>
          <w:szCs w:val="20"/>
          <w:lang w:val="de-DE"/>
        </w:rPr>
      </w:pPr>
    </w:p>
    <w:p w14:paraId="629BDDA9" w14:textId="399738B2" w:rsidR="005437EE" w:rsidRPr="004676F5" w:rsidRDefault="005437EE" w:rsidP="005437EE">
      <w:pPr>
        <w:jc w:val="both"/>
        <w:rPr>
          <w:sz w:val="20"/>
          <w:szCs w:val="20"/>
          <w:lang w:val="de-DE"/>
        </w:rPr>
      </w:pPr>
      <w:r w:rsidRPr="004676F5">
        <w:rPr>
          <w:sz w:val="20"/>
          <w:szCs w:val="20"/>
          <w:lang w:val="de-DE"/>
        </w:rPr>
        <w:t>4. nicht Gegenstand einer Aberkennung [im Sinne von Artikel 47] des Strafgesetzbuches sein,</w:t>
      </w:r>
    </w:p>
    <w:p w14:paraId="10937723" w14:textId="77777777" w:rsidR="005437EE" w:rsidRPr="004676F5" w:rsidRDefault="005437EE" w:rsidP="005437EE">
      <w:pPr>
        <w:jc w:val="both"/>
        <w:rPr>
          <w:sz w:val="20"/>
          <w:szCs w:val="20"/>
          <w:lang w:val="de-DE"/>
        </w:rPr>
      </w:pPr>
    </w:p>
    <w:p w14:paraId="044E42EC" w14:textId="77777777" w:rsidR="005437EE" w:rsidRPr="004676F5" w:rsidRDefault="005437EE" w:rsidP="005437EE">
      <w:pPr>
        <w:jc w:val="both"/>
        <w:rPr>
          <w:sz w:val="20"/>
          <w:szCs w:val="20"/>
          <w:lang w:val="de-DE"/>
        </w:rPr>
      </w:pPr>
      <w:r w:rsidRPr="004676F5">
        <w:rPr>
          <w:sz w:val="20"/>
          <w:szCs w:val="20"/>
          <w:lang w:val="de-DE"/>
        </w:rPr>
        <w:t xml:space="preserve">5. in Belgien oder im Ausland nicht für eine der Straftaten verurteilt worden sein, die erwähnt sind im Königlichen Erlass Nr. 22 vom 24. Oktober 1934 über das für bestimmte Verurteilte und für Konkursschuldner geltende gerichtliche Verbot, bestimmte Ämter, Berufe oder Tätigkeiten auszuüben. </w:t>
      </w:r>
    </w:p>
    <w:p w14:paraId="496A1CF8" w14:textId="77777777" w:rsidR="005437EE" w:rsidRPr="004676F5" w:rsidRDefault="005437EE" w:rsidP="005437EE">
      <w:pPr>
        <w:jc w:val="both"/>
        <w:rPr>
          <w:sz w:val="20"/>
          <w:szCs w:val="20"/>
          <w:lang w:val="de-DE"/>
        </w:rPr>
      </w:pPr>
    </w:p>
    <w:p w14:paraId="06E629A5" w14:textId="77777777" w:rsidR="005437EE" w:rsidRPr="004676F5" w:rsidRDefault="005437EE" w:rsidP="005437EE">
      <w:pPr>
        <w:jc w:val="both"/>
        <w:rPr>
          <w:sz w:val="20"/>
          <w:szCs w:val="20"/>
          <w:lang w:val="de-DE"/>
        </w:rPr>
      </w:pPr>
      <w:r w:rsidRPr="004676F5">
        <w:rPr>
          <w:sz w:val="20"/>
          <w:szCs w:val="20"/>
          <w:lang w:val="de-DE"/>
        </w:rPr>
        <w:t>Die in Absatz 1 Nr. 2 erwähnten Bedingungen müssen nicht von Personen erfüllt werden, die aufgrund eines internationalen Abkommens oder aufgrund einer vom König wegen Gegenseitigkeit gewährten Abweichung davon befreit sind.</w:t>
      </w:r>
    </w:p>
    <w:p w14:paraId="46D8405C" w14:textId="77777777" w:rsidR="005437EE" w:rsidRPr="004676F5" w:rsidRDefault="005437EE" w:rsidP="005437EE">
      <w:pPr>
        <w:jc w:val="both"/>
        <w:rPr>
          <w:sz w:val="20"/>
          <w:szCs w:val="20"/>
          <w:lang w:val="de-DE"/>
        </w:rPr>
      </w:pPr>
    </w:p>
    <w:p w14:paraId="7129E3B5" w14:textId="77777777" w:rsidR="005437EE" w:rsidRPr="004676F5" w:rsidRDefault="005437EE" w:rsidP="005437EE">
      <w:pPr>
        <w:jc w:val="both"/>
        <w:rPr>
          <w:sz w:val="20"/>
          <w:szCs w:val="20"/>
          <w:lang w:val="de-DE"/>
        </w:rPr>
      </w:pPr>
      <w:r w:rsidRPr="004676F5">
        <w:rPr>
          <w:sz w:val="20"/>
          <w:szCs w:val="20"/>
          <w:lang w:val="de-DE"/>
        </w:rPr>
        <w:t>§ 2 - Zusätzlich zu den in § 1 erwähnten Bedingungen müssen Personen, die in das Register der zugelassenen Vertreter eingetragen werden möchten, folgende Bedingungen erfüllen:</w:t>
      </w:r>
    </w:p>
    <w:p w14:paraId="6F11923C" w14:textId="77777777" w:rsidR="005437EE" w:rsidRPr="004676F5" w:rsidRDefault="005437EE" w:rsidP="005437EE">
      <w:pPr>
        <w:jc w:val="both"/>
        <w:rPr>
          <w:sz w:val="20"/>
          <w:szCs w:val="20"/>
          <w:lang w:val="de-DE"/>
        </w:rPr>
      </w:pPr>
    </w:p>
    <w:p w14:paraId="1023EED4" w14:textId="77777777" w:rsidR="005437EE" w:rsidRPr="004676F5" w:rsidRDefault="005437EE" w:rsidP="005437EE">
      <w:pPr>
        <w:jc w:val="both"/>
        <w:rPr>
          <w:sz w:val="20"/>
          <w:szCs w:val="20"/>
          <w:lang w:val="de-DE"/>
        </w:rPr>
      </w:pPr>
      <w:r w:rsidRPr="004676F5">
        <w:rPr>
          <w:sz w:val="20"/>
          <w:szCs w:val="20"/>
          <w:lang w:val="de-DE"/>
        </w:rPr>
        <w:t>1. Inhaber eines belgischen Universitätsdiploms oder eines belgischen Diploms des Hochschulunterrichts einer Mindestdauer von vier Jahren sein, das in einem wissenschaftlichen, technischen oder juristischen Fach ausgestellt wird,</w:t>
      </w:r>
    </w:p>
    <w:p w14:paraId="4D8DE533" w14:textId="77777777" w:rsidR="005437EE" w:rsidRPr="004676F5" w:rsidRDefault="005437EE" w:rsidP="005437EE">
      <w:pPr>
        <w:jc w:val="both"/>
        <w:rPr>
          <w:sz w:val="20"/>
          <w:szCs w:val="20"/>
          <w:lang w:val="de-DE"/>
        </w:rPr>
      </w:pPr>
    </w:p>
    <w:p w14:paraId="579EB97B" w14:textId="77777777" w:rsidR="005437EE" w:rsidRPr="004676F5" w:rsidRDefault="005437EE" w:rsidP="005437EE">
      <w:pPr>
        <w:jc w:val="both"/>
        <w:rPr>
          <w:sz w:val="20"/>
          <w:szCs w:val="20"/>
          <w:lang w:val="de-DE"/>
        </w:rPr>
      </w:pPr>
      <w:r w:rsidRPr="004676F5">
        <w:rPr>
          <w:sz w:val="20"/>
          <w:szCs w:val="20"/>
          <w:lang w:val="de-DE"/>
        </w:rPr>
        <w:t>2. eine Tätigkeit auf dem Gebiet des Patentwesens über einen Zeitraum und gemäß Modalitäten ausgeübt haben, die vom König festgelegt werden,</w:t>
      </w:r>
    </w:p>
    <w:p w14:paraId="7F3E895C" w14:textId="77777777" w:rsidR="005437EE" w:rsidRPr="004676F5" w:rsidRDefault="005437EE" w:rsidP="005437EE">
      <w:pPr>
        <w:jc w:val="both"/>
        <w:rPr>
          <w:sz w:val="20"/>
          <w:szCs w:val="20"/>
          <w:lang w:val="de-DE"/>
        </w:rPr>
      </w:pPr>
    </w:p>
    <w:p w14:paraId="1D287AEC" w14:textId="77777777" w:rsidR="005437EE" w:rsidRPr="004676F5" w:rsidRDefault="005437EE" w:rsidP="005437EE">
      <w:pPr>
        <w:jc w:val="both"/>
        <w:rPr>
          <w:sz w:val="20"/>
          <w:szCs w:val="20"/>
          <w:lang w:val="de-DE"/>
        </w:rPr>
      </w:pPr>
      <w:r w:rsidRPr="004676F5">
        <w:rPr>
          <w:sz w:val="20"/>
          <w:szCs w:val="20"/>
          <w:lang w:val="de-DE"/>
        </w:rPr>
        <w:lastRenderedPageBreak/>
        <w:t>3. spätestens zwei Jahre nach Einstellung der in Nr. 2 erwähnten Tätigkeit eine Prüfung über das gewerbliche Eigentum und insbesondere über Erfindungspatente vor dem in Artikel XI.75/1 erwähnten Ausschuss für die Zulassung von Vertretern erfolgreich abgelegt haben.</w:t>
      </w:r>
    </w:p>
    <w:p w14:paraId="350063CF" w14:textId="77777777" w:rsidR="005437EE" w:rsidRPr="004676F5" w:rsidRDefault="005437EE" w:rsidP="005437EE">
      <w:pPr>
        <w:jc w:val="both"/>
        <w:rPr>
          <w:sz w:val="20"/>
          <w:szCs w:val="20"/>
          <w:lang w:val="de-DE"/>
        </w:rPr>
      </w:pPr>
    </w:p>
    <w:p w14:paraId="6B01DF41" w14:textId="77777777" w:rsidR="005437EE" w:rsidRPr="004676F5" w:rsidRDefault="005437EE" w:rsidP="005437EE">
      <w:pPr>
        <w:jc w:val="both"/>
        <w:rPr>
          <w:sz w:val="20"/>
          <w:szCs w:val="20"/>
          <w:lang w:val="de-DE"/>
        </w:rPr>
      </w:pPr>
      <w:r w:rsidRPr="004676F5">
        <w:rPr>
          <w:sz w:val="20"/>
          <w:szCs w:val="20"/>
          <w:lang w:val="de-DE"/>
        </w:rPr>
        <w:t>Im Ausland nach mindestens vier Studienjahren ausgestellte Diplome in denselben Fächern sind zugelassen, insofern ihre Gleichwertigkeit von den befugten belgischen Behörden anerkannt wurde.</w:t>
      </w:r>
    </w:p>
    <w:p w14:paraId="41DE9F66" w14:textId="77777777" w:rsidR="005437EE" w:rsidRPr="004676F5" w:rsidRDefault="005437EE" w:rsidP="005437EE">
      <w:pPr>
        <w:jc w:val="both"/>
        <w:rPr>
          <w:sz w:val="20"/>
          <w:szCs w:val="20"/>
          <w:lang w:val="de-DE"/>
        </w:rPr>
      </w:pPr>
    </w:p>
    <w:p w14:paraId="1495DD5B" w14:textId="77777777" w:rsidR="005437EE" w:rsidRPr="004676F5" w:rsidRDefault="005437EE" w:rsidP="005437EE">
      <w:pPr>
        <w:jc w:val="both"/>
        <w:rPr>
          <w:sz w:val="20"/>
          <w:szCs w:val="20"/>
          <w:lang w:val="de-DE"/>
        </w:rPr>
      </w:pPr>
      <w:r w:rsidRPr="004676F5">
        <w:rPr>
          <w:sz w:val="20"/>
          <w:szCs w:val="20"/>
          <w:lang w:val="de-DE"/>
        </w:rPr>
        <w:t>§ 3 - Die in § 2 erwähnten Bedingungen gelten nicht für Staatsangehörige eines Mitgliedstaats, die die vom König gemäß Absatz 2 festgelegten Bedingungen erfüllen.</w:t>
      </w:r>
    </w:p>
    <w:p w14:paraId="5459A29B" w14:textId="77777777" w:rsidR="005437EE" w:rsidRPr="004676F5" w:rsidRDefault="005437EE" w:rsidP="005437EE">
      <w:pPr>
        <w:jc w:val="both"/>
        <w:rPr>
          <w:sz w:val="20"/>
          <w:szCs w:val="20"/>
          <w:lang w:val="de-DE"/>
        </w:rPr>
      </w:pPr>
    </w:p>
    <w:p w14:paraId="0DBFF724" w14:textId="77777777" w:rsidR="005437EE" w:rsidRPr="004676F5" w:rsidRDefault="005437EE" w:rsidP="005437EE">
      <w:pPr>
        <w:jc w:val="both"/>
        <w:rPr>
          <w:sz w:val="20"/>
          <w:szCs w:val="20"/>
          <w:lang w:val="de-DE"/>
        </w:rPr>
      </w:pPr>
      <w:r w:rsidRPr="004676F5">
        <w:rPr>
          <w:sz w:val="20"/>
          <w:szCs w:val="20"/>
          <w:lang w:val="de-DE"/>
        </w:rPr>
        <w:t>Der König trifft Maßnahmen, die in Bezug auf den Zugang zum Beruf des zugelassenen Vertreters und die Ausübung dieser Berufstätigkeit erforderlich sind für die Ausführung der Verpflichtungen, die sich aus den folgenden internationalen Texten oder aus den aufgrund dieser Texte erlassenen Bestimmungen ergeben und sich auf Anforderungen in Bezug auf Diplome, Zeugnisse und andere Nachweise beziehen:</w:t>
      </w:r>
    </w:p>
    <w:p w14:paraId="1878E9F6" w14:textId="77777777" w:rsidR="005437EE" w:rsidRPr="004676F5" w:rsidRDefault="005437EE" w:rsidP="005437EE">
      <w:pPr>
        <w:jc w:val="both"/>
        <w:rPr>
          <w:sz w:val="20"/>
          <w:szCs w:val="20"/>
          <w:lang w:val="de-DE"/>
        </w:rPr>
      </w:pPr>
    </w:p>
    <w:p w14:paraId="71B43996" w14:textId="77777777" w:rsidR="005437EE" w:rsidRPr="004676F5" w:rsidRDefault="005437EE" w:rsidP="005437EE">
      <w:pPr>
        <w:jc w:val="both"/>
        <w:rPr>
          <w:sz w:val="20"/>
          <w:szCs w:val="20"/>
          <w:lang w:val="de-DE"/>
        </w:rPr>
      </w:pPr>
      <w:r w:rsidRPr="004676F5">
        <w:rPr>
          <w:sz w:val="20"/>
          <w:szCs w:val="20"/>
          <w:lang w:val="de-DE"/>
        </w:rPr>
        <w:t>1. Vertrag über die Arbeitsweise der Europäischen Union,</w:t>
      </w:r>
    </w:p>
    <w:p w14:paraId="2A122AAD" w14:textId="77777777" w:rsidR="005437EE" w:rsidRPr="004676F5" w:rsidRDefault="005437EE" w:rsidP="005437EE">
      <w:pPr>
        <w:jc w:val="both"/>
        <w:rPr>
          <w:sz w:val="20"/>
          <w:szCs w:val="20"/>
          <w:lang w:val="de-DE"/>
        </w:rPr>
      </w:pPr>
    </w:p>
    <w:p w14:paraId="15FBFA01" w14:textId="77777777" w:rsidR="005437EE" w:rsidRPr="004676F5" w:rsidRDefault="005437EE" w:rsidP="005437EE">
      <w:pPr>
        <w:jc w:val="both"/>
        <w:rPr>
          <w:sz w:val="20"/>
          <w:szCs w:val="20"/>
          <w:lang w:val="de-DE"/>
        </w:rPr>
      </w:pPr>
      <w:r w:rsidRPr="004676F5">
        <w:rPr>
          <w:sz w:val="20"/>
          <w:szCs w:val="20"/>
          <w:lang w:val="de-DE"/>
        </w:rPr>
        <w:t>2. Abkommen über den Europäischen Wirtschaftsraum.]</w:t>
      </w:r>
    </w:p>
    <w:p w14:paraId="7EB2B2F4" w14:textId="77777777" w:rsidR="005437EE" w:rsidRPr="004676F5" w:rsidRDefault="005437EE" w:rsidP="005437EE">
      <w:pPr>
        <w:jc w:val="both"/>
        <w:rPr>
          <w:sz w:val="20"/>
          <w:szCs w:val="20"/>
          <w:lang w:val="de-DE"/>
        </w:rPr>
      </w:pPr>
    </w:p>
    <w:p w14:paraId="28883C7E" w14:textId="04BA5DDD" w:rsidR="005437EE" w:rsidRPr="004676F5" w:rsidRDefault="005437EE" w:rsidP="005437EE">
      <w:pPr>
        <w:jc w:val="both"/>
        <w:rPr>
          <w:iCs/>
          <w:sz w:val="20"/>
          <w:szCs w:val="20"/>
          <w:lang w:val="de-DE"/>
        </w:rPr>
      </w:pPr>
      <w:r w:rsidRPr="004676F5">
        <w:rPr>
          <w:i/>
          <w:sz w:val="20"/>
          <w:szCs w:val="20"/>
          <w:lang w:val="de-DE"/>
        </w:rPr>
        <w:t>[Art. XI.66 ersetzt durch Art. 14</w:t>
      </w:r>
      <w:r w:rsidRPr="004676F5">
        <w:rPr>
          <w:i/>
          <w:iCs/>
          <w:sz w:val="20"/>
          <w:szCs w:val="20"/>
          <w:lang w:val="de-DE"/>
        </w:rPr>
        <w:t xml:space="preserve"> des G. vom 8. Juli 2018 (B.S. vom 19. Juli 2018); § 1 Abs. 1 Nr. 4 abgeändert durch Art. 30 des G. vom 29. Februar 2024</w:t>
      </w:r>
      <w:r w:rsidR="00CE5BB7" w:rsidRPr="004676F5">
        <w:rPr>
          <w:sz w:val="20"/>
          <w:szCs w:val="20"/>
          <w:lang w:val="de-DE"/>
        </w:rPr>
        <w:t> </w:t>
      </w:r>
      <w:r w:rsidR="00CE5BB7" w:rsidRPr="004676F5">
        <w:rPr>
          <w:i/>
          <w:iCs/>
          <w:sz w:val="20"/>
          <w:szCs w:val="20"/>
          <w:lang w:val="de-DE"/>
        </w:rPr>
        <w:t>(I)</w:t>
      </w:r>
      <w:r w:rsidRPr="004676F5">
        <w:rPr>
          <w:i/>
          <w:iCs/>
          <w:sz w:val="20"/>
          <w:szCs w:val="20"/>
          <w:lang w:val="de-DE"/>
        </w:rPr>
        <w:t xml:space="preserve"> (B.S. vom 8. April 2024)</w:t>
      </w:r>
      <w:r w:rsidRPr="004676F5">
        <w:rPr>
          <w:i/>
          <w:sz w:val="20"/>
          <w:szCs w:val="20"/>
          <w:lang w:val="de-DE"/>
        </w:rPr>
        <w:t>]</w:t>
      </w:r>
      <w:r w:rsidRPr="004676F5">
        <w:rPr>
          <w:iCs/>
          <w:sz w:val="20"/>
          <w:szCs w:val="20"/>
          <w:lang w:val="de-DE"/>
        </w:rPr>
        <w:t>"</w:t>
      </w:r>
    </w:p>
    <w:p w14:paraId="68C57D97" w14:textId="0D857F60" w:rsidR="005437EE" w:rsidRPr="004676F5" w:rsidRDefault="005437EE" w:rsidP="005437EE">
      <w:pPr>
        <w:jc w:val="both"/>
        <w:rPr>
          <w:iCs/>
          <w:lang w:val="de-DE"/>
        </w:rPr>
      </w:pPr>
    </w:p>
    <w:p w14:paraId="673924F5" w14:textId="77777777" w:rsidR="008E7245" w:rsidRPr="004676F5" w:rsidRDefault="008E7245" w:rsidP="008E7245">
      <w:pPr>
        <w:jc w:val="both"/>
        <w:rPr>
          <w:i/>
          <w:lang w:val="de-DE"/>
        </w:rPr>
      </w:pPr>
    </w:p>
    <w:p w14:paraId="38C93E06" w14:textId="247ED4CB" w:rsidR="000279D2" w:rsidRPr="004676F5" w:rsidRDefault="000279D2" w:rsidP="00710C79">
      <w:pPr>
        <w:jc w:val="both"/>
        <w:rPr>
          <w:lang w:val="de-DE"/>
        </w:rPr>
      </w:pPr>
      <w:r w:rsidRPr="004676F5">
        <w:rPr>
          <w:lang w:val="de-DE"/>
        </w:rPr>
        <w:tab/>
        <w:t>[...]</w:t>
      </w:r>
    </w:p>
    <w:p w14:paraId="7D63E3E2" w14:textId="7C2A5035" w:rsidR="000279D2" w:rsidRPr="004676F5" w:rsidRDefault="000279D2" w:rsidP="00710C79">
      <w:pPr>
        <w:jc w:val="both"/>
        <w:rPr>
          <w:lang w:val="de-DE"/>
        </w:rPr>
      </w:pPr>
    </w:p>
    <w:p w14:paraId="7E53EBE0" w14:textId="7AC9ED20" w:rsidR="000279D2" w:rsidRPr="004676F5" w:rsidRDefault="000279D2" w:rsidP="00710C79">
      <w:pPr>
        <w:jc w:val="both"/>
        <w:rPr>
          <w:i/>
          <w:iCs/>
          <w:lang w:val="de-DE"/>
        </w:rPr>
      </w:pPr>
      <w:r w:rsidRPr="004676F5">
        <w:rPr>
          <w:i/>
          <w:lang w:val="de-DE"/>
        </w:rPr>
        <w:t>[Früherer Artikel XI.67 umgegliedert zu Art. XI.75/1 durch Art. 15 Nr. 1</w:t>
      </w:r>
      <w:r w:rsidRPr="004676F5">
        <w:rPr>
          <w:i/>
          <w:iCs/>
          <w:lang w:val="de-DE"/>
        </w:rPr>
        <w:t xml:space="preserve"> des G. vom 8. Juli 2018 (B.S. vom 19. Juli 2018)]</w:t>
      </w:r>
    </w:p>
    <w:p w14:paraId="0D1AD3A9" w14:textId="5936B330" w:rsidR="000279D2" w:rsidRPr="004676F5" w:rsidRDefault="000279D2" w:rsidP="00710C79">
      <w:pPr>
        <w:jc w:val="both"/>
        <w:rPr>
          <w:i/>
          <w:iCs/>
          <w:lang w:val="de-DE"/>
        </w:rPr>
      </w:pPr>
    </w:p>
    <w:p w14:paraId="790C1759" w14:textId="2F9ACE20" w:rsidR="000279D2" w:rsidRPr="004676F5" w:rsidRDefault="000279D2" w:rsidP="00710C79">
      <w:pPr>
        <w:jc w:val="both"/>
        <w:rPr>
          <w:i/>
          <w:lang w:val="de-DE"/>
        </w:rPr>
      </w:pPr>
    </w:p>
    <w:p w14:paraId="60E271DF" w14:textId="73479102" w:rsidR="000279D2" w:rsidRPr="004676F5" w:rsidRDefault="000279D2" w:rsidP="00710C79">
      <w:pPr>
        <w:jc w:val="both"/>
        <w:rPr>
          <w:lang w:val="de-DE"/>
        </w:rPr>
      </w:pPr>
      <w:r w:rsidRPr="004676F5">
        <w:rPr>
          <w:lang w:val="de-DE"/>
        </w:rPr>
        <w:tab/>
        <w:t>[...]</w:t>
      </w:r>
    </w:p>
    <w:p w14:paraId="1B92EC25" w14:textId="6E7A0900" w:rsidR="000279D2" w:rsidRPr="004676F5" w:rsidRDefault="000279D2" w:rsidP="00710C79">
      <w:pPr>
        <w:jc w:val="both"/>
        <w:rPr>
          <w:lang w:val="de-DE"/>
        </w:rPr>
      </w:pPr>
    </w:p>
    <w:p w14:paraId="7B69B2B4" w14:textId="3DBD2459" w:rsidR="000279D2" w:rsidRPr="004676F5" w:rsidRDefault="000279D2" w:rsidP="000279D2">
      <w:pPr>
        <w:jc w:val="both"/>
        <w:rPr>
          <w:i/>
          <w:lang w:val="de-DE"/>
        </w:rPr>
      </w:pPr>
      <w:r w:rsidRPr="004676F5">
        <w:rPr>
          <w:i/>
          <w:lang w:val="de-DE"/>
        </w:rPr>
        <w:t>[Früherer Artikel XI.68 umgegliedert zu Art. XI.75/2 durch Art. 16 Nr. 1</w:t>
      </w:r>
      <w:r w:rsidRPr="004676F5">
        <w:rPr>
          <w:i/>
          <w:iCs/>
          <w:lang w:val="de-DE"/>
        </w:rPr>
        <w:t xml:space="preserve"> des G. vom 8. Juli 2018 (B.S. vom 19. Juli 2018)]</w:t>
      </w:r>
    </w:p>
    <w:p w14:paraId="5AB842BA" w14:textId="1C2849F1" w:rsidR="000279D2" w:rsidRPr="004676F5" w:rsidRDefault="000279D2" w:rsidP="00710C79">
      <w:pPr>
        <w:jc w:val="both"/>
        <w:rPr>
          <w:lang w:val="de-DE"/>
        </w:rPr>
      </w:pPr>
    </w:p>
    <w:p w14:paraId="50A973B3" w14:textId="77777777" w:rsidR="000279D2" w:rsidRPr="004676F5" w:rsidRDefault="000279D2" w:rsidP="00710C79">
      <w:pPr>
        <w:jc w:val="both"/>
        <w:rPr>
          <w:lang w:val="de-DE"/>
        </w:rPr>
      </w:pPr>
    </w:p>
    <w:p w14:paraId="6B5BAEF9" w14:textId="2C7D6FC1" w:rsidR="001527B1" w:rsidRPr="004676F5" w:rsidRDefault="00BE0A56" w:rsidP="001527B1">
      <w:pPr>
        <w:ind w:firstLine="708"/>
        <w:jc w:val="both"/>
        <w:rPr>
          <w:lang w:val="de-DE"/>
        </w:rPr>
      </w:pPr>
      <w:r w:rsidRPr="004676F5">
        <w:rPr>
          <w:b/>
          <w:lang w:val="de-DE"/>
        </w:rPr>
        <w:t>Art. </w:t>
      </w:r>
      <w:r w:rsidR="001527B1" w:rsidRPr="004676F5">
        <w:rPr>
          <w:b/>
          <w:lang w:val="de-DE"/>
        </w:rPr>
        <w:t>XI.69</w:t>
      </w:r>
      <w:r w:rsidR="001527B1" w:rsidRPr="004676F5">
        <w:rPr>
          <w:lang w:val="de-DE"/>
        </w:rPr>
        <w:t> </w:t>
      </w:r>
      <w:r w:rsidR="005B7A5C" w:rsidRPr="004676F5">
        <w:rPr>
          <w:lang w:val="de-DE"/>
        </w:rPr>
        <w:t>- </w:t>
      </w:r>
      <w:r w:rsidR="001527B1" w:rsidRPr="004676F5">
        <w:rPr>
          <w:lang w:val="de-DE"/>
        </w:rPr>
        <w:t xml:space="preserve">Anträge auf Eintragung in das Register der zugelassenen Vertreter werden an den Minister gerichtet. Dieser übermittelt sie </w:t>
      </w:r>
      <w:r w:rsidR="003918D2" w:rsidRPr="004676F5">
        <w:rPr>
          <w:lang w:val="de-DE"/>
        </w:rPr>
        <w:t xml:space="preserve">[dem in Artikel XI.75/1 erwähnten Ausschuss für die Zulassung von Vertretern] </w:t>
      </w:r>
      <w:r w:rsidR="001527B1" w:rsidRPr="004676F5">
        <w:rPr>
          <w:lang w:val="de-DE"/>
        </w:rPr>
        <w:t>zwecks Stellungnahme. Die Stellungnahme wird dem Minister zusammen mit der Akte übermittelt.</w:t>
      </w:r>
    </w:p>
    <w:p w14:paraId="375474E7" w14:textId="77777777" w:rsidR="001527B1" w:rsidRPr="004676F5" w:rsidRDefault="001527B1" w:rsidP="001527B1">
      <w:pPr>
        <w:ind w:firstLine="708"/>
        <w:jc w:val="both"/>
        <w:rPr>
          <w:lang w:val="de-DE"/>
        </w:rPr>
      </w:pPr>
    </w:p>
    <w:p w14:paraId="3E159D42" w14:textId="51CCCF6F" w:rsidR="001527B1" w:rsidRPr="004676F5" w:rsidRDefault="001527B1" w:rsidP="001527B1">
      <w:pPr>
        <w:ind w:firstLine="708"/>
        <w:jc w:val="both"/>
        <w:rPr>
          <w:lang w:val="de-DE"/>
        </w:rPr>
      </w:pPr>
      <w:r w:rsidRPr="004676F5">
        <w:rPr>
          <w:lang w:val="de-DE"/>
        </w:rPr>
        <w:t>Erfüllt ein Antragsteller die gestellten Bedingungen, lässt der Minister ihn im Monat nach Empfang der Stellungnahme in das Register der zugelassenen Vertreter eintragen. Erfüllt der Antragsteller diese Bedingungen nicht, weist der Minister den Antrag innerhalb derselben Frist zurück. In beiden Fällen setzt der Minister den Betreffenden unverzüglich hiervon in Kenntnis.</w:t>
      </w:r>
      <w:r w:rsidR="003918D2" w:rsidRPr="004676F5">
        <w:rPr>
          <w:lang w:val="de-DE"/>
        </w:rPr>
        <w:t xml:space="preserve"> </w:t>
      </w:r>
    </w:p>
    <w:p w14:paraId="5E3EB08F" w14:textId="77777777" w:rsidR="001527B1" w:rsidRPr="004676F5" w:rsidRDefault="001527B1" w:rsidP="001527B1">
      <w:pPr>
        <w:ind w:firstLine="708"/>
        <w:jc w:val="both"/>
        <w:rPr>
          <w:lang w:val="de-DE"/>
        </w:rPr>
      </w:pPr>
    </w:p>
    <w:p w14:paraId="26085802" w14:textId="45903104" w:rsidR="001527B1" w:rsidRPr="004676F5" w:rsidRDefault="001527B1" w:rsidP="001527B1">
      <w:pPr>
        <w:ind w:firstLine="708"/>
        <w:jc w:val="both"/>
        <w:rPr>
          <w:lang w:val="de-DE"/>
        </w:rPr>
      </w:pPr>
      <w:r w:rsidRPr="004676F5">
        <w:rPr>
          <w:lang w:val="de-DE"/>
        </w:rPr>
        <w:t>Beschlüsse, in denen der Minister von der Stellungnahme des Ausschusses abweicht, und Beschlüsse, in denen er einen Antrag zurückweist, müssen mit Gründen versehen sein.</w:t>
      </w:r>
    </w:p>
    <w:p w14:paraId="47B54670" w14:textId="105C0451" w:rsidR="003918D2" w:rsidRPr="004676F5" w:rsidRDefault="003918D2" w:rsidP="001527B1">
      <w:pPr>
        <w:ind w:firstLine="708"/>
        <w:jc w:val="both"/>
        <w:rPr>
          <w:lang w:val="de-DE"/>
        </w:rPr>
      </w:pPr>
    </w:p>
    <w:p w14:paraId="351E51CC" w14:textId="01AF5CAA" w:rsidR="003918D2" w:rsidRPr="004676F5" w:rsidRDefault="003918D2" w:rsidP="003918D2">
      <w:pPr>
        <w:jc w:val="both"/>
        <w:rPr>
          <w:i/>
          <w:lang w:val="de-DE"/>
        </w:rPr>
      </w:pPr>
      <w:r w:rsidRPr="004676F5">
        <w:rPr>
          <w:i/>
          <w:lang w:val="de-DE"/>
        </w:rPr>
        <w:t>[Art. XI.69 Abs. 1 abgeändert durch Art. 17</w:t>
      </w:r>
      <w:r w:rsidRPr="004676F5">
        <w:rPr>
          <w:i/>
          <w:iCs/>
          <w:lang w:val="de-DE"/>
        </w:rPr>
        <w:t xml:space="preserve"> des G. vom 8. Juli 2018 (B.S. vom 19. Juli 2018)]</w:t>
      </w:r>
    </w:p>
    <w:p w14:paraId="29251A72" w14:textId="39CA2E2E" w:rsidR="001527B1" w:rsidRPr="004676F5" w:rsidRDefault="001527B1" w:rsidP="005437EE">
      <w:pPr>
        <w:jc w:val="both"/>
        <w:rPr>
          <w:lang w:val="de-DE"/>
        </w:rPr>
      </w:pPr>
    </w:p>
    <w:p w14:paraId="0F745977" w14:textId="77777777" w:rsidR="00CE5A09" w:rsidRPr="004676F5" w:rsidRDefault="00CE5A09" w:rsidP="001527B1">
      <w:pPr>
        <w:ind w:firstLine="708"/>
        <w:jc w:val="both"/>
        <w:rPr>
          <w:lang w:val="de-DE"/>
        </w:rPr>
      </w:pPr>
    </w:p>
    <w:p w14:paraId="7D98D9BB" w14:textId="02DAEA8E" w:rsidR="001527B1" w:rsidRPr="004676F5" w:rsidRDefault="00BE0A56" w:rsidP="001527B1">
      <w:pPr>
        <w:ind w:firstLine="708"/>
        <w:jc w:val="both"/>
        <w:rPr>
          <w:lang w:val="de-DE"/>
        </w:rPr>
      </w:pPr>
      <w:r w:rsidRPr="004676F5">
        <w:rPr>
          <w:b/>
          <w:lang w:val="de-DE"/>
        </w:rPr>
        <w:t>Art. </w:t>
      </w:r>
      <w:r w:rsidR="001527B1" w:rsidRPr="004676F5">
        <w:rPr>
          <w:b/>
          <w:lang w:val="de-DE"/>
        </w:rPr>
        <w:t>XI.70</w:t>
      </w:r>
      <w:r w:rsidR="001527B1" w:rsidRPr="004676F5">
        <w:rPr>
          <w:lang w:val="de-DE"/>
        </w:rPr>
        <w:t> </w:t>
      </w:r>
      <w:r w:rsidR="005B7A5C" w:rsidRPr="004676F5">
        <w:rPr>
          <w:lang w:val="de-DE"/>
        </w:rPr>
        <w:t>- </w:t>
      </w:r>
      <w:r w:rsidR="001527B1" w:rsidRPr="004676F5">
        <w:rPr>
          <w:lang w:val="de-DE"/>
        </w:rPr>
        <w:t>Eine Person, die gemäß Artikel 64 des Gesetzes von 1984 über die Erfindungspatente in das Register der zugelassenen Vertreter eingetragen worden ist, behält ihre Eintragung.</w:t>
      </w:r>
    </w:p>
    <w:p w14:paraId="6BE5E147" w14:textId="77777777" w:rsidR="001527B1" w:rsidRPr="004676F5" w:rsidRDefault="001527B1" w:rsidP="001527B1">
      <w:pPr>
        <w:ind w:firstLine="708"/>
        <w:jc w:val="both"/>
        <w:rPr>
          <w:lang w:val="de-DE"/>
        </w:rPr>
      </w:pPr>
    </w:p>
    <w:p w14:paraId="6D0054DB" w14:textId="77777777" w:rsidR="001527B1" w:rsidRPr="004676F5" w:rsidRDefault="001527B1" w:rsidP="001527B1">
      <w:pPr>
        <w:ind w:firstLine="708"/>
        <w:jc w:val="both"/>
        <w:rPr>
          <w:lang w:val="de-DE"/>
        </w:rPr>
      </w:pPr>
      <w:r w:rsidRPr="004676F5">
        <w:rPr>
          <w:lang w:val="de-DE"/>
        </w:rPr>
        <w:lastRenderedPageBreak/>
        <w:t>In Absatz 1 erwähnte Personen können gemäß den Artikeln XI.71 und XI.72 aus dem Register gestrichen werden.</w:t>
      </w:r>
    </w:p>
    <w:p w14:paraId="40C43D56" w14:textId="77777777" w:rsidR="001527B1" w:rsidRPr="004676F5" w:rsidRDefault="001527B1" w:rsidP="001527B1">
      <w:pPr>
        <w:ind w:firstLine="708"/>
        <w:jc w:val="both"/>
        <w:rPr>
          <w:lang w:val="de-DE"/>
        </w:rPr>
      </w:pPr>
    </w:p>
    <w:p w14:paraId="4371D5BF" w14:textId="77777777" w:rsidR="00CE5A09" w:rsidRPr="004676F5" w:rsidRDefault="00CE5A09" w:rsidP="001527B1">
      <w:pPr>
        <w:ind w:firstLine="708"/>
        <w:jc w:val="both"/>
        <w:rPr>
          <w:lang w:val="de-DE"/>
        </w:rPr>
      </w:pPr>
    </w:p>
    <w:p w14:paraId="0121E17F" w14:textId="74A07CBC" w:rsidR="001527B1" w:rsidRPr="004676F5" w:rsidRDefault="00BE0A56" w:rsidP="001527B1">
      <w:pPr>
        <w:ind w:firstLine="708"/>
        <w:jc w:val="both"/>
        <w:rPr>
          <w:lang w:val="de-DE"/>
        </w:rPr>
      </w:pPr>
      <w:r w:rsidRPr="004676F5">
        <w:rPr>
          <w:b/>
          <w:lang w:val="de-DE"/>
        </w:rPr>
        <w:t>Art. </w:t>
      </w:r>
      <w:r w:rsidR="001527B1" w:rsidRPr="004676F5">
        <w:rPr>
          <w:b/>
          <w:lang w:val="de-DE"/>
        </w:rPr>
        <w:t>XI.71</w:t>
      </w:r>
      <w:r w:rsidR="001527B1" w:rsidRPr="004676F5">
        <w:rPr>
          <w:lang w:val="de-DE"/>
        </w:rPr>
        <w:t> </w:t>
      </w:r>
      <w:r w:rsidR="005B7A5C" w:rsidRPr="004676F5">
        <w:rPr>
          <w:lang w:val="de-DE"/>
        </w:rPr>
        <w:t>- </w:t>
      </w:r>
      <w:r w:rsidR="001527B1" w:rsidRPr="004676F5">
        <w:rPr>
          <w:lang w:val="de-DE"/>
        </w:rPr>
        <w:t>Im Register der zugelassenen Vertreter eingetragene Personen können beim Minister die Streichung ihres Namens aus diesem Register beantragen.</w:t>
      </w:r>
    </w:p>
    <w:p w14:paraId="0BD48833" w14:textId="77777777" w:rsidR="001527B1" w:rsidRPr="004676F5" w:rsidRDefault="001527B1" w:rsidP="001527B1">
      <w:pPr>
        <w:ind w:firstLine="708"/>
        <w:jc w:val="both"/>
        <w:rPr>
          <w:lang w:val="de-DE"/>
        </w:rPr>
      </w:pPr>
    </w:p>
    <w:p w14:paraId="7379D5CE" w14:textId="77777777" w:rsidR="00CE5A09" w:rsidRPr="004676F5" w:rsidRDefault="00CE5A09" w:rsidP="001527B1">
      <w:pPr>
        <w:ind w:firstLine="708"/>
        <w:jc w:val="both"/>
        <w:rPr>
          <w:lang w:val="de-DE"/>
        </w:rPr>
      </w:pPr>
    </w:p>
    <w:p w14:paraId="240C3DE8" w14:textId="1C5A711B" w:rsidR="001527B1" w:rsidRPr="004676F5" w:rsidRDefault="00BE0A56" w:rsidP="001527B1">
      <w:pPr>
        <w:ind w:firstLine="708"/>
        <w:jc w:val="both"/>
        <w:rPr>
          <w:lang w:val="de-DE"/>
        </w:rPr>
      </w:pPr>
      <w:r w:rsidRPr="004676F5">
        <w:rPr>
          <w:b/>
          <w:lang w:val="de-DE"/>
        </w:rPr>
        <w:t>Art. </w:t>
      </w:r>
      <w:r w:rsidR="001527B1" w:rsidRPr="004676F5">
        <w:rPr>
          <w:b/>
          <w:lang w:val="de-DE"/>
        </w:rPr>
        <w:t>XI.72</w:t>
      </w:r>
      <w:r w:rsidR="001527B1" w:rsidRPr="004676F5">
        <w:rPr>
          <w:lang w:val="de-DE"/>
        </w:rPr>
        <w:t> </w:t>
      </w:r>
      <w:r w:rsidR="005B7A5C" w:rsidRPr="004676F5">
        <w:rPr>
          <w:lang w:val="de-DE"/>
        </w:rPr>
        <w:t>- </w:t>
      </w:r>
      <w:r w:rsidR="001527B1" w:rsidRPr="004676F5">
        <w:rPr>
          <w:lang w:val="de-DE"/>
        </w:rPr>
        <w:t>Aus dem Register der zugelassenen Vertreter wird der Name von Personen gestrichen:</w:t>
      </w:r>
    </w:p>
    <w:p w14:paraId="04AFA51B" w14:textId="77777777" w:rsidR="001527B1" w:rsidRPr="004676F5" w:rsidRDefault="001527B1" w:rsidP="001527B1">
      <w:pPr>
        <w:ind w:firstLine="708"/>
        <w:jc w:val="both"/>
        <w:rPr>
          <w:lang w:val="de-DE"/>
        </w:rPr>
      </w:pPr>
    </w:p>
    <w:p w14:paraId="615DBCA5" w14:textId="77777777" w:rsidR="001527B1" w:rsidRPr="004676F5" w:rsidRDefault="001527B1" w:rsidP="001527B1">
      <w:pPr>
        <w:ind w:firstLine="708"/>
        <w:jc w:val="both"/>
        <w:rPr>
          <w:lang w:val="de-DE"/>
        </w:rPr>
      </w:pPr>
      <w:r w:rsidRPr="004676F5">
        <w:rPr>
          <w:lang w:val="de-DE"/>
        </w:rPr>
        <w:t>1. die verstorben sind oder sich in einem Zustand der Unfähigkeit befinden wie in Artikel XI.75 erwähnt,</w:t>
      </w:r>
    </w:p>
    <w:p w14:paraId="641AFCDA" w14:textId="77777777" w:rsidR="001527B1" w:rsidRPr="004676F5" w:rsidRDefault="001527B1" w:rsidP="001527B1">
      <w:pPr>
        <w:ind w:firstLine="708"/>
        <w:jc w:val="both"/>
        <w:rPr>
          <w:lang w:val="de-DE"/>
        </w:rPr>
      </w:pPr>
    </w:p>
    <w:p w14:paraId="7A631B25" w14:textId="7D034E56" w:rsidR="001527B1" w:rsidRPr="004676F5" w:rsidRDefault="001527B1" w:rsidP="001527B1">
      <w:pPr>
        <w:ind w:firstLine="708"/>
        <w:jc w:val="both"/>
        <w:rPr>
          <w:lang w:val="de-DE"/>
        </w:rPr>
      </w:pPr>
      <w:r w:rsidRPr="004676F5">
        <w:rPr>
          <w:lang w:val="de-DE"/>
        </w:rPr>
        <w:t xml:space="preserve">2. die in Anwendung von Artikel XI.69 im Register der zugelassenen Vertreter eingetragen waren und die </w:t>
      </w:r>
      <w:r w:rsidR="009A08A5" w:rsidRPr="004676F5">
        <w:rPr>
          <w:lang w:val="de-DE"/>
        </w:rPr>
        <w:t>[</w:t>
      </w:r>
      <w:r w:rsidRPr="004676F5">
        <w:rPr>
          <w:lang w:val="de-DE"/>
        </w:rPr>
        <w:t>in Artikel XI.66 § 1</w:t>
      </w:r>
      <w:r w:rsidR="009A08A5" w:rsidRPr="004676F5">
        <w:rPr>
          <w:lang w:val="de-DE"/>
        </w:rPr>
        <w:t xml:space="preserve"> Absatz 1</w:t>
      </w:r>
      <w:r w:rsidRPr="004676F5">
        <w:rPr>
          <w:lang w:val="de-DE"/>
        </w:rPr>
        <w:t xml:space="preserve"> Nr. </w:t>
      </w:r>
      <w:r w:rsidR="009A08A5" w:rsidRPr="004676F5">
        <w:rPr>
          <w:lang w:val="de-DE"/>
        </w:rPr>
        <w:t>2</w:t>
      </w:r>
      <w:r w:rsidRPr="004676F5">
        <w:rPr>
          <w:lang w:val="de-DE"/>
        </w:rPr>
        <w:t xml:space="preserve"> und </w:t>
      </w:r>
      <w:r w:rsidR="009A08A5" w:rsidRPr="004676F5">
        <w:rPr>
          <w:lang w:val="de-DE"/>
        </w:rPr>
        <w:t>3]</w:t>
      </w:r>
      <w:r w:rsidRPr="004676F5">
        <w:rPr>
          <w:lang w:val="de-DE"/>
        </w:rPr>
        <w:t xml:space="preserve"> festgelegten Bedingungen nicht mehr erfüllen oder die Bestimmungen des internationalen Abkommens oder die Gegen</w:t>
      </w:r>
      <w:r w:rsidRPr="004676F5">
        <w:rPr>
          <w:lang w:val="de-DE"/>
        </w:rPr>
        <w:softHyphen/>
        <w:t xml:space="preserve">seitigkeit nicht mehr geltend machen können, die in </w:t>
      </w:r>
      <w:r w:rsidR="00A82659" w:rsidRPr="004676F5">
        <w:rPr>
          <w:lang w:val="de-DE"/>
        </w:rPr>
        <w:t>[§ 1 Absatz 2 dieses Artikels]</w:t>
      </w:r>
      <w:r w:rsidRPr="004676F5">
        <w:rPr>
          <w:lang w:val="de-DE"/>
        </w:rPr>
        <w:t xml:space="preserve"> erwähnt sind,</w:t>
      </w:r>
    </w:p>
    <w:p w14:paraId="4715667B" w14:textId="77777777" w:rsidR="001527B1" w:rsidRPr="004676F5" w:rsidRDefault="001527B1" w:rsidP="001527B1">
      <w:pPr>
        <w:ind w:firstLine="708"/>
        <w:jc w:val="both"/>
        <w:rPr>
          <w:lang w:val="de-DE"/>
        </w:rPr>
      </w:pPr>
    </w:p>
    <w:p w14:paraId="1B096942" w14:textId="4BFE5C18" w:rsidR="001527B1" w:rsidRPr="004676F5" w:rsidRDefault="001527B1" w:rsidP="001527B1">
      <w:pPr>
        <w:ind w:firstLine="708"/>
        <w:jc w:val="both"/>
        <w:rPr>
          <w:lang w:val="de-DE"/>
        </w:rPr>
      </w:pPr>
      <w:r w:rsidRPr="004676F5">
        <w:rPr>
          <w:lang w:val="de-DE"/>
        </w:rPr>
        <w:t xml:space="preserve">3. die in Anwendung von Artikel XI.70 im Register der zugelassenen Vertreter eingetragen waren und ihren Wohnsitz nicht mehr in Belgien oder einem Mitgliedstaat </w:t>
      </w:r>
      <w:r w:rsidR="000279D2" w:rsidRPr="004676F5">
        <w:rPr>
          <w:lang w:val="de-DE"/>
        </w:rPr>
        <w:t>[...]</w:t>
      </w:r>
      <w:r w:rsidRPr="004676F5">
        <w:rPr>
          <w:lang w:val="de-DE"/>
        </w:rPr>
        <w:t xml:space="preserve"> haben oder Gegenstand einer in Artikel 492/1 des Zivilgesetzbuches erwähnten gerichtlichen Schutzmaßnahme sind,</w:t>
      </w:r>
    </w:p>
    <w:p w14:paraId="5317C405" w14:textId="77777777" w:rsidR="001527B1" w:rsidRPr="004676F5" w:rsidRDefault="001527B1" w:rsidP="001527B1">
      <w:pPr>
        <w:ind w:firstLine="708"/>
        <w:jc w:val="both"/>
        <w:rPr>
          <w:lang w:val="de-DE"/>
        </w:rPr>
      </w:pPr>
    </w:p>
    <w:p w14:paraId="51C7D2C0" w14:textId="7C71A6F6" w:rsidR="001527B1" w:rsidRPr="004676F5" w:rsidRDefault="001527B1" w:rsidP="001527B1">
      <w:pPr>
        <w:ind w:firstLine="708"/>
        <w:jc w:val="both"/>
        <w:rPr>
          <w:lang w:val="de-DE"/>
        </w:rPr>
      </w:pPr>
      <w:r w:rsidRPr="004676F5">
        <w:rPr>
          <w:lang w:val="de-DE"/>
        </w:rPr>
        <w:t>4. </w:t>
      </w:r>
      <w:r w:rsidR="009A08A5" w:rsidRPr="004676F5">
        <w:rPr>
          <w:lang w:val="de-DE"/>
        </w:rPr>
        <w:t>[...]</w:t>
      </w:r>
    </w:p>
    <w:p w14:paraId="79ECEEE8" w14:textId="77777777" w:rsidR="001527B1" w:rsidRPr="004676F5" w:rsidRDefault="001527B1" w:rsidP="001527B1">
      <w:pPr>
        <w:ind w:firstLine="708"/>
        <w:jc w:val="both"/>
        <w:rPr>
          <w:lang w:val="de-DE"/>
        </w:rPr>
      </w:pPr>
    </w:p>
    <w:p w14:paraId="11962E59" w14:textId="77777777" w:rsidR="001527B1" w:rsidRPr="004676F5" w:rsidRDefault="001527B1" w:rsidP="001527B1">
      <w:pPr>
        <w:ind w:firstLine="708"/>
        <w:jc w:val="both"/>
        <w:rPr>
          <w:lang w:val="de-DE"/>
        </w:rPr>
      </w:pPr>
      <w:r w:rsidRPr="004676F5">
        <w:rPr>
          <w:lang w:val="de-DE"/>
        </w:rPr>
        <w:t>5. die bei ihrem Antrag auf Eintragung oder auf Änderung ihrer Eintragung vorsätzlich Unterlagen vorgelegt oder Erklärungen abgegeben haben, deren Inhalt nicht der Wirklichkeit entsprach,</w:t>
      </w:r>
    </w:p>
    <w:p w14:paraId="497CCDBF" w14:textId="77777777" w:rsidR="001527B1" w:rsidRPr="004676F5" w:rsidRDefault="001527B1" w:rsidP="001527B1">
      <w:pPr>
        <w:ind w:firstLine="708"/>
        <w:jc w:val="both"/>
        <w:rPr>
          <w:lang w:val="de-DE"/>
        </w:rPr>
      </w:pPr>
    </w:p>
    <w:p w14:paraId="53EDE1D1" w14:textId="0AE2B6F3" w:rsidR="001527B1" w:rsidRPr="004676F5" w:rsidRDefault="001527B1" w:rsidP="001527B1">
      <w:pPr>
        <w:ind w:firstLine="708"/>
        <w:jc w:val="both"/>
        <w:rPr>
          <w:lang w:val="de-DE"/>
        </w:rPr>
      </w:pPr>
      <w:r w:rsidRPr="004676F5">
        <w:rPr>
          <w:lang w:val="de-DE"/>
        </w:rPr>
        <w:t>6. die verurteilt worden sind oder gegen die eine</w:t>
      </w:r>
      <w:r w:rsidR="009A08A5" w:rsidRPr="004676F5">
        <w:rPr>
          <w:lang w:val="de-DE"/>
        </w:rPr>
        <w:t xml:space="preserve"> [</w:t>
      </w:r>
      <w:r w:rsidRPr="004676F5">
        <w:rPr>
          <w:lang w:val="de-DE"/>
        </w:rPr>
        <w:t xml:space="preserve">in Artikel XI.66 § 1 </w:t>
      </w:r>
      <w:r w:rsidR="00903C04" w:rsidRPr="004676F5">
        <w:rPr>
          <w:lang w:val="de-DE"/>
        </w:rPr>
        <w:t>Absatz</w:t>
      </w:r>
      <w:r w:rsidR="009A08A5" w:rsidRPr="004676F5">
        <w:rPr>
          <w:lang w:val="de-DE"/>
        </w:rPr>
        <w:t xml:space="preserve"> 1 </w:t>
      </w:r>
      <w:r w:rsidRPr="004676F5">
        <w:rPr>
          <w:lang w:val="de-DE"/>
        </w:rPr>
        <w:t>Nr. </w:t>
      </w:r>
      <w:r w:rsidR="009A08A5" w:rsidRPr="004676F5">
        <w:rPr>
          <w:lang w:val="de-DE"/>
        </w:rPr>
        <w:t>4 und 5]</w:t>
      </w:r>
      <w:r w:rsidRPr="004676F5">
        <w:rPr>
          <w:lang w:val="de-DE"/>
        </w:rPr>
        <w:t xml:space="preserve"> erwähnten Aberkennungsmaßnahme getroffen worden ist,</w:t>
      </w:r>
    </w:p>
    <w:p w14:paraId="67FCE910" w14:textId="77777777" w:rsidR="001527B1" w:rsidRPr="004676F5" w:rsidRDefault="001527B1" w:rsidP="001527B1">
      <w:pPr>
        <w:ind w:firstLine="708"/>
        <w:jc w:val="both"/>
        <w:rPr>
          <w:lang w:val="de-DE"/>
        </w:rPr>
      </w:pPr>
    </w:p>
    <w:p w14:paraId="6C85F85B" w14:textId="414F66EC" w:rsidR="001527B1" w:rsidRPr="004676F5" w:rsidRDefault="001527B1" w:rsidP="001527B1">
      <w:pPr>
        <w:ind w:firstLine="708"/>
        <w:jc w:val="both"/>
        <w:rPr>
          <w:lang w:val="de-DE"/>
        </w:rPr>
      </w:pPr>
      <w:r w:rsidRPr="004676F5">
        <w:rPr>
          <w:lang w:val="de-DE"/>
        </w:rPr>
        <w:t>7. </w:t>
      </w:r>
      <w:r w:rsidR="009A08A5" w:rsidRPr="004676F5">
        <w:rPr>
          <w:lang w:val="de-DE"/>
        </w:rPr>
        <w:t>[deren Mitgliedschaft bei dem in Artikel XI.75/3 § 1 erwähnten Institut der Patentanwälte in Anwendung von Artikel XI.75/5 § 3 Nr. 2 und 4 geendet hat.]</w:t>
      </w:r>
    </w:p>
    <w:p w14:paraId="2488D7E7" w14:textId="7F46C52C" w:rsidR="009A08A5" w:rsidRPr="004676F5" w:rsidRDefault="009A08A5">
      <w:pPr>
        <w:rPr>
          <w:lang w:val="de-DE"/>
        </w:rPr>
      </w:pPr>
    </w:p>
    <w:p w14:paraId="0AB42851" w14:textId="352D43A5" w:rsidR="001527B1" w:rsidRPr="004676F5" w:rsidRDefault="001527B1" w:rsidP="001527B1">
      <w:pPr>
        <w:ind w:firstLine="708"/>
        <w:jc w:val="both"/>
        <w:rPr>
          <w:lang w:val="de-DE"/>
        </w:rPr>
      </w:pPr>
      <w:r w:rsidRPr="004676F5">
        <w:rPr>
          <w:lang w:val="de-DE"/>
        </w:rPr>
        <w:t>Die Dauer der in Anwendung der Nummern 5 bis 7 des vorliegenden Artikels vorgenommenen Streichung darf nicht unter einem Jahr liegen.</w:t>
      </w:r>
    </w:p>
    <w:p w14:paraId="2308AEFE" w14:textId="1F2DFC73" w:rsidR="009A08A5" w:rsidRPr="004676F5" w:rsidRDefault="009A08A5" w:rsidP="001527B1">
      <w:pPr>
        <w:ind w:firstLine="708"/>
        <w:jc w:val="both"/>
        <w:rPr>
          <w:lang w:val="de-DE"/>
        </w:rPr>
      </w:pPr>
    </w:p>
    <w:p w14:paraId="423A87C4" w14:textId="2DEFAD76" w:rsidR="009A08A5" w:rsidRPr="004676F5" w:rsidRDefault="009A08A5" w:rsidP="009A08A5">
      <w:pPr>
        <w:jc w:val="both"/>
        <w:rPr>
          <w:i/>
          <w:lang w:val="de-DE"/>
        </w:rPr>
      </w:pPr>
      <w:r w:rsidRPr="004676F5">
        <w:rPr>
          <w:i/>
          <w:lang w:val="de-DE"/>
        </w:rPr>
        <w:t>[Art. XI.72 Abs. 1 Nr. 2 abgeändert durch Art. 18 Buchstabe a)</w:t>
      </w:r>
      <w:r w:rsidRPr="004676F5">
        <w:rPr>
          <w:i/>
          <w:iCs/>
          <w:lang w:val="de-DE"/>
        </w:rPr>
        <w:t xml:space="preserve"> des G. vom 8. Juli 2018 (B.S. vom 19. Juli 2018)</w:t>
      </w:r>
      <w:r w:rsidR="00A82659" w:rsidRPr="004676F5">
        <w:rPr>
          <w:i/>
          <w:iCs/>
          <w:lang w:val="de-DE"/>
        </w:rPr>
        <w:t xml:space="preserve"> und Art. 33 des G. vom 9. Februar 2024 (B.S. vom 21. März 2024)</w:t>
      </w:r>
      <w:r w:rsidRPr="004676F5">
        <w:rPr>
          <w:i/>
          <w:iCs/>
          <w:lang w:val="de-DE"/>
        </w:rPr>
        <w:t xml:space="preserve">; </w:t>
      </w:r>
      <w:r w:rsidR="000279D2" w:rsidRPr="004676F5">
        <w:rPr>
          <w:i/>
          <w:iCs/>
          <w:lang w:val="de-DE"/>
        </w:rPr>
        <w:t xml:space="preserve">Abs. 1 Nr. 3 abgeändert durch Art. 39 des G. vom 8. Juli 2018 (B.S. vom 19. Juli 2018); </w:t>
      </w:r>
      <w:r w:rsidRPr="004676F5">
        <w:rPr>
          <w:i/>
          <w:lang w:val="de-DE"/>
        </w:rPr>
        <w:t>Abs. 1 Nr. 4 aufgehoben durch Art. 18 Buchstabe b)</w:t>
      </w:r>
      <w:r w:rsidRPr="004676F5">
        <w:rPr>
          <w:i/>
          <w:iCs/>
          <w:lang w:val="de-DE"/>
        </w:rPr>
        <w:t xml:space="preserve"> des G. vom 8. Juli 2018 (B.S. vom 19. Juli 2018);</w:t>
      </w:r>
      <w:r w:rsidRPr="004676F5">
        <w:rPr>
          <w:i/>
          <w:lang w:val="de-DE"/>
        </w:rPr>
        <w:t xml:space="preserve"> Abs. 1 Nr. 6 abgeändert durch Art. 18 Buchstabe c)</w:t>
      </w:r>
      <w:r w:rsidRPr="004676F5">
        <w:rPr>
          <w:i/>
          <w:iCs/>
          <w:lang w:val="de-DE"/>
        </w:rPr>
        <w:t xml:space="preserve"> des G. vom 8. Juli 2018 (B.S. vom 19. Juli 2018);</w:t>
      </w:r>
      <w:r w:rsidRPr="004676F5">
        <w:rPr>
          <w:i/>
          <w:lang w:val="de-DE"/>
        </w:rPr>
        <w:t xml:space="preserve"> Abs. 1 Nr. 7 e</w:t>
      </w:r>
      <w:r w:rsidR="00906D26" w:rsidRPr="004676F5">
        <w:rPr>
          <w:i/>
          <w:lang w:val="de-DE"/>
        </w:rPr>
        <w:t>rsetzt durch Art. 18 Buchstabe d</w:t>
      </w:r>
      <w:r w:rsidRPr="004676F5">
        <w:rPr>
          <w:i/>
          <w:lang w:val="de-DE"/>
        </w:rPr>
        <w:t>)</w:t>
      </w:r>
      <w:r w:rsidRPr="004676F5">
        <w:rPr>
          <w:i/>
          <w:iCs/>
          <w:lang w:val="de-DE"/>
        </w:rPr>
        <w:t xml:space="preserve"> des G. vom 8. Juli 2018 (B.S. vom 19. Juli 2018)]</w:t>
      </w:r>
    </w:p>
    <w:p w14:paraId="3C7B7010" w14:textId="713E4850" w:rsidR="001527B1" w:rsidRPr="004676F5" w:rsidRDefault="001527B1" w:rsidP="001527B1">
      <w:pPr>
        <w:ind w:firstLine="708"/>
        <w:jc w:val="both"/>
        <w:rPr>
          <w:lang w:val="de-DE"/>
        </w:rPr>
      </w:pPr>
    </w:p>
    <w:p w14:paraId="6686D7F9" w14:textId="77777777" w:rsidR="00CE5A09" w:rsidRPr="004676F5" w:rsidRDefault="00CE5A09" w:rsidP="001527B1">
      <w:pPr>
        <w:ind w:firstLine="708"/>
        <w:jc w:val="both"/>
        <w:rPr>
          <w:lang w:val="de-DE"/>
        </w:rPr>
      </w:pPr>
    </w:p>
    <w:p w14:paraId="6A987D6D" w14:textId="77777777" w:rsidR="00A82659" w:rsidRPr="004676F5" w:rsidRDefault="00A82659">
      <w:pPr>
        <w:rPr>
          <w:b/>
          <w:lang w:val="de-DE"/>
        </w:rPr>
      </w:pPr>
      <w:r w:rsidRPr="004676F5">
        <w:rPr>
          <w:b/>
          <w:lang w:val="de-DE"/>
        </w:rPr>
        <w:br w:type="page"/>
      </w:r>
    </w:p>
    <w:p w14:paraId="7AB54C51" w14:textId="4F181989" w:rsidR="009A08A5" w:rsidRPr="004676F5" w:rsidRDefault="00BE0A56" w:rsidP="009A08A5">
      <w:pPr>
        <w:ind w:firstLine="708"/>
        <w:jc w:val="both"/>
        <w:rPr>
          <w:lang w:val="de-DE"/>
        </w:rPr>
      </w:pPr>
      <w:r w:rsidRPr="004676F5">
        <w:rPr>
          <w:b/>
          <w:lang w:val="de-DE"/>
        </w:rPr>
        <w:lastRenderedPageBreak/>
        <w:t>Art. </w:t>
      </w:r>
      <w:r w:rsidR="001527B1" w:rsidRPr="004676F5">
        <w:rPr>
          <w:b/>
          <w:lang w:val="de-DE"/>
        </w:rPr>
        <w:t>XI.73</w:t>
      </w:r>
      <w:r w:rsidR="001527B1" w:rsidRPr="004676F5">
        <w:rPr>
          <w:lang w:val="de-DE"/>
        </w:rPr>
        <w:t> </w:t>
      </w:r>
      <w:r w:rsidR="005B7A5C" w:rsidRPr="004676F5">
        <w:rPr>
          <w:lang w:val="de-DE"/>
        </w:rPr>
        <w:t>- </w:t>
      </w:r>
      <w:r w:rsidR="009A08A5" w:rsidRPr="004676F5">
        <w:rPr>
          <w:lang w:val="de-DE"/>
        </w:rPr>
        <w:t>[Ein zugelassener Vertreter, dessen Eintragung gestrichen wurde, wird in folgenden Fällen auf seinen Antrag hin erneut in das Register der zugelassenen Vertreter eingetragen:</w:t>
      </w:r>
    </w:p>
    <w:p w14:paraId="183DC7B9" w14:textId="77777777" w:rsidR="009A08A5" w:rsidRPr="004676F5" w:rsidRDefault="009A08A5" w:rsidP="009A08A5">
      <w:pPr>
        <w:ind w:firstLine="708"/>
        <w:jc w:val="both"/>
        <w:rPr>
          <w:lang w:val="de-DE"/>
        </w:rPr>
      </w:pPr>
    </w:p>
    <w:p w14:paraId="1523C745" w14:textId="37965463" w:rsidR="009A08A5" w:rsidRPr="004676F5" w:rsidRDefault="009A08A5" w:rsidP="009A08A5">
      <w:pPr>
        <w:ind w:firstLine="708"/>
        <w:jc w:val="both"/>
        <w:rPr>
          <w:lang w:val="de-DE"/>
        </w:rPr>
      </w:pPr>
      <w:r w:rsidRPr="004676F5">
        <w:rPr>
          <w:lang w:val="de-DE"/>
        </w:rPr>
        <w:t xml:space="preserve">1. Die in </w:t>
      </w:r>
      <w:r w:rsidR="00A82659" w:rsidRPr="004676F5">
        <w:rPr>
          <w:lang w:val="de-DE"/>
        </w:rPr>
        <w:t>[den Artikeln XI.71 und XI.72 Absatz 1 Nr. 1 bis 3]</w:t>
      </w:r>
      <w:r w:rsidRPr="004676F5">
        <w:rPr>
          <w:lang w:val="de-DE"/>
        </w:rPr>
        <w:t xml:space="preserve"> erwähnten Gründe, die zu seiner Streichung geführt haben, bestehen nicht mehr.</w:t>
      </w:r>
    </w:p>
    <w:p w14:paraId="18A06B59" w14:textId="77777777" w:rsidR="009A08A5" w:rsidRPr="004676F5" w:rsidRDefault="009A08A5" w:rsidP="009A08A5">
      <w:pPr>
        <w:ind w:firstLine="708"/>
        <w:jc w:val="both"/>
        <w:rPr>
          <w:lang w:val="de-DE"/>
        </w:rPr>
      </w:pPr>
    </w:p>
    <w:p w14:paraId="5E185435" w14:textId="5973AA52" w:rsidR="001527B1" w:rsidRPr="004676F5" w:rsidRDefault="009A08A5" w:rsidP="009A08A5">
      <w:pPr>
        <w:ind w:firstLine="708"/>
        <w:jc w:val="both"/>
        <w:rPr>
          <w:lang w:val="de-DE"/>
        </w:rPr>
      </w:pPr>
      <w:r w:rsidRPr="004676F5">
        <w:rPr>
          <w:lang w:val="de-DE"/>
        </w:rPr>
        <w:t>2. Die Frist der in Anwendung von Artikel XI.72 Absatz 1 Nr. 5 bis 7 getroffenen Streichungsmaßnahme ist abgelaufen.]</w:t>
      </w:r>
    </w:p>
    <w:p w14:paraId="4559E2A2" w14:textId="24582856" w:rsidR="009A08A5" w:rsidRPr="004676F5" w:rsidRDefault="009A08A5" w:rsidP="009A08A5">
      <w:pPr>
        <w:ind w:firstLine="708"/>
        <w:jc w:val="both"/>
        <w:rPr>
          <w:lang w:val="de-DE"/>
        </w:rPr>
      </w:pPr>
    </w:p>
    <w:p w14:paraId="651029A8" w14:textId="1747A64B" w:rsidR="009A08A5" w:rsidRPr="004676F5" w:rsidRDefault="009A08A5" w:rsidP="009A08A5">
      <w:pPr>
        <w:jc w:val="both"/>
        <w:rPr>
          <w:i/>
          <w:lang w:val="de-DE"/>
        </w:rPr>
      </w:pPr>
      <w:r w:rsidRPr="004676F5">
        <w:rPr>
          <w:i/>
          <w:lang w:val="de-DE"/>
        </w:rPr>
        <w:t>[Art. XI.73 ersetzt durch Art. 19</w:t>
      </w:r>
      <w:r w:rsidRPr="004676F5">
        <w:rPr>
          <w:i/>
          <w:iCs/>
          <w:lang w:val="de-DE"/>
        </w:rPr>
        <w:t xml:space="preserve"> des G. vom 8. Juli 2018 (B.S. vom 19. Juli 2018)</w:t>
      </w:r>
      <w:r w:rsidR="00A82659" w:rsidRPr="004676F5">
        <w:rPr>
          <w:i/>
          <w:iCs/>
          <w:lang w:val="de-DE"/>
        </w:rPr>
        <w:t>; einziger Absatz Nr. 1 abgeändert durch Art. 34 des G. vom 9. Februar 2024 (B.S. vom 21. März 2024)</w:t>
      </w:r>
      <w:r w:rsidRPr="004676F5">
        <w:rPr>
          <w:i/>
          <w:iCs/>
          <w:lang w:val="de-DE"/>
        </w:rPr>
        <w:t>]</w:t>
      </w:r>
    </w:p>
    <w:p w14:paraId="66634C8B" w14:textId="77777777" w:rsidR="001527B1" w:rsidRPr="004676F5" w:rsidRDefault="001527B1" w:rsidP="001527B1">
      <w:pPr>
        <w:ind w:firstLine="708"/>
        <w:jc w:val="both"/>
        <w:rPr>
          <w:lang w:val="de-DE"/>
        </w:rPr>
      </w:pPr>
    </w:p>
    <w:p w14:paraId="0A7C61CB" w14:textId="77777777" w:rsidR="00CE5A09" w:rsidRPr="004676F5" w:rsidRDefault="00CE5A09" w:rsidP="001527B1">
      <w:pPr>
        <w:ind w:firstLine="708"/>
        <w:jc w:val="both"/>
        <w:rPr>
          <w:lang w:val="de-DE"/>
        </w:rPr>
      </w:pPr>
    </w:p>
    <w:p w14:paraId="119A3E6A" w14:textId="5D5A8A48" w:rsidR="009A08A5" w:rsidRPr="004676F5" w:rsidRDefault="00BE0A56" w:rsidP="009A08A5">
      <w:pPr>
        <w:ind w:firstLine="708"/>
        <w:jc w:val="both"/>
        <w:rPr>
          <w:lang w:val="de-DE"/>
        </w:rPr>
      </w:pPr>
      <w:r w:rsidRPr="004676F5">
        <w:rPr>
          <w:b/>
          <w:lang w:val="de-DE"/>
        </w:rPr>
        <w:t>Art. </w:t>
      </w:r>
      <w:r w:rsidR="001527B1" w:rsidRPr="004676F5">
        <w:rPr>
          <w:b/>
          <w:lang w:val="de-DE"/>
        </w:rPr>
        <w:t>XI.74</w:t>
      </w:r>
      <w:r w:rsidR="001527B1" w:rsidRPr="004676F5">
        <w:rPr>
          <w:lang w:val="de-DE"/>
        </w:rPr>
        <w:t> </w:t>
      </w:r>
      <w:r w:rsidR="005B7A5C" w:rsidRPr="004676F5">
        <w:rPr>
          <w:lang w:val="de-DE"/>
        </w:rPr>
        <w:t>- </w:t>
      </w:r>
      <w:r w:rsidR="009A08A5" w:rsidRPr="004676F5">
        <w:rPr>
          <w:lang w:val="de-DE"/>
        </w:rPr>
        <w:t>[§ 1 ­ In den in Artikel XI.72 erwähnten Fällen, mit Ausnahme der in Absatz 1 Nr. 1 und 7 erwähnten Fälle, holt der Minister die vorherige Stellungnahme des in Artikel XI.75/3 § 1 erwähnten Instituts der Patentanwälte ein.</w:t>
      </w:r>
    </w:p>
    <w:p w14:paraId="65592B31" w14:textId="77777777" w:rsidR="009A08A5" w:rsidRPr="004676F5" w:rsidRDefault="009A08A5" w:rsidP="009A08A5">
      <w:pPr>
        <w:ind w:firstLine="708"/>
        <w:jc w:val="both"/>
        <w:rPr>
          <w:lang w:val="de-DE"/>
        </w:rPr>
      </w:pPr>
    </w:p>
    <w:p w14:paraId="28DAE9F8" w14:textId="77777777" w:rsidR="009A08A5" w:rsidRPr="004676F5" w:rsidRDefault="009A08A5" w:rsidP="009A08A5">
      <w:pPr>
        <w:ind w:firstLine="708"/>
        <w:jc w:val="both"/>
        <w:rPr>
          <w:lang w:val="de-DE"/>
        </w:rPr>
      </w:pPr>
      <w:r w:rsidRPr="004676F5">
        <w:rPr>
          <w:lang w:val="de-DE"/>
        </w:rPr>
        <w:t>Wenn eine neue Eintragung auf der Grundlage von Artikel XI.73 beantragt wird, holt der Minister die vorherige Stellungnahme des Instituts ein, wenn eine Disziplinarmaßnahme Grund für die Streichung ist, oder des in Artikel XI.75/1 erwähnten Ausschusses für die Zulassung von Vertretern, wenn der Streichung keine Disziplinarmaßnahme zugrunde liegt.</w:t>
      </w:r>
    </w:p>
    <w:p w14:paraId="714E8989" w14:textId="77777777" w:rsidR="009A08A5" w:rsidRPr="004676F5" w:rsidRDefault="009A08A5" w:rsidP="009A08A5">
      <w:pPr>
        <w:ind w:firstLine="708"/>
        <w:jc w:val="both"/>
        <w:rPr>
          <w:lang w:val="de-DE"/>
        </w:rPr>
      </w:pPr>
    </w:p>
    <w:p w14:paraId="6CFF40AE" w14:textId="13B3829B"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Beabsichtigt das Institut oder der Ausschuss für die Zulassung von Vertretern unter den in § 1 erwähnten Umständen, eine negative Stellungnahme abzugeben, setzt es/er den Betreffenden mindestens zwanzig Werktage im Voraus per Einschreibesendung von der Sitzung in Kenntnis, in der die Sache untersucht wird. Ein Rechtsanwalt oder ein zugelassener Vertreter kann dem Betreffenden beistehen oder ihn vertreten.</w:t>
      </w:r>
    </w:p>
    <w:p w14:paraId="1761536B" w14:textId="77777777" w:rsidR="009A08A5" w:rsidRPr="004676F5" w:rsidRDefault="009A08A5" w:rsidP="009A08A5">
      <w:pPr>
        <w:ind w:firstLine="708"/>
        <w:jc w:val="both"/>
        <w:rPr>
          <w:lang w:val="de-DE"/>
        </w:rPr>
      </w:pPr>
    </w:p>
    <w:p w14:paraId="0BC9DB42" w14:textId="77777777" w:rsidR="009A08A5" w:rsidRPr="004676F5" w:rsidRDefault="009A08A5" w:rsidP="009A08A5">
      <w:pPr>
        <w:ind w:firstLine="708"/>
        <w:jc w:val="both"/>
        <w:rPr>
          <w:lang w:val="de-DE"/>
        </w:rPr>
      </w:pPr>
      <w:r w:rsidRPr="004676F5">
        <w:rPr>
          <w:lang w:val="de-DE"/>
        </w:rPr>
        <w:t>Die Stellungnahme wird dem Minister zusammen mit der Akte übermittelt. Gibt das Institut seine Stellungnahme nicht innerhalb dreier Monate nach seiner Befassung ab, wird davon ausgegangen, dass sie günstig für den Betreffenden ist.</w:t>
      </w:r>
    </w:p>
    <w:p w14:paraId="59ED2CF8" w14:textId="77777777" w:rsidR="009A08A5" w:rsidRPr="004676F5" w:rsidRDefault="009A08A5" w:rsidP="009A08A5">
      <w:pPr>
        <w:ind w:firstLine="708"/>
        <w:jc w:val="both"/>
        <w:rPr>
          <w:lang w:val="de-DE"/>
        </w:rPr>
      </w:pPr>
    </w:p>
    <w:p w14:paraId="7AE3168F" w14:textId="4C7BB739" w:rsidR="009A08A5" w:rsidRPr="004676F5" w:rsidRDefault="009A08A5" w:rsidP="009A08A5">
      <w:pPr>
        <w:ind w:firstLine="708"/>
        <w:jc w:val="both"/>
        <w:rPr>
          <w:lang w:val="de-DE"/>
        </w:rPr>
      </w:pPr>
      <w:r w:rsidRPr="004676F5">
        <w:rPr>
          <w:lang w:val="de-DE"/>
        </w:rPr>
        <w:t>§ 3 </w:t>
      </w:r>
      <w:r w:rsidR="005B7A5C" w:rsidRPr="004676F5">
        <w:rPr>
          <w:lang w:val="de-DE"/>
        </w:rPr>
        <w:t>- </w:t>
      </w:r>
      <w:r w:rsidRPr="004676F5">
        <w:rPr>
          <w:lang w:val="de-DE"/>
        </w:rPr>
        <w:t>Beschlüsse zur Streichung und zur Ablehnung einer Neueintragung und Beschlüsse, mit denen der Minister von der Stellungnahme des Instituts oder des Ausschusses für die Zulassung von Vertretern abweicht, müssen mit Gründen versehen sein.</w:t>
      </w:r>
    </w:p>
    <w:p w14:paraId="74E55E70" w14:textId="77777777" w:rsidR="009A08A5" w:rsidRPr="004676F5" w:rsidRDefault="009A08A5" w:rsidP="009A08A5">
      <w:pPr>
        <w:ind w:firstLine="708"/>
        <w:jc w:val="both"/>
        <w:rPr>
          <w:lang w:val="de-DE"/>
        </w:rPr>
      </w:pPr>
    </w:p>
    <w:p w14:paraId="08E0B17A" w14:textId="77C15B20" w:rsidR="001527B1" w:rsidRPr="004676F5" w:rsidRDefault="009A08A5" w:rsidP="009A08A5">
      <w:pPr>
        <w:ind w:firstLine="708"/>
        <w:jc w:val="both"/>
        <w:rPr>
          <w:lang w:val="de-DE"/>
        </w:rPr>
      </w:pPr>
      <w:r w:rsidRPr="004676F5">
        <w:rPr>
          <w:lang w:val="de-DE"/>
        </w:rPr>
        <w:t>Der Minister setzt den Betreffenden unverzüglich von seinem Beschluss zur Streichung, zur Neueintragung oder zur Ablehnung einer solchen Eintragung in Kenntnis. Er lässt im Monat nach Empfang der Stellungnahme je nach Fall die Streichung oder die Neueintragung vornehmen.]</w:t>
      </w:r>
    </w:p>
    <w:p w14:paraId="4FD1C0E7" w14:textId="3CE23582" w:rsidR="009A08A5" w:rsidRPr="004676F5" w:rsidRDefault="009A08A5" w:rsidP="009A08A5">
      <w:pPr>
        <w:ind w:firstLine="708"/>
        <w:jc w:val="both"/>
        <w:rPr>
          <w:lang w:val="de-DE"/>
        </w:rPr>
      </w:pPr>
    </w:p>
    <w:p w14:paraId="4D2BA307" w14:textId="06567220" w:rsidR="009A08A5" w:rsidRPr="004676F5" w:rsidRDefault="009A08A5" w:rsidP="009A08A5">
      <w:pPr>
        <w:jc w:val="both"/>
        <w:rPr>
          <w:i/>
          <w:lang w:val="de-DE"/>
        </w:rPr>
      </w:pPr>
      <w:r w:rsidRPr="004676F5">
        <w:rPr>
          <w:i/>
          <w:lang w:val="de-DE"/>
        </w:rPr>
        <w:t>[Art. XI.74 ersetzt durch Art. 20</w:t>
      </w:r>
      <w:r w:rsidRPr="004676F5">
        <w:rPr>
          <w:i/>
          <w:iCs/>
          <w:lang w:val="de-DE"/>
        </w:rPr>
        <w:t xml:space="preserve"> des G. vom 8. Juli 2018 (B.S. vom 19. Juli 2018)]</w:t>
      </w:r>
    </w:p>
    <w:p w14:paraId="2F053D1C" w14:textId="77777777" w:rsidR="001527B1" w:rsidRPr="004676F5" w:rsidRDefault="001527B1" w:rsidP="001527B1">
      <w:pPr>
        <w:ind w:firstLine="708"/>
        <w:jc w:val="both"/>
        <w:rPr>
          <w:lang w:val="de-DE"/>
        </w:rPr>
      </w:pPr>
    </w:p>
    <w:p w14:paraId="77061FF4" w14:textId="77777777" w:rsidR="00CE5A09" w:rsidRPr="004676F5" w:rsidRDefault="00CE5A09" w:rsidP="001527B1">
      <w:pPr>
        <w:ind w:firstLine="708"/>
        <w:jc w:val="both"/>
        <w:rPr>
          <w:lang w:val="de-DE"/>
        </w:rPr>
      </w:pPr>
    </w:p>
    <w:p w14:paraId="4104CA1A" w14:textId="093C63B6" w:rsidR="001527B1" w:rsidRPr="004676F5" w:rsidRDefault="00BE0A56" w:rsidP="001527B1">
      <w:pPr>
        <w:ind w:firstLine="708"/>
        <w:jc w:val="both"/>
        <w:rPr>
          <w:lang w:val="de-DE"/>
        </w:rPr>
      </w:pPr>
      <w:r w:rsidRPr="004676F5">
        <w:rPr>
          <w:b/>
          <w:lang w:val="de-DE"/>
        </w:rPr>
        <w:t>Art. </w:t>
      </w:r>
      <w:r w:rsidR="001527B1" w:rsidRPr="004676F5">
        <w:rPr>
          <w:b/>
          <w:lang w:val="de-DE"/>
        </w:rPr>
        <w:t>XI.75</w:t>
      </w:r>
      <w:r w:rsidR="001527B1" w:rsidRPr="004676F5">
        <w:rPr>
          <w:lang w:val="de-DE"/>
        </w:rPr>
        <w:t> </w:t>
      </w:r>
      <w:r w:rsidR="005B7A5C" w:rsidRPr="004676F5">
        <w:rPr>
          <w:lang w:val="de-DE"/>
        </w:rPr>
        <w:t>- </w:t>
      </w:r>
      <w:r w:rsidR="001527B1" w:rsidRPr="004676F5">
        <w:rPr>
          <w:lang w:val="de-DE"/>
        </w:rPr>
        <w:t>Stirbt ein zugelassener Vertreter oder ist es ihm unmöglich, seine Vertretungstätigkeit auszuüben, können die ihm beim Amt anvertrauten Aufträge während sechs Monaten von einem anderen zugelassenen Vertreter ausgeübt werden, ohne dass dieser ein Mandat nachweisen muss.</w:t>
      </w:r>
    </w:p>
    <w:p w14:paraId="6FCA2806" w14:textId="77777777" w:rsidR="001527B1" w:rsidRPr="004676F5" w:rsidRDefault="001527B1" w:rsidP="001527B1">
      <w:pPr>
        <w:ind w:firstLine="708"/>
        <w:jc w:val="both"/>
        <w:rPr>
          <w:lang w:val="de-DE"/>
        </w:rPr>
      </w:pPr>
    </w:p>
    <w:p w14:paraId="396E738E" w14:textId="3D64EE45" w:rsidR="00CE5A09" w:rsidRPr="004676F5" w:rsidRDefault="00CE5A09" w:rsidP="001527B1">
      <w:pPr>
        <w:ind w:firstLine="708"/>
        <w:jc w:val="both"/>
        <w:rPr>
          <w:lang w:val="de-DE"/>
        </w:rPr>
      </w:pPr>
    </w:p>
    <w:p w14:paraId="74DC5004" w14:textId="77777777" w:rsidR="00A82659" w:rsidRPr="004676F5" w:rsidRDefault="00A82659">
      <w:pPr>
        <w:rPr>
          <w:lang w:val="de-DE"/>
        </w:rPr>
      </w:pPr>
      <w:r w:rsidRPr="004676F5">
        <w:rPr>
          <w:lang w:val="de-DE"/>
        </w:rPr>
        <w:br w:type="page"/>
      </w:r>
    </w:p>
    <w:p w14:paraId="6415B331" w14:textId="6E66B28A" w:rsidR="009A08A5" w:rsidRPr="004676F5" w:rsidRDefault="009A08A5" w:rsidP="009A08A5">
      <w:pPr>
        <w:jc w:val="center"/>
        <w:rPr>
          <w:lang w:val="de-DE"/>
        </w:rPr>
      </w:pPr>
      <w:r w:rsidRPr="004676F5">
        <w:rPr>
          <w:lang w:val="de-DE"/>
        </w:rPr>
        <w:lastRenderedPageBreak/>
        <w:t>[</w:t>
      </w:r>
      <w:r w:rsidRPr="004676F5">
        <w:rPr>
          <w:i/>
          <w:lang w:val="de-DE"/>
        </w:rPr>
        <w:t>Abschnitt 4</w:t>
      </w:r>
      <w:r w:rsidRPr="004676F5">
        <w:rPr>
          <w:lang w:val="de-DE"/>
        </w:rPr>
        <w:t> </w:t>
      </w:r>
      <w:r w:rsidR="005B7A5C" w:rsidRPr="004676F5">
        <w:rPr>
          <w:lang w:val="de-DE"/>
        </w:rPr>
        <w:t>- </w:t>
      </w:r>
      <w:r w:rsidRPr="004676F5">
        <w:rPr>
          <w:lang w:val="de-DE"/>
        </w:rPr>
        <w:t>Ausschuss für die Zulassung von Vertretern]</w:t>
      </w:r>
    </w:p>
    <w:p w14:paraId="20924F76" w14:textId="27FF1E69" w:rsidR="009A08A5" w:rsidRPr="004676F5" w:rsidRDefault="009A08A5" w:rsidP="009A08A5">
      <w:pPr>
        <w:jc w:val="center"/>
        <w:rPr>
          <w:lang w:val="de-DE"/>
        </w:rPr>
      </w:pPr>
    </w:p>
    <w:p w14:paraId="5CA153D5" w14:textId="3FC2B4E6" w:rsidR="009A08A5" w:rsidRPr="004676F5" w:rsidRDefault="009A08A5" w:rsidP="009A08A5">
      <w:pPr>
        <w:jc w:val="both"/>
        <w:rPr>
          <w:i/>
          <w:iCs/>
          <w:lang w:val="de-DE"/>
        </w:rPr>
      </w:pPr>
      <w:r w:rsidRPr="004676F5">
        <w:rPr>
          <w:i/>
          <w:lang w:val="de-DE"/>
        </w:rPr>
        <w:t>[Unterteilung Abschnitt 4 eingefügt durch Art. 21</w:t>
      </w:r>
      <w:r w:rsidRPr="004676F5">
        <w:rPr>
          <w:i/>
          <w:iCs/>
          <w:lang w:val="de-DE"/>
        </w:rPr>
        <w:t xml:space="preserve"> des G. vom 8. Juli 2018 (B.S. vom 19. Juli 2018)]</w:t>
      </w:r>
    </w:p>
    <w:p w14:paraId="013E72FF" w14:textId="2BA2BBD7" w:rsidR="009A08A5" w:rsidRPr="004676F5" w:rsidRDefault="009A08A5" w:rsidP="009A08A5">
      <w:pPr>
        <w:jc w:val="center"/>
        <w:rPr>
          <w:lang w:val="de-DE"/>
        </w:rPr>
      </w:pPr>
    </w:p>
    <w:p w14:paraId="1D0CEA3E" w14:textId="77777777" w:rsidR="009A08A5" w:rsidRPr="004676F5" w:rsidRDefault="009A08A5" w:rsidP="009A08A5">
      <w:pPr>
        <w:jc w:val="center"/>
        <w:rPr>
          <w:lang w:val="de-DE"/>
        </w:rPr>
      </w:pPr>
    </w:p>
    <w:p w14:paraId="53EFDA60" w14:textId="7A9CF435" w:rsidR="009A08A5" w:rsidRPr="004676F5" w:rsidRDefault="009A08A5" w:rsidP="009A08A5">
      <w:pPr>
        <w:ind w:firstLine="708"/>
        <w:jc w:val="both"/>
        <w:rPr>
          <w:lang w:val="de-DE"/>
        </w:rPr>
      </w:pPr>
      <w:r w:rsidRPr="004676F5">
        <w:rPr>
          <w:lang w:val="de-DE"/>
        </w:rPr>
        <w:t>[</w:t>
      </w:r>
      <w:r w:rsidRPr="004676F5">
        <w:rPr>
          <w:b/>
          <w:lang w:val="de-DE"/>
        </w:rPr>
        <w:t>Art. XI.75/1</w:t>
      </w:r>
      <w:r w:rsidRPr="004676F5">
        <w:rPr>
          <w:lang w:val="de-DE"/>
        </w:rPr>
        <w:t>] </w:t>
      </w:r>
      <w:r w:rsidR="005B7A5C" w:rsidRPr="004676F5">
        <w:rPr>
          <w:lang w:val="de-DE"/>
        </w:rPr>
        <w:t>- </w:t>
      </w:r>
      <w:r w:rsidRPr="004676F5">
        <w:rPr>
          <w:lang w:val="de-DE"/>
        </w:rPr>
        <w:t>Beim FÖD Wirtschaft wird ein Ausschuss eingesetzt für die Zulassung von Vertretern, die ermächtigt sind, natürliche und juristische Personen in den in Artikel XI.62 erwähnten Angelegenheiten vor dem Amt zu vertreten.</w:t>
      </w:r>
    </w:p>
    <w:p w14:paraId="23BFCB8C" w14:textId="13831CC6" w:rsidR="009A08A5" w:rsidRPr="004676F5" w:rsidRDefault="009A08A5" w:rsidP="009A08A5">
      <w:pPr>
        <w:rPr>
          <w:lang w:val="de-DE"/>
        </w:rPr>
      </w:pPr>
    </w:p>
    <w:p w14:paraId="0FF0773B" w14:textId="77777777" w:rsidR="009A08A5" w:rsidRPr="004676F5" w:rsidRDefault="009A08A5" w:rsidP="009A08A5">
      <w:pPr>
        <w:ind w:firstLine="708"/>
        <w:jc w:val="both"/>
        <w:rPr>
          <w:lang w:val="de-DE"/>
        </w:rPr>
      </w:pPr>
      <w:r w:rsidRPr="004676F5">
        <w:rPr>
          <w:lang w:val="de-DE"/>
        </w:rPr>
        <w:t>Dieser Ausschuss hat als Aufgabe:</w:t>
      </w:r>
    </w:p>
    <w:p w14:paraId="171ABCD9" w14:textId="77777777" w:rsidR="009A08A5" w:rsidRPr="004676F5" w:rsidRDefault="009A08A5" w:rsidP="009A08A5">
      <w:pPr>
        <w:ind w:firstLine="708"/>
        <w:jc w:val="both"/>
        <w:rPr>
          <w:lang w:val="de-DE"/>
        </w:rPr>
      </w:pPr>
    </w:p>
    <w:p w14:paraId="77CB7CF6" w14:textId="77777777" w:rsidR="009A08A5" w:rsidRPr="004676F5" w:rsidRDefault="009A08A5" w:rsidP="009A08A5">
      <w:pPr>
        <w:ind w:firstLine="708"/>
        <w:jc w:val="both"/>
        <w:rPr>
          <w:lang w:val="de-DE"/>
        </w:rPr>
      </w:pPr>
      <w:r w:rsidRPr="004676F5">
        <w:rPr>
          <w:lang w:val="de-DE"/>
        </w:rPr>
        <w:t>1. zu prüfen, ob Personen, die in das Register der zugelassenen Vertreter eingetragen werden wollen, die [durch und gegebenenfalls aufgrund des Artikels XI.66] festgelegten Bedingungen erfüllen,</w:t>
      </w:r>
    </w:p>
    <w:p w14:paraId="5485E90B" w14:textId="77777777" w:rsidR="009A08A5" w:rsidRPr="004676F5" w:rsidRDefault="009A08A5" w:rsidP="009A08A5">
      <w:pPr>
        <w:ind w:firstLine="708"/>
        <w:jc w:val="both"/>
        <w:rPr>
          <w:lang w:val="de-DE"/>
        </w:rPr>
      </w:pPr>
    </w:p>
    <w:p w14:paraId="304A389E" w14:textId="77777777" w:rsidR="009A08A5" w:rsidRPr="004676F5" w:rsidRDefault="009A08A5" w:rsidP="009A08A5">
      <w:pPr>
        <w:ind w:firstLine="708"/>
        <w:jc w:val="both"/>
        <w:rPr>
          <w:lang w:val="de-DE"/>
        </w:rPr>
      </w:pPr>
      <w:r w:rsidRPr="004676F5">
        <w:rPr>
          <w:lang w:val="de-DE"/>
        </w:rPr>
        <w:t>2. die [in Artikel XI.66 § 2 Absatz 1 Nr. 3] erwähnte Prüfung abzuhalten,</w:t>
      </w:r>
    </w:p>
    <w:p w14:paraId="2A6AD546" w14:textId="77777777" w:rsidR="009A08A5" w:rsidRPr="004676F5" w:rsidRDefault="009A08A5" w:rsidP="009A08A5">
      <w:pPr>
        <w:ind w:firstLine="708"/>
        <w:jc w:val="both"/>
        <w:rPr>
          <w:lang w:val="de-DE"/>
        </w:rPr>
      </w:pPr>
    </w:p>
    <w:p w14:paraId="5F84AA08" w14:textId="77777777" w:rsidR="009A08A5" w:rsidRPr="004676F5" w:rsidRDefault="009A08A5" w:rsidP="009A08A5">
      <w:pPr>
        <w:ind w:firstLine="708"/>
        <w:jc w:val="both"/>
        <w:rPr>
          <w:lang w:val="de-DE"/>
        </w:rPr>
      </w:pPr>
      <w:r w:rsidRPr="004676F5">
        <w:rPr>
          <w:lang w:val="de-DE"/>
        </w:rPr>
        <w:t>3. dem Minister eine Stellungnahme zu Beschlüssen abzugeben, die er in Bezug auf Eintragung in das [...] Register der zugelassenen Vertreter fassen muss,</w:t>
      </w:r>
    </w:p>
    <w:p w14:paraId="7F7BD94E" w14:textId="77777777" w:rsidR="009A08A5" w:rsidRPr="004676F5" w:rsidRDefault="009A08A5" w:rsidP="009A08A5">
      <w:pPr>
        <w:ind w:firstLine="708"/>
        <w:jc w:val="both"/>
        <w:rPr>
          <w:lang w:val="de-DE"/>
        </w:rPr>
      </w:pPr>
    </w:p>
    <w:p w14:paraId="4D4C94D3" w14:textId="6F981D49" w:rsidR="009A08A5" w:rsidRPr="004676F5" w:rsidRDefault="009A08A5" w:rsidP="009A08A5">
      <w:pPr>
        <w:ind w:firstLine="708"/>
        <w:jc w:val="both"/>
        <w:rPr>
          <w:lang w:val="de-DE"/>
        </w:rPr>
      </w:pPr>
      <w:r w:rsidRPr="004676F5">
        <w:rPr>
          <w:lang w:val="de-DE"/>
        </w:rPr>
        <w:t>[4. mit dem in Artikel XI.75/3 § 1 erwähnten Institut der Patentanwälte Informationen über die Zulassung und Streichung von zugelassenen Vertretern auszutauschen.]</w:t>
      </w:r>
    </w:p>
    <w:p w14:paraId="0DF63680" w14:textId="77777777" w:rsidR="009A08A5" w:rsidRPr="004676F5" w:rsidRDefault="009A08A5" w:rsidP="009A08A5">
      <w:pPr>
        <w:ind w:firstLine="708"/>
        <w:jc w:val="both"/>
        <w:rPr>
          <w:lang w:val="de-DE"/>
        </w:rPr>
      </w:pPr>
    </w:p>
    <w:p w14:paraId="399589CB" w14:textId="7CAD519A" w:rsidR="009A08A5" w:rsidRPr="004676F5" w:rsidRDefault="009A08A5" w:rsidP="009A08A5">
      <w:pPr>
        <w:jc w:val="both"/>
        <w:rPr>
          <w:i/>
          <w:lang w:val="de-DE"/>
        </w:rPr>
      </w:pPr>
      <w:r w:rsidRPr="004676F5">
        <w:rPr>
          <w:i/>
          <w:lang w:val="de-DE"/>
        </w:rPr>
        <w:t>[Früherer Artikel XI.67 umnummeriert zu Art. XI.75/1 durch Art. 15 Nr. 1</w:t>
      </w:r>
      <w:r w:rsidRPr="004676F5">
        <w:rPr>
          <w:i/>
          <w:iCs/>
          <w:lang w:val="de-DE"/>
        </w:rPr>
        <w:t xml:space="preserve"> des G. vom 8. Juli 2018 (B.S. vom 19. Juli 2018); Abs. 2 Nr. 1 abgeändert durch Art. 15 Nr. 2</w:t>
      </w:r>
      <w:r w:rsidR="00DD7E15" w:rsidRPr="004676F5">
        <w:rPr>
          <w:i/>
          <w:iCs/>
          <w:lang w:val="de-DE"/>
        </w:rPr>
        <w:t xml:space="preserve"> Buchstabe a)</w:t>
      </w:r>
      <w:r w:rsidRPr="004676F5">
        <w:rPr>
          <w:i/>
          <w:iCs/>
          <w:lang w:val="de-DE"/>
        </w:rPr>
        <w:t xml:space="preserve"> des G. vom 8. Juli 2018 (B.S. vom 19. Juli 2018); Abs. 2 Nr. 2 abgeändert durch Art. 15 Nr. </w:t>
      </w:r>
      <w:r w:rsidR="00DD7E15" w:rsidRPr="004676F5">
        <w:rPr>
          <w:i/>
          <w:iCs/>
          <w:lang w:val="de-DE"/>
        </w:rPr>
        <w:t>2 Buchstabe b)</w:t>
      </w:r>
      <w:r w:rsidRPr="004676F5">
        <w:rPr>
          <w:i/>
          <w:iCs/>
          <w:lang w:val="de-DE"/>
        </w:rPr>
        <w:t xml:space="preserve"> des G. vom 8. Juli 2018 (B.S. vom 19. Juli 2018); </w:t>
      </w:r>
      <w:r w:rsidR="00DD7E15" w:rsidRPr="004676F5">
        <w:rPr>
          <w:i/>
          <w:iCs/>
          <w:lang w:val="de-DE"/>
        </w:rPr>
        <w:t xml:space="preserve">Abs.2 Nr. 3 abgeändert durch Art. 15 Nr. 2 Buchstabe c) des G. vom 8. Juli 2018 (B.S. vom 19. Juli 2018); </w:t>
      </w:r>
      <w:r w:rsidRPr="004676F5">
        <w:rPr>
          <w:i/>
          <w:iCs/>
          <w:lang w:val="de-DE"/>
        </w:rPr>
        <w:t>Abs. 2 Nr. 4 eingefügt durch Art. 15 Nr. </w:t>
      </w:r>
      <w:r w:rsidR="00DD7E15" w:rsidRPr="004676F5">
        <w:rPr>
          <w:i/>
          <w:iCs/>
          <w:lang w:val="de-DE"/>
        </w:rPr>
        <w:t>2 Buchstabe d)</w:t>
      </w:r>
      <w:r w:rsidRPr="004676F5">
        <w:rPr>
          <w:i/>
          <w:iCs/>
          <w:lang w:val="de-DE"/>
        </w:rPr>
        <w:t xml:space="preserve"> des G. vom 8. Juli 2018 (B.S. vom 19. Juli 2018)]</w:t>
      </w:r>
    </w:p>
    <w:p w14:paraId="38D3FA8D" w14:textId="77777777" w:rsidR="009A08A5" w:rsidRPr="004676F5" w:rsidRDefault="009A08A5" w:rsidP="009A08A5">
      <w:pPr>
        <w:ind w:firstLine="708"/>
        <w:jc w:val="both"/>
        <w:rPr>
          <w:lang w:val="de-DE"/>
        </w:rPr>
      </w:pPr>
    </w:p>
    <w:p w14:paraId="373FC9D7" w14:textId="77777777" w:rsidR="009A08A5" w:rsidRPr="004676F5" w:rsidRDefault="009A08A5" w:rsidP="009A08A5">
      <w:pPr>
        <w:ind w:firstLine="708"/>
        <w:jc w:val="both"/>
        <w:rPr>
          <w:lang w:val="de-DE"/>
        </w:rPr>
      </w:pPr>
    </w:p>
    <w:p w14:paraId="252F160C" w14:textId="3C6157F6" w:rsidR="009A08A5" w:rsidRPr="004676F5" w:rsidRDefault="009A08A5" w:rsidP="009A08A5">
      <w:pPr>
        <w:ind w:firstLine="708"/>
        <w:jc w:val="both"/>
        <w:rPr>
          <w:lang w:val="de-DE"/>
        </w:rPr>
      </w:pPr>
      <w:r w:rsidRPr="004676F5">
        <w:rPr>
          <w:lang w:val="de-DE"/>
        </w:rPr>
        <w:t>[</w:t>
      </w:r>
      <w:r w:rsidRPr="004676F5">
        <w:rPr>
          <w:b/>
          <w:lang w:val="de-DE"/>
        </w:rPr>
        <w:t>Art. XI.75/2</w:t>
      </w:r>
      <w:r w:rsidRPr="004676F5">
        <w:rPr>
          <w:lang w:val="de-DE"/>
        </w:rPr>
        <w:t xml:space="preserve">] </w:t>
      </w:r>
      <w:r w:rsidR="005B7A5C" w:rsidRPr="004676F5">
        <w:rPr>
          <w:lang w:val="de-DE"/>
        </w:rPr>
        <w:t>- </w:t>
      </w:r>
      <w:r w:rsidRPr="004676F5">
        <w:rPr>
          <w:lang w:val="de-DE"/>
        </w:rPr>
        <w:t>Der Ausschuss besteht aus zwei Abteilungen. Die eine entscheidet [in französischer und deutscher Sprache], die andere in niederländischer Sprache.</w:t>
      </w:r>
    </w:p>
    <w:p w14:paraId="1A6D9524" w14:textId="77777777" w:rsidR="009A08A5" w:rsidRPr="004676F5" w:rsidRDefault="009A08A5" w:rsidP="009A08A5">
      <w:pPr>
        <w:ind w:firstLine="708"/>
        <w:jc w:val="both"/>
        <w:rPr>
          <w:lang w:val="de-DE"/>
        </w:rPr>
      </w:pPr>
    </w:p>
    <w:p w14:paraId="78FF4431" w14:textId="77777777" w:rsidR="009A08A5" w:rsidRPr="004676F5" w:rsidRDefault="009A08A5" w:rsidP="009A08A5">
      <w:pPr>
        <w:ind w:firstLine="708"/>
        <w:jc w:val="both"/>
        <w:rPr>
          <w:lang w:val="de-DE"/>
        </w:rPr>
      </w:pPr>
      <w:r w:rsidRPr="004676F5">
        <w:rPr>
          <w:lang w:val="de-DE"/>
        </w:rPr>
        <w:t>Der König bestimmt Zusammensetzung und Arbeitsweise des Ausschusses und legt die Modalitäten der in [Artikel XI.66 § 2 Absatz 1 Nr. 3] erwähnten Prüfung fest. Ein Mitglied der französischen Abteilung muss ausreichende Kenntnisse der deutschen Sprache besitzen.</w:t>
      </w:r>
    </w:p>
    <w:p w14:paraId="73E7FBE4" w14:textId="77777777" w:rsidR="009A08A5" w:rsidRPr="004676F5" w:rsidRDefault="009A08A5" w:rsidP="009A08A5">
      <w:pPr>
        <w:ind w:firstLine="708"/>
        <w:jc w:val="both"/>
        <w:rPr>
          <w:lang w:val="de-DE"/>
        </w:rPr>
      </w:pPr>
    </w:p>
    <w:p w14:paraId="25B74FD8" w14:textId="77777777" w:rsidR="009A08A5" w:rsidRPr="004676F5" w:rsidRDefault="009A08A5" w:rsidP="009A08A5">
      <w:pPr>
        <w:ind w:firstLine="708"/>
        <w:jc w:val="both"/>
        <w:rPr>
          <w:lang w:val="de-DE"/>
        </w:rPr>
      </w:pPr>
      <w:r w:rsidRPr="004676F5">
        <w:rPr>
          <w:lang w:val="de-DE"/>
        </w:rPr>
        <w:t>Die erforderlichen Haushaltsmittel werden in den Haushaltsplan des FÖD Wirtschaft eingetragen.</w:t>
      </w:r>
    </w:p>
    <w:p w14:paraId="047EC83F" w14:textId="77777777" w:rsidR="009A08A5" w:rsidRPr="004676F5" w:rsidRDefault="009A08A5" w:rsidP="009A08A5">
      <w:pPr>
        <w:ind w:firstLine="708"/>
        <w:jc w:val="both"/>
        <w:rPr>
          <w:lang w:val="de-DE"/>
        </w:rPr>
      </w:pPr>
    </w:p>
    <w:p w14:paraId="0ED4C3E6" w14:textId="16ABA943" w:rsidR="009A08A5" w:rsidRPr="004676F5" w:rsidRDefault="009A08A5" w:rsidP="009A08A5">
      <w:pPr>
        <w:jc w:val="both"/>
        <w:rPr>
          <w:i/>
          <w:iCs/>
          <w:lang w:val="de-DE"/>
        </w:rPr>
      </w:pPr>
      <w:r w:rsidRPr="004676F5">
        <w:rPr>
          <w:lang w:val="de-DE"/>
        </w:rPr>
        <w:t>[</w:t>
      </w:r>
      <w:r w:rsidRPr="004676F5">
        <w:rPr>
          <w:i/>
          <w:lang w:val="de-DE"/>
        </w:rPr>
        <w:t>Früherer Artikel XI.68 umnummeriert zu Art. XI.75/2 durch Art. 16 Nr. 1</w:t>
      </w:r>
      <w:r w:rsidRPr="004676F5">
        <w:rPr>
          <w:i/>
          <w:iCs/>
          <w:lang w:val="de-DE"/>
        </w:rPr>
        <w:t xml:space="preserve"> des G. vom 8. Juli 2018 (B.S. vom 19. Juli 2018); Abs. 1 abgeändert durch Art. 16 Nr. 2 des G. vom 8. Juli 2018 (B.S. vom 19. Juli 2018); Abs. 2 abgeändert durch Art. 16 Nr. 3 des G. vom 8. Juli 2018 (B.S. vom 19. Juli 2018)]</w:t>
      </w:r>
    </w:p>
    <w:p w14:paraId="2D6F4EDB" w14:textId="54AE94AC" w:rsidR="009A08A5" w:rsidRPr="004676F5" w:rsidRDefault="009A08A5" w:rsidP="009A08A5">
      <w:pPr>
        <w:jc w:val="center"/>
        <w:rPr>
          <w:lang w:val="de-DE"/>
        </w:rPr>
      </w:pPr>
    </w:p>
    <w:p w14:paraId="488A69F1" w14:textId="72FF3507" w:rsidR="009A08A5" w:rsidRPr="004676F5" w:rsidRDefault="009A08A5" w:rsidP="009A08A5">
      <w:pPr>
        <w:jc w:val="center"/>
        <w:rPr>
          <w:lang w:val="de-DE"/>
        </w:rPr>
      </w:pPr>
    </w:p>
    <w:p w14:paraId="09AF7C9D" w14:textId="77777777" w:rsidR="00A82659" w:rsidRPr="004676F5" w:rsidRDefault="00A82659">
      <w:pPr>
        <w:rPr>
          <w:lang w:val="de-DE"/>
        </w:rPr>
      </w:pPr>
      <w:r w:rsidRPr="004676F5">
        <w:rPr>
          <w:lang w:val="de-DE"/>
        </w:rPr>
        <w:br w:type="page"/>
      </w:r>
    </w:p>
    <w:p w14:paraId="3E1C9ED8" w14:textId="42F69B45" w:rsidR="009A08A5" w:rsidRPr="004676F5" w:rsidRDefault="009A08A5" w:rsidP="009A08A5">
      <w:pPr>
        <w:jc w:val="center"/>
        <w:rPr>
          <w:lang w:val="de-DE"/>
        </w:rPr>
      </w:pPr>
      <w:r w:rsidRPr="004676F5">
        <w:rPr>
          <w:lang w:val="de-DE"/>
        </w:rPr>
        <w:lastRenderedPageBreak/>
        <w:t>[</w:t>
      </w:r>
      <w:r w:rsidRPr="004676F5">
        <w:rPr>
          <w:i/>
          <w:lang w:val="de-DE"/>
        </w:rPr>
        <w:t>Abschnitt 5</w:t>
      </w:r>
      <w:r w:rsidRPr="004676F5">
        <w:rPr>
          <w:lang w:val="de-DE"/>
        </w:rPr>
        <w:t> </w:t>
      </w:r>
      <w:r w:rsidR="005B7A5C" w:rsidRPr="004676F5">
        <w:rPr>
          <w:lang w:val="de-DE"/>
        </w:rPr>
        <w:t>- </w:t>
      </w:r>
      <w:r w:rsidRPr="004676F5">
        <w:rPr>
          <w:lang w:val="de-DE"/>
        </w:rPr>
        <w:t>Institut der Patentanwälte]</w:t>
      </w:r>
    </w:p>
    <w:p w14:paraId="3317ED40" w14:textId="451763ED" w:rsidR="009A08A5" w:rsidRPr="004676F5" w:rsidRDefault="009A08A5" w:rsidP="009A08A5">
      <w:pPr>
        <w:jc w:val="center"/>
        <w:rPr>
          <w:lang w:val="de-DE"/>
        </w:rPr>
      </w:pPr>
    </w:p>
    <w:p w14:paraId="6D9894C3" w14:textId="4172A739" w:rsidR="009A08A5" w:rsidRPr="004676F5" w:rsidRDefault="009A08A5" w:rsidP="009A08A5">
      <w:pPr>
        <w:jc w:val="both"/>
        <w:rPr>
          <w:i/>
          <w:iCs/>
          <w:lang w:val="de-DE"/>
        </w:rPr>
      </w:pPr>
      <w:r w:rsidRPr="004676F5">
        <w:rPr>
          <w:i/>
          <w:lang w:val="de-DE"/>
        </w:rPr>
        <w:t>[Unterteilung Abschnitt 5 eingefügt durch Art. 22</w:t>
      </w:r>
      <w:r w:rsidRPr="004676F5">
        <w:rPr>
          <w:i/>
          <w:iCs/>
          <w:lang w:val="de-DE"/>
        </w:rPr>
        <w:t xml:space="preserve"> des G. vom 8. Juli 2018 (B.S. vom 19. Juli 2018)]</w:t>
      </w:r>
    </w:p>
    <w:p w14:paraId="66861504" w14:textId="40E11617" w:rsidR="009A08A5" w:rsidRPr="004676F5" w:rsidRDefault="009A08A5" w:rsidP="009A08A5">
      <w:pPr>
        <w:jc w:val="both"/>
        <w:rPr>
          <w:i/>
          <w:iCs/>
          <w:lang w:val="de-DE"/>
        </w:rPr>
      </w:pPr>
    </w:p>
    <w:p w14:paraId="16194FD1" w14:textId="35797CBA" w:rsidR="009A08A5" w:rsidRPr="004676F5" w:rsidRDefault="009A08A5" w:rsidP="009A08A5">
      <w:pPr>
        <w:jc w:val="both"/>
        <w:rPr>
          <w:i/>
          <w:iCs/>
          <w:lang w:val="de-DE"/>
        </w:rPr>
      </w:pPr>
    </w:p>
    <w:p w14:paraId="10B2CB55" w14:textId="5DA4146C" w:rsidR="009A08A5" w:rsidRPr="004676F5" w:rsidRDefault="009A08A5" w:rsidP="009A08A5">
      <w:pPr>
        <w:ind w:firstLine="708"/>
        <w:jc w:val="both"/>
        <w:rPr>
          <w:lang w:val="de-DE"/>
        </w:rPr>
      </w:pPr>
      <w:r w:rsidRPr="004676F5">
        <w:rPr>
          <w:iCs/>
          <w:lang w:val="de-DE"/>
        </w:rPr>
        <w:t>[</w:t>
      </w:r>
      <w:r w:rsidRPr="004676F5">
        <w:rPr>
          <w:b/>
          <w:lang w:val="de-DE"/>
        </w:rPr>
        <w:t>Art. XI.75/3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Ein Institut der Patentanwälte wird eingerichtet. Das Institut besitzt Rechtspersönlichkeit. </w:t>
      </w:r>
      <w:r w:rsidR="00F2372E" w:rsidRPr="004676F5">
        <w:rPr>
          <w:lang w:val="de-DE"/>
        </w:rPr>
        <w:t>[...]</w:t>
      </w:r>
      <w:r w:rsidRPr="004676F5">
        <w:rPr>
          <w:lang w:val="de-DE"/>
        </w:rPr>
        <w:t xml:space="preserve"> Der Sitz des Instituts ist in der Region Brüssel-Hauptstadt gelegen.</w:t>
      </w:r>
    </w:p>
    <w:p w14:paraId="362F349A" w14:textId="77777777" w:rsidR="009A08A5" w:rsidRPr="004676F5" w:rsidRDefault="009A08A5" w:rsidP="009A08A5">
      <w:pPr>
        <w:ind w:firstLine="708"/>
        <w:jc w:val="both"/>
        <w:rPr>
          <w:lang w:val="de-DE"/>
        </w:rPr>
      </w:pPr>
    </w:p>
    <w:p w14:paraId="4C01BEAD" w14:textId="4C4A07FC"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Das Institut setzt sich ausschließlich Untersuchung, Schutz und Förderung der beruflichen, sozioökonomischen, moralischen und wissenschaftlichen Interessen der Patentanwälte zum Ziel.</w:t>
      </w:r>
    </w:p>
    <w:p w14:paraId="79FCDEAB" w14:textId="77777777" w:rsidR="009A08A5" w:rsidRPr="004676F5" w:rsidRDefault="009A08A5" w:rsidP="009A08A5">
      <w:pPr>
        <w:ind w:firstLine="708"/>
        <w:jc w:val="both"/>
        <w:rPr>
          <w:lang w:val="de-DE"/>
        </w:rPr>
      </w:pPr>
    </w:p>
    <w:p w14:paraId="74F72E91" w14:textId="4650AD0D" w:rsidR="009A08A5" w:rsidRPr="004676F5" w:rsidRDefault="009A08A5" w:rsidP="009A08A5">
      <w:pPr>
        <w:ind w:firstLine="708"/>
        <w:jc w:val="both"/>
        <w:rPr>
          <w:lang w:val="de-DE"/>
        </w:rPr>
      </w:pPr>
      <w:r w:rsidRPr="004676F5">
        <w:rPr>
          <w:lang w:val="de-DE"/>
        </w:rPr>
        <w:t>§ 3 </w:t>
      </w:r>
      <w:r w:rsidR="005B7A5C" w:rsidRPr="004676F5">
        <w:rPr>
          <w:lang w:val="de-DE"/>
        </w:rPr>
        <w:t>- </w:t>
      </w:r>
      <w:r w:rsidRPr="004676F5">
        <w:rPr>
          <w:lang w:val="de-DE"/>
        </w:rPr>
        <w:t>Die Organe des Instituts sind:</w:t>
      </w:r>
    </w:p>
    <w:p w14:paraId="49C278F8" w14:textId="77777777" w:rsidR="009A08A5" w:rsidRPr="004676F5" w:rsidRDefault="009A08A5" w:rsidP="009A08A5">
      <w:pPr>
        <w:ind w:firstLine="708"/>
        <w:jc w:val="both"/>
        <w:rPr>
          <w:lang w:val="de-DE"/>
        </w:rPr>
      </w:pPr>
    </w:p>
    <w:p w14:paraId="44A7AB85" w14:textId="77777777" w:rsidR="009A08A5" w:rsidRPr="004676F5" w:rsidRDefault="009A08A5" w:rsidP="009A08A5">
      <w:pPr>
        <w:ind w:firstLine="708"/>
        <w:jc w:val="both"/>
        <w:rPr>
          <w:lang w:val="de-DE"/>
        </w:rPr>
      </w:pPr>
      <w:r w:rsidRPr="004676F5">
        <w:rPr>
          <w:lang w:val="de-DE"/>
        </w:rPr>
        <w:t>1. die Generalversammlung,</w:t>
      </w:r>
    </w:p>
    <w:p w14:paraId="6F6BD698" w14:textId="77777777" w:rsidR="009A08A5" w:rsidRPr="004676F5" w:rsidRDefault="009A08A5" w:rsidP="009A08A5">
      <w:pPr>
        <w:ind w:firstLine="708"/>
        <w:jc w:val="both"/>
        <w:rPr>
          <w:lang w:val="de-DE"/>
        </w:rPr>
      </w:pPr>
    </w:p>
    <w:p w14:paraId="171477C9" w14:textId="77777777" w:rsidR="009A08A5" w:rsidRPr="004676F5" w:rsidRDefault="009A08A5" w:rsidP="009A08A5">
      <w:pPr>
        <w:ind w:firstLine="708"/>
        <w:jc w:val="both"/>
        <w:rPr>
          <w:lang w:val="de-DE"/>
        </w:rPr>
      </w:pPr>
      <w:r w:rsidRPr="004676F5">
        <w:rPr>
          <w:lang w:val="de-DE"/>
        </w:rPr>
        <w:t>2. der Rat,</w:t>
      </w:r>
    </w:p>
    <w:p w14:paraId="07442986" w14:textId="77777777" w:rsidR="009A08A5" w:rsidRPr="004676F5" w:rsidRDefault="009A08A5" w:rsidP="009A08A5">
      <w:pPr>
        <w:ind w:firstLine="708"/>
        <w:jc w:val="both"/>
        <w:rPr>
          <w:lang w:val="de-DE"/>
        </w:rPr>
      </w:pPr>
    </w:p>
    <w:p w14:paraId="7F65BDEE" w14:textId="42033654" w:rsidR="009A08A5" w:rsidRPr="004676F5" w:rsidRDefault="009A08A5" w:rsidP="009A08A5">
      <w:pPr>
        <w:jc w:val="both"/>
        <w:rPr>
          <w:lang w:val="de-DE"/>
        </w:rPr>
      </w:pPr>
      <w:r w:rsidRPr="004676F5">
        <w:rPr>
          <w:lang w:val="de-DE"/>
        </w:rPr>
        <w:tab/>
        <w:t>3. der Disziplinarausschuss.]</w:t>
      </w:r>
    </w:p>
    <w:p w14:paraId="10481759" w14:textId="38B47B36" w:rsidR="009A08A5" w:rsidRPr="004676F5" w:rsidRDefault="009A08A5" w:rsidP="009A08A5">
      <w:pPr>
        <w:jc w:val="both"/>
        <w:rPr>
          <w:lang w:val="de-DE"/>
        </w:rPr>
      </w:pPr>
    </w:p>
    <w:p w14:paraId="65A74B64" w14:textId="4F173365" w:rsidR="009A08A5" w:rsidRPr="004676F5" w:rsidRDefault="009A08A5" w:rsidP="009A08A5">
      <w:pPr>
        <w:jc w:val="both"/>
        <w:rPr>
          <w:i/>
          <w:lang w:val="de-DE"/>
        </w:rPr>
      </w:pPr>
      <w:r w:rsidRPr="004676F5">
        <w:rPr>
          <w:i/>
          <w:lang w:val="de-DE"/>
        </w:rPr>
        <w:t>[Art. XI.75/3 eingefügt durch Art. 23</w:t>
      </w:r>
      <w:r w:rsidRPr="004676F5">
        <w:rPr>
          <w:i/>
          <w:iCs/>
          <w:lang w:val="de-DE"/>
        </w:rPr>
        <w:t xml:space="preserve"> des G. vom 8. Juli 2018 (B.S. vom 19. Juli 2018)</w:t>
      </w:r>
      <w:r w:rsidR="00F2372E" w:rsidRPr="004676F5">
        <w:rPr>
          <w:i/>
          <w:iCs/>
          <w:lang w:val="de-DE"/>
        </w:rPr>
        <w:t>; § 1 abgeändert durch Art. 12 des G. vom 25. September 2022 (B.S. vom 24. Oktober 2022)</w:t>
      </w:r>
      <w:r w:rsidRPr="004676F5">
        <w:rPr>
          <w:i/>
          <w:iCs/>
          <w:lang w:val="de-DE"/>
        </w:rPr>
        <w:t>]</w:t>
      </w:r>
    </w:p>
    <w:p w14:paraId="7EE7A433" w14:textId="0983676D" w:rsidR="009A08A5" w:rsidRPr="004676F5" w:rsidRDefault="009A08A5" w:rsidP="009A08A5">
      <w:pPr>
        <w:jc w:val="both"/>
        <w:rPr>
          <w:iCs/>
          <w:lang w:val="de-DE"/>
        </w:rPr>
      </w:pPr>
    </w:p>
    <w:p w14:paraId="11237799" w14:textId="18AFE880" w:rsidR="009A08A5" w:rsidRPr="004676F5" w:rsidRDefault="009A08A5" w:rsidP="009A08A5">
      <w:pPr>
        <w:jc w:val="both"/>
        <w:rPr>
          <w:iCs/>
          <w:lang w:val="de-DE"/>
        </w:rPr>
      </w:pPr>
    </w:p>
    <w:p w14:paraId="28D1A02E" w14:textId="2139F8F9" w:rsidR="009A08A5" w:rsidRPr="004676F5" w:rsidRDefault="009A08A5" w:rsidP="009A08A5">
      <w:pPr>
        <w:ind w:firstLine="708"/>
        <w:jc w:val="both"/>
        <w:rPr>
          <w:lang w:val="de-DE"/>
        </w:rPr>
      </w:pPr>
      <w:r w:rsidRPr="004676F5">
        <w:rPr>
          <w:iCs/>
          <w:lang w:val="de-DE"/>
        </w:rPr>
        <w:t>[</w:t>
      </w:r>
      <w:r w:rsidRPr="004676F5">
        <w:rPr>
          <w:b/>
          <w:lang w:val="de-DE"/>
        </w:rPr>
        <w:t>Art. XI.75/4</w:t>
      </w:r>
      <w:r w:rsidRPr="004676F5">
        <w:rPr>
          <w:lang w:val="de-DE"/>
        </w:rPr>
        <w:t> </w:t>
      </w:r>
      <w:r w:rsidR="005B7A5C" w:rsidRPr="004676F5">
        <w:rPr>
          <w:lang w:val="de-DE"/>
        </w:rPr>
        <w:t>- </w:t>
      </w:r>
      <w:r w:rsidR="00F2372E" w:rsidRPr="004676F5">
        <w:rPr>
          <w:lang w:val="de-DE"/>
        </w:rPr>
        <w:t xml:space="preserve">[§ 1] - </w:t>
      </w:r>
      <w:r w:rsidRPr="004676F5">
        <w:rPr>
          <w:lang w:val="de-DE"/>
        </w:rPr>
        <w:t>Das Institut der Patentanwälte hat folgende Aufträge:</w:t>
      </w:r>
    </w:p>
    <w:p w14:paraId="0CFAD244" w14:textId="77777777" w:rsidR="009A08A5" w:rsidRPr="004676F5" w:rsidRDefault="009A08A5" w:rsidP="009A08A5">
      <w:pPr>
        <w:ind w:firstLine="708"/>
        <w:jc w:val="both"/>
        <w:rPr>
          <w:lang w:val="de-DE"/>
        </w:rPr>
      </w:pPr>
    </w:p>
    <w:p w14:paraId="0D612E1B" w14:textId="77777777" w:rsidR="009A08A5" w:rsidRPr="004676F5" w:rsidRDefault="009A08A5" w:rsidP="009A08A5">
      <w:pPr>
        <w:ind w:firstLine="708"/>
        <w:jc w:val="both"/>
        <w:rPr>
          <w:lang w:val="de-DE"/>
        </w:rPr>
      </w:pPr>
      <w:r w:rsidRPr="004676F5">
        <w:rPr>
          <w:lang w:val="de-DE"/>
        </w:rPr>
        <w:t>1. das Verzeichnis seiner Mitglieder erstellen,</w:t>
      </w:r>
    </w:p>
    <w:p w14:paraId="64328C83" w14:textId="77777777" w:rsidR="009A08A5" w:rsidRPr="004676F5" w:rsidRDefault="009A08A5" w:rsidP="009A08A5">
      <w:pPr>
        <w:ind w:firstLine="708"/>
        <w:jc w:val="both"/>
        <w:rPr>
          <w:lang w:val="de-DE"/>
        </w:rPr>
      </w:pPr>
    </w:p>
    <w:p w14:paraId="02455B1B" w14:textId="77777777" w:rsidR="009A08A5" w:rsidRPr="004676F5" w:rsidRDefault="009A08A5" w:rsidP="009A08A5">
      <w:pPr>
        <w:ind w:firstLine="708"/>
        <w:jc w:val="both"/>
        <w:rPr>
          <w:lang w:val="de-DE"/>
        </w:rPr>
      </w:pPr>
      <w:r w:rsidRPr="004676F5">
        <w:rPr>
          <w:lang w:val="de-DE"/>
        </w:rPr>
        <w:t>2. die Weiterbildung für seine Mitglieder koordinieren,</w:t>
      </w:r>
    </w:p>
    <w:p w14:paraId="39C4C24C" w14:textId="77777777" w:rsidR="009A08A5" w:rsidRPr="004676F5" w:rsidRDefault="009A08A5" w:rsidP="009A08A5">
      <w:pPr>
        <w:ind w:firstLine="708"/>
        <w:jc w:val="both"/>
        <w:rPr>
          <w:lang w:val="de-DE"/>
        </w:rPr>
      </w:pPr>
    </w:p>
    <w:p w14:paraId="4C5EACE3" w14:textId="77777777" w:rsidR="009A08A5" w:rsidRPr="004676F5" w:rsidRDefault="009A08A5" w:rsidP="009A08A5">
      <w:pPr>
        <w:ind w:firstLine="708"/>
        <w:jc w:val="both"/>
        <w:rPr>
          <w:lang w:val="de-DE"/>
        </w:rPr>
      </w:pPr>
      <w:r w:rsidRPr="004676F5">
        <w:rPr>
          <w:lang w:val="de-DE"/>
        </w:rPr>
        <w:t>3. die Einhaltung der Disziplinarordnung und der Verhaltensregeln überwachen,</w:t>
      </w:r>
    </w:p>
    <w:p w14:paraId="671B51AF" w14:textId="77777777" w:rsidR="009A08A5" w:rsidRPr="004676F5" w:rsidRDefault="009A08A5" w:rsidP="009A08A5">
      <w:pPr>
        <w:ind w:firstLine="708"/>
        <w:jc w:val="both"/>
        <w:rPr>
          <w:lang w:val="de-DE"/>
        </w:rPr>
      </w:pPr>
    </w:p>
    <w:p w14:paraId="1E19A2E2" w14:textId="77777777" w:rsidR="009A08A5" w:rsidRPr="004676F5" w:rsidRDefault="009A08A5" w:rsidP="009A08A5">
      <w:pPr>
        <w:ind w:firstLine="708"/>
        <w:jc w:val="both"/>
        <w:rPr>
          <w:lang w:val="de-DE"/>
        </w:rPr>
      </w:pPr>
      <w:r w:rsidRPr="004676F5">
        <w:rPr>
          <w:lang w:val="de-DE"/>
        </w:rPr>
        <w:t>4. aus eigener Initiative oder auf Ersuchen öffentlicher Behörden oder öffentlicher oder privater Einrichtungen Stellungnahmen in Angelegenheiten, die in seinen Zuständigkeits</w:t>
      </w:r>
      <w:r w:rsidRPr="004676F5">
        <w:rPr>
          <w:lang w:val="de-DE"/>
        </w:rPr>
        <w:softHyphen/>
        <w:t>bereich fallen, abgeben,</w:t>
      </w:r>
    </w:p>
    <w:p w14:paraId="588A78B0" w14:textId="77777777" w:rsidR="009A08A5" w:rsidRPr="004676F5" w:rsidRDefault="009A08A5" w:rsidP="009A08A5">
      <w:pPr>
        <w:ind w:firstLine="708"/>
        <w:jc w:val="both"/>
        <w:rPr>
          <w:lang w:val="de-DE"/>
        </w:rPr>
      </w:pPr>
    </w:p>
    <w:p w14:paraId="5344E7CE" w14:textId="7740805D" w:rsidR="009A08A5" w:rsidRPr="004676F5" w:rsidRDefault="009A08A5" w:rsidP="009A08A5">
      <w:pPr>
        <w:ind w:firstLine="708"/>
        <w:jc w:val="both"/>
        <w:rPr>
          <w:lang w:val="de-DE"/>
        </w:rPr>
      </w:pPr>
      <w:r w:rsidRPr="004676F5">
        <w:rPr>
          <w:lang w:val="de-DE"/>
        </w:rPr>
        <w:t>5. mit dem Ausschuss für die Zulassung von Vertretern Informationen über den Status der Mitgliedschaft der Mitglieder des Instituts austauschen.]</w:t>
      </w:r>
    </w:p>
    <w:p w14:paraId="53807076" w14:textId="77777777" w:rsidR="00F2372E" w:rsidRPr="004676F5" w:rsidRDefault="00F2372E" w:rsidP="009A08A5">
      <w:pPr>
        <w:ind w:firstLine="708"/>
        <w:jc w:val="both"/>
        <w:rPr>
          <w:lang w:val="de-DE"/>
        </w:rPr>
      </w:pPr>
    </w:p>
    <w:p w14:paraId="765E6CE8" w14:textId="2CA7C10B" w:rsidR="00F2372E" w:rsidRPr="004676F5" w:rsidRDefault="00F2372E" w:rsidP="00F2372E">
      <w:pPr>
        <w:ind w:firstLine="720"/>
        <w:jc w:val="both"/>
        <w:rPr>
          <w:lang w:val="de-DE"/>
        </w:rPr>
      </w:pPr>
      <w:r w:rsidRPr="004676F5">
        <w:rPr>
          <w:lang w:val="de-DE"/>
        </w:rPr>
        <w:t>[§ 2 ­ Die Verarbeitung personenbezogener Daten durch das Institut in seiner Eigenschaft als für die Verarbeitung Verantwortlicher erfolgt zu folgenden Zwecken: reibungsloser interner Betrieb, Kontrolle des Zugangs zum Beruf des Patentanwalts und seiner Ausübung, einschließlich des ordnungsgemäßen Ablaufs von Disziplinarverfahren, Zusammenarbeit zwischen den zuständigen Behörden in Belgien oder im Ausland, Verwaltung der Mitgliedschaft, Koordinierung der ständigen Weiterbildung, Abgabe von Stellungnahmen und Bereitstellung von Informationen über Angelegenheiten, die in seine Zuständigkeit fallen.</w:t>
      </w:r>
    </w:p>
    <w:p w14:paraId="1F8500B6" w14:textId="77777777" w:rsidR="00F2372E" w:rsidRPr="004676F5" w:rsidRDefault="00F2372E" w:rsidP="00F2372E">
      <w:pPr>
        <w:ind w:firstLine="720"/>
        <w:jc w:val="both"/>
        <w:rPr>
          <w:lang w:val="de-DE"/>
        </w:rPr>
      </w:pPr>
    </w:p>
    <w:p w14:paraId="59FA77A5" w14:textId="77777777" w:rsidR="00F2372E" w:rsidRPr="004676F5" w:rsidRDefault="00F2372E" w:rsidP="00F2372E">
      <w:pPr>
        <w:ind w:firstLine="720"/>
        <w:jc w:val="both"/>
        <w:rPr>
          <w:lang w:val="de-DE"/>
        </w:rPr>
      </w:pPr>
      <w:r w:rsidRPr="004676F5">
        <w:rPr>
          <w:lang w:val="de-DE"/>
        </w:rPr>
        <w:t>Das Institut verarbeitet folgende Kategorien von personenbezogenen Daten:</w:t>
      </w:r>
    </w:p>
    <w:p w14:paraId="78CCE269" w14:textId="77777777" w:rsidR="00F2372E" w:rsidRPr="004676F5" w:rsidRDefault="00F2372E" w:rsidP="00F2372E">
      <w:pPr>
        <w:ind w:firstLine="720"/>
        <w:jc w:val="both"/>
        <w:rPr>
          <w:lang w:val="de-DE"/>
        </w:rPr>
      </w:pPr>
    </w:p>
    <w:p w14:paraId="6716BE71" w14:textId="77777777" w:rsidR="00F2372E" w:rsidRPr="004676F5" w:rsidRDefault="00F2372E" w:rsidP="00F2372E">
      <w:pPr>
        <w:ind w:firstLine="720"/>
        <w:jc w:val="both"/>
        <w:rPr>
          <w:lang w:val="de-DE"/>
        </w:rPr>
      </w:pPr>
      <w:r w:rsidRPr="004676F5">
        <w:rPr>
          <w:lang w:val="de-DE"/>
        </w:rPr>
        <w:t>1. Erkennungsdaten,</w:t>
      </w:r>
    </w:p>
    <w:p w14:paraId="6E94EF42" w14:textId="77777777" w:rsidR="00F2372E" w:rsidRPr="004676F5" w:rsidRDefault="00F2372E" w:rsidP="00F2372E">
      <w:pPr>
        <w:ind w:firstLine="720"/>
        <w:jc w:val="both"/>
        <w:rPr>
          <w:lang w:val="de-DE"/>
        </w:rPr>
      </w:pPr>
    </w:p>
    <w:p w14:paraId="62AB9AA1" w14:textId="77777777" w:rsidR="00F2372E" w:rsidRPr="004676F5" w:rsidRDefault="00F2372E" w:rsidP="00F2372E">
      <w:pPr>
        <w:ind w:firstLine="720"/>
        <w:jc w:val="both"/>
        <w:rPr>
          <w:lang w:val="de-DE"/>
        </w:rPr>
      </w:pPr>
      <w:r w:rsidRPr="004676F5">
        <w:rPr>
          <w:lang w:val="de-DE"/>
        </w:rPr>
        <w:lastRenderedPageBreak/>
        <w:t>2. Kontaktdaten,</w:t>
      </w:r>
    </w:p>
    <w:p w14:paraId="6C5802CE" w14:textId="77777777" w:rsidR="00F2372E" w:rsidRPr="004676F5" w:rsidRDefault="00F2372E" w:rsidP="00F2372E">
      <w:pPr>
        <w:ind w:firstLine="720"/>
        <w:jc w:val="both"/>
        <w:rPr>
          <w:lang w:val="de-DE"/>
        </w:rPr>
      </w:pPr>
    </w:p>
    <w:p w14:paraId="07707D65" w14:textId="77777777" w:rsidR="00F2372E" w:rsidRPr="004676F5" w:rsidRDefault="00F2372E" w:rsidP="00F2372E">
      <w:pPr>
        <w:ind w:firstLine="720"/>
        <w:jc w:val="both"/>
        <w:rPr>
          <w:lang w:val="de-DE"/>
        </w:rPr>
      </w:pPr>
      <w:r w:rsidRPr="004676F5">
        <w:rPr>
          <w:lang w:val="de-DE"/>
        </w:rPr>
        <w:t>3. Bankangaben,</w:t>
      </w:r>
    </w:p>
    <w:p w14:paraId="0187362E" w14:textId="77777777" w:rsidR="00F2372E" w:rsidRPr="004676F5" w:rsidRDefault="00F2372E" w:rsidP="00F2372E">
      <w:pPr>
        <w:ind w:firstLine="720"/>
        <w:jc w:val="both"/>
        <w:rPr>
          <w:lang w:val="de-DE"/>
        </w:rPr>
      </w:pPr>
    </w:p>
    <w:p w14:paraId="3B3635D0" w14:textId="77777777" w:rsidR="00F2372E" w:rsidRPr="004676F5" w:rsidRDefault="00F2372E" w:rsidP="00F2372E">
      <w:pPr>
        <w:ind w:firstLine="720"/>
        <w:jc w:val="both"/>
        <w:rPr>
          <w:lang w:val="de-DE"/>
        </w:rPr>
      </w:pPr>
      <w:r w:rsidRPr="004676F5">
        <w:rPr>
          <w:lang w:val="de-DE"/>
        </w:rPr>
        <w:t>4. Belege und Beweise,</w:t>
      </w:r>
    </w:p>
    <w:p w14:paraId="29BB41C2" w14:textId="77777777" w:rsidR="00F2372E" w:rsidRPr="004676F5" w:rsidRDefault="00F2372E" w:rsidP="00F2372E">
      <w:pPr>
        <w:ind w:firstLine="720"/>
        <w:jc w:val="both"/>
        <w:rPr>
          <w:lang w:val="de-DE"/>
        </w:rPr>
      </w:pPr>
    </w:p>
    <w:p w14:paraId="0FD68293" w14:textId="77777777" w:rsidR="00F2372E" w:rsidRPr="004676F5" w:rsidRDefault="00F2372E" w:rsidP="00F2372E">
      <w:pPr>
        <w:ind w:firstLine="720"/>
        <w:jc w:val="both"/>
        <w:rPr>
          <w:lang w:val="de-DE"/>
        </w:rPr>
      </w:pPr>
      <w:r w:rsidRPr="004676F5">
        <w:rPr>
          <w:lang w:val="de-DE"/>
        </w:rPr>
        <w:t>5. jegliche personenbezogene Daten, die betreffende Personen mit dem Institut teilen möchten.</w:t>
      </w:r>
    </w:p>
    <w:p w14:paraId="335C05BD" w14:textId="77777777" w:rsidR="00F2372E" w:rsidRPr="004676F5" w:rsidRDefault="00F2372E" w:rsidP="00F2372E">
      <w:pPr>
        <w:ind w:firstLine="720"/>
        <w:jc w:val="both"/>
        <w:rPr>
          <w:lang w:val="de-DE"/>
        </w:rPr>
      </w:pPr>
    </w:p>
    <w:p w14:paraId="6C54F04F" w14:textId="77777777" w:rsidR="00F2372E" w:rsidRPr="004676F5" w:rsidRDefault="00F2372E" w:rsidP="00F2372E">
      <w:pPr>
        <w:ind w:firstLine="720"/>
        <w:jc w:val="both"/>
        <w:rPr>
          <w:lang w:val="de-DE"/>
        </w:rPr>
      </w:pPr>
      <w:r w:rsidRPr="004676F5">
        <w:rPr>
          <w:lang w:val="de-DE"/>
        </w:rPr>
        <w:t xml:space="preserve">Die Frist für die Speicherung der personenbezogenen Daten darf ein Jahr nach Verjährung aller Klagen, die in die Zuständigkeit des Instituts fallen, und gegebenenfalls nach der endgültigen Einstellung von Gerichts-, Verwaltungs- und Disziplinarverfahren und </w:t>
      </w:r>
      <w:r w:rsidRPr="004676F5">
        <w:rPr>
          <w:lang w:val="de-DE"/>
        </w:rPr>
        <w:noBreakHyphen/>
        <w:t>beschwerden nicht überschreiten. Daten im Zusammenhang mit Gerichts-, Verwaltungs- oder Disziplinarverfahren dürfen unter keinen Umständen vom Institut gespeichert werden, wenn sie Gegenstand einer Tilgung der Verurteilung oder einer strafrechtlichen Rehabilitierung gemäß Buch II Titel VII Kapitel 4 des Strafprozessgesetzbuches sind.</w:t>
      </w:r>
    </w:p>
    <w:p w14:paraId="1193FFF0" w14:textId="77777777" w:rsidR="00F2372E" w:rsidRPr="004676F5" w:rsidRDefault="00F2372E" w:rsidP="00F2372E">
      <w:pPr>
        <w:ind w:firstLine="720"/>
        <w:jc w:val="both"/>
        <w:rPr>
          <w:lang w:val="de-DE"/>
        </w:rPr>
      </w:pPr>
    </w:p>
    <w:p w14:paraId="70B500E3" w14:textId="4672219C" w:rsidR="00F2372E" w:rsidRPr="004676F5" w:rsidRDefault="00F2372E" w:rsidP="00F2372E">
      <w:pPr>
        <w:ind w:firstLine="708"/>
        <w:jc w:val="both"/>
        <w:rPr>
          <w:lang w:val="de-DE"/>
        </w:rPr>
      </w:pPr>
      <w:r w:rsidRPr="004676F5">
        <w:rPr>
          <w:lang w:val="de-DE"/>
        </w:rPr>
        <w:t>Der König kann Modalitäten für die vom Institut durchgeführte Verarbeitung von personenbezogenen Daten festlegen.]</w:t>
      </w:r>
    </w:p>
    <w:p w14:paraId="00896427" w14:textId="77777777" w:rsidR="009A08A5" w:rsidRPr="004676F5" w:rsidRDefault="009A08A5" w:rsidP="009A08A5">
      <w:pPr>
        <w:ind w:firstLine="708"/>
        <w:jc w:val="both"/>
        <w:rPr>
          <w:lang w:val="de-DE"/>
        </w:rPr>
      </w:pPr>
    </w:p>
    <w:p w14:paraId="3A85D9A5" w14:textId="1AB6EAEE" w:rsidR="009A08A5" w:rsidRPr="004676F5" w:rsidRDefault="009A08A5" w:rsidP="009A08A5">
      <w:pPr>
        <w:jc w:val="both"/>
        <w:rPr>
          <w:i/>
          <w:lang w:val="de-DE"/>
        </w:rPr>
      </w:pPr>
      <w:r w:rsidRPr="004676F5">
        <w:rPr>
          <w:i/>
          <w:lang w:val="de-DE"/>
        </w:rPr>
        <w:t>[Art. XI.75/4 eingefügt durch Art. 24</w:t>
      </w:r>
      <w:r w:rsidRPr="004676F5">
        <w:rPr>
          <w:i/>
          <w:iCs/>
          <w:lang w:val="de-DE"/>
        </w:rPr>
        <w:t xml:space="preserve"> des G. vom 8. Juli 2018 (B.S. vom 19. Juli 2018)</w:t>
      </w:r>
      <w:r w:rsidR="00F2372E" w:rsidRPr="004676F5">
        <w:rPr>
          <w:i/>
          <w:iCs/>
          <w:lang w:val="de-DE"/>
        </w:rPr>
        <w:t>; § 1 (früherer einziger Absatz) nummeriert durch Art. 13 des G. vom 25. September 2022 (B.S. vom 24. Oktober 2022); § 2 eingefügt durch Art. 13 des G. vom 25. September 2022 (B.S. vom 24. Oktober 2022)</w:t>
      </w:r>
      <w:r w:rsidRPr="004676F5">
        <w:rPr>
          <w:i/>
          <w:iCs/>
          <w:lang w:val="de-DE"/>
        </w:rPr>
        <w:t>]</w:t>
      </w:r>
    </w:p>
    <w:p w14:paraId="157DAAF2" w14:textId="77777777" w:rsidR="009A08A5" w:rsidRPr="004676F5" w:rsidRDefault="009A08A5" w:rsidP="009A08A5">
      <w:pPr>
        <w:ind w:firstLine="708"/>
        <w:jc w:val="both"/>
        <w:rPr>
          <w:lang w:val="de-DE"/>
        </w:rPr>
      </w:pPr>
    </w:p>
    <w:p w14:paraId="1113C8FA" w14:textId="77777777" w:rsidR="009A08A5" w:rsidRPr="004676F5" w:rsidRDefault="009A08A5" w:rsidP="009A08A5">
      <w:pPr>
        <w:ind w:firstLine="708"/>
        <w:jc w:val="both"/>
        <w:rPr>
          <w:lang w:val="de-DE"/>
        </w:rPr>
      </w:pPr>
    </w:p>
    <w:p w14:paraId="3FD324BB" w14:textId="6B1EF6E1" w:rsidR="009A08A5" w:rsidRPr="004676F5" w:rsidRDefault="009A08A5" w:rsidP="009A08A5">
      <w:pPr>
        <w:ind w:firstLine="708"/>
        <w:jc w:val="both"/>
        <w:rPr>
          <w:lang w:val="de-DE"/>
        </w:rPr>
      </w:pPr>
      <w:r w:rsidRPr="004676F5">
        <w:rPr>
          <w:lang w:val="de-DE"/>
        </w:rPr>
        <w:t>[</w:t>
      </w:r>
      <w:r w:rsidRPr="004676F5">
        <w:rPr>
          <w:b/>
          <w:lang w:val="de-DE"/>
        </w:rPr>
        <w:t>Art. XI.75/5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Personen, die im Register der zugelassenen Vertreter eingetragen sind, werden Mitglied des Instituts der Patentanwälte.</w:t>
      </w:r>
    </w:p>
    <w:p w14:paraId="2234E217" w14:textId="77777777" w:rsidR="009A08A5" w:rsidRPr="004676F5" w:rsidRDefault="009A08A5" w:rsidP="009A08A5">
      <w:pPr>
        <w:ind w:firstLine="708"/>
        <w:jc w:val="both"/>
        <w:rPr>
          <w:lang w:val="de-DE"/>
        </w:rPr>
      </w:pPr>
    </w:p>
    <w:p w14:paraId="61D2631F" w14:textId="77777777" w:rsidR="009A08A5" w:rsidRPr="004676F5" w:rsidRDefault="009A08A5" w:rsidP="009A08A5">
      <w:pPr>
        <w:ind w:firstLine="708"/>
        <w:jc w:val="both"/>
        <w:rPr>
          <w:lang w:val="de-DE"/>
        </w:rPr>
      </w:pPr>
      <w:r w:rsidRPr="004676F5">
        <w:rPr>
          <w:lang w:val="de-DE"/>
        </w:rPr>
        <w:t>In Artikel XI.64/3 erwähnte Personen, die die Bedingungen desselben Artikels erfüllen, werden automatisch und unentgeltlich Mitglied des Instituts.</w:t>
      </w:r>
    </w:p>
    <w:p w14:paraId="5F318323" w14:textId="77777777" w:rsidR="009A08A5" w:rsidRPr="004676F5" w:rsidRDefault="009A08A5" w:rsidP="009A08A5">
      <w:pPr>
        <w:ind w:firstLine="708"/>
        <w:jc w:val="both"/>
        <w:rPr>
          <w:lang w:val="de-DE"/>
        </w:rPr>
      </w:pPr>
    </w:p>
    <w:p w14:paraId="0980BE9E" w14:textId="6697A5E4"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Mitglieder des Instituts können eine vorübergehende Aussetzung ihrer Mitgliedschaft beantragen.</w:t>
      </w:r>
    </w:p>
    <w:p w14:paraId="2B1D7244" w14:textId="77777777" w:rsidR="009A08A5" w:rsidRPr="004676F5" w:rsidRDefault="009A08A5" w:rsidP="009A08A5">
      <w:pPr>
        <w:ind w:firstLine="708"/>
        <w:jc w:val="both"/>
        <w:rPr>
          <w:lang w:val="de-DE"/>
        </w:rPr>
      </w:pPr>
    </w:p>
    <w:p w14:paraId="23B55D64" w14:textId="15F8ED29" w:rsidR="009A08A5" w:rsidRPr="004676F5" w:rsidRDefault="009A08A5" w:rsidP="009A08A5">
      <w:pPr>
        <w:ind w:firstLine="708"/>
        <w:jc w:val="both"/>
        <w:rPr>
          <w:lang w:val="de-DE"/>
        </w:rPr>
      </w:pPr>
      <w:r w:rsidRPr="004676F5">
        <w:rPr>
          <w:lang w:val="de-DE"/>
        </w:rPr>
        <w:t>§ 3 </w:t>
      </w:r>
      <w:r w:rsidR="005B7A5C" w:rsidRPr="004676F5">
        <w:rPr>
          <w:lang w:val="de-DE"/>
        </w:rPr>
        <w:t>- </w:t>
      </w:r>
      <w:r w:rsidRPr="004676F5">
        <w:rPr>
          <w:lang w:val="de-DE"/>
        </w:rPr>
        <w:t>Die Mitgliedschaft im Institut endet:</w:t>
      </w:r>
    </w:p>
    <w:p w14:paraId="7FCC9220" w14:textId="77777777" w:rsidR="009A08A5" w:rsidRPr="004676F5" w:rsidRDefault="009A08A5" w:rsidP="009A08A5">
      <w:pPr>
        <w:ind w:firstLine="708"/>
        <w:jc w:val="both"/>
        <w:rPr>
          <w:lang w:val="de-DE"/>
        </w:rPr>
      </w:pPr>
    </w:p>
    <w:p w14:paraId="660EDCCB" w14:textId="77777777" w:rsidR="009A08A5" w:rsidRPr="004676F5" w:rsidRDefault="009A08A5" w:rsidP="009A08A5">
      <w:pPr>
        <w:ind w:firstLine="708"/>
        <w:jc w:val="both"/>
        <w:rPr>
          <w:lang w:val="de-DE"/>
        </w:rPr>
      </w:pPr>
      <w:r w:rsidRPr="004676F5">
        <w:rPr>
          <w:lang w:val="de-DE"/>
        </w:rPr>
        <w:t>1. für Personen, die in Anwendung von Artikel XI.71 oder Artikel XI.72 Absatz 1 Nr. 1 bis 6 aus dem Register der zugelassenen Vertreter gestrichen werden,</w:t>
      </w:r>
    </w:p>
    <w:p w14:paraId="63394BA9" w14:textId="77777777" w:rsidR="009A08A5" w:rsidRPr="004676F5" w:rsidRDefault="009A08A5" w:rsidP="009A08A5">
      <w:pPr>
        <w:ind w:firstLine="708"/>
        <w:jc w:val="both"/>
        <w:rPr>
          <w:lang w:val="de-DE"/>
        </w:rPr>
      </w:pPr>
    </w:p>
    <w:p w14:paraId="28186C29" w14:textId="77777777" w:rsidR="009A08A5" w:rsidRPr="004676F5" w:rsidRDefault="009A08A5" w:rsidP="009A08A5">
      <w:pPr>
        <w:ind w:firstLine="708"/>
        <w:jc w:val="both"/>
        <w:rPr>
          <w:lang w:val="de-DE"/>
        </w:rPr>
      </w:pPr>
      <w:r w:rsidRPr="004676F5">
        <w:rPr>
          <w:lang w:val="de-DE"/>
        </w:rPr>
        <w:t>2. für Mitglieder, die vom Disziplinarausschuss mit der Streichung aus dem Mitgliederverzeichnis des Instituts bestraft werden,</w:t>
      </w:r>
    </w:p>
    <w:p w14:paraId="4BFA2B99" w14:textId="77777777" w:rsidR="009A08A5" w:rsidRPr="004676F5" w:rsidRDefault="009A08A5" w:rsidP="009A08A5">
      <w:pPr>
        <w:ind w:firstLine="708"/>
        <w:jc w:val="both"/>
        <w:rPr>
          <w:lang w:val="de-DE"/>
        </w:rPr>
      </w:pPr>
    </w:p>
    <w:p w14:paraId="57676A17" w14:textId="77777777" w:rsidR="009A08A5" w:rsidRPr="004676F5" w:rsidRDefault="009A08A5" w:rsidP="009A08A5">
      <w:pPr>
        <w:ind w:firstLine="708"/>
        <w:jc w:val="both"/>
        <w:rPr>
          <w:lang w:val="de-DE"/>
        </w:rPr>
      </w:pPr>
      <w:r w:rsidRPr="004676F5">
        <w:rPr>
          <w:lang w:val="de-DE"/>
        </w:rPr>
        <w:t>3. für Mitglieder, die in § 1 Absatz 2 erwähnt sind, die die Bedingungen von Artikel XI.64/3 nicht mehr erfüllen,</w:t>
      </w:r>
    </w:p>
    <w:p w14:paraId="355DE892" w14:textId="77777777" w:rsidR="009A08A5" w:rsidRPr="004676F5" w:rsidRDefault="009A08A5" w:rsidP="009A08A5">
      <w:pPr>
        <w:ind w:firstLine="708"/>
        <w:jc w:val="both"/>
        <w:rPr>
          <w:lang w:val="de-DE"/>
        </w:rPr>
      </w:pPr>
    </w:p>
    <w:p w14:paraId="6EAFF850" w14:textId="77777777" w:rsidR="009A08A5" w:rsidRPr="004676F5" w:rsidRDefault="009A08A5" w:rsidP="009A08A5">
      <w:pPr>
        <w:ind w:firstLine="708"/>
        <w:jc w:val="both"/>
        <w:rPr>
          <w:lang w:val="de-DE"/>
        </w:rPr>
      </w:pPr>
      <w:r w:rsidRPr="004676F5">
        <w:rPr>
          <w:lang w:val="de-DE"/>
        </w:rPr>
        <w:t>4. für Mitglieder, die es versäumen, den Jahresbeitrag zu zahlen.</w:t>
      </w:r>
    </w:p>
    <w:p w14:paraId="6FD5F5A4" w14:textId="77777777" w:rsidR="009A08A5" w:rsidRPr="004676F5" w:rsidRDefault="009A08A5" w:rsidP="009A08A5">
      <w:pPr>
        <w:ind w:firstLine="708"/>
        <w:jc w:val="both"/>
        <w:rPr>
          <w:lang w:val="de-DE"/>
        </w:rPr>
      </w:pPr>
    </w:p>
    <w:p w14:paraId="7E3D9A06" w14:textId="1B9ECAF3" w:rsidR="009A08A5" w:rsidRPr="004676F5" w:rsidRDefault="009A08A5" w:rsidP="009A08A5">
      <w:pPr>
        <w:ind w:firstLine="708"/>
        <w:jc w:val="both"/>
        <w:rPr>
          <w:lang w:val="de-DE"/>
        </w:rPr>
      </w:pPr>
      <w:r w:rsidRPr="004676F5">
        <w:rPr>
          <w:lang w:val="de-DE"/>
        </w:rPr>
        <w:t>§ 4 </w:t>
      </w:r>
      <w:r w:rsidR="005B7A5C" w:rsidRPr="004676F5">
        <w:rPr>
          <w:lang w:val="de-DE"/>
        </w:rPr>
        <w:t>- </w:t>
      </w:r>
      <w:r w:rsidRPr="004676F5">
        <w:rPr>
          <w:lang w:val="de-DE"/>
        </w:rPr>
        <w:t>Auf Antrag eines Mitglieds stellt das Institut eine Bescheinigung über die Mitgliedschaft aus.</w:t>
      </w:r>
    </w:p>
    <w:p w14:paraId="1C4AC55A" w14:textId="77777777" w:rsidR="009A08A5" w:rsidRPr="004676F5" w:rsidRDefault="009A08A5" w:rsidP="009A08A5">
      <w:pPr>
        <w:ind w:firstLine="708"/>
        <w:jc w:val="both"/>
        <w:rPr>
          <w:lang w:val="de-DE"/>
        </w:rPr>
      </w:pPr>
    </w:p>
    <w:p w14:paraId="7B81DA32" w14:textId="66A80616" w:rsidR="009A08A5" w:rsidRPr="004676F5" w:rsidRDefault="009A08A5" w:rsidP="009A08A5">
      <w:pPr>
        <w:ind w:firstLine="708"/>
        <w:jc w:val="both"/>
        <w:rPr>
          <w:lang w:val="de-DE"/>
        </w:rPr>
      </w:pPr>
      <w:r w:rsidRPr="004676F5">
        <w:rPr>
          <w:lang w:val="de-DE"/>
        </w:rPr>
        <w:lastRenderedPageBreak/>
        <w:t>§ 5 </w:t>
      </w:r>
      <w:r w:rsidR="005B7A5C" w:rsidRPr="004676F5">
        <w:rPr>
          <w:lang w:val="de-DE"/>
        </w:rPr>
        <w:t>- </w:t>
      </w:r>
      <w:r w:rsidRPr="004676F5">
        <w:rPr>
          <w:lang w:val="de-DE"/>
        </w:rPr>
        <w:t>Der König legt die Modalitäten für Erwerb, vorübergehende Aussetzung oder Beendigung der in vorliegendem Artikel erwähnten Mitgliedschaft eines Mitglieds beim Institut fest.]</w:t>
      </w:r>
    </w:p>
    <w:p w14:paraId="55B138A4" w14:textId="0AD6CDAA" w:rsidR="009A08A5" w:rsidRPr="004676F5" w:rsidRDefault="009A08A5" w:rsidP="009A08A5">
      <w:pPr>
        <w:ind w:firstLine="708"/>
        <w:jc w:val="both"/>
        <w:rPr>
          <w:lang w:val="de-DE"/>
        </w:rPr>
      </w:pPr>
    </w:p>
    <w:p w14:paraId="00E45CE2" w14:textId="67326E48" w:rsidR="009A08A5" w:rsidRPr="004676F5" w:rsidRDefault="009A08A5" w:rsidP="009A08A5">
      <w:pPr>
        <w:jc w:val="both"/>
        <w:rPr>
          <w:i/>
          <w:lang w:val="de-DE"/>
        </w:rPr>
      </w:pPr>
      <w:r w:rsidRPr="004676F5">
        <w:rPr>
          <w:i/>
          <w:lang w:val="de-DE"/>
        </w:rPr>
        <w:t>[Art. XI.75/5 eingefügt durch Art. 25</w:t>
      </w:r>
      <w:r w:rsidRPr="004676F5">
        <w:rPr>
          <w:i/>
          <w:iCs/>
          <w:lang w:val="de-DE"/>
        </w:rPr>
        <w:t xml:space="preserve"> des G. vom 8. Juli 2018 (B.S. vom 19. Juli 2018)]</w:t>
      </w:r>
    </w:p>
    <w:p w14:paraId="6D9C9D51" w14:textId="77777777" w:rsidR="009A08A5" w:rsidRPr="004676F5" w:rsidRDefault="009A08A5" w:rsidP="009A08A5">
      <w:pPr>
        <w:ind w:firstLine="708"/>
        <w:jc w:val="both"/>
        <w:rPr>
          <w:lang w:val="de-DE"/>
        </w:rPr>
      </w:pPr>
    </w:p>
    <w:p w14:paraId="0AA3A08F" w14:textId="77777777" w:rsidR="009A08A5" w:rsidRPr="004676F5" w:rsidRDefault="009A08A5" w:rsidP="009A08A5">
      <w:pPr>
        <w:ind w:firstLine="708"/>
        <w:jc w:val="both"/>
        <w:rPr>
          <w:lang w:val="de-DE"/>
        </w:rPr>
      </w:pPr>
    </w:p>
    <w:p w14:paraId="154209EF" w14:textId="661D3FAA" w:rsidR="008E7245" w:rsidRPr="004676F5" w:rsidRDefault="009A08A5" w:rsidP="008E7245">
      <w:pPr>
        <w:ind w:firstLine="708"/>
        <w:jc w:val="both"/>
        <w:rPr>
          <w:lang w:val="de-DE"/>
        </w:rPr>
      </w:pPr>
      <w:r w:rsidRPr="004676F5">
        <w:rPr>
          <w:lang w:val="de-DE"/>
        </w:rPr>
        <w:t>[</w:t>
      </w:r>
      <w:r w:rsidRPr="004676F5">
        <w:rPr>
          <w:b/>
          <w:lang w:val="de-DE"/>
        </w:rPr>
        <w:t>Art. XI.75/6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Generalversammlung des Instituts der Patentanwälte setzt sich aus allen Mitgliedern des Instituts zusammen.</w:t>
      </w:r>
    </w:p>
    <w:p w14:paraId="6C1F86F4" w14:textId="2183D6CA" w:rsidR="000279D2" w:rsidRPr="004676F5" w:rsidRDefault="000279D2" w:rsidP="008E7245">
      <w:pPr>
        <w:ind w:firstLine="708"/>
        <w:jc w:val="both"/>
        <w:rPr>
          <w:lang w:val="de-DE"/>
        </w:rPr>
      </w:pPr>
    </w:p>
    <w:p w14:paraId="1D3DD6D1" w14:textId="2EEF8ED8" w:rsidR="009A08A5" w:rsidRPr="004676F5" w:rsidRDefault="009A08A5" w:rsidP="009A08A5">
      <w:pPr>
        <w:ind w:firstLine="708"/>
        <w:jc w:val="both"/>
        <w:rPr>
          <w:lang w:val="de-DE"/>
        </w:rPr>
      </w:pPr>
      <w:r w:rsidRPr="004676F5">
        <w:rPr>
          <w:lang w:val="de-DE"/>
        </w:rPr>
        <w:t xml:space="preserve">Die Generalversammlung wählt aus ihren Mitgliedern einen Präsidenten und einen Vizepräsidenten </w:t>
      </w:r>
      <w:r w:rsidR="00410628" w:rsidRPr="004676F5">
        <w:rPr>
          <w:lang w:val="de-DE"/>
        </w:rPr>
        <w:t>[...]</w:t>
      </w:r>
      <w:r w:rsidRPr="004676F5">
        <w:rPr>
          <w:lang w:val="de-DE"/>
        </w:rPr>
        <w:t>. Diese Personen müssen folgende Bedingungen erfüllen:</w:t>
      </w:r>
    </w:p>
    <w:p w14:paraId="6866C02D" w14:textId="77777777" w:rsidR="009A08A5" w:rsidRPr="004676F5" w:rsidRDefault="009A08A5" w:rsidP="009A08A5">
      <w:pPr>
        <w:ind w:firstLine="708"/>
        <w:jc w:val="both"/>
        <w:rPr>
          <w:lang w:val="de-DE"/>
        </w:rPr>
      </w:pPr>
    </w:p>
    <w:p w14:paraId="48E77DA7" w14:textId="77777777" w:rsidR="009A08A5" w:rsidRPr="004676F5" w:rsidRDefault="009A08A5" w:rsidP="009A08A5">
      <w:pPr>
        <w:ind w:firstLine="708"/>
        <w:jc w:val="both"/>
        <w:rPr>
          <w:lang w:val="de-DE"/>
        </w:rPr>
      </w:pPr>
      <w:r w:rsidRPr="004676F5">
        <w:rPr>
          <w:lang w:val="de-DE"/>
        </w:rPr>
        <w:t>1. für jede neue Periode, für die sie gewählt werden, einer anderen Sprachgruppe angehören als in der vorhergehenden Periode,</w:t>
      </w:r>
    </w:p>
    <w:p w14:paraId="73CC3A72" w14:textId="77777777" w:rsidR="009A08A5" w:rsidRPr="004676F5" w:rsidRDefault="009A08A5" w:rsidP="009A08A5">
      <w:pPr>
        <w:ind w:firstLine="708"/>
        <w:jc w:val="both"/>
        <w:rPr>
          <w:lang w:val="de-DE"/>
        </w:rPr>
      </w:pPr>
    </w:p>
    <w:p w14:paraId="7CEB0BE4" w14:textId="77777777" w:rsidR="009A08A5" w:rsidRPr="004676F5" w:rsidRDefault="009A08A5" w:rsidP="009A08A5">
      <w:pPr>
        <w:ind w:firstLine="708"/>
        <w:jc w:val="both"/>
        <w:rPr>
          <w:lang w:val="de-DE"/>
        </w:rPr>
      </w:pPr>
      <w:r w:rsidRPr="004676F5">
        <w:rPr>
          <w:lang w:val="de-DE"/>
        </w:rPr>
        <w:t>2. jede einer anderen Sprachgruppe angehören.</w:t>
      </w:r>
    </w:p>
    <w:p w14:paraId="55D44020" w14:textId="77777777" w:rsidR="00410628" w:rsidRPr="004676F5" w:rsidRDefault="00410628" w:rsidP="009A08A5">
      <w:pPr>
        <w:ind w:firstLine="708"/>
        <w:jc w:val="both"/>
        <w:rPr>
          <w:lang w:val="de-DE"/>
        </w:rPr>
      </w:pPr>
    </w:p>
    <w:p w14:paraId="66113638" w14:textId="288F0EC5" w:rsidR="00410628" w:rsidRPr="004676F5" w:rsidRDefault="00410628" w:rsidP="009A08A5">
      <w:pPr>
        <w:ind w:firstLine="708"/>
        <w:jc w:val="both"/>
        <w:rPr>
          <w:lang w:val="de-DE"/>
        </w:rPr>
      </w:pPr>
      <w:r w:rsidRPr="004676F5">
        <w:rPr>
          <w:lang w:val="de-DE"/>
        </w:rPr>
        <w:t>[Der König bestimmt den Zeitraum, für den der Präsident und der Vizepräsident der Generalversammlung gewählt werden. Dieser Zeitraum darf nicht weniger als drei Jahre und nicht mehr als sechs Jahre betragen.]</w:t>
      </w:r>
    </w:p>
    <w:p w14:paraId="603419FF" w14:textId="77777777" w:rsidR="009A08A5" w:rsidRPr="004676F5" w:rsidRDefault="009A08A5" w:rsidP="009A08A5">
      <w:pPr>
        <w:ind w:firstLine="708"/>
        <w:jc w:val="both"/>
        <w:rPr>
          <w:lang w:val="de-DE"/>
        </w:rPr>
      </w:pPr>
    </w:p>
    <w:p w14:paraId="49D62254" w14:textId="70FD592B"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Die Generalversammlung hat folgende Aufträge:</w:t>
      </w:r>
    </w:p>
    <w:p w14:paraId="36EFD06D" w14:textId="77777777" w:rsidR="009A08A5" w:rsidRPr="004676F5" w:rsidRDefault="009A08A5" w:rsidP="009A08A5">
      <w:pPr>
        <w:ind w:firstLine="708"/>
        <w:jc w:val="both"/>
        <w:rPr>
          <w:lang w:val="de-DE"/>
        </w:rPr>
      </w:pPr>
    </w:p>
    <w:p w14:paraId="291BAC42" w14:textId="77777777" w:rsidR="009A08A5" w:rsidRPr="004676F5" w:rsidRDefault="009A08A5" w:rsidP="009A08A5">
      <w:pPr>
        <w:ind w:firstLine="708"/>
        <w:jc w:val="both"/>
        <w:rPr>
          <w:lang w:val="de-DE"/>
        </w:rPr>
      </w:pPr>
      <w:r w:rsidRPr="004676F5">
        <w:rPr>
          <w:lang w:val="de-DE"/>
        </w:rPr>
        <w:t>1. den Präsidenten des Disziplinarausschusses und seinen Stellvertreter ausgenommen, die Mitglieder des Rates und die Mitglieder des Disziplinarausschusses und ihre Stellvertreter ernennen,</w:t>
      </w:r>
    </w:p>
    <w:p w14:paraId="25AC1E78" w14:textId="77777777" w:rsidR="009A08A5" w:rsidRPr="004676F5" w:rsidRDefault="009A08A5" w:rsidP="009A08A5">
      <w:pPr>
        <w:ind w:firstLine="708"/>
        <w:jc w:val="both"/>
        <w:rPr>
          <w:lang w:val="de-DE"/>
        </w:rPr>
      </w:pPr>
    </w:p>
    <w:p w14:paraId="5719A7CD" w14:textId="77777777" w:rsidR="009A08A5" w:rsidRPr="004676F5" w:rsidRDefault="009A08A5" w:rsidP="009A08A5">
      <w:pPr>
        <w:ind w:firstLine="708"/>
        <w:jc w:val="both"/>
        <w:rPr>
          <w:lang w:val="de-DE"/>
        </w:rPr>
      </w:pPr>
      <w:r w:rsidRPr="004676F5">
        <w:rPr>
          <w:lang w:val="de-DE"/>
        </w:rPr>
        <w:t>2. außerhalb ihrer Mitglieder für einen erneuerbaren Zeitraum von drei Jahren einen Betriebsrevisor ernennen, der mit der Prüfung des Inventars und der Konten beauftragt ist,</w:t>
      </w:r>
    </w:p>
    <w:p w14:paraId="0E4744E2" w14:textId="77777777" w:rsidR="009A08A5" w:rsidRPr="004676F5" w:rsidRDefault="009A08A5" w:rsidP="009A08A5">
      <w:pPr>
        <w:ind w:firstLine="708"/>
        <w:jc w:val="both"/>
        <w:rPr>
          <w:lang w:val="de-DE"/>
        </w:rPr>
      </w:pPr>
    </w:p>
    <w:p w14:paraId="5F2A4AAC" w14:textId="77777777" w:rsidR="009A08A5" w:rsidRPr="004676F5" w:rsidRDefault="009A08A5" w:rsidP="009A08A5">
      <w:pPr>
        <w:ind w:firstLine="708"/>
        <w:jc w:val="both"/>
        <w:rPr>
          <w:lang w:val="de-DE"/>
        </w:rPr>
      </w:pPr>
      <w:r w:rsidRPr="004676F5">
        <w:rPr>
          <w:lang w:val="de-DE"/>
        </w:rPr>
        <w:t>3. Schenkungen und Legate zugunsten des Instituts annehmen oder ablehnen,</w:t>
      </w:r>
    </w:p>
    <w:p w14:paraId="747F87A4" w14:textId="77777777" w:rsidR="009A08A5" w:rsidRPr="004676F5" w:rsidRDefault="009A08A5" w:rsidP="009A08A5">
      <w:pPr>
        <w:ind w:firstLine="708"/>
        <w:jc w:val="both"/>
        <w:rPr>
          <w:lang w:val="de-DE"/>
        </w:rPr>
      </w:pPr>
    </w:p>
    <w:p w14:paraId="5B8392A4" w14:textId="77777777" w:rsidR="009A08A5" w:rsidRPr="004676F5" w:rsidRDefault="009A08A5" w:rsidP="009A08A5">
      <w:pPr>
        <w:ind w:firstLine="708"/>
        <w:jc w:val="both"/>
        <w:rPr>
          <w:lang w:val="de-DE"/>
        </w:rPr>
      </w:pPr>
      <w:r w:rsidRPr="004676F5">
        <w:rPr>
          <w:lang w:val="de-DE"/>
        </w:rPr>
        <w:t>4. Veräußerung oder Verpfändung der unbeweglichen Güter des Instituts erlauben,</w:t>
      </w:r>
    </w:p>
    <w:p w14:paraId="619D855A" w14:textId="77777777" w:rsidR="009A08A5" w:rsidRPr="004676F5" w:rsidRDefault="009A08A5" w:rsidP="009A08A5">
      <w:pPr>
        <w:ind w:firstLine="708"/>
        <w:jc w:val="both"/>
        <w:rPr>
          <w:lang w:val="de-DE"/>
        </w:rPr>
      </w:pPr>
    </w:p>
    <w:p w14:paraId="7311BD7C" w14:textId="77777777" w:rsidR="009A08A5" w:rsidRPr="004676F5" w:rsidRDefault="009A08A5" w:rsidP="009A08A5">
      <w:pPr>
        <w:ind w:firstLine="708"/>
        <w:jc w:val="both"/>
        <w:rPr>
          <w:lang w:val="de-DE"/>
        </w:rPr>
      </w:pPr>
      <w:r w:rsidRPr="004676F5">
        <w:rPr>
          <w:lang w:val="de-DE"/>
        </w:rPr>
        <w:t>5. den Jahresabschluss der Einnahmen und Ausgaben billigen,</w:t>
      </w:r>
    </w:p>
    <w:p w14:paraId="0A9F3E8D" w14:textId="77777777" w:rsidR="009A08A5" w:rsidRPr="004676F5" w:rsidRDefault="009A08A5" w:rsidP="009A08A5">
      <w:pPr>
        <w:ind w:firstLine="708"/>
        <w:jc w:val="both"/>
        <w:rPr>
          <w:lang w:val="de-DE"/>
        </w:rPr>
      </w:pPr>
    </w:p>
    <w:p w14:paraId="1A2F6E7B" w14:textId="77777777" w:rsidR="009A08A5" w:rsidRPr="004676F5" w:rsidRDefault="009A08A5" w:rsidP="009A08A5">
      <w:pPr>
        <w:ind w:firstLine="708"/>
        <w:jc w:val="both"/>
        <w:rPr>
          <w:lang w:val="de-DE"/>
        </w:rPr>
      </w:pPr>
      <w:r w:rsidRPr="004676F5">
        <w:rPr>
          <w:lang w:val="de-DE"/>
        </w:rPr>
        <w:t>6. dem Rat Entlastung für seine Geschäftsführung und dem Betriebsrevisor Entlastung für seine Kontrolle erteilen,</w:t>
      </w:r>
    </w:p>
    <w:p w14:paraId="28AE348F" w14:textId="77777777" w:rsidR="009A08A5" w:rsidRPr="004676F5" w:rsidRDefault="009A08A5" w:rsidP="009A08A5">
      <w:pPr>
        <w:ind w:firstLine="708"/>
        <w:jc w:val="both"/>
        <w:rPr>
          <w:lang w:val="de-DE"/>
        </w:rPr>
      </w:pPr>
    </w:p>
    <w:p w14:paraId="3E231D8D" w14:textId="77777777" w:rsidR="009A08A5" w:rsidRPr="004676F5" w:rsidRDefault="009A08A5" w:rsidP="009A08A5">
      <w:pPr>
        <w:ind w:firstLine="708"/>
        <w:jc w:val="both"/>
        <w:rPr>
          <w:lang w:val="de-DE"/>
        </w:rPr>
      </w:pPr>
      <w:r w:rsidRPr="004676F5">
        <w:rPr>
          <w:lang w:val="de-DE"/>
        </w:rPr>
        <w:t>7. Vorschläge über die Festsetzung oder Anpassung der Höhe des jährlichen Mitgliedsbeitrags verfassen und sie anschließend dem Minister zur Billigung vorlegen,</w:t>
      </w:r>
    </w:p>
    <w:p w14:paraId="64318EA0" w14:textId="77777777" w:rsidR="009A08A5" w:rsidRPr="004676F5" w:rsidRDefault="009A08A5" w:rsidP="009A08A5">
      <w:pPr>
        <w:ind w:firstLine="708"/>
        <w:jc w:val="both"/>
        <w:rPr>
          <w:lang w:val="de-DE"/>
        </w:rPr>
      </w:pPr>
    </w:p>
    <w:p w14:paraId="5C39793F" w14:textId="77777777" w:rsidR="009A08A5" w:rsidRPr="004676F5" w:rsidRDefault="009A08A5" w:rsidP="009A08A5">
      <w:pPr>
        <w:ind w:firstLine="708"/>
        <w:jc w:val="both"/>
        <w:rPr>
          <w:lang w:val="de-DE"/>
        </w:rPr>
      </w:pPr>
      <w:r w:rsidRPr="004676F5">
        <w:rPr>
          <w:lang w:val="de-DE"/>
        </w:rPr>
        <w:t>8. die Geschäftsordnung beziehungsweise Änderungen an der Geschäftsordnung verfassen und sie anschließend dem Minister zur Billigung vorlegen,</w:t>
      </w:r>
    </w:p>
    <w:p w14:paraId="23ED6006" w14:textId="77777777" w:rsidR="009A08A5" w:rsidRPr="004676F5" w:rsidRDefault="009A08A5" w:rsidP="009A08A5">
      <w:pPr>
        <w:ind w:firstLine="708"/>
        <w:jc w:val="both"/>
        <w:rPr>
          <w:lang w:val="de-DE"/>
        </w:rPr>
      </w:pPr>
    </w:p>
    <w:p w14:paraId="64897C80" w14:textId="77777777" w:rsidR="009A08A5" w:rsidRPr="004676F5" w:rsidRDefault="009A08A5" w:rsidP="009A08A5">
      <w:pPr>
        <w:ind w:firstLine="708"/>
        <w:jc w:val="both"/>
        <w:rPr>
          <w:lang w:val="de-DE"/>
        </w:rPr>
      </w:pPr>
      <w:r w:rsidRPr="004676F5">
        <w:rPr>
          <w:lang w:val="de-DE"/>
        </w:rPr>
        <w:t>9. für ihre Mitglieder geltende Verhaltensregeln beziehungsweise Änderungen dieser Regeln verfassen und sie anschließend dem König zur Billigung vorlegen,</w:t>
      </w:r>
    </w:p>
    <w:p w14:paraId="097A2ECB" w14:textId="77777777" w:rsidR="009A08A5" w:rsidRPr="004676F5" w:rsidRDefault="009A08A5" w:rsidP="009A08A5">
      <w:pPr>
        <w:ind w:firstLine="708"/>
        <w:jc w:val="both"/>
        <w:rPr>
          <w:lang w:val="de-DE"/>
        </w:rPr>
      </w:pPr>
    </w:p>
    <w:p w14:paraId="2F61D1A0" w14:textId="77777777" w:rsidR="009A08A5" w:rsidRPr="004676F5" w:rsidRDefault="009A08A5" w:rsidP="009A08A5">
      <w:pPr>
        <w:ind w:firstLine="708"/>
        <w:jc w:val="both"/>
        <w:rPr>
          <w:lang w:val="de-DE"/>
        </w:rPr>
      </w:pPr>
      <w:r w:rsidRPr="004676F5">
        <w:rPr>
          <w:lang w:val="de-DE"/>
        </w:rPr>
        <w:t>10. eine Regelung über die Organisation der Weiterbildung ihrer Mitglieder beziehungsweise Änderungen an dieser Regelung verfassen und sie anschließend dem Minister zur Billigung vorlegen,</w:t>
      </w:r>
    </w:p>
    <w:p w14:paraId="56B3C396" w14:textId="77777777" w:rsidR="009A08A5" w:rsidRPr="004676F5" w:rsidRDefault="009A08A5" w:rsidP="009A08A5">
      <w:pPr>
        <w:ind w:firstLine="708"/>
        <w:jc w:val="both"/>
        <w:rPr>
          <w:lang w:val="de-DE"/>
        </w:rPr>
      </w:pPr>
    </w:p>
    <w:p w14:paraId="496330E0" w14:textId="77777777" w:rsidR="009A08A5" w:rsidRPr="004676F5" w:rsidRDefault="009A08A5" w:rsidP="009A08A5">
      <w:pPr>
        <w:ind w:firstLine="708"/>
        <w:jc w:val="both"/>
        <w:rPr>
          <w:lang w:val="de-DE"/>
        </w:rPr>
      </w:pPr>
      <w:r w:rsidRPr="004676F5">
        <w:rPr>
          <w:lang w:val="de-DE"/>
        </w:rPr>
        <w:t>11. über alle Themen beraten, für die sie aufgrund eines Gesetzes, eines Erlasses oder einer Verordnung befugt ist,</w:t>
      </w:r>
    </w:p>
    <w:p w14:paraId="7D56E3FA" w14:textId="77777777" w:rsidR="009A08A5" w:rsidRPr="004676F5" w:rsidRDefault="009A08A5" w:rsidP="009A08A5">
      <w:pPr>
        <w:ind w:firstLine="708"/>
        <w:jc w:val="both"/>
        <w:rPr>
          <w:lang w:val="de-DE"/>
        </w:rPr>
      </w:pPr>
    </w:p>
    <w:p w14:paraId="0974EF86" w14:textId="77777777" w:rsidR="009A08A5" w:rsidRPr="004676F5" w:rsidRDefault="009A08A5" w:rsidP="009A08A5">
      <w:pPr>
        <w:ind w:firstLine="708"/>
        <w:jc w:val="both"/>
        <w:rPr>
          <w:lang w:val="de-DE"/>
        </w:rPr>
      </w:pPr>
      <w:r w:rsidRPr="004676F5">
        <w:rPr>
          <w:lang w:val="de-DE"/>
        </w:rPr>
        <w:t>12. Mitteilungen, Vorschläge oder Empfehlungen an den Rat richten über alle Themen, die das Institut betreffen und die regelmäßig der Generalversammlung vorgelegt werden.</w:t>
      </w:r>
    </w:p>
    <w:p w14:paraId="6615AB57" w14:textId="77777777" w:rsidR="009A08A5" w:rsidRPr="004676F5" w:rsidRDefault="009A08A5" w:rsidP="009A08A5">
      <w:pPr>
        <w:ind w:firstLine="708"/>
        <w:jc w:val="both"/>
        <w:rPr>
          <w:lang w:val="de-DE"/>
        </w:rPr>
      </w:pPr>
    </w:p>
    <w:p w14:paraId="685B0344" w14:textId="7CBC3D28" w:rsidR="009A08A5" w:rsidRPr="004676F5" w:rsidRDefault="009A08A5" w:rsidP="009A08A5">
      <w:pPr>
        <w:ind w:firstLine="708"/>
        <w:jc w:val="both"/>
        <w:rPr>
          <w:lang w:val="de-DE"/>
        </w:rPr>
      </w:pPr>
      <w:r w:rsidRPr="004676F5">
        <w:rPr>
          <w:lang w:val="de-DE"/>
        </w:rPr>
        <w:t>§ 3 </w:t>
      </w:r>
      <w:r w:rsidR="005B7A5C" w:rsidRPr="004676F5">
        <w:rPr>
          <w:lang w:val="de-DE"/>
        </w:rPr>
        <w:t>- </w:t>
      </w:r>
      <w:r w:rsidRPr="004676F5">
        <w:rPr>
          <w:lang w:val="de-DE"/>
        </w:rPr>
        <w:t>Die Generalversammlung fasst ihre Beschlüsse mit Stimmenmehrheit. Jedes Mitglied hat Recht auf eine Stimme. Mitglieder können mittels Vollmacht an den Abstimmungen teilnehmen.</w:t>
      </w:r>
    </w:p>
    <w:p w14:paraId="06993FAB" w14:textId="77777777" w:rsidR="009A08A5" w:rsidRPr="004676F5" w:rsidRDefault="009A08A5" w:rsidP="009A08A5">
      <w:pPr>
        <w:ind w:firstLine="708"/>
        <w:jc w:val="both"/>
        <w:rPr>
          <w:lang w:val="de-DE"/>
        </w:rPr>
      </w:pPr>
    </w:p>
    <w:p w14:paraId="402C2F2E" w14:textId="77777777" w:rsidR="009A08A5" w:rsidRPr="004676F5" w:rsidRDefault="009A08A5" w:rsidP="009A08A5">
      <w:pPr>
        <w:ind w:firstLine="708"/>
        <w:jc w:val="both"/>
        <w:rPr>
          <w:lang w:val="de-DE"/>
        </w:rPr>
      </w:pPr>
      <w:r w:rsidRPr="004676F5">
        <w:rPr>
          <w:lang w:val="de-DE"/>
        </w:rPr>
        <w:t>In Abweichung von Absatz 1 kann der König beschließen, dass die in Artikel XI.75/5 § 1 Absatz 2 erwähnten Mitglieder kein Stimmrecht haben, oder abweichende Merkmale dieses Stimmrechts festlegen.</w:t>
      </w:r>
    </w:p>
    <w:p w14:paraId="7A1ACA0E" w14:textId="77777777" w:rsidR="009A08A5" w:rsidRPr="004676F5" w:rsidRDefault="009A08A5" w:rsidP="009A08A5">
      <w:pPr>
        <w:ind w:firstLine="708"/>
        <w:jc w:val="both"/>
        <w:rPr>
          <w:lang w:val="de-DE"/>
        </w:rPr>
      </w:pPr>
    </w:p>
    <w:p w14:paraId="70C66CD3" w14:textId="107787F4" w:rsidR="009A08A5" w:rsidRPr="004676F5" w:rsidRDefault="009A08A5" w:rsidP="009A08A5">
      <w:pPr>
        <w:ind w:firstLine="708"/>
        <w:jc w:val="both"/>
        <w:rPr>
          <w:lang w:val="de-DE"/>
        </w:rPr>
      </w:pPr>
      <w:r w:rsidRPr="004676F5">
        <w:rPr>
          <w:lang w:val="de-DE"/>
        </w:rPr>
        <w:t>§ 4 </w:t>
      </w:r>
      <w:r w:rsidR="005B7A5C" w:rsidRPr="004676F5">
        <w:rPr>
          <w:lang w:val="de-DE"/>
        </w:rPr>
        <w:t>- </w:t>
      </w:r>
      <w:r w:rsidRPr="004676F5">
        <w:rPr>
          <w:lang w:val="de-DE"/>
        </w:rPr>
        <w:t>Die Generalversammlung tritt mindestens einmal im Jahr zusammen. Bei dieser Sitzung legt der Rat der Generalversammlung mindestens folgende Unterlagen zur Billigung vor:</w:t>
      </w:r>
    </w:p>
    <w:p w14:paraId="0749D0AB" w14:textId="77777777" w:rsidR="009A08A5" w:rsidRPr="004676F5" w:rsidRDefault="009A08A5" w:rsidP="009A08A5">
      <w:pPr>
        <w:ind w:firstLine="708"/>
        <w:jc w:val="both"/>
        <w:rPr>
          <w:lang w:val="de-DE"/>
        </w:rPr>
      </w:pPr>
    </w:p>
    <w:p w14:paraId="35D6E6E5" w14:textId="77777777" w:rsidR="009A08A5" w:rsidRPr="004676F5" w:rsidRDefault="009A08A5" w:rsidP="009A08A5">
      <w:pPr>
        <w:ind w:firstLine="708"/>
        <w:jc w:val="both"/>
        <w:rPr>
          <w:lang w:val="de-DE"/>
        </w:rPr>
      </w:pPr>
      <w:r w:rsidRPr="004676F5">
        <w:rPr>
          <w:lang w:val="de-DE"/>
        </w:rPr>
        <w:t>1. den in Artikel XI.75/7 § 2 Absatz 1 Nr. 3 erwähnten Bericht,</w:t>
      </w:r>
    </w:p>
    <w:p w14:paraId="1064B091" w14:textId="77777777" w:rsidR="009A08A5" w:rsidRPr="004676F5" w:rsidRDefault="009A08A5" w:rsidP="009A08A5">
      <w:pPr>
        <w:ind w:firstLine="708"/>
        <w:jc w:val="both"/>
        <w:rPr>
          <w:lang w:val="de-DE"/>
        </w:rPr>
      </w:pPr>
    </w:p>
    <w:p w14:paraId="01D66832" w14:textId="77777777" w:rsidR="009A08A5" w:rsidRPr="004676F5" w:rsidRDefault="009A08A5" w:rsidP="009A08A5">
      <w:pPr>
        <w:ind w:firstLine="708"/>
        <w:jc w:val="both"/>
        <w:rPr>
          <w:lang w:val="de-DE"/>
        </w:rPr>
      </w:pPr>
      <w:r w:rsidRPr="004676F5">
        <w:rPr>
          <w:lang w:val="de-DE"/>
        </w:rPr>
        <w:t>2. das vom Betriebsrevisor geprüfte Inventar der Aktiva und Passiva des Instituts, den kontrollierten Jahresabschluss der Einnahmen und Ausgaben und den Haushaltsplan für das neue Geschäftsjahr.</w:t>
      </w:r>
    </w:p>
    <w:p w14:paraId="1967FE83" w14:textId="77777777" w:rsidR="009A08A5" w:rsidRPr="004676F5" w:rsidRDefault="009A08A5" w:rsidP="009A08A5">
      <w:pPr>
        <w:ind w:firstLine="708"/>
        <w:jc w:val="both"/>
        <w:rPr>
          <w:lang w:val="de-DE"/>
        </w:rPr>
      </w:pPr>
    </w:p>
    <w:p w14:paraId="459BB1D9" w14:textId="77777777" w:rsidR="009A08A5" w:rsidRPr="004676F5" w:rsidRDefault="009A08A5" w:rsidP="009A08A5">
      <w:pPr>
        <w:ind w:firstLine="708"/>
        <w:jc w:val="both"/>
        <w:rPr>
          <w:lang w:val="de-DE"/>
        </w:rPr>
      </w:pPr>
      <w:r w:rsidRPr="004676F5">
        <w:rPr>
          <w:lang w:val="de-DE"/>
        </w:rPr>
        <w:t>Der Rat, der Disziplinarausschuss oder der in Artikel XI.75/10 erwähnte Regierungskommissar kann die Generalversammlung jedes Mal einberufen, wenn er es für zweckmäßig erachtet. Der Rat beruft die Generalversammlung immer ein, wenn ein Fünftel der Mitglieder der Generalversammlung dies schriftlich beantragt, wobei der Gegenstand angegeben wird, der auf die Tagesordnung gesetzt werden soll. Der Disziplinarausschuss kann die Generalversammlung nur einberufen, wenn die Arbeitsweise oder die Befugnisse des Disziplinarausschusses betroffen sind.</w:t>
      </w:r>
    </w:p>
    <w:p w14:paraId="01029C8A" w14:textId="77777777" w:rsidR="009A08A5" w:rsidRPr="004676F5" w:rsidRDefault="009A08A5" w:rsidP="009A08A5">
      <w:pPr>
        <w:ind w:firstLine="708"/>
        <w:jc w:val="both"/>
        <w:rPr>
          <w:lang w:val="de-DE"/>
        </w:rPr>
      </w:pPr>
    </w:p>
    <w:p w14:paraId="5C3C1147" w14:textId="77777777" w:rsidR="009A08A5" w:rsidRPr="004676F5" w:rsidRDefault="009A08A5" w:rsidP="009A08A5">
      <w:pPr>
        <w:ind w:firstLine="708"/>
        <w:jc w:val="both"/>
        <w:rPr>
          <w:lang w:val="de-DE"/>
        </w:rPr>
      </w:pPr>
      <w:r w:rsidRPr="004676F5">
        <w:rPr>
          <w:lang w:val="de-DE"/>
        </w:rPr>
        <w:t>Sitzungen der Generalversammlung sind öffentlich, es sei denn, sie beschließt aus schwerwiegenden Gründen, dass eine Sitzung ganz oder teilweise unter Ausschluss der Öffentlichkeit stattfinden soll.</w:t>
      </w:r>
    </w:p>
    <w:p w14:paraId="076FC503" w14:textId="77777777" w:rsidR="009A08A5" w:rsidRPr="004676F5" w:rsidRDefault="009A08A5" w:rsidP="009A08A5">
      <w:pPr>
        <w:ind w:firstLine="708"/>
        <w:jc w:val="both"/>
        <w:rPr>
          <w:lang w:val="de-DE"/>
        </w:rPr>
      </w:pPr>
    </w:p>
    <w:p w14:paraId="65E5B876" w14:textId="2C902849" w:rsidR="009A08A5" w:rsidRPr="004676F5" w:rsidRDefault="009A08A5" w:rsidP="009A08A5">
      <w:pPr>
        <w:ind w:firstLine="708"/>
        <w:jc w:val="both"/>
        <w:rPr>
          <w:lang w:val="de-DE"/>
        </w:rPr>
      </w:pPr>
      <w:r w:rsidRPr="004676F5">
        <w:rPr>
          <w:lang w:val="de-DE"/>
        </w:rPr>
        <w:t>§ 5 </w:t>
      </w:r>
      <w:r w:rsidR="005B7A5C" w:rsidRPr="004676F5">
        <w:rPr>
          <w:lang w:val="de-DE"/>
        </w:rPr>
        <w:t>- </w:t>
      </w:r>
      <w:r w:rsidRPr="004676F5">
        <w:rPr>
          <w:lang w:val="de-DE"/>
        </w:rPr>
        <w:t>In der Geschäftsordnung wird mindestens Folgendes festgelegt:</w:t>
      </w:r>
    </w:p>
    <w:p w14:paraId="38E285CC" w14:textId="77777777" w:rsidR="009A08A5" w:rsidRPr="004676F5" w:rsidRDefault="009A08A5" w:rsidP="009A08A5">
      <w:pPr>
        <w:ind w:firstLine="708"/>
        <w:jc w:val="both"/>
        <w:rPr>
          <w:lang w:val="de-DE"/>
        </w:rPr>
      </w:pPr>
    </w:p>
    <w:p w14:paraId="6533B168" w14:textId="77777777" w:rsidR="009A08A5" w:rsidRPr="004676F5" w:rsidRDefault="009A08A5" w:rsidP="009A08A5">
      <w:pPr>
        <w:ind w:firstLine="708"/>
        <w:jc w:val="both"/>
        <w:rPr>
          <w:lang w:val="de-DE"/>
        </w:rPr>
      </w:pPr>
      <w:r w:rsidRPr="004676F5">
        <w:rPr>
          <w:lang w:val="de-DE"/>
        </w:rPr>
        <w:t>1. Verfahrensregeln für die Stimmabgabe mittels Vollmacht,</w:t>
      </w:r>
    </w:p>
    <w:p w14:paraId="0B29DBDE" w14:textId="77777777" w:rsidR="009A08A5" w:rsidRPr="004676F5" w:rsidRDefault="009A08A5" w:rsidP="009A08A5">
      <w:pPr>
        <w:ind w:firstLine="708"/>
        <w:jc w:val="both"/>
        <w:rPr>
          <w:lang w:val="de-DE"/>
        </w:rPr>
      </w:pPr>
    </w:p>
    <w:p w14:paraId="5FE49B81" w14:textId="7B793E3A" w:rsidR="009A08A5" w:rsidRPr="004676F5" w:rsidRDefault="009A08A5" w:rsidP="009A08A5">
      <w:pPr>
        <w:ind w:firstLine="708"/>
        <w:jc w:val="both"/>
        <w:rPr>
          <w:lang w:val="de-DE"/>
        </w:rPr>
      </w:pPr>
      <w:r w:rsidRPr="004676F5">
        <w:rPr>
          <w:lang w:val="de-DE"/>
        </w:rPr>
        <w:t>2. Verfahrensregeln für die Sitzungen der Generalversammlung, einschließlich der Modalitäten für die Einberufung der Generalversammlung und der Modalitäten für die Bereitstellung der Unterlagen für diese Sitzungen.]</w:t>
      </w:r>
    </w:p>
    <w:p w14:paraId="602E851E" w14:textId="77777777" w:rsidR="009A08A5" w:rsidRPr="004676F5" w:rsidRDefault="009A08A5" w:rsidP="009A08A5">
      <w:pPr>
        <w:ind w:firstLine="708"/>
        <w:jc w:val="both"/>
        <w:rPr>
          <w:lang w:val="de-DE"/>
        </w:rPr>
      </w:pPr>
    </w:p>
    <w:p w14:paraId="440F0739" w14:textId="5BDE7058" w:rsidR="009A08A5" w:rsidRPr="004676F5" w:rsidRDefault="009A08A5" w:rsidP="009A08A5">
      <w:pPr>
        <w:jc w:val="both"/>
        <w:rPr>
          <w:i/>
          <w:lang w:val="de-DE"/>
        </w:rPr>
      </w:pPr>
      <w:r w:rsidRPr="004676F5">
        <w:rPr>
          <w:i/>
          <w:lang w:val="de-DE"/>
        </w:rPr>
        <w:t>[Art. XI.75/6 eingefügt durch Art. 26</w:t>
      </w:r>
      <w:r w:rsidRPr="004676F5">
        <w:rPr>
          <w:i/>
          <w:iCs/>
          <w:lang w:val="de-DE"/>
        </w:rPr>
        <w:t xml:space="preserve"> des G. vom 8. Juli 2018 (B.S. vom 19. Juli 2018)</w:t>
      </w:r>
      <w:r w:rsidR="00410628" w:rsidRPr="004676F5">
        <w:rPr>
          <w:i/>
          <w:iCs/>
          <w:lang w:val="de-DE"/>
        </w:rPr>
        <w:t>; § 1 Abs. 2 abgeändert durch Art. 26 Nr. 1 des G. vom 5. November 2023</w:t>
      </w:r>
      <w:r w:rsidR="00AA0B2E" w:rsidRPr="004676F5">
        <w:rPr>
          <w:i/>
          <w:iCs/>
          <w:lang w:val="de-DE"/>
        </w:rPr>
        <w:t> </w:t>
      </w:r>
      <w:r w:rsidR="003454B3" w:rsidRPr="004676F5">
        <w:rPr>
          <w:i/>
          <w:iCs/>
          <w:lang w:val="de-DE"/>
        </w:rPr>
        <w:t>(I)</w:t>
      </w:r>
      <w:r w:rsidR="00410628" w:rsidRPr="004676F5">
        <w:rPr>
          <w:i/>
          <w:iCs/>
          <w:lang w:val="de-DE"/>
        </w:rPr>
        <w:t xml:space="preserve"> (B.S. vom 11. Dezember 2023); § 1 Abs. 3 eingefügt durch Art. 26 Nr. 2 des G. vom 5. November 2023</w:t>
      </w:r>
      <w:r w:rsidR="003454B3" w:rsidRPr="004676F5">
        <w:rPr>
          <w:i/>
          <w:iCs/>
          <w:lang w:val="de-DE"/>
        </w:rPr>
        <w:t xml:space="preserve"> (I) </w:t>
      </w:r>
      <w:r w:rsidR="00410628" w:rsidRPr="004676F5">
        <w:rPr>
          <w:i/>
          <w:iCs/>
          <w:lang w:val="de-DE"/>
        </w:rPr>
        <w:t>(B.S. vom 11. Dezember 2023)</w:t>
      </w:r>
      <w:r w:rsidRPr="004676F5">
        <w:rPr>
          <w:i/>
          <w:iCs/>
          <w:lang w:val="de-DE"/>
        </w:rPr>
        <w:t>]</w:t>
      </w:r>
    </w:p>
    <w:p w14:paraId="73B5C742" w14:textId="77777777" w:rsidR="009A08A5" w:rsidRPr="004676F5" w:rsidRDefault="009A08A5" w:rsidP="009A08A5">
      <w:pPr>
        <w:ind w:firstLine="708"/>
        <w:jc w:val="both"/>
        <w:rPr>
          <w:lang w:val="de-DE"/>
        </w:rPr>
      </w:pPr>
    </w:p>
    <w:p w14:paraId="76261E21" w14:textId="77777777" w:rsidR="009A08A5" w:rsidRPr="004676F5" w:rsidRDefault="009A08A5" w:rsidP="009A08A5">
      <w:pPr>
        <w:ind w:firstLine="708"/>
        <w:jc w:val="both"/>
        <w:rPr>
          <w:b/>
          <w:lang w:val="de-DE"/>
        </w:rPr>
      </w:pPr>
    </w:p>
    <w:p w14:paraId="5B8FA42E" w14:textId="13BF37CA" w:rsidR="009A08A5" w:rsidRPr="004676F5" w:rsidRDefault="009A08A5" w:rsidP="009A08A5">
      <w:pPr>
        <w:ind w:firstLine="708"/>
        <w:jc w:val="both"/>
        <w:rPr>
          <w:lang w:val="de-DE"/>
        </w:rPr>
      </w:pPr>
      <w:r w:rsidRPr="004676F5">
        <w:rPr>
          <w:lang w:val="de-DE"/>
        </w:rPr>
        <w:lastRenderedPageBreak/>
        <w:t>[</w:t>
      </w:r>
      <w:r w:rsidRPr="004676F5">
        <w:rPr>
          <w:b/>
          <w:lang w:val="de-DE"/>
        </w:rPr>
        <w:t>Art. XI.75/7 </w:t>
      </w:r>
      <w:r w:rsidR="005B7A5C" w:rsidRPr="004676F5">
        <w:rPr>
          <w:lang w:val="de-DE"/>
        </w:rPr>
        <w:t>- </w:t>
      </w:r>
      <w:r w:rsidRPr="004676F5">
        <w:rPr>
          <w:lang w:val="de-DE"/>
        </w:rPr>
        <w:t>§ 1 </w:t>
      </w:r>
      <w:r w:rsidR="005B7A5C" w:rsidRPr="004676F5">
        <w:rPr>
          <w:lang w:val="de-DE"/>
        </w:rPr>
        <w:t>- </w:t>
      </w:r>
      <w:r w:rsidRPr="004676F5">
        <w:rPr>
          <w:lang w:val="de-DE"/>
        </w:rPr>
        <w:t xml:space="preserve">Der Rat des Instituts der Patentanwälte besteht aus vier Mitgliedern, die von der Generalversammlung aus ihren Reihen </w:t>
      </w:r>
      <w:r w:rsidR="00410628" w:rsidRPr="004676F5">
        <w:rPr>
          <w:lang w:val="de-DE"/>
        </w:rPr>
        <w:t>[...]</w:t>
      </w:r>
      <w:r w:rsidRPr="004676F5">
        <w:rPr>
          <w:lang w:val="de-DE"/>
        </w:rPr>
        <w:t xml:space="preserve"> gewählt werden. Zwei Ratsmitglieder müssen einer anderen Sprachgruppe angehören.</w:t>
      </w:r>
    </w:p>
    <w:p w14:paraId="309A6462" w14:textId="77777777" w:rsidR="009A08A5" w:rsidRPr="004676F5" w:rsidRDefault="009A08A5" w:rsidP="009A08A5">
      <w:pPr>
        <w:ind w:firstLine="708"/>
        <w:jc w:val="both"/>
        <w:rPr>
          <w:lang w:val="de-DE"/>
        </w:rPr>
      </w:pPr>
    </w:p>
    <w:p w14:paraId="2E09DE1E" w14:textId="77777777" w:rsidR="009A08A5" w:rsidRPr="004676F5" w:rsidRDefault="009A08A5" w:rsidP="009A08A5">
      <w:pPr>
        <w:ind w:firstLine="708"/>
        <w:jc w:val="both"/>
        <w:rPr>
          <w:lang w:val="de-DE"/>
        </w:rPr>
      </w:pPr>
      <w:r w:rsidRPr="004676F5">
        <w:rPr>
          <w:lang w:val="de-DE"/>
        </w:rPr>
        <w:t>Der Rat wählt unter seinen Mitgliedern einen Präsidenten und einen Vizepräsidenten. Diese Personen müssen folgende Bedingungen erfüllen:</w:t>
      </w:r>
    </w:p>
    <w:p w14:paraId="4B9AE88F" w14:textId="77777777" w:rsidR="009A08A5" w:rsidRPr="004676F5" w:rsidRDefault="009A08A5" w:rsidP="009A08A5">
      <w:pPr>
        <w:ind w:firstLine="708"/>
        <w:jc w:val="both"/>
        <w:rPr>
          <w:lang w:val="de-DE"/>
        </w:rPr>
      </w:pPr>
    </w:p>
    <w:p w14:paraId="10D8909E" w14:textId="77777777" w:rsidR="009A08A5" w:rsidRPr="004676F5" w:rsidRDefault="009A08A5" w:rsidP="009A08A5">
      <w:pPr>
        <w:ind w:firstLine="708"/>
        <w:jc w:val="both"/>
        <w:rPr>
          <w:lang w:val="de-DE"/>
        </w:rPr>
      </w:pPr>
      <w:r w:rsidRPr="004676F5">
        <w:rPr>
          <w:lang w:val="de-DE"/>
        </w:rPr>
        <w:t>1. für jede neue Periode, für die sie gewählt werden, einer anderen Sprachgruppe angehören als in der vorhergehenden Periode,</w:t>
      </w:r>
    </w:p>
    <w:p w14:paraId="5F30A8A1" w14:textId="77777777" w:rsidR="009A08A5" w:rsidRPr="004676F5" w:rsidRDefault="009A08A5" w:rsidP="009A08A5">
      <w:pPr>
        <w:ind w:firstLine="708"/>
        <w:jc w:val="both"/>
        <w:rPr>
          <w:lang w:val="de-DE"/>
        </w:rPr>
      </w:pPr>
    </w:p>
    <w:p w14:paraId="68C22145" w14:textId="77777777" w:rsidR="009A08A5" w:rsidRPr="004676F5" w:rsidRDefault="009A08A5" w:rsidP="009A08A5">
      <w:pPr>
        <w:ind w:firstLine="708"/>
        <w:jc w:val="both"/>
        <w:rPr>
          <w:lang w:val="de-DE"/>
        </w:rPr>
      </w:pPr>
      <w:r w:rsidRPr="004676F5">
        <w:rPr>
          <w:lang w:val="de-DE"/>
        </w:rPr>
        <w:t>2. jede einer anderen Sprachgruppe angehören.</w:t>
      </w:r>
    </w:p>
    <w:p w14:paraId="7A834CC6" w14:textId="77777777" w:rsidR="009A08A5" w:rsidRPr="004676F5" w:rsidRDefault="009A08A5" w:rsidP="009A08A5">
      <w:pPr>
        <w:ind w:firstLine="708"/>
        <w:jc w:val="both"/>
        <w:rPr>
          <w:lang w:val="de-DE"/>
        </w:rPr>
      </w:pPr>
    </w:p>
    <w:p w14:paraId="1A2539AC" w14:textId="77777777" w:rsidR="009A08A5" w:rsidRPr="004676F5" w:rsidRDefault="009A08A5" w:rsidP="009A08A5">
      <w:pPr>
        <w:ind w:firstLine="708"/>
        <w:jc w:val="both"/>
        <w:rPr>
          <w:lang w:val="de-DE"/>
        </w:rPr>
      </w:pPr>
      <w:r w:rsidRPr="004676F5">
        <w:rPr>
          <w:lang w:val="de-DE"/>
        </w:rPr>
        <w:t>Der Rat wählt unter seinen Mitgliedern auch einen Sekretär und einen Schatzmeister.</w:t>
      </w:r>
    </w:p>
    <w:p w14:paraId="35FFE4A2" w14:textId="60A781A9" w:rsidR="00410628" w:rsidRPr="004676F5" w:rsidRDefault="00410628" w:rsidP="00410628">
      <w:pPr>
        <w:jc w:val="both"/>
        <w:rPr>
          <w:lang w:val="de-DE"/>
        </w:rPr>
      </w:pPr>
      <w:r w:rsidRPr="004676F5">
        <w:rPr>
          <w:lang w:val="de-DE"/>
        </w:rPr>
        <w:tab/>
      </w:r>
    </w:p>
    <w:p w14:paraId="70B6A235" w14:textId="1CA62148" w:rsidR="00410628" w:rsidRPr="004676F5" w:rsidRDefault="00410628" w:rsidP="00410628">
      <w:pPr>
        <w:jc w:val="both"/>
        <w:rPr>
          <w:i/>
          <w:iCs/>
          <w:lang w:val="de-DE"/>
        </w:rPr>
      </w:pPr>
      <w:r w:rsidRPr="004676F5">
        <w:rPr>
          <w:lang w:val="de-DE"/>
        </w:rPr>
        <w:tab/>
        <w:t>[Der König bestimmt den Zeitraum, für den die Ratsmitglieder gewählt werden, und Er bestimmt, inwieweit dieser Zeitraum erneuerbar ist. Dieser Zeitraum darf nicht weniger als drei Jahre und nicht mehr als sechs Jahre betragen. Der König bestimmt auch den Zeitraum, für den der Rat unter seinen Mitgliedern einen Präsidenten, einen Vizepräsidenten, einen Sekretär und einen Schatzmeister wählt.]</w:t>
      </w:r>
    </w:p>
    <w:p w14:paraId="21224B23" w14:textId="77777777" w:rsidR="009A08A5" w:rsidRPr="004676F5" w:rsidRDefault="009A08A5" w:rsidP="009A08A5">
      <w:pPr>
        <w:ind w:firstLine="708"/>
        <w:jc w:val="both"/>
        <w:rPr>
          <w:lang w:val="de-DE"/>
        </w:rPr>
      </w:pPr>
    </w:p>
    <w:p w14:paraId="3BA9346A" w14:textId="52FFF04C"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Der Rat hat folgende Aufträge:</w:t>
      </w:r>
    </w:p>
    <w:p w14:paraId="654C90E9" w14:textId="77777777" w:rsidR="009A08A5" w:rsidRPr="004676F5" w:rsidRDefault="009A08A5" w:rsidP="009A08A5">
      <w:pPr>
        <w:ind w:firstLine="708"/>
        <w:jc w:val="both"/>
        <w:rPr>
          <w:lang w:val="de-DE"/>
        </w:rPr>
      </w:pPr>
    </w:p>
    <w:p w14:paraId="456022A5" w14:textId="77777777" w:rsidR="009A08A5" w:rsidRPr="004676F5" w:rsidRDefault="009A08A5" w:rsidP="009A08A5">
      <w:pPr>
        <w:ind w:firstLine="708"/>
        <w:jc w:val="both"/>
        <w:rPr>
          <w:lang w:val="de-DE"/>
        </w:rPr>
      </w:pPr>
      <w:r w:rsidRPr="004676F5">
        <w:rPr>
          <w:lang w:val="de-DE"/>
        </w:rPr>
        <w:t>1. die Geschäftsführung des Instituts gewährleisten,</w:t>
      </w:r>
    </w:p>
    <w:p w14:paraId="141DF247" w14:textId="77777777" w:rsidR="009A08A5" w:rsidRPr="004676F5" w:rsidRDefault="009A08A5" w:rsidP="009A08A5">
      <w:pPr>
        <w:ind w:firstLine="708"/>
        <w:jc w:val="both"/>
        <w:rPr>
          <w:lang w:val="de-DE"/>
        </w:rPr>
      </w:pPr>
    </w:p>
    <w:p w14:paraId="5BE45B91" w14:textId="77777777" w:rsidR="009A08A5" w:rsidRPr="004676F5" w:rsidRDefault="009A08A5" w:rsidP="009A08A5">
      <w:pPr>
        <w:ind w:firstLine="708"/>
        <w:jc w:val="both"/>
        <w:rPr>
          <w:lang w:val="de-DE"/>
        </w:rPr>
      </w:pPr>
      <w:r w:rsidRPr="004676F5">
        <w:rPr>
          <w:lang w:val="de-DE"/>
        </w:rPr>
        <w:t>2. das Mitgliederverzeichnis des Instituts erstellen,</w:t>
      </w:r>
    </w:p>
    <w:p w14:paraId="6299B858" w14:textId="77777777" w:rsidR="009A08A5" w:rsidRPr="004676F5" w:rsidRDefault="009A08A5" w:rsidP="009A08A5">
      <w:pPr>
        <w:ind w:firstLine="708"/>
        <w:jc w:val="both"/>
        <w:rPr>
          <w:lang w:val="de-DE"/>
        </w:rPr>
      </w:pPr>
    </w:p>
    <w:p w14:paraId="3E41ECAC" w14:textId="77777777" w:rsidR="009A08A5" w:rsidRPr="004676F5" w:rsidRDefault="009A08A5" w:rsidP="009A08A5">
      <w:pPr>
        <w:ind w:firstLine="708"/>
        <w:jc w:val="both"/>
        <w:rPr>
          <w:lang w:val="de-DE"/>
        </w:rPr>
      </w:pPr>
      <w:r w:rsidRPr="004676F5">
        <w:rPr>
          <w:lang w:val="de-DE"/>
        </w:rPr>
        <w:t>3. jedes Jahr einen Bericht erstellen, in dem er über seine Geschäftsführung Rechenschaft ablegt; er legt dem Minister eine Kopie dieses Berichts vor,</w:t>
      </w:r>
    </w:p>
    <w:p w14:paraId="0221611F" w14:textId="77777777" w:rsidR="009A08A5" w:rsidRPr="004676F5" w:rsidRDefault="009A08A5" w:rsidP="009A08A5">
      <w:pPr>
        <w:ind w:firstLine="708"/>
        <w:jc w:val="both"/>
        <w:rPr>
          <w:lang w:val="de-DE"/>
        </w:rPr>
      </w:pPr>
    </w:p>
    <w:p w14:paraId="5597A58C" w14:textId="77777777" w:rsidR="009A08A5" w:rsidRPr="004676F5" w:rsidRDefault="009A08A5" w:rsidP="009A08A5">
      <w:pPr>
        <w:ind w:firstLine="708"/>
        <w:jc w:val="both"/>
        <w:rPr>
          <w:lang w:val="de-DE"/>
        </w:rPr>
      </w:pPr>
      <w:r w:rsidRPr="004676F5">
        <w:rPr>
          <w:lang w:val="de-DE"/>
        </w:rPr>
        <w:t>4. in Artikel XI.74 § 1 erwähnte Stellungnahmen abgeben,</w:t>
      </w:r>
    </w:p>
    <w:p w14:paraId="35B6CA0C" w14:textId="77777777" w:rsidR="009A08A5" w:rsidRPr="004676F5" w:rsidRDefault="009A08A5" w:rsidP="009A08A5">
      <w:pPr>
        <w:ind w:firstLine="708"/>
        <w:jc w:val="both"/>
        <w:rPr>
          <w:lang w:val="de-DE"/>
        </w:rPr>
      </w:pPr>
    </w:p>
    <w:p w14:paraId="40720534" w14:textId="77777777" w:rsidR="009A08A5" w:rsidRPr="004676F5" w:rsidRDefault="009A08A5" w:rsidP="009A08A5">
      <w:pPr>
        <w:ind w:firstLine="708"/>
        <w:jc w:val="both"/>
        <w:rPr>
          <w:lang w:val="de-DE"/>
        </w:rPr>
      </w:pPr>
      <w:r w:rsidRPr="004676F5">
        <w:rPr>
          <w:lang w:val="de-DE"/>
        </w:rPr>
        <w:t>5. den vorübergehenden oder gelegentlichen Charakter einer Dienstleistung im Sinne von Artikel XI.64/3 beurteilen,</w:t>
      </w:r>
    </w:p>
    <w:p w14:paraId="713E635F" w14:textId="77777777" w:rsidR="009A08A5" w:rsidRPr="004676F5" w:rsidRDefault="009A08A5" w:rsidP="009A08A5">
      <w:pPr>
        <w:ind w:firstLine="708"/>
        <w:jc w:val="both"/>
        <w:rPr>
          <w:lang w:val="de-DE"/>
        </w:rPr>
      </w:pPr>
    </w:p>
    <w:p w14:paraId="014C9672" w14:textId="08B97001" w:rsidR="00F2372E" w:rsidRPr="004676F5" w:rsidRDefault="00F2372E" w:rsidP="009A08A5">
      <w:pPr>
        <w:ind w:firstLine="708"/>
        <w:jc w:val="both"/>
        <w:rPr>
          <w:lang w:val="de-DE"/>
        </w:rPr>
      </w:pPr>
      <w:r w:rsidRPr="004676F5">
        <w:rPr>
          <w:lang w:val="de-DE"/>
        </w:rPr>
        <w:t>[5/1. innerhalb der Grenzen, die sich aus dem Schutz von Geschäftsgeheimnissen und anderen gesetzlichen Verpflichtungen ergeben, jegliche Auskunft erteilen, die von einer Gerichts-, Verwaltungs- oder Disziplinarbehörde verlangt wird und die diese im Rahmen eines Verfahrens benötigt, das gegen ein Mitglied des Instituts geführt wird, das sich auf die Ausübung des Berufs des Patentanwalts bezieht und mit dem diese Behörde durch oder aufgrund des Gesetzes beauftragt wurde,]</w:t>
      </w:r>
    </w:p>
    <w:p w14:paraId="27261C7D" w14:textId="77777777" w:rsidR="00F2372E" w:rsidRPr="004676F5" w:rsidRDefault="00F2372E" w:rsidP="009A08A5">
      <w:pPr>
        <w:ind w:firstLine="708"/>
        <w:jc w:val="both"/>
        <w:rPr>
          <w:lang w:val="de-DE"/>
        </w:rPr>
      </w:pPr>
    </w:p>
    <w:p w14:paraId="0177184B" w14:textId="77777777" w:rsidR="009A08A5" w:rsidRPr="004676F5" w:rsidRDefault="009A08A5" w:rsidP="009A08A5">
      <w:pPr>
        <w:ind w:firstLine="708"/>
        <w:jc w:val="both"/>
        <w:rPr>
          <w:lang w:val="de-DE"/>
        </w:rPr>
      </w:pPr>
      <w:r w:rsidRPr="004676F5">
        <w:rPr>
          <w:lang w:val="de-DE"/>
        </w:rPr>
        <w:t>6. Aufgaben ausführen, die ihm durch Gesetz, Erlass oder Verordnung übertragen werden.</w:t>
      </w:r>
    </w:p>
    <w:p w14:paraId="50EBB48F" w14:textId="77777777" w:rsidR="009A08A5" w:rsidRPr="004676F5" w:rsidRDefault="009A08A5" w:rsidP="009A08A5">
      <w:pPr>
        <w:ind w:firstLine="708"/>
        <w:jc w:val="both"/>
        <w:rPr>
          <w:lang w:val="de-DE"/>
        </w:rPr>
      </w:pPr>
    </w:p>
    <w:p w14:paraId="7D7ABE71" w14:textId="3C8D95E5" w:rsidR="009A08A5" w:rsidRPr="004676F5" w:rsidRDefault="009A08A5" w:rsidP="009A08A5">
      <w:pPr>
        <w:ind w:firstLine="708"/>
        <w:jc w:val="both"/>
        <w:rPr>
          <w:lang w:val="de-DE"/>
        </w:rPr>
      </w:pPr>
      <w:r w:rsidRPr="004676F5">
        <w:rPr>
          <w:lang w:val="de-DE"/>
        </w:rPr>
        <w:t>Der Rat ist für alle Verwaltungs</w:t>
      </w:r>
      <w:r w:rsidR="005B7A5C" w:rsidRPr="004676F5">
        <w:rPr>
          <w:lang w:val="de-DE"/>
        </w:rPr>
        <w:t>- </w:t>
      </w:r>
      <w:r w:rsidRPr="004676F5">
        <w:rPr>
          <w:lang w:val="de-DE"/>
        </w:rPr>
        <w:t>und Verfügungshandlungen zuständig, die nicht ausschließlich der Generalversammlung übertragen sind.</w:t>
      </w:r>
    </w:p>
    <w:p w14:paraId="68E90150" w14:textId="77777777" w:rsidR="009A08A5" w:rsidRPr="004676F5" w:rsidRDefault="009A08A5" w:rsidP="009A08A5">
      <w:pPr>
        <w:ind w:firstLine="708"/>
        <w:jc w:val="both"/>
        <w:rPr>
          <w:lang w:val="de-DE"/>
        </w:rPr>
      </w:pPr>
    </w:p>
    <w:p w14:paraId="4DE45B77" w14:textId="3A1C50CD" w:rsidR="009A08A5" w:rsidRPr="004676F5" w:rsidRDefault="009A08A5" w:rsidP="009A08A5">
      <w:pPr>
        <w:ind w:firstLine="708"/>
        <w:jc w:val="both"/>
        <w:rPr>
          <w:lang w:val="de-DE"/>
        </w:rPr>
      </w:pPr>
      <w:r w:rsidRPr="004676F5">
        <w:rPr>
          <w:lang w:val="de-DE"/>
        </w:rPr>
        <w:t>§ 3 </w:t>
      </w:r>
      <w:r w:rsidR="005B7A5C" w:rsidRPr="004676F5">
        <w:rPr>
          <w:lang w:val="de-DE"/>
        </w:rPr>
        <w:t>- </w:t>
      </w:r>
      <w:r w:rsidRPr="004676F5">
        <w:rPr>
          <w:lang w:val="de-DE"/>
        </w:rPr>
        <w:t>Der Rat fasst seine Beschlüsse mit Stimmenmehrheit. Jedes Mitglied hat Recht auf eine Stimme. Wird keine Mehrheit erzielt, ist die Stimme des Präsidenten ausschlaggebend.</w:t>
      </w:r>
    </w:p>
    <w:p w14:paraId="4C95B24E" w14:textId="77777777" w:rsidR="009A08A5" w:rsidRPr="004676F5" w:rsidRDefault="009A08A5" w:rsidP="009A08A5">
      <w:pPr>
        <w:ind w:firstLine="708"/>
        <w:jc w:val="both"/>
        <w:rPr>
          <w:lang w:val="de-DE"/>
        </w:rPr>
      </w:pPr>
    </w:p>
    <w:p w14:paraId="25E63E84" w14:textId="77777777" w:rsidR="009A08A5" w:rsidRPr="004676F5" w:rsidRDefault="009A08A5" w:rsidP="009A08A5">
      <w:pPr>
        <w:ind w:firstLine="708"/>
        <w:jc w:val="both"/>
        <w:rPr>
          <w:lang w:val="de-DE"/>
        </w:rPr>
      </w:pPr>
      <w:r w:rsidRPr="004676F5">
        <w:rPr>
          <w:lang w:val="de-DE"/>
        </w:rPr>
        <w:t>Beschlüsse des Rates mit individueller Tragweite werden ausdrücklich begründet.</w:t>
      </w:r>
    </w:p>
    <w:p w14:paraId="0CF9222D" w14:textId="77777777" w:rsidR="009A08A5" w:rsidRPr="004676F5" w:rsidRDefault="009A08A5" w:rsidP="009A08A5">
      <w:pPr>
        <w:ind w:firstLine="708"/>
        <w:jc w:val="both"/>
        <w:rPr>
          <w:lang w:val="de-DE"/>
        </w:rPr>
      </w:pPr>
    </w:p>
    <w:p w14:paraId="4CA0D21E" w14:textId="77777777" w:rsidR="009A08A5" w:rsidRPr="004676F5" w:rsidRDefault="009A08A5" w:rsidP="009A08A5">
      <w:pPr>
        <w:ind w:firstLine="708"/>
        <w:jc w:val="both"/>
        <w:rPr>
          <w:lang w:val="de-DE"/>
        </w:rPr>
      </w:pPr>
      <w:r w:rsidRPr="004676F5">
        <w:rPr>
          <w:lang w:val="de-DE"/>
        </w:rPr>
        <w:lastRenderedPageBreak/>
        <w:t>Der Rat vertritt das Institut bei Rechtshandlungen und bei Rechtsklagen, sowohl als Kläger als auch als Beklagter. Der Präsident oder der Vizepräsident können im Namen des Rates handeln.</w:t>
      </w:r>
    </w:p>
    <w:p w14:paraId="50A9A476" w14:textId="77777777" w:rsidR="009A08A5" w:rsidRPr="004676F5" w:rsidRDefault="009A08A5" w:rsidP="009A08A5">
      <w:pPr>
        <w:ind w:firstLine="708"/>
        <w:jc w:val="both"/>
        <w:rPr>
          <w:lang w:val="de-DE"/>
        </w:rPr>
      </w:pPr>
    </w:p>
    <w:p w14:paraId="17171B5C" w14:textId="2837307F" w:rsidR="009A08A5" w:rsidRPr="004676F5" w:rsidRDefault="009A08A5" w:rsidP="009A08A5">
      <w:pPr>
        <w:ind w:firstLine="708"/>
        <w:jc w:val="both"/>
        <w:rPr>
          <w:lang w:val="de-DE"/>
        </w:rPr>
      </w:pPr>
      <w:r w:rsidRPr="004676F5">
        <w:rPr>
          <w:lang w:val="de-DE"/>
        </w:rPr>
        <w:t>§ 4 </w:t>
      </w:r>
      <w:r w:rsidR="005B7A5C" w:rsidRPr="004676F5">
        <w:rPr>
          <w:lang w:val="de-DE"/>
        </w:rPr>
        <w:t>- </w:t>
      </w:r>
      <w:r w:rsidRPr="004676F5">
        <w:rPr>
          <w:lang w:val="de-DE"/>
        </w:rPr>
        <w:t>Der König bestimmt den Mindestinhalt des in § 2 Absatz 1 Nr. 3 erwähnten Berichts.</w:t>
      </w:r>
    </w:p>
    <w:p w14:paraId="6C815FC0" w14:textId="77777777" w:rsidR="009A08A5" w:rsidRPr="004676F5" w:rsidRDefault="009A08A5" w:rsidP="009A08A5">
      <w:pPr>
        <w:ind w:firstLine="708"/>
        <w:jc w:val="both"/>
        <w:rPr>
          <w:lang w:val="de-DE"/>
        </w:rPr>
      </w:pPr>
    </w:p>
    <w:p w14:paraId="3A4345F5" w14:textId="77777777" w:rsidR="009A08A5" w:rsidRPr="004676F5" w:rsidRDefault="009A08A5" w:rsidP="009A08A5">
      <w:pPr>
        <w:ind w:firstLine="708"/>
        <w:jc w:val="both"/>
        <w:rPr>
          <w:lang w:val="de-DE"/>
        </w:rPr>
      </w:pPr>
      <w:r w:rsidRPr="004676F5">
        <w:rPr>
          <w:lang w:val="de-DE"/>
        </w:rPr>
        <w:t>In der Geschäftsordnung wird mindestens Folgendes festgelegt:</w:t>
      </w:r>
    </w:p>
    <w:p w14:paraId="41DF8F90" w14:textId="77777777" w:rsidR="009A08A5" w:rsidRPr="004676F5" w:rsidRDefault="009A08A5" w:rsidP="009A08A5">
      <w:pPr>
        <w:ind w:firstLine="708"/>
        <w:jc w:val="both"/>
        <w:rPr>
          <w:lang w:val="de-DE"/>
        </w:rPr>
      </w:pPr>
    </w:p>
    <w:p w14:paraId="38934CB2" w14:textId="77777777" w:rsidR="009A08A5" w:rsidRPr="004676F5" w:rsidRDefault="009A08A5" w:rsidP="009A08A5">
      <w:pPr>
        <w:ind w:firstLine="708"/>
        <w:jc w:val="both"/>
        <w:rPr>
          <w:lang w:val="de-DE"/>
        </w:rPr>
      </w:pPr>
      <w:r w:rsidRPr="004676F5">
        <w:rPr>
          <w:lang w:val="de-DE"/>
        </w:rPr>
        <w:t>1. die Verfahrensregeln für die Wahl der Ratsmitglieder,</w:t>
      </w:r>
    </w:p>
    <w:p w14:paraId="05F22A26" w14:textId="77777777" w:rsidR="009A08A5" w:rsidRPr="004676F5" w:rsidRDefault="009A08A5" w:rsidP="009A08A5">
      <w:pPr>
        <w:ind w:firstLine="708"/>
        <w:jc w:val="both"/>
        <w:rPr>
          <w:lang w:val="de-DE"/>
        </w:rPr>
      </w:pPr>
    </w:p>
    <w:p w14:paraId="3647B358" w14:textId="2C5784D3" w:rsidR="009A08A5" w:rsidRPr="004676F5" w:rsidRDefault="009A08A5" w:rsidP="009A08A5">
      <w:pPr>
        <w:ind w:firstLine="708"/>
        <w:jc w:val="both"/>
        <w:rPr>
          <w:lang w:val="de-DE"/>
        </w:rPr>
      </w:pPr>
      <w:r w:rsidRPr="004676F5">
        <w:rPr>
          <w:lang w:val="de-DE"/>
        </w:rPr>
        <w:t>2. die Verfahrensregeln für die Sitzungen des Rates, wobei der in Artikel XI.75/10 erwähnte Regierungskommissar den Rat immer einberufen kann.]</w:t>
      </w:r>
    </w:p>
    <w:p w14:paraId="16333EE3" w14:textId="470049DB" w:rsidR="009A08A5" w:rsidRPr="004676F5" w:rsidRDefault="009A08A5" w:rsidP="009A08A5">
      <w:pPr>
        <w:ind w:firstLine="708"/>
        <w:jc w:val="both"/>
        <w:rPr>
          <w:lang w:val="de-DE"/>
        </w:rPr>
      </w:pPr>
    </w:p>
    <w:p w14:paraId="704F07F2" w14:textId="3E358A60" w:rsidR="009A08A5" w:rsidRPr="004676F5" w:rsidRDefault="009A08A5" w:rsidP="009A08A5">
      <w:pPr>
        <w:jc w:val="both"/>
        <w:rPr>
          <w:i/>
          <w:lang w:val="de-DE"/>
        </w:rPr>
      </w:pPr>
      <w:r w:rsidRPr="004676F5">
        <w:rPr>
          <w:i/>
          <w:lang w:val="de-DE"/>
        </w:rPr>
        <w:t>[Art. XI.75/7 eingefügt durch Art. 27</w:t>
      </w:r>
      <w:r w:rsidRPr="004676F5">
        <w:rPr>
          <w:i/>
          <w:iCs/>
          <w:lang w:val="de-DE"/>
        </w:rPr>
        <w:t xml:space="preserve"> des G. vom 8. Juli 2018 (B.S. vom 19. Juli 2018)</w:t>
      </w:r>
      <w:r w:rsidR="00F2372E" w:rsidRPr="004676F5">
        <w:rPr>
          <w:i/>
          <w:iCs/>
          <w:lang w:val="de-DE"/>
        </w:rPr>
        <w:t xml:space="preserve">; </w:t>
      </w:r>
      <w:r w:rsidR="00410628" w:rsidRPr="004676F5">
        <w:rPr>
          <w:i/>
          <w:iCs/>
          <w:lang w:val="de-DE"/>
        </w:rPr>
        <w:t>§ 1 Abs. 1 abgeändert durch Art. 27 Nr. 1 des G. vom 5. November 2023</w:t>
      </w:r>
      <w:r w:rsidR="00AA0B2E" w:rsidRPr="004676F5">
        <w:rPr>
          <w:i/>
          <w:iCs/>
          <w:lang w:val="de-DE"/>
        </w:rPr>
        <w:t> </w:t>
      </w:r>
      <w:r w:rsidR="003454B3" w:rsidRPr="004676F5">
        <w:rPr>
          <w:i/>
          <w:iCs/>
          <w:lang w:val="de-DE"/>
        </w:rPr>
        <w:t xml:space="preserve">(I) </w:t>
      </w:r>
      <w:r w:rsidR="00410628" w:rsidRPr="004676F5">
        <w:rPr>
          <w:i/>
          <w:iCs/>
          <w:lang w:val="de-DE"/>
        </w:rPr>
        <w:t>(B.S. vom 11. Dezember 2023); § 1 Abs. 4 eingefügt durch Art. 27 Nr. 2 des G. vom 5. November 2023</w:t>
      </w:r>
      <w:r w:rsidR="003454B3" w:rsidRPr="004676F5">
        <w:rPr>
          <w:i/>
          <w:iCs/>
          <w:lang w:val="de-DE"/>
        </w:rPr>
        <w:t> (I)</w:t>
      </w:r>
      <w:r w:rsidR="00410628" w:rsidRPr="004676F5">
        <w:rPr>
          <w:i/>
          <w:iCs/>
          <w:lang w:val="de-DE"/>
        </w:rPr>
        <w:t xml:space="preserve"> (B.S. vom 11. Dezember 2023); </w:t>
      </w:r>
      <w:r w:rsidR="00F2372E" w:rsidRPr="004676F5">
        <w:rPr>
          <w:i/>
          <w:iCs/>
          <w:lang w:val="de-DE"/>
        </w:rPr>
        <w:t>§ 2 Abs. 1 Nr. 5/1 eingefügt durch Art. 14 des G. vom 25. September 2022 (B.S. vom 24. Oktober 2022)</w:t>
      </w:r>
      <w:r w:rsidRPr="004676F5">
        <w:rPr>
          <w:i/>
          <w:iCs/>
          <w:lang w:val="de-DE"/>
        </w:rPr>
        <w:t>]</w:t>
      </w:r>
    </w:p>
    <w:p w14:paraId="711E23A8" w14:textId="77777777" w:rsidR="009A08A5" w:rsidRPr="004676F5" w:rsidRDefault="009A08A5" w:rsidP="009A08A5">
      <w:pPr>
        <w:ind w:firstLine="708"/>
        <w:jc w:val="both"/>
        <w:rPr>
          <w:lang w:val="de-DE"/>
        </w:rPr>
      </w:pPr>
    </w:p>
    <w:p w14:paraId="63BF717F" w14:textId="77777777" w:rsidR="009A08A5" w:rsidRPr="004676F5" w:rsidRDefault="009A08A5" w:rsidP="009A08A5">
      <w:pPr>
        <w:ind w:firstLine="708"/>
        <w:jc w:val="both"/>
        <w:rPr>
          <w:lang w:val="de-DE"/>
        </w:rPr>
      </w:pPr>
    </w:p>
    <w:p w14:paraId="1C5A7A41" w14:textId="30B5F2FE" w:rsidR="009A08A5" w:rsidRPr="004676F5" w:rsidRDefault="009A08A5" w:rsidP="009A08A5">
      <w:pPr>
        <w:ind w:firstLine="708"/>
        <w:jc w:val="both"/>
        <w:rPr>
          <w:lang w:val="de-DE"/>
        </w:rPr>
      </w:pPr>
      <w:r w:rsidRPr="004676F5">
        <w:rPr>
          <w:lang w:val="de-DE"/>
        </w:rPr>
        <w:t>[</w:t>
      </w:r>
      <w:r w:rsidRPr="004676F5">
        <w:rPr>
          <w:b/>
          <w:lang w:val="de-DE"/>
        </w:rPr>
        <w:t>Art. XI.75/8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Der Disziplinarausschuss des Instituts der Patentanwälte setzt sich aus vier Mitgliedern einschließlich des Präsidenten zusammen. Mit Ausnahme des Präsidenten werden sie von der Generalversammlung aus ihren Reihen </w:t>
      </w:r>
      <w:r w:rsidR="00410628" w:rsidRPr="004676F5">
        <w:rPr>
          <w:lang w:val="de-DE"/>
        </w:rPr>
        <w:t xml:space="preserve">[...] </w:t>
      </w:r>
      <w:r w:rsidRPr="004676F5">
        <w:rPr>
          <w:lang w:val="de-DE"/>
        </w:rPr>
        <w:t>gewählt. Mit Ausnahme des Stellvertreters des Präsidenten wählt die Generalversammlung aus ihren Reihen für jedes ordentliche Mitglied des Disziplinar</w:t>
      </w:r>
      <w:r w:rsidRPr="004676F5">
        <w:rPr>
          <w:lang w:val="de-DE"/>
        </w:rPr>
        <w:softHyphen/>
        <w:t xml:space="preserve">ausschusses einen Stellvertreter </w:t>
      </w:r>
      <w:r w:rsidR="00062985" w:rsidRPr="004676F5">
        <w:rPr>
          <w:lang w:val="de-DE"/>
        </w:rPr>
        <w:t>[...]</w:t>
      </w:r>
      <w:r w:rsidRPr="004676F5">
        <w:rPr>
          <w:lang w:val="de-DE"/>
        </w:rPr>
        <w:t>.</w:t>
      </w:r>
    </w:p>
    <w:p w14:paraId="5610C171" w14:textId="77777777" w:rsidR="009A08A5" w:rsidRPr="004676F5" w:rsidRDefault="009A08A5" w:rsidP="009A08A5">
      <w:pPr>
        <w:ind w:firstLine="708"/>
        <w:jc w:val="both"/>
        <w:rPr>
          <w:lang w:val="de-DE"/>
        </w:rPr>
      </w:pPr>
    </w:p>
    <w:p w14:paraId="5BD9DDDF" w14:textId="551330FE" w:rsidR="009A08A5" w:rsidRPr="004676F5" w:rsidRDefault="009A08A5" w:rsidP="009A08A5">
      <w:pPr>
        <w:ind w:firstLine="708"/>
        <w:jc w:val="both"/>
        <w:rPr>
          <w:lang w:val="de-DE"/>
        </w:rPr>
      </w:pPr>
      <w:r w:rsidRPr="004676F5">
        <w:rPr>
          <w:lang w:val="de-DE"/>
        </w:rPr>
        <w:t xml:space="preserve">Der Präsident des Disziplinarausschusses und sein Stellvertreter werden nach Stellungnahme des Kollegiums der Gerichtshöfe und Gerichte auf Vorschlag des Ministers vom König </w:t>
      </w:r>
      <w:r w:rsidR="00410628" w:rsidRPr="004676F5">
        <w:rPr>
          <w:lang w:val="de-DE"/>
        </w:rPr>
        <w:t>[...]</w:t>
      </w:r>
      <w:r w:rsidRPr="004676F5">
        <w:rPr>
          <w:lang w:val="de-DE"/>
        </w:rPr>
        <w:t xml:space="preserve"> unter folgenden Personen ernannt:</w:t>
      </w:r>
    </w:p>
    <w:p w14:paraId="50219B56" w14:textId="77777777" w:rsidR="009A08A5" w:rsidRPr="004676F5" w:rsidRDefault="009A08A5" w:rsidP="009A08A5">
      <w:pPr>
        <w:ind w:firstLine="708"/>
        <w:jc w:val="both"/>
        <w:rPr>
          <w:lang w:val="de-DE"/>
        </w:rPr>
      </w:pPr>
    </w:p>
    <w:p w14:paraId="34511E97" w14:textId="77777777" w:rsidR="009A08A5" w:rsidRPr="004676F5" w:rsidRDefault="009A08A5" w:rsidP="009A08A5">
      <w:pPr>
        <w:ind w:firstLine="708"/>
        <w:jc w:val="both"/>
        <w:rPr>
          <w:lang w:val="de-DE"/>
        </w:rPr>
      </w:pPr>
      <w:r w:rsidRPr="004676F5">
        <w:rPr>
          <w:lang w:val="de-DE"/>
        </w:rPr>
        <w:t>1. Magistrate der Richterschaft, die vor ihrer Ernennung mindestens zehn Jahre lang das Amt eines Magistrats ausgeübt haben,</w:t>
      </w:r>
    </w:p>
    <w:p w14:paraId="270F535C" w14:textId="77777777" w:rsidR="009A08A5" w:rsidRPr="004676F5" w:rsidRDefault="009A08A5" w:rsidP="009A08A5">
      <w:pPr>
        <w:ind w:firstLine="708"/>
        <w:jc w:val="both"/>
        <w:rPr>
          <w:lang w:val="de-DE"/>
        </w:rPr>
      </w:pPr>
    </w:p>
    <w:p w14:paraId="11FDB55C" w14:textId="77777777" w:rsidR="009A08A5" w:rsidRPr="004676F5" w:rsidRDefault="009A08A5" w:rsidP="009A08A5">
      <w:pPr>
        <w:ind w:firstLine="708"/>
        <w:jc w:val="both"/>
        <w:rPr>
          <w:lang w:val="de-DE"/>
        </w:rPr>
      </w:pPr>
      <w:r w:rsidRPr="004676F5">
        <w:rPr>
          <w:lang w:val="de-DE"/>
        </w:rPr>
        <w:t>2. Rechtsanwälte, die vor ihr Ernennung mindestens zehn Jahre lang bei der Rechtsanwaltschaft eingetragen waren.</w:t>
      </w:r>
    </w:p>
    <w:p w14:paraId="4D234218" w14:textId="77777777" w:rsidR="009A08A5" w:rsidRPr="004676F5" w:rsidRDefault="009A08A5" w:rsidP="009A08A5">
      <w:pPr>
        <w:ind w:firstLine="708"/>
        <w:jc w:val="both"/>
        <w:rPr>
          <w:lang w:val="de-DE"/>
        </w:rPr>
      </w:pPr>
    </w:p>
    <w:p w14:paraId="5CAB6AFC" w14:textId="77777777" w:rsidR="009A08A5" w:rsidRPr="004676F5" w:rsidRDefault="009A08A5" w:rsidP="009A08A5">
      <w:pPr>
        <w:ind w:firstLine="708"/>
        <w:jc w:val="both"/>
        <w:rPr>
          <w:lang w:val="de-DE"/>
        </w:rPr>
      </w:pPr>
      <w:r w:rsidRPr="004676F5">
        <w:rPr>
          <w:lang w:val="de-DE"/>
        </w:rPr>
        <w:t>Zwei Mitglieder des Disziplinarausschusses müssen einer anderen Sprachgruppe angehören. Für jede neue Periode, für die sie ernannt werden, müssen der Präsident und sein Stellvertreter einer anderen Sprachgruppe angehören als in der vorhergehenden Periode.</w:t>
      </w:r>
    </w:p>
    <w:p w14:paraId="37341E56" w14:textId="77777777" w:rsidR="009A08A5" w:rsidRPr="004676F5" w:rsidRDefault="009A08A5" w:rsidP="009A08A5">
      <w:pPr>
        <w:ind w:firstLine="708"/>
        <w:jc w:val="both"/>
        <w:rPr>
          <w:lang w:val="de-DE"/>
        </w:rPr>
      </w:pPr>
    </w:p>
    <w:p w14:paraId="657CAC72" w14:textId="68DAE1B6" w:rsidR="009A08A5" w:rsidRPr="004676F5" w:rsidRDefault="00410628" w:rsidP="009A08A5">
      <w:pPr>
        <w:ind w:firstLine="708"/>
        <w:jc w:val="both"/>
        <w:rPr>
          <w:lang w:val="de-DE"/>
        </w:rPr>
      </w:pPr>
      <w:r w:rsidRPr="004676F5">
        <w:rPr>
          <w:lang w:val="de-DE"/>
        </w:rPr>
        <w:t>[Der König bestimmt den Zeitraum, für den die Mitglieder und stellvertretenden Mitglieder des Disziplinarausschusses gewählt oder ernannt werden, und Er bestimmt, inwieweit dieser Zeitraum für die gewählten Mitglieder und gewählten stellvertretenden Mitglieder erneuerbar ist. Dieser Zeitraum darf nicht weniger als drei Jahre und nicht mehr als sechs Jahre betragen. Der König legt ebenfalls die Modalitäten für die Nachfolge eines Mitglieds des Disziplinarausschusses fest.]</w:t>
      </w:r>
    </w:p>
    <w:p w14:paraId="7AF07E22" w14:textId="77777777" w:rsidR="009A08A5" w:rsidRPr="004676F5" w:rsidRDefault="009A08A5" w:rsidP="009A08A5">
      <w:pPr>
        <w:ind w:firstLine="708"/>
        <w:jc w:val="both"/>
        <w:rPr>
          <w:lang w:val="de-DE"/>
        </w:rPr>
      </w:pPr>
    </w:p>
    <w:p w14:paraId="7723CDB1" w14:textId="37182C65"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Der Disziplinarausschuss hat als Auftrag, dafür zu sorgen, dass die Disziplinarordnung und die Verhaltensregeln von den Mitgliedern des Instituts eingehalten werden.</w:t>
      </w:r>
    </w:p>
    <w:p w14:paraId="3396FC82" w14:textId="77777777" w:rsidR="009A08A5" w:rsidRPr="004676F5" w:rsidRDefault="009A08A5" w:rsidP="009A08A5">
      <w:pPr>
        <w:ind w:firstLine="708"/>
        <w:jc w:val="both"/>
        <w:rPr>
          <w:lang w:val="de-DE"/>
        </w:rPr>
      </w:pPr>
    </w:p>
    <w:p w14:paraId="4261CEC9" w14:textId="77777777" w:rsidR="009A08A5" w:rsidRPr="004676F5" w:rsidRDefault="009A08A5" w:rsidP="009A08A5">
      <w:pPr>
        <w:ind w:firstLine="708"/>
        <w:jc w:val="both"/>
        <w:rPr>
          <w:lang w:val="de-DE"/>
        </w:rPr>
      </w:pPr>
      <w:r w:rsidRPr="004676F5">
        <w:rPr>
          <w:lang w:val="de-DE"/>
        </w:rPr>
        <w:lastRenderedPageBreak/>
        <w:t>Auf seinen einfachen Antrag hin wird das Disziplinarverfahren in der Sprache der Sprachgruppe durchgeführt, der das verfolgte Mitglied angehört. Ein verfolgtes Mitglied, das nicht über eine ausreichende Kenntnis der Sprache des Disziplinarverfahrens verfügt, kann sich während der Sitzung von einem Dolmetscher seiner Wahl beistehen lassen.</w:t>
      </w:r>
    </w:p>
    <w:p w14:paraId="3D46BA67" w14:textId="77777777" w:rsidR="009A08A5" w:rsidRPr="004676F5" w:rsidRDefault="009A08A5" w:rsidP="009A08A5">
      <w:pPr>
        <w:ind w:firstLine="708"/>
        <w:jc w:val="both"/>
        <w:rPr>
          <w:lang w:val="de-DE"/>
        </w:rPr>
      </w:pPr>
    </w:p>
    <w:p w14:paraId="718A842A" w14:textId="3011DF5B" w:rsidR="00F2372E" w:rsidRPr="004676F5" w:rsidRDefault="00F2372E" w:rsidP="00F2372E">
      <w:pPr>
        <w:ind w:firstLine="708"/>
        <w:jc w:val="both"/>
        <w:rPr>
          <w:lang w:val="de-DE"/>
        </w:rPr>
      </w:pPr>
      <w:r w:rsidRPr="004676F5">
        <w:rPr>
          <w:lang w:val="de-DE"/>
        </w:rPr>
        <w:t>[Der König legt die Disziplinarordnung fest, die das Disziplinarverfahren vor dem Disziplinarausschuss enthält. Unbeschadet des Artikels XI.75/6 § 2 Nr. 9 bestimmt der König in der Disziplinarordnung außerdem Folgendes:</w:t>
      </w:r>
    </w:p>
    <w:p w14:paraId="69FD3232" w14:textId="77777777" w:rsidR="00F2372E" w:rsidRPr="004676F5" w:rsidRDefault="00F2372E" w:rsidP="00F2372E">
      <w:pPr>
        <w:jc w:val="both"/>
        <w:rPr>
          <w:lang w:val="de-DE"/>
        </w:rPr>
      </w:pPr>
    </w:p>
    <w:p w14:paraId="317B9A95" w14:textId="77777777" w:rsidR="00F2372E" w:rsidRPr="004676F5" w:rsidRDefault="00F2372E" w:rsidP="00F2372E">
      <w:pPr>
        <w:jc w:val="both"/>
        <w:rPr>
          <w:lang w:val="de-DE"/>
        </w:rPr>
      </w:pPr>
      <w:r w:rsidRPr="004676F5">
        <w:rPr>
          <w:lang w:val="de-DE"/>
        </w:rPr>
        <w:tab/>
        <w:t>1. Verhaltensregeln, die für die Mitglieder des Instituts gelten, wie unter anderem die Verpflichtung der Mitglieder, das Institut über Gerichts-, Verwaltungs- oder Disziplinar</w:t>
      </w:r>
      <w:r w:rsidRPr="004676F5">
        <w:rPr>
          <w:lang w:val="de-DE"/>
        </w:rPr>
        <w:softHyphen/>
        <w:t>verfahren, die gegen sie anhängig sind und die sich auf die Ausübung der Berufe als Bevollmächtigte für geistiges Eigentum beziehen, und über die im Rahmen dieser Verfahren getroffenen Entscheidungen zu unterrichten,</w:t>
      </w:r>
    </w:p>
    <w:p w14:paraId="1B5610BF" w14:textId="77777777" w:rsidR="00F2372E" w:rsidRPr="004676F5" w:rsidRDefault="00F2372E" w:rsidP="00F2372E">
      <w:pPr>
        <w:ind w:firstLine="708"/>
        <w:jc w:val="both"/>
        <w:rPr>
          <w:lang w:val="de-DE"/>
        </w:rPr>
      </w:pPr>
    </w:p>
    <w:p w14:paraId="5D69E2E6" w14:textId="0B9CCB83" w:rsidR="009A08A5" w:rsidRPr="004676F5" w:rsidRDefault="00F2372E" w:rsidP="00F2372E">
      <w:pPr>
        <w:ind w:firstLine="708"/>
        <w:jc w:val="both"/>
        <w:rPr>
          <w:lang w:val="de-DE"/>
        </w:rPr>
      </w:pPr>
      <w:r w:rsidRPr="004676F5">
        <w:rPr>
          <w:lang w:val="de-DE"/>
        </w:rPr>
        <w:t>2. Entschädigungen, die Personen im Rahmen eines Disziplinarverfahrens als Ausgleich für die gesamten oder einen Teil der Kosten des Disziplinarverfahrens an das Institut zu zahlen haben.]</w:t>
      </w:r>
    </w:p>
    <w:p w14:paraId="42327775" w14:textId="77777777" w:rsidR="009A08A5" w:rsidRPr="004676F5" w:rsidRDefault="009A08A5" w:rsidP="009A08A5">
      <w:pPr>
        <w:ind w:firstLine="708"/>
        <w:jc w:val="both"/>
        <w:rPr>
          <w:lang w:val="de-DE"/>
        </w:rPr>
      </w:pPr>
    </w:p>
    <w:p w14:paraId="251D9E8B" w14:textId="0ADC8310" w:rsidR="009A08A5" w:rsidRPr="004676F5" w:rsidRDefault="009A08A5" w:rsidP="009A08A5">
      <w:pPr>
        <w:ind w:firstLine="708"/>
        <w:jc w:val="both"/>
        <w:rPr>
          <w:lang w:val="de-DE"/>
        </w:rPr>
      </w:pPr>
      <w:r w:rsidRPr="004676F5">
        <w:rPr>
          <w:lang w:val="de-DE"/>
        </w:rPr>
        <w:t>§ 3 </w:t>
      </w:r>
      <w:r w:rsidR="005B7A5C" w:rsidRPr="004676F5">
        <w:rPr>
          <w:lang w:val="de-DE"/>
        </w:rPr>
        <w:t>- </w:t>
      </w:r>
      <w:r w:rsidRPr="004676F5">
        <w:rPr>
          <w:lang w:val="de-DE"/>
        </w:rPr>
        <w:t>Der Disziplinarausschuss fasst seine Beschlüsse mit Stimmenmehrheit. Jedes Mitglied hat Recht auf eine Stimme. Wird keine Mehrheit erzielt, ist die Stimme des Präsidenten ausschlaggebend.</w:t>
      </w:r>
    </w:p>
    <w:p w14:paraId="7C580891" w14:textId="77777777" w:rsidR="009A08A5" w:rsidRPr="004676F5" w:rsidRDefault="009A08A5" w:rsidP="009A08A5">
      <w:pPr>
        <w:ind w:firstLine="708"/>
        <w:jc w:val="both"/>
        <w:rPr>
          <w:lang w:val="de-DE"/>
        </w:rPr>
      </w:pPr>
    </w:p>
    <w:p w14:paraId="584DAD38" w14:textId="77777777" w:rsidR="009A08A5" w:rsidRPr="004676F5" w:rsidRDefault="009A08A5" w:rsidP="009A08A5">
      <w:pPr>
        <w:ind w:firstLine="708"/>
        <w:jc w:val="both"/>
        <w:rPr>
          <w:lang w:val="de-DE"/>
        </w:rPr>
      </w:pPr>
      <w:r w:rsidRPr="004676F5">
        <w:rPr>
          <w:lang w:val="de-DE"/>
        </w:rPr>
        <w:t>Beschlüsse des Disziplinarausschusses werden ausdrücklich begründet.</w:t>
      </w:r>
    </w:p>
    <w:p w14:paraId="36FB11A4" w14:textId="77777777" w:rsidR="009A08A5" w:rsidRPr="004676F5" w:rsidRDefault="009A08A5" w:rsidP="009A08A5">
      <w:pPr>
        <w:ind w:firstLine="708"/>
        <w:jc w:val="both"/>
        <w:rPr>
          <w:lang w:val="de-DE"/>
        </w:rPr>
      </w:pPr>
    </w:p>
    <w:p w14:paraId="58E08151" w14:textId="4006C2D4" w:rsidR="009A08A5" w:rsidRPr="004676F5" w:rsidRDefault="009A08A5" w:rsidP="009A08A5">
      <w:pPr>
        <w:ind w:firstLine="708"/>
        <w:jc w:val="both"/>
        <w:rPr>
          <w:lang w:val="de-DE"/>
        </w:rPr>
      </w:pPr>
      <w:r w:rsidRPr="004676F5">
        <w:rPr>
          <w:lang w:val="de-DE"/>
        </w:rPr>
        <w:t>§ 4 </w:t>
      </w:r>
      <w:r w:rsidR="005B7A5C" w:rsidRPr="004676F5">
        <w:rPr>
          <w:lang w:val="de-DE"/>
        </w:rPr>
        <w:t>- </w:t>
      </w:r>
      <w:r w:rsidRPr="004676F5">
        <w:rPr>
          <w:lang w:val="de-DE"/>
        </w:rPr>
        <w:t>Sitzungen des Disziplinarausschusses sind öffentlich, es sei denn, er beschließt aus schwerwiegenden Gründen, dass eine Sitzung ganz oder teilweise unter Ausschluss der Öffentlichkeit stattfinden soll.</w:t>
      </w:r>
    </w:p>
    <w:p w14:paraId="37CDD7DE" w14:textId="77777777" w:rsidR="009A08A5" w:rsidRPr="004676F5" w:rsidRDefault="009A08A5" w:rsidP="009A08A5">
      <w:pPr>
        <w:ind w:firstLine="708"/>
        <w:jc w:val="both"/>
        <w:rPr>
          <w:lang w:val="de-DE"/>
        </w:rPr>
      </w:pPr>
    </w:p>
    <w:p w14:paraId="6EDF3883" w14:textId="76022D82" w:rsidR="009A08A5" w:rsidRPr="004676F5" w:rsidRDefault="009A08A5" w:rsidP="009A08A5">
      <w:pPr>
        <w:ind w:firstLine="708"/>
        <w:jc w:val="both"/>
        <w:rPr>
          <w:lang w:val="de-DE"/>
        </w:rPr>
      </w:pPr>
      <w:r w:rsidRPr="004676F5">
        <w:rPr>
          <w:lang w:val="de-DE"/>
        </w:rPr>
        <w:t>§ 5 </w:t>
      </w:r>
      <w:r w:rsidR="005B7A5C" w:rsidRPr="004676F5">
        <w:rPr>
          <w:lang w:val="de-DE"/>
        </w:rPr>
        <w:t>- </w:t>
      </w:r>
      <w:r w:rsidRPr="004676F5">
        <w:rPr>
          <w:lang w:val="de-DE"/>
        </w:rPr>
        <w:t>Der Disziplinarausschuss kann folgende Disziplinarstrafen verhängen:</w:t>
      </w:r>
    </w:p>
    <w:p w14:paraId="0487E3C4" w14:textId="77777777" w:rsidR="009A08A5" w:rsidRPr="004676F5" w:rsidRDefault="009A08A5" w:rsidP="009A08A5">
      <w:pPr>
        <w:ind w:firstLine="708"/>
        <w:jc w:val="both"/>
        <w:rPr>
          <w:lang w:val="de-DE"/>
        </w:rPr>
      </w:pPr>
    </w:p>
    <w:p w14:paraId="6C399883" w14:textId="77777777" w:rsidR="009A08A5" w:rsidRPr="004676F5" w:rsidRDefault="009A08A5" w:rsidP="009A08A5">
      <w:pPr>
        <w:ind w:firstLine="708"/>
        <w:jc w:val="both"/>
        <w:rPr>
          <w:lang w:val="de-DE"/>
        </w:rPr>
      </w:pPr>
      <w:r w:rsidRPr="004676F5">
        <w:rPr>
          <w:lang w:val="de-DE"/>
        </w:rPr>
        <w:t>1. Verwarnung,</w:t>
      </w:r>
    </w:p>
    <w:p w14:paraId="789CD046" w14:textId="77777777" w:rsidR="009A08A5" w:rsidRPr="004676F5" w:rsidRDefault="009A08A5" w:rsidP="009A08A5">
      <w:pPr>
        <w:ind w:firstLine="708"/>
        <w:jc w:val="both"/>
        <w:rPr>
          <w:lang w:val="de-DE"/>
        </w:rPr>
      </w:pPr>
    </w:p>
    <w:p w14:paraId="32EF02D8" w14:textId="77777777" w:rsidR="009A08A5" w:rsidRPr="004676F5" w:rsidRDefault="009A08A5" w:rsidP="009A08A5">
      <w:pPr>
        <w:ind w:firstLine="708"/>
        <w:jc w:val="both"/>
        <w:rPr>
          <w:lang w:val="de-DE"/>
        </w:rPr>
      </w:pPr>
      <w:r w:rsidRPr="004676F5">
        <w:rPr>
          <w:lang w:val="de-DE"/>
        </w:rPr>
        <w:t>2. Verweis,</w:t>
      </w:r>
    </w:p>
    <w:p w14:paraId="164CE439" w14:textId="77777777" w:rsidR="009A08A5" w:rsidRPr="004676F5" w:rsidRDefault="009A08A5" w:rsidP="009A08A5">
      <w:pPr>
        <w:ind w:firstLine="708"/>
        <w:jc w:val="both"/>
        <w:rPr>
          <w:lang w:val="de-DE"/>
        </w:rPr>
      </w:pPr>
    </w:p>
    <w:p w14:paraId="1EDC2AB0" w14:textId="77777777" w:rsidR="009A08A5" w:rsidRPr="004676F5" w:rsidRDefault="009A08A5" w:rsidP="009A08A5">
      <w:pPr>
        <w:ind w:firstLine="708"/>
        <w:jc w:val="both"/>
        <w:rPr>
          <w:lang w:val="de-DE"/>
        </w:rPr>
      </w:pPr>
      <w:r w:rsidRPr="004676F5">
        <w:rPr>
          <w:lang w:val="de-DE"/>
        </w:rPr>
        <w:t>3. eine Geldstrafe, deren Betrag nicht höher sein darf als der Höchstbetrag für eine in Artikel XV.70 erwähnte Sanktion der Stufe 1,</w:t>
      </w:r>
    </w:p>
    <w:p w14:paraId="7F5E5C74" w14:textId="77777777" w:rsidR="009A08A5" w:rsidRPr="004676F5" w:rsidRDefault="009A08A5" w:rsidP="009A08A5">
      <w:pPr>
        <w:ind w:firstLine="708"/>
        <w:jc w:val="both"/>
        <w:rPr>
          <w:lang w:val="de-DE"/>
        </w:rPr>
      </w:pPr>
    </w:p>
    <w:p w14:paraId="620DC905" w14:textId="77777777" w:rsidR="009A08A5" w:rsidRPr="004676F5" w:rsidRDefault="009A08A5" w:rsidP="009A08A5">
      <w:pPr>
        <w:ind w:firstLine="708"/>
        <w:jc w:val="both"/>
        <w:rPr>
          <w:lang w:val="de-DE"/>
        </w:rPr>
      </w:pPr>
      <w:r w:rsidRPr="004676F5">
        <w:rPr>
          <w:lang w:val="de-DE"/>
        </w:rPr>
        <w:t>4. Streichung aus dem Mitgliederverzeichnis des Instituts für mindestens die in Artikel XI.72 Absatz 2 erwähnte Dauer.</w:t>
      </w:r>
    </w:p>
    <w:p w14:paraId="45E5C0D3" w14:textId="77777777" w:rsidR="009A08A5" w:rsidRPr="004676F5" w:rsidRDefault="009A08A5" w:rsidP="009A08A5">
      <w:pPr>
        <w:ind w:firstLine="708"/>
        <w:jc w:val="both"/>
        <w:rPr>
          <w:lang w:val="de-DE"/>
        </w:rPr>
      </w:pPr>
    </w:p>
    <w:p w14:paraId="1A2329BC" w14:textId="6BFBD073" w:rsidR="009A08A5" w:rsidRPr="004676F5" w:rsidRDefault="009A08A5" w:rsidP="009A08A5">
      <w:pPr>
        <w:ind w:firstLine="708"/>
        <w:jc w:val="both"/>
        <w:rPr>
          <w:lang w:val="de-DE"/>
        </w:rPr>
      </w:pPr>
      <w:r w:rsidRPr="004676F5">
        <w:rPr>
          <w:lang w:val="de-DE"/>
        </w:rPr>
        <w:t>§ 6 </w:t>
      </w:r>
      <w:r w:rsidR="005B7A5C" w:rsidRPr="004676F5">
        <w:rPr>
          <w:lang w:val="de-DE"/>
        </w:rPr>
        <w:t>- </w:t>
      </w:r>
      <w:r w:rsidR="00F2372E" w:rsidRPr="004676F5">
        <w:rPr>
          <w:lang w:val="de-DE"/>
        </w:rPr>
        <w:t>[Gegen den endgültigen Beschluss des Disziplinarausschusses in einem Disziplinarverfahren kann gemäß Teil 4 Buch 4 Kapitel 19</w:t>
      </w:r>
      <w:r w:rsidR="00F2372E" w:rsidRPr="004676F5">
        <w:rPr>
          <w:i/>
          <w:iCs/>
          <w:lang w:val="de-DE"/>
        </w:rPr>
        <w:t>bis</w:t>
      </w:r>
      <w:r w:rsidR="00F2372E" w:rsidRPr="004676F5">
        <w:rPr>
          <w:lang w:val="de-DE"/>
        </w:rPr>
        <w:t xml:space="preserve"> Abschnitt 4 des Gerichtsgesetzbuches beim Appellationshof von Brüssel Beschwerde eingelegt werden. Beschwerden gegen vorläufige Beschlüsse des Disziplinarausschusses müssen zusammen mit der Beschwerde gegen den endgültigen Beschluss eingelegt werden.]</w:t>
      </w:r>
    </w:p>
    <w:p w14:paraId="5204C4EC" w14:textId="77777777" w:rsidR="009A08A5" w:rsidRPr="004676F5" w:rsidRDefault="009A08A5" w:rsidP="009A08A5">
      <w:pPr>
        <w:ind w:firstLine="708"/>
        <w:jc w:val="both"/>
        <w:rPr>
          <w:lang w:val="de-DE"/>
        </w:rPr>
      </w:pPr>
    </w:p>
    <w:p w14:paraId="1C037158" w14:textId="2267F014" w:rsidR="009A08A5" w:rsidRPr="004676F5" w:rsidRDefault="009A08A5" w:rsidP="009A08A5">
      <w:pPr>
        <w:ind w:firstLine="708"/>
        <w:jc w:val="both"/>
        <w:rPr>
          <w:lang w:val="de-DE"/>
        </w:rPr>
      </w:pPr>
      <w:r w:rsidRPr="004676F5">
        <w:rPr>
          <w:lang w:val="de-DE"/>
        </w:rPr>
        <w:t>Beschwerden gegen Beschlüsse des Disziplinarausschusses haben aufschiebende Wirkung.]</w:t>
      </w:r>
    </w:p>
    <w:p w14:paraId="0871FADF" w14:textId="17B1FB0E" w:rsidR="009A08A5" w:rsidRPr="004676F5" w:rsidRDefault="009A08A5" w:rsidP="009A08A5">
      <w:pPr>
        <w:ind w:firstLine="708"/>
        <w:jc w:val="both"/>
        <w:rPr>
          <w:lang w:val="de-DE"/>
        </w:rPr>
      </w:pPr>
    </w:p>
    <w:p w14:paraId="4FE1B8D1" w14:textId="10D0C229" w:rsidR="009A08A5" w:rsidRPr="004676F5" w:rsidRDefault="009A08A5" w:rsidP="009A08A5">
      <w:pPr>
        <w:jc w:val="both"/>
        <w:rPr>
          <w:i/>
          <w:lang w:val="de-DE"/>
        </w:rPr>
      </w:pPr>
      <w:r w:rsidRPr="004676F5">
        <w:rPr>
          <w:i/>
          <w:lang w:val="de-DE"/>
        </w:rPr>
        <w:t>[Art. XI.75/8 eingefügt durch Art. 28</w:t>
      </w:r>
      <w:r w:rsidRPr="004676F5">
        <w:rPr>
          <w:i/>
          <w:iCs/>
          <w:lang w:val="de-DE"/>
        </w:rPr>
        <w:t xml:space="preserve"> des G. vom 8. Juli 2018 (B.S. vom 19. Juli 2018)</w:t>
      </w:r>
      <w:r w:rsidR="00F2372E" w:rsidRPr="004676F5">
        <w:rPr>
          <w:i/>
          <w:iCs/>
          <w:lang w:val="de-DE"/>
        </w:rPr>
        <w:t xml:space="preserve">; </w:t>
      </w:r>
      <w:r w:rsidR="00410628" w:rsidRPr="004676F5">
        <w:rPr>
          <w:i/>
          <w:iCs/>
          <w:lang w:val="de-DE"/>
        </w:rPr>
        <w:t>§ 1 Abs. 1 abgeändert durch Art. 28 Nr. 1 des G. vom 5. November 2023</w:t>
      </w:r>
      <w:r w:rsidR="003454B3" w:rsidRPr="004676F5">
        <w:rPr>
          <w:i/>
          <w:iCs/>
          <w:lang w:val="de-DE"/>
        </w:rPr>
        <w:t xml:space="preserve"> (I)</w:t>
      </w:r>
      <w:r w:rsidR="00410628" w:rsidRPr="004676F5">
        <w:rPr>
          <w:i/>
          <w:iCs/>
          <w:lang w:val="de-DE"/>
        </w:rPr>
        <w:t xml:space="preserve"> (B.S. vom </w:t>
      </w:r>
      <w:r w:rsidR="00410628" w:rsidRPr="004676F5">
        <w:rPr>
          <w:i/>
          <w:iCs/>
          <w:lang w:val="de-DE"/>
        </w:rPr>
        <w:lastRenderedPageBreak/>
        <w:t>11. Dezember 2023); § 1 Abs. 2 abgeändert durch Art. 28 Nr. 2 des G. vom 5. November 2023</w:t>
      </w:r>
      <w:r w:rsidR="003519CA" w:rsidRPr="004676F5">
        <w:rPr>
          <w:i/>
          <w:iCs/>
          <w:lang w:val="de-DE"/>
        </w:rPr>
        <w:t> (I)</w:t>
      </w:r>
      <w:r w:rsidR="00410628" w:rsidRPr="004676F5">
        <w:rPr>
          <w:i/>
          <w:iCs/>
          <w:lang w:val="de-DE"/>
        </w:rPr>
        <w:t xml:space="preserve"> (B.S. vom 11. Dezember 2023); </w:t>
      </w:r>
      <w:r w:rsidR="00F2372E" w:rsidRPr="004676F5">
        <w:rPr>
          <w:i/>
          <w:iCs/>
          <w:lang w:val="de-DE"/>
        </w:rPr>
        <w:t xml:space="preserve">§ 1 Abs. 4 </w:t>
      </w:r>
      <w:r w:rsidR="00410628" w:rsidRPr="004676F5">
        <w:rPr>
          <w:i/>
          <w:iCs/>
          <w:lang w:val="de-DE"/>
        </w:rPr>
        <w:t xml:space="preserve">ersetzt durch Art. 28 Nr. 3 des G. vom 5. November 2023 </w:t>
      </w:r>
      <w:r w:rsidR="003519CA" w:rsidRPr="004676F5">
        <w:rPr>
          <w:i/>
          <w:iCs/>
          <w:lang w:val="de-DE"/>
        </w:rPr>
        <w:t xml:space="preserve">(I) </w:t>
      </w:r>
      <w:r w:rsidR="00410628" w:rsidRPr="004676F5">
        <w:rPr>
          <w:i/>
          <w:iCs/>
          <w:lang w:val="de-DE"/>
        </w:rPr>
        <w:t>(B.S. vom 11. Dezember 2023)</w:t>
      </w:r>
      <w:r w:rsidR="00F2372E" w:rsidRPr="004676F5">
        <w:rPr>
          <w:i/>
          <w:iCs/>
          <w:lang w:val="de-DE"/>
        </w:rPr>
        <w:t>; § 2 Abs. 3 ersetzt durch Art. 15 Buchstabe b) des G. vom 25. September 2022 (B.S. vom 24. Oktober 2022); § 6 Abs. 1 ersetzt durch Art. 15 Buchstabe c) des G. vom 25. September 2022 (B.S. vom 24. Oktober 2022)</w:t>
      </w:r>
      <w:r w:rsidRPr="004676F5">
        <w:rPr>
          <w:i/>
          <w:iCs/>
          <w:lang w:val="de-DE"/>
        </w:rPr>
        <w:t>]</w:t>
      </w:r>
    </w:p>
    <w:p w14:paraId="21F90AD9" w14:textId="77777777" w:rsidR="009A08A5" w:rsidRPr="004676F5" w:rsidRDefault="009A08A5" w:rsidP="009A08A5">
      <w:pPr>
        <w:ind w:firstLine="708"/>
        <w:jc w:val="both"/>
        <w:rPr>
          <w:lang w:val="de-DE"/>
        </w:rPr>
      </w:pPr>
    </w:p>
    <w:p w14:paraId="4B200E1E" w14:textId="77777777" w:rsidR="009A08A5" w:rsidRPr="004676F5" w:rsidRDefault="009A08A5" w:rsidP="009A08A5">
      <w:pPr>
        <w:ind w:firstLine="708"/>
        <w:jc w:val="both"/>
        <w:rPr>
          <w:lang w:val="de-DE"/>
        </w:rPr>
      </w:pPr>
    </w:p>
    <w:p w14:paraId="07329FE5" w14:textId="7ED12914" w:rsidR="009A08A5" w:rsidRPr="004676F5" w:rsidRDefault="009A08A5" w:rsidP="009A08A5">
      <w:pPr>
        <w:ind w:firstLine="708"/>
        <w:jc w:val="both"/>
        <w:rPr>
          <w:lang w:val="de-DE"/>
        </w:rPr>
      </w:pPr>
      <w:r w:rsidRPr="004676F5">
        <w:rPr>
          <w:lang w:val="de-DE"/>
        </w:rPr>
        <w:t>[</w:t>
      </w:r>
      <w:r w:rsidRPr="004676F5">
        <w:rPr>
          <w:b/>
          <w:lang w:val="de-DE"/>
        </w:rPr>
        <w:t>Art. XI.75/9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Jedes der folgenden Ämter im Institut der Patentanwälte ist mit den anderen unvereinbar:</w:t>
      </w:r>
    </w:p>
    <w:p w14:paraId="3C2CC57F" w14:textId="77777777" w:rsidR="009A08A5" w:rsidRPr="004676F5" w:rsidRDefault="009A08A5" w:rsidP="009A08A5">
      <w:pPr>
        <w:ind w:firstLine="708"/>
        <w:jc w:val="both"/>
        <w:rPr>
          <w:lang w:val="de-DE"/>
        </w:rPr>
      </w:pPr>
    </w:p>
    <w:p w14:paraId="1CA1608C" w14:textId="77777777" w:rsidR="009A08A5" w:rsidRPr="004676F5" w:rsidRDefault="009A08A5" w:rsidP="009A08A5">
      <w:pPr>
        <w:ind w:firstLine="708"/>
        <w:jc w:val="both"/>
        <w:rPr>
          <w:lang w:val="de-DE"/>
        </w:rPr>
      </w:pPr>
      <w:r w:rsidRPr="004676F5">
        <w:rPr>
          <w:lang w:val="de-DE"/>
        </w:rPr>
        <w:t>1. Präsident des Rates, Vizepräsident des Rates, Sekretär des Rates und Schatzmeister des Rates,</w:t>
      </w:r>
    </w:p>
    <w:p w14:paraId="7601924E" w14:textId="77777777" w:rsidR="009A08A5" w:rsidRPr="004676F5" w:rsidRDefault="009A08A5" w:rsidP="009A08A5">
      <w:pPr>
        <w:ind w:firstLine="708"/>
        <w:jc w:val="both"/>
        <w:rPr>
          <w:lang w:val="de-DE"/>
        </w:rPr>
      </w:pPr>
    </w:p>
    <w:p w14:paraId="3556A410" w14:textId="77777777" w:rsidR="009A08A5" w:rsidRPr="004676F5" w:rsidRDefault="009A08A5" w:rsidP="009A08A5">
      <w:pPr>
        <w:ind w:firstLine="708"/>
        <w:jc w:val="both"/>
        <w:rPr>
          <w:lang w:val="de-DE"/>
        </w:rPr>
      </w:pPr>
      <w:r w:rsidRPr="004676F5">
        <w:rPr>
          <w:lang w:val="de-DE"/>
        </w:rPr>
        <w:t>2. Präsident der Generalversammlung, Vizepräsident der Generalversammlung, Mitglied des Rates und Mitglied des Disziplinarausschusses.</w:t>
      </w:r>
    </w:p>
    <w:p w14:paraId="57E0B8AD" w14:textId="77777777" w:rsidR="009A08A5" w:rsidRPr="004676F5" w:rsidRDefault="009A08A5" w:rsidP="009A08A5">
      <w:pPr>
        <w:ind w:firstLine="708"/>
        <w:jc w:val="both"/>
        <w:rPr>
          <w:lang w:val="de-DE"/>
        </w:rPr>
      </w:pPr>
    </w:p>
    <w:p w14:paraId="6319ADE5" w14:textId="77777777" w:rsidR="009A08A5" w:rsidRPr="004676F5" w:rsidRDefault="009A08A5" w:rsidP="009A08A5">
      <w:pPr>
        <w:ind w:firstLine="708"/>
        <w:jc w:val="both"/>
        <w:rPr>
          <w:lang w:val="de-DE"/>
        </w:rPr>
      </w:pPr>
      <w:r w:rsidRPr="004676F5">
        <w:rPr>
          <w:lang w:val="de-DE"/>
        </w:rPr>
        <w:t>Jedes der in Absatz 1 erwähnten Ämter muss von einer anderen Person ausgeübt werden.</w:t>
      </w:r>
    </w:p>
    <w:p w14:paraId="6B311D5B" w14:textId="77777777" w:rsidR="009A08A5" w:rsidRPr="004676F5" w:rsidRDefault="009A08A5" w:rsidP="009A08A5">
      <w:pPr>
        <w:ind w:firstLine="708"/>
        <w:jc w:val="both"/>
        <w:rPr>
          <w:lang w:val="de-DE"/>
        </w:rPr>
      </w:pPr>
    </w:p>
    <w:p w14:paraId="56400CDD" w14:textId="65D90F3C"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Mit Ausnahme etwaiger Anwesenheitsgelder und Amtszulagen, deren Höhe von der Generalversammlung festgelegt wird, werden die in § 1 erwähnten Ämter nicht vergütet.</w:t>
      </w:r>
    </w:p>
    <w:p w14:paraId="2B638246" w14:textId="59071A33" w:rsidR="0073667D" w:rsidRPr="004676F5" w:rsidRDefault="0073667D">
      <w:pPr>
        <w:rPr>
          <w:lang w:val="de-DE"/>
        </w:rPr>
      </w:pPr>
    </w:p>
    <w:p w14:paraId="46A2744B" w14:textId="4EE6B1BD" w:rsidR="009A08A5" w:rsidRPr="004676F5" w:rsidRDefault="009A08A5" w:rsidP="009A08A5">
      <w:pPr>
        <w:ind w:firstLine="708"/>
        <w:jc w:val="both"/>
        <w:rPr>
          <w:lang w:val="de-DE"/>
        </w:rPr>
      </w:pPr>
      <w:r w:rsidRPr="004676F5">
        <w:rPr>
          <w:lang w:val="de-DE"/>
        </w:rPr>
        <w:t>Der König legt fest, ob die in Absatz 1 erwähnten Anwesenheitsgelder und Amtszulagen gewährt werden können. Wenn Er diese Gewährung erlaubt, kann der König den Höchstbetrag der in Absatz</w:t>
      </w:r>
      <w:r w:rsidR="0073667D" w:rsidRPr="004676F5">
        <w:rPr>
          <w:lang w:val="de-DE"/>
        </w:rPr>
        <w:t> 1 erwähnten Beträge festlegen.]</w:t>
      </w:r>
    </w:p>
    <w:p w14:paraId="61542C19" w14:textId="23897240" w:rsidR="009A08A5" w:rsidRPr="004676F5" w:rsidRDefault="009A08A5" w:rsidP="009A08A5">
      <w:pPr>
        <w:ind w:firstLine="708"/>
        <w:jc w:val="both"/>
        <w:rPr>
          <w:lang w:val="de-DE"/>
        </w:rPr>
      </w:pPr>
    </w:p>
    <w:p w14:paraId="0AD49446" w14:textId="6016C948" w:rsidR="0073667D" w:rsidRPr="004676F5" w:rsidRDefault="0073667D" w:rsidP="0073667D">
      <w:pPr>
        <w:jc w:val="both"/>
        <w:rPr>
          <w:i/>
          <w:lang w:val="de-DE"/>
        </w:rPr>
      </w:pPr>
      <w:r w:rsidRPr="004676F5">
        <w:rPr>
          <w:i/>
          <w:lang w:val="de-DE"/>
        </w:rPr>
        <w:t>[Art. XI.75/9 eingefügt durch Art. 29</w:t>
      </w:r>
      <w:r w:rsidRPr="004676F5">
        <w:rPr>
          <w:i/>
          <w:iCs/>
          <w:lang w:val="de-DE"/>
        </w:rPr>
        <w:t xml:space="preserve"> des G. vom 8. Juli 2018 (B.S. vom 19. Juli 2018)]</w:t>
      </w:r>
    </w:p>
    <w:p w14:paraId="6AF0CB47" w14:textId="77777777" w:rsidR="0073667D" w:rsidRPr="004676F5" w:rsidRDefault="0073667D" w:rsidP="009A08A5">
      <w:pPr>
        <w:ind w:firstLine="708"/>
        <w:jc w:val="both"/>
        <w:rPr>
          <w:lang w:val="de-DE"/>
        </w:rPr>
      </w:pPr>
    </w:p>
    <w:p w14:paraId="752CA687" w14:textId="77777777" w:rsidR="009A08A5" w:rsidRPr="004676F5" w:rsidRDefault="009A08A5" w:rsidP="009A08A5">
      <w:pPr>
        <w:ind w:firstLine="708"/>
        <w:jc w:val="both"/>
        <w:rPr>
          <w:lang w:val="de-DE"/>
        </w:rPr>
      </w:pPr>
    </w:p>
    <w:p w14:paraId="7669F7E5" w14:textId="4DDFD142" w:rsidR="00F2372E" w:rsidRPr="004676F5" w:rsidRDefault="00F2372E" w:rsidP="00F2372E">
      <w:pPr>
        <w:ind w:firstLine="708"/>
        <w:jc w:val="both"/>
        <w:rPr>
          <w:lang w:val="de-DE"/>
        </w:rPr>
      </w:pPr>
      <w:r w:rsidRPr="004676F5">
        <w:rPr>
          <w:lang w:val="de-DE"/>
        </w:rPr>
        <w:t>[</w:t>
      </w:r>
      <w:r w:rsidRPr="004676F5">
        <w:rPr>
          <w:b/>
          <w:bCs/>
          <w:lang w:val="de-DE"/>
        </w:rPr>
        <w:t>Art. XI.75/9/1</w:t>
      </w:r>
      <w:r w:rsidRPr="004676F5">
        <w:rPr>
          <w:lang w:val="de-DE"/>
        </w:rPr>
        <w:t> - § 1 - Die Einnahmen des Instituts setzten sich wie folgt zusammen:</w:t>
      </w:r>
    </w:p>
    <w:p w14:paraId="5A57F816" w14:textId="77777777" w:rsidR="00F2372E" w:rsidRPr="004676F5" w:rsidRDefault="00F2372E" w:rsidP="00F2372E">
      <w:pPr>
        <w:jc w:val="both"/>
        <w:rPr>
          <w:lang w:val="de-DE"/>
        </w:rPr>
      </w:pPr>
    </w:p>
    <w:p w14:paraId="7BD55368" w14:textId="77777777" w:rsidR="00F2372E" w:rsidRPr="004676F5" w:rsidRDefault="00F2372E" w:rsidP="00F2372E">
      <w:pPr>
        <w:jc w:val="both"/>
        <w:rPr>
          <w:lang w:val="de-DE"/>
        </w:rPr>
      </w:pPr>
      <w:r w:rsidRPr="004676F5">
        <w:rPr>
          <w:lang w:val="de-DE"/>
        </w:rPr>
        <w:tab/>
        <w:t>1. Jahresbeiträge der Mitglieder des Instituts,</w:t>
      </w:r>
    </w:p>
    <w:p w14:paraId="41EDC0CE" w14:textId="77777777" w:rsidR="00F2372E" w:rsidRPr="004676F5" w:rsidRDefault="00F2372E" w:rsidP="00F2372E">
      <w:pPr>
        <w:jc w:val="both"/>
        <w:rPr>
          <w:lang w:val="de-DE"/>
        </w:rPr>
      </w:pPr>
    </w:p>
    <w:p w14:paraId="590A7AC6" w14:textId="77777777" w:rsidR="00F2372E" w:rsidRPr="004676F5" w:rsidRDefault="00F2372E" w:rsidP="00F2372E">
      <w:pPr>
        <w:jc w:val="both"/>
        <w:rPr>
          <w:lang w:val="de-DE"/>
        </w:rPr>
      </w:pPr>
      <w:r w:rsidRPr="004676F5">
        <w:rPr>
          <w:lang w:val="de-DE"/>
        </w:rPr>
        <w:tab/>
        <w:t>2. Erträge aus den Vermögenswerten des Instituts,</w:t>
      </w:r>
    </w:p>
    <w:p w14:paraId="0214D2E7" w14:textId="77777777" w:rsidR="00F2372E" w:rsidRPr="004676F5" w:rsidRDefault="00F2372E" w:rsidP="00F2372E">
      <w:pPr>
        <w:jc w:val="both"/>
        <w:rPr>
          <w:lang w:val="de-DE"/>
        </w:rPr>
      </w:pPr>
    </w:p>
    <w:p w14:paraId="73EB9AA4" w14:textId="77777777" w:rsidR="00F2372E" w:rsidRPr="004676F5" w:rsidRDefault="00F2372E" w:rsidP="00F2372E">
      <w:pPr>
        <w:jc w:val="both"/>
        <w:rPr>
          <w:lang w:val="de-DE"/>
        </w:rPr>
      </w:pPr>
      <w:r w:rsidRPr="004676F5">
        <w:rPr>
          <w:lang w:val="de-DE"/>
        </w:rPr>
        <w:tab/>
        <w:t>3. Zuschüsse, Vermächtnisse und Schenkungen,</w:t>
      </w:r>
    </w:p>
    <w:p w14:paraId="309884A9" w14:textId="77777777" w:rsidR="00F2372E" w:rsidRPr="004676F5" w:rsidRDefault="00F2372E" w:rsidP="00F2372E">
      <w:pPr>
        <w:jc w:val="both"/>
        <w:rPr>
          <w:lang w:val="de-DE"/>
        </w:rPr>
      </w:pPr>
    </w:p>
    <w:p w14:paraId="66261458" w14:textId="77777777" w:rsidR="00F2372E" w:rsidRPr="004676F5" w:rsidRDefault="00F2372E" w:rsidP="00F2372E">
      <w:pPr>
        <w:jc w:val="both"/>
        <w:rPr>
          <w:lang w:val="de-DE"/>
        </w:rPr>
      </w:pPr>
      <w:r w:rsidRPr="004676F5">
        <w:rPr>
          <w:lang w:val="de-DE"/>
        </w:rPr>
        <w:tab/>
        <w:t>4. in Artikel XI.75/8 § 2 Absatz 3 Nr. 2 erwähnte Entschädigungen,</w:t>
      </w:r>
    </w:p>
    <w:p w14:paraId="5DE762B6" w14:textId="77777777" w:rsidR="00F2372E" w:rsidRPr="004676F5" w:rsidRDefault="00F2372E" w:rsidP="00F2372E">
      <w:pPr>
        <w:jc w:val="both"/>
        <w:rPr>
          <w:lang w:val="de-DE"/>
        </w:rPr>
      </w:pPr>
    </w:p>
    <w:p w14:paraId="10C2CBCB" w14:textId="77777777" w:rsidR="00F2372E" w:rsidRPr="004676F5" w:rsidRDefault="00F2372E" w:rsidP="00F2372E">
      <w:pPr>
        <w:jc w:val="both"/>
        <w:rPr>
          <w:lang w:val="de-DE"/>
        </w:rPr>
      </w:pPr>
      <w:r w:rsidRPr="004676F5">
        <w:rPr>
          <w:lang w:val="de-DE"/>
        </w:rPr>
        <w:tab/>
        <w:t>5. in Artikel XI.75/8 § 5 Nr. 3 erwähnte Geldstrafen.</w:t>
      </w:r>
    </w:p>
    <w:p w14:paraId="1C10DEE6" w14:textId="77777777" w:rsidR="00F2372E" w:rsidRPr="004676F5" w:rsidRDefault="00F2372E" w:rsidP="00F2372E">
      <w:pPr>
        <w:jc w:val="both"/>
        <w:rPr>
          <w:lang w:val="de-DE"/>
        </w:rPr>
      </w:pPr>
    </w:p>
    <w:p w14:paraId="4E43E137" w14:textId="77777777" w:rsidR="00F2372E" w:rsidRPr="004676F5" w:rsidRDefault="00F2372E" w:rsidP="00F2372E">
      <w:pPr>
        <w:jc w:val="both"/>
        <w:rPr>
          <w:lang w:val="de-DE"/>
        </w:rPr>
      </w:pPr>
      <w:r w:rsidRPr="004676F5">
        <w:rPr>
          <w:lang w:val="de-DE"/>
        </w:rPr>
        <w:tab/>
        <w:t>Das Institut darf verfügbare Mittel nur für den Kauf von Wertpapieren verwenden, deren Kapital und Zinsen garantiert sind. Das Institut darf keinesfalls unentgeltlich über sein Vermögen verfügen oder sein Vermögen ganz oder teilweise unter seine Mitglieder oder deren Rechtsnachfolger aufteilen.</w:t>
      </w:r>
    </w:p>
    <w:p w14:paraId="1D23D5A5" w14:textId="77777777" w:rsidR="00F2372E" w:rsidRPr="004676F5" w:rsidRDefault="00F2372E" w:rsidP="00F2372E">
      <w:pPr>
        <w:jc w:val="both"/>
        <w:rPr>
          <w:lang w:val="de-DE"/>
        </w:rPr>
      </w:pPr>
    </w:p>
    <w:p w14:paraId="4FD400C2" w14:textId="0C756EC4" w:rsidR="00F2372E" w:rsidRPr="004676F5" w:rsidRDefault="00F2372E" w:rsidP="00F2372E">
      <w:pPr>
        <w:ind w:firstLine="708"/>
        <w:jc w:val="both"/>
        <w:rPr>
          <w:lang w:val="de-DE"/>
        </w:rPr>
      </w:pPr>
      <w:r w:rsidRPr="004676F5">
        <w:rPr>
          <w:lang w:val="de-DE"/>
        </w:rPr>
        <w:t>§ 2 ­ Der König kann zusätzliche Einnahmequellen festlegen. Der König bestimmt, nach welchem Muster die Rechnungslegung des Instituts erfolgt.]</w:t>
      </w:r>
    </w:p>
    <w:p w14:paraId="42F53EDC" w14:textId="77777777" w:rsidR="00F2372E" w:rsidRPr="004676F5" w:rsidRDefault="00F2372E" w:rsidP="00F2372E">
      <w:pPr>
        <w:jc w:val="both"/>
        <w:rPr>
          <w:lang w:val="de-DE"/>
        </w:rPr>
      </w:pPr>
    </w:p>
    <w:p w14:paraId="2AB2CAD1" w14:textId="5539BAE5" w:rsidR="00F2372E" w:rsidRPr="004676F5" w:rsidRDefault="00F2372E" w:rsidP="00F2372E">
      <w:pPr>
        <w:jc w:val="both"/>
        <w:rPr>
          <w:i/>
          <w:iCs/>
          <w:lang w:val="de-DE"/>
        </w:rPr>
      </w:pPr>
      <w:r w:rsidRPr="004676F5">
        <w:rPr>
          <w:i/>
          <w:iCs/>
          <w:lang w:val="de-DE"/>
        </w:rPr>
        <w:t>[Art. XI.75/9/1 eingefügt durch Art. 16 des G. vom 25. September 2022 (B.S. vom 24. Oktober 2022)]</w:t>
      </w:r>
    </w:p>
    <w:p w14:paraId="64E9646C" w14:textId="77777777" w:rsidR="00F2372E" w:rsidRPr="004676F5" w:rsidRDefault="00F2372E" w:rsidP="009A08A5">
      <w:pPr>
        <w:ind w:firstLine="708"/>
        <w:jc w:val="both"/>
        <w:rPr>
          <w:lang w:val="de-DE"/>
        </w:rPr>
      </w:pPr>
    </w:p>
    <w:p w14:paraId="6CABD50D" w14:textId="77777777" w:rsidR="00F2372E" w:rsidRPr="004676F5" w:rsidRDefault="00F2372E" w:rsidP="009A08A5">
      <w:pPr>
        <w:ind w:firstLine="708"/>
        <w:jc w:val="both"/>
        <w:rPr>
          <w:lang w:val="de-DE"/>
        </w:rPr>
      </w:pPr>
    </w:p>
    <w:p w14:paraId="49F903BB" w14:textId="05A2065F" w:rsidR="009A08A5" w:rsidRPr="004676F5" w:rsidRDefault="0073667D" w:rsidP="009A08A5">
      <w:pPr>
        <w:ind w:firstLine="708"/>
        <w:jc w:val="both"/>
        <w:rPr>
          <w:lang w:val="de-DE"/>
        </w:rPr>
      </w:pPr>
      <w:r w:rsidRPr="004676F5">
        <w:rPr>
          <w:lang w:val="de-DE"/>
        </w:rPr>
        <w:t>[</w:t>
      </w:r>
      <w:r w:rsidR="009A08A5" w:rsidRPr="004676F5">
        <w:rPr>
          <w:b/>
          <w:lang w:val="de-DE"/>
        </w:rPr>
        <w:t>Art. XI.75/10</w:t>
      </w:r>
      <w:r w:rsidR="009A08A5" w:rsidRPr="004676F5">
        <w:rPr>
          <w:lang w:val="de-DE"/>
        </w:rPr>
        <w:t> </w:t>
      </w:r>
      <w:r w:rsidR="005B7A5C" w:rsidRPr="004676F5">
        <w:rPr>
          <w:lang w:val="de-DE"/>
        </w:rPr>
        <w:t>- </w:t>
      </w:r>
      <w:r w:rsidR="009A08A5" w:rsidRPr="004676F5">
        <w:rPr>
          <w:lang w:val="de-DE"/>
        </w:rPr>
        <w:t>§ 1 </w:t>
      </w:r>
      <w:r w:rsidR="005B7A5C" w:rsidRPr="004676F5">
        <w:rPr>
          <w:lang w:val="de-DE"/>
        </w:rPr>
        <w:t>- </w:t>
      </w:r>
      <w:r w:rsidR="009A08A5" w:rsidRPr="004676F5">
        <w:rPr>
          <w:lang w:val="de-DE"/>
        </w:rPr>
        <w:t>Ein Regierungskommissar, dem ein Stellvertreter beisteht, übt die Kontrolle über die Handlungen der Generalversammlung und des Rates des Instituts der Patentanwälte aus.</w:t>
      </w:r>
    </w:p>
    <w:p w14:paraId="7110F4F9" w14:textId="77777777" w:rsidR="009A08A5" w:rsidRPr="004676F5" w:rsidRDefault="009A08A5" w:rsidP="009A08A5">
      <w:pPr>
        <w:ind w:firstLine="708"/>
        <w:jc w:val="both"/>
        <w:rPr>
          <w:lang w:val="de-DE"/>
        </w:rPr>
      </w:pPr>
    </w:p>
    <w:p w14:paraId="3292DEB5" w14:textId="77777777" w:rsidR="009A08A5" w:rsidRPr="004676F5" w:rsidRDefault="009A08A5" w:rsidP="009A08A5">
      <w:pPr>
        <w:ind w:firstLine="708"/>
        <w:jc w:val="both"/>
        <w:rPr>
          <w:lang w:val="de-DE"/>
        </w:rPr>
      </w:pPr>
      <w:r w:rsidRPr="004676F5">
        <w:rPr>
          <w:lang w:val="de-DE"/>
        </w:rPr>
        <w:t>Der Regierungskommissar und sein Stellvertreter werden vom König ernannt auf Vorschlag des Ministers, der gemäß den vom König festgelegten Bedingungen erfolgt.</w:t>
      </w:r>
    </w:p>
    <w:p w14:paraId="47768F1C" w14:textId="77777777" w:rsidR="009A08A5" w:rsidRPr="004676F5" w:rsidRDefault="009A08A5" w:rsidP="009A08A5">
      <w:pPr>
        <w:ind w:firstLine="708"/>
        <w:jc w:val="both"/>
        <w:rPr>
          <w:lang w:val="de-DE"/>
        </w:rPr>
      </w:pPr>
    </w:p>
    <w:p w14:paraId="2A5CF858" w14:textId="7AE044A3" w:rsidR="009A08A5" w:rsidRPr="004676F5" w:rsidRDefault="009A08A5" w:rsidP="009A08A5">
      <w:pPr>
        <w:ind w:firstLine="708"/>
        <w:jc w:val="both"/>
        <w:rPr>
          <w:lang w:val="de-DE"/>
        </w:rPr>
      </w:pPr>
      <w:r w:rsidRPr="004676F5">
        <w:rPr>
          <w:lang w:val="de-DE"/>
        </w:rPr>
        <w:t>§ 2 </w:t>
      </w:r>
      <w:r w:rsidR="005B7A5C" w:rsidRPr="004676F5">
        <w:rPr>
          <w:lang w:val="de-DE"/>
        </w:rPr>
        <w:t>- </w:t>
      </w:r>
      <w:r w:rsidRPr="004676F5">
        <w:rPr>
          <w:lang w:val="de-DE"/>
        </w:rPr>
        <w:t>Der Regierungskommissar wird zu den Sitzungen der Generalversammlung und des Rates eingeladen; deren Protokolle werden ihm mitgeteilt. Außerdem kann er vor Ort alle Beschlüsse und Unterlagen der Generalversammlung und des Rates einsehen. Das Institut stellt ihm alle Auskünfte und Unterlagen bereit, die es ihm ermöglichen, seine Aufträge zu erfüllen.</w:t>
      </w:r>
    </w:p>
    <w:p w14:paraId="4BB01345" w14:textId="77777777" w:rsidR="009A08A5" w:rsidRPr="004676F5" w:rsidRDefault="009A08A5" w:rsidP="009A08A5">
      <w:pPr>
        <w:ind w:firstLine="708"/>
        <w:jc w:val="both"/>
        <w:rPr>
          <w:lang w:val="de-DE"/>
        </w:rPr>
      </w:pPr>
    </w:p>
    <w:p w14:paraId="3CE02CF6" w14:textId="4EDDA213" w:rsidR="009A08A5" w:rsidRPr="004676F5" w:rsidRDefault="009A08A5" w:rsidP="009A08A5">
      <w:pPr>
        <w:ind w:firstLine="708"/>
        <w:jc w:val="both"/>
        <w:rPr>
          <w:lang w:val="de-DE"/>
        </w:rPr>
      </w:pPr>
      <w:r w:rsidRPr="004676F5">
        <w:rPr>
          <w:lang w:val="de-DE"/>
        </w:rPr>
        <w:t>§ 3 </w:t>
      </w:r>
      <w:r w:rsidR="005B7A5C" w:rsidRPr="004676F5">
        <w:rPr>
          <w:lang w:val="de-DE"/>
        </w:rPr>
        <w:t>- </w:t>
      </w:r>
      <w:r w:rsidRPr="004676F5">
        <w:rPr>
          <w:lang w:val="de-DE"/>
        </w:rPr>
        <w:t>Der Regierungskommissar verfügt über eine Frist von dreißig Werktagen, um beim Minister Beschwerde gegen die Ausführung eines Beschlusses der Generalversammlung oder des Rates einzulegen, der gegen ein Gesetz, einen Erlass oder eine Verordnung verstößt</w:t>
      </w:r>
      <w:r w:rsidR="00F2372E" w:rsidRPr="004676F5">
        <w:rPr>
          <w:lang w:val="de-DE"/>
        </w:rPr>
        <w:t>[, der die Zahlungsfähigkeit des Instituts gefährden kann oder der im Widerspruch zu dem gebilligten Haushalt des Instituts steht]</w:t>
      </w:r>
      <w:r w:rsidRPr="004676F5">
        <w:rPr>
          <w:lang w:val="de-DE"/>
        </w:rPr>
        <w:t>.</w:t>
      </w:r>
    </w:p>
    <w:p w14:paraId="7F29AC9C" w14:textId="77777777" w:rsidR="009A08A5" w:rsidRPr="004676F5" w:rsidRDefault="009A08A5" w:rsidP="009A08A5">
      <w:pPr>
        <w:ind w:firstLine="708"/>
        <w:jc w:val="both"/>
        <w:rPr>
          <w:lang w:val="de-DE"/>
        </w:rPr>
      </w:pPr>
    </w:p>
    <w:p w14:paraId="7CCFD54E" w14:textId="77777777" w:rsidR="009A08A5" w:rsidRPr="004676F5" w:rsidRDefault="009A08A5" w:rsidP="009A08A5">
      <w:pPr>
        <w:ind w:firstLine="708"/>
        <w:jc w:val="both"/>
        <w:rPr>
          <w:lang w:val="de-DE"/>
        </w:rPr>
      </w:pPr>
      <w:r w:rsidRPr="004676F5">
        <w:rPr>
          <w:lang w:val="de-DE"/>
        </w:rPr>
        <w:t>Diese Beschwerdefrist läuft ab dem Tag, an dem der Regierungskommissar von dem Beschlussprotokoll in Kenntnis gesetzt worden ist. Die Beschwerde hat aufschiebende Wirkung. Wenn der Minister innerhalb fünfzehn Werktagen nach Empfang der Beschwerde die Nichtigkeit nicht ausspricht, wird der Beschluss endgültig.</w:t>
      </w:r>
    </w:p>
    <w:p w14:paraId="4C36FC42" w14:textId="77777777" w:rsidR="009A08A5" w:rsidRPr="004676F5" w:rsidRDefault="009A08A5" w:rsidP="009A08A5">
      <w:pPr>
        <w:ind w:firstLine="708"/>
        <w:jc w:val="both"/>
        <w:rPr>
          <w:lang w:val="de-DE"/>
        </w:rPr>
      </w:pPr>
    </w:p>
    <w:p w14:paraId="7478519B" w14:textId="42DD121E" w:rsidR="009A08A5" w:rsidRPr="004676F5" w:rsidRDefault="009A08A5" w:rsidP="009A08A5">
      <w:pPr>
        <w:ind w:firstLine="708"/>
        <w:jc w:val="both"/>
        <w:rPr>
          <w:lang w:val="de-DE"/>
        </w:rPr>
      </w:pPr>
      <w:r w:rsidRPr="004676F5">
        <w:rPr>
          <w:lang w:val="de-DE"/>
        </w:rPr>
        <w:t>§ 4 </w:t>
      </w:r>
      <w:r w:rsidR="005B7A5C" w:rsidRPr="004676F5">
        <w:rPr>
          <w:lang w:val="de-DE"/>
        </w:rPr>
        <w:t>- </w:t>
      </w:r>
      <w:r w:rsidRPr="004676F5">
        <w:rPr>
          <w:lang w:val="de-DE"/>
        </w:rPr>
        <w:t>Interesse habende Mitglieder des Instituts verfügen über eine Frist von fünfzehn Werktagen, um beim Regierungskommissar per Einschreibesendung zu beantragen, dass die in § 3 erwähnte Beschwerde eingelegt wird. In der Einschreibesendung werden die Gründe für den Antrag dargelegt. Der Antrag ist für den Regierungskommissar in keiner Weise bindend.</w:t>
      </w:r>
    </w:p>
    <w:p w14:paraId="46DF9B26" w14:textId="77777777" w:rsidR="009A08A5" w:rsidRPr="004676F5" w:rsidRDefault="009A08A5" w:rsidP="009A08A5">
      <w:pPr>
        <w:ind w:firstLine="708"/>
        <w:jc w:val="both"/>
        <w:rPr>
          <w:lang w:val="de-DE"/>
        </w:rPr>
      </w:pPr>
    </w:p>
    <w:p w14:paraId="2F7727A8" w14:textId="2F386A4D" w:rsidR="009A08A5" w:rsidRPr="004676F5" w:rsidRDefault="0073667D" w:rsidP="009A08A5">
      <w:pPr>
        <w:jc w:val="both"/>
        <w:rPr>
          <w:lang w:val="de-DE"/>
        </w:rPr>
      </w:pPr>
      <w:r w:rsidRPr="004676F5">
        <w:rPr>
          <w:lang w:val="de-DE"/>
        </w:rPr>
        <w:tab/>
      </w:r>
      <w:r w:rsidR="009A08A5" w:rsidRPr="004676F5">
        <w:rPr>
          <w:lang w:val="de-DE"/>
        </w:rPr>
        <w:t>Die Frist für die Einreichung eines Antrags per Einschreibesendung beginnt entweder an dem Tag, an dem das Beschlussprotokoll veröffentlicht worden ist, oder an dem Tag, an dem das Interesse habende Mitglied von dem Beschlussprotokoll Kenntnis erlangt hat, wenn der Beschluss individuelle Tragweite hat, die das Interesse habende Mitglied betrifft.</w:t>
      </w:r>
      <w:r w:rsidRPr="004676F5">
        <w:rPr>
          <w:lang w:val="de-DE"/>
        </w:rPr>
        <w:t>]</w:t>
      </w:r>
    </w:p>
    <w:p w14:paraId="2252D58E" w14:textId="5ED76A4C" w:rsidR="0073667D" w:rsidRPr="004676F5" w:rsidRDefault="0073667D" w:rsidP="009A08A5">
      <w:pPr>
        <w:jc w:val="both"/>
        <w:rPr>
          <w:lang w:val="de-DE"/>
        </w:rPr>
      </w:pPr>
    </w:p>
    <w:p w14:paraId="64A6021B" w14:textId="12401ADC" w:rsidR="0073667D" w:rsidRPr="004676F5" w:rsidRDefault="0073667D" w:rsidP="0073667D">
      <w:pPr>
        <w:jc w:val="both"/>
        <w:rPr>
          <w:i/>
          <w:lang w:val="de-DE"/>
        </w:rPr>
      </w:pPr>
      <w:r w:rsidRPr="004676F5">
        <w:rPr>
          <w:i/>
          <w:lang w:val="de-DE"/>
        </w:rPr>
        <w:t>[Art. XI.75/10 eingefügt durch Art. 30</w:t>
      </w:r>
      <w:r w:rsidRPr="004676F5">
        <w:rPr>
          <w:i/>
          <w:iCs/>
          <w:lang w:val="de-DE"/>
        </w:rPr>
        <w:t xml:space="preserve"> des G. vom 8. Juli 2018 (B.S. vom 19. Juli 2018)</w:t>
      </w:r>
      <w:r w:rsidR="00F2372E" w:rsidRPr="004676F5">
        <w:rPr>
          <w:i/>
          <w:iCs/>
          <w:lang w:val="de-DE"/>
        </w:rPr>
        <w:t>; § 3 Abs. 1 abgeändert durch Art. 17 des G. vom 25. September 2022 (B.S. vom 24. Oktober 2022)</w:t>
      </w:r>
      <w:r w:rsidRPr="004676F5">
        <w:rPr>
          <w:i/>
          <w:iCs/>
          <w:lang w:val="de-DE"/>
        </w:rPr>
        <w:t>]</w:t>
      </w:r>
    </w:p>
    <w:p w14:paraId="0915CAEB" w14:textId="583EC073" w:rsidR="0073667D" w:rsidRPr="004676F5" w:rsidRDefault="0073667D" w:rsidP="009A08A5">
      <w:pPr>
        <w:jc w:val="both"/>
        <w:rPr>
          <w:iCs/>
          <w:lang w:val="de-DE"/>
        </w:rPr>
      </w:pPr>
    </w:p>
    <w:p w14:paraId="7A69EC17" w14:textId="4C933946" w:rsidR="0073667D" w:rsidRPr="004676F5" w:rsidRDefault="0073667D" w:rsidP="009A08A5">
      <w:pPr>
        <w:jc w:val="both"/>
        <w:rPr>
          <w:iCs/>
          <w:lang w:val="de-DE"/>
        </w:rPr>
      </w:pPr>
    </w:p>
    <w:p w14:paraId="47090347" w14:textId="28CD6E0A" w:rsidR="0073667D" w:rsidRPr="004676F5" w:rsidRDefault="0073667D" w:rsidP="0073667D">
      <w:pPr>
        <w:jc w:val="center"/>
        <w:rPr>
          <w:iCs/>
          <w:lang w:val="de-DE"/>
        </w:rPr>
      </w:pPr>
      <w:r w:rsidRPr="004676F5">
        <w:rPr>
          <w:iCs/>
          <w:lang w:val="de-DE"/>
        </w:rPr>
        <w:t>[</w:t>
      </w:r>
      <w:r w:rsidRPr="004676F5">
        <w:rPr>
          <w:i/>
          <w:lang w:val="de-DE"/>
        </w:rPr>
        <w:t>Abschnitt 6</w:t>
      </w:r>
      <w:r w:rsidRPr="004676F5">
        <w:rPr>
          <w:lang w:val="de-DE"/>
        </w:rPr>
        <w:t> </w:t>
      </w:r>
      <w:r w:rsidR="005B7A5C" w:rsidRPr="004676F5">
        <w:rPr>
          <w:lang w:val="de-DE"/>
        </w:rPr>
        <w:t>- </w:t>
      </w:r>
      <w:r w:rsidRPr="004676F5">
        <w:rPr>
          <w:lang w:val="de-DE"/>
        </w:rPr>
        <w:t>Aspekte in Zusammenhang mit der Mitgliedschaft beim Institut der Patentanwälte</w:t>
      </w:r>
      <w:r w:rsidR="00906D26" w:rsidRPr="004676F5">
        <w:rPr>
          <w:lang w:val="de-DE"/>
        </w:rPr>
        <w:t>]</w:t>
      </w:r>
    </w:p>
    <w:p w14:paraId="2D615576" w14:textId="2AA930E6" w:rsidR="009A08A5" w:rsidRPr="004676F5" w:rsidRDefault="009A08A5" w:rsidP="009A08A5">
      <w:pPr>
        <w:jc w:val="center"/>
        <w:rPr>
          <w:lang w:val="de-DE"/>
        </w:rPr>
      </w:pPr>
    </w:p>
    <w:p w14:paraId="706D4157" w14:textId="153C0D4E" w:rsidR="0073667D" w:rsidRPr="004676F5" w:rsidRDefault="0073667D" w:rsidP="0073667D">
      <w:pPr>
        <w:jc w:val="both"/>
        <w:rPr>
          <w:i/>
          <w:iCs/>
          <w:lang w:val="de-DE"/>
        </w:rPr>
      </w:pPr>
      <w:r w:rsidRPr="004676F5">
        <w:rPr>
          <w:i/>
          <w:lang w:val="de-DE"/>
        </w:rPr>
        <w:t>[Unterteilung Abschnitt 6 eingefügt durch Art. 31</w:t>
      </w:r>
      <w:r w:rsidRPr="004676F5">
        <w:rPr>
          <w:i/>
          <w:iCs/>
          <w:lang w:val="de-DE"/>
        </w:rPr>
        <w:t xml:space="preserve"> des G. vom 8. Juli 2018 (B.S. vom 19. Juli 2018)]</w:t>
      </w:r>
    </w:p>
    <w:p w14:paraId="3BD72282" w14:textId="47539F68" w:rsidR="0073667D" w:rsidRPr="004676F5" w:rsidRDefault="0073667D" w:rsidP="0073667D">
      <w:pPr>
        <w:jc w:val="both"/>
        <w:rPr>
          <w:i/>
          <w:iCs/>
          <w:lang w:val="de-DE"/>
        </w:rPr>
      </w:pPr>
    </w:p>
    <w:p w14:paraId="6E172BE0" w14:textId="09FB1B14" w:rsidR="0073667D" w:rsidRPr="004676F5" w:rsidRDefault="0073667D" w:rsidP="0073667D">
      <w:pPr>
        <w:jc w:val="both"/>
        <w:rPr>
          <w:i/>
          <w:iCs/>
          <w:lang w:val="de-DE"/>
        </w:rPr>
      </w:pPr>
    </w:p>
    <w:p w14:paraId="6444DF1A" w14:textId="199D57EF" w:rsidR="0073667D" w:rsidRPr="004676F5" w:rsidRDefault="0073667D" w:rsidP="0073667D">
      <w:pPr>
        <w:ind w:firstLine="708"/>
        <w:jc w:val="both"/>
        <w:rPr>
          <w:lang w:val="de-DE"/>
        </w:rPr>
      </w:pPr>
      <w:r w:rsidRPr="004676F5">
        <w:rPr>
          <w:iCs/>
          <w:lang w:val="de-DE"/>
        </w:rPr>
        <w:t>[</w:t>
      </w:r>
      <w:r w:rsidRPr="004676F5">
        <w:rPr>
          <w:b/>
          <w:lang w:val="de-DE"/>
        </w:rPr>
        <w:t>Art. XI.75/11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Mitglieder des Instituts der Patentanwälte müssen die Disziplinar</w:t>
      </w:r>
      <w:r w:rsidRPr="004676F5">
        <w:rPr>
          <w:lang w:val="de-DE"/>
        </w:rPr>
        <w:softHyphen/>
        <w:t>ordnung, die Verhaltensregeln, die Regelung über die Organisation der Weiterbildung und die Geschäftsordnung einhalten.</w:t>
      </w:r>
    </w:p>
    <w:p w14:paraId="1D608174" w14:textId="77777777" w:rsidR="00CC241C" w:rsidRPr="004676F5" w:rsidRDefault="00CC241C" w:rsidP="0073667D">
      <w:pPr>
        <w:ind w:firstLine="708"/>
        <w:jc w:val="both"/>
        <w:rPr>
          <w:lang w:val="de-DE"/>
        </w:rPr>
      </w:pPr>
    </w:p>
    <w:p w14:paraId="6931779B" w14:textId="77777777" w:rsidR="00CC241C" w:rsidRPr="004676F5" w:rsidRDefault="00CC241C" w:rsidP="00CC241C">
      <w:pPr>
        <w:ind w:firstLine="708"/>
        <w:jc w:val="both"/>
        <w:rPr>
          <w:lang w:val="de-DE"/>
        </w:rPr>
      </w:pPr>
      <w:r w:rsidRPr="004676F5">
        <w:rPr>
          <w:lang w:val="de-DE"/>
        </w:rPr>
        <w:t xml:space="preserve">[In Artikel XI.75/5 § 1 Absatz 2 erwähnte Mitglieder unterliegen nur den Regeln der in Absatz 1 erwähnten Ordnungen und Regelungen, die in Bezug auf andere Regeln als die in Artikel 7 § 2 des Gesetzes vom 12. Februar 2008 zur Einführung eines allgemeinen Rahmens </w:t>
      </w:r>
      <w:r w:rsidRPr="004676F5">
        <w:rPr>
          <w:lang w:val="de-DE"/>
        </w:rPr>
        <w:lastRenderedPageBreak/>
        <w:t>für die Anerkennung von EU-Berufsqualifikationen erwähnten Regeln Artikel 56 des Vertrags über die Arbeitsweise der Europäischen Union entsprechen.</w:t>
      </w:r>
    </w:p>
    <w:p w14:paraId="1AED0BD5" w14:textId="77777777" w:rsidR="00CC241C" w:rsidRPr="004676F5" w:rsidRDefault="00CC241C" w:rsidP="00CC241C">
      <w:pPr>
        <w:ind w:firstLine="708"/>
        <w:jc w:val="both"/>
        <w:rPr>
          <w:lang w:val="de-DE"/>
        </w:rPr>
      </w:pPr>
    </w:p>
    <w:p w14:paraId="0028EFEA" w14:textId="1511F78E" w:rsidR="00CC241C" w:rsidRPr="004676F5" w:rsidRDefault="00CC241C" w:rsidP="00CC241C">
      <w:pPr>
        <w:ind w:firstLine="708"/>
        <w:jc w:val="both"/>
        <w:rPr>
          <w:lang w:val="de-DE"/>
        </w:rPr>
      </w:pPr>
      <w:r w:rsidRPr="004676F5">
        <w:rPr>
          <w:lang w:val="de-DE"/>
        </w:rPr>
        <w:t>Der König kann festlegen, auf welche Weise bekannt gemacht wird, welche der Regeln der in Absatz 1 erwähnten Ordnungen und Regelungen auf die in Artikel XI.75/5 § 1 Absatz 2 erwähnten Mitglieder angewandt werden.]</w:t>
      </w:r>
    </w:p>
    <w:p w14:paraId="412FDA43" w14:textId="77777777" w:rsidR="0073667D" w:rsidRPr="004676F5" w:rsidRDefault="0073667D" w:rsidP="0073667D">
      <w:pPr>
        <w:ind w:firstLine="708"/>
        <w:jc w:val="both"/>
        <w:rPr>
          <w:lang w:val="de-DE"/>
        </w:rPr>
      </w:pPr>
    </w:p>
    <w:p w14:paraId="63D512CE" w14:textId="5EC6D6A0" w:rsidR="0073667D" w:rsidRPr="004676F5" w:rsidRDefault="0073667D" w:rsidP="0073667D">
      <w:pPr>
        <w:ind w:firstLine="708"/>
        <w:jc w:val="both"/>
        <w:rPr>
          <w:lang w:val="de-DE"/>
        </w:rPr>
      </w:pPr>
      <w:r w:rsidRPr="004676F5">
        <w:rPr>
          <w:lang w:val="de-DE"/>
        </w:rPr>
        <w:t>§ 2 </w:t>
      </w:r>
      <w:r w:rsidR="005B7A5C" w:rsidRPr="004676F5">
        <w:rPr>
          <w:lang w:val="de-DE"/>
        </w:rPr>
        <w:t>- </w:t>
      </w:r>
      <w:r w:rsidRPr="004676F5">
        <w:rPr>
          <w:lang w:val="de-DE"/>
        </w:rPr>
        <w:t>Mitglieder des Instituts müssen für die Haftung, die sich aus der Ausübung ihres Berufs als Patentanwalt ergeben kann, versichert sein.</w:t>
      </w:r>
    </w:p>
    <w:p w14:paraId="003F5A35" w14:textId="77777777" w:rsidR="0073667D" w:rsidRPr="004676F5" w:rsidRDefault="0073667D" w:rsidP="0073667D">
      <w:pPr>
        <w:ind w:firstLine="708"/>
        <w:jc w:val="both"/>
        <w:rPr>
          <w:lang w:val="de-DE"/>
        </w:rPr>
      </w:pPr>
    </w:p>
    <w:p w14:paraId="19744FEA" w14:textId="77777777" w:rsidR="0073667D" w:rsidRPr="004676F5" w:rsidRDefault="0073667D" w:rsidP="0073667D">
      <w:pPr>
        <w:ind w:firstLine="708"/>
        <w:jc w:val="both"/>
        <w:rPr>
          <w:lang w:val="de-DE"/>
        </w:rPr>
      </w:pPr>
      <w:r w:rsidRPr="004676F5">
        <w:rPr>
          <w:lang w:val="de-DE"/>
        </w:rPr>
        <w:t>Der König legt Modalitäten und Bedingungen dieser Versicherung fest und bestimmt mindestens:</w:t>
      </w:r>
    </w:p>
    <w:p w14:paraId="1E2A8161" w14:textId="77777777" w:rsidR="0073667D" w:rsidRPr="004676F5" w:rsidRDefault="0073667D" w:rsidP="0073667D">
      <w:pPr>
        <w:ind w:firstLine="708"/>
        <w:jc w:val="both"/>
        <w:rPr>
          <w:lang w:val="de-DE"/>
        </w:rPr>
      </w:pPr>
    </w:p>
    <w:p w14:paraId="5FB21F03" w14:textId="77777777" w:rsidR="0073667D" w:rsidRPr="004676F5" w:rsidRDefault="0073667D" w:rsidP="0073667D">
      <w:pPr>
        <w:ind w:firstLine="708"/>
        <w:jc w:val="both"/>
        <w:rPr>
          <w:lang w:val="de-DE"/>
        </w:rPr>
      </w:pPr>
      <w:r w:rsidRPr="004676F5">
        <w:rPr>
          <w:lang w:val="de-DE"/>
        </w:rPr>
        <w:t>1. Mindestversicherungssumme,</w:t>
      </w:r>
    </w:p>
    <w:p w14:paraId="4F5CB205" w14:textId="77777777" w:rsidR="0073667D" w:rsidRPr="004676F5" w:rsidRDefault="0073667D" w:rsidP="0073667D">
      <w:pPr>
        <w:ind w:firstLine="708"/>
        <w:jc w:val="both"/>
        <w:rPr>
          <w:lang w:val="de-DE"/>
        </w:rPr>
      </w:pPr>
    </w:p>
    <w:p w14:paraId="3226544A" w14:textId="77777777" w:rsidR="0073667D" w:rsidRPr="004676F5" w:rsidRDefault="0073667D" w:rsidP="0073667D">
      <w:pPr>
        <w:ind w:firstLine="708"/>
        <w:jc w:val="both"/>
        <w:rPr>
          <w:lang w:val="de-DE"/>
        </w:rPr>
      </w:pPr>
      <w:r w:rsidRPr="004676F5">
        <w:rPr>
          <w:lang w:val="de-DE"/>
        </w:rPr>
        <w:t>2. Garantielaufzeit,</w:t>
      </w:r>
    </w:p>
    <w:p w14:paraId="037C78FF" w14:textId="77777777" w:rsidR="0073667D" w:rsidRPr="004676F5" w:rsidRDefault="0073667D" w:rsidP="0073667D">
      <w:pPr>
        <w:ind w:firstLine="708"/>
        <w:jc w:val="both"/>
        <w:rPr>
          <w:lang w:val="de-DE"/>
        </w:rPr>
      </w:pPr>
    </w:p>
    <w:p w14:paraId="593A8782" w14:textId="77777777" w:rsidR="0073667D" w:rsidRPr="004676F5" w:rsidRDefault="0073667D" w:rsidP="0073667D">
      <w:pPr>
        <w:ind w:firstLine="708"/>
        <w:jc w:val="both"/>
        <w:rPr>
          <w:lang w:val="de-DE"/>
        </w:rPr>
      </w:pPr>
      <w:r w:rsidRPr="004676F5">
        <w:rPr>
          <w:lang w:val="de-DE"/>
        </w:rPr>
        <w:t>3. abzudeckende Risiken.</w:t>
      </w:r>
    </w:p>
    <w:p w14:paraId="356D5AE6" w14:textId="77777777" w:rsidR="0073667D" w:rsidRPr="004676F5" w:rsidRDefault="0073667D" w:rsidP="0073667D">
      <w:pPr>
        <w:ind w:firstLine="708"/>
        <w:jc w:val="both"/>
        <w:rPr>
          <w:lang w:val="de-DE"/>
        </w:rPr>
      </w:pPr>
    </w:p>
    <w:p w14:paraId="3F44E6C5" w14:textId="1DC8A1CC" w:rsidR="0073667D" w:rsidRPr="004676F5" w:rsidRDefault="0073667D" w:rsidP="0073667D">
      <w:pPr>
        <w:ind w:firstLine="708"/>
        <w:jc w:val="both"/>
        <w:rPr>
          <w:lang w:val="de-DE"/>
        </w:rPr>
      </w:pPr>
      <w:r w:rsidRPr="004676F5">
        <w:rPr>
          <w:lang w:val="de-DE"/>
        </w:rPr>
        <w:t>Bei der Festlegung der Modalitäten und Bedingungen der Versicherung berücksichtigt der König eine angemessene Deckung des Risikos, das der Empfänger der vom Mitglied des Instituts in seiner Eigenschaft als Patentanwalt erbrachten Dienstleistungen läuft.]</w:t>
      </w:r>
    </w:p>
    <w:p w14:paraId="34F3C73B" w14:textId="072EFE26" w:rsidR="0073667D" w:rsidRPr="004676F5" w:rsidRDefault="0073667D" w:rsidP="0073667D">
      <w:pPr>
        <w:ind w:firstLine="708"/>
        <w:jc w:val="both"/>
        <w:rPr>
          <w:lang w:val="de-DE"/>
        </w:rPr>
      </w:pPr>
    </w:p>
    <w:p w14:paraId="1E2C5C3A" w14:textId="250E029A" w:rsidR="0073667D" w:rsidRPr="004676F5" w:rsidRDefault="0073667D" w:rsidP="0073667D">
      <w:pPr>
        <w:jc w:val="both"/>
        <w:rPr>
          <w:i/>
          <w:lang w:val="de-DE"/>
        </w:rPr>
      </w:pPr>
      <w:r w:rsidRPr="004676F5">
        <w:rPr>
          <w:i/>
          <w:lang w:val="de-DE"/>
        </w:rPr>
        <w:t>[Art. XI.75/11 eingefügt durch Art. 32</w:t>
      </w:r>
      <w:r w:rsidRPr="004676F5">
        <w:rPr>
          <w:i/>
          <w:iCs/>
          <w:lang w:val="de-DE"/>
        </w:rPr>
        <w:t xml:space="preserve"> des G. vom 8. Juli 2018 (B.S. vom 19. Juli 2018)</w:t>
      </w:r>
      <w:r w:rsidR="00CC241C" w:rsidRPr="004676F5">
        <w:rPr>
          <w:i/>
          <w:iCs/>
          <w:lang w:val="de-DE"/>
        </w:rPr>
        <w:t>; § 1 Abs. 2 und 3 eingefügt durch Art. 8 des G. vom 29. August 2021 (B.S. vom 27. September 2021)</w:t>
      </w:r>
      <w:r w:rsidRPr="004676F5">
        <w:rPr>
          <w:i/>
          <w:iCs/>
          <w:lang w:val="de-DE"/>
        </w:rPr>
        <w:t>]</w:t>
      </w:r>
    </w:p>
    <w:p w14:paraId="30D8B7DF" w14:textId="77777777" w:rsidR="0073667D" w:rsidRPr="004676F5" w:rsidRDefault="0073667D" w:rsidP="0073667D">
      <w:pPr>
        <w:ind w:firstLine="708"/>
        <w:jc w:val="both"/>
        <w:rPr>
          <w:lang w:val="de-DE"/>
        </w:rPr>
      </w:pPr>
    </w:p>
    <w:p w14:paraId="5155FCC4" w14:textId="77777777" w:rsidR="0073667D" w:rsidRPr="004676F5" w:rsidRDefault="0073667D" w:rsidP="0073667D">
      <w:pPr>
        <w:ind w:firstLine="708"/>
        <w:jc w:val="both"/>
        <w:rPr>
          <w:lang w:val="de-DE"/>
        </w:rPr>
      </w:pPr>
    </w:p>
    <w:p w14:paraId="09D22EFE" w14:textId="3696AF7D" w:rsidR="0073667D" w:rsidRPr="004676F5" w:rsidRDefault="0073667D" w:rsidP="0073667D">
      <w:pPr>
        <w:ind w:firstLine="708"/>
        <w:jc w:val="both"/>
        <w:rPr>
          <w:lang w:val="de-DE"/>
        </w:rPr>
      </w:pPr>
      <w:r w:rsidRPr="004676F5">
        <w:rPr>
          <w:lang w:val="de-DE"/>
        </w:rPr>
        <w:t>[</w:t>
      </w:r>
      <w:r w:rsidRPr="004676F5">
        <w:rPr>
          <w:b/>
          <w:lang w:val="de-DE"/>
        </w:rPr>
        <w:t>Art. XI.75/12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Mitglieder des Instituts der Patentanwälte führen bei der Ausübung ihres Berufs die Berufsbezeichnung "Patentanwalt", "mandataire en brevets" oder "octrooigemachtigde".</w:t>
      </w:r>
    </w:p>
    <w:p w14:paraId="5F6185E3" w14:textId="77777777" w:rsidR="0073667D" w:rsidRPr="004676F5" w:rsidRDefault="0073667D" w:rsidP="0073667D">
      <w:pPr>
        <w:ind w:firstLine="708"/>
        <w:jc w:val="both"/>
        <w:rPr>
          <w:lang w:val="de-DE"/>
        </w:rPr>
      </w:pPr>
    </w:p>
    <w:p w14:paraId="3B5A3779" w14:textId="77777777" w:rsidR="0073667D" w:rsidRPr="004676F5" w:rsidRDefault="0073667D" w:rsidP="0073667D">
      <w:pPr>
        <w:ind w:firstLine="708"/>
        <w:jc w:val="both"/>
        <w:rPr>
          <w:lang w:val="de-DE"/>
        </w:rPr>
      </w:pPr>
      <w:r w:rsidRPr="004676F5">
        <w:rPr>
          <w:lang w:val="de-DE"/>
        </w:rPr>
        <w:t>In Abweichung von Absatz 1 erbringt ein in Artikel XI.75/5 § 1 Absatz 2 erwähntes Mitglied seine Dienstleistungen unter der Berufsbezeichnung des Niederlassungsmitgliedstaats in einer Amtssprache dieses Mitgliedstaats, der eine Angabe des Niederlassungsmitgliedstaats vorangestellt oder nachgestellt ist. Wenn es diese Berufsbezeichnung im Niederlassungs</w:t>
      </w:r>
      <w:r w:rsidRPr="004676F5">
        <w:rPr>
          <w:lang w:val="de-DE"/>
        </w:rPr>
        <w:softHyphen/>
        <w:t>mitgliedstaat nicht gibt, führt das Mitglied seinen Ausbildungsnachweis in einer Amtssprache dieses Mitgliedstaats an.</w:t>
      </w:r>
    </w:p>
    <w:p w14:paraId="0F0EE6EA" w14:textId="77777777" w:rsidR="0073667D" w:rsidRPr="004676F5" w:rsidRDefault="0073667D" w:rsidP="0073667D">
      <w:pPr>
        <w:ind w:firstLine="708"/>
        <w:jc w:val="both"/>
        <w:rPr>
          <w:lang w:val="de-DE"/>
        </w:rPr>
      </w:pPr>
    </w:p>
    <w:p w14:paraId="49BD5D33" w14:textId="536662F4" w:rsidR="0073667D" w:rsidRPr="004676F5" w:rsidRDefault="0073667D" w:rsidP="0073667D">
      <w:pPr>
        <w:ind w:firstLine="708"/>
        <w:jc w:val="both"/>
        <w:rPr>
          <w:lang w:val="de-DE"/>
        </w:rPr>
      </w:pPr>
      <w:r w:rsidRPr="004676F5">
        <w:rPr>
          <w:lang w:val="de-DE"/>
        </w:rPr>
        <w:t>§ 2 </w:t>
      </w:r>
      <w:r w:rsidR="005B7A5C" w:rsidRPr="004676F5">
        <w:rPr>
          <w:lang w:val="de-DE"/>
        </w:rPr>
        <w:t>- </w:t>
      </w:r>
      <w:r w:rsidRPr="004676F5">
        <w:rPr>
          <w:lang w:val="de-DE"/>
        </w:rPr>
        <w:t>Niemand darf einen der folgenden Titel führen, ohne Mitglied des Instituts zu sein:</w:t>
      </w:r>
    </w:p>
    <w:p w14:paraId="00AD3E3B" w14:textId="77777777" w:rsidR="0073667D" w:rsidRPr="004676F5" w:rsidRDefault="0073667D" w:rsidP="0073667D">
      <w:pPr>
        <w:ind w:firstLine="708"/>
        <w:jc w:val="both"/>
        <w:rPr>
          <w:lang w:val="de-DE"/>
        </w:rPr>
      </w:pPr>
    </w:p>
    <w:p w14:paraId="1139029A" w14:textId="77777777" w:rsidR="0073667D" w:rsidRPr="004676F5" w:rsidRDefault="0073667D" w:rsidP="0073667D">
      <w:pPr>
        <w:ind w:firstLine="708"/>
        <w:jc w:val="both"/>
        <w:rPr>
          <w:lang w:val="de-DE"/>
        </w:rPr>
      </w:pPr>
      <w:r w:rsidRPr="004676F5">
        <w:rPr>
          <w:lang w:val="de-DE"/>
        </w:rPr>
        <w:t>1. die Berufsbezeichnung "Patentanwalt", "mandataire en brevets" oder "octrooi</w:t>
      </w:r>
      <w:r w:rsidRPr="004676F5">
        <w:rPr>
          <w:lang w:val="de-DE"/>
        </w:rPr>
        <w:softHyphen/>
        <w:t>gemachtigde",</w:t>
      </w:r>
    </w:p>
    <w:p w14:paraId="53258505" w14:textId="77777777" w:rsidR="0073667D" w:rsidRPr="004676F5" w:rsidRDefault="0073667D" w:rsidP="0073667D">
      <w:pPr>
        <w:ind w:firstLine="708"/>
        <w:jc w:val="both"/>
        <w:rPr>
          <w:lang w:val="de-DE"/>
        </w:rPr>
      </w:pPr>
    </w:p>
    <w:p w14:paraId="616CE333" w14:textId="77777777" w:rsidR="0073667D" w:rsidRPr="004676F5" w:rsidRDefault="0073667D" w:rsidP="0073667D">
      <w:pPr>
        <w:ind w:firstLine="708"/>
        <w:jc w:val="both"/>
        <w:rPr>
          <w:lang w:val="de-DE"/>
        </w:rPr>
      </w:pPr>
      <w:r w:rsidRPr="004676F5">
        <w:rPr>
          <w:lang w:val="de-DE"/>
        </w:rPr>
        <w:t>2. eine andere Bezeichnung, die den Eindruck erwecken kann, dass man den Beruf des Patentanwalts ausübt.</w:t>
      </w:r>
    </w:p>
    <w:p w14:paraId="2954FD89" w14:textId="77777777" w:rsidR="0073667D" w:rsidRPr="004676F5" w:rsidRDefault="0073667D" w:rsidP="0073667D">
      <w:pPr>
        <w:ind w:firstLine="708"/>
        <w:jc w:val="both"/>
        <w:rPr>
          <w:lang w:val="de-DE"/>
        </w:rPr>
      </w:pPr>
    </w:p>
    <w:p w14:paraId="61D9FF1B" w14:textId="77777777" w:rsidR="00A82659" w:rsidRPr="004676F5" w:rsidRDefault="00A82659">
      <w:pPr>
        <w:rPr>
          <w:lang w:val="de-DE"/>
        </w:rPr>
      </w:pPr>
      <w:r w:rsidRPr="004676F5">
        <w:rPr>
          <w:lang w:val="de-DE"/>
        </w:rPr>
        <w:br w:type="page"/>
      </w:r>
    </w:p>
    <w:p w14:paraId="3C8F3AB9" w14:textId="1CE03EE8" w:rsidR="0073667D" w:rsidRPr="004676F5" w:rsidRDefault="0073667D" w:rsidP="0073667D">
      <w:pPr>
        <w:ind w:firstLine="708"/>
        <w:jc w:val="both"/>
        <w:rPr>
          <w:lang w:val="de-DE"/>
        </w:rPr>
      </w:pPr>
      <w:r w:rsidRPr="004676F5">
        <w:rPr>
          <w:lang w:val="de-DE"/>
        </w:rPr>
        <w:lastRenderedPageBreak/>
        <w:t>Unbeschadet des Absatzes 1 sind Personen, die in der Liste der zugelassenen Vertreter nach Artikel 134 des Europäischen Patentübereinkommens eingetragen sind, berechtigt, die Berufsbezeichnung zu führen, die mit der Ausübung ihres Berufs als Vertreter für europäische Patente verbunden ist.]</w:t>
      </w:r>
    </w:p>
    <w:p w14:paraId="201C26BC" w14:textId="7306CA51" w:rsidR="0073667D" w:rsidRPr="004676F5" w:rsidRDefault="0073667D" w:rsidP="0073667D">
      <w:pPr>
        <w:ind w:firstLine="708"/>
        <w:jc w:val="both"/>
        <w:rPr>
          <w:lang w:val="de-DE"/>
        </w:rPr>
      </w:pPr>
    </w:p>
    <w:p w14:paraId="70D72741" w14:textId="3E566A8F" w:rsidR="0073667D" w:rsidRPr="004676F5" w:rsidRDefault="0073667D" w:rsidP="0073667D">
      <w:pPr>
        <w:jc w:val="both"/>
        <w:rPr>
          <w:i/>
          <w:lang w:val="de-DE"/>
        </w:rPr>
      </w:pPr>
      <w:r w:rsidRPr="004676F5">
        <w:rPr>
          <w:i/>
          <w:lang w:val="de-DE"/>
        </w:rPr>
        <w:t>[Art. XI.75/12 eingefügt durch Art. 33</w:t>
      </w:r>
      <w:r w:rsidRPr="004676F5">
        <w:rPr>
          <w:i/>
          <w:iCs/>
          <w:lang w:val="de-DE"/>
        </w:rPr>
        <w:t xml:space="preserve"> des G. vom 8. Juli 2018 (B.S. vom 19. Juli 2018)]</w:t>
      </w:r>
    </w:p>
    <w:p w14:paraId="668C8554" w14:textId="77777777" w:rsidR="0073667D" w:rsidRPr="004676F5" w:rsidRDefault="0073667D" w:rsidP="0073667D">
      <w:pPr>
        <w:ind w:firstLine="708"/>
        <w:jc w:val="both"/>
        <w:rPr>
          <w:lang w:val="de-DE"/>
        </w:rPr>
      </w:pPr>
    </w:p>
    <w:p w14:paraId="5DCCAFC2" w14:textId="77777777" w:rsidR="0073667D" w:rsidRPr="004676F5" w:rsidRDefault="0073667D" w:rsidP="0073667D">
      <w:pPr>
        <w:ind w:firstLine="708"/>
        <w:jc w:val="both"/>
        <w:rPr>
          <w:lang w:val="de-DE"/>
        </w:rPr>
      </w:pPr>
    </w:p>
    <w:p w14:paraId="06272F44" w14:textId="2C9F2E5A" w:rsidR="0073667D" w:rsidRPr="004676F5" w:rsidRDefault="0073667D" w:rsidP="0073667D">
      <w:pPr>
        <w:ind w:firstLine="708"/>
        <w:jc w:val="both"/>
        <w:rPr>
          <w:lang w:val="de-DE"/>
        </w:rPr>
      </w:pPr>
      <w:r w:rsidRPr="004676F5">
        <w:rPr>
          <w:lang w:val="de-DE"/>
        </w:rPr>
        <w:t>[</w:t>
      </w:r>
      <w:r w:rsidRPr="004676F5">
        <w:rPr>
          <w:b/>
          <w:lang w:val="de-DE"/>
        </w:rPr>
        <w:t>Art. XI.75/13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Wird ein Mitglied des Instituts der Patentanwälte in seiner Eigenschaft als Patentanwalt konsultiert, so darf niemand Mitteilungen, die in diesem Zusammenhang zwischen diesem Patentanwalt und seinem Klienten ausgetauscht wurden oder ausgetauscht werden sollen, im Rahmen von Gerichts</w:t>
      </w:r>
      <w:r w:rsidR="005B7A5C" w:rsidRPr="004676F5">
        <w:rPr>
          <w:lang w:val="de-DE"/>
        </w:rPr>
        <w:t>- </w:t>
      </w:r>
      <w:r w:rsidRPr="004676F5">
        <w:rPr>
          <w:lang w:val="de-DE"/>
        </w:rPr>
        <w:t>oder Verwaltungsverfahren offenlegen beziehungsweise darf niemand zu einer solchen Offenlegung gezwungen werden, es sei denn, der Klient hat ausdrücklich auf dieses Recht verzichtet.</w:t>
      </w:r>
    </w:p>
    <w:p w14:paraId="284CF0E3" w14:textId="77777777" w:rsidR="0073667D" w:rsidRPr="004676F5" w:rsidRDefault="0073667D" w:rsidP="0073667D">
      <w:pPr>
        <w:ind w:firstLine="708"/>
        <w:jc w:val="both"/>
        <w:rPr>
          <w:lang w:val="de-DE"/>
        </w:rPr>
      </w:pPr>
    </w:p>
    <w:p w14:paraId="2AC1FC3F" w14:textId="77777777" w:rsidR="0073667D" w:rsidRPr="004676F5" w:rsidRDefault="0073667D" w:rsidP="0073667D">
      <w:pPr>
        <w:ind w:firstLine="708"/>
        <w:jc w:val="both"/>
        <w:rPr>
          <w:lang w:val="de-DE"/>
        </w:rPr>
      </w:pPr>
      <w:r w:rsidRPr="004676F5">
        <w:rPr>
          <w:lang w:val="de-DE"/>
        </w:rPr>
        <w:t>Absatz 1 gilt nur für Mitglieder des Instituts, vorbehaltlich der Bestimmungen internationaler Verträge.</w:t>
      </w:r>
    </w:p>
    <w:p w14:paraId="6EF6D72C" w14:textId="77777777" w:rsidR="0073667D" w:rsidRPr="004676F5" w:rsidRDefault="0073667D" w:rsidP="0073667D">
      <w:pPr>
        <w:ind w:firstLine="708"/>
        <w:jc w:val="both"/>
        <w:rPr>
          <w:lang w:val="de-DE"/>
        </w:rPr>
      </w:pPr>
    </w:p>
    <w:p w14:paraId="0EA9AE78" w14:textId="3B8D3F45" w:rsidR="0073667D" w:rsidRPr="004676F5" w:rsidRDefault="0073667D" w:rsidP="0073667D">
      <w:pPr>
        <w:ind w:firstLine="708"/>
        <w:jc w:val="both"/>
        <w:rPr>
          <w:lang w:val="de-DE"/>
        </w:rPr>
      </w:pPr>
      <w:r w:rsidRPr="004676F5">
        <w:rPr>
          <w:lang w:val="de-DE"/>
        </w:rPr>
        <w:t>§ 2 </w:t>
      </w:r>
      <w:r w:rsidR="005B7A5C" w:rsidRPr="004676F5">
        <w:rPr>
          <w:lang w:val="de-DE"/>
        </w:rPr>
        <w:t>- </w:t>
      </w:r>
      <w:r w:rsidRPr="004676F5">
        <w:rPr>
          <w:lang w:val="de-DE"/>
        </w:rPr>
        <w:t>Die in § 1 erwähnten Mitteilungen betreffen insbesondere jegliche Mitteilungen in Bezug auf:</w:t>
      </w:r>
    </w:p>
    <w:p w14:paraId="1E96F242" w14:textId="77777777" w:rsidR="0073667D" w:rsidRPr="004676F5" w:rsidRDefault="0073667D" w:rsidP="0073667D">
      <w:pPr>
        <w:ind w:firstLine="708"/>
        <w:jc w:val="both"/>
        <w:rPr>
          <w:lang w:val="de-DE"/>
        </w:rPr>
      </w:pPr>
    </w:p>
    <w:p w14:paraId="1FD89E74" w14:textId="77777777" w:rsidR="0073667D" w:rsidRPr="004676F5" w:rsidRDefault="0073667D" w:rsidP="0073667D">
      <w:pPr>
        <w:ind w:firstLine="708"/>
        <w:jc w:val="both"/>
        <w:rPr>
          <w:lang w:val="de-DE"/>
        </w:rPr>
      </w:pPr>
      <w:r w:rsidRPr="004676F5">
        <w:rPr>
          <w:lang w:val="de-DE"/>
        </w:rPr>
        <w:t>1. die Beurteilung der Patentierbarkeit einer Erfindung oder der Zweckmäßigkeit einer Patentanmeldung,</w:t>
      </w:r>
    </w:p>
    <w:p w14:paraId="54437EC3" w14:textId="77777777" w:rsidR="0073667D" w:rsidRPr="004676F5" w:rsidRDefault="0073667D" w:rsidP="0073667D">
      <w:pPr>
        <w:ind w:firstLine="708"/>
        <w:jc w:val="both"/>
        <w:rPr>
          <w:lang w:val="de-DE"/>
        </w:rPr>
      </w:pPr>
    </w:p>
    <w:p w14:paraId="3C62E8A4" w14:textId="77777777" w:rsidR="0073667D" w:rsidRPr="004676F5" w:rsidRDefault="0073667D" w:rsidP="0073667D">
      <w:pPr>
        <w:ind w:firstLine="708"/>
        <w:jc w:val="both"/>
        <w:rPr>
          <w:lang w:val="de-DE"/>
        </w:rPr>
      </w:pPr>
      <w:r w:rsidRPr="004676F5">
        <w:rPr>
          <w:lang w:val="de-DE"/>
        </w:rPr>
        <w:t>2. die Vorbereitung einer belgischen Patentanmeldung oder einer internationalen Anmeldung, in der Belgien als Bestimmungsstaat benannt ist, oder das diesbezügliche Verfahren,</w:t>
      </w:r>
    </w:p>
    <w:p w14:paraId="3983A156" w14:textId="77777777" w:rsidR="0073667D" w:rsidRPr="004676F5" w:rsidRDefault="0073667D" w:rsidP="0073667D">
      <w:pPr>
        <w:ind w:firstLine="708"/>
        <w:jc w:val="both"/>
        <w:rPr>
          <w:lang w:val="de-DE"/>
        </w:rPr>
      </w:pPr>
    </w:p>
    <w:p w14:paraId="09D13E35" w14:textId="77777777" w:rsidR="0073667D" w:rsidRPr="004676F5" w:rsidRDefault="0073667D" w:rsidP="0073667D">
      <w:pPr>
        <w:ind w:firstLine="708"/>
        <w:jc w:val="both"/>
        <w:rPr>
          <w:lang w:val="de-DE"/>
        </w:rPr>
      </w:pPr>
      <w:r w:rsidRPr="004676F5">
        <w:rPr>
          <w:lang w:val="de-DE"/>
        </w:rPr>
        <w:t>3. Gutachten über die Gültigkeit, den Schutzumfang oder die Verletzung des Gegenstands eines belgischen Patents oder einer belgischen Patentanmeldung.</w:t>
      </w:r>
    </w:p>
    <w:p w14:paraId="3B4C2230" w14:textId="77777777" w:rsidR="0073667D" w:rsidRPr="004676F5" w:rsidRDefault="0073667D" w:rsidP="0073667D">
      <w:pPr>
        <w:ind w:firstLine="708"/>
        <w:jc w:val="both"/>
        <w:rPr>
          <w:lang w:val="de-DE"/>
        </w:rPr>
      </w:pPr>
    </w:p>
    <w:p w14:paraId="72C86859" w14:textId="6F0B729B" w:rsidR="0073667D" w:rsidRPr="004676F5" w:rsidRDefault="0073667D" w:rsidP="0073667D">
      <w:pPr>
        <w:ind w:firstLine="708"/>
        <w:jc w:val="both"/>
        <w:rPr>
          <w:lang w:val="de-DE"/>
        </w:rPr>
      </w:pPr>
      <w:r w:rsidRPr="004676F5">
        <w:rPr>
          <w:lang w:val="de-DE"/>
        </w:rPr>
        <w:t>§ 3 </w:t>
      </w:r>
      <w:r w:rsidR="005B7A5C" w:rsidRPr="004676F5">
        <w:rPr>
          <w:lang w:val="de-DE"/>
        </w:rPr>
        <w:t>- </w:t>
      </w:r>
      <w:r w:rsidRPr="004676F5">
        <w:rPr>
          <w:lang w:val="de-DE"/>
        </w:rPr>
        <w:t>Artikel 458 des Strafgesetzbuches findet Anwendung auf Mitglieder des Instituts und ihre Beauftragten.</w:t>
      </w:r>
    </w:p>
    <w:p w14:paraId="0D58012A" w14:textId="77777777" w:rsidR="0073667D" w:rsidRPr="004676F5" w:rsidRDefault="0073667D" w:rsidP="0073667D">
      <w:pPr>
        <w:ind w:firstLine="708"/>
        <w:jc w:val="both"/>
        <w:rPr>
          <w:lang w:val="de-DE"/>
        </w:rPr>
      </w:pPr>
    </w:p>
    <w:p w14:paraId="014A748F" w14:textId="03AB2ABA" w:rsidR="0073667D" w:rsidRPr="004676F5" w:rsidRDefault="0073667D" w:rsidP="0073667D">
      <w:pPr>
        <w:jc w:val="both"/>
        <w:rPr>
          <w:lang w:val="de-DE"/>
        </w:rPr>
      </w:pPr>
      <w:r w:rsidRPr="004676F5">
        <w:rPr>
          <w:lang w:val="de-DE"/>
        </w:rPr>
        <w:tab/>
        <w:t>Verstöße gegen das in § 1 erwähnte Verbot werden mit den in Artikel 458 des Strafgesetzbuches festgelegten Strafen geahndet.]</w:t>
      </w:r>
    </w:p>
    <w:p w14:paraId="5892C53C" w14:textId="11A57A52" w:rsidR="0073667D" w:rsidRPr="004676F5" w:rsidRDefault="0073667D" w:rsidP="0073667D">
      <w:pPr>
        <w:jc w:val="both"/>
        <w:rPr>
          <w:lang w:val="de-DE"/>
        </w:rPr>
      </w:pPr>
    </w:p>
    <w:p w14:paraId="76BF79B4" w14:textId="6BADA482" w:rsidR="0073667D" w:rsidRPr="004676F5" w:rsidRDefault="0073667D" w:rsidP="0073667D">
      <w:pPr>
        <w:jc w:val="both"/>
        <w:rPr>
          <w:i/>
          <w:lang w:val="de-DE"/>
        </w:rPr>
      </w:pPr>
      <w:r w:rsidRPr="004676F5">
        <w:rPr>
          <w:i/>
          <w:lang w:val="de-DE"/>
        </w:rPr>
        <w:t>[Art. XI.75/13 eingefügt durch Art. 34</w:t>
      </w:r>
      <w:r w:rsidRPr="004676F5">
        <w:rPr>
          <w:i/>
          <w:iCs/>
          <w:lang w:val="de-DE"/>
        </w:rPr>
        <w:t xml:space="preserve"> des G. vom 8. Juli 2018 (B.S. vom 19. Juli 2018)]</w:t>
      </w:r>
    </w:p>
    <w:p w14:paraId="1452685E" w14:textId="77777777" w:rsidR="0073667D" w:rsidRPr="004676F5" w:rsidRDefault="0073667D" w:rsidP="0073667D">
      <w:pPr>
        <w:jc w:val="both"/>
        <w:rPr>
          <w:iCs/>
          <w:lang w:val="de-DE"/>
        </w:rPr>
      </w:pPr>
    </w:p>
    <w:p w14:paraId="37C5A55F" w14:textId="6EFFBEBA" w:rsidR="0073667D" w:rsidRPr="004676F5" w:rsidRDefault="0073667D" w:rsidP="0073667D">
      <w:pPr>
        <w:jc w:val="center"/>
        <w:rPr>
          <w:lang w:val="de-DE"/>
        </w:rPr>
      </w:pPr>
    </w:p>
    <w:p w14:paraId="73201C46" w14:textId="15290AB1" w:rsidR="00CE5A09" w:rsidRPr="004676F5" w:rsidRDefault="00CE5A09">
      <w:pPr>
        <w:rPr>
          <w:lang w:val="de-DE"/>
        </w:rPr>
      </w:pPr>
      <w:r w:rsidRPr="004676F5">
        <w:rPr>
          <w:lang w:val="de-DE"/>
        </w:rPr>
        <w:br w:type="page"/>
      </w:r>
    </w:p>
    <w:p w14:paraId="31E99182" w14:textId="0590EF6E" w:rsidR="001527B1" w:rsidRPr="004676F5" w:rsidRDefault="001527B1" w:rsidP="00CE5A09">
      <w:pPr>
        <w:jc w:val="center"/>
        <w:rPr>
          <w:i/>
          <w:lang w:val="de-DE"/>
        </w:rPr>
      </w:pPr>
      <w:r w:rsidRPr="004676F5">
        <w:rPr>
          <w:lang w:val="de-DE"/>
        </w:rPr>
        <w:lastRenderedPageBreak/>
        <w:t>KAPITEL 4 </w:t>
      </w:r>
      <w:r w:rsidR="005B7A5C" w:rsidRPr="004676F5">
        <w:rPr>
          <w:lang w:val="de-DE"/>
        </w:rPr>
        <w:t>- </w:t>
      </w:r>
      <w:r w:rsidRPr="004676F5">
        <w:rPr>
          <w:i/>
          <w:lang w:val="de-DE"/>
        </w:rPr>
        <w:t>Verschiedene Bestimmungen</w:t>
      </w:r>
    </w:p>
    <w:p w14:paraId="687FE73D" w14:textId="77777777" w:rsidR="001527B1" w:rsidRPr="004676F5" w:rsidRDefault="001527B1" w:rsidP="001527B1">
      <w:pPr>
        <w:ind w:firstLine="708"/>
        <w:jc w:val="both"/>
        <w:rPr>
          <w:lang w:val="de-DE"/>
        </w:rPr>
      </w:pPr>
    </w:p>
    <w:p w14:paraId="0DD70626" w14:textId="77777777" w:rsidR="00CE5A09" w:rsidRPr="004676F5" w:rsidRDefault="00CE5A09" w:rsidP="001527B1">
      <w:pPr>
        <w:ind w:firstLine="708"/>
        <w:jc w:val="both"/>
        <w:rPr>
          <w:lang w:val="de-DE"/>
        </w:rPr>
      </w:pPr>
    </w:p>
    <w:p w14:paraId="0D13A45E" w14:textId="5A7248CE" w:rsidR="001527B1" w:rsidRPr="004676F5" w:rsidRDefault="00BE0A56" w:rsidP="001527B1">
      <w:pPr>
        <w:ind w:firstLine="708"/>
        <w:jc w:val="both"/>
        <w:rPr>
          <w:lang w:val="de-DE"/>
        </w:rPr>
      </w:pPr>
      <w:r w:rsidRPr="004676F5">
        <w:rPr>
          <w:b/>
          <w:lang w:val="de-DE"/>
        </w:rPr>
        <w:t>Art. </w:t>
      </w:r>
      <w:r w:rsidR="001527B1" w:rsidRPr="004676F5">
        <w:rPr>
          <w:b/>
          <w:lang w:val="de-DE"/>
        </w:rPr>
        <w:t>XI.77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Hat ein Anmelder oder Patentinhaber eine Frist zur Vornahme einer Handlung in einem Verfahren vor dem Amt versäumt und hat dieses Versäumnis unmittelbar den Verlust der Rechte in Bezug auf eine Anmeldung oder ein Patent zur Folge, so setzt das Amt den Anmelder oder Patentinhaber in Bezug auf die betreffende Anmeldung oder das Patent wieder in den vorigen Stand ein, wenn:</w:t>
      </w:r>
    </w:p>
    <w:p w14:paraId="45956557" w14:textId="77777777" w:rsidR="001527B1" w:rsidRPr="004676F5" w:rsidRDefault="001527B1" w:rsidP="001527B1">
      <w:pPr>
        <w:ind w:firstLine="708"/>
        <w:jc w:val="both"/>
        <w:rPr>
          <w:lang w:val="de-DE"/>
        </w:rPr>
      </w:pPr>
    </w:p>
    <w:p w14:paraId="0F5DA77B" w14:textId="77777777" w:rsidR="001527B1" w:rsidRPr="004676F5" w:rsidRDefault="001527B1" w:rsidP="001527B1">
      <w:pPr>
        <w:ind w:firstLine="708"/>
        <w:jc w:val="both"/>
        <w:rPr>
          <w:lang w:val="de-DE"/>
        </w:rPr>
      </w:pPr>
      <w:r w:rsidRPr="004676F5">
        <w:rPr>
          <w:lang w:val="de-DE"/>
        </w:rPr>
        <w:t>1. dem Amt ein diesbezüglicher Antrag gemäß den Bedingungen und innerhalb der Frist vorgelegt wird, die vom König festgelegt werden,</w:t>
      </w:r>
    </w:p>
    <w:p w14:paraId="16EECA3D" w14:textId="77777777" w:rsidR="001527B1" w:rsidRPr="004676F5" w:rsidRDefault="001527B1" w:rsidP="001527B1">
      <w:pPr>
        <w:ind w:firstLine="708"/>
        <w:jc w:val="both"/>
        <w:rPr>
          <w:lang w:val="de-DE"/>
        </w:rPr>
      </w:pPr>
    </w:p>
    <w:p w14:paraId="61D1549C" w14:textId="77777777" w:rsidR="001527B1" w:rsidRPr="004676F5" w:rsidRDefault="001527B1" w:rsidP="001527B1">
      <w:pPr>
        <w:ind w:firstLine="708"/>
        <w:jc w:val="both"/>
        <w:rPr>
          <w:lang w:val="de-DE"/>
        </w:rPr>
      </w:pPr>
      <w:r w:rsidRPr="004676F5">
        <w:rPr>
          <w:lang w:val="de-DE"/>
        </w:rPr>
        <w:t>2. die nicht vorgenommene Handlung innerhalb der in Nr. 1 erwähnten Frist zur Einreichung des Antrags vorgenommen wird,</w:t>
      </w:r>
    </w:p>
    <w:p w14:paraId="36A7C555" w14:textId="77777777" w:rsidR="001527B1" w:rsidRPr="004676F5" w:rsidRDefault="001527B1" w:rsidP="001527B1">
      <w:pPr>
        <w:ind w:firstLine="708"/>
        <w:jc w:val="both"/>
        <w:rPr>
          <w:lang w:val="de-DE"/>
        </w:rPr>
      </w:pPr>
    </w:p>
    <w:p w14:paraId="5D4A0D7E" w14:textId="77777777" w:rsidR="001527B1" w:rsidRPr="004676F5" w:rsidRDefault="001527B1" w:rsidP="001527B1">
      <w:pPr>
        <w:ind w:firstLine="708"/>
        <w:jc w:val="both"/>
        <w:rPr>
          <w:lang w:val="de-DE"/>
        </w:rPr>
      </w:pPr>
      <w:r w:rsidRPr="004676F5">
        <w:rPr>
          <w:lang w:val="de-DE"/>
        </w:rPr>
        <w:t>3. in dem Antrag angegeben wird, aus welchen Gründen die Frist nicht eingehalten wurde,</w:t>
      </w:r>
    </w:p>
    <w:p w14:paraId="7CF47CC7" w14:textId="77777777" w:rsidR="001527B1" w:rsidRPr="004676F5" w:rsidRDefault="001527B1" w:rsidP="001527B1">
      <w:pPr>
        <w:ind w:firstLine="708"/>
        <w:jc w:val="both"/>
        <w:rPr>
          <w:lang w:val="de-DE"/>
        </w:rPr>
      </w:pPr>
    </w:p>
    <w:p w14:paraId="4A63CE9C" w14:textId="77777777" w:rsidR="001527B1" w:rsidRPr="004676F5" w:rsidRDefault="001527B1" w:rsidP="001527B1">
      <w:pPr>
        <w:ind w:firstLine="708"/>
        <w:jc w:val="both"/>
        <w:rPr>
          <w:lang w:val="de-DE"/>
        </w:rPr>
      </w:pPr>
      <w:r w:rsidRPr="004676F5">
        <w:rPr>
          <w:lang w:val="de-DE"/>
        </w:rPr>
        <w:t>4. das Amt feststellt, dass das Fristversäumnis trotz Beachtung der im konkreten Fall gebotenen Sorgfalt eintrat.</w:t>
      </w:r>
    </w:p>
    <w:p w14:paraId="71FA1B4C" w14:textId="77777777" w:rsidR="001527B1" w:rsidRPr="004676F5" w:rsidRDefault="001527B1" w:rsidP="001527B1">
      <w:pPr>
        <w:ind w:firstLine="708"/>
        <w:jc w:val="both"/>
        <w:rPr>
          <w:lang w:val="de-DE"/>
        </w:rPr>
      </w:pPr>
    </w:p>
    <w:p w14:paraId="22F630A4" w14:textId="77777777" w:rsidR="001527B1" w:rsidRPr="004676F5" w:rsidRDefault="001527B1" w:rsidP="001527B1">
      <w:pPr>
        <w:ind w:firstLine="708"/>
        <w:jc w:val="both"/>
        <w:rPr>
          <w:lang w:val="de-DE"/>
        </w:rPr>
      </w:pPr>
      <w:r w:rsidRPr="004676F5">
        <w:rPr>
          <w:lang w:val="de-DE"/>
        </w:rPr>
        <w:t>Der Wiedereinsetzungsantrag wird in das Register eingetragen.</w:t>
      </w:r>
    </w:p>
    <w:p w14:paraId="59B4CB22" w14:textId="77777777" w:rsidR="001527B1" w:rsidRPr="004676F5" w:rsidRDefault="001527B1" w:rsidP="001527B1">
      <w:pPr>
        <w:ind w:firstLine="708"/>
        <w:jc w:val="both"/>
        <w:rPr>
          <w:lang w:val="de-DE"/>
        </w:rPr>
      </w:pPr>
    </w:p>
    <w:p w14:paraId="07E1C31A" w14:textId="77777777" w:rsidR="001527B1" w:rsidRPr="004676F5" w:rsidRDefault="001527B1" w:rsidP="001527B1">
      <w:pPr>
        <w:ind w:firstLine="708"/>
        <w:jc w:val="both"/>
        <w:rPr>
          <w:lang w:val="de-DE"/>
        </w:rPr>
      </w:pPr>
      <w:r w:rsidRPr="004676F5">
        <w:rPr>
          <w:lang w:val="de-DE"/>
        </w:rPr>
        <w:t>Zur Stützung der in Nr. 3 erwähnten Gründe werden dem Amt innerhalb einer vom König festgelegten Frist eine Erklärung oder andere Nachweise vorgelegt.</w:t>
      </w:r>
    </w:p>
    <w:p w14:paraId="7B06778F" w14:textId="77777777" w:rsidR="001527B1" w:rsidRPr="004676F5" w:rsidRDefault="001527B1" w:rsidP="001527B1">
      <w:pPr>
        <w:ind w:firstLine="708"/>
        <w:jc w:val="both"/>
        <w:rPr>
          <w:lang w:val="de-DE"/>
        </w:rPr>
      </w:pPr>
    </w:p>
    <w:p w14:paraId="4225B537" w14:textId="6189172C" w:rsidR="001527B1" w:rsidRPr="004676F5" w:rsidRDefault="00F2372E" w:rsidP="001527B1">
      <w:pPr>
        <w:ind w:firstLine="708"/>
        <w:jc w:val="both"/>
        <w:rPr>
          <w:lang w:val="de-DE"/>
        </w:rPr>
      </w:pPr>
      <w:r w:rsidRPr="004676F5">
        <w:rPr>
          <w:lang w:val="de-DE"/>
        </w:rPr>
        <w:t>[Der Wiedereinsetzungsantrag wird erst behandelt, wenn die für diesen Antrag vorgeschriebene Gebühr entrichtet worden ist. Die Zahlung dieser Gebühr erfolgt binnen zwei Monaten nach Einreichung des Antrags. Wird diese Frist nicht eingehalten, ist der Wiedereinsetzungsantrag von Rechts wegen unwirksam.]</w:t>
      </w:r>
    </w:p>
    <w:p w14:paraId="3BA5DA05" w14:textId="77777777" w:rsidR="001527B1" w:rsidRPr="004676F5" w:rsidRDefault="001527B1" w:rsidP="001527B1">
      <w:pPr>
        <w:ind w:firstLine="708"/>
        <w:jc w:val="both"/>
        <w:rPr>
          <w:lang w:val="de-DE"/>
        </w:rPr>
      </w:pPr>
    </w:p>
    <w:p w14:paraId="64A9BFE4" w14:textId="118046EE"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Ein Antrag gemäß § 1 kann nicht ganz oder teilweise zurückgewiesen werden, ohne dass der antragstellenden Partei die Möglichkeit eingeräumt wird, innerhalb einer vom König festgelegten Frist zu der beabsichtigten Zurückweisung Stellung zu nehmen.</w:t>
      </w:r>
    </w:p>
    <w:p w14:paraId="5F337201" w14:textId="77777777" w:rsidR="001527B1" w:rsidRPr="004676F5" w:rsidRDefault="001527B1" w:rsidP="001527B1">
      <w:pPr>
        <w:ind w:firstLine="708"/>
        <w:jc w:val="both"/>
        <w:rPr>
          <w:lang w:val="de-DE"/>
        </w:rPr>
      </w:pPr>
    </w:p>
    <w:p w14:paraId="53A98AF2" w14:textId="77777777" w:rsidR="001527B1" w:rsidRPr="004676F5" w:rsidRDefault="001527B1" w:rsidP="001527B1">
      <w:pPr>
        <w:ind w:firstLine="708"/>
        <w:jc w:val="both"/>
        <w:rPr>
          <w:lang w:val="de-DE"/>
        </w:rPr>
      </w:pPr>
      <w:r w:rsidRPr="004676F5">
        <w:rPr>
          <w:lang w:val="de-DE"/>
        </w:rPr>
        <w:t>Wird dem Wiedereinsetzungsantrag stattgegeben, gelten rechtliche Folgen der Fristversäumnis als nicht eingetreten.</w:t>
      </w:r>
    </w:p>
    <w:p w14:paraId="2A44460C" w14:textId="77777777" w:rsidR="001527B1" w:rsidRPr="004676F5" w:rsidRDefault="001527B1" w:rsidP="001527B1">
      <w:pPr>
        <w:ind w:firstLine="708"/>
        <w:jc w:val="both"/>
        <w:rPr>
          <w:lang w:val="de-DE"/>
        </w:rPr>
      </w:pPr>
    </w:p>
    <w:p w14:paraId="184015ED" w14:textId="77777777" w:rsidR="001527B1" w:rsidRPr="004676F5" w:rsidRDefault="001527B1" w:rsidP="001527B1">
      <w:pPr>
        <w:ind w:firstLine="708"/>
        <w:jc w:val="both"/>
        <w:rPr>
          <w:lang w:val="de-DE"/>
        </w:rPr>
      </w:pPr>
      <w:r w:rsidRPr="004676F5">
        <w:rPr>
          <w:lang w:val="de-DE"/>
        </w:rPr>
        <w:t>Der Beschluss zur Wiedereinsetzung oder Zurückweisung wird in das Register eingetragen.</w:t>
      </w:r>
    </w:p>
    <w:p w14:paraId="6D95D739" w14:textId="77777777" w:rsidR="001527B1" w:rsidRPr="004676F5" w:rsidRDefault="001527B1" w:rsidP="001527B1">
      <w:pPr>
        <w:ind w:firstLine="708"/>
        <w:jc w:val="both"/>
        <w:rPr>
          <w:lang w:val="de-DE"/>
        </w:rPr>
      </w:pPr>
    </w:p>
    <w:p w14:paraId="286E9367" w14:textId="77777777" w:rsidR="001527B1" w:rsidRPr="004676F5" w:rsidRDefault="001527B1" w:rsidP="001527B1">
      <w:pPr>
        <w:ind w:firstLine="708"/>
        <w:jc w:val="both"/>
        <w:rPr>
          <w:lang w:val="de-DE"/>
        </w:rPr>
      </w:pPr>
      <w:r w:rsidRPr="004676F5">
        <w:rPr>
          <w:lang w:val="de-DE"/>
        </w:rPr>
        <w:t>Wird dem Wiedereinsetzungsantrag stattgegeben, muss unbeschadet des Para</w:t>
      </w:r>
      <w:r w:rsidRPr="004676F5">
        <w:rPr>
          <w:lang w:val="de-DE"/>
        </w:rPr>
        <w:softHyphen/>
        <w:t>graphen 1 Nr. 2 bei Aufhebung der Rechte infolge des Versäumnisses der in Artikel XI.48 erwähnten Frist die Jahresgebühr, die während des Zeitraums zwischen dem Tag des Verlustes der Rechte und einschließlich dem Tag der Eintragung des Wiedereinsetzungs</w:t>
      </w:r>
      <w:r w:rsidRPr="004676F5">
        <w:rPr>
          <w:lang w:val="de-DE"/>
        </w:rPr>
        <w:softHyphen/>
        <w:t>beschlusses in das Register fällig geworden ist, in einer Frist von vier Monaten ab diesem letzten Datum entrichtet werden.</w:t>
      </w:r>
    </w:p>
    <w:p w14:paraId="3519AD43" w14:textId="77777777" w:rsidR="001527B1" w:rsidRPr="004676F5" w:rsidRDefault="001527B1" w:rsidP="001527B1">
      <w:pPr>
        <w:ind w:firstLine="708"/>
        <w:jc w:val="both"/>
        <w:rPr>
          <w:lang w:val="de-DE"/>
        </w:rPr>
      </w:pPr>
    </w:p>
    <w:p w14:paraId="3518AAD3" w14:textId="54CD49AB"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 xml:space="preserve">Wer in gutem Glauben zwischen dem Zeitpunkt der in Artikel XI.48 § 2 vorgesehenen Aufhebung der Rechte und dem Zeitpunkt, an dem die Wiedereinsetzung in den vorigen Stand gemäß § 2 des vorliegenden Artikels wirksam wird, die Erfindung, die Gegenstand eines Patents ist, in Belgien benutzt hat oder die dazu erforderlichen Vorbereitungen getroffen hat, darf die Benutzung für die Bedürfnisse seines Betriebs fortsetzen. </w:t>
      </w:r>
      <w:r w:rsidRPr="004676F5">
        <w:rPr>
          <w:lang w:val="de-DE"/>
        </w:rPr>
        <w:lastRenderedPageBreak/>
        <w:t>Das durch vorliegenden Paragraphen zuerkannte Recht kann nur zusammen mit dem Betrieb übertragen werden, an den es gebunden ist. Ein Vorbehalt gilt für die Anwendung des Gesetzes vom 10. Januar 1955.</w:t>
      </w:r>
    </w:p>
    <w:p w14:paraId="0E5E1F12" w14:textId="77777777" w:rsidR="001527B1" w:rsidRPr="004676F5" w:rsidRDefault="001527B1" w:rsidP="001527B1">
      <w:pPr>
        <w:ind w:firstLine="708"/>
        <w:jc w:val="both"/>
        <w:rPr>
          <w:lang w:val="de-DE"/>
        </w:rPr>
      </w:pPr>
    </w:p>
    <w:p w14:paraId="4BDAB4C7" w14:textId="77777777" w:rsidR="001527B1" w:rsidRPr="004676F5" w:rsidRDefault="001527B1" w:rsidP="001527B1">
      <w:pPr>
        <w:ind w:firstLine="708"/>
        <w:jc w:val="both"/>
        <w:rPr>
          <w:lang w:val="de-DE"/>
        </w:rPr>
      </w:pPr>
      <w:r w:rsidRPr="004676F5">
        <w:rPr>
          <w:lang w:val="de-DE"/>
        </w:rPr>
        <w:t>Der vorhergehende Absatz ist ebenfalls anwendbar, wenn der in Artikel XI.35 § 1 vorgesehene Schutz infolge der Wiedereinsetzung hinsichtlich der Patentanmeldung wieder wirksam wird.</w:t>
      </w:r>
    </w:p>
    <w:p w14:paraId="20561BD3" w14:textId="77777777" w:rsidR="001527B1" w:rsidRPr="004676F5" w:rsidRDefault="001527B1" w:rsidP="001527B1">
      <w:pPr>
        <w:ind w:firstLine="708"/>
        <w:jc w:val="both"/>
        <w:rPr>
          <w:lang w:val="de-DE"/>
        </w:rPr>
      </w:pPr>
    </w:p>
    <w:p w14:paraId="227625DA" w14:textId="4C095FEA"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Antrag auf Wiedereinsetzung in den vorigen Stand wie in § 1 erwähnt ist nicht zulässig für:</w:t>
      </w:r>
    </w:p>
    <w:p w14:paraId="2996D884" w14:textId="77777777" w:rsidR="001527B1" w:rsidRPr="004676F5" w:rsidRDefault="001527B1" w:rsidP="001527B1">
      <w:pPr>
        <w:ind w:firstLine="708"/>
        <w:jc w:val="both"/>
        <w:rPr>
          <w:lang w:val="de-DE"/>
        </w:rPr>
      </w:pPr>
    </w:p>
    <w:p w14:paraId="1AFCFBE6" w14:textId="77777777" w:rsidR="001527B1" w:rsidRPr="004676F5" w:rsidRDefault="001527B1" w:rsidP="001527B1">
      <w:pPr>
        <w:ind w:firstLine="708"/>
        <w:jc w:val="both"/>
        <w:rPr>
          <w:lang w:val="de-DE"/>
        </w:rPr>
      </w:pPr>
      <w:r w:rsidRPr="004676F5">
        <w:rPr>
          <w:lang w:val="de-DE"/>
        </w:rPr>
        <w:t>1. die in § 1 und § 2 Absatz 4 erwähnten Fristen,</w:t>
      </w:r>
    </w:p>
    <w:p w14:paraId="76586604" w14:textId="77777777" w:rsidR="001527B1" w:rsidRPr="004676F5" w:rsidRDefault="001527B1" w:rsidP="001527B1">
      <w:pPr>
        <w:ind w:firstLine="708"/>
        <w:jc w:val="both"/>
        <w:rPr>
          <w:lang w:val="de-DE"/>
        </w:rPr>
      </w:pPr>
    </w:p>
    <w:p w14:paraId="384EA1E3" w14:textId="77777777" w:rsidR="001527B1" w:rsidRPr="004676F5" w:rsidRDefault="001527B1" w:rsidP="001527B1">
      <w:pPr>
        <w:ind w:firstLine="708"/>
        <w:jc w:val="both"/>
        <w:rPr>
          <w:lang w:val="de-DE"/>
        </w:rPr>
      </w:pPr>
      <w:r w:rsidRPr="004676F5">
        <w:rPr>
          <w:lang w:val="de-DE"/>
        </w:rPr>
        <w:t>2. die in Artikel XI.20 §§ 8 bis 10 erwähnten Fristen.</w:t>
      </w:r>
    </w:p>
    <w:p w14:paraId="3BA553D0" w14:textId="77777777" w:rsidR="001527B1" w:rsidRPr="004676F5" w:rsidRDefault="001527B1" w:rsidP="001527B1">
      <w:pPr>
        <w:ind w:firstLine="708"/>
        <w:jc w:val="both"/>
        <w:rPr>
          <w:lang w:val="de-DE"/>
        </w:rPr>
      </w:pPr>
    </w:p>
    <w:p w14:paraId="508D1DF1" w14:textId="77777777" w:rsidR="001527B1" w:rsidRPr="004676F5" w:rsidRDefault="001527B1" w:rsidP="001527B1">
      <w:pPr>
        <w:ind w:firstLine="708"/>
        <w:jc w:val="both"/>
        <w:rPr>
          <w:lang w:val="de-DE"/>
        </w:rPr>
      </w:pPr>
      <w:r w:rsidRPr="004676F5">
        <w:rPr>
          <w:lang w:val="de-DE"/>
        </w:rPr>
        <w:t>Der König bestimmt gegebenenfalls andere als die in vorhergehendem Absatz vermerkten Fristen, für die ein Wiedereinsetzungsantrag nicht zulässig ist.</w:t>
      </w:r>
    </w:p>
    <w:p w14:paraId="50C2760D" w14:textId="77777777" w:rsidR="001527B1" w:rsidRPr="004676F5" w:rsidRDefault="001527B1" w:rsidP="00930654">
      <w:pPr>
        <w:jc w:val="both"/>
        <w:rPr>
          <w:lang w:val="de-DE"/>
        </w:rPr>
      </w:pPr>
    </w:p>
    <w:p w14:paraId="03B96473" w14:textId="2E7E94EA" w:rsidR="00930654" w:rsidRPr="004676F5" w:rsidRDefault="00930654" w:rsidP="00930654">
      <w:pPr>
        <w:jc w:val="both"/>
        <w:rPr>
          <w:i/>
          <w:iCs/>
          <w:lang w:val="de-DE"/>
        </w:rPr>
      </w:pPr>
      <w:r w:rsidRPr="004676F5">
        <w:rPr>
          <w:i/>
          <w:iCs/>
          <w:lang w:val="de-DE"/>
        </w:rPr>
        <w:t xml:space="preserve">[Art. XI.77 § 1 Abs. 4 </w:t>
      </w:r>
      <w:r w:rsidR="00910590" w:rsidRPr="004676F5">
        <w:rPr>
          <w:i/>
          <w:iCs/>
          <w:lang w:val="de-DE"/>
        </w:rPr>
        <w:t>ersetzt</w:t>
      </w:r>
      <w:r w:rsidRPr="004676F5">
        <w:rPr>
          <w:i/>
          <w:iCs/>
          <w:lang w:val="de-DE"/>
        </w:rPr>
        <w:t xml:space="preserve"> durch Art. 18 des G. vom 25. September 2022 (B.S. vom 24. Oktober 2022)]</w:t>
      </w:r>
    </w:p>
    <w:p w14:paraId="6D1B1683" w14:textId="77777777" w:rsidR="00930654" w:rsidRPr="004676F5" w:rsidRDefault="00930654" w:rsidP="00930654">
      <w:pPr>
        <w:jc w:val="both"/>
        <w:rPr>
          <w:i/>
          <w:iCs/>
          <w:lang w:val="de-DE"/>
        </w:rPr>
      </w:pPr>
    </w:p>
    <w:p w14:paraId="4F379FD9" w14:textId="77777777" w:rsidR="00CE5A09" w:rsidRPr="004676F5" w:rsidRDefault="00CE5A09" w:rsidP="001527B1">
      <w:pPr>
        <w:ind w:firstLine="708"/>
        <w:jc w:val="both"/>
        <w:rPr>
          <w:lang w:val="de-DE"/>
        </w:rPr>
      </w:pPr>
    </w:p>
    <w:p w14:paraId="23FC1A7B" w14:textId="57E63AA0" w:rsidR="001527B1" w:rsidRPr="004676F5" w:rsidRDefault="00BE0A56" w:rsidP="001527B1">
      <w:pPr>
        <w:ind w:firstLine="708"/>
        <w:jc w:val="both"/>
        <w:rPr>
          <w:lang w:val="de-DE"/>
        </w:rPr>
      </w:pPr>
      <w:r w:rsidRPr="004676F5">
        <w:rPr>
          <w:b/>
          <w:lang w:val="de-DE"/>
        </w:rPr>
        <w:t>Art. </w:t>
      </w:r>
      <w:r w:rsidR="001527B1" w:rsidRPr="004676F5">
        <w:rPr>
          <w:b/>
          <w:lang w:val="de-DE"/>
        </w:rPr>
        <w:t>XI.78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König bestimmt Höhe und Fristen und Modalitäten für die Zahlung der Gebühren, Zusatzgebühren und Abgaben, die durch oder aufgrund des vorliegenden Titels vorgesehen sind.</w:t>
      </w:r>
    </w:p>
    <w:p w14:paraId="1990A193" w14:textId="77777777" w:rsidR="001527B1" w:rsidRPr="004676F5" w:rsidRDefault="001527B1" w:rsidP="001527B1">
      <w:pPr>
        <w:ind w:firstLine="708"/>
        <w:jc w:val="both"/>
        <w:rPr>
          <w:lang w:val="de-DE"/>
        </w:rPr>
      </w:pPr>
    </w:p>
    <w:p w14:paraId="5C93436A" w14:textId="3345F1B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Wenn das Amt Sonderleistungen auf dem Gebiet des Patentwesens erbringt, kann der König eine Abgabe vorsehen, deren Höhe und Fristen und Modalitäten für die Zahlung Er bestimmt. Die Zusatzabgabe darf in keinem Fall über 125 EUR hinausgehen.</w:t>
      </w:r>
    </w:p>
    <w:p w14:paraId="188E307F" w14:textId="77777777" w:rsidR="001527B1" w:rsidRPr="004676F5" w:rsidRDefault="001527B1" w:rsidP="001527B1">
      <w:pPr>
        <w:ind w:firstLine="708"/>
        <w:jc w:val="both"/>
        <w:rPr>
          <w:lang w:val="de-DE"/>
        </w:rPr>
      </w:pPr>
    </w:p>
    <w:p w14:paraId="21E73CB3" w14:textId="2010D1D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König kann Gebühren, Zusatzgebühren und Abgaben, die Er bestimmt, zugunsten von natürlichen Personen ermäßigen, die Angehörige eines Mitgliedstaates entweder des Europäischen Wirtschaftsraums oder der Welthandelsorganisation sind, wenn ihre Einkünfte nicht über dem Steuerfreibetrag liegen, der in Artikel 131 und folgende des Einkommensteuergesetzbuches 1992 festgelegt ist. Gegebenenfalls werden Einkünfte in ausländischer Währung zum Mittelkurs der betreffenden Währung in Euro umgerechnet.</w:t>
      </w:r>
    </w:p>
    <w:p w14:paraId="3F105A39" w14:textId="77777777" w:rsidR="001527B1" w:rsidRPr="004676F5" w:rsidRDefault="001527B1" w:rsidP="001527B1">
      <w:pPr>
        <w:ind w:firstLine="708"/>
        <w:jc w:val="both"/>
        <w:rPr>
          <w:lang w:val="de-DE"/>
        </w:rPr>
      </w:pPr>
    </w:p>
    <w:p w14:paraId="71620336" w14:textId="59850FB4"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König bestimmt die Fälle, in denen zu Unrecht entrichtete Gebühren, Zusatzgebühren und Abgaben ganz oder teilweise zurückgezahlt werden können.</w:t>
      </w:r>
    </w:p>
    <w:p w14:paraId="58222BE5" w14:textId="77777777" w:rsidR="001527B1" w:rsidRPr="004676F5" w:rsidRDefault="001527B1" w:rsidP="001527B1">
      <w:pPr>
        <w:ind w:firstLine="708"/>
        <w:jc w:val="both"/>
        <w:rPr>
          <w:lang w:val="de-DE"/>
        </w:rPr>
      </w:pPr>
    </w:p>
    <w:p w14:paraId="31FAE501" w14:textId="77777777" w:rsidR="00CE5A09" w:rsidRPr="004676F5" w:rsidRDefault="00CE5A09" w:rsidP="001527B1">
      <w:pPr>
        <w:ind w:firstLine="708"/>
        <w:jc w:val="both"/>
        <w:rPr>
          <w:lang w:val="de-DE"/>
        </w:rPr>
      </w:pPr>
    </w:p>
    <w:p w14:paraId="01303806" w14:textId="77777777" w:rsidR="00CE5A09" w:rsidRPr="004676F5" w:rsidRDefault="00CE5A09" w:rsidP="001527B1">
      <w:pPr>
        <w:ind w:firstLine="708"/>
        <w:jc w:val="both"/>
        <w:rPr>
          <w:lang w:val="de-DE"/>
        </w:rPr>
      </w:pPr>
    </w:p>
    <w:p w14:paraId="31E1FDCC" w14:textId="1865575E" w:rsidR="001527B1" w:rsidRPr="004676F5" w:rsidRDefault="00BE0A56" w:rsidP="001527B1">
      <w:pPr>
        <w:ind w:firstLine="708"/>
        <w:jc w:val="both"/>
        <w:rPr>
          <w:lang w:val="de-DE"/>
        </w:rPr>
      </w:pPr>
      <w:r w:rsidRPr="004676F5">
        <w:rPr>
          <w:b/>
          <w:lang w:val="de-DE"/>
        </w:rPr>
        <w:t>Art. </w:t>
      </w:r>
      <w:r w:rsidR="001527B1" w:rsidRPr="004676F5">
        <w:rPr>
          <w:b/>
          <w:lang w:val="de-DE"/>
        </w:rPr>
        <w:t>XI.79</w:t>
      </w:r>
      <w:r w:rsidR="001527B1" w:rsidRPr="004676F5">
        <w:rPr>
          <w:lang w:val="de-DE"/>
        </w:rPr>
        <w:t> </w:t>
      </w:r>
      <w:r w:rsidR="005B7A5C" w:rsidRPr="004676F5">
        <w:rPr>
          <w:lang w:val="de-DE"/>
        </w:rPr>
        <w:t>- </w:t>
      </w:r>
      <w:r w:rsidR="001527B1" w:rsidRPr="004676F5">
        <w:rPr>
          <w:lang w:val="de-DE"/>
        </w:rPr>
        <w:t>Die Zahlung der Gebühren und Abgaben, die durch vorliegenden Titel vorgesehen sind oder deren Einnahme durch vorliegenden Titel erlaubt ist, gilt als gültig, wenn sie in Höhe des am Zahlungstag geltenden Betrags ausgeführt wurde.</w:t>
      </w:r>
    </w:p>
    <w:p w14:paraId="45D236C1" w14:textId="77777777" w:rsidR="001527B1" w:rsidRPr="004676F5" w:rsidRDefault="001527B1" w:rsidP="001527B1">
      <w:pPr>
        <w:ind w:firstLine="708"/>
        <w:jc w:val="both"/>
        <w:rPr>
          <w:lang w:val="de-DE"/>
        </w:rPr>
      </w:pPr>
    </w:p>
    <w:p w14:paraId="2C8B5F92" w14:textId="77777777" w:rsidR="001527B1" w:rsidRPr="004676F5" w:rsidRDefault="001527B1" w:rsidP="001527B1">
      <w:pPr>
        <w:ind w:firstLine="708"/>
        <w:jc w:val="both"/>
        <w:rPr>
          <w:lang w:val="de-DE"/>
        </w:rPr>
      </w:pPr>
      <w:r w:rsidRPr="004676F5">
        <w:rPr>
          <w:lang w:val="de-DE"/>
        </w:rPr>
        <w:t>Eingenommene Gebühren und Abgaben werden vorbehaltlich anders lautender Bestimmungen des vorliegenden Gesetzes oder seiner Ausführungserlasse nicht zurück</w:t>
      </w:r>
      <w:r w:rsidRPr="004676F5">
        <w:rPr>
          <w:lang w:val="de-DE"/>
        </w:rPr>
        <w:softHyphen/>
        <w:t>gezahlt.</w:t>
      </w:r>
    </w:p>
    <w:p w14:paraId="79DE30EA" w14:textId="77777777" w:rsidR="001527B1" w:rsidRPr="004676F5" w:rsidRDefault="001527B1" w:rsidP="001527B1">
      <w:pPr>
        <w:ind w:firstLine="708"/>
        <w:jc w:val="both"/>
        <w:rPr>
          <w:lang w:val="de-DE"/>
        </w:rPr>
      </w:pPr>
    </w:p>
    <w:p w14:paraId="5C0768C8" w14:textId="77777777" w:rsidR="00CE5A09" w:rsidRPr="004676F5" w:rsidRDefault="00CE5A09" w:rsidP="001527B1">
      <w:pPr>
        <w:ind w:firstLine="708"/>
        <w:jc w:val="both"/>
        <w:rPr>
          <w:lang w:val="de-DE"/>
        </w:rPr>
      </w:pPr>
    </w:p>
    <w:p w14:paraId="234BB087" w14:textId="50AD1259" w:rsidR="001527B1" w:rsidRPr="004676F5" w:rsidRDefault="00BE0A56" w:rsidP="001527B1">
      <w:pPr>
        <w:ind w:firstLine="708"/>
        <w:jc w:val="both"/>
        <w:rPr>
          <w:lang w:val="de-DE"/>
        </w:rPr>
      </w:pPr>
      <w:r w:rsidRPr="004676F5">
        <w:rPr>
          <w:b/>
          <w:lang w:val="de-DE"/>
        </w:rPr>
        <w:t>Art. </w:t>
      </w:r>
      <w:r w:rsidR="001527B1" w:rsidRPr="004676F5">
        <w:rPr>
          <w:b/>
          <w:lang w:val="de-DE"/>
        </w:rPr>
        <w:t>XI.80</w:t>
      </w:r>
      <w:r w:rsidR="001527B1" w:rsidRPr="004676F5">
        <w:rPr>
          <w:lang w:val="de-DE"/>
        </w:rPr>
        <w:t> </w:t>
      </w:r>
      <w:r w:rsidR="005B7A5C" w:rsidRPr="004676F5">
        <w:rPr>
          <w:lang w:val="de-DE"/>
        </w:rPr>
        <w:t>- </w:t>
      </w:r>
      <w:r w:rsidR="001527B1" w:rsidRPr="004676F5">
        <w:rPr>
          <w:lang w:val="de-DE"/>
        </w:rPr>
        <w:t xml:space="preserve">Vorbehaltlich anders lautender Bestimmung kann das Amt den Aussteller eines Originals direkt befragen, wenn im Rahmen von Artikel XI.50 § 3 Absatz 1 oder </w:t>
      </w:r>
      <w:r w:rsidR="001527B1" w:rsidRPr="004676F5">
        <w:rPr>
          <w:lang w:val="de-DE"/>
        </w:rPr>
        <w:lastRenderedPageBreak/>
        <w:t>Artikel XI.53 Absatz 2 eine Abschrift eines Originals oder ein Auszug daraus verlangt wird und ein begründeter Zweifel an der Echtheit der vorgelegten oder gesendeten Abschrift des Originals oder des Auszugs besteht.</w:t>
      </w:r>
    </w:p>
    <w:p w14:paraId="29BFE5CA" w14:textId="77777777" w:rsidR="001527B1" w:rsidRPr="004676F5" w:rsidRDefault="001527B1" w:rsidP="001527B1">
      <w:pPr>
        <w:ind w:firstLine="708"/>
        <w:jc w:val="both"/>
        <w:rPr>
          <w:lang w:val="de-DE"/>
        </w:rPr>
      </w:pPr>
    </w:p>
    <w:p w14:paraId="41DF3972" w14:textId="77777777" w:rsidR="001527B1" w:rsidRPr="004676F5" w:rsidRDefault="001527B1" w:rsidP="001527B1">
      <w:pPr>
        <w:ind w:firstLine="708"/>
        <w:jc w:val="both"/>
        <w:rPr>
          <w:lang w:val="de-DE"/>
        </w:rPr>
      </w:pPr>
      <w:r w:rsidRPr="004676F5">
        <w:rPr>
          <w:lang w:val="de-DE"/>
        </w:rPr>
        <w:t>Bringt die vorerwähnte Befragung unverhältnismäßig viel Arbeit für das Amt oder den Aussteller des Originals mit sich oder ist es schwierig, einen direkten Kontakt zu dem Aussteller des Originals herzustellen, so kann das Amt die betreffende Person per Einschreiben mit Rückschein darum ersuchen, das Original vorzulegen. In diesem Einschreiben wird der Grund für das Ersuchen um Vorlage des Originals angegeben. Solange das verlangte Original nicht vorgelegt wird, wird das Verfahren, in dessen Zusammenhang das Original vorgelegt werden soll, ausgesetzt.</w:t>
      </w:r>
    </w:p>
    <w:p w14:paraId="2BAB93B2" w14:textId="77777777" w:rsidR="001527B1" w:rsidRPr="004676F5" w:rsidRDefault="001527B1" w:rsidP="00930654">
      <w:pPr>
        <w:jc w:val="both"/>
        <w:rPr>
          <w:lang w:val="de-DE"/>
        </w:rPr>
      </w:pPr>
    </w:p>
    <w:p w14:paraId="5CF03439" w14:textId="77777777" w:rsidR="00930654" w:rsidRPr="004676F5" w:rsidRDefault="00930654" w:rsidP="00930654">
      <w:pPr>
        <w:jc w:val="both"/>
        <w:rPr>
          <w:lang w:val="de-DE"/>
        </w:rPr>
      </w:pPr>
    </w:p>
    <w:p w14:paraId="777571B9" w14:textId="77777777" w:rsidR="00930654" w:rsidRPr="004676F5" w:rsidRDefault="00930654" w:rsidP="00930654">
      <w:pPr>
        <w:jc w:val="both"/>
        <w:rPr>
          <w:lang w:val="de-DE"/>
        </w:rPr>
      </w:pPr>
      <w:r w:rsidRPr="004676F5">
        <w:rPr>
          <w:lang w:val="de-DE"/>
        </w:rPr>
        <w:tab/>
        <w:t>[</w:t>
      </w:r>
      <w:r w:rsidRPr="004676F5">
        <w:rPr>
          <w:b/>
          <w:bCs/>
          <w:lang w:val="de-DE"/>
        </w:rPr>
        <w:t>Art. XI.80/1</w:t>
      </w:r>
      <w:r w:rsidRPr="004676F5">
        <w:rPr>
          <w:lang w:val="de-DE"/>
        </w:rPr>
        <w:t> - § 1 - Zusätzlich zu der Verpflichtung, ein Register und eine Sammlung im Sinne von Artikel XI.27 zu führen, sammelt und speichert das Amt in einer elektronischen Datenbank alle Informationen, die im Rahmen der Erfüllung der ihm übertragenen Aufträge öffentlichen Interesses im Bereich des geistigen Eigentums bereitgestellt werden.</w:t>
      </w:r>
    </w:p>
    <w:p w14:paraId="6F98CF66" w14:textId="77777777" w:rsidR="00930654" w:rsidRPr="004676F5" w:rsidRDefault="00930654" w:rsidP="00930654">
      <w:pPr>
        <w:jc w:val="both"/>
        <w:rPr>
          <w:lang w:val="de-DE"/>
        </w:rPr>
      </w:pPr>
    </w:p>
    <w:p w14:paraId="54596C5F" w14:textId="77777777" w:rsidR="00930654" w:rsidRPr="004676F5" w:rsidRDefault="00930654" w:rsidP="00930654">
      <w:pPr>
        <w:jc w:val="both"/>
        <w:rPr>
          <w:lang w:val="de-DE"/>
        </w:rPr>
      </w:pPr>
      <w:r w:rsidRPr="004676F5">
        <w:rPr>
          <w:lang w:val="de-DE"/>
        </w:rPr>
        <w:tab/>
        <w:t>§ 2 ­ Die elektronische Datenbank kann zusätzlich zu den im Register und in der Sammlung enthaltenen Daten personenbezogene Daten enthalten, soweit diese Daten im Rahmen der dem Amt übertragenen Aufträge öffentlichen Interesses im Bereich des geistigen Eigentums erforderlich sind.</w:t>
      </w:r>
    </w:p>
    <w:p w14:paraId="059F5D25" w14:textId="77777777" w:rsidR="00930654" w:rsidRPr="004676F5" w:rsidRDefault="00930654" w:rsidP="00930654">
      <w:pPr>
        <w:jc w:val="both"/>
        <w:rPr>
          <w:lang w:val="de-DE"/>
        </w:rPr>
      </w:pPr>
    </w:p>
    <w:p w14:paraId="4DC505BE" w14:textId="77777777" w:rsidR="00930654" w:rsidRPr="004676F5" w:rsidRDefault="00930654" w:rsidP="00930654">
      <w:pPr>
        <w:jc w:val="both"/>
        <w:rPr>
          <w:lang w:val="de-DE"/>
        </w:rPr>
      </w:pPr>
      <w:r w:rsidRPr="004676F5">
        <w:rPr>
          <w:lang w:val="de-DE"/>
        </w:rPr>
        <w:tab/>
        <w:t>§ 3 ­ Im Rahmen der ihm gesetzlich übertragenen Aufträge öffentlichen Interesses im Bereich des geistigen Eigentums verarbeitet das Amt folgende Kategorien von personenbezogenen Daten:</w:t>
      </w:r>
    </w:p>
    <w:p w14:paraId="1A7A37CC" w14:textId="77777777" w:rsidR="00930654" w:rsidRPr="004676F5" w:rsidRDefault="00930654" w:rsidP="00930654">
      <w:pPr>
        <w:jc w:val="both"/>
        <w:rPr>
          <w:lang w:val="de-DE"/>
        </w:rPr>
      </w:pPr>
    </w:p>
    <w:p w14:paraId="5DBB448E" w14:textId="77777777" w:rsidR="00930654" w:rsidRPr="004676F5" w:rsidRDefault="00930654" w:rsidP="00930654">
      <w:pPr>
        <w:jc w:val="both"/>
        <w:rPr>
          <w:lang w:val="de-DE"/>
        </w:rPr>
      </w:pPr>
      <w:r w:rsidRPr="004676F5">
        <w:rPr>
          <w:lang w:val="de-DE"/>
        </w:rPr>
        <w:tab/>
        <w:t>1. Erkennungsdaten, einschließlich Nationalregisternummer,</w:t>
      </w:r>
    </w:p>
    <w:p w14:paraId="7441E54F" w14:textId="77777777" w:rsidR="00930654" w:rsidRPr="004676F5" w:rsidRDefault="00930654" w:rsidP="00930654">
      <w:pPr>
        <w:jc w:val="both"/>
        <w:rPr>
          <w:lang w:val="de-DE"/>
        </w:rPr>
      </w:pPr>
    </w:p>
    <w:p w14:paraId="1F06ECDB" w14:textId="77777777" w:rsidR="00930654" w:rsidRPr="004676F5" w:rsidRDefault="00930654" w:rsidP="00930654">
      <w:pPr>
        <w:jc w:val="both"/>
        <w:rPr>
          <w:lang w:val="de-DE"/>
        </w:rPr>
      </w:pPr>
      <w:r w:rsidRPr="004676F5">
        <w:rPr>
          <w:lang w:val="de-DE"/>
        </w:rPr>
        <w:tab/>
        <w:t>2. Adressen,</w:t>
      </w:r>
    </w:p>
    <w:p w14:paraId="67B9496D" w14:textId="77777777" w:rsidR="00930654" w:rsidRPr="004676F5" w:rsidRDefault="00930654" w:rsidP="00930654">
      <w:pPr>
        <w:jc w:val="both"/>
        <w:rPr>
          <w:lang w:val="de-DE"/>
        </w:rPr>
      </w:pPr>
    </w:p>
    <w:p w14:paraId="4A42B975" w14:textId="77777777" w:rsidR="00930654" w:rsidRPr="004676F5" w:rsidRDefault="00930654" w:rsidP="00930654">
      <w:pPr>
        <w:jc w:val="both"/>
        <w:rPr>
          <w:lang w:val="de-DE"/>
        </w:rPr>
      </w:pPr>
      <w:r w:rsidRPr="004676F5">
        <w:rPr>
          <w:lang w:val="de-DE"/>
        </w:rPr>
        <w:tab/>
        <w:t>3. Kontaktdaten,</w:t>
      </w:r>
    </w:p>
    <w:p w14:paraId="7CD195B1" w14:textId="77777777" w:rsidR="00930654" w:rsidRPr="004676F5" w:rsidRDefault="00930654" w:rsidP="00930654">
      <w:pPr>
        <w:jc w:val="both"/>
        <w:rPr>
          <w:lang w:val="de-DE"/>
        </w:rPr>
      </w:pPr>
    </w:p>
    <w:p w14:paraId="0F689F7D" w14:textId="77777777" w:rsidR="00930654" w:rsidRPr="004676F5" w:rsidRDefault="00930654" w:rsidP="00930654">
      <w:pPr>
        <w:jc w:val="both"/>
        <w:rPr>
          <w:lang w:val="de-DE"/>
        </w:rPr>
      </w:pPr>
      <w:r w:rsidRPr="004676F5">
        <w:rPr>
          <w:lang w:val="de-DE"/>
        </w:rPr>
        <w:tab/>
        <w:t>4. Bankangaben,</w:t>
      </w:r>
    </w:p>
    <w:p w14:paraId="3BBB3F60" w14:textId="77777777" w:rsidR="00930654" w:rsidRPr="004676F5" w:rsidRDefault="00930654" w:rsidP="00930654">
      <w:pPr>
        <w:jc w:val="both"/>
        <w:rPr>
          <w:lang w:val="de-DE"/>
        </w:rPr>
      </w:pPr>
    </w:p>
    <w:p w14:paraId="197B0BDC" w14:textId="77777777" w:rsidR="00930654" w:rsidRPr="004676F5" w:rsidRDefault="00930654" w:rsidP="00930654">
      <w:pPr>
        <w:jc w:val="both"/>
        <w:rPr>
          <w:lang w:val="de-DE"/>
        </w:rPr>
      </w:pPr>
      <w:r w:rsidRPr="004676F5">
        <w:rPr>
          <w:lang w:val="de-DE"/>
        </w:rPr>
        <w:tab/>
        <w:t>5. Unterschriften,</w:t>
      </w:r>
    </w:p>
    <w:p w14:paraId="2082C36D" w14:textId="77777777" w:rsidR="00930654" w:rsidRPr="004676F5" w:rsidRDefault="00930654" w:rsidP="00930654">
      <w:pPr>
        <w:jc w:val="both"/>
        <w:rPr>
          <w:lang w:val="de-DE"/>
        </w:rPr>
      </w:pPr>
    </w:p>
    <w:p w14:paraId="538FF188" w14:textId="77777777" w:rsidR="00930654" w:rsidRPr="004676F5" w:rsidRDefault="00930654" w:rsidP="00930654">
      <w:pPr>
        <w:jc w:val="both"/>
        <w:rPr>
          <w:lang w:val="de-DE"/>
        </w:rPr>
      </w:pPr>
      <w:r w:rsidRPr="004676F5">
        <w:rPr>
          <w:lang w:val="de-DE"/>
        </w:rPr>
        <w:tab/>
        <w:t>6. Geburtsdaten,</w:t>
      </w:r>
    </w:p>
    <w:p w14:paraId="5431CC71" w14:textId="77777777" w:rsidR="00930654" w:rsidRPr="004676F5" w:rsidRDefault="00930654" w:rsidP="00930654">
      <w:pPr>
        <w:jc w:val="both"/>
        <w:rPr>
          <w:lang w:val="de-DE"/>
        </w:rPr>
      </w:pPr>
    </w:p>
    <w:p w14:paraId="157CE352" w14:textId="77777777" w:rsidR="00930654" w:rsidRPr="004676F5" w:rsidRDefault="00930654" w:rsidP="00930654">
      <w:pPr>
        <w:jc w:val="both"/>
        <w:rPr>
          <w:lang w:val="de-DE"/>
        </w:rPr>
      </w:pPr>
      <w:r w:rsidRPr="004676F5">
        <w:rPr>
          <w:lang w:val="de-DE"/>
        </w:rPr>
        <w:tab/>
        <w:t>7. Belege und Beweise und</w:t>
      </w:r>
    </w:p>
    <w:p w14:paraId="73297337" w14:textId="77777777" w:rsidR="00930654" w:rsidRPr="004676F5" w:rsidRDefault="00930654" w:rsidP="00930654">
      <w:pPr>
        <w:jc w:val="both"/>
        <w:rPr>
          <w:lang w:val="de-DE"/>
        </w:rPr>
      </w:pPr>
    </w:p>
    <w:p w14:paraId="1835E830" w14:textId="77777777" w:rsidR="00930654" w:rsidRPr="004676F5" w:rsidRDefault="00930654" w:rsidP="00930654">
      <w:pPr>
        <w:jc w:val="both"/>
        <w:rPr>
          <w:lang w:val="de-DE"/>
        </w:rPr>
      </w:pPr>
      <w:r w:rsidRPr="004676F5">
        <w:rPr>
          <w:lang w:val="de-DE"/>
        </w:rPr>
        <w:tab/>
        <w:t>8. jegliche personenbezogene Daten, die betreffende Personen mit dem Institut teilen möchten.</w:t>
      </w:r>
    </w:p>
    <w:p w14:paraId="67193FCB" w14:textId="77777777" w:rsidR="00930654" w:rsidRPr="004676F5" w:rsidRDefault="00930654" w:rsidP="00930654">
      <w:pPr>
        <w:jc w:val="both"/>
        <w:rPr>
          <w:lang w:val="de-DE"/>
        </w:rPr>
      </w:pPr>
    </w:p>
    <w:p w14:paraId="4EB13E17" w14:textId="77777777" w:rsidR="00930654" w:rsidRPr="004676F5" w:rsidRDefault="00930654" w:rsidP="00930654">
      <w:pPr>
        <w:jc w:val="both"/>
        <w:rPr>
          <w:lang w:val="de-DE"/>
        </w:rPr>
      </w:pPr>
      <w:r w:rsidRPr="004676F5">
        <w:rPr>
          <w:lang w:val="de-DE"/>
        </w:rPr>
        <w:tab/>
        <w:t>Das Amt verarbeitet personenbezogene Daten folgender Kategorien von Personen:</w:t>
      </w:r>
    </w:p>
    <w:p w14:paraId="00A7CF0D" w14:textId="77777777" w:rsidR="00930654" w:rsidRPr="004676F5" w:rsidRDefault="00930654" w:rsidP="00930654">
      <w:pPr>
        <w:jc w:val="both"/>
        <w:rPr>
          <w:lang w:val="de-DE"/>
        </w:rPr>
      </w:pPr>
    </w:p>
    <w:p w14:paraId="40BEDF45" w14:textId="77777777" w:rsidR="00930654" w:rsidRPr="004676F5" w:rsidRDefault="00930654" w:rsidP="00930654">
      <w:pPr>
        <w:jc w:val="both"/>
        <w:rPr>
          <w:lang w:val="de-DE"/>
        </w:rPr>
      </w:pPr>
      <w:r w:rsidRPr="004676F5">
        <w:rPr>
          <w:lang w:val="de-DE"/>
        </w:rPr>
        <w:tab/>
        <w:t>1. Unternehmen, die in Belgien tätig sind,</w:t>
      </w:r>
    </w:p>
    <w:p w14:paraId="758820B9" w14:textId="77777777" w:rsidR="00930654" w:rsidRPr="004676F5" w:rsidRDefault="00930654" w:rsidP="00930654">
      <w:pPr>
        <w:jc w:val="both"/>
        <w:rPr>
          <w:lang w:val="de-DE"/>
        </w:rPr>
      </w:pPr>
    </w:p>
    <w:p w14:paraId="025C4987" w14:textId="77777777" w:rsidR="00930654" w:rsidRPr="004676F5" w:rsidRDefault="00930654" w:rsidP="00930654">
      <w:pPr>
        <w:jc w:val="both"/>
        <w:rPr>
          <w:lang w:val="de-DE"/>
        </w:rPr>
      </w:pPr>
      <w:r w:rsidRPr="004676F5">
        <w:rPr>
          <w:lang w:val="de-DE"/>
        </w:rPr>
        <w:tab/>
        <w:t>2. Patentanmelder,</w:t>
      </w:r>
    </w:p>
    <w:p w14:paraId="297D7E4F" w14:textId="77777777" w:rsidR="00930654" w:rsidRPr="004676F5" w:rsidRDefault="00930654" w:rsidP="00930654">
      <w:pPr>
        <w:jc w:val="both"/>
        <w:rPr>
          <w:lang w:val="de-DE"/>
        </w:rPr>
      </w:pPr>
    </w:p>
    <w:p w14:paraId="4E63745E" w14:textId="77777777" w:rsidR="00930654" w:rsidRPr="004676F5" w:rsidRDefault="00930654" w:rsidP="00930654">
      <w:pPr>
        <w:jc w:val="both"/>
        <w:rPr>
          <w:lang w:val="de-DE"/>
        </w:rPr>
      </w:pPr>
      <w:r w:rsidRPr="004676F5">
        <w:rPr>
          <w:lang w:val="de-DE"/>
        </w:rPr>
        <w:tab/>
        <w:t>3. Patentinhaber,</w:t>
      </w:r>
    </w:p>
    <w:p w14:paraId="5874188F" w14:textId="77777777" w:rsidR="00930654" w:rsidRPr="004676F5" w:rsidRDefault="00930654" w:rsidP="00930654">
      <w:pPr>
        <w:jc w:val="both"/>
        <w:rPr>
          <w:lang w:val="de-DE"/>
        </w:rPr>
      </w:pPr>
    </w:p>
    <w:p w14:paraId="78DEFAB1" w14:textId="77777777" w:rsidR="00930654" w:rsidRPr="004676F5" w:rsidRDefault="00930654" w:rsidP="00930654">
      <w:pPr>
        <w:jc w:val="both"/>
        <w:rPr>
          <w:lang w:val="de-DE"/>
        </w:rPr>
      </w:pPr>
      <w:r w:rsidRPr="004676F5">
        <w:rPr>
          <w:lang w:val="de-DE"/>
        </w:rPr>
        <w:lastRenderedPageBreak/>
        <w:tab/>
        <w:t>4. Erfinder,</w:t>
      </w:r>
    </w:p>
    <w:p w14:paraId="1D4442DA" w14:textId="77777777" w:rsidR="00930654" w:rsidRPr="004676F5" w:rsidRDefault="00930654" w:rsidP="00930654">
      <w:pPr>
        <w:jc w:val="both"/>
        <w:rPr>
          <w:lang w:val="de-DE"/>
        </w:rPr>
      </w:pPr>
    </w:p>
    <w:p w14:paraId="5EC5640F" w14:textId="77777777" w:rsidR="00930654" w:rsidRPr="004676F5" w:rsidRDefault="00930654" w:rsidP="00930654">
      <w:pPr>
        <w:jc w:val="both"/>
        <w:rPr>
          <w:lang w:val="de-DE"/>
        </w:rPr>
      </w:pPr>
      <w:r w:rsidRPr="004676F5">
        <w:rPr>
          <w:lang w:val="de-DE"/>
        </w:rPr>
        <w:tab/>
        <w:t>5. Vertreter,</w:t>
      </w:r>
    </w:p>
    <w:p w14:paraId="559C7C7F" w14:textId="77777777" w:rsidR="00930654" w:rsidRPr="004676F5" w:rsidRDefault="00930654" w:rsidP="00930654">
      <w:pPr>
        <w:jc w:val="both"/>
        <w:rPr>
          <w:lang w:val="de-DE"/>
        </w:rPr>
      </w:pPr>
    </w:p>
    <w:p w14:paraId="6F61074D" w14:textId="77777777" w:rsidR="00930654" w:rsidRPr="004676F5" w:rsidRDefault="00930654" w:rsidP="00930654">
      <w:pPr>
        <w:jc w:val="both"/>
        <w:rPr>
          <w:lang w:val="de-DE"/>
        </w:rPr>
      </w:pPr>
      <w:r w:rsidRPr="004676F5">
        <w:rPr>
          <w:lang w:val="de-DE"/>
        </w:rPr>
        <w:tab/>
        <w:t>6. Zahler,</w:t>
      </w:r>
    </w:p>
    <w:p w14:paraId="7861F5C7" w14:textId="77777777" w:rsidR="00930654" w:rsidRPr="004676F5" w:rsidRDefault="00930654" w:rsidP="00930654">
      <w:pPr>
        <w:jc w:val="both"/>
        <w:rPr>
          <w:lang w:val="de-DE"/>
        </w:rPr>
      </w:pPr>
    </w:p>
    <w:p w14:paraId="611EC735" w14:textId="77777777" w:rsidR="00930654" w:rsidRPr="004676F5" w:rsidRDefault="00930654" w:rsidP="00930654">
      <w:pPr>
        <w:jc w:val="both"/>
        <w:rPr>
          <w:lang w:val="de-DE"/>
        </w:rPr>
      </w:pPr>
      <w:r w:rsidRPr="004676F5">
        <w:rPr>
          <w:lang w:val="de-DE"/>
        </w:rPr>
        <w:tab/>
        <w:t>7. Personen, die an einem Verfahren zur Änderung des Status einer Patentanmeldung oder eines Patents beteiligt sind, wie Lizenznehmer, Pfandgläubiger, pfändende Gläubiger, Nießbraucher und Nackteigentümer,</w:t>
      </w:r>
    </w:p>
    <w:p w14:paraId="74CD1617" w14:textId="77777777" w:rsidR="00930654" w:rsidRPr="004676F5" w:rsidRDefault="00930654" w:rsidP="00930654">
      <w:pPr>
        <w:jc w:val="both"/>
        <w:rPr>
          <w:lang w:val="de-DE"/>
        </w:rPr>
      </w:pPr>
    </w:p>
    <w:p w14:paraId="7AD56863" w14:textId="77777777" w:rsidR="00930654" w:rsidRPr="004676F5" w:rsidRDefault="00930654" w:rsidP="00930654">
      <w:pPr>
        <w:jc w:val="both"/>
        <w:rPr>
          <w:lang w:val="de-DE"/>
        </w:rPr>
      </w:pPr>
      <w:r w:rsidRPr="004676F5">
        <w:rPr>
          <w:lang w:val="de-DE"/>
        </w:rPr>
        <w:tab/>
        <w:t>8. andere Personen, die ein Recht auf ein Patent oder eine Patentanmeldung haben oder beanspruchen,</w:t>
      </w:r>
    </w:p>
    <w:p w14:paraId="68129DDE" w14:textId="77777777" w:rsidR="00930654" w:rsidRPr="004676F5" w:rsidRDefault="00930654" w:rsidP="00930654">
      <w:pPr>
        <w:jc w:val="both"/>
        <w:rPr>
          <w:lang w:val="de-DE"/>
        </w:rPr>
      </w:pPr>
    </w:p>
    <w:p w14:paraId="2D3F29E3" w14:textId="77777777" w:rsidR="00930654" w:rsidRPr="004676F5" w:rsidRDefault="00930654" w:rsidP="00930654">
      <w:pPr>
        <w:jc w:val="both"/>
        <w:rPr>
          <w:lang w:val="de-DE"/>
        </w:rPr>
      </w:pPr>
      <w:r w:rsidRPr="004676F5">
        <w:rPr>
          <w:lang w:val="de-DE"/>
        </w:rPr>
        <w:tab/>
        <w:t>9. Dritte, die an einem Verfahren beteiligt sind, das in den Zuständigkeitsbereich des Amtes fällt, und</w:t>
      </w:r>
    </w:p>
    <w:p w14:paraId="6B36B3F1" w14:textId="77777777" w:rsidR="00930654" w:rsidRPr="004676F5" w:rsidRDefault="00930654" w:rsidP="00930654">
      <w:pPr>
        <w:jc w:val="both"/>
        <w:rPr>
          <w:lang w:val="de-DE"/>
        </w:rPr>
      </w:pPr>
    </w:p>
    <w:p w14:paraId="2CA21385" w14:textId="77777777" w:rsidR="00930654" w:rsidRPr="004676F5" w:rsidRDefault="00930654" w:rsidP="00930654">
      <w:pPr>
        <w:jc w:val="both"/>
        <w:rPr>
          <w:lang w:val="de-DE"/>
        </w:rPr>
      </w:pPr>
      <w:r w:rsidRPr="004676F5">
        <w:rPr>
          <w:lang w:val="de-DE"/>
        </w:rPr>
        <w:tab/>
        <w:t>10. Personen, die direkt oder indirekt mit dem Amt in Kontakt treten.</w:t>
      </w:r>
    </w:p>
    <w:p w14:paraId="60D3AF9A" w14:textId="77777777" w:rsidR="00930654" w:rsidRPr="004676F5" w:rsidRDefault="00930654" w:rsidP="00930654">
      <w:pPr>
        <w:jc w:val="both"/>
        <w:rPr>
          <w:lang w:val="de-DE"/>
        </w:rPr>
      </w:pPr>
    </w:p>
    <w:p w14:paraId="3404A26E" w14:textId="77777777" w:rsidR="00930654" w:rsidRPr="004676F5" w:rsidRDefault="00930654" w:rsidP="00930654">
      <w:pPr>
        <w:jc w:val="both"/>
        <w:rPr>
          <w:lang w:val="de-DE"/>
        </w:rPr>
      </w:pPr>
      <w:r w:rsidRPr="004676F5">
        <w:rPr>
          <w:lang w:val="de-DE"/>
        </w:rPr>
        <w:tab/>
        <w:t>Der König kann die Listen der in den Absätzen 1 und 2 vorgesehenen Kategorien von Daten und von Personen näher bestimmen.</w:t>
      </w:r>
    </w:p>
    <w:p w14:paraId="30D816A0" w14:textId="77777777" w:rsidR="00930654" w:rsidRPr="004676F5" w:rsidRDefault="00930654" w:rsidP="00930654">
      <w:pPr>
        <w:jc w:val="both"/>
        <w:rPr>
          <w:lang w:val="de-DE"/>
        </w:rPr>
      </w:pPr>
    </w:p>
    <w:p w14:paraId="6CE8C898" w14:textId="77777777" w:rsidR="00930654" w:rsidRPr="004676F5" w:rsidRDefault="00930654" w:rsidP="00930654">
      <w:pPr>
        <w:jc w:val="both"/>
        <w:rPr>
          <w:lang w:val="de-DE"/>
        </w:rPr>
      </w:pPr>
      <w:r w:rsidRPr="004676F5">
        <w:rPr>
          <w:lang w:val="de-DE"/>
        </w:rPr>
        <w:tab/>
        <w:t>§ 4 - Sofern nichts anderes bestimmt ist, ist der Zugang zu den in § 2 erwähnten personenbezogenen Daten auf die Personen beschränkt, deren Funktion die Verarbeitung dieser Daten erfordert, und ausschließlich in Bezug auf die für diese Verarbeitung erforderlichen Daten. Zu den Kategorien von Personen, deren Funktion die Verarbeitung dieser Daten erfordert, gehören insbesondere die Mitglieder des Amtes, die Mitglieder der für die IT-Infrastruktur zuständigen Abteilungen, die Mitglieder der für die Buchhaltung zuständigen Abteilungen, die Mitglieder der für interne Kontrollen zuständigen Abteilungen, einschließlich der Kontrollen in Bezug auf personenbezogene Daten, und gegebenenfalls Subunternehmer dieser verschiedenen Abteilungen, deren Zugang für die Erfüllung ihrer Aufträge erforderlich ist. Diese personenbezogenen Daten werden nicht öffentlich zugänglich gemacht, es sei denn, die betreffende Person hat ausdrücklich ihre Zustimmung gegeben.</w:t>
      </w:r>
    </w:p>
    <w:p w14:paraId="39647292" w14:textId="77777777" w:rsidR="00930654" w:rsidRPr="004676F5" w:rsidRDefault="00930654" w:rsidP="00930654">
      <w:pPr>
        <w:jc w:val="both"/>
        <w:rPr>
          <w:lang w:val="de-DE"/>
        </w:rPr>
      </w:pPr>
    </w:p>
    <w:p w14:paraId="5D8C0E8C" w14:textId="77777777" w:rsidR="00930654" w:rsidRPr="004676F5" w:rsidRDefault="00930654" w:rsidP="00930654">
      <w:pPr>
        <w:jc w:val="both"/>
        <w:rPr>
          <w:lang w:val="de-DE"/>
        </w:rPr>
      </w:pPr>
      <w:r w:rsidRPr="004676F5">
        <w:rPr>
          <w:lang w:val="de-DE"/>
        </w:rPr>
        <w:tab/>
        <w:t>§ 5 - Mit Ausnahme der in Absatz 2 erwähnten Daten werden die Daten in der Datenbank auf unbegrenzte Zeit gespeichert.</w:t>
      </w:r>
    </w:p>
    <w:p w14:paraId="611703F3" w14:textId="77777777" w:rsidR="00930654" w:rsidRPr="004676F5" w:rsidRDefault="00930654" w:rsidP="00930654">
      <w:pPr>
        <w:jc w:val="both"/>
        <w:rPr>
          <w:lang w:val="de-DE"/>
        </w:rPr>
      </w:pPr>
    </w:p>
    <w:p w14:paraId="4AFF5B1E" w14:textId="77777777" w:rsidR="00930654" w:rsidRPr="004676F5" w:rsidRDefault="00930654" w:rsidP="00930654">
      <w:pPr>
        <w:jc w:val="both"/>
        <w:rPr>
          <w:lang w:val="de-DE"/>
        </w:rPr>
      </w:pPr>
      <w:r w:rsidRPr="004676F5">
        <w:rPr>
          <w:lang w:val="de-DE"/>
        </w:rPr>
        <w:tab/>
        <w:t>Die in der Datenbank enthaltenen personenbezogenen Daten, die nicht im Register und in der Sammlung enthalten sind und nicht untrennbar mit den im Register und in der Sammlung enthaltenen Daten verbunden sind, werden für einen Zeitraum gespeichert, den der König festlegt unter Berücksichtigung der den Belgischen Staat bindenden Verjährungsfristen und der Notwendigkeit, eine effiziente Verwaltung der Löschung dieser Daten zu gewährleisten.</w:t>
      </w:r>
    </w:p>
    <w:p w14:paraId="41575F92" w14:textId="77777777" w:rsidR="00930654" w:rsidRPr="004676F5" w:rsidRDefault="00930654" w:rsidP="00930654">
      <w:pPr>
        <w:jc w:val="both"/>
        <w:rPr>
          <w:lang w:val="de-DE"/>
        </w:rPr>
      </w:pPr>
    </w:p>
    <w:p w14:paraId="4FFA3D6E" w14:textId="3AB572B0" w:rsidR="00930654" w:rsidRPr="004676F5" w:rsidRDefault="00930654" w:rsidP="00930654">
      <w:pPr>
        <w:jc w:val="both"/>
        <w:rPr>
          <w:lang w:val="de-DE"/>
        </w:rPr>
      </w:pPr>
      <w:r w:rsidRPr="004676F5">
        <w:rPr>
          <w:lang w:val="de-DE"/>
        </w:rPr>
        <w:tab/>
        <w:t>Der König kann festlegen, welche personenbezogenen Daten nicht untrennbar mit den im Register und in der Sammlung enthaltenen Daten verbunden sind.]</w:t>
      </w:r>
    </w:p>
    <w:p w14:paraId="65E881D1" w14:textId="77777777" w:rsidR="00930654" w:rsidRPr="004676F5" w:rsidRDefault="00930654" w:rsidP="00930654">
      <w:pPr>
        <w:jc w:val="both"/>
        <w:rPr>
          <w:lang w:val="de-DE"/>
        </w:rPr>
      </w:pPr>
    </w:p>
    <w:p w14:paraId="764D4BBD" w14:textId="5D40439C" w:rsidR="00930654" w:rsidRPr="004676F5" w:rsidRDefault="00930654" w:rsidP="00930654">
      <w:pPr>
        <w:jc w:val="both"/>
        <w:rPr>
          <w:i/>
          <w:iCs/>
          <w:lang w:val="de-DE"/>
        </w:rPr>
      </w:pPr>
      <w:r w:rsidRPr="004676F5">
        <w:rPr>
          <w:i/>
          <w:iCs/>
          <w:lang w:val="de-DE"/>
        </w:rPr>
        <w:t>[Art. XI.80/1 eingefügt durch Art. 19 des G. vom 25. September 2022 (B.S. vom 24. Oktober 2022)]</w:t>
      </w:r>
    </w:p>
    <w:p w14:paraId="4E13732F" w14:textId="77777777" w:rsidR="00930654" w:rsidRPr="004676F5" w:rsidRDefault="00930654" w:rsidP="00930654">
      <w:pPr>
        <w:jc w:val="both"/>
        <w:rPr>
          <w:lang w:val="de-DE"/>
        </w:rPr>
      </w:pPr>
    </w:p>
    <w:p w14:paraId="5B36C430" w14:textId="77777777" w:rsidR="00930654" w:rsidRPr="004676F5" w:rsidRDefault="00930654" w:rsidP="00930654">
      <w:pPr>
        <w:jc w:val="both"/>
        <w:rPr>
          <w:lang w:val="de-DE"/>
        </w:rPr>
      </w:pPr>
    </w:p>
    <w:p w14:paraId="5CF2624A" w14:textId="3D9E3828" w:rsidR="00930654" w:rsidRPr="004676F5" w:rsidRDefault="00930654" w:rsidP="00930654">
      <w:pPr>
        <w:ind w:firstLine="708"/>
        <w:jc w:val="both"/>
        <w:rPr>
          <w:lang w:val="de-DE"/>
        </w:rPr>
      </w:pPr>
      <w:r w:rsidRPr="004676F5">
        <w:rPr>
          <w:lang w:val="de-DE"/>
        </w:rPr>
        <w:t>[</w:t>
      </w:r>
      <w:r w:rsidRPr="004676F5">
        <w:rPr>
          <w:b/>
          <w:bCs/>
          <w:lang w:val="de-DE"/>
        </w:rPr>
        <w:t>Art. XI.80/2</w:t>
      </w:r>
      <w:r w:rsidRPr="004676F5">
        <w:rPr>
          <w:lang w:val="de-DE"/>
        </w:rPr>
        <w:t xml:space="preserve"> - Daten, die vom Föderalen Öffentlichen Dienst Wirtschaft, KMB, Mittelstand und Energie in seiner Eigenschaft als für die Verarbeitung Verantwortlicher verarbeitet werden, einschließlich der verschiedenen Kategorien von personenbezogenen </w:t>
      </w:r>
      <w:r w:rsidRPr="004676F5">
        <w:rPr>
          <w:lang w:val="de-DE"/>
        </w:rPr>
        <w:lastRenderedPageBreak/>
        <w:t>Daten, werden zur Erfüllung der ihm übertragenen Aufträge öffentlichen Interesses im Bereich des geistigen Eigentums verarbeitet, insbesondere:</w:t>
      </w:r>
    </w:p>
    <w:p w14:paraId="59B1A253" w14:textId="77777777" w:rsidR="00930654" w:rsidRPr="004676F5" w:rsidRDefault="00930654" w:rsidP="00930654">
      <w:pPr>
        <w:jc w:val="both"/>
        <w:rPr>
          <w:lang w:val="de-DE"/>
        </w:rPr>
      </w:pPr>
    </w:p>
    <w:p w14:paraId="0EAD2425" w14:textId="77777777" w:rsidR="00930654" w:rsidRPr="004676F5" w:rsidRDefault="00930654" w:rsidP="00930654">
      <w:pPr>
        <w:jc w:val="both"/>
        <w:rPr>
          <w:lang w:val="de-DE"/>
        </w:rPr>
      </w:pPr>
      <w:r w:rsidRPr="004676F5">
        <w:rPr>
          <w:lang w:val="de-DE"/>
        </w:rPr>
        <w:tab/>
        <w:t>1. der Verwaltung der Verfahren für Patentanmeldungen und erteilte Patente, die in den Bestimmungen des vorliegenden Titels und in den Erlassen zur Ausführung dieser Bestimmungen beschrieben sind,</w:t>
      </w:r>
    </w:p>
    <w:p w14:paraId="235058B0" w14:textId="77777777" w:rsidR="00930654" w:rsidRPr="004676F5" w:rsidRDefault="00930654" w:rsidP="00930654">
      <w:pPr>
        <w:jc w:val="both"/>
        <w:rPr>
          <w:lang w:val="de-DE"/>
        </w:rPr>
      </w:pPr>
    </w:p>
    <w:p w14:paraId="5C672915" w14:textId="77777777" w:rsidR="00930654" w:rsidRPr="004676F5" w:rsidRDefault="00930654" w:rsidP="00930654">
      <w:pPr>
        <w:jc w:val="both"/>
        <w:rPr>
          <w:lang w:val="de-DE"/>
        </w:rPr>
      </w:pPr>
      <w:r w:rsidRPr="004676F5">
        <w:rPr>
          <w:lang w:val="de-DE"/>
        </w:rPr>
        <w:tab/>
        <w:t>2. der weitestmöglichen Verbreitung der in Patentanmeldungen und Patenten enthaltenen Informationen,</w:t>
      </w:r>
    </w:p>
    <w:p w14:paraId="7C9FFFF7" w14:textId="77777777" w:rsidR="00930654" w:rsidRPr="004676F5" w:rsidRDefault="00930654" w:rsidP="00930654">
      <w:pPr>
        <w:jc w:val="both"/>
        <w:rPr>
          <w:lang w:val="de-DE"/>
        </w:rPr>
      </w:pPr>
    </w:p>
    <w:p w14:paraId="212B91CE" w14:textId="77777777" w:rsidR="00930654" w:rsidRPr="004676F5" w:rsidRDefault="00930654" w:rsidP="00930654">
      <w:pPr>
        <w:jc w:val="both"/>
        <w:rPr>
          <w:lang w:val="de-DE"/>
        </w:rPr>
      </w:pPr>
      <w:r w:rsidRPr="004676F5">
        <w:rPr>
          <w:lang w:val="de-DE"/>
        </w:rPr>
        <w:tab/>
        <w:t>3. der Führung des Registers und der Sammlung im Hinblick auf die Akteneinsicht durch öffentliche Behörden und Wirtschaftsakteure und deren Information, damit sie ihre Rechte aus vorliegendem Gesetzbuch ausüben und sich über das Bestehen früherer Rechte Dritter erkundigen können,</w:t>
      </w:r>
    </w:p>
    <w:p w14:paraId="1F85550B" w14:textId="77777777" w:rsidR="00930654" w:rsidRPr="004676F5" w:rsidRDefault="00930654" w:rsidP="00930654">
      <w:pPr>
        <w:jc w:val="both"/>
        <w:rPr>
          <w:lang w:val="de-DE"/>
        </w:rPr>
      </w:pPr>
    </w:p>
    <w:p w14:paraId="591C4C3B" w14:textId="77777777" w:rsidR="00930654" w:rsidRPr="004676F5" w:rsidRDefault="00930654" w:rsidP="00930654">
      <w:pPr>
        <w:jc w:val="both"/>
        <w:rPr>
          <w:lang w:val="de-DE"/>
        </w:rPr>
      </w:pPr>
      <w:r w:rsidRPr="004676F5">
        <w:rPr>
          <w:lang w:val="de-DE"/>
        </w:rPr>
        <w:tab/>
        <w:t>4. der Verwaltung der Verfahren, die die Vertretung vor dem Amt betreffen,</w:t>
      </w:r>
    </w:p>
    <w:p w14:paraId="2DA546FB" w14:textId="77777777" w:rsidR="00930654" w:rsidRPr="004676F5" w:rsidRDefault="00930654" w:rsidP="00930654">
      <w:pPr>
        <w:jc w:val="both"/>
        <w:rPr>
          <w:lang w:val="de-DE"/>
        </w:rPr>
      </w:pPr>
    </w:p>
    <w:p w14:paraId="38A0D2F7" w14:textId="77777777" w:rsidR="00930654" w:rsidRPr="004676F5" w:rsidRDefault="00930654" w:rsidP="00930654">
      <w:pPr>
        <w:jc w:val="both"/>
        <w:rPr>
          <w:lang w:val="de-DE"/>
        </w:rPr>
      </w:pPr>
      <w:r w:rsidRPr="004676F5">
        <w:rPr>
          <w:lang w:val="de-DE"/>
        </w:rPr>
        <w:tab/>
        <w:t>5. der Förderung des geistigen Eigentums und der Sensibilisierung dafür,</w:t>
      </w:r>
    </w:p>
    <w:p w14:paraId="0CCA2806" w14:textId="77777777" w:rsidR="00930654" w:rsidRPr="004676F5" w:rsidRDefault="00930654" w:rsidP="00930654">
      <w:pPr>
        <w:jc w:val="both"/>
        <w:rPr>
          <w:lang w:val="de-DE"/>
        </w:rPr>
      </w:pPr>
    </w:p>
    <w:p w14:paraId="3A880B5A" w14:textId="35C66E2B" w:rsidR="00930654" w:rsidRPr="004676F5" w:rsidRDefault="00930654" w:rsidP="00930654">
      <w:pPr>
        <w:jc w:val="both"/>
        <w:rPr>
          <w:lang w:val="de-DE"/>
        </w:rPr>
      </w:pPr>
      <w:r w:rsidRPr="004676F5">
        <w:rPr>
          <w:lang w:val="de-DE"/>
        </w:rPr>
        <w:tab/>
        <w:t>6. der Erstellung von Berichten und Statistiken, die es dem Amt ermöglichen, seine Tätigkeiten zu optimieren und das Funktionieren des Systems des geistigen Eigentums zu verbessern.]</w:t>
      </w:r>
    </w:p>
    <w:p w14:paraId="15F7D80E" w14:textId="77777777" w:rsidR="00930654" w:rsidRPr="004676F5" w:rsidRDefault="00930654" w:rsidP="00930654">
      <w:pPr>
        <w:jc w:val="both"/>
        <w:rPr>
          <w:lang w:val="de-DE"/>
        </w:rPr>
      </w:pPr>
    </w:p>
    <w:p w14:paraId="2EE0C364" w14:textId="51195E7A" w:rsidR="00930654" w:rsidRPr="004676F5" w:rsidRDefault="00930654" w:rsidP="00930654">
      <w:pPr>
        <w:jc w:val="both"/>
        <w:rPr>
          <w:i/>
          <w:iCs/>
          <w:lang w:val="de-DE"/>
        </w:rPr>
      </w:pPr>
      <w:r w:rsidRPr="004676F5">
        <w:rPr>
          <w:i/>
          <w:iCs/>
          <w:lang w:val="de-DE"/>
        </w:rPr>
        <w:t>[Art. XI.80/2 eingefügt durch Art. 20 des G. vom 25. September 2022 (B.S. vom 24. Oktober 2022)]</w:t>
      </w:r>
    </w:p>
    <w:p w14:paraId="03E97957" w14:textId="77777777" w:rsidR="00930654" w:rsidRPr="004676F5" w:rsidRDefault="00930654" w:rsidP="00930654">
      <w:pPr>
        <w:jc w:val="both"/>
        <w:rPr>
          <w:lang w:val="de-DE"/>
        </w:rPr>
      </w:pPr>
    </w:p>
    <w:p w14:paraId="704DDFDD" w14:textId="77777777" w:rsidR="00CE5A09" w:rsidRPr="004676F5" w:rsidRDefault="00CE5A09" w:rsidP="001527B1">
      <w:pPr>
        <w:ind w:firstLine="708"/>
        <w:jc w:val="both"/>
        <w:rPr>
          <w:lang w:val="de-DE"/>
        </w:rPr>
      </w:pPr>
    </w:p>
    <w:p w14:paraId="76921712" w14:textId="61D5DED0" w:rsidR="001527B1" w:rsidRPr="004676F5" w:rsidRDefault="00BE0A56" w:rsidP="001527B1">
      <w:pPr>
        <w:ind w:firstLine="708"/>
        <w:jc w:val="both"/>
        <w:rPr>
          <w:lang w:val="de-DE"/>
        </w:rPr>
      </w:pPr>
      <w:r w:rsidRPr="004676F5">
        <w:rPr>
          <w:b/>
          <w:lang w:val="de-DE"/>
        </w:rPr>
        <w:t>Art. </w:t>
      </w:r>
      <w:r w:rsidR="001527B1" w:rsidRPr="004676F5">
        <w:rPr>
          <w:b/>
          <w:lang w:val="de-DE"/>
        </w:rPr>
        <w:t>XI.81</w:t>
      </w:r>
      <w:r w:rsidR="001527B1" w:rsidRPr="004676F5">
        <w:rPr>
          <w:lang w:val="de-DE"/>
        </w:rPr>
        <w:t> </w:t>
      </w:r>
      <w:r w:rsidR="005B7A5C" w:rsidRPr="004676F5">
        <w:rPr>
          <w:lang w:val="de-DE"/>
        </w:rPr>
        <w:t>- </w:t>
      </w:r>
      <w:r w:rsidR="001527B1" w:rsidRPr="004676F5">
        <w:rPr>
          <w:lang w:val="de-DE"/>
        </w:rPr>
        <w:t>Der König bestimmt die Modalitäten, gemäß denen Bürger und Betriebe auf elektronischem Wege mit dem Amt kommunizieren und ihm Unterlagen und Urkunden in elektronischer Form übermitteln können.</w:t>
      </w:r>
    </w:p>
    <w:p w14:paraId="5D8BFC0F" w14:textId="77777777" w:rsidR="001527B1" w:rsidRPr="004676F5" w:rsidRDefault="001527B1" w:rsidP="001527B1">
      <w:pPr>
        <w:ind w:firstLine="708"/>
        <w:jc w:val="both"/>
        <w:rPr>
          <w:lang w:val="de-DE"/>
        </w:rPr>
      </w:pPr>
    </w:p>
    <w:p w14:paraId="5E51A24A" w14:textId="77777777" w:rsidR="00CE5A09" w:rsidRPr="004676F5" w:rsidRDefault="00CE5A09" w:rsidP="001527B1">
      <w:pPr>
        <w:ind w:firstLine="708"/>
        <w:jc w:val="both"/>
        <w:rPr>
          <w:lang w:val="de-DE"/>
        </w:rPr>
      </w:pPr>
    </w:p>
    <w:p w14:paraId="7CCBDEB9" w14:textId="77777777" w:rsidR="00CE5A09" w:rsidRPr="004676F5" w:rsidRDefault="00CE5A09">
      <w:pPr>
        <w:rPr>
          <w:lang w:val="de-DE"/>
        </w:rPr>
      </w:pPr>
      <w:r w:rsidRPr="004676F5">
        <w:rPr>
          <w:lang w:val="de-DE"/>
        </w:rPr>
        <w:br w:type="page"/>
      </w:r>
    </w:p>
    <w:p w14:paraId="342C6A5A" w14:textId="5F8BC7D5" w:rsidR="001527B1" w:rsidRPr="004676F5" w:rsidRDefault="001527B1" w:rsidP="001527B1">
      <w:pPr>
        <w:jc w:val="center"/>
        <w:rPr>
          <w:i/>
          <w:lang w:val="de-DE"/>
        </w:rPr>
      </w:pPr>
      <w:r w:rsidRPr="004676F5">
        <w:rPr>
          <w:lang w:val="de-DE"/>
        </w:rPr>
        <w:lastRenderedPageBreak/>
        <w:t>KAPITEL 5 </w:t>
      </w:r>
      <w:r w:rsidR="005B7A5C" w:rsidRPr="004676F5">
        <w:rPr>
          <w:lang w:val="de-DE"/>
        </w:rPr>
        <w:t>- </w:t>
      </w:r>
      <w:r w:rsidRPr="004676F5">
        <w:rPr>
          <w:i/>
          <w:lang w:val="de-DE"/>
        </w:rPr>
        <w:t>Europäische Patente</w:t>
      </w:r>
    </w:p>
    <w:p w14:paraId="26F8BE03" w14:textId="77777777" w:rsidR="001527B1" w:rsidRPr="004676F5" w:rsidRDefault="001527B1" w:rsidP="001527B1">
      <w:pPr>
        <w:ind w:firstLine="708"/>
        <w:jc w:val="both"/>
        <w:rPr>
          <w:lang w:val="de-DE"/>
        </w:rPr>
      </w:pPr>
    </w:p>
    <w:p w14:paraId="2F9E3F39" w14:textId="77777777" w:rsidR="00CE5A09" w:rsidRPr="004676F5" w:rsidRDefault="00CE5A09" w:rsidP="001527B1">
      <w:pPr>
        <w:ind w:firstLine="708"/>
        <w:jc w:val="both"/>
        <w:rPr>
          <w:lang w:val="de-DE"/>
        </w:rPr>
      </w:pPr>
    </w:p>
    <w:p w14:paraId="3C3C145F" w14:textId="77777777" w:rsidR="00930654" w:rsidRPr="004676F5" w:rsidRDefault="00BE0A56" w:rsidP="00930654">
      <w:pPr>
        <w:ind w:firstLine="708"/>
        <w:jc w:val="both"/>
        <w:rPr>
          <w:lang w:val="de-DE"/>
        </w:rPr>
      </w:pPr>
      <w:r w:rsidRPr="004676F5">
        <w:rPr>
          <w:b/>
          <w:lang w:val="de-DE"/>
        </w:rPr>
        <w:t>Art. </w:t>
      </w:r>
      <w:r w:rsidR="001527B1" w:rsidRPr="004676F5">
        <w:rPr>
          <w:b/>
          <w:lang w:val="de-DE"/>
        </w:rPr>
        <w:t>XI.82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930654" w:rsidRPr="004676F5">
        <w:rPr>
          <w:lang w:val="de-DE"/>
        </w:rPr>
        <w:t>[Gemäß den Bestimmungen des Europäischen Patentübereinkommens vorgenommene Patentanmeldungen werden beim Europäischen Patentamt eingereicht.</w:t>
      </w:r>
    </w:p>
    <w:p w14:paraId="67E666C9" w14:textId="77777777" w:rsidR="00930654" w:rsidRPr="004676F5" w:rsidRDefault="00930654" w:rsidP="00930654">
      <w:pPr>
        <w:jc w:val="both"/>
        <w:rPr>
          <w:lang w:val="de-DE"/>
        </w:rPr>
      </w:pPr>
    </w:p>
    <w:p w14:paraId="13D264ED" w14:textId="31E100A4" w:rsidR="001527B1" w:rsidRPr="004676F5" w:rsidRDefault="00930654" w:rsidP="00930654">
      <w:pPr>
        <w:ind w:firstLine="708"/>
        <w:jc w:val="both"/>
        <w:rPr>
          <w:lang w:val="de-DE"/>
        </w:rPr>
      </w:pPr>
      <w:r w:rsidRPr="004676F5">
        <w:rPr>
          <w:lang w:val="de-DE"/>
        </w:rPr>
        <w:t>§ 2 ­ In Abweichung von § 1 werden Patentanmeldungen gemäß den Bestimmungen des Europäischen Patentübereinkommens, die von belgischen Staatsangehörigen oder von Personen mit Wohnsitz oder Sitz in Belgien eingereicht werden und die Verteidigung des Staatsgebiets oder die Sicherheit des Staates betreffen können, beim Amt eingereicht. Die Bestimmungen des Gesetzes vom 10. Januar 1955 sind auf sie anwendbar.]</w:t>
      </w:r>
    </w:p>
    <w:p w14:paraId="097682F6" w14:textId="77777777" w:rsidR="001527B1" w:rsidRPr="004676F5" w:rsidRDefault="001527B1" w:rsidP="001527B1">
      <w:pPr>
        <w:ind w:firstLine="708"/>
        <w:jc w:val="both"/>
        <w:rPr>
          <w:lang w:val="de-DE"/>
        </w:rPr>
      </w:pPr>
    </w:p>
    <w:p w14:paraId="228AC6F3" w14:textId="2E6DA0C6"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Europäische Patentanmeldungen gewähren nicht den in Artikel 64 des Europäischen Patentübereinkommens erwähnten Schutz. Jedoch kann eine den Umständen angemessene Entschädigung von jeder Person verlangt werden, die die Erfindung, die Gegenstand der Anmeldung ist, in Belgien ab dem Datum genutzt hat, an dem die Patentansprüche beim Amt der Öffentlichkeit zugänglich gemacht oder dieser Person in einer der Landessprachen übergeben worden sind.</w:t>
      </w:r>
    </w:p>
    <w:p w14:paraId="40FF18DE" w14:textId="77777777" w:rsidR="001527B1" w:rsidRPr="004676F5" w:rsidRDefault="001527B1" w:rsidP="005F5270">
      <w:pPr>
        <w:jc w:val="both"/>
        <w:rPr>
          <w:lang w:val="de-DE"/>
        </w:rPr>
      </w:pPr>
    </w:p>
    <w:p w14:paraId="1569C628" w14:textId="3D0C4AA9" w:rsidR="005F5270" w:rsidRPr="004676F5" w:rsidRDefault="005F5270" w:rsidP="005F5270">
      <w:pPr>
        <w:jc w:val="both"/>
        <w:rPr>
          <w:i/>
          <w:lang w:val="de-DE"/>
        </w:rPr>
      </w:pPr>
      <w:r w:rsidRPr="004676F5">
        <w:rPr>
          <w:i/>
          <w:lang w:val="de-DE"/>
        </w:rPr>
        <w:t>[</w:t>
      </w:r>
      <w:r w:rsidR="00BE0A56" w:rsidRPr="004676F5">
        <w:rPr>
          <w:i/>
          <w:lang w:val="de-DE"/>
        </w:rPr>
        <w:t>Art. </w:t>
      </w:r>
      <w:r w:rsidRPr="004676F5">
        <w:rPr>
          <w:i/>
          <w:lang w:val="de-DE"/>
        </w:rPr>
        <w:t>XI.82 §</w:t>
      </w:r>
      <w:r w:rsidR="00930654" w:rsidRPr="004676F5">
        <w:rPr>
          <w:i/>
          <w:lang w:val="de-DE"/>
        </w:rPr>
        <w:t>§ 1 und 2 ersetzt durch Art. 21</w:t>
      </w:r>
      <w:r w:rsidR="00930654" w:rsidRPr="004676F5">
        <w:rPr>
          <w:i/>
          <w:iCs/>
          <w:lang w:val="de-DE"/>
        </w:rPr>
        <w:t xml:space="preserve"> des G. vom 25. September 2022 (B.S. vom 24. Oktober 2022)</w:t>
      </w:r>
      <w:r w:rsidRPr="004676F5">
        <w:rPr>
          <w:i/>
          <w:lang w:val="de-DE"/>
        </w:rPr>
        <w:t>]</w:t>
      </w:r>
    </w:p>
    <w:p w14:paraId="15E3A747" w14:textId="77777777" w:rsidR="005F5270" w:rsidRPr="004676F5" w:rsidRDefault="005F5270" w:rsidP="005F5270">
      <w:pPr>
        <w:jc w:val="both"/>
        <w:rPr>
          <w:lang w:val="de-DE"/>
        </w:rPr>
      </w:pPr>
    </w:p>
    <w:p w14:paraId="599511DA" w14:textId="77777777" w:rsidR="00CE5A09" w:rsidRPr="004676F5" w:rsidRDefault="00CE5A09" w:rsidP="001527B1">
      <w:pPr>
        <w:ind w:firstLine="708"/>
        <w:jc w:val="both"/>
        <w:rPr>
          <w:lang w:val="de-DE"/>
        </w:rPr>
      </w:pPr>
    </w:p>
    <w:p w14:paraId="46DAC7D7" w14:textId="5B2925BD" w:rsidR="003C488B" w:rsidRPr="004676F5" w:rsidRDefault="00BE0A56" w:rsidP="003C488B">
      <w:pPr>
        <w:ind w:firstLine="708"/>
        <w:jc w:val="both"/>
        <w:rPr>
          <w:lang w:val="de-DE"/>
        </w:rPr>
      </w:pPr>
      <w:r w:rsidRPr="004676F5">
        <w:rPr>
          <w:b/>
          <w:lang w:val="de-DE"/>
        </w:rPr>
        <w:t>Art. </w:t>
      </w:r>
      <w:r w:rsidR="001527B1" w:rsidRPr="004676F5">
        <w:rPr>
          <w:b/>
          <w:lang w:val="de-DE"/>
        </w:rPr>
        <w:t>XI.83</w:t>
      </w:r>
      <w:r w:rsidR="001527B1" w:rsidRPr="004676F5">
        <w:rPr>
          <w:lang w:val="de-DE"/>
        </w:rPr>
        <w:t> </w:t>
      </w:r>
      <w:r w:rsidR="005B7A5C" w:rsidRPr="004676F5">
        <w:rPr>
          <w:lang w:val="de-DE"/>
        </w:rPr>
        <w:t>- </w:t>
      </w:r>
      <w:r w:rsidR="003C488B" w:rsidRPr="004676F5">
        <w:rPr>
          <w:lang w:val="de-DE"/>
        </w:rPr>
        <w:t>[§ 1 </w:t>
      </w:r>
      <w:r w:rsidR="005B7A5C" w:rsidRPr="004676F5">
        <w:rPr>
          <w:lang w:val="de-DE"/>
        </w:rPr>
        <w:t>- </w:t>
      </w:r>
      <w:r w:rsidR="003C488B" w:rsidRPr="004676F5">
        <w:rPr>
          <w:lang w:val="de-DE"/>
        </w:rPr>
        <w:t xml:space="preserve">Ein Europäisches Patent ohne einheitliche Wirkung </w:t>
      </w:r>
      <w:r w:rsidR="005B7A5C" w:rsidRPr="004676F5">
        <w:rPr>
          <w:lang w:val="de-DE"/>
        </w:rPr>
        <w:t>- </w:t>
      </w:r>
      <w:r w:rsidR="003C488B" w:rsidRPr="004676F5">
        <w:rPr>
          <w:lang w:val="de-DE"/>
        </w:rPr>
        <w:t>so wie es vom Europäischen Patentamt infolge einer Patentanmeldung, in der Belgien als Bestimmungsstaat benannt worden ist, erteilt oder in geänderter oder beschränkter Form aufrechterhalten wird </w:t>
      </w:r>
      <w:r w:rsidR="005B7A5C" w:rsidRPr="004676F5">
        <w:rPr>
          <w:lang w:val="de-DE"/>
        </w:rPr>
        <w:t>- </w:t>
      </w:r>
      <w:r w:rsidR="003C488B" w:rsidRPr="004676F5">
        <w:rPr>
          <w:lang w:val="de-DE"/>
        </w:rPr>
        <w:t>verleiht seinem Inhaber ungeachtet der Amtssprache des Europäischen Patentamts, in der es erteilt und gegebenenfalls aufrechterhalten wird, ab dem Tag der Bekanntmachung des Hinweises auf die Patenterteilung oder gegebenenfalls des Beschlusses über die Aufrecht</w:t>
      </w:r>
      <w:r w:rsidR="003C488B" w:rsidRPr="004676F5">
        <w:rPr>
          <w:lang w:val="de-DE"/>
        </w:rPr>
        <w:softHyphen/>
        <w:t xml:space="preserve">erhaltung des Patents in geänderter oder beschränkter Form im </w:t>
      </w:r>
      <w:r w:rsidR="003C488B" w:rsidRPr="004676F5">
        <w:rPr>
          <w:i/>
          <w:lang w:val="de-DE"/>
        </w:rPr>
        <w:t>Europäischen Patentblatt</w:t>
      </w:r>
      <w:r w:rsidR="003C488B" w:rsidRPr="004676F5">
        <w:rPr>
          <w:lang w:val="de-DE"/>
        </w:rPr>
        <w:t xml:space="preserve"> dieselben Rechte wie ein belgisches Patent.</w:t>
      </w:r>
    </w:p>
    <w:p w14:paraId="52314F4F" w14:textId="77777777" w:rsidR="003C488B" w:rsidRPr="004676F5" w:rsidRDefault="003C488B" w:rsidP="003C488B">
      <w:pPr>
        <w:ind w:firstLine="708"/>
        <w:jc w:val="both"/>
        <w:rPr>
          <w:lang w:val="de-DE"/>
        </w:rPr>
      </w:pPr>
    </w:p>
    <w:p w14:paraId="48BC591F" w14:textId="27722430" w:rsidR="003C488B" w:rsidRPr="004676F5" w:rsidRDefault="003C488B" w:rsidP="003C488B">
      <w:pPr>
        <w:ind w:firstLine="708"/>
        <w:jc w:val="both"/>
        <w:rPr>
          <w:lang w:val="de-DE"/>
        </w:rPr>
      </w:pPr>
      <w:r w:rsidRPr="004676F5">
        <w:rPr>
          <w:lang w:val="de-DE"/>
        </w:rPr>
        <w:t>§ 2 </w:t>
      </w:r>
      <w:r w:rsidR="005B7A5C" w:rsidRPr="004676F5">
        <w:rPr>
          <w:lang w:val="de-DE"/>
        </w:rPr>
        <w:t>- </w:t>
      </w:r>
      <w:r w:rsidRPr="004676F5">
        <w:rPr>
          <w:lang w:val="de-DE"/>
        </w:rPr>
        <w:t>Das Amt für geistiges Eigentum führt ein Register über alle in § 1 erwähnten Europäischen Patente ohne einheitliche Wirkung, die auf nationalem Staatsgebiet Wirkung haben. Das Amt stellt der Öffentlichkeit den Text des Patents in der Amtssprache des Europäischen Patentamts, in der es erteilt und gegebenenfalls aufrechterhalten wird, zur Verfügung.</w:t>
      </w:r>
    </w:p>
    <w:p w14:paraId="7CB3E8C7" w14:textId="77777777" w:rsidR="003C488B" w:rsidRPr="004676F5" w:rsidRDefault="003C488B" w:rsidP="003C488B">
      <w:pPr>
        <w:ind w:firstLine="708"/>
        <w:jc w:val="both"/>
        <w:rPr>
          <w:lang w:val="de-DE"/>
        </w:rPr>
      </w:pPr>
    </w:p>
    <w:p w14:paraId="1CF6176D" w14:textId="7FFAE916" w:rsidR="003C488B" w:rsidRPr="004676F5" w:rsidRDefault="003C488B" w:rsidP="003C488B">
      <w:pPr>
        <w:ind w:firstLine="708"/>
        <w:jc w:val="both"/>
        <w:rPr>
          <w:lang w:val="de-DE"/>
        </w:rPr>
      </w:pPr>
      <w:r w:rsidRPr="004676F5">
        <w:rPr>
          <w:lang w:val="de-DE"/>
        </w:rPr>
        <w:t>§ 3 </w:t>
      </w:r>
      <w:r w:rsidR="005B7A5C" w:rsidRPr="004676F5">
        <w:rPr>
          <w:lang w:val="de-DE"/>
        </w:rPr>
        <w:t>- </w:t>
      </w:r>
      <w:r w:rsidRPr="004676F5">
        <w:rPr>
          <w:lang w:val="de-DE"/>
        </w:rPr>
        <w:t>Das Amt für geistiges Eigentum zieht für die Aufrechterhaltung des Europäischen Patents ohne einheitliche Wirkung für die Jahre nach dem Jahr der Bekanntmachung des Hinweises auf die Patenterteilung die nationalen Gebühren ein.</w:t>
      </w:r>
    </w:p>
    <w:p w14:paraId="27ED7143" w14:textId="77777777" w:rsidR="003C488B" w:rsidRPr="004676F5" w:rsidRDefault="003C488B" w:rsidP="003C488B">
      <w:pPr>
        <w:ind w:firstLine="708"/>
        <w:jc w:val="both"/>
        <w:rPr>
          <w:lang w:val="de-DE"/>
        </w:rPr>
      </w:pPr>
    </w:p>
    <w:p w14:paraId="5B1EE7D0" w14:textId="6E7B83D2" w:rsidR="003C488B" w:rsidRPr="004676F5" w:rsidRDefault="003C488B" w:rsidP="003C488B">
      <w:pPr>
        <w:ind w:firstLine="708"/>
        <w:jc w:val="both"/>
        <w:rPr>
          <w:lang w:val="de-DE"/>
        </w:rPr>
      </w:pPr>
      <w:r w:rsidRPr="004676F5">
        <w:rPr>
          <w:lang w:val="de-DE"/>
        </w:rPr>
        <w:t>§ 4 </w:t>
      </w:r>
      <w:r w:rsidR="005B7A5C" w:rsidRPr="004676F5">
        <w:rPr>
          <w:lang w:val="de-DE"/>
        </w:rPr>
        <w:t>- </w:t>
      </w:r>
      <w:r w:rsidRPr="004676F5">
        <w:rPr>
          <w:lang w:val="de-DE"/>
        </w:rPr>
        <w:t>Die Bestimmungen des Übereinkommens über ein Einheitliches Patentgericht gelten vorbehaltlich der Anwendung von Artikel 83 Absatz 1 bis 3 und 5 dieses Überein</w:t>
      </w:r>
      <w:r w:rsidRPr="004676F5">
        <w:rPr>
          <w:lang w:val="de-DE"/>
        </w:rPr>
        <w:softHyphen/>
        <w:t>kommens für Europäische Patente ohne einheitliche Wirkung, die auf belgischem Staatsgebiet als nationale Patente Wirkung erhalten haben.</w:t>
      </w:r>
    </w:p>
    <w:p w14:paraId="4BAFF38C" w14:textId="77777777" w:rsidR="003C488B" w:rsidRPr="004676F5" w:rsidRDefault="003C488B" w:rsidP="003C488B">
      <w:pPr>
        <w:ind w:firstLine="708"/>
        <w:jc w:val="both"/>
        <w:rPr>
          <w:lang w:val="de-DE"/>
        </w:rPr>
      </w:pPr>
    </w:p>
    <w:p w14:paraId="46447E6E" w14:textId="77777777" w:rsidR="00930654" w:rsidRPr="004676F5" w:rsidRDefault="00930654">
      <w:pPr>
        <w:rPr>
          <w:lang w:val="de-DE"/>
        </w:rPr>
      </w:pPr>
      <w:r w:rsidRPr="004676F5">
        <w:rPr>
          <w:lang w:val="de-DE"/>
        </w:rPr>
        <w:br w:type="page"/>
      </w:r>
    </w:p>
    <w:p w14:paraId="381F2BA9" w14:textId="571E7392" w:rsidR="001527B1" w:rsidRPr="004676F5" w:rsidRDefault="003C488B" w:rsidP="003C488B">
      <w:pPr>
        <w:ind w:firstLine="708"/>
        <w:jc w:val="both"/>
        <w:rPr>
          <w:lang w:val="de-DE"/>
        </w:rPr>
      </w:pPr>
      <w:r w:rsidRPr="004676F5">
        <w:rPr>
          <w:lang w:val="de-DE"/>
        </w:rPr>
        <w:lastRenderedPageBreak/>
        <w:t>§ 5 </w:t>
      </w:r>
      <w:r w:rsidR="005B7A5C" w:rsidRPr="004676F5">
        <w:rPr>
          <w:lang w:val="de-DE"/>
        </w:rPr>
        <w:t>- </w:t>
      </w:r>
      <w:r w:rsidRPr="004676F5">
        <w:rPr>
          <w:lang w:val="de-DE"/>
        </w:rPr>
        <w:t>Ist die einheitliche Wirkung eines Europäischen Patents aufgrund der Verord</w:t>
      </w:r>
      <w:r w:rsidRPr="004676F5">
        <w:rPr>
          <w:lang w:val="de-DE"/>
        </w:rPr>
        <w:softHyphen/>
        <w:t xml:space="preserve">nung (EU) 1257/2012 eingetragen worden, gilt die Wirkung des Europäischen Patents als nationales Patent am Tag der Bekanntmachung des Hinweises auf die Erteilung des Europäischen Patents im </w:t>
      </w:r>
      <w:r w:rsidRPr="004676F5">
        <w:rPr>
          <w:i/>
          <w:lang w:val="de-DE"/>
        </w:rPr>
        <w:t>Europäischen Patentblatt</w:t>
      </w:r>
      <w:r w:rsidRPr="004676F5">
        <w:rPr>
          <w:lang w:val="de-DE"/>
        </w:rPr>
        <w:t xml:space="preserve"> als nicht eingetreten.]</w:t>
      </w:r>
    </w:p>
    <w:p w14:paraId="1EDAB828" w14:textId="77777777" w:rsidR="003C488B" w:rsidRPr="004676F5" w:rsidRDefault="003C488B" w:rsidP="003C488B">
      <w:pPr>
        <w:ind w:firstLine="708"/>
        <w:jc w:val="both"/>
        <w:rPr>
          <w:lang w:val="de-DE"/>
        </w:rPr>
      </w:pPr>
    </w:p>
    <w:p w14:paraId="47D78E21" w14:textId="04041134" w:rsidR="003C488B" w:rsidRPr="004676F5" w:rsidRDefault="003C488B" w:rsidP="003C488B">
      <w:pPr>
        <w:jc w:val="both"/>
        <w:rPr>
          <w:i/>
          <w:lang w:val="de-DE"/>
        </w:rPr>
      </w:pPr>
      <w:r w:rsidRPr="004676F5">
        <w:rPr>
          <w:i/>
          <w:lang w:val="de-DE"/>
        </w:rPr>
        <w:t>[</w:t>
      </w:r>
      <w:r w:rsidR="00BE0A56" w:rsidRPr="004676F5">
        <w:rPr>
          <w:i/>
          <w:lang w:val="de-DE"/>
        </w:rPr>
        <w:t>Art. </w:t>
      </w:r>
      <w:r w:rsidRPr="004676F5">
        <w:rPr>
          <w:i/>
          <w:lang w:val="de-DE"/>
        </w:rPr>
        <w:t xml:space="preserve">XI.83 ersetzt durch </w:t>
      </w:r>
      <w:r w:rsidR="00BE0A56" w:rsidRPr="004676F5">
        <w:rPr>
          <w:i/>
          <w:lang w:val="de-DE"/>
        </w:rPr>
        <w:t>Art. </w:t>
      </w:r>
      <w:r w:rsidRPr="004676F5">
        <w:rPr>
          <w:i/>
          <w:lang w:val="de-DE"/>
        </w:rPr>
        <w:t>22 des G. vom 29. Juni 2016 (B.S. vom 6. Juli 2016)]</w:t>
      </w:r>
    </w:p>
    <w:p w14:paraId="33745949" w14:textId="3E01D58F" w:rsidR="001527B1" w:rsidRPr="004676F5" w:rsidRDefault="001527B1" w:rsidP="001527B1">
      <w:pPr>
        <w:ind w:firstLine="708"/>
        <w:jc w:val="both"/>
        <w:rPr>
          <w:lang w:val="de-DE"/>
        </w:rPr>
      </w:pPr>
    </w:p>
    <w:p w14:paraId="676AACAF" w14:textId="026F9855" w:rsidR="00EE610A" w:rsidRPr="004676F5" w:rsidRDefault="00EE610A" w:rsidP="001527B1">
      <w:pPr>
        <w:ind w:firstLine="708"/>
        <w:jc w:val="both"/>
        <w:rPr>
          <w:lang w:val="de-DE"/>
        </w:rPr>
      </w:pPr>
    </w:p>
    <w:p w14:paraId="4627AAB1" w14:textId="44242FBE" w:rsidR="00EE610A" w:rsidRPr="004676F5" w:rsidRDefault="00EE610A" w:rsidP="00EE610A">
      <w:pPr>
        <w:ind w:firstLine="708"/>
        <w:jc w:val="both"/>
        <w:rPr>
          <w:lang w:val="de-DE"/>
        </w:rPr>
      </w:pPr>
      <w:r w:rsidRPr="004676F5">
        <w:rPr>
          <w:lang w:val="de-DE"/>
        </w:rPr>
        <w:t>[</w:t>
      </w:r>
      <w:r w:rsidRPr="004676F5">
        <w:rPr>
          <w:b/>
          <w:lang w:val="de-DE"/>
        </w:rPr>
        <w:t>Art. XI.83/1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Ist der Antrag auf einheitliche Wirkung eines Europäischen Patents nach Artikel 9 Absatz 1 Buchstabe </w:t>
      </w:r>
      <w:r w:rsidRPr="004676F5">
        <w:rPr>
          <w:i/>
          <w:iCs/>
          <w:lang w:val="de-DE"/>
        </w:rPr>
        <w:t>g)</w:t>
      </w:r>
      <w:r w:rsidRPr="004676F5">
        <w:rPr>
          <w:lang w:val="de-DE"/>
        </w:rPr>
        <w:t xml:space="preserve"> der Verordnung 1257/2012 zurückgewiesen worden und ist die gemäß Artikel XI.48 berechnete Frist für die Zahlung der ersten Jahresgebühr, die nach der Bekanntmachung des Hinweises auf die Erteilung des Europäischen Patents zur Bestimmung Belgiens geschuldet wird, abgelaufen, verfügt der Patentinhaber über eine Frist von zwei Monaten ab der Mitteilung der Entscheidung zur Zurückweisung des Antrags auf einheitliche Wirkung durch das Europäische Patentamt beziehungsweise das Einheitliche Patentgericht, um durch Antrag die Wiedereröffnung der Frist für die Zahlung der Jahresgebühren zu beantragen, die in Anwendung von Artikel XI.48 seit der Bekanntmachung des Hinweises auf die Erteilung des Europäischen Patents im </w:t>
      </w:r>
      <w:r w:rsidRPr="004676F5">
        <w:rPr>
          <w:i/>
          <w:iCs/>
          <w:lang w:val="de-DE"/>
        </w:rPr>
        <w:t>Europäischen Patentblatt</w:t>
      </w:r>
      <w:r w:rsidRPr="004676F5">
        <w:rPr>
          <w:lang w:val="de-DE"/>
        </w:rPr>
        <w:t xml:space="preserve"> geschuldet werden.</w:t>
      </w:r>
    </w:p>
    <w:p w14:paraId="7ACC298E" w14:textId="77777777" w:rsidR="00EE610A" w:rsidRPr="004676F5" w:rsidRDefault="00EE610A" w:rsidP="00EE610A">
      <w:pPr>
        <w:jc w:val="both"/>
        <w:rPr>
          <w:lang w:val="de-DE"/>
        </w:rPr>
      </w:pPr>
    </w:p>
    <w:p w14:paraId="056323F3" w14:textId="77777777" w:rsidR="00EE610A" w:rsidRPr="004676F5" w:rsidRDefault="00EE610A" w:rsidP="00EE610A">
      <w:pPr>
        <w:jc w:val="both"/>
        <w:rPr>
          <w:lang w:val="de-DE"/>
        </w:rPr>
      </w:pPr>
      <w:r w:rsidRPr="004676F5">
        <w:rPr>
          <w:lang w:val="de-DE"/>
        </w:rPr>
        <w:tab/>
        <w:t>In diesem Antrag wird angegeben:</w:t>
      </w:r>
    </w:p>
    <w:p w14:paraId="4766E264" w14:textId="77777777" w:rsidR="00EE610A" w:rsidRPr="004676F5" w:rsidRDefault="00EE610A" w:rsidP="00EE610A">
      <w:pPr>
        <w:jc w:val="both"/>
        <w:rPr>
          <w:lang w:val="de-DE"/>
        </w:rPr>
      </w:pPr>
    </w:p>
    <w:p w14:paraId="5107EA3F" w14:textId="77777777" w:rsidR="00EE610A" w:rsidRPr="004676F5" w:rsidRDefault="00EE610A" w:rsidP="00EE610A">
      <w:pPr>
        <w:jc w:val="both"/>
        <w:rPr>
          <w:lang w:val="de-DE"/>
        </w:rPr>
      </w:pPr>
      <w:r w:rsidRPr="004676F5">
        <w:rPr>
          <w:lang w:val="de-DE"/>
        </w:rPr>
        <w:tab/>
        <w:t>1. dass der in Absatz 1 erwähnte Antrag auf einheitliche Wirkung in der Frist eingereicht worden ist, die in der Regel 6 (1) der Durchführungsordnung zur Verordnung (EU) Nr. 1257/2012 des Europäischen Parlaments und des Rates vom 17. Dezember 2012 über die Umsetzung der Verstärkten Zusammenarbeit im Bereich der Schaffung eines einheitlichen Patentschutzes und zur Verordnung (EU) Nr. 1260/2012 des Rates vom 17. Dezember 2012 über die Umsetzung der Verstärkten Zusammenarbeit im Bereich der Schaffung eines einheitlichen Patentschutzes im Hinblick auf die anzuwendenden Übersetzungsregelungen vorgesehen ist, und nicht vom Inhaber des Europäischen Patents zurückgenommen worden ist,</w:t>
      </w:r>
    </w:p>
    <w:p w14:paraId="37B25D83" w14:textId="77777777" w:rsidR="00EE610A" w:rsidRPr="004676F5" w:rsidRDefault="00EE610A" w:rsidP="00EE610A">
      <w:pPr>
        <w:jc w:val="both"/>
        <w:rPr>
          <w:lang w:val="de-DE"/>
        </w:rPr>
      </w:pPr>
    </w:p>
    <w:p w14:paraId="50BA3046" w14:textId="77777777" w:rsidR="00EE610A" w:rsidRPr="004676F5" w:rsidRDefault="00EE610A" w:rsidP="00EE610A">
      <w:pPr>
        <w:jc w:val="both"/>
        <w:rPr>
          <w:lang w:val="de-DE"/>
        </w:rPr>
      </w:pPr>
      <w:r w:rsidRPr="004676F5">
        <w:rPr>
          <w:lang w:val="de-DE"/>
        </w:rPr>
        <w:tab/>
        <w:t>2. dass dieser Antrag auf einheitliche Wirkung zurückgewiesen worden ist,</w:t>
      </w:r>
    </w:p>
    <w:p w14:paraId="11DAC46D" w14:textId="77777777" w:rsidR="00EE610A" w:rsidRPr="004676F5" w:rsidRDefault="00EE610A" w:rsidP="00EE610A">
      <w:pPr>
        <w:jc w:val="both"/>
        <w:rPr>
          <w:lang w:val="de-DE"/>
        </w:rPr>
      </w:pPr>
    </w:p>
    <w:p w14:paraId="10AE38A8" w14:textId="77777777" w:rsidR="00EE610A" w:rsidRPr="004676F5" w:rsidRDefault="00EE610A" w:rsidP="00EE610A">
      <w:pPr>
        <w:jc w:val="both"/>
        <w:rPr>
          <w:lang w:val="de-DE"/>
        </w:rPr>
      </w:pPr>
      <w:r w:rsidRPr="004676F5">
        <w:rPr>
          <w:lang w:val="de-DE"/>
        </w:rPr>
        <w:tab/>
        <w:t>3. dass eine Wiedereröffnung der Frist für die Zahlung der geschuldeten Jahresgebühr(en) beantragt wird.</w:t>
      </w:r>
    </w:p>
    <w:p w14:paraId="06C03B35" w14:textId="77777777" w:rsidR="00EE610A" w:rsidRPr="004676F5" w:rsidRDefault="00EE610A" w:rsidP="00EE610A">
      <w:pPr>
        <w:jc w:val="both"/>
        <w:rPr>
          <w:lang w:val="de-DE"/>
        </w:rPr>
      </w:pPr>
    </w:p>
    <w:p w14:paraId="17AC203F" w14:textId="77777777" w:rsidR="00EE610A" w:rsidRPr="004676F5" w:rsidRDefault="00EE610A" w:rsidP="00EE610A">
      <w:pPr>
        <w:jc w:val="both"/>
        <w:rPr>
          <w:lang w:val="de-DE"/>
        </w:rPr>
      </w:pPr>
      <w:r w:rsidRPr="004676F5">
        <w:rPr>
          <w:lang w:val="de-DE"/>
        </w:rPr>
        <w:tab/>
        <w:t>Der König kann den Verweis auf die in Nr. 1 erwähnte Verordnung ändern.</w:t>
      </w:r>
    </w:p>
    <w:p w14:paraId="415DC902" w14:textId="77777777" w:rsidR="00EE610A" w:rsidRPr="004676F5" w:rsidRDefault="00EE610A" w:rsidP="00EE610A">
      <w:pPr>
        <w:jc w:val="both"/>
        <w:rPr>
          <w:lang w:val="de-DE"/>
        </w:rPr>
      </w:pPr>
    </w:p>
    <w:p w14:paraId="45F52D70" w14:textId="77777777" w:rsidR="00EE610A" w:rsidRPr="004676F5" w:rsidRDefault="00EE610A" w:rsidP="00EE610A">
      <w:pPr>
        <w:jc w:val="both"/>
        <w:rPr>
          <w:lang w:val="de-DE"/>
        </w:rPr>
      </w:pPr>
      <w:r w:rsidRPr="004676F5">
        <w:rPr>
          <w:lang w:val="de-DE"/>
        </w:rPr>
        <w:tab/>
        <w:t>Zur Unterstützung seines Antrags auf Wiederöffnung der Zahlungsfrist teilt der Patentinhaber dem Amt eine Abschrift der in Absatz 2 erwähnten Entscheidung zur Zurückweisung mit.</w:t>
      </w:r>
    </w:p>
    <w:p w14:paraId="69DD081D" w14:textId="77777777" w:rsidR="00EE610A" w:rsidRPr="004676F5" w:rsidRDefault="00EE610A" w:rsidP="00EE610A">
      <w:pPr>
        <w:jc w:val="both"/>
        <w:rPr>
          <w:lang w:val="de-DE"/>
        </w:rPr>
      </w:pPr>
    </w:p>
    <w:p w14:paraId="5F8D25FD" w14:textId="146093DC" w:rsidR="00EE610A" w:rsidRPr="004676F5" w:rsidRDefault="00EE610A" w:rsidP="00EE610A">
      <w:pPr>
        <w:jc w:val="both"/>
        <w:rPr>
          <w:lang w:val="de-DE"/>
        </w:rPr>
      </w:pPr>
      <w:r w:rsidRPr="004676F5">
        <w:rPr>
          <w:lang w:val="de-DE"/>
        </w:rPr>
        <w:tab/>
        <w:t xml:space="preserve">Erfüllt der Antrag auf Wiederöffnung der Zahlungsfrist die in vorliegendem Paragraphen vorgesehenen Bedingungen nicht, teilt das Amt dies dem Antragsteller mit und gibt ihm die Gelegenheit, seinen Antrag in einer </w:t>
      </w:r>
      <w:r w:rsidR="00EB4680" w:rsidRPr="004676F5">
        <w:rPr>
          <w:lang w:val="de-DE"/>
        </w:rPr>
        <w:t>[</w:t>
      </w:r>
      <w:r w:rsidRPr="004676F5">
        <w:rPr>
          <w:lang w:val="de-DE"/>
        </w:rPr>
        <w:t xml:space="preserve">Frist von </w:t>
      </w:r>
      <w:r w:rsidR="00EB4680" w:rsidRPr="004676F5">
        <w:rPr>
          <w:lang w:val="de-DE"/>
        </w:rPr>
        <w:t>zwei</w:t>
      </w:r>
      <w:r w:rsidRPr="004676F5">
        <w:rPr>
          <w:lang w:val="de-DE"/>
        </w:rPr>
        <w:t xml:space="preserve"> Monat</w:t>
      </w:r>
      <w:r w:rsidR="00EB4680" w:rsidRPr="004676F5">
        <w:rPr>
          <w:lang w:val="de-DE"/>
        </w:rPr>
        <w:t>en]</w:t>
      </w:r>
      <w:r w:rsidRPr="004676F5">
        <w:rPr>
          <w:lang w:val="de-DE"/>
        </w:rPr>
        <w:t xml:space="preserve"> ab der Mitteilung durch das Amt anzupassen. Bei Ablauf dieser Frist gilt ein nicht angepasster Antrag als zurückgenommen. Der König kann die in vorliegendem Absatz erwähnte Frist anpassen, ohne dass diese zwei Monate überschreiten darf.</w:t>
      </w:r>
    </w:p>
    <w:p w14:paraId="44F73280" w14:textId="77777777" w:rsidR="00EE610A" w:rsidRPr="004676F5" w:rsidRDefault="00EE610A" w:rsidP="00EE610A">
      <w:pPr>
        <w:jc w:val="both"/>
        <w:rPr>
          <w:lang w:val="de-DE"/>
        </w:rPr>
      </w:pPr>
    </w:p>
    <w:p w14:paraId="5A593F4D" w14:textId="4CB32C5C" w:rsidR="00EE610A" w:rsidRPr="004676F5" w:rsidRDefault="00EE610A" w:rsidP="00EE610A">
      <w:pPr>
        <w:jc w:val="both"/>
        <w:rPr>
          <w:lang w:val="de-DE"/>
        </w:rPr>
      </w:pPr>
      <w:r w:rsidRPr="004676F5">
        <w:rPr>
          <w:lang w:val="de-DE"/>
        </w:rPr>
        <w:tab/>
        <w:t>Der Antragsteller kann seinen Antrag auf Wiedereröffnung der Zahlungsfrist zurücknehmen, solange das Amt nicht darüber entschieden hat.</w:t>
      </w:r>
    </w:p>
    <w:p w14:paraId="2CDE4EE8" w14:textId="77777777" w:rsidR="00EE610A" w:rsidRPr="004676F5" w:rsidRDefault="00EE610A" w:rsidP="00EE610A">
      <w:pPr>
        <w:jc w:val="both"/>
        <w:rPr>
          <w:lang w:val="de-DE"/>
        </w:rPr>
      </w:pPr>
    </w:p>
    <w:p w14:paraId="6785DD44" w14:textId="65FC83FC" w:rsidR="00EE610A" w:rsidRPr="004676F5" w:rsidRDefault="00EE610A" w:rsidP="00EE610A">
      <w:pPr>
        <w:jc w:val="both"/>
        <w:rPr>
          <w:lang w:val="de-DE"/>
        </w:rPr>
      </w:pPr>
      <w:r w:rsidRPr="004676F5">
        <w:rPr>
          <w:lang w:val="de-DE"/>
        </w:rPr>
        <w:lastRenderedPageBreak/>
        <w:tab/>
        <w:t>§ 2</w:t>
      </w:r>
      <w:r w:rsidR="008778DB" w:rsidRPr="004676F5">
        <w:rPr>
          <w:lang w:val="de-DE"/>
        </w:rPr>
        <w:t> </w:t>
      </w:r>
      <w:r w:rsidR="005B7A5C" w:rsidRPr="004676F5">
        <w:rPr>
          <w:lang w:val="de-DE"/>
        </w:rPr>
        <w:t>- </w:t>
      </w:r>
      <w:r w:rsidRPr="004676F5">
        <w:rPr>
          <w:lang w:val="de-DE"/>
        </w:rPr>
        <w:softHyphen/>
        <w:t xml:space="preserve">Sind die in § 1 erwähnten Bedingungen erfüllt, bewilligt das Amt die Wiedereröffnung der Frist für die Zahlung der Jahresgebühren, die in Anwendung von Artikel XI.48 seit der Bekanntmachung des Hinweises auf die Erteilung des Europäischen Patents im </w:t>
      </w:r>
      <w:r w:rsidRPr="004676F5">
        <w:rPr>
          <w:i/>
          <w:iCs/>
          <w:lang w:val="de-DE"/>
        </w:rPr>
        <w:t>Europäischen Patentblatt</w:t>
      </w:r>
      <w:r w:rsidRPr="004676F5">
        <w:rPr>
          <w:lang w:val="de-DE"/>
        </w:rPr>
        <w:t xml:space="preserve"> und bis zum Datum der in vorliegendem Absatz erwähnten Entscheidung des Amtes fällig geworden sind.</w:t>
      </w:r>
    </w:p>
    <w:p w14:paraId="15866262" w14:textId="77777777" w:rsidR="00EE610A" w:rsidRPr="004676F5" w:rsidRDefault="00EE610A" w:rsidP="00EE610A">
      <w:pPr>
        <w:jc w:val="both"/>
        <w:rPr>
          <w:lang w:val="de-DE"/>
        </w:rPr>
      </w:pPr>
    </w:p>
    <w:p w14:paraId="5F78F38F" w14:textId="01B0A0B7" w:rsidR="00EE610A" w:rsidRPr="004676F5" w:rsidRDefault="00EE610A" w:rsidP="00EE610A">
      <w:pPr>
        <w:jc w:val="both"/>
        <w:rPr>
          <w:lang w:val="de-DE"/>
        </w:rPr>
      </w:pPr>
      <w:r w:rsidRPr="004676F5">
        <w:rPr>
          <w:lang w:val="de-DE"/>
        </w:rPr>
        <w:tab/>
        <w:t xml:space="preserve">Wird dem in § 1 erwähnten Antrag stattgegeben, teilt das Amt dem Antragsteller die Wiedereröffnung der Frist für die Zahlung der in vorhergehendem Absatz erwähnten Jahresgebühren mit. Der Antragsteller verfügt über eine Frist von </w:t>
      </w:r>
      <w:r w:rsidR="004D3716" w:rsidRPr="004676F5">
        <w:rPr>
          <w:lang w:val="de-DE"/>
        </w:rPr>
        <w:t xml:space="preserve">[vier </w:t>
      </w:r>
      <w:r w:rsidRPr="004676F5">
        <w:rPr>
          <w:lang w:val="de-DE"/>
        </w:rPr>
        <w:t>Monat</w:t>
      </w:r>
      <w:r w:rsidR="004D3716" w:rsidRPr="004676F5">
        <w:rPr>
          <w:lang w:val="de-DE"/>
        </w:rPr>
        <w:t>en]</w:t>
      </w:r>
      <w:r w:rsidRPr="004676F5">
        <w:rPr>
          <w:lang w:val="de-DE"/>
        </w:rPr>
        <w:t xml:space="preserve"> ab dem Datum der Entscheidung des Amtes, um die geschuldete(n) Jahresgebühr(en) zu zahlen.</w:t>
      </w:r>
    </w:p>
    <w:p w14:paraId="3E24AA5D" w14:textId="77777777" w:rsidR="00EE610A" w:rsidRPr="004676F5" w:rsidRDefault="00EE610A" w:rsidP="00EE610A">
      <w:pPr>
        <w:jc w:val="both"/>
        <w:rPr>
          <w:lang w:val="de-DE"/>
        </w:rPr>
      </w:pPr>
    </w:p>
    <w:p w14:paraId="1FA87D77" w14:textId="7E9F1D68" w:rsidR="00EE610A" w:rsidRPr="004676F5" w:rsidRDefault="00EE610A" w:rsidP="00EE610A">
      <w:pPr>
        <w:jc w:val="both"/>
        <w:rPr>
          <w:lang w:val="de-DE"/>
        </w:rPr>
      </w:pPr>
      <w:r w:rsidRPr="004676F5">
        <w:rPr>
          <w:lang w:val="de-DE"/>
        </w:rPr>
        <w:tab/>
        <w:t>§</w:t>
      </w:r>
      <w:r w:rsidR="008778DB" w:rsidRPr="004676F5">
        <w:rPr>
          <w:lang w:val="de-DE"/>
        </w:rPr>
        <w:t> </w:t>
      </w:r>
      <w:r w:rsidRPr="004676F5">
        <w:rPr>
          <w:lang w:val="de-DE"/>
        </w:rPr>
        <w:t>3</w:t>
      </w:r>
      <w:r w:rsidR="008778DB" w:rsidRPr="004676F5">
        <w:rPr>
          <w:lang w:val="de-DE"/>
        </w:rPr>
        <w:t> </w:t>
      </w:r>
      <w:r w:rsidR="005B7A5C" w:rsidRPr="004676F5">
        <w:rPr>
          <w:lang w:val="de-DE"/>
        </w:rPr>
        <w:t>- </w:t>
      </w:r>
      <w:r w:rsidRPr="004676F5">
        <w:rPr>
          <w:lang w:val="de-DE"/>
        </w:rPr>
        <w:t xml:space="preserve">Wird dem Antrag auf Wiedereröffnung der Zahlungsfrist stattgegeben und sind die Jahresgebühren, die seit der Bekanntmachung des Hinweises auf die Erteilung des Europäischen Patents im </w:t>
      </w:r>
      <w:r w:rsidRPr="004676F5">
        <w:rPr>
          <w:i/>
          <w:iCs/>
          <w:lang w:val="de-DE"/>
        </w:rPr>
        <w:t>Europäischen Patentblatt</w:t>
      </w:r>
      <w:r w:rsidRPr="004676F5">
        <w:rPr>
          <w:lang w:val="de-DE"/>
        </w:rPr>
        <w:t xml:space="preserve"> geschuldet werden, in der in § 2 erwähnten Frist von </w:t>
      </w:r>
      <w:r w:rsidR="004D3716" w:rsidRPr="004676F5">
        <w:rPr>
          <w:lang w:val="de-DE"/>
        </w:rPr>
        <w:t>[vier</w:t>
      </w:r>
      <w:r w:rsidRPr="004676F5">
        <w:rPr>
          <w:lang w:val="de-DE"/>
        </w:rPr>
        <w:t xml:space="preserve"> Monat</w:t>
      </w:r>
      <w:r w:rsidR="004D3716" w:rsidRPr="004676F5">
        <w:rPr>
          <w:lang w:val="de-DE"/>
        </w:rPr>
        <w:t>en]</w:t>
      </w:r>
      <w:r w:rsidRPr="004676F5">
        <w:rPr>
          <w:lang w:val="de-DE"/>
        </w:rPr>
        <w:t xml:space="preserve"> gezahlt worden, gelten rechtliche Folgen der Nichtzahlung der ersten Jahresgebühr, die gemäß Artikel XI.48 in Belgien geschuldet wird, als nicht eingetreten.</w:t>
      </w:r>
    </w:p>
    <w:p w14:paraId="1DE2033E" w14:textId="77777777" w:rsidR="00EE610A" w:rsidRPr="004676F5" w:rsidRDefault="00EE610A" w:rsidP="00EE610A">
      <w:pPr>
        <w:jc w:val="both"/>
        <w:rPr>
          <w:lang w:val="de-DE"/>
        </w:rPr>
      </w:pPr>
    </w:p>
    <w:p w14:paraId="02A3202B" w14:textId="77777777" w:rsidR="00EE610A" w:rsidRPr="004676F5" w:rsidRDefault="00EE610A" w:rsidP="00EE610A">
      <w:pPr>
        <w:jc w:val="both"/>
        <w:rPr>
          <w:lang w:val="de-DE"/>
        </w:rPr>
      </w:pPr>
      <w:r w:rsidRPr="004676F5">
        <w:rPr>
          <w:lang w:val="de-DE"/>
        </w:rPr>
        <w:tab/>
        <w:t>Die Entscheidung zur Wiedereröffnung der Zahlungsfristen wird in das Register eingetragen.</w:t>
      </w:r>
    </w:p>
    <w:p w14:paraId="4715BF67" w14:textId="77777777" w:rsidR="00EE610A" w:rsidRPr="004676F5" w:rsidRDefault="00EE610A" w:rsidP="00EE610A">
      <w:pPr>
        <w:jc w:val="both"/>
        <w:rPr>
          <w:lang w:val="de-DE"/>
        </w:rPr>
      </w:pPr>
    </w:p>
    <w:p w14:paraId="0E33B7CB" w14:textId="1CE119A6" w:rsidR="00EE610A" w:rsidRPr="004676F5" w:rsidRDefault="00EE610A" w:rsidP="00EE610A">
      <w:pPr>
        <w:ind w:firstLine="708"/>
        <w:jc w:val="both"/>
        <w:rPr>
          <w:lang w:val="de-DE"/>
        </w:rPr>
      </w:pPr>
      <w:r w:rsidRPr="004676F5">
        <w:rPr>
          <w:lang w:val="de-DE"/>
        </w:rPr>
        <w:t>§ 4</w:t>
      </w:r>
      <w:r w:rsidR="008778DB" w:rsidRPr="004676F5">
        <w:rPr>
          <w:lang w:val="de-DE"/>
        </w:rPr>
        <w:t xml:space="preserve"> </w:t>
      </w:r>
      <w:r w:rsidR="005B7A5C" w:rsidRPr="004676F5">
        <w:rPr>
          <w:lang w:val="de-DE"/>
        </w:rPr>
        <w:t>- </w:t>
      </w:r>
      <w:r w:rsidRPr="004676F5">
        <w:rPr>
          <w:lang w:val="de-DE"/>
        </w:rPr>
        <w:t>Wer in gutem Glauben zwischen dem Zeitpunkt der in Artikel XI.48 § 2 vorge</w:t>
      </w:r>
      <w:r w:rsidR="007769E2" w:rsidRPr="004676F5">
        <w:rPr>
          <w:lang w:val="de-DE"/>
        </w:rPr>
        <w:softHyphen/>
      </w:r>
      <w:r w:rsidRPr="004676F5">
        <w:rPr>
          <w:lang w:val="de-DE"/>
        </w:rPr>
        <w:t>se</w:t>
      </w:r>
      <w:r w:rsidR="007769E2" w:rsidRPr="004676F5">
        <w:rPr>
          <w:lang w:val="de-DE"/>
        </w:rPr>
        <w:softHyphen/>
      </w:r>
      <w:r w:rsidRPr="004676F5">
        <w:rPr>
          <w:lang w:val="de-DE"/>
        </w:rPr>
        <w:t>henen Aufhebung der Rechte und dem Zeitpunkt, an dem die Wiedereinsetzung in den vorigen Stand gemäß § 2 wirksam wird, die Erfindung, die Gegenstand eines Patents ist, in Belgien benutzt hat oder die dazu erforderlichen Vorbereitungen getroffen hat, darf die Benutzung für die Bedürfnisse seines Betriebs fortsetzen. Das durch vorliegenden Paragraphen zuerkannte Recht kann nur zusammen mit dem Betrieb übertragen werden, an den es gebunden ist.]</w:t>
      </w:r>
    </w:p>
    <w:p w14:paraId="39B85380" w14:textId="6F681A82" w:rsidR="00EE610A" w:rsidRPr="004676F5" w:rsidRDefault="00EE610A" w:rsidP="00EE610A">
      <w:pPr>
        <w:ind w:firstLine="708"/>
        <w:jc w:val="both"/>
        <w:rPr>
          <w:lang w:val="de-DE"/>
        </w:rPr>
      </w:pPr>
    </w:p>
    <w:p w14:paraId="07CDD23C" w14:textId="177ADEC1" w:rsidR="00EE610A" w:rsidRPr="004676F5" w:rsidRDefault="00EE610A" w:rsidP="00EE610A">
      <w:pPr>
        <w:jc w:val="both"/>
        <w:rPr>
          <w:i/>
          <w:lang w:val="de-DE"/>
        </w:rPr>
      </w:pPr>
      <w:r w:rsidRPr="004676F5">
        <w:rPr>
          <w:i/>
          <w:lang w:val="de-DE"/>
        </w:rPr>
        <w:t>[Art. XI.83/1 eingefügt durch Art. 5 des G. vom 19. Dezember 2017 (B.S. vom 28. Dezember 2017)</w:t>
      </w:r>
      <w:r w:rsidR="00EB4680" w:rsidRPr="004676F5">
        <w:rPr>
          <w:i/>
          <w:lang w:val="de-DE"/>
        </w:rPr>
        <w:t>; § 1 Abs. 5 abgeändert durch Art. 1 des K.E. vom 30. Juli 2022 (B.S. vom 30. August 2022)</w:t>
      </w:r>
      <w:r w:rsidR="004D3716" w:rsidRPr="004676F5">
        <w:rPr>
          <w:i/>
          <w:lang w:val="de-DE"/>
        </w:rPr>
        <w:t>; § 2 Abs. 2 abgeändert durch Art. 29 Nr. 1 des G. vom 5. November 2023</w:t>
      </w:r>
      <w:r w:rsidR="003519CA" w:rsidRPr="004676F5">
        <w:rPr>
          <w:i/>
          <w:lang w:val="de-DE"/>
        </w:rPr>
        <w:t> (I)</w:t>
      </w:r>
      <w:r w:rsidR="004D3716" w:rsidRPr="004676F5">
        <w:rPr>
          <w:i/>
          <w:lang w:val="de-DE"/>
        </w:rPr>
        <w:t xml:space="preserve"> (B.S. vom 11. Dezember 2023); § 3 Abs. 1 abgeändert durch Art. 29 Nr</w:t>
      </w:r>
      <w:r w:rsidR="002A1923" w:rsidRPr="004676F5">
        <w:rPr>
          <w:i/>
          <w:lang w:val="de-DE"/>
        </w:rPr>
        <w:t>.</w:t>
      </w:r>
      <w:r w:rsidR="004D3716" w:rsidRPr="004676F5">
        <w:rPr>
          <w:i/>
          <w:lang w:val="de-DE"/>
        </w:rPr>
        <w:t> 2 des G. vom 5. November 2023</w:t>
      </w:r>
      <w:r w:rsidR="003519CA" w:rsidRPr="004676F5">
        <w:rPr>
          <w:i/>
          <w:lang w:val="de-DE"/>
        </w:rPr>
        <w:t xml:space="preserve"> (I) </w:t>
      </w:r>
      <w:r w:rsidR="004D3716" w:rsidRPr="004676F5">
        <w:rPr>
          <w:i/>
          <w:lang w:val="de-DE"/>
        </w:rPr>
        <w:t>(B.S. vom 11. Dezember 2023)</w:t>
      </w:r>
      <w:r w:rsidRPr="004676F5">
        <w:rPr>
          <w:i/>
          <w:lang w:val="de-DE"/>
        </w:rPr>
        <w:t>]</w:t>
      </w:r>
    </w:p>
    <w:p w14:paraId="58B621C8" w14:textId="77777777" w:rsidR="00EE610A" w:rsidRPr="004676F5" w:rsidRDefault="00EE610A" w:rsidP="00EE610A">
      <w:pPr>
        <w:jc w:val="both"/>
        <w:rPr>
          <w:i/>
          <w:lang w:val="de-DE"/>
        </w:rPr>
      </w:pPr>
    </w:p>
    <w:p w14:paraId="1192226F" w14:textId="77777777" w:rsidR="00CE5A09" w:rsidRPr="004676F5" w:rsidRDefault="00CE5A09" w:rsidP="001527B1">
      <w:pPr>
        <w:ind w:firstLine="708"/>
        <w:jc w:val="both"/>
        <w:rPr>
          <w:lang w:val="de-DE"/>
        </w:rPr>
      </w:pPr>
    </w:p>
    <w:p w14:paraId="2E3FB8CB" w14:textId="0F870A50" w:rsidR="001527B1" w:rsidRPr="004676F5" w:rsidRDefault="00BE0A56" w:rsidP="001527B1">
      <w:pPr>
        <w:ind w:firstLine="708"/>
        <w:jc w:val="both"/>
        <w:rPr>
          <w:lang w:val="de-DE"/>
        </w:rPr>
      </w:pPr>
      <w:r w:rsidRPr="004676F5">
        <w:rPr>
          <w:b/>
          <w:lang w:val="de-DE"/>
        </w:rPr>
        <w:t>Art. </w:t>
      </w:r>
      <w:r w:rsidR="001527B1" w:rsidRPr="004676F5">
        <w:rPr>
          <w:b/>
          <w:lang w:val="de-DE"/>
        </w:rPr>
        <w:t>XI.84</w:t>
      </w:r>
      <w:r w:rsidR="001527B1" w:rsidRPr="004676F5">
        <w:rPr>
          <w:lang w:val="de-DE"/>
        </w:rPr>
        <w:t> </w:t>
      </w:r>
      <w:r w:rsidR="005B7A5C" w:rsidRPr="004676F5">
        <w:rPr>
          <w:lang w:val="de-DE"/>
        </w:rPr>
        <w:t>- </w:t>
      </w:r>
      <w:r w:rsidR="001527B1" w:rsidRPr="004676F5">
        <w:rPr>
          <w:lang w:val="de-DE"/>
        </w:rPr>
        <w:t>Die Bestimmungen der Artikel XI.82 und XI.83 beeinträchtigen nicht das Recht der nationalen Gerichte, eine vollständige Übersetzung der Anmeldung oder des erteilten Patents in der Sprache des Gerichtsverfahrens zu verlangen.</w:t>
      </w:r>
    </w:p>
    <w:p w14:paraId="5DA10DA0" w14:textId="77777777" w:rsidR="001527B1" w:rsidRPr="004676F5" w:rsidRDefault="001527B1" w:rsidP="001527B1">
      <w:pPr>
        <w:ind w:firstLine="708"/>
        <w:jc w:val="both"/>
        <w:rPr>
          <w:lang w:val="de-DE"/>
        </w:rPr>
      </w:pPr>
    </w:p>
    <w:p w14:paraId="069490B7" w14:textId="77777777" w:rsidR="00CE5A09" w:rsidRPr="004676F5" w:rsidRDefault="00CE5A09" w:rsidP="001527B1">
      <w:pPr>
        <w:ind w:firstLine="708"/>
        <w:jc w:val="both"/>
        <w:rPr>
          <w:lang w:val="de-DE"/>
        </w:rPr>
      </w:pPr>
    </w:p>
    <w:p w14:paraId="0C806AF1" w14:textId="78854B14" w:rsidR="001527B1" w:rsidRPr="004676F5" w:rsidRDefault="00BE0A56" w:rsidP="001527B1">
      <w:pPr>
        <w:ind w:firstLine="708"/>
        <w:jc w:val="both"/>
        <w:rPr>
          <w:lang w:val="de-DE"/>
        </w:rPr>
      </w:pPr>
      <w:r w:rsidRPr="004676F5">
        <w:rPr>
          <w:b/>
          <w:lang w:val="de-DE"/>
        </w:rPr>
        <w:t>Art. </w:t>
      </w:r>
      <w:r w:rsidR="001527B1" w:rsidRPr="004676F5">
        <w:rPr>
          <w:b/>
          <w:lang w:val="de-DE"/>
        </w:rPr>
        <w:t>XI.85</w:t>
      </w:r>
      <w:r w:rsidR="001527B1" w:rsidRPr="004676F5">
        <w:rPr>
          <w:lang w:val="de-DE"/>
        </w:rPr>
        <w:t> </w:t>
      </w:r>
      <w:r w:rsidR="005B7A5C" w:rsidRPr="004676F5">
        <w:rPr>
          <w:lang w:val="de-DE"/>
        </w:rPr>
        <w:t>- </w:t>
      </w:r>
      <w:r w:rsidR="001527B1" w:rsidRPr="004676F5">
        <w:rPr>
          <w:lang w:val="de-DE"/>
        </w:rPr>
        <w:t>Der Dienst stellt sprachtechnologische Dienste, die eine maschinelle Über</w:t>
      </w:r>
      <w:r w:rsidR="007769E2" w:rsidRPr="004676F5">
        <w:rPr>
          <w:lang w:val="de-DE"/>
        </w:rPr>
        <w:softHyphen/>
      </w:r>
      <w:r w:rsidR="001527B1" w:rsidRPr="004676F5">
        <w:rPr>
          <w:lang w:val="de-DE"/>
        </w:rPr>
        <w:t>setzung von Informationen in Bezug auf Patente ermöglichen, auf einer vom König bestimmten Website zur Verfügung, auf der europäische Patentanmeldungen und erteilte Euro</w:t>
      </w:r>
      <w:r w:rsidR="007769E2" w:rsidRPr="004676F5">
        <w:rPr>
          <w:lang w:val="de-DE"/>
        </w:rPr>
        <w:softHyphen/>
      </w:r>
      <w:r w:rsidR="001527B1" w:rsidRPr="004676F5">
        <w:rPr>
          <w:lang w:val="de-DE"/>
        </w:rPr>
        <w:t>päische Patente unter denselben Bedingungen in allen Landessprachen eingesehen werden können.</w:t>
      </w:r>
    </w:p>
    <w:p w14:paraId="35934457" w14:textId="77777777" w:rsidR="001527B1" w:rsidRPr="004676F5" w:rsidRDefault="001527B1" w:rsidP="001527B1">
      <w:pPr>
        <w:ind w:firstLine="708"/>
        <w:jc w:val="both"/>
        <w:rPr>
          <w:lang w:val="de-DE"/>
        </w:rPr>
      </w:pPr>
    </w:p>
    <w:p w14:paraId="6DB19E8F" w14:textId="77777777" w:rsidR="001527B1" w:rsidRPr="004676F5" w:rsidRDefault="001527B1" w:rsidP="001527B1">
      <w:pPr>
        <w:ind w:firstLine="708"/>
        <w:jc w:val="both"/>
        <w:rPr>
          <w:lang w:val="de-DE"/>
        </w:rPr>
      </w:pPr>
      <w:r w:rsidRPr="004676F5">
        <w:rPr>
          <w:lang w:val="de-DE"/>
        </w:rPr>
        <w:t>Der König kann Modalitäten und Bedingungen für die Zurverfügungstellung der erwähnten sprachtechnologischen Dienste näher bestimmen.</w:t>
      </w:r>
    </w:p>
    <w:p w14:paraId="521CD5CD" w14:textId="77777777" w:rsidR="001527B1" w:rsidRPr="004676F5" w:rsidRDefault="001527B1" w:rsidP="001527B1">
      <w:pPr>
        <w:ind w:firstLine="708"/>
        <w:jc w:val="both"/>
        <w:rPr>
          <w:lang w:val="de-DE"/>
        </w:rPr>
      </w:pPr>
    </w:p>
    <w:p w14:paraId="3742EB12" w14:textId="77777777" w:rsidR="00CE5A09" w:rsidRPr="004676F5" w:rsidRDefault="00CE5A09" w:rsidP="001527B1">
      <w:pPr>
        <w:ind w:firstLine="708"/>
        <w:jc w:val="both"/>
        <w:rPr>
          <w:lang w:val="de-DE"/>
        </w:rPr>
      </w:pPr>
    </w:p>
    <w:p w14:paraId="4F5FFF0D" w14:textId="77777777" w:rsidR="004D3716" w:rsidRPr="004676F5" w:rsidRDefault="004D3716">
      <w:pPr>
        <w:rPr>
          <w:b/>
          <w:lang w:val="de-DE"/>
        </w:rPr>
      </w:pPr>
      <w:r w:rsidRPr="004676F5">
        <w:rPr>
          <w:b/>
          <w:lang w:val="de-DE"/>
        </w:rPr>
        <w:br w:type="page"/>
      </w:r>
    </w:p>
    <w:p w14:paraId="1D40E3F6" w14:textId="3184D159"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XI.86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Insofern ein belgisches Patent sich auf eine Erfindung bezieht, für die demselben Erfinder oder seinem Rechtsnachfolger ein Europäisches Patent mit demselben Anmeldetag erteilt worden ist, oder wenn eine Priorität mit demselben Prioritätstag in Anspruch genommen worden ist, wird das belgische Patent, sofern es dieselbe Erfindung wie das Europäische Patent schützt, ab dem Datum unwirksam, an dem entweder die für die Erhebung eines Einspruchs gegen das Europäische Patent vorgesehene Frist abläuft, ohne dass Einspruch erhoben worden ist, oder das Einspruchsverfahren abgeschlossen und das Europäische Patent aufrechterhalten wird.</w:t>
      </w:r>
    </w:p>
    <w:p w14:paraId="5D7626B6" w14:textId="77777777" w:rsidR="001527B1" w:rsidRPr="004676F5" w:rsidRDefault="001527B1" w:rsidP="001527B1">
      <w:pPr>
        <w:ind w:firstLine="708"/>
        <w:jc w:val="both"/>
        <w:rPr>
          <w:lang w:val="de-DE"/>
        </w:rPr>
      </w:pPr>
    </w:p>
    <w:p w14:paraId="18B805DC" w14:textId="77777777" w:rsidR="001527B1" w:rsidRPr="004676F5" w:rsidRDefault="001527B1" w:rsidP="001527B1">
      <w:pPr>
        <w:ind w:firstLine="708"/>
        <w:jc w:val="both"/>
        <w:rPr>
          <w:lang w:val="de-DE"/>
        </w:rPr>
      </w:pPr>
      <w:r w:rsidRPr="004676F5">
        <w:rPr>
          <w:lang w:val="de-DE"/>
        </w:rPr>
        <w:t>Das Erlöschen oder die Nichtigkeitserklärung eines Europäischen Patents zu einem späteren Zeitpunkt lässt die Bestimmungen des vorliegenden Artikels unberührt.</w:t>
      </w:r>
    </w:p>
    <w:p w14:paraId="66C5986B" w14:textId="77777777" w:rsidR="001527B1" w:rsidRPr="004676F5" w:rsidRDefault="001527B1" w:rsidP="001527B1">
      <w:pPr>
        <w:ind w:firstLine="708"/>
        <w:jc w:val="both"/>
        <w:rPr>
          <w:lang w:val="de-DE"/>
        </w:rPr>
      </w:pPr>
    </w:p>
    <w:p w14:paraId="4575365C" w14:textId="1AFA733B"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 xml:space="preserve">Das </w:t>
      </w:r>
      <w:r w:rsidR="00710C79" w:rsidRPr="004676F5">
        <w:rPr>
          <w:lang w:val="de-DE"/>
        </w:rPr>
        <w:t>[Unternehmensgericht]</w:t>
      </w:r>
      <w:r w:rsidRPr="004676F5">
        <w:rPr>
          <w:lang w:val="de-DE"/>
        </w:rPr>
        <w:t xml:space="preserve"> von Brüssel stellt fest, dass das belgische Patent unter den in § 1 vorgesehenen Bedingungen ganz oder teilweise unwirksam geworden ist.</w:t>
      </w:r>
    </w:p>
    <w:p w14:paraId="3CB33A11" w14:textId="77777777" w:rsidR="001527B1" w:rsidRPr="004676F5" w:rsidRDefault="001527B1" w:rsidP="001527B1">
      <w:pPr>
        <w:ind w:firstLine="708"/>
        <w:jc w:val="both"/>
        <w:rPr>
          <w:lang w:val="de-DE"/>
        </w:rPr>
      </w:pPr>
    </w:p>
    <w:p w14:paraId="42C7856D" w14:textId="07AC9203"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Wenn der Entscheid oder das Urteil formell rechtskräftig ist, wird die Feststellung in das Register der Erfindungspatente eingetragen und der Öffentlichkeit zur Kenntnis gebracht.</w:t>
      </w:r>
    </w:p>
    <w:p w14:paraId="7B568BF9" w14:textId="77777777" w:rsidR="001527B1" w:rsidRPr="004676F5" w:rsidRDefault="001527B1" w:rsidP="001527B1">
      <w:pPr>
        <w:ind w:firstLine="708"/>
        <w:jc w:val="both"/>
        <w:rPr>
          <w:lang w:val="de-DE"/>
        </w:rPr>
      </w:pPr>
    </w:p>
    <w:p w14:paraId="4244C671" w14:textId="4CC621C2" w:rsidR="00CE5A09" w:rsidRPr="004676F5" w:rsidRDefault="00710C79" w:rsidP="00710C79">
      <w:pPr>
        <w:jc w:val="both"/>
        <w:rPr>
          <w:i/>
          <w:lang w:val="de-DE"/>
        </w:rPr>
      </w:pPr>
      <w:r w:rsidRPr="004676F5">
        <w:rPr>
          <w:i/>
          <w:lang w:val="de-DE"/>
        </w:rPr>
        <w:t>[Art. XI.86 § 2 abgeändert durch Art. 252 des G. vom 15. April 2018 (B.S. vom 27. April 2018)]</w:t>
      </w:r>
    </w:p>
    <w:p w14:paraId="6809FB4C" w14:textId="61FA7B0F" w:rsidR="00710C79" w:rsidRPr="004676F5" w:rsidRDefault="00710C79" w:rsidP="00710C79">
      <w:pPr>
        <w:jc w:val="both"/>
        <w:rPr>
          <w:i/>
          <w:lang w:val="de-DE"/>
        </w:rPr>
      </w:pPr>
    </w:p>
    <w:p w14:paraId="614FD03B" w14:textId="77777777" w:rsidR="00710C79" w:rsidRPr="004676F5" w:rsidRDefault="00710C79" w:rsidP="00710C79">
      <w:pPr>
        <w:jc w:val="both"/>
        <w:rPr>
          <w:i/>
          <w:lang w:val="de-DE"/>
        </w:rPr>
      </w:pPr>
    </w:p>
    <w:p w14:paraId="637DC7F9" w14:textId="413E909C" w:rsidR="001527B1" w:rsidRPr="004676F5" w:rsidRDefault="00BE0A56" w:rsidP="001527B1">
      <w:pPr>
        <w:ind w:firstLine="708"/>
        <w:jc w:val="both"/>
        <w:rPr>
          <w:lang w:val="de-DE"/>
        </w:rPr>
      </w:pPr>
      <w:r w:rsidRPr="004676F5">
        <w:rPr>
          <w:b/>
          <w:lang w:val="de-DE"/>
        </w:rPr>
        <w:t>Art. </w:t>
      </w:r>
      <w:r w:rsidR="001527B1" w:rsidRPr="004676F5">
        <w:rPr>
          <w:b/>
          <w:lang w:val="de-DE"/>
        </w:rPr>
        <w:t>XI.87</w:t>
      </w:r>
      <w:r w:rsidR="001527B1" w:rsidRPr="004676F5">
        <w:rPr>
          <w:lang w:val="de-DE"/>
        </w:rPr>
        <w:t> </w:t>
      </w:r>
      <w:r w:rsidR="005B7A5C" w:rsidRPr="004676F5">
        <w:rPr>
          <w:lang w:val="de-DE"/>
        </w:rPr>
        <w:t>- </w:t>
      </w:r>
      <w:r w:rsidR="001527B1" w:rsidRPr="004676F5">
        <w:rPr>
          <w:lang w:val="de-DE"/>
        </w:rPr>
        <w:t>Der Inhaber einer europäischen Patentanmeldung kann in den in Artikel 135 Absatz 1 Buchstabe a) des Europäischen Patentübereinkommens vorgesehenen Fällen beantragen, das Verfahren zur Erteilung eines belgischen Erfindungspatents einzuleiten. Diese Anmeldung wird zurückgewiesen, wenn innerhalb einer Frist von drei Monaten ab Eingang des Umwandlungsantrags beim Amt folgende Bedingungen nicht erfüllt werden:</w:t>
      </w:r>
    </w:p>
    <w:p w14:paraId="6B6D7D03" w14:textId="77777777" w:rsidR="001527B1" w:rsidRPr="004676F5" w:rsidRDefault="001527B1" w:rsidP="001527B1">
      <w:pPr>
        <w:ind w:firstLine="708"/>
        <w:jc w:val="both"/>
        <w:rPr>
          <w:lang w:val="de-DE"/>
        </w:rPr>
      </w:pPr>
    </w:p>
    <w:p w14:paraId="6261C8F5" w14:textId="77777777" w:rsidR="001527B1" w:rsidRPr="004676F5" w:rsidRDefault="001527B1" w:rsidP="001527B1">
      <w:pPr>
        <w:ind w:firstLine="708"/>
        <w:jc w:val="both"/>
        <w:rPr>
          <w:lang w:val="de-DE"/>
        </w:rPr>
      </w:pPr>
      <w:r w:rsidRPr="004676F5">
        <w:rPr>
          <w:i/>
          <w:lang w:val="de-DE"/>
        </w:rPr>
        <w:t>a)</w:t>
      </w:r>
      <w:r w:rsidRPr="004676F5">
        <w:rPr>
          <w:lang w:val="de-DE"/>
        </w:rPr>
        <w:t> Zahlung der nationalen Anmeldegebühr,</w:t>
      </w:r>
    </w:p>
    <w:p w14:paraId="5C675C5C" w14:textId="77777777" w:rsidR="001527B1" w:rsidRPr="004676F5" w:rsidRDefault="001527B1" w:rsidP="001527B1">
      <w:pPr>
        <w:ind w:firstLine="708"/>
        <w:jc w:val="both"/>
        <w:rPr>
          <w:lang w:val="de-DE"/>
        </w:rPr>
      </w:pPr>
    </w:p>
    <w:p w14:paraId="044F0AD8" w14:textId="77777777" w:rsidR="001527B1" w:rsidRPr="004676F5" w:rsidRDefault="001527B1" w:rsidP="001527B1">
      <w:pPr>
        <w:ind w:firstLine="708"/>
        <w:jc w:val="both"/>
        <w:rPr>
          <w:lang w:val="de-DE"/>
        </w:rPr>
      </w:pPr>
      <w:r w:rsidRPr="004676F5">
        <w:rPr>
          <w:i/>
          <w:lang w:val="de-DE"/>
        </w:rPr>
        <w:t>b)</w:t>
      </w:r>
      <w:r w:rsidRPr="004676F5">
        <w:rPr>
          <w:lang w:val="de-DE"/>
        </w:rPr>
        <w:t> Einreichung des Textes der Anmeldung in einer der Landessprachen, wenn die europäische Patentanmeldung nicht in einer dieser Sprachen abgefasst worden ist.</w:t>
      </w:r>
    </w:p>
    <w:p w14:paraId="675FB6A4" w14:textId="77777777" w:rsidR="001527B1" w:rsidRPr="004676F5" w:rsidRDefault="001527B1" w:rsidP="001527B1">
      <w:pPr>
        <w:ind w:firstLine="708"/>
        <w:jc w:val="both"/>
        <w:rPr>
          <w:lang w:val="de-DE"/>
        </w:rPr>
      </w:pPr>
    </w:p>
    <w:p w14:paraId="5DEE97EE" w14:textId="77777777" w:rsidR="001527B1" w:rsidRPr="004676F5" w:rsidRDefault="001527B1" w:rsidP="001527B1">
      <w:pPr>
        <w:ind w:firstLine="708"/>
        <w:jc w:val="both"/>
        <w:rPr>
          <w:lang w:val="de-DE"/>
        </w:rPr>
      </w:pPr>
      <w:r w:rsidRPr="004676F5">
        <w:rPr>
          <w:lang w:val="de-DE"/>
        </w:rPr>
        <w:t>Falls der Recherchenbericht vom Europäischen Patentamt erstellt worden ist, kann er beim Erteilungsverfahren verwendet werden.</w:t>
      </w:r>
    </w:p>
    <w:p w14:paraId="254763F3" w14:textId="77777777" w:rsidR="001527B1" w:rsidRPr="004676F5" w:rsidRDefault="001527B1" w:rsidP="001527B1">
      <w:pPr>
        <w:ind w:firstLine="708"/>
        <w:jc w:val="both"/>
        <w:rPr>
          <w:lang w:val="de-DE"/>
        </w:rPr>
      </w:pPr>
    </w:p>
    <w:p w14:paraId="3ED216A0" w14:textId="77777777" w:rsidR="00CE5A09" w:rsidRPr="004676F5" w:rsidRDefault="00CE5A09" w:rsidP="001527B1">
      <w:pPr>
        <w:ind w:firstLine="708"/>
        <w:jc w:val="both"/>
        <w:rPr>
          <w:lang w:val="de-DE"/>
        </w:rPr>
      </w:pPr>
    </w:p>
    <w:p w14:paraId="1CBADE8E" w14:textId="19E03E2A" w:rsidR="001527B1" w:rsidRPr="004676F5" w:rsidRDefault="00BE0A56" w:rsidP="001527B1">
      <w:pPr>
        <w:ind w:firstLine="708"/>
        <w:jc w:val="both"/>
        <w:rPr>
          <w:lang w:val="de-DE"/>
        </w:rPr>
      </w:pPr>
      <w:r w:rsidRPr="004676F5">
        <w:rPr>
          <w:b/>
          <w:lang w:val="de-DE"/>
        </w:rPr>
        <w:t>Art. </w:t>
      </w:r>
      <w:r w:rsidR="001527B1" w:rsidRPr="004676F5">
        <w:rPr>
          <w:b/>
          <w:lang w:val="de-DE"/>
        </w:rPr>
        <w:t>XI.88</w:t>
      </w:r>
      <w:r w:rsidR="001527B1" w:rsidRPr="004676F5">
        <w:rPr>
          <w:lang w:val="de-DE"/>
        </w:rPr>
        <w:t> </w:t>
      </w:r>
      <w:r w:rsidR="005B7A5C" w:rsidRPr="004676F5">
        <w:rPr>
          <w:lang w:val="de-DE"/>
        </w:rPr>
        <w:t>- </w:t>
      </w:r>
      <w:r w:rsidR="001527B1" w:rsidRPr="004676F5">
        <w:rPr>
          <w:lang w:val="de-DE"/>
        </w:rPr>
        <w:t>Der König bestimmt die nationalen Behörden, an die das Europäische Amt sich wenden kann, um Amts</w:t>
      </w:r>
      <w:r w:rsidR="005B7A5C" w:rsidRPr="004676F5">
        <w:rPr>
          <w:lang w:val="de-DE"/>
        </w:rPr>
        <w:t>- </w:t>
      </w:r>
      <w:r w:rsidR="001527B1" w:rsidRPr="004676F5">
        <w:rPr>
          <w:lang w:val="de-DE"/>
        </w:rPr>
        <w:t>und Rechtshilfe in Anwendung von Artikel 131 des Europäischen Patentübereinkommens zu beantragen.</w:t>
      </w:r>
    </w:p>
    <w:p w14:paraId="47F8ACAD" w14:textId="77777777" w:rsidR="001527B1" w:rsidRPr="004676F5" w:rsidRDefault="001527B1" w:rsidP="001527B1">
      <w:pPr>
        <w:ind w:firstLine="708"/>
        <w:jc w:val="both"/>
        <w:rPr>
          <w:lang w:val="de-DE"/>
        </w:rPr>
      </w:pPr>
    </w:p>
    <w:p w14:paraId="2A054071" w14:textId="77777777" w:rsidR="00CE5A09" w:rsidRPr="004676F5" w:rsidRDefault="00CE5A09" w:rsidP="001527B1">
      <w:pPr>
        <w:ind w:firstLine="708"/>
        <w:jc w:val="both"/>
        <w:rPr>
          <w:lang w:val="de-DE"/>
        </w:rPr>
      </w:pPr>
    </w:p>
    <w:p w14:paraId="2685EF7E" w14:textId="675726E7" w:rsidR="001527B1" w:rsidRPr="004676F5" w:rsidRDefault="00BE0A56" w:rsidP="001527B1">
      <w:pPr>
        <w:ind w:firstLine="708"/>
        <w:jc w:val="both"/>
        <w:rPr>
          <w:lang w:val="de-DE"/>
        </w:rPr>
      </w:pPr>
      <w:r w:rsidRPr="004676F5">
        <w:rPr>
          <w:b/>
          <w:lang w:val="de-DE"/>
        </w:rPr>
        <w:t>Art. </w:t>
      </w:r>
      <w:r w:rsidR="001527B1" w:rsidRPr="004676F5">
        <w:rPr>
          <w:b/>
          <w:lang w:val="de-DE"/>
        </w:rPr>
        <w:t>XI.89</w:t>
      </w:r>
      <w:r w:rsidR="001527B1" w:rsidRPr="004676F5">
        <w:rPr>
          <w:lang w:val="de-DE"/>
        </w:rPr>
        <w:t> </w:t>
      </w:r>
      <w:r w:rsidR="005B7A5C" w:rsidRPr="004676F5">
        <w:rPr>
          <w:lang w:val="de-DE"/>
        </w:rPr>
        <w:t>- </w:t>
      </w:r>
      <w:r w:rsidR="001527B1" w:rsidRPr="004676F5">
        <w:rPr>
          <w:lang w:val="de-DE"/>
        </w:rPr>
        <w:t>Ersuchen auf Abgabe eines in Artikel 25 des Europäischen Patentüberein</w:t>
      </w:r>
      <w:r w:rsidR="001527B1" w:rsidRPr="004676F5">
        <w:rPr>
          <w:lang w:val="de-DE"/>
        </w:rPr>
        <w:softHyphen/>
        <w:t>kommens erwähnten technischen Gutachtens können unmittelbar an das Europäische Patentamt gerichtet werden.</w:t>
      </w:r>
    </w:p>
    <w:p w14:paraId="7B417057" w14:textId="77777777" w:rsidR="001527B1" w:rsidRPr="004676F5" w:rsidRDefault="001527B1" w:rsidP="001527B1">
      <w:pPr>
        <w:ind w:firstLine="708"/>
        <w:jc w:val="both"/>
        <w:rPr>
          <w:lang w:val="de-DE"/>
        </w:rPr>
      </w:pPr>
    </w:p>
    <w:p w14:paraId="187FA2F5" w14:textId="77777777" w:rsidR="00CE5A09" w:rsidRPr="004676F5" w:rsidRDefault="00CE5A09" w:rsidP="001527B1">
      <w:pPr>
        <w:ind w:firstLine="708"/>
        <w:jc w:val="both"/>
        <w:rPr>
          <w:lang w:val="de-DE"/>
        </w:rPr>
      </w:pPr>
    </w:p>
    <w:p w14:paraId="40EF231E" w14:textId="5CCC06CB" w:rsidR="00EE610A" w:rsidRPr="004676F5" w:rsidRDefault="00BE0A56" w:rsidP="007769E2">
      <w:pPr>
        <w:ind w:firstLine="708"/>
        <w:jc w:val="both"/>
        <w:rPr>
          <w:szCs w:val="32"/>
          <w:lang w:val="de-DE"/>
        </w:rPr>
      </w:pPr>
      <w:r w:rsidRPr="004676F5">
        <w:rPr>
          <w:b/>
          <w:lang w:val="de-DE"/>
        </w:rPr>
        <w:t>Art. </w:t>
      </w:r>
      <w:r w:rsidR="001527B1" w:rsidRPr="004676F5">
        <w:rPr>
          <w:b/>
          <w:lang w:val="de-DE"/>
        </w:rPr>
        <w:t>XI.90</w:t>
      </w:r>
      <w:r w:rsidR="001527B1" w:rsidRPr="004676F5">
        <w:rPr>
          <w:lang w:val="de-DE"/>
        </w:rPr>
        <w:t> </w:t>
      </w:r>
      <w:r w:rsidR="005B7A5C" w:rsidRPr="004676F5">
        <w:rPr>
          <w:lang w:val="de-DE"/>
        </w:rPr>
        <w:t>- </w:t>
      </w:r>
      <w:r w:rsidR="00EE610A" w:rsidRPr="004676F5">
        <w:rPr>
          <w:szCs w:val="32"/>
          <w:lang w:val="de-DE"/>
        </w:rPr>
        <w:t xml:space="preserve">[Der König trifft Maßnahmen, die für die Ausführung der Bestimmungen erforderlich sind, die aus der Verordnung 1257/2012 des Europäischen Parlaments und des Rates vom 17. Dezember 2012 über die Umsetzung der verstärkten Zusammenarbeit im Bereich der Schaffung eines einheitlichen Patentschutzes, der Verordnung 1260/2012 des Rates vom 17. Dezember 2012 über die Umsetzung der verstärkten Zusammenarbeit im Bereich der Schaffung eines einheitlichen Patentschutzes im Hinblick auf die anzuwendenden </w:t>
      </w:r>
      <w:r w:rsidR="00EE610A" w:rsidRPr="004676F5">
        <w:rPr>
          <w:szCs w:val="32"/>
          <w:lang w:val="de-DE"/>
        </w:rPr>
        <w:lastRenderedPageBreak/>
        <w:t>Übersetzungsregelungen und dem Übereinkommen über ein Einheitliches Patentgericht, am 19. Februar 2013 unterzeichnet, hervorgehen. Diese Maßnahmen beziehen sich ebenfalls auf die Ausführung der Beschlüsse, die von dem gemäß Artikel 9 der vorerwähnten Verordnung 1257/2012 eingesetzten Engeren Ausschuss gefasst worden sind.]</w:t>
      </w:r>
    </w:p>
    <w:p w14:paraId="31231057" w14:textId="77777777" w:rsidR="00EE610A" w:rsidRPr="004676F5" w:rsidRDefault="00EE610A" w:rsidP="00EE610A">
      <w:pPr>
        <w:jc w:val="both"/>
        <w:rPr>
          <w:szCs w:val="32"/>
          <w:lang w:val="de-DE"/>
        </w:rPr>
      </w:pPr>
    </w:p>
    <w:p w14:paraId="2936964D" w14:textId="08CE1BA5" w:rsidR="00EE610A" w:rsidRPr="004676F5" w:rsidRDefault="00EE610A" w:rsidP="00EE610A">
      <w:pPr>
        <w:jc w:val="both"/>
        <w:rPr>
          <w:szCs w:val="32"/>
          <w:lang w:val="de-DE"/>
        </w:rPr>
      </w:pPr>
      <w:r w:rsidRPr="004676F5">
        <w:rPr>
          <w:i/>
          <w:szCs w:val="32"/>
          <w:lang w:val="de-DE"/>
        </w:rPr>
        <w:t>[Art. XI.90 aufgehoben durch Art. 23 des G. vom 29. Juni 2016 (B.S. vom 6. Juli 2016) und wieder aufgenommen durch Art. 6 des G. vom 19. Dezember 2017 (B.S. vom 28. Dezember 2017)]</w:t>
      </w:r>
    </w:p>
    <w:p w14:paraId="2E30C065" w14:textId="77777777" w:rsidR="00EE610A" w:rsidRPr="004676F5" w:rsidRDefault="00EE610A" w:rsidP="00EE610A">
      <w:pPr>
        <w:jc w:val="both"/>
        <w:rPr>
          <w:lang w:val="de-DE"/>
        </w:rPr>
      </w:pPr>
    </w:p>
    <w:p w14:paraId="09AC794E" w14:textId="77777777" w:rsidR="0073667D" w:rsidRPr="004676F5" w:rsidRDefault="0073667D">
      <w:pPr>
        <w:rPr>
          <w:lang w:val="de-DE"/>
        </w:rPr>
      </w:pPr>
    </w:p>
    <w:p w14:paraId="2BC24808" w14:textId="7574BEC8" w:rsidR="0073667D" w:rsidRPr="004676F5" w:rsidRDefault="0073667D" w:rsidP="0073667D">
      <w:pPr>
        <w:ind w:firstLine="708"/>
        <w:jc w:val="both"/>
        <w:rPr>
          <w:lang w:val="de-DE"/>
        </w:rPr>
      </w:pPr>
      <w:r w:rsidRPr="004676F5">
        <w:rPr>
          <w:lang w:val="de-DE"/>
        </w:rPr>
        <w:t>[</w:t>
      </w:r>
      <w:r w:rsidRPr="004676F5">
        <w:rPr>
          <w:b/>
          <w:lang w:val="de-DE"/>
        </w:rPr>
        <w:t>Art. XI.90/1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Wird eine Person, die in der in Artikel 134 des Europäischen Patentübereinkommens erwähnten Liste der zugelassenen Vertreter eingetragen ist, in ihrer Eigenschaft als Vertreter für europäische Patente konsultiert, so darf niemand Mitteilungen, die in diesem Zusammenhang zwischen diesem Vertreter für europäische Patente und seinem Klienten ausgetauscht wurden oder ausgetauscht werden sollen, im Rahmen von Gerichts</w:t>
      </w:r>
      <w:r w:rsidR="005B7A5C" w:rsidRPr="004676F5">
        <w:rPr>
          <w:lang w:val="de-DE"/>
        </w:rPr>
        <w:t>- </w:t>
      </w:r>
      <w:r w:rsidRPr="004676F5">
        <w:rPr>
          <w:lang w:val="de-DE"/>
        </w:rPr>
        <w:t>oder Verwaltungsverfahren offenlegen beziehungsweise darf niemand zu einer solchen Offenlegung gezwungen werden, es sei denn, der Klient hat ausdrücklich auf dieses Recht verzichtet.</w:t>
      </w:r>
    </w:p>
    <w:p w14:paraId="575227DB" w14:textId="77777777" w:rsidR="0073667D" w:rsidRPr="004676F5" w:rsidRDefault="0073667D" w:rsidP="0073667D">
      <w:pPr>
        <w:ind w:firstLine="708"/>
        <w:jc w:val="both"/>
        <w:rPr>
          <w:lang w:val="de-DE"/>
        </w:rPr>
      </w:pPr>
    </w:p>
    <w:p w14:paraId="05CFEB4E" w14:textId="77777777" w:rsidR="0073667D" w:rsidRPr="004676F5" w:rsidRDefault="0073667D" w:rsidP="0073667D">
      <w:pPr>
        <w:ind w:firstLine="708"/>
        <w:jc w:val="both"/>
        <w:rPr>
          <w:lang w:val="de-DE"/>
        </w:rPr>
      </w:pPr>
      <w:r w:rsidRPr="004676F5">
        <w:rPr>
          <w:lang w:val="de-DE"/>
        </w:rPr>
        <w:t>Absatz 1 gilt nur für Personen, die in der in Artikel 134 des Europäischen Patentübereinkommens erwähnten Liste eingetragen sind, vorbehaltlich der Bestimmungen internationaler Verträge.</w:t>
      </w:r>
    </w:p>
    <w:p w14:paraId="1482D4A6" w14:textId="77777777" w:rsidR="0073667D" w:rsidRPr="004676F5" w:rsidRDefault="0073667D" w:rsidP="0073667D">
      <w:pPr>
        <w:ind w:firstLine="708"/>
        <w:jc w:val="both"/>
        <w:rPr>
          <w:lang w:val="de-DE"/>
        </w:rPr>
      </w:pPr>
    </w:p>
    <w:p w14:paraId="7A249874" w14:textId="045E1D1F" w:rsidR="0073667D" w:rsidRPr="004676F5" w:rsidRDefault="0073667D" w:rsidP="0073667D">
      <w:pPr>
        <w:ind w:firstLine="708"/>
        <w:jc w:val="both"/>
        <w:rPr>
          <w:lang w:val="de-DE"/>
        </w:rPr>
      </w:pPr>
      <w:r w:rsidRPr="004676F5">
        <w:rPr>
          <w:lang w:val="de-DE"/>
        </w:rPr>
        <w:t>§ 2 </w:t>
      </w:r>
      <w:r w:rsidR="005B7A5C" w:rsidRPr="004676F5">
        <w:rPr>
          <w:lang w:val="de-DE"/>
        </w:rPr>
        <w:t>- </w:t>
      </w:r>
      <w:r w:rsidRPr="004676F5">
        <w:rPr>
          <w:lang w:val="de-DE"/>
        </w:rPr>
        <w:t>Die in § 1 erwähnten Mitteilungen betreffen insbesondere jegliche Mitteilungen in Bezug auf:</w:t>
      </w:r>
    </w:p>
    <w:p w14:paraId="68F98429" w14:textId="77777777" w:rsidR="0073667D" w:rsidRPr="004676F5" w:rsidRDefault="0073667D" w:rsidP="0073667D">
      <w:pPr>
        <w:ind w:firstLine="708"/>
        <w:jc w:val="both"/>
        <w:rPr>
          <w:lang w:val="de-DE"/>
        </w:rPr>
      </w:pPr>
    </w:p>
    <w:p w14:paraId="475019FF" w14:textId="77777777" w:rsidR="0073667D" w:rsidRPr="004676F5" w:rsidRDefault="0073667D" w:rsidP="0073667D">
      <w:pPr>
        <w:ind w:firstLine="708"/>
        <w:jc w:val="both"/>
        <w:rPr>
          <w:lang w:val="de-DE"/>
        </w:rPr>
      </w:pPr>
      <w:r w:rsidRPr="004676F5">
        <w:rPr>
          <w:lang w:val="de-DE"/>
        </w:rPr>
        <w:t>1. die Beurteilung der Patentierbarkeit einer Erfindung oder der Zweckmäßigkeit einer Patentanmeldung,</w:t>
      </w:r>
    </w:p>
    <w:p w14:paraId="67022433" w14:textId="77777777" w:rsidR="0073667D" w:rsidRPr="004676F5" w:rsidRDefault="0073667D" w:rsidP="0073667D">
      <w:pPr>
        <w:ind w:firstLine="708"/>
        <w:jc w:val="both"/>
        <w:rPr>
          <w:lang w:val="de-DE"/>
        </w:rPr>
      </w:pPr>
    </w:p>
    <w:p w14:paraId="5833AD31" w14:textId="77777777" w:rsidR="0073667D" w:rsidRPr="004676F5" w:rsidRDefault="0073667D" w:rsidP="0073667D">
      <w:pPr>
        <w:ind w:firstLine="708"/>
        <w:jc w:val="both"/>
        <w:rPr>
          <w:lang w:val="de-DE"/>
        </w:rPr>
      </w:pPr>
      <w:r w:rsidRPr="004676F5">
        <w:rPr>
          <w:lang w:val="de-DE"/>
        </w:rPr>
        <w:t>2. die Vorbereitung einer europäischen Patentanmeldung oder einer internationalen Anmeldung, in der Belgien als Bestimmungsstaat benannt ist, oder das diesbezügliche Verfahren,</w:t>
      </w:r>
    </w:p>
    <w:p w14:paraId="51880385" w14:textId="77777777" w:rsidR="0073667D" w:rsidRPr="004676F5" w:rsidRDefault="0073667D" w:rsidP="0073667D">
      <w:pPr>
        <w:ind w:firstLine="708"/>
        <w:jc w:val="both"/>
        <w:rPr>
          <w:lang w:val="de-DE"/>
        </w:rPr>
      </w:pPr>
    </w:p>
    <w:p w14:paraId="69FBF389" w14:textId="77777777" w:rsidR="0073667D" w:rsidRPr="004676F5" w:rsidRDefault="0073667D" w:rsidP="0073667D">
      <w:pPr>
        <w:ind w:firstLine="708"/>
        <w:jc w:val="both"/>
        <w:rPr>
          <w:lang w:val="de-DE"/>
        </w:rPr>
      </w:pPr>
      <w:r w:rsidRPr="004676F5">
        <w:rPr>
          <w:lang w:val="de-DE"/>
        </w:rPr>
        <w:t>3. Gutachten über die Gültigkeit, den Schutzumfang oder die Verletzung des Gegenstands eines europäischen Patents oder einer europäischen Patentanmeldung.</w:t>
      </w:r>
    </w:p>
    <w:p w14:paraId="01BAB008" w14:textId="77777777" w:rsidR="0073667D" w:rsidRPr="004676F5" w:rsidRDefault="0073667D" w:rsidP="0073667D">
      <w:pPr>
        <w:ind w:firstLine="708"/>
        <w:jc w:val="both"/>
        <w:rPr>
          <w:lang w:val="de-DE"/>
        </w:rPr>
      </w:pPr>
    </w:p>
    <w:p w14:paraId="71FFCD8A" w14:textId="11CAEAB4" w:rsidR="0073667D" w:rsidRPr="004676F5" w:rsidRDefault="0073667D" w:rsidP="0073667D">
      <w:pPr>
        <w:ind w:firstLine="708"/>
        <w:jc w:val="both"/>
        <w:rPr>
          <w:lang w:val="de-DE"/>
        </w:rPr>
      </w:pPr>
      <w:r w:rsidRPr="004676F5">
        <w:rPr>
          <w:lang w:val="de-DE"/>
        </w:rPr>
        <w:t>§ 3 </w:t>
      </w:r>
      <w:r w:rsidR="005B7A5C" w:rsidRPr="004676F5">
        <w:rPr>
          <w:lang w:val="de-DE"/>
        </w:rPr>
        <w:t>- </w:t>
      </w:r>
      <w:r w:rsidRPr="004676F5">
        <w:rPr>
          <w:lang w:val="de-DE"/>
        </w:rPr>
        <w:t>Artikel 458 des Strafgesetzbuches findet Anwendung auf Vertreter für europäische Patente, die in § 1 erwähnt sind, und auf ihre Beauftragten.</w:t>
      </w:r>
    </w:p>
    <w:p w14:paraId="7D7D0E88" w14:textId="77777777" w:rsidR="0073667D" w:rsidRPr="004676F5" w:rsidRDefault="0073667D" w:rsidP="0073667D">
      <w:pPr>
        <w:ind w:firstLine="708"/>
        <w:jc w:val="both"/>
        <w:rPr>
          <w:lang w:val="de-DE"/>
        </w:rPr>
      </w:pPr>
    </w:p>
    <w:p w14:paraId="66277384" w14:textId="77777777" w:rsidR="0073667D" w:rsidRPr="004676F5" w:rsidRDefault="0073667D" w:rsidP="0073667D">
      <w:pPr>
        <w:jc w:val="both"/>
        <w:rPr>
          <w:lang w:val="de-DE"/>
        </w:rPr>
      </w:pPr>
      <w:r w:rsidRPr="004676F5">
        <w:rPr>
          <w:lang w:val="de-DE"/>
        </w:rPr>
        <w:tab/>
        <w:t>Verstöße gegen das in § 1 erwähnte Verbot werden mit den in Artikel 458 des Strafgesetzbuches festgelegten Strafen geahndet.]</w:t>
      </w:r>
    </w:p>
    <w:p w14:paraId="73B73848" w14:textId="77777777" w:rsidR="0073667D" w:rsidRPr="004676F5" w:rsidRDefault="0073667D" w:rsidP="0073667D">
      <w:pPr>
        <w:jc w:val="both"/>
        <w:rPr>
          <w:lang w:val="de-DE"/>
        </w:rPr>
      </w:pPr>
    </w:p>
    <w:p w14:paraId="223D2B6B" w14:textId="77777777" w:rsidR="00930654" w:rsidRPr="004676F5" w:rsidRDefault="0073667D" w:rsidP="0073667D">
      <w:pPr>
        <w:jc w:val="both"/>
        <w:rPr>
          <w:i/>
          <w:iCs/>
          <w:lang w:val="de-DE"/>
        </w:rPr>
      </w:pPr>
      <w:r w:rsidRPr="004676F5">
        <w:rPr>
          <w:i/>
          <w:lang w:val="de-DE"/>
        </w:rPr>
        <w:t>[Art. XI.90/1 eingefügt durch Art. 36</w:t>
      </w:r>
      <w:r w:rsidRPr="004676F5">
        <w:rPr>
          <w:i/>
          <w:iCs/>
          <w:lang w:val="de-DE"/>
        </w:rPr>
        <w:t xml:space="preserve"> des G. vom 8. Juli 2018 (B.S. vom 19. Juli 2018)]</w:t>
      </w:r>
    </w:p>
    <w:p w14:paraId="5A35001D" w14:textId="77777777" w:rsidR="00930654" w:rsidRPr="004676F5" w:rsidRDefault="00930654" w:rsidP="0073667D">
      <w:pPr>
        <w:jc w:val="both"/>
        <w:rPr>
          <w:lang w:val="de-DE"/>
        </w:rPr>
      </w:pPr>
    </w:p>
    <w:p w14:paraId="723E003A" w14:textId="77777777" w:rsidR="00930654" w:rsidRPr="004676F5" w:rsidRDefault="00930654" w:rsidP="0073667D">
      <w:pPr>
        <w:jc w:val="both"/>
        <w:rPr>
          <w:lang w:val="de-DE"/>
        </w:rPr>
      </w:pPr>
    </w:p>
    <w:p w14:paraId="4766703E" w14:textId="77777777" w:rsidR="00930654" w:rsidRPr="004676F5" w:rsidRDefault="00930654" w:rsidP="0073667D">
      <w:pPr>
        <w:jc w:val="both"/>
        <w:rPr>
          <w:lang w:val="de-DE"/>
        </w:rPr>
      </w:pPr>
      <w:r w:rsidRPr="004676F5">
        <w:rPr>
          <w:lang w:val="de-DE"/>
        </w:rPr>
        <w:tab/>
        <w:t>[</w:t>
      </w:r>
      <w:r w:rsidRPr="004676F5">
        <w:rPr>
          <w:b/>
          <w:bCs/>
          <w:lang w:val="de-DE"/>
        </w:rPr>
        <w:t>Art. XI.90/2</w:t>
      </w:r>
      <w:r w:rsidRPr="004676F5">
        <w:rPr>
          <w:lang w:val="de-DE"/>
        </w:rPr>
        <w:t> - Mangels spezifischer Bestimmungen sind die auf belgische Patente anwendbaren Bestimmungen ebenfalls auf in Belgien wirksame Europäische Patente ohne einheitliche Wirkung anwendbar.]</w:t>
      </w:r>
    </w:p>
    <w:p w14:paraId="7CE65695" w14:textId="77777777" w:rsidR="00930654" w:rsidRPr="004676F5" w:rsidRDefault="00930654" w:rsidP="0073667D">
      <w:pPr>
        <w:jc w:val="both"/>
        <w:rPr>
          <w:lang w:val="de-DE"/>
        </w:rPr>
      </w:pPr>
    </w:p>
    <w:p w14:paraId="2EBB124C" w14:textId="7A6FFFCB" w:rsidR="00CE5A09" w:rsidRPr="004676F5" w:rsidRDefault="00930654" w:rsidP="0073667D">
      <w:pPr>
        <w:jc w:val="both"/>
        <w:rPr>
          <w:lang w:val="de-DE"/>
        </w:rPr>
      </w:pPr>
      <w:r w:rsidRPr="004676F5">
        <w:rPr>
          <w:i/>
          <w:iCs/>
          <w:lang w:val="de-DE"/>
        </w:rPr>
        <w:t>[Art. XI.90/2 eingefügt durch Art. 22 des G. vom 25. September 2022 (B.S. vom 24. Oktober 2022)]</w:t>
      </w:r>
      <w:r w:rsidR="00CE5A09" w:rsidRPr="004676F5">
        <w:rPr>
          <w:lang w:val="de-DE"/>
        </w:rPr>
        <w:br w:type="page"/>
      </w:r>
    </w:p>
    <w:p w14:paraId="59B9C9B2" w14:textId="3A4A1FC7" w:rsidR="001527B1" w:rsidRPr="004676F5" w:rsidRDefault="001527B1" w:rsidP="001527B1">
      <w:pPr>
        <w:jc w:val="center"/>
        <w:rPr>
          <w:i/>
          <w:lang w:val="de-DE"/>
        </w:rPr>
      </w:pPr>
      <w:r w:rsidRPr="004676F5">
        <w:rPr>
          <w:lang w:val="de-DE"/>
        </w:rPr>
        <w:lastRenderedPageBreak/>
        <w:t>KAPITEL 6 </w:t>
      </w:r>
      <w:r w:rsidR="005B7A5C" w:rsidRPr="004676F5">
        <w:rPr>
          <w:lang w:val="de-DE"/>
        </w:rPr>
        <w:t>- </w:t>
      </w:r>
      <w:r w:rsidRPr="004676F5">
        <w:rPr>
          <w:i/>
          <w:lang w:val="de-DE"/>
        </w:rPr>
        <w:t>Internationale Anmeldungen</w:t>
      </w:r>
    </w:p>
    <w:p w14:paraId="477B9492" w14:textId="77777777" w:rsidR="001527B1" w:rsidRPr="004676F5" w:rsidRDefault="001527B1" w:rsidP="001527B1">
      <w:pPr>
        <w:ind w:firstLine="708"/>
        <w:jc w:val="both"/>
        <w:rPr>
          <w:lang w:val="de-DE"/>
        </w:rPr>
      </w:pPr>
    </w:p>
    <w:p w14:paraId="6AFF75E2" w14:textId="77777777" w:rsidR="00CE5A09" w:rsidRPr="004676F5" w:rsidRDefault="00CE5A09" w:rsidP="001527B1">
      <w:pPr>
        <w:ind w:firstLine="708"/>
        <w:jc w:val="both"/>
        <w:rPr>
          <w:lang w:val="de-DE"/>
        </w:rPr>
      </w:pPr>
    </w:p>
    <w:p w14:paraId="655A5EED" w14:textId="1ACF9A35" w:rsidR="001527B1" w:rsidRPr="004676F5" w:rsidRDefault="00BE0A56" w:rsidP="001527B1">
      <w:pPr>
        <w:ind w:firstLine="708"/>
        <w:jc w:val="both"/>
        <w:rPr>
          <w:lang w:val="de-DE"/>
        </w:rPr>
      </w:pPr>
      <w:r w:rsidRPr="004676F5">
        <w:rPr>
          <w:b/>
          <w:lang w:val="de-DE"/>
        </w:rPr>
        <w:t>Art. </w:t>
      </w:r>
      <w:r w:rsidR="001527B1" w:rsidRPr="004676F5">
        <w:rPr>
          <w:b/>
          <w:lang w:val="de-DE"/>
        </w:rPr>
        <w:t>XI.91</w:t>
      </w:r>
      <w:r w:rsidR="001527B1" w:rsidRPr="004676F5">
        <w:rPr>
          <w:lang w:val="de-DE"/>
        </w:rPr>
        <w:t> </w:t>
      </w:r>
      <w:r w:rsidR="005B7A5C" w:rsidRPr="004676F5">
        <w:rPr>
          <w:lang w:val="de-DE"/>
        </w:rPr>
        <w:t>- </w:t>
      </w:r>
      <w:r w:rsidR="001527B1" w:rsidRPr="004676F5">
        <w:rPr>
          <w:lang w:val="de-DE"/>
        </w:rPr>
        <w:t>§ 1</w:t>
      </w:r>
      <w:r w:rsidR="00FC507C" w:rsidRPr="004676F5">
        <w:rPr>
          <w:lang w:val="de-DE"/>
        </w:rPr>
        <w:t xml:space="preserve"> </w:t>
      </w:r>
      <w:r w:rsidR="005B7A5C" w:rsidRPr="004676F5">
        <w:rPr>
          <w:lang w:val="de-DE"/>
        </w:rPr>
        <w:t>- </w:t>
      </w:r>
      <w:r w:rsidR="003640E0" w:rsidRPr="004676F5">
        <w:rPr>
          <w:lang w:val="de-DE"/>
        </w:rPr>
        <w:t>[</w:t>
      </w:r>
      <w:r w:rsidR="00145EE8" w:rsidRPr="004676F5">
        <w:rPr>
          <w:lang w:val="de-DE"/>
        </w:rPr>
        <w:t xml:space="preserve">Unbeschadet der Anwendung von § 2 handelt das Europäische Patentamt als Anmeldeamt im Sinne von Artikel 2 Ziffer XV des Vertrags vom 19. Juni 1970 über die internationale Zusammenarbeit auf dem Gebiet des Patentwesens, gebilligt durch das Gesetz vom 8. Juli 1977. </w:t>
      </w:r>
      <w:r w:rsidR="00930654" w:rsidRPr="004676F5">
        <w:rPr>
          <w:lang w:val="de-DE"/>
        </w:rPr>
        <w:t>[...]</w:t>
      </w:r>
      <w:r w:rsidR="00145EE8" w:rsidRPr="004676F5">
        <w:rPr>
          <w:lang w:val="de-DE"/>
        </w:rPr>
        <w:t>]</w:t>
      </w:r>
    </w:p>
    <w:p w14:paraId="56F8A5CE" w14:textId="77777777" w:rsidR="001527B1" w:rsidRPr="004676F5" w:rsidRDefault="001527B1" w:rsidP="001527B1">
      <w:pPr>
        <w:ind w:firstLine="708"/>
        <w:jc w:val="both"/>
        <w:rPr>
          <w:lang w:val="de-DE"/>
        </w:rPr>
      </w:pPr>
    </w:p>
    <w:p w14:paraId="1BFDA568" w14:textId="075B71DB"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Internationale Anmeldungen, die in Artikel 2 Ziffer VII des Vertrags über die internationale Zusammenarbeit auf dem Gebiet des Patentwesens erwähnt sind und die Verteidigung des Staatsgebiets oder die Sicherheit des Staates betreffen können, müssen beim Amt eingereicht werden. Die Bestimmungen des Gesetzes vom 10. Januar 1955 über die Offenbarung und die Anwendung von Erfindungen und Betriebsgeheimnissen, die die Verteidigung des Staatsgebiets oder die Sicherheit des Staates betreffen, sind auf sie anwendbar.</w:t>
      </w:r>
      <w:r w:rsidR="00930654" w:rsidRPr="004676F5">
        <w:rPr>
          <w:lang w:val="de-DE"/>
        </w:rPr>
        <w:t xml:space="preserve"> [Die Bestimmungen der Artikel XI.80/1 und XI.80/2 sind auch auf sie anwendbar.]</w:t>
      </w:r>
    </w:p>
    <w:p w14:paraId="6CBF4AE3" w14:textId="77777777" w:rsidR="001527B1" w:rsidRPr="004676F5" w:rsidRDefault="001527B1" w:rsidP="001527B1">
      <w:pPr>
        <w:ind w:firstLine="708"/>
        <w:jc w:val="both"/>
        <w:rPr>
          <w:lang w:val="de-DE"/>
        </w:rPr>
      </w:pPr>
    </w:p>
    <w:p w14:paraId="01A8EAF1" w14:textId="6FCEE10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Wird in einer internationalen Anmeldung Belgien als Bestimmungsstaat benannt beziehungsweise gewählt, wird dies als Hinweis dafür angesehen, dass der Anmelder wünscht, ein Europäisches Patent gemäß dem Europäischen Patentübereinkommen zu erhalten.</w:t>
      </w:r>
    </w:p>
    <w:p w14:paraId="4849D86C" w14:textId="77777777" w:rsidR="00CE5A09" w:rsidRPr="004676F5" w:rsidRDefault="00CE5A09" w:rsidP="001527B1">
      <w:pPr>
        <w:ind w:firstLine="708"/>
        <w:jc w:val="both"/>
        <w:rPr>
          <w:lang w:val="de-DE"/>
        </w:rPr>
      </w:pPr>
    </w:p>
    <w:p w14:paraId="54007BE7" w14:textId="27036605" w:rsidR="00145EE8" w:rsidRPr="004676F5" w:rsidRDefault="00145EE8" w:rsidP="00145EE8">
      <w:pPr>
        <w:jc w:val="both"/>
        <w:rPr>
          <w:i/>
          <w:lang w:val="de-DE"/>
        </w:rPr>
      </w:pPr>
      <w:r w:rsidRPr="004676F5">
        <w:rPr>
          <w:i/>
          <w:lang w:val="de-DE"/>
        </w:rPr>
        <w:t>[</w:t>
      </w:r>
      <w:r w:rsidR="00BE0A56" w:rsidRPr="004676F5">
        <w:rPr>
          <w:i/>
          <w:lang w:val="de-DE"/>
        </w:rPr>
        <w:t>Art. </w:t>
      </w:r>
      <w:r w:rsidRPr="004676F5">
        <w:rPr>
          <w:i/>
          <w:lang w:val="de-DE"/>
        </w:rPr>
        <w:t xml:space="preserve">XI.91 § 1 ersetzt durch </w:t>
      </w:r>
      <w:r w:rsidR="00BE0A56" w:rsidRPr="004676F5">
        <w:rPr>
          <w:i/>
          <w:lang w:val="de-DE"/>
        </w:rPr>
        <w:t>Art. </w:t>
      </w:r>
      <w:r w:rsidRPr="004676F5">
        <w:rPr>
          <w:i/>
          <w:lang w:val="de-DE"/>
        </w:rPr>
        <w:t>24 des G. vom 29. Juni 2016 (B.S. vom 6. Juli 2016)</w:t>
      </w:r>
      <w:r w:rsidR="00930654" w:rsidRPr="004676F5">
        <w:rPr>
          <w:i/>
          <w:lang w:val="de-DE"/>
        </w:rPr>
        <w:t xml:space="preserve"> und abgeändert durch Art. 23 Nr. 1</w:t>
      </w:r>
      <w:r w:rsidR="00930654" w:rsidRPr="004676F5">
        <w:rPr>
          <w:i/>
          <w:iCs/>
          <w:lang w:val="de-DE"/>
        </w:rPr>
        <w:t xml:space="preserve"> des G. vom 25. September 2022 (B.S. vom 24. Oktober 2022); § 2 abgeändert durch Art. 23 Nr. 2 des G. vom 25. September 2022 (B.S. vom 24. Oktober 2022)</w:t>
      </w:r>
      <w:r w:rsidRPr="004676F5">
        <w:rPr>
          <w:i/>
          <w:lang w:val="de-DE"/>
        </w:rPr>
        <w:t>]</w:t>
      </w:r>
    </w:p>
    <w:p w14:paraId="319E3BF7" w14:textId="77777777" w:rsidR="00145EE8" w:rsidRPr="004676F5" w:rsidRDefault="00145EE8" w:rsidP="00145EE8">
      <w:pPr>
        <w:ind w:firstLine="142"/>
        <w:jc w:val="both"/>
        <w:rPr>
          <w:lang w:val="de-DE"/>
        </w:rPr>
      </w:pPr>
    </w:p>
    <w:p w14:paraId="1E6F2D8D" w14:textId="77777777" w:rsidR="001527B1" w:rsidRPr="004676F5" w:rsidRDefault="001527B1" w:rsidP="001527B1">
      <w:pPr>
        <w:ind w:firstLine="708"/>
        <w:jc w:val="both"/>
        <w:rPr>
          <w:lang w:val="de-DE"/>
        </w:rPr>
      </w:pPr>
    </w:p>
    <w:p w14:paraId="2A334441" w14:textId="77777777" w:rsidR="00CE5A09" w:rsidRPr="004676F5" w:rsidRDefault="00CE5A09">
      <w:pPr>
        <w:rPr>
          <w:b/>
          <w:lang w:val="de-DE"/>
        </w:rPr>
      </w:pPr>
      <w:r w:rsidRPr="004676F5">
        <w:rPr>
          <w:b/>
          <w:lang w:val="de-DE"/>
        </w:rPr>
        <w:br w:type="page"/>
      </w:r>
    </w:p>
    <w:p w14:paraId="0BCE36C7" w14:textId="1539BF93" w:rsidR="001527B1" w:rsidRPr="004676F5" w:rsidRDefault="001527B1" w:rsidP="001527B1">
      <w:pPr>
        <w:jc w:val="center"/>
        <w:rPr>
          <w:b/>
          <w:i/>
          <w:lang w:val="de-DE"/>
        </w:rPr>
      </w:pPr>
      <w:r w:rsidRPr="004676F5">
        <w:rPr>
          <w:b/>
          <w:lang w:val="de-DE"/>
        </w:rPr>
        <w:lastRenderedPageBreak/>
        <w:t>TITEL 2 </w:t>
      </w:r>
      <w:r w:rsidR="005B7A5C" w:rsidRPr="004676F5">
        <w:rPr>
          <w:b/>
          <w:lang w:val="de-DE"/>
        </w:rPr>
        <w:t>- </w:t>
      </w:r>
      <w:r w:rsidRPr="004676F5">
        <w:rPr>
          <w:b/>
          <w:i/>
          <w:lang w:val="de-DE"/>
        </w:rPr>
        <w:t>Ergänzende Schutzzertifikate</w:t>
      </w:r>
    </w:p>
    <w:p w14:paraId="01181683" w14:textId="77777777" w:rsidR="001527B1" w:rsidRPr="004676F5" w:rsidRDefault="001527B1" w:rsidP="001527B1">
      <w:pPr>
        <w:ind w:firstLine="708"/>
        <w:jc w:val="center"/>
        <w:rPr>
          <w:lang w:val="de-DE"/>
        </w:rPr>
      </w:pPr>
    </w:p>
    <w:p w14:paraId="14244522" w14:textId="77777777" w:rsidR="00CE5A09" w:rsidRPr="004676F5" w:rsidRDefault="00CE5A09" w:rsidP="001527B1">
      <w:pPr>
        <w:ind w:firstLine="708"/>
        <w:jc w:val="center"/>
        <w:rPr>
          <w:lang w:val="de-DE"/>
        </w:rPr>
      </w:pPr>
    </w:p>
    <w:p w14:paraId="4E7CDCE7" w14:textId="6FF5220A" w:rsidR="001527B1" w:rsidRPr="004676F5" w:rsidRDefault="001527B1" w:rsidP="001527B1">
      <w:pPr>
        <w:jc w:val="center"/>
        <w:rPr>
          <w:i/>
          <w:lang w:val="de-DE"/>
        </w:rPr>
      </w:pPr>
      <w:r w:rsidRPr="004676F5">
        <w:rPr>
          <w:lang w:val="de-DE"/>
        </w:rPr>
        <w:t>KAPITEL 1 </w:t>
      </w:r>
      <w:r w:rsidR="005B7A5C" w:rsidRPr="004676F5">
        <w:rPr>
          <w:lang w:val="de-DE"/>
        </w:rPr>
        <w:t>- </w:t>
      </w:r>
      <w:r w:rsidRPr="004676F5">
        <w:rPr>
          <w:i/>
          <w:lang w:val="de-DE"/>
        </w:rPr>
        <w:t>Erteilung und Verlängerung der Laufzeit der Zertifikate</w:t>
      </w:r>
    </w:p>
    <w:p w14:paraId="27336E10" w14:textId="77777777" w:rsidR="001527B1" w:rsidRPr="004676F5" w:rsidRDefault="001527B1" w:rsidP="001527B1">
      <w:pPr>
        <w:ind w:firstLine="708"/>
        <w:jc w:val="both"/>
        <w:rPr>
          <w:lang w:val="de-DE"/>
        </w:rPr>
      </w:pPr>
    </w:p>
    <w:p w14:paraId="7B121966" w14:textId="77777777" w:rsidR="00CE5A09" w:rsidRPr="004676F5" w:rsidRDefault="00CE5A09" w:rsidP="001527B1">
      <w:pPr>
        <w:ind w:firstLine="708"/>
        <w:jc w:val="both"/>
        <w:rPr>
          <w:lang w:val="de-DE"/>
        </w:rPr>
      </w:pPr>
    </w:p>
    <w:p w14:paraId="00656A1A" w14:textId="102E0335" w:rsidR="001527B1" w:rsidRPr="004676F5" w:rsidRDefault="00BE0A56" w:rsidP="001527B1">
      <w:pPr>
        <w:ind w:firstLine="708"/>
        <w:jc w:val="both"/>
        <w:rPr>
          <w:lang w:val="de-DE"/>
        </w:rPr>
      </w:pPr>
      <w:r w:rsidRPr="004676F5">
        <w:rPr>
          <w:b/>
          <w:lang w:val="de-DE"/>
        </w:rPr>
        <w:t>Art. </w:t>
      </w:r>
      <w:r w:rsidR="001527B1" w:rsidRPr="004676F5">
        <w:rPr>
          <w:b/>
          <w:lang w:val="de-DE"/>
        </w:rPr>
        <w:t>XI.92</w:t>
      </w:r>
      <w:r w:rsidR="001527B1" w:rsidRPr="004676F5">
        <w:rPr>
          <w:lang w:val="de-DE"/>
        </w:rPr>
        <w:t> </w:t>
      </w:r>
      <w:r w:rsidR="005B7A5C" w:rsidRPr="004676F5">
        <w:rPr>
          <w:lang w:val="de-DE"/>
        </w:rPr>
        <w:t>- </w:t>
      </w:r>
      <w:r w:rsidR="001527B1" w:rsidRPr="004676F5">
        <w:rPr>
          <w:lang w:val="de-DE"/>
        </w:rPr>
        <w:t xml:space="preserve">§ 1 </w:t>
      </w:r>
      <w:r w:rsidR="005B7A5C" w:rsidRPr="004676F5">
        <w:rPr>
          <w:lang w:val="de-DE"/>
        </w:rPr>
        <w:t>- </w:t>
      </w:r>
      <w:r w:rsidR="001527B1" w:rsidRPr="004676F5">
        <w:rPr>
          <w:lang w:val="de-DE"/>
        </w:rPr>
        <w:t>Die Anmeldung eines ergänzenden Schutzzertifikats, im Folgenden "Zertifikat" genannt, und ein Antrag auf Verlängerung der Laufzeit eines Zertifikats werden beim Amt ei</w:t>
      </w:r>
      <w:r w:rsidR="002E1724" w:rsidRPr="004676F5">
        <w:rPr>
          <w:lang w:val="de-DE"/>
        </w:rPr>
        <w:t>n</w:t>
      </w:r>
      <w:r w:rsidR="001527B1" w:rsidRPr="004676F5">
        <w:rPr>
          <w:lang w:val="de-DE"/>
        </w:rPr>
        <w:t>gereicht.</w:t>
      </w:r>
    </w:p>
    <w:p w14:paraId="4DA4074A" w14:textId="77777777" w:rsidR="001527B1" w:rsidRPr="004676F5" w:rsidRDefault="001527B1" w:rsidP="001527B1">
      <w:pPr>
        <w:ind w:firstLine="708"/>
        <w:jc w:val="both"/>
        <w:rPr>
          <w:lang w:val="de-DE"/>
        </w:rPr>
      </w:pPr>
    </w:p>
    <w:p w14:paraId="28B8834B" w14:textId="6DF58878" w:rsidR="001527B1" w:rsidRPr="004676F5" w:rsidRDefault="001527B1" w:rsidP="001527B1">
      <w:pPr>
        <w:ind w:firstLine="708"/>
        <w:jc w:val="both"/>
        <w:rPr>
          <w:lang w:val="de-DE"/>
        </w:rPr>
      </w:pPr>
      <w:r w:rsidRPr="004676F5">
        <w:rPr>
          <w:lang w:val="de-DE"/>
        </w:rPr>
        <w:t>§ 2 </w:t>
      </w:r>
      <w:r w:rsidR="005B7A5C" w:rsidRPr="004676F5">
        <w:rPr>
          <w:lang w:val="de-DE"/>
        </w:rPr>
        <w:t>- </w:t>
      </w:r>
      <w:r w:rsidR="008E7245" w:rsidRPr="004676F5">
        <w:rPr>
          <w:lang w:val="de-DE"/>
        </w:rPr>
        <w:t>[Anträge auf Erteilung eines Zertifikats und auf Verlängerung der Laufzeit eines Zertifikats müssen den Bedingungen und Formen genügen, die durch vorliegenden Titel und vom König festgelegt werden.]</w:t>
      </w:r>
    </w:p>
    <w:p w14:paraId="49919B34" w14:textId="77777777" w:rsidR="001527B1" w:rsidRPr="004676F5" w:rsidRDefault="001527B1" w:rsidP="001527B1">
      <w:pPr>
        <w:ind w:firstLine="708"/>
        <w:jc w:val="both"/>
        <w:rPr>
          <w:lang w:val="de-DE"/>
        </w:rPr>
      </w:pPr>
    </w:p>
    <w:p w14:paraId="71FBF440" w14:textId="21A1FDA6"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Für Zertifikatsanmeldungen und Anträge auf Verlängerung der Laufzeit eines Zertifikats ist eine Anmeldegebühr zu entrichten. Der Nachweis für die Zahlung dieser Gebühr muss dem Amt spätestens einen Monat nach Einreichung der Anmeldung zukommen.</w:t>
      </w:r>
    </w:p>
    <w:p w14:paraId="69D63DB3" w14:textId="77777777" w:rsidR="001527B1" w:rsidRPr="004676F5" w:rsidRDefault="001527B1" w:rsidP="001527B1">
      <w:pPr>
        <w:ind w:firstLine="708"/>
        <w:jc w:val="both"/>
        <w:rPr>
          <w:lang w:val="de-DE"/>
        </w:rPr>
      </w:pPr>
    </w:p>
    <w:p w14:paraId="5188DD5A" w14:textId="77A7953E" w:rsidR="008E7245" w:rsidRPr="004676F5" w:rsidRDefault="008E7245" w:rsidP="008E7245">
      <w:pPr>
        <w:jc w:val="both"/>
        <w:rPr>
          <w:i/>
          <w:lang w:val="de-DE"/>
        </w:rPr>
      </w:pPr>
      <w:r w:rsidRPr="004676F5">
        <w:rPr>
          <w:i/>
          <w:iCs/>
          <w:lang w:val="de-DE"/>
        </w:rPr>
        <w:t>[Art. XI.92 § 2 ersetzt durch Art. </w:t>
      </w:r>
      <w:r w:rsidR="00B04019" w:rsidRPr="004676F5">
        <w:rPr>
          <w:i/>
          <w:iCs/>
          <w:lang w:val="de-DE"/>
        </w:rPr>
        <w:t>21</w:t>
      </w:r>
      <w:r w:rsidR="00B04019" w:rsidRPr="004676F5">
        <w:rPr>
          <w:i/>
          <w:lang w:val="de-DE"/>
        </w:rPr>
        <w:t xml:space="preserve"> des G. vom 2. Mai 2019 (IV) (B.S. vom 22. Mai 2019)]</w:t>
      </w:r>
    </w:p>
    <w:p w14:paraId="1898E752" w14:textId="77777777" w:rsidR="00B04019" w:rsidRPr="004676F5" w:rsidRDefault="00B04019" w:rsidP="008E7245">
      <w:pPr>
        <w:jc w:val="both"/>
        <w:rPr>
          <w:i/>
          <w:iCs/>
          <w:lang w:val="de-DE"/>
        </w:rPr>
      </w:pPr>
    </w:p>
    <w:p w14:paraId="5B09DF02" w14:textId="77777777" w:rsidR="00435B6C" w:rsidRPr="004676F5" w:rsidRDefault="00435B6C" w:rsidP="001527B1">
      <w:pPr>
        <w:ind w:firstLine="708"/>
        <w:jc w:val="both"/>
        <w:rPr>
          <w:lang w:val="de-DE"/>
        </w:rPr>
      </w:pPr>
    </w:p>
    <w:p w14:paraId="24BD278B" w14:textId="2E41AAC5" w:rsidR="001527B1" w:rsidRPr="004676F5" w:rsidRDefault="00BE0A56" w:rsidP="001527B1">
      <w:pPr>
        <w:ind w:firstLine="708"/>
        <w:jc w:val="both"/>
        <w:rPr>
          <w:lang w:val="de-DE"/>
        </w:rPr>
      </w:pPr>
      <w:r w:rsidRPr="004676F5">
        <w:rPr>
          <w:b/>
          <w:lang w:val="de-DE"/>
        </w:rPr>
        <w:t>Art. </w:t>
      </w:r>
      <w:r w:rsidR="001527B1" w:rsidRPr="004676F5">
        <w:rPr>
          <w:b/>
          <w:lang w:val="de-DE"/>
        </w:rPr>
        <w:t>XI.93</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Unter Vorbehalt der Bestimmungen der Paragraphen 2 und 3 ist der Anmeldetag der Zertifikatsanmeldung der Tag, an dem das Amt alle folgenden Unterlagen vom Anmelder erhalten hat:</w:t>
      </w:r>
    </w:p>
    <w:p w14:paraId="07A2D4D8" w14:textId="77777777" w:rsidR="001527B1" w:rsidRPr="004676F5" w:rsidRDefault="001527B1" w:rsidP="001527B1">
      <w:pPr>
        <w:ind w:firstLine="708"/>
        <w:jc w:val="both"/>
        <w:rPr>
          <w:lang w:val="de-DE"/>
        </w:rPr>
      </w:pPr>
    </w:p>
    <w:p w14:paraId="0CCC11AD" w14:textId="77777777" w:rsidR="001527B1" w:rsidRPr="004676F5" w:rsidRDefault="001527B1" w:rsidP="001527B1">
      <w:pPr>
        <w:ind w:firstLine="708"/>
        <w:jc w:val="both"/>
        <w:rPr>
          <w:lang w:val="de-DE"/>
        </w:rPr>
      </w:pPr>
      <w:r w:rsidRPr="004676F5">
        <w:rPr>
          <w:lang w:val="de-DE"/>
        </w:rPr>
        <w:t>1. eine Erklärung, dass ein Zertifikat angemeldet wird,</w:t>
      </w:r>
    </w:p>
    <w:p w14:paraId="0BCEDDF6" w14:textId="77777777" w:rsidR="001527B1" w:rsidRPr="004676F5" w:rsidRDefault="001527B1" w:rsidP="001527B1">
      <w:pPr>
        <w:ind w:firstLine="708"/>
        <w:jc w:val="both"/>
        <w:rPr>
          <w:lang w:val="de-DE"/>
        </w:rPr>
      </w:pPr>
    </w:p>
    <w:p w14:paraId="1A25DE1E" w14:textId="77777777" w:rsidR="001527B1" w:rsidRPr="004676F5" w:rsidRDefault="001527B1" w:rsidP="001527B1">
      <w:pPr>
        <w:ind w:firstLine="708"/>
        <w:jc w:val="both"/>
        <w:rPr>
          <w:lang w:val="de-DE"/>
        </w:rPr>
      </w:pPr>
      <w:r w:rsidRPr="004676F5">
        <w:rPr>
          <w:lang w:val="de-DE"/>
        </w:rPr>
        <w:t>2. Angaben, die es erlauben, die Identität des Anmelders festzustellen, und die es dem Amt ermöglichen, mit dem Anmelder Kontakt aufzunehmen,</w:t>
      </w:r>
    </w:p>
    <w:p w14:paraId="39C6DDC5" w14:textId="77777777" w:rsidR="001527B1" w:rsidRPr="004676F5" w:rsidRDefault="001527B1" w:rsidP="001527B1">
      <w:pPr>
        <w:ind w:firstLine="708"/>
        <w:jc w:val="both"/>
        <w:rPr>
          <w:lang w:val="de-DE"/>
        </w:rPr>
      </w:pPr>
    </w:p>
    <w:p w14:paraId="1D36A33D" w14:textId="77777777" w:rsidR="001527B1" w:rsidRPr="004676F5" w:rsidRDefault="001527B1" w:rsidP="001527B1">
      <w:pPr>
        <w:ind w:firstLine="708"/>
        <w:jc w:val="both"/>
        <w:rPr>
          <w:lang w:val="de-DE"/>
        </w:rPr>
      </w:pPr>
      <w:r w:rsidRPr="004676F5">
        <w:rPr>
          <w:lang w:val="de-DE"/>
        </w:rPr>
        <w:t>3. Angaben, die es erlauben, das Grundpatent zu bestimmen.</w:t>
      </w:r>
    </w:p>
    <w:p w14:paraId="54211860" w14:textId="77777777" w:rsidR="001527B1" w:rsidRPr="004676F5" w:rsidRDefault="001527B1" w:rsidP="001527B1">
      <w:pPr>
        <w:ind w:firstLine="708"/>
        <w:jc w:val="both"/>
        <w:rPr>
          <w:lang w:val="de-DE"/>
        </w:rPr>
      </w:pPr>
    </w:p>
    <w:p w14:paraId="14B10414" w14:textId="659FE4F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Erfüllt die Anmeldung eine oder mehrere der in § 1 vorgesehenen Bedingungen nicht, so teilt das Amt dies dem Anmelder mit und gibt ihm die Gelegenheit, innerhalb einer Frist von drei Monaten die Bedingungen zu erfüllen und Stellung zu nehmen.</w:t>
      </w:r>
    </w:p>
    <w:p w14:paraId="65F627A3" w14:textId="77777777" w:rsidR="001527B1" w:rsidRPr="004676F5" w:rsidRDefault="001527B1" w:rsidP="001527B1">
      <w:pPr>
        <w:ind w:firstLine="708"/>
        <w:jc w:val="both"/>
        <w:rPr>
          <w:lang w:val="de-DE"/>
        </w:rPr>
      </w:pPr>
    </w:p>
    <w:p w14:paraId="2F5B9725" w14:textId="77777777" w:rsidR="001527B1" w:rsidRPr="004676F5" w:rsidRDefault="001527B1" w:rsidP="001527B1">
      <w:pPr>
        <w:ind w:firstLine="708"/>
        <w:jc w:val="both"/>
        <w:rPr>
          <w:lang w:val="de-DE"/>
        </w:rPr>
      </w:pPr>
      <w:r w:rsidRPr="004676F5">
        <w:rPr>
          <w:lang w:val="de-DE"/>
        </w:rPr>
        <w:t>Ist keine Notifizierung vorgenommen worden mangels Übermittlung von Angaben, die es dem Amt ermöglichen, mit dem Anmelder Kontakt aufzunehmen, beläuft sich die in Absatz 1 erwähnte Frist auf drei Monate ab dem Tag, an dem das Amt mindestens eine der in § 1 erwähnten Unterlagen ursprünglich erhalten hat.</w:t>
      </w:r>
    </w:p>
    <w:p w14:paraId="67C234BD" w14:textId="77777777" w:rsidR="001527B1" w:rsidRPr="004676F5" w:rsidRDefault="001527B1" w:rsidP="001527B1">
      <w:pPr>
        <w:ind w:firstLine="708"/>
        <w:jc w:val="both"/>
        <w:rPr>
          <w:lang w:val="de-DE"/>
        </w:rPr>
      </w:pPr>
    </w:p>
    <w:p w14:paraId="206E2FBF" w14:textId="5D12E1D2"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Erfüllt die Anmeldung in der ursprünglich eingereichten Fassung eine oder mehrere der in § 1 vorgesehenen Bedingungen nicht, so gilt vorbehaltlich der Bestimmungen von Absatz 2 der Tag als Anmeldetag, an dem alle in § 1 vorgesehenen Bedingungen erfüllt sind.</w:t>
      </w:r>
    </w:p>
    <w:p w14:paraId="3E2A7A3E" w14:textId="77777777" w:rsidR="001527B1" w:rsidRPr="004676F5" w:rsidRDefault="001527B1" w:rsidP="001527B1">
      <w:pPr>
        <w:ind w:firstLine="708"/>
        <w:jc w:val="both"/>
        <w:rPr>
          <w:lang w:val="de-DE"/>
        </w:rPr>
      </w:pPr>
    </w:p>
    <w:p w14:paraId="7EA07DC7" w14:textId="77777777" w:rsidR="001527B1" w:rsidRPr="004676F5" w:rsidRDefault="001527B1" w:rsidP="001527B1">
      <w:pPr>
        <w:ind w:firstLine="708"/>
        <w:jc w:val="both"/>
        <w:rPr>
          <w:lang w:val="de-DE"/>
        </w:rPr>
      </w:pPr>
      <w:r w:rsidRPr="004676F5">
        <w:rPr>
          <w:lang w:val="de-DE"/>
        </w:rPr>
        <w:t>Die Anmeldung gilt als nicht eingereicht, wenn eine oder mehrere der in Absatz 1 vorgesehenen Bedingungen innerhalb der vom Amt festgelegten Frist nicht erfüllt sind. Gilt die Anmeldung als nicht eingereicht, so teilt das Amt dies dem Anmelder unter Angabe der Gründe mit.</w:t>
      </w:r>
    </w:p>
    <w:p w14:paraId="6E0632A7" w14:textId="77777777" w:rsidR="001527B1" w:rsidRPr="004676F5" w:rsidRDefault="001527B1" w:rsidP="001527B1">
      <w:pPr>
        <w:ind w:firstLine="708"/>
        <w:jc w:val="both"/>
        <w:rPr>
          <w:lang w:val="de-DE"/>
        </w:rPr>
      </w:pPr>
    </w:p>
    <w:p w14:paraId="7ED21824" w14:textId="714736A8" w:rsidR="001527B1" w:rsidRPr="004676F5" w:rsidRDefault="001527B1" w:rsidP="001527B1">
      <w:pPr>
        <w:ind w:firstLine="708"/>
        <w:jc w:val="both"/>
        <w:rPr>
          <w:lang w:val="de-DE"/>
        </w:rPr>
      </w:pPr>
      <w:r w:rsidRPr="004676F5">
        <w:rPr>
          <w:lang w:val="de-DE"/>
        </w:rPr>
        <w:lastRenderedPageBreak/>
        <w:t>§ 4 </w:t>
      </w:r>
      <w:r w:rsidR="005B7A5C" w:rsidRPr="004676F5">
        <w:rPr>
          <w:lang w:val="de-DE"/>
        </w:rPr>
        <w:t>- </w:t>
      </w:r>
      <w:r w:rsidRPr="004676F5">
        <w:rPr>
          <w:lang w:val="de-DE"/>
        </w:rPr>
        <w:t>Wenn alle in § 1 erwähnten Bedingungen erfüllt sind, teilt das Amt dem Anmelder den Anmeldetag mit, der der Anmeldung zuerkannt wird.</w:t>
      </w:r>
    </w:p>
    <w:p w14:paraId="5CF5176F" w14:textId="77777777" w:rsidR="00435B6C" w:rsidRPr="004676F5" w:rsidRDefault="00435B6C" w:rsidP="001527B1">
      <w:pPr>
        <w:ind w:firstLine="708"/>
        <w:jc w:val="both"/>
        <w:rPr>
          <w:lang w:val="de-DE"/>
        </w:rPr>
      </w:pPr>
    </w:p>
    <w:p w14:paraId="4190EEFE" w14:textId="77777777" w:rsidR="001527B1" w:rsidRPr="004676F5" w:rsidRDefault="001527B1" w:rsidP="001527B1">
      <w:pPr>
        <w:ind w:firstLine="708"/>
        <w:jc w:val="both"/>
        <w:rPr>
          <w:lang w:val="de-DE"/>
        </w:rPr>
      </w:pPr>
    </w:p>
    <w:p w14:paraId="702D4ECD" w14:textId="06109C73" w:rsidR="001527B1" w:rsidRPr="004676F5" w:rsidRDefault="00BE0A56" w:rsidP="001527B1">
      <w:pPr>
        <w:ind w:firstLine="708"/>
        <w:jc w:val="both"/>
        <w:rPr>
          <w:lang w:val="de-DE"/>
        </w:rPr>
      </w:pPr>
      <w:r w:rsidRPr="004676F5">
        <w:rPr>
          <w:b/>
          <w:lang w:val="de-DE"/>
        </w:rPr>
        <w:t>Art. </w:t>
      </w:r>
      <w:r w:rsidR="001527B1" w:rsidRPr="004676F5">
        <w:rPr>
          <w:b/>
          <w:lang w:val="de-DE"/>
        </w:rPr>
        <w:t>XI.94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Unter Vorbehalt der Bestimmungen der Paragraphen 2 und 3 ist der Anmeldetag des Antrags auf Verlängerung der Laufzeit eines Zertifikats der Tag, an dem das Amt alle folgenden Unterlagen vom Anmelder erhalten hat:</w:t>
      </w:r>
    </w:p>
    <w:p w14:paraId="15350816" w14:textId="77777777" w:rsidR="001527B1" w:rsidRPr="004676F5" w:rsidRDefault="001527B1" w:rsidP="001527B1">
      <w:pPr>
        <w:ind w:firstLine="708"/>
        <w:jc w:val="both"/>
        <w:rPr>
          <w:lang w:val="de-DE"/>
        </w:rPr>
      </w:pPr>
    </w:p>
    <w:p w14:paraId="2E83DFFA" w14:textId="04A43C9A" w:rsidR="001527B1" w:rsidRPr="004676F5" w:rsidRDefault="001527B1" w:rsidP="001527B1">
      <w:pPr>
        <w:ind w:firstLine="708"/>
        <w:jc w:val="both"/>
        <w:rPr>
          <w:lang w:val="de-DE"/>
        </w:rPr>
      </w:pPr>
      <w:r w:rsidRPr="004676F5">
        <w:rPr>
          <w:lang w:val="de-DE"/>
        </w:rPr>
        <w:t xml:space="preserve">1. eine Erklärung, dass </w:t>
      </w:r>
      <w:r w:rsidR="0081732A" w:rsidRPr="004676F5">
        <w:rPr>
          <w:lang w:val="de-DE"/>
        </w:rPr>
        <w:t>eine Verlängerung</w:t>
      </w:r>
      <w:r w:rsidRPr="004676F5">
        <w:rPr>
          <w:lang w:val="de-DE"/>
        </w:rPr>
        <w:t xml:space="preserve"> der Laufzeit eines Zertifikats beantragt wird,</w:t>
      </w:r>
    </w:p>
    <w:p w14:paraId="14344534" w14:textId="77777777" w:rsidR="001527B1" w:rsidRPr="004676F5" w:rsidRDefault="001527B1" w:rsidP="001527B1">
      <w:pPr>
        <w:ind w:firstLine="708"/>
        <w:jc w:val="both"/>
        <w:rPr>
          <w:lang w:val="de-DE"/>
        </w:rPr>
      </w:pPr>
    </w:p>
    <w:p w14:paraId="344F8507" w14:textId="77777777" w:rsidR="001527B1" w:rsidRPr="004676F5" w:rsidRDefault="001527B1" w:rsidP="001527B1">
      <w:pPr>
        <w:ind w:firstLine="708"/>
        <w:jc w:val="both"/>
        <w:rPr>
          <w:lang w:val="de-DE"/>
        </w:rPr>
      </w:pPr>
      <w:r w:rsidRPr="004676F5">
        <w:rPr>
          <w:lang w:val="de-DE"/>
        </w:rPr>
        <w:t>2. Angaben, die es erlauben, die Identität des Anmelders festzustellen, und die es dem Amt ermöglichen, mit dem Anmelder Kontakt aufzunehmen,</w:t>
      </w:r>
    </w:p>
    <w:p w14:paraId="69AF2CAA" w14:textId="77777777" w:rsidR="001527B1" w:rsidRPr="004676F5" w:rsidRDefault="001527B1" w:rsidP="001527B1">
      <w:pPr>
        <w:ind w:firstLine="708"/>
        <w:jc w:val="both"/>
        <w:rPr>
          <w:lang w:val="de-DE"/>
        </w:rPr>
      </w:pPr>
    </w:p>
    <w:p w14:paraId="00516EC5" w14:textId="77777777" w:rsidR="001527B1" w:rsidRPr="004676F5" w:rsidRDefault="001527B1" w:rsidP="001527B1">
      <w:pPr>
        <w:ind w:firstLine="708"/>
        <w:jc w:val="both"/>
        <w:rPr>
          <w:lang w:val="de-DE"/>
        </w:rPr>
      </w:pPr>
      <w:r w:rsidRPr="004676F5">
        <w:rPr>
          <w:lang w:val="de-DE"/>
        </w:rPr>
        <w:t>3. Angaben, die es erlauben, das Zertifikat zu bestimmen.</w:t>
      </w:r>
    </w:p>
    <w:p w14:paraId="4F133C74" w14:textId="77777777" w:rsidR="001527B1" w:rsidRPr="004676F5" w:rsidRDefault="001527B1" w:rsidP="001527B1">
      <w:pPr>
        <w:ind w:firstLine="708"/>
        <w:jc w:val="both"/>
        <w:rPr>
          <w:lang w:val="de-DE"/>
        </w:rPr>
      </w:pPr>
    </w:p>
    <w:p w14:paraId="30031385" w14:textId="51C3717B"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Erfüllt die Anmeldung eine oder mehrere der in § 1 vorgesehenen Bedingungen nicht, so teilt das Amt dies dem Anmelder mit und gibt ihm die Gelegenheit, innerhalb einer Frist von drei Monaten die Bedingungen zu erfüllen und Stellung zu nehmen.</w:t>
      </w:r>
    </w:p>
    <w:p w14:paraId="0110B454" w14:textId="77777777" w:rsidR="001527B1" w:rsidRPr="004676F5" w:rsidRDefault="001527B1" w:rsidP="001527B1">
      <w:pPr>
        <w:ind w:firstLine="708"/>
        <w:jc w:val="both"/>
        <w:rPr>
          <w:lang w:val="de-DE"/>
        </w:rPr>
      </w:pPr>
    </w:p>
    <w:p w14:paraId="78E2BA47" w14:textId="77777777" w:rsidR="001527B1" w:rsidRPr="004676F5" w:rsidRDefault="001527B1" w:rsidP="001527B1">
      <w:pPr>
        <w:ind w:firstLine="708"/>
        <w:jc w:val="both"/>
        <w:rPr>
          <w:lang w:val="de-DE"/>
        </w:rPr>
      </w:pPr>
      <w:r w:rsidRPr="004676F5">
        <w:rPr>
          <w:lang w:val="de-DE"/>
        </w:rPr>
        <w:t>Ist keine Notifizierung vorgenommen worden mangels Übermittlung von Angaben, die es dem Amt ermöglichen, mit dem Anmelder Kontakt aufzunehmen, beläuft sich die in Absatz 1 erwähnte Frist auf drei Monate ab dem Tag, an dem das Amt mindestens eine der in § 1 erwähnten Unterlagen ursprünglich erhalten hat.</w:t>
      </w:r>
    </w:p>
    <w:p w14:paraId="2D1125BD" w14:textId="77777777" w:rsidR="001527B1" w:rsidRPr="004676F5" w:rsidRDefault="001527B1" w:rsidP="001527B1">
      <w:pPr>
        <w:ind w:firstLine="708"/>
        <w:jc w:val="both"/>
        <w:rPr>
          <w:lang w:val="de-DE"/>
        </w:rPr>
      </w:pPr>
    </w:p>
    <w:p w14:paraId="05E190EA" w14:textId="68170FF1"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Erfüllt die Anmeldung in der ursprünglich eingereichten Fassung eine oder mehrere der in § 1 vorgesehenen Bedingungen nicht, so gilt vorbehaltlich der Bestimmungen von Absatz 2 der Tag als Anmeldetag, an dem alle in § 1 vorgesehenen Bedingungen erfüllt sind.</w:t>
      </w:r>
    </w:p>
    <w:p w14:paraId="39811EE6" w14:textId="77777777" w:rsidR="001527B1" w:rsidRPr="004676F5" w:rsidRDefault="001527B1" w:rsidP="001527B1">
      <w:pPr>
        <w:ind w:firstLine="708"/>
        <w:jc w:val="both"/>
        <w:rPr>
          <w:lang w:val="de-DE"/>
        </w:rPr>
      </w:pPr>
    </w:p>
    <w:p w14:paraId="298B38BE" w14:textId="77777777" w:rsidR="001527B1" w:rsidRPr="004676F5" w:rsidRDefault="001527B1" w:rsidP="001527B1">
      <w:pPr>
        <w:ind w:firstLine="708"/>
        <w:jc w:val="both"/>
        <w:rPr>
          <w:lang w:val="de-DE"/>
        </w:rPr>
      </w:pPr>
      <w:r w:rsidRPr="004676F5">
        <w:rPr>
          <w:lang w:val="de-DE"/>
        </w:rPr>
        <w:t>Die Anmeldung gilt als nicht eingereicht, wenn eine oder mehrere der in Absatz 1 vorgesehenen Bedingungen innerhalb der vom Amt festgelegten Frist nicht erfüllt sind. Gilt die Anmeldung als nicht eingereicht, so teilt das Amt dies dem Anmelder unter Angabe der Gründe mit.</w:t>
      </w:r>
    </w:p>
    <w:p w14:paraId="5D0CAD09" w14:textId="77777777" w:rsidR="001527B1" w:rsidRPr="004676F5" w:rsidRDefault="001527B1" w:rsidP="001527B1">
      <w:pPr>
        <w:ind w:firstLine="708"/>
        <w:jc w:val="both"/>
        <w:rPr>
          <w:lang w:val="de-DE"/>
        </w:rPr>
      </w:pPr>
    </w:p>
    <w:p w14:paraId="4A570E35" w14:textId="34DF4BEB"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Wenn alle in § 1 erwähnten Bedingungen erfüllt sind, teilt das Amt dem Anmelder den Anmeldetag mit, der dem Antrag zuerkannt wird.</w:t>
      </w:r>
    </w:p>
    <w:p w14:paraId="08C8DC3A" w14:textId="77777777" w:rsidR="001527B1" w:rsidRPr="004676F5" w:rsidRDefault="001527B1" w:rsidP="001527B1">
      <w:pPr>
        <w:ind w:firstLine="708"/>
        <w:jc w:val="both"/>
        <w:rPr>
          <w:lang w:val="de-DE"/>
        </w:rPr>
      </w:pPr>
    </w:p>
    <w:p w14:paraId="1CB54FCD" w14:textId="77777777" w:rsidR="00435B6C" w:rsidRPr="004676F5" w:rsidRDefault="00435B6C" w:rsidP="001527B1">
      <w:pPr>
        <w:ind w:firstLine="708"/>
        <w:jc w:val="both"/>
        <w:rPr>
          <w:lang w:val="de-DE"/>
        </w:rPr>
      </w:pPr>
    </w:p>
    <w:p w14:paraId="72C31DD2" w14:textId="70DBD81F" w:rsidR="001527B1" w:rsidRPr="004676F5" w:rsidRDefault="00BE0A56" w:rsidP="001527B1">
      <w:pPr>
        <w:ind w:firstLine="708"/>
        <w:jc w:val="both"/>
        <w:rPr>
          <w:lang w:val="de-DE"/>
        </w:rPr>
      </w:pPr>
      <w:r w:rsidRPr="004676F5">
        <w:rPr>
          <w:b/>
          <w:lang w:val="de-DE"/>
        </w:rPr>
        <w:t>Art. </w:t>
      </w:r>
      <w:r w:rsidR="001527B1" w:rsidRPr="004676F5">
        <w:rPr>
          <w:b/>
          <w:lang w:val="de-DE"/>
        </w:rPr>
        <w:t>XI.95</w:t>
      </w:r>
      <w:r w:rsidR="001527B1" w:rsidRPr="004676F5">
        <w:rPr>
          <w:lang w:val="de-DE"/>
        </w:rPr>
        <w:t> </w:t>
      </w:r>
      <w:r w:rsidR="005B7A5C" w:rsidRPr="004676F5">
        <w:rPr>
          <w:lang w:val="de-DE"/>
        </w:rPr>
        <w:t>- </w:t>
      </w:r>
      <w:r w:rsidR="001527B1" w:rsidRPr="004676F5">
        <w:rPr>
          <w:lang w:val="de-DE"/>
        </w:rPr>
        <w:t>Zertifikatsanmeldung und Antrag auf Verlängerung der Laufzeit eines Zertifikats werden im Register bekannt gemacht.</w:t>
      </w:r>
    </w:p>
    <w:p w14:paraId="425C03E4" w14:textId="77777777" w:rsidR="001527B1" w:rsidRPr="004676F5" w:rsidRDefault="001527B1" w:rsidP="001527B1">
      <w:pPr>
        <w:ind w:firstLine="708"/>
        <w:jc w:val="both"/>
        <w:rPr>
          <w:lang w:val="de-DE"/>
        </w:rPr>
      </w:pPr>
    </w:p>
    <w:p w14:paraId="5F0E0C61" w14:textId="77777777" w:rsidR="00435B6C" w:rsidRPr="004676F5" w:rsidRDefault="00435B6C" w:rsidP="001527B1">
      <w:pPr>
        <w:ind w:firstLine="708"/>
        <w:jc w:val="both"/>
        <w:rPr>
          <w:lang w:val="de-DE"/>
        </w:rPr>
      </w:pPr>
    </w:p>
    <w:p w14:paraId="38FDDB2D" w14:textId="491CF33F" w:rsidR="001527B1" w:rsidRPr="004676F5" w:rsidRDefault="00BE0A56" w:rsidP="00435B6C">
      <w:pPr>
        <w:ind w:firstLine="708"/>
        <w:jc w:val="both"/>
        <w:rPr>
          <w:lang w:val="de-DE"/>
        </w:rPr>
      </w:pPr>
      <w:r w:rsidRPr="004676F5">
        <w:rPr>
          <w:b/>
          <w:lang w:val="de-DE"/>
        </w:rPr>
        <w:t>Art. </w:t>
      </w:r>
      <w:r w:rsidR="001527B1" w:rsidRPr="004676F5">
        <w:rPr>
          <w:b/>
          <w:lang w:val="de-DE"/>
        </w:rPr>
        <w:t>XI.96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Erfüllt eine Zertifikatsanmeldung nicht die Bedingungen, die für Arzneimittel durch Artikel 8 der Verordnung (EG) Nr. 469/2009 des Europäischen Parlaments und des Rates vom 6. Mai 2009 über das ergänzende Schutzzertifikat für Arzneimittel, im Folgenden "Verordnung 469/2009" genannt, beziehungsweise für Pflanzenschutzmittel durch Artikel 8 der Verordnung (EG) Nr. 1610/96 des Europäischen Parlaments und des Rates vom 23. Juli 1996 über die Schaffung eines ergänzenden Schutzzertifikats für Pflanzenschutzmittel, im Folgenden "Verordnung 1610/96" genannt, und durch Artikel XI.92 des vorliegenden Kapitels festgelegt sind, fordert das Amt den Anmelder auf, die festgestellten Mängel zu beseitigen oder die Anmeldegebühr innerhalb der vom König festgelegten Frist zu entrichten.</w:t>
      </w:r>
    </w:p>
    <w:p w14:paraId="7DCE2370" w14:textId="77777777" w:rsidR="001527B1" w:rsidRPr="004676F5" w:rsidRDefault="001527B1" w:rsidP="001527B1">
      <w:pPr>
        <w:ind w:firstLine="708"/>
        <w:jc w:val="both"/>
        <w:rPr>
          <w:lang w:val="de-DE"/>
        </w:rPr>
      </w:pPr>
    </w:p>
    <w:p w14:paraId="68327493" w14:textId="587B9A6B" w:rsidR="001527B1" w:rsidRPr="004676F5" w:rsidRDefault="001527B1" w:rsidP="001527B1">
      <w:pPr>
        <w:ind w:firstLine="708"/>
        <w:jc w:val="both"/>
        <w:rPr>
          <w:lang w:val="de-DE"/>
        </w:rPr>
      </w:pPr>
      <w:r w:rsidRPr="004676F5">
        <w:rPr>
          <w:lang w:val="de-DE"/>
        </w:rPr>
        <w:lastRenderedPageBreak/>
        <w:t>§ 2 </w:t>
      </w:r>
      <w:r w:rsidR="005B7A5C" w:rsidRPr="004676F5">
        <w:rPr>
          <w:lang w:val="de-DE"/>
        </w:rPr>
        <w:t>- </w:t>
      </w:r>
      <w:r w:rsidRPr="004676F5">
        <w:rPr>
          <w:lang w:val="de-DE"/>
        </w:rPr>
        <w:t xml:space="preserve">Werden innerhalb der </w:t>
      </w:r>
      <w:r w:rsidR="0081732A" w:rsidRPr="004676F5">
        <w:rPr>
          <w:lang w:val="de-DE"/>
        </w:rPr>
        <w:t>festgelegten</w:t>
      </w:r>
      <w:r w:rsidRPr="004676F5">
        <w:rPr>
          <w:lang w:val="de-DE"/>
        </w:rPr>
        <w:t xml:space="preserve"> Frist die nach § 1 mitgeteilten Mängel nicht beseitigt oder wird die nach § 1 angeforderte Anmeldegebühr nicht entrichtet, weist das Amt die Anmeldung zurück.</w:t>
      </w:r>
    </w:p>
    <w:p w14:paraId="72AF1307" w14:textId="77777777" w:rsidR="001527B1" w:rsidRPr="004676F5" w:rsidRDefault="001527B1" w:rsidP="001527B1">
      <w:pPr>
        <w:ind w:firstLine="708"/>
        <w:jc w:val="both"/>
        <w:rPr>
          <w:lang w:val="de-DE"/>
        </w:rPr>
      </w:pPr>
    </w:p>
    <w:p w14:paraId="4179D566" w14:textId="5F490C45"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Paragraphen 1 und 2 sind entsprechend anwendbar für den Antrag auf Verlängerung der Laufzeit eines Zertifikats.</w:t>
      </w:r>
    </w:p>
    <w:p w14:paraId="79FC8C95" w14:textId="77777777" w:rsidR="001527B1" w:rsidRPr="004676F5" w:rsidRDefault="001527B1" w:rsidP="001527B1">
      <w:pPr>
        <w:ind w:firstLine="708"/>
        <w:jc w:val="both"/>
        <w:rPr>
          <w:lang w:val="de-DE"/>
        </w:rPr>
      </w:pPr>
    </w:p>
    <w:p w14:paraId="68AA2ADC" w14:textId="77777777" w:rsidR="00435B6C" w:rsidRPr="004676F5" w:rsidRDefault="00435B6C" w:rsidP="001527B1">
      <w:pPr>
        <w:ind w:firstLine="708"/>
        <w:jc w:val="both"/>
        <w:rPr>
          <w:lang w:val="de-DE"/>
        </w:rPr>
      </w:pPr>
    </w:p>
    <w:p w14:paraId="633B2824" w14:textId="16822B7D" w:rsidR="001527B1" w:rsidRPr="004676F5" w:rsidRDefault="00BE0A56" w:rsidP="001527B1">
      <w:pPr>
        <w:ind w:firstLine="708"/>
        <w:jc w:val="both"/>
        <w:rPr>
          <w:lang w:val="de-DE"/>
        </w:rPr>
      </w:pPr>
      <w:r w:rsidRPr="004676F5">
        <w:rPr>
          <w:b/>
          <w:lang w:val="de-DE"/>
        </w:rPr>
        <w:t>Art. </w:t>
      </w:r>
      <w:r w:rsidR="001527B1" w:rsidRPr="004676F5">
        <w:rPr>
          <w:b/>
          <w:lang w:val="de-DE"/>
        </w:rPr>
        <w:t>XI.97</w:t>
      </w:r>
      <w:r w:rsidR="001527B1" w:rsidRPr="004676F5">
        <w:rPr>
          <w:lang w:val="de-DE"/>
        </w:rPr>
        <w:t> </w:t>
      </w:r>
      <w:r w:rsidR="005B7A5C" w:rsidRPr="004676F5">
        <w:rPr>
          <w:lang w:val="de-DE"/>
        </w:rPr>
        <w:t>- </w:t>
      </w:r>
      <w:r w:rsidR="001527B1" w:rsidRPr="004676F5">
        <w:rPr>
          <w:lang w:val="de-DE"/>
        </w:rPr>
        <w:t>Die Erteilung der Zertifikate erfolgt ohne Überprüfung der Bedingungen, die für Arzneimittel in Artikel 3 Buchstabe c) und d) der Verordnung 469/2009 beziehungs</w:t>
      </w:r>
      <w:r w:rsidR="001527B1" w:rsidRPr="004676F5">
        <w:rPr>
          <w:lang w:val="de-DE"/>
        </w:rPr>
        <w:softHyphen/>
        <w:t>weise für Pflanzenschutzmittel in Artikel 3 Absatz 1 Buchstabe c) und d) der Verord</w:t>
      </w:r>
      <w:r w:rsidR="001527B1" w:rsidRPr="004676F5">
        <w:rPr>
          <w:lang w:val="de-DE"/>
        </w:rPr>
        <w:softHyphen/>
        <w:t>nung 1610/1996 festgelegt sind.</w:t>
      </w:r>
    </w:p>
    <w:p w14:paraId="37A42418" w14:textId="77777777" w:rsidR="00B04019" w:rsidRPr="004676F5" w:rsidRDefault="00B04019" w:rsidP="001527B1">
      <w:pPr>
        <w:ind w:firstLine="708"/>
        <w:jc w:val="both"/>
        <w:rPr>
          <w:lang w:val="de-DE"/>
        </w:rPr>
      </w:pPr>
    </w:p>
    <w:p w14:paraId="1C95A0F3" w14:textId="7B51EB58" w:rsidR="00B04019" w:rsidRPr="004676F5" w:rsidRDefault="00B04019" w:rsidP="001527B1">
      <w:pPr>
        <w:ind w:firstLine="708"/>
        <w:jc w:val="both"/>
        <w:rPr>
          <w:lang w:val="de-DE"/>
        </w:rPr>
      </w:pPr>
      <w:r w:rsidRPr="004676F5">
        <w:rPr>
          <w:lang w:val="de-DE"/>
        </w:rPr>
        <w:t>[Das Amt kann jedoch die in Absatz 1 erwähnten Bedingungen überprüfen, wenn es bei der Prüfung der Zertifikatsanmeldung Kenntnis von Informationen über diese Bedingungen hat, die eine Zurückweisung der Anmeldung rechtfertigen könnten.]</w:t>
      </w:r>
    </w:p>
    <w:p w14:paraId="6F7FCE55" w14:textId="77777777" w:rsidR="001527B1" w:rsidRPr="004676F5" w:rsidRDefault="001527B1" w:rsidP="001527B1">
      <w:pPr>
        <w:ind w:firstLine="708"/>
        <w:jc w:val="both"/>
        <w:rPr>
          <w:lang w:val="de-DE"/>
        </w:rPr>
      </w:pPr>
    </w:p>
    <w:p w14:paraId="1984CDC8" w14:textId="345E2152" w:rsidR="00B04019" w:rsidRPr="004676F5" w:rsidRDefault="00B04019" w:rsidP="00B04019">
      <w:pPr>
        <w:jc w:val="both"/>
        <w:rPr>
          <w:i/>
          <w:lang w:val="de-DE"/>
        </w:rPr>
      </w:pPr>
      <w:r w:rsidRPr="004676F5">
        <w:rPr>
          <w:i/>
          <w:iCs/>
          <w:lang w:val="de-DE"/>
        </w:rPr>
        <w:t>[Art. XI.97 Abs. 2 eingefügt durch Art. 22</w:t>
      </w:r>
      <w:r w:rsidRPr="004676F5">
        <w:rPr>
          <w:i/>
          <w:lang w:val="de-DE"/>
        </w:rPr>
        <w:t xml:space="preserve"> des G. vom 2. Mai 2019 (IV) (B.S. vom 22. Mai 2019)]</w:t>
      </w:r>
    </w:p>
    <w:p w14:paraId="6698B65F" w14:textId="77777777" w:rsidR="00B04019" w:rsidRPr="004676F5" w:rsidRDefault="00B04019" w:rsidP="00B04019">
      <w:pPr>
        <w:jc w:val="both"/>
        <w:rPr>
          <w:lang w:val="de-DE"/>
        </w:rPr>
      </w:pPr>
    </w:p>
    <w:p w14:paraId="0273340C" w14:textId="77777777" w:rsidR="00070CA0" w:rsidRPr="004676F5" w:rsidRDefault="00070CA0" w:rsidP="00B04019">
      <w:pPr>
        <w:jc w:val="both"/>
        <w:rPr>
          <w:lang w:val="de-DE"/>
        </w:rPr>
      </w:pPr>
    </w:p>
    <w:p w14:paraId="5EB23CEE" w14:textId="39742EE0" w:rsidR="00070CA0" w:rsidRPr="004676F5" w:rsidRDefault="00070CA0" w:rsidP="00B04019">
      <w:pPr>
        <w:jc w:val="both"/>
        <w:rPr>
          <w:sz w:val="20"/>
          <w:szCs w:val="20"/>
          <w:lang w:val="de-DE"/>
        </w:rPr>
      </w:pPr>
      <w:r w:rsidRPr="004676F5">
        <w:rPr>
          <w:sz w:val="20"/>
          <w:szCs w:val="20"/>
          <w:lang w:val="de-DE"/>
        </w:rPr>
        <w:t>Ab einem gemäß Art. 206 des G. vom 9. Februar 2024 (B.S. vom 21. März 2024) vom König festzulegenden Datum lautet Art. XI.97 wie folgt:</w:t>
      </w:r>
    </w:p>
    <w:p w14:paraId="5551F3E2" w14:textId="77777777" w:rsidR="00070CA0" w:rsidRPr="004676F5" w:rsidRDefault="00070CA0" w:rsidP="00B04019">
      <w:pPr>
        <w:jc w:val="both"/>
        <w:rPr>
          <w:sz w:val="20"/>
          <w:szCs w:val="20"/>
          <w:lang w:val="de-DE"/>
        </w:rPr>
      </w:pPr>
    </w:p>
    <w:p w14:paraId="06F8FB0E" w14:textId="2C7D74C4" w:rsidR="00070CA0" w:rsidRPr="004676F5" w:rsidRDefault="00070CA0" w:rsidP="00070CA0">
      <w:pPr>
        <w:jc w:val="both"/>
        <w:rPr>
          <w:sz w:val="20"/>
          <w:szCs w:val="20"/>
          <w:lang w:val="de-DE"/>
        </w:rPr>
      </w:pPr>
      <w:r w:rsidRPr="004676F5">
        <w:rPr>
          <w:sz w:val="20"/>
          <w:szCs w:val="20"/>
          <w:lang w:val="de-DE"/>
        </w:rPr>
        <w:t>"</w:t>
      </w:r>
      <w:r w:rsidRPr="004676F5">
        <w:rPr>
          <w:bCs/>
          <w:sz w:val="20"/>
          <w:szCs w:val="20"/>
          <w:lang w:val="de-DE"/>
        </w:rPr>
        <w:t>Art. XI.97</w:t>
      </w:r>
      <w:r w:rsidRPr="004676F5">
        <w:rPr>
          <w:sz w:val="20"/>
          <w:szCs w:val="20"/>
          <w:lang w:val="de-DE"/>
        </w:rPr>
        <w:t> - Die Erteilung der Zertifikate erfolgt ohne Überprüfung der Bedingungen, die für Arzneimittel in Artikel 3 Buchstabe c) und d) der Verordnung 469/2009 beziehungs</w:t>
      </w:r>
      <w:r w:rsidRPr="004676F5">
        <w:rPr>
          <w:sz w:val="20"/>
          <w:szCs w:val="20"/>
          <w:lang w:val="de-DE"/>
        </w:rPr>
        <w:softHyphen/>
        <w:t>weise für Pflanzenschutzmittel in Artikel 3 Absatz 1 Buchstabe c) und d) der Verord</w:t>
      </w:r>
      <w:r w:rsidRPr="004676F5">
        <w:rPr>
          <w:sz w:val="20"/>
          <w:szCs w:val="20"/>
          <w:lang w:val="de-DE"/>
        </w:rPr>
        <w:softHyphen/>
        <w:t>nung 1610/1996 festgelegt sind.</w:t>
      </w:r>
    </w:p>
    <w:p w14:paraId="18C40BC0" w14:textId="77777777" w:rsidR="00070CA0" w:rsidRPr="004676F5" w:rsidRDefault="00070CA0" w:rsidP="00070CA0">
      <w:pPr>
        <w:jc w:val="both"/>
        <w:rPr>
          <w:sz w:val="20"/>
          <w:szCs w:val="20"/>
          <w:lang w:val="de-DE"/>
        </w:rPr>
      </w:pPr>
    </w:p>
    <w:p w14:paraId="3403790D" w14:textId="77777777" w:rsidR="00070CA0" w:rsidRPr="004676F5" w:rsidRDefault="00070CA0" w:rsidP="00070CA0">
      <w:pPr>
        <w:jc w:val="both"/>
        <w:rPr>
          <w:sz w:val="20"/>
          <w:szCs w:val="20"/>
          <w:lang w:val="de-DE"/>
        </w:rPr>
      </w:pPr>
      <w:r w:rsidRPr="004676F5">
        <w:rPr>
          <w:sz w:val="20"/>
          <w:szCs w:val="20"/>
          <w:lang w:val="de-DE"/>
        </w:rPr>
        <w:t>[Das Amt kann jedoch die in Absatz 1 erwähnten Bedingungen überprüfen, wenn es bei der Prüfung der Zertifikatsanmeldung Kenntnis von Informationen über diese Bedingungen hat, die eine Zurückweisung der Anmeldung rechtfertigen könnten.]</w:t>
      </w:r>
    </w:p>
    <w:p w14:paraId="5536353B" w14:textId="77777777" w:rsidR="00070CA0" w:rsidRPr="004676F5" w:rsidRDefault="00070CA0" w:rsidP="00070CA0">
      <w:pPr>
        <w:jc w:val="both"/>
        <w:rPr>
          <w:sz w:val="20"/>
          <w:szCs w:val="20"/>
          <w:lang w:val="de-DE"/>
        </w:rPr>
      </w:pPr>
    </w:p>
    <w:p w14:paraId="2253D494" w14:textId="3D5ADCA3" w:rsidR="00070CA0" w:rsidRPr="004676F5" w:rsidRDefault="00070CA0" w:rsidP="00070CA0">
      <w:pPr>
        <w:jc w:val="both"/>
        <w:rPr>
          <w:sz w:val="20"/>
          <w:szCs w:val="20"/>
          <w:lang w:val="de-DE"/>
        </w:rPr>
      </w:pPr>
      <w:r w:rsidRPr="004676F5">
        <w:rPr>
          <w:sz w:val="20"/>
          <w:szCs w:val="20"/>
          <w:lang w:val="de-DE"/>
        </w:rPr>
        <w:t>[Die Zertifikatsanmeldung kann nicht zurückgewiesen werden, ohne dass dem Anmelder die Möglichkeit eingeräumt wird, innerhalb einer vom König festgelegten Frist zu der beabsichtigten Zurückweisung Stellung zu nehmen.]</w:t>
      </w:r>
    </w:p>
    <w:p w14:paraId="0447B953" w14:textId="77777777" w:rsidR="00070CA0" w:rsidRPr="004676F5" w:rsidRDefault="00070CA0" w:rsidP="00070CA0">
      <w:pPr>
        <w:jc w:val="both"/>
        <w:rPr>
          <w:sz w:val="20"/>
          <w:szCs w:val="20"/>
          <w:lang w:val="de-DE"/>
        </w:rPr>
      </w:pPr>
    </w:p>
    <w:p w14:paraId="4E9D5136" w14:textId="1ADF8678" w:rsidR="00070CA0" w:rsidRPr="004676F5" w:rsidRDefault="00070CA0" w:rsidP="00070CA0">
      <w:pPr>
        <w:jc w:val="both"/>
        <w:rPr>
          <w:iCs/>
          <w:sz w:val="20"/>
          <w:szCs w:val="20"/>
          <w:lang w:val="de-DE"/>
        </w:rPr>
      </w:pPr>
      <w:r w:rsidRPr="004676F5">
        <w:rPr>
          <w:i/>
          <w:iCs/>
          <w:sz w:val="20"/>
          <w:szCs w:val="20"/>
          <w:lang w:val="de-DE"/>
        </w:rPr>
        <w:t>[Art. XI.97 Abs. 2 eingefügt durch Art. 22</w:t>
      </w:r>
      <w:r w:rsidRPr="004676F5">
        <w:rPr>
          <w:i/>
          <w:sz w:val="20"/>
          <w:szCs w:val="20"/>
          <w:lang w:val="de-DE"/>
        </w:rPr>
        <w:t xml:space="preserve"> des G. vom 2. Mai 2019 (IV) (B.S. vom 22. Mai 2019); Abs. 3 eingefügt durch Art. 35</w:t>
      </w:r>
      <w:r w:rsidRPr="004676F5">
        <w:rPr>
          <w:i/>
          <w:iCs/>
          <w:sz w:val="20"/>
          <w:szCs w:val="20"/>
          <w:lang w:val="de-DE"/>
        </w:rPr>
        <w:t xml:space="preserve"> des G. vom 9. Februar 2024 (B.S. vom 21. März 2024)</w:t>
      </w:r>
      <w:r w:rsidRPr="004676F5">
        <w:rPr>
          <w:i/>
          <w:sz w:val="20"/>
          <w:szCs w:val="20"/>
          <w:lang w:val="de-DE"/>
        </w:rPr>
        <w:t>]</w:t>
      </w:r>
      <w:r w:rsidRPr="004676F5">
        <w:rPr>
          <w:iCs/>
          <w:sz w:val="20"/>
          <w:szCs w:val="20"/>
          <w:lang w:val="de-DE"/>
        </w:rPr>
        <w:t>"</w:t>
      </w:r>
    </w:p>
    <w:p w14:paraId="3711DE34" w14:textId="044156F8" w:rsidR="00070CA0" w:rsidRPr="004676F5" w:rsidRDefault="00070CA0" w:rsidP="00B04019">
      <w:pPr>
        <w:jc w:val="both"/>
        <w:rPr>
          <w:sz w:val="20"/>
          <w:szCs w:val="20"/>
          <w:lang w:val="de-DE"/>
        </w:rPr>
      </w:pPr>
    </w:p>
    <w:p w14:paraId="1D01E8B0" w14:textId="77777777" w:rsidR="00070CA0" w:rsidRPr="004676F5" w:rsidRDefault="00070CA0" w:rsidP="001527B1">
      <w:pPr>
        <w:ind w:firstLine="708"/>
        <w:jc w:val="both"/>
        <w:rPr>
          <w:b/>
          <w:lang w:val="de-DE"/>
        </w:rPr>
      </w:pPr>
    </w:p>
    <w:p w14:paraId="5C932DA2" w14:textId="0C365FB2" w:rsidR="001527B1" w:rsidRPr="004676F5" w:rsidRDefault="00BE0A56" w:rsidP="001527B1">
      <w:pPr>
        <w:ind w:firstLine="708"/>
        <w:jc w:val="both"/>
        <w:rPr>
          <w:lang w:val="de-DE"/>
        </w:rPr>
      </w:pPr>
      <w:r w:rsidRPr="004676F5">
        <w:rPr>
          <w:b/>
          <w:lang w:val="de-DE"/>
        </w:rPr>
        <w:t>Art. </w:t>
      </w:r>
      <w:r w:rsidR="001527B1" w:rsidRPr="004676F5">
        <w:rPr>
          <w:b/>
          <w:lang w:val="de-DE"/>
        </w:rPr>
        <w:t>XI.98</w:t>
      </w:r>
      <w:r w:rsidR="001527B1" w:rsidRPr="004676F5">
        <w:rPr>
          <w:lang w:val="de-DE"/>
        </w:rPr>
        <w:t> </w:t>
      </w:r>
      <w:r w:rsidR="005B7A5C" w:rsidRPr="004676F5">
        <w:rPr>
          <w:lang w:val="de-DE"/>
        </w:rPr>
        <w:t>- </w:t>
      </w:r>
      <w:r w:rsidR="001527B1" w:rsidRPr="004676F5">
        <w:rPr>
          <w:lang w:val="de-DE"/>
        </w:rPr>
        <w:t>Zertifikatserteilung oder Zurückweisung einer Zertifikatsanmeldung und Annahme der Verlängerung der Laufzeit eines Zertifikats oder Zurückweisung eines Antrags auf Verlängerung der Laufzeit eines Zertifikats werden im Register bekannt gemacht.</w:t>
      </w:r>
    </w:p>
    <w:p w14:paraId="154A9A23" w14:textId="77777777" w:rsidR="001527B1" w:rsidRPr="004676F5" w:rsidRDefault="001527B1" w:rsidP="001527B1">
      <w:pPr>
        <w:ind w:firstLine="708"/>
        <w:jc w:val="both"/>
        <w:rPr>
          <w:lang w:val="de-DE"/>
        </w:rPr>
      </w:pPr>
    </w:p>
    <w:p w14:paraId="6A07F4F9" w14:textId="77777777" w:rsidR="00435B6C" w:rsidRPr="004676F5" w:rsidRDefault="00435B6C" w:rsidP="001527B1">
      <w:pPr>
        <w:ind w:firstLine="708"/>
        <w:jc w:val="both"/>
        <w:rPr>
          <w:lang w:val="de-DE"/>
        </w:rPr>
      </w:pPr>
    </w:p>
    <w:p w14:paraId="4E4DE081" w14:textId="2749D92F" w:rsidR="001527B1" w:rsidRPr="004676F5" w:rsidRDefault="00BE0A56" w:rsidP="001527B1">
      <w:pPr>
        <w:ind w:firstLine="708"/>
        <w:jc w:val="both"/>
        <w:rPr>
          <w:lang w:val="de-DE"/>
        </w:rPr>
      </w:pPr>
      <w:r w:rsidRPr="004676F5">
        <w:rPr>
          <w:b/>
          <w:lang w:val="de-DE"/>
        </w:rPr>
        <w:t>Art. </w:t>
      </w:r>
      <w:r w:rsidR="001527B1" w:rsidRPr="004676F5">
        <w:rPr>
          <w:b/>
          <w:lang w:val="de-DE"/>
        </w:rPr>
        <w:t>XI.99</w:t>
      </w:r>
      <w:r w:rsidR="001527B1" w:rsidRPr="004676F5">
        <w:rPr>
          <w:lang w:val="de-DE"/>
        </w:rPr>
        <w:t> </w:t>
      </w:r>
      <w:r w:rsidR="005B7A5C" w:rsidRPr="004676F5">
        <w:rPr>
          <w:lang w:val="de-DE"/>
        </w:rPr>
        <w:t>- </w:t>
      </w:r>
      <w:r w:rsidR="001527B1" w:rsidRPr="004676F5">
        <w:rPr>
          <w:lang w:val="de-DE"/>
        </w:rPr>
        <w:t>Erlöschen oder Nichtigkeit eines Zertifikats und Aufhebung der Verlängerung der Laufzeit eines Zertifikats werden im Register unter Angabe folgender Hinweise veröffentlicht:</w:t>
      </w:r>
    </w:p>
    <w:p w14:paraId="1CAA8BDC" w14:textId="77777777" w:rsidR="001527B1" w:rsidRPr="004676F5" w:rsidRDefault="001527B1" w:rsidP="001527B1">
      <w:pPr>
        <w:ind w:firstLine="708"/>
        <w:jc w:val="both"/>
        <w:rPr>
          <w:lang w:val="de-DE"/>
        </w:rPr>
      </w:pPr>
    </w:p>
    <w:p w14:paraId="55C425FA" w14:textId="77777777" w:rsidR="001527B1" w:rsidRPr="004676F5" w:rsidRDefault="001527B1" w:rsidP="001527B1">
      <w:pPr>
        <w:ind w:firstLine="708"/>
        <w:jc w:val="both"/>
        <w:rPr>
          <w:lang w:val="de-DE"/>
        </w:rPr>
      </w:pPr>
      <w:r w:rsidRPr="004676F5">
        <w:rPr>
          <w:lang w:val="de-DE"/>
        </w:rPr>
        <w:t>1. Name und Adresse des Zertifikatsinhabers,</w:t>
      </w:r>
    </w:p>
    <w:p w14:paraId="60F1C45B" w14:textId="77777777" w:rsidR="001527B1" w:rsidRPr="004676F5" w:rsidRDefault="001527B1" w:rsidP="001527B1">
      <w:pPr>
        <w:ind w:firstLine="708"/>
        <w:jc w:val="both"/>
        <w:rPr>
          <w:lang w:val="de-DE"/>
        </w:rPr>
      </w:pPr>
    </w:p>
    <w:p w14:paraId="3606BD69" w14:textId="77777777" w:rsidR="001527B1" w:rsidRPr="004676F5" w:rsidRDefault="001527B1" w:rsidP="001527B1">
      <w:pPr>
        <w:ind w:firstLine="708"/>
        <w:jc w:val="both"/>
        <w:rPr>
          <w:lang w:val="de-DE"/>
        </w:rPr>
      </w:pPr>
      <w:r w:rsidRPr="004676F5">
        <w:rPr>
          <w:lang w:val="de-DE"/>
        </w:rPr>
        <w:t>2. Nummer des Grundpatents,</w:t>
      </w:r>
    </w:p>
    <w:p w14:paraId="3B9D43A1" w14:textId="77777777" w:rsidR="001527B1" w:rsidRPr="004676F5" w:rsidRDefault="001527B1" w:rsidP="001527B1">
      <w:pPr>
        <w:ind w:firstLine="708"/>
        <w:jc w:val="both"/>
        <w:rPr>
          <w:lang w:val="de-DE"/>
        </w:rPr>
      </w:pPr>
    </w:p>
    <w:p w14:paraId="1B385334" w14:textId="77777777" w:rsidR="001527B1" w:rsidRPr="004676F5" w:rsidRDefault="001527B1" w:rsidP="001527B1">
      <w:pPr>
        <w:ind w:firstLine="708"/>
        <w:jc w:val="both"/>
        <w:rPr>
          <w:lang w:val="de-DE"/>
        </w:rPr>
      </w:pPr>
      <w:r w:rsidRPr="004676F5">
        <w:rPr>
          <w:lang w:val="de-DE"/>
        </w:rPr>
        <w:t>3. Bezeichnung der Erfindung.</w:t>
      </w:r>
    </w:p>
    <w:p w14:paraId="5ADCB1F4" w14:textId="77777777" w:rsidR="001527B1" w:rsidRPr="004676F5" w:rsidRDefault="001527B1" w:rsidP="001527B1">
      <w:pPr>
        <w:ind w:firstLine="708"/>
        <w:jc w:val="both"/>
        <w:rPr>
          <w:lang w:val="de-DE"/>
        </w:rPr>
      </w:pPr>
    </w:p>
    <w:p w14:paraId="5C3C8880" w14:textId="2955847C" w:rsidR="001527B1" w:rsidRPr="004676F5" w:rsidRDefault="001527B1" w:rsidP="001527B1">
      <w:pPr>
        <w:jc w:val="center"/>
        <w:rPr>
          <w:lang w:val="de-DE"/>
        </w:rPr>
      </w:pPr>
      <w:r w:rsidRPr="004676F5">
        <w:rPr>
          <w:lang w:val="de-DE"/>
        </w:rPr>
        <w:lastRenderedPageBreak/>
        <w:t>KAPITEL 2 </w:t>
      </w:r>
      <w:r w:rsidR="005B7A5C" w:rsidRPr="004676F5">
        <w:rPr>
          <w:lang w:val="de-DE"/>
        </w:rPr>
        <w:t>- </w:t>
      </w:r>
      <w:r w:rsidRPr="004676F5">
        <w:rPr>
          <w:i/>
          <w:lang w:val="de-DE"/>
        </w:rPr>
        <w:t>Gebühren und Abgaben</w:t>
      </w:r>
    </w:p>
    <w:p w14:paraId="194D786F" w14:textId="77777777" w:rsidR="001527B1" w:rsidRPr="004676F5" w:rsidRDefault="001527B1" w:rsidP="001527B1">
      <w:pPr>
        <w:ind w:firstLine="708"/>
        <w:jc w:val="both"/>
        <w:rPr>
          <w:lang w:val="de-DE"/>
        </w:rPr>
      </w:pPr>
    </w:p>
    <w:p w14:paraId="4C11FD4F" w14:textId="77777777" w:rsidR="00435B6C" w:rsidRPr="004676F5" w:rsidRDefault="00435B6C" w:rsidP="001527B1">
      <w:pPr>
        <w:ind w:firstLine="708"/>
        <w:jc w:val="both"/>
        <w:rPr>
          <w:lang w:val="de-DE"/>
        </w:rPr>
      </w:pPr>
    </w:p>
    <w:p w14:paraId="692FA85F" w14:textId="305BA919" w:rsidR="001527B1" w:rsidRPr="004676F5" w:rsidRDefault="00BE0A56" w:rsidP="001527B1">
      <w:pPr>
        <w:ind w:firstLine="708"/>
        <w:jc w:val="both"/>
        <w:rPr>
          <w:lang w:val="de-DE"/>
        </w:rPr>
      </w:pPr>
      <w:r w:rsidRPr="004676F5">
        <w:rPr>
          <w:b/>
          <w:lang w:val="de-DE"/>
        </w:rPr>
        <w:t>Art. </w:t>
      </w:r>
      <w:r w:rsidR="001527B1" w:rsidRPr="004676F5">
        <w:rPr>
          <w:b/>
          <w:lang w:val="de-DE"/>
        </w:rPr>
        <w:t>XI.100</w:t>
      </w:r>
      <w:r w:rsidR="001527B1" w:rsidRPr="004676F5">
        <w:rPr>
          <w:lang w:val="de-DE"/>
        </w:rPr>
        <w:t> </w:t>
      </w:r>
      <w:r w:rsidR="005B7A5C" w:rsidRPr="004676F5">
        <w:rPr>
          <w:lang w:val="de-DE"/>
        </w:rPr>
        <w:t>- </w:t>
      </w:r>
      <w:r w:rsidR="001527B1" w:rsidRPr="004676F5">
        <w:rPr>
          <w:lang w:val="de-DE"/>
        </w:rPr>
        <w:t>Der König bestimmt Höhe und Modalitäten für die Zahlung der Gebühren, Zusatzgebühren und Abgaben, die für Zertifikate und Verlängerungen der Laufzeit von Zertifikaten zu entrichten sind.</w:t>
      </w:r>
    </w:p>
    <w:p w14:paraId="645B3B32" w14:textId="77777777" w:rsidR="001527B1" w:rsidRPr="004676F5" w:rsidRDefault="001527B1" w:rsidP="001527B1">
      <w:pPr>
        <w:ind w:firstLine="708"/>
        <w:jc w:val="both"/>
        <w:rPr>
          <w:lang w:val="de-DE"/>
        </w:rPr>
      </w:pPr>
    </w:p>
    <w:p w14:paraId="1AFAE294" w14:textId="77777777" w:rsidR="00435B6C" w:rsidRPr="004676F5" w:rsidRDefault="00435B6C" w:rsidP="001527B1">
      <w:pPr>
        <w:ind w:firstLine="708"/>
        <w:jc w:val="both"/>
        <w:rPr>
          <w:lang w:val="de-DE"/>
        </w:rPr>
      </w:pPr>
    </w:p>
    <w:p w14:paraId="25D31372" w14:textId="13AFC438" w:rsidR="001527B1" w:rsidRPr="004676F5" w:rsidRDefault="00BE0A56" w:rsidP="001527B1">
      <w:pPr>
        <w:ind w:firstLine="708"/>
        <w:jc w:val="both"/>
        <w:rPr>
          <w:lang w:val="de-DE"/>
        </w:rPr>
      </w:pPr>
      <w:r w:rsidRPr="004676F5">
        <w:rPr>
          <w:b/>
          <w:lang w:val="de-DE"/>
        </w:rPr>
        <w:t>Art. </w:t>
      </w:r>
      <w:r w:rsidR="001527B1" w:rsidRPr="004676F5">
        <w:rPr>
          <w:b/>
          <w:lang w:val="de-DE"/>
        </w:rPr>
        <w:t>XI.101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Für jede Zertifikatsanmeldung oder jedes Zertifikat sind im Hinblick auf ihre beziehungsweise seine Aufrechterhaltung Jahresgebühren zu zahlen. Die erste Jahresgebühr ist bei Ablauf der gesetzlichen Laufzeit des Grundpatents zu entrichten.</w:t>
      </w:r>
    </w:p>
    <w:p w14:paraId="2D9DC16D" w14:textId="77777777" w:rsidR="001527B1" w:rsidRPr="004676F5" w:rsidRDefault="001527B1" w:rsidP="001527B1">
      <w:pPr>
        <w:ind w:firstLine="708"/>
        <w:jc w:val="both"/>
        <w:rPr>
          <w:lang w:val="de-DE"/>
        </w:rPr>
      </w:pPr>
    </w:p>
    <w:p w14:paraId="1812313E" w14:textId="77777777" w:rsidR="001527B1" w:rsidRPr="004676F5" w:rsidRDefault="001527B1" w:rsidP="001527B1">
      <w:pPr>
        <w:ind w:firstLine="708"/>
        <w:jc w:val="both"/>
        <w:rPr>
          <w:lang w:val="de-DE"/>
        </w:rPr>
      </w:pPr>
      <w:r w:rsidRPr="004676F5">
        <w:rPr>
          <w:lang w:val="de-DE"/>
        </w:rPr>
        <w:t>Die Zahlung der Jahresgebühr wird am letzten Tag des Monats des Jahrestags der Einreichung der Anmeldung für das Grundpatent fällig. Die Jahresgebühr kann frühestens sechs Monate vor ihrer Fälligkeit wirksam entrichtet werden.</w:t>
      </w:r>
    </w:p>
    <w:p w14:paraId="0CF7C54F" w14:textId="77777777" w:rsidR="001527B1" w:rsidRPr="004676F5" w:rsidRDefault="001527B1" w:rsidP="001527B1">
      <w:pPr>
        <w:ind w:firstLine="708"/>
        <w:jc w:val="both"/>
        <w:rPr>
          <w:lang w:val="de-DE"/>
        </w:rPr>
      </w:pPr>
    </w:p>
    <w:p w14:paraId="18591A81" w14:textId="0692F8DF"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Erfolgt die Zahlung der Jahresgebühr nicht bis zum Fälligkeitstag, so kann diese Gebühr, erhöht um eine Zuschlagsgebühr, noch innerhalb einer Nachfrist von sechs Monaten, gerechnet vom Fälligkeitstag der Jahresgebühr an, entrichtet werden.</w:t>
      </w:r>
    </w:p>
    <w:p w14:paraId="2D5A802F" w14:textId="77777777" w:rsidR="001527B1" w:rsidRPr="004676F5" w:rsidRDefault="001527B1" w:rsidP="001527B1">
      <w:pPr>
        <w:ind w:firstLine="708"/>
        <w:jc w:val="both"/>
        <w:rPr>
          <w:lang w:val="de-DE"/>
        </w:rPr>
      </w:pPr>
    </w:p>
    <w:p w14:paraId="03F46332" w14:textId="06F93DC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Höhe der Jahresgebühr und der Zuschlagsgebühr wird vom König durch einen im Ministerrat beratenen Erlass festgelegt.</w:t>
      </w:r>
    </w:p>
    <w:p w14:paraId="518E19A7" w14:textId="77777777" w:rsidR="001527B1" w:rsidRPr="004676F5" w:rsidRDefault="001527B1" w:rsidP="001527B1">
      <w:pPr>
        <w:ind w:firstLine="708"/>
        <w:jc w:val="both"/>
        <w:rPr>
          <w:lang w:val="de-DE"/>
        </w:rPr>
      </w:pPr>
    </w:p>
    <w:p w14:paraId="537B071D" w14:textId="366538ED"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Wird die Jahresgebühr nicht innerhalb der in § 2 vorgesehenen Nachfrist von sechs Monaten entrichtet, werden die Rechte des Zertifikatsanmelders oder Zertifikats</w:t>
      </w:r>
      <w:r w:rsidRPr="004676F5">
        <w:rPr>
          <w:lang w:val="de-DE"/>
        </w:rPr>
        <w:softHyphen/>
        <w:t>inhabers von Rechts wegen aufgehoben. Die Aufhebung wird wirksam mit dem Fälligkeitstag der nicht entrichteten Jahresgebühr. Die Aufhebung wird in das Register eingetragen.</w:t>
      </w:r>
    </w:p>
    <w:p w14:paraId="31CCCF82" w14:textId="77777777" w:rsidR="001527B1" w:rsidRPr="004676F5" w:rsidRDefault="001527B1" w:rsidP="001527B1">
      <w:pPr>
        <w:rPr>
          <w:lang w:val="de-DE"/>
        </w:rPr>
      </w:pPr>
    </w:p>
    <w:p w14:paraId="19417E41" w14:textId="77777777" w:rsidR="001527B1" w:rsidRPr="004676F5" w:rsidRDefault="001527B1" w:rsidP="001527B1">
      <w:pPr>
        <w:rPr>
          <w:lang w:val="de-DE"/>
        </w:rPr>
      </w:pPr>
      <w:r w:rsidRPr="004676F5">
        <w:rPr>
          <w:lang w:val="de-DE"/>
        </w:rPr>
        <w:br w:type="page"/>
      </w:r>
    </w:p>
    <w:p w14:paraId="009536CB" w14:textId="62671E17" w:rsidR="001527B1" w:rsidRPr="004676F5" w:rsidRDefault="001527B1" w:rsidP="001527B1">
      <w:pPr>
        <w:jc w:val="center"/>
        <w:rPr>
          <w:lang w:val="de-DE"/>
        </w:rPr>
      </w:pPr>
      <w:r w:rsidRPr="004676F5">
        <w:rPr>
          <w:lang w:val="de-DE"/>
        </w:rPr>
        <w:lastRenderedPageBreak/>
        <w:t>KAPITEL 3 </w:t>
      </w:r>
      <w:r w:rsidR="005B7A5C" w:rsidRPr="004676F5">
        <w:rPr>
          <w:lang w:val="de-DE"/>
        </w:rPr>
        <w:t>- </w:t>
      </w:r>
      <w:r w:rsidRPr="004676F5">
        <w:rPr>
          <w:i/>
          <w:lang w:val="de-DE"/>
        </w:rPr>
        <w:t>Wiedereinsetzung</w:t>
      </w:r>
    </w:p>
    <w:p w14:paraId="7763BF8B" w14:textId="77777777" w:rsidR="001527B1" w:rsidRPr="004676F5" w:rsidRDefault="001527B1" w:rsidP="001527B1">
      <w:pPr>
        <w:ind w:firstLine="708"/>
        <w:jc w:val="both"/>
        <w:rPr>
          <w:lang w:val="de-DE"/>
        </w:rPr>
      </w:pPr>
    </w:p>
    <w:p w14:paraId="48B8215F" w14:textId="77777777" w:rsidR="00435B6C" w:rsidRPr="004676F5" w:rsidRDefault="00435B6C" w:rsidP="001527B1">
      <w:pPr>
        <w:ind w:firstLine="708"/>
        <w:jc w:val="both"/>
        <w:rPr>
          <w:lang w:val="de-DE"/>
        </w:rPr>
      </w:pPr>
    </w:p>
    <w:p w14:paraId="5AE511DA" w14:textId="38FB6CAE" w:rsidR="001527B1" w:rsidRPr="004676F5" w:rsidRDefault="00BE0A56" w:rsidP="001527B1">
      <w:pPr>
        <w:ind w:firstLine="708"/>
        <w:jc w:val="both"/>
        <w:rPr>
          <w:lang w:val="de-DE"/>
        </w:rPr>
      </w:pPr>
      <w:r w:rsidRPr="004676F5">
        <w:rPr>
          <w:b/>
          <w:lang w:val="de-DE"/>
        </w:rPr>
        <w:t>Art. </w:t>
      </w:r>
      <w:r w:rsidR="001527B1" w:rsidRPr="004676F5">
        <w:rPr>
          <w:b/>
          <w:lang w:val="de-DE"/>
        </w:rPr>
        <w:t>XI.102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Hat ein Zertifikatsanmelder, derjenige, der eine Verlängerung der Laufzeit eines Zertifikats beantragt, oder ein Zertifikatsinhaber eine Frist zur Vornahme einer Handlung in einem Verfahren vor dem Amt versäumt und hat dieses Versäumnis unmittelbar den Verlust der Rechte in Bezug auf ein Zertifikat, eine Zertifikatsanmeldung oder einen Antrag auf Verlängerung der Laufzeit eines Zertifikats zur Folge, so setzt das Amt den Anmelder oder Inhaber in Bezug auf das Zertifikat, die Zertifikatsanmeldung oder den Antrag auf Verlängerung der Laufzeit des Zertifikats wieder in den vorigen Stand ein, wenn:</w:t>
      </w:r>
    </w:p>
    <w:p w14:paraId="20EAB7F5" w14:textId="77777777" w:rsidR="001527B1" w:rsidRPr="004676F5" w:rsidRDefault="001527B1" w:rsidP="001527B1">
      <w:pPr>
        <w:ind w:firstLine="708"/>
        <w:jc w:val="both"/>
        <w:rPr>
          <w:lang w:val="de-DE"/>
        </w:rPr>
      </w:pPr>
    </w:p>
    <w:p w14:paraId="679FEAB9" w14:textId="77777777" w:rsidR="001527B1" w:rsidRPr="004676F5" w:rsidRDefault="001527B1" w:rsidP="001527B1">
      <w:pPr>
        <w:ind w:firstLine="708"/>
        <w:jc w:val="both"/>
        <w:rPr>
          <w:lang w:val="de-DE"/>
        </w:rPr>
      </w:pPr>
      <w:r w:rsidRPr="004676F5">
        <w:rPr>
          <w:lang w:val="de-DE"/>
        </w:rPr>
        <w:t>1. dem Amt ein diesbezüglicher Antrag gemäß den Bedingungen und innerhalb der Frist vorgelegt wird, die vom König festgelegt werden,</w:t>
      </w:r>
    </w:p>
    <w:p w14:paraId="7CFCA84D" w14:textId="77777777" w:rsidR="001527B1" w:rsidRPr="004676F5" w:rsidRDefault="001527B1" w:rsidP="001527B1">
      <w:pPr>
        <w:ind w:firstLine="708"/>
        <w:jc w:val="both"/>
        <w:rPr>
          <w:lang w:val="de-DE"/>
        </w:rPr>
      </w:pPr>
    </w:p>
    <w:p w14:paraId="03D17DCC" w14:textId="77777777" w:rsidR="001527B1" w:rsidRPr="004676F5" w:rsidRDefault="001527B1" w:rsidP="001527B1">
      <w:pPr>
        <w:ind w:firstLine="708"/>
        <w:jc w:val="both"/>
        <w:rPr>
          <w:lang w:val="de-DE"/>
        </w:rPr>
      </w:pPr>
      <w:r w:rsidRPr="004676F5">
        <w:rPr>
          <w:lang w:val="de-DE"/>
        </w:rPr>
        <w:t>2. die nicht vorgenommene Handlung innerhalb der in Nr. 1 erwähnten Frist zur Einreichung des Antrags vorgenommen wird,</w:t>
      </w:r>
    </w:p>
    <w:p w14:paraId="16D3BD46" w14:textId="77777777" w:rsidR="001527B1" w:rsidRPr="004676F5" w:rsidRDefault="001527B1" w:rsidP="001527B1">
      <w:pPr>
        <w:ind w:firstLine="708"/>
        <w:jc w:val="both"/>
        <w:rPr>
          <w:lang w:val="de-DE"/>
        </w:rPr>
      </w:pPr>
    </w:p>
    <w:p w14:paraId="5410E8D1" w14:textId="77777777" w:rsidR="001527B1" w:rsidRPr="004676F5" w:rsidRDefault="001527B1" w:rsidP="001527B1">
      <w:pPr>
        <w:ind w:firstLine="708"/>
        <w:jc w:val="both"/>
        <w:rPr>
          <w:lang w:val="de-DE"/>
        </w:rPr>
      </w:pPr>
      <w:r w:rsidRPr="004676F5">
        <w:rPr>
          <w:lang w:val="de-DE"/>
        </w:rPr>
        <w:t>3. in dem Antrag angegeben wird, aus welchen Gründen die Frist nicht eingehalten wurde,</w:t>
      </w:r>
    </w:p>
    <w:p w14:paraId="27C07138" w14:textId="77777777" w:rsidR="001527B1" w:rsidRPr="004676F5" w:rsidRDefault="001527B1" w:rsidP="001527B1">
      <w:pPr>
        <w:ind w:firstLine="708"/>
        <w:jc w:val="both"/>
        <w:rPr>
          <w:lang w:val="de-DE"/>
        </w:rPr>
      </w:pPr>
    </w:p>
    <w:p w14:paraId="1CC43C46" w14:textId="77777777" w:rsidR="001527B1" w:rsidRPr="004676F5" w:rsidRDefault="001527B1" w:rsidP="001527B1">
      <w:pPr>
        <w:ind w:firstLine="708"/>
        <w:jc w:val="both"/>
        <w:rPr>
          <w:lang w:val="de-DE"/>
        </w:rPr>
      </w:pPr>
      <w:r w:rsidRPr="004676F5">
        <w:rPr>
          <w:lang w:val="de-DE"/>
        </w:rPr>
        <w:t>4. das Amt feststellt, dass das Fristversäumnis trotz Beachtung der im konkreten Fall gebotenen Sorgfalt eintrat.</w:t>
      </w:r>
    </w:p>
    <w:p w14:paraId="2F49157C" w14:textId="77777777" w:rsidR="001527B1" w:rsidRPr="004676F5" w:rsidRDefault="001527B1" w:rsidP="001527B1">
      <w:pPr>
        <w:ind w:firstLine="708"/>
        <w:jc w:val="both"/>
        <w:rPr>
          <w:lang w:val="de-DE"/>
        </w:rPr>
      </w:pPr>
    </w:p>
    <w:p w14:paraId="21C9F789" w14:textId="77777777" w:rsidR="001527B1" w:rsidRPr="004676F5" w:rsidRDefault="001527B1" w:rsidP="001527B1">
      <w:pPr>
        <w:ind w:firstLine="708"/>
        <w:jc w:val="both"/>
        <w:rPr>
          <w:lang w:val="de-DE"/>
        </w:rPr>
      </w:pPr>
      <w:r w:rsidRPr="004676F5">
        <w:rPr>
          <w:lang w:val="de-DE"/>
        </w:rPr>
        <w:t>Der Wiedereinsetzungsantrag wird in das Register eingetragen.</w:t>
      </w:r>
    </w:p>
    <w:p w14:paraId="5C2A132B" w14:textId="77777777" w:rsidR="001527B1" w:rsidRPr="004676F5" w:rsidRDefault="001527B1" w:rsidP="001527B1">
      <w:pPr>
        <w:ind w:firstLine="708"/>
        <w:jc w:val="both"/>
        <w:rPr>
          <w:lang w:val="de-DE"/>
        </w:rPr>
      </w:pPr>
    </w:p>
    <w:p w14:paraId="552E2EA3" w14:textId="77777777" w:rsidR="001527B1" w:rsidRPr="004676F5" w:rsidRDefault="001527B1" w:rsidP="001527B1">
      <w:pPr>
        <w:ind w:firstLine="708"/>
        <w:jc w:val="both"/>
        <w:rPr>
          <w:lang w:val="de-DE"/>
        </w:rPr>
      </w:pPr>
      <w:r w:rsidRPr="004676F5">
        <w:rPr>
          <w:lang w:val="de-DE"/>
        </w:rPr>
        <w:t>Zur Stützung der in Nr. 3 erwähnten Gründe werden dem Amt innerhalb einer vom König festgelegten Frist eine Erklärung oder andere Nachweise vorgelegt.</w:t>
      </w:r>
    </w:p>
    <w:p w14:paraId="67C01122" w14:textId="77777777" w:rsidR="001527B1" w:rsidRPr="004676F5" w:rsidRDefault="001527B1" w:rsidP="001527B1">
      <w:pPr>
        <w:ind w:firstLine="708"/>
        <w:jc w:val="both"/>
        <w:rPr>
          <w:lang w:val="de-DE"/>
        </w:rPr>
      </w:pPr>
    </w:p>
    <w:p w14:paraId="4E5E3119" w14:textId="2B4DE83A" w:rsidR="001527B1" w:rsidRPr="004676F5" w:rsidRDefault="00930654" w:rsidP="001527B1">
      <w:pPr>
        <w:ind w:firstLine="708"/>
        <w:jc w:val="both"/>
        <w:rPr>
          <w:lang w:val="de-DE"/>
        </w:rPr>
      </w:pPr>
      <w:r w:rsidRPr="004676F5">
        <w:rPr>
          <w:lang w:val="de-DE"/>
        </w:rPr>
        <w:t>[Der Wiedereinsetzungsantrag wird erst behandelt, wenn die für diesen Antrag vorgeschriebene Gebühr entrichtet worden ist. Die Zahlung dieser Gebühr erfolgt binnen zwei Monaten nach Einreichung des Antrags. Wird diese Frist nicht eingehalten, ist der Wiedereinsetzungsantrag von Rechts wegen unwirksam.]</w:t>
      </w:r>
    </w:p>
    <w:p w14:paraId="0E8E6D91" w14:textId="77777777" w:rsidR="001527B1" w:rsidRPr="004676F5" w:rsidRDefault="001527B1" w:rsidP="001527B1">
      <w:pPr>
        <w:ind w:firstLine="708"/>
        <w:jc w:val="both"/>
        <w:rPr>
          <w:lang w:val="de-DE"/>
        </w:rPr>
      </w:pPr>
    </w:p>
    <w:p w14:paraId="090E1338" w14:textId="2D5FA219"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Ein Antrag gemäß § 1 kann nicht ganz oder teilweise zurückgewiesen werden, ohne dass der antragstellenden Partei die Möglichkeit eingeräumt wird, innerhalb einer vom König festgelegten Frist zu der beabsichtigten Zurückweisung Stellung zu nehmen.</w:t>
      </w:r>
    </w:p>
    <w:p w14:paraId="7C040004" w14:textId="77777777" w:rsidR="001527B1" w:rsidRPr="004676F5" w:rsidRDefault="001527B1" w:rsidP="001527B1">
      <w:pPr>
        <w:ind w:firstLine="708"/>
        <w:jc w:val="both"/>
        <w:rPr>
          <w:lang w:val="de-DE"/>
        </w:rPr>
      </w:pPr>
    </w:p>
    <w:p w14:paraId="40818DE4" w14:textId="77777777" w:rsidR="001527B1" w:rsidRPr="004676F5" w:rsidRDefault="001527B1" w:rsidP="001527B1">
      <w:pPr>
        <w:ind w:firstLine="708"/>
        <w:jc w:val="both"/>
        <w:rPr>
          <w:lang w:val="de-DE"/>
        </w:rPr>
      </w:pPr>
      <w:r w:rsidRPr="004676F5">
        <w:rPr>
          <w:lang w:val="de-DE"/>
        </w:rPr>
        <w:t>Der Beschluss zur Wiedereinsetzung oder Zurückweisung wird in das Register eingetragen.</w:t>
      </w:r>
    </w:p>
    <w:p w14:paraId="452D4828" w14:textId="77777777" w:rsidR="001527B1" w:rsidRPr="004676F5" w:rsidRDefault="001527B1" w:rsidP="001527B1">
      <w:pPr>
        <w:ind w:firstLine="708"/>
        <w:jc w:val="both"/>
        <w:rPr>
          <w:lang w:val="de-DE"/>
        </w:rPr>
      </w:pPr>
    </w:p>
    <w:p w14:paraId="753608AF" w14:textId="7CA05A1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Wer in gutem Glauben zwischen dem Zeitpunkt der in Artikel XI.101 § 4 vorgesehenen Aufhebung der Rechte und dem Zeitpunkt, an dem die Wiedereinsetzung in den vorigen Stand gemäß § 2 des vorliegenden Artikels wirksam wird, das Erzeugnis, das Gegenstand des durch das Zertifikat gewährten Schutzes ist, in Belgien benutzt hat oder die dazu erforderlichen Vorbereitungen getroffen hat, darf die Benutzung dieses Erzeugnisses für die Bedürfnisse seines Betriebs fortsetzen. Das durch vorliegenden Paragraphen zuerkannte Recht kann nur zusammen mit dem Betrieb übertragen werden, an den es gebunden ist.</w:t>
      </w:r>
    </w:p>
    <w:p w14:paraId="3C1DFDED" w14:textId="77777777" w:rsidR="00930654" w:rsidRPr="004676F5" w:rsidRDefault="00930654" w:rsidP="00930654">
      <w:pPr>
        <w:jc w:val="both"/>
        <w:rPr>
          <w:lang w:val="de-DE"/>
        </w:rPr>
      </w:pPr>
    </w:p>
    <w:p w14:paraId="44EDAAF6" w14:textId="02350027" w:rsidR="00930654" w:rsidRPr="004676F5" w:rsidRDefault="00930654" w:rsidP="00930654">
      <w:pPr>
        <w:jc w:val="both"/>
        <w:rPr>
          <w:i/>
          <w:iCs/>
          <w:lang w:val="de-DE"/>
        </w:rPr>
      </w:pPr>
      <w:r w:rsidRPr="004676F5">
        <w:rPr>
          <w:i/>
          <w:iCs/>
          <w:lang w:val="de-DE"/>
        </w:rPr>
        <w:t>[Art. </w:t>
      </w:r>
      <w:r w:rsidR="002A1927">
        <w:rPr>
          <w:i/>
          <w:iCs/>
          <w:lang w:val="de-DE"/>
        </w:rPr>
        <w:t>XI.</w:t>
      </w:r>
      <w:r w:rsidRPr="004676F5">
        <w:rPr>
          <w:i/>
          <w:iCs/>
          <w:lang w:val="de-DE"/>
        </w:rPr>
        <w:t>102 § 1 Abs. 4 ersetzt durch Art. 24 des G. vom 25. September 2022 (B.S. vom 24. Oktober 2022)]</w:t>
      </w:r>
    </w:p>
    <w:p w14:paraId="34F81FD4" w14:textId="77777777" w:rsidR="001527B1" w:rsidRPr="004676F5" w:rsidRDefault="001527B1" w:rsidP="001527B1">
      <w:pPr>
        <w:ind w:firstLine="708"/>
        <w:jc w:val="both"/>
        <w:rPr>
          <w:lang w:val="de-DE"/>
        </w:rPr>
      </w:pPr>
    </w:p>
    <w:p w14:paraId="2DE9E467" w14:textId="77777777" w:rsidR="00435B6C" w:rsidRPr="004676F5" w:rsidRDefault="00435B6C" w:rsidP="001527B1">
      <w:pPr>
        <w:ind w:firstLine="708"/>
        <w:jc w:val="both"/>
        <w:rPr>
          <w:lang w:val="de-DE"/>
        </w:rPr>
      </w:pPr>
    </w:p>
    <w:p w14:paraId="00EC1BD6" w14:textId="725296E8" w:rsidR="001527B1" w:rsidRPr="004676F5" w:rsidRDefault="00BE0A56" w:rsidP="00435B6C">
      <w:pPr>
        <w:ind w:firstLine="708"/>
        <w:jc w:val="both"/>
        <w:rPr>
          <w:lang w:val="de-DE"/>
        </w:rPr>
      </w:pPr>
      <w:r w:rsidRPr="004676F5">
        <w:rPr>
          <w:b/>
          <w:lang w:val="de-DE"/>
        </w:rPr>
        <w:lastRenderedPageBreak/>
        <w:t>Art. </w:t>
      </w:r>
      <w:r w:rsidR="001527B1" w:rsidRPr="004676F5">
        <w:rPr>
          <w:b/>
          <w:lang w:val="de-DE"/>
        </w:rPr>
        <w:t>XI.103</w:t>
      </w:r>
      <w:r w:rsidR="001527B1" w:rsidRPr="004676F5">
        <w:rPr>
          <w:lang w:val="de-DE"/>
        </w:rPr>
        <w:t> </w:t>
      </w:r>
      <w:r w:rsidR="005B7A5C" w:rsidRPr="004676F5">
        <w:rPr>
          <w:lang w:val="de-DE"/>
        </w:rPr>
        <w:t>- </w:t>
      </w:r>
      <w:r w:rsidR="001527B1" w:rsidRPr="004676F5">
        <w:rPr>
          <w:lang w:val="de-DE"/>
        </w:rPr>
        <w:t>Der Antrag auf Wiedereinsetzung in den vorigen Stand wie in Artikel XI.102 § 1 erwähnt ist nicht zulässig für:</w:t>
      </w:r>
    </w:p>
    <w:p w14:paraId="7CF4A11A" w14:textId="77777777" w:rsidR="001527B1" w:rsidRPr="004676F5" w:rsidRDefault="001527B1" w:rsidP="001527B1">
      <w:pPr>
        <w:ind w:firstLine="708"/>
        <w:jc w:val="both"/>
        <w:rPr>
          <w:lang w:val="de-DE"/>
        </w:rPr>
      </w:pPr>
    </w:p>
    <w:p w14:paraId="4FD563C6" w14:textId="77777777" w:rsidR="001527B1" w:rsidRPr="004676F5" w:rsidRDefault="001527B1" w:rsidP="001527B1">
      <w:pPr>
        <w:ind w:firstLine="708"/>
        <w:jc w:val="both"/>
        <w:rPr>
          <w:lang w:val="de-DE"/>
        </w:rPr>
      </w:pPr>
      <w:r w:rsidRPr="004676F5">
        <w:rPr>
          <w:lang w:val="de-DE"/>
        </w:rPr>
        <w:t>1. die in Artikel XI.102 § 1 erwähnten Fristen,</w:t>
      </w:r>
    </w:p>
    <w:p w14:paraId="48617593" w14:textId="77777777" w:rsidR="001527B1" w:rsidRPr="004676F5" w:rsidRDefault="001527B1" w:rsidP="001527B1">
      <w:pPr>
        <w:ind w:firstLine="708"/>
        <w:jc w:val="both"/>
        <w:rPr>
          <w:lang w:val="de-DE"/>
        </w:rPr>
      </w:pPr>
    </w:p>
    <w:p w14:paraId="5DE86FA7" w14:textId="77777777" w:rsidR="001527B1" w:rsidRPr="004676F5" w:rsidRDefault="001527B1" w:rsidP="001527B1">
      <w:pPr>
        <w:ind w:firstLine="708"/>
        <w:jc w:val="both"/>
        <w:rPr>
          <w:lang w:val="de-DE"/>
        </w:rPr>
      </w:pPr>
      <w:r w:rsidRPr="004676F5">
        <w:rPr>
          <w:lang w:val="de-DE"/>
        </w:rPr>
        <w:t>2. die in Artikel 7 Absatz 5 der Verordnung 469/2009 erwähnten Fristen.</w:t>
      </w:r>
    </w:p>
    <w:p w14:paraId="39103F0C" w14:textId="77777777" w:rsidR="001527B1" w:rsidRPr="004676F5" w:rsidRDefault="001527B1" w:rsidP="001527B1">
      <w:pPr>
        <w:ind w:firstLine="708"/>
        <w:jc w:val="both"/>
        <w:rPr>
          <w:lang w:val="de-DE"/>
        </w:rPr>
      </w:pPr>
    </w:p>
    <w:p w14:paraId="3F4F7FFC" w14:textId="77777777" w:rsidR="001527B1" w:rsidRPr="004676F5" w:rsidRDefault="001527B1" w:rsidP="001527B1">
      <w:pPr>
        <w:ind w:firstLine="708"/>
        <w:jc w:val="both"/>
        <w:rPr>
          <w:lang w:val="de-DE"/>
        </w:rPr>
      </w:pPr>
      <w:r w:rsidRPr="004676F5">
        <w:rPr>
          <w:lang w:val="de-DE"/>
        </w:rPr>
        <w:t>Der König bestimmt gegebenenfalls andere als die in vorhergehendem Absatz vermerkten Fristen, für die ein Wiedereinsetzungsantrag nicht zulässig ist.</w:t>
      </w:r>
    </w:p>
    <w:p w14:paraId="67EDAB1B" w14:textId="77777777" w:rsidR="001527B1" w:rsidRPr="004676F5" w:rsidRDefault="001527B1" w:rsidP="001527B1">
      <w:pPr>
        <w:ind w:firstLine="708"/>
        <w:jc w:val="both"/>
        <w:rPr>
          <w:lang w:val="de-DE"/>
        </w:rPr>
      </w:pPr>
    </w:p>
    <w:p w14:paraId="23CA0C5E" w14:textId="4006D21F" w:rsidR="00435B6C" w:rsidRPr="004676F5" w:rsidRDefault="00435B6C">
      <w:pPr>
        <w:rPr>
          <w:b/>
          <w:lang w:val="de-DE"/>
        </w:rPr>
      </w:pPr>
    </w:p>
    <w:p w14:paraId="05575FDF" w14:textId="77777777" w:rsidR="00FE3AF3" w:rsidRPr="004676F5" w:rsidRDefault="00FE3AF3">
      <w:pPr>
        <w:rPr>
          <w:b/>
          <w:lang w:val="de-DE"/>
        </w:rPr>
      </w:pPr>
      <w:r w:rsidRPr="004676F5">
        <w:rPr>
          <w:b/>
          <w:lang w:val="de-DE"/>
        </w:rPr>
        <w:br w:type="page"/>
      </w:r>
    </w:p>
    <w:p w14:paraId="194938A9" w14:textId="60B7C6ED" w:rsidR="001527B1" w:rsidRPr="004676F5" w:rsidRDefault="001527B1" w:rsidP="001527B1">
      <w:pPr>
        <w:jc w:val="center"/>
        <w:rPr>
          <w:b/>
          <w:lang w:val="de-DE"/>
        </w:rPr>
      </w:pPr>
      <w:r w:rsidRPr="004676F5">
        <w:rPr>
          <w:b/>
          <w:lang w:val="de-DE"/>
        </w:rPr>
        <w:lastRenderedPageBreak/>
        <w:t>TITEL 3 </w:t>
      </w:r>
      <w:r w:rsidR="005B7A5C" w:rsidRPr="004676F5">
        <w:rPr>
          <w:b/>
          <w:lang w:val="de-DE"/>
        </w:rPr>
        <w:t>- </w:t>
      </w:r>
      <w:r w:rsidRPr="004676F5">
        <w:rPr>
          <w:b/>
          <w:i/>
          <w:lang w:val="de-DE"/>
        </w:rPr>
        <w:t>Sortenschutz</w:t>
      </w:r>
    </w:p>
    <w:p w14:paraId="290F5BF3" w14:textId="77777777" w:rsidR="001527B1" w:rsidRPr="004676F5" w:rsidRDefault="001527B1" w:rsidP="001527B1">
      <w:pPr>
        <w:ind w:firstLine="708"/>
        <w:jc w:val="center"/>
        <w:rPr>
          <w:lang w:val="de-DE"/>
        </w:rPr>
      </w:pPr>
    </w:p>
    <w:p w14:paraId="4D4747BA" w14:textId="77777777" w:rsidR="00435B6C" w:rsidRPr="004676F5" w:rsidRDefault="00435B6C" w:rsidP="001527B1">
      <w:pPr>
        <w:ind w:firstLine="708"/>
        <w:jc w:val="center"/>
        <w:rPr>
          <w:lang w:val="de-DE"/>
        </w:rPr>
      </w:pPr>
    </w:p>
    <w:p w14:paraId="42978B3A" w14:textId="2D615D01" w:rsidR="001527B1" w:rsidRPr="004676F5" w:rsidRDefault="001527B1" w:rsidP="001527B1">
      <w:pPr>
        <w:jc w:val="center"/>
        <w:rPr>
          <w:i/>
          <w:lang w:val="de-DE"/>
        </w:rPr>
      </w:pPr>
      <w:r w:rsidRPr="004676F5">
        <w:rPr>
          <w:lang w:val="de-DE"/>
        </w:rPr>
        <w:t>KAPITEL 1 </w:t>
      </w:r>
      <w:r w:rsidR="005B7A5C" w:rsidRPr="004676F5">
        <w:rPr>
          <w:lang w:val="de-DE"/>
        </w:rPr>
        <w:t>- </w:t>
      </w:r>
      <w:r w:rsidRPr="004676F5">
        <w:rPr>
          <w:i/>
          <w:lang w:val="de-DE"/>
        </w:rPr>
        <w:t>Materielles Recht</w:t>
      </w:r>
    </w:p>
    <w:p w14:paraId="4AC5160C" w14:textId="77777777" w:rsidR="001527B1" w:rsidRPr="004676F5" w:rsidRDefault="001527B1" w:rsidP="001527B1">
      <w:pPr>
        <w:ind w:firstLine="708"/>
        <w:jc w:val="center"/>
        <w:rPr>
          <w:lang w:val="de-DE"/>
        </w:rPr>
      </w:pPr>
    </w:p>
    <w:p w14:paraId="05EBAC5F" w14:textId="77777777" w:rsidR="00435B6C" w:rsidRPr="004676F5" w:rsidRDefault="00435B6C" w:rsidP="001527B1">
      <w:pPr>
        <w:ind w:firstLine="708"/>
        <w:jc w:val="center"/>
        <w:rPr>
          <w:lang w:val="de-DE"/>
        </w:rPr>
      </w:pPr>
    </w:p>
    <w:p w14:paraId="3D405C1A" w14:textId="3F312C5F" w:rsidR="001527B1" w:rsidRPr="004676F5" w:rsidRDefault="001527B1" w:rsidP="001527B1">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Bedingungen für die Erteilung des Sortenschutzes</w:t>
      </w:r>
    </w:p>
    <w:p w14:paraId="691A35FF" w14:textId="77777777" w:rsidR="001527B1" w:rsidRPr="004676F5" w:rsidRDefault="001527B1" w:rsidP="001527B1">
      <w:pPr>
        <w:ind w:firstLine="708"/>
        <w:jc w:val="both"/>
        <w:rPr>
          <w:lang w:val="de-DE"/>
        </w:rPr>
      </w:pPr>
    </w:p>
    <w:p w14:paraId="2D966EB3" w14:textId="77777777" w:rsidR="00435B6C" w:rsidRPr="004676F5" w:rsidRDefault="00435B6C" w:rsidP="001527B1">
      <w:pPr>
        <w:ind w:firstLine="708"/>
        <w:jc w:val="both"/>
        <w:rPr>
          <w:lang w:val="de-DE"/>
        </w:rPr>
      </w:pPr>
    </w:p>
    <w:p w14:paraId="7F21948D" w14:textId="35AF1680" w:rsidR="001527B1" w:rsidRPr="004676F5" w:rsidRDefault="00BE0A56" w:rsidP="001527B1">
      <w:pPr>
        <w:ind w:firstLine="708"/>
        <w:jc w:val="both"/>
        <w:rPr>
          <w:lang w:val="de-DE"/>
        </w:rPr>
      </w:pPr>
      <w:r w:rsidRPr="004676F5">
        <w:rPr>
          <w:b/>
          <w:lang w:val="de-DE"/>
        </w:rPr>
        <w:t>Art. </w:t>
      </w:r>
      <w:r w:rsidR="001527B1" w:rsidRPr="004676F5">
        <w:rPr>
          <w:b/>
          <w:lang w:val="de-DE"/>
        </w:rPr>
        <w:t>XI.104</w:t>
      </w:r>
      <w:r w:rsidR="001527B1" w:rsidRPr="004676F5">
        <w:rPr>
          <w:lang w:val="de-DE"/>
        </w:rPr>
        <w:t> </w:t>
      </w:r>
      <w:r w:rsidR="005B7A5C" w:rsidRPr="004676F5">
        <w:rPr>
          <w:lang w:val="de-DE"/>
        </w:rPr>
        <w:t>- </w:t>
      </w:r>
      <w:r w:rsidR="001527B1" w:rsidRPr="004676F5">
        <w:rPr>
          <w:lang w:val="de-DE"/>
        </w:rPr>
        <w:t>Gegenstand des Sortenschutzes können Sorten aller botanischen Gattungen und Arten, unter anderem auch Hybriden zwischen Gattungen oder Arten sein.</w:t>
      </w:r>
    </w:p>
    <w:p w14:paraId="464CE905" w14:textId="77777777" w:rsidR="001527B1" w:rsidRPr="004676F5" w:rsidRDefault="001527B1" w:rsidP="001527B1">
      <w:pPr>
        <w:ind w:firstLine="708"/>
        <w:jc w:val="both"/>
        <w:rPr>
          <w:lang w:val="de-DE"/>
        </w:rPr>
      </w:pPr>
    </w:p>
    <w:p w14:paraId="0F945224" w14:textId="77777777" w:rsidR="00435B6C" w:rsidRPr="004676F5" w:rsidRDefault="00435B6C" w:rsidP="001527B1">
      <w:pPr>
        <w:ind w:firstLine="708"/>
        <w:jc w:val="both"/>
        <w:rPr>
          <w:lang w:val="de-DE"/>
        </w:rPr>
      </w:pPr>
    </w:p>
    <w:p w14:paraId="481FE314" w14:textId="0ABCE81E" w:rsidR="001527B1" w:rsidRPr="004676F5" w:rsidRDefault="00BE0A56" w:rsidP="001527B1">
      <w:pPr>
        <w:ind w:firstLine="708"/>
        <w:jc w:val="both"/>
        <w:rPr>
          <w:lang w:val="de-DE"/>
        </w:rPr>
      </w:pPr>
      <w:r w:rsidRPr="004676F5">
        <w:rPr>
          <w:b/>
          <w:lang w:val="de-DE"/>
        </w:rPr>
        <w:t>Art. </w:t>
      </w:r>
      <w:r w:rsidR="001527B1" w:rsidRPr="004676F5">
        <w:rPr>
          <w:b/>
          <w:lang w:val="de-DE"/>
        </w:rPr>
        <w:t>XI.105</w:t>
      </w:r>
      <w:r w:rsidR="001527B1" w:rsidRPr="004676F5">
        <w:rPr>
          <w:lang w:val="de-DE"/>
        </w:rPr>
        <w:t> </w:t>
      </w:r>
      <w:r w:rsidR="005B7A5C" w:rsidRPr="004676F5">
        <w:rPr>
          <w:lang w:val="de-DE"/>
        </w:rPr>
        <w:t>- </w:t>
      </w:r>
      <w:r w:rsidR="001527B1" w:rsidRPr="004676F5">
        <w:rPr>
          <w:lang w:val="de-DE"/>
        </w:rPr>
        <w:t>Der Sortenschutz wird für Sorten erteilt, die unterscheidbar, homogen, beständig und neu sind.</w:t>
      </w:r>
    </w:p>
    <w:p w14:paraId="0A57525B" w14:textId="77777777" w:rsidR="001527B1" w:rsidRPr="004676F5" w:rsidRDefault="001527B1" w:rsidP="001527B1">
      <w:pPr>
        <w:ind w:firstLine="708"/>
        <w:jc w:val="both"/>
        <w:rPr>
          <w:lang w:val="de-DE"/>
        </w:rPr>
      </w:pPr>
    </w:p>
    <w:p w14:paraId="52FF299A" w14:textId="77777777" w:rsidR="001527B1" w:rsidRPr="004676F5" w:rsidRDefault="001527B1" w:rsidP="001527B1">
      <w:pPr>
        <w:ind w:firstLine="708"/>
        <w:jc w:val="both"/>
        <w:rPr>
          <w:lang w:val="de-DE"/>
        </w:rPr>
      </w:pPr>
      <w:r w:rsidRPr="004676F5">
        <w:rPr>
          <w:lang w:val="de-DE"/>
        </w:rPr>
        <w:t>Zudem muss für jede Sorte gemäß Artikel XI.143 eine Sortenbezeichnung festgesetzt sein.</w:t>
      </w:r>
    </w:p>
    <w:p w14:paraId="21EBC9CC" w14:textId="77777777" w:rsidR="001527B1" w:rsidRPr="004676F5" w:rsidRDefault="001527B1" w:rsidP="001527B1">
      <w:pPr>
        <w:ind w:firstLine="708"/>
        <w:jc w:val="both"/>
        <w:rPr>
          <w:lang w:val="de-DE"/>
        </w:rPr>
      </w:pPr>
    </w:p>
    <w:p w14:paraId="6DA94A35" w14:textId="77777777" w:rsidR="00435B6C" w:rsidRPr="004676F5" w:rsidRDefault="00435B6C" w:rsidP="001527B1">
      <w:pPr>
        <w:ind w:firstLine="708"/>
        <w:jc w:val="both"/>
        <w:rPr>
          <w:lang w:val="de-DE"/>
        </w:rPr>
      </w:pPr>
    </w:p>
    <w:p w14:paraId="1290CED0" w14:textId="3BD711B5" w:rsidR="001527B1" w:rsidRPr="004676F5" w:rsidRDefault="00BE0A56" w:rsidP="001527B1">
      <w:pPr>
        <w:ind w:firstLine="708"/>
        <w:jc w:val="both"/>
        <w:rPr>
          <w:lang w:val="de-DE"/>
        </w:rPr>
      </w:pPr>
      <w:r w:rsidRPr="004676F5">
        <w:rPr>
          <w:b/>
          <w:lang w:val="de-DE"/>
        </w:rPr>
        <w:t>Art. </w:t>
      </w:r>
      <w:r w:rsidR="001527B1" w:rsidRPr="004676F5">
        <w:rPr>
          <w:b/>
          <w:lang w:val="de-DE"/>
        </w:rPr>
        <w:t>XI.106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Sorte wird als unterscheidbar angesehen, wenn sie sich in der Ausprägung der aus einem Genotyp oder einer Kombination von Genotypen resultierenden Merkmale von jeder anderen Sorte, deren Bestehen an dem gemäß Artikel XI.133 festgelegten Antragstag oder gegebenenfalls an dem gemäß Artikel XI.134 festgelegten Prioritätstag allgemein bekannt ist, deutlich unterscheiden lässt.</w:t>
      </w:r>
    </w:p>
    <w:p w14:paraId="585AC945" w14:textId="77777777" w:rsidR="001527B1" w:rsidRPr="004676F5" w:rsidRDefault="001527B1" w:rsidP="001527B1">
      <w:pPr>
        <w:ind w:firstLine="708"/>
        <w:jc w:val="both"/>
        <w:rPr>
          <w:lang w:val="de-DE"/>
        </w:rPr>
      </w:pPr>
    </w:p>
    <w:p w14:paraId="2DE82F63" w14:textId="57E07FB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Bestehen einer anderen Sorte gilt insbesondere dann als allgemein bekannt, wenn an dem gemäß Artikel XI.133 festgelegten Antragstag oder gegebenenfalls an dem gemäß Artikel XI.134 festgelegten Prioritätstag:</w:t>
      </w:r>
    </w:p>
    <w:p w14:paraId="3F6EC234" w14:textId="77777777" w:rsidR="001527B1" w:rsidRPr="004676F5" w:rsidRDefault="001527B1" w:rsidP="001527B1">
      <w:pPr>
        <w:ind w:firstLine="708"/>
        <w:jc w:val="both"/>
        <w:rPr>
          <w:lang w:val="de-DE"/>
        </w:rPr>
      </w:pPr>
    </w:p>
    <w:p w14:paraId="171D2B8C" w14:textId="77777777" w:rsidR="001527B1" w:rsidRPr="004676F5" w:rsidRDefault="001527B1" w:rsidP="001527B1">
      <w:pPr>
        <w:ind w:firstLine="708"/>
        <w:jc w:val="both"/>
        <w:rPr>
          <w:lang w:val="de-DE"/>
        </w:rPr>
      </w:pPr>
      <w:r w:rsidRPr="004676F5">
        <w:rPr>
          <w:lang w:val="de-DE"/>
        </w:rPr>
        <w:t>1. für diese andere Sorte Sortenschutz bestand oder sie in einem amtlichen Sortenverzeichnis eines Staates oder einer zwischenstaatlichen Organisation mit entsprechender Zuständigkeit eingetragen war,</w:t>
      </w:r>
    </w:p>
    <w:p w14:paraId="551C477D" w14:textId="77777777" w:rsidR="001527B1" w:rsidRPr="004676F5" w:rsidRDefault="001527B1" w:rsidP="001527B1">
      <w:pPr>
        <w:ind w:firstLine="708"/>
        <w:jc w:val="both"/>
        <w:rPr>
          <w:lang w:val="de-DE"/>
        </w:rPr>
      </w:pPr>
    </w:p>
    <w:p w14:paraId="38EF7801" w14:textId="77777777" w:rsidR="001527B1" w:rsidRPr="004676F5" w:rsidRDefault="001527B1" w:rsidP="001527B1">
      <w:pPr>
        <w:ind w:firstLine="708"/>
        <w:jc w:val="both"/>
        <w:rPr>
          <w:lang w:val="de-DE"/>
        </w:rPr>
      </w:pPr>
      <w:r w:rsidRPr="004676F5">
        <w:rPr>
          <w:lang w:val="de-DE"/>
        </w:rPr>
        <w:t>2. für diese andere Sorte die Erteilung eines Sortenschutzes oder die Eintragung in ein amtliches Sortenverzeichnis beantragt worden war, sofern dem Antrag inzwischen stattgegeben wurde,</w:t>
      </w:r>
    </w:p>
    <w:p w14:paraId="55DB7FED" w14:textId="77777777" w:rsidR="001527B1" w:rsidRPr="004676F5" w:rsidRDefault="001527B1" w:rsidP="001527B1">
      <w:pPr>
        <w:ind w:firstLine="708"/>
        <w:jc w:val="both"/>
        <w:rPr>
          <w:lang w:val="de-DE"/>
        </w:rPr>
      </w:pPr>
    </w:p>
    <w:p w14:paraId="60C77E76" w14:textId="77777777" w:rsidR="001527B1" w:rsidRPr="004676F5" w:rsidRDefault="001527B1" w:rsidP="001527B1">
      <w:pPr>
        <w:ind w:firstLine="708"/>
        <w:jc w:val="both"/>
        <w:rPr>
          <w:lang w:val="de-DE"/>
        </w:rPr>
      </w:pPr>
      <w:r w:rsidRPr="004676F5">
        <w:rPr>
          <w:lang w:val="de-DE"/>
        </w:rPr>
        <w:t>3. der Anbau oder die Inverkehrbringung dieser anderen Sorte bereits begonnen hat,</w:t>
      </w:r>
    </w:p>
    <w:p w14:paraId="604B6D20" w14:textId="77777777" w:rsidR="001527B1" w:rsidRPr="004676F5" w:rsidRDefault="001527B1" w:rsidP="001527B1">
      <w:pPr>
        <w:ind w:firstLine="708"/>
        <w:jc w:val="both"/>
        <w:rPr>
          <w:lang w:val="de-DE"/>
        </w:rPr>
      </w:pPr>
    </w:p>
    <w:p w14:paraId="48A652EB" w14:textId="77777777" w:rsidR="001527B1" w:rsidRPr="004676F5" w:rsidRDefault="001527B1" w:rsidP="001527B1">
      <w:pPr>
        <w:ind w:firstLine="708"/>
        <w:jc w:val="both"/>
        <w:rPr>
          <w:lang w:val="de-DE"/>
        </w:rPr>
      </w:pPr>
      <w:r w:rsidRPr="004676F5">
        <w:rPr>
          <w:lang w:val="de-DE"/>
        </w:rPr>
        <w:t>4. diese andere Sorte Teil einer Referenzsammlung oder Gegenstand einer genauen Beschreibung in einer Publikation ist.</w:t>
      </w:r>
    </w:p>
    <w:p w14:paraId="2FC7E999" w14:textId="77777777" w:rsidR="001527B1" w:rsidRPr="004676F5" w:rsidRDefault="001527B1" w:rsidP="001527B1">
      <w:pPr>
        <w:ind w:firstLine="708"/>
        <w:jc w:val="both"/>
        <w:rPr>
          <w:lang w:val="de-DE"/>
        </w:rPr>
      </w:pPr>
    </w:p>
    <w:p w14:paraId="23595F76" w14:textId="77777777" w:rsidR="00435B6C" w:rsidRPr="004676F5" w:rsidRDefault="00435B6C" w:rsidP="001527B1">
      <w:pPr>
        <w:ind w:firstLine="708"/>
        <w:jc w:val="both"/>
        <w:rPr>
          <w:lang w:val="de-DE"/>
        </w:rPr>
      </w:pPr>
    </w:p>
    <w:p w14:paraId="36AFF348" w14:textId="325BF888" w:rsidR="001527B1" w:rsidRPr="004676F5" w:rsidRDefault="00BE0A56" w:rsidP="001527B1">
      <w:pPr>
        <w:ind w:firstLine="708"/>
        <w:jc w:val="both"/>
        <w:rPr>
          <w:lang w:val="de-DE"/>
        </w:rPr>
      </w:pPr>
      <w:r w:rsidRPr="004676F5">
        <w:rPr>
          <w:b/>
          <w:lang w:val="de-DE"/>
        </w:rPr>
        <w:t>Art. </w:t>
      </w:r>
      <w:r w:rsidR="001527B1" w:rsidRPr="004676F5">
        <w:rPr>
          <w:b/>
          <w:lang w:val="de-DE"/>
        </w:rPr>
        <w:t>XI.107</w:t>
      </w:r>
      <w:r w:rsidR="001527B1" w:rsidRPr="004676F5">
        <w:rPr>
          <w:lang w:val="de-DE"/>
        </w:rPr>
        <w:t> </w:t>
      </w:r>
      <w:r w:rsidR="005B7A5C" w:rsidRPr="004676F5">
        <w:rPr>
          <w:lang w:val="de-DE"/>
        </w:rPr>
        <w:t>- </w:t>
      </w:r>
      <w:r w:rsidR="001527B1" w:rsidRPr="004676F5">
        <w:rPr>
          <w:lang w:val="de-DE"/>
        </w:rPr>
        <w:t xml:space="preserve">Eine Sorte gilt als homogen, wenn sie </w:t>
      </w:r>
      <w:r w:rsidR="005B7A5C" w:rsidRPr="004676F5">
        <w:rPr>
          <w:lang w:val="de-DE"/>
        </w:rPr>
        <w:t>- </w:t>
      </w:r>
      <w:r w:rsidR="001527B1" w:rsidRPr="004676F5">
        <w:rPr>
          <w:lang w:val="de-DE"/>
        </w:rPr>
        <w:t xml:space="preserve">vorbehaltlich der Variation, die aufgrund der Besonderheiten ihrer Vermehrung zu erwarten ist </w:t>
      </w:r>
      <w:r w:rsidR="005B7A5C" w:rsidRPr="004676F5">
        <w:rPr>
          <w:lang w:val="de-DE"/>
        </w:rPr>
        <w:t>- </w:t>
      </w:r>
      <w:r w:rsidR="001527B1" w:rsidRPr="004676F5">
        <w:rPr>
          <w:lang w:val="de-DE"/>
        </w:rPr>
        <w:t>in der Ausprägung der Merkmale, die in die Unterscheidbarkeitsprüfung einbezogen werden, und aller sonstigen Merkmale, die zur Sortenbeschreibung dienen, hinreichend einheitlich ist.</w:t>
      </w:r>
    </w:p>
    <w:p w14:paraId="1714DA97" w14:textId="77777777" w:rsidR="001527B1" w:rsidRPr="004676F5" w:rsidRDefault="001527B1" w:rsidP="001527B1">
      <w:pPr>
        <w:ind w:firstLine="708"/>
        <w:jc w:val="both"/>
        <w:rPr>
          <w:lang w:val="de-DE"/>
        </w:rPr>
      </w:pPr>
    </w:p>
    <w:p w14:paraId="161286A2" w14:textId="77777777" w:rsidR="00435B6C" w:rsidRPr="004676F5" w:rsidRDefault="00435B6C" w:rsidP="001527B1">
      <w:pPr>
        <w:ind w:firstLine="708"/>
        <w:jc w:val="both"/>
        <w:rPr>
          <w:lang w:val="de-DE"/>
        </w:rPr>
      </w:pPr>
    </w:p>
    <w:p w14:paraId="5FC3BC08" w14:textId="5A7DE8FC" w:rsidR="001527B1" w:rsidRPr="004676F5" w:rsidRDefault="00BE0A56" w:rsidP="001527B1">
      <w:pPr>
        <w:ind w:firstLine="708"/>
        <w:jc w:val="both"/>
        <w:rPr>
          <w:lang w:val="de-DE"/>
        </w:rPr>
      </w:pPr>
      <w:r w:rsidRPr="004676F5">
        <w:rPr>
          <w:b/>
          <w:lang w:val="de-DE"/>
        </w:rPr>
        <w:t>Art. </w:t>
      </w:r>
      <w:r w:rsidR="001527B1" w:rsidRPr="004676F5">
        <w:rPr>
          <w:b/>
          <w:lang w:val="de-DE"/>
        </w:rPr>
        <w:t>XI.108</w:t>
      </w:r>
      <w:r w:rsidR="001527B1" w:rsidRPr="004676F5">
        <w:rPr>
          <w:lang w:val="de-DE"/>
        </w:rPr>
        <w:t> </w:t>
      </w:r>
      <w:r w:rsidR="005B7A5C" w:rsidRPr="004676F5">
        <w:rPr>
          <w:lang w:val="de-DE"/>
        </w:rPr>
        <w:t>- </w:t>
      </w:r>
      <w:r w:rsidR="001527B1" w:rsidRPr="004676F5">
        <w:rPr>
          <w:lang w:val="de-DE"/>
        </w:rPr>
        <w:t xml:space="preserve">Eine Sorte gilt als beständig, wenn die Ausprägung der Merkmale, die in die Unterscheidbarkeitsprüfung einbezogen werden, und aller sonstigen Merkmale, die zur </w:t>
      </w:r>
      <w:r w:rsidR="001527B1" w:rsidRPr="004676F5">
        <w:rPr>
          <w:lang w:val="de-DE"/>
        </w:rPr>
        <w:lastRenderedPageBreak/>
        <w:t>Sortenbeschreibung dienen, nach wiederholter Vermehrung oder im Fall eines besonderen Vermehrungszyklus am Ende eines jeden Zyklus unverändert ist.</w:t>
      </w:r>
    </w:p>
    <w:p w14:paraId="73116E2C" w14:textId="77777777" w:rsidR="001527B1" w:rsidRPr="004676F5" w:rsidRDefault="001527B1" w:rsidP="001527B1">
      <w:pPr>
        <w:ind w:firstLine="708"/>
        <w:jc w:val="both"/>
        <w:rPr>
          <w:lang w:val="de-DE"/>
        </w:rPr>
      </w:pPr>
    </w:p>
    <w:p w14:paraId="7EBC8411" w14:textId="77777777" w:rsidR="00435B6C" w:rsidRPr="004676F5" w:rsidRDefault="00435B6C" w:rsidP="001527B1">
      <w:pPr>
        <w:ind w:firstLine="708"/>
        <w:jc w:val="both"/>
        <w:rPr>
          <w:lang w:val="de-DE"/>
        </w:rPr>
      </w:pPr>
    </w:p>
    <w:p w14:paraId="21238A92" w14:textId="69DDC810" w:rsidR="001527B1" w:rsidRPr="004676F5" w:rsidRDefault="00BE0A56" w:rsidP="001527B1">
      <w:pPr>
        <w:ind w:firstLine="708"/>
        <w:jc w:val="both"/>
        <w:rPr>
          <w:lang w:val="de-DE"/>
        </w:rPr>
      </w:pPr>
      <w:r w:rsidRPr="004676F5">
        <w:rPr>
          <w:b/>
          <w:lang w:val="de-DE"/>
        </w:rPr>
        <w:t>Art. </w:t>
      </w:r>
      <w:r w:rsidR="001527B1" w:rsidRPr="004676F5">
        <w:rPr>
          <w:b/>
          <w:lang w:val="de-DE"/>
        </w:rPr>
        <w:t>XI.109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Sorte gilt als neu, wenn an dem nach Artikel XI.133 festgelegten Antragstag oder gegebenenfalls an dem gemäß Artikel XI.134 festgelegten Prioritätstag Sortenbestandteile beziehungsweise Erntegut dieser Sorte</w:t>
      </w:r>
    </w:p>
    <w:p w14:paraId="6B87C965" w14:textId="77777777" w:rsidR="001527B1" w:rsidRPr="004676F5" w:rsidRDefault="001527B1" w:rsidP="001527B1">
      <w:pPr>
        <w:ind w:firstLine="708"/>
        <w:jc w:val="both"/>
        <w:rPr>
          <w:lang w:val="de-DE"/>
        </w:rPr>
      </w:pPr>
    </w:p>
    <w:p w14:paraId="53461709" w14:textId="77777777" w:rsidR="001527B1" w:rsidRPr="004676F5" w:rsidRDefault="001527B1" w:rsidP="001527B1">
      <w:pPr>
        <w:ind w:firstLine="708"/>
        <w:jc w:val="both"/>
        <w:rPr>
          <w:lang w:val="de-DE"/>
        </w:rPr>
      </w:pPr>
      <w:r w:rsidRPr="004676F5">
        <w:rPr>
          <w:lang w:val="de-DE"/>
        </w:rPr>
        <w:t>1. innerhalb des belgischen Staatsgebiets seit höchstens einem Jahr und</w:t>
      </w:r>
    </w:p>
    <w:p w14:paraId="42EE8B1D" w14:textId="77777777" w:rsidR="001527B1" w:rsidRPr="004676F5" w:rsidRDefault="001527B1" w:rsidP="001527B1">
      <w:pPr>
        <w:ind w:firstLine="708"/>
        <w:jc w:val="both"/>
        <w:rPr>
          <w:lang w:val="de-DE"/>
        </w:rPr>
      </w:pPr>
    </w:p>
    <w:p w14:paraId="545B9F04" w14:textId="77777777" w:rsidR="001527B1" w:rsidRPr="004676F5" w:rsidRDefault="001527B1" w:rsidP="001527B1">
      <w:pPr>
        <w:ind w:firstLine="708"/>
        <w:jc w:val="both"/>
        <w:rPr>
          <w:lang w:val="de-DE"/>
        </w:rPr>
      </w:pPr>
      <w:r w:rsidRPr="004676F5">
        <w:rPr>
          <w:lang w:val="de-DE"/>
        </w:rPr>
        <w:t>2. außerhalb des belgischen Staatsgebiets seit höchstens vier Jahren oder bei Bäumen oder Reben seit höchstens sechs Jahren vom Züchter oder mit Zustimmung des Züchters verkauft oder auf andere Weise zur Nutzung der Sorte an andere abgegeben worden waren beziehungsweise war.</w:t>
      </w:r>
    </w:p>
    <w:p w14:paraId="59F0413B" w14:textId="77777777" w:rsidR="001527B1" w:rsidRPr="004676F5" w:rsidRDefault="001527B1" w:rsidP="001527B1">
      <w:pPr>
        <w:ind w:firstLine="708"/>
        <w:jc w:val="both"/>
        <w:rPr>
          <w:lang w:val="de-DE"/>
        </w:rPr>
      </w:pPr>
    </w:p>
    <w:p w14:paraId="71035A09" w14:textId="48A86543"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Abgabe von Sortenbestandteilen an eine amtliche Stelle aufgrund gesetz</w:t>
      </w:r>
      <w:r w:rsidRPr="004676F5">
        <w:rPr>
          <w:lang w:val="de-DE"/>
        </w:rPr>
        <w:softHyphen/>
        <w:t>licher Regelungen oder an andere aufgrund eines Vertrags oder sonstiger Rechtsverhältnisse zum ausschließlichen Zweck der Erzeugung, Vermehrung, Vervielfältigung, Aufbereitung oder Lagerung gilt nicht als Abgabe an andere im Sinne von § 1, solange der Züchter die ausschließliche Verfügungsbefugnis über diese und andere Sortenbestandteile behält und keine weitere Abgabe erfolgt.</w:t>
      </w:r>
    </w:p>
    <w:p w14:paraId="28A1F0CD" w14:textId="77777777" w:rsidR="001527B1" w:rsidRPr="004676F5" w:rsidRDefault="001527B1" w:rsidP="001527B1">
      <w:pPr>
        <w:ind w:firstLine="708"/>
        <w:jc w:val="both"/>
        <w:rPr>
          <w:lang w:val="de-DE"/>
        </w:rPr>
      </w:pPr>
    </w:p>
    <w:p w14:paraId="679FA0BE" w14:textId="77777777" w:rsidR="001527B1" w:rsidRPr="004676F5" w:rsidRDefault="001527B1" w:rsidP="001527B1">
      <w:pPr>
        <w:ind w:firstLine="708"/>
        <w:jc w:val="both"/>
        <w:rPr>
          <w:lang w:val="de-DE"/>
        </w:rPr>
      </w:pPr>
      <w:r w:rsidRPr="004676F5">
        <w:rPr>
          <w:lang w:val="de-DE"/>
        </w:rPr>
        <w:t>Werden die Sortenbestandteile jedoch wiederholt zur Erzeugung von Hybridsorten verwendet und findet eine Abgabe von Sortenbestandteilen oder Erntegut der Hybridsorte statt, so gilt diese Abgabe von Sortenbestandteilen als Abgabe im Sinne von § 1.</w:t>
      </w:r>
    </w:p>
    <w:p w14:paraId="71E682AB" w14:textId="77777777" w:rsidR="001527B1" w:rsidRPr="004676F5" w:rsidRDefault="001527B1" w:rsidP="001527B1">
      <w:pPr>
        <w:ind w:firstLine="708"/>
        <w:jc w:val="both"/>
        <w:rPr>
          <w:lang w:val="de-DE"/>
        </w:rPr>
      </w:pPr>
    </w:p>
    <w:p w14:paraId="332FDEAC" w14:textId="77777777" w:rsidR="001527B1" w:rsidRPr="004676F5" w:rsidRDefault="001527B1" w:rsidP="001527B1">
      <w:pPr>
        <w:ind w:firstLine="708"/>
        <w:jc w:val="both"/>
        <w:rPr>
          <w:lang w:val="de-DE"/>
        </w:rPr>
      </w:pPr>
      <w:r w:rsidRPr="004676F5">
        <w:rPr>
          <w:lang w:val="de-DE"/>
        </w:rPr>
        <w:t>Die Abgabe von Sortenbestandteilen durch eine Gesellschaft oder ein Unternehmen im Sinne von Artikel 54 Absatz 2 des Vertrags über die Arbeitsweise der Europäischen Union an eine andere Gesellschaft dieser Art gilt ebenfalls nicht als Abgabe an andere, wenn eine von ihnen vollständig der anderen gehört oder beide vollständig einer dritten Gesellschaft dieser Art gehören und solange keine weitere Abgabe erfolgt. Diese Bestimmung gilt nicht für Genossenschaften.</w:t>
      </w:r>
    </w:p>
    <w:p w14:paraId="4E7E2C66" w14:textId="77777777" w:rsidR="001527B1" w:rsidRPr="004676F5" w:rsidRDefault="001527B1" w:rsidP="001527B1">
      <w:pPr>
        <w:ind w:firstLine="708"/>
        <w:jc w:val="both"/>
        <w:rPr>
          <w:lang w:val="de-DE"/>
        </w:rPr>
      </w:pPr>
    </w:p>
    <w:p w14:paraId="597A1C92" w14:textId="13694759"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Abgabe von Sortenbestandteilen beziehungsweise Erntegut dieser Sorte, die beziehungsweise das aus zu den Zwecken des Artikels XI.116 Nr. 2 und 3 angebauten Pflanzen gewonnen und nicht zur weiteren Vermehrung verwendet werden beziehungsweise wird, gilt nicht als Nutzung der Sorte, sofern nicht für die Zwecke dieser Abgabe auf die Sorte Bezug genommen wird.</w:t>
      </w:r>
    </w:p>
    <w:p w14:paraId="3CA6ECDF" w14:textId="77777777" w:rsidR="001527B1" w:rsidRPr="004676F5" w:rsidRDefault="001527B1" w:rsidP="001527B1">
      <w:pPr>
        <w:ind w:firstLine="708"/>
        <w:jc w:val="both"/>
        <w:rPr>
          <w:lang w:val="de-DE"/>
        </w:rPr>
      </w:pPr>
    </w:p>
    <w:p w14:paraId="6ADA0D10" w14:textId="77777777" w:rsidR="001527B1" w:rsidRPr="004676F5" w:rsidRDefault="001527B1" w:rsidP="001527B1">
      <w:pPr>
        <w:ind w:firstLine="708"/>
        <w:jc w:val="both"/>
        <w:rPr>
          <w:lang w:val="de-DE"/>
        </w:rPr>
      </w:pPr>
      <w:r w:rsidRPr="004676F5">
        <w:rPr>
          <w:lang w:val="de-DE"/>
        </w:rPr>
        <w:t>Ebenso bleibt die Abgabe an andere außer Betracht, falls diese unmittelbar oder mittelbar auf die Tatsache zurückgeht, dass der Züchter die Sorte auf einer amtlichen oder amtlich anerkannten Ausstellung im Sinne des Übereinkommens über internationale Ausstellungen oder auf einer Ausstellung in einem Mitgliedstaat der Europäischen Union, die von diesem Mitgliedstaat als gleichwertig anerkannt wurde, zur Schau gestellt hat.</w:t>
      </w:r>
    </w:p>
    <w:p w14:paraId="4A3407C9" w14:textId="77777777" w:rsidR="001527B1" w:rsidRPr="004676F5" w:rsidRDefault="001527B1" w:rsidP="001527B1">
      <w:pPr>
        <w:ind w:firstLine="708"/>
        <w:jc w:val="both"/>
        <w:rPr>
          <w:lang w:val="de-DE"/>
        </w:rPr>
      </w:pPr>
    </w:p>
    <w:p w14:paraId="491B964A" w14:textId="77777777" w:rsidR="00435B6C" w:rsidRPr="004676F5" w:rsidRDefault="00435B6C" w:rsidP="001527B1">
      <w:pPr>
        <w:ind w:firstLine="708"/>
        <w:jc w:val="both"/>
        <w:rPr>
          <w:lang w:val="de-DE"/>
        </w:rPr>
      </w:pPr>
    </w:p>
    <w:p w14:paraId="426180C8" w14:textId="44E7AE62" w:rsidR="001527B1" w:rsidRPr="004676F5" w:rsidRDefault="00BE0A56" w:rsidP="001527B1">
      <w:pPr>
        <w:ind w:firstLine="708"/>
        <w:jc w:val="both"/>
        <w:rPr>
          <w:lang w:val="de-DE"/>
        </w:rPr>
      </w:pPr>
      <w:r w:rsidRPr="004676F5">
        <w:rPr>
          <w:b/>
          <w:lang w:val="de-DE"/>
        </w:rPr>
        <w:t>Art. </w:t>
      </w:r>
      <w:r w:rsidR="001527B1" w:rsidRPr="004676F5">
        <w:rPr>
          <w:b/>
          <w:lang w:val="de-DE"/>
        </w:rPr>
        <w:t>XI.110</w:t>
      </w:r>
      <w:r w:rsidR="001527B1" w:rsidRPr="004676F5">
        <w:rPr>
          <w:lang w:val="de-DE"/>
        </w:rPr>
        <w:t> </w:t>
      </w:r>
      <w:r w:rsidR="005B7A5C" w:rsidRPr="004676F5">
        <w:rPr>
          <w:lang w:val="de-DE"/>
        </w:rPr>
        <w:t>- </w:t>
      </w:r>
      <w:r w:rsidR="001527B1" w:rsidRPr="004676F5">
        <w:rPr>
          <w:lang w:val="de-DE"/>
        </w:rPr>
        <w:t>Der Antragsteller legt gemäß Artikel XI.143 eine Bezeichnung für die Sorte fest.</w:t>
      </w:r>
    </w:p>
    <w:p w14:paraId="319641B6" w14:textId="77777777" w:rsidR="00435B6C" w:rsidRPr="004676F5" w:rsidRDefault="00435B6C" w:rsidP="001527B1">
      <w:pPr>
        <w:rPr>
          <w:lang w:val="de-DE"/>
        </w:rPr>
      </w:pPr>
    </w:p>
    <w:p w14:paraId="6C63C0C6" w14:textId="77777777" w:rsidR="001527B1" w:rsidRPr="004676F5" w:rsidRDefault="001527B1" w:rsidP="001527B1">
      <w:pPr>
        <w:rPr>
          <w:lang w:val="de-DE"/>
        </w:rPr>
      </w:pPr>
      <w:r w:rsidRPr="004676F5">
        <w:rPr>
          <w:lang w:val="de-DE"/>
        </w:rPr>
        <w:br w:type="page"/>
      </w:r>
    </w:p>
    <w:p w14:paraId="49E76E14" w14:textId="0205E166" w:rsidR="001527B1" w:rsidRPr="004676F5" w:rsidRDefault="001527B1" w:rsidP="001527B1">
      <w:pPr>
        <w:jc w:val="center"/>
        <w:rPr>
          <w:lang w:val="de-DE"/>
        </w:rPr>
      </w:pPr>
      <w:r w:rsidRPr="004676F5">
        <w:rPr>
          <w:i/>
          <w:lang w:val="de-DE"/>
        </w:rPr>
        <w:lastRenderedPageBreak/>
        <w:t>Abschnitt 2 </w:t>
      </w:r>
      <w:r w:rsidR="005B7A5C" w:rsidRPr="004676F5">
        <w:rPr>
          <w:lang w:val="de-DE"/>
        </w:rPr>
        <w:t>- </w:t>
      </w:r>
      <w:r w:rsidRPr="004676F5">
        <w:rPr>
          <w:lang w:val="de-DE"/>
        </w:rPr>
        <w:t>Rechtsinhaber beziehungsweise Rechtsnachfolger</w:t>
      </w:r>
    </w:p>
    <w:p w14:paraId="4E76E2BC" w14:textId="77777777" w:rsidR="001527B1" w:rsidRPr="004676F5" w:rsidRDefault="001527B1" w:rsidP="001527B1">
      <w:pPr>
        <w:ind w:firstLine="708"/>
        <w:jc w:val="both"/>
        <w:rPr>
          <w:lang w:val="de-DE"/>
        </w:rPr>
      </w:pPr>
    </w:p>
    <w:p w14:paraId="41E52E99" w14:textId="77777777" w:rsidR="00435B6C" w:rsidRPr="004676F5" w:rsidRDefault="00435B6C" w:rsidP="001527B1">
      <w:pPr>
        <w:ind w:firstLine="708"/>
        <w:jc w:val="both"/>
        <w:rPr>
          <w:lang w:val="de-DE"/>
        </w:rPr>
      </w:pPr>
    </w:p>
    <w:p w14:paraId="1039776E" w14:textId="433A593B" w:rsidR="001527B1" w:rsidRPr="004676F5" w:rsidRDefault="00BE0A56" w:rsidP="001527B1">
      <w:pPr>
        <w:ind w:firstLine="708"/>
        <w:jc w:val="both"/>
        <w:rPr>
          <w:lang w:val="de-DE"/>
        </w:rPr>
      </w:pPr>
      <w:r w:rsidRPr="004676F5">
        <w:rPr>
          <w:b/>
          <w:lang w:val="de-DE"/>
        </w:rPr>
        <w:t>Art. </w:t>
      </w:r>
      <w:r w:rsidR="001527B1" w:rsidRPr="004676F5">
        <w:rPr>
          <w:b/>
          <w:lang w:val="de-DE"/>
        </w:rPr>
        <w:t>XI.111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Recht auf den Sortenschutz steht der Person zu, die die Sorte hervorgebracht oder entdeckt und entwickelt hat beziehungsweise ihrem Rechtsnachfolger, im Folgenden "Züchter" genannt.</w:t>
      </w:r>
    </w:p>
    <w:p w14:paraId="07A77442" w14:textId="77777777" w:rsidR="001527B1" w:rsidRPr="004676F5" w:rsidRDefault="001527B1" w:rsidP="001527B1">
      <w:pPr>
        <w:ind w:firstLine="708"/>
        <w:jc w:val="both"/>
        <w:rPr>
          <w:lang w:val="de-DE"/>
        </w:rPr>
      </w:pPr>
    </w:p>
    <w:p w14:paraId="3E23AB6B" w14:textId="6E41F769"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Haben zwei oder mehrere Personen die neue Sorte gemeinsam hervorgebracht oder entdeckt und entwickelt, so steht ihnen oder ihren jeweiligen Rechtsnachfolgern dieses Sortenschutzrecht gemeinsam zu, es sei denn, es wurde eine gegenteilige Abmachung getroffen.</w:t>
      </w:r>
    </w:p>
    <w:p w14:paraId="7973FE7C" w14:textId="77777777" w:rsidR="001527B1" w:rsidRPr="004676F5" w:rsidRDefault="001527B1" w:rsidP="001527B1">
      <w:pPr>
        <w:ind w:firstLine="708"/>
        <w:jc w:val="both"/>
        <w:rPr>
          <w:lang w:val="de-DE"/>
        </w:rPr>
      </w:pPr>
    </w:p>
    <w:p w14:paraId="71F6DA59" w14:textId="4259D3F7"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Hat ein Arbeitnehmer die neue Sorte im Rahmen seines Arbeitsverhältnisses hervorgebracht oder entdeckt und entwickelt, so steht dem Arbeitgeber dieses Sortenschutz</w:t>
      </w:r>
      <w:r w:rsidRPr="004676F5">
        <w:rPr>
          <w:lang w:val="de-DE"/>
        </w:rPr>
        <w:softHyphen/>
        <w:t>recht zu, es sei denn, es wurde eine gegenteilige Abmachung getroffen.</w:t>
      </w:r>
    </w:p>
    <w:p w14:paraId="2623798D" w14:textId="77777777" w:rsidR="001527B1" w:rsidRPr="004676F5" w:rsidRDefault="001527B1" w:rsidP="001527B1">
      <w:pPr>
        <w:ind w:firstLine="708"/>
        <w:jc w:val="both"/>
        <w:rPr>
          <w:lang w:val="de-DE"/>
        </w:rPr>
      </w:pPr>
    </w:p>
    <w:p w14:paraId="39FADB62" w14:textId="77777777" w:rsidR="00435B6C" w:rsidRPr="004676F5" w:rsidRDefault="00435B6C" w:rsidP="001527B1">
      <w:pPr>
        <w:ind w:firstLine="708"/>
        <w:jc w:val="both"/>
        <w:rPr>
          <w:lang w:val="de-DE"/>
        </w:rPr>
      </w:pPr>
    </w:p>
    <w:p w14:paraId="67BF0B2D" w14:textId="01D52B57" w:rsidR="001527B1" w:rsidRPr="004676F5" w:rsidRDefault="00BE0A56" w:rsidP="001527B1">
      <w:pPr>
        <w:ind w:firstLine="708"/>
        <w:jc w:val="both"/>
        <w:rPr>
          <w:lang w:val="de-DE"/>
        </w:rPr>
      </w:pPr>
      <w:r w:rsidRPr="004676F5">
        <w:rPr>
          <w:b/>
          <w:lang w:val="de-DE"/>
        </w:rPr>
        <w:t>Art. </w:t>
      </w:r>
      <w:r w:rsidR="001527B1" w:rsidRPr="004676F5">
        <w:rPr>
          <w:b/>
          <w:lang w:val="de-DE"/>
        </w:rPr>
        <w:t>XI.112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Berechtigt zur Stellung des Antrags auf Sortenschutz sind natürliche oder juristische Personen und Einrichtungen, die nach dem für sie geltenden Recht als juristische Personen angesehen werden.</w:t>
      </w:r>
    </w:p>
    <w:p w14:paraId="271CAF9D" w14:textId="77777777" w:rsidR="001527B1" w:rsidRPr="004676F5" w:rsidRDefault="001527B1" w:rsidP="001527B1">
      <w:pPr>
        <w:ind w:firstLine="708"/>
        <w:jc w:val="both"/>
        <w:rPr>
          <w:lang w:val="de-DE"/>
        </w:rPr>
      </w:pPr>
    </w:p>
    <w:p w14:paraId="1289F3F4" w14:textId="2C2ADC94"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Anträge können auch von mehreren Antragstellern gemeinsam gestellt werden.</w:t>
      </w:r>
    </w:p>
    <w:p w14:paraId="516089EB" w14:textId="77777777" w:rsidR="001527B1" w:rsidRPr="004676F5" w:rsidRDefault="001527B1" w:rsidP="001527B1">
      <w:pPr>
        <w:ind w:firstLine="708"/>
        <w:jc w:val="both"/>
        <w:rPr>
          <w:lang w:val="de-DE"/>
        </w:rPr>
      </w:pPr>
    </w:p>
    <w:p w14:paraId="7F97D1A3" w14:textId="77777777" w:rsidR="00435B6C" w:rsidRPr="004676F5" w:rsidRDefault="00435B6C" w:rsidP="001527B1">
      <w:pPr>
        <w:ind w:firstLine="708"/>
        <w:jc w:val="both"/>
        <w:rPr>
          <w:lang w:val="de-DE"/>
        </w:rPr>
      </w:pPr>
    </w:p>
    <w:p w14:paraId="7E524F2D" w14:textId="1FFD32DA" w:rsidR="001527B1" w:rsidRPr="004676F5" w:rsidRDefault="001527B1" w:rsidP="001527B1">
      <w:pPr>
        <w:jc w:val="center"/>
        <w:rPr>
          <w:lang w:val="de-DE"/>
        </w:rPr>
      </w:pPr>
      <w:r w:rsidRPr="004676F5">
        <w:rPr>
          <w:i/>
          <w:lang w:val="de-DE"/>
        </w:rPr>
        <w:t>Abschnitt 3 </w:t>
      </w:r>
      <w:r w:rsidR="005B7A5C" w:rsidRPr="004676F5">
        <w:rPr>
          <w:lang w:val="de-DE"/>
        </w:rPr>
        <w:t>- </w:t>
      </w:r>
      <w:r w:rsidRPr="004676F5">
        <w:rPr>
          <w:lang w:val="de-DE"/>
        </w:rPr>
        <w:t>Wirkungen des Sortenschutzes</w:t>
      </w:r>
    </w:p>
    <w:p w14:paraId="36B46005" w14:textId="77777777" w:rsidR="001527B1" w:rsidRPr="004676F5" w:rsidRDefault="001527B1" w:rsidP="001527B1">
      <w:pPr>
        <w:ind w:firstLine="708"/>
        <w:jc w:val="both"/>
        <w:rPr>
          <w:lang w:val="de-DE"/>
        </w:rPr>
      </w:pPr>
    </w:p>
    <w:p w14:paraId="40D45E3B" w14:textId="77777777" w:rsidR="00435B6C" w:rsidRPr="004676F5" w:rsidRDefault="00435B6C" w:rsidP="001527B1">
      <w:pPr>
        <w:ind w:firstLine="708"/>
        <w:jc w:val="both"/>
        <w:rPr>
          <w:lang w:val="de-DE"/>
        </w:rPr>
      </w:pPr>
    </w:p>
    <w:p w14:paraId="2E2FE30A" w14:textId="740F9268" w:rsidR="001527B1" w:rsidRPr="004676F5" w:rsidRDefault="00BE0A56" w:rsidP="001527B1">
      <w:pPr>
        <w:ind w:firstLine="708"/>
        <w:jc w:val="both"/>
        <w:rPr>
          <w:lang w:val="de-DE"/>
        </w:rPr>
      </w:pPr>
      <w:r w:rsidRPr="004676F5">
        <w:rPr>
          <w:b/>
          <w:lang w:val="de-DE"/>
        </w:rPr>
        <w:t>Art. </w:t>
      </w:r>
      <w:r w:rsidR="001527B1" w:rsidRPr="004676F5">
        <w:rPr>
          <w:b/>
          <w:lang w:val="de-DE"/>
        </w:rPr>
        <w:t>XI.113</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Sortenschutz hat die Wirkung, dass allein der oder die Sortenschutzinhaber, im Folgenden "Inhaber" genannt, befugt sind, die in § 2 genannten Handlungen vorzunehmen.</w:t>
      </w:r>
    </w:p>
    <w:p w14:paraId="7E25B5CB" w14:textId="77777777" w:rsidR="001527B1" w:rsidRPr="004676F5" w:rsidRDefault="001527B1" w:rsidP="001527B1">
      <w:pPr>
        <w:ind w:firstLine="708"/>
        <w:jc w:val="both"/>
        <w:rPr>
          <w:lang w:val="de-DE"/>
        </w:rPr>
      </w:pPr>
    </w:p>
    <w:p w14:paraId="07BC31AC" w14:textId="3B4CAB3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Unbeschadet der Artikel XI.115 und XI.116 bedürfen die nachstehend aufgeführten Handlungen in Bezug auf Sortenbestandteile, Erntegut oder unmittelbar aus Erntegut der geschützten Sorte gewonnene Erzeugnisse der Zustimmung des Inhabers:</w:t>
      </w:r>
    </w:p>
    <w:p w14:paraId="59CA4FF3" w14:textId="77777777" w:rsidR="001527B1" w:rsidRPr="004676F5" w:rsidRDefault="001527B1" w:rsidP="001527B1">
      <w:pPr>
        <w:ind w:firstLine="708"/>
        <w:jc w:val="both"/>
        <w:rPr>
          <w:lang w:val="de-DE"/>
        </w:rPr>
      </w:pPr>
    </w:p>
    <w:p w14:paraId="416A0D85" w14:textId="77777777" w:rsidR="001527B1" w:rsidRPr="004676F5" w:rsidRDefault="001527B1" w:rsidP="001527B1">
      <w:pPr>
        <w:ind w:firstLine="708"/>
        <w:jc w:val="both"/>
        <w:rPr>
          <w:lang w:val="de-DE"/>
        </w:rPr>
      </w:pPr>
      <w:r w:rsidRPr="004676F5">
        <w:rPr>
          <w:lang w:val="de-DE"/>
        </w:rPr>
        <w:t>1. Erzeugung oder Vermehrung,</w:t>
      </w:r>
    </w:p>
    <w:p w14:paraId="1C9584E8" w14:textId="77777777" w:rsidR="001527B1" w:rsidRPr="004676F5" w:rsidRDefault="001527B1" w:rsidP="001527B1">
      <w:pPr>
        <w:ind w:firstLine="708"/>
        <w:jc w:val="both"/>
        <w:rPr>
          <w:lang w:val="de-DE"/>
        </w:rPr>
      </w:pPr>
    </w:p>
    <w:p w14:paraId="2F1866BD" w14:textId="77777777" w:rsidR="001527B1" w:rsidRPr="004676F5" w:rsidRDefault="001527B1" w:rsidP="001527B1">
      <w:pPr>
        <w:ind w:firstLine="708"/>
        <w:jc w:val="both"/>
        <w:rPr>
          <w:lang w:val="de-DE"/>
        </w:rPr>
      </w:pPr>
      <w:r w:rsidRPr="004676F5">
        <w:rPr>
          <w:lang w:val="de-DE"/>
        </w:rPr>
        <w:t>2. Aufbereitung zum Zweck der Vermehrung,</w:t>
      </w:r>
    </w:p>
    <w:p w14:paraId="562A2BD0" w14:textId="77777777" w:rsidR="001527B1" w:rsidRPr="004676F5" w:rsidRDefault="001527B1" w:rsidP="001527B1">
      <w:pPr>
        <w:ind w:firstLine="708"/>
        <w:jc w:val="both"/>
        <w:rPr>
          <w:lang w:val="de-DE"/>
        </w:rPr>
      </w:pPr>
    </w:p>
    <w:p w14:paraId="2ADFAB85" w14:textId="77777777" w:rsidR="001527B1" w:rsidRPr="004676F5" w:rsidRDefault="001527B1" w:rsidP="001527B1">
      <w:pPr>
        <w:ind w:firstLine="708"/>
        <w:jc w:val="both"/>
        <w:rPr>
          <w:lang w:val="de-DE"/>
        </w:rPr>
      </w:pPr>
      <w:r w:rsidRPr="004676F5">
        <w:rPr>
          <w:lang w:val="de-DE"/>
        </w:rPr>
        <w:t>3. Anbieten zum Verkauf,</w:t>
      </w:r>
    </w:p>
    <w:p w14:paraId="61C3E8CD" w14:textId="77777777" w:rsidR="001527B1" w:rsidRPr="004676F5" w:rsidRDefault="001527B1" w:rsidP="001527B1">
      <w:pPr>
        <w:ind w:firstLine="708"/>
        <w:jc w:val="both"/>
        <w:rPr>
          <w:lang w:val="de-DE"/>
        </w:rPr>
      </w:pPr>
    </w:p>
    <w:p w14:paraId="33C6F85C" w14:textId="77777777" w:rsidR="001527B1" w:rsidRPr="004676F5" w:rsidRDefault="001527B1" w:rsidP="001527B1">
      <w:pPr>
        <w:ind w:firstLine="708"/>
        <w:jc w:val="both"/>
        <w:rPr>
          <w:lang w:val="de-DE"/>
        </w:rPr>
      </w:pPr>
      <w:r w:rsidRPr="004676F5">
        <w:rPr>
          <w:lang w:val="de-DE"/>
        </w:rPr>
        <w:t>4. Verkauf oder sonstiges Inverkehrbringen,</w:t>
      </w:r>
    </w:p>
    <w:p w14:paraId="7332ACDF" w14:textId="77777777" w:rsidR="001527B1" w:rsidRPr="004676F5" w:rsidRDefault="001527B1" w:rsidP="001527B1">
      <w:pPr>
        <w:ind w:firstLine="708"/>
        <w:jc w:val="both"/>
        <w:rPr>
          <w:lang w:val="de-DE"/>
        </w:rPr>
      </w:pPr>
    </w:p>
    <w:p w14:paraId="7A1EE3D7" w14:textId="77777777" w:rsidR="001527B1" w:rsidRPr="004676F5" w:rsidRDefault="001527B1" w:rsidP="001527B1">
      <w:pPr>
        <w:ind w:firstLine="708"/>
        <w:jc w:val="both"/>
        <w:rPr>
          <w:lang w:val="de-DE"/>
        </w:rPr>
      </w:pPr>
      <w:r w:rsidRPr="004676F5">
        <w:rPr>
          <w:lang w:val="de-DE"/>
        </w:rPr>
        <w:t>5. Einfuhr,</w:t>
      </w:r>
    </w:p>
    <w:p w14:paraId="0E17A0A0" w14:textId="77777777" w:rsidR="001527B1" w:rsidRPr="004676F5" w:rsidRDefault="001527B1" w:rsidP="001527B1">
      <w:pPr>
        <w:ind w:firstLine="708"/>
        <w:jc w:val="both"/>
        <w:rPr>
          <w:lang w:val="de-DE"/>
        </w:rPr>
      </w:pPr>
    </w:p>
    <w:p w14:paraId="3B79D4CB" w14:textId="77777777" w:rsidR="001527B1" w:rsidRPr="004676F5" w:rsidRDefault="001527B1" w:rsidP="001527B1">
      <w:pPr>
        <w:ind w:firstLine="708"/>
        <w:jc w:val="both"/>
        <w:rPr>
          <w:lang w:val="de-DE"/>
        </w:rPr>
      </w:pPr>
      <w:r w:rsidRPr="004676F5">
        <w:rPr>
          <w:lang w:val="de-DE"/>
        </w:rPr>
        <w:t>6. Ausfuhr,</w:t>
      </w:r>
    </w:p>
    <w:p w14:paraId="4BE55234" w14:textId="77777777" w:rsidR="001527B1" w:rsidRPr="004676F5" w:rsidRDefault="001527B1" w:rsidP="001527B1">
      <w:pPr>
        <w:ind w:firstLine="708"/>
        <w:jc w:val="both"/>
        <w:rPr>
          <w:lang w:val="de-DE"/>
        </w:rPr>
      </w:pPr>
    </w:p>
    <w:p w14:paraId="378F624B" w14:textId="77777777" w:rsidR="001527B1" w:rsidRPr="004676F5" w:rsidRDefault="001527B1" w:rsidP="001527B1">
      <w:pPr>
        <w:ind w:firstLine="708"/>
        <w:jc w:val="both"/>
        <w:rPr>
          <w:lang w:val="de-DE"/>
        </w:rPr>
      </w:pPr>
      <w:r w:rsidRPr="004676F5">
        <w:rPr>
          <w:lang w:val="de-DE"/>
        </w:rPr>
        <w:t>7. Aufbewahrung zu einem der weiter oben genannten Zwecke.</w:t>
      </w:r>
    </w:p>
    <w:p w14:paraId="12BAA314" w14:textId="77777777" w:rsidR="001527B1" w:rsidRPr="004676F5" w:rsidRDefault="001527B1" w:rsidP="001527B1">
      <w:pPr>
        <w:ind w:firstLine="708"/>
        <w:jc w:val="both"/>
        <w:rPr>
          <w:lang w:val="de-DE"/>
        </w:rPr>
      </w:pPr>
    </w:p>
    <w:p w14:paraId="1D0EE2DA" w14:textId="77777777" w:rsidR="001527B1" w:rsidRPr="004676F5" w:rsidRDefault="001527B1" w:rsidP="001527B1">
      <w:pPr>
        <w:ind w:firstLine="708"/>
        <w:jc w:val="both"/>
        <w:rPr>
          <w:lang w:val="de-DE"/>
        </w:rPr>
      </w:pPr>
      <w:r w:rsidRPr="004676F5">
        <w:rPr>
          <w:lang w:val="de-DE"/>
        </w:rPr>
        <w:t>Der Inhaber kann seine Zustimmung von Bedingungen und Einschränkungen abhängig machen.</w:t>
      </w:r>
    </w:p>
    <w:p w14:paraId="5F217B97" w14:textId="77777777" w:rsidR="001527B1" w:rsidRPr="004676F5" w:rsidRDefault="001527B1" w:rsidP="001527B1">
      <w:pPr>
        <w:ind w:firstLine="708"/>
        <w:jc w:val="both"/>
        <w:rPr>
          <w:lang w:val="de-DE"/>
        </w:rPr>
      </w:pPr>
    </w:p>
    <w:p w14:paraId="228F4B1D" w14:textId="3276EF9E" w:rsidR="001527B1" w:rsidRPr="004676F5" w:rsidRDefault="001527B1" w:rsidP="001527B1">
      <w:pPr>
        <w:ind w:firstLine="708"/>
        <w:jc w:val="both"/>
        <w:rPr>
          <w:lang w:val="de-DE"/>
        </w:rPr>
      </w:pPr>
      <w:r w:rsidRPr="004676F5">
        <w:rPr>
          <w:lang w:val="de-DE"/>
        </w:rPr>
        <w:lastRenderedPageBreak/>
        <w:t>§ 3 </w:t>
      </w:r>
      <w:r w:rsidR="005B7A5C" w:rsidRPr="004676F5">
        <w:rPr>
          <w:lang w:val="de-DE"/>
        </w:rPr>
        <w:t>- </w:t>
      </w:r>
      <w:r w:rsidRPr="004676F5">
        <w:rPr>
          <w:lang w:val="de-DE"/>
        </w:rPr>
        <w:t>Auf Erntegut findet § 2 nur Anwendung, wenn es dadurch gewonnen wurde, dass Sortenbestandteile der geschützten Sorte ohne Zustimmung verwendet wurden, und wenn der Inhaber nicht hinreichend Gelegenheit hatte, sein Recht im Zusammenhang mit den genannten Sortenbestandteilen geltend zu machen.</w:t>
      </w:r>
    </w:p>
    <w:p w14:paraId="6E4169A7" w14:textId="77777777" w:rsidR="001527B1" w:rsidRPr="004676F5" w:rsidRDefault="001527B1" w:rsidP="001527B1">
      <w:pPr>
        <w:ind w:firstLine="708"/>
        <w:jc w:val="both"/>
        <w:rPr>
          <w:lang w:val="de-DE"/>
        </w:rPr>
      </w:pPr>
    </w:p>
    <w:p w14:paraId="5E7F2EDE" w14:textId="20AA19CF"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Auf unmittelbar aus Erntegut der geschützten Sorte gewonnene Erzeugnisse findet § 2 nur Anwendung, wenn solche Erzeugnisse durch die unerlaubte Verwendung des genannten Ernteguts gewonnen wurden und wenn der Inhaber nicht hinreichend Gelegenheit hatte, sein Recht im Zusammenhang mit dem genannten Erntegut geltend zu machen.</w:t>
      </w:r>
    </w:p>
    <w:p w14:paraId="5035D696" w14:textId="77777777" w:rsidR="001527B1" w:rsidRPr="004676F5" w:rsidRDefault="001527B1" w:rsidP="001527B1">
      <w:pPr>
        <w:ind w:firstLine="708"/>
        <w:jc w:val="both"/>
        <w:rPr>
          <w:lang w:val="de-DE"/>
        </w:rPr>
      </w:pPr>
    </w:p>
    <w:p w14:paraId="3C760D76" w14:textId="77777777" w:rsidR="00435B6C" w:rsidRPr="004676F5" w:rsidRDefault="00435B6C" w:rsidP="001527B1">
      <w:pPr>
        <w:ind w:firstLine="708"/>
        <w:jc w:val="both"/>
        <w:rPr>
          <w:lang w:val="de-DE"/>
        </w:rPr>
      </w:pPr>
    </w:p>
    <w:p w14:paraId="17EF40F6" w14:textId="253AF77C" w:rsidR="001527B1" w:rsidRPr="004676F5" w:rsidRDefault="00BE0A56" w:rsidP="001527B1">
      <w:pPr>
        <w:ind w:firstLine="708"/>
        <w:jc w:val="both"/>
        <w:rPr>
          <w:lang w:val="de-DE"/>
        </w:rPr>
      </w:pPr>
      <w:r w:rsidRPr="004676F5">
        <w:rPr>
          <w:b/>
          <w:lang w:val="de-DE"/>
        </w:rPr>
        <w:t>Art. </w:t>
      </w:r>
      <w:r w:rsidR="001527B1" w:rsidRPr="004676F5">
        <w:rPr>
          <w:b/>
          <w:lang w:val="de-DE"/>
        </w:rPr>
        <w:t>XI.114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Die Bestimmungen von Artikel XI.113 gelten auch in Bezug auf folgende Sorten:</w:t>
      </w:r>
    </w:p>
    <w:p w14:paraId="509BCFB8" w14:textId="77777777" w:rsidR="001527B1" w:rsidRPr="004676F5" w:rsidRDefault="001527B1" w:rsidP="001527B1">
      <w:pPr>
        <w:ind w:firstLine="708"/>
        <w:jc w:val="both"/>
        <w:rPr>
          <w:lang w:val="de-DE"/>
        </w:rPr>
      </w:pPr>
    </w:p>
    <w:p w14:paraId="047CA216" w14:textId="77777777" w:rsidR="001527B1" w:rsidRPr="004676F5" w:rsidRDefault="001527B1" w:rsidP="001527B1">
      <w:pPr>
        <w:ind w:firstLine="708"/>
        <w:jc w:val="both"/>
        <w:rPr>
          <w:lang w:val="de-DE"/>
        </w:rPr>
      </w:pPr>
      <w:r w:rsidRPr="004676F5">
        <w:rPr>
          <w:lang w:val="de-DE"/>
        </w:rPr>
        <w:t>1. Sorten, die im Wesentlichen von der geschützten Sorte abgeleitet wurden, sofern diese Sorte selbst keine im Wesentlichen abgeleitete Sorte ist,</w:t>
      </w:r>
    </w:p>
    <w:p w14:paraId="3C62CA1C" w14:textId="77777777" w:rsidR="001527B1" w:rsidRPr="004676F5" w:rsidRDefault="001527B1" w:rsidP="001527B1">
      <w:pPr>
        <w:ind w:firstLine="708"/>
        <w:jc w:val="both"/>
        <w:rPr>
          <w:lang w:val="de-DE"/>
        </w:rPr>
      </w:pPr>
    </w:p>
    <w:p w14:paraId="34F05CC7" w14:textId="77777777" w:rsidR="001527B1" w:rsidRPr="004676F5" w:rsidRDefault="001527B1" w:rsidP="001527B1">
      <w:pPr>
        <w:ind w:firstLine="708"/>
        <w:jc w:val="both"/>
        <w:rPr>
          <w:lang w:val="de-DE"/>
        </w:rPr>
      </w:pPr>
      <w:r w:rsidRPr="004676F5">
        <w:rPr>
          <w:lang w:val="de-DE"/>
        </w:rPr>
        <w:t>2. Sorten, die von der geschützten Sorte nicht im Sinne des Artikels XI.106 deutlich unterscheidbar sind, und</w:t>
      </w:r>
    </w:p>
    <w:p w14:paraId="04241883" w14:textId="77777777" w:rsidR="001527B1" w:rsidRPr="004676F5" w:rsidRDefault="001527B1" w:rsidP="001527B1">
      <w:pPr>
        <w:ind w:firstLine="708"/>
        <w:jc w:val="both"/>
        <w:rPr>
          <w:lang w:val="de-DE"/>
        </w:rPr>
      </w:pPr>
    </w:p>
    <w:p w14:paraId="77CD0160" w14:textId="77777777" w:rsidR="001527B1" w:rsidRPr="004676F5" w:rsidRDefault="001527B1" w:rsidP="001527B1">
      <w:pPr>
        <w:ind w:firstLine="708"/>
        <w:jc w:val="both"/>
        <w:rPr>
          <w:lang w:val="de-DE"/>
        </w:rPr>
      </w:pPr>
      <w:r w:rsidRPr="004676F5">
        <w:rPr>
          <w:lang w:val="de-DE"/>
        </w:rPr>
        <w:t>3. Sorten, deren Erzeugung die fortlaufende Verwendung der geschützten Sorte erfordert.</w:t>
      </w:r>
    </w:p>
    <w:p w14:paraId="0EBAAB07" w14:textId="77777777" w:rsidR="001527B1" w:rsidRPr="004676F5" w:rsidRDefault="001527B1" w:rsidP="001527B1">
      <w:pPr>
        <w:ind w:firstLine="708"/>
        <w:jc w:val="both"/>
        <w:rPr>
          <w:lang w:val="de-DE"/>
        </w:rPr>
      </w:pPr>
    </w:p>
    <w:p w14:paraId="2A3FD56E" w14:textId="291C831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Für die Anwendung von § 1 Nr. 1 gilt eine Sorte als im Wesentlichen von einer Sorte, im Folgenden "Ursprungssorte" genannt, abgeleitet, wenn:</w:t>
      </w:r>
    </w:p>
    <w:p w14:paraId="6DEBA50A" w14:textId="77777777" w:rsidR="001527B1" w:rsidRPr="004676F5" w:rsidRDefault="001527B1" w:rsidP="001527B1">
      <w:pPr>
        <w:ind w:firstLine="708"/>
        <w:jc w:val="both"/>
        <w:rPr>
          <w:lang w:val="de-DE"/>
        </w:rPr>
      </w:pPr>
    </w:p>
    <w:p w14:paraId="042766CC" w14:textId="77777777" w:rsidR="001527B1" w:rsidRPr="004676F5" w:rsidRDefault="001527B1" w:rsidP="001527B1">
      <w:pPr>
        <w:ind w:firstLine="708"/>
        <w:jc w:val="both"/>
        <w:rPr>
          <w:lang w:val="de-DE"/>
        </w:rPr>
      </w:pPr>
      <w:r w:rsidRPr="004676F5">
        <w:rPr>
          <w:lang w:val="de-DE"/>
        </w:rPr>
        <w:t>1. sie vorwiegend von der Ursprungssorte oder einer Sorte abgeleitet ist, die selbst vorwiegend von der Ursprungssorte abgeleitet ist,</w:t>
      </w:r>
    </w:p>
    <w:p w14:paraId="769F64D1" w14:textId="77777777" w:rsidR="001527B1" w:rsidRPr="004676F5" w:rsidRDefault="001527B1" w:rsidP="001527B1">
      <w:pPr>
        <w:ind w:firstLine="708"/>
        <w:jc w:val="both"/>
        <w:rPr>
          <w:lang w:val="de-DE"/>
        </w:rPr>
      </w:pPr>
    </w:p>
    <w:p w14:paraId="5BEB956B" w14:textId="77777777" w:rsidR="001527B1" w:rsidRPr="004676F5" w:rsidRDefault="001527B1" w:rsidP="001527B1">
      <w:pPr>
        <w:ind w:firstLine="708"/>
        <w:jc w:val="both"/>
        <w:rPr>
          <w:lang w:val="de-DE"/>
        </w:rPr>
      </w:pPr>
      <w:r w:rsidRPr="004676F5">
        <w:rPr>
          <w:lang w:val="de-DE"/>
        </w:rPr>
        <w:t>2. sie von der Ursprungssorte im Sinne des Artikels XI.106 deutlich unterscheidbar ist und</w:t>
      </w:r>
    </w:p>
    <w:p w14:paraId="77D00E7F" w14:textId="77777777" w:rsidR="001527B1" w:rsidRPr="004676F5" w:rsidRDefault="001527B1" w:rsidP="001527B1">
      <w:pPr>
        <w:ind w:firstLine="708"/>
        <w:jc w:val="both"/>
        <w:rPr>
          <w:lang w:val="de-DE"/>
        </w:rPr>
      </w:pPr>
    </w:p>
    <w:p w14:paraId="03C91C2C" w14:textId="77777777" w:rsidR="001527B1" w:rsidRPr="004676F5" w:rsidRDefault="001527B1" w:rsidP="001527B1">
      <w:pPr>
        <w:ind w:firstLine="708"/>
        <w:jc w:val="both"/>
        <w:rPr>
          <w:lang w:val="de-DE"/>
        </w:rPr>
      </w:pPr>
      <w:r w:rsidRPr="004676F5">
        <w:rPr>
          <w:lang w:val="de-DE"/>
        </w:rPr>
        <w:t>3. sie in der Ausprägung der wesentlichen Merkmale, die aus dem Genotyp oder einer Kombination von Genotypen der Ursprungssorte resultiert, abgesehen von Unterschieden, die sich aus der Ableitung ergeben, mit der Ursprungssorte übereinstimmt.</w:t>
      </w:r>
    </w:p>
    <w:p w14:paraId="554A652D" w14:textId="77777777" w:rsidR="001527B1" w:rsidRPr="004676F5" w:rsidRDefault="001527B1" w:rsidP="001527B1">
      <w:pPr>
        <w:ind w:firstLine="708"/>
        <w:jc w:val="both"/>
        <w:rPr>
          <w:lang w:val="de-DE"/>
        </w:rPr>
      </w:pPr>
    </w:p>
    <w:p w14:paraId="22185B19" w14:textId="78EC9660"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Im Wesentlichen abgeleitete Sorten können beispielsweise durch die Auslese einer natürlichen oder künstlichen Mutante oder eines somaklonalen Abweichers, die Auslese eines Abweichers in einem Pflanzenbestand der Ursprungssorte, die Rückkreuzung oder die gentechnische Transformation gewonnen werden.</w:t>
      </w:r>
    </w:p>
    <w:p w14:paraId="1B6B8934" w14:textId="77777777" w:rsidR="001527B1" w:rsidRPr="004676F5" w:rsidRDefault="001527B1" w:rsidP="001527B1">
      <w:pPr>
        <w:ind w:firstLine="708"/>
        <w:jc w:val="both"/>
        <w:rPr>
          <w:lang w:val="de-DE"/>
        </w:rPr>
      </w:pPr>
    </w:p>
    <w:p w14:paraId="077B4F6F" w14:textId="77777777" w:rsidR="00435B6C" w:rsidRPr="004676F5" w:rsidRDefault="00435B6C" w:rsidP="001527B1">
      <w:pPr>
        <w:ind w:firstLine="708"/>
        <w:jc w:val="both"/>
        <w:rPr>
          <w:lang w:val="de-DE"/>
        </w:rPr>
      </w:pPr>
    </w:p>
    <w:p w14:paraId="20A30A00" w14:textId="5F5AC491" w:rsidR="001527B1" w:rsidRPr="004676F5" w:rsidRDefault="00BE0A56" w:rsidP="001527B1">
      <w:pPr>
        <w:ind w:firstLine="708"/>
        <w:jc w:val="both"/>
        <w:rPr>
          <w:lang w:val="de-DE"/>
        </w:rPr>
      </w:pPr>
      <w:r w:rsidRPr="004676F5">
        <w:rPr>
          <w:b/>
          <w:lang w:val="de-DE"/>
        </w:rPr>
        <w:t>Art. </w:t>
      </w:r>
      <w:r w:rsidR="001527B1" w:rsidRPr="004676F5">
        <w:rPr>
          <w:b/>
          <w:lang w:val="de-DE"/>
        </w:rPr>
        <w:t>XI.115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Unbeschadet des Artikels XI.113 § 2 ist es Landwirten gestattet, Erntegut, das sie aus dem Anbau einer geschützten Sorte oder einer in Artikel XI.114 erwähnten Sorte im eigenen Betrieb gewonnen haben, im eigenen Betrieb zum Zweck der Vermehrung zu verwenden.</w:t>
      </w:r>
    </w:p>
    <w:p w14:paraId="29C37014" w14:textId="77777777" w:rsidR="001527B1" w:rsidRPr="004676F5" w:rsidRDefault="001527B1" w:rsidP="001527B1">
      <w:pPr>
        <w:ind w:firstLine="708"/>
        <w:jc w:val="both"/>
        <w:rPr>
          <w:lang w:val="de-DE"/>
        </w:rPr>
      </w:pPr>
    </w:p>
    <w:p w14:paraId="49AF6D15" w14:textId="39E7705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Bedingungen für die Wirksamkeit der Ausnahmeregelung gemäß § 1 und für die Wahrung der legitimen Interessen des Pflanzenzüchters und des Landwirts werden vom König festgelegt.</w:t>
      </w:r>
    </w:p>
    <w:p w14:paraId="69F892D9" w14:textId="77777777" w:rsidR="001527B1" w:rsidRPr="004676F5" w:rsidRDefault="001527B1" w:rsidP="001527B1">
      <w:pPr>
        <w:ind w:firstLine="708"/>
        <w:jc w:val="both"/>
        <w:rPr>
          <w:lang w:val="de-DE"/>
        </w:rPr>
      </w:pPr>
    </w:p>
    <w:p w14:paraId="00266EF8" w14:textId="77777777" w:rsidR="00435B6C" w:rsidRPr="004676F5" w:rsidRDefault="00435B6C" w:rsidP="001527B1">
      <w:pPr>
        <w:ind w:firstLine="708"/>
        <w:jc w:val="both"/>
        <w:rPr>
          <w:lang w:val="de-DE"/>
        </w:rPr>
      </w:pPr>
    </w:p>
    <w:p w14:paraId="5D7BD54B" w14:textId="4136A36F"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XI.116</w:t>
      </w:r>
      <w:r w:rsidR="001527B1" w:rsidRPr="004676F5">
        <w:rPr>
          <w:lang w:val="de-DE"/>
        </w:rPr>
        <w:t> </w:t>
      </w:r>
      <w:r w:rsidR="005B7A5C" w:rsidRPr="004676F5">
        <w:rPr>
          <w:lang w:val="de-DE"/>
        </w:rPr>
        <w:t>- </w:t>
      </w:r>
      <w:r w:rsidR="001527B1" w:rsidRPr="004676F5">
        <w:rPr>
          <w:lang w:val="de-DE"/>
        </w:rPr>
        <w:t>Der Sortenschutz gilt nicht für:</w:t>
      </w:r>
    </w:p>
    <w:p w14:paraId="72B276BC" w14:textId="77777777" w:rsidR="001527B1" w:rsidRPr="004676F5" w:rsidRDefault="001527B1" w:rsidP="001527B1">
      <w:pPr>
        <w:ind w:firstLine="708"/>
        <w:jc w:val="both"/>
        <w:rPr>
          <w:lang w:val="de-DE"/>
        </w:rPr>
      </w:pPr>
    </w:p>
    <w:p w14:paraId="43820661" w14:textId="77777777" w:rsidR="001527B1" w:rsidRPr="004676F5" w:rsidRDefault="001527B1" w:rsidP="001527B1">
      <w:pPr>
        <w:ind w:firstLine="708"/>
        <w:jc w:val="both"/>
        <w:rPr>
          <w:lang w:val="de-DE"/>
        </w:rPr>
      </w:pPr>
      <w:r w:rsidRPr="004676F5">
        <w:rPr>
          <w:lang w:val="de-DE"/>
        </w:rPr>
        <w:t>1. Handlungen im privaten Bereich zu nichtgewerblichen Zwecken,</w:t>
      </w:r>
    </w:p>
    <w:p w14:paraId="6E3B8948" w14:textId="77777777" w:rsidR="001527B1" w:rsidRPr="004676F5" w:rsidRDefault="001527B1" w:rsidP="001527B1">
      <w:pPr>
        <w:ind w:firstLine="708"/>
        <w:jc w:val="both"/>
        <w:rPr>
          <w:lang w:val="de-DE"/>
        </w:rPr>
      </w:pPr>
    </w:p>
    <w:p w14:paraId="7D0E8B62" w14:textId="77777777" w:rsidR="001527B1" w:rsidRPr="004676F5" w:rsidRDefault="001527B1" w:rsidP="001527B1">
      <w:pPr>
        <w:ind w:firstLine="708"/>
        <w:jc w:val="both"/>
        <w:rPr>
          <w:lang w:val="de-DE"/>
        </w:rPr>
      </w:pPr>
      <w:r w:rsidRPr="004676F5">
        <w:rPr>
          <w:lang w:val="de-DE"/>
        </w:rPr>
        <w:t>2. Handlungen zu Versuchszwecken,</w:t>
      </w:r>
    </w:p>
    <w:p w14:paraId="32063519" w14:textId="77777777" w:rsidR="001527B1" w:rsidRPr="004676F5" w:rsidRDefault="001527B1" w:rsidP="001527B1">
      <w:pPr>
        <w:ind w:firstLine="708"/>
        <w:jc w:val="both"/>
        <w:rPr>
          <w:lang w:val="de-DE"/>
        </w:rPr>
      </w:pPr>
    </w:p>
    <w:p w14:paraId="332FDBB8" w14:textId="77777777" w:rsidR="001527B1" w:rsidRPr="004676F5" w:rsidRDefault="001527B1" w:rsidP="001527B1">
      <w:pPr>
        <w:ind w:firstLine="708"/>
        <w:jc w:val="both"/>
        <w:rPr>
          <w:lang w:val="de-DE"/>
        </w:rPr>
      </w:pPr>
      <w:r w:rsidRPr="004676F5">
        <w:rPr>
          <w:lang w:val="de-DE"/>
        </w:rPr>
        <w:t>3. Handlungen zur Züchtung, Entdeckung und Entwicklung anderer Sorten,</w:t>
      </w:r>
    </w:p>
    <w:p w14:paraId="4E0D014D" w14:textId="77777777" w:rsidR="001527B1" w:rsidRPr="004676F5" w:rsidRDefault="001527B1" w:rsidP="001527B1">
      <w:pPr>
        <w:ind w:firstLine="708"/>
        <w:jc w:val="both"/>
        <w:rPr>
          <w:lang w:val="de-DE"/>
        </w:rPr>
      </w:pPr>
    </w:p>
    <w:p w14:paraId="63F7D08B" w14:textId="77777777" w:rsidR="001527B1" w:rsidRPr="004676F5" w:rsidRDefault="001527B1" w:rsidP="001527B1">
      <w:pPr>
        <w:ind w:firstLine="708"/>
        <w:jc w:val="both"/>
        <w:rPr>
          <w:lang w:val="de-DE"/>
        </w:rPr>
      </w:pPr>
      <w:r w:rsidRPr="004676F5">
        <w:rPr>
          <w:lang w:val="de-DE"/>
        </w:rPr>
        <w:t>4. in Artikel XI.113 §§ 2, 3 und 4 genannte Handlungen in Bezug auf solche anderen Sorten, ausgenommen die Fälle, in denen Artikel XI.114 Anwendung findet,</w:t>
      </w:r>
    </w:p>
    <w:p w14:paraId="35086214" w14:textId="77777777" w:rsidR="001527B1" w:rsidRPr="004676F5" w:rsidRDefault="001527B1" w:rsidP="001527B1">
      <w:pPr>
        <w:ind w:firstLine="708"/>
        <w:jc w:val="both"/>
        <w:rPr>
          <w:lang w:val="de-DE"/>
        </w:rPr>
      </w:pPr>
    </w:p>
    <w:p w14:paraId="1DA75D3A" w14:textId="77777777" w:rsidR="001527B1" w:rsidRPr="004676F5" w:rsidRDefault="001527B1" w:rsidP="001527B1">
      <w:pPr>
        <w:ind w:firstLine="708"/>
        <w:jc w:val="both"/>
        <w:rPr>
          <w:lang w:val="de-DE"/>
        </w:rPr>
      </w:pPr>
      <w:r w:rsidRPr="004676F5">
        <w:rPr>
          <w:lang w:val="de-DE"/>
        </w:rPr>
        <w:t>5. Handlungen, deren Verbot gegen Artikel XI.115 oder Artikel XI.126 verstoßen würde.</w:t>
      </w:r>
    </w:p>
    <w:p w14:paraId="38B04A3F" w14:textId="77777777" w:rsidR="001527B1" w:rsidRPr="004676F5" w:rsidRDefault="001527B1" w:rsidP="001527B1">
      <w:pPr>
        <w:ind w:firstLine="708"/>
        <w:jc w:val="both"/>
        <w:rPr>
          <w:lang w:val="de-DE"/>
        </w:rPr>
      </w:pPr>
    </w:p>
    <w:p w14:paraId="5E1D13FF" w14:textId="77777777" w:rsidR="00435B6C" w:rsidRPr="004676F5" w:rsidRDefault="00435B6C" w:rsidP="001527B1">
      <w:pPr>
        <w:ind w:firstLine="708"/>
        <w:jc w:val="both"/>
        <w:rPr>
          <w:lang w:val="de-DE"/>
        </w:rPr>
      </w:pPr>
    </w:p>
    <w:p w14:paraId="1C9517EC" w14:textId="10B10838" w:rsidR="001527B1" w:rsidRPr="004676F5" w:rsidRDefault="00BE0A56" w:rsidP="001527B1">
      <w:pPr>
        <w:ind w:firstLine="708"/>
        <w:jc w:val="both"/>
        <w:rPr>
          <w:lang w:val="de-DE"/>
        </w:rPr>
      </w:pPr>
      <w:r w:rsidRPr="004676F5">
        <w:rPr>
          <w:b/>
          <w:lang w:val="de-DE"/>
        </w:rPr>
        <w:t>Art. </w:t>
      </w:r>
      <w:r w:rsidR="001527B1" w:rsidRPr="004676F5">
        <w:rPr>
          <w:b/>
          <w:lang w:val="de-DE"/>
        </w:rPr>
        <w:t>XI.117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Sortenschutz gilt nicht für Handlungen, die ein Material der geschützten Sorte oder einer in Artikel XI.114 erwähnten Sorte betreffen, das vom Inhaber oder mit seiner Zustimmung auf dem Gebiet der Europäischen Union vertrieben wurde, oder ein Material, das von dem genannten Material stammt, außer wenn diese Handlungen:</w:t>
      </w:r>
    </w:p>
    <w:p w14:paraId="1EC37CFF" w14:textId="77777777" w:rsidR="001527B1" w:rsidRPr="004676F5" w:rsidRDefault="001527B1" w:rsidP="001527B1">
      <w:pPr>
        <w:ind w:firstLine="708"/>
        <w:jc w:val="both"/>
        <w:rPr>
          <w:lang w:val="de-DE"/>
        </w:rPr>
      </w:pPr>
    </w:p>
    <w:p w14:paraId="4C9F0852" w14:textId="77777777" w:rsidR="001527B1" w:rsidRPr="004676F5" w:rsidRDefault="001527B1" w:rsidP="001527B1">
      <w:pPr>
        <w:ind w:firstLine="708"/>
        <w:jc w:val="both"/>
        <w:rPr>
          <w:lang w:val="de-DE"/>
        </w:rPr>
      </w:pPr>
      <w:r w:rsidRPr="004676F5">
        <w:rPr>
          <w:lang w:val="de-DE"/>
        </w:rPr>
        <w:t>1. eine erneute Vermehrung der betreffenden Sorte beinhalten, es sei denn, eine solche Vermehrung war beabsichtigt, als das Material abgegeben wurde, oder</w:t>
      </w:r>
    </w:p>
    <w:p w14:paraId="0C0F08C9" w14:textId="77777777" w:rsidR="001527B1" w:rsidRPr="004676F5" w:rsidRDefault="001527B1" w:rsidP="001527B1">
      <w:pPr>
        <w:ind w:firstLine="708"/>
        <w:jc w:val="both"/>
        <w:rPr>
          <w:lang w:val="de-DE"/>
        </w:rPr>
      </w:pPr>
    </w:p>
    <w:p w14:paraId="37D0B613" w14:textId="77777777" w:rsidR="001527B1" w:rsidRPr="004676F5" w:rsidRDefault="001527B1" w:rsidP="001527B1">
      <w:pPr>
        <w:ind w:firstLine="708"/>
        <w:jc w:val="both"/>
        <w:rPr>
          <w:lang w:val="de-DE"/>
        </w:rPr>
      </w:pPr>
      <w:r w:rsidRPr="004676F5">
        <w:rPr>
          <w:lang w:val="de-DE"/>
        </w:rPr>
        <w:t>2. eine Ausfuhr von Material der Sorte, das die Vermehrung der Sorte ermöglicht, in ein Land einschließen, das die Sorten der Pflanzengattung oder -art, zu der die Sorte gehört, nicht schützt, es sei denn, dass das ausgeführte Material zum Endverbrauch bestimmt ist.</w:t>
      </w:r>
    </w:p>
    <w:p w14:paraId="5CE5D370" w14:textId="77777777" w:rsidR="001527B1" w:rsidRPr="004676F5" w:rsidRDefault="001527B1" w:rsidP="001527B1">
      <w:pPr>
        <w:ind w:firstLine="708"/>
        <w:jc w:val="both"/>
        <w:rPr>
          <w:lang w:val="de-DE"/>
        </w:rPr>
      </w:pPr>
    </w:p>
    <w:p w14:paraId="77ED5609" w14:textId="57ED9B0E"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Im Sinne von § 1 ist Material in Bezug auf eine Sorte:</w:t>
      </w:r>
    </w:p>
    <w:p w14:paraId="670A9C1E" w14:textId="77777777" w:rsidR="001527B1" w:rsidRPr="004676F5" w:rsidRDefault="001527B1" w:rsidP="001527B1">
      <w:pPr>
        <w:ind w:firstLine="708"/>
        <w:jc w:val="both"/>
        <w:rPr>
          <w:lang w:val="de-DE"/>
        </w:rPr>
      </w:pPr>
    </w:p>
    <w:p w14:paraId="1D1406B0" w14:textId="77777777" w:rsidR="001527B1" w:rsidRPr="004676F5" w:rsidRDefault="001527B1" w:rsidP="001527B1">
      <w:pPr>
        <w:ind w:firstLine="708"/>
        <w:jc w:val="both"/>
        <w:rPr>
          <w:lang w:val="de-DE"/>
        </w:rPr>
      </w:pPr>
      <w:r w:rsidRPr="004676F5">
        <w:rPr>
          <w:lang w:val="de-DE"/>
        </w:rPr>
        <w:t>1. jede Form von Sortenbestandteilen,</w:t>
      </w:r>
    </w:p>
    <w:p w14:paraId="245154F9" w14:textId="77777777" w:rsidR="001527B1" w:rsidRPr="004676F5" w:rsidRDefault="001527B1" w:rsidP="001527B1">
      <w:pPr>
        <w:ind w:firstLine="708"/>
        <w:jc w:val="both"/>
        <w:rPr>
          <w:lang w:val="de-DE"/>
        </w:rPr>
      </w:pPr>
    </w:p>
    <w:p w14:paraId="5F358F6D" w14:textId="77777777" w:rsidR="001527B1" w:rsidRPr="004676F5" w:rsidRDefault="001527B1" w:rsidP="001527B1">
      <w:pPr>
        <w:ind w:firstLine="708"/>
        <w:jc w:val="both"/>
        <w:rPr>
          <w:lang w:val="de-DE"/>
        </w:rPr>
      </w:pPr>
      <w:r w:rsidRPr="004676F5">
        <w:rPr>
          <w:lang w:val="de-DE"/>
        </w:rPr>
        <w:t>2. Erntegut, einschließlich ganzer Pflanzen und Pflanzenteile,</w:t>
      </w:r>
    </w:p>
    <w:p w14:paraId="24CC2091" w14:textId="77777777" w:rsidR="001527B1" w:rsidRPr="004676F5" w:rsidRDefault="001527B1" w:rsidP="001527B1">
      <w:pPr>
        <w:ind w:firstLine="708"/>
        <w:jc w:val="both"/>
        <w:rPr>
          <w:lang w:val="de-DE"/>
        </w:rPr>
      </w:pPr>
    </w:p>
    <w:p w14:paraId="460A1798" w14:textId="77777777" w:rsidR="001527B1" w:rsidRPr="004676F5" w:rsidRDefault="001527B1" w:rsidP="001527B1">
      <w:pPr>
        <w:ind w:firstLine="708"/>
        <w:jc w:val="both"/>
        <w:rPr>
          <w:lang w:val="de-DE"/>
        </w:rPr>
      </w:pPr>
      <w:r w:rsidRPr="004676F5">
        <w:rPr>
          <w:lang w:val="de-DE"/>
        </w:rPr>
        <w:t>3. jedes unmittelbar vom Erntegut hergestellte Erzeugnis.</w:t>
      </w:r>
    </w:p>
    <w:p w14:paraId="0C37EF8C" w14:textId="77777777" w:rsidR="001527B1" w:rsidRPr="004676F5" w:rsidRDefault="001527B1" w:rsidP="001527B1">
      <w:pPr>
        <w:ind w:firstLine="708"/>
        <w:jc w:val="both"/>
        <w:rPr>
          <w:lang w:val="de-DE"/>
        </w:rPr>
      </w:pPr>
    </w:p>
    <w:p w14:paraId="58ED92B8" w14:textId="77777777" w:rsidR="00435B6C" w:rsidRPr="004676F5" w:rsidRDefault="00435B6C" w:rsidP="001527B1">
      <w:pPr>
        <w:ind w:firstLine="708"/>
        <w:jc w:val="both"/>
        <w:rPr>
          <w:lang w:val="de-DE"/>
        </w:rPr>
      </w:pPr>
    </w:p>
    <w:p w14:paraId="2D2273E9" w14:textId="3FA8D5D2" w:rsidR="001527B1" w:rsidRPr="004676F5" w:rsidRDefault="00BE0A56" w:rsidP="001527B1">
      <w:pPr>
        <w:ind w:firstLine="708"/>
        <w:jc w:val="both"/>
        <w:rPr>
          <w:lang w:val="de-DE"/>
        </w:rPr>
      </w:pPr>
      <w:r w:rsidRPr="004676F5">
        <w:rPr>
          <w:b/>
          <w:lang w:val="de-DE"/>
        </w:rPr>
        <w:t>Art. </w:t>
      </w:r>
      <w:r w:rsidR="001527B1" w:rsidRPr="004676F5">
        <w:rPr>
          <w:b/>
          <w:lang w:val="de-DE"/>
        </w:rPr>
        <w:t>XI.118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 im belgischen Staatsgebiet Sortenbestandteile einer ge</w:t>
      </w:r>
      <w:r w:rsidR="001527B1" w:rsidRPr="004676F5">
        <w:rPr>
          <w:lang w:val="de-DE"/>
        </w:rPr>
        <w:softHyphen/>
        <w:t>schützten oder von den Bestimmungen von Artikel XI.114 abgedeckten Sorte zu gewerb</w:t>
      </w:r>
      <w:r w:rsidR="001527B1" w:rsidRPr="004676F5">
        <w:rPr>
          <w:lang w:val="de-DE"/>
        </w:rPr>
        <w:softHyphen/>
        <w:t>lichen Zwecken anbietet oder an andere abgibt, muss die Sortenbezeichnung verwenden, die nach Artikel XI.143 gebilligt wurde. Bei schriftlichem Hinweis muss die Sortenbezeichnung leicht erkennbar und deutlich lesbar sein. Erscheint ein Warenzeichen, ein Handelsname oder eine ähnliche Angabe zusammen mit der festgesetzten Sortenbezeichnung, so muss diese Bezeichnung als solche leicht erkennbar sein.</w:t>
      </w:r>
    </w:p>
    <w:p w14:paraId="1DC58E09" w14:textId="77777777" w:rsidR="001527B1" w:rsidRPr="004676F5" w:rsidRDefault="001527B1" w:rsidP="001527B1">
      <w:pPr>
        <w:ind w:firstLine="708"/>
        <w:jc w:val="both"/>
        <w:rPr>
          <w:lang w:val="de-DE"/>
        </w:rPr>
      </w:pPr>
    </w:p>
    <w:p w14:paraId="3EE6A152" w14:textId="18D499E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Paragraph 1 gilt auch nach Erlöschen des Sortenschutzes.</w:t>
      </w:r>
    </w:p>
    <w:p w14:paraId="30C7AD84" w14:textId="77777777" w:rsidR="001527B1" w:rsidRPr="004676F5" w:rsidRDefault="001527B1" w:rsidP="001527B1">
      <w:pPr>
        <w:ind w:firstLine="708"/>
        <w:jc w:val="both"/>
        <w:rPr>
          <w:lang w:val="de-DE"/>
        </w:rPr>
      </w:pPr>
    </w:p>
    <w:p w14:paraId="77587BEA" w14:textId="77777777" w:rsidR="00435B6C" w:rsidRPr="004676F5" w:rsidRDefault="00435B6C" w:rsidP="001527B1">
      <w:pPr>
        <w:ind w:firstLine="708"/>
        <w:jc w:val="both"/>
        <w:rPr>
          <w:lang w:val="de-DE"/>
        </w:rPr>
      </w:pPr>
    </w:p>
    <w:p w14:paraId="1896AD7B" w14:textId="738C2F98" w:rsidR="001527B1" w:rsidRPr="004676F5" w:rsidRDefault="00BE0A56" w:rsidP="001527B1">
      <w:pPr>
        <w:ind w:firstLine="708"/>
        <w:jc w:val="both"/>
        <w:rPr>
          <w:lang w:val="de-DE"/>
        </w:rPr>
      </w:pPr>
      <w:r w:rsidRPr="004676F5">
        <w:rPr>
          <w:b/>
          <w:lang w:val="de-DE"/>
        </w:rPr>
        <w:t>Art. </w:t>
      </w:r>
      <w:r w:rsidR="001527B1" w:rsidRPr="004676F5">
        <w:rPr>
          <w:b/>
          <w:lang w:val="de-DE"/>
        </w:rPr>
        <w:t>XI.119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Inhaber kann gegen die freie Verwendung einer Bezeichnung in Verbindung mit der Sorte aufgrund eines ihm zustehenden Rechts an einer mit der Sortenbezeichnung übereinstimmenden Bezeichnung auch nach Erlöschen des Sortenschutzes nicht vorgehen.</w:t>
      </w:r>
    </w:p>
    <w:p w14:paraId="678A09B1" w14:textId="77777777" w:rsidR="001527B1" w:rsidRPr="004676F5" w:rsidRDefault="001527B1" w:rsidP="001527B1">
      <w:pPr>
        <w:ind w:firstLine="708"/>
        <w:jc w:val="both"/>
        <w:rPr>
          <w:lang w:val="de-DE"/>
        </w:rPr>
      </w:pPr>
    </w:p>
    <w:p w14:paraId="35A2CC7A" w14:textId="0C175944" w:rsidR="001527B1" w:rsidRPr="004676F5" w:rsidRDefault="001527B1" w:rsidP="001527B1">
      <w:pPr>
        <w:ind w:firstLine="708"/>
        <w:jc w:val="both"/>
        <w:rPr>
          <w:lang w:val="de-DE"/>
        </w:rPr>
      </w:pPr>
      <w:r w:rsidRPr="004676F5">
        <w:rPr>
          <w:lang w:val="de-DE"/>
        </w:rPr>
        <w:lastRenderedPageBreak/>
        <w:t>§ 2 </w:t>
      </w:r>
      <w:r w:rsidR="005B7A5C" w:rsidRPr="004676F5">
        <w:rPr>
          <w:lang w:val="de-DE"/>
        </w:rPr>
        <w:t>- </w:t>
      </w:r>
      <w:r w:rsidRPr="004676F5">
        <w:rPr>
          <w:lang w:val="de-DE"/>
        </w:rPr>
        <w:t>Ein Dritter kann gegen die freie Verwendung einer Bezeichnung aus einem ihm zustehenden Recht an einer mit der Sortenbezeichnung übereinstimmenden Bezeichnung nur dann vorgehen, wenn das Recht gewährt worden war, bevor die Sortenbezeichnung nach Artikel XI.143 festgesetzt wurde.</w:t>
      </w:r>
    </w:p>
    <w:p w14:paraId="418B43DB" w14:textId="77777777" w:rsidR="001527B1" w:rsidRPr="004676F5" w:rsidRDefault="001527B1" w:rsidP="001527B1">
      <w:pPr>
        <w:ind w:firstLine="708"/>
        <w:jc w:val="both"/>
        <w:rPr>
          <w:lang w:val="de-DE"/>
        </w:rPr>
      </w:pPr>
    </w:p>
    <w:p w14:paraId="16B6F2BE" w14:textId="7A158D9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festgesetzte Bezeichnung einer Sorte, für die ein Sortenschutz besteht, oder eine mit dieser Sortenbezeichnung verwechselbare Bezeichnung darf im Gebiet der Europäischen Union im Zusammenhang mit einer anderen Sorte derselben botanischen Art oder einer verwandten Art oder für ihr Material nicht verwendet werden.</w:t>
      </w:r>
    </w:p>
    <w:p w14:paraId="038B0FC2" w14:textId="77777777" w:rsidR="001527B1" w:rsidRPr="004676F5" w:rsidRDefault="001527B1" w:rsidP="001527B1">
      <w:pPr>
        <w:ind w:firstLine="708"/>
        <w:jc w:val="both"/>
        <w:rPr>
          <w:lang w:val="de-DE"/>
        </w:rPr>
      </w:pPr>
    </w:p>
    <w:p w14:paraId="08E849D1" w14:textId="77777777" w:rsidR="001527B1" w:rsidRPr="004676F5" w:rsidRDefault="001527B1" w:rsidP="001527B1">
      <w:pPr>
        <w:ind w:firstLine="708"/>
        <w:jc w:val="both"/>
        <w:rPr>
          <w:lang w:val="de-DE"/>
        </w:rPr>
      </w:pPr>
      <w:r w:rsidRPr="004676F5">
        <w:rPr>
          <w:lang w:val="de-DE"/>
        </w:rPr>
        <w:t>Der König bestimmt, welche Arten als verwandt gelten.</w:t>
      </w:r>
    </w:p>
    <w:p w14:paraId="52647D37" w14:textId="77777777" w:rsidR="001527B1" w:rsidRPr="004676F5" w:rsidRDefault="001527B1" w:rsidP="001527B1">
      <w:pPr>
        <w:ind w:firstLine="708"/>
        <w:jc w:val="both"/>
        <w:rPr>
          <w:lang w:val="de-DE"/>
        </w:rPr>
      </w:pPr>
    </w:p>
    <w:p w14:paraId="742479D9" w14:textId="77777777" w:rsidR="00435B6C" w:rsidRPr="004676F5" w:rsidRDefault="00435B6C" w:rsidP="001527B1">
      <w:pPr>
        <w:jc w:val="center"/>
        <w:rPr>
          <w:i/>
          <w:lang w:val="de-DE"/>
        </w:rPr>
      </w:pPr>
    </w:p>
    <w:p w14:paraId="366375FD" w14:textId="259DD600" w:rsidR="001527B1" w:rsidRPr="004676F5" w:rsidRDefault="001527B1" w:rsidP="001527B1">
      <w:pPr>
        <w:jc w:val="center"/>
        <w:rPr>
          <w:lang w:val="de-DE"/>
        </w:rPr>
      </w:pPr>
      <w:r w:rsidRPr="004676F5">
        <w:rPr>
          <w:i/>
          <w:lang w:val="de-DE"/>
        </w:rPr>
        <w:t>Abschnitt 4 </w:t>
      </w:r>
      <w:r w:rsidR="005B7A5C" w:rsidRPr="004676F5">
        <w:rPr>
          <w:lang w:val="de-DE"/>
        </w:rPr>
        <w:t>- </w:t>
      </w:r>
      <w:r w:rsidRPr="004676F5">
        <w:rPr>
          <w:lang w:val="de-DE"/>
        </w:rPr>
        <w:t>Dauer und Erlöschen des Sortenschutzes</w:t>
      </w:r>
    </w:p>
    <w:p w14:paraId="20B24401" w14:textId="77777777" w:rsidR="001527B1" w:rsidRPr="004676F5" w:rsidRDefault="001527B1" w:rsidP="001527B1">
      <w:pPr>
        <w:ind w:firstLine="708"/>
        <w:jc w:val="both"/>
        <w:rPr>
          <w:lang w:val="de-DE"/>
        </w:rPr>
      </w:pPr>
    </w:p>
    <w:p w14:paraId="71E78CB6" w14:textId="77777777" w:rsidR="00435B6C" w:rsidRPr="004676F5" w:rsidRDefault="00435B6C" w:rsidP="001527B1">
      <w:pPr>
        <w:ind w:firstLine="708"/>
        <w:jc w:val="both"/>
        <w:rPr>
          <w:lang w:val="de-DE"/>
        </w:rPr>
      </w:pPr>
    </w:p>
    <w:p w14:paraId="5B0E24B7" w14:textId="0CC2F547" w:rsidR="001527B1" w:rsidRPr="004676F5" w:rsidRDefault="00BE0A56" w:rsidP="001527B1">
      <w:pPr>
        <w:ind w:firstLine="708"/>
        <w:jc w:val="both"/>
        <w:rPr>
          <w:lang w:val="de-DE"/>
        </w:rPr>
      </w:pPr>
      <w:r w:rsidRPr="004676F5">
        <w:rPr>
          <w:b/>
          <w:lang w:val="de-DE"/>
        </w:rPr>
        <w:t>Art. </w:t>
      </w:r>
      <w:r w:rsidR="001527B1" w:rsidRPr="004676F5">
        <w:rPr>
          <w:b/>
          <w:lang w:val="de-DE"/>
        </w:rPr>
        <w:t>XI.120</w:t>
      </w:r>
      <w:r w:rsidR="001527B1" w:rsidRPr="004676F5">
        <w:rPr>
          <w:lang w:val="de-DE"/>
        </w:rPr>
        <w:t> </w:t>
      </w:r>
      <w:r w:rsidR="005B7A5C" w:rsidRPr="004676F5">
        <w:rPr>
          <w:lang w:val="de-DE"/>
        </w:rPr>
        <w:t>- </w:t>
      </w:r>
      <w:r w:rsidR="001527B1" w:rsidRPr="004676F5">
        <w:rPr>
          <w:lang w:val="de-DE"/>
        </w:rPr>
        <w:t>Der Sortenschutz dauert bis zum Ende des fünfundzwanzigsten, bei Sorten von Reben, Baumarten und Kartoffeln des dreißigsten Kalenderjahres, das auf die Erteilung folgt.</w:t>
      </w:r>
    </w:p>
    <w:p w14:paraId="48A37166" w14:textId="77777777" w:rsidR="001527B1" w:rsidRPr="004676F5" w:rsidRDefault="001527B1" w:rsidP="001527B1">
      <w:pPr>
        <w:ind w:firstLine="708"/>
        <w:jc w:val="both"/>
        <w:rPr>
          <w:lang w:val="de-DE"/>
        </w:rPr>
      </w:pPr>
    </w:p>
    <w:p w14:paraId="414225A1" w14:textId="77777777" w:rsidR="00435B6C" w:rsidRPr="004676F5" w:rsidRDefault="00435B6C" w:rsidP="001527B1">
      <w:pPr>
        <w:ind w:firstLine="708"/>
        <w:jc w:val="both"/>
        <w:rPr>
          <w:lang w:val="de-DE"/>
        </w:rPr>
      </w:pPr>
    </w:p>
    <w:p w14:paraId="21AA6795" w14:textId="09DB6923" w:rsidR="001527B1" w:rsidRPr="004676F5" w:rsidRDefault="00BE0A56" w:rsidP="001527B1">
      <w:pPr>
        <w:ind w:firstLine="708"/>
        <w:jc w:val="both"/>
        <w:rPr>
          <w:lang w:val="de-DE"/>
        </w:rPr>
      </w:pPr>
      <w:r w:rsidRPr="004676F5">
        <w:rPr>
          <w:b/>
          <w:lang w:val="de-DE"/>
        </w:rPr>
        <w:t>Art. </w:t>
      </w:r>
      <w:r w:rsidR="001527B1" w:rsidRPr="004676F5">
        <w:rPr>
          <w:b/>
          <w:lang w:val="de-DE"/>
        </w:rPr>
        <w:t>XI.121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Der Inhaber kann auf den Sortenschutz </w:t>
      </w:r>
      <w:r w:rsidR="00B04019" w:rsidRPr="004676F5">
        <w:rPr>
          <w:lang w:val="de-DE"/>
        </w:rPr>
        <w:t>[durch einen an das Amt gerichteten unterzeichneten schriftlichen Antrag]</w:t>
      </w:r>
      <w:r w:rsidR="001527B1" w:rsidRPr="004676F5">
        <w:rPr>
          <w:lang w:val="de-DE"/>
        </w:rPr>
        <w:t xml:space="preserve"> verzichten.</w:t>
      </w:r>
    </w:p>
    <w:p w14:paraId="21548DA8" w14:textId="77777777" w:rsidR="001527B1" w:rsidRPr="004676F5" w:rsidRDefault="001527B1" w:rsidP="001527B1">
      <w:pPr>
        <w:ind w:firstLine="708"/>
        <w:jc w:val="both"/>
        <w:rPr>
          <w:lang w:val="de-DE"/>
        </w:rPr>
      </w:pPr>
    </w:p>
    <w:p w14:paraId="43CB274B" w14:textId="2A94ACE1"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 xml:space="preserve">Der Verzicht führt zum Erlöschen des Sortenschutzes an dem Tag, an dem </w:t>
      </w:r>
      <w:r w:rsidR="00B04019" w:rsidRPr="004676F5">
        <w:rPr>
          <w:lang w:val="de-DE"/>
        </w:rPr>
        <w:t>[der in § 1 erwähnte Antrag]</w:t>
      </w:r>
      <w:r w:rsidRPr="004676F5">
        <w:rPr>
          <w:lang w:val="de-DE"/>
        </w:rPr>
        <w:t xml:space="preserve"> bei dem Amt eingeht, und vorbehaltlich seiner Eintragung in dem in Artikel XI.152 erwähnten Register, im Folgenden "Register" genannt. Wurde aber an diesem Datum die Jahresgebühr für die Aufrechterhaltung des Sortenschutzes noch nicht entrichtet, so wird die Aufhebung des Sortenschutzes am Ende des Zeitraums wirksam, für den die letzte Jahresgebühr entrichtet worden ist.</w:t>
      </w:r>
    </w:p>
    <w:p w14:paraId="63AF4A1A" w14:textId="77777777" w:rsidR="001527B1" w:rsidRPr="004676F5" w:rsidRDefault="001527B1" w:rsidP="001527B1">
      <w:pPr>
        <w:ind w:firstLine="708"/>
        <w:jc w:val="both"/>
        <w:rPr>
          <w:lang w:val="de-DE"/>
        </w:rPr>
      </w:pPr>
    </w:p>
    <w:p w14:paraId="56BAA9D3" w14:textId="6A1F9A60"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Wenn aus den Eintragungen im Register hervorgeht, dass Personen Rechte oder Lizenzen in Bezug auf den Sortenschutz erworben haben oder eine Klage zur Geltend</w:t>
      </w:r>
      <w:r w:rsidRPr="004676F5">
        <w:rPr>
          <w:lang w:val="de-DE"/>
        </w:rPr>
        <w:softHyphen/>
        <w:t>machung des Sortenschutzes erhoben haben, kann der Verzicht nicht eingetragen werden, es sei denn, diese Personen stimmen dem Verzicht zu.</w:t>
      </w:r>
    </w:p>
    <w:p w14:paraId="5211F073" w14:textId="77777777" w:rsidR="001527B1" w:rsidRPr="004676F5" w:rsidRDefault="001527B1" w:rsidP="001527B1">
      <w:pPr>
        <w:ind w:firstLine="708"/>
        <w:jc w:val="both"/>
        <w:rPr>
          <w:lang w:val="de-DE"/>
        </w:rPr>
      </w:pPr>
    </w:p>
    <w:p w14:paraId="15423BBB" w14:textId="0FE96C74"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Bestimmungen des vorliegenden Artikels sind entsprechend anwendbar auf den Antrag auf Sortenschutz.</w:t>
      </w:r>
    </w:p>
    <w:p w14:paraId="28FA2125" w14:textId="77777777" w:rsidR="001527B1" w:rsidRPr="004676F5" w:rsidRDefault="001527B1" w:rsidP="001527B1">
      <w:pPr>
        <w:ind w:firstLine="708"/>
        <w:jc w:val="both"/>
        <w:rPr>
          <w:lang w:val="de-DE"/>
        </w:rPr>
      </w:pPr>
    </w:p>
    <w:p w14:paraId="123629A0" w14:textId="21EE8593" w:rsidR="00B04019" w:rsidRPr="004676F5" w:rsidRDefault="00B04019" w:rsidP="00B04019">
      <w:pPr>
        <w:jc w:val="both"/>
        <w:rPr>
          <w:i/>
          <w:lang w:val="de-DE"/>
        </w:rPr>
      </w:pPr>
      <w:r w:rsidRPr="004676F5">
        <w:rPr>
          <w:i/>
          <w:iCs/>
          <w:lang w:val="de-DE"/>
        </w:rPr>
        <w:t>[Art. XI.121 § 1 abgeändert durch Art. 23 Nr. 1</w:t>
      </w:r>
      <w:r w:rsidRPr="004676F5">
        <w:rPr>
          <w:i/>
          <w:lang w:val="de-DE"/>
        </w:rPr>
        <w:t xml:space="preserve"> des G. vom 2. Mai 2019 (IV) (B.S. vom 22. Mai 2019); § 2 abgeändert durch Art. 23 Nr. 2 des G. vom 2. Mai 2019 (IV) (B.S. vom 22. Mai 2019)]</w:t>
      </w:r>
    </w:p>
    <w:p w14:paraId="1915A36D" w14:textId="77777777" w:rsidR="00B04019" w:rsidRPr="004676F5" w:rsidRDefault="00B04019" w:rsidP="00B04019">
      <w:pPr>
        <w:jc w:val="both"/>
        <w:rPr>
          <w:i/>
          <w:iCs/>
          <w:lang w:val="de-DE"/>
        </w:rPr>
      </w:pPr>
    </w:p>
    <w:p w14:paraId="1ED6425D" w14:textId="77777777" w:rsidR="00435B6C" w:rsidRPr="004676F5" w:rsidRDefault="00435B6C" w:rsidP="001527B1">
      <w:pPr>
        <w:ind w:firstLine="708"/>
        <w:jc w:val="both"/>
        <w:rPr>
          <w:lang w:val="de-DE"/>
        </w:rPr>
      </w:pPr>
    </w:p>
    <w:p w14:paraId="1CBCACEC" w14:textId="1063D4B4" w:rsidR="001527B1" w:rsidRPr="004676F5" w:rsidRDefault="00BE0A56" w:rsidP="001527B1">
      <w:pPr>
        <w:ind w:firstLine="708"/>
        <w:jc w:val="both"/>
        <w:rPr>
          <w:lang w:val="de-DE"/>
        </w:rPr>
      </w:pPr>
      <w:r w:rsidRPr="004676F5">
        <w:rPr>
          <w:b/>
          <w:lang w:val="de-DE"/>
        </w:rPr>
        <w:t>Art. </w:t>
      </w:r>
      <w:r w:rsidR="001527B1" w:rsidRPr="004676F5">
        <w:rPr>
          <w:b/>
          <w:lang w:val="de-DE"/>
        </w:rPr>
        <w:t>XI.122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Sortenschutz wird vom Gericht für nichtig erklärt, wenn:</w:t>
      </w:r>
    </w:p>
    <w:p w14:paraId="0D42A9FC" w14:textId="77777777" w:rsidR="001527B1" w:rsidRPr="004676F5" w:rsidRDefault="001527B1" w:rsidP="001527B1">
      <w:pPr>
        <w:ind w:firstLine="708"/>
        <w:jc w:val="both"/>
        <w:rPr>
          <w:lang w:val="de-DE"/>
        </w:rPr>
      </w:pPr>
    </w:p>
    <w:p w14:paraId="517FF0A1" w14:textId="77777777" w:rsidR="001527B1" w:rsidRPr="004676F5" w:rsidRDefault="001527B1" w:rsidP="001527B1">
      <w:pPr>
        <w:ind w:firstLine="708"/>
        <w:jc w:val="both"/>
        <w:rPr>
          <w:lang w:val="de-DE"/>
        </w:rPr>
      </w:pPr>
      <w:r w:rsidRPr="004676F5">
        <w:rPr>
          <w:lang w:val="de-DE"/>
        </w:rPr>
        <w:t>1. die in Artikel XI.106 oder XI.109 genannten Voraussetzungen bei der Erteilung des Sortenschutzes nicht erfüllt waren oder</w:t>
      </w:r>
    </w:p>
    <w:p w14:paraId="343F204A" w14:textId="77777777" w:rsidR="001527B1" w:rsidRPr="004676F5" w:rsidRDefault="001527B1" w:rsidP="001527B1">
      <w:pPr>
        <w:ind w:firstLine="708"/>
        <w:jc w:val="both"/>
        <w:rPr>
          <w:lang w:val="de-DE"/>
        </w:rPr>
      </w:pPr>
    </w:p>
    <w:p w14:paraId="74C67B84" w14:textId="77777777" w:rsidR="001527B1" w:rsidRPr="004676F5" w:rsidRDefault="001527B1" w:rsidP="001527B1">
      <w:pPr>
        <w:ind w:firstLine="708"/>
        <w:jc w:val="both"/>
        <w:rPr>
          <w:lang w:val="de-DE"/>
        </w:rPr>
      </w:pPr>
      <w:r w:rsidRPr="004676F5">
        <w:rPr>
          <w:lang w:val="de-DE"/>
        </w:rPr>
        <w:t>2. in den Fällen, in denen der Sortenschutz im Wesentlichen aufgrund von Informa</w:t>
      </w:r>
      <w:r w:rsidRPr="004676F5">
        <w:rPr>
          <w:lang w:val="de-DE"/>
        </w:rPr>
        <w:softHyphen/>
        <w:t xml:space="preserve">tionen und Unterlagen erteilt wurde, die der Antragsteller vorgelegt hat, die Voraussetzungen </w:t>
      </w:r>
      <w:r w:rsidRPr="004676F5">
        <w:rPr>
          <w:lang w:val="de-DE"/>
        </w:rPr>
        <w:lastRenderedPageBreak/>
        <w:t>der Artikel XI.107 und XI.108 zum Zeitpunkt der Erteilung des Sortenschutzes nicht tatsächlich erfüllt waren oder</w:t>
      </w:r>
    </w:p>
    <w:p w14:paraId="7D7D5F7A" w14:textId="77777777" w:rsidR="001527B1" w:rsidRPr="004676F5" w:rsidRDefault="001527B1" w:rsidP="001527B1">
      <w:pPr>
        <w:ind w:firstLine="708"/>
        <w:jc w:val="both"/>
        <w:rPr>
          <w:lang w:val="de-DE"/>
        </w:rPr>
      </w:pPr>
    </w:p>
    <w:p w14:paraId="4DC4B425" w14:textId="77777777" w:rsidR="001527B1" w:rsidRPr="004676F5" w:rsidRDefault="001527B1" w:rsidP="001527B1">
      <w:pPr>
        <w:ind w:firstLine="708"/>
        <w:jc w:val="both"/>
        <w:rPr>
          <w:lang w:val="de-DE"/>
        </w:rPr>
      </w:pPr>
      <w:r w:rsidRPr="004676F5">
        <w:rPr>
          <w:lang w:val="de-DE"/>
        </w:rPr>
        <w:t>3. der Sortenschutz einer Person gewährt wurde, die keinen Anspruch darauf hat, es sei denn, dass das Recht auf die Person übertragen wird, die den berechtigten Anspruch geltend machen kann.</w:t>
      </w:r>
    </w:p>
    <w:p w14:paraId="0E3FCDC8" w14:textId="77777777" w:rsidR="001527B1" w:rsidRPr="004676F5" w:rsidRDefault="001527B1" w:rsidP="001527B1">
      <w:pPr>
        <w:ind w:firstLine="708"/>
        <w:jc w:val="both"/>
        <w:rPr>
          <w:lang w:val="de-DE"/>
        </w:rPr>
      </w:pPr>
    </w:p>
    <w:p w14:paraId="40C61912" w14:textId="1B04DAD0"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 xml:space="preserve">Wird der Sortenschutz für nichtig erklärt, so gelten seine in vorliegendem Gesetz </w:t>
      </w:r>
      <w:r w:rsidRPr="004676F5">
        <w:rPr>
          <w:i/>
          <w:lang w:val="de-DE"/>
        </w:rPr>
        <w:t>[sic, zu lesen ist: Titel]</w:t>
      </w:r>
      <w:r w:rsidRPr="004676F5">
        <w:rPr>
          <w:lang w:val="de-DE"/>
        </w:rPr>
        <w:t xml:space="preserve"> vorgesehenen Wirkungen als von Beginn an nicht eingetreten.</w:t>
      </w:r>
    </w:p>
    <w:p w14:paraId="0ABC8FD9" w14:textId="77777777" w:rsidR="001527B1" w:rsidRPr="004676F5" w:rsidRDefault="001527B1" w:rsidP="001527B1">
      <w:pPr>
        <w:ind w:firstLine="708"/>
        <w:jc w:val="both"/>
        <w:rPr>
          <w:lang w:val="de-DE"/>
        </w:rPr>
      </w:pPr>
    </w:p>
    <w:p w14:paraId="7EE7362B" w14:textId="77777777" w:rsidR="00435B6C" w:rsidRPr="004676F5" w:rsidRDefault="00435B6C" w:rsidP="001527B1">
      <w:pPr>
        <w:ind w:firstLine="708"/>
        <w:jc w:val="both"/>
        <w:rPr>
          <w:lang w:val="de-DE"/>
        </w:rPr>
      </w:pPr>
    </w:p>
    <w:p w14:paraId="0716149F" w14:textId="714F01FB" w:rsidR="001527B1" w:rsidRPr="004676F5" w:rsidRDefault="00BE0A56" w:rsidP="001527B1">
      <w:pPr>
        <w:ind w:firstLine="708"/>
        <w:jc w:val="both"/>
        <w:rPr>
          <w:lang w:val="de-DE"/>
        </w:rPr>
      </w:pPr>
      <w:r w:rsidRPr="004676F5">
        <w:rPr>
          <w:b/>
          <w:lang w:val="de-DE"/>
        </w:rPr>
        <w:t>Art. </w:t>
      </w:r>
      <w:r w:rsidR="001527B1" w:rsidRPr="004676F5">
        <w:rPr>
          <w:b/>
          <w:lang w:val="de-DE"/>
        </w:rPr>
        <w:t>XI.123</w:t>
      </w:r>
      <w:r w:rsidR="001527B1" w:rsidRPr="004676F5">
        <w:rPr>
          <w:lang w:val="de-DE"/>
        </w:rPr>
        <w:t> </w:t>
      </w:r>
      <w:r w:rsidR="005B7A5C" w:rsidRPr="004676F5">
        <w:rPr>
          <w:lang w:val="de-DE"/>
        </w:rPr>
        <w:t>- </w:t>
      </w:r>
      <w:r w:rsidR="001527B1" w:rsidRPr="004676F5">
        <w:rPr>
          <w:lang w:val="de-DE"/>
        </w:rPr>
        <w:t>§ 1 -Wenn der Inhaber die in Artikel XI.151 vorgesehene Jahresgebühr nicht innerhalb des vorgeschriebenen Zeitraums entrichtet, werden seine Rechte von Rechts wegen aufgehoben. Die Aufhebung wird wirksam mit dem Fälligkeitstag der nicht entrichteten Jahresgebühr.</w:t>
      </w:r>
    </w:p>
    <w:p w14:paraId="7521DB1F" w14:textId="77777777" w:rsidR="001527B1" w:rsidRPr="004676F5" w:rsidRDefault="001527B1" w:rsidP="001527B1">
      <w:pPr>
        <w:ind w:firstLine="708"/>
        <w:jc w:val="both"/>
        <w:rPr>
          <w:lang w:val="de-DE"/>
        </w:rPr>
      </w:pPr>
    </w:p>
    <w:p w14:paraId="2EE0196B" w14:textId="067AFD35"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Gericht hebt den Sortenschutz mit Wirkung ex nunc auf, wenn festgestellt wird, dass die in Artikel XI.107 oder XI.108 genannten Voraussetzungen nicht mehr erfüllt sind.</w:t>
      </w:r>
    </w:p>
    <w:p w14:paraId="663BD9BD" w14:textId="77777777" w:rsidR="001527B1" w:rsidRPr="004676F5" w:rsidRDefault="001527B1" w:rsidP="001527B1">
      <w:pPr>
        <w:ind w:firstLine="708"/>
        <w:jc w:val="both"/>
        <w:rPr>
          <w:lang w:val="de-DE"/>
        </w:rPr>
      </w:pPr>
    </w:p>
    <w:p w14:paraId="211D0686" w14:textId="77777777" w:rsidR="001527B1" w:rsidRPr="004676F5" w:rsidRDefault="001527B1" w:rsidP="001527B1">
      <w:pPr>
        <w:ind w:firstLine="708"/>
        <w:jc w:val="both"/>
        <w:rPr>
          <w:lang w:val="de-DE"/>
        </w:rPr>
      </w:pPr>
      <w:r w:rsidRPr="004676F5">
        <w:rPr>
          <w:lang w:val="de-DE"/>
        </w:rPr>
        <w:t>Wird festgestellt, dass diese Voraussetzungen schon von einem vor der Aufhebung liegenden Zeitpunkt an nicht mehr erfüllt waren, so kann die Aufhebung mit Wirkung von diesem Zeitpunkt an erfolgen.</w:t>
      </w:r>
    </w:p>
    <w:p w14:paraId="718FF481" w14:textId="77777777" w:rsidR="001527B1" w:rsidRPr="004676F5" w:rsidRDefault="001527B1" w:rsidP="001527B1">
      <w:pPr>
        <w:ind w:firstLine="708"/>
        <w:jc w:val="both"/>
        <w:rPr>
          <w:lang w:val="de-DE"/>
        </w:rPr>
      </w:pPr>
    </w:p>
    <w:p w14:paraId="3AA3F10D" w14:textId="25A82FA5"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Das Amt kann den Sortenschutz mit Wirkung ex nunc aufheben, wenn der Inhaber nach einer entsprechenden Aufforderung innerhalb einer vertretbaren Frist, die ihm notifiziert wird:</w:t>
      </w:r>
    </w:p>
    <w:p w14:paraId="3E6340B0" w14:textId="77777777" w:rsidR="001527B1" w:rsidRPr="004676F5" w:rsidRDefault="001527B1" w:rsidP="001527B1">
      <w:pPr>
        <w:ind w:firstLine="708"/>
        <w:jc w:val="both"/>
        <w:rPr>
          <w:lang w:val="de-DE"/>
        </w:rPr>
      </w:pPr>
    </w:p>
    <w:p w14:paraId="00B565ED" w14:textId="77777777" w:rsidR="001527B1" w:rsidRPr="004676F5" w:rsidRDefault="001527B1" w:rsidP="001527B1">
      <w:pPr>
        <w:ind w:firstLine="708"/>
        <w:jc w:val="both"/>
        <w:rPr>
          <w:lang w:val="de-DE"/>
        </w:rPr>
      </w:pPr>
      <w:r w:rsidRPr="004676F5">
        <w:rPr>
          <w:lang w:val="de-DE"/>
        </w:rPr>
        <w:t>1. die Verpflichtung nach Artikel XI.144 § 1 nicht erfüllt hat oder</w:t>
      </w:r>
    </w:p>
    <w:p w14:paraId="4A13DB3C" w14:textId="77777777" w:rsidR="001527B1" w:rsidRPr="004676F5" w:rsidRDefault="001527B1" w:rsidP="001527B1">
      <w:pPr>
        <w:ind w:firstLine="708"/>
        <w:jc w:val="both"/>
        <w:rPr>
          <w:lang w:val="de-DE"/>
        </w:rPr>
      </w:pPr>
    </w:p>
    <w:p w14:paraId="76CE7818" w14:textId="77777777" w:rsidR="001527B1" w:rsidRPr="004676F5" w:rsidRDefault="001527B1" w:rsidP="001527B1">
      <w:pPr>
        <w:ind w:firstLine="708"/>
        <w:jc w:val="both"/>
        <w:rPr>
          <w:lang w:val="de-DE"/>
        </w:rPr>
      </w:pPr>
      <w:r w:rsidRPr="004676F5">
        <w:rPr>
          <w:lang w:val="de-DE"/>
        </w:rPr>
        <w:t>2. auf die Anforderung des Amtes im Hinblick auf die Nachprüfung des Fortbestehens der Sorte gemäß Artikel XI.145 § 3 nicht reagiert oder</w:t>
      </w:r>
    </w:p>
    <w:p w14:paraId="69E21A37" w14:textId="77777777" w:rsidR="001527B1" w:rsidRPr="004676F5" w:rsidRDefault="001527B1" w:rsidP="001527B1">
      <w:pPr>
        <w:ind w:firstLine="708"/>
        <w:jc w:val="both"/>
        <w:rPr>
          <w:lang w:val="de-DE"/>
        </w:rPr>
      </w:pPr>
    </w:p>
    <w:p w14:paraId="2214A698" w14:textId="77777777" w:rsidR="001527B1" w:rsidRPr="004676F5" w:rsidRDefault="001527B1" w:rsidP="001527B1">
      <w:pPr>
        <w:ind w:firstLine="708"/>
        <w:jc w:val="both"/>
        <w:rPr>
          <w:lang w:val="de-DE"/>
        </w:rPr>
      </w:pPr>
      <w:r w:rsidRPr="004676F5">
        <w:rPr>
          <w:lang w:val="de-DE"/>
        </w:rPr>
        <w:t>3. keine andere vertretbare Sortenbezeichnung vorschlägt, falls das Amt die Streichung der Bezeichnung in Erwägung zieht.</w:t>
      </w:r>
    </w:p>
    <w:p w14:paraId="0D47DD4E" w14:textId="77777777" w:rsidR="001527B1" w:rsidRPr="004676F5" w:rsidRDefault="001527B1" w:rsidP="001527B1">
      <w:pPr>
        <w:ind w:firstLine="708"/>
        <w:jc w:val="both"/>
        <w:rPr>
          <w:lang w:val="de-DE"/>
        </w:rPr>
      </w:pPr>
    </w:p>
    <w:p w14:paraId="1901A2C6" w14:textId="570FE796"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Mit Ausnahme der Fälle gemäß den Paragraphen 1 und 2 wird die Aufhebung an dem Datum wirksam, das in der in § 3 erwähnten Notifizierung vermerkt ist, vorbehaltlich ihrer Eintragung im Register.</w:t>
      </w:r>
    </w:p>
    <w:p w14:paraId="6ECE4A90" w14:textId="77777777" w:rsidR="001527B1" w:rsidRPr="004676F5" w:rsidRDefault="001527B1" w:rsidP="001527B1">
      <w:pPr>
        <w:ind w:firstLine="708"/>
        <w:jc w:val="both"/>
        <w:rPr>
          <w:lang w:val="de-DE"/>
        </w:rPr>
      </w:pPr>
    </w:p>
    <w:p w14:paraId="7B0F5ED6" w14:textId="77777777" w:rsidR="00435B6C" w:rsidRPr="004676F5" w:rsidRDefault="00435B6C" w:rsidP="001527B1">
      <w:pPr>
        <w:ind w:firstLine="708"/>
        <w:jc w:val="both"/>
        <w:rPr>
          <w:lang w:val="de-DE"/>
        </w:rPr>
      </w:pPr>
    </w:p>
    <w:p w14:paraId="17B62092" w14:textId="2B3FC595" w:rsidR="001527B1" w:rsidRPr="004676F5" w:rsidRDefault="001527B1" w:rsidP="001527B1">
      <w:pPr>
        <w:jc w:val="center"/>
        <w:rPr>
          <w:lang w:val="de-DE"/>
        </w:rPr>
      </w:pPr>
      <w:r w:rsidRPr="004676F5">
        <w:rPr>
          <w:i/>
          <w:lang w:val="de-DE"/>
        </w:rPr>
        <w:t>Abschnitt 5 </w:t>
      </w:r>
      <w:r w:rsidR="005B7A5C" w:rsidRPr="004676F5">
        <w:rPr>
          <w:lang w:val="de-DE"/>
        </w:rPr>
        <w:t>- </w:t>
      </w:r>
      <w:r w:rsidRPr="004676F5">
        <w:rPr>
          <w:lang w:val="de-DE"/>
        </w:rPr>
        <w:t>Sortenschutz als Vermögensgegenstand</w:t>
      </w:r>
    </w:p>
    <w:p w14:paraId="410C3903" w14:textId="77777777" w:rsidR="001527B1" w:rsidRPr="004676F5" w:rsidRDefault="001527B1" w:rsidP="001527B1">
      <w:pPr>
        <w:ind w:firstLine="708"/>
        <w:jc w:val="both"/>
        <w:rPr>
          <w:lang w:val="de-DE"/>
        </w:rPr>
      </w:pPr>
    </w:p>
    <w:p w14:paraId="0CF3F5DE" w14:textId="77777777" w:rsidR="00435B6C" w:rsidRPr="004676F5" w:rsidRDefault="00435B6C" w:rsidP="001527B1">
      <w:pPr>
        <w:ind w:firstLine="708"/>
        <w:jc w:val="both"/>
        <w:rPr>
          <w:lang w:val="de-DE"/>
        </w:rPr>
      </w:pPr>
    </w:p>
    <w:p w14:paraId="062C0DF5" w14:textId="6CD3DEE2" w:rsidR="001527B1" w:rsidRPr="004676F5" w:rsidRDefault="00BE0A56" w:rsidP="001527B1">
      <w:pPr>
        <w:ind w:firstLine="708"/>
        <w:jc w:val="both"/>
        <w:rPr>
          <w:lang w:val="de-DE"/>
        </w:rPr>
      </w:pPr>
      <w:r w:rsidRPr="004676F5">
        <w:rPr>
          <w:b/>
          <w:lang w:val="de-DE"/>
        </w:rPr>
        <w:t>Art. </w:t>
      </w:r>
      <w:r w:rsidR="001527B1" w:rsidRPr="004676F5">
        <w:rPr>
          <w:b/>
          <w:lang w:val="de-DE"/>
        </w:rPr>
        <w:t>XI.124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 Antrag auf Sortenschutz und ein Sortenschutz können Gegenstand eines Rechtsübergangs auf einen oder mehrere Rechtsinhaber beziehungsweise Rechtsnachfolger sein.</w:t>
      </w:r>
    </w:p>
    <w:p w14:paraId="63202E58" w14:textId="77777777" w:rsidR="001527B1" w:rsidRPr="004676F5" w:rsidRDefault="001527B1" w:rsidP="001527B1">
      <w:pPr>
        <w:ind w:firstLine="708"/>
        <w:jc w:val="both"/>
        <w:rPr>
          <w:lang w:val="de-DE"/>
        </w:rPr>
      </w:pPr>
    </w:p>
    <w:p w14:paraId="649EC49A" w14:textId="6E16444E"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Eine rechtsgeschäftliche Übertragung unter Lebenden eines Antrags oder eines Sortenschutzes muss zur Vermeidung der Nichtigkeit schriftlich erfolgen.</w:t>
      </w:r>
    </w:p>
    <w:p w14:paraId="39E93198" w14:textId="77777777" w:rsidR="001527B1" w:rsidRPr="004676F5" w:rsidRDefault="001527B1" w:rsidP="001527B1">
      <w:pPr>
        <w:ind w:firstLine="708"/>
        <w:jc w:val="both"/>
        <w:rPr>
          <w:lang w:val="de-DE"/>
        </w:rPr>
      </w:pPr>
    </w:p>
    <w:p w14:paraId="42207267" w14:textId="38D4B4B6" w:rsidR="001527B1" w:rsidRPr="004676F5" w:rsidRDefault="001527B1" w:rsidP="001527B1">
      <w:pPr>
        <w:ind w:firstLine="708"/>
        <w:jc w:val="both"/>
        <w:rPr>
          <w:lang w:val="de-DE"/>
        </w:rPr>
      </w:pPr>
      <w:r w:rsidRPr="004676F5">
        <w:rPr>
          <w:lang w:val="de-DE"/>
        </w:rPr>
        <w:lastRenderedPageBreak/>
        <w:t>§ 3 </w:t>
      </w:r>
      <w:r w:rsidR="005B7A5C" w:rsidRPr="004676F5">
        <w:rPr>
          <w:lang w:val="de-DE"/>
        </w:rPr>
        <w:t>- </w:t>
      </w:r>
      <w:r w:rsidRPr="004676F5">
        <w:rPr>
          <w:lang w:val="de-DE"/>
        </w:rPr>
        <w:t>Vorbehaltlich des Artikels XI.160 berührt ein Rechtsübergang nicht die Rechte Dritter, die vor dem Zeitpunkt des Rechtsübergangs erworben wurden.</w:t>
      </w:r>
    </w:p>
    <w:p w14:paraId="71D1BF9E" w14:textId="77777777" w:rsidR="001527B1" w:rsidRPr="004676F5" w:rsidRDefault="001527B1" w:rsidP="001527B1">
      <w:pPr>
        <w:ind w:firstLine="708"/>
        <w:jc w:val="both"/>
        <w:rPr>
          <w:lang w:val="de-DE"/>
        </w:rPr>
      </w:pPr>
    </w:p>
    <w:p w14:paraId="16B10750" w14:textId="5FC5D0E0"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Ein Rechtsübergang muss dem Amt in den Formen und innerhalb der Fristen, die vom König festgelegt werden, notifiziert werden.</w:t>
      </w:r>
    </w:p>
    <w:p w14:paraId="207245BB" w14:textId="77777777" w:rsidR="001527B1" w:rsidRPr="004676F5" w:rsidRDefault="001527B1" w:rsidP="001527B1">
      <w:pPr>
        <w:ind w:firstLine="708"/>
        <w:jc w:val="both"/>
        <w:rPr>
          <w:lang w:val="de-DE"/>
        </w:rPr>
      </w:pPr>
    </w:p>
    <w:p w14:paraId="5AE9DD37" w14:textId="4D498C6B"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Ein Rechtsübergang wird gegenüber dem Amt erst wirksam und kann Dritten erst entgegengehalten werden, wenn die vom König vorgeschriebenen Unterlagen beim Amt eingegangen sind und vorbehaltlich seiner Eintragung im Register. Jedoch kann ein Rechtsübergang, der noch nicht im Register eingetragen ist, Dritten entgegengehalten werden, die Rechte nach dem Zeitpunkt des Rechtsübergangs erworben haben, aber zum Zeitpunkt des Erwerbs dieser Rechte von dem Rechtsübergang Kenntnis hatten.</w:t>
      </w:r>
    </w:p>
    <w:p w14:paraId="58D86F5B" w14:textId="77777777" w:rsidR="001527B1" w:rsidRPr="004676F5" w:rsidRDefault="001527B1" w:rsidP="001527B1">
      <w:pPr>
        <w:ind w:firstLine="708"/>
        <w:jc w:val="both"/>
        <w:rPr>
          <w:lang w:val="de-DE"/>
        </w:rPr>
      </w:pPr>
    </w:p>
    <w:p w14:paraId="0234D0E0" w14:textId="77777777" w:rsidR="00435B6C" w:rsidRPr="004676F5" w:rsidRDefault="00435B6C" w:rsidP="001527B1">
      <w:pPr>
        <w:ind w:firstLine="708"/>
        <w:jc w:val="both"/>
        <w:rPr>
          <w:lang w:val="de-DE"/>
        </w:rPr>
      </w:pPr>
    </w:p>
    <w:p w14:paraId="3F3DDA8C" w14:textId="7817C4BA" w:rsidR="001527B1" w:rsidRPr="004676F5" w:rsidRDefault="00BE0A56" w:rsidP="001527B1">
      <w:pPr>
        <w:ind w:firstLine="708"/>
        <w:jc w:val="both"/>
        <w:rPr>
          <w:lang w:val="de-DE"/>
        </w:rPr>
      </w:pPr>
      <w:r w:rsidRPr="004676F5">
        <w:rPr>
          <w:b/>
          <w:lang w:val="de-DE"/>
        </w:rPr>
        <w:t>Art. </w:t>
      </w:r>
      <w:r w:rsidR="001527B1" w:rsidRPr="004676F5">
        <w:rPr>
          <w:b/>
          <w:lang w:val="de-DE"/>
        </w:rPr>
        <w:t>XI.125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 Antrag auf Sortenschutz oder ein Sortenschutz kann ganz oder teilweise Gegenstand von vertraglichen Lizenzen sein, auch Nutzungsrechte genannt. Eine Lizenz kann ausschließlich oder nicht ausschließlich sein.</w:t>
      </w:r>
    </w:p>
    <w:p w14:paraId="42F5F70A" w14:textId="77777777" w:rsidR="001527B1" w:rsidRPr="004676F5" w:rsidRDefault="001527B1" w:rsidP="001527B1">
      <w:pPr>
        <w:ind w:firstLine="708"/>
        <w:jc w:val="both"/>
        <w:rPr>
          <w:lang w:val="de-DE"/>
        </w:rPr>
      </w:pPr>
    </w:p>
    <w:p w14:paraId="711324BB" w14:textId="1CDF003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Lizenzen müssen zur Vermeidung der Nichtigkeit schriftlich erteilt werden.</w:t>
      </w:r>
    </w:p>
    <w:p w14:paraId="0674FB92" w14:textId="77777777" w:rsidR="001527B1" w:rsidRPr="004676F5" w:rsidRDefault="001527B1" w:rsidP="001527B1">
      <w:pPr>
        <w:ind w:firstLine="708"/>
        <w:jc w:val="both"/>
        <w:rPr>
          <w:lang w:val="de-DE"/>
        </w:rPr>
      </w:pPr>
    </w:p>
    <w:p w14:paraId="50E3B73A" w14:textId="703D1958"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Antragsteller oder der Inhaber notifiziert dem Amt unverzüglich in Belgien erteilte Lizenzen in der vom König festgelegten Weise.</w:t>
      </w:r>
    </w:p>
    <w:p w14:paraId="4AF905D6" w14:textId="77777777" w:rsidR="001527B1" w:rsidRPr="004676F5" w:rsidRDefault="001527B1" w:rsidP="001527B1">
      <w:pPr>
        <w:ind w:firstLine="708"/>
        <w:jc w:val="both"/>
        <w:rPr>
          <w:lang w:val="de-DE"/>
        </w:rPr>
      </w:pPr>
    </w:p>
    <w:p w14:paraId="4E61AD72" w14:textId="35EB7FC6"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Lizenzen werden gegenüber dem Amt erst wirksam und können Dritten erst entgegengehalten werden, wenn die in § 3 erwähnte Notifizierung beim Amt eingegangen ist und vorbehaltlich ihrer Eintragung im Register. Jedoch kann eine Lizenz, die noch nicht im Register eingetragen ist, Dritten entgegengehalten werden, die Rechte nach dem Zeitpunkt der Erteilung der Lizenz erworben haben, aber zum Zeitpunkt des Erwerbs dieser Rechte von der erteilten Lizenz Kenntnis hatten.</w:t>
      </w:r>
    </w:p>
    <w:p w14:paraId="1447CBED" w14:textId="77777777" w:rsidR="001527B1" w:rsidRPr="004676F5" w:rsidRDefault="001527B1" w:rsidP="001527B1">
      <w:pPr>
        <w:ind w:firstLine="708"/>
        <w:jc w:val="both"/>
        <w:rPr>
          <w:lang w:val="de-DE"/>
        </w:rPr>
      </w:pPr>
    </w:p>
    <w:p w14:paraId="216710F3" w14:textId="3BFBEB23"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Gegen einen Lizenznehmer, der gegen eine Bedingung oder Beschränkung seiner Lizenz verstößt, kann der Antragsteller oder der Inhaber das Recht aus dem Antrag oder dem Sortenschutz geltend machen.</w:t>
      </w:r>
    </w:p>
    <w:p w14:paraId="0A02098E" w14:textId="77777777" w:rsidR="001527B1" w:rsidRPr="004676F5" w:rsidRDefault="001527B1" w:rsidP="001527B1">
      <w:pPr>
        <w:ind w:firstLine="708"/>
        <w:jc w:val="both"/>
        <w:rPr>
          <w:lang w:val="de-DE"/>
        </w:rPr>
      </w:pPr>
    </w:p>
    <w:p w14:paraId="0B3546CF" w14:textId="77777777" w:rsidR="00435B6C" w:rsidRPr="004676F5" w:rsidRDefault="00435B6C" w:rsidP="001527B1">
      <w:pPr>
        <w:ind w:firstLine="708"/>
        <w:jc w:val="both"/>
        <w:rPr>
          <w:lang w:val="de-DE"/>
        </w:rPr>
      </w:pPr>
    </w:p>
    <w:p w14:paraId="15EA2BD9" w14:textId="404BD3FE" w:rsidR="001527B1" w:rsidRPr="004676F5" w:rsidRDefault="00BE0A56" w:rsidP="001527B1">
      <w:pPr>
        <w:ind w:firstLine="708"/>
        <w:jc w:val="both"/>
        <w:rPr>
          <w:lang w:val="de-DE"/>
        </w:rPr>
      </w:pPr>
      <w:r w:rsidRPr="004676F5">
        <w:rPr>
          <w:b/>
          <w:lang w:val="de-DE"/>
        </w:rPr>
        <w:t>Art. </w:t>
      </w:r>
      <w:r w:rsidR="001527B1" w:rsidRPr="004676F5">
        <w:rPr>
          <w:b/>
          <w:lang w:val="de-DE"/>
        </w:rPr>
        <w:t>XI.126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Minister kann eine nicht ausschließliche Zwangslizenz, auch Zwangsnutzungsrecht genannt, für eine durch Sortenschutz geschützte Pflanzensorte folgenden Personen erteilen:</w:t>
      </w:r>
    </w:p>
    <w:p w14:paraId="53A0E398" w14:textId="77777777" w:rsidR="001527B1" w:rsidRPr="004676F5" w:rsidRDefault="001527B1" w:rsidP="001527B1">
      <w:pPr>
        <w:ind w:firstLine="708"/>
        <w:jc w:val="both"/>
        <w:rPr>
          <w:lang w:val="de-DE"/>
        </w:rPr>
      </w:pPr>
    </w:p>
    <w:p w14:paraId="5E482E29" w14:textId="77777777" w:rsidR="001527B1" w:rsidRPr="004676F5" w:rsidRDefault="001527B1" w:rsidP="001527B1">
      <w:pPr>
        <w:ind w:firstLine="708"/>
        <w:jc w:val="both"/>
        <w:rPr>
          <w:lang w:val="de-DE"/>
        </w:rPr>
      </w:pPr>
      <w:r w:rsidRPr="004676F5">
        <w:rPr>
          <w:lang w:val="de-DE"/>
        </w:rPr>
        <w:t>1. der Person oder den Personen, die auf die vom König festgelegte Weise einen diesbezüglichen Antrag stellt beziehungsweise stellen, aber nur aus Gründen des öffentlichen Interesses und zu angemessenen Bedingungen. Der König kann bestimmte Beispiele für Lizenzen des öffentlichen Interesses anführen,</w:t>
      </w:r>
    </w:p>
    <w:p w14:paraId="121FC2F9" w14:textId="77777777" w:rsidR="001527B1" w:rsidRPr="004676F5" w:rsidRDefault="001527B1" w:rsidP="001527B1">
      <w:pPr>
        <w:ind w:firstLine="708"/>
        <w:jc w:val="both"/>
        <w:rPr>
          <w:lang w:val="de-DE"/>
        </w:rPr>
      </w:pPr>
    </w:p>
    <w:p w14:paraId="67878965" w14:textId="77777777" w:rsidR="001527B1" w:rsidRPr="004676F5" w:rsidRDefault="001527B1" w:rsidP="001527B1">
      <w:pPr>
        <w:ind w:firstLine="708"/>
        <w:jc w:val="both"/>
        <w:rPr>
          <w:lang w:val="de-DE"/>
        </w:rPr>
      </w:pPr>
      <w:r w:rsidRPr="004676F5">
        <w:rPr>
          <w:lang w:val="de-DE"/>
        </w:rPr>
        <w:t>2. dem Inhaber des Sortenschutzes für eine im Wesentlichen abgeleitete Sorte, wenn die Anforderungen von Nr. 1 erfüllt sind,</w:t>
      </w:r>
    </w:p>
    <w:p w14:paraId="55AED7B5" w14:textId="77777777" w:rsidR="001527B1" w:rsidRPr="004676F5" w:rsidRDefault="001527B1" w:rsidP="001527B1">
      <w:pPr>
        <w:ind w:firstLine="708"/>
        <w:jc w:val="both"/>
        <w:rPr>
          <w:lang w:val="de-DE"/>
        </w:rPr>
      </w:pPr>
    </w:p>
    <w:p w14:paraId="2F9629CD" w14:textId="77777777" w:rsidR="001527B1" w:rsidRPr="004676F5" w:rsidRDefault="001527B1" w:rsidP="001527B1">
      <w:pPr>
        <w:ind w:firstLine="708"/>
        <w:jc w:val="both"/>
        <w:rPr>
          <w:lang w:val="de-DE"/>
        </w:rPr>
      </w:pPr>
      <w:r w:rsidRPr="004676F5">
        <w:rPr>
          <w:lang w:val="de-DE"/>
        </w:rPr>
        <w:t>3. dem Inhaber eines Patents für eine biotechnologische Erfindung, der diese nicht verwerten kann, ohne einen früher erteilten Sortenschutz zu verletzen, insofern die biotechnologische Erfindung einen bedeutenden technischen Fortschritt von erheblichem wirtschaftlichem Interesse gegenüber der geschützten Pflanzensorte darstellt und diese Lizenz hauptsächlich für die Inlandversorgung erteilt wird,</w:t>
      </w:r>
    </w:p>
    <w:p w14:paraId="2ECE584B" w14:textId="77777777" w:rsidR="001527B1" w:rsidRPr="004676F5" w:rsidRDefault="001527B1" w:rsidP="001527B1">
      <w:pPr>
        <w:ind w:firstLine="708"/>
        <w:jc w:val="both"/>
        <w:rPr>
          <w:lang w:val="de-DE"/>
        </w:rPr>
      </w:pPr>
    </w:p>
    <w:p w14:paraId="3D1DFF47" w14:textId="77777777" w:rsidR="001527B1" w:rsidRPr="004676F5" w:rsidRDefault="001527B1" w:rsidP="001527B1">
      <w:pPr>
        <w:ind w:firstLine="708"/>
        <w:jc w:val="both"/>
        <w:rPr>
          <w:lang w:val="de-DE"/>
        </w:rPr>
      </w:pPr>
      <w:r w:rsidRPr="004676F5">
        <w:rPr>
          <w:lang w:val="de-DE"/>
        </w:rPr>
        <w:t>4. dem Inhaber des Patents für eine biotechnologische Erfindung, wenn dem Sortenschutzinhaber gemäß den Bestimmungen des Gesetzes über die Erfindungspatente eine nicht ausschließliche Zwangslizenz für die patentgeschützte Erfindung erteilt wurde, weil er diesen Sortenschutz nicht verwerten kann, ohne das früher erteilte Patent zu verletzen und insofern diese Lizenz hauptsächlich für die Inlandversorgung erteilt wird.</w:t>
      </w:r>
    </w:p>
    <w:p w14:paraId="42D70BF4" w14:textId="77777777" w:rsidR="001527B1" w:rsidRPr="004676F5" w:rsidRDefault="001527B1" w:rsidP="001527B1">
      <w:pPr>
        <w:ind w:firstLine="708"/>
        <w:jc w:val="both"/>
        <w:rPr>
          <w:lang w:val="de-DE"/>
        </w:rPr>
      </w:pPr>
    </w:p>
    <w:p w14:paraId="4EF25C37" w14:textId="6CD5ABA3"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Antragsteller nach § 1 müssen nachweisen, dass sie sich vergebens an den Sortenschutzinhaber gewandt haben, um eine vertragliche Lizenz auf gütlichem Wege zu erhalten.</w:t>
      </w:r>
    </w:p>
    <w:p w14:paraId="42C89C3F" w14:textId="77777777" w:rsidR="001527B1" w:rsidRPr="004676F5" w:rsidRDefault="001527B1" w:rsidP="001527B1">
      <w:pPr>
        <w:ind w:firstLine="708"/>
        <w:jc w:val="both"/>
        <w:rPr>
          <w:lang w:val="de-DE"/>
        </w:rPr>
      </w:pPr>
    </w:p>
    <w:p w14:paraId="251EF6CD" w14:textId="4DAC393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Minister übermittelt den Antrag dem in Artikel XI.128 erwähnten Ausschuss für Zwangslizenzen, damit dieser die Betreffenden anhört, wenn möglich zwischen ihnen schlichtet und anderenfalls dem Minister eine mit Gründen versehene Stellungnahme über die Begründetheit des Antrags abgibt. Der Ausschuss fügt seiner Stellungnahme die Akte dieser Sache bei.</w:t>
      </w:r>
    </w:p>
    <w:p w14:paraId="2FEEEF1D" w14:textId="77777777" w:rsidR="001527B1" w:rsidRPr="004676F5" w:rsidRDefault="001527B1" w:rsidP="001527B1">
      <w:pPr>
        <w:ind w:firstLine="708"/>
        <w:jc w:val="both"/>
        <w:rPr>
          <w:lang w:val="de-DE"/>
        </w:rPr>
      </w:pPr>
    </w:p>
    <w:p w14:paraId="7C5800CD" w14:textId="77777777" w:rsidR="001527B1" w:rsidRPr="004676F5" w:rsidRDefault="001527B1" w:rsidP="001527B1">
      <w:pPr>
        <w:ind w:firstLine="708"/>
        <w:jc w:val="both"/>
        <w:rPr>
          <w:lang w:val="de-DE"/>
        </w:rPr>
      </w:pPr>
      <w:r w:rsidRPr="004676F5">
        <w:rPr>
          <w:lang w:val="de-DE"/>
        </w:rPr>
        <w:t>Der Minister entscheidet, ob dem Antrag stattgegeben wird, und notifiziert den Betreffenden seinen Beschluss auf die vom König festgelegte Weise.</w:t>
      </w:r>
    </w:p>
    <w:p w14:paraId="5723AD6F" w14:textId="77777777" w:rsidR="001527B1" w:rsidRPr="004676F5" w:rsidRDefault="001527B1" w:rsidP="001527B1">
      <w:pPr>
        <w:ind w:firstLine="708"/>
        <w:jc w:val="both"/>
        <w:rPr>
          <w:lang w:val="de-DE"/>
        </w:rPr>
      </w:pPr>
    </w:p>
    <w:p w14:paraId="0EC169FF" w14:textId="2D22B787"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In dem in § 1 Nr. 3 erwähnten Fall wird der Antrag auf Zwangslizenz für begründet erklärt, wenn der Inhaber des dominierenden Sortenschutzes weder die Abhängig</w:t>
      </w:r>
      <w:r w:rsidRPr="004676F5">
        <w:rPr>
          <w:lang w:val="de-DE"/>
        </w:rPr>
        <w:softHyphen/>
        <w:t>keit des Patents desjenigen, der die Lizenz beantragt, noch dessen Gültigkeit, noch die Tatsache anfechtet, dass die Erfindung einen bedeutenden technischen Fortschritt von erheblichem wirtschaftlichem Interesse gegenüber der geschützten Pflanzensorte darstellt.</w:t>
      </w:r>
    </w:p>
    <w:p w14:paraId="2D0C19FB" w14:textId="77777777" w:rsidR="001527B1" w:rsidRPr="004676F5" w:rsidRDefault="001527B1" w:rsidP="001527B1">
      <w:pPr>
        <w:ind w:firstLine="708"/>
        <w:jc w:val="both"/>
        <w:rPr>
          <w:lang w:val="de-DE"/>
        </w:rPr>
      </w:pPr>
    </w:p>
    <w:p w14:paraId="444D6A74" w14:textId="77777777" w:rsidR="001527B1" w:rsidRPr="004676F5" w:rsidRDefault="001527B1" w:rsidP="001527B1">
      <w:pPr>
        <w:ind w:firstLine="708"/>
        <w:jc w:val="both"/>
        <w:rPr>
          <w:lang w:val="de-DE"/>
        </w:rPr>
      </w:pPr>
      <w:r w:rsidRPr="004676F5">
        <w:rPr>
          <w:lang w:val="de-DE"/>
        </w:rPr>
        <w:t>Die Tatsache, dass der Inhaber des früher erteilten Sortenschutzes die Abhängigkeit des Patents desjenigen, der die Lizenz beantragt, bestreitet, beinhaltet für Letzteren von Rechts wegen die Erlaubnis, die in seinem eigenen Patent beschriebene Erfindung und die dominierende Pflanzensorte zu verwerten, ohne aus diesem Grund vom Inhaber des früher erteilten Sortenschutzes wegen Patentverletzung verfolgt werden zu können.</w:t>
      </w:r>
    </w:p>
    <w:p w14:paraId="68F9CDCA" w14:textId="77777777" w:rsidR="001527B1" w:rsidRPr="004676F5" w:rsidRDefault="001527B1" w:rsidP="001527B1">
      <w:pPr>
        <w:ind w:firstLine="708"/>
        <w:jc w:val="both"/>
        <w:rPr>
          <w:lang w:val="de-DE"/>
        </w:rPr>
      </w:pPr>
    </w:p>
    <w:p w14:paraId="52589C91" w14:textId="77777777" w:rsidR="001527B1" w:rsidRPr="004676F5" w:rsidRDefault="001527B1" w:rsidP="001527B1">
      <w:pPr>
        <w:ind w:firstLine="708"/>
        <w:jc w:val="both"/>
        <w:rPr>
          <w:lang w:val="de-DE"/>
        </w:rPr>
      </w:pPr>
      <w:r w:rsidRPr="004676F5">
        <w:rPr>
          <w:lang w:val="de-DE"/>
        </w:rPr>
        <w:t>Die Anfechtung der Gültigkeit des abhängigen Patents setzt das Verwaltungsverfahren zur Anerkennung der Begründetheit des Lizenzantrags aus, insofern der Inhaber des dominierenden Sortenschutzes entweder bereits eine Klage auf Nichtigkeit des abhängigen Patents vor der zuständigen Behörde erhoben hat oder denjenigen, der die Lizenz beantragt, binnen zwei Monaten, nachdem ihm die Einreichung des Lizenzantrags notifiziert worden ist, vor Gericht lädt.</w:t>
      </w:r>
    </w:p>
    <w:p w14:paraId="2C7B4CE1" w14:textId="77777777" w:rsidR="001527B1" w:rsidRPr="004676F5" w:rsidRDefault="001527B1" w:rsidP="001527B1">
      <w:pPr>
        <w:ind w:firstLine="708"/>
        <w:jc w:val="both"/>
        <w:rPr>
          <w:lang w:val="de-DE"/>
        </w:rPr>
      </w:pPr>
    </w:p>
    <w:p w14:paraId="1141244A" w14:textId="77777777" w:rsidR="001527B1" w:rsidRPr="004676F5" w:rsidRDefault="001527B1" w:rsidP="001527B1">
      <w:pPr>
        <w:ind w:firstLine="708"/>
        <w:jc w:val="both"/>
        <w:rPr>
          <w:lang w:val="de-DE"/>
        </w:rPr>
      </w:pPr>
      <w:r w:rsidRPr="004676F5">
        <w:rPr>
          <w:lang w:val="de-DE"/>
        </w:rPr>
        <w:t>Die Anfechtung in Bezug auf den bedeutenden technischen Fortschritt von erheblichem wirtschaftlichem Interesse, den das abhängige Patent gegenüber der im dominierenden Sortenschutz beschriebenen Pflanzensorte aufweist, setzt das Verwaltungs</w:t>
      </w:r>
      <w:r w:rsidRPr="004676F5">
        <w:rPr>
          <w:lang w:val="de-DE"/>
        </w:rPr>
        <w:softHyphen/>
        <w:t>verfahren zur Anerkennung der Begründetheit des Lizenzantrags aus, insofern der Inhaber des dominierenden Sortenschutzes binnen zwei Monaten, nachdem ihm die Einreichung des Lizenzantrags notifiziert worden ist, einen Antrag bei dem Gericht stellt, das wie im Eilverfahren tagt. Gegen die gerichtliche Entscheidung kann weder Berufung noch Einspruch eingelegt werden.</w:t>
      </w:r>
    </w:p>
    <w:p w14:paraId="0B19E87A" w14:textId="77777777" w:rsidR="001527B1" w:rsidRPr="004676F5" w:rsidRDefault="001527B1" w:rsidP="001527B1">
      <w:pPr>
        <w:ind w:firstLine="708"/>
        <w:jc w:val="both"/>
        <w:rPr>
          <w:lang w:val="de-DE"/>
        </w:rPr>
      </w:pPr>
    </w:p>
    <w:p w14:paraId="7BF84FA2" w14:textId="77777777" w:rsidR="001527B1" w:rsidRPr="004676F5" w:rsidRDefault="001527B1" w:rsidP="001527B1">
      <w:pPr>
        <w:ind w:firstLine="708"/>
        <w:jc w:val="both"/>
        <w:rPr>
          <w:lang w:val="de-DE"/>
        </w:rPr>
      </w:pPr>
      <w:r w:rsidRPr="004676F5">
        <w:rPr>
          <w:lang w:val="de-DE"/>
        </w:rPr>
        <w:t>Die Nichtbeachtung der in den zwei vorhergehenden Absätzen vorgesehenen Frist schließt das Recht des Inhabers des dominierenden Sortenschutzes aus, seine Anfechtung vor Gericht geltend zu machen.</w:t>
      </w:r>
    </w:p>
    <w:p w14:paraId="0013E65A" w14:textId="77777777" w:rsidR="001527B1" w:rsidRPr="004676F5" w:rsidRDefault="001527B1" w:rsidP="001527B1">
      <w:pPr>
        <w:ind w:firstLine="708"/>
        <w:jc w:val="both"/>
        <w:rPr>
          <w:lang w:val="de-DE"/>
        </w:rPr>
      </w:pPr>
    </w:p>
    <w:p w14:paraId="1678BEC6" w14:textId="7688254D" w:rsidR="001527B1" w:rsidRPr="004676F5" w:rsidRDefault="001527B1" w:rsidP="001527B1">
      <w:pPr>
        <w:ind w:firstLine="708"/>
        <w:jc w:val="both"/>
        <w:rPr>
          <w:lang w:val="de-DE"/>
        </w:rPr>
      </w:pPr>
      <w:r w:rsidRPr="004676F5">
        <w:rPr>
          <w:lang w:val="de-DE"/>
        </w:rPr>
        <w:lastRenderedPageBreak/>
        <w:t>§ 5 </w:t>
      </w:r>
      <w:r w:rsidR="005B7A5C" w:rsidRPr="004676F5">
        <w:rPr>
          <w:lang w:val="de-DE"/>
        </w:rPr>
        <w:t>- </w:t>
      </w:r>
      <w:r w:rsidRPr="004676F5">
        <w:rPr>
          <w:lang w:val="de-DE"/>
        </w:rPr>
        <w:t>Binnen vier Monaten nach Notifizierung der Entscheidung schließen der Sortenschutzinhaber und der Lizenznehmer eine schriftliche Vereinbarung über ihre gegenseitigen Rechte und Verpflichtungen ab. Der Minister wird hiervon in Kenntnis gesetzt.</w:t>
      </w:r>
    </w:p>
    <w:p w14:paraId="313B6EA0" w14:textId="77777777" w:rsidR="001527B1" w:rsidRPr="004676F5" w:rsidRDefault="001527B1" w:rsidP="001527B1">
      <w:pPr>
        <w:ind w:firstLine="708"/>
        <w:jc w:val="both"/>
        <w:rPr>
          <w:lang w:val="de-DE"/>
        </w:rPr>
      </w:pPr>
    </w:p>
    <w:p w14:paraId="500FB633" w14:textId="77777777" w:rsidR="001527B1" w:rsidRPr="004676F5" w:rsidRDefault="001527B1" w:rsidP="001527B1">
      <w:pPr>
        <w:ind w:firstLine="708"/>
        <w:jc w:val="both"/>
        <w:rPr>
          <w:lang w:val="de-DE"/>
        </w:rPr>
      </w:pPr>
      <w:r w:rsidRPr="004676F5">
        <w:rPr>
          <w:lang w:val="de-DE"/>
        </w:rPr>
        <w:t>In Ermangelung einer Vereinbarung innerhalb der weiter oben erwähnten Frist werden die gegenseitigen Rechte und Verpflichtungen auf Ladung der zuerst handelnden Partei vom Gericht festgelegt, das wie im Eilverfahren tagt.</w:t>
      </w:r>
    </w:p>
    <w:p w14:paraId="05CDB47F" w14:textId="77777777" w:rsidR="001527B1" w:rsidRPr="004676F5" w:rsidRDefault="001527B1" w:rsidP="001527B1">
      <w:pPr>
        <w:ind w:firstLine="708"/>
        <w:jc w:val="both"/>
        <w:rPr>
          <w:lang w:val="de-DE"/>
        </w:rPr>
      </w:pPr>
    </w:p>
    <w:p w14:paraId="3F922A2D" w14:textId="77777777" w:rsidR="001527B1" w:rsidRPr="004676F5" w:rsidRDefault="001527B1" w:rsidP="001527B1">
      <w:pPr>
        <w:ind w:firstLine="708"/>
        <w:jc w:val="both"/>
        <w:rPr>
          <w:lang w:val="de-DE"/>
        </w:rPr>
      </w:pPr>
      <w:r w:rsidRPr="004676F5">
        <w:rPr>
          <w:lang w:val="de-DE"/>
        </w:rPr>
        <w:t>Der Greffier übermittelt dem Minister binnen einem Monat nach Verkündung unentgeltlich eine Abschrift des Endurteils.</w:t>
      </w:r>
    </w:p>
    <w:p w14:paraId="6568E978" w14:textId="77777777" w:rsidR="001527B1" w:rsidRPr="004676F5" w:rsidRDefault="001527B1" w:rsidP="001527B1">
      <w:pPr>
        <w:ind w:firstLine="708"/>
        <w:jc w:val="both"/>
        <w:rPr>
          <w:lang w:val="de-DE"/>
        </w:rPr>
      </w:pPr>
    </w:p>
    <w:p w14:paraId="04D19ABB" w14:textId="77777777" w:rsidR="001527B1" w:rsidRPr="004676F5" w:rsidRDefault="001527B1" w:rsidP="001527B1">
      <w:pPr>
        <w:ind w:firstLine="708"/>
        <w:jc w:val="both"/>
        <w:rPr>
          <w:lang w:val="de-DE"/>
        </w:rPr>
      </w:pPr>
      <w:r w:rsidRPr="004676F5">
        <w:rPr>
          <w:lang w:val="de-DE"/>
        </w:rPr>
        <w:t>Im Rahmen der gegenseitigen Rechte und Verpflichtungen wird die Art der erfassten Rechte festgelegt und es werden die Interessen aller Sortenschutzinhaber berücksichtigt, die von der Gewährung der Zwangslizenz betroffen wären. Sie umfassen eine zeitliche Begrenzung und die Zahlung einer angemessenen Vergütung an den Inhaber; ferner können dem Inhaber bestimmte Verpflichtungen auferlegt werden, die zu erfüllen sind, damit die Zwangslizenz genutzt werden kann.</w:t>
      </w:r>
    </w:p>
    <w:p w14:paraId="7829AE41" w14:textId="77777777" w:rsidR="001527B1" w:rsidRPr="004676F5" w:rsidRDefault="001527B1" w:rsidP="001527B1">
      <w:pPr>
        <w:ind w:firstLine="708"/>
        <w:jc w:val="both"/>
        <w:rPr>
          <w:lang w:val="de-DE"/>
        </w:rPr>
      </w:pPr>
    </w:p>
    <w:p w14:paraId="720EE7E6" w14:textId="77777777" w:rsidR="001527B1" w:rsidRPr="004676F5" w:rsidRDefault="001527B1" w:rsidP="001527B1">
      <w:pPr>
        <w:ind w:firstLine="708"/>
        <w:jc w:val="both"/>
        <w:rPr>
          <w:lang w:val="de-DE"/>
        </w:rPr>
      </w:pPr>
      <w:r w:rsidRPr="004676F5">
        <w:rPr>
          <w:lang w:val="de-DE"/>
        </w:rPr>
        <w:t>Die Person, der die Zwangslizenz erteilt wird, muss über die erforderlichen finanziellen und technischen Mittel verfügen, um diese Lizenz zu verwerten.</w:t>
      </w:r>
    </w:p>
    <w:p w14:paraId="40E35F29" w14:textId="77777777" w:rsidR="001527B1" w:rsidRPr="004676F5" w:rsidRDefault="001527B1" w:rsidP="001527B1">
      <w:pPr>
        <w:ind w:firstLine="708"/>
        <w:jc w:val="both"/>
        <w:rPr>
          <w:lang w:val="de-DE"/>
        </w:rPr>
      </w:pPr>
    </w:p>
    <w:p w14:paraId="6DC6846E" w14:textId="77777777" w:rsidR="001527B1" w:rsidRPr="004676F5" w:rsidRDefault="001527B1" w:rsidP="001527B1">
      <w:pPr>
        <w:ind w:firstLine="708"/>
        <w:jc w:val="both"/>
        <w:rPr>
          <w:lang w:val="de-DE"/>
        </w:rPr>
      </w:pPr>
      <w:r w:rsidRPr="004676F5">
        <w:rPr>
          <w:lang w:val="de-DE"/>
        </w:rPr>
        <w:t>Auf Antrag des Sortenschutzinhabers oder des Lizenznehmers können Entscheidungen über ihre gegenseitigen Verpflichtungen und gegebenenfalls die Verwertungsbedingungen revidiert werden, insofern neue Umstände aufgetreten sind. Für die Revision ist die Behörde, von der die Entscheidung ausging, zuständig und das anzuwendende Verfahren entspricht dem Verfahren, nach dem die Entscheidung, die zu revidieren ist, getroffen wurde.</w:t>
      </w:r>
    </w:p>
    <w:p w14:paraId="73D3564F" w14:textId="77777777" w:rsidR="001527B1" w:rsidRPr="004676F5" w:rsidRDefault="001527B1" w:rsidP="001527B1">
      <w:pPr>
        <w:ind w:firstLine="708"/>
        <w:jc w:val="both"/>
        <w:rPr>
          <w:lang w:val="de-DE"/>
        </w:rPr>
      </w:pPr>
    </w:p>
    <w:p w14:paraId="0DA319B3" w14:textId="44C9F507"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Ist im Register die Erhebung einer Klage zur Geltendmachung eines Anspruchs im Sinne von Artikel XI.159 § 1 eingetragen worden, so kann der Minister das Verfahren zur Erteilung der Zwangslizenz aussetzen. Das Verfahren wird erst dann wieder aufgenommen, wenn die Erledigung der Klage in Form einer formell rechtskräftigen gerichtlichen Entscheidung oder in einer anderen Form im Register eingetragen worden ist.</w:t>
      </w:r>
    </w:p>
    <w:p w14:paraId="451DAB63" w14:textId="77777777" w:rsidR="001527B1" w:rsidRPr="004676F5" w:rsidRDefault="001527B1" w:rsidP="001527B1">
      <w:pPr>
        <w:ind w:firstLine="708"/>
        <w:jc w:val="both"/>
        <w:rPr>
          <w:lang w:val="de-DE"/>
        </w:rPr>
      </w:pPr>
    </w:p>
    <w:p w14:paraId="1E44DA1F" w14:textId="77777777" w:rsidR="001527B1" w:rsidRPr="004676F5" w:rsidRDefault="001527B1" w:rsidP="001527B1">
      <w:pPr>
        <w:ind w:firstLine="708"/>
        <w:jc w:val="both"/>
        <w:rPr>
          <w:lang w:val="de-DE"/>
        </w:rPr>
      </w:pPr>
      <w:r w:rsidRPr="004676F5">
        <w:rPr>
          <w:lang w:val="de-DE"/>
        </w:rPr>
        <w:t>Bei einer gegenüber dem Amt wirksamen rechtsgeschäftlichen Übertragung des Sortenschutzes tritt der neue Inhaber auf Antrag des Antragstellers dem Verfahren als Verfahrensbeteiligter bei, wenn der Antragsteller binnen zwei Monaten, nachdem ihm vom Amt mitgeteilt worden ist, dass der Name des neuen Inhabers in das Register eingetragen worden ist, den neuen Inhaber erfolglos um eine Lizenz ersucht hat. Dem Antrag des Antragstellers sind ausreichende schriftliche Nachweise seiner fruchtlosen Bemühungen und gegebenenfalls der gegenüber dem neuen Inhaber unternommenen Schritte beizufügen.</w:t>
      </w:r>
    </w:p>
    <w:p w14:paraId="527092FB" w14:textId="77777777" w:rsidR="001527B1" w:rsidRPr="004676F5" w:rsidRDefault="001527B1" w:rsidP="001527B1">
      <w:pPr>
        <w:ind w:firstLine="708"/>
        <w:jc w:val="both"/>
        <w:rPr>
          <w:lang w:val="de-DE"/>
        </w:rPr>
      </w:pPr>
    </w:p>
    <w:p w14:paraId="43C3781B" w14:textId="63E72CFE"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 xml:space="preserve">Der Minister erteilt die Zwangslizenz durch Erlass gemäß den vom König festgelegten Modalitäten. Der Erlass wird im </w:t>
      </w:r>
      <w:r w:rsidRPr="004676F5">
        <w:rPr>
          <w:i/>
          <w:lang w:val="de-DE"/>
        </w:rPr>
        <w:t>Belgischen Staatsblatt</w:t>
      </w:r>
      <w:r w:rsidRPr="004676F5">
        <w:rPr>
          <w:lang w:val="de-DE"/>
        </w:rPr>
        <w:t xml:space="preserve"> veröffentlicht.</w:t>
      </w:r>
    </w:p>
    <w:p w14:paraId="3CE3843E" w14:textId="77777777" w:rsidR="001527B1" w:rsidRPr="004676F5" w:rsidRDefault="001527B1" w:rsidP="001527B1">
      <w:pPr>
        <w:ind w:firstLine="708"/>
        <w:jc w:val="both"/>
        <w:rPr>
          <w:lang w:val="de-DE"/>
        </w:rPr>
      </w:pPr>
    </w:p>
    <w:p w14:paraId="7F550F98" w14:textId="7C3E0D36"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Auf Antrag des Sortenschutzinhabers und nach Kenntnisnahme der Stellung</w:t>
      </w:r>
      <w:r w:rsidRPr="004676F5">
        <w:rPr>
          <w:lang w:val="de-DE"/>
        </w:rPr>
        <w:softHyphen/>
        <w:t>nahme des Ausschusses kann der Minister die Zwangslizenz entziehen, wenn aus einem formell rechtskräftigen Urteil hervorgeht, dass der Lizenznehmer sich gegenüber dem Sortenschutzinhaber einer unerlaubten Handlung schuldig gemacht hat oder dass er seinen Verpflichtungen nicht nachgekommen ist.</w:t>
      </w:r>
    </w:p>
    <w:p w14:paraId="7D442896" w14:textId="77777777" w:rsidR="001527B1" w:rsidRPr="004676F5" w:rsidRDefault="001527B1" w:rsidP="001527B1">
      <w:pPr>
        <w:ind w:firstLine="708"/>
        <w:jc w:val="both"/>
        <w:rPr>
          <w:lang w:val="de-DE"/>
        </w:rPr>
      </w:pPr>
    </w:p>
    <w:p w14:paraId="3AD5F1C3" w14:textId="77777777" w:rsidR="001527B1" w:rsidRPr="004676F5" w:rsidRDefault="001527B1" w:rsidP="001527B1">
      <w:pPr>
        <w:ind w:firstLine="708"/>
        <w:jc w:val="both"/>
        <w:rPr>
          <w:lang w:val="de-DE"/>
        </w:rPr>
      </w:pPr>
      <w:r w:rsidRPr="004676F5">
        <w:rPr>
          <w:lang w:val="de-DE"/>
        </w:rPr>
        <w:t>Im Entziehungsbeschluss wird gegebenenfalls der Grund vermerkt, weshalb von der Stellungnahme des Ausschusses abgewichen wurde.</w:t>
      </w:r>
    </w:p>
    <w:p w14:paraId="3CA895A4" w14:textId="77777777" w:rsidR="001527B1" w:rsidRPr="004676F5" w:rsidRDefault="001527B1" w:rsidP="001527B1">
      <w:pPr>
        <w:ind w:firstLine="708"/>
        <w:jc w:val="both"/>
        <w:rPr>
          <w:lang w:val="de-DE"/>
        </w:rPr>
      </w:pPr>
    </w:p>
    <w:p w14:paraId="2A817937" w14:textId="77777777" w:rsidR="001527B1" w:rsidRPr="004676F5" w:rsidRDefault="001527B1" w:rsidP="001527B1">
      <w:pPr>
        <w:ind w:firstLine="708"/>
        <w:jc w:val="both"/>
        <w:rPr>
          <w:lang w:val="de-DE"/>
        </w:rPr>
      </w:pPr>
      <w:r w:rsidRPr="004676F5">
        <w:rPr>
          <w:lang w:val="de-DE"/>
        </w:rPr>
        <w:t xml:space="preserve">Der Entziehungserlass wird auszugsweise im </w:t>
      </w:r>
      <w:r w:rsidRPr="004676F5">
        <w:rPr>
          <w:i/>
          <w:lang w:val="de-DE"/>
        </w:rPr>
        <w:t>Belgischen Staatsblatt</w:t>
      </w:r>
      <w:r w:rsidRPr="004676F5">
        <w:rPr>
          <w:lang w:val="de-DE"/>
        </w:rPr>
        <w:t xml:space="preserve"> veröffentlicht.</w:t>
      </w:r>
    </w:p>
    <w:p w14:paraId="4413F524" w14:textId="77777777" w:rsidR="001527B1" w:rsidRPr="004676F5" w:rsidRDefault="001527B1" w:rsidP="001527B1">
      <w:pPr>
        <w:ind w:firstLine="708"/>
        <w:jc w:val="both"/>
        <w:rPr>
          <w:lang w:val="de-DE"/>
        </w:rPr>
      </w:pPr>
    </w:p>
    <w:p w14:paraId="4CB04ED4" w14:textId="21BF038E" w:rsidR="001527B1" w:rsidRPr="004676F5" w:rsidRDefault="001527B1" w:rsidP="001527B1">
      <w:pPr>
        <w:ind w:firstLine="708"/>
        <w:jc w:val="both"/>
        <w:rPr>
          <w:lang w:val="de-DE"/>
        </w:rPr>
      </w:pPr>
      <w:r w:rsidRPr="004676F5">
        <w:rPr>
          <w:lang w:val="de-DE"/>
        </w:rPr>
        <w:t>§ 9 </w:t>
      </w:r>
      <w:r w:rsidR="005B7A5C" w:rsidRPr="004676F5">
        <w:rPr>
          <w:lang w:val="de-DE"/>
        </w:rPr>
        <w:t>- </w:t>
      </w:r>
      <w:r w:rsidRPr="004676F5">
        <w:rPr>
          <w:lang w:val="de-DE"/>
        </w:rPr>
        <w:t>Ab Erteilung der Zwangslizenz werden die Beziehungen zwischen Sortenschutz</w:t>
      </w:r>
      <w:r w:rsidRPr="004676F5">
        <w:rPr>
          <w:lang w:val="de-DE"/>
        </w:rPr>
        <w:softHyphen/>
        <w:t>inhaber und Lizenznehmer außer bei Abweichungen gemäß dem Erteilungserlass den Beziehungen zwischen vertraglich gebundenem Lizenzgeber und vertraglich gebundenem Lizenznehmer gleichgesetzt.</w:t>
      </w:r>
    </w:p>
    <w:p w14:paraId="22CCF24F" w14:textId="77777777" w:rsidR="001527B1" w:rsidRPr="004676F5" w:rsidRDefault="001527B1" w:rsidP="001527B1">
      <w:pPr>
        <w:ind w:firstLine="708"/>
        <w:jc w:val="both"/>
        <w:rPr>
          <w:lang w:val="de-DE"/>
        </w:rPr>
      </w:pPr>
    </w:p>
    <w:p w14:paraId="2B788BA1" w14:textId="77777777" w:rsidR="00435B6C" w:rsidRPr="004676F5" w:rsidRDefault="00435B6C" w:rsidP="001527B1">
      <w:pPr>
        <w:ind w:firstLine="708"/>
        <w:jc w:val="both"/>
        <w:rPr>
          <w:lang w:val="de-DE"/>
        </w:rPr>
      </w:pPr>
    </w:p>
    <w:p w14:paraId="4A916B8A" w14:textId="77777777" w:rsidR="00435B6C" w:rsidRPr="004676F5" w:rsidRDefault="00435B6C">
      <w:pPr>
        <w:rPr>
          <w:lang w:val="de-DE"/>
        </w:rPr>
      </w:pPr>
      <w:r w:rsidRPr="004676F5">
        <w:rPr>
          <w:lang w:val="de-DE"/>
        </w:rPr>
        <w:br w:type="page"/>
      </w:r>
    </w:p>
    <w:p w14:paraId="47D774FC" w14:textId="43F9348D" w:rsidR="001527B1" w:rsidRPr="004676F5" w:rsidRDefault="001527B1" w:rsidP="001527B1">
      <w:pPr>
        <w:jc w:val="center"/>
        <w:rPr>
          <w:i/>
          <w:lang w:val="de-DE"/>
        </w:rPr>
      </w:pPr>
      <w:r w:rsidRPr="004676F5">
        <w:rPr>
          <w:lang w:val="de-DE"/>
        </w:rPr>
        <w:lastRenderedPageBreak/>
        <w:t>KAPITEL 2 </w:t>
      </w:r>
      <w:r w:rsidR="005B7A5C" w:rsidRPr="004676F5">
        <w:rPr>
          <w:lang w:val="de-DE"/>
        </w:rPr>
        <w:t>- </w:t>
      </w:r>
      <w:r w:rsidRPr="004676F5">
        <w:rPr>
          <w:i/>
          <w:lang w:val="de-DE"/>
        </w:rPr>
        <w:t>Rat und Ausschuss</w:t>
      </w:r>
    </w:p>
    <w:p w14:paraId="2FAFB7F2" w14:textId="77777777" w:rsidR="001527B1" w:rsidRPr="004676F5" w:rsidRDefault="001527B1" w:rsidP="001527B1">
      <w:pPr>
        <w:ind w:firstLine="708"/>
        <w:jc w:val="both"/>
        <w:rPr>
          <w:lang w:val="de-DE"/>
        </w:rPr>
      </w:pPr>
    </w:p>
    <w:p w14:paraId="033094F0" w14:textId="77777777" w:rsidR="00435B6C" w:rsidRPr="004676F5" w:rsidRDefault="00435B6C" w:rsidP="001527B1">
      <w:pPr>
        <w:ind w:firstLine="708"/>
        <w:jc w:val="both"/>
        <w:rPr>
          <w:lang w:val="de-DE"/>
        </w:rPr>
      </w:pPr>
    </w:p>
    <w:p w14:paraId="79CE5C61" w14:textId="7A1A9075" w:rsidR="001527B1" w:rsidRPr="004676F5" w:rsidRDefault="00BE0A56" w:rsidP="001527B1">
      <w:pPr>
        <w:ind w:firstLine="708"/>
        <w:jc w:val="both"/>
        <w:rPr>
          <w:lang w:val="de-DE"/>
        </w:rPr>
      </w:pPr>
      <w:r w:rsidRPr="004676F5">
        <w:rPr>
          <w:b/>
          <w:lang w:val="de-DE"/>
        </w:rPr>
        <w:t>Art. </w:t>
      </w:r>
      <w:r w:rsidR="001527B1" w:rsidRPr="004676F5">
        <w:rPr>
          <w:b/>
          <w:lang w:val="de-DE"/>
        </w:rPr>
        <w:t>XI.127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Beim FÖD Wirtschaft wird ein Rat für Sortenschutzrecht ein</w:t>
      </w:r>
      <w:r w:rsidR="001527B1" w:rsidRPr="004676F5">
        <w:rPr>
          <w:lang w:val="de-DE"/>
        </w:rPr>
        <w:softHyphen/>
        <w:t>gesetzt, im Folgenden "Rat" genannt, der sich aus Personen zusammensetzt, die über eine besondere Qualifikation im Bereich Recht, Genetik, Botanik oder Pflanzenbau verfügen.</w:t>
      </w:r>
    </w:p>
    <w:p w14:paraId="7CBAE0FC" w14:textId="77777777" w:rsidR="001527B1" w:rsidRPr="004676F5" w:rsidRDefault="001527B1" w:rsidP="001527B1">
      <w:pPr>
        <w:ind w:firstLine="708"/>
        <w:jc w:val="both"/>
        <w:rPr>
          <w:lang w:val="de-DE"/>
        </w:rPr>
      </w:pPr>
    </w:p>
    <w:p w14:paraId="28561C1C" w14:textId="68FC3C0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Aufgabe, Zusammensetzung und Arbeitsweise des Rates und seiner Abteilungen werden vom König festgelegt. Ratsmitglieder werden vom Minister ernannt und abberufen.</w:t>
      </w:r>
    </w:p>
    <w:p w14:paraId="0A811BB1" w14:textId="77777777" w:rsidR="001527B1" w:rsidRPr="004676F5" w:rsidRDefault="001527B1" w:rsidP="001527B1">
      <w:pPr>
        <w:ind w:firstLine="708"/>
        <w:jc w:val="both"/>
        <w:rPr>
          <w:lang w:val="de-DE"/>
        </w:rPr>
      </w:pPr>
    </w:p>
    <w:p w14:paraId="16100DA6" w14:textId="6FF58276"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Betriebskosten des Rates gehen zu Lasten des Haushaltsplans des in § 1 erwähnten Föderalen Öffentlichen Dienstes.</w:t>
      </w:r>
    </w:p>
    <w:p w14:paraId="00E86390" w14:textId="77777777" w:rsidR="001527B1" w:rsidRPr="004676F5" w:rsidRDefault="001527B1" w:rsidP="001527B1">
      <w:pPr>
        <w:ind w:firstLine="708"/>
        <w:jc w:val="both"/>
        <w:rPr>
          <w:lang w:val="de-DE"/>
        </w:rPr>
      </w:pPr>
    </w:p>
    <w:p w14:paraId="6E403F03" w14:textId="77777777" w:rsidR="00435B6C" w:rsidRPr="004676F5" w:rsidRDefault="00435B6C" w:rsidP="001527B1">
      <w:pPr>
        <w:ind w:firstLine="708"/>
        <w:jc w:val="both"/>
        <w:rPr>
          <w:lang w:val="de-DE"/>
        </w:rPr>
      </w:pPr>
    </w:p>
    <w:p w14:paraId="31BE3CAB" w14:textId="2D4D360F" w:rsidR="001527B1" w:rsidRPr="004676F5" w:rsidRDefault="00BE0A56" w:rsidP="001527B1">
      <w:pPr>
        <w:ind w:firstLine="708"/>
        <w:jc w:val="both"/>
        <w:rPr>
          <w:lang w:val="de-DE"/>
        </w:rPr>
      </w:pPr>
      <w:r w:rsidRPr="004676F5">
        <w:rPr>
          <w:b/>
          <w:lang w:val="de-DE"/>
        </w:rPr>
        <w:t>Art. </w:t>
      </w:r>
      <w:r w:rsidR="001527B1" w:rsidRPr="004676F5">
        <w:rPr>
          <w:b/>
          <w:lang w:val="de-DE"/>
        </w:rPr>
        <w:t>XI.128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Bei dem in Artikel XI.127 § 1 erwähnten Föderalen Öffentlichen Dienst wird ein Ausschuss für Zwangslizenzen eingesetzt, im Folgenden "Ausschuss" genannt, der als Auftrag hat, die ihm aufgrund von Artikel XI.126 anvertrauten Aufgaben zu erfüllen.</w:t>
      </w:r>
    </w:p>
    <w:p w14:paraId="6A2A44C2" w14:textId="77777777" w:rsidR="001527B1" w:rsidRPr="004676F5" w:rsidRDefault="001527B1" w:rsidP="001527B1">
      <w:pPr>
        <w:ind w:firstLine="708"/>
        <w:jc w:val="both"/>
        <w:rPr>
          <w:lang w:val="de-DE"/>
        </w:rPr>
      </w:pPr>
    </w:p>
    <w:p w14:paraId="729CC21B" w14:textId="77777777" w:rsidR="001527B1" w:rsidRPr="004676F5" w:rsidRDefault="001527B1" w:rsidP="001527B1">
      <w:pPr>
        <w:ind w:firstLine="708"/>
        <w:jc w:val="both"/>
        <w:rPr>
          <w:lang w:val="de-DE"/>
        </w:rPr>
      </w:pPr>
      <w:r w:rsidRPr="004676F5">
        <w:rPr>
          <w:lang w:val="de-DE"/>
        </w:rPr>
        <w:t>Der Ausschuss setzt sich aus zehn Mitgliedern zusammen, die vom Minister ernannt werden.</w:t>
      </w:r>
    </w:p>
    <w:p w14:paraId="02CF7AC7" w14:textId="77777777" w:rsidR="001527B1" w:rsidRPr="004676F5" w:rsidRDefault="001527B1" w:rsidP="001527B1">
      <w:pPr>
        <w:ind w:firstLine="708"/>
        <w:jc w:val="both"/>
        <w:rPr>
          <w:lang w:val="de-DE"/>
        </w:rPr>
      </w:pPr>
    </w:p>
    <w:p w14:paraId="6CA5C63C" w14:textId="77777777" w:rsidR="001527B1" w:rsidRPr="004676F5" w:rsidRDefault="001527B1" w:rsidP="001527B1">
      <w:pPr>
        <w:ind w:firstLine="708"/>
        <w:jc w:val="both"/>
        <w:rPr>
          <w:lang w:val="de-DE"/>
        </w:rPr>
      </w:pPr>
      <w:r w:rsidRPr="004676F5">
        <w:rPr>
          <w:lang w:val="de-DE"/>
        </w:rPr>
        <w:t>Acht Mitglieder werden in gleicher Anzahl bestimmt auf Vorschlag der repräsen</w:t>
      </w:r>
      <w:r w:rsidRPr="004676F5">
        <w:rPr>
          <w:lang w:val="de-DE"/>
        </w:rPr>
        <w:softHyphen/>
        <w:t>tativen Organisationen:</w:t>
      </w:r>
    </w:p>
    <w:p w14:paraId="2EB2D081" w14:textId="77777777" w:rsidR="001527B1" w:rsidRPr="004676F5" w:rsidRDefault="001527B1" w:rsidP="001527B1">
      <w:pPr>
        <w:ind w:firstLine="708"/>
        <w:jc w:val="both"/>
        <w:rPr>
          <w:lang w:val="de-DE"/>
        </w:rPr>
      </w:pPr>
    </w:p>
    <w:p w14:paraId="1CF5B437" w14:textId="07E75928" w:rsidR="001527B1" w:rsidRPr="004676F5" w:rsidRDefault="005B7A5C" w:rsidP="001527B1">
      <w:pPr>
        <w:ind w:firstLine="708"/>
        <w:jc w:val="both"/>
        <w:rPr>
          <w:lang w:val="de-DE"/>
        </w:rPr>
      </w:pPr>
      <w:r w:rsidRPr="004676F5">
        <w:rPr>
          <w:lang w:val="de-DE"/>
        </w:rPr>
        <w:t>- </w:t>
      </w:r>
      <w:r w:rsidR="001527B1" w:rsidRPr="004676F5">
        <w:rPr>
          <w:lang w:val="de-DE"/>
        </w:rPr>
        <w:t>der Industrie und des Handels,</w:t>
      </w:r>
    </w:p>
    <w:p w14:paraId="190F632C" w14:textId="77777777" w:rsidR="001527B1" w:rsidRPr="004676F5" w:rsidRDefault="001527B1" w:rsidP="001527B1">
      <w:pPr>
        <w:ind w:firstLine="708"/>
        <w:jc w:val="both"/>
        <w:rPr>
          <w:lang w:val="de-DE"/>
        </w:rPr>
      </w:pPr>
    </w:p>
    <w:p w14:paraId="7E5C4381" w14:textId="1F334E30" w:rsidR="001527B1" w:rsidRPr="004676F5" w:rsidRDefault="005B7A5C" w:rsidP="001527B1">
      <w:pPr>
        <w:ind w:firstLine="708"/>
        <w:jc w:val="both"/>
        <w:rPr>
          <w:lang w:val="de-DE"/>
        </w:rPr>
      </w:pPr>
      <w:r w:rsidRPr="004676F5">
        <w:rPr>
          <w:lang w:val="de-DE"/>
        </w:rPr>
        <w:t>- </w:t>
      </w:r>
      <w:r w:rsidR="001527B1" w:rsidRPr="004676F5">
        <w:rPr>
          <w:lang w:val="de-DE"/>
        </w:rPr>
        <w:t>der Landwirtschaft,</w:t>
      </w:r>
    </w:p>
    <w:p w14:paraId="3496B8BB" w14:textId="77777777" w:rsidR="001527B1" w:rsidRPr="004676F5" w:rsidRDefault="001527B1" w:rsidP="001527B1">
      <w:pPr>
        <w:ind w:firstLine="708"/>
        <w:jc w:val="both"/>
        <w:rPr>
          <w:lang w:val="de-DE"/>
        </w:rPr>
      </w:pPr>
    </w:p>
    <w:p w14:paraId="1539A3FF" w14:textId="76E95722" w:rsidR="001527B1" w:rsidRPr="004676F5" w:rsidRDefault="005B7A5C" w:rsidP="001527B1">
      <w:pPr>
        <w:ind w:firstLine="708"/>
        <w:jc w:val="both"/>
        <w:rPr>
          <w:lang w:val="de-DE"/>
        </w:rPr>
      </w:pPr>
      <w:r w:rsidRPr="004676F5">
        <w:rPr>
          <w:lang w:val="de-DE"/>
        </w:rPr>
        <w:t>- </w:t>
      </w:r>
      <w:r w:rsidR="001527B1" w:rsidRPr="004676F5">
        <w:rPr>
          <w:lang w:val="de-DE"/>
        </w:rPr>
        <w:t>der kleinen und mittleren Industriebetriebe,</w:t>
      </w:r>
    </w:p>
    <w:p w14:paraId="5F551ABE" w14:textId="77777777" w:rsidR="001527B1" w:rsidRPr="004676F5" w:rsidRDefault="001527B1" w:rsidP="001527B1">
      <w:pPr>
        <w:ind w:firstLine="708"/>
        <w:jc w:val="both"/>
        <w:rPr>
          <w:lang w:val="de-DE"/>
        </w:rPr>
      </w:pPr>
    </w:p>
    <w:p w14:paraId="5EEFD233" w14:textId="2BE03E78" w:rsidR="001527B1" w:rsidRPr="004676F5" w:rsidRDefault="005B7A5C" w:rsidP="001527B1">
      <w:pPr>
        <w:ind w:firstLine="708"/>
        <w:jc w:val="both"/>
        <w:rPr>
          <w:lang w:val="de-DE"/>
        </w:rPr>
      </w:pPr>
      <w:r w:rsidRPr="004676F5">
        <w:rPr>
          <w:lang w:val="de-DE"/>
        </w:rPr>
        <w:t>- </w:t>
      </w:r>
      <w:r w:rsidR="001527B1" w:rsidRPr="004676F5">
        <w:rPr>
          <w:lang w:val="de-DE"/>
        </w:rPr>
        <w:t>der Verbraucher.</w:t>
      </w:r>
    </w:p>
    <w:p w14:paraId="315FCCF0" w14:textId="77777777" w:rsidR="001527B1" w:rsidRPr="004676F5" w:rsidRDefault="001527B1" w:rsidP="001527B1">
      <w:pPr>
        <w:ind w:firstLine="708"/>
        <w:jc w:val="both"/>
        <w:rPr>
          <w:lang w:val="de-DE"/>
        </w:rPr>
      </w:pPr>
    </w:p>
    <w:p w14:paraId="4345E7EE" w14:textId="77777777" w:rsidR="001527B1" w:rsidRPr="004676F5" w:rsidRDefault="001527B1" w:rsidP="001527B1">
      <w:pPr>
        <w:ind w:firstLine="708"/>
        <w:jc w:val="both"/>
        <w:rPr>
          <w:lang w:val="de-DE"/>
        </w:rPr>
      </w:pPr>
      <w:r w:rsidRPr="004676F5">
        <w:rPr>
          <w:lang w:val="de-DE"/>
        </w:rPr>
        <w:t>Die in vorhergehendem Absatz erwähnten Organisationen werden vom Minister bestimmt.</w:t>
      </w:r>
    </w:p>
    <w:p w14:paraId="6BDF8002" w14:textId="77777777" w:rsidR="001527B1" w:rsidRPr="004676F5" w:rsidRDefault="001527B1" w:rsidP="001527B1">
      <w:pPr>
        <w:ind w:firstLine="708"/>
        <w:jc w:val="both"/>
        <w:rPr>
          <w:lang w:val="de-DE"/>
        </w:rPr>
      </w:pPr>
    </w:p>
    <w:p w14:paraId="783EB1CD" w14:textId="77777777" w:rsidR="001527B1" w:rsidRPr="004676F5" w:rsidRDefault="001527B1" w:rsidP="001527B1">
      <w:pPr>
        <w:ind w:firstLine="708"/>
        <w:jc w:val="both"/>
        <w:rPr>
          <w:lang w:val="de-DE"/>
        </w:rPr>
      </w:pPr>
      <w:r w:rsidRPr="004676F5">
        <w:rPr>
          <w:lang w:val="de-DE"/>
        </w:rPr>
        <w:t>Zwei Mitglieder werden unter den Mitgliedern des in Artikel XI.127 erwähnten Rates bestimmt. Sie bleiben Mitglieder des Ausschusses für die Dauer ihres Mandats im Ausschuss, unabhängig von ihrer Mitgliedschaft beim Rat.</w:t>
      </w:r>
    </w:p>
    <w:p w14:paraId="18380707" w14:textId="77777777" w:rsidR="001527B1" w:rsidRPr="004676F5" w:rsidRDefault="001527B1" w:rsidP="001527B1">
      <w:pPr>
        <w:ind w:firstLine="708"/>
        <w:jc w:val="both"/>
        <w:rPr>
          <w:lang w:val="de-DE"/>
        </w:rPr>
      </w:pPr>
    </w:p>
    <w:p w14:paraId="38724D44" w14:textId="77777777" w:rsidR="001527B1" w:rsidRPr="004676F5" w:rsidRDefault="001527B1" w:rsidP="001527B1">
      <w:pPr>
        <w:ind w:firstLine="708"/>
        <w:jc w:val="both"/>
        <w:rPr>
          <w:lang w:val="de-DE"/>
        </w:rPr>
      </w:pPr>
      <w:r w:rsidRPr="004676F5">
        <w:rPr>
          <w:lang w:val="de-DE"/>
        </w:rPr>
        <w:t>Das Mandat eines Mitglieds des Ausschusses hat eine Dauer von sechs Jahren. Es ist erneuerbar.</w:t>
      </w:r>
    </w:p>
    <w:p w14:paraId="140B0C9D" w14:textId="77777777" w:rsidR="001527B1" w:rsidRPr="004676F5" w:rsidRDefault="001527B1" w:rsidP="001527B1">
      <w:pPr>
        <w:ind w:firstLine="708"/>
        <w:jc w:val="both"/>
        <w:rPr>
          <w:lang w:val="de-DE"/>
        </w:rPr>
      </w:pPr>
    </w:p>
    <w:p w14:paraId="06EF8D86" w14:textId="77777777" w:rsidR="001527B1" w:rsidRPr="004676F5" w:rsidRDefault="001527B1" w:rsidP="001527B1">
      <w:pPr>
        <w:ind w:firstLine="708"/>
        <w:jc w:val="both"/>
        <w:rPr>
          <w:lang w:val="de-DE"/>
        </w:rPr>
      </w:pPr>
      <w:r w:rsidRPr="004676F5">
        <w:rPr>
          <w:lang w:val="de-DE"/>
        </w:rPr>
        <w:t>Der Vorsitz des Ausschusses wird von einem seiner Mitglieder geführt, das vom Minister für einen erneuerbaren Zeitraum von drei Jahren bestimmt wird.</w:t>
      </w:r>
    </w:p>
    <w:p w14:paraId="2F1500C8" w14:textId="77777777" w:rsidR="001527B1" w:rsidRPr="004676F5" w:rsidRDefault="001527B1" w:rsidP="001527B1">
      <w:pPr>
        <w:ind w:firstLine="708"/>
        <w:jc w:val="both"/>
        <w:rPr>
          <w:lang w:val="de-DE"/>
        </w:rPr>
      </w:pPr>
    </w:p>
    <w:p w14:paraId="53CBCDD9" w14:textId="77777777" w:rsidR="001527B1" w:rsidRPr="004676F5" w:rsidRDefault="001527B1" w:rsidP="001527B1">
      <w:pPr>
        <w:ind w:firstLine="708"/>
        <w:jc w:val="both"/>
        <w:rPr>
          <w:lang w:val="de-DE"/>
        </w:rPr>
      </w:pPr>
      <w:r w:rsidRPr="004676F5">
        <w:rPr>
          <w:lang w:val="de-DE"/>
        </w:rPr>
        <w:t>Die Stellungnahmen werden im Konsens getroffen. In Ermangelung eines Konsenses werden in der Stellungnahme die verschiedenen Ansichten aufgenommen.</w:t>
      </w:r>
    </w:p>
    <w:p w14:paraId="4CA4EBD4" w14:textId="77777777" w:rsidR="001527B1" w:rsidRPr="004676F5" w:rsidRDefault="001527B1" w:rsidP="001527B1">
      <w:pPr>
        <w:ind w:firstLine="708"/>
        <w:jc w:val="both"/>
        <w:rPr>
          <w:lang w:val="de-DE"/>
        </w:rPr>
      </w:pPr>
    </w:p>
    <w:p w14:paraId="6DF7F05D" w14:textId="77777777" w:rsidR="001527B1" w:rsidRPr="004676F5" w:rsidRDefault="001527B1" w:rsidP="001527B1">
      <w:pPr>
        <w:ind w:firstLine="708"/>
        <w:jc w:val="both"/>
        <w:rPr>
          <w:lang w:val="de-DE"/>
        </w:rPr>
      </w:pPr>
      <w:r w:rsidRPr="004676F5">
        <w:rPr>
          <w:lang w:val="de-DE"/>
        </w:rPr>
        <w:t>Der König bestimmt die Modalitäten für die Arbeitsweise und Organisation des Ausschusses.</w:t>
      </w:r>
    </w:p>
    <w:p w14:paraId="5BCD2382" w14:textId="77777777" w:rsidR="001527B1" w:rsidRPr="004676F5" w:rsidRDefault="001527B1" w:rsidP="001527B1">
      <w:pPr>
        <w:ind w:firstLine="708"/>
        <w:jc w:val="both"/>
        <w:rPr>
          <w:lang w:val="de-DE"/>
        </w:rPr>
      </w:pPr>
    </w:p>
    <w:p w14:paraId="67D818A7" w14:textId="77777777" w:rsidR="001527B1" w:rsidRPr="004676F5" w:rsidRDefault="001527B1" w:rsidP="001527B1">
      <w:pPr>
        <w:ind w:firstLine="708"/>
        <w:jc w:val="both"/>
        <w:rPr>
          <w:lang w:val="de-DE"/>
        </w:rPr>
      </w:pPr>
      <w:r w:rsidRPr="004676F5">
        <w:rPr>
          <w:lang w:val="de-DE"/>
        </w:rPr>
        <w:lastRenderedPageBreak/>
        <w:t>Der Ausschuss erstellt seine Geschäftsordnung. Diese Geschäftsordnung tritt nach Billigung seitens des Ministers in Kraft.</w:t>
      </w:r>
    </w:p>
    <w:p w14:paraId="6836A41E" w14:textId="77777777" w:rsidR="001527B1" w:rsidRPr="004676F5" w:rsidRDefault="001527B1" w:rsidP="001527B1">
      <w:pPr>
        <w:ind w:firstLine="708"/>
        <w:jc w:val="both"/>
        <w:rPr>
          <w:lang w:val="de-DE"/>
        </w:rPr>
      </w:pPr>
    </w:p>
    <w:p w14:paraId="134310DB" w14:textId="4A4A1411"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Wird der Minister mit einem Antrag auf Erteilung einer Zwangslizenz befasst, so bestimmt er beim Ausschuss einen oder mehrere qualifizierte Bedienstete, die unter den Beamten des FÖD Wirtschaft ausgewählt werden.</w:t>
      </w:r>
    </w:p>
    <w:p w14:paraId="0EEA6200" w14:textId="77777777" w:rsidR="001527B1" w:rsidRPr="004676F5" w:rsidRDefault="001527B1" w:rsidP="001527B1">
      <w:pPr>
        <w:ind w:firstLine="708"/>
        <w:jc w:val="both"/>
        <w:rPr>
          <w:lang w:val="de-DE"/>
        </w:rPr>
      </w:pPr>
    </w:p>
    <w:p w14:paraId="50BE5591" w14:textId="77777777" w:rsidR="001527B1" w:rsidRPr="004676F5" w:rsidRDefault="001527B1" w:rsidP="001527B1">
      <w:pPr>
        <w:ind w:firstLine="708"/>
        <w:jc w:val="both"/>
        <w:rPr>
          <w:lang w:val="de-DE"/>
        </w:rPr>
      </w:pPr>
      <w:r w:rsidRPr="004676F5">
        <w:rPr>
          <w:lang w:val="de-DE"/>
        </w:rPr>
        <w:t>Der Ausschuss definiert den Auftrag der in Absatz 1 erwähnten Bediensteten und legt die Modalitäten fest, gemäß denen diese Bediensteten ihm über ihren Auftrag Bericht erstatten. Der Ausschuss gibt die Bedingungen für die Übermittlung der in Absatz 4 erwähnten Unterlagen im Hinblick auf den Schutz vertraulicher Auskünfte genauer an.</w:t>
      </w:r>
    </w:p>
    <w:p w14:paraId="30E58507" w14:textId="77777777" w:rsidR="001527B1" w:rsidRPr="004676F5" w:rsidRDefault="001527B1" w:rsidP="001527B1">
      <w:pPr>
        <w:ind w:firstLine="708"/>
        <w:jc w:val="both"/>
        <w:rPr>
          <w:lang w:val="de-DE"/>
        </w:rPr>
      </w:pPr>
    </w:p>
    <w:p w14:paraId="702D1FDA" w14:textId="77777777" w:rsidR="001527B1" w:rsidRPr="004676F5" w:rsidRDefault="001527B1" w:rsidP="001527B1">
      <w:pPr>
        <w:ind w:firstLine="708"/>
        <w:jc w:val="both"/>
        <w:rPr>
          <w:lang w:val="de-DE"/>
        </w:rPr>
      </w:pPr>
      <w:r w:rsidRPr="004676F5">
        <w:rPr>
          <w:lang w:val="de-DE"/>
        </w:rPr>
        <w:t>Die zu diesem Zweck vom Minister bestellten Bediensteten sind befugt, alle Informa</w:t>
      </w:r>
      <w:r w:rsidRPr="004676F5">
        <w:rPr>
          <w:lang w:val="de-DE"/>
        </w:rPr>
        <w:softHyphen/>
        <w:t>tionen zusammenzutragen und alle schriftlichen oder mündlichen Erklärungen und Aussagen aufzunehmen, die sie für die Erfüllung ihres Auftrags als erforderlich erachten.</w:t>
      </w:r>
    </w:p>
    <w:p w14:paraId="0E2BE4E3" w14:textId="77777777" w:rsidR="001527B1" w:rsidRPr="004676F5" w:rsidRDefault="001527B1" w:rsidP="001527B1">
      <w:pPr>
        <w:ind w:firstLine="708"/>
        <w:jc w:val="both"/>
        <w:rPr>
          <w:lang w:val="de-DE"/>
        </w:rPr>
      </w:pPr>
    </w:p>
    <w:p w14:paraId="44F88127" w14:textId="77777777" w:rsidR="001527B1" w:rsidRPr="004676F5" w:rsidRDefault="001527B1" w:rsidP="001527B1">
      <w:pPr>
        <w:ind w:firstLine="708"/>
        <w:jc w:val="both"/>
        <w:rPr>
          <w:lang w:val="de-DE"/>
        </w:rPr>
      </w:pPr>
      <w:r w:rsidRPr="004676F5">
        <w:rPr>
          <w:lang w:val="de-DE"/>
        </w:rPr>
        <w:t>In der Ausübung ihres Amtes dürfen die Bediensteten:</w:t>
      </w:r>
    </w:p>
    <w:p w14:paraId="0C7F80D9" w14:textId="77777777" w:rsidR="001527B1" w:rsidRPr="004676F5" w:rsidRDefault="001527B1" w:rsidP="001527B1">
      <w:pPr>
        <w:ind w:firstLine="708"/>
        <w:jc w:val="both"/>
        <w:rPr>
          <w:lang w:val="de-DE"/>
        </w:rPr>
      </w:pPr>
    </w:p>
    <w:p w14:paraId="127EC9D8" w14:textId="2AAE6201" w:rsidR="001527B1" w:rsidRPr="004676F5" w:rsidRDefault="001527B1" w:rsidP="001527B1">
      <w:pPr>
        <w:ind w:firstLine="708"/>
        <w:jc w:val="both"/>
        <w:rPr>
          <w:lang w:val="de-DE"/>
        </w:rPr>
      </w:pPr>
      <w:r w:rsidRPr="004676F5">
        <w:rPr>
          <w:lang w:val="de-DE"/>
        </w:rPr>
        <w:t>1. nach vorheriger Ankündigung mindestens fünf Werktage im Voraus oder ohne vorherige Ankündigung, falls der begründete Verdacht besteht, dass Schriftstücke, die für die Untersuchung des Antrags auf Zwangslizenz nützlich sein können, zerstört werden könnten, während der üblichen Öffnungs</w:t>
      </w:r>
      <w:r w:rsidR="005B7A5C" w:rsidRPr="004676F5">
        <w:rPr>
          <w:lang w:val="de-DE"/>
        </w:rPr>
        <w:t>- </w:t>
      </w:r>
      <w:r w:rsidRPr="004676F5">
        <w:rPr>
          <w:lang w:val="de-DE"/>
        </w:rPr>
        <w:t>beziehungsweise Arbeitszeiten Büroräume, Räumlichkeiten, Werkstätten, Gebäude, angrenzende Höfe und eingefriedete Grundstücke betreten, zu denen sie für die Erfüllung ihres Auftrags Zugang haben müssen,</w:t>
      </w:r>
    </w:p>
    <w:p w14:paraId="2512221C" w14:textId="77777777" w:rsidR="001527B1" w:rsidRPr="004676F5" w:rsidRDefault="001527B1" w:rsidP="001527B1">
      <w:pPr>
        <w:ind w:firstLine="708"/>
        <w:jc w:val="both"/>
        <w:rPr>
          <w:lang w:val="de-DE"/>
        </w:rPr>
      </w:pPr>
    </w:p>
    <w:p w14:paraId="43B36051" w14:textId="77777777" w:rsidR="001527B1" w:rsidRPr="004676F5" w:rsidRDefault="001527B1" w:rsidP="001527B1">
      <w:pPr>
        <w:ind w:firstLine="708"/>
        <w:jc w:val="both"/>
        <w:rPr>
          <w:lang w:val="de-DE"/>
        </w:rPr>
      </w:pPr>
      <w:r w:rsidRPr="004676F5">
        <w:rPr>
          <w:lang w:val="de-DE"/>
        </w:rPr>
        <w:t>2. alle zweckdienlichen Feststellungen machen, sich bei der ersten Forderung an Ort und Stelle die für ihre Ermittlungen und Feststellungen erforderlichen Unterlagen, Belege und Bücher vorlegen lassen und Abschriften davon anfertigen,</w:t>
      </w:r>
    </w:p>
    <w:p w14:paraId="5382DC97" w14:textId="77777777" w:rsidR="001527B1" w:rsidRPr="004676F5" w:rsidRDefault="001527B1" w:rsidP="001527B1">
      <w:pPr>
        <w:ind w:firstLine="708"/>
        <w:jc w:val="both"/>
        <w:rPr>
          <w:lang w:val="de-DE"/>
        </w:rPr>
      </w:pPr>
    </w:p>
    <w:p w14:paraId="5E556C8A" w14:textId="77777777" w:rsidR="001527B1" w:rsidRPr="004676F5" w:rsidRDefault="001527B1" w:rsidP="001527B1">
      <w:pPr>
        <w:ind w:firstLine="708"/>
        <w:jc w:val="both"/>
        <w:rPr>
          <w:lang w:val="de-DE"/>
        </w:rPr>
      </w:pPr>
      <w:r w:rsidRPr="004676F5">
        <w:rPr>
          <w:lang w:val="de-DE"/>
        </w:rPr>
        <w:t>3. gemäß den vom König bestimmten Modalitäten und Bedingungen Proben entnehmen,</w:t>
      </w:r>
    </w:p>
    <w:p w14:paraId="0E31C240" w14:textId="77777777" w:rsidR="001527B1" w:rsidRPr="004676F5" w:rsidRDefault="001527B1" w:rsidP="001527B1">
      <w:pPr>
        <w:ind w:firstLine="708"/>
        <w:jc w:val="both"/>
        <w:rPr>
          <w:lang w:val="de-DE"/>
        </w:rPr>
      </w:pPr>
    </w:p>
    <w:p w14:paraId="25F5DC1B" w14:textId="77777777" w:rsidR="001527B1" w:rsidRPr="004676F5" w:rsidRDefault="001527B1" w:rsidP="001527B1">
      <w:pPr>
        <w:ind w:firstLine="708"/>
        <w:jc w:val="both"/>
        <w:rPr>
          <w:lang w:val="de-DE"/>
        </w:rPr>
      </w:pPr>
      <w:r w:rsidRPr="004676F5">
        <w:rPr>
          <w:lang w:val="de-DE"/>
        </w:rPr>
        <w:t>4. die in Nr. 2 erwähnten Unterlagen, die für die Erfüllung ihres Auftrags erforderlich sind, gegen Empfangsbescheinigung beschlagnahmen,</w:t>
      </w:r>
    </w:p>
    <w:p w14:paraId="6409BCE4" w14:textId="77777777" w:rsidR="001527B1" w:rsidRPr="004676F5" w:rsidRDefault="001527B1" w:rsidP="001527B1">
      <w:pPr>
        <w:ind w:firstLine="708"/>
        <w:jc w:val="both"/>
        <w:rPr>
          <w:lang w:val="de-DE"/>
        </w:rPr>
      </w:pPr>
    </w:p>
    <w:p w14:paraId="64A062CC" w14:textId="77777777" w:rsidR="001527B1" w:rsidRPr="004676F5" w:rsidRDefault="001527B1" w:rsidP="001527B1">
      <w:pPr>
        <w:ind w:firstLine="708"/>
        <w:jc w:val="both"/>
        <w:rPr>
          <w:lang w:val="de-DE"/>
        </w:rPr>
      </w:pPr>
      <w:r w:rsidRPr="004676F5">
        <w:rPr>
          <w:lang w:val="de-DE"/>
        </w:rPr>
        <w:t>5. gemäß den vom König bestimmten Bedingungen Sachverständige mit einem von ihnen bestimmten Auftrag betrauen.</w:t>
      </w:r>
    </w:p>
    <w:p w14:paraId="77FB227E" w14:textId="77777777" w:rsidR="001527B1" w:rsidRPr="004676F5" w:rsidRDefault="001527B1" w:rsidP="001527B1">
      <w:pPr>
        <w:ind w:firstLine="708"/>
        <w:jc w:val="both"/>
        <w:rPr>
          <w:lang w:val="de-DE"/>
        </w:rPr>
      </w:pPr>
    </w:p>
    <w:p w14:paraId="78673BAC" w14:textId="77777777" w:rsidR="001527B1" w:rsidRPr="004676F5" w:rsidRDefault="001527B1" w:rsidP="001527B1">
      <w:pPr>
        <w:ind w:firstLine="708"/>
        <w:jc w:val="both"/>
        <w:rPr>
          <w:lang w:val="de-DE"/>
        </w:rPr>
      </w:pPr>
      <w:r w:rsidRPr="004676F5">
        <w:rPr>
          <w:lang w:val="de-DE"/>
        </w:rPr>
        <w:t>In Ermangelung einer Bestätigung seitens des Präsidenten des Ausschusses binnen fünfzehn Tagen ist die Beschlagnahme von Rechts wegen aufgehoben. Personen, bei denen die Gegenstände beschlagnahmt werden, können vom Gericht als Verwahrer dieser Gegenstände bestellt werden.</w:t>
      </w:r>
    </w:p>
    <w:p w14:paraId="2B693816" w14:textId="77777777" w:rsidR="001527B1" w:rsidRPr="004676F5" w:rsidRDefault="001527B1" w:rsidP="001527B1">
      <w:pPr>
        <w:ind w:firstLine="708"/>
        <w:jc w:val="both"/>
        <w:rPr>
          <w:lang w:val="de-DE"/>
        </w:rPr>
      </w:pPr>
    </w:p>
    <w:p w14:paraId="7E996E8B" w14:textId="77777777" w:rsidR="001527B1" w:rsidRPr="004676F5" w:rsidRDefault="001527B1" w:rsidP="001527B1">
      <w:pPr>
        <w:ind w:firstLine="708"/>
        <w:jc w:val="both"/>
        <w:rPr>
          <w:lang w:val="de-DE"/>
        </w:rPr>
      </w:pPr>
      <w:r w:rsidRPr="004676F5">
        <w:rPr>
          <w:lang w:val="de-DE"/>
        </w:rPr>
        <w:t>Der Präsident des Ausschusses kann die von ihm bestätigte Beschlagnahme gegebenenfalls auf einen an den Ausschuss gerichteten Antrag des Eigentümers der beschlagnahmten Gegenstände hin aufheben.</w:t>
      </w:r>
    </w:p>
    <w:p w14:paraId="5F32C06F" w14:textId="77777777" w:rsidR="001527B1" w:rsidRPr="004676F5" w:rsidRDefault="001527B1" w:rsidP="001527B1">
      <w:pPr>
        <w:ind w:firstLine="708"/>
        <w:jc w:val="both"/>
        <w:rPr>
          <w:lang w:val="de-DE"/>
        </w:rPr>
      </w:pPr>
    </w:p>
    <w:p w14:paraId="390D3891" w14:textId="23B3A1D0" w:rsidR="001527B1" w:rsidRPr="004676F5" w:rsidRDefault="001527B1" w:rsidP="001527B1">
      <w:pPr>
        <w:ind w:firstLine="708"/>
        <w:jc w:val="both"/>
        <w:rPr>
          <w:lang w:val="de-DE"/>
        </w:rPr>
      </w:pPr>
      <w:r w:rsidRPr="004676F5">
        <w:rPr>
          <w:lang w:val="de-DE"/>
        </w:rPr>
        <w:t xml:space="preserve">Nach vorheriger Ankündigung mindestens fünf Werktage im Voraus oder ohne vorherige Ankündigung, falls der begründete Verdacht besteht, dass Schriftstücke, die für die Untersuchung des Antrags auf Zwangslizenz nützlich sein können, zerstört werden könnten, dürfen die bestellten Bediensteten mit vorheriger Ermächtigung des Präsidenten des </w:t>
      </w:r>
      <w:r w:rsidR="00710C79" w:rsidRPr="004676F5">
        <w:rPr>
          <w:lang w:val="de-DE"/>
        </w:rPr>
        <w:t xml:space="preserve">[Unternehmensgerichts] </w:t>
      </w:r>
      <w:r w:rsidRPr="004676F5">
        <w:rPr>
          <w:lang w:val="de-DE"/>
        </w:rPr>
        <w:t xml:space="preserve">bewohnte Räumlichkeiten betreten. Besuche in bewohnten </w:t>
      </w:r>
      <w:r w:rsidRPr="004676F5">
        <w:rPr>
          <w:lang w:val="de-DE"/>
        </w:rPr>
        <w:lastRenderedPageBreak/>
        <w:t>Räumlichkeiten müssen zwischen acht und achtzehn Uhr erfolgen und von mindestens zwei Bediensteten gemeinsam durchgeführt werden.</w:t>
      </w:r>
    </w:p>
    <w:p w14:paraId="4B3FEF23" w14:textId="77777777" w:rsidR="001527B1" w:rsidRPr="004676F5" w:rsidRDefault="001527B1" w:rsidP="001527B1">
      <w:pPr>
        <w:ind w:firstLine="708"/>
        <w:jc w:val="both"/>
        <w:rPr>
          <w:lang w:val="de-DE"/>
        </w:rPr>
      </w:pPr>
    </w:p>
    <w:p w14:paraId="6EC5F119" w14:textId="77777777" w:rsidR="001527B1" w:rsidRPr="004676F5" w:rsidRDefault="001527B1" w:rsidP="001527B1">
      <w:pPr>
        <w:ind w:firstLine="708"/>
        <w:jc w:val="both"/>
        <w:rPr>
          <w:lang w:val="de-DE"/>
        </w:rPr>
      </w:pPr>
      <w:r w:rsidRPr="004676F5">
        <w:rPr>
          <w:lang w:val="de-DE"/>
        </w:rPr>
        <w:t>In der Ausführung ihres Auftrags dürfen sie die Unterstützung der Polizeidienste anfordern.</w:t>
      </w:r>
    </w:p>
    <w:p w14:paraId="3ABF2EB0" w14:textId="77777777" w:rsidR="001527B1" w:rsidRPr="004676F5" w:rsidRDefault="001527B1" w:rsidP="001527B1">
      <w:pPr>
        <w:ind w:firstLine="708"/>
        <w:jc w:val="both"/>
        <w:rPr>
          <w:lang w:val="de-DE"/>
        </w:rPr>
      </w:pPr>
    </w:p>
    <w:p w14:paraId="536EF146" w14:textId="77777777" w:rsidR="001527B1" w:rsidRPr="004676F5" w:rsidRDefault="001527B1" w:rsidP="001527B1">
      <w:pPr>
        <w:ind w:firstLine="708"/>
        <w:jc w:val="both"/>
        <w:rPr>
          <w:lang w:val="de-DE"/>
        </w:rPr>
      </w:pPr>
      <w:r w:rsidRPr="004676F5">
        <w:rPr>
          <w:lang w:val="de-DE"/>
        </w:rPr>
        <w:t>Die bestellten Bediensteten üben die ihnen durch vorliegenden Artikel erteilten Befugnisse unter Aufsicht des Generalprokurators aus unbeschadet der Tatsache, dass sie ihren Verwaltungsvorgesetzten untergeordnet bleiben.</w:t>
      </w:r>
    </w:p>
    <w:p w14:paraId="622AF460" w14:textId="77777777" w:rsidR="001527B1" w:rsidRPr="004676F5" w:rsidRDefault="001527B1" w:rsidP="00710C79">
      <w:pPr>
        <w:jc w:val="both"/>
        <w:rPr>
          <w:lang w:val="de-DE"/>
        </w:rPr>
      </w:pPr>
    </w:p>
    <w:p w14:paraId="24EE00EF" w14:textId="3AA29F1E"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zu diesem Zweck bestellten Bediensteten übermitteln dem Ausschuss ihren Bericht. Der Ausschuss gibt seine Stellungnahme erst ab, nachdem er den Sortenschutz</w:t>
      </w:r>
      <w:r w:rsidRPr="004676F5">
        <w:rPr>
          <w:lang w:val="de-DE"/>
        </w:rPr>
        <w:softHyphen/>
        <w:t>inhaber und die Person, die eine Zwangslizenz beantragt oder erhalten hat, angehört hat. Ein Anwalt oder eine Person, die der Ausschuss eigens für jede Sache zulässt, kann diesen Personen beistehen oder sie vertreten. Der Ausschuss hört auch Sachverständige und Personen an, deren Anhörung er als nützlich erachtet. Er kann die bestellten Bediensteten beauftragen, eine ergänzende Untersuchung durchzuführen oder ihm einen ergänzenden Bericht zu übermitteln.</w:t>
      </w:r>
    </w:p>
    <w:p w14:paraId="59A6A68A" w14:textId="77777777" w:rsidR="001527B1" w:rsidRPr="004676F5" w:rsidRDefault="001527B1" w:rsidP="001527B1">
      <w:pPr>
        <w:ind w:firstLine="708"/>
        <w:jc w:val="both"/>
        <w:rPr>
          <w:lang w:val="de-DE"/>
        </w:rPr>
      </w:pPr>
    </w:p>
    <w:p w14:paraId="694FF48A" w14:textId="77777777" w:rsidR="001527B1" w:rsidRPr="004676F5" w:rsidRDefault="001527B1" w:rsidP="001527B1">
      <w:pPr>
        <w:ind w:firstLine="708"/>
        <w:jc w:val="both"/>
        <w:rPr>
          <w:lang w:val="de-DE"/>
        </w:rPr>
      </w:pPr>
      <w:r w:rsidRPr="004676F5">
        <w:rPr>
          <w:lang w:val="de-DE"/>
        </w:rPr>
        <w:t>Mindestens einen Monat vor dem Datum der Versammlung des Ausschusses benachrichtigt der Ausschuss per Einschreiben die Personen, die im Laufe dieser Versammlung angehört werden müssen. In dringenden Fällen wird die Frist um die Hälfte verkürzt.</w:t>
      </w:r>
    </w:p>
    <w:p w14:paraId="3B654E5D" w14:textId="77777777" w:rsidR="001527B1" w:rsidRPr="004676F5" w:rsidRDefault="001527B1" w:rsidP="001527B1">
      <w:pPr>
        <w:ind w:firstLine="708"/>
        <w:jc w:val="both"/>
        <w:rPr>
          <w:lang w:val="de-DE"/>
        </w:rPr>
      </w:pPr>
    </w:p>
    <w:p w14:paraId="387C25C5" w14:textId="3C1C8467"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Betriebskosten des Ausschusses gehen zu Lasten des Haushaltsplans des in Artikel XI.127 § 1 erwähnten Föderalen Öffentlichen Dienstes.</w:t>
      </w:r>
    </w:p>
    <w:p w14:paraId="455D1682" w14:textId="1F3549ED" w:rsidR="00710C79" w:rsidRPr="004676F5" w:rsidRDefault="00710C79" w:rsidP="001527B1">
      <w:pPr>
        <w:ind w:firstLine="708"/>
        <w:jc w:val="both"/>
        <w:rPr>
          <w:lang w:val="de-DE"/>
        </w:rPr>
      </w:pPr>
    </w:p>
    <w:p w14:paraId="5A61D4A0" w14:textId="56ACE575" w:rsidR="00710C79" w:rsidRPr="004676F5" w:rsidRDefault="00710C79" w:rsidP="00710C79">
      <w:pPr>
        <w:jc w:val="both"/>
        <w:rPr>
          <w:i/>
          <w:lang w:val="de-DE"/>
        </w:rPr>
      </w:pPr>
      <w:r w:rsidRPr="004676F5">
        <w:rPr>
          <w:i/>
          <w:lang w:val="de-DE"/>
        </w:rPr>
        <w:t>[Art. XI.128 § 2 Abs. 7 abgeändert durc</w:t>
      </w:r>
      <w:r w:rsidR="0064464E" w:rsidRPr="004676F5">
        <w:rPr>
          <w:i/>
          <w:lang w:val="de-DE"/>
        </w:rPr>
        <w:t>h Art. 252 des G. vom 15. April </w:t>
      </w:r>
      <w:r w:rsidRPr="004676F5">
        <w:rPr>
          <w:i/>
          <w:lang w:val="de-DE"/>
        </w:rPr>
        <w:t>2018 (B.S. vom 27.</w:t>
      </w:r>
      <w:r w:rsidR="0064464E" w:rsidRPr="004676F5">
        <w:rPr>
          <w:i/>
          <w:lang w:val="de-DE"/>
        </w:rPr>
        <w:t> </w:t>
      </w:r>
      <w:r w:rsidRPr="004676F5">
        <w:rPr>
          <w:i/>
          <w:lang w:val="de-DE"/>
        </w:rPr>
        <w:t>Apr</w:t>
      </w:r>
      <w:r w:rsidR="0064464E" w:rsidRPr="004676F5">
        <w:rPr>
          <w:i/>
          <w:lang w:val="de-DE"/>
        </w:rPr>
        <w:t>il </w:t>
      </w:r>
      <w:r w:rsidRPr="004676F5">
        <w:rPr>
          <w:i/>
          <w:lang w:val="de-DE"/>
        </w:rPr>
        <w:t>2018)]</w:t>
      </w:r>
    </w:p>
    <w:p w14:paraId="0DC1C432" w14:textId="77777777" w:rsidR="001527B1" w:rsidRPr="004676F5" w:rsidRDefault="001527B1" w:rsidP="001527B1">
      <w:pPr>
        <w:ind w:firstLine="708"/>
        <w:jc w:val="both"/>
        <w:rPr>
          <w:lang w:val="de-DE"/>
        </w:rPr>
      </w:pPr>
    </w:p>
    <w:p w14:paraId="5D906C88" w14:textId="77777777" w:rsidR="00435B6C" w:rsidRPr="004676F5" w:rsidRDefault="00435B6C" w:rsidP="001527B1">
      <w:pPr>
        <w:jc w:val="center"/>
        <w:rPr>
          <w:lang w:val="de-DE"/>
        </w:rPr>
      </w:pPr>
    </w:p>
    <w:p w14:paraId="08A08A5B" w14:textId="77777777" w:rsidR="00435B6C" w:rsidRPr="004676F5" w:rsidRDefault="00435B6C">
      <w:pPr>
        <w:rPr>
          <w:lang w:val="de-DE"/>
        </w:rPr>
      </w:pPr>
      <w:r w:rsidRPr="004676F5">
        <w:rPr>
          <w:lang w:val="de-DE"/>
        </w:rPr>
        <w:br w:type="page"/>
      </w:r>
    </w:p>
    <w:p w14:paraId="11E87C95" w14:textId="64021386" w:rsidR="001527B1" w:rsidRPr="004676F5" w:rsidRDefault="001527B1" w:rsidP="001527B1">
      <w:pPr>
        <w:jc w:val="center"/>
        <w:rPr>
          <w:lang w:val="de-DE"/>
        </w:rPr>
      </w:pPr>
      <w:r w:rsidRPr="004676F5">
        <w:rPr>
          <w:lang w:val="de-DE"/>
        </w:rPr>
        <w:lastRenderedPageBreak/>
        <w:t>KAPITEL 3 </w:t>
      </w:r>
      <w:r w:rsidR="005B7A5C" w:rsidRPr="004676F5">
        <w:rPr>
          <w:lang w:val="de-DE"/>
        </w:rPr>
        <w:t>- </w:t>
      </w:r>
      <w:r w:rsidRPr="004676F5">
        <w:rPr>
          <w:i/>
          <w:lang w:val="de-DE"/>
        </w:rPr>
        <w:t>Verfahren vor dem Amt</w:t>
      </w:r>
    </w:p>
    <w:p w14:paraId="1F002A76" w14:textId="77777777" w:rsidR="001527B1" w:rsidRPr="004676F5" w:rsidRDefault="001527B1" w:rsidP="001527B1">
      <w:pPr>
        <w:ind w:firstLine="708"/>
        <w:jc w:val="center"/>
        <w:rPr>
          <w:lang w:val="de-DE"/>
        </w:rPr>
      </w:pPr>
    </w:p>
    <w:p w14:paraId="6469AB89" w14:textId="77777777" w:rsidR="00435B6C" w:rsidRPr="004676F5" w:rsidRDefault="00435B6C" w:rsidP="001527B1">
      <w:pPr>
        <w:jc w:val="center"/>
        <w:rPr>
          <w:i/>
          <w:lang w:val="de-DE"/>
        </w:rPr>
      </w:pPr>
    </w:p>
    <w:p w14:paraId="44E6893A" w14:textId="1862EF54" w:rsidR="001527B1" w:rsidRPr="004676F5" w:rsidRDefault="001527B1" w:rsidP="001527B1">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Verfahrensbeteiligte und Verfahrensvertreter</w:t>
      </w:r>
    </w:p>
    <w:p w14:paraId="5B2B4378" w14:textId="77777777" w:rsidR="001527B1" w:rsidRPr="004676F5" w:rsidRDefault="001527B1" w:rsidP="001527B1">
      <w:pPr>
        <w:ind w:firstLine="708"/>
        <w:jc w:val="both"/>
        <w:rPr>
          <w:lang w:val="de-DE"/>
        </w:rPr>
      </w:pPr>
    </w:p>
    <w:p w14:paraId="25C844C9" w14:textId="77777777" w:rsidR="00435B6C" w:rsidRPr="004676F5" w:rsidRDefault="00435B6C" w:rsidP="001527B1">
      <w:pPr>
        <w:ind w:firstLine="708"/>
        <w:jc w:val="both"/>
        <w:rPr>
          <w:lang w:val="de-DE"/>
        </w:rPr>
      </w:pPr>
    </w:p>
    <w:p w14:paraId="0F03A5F8" w14:textId="7970A934" w:rsidR="001527B1" w:rsidRPr="004676F5" w:rsidRDefault="00BE0A56" w:rsidP="001527B1">
      <w:pPr>
        <w:ind w:firstLine="708"/>
        <w:jc w:val="both"/>
        <w:rPr>
          <w:lang w:val="de-DE"/>
        </w:rPr>
      </w:pPr>
      <w:r w:rsidRPr="004676F5">
        <w:rPr>
          <w:b/>
          <w:lang w:val="de-DE"/>
        </w:rPr>
        <w:t>Art. </w:t>
      </w:r>
      <w:r w:rsidR="001527B1" w:rsidRPr="004676F5">
        <w:rPr>
          <w:b/>
          <w:lang w:val="de-DE"/>
        </w:rPr>
        <w:t>XI.129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Am Verfahren vor dem Amt können folgende Personen beteiligt sein:</w:t>
      </w:r>
    </w:p>
    <w:p w14:paraId="1A02D17F" w14:textId="77777777" w:rsidR="001527B1" w:rsidRPr="004676F5" w:rsidRDefault="001527B1" w:rsidP="001527B1">
      <w:pPr>
        <w:ind w:firstLine="708"/>
        <w:jc w:val="both"/>
        <w:rPr>
          <w:lang w:val="de-DE"/>
        </w:rPr>
      </w:pPr>
    </w:p>
    <w:p w14:paraId="792BA3AA" w14:textId="77777777" w:rsidR="001527B1" w:rsidRPr="004676F5" w:rsidRDefault="001527B1" w:rsidP="001527B1">
      <w:pPr>
        <w:ind w:firstLine="708"/>
        <w:jc w:val="both"/>
        <w:rPr>
          <w:lang w:val="de-DE"/>
        </w:rPr>
      </w:pPr>
      <w:r w:rsidRPr="004676F5">
        <w:rPr>
          <w:lang w:val="de-DE"/>
        </w:rPr>
        <w:t>1. die Person, die einen Antrag auf Sortenschutz stellt,</w:t>
      </w:r>
    </w:p>
    <w:p w14:paraId="1A32A93F" w14:textId="77777777" w:rsidR="001527B1" w:rsidRPr="004676F5" w:rsidRDefault="001527B1" w:rsidP="001527B1">
      <w:pPr>
        <w:ind w:firstLine="708"/>
        <w:jc w:val="both"/>
        <w:rPr>
          <w:lang w:val="de-DE"/>
        </w:rPr>
      </w:pPr>
    </w:p>
    <w:p w14:paraId="24938C5D" w14:textId="77777777" w:rsidR="001527B1" w:rsidRPr="004676F5" w:rsidRDefault="001527B1" w:rsidP="001527B1">
      <w:pPr>
        <w:ind w:firstLine="708"/>
        <w:jc w:val="both"/>
        <w:rPr>
          <w:lang w:val="de-DE"/>
        </w:rPr>
      </w:pPr>
      <w:r w:rsidRPr="004676F5">
        <w:rPr>
          <w:lang w:val="de-DE"/>
        </w:rPr>
        <w:t>2. der Einwender im Sinne von Artikel XI.139 § 1,</w:t>
      </w:r>
    </w:p>
    <w:p w14:paraId="4B7C8149" w14:textId="77777777" w:rsidR="001527B1" w:rsidRPr="004676F5" w:rsidRDefault="001527B1" w:rsidP="001527B1">
      <w:pPr>
        <w:ind w:firstLine="708"/>
        <w:jc w:val="both"/>
        <w:rPr>
          <w:lang w:val="de-DE"/>
        </w:rPr>
      </w:pPr>
    </w:p>
    <w:p w14:paraId="02789B86" w14:textId="77777777" w:rsidR="001527B1" w:rsidRPr="004676F5" w:rsidRDefault="001527B1" w:rsidP="001527B1">
      <w:pPr>
        <w:ind w:firstLine="708"/>
        <w:jc w:val="both"/>
        <w:rPr>
          <w:lang w:val="de-DE"/>
        </w:rPr>
      </w:pPr>
      <w:r w:rsidRPr="004676F5">
        <w:rPr>
          <w:lang w:val="de-DE"/>
        </w:rPr>
        <w:t>3. der Inhaber,</w:t>
      </w:r>
    </w:p>
    <w:p w14:paraId="67F31A86" w14:textId="77777777" w:rsidR="001527B1" w:rsidRPr="004676F5" w:rsidRDefault="001527B1" w:rsidP="001527B1">
      <w:pPr>
        <w:ind w:firstLine="708"/>
        <w:jc w:val="both"/>
        <w:rPr>
          <w:lang w:val="de-DE"/>
        </w:rPr>
      </w:pPr>
    </w:p>
    <w:p w14:paraId="744D8562" w14:textId="77777777" w:rsidR="001527B1" w:rsidRPr="004676F5" w:rsidRDefault="001527B1" w:rsidP="001527B1">
      <w:pPr>
        <w:ind w:firstLine="708"/>
        <w:jc w:val="both"/>
        <w:rPr>
          <w:lang w:val="de-DE"/>
        </w:rPr>
      </w:pPr>
      <w:r w:rsidRPr="004676F5">
        <w:rPr>
          <w:lang w:val="de-DE"/>
        </w:rPr>
        <w:t>4. jede Person, deren Antrag oder Begehr eine Voraussetzung für eine Entscheidung des Amtes ist.</w:t>
      </w:r>
    </w:p>
    <w:p w14:paraId="5D02F75D" w14:textId="77777777" w:rsidR="001527B1" w:rsidRPr="004676F5" w:rsidRDefault="001527B1" w:rsidP="001527B1">
      <w:pPr>
        <w:ind w:firstLine="708"/>
        <w:jc w:val="both"/>
        <w:rPr>
          <w:lang w:val="de-DE"/>
        </w:rPr>
      </w:pPr>
    </w:p>
    <w:p w14:paraId="55D880E0" w14:textId="24981EDD"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Amt kann andere als in § 1 genannte Personen, die unmittelbar und persönlich betroffen sind, auf schriftlichen Antrag als Verfahrensbeteiligte zulassen.</w:t>
      </w:r>
    </w:p>
    <w:p w14:paraId="6DD50643" w14:textId="77777777" w:rsidR="001527B1" w:rsidRPr="004676F5" w:rsidRDefault="001527B1" w:rsidP="001527B1">
      <w:pPr>
        <w:ind w:firstLine="708"/>
        <w:jc w:val="both"/>
        <w:rPr>
          <w:lang w:val="de-DE"/>
        </w:rPr>
      </w:pPr>
    </w:p>
    <w:p w14:paraId="205E1FF8" w14:textId="38278EF0"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Als Person im Sinne der Paragraphen 1 und 2 gelten natürliche oder juristische Personen und Einrichtungen, die nach dem für sie geltenden Recht als juristische Personen angesehen werden.</w:t>
      </w:r>
    </w:p>
    <w:p w14:paraId="55FD28A9" w14:textId="77777777" w:rsidR="001527B1" w:rsidRPr="004676F5" w:rsidRDefault="001527B1" w:rsidP="001527B1">
      <w:pPr>
        <w:ind w:firstLine="708"/>
        <w:jc w:val="both"/>
        <w:rPr>
          <w:lang w:val="de-DE"/>
        </w:rPr>
      </w:pPr>
    </w:p>
    <w:p w14:paraId="6C0DC4BE" w14:textId="77777777" w:rsidR="00435B6C" w:rsidRPr="004676F5" w:rsidRDefault="00435B6C" w:rsidP="001527B1">
      <w:pPr>
        <w:ind w:firstLine="708"/>
        <w:jc w:val="both"/>
        <w:rPr>
          <w:lang w:val="de-DE"/>
        </w:rPr>
      </w:pPr>
    </w:p>
    <w:p w14:paraId="674195B2" w14:textId="75BA5FF9" w:rsidR="001527B1" w:rsidRPr="004676F5" w:rsidRDefault="00BE0A56" w:rsidP="001527B1">
      <w:pPr>
        <w:ind w:firstLine="708"/>
        <w:jc w:val="both"/>
        <w:rPr>
          <w:lang w:val="de-DE"/>
        </w:rPr>
      </w:pPr>
      <w:r w:rsidRPr="004676F5">
        <w:rPr>
          <w:b/>
          <w:lang w:val="de-DE"/>
        </w:rPr>
        <w:t>Art. </w:t>
      </w:r>
      <w:r w:rsidR="001527B1" w:rsidRPr="004676F5">
        <w:rPr>
          <w:b/>
          <w:lang w:val="de-DE"/>
        </w:rPr>
        <w:t>XI.130</w:t>
      </w:r>
      <w:r w:rsidR="001527B1" w:rsidRPr="004676F5">
        <w:rPr>
          <w:lang w:val="de-DE"/>
        </w:rPr>
        <w:t> </w:t>
      </w:r>
      <w:r w:rsidR="005B7A5C" w:rsidRPr="004676F5">
        <w:rPr>
          <w:lang w:val="de-DE"/>
        </w:rPr>
        <w:t>- </w:t>
      </w:r>
      <w:r w:rsidR="001527B1" w:rsidRPr="004676F5">
        <w:rPr>
          <w:lang w:val="de-DE"/>
        </w:rPr>
        <w:t>Benennungen von Verfahrensvertretern erfolgen gemäß den vom König festgelegten Modalitäten.</w:t>
      </w:r>
    </w:p>
    <w:p w14:paraId="5A18C46D" w14:textId="77777777" w:rsidR="001527B1" w:rsidRPr="004676F5" w:rsidRDefault="001527B1" w:rsidP="001527B1">
      <w:pPr>
        <w:ind w:firstLine="708"/>
        <w:jc w:val="both"/>
        <w:rPr>
          <w:lang w:val="de-DE"/>
        </w:rPr>
      </w:pPr>
    </w:p>
    <w:p w14:paraId="03345F9F" w14:textId="77777777" w:rsidR="00435B6C" w:rsidRPr="004676F5" w:rsidRDefault="00435B6C" w:rsidP="001527B1">
      <w:pPr>
        <w:ind w:firstLine="708"/>
        <w:jc w:val="both"/>
        <w:rPr>
          <w:lang w:val="de-DE"/>
        </w:rPr>
      </w:pPr>
    </w:p>
    <w:p w14:paraId="0B44F7F5" w14:textId="5C299320" w:rsidR="001527B1" w:rsidRPr="004676F5" w:rsidRDefault="001527B1" w:rsidP="001527B1">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Antrag</w:t>
      </w:r>
    </w:p>
    <w:p w14:paraId="6FE93763" w14:textId="77777777" w:rsidR="001527B1" w:rsidRPr="004676F5" w:rsidRDefault="001527B1" w:rsidP="001527B1">
      <w:pPr>
        <w:ind w:firstLine="708"/>
        <w:jc w:val="both"/>
        <w:rPr>
          <w:lang w:val="de-DE"/>
        </w:rPr>
      </w:pPr>
    </w:p>
    <w:p w14:paraId="60FEC970" w14:textId="77777777" w:rsidR="00435B6C" w:rsidRPr="004676F5" w:rsidRDefault="00435B6C" w:rsidP="001527B1">
      <w:pPr>
        <w:ind w:firstLine="708"/>
        <w:jc w:val="both"/>
        <w:rPr>
          <w:lang w:val="de-DE"/>
        </w:rPr>
      </w:pPr>
    </w:p>
    <w:p w14:paraId="2982C1C1" w14:textId="4A05E4D8" w:rsidR="001527B1" w:rsidRPr="004676F5" w:rsidRDefault="00BE0A56" w:rsidP="001527B1">
      <w:pPr>
        <w:ind w:firstLine="708"/>
        <w:jc w:val="both"/>
        <w:rPr>
          <w:lang w:val="de-DE"/>
        </w:rPr>
      </w:pPr>
      <w:r w:rsidRPr="004676F5">
        <w:rPr>
          <w:b/>
          <w:lang w:val="de-DE"/>
        </w:rPr>
        <w:t>Art. </w:t>
      </w:r>
      <w:r w:rsidR="001527B1" w:rsidRPr="004676F5">
        <w:rPr>
          <w:b/>
          <w:lang w:val="de-DE"/>
        </w:rPr>
        <w:t>XI.131</w:t>
      </w:r>
      <w:r w:rsidR="001527B1" w:rsidRPr="004676F5">
        <w:rPr>
          <w:lang w:val="de-DE"/>
        </w:rPr>
        <w:t> </w:t>
      </w:r>
      <w:r w:rsidR="005B7A5C" w:rsidRPr="004676F5">
        <w:rPr>
          <w:lang w:val="de-DE"/>
        </w:rPr>
        <w:t>- </w:t>
      </w:r>
      <w:r w:rsidR="001527B1" w:rsidRPr="004676F5">
        <w:rPr>
          <w:lang w:val="de-DE"/>
        </w:rPr>
        <w:t>Die Einreichung des Antrags auf Sortenschutz beim Amt erfolgt entweder persönlich, auf dem Postweg oder auf eine andere vom König festgelegte Weise.</w:t>
      </w:r>
    </w:p>
    <w:p w14:paraId="184FCA74" w14:textId="77777777" w:rsidR="001527B1" w:rsidRPr="004676F5" w:rsidRDefault="001527B1" w:rsidP="001527B1">
      <w:pPr>
        <w:ind w:firstLine="708"/>
        <w:jc w:val="both"/>
        <w:rPr>
          <w:lang w:val="de-DE"/>
        </w:rPr>
      </w:pPr>
    </w:p>
    <w:p w14:paraId="4816869A" w14:textId="77777777" w:rsidR="00435B6C" w:rsidRPr="004676F5" w:rsidRDefault="00435B6C" w:rsidP="001527B1">
      <w:pPr>
        <w:ind w:firstLine="708"/>
        <w:jc w:val="both"/>
        <w:rPr>
          <w:lang w:val="de-DE"/>
        </w:rPr>
      </w:pPr>
    </w:p>
    <w:p w14:paraId="2336A035" w14:textId="7898F793" w:rsidR="001527B1" w:rsidRPr="004676F5" w:rsidRDefault="00BE0A56" w:rsidP="001527B1">
      <w:pPr>
        <w:ind w:firstLine="708"/>
        <w:jc w:val="both"/>
        <w:rPr>
          <w:lang w:val="de-DE"/>
        </w:rPr>
      </w:pPr>
      <w:r w:rsidRPr="004676F5">
        <w:rPr>
          <w:b/>
          <w:lang w:val="de-DE"/>
        </w:rPr>
        <w:t>Art. </w:t>
      </w:r>
      <w:r w:rsidR="001527B1" w:rsidRPr="004676F5">
        <w:rPr>
          <w:b/>
          <w:lang w:val="de-DE"/>
        </w:rPr>
        <w:t>XI.132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Antrag auf Sortenschutz muss mindestens Folgendes enthalten:</w:t>
      </w:r>
    </w:p>
    <w:p w14:paraId="01ACD811" w14:textId="77777777" w:rsidR="001527B1" w:rsidRPr="004676F5" w:rsidRDefault="001527B1" w:rsidP="001527B1">
      <w:pPr>
        <w:ind w:firstLine="708"/>
        <w:jc w:val="both"/>
        <w:rPr>
          <w:lang w:val="de-DE"/>
        </w:rPr>
      </w:pPr>
    </w:p>
    <w:p w14:paraId="5EE9AA3D" w14:textId="77777777" w:rsidR="001527B1" w:rsidRPr="004676F5" w:rsidRDefault="001527B1" w:rsidP="001527B1">
      <w:pPr>
        <w:ind w:firstLine="708"/>
        <w:jc w:val="both"/>
        <w:rPr>
          <w:lang w:val="de-DE"/>
        </w:rPr>
      </w:pPr>
      <w:r w:rsidRPr="004676F5">
        <w:rPr>
          <w:lang w:val="de-DE"/>
        </w:rPr>
        <w:t>1. den Antrag auf Erteilung des Sortenschutzes,</w:t>
      </w:r>
    </w:p>
    <w:p w14:paraId="4534CA7E" w14:textId="77777777" w:rsidR="001527B1" w:rsidRPr="004676F5" w:rsidRDefault="001527B1" w:rsidP="001527B1">
      <w:pPr>
        <w:ind w:firstLine="708"/>
        <w:jc w:val="both"/>
        <w:rPr>
          <w:lang w:val="de-DE"/>
        </w:rPr>
      </w:pPr>
    </w:p>
    <w:p w14:paraId="15491692" w14:textId="77777777" w:rsidR="001527B1" w:rsidRPr="004676F5" w:rsidRDefault="001527B1" w:rsidP="001527B1">
      <w:pPr>
        <w:ind w:firstLine="708"/>
        <w:jc w:val="both"/>
        <w:rPr>
          <w:lang w:val="de-DE"/>
        </w:rPr>
      </w:pPr>
      <w:r w:rsidRPr="004676F5">
        <w:rPr>
          <w:lang w:val="de-DE"/>
        </w:rPr>
        <w:t>2. die Bezeichnung des botanischen Taxons,</w:t>
      </w:r>
    </w:p>
    <w:p w14:paraId="2FF3ADDD" w14:textId="77777777" w:rsidR="001527B1" w:rsidRPr="004676F5" w:rsidRDefault="001527B1" w:rsidP="001527B1">
      <w:pPr>
        <w:ind w:firstLine="708"/>
        <w:jc w:val="both"/>
        <w:rPr>
          <w:lang w:val="de-DE"/>
        </w:rPr>
      </w:pPr>
    </w:p>
    <w:p w14:paraId="3261D46C" w14:textId="77777777" w:rsidR="001527B1" w:rsidRPr="004676F5" w:rsidRDefault="001527B1" w:rsidP="001527B1">
      <w:pPr>
        <w:ind w:firstLine="708"/>
        <w:jc w:val="both"/>
        <w:rPr>
          <w:lang w:val="de-DE"/>
        </w:rPr>
      </w:pPr>
      <w:r w:rsidRPr="004676F5">
        <w:rPr>
          <w:lang w:val="de-DE"/>
        </w:rPr>
        <w:t>3. Angaben zur Person des Antragstellers oder der gemeinsamen Antragsteller,</w:t>
      </w:r>
    </w:p>
    <w:p w14:paraId="6E1F049B" w14:textId="77777777" w:rsidR="001527B1" w:rsidRPr="004676F5" w:rsidRDefault="001527B1" w:rsidP="001527B1">
      <w:pPr>
        <w:ind w:firstLine="708"/>
        <w:jc w:val="both"/>
        <w:rPr>
          <w:lang w:val="de-DE"/>
        </w:rPr>
      </w:pPr>
    </w:p>
    <w:p w14:paraId="37009230" w14:textId="77777777" w:rsidR="001527B1" w:rsidRPr="004676F5" w:rsidRDefault="001527B1" w:rsidP="001527B1">
      <w:pPr>
        <w:ind w:firstLine="708"/>
        <w:jc w:val="both"/>
        <w:rPr>
          <w:lang w:val="de-DE"/>
        </w:rPr>
      </w:pPr>
      <w:r w:rsidRPr="004676F5">
        <w:rPr>
          <w:lang w:val="de-DE"/>
        </w:rPr>
        <w:t>4. den Namen des Züchters und die Erklärung, dass nach bestem Wissen des Antrag</w:t>
      </w:r>
      <w:r w:rsidRPr="004676F5">
        <w:rPr>
          <w:lang w:val="de-DE"/>
        </w:rPr>
        <w:softHyphen/>
        <w:t>stellers keine weiteren Personen an der Züchtung oder Entdeckung und Weiterentwicklung der Sorte beteiligt sind. Ist der Antragsteller nicht oder nicht allein der Züchter, so hat er durch Vorlage entsprechender Schriftstücke nachzuweisen, wie er den Anspruch auf den Sortenschutz erworben hat,</w:t>
      </w:r>
    </w:p>
    <w:p w14:paraId="2BF51A39" w14:textId="77777777" w:rsidR="001527B1" w:rsidRPr="004676F5" w:rsidRDefault="001527B1" w:rsidP="001527B1">
      <w:pPr>
        <w:ind w:firstLine="708"/>
        <w:jc w:val="both"/>
        <w:rPr>
          <w:lang w:val="de-DE"/>
        </w:rPr>
      </w:pPr>
    </w:p>
    <w:p w14:paraId="74FBCDED" w14:textId="77777777" w:rsidR="001527B1" w:rsidRPr="004676F5" w:rsidRDefault="001527B1" w:rsidP="001527B1">
      <w:pPr>
        <w:ind w:firstLine="708"/>
        <w:jc w:val="both"/>
        <w:rPr>
          <w:lang w:val="de-DE"/>
        </w:rPr>
      </w:pPr>
      <w:r w:rsidRPr="004676F5">
        <w:rPr>
          <w:lang w:val="de-DE"/>
        </w:rPr>
        <w:t>5. eine vorläufige Bezeichnung für die Sorte,</w:t>
      </w:r>
    </w:p>
    <w:p w14:paraId="7B17F967" w14:textId="77777777" w:rsidR="001527B1" w:rsidRPr="004676F5" w:rsidRDefault="001527B1" w:rsidP="001527B1">
      <w:pPr>
        <w:ind w:firstLine="708"/>
        <w:jc w:val="both"/>
        <w:rPr>
          <w:lang w:val="de-DE"/>
        </w:rPr>
      </w:pPr>
    </w:p>
    <w:p w14:paraId="61C7CB71" w14:textId="77777777" w:rsidR="001527B1" w:rsidRPr="004676F5" w:rsidRDefault="001527B1" w:rsidP="001527B1">
      <w:pPr>
        <w:ind w:firstLine="708"/>
        <w:jc w:val="both"/>
        <w:rPr>
          <w:lang w:val="de-DE"/>
        </w:rPr>
      </w:pPr>
      <w:r w:rsidRPr="004676F5">
        <w:rPr>
          <w:lang w:val="de-DE"/>
        </w:rPr>
        <w:t>6. eine technische Beschreibung der Sorte,</w:t>
      </w:r>
    </w:p>
    <w:p w14:paraId="48D4A4F6" w14:textId="77777777" w:rsidR="001527B1" w:rsidRPr="004676F5" w:rsidRDefault="001527B1" w:rsidP="001527B1">
      <w:pPr>
        <w:ind w:firstLine="708"/>
        <w:jc w:val="both"/>
        <w:rPr>
          <w:lang w:val="de-DE"/>
        </w:rPr>
      </w:pPr>
    </w:p>
    <w:p w14:paraId="20C95553" w14:textId="77777777" w:rsidR="001527B1" w:rsidRPr="004676F5" w:rsidRDefault="001527B1" w:rsidP="001527B1">
      <w:pPr>
        <w:ind w:firstLine="708"/>
        <w:jc w:val="both"/>
        <w:rPr>
          <w:lang w:val="de-DE"/>
        </w:rPr>
      </w:pPr>
      <w:r w:rsidRPr="004676F5">
        <w:rPr>
          <w:lang w:val="de-DE"/>
        </w:rPr>
        <w:t>7. Angaben über eine frühere Vermarktung der Sorte,</w:t>
      </w:r>
    </w:p>
    <w:p w14:paraId="66DB1077" w14:textId="77777777" w:rsidR="001527B1" w:rsidRPr="004676F5" w:rsidRDefault="001527B1" w:rsidP="001527B1">
      <w:pPr>
        <w:ind w:firstLine="708"/>
        <w:jc w:val="both"/>
        <w:rPr>
          <w:lang w:val="de-DE"/>
        </w:rPr>
      </w:pPr>
    </w:p>
    <w:p w14:paraId="7D1391B9" w14:textId="77777777" w:rsidR="001527B1" w:rsidRPr="004676F5" w:rsidRDefault="001527B1" w:rsidP="001527B1">
      <w:pPr>
        <w:ind w:firstLine="708"/>
        <w:jc w:val="both"/>
        <w:rPr>
          <w:lang w:val="de-DE"/>
        </w:rPr>
      </w:pPr>
      <w:r w:rsidRPr="004676F5">
        <w:rPr>
          <w:lang w:val="de-DE"/>
        </w:rPr>
        <w:t>8. Angaben über sonstige Anträge im Zusammenhang mit der Sorte.</w:t>
      </w:r>
    </w:p>
    <w:p w14:paraId="72CA6702" w14:textId="77777777" w:rsidR="001527B1" w:rsidRPr="004676F5" w:rsidRDefault="001527B1" w:rsidP="001527B1">
      <w:pPr>
        <w:ind w:firstLine="708"/>
        <w:jc w:val="both"/>
        <w:rPr>
          <w:lang w:val="de-DE"/>
        </w:rPr>
      </w:pPr>
    </w:p>
    <w:p w14:paraId="59DE9ADB" w14:textId="0E34CA79"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Antrag muss den durch vorliegenden Titel festgelegten Bedingungen und Formen genügen.</w:t>
      </w:r>
    </w:p>
    <w:p w14:paraId="4BE7A963" w14:textId="77777777" w:rsidR="001527B1" w:rsidRPr="004676F5" w:rsidRDefault="001527B1" w:rsidP="001527B1">
      <w:pPr>
        <w:ind w:firstLine="708"/>
        <w:jc w:val="both"/>
        <w:rPr>
          <w:lang w:val="de-DE"/>
        </w:rPr>
      </w:pPr>
    </w:p>
    <w:p w14:paraId="115A0F0A" w14:textId="6299EB6E"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König kann die in § 1 erwähnten Angaben näher bestimmen und durch weitere Angaben ergänzen.</w:t>
      </w:r>
    </w:p>
    <w:p w14:paraId="46FF9E77" w14:textId="77777777" w:rsidR="001527B1" w:rsidRPr="004676F5" w:rsidRDefault="001527B1" w:rsidP="001527B1">
      <w:pPr>
        <w:ind w:firstLine="708"/>
        <w:jc w:val="both"/>
        <w:rPr>
          <w:lang w:val="de-DE"/>
        </w:rPr>
      </w:pPr>
    </w:p>
    <w:p w14:paraId="576F1F09" w14:textId="345C3088"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Antragsteller schlägt eine Sortenbezeichnung vor, die dem Antrag beigefügt werden kann.</w:t>
      </w:r>
    </w:p>
    <w:p w14:paraId="5D067402" w14:textId="77777777" w:rsidR="001527B1" w:rsidRPr="004676F5" w:rsidRDefault="001527B1" w:rsidP="001527B1">
      <w:pPr>
        <w:ind w:firstLine="708"/>
        <w:jc w:val="both"/>
        <w:rPr>
          <w:lang w:val="de-DE"/>
        </w:rPr>
      </w:pPr>
    </w:p>
    <w:p w14:paraId="5B9D6577" w14:textId="77777777" w:rsidR="00435B6C" w:rsidRPr="004676F5" w:rsidRDefault="00435B6C" w:rsidP="001527B1">
      <w:pPr>
        <w:ind w:firstLine="708"/>
        <w:jc w:val="both"/>
        <w:rPr>
          <w:lang w:val="de-DE"/>
        </w:rPr>
      </w:pPr>
    </w:p>
    <w:p w14:paraId="404A5FEC" w14:textId="5D38AA09" w:rsidR="001527B1" w:rsidRPr="004676F5" w:rsidRDefault="00BE0A56" w:rsidP="001527B1">
      <w:pPr>
        <w:ind w:firstLine="708"/>
        <w:jc w:val="both"/>
        <w:rPr>
          <w:lang w:val="de-DE"/>
        </w:rPr>
      </w:pPr>
      <w:r w:rsidRPr="004676F5">
        <w:rPr>
          <w:b/>
          <w:lang w:val="de-DE"/>
        </w:rPr>
        <w:t>Art. </w:t>
      </w:r>
      <w:r w:rsidR="001527B1" w:rsidRPr="004676F5">
        <w:rPr>
          <w:b/>
          <w:lang w:val="de-DE"/>
        </w:rPr>
        <w:t>XI.133</w:t>
      </w:r>
      <w:r w:rsidR="001527B1" w:rsidRPr="004676F5">
        <w:rPr>
          <w:lang w:val="de-DE"/>
        </w:rPr>
        <w:t> </w:t>
      </w:r>
      <w:r w:rsidR="005B7A5C" w:rsidRPr="004676F5">
        <w:rPr>
          <w:lang w:val="de-DE"/>
        </w:rPr>
        <w:t>- </w:t>
      </w:r>
      <w:r w:rsidR="001527B1" w:rsidRPr="004676F5">
        <w:rPr>
          <w:lang w:val="de-DE"/>
        </w:rPr>
        <w:t>Antragstag eines Antrags auf Sortenschutz ist der Tag, an dem ein Antrag nach Artikel XI.131 beim Amt eingeht, sofern die Bedingungen des Artikels XI.132 § 1 erfüllt sind und die für die Einreichung zu zahlende Gebühr gemäß Artikel XI.150 § 1 Absatz 1 entrichtet worden ist.</w:t>
      </w:r>
    </w:p>
    <w:p w14:paraId="004EA479" w14:textId="77777777" w:rsidR="001527B1" w:rsidRPr="004676F5" w:rsidRDefault="001527B1" w:rsidP="001527B1">
      <w:pPr>
        <w:ind w:firstLine="708"/>
        <w:jc w:val="both"/>
        <w:rPr>
          <w:lang w:val="de-DE"/>
        </w:rPr>
      </w:pPr>
    </w:p>
    <w:p w14:paraId="64087139" w14:textId="77777777" w:rsidR="00435B6C" w:rsidRPr="004676F5" w:rsidRDefault="00435B6C" w:rsidP="001527B1">
      <w:pPr>
        <w:ind w:firstLine="708"/>
        <w:jc w:val="both"/>
        <w:rPr>
          <w:lang w:val="de-DE"/>
        </w:rPr>
      </w:pPr>
    </w:p>
    <w:p w14:paraId="32EC8B8C" w14:textId="156CF4C4" w:rsidR="001527B1" w:rsidRPr="004676F5" w:rsidRDefault="00BE0A56" w:rsidP="001527B1">
      <w:pPr>
        <w:ind w:firstLine="708"/>
        <w:jc w:val="both"/>
        <w:rPr>
          <w:lang w:val="de-DE"/>
        </w:rPr>
      </w:pPr>
      <w:r w:rsidRPr="004676F5">
        <w:rPr>
          <w:b/>
          <w:lang w:val="de-DE"/>
        </w:rPr>
        <w:t>Art. </w:t>
      </w:r>
      <w:r w:rsidR="001527B1" w:rsidRPr="004676F5">
        <w:rPr>
          <w:b/>
          <w:lang w:val="de-DE"/>
        </w:rPr>
        <w:t>XI.134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Prioritätsrecht eines Antrags bestimmt sich nach dem Tag des Eingangs des Antrags. Gehen Anträge am selben Tag ein, bestimmt sich die Priorität nach der Reihenfolge ihres Eingangs, soweit diese feststellbar ist. Wenn nicht, werden sie mit derselben Priorität behandelt.</w:t>
      </w:r>
    </w:p>
    <w:p w14:paraId="37B25B0B" w14:textId="77777777" w:rsidR="001527B1" w:rsidRPr="004676F5" w:rsidRDefault="001527B1" w:rsidP="001527B1">
      <w:pPr>
        <w:jc w:val="both"/>
        <w:rPr>
          <w:lang w:val="de-DE"/>
        </w:rPr>
      </w:pPr>
    </w:p>
    <w:p w14:paraId="505B7F06" w14:textId="084F116D"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Hat der Antragsteller oder sein Rechtsvorgänger für die Sorte bereits in einem anderen Vertragsstaat als Belgien, das heißt einem Staat oder einer zwischenstaatlichen Organisation, die Mitglied des Internationalen Verbands zum Schutz von Pflanzenzüchtungen sind, Sortenschutz beantragt und liegt der Antragstag binnen zwölf Monaten nach der Einreichung des ersten Antrags, so hat der Antragsteller hinsichtlich des Antrags auf belgischen Sortenschutz das Prioritätsrecht des ersten Antrags, falls am Antragstag der erste Antrag noch fortbesteht.</w:t>
      </w:r>
    </w:p>
    <w:p w14:paraId="6124F4B3" w14:textId="77777777" w:rsidR="001527B1" w:rsidRPr="004676F5" w:rsidRDefault="001527B1" w:rsidP="001527B1">
      <w:pPr>
        <w:ind w:firstLine="708"/>
        <w:jc w:val="both"/>
        <w:rPr>
          <w:lang w:val="de-DE"/>
        </w:rPr>
      </w:pPr>
    </w:p>
    <w:p w14:paraId="61CC69F7" w14:textId="5B5F085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Das Prioritätsrecht hat die Wirkung, dass für die Anwendung der Artikel XI.106, XI.109 und XI.111 der Tag, an dem der erste Antrag eingereicht wurde, als der Tag des Antrags auf belgischen Sortenschutz gilt.</w:t>
      </w:r>
    </w:p>
    <w:p w14:paraId="7A0A1AFE" w14:textId="77777777" w:rsidR="001527B1" w:rsidRPr="004676F5" w:rsidRDefault="001527B1" w:rsidP="001527B1">
      <w:pPr>
        <w:ind w:firstLine="708"/>
        <w:jc w:val="both"/>
        <w:rPr>
          <w:lang w:val="de-DE"/>
        </w:rPr>
      </w:pPr>
    </w:p>
    <w:p w14:paraId="70BA828C" w14:textId="591C2475"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Anspruch auf ein Prioritätsrecht erlischt, wenn der Antragsteller nicht binnen drei Monaten nach dem Antragstag dem Amt eine Abschrift des ersten Antrags vorlegt. Ist der erste Antrag nicht in Französisch, Niederländisch oder Deutsch abgefasst, so kann das Amt zusätzlich eine Übersetzung des ersten Antrags in eine dieser Sprachen verlangen.</w:t>
      </w:r>
    </w:p>
    <w:p w14:paraId="3E2F33DD" w14:textId="77777777" w:rsidR="001527B1" w:rsidRPr="004676F5" w:rsidRDefault="001527B1" w:rsidP="001527B1">
      <w:pPr>
        <w:ind w:firstLine="708"/>
        <w:jc w:val="both"/>
        <w:rPr>
          <w:lang w:val="de-DE"/>
        </w:rPr>
      </w:pPr>
    </w:p>
    <w:p w14:paraId="33E57AA1" w14:textId="77777777" w:rsidR="00435B6C" w:rsidRPr="004676F5" w:rsidRDefault="00435B6C" w:rsidP="001527B1">
      <w:pPr>
        <w:ind w:firstLine="708"/>
        <w:jc w:val="both"/>
        <w:rPr>
          <w:lang w:val="de-DE"/>
        </w:rPr>
      </w:pPr>
    </w:p>
    <w:p w14:paraId="059E480F" w14:textId="77777777" w:rsidR="00435B6C" w:rsidRPr="004676F5" w:rsidRDefault="00435B6C">
      <w:pPr>
        <w:rPr>
          <w:i/>
          <w:lang w:val="de-DE"/>
        </w:rPr>
      </w:pPr>
      <w:r w:rsidRPr="004676F5">
        <w:rPr>
          <w:i/>
          <w:lang w:val="de-DE"/>
        </w:rPr>
        <w:br w:type="page"/>
      </w:r>
    </w:p>
    <w:p w14:paraId="243F2B90" w14:textId="15D10C4D" w:rsidR="001527B1" w:rsidRPr="004676F5" w:rsidRDefault="001527B1" w:rsidP="001527B1">
      <w:pPr>
        <w:jc w:val="center"/>
        <w:rPr>
          <w:lang w:val="de-DE"/>
        </w:rPr>
      </w:pPr>
      <w:r w:rsidRPr="004676F5">
        <w:rPr>
          <w:i/>
          <w:lang w:val="de-DE"/>
        </w:rPr>
        <w:lastRenderedPageBreak/>
        <w:t>Abschnitt 3 </w:t>
      </w:r>
      <w:r w:rsidR="005B7A5C" w:rsidRPr="004676F5">
        <w:rPr>
          <w:i/>
          <w:lang w:val="de-DE"/>
        </w:rPr>
        <w:t>- </w:t>
      </w:r>
      <w:r w:rsidRPr="004676F5">
        <w:rPr>
          <w:lang w:val="de-DE"/>
        </w:rPr>
        <w:t>Prüfung</w:t>
      </w:r>
    </w:p>
    <w:p w14:paraId="2676EB10" w14:textId="77777777" w:rsidR="001527B1" w:rsidRPr="004676F5" w:rsidRDefault="001527B1" w:rsidP="001527B1">
      <w:pPr>
        <w:ind w:firstLine="708"/>
        <w:jc w:val="both"/>
        <w:rPr>
          <w:lang w:val="de-DE"/>
        </w:rPr>
      </w:pPr>
    </w:p>
    <w:p w14:paraId="3B247DAF" w14:textId="77777777" w:rsidR="00435B6C" w:rsidRPr="004676F5" w:rsidRDefault="00435B6C" w:rsidP="001527B1">
      <w:pPr>
        <w:ind w:firstLine="708"/>
        <w:jc w:val="both"/>
        <w:rPr>
          <w:lang w:val="de-DE"/>
        </w:rPr>
      </w:pPr>
    </w:p>
    <w:p w14:paraId="01F6773F" w14:textId="041AE656" w:rsidR="001527B1" w:rsidRPr="004676F5" w:rsidRDefault="00BE0A56" w:rsidP="001527B1">
      <w:pPr>
        <w:ind w:firstLine="708"/>
        <w:jc w:val="both"/>
        <w:rPr>
          <w:lang w:val="de-DE"/>
        </w:rPr>
      </w:pPr>
      <w:r w:rsidRPr="004676F5">
        <w:rPr>
          <w:b/>
          <w:lang w:val="de-DE"/>
        </w:rPr>
        <w:t>Art. </w:t>
      </w:r>
      <w:r w:rsidR="001527B1" w:rsidRPr="004676F5">
        <w:rPr>
          <w:b/>
          <w:lang w:val="de-DE"/>
        </w:rPr>
        <w:t>XI.135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Amt prüft, ob:</w:t>
      </w:r>
    </w:p>
    <w:p w14:paraId="6749691A" w14:textId="77777777" w:rsidR="001527B1" w:rsidRPr="004676F5" w:rsidRDefault="001527B1" w:rsidP="001527B1">
      <w:pPr>
        <w:ind w:firstLine="708"/>
        <w:jc w:val="both"/>
        <w:rPr>
          <w:lang w:val="de-DE"/>
        </w:rPr>
      </w:pPr>
    </w:p>
    <w:p w14:paraId="0651F3A7" w14:textId="77777777" w:rsidR="001527B1" w:rsidRPr="004676F5" w:rsidRDefault="001527B1" w:rsidP="001527B1">
      <w:pPr>
        <w:ind w:firstLine="708"/>
        <w:jc w:val="both"/>
        <w:rPr>
          <w:lang w:val="de-DE"/>
        </w:rPr>
      </w:pPr>
      <w:r w:rsidRPr="004676F5">
        <w:rPr>
          <w:lang w:val="de-DE"/>
        </w:rPr>
        <w:t>1. der Antrag den in Artikel XI.132 festgelegten Bedingungen entspricht,</w:t>
      </w:r>
    </w:p>
    <w:p w14:paraId="10FCF2B0" w14:textId="77777777" w:rsidR="001527B1" w:rsidRPr="004676F5" w:rsidRDefault="001527B1" w:rsidP="001527B1">
      <w:pPr>
        <w:ind w:firstLine="708"/>
        <w:jc w:val="both"/>
        <w:rPr>
          <w:lang w:val="de-DE"/>
        </w:rPr>
      </w:pPr>
    </w:p>
    <w:p w14:paraId="52F6F313" w14:textId="77777777" w:rsidR="001527B1" w:rsidRPr="004676F5" w:rsidRDefault="001527B1" w:rsidP="001527B1">
      <w:pPr>
        <w:ind w:firstLine="708"/>
        <w:jc w:val="both"/>
        <w:rPr>
          <w:lang w:val="de-DE"/>
        </w:rPr>
      </w:pPr>
      <w:r w:rsidRPr="004676F5">
        <w:rPr>
          <w:lang w:val="de-DE"/>
        </w:rPr>
        <w:t>2. ein Prioritätsanspruch gegebenenfalls dem Artikel XI.134 §§ 2 und 4 entspricht und</w:t>
      </w:r>
    </w:p>
    <w:p w14:paraId="66D7EF06" w14:textId="77777777" w:rsidR="001527B1" w:rsidRPr="004676F5" w:rsidRDefault="001527B1" w:rsidP="001527B1">
      <w:pPr>
        <w:ind w:firstLine="708"/>
        <w:jc w:val="both"/>
        <w:rPr>
          <w:lang w:val="de-DE"/>
        </w:rPr>
      </w:pPr>
    </w:p>
    <w:p w14:paraId="04F9B231" w14:textId="77777777" w:rsidR="001527B1" w:rsidRPr="004676F5" w:rsidRDefault="001527B1" w:rsidP="001527B1">
      <w:pPr>
        <w:ind w:firstLine="708"/>
        <w:jc w:val="both"/>
        <w:rPr>
          <w:lang w:val="de-DE"/>
        </w:rPr>
      </w:pPr>
      <w:r w:rsidRPr="004676F5">
        <w:rPr>
          <w:lang w:val="de-DE"/>
        </w:rPr>
        <w:t>3. die nach Artikel XI.150 § 1 Absatz 1 für die Einreichung zu zahlende Gebühr innerhalb der vorgeschriebenen Frist gezahlt worden ist.</w:t>
      </w:r>
    </w:p>
    <w:p w14:paraId="7A35C2AF" w14:textId="77777777" w:rsidR="001527B1" w:rsidRPr="004676F5" w:rsidRDefault="001527B1" w:rsidP="001527B1">
      <w:pPr>
        <w:ind w:firstLine="708"/>
        <w:jc w:val="both"/>
        <w:rPr>
          <w:lang w:val="de-DE"/>
        </w:rPr>
      </w:pPr>
    </w:p>
    <w:p w14:paraId="7B7ABF50" w14:textId="6C29351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Erfüllt der Antrag zwar die Voraussetzungen gemäß Artikel XI.133, entspricht er aber nicht den anderen Bedingungen des Artikels XI.132 § 2, so gibt das Amt dem Antragsteller Gelegenheit, die festgestellten Mängel innerhalb der vorgeschriebenen Frist zu beseitigen.</w:t>
      </w:r>
    </w:p>
    <w:p w14:paraId="2F0A5720" w14:textId="77777777" w:rsidR="001527B1" w:rsidRPr="004676F5" w:rsidRDefault="001527B1" w:rsidP="001527B1">
      <w:pPr>
        <w:ind w:firstLine="708"/>
        <w:jc w:val="both"/>
        <w:rPr>
          <w:lang w:val="de-DE"/>
        </w:rPr>
      </w:pPr>
    </w:p>
    <w:p w14:paraId="3ABD323A" w14:textId="48B37662"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Erfüllt der Antrag die Voraussetzungen nach Artikel XI.133 nicht, so teilt das Amt dem Antragsteller mit, dass sein Antrag unvollständig ist.</w:t>
      </w:r>
    </w:p>
    <w:p w14:paraId="073CBF7A" w14:textId="77777777" w:rsidR="001527B1" w:rsidRPr="004676F5" w:rsidRDefault="001527B1" w:rsidP="001527B1">
      <w:pPr>
        <w:ind w:firstLine="708"/>
        <w:jc w:val="both"/>
        <w:rPr>
          <w:lang w:val="de-DE"/>
        </w:rPr>
      </w:pPr>
    </w:p>
    <w:p w14:paraId="408A6E15" w14:textId="27045107"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Bei unvollständigem Antrag ist der Antragsteller verantwortlich für die eventuelle Aufbewahrung und Rücksendung des Materials und der Unterlagen.</w:t>
      </w:r>
    </w:p>
    <w:p w14:paraId="19ADEF67" w14:textId="77777777" w:rsidR="001527B1" w:rsidRPr="004676F5" w:rsidRDefault="001527B1" w:rsidP="001527B1">
      <w:pPr>
        <w:ind w:firstLine="708"/>
        <w:jc w:val="both"/>
        <w:rPr>
          <w:lang w:val="de-DE"/>
        </w:rPr>
      </w:pPr>
    </w:p>
    <w:p w14:paraId="40C5F8BE" w14:textId="77777777" w:rsidR="00435B6C" w:rsidRPr="004676F5" w:rsidRDefault="00435B6C" w:rsidP="001527B1">
      <w:pPr>
        <w:ind w:firstLine="708"/>
        <w:jc w:val="both"/>
        <w:rPr>
          <w:lang w:val="de-DE"/>
        </w:rPr>
      </w:pPr>
    </w:p>
    <w:p w14:paraId="05E45EF4" w14:textId="699FDD53" w:rsidR="001527B1" w:rsidRPr="004676F5" w:rsidRDefault="00BE0A56" w:rsidP="001527B1">
      <w:pPr>
        <w:ind w:firstLine="708"/>
        <w:jc w:val="both"/>
        <w:rPr>
          <w:lang w:val="de-DE"/>
        </w:rPr>
      </w:pPr>
      <w:r w:rsidRPr="004676F5">
        <w:rPr>
          <w:b/>
          <w:lang w:val="de-DE"/>
        </w:rPr>
        <w:t>Art. </w:t>
      </w:r>
      <w:r w:rsidR="001527B1" w:rsidRPr="004676F5">
        <w:rPr>
          <w:b/>
          <w:lang w:val="de-DE"/>
        </w:rPr>
        <w:t>XI.136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Amt prüft auf der Grundlage der Informationen aus dem Antrag, ob die Sorte nach Artikel XI.104 Gegenstand des Sortenschutzes sein kann, ob die Sorte neu im Sinne des Artikels XI.109 ist und ob der Antragsteller nach Artikel XI.112 antragsberechtigt ist.</w:t>
      </w:r>
    </w:p>
    <w:p w14:paraId="251B6686" w14:textId="77777777" w:rsidR="001527B1" w:rsidRPr="004676F5" w:rsidRDefault="001527B1" w:rsidP="001527B1">
      <w:pPr>
        <w:ind w:firstLine="708"/>
        <w:jc w:val="both"/>
        <w:rPr>
          <w:lang w:val="de-DE"/>
        </w:rPr>
      </w:pPr>
    </w:p>
    <w:p w14:paraId="2738D8C8" w14:textId="0C532709"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Amt prüft gemäß den vom König festgelegten Modalitäten auch, ob die vorgeschlagene Sortenbezeichnung nach Artikel XI.143 festsetzbar ist.</w:t>
      </w:r>
    </w:p>
    <w:p w14:paraId="4AE129AD" w14:textId="77777777" w:rsidR="001527B1" w:rsidRPr="004676F5" w:rsidRDefault="001527B1" w:rsidP="001527B1">
      <w:pPr>
        <w:ind w:firstLine="708"/>
        <w:jc w:val="both"/>
        <w:rPr>
          <w:lang w:val="de-DE"/>
        </w:rPr>
      </w:pPr>
    </w:p>
    <w:p w14:paraId="3B08B474" w14:textId="2E967245"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Erstantragsteller gilt als derjenige, dem das Recht auf den Sortenschutz zusteht. Dies gilt nicht, falls sich vor einer Entscheidung über den Antrag aus einer formell rechtskräftigen gerichtlichen Entscheidung hinsichtlich der Geltendmachung des Rechts gemäß Artikel XI.159 § 3 ergibt, dass dem Erstantragsteller nicht oder nicht allein das Recht auf den Sortenschutz zusteht. Ist die Identität der alleinberechtigten oder der anderen berechtigten Personen festgestellt worden, kann diese Person beziehungsweise können diese Personen ein Verfahren als Antragsteller einleiten.</w:t>
      </w:r>
    </w:p>
    <w:p w14:paraId="57FFA17A" w14:textId="77777777" w:rsidR="001527B1" w:rsidRPr="004676F5" w:rsidRDefault="001527B1" w:rsidP="001527B1">
      <w:pPr>
        <w:ind w:firstLine="708"/>
        <w:jc w:val="both"/>
        <w:rPr>
          <w:lang w:val="de-DE"/>
        </w:rPr>
      </w:pPr>
    </w:p>
    <w:p w14:paraId="04E2AF46" w14:textId="77777777" w:rsidR="00435B6C" w:rsidRPr="004676F5" w:rsidRDefault="00435B6C" w:rsidP="001527B1">
      <w:pPr>
        <w:ind w:firstLine="708"/>
        <w:jc w:val="both"/>
        <w:rPr>
          <w:lang w:val="de-DE"/>
        </w:rPr>
      </w:pPr>
    </w:p>
    <w:p w14:paraId="076ABDC4" w14:textId="5DC6E9B9" w:rsidR="001527B1" w:rsidRPr="004676F5" w:rsidRDefault="00BE0A56" w:rsidP="001527B1">
      <w:pPr>
        <w:ind w:firstLine="708"/>
        <w:jc w:val="both"/>
        <w:rPr>
          <w:lang w:val="de-DE"/>
        </w:rPr>
      </w:pPr>
      <w:r w:rsidRPr="004676F5">
        <w:rPr>
          <w:b/>
          <w:lang w:val="de-DE"/>
        </w:rPr>
        <w:t>Art. </w:t>
      </w:r>
      <w:r w:rsidR="001527B1" w:rsidRPr="004676F5">
        <w:rPr>
          <w:b/>
          <w:lang w:val="de-DE"/>
        </w:rPr>
        <w:t>XI.137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Stellt das Amt aufgrund der Prüfungen nach den Artikeln XI.135 und XI.136 keine Hindernisse für die Erteilung des Sortenschutzes fest, so veranlasst es die technische Prüfung der Sorte.</w:t>
      </w:r>
    </w:p>
    <w:p w14:paraId="24FEB78F" w14:textId="77777777" w:rsidR="001527B1" w:rsidRPr="004676F5" w:rsidRDefault="001527B1" w:rsidP="001527B1">
      <w:pPr>
        <w:ind w:firstLine="708"/>
        <w:jc w:val="both"/>
        <w:rPr>
          <w:lang w:val="de-DE"/>
        </w:rPr>
      </w:pPr>
    </w:p>
    <w:p w14:paraId="5AD4BAFF" w14:textId="5495CA94"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technische Prüfung dient dazu, zu überprüfen, ob die Voraussetzungen der Artikel XI.106, XI.107 und XI.108 erfüllt sind. Diese Prüfung erlaubt dem Amt, die amtliche Sortenbeschreibung festzulegen und ein amtliches Sortenmuster zu erhalten.</w:t>
      </w:r>
    </w:p>
    <w:p w14:paraId="2E169E82" w14:textId="77777777" w:rsidR="001527B1" w:rsidRPr="004676F5" w:rsidRDefault="001527B1" w:rsidP="001527B1">
      <w:pPr>
        <w:ind w:firstLine="708"/>
        <w:jc w:val="both"/>
        <w:rPr>
          <w:lang w:val="de-DE"/>
        </w:rPr>
      </w:pPr>
    </w:p>
    <w:p w14:paraId="34CB9AD9" w14:textId="5F09F7F6"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technische Prüfung erfolgt unter der Leitung des Amtes, das sich vom Rat beistehen lassen kann. Sie wird in Übereinstimmung mit den vom Amt und gegebenenfalls vom Rat anerkannten Prüfungsrichtlinien und den vom Amt gegebenen Weisungen durchgeführt.</w:t>
      </w:r>
    </w:p>
    <w:p w14:paraId="02004476" w14:textId="77777777" w:rsidR="001527B1" w:rsidRPr="004676F5" w:rsidRDefault="001527B1" w:rsidP="001527B1">
      <w:pPr>
        <w:ind w:firstLine="708"/>
        <w:jc w:val="both"/>
        <w:rPr>
          <w:lang w:val="de-DE"/>
        </w:rPr>
      </w:pPr>
    </w:p>
    <w:p w14:paraId="5F4F1D3C" w14:textId="250578AE" w:rsidR="001527B1" w:rsidRPr="004676F5" w:rsidRDefault="001527B1" w:rsidP="001527B1">
      <w:pPr>
        <w:ind w:firstLine="708"/>
        <w:jc w:val="both"/>
        <w:rPr>
          <w:lang w:val="de-DE"/>
        </w:rPr>
      </w:pPr>
      <w:r w:rsidRPr="004676F5">
        <w:rPr>
          <w:lang w:val="de-DE"/>
        </w:rPr>
        <w:lastRenderedPageBreak/>
        <w:t>§ 4 </w:t>
      </w:r>
      <w:r w:rsidR="005B7A5C" w:rsidRPr="004676F5">
        <w:rPr>
          <w:lang w:val="de-DE"/>
        </w:rPr>
        <w:t>- </w:t>
      </w:r>
      <w:r w:rsidRPr="004676F5">
        <w:rPr>
          <w:lang w:val="de-DE"/>
        </w:rPr>
        <w:t>Das Amt ist ermächtigt, Zusammenarbeitsabkommen hinsichtlich der technischen Prüfung der Sorten zu schließen und zu diesem Zweck erforderliche Aus</w:t>
      </w:r>
      <w:r w:rsidRPr="004676F5">
        <w:rPr>
          <w:lang w:val="de-DE"/>
        </w:rPr>
        <w:softHyphen/>
        <w:t>führungs</w:t>
      </w:r>
      <w:r w:rsidRPr="004676F5">
        <w:rPr>
          <w:lang w:val="de-DE"/>
        </w:rPr>
        <w:softHyphen/>
        <w:t>maßnahmen zu ergreifen.</w:t>
      </w:r>
    </w:p>
    <w:p w14:paraId="792173BE" w14:textId="77777777" w:rsidR="001527B1" w:rsidRPr="004676F5" w:rsidRDefault="001527B1" w:rsidP="001527B1">
      <w:pPr>
        <w:ind w:firstLine="708"/>
        <w:jc w:val="both"/>
        <w:rPr>
          <w:lang w:val="de-DE"/>
        </w:rPr>
      </w:pPr>
    </w:p>
    <w:p w14:paraId="136234EA" w14:textId="5FE8708D"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Sind Anbauprüfungen oder sonstige erforderliche Untersuchungen gemäß § 4 von der Dienststelle einer in Artikel XI.134 § 2 erwähnten Vertragspartei, die für diese Partei mit der Erteilung der Sortenschutzrechte beauftragt ist, durchgeführt worden oder werden sie zu dem gegebenen Zeitpunkt noch von dieser Dienststelle durchgeführt, kann das Amt die Ergebnisse erhalten und sind diese Ergebnisse auf die agroklimatischen Bedingungen in Belgien anwendbar, darf der in Artikel XI.138 erwähnte Prüfungsbericht auf diese Ergebnisse gestützt sein.</w:t>
      </w:r>
    </w:p>
    <w:p w14:paraId="3994B645" w14:textId="77777777" w:rsidR="001527B1" w:rsidRPr="004676F5" w:rsidRDefault="001527B1" w:rsidP="001527B1">
      <w:pPr>
        <w:ind w:firstLine="708"/>
        <w:jc w:val="both"/>
        <w:rPr>
          <w:lang w:val="de-DE"/>
        </w:rPr>
      </w:pPr>
    </w:p>
    <w:p w14:paraId="192156ED" w14:textId="7CFE3245"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Ist der vorerwähnte Prüfungsbericht nicht auf die in Anwendung von § 5 erhaltenen Ergebnisse gestützt, wird die Prüfung auf Anbauprüfungen oder sonstige erforderliche Untersuchungen gestützt, die vom Amt, von einer unter Vertrag stehenden Dritteinrichtung oder vom Antragsteller auf Anforderung des Amtes durchgeführt werden.</w:t>
      </w:r>
    </w:p>
    <w:p w14:paraId="2F107E1E" w14:textId="77777777" w:rsidR="001527B1" w:rsidRPr="004676F5" w:rsidRDefault="001527B1" w:rsidP="001527B1">
      <w:pPr>
        <w:ind w:firstLine="708"/>
        <w:jc w:val="both"/>
        <w:rPr>
          <w:lang w:val="de-DE"/>
        </w:rPr>
      </w:pPr>
    </w:p>
    <w:p w14:paraId="26C30B55" w14:textId="057C8B82"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Für die technische Prüfung muss der Antragsteller alle vom Amt verlangten Auskünfte und Unterlagen und das verlangte Material bereitstellen.</w:t>
      </w:r>
    </w:p>
    <w:p w14:paraId="23968BD4" w14:textId="77777777" w:rsidR="001527B1" w:rsidRPr="004676F5" w:rsidRDefault="001527B1" w:rsidP="001527B1">
      <w:pPr>
        <w:ind w:firstLine="708"/>
        <w:jc w:val="both"/>
        <w:rPr>
          <w:lang w:val="de-DE"/>
        </w:rPr>
      </w:pPr>
    </w:p>
    <w:p w14:paraId="617F1696" w14:textId="327C4AEB" w:rsidR="001527B1" w:rsidRPr="004676F5" w:rsidRDefault="001527B1" w:rsidP="001527B1">
      <w:pPr>
        <w:ind w:firstLine="708"/>
        <w:jc w:val="both"/>
        <w:rPr>
          <w:lang w:val="de-DE"/>
        </w:rPr>
      </w:pPr>
      <w:r w:rsidRPr="004676F5">
        <w:rPr>
          <w:lang w:val="de-DE"/>
        </w:rPr>
        <w:t>§ 8 </w:t>
      </w:r>
      <w:r w:rsidR="005B7A5C" w:rsidRPr="004676F5">
        <w:rPr>
          <w:lang w:val="de-DE"/>
        </w:rPr>
        <w:t>- </w:t>
      </w:r>
      <w:r w:rsidRPr="004676F5">
        <w:rPr>
          <w:lang w:val="de-DE"/>
        </w:rPr>
        <w:t>Beansprucht der Antragsteller ein Prioritätsrecht nach Artikel XI.134 § 2, so legt er gemäß Artikel XI.133 das erforderliche Material und eventuell erforderliche weitere Unterlagen binnen zwei Jahren nach dem Antragstag vor. Wird vor Ablauf der Frist von zwei Jahren der erste Antrag zurückgenommen oder zurückgewiesen, so kann das Amt den Antragsteller auffordern, das Material oder weitere Unterlagen innerhalb einer bestimmten Frist vorzulegen.</w:t>
      </w:r>
    </w:p>
    <w:p w14:paraId="639258C6" w14:textId="77777777" w:rsidR="001527B1" w:rsidRPr="004676F5" w:rsidRDefault="001527B1" w:rsidP="001527B1">
      <w:pPr>
        <w:ind w:firstLine="708"/>
        <w:jc w:val="both"/>
        <w:rPr>
          <w:lang w:val="de-DE"/>
        </w:rPr>
      </w:pPr>
    </w:p>
    <w:p w14:paraId="00648D6F" w14:textId="77777777" w:rsidR="00435B6C" w:rsidRPr="004676F5" w:rsidRDefault="00435B6C" w:rsidP="001527B1">
      <w:pPr>
        <w:ind w:firstLine="708"/>
        <w:jc w:val="both"/>
        <w:rPr>
          <w:lang w:val="de-DE"/>
        </w:rPr>
      </w:pPr>
    </w:p>
    <w:p w14:paraId="2C928536" w14:textId="02B91A9C" w:rsidR="001527B1" w:rsidRPr="004676F5" w:rsidRDefault="00BE0A56" w:rsidP="001527B1">
      <w:pPr>
        <w:ind w:firstLine="708"/>
        <w:jc w:val="both"/>
        <w:rPr>
          <w:lang w:val="de-DE"/>
        </w:rPr>
      </w:pPr>
      <w:r w:rsidRPr="004676F5">
        <w:rPr>
          <w:b/>
          <w:lang w:val="de-DE"/>
        </w:rPr>
        <w:t>Art. </w:t>
      </w:r>
      <w:r w:rsidR="001527B1" w:rsidRPr="004676F5">
        <w:rPr>
          <w:b/>
          <w:lang w:val="de-DE"/>
        </w:rPr>
        <w:t>XI.138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Wenn die aufgrund von Artikel XI.137 § 1 durchgeführte technische Prüfung abgeschlossen ist, ist sie Gegenstand eines dem Amt übermittelten Prüfungsberichts. Wenn aus dem Bericht hervorgeht, dass die in den Artikeln XI.106, XI.107 und XI.108 festgelegten Voraussetzungen erfüllt sind, wird eine Sortenbeschreibung beigefügt.</w:t>
      </w:r>
    </w:p>
    <w:p w14:paraId="0C0D30B4" w14:textId="77777777" w:rsidR="001527B1" w:rsidRPr="004676F5" w:rsidRDefault="001527B1" w:rsidP="001527B1">
      <w:pPr>
        <w:ind w:firstLine="708"/>
        <w:jc w:val="both"/>
        <w:rPr>
          <w:lang w:val="de-DE"/>
        </w:rPr>
      </w:pPr>
    </w:p>
    <w:p w14:paraId="71122136" w14:textId="015D0C20"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Prüfungsbericht und Schlussfolgerungen des Amtes in Bezug auf diesen Prüfungsbericht und gegebenenfalls Schlussfolgerungen des Rates werden dem Antragsteller mitgeteilt.</w:t>
      </w:r>
    </w:p>
    <w:p w14:paraId="5F90FAD1" w14:textId="77777777" w:rsidR="001527B1" w:rsidRPr="004676F5" w:rsidRDefault="001527B1" w:rsidP="001527B1">
      <w:pPr>
        <w:ind w:firstLine="708"/>
        <w:jc w:val="both"/>
        <w:rPr>
          <w:lang w:val="de-DE"/>
        </w:rPr>
      </w:pPr>
    </w:p>
    <w:p w14:paraId="57F31AD6" w14:textId="3F8F78D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Antragsteller kann die Akte einsehen und Bemerkungen einreichen.</w:t>
      </w:r>
    </w:p>
    <w:p w14:paraId="245967B3" w14:textId="77777777" w:rsidR="001527B1" w:rsidRPr="004676F5" w:rsidRDefault="001527B1" w:rsidP="001527B1">
      <w:pPr>
        <w:ind w:firstLine="708"/>
        <w:jc w:val="both"/>
        <w:rPr>
          <w:lang w:val="de-DE"/>
        </w:rPr>
      </w:pPr>
    </w:p>
    <w:p w14:paraId="14EBFD58" w14:textId="338831EC"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Sieht das Amt den Prüfungsbericht nicht als hinreichende Entscheidungs</w:t>
      </w:r>
      <w:r w:rsidRPr="004676F5">
        <w:rPr>
          <w:lang w:val="de-DE"/>
        </w:rPr>
        <w:softHyphen/>
        <w:t>grundlage an, kann es von sich aus nach Anhörung des Antragstellers oder auf Antrag des Antragstellers eine ergänzende Prüfung vorsehen. Zum Zweck der Bewertung der Ergebnisse wird jede ergänzende Prüfung, die durchgeführt wird, bis eine gemäß den Artikeln XI.141 und XI.142 getroffene Entscheidung Rechtskraft erlangt, als Bestandteil der in Artikel XI.135 genannten Prüfung betrachtet.</w:t>
      </w:r>
    </w:p>
    <w:p w14:paraId="3C62DF1A" w14:textId="77777777" w:rsidR="001527B1" w:rsidRPr="004676F5" w:rsidRDefault="001527B1" w:rsidP="001527B1">
      <w:pPr>
        <w:ind w:firstLine="708"/>
        <w:jc w:val="both"/>
        <w:rPr>
          <w:lang w:val="de-DE"/>
        </w:rPr>
      </w:pPr>
    </w:p>
    <w:p w14:paraId="3815C2E2" w14:textId="77777777" w:rsidR="00435B6C" w:rsidRPr="004676F5" w:rsidRDefault="00435B6C" w:rsidP="001527B1">
      <w:pPr>
        <w:ind w:firstLine="708"/>
        <w:jc w:val="both"/>
        <w:rPr>
          <w:lang w:val="de-DE"/>
        </w:rPr>
      </w:pPr>
    </w:p>
    <w:p w14:paraId="35E23B28" w14:textId="7A7A375F" w:rsidR="001527B1" w:rsidRPr="004676F5" w:rsidRDefault="00BE0A56" w:rsidP="001527B1">
      <w:pPr>
        <w:ind w:firstLine="708"/>
        <w:jc w:val="both"/>
        <w:rPr>
          <w:lang w:val="de-DE"/>
        </w:rPr>
      </w:pPr>
      <w:r w:rsidRPr="004676F5">
        <w:rPr>
          <w:b/>
          <w:lang w:val="de-DE"/>
        </w:rPr>
        <w:t>Art. </w:t>
      </w:r>
      <w:r w:rsidR="001527B1" w:rsidRPr="004676F5">
        <w:rPr>
          <w:b/>
          <w:lang w:val="de-DE"/>
        </w:rPr>
        <w:t>XI.139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Jeder kann beim Amt schriftlich Einwendungen gegen die Erteilung des Sortenschutzes erheben.</w:t>
      </w:r>
    </w:p>
    <w:p w14:paraId="43044C51" w14:textId="77777777" w:rsidR="001527B1" w:rsidRPr="004676F5" w:rsidRDefault="001527B1" w:rsidP="001527B1">
      <w:pPr>
        <w:ind w:firstLine="708"/>
        <w:jc w:val="both"/>
        <w:rPr>
          <w:lang w:val="de-DE"/>
        </w:rPr>
      </w:pPr>
    </w:p>
    <w:p w14:paraId="16F090A7" w14:textId="6B2C48BE"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Unbeschadet des Artikels XI.153 haben Einwender Zugang zu den Unterlagen sowie zu den Ergebnissen der technischen Prüfung und gegebenenfalls der Sorten</w:t>
      </w:r>
      <w:r w:rsidRPr="004676F5">
        <w:rPr>
          <w:lang w:val="de-DE"/>
        </w:rPr>
        <w:softHyphen/>
        <w:t>beschreibung.</w:t>
      </w:r>
    </w:p>
    <w:p w14:paraId="25EA0640" w14:textId="77777777" w:rsidR="001527B1" w:rsidRPr="004676F5" w:rsidRDefault="001527B1" w:rsidP="001527B1">
      <w:pPr>
        <w:ind w:firstLine="708"/>
        <w:jc w:val="both"/>
        <w:rPr>
          <w:lang w:val="de-DE"/>
        </w:rPr>
      </w:pPr>
    </w:p>
    <w:p w14:paraId="1DFE85D7" w14:textId="30621BE2"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Einwendungen können nur auf die Behauptung gestützt werden, dass:</w:t>
      </w:r>
    </w:p>
    <w:p w14:paraId="4861529C" w14:textId="77777777" w:rsidR="001527B1" w:rsidRPr="004676F5" w:rsidRDefault="001527B1" w:rsidP="001527B1">
      <w:pPr>
        <w:ind w:firstLine="708"/>
        <w:jc w:val="both"/>
        <w:rPr>
          <w:lang w:val="de-DE"/>
        </w:rPr>
      </w:pPr>
    </w:p>
    <w:p w14:paraId="58AB0BC7" w14:textId="77777777" w:rsidR="001527B1" w:rsidRPr="004676F5" w:rsidRDefault="001527B1" w:rsidP="001527B1">
      <w:pPr>
        <w:ind w:firstLine="708"/>
        <w:jc w:val="both"/>
        <w:rPr>
          <w:lang w:val="de-DE"/>
        </w:rPr>
      </w:pPr>
      <w:r w:rsidRPr="004676F5">
        <w:rPr>
          <w:lang w:val="de-DE"/>
        </w:rPr>
        <w:t>1. die Voraussetzungen der Artikel XI.106, XI.107, XI.108, XI.109 und XI.111 nicht erfüllt sind,</w:t>
      </w:r>
    </w:p>
    <w:p w14:paraId="34EFBAB8" w14:textId="77777777" w:rsidR="001527B1" w:rsidRPr="004676F5" w:rsidRDefault="001527B1" w:rsidP="001527B1">
      <w:pPr>
        <w:ind w:firstLine="708"/>
        <w:jc w:val="both"/>
        <w:rPr>
          <w:lang w:val="de-DE"/>
        </w:rPr>
      </w:pPr>
    </w:p>
    <w:p w14:paraId="6BDAEE1F" w14:textId="77777777" w:rsidR="001527B1" w:rsidRPr="004676F5" w:rsidRDefault="001527B1" w:rsidP="001527B1">
      <w:pPr>
        <w:ind w:firstLine="708"/>
        <w:jc w:val="both"/>
        <w:rPr>
          <w:lang w:val="de-DE"/>
        </w:rPr>
      </w:pPr>
      <w:r w:rsidRPr="004676F5">
        <w:rPr>
          <w:lang w:val="de-DE"/>
        </w:rPr>
        <w:t>2. die Sortenbezeichnung nicht den Bestimmungen von Artikel XI.143 genügt.</w:t>
      </w:r>
    </w:p>
    <w:p w14:paraId="48EE0DD4" w14:textId="77777777" w:rsidR="001527B1" w:rsidRPr="004676F5" w:rsidRDefault="001527B1" w:rsidP="001527B1">
      <w:pPr>
        <w:ind w:firstLine="708"/>
        <w:jc w:val="both"/>
        <w:rPr>
          <w:lang w:val="de-DE"/>
        </w:rPr>
      </w:pPr>
    </w:p>
    <w:p w14:paraId="6F954D83" w14:textId="7A693BCC"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König bestimmt die Auskünfte, die in den Einwendungen enthalten sein müssen, und legt die Frist, innerhalb deren Einwendungen vorzubringen sind, und die Modalitäten für die Prüfung dieser Einwendungen fest.</w:t>
      </w:r>
    </w:p>
    <w:p w14:paraId="4DCB9014" w14:textId="77777777" w:rsidR="001527B1" w:rsidRPr="004676F5" w:rsidRDefault="001527B1" w:rsidP="001527B1">
      <w:pPr>
        <w:ind w:firstLine="708"/>
        <w:jc w:val="both"/>
        <w:rPr>
          <w:lang w:val="de-DE"/>
        </w:rPr>
      </w:pPr>
    </w:p>
    <w:p w14:paraId="156321EA" w14:textId="77777777" w:rsidR="00435B6C" w:rsidRPr="004676F5" w:rsidRDefault="00435B6C" w:rsidP="001527B1">
      <w:pPr>
        <w:ind w:firstLine="708"/>
        <w:jc w:val="both"/>
        <w:rPr>
          <w:lang w:val="de-DE"/>
        </w:rPr>
      </w:pPr>
    </w:p>
    <w:p w14:paraId="1718CEE6" w14:textId="42AA988A" w:rsidR="001527B1" w:rsidRPr="004676F5" w:rsidRDefault="00BE0A56" w:rsidP="001527B1">
      <w:pPr>
        <w:ind w:firstLine="708"/>
        <w:jc w:val="both"/>
        <w:rPr>
          <w:lang w:val="de-DE"/>
        </w:rPr>
      </w:pPr>
      <w:r w:rsidRPr="004676F5">
        <w:rPr>
          <w:b/>
          <w:lang w:val="de-DE"/>
        </w:rPr>
        <w:t>Art. </w:t>
      </w:r>
      <w:r w:rsidR="001527B1" w:rsidRPr="004676F5">
        <w:rPr>
          <w:b/>
          <w:lang w:val="de-DE"/>
        </w:rPr>
        <w:t>XI.140</w:t>
      </w:r>
      <w:r w:rsidR="001527B1" w:rsidRPr="004676F5">
        <w:rPr>
          <w:lang w:val="de-DE"/>
        </w:rPr>
        <w:t> </w:t>
      </w:r>
      <w:r w:rsidR="005B7A5C" w:rsidRPr="004676F5">
        <w:rPr>
          <w:lang w:val="de-DE"/>
        </w:rPr>
        <w:t>- </w:t>
      </w:r>
      <w:r w:rsidR="001527B1" w:rsidRPr="004676F5">
        <w:rPr>
          <w:lang w:val="de-DE"/>
        </w:rPr>
        <w:t>Führt eine Einwendung wegen Nichterfüllung der Voraussetzungen des Artikels XI.111 §§ 1, 2 und 3 zur Zurücknahme oder Zurückweisung des Antrags auf Sortenschutz und reicht der Einwender innerhalb eines Monats nach der Zurücknahme oder der Unanfechtbarkeit der Zurückweisung für dieselbe Sorte einen Antrag auf Sortenschutz ein, so kann er verlangen, dass hierfür als Antragstag der Tag des zurückgenommenen oder zurückgewiesenen Antrags gilt.</w:t>
      </w:r>
    </w:p>
    <w:p w14:paraId="2DC60C92" w14:textId="77777777" w:rsidR="001527B1" w:rsidRPr="004676F5" w:rsidRDefault="001527B1" w:rsidP="001527B1">
      <w:pPr>
        <w:rPr>
          <w:lang w:val="de-DE"/>
        </w:rPr>
      </w:pPr>
    </w:p>
    <w:p w14:paraId="21DD0DAA" w14:textId="77777777" w:rsidR="00435B6C" w:rsidRPr="004676F5" w:rsidRDefault="00435B6C" w:rsidP="001527B1">
      <w:pPr>
        <w:rPr>
          <w:lang w:val="de-DE"/>
        </w:rPr>
      </w:pPr>
    </w:p>
    <w:p w14:paraId="3861F751" w14:textId="2068BE17" w:rsidR="001527B1" w:rsidRPr="004676F5" w:rsidRDefault="001527B1" w:rsidP="001527B1">
      <w:pPr>
        <w:jc w:val="center"/>
        <w:rPr>
          <w:lang w:val="de-DE"/>
        </w:rPr>
      </w:pPr>
      <w:r w:rsidRPr="004676F5">
        <w:rPr>
          <w:i/>
          <w:lang w:val="de-DE"/>
        </w:rPr>
        <w:t>Abschnitt 4 </w:t>
      </w:r>
      <w:r w:rsidR="005B7A5C" w:rsidRPr="004676F5">
        <w:rPr>
          <w:lang w:val="de-DE"/>
        </w:rPr>
        <w:t>- </w:t>
      </w:r>
      <w:r w:rsidRPr="004676F5">
        <w:rPr>
          <w:lang w:val="de-DE"/>
        </w:rPr>
        <w:t>Entscheidungen</w:t>
      </w:r>
    </w:p>
    <w:p w14:paraId="2159BFFC" w14:textId="77777777" w:rsidR="001527B1" w:rsidRPr="004676F5" w:rsidRDefault="001527B1" w:rsidP="001527B1">
      <w:pPr>
        <w:ind w:firstLine="708"/>
        <w:jc w:val="both"/>
        <w:rPr>
          <w:lang w:val="de-DE"/>
        </w:rPr>
      </w:pPr>
    </w:p>
    <w:p w14:paraId="0B26ED0F" w14:textId="77777777" w:rsidR="00435B6C" w:rsidRPr="004676F5" w:rsidRDefault="00435B6C" w:rsidP="001527B1">
      <w:pPr>
        <w:ind w:firstLine="708"/>
        <w:jc w:val="both"/>
        <w:rPr>
          <w:lang w:val="de-DE"/>
        </w:rPr>
      </w:pPr>
    </w:p>
    <w:p w14:paraId="6F610900" w14:textId="4092F974" w:rsidR="001527B1" w:rsidRPr="004676F5" w:rsidRDefault="00BE0A56" w:rsidP="001527B1">
      <w:pPr>
        <w:ind w:firstLine="708"/>
        <w:jc w:val="both"/>
        <w:rPr>
          <w:lang w:val="de-DE"/>
        </w:rPr>
      </w:pPr>
      <w:r w:rsidRPr="004676F5">
        <w:rPr>
          <w:b/>
          <w:lang w:val="de-DE"/>
        </w:rPr>
        <w:t>Art. </w:t>
      </w:r>
      <w:r w:rsidR="001527B1" w:rsidRPr="004676F5">
        <w:rPr>
          <w:b/>
          <w:lang w:val="de-DE"/>
        </w:rPr>
        <w:t>XI.141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Amt weist den Antrag auf Sortenschutz zurück, wenn und sobald es feststellt, dass der Antragsteller:</w:t>
      </w:r>
    </w:p>
    <w:p w14:paraId="78A339CF" w14:textId="77777777" w:rsidR="001527B1" w:rsidRPr="004676F5" w:rsidRDefault="001527B1" w:rsidP="001527B1">
      <w:pPr>
        <w:ind w:firstLine="708"/>
        <w:jc w:val="both"/>
        <w:rPr>
          <w:lang w:val="de-DE"/>
        </w:rPr>
      </w:pPr>
    </w:p>
    <w:p w14:paraId="28EDC14C" w14:textId="77777777" w:rsidR="001527B1" w:rsidRPr="004676F5" w:rsidRDefault="001527B1" w:rsidP="001527B1">
      <w:pPr>
        <w:ind w:firstLine="708"/>
        <w:jc w:val="both"/>
        <w:rPr>
          <w:lang w:val="de-DE"/>
        </w:rPr>
      </w:pPr>
      <w:r w:rsidRPr="004676F5">
        <w:rPr>
          <w:lang w:val="de-DE"/>
        </w:rPr>
        <w:t>1. Mängel im Sinne des Artikels XI.135 § 2, zu deren Beseitigung dem Antragsteller Gelegenheit gegeben wurde, innerhalb einer ihm gesetzten Frist nicht beseitigt hat oder</w:t>
      </w:r>
    </w:p>
    <w:p w14:paraId="441D4744" w14:textId="77777777" w:rsidR="001527B1" w:rsidRPr="004676F5" w:rsidRDefault="001527B1" w:rsidP="001527B1">
      <w:pPr>
        <w:ind w:firstLine="708"/>
        <w:jc w:val="both"/>
        <w:rPr>
          <w:lang w:val="de-DE"/>
        </w:rPr>
      </w:pPr>
    </w:p>
    <w:p w14:paraId="3243E08F" w14:textId="77777777" w:rsidR="001527B1" w:rsidRPr="004676F5" w:rsidRDefault="001527B1" w:rsidP="001527B1">
      <w:pPr>
        <w:ind w:firstLine="708"/>
        <w:jc w:val="both"/>
        <w:rPr>
          <w:lang w:val="de-DE"/>
        </w:rPr>
      </w:pPr>
      <w:r w:rsidRPr="004676F5">
        <w:rPr>
          <w:lang w:val="de-DE"/>
        </w:rPr>
        <w:t>2. dem Antrag des Amtes nach Artikel XI.137 § 7 oder 8 nicht innerhalb der gesetzten Frist nachgekommen ist, es sei denn, dass das Amt die Nichtvorlage der Informationen, der Unterlagen oder des Materials genehmigt hat, oder</w:t>
      </w:r>
    </w:p>
    <w:p w14:paraId="710A9428" w14:textId="77777777" w:rsidR="001527B1" w:rsidRPr="004676F5" w:rsidRDefault="001527B1" w:rsidP="001527B1">
      <w:pPr>
        <w:ind w:firstLine="708"/>
        <w:jc w:val="both"/>
        <w:rPr>
          <w:lang w:val="de-DE"/>
        </w:rPr>
      </w:pPr>
    </w:p>
    <w:p w14:paraId="3DE2A3F0" w14:textId="77777777" w:rsidR="001527B1" w:rsidRPr="004676F5" w:rsidRDefault="001527B1" w:rsidP="001527B1">
      <w:pPr>
        <w:ind w:firstLine="708"/>
        <w:jc w:val="both"/>
        <w:rPr>
          <w:lang w:val="de-DE"/>
        </w:rPr>
      </w:pPr>
      <w:r w:rsidRPr="004676F5">
        <w:rPr>
          <w:lang w:val="de-DE"/>
        </w:rPr>
        <w:t>3. innerhalb der vom Amt gesetzten Frist keine nach Artikel XI.143 festsetzbare Sortenbezeichnung vorgeschlagen hat.</w:t>
      </w:r>
    </w:p>
    <w:p w14:paraId="3AB80D1F" w14:textId="77777777" w:rsidR="001527B1" w:rsidRPr="004676F5" w:rsidRDefault="001527B1" w:rsidP="001527B1">
      <w:pPr>
        <w:jc w:val="both"/>
        <w:rPr>
          <w:lang w:val="de-DE"/>
        </w:rPr>
      </w:pPr>
    </w:p>
    <w:p w14:paraId="41DC3D6C" w14:textId="6C2AB5E0"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Amt weist den Antrag auf Sortenschutz ferner zurück, wenn:</w:t>
      </w:r>
    </w:p>
    <w:p w14:paraId="392D25F0" w14:textId="77777777" w:rsidR="001527B1" w:rsidRPr="004676F5" w:rsidRDefault="001527B1" w:rsidP="001527B1">
      <w:pPr>
        <w:ind w:firstLine="708"/>
        <w:jc w:val="both"/>
        <w:rPr>
          <w:lang w:val="de-DE"/>
        </w:rPr>
      </w:pPr>
    </w:p>
    <w:p w14:paraId="14152987" w14:textId="77777777" w:rsidR="001527B1" w:rsidRPr="004676F5" w:rsidRDefault="001527B1" w:rsidP="001527B1">
      <w:pPr>
        <w:ind w:firstLine="708"/>
        <w:jc w:val="both"/>
        <w:rPr>
          <w:lang w:val="de-DE"/>
        </w:rPr>
      </w:pPr>
      <w:r w:rsidRPr="004676F5">
        <w:rPr>
          <w:lang w:val="de-DE"/>
        </w:rPr>
        <w:t>1. es feststellt, dass die von ihm nach Artikel XI.136 zu prüfenden Voraussetzungen nicht erfüllt sind, oder</w:t>
      </w:r>
    </w:p>
    <w:p w14:paraId="0AE6E282" w14:textId="77777777" w:rsidR="001527B1" w:rsidRPr="004676F5" w:rsidRDefault="001527B1" w:rsidP="001527B1">
      <w:pPr>
        <w:ind w:firstLine="708"/>
        <w:jc w:val="both"/>
        <w:rPr>
          <w:lang w:val="de-DE"/>
        </w:rPr>
      </w:pPr>
    </w:p>
    <w:p w14:paraId="568C4D1F" w14:textId="77777777" w:rsidR="001527B1" w:rsidRPr="004676F5" w:rsidRDefault="001527B1" w:rsidP="001527B1">
      <w:pPr>
        <w:ind w:firstLine="708"/>
        <w:jc w:val="both"/>
        <w:rPr>
          <w:lang w:val="de-DE"/>
        </w:rPr>
      </w:pPr>
      <w:r w:rsidRPr="004676F5">
        <w:rPr>
          <w:lang w:val="de-DE"/>
        </w:rPr>
        <w:t>2. es aufgrund der Prüfungsberichte nach Artikel XI.138 zu der Auffassung gelangt, dass die Voraussetzungen der Artikel XI.106, XI.107 und XI.108 nicht erfüllt sind.</w:t>
      </w:r>
    </w:p>
    <w:p w14:paraId="5F778B6E" w14:textId="77777777" w:rsidR="001527B1" w:rsidRPr="004676F5" w:rsidRDefault="001527B1" w:rsidP="001527B1">
      <w:pPr>
        <w:ind w:firstLine="708"/>
        <w:jc w:val="both"/>
        <w:rPr>
          <w:lang w:val="de-DE"/>
        </w:rPr>
      </w:pPr>
    </w:p>
    <w:p w14:paraId="082CEDC1" w14:textId="77777777" w:rsidR="00435B6C" w:rsidRPr="004676F5" w:rsidRDefault="00435B6C" w:rsidP="001527B1">
      <w:pPr>
        <w:ind w:firstLine="708"/>
        <w:jc w:val="both"/>
        <w:rPr>
          <w:lang w:val="de-DE"/>
        </w:rPr>
      </w:pPr>
    </w:p>
    <w:p w14:paraId="3EA9C314" w14:textId="5F9E047C" w:rsidR="001527B1" w:rsidRPr="004676F5" w:rsidRDefault="00BE0A56" w:rsidP="001527B1">
      <w:pPr>
        <w:ind w:firstLine="708"/>
        <w:jc w:val="both"/>
        <w:rPr>
          <w:lang w:val="de-DE"/>
        </w:rPr>
      </w:pPr>
      <w:r w:rsidRPr="004676F5">
        <w:rPr>
          <w:b/>
          <w:lang w:val="de-DE"/>
        </w:rPr>
        <w:t>Art. </w:t>
      </w:r>
      <w:r w:rsidR="001527B1" w:rsidRPr="004676F5">
        <w:rPr>
          <w:b/>
          <w:lang w:val="de-DE"/>
        </w:rPr>
        <w:t>XI.142</w:t>
      </w:r>
      <w:r w:rsidR="001527B1" w:rsidRPr="004676F5">
        <w:rPr>
          <w:lang w:val="de-DE"/>
        </w:rPr>
        <w:t> </w:t>
      </w:r>
      <w:r w:rsidR="005B7A5C" w:rsidRPr="004676F5">
        <w:rPr>
          <w:lang w:val="de-DE"/>
        </w:rPr>
        <w:t>- </w:t>
      </w:r>
      <w:r w:rsidR="001527B1" w:rsidRPr="004676F5">
        <w:rPr>
          <w:lang w:val="de-DE"/>
        </w:rPr>
        <w:t>Ist das Amt der Auffassung, dass die Ergebnisse der technischen Prüfung für die Entscheidung über den Antrag ausreichen, und liegen keine Hindernisse nach den Artikeln XI.139 und XI.141 vor, so erteilt es den Sortenschutz und stellt es eine Sortenschutz</w:t>
      </w:r>
      <w:r w:rsidR="001527B1" w:rsidRPr="004676F5">
        <w:rPr>
          <w:lang w:val="de-DE"/>
        </w:rPr>
        <w:softHyphen/>
        <w:t>bescheinigung aus. Die Entscheidung muss die amtliche Beschreibung der Sorte enthalten.</w:t>
      </w:r>
    </w:p>
    <w:p w14:paraId="11ADB86D" w14:textId="77777777" w:rsidR="001527B1" w:rsidRPr="004676F5" w:rsidRDefault="001527B1" w:rsidP="001527B1">
      <w:pPr>
        <w:ind w:firstLine="708"/>
        <w:jc w:val="both"/>
        <w:rPr>
          <w:lang w:val="de-DE"/>
        </w:rPr>
      </w:pPr>
    </w:p>
    <w:p w14:paraId="5088DF20" w14:textId="77777777" w:rsidR="00435B6C" w:rsidRPr="004676F5" w:rsidRDefault="00435B6C" w:rsidP="001527B1">
      <w:pPr>
        <w:ind w:firstLine="708"/>
        <w:jc w:val="both"/>
        <w:rPr>
          <w:lang w:val="de-DE"/>
        </w:rPr>
      </w:pPr>
    </w:p>
    <w:p w14:paraId="2DE4AAF0" w14:textId="1DAEC20E"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XI.143</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Bei der Erteilung des Sortenschutzes genehmigt das Amt für die Sorte die vom Antragsteller gemäß Artikel XI.132 § 4 vorgeschlagene Sortenbezeichnung, wenn es sie aufgrund der nach Artikel XI.136 § 2 durchgeführten Prüfung für geeignet befunden hat.</w:t>
      </w:r>
    </w:p>
    <w:p w14:paraId="387E8AA3" w14:textId="77777777" w:rsidR="001527B1" w:rsidRPr="004676F5" w:rsidRDefault="001527B1" w:rsidP="001527B1">
      <w:pPr>
        <w:ind w:firstLine="708"/>
        <w:jc w:val="both"/>
        <w:rPr>
          <w:lang w:val="de-DE"/>
        </w:rPr>
      </w:pPr>
    </w:p>
    <w:p w14:paraId="699953B2" w14:textId="356B5AC4"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König bestimmt die Bedingungen, denen die Sortenbezeichnung genügen muss, damit sie für geeignet befunden wird, und die Bedingungen für ihre Benutzung.</w:t>
      </w:r>
    </w:p>
    <w:p w14:paraId="3A2CD49E" w14:textId="77777777" w:rsidR="001527B1" w:rsidRPr="004676F5" w:rsidRDefault="001527B1" w:rsidP="001527B1">
      <w:pPr>
        <w:ind w:firstLine="708"/>
        <w:jc w:val="both"/>
        <w:rPr>
          <w:lang w:val="de-DE"/>
        </w:rPr>
      </w:pPr>
    </w:p>
    <w:p w14:paraId="64E57C06" w14:textId="16D333F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Bezeichnung ist dazu bestimmt, Gattungsname der Sorte zu werden.</w:t>
      </w:r>
    </w:p>
    <w:p w14:paraId="52D3EF16" w14:textId="77777777" w:rsidR="001527B1" w:rsidRPr="004676F5" w:rsidRDefault="001527B1" w:rsidP="001527B1">
      <w:pPr>
        <w:ind w:firstLine="708"/>
        <w:jc w:val="both"/>
        <w:rPr>
          <w:lang w:val="de-DE"/>
        </w:rPr>
      </w:pPr>
    </w:p>
    <w:p w14:paraId="2787F0F7" w14:textId="35C1DEF2"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Das Amt registriert die Bezeichnung gleichzeitig mit der Erteilung des Sortenschutzes.</w:t>
      </w:r>
    </w:p>
    <w:p w14:paraId="253402A2" w14:textId="77777777" w:rsidR="001527B1" w:rsidRPr="004676F5" w:rsidRDefault="001527B1" w:rsidP="001527B1">
      <w:pPr>
        <w:ind w:firstLine="708"/>
        <w:jc w:val="both"/>
        <w:rPr>
          <w:lang w:val="de-DE"/>
        </w:rPr>
      </w:pPr>
    </w:p>
    <w:p w14:paraId="5755BE97" w14:textId="77777777" w:rsidR="00435B6C" w:rsidRPr="004676F5" w:rsidRDefault="00435B6C" w:rsidP="001527B1">
      <w:pPr>
        <w:ind w:firstLine="708"/>
        <w:jc w:val="both"/>
        <w:rPr>
          <w:lang w:val="de-DE"/>
        </w:rPr>
      </w:pPr>
    </w:p>
    <w:p w14:paraId="0F7D9A79" w14:textId="3C1C6F6D" w:rsidR="001527B1" w:rsidRPr="004676F5" w:rsidRDefault="001527B1" w:rsidP="001527B1">
      <w:pPr>
        <w:jc w:val="center"/>
        <w:rPr>
          <w:lang w:val="de-DE"/>
        </w:rPr>
      </w:pPr>
      <w:r w:rsidRPr="004676F5">
        <w:rPr>
          <w:i/>
          <w:lang w:val="de-DE"/>
        </w:rPr>
        <w:t>Abschnitt 5 </w:t>
      </w:r>
      <w:r w:rsidR="005B7A5C" w:rsidRPr="004676F5">
        <w:rPr>
          <w:lang w:val="de-DE"/>
        </w:rPr>
        <w:t>- </w:t>
      </w:r>
      <w:r w:rsidRPr="004676F5">
        <w:rPr>
          <w:lang w:val="de-DE"/>
        </w:rPr>
        <w:t>Aufrechterhaltung des Sortenschutzes</w:t>
      </w:r>
    </w:p>
    <w:p w14:paraId="609BD1D9" w14:textId="77777777" w:rsidR="001527B1" w:rsidRPr="004676F5" w:rsidRDefault="001527B1" w:rsidP="001527B1">
      <w:pPr>
        <w:ind w:firstLine="708"/>
        <w:jc w:val="both"/>
        <w:rPr>
          <w:lang w:val="de-DE"/>
        </w:rPr>
      </w:pPr>
    </w:p>
    <w:p w14:paraId="54CE4D05" w14:textId="77777777" w:rsidR="00435B6C" w:rsidRPr="004676F5" w:rsidRDefault="00435B6C" w:rsidP="001527B1">
      <w:pPr>
        <w:ind w:firstLine="708"/>
        <w:jc w:val="both"/>
        <w:rPr>
          <w:lang w:val="de-DE"/>
        </w:rPr>
      </w:pPr>
    </w:p>
    <w:p w14:paraId="096D94D5" w14:textId="2DE113F4" w:rsidR="001527B1" w:rsidRPr="004676F5" w:rsidRDefault="00BE0A56" w:rsidP="001527B1">
      <w:pPr>
        <w:ind w:firstLine="708"/>
        <w:jc w:val="both"/>
        <w:rPr>
          <w:lang w:val="de-DE"/>
        </w:rPr>
      </w:pPr>
      <w:r w:rsidRPr="004676F5">
        <w:rPr>
          <w:b/>
          <w:lang w:val="de-DE"/>
        </w:rPr>
        <w:t>Art. </w:t>
      </w:r>
      <w:r w:rsidR="001527B1" w:rsidRPr="004676F5">
        <w:rPr>
          <w:b/>
          <w:lang w:val="de-DE"/>
        </w:rPr>
        <w:t>XI.144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Inhaber muss das Fortbestehen der geschützten Sorte oder gegebenenfalls ihrer Erbbestandteile während der gesamten Gültigkeitsdauer des Rechts sichern.</w:t>
      </w:r>
    </w:p>
    <w:p w14:paraId="4BF364F4" w14:textId="77777777" w:rsidR="001527B1" w:rsidRPr="004676F5" w:rsidRDefault="001527B1" w:rsidP="001527B1">
      <w:pPr>
        <w:ind w:firstLine="708"/>
        <w:jc w:val="both"/>
        <w:rPr>
          <w:lang w:val="de-DE"/>
        </w:rPr>
      </w:pPr>
    </w:p>
    <w:p w14:paraId="5374B99C" w14:textId="3045A514"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Vom Inhaber kann verlangt werden, dass er selbst das Fortbestehen des amtlichen Sortenmusters sichert.</w:t>
      </w:r>
    </w:p>
    <w:p w14:paraId="40016EC3" w14:textId="77777777" w:rsidR="001527B1" w:rsidRPr="004676F5" w:rsidRDefault="001527B1" w:rsidP="001527B1">
      <w:pPr>
        <w:ind w:firstLine="708"/>
        <w:jc w:val="both"/>
        <w:rPr>
          <w:lang w:val="de-DE"/>
        </w:rPr>
      </w:pPr>
    </w:p>
    <w:p w14:paraId="1203078F" w14:textId="77777777" w:rsidR="00435B6C" w:rsidRPr="004676F5" w:rsidRDefault="00435B6C" w:rsidP="001527B1">
      <w:pPr>
        <w:ind w:firstLine="708"/>
        <w:jc w:val="both"/>
        <w:rPr>
          <w:lang w:val="de-DE"/>
        </w:rPr>
      </w:pPr>
    </w:p>
    <w:p w14:paraId="1945AED3" w14:textId="41E371E3" w:rsidR="001527B1" w:rsidRPr="004676F5" w:rsidRDefault="00BE0A56" w:rsidP="001527B1">
      <w:pPr>
        <w:ind w:firstLine="708"/>
        <w:jc w:val="both"/>
        <w:rPr>
          <w:lang w:val="de-DE"/>
        </w:rPr>
      </w:pPr>
      <w:r w:rsidRPr="004676F5">
        <w:rPr>
          <w:b/>
          <w:lang w:val="de-DE"/>
        </w:rPr>
        <w:t>Art. </w:t>
      </w:r>
      <w:r w:rsidR="001527B1" w:rsidRPr="004676F5">
        <w:rPr>
          <w:b/>
          <w:lang w:val="de-DE"/>
        </w:rPr>
        <w:t>XI.145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Amt kann nachprüfen, ob das Fortbestehen der Sorte und gegebenenfalls ihrer Erbbestandteile während der gesamten Gültigkeitsdauer des Sorten</w:t>
      </w:r>
      <w:r w:rsidR="001527B1" w:rsidRPr="004676F5">
        <w:rPr>
          <w:lang w:val="de-DE"/>
        </w:rPr>
        <w:softHyphen/>
        <w:t>schutzes gesichert ist.</w:t>
      </w:r>
    </w:p>
    <w:p w14:paraId="21509F22" w14:textId="77777777" w:rsidR="001527B1" w:rsidRPr="004676F5" w:rsidRDefault="001527B1" w:rsidP="001527B1">
      <w:pPr>
        <w:ind w:firstLine="708"/>
        <w:jc w:val="both"/>
        <w:rPr>
          <w:lang w:val="de-DE"/>
        </w:rPr>
      </w:pPr>
    </w:p>
    <w:p w14:paraId="2CF5A3F5" w14:textId="66DA0C9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Amt ist ermächtigt, Zusammenarbeitsabkommen hinsichtlich der Nach</w:t>
      </w:r>
      <w:r w:rsidRPr="004676F5">
        <w:rPr>
          <w:lang w:val="de-DE"/>
        </w:rPr>
        <w:softHyphen/>
        <w:t>prüfung des Fortbestehens der Sorten zu schließen und zu diesem Zweck erforderliche Ausführungsmaßnahmen zu ergreifen.</w:t>
      </w:r>
    </w:p>
    <w:p w14:paraId="669FC837" w14:textId="77777777" w:rsidR="001527B1" w:rsidRPr="004676F5" w:rsidRDefault="001527B1" w:rsidP="001527B1">
      <w:pPr>
        <w:ind w:firstLine="708"/>
        <w:jc w:val="both"/>
        <w:rPr>
          <w:lang w:val="de-DE"/>
        </w:rPr>
      </w:pPr>
    </w:p>
    <w:p w14:paraId="1AD0DA7F" w14:textId="544E4429"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Auf Anforderung des Amtes muss der Inhaber dem Amt oder jeder vom Amt bestimmten Partei innerhalb der gesetzten Frist alle für die Beurteilung des Fortbestehens der geschützten Sorte erforderlichen Informationen, Unterlagen oder diesbezüglich erforderliches Material vorlegen und die Nachprüfung der für das Fortbestehen der Sorte getroffenen Maßnahmen gestatten.</w:t>
      </w:r>
    </w:p>
    <w:p w14:paraId="595AFEEB" w14:textId="77777777" w:rsidR="001527B1" w:rsidRPr="004676F5" w:rsidRDefault="001527B1" w:rsidP="001527B1">
      <w:pPr>
        <w:ind w:firstLine="708"/>
        <w:jc w:val="both"/>
        <w:rPr>
          <w:lang w:val="de-DE"/>
        </w:rPr>
      </w:pPr>
    </w:p>
    <w:p w14:paraId="12F273D6" w14:textId="79285F6E"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Gibt es Anhaltspunkte dafür, dass das Fortbestehen der Sorte nicht gesichert ist, und wird diese Vermutung in diesem Fall durch die vom Inhaber in Anwendung von § 3 vorgelegten Informationen und Unterlagen nicht widerlegt, ordnet das Amt eine Nachprüfung des Fortbestehens der Sorte an und legt es die Modalitäten für diese Nachprüfung fest.</w:t>
      </w:r>
    </w:p>
    <w:p w14:paraId="7A5292E2" w14:textId="77777777" w:rsidR="001527B1" w:rsidRPr="004676F5" w:rsidRDefault="001527B1" w:rsidP="001527B1">
      <w:pPr>
        <w:ind w:firstLine="708"/>
        <w:jc w:val="both"/>
        <w:rPr>
          <w:lang w:val="de-DE"/>
        </w:rPr>
      </w:pPr>
    </w:p>
    <w:p w14:paraId="4CD9E681" w14:textId="77777777" w:rsidR="001527B1" w:rsidRPr="004676F5" w:rsidRDefault="001527B1" w:rsidP="001527B1">
      <w:pPr>
        <w:ind w:firstLine="708"/>
        <w:jc w:val="both"/>
        <w:rPr>
          <w:lang w:val="de-DE"/>
        </w:rPr>
      </w:pPr>
      <w:r w:rsidRPr="004676F5">
        <w:rPr>
          <w:lang w:val="de-DE"/>
        </w:rPr>
        <w:t>Der Inhaber muss gestatten, dass das Material der betreffenden Sorte und der Ort, an dem das Fortbestehen der Sorte gesichert wird, inspiziert werden, sodass die für die Beurteilung des Fortbestehens der Sorte erforderlichen Informationen zusammengetragen werden können.</w:t>
      </w:r>
    </w:p>
    <w:p w14:paraId="5E6CCD2F" w14:textId="77777777" w:rsidR="001527B1" w:rsidRPr="004676F5" w:rsidRDefault="001527B1" w:rsidP="001527B1">
      <w:pPr>
        <w:ind w:firstLine="708"/>
        <w:jc w:val="both"/>
        <w:rPr>
          <w:lang w:val="de-DE"/>
        </w:rPr>
      </w:pPr>
    </w:p>
    <w:p w14:paraId="0F087A9D" w14:textId="77777777" w:rsidR="001527B1" w:rsidRPr="004676F5" w:rsidRDefault="001527B1" w:rsidP="001527B1">
      <w:pPr>
        <w:ind w:firstLine="708"/>
        <w:jc w:val="both"/>
        <w:rPr>
          <w:lang w:val="de-DE"/>
        </w:rPr>
      </w:pPr>
      <w:r w:rsidRPr="004676F5">
        <w:rPr>
          <w:lang w:val="de-DE"/>
        </w:rPr>
        <w:t>Der Inhaber muss zweckdienliche Dokumentation aufbewahren, damit nachgeprüft werden kann, ob passende Maßnahmen getroffen wurden.</w:t>
      </w:r>
    </w:p>
    <w:p w14:paraId="53549A26" w14:textId="77777777" w:rsidR="001527B1" w:rsidRPr="004676F5" w:rsidRDefault="001527B1" w:rsidP="001527B1">
      <w:pPr>
        <w:ind w:firstLine="708"/>
        <w:jc w:val="both"/>
        <w:rPr>
          <w:lang w:val="de-DE"/>
        </w:rPr>
      </w:pPr>
    </w:p>
    <w:p w14:paraId="6FAA77B9" w14:textId="247146BB" w:rsidR="001527B1" w:rsidRPr="004676F5" w:rsidRDefault="001527B1" w:rsidP="001527B1">
      <w:pPr>
        <w:ind w:firstLine="708"/>
        <w:jc w:val="both"/>
        <w:rPr>
          <w:lang w:val="de-DE"/>
        </w:rPr>
      </w:pPr>
      <w:r w:rsidRPr="004676F5">
        <w:rPr>
          <w:lang w:val="de-DE"/>
        </w:rPr>
        <w:lastRenderedPageBreak/>
        <w:t>§ 5 </w:t>
      </w:r>
      <w:r w:rsidR="005B7A5C" w:rsidRPr="004676F5">
        <w:rPr>
          <w:lang w:val="de-DE"/>
        </w:rPr>
        <w:t>- </w:t>
      </w:r>
      <w:r w:rsidRPr="004676F5">
        <w:rPr>
          <w:lang w:val="de-DE"/>
        </w:rPr>
        <w:t>Die Nachprüfung umfasst Anbauprüfungen oder sonstige Untersuchungen, bei denen das vom Inhaber vorgelegte Material mit der amtlichen Sortenbeschreibung oder dem amtlichen Sortenmuster verglichen wird.</w:t>
      </w:r>
    </w:p>
    <w:p w14:paraId="79BFDED4" w14:textId="77777777" w:rsidR="001527B1" w:rsidRPr="004676F5" w:rsidRDefault="001527B1" w:rsidP="001527B1">
      <w:pPr>
        <w:ind w:firstLine="708"/>
        <w:jc w:val="both"/>
        <w:rPr>
          <w:lang w:val="de-DE"/>
        </w:rPr>
      </w:pPr>
    </w:p>
    <w:p w14:paraId="50D45723" w14:textId="005426C5"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Ergibt die Nachprüfung, dass der Inhaber das Fortbestehen der Sorte nicht gesichert hat, wird er auf Anforderung des Amtes oder auf seinen Antrag hin angehört, bevor aufgrund von Artikel XI.123 ein Beschluss zur Aufhebung des Rechts gefasst wird.</w:t>
      </w:r>
    </w:p>
    <w:p w14:paraId="7D1FB7BF" w14:textId="77777777" w:rsidR="001527B1" w:rsidRPr="004676F5" w:rsidRDefault="001527B1" w:rsidP="001527B1">
      <w:pPr>
        <w:ind w:firstLine="708"/>
        <w:jc w:val="both"/>
        <w:rPr>
          <w:lang w:val="de-DE"/>
        </w:rPr>
      </w:pPr>
    </w:p>
    <w:p w14:paraId="44D91904" w14:textId="77777777" w:rsidR="00435B6C" w:rsidRPr="004676F5" w:rsidRDefault="00435B6C" w:rsidP="001527B1">
      <w:pPr>
        <w:ind w:firstLine="708"/>
        <w:jc w:val="both"/>
        <w:rPr>
          <w:lang w:val="de-DE"/>
        </w:rPr>
      </w:pPr>
    </w:p>
    <w:p w14:paraId="57A18764" w14:textId="7C5F471F" w:rsidR="001527B1" w:rsidRPr="004676F5" w:rsidRDefault="00BE0A56" w:rsidP="001527B1">
      <w:pPr>
        <w:ind w:firstLine="708"/>
        <w:jc w:val="both"/>
        <w:rPr>
          <w:lang w:val="de-DE"/>
        </w:rPr>
      </w:pPr>
      <w:r w:rsidRPr="004676F5">
        <w:rPr>
          <w:b/>
          <w:lang w:val="de-DE"/>
        </w:rPr>
        <w:t>Art. </w:t>
      </w:r>
      <w:r w:rsidR="001527B1" w:rsidRPr="004676F5">
        <w:rPr>
          <w:b/>
          <w:lang w:val="de-DE"/>
        </w:rPr>
        <w:t>XI.146</w:t>
      </w:r>
      <w:r w:rsidR="001527B1" w:rsidRPr="004676F5">
        <w:rPr>
          <w:lang w:val="de-DE"/>
        </w:rPr>
        <w:t> </w:t>
      </w:r>
      <w:r w:rsidR="005B7A5C" w:rsidRPr="004676F5">
        <w:rPr>
          <w:lang w:val="de-DE"/>
        </w:rPr>
        <w:t>- </w:t>
      </w:r>
      <w:r w:rsidR="001527B1" w:rsidRPr="004676F5">
        <w:rPr>
          <w:lang w:val="de-DE"/>
        </w:rPr>
        <w:t>Auf Anforderung des Amtes muss der Inhaber dem Amt oder jeder vom Amt bestimmten Partei innerhalb der gesetzten Frist geeignete Muster der geschützten Sorte oder gegebenenfalls ihrer Erbbestandteile erteilen im Hinblick auf:</w:t>
      </w:r>
    </w:p>
    <w:p w14:paraId="6AD3F878" w14:textId="77777777" w:rsidR="001527B1" w:rsidRPr="004676F5" w:rsidRDefault="001527B1" w:rsidP="001527B1">
      <w:pPr>
        <w:ind w:firstLine="708"/>
        <w:jc w:val="both"/>
        <w:rPr>
          <w:lang w:val="de-DE"/>
        </w:rPr>
      </w:pPr>
    </w:p>
    <w:p w14:paraId="60EFF812" w14:textId="77777777" w:rsidR="001527B1" w:rsidRPr="004676F5" w:rsidRDefault="001527B1" w:rsidP="001527B1">
      <w:pPr>
        <w:ind w:firstLine="708"/>
        <w:jc w:val="both"/>
        <w:rPr>
          <w:lang w:val="de-DE"/>
        </w:rPr>
      </w:pPr>
      <w:r w:rsidRPr="004676F5">
        <w:rPr>
          <w:lang w:val="de-DE"/>
        </w:rPr>
        <w:t>1. Zusammenstellung oder Erneuerung des amtlichen Sortenmusters oder</w:t>
      </w:r>
    </w:p>
    <w:p w14:paraId="710CBAB4" w14:textId="77777777" w:rsidR="001527B1" w:rsidRPr="004676F5" w:rsidRDefault="001527B1" w:rsidP="001527B1">
      <w:pPr>
        <w:ind w:firstLine="708"/>
        <w:jc w:val="both"/>
        <w:rPr>
          <w:lang w:val="de-DE"/>
        </w:rPr>
      </w:pPr>
    </w:p>
    <w:p w14:paraId="10638860" w14:textId="77777777" w:rsidR="001527B1" w:rsidRPr="004676F5" w:rsidRDefault="001527B1" w:rsidP="001527B1">
      <w:pPr>
        <w:ind w:firstLine="708"/>
        <w:jc w:val="both"/>
        <w:rPr>
          <w:lang w:val="de-DE"/>
        </w:rPr>
      </w:pPr>
      <w:r w:rsidRPr="004676F5">
        <w:rPr>
          <w:lang w:val="de-DE"/>
        </w:rPr>
        <w:t>2. Durchführung vergleichender Sortenprüfungen zu Zwecken des Sortenschutzes.</w:t>
      </w:r>
    </w:p>
    <w:p w14:paraId="55737D73" w14:textId="77777777" w:rsidR="001527B1" w:rsidRPr="004676F5" w:rsidRDefault="001527B1" w:rsidP="001527B1">
      <w:pPr>
        <w:ind w:firstLine="708"/>
        <w:jc w:val="both"/>
        <w:rPr>
          <w:lang w:val="de-DE"/>
        </w:rPr>
      </w:pPr>
    </w:p>
    <w:p w14:paraId="4AA095EB" w14:textId="77777777" w:rsidR="00435B6C" w:rsidRPr="004676F5" w:rsidRDefault="00435B6C" w:rsidP="001527B1">
      <w:pPr>
        <w:ind w:firstLine="708"/>
        <w:jc w:val="both"/>
        <w:rPr>
          <w:lang w:val="de-DE"/>
        </w:rPr>
      </w:pPr>
    </w:p>
    <w:p w14:paraId="0DA43CDA" w14:textId="4DCA13D8" w:rsidR="001527B1" w:rsidRPr="004676F5" w:rsidRDefault="00BE0A56" w:rsidP="001527B1">
      <w:pPr>
        <w:ind w:firstLine="708"/>
        <w:jc w:val="both"/>
        <w:rPr>
          <w:lang w:val="de-DE"/>
        </w:rPr>
      </w:pPr>
      <w:r w:rsidRPr="004676F5">
        <w:rPr>
          <w:b/>
          <w:lang w:val="de-DE"/>
        </w:rPr>
        <w:t>Art. </w:t>
      </w:r>
      <w:r w:rsidR="001527B1" w:rsidRPr="004676F5">
        <w:rPr>
          <w:b/>
          <w:lang w:val="de-DE"/>
        </w:rPr>
        <w:t>XI.147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Amt ändert gemäß den vom König festgelegten Modalitäten eine nach Artikel XI.143 festgesetzte Sortenbezeichnung, wenn es feststellt, dass die Bezeichnung den Anforderungen dieses Artikels nicht oder nicht mehr entspricht und, im Fall eines älteren Rechts eines Dritten, der Sortenschutzinhaber mit der Änderung einverstanden ist oder ihm oder einem anderen zur Verwendung der Sortenbezeichnung Verpflichteten die Verwendung der Sortenbezeichnung durch eine formell rechtskräftige gerichtliche Entschei</w:t>
      </w:r>
      <w:r w:rsidR="001527B1" w:rsidRPr="004676F5">
        <w:rPr>
          <w:lang w:val="de-DE"/>
        </w:rPr>
        <w:softHyphen/>
        <w:t>dung untersagt worden ist.</w:t>
      </w:r>
    </w:p>
    <w:p w14:paraId="70BF40EC" w14:textId="77777777" w:rsidR="001527B1" w:rsidRPr="004676F5" w:rsidRDefault="001527B1" w:rsidP="001527B1">
      <w:pPr>
        <w:ind w:firstLine="708"/>
        <w:jc w:val="both"/>
        <w:rPr>
          <w:lang w:val="de-DE"/>
        </w:rPr>
      </w:pPr>
    </w:p>
    <w:p w14:paraId="742A93BE" w14:textId="243AAC35"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Amt gibt dem Inhaber Gelegenheit, eine geänderte Sortenbezeichnung vorzuschlagen und verfährt gemäß Artikel XI.143.</w:t>
      </w:r>
    </w:p>
    <w:p w14:paraId="2072E386" w14:textId="77777777" w:rsidR="001527B1" w:rsidRPr="004676F5" w:rsidRDefault="001527B1" w:rsidP="001527B1">
      <w:pPr>
        <w:ind w:firstLine="708"/>
        <w:jc w:val="both"/>
        <w:rPr>
          <w:lang w:val="de-DE"/>
        </w:rPr>
      </w:pPr>
    </w:p>
    <w:p w14:paraId="728F5D20" w14:textId="19A01103"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Gegen den Vorschlag für eine geänderte Sortenbezeichnung können Einwendungen entsprechend Artikel XI.139 § 3 Nr. 2 erhoben werden.</w:t>
      </w:r>
    </w:p>
    <w:p w14:paraId="00F47F7A" w14:textId="77777777" w:rsidR="001527B1" w:rsidRPr="004676F5" w:rsidRDefault="001527B1" w:rsidP="001527B1">
      <w:pPr>
        <w:ind w:firstLine="708"/>
        <w:jc w:val="both"/>
        <w:rPr>
          <w:lang w:val="de-DE"/>
        </w:rPr>
      </w:pPr>
    </w:p>
    <w:p w14:paraId="3ECB1FB2" w14:textId="77777777" w:rsidR="00435B6C" w:rsidRPr="004676F5" w:rsidRDefault="00435B6C" w:rsidP="001527B1">
      <w:pPr>
        <w:ind w:firstLine="708"/>
        <w:jc w:val="both"/>
        <w:rPr>
          <w:lang w:val="de-DE"/>
        </w:rPr>
      </w:pPr>
    </w:p>
    <w:p w14:paraId="118BC83C" w14:textId="5FB8D176" w:rsidR="001527B1" w:rsidRPr="004676F5" w:rsidRDefault="001527B1" w:rsidP="001527B1">
      <w:pPr>
        <w:jc w:val="center"/>
        <w:rPr>
          <w:lang w:val="de-DE"/>
        </w:rPr>
      </w:pPr>
      <w:r w:rsidRPr="004676F5">
        <w:rPr>
          <w:i/>
          <w:lang w:val="de-DE"/>
        </w:rPr>
        <w:t>Abschnitt 6 </w:t>
      </w:r>
      <w:r w:rsidR="005B7A5C" w:rsidRPr="004676F5">
        <w:rPr>
          <w:lang w:val="de-DE"/>
        </w:rPr>
        <w:t>- </w:t>
      </w:r>
      <w:r w:rsidRPr="004676F5">
        <w:rPr>
          <w:lang w:val="de-DE"/>
        </w:rPr>
        <w:t>Sonstige Verfahrensbestimmungen</w:t>
      </w:r>
    </w:p>
    <w:p w14:paraId="3A8D5933" w14:textId="77777777" w:rsidR="001527B1" w:rsidRPr="004676F5" w:rsidRDefault="001527B1" w:rsidP="001527B1">
      <w:pPr>
        <w:ind w:firstLine="708"/>
        <w:jc w:val="both"/>
        <w:rPr>
          <w:lang w:val="de-DE"/>
        </w:rPr>
      </w:pPr>
    </w:p>
    <w:p w14:paraId="5BA3C43B" w14:textId="77777777" w:rsidR="00435B6C" w:rsidRPr="004676F5" w:rsidRDefault="00435B6C" w:rsidP="001527B1">
      <w:pPr>
        <w:ind w:firstLine="708"/>
        <w:jc w:val="both"/>
        <w:rPr>
          <w:lang w:val="de-DE"/>
        </w:rPr>
      </w:pPr>
    </w:p>
    <w:p w14:paraId="34ABE8F2" w14:textId="148347BC" w:rsidR="001527B1" w:rsidRPr="004676F5" w:rsidRDefault="00BE0A56" w:rsidP="001527B1">
      <w:pPr>
        <w:ind w:firstLine="708"/>
        <w:jc w:val="both"/>
        <w:rPr>
          <w:lang w:val="de-DE"/>
        </w:rPr>
      </w:pPr>
      <w:r w:rsidRPr="004676F5">
        <w:rPr>
          <w:b/>
          <w:lang w:val="de-DE"/>
        </w:rPr>
        <w:t>Art. </w:t>
      </w:r>
      <w:r w:rsidR="001527B1" w:rsidRPr="004676F5">
        <w:rPr>
          <w:b/>
          <w:lang w:val="de-DE"/>
        </w:rPr>
        <w:t>XI.148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Der Antragsteller eines Antrags auf Sortenschutz, der Inhaber und jeder andere an einem Verfahren vor dem Amt Beteiligte, der trotz Beachtung aller nach den gegebenen Umständen gebotenen Sorgfalt verhindert gewesen ist, gegenüber dem Amt eine Frist einzuhalten, kann auf Antrag wieder in den vorigen Stand eingesetzt werden, wenn die Verhinderung nach vorliegendem Gesetz </w:t>
      </w:r>
      <w:r w:rsidR="001527B1" w:rsidRPr="004676F5">
        <w:rPr>
          <w:i/>
          <w:lang w:val="de-DE"/>
        </w:rPr>
        <w:t>[sic, zu lesen ist: Titel]</w:t>
      </w:r>
      <w:r w:rsidR="001527B1" w:rsidRPr="004676F5">
        <w:rPr>
          <w:lang w:val="de-DE"/>
        </w:rPr>
        <w:t xml:space="preserve"> den Verlust eines Rechts oder eines Rechtsmittels zur unmittelbaren Folge hat.</w:t>
      </w:r>
    </w:p>
    <w:p w14:paraId="421459C4" w14:textId="77777777" w:rsidR="001527B1" w:rsidRPr="004676F5" w:rsidRDefault="001527B1" w:rsidP="001527B1">
      <w:pPr>
        <w:ind w:firstLine="708"/>
        <w:jc w:val="both"/>
        <w:rPr>
          <w:lang w:val="de-DE"/>
        </w:rPr>
      </w:pPr>
    </w:p>
    <w:p w14:paraId="21C4837B" w14:textId="0978C12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Antrag ist binnen zwei Monaten nach Wegfall des Hindernisses schriftlich einzureichen. Die versäumte Handlung ist innerhalb dieser Frist nachzuholen. Der Antrag ist nur innerhalb eines Jahres nach Ablauf der versäumten Frist zulässig.</w:t>
      </w:r>
    </w:p>
    <w:p w14:paraId="0AF4BFE8" w14:textId="77777777" w:rsidR="001527B1" w:rsidRPr="004676F5" w:rsidRDefault="001527B1" w:rsidP="001527B1">
      <w:pPr>
        <w:ind w:firstLine="708"/>
        <w:jc w:val="both"/>
        <w:rPr>
          <w:lang w:val="de-DE"/>
        </w:rPr>
      </w:pPr>
    </w:p>
    <w:p w14:paraId="6A72DFED" w14:textId="115049FD"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 xml:space="preserve">Der Antrag ist ordnungsgemäß zu begründen, wobei die zur Begründung dienenden Tatsachen glaubhaft zu machen sind. </w:t>
      </w:r>
      <w:r w:rsidR="00FE3AF3" w:rsidRPr="004676F5">
        <w:rPr>
          <w:lang w:val="de-DE"/>
        </w:rPr>
        <w:t xml:space="preserve">[Der Wiedereinsetzungsantrag wird erst behandelt, wenn die für diesen Antrag vorgeschriebene Gebühr entrichtet worden ist. Die Zahlung dieser Gebühr erfolgt binnen zwei Monaten nach Einreichung des </w:t>
      </w:r>
      <w:r w:rsidR="00FE3AF3" w:rsidRPr="004676F5">
        <w:rPr>
          <w:lang w:val="de-DE"/>
        </w:rPr>
        <w:lastRenderedPageBreak/>
        <w:t>Wiedereinsetzungsantrags. Wird diese Frist nicht eingehalten, ist der Wiedereinsetzungsantrag von Rechts wegen unwirksam.]</w:t>
      </w:r>
      <w:r w:rsidRPr="004676F5">
        <w:rPr>
          <w:lang w:val="de-DE"/>
        </w:rPr>
        <w:t xml:space="preserve"> Das Amt entscheidet über den Antrag.</w:t>
      </w:r>
    </w:p>
    <w:p w14:paraId="54056D39" w14:textId="77777777" w:rsidR="001527B1" w:rsidRPr="004676F5" w:rsidRDefault="001527B1" w:rsidP="001527B1">
      <w:pPr>
        <w:ind w:firstLine="708"/>
        <w:jc w:val="both"/>
        <w:rPr>
          <w:lang w:val="de-DE"/>
        </w:rPr>
      </w:pPr>
    </w:p>
    <w:p w14:paraId="6F3C13A6" w14:textId="0DD3536F"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Vorliegender Artikel ist nicht anwendbar auf die Fristen des Paragraphen 2 und des Artikels XI.134.</w:t>
      </w:r>
    </w:p>
    <w:p w14:paraId="6ECAAF61" w14:textId="77777777" w:rsidR="001527B1" w:rsidRPr="004676F5" w:rsidRDefault="001527B1" w:rsidP="001527B1">
      <w:pPr>
        <w:ind w:firstLine="708"/>
        <w:jc w:val="both"/>
        <w:rPr>
          <w:lang w:val="de-DE"/>
        </w:rPr>
      </w:pPr>
    </w:p>
    <w:p w14:paraId="70B7019D" w14:textId="1F144593"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Wer in gutem Glauben Material einer Sorte, die Gegenstand eines bekannt</w:t>
      </w:r>
      <w:r w:rsidRPr="004676F5">
        <w:rPr>
          <w:lang w:val="de-DE"/>
        </w:rPr>
        <w:softHyphen/>
        <w:t>gemachten Antrags auf Erteilung des Sortenschutzes oder eines erteilten Sortenschutzes ist, in der Zeit zwischen dem Eintritt eines Rechtsverlustes nach § 1 an dem Antrag oder dem erteilten Sortenschutz und der Wiedereinsetzung in den vorigen Stand in Benutzung genommen oder wirkliche und ernsthafte Vorkehrungen zur Benutzung getroffen hat, darf die Benutzung in seinem Betrieb oder für die Bedürfnisse seines Betriebs unentgeltlich fortsetzen.</w:t>
      </w:r>
    </w:p>
    <w:p w14:paraId="320DB006" w14:textId="77777777" w:rsidR="00FE3AF3" w:rsidRPr="004676F5" w:rsidRDefault="00FE3AF3" w:rsidP="00FE3AF3">
      <w:pPr>
        <w:jc w:val="both"/>
        <w:rPr>
          <w:lang w:val="de-DE"/>
        </w:rPr>
      </w:pPr>
    </w:p>
    <w:p w14:paraId="2F1F19CE" w14:textId="08E94711" w:rsidR="00FE3AF3" w:rsidRPr="004676F5" w:rsidRDefault="00FE3AF3" w:rsidP="00FE3AF3">
      <w:pPr>
        <w:jc w:val="both"/>
        <w:rPr>
          <w:i/>
          <w:iCs/>
          <w:lang w:val="de-DE"/>
        </w:rPr>
      </w:pPr>
      <w:r w:rsidRPr="004676F5">
        <w:rPr>
          <w:i/>
          <w:iCs/>
          <w:lang w:val="de-DE"/>
        </w:rPr>
        <w:t>[Art. XI.148 § 3 abgeändert durch Art. 25 des G. vom 25. September 2022 (B.S. vom 24. Oktober 2022)]</w:t>
      </w:r>
    </w:p>
    <w:p w14:paraId="37C5DB19" w14:textId="77777777" w:rsidR="001527B1" w:rsidRPr="004676F5" w:rsidRDefault="001527B1" w:rsidP="001527B1">
      <w:pPr>
        <w:ind w:firstLine="708"/>
        <w:jc w:val="both"/>
        <w:rPr>
          <w:lang w:val="de-DE"/>
        </w:rPr>
      </w:pPr>
    </w:p>
    <w:p w14:paraId="3C7319AF" w14:textId="77777777" w:rsidR="00435B6C" w:rsidRPr="004676F5" w:rsidRDefault="00435B6C" w:rsidP="001527B1">
      <w:pPr>
        <w:ind w:firstLine="708"/>
        <w:jc w:val="both"/>
        <w:rPr>
          <w:lang w:val="de-DE"/>
        </w:rPr>
      </w:pPr>
    </w:p>
    <w:p w14:paraId="26AD32FB" w14:textId="0D5A9AB9" w:rsidR="001527B1" w:rsidRPr="004676F5" w:rsidRDefault="00BE0A56" w:rsidP="001527B1">
      <w:pPr>
        <w:ind w:firstLine="708"/>
        <w:jc w:val="both"/>
        <w:rPr>
          <w:lang w:val="de-DE"/>
        </w:rPr>
      </w:pPr>
      <w:r w:rsidRPr="004676F5">
        <w:rPr>
          <w:b/>
          <w:lang w:val="de-DE"/>
        </w:rPr>
        <w:t>Art. </w:t>
      </w:r>
      <w:r w:rsidR="001527B1" w:rsidRPr="004676F5">
        <w:rPr>
          <w:b/>
          <w:lang w:val="de-DE"/>
        </w:rPr>
        <w:t>XI.149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Amt kann das Antragsverfahren aussetzen, wenn im Register die Geltendmachung eines Anspruchs gegen den Antragsteller nach Artikel XI.159 § 3 eingetragen worden ist. Das Amt kann für die Wiederaufnahme des schwebenden Verfahrens eine Frist setzen.</w:t>
      </w:r>
    </w:p>
    <w:p w14:paraId="5D8989F1" w14:textId="77777777" w:rsidR="001527B1" w:rsidRPr="004676F5" w:rsidRDefault="001527B1" w:rsidP="001527B1">
      <w:pPr>
        <w:ind w:firstLine="708"/>
        <w:jc w:val="both"/>
        <w:rPr>
          <w:lang w:val="de-DE"/>
        </w:rPr>
      </w:pPr>
    </w:p>
    <w:p w14:paraId="007DDCB0" w14:textId="408D7BE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Amt nimmt das Antragsverfahren wieder auf, wenn im Register aktenkundig geworden ist, dass in dem in § 1 genannten Verfahren eine formell rechtskräftige gerichtliche Entscheidung ergangen oder das Verfahren in sonstiger Weise beendet worden ist. Das Amt kann das Antragsverfahren auch zu einem früheren Zeitpunkt wieder aufnehmen, jedoch nicht vor Ablauf der nach § 1 gesetzten Frist.</w:t>
      </w:r>
    </w:p>
    <w:p w14:paraId="77880242" w14:textId="77777777" w:rsidR="001527B1" w:rsidRPr="004676F5" w:rsidRDefault="001527B1" w:rsidP="001527B1">
      <w:pPr>
        <w:ind w:firstLine="708"/>
        <w:jc w:val="both"/>
        <w:rPr>
          <w:lang w:val="de-DE"/>
        </w:rPr>
      </w:pPr>
    </w:p>
    <w:p w14:paraId="37CB9244" w14:textId="763A7E79"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Geht das Recht auf Sortenschutz mit Wirkung für das Amt auf eine andere Person über, so kann diese Person den Antrag des ersten Antragstellers als eigenen Antrag weiterverfolgen, sofern sie dies dem Amt innerhalb eines Monats nach Eintragung der formell rechtskräftigen gerichtlichen Entscheidung in das Register mitgeteilt hat. Die von dem ersten Antragsteller bereits gezahlten Gebühren nach Artikel XI.150 gelten als vom nachfolgenden Antragsteller entrichtet.</w:t>
      </w:r>
    </w:p>
    <w:p w14:paraId="17B71C7D" w14:textId="77777777" w:rsidR="001527B1" w:rsidRPr="004676F5" w:rsidRDefault="001527B1" w:rsidP="001527B1">
      <w:pPr>
        <w:ind w:firstLine="708"/>
        <w:jc w:val="both"/>
        <w:rPr>
          <w:lang w:val="de-DE"/>
        </w:rPr>
      </w:pPr>
    </w:p>
    <w:p w14:paraId="66CC9C75" w14:textId="77777777" w:rsidR="00435B6C" w:rsidRPr="004676F5" w:rsidRDefault="00435B6C" w:rsidP="001527B1">
      <w:pPr>
        <w:ind w:firstLine="708"/>
        <w:jc w:val="both"/>
        <w:rPr>
          <w:lang w:val="de-DE"/>
        </w:rPr>
      </w:pPr>
    </w:p>
    <w:p w14:paraId="529B256C" w14:textId="166D4095" w:rsidR="001527B1" w:rsidRPr="004676F5" w:rsidRDefault="001527B1" w:rsidP="001527B1">
      <w:pPr>
        <w:jc w:val="center"/>
        <w:rPr>
          <w:lang w:val="de-DE"/>
        </w:rPr>
      </w:pPr>
      <w:r w:rsidRPr="004676F5">
        <w:rPr>
          <w:i/>
          <w:lang w:val="de-DE"/>
        </w:rPr>
        <w:t>Abschnitt 7 </w:t>
      </w:r>
      <w:r w:rsidR="005B7A5C" w:rsidRPr="004676F5">
        <w:rPr>
          <w:lang w:val="de-DE"/>
        </w:rPr>
        <w:t>- </w:t>
      </w:r>
      <w:r w:rsidRPr="004676F5">
        <w:rPr>
          <w:lang w:val="de-DE"/>
        </w:rPr>
        <w:t>Abgaben und Gebühren</w:t>
      </w:r>
    </w:p>
    <w:p w14:paraId="24F76FCF" w14:textId="77777777" w:rsidR="001527B1" w:rsidRPr="004676F5" w:rsidRDefault="001527B1" w:rsidP="001527B1">
      <w:pPr>
        <w:ind w:firstLine="708"/>
        <w:jc w:val="both"/>
        <w:rPr>
          <w:lang w:val="de-DE"/>
        </w:rPr>
      </w:pPr>
    </w:p>
    <w:p w14:paraId="43892E4B" w14:textId="77777777" w:rsidR="00435B6C" w:rsidRPr="004676F5" w:rsidRDefault="00435B6C" w:rsidP="001527B1">
      <w:pPr>
        <w:ind w:firstLine="708"/>
        <w:jc w:val="both"/>
        <w:rPr>
          <w:lang w:val="de-DE"/>
        </w:rPr>
      </w:pPr>
    </w:p>
    <w:p w14:paraId="00C1C1C6" w14:textId="1E2D2271" w:rsidR="001527B1" w:rsidRPr="004676F5" w:rsidRDefault="00BE0A56" w:rsidP="001527B1">
      <w:pPr>
        <w:ind w:firstLine="708"/>
        <w:jc w:val="both"/>
        <w:rPr>
          <w:lang w:val="de-DE"/>
        </w:rPr>
      </w:pPr>
      <w:r w:rsidRPr="004676F5">
        <w:rPr>
          <w:b/>
          <w:lang w:val="de-DE"/>
        </w:rPr>
        <w:t>Art. </w:t>
      </w:r>
      <w:r w:rsidR="001527B1" w:rsidRPr="004676F5">
        <w:rPr>
          <w:b/>
          <w:lang w:val="de-DE"/>
        </w:rPr>
        <w:t>XI.150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König bestimmt die Höhe der Abgaben, die der Antragsteller für die Einreichung und die Untersuchung seines Antrags zahlen muss.</w:t>
      </w:r>
    </w:p>
    <w:p w14:paraId="24338A32" w14:textId="77777777" w:rsidR="001527B1" w:rsidRPr="004676F5" w:rsidRDefault="001527B1" w:rsidP="001527B1">
      <w:pPr>
        <w:ind w:firstLine="708"/>
        <w:jc w:val="both"/>
        <w:rPr>
          <w:lang w:val="de-DE"/>
        </w:rPr>
      </w:pPr>
    </w:p>
    <w:p w14:paraId="68495BA8" w14:textId="77777777" w:rsidR="001527B1" w:rsidRPr="004676F5" w:rsidRDefault="001527B1" w:rsidP="001527B1">
      <w:pPr>
        <w:ind w:firstLine="708"/>
        <w:jc w:val="both"/>
        <w:rPr>
          <w:lang w:val="de-DE"/>
        </w:rPr>
      </w:pPr>
      <w:r w:rsidRPr="004676F5">
        <w:rPr>
          <w:lang w:val="de-DE"/>
        </w:rPr>
        <w:t>Der König bestimmt ebenfalls die Höhe:</w:t>
      </w:r>
    </w:p>
    <w:p w14:paraId="614E29E9" w14:textId="77777777" w:rsidR="001527B1" w:rsidRPr="004676F5" w:rsidRDefault="001527B1" w:rsidP="001527B1">
      <w:pPr>
        <w:ind w:firstLine="708"/>
        <w:jc w:val="both"/>
        <w:rPr>
          <w:lang w:val="de-DE"/>
        </w:rPr>
      </w:pPr>
    </w:p>
    <w:p w14:paraId="0EAACB21" w14:textId="77777777" w:rsidR="001527B1" w:rsidRPr="004676F5" w:rsidRDefault="001527B1" w:rsidP="001527B1">
      <w:pPr>
        <w:ind w:firstLine="708"/>
        <w:jc w:val="both"/>
        <w:rPr>
          <w:lang w:val="de-DE"/>
        </w:rPr>
      </w:pPr>
      <w:r w:rsidRPr="004676F5">
        <w:rPr>
          <w:lang w:val="de-DE"/>
        </w:rPr>
        <w:t>1. der Abgaben, die für die in Anwendung der Artikel XI.124, XI.125 und XI.126 vom Amt vorgenommenen Eintragungen geschuldet werden,</w:t>
      </w:r>
    </w:p>
    <w:p w14:paraId="493F71A7" w14:textId="77777777" w:rsidR="001527B1" w:rsidRPr="004676F5" w:rsidRDefault="001527B1" w:rsidP="001527B1">
      <w:pPr>
        <w:ind w:firstLine="708"/>
        <w:jc w:val="both"/>
        <w:rPr>
          <w:lang w:val="de-DE"/>
        </w:rPr>
      </w:pPr>
    </w:p>
    <w:p w14:paraId="21F7E425" w14:textId="77777777" w:rsidR="001527B1" w:rsidRPr="004676F5" w:rsidRDefault="001527B1" w:rsidP="001527B1">
      <w:pPr>
        <w:ind w:firstLine="708"/>
        <w:jc w:val="both"/>
        <w:rPr>
          <w:lang w:val="de-DE"/>
        </w:rPr>
      </w:pPr>
      <w:r w:rsidRPr="004676F5">
        <w:rPr>
          <w:lang w:val="de-DE"/>
        </w:rPr>
        <w:t>2. der Abgaben, die für die vom Amt ausgestellten Bescheinigungen und Abschriften geschuldet werden,</w:t>
      </w:r>
    </w:p>
    <w:p w14:paraId="3DF81611" w14:textId="77777777" w:rsidR="001527B1" w:rsidRPr="004676F5" w:rsidRDefault="001527B1" w:rsidP="001527B1">
      <w:pPr>
        <w:ind w:firstLine="708"/>
        <w:jc w:val="both"/>
        <w:rPr>
          <w:lang w:val="de-DE"/>
        </w:rPr>
      </w:pPr>
    </w:p>
    <w:p w14:paraId="71734D9C" w14:textId="77777777" w:rsidR="001527B1" w:rsidRPr="004676F5" w:rsidRDefault="001527B1" w:rsidP="001527B1">
      <w:pPr>
        <w:ind w:firstLine="708"/>
        <w:jc w:val="both"/>
        <w:rPr>
          <w:lang w:val="de-DE"/>
        </w:rPr>
      </w:pPr>
      <w:r w:rsidRPr="004676F5">
        <w:rPr>
          <w:lang w:val="de-DE"/>
        </w:rPr>
        <w:t>3. der Abgaben für die Nachprüfung des Fortbestehens der Sorte,</w:t>
      </w:r>
    </w:p>
    <w:p w14:paraId="6F7545CA" w14:textId="77777777" w:rsidR="001527B1" w:rsidRPr="004676F5" w:rsidRDefault="001527B1" w:rsidP="001527B1">
      <w:pPr>
        <w:ind w:firstLine="708"/>
        <w:jc w:val="both"/>
        <w:rPr>
          <w:lang w:val="de-DE"/>
        </w:rPr>
      </w:pPr>
    </w:p>
    <w:p w14:paraId="01035AC9" w14:textId="77777777" w:rsidR="001527B1" w:rsidRPr="004676F5" w:rsidRDefault="001527B1" w:rsidP="001527B1">
      <w:pPr>
        <w:ind w:firstLine="708"/>
        <w:jc w:val="both"/>
        <w:rPr>
          <w:lang w:val="de-DE"/>
        </w:rPr>
      </w:pPr>
      <w:r w:rsidRPr="004676F5">
        <w:rPr>
          <w:lang w:val="de-DE"/>
        </w:rPr>
        <w:lastRenderedPageBreak/>
        <w:t>4. der Abgaben für die Wiedereinsetzung in den vorigen Stand.</w:t>
      </w:r>
    </w:p>
    <w:p w14:paraId="78BE82FE" w14:textId="77777777" w:rsidR="001527B1" w:rsidRPr="004676F5" w:rsidRDefault="001527B1" w:rsidP="001527B1">
      <w:pPr>
        <w:jc w:val="both"/>
        <w:rPr>
          <w:lang w:val="de-DE"/>
        </w:rPr>
      </w:pPr>
    </w:p>
    <w:p w14:paraId="3FB45066" w14:textId="3DD3893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Wenn die aufgrund von § 1 Absatz 1 geschuldeten Abgaben nicht gezahlt werden, gilt dies als Verzicht des Antragstellers auf seinen Antrag.</w:t>
      </w:r>
    </w:p>
    <w:p w14:paraId="037D1D52" w14:textId="77777777" w:rsidR="001527B1" w:rsidRPr="004676F5" w:rsidRDefault="001527B1" w:rsidP="001527B1">
      <w:pPr>
        <w:ind w:firstLine="708"/>
        <w:jc w:val="both"/>
        <w:rPr>
          <w:lang w:val="de-DE"/>
        </w:rPr>
      </w:pPr>
    </w:p>
    <w:p w14:paraId="71DA721B" w14:textId="654C3A91"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König legt die Modalitäten für die Einnahme der Abgaben fest.</w:t>
      </w:r>
    </w:p>
    <w:p w14:paraId="64587329" w14:textId="77777777" w:rsidR="001527B1" w:rsidRPr="004676F5" w:rsidRDefault="001527B1" w:rsidP="001527B1">
      <w:pPr>
        <w:ind w:firstLine="708"/>
        <w:jc w:val="both"/>
        <w:rPr>
          <w:lang w:val="de-DE"/>
        </w:rPr>
      </w:pPr>
    </w:p>
    <w:p w14:paraId="3046E7C1" w14:textId="31E03EC2"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Abgaben sind nicht rückzahlbar.</w:t>
      </w:r>
    </w:p>
    <w:p w14:paraId="2B359442" w14:textId="77777777" w:rsidR="001527B1" w:rsidRPr="004676F5" w:rsidRDefault="001527B1" w:rsidP="001527B1">
      <w:pPr>
        <w:ind w:firstLine="708"/>
        <w:jc w:val="both"/>
        <w:rPr>
          <w:lang w:val="de-DE"/>
        </w:rPr>
      </w:pPr>
    </w:p>
    <w:p w14:paraId="418563D8" w14:textId="77777777" w:rsidR="00435B6C" w:rsidRPr="004676F5" w:rsidRDefault="00435B6C" w:rsidP="001527B1">
      <w:pPr>
        <w:ind w:firstLine="708"/>
        <w:jc w:val="both"/>
        <w:rPr>
          <w:lang w:val="de-DE"/>
        </w:rPr>
      </w:pPr>
    </w:p>
    <w:p w14:paraId="35543454" w14:textId="2AF4BAA6" w:rsidR="001527B1" w:rsidRPr="004676F5" w:rsidRDefault="00BE0A56" w:rsidP="001527B1">
      <w:pPr>
        <w:ind w:firstLine="708"/>
        <w:jc w:val="both"/>
        <w:rPr>
          <w:lang w:val="de-DE"/>
        </w:rPr>
      </w:pPr>
      <w:r w:rsidRPr="004676F5">
        <w:rPr>
          <w:b/>
          <w:lang w:val="de-DE"/>
        </w:rPr>
        <w:t>Art. </w:t>
      </w:r>
      <w:r w:rsidR="001527B1" w:rsidRPr="004676F5">
        <w:rPr>
          <w:b/>
          <w:lang w:val="de-DE"/>
        </w:rPr>
        <w:t>XI.151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Zur Aufrechterhaltung des Sortenschutzes erhebt das Amt für die Dauer des Rechts Jahresgebühren.</w:t>
      </w:r>
    </w:p>
    <w:p w14:paraId="7A6852B4" w14:textId="77777777" w:rsidR="001527B1" w:rsidRPr="004676F5" w:rsidRDefault="001527B1" w:rsidP="001527B1">
      <w:pPr>
        <w:ind w:firstLine="708"/>
        <w:jc w:val="both"/>
        <w:rPr>
          <w:lang w:val="de-DE"/>
        </w:rPr>
      </w:pPr>
    </w:p>
    <w:p w14:paraId="0F39BB94" w14:textId="6FC6FC1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Jahresgebühr ist im Voraus zu zahlen. Ihre Zahlung wird am letzten Tag des Monats des Jahrestages der Erteilung des Sortenschutzes fällig.</w:t>
      </w:r>
      <w:r w:rsidR="00FE3AF3" w:rsidRPr="004676F5">
        <w:rPr>
          <w:lang w:val="de-DE"/>
        </w:rPr>
        <w:t xml:space="preserve"> [Die Jahresgebühr kann frühestens sechs Monate vor ihrer Fälligkeit wirksam entrichtet werden.]</w:t>
      </w:r>
    </w:p>
    <w:p w14:paraId="34DDDDBB" w14:textId="77777777" w:rsidR="001527B1" w:rsidRPr="004676F5" w:rsidRDefault="001527B1" w:rsidP="001527B1">
      <w:pPr>
        <w:ind w:firstLine="708"/>
        <w:jc w:val="both"/>
        <w:rPr>
          <w:lang w:val="de-DE"/>
        </w:rPr>
      </w:pPr>
    </w:p>
    <w:p w14:paraId="3E9014EB" w14:textId="77777777" w:rsidR="001527B1" w:rsidRPr="004676F5" w:rsidRDefault="001527B1" w:rsidP="001527B1">
      <w:pPr>
        <w:ind w:firstLine="708"/>
        <w:jc w:val="both"/>
        <w:rPr>
          <w:lang w:val="de-DE"/>
        </w:rPr>
      </w:pPr>
      <w:r w:rsidRPr="004676F5">
        <w:rPr>
          <w:lang w:val="de-DE"/>
        </w:rPr>
        <w:t>Die Jahresgebühr für das erste Jahr ist zu zahlen vor Ende des Monats, der auf den Monat folgt, in dem der Sortenschutz erteilt wurde.</w:t>
      </w:r>
    </w:p>
    <w:p w14:paraId="387F47E0" w14:textId="77777777" w:rsidR="001527B1" w:rsidRPr="004676F5" w:rsidRDefault="001527B1" w:rsidP="001527B1">
      <w:pPr>
        <w:ind w:firstLine="708"/>
        <w:jc w:val="both"/>
        <w:rPr>
          <w:lang w:val="de-DE"/>
        </w:rPr>
      </w:pPr>
    </w:p>
    <w:p w14:paraId="05F52150" w14:textId="46D72363" w:rsidR="001527B1" w:rsidRPr="004676F5" w:rsidRDefault="001527B1" w:rsidP="001527B1">
      <w:pPr>
        <w:ind w:firstLine="708"/>
        <w:jc w:val="both"/>
        <w:rPr>
          <w:lang w:val="de-DE"/>
        </w:rPr>
      </w:pPr>
      <w:r w:rsidRPr="004676F5">
        <w:rPr>
          <w:lang w:val="de-DE"/>
        </w:rPr>
        <w:t xml:space="preserve">Erfolgt die Zahlung der Jahresgebühr nicht bis zum Fälligkeitstag, so kann diese Gebühr, erhöht um eine Zuschlagsgebühr, noch entrichtet werden innerhalb einer Frist von </w:t>
      </w:r>
      <w:r w:rsidR="00FE3AF3" w:rsidRPr="004676F5">
        <w:rPr>
          <w:lang w:val="de-DE"/>
        </w:rPr>
        <w:t>[sechs]</w:t>
      </w:r>
      <w:r w:rsidRPr="004676F5">
        <w:rPr>
          <w:lang w:val="de-DE"/>
        </w:rPr>
        <w:t xml:space="preserve"> Monaten, gerechnet vom Fälligkeitstag der Jahresgebühr an.</w:t>
      </w:r>
    </w:p>
    <w:p w14:paraId="280BB1BC" w14:textId="77777777" w:rsidR="001527B1" w:rsidRPr="004676F5" w:rsidRDefault="001527B1" w:rsidP="001527B1">
      <w:pPr>
        <w:ind w:firstLine="708"/>
        <w:jc w:val="both"/>
        <w:rPr>
          <w:lang w:val="de-DE"/>
        </w:rPr>
      </w:pPr>
    </w:p>
    <w:p w14:paraId="63AE5190" w14:textId="2C5FAFA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König legt Höhe und Modalitäten für die Einnahme der Jahresgebühr und der Zuschlagsgebühr fest.</w:t>
      </w:r>
    </w:p>
    <w:p w14:paraId="317BDA1B" w14:textId="77777777" w:rsidR="001527B1" w:rsidRPr="004676F5" w:rsidRDefault="001527B1" w:rsidP="001527B1">
      <w:pPr>
        <w:ind w:firstLine="708"/>
        <w:jc w:val="both"/>
        <w:rPr>
          <w:lang w:val="de-DE"/>
        </w:rPr>
      </w:pPr>
    </w:p>
    <w:p w14:paraId="776AFAA6" w14:textId="11BB401B"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Die Jahresgebühr ist nicht rückzahlbar.</w:t>
      </w:r>
    </w:p>
    <w:p w14:paraId="5E1E9F06" w14:textId="77777777" w:rsidR="001527B1" w:rsidRPr="004676F5" w:rsidRDefault="001527B1" w:rsidP="00FE3AF3">
      <w:pPr>
        <w:jc w:val="both"/>
        <w:rPr>
          <w:lang w:val="de-DE"/>
        </w:rPr>
      </w:pPr>
    </w:p>
    <w:p w14:paraId="2196B745" w14:textId="203CBDAD" w:rsidR="00FE3AF3" w:rsidRPr="004676F5" w:rsidRDefault="00FE3AF3" w:rsidP="00FE3AF3">
      <w:pPr>
        <w:jc w:val="both"/>
        <w:rPr>
          <w:i/>
          <w:iCs/>
          <w:lang w:val="de-DE"/>
        </w:rPr>
      </w:pPr>
      <w:r w:rsidRPr="004676F5">
        <w:rPr>
          <w:i/>
          <w:iCs/>
          <w:lang w:val="de-DE"/>
        </w:rPr>
        <w:t>[Art. XI.151 § 2 Abs. 1 abgeändert durch Art. 26 Nr. 1 des G. vom 25. September 2022 (B.S. vom 24. Oktober 2022); § 2 Abs. 3 abgeändert durch Art. 26 Nr. 2 des G. vom 25. September 2022 (B.S. vom 24. Oktober 2022)]</w:t>
      </w:r>
    </w:p>
    <w:p w14:paraId="57C79899" w14:textId="77777777" w:rsidR="00435B6C" w:rsidRPr="004676F5" w:rsidRDefault="00435B6C" w:rsidP="001527B1">
      <w:pPr>
        <w:ind w:firstLine="708"/>
        <w:jc w:val="both"/>
        <w:rPr>
          <w:lang w:val="de-DE"/>
        </w:rPr>
      </w:pPr>
    </w:p>
    <w:p w14:paraId="614B2218" w14:textId="77777777" w:rsidR="00FE3AF3" w:rsidRPr="004676F5" w:rsidRDefault="00FE3AF3" w:rsidP="001527B1">
      <w:pPr>
        <w:ind w:firstLine="708"/>
        <w:jc w:val="both"/>
        <w:rPr>
          <w:lang w:val="de-DE"/>
        </w:rPr>
      </w:pPr>
    </w:p>
    <w:p w14:paraId="1F36033F" w14:textId="5A4D3CD7" w:rsidR="001527B1" w:rsidRPr="004676F5" w:rsidRDefault="001527B1" w:rsidP="001527B1">
      <w:pPr>
        <w:jc w:val="center"/>
        <w:rPr>
          <w:lang w:val="de-DE"/>
        </w:rPr>
      </w:pPr>
      <w:r w:rsidRPr="004676F5">
        <w:rPr>
          <w:i/>
          <w:lang w:val="de-DE"/>
        </w:rPr>
        <w:t>Abschnitt 8 </w:t>
      </w:r>
      <w:r w:rsidR="005B7A5C" w:rsidRPr="004676F5">
        <w:rPr>
          <w:lang w:val="de-DE"/>
        </w:rPr>
        <w:t>- </w:t>
      </w:r>
      <w:r w:rsidRPr="004676F5">
        <w:rPr>
          <w:lang w:val="de-DE"/>
        </w:rPr>
        <w:t>Führung des Registers</w:t>
      </w:r>
    </w:p>
    <w:p w14:paraId="76273D4F" w14:textId="77777777" w:rsidR="001527B1" w:rsidRPr="004676F5" w:rsidRDefault="001527B1" w:rsidP="001527B1">
      <w:pPr>
        <w:ind w:firstLine="708"/>
        <w:jc w:val="both"/>
        <w:rPr>
          <w:lang w:val="de-DE"/>
        </w:rPr>
      </w:pPr>
    </w:p>
    <w:p w14:paraId="5A67ED18" w14:textId="77777777" w:rsidR="00435B6C" w:rsidRPr="004676F5" w:rsidRDefault="00435B6C" w:rsidP="001527B1">
      <w:pPr>
        <w:ind w:firstLine="708"/>
        <w:jc w:val="both"/>
        <w:rPr>
          <w:lang w:val="de-DE"/>
        </w:rPr>
      </w:pPr>
    </w:p>
    <w:p w14:paraId="5FFF930D" w14:textId="20DF7266" w:rsidR="001527B1" w:rsidRPr="004676F5" w:rsidRDefault="00BE0A56" w:rsidP="001527B1">
      <w:pPr>
        <w:ind w:firstLine="708"/>
        <w:jc w:val="both"/>
        <w:rPr>
          <w:lang w:val="de-DE"/>
        </w:rPr>
      </w:pPr>
      <w:r w:rsidRPr="004676F5">
        <w:rPr>
          <w:b/>
          <w:lang w:val="de-DE"/>
        </w:rPr>
        <w:t>Art. </w:t>
      </w:r>
      <w:r w:rsidR="001527B1" w:rsidRPr="004676F5">
        <w:rPr>
          <w:b/>
          <w:lang w:val="de-DE"/>
        </w:rPr>
        <w:t>XI.152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Amt führt ein Register für die Anträge auf Sortenschutz und für erteilten Sortenschutz.</w:t>
      </w:r>
    </w:p>
    <w:p w14:paraId="6AB931B0" w14:textId="77777777" w:rsidR="001527B1" w:rsidRPr="004676F5" w:rsidRDefault="001527B1" w:rsidP="001527B1">
      <w:pPr>
        <w:ind w:firstLine="708"/>
        <w:jc w:val="both"/>
        <w:rPr>
          <w:lang w:val="de-DE"/>
        </w:rPr>
      </w:pPr>
    </w:p>
    <w:p w14:paraId="5DB41037" w14:textId="72B5656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Folgende Angaben werden in das Register eingetragen:</w:t>
      </w:r>
    </w:p>
    <w:p w14:paraId="5FDF01AB" w14:textId="77777777" w:rsidR="001527B1" w:rsidRPr="004676F5" w:rsidRDefault="001527B1" w:rsidP="001527B1">
      <w:pPr>
        <w:ind w:firstLine="708"/>
        <w:jc w:val="both"/>
        <w:rPr>
          <w:lang w:val="de-DE"/>
        </w:rPr>
      </w:pPr>
    </w:p>
    <w:p w14:paraId="094FE859" w14:textId="77777777" w:rsidR="001527B1" w:rsidRPr="004676F5" w:rsidRDefault="001527B1" w:rsidP="001527B1">
      <w:pPr>
        <w:ind w:firstLine="708"/>
        <w:jc w:val="both"/>
        <w:rPr>
          <w:lang w:val="de-DE"/>
        </w:rPr>
      </w:pPr>
      <w:r w:rsidRPr="004676F5">
        <w:rPr>
          <w:lang w:val="de-DE"/>
        </w:rPr>
        <w:t>1. Anträge auf Sortenschutz unter Angabe des Taxons und der vorläufigen Bezeichnung der Sorte, des Antragstages und des Namens und der Anschrift des Antragstellers, des Züchters und eines etwaigen betroffenen Verfahrensvertreters,</w:t>
      </w:r>
    </w:p>
    <w:p w14:paraId="59914F09" w14:textId="77777777" w:rsidR="001527B1" w:rsidRPr="004676F5" w:rsidRDefault="001527B1" w:rsidP="001527B1">
      <w:pPr>
        <w:ind w:firstLine="708"/>
        <w:jc w:val="both"/>
        <w:rPr>
          <w:lang w:val="de-DE"/>
        </w:rPr>
      </w:pPr>
    </w:p>
    <w:p w14:paraId="3691E8A8" w14:textId="77777777" w:rsidR="001527B1" w:rsidRPr="004676F5" w:rsidRDefault="001527B1" w:rsidP="001527B1">
      <w:pPr>
        <w:ind w:firstLine="708"/>
        <w:jc w:val="both"/>
        <w:rPr>
          <w:lang w:val="de-DE"/>
        </w:rPr>
      </w:pPr>
      <w:r w:rsidRPr="004676F5">
        <w:rPr>
          <w:lang w:val="de-DE"/>
        </w:rPr>
        <w:t>2. Beendigung eines Verfahrens über Anträge auf Sortenschutz mit den Angaben gemäß Nr. 1,</w:t>
      </w:r>
    </w:p>
    <w:p w14:paraId="16974D73" w14:textId="77777777" w:rsidR="001527B1" w:rsidRPr="004676F5" w:rsidRDefault="001527B1" w:rsidP="001527B1">
      <w:pPr>
        <w:ind w:firstLine="708"/>
        <w:jc w:val="both"/>
        <w:rPr>
          <w:lang w:val="de-DE"/>
        </w:rPr>
      </w:pPr>
    </w:p>
    <w:p w14:paraId="4582F524" w14:textId="77777777" w:rsidR="001527B1" w:rsidRPr="004676F5" w:rsidRDefault="001527B1" w:rsidP="001527B1">
      <w:pPr>
        <w:ind w:firstLine="708"/>
        <w:jc w:val="both"/>
        <w:rPr>
          <w:lang w:val="de-DE"/>
        </w:rPr>
      </w:pPr>
      <w:r w:rsidRPr="004676F5">
        <w:rPr>
          <w:lang w:val="de-DE"/>
        </w:rPr>
        <w:t>3. Vorschläge für Sortenbezeichnungen,</w:t>
      </w:r>
    </w:p>
    <w:p w14:paraId="4C03410A" w14:textId="77777777" w:rsidR="001527B1" w:rsidRPr="004676F5" w:rsidRDefault="001527B1" w:rsidP="001527B1">
      <w:pPr>
        <w:ind w:firstLine="708"/>
        <w:jc w:val="both"/>
        <w:rPr>
          <w:lang w:val="de-DE"/>
        </w:rPr>
      </w:pPr>
    </w:p>
    <w:p w14:paraId="33E30A1B" w14:textId="77777777" w:rsidR="001527B1" w:rsidRPr="004676F5" w:rsidRDefault="001527B1" w:rsidP="001527B1">
      <w:pPr>
        <w:ind w:firstLine="708"/>
        <w:jc w:val="both"/>
        <w:rPr>
          <w:lang w:val="de-DE"/>
        </w:rPr>
      </w:pPr>
      <w:r w:rsidRPr="004676F5">
        <w:rPr>
          <w:lang w:val="de-DE"/>
        </w:rPr>
        <w:t>4. Änderungen in der Person des Antragstellers oder seines Verfahrensvertreters,</w:t>
      </w:r>
    </w:p>
    <w:p w14:paraId="28076FBF" w14:textId="77777777" w:rsidR="001527B1" w:rsidRPr="004676F5" w:rsidRDefault="001527B1" w:rsidP="001527B1">
      <w:pPr>
        <w:ind w:firstLine="708"/>
        <w:jc w:val="both"/>
        <w:rPr>
          <w:lang w:val="de-DE"/>
        </w:rPr>
      </w:pPr>
    </w:p>
    <w:p w14:paraId="4056C63B" w14:textId="77777777" w:rsidR="001527B1" w:rsidRPr="004676F5" w:rsidRDefault="001527B1" w:rsidP="001527B1">
      <w:pPr>
        <w:ind w:firstLine="708"/>
        <w:jc w:val="both"/>
        <w:rPr>
          <w:lang w:val="de-DE"/>
        </w:rPr>
      </w:pPr>
      <w:r w:rsidRPr="004676F5">
        <w:rPr>
          <w:lang w:val="de-DE"/>
        </w:rPr>
        <w:t>5. notifizierte Übertragungen eines Antrags unter Angabe des Namens und der Anschrift der Rechtsinhaber beziehungsweise Rechtsnachfolger,</w:t>
      </w:r>
    </w:p>
    <w:p w14:paraId="5BFFA916" w14:textId="77777777" w:rsidR="001527B1" w:rsidRPr="004676F5" w:rsidRDefault="001527B1" w:rsidP="001527B1">
      <w:pPr>
        <w:ind w:firstLine="708"/>
        <w:jc w:val="both"/>
        <w:rPr>
          <w:lang w:val="de-DE"/>
        </w:rPr>
      </w:pPr>
    </w:p>
    <w:p w14:paraId="7A06A128" w14:textId="77777777" w:rsidR="001527B1" w:rsidRPr="004676F5" w:rsidRDefault="001527B1" w:rsidP="001527B1">
      <w:pPr>
        <w:ind w:firstLine="708"/>
        <w:jc w:val="both"/>
        <w:rPr>
          <w:lang w:val="de-DE"/>
        </w:rPr>
      </w:pPr>
      <w:r w:rsidRPr="004676F5">
        <w:rPr>
          <w:lang w:val="de-DE"/>
        </w:rPr>
        <w:t>6. notifizierte vertragliche Lizenzen unter Angabe des Namens und der Anschrift der Lizenznehmer,</w:t>
      </w:r>
    </w:p>
    <w:p w14:paraId="6B617882" w14:textId="77777777" w:rsidR="001527B1" w:rsidRPr="004676F5" w:rsidRDefault="001527B1" w:rsidP="001527B1">
      <w:pPr>
        <w:ind w:firstLine="708"/>
        <w:jc w:val="both"/>
        <w:rPr>
          <w:lang w:val="de-DE"/>
        </w:rPr>
      </w:pPr>
    </w:p>
    <w:p w14:paraId="15591288" w14:textId="77777777" w:rsidR="001527B1" w:rsidRPr="004676F5" w:rsidRDefault="001527B1" w:rsidP="001527B1">
      <w:pPr>
        <w:ind w:firstLine="708"/>
        <w:jc w:val="both"/>
        <w:rPr>
          <w:lang w:val="de-DE"/>
        </w:rPr>
      </w:pPr>
      <w:r w:rsidRPr="004676F5">
        <w:rPr>
          <w:lang w:val="de-DE"/>
        </w:rPr>
        <w:t>7. Streitfälle in Bezug auf bürgerliche Rechte und formell rechtskräftige Entscheidung über die betreffende Klage oder sonstige Beendigung des Verfahrens.</w:t>
      </w:r>
    </w:p>
    <w:p w14:paraId="1528B643" w14:textId="77777777" w:rsidR="001527B1" w:rsidRPr="004676F5" w:rsidRDefault="001527B1" w:rsidP="001527B1">
      <w:pPr>
        <w:ind w:firstLine="708"/>
        <w:jc w:val="both"/>
        <w:rPr>
          <w:lang w:val="de-DE"/>
        </w:rPr>
      </w:pPr>
    </w:p>
    <w:p w14:paraId="55E4ED6C" w14:textId="7E3087B8"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Nach Erteilung des Sortenschutzes werden ebenfalls folgende Angaben in das Register eingetragen:</w:t>
      </w:r>
    </w:p>
    <w:p w14:paraId="4A753435" w14:textId="77777777" w:rsidR="001527B1" w:rsidRPr="004676F5" w:rsidRDefault="001527B1" w:rsidP="001527B1">
      <w:pPr>
        <w:ind w:firstLine="708"/>
        <w:jc w:val="both"/>
        <w:rPr>
          <w:lang w:val="de-DE"/>
        </w:rPr>
      </w:pPr>
    </w:p>
    <w:p w14:paraId="0D60A548" w14:textId="77777777" w:rsidR="001527B1" w:rsidRPr="004676F5" w:rsidRDefault="001527B1" w:rsidP="001527B1">
      <w:pPr>
        <w:ind w:firstLine="708"/>
        <w:jc w:val="both"/>
        <w:rPr>
          <w:lang w:val="de-DE"/>
        </w:rPr>
      </w:pPr>
      <w:r w:rsidRPr="004676F5">
        <w:rPr>
          <w:lang w:val="de-DE"/>
        </w:rPr>
        <w:t>1. Art und Bezeichnung der Sorte,</w:t>
      </w:r>
    </w:p>
    <w:p w14:paraId="4FB16E55" w14:textId="77777777" w:rsidR="001527B1" w:rsidRPr="004676F5" w:rsidRDefault="001527B1" w:rsidP="001527B1">
      <w:pPr>
        <w:ind w:firstLine="708"/>
        <w:jc w:val="both"/>
        <w:rPr>
          <w:lang w:val="de-DE"/>
        </w:rPr>
      </w:pPr>
    </w:p>
    <w:p w14:paraId="64E28F0A" w14:textId="77777777" w:rsidR="001527B1" w:rsidRPr="004676F5" w:rsidRDefault="001527B1" w:rsidP="001527B1">
      <w:pPr>
        <w:ind w:firstLine="708"/>
        <w:jc w:val="both"/>
        <w:rPr>
          <w:lang w:val="de-DE"/>
        </w:rPr>
      </w:pPr>
      <w:r w:rsidRPr="004676F5">
        <w:rPr>
          <w:lang w:val="de-DE"/>
        </w:rPr>
        <w:t>2. amtliche Sortenbeschreibung,</w:t>
      </w:r>
    </w:p>
    <w:p w14:paraId="62965C81" w14:textId="77777777" w:rsidR="001527B1" w:rsidRPr="004676F5" w:rsidRDefault="001527B1" w:rsidP="001527B1">
      <w:pPr>
        <w:ind w:firstLine="708"/>
        <w:jc w:val="both"/>
        <w:rPr>
          <w:lang w:val="de-DE"/>
        </w:rPr>
      </w:pPr>
    </w:p>
    <w:p w14:paraId="3D67B3F4" w14:textId="77777777" w:rsidR="001527B1" w:rsidRPr="004676F5" w:rsidRDefault="001527B1" w:rsidP="001527B1">
      <w:pPr>
        <w:ind w:firstLine="708"/>
        <w:jc w:val="both"/>
        <w:rPr>
          <w:lang w:val="de-DE"/>
        </w:rPr>
      </w:pPr>
      <w:r w:rsidRPr="004676F5">
        <w:rPr>
          <w:lang w:val="de-DE"/>
        </w:rPr>
        <w:t>3. bei Sorten, bei denen zur Erzeugung von Material fortlaufend Material bestimmter Komponenten verwendet werden muss, ein Hinweis auf die Komponenten,</w:t>
      </w:r>
    </w:p>
    <w:p w14:paraId="4E6F717B" w14:textId="77777777" w:rsidR="001527B1" w:rsidRPr="004676F5" w:rsidRDefault="001527B1" w:rsidP="001527B1">
      <w:pPr>
        <w:ind w:firstLine="708"/>
        <w:jc w:val="both"/>
        <w:rPr>
          <w:lang w:val="de-DE"/>
        </w:rPr>
      </w:pPr>
    </w:p>
    <w:p w14:paraId="24614D5C" w14:textId="77777777" w:rsidR="001527B1" w:rsidRPr="004676F5" w:rsidRDefault="001527B1" w:rsidP="001527B1">
      <w:pPr>
        <w:ind w:firstLine="708"/>
        <w:jc w:val="both"/>
        <w:rPr>
          <w:lang w:val="de-DE"/>
        </w:rPr>
      </w:pPr>
      <w:r w:rsidRPr="004676F5">
        <w:rPr>
          <w:lang w:val="de-DE"/>
        </w:rPr>
        <w:t>4. Name und Anschrift des Inhabers, des Züchters und eines etwaigen betroffenen Verfahrensvertreters,</w:t>
      </w:r>
    </w:p>
    <w:p w14:paraId="43E17573" w14:textId="77777777" w:rsidR="001527B1" w:rsidRPr="004676F5" w:rsidRDefault="001527B1" w:rsidP="001527B1">
      <w:pPr>
        <w:ind w:firstLine="708"/>
        <w:jc w:val="both"/>
        <w:rPr>
          <w:lang w:val="de-DE"/>
        </w:rPr>
      </w:pPr>
    </w:p>
    <w:p w14:paraId="3B638B01" w14:textId="77777777" w:rsidR="001527B1" w:rsidRPr="004676F5" w:rsidRDefault="001527B1" w:rsidP="001527B1">
      <w:pPr>
        <w:ind w:firstLine="708"/>
        <w:jc w:val="both"/>
        <w:rPr>
          <w:lang w:val="de-DE"/>
        </w:rPr>
      </w:pPr>
      <w:r w:rsidRPr="004676F5">
        <w:rPr>
          <w:lang w:val="de-DE"/>
        </w:rPr>
        <w:t>5. Zeitpunkt des Beginns und des Erlöschens des Sortenschutzes und Grund für das Erlöschen,</w:t>
      </w:r>
    </w:p>
    <w:p w14:paraId="74D8711D" w14:textId="77777777" w:rsidR="001527B1" w:rsidRPr="004676F5" w:rsidRDefault="001527B1" w:rsidP="001527B1">
      <w:pPr>
        <w:ind w:firstLine="708"/>
        <w:jc w:val="both"/>
        <w:rPr>
          <w:lang w:val="de-DE"/>
        </w:rPr>
      </w:pPr>
    </w:p>
    <w:p w14:paraId="2E7857E1" w14:textId="77777777" w:rsidR="001527B1" w:rsidRPr="004676F5" w:rsidRDefault="001527B1" w:rsidP="001527B1">
      <w:pPr>
        <w:ind w:firstLine="708"/>
        <w:jc w:val="both"/>
        <w:rPr>
          <w:lang w:val="de-DE"/>
        </w:rPr>
      </w:pPr>
      <w:r w:rsidRPr="004676F5">
        <w:rPr>
          <w:lang w:val="de-DE"/>
        </w:rPr>
        <w:t>6. notifizierte Übertragungen eines Sortenschutzes unter Angabe des Namens und der Anschrift der Rechtsinhaber beziehungsweise Rechtsnachfolger,</w:t>
      </w:r>
    </w:p>
    <w:p w14:paraId="59D00D68" w14:textId="77777777" w:rsidR="001527B1" w:rsidRPr="004676F5" w:rsidRDefault="001527B1" w:rsidP="001527B1">
      <w:pPr>
        <w:ind w:firstLine="708"/>
        <w:jc w:val="both"/>
        <w:rPr>
          <w:lang w:val="de-DE"/>
        </w:rPr>
      </w:pPr>
    </w:p>
    <w:p w14:paraId="1D9F313D" w14:textId="77777777" w:rsidR="001527B1" w:rsidRPr="004676F5" w:rsidRDefault="001527B1" w:rsidP="001527B1">
      <w:pPr>
        <w:ind w:firstLine="708"/>
        <w:jc w:val="both"/>
        <w:rPr>
          <w:lang w:val="de-DE"/>
        </w:rPr>
      </w:pPr>
      <w:r w:rsidRPr="004676F5">
        <w:rPr>
          <w:lang w:val="de-DE"/>
        </w:rPr>
        <w:t>7. notifizierte vertragliche Lizenzen unter Angabe des Namens und der Anschrift der Lizenznehmer,</w:t>
      </w:r>
    </w:p>
    <w:p w14:paraId="7F30BE8F" w14:textId="77777777" w:rsidR="001527B1" w:rsidRPr="004676F5" w:rsidRDefault="001527B1" w:rsidP="001527B1">
      <w:pPr>
        <w:ind w:firstLine="708"/>
        <w:jc w:val="both"/>
        <w:rPr>
          <w:lang w:val="de-DE"/>
        </w:rPr>
      </w:pPr>
    </w:p>
    <w:p w14:paraId="0C0B6625" w14:textId="77777777" w:rsidR="001527B1" w:rsidRPr="004676F5" w:rsidRDefault="001527B1" w:rsidP="001527B1">
      <w:pPr>
        <w:ind w:firstLine="708"/>
        <w:jc w:val="both"/>
        <w:rPr>
          <w:lang w:val="de-DE"/>
        </w:rPr>
      </w:pPr>
      <w:r w:rsidRPr="004676F5">
        <w:rPr>
          <w:lang w:val="de-DE"/>
        </w:rPr>
        <w:t>8. Zwangslizenzen und diesbezügliche Entscheidungen unter Angabe des Namens und der Anschrift der Lizenznehmer,</w:t>
      </w:r>
    </w:p>
    <w:p w14:paraId="2C5A4606" w14:textId="77777777" w:rsidR="001527B1" w:rsidRPr="004676F5" w:rsidRDefault="001527B1" w:rsidP="001527B1">
      <w:pPr>
        <w:ind w:firstLine="708"/>
        <w:jc w:val="both"/>
        <w:rPr>
          <w:lang w:val="de-DE"/>
        </w:rPr>
      </w:pPr>
    </w:p>
    <w:p w14:paraId="1E3D30F1" w14:textId="77777777" w:rsidR="001527B1" w:rsidRPr="004676F5" w:rsidRDefault="001527B1" w:rsidP="001527B1">
      <w:pPr>
        <w:ind w:firstLine="708"/>
        <w:jc w:val="both"/>
        <w:rPr>
          <w:lang w:val="de-DE"/>
        </w:rPr>
      </w:pPr>
      <w:r w:rsidRPr="004676F5">
        <w:rPr>
          <w:lang w:val="de-DE"/>
        </w:rPr>
        <w:t>9. Änderungen hinsichtlich eines Sortenschutzes,</w:t>
      </w:r>
    </w:p>
    <w:p w14:paraId="2C8B6272" w14:textId="77777777" w:rsidR="001527B1" w:rsidRPr="004676F5" w:rsidRDefault="001527B1" w:rsidP="001527B1">
      <w:pPr>
        <w:ind w:firstLine="708"/>
        <w:jc w:val="both"/>
        <w:rPr>
          <w:lang w:val="de-DE"/>
        </w:rPr>
      </w:pPr>
    </w:p>
    <w:p w14:paraId="7A4C8188" w14:textId="205D18EF" w:rsidR="001527B1" w:rsidRPr="004676F5" w:rsidRDefault="001527B1" w:rsidP="001527B1">
      <w:pPr>
        <w:ind w:firstLine="708"/>
        <w:jc w:val="both"/>
        <w:rPr>
          <w:lang w:val="de-DE"/>
        </w:rPr>
      </w:pPr>
      <w:r w:rsidRPr="004676F5">
        <w:rPr>
          <w:lang w:val="de-DE"/>
        </w:rPr>
        <w:t>10. Kennzeichnung der Sorten als Ursprungssorten und im Wesentlichen abgeleitete Sorten einschließlich der Sortenbezeichnungen und der Namen der betroffenen Parteien, sofern dies sowohl von dem Inhaber einer Ursprungssorte als auch von dem Züchter einer im Wesentlichen von der Ursprungssorte abgeleiteten Sorte beantragt wird. Ein Antrag einer der beiden betroffenen Parteien ist nur dann ausreichend, wenn sie entweder eine freiwillige Bestätigung der anderen Partei gemäß Artikel XI.161 oder eine formell rechtskräftige gerichtliche Entscheidung erhalten hat, aus der hervorgeht, dass es sich bei den betreffenden Sorten um Ursprungs</w:t>
      </w:r>
      <w:r w:rsidR="005B7A5C" w:rsidRPr="004676F5">
        <w:rPr>
          <w:lang w:val="de-DE"/>
        </w:rPr>
        <w:t>- </w:t>
      </w:r>
      <w:r w:rsidRPr="004676F5">
        <w:rPr>
          <w:lang w:val="de-DE"/>
        </w:rPr>
        <w:t>beziehungsweise um im Wesentlichen abgeleitete Sorten handelt,</w:t>
      </w:r>
    </w:p>
    <w:p w14:paraId="6412419B" w14:textId="77777777" w:rsidR="001527B1" w:rsidRPr="004676F5" w:rsidRDefault="001527B1" w:rsidP="001527B1">
      <w:pPr>
        <w:ind w:firstLine="708"/>
        <w:jc w:val="both"/>
        <w:rPr>
          <w:lang w:val="de-DE"/>
        </w:rPr>
      </w:pPr>
    </w:p>
    <w:p w14:paraId="2B6BB33F" w14:textId="77777777" w:rsidR="001527B1" w:rsidRPr="004676F5" w:rsidRDefault="001527B1" w:rsidP="001527B1">
      <w:pPr>
        <w:ind w:firstLine="708"/>
        <w:jc w:val="both"/>
        <w:rPr>
          <w:lang w:val="de-DE"/>
        </w:rPr>
      </w:pPr>
      <w:r w:rsidRPr="004676F5">
        <w:rPr>
          <w:lang w:val="de-DE"/>
        </w:rPr>
        <w:t>11. Streitfälle in Bezug auf bürgerliche Rechte und formell rechtskräftige Entscheidung über die betreffende Klage oder sonstige Beendigung des Verfahrens.</w:t>
      </w:r>
    </w:p>
    <w:p w14:paraId="5DC84CDB" w14:textId="77777777" w:rsidR="001527B1" w:rsidRPr="004676F5" w:rsidRDefault="001527B1" w:rsidP="001527B1">
      <w:pPr>
        <w:ind w:firstLine="708"/>
        <w:jc w:val="both"/>
        <w:rPr>
          <w:lang w:val="de-DE"/>
        </w:rPr>
      </w:pPr>
    </w:p>
    <w:p w14:paraId="683946A5" w14:textId="3B28C742"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König kann sonstige Angaben oder Bedingungen für die Eintragung in das Register festlegen.</w:t>
      </w:r>
    </w:p>
    <w:p w14:paraId="78582704" w14:textId="77777777" w:rsidR="001527B1" w:rsidRPr="004676F5" w:rsidRDefault="001527B1" w:rsidP="001527B1">
      <w:pPr>
        <w:ind w:firstLine="708"/>
        <w:jc w:val="both"/>
        <w:rPr>
          <w:lang w:val="de-DE"/>
        </w:rPr>
      </w:pPr>
    </w:p>
    <w:p w14:paraId="68DDC70D" w14:textId="578081B6" w:rsidR="001527B1" w:rsidRPr="004676F5" w:rsidRDefault="001527B1" w:rsidP="001527B1">
      <w:pPr>
        <w:ind w:firstLine="708"/>
        <w:jc w:val="both"/>
        <w:rPr>
          <w:lang w:val="de-DE"/>
        </w:rPr>
      </w:pPr>
      <w:r w:rsidRPr="004676F5">
        <w:rPr>
          <w:lang w:val="de-DE"/>
        </w:rPr>
        <w:lastRenderedPageBreak/>
        <w:t>§ 5 </w:t>
      </w:r>
      <w:r w:rsidR="005B7A5C" w:rsidRPr="004676F5">
        <w:rPr>
          <w:lang w:val="de-DE"/>
        </w:rPr>
        <w:t>- </w:t>
      </w:r>
      <w:r w:rsidRPr="004676F5">
        <w:rPr>
          <w:lang w:val="de-DE"/>
        </w:rPr>
        <w:t>Der Greffier der Gerichtsinstanz, die über den betreffenden Streitfall entschieden hat, nimmt auf Antrag der Person, die Klage erhoben hat, oder eines Interessehabenden die unter den Paragraphen 2 Nr. 7 und 3 Nr. 11 erwähnten Eintragungen vor.</w:t>
      </w:r>
    </w:p>
    <w:p w14:paraId="1F2A2EA4" w14:textId="77777777" w:rsidR="001527B1" w:rsidRPr="004676F5" w:rsidRDefault="001527B1" w:rsidP="001527B1">
      <w:pPr>
        <w:ind w:firstLine="708"/>
        <w:jc w:val="both"/>
        <w:rPr>
          <w:lang w:val="de-DE"/>
        </w:rPr>
      </w:pPr>
    </w:p>
    <w:p w14:paraId="304C1927" w14:textId="418F1D02"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Die amtliche Sortenbeschreibung kann nach Anhörung des Inhabers hinsichtlich der Anzahl und der Art der Merkmale sowie der festgestellten Ausprägungen dieser Merkmale von Amts wegen den jeweils geltenden Grundsätzen für die Beschreibung von Sorten des betreffenden Taxons angepasst werden, soweit dies erforderlich ist, um die Beschreibung der Sorte mit den Beschreibungen anderer Sorten des betreffenden Taxons vergleichbar zu machen.</w:t>
      </w:r>
    </w:p>
    <w:p w14:paraId="726DC342" w14:textId="77777777" w:rsidR="001527B1" w:rsidRPr="004676F5" w:rsidRDefault="001527B1" w:rsidP="001527B1">
      <w:pPr>
        <w:ind w:firstLine="708"/>
        <w:jc w:val="both"/>
        <w:rPr>
          <w:lang w:val="de-DE"/>
        </w:rPr>
      </w:pPr>
    </w:p>
    <w:p w14:paraId="77E8AFDD" w14:textId="77777777" w:rsidR="00435B6C" w:rsidRPr="004676F5" w:rsidRDefault="00435B6C" w:rsidP="001527B1">
      <w:pPr>
        <w:ind w:firstLine="708"/>
        <w:jc w:val="both"/>
        <w:rPr>
          <w:lang w:val="de-DE"/>
        </w:rPr>
      </w:pPr>
    </w:p>
    <w:p w14:paraId="34AF98E9" w14:textId="244233E8" w:rsidR="001527B1" w:rsidRPr="004676F5" w:rsidRDefault="00BE0A56" w:rsidP="001527B1">
      <w:pPr>
        <w:ind w:firstLine="708"/>
        <w:jc w:val="both"/>
        <w:rPr>
          <w:lang w:val="de-DE"/>
        </w:rPr>
      </w:pPr>
      <w:r w:rsidRPr="004676F5">
        <w:rPr>
          <w:b/>
          <w:lang w:val="de-DE"/>
        </w:rPr>
        <w:t>Art. </w:t>
      </w:r>
      <w:r w:rsidR="001527B1" w:rsidRPr="004676F5">
        <w:rPr>
          <w:b/>
          <w:lang w:val="de-DE"/>
        </w:rPr>
        <w:t>XI.153</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Jeder kann am Sitz des Amtes in das Register nach Artikel XI.152 Einsicht nehmen.</w:t>
      </w:r>
    </w:p>
    <w:p w14:paraId="4F8A0493" w14:textId="77777777" w:rsidR="001527B1" w:rsidRPr="004676F5" w:rsidRDefault="001527B1" w:rsidP="001527B1">
      <w:pPr>
        <w:ind w:firstLine="708"/>
        <w:jc w:val="both"/>
        <w:rPr>
          <w:lang w:val="de-DE"/>
        </w:rPr>
      </w:pPr>
    </w:p>
    <w:p w14:paraId="7CDE64C0" w14:textId="6BDB685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Auszüge aus dem Register werden Interessehabenden auf Antrag ausgehändigt.</w:t>
      </w:r>
    </w:p>
    <w:p w14:paraId="7ACC026C" w14:textId="77777777" w:rsidR="001527B1" w:rsidRPr="004676F5" w:rsidRDefault="001527B1" w:rsidP="001527B1">
      <w:pPr>
        <w:ind w:firstLine="708"/>
        <w:jc w:val="both"/>
        <w:rPr>
          <w:lang w:val="de-DE"/>
        </w:rPr>
      </w:pPr>
    </w:p>
    <w:p w14:paraId="7F85DFFE" w14:textId="0B4D284E"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Bei Vorliegen eines berechtigten Interesses kann jeder nach den vom König festgelegten Modalitäten:</w:t>
      </w:r>
    </w:p>
    <w:p w14:paraId="4DEF0FBB" w14:textId="77777777" w:rsidR="001527B1" w:rsidRPr="004676F5" w:rsidRDefault="001527B1" w:rsidP="001527B1">
      <w:pPr>
        <w:ind w:firstLine="708"/>
        <w:jc w:val="both"/>
        <w:rPr>
          <w:lang w:val="de-DE"/>
        </w:rPr>
      </w:pPr>
    </w:p>
    <w:p w14:paraId="673B4788" w14:textId="77777777" w:rsidR="001527B1" w:rsidRPr="004676F5" w:rsidRDefault="001527B1" w:rsidP="001527B1">
      <w:pPr>
        <w:ind w:firstLine="708"/>
        <w:jc w:val="both"/>
        <w:rPr>
          <w:lang w:val="de-DE"/>
        </w:rPr>
      </w:pPr>
      <w:r w:rsidRPr="004676F5">
        <w:rPr>
          <w:lang w:val="de-DE"/>
        </w:rPr>
        <w:t>1. die Unterlagen eines Antrags auf Sortenschutz einsehen,</w:t>
      </w:r>
    </w:p>
    <w:p w14:paraId="68341B00" w14:textId="77777777" w:rsidR="001527B1" w:rsidRPr="004676F5" w:rsidRDefault="001527B1" w:rsidP="001527B1">
      <w:pPr>
        <w:ind w:firstLine="708"/>
        <w:jc w:val="both"/>
        <w:rPr>
          <w:lang w:val="de-DE"/>
        </w:rPr>
      </w:pPr>
    </w:p>
    <w:p w14:paraId="31FCACBD" w14:textId="77777777" w:rsidR="001527B1" w:rsidRPr="004676F5" w:rsidRDefault="001527B1" w:rsidP="001527B1">
      <w:pPr>
        <w:ind w:firstLine="708"/>
        <w:jc w:val="both"/>
        <w:rPr>
          <w:lang w:val="de-DE"/>
        </w:rPr>
      </w:pPr>
      <w:r w:rsidRPr="004676F5">
        <w:rPr>
          <w:lang w:val="de-DE"/>
        </w:rPr>
        <w:t>2. die Unterlagen eines erteilten Sortenschutzes einsehen,</w:t>
      </w:r>
    </w:p>
    <w:p w14:paraId="457B8B0D" w14:textId="77777777" w:rsidR="001527B1" w:rsidRPr="004676F5" w:rsidRDefault="001527B1" w:rsidP="001527B1">
      <w:pPr>
        <w:ind w:firstLine="708"/>
        <w:jc w:val="both"/>
        <w:rPr>
          <w:lang w:val="de-DE"/>
        </w:rPr>
      </w:pPr>
    </w:p>
    <w:p w14:paraId="2F925B00" w14:textId="77777777" w:rsidR="001527B1" w:rsidRPr="004676F5" w:rsidRDefault="001527B1" w:rsidP="001527B1">
      <w:pPr>
        <w:ind w:firstLine="708"/>
        <w:jc w:val="both"/>
        <w:rPr>
          <w:lang w:val="de-DE"/>
        </w:rPr>
      </w:pPr>
      <w:r w:rsidRPr="004676F5">
        <w:rPr>
          <w:lang w:val="de-DE"/>
        </w:rPr>
        <w:t>3. den Anbau zur technischen Prüfung einer Sorte besichtigen und</w:t>
      </w:r>
    </w:p>
    <w:p w14:paraId="1CB9CA58" w14:textId="77777777" w:rsidR="001527B1" w:rsidRPr="004676F5" w:rsidRDefault="001527B1" w:rsidP="001527B1">
      <w:pPr>
        <w:ind w:firstLine="708"/>
        <w:jc w:val="both"/>
        <w:rPr>
          <w:lang w:val="de-DE"/>
        </w:rPr>
      </w:pPr>
    </w:p>
    <w:p w14:paraId="1E94666A" w14:textId="77777777" w:rsidR="001527B1" w:rsidRPr="004676F5" w:rsidRDefault="001527B1" w:rsidP="001527B1">
      <w:pPr>
        <w:ind w:firstLine="708"/>
        <w:jc w:val="both"/>
        <w:rPr>
          <w:lang w:val="de-DE"/>
        </w:rPr>
      </w:pPr>
      <w:r w:rsidRPr="004676F5">
        <w:rPr>
          <w:lang w:val="de-DE"/>
        </w:rPr>
        <w:t>4. den Anbau zur technischen Nachprüfung des Fortbestehens einer Sorte besichtigen.</w:t>
      </w:r>
    </w:p>
    <w:p w14:paraId="3E29BF2F" w14:textId="77777777" w:rsidR="001527B1" w:rsidRPr="004676F5" w:rsidRDefault="001527B1" w:rsidP="001527B1">
      <w:pPr>
        <w:ind w:firstLine="708"/>
        <w:jc w:val="both"/>
        <w:rPr>
          <w:lang w:val="de-DE"/>
        </w:rPr>
      </w:pPr>
    </w:p>
    <w:p w14:paraId="62983D46" w14:textId="42E15930"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Bei Sorten, bei denen zur Erzeugung von Material der Sorte fortlaufend Material bestimmter Komponenten verwendet werden muss, sind auf Antrag des Antragstellers auf Erteilung des Sortenschutzes alle Angaben über Komponenten einschließlich ihres Anbaus von der Einsichtnahme auszuschließen. Der Antrag auf Ausschluss von Einsichtnahme kann nur bis zur Entscheidung über den Antrag auf Erteilung des Sortenschutzes gestellt werden.</w:t>
      </w:r>
    </w:p>
    <w:p w14:paraId="0573800C" w14:textId="77777777" w:rsidR="001527B1" w:rsidRPr="004676F5" w:rsidRDefault="001527B1" w:rsidP="001527B1">
      <w:pPr>
        <w:ind w:firstLine="708"/>
        <w:jc w:val="both"/>
        <w:rPr>
          <w:lang w:val="de-DE"/>
        </w:rPr>
      </w:pPr>
    </w:p>
    <w:p w14:paraId="3B040920" w14:textId="77777777" w:rsidR="00435B6C" w:rsidRPr="004676F5" w:rsidRDefault="00435B6C" w:rsidP="001527B1">
      <w:pPr>
        <w:ind w:firstLine="708"/>
        <w:jc w:val="both"/>
        <w:rPr>
          <w:lang w:val="de-DE"/>
        </w:rPr>
      </w:pPr>
    </w:p>
    <w:p w14:paraId="24DEF661" w14:textId="32F03D9D" w:rsidR="001527B1" w:rsidRPr="004676F5" w:rsidRDefault="00BE0A56" w:rsidP="001527B1">
      <w:pPr>
        <w:ind w:firstLine="708"/>
        <w:jc w:val="both"/>
        <w:rPr>
          <w:lang w:val="de-DE"/>
        </w:rPr>
      </w:pPr>
      <w:r w:rsidRPr="004676F5">
        <w:rPr>
          <w:b/>
          <w:lang w:val="de-DE"/>
        </w:rPr>
        <w:t>Art. </w:t>
      </w:r>
      <w:r w:rsidR="001527B1" w:rsidRPr="004676F5">
        <w:rPr>
          <w:b/>
          <w:lang w:val="de-DE"/>
        </w:rPr>
        <w:t>XI.154</w:t>
      </w:r>
      <w:r w:rsidR="001527B1" w:rsidRPr="004676F5">
        <w:rPr>
          <w:lang w:val="de-DE"/>
        </w:rPr>
        <w:t> </w:t>
      </w:r>
      <w:r w:rsidR="005B7A5C" w:rsidRPr="004676F5">
        <w:rPr>
          <w:lang w:val="de-DE"/>
        </w:rPr>
        <w:t>- </w:t>
      </w:r>
      <w:r w:rsidR="001527B1" w:rsidRPr="004676F5">
        <w:rPr>
          <w:lang w:val="de-DE"/>
        </w:rPr>
        <w:t xml:space="preserve">Die durch Artikel XI.152 § 2 und § 3 Nr. 1, 4, 5, 6, 7, 8, 9, 10 und 11 auferlegten Eintragungen im Register werden auf die vom König festgelegte Weise vom Amt veröffentlicht. </w:t>
      </w:r>
    </w:p>
    <w:p w14:paraId="189EB458" w14:textId="77777777" w:rsidR="001527B1" w:rsidRPr="004676F5" w:rsidRDefault="001527B1" w:rsidP="001527B1">
      <w:pPr>
        <w:rPr>
          <w:lang w:val="de-DE"/>
        </w:rPr>
      </w:pPr>
    </w:p>
    <w:p w14:paraId="1B7943ED" w14:textId="77777777" w:rsidR="00435B6C" w:rsidRPr="004676F5" w:rsidRDefault="00435B6C" w:rsidP="001527B1">
      <w:pPr>
        <w:jc w:val="center"/>
        <w:rPr>
          <w:lang w:val="de-DE"/>
        </w:rPr>
      </w:pPr>
    </w:p>
    <w:p w14:paraId="162F982B" w14:textId="77777777" w:rsidR="00435B6C" w:rsidRPr="004676F5" w:rsidRDefault="00435B6C">
      <w:pPr>
        <w:rPr>
          <w:lang w:val="de-DE"/>
        </w:rPr>
      </w:pPr>
      <w:r w:rsidRPr="004676F5">
        <w:rPr>
          <w:lang w:val="de-DE"/>
        </w:rPr>
        <w:br w:type="page"/>
      </w:r>
    </w:p>
    <w:p w14:paraId="3AED5E85" w14:textId="3AE6D837" w:rsidR="001527B1" w:rsidRPr="004676F5" w:rsidRDefault="001527B1" w:rsidP="001527B1">
      <w:pPr>
        <w:jc w:val="center"/>
        <w:rPr>
          <w:lang w:val="de-DE"/>
        </w:rPr>
      </w:pPr>
      <w:r w:rsidRPr="004676F5">
        <w:rPr>
          <w:lang w:val="de-DE"/>
        </w:rPr>
        <w:lastRenderedPageBreak/>
        <w:t>KAPITEL 4 </w:t>
      </w:r>
      <w:r w:rsidR="005B7A5C" w:rsidRPr="004676F5">
        <w:rPr>
          <w:lang w:val="de-DE"/>
        </w:rPr>
        <w:t>- </w:t>
      </w:r>
      <w:r w:rsidRPr="004676F5">
        <w:rPr>
          <w:i/>
          <w:lang w:val="de-DE"/>
        </w:rPr>
        <w:t>Wahrung der Rechte</w:t>
      </w:r>
    </w:p>
    <w:p w14:paraId="3F4FF74C" w14:textId="77777777" w:rsidR="001527B1" w:rsidRPr="004676F5" w:rsidRDefault="001527B1" w:rsidP="001527B1">
      <w:pPr>
        <w:ind w:firstLine="708"/>
        <w:jc w:val="center"/>
        <w:rPr>
          <w:lang w:val="de-DE"/>
        </w:rPr>
      </w:pPr>
    </w:p>
    <w:p w14:paraId="79CEF66C" w14:textId="77777777" w:rsidR="00435B6C" w:rsidRPr="004676F5" w:rsidRDefault="00435B6C" w:rsidP="001527B1">
      <w:pPr>
        <w:ind w:firstLine="708"/>
        <w:jc w:val="center"/>
        <w:rPr>
          <w:lang w:val="de-DE"/>
        </w:rPr>
      </w:pPr>
    </w:p>
    <w:p w14:paraId="13D088F2" w14:textId="649BC3A1" w:rsidR="001527B1" w:rsidRPr="004676F5" w:rsidRDefault="001527B1" w:rsidP="001527B1">
      <w:pPr>
        <w:jc w:val="center"/>
        <w:rPr>
          <w:lang w:val="de-DE"/>
        </w:rPr>
      </w:pPr>
      <w:r w:rsidRPr="004676F5">
        <w:rPr>
          <w:i/>
          <w:lang w:val="de-DE"/>
        </w:rPr>
        <w:t>Abschnitt 1 </w:t>
      </w:r>
      <w:r w:rsidR="005B7A5C" w:rsidRPr="004676F5">
        <w:rPr>
          <w:i/>
          <w:lang w:val="de-DE"/>
        </w:rPr>
        <w:t>- </w:t>
      </w:r>
      <w:r w:rsidRPr="004676F5">
        <w:rPr>
          <w:lang w:val="de-DE"/>
        </w:rPr>
        <w:t>Verletzung</w:t>
      </w:r>
    </w:p>
    <w:p w14:paraId="42225B32" w14:textId="77777777" w:rsidR="001527B1" w:rsidRPr="004676F5" w:rsidRDefault="001527B1" w:rsidP="001527B1">
      <w:pPr>
        <w:ind w:firstLine="708"/>
        <w:jc w:val="both"/>
        <w:rPr>
          <w:lang w:val="de-DE"/>
        </w:rPr>
      </w:pPr>
    </w:p>
    <w:p w14:paraId="3B11583E" w14:textId="77777777" w:rsidR="00435B6C" w:rsidRPr="004676F5" w:rsidRDefault="00435B6C" w:rsidP="001527B1">
      <w:pPr>
        <w:ind w:firstLine="708"/>
        <w:jc w:val="both"/>
        <w:rPr>
          <w:lang w:val="de-DE"/>
        </w:rPr>
      </w:pPr>
    </w:p>
    <w:p w14:paraId="23731C84" w14:textId="6F856E12" w:rsidR="001527B1" w:rsidRPr="004676F5" w:rsidRDefault="00BE0A56" w:rsidP="001527B1">
      <w:pPr>
        <w:ind w:firstLine="708"/>
        <w:jc w:val="both"/>
        <w:rPr>
          <w:lang w:val="de-DE"/>
        </w:rPr>
      </w:pPr>
      <w:r w:rsidRPr="004676F5">
        <w:rPr>
          <w:b/>
          <w:lang w:val="de-DE"/>
        </w:rPr>
        <w:t>Art. </w:t>
      </w:r>
      <w:r w:rsidR="001527B1" w:rsidRPr="004676F5">
        <w:rPr>
          <w:b/>
          <w:lang w:val="de-DE"/>
        </w:rPr>
        <w:t>XI.155</w:t>
      </w:r>
      <w:r w:rsidR="001527B1" w:rsidRPr="004676F5">
        <w:rPr>
          <w:lang w:val="de-DE"/>
        </w:rPr>
        <w:t> </w:t>
      </w:r>
      <w:r w:rsidR="005B7A5C" w:rsidRPr="004676F5">
        <w:rPr>
          <w:lang w:val="de-DE"/>
        </w:rPr>
        <w:t>- </w:t>
      </w:r>
      <w:r w:rsidR="001527B1" w:rsidRPr="004676F5">
        <w:rPr>
          <w:lang w:val="de-DE"/>
        </w:rPr>
        <w:t>Als Verletzung gelten folgende Handlungen:</w:t>
      </w:r>
    </w:p>
    <w:p w14:paraId="1219AD34" w14:textId="77777777" w:rsidR="001527B1" w:rsidRPr="004676F5" w:rsidRDefault="001527B1" w:rsidP="001527B1">
      <w:pPr>
        <w:ind w:firstLine="708"/>
        <w:jc w:val="both"/>
        <w:rPr>
          <w:lang w:val="de-DE"/>
        </w:rPr>
      </w:pPr>
    </w:p>
    <w:p w14:paraId="7E164EAC" w14:textId="77777777" w:rsidR="001527B1" w:rsidRPr="004676F5" w:rsidRDefault="001527B1" w:rsidP="001527B1">
      <w:pPr>
        <w:ind w:firstLine="708"/>
        <w:jc w:val="both"/>
        <w:rPr>
          <w:lang w:val="de-DE"/>
        </w:rPr>
      </w:pPr>
      <w:r w:rsidRPr="004676F5">
        <w:rPr>
          <w:lang w:val="de-DE"/>
        </w:rPr>
        <w:t xml:space="preserve">1. hinsichtlich einer geschützten Sorte eine der in Artikel XI.113 § 2 genannten Handlungen vorzunehmen, ohne dazu berechtigt zu sein, oder </w:t>
      </w:r>
    </w:p>
    <w:p w14:paraId="38D511D3" w14:textId="77777777" w:rsidR="001527B1" w:rsidRPr="004676F5" w:rsidRDefault="001527B1" w:rsidP="001527B1">
      <w:pPr>
        <w:ind w:firstLine="708"/>
        <w:jc w:val="both"/>
        <w:rPr>
          <w:lang w:val="de-DE"/>
        </w:rPr>
      </w:pPr>
    </w:p>
    <w:p w14:paraId="61199082" w14:textId="77777777" w:rsidR="001527B1" w:rsidRPr="004676F5" w:rsidRDefault="001527B1" w:rsidP="001527B1">
      <w:pPr>
        <w:ind w:firstLine="708"/>
        <w:jc w:val="both"/>
        <w:rPr>
          <w:lang w:val="de-DE"/>
        </w:rPr>
      </w:pPr>
      <w:r w:rsidRPr="004676F5">
        <w:rPr>
          <w:lang w:val="de-DE"/>
        </w:rPr>
        <w:t>2. eine Sortenbezeichnung entgegen den Bedingungen des Artikels XI.118 § 1 zu verwenden oder</w:t>
      </w:r>
    </w:p>
    <w:p w14:paraId="2CC9C8A8" w14:textId="77777777" w:rsidR="001527B1" w:rsidRPr="004676F5" w:rsidRDefault="001527B1" w:rsidP="001527B1">
      <w:pPr>
        <w:ind w:firstLine="708"/>
        <w:jc w:val="both"/>
        <w:rPr>
          <w:lang w:val="de-DE"/>
        </w:rPr>
      </w:pPr>
    </w:p>
    <w:p w14:paraId="5423B16B" w14:textId="77777777" w:rsidR="001527B1" w:rsidRPr="004676F5" w:rsidRDefault="001527B1" w:rsidP="001527B1">
      <w:pPr>
        <w:ind w:firstLine="708"/>
        <w:jc w:val="both"/>
        <w:rPr>
          <w:lang w:val="de-DE"/>
        </w:rPr>
      </w:pPr>
      <w:r w:rsidRPr="004676F5">
        <w:rPr>
          <w:lang w:val="de-DE"/>
        </w:rPr>
        <w:t>3. entgegen Artikel XI.119 § 3 die Sortenbezeichnung einer geschützten Sorte oder eine mit dieser Sortenbezeichnung verwechselbare Bezeichnung zu verwenden.</w:t>
      </w:r>
    </w:p>
    <w:p w14:paraId="785A2E49" w14:textId="77777777" w:rsidR="001527B1" w:rsidRPr="004676F5" w:rsidRDefault="001527B1" w:rsidP="001527B1">
      <w:pPr>
        <w:ind w:firstLine="708"/>
        <w:jc w:val="both"/>
        <w:rPr>
          <w:lang w:val="de-DE"/>
        </w:rPr>
      </w:pPr>
    </w:p>
    <w:p w14:paraId="36AE8D3F" w14:textId="77777777" w:rsidR="00435B6C" w:rsidRPr="004676F5" w:rsidRDefault="00435B6C" w:rsidP="001527B1">
      <w:pPr>
        <w:ind w:firstLine="708"/>
        <w:jc w:val="both"/>
        <w:rPr>
          <w:lang w:val="de-DE"/>
        </w:rPr>
      </w:pPr>
    </w:p>
    <w:p w14:paraId="616D84EC" w14:textId="5E26AF7E" w:rsidR="001527B1" w:rsidRPr="004676F5" w:rsidRDefault="00BE0A56" w:rsidP="001527B1">
      <w:pPr>
        <w:ind w:firstLine="708"/>
        <w:jc w:val="both"/>
        <w:rPr>
          <w:lang w:val="de-DE"/>
        </w:rPr>
      </w:pPr>
      <w:r w:rsidRPr="004676F5">
        <w:rPr>
          <w:b/>
          <w:lang w:val="de-DE"/>
        </w:rPr>
        <w:t>Art. </w:t>
      </w:r>
      <w:r w:rsidR="001527B1" w:rsidRPr="004676F5">
        <w:rPr>
          <w:b/>
          <w:lang w:val="de-DE"/>
        </w:rPr>
        <w:t>XI.156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Eine Verletzungsklage kann erst ab dem Datum, an dem die Erteilung des Sortenschutzes bekannt gemacht wird, und nur für Rechtsverletzungen, die ab diesem Datum begangen werden, erhoben werden.</w:t>
      </w:r>
    </w:p>
    <w:p w14:paraId="4191462C" w14:textId="77777777" w:rsidR="001527B1" w:rsidRPr="004676F5" w:rsidRDefault="001527B1" w:rsidP="001527B1">
      <w:pPr>
        <w:ind w:firstLine="708"/>
        <w:jc w:val="both"/>
        <w:rPr>
          <w:lang w:val="de-DE"/>
        </w:rPr>
      </w:pPr>
    </w:p>
    <w:p w14:paraId="7D3DEA29" w14:textId="3C667C03"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Inhaber oder Nießbraucher eines Sortenschutzes ist befugt, eine Verletzungs</w:t>
      </w:r>
      <w:r w:rsidRPr="004676F5">
        <w:rPr>
          <w:lang w:val="de-DE"/>
        </w:rPr>
        <w:softHyphen/>
        <w:t>klage zu erheben.</w:t>
      </w:r>
    </w:p>
    <w:p w14:paraId="4B4D217A" w14:textId="77777777" w:rsidR="001527B1" w:rsidRPr="004676F5" w:rsidRDefault="001527B1" w:rsidP="001527B1">
      <w:pPr>
        <w:ind w:firstLine="708"/>
        <w:jc w:val="both"/>
        <w:rPr>
          <w:lang w:val="de-DE"/>
        </w:rPr>
      </w:pPr>
    </w:p>
    <w:p w14:paraId="690A2573" w14:textId="77777777" w:rsidR="001527B1" w:rsidRPr="004676F5" w:rsidRDefault="001527B1" w:rsidP="001527B1">
      <w:pPr>
        <w:ind w:firstLine="708"/>
        <w:jc w:val="both"/>
        <w:rPr>
          <w:lang w:val="de-DE"/>
        </w:rPr>
      </w:pPr>
      <w:r w:rsidRPr="004676F5">
        <w:rPr>
          <w:lang w:val="de-DE"/>
        </w:rPr>
        <w:t>Inhaber einer in Anwendung von Artikel XI.126 § 1 erteilten Zwangslizenz können jedoch Verletzungsklage erheben, wenn der Inhaber oder Nießbraucher des Sortenschutzes nach Inverzugsetzung keine derartige Klage erhebt.</w:t>
      </w:r>
    </w:p>
    <w:p w14:paraId="454BAEB4" w14:textId="77777777" w:rsidR="001527B1" w:rsidRPr="004676F5" w:rsidRDefault="001527B1" w:rsidP="001527B1">
      <w:pPr>
        <w:jc w:val="both"/>
        <w:rPr>
          <w:lang w:val="de-DE"/>
        </w:rPr>
      </w:pPr>
    </w:p>
    <w:p w14:paraId="037A07E3" w14:textId="77777777" w:rsidR="001527B1" w:rsidRPr="004676F5" w:rsidRDefault="001527B1" w:rsidP="001527B1">
      <w:pPr>
        <w:ind w:firstLine="708"/>
        <w:jc w:val="both"/>
        <w:rPr>
          <w:lang w:val="de-DE"/>
        </w:rPr>
      </w:pPr>
      <w:r w:rsidRPr="004676F5">
        <w:rPr>
          <w:lang w:val="de-DE"/>
        </w:rPr>
        <w:t>Vorbehaltlich anders lautender Bestimmung im Lizenzvertrag kann der Inhaber einer ausschließlichen Lizenz Verletzungsklage erheben.</w:t>
      </w:r>
    </w:p>
    <w:p w14:paraId="7B8D306E" w14:textId="77777777" w:rsidR="001527B1" w:rsidRPr="004676F5" w:rsidRDefault="001527B1" w:rsidP="001527B1">
      <w:pPr>
        <w:ind w:firstLine="708"/>
        <w:jc w:val="both"/>
        <w:rPr>
          <w:lang w:val="de-DE"/>
        </w:rPr>
      </w:pPr>
    </w:p>
    <w:p w14:paraId="7287E92A" w14:textId="77777777" w:rsidR="001527B1" w:rsidRPr="004676F5" w:rsidRDefault="001527B1" w:rsidP="001527B1">
      <w:pPr>
        <w:ind w:firstLine="708"/>
        <w:jc w:val="both"/>
        <w:rPr>
          <w:lang w:val="de-DE"/>
        </w:rPr>
      </w:pPr>
      <w:r w:rsidRPr="004676F5">
        <w:rPr>
          <w:lang w:val="de-DE"/>
        </w:rPr>
        <w:t>Ein Lizenznehmer darf der vom Inhaber oder Nießbraucher des Rechts erhobenen Verletzungsklage beitreten, um Ersatz seines eigenen Schadens geltend zu machen.</w:t>
      </w:r>
    </w:p>
    <w:p w14:paraId="6308DE2D" w14:textId="77777777" w:rsidR="001527B1" w:rsidRPr="004676F5" w:rsidRDefault="001527B1" w:rsidP="001527B1">
      <w:pPr>
        <w:ind w:firstLine="708"/>
        <w:jc w:val="both"/>
        <w:rPr>
          <w:lang w:val="de-DE"/>
        </w:rPr>
      </w:pPr>
    </w:p>
    <w:p w14:paraId="6640502B" w14:textId="77777777" w:rsidR="00435B6C" w:rsidRPr="004676F5" w:rsidRDefault="00435B6C" w:rsidP="001527B1">
      <w:pPr>
        <w:ind w:firstLine="708"/>
        <w:jc w:val="both"/>
        <w:rPr>
          <w:lang w:val="de-DE"/>
        </w:rPr>
      </w:pPr>
    </w:p>
    <w:p w14:paraId="4C506A12" w14:textId="019E3C28" w:rsidR="001527B1" w:rsidRPr="004676F5" w:rsidRDefault="00BE0A56" w:rsidP="001527B1">
      <w:pPr>
        <w:ind w:firstLine="708"/>
        <w:jc w:val="both"/>
        <w:rPr>
          <w:lang w:val="de-DE"/>
        </w:rPr>
      </w:pPr>
      <w:r w:rsidRPr="004676F5">
        <w:rPr>
          <w:b/>
          <w:lang w:val="de-DE"/>
        </w:rPr>
        <w:t>Art. </w:t>
      </w:r>
      <w:r w:rsidR="001527B1" w:rsidRPr="004676F5">
        <w:rPr>
          <w:b/>
          <w:lang w:val="de-DE"/>
        </w:rPr>
        <w:t>XI.157</w:t>
      </w:r>
      <w:r w:rsidR="001527B1" w:rsidRPr="004676F5">
        <w:rPr>
          <w:lang w:val="de-DE"/>
        </w:rPr>
        <w:t> </w:t>
      </w:r>
      <w:r w:rsidR="005B7A5C" w:rsidRPr="004676F5">
        <w:rPr>
          <w:lang w:val="de-DE"/>
        </w:rPr>
        <w:t>- </w:t>
      </w:r>
      <w:r w:rsidR="001527B1" w:rsidRPr="004676F5">
        <w:rPr>
          <w:lang w:val="de-DE"/>
        </w:rPr>
        <w:t>Der Inhaber kann von demjenigen, der in der Zeit zwischen der Bekanntmachung des Antrags auf Sortenschutz und dessen Erteilung eine Handlung vorgenommen hatte, die ihm nach diesem Zeitraum aufgrund des Sortenschutzes verboten wäre, eine angemessene Vergütung verlangen.</w:t>
      </w:r>
    </w:p>
    <w:p w14:paraId="44021652" w14:textId="77777777" w:rsidR="001527B1" w:rsidRPr="004676F5" w:rsidRDefault="001527B1" w:rsidP="001527B1">
      <w:pPr>
        <w:ind w:firstLine="708"/>
        <w:jc w:val="both"/>
        <w:rPr>
          <w:lang w:val="de-DE"/>
        </w:rPr>
      </w:pPr>
    </w:p>
    <w:p w14:paraId="1F1F2334" w14:textId="77777777" w:rsidR="00435B6C" w:rsidRPr="004676F5" w:rsidRDefault="00435B6C" w:rsidP="001527B1">
      <w:pPr>
        <w:ind w:firstLine="708"/>
        <w:jc w:val="both"/>
        <w:rPr>
          <w:lang w:val="de-DE"/>
        </w:rPr>
      </w:pPr>
    </w:p>
    <w:p w14:paraId="08964C73" w14:textId="10C77BAE" w:rsidR="00435B6C" w:rsidRPr="004676F5" w:rsidRDefault="00BE0A56" w:rsidP="00435B6C">
      <w:pPr>
        <w:ind w:firstLine="708"/>
        <w:jc w:val="both"/>
        <w:rPr>
          <w:lang w:val="de-DE"/>
        </w:rPr>
      </w:pPr>
      <w:r w:rsidRPr="004676F5">
        <w:rPr>
          <w:b/>
          <w:lang w:val="de-DE"/>
        </w:rPr>
        <w:t>Art. </w:t>
      </w:r>
      <w:r w:rsidR="001527B1" w:rsidRPr="004676F5">
        <w:rPr>
          <w:b/>
          <w:lang w:val="de-DE"/>
        </w:rPr>
        <w:t>XI.158</w:t>
      </w:r>
      <w:r w:rsidR="001527B1" w:rsidRPr="004676F5">
        <w:rPr>
          <w:lang w:val="de-DE"/>
        </w:rPr>
        <w:t> </w:t>
      </w:r>
      <w:r w:rsidR="005B7A5C" w:rsidRPr="004676F5">
        <w:rPr>
          <w:lang w:val="de-DE"/>
        </w:rPr>
        <w:t>- </w:t>
      </w:r>
      <w:r w:rsidR="001527B1" w:rsidRPr="004676F5">
        <w:rPr>
          <w:lang w:val="de-DE"/>
        </w:rPr>
        <w:t>Die zivilrechtlichen Bestimmungen für die Ahndung von Verletzungen eines belgischen Sortenschutzes gelten ebenfalls für die Ahndung von Verletzungen eines gemeinschaftlichen Sortenschutzes, der aufgrund der Verordnung (EG) Nr. 2100/94 des Rates vom 27. Juli 1994 über den gemeinschaftlichen Sortenschutz erteilt wurde.</w:t>
      </w:r>
    </w:p>
    <w:p w14:paraId="08FF80FE" w14:textId="77777777" w:rsidR="00435B6C" w:rsidRPr="004676F5" w:rsidRDefault="00435B6C" w:rsidP="00435B6C">
      <w:pPr>
        <w:ind w:firstLine="708"/>
        <w:jc w:val="both"/>
        <w:rPr>
          <w:lang w:val="de-DE"/>
        </w:rPr>
      </w:pPr>
    </w:p>
    <w:p w14:paraId="4D044001" w14:textId="77777777" w:rsidR="00435B6C" w:rsidRPr="004676F5" w:rsidRDefault="00435B6C" w:rsidP="00435B6C">
      <w:pPr>
        <w:ind w:firstLine="708"/>
        <w:jc w:val="both"/>
        <w:rPr>
          <w:lang w:val="de-DE"/>
        </w:rPr>
      </w:pPr>
    </w:p>
    <w:p w14:paraId="371834E4" w14:textId="77777777" w:rsidR="00435B6C" w:rsidRPr="004676F5" w:rsidRDefault="00435B6C">
      <w:pPr>
        <w:rPr>
          <w:lang w:val="de-DE"/>
        </w:rPr>
      </w:pPr>
      <w:r w:rsidRPr="004676F5">
        <w:rPr>
          <w:lang w:val="de-DE"/>
        </w:rPr>
        <w:br w:type="page"/>
      </w:r>
    </w:p>
    <w:p w14:paraId="36B1D017" w14:textId="74A61949" w:rsidR="001527B1" w:rsidRPr="004676F5" w:rsidRDefault="001527B1" w:rsidP="00435B6C">
      <w:pPr>
        <w:ind w:firstLine="708"/>
        <w:jc w:val="both"/>
        <w:rPr>
          <w:lang w:val="de-DE"/>
        </w:rPr>
      </w:pPr>
      <w:r w:rsidRPr="004676F5">
        <w:rPr>
          <w:i/>
          <w:lang w:val="de-DE"/>
        </w:rPr>
        <w:lastRenderedPageBreak/>
        <w:t>Abschnitt 2 </w:t>
      </w:r>
      <w:r w:rsidR="005B7A5C" w:rsidRPr="004676F5">
        <w:rPr>
          <w:lang w:val="de-DE"/>
        </w:rPr>
        <w:t>- </w:t>
      </w:r>
      <w:r w:rsidRPr="004676F5">
        <w:rPr>
          <w:lang w:val="de-DE"/>
        </w:rPr>
        <w:t>Geltendmachung des Sortenschutzes und Sortenkennzeichnung</w:t>
      </w:r>
    </w:p>
    <w:p w14:paraId="5E88E436" w14:textId="77777777" w:rsidR="001527B1" w:rsidRPr="004676F5" w:rsidRDefault="001527B1" w:rsidP="001527B1">
      <w:pPr>
        <w:ind w:firstLine="708"/>
        <w:jc w:val="both"/>
        <w:rPr>
          <w:lang w:val="de-DE"/>
        </w:rPr>
      </w:pPr>
    </w:p>
    <w:p w14:paraId="44A7CE00" w14:textId="77777777" w:rsidR="00435B6C" w:rsidRPr="004676F5" w:rsidRDefault="00435B6C" w:rsidP="001527B1">
      <w:pPr>
        <w:ind w:firstLine="708"/>
        <w:jc w:val="both"/>
        <w:rPr>
          <w:lang w:val="de-DE"/>
        </w:rPr>
      </w:pPr>
    </w:p>
    <w:p w14:paraId="74969C6E" w14:textId="6E308172" w:rsidR="001527B1" w:rsidRPr="004676F5" w:rsidRDefault="00BE0A56" w:rsidP="001527B1">
      <w:pPr>
        <w:ind w:firstLine="708"/>
        <w:jc w:val="both"/>
        <w:rPr>
          <w:lang w:val="de-DE"/>
        </w:rPr>
      </w:pPr>
      <w:r w:rsidRPr="004676F5">
        <w:rPr>
          <w:b/>
          <w:lang w:val="de-DE"/>
        </w:rPr>
        <w:t>Art. </w:t>
      </w:r>
      <w:r w:rsidR="001527B1" w:rsidRPr="004676F5">
        <w:rPr>
          <w:b/>
          <w:lang w:val="de-DE"/>
        </w:rPr>
        <w:t>XI.159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Ist der Sortenschutz einer Person erteilt worden, die nach Arti</w:t>
      </w:r>
      <w:r w:rsidR="001527B1" w:rsidRPr="004676F5">
        <w:rPr>
          <w:lang w:val="de-DE"/>
        </w:rPr>
        <w:softHyphen/>
        <w:t>kel XI.111 nicht berechtigt ist, so kann der Berechtigte unbeschadet anderer Ansprüche oder Klagen verlangen, dass der Sortenschutz ihm übertragen wird.</w:t>
      </w:r>
    </w:p>
    <w:p w14:paraId="50FC1E46" w14:textId="77777777" w:rsidR="001527B1" w:rsidRPr="004676F5" w:rsidRDefault="001527B1" w:rsidP="001527B1">
      <w:pPr>
        <w:ind w:firstLine="708"/>
        <w:jc w:val="both"/>
        <w:rPr>
          <w:lang w:val="de-DE"/>
        </w:rPr>
      </w:pPr>
    </w:p>
    <w:p w14:paraId="73223613" w14:textId="7D885451"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Steht einer Person das Recht auf den Sortenschutz nur teilweise zu, so kann sie nach den Bestimmungen von § 1 verlangen, dass ihr die Mitinhaberschaft daran eingeräumt wird.</w:t>
      </w:r>
    </w:p>
    <w:p w14:paraId="02815E28" w14:textId="77777777" w:rsidR="001527B1" w:rsidRPr="004676F5" w:rsidRDefault="001527B1" w:rsidP="001527B1">
      <w:pPr>
        <w:ind w:firstLine="708"/>
        <w:jc w:val="both"/>
        <w:rPr>
          <w:lang w:val="de-DE"/>
        </w:rPr>
      </w:pPr>
    </w:p>
    <w:p w14:paraId="3805E3B2" w14:textId="12722733"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Ansprüche nach den Paragraphen 1 und 2 stehen dem Berechtigten entsprechend auch hinsichtlich eines Antrags auf Erteilung des Sortenschutzes zu, der von einem nicht oder nicht allein berechtigten Antragsteller gestellt worden ist.</w:t>
      </w:r>
    </w:p>
    <w:p w14:paraId="54FD023A" w14:textId="77777777" w:rsidR="001527B1" w:rsidRPr="004676F5" w:rsidRDefault="001527B1" w:rsidP="001527B1">
      <w:pPr>
        <w:ind w:firstLine="708"/>
        <w:jc w:val="both"/>
        <w:rPr>
          <w:lang w:val="de-DE"/>
        </w:rPr>
      </w:pPr>
    </w:p>
    <w:p w14:paraId="094B3E65" w14:textId="77777777" w:rsidR="00435B6C" w:rsidRPr="004676F5" w:rsidRDefault="00435B6C" w:rsidP="001527B1">
      <w:pPr>
        <w:ind w:firstLine="708"/>
        <w:jc w:val="both"/>
        <w:rPr>
          <w:lang w:val="de-DE"/>
        </w:rPr>
      </w:pPr>
    </w:p>
    <w:p w14:paraId="26A55B92" w14:textId="19A71100" w:rsidR="001527B1" w:rsidRPr="004676F5" w:rsidRDefault="00BE0A56" w:rsidP="001527B1">
      <w:pPr>
        <w:ind w:firstLine="708"/>
        <w:jc w:val="both"/>
        <w:rPr>
          <w:lang w:val="de-DE"/>
        </w:rPr>
      </w:pPr>
      <w:r w:rsidRPr="004676F5">
        <w:rPr>
          <w:b/>
          <w:lang w:val="de-DE"/>
        </w:rPr>
        <w:t>Art. </w:t>
      </w:r>
      <w:r w:rsidR="001527B1" w:rsidRPr="004676F5">
        <w:rPr>
          <w:b/>
          <w:lang w:val="de-DE"/>
        </w:rPr>
        <w:t>XI.160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Bei vollständigem Wechsel der Antragstellerschaft oder der Inhaberschaft infolge einer zur Geltendmachung der Ansprüche erwirkten formell rechtskräftigen gerichtlichen Entscheidung erlöschen Lizenzen mit der Eintragung des Berechtigten in das Register.</w:t>
      </w:r>
    </w:p>
    <w:p w14:paraId="30B6B054" w14:textId="77777777" w:rsidR="001527B1" w:rsidRPr="004676F5" w:rsidRDefault="001527B1" w:rsidP="001527B1">
      <w:pPr>
        <w:ind w:firstLine="708"/>
        <w:jc w:val="both"/>
        <w:rPr>
          <w:lang w:val="de-DE"/>
        </w:rPr>
      </w:pPr>
    </w:p>
    <w:p w14:paraId="6B975A82" w14:textId="7E23E1AD"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Hat vor Einleitung eines Verfahrens zur Geltendmachung der Ansprüche der Antragsteller, der Inhaber oder ein Lizenznehmer eine der in Artikel XI.113 § 2 genannten Handlungen vorgenommen oder dazu wirkliche und ernsthafte Vorkehrungen getroffen, so kann er diese Handlungen fortsetzen oder vornehmen, wenn er bei dem neuen im Register eingetragenen Antragsteller oder Inhaber die Einräumung einer nicht ausschließlichen Lizenz beantragt.</w:t>
      </w:r>
    </w:p>
    <w:p w14:paraId="28781ED2" w14:textId="77777777" w:rsidR="001527B1" w:rsidRPr="004676F5" w:rsidRDefault="001527B1" w:rsidP="001527B1">
      <w:pPr>
        <w:ind w:firstLine="708"/>
        <w:jc w:val="both"/>
        <w:rPr>
          <w:lang w:val="de-DE"/>
        </w:rPr>
      </w:pPr>
    </w:p>
    <w:p w14:paraId="23431FDA" w14:textId="2478D42E"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Paragraph 2 findet keine Anwendung, wenn der Antragsteller, Inhaber oder Lizenznehmer zu dem Zeitpunkt, zu dem er mit der Vornahme der Handlungen oder dem Treffen der Vorkehrungen begonnen hat, bösgläubig gehandelt hat.</w:t>
      </w:r>
    </w:p>
    <w:p w14:paraId="6129C58F" w14:textId="77777777" w:rsidR="001527B1" w:rsidRPr="004676F5" w:rsidRDefault="001527B1" w:rsidP="001527B1">
      <w:pPr>
        <w:ind w:firstLine="708"/>
        <w:jc w:val="both"/>
        <w:rPr>
          <w:lang w:val="de-DE"/>
        </w:rPr>
      </w:pPr>
    </w:p>
    <w:p w14:paraId="1A8CF736" w14:textId="77777777" w:rsidR="00435B6C" w:rsidRPr="004676F5" w:rsidRDefault="00435B6C" w:rsidP="001527B1">
      <w:pPr>
        <w:ind w:firstLine="708"/>
        <w:jc w:val="both"/>
        <w:rPr>
          <w:lang w:val="de-DE"/>
        </w:rPr>
      </w:pPr>
    </w:p>
    <w:p w14:paraId="2CF49A8D" w14:textId="6BEB1253" w:rsidR="001527B1" w:rsidRPr="004676F5" w:rsidRDefault="00BE0A56" w:rsidP="00435B6C">
      <w:pPr>
        <w:ind w:firstLine="708"/>
        <w:jc w:val="both"/>
        <w:rPr>
          <w:lang w:val="de-DE"/>
        </w:rPr>
      </w:pPr>
      <w:r w:rsidRPr="004676F5">
        <w:rPr>
          <w:b/>
          <w:lang w:val="de-DE"/>
        </w:rPr>
        <w:t>Art. </w:t>
      </w:r>
      <w:r w:rsidR="001527B1" w:rsidRPr="004676F5">
        <w:rPr>
          <w:b/>
          <w:lang w:val="de-DE"/>
        </w:rPr>
        <w:t>XI.161</w:t>
      </w:r>
      <w:r w:rsidR="001527B1" w:rsidRPr="004676F5">
        <w:rPr>
          <w:lang w:val="de-DE"/>
        </w:rPr>
        <w:t> </w:t>
      </w:r>
      <w:r w:rsidR="005B7A5C" w:rsidRPr="004676F5">
        <w:rPr>
          <w:lang w:val="de-DE"/>
        </w:rPr>
        <w:t>- </w:t>
      </w:r>
      <w:r w:rsidR="001527B1" w:rsidRPr="004676F5">
        <w:rPr>
          <w:lang w:val="de-DE"/>
        </w:rPr>
        <w:t>Der Inhaber einer Ursprungssorte und der Züchter einer im Wesentlichen von der Ursprungssorte abgeleiteten Sorte haben Anspruch auf Erhalt einer Bestätigung darüber, dass die betreffenden Sorten als Ursprungs</w:t>
      </w:r>
      <w:r w:rsidR="005B7A5C" w:rsidRPr="004676F5">
        <w:rPr>
          <w:lang w:val="de-DE"/>
        </w:rPr>
        <w:t>- </w:t>
      </w:r>
      <w:r w:rsidR="001527B1" w:rsidRPr="004676F5">
        <w:rPr>
          <w:lang w:val="de-DE"/>
        </w:rPr>
        <w:t>beziehungsweise im Wesentlichen abgeleitete Sorten gekennzeichnet werden.</w:t>
      </w:r>
    </w:p>
    <w:p w14:paraId="3ED9D516" w14:textId="77777777" w:rsidR="001527B1" w:rsidRPr="004676F5" w:rsidRDefault="001527B1" w:rsidP="001527B1">
      <w:pPr>
        <w:ind w:firstLine="708"/>
        <w:jc w:val="both"/>
        <w:rPr>
          <w:lang w:val="de-DE"/>
        </w:rPr>
      </w:pPr>
    </w:p>
    <w:p w14:paraId="45D079DE" w14:textId="77777777" w:rsidR="00435B6C" w:rsidRPr="004676F5" w:rsidRDefault="00435B6C" w:rsidP="001527B1">
      <w:pPr>
        <w:ind w:firstLine="708"/>
        <w:jc w:val="both"/>
        <w:rPr>
          <w:lang w:val="de-DE"/>
        </w:rPr>
      </w:pPr>
    </w:p>
    <w:p w14:paraId="69E0216C" w14:textId="6CC849C6" w:rsidR="001527B1" w:rsidRPr="004676F5" w:rsidRDefault="001527B1" w:rsidP="001527B1">
      <w:pPr>
        <w:jc w:val="center"/>
        <w:rPr>
          <w:lang w:val="de-DE"/>
        </w:rPr>
      </w:pPr>
      <w:r w:rsidRPr="004676F5">
        <w:rPr>
          <w:i/>
          <w:lang w:val="de-DE"/>
        </w:rPr>
        <w:t>Abschnitt 3 </w:t>
      </w:r>
      <w:r w:rsidR="005B7A5C" w:rsidRPr="004676F5">
        <w:rPr>
          <w:lang w:val="de-DE"/>
        </w:rPr>
        <w:t>- </w:t>
      </w:r>
      <w:r w:rsidRPr="004676F5">
        <w:rPr>
          <w:lang w:val="de-DE"/>
        </w:rPr>
        <w:t>Verjährung</w:t>
      </w:r>
    </w:p>
    <w:p w14:paraId="566F1C07" w14:textId="77777777" w:rsidR="001527B1" w:rsidRPr="004676F5" w:rsidRDefault="001527B1" w:rsidP="001527B1">
      <w:pPr>
        <w:ind w:firstLine="708"/>
        <w:jc w:val="both"/>
        <w:rPr>
          <w:lang w:val="de-DE"/>
        </w:rPr>
      </w:pPr>
    </w:p>
    <w:p w14:paraId="7F9312AE" w14:textId="77777777" w:rsidR="00435B6C" w:rsidRPr="004676F5" w:rsidRDefault="00435B6C" w:rsidP="001527B1">
      <w:pPr>
        <w:ind w:firstLine="708"/>
        <w:jc w:val="both"/>
        <w:rPr>
          <w:lang w:val="de-DE"/>
        </w:rPr>
      </w:pPr>
    </w:p>
    <w:p w14:paraId="48408AC2" w14:textId="36268F63" w:rsidR="001527B1" w:rsidRPr="004676F5" w:rsidRDefault="00BE0A56" w:rsidP="001527B1">
      <w:pPr>
        <w:ind w:firstLine="708"/>
        <w:jc w:val="both"/>
        <w:rPr>
          <w:lang w:val="de-DE"/>
        </w:rPr>
      </w:pPr>
      <w:r w:rsidRPr="004676F5">
        <w:rPr>
          <w:b/>
          <w:lang w:val="de-DE"/>
        </w:rPr>
        <w:t>Art. </w:t>
      </w:r>
      <w:r w:rsidR="001527B1" w:rsidRPr="004676F5">
        <w:rPr>
          <w:b/>
          <w:lang w:val="de-DE"/>
        </w:rPr>
        <w:t>XI.162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Ansprüche nach den Artikeln XI.156 und XI.157 verjähren in drei Jahren von dem Zeitpunkt an, an dem der Sortenschutz endgültig erteilt worden ist und der Inhaber von der Handlung und der Person des Verpflichteten, der die Verletzung begangen hat, Kenntnis erlangt hat, oder, falls keine solche Kenntnis erlangt wurde, in dreißig Jahren von der Vollendung der jeweiligen Handlung an.</w:t>
      </w:r>
    </w:p>
    <w:p w14:paraId="6F17FD87" w14:textId="77777777" w:rsidR="001527B1" w:rsidRPr="004676F5" w:rsidRDefault="001527B1" w:rsidP="001527B1">
      <w:pPr>
        <w:ind w:firstLine="708"/>
        <w:jc w:val="both"/>
        <w:rPr>
          <w:lang w:val="de-DE"/>
        </w:rPr>
      </w:pPr>
    </w:p>
    <w:p w14:paraId="06662812" w14:textId="3CE54C5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Ansprüche nach Artikel XI.159 §§ 1 und 2 verjähren in fünf Jahren von dem Zeitpunkt an, an dem die Erteilung des Sortenschutzes bekannt gemacht wurde. Dies gilt nicht, wenn der Inhaber bei Erteilung oder Erwerb des Rechts Kenntnis davon hatte, dass ihm das Recht auf den Sortenschutz nicht oder nicht allein zustand.</w:t>
      </w:r>
    </w:p>
    <w:p w14:paraId="181BF01E" w14:textId="77777777" w:rsidR="001527B1" w:rsidRPr="004676F5" w:rsidRDefault="001527B1" w:rsidP="001527B1">
      <w:pPr>
        <w:ind w:firstLine="708"/>
        <w:jc w:val="both"/>
        <w:rPr>
          <w:lang w:val="de-DE"/>
        </w:rPr>
      </w:pPr>
    </w:p>
    <w:p w14:paraId="02D75D82" w14:textId="78B2052B"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Ansprüche nach Artikel XI.159 § 3 verjähren in fünf Jahren von dem Zeitpunkt an, an dem der Antrag auf Sortenschutz bekannt gemacht wurde. Dies gilt nicht, wenn der Antragsteller bei Stellung oder Erwerb des Antrags Kenntnis davon hatte, dass er nicht oder nicht allein antragsberechtigt war.</w:t>
      </w:r>
    </w:p>
    <w:p w14:paraId="1B2AF6F5" w14:textId="77777777" w:rsidR="001527B1" w:rsidRPr="004676F5" w:rsidRDefault="001527B1" w:rsidP="001527B1">
      <w:pPr>
        <w:ind w:firstLine="708"/>
        <w:jc w:val="both"/>
        <w:rPr>
          <w:lang w:val="de-DE"/>
        </w:rPr>
      </w:pPr>
    </w:p>
    <w:p w14:paraId="5A50C75B" w14:textId="77777777" w:rsidR="00435B6C" w:rsidRPr="004676F5" w:rsidRDefault="00435B6C" w:rsidP="001527B1">
      <w:pPr>
        <w:ind w:firstLine="708"/>
        <w:jc w:val="both"/>
        <w:rPr>
          <w:lang w:val="de-DE"/>
        </w:rPr>
      </w:pPr>
    </w:p>
    <w:p w14:paraId="67FCE14C" w14:textId="77777777" w:rsidR="00435B6C" w:rsidRPr="004676F5" w:rsidRDefault="00435B6C">
      <w:pPr>
        <w:rPr>
          <w:b/>
          <w:lang w:val="de-DE"/>
        </w:rPr>
      </w:pPr>
      <w:r w:rsidRPr="004676F5">
        <w:rPr>
          <w:b/>
          <w:lang w:val="de-DE"/>
        </w:rPr>
        <w:br w:type="page"/>
      </w:r>
    </w:p>
    <w:p w14:paraId="6B5C0862" w14:textId="3F48B81C" w:rsidR="001527B1" w:rsidRPr="004676F5" w:rsidRDefault="001527B1" w:rsidP="001527B1">
      <w:pPr>
        <w:jc w:val="center"/>
        <w:rPr>
          <w:b/>
          <w:lang w:val="de-DE"/>
        </w:rPr>
      </w:pPr>
      <w:r w:rsidRPr="004676F5">
        <w:rPr>
          <w:b/>
          <w:lang w:val="de-DE"/>
        </w:rPr>
        <w:lastRenderedPageBreak/>
        <w:t>TITEL 4 </w:t>
      </w:r>
      <w:r w:rsidR="005B7A5C" w:rsidRPr="004676F5">
        <w:rPr>
          <w:b/>
          <w:lang w:val="de-DE"/>
        </w:rPr>
        <w:t>- </w:t>
      </w:r>
      <w:r w:rsidRPr="004676F5">
        <w:rPr>
          <w:b/>
          <w:i/>
          <w:lang w:val="de-DE"/>
        </w:rPr>
        <w:t>Marken und Muster oder Modelle</w:t>
      </w:r>
    </w:p>
    <w:p w14:paraId="44BA8765" w14:textId="77777777" w:rsidR="001527B1" w:rsidRPr="004676F5" w:rsidRDefault="001527B1" w:rsidP="001527B1">
      <w:pPr>
        <w:ind w:firstLine="708"/>
        <w:jc w:val="both"/>
        <w:rPr>
          <w:lang w:val="de-DE"/>
        </w:rPr>
      </w:pPr>
    </w:p>
    <w:p w14:paraId="42E907D5" w14:textId="77777777" w:rsidR="00435B6C" w:rsidRPr="004676F5" w:rsidRDefault="00435B6C" w:rsidP="001527B1">
      <w:pPr>
        <w:ind w:firstLine="708"/>
        <w:jc w:val="both"/>
        <w:rPr>
          <w:lang w:val="de-DE"/>
        </w:rPr>
      </w:pPr>
    </w:p>
    <w:p w14:paraId="00DE3D91" w14:textId="1D6A961F" w:rsidR="001527B1" w:rsidRPr="004676F5" w:rsidRDefault="00BE0A56" w:rsidP="001527B1">
      <w:pPr>
        <w:ind w:firstLine="708"/>
        <w:jc w:val="both"/>
        <w:rPr>
          <w:lang w:val="de-DE"/>
        </w:rPr>
      </w:pPr>
      <w:r w:rsidRPr="004676F5">
        <w:rPr>
          <w:b/>
          <w:lang w:val="de-DE"/>
        </w:rPr>
        <w:t>Art. </w:t>
      </w:r>
      <w:r w:rsidR="001527B1" w:rsidRPr="004676F5">
        <w:rPr>
          <w:b/>
          <w:lang w:val="de-DE"/>
        </w:rPr>
        <w:t>XI.163</w:t>
      </w:r>
      <w:r w:rsidR="001527B1" w:rsidRPr="004676F5">
        <w:rPr>
          <w:lang w:val="de-DE"/>
        </w:rPr>
        <w:t> </w:t>
      </w:r>
      <w:r w:rsidR="005B7A5C" w:rsidRPr="004676F5">
        <w:rPr>
          <w:lang w:val="de-DE"/>
        </w:rPr>
        <w:t>- </w:t>
      </w:r>
      <w:r w:rsidR="001527B1" w:rsidRPr="004676F5">
        <w:rPr>
          <w:lang w:val="de-DE"/>
        </w:rPr>
        <w:t>Vorbehaltlich der Bestimmungen über die wie im Eilverfahren geführte, in Buch XVII Titel 1 Kapitel 4 erwähnte Unterlassungsklage und der Bestimmungen über die Ausübung der Überwachung und die Ermittlung und Feststellung von Verstößen und die in Buch XV erwähnten anwendbaren Sanktionen ist der Schutz der Marken, Muster und Modelle durch das Benelux-Übereinkommen über Geistiges Eigentum (Marken und Muster oder Modelle), am 25. Februar 2005 in Den Haag abgeschlossen, geregelt.</w:t>
      </w:r>
    </w:p>
    <w:p w14:paraId="68EC8637" w14:textId="77777777" w:rsidR="001527B1" w:rsidRPr="004676F5" w:rsidRDefault="001527B1" w:rsidP="001527B1">
      <w:pPr>
        <w:rPr>
          <w:lang w:val="de-DE"/>
        </w:rPr>
      </w:pPr>
    </w:p>
    <w:p w14:paraId="1DE27BCF" w14:textId="77777777" w:rsidR="00FE3AF3" w:rsidRPr="004676F5" w:rsidRDefault="00FE3AF3">
      <w:pPr>
        <w:rPr>
          <w:b/>
          <w:lang w:val="de-DE"/>
        </w:rPr>
      </w:pPr>
    </w:p>
    <w:p w14:paraId="46A001C1" w14:textId="77777777" w:rsidR="00FE3AF3" w:rsidRPr="004676F5" w:rsidRDefault="00FE3AF3" w:rsidP="00FE3AF3">
      <w:pPr>
        <w:jc w:val="both"/>
        <w:rPr>
          <w:lang w:val="de-DE"/>
        </w:rPr>
      </w:pPr>
      <w:r w:rsidRPr="004676F5">
        <w:rPr>
          <w:b/>
          <w:lang w:val="de-DE"/>
        </w:rPr>
        <w:tab/>
      </w:r>
      <w:r w:rsidRPr="004676F5">
        <w:rPr>
          <w:bCs/>
          <w:lang w:val="de-DE"/>
        </w:rPr>
        <w:t>[</w:t>
      </w:r>
      <w:r w:rsidRPr="004676F5">
        <w:rPr>
          <w:b/>
          <w:bCs/>
          <w:lang w:val="de-DE"/>
        </w:rPr>
        <w:t>Art. XI.163/1</w:t>
      </w:r>
      <w:r w:rsidRPr="004676F5">
        <w:rPr>
          <w:lang w:val="de-DE"/>
        </w:rPr>
        <w:t> - Der für Auswärtige Angelegenheiten zuständige Minister ist beauftragt, die Echtheit der Schriftstücke zu prüfen, die in Belgien im Hinblick auf die Vollstreckung von Entscheidungen vorgelegt werden, in denen als Vollstreckungstitel die Höhe der dem Amt der Europäischen Union für geistiges Eigentum zu zahlenden Kosten festgelegt wird und die gemäß der Verordnung (EG) Nr. 6/2002 des Rates vom 12. Dezember 2001 über das Gemeinschaftsgeschmacksmuster oder der Verordnung (EU) 2017/1001 des Europäischen Parlaments und des Rates vom 14. Juni 2017 über die Unionsmarke getroffen worden sind.</w:t>
      </w:r>
    </w:p>
    <w:p w14:paraId="037033BE" w14:textId="77777777" w:rsidR="00FE3AF3" w:rsidRPr="004676F5" w:rsidRDefault="00FE3AF3" w:rsidP="00FE3AF3">
      <w:pPr>
        <w:jc w:val="both"/>
        <w:rPr>
          <w:lang w:val="de-DE"/>
        </w:rPr>
      </w:pPr>
    </w:p>
    <w:p w14:paraId="027D9F59" w14:textId="77777777" w:rsidR="00FE3AF3" w:rsidRPr="004676F5" w:rsidRDefault="00FE3AF3" w:rsidP="00FE3AF3">
      <w:pPr>
        <w:jc w:val="both"/>
        <w:rPr>
          <w:lang w:val="de-DE"/>
        </w:rPr>
      </w:pPr>
      <w:r w:rsidRPr="004676F5">
        <w:rPr>
          <w:lang w:val="de-DE"/>
        </w:rPr>
        <w:tab/>
        <w:t>Der für Auswärtige Angelegenheiten zuständige Minister kann seine Befugnisse einem zu diesem Zweck bestimmten Beamten übertragen.</w:t>
      </w:r>
    </w:p>
    <w:p w14:paraId="2856C9F6" w14:textId="77777777" w:rsidR="00FE3AF3" w:rsidRPr="004676F5" w:rsidRDefault="00FE3AF3" w:rsidP="00FE3AF3">
      <w:pPr>
        <w:jc w:val="both"/>
        <w:rPr>
          <w:lang w:val="de-DE"/>
        </w:rPr>
      </w:pPr>
    </w:p>
    <w:p w14:paraId="553A5544" w14:textId="77777777" w:rsidR="00FE3AF3" w:rsidRPr="004676F5" w:rsidRDefault="00FE3AF3" w:rsidP="00FE3AF3">
      <w:pPr>
        <w:jc w:val="both"/>
        <w:rPr>
          <w:lang w:val="de-DE"/>
        </w:rPr>
      </w:pPr>
      <w:r w:rsidRPr="004676F5">
        <w:rPr>
          <w:lang w:val="de-DE"/>
        </w:rPr>
        <w:tab/>
        <w:t>Die für echt erklärten Schriftstücke werden auf Veranlassung des für Justiz zuständigen Ministers dem Chefgreffier des Appellationshofes von Brüssel übermittelt, der die Vollstreckungsklausel anbringt, und auf die gleiche Weise an den für Auswärtige Angelegenheiten zuständigen Minister zurückgesandt.]</w:t>
      </w:r>
    </w:p>
    <w:p w14:paraId="431CF598" w14:textId="77777777" w:rsidR="00FE3AF3" w:rsidRPr="004676F5" w:rsidRDefault="00FE3AF3" w:rsidP="00FE3AF3">
      <w:pPr>
        <w:jc w:val="both"/>
        <w:rPr>
          <w:lang w:val="de-DE"/>
        </w:rPr>
      </w:pPr>
    </w:p>
    <w:p w14:paraId="54E5E211" w14:textId="6F9EFC8D" w:rsidR="00435B6C" w:rsidRPr="004676F5" w:rsidRDefault="00FE3AF3" w:rsidP="00FE3AF3">
      <w:pPr>
        <w:jc w:val="both"/>
        <w:rPr>
          <w:b/>
          <w:lang w:val="de-DE"/>
        </w:rPr>
      </w:pPr>
      <w:r w:rsidRPr="004676F5">
        <w:rPr>
          <w:i/>
          <w:iCs/>
          <w:lang w:val="de-DE"/>
        </w:rPr>
        <w:t>[Art. XI.163/1 eingefügt durch Art. 27 des G. vom 25. September 2022 (B.S. vom 24. Oktober 2022)]</w:t>
      </w:r>
      <w:r w:rsidR="00435B6C" w:rsidRPr="004676F5">
        <w:rPr>
          <w:b/>
          <w:lang w:val="de-DE"/>
        </w:rPr>
        <w:br w:type="page"/>
      </w:r>
    </w:p>
    <w:p w14:paraId="121E95AC" w14:textId="3918E9A2" w:rsidR="001527B1" w:rsidRPr="004676F5" w:rsidRDefault="001527B1" w:rsidP="001527B1">
      <w:pPr>
        <w:jc w:val="center"/>
        <w:rPr>
          <w:b/>
          <w:lang w:val="de-DE"/>
        </w:rPr>
      </w:pPr>
      <w:r w:rsidRPr="004676F5">
        <w:rPr>
          <w:b/>
          <w:lang w:val="de-DE"/>
        </w:rPr>
        <w:lastRenderedPageBreak/>
        <w:t>TITEL 5 </w:t>
      </w:r>
      <w:r w:rsidR="005B7A5C" w:rsidRPr="004676F5">
        <w:rPr>
          <w:b/>
          <w:lang w:val="de-DE"/>
        </w:rPr>
        <w:t>- </w:t>
      </w:r>
      <w:r w:rsidRPr="004676F5">
        <w:rPr>
          <w:b/>
          <w:i/>
          <w:lang w:val="de-DE"/>
        </w:rPr>
        <w:t>Urheberrecht und verwandte Schutzrechte</w:t>
      </w:r>
    </w:p>
    <w:p w14:paraId="3A60A5C0" w14:textId="77777777" w:rsidR="001527B1" w:rsidRPr="004676F5" w:rsidRDefault="001527B1" w:rsidP="001527B1">
      <w:pPr>
        <w:jc w:val="center"/>
        <w:rPr>
          <w:lang w:val="de-DE"/>
        </w:rPr>
      </w:pPr>
    </w:p>
    <w:p w14:paraId="28C38E6B" w14:textId="77777777" w:rsidR="00435B6C" w:rsidRPr="004676F5" w:rsidRDefault="00435B6C" w:rsidP="001527B1">
      <w:pPr>
        <w:jc w:val="center"/>
        <w:rPr>
          <w:lang w:val="de-DE"/>
        </w:rPr>
      </w:pPr>
    </w:p>
    <w:p w14:paraId="713B6646" w14:textId="06ECEC06" w:rsidR="001527B1" w:rsidRPr="004676F5" w:rsidRDefault="001527B1" w:rsidP="001527B1">
      <w:pPr>
        <w:jc w:val="center"/>
        <w:rPr>
          <w:lang w:val="de-DE"/>
        </w:rPr>
      </w:pPr>
      <w:r w:rsidRPr="004676F5">
        <w:rPr>
          <w:lang w:val="de-DE"/>
        </w:rPr>
        <w:t>KAPITEL 1 </w:t>
      </w:r>
      <w:r w:rsidR="005B7A5C" w:rsidRPr="004676F5">
        <w:rPr>
          <w:lang w:val="de-DE"/>
        </w:rPr>
        <w:t>- </w:t>
      </w:r>
      <w:r w:rsidRPr="004676F5">
        <w:rPr>
          <w:i/>
          <w:lang w:val="de-DE"/>
        </w:rPr>
        <w:t>Allgemeines</w:t>
      </w:r>
    </w:p>
    <w:p w14:paraId="0ECF8F9B" w14:textId="77777777" w:rsidR="001527B1" w:rsidRPr="004676F5" w:rsidRDefault="001527B1" w:rsidP="001527B1">
      <w:pPr>
        <w:jc w:val="both"/>
        <w:rPr>
          <w:lang w:val="de-DE"/>
        </w:rPr>
      </w:pPr>
    </w:p>
    <w:p w14:paraId="4BC4F0AB" w14:textId="77777777" w:rsidR="00435B6C" w:rsidRPr="004676F5" w:rsidRDefault="00435B6C" w:rsidP="001527B1">
      <w:pPr>
        <w:jc w:val="both"/>
        <w:rPr>
          <w:lang w:val="de-DE"/>
        </w:rPr>
      </w:pPr>
    </w:p>
    <w:p w14:paraId="5D51B546" w14:textId="62A0791B" w:rsidR="008A719D" w:rsidRPr="004676F5" w:rsidRDefault="008A719D" w:rsidP="008A719D">
      <w:pPr>
        <w:jc w:val="both"/>
        <w:rPr>
          <w:lang w:val="de-DE"/>
        </w:rPr>
      </w:pPr>
      <w:r w:rsidRPr="004676F5">
        <w:rPr>
          <w:b/>
          <w:lang w:val="de-DE"/>
        </w:rPr>
        <w:tab/>
      </w:r>
      <w:r w:rsidR="00BE0A56" w:rsidRPr="004676F5">
        <w:rPr>
          <w:b/>
          <w:lang w:val="de-DE"/>
        </w:rPr>
        <w:t>Art. </w:t>
      </w:r>
      <w:r w:rsidR="001527B1" w:rsidRPr="004676F5">
        <w:rPr>
          <w:b/>
          <w:lang w:val="de-DE"/>
        </w:rPr>
        <w:t>XI.164</w:t>
      </w:r>
      <w:r w:rsidR="001527B1" w:rsidRPr="004676F5">
        <w:rPr>
          <w:lang w:val="de-DE"/>
        </w:rPr>
        <w:t> </w:t>
      </w:r>
      <w:r w:rsidR="005B7A5C" w:rsidRPr="004676F5">
        <w:rPr>
          <w:lang w:val="de-DE"/>
        </w:rPr>
        <w:t>- </w:t>
      </w:r>
      <w:r w:rsidRPr="004676F5">
        <w:rPr>
          <w:lang w:val="de-DE"/>
        </w:rPr>
        <w:t>[Vorliegender Titel setzt folgende Richtlinien um:</w:t>
      </w:r>
    </w:p>
    <w:p w14:paraId="22A42083" w14:textId="77777777" w:rsidR="008A719D" w:rsidRPr="004676F5" w:rsidRDefault="008A719D" w:rsidP="008A719D">
      <w:pPr>
        <w:jc w:val="both"/>
        <w:rPr>
          <w:lang w:val="de-DE"/>
        </w:rPr>
      </w:pPr>
    </w:p>
    <w:p w14:paraId="0D801284" w14:textId="25892239" w:rsidR="008A719D" w:rsidRPr="004676F5" w:rsidRDefault="008A719D" w:rsidP="008A719D">
      <w:pPr>
        <w:jc w:val="both"/>
        <w:rPr>
          <w:lang w:val="de-DE"/>
        </w:rPr>
      </w:pPr>
      <w:r w:rsidRPr="004676F5">
        <w:rPr>
          <w:lang w:val="de-DE"/>
        </w:rPr>
        <w:tab/>
        <w:t>1. Richtlinie 93/83/EWG des Rates vom 27. September 1993 zur Koordinierung bestimmter urheber</w:t>
      </w:r>
      <w:r w:rsidR="005B7A5C" w:rsidRPr="004676F5">
        <w:rPr>
          <w:lang w:val="de-DE"/>
        </w:rPr>
        <w:t>- </w:t>
      </w:r>
      <w:r w:rsidRPr="004676F5">
        <w:rPr>
          <w:lang w:val="de-DE"/>
        </w:rPr>
        <w:t>und leistungsschutzrechtlicher Vorschriften betreffend Satellitenrundfunk und Kabelweiterverbreitung,</w:t>
      </w:r>
    </w:p>
    <w:p w14:paraId="05530C07" w14:textId="77777777" w:rsidR="008A719D" w:rsidRPr="004676F5" w:rsidRDefault="008A719D" w:rsidP="008A719D">
      <w:pPr>
        <w:jc w:val="both"/>
        <w:rPr>
          <w:lang w:val="de-DE"/>
        </w:rPr>
      </w:pPr>
    </w:p>
    <w:p w14:paraId="5E011340" w14:textId="77777777" w:rsidR="008A719D" w:rsidRPr="004676F5" w:rsidRDefault="008A719D" w:rsidP="008A719D">
      <w:pPr>
        <w:jc w:val="both"/>
        <w:rPr>
          <w:lang w:val="de-DE"/>
        </w:rPr>
      </w:pPr>
      <w:r w:rsidRPr="004676F5">
        <w:rPr>
          <w:lang w:val="de-DE"/>
        </w:rPr>
        <w:tab/>
        <w:t>2. Richtlinie 96/9/EG des Europäischen Parlaments und des Rates vom 11. März 1996 über den rechtlichen Schutz von Datenbanken,</w:t>
      </w:r>
    </w:p>
    <w:p w14:paraId="6A4C6C9E" w14:textId="77777777" w:rsidR="008A719D" w:rsidRPr="004676F5" w:rsidRDefault="008A719D" w:rsidP="008A719D">
      <w:pPr>
        <w:jc w:val="both"/>
        <w:rPr>
          <w:lang w:val="de-DE"/>
        </w:rPr>
      </w:pPr>
    </w:p>
    <w:p w14:paraId="10EFD898" w14:textId="77777777" w:rsidR="008A719D" w:rsidRPr="004676F5" w:rsidRDefault="008A719D" w:rsidP="008A719D">
      <w:pPr>
        <w:jc w:val="both"/>
        <w:rPr>
          <w:lang w:val="de-DE"/>
        </w:rPr>
      </w:pPr>
      <w:r w:rsidRPr="004676F5">
        <w:rPr>
          <w:lang w:val="de-DE"/>
        </w:rPr>
        <w:tab/>
        <w:t>3. Richtlinie 2001/29/EG des Europäischen Parlaments und des Rates vom 22. Mai 2001 zur Harmonisierung bestimmter Aspekte des Urheberrechts und der verwandten Schutzrechte in der Informationsgesellschaft,</w:t>
      </w:r>
    </w:p>
    <w:p w14:paraId="5C5507F9" w14:textId="77777777" w:rsidR="008A719D" w:rsidRPr="004676F5" w:rsidRDefault="008A719D" w:rsidP="008A719D">
      <w:pPr>
        <w:jc w:val="both"/>
        <w:rPr>
          <w:lang w:val="de-DE"/>
        </w:rPr>
      </w:pPr>
    </w:p>
    <w:p w14:paraId="451FC39B" w14:textId="77777777" w:rsidR="008A719D" w:rsidRPr="004676F5" w:rsidRDefault="008A719D" w:rsidP="008A719D">
      <w:pPr>
        <w:jc w:val="both"/>
        <w:rPr>
          <w:lang w:val="de-DE"/>
        </w:rPr>
      </w:pPr>
      <w:r w:rsidRPr="004676F5">
        <w:rPr>
          <w:lang w:val="de-DE"/>
        </w:rPr>
        <w:tab/>
        <w:t>4. Richtlinie 2001/84/EG des Europäischen Parlaments und des Rates vom 27. September 2001 über das Folgerecht des Urhebers des Originals eines Kunstwerks,</w:t>
      </w:r>
    </w:p>
    <w:p w14:paraId="6E9FFD94" w14:textId="77777777" w:rsidR="008A719D" w:rsidRPr="004676F5" w:rsidRDefault="008A719D" w:rsidP="008A719D">
      <w:pPr>
        <w:jc w:val="both"/>
        <w:rPr>
          <w:lang w:val="de-DE"/>
        </w:rPr>
      </w:pPr>
    </w:p>
    <w:p w14:paraId="0AD002AA" w14:textId="77777777" w:rsidR="008A719D" w:rsidRPr="004676F5" w:rsidRDefault="008A719D" w:rsidP="008A719D">
      <w:pPr>
        <w:jc w:val="both"/>
        <w:rPr>
          <w:lang w:val="de-DE"/>
        </w:rPr>
      </w:pPr>
      <w:r w:rsidRPr="004676F5">
        <w:rPr>
          <w:lang w:val="de-DE"/>
        </w:rPr>
        <w:tab/>
        <w:t>5. Richtlinie 2006/115/EG des Europäischen Parlaments und des Rates vom 12. Dezember 2006 zum Vermietrecht und Verleihrecht sowie zu bestimmten dem Urheberrecht verwandten Schutzrechten im Bereich des geistigen Eigentums,</w:t>
      </w:r>
    </w:p>
    <w:p w14:paraId="6902FCD0" w14:textId="77777777" w:rsidR="008A719D" w:rsidRPr="004676F5" w:rsidRDefault="008A719D" w:rsidP="008A719D">
      <w:pPr>
        <w:jc w:val="both"/>
        <w:rPr>
          <w:lang w:val="de-DE"/>
        </w:rPr>
      </w:pPr>
    </w:p>
    <w:p w14:paraId="32A99539" w14:textId="77777777" w:rsidR="008A719D" w:rsidRPr="004676F5" w:rsidRDefault="008A719D" w:rsidP="008A719D">
      <w:pPr>
        <w:jc w:val="both"/>
        <w:rPr>
          <w:lang w:val="de-DE"/>
        </w:rPr>
      </w:pPr>
      <w:r w:rsidRPr="004676F5">
        <w:rPr>
          <w:lang w:val="de-DE"/>
        </w:rPr>
        <w:tab/>
        <w:t>6. Richtlinie 2006/116/EG des Europäischen Parlaments und des Rates vom 12. Dezember 2006 über die Schutzdauer des Urheberrechts und bestimmter verwandter Schutzrechte,</w:t>
      </w:r>
    </w:p>
    <w:p w14:paraId="2ECE877F" w14:textId="77777777" w:rsidR="008A719D" w:rsidRPr="004676F5" w:rsidRDefault="008A719D" w:rsidP="008A719D">
      <w:pPr>
        <w:jc w:val="both"/>
        <w:rPr>
          <w:lang w:val="de-DE"/>
        </w:rPr>
      </w:pPr>
    </w:p>
    <w:p w14:paraId="4430DA2B" w14:textId="77777777" w:rsidR="001527B1" w:rsidRPr="004676F5" w:rsidRDefault="008A719D" w:rsidP="008A719D">
      <w:pPr>
        <w:ind w:firstLine="708"/>
        <w:jc w:val="both"/>
        <w:rPr>
          <w:lang w:val="de-DE"/>
        </w:rPr>
      </w:pPr>
      <w:r w:rsidRPr="004676F5">
        <w:rPr>
          <w:lang w:val="de-DE"/>
        </w:rPr>
        <w:t>7. Richtlinie 2012/28/EU des Europäischen Parlaments und des Rates vom 25. Oktober 2012 über bestimmte zulässige Form</w:t>
      </w:r>
      <w:r w:rsidR="00DD2A62" w:rsidRPr="004676F5">
        <w:rPr>
          <w:lang w:val="de-DE"/>
        </w:rPr>
        <w:t>en der Nutzung verwaister Werke,</w:t>
      </w:r>
      <w:r w:rsidRPr="004676F5">
        <w:rPr>
          <w:lang w:val="de-DE"/>
        </w:rPr>
        <w:t>]</w:t>
      </w:r>
    </w:p>
    <w:p w14:paraId="212E84F5" w14:textId="77777777" w:rsidR="00DD2A62" w:rsidRPr="004676F5" w:rsidRDefault="00DD2A62" w:rsidP="008A719D">
      <w:pPr>
        <w:ind w:firstLine="708"/>
        <w:jc w:val="both"/>
        <w:rPr>
          <w:lang w:val="de-DE"/>
        </w:rPr>
      </w:pPr>
    </w:p>
    <w:p w14:paraId="10AF5C9C" w14:textId="333CF5C4" w:rsidR="00DD2A62" w:rsidRPr="004676F5" w:rsidRDefault="00DD2A62" w:rsidP="008A719D">
      <w:pPr>
        <w:ind w:firstLine="708"/>
        <w:jc w:val="both"/>
        <w:rPr>
          <w:lang w:val="de-DE"/>
        </w:rPr>
      </w:pPr>
      <w:r w:rsidRPr="004676F5">
        <w:rPr>
          <w:lang w:val="de-DE"/>
        </w:rPr>
        <w:t>[8. Richtlinie 2014/26/EU des Europäischen Parlaments und des Rates vom 26. Februar 2014 über die kollektive Wahrnehmung von Urheber</w:t>
      </w:r>
      <w:r w:rsidR="005B7A5C" w:rsidRPr="004676F5">
        <w:rPr>
          <w:lang w:val="de-DE"/>
        </w:rPr>
        <w:t>- </w:t>
      </w:r>
      <w:r w:rsidRPr="004676F5">
        <w:rPr>
          <w:lang w:val="de-DE"/>
        </w:rPr>
        <w:t>und verwandten Schutz</w:t>
      </w:r>
      <w:r w:rsidRPr="004676F5">
        <w:rPr>
          <w:lang w:val="de-DE"/>
        </w:rPr>
        <w:softHyphen/>
        <w:t>rechten und die Vergabe von Mehrgebietslizenzen für Rechte an Musikwerken für die Online-Nutzung im Binnenmarkt</w:t>
      </w:r>
      <w:r w:rsidR="00DD0D94" w:rsidRPr="004676F5">
        <w:rPr>
          <w:lang w:val="de-DE"/>
        </w:rPr>
        <w:t>,</w:t>
      </w:r>
      <w:r w:rsidRPr="004676F5">
        <w:rPr>
          <w:lang w:val="de-DE"/>
        </w:rPr>
        <w:t>]</w:t>
      </w:r>
    </w:p>
    <w:p w14:paraId="5805BD97" w14:textId="77777777" w:rsidR="00DD0D94" w:rsidRPr="004676F5" w:rsidRDefault="00DD0D94" w:rsidP="008A719D">
      <w:pPr>
        <w:ind w:firstLine="708"/>
        <w:jc w:val="both"/>
        <w:rPr>
          <w:lang w:val="de-DE"/>
        </w:rPr>
      </w:pPr>
    </w:p>
    <w:p w14:paraId="172B7599" w14:textId="5FCD7D83" w:rsidR="00DD0D94" w:rsidRPr="004676F5" w:rsidRDefault="00DD0D94" w:rsidP="008A719D">
      <w:pPr>
        <w:ind w:firstLine="708"/>
        <w:jc w:val="both"/>
        <w:rPr>
          <w:lang w:val="de-DE"/>
        </w:rPr>
      </w:pPr>
      <w:r w:rsidRPr="004676F5">
        <w:rPr>
          <w:lang w:val="de-DE"/>
        </w:rPr>
        <w:t>[9. Richtlinie 2017/1564/EU des Europäischen Parlaments und des Rates vom 13. September 2017 über bestimmte zulässige Formen der Nutzung bestimmter urheberrechtlich oder durch verwandte Schutzrechte geschützter Werke und sonstiger Schutzgegenstände zugunsten blinder, sehbehinderter oder anderweitig lesebehinderter Personen und zur Änderung der Richtlinie 2001/29/EG zur Harmonisierung bestimmter Aspekte des Urheberrechts und der verwandten Schutzrechte in der Informationsgesellschaft</w:t>
      </w:r>
      <w:r w:rsidR="00DE19D1" w:rsidRPr="004676F5">
        <w:rPr>
          <w:lang w:val="de-DE"/>
        </w:rPr>
        <w:t>,</w:t>
      </w:r>
      <w:r w:rsidRPr="004676F5">
        <w:rPr>
          <w:lang w:val="de-DE"/>
        </w:rPr>
        <w:t>]</w:t>
      </w:r>
    </w:p>
    <w:p w14:paraId="7D4CCDC5" w14:textId="77777777" w:rsidR="00DE19D1" w:rsidRPr="004676F5" w:rsidRDefault="00DE19D1" w:rsidP="008A719D">
      <w:pPr>
        <w:ind w:firstLine="708"/>
        <w:jc w:val="both"/>
        <w:rPr>
          <w:lang w:val="de-DE"/>
        </w:rPr>
      </w:pPr>
    </w:p>
    <w:p w14:paraId="507F4335" w14:textId="42B87F44" w:rsidR="00DE19D1" w:rsidRPr="004676F5" w:rsidRDefault="00DE19D1" w:rsidP="008A719D">
      <w:pPr>
        <w:ind w:firstLine="708"/>
        <w:jc w:val="both"/>
        <w:rPr>
          <w:lang w:val="de-DE"/>
        </w:rPr>
      </w:pPr>
      <w:r w:rsidRPr="004676F5">
        <w:rPr>
          <w:lang w:val="de-DE"/>
        </w:rPr>
        <w:t>[10. Richtlinie (EU) 2019/789 des Europäischen Parlaments und des Rates vom 17. April 2019 mit Vorschriften für die Ausübung von Urheberrechten und verwandten Schutzrechten in Bezug auf bestimmte Online-Übertragungen von Sendeunternehmen und die Weiterverbreitung von Fernseh</w:t>
      </w:r>
      <w:r w:rsidR="005B7A5C" w:rsidRPr="004676F5">
        <w:rPr>
          <w:lang w:val="de-DE"/>
        </w:rPr>
        <w:t>- </w:t>
      </w:r>
      <w:r w:rsidRPr="004676F5">
        <w:rPr>
          <w:lang w:val="de-DE"/>
        </w:rPr>
        <w:t>und Hörfunkprogrammen und zur Änderung der Richtlinie 93/83/EWG des Rates</w:t>
      </w:r>
      <w:r w:rsidR="0073238E" w:rsidRPr="004676F5">
        <w:rPr>
          <w:lang w:val="de-DE"/>
        </w:rPr>
        <w:t>,</w:t>
      </w:r>
      <w:r w:rsidRPr="004676F5">
        <w:rPr>
          <w:lang w:val="de-DE"/>
        </w:rPr>
        <w:t>]</w:t>
      </w:r>
    </w:p>
    <w:p w14:paraId="4E6F6A62" w14:textId="77777777" w:rsidR="0073238E" w:rsidRPr="004676F5" w:rsidRDefault="0073238E" w:rsidP="008A719D">
      <w:pPr>
        <w:ind w:firstLine="708"/>
        <w:jc w:val="both"/>
        <w:rPr>
          <w:lang w:val="de-DE"/>
        </w:rPr>
      </w:pPr>
    </w:p>
    <w:p w14:paraId="794767AA" w14:textId="6623A2F4" w:rsidR="0073238E" w:rsidRPr="004676F5" w:rsidRDefault="0073238E" w:rsidP="008A719D">
      <w:pPr>
        <w:ind w:firstLine="708"/>
        <w:jc w:val="both"/>
        <w:rPr>
          <w:lang w:val="de-DE"/>
        </w:rPr>
      </w:pPr>
      <w:r w:rsidRPr="004676F5">
        <w:rPr>
          <w:lang w:val="de-DE"/>
        </w:rPr>
        <w:lastRenderedPageBreak/>
        <w:t>[11. Richtlinie (EU) 2019/790 des Europäischen Parlaments und des Rates vom 17. April 2019 über das Urheberrecht und die verwandten Schutzrechte im digitalen Binnenmarkt und zur Änderung der Richtlinien 96/9/EG und 2001/29/EG.]</w:t>
      </w:r>
    </w:p>
    <w:p w14:paraId="32808997" w14:textId="77777777" w:rsidR="008A719D" w:rsidRPr="004676F5" w:rsidRDefault="008A719D" w:rsidP="008A719D">
      <w:pPr>
        <w:ind w:firstLine="708"/>
        <w:jc w:val="both"/>
        <w:rPr>
          <w:lang w:val="de-DE"/>
        </w:rPr>
      </w:pPr>
    </w:p>
    <w:p w14:paraId="082B332F" w14:textId="598FBD24" w:rsidR="008A719D" w:rsidRPr="004676F5" w:rsidRDefault="008A719D" w:rsidP="008A719D">
      <w:pPr>
        <w:jc w:val="both"/>
        <w:rPr>
          <w:i/>
          <w:lang w:val="de-DE"/>
        </w:rPr>
      </w:pPr>
      <w:r w:rsidRPr="004676F5">
        <w:rPr>
          <w:i/>
          <w:lang w:val="de-DE"/>
        </w:rPr>
        <w:t>[</w:t>
      </w:r>
      <w:r w:rsidR="00BE0A56" w:rsidRPr="004676F5">
        <w:rPr>
          <w:i/>
          <w:lang w:val="de-DE"/>
        </w:rPr>
        <w:t>Art. </w:t>
      </w:r>
      <w:r w:rsidRPr="004676F5">
        <w:rPr>
          <w:i/>
          <w:lang w:val="de-DE"/>
        </w:rPr>
        <w:t xml:space="preserve">XI.164 ersetzt durch </w:t>
      </w:r>
      <w:r w:rsidR="00BE0A56" w:rsidRPr="004676F5">
        <w:rPr>
          <w:i/>
          <w:lang w:val="de-DE"/>
        </w:rPr>
        <w:t>Art. </w:t>
      </w:r>
      <w:r w:rsidRPr="004676F5">
        <w:rPr>
          <w:i/>
          <w:lang w:val="de-DE"/>
        </w:rPr>
        <w:t>4 des G. vom 20. Juli 2015 (B.S. vom 24. August 2015)</w:t>
      </w:r>
      <w:r w:rsidR="00DD2A62" w:rsidRPr="004676F5">
        <w:rPr>
          <w:i/>
          <w:lang w:val="de-DE"/>
        </w:rPr>
        <w:t xml:space="preserve">; einziger Absatz Nr. 8 eingefügt durch </w:t>
      </w:r>
      <w:r w:rsidR="00BE0A56" w:rsidRPr="004676F5">
        <w:rPr>
          <w:i/>
          <w:lang w:val="de-DE"/>
        </w:rPr>
        <w:t>Art. </w:t>
      </w:r>
      <w:r w:rsidR="00DD2A62" w:rsidRPr="004676F5">
        <w:rPr>
          <w:i/>
          <w:lang w:val="de-DE"/>
        </w:rPr>
        <w:t>3 des G. vom 8. Juni 2017 (B.S. vom 27. Juni 2017)</w:t>
      </w:r>
      <w:r w:rsidR="00DD0D94" w:rsidRPr="004676F5">
        <w:rPr>
          <w:i/>
          <w:lang w:val="de-DE"/>
        </w:rPr>
        <w:t>; einziger Absatz</w:t>
      </w:r>
      <w:r w:rsidR="00DE2C28" w:rsidRPr="004676F5">
        <w:rPr>
          <w:i/>
          <w:lang w:val="de-DE"/>
        </w:rPr>
        <w:t xml:space="preserve"> </w:t>
      </w:r>
      <w:r w:rsidR="00DD0D94" w:rsidRPr="004676F5">
        <w:rPr>
          <w:i/>
          <w:lang w:val="de-DE"/>
        </w:rPr>
        <w:t>Nr. 9 eingefügt durch Art. 3 des G. vom 25. November 2018 (II) (B.S. vom 12. Dezember 2018)</w:t>
      </w:r>
      <w:r w:rsidR="00DE19D1" w:rsidRPr="004676F5">
        <w:rPr>
          <w:i/>
          <w:lang w:val="de-DE"/>
        </w:rPr>
        <w:t>; einziger Absatz Nr. 10 eingefügt durch Art. 3 des G. vom 1. April 2022 (B.S. vom 21. April 2022)</w:t>
      </w:r>
      <w:r w:rsidR="0073238E" w:rsidRPr="004676F5">
        <w:rPr>
          <w:i/>
          <w:lang w:val="de-DE"/>
        </w:rPr>
        <w:t>; einziger Absatz Nr. 11 eingefügt durch Art. 3 des G. vom 19. Juni 2022 (B.S. vom 1. August 2022)</w:t>
      </w:r>
      <w:r w:rsidRPr="004676F5">
        <w:rPr>
          <w:i/>
          <w:lang w:val="de-DE"/>
        </w:rPr>
        <w:t>]</w:t>
      </w:r>
    </w:p>
    <w:p w14:paraId="7C5756EE" w14:textId="77777777" w:rsidR="001527B1" w:rsidRPr="004676F5" w:rsidRDefault="001527B1" w:rsidP="001527B1">
      <w:pPr>
        <w:ind w:firstLine="708"/>
        <w:jc w:val="both"/>
        <w:rPr>
          <w:lang w:val="de-DE"/>
        </w:rPr>
      </w:pPr>
    </w:p>
    <w:p w14:paraId="3DAEE5E4" w14:textId="77777777" w:rsidR="00435B6C" w:rsidRPr="004676F5" w:rsidRDefault="00435B6C" w:rsidP="001527B1">
      <w:pPr>
        <w:jc w:val="center"/>
        <w:rPr>
          <w:lang w:val="de-DE"/>
        </w:rPr>
      </w:pPr>
    </w:p>
    <w:p w14:paraId="79B6385D" w14:textId="77777777" w:rsidR="00435B6C" w:rsidRPr="004676F5" w:rsidRDefault="00435B6C">
      <w:pPr>
        <w:rPr>
          <w:lang w:val="de-DE"/>
        </w:rPr>
      </w:pPr>
      <w:r w:rsidRPr="004676F5">
        <w:rPr>
          <w:lang w:val="de-DE"/>
        </w:rPr>
        <w:br w:type="page"/>
      </w:r>
    </w:p>
    <w:p w14:paraId="5E9D2E23" w14:textId="3730A3F4" w:rsidR="001527B1" w:rsidRPr="004676F5" w:rsidRDefault="001527B1" w:rsidP="001527B1">
      <w:pPr>
        <w:jc w:val="center"/>
        <w:rPr>
          <w:lang w:val="de-DE"/>
        </w:rPr>
      </w:pPr>
      <w:r w:rsidRPr="004676F5">
        <w:rPr>
          <w:lang w:val="de-DE"/>
        </w:rPr>
        <w:lastRenderedPageBreak/>
        <w:t>KAPITEL 2 </w:t>
      </w:r>
      <w:r w:rsidR="005B7A5C" w:rsidRPr="004676F5">
        <w:rPr>
          <w:lang w:val="de-DE"/>
        </w:rPr>
        <w:t>- </w:t>
      </w:r>
      <w:r w:rsidRPr="004676F5">
        <w:rPr>
          <w:i/>
          <w:lang w:val="de-DE"/>
        </w:rPr>
        <w:t>Urheberrecht</w:t>
      </w:r>
    </w:p>
    <w:p w14:paraId="4EFFD359" w14:textId="77777777" w:rsidR="001527B1" w:rsidRPr="004676F5" w:rsidRDefault="001527B1" w:rsidP="001527B1">
      <w:pPr>
        <w:ind w:firstLine="708"/>
        <w:jc w:val="center"/>
        <w:rPr>
          <w:lang w:val="de-DE"/>
        </w:rPr>
      </w:pPr>
    </w:p>
    <w:p w14:paraId="475BE6FB" w14:textId="77777777" w:rsidR="00435B6C" w:rsidRPr="004676F5" w:rsidRDefault="00435B6C" w:rsidP="001527B1">
      <w:pPr>
        <w:ind w:firstLine="708"/>
        <w:jc w:val="center"/>
        <w:rPr>
          <w:lang w:val="de-DE"/>
        </w:rPr>
      </w:pPr>
    </w:p>
    <w:p w14:paraId="2BB9095F" w14:textId="2C1F1FD0" w:rsidR="001527B1" w:rsidRPr="004676F5" w:rsidRDefault="001527B1" w:rsidP="001527B1">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Urheberrecht im Allgemeinen</w:t>
      </w:r>
    </w:p>
    <w:p w14:paraId="74A94159" w14:textId="77777777" w:rsidR="001527B1" w:rsidRPr="004676F5" w:rsidRDefault="001527B1" w:rsidP="001527B1">
      <w:pPr>
        <w:ind w:firstLine="708"/>
        <w:jc w:val="both"/>
        <w:rPr>
          <w:lang w:val="de-DE"/>
        </w:rPr>
      </w:pPr>
    </w:p>
    <w:p w14:paraId="1C3CEA3F" w14:textId="77777777" w:rsidR="00435B6C" w:rsidRPr="004676F5" w:rsidRDefault="00435B6C" w:rsidP="001527B1">
      <w:pPr>
        <w:ind w:firstLine="708"/>
        <w:jc w:val="both"/>
        <w:rPr>
          <w:lang w:val="de-DE"/>
        </w:rPr>
      </w:pPr>
    </w:p>
    <w:p w14:paraId="67F3308D" w14:textId="2680D0A8" w:rsidR="001527B1" w:rsidRPr="004676F5" w:rsidRDefault="00BE0A56" w:rsidP="001527B1">
      <w:pPr>
        <w:ind w:firstLine="708"/>
        <w:jc w:val="both"/>
        <w:rPr>
          <w:lang w:val="de-DE"/>
        </w:rPr>
      </w:pPr>
      <w:r w:rsidRPr="004676F5">
        <w:rPr>
          <w:b/>
          <w:lang w:val="de-DE"/>
        </w:rPr>
        <w:t>Art. </w:t>
      </w:r>
      <w:r w:rsidR="001527B1" w:rsidRPr="004676F5">
        <w:rPr>
          <w:b/>
          <w:lang w:val="de-DE"/>
        </w:rPr>
        <w:t>XI.165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Urheber eines Werkes der Literatur oder der Kunst hat allein das Recht, das Werk unmittelbar oder mittelbar, vorübergehend oder dauerhaft, auf jede Art und Weise und in jeder Form ganz oder teilweise zu vervielfältigen oder dessen Vervielfältigung zu erlauben.</w:t>
      </w:r>
    </w:p>
    <w:p w14:paraId="779A7DDE" w14:textId="77777777" w:rsidR="001527B1" w:rsidRPr="004676F5" w:rsidRDefault="001527B1" w:rsidP="001527B1">
      <w:pPr>
        <w:ind w:firstLine="708"/>
        <w:jc w:val="both"/>
        <w:rPr>
          <w:lang w:val="de-DE"/>
        </w:rPr>
      </w:pPr>
    </w:p>
    <w:p w14:paraId="7CDB9605" w14:textId="77777777" w:rsidR="001527B1" w:rsidRPr="004676F5" w:rsidRDefault="001527B1" w:rsidP="001527B1">
      <w:pPr>
        <w:ind w:firstLine="708"/>
        <w:jc w:val="both"/>
        <w:rPr>
          <w:lang w:val="de-DE"/>
        </w:rPr>
      </w:pPr>
      <w:r w:rsidRPr="004676F5">
        <w:rPr>
          <w:lang w:val="de-DE"/>
        </w:rPr>
        <w:t>Dieses Recht umfasst unter anderem das ausschließliche Recht, Bearbeitung oder Übersetzung des Werkes zu erlauben.</w:t>
      </w:r>
    </w:p>
    <w:p w14:paraId="0F173F12" w14:textId="77777777" w:rsidR="001527B1" w:rsidRPr="004676F5" w:rsidRDefault="001527B1" w:rsidP="001527B1">
      <w:pPr>
        <w:ind w:firstLine="708"/>
        <w:jc w:val="both"/>
        <w:rPr>
          <w:lang w:val="de-DE"/>
        </w:rPr>
      </w:pPr>
    </w:p>
    <w:p w14:paraId="09DB55C2" w14:textId="77777777" w:rsidR="001527B1" w:rsidRPr="004676F5" w:rsidRDefault="001527B1" w:rsidP="001527B1">
      <w:pPr>
        <w:ind w:firstLine="708"/>
        <w:jc w:val="both"/>
        <w:rPr>
          <w:lang w:val="de-DE"/>
        </w:rPr>
      </w:pPr>
      <w:r w:rsidRPr="004676F5">
        <w:rPr>
          <w:lang w:val="de-DE"/>
        </w:rPr>
        <w:t>Dieses Recht umfasst ebenfalls das ausschließliche Recht, Vermietung oder Verleihen des Werkes zu erlauben.</w:t>
      </w:r>
    </w:p>
    <w:p w14:paraId="3E759A24" w14:textId="77777777" w:rsidR="001527B1" w:rsidRPr="004676F5" w:rsidRDefault="001527B1" w:rsidP="001527B1">
      <w:pPr>
        <w:ind w:firstLine="708"/>
        <w:jc w:val="both"/>
        <w:rPr>
          <w:lang w:val="de-DE"/>
        </w:rPr>
      </w:pPr>
    </w:p>
    <w:p w14:paraId="40A7266D" w14:textId="77777777" w:rsidR="001527B1" w:rsidRPr="004676F5" w:rsidRDefault="001527B1" w:rsidP="001527B1">
      <w:pPr>
        <w:ind w:firstLine="708"/>
        <w:jc w:val="both"/>
        <w:rPr>
          <w:lang w:val="de-DE"/>
        </w:rPr>
      </w:pPr>
      <w:r w:rsidRPr="004676F5">
        <w:rPr>
          <w:lang w:val="de-DE"/>
        </w:rPr>
        <w:t>Der Urheber eines Werkes der Literatur oder der Kunst hat allein das Recht, das Werk durch gleich welches Verfahren öffentlich wiederzugeben, einschließlich der öffentlichen Zugänglichmachung in der Weise, dass sie Mitgliedern der Öffentlichkeit von Orten und zu Zeiten ihrer Wahl zugänglich sind.</w:t>
      </w:r>
    </w:p>
    <w:p w14:paraId="677A0B25" w14:textId="77777777" w:rsidR="001527B1" w:rsidRPr="004676F5" w:rsidRDefault="001527B1" w:rsidP="001527B1">
      <w:pPr>
        <w:ind w:firstLine="708"/>
        <w:jc w:val="both"/>
        <w:rPr>
          <w:lang w:val="de-DE"/>
        </w:rPr>
      </w:pPr>
    </w:p>
    <w:p w14:paraId="500A8BB1" w14:textId="77777777" w:rsidR="001527B1" w:rsidRPr="004676F5" w:rsidRDefault="001527B1" w:rsidP="001527B1">
      <w:pPr>
        <w:ind w:firstLine="708"/>
        <w:jc w:val="both"/>
        <w:rPr>
          <w:lang w:val="de-DE"/>
        </w:rPr>
      </w:pPr>
      <w:r w:rsidRPr="004676F5">
        <w:rPr>
          <w:lang w:val="de-DE"/>
        </w:rPr>
        <w:t>Der Urheber eines Werkes der Literatur oder der Kunst hat allein das Recht, in Bezug auf das Original oder auf Vervielfältigungsstücke seiner Werke die Verbreitung an die Öffentlichkeit durch Verkauf oder auf sonstige Weise zu erlauben.</w:t>
      </w:r>
    </w:p>
    <w:p w14:paraId="3F9DEBCE" w14:textId="77777777" w:rsidR="001527B1" w:rsidRPr="004676F5" w:rsidRDefault="001527B1" w:rsidP="001527B1">
      <w:pPr>
        <w:ind w:firstLine="708"/>
        <w:jc w:val="both"/>
        <w:rPr>
          <w:lang w:val="de-DE"/>
        </w:rPr>
      </w:pPr>
    </w:p>
    <w:p w14:paraId="286C03E5" w14:textId="77777777" w:rsidR="001527B1" w:rsidRPr="004676F5" w:rsidRDefault="001527B1" w:rsidP="001527B1">
      <w:pPr>
        <w:ind w:firstLine="708"/>
        <w:jc w:val="both"/>
        <w:rPr>
          <w:lang w:val="de-DE"/>
        </w:rPr>
      </w:pPr>
      <w:r w:rsidRPr="004676F5">
        <w:rPr>
          <w:lang w:val="de-DE"/>
        </w:rPr>
        <w:t>Wenn der Erstverkauf des Originals oder von Vervielfältigungsstücken eines Werkes der Kunst oder der Literatur oder eine andere erstmalige Eigentumsübertragung in der Europäischen Union durch den Urheber oder mit dessen Zustimmung erfolgt, erschöpft sich das Verbreitungsrecht in Bezug auf dieses Original oder Vervielfältigungsstück in der Europäischen Union.</w:t>
      </w:r>
    </w:p>
    <w:p w14:paraId="52DE3BA9" w14:textId="77777777" w:rsidR="001527B1" w:rsidRPr="004676F5" w:rsidRDefault="001527B1" w:rsidP="001527B1">
      <w:pPr>
        <w:ind w:firstLine="708"/>
        <w:jc w:val="both"/>
        <w:rPr>
          <w:lang w:val="de-DE"/>
        </w:rPr>
      </w:pPr>
    </w:p>
    <w:p w14:paraId="32A3A992" w14:textId="1D4E8BF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Urheber eines Werkes der Literatur oder der Kunst hat ein unveräußerliches Urheberpersönlichkeitsrecht an diesem Werk.</w:t>
      </w:r>
    </w:p>
    <w:p w14:paraId="4BAD2473" w14:textId="77777777" w:rsidR="001527B1" w:rsidRPr="004676F5" w:rsidRDefault="001527B1" w:rsidP="001527B1">
      <w:pPr>
        <w:ind w:firstLine="708"/>
        <w:jc w:val="both"/>
        <w:rPr>
          <w:lang w:val="de-DE"/>
        </w:rPr>
      </w:pPr>
    </w:p>
    <w:p w14:paraId="4C5C2485" w14:textId="77777777" w:rsidR="001527B1" w:rsidRPr="004676F5" w:rsidRDefault="001527B1" w:rsidP="001527B1">
      <w:pPr>
        <w:ind w:firstLine="708"/>
        <w:jc w:val="both"/>
        <w:rPr>
          <w:lang w:val="de-DE"/>
        </w:rPr>
      </w:pPr>
      <w:r w:rsidRPr="004676F5">
        <w:rPr>
          <w:lang w:val="de-DE"/>
        </w:rPr>
        <w:t>Der Gesamtverzicht auf die künftige Ausübung dieses Rechts ist nichtig.</w:t>
      </w:r>
    </w:p>
    <w:p w14:paraId="05F1ECDE" w14:textId="77777777" w:rsidR="001527B1" w:rsidRPr="004676F5" w:rsidRDefault="001527B1" w:rsidP="001527B1">
      <w:pPr>
        <w:ind w:firstLine="708"/>
        <w:jc w:val="both"/>
        <w:rPr>
          <w:lang w:val="de-DE"/>
        </w:rPr>
      </w:pPr>
    </w:p>
    <w:p w14:paraId="2D18BF5D" w14:textId="77777777" w:rsidR="001527B1" w:rsidRPr="004676F5" w:rsidRDefault="001527B1" w:rsidP="001527B1">
      <w:pPr>
        <w:ind w:firstLine="708"/>
        <w:jc w:val="both"/>
        <w:rPr>
          <w:lang w:val="de-DE"/>
        </w:rPr>
      </w:pPr>
      <w:r w:rsidRPr="004676F5">
        <w:rPr>
          <w:lang w:val="de-DE"/>
        </w:rPr>
        <w:t>Dieses Recht umfasst ebenfalls das Recht, das Werk zu veröffentlichen.</w:t>
      </w:r>
    </w:p>
    <w:p w14:paraId="29722DE6" w14:textId="77777777" w:rsidR="001527B1" w:rsidRPr="004676F5" w:rsidRDefault="001527B1" w:rsidP="001527B1">
      <w:pPr>
        <w:ind w:firstLine="708"/>
        <w:jc w:val="both"/>
        <w:rPr>
          <w:lang w:val="de-DE"/>
        </w:rPr>
      </w:pPr>
    </w:p>
    <w:p w14:paraId="1C57A59A" w14:textId="77777777" w:rsidR="001527B1" w:rsidRPr="004676F5" w:rsidRDefault="001527B1" w:rsidP="001527B1">
      <w:pPr>
        <w:ind w:firstLine="708"/>
        <w:jc w:val="both"/>
        <w:rPr>
          <w:lang w:val="de-DE"/>
        </w:rPr>
      </w:pPr>
      <w:r w:rsidRPr="004676F5">
        <w:rPr>
          <w:lang w:val="de-DE"/>
        </w:rPr>
        <w:t>Unveröffentlichte Werke sind unpfändbar.</w:t>
      </w:r>
    </w:p>
    <w:p w14:paraId="6978BEA3" w14:textId="77777777" w:rsidR="001527B1" w:rsidRPr="004676F5" w:rsidRDefault="001527B1" w:rsidP="001527B1">
      <w:pPr>
        <w:ind w:firstLine="708"/>
        <w:jc w:val="both"/>
        <w:rPr>
          <w:lang w:val="de-DE"/>
        </w:rPr>
      </w:pPr>
    </w:p>
    <w:p w14:paraId="58366E2C" w14:textId="77777777" w:rsidR="001527B1" w:rsidRPr="004676F5" w:rsidRDefault="001527B1" w:rsidP="001527B1">
      <w:pPr>
        <w:ind w:firstLine="708"/>
        <w:jc w:val="both"/>
        <w:rPr>
          <w:lang w:val="de-DE"/>
        </w:rPr>
      </w:pPr>
      <w:r w:rsidRPr="004676F5">
        <w:rPr>
          <w:lang w:val="de-DE"/>
        </w:rPr>
        <w:t>Der Urheber hat das Recht, die Urheberschaft an einem Werk zu beanspruchen oder abzulehnen.</w:t>
      </w:r>
    </w:p>
    <w:p w14:paraId="3B2D6A99" w14:textId="77777777" w:rsidR="001527B1" w:rsidRPr="004676F5" w:rsidRDefault="001527B1" w:rsidP="001527B1">
      <w:pPr>
        <w:ind w:firstLine="708"/>
        <w:jc w:val="both"/>
        <w:rPr>
          <w:lang w:val="de-DE"/>
        </w:rPr>
      </w:pPr>
    </w:p>
    <w:p w14:paraId="585F368A" w14:textId="77777777" w:rsidR="001527B1" w:rsidRPr="004676F5" w:rsidRDefault="001527B1" w:rsidP="001527B1">
      <w:pPr>
        <w:ind w:firstLine="708"/>
        <w:jc w:val="both"/>
        <w:rPr>
          <w:lang w:val="de-DE"/>
        </w:rPr>
      </w:pPr>
      <w:r w:rsidRPr="004676F5">
        <w:rPr>
          <w:lang w:val="de-DE"/>
        </w:rPr>
        <w:t>Er hat das Recht auf Achtung seines Werkes, weswegen er sich jeder Änderung des Werkes widersetzen kann.</w:t>
      </w:r>
    </w:p>
    <w:p w14:paraId="57BC267F" w14:textId="77777777" w:rsidR="001527B1" w:rsidRPr="004676F5" w:rsidRDefault="001527B1" w:rsidP="001527B1">
      <w:pPr>
        <w:ind w:firstLine="708"/>
        <w:jc w:val="both"/>
        <w:rPr>
          <w:lang w:val="de-DE"/>
        </w:rPr>
      </w:pPr>
    </w:p>
    <w:p w14:paraId="681DB239" w14:textId="77777777" w:rsidR="001527B1" w:rsidRPr="004676F5" w:rsidRDefault="001527B1" w:rsidP="001527B1">
      <w:pPr>
        <w:ind w:firstLine="708"/>
        <w:jc w:val="both"/>
        <w:rPr>
          <w:lang w:val="de-DE"/>
        </w:rPr>
      </w:pPr>
      <w:r w:rsidRPr="004676F5">
        <w:rPr>
          <w:lang w:val="de-DE"/>
        </w:rPr>
        <w:t>Ungeachtet jeglichen Verzichts behält er das Recht, sich einer Entstellung, Verstümmelung oder anderen Änderung dieses Werkes oder einer anderen Beeinträchtigung des Werkes, die seine Ehre verletzen oder seinem Ansehen schaden kann, zu widersetzen.</w:t>
      </w:r>
    </w:p>
    <w:p w14:paraId="564B179D" w14:textId="77777777" w:rsidR="001527B1" w:rsidRPr="004676F5" w:rsidRDefault="001527B1" w:rsidP="001527B1">
      <w:pPr>
        <w:ind w:firstLine="708"/>
        <w:jc w:val="both"/>
        <w:rPr>
          <w:lang w:val="de-DE"/>
        </w:rPr>
      </w:pPr>
    </w:p>
    <w:p w14:paraId="19D5B2E3" w14:textId="77777777" w:rsidR="00435B6C" w:rsidRPr="004676F5" w:rsidRDefault="00435B6C" w:rsidP="001527B1">
      <w:pPr>
        <w:ind w:firstLine="708"/>
        <w:jc w:val="both"/>
        <w:rPr>
          <w:lang w:val="de-DE"/>
        </w:rPr>
      </w:pPr>
    </w:p>
    <w:p w14:paraId="363C6191" w14:textId="7290D219"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XI.166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Urheberrecht bleibt siebzig Jahre nach dem Tod des Urhebers bestehen, und zwar gemäß Artikel XI.171 zugunsten der Person, die der Urheber zu diesem Zweck bestimmt hat, beziehungsweise andernfalls zugunsten seiner Erben.</w:t>
      </w:r>
    </w:p>
    <w:p w14:paraId="4577CCDF" w14:textId="77777777" w:rsidR="001527B1" w:rsidRPr="004676F5" w:rsidRDefault="001527B1" w:rsidP="001527B1">
      <w:pPr>
        <w:ind w:firstLine="708"/>
        <w:jc w:val="both"/>
        <w:rPr>
          <w:lang w:val="de-DE"/>
        </w:rPr>
      </w:pPr>
    </w:p>
    <w:p w14:paraId="1FFB4EA5" w14:textId="76DC02FE"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Unbeschadet der Absätze 2 und 3 des vorliegenden Paragraphen steht das Urheberrecht an einem Werk, das von mehreren Personen gemeinsam geschaffen worden ist, allen Rechtsnachfolgern bis siebzig Jahre nach dem Tod des längstlebenden Miturhebers zu.</w:t>
      </w:r>
    </w:p>
    <w:p w14:paraId="0704DC4C" w14:textId="77777777" w:rsidR="001527B1" w:rsidRPr="004676F5" w:rsidRDefault="001527B1" w:rsidP="001527B1">
      <w:pPr>
        <w:jc w:val="both"/>
        <w:rPr>
          <w:lang w:val="de-DE"/>
        </w:rPr>
      </w:pPr>
    </w:p>
    <w:p w14:paraId="6084069B" w14:textId="77777777" w:rsidR="001527B1" w:rsidRPr="004676F5" w:rsidRDefault="001527B1" w:rsidP="001527B1">
      <w:pPr>
        <w:ind w:firstLine="708"/>
        <w:jc w:val="both"/>
        <w:rPr>
          <w:lang w:val="de-DE"/>
        </w:rPr>
      </w:pPr>
      <w:r w:rsidRPr="004676F5">
        <w:rPr>
          <w:lang w:val="de-DE"/>
        </w:rPr>
        <w:t>Die Schutzdauer für ein audiovisuelles Werk erlischt siebzig Jahre nach dem Tod des Längstlebenden der folgenden Personen: Hauptregisseur, Urheber des Drehbuches, Urheber der Texte und Komponist der speziell für das betreffende Werk komponierten Musik mit oder ohne Text.</w:t>
      </w:r>
    </w:p>
    <w:p w14:paraId="43FE4E96" w14:textId="77777777" w:rsidR="001527B1" w:rsidRPr="004676F5" w:rsidRDefault="001527B1" w:rsidP="001527B1">
      <w:pPr>
        <w:ind w:firstLine="708"/>
        <w:jc w:val="both"/>
        <w:rPr>
          <w:lang w:val="de-DE"/>
        </w:rPr>
      </w:pPr>
    </w:p>
    <w:p w14:paraId="0E19A803" w14:textId="4866AC5B" w:rsidR="001527B1" w:rsidRPr="004676F5" w:rsidRDefault="001527B1" w:rsidP="001527B1">
      <w:pPr>
        <w:ind w:firstLine="708"/>
        <w:jc w:val="both"/>
        <w:rPr>
          <w:lang w:val="de-DE"/>
        </w:rPr>
      </w:pPr>
      <w:r w:rsidRPr="004676F5">
        <w:rPr>
          <w:lang w:val="de-DE"/>
        </w:rPr>
        <w:t xml:space="preserve">Die Schutzdauer für eine Musikkomposition mit Text erlischt </w:t>
      </w:r>
      <w:r w:rsidR="005B7A5C" w:rsidRPr="004676F5">
        <w:rPr>
          <w:lang w:val="de-DE"/>
        </w:rPr>
        <w:t>- </w:t>
      </w:r>
      <w:r w:rsidRPr="004676F5">
        <w:rPr>
          <w:lang w:val="de-DE"/>
        </w:rPr>
        <w:t>unabhängig von den ausgewiesenen Miturhebern </w:t>
      </w:r>
      <w:r w:rsidR="005B7A5C" w:rsidRPr="004676F5">
        <w:rPr>
          <w:lang w:val="de-DE"/>
        </w:rPr>
        <w:t>- </w:t>
      </w:r>
      <w:r w:rsidRPr="004676F5">
        <w:rPr>
          <w:lang w:val="de-DE"/>
        </w:rPr>
        <w:t>siebzig Jahre nach dem Tod des Längstlebenden folgender Personen: Verfasser des Textes und Komponist der Musikkomposition, sofern beide Beiträge eigens für die betreffende Musikkomposition mit Text geschaffen wurden.</w:t>
      </w:r>
    </w:p>
    <w:p w14:paraId="094F3490" w14:textId="77777777" w:rsidR="001527B1" w:rsidRPr="004676F5" w:rsidRDefault="001527B1" w:rsidP="001527B1">
      <w:pPr>
        <w:ind w:firstLine="708"/>
        <w:jc w:val="both"/>
        <w:rPr>
          <w:lang w:val="de-DE"/>
        </w:rPr>
      </w:pPr>
    </w:p>
    <w:p w14:paraId="3EA03801" w14:textId="5984FB9C"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Für anonyme und pseudonyme Werke endet die Dauer des Urheberrechts siebzig Jahre nach dem Zeitpunkt, an dem das Werk erlaubterweise der Öffentlichkeit zugänglich gemacht worden ist.</w:t>
      </w:r>
    </w:p>
    <w:p w14:paraId="239140FA" w14:textId="77777777" w:rsidR="001527B1" w:rsidRPr="004676F5" w:rsidRDefault="001527B1" w:rsidP="001527B1">
      <w:pPr>
        <w:ind w:firstLine="708"/>
        <w:jc w:val="both"/>
        <w:rPr>
          <w:lang w:val="de-DE"/>
        </w:rPr>
      </w:pPr>
    </w:p>
    <w:p w14:paraId="16767CA8" w14:textId="77777777" w:rsidR="001527B1" w:rsidRPr="004676F5" w:rsidRDefault="001527B1" w:rsidP="001527B1">
      <w:pPr>
        <w:ind w:firstLine="708"/>
        <w:jc w:val="both"/>
        <w:rPr>
          <w:lang w:val="de-DE"/>
        </w:rPr>
      </w:pPr>
      <w:r w:rsidRPr="004676F5">
        <w:rPr>
          <w:lang w:val="de-DE"/>
        </w:rPr>
        <w:t>Wenn jedoch das vom Urheber angenommene Pseudonym keinerlei Zweifel über die Identität des Urhebers zulässt oder wenn der Urheber innerhalb der im vorhergehenden Absatz erwähnten Frist seine Identität offenbart, richtet sich die Schutzdauer nach § 1.</w:t>
      </w:r>
    </w:p>
    <w:p w14:paraId="5A98F798" w14:textId="77777777" w:rsidR="001527B1" w:rsidRPr="004676F5" w:rsidRDefault="001527B1" w:rsidP="001527B1">
      <w:pPr>
        <w:ind w:firstLine="708"/>
        <w:jc w:val="both"/>
        <w:rPr>
          <w:lang w:val="de-DE"/>
        </w:rPr>
      </w:pPr>
    </w:p>
    <w:p w14:paraId="395F75C2" w14:textId="77777777" w:rsidR="001527B1" w:rsidRPr="004676F5" w:rsidRDefault="001527B1" w:rsidP="001527B1">
      <w:pPr>
        <w:ind w:firstLine="708"/>
        <w:jc w:val="both"/>
        <w:rPr>
          <w:lang w:val="de-DE"/>
        </w:rPr>
      </w:pPr>
      <w:r w:rsidRPr="004676F5">
        <w:rPr>
          <w:lang w:val="de-DE"/>
        </w:rPr>
        <w:t>Für anonyme und pseudonyme Werke, die nicht innerhalb siebzig Jahren nach ihrer Schaffung erlaubterweise der Öffentlichkeit zugänglich gemacht worden sind, endet der Schutz bei Ablauf dieser Frist.</w:t>
      </w:r>
    </w:p>
    <w:p w14:paraId="1E3570C4" w14:textId="77777777" w:rsidR="001527B1" w:rsidRPr="004676F5" w:rsidRDefault="001527B1" w:rsidP="001527B1">
      <w:pPr>
        <w:ind w:firstLine="708"/>
        <w:jc w:val="both"/>
        <w:rPr>
          <w:lang w:val="de-DE"/>
        </w:rPr>
      </w:pPr>
    </w:p>
    <w:p w14:paraId="0333C827" w14:textId="130DDEBB"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Für Werke, die in mehreren Bänden, Teilen, Lieferungen, Nummern oder Episoden veröffentlicht werden und für die die Frist von siebzig Jahren ab dem Zeitpunkt zu laufen beginnt, zu dem das Werk der Öffentlichkeit zugänglich gemacht worden ist, beginnt die Schutzdauer für jeden Bestandteil einzeln.</w:t>
      </w:r>
    </w:p>
    <w:p w14:paraId="74923570" w14:textId="77777777" w:rsidR="001527B1" w:rsidRPr="004676F5" w:rsidRDefault="001527B1" w:rsidP="001527B1">
      <w:pPr>
        <w:ind w:firstLine="708"/>
        <w:jc w:val="both"/>
        <w:rPr>
          <w:lang w:val="de-DE"/>
        </w:rPr>
      </w:pPr>
    </w:p>
    <w:p w14:paraId="28190F83" w14:textId="5B37F905"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Die Schutzdauer für Fotografien, die Originalwerke in dem Sinne darstellen, dass sie das Ergebnis der eigenen geistigen Schöpfung ihres Urhebers sind, wird gemäß den vorhergehenden Paragraphen festgelegt.</w:t>
      </w:r>
    </w:p>
    <w:p w14:paraId="6474EEE0" w14:textId="77777777" w:rsidR="001527B1" w:rsidRPr="004676F5" w:rsidRDefault="001527B1" w:rsidP="001527B1">
      <w:pPr>
        <w:ind w:firstLine="708"/>
        <w:jc w:val="both"/>
        <w:rPr>
          <w:lang w:val="de-DE"/>
        </w:rPr>
      </w:pPr>
    </w:p>
    <w:p w14:paraId="74FD02DB" w14:textId="2DDBC5F6" w:rsidR="001527B1" w:rsidRPr="004676F5" w:rsidRDefault="001527B1" w:rsidP="001527B1">
      <w:pPr>
        <w:ind w:firstLine="708"/>
        <w:jc w:val="both"/>
        <w:rPr>
          <w:lang w:val="de-DE"/>
        </w:rPr>
      </w:pPr>
      <w:r w:rsidRPr="004676F5">
        <w:rPr>
          <w:lang w:val="de-DE"/>
        </w:rPr>
        <w:t>§ 6 </w:t>
      </w:r>
      <w:r w:rsidR="005B7A5C" w:rsidRPr="004676F5">
        <w:rPr>
          <w:lang w:val="de-DE"/>
        </w:rPr>
        <w:t>- </w:t>
      </w:r>
      <w:r w:rsidRPr="004676F5">
        <w:rPr>
          <w:lang w:val="de-DE"/>
        </w:rPr>
        <w:t>Wer ein zuvor unveröffentlichtes Werk, dessen urheberrechtlicher Schutz abge</w:t>
      </w:r>
      <w:r w:rsidRPr="004676F5">
        <w:rPr>
          <w:lang w:val="de-DE"/>
        </w:rPr>
        <w:softHyphen/>
        <w:t>laufen ist, erstmals erlaubterweise veröffentlicht beziehungsweise erlaubterweise öffentlich wiedergibt, genießt einen den vermögensrechtlichen Befugnissen des Urhebers entsprechen</w:t>
      </w:r>
      <w:r w:rsidRPr="004676F5">
        <w:rPr>
          <w:lang w:val="de-DE"/>
        </w:rPr>
        <w:softHyphen/>
        <w:t>den Schutz. Die Schutzdauer für solche Rechte beträgt fünfundzwanzig Jahre ab dem Zeitpunkt, zu dem das Werk erstmals erlaubterweise veröffentlicht oder erlaubterweise öffentlich wiedergegeben worden ist.</w:t>
      </w:r>
    </w:p>
    <w:p w14:paraId="29637296" w14:textId="77777777" w:rsidR="001527B1" w:rsidRPr="004676F5" w:rsidRDefault="001527B1" w:rsidP="001527B1">
      <w:pPr>
        <w:ind w:firstLine="708"/>
        <w:jc w:val="both"/>
        <w:rPr>
          <w:lang w:val="de-DE"/>
        </w:rPr>
      </w:pPr>
    </w:p>
    <w:p w14:paraId="672FB50A" w14:textId="18D17C00" w:rsidR="001527B1" w:rsidRPr="004676F5" w:rsidRDefault="001527B1" w:rsidP="001527B1">
      <w:pPr>
        <w:ind w:firstLine="708"/>
        <w:jc w:val="both"/>
        <w:rPr>
          <w:lang w:val="de-DE"/>
        </w:rPr>
      </w:pPr>
      <w:r w:rsidRPr="004676F5">
        <w:rPr>
          <w:lang w:val="de-DE"/>
        </w:rPr>
        <w:t>§ 7 </w:t>
      </w:r>
      <w:r w:rsidR="005B7A5C" w:rsidRPr="004676F5">
        <w:rPr>
          <w:lang w:val="de-DE"/>
        </w:rPr>
        <w:t>- </w:t>
      </w:r>
      <w:r w:rsidRPr="004676F5">
        <w:rPr>
          <w:lang w:val="de-DE"/>
        </w:rPr>
        <w:t>In vorliegendem Artikel erwähnte Fristen werden vom 1. Januar des Jahres an berechnet, das auf das für den Beginn der Frist maßgebende Ereignis folgt.</w:t>
      </w:r>
    </w:p>
    <w:p w14:paraId="2C412497" w14:textId="77777777" w:rsidR="001527B1" w:rsidRPr="004676F5" w:rsidRDefault="001527B1" w:rsidP="001527B1">
      <w:pPr>
        <w:ind w:firstLine="708"/>
        <w:jc w:val="both"/>
        <w:rPr>
          <w:lang w:val="de-DE"/>
        </w:rPr>
      </w:pPr>
    </w:p>
    <w:p w14:paraId="5A25742B" w14:textId="77777777" w:rsidR="00435B6C" w:rsidRPr="004676F5" w:rsidRDefault="00435B6C" w:rsidP="001527B1">
      <w:pPr>
        <w:ind w:firstLine="708"/>
        <w:jc w:val="both"/>
        <w:rPr>
          <w:lang w:val="de-DE"/>
        </w:rPr>
      </w:pPr>
    </w:p>
    <w:p w14:paraId="69E6821D" w14:textId="16BF3A80" w:rsidR="001527B1" w:rsidRPr="004676F5" w:rsidRDefault="00BE0A56" w:rsidP="001527B1">
      <w:pPr>
        <w:ind w:firstLine="708"/>
        <w:jc w:val="both"/>
        <w:rPr>
          <w:lang w:val="de-DE"/>
        </w:rPr>
      </w:pPr>
      <w:r w:rsidRPr="004676F5">
        <w:rPr>
          <w:b/>
          <w:lang w:val="de-DE"/>
        </w:rPr>
        <w:t>Art. </w:t>
      </w:r>
      <w:r w:rsidR="001527B1" w:rsidRPr="004676F5">
        <w:rPr>
          <w:b/>
          <w:lang w:val="de-DE"/>
        </w:rPr>
        <w:t>XI.167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Vermögensrechtliche Befugnisse gelten als bewegliche Rechte, sie sind gemäß den Bestimmungen des Zivilgesetzbuches ganz oder teilweise abtretbar und </w:t>
      </w:r>
      <w:r w:rsidR="001527B1" w:rsidRPr="004676F5">
        <w:rPr>
          <w:lang w:val="de-DE"/>
        </w:rPr>
        <w:lastRenderedPageBreak/>
        <w:t xml:space="preserve">übertragbar. Sie können unter anderem </w:t>
      </w:r>
      <w:r w:rsidR="0073238E" w:rsidRPr="004676F5">
        <w:rPr>
          <w:lang w:val="de-DE"/>
        </w:rPr>
        <w:t>[abgetreten]</w:t>
      </w:r>
      <w:r w:rsidR="001527B1" w:rsidRPr="004676F5">
        <w:rPr>
          <w:lang w:val="de-DE"/>
        </w:rPr>
        <w:t xml:space="preserve"> werden oder Gegenstand einer einfachen oder ausschließlichen Lizenz sein.</w:t>
      </w:r>
    </w:p>
    <w:p w14:paraId="4B1A9356" w14:textId="77777777" w:rsidR="001527B1" w:rsidRPr="004676F5" w:rsidRDefault="001527B1" w:rsidP="001527B1">
      <w:pPr>
        <w:ind w:firstLine="708"/>
        <w:jc w:val="both"/>
        <w:rPr>
          <w:lang w:val="de-DE"/>
        </w:rPr>
      </w:pPr>
    </w:p>
    <w:p w14:paraId="55932D4C" w14:textId="77777777" w:rsidR="001527B1" w:rsidRPr="004676F5" w:rsidRDefault="001527B1" w:rsidP="001527B1">
      <w:pPr>
        <w:ind w:firstLine="708"/>
        <w:jc w:val="both"/>
        <w:rPr>
          <w:lang w:val="de-DE"/>
        </w:rPr>
      </w:pPr>
      <w:r w:rsidRPr="004676F5">
        <w:rPr>
          <w:lang w:val="de-DE"/>
        </w:rPr>
        <w:t>Was den Urheber betrifft, werden alle Verträge schriftlich nachgewiesen.</w:t>
      </w:r>
    </w:p>
    <w:p w14:paraId="0A3D9B66" w14:textId="77777777" w:rsidR="001527B1" w:rsidRPr="004676F5" w:rsidRDefault="001527B1" w:rsidP="001527B1">
      <w:pPr>
        <w:ind w:firstLine="708"/>
        <w:jc w:val="both"/>
        <w:rPr>
          <w:lang w:val="de-DE"/>
        </w:rPr>
      </w:pPr>
    </w:p>
    <w:p w14:paraId="787F42E9" w14:textId="77777777" w:rsidR="001527B1" w:rsidRPr="004676F5" w:rsidRDefault="001527B1" w:rsidP="001527B1">
      <w:pPr>
        <w:ind w:firstLine="708"/>
        <w:jc w:val="both"/>
        <w:rPr>
          <w:lang w:val="de-DE"/>
        </w:rPr>
      </w:pPr>
      <w:r w:rsidRPr="004676F5">
        <w:rPr>
          <w:lang w:val="de-DE"/>
        </w:rPr>
        <w:t>Vertragsbestimmungen in Bezug auf das Urheberrecht und dessen Nutzungsarten sind restriktiv zu interpretieren. Die Abtretung des Gegenstands, der ein Werk umfasst, bringt nicht das Recht mit sich, dieses Werk zu nutzen; der Urheber muss auf annehmbare Weise Zugang zu seinem Werk haben, um seine vermögensrechtlichen Befugnisse ausüben zu können.</w:t>
      </w:r>
    </w:p>
    <w:p w14:paraId="4536E0F3" w14:textId="77777777" w:rsidR="001527B1" w:rsidRPr="004676F5" w:rsidRDefault="001527B1" w:rsidP="001527B1">
      <w:pPr>
        <w:ind w:firstLine="708"/>
        <w:jc w:val="both"/>
        <w:rPr>
          <w:lang w:val="de-DE"/>
        </w:rPr>
      </w:pPr>
    </w:p>
    <w:p w14:paraId="6560B14D" w14:textId="0A3BF5C5" w:rsidR="001527B1" w:rsidRPr="004676F5" w:rsidRDefault="001527B1" w:rsidP="001527B1">
      <w:pPr>
        <w:ind w:firstLine="708"/>
        <w:jc w:val="both"/>
        <w:rPr>
          <w:lang w:val="de-DE"/>
        </w:rPr>
      </w:pPr>
      <w:r w:rsidRPr="004676F5">
        <w:rPr>
          <w:lang w:val="de-DE"/>
        </w:rPr>
        <w:t xml:space="preserve">Für jede Nutzungsart müssen Vergütung des Urhebers und Umfang und Dauer der Abtretung </w:t>
      </w:r>
      <w:r w:rsidR="0073238E" w:rsidRPr="004676F5">
        <w:rPr>
          <w:lang w:val="de-DE"/>
        </w:rPr>
        <w:t xml:space="preserve">[oder der Lizenz] </w:t>
      </w:r>
      <w:r w:rsidRPr="004676F5">
        <w:rPr>
          <w:lang w:val="de-DE"/>
        </w:rPr>
        <w:t>ausdrücklich bestimmt werden.</w:t>
      </w:r>
    </w:p>
    <w:p w14:paraId="497ECDCF" w14:textId="77777777" w:rsidR="001527B1" w:rsidRPr="004676F5" w:rsidRDefault="001527B1" w:rsidP="001527B1">
      <w:pPr>
        <w:ind w:firstLine="708"/>
        <w:jc w:val="both"/>
        <w:rPr>
          <w:lang w:val="de-DE"/>
        </w:rPr>
      </w:pPr>
    </w:p>
    <w:p w14:paraId="20AA5B30" w14:textId="0537AE2A" w:rsidR="001527B1" w:rsidRPr="004676F5" w:rsidRDefault="0073238E" w:rsidP="001527B1">
      <w:pPr>
        <w:ind w:firstLine="708"/>
        <w:jc w:val="both"/>
        <w:rPr>
          <w:lang w:val="de-DE"/>
        </w:rPr>
      </w:pPr>
      <w:r w:rsidRPr="004676F5">
        <w:rPr>
          <w:lang w:val="de-DE"/>
        </w:rPr>
        <w:t xml:space="preserve">[Die Person, der die Rechte abgetreten wurden, oder der Lizenznehmer] </w:t>
      </w:r>
      <w:r w:rsidR="001527B1" w:rsidRPr="004676F5">
        <w:rPr>
          <w:lang w:val="de-DE"/>
        </w:rPr>
        <w:t>muss gewährleisten, dass das Werk gemäß den anständigen Berufsgepflogenheiten genutzt wird.</w:t>
      </w:r>
    </w:p>
    <w:p w14:paraId="427903E0" w14:textId="77777777" w:rsidR="001527B1" w:rsidRPr="004676F5" w:rsidRDefault="001527B1" w:rsidP="001527B1">
      <w:pPr>
        <w:ind w:firstLine="708"/>
        <w:jc w:val="both"/>
        <w:rPr>
          <w:lang w:val="de-DE"/>
        </w:rPr>
      </w:pPr>
    </w:p>
    <w:p w14:paraId="37966E22" w14:textId="2F31EF9E" w:rsidR="001527B1" w:rsidRPr="004676F5" w:rsidRDefault="001527B1" w:rsidP="001527B1">
      <w:pPr>
        <w:ind w:firstLine="708"/>
        <w:jc w:val="both"/>
        <w:rPr>
          <w:lang w:val="de-DE"/>
        </w:rPr>
      </w:pPr>
      <w:r w:rsidRPr="004676F5">
        <w:rPr>
          <w:lang w:val="de-DE"/>
        </w:rPr>
        <w:t xml:space="preserve">Ungeachtet jeder anders lautenden Bestimmung ist die Abtretung von Rechten </w:t>
      </w:r>
      <w:r w:rsidR="0073238E" w:rsidRPr="004676F5">
        <w:rPr>
          <w:lang w:val="de-DE"/>
        </w:rPr>
        <w:t xml:space="preserve">[oder die Erteilung einer Lizenz] </w:t>
      </w:r>
      <w:r w:rsidRPr="004676F5">
        <w:rPr>
          <w:lang w:val="de-DE"/>
        </w:rPr>
        <w:t>in Bezug auf noch unbekannte Nutzungsarten nichtig.</w:t>
      </w:r>
    </w:p>
    <w:p w14:paraId="210BEC50" w14:textId="77777777" w:rsidR="001527B1" w:rsidRPr="004676F5" w:rsidRDefault="001527B1" w:rsidP="001527B1">
      <w:pPr>
        <w:ind w:firstLine="708"/>
        <w:jc w:val="both"/>
        <w:rPr>
          <w:lang w:val="de-DE"/>
        </w:rPr>
      </w:pPr>
    </w:p>
    <w:p w14:paraId="61758A5C" w14:textId="00ADB4CC" w:rsidR="001527B1" w:rsidRPr="004676F5" w:rsidRDefault="001527B1" w:rsidP="001527B1">
      <w:pPr>
        <w:ind w:firstLine="708"/>
        <w:jc w:val="both"/>
        <w:rPr>
          <w:lang w:val="de-DE"/>
        </w:rPr>
      </w:pPr>
      <w:r w:rsidRPr="004676F5">
        <w:rPr>
          <w:lang w:val="de-DE"/>
        </w:rPr>
        <w:t>§ 2 </w:t>
      </w:r>
      <w:r w:rsidR="005B7A5C" w:rsidRPr="004676F5">
        <w:rPr>
          <w:lang w:val="de-DE"/>
        </w:rPr>
        <w:t>- </w:t>
      </w:r>
      <w:r w:rsidR="0073238E" w:rsidRPr="004676F5">
        <w:rPr>
          <w:lang w:val="de-DE"/>
        </w:rPr>
        <w:t>[Die Abtretung von oder die Lizenz für vermögensrechtliche Befugnisse in Bezug auf künftige Werke gilt nur für befristete Zeit und sofern die Gattung der Werke, auf die die Abtretung oder die Lizenz sich bezieht, bestimmt wurde.]</w:t>
      </w:r>
    </w:p>
    <w:p w14:paraId="7549C854" w14:textId="77777777" w:rsidR="001527B1" w:rsidRPr="004676F5" w:rsidRDefault="001527B1" w:rsidP="001527B1">
      <w:pPr>
        <w:ind w:firstLine="708"/>
        <w:jc w:val="both"/>
        <w:rPr>
          <w:lang w:val="de-DE"/>
        </w:rPr>
      </w:pPr>
    </w:p>
    <w:p w14:paraId="14061921" w14:textId="7AA1772B" w:rsidR="0073238E" w:rsidRPr="004676F5" w:rsidRDefault="001527B1" w:rsidP="0073238E">
      <w:pPr>
        <w:ind w:firstLine="708"/>
        <w:jc w:val="both"/>
        <w:rPr>
          <w:lang w:val="de-DE"/>
        </w:rPr>
      </w:pPr>
      <w:r w:rsidRPr="004676F5">
        <w:rPr>
          <w:lang w:val="de-DE"/>
        </w:rPr>
        <w:t>§ 3 </w:t>
      </w:r>
      <w:r w:rsidR="005B7A5C" w:rsidRPr="004676F5">
        <w:rPr>
          <w:lang w:val="de-DE"/>
        </w:rPr>
        <w:t>- </w:t>
      </w:r>
      <w:r w:rsidR="0073238E" w:rsidRPr="004676F5">
        <w:rPr>
          <w:lang w:val="de-DE"/>
        </w:rPr>
        <w:t>[Wenn ein Urheber Werke in Ausführung eines Arbeitsvertrags oder eines Statuts schafft, können die vermögensrechtlichen Befugnisse an den Arbeitgeber abgetreten oder lizensiert werden, sofern die Abtretung oder Lizensierung der Befugnisse ausdrücklich vorgesehen ist und die Schöpfung des Werkes in den Anwendungsbereich des Vertrags oder des Statuts fällt.</w:t>
      </w:r>
    </w:p>
    <w:p w14:paraId="48FEB48B" w14:textId="77777777" w:rsidR="0073238E" w:rsidRPr="004676F5" w:rsidRDefault="0073238E" w:rsidP="0073238E">
      <w:pPr>
        <w:jc w:val="both"/>
        <w:rPr>
          <w:lang w:val="de-DE"/>
        </w:rPr>
      </w:pPr>
    </w:p>
    <w:p w14:paraId="6E61231E" w14:textId="77777777" w:rsidR="0073238E" w:rsidRPr="004676F5" w:rsidRDefault="0073238E" w:rsidP="0073238E">
      <w:pPr>
        <w:jc w:val="both"/>
        <w:rPr>
          <w:lang w:val="de-DE"/>
        </w:rPr>
      </w:pPr>
      <w:r w:rsidRPr="004676F5">
        <w:rPr>
          <w:lang w:val="de-DE"/>
        </w:rPr>
        <w:tab/>
        <w:t>Wenn ein Urheber Werke in Ausführung einer Bestellung schafft, können die vermögensrechtlichen Befugnisse demjenigen abgetreten oder lizensiert werden, der die Bestellung aufgegeben hat, sofern dieser eine Tätigkeit im nichtkulturellen Sektor oder in der Werbebranche ausübt, das betreffende Werk für diese Tätigkeit bestimmt ist und die Abtretung oder Lizensierung der Befugnisse ausdrücklich vorgesehen ist.</w:t>
      </w:r>
    </w:p>
    <w:p w14:paraId="1F8D21F3" w14:textId="77777777" w:rsidR="0073238E" w:rsidRPr="004676F5" w:rsidRDefault="0073238E" w:rsidP="0073238E">
      <w:pPr>
        <w:jc w:val="both"/>
        <w:rPr>
          <w:lang w:val="de-DE"/>
        </w:rPr>
      </w:pPr>
    </w:p>
    <w:p w14:paraId="20A7DACF" w14:textId="2A95E7E0" w:rsidR="001527B1" w:rsidRPr="004676F5" w:rsidRDefault="0073238E" w:rsidP="0073238E">
      <w:pPr>
        <w:ind w:firstLine="708"/>
        <w:jc w:val="both"/>
        <w:rPr>
          <w:lang w:val="de-DE"/>
        </w:rPr>
      </w:pPr>
      <w:r w:rsidRPr="004676F5">
        <w:rPr>
          <w:lang w:val="de-DE"/>
        </w:rPr>
        <w:t>In diesen Fällen kommen § 1 Absatz 4 bis 6 und § 2 nicht zur Anwendung.]</w:t>
      </w:r>
    </w:p>
    <w:p w14:paraId="515C614F" w14:textId="77777777" w:rsidR="0073238E" w:rsidRPr="004676F5" w:rsidRDefault="0073238E" w:rsidP="0073238E">
      <w:pPr>
        <w:ind w:firstLine="708"/>
        <w:jc w:val="both"/>
        <w:rPr>
          <w:lang w:val="de-DE"/>
        </w:rPr>
      </w:pPr>
    </w:p>
    <w:p w14:paraId="133043DB" w14:textId="04CAA9AD" w:rsidR="0073238E" w:rsidRPr="004676F5" w:rsidRDefault="0073238E" w:rsidP="0073238E">
      <w:pPr>
        <w:jc w:val="both"/>
        <w:rPr>
          <w:i/>
          <w:iCs/>
          <w:lang w:val="de-DE"/>
        </w:rPr>
      </w:pPr>
      <w:r w:rsidRPr="004676F5">
        <w:rPr>
          <w:i/>
          <w:iCs/>
          <w:lang w:val="de-DE"/>
        </w:rPr>
        <w:t xml:space="preserve">[Art. XI.167 § 1 Abs. 1 abgeändert durch Art. 4 Nr. 1 des G. vom 19. Juni 2022 (B.S. vom 1. August 2022); § 1 Abs. 4 abgeändert durch Art. 4 Nr. 2 des G. vom 19. Juni 2022 (B.S. vom 1. August 2022); § 1 Abs. 5 abgeändert durch Art. 4 Nr. 3 des G. vom 19. Juni 2022 (B.S. vom 1. August 2022); § 1 Abs. 6 abgeändert durch Art. 4 Nr. 4 des G. vom 19. Juni 2022 (B.S. vom 1. August 2022); § 2 ersetzt durch Art. 4 Nr. 5 des G. vom 19. Juni 2022 (B.S. vom 1. August 2022); § 3 ersetzt durch Art. 4 Nr. 6 des G. vom 19. Juni 2022 (B.S. vom 1. August 2022)] </w:t>
      </w:r>
    </w:p>
    <w:p w14:paraId="6281F35E" w14:textId="77777777" w:rsidR="001527B1" w:rsidRPr="004676F5" w:rsidRDefault="001527B1" w:rsidP="001527B1">
      <w:pPr>
        <w:ind w:firstLine="708"/>
        <w:jc w:val="both"/>
        <w:rPr>
          <w:lang w:val="de-DE"/>
        </w:rPr>
      </w:pPr>
    </w:p>
    <w:p w14:paraId="2A440FAA" w14:textId="77777777" w:rsidR="0073238E" w:rsidRPr="004676F5" w:rsidRDefault="0073238E" w:rsidP="001527B1">
      <w:pPr>
        <w:ind w:firstLine="708"/>
        <w:jc w:val="both"/>
        <w:rPr>
          <w:lang w:val="de-DE"/>
        </w:rPr>
      </w:pPr>
    </w:p>
    <w:p w14:paraId="0114965F" w14:textId="2E5FF123" w:rsidR="0073238E" w:rsidRPr="004676F5" w:rsidRDefault="0073238E" w:rsidP="0073238E">
      <w:pPr>
        <w:ind w:firstLine="708"/>
        <w:jc w:val="both"/>
        <w:rPr>
          <w:lang w:val="de-DE"/>
        </w:rPr>
      </w:pPr>
      <w:r w:rsidRPr="004676F5">
        <w:rPr>
          <w:lang w:val="de-DE"/>
        </w:rPr>
        <w:t>[</w:t>
      </w:r>
      <w:r w:rsidRPr="004676F5">
        <w:rPr>
          <w:b/>
          <w:bCs/>
          <w:lang w:val="de-DE"/>
        </w:rPr>
        <w:t>Art. XI.167/1</w:t>
      </w:r>
      <w:r w:rsidRPr="004676F5">
        <w:rPr>
          <w:lang w:val="de-DE"/>
        </w:rPr>
        <w:t> </w:t>
      </w:r>
      <w:r w:rsidR="005B7A5C" w:rsidRPr="004676F5">
        <w:rPr>
          <w:lang w:val="de-DE"/>
        </w:rPr>
        <w:t>- </w:t>
      </w:r>
      <w:r w:rsidRPr="004676F5">
        <w:rPr>
          <w:lang w:val="de-DE"/>
        </w:rPr>
        <w:t>Urheber, die eine Lizenz</w:t>
      </w:r>
      <w:r w:rsidR="005B7A5C" w:rsidRPr="004676F5">
        <w:rPr>
          <w:lang w:val="de-DE"/>
        </w:rPr>
        <w:t>- </w:t>
      </w:r>
      <w:r w:rsidRPr="004676F5">
        <w:rPr>
          <w:lang w:val="de-DE"/>
        </w:rPr>
        <w:t>oder Übertragungsvereinbarung für ihre ausschließlichen Rechte an der Verwertung ihrer Werke abschließen, behalten das Recht auf eine angemessene und verhältnismäßige Vergütung.]</w:t>
      </w:r>
    </w:p>
    <w:p w14:paraId="020F1725" w14:textId="77777777" w:rsidR="0073238E" w:rsidRPr="004676F5" w:rsidRDefault="0073238E" w:rsidP="0073238E">
      <w:pPr>
        <w:ind w:firstLine="708"/>
        <w:jc w:val="both"/>
        <w:rPr>
          <w:lang w:val="de-DE"/>
        </w:rPr>
      </w:pPr>
    </w:p>
    <w:p w14:paraId="56B9EE7E" w14:textId="74FE3695" w:rsidR="0073238E" w:rsidRPr="004676F5" w:rsidRDefault="0073238E" w:rsidP="0073238E">
      <w:pPr>
        <w:jc w:val="both"/>
        <w:rPr>
          <w:i/>
          <w:iCs/>
          <w:lang w:val="de-DE"/>
        </w:rPr>
      </w:pPr>
      <w:r w:rsidRPr="004676F5">
        <w:rPr>
          <w:i/>
          <w:iCs/>
          <w:lang w:val="de-DE"/>
        </w:rPr>
        <w:t>[Art. XI.167/1 eingefügt durch Art. 5 des G. vom 19. Juni 2022 (B.S. vom 1. August 2022)]</w:t>
      </w:r>
    </w:p>
    <w:p w14:paraId="53130877" w14:textId="77777777" w:rsidR="008670B5" w:rsidRPr="004676F5" w:rsidRDefault="008670B5" w:rsidP="0073238E">
      <w:pPr>
        <w:jc w:val="both"/>
        <w:rPr>
          <w:lang w:val="de-DE"/>
        </w:rPr>
      </w:pPr>
    </w:p>
    <w:p w14:paraId="41A6A39C" w14:textId="77777777" w:rsidR="008670B5" w:rsidRPr="004676F5" w:rsidRDefault="008670B5" w:rsidP="0073238E">
      <w:pPr>
        <w:jc w:val="both"/>
        <w:rPr>
          <w:lang w:val="de-DE"/>
        </w:rPr>
      </w:pPr>
    </w:p>
    <w:p w14:paraId="65A36C95" w14:textId="61ED2E83" w:rsidR="0073238E" w:rsidRPr="004676F5" w:rsidRDefault="008670B5" w:rsidP="008670B5">
      <w:pPr>
        <w:ind w:firstLine="708"/>
        <w:jc w:val="both"/>
        <w:rPr>
          <w:lang w:val="de-DE"/>
        </w:rPr>
      </w:pPr>
      <w:r w:rsidRPr="004676F5">
        <w:rPr>
          <w:lang w:val="de-DE"/>
        </w:rPr>
        <w:t>[</w:t>
      </w:r>
      <w:r w:rsidR="0073238E" w:rsidRPr="004676F5">
        <w:rPr>
          <w:b/>
          <w:bCs/>
          <w:lang w:val="de-DE"/>
        </w:rPr>
        <w:t>Art. XI.167/2</w:t>
      </w:r>
      <w:r w:rsidR="0073238E" w:rsidRPr="004676F5">
        <w:rPr>
          <w:lang w:val="de-DE"/>
        </w:rPr>
        <w:t> </w:t>
      </w:r>
      <w:r w:rsidR="005B7A5C" w:rsidRPr="004676F5">
        <w:rPr>
          <w:lang w:val="de-DE"/>
        </w:rPr>
        <w:t>- </w:t>
      </w:r>
      <w:r w:rsidR="0073238E" w:rsidRPr="004676F5">
        <w:rPr>
          <w:lang w:val="de-DE"/>
        </w:rPr>
        <w:t>Urheber, die eine Lizenz</w:t>
      </w:r>
      <w:r w:rsidR="005B7A5C" w:rsidRPr="004676F5">
        <w:rPr>
          <w:lang w:val="de-DE"/>
        </w:rPr>
        <w:t>- </w:t>
      </w:r>
      <w:r w:rsidR="0073238E" w:rsidRPr="004676F5">
        <w:rPr>
          <w:lang w:val="de-DE"/>
        </w:rPr>
        <w:t xml:space="preserve">oder Übertragungsvereinbarung für ihre ausschließlichen Rechte an der Verwertung ihrer Werke abschließen, erhalten von der Person, der die Rechte abgetreten wurden, oder vom Lizenznehmer in angemessenerer Frist nach der entsprechenden Verwertung, regelmäßig </w:t>
      </w:r>
      <w:r w:rsidR="005B7A5C" w:rsidRPr="004676F5">
        <w:rPr>
          <w:lang w:val="de-DE"/>
        </w:rPr>
        <w:t>- </w:t>
      </w:r>
      <w:r w:rsidR="0073238E" w:rsidRPr="004676F5">
        <w:rPr>
          <w:lang w:val="de-DE"/>
        </w:rPr>
        <w:t>mindestens einmal jährlich </w:t>
      </w:r>
      <w:r w:rsidR="005B7A5C" w:rsidRPr="004676F5">
        <w:rPr>
          <w:lang w:val="de-DE"/>
        </w:rPr>
        <w:t>- </w:t>
      </w:r>
      <w:r w:rsidR="0073238E" w:rsidRPr="004676F5">
        <w:rPr>
          <w:lang w:val="de-DE"/>
        </w:rPr>
        <w:t>und unter Berücksichtigung der branchenspezifischen Besonderheiten aktuelle, einschlägige und umfassende Informationen über die Verwertung ihrer Werke, vor allem über die Art der Verwertung, sämtliche erzielte Einnahmen und die fällige Vergütung.</w:t>
      </w:r>
    </w:p>
    <w:p w14:paraId="498981A5" w14:textId="77777777" w:rsidR="0073238E" w:rsidRPr="004676F5" w:rsidRDefault="0073238E" w:rsidP="0073238E">
      <w:pPr>
        <w:jc w:val="both"/>
        <w:rPr>
          <w:lang w:val="de-DE"/>
        </w:rPr>
      </w:pPr>
    </w:p>
    <w:p w14:paraId="3B3F77E6" w14:textId="77777777" w:rsidR="0073238E" w:rsidRPr="004676F5" w:rsidRDefault="0073238E" w:rsidP="0073238E">
      <w:pPr>
        <w:jc w:val="both"/>
        <w:rPr>
          <w:lang w:val="de-DE"/>
        </w:rPr>
      </w:pPr>
      <w:r w:rsidRPr="004676F5">
        <w:rPr>
          <w:lang w:val="de-DE"/>
        </w:rPr>
        <w:tab/>
        <w:t>In hinreichend begründeten Fällen, in denen der Verwaltungsaufwand aufgrund der in Absatz 1 erwähnten Transparenzpflicht, die der Person, der die Rechte abgetreten wurden, oder dem Lizenznehmer obliegt, im Verhältnis zu den durch die Verwertung des Werkes erzielten Einnahmen unverhältnismäßig hoch wäre, kann die in Absatz 1 erwähnte Transparenzpflicht auf die Arten und den Umfang der Informationen beschränkt werden, deren Bereitstellung in derartigen Fällen in der betreffenden Branche nach billigem Ermessen erwartet werden kann.</w:t>
      </w:r>
    </w:p>
    <w:p w14:paraId="0CE78E0C" w14:textId="77777777" w:rsidR="0073238E" w:rsidRPr="004676F5" w:rsidRDefault="0073238E" w:rsidP="0073238E">
      <w:pPr>
        <w:jc w:val="both"/>
        <w:rPr>
          <w:lang w:val="de-DE"/>
        </w:rPr>
      </w:pPr>
    </w:p>
    <w:p w14:paraId="2A410D85" w14:textId="77777777" w:rsidR="0073238E" w:rsidRPr="004676F5" w:rsidRDefault="0073238E" w:rsidP="0073238E">
      <w:pPr>
        <w:jc w:val="both"/>
        <w:rPr>
          <w:lang w:val="de-DE"/>
        </w:rPr>
      </w:pPr>
      <w:r w:rsidRPr="004676F5">
        <w:rPr>
          <w:lang w:val="de-DE"/>
        </w:rPr>
        <w:tab/>
        <w:t>Die Absätze 1 und 2 finden keine Anwendung, wenn der Beitrag des Urhebers vor dem Hintergrund des Gesamtwerks nicht erheblich ist, es sei denn, der Urheber legt dar, dass er die Informationen zur Ausübung seiner Rechte nach Artikel XI.167/3 benötigt und zu diesem Zweck anfordert.</w:t>
      </w:r>
    </w:p>
    <w:p w14:paraId="1CB072C6" w14:textId="77777777" w:rsidR="0073238E" w:rsidRPr="004676F5" w:rsidRDefault="0073238E" w:rsidP="0073238E">
      <w:pPr>
        <w:jc w:val="both"/>
        <w:rPr>
          <w:lang w:val="de-DE"/>
        </w:rPr>
      </w:pPr>
    </w:p>
    <w:p w14:paraId="382FC609" w14:textId="77777777" w:rsidR="0073238E" w:rsidRPr="004676F5" w:rsidRDefault="0073238E" w:rsidP="0073238E">
      <w:pPr>
        <w:jc w:val="both"/>
        <w:rPr>
          <w:lang w:val="de-DE"/>
        </w:rPr>
      </w:pPr>
      <w:r w:rsidRPr="004676F5">
        <w:rPr>
          <w:lang w:val="de-DE"/>
        </w:rPr>
        <w:tab/>
        <w:t>Um seine Rechte gemäß Artikel XI.167/3 auszuüben, behält sich der Urheber jedoch stets das Recht vor, die in Absatz 1 erwähnten Informationen per Einschreibesendung mit Rückschein oder auf eine durch Kollektivvereinbarung geregelte Weise anzufordern.</w:t>
      </w:r>
    </w:p>
    <w:p w14:paraId="1BCD1246" w14:textId="77777777" w:rsidR="0073238E" w:rsidRPr="004676F5" w:rsidRDefault="0073238E" w:rsidP="0073238E">
      <w:pPr>
        <w:jc w:val="both"/>
        <w:rPr>
          <w:lang w:val="de-DE"/>
        </w:rPr>
      </w:pPr>
    </w:p>
    <w:p w14:paraId="2542DA74" w14:textId="77777777" w:rsidR="0073238E" w:rsidRPr="004676F5" w:rsidRDefault="0073238E" w:rsidP="0073238E">
      <w:pPr>
        <w:jc w:val="both"/>
        <w:rPr>
          <w:lang w:val="de-DE"/>
        </w:rPr>
      </w:pPr>
      <w:r w:rsidRPr="004676F5">
        <w:rPr>
          <w:lang w:val="de-DE"/>
        </w:rPr>
        <w:tab/>
        <w:t>Hat die Person, der die Rechte abgetreten wurden, oder der Lizenznehmer selbst einem Dritten Rechte an dem betreffenden Werk abgetreten oder lizensiert und verfügt sie/er nicht über alle Informationen, die zur Erfüllung der in Absatz 1 erwähnten Pflicht erforderlich sind, kann der Urheber oder sein Vertreter per Einschreibesendung mit Rückschein zusätzliche Informationen über die Verwertung seiner Werke entweder von diesem Dritten oder von der Person, der die Rechte abgetreten wurden, oder vom Lizenznehmer anfordern, die/der das Ersuchen des Urhebers oder seines Vertreters an den Dritten weiterleitet. Möchte der Urheber oder sein Vertreter sein Ersuchen unmittelbar an den Dritten richten, stellt die Person, der die Rechte abgetreten wurden, oder der Lizenznehmer dem Urheber oder seinem Vertreter Informationen über die Identität des Dritten zur Verfügung.</w:t>
      </w:r>
    </w:p>
    <w:p w14:paraId="10C35183" w14:textId="77777777" w:rsidR="0073238E" w:rsidRPr="004676F5" w:rsidRDefault="0073238E" w:rsidP="0073238E">
      <w:pPr>
        <w:jc w:val="both"/>
        <w:rPr>
          <w:lang w:val="de-DE"/>
        </w:rPr>
      </w:pPr>
    </w:p>
    <w:p w14:paraId="301AB900" w14:textId="141E2880" w:rsidR="0073238E" w:rsidRPr="004676F5" w:rsidRDefault="0073238E" w:rsidP="0073238E">
      <w:pPr>
        <w:jc w:val="both"/>
        <w:rPr>
          <w:lang w:val="de-DE"/>
        </w:rPr>
      </w:pPr>
      <w:r w:rsidRPr="004676F5">
        <w:rPr>
          <w:lang w:val="de-DE"/>
        </w:rPr>
        <w:tab/>
        <w:t>In den in Artikel XI.167/5 erwähnten Kollektivvereinbarungen kann bestimmt werden, ob der Urheber oder sein Vertreter sich unmittelbar an den Dritten wenden muss oder aber an die Person, der die Rechte abgetreten wurden, oder an den Lizenznehmer.</w:t>
      </w:r>
      <w:r w:rsidR="008670B5" w:rsidRPr="004676F5">
        <w:rPr>
          <w:lang w:val="de-DE"/>
        </w:rPr>
        <w:t>]</w:t>
      </w:r>
    </w:p>
    <w:p w14:paraId="0C380780" w14:textId="77777777" w:rsidR="0073238E" w:rsidRPr="004676F5" w:rsidRDefault="0073238E" w:rsidP="0073238E">
      <w:pPr>
        <w:jc w:val="both"/>
        <w:rPr>
          <w:lang w:val="de-DE"/>
        </w:rPr>
      </w:pPr>
    </w:p>
    <w:p w14:paraId="300672F0" w14:textId="5FEF015B" w:rsidR="008670B5" w:rsidRPr="004676F5" w:rsidRDefault="008670B5" w:rsidP="008670B5">
      <w:pPr>
        <w:jc w:val="both"/>
        <w:rPr>
          <w:i/>
          <w:iCs/>
          <w:lang w:val="de-DE"/>
        </w:rPr>
      </w:pPr>
      <w:r w:rsidRPr="004676F5">
        <w:rPr>
          <w:i/>
          <w:iCs/>
          <w:lang w:val="de-DE"/>
        </w:rPr>
        <w:t>[Art. XI.167/2 eingefügt durch Art. 6 des G. vom 19. Juni 2022 (B.S. vom 1. August 2022)]</w:t>
      </w:r>
    </w:p>
    <w:p w14:paraId="5C846C73" w14:textId="77777777" w:rsidR="0073238E" w:rsidRPr="004676F5" w:rsidRDefault="0073238E" w:rsidP="0073238E">
      <w:pPr>
        <w:jc w:val="both"/>
        <w:rPr>
          <w:lang w:val="de-DE"/>
        </w:rPr>
      </w:pPr>
    </w:p>
    <w:p w14:paraId="6ADBC9ED" w14:textId="77777777" w:rsidR="0073238E" w:rsidRPr="004676F5" w:rsidRDefault="0073238E" w:rsidP="0073238E">
      <w:pPr>
        <w:jc w:val="both"/>
        <w:rPr>
          <w:lang w:val="de-DE"/>
        </w:rPr>
      </w:pPr>
    </w:p>
    <w:p w14:paraId="0CDE7B11" w14:textId="1C9C899F" w:rsidR="0073238E" w:rsidRPr="004676F5" w:rsidRDefault="008670B5" w:rsidP="008670B5">
      <w:pPr>
        <w:ind w:firstLine="708"/>
        <w:jc w:val="both"/>
        <w:rPr>
          <w:spacing w:val="-2"/>
          <w:lang w:val="de-DE"/>
        </w:rPr>
      </w:pPr>
      <w:r w:rsidRPr="004676F5">
        <w:rPr>
          <w:spacing w:val="-2"/>
          <w:lang w:val="de-DE"/>
        </w:rPr>
        <w:t>[</w:t>
      </w:r>
      <w:r w:rsidR="0073238E" w:rsidRPr="004676F5">
        <w:rPr>
          <w:b/>
          <w:bCs/>
          <w:spacing w:val="-2"/>
          <w:lang w:val="de-DE"/>
        </w:rPr>
        <w:t>Art. XI.167/3</w:t>
      </w:r>
      <w:r w:rsidR="0073238E" w:rsidRPr="004676F5">
        <w:rPr>
          <w:spacing w:val="-2"/>
          <w:lang w:val="de-DE"/>
        </w:rPr>
        <w:t> </w:t>
      </w:r>
      <w:r w:rsidR="005B7A5C" w:rsidRPr="004676F5">
        <w:rPr>
          <w:spacing w:val="-2"/>
          <w:lang w:val="de-DE"/>
        </w:rPr>
        <w:t>- </w:t>
      </w:r>
      <w:r w:rsidR="0073238E" w:rsidRPr="004676F5">
        <w:rPr>
          <w:spacing w:val="-2"/>
          <w:lang w:val="de-DE"/>
        </w:rPr>
        <w:t>Bestehen keine anwendbaren Kollektivvereinbarungen wie in Artikel XI.167/5 bestimmt, die einen Mechanismus vorsehen, der mit dem in vorliegendem Artikel festgelegten Mechanismus vergleichbar ist, haben Urheber oder ihre Vertreter das Recht, von der Person, der die Rechte abgetreten wurden, oder vom Lizenznehmer im Rahmen einer Verwertungsvereinbarung eine zusätzliche, angemessene und faire Vergütung zu verlangen, wenn sich die ursprünglich vereinbarte Vergütung im Vergleich zu sämtlichen späteren einschlägigen Einnahmen aus der Verwertung der Werke als unverhältnismäßig niedrig erweist.</w:t>
      </w:r>
      <w:r w:rsidRPr="004676F5">
        <w:rPr>
          <w:spacing w:val="-2"/>
          <w:lang w:val="de-DE"/>
        </w:rPr>
        <w:t>]</w:t>
      </w:r>
    </w:p>
    <w:p w14:paraId="63F89B89" w14:textId="77777777" w:rsidR="008670B5" w:rsidRPr="004676F5" w:rsidRDefault="008670B5" w:rsidP="008670B5">
      <w:pPr>
        <w:ind w:firstLine="708"/>
        <w:jc w:val="both"/>
        <w:rPr>
          <w:lang w:val="de-DE"/>
        </w:rPr>
      </w:pPr>
    </w:p>
    <w:p w14:paraId="7EB13A82" w14:textId="0E57581D" w:rsidR="008670B5" w:rsidRPr="004676F5" w:rsidRDefault="008670B5" w:rsidP="008670B5">
      <w:pPr>
        <w:jc w:val="both"/>
        <w:rPr>
          <w:i/>
          <w:iCs/>
          <w:lang w:val="de-DE"/>
        </w:rPr>
      </w:pPr>
      <w:r w:rsidRPr="004676F5">
        <w:rPr>
          <w:i/>
          <w:iCs/>
          <w:lang w:val="de-DE"/>
        </w:rPr>
        <w:t>[Art. XI.167/3 eingefügt durch Art. 7 des G. vom 19. Juni 2022 (B.S. vom 1. August 2022)]</w:t>
      </w:r>
    </w:p>
    <w:p w14:paraId="18370340" w14:textId="77777777" w:rsidR="008670B5" w:rsidRPr="004676F5" w:rsidRDefault="008670B5" w:rsidP="008670B5">
      <w:pPr>
        <w:ind w:firstLine="708"/>
        <w:jc w:val="both"/>
        <w:rPr>
          <w:lang w:val="de-DE"/>
        </w:rPr>
      </w:pPr>
    </w:p>
    <w:p w14:paraId="4E23F94A" w14:textId="77777777" w:rsidR="0073238E" w:rsidRPr="004676F5" w:rsidRDefault="0073238E" w:rsidP="0073238E">
      <w:pPr>
        <w:jc w:val="both"/>
        <w:rPr>
          <w:lang w:val="de-DE"/>
        </w:rPr>
      </w:pPr>
    </w:p>
    <w:p w14:paraId="5E46CC6F" w14:textId="2406DF99" w:rsidR="0073238E" w:rsidRPr="004676F5" w:rsidRDefault="008670B5" w:rsidP="008670B5">
      <w:pPr>
        <w:ind w:firstLine="708"/>
        <w:jc w:val="both"/>
        <w:rPr>
          <w:lang w:val="de-DE"/>
        </w:rPr>
      </w:pPr>
      <w:r w:rsidRPr="004676F5">
        <w:rPr>
          <w:lang w:val="de-DE"/>
        </w:rPr>
        <w:t>[</w:t>
      </w:r>
      <w:r w:rsidR="0073238E" w:rsidRPr="004676F5">
        <w:rPr>
          <w:b/>
          <w:bCs/>
          <w:lang w:val="de-DE"/>
        </w:rPr>
        <w:t>Art. XI.167/4</w:t>
      </w:r>
      <w:r w:rsidR="0073238E" w:rsidRPr="004676F5">
        <w:rPr>
          <w:lang w:val="de-DE"/>
        </w:rPr>
        <w:t> </w:t>
      </w:r>
      <w:r w:rsidR="005B7A5C" w:rsidRPr="004676F5">
        <w:rPr>
          <w:lang w:val="de-DE"/>
        </w:rPr>
        <w:t>- </w:t>
      </w:r>
      <w:r w:rsidR="0073238E" w:rsidRPr="004676F5">
        <w:rPr>
          <w:lang w:val="de-DE"/>
        </w:rPr>
        <w:t>Die Person, der die Rechte abgetreten wurden, oder der Lizenznehmer muss im Rahmen einer Verwertungsvereinbarung diese ausschließlichen Rechte innerhalb der vereinbarten Frist verwerten. Diese Frist darf ehrlichen Berufsgepflogenheiten nicht zuwiderlaufen, es sei denn, sie bietet dem Urheber ein höheres Schutzmaß.</w:t>
      </w:r>
    </w:p>
    <w:p w14:paraId="5D1DA653" w14:textId="77777777" w:rsidR="0073238E" w:rsidRPr="004676F5" w:rsidRDefault="0073238E" w:rsidP="0073238E">
      <w:pPr>
        <w:jc w:val="both"/>
        <w:rPr>
          <w:lang w:val="de-DE"/>
        </w:rPr>
      </w:pPr>
    </w:p>
    <w:p w14:paraId="55829C7C" w14:textId="77777777" w:rsidR="0073238E" w:rsidRPr="004676F5" w:rsidRDefault="0073238E" w:rsidP="0073238E">
      <w:pPr>
        <w:jc w:val="both"/>
        <w:rPr>
          <w:lang w:val="de-DE"/>
        </w:rPr>
      </w:pPr>
      <w:r w:rsidRPr="004676F5">
        <w:rPr>
          <w:lang w:val="de-DE"/>
        </w:rPr>
        <w:tab/>
        <w:t>Wird diese Frist in der Vereinbarung nicht festgelegt, wird sie gemäß den ehrlichen Berufsgepflogenheiten für die betreffende Art von Werken festgelegt. In den in Artikel XI.167/5 erwähnten Kollektivvereinbarungen können diese Berufsgepflogenheiten bestimmt werden.</w:t>
      </w:r>
    </w:p>
    <w:p w14:paraId="0EBA3530" w14:textId="77777777" w:rsidR="0073238E" w:rsidRPr="004676F5" w:rsidRDefault="0073238E" w:rsidP="0073238E">
      <w:pPr>
        <w:jc w:val="both"/>
        <w:rPr>
          <w:lang w:val="de-DE"/>
        </w:rPr>
      </w:pPr>
    </w:p>
    <w:p w14:paraId="18973ABF" w14:textId="77777777" w:rsidR="0073238E" w:rsidRPr="004676F5" w:rsidRDefault="0073238E" w:rsidP="0073238E">
      <w:pPr>
        <w:jc w:val="both"/>
        <w:rPr>
          <w:lang w:val="de-DE"/>
        </w:rPr>
      </w:pPr>
      <w:r w:rsidRPr="004676F5">
        <w:rPr>
          <w:lang w:val="de-DE"/>
        </w:rPr>
        <w:tab/>
        <w:t>Wenn die Person, der die Rechte abgetreten wurden, oder der Lizenznehmer der Verwertungspflicht innerhalb der gemäß den Absätzen 1 und 2 festgelegten Fristen ohne rechtmäßige Entschuldigung nicht nachkommt, kann der Urheber abgetretene oder im Rahmen einer ausschließlichen Lizenz erteilte Rechte ganz oder teilweise zurücknehmen oder die Ausschließlichkeit der Lizenz kündigen nach per Einschreibesendung mit Rückschein versendeter Inverzugsetzung, die nach Ablauf einer angemessenen oder in der Kollektiv</w:t>
      </w:r>
      <w:r w:rsidRPr="004676F5">
        <w:rPr>
          <w:lang w:val="de-DE"/>
        </w:rPr>
        <w:softHyphen/>
        <w:t>vereinbarung nach Artikel XI.167/5 vorgesehenen Frist wirkungslos geblieben ist.</w:t>
      </w:r>
    </w:p>
    <w:p w14:paraId="7CB56FB9" w14:textId="77777777" w:rsidR="0073238E" w:rsidRPr="004676F5" w:rsidRDefault="0073238E" w:rsidP="0073238E">
      <w:pPr>
        <w:jc w:val="both"/>
        <w:rPr>
          <w:lang w:val="de-DE"/>
        </w:rPr>
      </w:pPr>
    </w:p>
    <w:p w14:paraId="578C1134" w14:textId="77777777" w:rsidR="0073238E" w:rsidRPr="004676F5" w:rsidRDefault="0073238E" w:rsidP="0073238E">
      <w:pPr>
        <w:jc w:val="both"/>
        <w:rPr>
          <w:lang w:val="de-DE"/>
        </w:rPr>
      </w:pPr>
      <w:r w:rsidRPr="004676F5">
        <w:rPr>
          <w:lang w:val="de-DE"/>
        </w:rPr>
        <w:tab/>
        <w:t>Die Absätze 1 bis 3 sind nicht anwendbar:</w:t>
      </w:r>
    </w:p>
    <w:p w14:paraId="337CE19E" w14:textId="77777777" w:rsidR="0073238E" w:rsidRPr="004676F5" w:rsidRDefault="0073238E" w:rsidP="0073238E">
      <w:pPr>
        <w:jc w:val="both"/>
        <w:rPr>
          <w:lang w:val="de-DE"/>
        </w:rPr>
      </w:pPr>
    </w:p>
    <w:p w14:paraId="58E82930" w14:textId="77777777" w:rsidR="0073238E" w:rsidRPr="004676F5" w:rsidRDefault="0073238E" w:rsidP="0073238E">
      <w:pPr>
        <w:jc w:val="both"/>
        <w:rPr>
          <w:lang w:val="de-DE"/>
        </w:rPr>
      </w:pPr>
      <w:r w:rsidRPr="004676F5">
        <w:rPr>
          <w:lang w:val="de-DE"/>
        </w:rPr>
        <w:tab/>
        <w:t>1. wenn die nicht erfolgte Verwertung der Rechte vorwiegend auf Umstände zurückzuführen ist, deren Behebung nach billigem Ermessen von dem Urheber erwartet werden kann,</w:t>
      </w:r>
    </w:p>
    <w:p w14:paraId="5D80F884" w14:textId="77777777" w:rsidR="0073238E" w:rsidRPr="004676F5" w:rsidRDefault="0073238E" w:rsidP="0073238E">
      <w:pPr>
        <w:jc w:val="both"/>
        <w:rPr>
          <w:lang w:val="de-DE"/>
        </w:rPr>
      </w:pPr>
    </w:p>
    <w:p w14:paraId="37CAD73D" w14:textId="77777777" w:rsidR="0073238E" w:rsidRPr="004676F5" w:rsidRDefault="0073238E" w:rsidP="0073238E">
      <w:pPr>
        <w:jc w:val="both"/>
        <w:rPr>
          <w:lang w:val="de-DE"/>
        </w:rPr>
      </w:pPr>
      <w:r w:rsidRPr="004676F5">
        <w:rPr>
          <w:lang w:val="de-DE"/>
        </w:rPr>
        <w:tab/>
        <w:t>2. wenn das Werk oder die Leistung einen Beitrag mehrerer Urheber oder ausübender Künstler umfasst und der individuelle Beitrag des Urhebers, der das Widerrufsrecht ausüben möchte, von relativer Bedeutung ist und die Beiträge und berechtigten Interessen aller Urheber und ausübenden Künstler, die von der Anwendung des Widerrufsverfahrens betroffen sind, durch die Ausübung dieses Rechts beeinträchtigt würden,</w:t>
      </w:r>
    </w:p>
    <w:p w14:paraId="7BB01F97" w14:textId="77777777" w:rsidR="0073238E" w:rsidRPr="004676F5" w:rsidRDefault="0073238E" w:rsidP="0073238E">
      <w:pPr>
        <w:jc w:val="both"/>
        <w:rPr>
          <w:lang w:val="de-DE"/>
        </w:rPr>
      </w:pPr>
    </w:p>
    <w:p w14:paraId="2EB8DB4B" w14:textId="77777777" w:rsidR="0073238E" w:rsidRPr="004676F5" w:rsidRDefault="0073238E" w:rsidP="0073238E">
      <w:pPr>
        <w:jc w:val="both"/>
        <w:rPr>
          <w:lang w:val="de-DE"/>
        </w:rPr>
      </w:pPr>
      <w:r w:rsidRPr="004676F5">
        <w:rPr>
          <w:lang w:val="de-DE"/>
        </w:rPr>
        <w:tab/>
        <w:t>3. wenn der Urheber das Werk in Ausführung eines Arbeitsvertrags oder eines Statuts geschaffen hat und die Schaffung des Werkes in den Anwendungsbereich des Vertrags oder Statuts fällt,</w:t>
      </w:r>
    </w:p>
    <w:p w14:paraId="04C19468" w14:textId="77777777" w:rsidR="0073238E" w:rsidRPr="004676F5" w:rsidRDefault="0073238E" w:rsidP="0073238E">
      <w:pPr>
        <w:jc w:val="both"/>
        <w:rPr>
          <w:lang w:val="de-DE"/>
        </w:rPr>
      </w:pPr>
    </w:p>
    <w:p w14:paraId="11670A30" w14:textId="77777777" w:rsidR="0073238E" w:rsidRPr="004676F5" w:rsidRDefault="0073238E" w:rsidP="0073238E">
      <w:pPr>
        <w:jc w:val="both"/>
        <w:rPr>
          <w:lang w:val="de-DE"/>
        </w:rPr>
      </w:pPr>
      <w:r w:rsidRPr="004676F5">
        <w:rPr>
          <w:lang w:val="de-DE"/>
        </w:rPr>
        <w:tab/>
        <w:t>4. wenn der Urheber das Werk in Ausführung einer Bestellung geschaffen hat und derjenige, der die Bestellung aufgegeben hat, eine Tätigkeit im nichtkulturellen Sektor oder in der Werbebranche ausübt und soweit das betreffende Werk für diese Tätigkeit bestimmt ist,</w:t>
      </w:r>
    </w:p>
    <w:p w14:paraId="38FE93F4" w14:textId="77777777" w:rsidR="0073238E" w:rsidRPr="004676F5" w:rsidRDefault="0073238E" w:rsidP="0073238E">
      <w:pPr>
        <w:jc w:val="both"/>
        <w:rPr>
          <w:lang w:val="de-DE"/>
        </w:rPr>
      </w:pPr>
    </w:p>
    <w:p w14:paraId="197EBA2E" w14:textId="77777777" w:rsidR="0073238E" w:rsidRPr="004676F5" w:rsidRDefault="0073238E" w:rsidP="0073238E">
      <w:pPr>
        <w:jc w:val="both"/>
        <w:rPr>
          <w:lang w:val="de-DE"/>
        </w:rPr>
      </w:pPr>
      <w:r w:rsidRPr="004676F5">
        <w:rPr>
          <w:lang w:val="de-DE"/>
        </w:rPr>
        <w:tab/>
        <w:t>5. wenn eine Kollektivvereinbarung wie in Artikel XI.167/5 erwähnt das Wider</w:t>
      </w:r>
      <w:r w:rsidRPr="004676F5">
        <w:rPr>
          <w:lang w:val="de-DE"/>
        </w:rPr>
        <w:softHyphen/>
        <w:t>rufsrecht regelt.</w:t>
      </w:r>
    </w:p>
    <w:p w14:paraId="2DB93594" w14:textId="77777777" w:rsidR="0073238E" w:rsidRPr="004676F5" w:rsidRDefault="0073238E" w:rsidP="0073238E">
      <w:pPr>
        <w:jc w:val="both"/>
        <w:rPr>
          <w:lang w:val="de-DE"/>
        </w:rPr>
      </w:pPr>
    </w:p>
    <w:p w14:paraId="35493174" w14:textId="3D64ED6A" w:rsidR="0073238E" w:rsidRPr="004676F5" w:rsidRDefault="0073238E" w:rsidP="0073238E">
      <w:pPr>
        <w:jc w:val="both"/>
        <w:rPr>
          <w:lang w:val="de-DE"/>
        </w:rPr>
      </w:pPr>
      <w:r w:rsidRPr="004676F5">
        <w:rPr>
          <w:lang w:val="de-DE"/>
        </w:rPr>
        <w:tab/>
        <w:t>Eine vertragliche Bestimmung, mit der von den Bestimmungen des vorliegenden Artikels abgewichen wird, ist nur verbindlich, wenn sie aus einer Kollektivvereinbarung wie in Artikel XI.167/5 erwähnt hervorgeht.</w:t>
      </w:r>
      <w:r w:rsidR="008670B5" w:rsidRPr="004676F5">
        <w:rPr>
          <w:lang w:val="de-DE"/>
        </w:rPr>
        <w:t>]</w:t>
      </w:r>
    </w:p>
    <w:p w14:paraId="3FA72BAA" w14:textId="77777777" w:rsidR="008670B5" w:rsidRPr="004676F5" w:rsidRDefault="008670B5" w:rsidP="0073238E">
      <w:pPr>
        <w:jc w:val="both"/>
        <w:rPr>
          <w:lang w:val="de-DE"/>
        </w:rPr>
      </w:pPr>
    </w:p>
    <w:p w14:paraId="0CC2AFE1" w14:textId="23FECA60" w:rsidR="008670B5" w:rsidRPr="004676F5" w:rsidRDefault="008670B5" w:rsidP="008670B5">
      <w:pPr>
        <w:jc w:val="both"/>
        <w:rPr>
          <w:i/>
          <w:iCs/>
          <w:lang w:val="de-DE"/>
        </w:rPr>
      </w:pPr>
      <w:r w:rsidRPr="004676F5">
        <w:rPr>
          <w:i/>
          <w:iCs/>
          <w:lang w:val="de-DE"/>
        </w:rPr>
        <w:t>[Art. XI.167/4 eingefügt durch Art. 8 des G. vom 19. Juni 2022 (B.S. vom 1. August 2022)]</w:t>
      </w:r>
    </w:p>
    <w:p w14:paraId="2119F800" w14:textId="77777777" w:rsidR="008670B5" w:rsidRPr="004676F5" w:rsidRDefault="008670B5" w:rsidP="0073238E">
      <w:pPr>
        <w:jc w:val="both"/>
        <w:rPr>
          <w:lang w:val="de-DE"/>
        </w:rPr>
      </w:pPr>
    </w:p>
    <w:p w14:paraId="53FAFBF1" w14:textId="77777777" w:rsidR="0073238E" w:rsidRPr="004676F5" w:rsidRDefault="0073238E" w:rsidP="0073238E">
      <w:pPr>
        <w:jc w:val="both"/>
        <w:rPr>
          <w:lang w:val="de-DE"/>
        </w:rPr>
      </w:pPr>
    </w:p>
    <w:p w14:paraId="2A919029" w14:textId="77777777" w:rsidR="008670B5" w:rsidRPr="004676F5" w:rsidRDefault="008670B5">
      <w:pPr>
        <w:rPr>
          <w:lang w:val="de-DE"/>
        </w:rPr>
      </w:pPr>
      <w:r w:rsidRPr="004676F5">
        <w:rPr>
          <w:lang w:val="de-DE"/>
        </w:rPr>
        <w:br w:type="page"/>
      </w:r>
    </w:p>
    <w:p w14:paraId="54713E69" w14:textId="02C58D63" w:rsidR="0073238E" w:rsidRPr="004676F5" w:rsidRDefault="008670B5" w:rsidP="008670B5">
      <w:pPr>
        <w:ind w:firstLine="708"/>
        <w:jc w:val="both"/>
        <w:rPr>
          <w:lang w:val="de-DE"/>
        </w:rPr>
      </w:pPr>
      <w:r w:rsidRPr="004676F5">
        <w:rPr>
          <w:lang w:val="de-DE"/>
        </w:rPr>
        <w:lastRenderedPageBreak/>
        <w:t>[</w:t>
      </w:r>
      <w:r w:rsidR="0073238E" w:rsidRPr="004676F5">
        <w:rPr>
          <w:b/>
          <w:bCs/>
          <w:lang w:val="de-DE"/>
        </w:rPr>
        <w:t>Art. XI.167/5</w:t>
      </w:r>
      <w:r w:rsidR="0073238E" w:rsidRPr="004676F5">
        <w:rPr>
          <w:lang w:val="de-DE"/>
        </w:rPr>
        <w:t> </w:t>
      </w:r>
      <w:r w:rsidR="005B7A5C" w:rsidRPr="004676F5">
        <w:rPr>
          <w:lang w:val="de-DE"/>
        </w:rPr>
        <w:t>- </w:t>
      </w:r>
      <w:r w:rsidR="0073238E" w:rsidRPr="004676F5">
        <w:rPr>
          <w:lang w:val="de-DE"/>
        </w:rPr>
        <w:t>In Kollektivvereinbarungen kann unter anderem Folgendes festgelegt werden:</w:t>
      </w:r>
    </w:p>
    <w:p w14:paraId="17741FA8" w14:textId="77777777" w:rsidR="0073238E" w:rsidRPr="004676F5" w:rsidRDefault="0073238E" w:rsidP="0073238E">
      <w:pPr>
        <w:jc w:val="both"/>
        <w:rPr>
          <w:lang w:val="de-DE"/>
        </w:rPr>
      </w:pPr>
    </w:p>
    <w:p w14:paraId="5CEF3DE1" w14:textId="77777777" w:rsidR="0073238E" w:rsidRPr="004676F5" w:rsidRDefault="0073238E" w:rsidP="0073238E">
      <w:pPr>
        <w:jc w:val="both"/>
        <w:rPr>
          <w:lang w:val="de-DE"/>
        </w:rPr>
      </w:pPr>
      <w:r w:rsidRPr="004676F5">
        <w:rPr>
          <w:lang w:val="de-DE"/>
        </w:rPr>
        <w:tab/>
        <w:t>1. Umfang der Abtretung oder Lizenzierung von Rechten,</w:t>
      </w:r>
    </w:p>
    <w:p w14:paraId="6125D660" w14:textId="77777777" w:rsidR="0073238E" w:rsidRPr="004676F5" w:rsidRDefault="0073238E" w:rsidP="0073238E">
      <w:pPr>
        <w:jc w:val="both"/>
        <w:rPr>
          <w:lang w:val="de-DE"/>
        </w:rPr>
      </w:pPr>
    </w:p>
    <w:p w14:paraId="039E0176" w14:textId="77777777" w:rsidR="0073238E" w:rsidRPr="004676F5" w:rsidRDefault="0073238E" w:rsidP="0073238E">
      <w:pPr>
        <w:jc w:val="both"/>
        <w:rPr>
          <w:lang w:val="de-DE"/>
        </w:rPr>
      </w:pPr>
      <w:r w:rsidRPr="004676F5">
        <w:rPr>
          <w:lang w:val="de-DE"/>
        </w:rPr>
        <w:tab/>
        <w:t>2. Modalitäten der Abtretung oder Lizenzierung von Rechten,</w:t>
      </w:r>
    </w:p>
    <w:p w14:paraId="5FAAC483" w14:textId="77777777" w:rsidR="0073238E" w:rsidRPr="004676F5" w:rsidRDefault="0073238E" w:rsidP="0073238E">
      <w:pPr>
        <w:jc w:val="both"/>
        <w:rPr>
          <w:lang w:val="de-DE"/>
        </w:rPr>
      </w:pPr>
    </w:p>
    <w:p w14:paraId="3541BBB8" w14:textId="41E02F4A" w:rsidR="0073238E" w:rsidRPr="004676F5" w:rsidRDefault="0073238E" w:rsidP="0073238E">
      <w:pPr>
        <w:jc w:val="both"/>
        <w:rPr>
          <w:lang w:val="de-DE"/>
        </w:rPr>
      </w:pPr>
      <w:r w:rsidRPr="004676F5">
        <w:rPr>
          <w:lang w:val="de-DE"/>
        </w:rPr>
        <w:tab/>
        <w:t>3. Modalitäten der Abtretungs</w:t>
      </w:r>
      <w:r w:rsidR="005B7A5C" w:rsidRPr="004676F5">
        <w:rPr>
          <w:lang w:val="de-DE"/>
        </w:rPr>
        <w:t>- </w:t>
      </w:r>
      <w:r w:rsidRPr="004676F5">
        <w:rPr>
          <w:lang w:val="de-DE"/>
        </w:rPr>
        <w:t>oder Lizenzierungsvergütung,</w:t>
      </w:r>
    </w:p>
    <w:p w14:paraId="35CB4B6D" w14:textId="77777777" w:rsidR="0073238E" w:rsidRPr="004676F5" w:rsidRDefault="0073238E" w:rsidP="0073238E">
      <w:pPr>
        <w:jc w:val="both"/>
        <w:rPr>
          <w:lang w:val="de-DE"/>
        </w:rPr>
      </w:pPr>
    </w:p>
    <w:p w14:paraId="5319564F" w14:textId="77777777" w:rsidR="0073238E" w:rsidRPr="004676F5" w:rsidRDefault="0073238E" w:rsidP="0073238E">
      <w:pPr>
        <w:jc w:val="both"/>
        <w:rPr>
          <w:lang w:val="de-DE"/>
        </w:rPr>
      </w:pPr>
      <w:r w:rsidRPr="004676F5">
        <w:rPr>
          <w:lang w:val="de-DE"/>
        </w:rPr>
        <w:tab/>
        <w:t>4. Modalitäten der in Artikel XI.167/2 erwähnten Transparenzpflicht,</w:t>
      </w:r>
    </w:p>
    <w:p w14:paraId="0E10FA01" w14:textId="77777777" w:rsidR="0073238E" w:rsidRPr="004676F5" w:rsidRDefault="0073238E" w:rsidP="0073238E">
      <w:pPr>
        <w:jc w:val="both"/>
        <w:rPr>
          <w:lang w:val="de-DE"/>
        </w:rPr>
      </w:pPr>
    </w:p>
    <w:p w14:paraId="3C53C205" w14:textId="77777777" w:rsidR="0073238E" w:rsidRPr="004676F5" w:rsidRDefault="0073238E" w:rsidP="0073238E">
      <w:pPr>
        <w:jc w:val="both"/>
        <w:rPr>
          <w:lang w:val="de-DE"/>
        </w:rPr>
      </w:pPr>
      <w:r w:rsidRPr="004676F5">
        <w:rPr>
          <w:lang w:val="de-DE"/>
        </w:rPr>
        <w:tab/>
        <w:t>5. Modalitäten der in Artikel XI.167/3 erwähnten Mechanismen zur Anpassung der Verträge,</w:t>
      </w:r>
    </w:p>
    <w:p w14:paraId="7447027E" w14:textId="77777777" w:rsidR="0073238E" w:rsidRPr="004676F5" w:rsidRDefault="0073238E" w:rsidP="0073238E">
      <w:pPr>
        <w:jc w:val="both"/>
        <w:rPr>
          <w:lang w:val="de-DE"/>
        </w:rPr>
      </w:pPr>
    </w:p>
    <w:p w14:paraId="6337A351" w14:textId="77777777" w:rsidR="0073238E" w:rsidRPr="004676F5" w:rsidRDefault="0073238E" w:rsidP="0073238E">
      <w:pPr>
        <w:jc w:val="both"/>
        <w:rPr>
          <w:lang w:val="de-DE"/>
        </w:rPr>
      </w:pPr>
      <w:r w:rsidRPr="004676F5">
        <w:rPr>
          <w:lang w:val="de-DE"/>
        </w:rPr>
        <w:tab/>
        <w:t>6. in Artikel XI.167/4 erwähntes Widerrufsrecht,</w:t>
      </w:r>
    </w:p>
    <w:p w14:paraId="68814AE4" w14:textId="77777777" w:rsidR="0073238E" w:rsidRPr="004676F5" w:rsidRDefault="0073238E" w:rsidP="0073238E">
      <w:pPr>
        <w:jc w:val="both"/>
        <w:rPr>
          <w:lang w:val="de-DE"/>
        </w:rPr>
      </w:pPr>
    </w:p>
    <w:p w14:paraId="4322FF52" w14:textId="77777777" w:rsidR="0073238E" w:rsidRPr="004676F5" w:rsidRDefault="0073238E" w:rsidP="0073238E">
      <w:pPr>
        <w:jc w:val="both"/>
        <w:rPr>
          <w:lang w:val="de-DE"/>
        </w:rPr>
      </w:pPr>
      <w:r w:rsidRPr="004676F5">
        <w:rPr>
          <w:lang w:val="de-DE"/>
        </w:rPr>
        <w:tab/>
        <w:t>7. alternative Streitbeilegungsverfahren.</w:t>
      </w:r>
    </w:p>
    <w:p w14:paraId="30A9B53F" w14:textId="77777777" w:rsidR="0073238E" w:rsidRPr="004676F5" w:rsidRDefault="0073238E" w:rsidP="0073238E">
      <w:pPr>
        <w:jc w:val="both"/>
        <w:rPr>
          <w:lang w:val="de-DE"/>
        </w:rPr>
      </w:pPr>
    </w:p>
    <w:p w14:paraId="799AFE29" w14:textId="4B49F7DD" w:rsidR="0073238E" w:rsidRPr="004676F5" w:rsidRDefault="0073238E" w:rsidP="0073238E">
      <w:pPr>
        <w:jc w:val="both"/>
        <w:rPr>
          <w:lang w:val="de-DE"/>
        </w:rPr>
      </w:pPr>
      <w:r w:rsidRPr="004676F5">
        <w:rPr>
          <w:lang w:val="de-DE"/>
        </w:rPr>
        <w:tab/>
        <w:t>In Kollektivvereinbarungen wird immer ein angemessener Rechte</w:t>
      </w:r>
      <w:r w:rsidR="005B7A5C" w:rsidRPr="004676F5">
        <w:rPr>
          <w:lang w:val="de-DE"/>
        </w:rPr>
        <w:t>- </w:t>
      </w:r>
      <w:r w:rsidRPr="004676F5">
        <w:rPr>
          <w:lang w:val="de-DE"/>
        </w:rPr>
        <w:t>und Interessenausgleich zwischen jeder der Parteien angestrebt.</w:t>
      </w:r>
    </w:p>
    <w:p w14:paraId="4A1567A6" w14:textId="77777777" w:rsidR="0073238E" w:rsidRPr="004676F5" w:rsidRDefault="0073238E" w:rsidP="0073238E">
      <w:pPr>
        <w:jc w:val="both"/>
        <w:rPr>
          <w:lang w:val="de-DE"/>
        </w:rPr>
      </w:pPr>
    </w:p>
    <w:p w14:paraId="323635C7" w14:textId="15E77946" w:rsidR="0073238E" w:rsidRPr="004676F5" w:rsidRDefault="0073238E" w:rsidP="0073238E">
      <w:pPr>
        <w:jc w:val="both"/>
        <w:rPr>
          <w:lang w:val="de-DE"/>
        </w:rPr>
      </w:pPr>
      <w:r w:rsidRPr="004676F5">
        <w:rPr>
          <w:lang w:val="de-DE"/>
        </w:rPr>
        <w:tab/>
        <w:t>Der König kann unter Bedingungen und gemäß Verfahren, die Er bestimmt, Kollektivvereinbarungen für Rechtsinhaber und Nutzer der gleichen Kategorie wie diejenigen, die die betreffenden Vereinbarungen abgeschlossen haben, für allgemein verbindlich erklären. In diesem Fall überprüft Er, ob die Parteien der Vereinbarung paritätisch vertreten waren und ob die Vereinbarung nicht gegen geltende Vorschriften verstößt. Stellt der König fest, dass die Vereinbarung diese Bedingungen nicht erfüllt, setzt Er die Parteien der Kollektivvereinbarung von den Gründen für diese Entscheidung in Kenntnis.</w:t>
      </w:r>
      <w:r w:rsidR="008670B5" w:rsidRPr="004676F5">
        <w:rPr>
          <w:lang w:val="de-DE"/>
        </w:rPr>
        <w:t>]</w:t>
      </w:r>
    </w:p>
    <w:p w14:paraId="4410CCF5" w14:textId="77777777" w:rsidR="008670B5" w:rsidRPr="004676F5" w:rsidRDefault="008670B5" w:rsidP="0073238E">
      <w:pPr>
        <w:jc w:val="both"/>
        <w:rPr>
          <w:lang w:val="de-DE"/>
        </w:rPr>
      </w:pPr>
    </w:p>
    <w:p w14:paraId="7A53C0C5" w14:textId="7EA62C8A" w:rsidR="008670B5" w:rsidRPr="004676F5" w:rsidRDefault="008670B5" w:rsidP="008670B5">
      <w:pPr>
        <w:jc w:val="both"/>
        <w:rPr>
          <w:i/>
          <w:iCs/>
          <w:lang w:val="de-DE"/>
        </w:rPr>
      </w:pPr>
      <w:r w:rsidRPr="004676F5">
        <w:rPr>
          <w:i/>
          <w:iCs/>
          <w:lang w:val="de-DE"/>
        </w:rPr>
        <w:t>[Art. XI.167/5 eingefügt durch Art. 9 des G. vom 19. Juni 2022 (B.S. vom 1. August 2022)]</w:t>
      </w:r>
    </w:p>
    <w:p w14:paraId="65A511C2" w14:textId="77777777" w:rsidR="008670B5" w:rsidRPr="004676F5" w:rsidRDefault="008670B5" w:rsidP="0073238E">
      <w:pPr>
        <w:jc w:val="both"/>
        <w:rPr>
          <w:lang w:val="de-DE"/>
        </w:rPr>
      </w:pPr>
    </w:p>
    <w:p w14:paraId="64B9F167" w14:textId="77777777" w:rsidR="0073238E" w:rsidRPr="004676F5" w:rsidRDefault="0073238E" w:rsidP="0073238E">
      <w:pPr>
        <w:jc w:val="both"/>
        <w:rPr>
          <w:lang w:val="de-DE"/>
        </w:rPr>
      </w:pPr>
    </w:p>
    <w:p w14:paraId="479430E0" w14:textId="507293BE" w:rsidR="0073238E" w:rsidRPr="004676F5" w:rsidRDefault="008670B5" w:rsidP="0073238E">
      <w:pPr>
        <w:ind w:firstLine="708"/>
        <w:jc w:val="both"/>
        <w:rPr>
          <w:lang w:val="de-DE"/>
        </w:rPr>
      </w:pPr>
      <w:r w:rsidRPr="004676F5">
        <w:rPr>
          <w:lang w:val="de-DE"/>
        </w:rPr>
        <w:t>[</w:t>
      </w:r>
      <w:r w:rsidR="0073238E" w:rsidRPr="004676F5">
        <w:rPr>
          <w:b/>
          <w:bCs/>
          <w:lang w:val="de-DE"/>
        </w:rPr>
        <w:t>Art. XI.167/6</w:t>
      </w:r>
      <w:r w:rsidR="0073238E" w:rsidRPr="004676F5">
        <w:rPr>
          <w:lang w:val="de-DE"/>
        </w:rPr>
        <w:t> </w:t>
      </w:r>
      <w:r w:rsidR="005B7A5C" w:rsidRPr="004676F5">
        <w:rPr>
          <w:lang w:val="de-DE"/>
        </w:rPr>
        <w:t>- </w:t>
      </w:r>
      <w:r w:rsidR="0073238E" w:rsidRPr="004676F5">
        <w:rPr>
          <w:lang w:val="de-DE"/>
        </w:rPr>
        <w:t>Die Artikel XI.167 bis XI.167/5 sind verbindlich.]</w:t>
      </w:r>
    </w:p>
    <w:p w14:paraId="0813946B" w14:textId="77777777" w:rsidR="008670B5" w:rsidRPr="004676F5" w:rsidRDefault="008670B5" w:rsidP="0073238E">
      <w:pPr>
        <w:ind w:firstLine="708"/>
        <w:jc w:val="both"/>
        <w:rPr>
          <w:lang w:val="de-DE"/>
        </w:rPr>
      </w:pPr>
    </w:p>
    <w:p w14:paraId="2E65D042" w14:textId="1719B249" w:rsidR="008670B5" w:rsidRPr="004676F5" w:rsidRDefault="008670B5" w:rsidP="008670B5">
      <w:pPr>
        <w:jc w:val="both"/>
        <w:rPr>
          <w:i/>
          <w:iCs/>
          <w:lang w:val="de-DE"/>
        </w:rPr>
      </w:pPr>
      <w:r w:rsidRPr="004676F5">
        <w:rPr>
          <w:i/>
          <w:iCs/>
          <w:lang w:val="de-DE"/>
        </w:rPr>
        <w:t>[Art. XI.167/6 eingefügt durch Art. 10 des G. vom 19. Juni 2022 (B.S. vom 1. August 2022)]</w:t>
      </w:r>
    </w:p>
    <w:p w14:paraId="6ED6965B" w14:textId="77777777" w:rsidR="008670B5" w:rsidRPr="004676F5" w:rsidRDefault="008670B5" w:rsidP="0073238E">
      <w:pPr>
        <w:ind w:firstLine="708"/>
        <w:jc w:val="both"/>
        <w:rPr>
          <w:lang w:val="de-DE"/>
        </w:rPr>
      </w:pPr>
    </w:p>
    <w:p w14:paraId="2E624886" w14:textId="77777777" w:rsidR="00435B6C" w:rsidRPr="004676F5" w:rsidRDefault="00435B6C" w:rsidP="001527B1">
      <w:pPr>
        <w:ind w:firstLine="708"/>
        <w:jc w:val="both"/>
        <w:rPr>
          <w:lang w:val="de-DE"/>
        </w:rPr>
      </w:pPr>
    </w:p>
    <w:p w14:paraId="0B84FB53" w14:textId="0A3D94ED" w:rsidR="001527B1" w:rsidRPr="004676F5" w:rsidRDefault="00BE0A56" w:rsidP="001527B1">
      <w:pPr>
        <w:ind w:firstLine="708"/>
        <w:jc w:val="both"/>
        <w:rPr>
          <w:lang w:val="de-DE"/>
        </w:rPr>
      </w:pPr>
      <w:r w:rsidRPr="004676F5">
        <w:rPr>
          <w:b/>
          <w:lang w:val="de-DE"/>
        </w:rPr>
        <w:t>Art. </w:t>
      </w:r>
      <w:r w:rsidR="001527B1" w:rsidRPr="004676F5">
        <w:rPr>
          <w:b/>
          <w:lang w:val="de-DE"/>
        </w:rPr>
        <w:t>XI.168</w:t>
      </w:r>
      <w:r w:rsidR="001527B1" w:rsidRPr="004676F5">
        <w:rPr>
          <w:lang w:val="de-DE"/>
        </w:rPr>
        <w:t> </w:t>
      </w:r>
      <w:r w:rsidR="005B7A5C" w:rsidRPr="004676F5">
        <w:rPr>
          <w:lang w:val="de-DE"/>
        </w:rPr>
        <w:t>- </w:t>
      </w:r>
      <w:r w:rsidR="001527B1" w:rsidRPr="004676F5">
        <w:rPr>
          <w:lang w:val="de-DE"/>
        </w:rPr>
        <w:t xml:space="preserve">Ist das Urheberrecht ungeteilt, wird </w:t>
      </w:r>
      <w:r w:rsidR="00200116" w:rsidRPr="004676F5">
        <w:rPr>
          <w:lang w:val="de-DE"/>
        </w:rPr>
        <w:t xml:space="preserve">[unbeschadet des Artikels XI.245/1 § 2] </w:t>
      </w:r>
      <w:r w:rsidR="001527B1" w:rsidRPr="004676F5">
        <w:rPr>
          <w:lang w:val="de-DE"/>
        </w:rPr>
        <w:t>die Ausübung dieses Rechts vertraglich geregelt. Mangels Verträgen darf keiner der Urheber dieses Recht allein ausüben, vorbehaltlich einer gerichtlichen Entscheidung bei Uneinigkeit.</w:t>
      </w:r>
    </w:p>
    <w:p w14:paraId="07AA4CF0" w14:textId="77777777" w:rsidR="001527B1" w:rsidRPr="004676F5" w:rsidRDefault="001527B1" w:rsidP="001527B1">
      <w:pPr>
        <w:ind w:firstLine="708"/>
        <w:jc w:val="both"/>
        <w:rPr>
          <w:lang w:val="de-DE"/>
        </w:rPr>
      </w:pPr>
    </w:p>
    <w:p w14:paraId="2B5645FE" w14:textId="77777777" w:rsidR="001527B1" w:rsidRPr="004676F5" w:rsidRDefault="001527B1" w:rsidP="001527B1">
      <w:pPr>
        <w:ind w:firstLine="708"/>
        <w:jc w:val="both"/>
        <w:rPr>
          <w:lang w:val="de-DE"/>
        </w:rPr>
      </w:pPr>
      <w:r w:rsidRPr="004676F5">
        <w:rPr>
          <w:lang w:val="de-DE"/>
        </w:rPr>
        <w:t>Jedoch kann jeder der Urheber in seinem Namen und ohne Mitwirkung der anderen wegen einer Verletzung des Urheberrechts Klage erheben und für seinen Anteil Schadenersatz einfordern.</w:t>
      </w:r>
    </w:p>
    <w:p w14:paraId="27C7DA98" w14:textId="77777777" w:rsidR="001527B1" w:rsidRPr="004676F5" w:rsidRDefault="001527B1" w:rsidP="001527B1">
      <w:pPr>
        <w:ind w:firstLine="708"/>
        <w:jc w:val="both"/>
        <w:rPr>
          <w:lang w:val="de-DE"/>
        </w:rPr>
      </w:pPr>
    </w:p>
    <w:p w14:paraId="60BCC859" w14:textId="77777777" w:rsidR="008670B5" w:rsidRPr="004676F5" w:rsidRDefault="008670B5">
      <w:pPr>
        <w:rPr>
          <w:lang w:val="de-DE"/>
        </w:rPr>
      </w:pPr>
      <w:r w:rsidRPr="004676F5">
        <w:rPr>
          <w:lang w:val="de-DE"/>
        </w:rPr>
        <w:br w:type="page"/>
      </w:r>
    </w:p>
    <w:p w14:paraId="3919D156" w14:textId="4FD95C75" w:rsidR="001527B1" w:rsidRPr="004676F5" w:rsidRDefault="001527B1" w:rsidP="001527B1">
      <w:pPr>
        <w:ind w:firstLine="708"/>
        <w:jc w:val="both"/>
        <w:rPr>
          <w:lang w:val="de-DE"/>
        </w:rPr>
      </w:pPr>
      <w:r w:rsidRPr="004676F5">
        <w:rPr>
          <w:lang w:val="de-DE"/>
        </w:rPr>
        <w:lastRenderedPageBreak/>
        <w:t>Gerichte können jederzeit die Erlaubnis zur Veröffentlichung eines Werkes von Maßnahmen abhängig machen, die ihnen angemessen erscheinen; sie können auf Antrag des Urhebers, der sich einer Veröffentlichung widersetzt hat, entscheiden, dass dieser weder an den Kosten der Nutzung noch an dem Gewinn aus der Nutzung beteiligt wird oder dass sein Name nicht auf dem Werk vermerkt wird.</w:t>
      </w:r>
    </w:p>
    <w:p w14:paraId="2E809B19" w14:textId="77777777" w:rsidR="00200116" w:rsidRPr="004676F5" w:rsidRDefault="00200116" w:rsidP="001527B1">
      <w:pPr>
        <w:ind w:firstLine="708"/>
        <w:jc w:val="both"/>
        <w:rPr>
          <w:lang w:val="de-DE"/>
        </w:rPr>
      </w:pPr>
    </w:p>
    <w:p w14:paraId="16CAD32B" w14:textId="401A0FE5" w:rsidR="00200116" w:rsidRPr="004676F5" w:rsidRDefault="00200116" w:rsidP="00200116">
      <w:pPr>
        <w:jc w:val="both"/>
        <w:rPr>
          <w:i/>
          <w:lang w:val="de-DE"/>
        </w:rPr>
      </w:pPr>
      <w:r w:rsidRPr="004676F5">
        <w:rPr>
          <w:i/>
          <w:lang w:val="de-DE"/>
        </w:rPr>
        <w:t>[</w:t>
      </w:r>
      <w:r w:rsidR="00BE0A56" w:rsidRPr="004676F5">
        <w:rPr>
          <w:i/>
          <w:lang w:val="de-DE"/>
        </w:rPr>
        <w:t>Art. </w:t>
      </w:r>
      <w:r w:rsidRPr="004676F5">
        <w:rPr>
          <w:i/>
          <w:lang w:val="de-DE"/>
        </w:rPr>
        <w:t xml:space="preserve">XI.168 Abs. 1 abgeändert durch </w:t>
      </w:r>
      <w:r w:rsidR="00BE0A56" w:rsidRPr="004676F5">
        <w:rPr>
          <w:i/>
          <w:lang w:val="de-DE"/>
        </w:rPr>
        <w:t>Art. </w:t>
      </w:r>
      <w:r w:rsidRPr="004676F5">
        <w:rPr>
          <w:i/>
          <w:lang w:val="de-DE"/>
        </w:rPr>
        <w:t>5 des G. vom 20. Juli 2015 (B.S. vom 24. August 2015)]</w:t>
      </w:r>
    </w:p>
    <w:p w14:paraId="7E13DE3A" w14:textId="77777777" w:rsidR="001527B1" w:rsidRPr="004676F5" w:rsidRDefault="001527B1" w:rsidP="001527B1">
      <w:pPr>
        <w:ind w:firstLine="708"/>
        <w:jc w:val="both"/>
        <w:rPr>
          <w:lang w:val="de-DE"/>
        </w:rPr>
      </w:pPr>
    </w:p>
    <w:p w14:paraId="5B414D75" w14:textId="77777777" w:rsidR="00435B6C" w:rsidRPr="004676F5" w:rsidRDefault="00435B6C" w:rsidP="001527B1">
      <w:pPr>
        <w:ind w:firstLine="708"/>
        <w:jc w:val="both"/>
        <w:rPr>
          <w:lang w:val="de-DE"/>
        </w:rPr>
      </w:pPr>
    </w:p>
    <w:p w14:paraId="73455B0A" w14:textId="631461FF" w:rsidR="001527B1" w:rsidRPr="004676F5" w:rsidRDefault="00BE0A56" w:rsidP="001527B1">
      <w:pPr>
        <w:ind w:firstLine="708"/>
        <w:jc w:val="both"/>
        <w:rPr>
          <w:lang w:val="de-DE"/>
        </w:rPr>
      </w:pPr>
      <w:r w:rsidRPr="004676F5">
        <w:rPr>
          <w:b/>
          <w:lang w:val="de-DE"/>
        </w:rPr>
        <w:t>Art. </w:t>
      </w:r>
      <w:r w:rsidR="001527B1" w:rsidRPr="004676F5">
        <w:rPr>
          <w:b/>
          <w:lang w:val="de-DE"/>
        </w:rPr>
        <w:t>XI.169</w:t>
      </w:r>
      <w:r w:rsidR="001527B1" w:rsidRPr="004676F5">
        <w:rPr>
          <w:lang w:val="de-DE"/>
        </w:rPr>
        <w:t> </w:t>
      </w:r>
      <w:r w:rsidR="005B7A5C" w:rsidRPr="004676F5">
        <w:rPr>
          <w:lang w:val="de-DE"/>
        </w:rPr>
        <w:t>- </w:t>
      </w:r>
      <w:r w:rsidR="001527B1" w:rsidRPr="004676F5">
        <w:rPr>
          <w:lang w:val="de-DE"/>
        </w:rPr>
        <w:t xml:space="preserve">Haben mehrere Personen ein Werk gemeinsam geschaffen und kann ihr individueller Beitrag deutlich unterschieden werden, dürfen diese Urheber </w:t>
      </w:r>
      <w:r w:rsidR="005B7A5C" w:rsidRPr="004676F5">
        <w:rPr>
          <w:lang w:val="de-DE"/>
        </w:rPr>
        <w:t>- </w:t>
      </w:r>
      <w:r w:rsidR="001527B1" w:rsidRPr="004676F5">
        <w:rPr>
          <w:lang w:val="de-DE"/>
        </w:rPr>
        <w:t>außer bei anders lautender Vereinbarung </w:t>
      </w:r>
      <w:r w:rsidR="005B7A5C" w:rsidRPr="004676F5">
        <w:rPr>
          <w:lang w:val="de-DE"/>
        </w:rPr>
        <w:t>- </w:t>
      </w:r>
      <w:r w:rsidR="001527B1" w:rsidRPr="004676F5">
        <w:rPr>
          <w:lang w:val="de-DE"/>
        </w:rPr>
        <w:t>im Rahmen dieses Werkes nicht mit anderen Personen zusammen</w:t>
      </w:r>
      <w:r w:rsidR="001527B1" w:rsidRPr="004676F5">
        <w:rPr>
          <w:lang w:val="de-DE"/>
        </w:rPr>
        <w:softHyphen/>
        <w:t>arbeiten.</w:t>
      </w:r>
    </w:p>
    <w:p w14:paraId="46C29128" w14:textId="77777777" w:rsidR="001527B1" w:rsidRPr="004676F5" w:rsidRDefault="001527B1" w:rsidP="001527B1">
      <w:pPr>
        <w:ind w:firstLine="708"/>
        <w:jc w:val="both"/>
        <w:rPr>
          <w:lang w:val="de-DE"/>
        </w:rPr>
      </w:pPr>
    </w:p>
    <w:p w14:paraId="3147958E" w14:textId="77777777" w:rsidR="001527B1" w:rsidRPr="004676F5" w:rsidRDefault="001527B1" w:rsidP="001527B1">
      <w:pPr>
        <w:ind w:firstLine="708"/>
        <w:jc w:val="both"/>
        <w:rPr>
          <w:lang w:val="de-DE"/>
        </w:rPr>
      </w:pPr>
      <w:r w:rsidRPr="004676F5">
        <w:rPr>
          <w:lang w:val="de-DE"/>
        </w:rPr>
        <w:t>Jedoch haben sie das Recht, ihren Beitrag gesondert zu nutzen, sofern diese Nutzung dem kollektiven Werk nicht schadet.</w:t>
      </w:r>
    </w:p>
    <w:p w14:paraId="22414340" w14:textId="77777777" w:rsidR="001527B1" w:rsidRPr="004676F5" w:rsidRDefault="001527B1" w:rsidP="001527B1">
      <w:pPr>
        <w:ind w:firstLine="708"/>
        <w:jc w:val="both"/>
        <w:rPr>
          <w:lang w:val="de-DE"/>
        </w:rPr>
      </w:pPr>
    </w:p>
    <w:p w14:paraId="3CBDBFD9" w14:textId="77777777" w:rsidR="00435B6C" w:rsidRPr="004676F5" w:rsidRDefault="00435B6C" w:rsidP="001527B1">
      <w:pPr>
        <w:ind w:firstLine="708"/>
        <w:jc w:val="both"/>
        <w:rPr>
          <w:lang w:val="de-DE"/>
        </w:rPr>
      </w:pPr>
    </w:p>
    <w:p w14:paraId="5675BA41" w14:textId="4BBC5889" w:rsidR="001527B1" w:rsidRPr="004676F5" w:rsidRDefault="00BE0A56" w:rsidP="001527B1">
      <w:pPr>
        <w:ind w:firstLine="708"/>
        <w:jc w:val="both"/>
        <w:rPr>
          <w:lang w:val="de-DE"/>
        </w:rPr>
      </w:pPr>
      <w:r w:rsidRPr="004676F5">
        <w:rPr>
          <w:b/>
          <w:lang w:val="de-DE"/>
        </w:rPr>
        <w:t>Art. </w:t>
      </w:r>
      <w:r w:rsidR="001527B1" w:rsidRPr="004676F5">
        <w:rPr>
          <w:b/>
          <w:lang w:val="de-DE"/>
        </w:rPr>
        <w:t>XI.170</w:t>
      </w:r>
      <w:r w:rsidR="001527B1" w:rsidRPr="004676F5">
        <w:rPr>
          <w:lang w:val="de-DE"/>
        </w:rPr>
        <w:t> </w:t>
      </w:r>
      <w:r w:rsidR="005B7A5C" w:rsidRPr="004676F5">
        <w:rPr>
          <w:lang w:val="de-DE"/>
        </w:rPr>
        <w:t>- </w:t>
      </w:r>
      <w:r w:rsidR="001527B1" w:rsidRPr="004676F5">
        <w:rPr>
          <w:lang w:val="de-DE"/>
        </w:rPr>
        <w:t>Der ursprüngliche Inhaber des Urheberrechts ist die natürliche Person, die das Werk geschaffen hat.</w:t>
      </w:r>
    </w:p>
    <w:p w14:paraId="7D7721F5" w14:textId="77777777" w:rsidR="001527B1" w:rsidRPr="004676F5" w:rsidRDefault="001527B1" w:rsidP="001527B1">
      <w:pPr>
        <w:ind w:firstLine="708"/>
        <w:jc w:val="both"/>
        <w:rPr>
          <w:lang w:val="de-DE"/>
        </w:rPr>
      </w:pPr>
    </w:p>
    <w:p w14:paraId="5E5EA5BE" w14:textId="77777777" w:rsidR="001527B1" w:rsidRPr="004676F5" w:rsidRDefault="001527B1" w:rsidP="001527B1">
      <w:pPr>
        <w:ind w:firstLine="708"/>
        <w:jc w:val="both"/>
        <w:rPr>
          <w:lang w:val="de-DE"/>
        </w:rPr>
      </w:pPr>
      <w:r w:rsidRPr="004676F5">
        <w:rPr>
          <w:lang w:val="de-DE"/>
        </w:rPr>
        <w:t>Außer bei Beweis des Gegenteils ist als Urheber anzusehen, wer durch Vermerk seines Namens oder eines ihn identifizierenden Kurzwortes auf dem Werk, auf einer Vervielfäl</w:t>
      </w:r>
      <w:r w:rsidRPr="004676F5">
        <w:rPr>
          <w:lang w:val="de-DE"/>
        </w:rPr>
        <w:softHyphen/>
        <w:t>tigung des Werkes oder durch eine Mitteilung über dieses Werk an das Publikum als Urheber zu identifizieren ist.</w:t>
      </w:r>
    </w:p>
    <w:p w14:paraId="70096008" w14:textId="77777777" w:rsidR="001527B1" w:rsidRPr="004676F5" w:rsidRDefault="001527B1" w:rsidP="001527B1">
      <w:pPr>
        <w:ind w:firstLine="708"/>
        <w:jc w:val="both"/>
        <w:rPr>
          <w:lang w:val="de-DE"/>
        </w:rPr>
      </w:pPr>
    </w:p>
    <w:p w14:paraId="32B61655" w14:textId="77777777" w:rsidR="001527B1" w:rsidRPr="004676F5" w:rsidRDefault="001527B1" w:rsidP="001527B1">
      <w:pPr>
        <w:ind w:firstLine="708"/>
        <w:jc w:val="both"/>
        <w:rPr>
          <w:lang w:val="de-DE"/>
        </w:rPr>
      </w:pPr>
      <w:r w:rsidRPr="004676F5">
        <w:rPr>
          <w:lang w:val="de-DE"/>
        </w:rPr>
        <w:t>Der Verleger eines anonymen oder pseudonymen Werkes gilt gegenüber Dritten als dessen Urheber.</w:t>
      </w:r>
    </w:p>
    <w:p w14:paraId="0E838570" w14:textId="77777777" w:rsidR="001527B1" w:rsidRPr="004676F5" w:rsidRDefault="001527B1" w:rsidP="001527B1">
      <w:pPr>
        <w:ind w:firstLine="708"/>
        <w:jc w:val="both"/>
        <w:rPr>
          <w:lang w:val="de-DE"/>
        </w:rPr>
      </w:pPr>
    </w:p>
    <w:p w14:paraId="66A2C2E5" w14:textId="77777777" w:rsidR="00435B6C" w:rsidRPr="004676F5" w:rsidRDefault="00435B6C" w:rsidP="001527B1">
      <w:pPr>
        <w:ind w:firstLine="708"/>
        <w:jc w:val="both"/>
        <w:rPr>
          <w:lang w:val="de-DE"/>
        </w:rPr>
      </w:pPr>
    </w:p>
    <w:p w14:paraId="0D1BC7A7" w14:textId="1901AAA3" w:rsidR="001527B1" w:rsidRPr="004676F5" w:rsidRDefault="00BE0A56" w:rsidP="001527B1">
      <w:pPr>
        <w:ind w:firstLine="708"/>
        <w:jc w:val="both"/>
        <w:rPr>
          <w:lang w:val="de-DE"/>
        </w:rPr>
      </w:pPr>
      <w:r w:rsidRPr="004676F5">
        <w:rPr>
          <w:b/>
          <w:lang w:val="de-DE"/>
        </w:rPr>
        <w:t>Art. </w:t>
      </w:r>
      <w:r w:rsidR="001527B1" w:rsidRPr="004676F5">
        <w:rPr>
          <w:b/>
          <w:lang w:val="de-DE"/>
        </w:rPr>
        <w:t>XI.171</w:t>
      </w:r>
      <w:r w:rsidR="001527B1" w:rsidRPr="004676F5">
        <w:rPr>
          <w:lang w:val="de-DE"/>
        </w:rPr>
        <w:t> </w:t>
      </w:r>
      <w:r w:rsidR="005B7A5C" w:rsidRPr="004676F5">
        <w:rPr>
          <w:lang w:val="de-DE"/>
        </w:rPr>
        <w:t>- </w:t>
      </w:r>
      <w:r w:rsidR="001527B1" w:rsidRPr="004676F5">
        <w:rPr>
          <w:lang w:val="de-DE"/>
        </w:rPr>
        <w:t>Nach dem Tod des Urhebers werden die in Artikel XI.165 § 1 bestimmten Rechte während der Schutzdauer des Urheberrechts von seinen Erben oder Vermächtnisnehmern ausgeübt, außer wenn der Urheber diese Rechte unter Berücksichtigung des den Erben zustehenden Pflichtteils einer bestimmten Person zuerkannt hat.</w:t>
      </w:r>
    </w:p>
    <w:p w14:paraId="7DC6F9D3" w14:textId="77777777" w:rsidR="001527B1" w:rsidRPr="004676F5" w:rsidRDefault="001527B1" w:rsidP="001527B1">
      <w:pPr>
        <w:ind w:firstLine="708"/>
        <w:jc w:val="both"/>
        <w:rPr>
          <w:lang w:val="de-DE"/>
        </w:rPr>
      </w:pPr>
    </w:p>
    <w:p w14:paraId="556B21A4" w14:textId="77777777" w:rsidR="001527B1" w:rsidRPr="004676F5" w:rsidRDefault="001527B1" w:rsidP="001527B1">
      <w:pPr>
        <w:ind w:firstLine="708"/>
        <w:jc w:val="both"/>
        <w:rPr>
          <w:lang w:val="de-DE"/>
        </w:rPr>
      </w:pPr>
      <w:r w:rsidRPr="004676F5">
        <w:rPr>
          <w:lang w:val="de-DE"/>
        </w:rPr>
        <w:t>Nach dem Tod des Urhebers werden die in Artikel XI.165 § 2 bestimmten Rechte von seinen Erben oder Vermächtnisnehmern ausgeübt, außer wenn der Urheber zu diesem Zweck eine andere Person bestimmt hat.</w:t>
      </w:r>
    </w:p>
    <w:p w14:paraId="09F67283" w14:textId="77777777" w:rsidR="001527B1" w:rsidRPr="004676F5" w:rsidRDefault="001527B1" w:rsidP="001527B1">
      <w:pPr>
        <w:ind w:firstLine="708"/>
        <w:jc w:val="both"/>
        <w:rPr>
          <w:lang w:val="de-DE"/>
        </w:rPr>
      </w:pPr>
    </w:p>
    <w:p w14:paraId="4E93CE93" w14:textId="77777777" w:rsidR="001527B1" w:rsidRPr="004676F5" w:rsidRDefault="001527B1" w:rsidP="001527B1">
      <w:pPr>
        <w:ind w:firstLine="708"/>
        <w:jc w:val="both"/>
        <w:rPr>
          <w:lang w:val="de-DE"/>
        </w:rPr>
      </w:pPr>
      <w:r w:rsidRPr="004676F5">
        <w:rPr>
          <w:lang w:val="de-DE"/>
        </w:rPr>
        <w:t>Bei Uneinigkeit gilt die in Artikel XI.168 vorgesehene Regelung.</w:t>
      </w:r>
    </w:p>
    <w:p w14:paraId="1768C614" w14:textId="77777777" w:rsidR="001527B1" w:rsidRPr="004676F5" w:rsidRDefault="001527B1" w:rsidP="001527B1">
      <w:pPr>
        <w:ind w:firstLine="708"/>
        <w:jc w:val="both"/>
        <w:rPr>
          <w:lang w:val="de-DE"/>
        </w:rPr>
      </w:pPr>
    </w:p>
    <w:p w14:paraId="2983BD97" w14:textId="77777777" w:rsidR="00435B6C" w:rsidRPr="004676F5" w:rsidRDefault="00435B6C" w:rsidP="001527B1">
      <w:pPr>
        <w:ind w:firstLine="708"/>
        <w:jc w:val="both"/>
        <w:rPr>
          <w:lang w:val="de-DE"/>
        </w:rPr>
      </w:pPr>
    </w:p>
    <w:p w14:paraId="178147F6" w14:textId="2E0368AA" w:rsidR="001527B1" w:rsidRPr="004676F5" w:rsidRDefault="001527B1" w:rsidP="001527B1">
      <w:pPr>
        <w:jc w:val="center"/>
        <w:rPr>
          <w:lang w:val="de-DE"/>
        </w:rPr>
      </w:pPr>
      <w:r w:rsidRPr="004676F5">
        <w:rPr>
          <w:i/>
          <w:lang w:val="de-DE"/>
        </w:rPr>
        <w:t>Abschnitt 2 </w:t>
      </w:r>
      <w:r w:rsidR="005B7A5C" w:rsidRPr="004676F5">
        <w:rPr>
          <w:lang w:val="de-DE"/>
        </w:rPr>
        <w:t>- </w:t>
      </w:r>
      <w:r w:rsidRPr="004676F5">
        <w:rPr>
          <w:lang w:val="de-DE"/>
        </w:rPr>
        <w:t>Sonderbestimmungen in Bezug auf Werke der Literatur</w:t>
      </w:r>
    </w:p>
    <w:p w14:paraId="55B26D60" w14:textId="77777777" w:rsidR="001527B1" w:rsidRPr="004676F5" w:rsidRDefault="001527B1" w:rsidP="001527B1">
      <w:pPr>
        <w:ind w:firstLine="708"/>
        <w:jc w:val="both"/>
        <w:rPr>
          <w:lang w:val="de-DE"/>
        </w:rPr>
      </w:pPr>
    </w:p>
    <w:p w14:paraId="391AE0E1" w14:textId="77777777" w:rsidR="00435B6C" w:rsidRPr="004676F5" w:rsidRDefault="00435B6C" w:rsidP="001527B1">
      <w:pPr>
        <w:ind w:firstLine="708"/>
        <w:jc w:val="both"/>
        <w:rPr>
          <w:lang w:val="de-DE"/>
        </w:rPr>
      </w:pPr>
    </w:p>
    <w:p w14:paraId="5731EBE2" w14:textId="6CB04089" w:rsidR="001527B1" w:rsidRPr="004676F5" w:rsidRDefault="00BE0A56" w:rsidP="001527B1">
      <w:pPr>
        <w:ind w:firstLine="708"/>
        <w:jc w:val="both"/>
        <w:rPr>
          <w:lang w:val="de-DE"/>
        </w:rPr>
      </w:pPr>
      <w:r w:rsidRPr="004676F5">
        <w:rPr>
          <w:b/>
          <w:lang w:val="de-DE"/>
        </w:rPr>
        <w:t>Art. </w:t>
      </w:r>
      <w:r w:rsidR="001527B1" w:rsidRPr="004676F5">
        <w:rPr>
          <w:b/>
          <w:lang w:val="de-DE"/>
        </w:rPr>
        <w:t>XI.172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Unter Werken der Literatur sind sowohl Schriften jeder Art als auch Unterrichte, Vorträge, Reden, Predigten oder sonstige mündliche Gedankenäußerungen zu verstehen.</w:t>
      </w:r>
    </w:p>
    <w:p w14:paraId="31331644" w14:textId="77777777" w:rsidR="001527B1" w:rsidRPr="004676F5" w:rsidRDefault="001527B1" w:rsidP="001527B1">
      <w:pPr>
        <w:ind w:firstLine="708"/>
        <w:jc w:val="both"/>
        <w:rPr>
          <w:lang w:val="de-DE"/>
        </w:rPr>
      </w:pPr>
    </w:p>
    <w:p w14:paraId="0FEA0E64" w14:textId="77777777" w:rsidR="001527B1" w:rsidRPr="004676F5" w:rsidRDefault="001527B1" w:rsidP="001527B1">
      <w:pPr>
        <w:ind w:firstLine="708"/>
        <w:jc w:val="both"/>
        <w:rPr>
          <w:lang w:val="de-DE"/>
        </w:rPr>
      </w:pPr>
      <w:r w:rsidRPr="004676F5">
        <w:rPr>
          <w:lang w:val="de-DE"/>
        </w:rPr>
        <w:t xml:space="preserve">Reden, die in Versammlungen repräsentativer Körperschaften, in öffentlichen Sitzungen der Rechtsprechungsorgane oder in politischen Versammlungen gehalten werden, </w:t>
      </w:r>
      <w:r w:rsidRPr="004676F5">
        <w:rPr>
          <w:lang w:val="de-DE"/>
        </w:rPr>
        <w:lastRenderedPageBreak/>
        <w:t>dürfen ungehindert vervielfältigt und öffentlich wiedergegeben werden; jedoch hat der Urheber allein das Recht, Sonderabzüge seiner Reden herzustellen.</w:t>
      </w:r>
    </w:p>
    <w:p w14:paraId="2136C415" w14:textId="77777777" w:rsidR="001527B1" w:rsidRPr="004676F5" w:rsidRDefault="001527B1" w:rsidP="001527B1">
      <w:pPr>
        <w:ind w:firstLine="708"/>
        <w:jc w:val="both"/>
        <w:rPr>
          <w:lang w:val="de-DE"/>
        </w:rPr>
      </w:pPr>
    </w:p>
    <w:p w14:paraId="4D0D247B" w14:textId="23438D47"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Offizielle Akte der Behörden genießen keinen urheberrechtlichen Schutz.</w:t>
      </w:r>
    </w:p>
    <w:p w14:paraId="0C3D6E22" w14:textId="77777777" w:rsidR="001527B1" w:rsidRPr="004676F5" w:rsidRDefault="001527B1" w:rsidP="001527B1">
      <w:pPr>
        <w:ind w:firstLine="708"/>
        <w:jc w:val="both"/>
        <w:rPr>
          <w:lang w:val="de-DE"/>
        </w:rPr>
      </w:pPr>
    </w:p>
    <w:p w14:paraId="2BB6D3F6" w14:textId="77777777" w:rsidR="00435B6C" w:rsidRPr="004676F5" w:rsidRDefault="00435B6C" w:rsidP="001527B1">
      <w:pPr>
        <w:ind w:firstLine="708"/>
        <w:jc w:val="both"/>
        <w:rPr>
          <w:lang w:val="de-DE"/>
        </w:rPr>
      </w:pPr>
    </w:p>
    <w:p w14:paraId="1FEE5465" w14:textId="30476312" w:rsidR="001527B1" w:rsidRPr="004676F5" w:rsidRDefault="001527B1" w:rsidP="001527B1">
      <w:pPr>
        <w:jc w:val="center"/>
        <w:rPr>
          <w:lang w:val="de-DE"/>
        </w:rPr>
      </w:pPr>
      <w:r w:rsidRPr="004676F5">
        <w:rPr>
          <w:i/>
          <w:lang w:val="de-DE"/>
        </w:rPr>
        <w:t>Abschnitt 3 </w:t>
      </w:r>
      <w:r w:rsidR="005B7A5C" w:rsidRPr="004676F5">
        <w:rPr>
          <w:lang w:val="de-DE"/>
        </w:rPr>
        <w:t>- </w:t>
      </w:r>
      <w:r w:rsidRPr="004676F5">
        <w:rPr>
          <w:lang w:val="de-DE"/>
        </w:rPr>
        <w:t>Sonderbestimmungen in Bezug auf Werke der grafischen oder der bildenden Künste</w:t>
      </w:r>
    </w:p>
    <w:p w14:paraId="152859DF" w14:textId="77777777" w:rsidR="001527B1" w:rsidRPr="004676F5" w:rsidRDefault="001527B1" w:rsidP="001527B1">
      <w:pPr>
        <w:ind w:firstLine="708"/>
        <w:jc w:val="both"/>
        <w:rPr>
          <w:lang w:val="de-DE"/>
        </w:rPr>
      </w:pPr>
    </w:p>
    <w:p w14:paraId="480C75CF" w14:textId="77777777" w:rsidR="00435B6C" w:rsidRPr="004676F5" w:rsidRDefault="00435B6C" w:rsidP="001527B1">
      <w:pPr>
        <w:ind w:firstLine="708"/>
        <w:jc w:val="both"/>
        <w:rPr>
          <w:lang w:val="de-DE"/>
        </w:rPr>
      </w:pPr>
    </w:p>
    <w:p w14:paraId="21107013" w14:textId="3448D8F8" w:rsidR="001527B1" w:rsidRPr="004676F5" w:rsidRDefault="00BE0A56" w:rsidP="001527B1">
      <w:pPr>
        <w:ind w:firstLine="708"/>
        <w:jc w:val="both"/>
        <w:rPr>
          <w:lang w:val="de-DE"/>
        </w:rPr>
      </w:pPr>
      <w:r w:rsidRPr="004676F5">
        <w:rPr>
          <w:b/>
          <w:lang w:val="de-DE"/>
        </w:rPr>
        <w:t>Art. </w:t>
      </w:r>
      <w:r w:rsidR="001527B1" w:rsidRPr="004676F5">
        <w:rPr>
          <w:b/>
          <w:lang w:val="de-DE"/>
        </w:rPr>
        <w:t>XI.173</w:t>
      </w:r>
      <w:r w:rsidR="001527B1" w:rsidRPr="004676F5">
        <w:rPr>
          <w:lang w:val="de-DE"/>
        </w:rPr>
        <w:t> </w:t>
      </w:r>
      <w:r w:rsidR="005B7A5C" w:rsidRPr="004676F5">
        <w:rPr>
          <w:lang w:val="de-DE"/>
        </w:rPr>
        <w:t>- </w:t>
      </w:r>
      <w:r w:rsidR="001527B1" w:rsidRPr="004676F5">
        <w:rPr>
          <w:lang w:val="de-DE"/>
        </w:rPr>
        <w:t>Außer bei gegenteiliger Vereinbarung wird bei Abtretung eines Werkes der grafischen oder der bildenden Künste dem Erwerber das Recht abgetreten, das Werk als solches auszustellen unter Bedingungen, die die Ehre des Urhebers nicht verletzen beziehungsweise seinem Ansehen nicht schaden; die anderen Urheberrechte werden jedoch nicht abgetreten.</w:t>
      </w:r>
    </w:p>
    <w:p w14:paraId="0EA855A2" w14:textId="77777777" w:rsidR="001527B1" w:rsidRPr="004676F5" w:rsidRDefault="001527B1" w:rsidP="001527B1">
      <w:pPr>
        <w:ind w:firstLine="708"/>
        <w:jc w:val="both"/>
        <w:rPr>
          <w:lang w:val="de-DE"/>
        </w:rPr>
      </w:pPr>
    </w:p>
    <w:p w14:paraId="6AE9DB53" w14:textId="77777777" w:rsidR="001527B1" w:rsidRPr="004676F5" w:rsidRDefault="001527B1" w:rsidP="001527B1">
      <w:pPr>
        <w:ind w:firstLine="708"/>
        <w:jc w:val="both"/>
        <w:rPr>
          <w:lang w:val="de-DE"/>
        </w:rPr>
      </w:pPr>
      <w:r w:rsidRPr="004676F5">
        <w:rPr>
          <w:lang w:val="de-DE"/>
        </w:rPr>
        <w:t>Außer bei gegenteiliger Vereinbarung oder anderen Gepflogenheiten bringt die Abtretung eines Werkes der grafischen oder der bildenden Künste das Verbot mit sich, andere identische Exemplare anzufertigen.</w:t>
      </w:r>
    </w:p>
    <w:p w14:paraId="288FF730" w14:textId="77777777" w:rsidR="001527B1" w:rsidRPr="004676F5" w:rsidRDefault="001527B1" w:rsidP="001527B1">
      <w:pPr>
        <w:ind w:firstLine="708"/>
        <w:jc w:val="both"/>
        <w:rPr>
          <w:lang w:val="de-DE"/>
        </w:rPr>
      </w:pPr>
    </w:p>
    <w:p w14:paraId="360AC5FA" w14:textId="77777777" w:rsidR="00435B6C" w:rsidRPr="004676F5" w:rsidRDefault="00435B6C" w:rsidP="001527B1">
      <w:pPr>
        <w:ind w:firstLine="708"/>
        <w:jc w:val="both"/>
        <w:rPr>
          <w:lang w:val="de-DE"/>
        </w:rPr>
      </w:pPr>
    </w:p>
    <w:p w14:paraId="5659E3FB" w14:textId="622FF742" w:rsidR="001527B1" w:rsidRPr="004676F5" w:rsidRDefault="00BE0A56" w:rsidP="001527B1">
      <w:pPr>
        <w:ind w:firstLine="708"/>
        <w:jc w:val="both"/>
        <w:rPr>
          <w:lang w:val="de-DE"/>
        </w:rPr>
      </w:pPr>
      <w:r w:rsidRPr="004676F5">
        <w:rPr>
          <w:b/>
          <w:lang w:val="de-DE"/>
        </w:rPr>
        <w:t>Art. </w:t>
      </w:r>
      <w:r w:rsidR="001527B1" w:rsidRPr="004676F5">
        <w:rPr>
          <w:b/>
          <w:lang w:val="de-DE"/>
        </w:rPr>
        <w:t>XI.174</w:t>
      </w:r>
      <w:r w:rsidR="001527B1" w:rsidRPr="004676F5">
        <w:rPr>
          <w:lang w:val="de-DE"/>
        </w:rPr>
        <w:t> </w:t>
      </w:r>
      <w:r w:rsidR="005B7A5C" w:rsidRPr="004676F5">
        <w:rPr>
          <w:lang w:val="de-DE"/>
        </w:rPr>
        <w:t>- </w:t>
      </w:r>
      <w:r w:rsidR="001527B1" w:rsidRPr="004676F5">
        <w:rPr>
          <w:lang w:val="de-DE"/>
        </w:rPr>
        <w:t>Weder der Urheber noch der Eigentümer eines Bildnisses, noch irgend ein anderer Besitzer oder Inhaber eines Bildnisses hat das Recht, das Bildnis ohne Zustimmung des Abgebildeten beziehungsweise in den zwanzig Jahren nach dessen Tod ohne Zustimmung seiner Rechtsnachfolger zu vervielfältigen oder öffentlich wiederzugeben.</w:t>
      </w:r>
    </w:p>
    <w:p w14:paraId="518BFE0E" w14:textId="77777777" w:rsidR="001527B1" w:rsidRPr="004676F5" w:rsidRDefault="001527B1" w:rsidP="001527B1">
      <w:pPr>
        <w:ind w:firstLine="708"/>
        <w:jc w:val="both"/>
        <w:rPr>
          <w:lang w:val="de-DE"/>
        </w:rPr>
      </w:pPr>
    </w:p>
    <w:p w14:paraId="029E522E" w14:textId="77777777" w:rsidR="00435B6C" w:rsidRPr="004676F5" w:rsidRDefault="00435B6C" w:rsidP="001527B1">
      <w:pPr>
        <w:ind w:firstLine="708"/>
        <w:jc w:val="both"/>
        <w:rPr>
          <w:lang w:val="de-DE"/>
        </w:rPr>
      </w:pPr>
    </w:p>
    <w:p w14:paraId="0EC36231" w14:textId="0EF7E497" w:rsidR="001527B1" w:rsidRPr="004676F5" w:rsidRDefault="00BE0A56" w:rsidP="001527B1">
      <w:pPr>
        <w:ind w:firstLine="708"/>
        <w:jc w:val="both"/>
        <w:rPr>
          <w:lang w:val="de-DE"/>
        </w:rPr>
      </w:pPr>
      <w:r w:rsidRPr="004676F5">
        <w:rPr>
          <w:b/>
          <w:lang w:val="de-DE"/>
        </w:rPr>
        <w:t>Art. </w:t>
      </w:r>
      <w:r w:rsidR="001527B1" w:rsidRPr="004676F5">
        <w:rPr>
          <w:b/>
          <w:lang w:val="de-DE"/>
        </w:rPr>
        <w:t>XI.175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Bei Weiterveräußerung des Originals eines Kunstwerks, an der Vertreter des Kunstmarkts als Verkäufer, Käufer oder Vermittler beteiligt sind, schuldet der Verkäufer dem Urheber nach der ersten Abtretung durch den Urheber ein unveräußerliches Folgerecht, das auf den Weiterveräußerungspreis zu berechnen ist und auf das auch im Voraus nicht verzichtet werden kann.</w:t>
      </w:r>
    </w:p>
    <w:p w14:paraId="789A9D1C" w14:textId="77777777" w:rsidR="001527B1" w:rsidRPr="004676F5" w:rsidRDefault="001527B1" w:rsidP="001527B1">
      <w:pPr>
        <w:ind w:firstLine="708"/>
        <w:jc w:val="both"/>
        <w:rPr>
          <w:lang w:val="de-DE"/>
        </w:rPr>
      </w:pPr>
    </w:p>
    <w:p w14:paraId="5E8A2B90" w14:textId="77777777" w:rsidR="001527B1" w:rsidRPr="004676F5" w:rsidRDefault="001527B1" w:rsidP="001527B1">
      <w:pPr>
        <w:ind w:firstLine="708"/>
        <w:jc w:val="both"/>
        <w:rPr>
          <w:lang w:val="de-DE"/>
        </w:rPr>
      </w:pPr>
      <w:r w:rsidRPr="004676F5">
        <w:rPr>
          <w:lang w:val="de-DE"/>
        </w:rPr>
        <w:t>Als "Original von Kunstwerken" gelten für vorliegenden Abschnitt Werke der grafischen oder der bildenden Künste, wie Bilder, Collagen, Gemälde, Zeichnungen, Stiche, Bilddrucke, Lithografien, Plastiken, Tapisserien, Keramiken, Glasobjekte und Lichtbildwerke, soweit sie vom Künstler selbst geschaffen worden sind oder es sich um Exemplare handelt, die als Originale von Kunstwerken angesehen werden.</w:t>
      </w:r>
    </w:p>
    <w:p w14:paraId="75B61ED5" w14:textId="77777777" w:rsidR="001527B1" w:rsidRPr="004676F5" w:rsidRDefault="001527B1" w:rsidP="001527B1">
      <w:pPr>
        <w:ind w:firstLine="708"/>
        <w:jc w:val="both"/>
        <w:rPr>
          <w:lang w:val="de-DE"/>
        </w:rPr>
      </w:pPr>
    </w:p>
    <w:p w14:paraId="66C9C451" w14:textId="77777777" w:rsidR="001527B1" w:rsidRPr="004676F5" w:rsidRDefault="001527B1" w:rsidP="001527B1">
      <w:pPr>
        <w:ind w:firstLine="708"/>
        <w:jc w:val="both"/>
        <w:rPr>
          <w:lang w:val="de-DE"/>
        </w:rPr>
      </w:pPr>
      <w:r w:rsidRPr="004676F5">
        <w:rPr>
          <w:lang w:val="de-DE"/>
        </w:rPr>
        <w:t>Exemplare von Kunstwerken, auf die sich vorliegender Abschnitt bezieht und die vom Künstler selbst oder unter seiner Leitung in begrenzter Auflage hergestellt wurden, gelten im Sinne des vorliegenden Abschnitts als Originale von Kunstwerken. Derartige Exemplare sind in der Regel nummeriert, signiert oder vom Künstler auf andere Weise ordnungsgemäß autorisiert.</w:t>
      </w:r>
    </w:p>
    <w:p w14:paraId="657D49D7" w14:textId="77777777" w:rsidR="001527B1" w:rsidRPr="004676F5" w:rsidRDefault="001527B1" w:rsidP="001527B1">
      <w:pPr>
        <w:ind w:firstLine="708"/>
        <w:jc w:val="both"/>
        <w:rPr>
          <w:lang w:val="de-DE"/>
        </w:rPr>
      </w:pPr>
    </w:p>
    <w:p w14:paraId="1286A4F6" w14:textId="14F59B3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Folgerecht ist jedoch nicht auf Weiterveräußerungen anzuwenden, wenn der Verkäufer das Werk weniger als drei Jahre vor der betreffenden Weiterveräußerung unmittelbar beim Künstler erworben hat und wenn der bei der Weiterveräußerung erzielte Preis 10.000 EUR nicht übersteigt. Die Beweislast für die Einhaltung dieser Bedingungen obliegt dem Verkäufer.</w:t>
      </w:r>
    </w:p>
    <w:p w14:paraId="52731B67" w14:textId="77777777" w:rsidR="001527B1" w:rsidRPr="004676F5" w:rsidRDefault="001527B1" w:rsidP="001527B1">
      <w:pPr>
        <w:ind w:firstLine="708"/>
        <w:jc w:val="both"/>
        <w:rPr>
          <w:lang w:val="de-DE"/>
        </w:rPr>
      </w:pPr>
    </w:p>
    <w:p w14:paraId="24EF1470" w14:textId="743125F5" w:rsidR="001527B1" w:rsidRPr="004676F5" w:rsidRDefault="001527B1" w:rsidP="001527B1">
      <w:pPr>
        <w:ind w:firstLine="708"/>
        <w:jc w:val="both"/>
        <w:rPr>
          <w:lang w:val="de-DE"/>
        </w:rPr>
      </w:pPr>
      <w:r w:rsidRPr="004676F5">
        <w:rPr>
          <w:lang w:val="de-DE"/>
        </w:rPr>
        <w:lastRenderedPageBreak/>
        <w:t>§ 3 </w:t>
      </w:r>
      <w:r w:rsidR="005B7A5C" w:rsidRPr="004676F5">
        <w:rPr>
          <w:lang w:val="de-DE"/>
        </w:rPr>
        <w:t>- </w:t>
      </w:r>
      <w:r w:rsidRPr="004676F5">
        <w:rPr>
          <w:lang w:val="de-DE"/>
        </w:rPr>
        <w:t>Das Folgerecht steht gemäß den Artikeln XI.166 und XI.171 den Erben und anderen Rechtsnachfolgern der Urheber zu.</w:t>
      </w:r>
    </w:p>
    <w:p w14:paraId="02EFD440" w14:textId="77777777" w:rsidR="001527B1" w:rsidRPr="004676F5" w:rsidRDefault="001527B1" w:rsidP="001527B1">
      <w:pPr>
        <w:ind w:firstLine="708"/>
        <w:jc w:val="both"/>
        <w:rPr>
          <w:lang w:val="de-DE"/>
        </w:rPr>
      </w:pPr>
    </w:p>
    <w:p w14:paraId="45AE3A45" w14:textId="7AD94F23"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Unbeschadet der Bestimmungen internationaler Abkommen ist auf das Folgerecht die Gegenseitigkeit anwendbar.</w:t>
      </w:r>
    </w:p>
    <w:p w14:paraId="47FE4A8D" w14:textId="77777777" w:rsidR="001527B1" w:rsidRPr="004676F5" w:rsidRDefault="001527B1" w:rsidP="001527B1">
      <w:pPr>
        <w:ind w:firstLine="708"/>
        <w:jc w:val="both"/>
        <w:rPr>
          <w:lang w:val="de-DE"/>
        </w:rPr>
      </w:pPr>
    </w:p>
    <w:p w14:paraId="017ED9C5" w14:textId="77777777" w:rsidR="00435B6C" w:rsidRPr="004676F5" w:rsidRDefault="00435B6C" w:rsidP="001527B1">
      <w:pPr>
        <w:ind w:firstLine="708"/>
        <w:jc w:val="both"/>
        <w:rPr>
          <w:lang w:val="de-DE"/>
        </w:rPr>
      </w:pPr>
    </w:p>
    <w:p w14:paraId="7A75062C" w14:textId="78B4D02F" w:rsidR="001527B1" w:rsidRPr="004676F5" w:rsidRDefault="00BE0A56" w:rsidP="001527B1">
      <w:pPr>
        <w:ind w:firstLine="708"/>
        <w:jc w:val="both"/>
        <w:rPr>
          <w:lang w:val="de-DE"/>
        </w:rPr>
      </w:pPr>
      <w:r w:rsidRPr="004676F5">
        <w:rPr>
          <w:b/>
          <w:lang w:val="de-DE"/>
        </w:rPr>
        <w:t>Art. </w:t>
      </w:r>
      <w:r w:rsidR="001527B1" w:rsidRPr="004676F5">
        <w:rPr>
          <w:b/>
          <w:lang w:val="de-DE"/>
        </w:rPr>
        <w:t>XI.176</w:t>
      </w:r>
      <w:r w:rsidR="001527B1" w:rsidRPr="004676F5">
        <w:rPr>
          <w:lang w:val="de-DE"/>
        </w:rPr>
        <w:t> </w:t>
      </w:r>
      <w:r w:rsidR="005B7A5C" w:rsidRPr="004676F5">
        <w:rPr>
          <w:lang w:val="de-DE"/>
        </w:rPr>
        <w:t>- </w:t>
      </w:r>
      <w:r w:rsidR="001527B1" w:rsidRPr="004676F5">
        <w:rPr>
          <w:lang w:val="de-DE"/>
        </w:rPr>
        <w:t>Das Folgerecht wird auf den Verkaufspreis ohne Steuer berechnet, vorausgesetzt, dass dieser mindestens 2.000 EUR beträgt. Um Unterschiede abzuschaffen, die negative Auswirkungen auf das Funktionieren des Binnenmarkts haben, kann der König diesen Betrag von 2.000 EUR ändern, ohne jedoch einen Betrag festlegen zu dürfen, der 3.000 EUR übersteigt. Die Folgerechtsvergütung beträgt:</w:t>
      </w:r>
    </w:p>
    <w:p w14:paraId="767ABB3F" w14:textId="77777777" w:rsidR="001527B1" w:rsidRPr="004676F5" w:rsidRDefault="001527B1" w:rsidP="001527B1">
      <w:pPr>
        <w:ind w:firstLine="708"/>
        <w:jc w:val="both"/>
        <w:rPr>
          <w:lang w:val="de-DE"/>
        </w:rPr>
      </w:pPr>
    </w:p>
    <w:p w14:paraId="5D6E4F9A" w14:textId="5E384829" w:rsidR="001527B1" w:rsidRPr="004676F5" w:rsidRDefault="005B7A5C" w:rsidP="001527B1">
      <w:pPr>
        <w:ind w:firstLine="708"/>
        <w:jc w:val="both"/>
        <w:rPr>
          <w:lang w:val="de-DE"/>
        </w:rPr>
      </w:pPr>
      <w:r w:rsidRPr="004676F5">
        <w:rPr>
          <w:lang w:val="de-DE"/>
        </w:rPr>
        <w:t>- </w:t>
      </w:r>
      <w:r w:rsidR="001527B1" w:rsidRPr="004676F5">
        <w:rPr>
          <w:lang w:val="de-DE"/>
        </w:rPr>
        <w:t>4 Prozent für den Teilbetrag des Verkaufspreises bis 50.000 EUR,</w:t>
      </w:r>
    </w:p>
    <w:p w14:paraId="6BF0C08D" w14:textId="77777777" w:rsidR="001527B1" w:rsidRPr="004676F5" w:rsidRDefault="001527B1" w:rsidP="001527B1">
      <w:pPr>
        <w:ind w:firstLine="708"/>
        <w:jc w:val="both"/>
        <w:rPr>
          <w:lang w:val="de-DE"/>
        </w:rPr>
      </w:pPr>
    </w:p>
    <w:p w14:paraId="0E17D9DC" w14:textId="03216034" w:rsidR="001527B1" w:rsidRPr="004676F5" w:rsidRDefault="005B7A5C" w:rsidP="001527B1">
      <w:pPr>
        <w:ind w:firstLine="708"/>
        <w:jc w:val="both"/>
        <w:rPr>
          <w:lang w:val="de-DE"/>
        </w:rPr>
      </w:pPr>
      <w:r w:rsidRPr="004676F5">
        <w:rPr>
          <w:lang w:val="de-DE"/>
        </w:rPr>
        <w:t>- </w:t>
      </w:r>
      <w:r w:rsidR="001527B1" w:rsidRPr="004676F5">
        <w:rPr>
          <w:lang w:val="de-DE"/>
        </w:rPr>
        <w:t>3 Prozent für den Teilbetrag des Verkaufspreises zwischen 50.000,01 EUR und 200.000 EUR,</w:t>
      </w:r>
    </w:p>
    <w:p w14:paraId="440D917B" w14:textId="77777777" w:rsidR="001527B1" w:rsidRPr="004676F5" w:rsidRDefault="001527B1" w:rsidP="001527B1">
      <w:pPr>
        <w:ind w:firstLine="708"/>
        <w:jc w:val="both"/>
        <w:rPr>
          <w:lang w:val="de-DE"/>
        </w:rPr>
      </w:pPr>
    </w:p>
    <w:p w14:paraId="5792FD3D" w14:textId="368E5FBA" w:rsidR="001527B1" w:rsidRPr="004676F5" w:rsidRDefault="005B7A5C" w:rsidP="001527B1">
      <w:pPr>
        <w:ind w:firstLine="708"/>
        <w:jc w:val="both"/>
        <w:rPr>
          <w:lang w:val="de-DE"/>
        </w:rPr>
      </w:pPr>
      <w:r w:rsidRPr="004676F5">
        <w:rPr>
          <w:lang w:val="de-DE"/>
        </w:rPr>
        <w:t>- </w:t>
      </w:r>
      <w:r w:rsidR="001527B1" w:rsidRPr="004676F5">
        <w:rPr>
          <w:lang w:val="de-DE"/>
        </w:rPr>
        <w:t>1 Prozent für den Teilbetrag des Verkaufspreises zwischen 200.000,01 EUR und 350.000 EUR,</w:t>
      </w:r>
    </w:p>
    <w:p w14:paraId="3D09FA08" w14:textId="77777777" w:rsidR="001527B1" w:rsidRPr="004676F5" w:rsidRDefault="001527B1" w:rsidP="001527B1">
      <w:pPr>
        <w:ind w:firstLine="708"/>
        <w:jc w:val="both"/>
        <w:rPr>
          <w:lang w:val="de-DE"/>
        </w:rPr>
      </w:pPr>
    </w:p>
    <w:p w14:paraId="42C9DBD3" w14:textId="569721D5" w:rsidR="001527B1" w:rsidRPr="004676F5" w:rsidRDefault="005B7A5C" w:rsidP="001527B1">
      <w:pPr>
        <w:ind w:firstLine="708"/>
        <w:jc w:val="both"/>
        <w:rPr>
          <w:lang w:val="de-DE"/>
        </w:rPr>
      </w:pPr>
      <w:r w:rsidRPr="004676F5">
        <w:rPr>
          <w:lang w:val="de-DE"/>
        </w:rPr>
        <w:t>- </w:t>
      </w:r>
      <w:r w:rsidR="001527B1" w:rsidRPr="004676F5">
        <w:rPr>
          <w:lang w:val="de-DE"/>
        </w:rPr>
        <w:t>0,5 Prozent für den Teilbetrag des Verkaufspreises zwischen 350.000,01 EUR und 500.000 EUR,</w:t>
      </w:r>
    </w:p>
    <w:p w14:paraId="5502FC1A" w14:textId="77777777" w:rsidR="001527B1" w:rsidRPr="004676F5" w:rsidRDefault="001527B1" w:rsidP="001527B1">
      <w:pPr>
        <w:ind w:firstLine="708"/>
        <w:jc w:val="both"/>
        <w:rPr>
          <w:lang w:val="de-DE"/>
        </w:rPr>
      </w:pPr>
    </w:p>
    <w:p w14:paraId="6E8E521A" w14:textId="52570514" w:rsidR="001527B1" w:rsidRPr="004676F5" w:rsidRDefault="005B7A5C" w:rsidP="001527B1">
      <w:pPr>
        <w:ind w:firstLine="708"/>
        <w:jc w:val="both"/>
        <w:rPr>
          <w:lang w:val="de-DE"/>
        </w:rPr>
      </w:pPr>
      <w:r w:rsidRPr="004676F5">
        <w:rPr>
          <w:lang w:val="de-DE"/>
        </w:rPr>
        <w:t>- </w:t>
      </w:r>
      <w:r w:rsidR="001527B1" w:rsidRPr="004676F5">
        <w:rPr>
          <w:lang w:val="de-DE"/>
        </w:rPr>
        <w:t>0,25 Prozent für den Teilbetrag des Verkaufspreises über 500.000 EUR.</w:t>
      </w:r>
    </w:p>
    <w:p w14:paraId="64F0956C" w14:textId="77777777" w:rsidR="001527B1" w:rsidRPr="004676F5" w:rsidRDefault="001527B1" w:rsidP="001527B1">
      <w:pPr>
        <w:ind w:firstLine="708"/>
        <w:jc w:val="both"/>
        <w:rPr>
          <w:lang w:val="de-DE"/>
        </w:rPr>
      </w:pPr>
    </w:p>
    <w:p w14:paraId="7CA13250" w14:textId="77777777" w:rsidR="001527B1" w:rsidRPr="004676F5" w:rsidRDefault="001527B1" w:rsidP="001527B1">
      <w:pPr>
        <w:ind w:firstLine="708"/>
        <w:jc w:val="both"/>
        <w:rPr>
          <w:lang w:val="de-DE"/>
        </w:rPr>
      </w:pPr>
      <w:r w:rsidRPr="004676F5">
        <w:rPr>
          <w:lang w:val="de-DE"/>
        </w:rPr>
        <w:t>Der Gesamtbetrag der Folgerechtsvergütung darf jedoch 12.500 EUR nicht übersteigen.</w:t>
      </w:r>
    </w:p>
    <w:p w14:paraId="4F141E59" w14:textId="77777777" w:rsidR="001527B1" w:rsidRPr="004676F5" w:rsidRDefault="001527B1" w:rsidP="001527B1">
      <w:pPr>
        <w:ind w:firstLine="708"/>
        <w:jc w:val="both"/>
        <w:rPr>
          <w:lang w:val="de-DE"/>
        </w:rPr>
      </w:pPr>
    </w:p>
    <w:p w14:paraId="51DD1CC4" w14:textId="77777777" w:rsidR="00435B6C" w:rsidRPr="004676F5" w:rsidRDefault="00435B6C" w:rsidP="001527B1">
      <w:pPr>
        <w:ind w:firstLine="708"/>
        <w:jc w:val="both"/>
        <w:rPr>
          <w:lang w:val="de-DE"/>
        </w:rPr>
      </w:pPr>
    </w:p>
    <w:p w14:paraId="2AA55C47" w14:textId="7A830801" w:rsidR="001527B1" w:rsidRPr="004676F5" w:rsidRDefault="00BE0A56" w:rsidP="001527B1">
      <w:pPr>
        <w:ind w:firstLine="708"/>
        <w:jc w:val="both"/>
        <w:rPr>
          <w:lang w:val="de-DE"/>
        </w:rPr>
      </w:pPr>
      <w:r w:rsidRPr="004676F5">
        <w:rPr>
          <w:b/>
          <w:lang w:val="de-DE"/>
        </w:rPr>
        <w:t>Art. </w:t>
      </w:r>
      <w:r w:rsidR="001527B1" w:rsidRPr="004676F5">
        <w:rPr>
          <w:b/>
          <w:lang w:val="de-DE"/>
        </w:rPr>
        <w:t>XI.177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Dritten gegenüber kann das Folgerecht ausschließlich über die in § 2 erwähnte Gemeinschaftsplattform ausgeübt werden.</w:t>
      </w:r>
    </w:p>
    <w:p w14:paraId="24D1D7CD" w14:textId="77777777" w:rsidR="001527B1" w:rsidRPr="004676F5" w:rsidRDefault="001527B1" w:rsidP="001527B1">
      <w:pPr>
        <w:ind w:firstLine="708"/>
        <w:jc w:val="both"/>
        <w:rPr>
          <w:lang w:val="de-DE"/>
        </w:rPr>
      </w:pPr>
    </w:p>
    <w:p w14:paraId="21509C4E" w14:textId="77777777" w:rsidR="001527B1" w:rsidRPr="004676F5" w:rsidRDefault="001527B1" w:rsidP="001527B1">
      <w:pPr>
        <w:ind w:firstLine="708"/>
        <w:jc w:val="both"/>
        <w:rPr>
          <w:lang w:val="de-DE"/>
        </w:rPr>
      </w:pPr>
      <w:r w:rsidRPr="004676F5">
        <w:rPr>
          <w:lang w:val="de-DE"/>
        </w:rPr>
        <w:t xml:space="preserve">Hat ein Urheber die Wahrnehmung seiner Rechte nicht </w:t>
      </w:r>
      <w:r w:rsidR="00DD2A62" w:rsidRPr="004676F5">
        <w:rPr>
          <w:lang w:val="de-DE"/>
        </w:rPr>
        <w:t>[einer Verwertungsgesellschaft oder Organisation für die kollektive Rechtewahrnehmung]</w:t>
      </w:r>
      <w:r w:rsidRPr="004676F5">
        <w:rPr>
          <w:lang w:val="de-DE"/>
        </w:rPr>
        <w:t xml:space="preserve"> übertragen, gilt, dass die Gemeinschaftsplattform mit der Wahrnehmung seiner Rechte beauftragt ist. Der Urheber kann seine Rechte innerhalb fünf Jahren ab dem Datum der Weiterveräußerung seines Werkes geltend machen.</w:t>
      </w:r>
    </w:p>
    <w:p w14:paraId="2C892518" w14:textId="77777777" w:rsidR="001527B1" w:rsidRPr="004676F5" w:rsidRDefault="001527B1" w:rsidP="001527B1">
      <w:pPr>
        <w:ind w:firstLine="708"/>
        <w:jc w:val="both"/>
        <w:rPr>
          <w:lang w:val="de-DE"/>
        </w:rPr>
      </w:pPr>
    </w:p>
    <w:p w14:paraId="2460CB82" w14:textId="495C36BB"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 xml:space="preserve">Zur Wahrnehmung der Folgerechte richten </w:t>
      </w:r>
      <w:r w:rsidR="00DD2A62" w:rsidRPr="004676F5">
        <w:rPr>
          <w:lang w:val="de-DE"/>
        </w:rPr>
        <w:t>[die Verwertungsgesellschaften und Organisationen für die kollektive Rechtewahrnehmung, die in Belgien die Folgerechte wahrnehmen]</w:t>
      </w:r>
      <w:r w:rsidRPr="004676F5">
        <w:rPr>
          <w:lang w:val="de-DE"/>
        </w:rPr>
        <w:t>, eine Gemeinschaftsplattform ein. Anmeldung der in Artikel XI.175 § 1 erwähnten Weiterveräußerungen und Zahlung der Folgerechte erfolgen über die Gemeinschaftsplattform. Der König bestimmt durch einen im Ministerrat beratenen Erlass die Bedingungen, denen die Gemeinschaftsplattform entsprechen muss.</w:t>
      </w:r>
    </w:p>
    <w:p w14:paraId="306C0023" w14:textId="77777777" w:rsidR="00DD2A62" w:rsidRPr="004676F5" w:rsidRDefault="00DD2A62" w:rsidP="001527B1">
      <w:pPr>
        <w:ind w:firstLine="708"/>
        <w:jc w:val="both"/>
        <w:rPr>
          <w:lang w:val="de-DE"/>
        </w:rPr>
      </w:pPr>
    </w:p>
    <w:p w14:paraId="3A4E0440" w14:textId="6DC24D15" w:rsidR="00DD2A62" w:rsidRPr="004676F5" w:rsidRDefault="00DD2A62" w:rsidP="00DD2A62">
      <w:pPr>
        <w:jc w:val="both"/>
        <w:rPr>
          <w:i/>
          <w:lang w:val="de-DE"/>
        </w:rPr>
      </w:pPr>
      <w:r w:rsidRPr="004676F5">
        <w:rPr>
          <w:i/>
          <w:lang w:val="de-DE"/>
        </w:rPr>
        <w:t>[</w:t>
      </w:r>
      <w:r w:rsidR="00BE0A56" w:rsidRPr="004676F5">
        <w:rPr>
          <w:i/>
          <w:lang w:val="de-DE"/>
        </w:rPr>
        <w:t>Art. </w:t>
      </w:r>
      <w:r w:rsidRPr="004676F5">
        <w:rPr>
          <w:i/>
          <w:lang w:val="de-DE"/>
        </w:rPr>
        <w:t xml:space="preserve">XI.177 § 1 Abs. 2 abgeändert durch </w:t>
      </w:r>
      <w:r w:rsidR="00BE0A56" w:rsidRPr="004676F5">
        <w:rPr>
          <w:i/>
          <w:lang w:val="de-DE"/>
        </w:rPr>
        <w:t>Art. </w:t>
      </w:r>
      <w:r w:rsidRPr="004676F5">
        <w:rPr>
          <w:i/>
          <w:lang w:val="de-DE"/>
        </w:rPr>
        <w:t xml:space="preserve">4 Nr. 1 des G. vom 8. Juni 2017 (B.S. vom 27. Juni 2017); § 2 abgeändert durch </w:t>
      </w:r>
      <w:r w:rsidR="00BE0A56" w:rsidRPr="004676F5">
        <w:rPr>
          <w:i/>
          <w:lang w:val="de-DE"/>
        </w:rPr>
        <w:t>Art. </w:t>
      </w:r>
      <w:r w:rsidRPr="004676F5">
        <w:rPr>
          <w:i/>
          <w:lang w:val="de-DE"/>
        </w:rPr>
        <w:t>4 Nr. 2 des G. vom 8. Juni 2017 (B.S. vom 27. Juni 2017)]</w:t>
      </w:r>
    </w:p>
    <w:p w14:paraId="5E05D44E" w14:textId="77777777" w:rsidR="001527B1" w:rsidRPr="004676F5" w:rsidRDefault="001527B1" w:rsidP="001527B1">
      <w:pPr>
        <w:ind w:firstLine="708"/>
        <w:jc w:val="both"/>
        <w:rPr>
          <w:lang w:val="de-DE"/>
        </w:rPr>
      </w:pPr>
    </w:p>
    <w:p w14:paraId="20AE9200" w14:textId="77777777" w:rsidR="00435B6C" w:rsidRPr="004676F5" w:rsidRDefault="00435B6C" w:rsidP="001527B1">
      <w:pPr>
        <w:ind w:firstLine="708"/>
        <w:jc w:val="both"/>
        <w:rPr>
          <w:lang w:val="de-DE"/>
        </w:rPr>
      </w:pPr>
    </w:p>
    <w:p w14:paraId="6423BF6C" w14:textId="77534469" w:rsidR="001527B1" w:rsidRPr="004676F5" w:rsidRDefault="00BE0A56" w:rsidP="001527B1">
      <w:pPr>
        <w:ind w:firstLine="708"/>
        <w:jc w:val="both"/>
        <w:rPr>
          <w:lang w:val="de-DE"/>
        </w:rPr>
      </w:pPr>
      <w:r w:rsidRPr="004676F5">
        <w:rPr>
          <w:b/>
          <w:lang w:val="de-DE"/>
        </w:rPr>
        <w:t>Art. </w:t>
      </w:r>
      <w:r w:rsidR="001527B1" w:rsidRPr="004676F5">
        <w:rPr>
          <w:b/>
          <w:lang w:val="de-DE"/>
        </w:rPr>
        <w:t>XI.178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Für Weiterveräußerungen, die im Rahmen einer öffentlichen Versteigerung durchgeführt werden, sind die Vertreter des Kunstmarkts, die an der </w:t>
      </w:r>
      <w:r w:rsidR="001527B1" w:rsidRPr="004676F5">
        <w:rPr>
          <w:lang w:val="de-DE"/>
        </w:rPr>
        <w:lastRenderedPageBreak/>
        <w:t>Weiterveräußerung als Verkäufer, Käufer oder Vermittler beteiligt sind, der öffentliche Amtsträger und der Verkäufer gesamtschuldnerisch dazu verpflichtet, binnen einem Monat nach dem Verkauf der Gemeinschaftsplattform den Verkauf zu notifizieren. Sie sind ebenfalls gesamtschuldnerisch dazu verpflichtet, die zu entrichtenden Vergütungen binnen zwei Monaten nach der Notifizierung über die Gemeinschaftsplattform zu zahlen.</w:t>
      </w:r>
    </w:p>
    <w:p w14:paraId="4A737FA1" w14:textId="77777777" w:rsidR="001527B1" w:rsidRPr="004676F5" w:rsidRDefault="001527B1" w:rsidP="001527B1">
      <w:pPr>
        <w:jc w:val="both"/>
        <w:rPr>
          <w:lang w:val="de-DE"/>
        </w:rPr>
      </w:pPr>
    </w:p>
    <w:p w14:paraId="4BF424D2" w14:textId="77777777" w:rsidR="001527B1" w:rsidRPr="004676F5" w:rsidRDefault="001527B1" w:rsidP="001527B1">
      <w:pPr>
        <w:ind w:firstLine="708"/>
        <w:jc w:val="both"/>
        <w:rPr>
          <w:lang w:val="de-DE"/>
        </w:rPr>
      </w:pPr>
      <w:r w:rsidRPr="004676F5">
        <w:rPr>
          <w:lang w:val="de-DE"/>
        </w:rPr>
        <w:t>Für Weiterveräußerungen, die nicht im Rahmen einer öffentlichen Versteigerung durchgeführt werden, einschließlich Verkäufe, die Anlass zur Anwendung von Artikel XI.175 § 2 geben, sind die Vertreter des Kunstmarkts, die an der Weiterveräußerung als Verkäufer, Käufer oder Vermittler beteiligt sind, und der Verkäufer gesamtschuldnerisch dazu verpflichtet, der Gemeinschaftsplattform den Verkauf binnen einer Frist und gemäß Modalitäten zu notifizieren, die der König festlegt. Sie sind ebenfalls gesamtschuldnerisch dazu verpflichtet, die zu entrichtenden Vergütungen binnen zwei Monaten nach der Notifizierung über die Gemeinschaftsplattform zu zahlen.</w:t>
      </w:r>
    </w:p>
    <w:p w14:paraId="70356441" w14:textId="77777777" w:rsidR="001527B1" w:rsidRPr="004676F5" w:rsidRDefault="001527B1" w:rsidP="001527B1">
      <w:pPr>
        <w:ind w:firstLine="708"/>
        <w:jc w:val="both"/>
        <w:rPr>
          <w:lang w:val="de-DE"/>
        </w:rPr>
      </w:pPr>
    </w:p>
    <w:p w14:paraId="4B53F4E5" w14:textId="77777777" w:rsidR="001527B1" w:rsidRPr="004676F5" w:rsidRDefault="001527B1" w:rsidP="001527B1">
      <w:pPr>
        <w:ind w:firstLine="708"/>
        <w:jc w:val="both"/>
        <w:rPr>
          <w:lang w:val="de-DE"/>
        </w:rPr>
      </w:pPr>
      <w:r w:rsidRPr="004676F5">
        <w:rPr>
          <w:lang w:val="de-DE"/>
        </w:rPr>
        <w:t>In Absatz 1 und 2 erwähnte Weiterveräußerungsanmeldungen müssen ab dem 1. Januar 2015 elektronisch an die Gemeinschaftsplattform gerichtet werden über ein System, das den Bedingungen entspricht, die der König festlegt. Der König kann das in vorhergehendem Satz erwähnte Datum ändern.</w:t>
      </w:r>
    </w:p>
    <w:p w14:paraId="6EE6C297" w14:textId="77777777" w:rsidR="001527B1" w:rsidRPr="004676F5" w:rsidRDefault="001527B1" w:rsidP="001527B1">
      <w:pPr>
        <w:ind w:firstLine="708"/>
        <w:jc w:val="both"/>
        <w:rPr>
          <w:lang w:val="de-DE"/>
        </w:rPr>
      </w:pPr>
    </w:p>
    <w:p w14:paraId="25C40D0C" w14:textId="1BE1D0B5"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Ansprüche des Urhebers verjähren in fünf Jahren ab dem Datum der Weiterveräußerung.</w:t>
      </w:r>
    </w:p>
    <w:p w14:paraId="6D35584D" w14:textId="77777777" w:rsidR="001527B1" w:rsidRPr="004676F5" w:rsidRDefault="001527B1" w:rsidP="001527B1">
      <w:pPr>
        <w:ind w:firstLine="708"/>
        <w:jc w:val="both"/>
        <w:rPr>
          <w:lang w:val="de-DE"/>
        </w:rPr>
      </w:pPr>
    </w:p>
    <w:p w14:paraId="32898519" w14:textId="2FA41E9D"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 xml:space="preserve">Bei Ablauf der in § 2 erwähnten Verjährungsfrist verteilen die vom König bestimmten </w:t>
      </w:r>
      <w:r w:rsidR="00DD2A62" w:rsidRPr="004676F5">
        <w:rPr>
          <w:lang w:val="de-DE"/>
        </w:rPr>
        <w:t>[Verwertungs</w:t>
      </w:r>
      <w:r w:rsidR="00DD2A62" w:rsidRPr="004676F5">
        <w:rPr>
          <w:lang w:val="de-DE"/>
        </w:rPr>
        <w:softHyphen/>
        <w:t>gesellschaften und/oder Organisationen für die kollektive Rechtewahrnehmung]</w:t>
      </w:r>
      <w:r w:rsidRPr="004676F5">
        <w:rPr>
          <w:lang w:val="de-DE"/>
        </w:rPr>
        <w:t xml:space="preserve"> die Vergütungen, die den Rechtsinhabern nicht gezahlt werden konnten, gemäß Modalitäten, die vom König festgelegt werden.</w:t>
      </w:r>
    </w:p>
    <w:p w14:paraId="60C3E520" w14:textId="77777777" w:rsidR="001527B1" w:rsidRPr="004676F5" w:rsidRDefault="001527B1" w:rsidP="001527B1">
      <w:pPr>
        <w:ind w:firstLine="708"/>
        <w:jc w:val="both"/>
        <w:rPr>
          <w:lang w:val="de-DE"/>
        </w:rPr>
      </w:pPr>
    </w:p>
    <w:p w14:paraId="5639DCAF" w14:textId="4CDB6845"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Während eines Zeitraums von drei Jahren ab der Weiterveräußerung kann die Gemeinschaftsplattform gemäß den vom König festgelegten Regeln von den Vertretern des Kunstmarkts jegliche für Einnahme und Verteilung der Folgerechtsvergütung notwendigen Informationen verlangen.</w:t>
      </w:r>
    </w:p>
    <w:p w14:paraId="04D3FA2C" w14:textId="77777777" w:rsidR="001527B1" w:rsidRPr="004676F5" w:rsidRDefault="001527B1" w:rsidP="001527B1">
      <w:pPr>
        <w:ind w:firstLine="708"/>
        <w:jc w:val="both"/>
        <w:rPr>
          <w:lang w:val="de-DE"/>
        </w:rPr>
      </w:pPr>
    </w:p>
    <w:p w14:paraId="5331203B" w14:textId="77777777" w:rsidR="001527B1" w:rsidRPr="004676F5" w:rsidRDefault="001527B1" w:rsidP="001527B1">
      <w:pPr>
        <w:ind w:firstLine="708"/>
        <w:jc w:val="both"/>
        <w:rPr>
          <w:lang w:val="de-DE"/>
        </w:rPr>
      </w:pPr>
      <w:r w:rsidRPr="004676F5">
        <w:rPr>
          <w:lang w:val="de-DE"/>
        </w:rPr>
        <w:t>Urheber können ebenfalls gemäß den vom König festgelegten Regeln von der in Artikel XI.177 § 2 erwähnten Gemeinschaftsplattform jegliche für Einnahme und Verteilung der Folgerechtsvergütung notwendigen Informationen verlangen.</w:t>
      </w:r>
    </w:p>
    <w:p w14:paraId="1EAE64C2" w14:textId="77777777" w:rsidR="001527B1" w:rsidRPr="004676F5" w:rsidRDefault="001527B1" w:rsidP="001527B1">
      <w:pPr>
        <w:ind w:firstLine="708"/>
        <w:jc w:val="both"/>
        <w:rPr>
          <w:lang w:val="de-DE"/>
        </w:rPr>
      </w:pPr>
    </w:p>
    <w:p w14:paraId="1F709669" w14:textId="4EF6D765"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 xml:space="preserve">In Artikel XI.177 § 1 erwähnte </w:t>
      </w:r>
      <w:r w:rsidR="00DD2A62" w:rsidRPr="004676F5">
        <w:rPr>
          <w:lang w:val="de-DE"/>
        </w:rPr>
        <w:t>[Verwertungs</w:t>
      </w:r>
      <w:r w:rsidR="00DD2A62" w:rsidRPr="004676F5">
        <w:rPr>
          <w:lang w:val="de-DE"/>
        </w:rPr>
        <w:softHyphen/>
        <w:t>gesell</w:t>
      </w:r>
      <w:r w:rsidR="00DD2A62" w:rsidRPr="004676F5">
        <w:rPr>
          <w:lang w:val="de-DE"/>
        </w:rPr>
        <w:softHyphen/>
        <w:t>schaften und/oder Organisationen für die kollektive Rechtewahrnehmung, die in Belgien die Folgerechte wahrnehmen,]</w:t>
      </w:r>
      <w:r w:rsidRPr="004676F5">
        <w:rPr>
          <w:lang w:val="de-DE"/>
        </w:rPr>
        <w:t xml:space="preserve"> veröffentlichen gemäß Modalitäten und innerhalb einer Frist, die der König festlegt, bei ihnen angemeldete Weiterveräußerungen auf der Website der Gemeinschaftsplattform.</w:t>
      </w:r>
    </w:p>
    <w:p w14:paraId="3D46F6B0" w14:textId="77777777" w:rsidR="00DD2A62" w:rsidRPr="004676F5" w:rsidRDefault="00DD2A62" w:rsidP="001527B1">
      <w:pPr>
        <w:ind w:firstLine="708"/>
        <w:jc w:val="both"/>
        <w:rPr>
          <w:lang w:val="de-DE"/>
        </w:rPr>
      </w:pPr>
    </w:p>
    <w:p w14:paraId="66728EC8" w14:textId="33945207" w:rsidR="00DD2A62" w:rsidRPr="004676F5" w:rsidRDefault="00DD2A62" w:rsidP="00DD2A62">
      <w:pPr>
        <w:jc w:val="both"/>
        <w:rPr>
          <w:i/>
          <w:lang w:val="de-DE"/>
        </w:rPr>
      </w:pPr>
      <w:r w:rsidRPr="004676F5">
        <w:rPr>
          <w:i/>
          <w:lang w:val="de-DE"/>
        </w:rPr>
        <w:t>[</w:t>
      </w:r>
      <w:r w:rsidR="00BE0A56" w:rsidRPr="004676F5">
        <w:rPr>
          <w:i/>
          <w:lang w:val="de-DE"/>
        </w:rPr>
        <w:t>Art. </w:t>
      </w:r>
      <w:r w:rsidRPr="004676F5">
        <w:rPr>
          <w:i/>
          <w:lang w:val="de-DE"/>
        </w:rPr>
        <w:t xml:space="preserve">XI.178 § 3 abgeändert durch </w:t>
      </w:r>
      <w:r w:rsidR="00BE0A56" w:rsidRPr="004676F5">
        <w:rPr>
          <w:i/>
          <w:lang w:val="de-DE"/>
        </w:rPr>
        <w:t>Art. </w:t>
      </w:r>
      <w:r w:rsidRPr="004676F5">
        <w:rPr>
          <w:i/>
          <w:lang w:val="de-DE"/>
        </w:rPr>
        <w:t xml:space="preserve">5 Nr. 1 des G. vom 8. Juni 2017 (B.S. vom 27. Juni 2017); § 5 abgeändert durch </w:t>
      </w:r>
      <w:r w:rsidR="00BE0A56" w:rsidRPr="004676F5">
        <w:rPr>
          <w:i/>
          <w:lang w:val="de-DE"/>
        </w:rPr>
        <w:t>Art. </w:t>
      </w:r>
      <w:r w:rsidRPr="004676F5">
        <w:rPr>
          <w:i/>
          <w:lang w:val="de-DE"/>
        </w:rPr>
        <w:t>5 Nr. 2 des G. vom 8. Juni 2017 (B.S. vom 27. Juni 2017)]</w:t>
      </w:r>
    </w:p>
    <w:p w14:paraId="53DC8E7C" w14:textId="77777777" w:rsidR="001527B1" w:rsidRPr="004676F5" w:rsidRDefault="001527B1" w:rsidP="001527B1">
      <w:pPr>
        <w:jc w:val="center"/>
        <w:rPr>
          <w:lang w:val="de-DE"/>
        </w:rPr>
      </w:pPr>
    </w:p>
    <w:p w14:paraId="4F53003D" w14:textId="77777777" w:rsidR="00435B6C" w:rsidRPr="004676F5" w:rsidRDefault="00435B6C" w:rsidP="001527B1">
      <w:pPr>
        <w:jc w:val="center"/>
        <w:rPr>
          <w:lang w:val="de-DE"/>
        </w:rPr>
      </w:pPr>
    </w:p>
    <w:p w14:paraId="363ADF06" w14:textId="77777777" w:rsidR="008670B5" w:rsidRPr="004676F5" w:rsidRDefault="008670B5">
      <w:pPr>
        <w:rPr>
          <w:i/>
          <w:lang w:val="de-DE"/>
        </w:rPr>
      </w:pPr>
      <w:r w:rsidRPr="004676F5">
        <w:rPr>
          <w:i/>
          <w:lang w:val="de-DE"/>
        </w:rPr>
        <w:br w:type="page"/>
      </w:r>
    </w:p>
    <w:p w14:paraId="3E3D1228" w14:textId="40437954" w:rsidR="001527B1" w:rsidRPr="004676F5" w:rsidRDefault="001527B1" w:rsidP="001527B1">
      <w:pPr>
        <w:jc w:val="center"/>
        <w:rPr>
          <w:lang w:val="de-DE"/>
        </w:rPr>
      </w:pPr>
      <w:r w:rsidRPr="004676F5">
        <w:rPr>
          <w:i/>
          <w:lang w:val="de-DE"/>
        </w:rPr>
        <w:lastRenderedPageBreak/>
        <w:t>Abschnitt 4 </w:t>
      </w:r>
      <w:r w:rsidR="005B7A5C" w:rsidRPr="004676F5">
        <w:rPr>
          <w:lang w:val="de-DE"/>
        </w:rPr>
        <w:t>- </w:t>
      </w:r>
      <w:r w:rsidRPr="004676F5">
        <w:rPr>
          <w:lang w:val="de-DE"/>
        </w:rPr>
        <w:t>Sonderbestimmungen in Bezug auf audiovisuelle Werke</w:t>
      </w:r>
    </w:p>
    <w:p w14:paraId="47EE54E2" w14:textId="77777777" w:rsidR="001527B1" w:rsidRPr="004676F5" w:rsidRDefault="001527B1" w:rsidP="001527B1">
      <w:pPr>
        <w:ind w:firstLine="708"/>
        <w:jc w:val="both"/>
        <w:rPr>
          <w:lang w:val="de-DE"/>
        </w:rPr>
      </w:pPr>
    </w:p>
    <w:p w14:paraId="1D3B3F77" w14:textId="77777777" w:rsidR="00435B6C" w:rsidRPr="004676F5" w:rsidRDefault="00435B6C" w:rsidP="001527B1">
      <w:pPr>
        <w:ind w:firstLine="708"/>
        <w:jc w:val="both"/>
        <w:rPr>
          <w:lang w:val="de-DE"/>
        </w:rPr>
      </w:pPr>
    </w:p>
    <w:p w14:paraId="04FE7826" w14:textId="48358F7C" w:rsidR="001527B1" w:rsidRPr="004676F5" w:rsidRDefault="00BE0A56" w:rsidP="001527B1">
      <w:pPr>
        <w:ind w:firstLine="708"/>
        <w:jc w:val="both"/>
        <w:rPr>
          <w:lang w:val="de-DE"/>
        </w:rPr>
      </w:pPr>
      <w:r w:rsidRPr="004676F5">
        <w:rPr>
          <w:b/>
          <w:lang w:val="de-DE"/>
        </w:rPr>
        <w:t>Art. </w:t>
      </w:r>
      <w:r w:rsidR="001527B1" w:rsidRPr="004676F5">
        <w:rPr>
          <w:b/>
          <w:lang w:val="de-DE"/>
        </w:rPr>
        <w:t>XI.179</w:t>
      </w:r>
      <w:r w:rsidR="001527B1" w:rsidRPr="004676F5">
        <w:rPr>
          <w:lang w:val="de-DE"/>
        </w:rPr>
        <w:t> </w:t>
      </w:r>
      <w:r w:rsidR="005B7A5C" w:rsidRPr="004676F5">
        <w:rPr>
          <w:lang w:val="de-DE"/>
        </w:rPr>
        <w:t>- </w:t>
      </w:r>
      <w:r w:rsidR="001527B1" w:rsidRPr="004676F5">
        <w:rPr>
          <w:lang w:val="de-DE"/>
        </w:rPr>
        <w:t>Neben dem Hauptregisseur gelten auch natürliche Personen, die zum Werk beigetragen haben, als Urheber eines audiovisuellen Werkes.</w:t>
      </w:r>
    </w:p>
    <w:p w14:paraId="3153FAF5" w14:textId="77777777" w:rsidR="001527B1" w:rsidRPr="004676F5" w:rsidRDefault="001527B1" w:rsidP="001527B1">
      <w:pPr>
        <w:ind w:firstLine="708"/>
        <w:jc w:val="both"/>
        <w:rPr>
          <w:lang w:val="de-DE"/>
        </w:rPr>
      </w:pPr>
    </w:p>
    <w:p w14:paraId="7DCF68D5" w14:textId="77777777" w:rsidR="001527B1" w:rsidRPr="004676F5" w:rsidRDefault="001527B1" w:rsidP="001527B1">
      <w:pPr>
        <w:ind w:firstLine="708"/>
        <w:jc w:val="both"/>
        <w:rPr>
          <w:lang w:val="de-DE"/>
        </w:rPr>
      </w:pPr>
      <w:r w:rsidRPr="004676F5">
        <w:rPr>
          <w:lang w:val="de-DE"/>
        </w:rPr>
        <w:t>Außer bei Beweis des Gegenteils gelten folgende Personen als Urheber eines kollektiven audiovisuellen Werkes:</w:t>
      </w:r>
    </w:p>
    <w:p w14:paraId="18F5BFCC" w14:textId="77777777" w:rsidR="001527B1" w:rsidRPr="004676F5" w:rsidRDefault="001527B1" w:rsidP="001527B1">
      <w:pPr>
        <w:ind w:firstLine="708"/>
        <w:jc w:val="both"/>
        <w:rPr>
          <w:lang w:val="de-DE"/>
        </w:rPr>
      </w:pPr>
    </w:p>
    <w:p w14:paraId="26CBB7DF" w14:textId="77777777" w:rsidR="001527B1" w:rsidRPr="004676F5" w:rsidRDefault="001527B1" w:rsidP="001527B1">
      <w:pPr>
        <w:ind w:firstLine="708"/>
        <w:jc w:val="both"/>
        <w:rPr>
          <w:lang w:val="de-DE"/>
        </w:rPr>
      </w:pPr>
      <w:r w:rsidRPr="004676F5">
        <w:rPr>
          <w:i/>
          <w:lang w:val="de-DE"/>
        </w:rPr>
        <w:t>a)</w:t>
      </w:r>
      <w:r w:rsidRPr="004676F5">
        <w:rPr>
          <w:lang w:val="de-DE"/>
        </w:rPr>
        <w:t> Urheber des Drehbuches,</w:t>
      </w:r>
    </w:p>
    <w:p w14:paraId="7059B9C7" w14:textId="77777777" w:rsidR="001527B1" w:rsidRPr="004676F5" w:rsidRDefault="001527B1" w:rsidP="001527B1">
      <w:pPr>
        <w:ind w:firstLine="708"/>
        <w:jc w:val="both"/>
        <w:rPr>
          <w:lang w:val="de-DE"/>
        </w:rPr>
      </w:pPr>
    </w:p>
    <w:p w14:paraId="3D390A58" w14:textId="77777777" w:rsidR="001527B1" w:rsidRPr="004676F5" w:rsidRDefault="001527B1" w:rsidP="001527B1">
      <w:pPr>
        <w:ind w:firstLine="708"/>
        <w:jc w:val="both"/>
        <w:rPr>
          <w:lang w:val="de-DE"/>
        </w:rPr>
      </w:pPr>
      <w:r w:rsidRPr="004676F5">
        <w:rPr>
          <w:i/>
          <w:lang w:val="de-DE"/>
        </w:rPr>
        <w:t>b)</w:t>
      </w:r>
      <w:r w:rsidRPr="004676F5">
        <w:rPr>
          <w:lang w:val="de-DE"/>
        </w:rPr>
        <w:t> Urheber der Bearbeitung,</w:t>
      </w:r>
    </w:p>
    <w:p w14:paraId="504E9FF8" w14:textId="77777777" w:rsidR="001527B1" w:rsidRPr="004676F5" w:rsidRDefault="001527B1" w:rsidP="001527B1">
      <w:pPr>
        <w:ind w:firstLine="708"/>
        <w:jc w:val="both"/>
        <w:rPr>
          <w:lang w:val="de-DE"/>
        </w:rPr>
      </w:pPr>
    </w:p>
    <w:p w14:paraId="735BCA4D" w14:textId="77777777" w:rsidR="001527B1" w:rsidRPr="004676F5" w:rsidRDefault="001527B1" w:rsidP="001527B1">
      <w:pPr>
        <w:ind w:firstLine="708"/>
        <w:jc w:val="both"/>
        <w:rPr>
          <w:lang w:val="de-DE"/>
        </w:rPr>
      </w:pPr>
      <w:r w:rsidRPr="004676F5">
        <w:rPr>
          <w:i/>
          <w:lang w:val="de-DE"/>
        </w:rPr>
        <w:t>c)</w:t>
      </w:r>
      <w:r w:rsidRPr="004676F5">
        <w:rPr>
          <w:lang w:val="de-DE"/>
        </w:rPr>
        <w:t> Urheber der Texte,</w:t>
      </w:r>
    </w:p>
    <w:p w14:paraId="236CEAAE" w14:textId="77777777" w:rsidR="001527B1" w:rsidRPr="004676F5" w:rsidRDefault="001527B1" w:rsidP="001527B1">
      <w:pPr>
        <w:ind w:firstLine="708"/>
        <w:jc w:val="both"/>
        <w:rPr>
          <w:lang w:val="de-DE"/>
        </w:rPr>
      </w:pPr>
    </w:p>
    <w:p w14:paraId="2473CEAF" w14:textId="77777777" w:rsidR="001527B1" w:rsidRPr="004676F5" w:rsidRDefault="001527B1" w:rsidP="001527B1">
      <w:pPr>
        <w:ind w:firstLine="708"/>
        <w:jc w:val="both"/>
        <w:rPr>
          <w:lang w:val="de-DE"/>
        </w:rPr>
      </w:pPr>
      <w:r w:rsidRPr="004676F5">
        <w:rPr>
          <w:i/>
          <w:lang w:val="de-DE"/>
        </w:rPr>
        <w:t>d)</w:t>
      </w:r>
      <w:r w:rsidRPr="004676F5">
        <w:rPr>
          <w:lang w:val="de-DE"/>
        </w:rPr>
        <w:t> Urheber der Graphik von Animationswerken oder von Animationssequenzen in einem audiovisuellen Werk, die einen bedeutenden Teil dieses Werkes ausmachen,</w:t>
      </w:r>
    </w:p>
    <w:p w14:paraId="09CCCF44" w14:textId="77777777" w:rsidR="001527B1" w:rsidRPr="004676F5" w:rsidRDefault="001527B1" w:rsidP="001527B1">
      <w:pPr>
        <w:ind w:firstLine="708"/>
        <w:jc w:val="both"/>
        <w:rPr>
          <w:lang w:val="de-DE"/>
        </w:rPr>
      </w:pPr>
    </w:p>
    <w:p w14:paraId="11382651" w14:textId="77777777" w:rsidR="001527B1" w:rsidRPr="004676F5" w:rsidRDefault="001527B1" w:rsidP="001527B1">
      <w:pPr>
        <w:ind w:firstLine="708"/>
        <w:jc w:val="both"/>
        <w:rPr>
          <w:lang w:val="de-DE"/>
        </w:rPr>
      </w:pPr>
      <w:r w:rsidRPr="004676F5">
        <w:rPr>
          <w:i/>
          <w:lang w:val="de-DE"/>
        </w:rPr>
        <w:t>e)</w:t>
      </w:r>
      <w:r w:rsidRPr="004676F5">
        <w:rPr>
          <w:lang w:val="de-DE"/>
        </w:rPr>
        <w:t> Komponist der speziell für das audiovisuelle Werk komponierten Musik mit oder ohne Text.</w:t>
      </w:r>
    </w:p>
    <w:p w14:paraId="3222B743" w14:textId="77777777" w:rsidR="001527B1" w:rsidRPr="004676F5" w:rsidRDefault="001527B1" w:rsidP="001527B1">
      <w:pPr>
        <w:ind w:firstLine="708"/>
        <w:jc w:val="both"/>
        <w:rPr>
          <w:lang w:val="de-DE"/>
        </w:rPr>
      </w:pPr>
    </w:p>
    <w:p w14:paraId="78DD43E7" w14:textId="77777777" w:rsidR="001527B1" w:rsidRPr="004676F5" w:rsidRDefault="001527B1" w:rsidP="001527B1">
      <w:pPr>
        <w:ind w:firstLine="708"/>
        <w:jc w:val="both"/>
        <w:rPr>
          <w:lang w:val="de-DE"/>
        </w:rPr>
      </w:pPr>
      <w:r w:rsidRPr="004676F5">
        <w:rPr>
          <w:lang w:val="de-DE"/>
        </w:rPr>
        <w:t>Urheber eines ursprünglichen Werkes werden den Urhebern des neuen Werkes gleichgestellt, wenn ihr Beitrag im neuen Werk verwendet wird.</w:t>
      </w:r>
    </w:p>
    <w:p w14:paraId="5B82E875" w14:textId="77777777" w:rsidR="001527B1" w:rsidRPr="004676F5" w:rsidRDefault="001527B1" w:rsidP="001527B1">
      <w:pPr>
        <w:ind w:firstLine="708"/>
        <w:jc w:val="both"/>
        <w:rPr>
          <w:lang w:val="de-DE"/>
        </w:rPr>
      </w:pPr>
    </w:p>
    <w:p w14:paraId="481CADF0" w14:textId="77777777" w:rsidR="00435B6C" w:rsidRPr="004676F5" w:rsidRDefault="00435B6C" w:rsidP="001527B1">
      <w:pPr>
        <w:ind w:firstLine="708"/>
        <w:jc w:val="both"/>
        <w:rPr>
          <w:lang w:val="de-DE"/>
        </w:rPr>
      </w:pPr>
    </w:p>
    <w:p w14:paraId="0F49BD70" w14:textId="1084F0FF" w:rsidR="001527B1" w:rsidRPr="004676F5" w:rsidRDefault="00BE0A56" w:rsidP="001527B1">
      <w:pPr>
        <w:ind w:firstLine="708"/>
        <w:jc w:val="both"/>
        <w:rPr>
          <w:lang w:val="de-DE"/>
        </w:rPr>
      </w:pPr>
      <w:r w:rsidRPr="004676F5">
        <w:rPr>
          <w:b/>
          <w:lang w:val="de-DE"/>
        </w:rPr>
        <w:t>Art. </w:t>
      </w:r>
      <w:r w:rsidR="001527B1" w:rsidRPr="004676F5">
        <w:rPr>
          <w:b/>
          <w:lang w:val="de-DE"/>
        </w:rPr>
        <w:t>XI.180</w:t>
      </w:r>
      <w:r w:rsidR="001527B1" w:rsidRPr="004676F5">
        <w:rPr>
          <w:lang w:val="de-DE"/>
        </w:rPr>
        <w:t> </w:t>
      </w:r>
      <w:r w:rsidR="005B7A5C" w:rsidRPr="004676F5">
        <w:rPr>
          <w:lang w:val="de-DE"/>
        </w:rPr>
        <w:t>- </w:t>
      </w:r>
      <w:r w:rsidR="001527B1" w:rsidRPr="004676F5">
        <w:rPr>
          <w:lang w:val="de-DE"/>
        </w:rPr>
        <w:t>Ein Urheber, der sich weigert, seinen Beitrag zu einem audiovisuellen Werk fertigzustellen, oder dazu nicht imstande ist, kann sich der Verwendung seines Beitrags zur Fertigstellung des Werkes nicht widersetzen.</w:t>
      </w:r>
    </w:p>
    <w:p w14:paraId="1AF51EB9" w14:textId="77777777" w:rsidR="001527B1" w:rsidRPr="004676F5" w:rsidRDefault="001527B1" w:rsidP="001527B1">
      <w:pPr>
        <w:ind w:firstLine="708"/>
        <w:jc w:val="both"/>
        <w:rPr>
          <w:lang w:val="de-DE"/>
        </w:rPr>
      </w:pPr>
    </w:p>
    <w:p w14:paraId="48A8590D" w14:textId="77777777" w:rsidR="001527B1" w:rsidRPr="004676F5" w:rsidRDefault="001527B1" w:rsidP="001527B1">
      <w:pPr>
        <w:ind w:firstLine="708"/>
        <w:jc w:val="both"/>
        <w:rPr>
          <w:lang w:val="de-DE"/>
        </w:rPr>
      </w:pPr>
      <w:r w:rsidRPr="004676F5">
        <w:rPr>
          <w:lang w:val="de-DE"/>
        </w:rPr>
        <w:t>Für diesen Beitrag ist er als Urheber anzusehen und verfügt er über die diesbezüg</w:t>
      </w:r>
      <w:r w:rsidRPr="004676F5">
        <w:rPr>
          <w:lang w:val="de-DE"/>
        </w:rPr>
        <w:softHyphen/>
        <w:t>lichen Urheberrechte.</w:t>
      </w:r>
    </w:p>
    <w:p w14:paraId="7D6D2A40" w14:textId="77777777" w:rsidR="001527B1" w:rsidRPr="004676F5" w:rsidRDefault="001527B1" w:rsidP="001527B1">
      <w:pPr>
        <w:ind w:firstLine="708"/>
        <w:jc w:val="both"/>
        <w:rPr>
          <w:lang w:val="de-DE"/>
        </w:rPr>
      </w:pPr>
    </w:p>
    <w:p w14:paraId="5FFAD3FB" w14:textId="77777777" w:rsidR="00435B6C" w:rsidRPr="004676F5" w:rsidRDefault="00435B6C" w:rsidP="001527B1">
      <w:pPr>
        <w:ind w:firstLine="708"/>
        <w:jc w:val="both"/>
        <w:rPr>
          <w:lang w:val="de-DE"/>
        </w:rPr>
      </w:pPr>
    </w:p>
    <w:p w14:paraId="34A33267" w14:textId="3C7A3291" w:rsidR="001527B1" w:rsidRPr="004676F5" w:rsidRDefault="00BE0A56" w:rsidP="001527B1">
      <w:pPr>
        <w:ind w:firstLine="708"/>
        <w:jc w:val="both"/>
        <w:rPr>
          <w:lang w:val="de-DE"/>
        </w:rPr>
      </w:pPr>
      <w:r w:rsidRPr="004676F5">
        <w:rPr>
          <w:b/>
          <w:lang w:val="de-DE"/>
        </w:rPr>
        <w:t>Art. </w:t>
      </w:r>
      <w:r w:rsidR="001527B1" w:rsidRPr="004676F5">
        <w:rPr>
          <w:b/>
          <w:lang w:val="de-DE"/>
        </w:rPr>
        <w:t>XI.181</w:t>
      </w:r>
      <w:r w:rsidR="001527B1" w:rsidRPr="004676F5">
        <w:rPr>
          <w:lang w:val="de-DE"/>
        </w:rPr>
        <w:t> </w:t>
      </w:r>
      <w:r w:rsidR="005B7A5C" w:rsidRPr="004676F5">
        <w:rPr>
          <w:lang w:val="de-DE"/>
        </w:rPr>
        <w:t>- </w:t>
      </w:r>
      <w:r w:rsidR="001527B1" w:rsidRPr="004676F5">
        <w:rPr>
          <w:lang w:val="de-DE"/>
        </w:rPr>
        <w:t>Ein audiovisuelles Werk gilt als fertiggestellt, wenn der Hauptregisseur und der Produzent in gegenseitigem Einverständnis die endgültige Fassung festgelegt haben.</w:t>
      </w:r>
    </w:p>
    <w:p w14:paraId="73D17AAC" w14:textId="77777777" w:rsidR="001527B1" w:rsidRPr="004676F5" w:rsidRDefault="001527B1" w:rsidP="001527B1">
      <w:pPr>
        <w:ind w:firstLine="708"/>
        <w:jc w:val="both"/>
        <w:rPr>
          <w:lang w:val="de-DE"/>
        </w:rPr>
      </w:pPr>
    </w:p>
    <w:p w14:paraId="465C0FD8" w14:textId="77777777" w:rsidR="001527B1" w:rsidRPr="004676F5" w:rsidRDefault="001527B1" w:rsidP="001527B1">
      <w:pPr>
        <w:ind w:firstLine="708"/>
        <w:jc w:val="both"/>
        <w:rPr>
          <w:lang w:val="de-DE"/>
        </w:rPr>
      </w:pPr>
      <w:r w:rsidRPr="004676F5">
        <w:rPr>
          <w:lang w:val="de-DE"/>
        </w:rPr>
        <w:t>Urheber können ihre Urheberpersönlichkeitsrechte erst nach Fertigstellung des audiovisuellen Werkes ausüben.</w:t>
      </w:r>
    </w:p>
    <w:p w14:paraId="54D8B8F2" w14:textId="77777777" w:rsidR="001527B1" w:rsidRPr="004676F5" w:rsidRDefault="001527B1" w:rsidP="001527B1">
      <w:pPr>
        <w:ind w:firstLine="708"/>
        <w:jc w:val="both"/>
        <w:rPr>
          <w:lang w:val="de-DE"/>
        </w:rPr>
      </w:pPr>
    </w:p>
    <w:p w14:paraId="193BEFD6" w14:textId="77777777" w:rsidR="001527B1" w:rsidRPr="004676F5" w:rsidRDefault="001527B1" w:rsidP="001527B1">
      <w:pPr>
        <w:ind w:firstLine="708"/>
        <w:jc w:val="both"/>
        <w:rPr>
          <w:lang w:val="de-DE"/>
        </w:rPr>
      </w:pPr>
      <w:r w:rsidRPr="004676F5">
        <w:rPr>
          <w:lang w:val="de-DE"/>
        </w:rPr>
        <w:t>Es ist verboten, das Originalband dieser Fassung zu vernichten.</w:t>
      </w:r>
    </w:p>
    <w:p w14:paraId="2B6CA901" w14:textId="77777777" w:rsidR="001527B1" w:rsidRPr="004676F5" w:rsidRDefault="001527B1" w:rsidP="001527B1">
      <w:pPr>
        <w:ind w:firstLine="708"/>
        <w:jc w:val="both"/>
        <w:rPr>
          <w:lang w:val="de-DE"/>
        </w:rPr>
      </w:pPr>
    </w:p>
    <w:p w14:paraId="029C510D" w14:textId="77777777" w:rsidR="00435B6C" w:rsidRPr="004676F5" w:rsidRDefault="00435B6C" w:rsidP="001527B1">
      <w:pPr>
        <w:ind w:firstLine="708"/>
        <w:jc w:val="both"/>
        <w:rPr>
          <w:lang w:val="de-DE"/>
        </w:rPr>
      </w:pPr>
    </w:p>
    <w:p w14:paraId="41DE105A" w14:textId="160E4776" w:rsidR="001527B1" w:rsidRPr="004676F5" w:rsidRDefault="00BE0A56" w:rsidP="001527B1">
      <w:pPr>
        <w:ind w:firstLine="708"/>
        <w:jc w:val="both"/>
        <w:rPr>
          <w:lang w:val="de-DE"/>
        </w:rPr>
      </w:pPr>
      <w:r w:rsidRPr="004676F5">
        <w:rPr>
          <w:b/>
          <w:lang w:val="de-DE"/>
        </w:rPr>
        <w:t>Art. </w:t>
      </w:r>
      <w:r w:rsidR="001527B1" w:rsidRPr="004676F5">
        <w:rPr>
          <w:b/>
          <w:lang w:val="de-DE"/>
        </w:rPr>
        <w:t>XI.182</w:t>
      </w:r>
      <w:r w:rsidR="001527B1" w:rsidRPr="004676F5">
        <w:rPr>
          <w:lang w:val="de-DE"/>
        </w:rPr>
        <w:t> </w:t>
      </w:r>
      <w:r w:rsidR="005B7A5C" w:rsidRPr="004676F5">
        <w:rPr>
          <w:lang w:val="de-DE"/>
        </w:rPr>
        <w:t>- </w:t>
      </w:r>
      <w:r w:rsidR="001527B1" w:rsidRPr="004676F5">
        <w:rPr>
          <w:lang w:val="de-DE"/>
        </w:rPr>
        <w:t>Urheber eines audiovisuellen Werkes und Urheber eines kreativen Elementes, das erlaubterweise in ein audiovisuelles Werk integriert oder erlaubterweise darin verwendet wird, mit Ausnahme der Komponisten von Musikwerken, treten außer bei anders lautender Klausel den Produzenten das ausschließliche Recht ab, das Werk audiovisuell zu nutzen, einschließlich der für diese Nutzung notwendigen Rechte wie das Recht, Untertitel hinzuzufügen oder das Werk zu synchronisieren, unbeschadet der Bestimmungen der Artikel XI.181 und XI.183 des vorliegenden Titels.</w:t>
      </w:r>
    </w:p>
    <w:p w14:paraId="7F26221D" w14:textId="77777777" w:rsidR="001527B1" w:rsidRPr="004676F5" w:rsidRDefault="001527B1" w:rsidP="001527B1">
      <w:pPr>
        <w:jc w:val="both"/>
        <w:rPr>
          <w:lang w:val="de-DE"/>
        </w:rPr>
      </w:pPr>
    </w:p>
    <w:p w14:paraId="74F7A612" w14:textId="77777777" w:rsidR="00435B6C" w:rsidRPr="004676F5" w:rsidRDefault="00435B6C" w:rsidP="001527B1">
      <w:pPr>
        <w:jc w:val="both"/>
        <w:rPr>
          <w:lang w:val="de-DE"/>
        </w:rPr>
      </w:pPr>
    </w:p>
    <w:p w14:paraId="5BAB0456" w14:textId="4CBD95BA"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XI.183</w:t>
      </w:r>
      <w:r w:rsidR="001527B1" w:rsidRPr="004676F5">
        <w:rPr>
          <w:lang w:val="de-DE"/>
        </w:rPr>
        <w:t> </w:t>
      </w:r>
      <w:r w:rsidR="005B7A5C" w:rsidRPr="004676F5">
        <w:rPr>
          <w:lang w:val="de-DE"/>
        </w:rPr>
        <w:t>- </w:t>
      </w:r>
      <w:r w:rsidR="008670B5" w:rsidRPr="004676F5">
        <w:rPr>
          <w:lang w:val="de-DE"/>
        </w:rPr>
        <w:t>[...]</w:t>
      </w:r>
      <w:r w:rsidR="001527B1" w:rsidRPr="004676F5">
        <w:rPr>
          <w:lang w:val="de-DE"/>
        </w:rPr>
        <w:t xml:space="preserve"> Außer für audiovisuelle Werke des nichtkulturellen Sektors oder der Werbebranche haben Urheber für jede Nutzungsart Anspruch auf eine separate Vergütung.</w:t>
      </w:r>
    </w:p>
    <w:p w14:paraId="4AD24490" w14:textId="77777777" w:rsidR="001527B1" w:rsidRPr="004676F5" w:rsidRDefault="001527B1" w:rsidP="001527B1">
      <w:pPr>
        <w:ind w:firstLine="708"/>
        <w:jc w:val="both"/>
        <w:rPr>
          <w:lang w:val="de-DE"/>
        </w:rPr>
      </w:pPr>
    </w:p>
    <w:p w14:paraId="7F9D22AC" w14:textId="77E4471A" w:rsidR="001527B1" w:rsidRPr="004676F5" w:rsidRDefault="008670B5" w:rsidP="001527B1">
      <w:pPr>
        <w:ind w:firstLine="708"/>
        <w:jc w:val="both"/>
        <w:rPr>
          <w:lang w:val="de-DE"/>
        </w:rPr>
      </w:pPr>
      <w:r w:rsidRPr="004676F5">
        <w:rPr>
          <w:lang w:val="de-DE"/>
        </w:rPr>
        <w:t>[...]</w:t>
      </w:r>
    </w:p>
    <w:p w14:paraId="15A00579" w14:textId="77777777" w:rsidR="008670B5" w:rsidRPr="004676F5" w:rsidRDefault="008670B5" w:rsidP="001527B1">
      <w:pPr>
        <w:ind w:firstLine="708"/>
        <w:jc w:val="both"/>
        <w:rPr>
          <w:lang w:val="de-DE"/>
        </w:rPr>
      </w:pPr>
    </w:p>
    <w:p w14:paraId="619FE95E" w14:textId="6D7F1E98" w:rsidR="008670B5" w:rsidRPr="004676F5" w:rsidRDefault="008670B5" w:rsidP="008670B5">
      <w:pPr>
        <w:jc w:val="both"/>
        <w:rPr>
          <w:i/>
          <w:iCs/>
          <w:lang w:val="de-DE"/>
        </w:rPr>
      </w:pPr>
      <w:r w:rsidRPr="004676F5">
        <w:rPr>
          <w:i/>
          <w:iCs/>
          <w:lang w:val="de-DE"/>
        </w:rPr>
        <w:t>[Art. XI.183 Unterteilung in Paragraphen implizit aufgehoben durch Art. 11 des G. vom 19. Juni 2022 (B.S. vom 1. August 2022); früherer Paragraph 2 aufgehoben durch Art. 11 des G. vom 19. Juni 2022 (B.S. vom 1. August 2022)]</w:t>
      </w:r>
    </w:p>
    <w:p w14:paraId="4A4822EF" w14:textId="77777777" w:rsidR="001527B1" w:rsidRPr="004676F5" w:rsidRDefault="001527B1" w:rsidP="001527B1">
      <w:pPr>
        <w:ind w:firstLine="708"/>
        <w:jc w:val="both"/>
        <w:rPr>
          <w:lang w:val="de-DE"/>
        </w:rPr>
      </w:pPr>
    </w:p>
    <w:p w14:paraId="4C710DCE" w14:textId="77777777" w:rsidR="00435B6C" w:rsidRPr="004676F5" w:rsidRDefault="00435B6C" w:rsidP="001527B1">
      <w:pPr>
        <w:ind w:firstLine="708"/>
        <w:jc w:val="both"/>
        <w:rPr>
          <w:lang w:val="de-DE"/>
        </w:rPr>
      </w:pPr>
    </w:p>
    <w:p w14:paraId="282B6FA7" w14:textId="66AEC606" w:rsidR="001527B1" w:rsidRPr="004676F5" w:rsidRDefault="00BE0A56" w:rsidP="001527B1">
      <w:pPr>
        <w:ind w:firstLine="708"/>
        <w:jc w:val="both"/>
        <w:rPr>
          <w:lang w:val="de-DE"/>
        </w:rPr>
      </w:pPr>
      <w:r w:rsidRPr="004676F5">
        <w:rPr>
          <w:b/>
          <w:lang w:val="de-DE"/>
        </w:rPr>
        <w:t>Art. </w:t>
      </w:r>
      <w:r w:rsidR="001527B1" w:rsidRPr="004676F5">
        <w:rPr>
          <w:b/>
          <w:lang w:val="de-DE"/>
        </w:rPr>
        <w:t>XI.184</w:t>
      </w:r>
      <w:r w:rsidR="001527B1" w:rsidRPr="004676F5">
        <w:rPr>
          <w:lang w:val="de-DE"/>
        </w:rPr>
        <w:t> </w:t>
      </w:r>
      <w:r w:rsidR="005B7A5C" w:rsidRPr="004676F5">
        <w:rPr>
          <w:lang w:val="de-DE"/>
        </w:rPr>
        <w:t>- </w:t>
      </w:r>
      <w:r w:rsidR="001527B1" w:rsidRPr="004676F5">
        <w:rPr>
          <w:lang w:val="de-DE"/>
        </w:rPr>
        <w:t>Das Recht, ein bestehendes Werk audiovisuell zu bearbeiten, muss in einem anderen Vertrag als dem Verlagsvertrag geregelt werden.</w:t>
      </w:r>
    </w:p>
    <w:p w14:paraId="25672F03" w14:textId="77777777" w:rsidR="001527B1" w:rsidRPr="004676F5" w:rsidRDefault="001527B1" w:rsidP="001527B1">
      <w:pPr>
        <w:ind w:firstLine="708"/>
        <w:jc w:val="both"/>
        <w:rPr>
          <w:lang w:val="de-DE"/>
        </w:rPr>
      </w:pPr>
    </w:p>
    <w:p w14:paraId="02835BA9" w14:textId="08DC5EC5" w:rsidR="001527B1" w:rsidRPr="004676F5" w:rsidRDefault="008670B5" w:rsidP="001527B1">
      <w:pPr>
        <w:ind w:firstLine="708"/>
        <w:jc w:val="both"/>
        <w:rPr>
          <w:lang w:val="de-DE"/>
        </w:rPr>
      </w:pPr>
      <w:r w:rsidRPr="004676F5">
        <w:rPr>
          <w:lang w:val="de-DE"/>
        </w:rPr>
        <w:t>[Die Erteilung des Rechts, ein Werk in einer anderen Form als ein bestehendes audiovisuelles Werk zu bearbeiten, muss in einem anderen Vertrag als dem Vertrag in Bezug auf das audiovisuelle Werk geregelt werden.]</w:t>
      </w:r>
    </w:p>
    <w:p w14:paraId="079A2B69" w14:textId="77777777" w:rsidR="008670B5" w:rsidRPr="004676F5" w:rsidRDefault="008670B5" w:rsidP="001527B1">
      <w:pPr>
        <w:ind w:firstLine="708"/>
        <w:jc w:val="both"/>
        <w:rPr>
          <w:lang w:val="de-DE"/>
        </w:rPr>
      </w:pPr>
    </w:p>
    <w:p w14:paraId="0D89A6BF" w14:textId="06A04AAE" w:rsidR="008670B5" w:rsidRPr="004676F5" w:rsidRDefault="008670B5" w:rsidP="008670B5">
      <w:pPr>
        <w:jc w:val="both"/>
        <w:rPr>
          <w:i/>
          <w:iCs/>
          <w:lang w:val="de-DE"/>
        </w:rPr>
      </w:pPr>
      <w:r w:rsidRPr="004676F5">
        <w:rPr>
          <w:i/>
          <w:iCs/>
          <w:lang w:val="de-DE"/>
        </w:rPr>
        <w:t>[Art. XI.184 Abs. 2 ersetzt durch Art. 12 des G. vom 19. Juni 2022 (B.S. vom 1. August 2022)]</w:t>
      </w:r>
    </w:p>
    <w:p w14:paraId="04602682" w14:textId="77777777" w:rsidR="001527B1" w:rsidRPr="004676F5" w:rsidRDefault="001527B1" w:rsidP="001527B1">
      <w:pPr>
        <w:ind w:firstLine="708"/>
        <w:jc w:val="both"/>
        <w:rPr>
          <w:lang w:val="de-DE"/>
        </w:rPr>
      </w:pPr>
    </w:p>
    <w:p w14:paraId="77B200F9" w14:textId="77777777" w:rsidR="00435B6C" w:rsidRPr="004676F5" w:rsidRDefault="00435B6C" w:rsidP="001527B1">
      <w:pPr>
        <w:ind w:firstLine="708"/>
        <w:jc w:val="both"/>
        <w:rPr>
          <w:lang w:val="de-DE"/>
        </w:rPr>
      </w:pPr>
    </w:p>
    <w:p w14:paraId="02DC46B0" w14:textId="5BC87DEB" w:rsidR="001527B1" w:rsidRPr="004676F5" w:rsidRDefault="00BE0A56" w:rsidP="001527B1">
      <w:pPr>
        <w:ind w:firstLine="708"/>
        <w:jc w:val="both"/>
        <w:rPr>
          <w:lang w:val="de-DE"/>
        </w:rPr>
      </w:pPr>
      <w:r w:rsidRPr="004676F5">
        <w:rPr>
          <w:b/>
          <w:lang w:val="de-DE"/>
        </w:rPr>
        <w:t>Art. </w:t>
      </w:r>
      <w:r w:rsidR="001527B1" w:rsidRPr="004676F5">
        <w:rPr>
          <w:b/>
          <w:lang w:val="de-DE"/>
        </w:rPr>
        <w:t>XI.185</w:t>
      </w:r>
      <w:r w:rsidR="001527B1" w:rsidRPr="004676F5">
        <w:rPr>
          <w:lang w:val="de-DE"/>
        </w:rPr>
        <w:t> </w:t>
      </w:r>
      <w:r w:rsidR="005B7A5C" w:rsidRPr="004676F5">
        <w:rPr>
          <w:lang w:val="de-DE"/>
        </w:rPr>
        <w:t>- </w:t>
      </w:r>
      <w:r w:rsidR="001527B1" w:rsidRPr="004676F5">
        <w:rPr>
          <w:lang w:val="de-DE"/>
        </w:rPr>
        <w:t>Der Konkurs des Produzenten, die gerichtliche Reorganisation oder die Liquidation seines Unternehmens haben nicht die Auflösung der Verträge mit den Urhebern eines audiovisuellen Werkes zur Folge.</w:t>
      </w:r>
    </w:p>
    <w:p w14:paraId="57908A67" w14:textId="77777777" w:rsidR="001527B1" w:rsidRPr="004676F5" w:rsidRDefault="001527B1" w:rsidP="001527B1">
      <w:pPr>
        <w:ind w:firstLine="708"/>
        <w:jc w:val="both"/>
        <w:rPr>
          <w:lang w:val="de-DE"/>
        </w:rPr>
      </w:pPr>
    </w:p>
    <w:p w14:paraId="5F1A81A9" w14:textId="77777777" w:rsidR="001527B1" w:rsidRPr="004676F5" w:rsidRDefault="001527B1" w:rsidP="001527B1">
      <w:pPr>
        <w:ind w:firstLine="708"/>
        <w:jc w:val="both"/>
        <w:rPr>
          <w:lang w:val="de-DE"/>
        </w:rPr>
      </w:pPr>
      <w:r w:rsidRPr="004676F5">
        <w:rPr>
          <w:lang w:val="de-DE"/>
        </w:rPr>
        <w:t>Wenn die Verwirklichung oder Nutzung des Werkes fortgeführt wird, muss der Konkursverwalter beziehungsweise Liquidator allen Verpflichtungen des Produzenten gegenüber den Urhebern nachkommen.</w:t>
      </w:r>
    </w:p>
    <w:p w14:paraId="16ED24FC" w14:textId="77777777" w:rsidR="001527B1" w:rsidRPr="004676F5" w:rsidRDefault="001527B1" w:rsidP="001527B1">
      <w:pPr>
        <w:ind w:firstLine="708"/>
        <w:jc w:val="both"/>
        <w:rPr>
          <w:lang w:val="de-DE"/>
        </w:rPr>
      </w:pPr>
    </w:p>
    <w:p w14:paraId="22B0A34D" w14:textId="75FDB8B3" w:rsidR="001527B1" w:rsidRPr="004676F5" w:rsidRDefault="001527B1" w:rsidP="001527B1">
      <w:pPr>
        <w:ind w:firstLine="708"/>
        <w:jc w:val="both"/>
        <w:rPr>
          <w:lang w:val="de-DE"/>
        </w:rPr>
      </w:pPr>
      <w:r w:rsidRPr="004676F5">
        <w:rPr>
          <w:lang w:val="de-DE"/>
        </w:rPr>
        <w:t>Im Falle einer Gesamt</w:t>
      </w:r>
      <w:r w:rsidR="005B7A5C" w:rsidRPr="004676F5">
        <w:rPr>
          <w:lang w:val="de-DE"/>
        </w:rPr>
        <w:t>- </w:t>
      </w:r>
      <w:r w:rsidRPr="004676F5">
        <w:rPr>
          <w:lang w:val="de-DE"/>
        </w:rPr>
        <w:t>oder Teilübertragung des Unternehmens oder seiner Liquida</w:t>
      </w:r>
      <w:r w:rsidRPr="004676F5">
        <w:rPr>
          <w:lang w:val="de-DE"/>
        </w:rPr>
        <w:softHyphen/>
        <w:t>tion muss der Konkursverwalter beziehungsweise Liquidator einen getrennten Posten für jedes audiovisuelle Werk vorsehen, dessen Nutzungsrechte abgetreten oder versteigert werden können.</w:t>
      </w:r>
    </w:p>
    <w:p w14:paraId="6D758CF3" w14:textId="77777777" w:rsidR="001527B1" w:rsidRPr="004676F5" w:rsidRDefault="001527B1" w:rsidP="001527B1">
      <w:pPr>
        <w:ind w:firstLine="708"/>
        <w:jc w:val="both"/>
        <w:rPr>
          <w:lang w:val="de-DE"/>
        </w:rPr>
      </w:pPr>
    </w:p>
    <w:p w14:paraId="51AD2729" w14:textId="1E0112CA" w:rsidR="001527B1" w:rsidRPr="004676F5" w:rsidRDefault="001527B1" w:rsidP="001527B1">
      <w:pPr>
        <w:ind w:firstLine="708"/>
        <w:jc w:val="both"/>
        <w:rPr>
          <w:lang w:val="de-DE"/>
        </w:rPr>
      </w:pPr>
      <w:r w:rsidRPr="004676F5">
        <w:rPr>
          <w:lang w:val="de-DE"/>
        </w:rPr>
        <w:t>Er muss zur Vermeidung der Nichtigkeit alle anderen Produzenten des Werkes, den Regisseur und die anderen Urheber mindestens einen Monat vor der Abtretung oder einem anderen Verkaufs</w:t>
      </w:r>
      <w:r w:rsidR="005B7A5C" w:rsidRPr="004676F5">
        <w:rPr>
          <w:lang w:val="de-DE"/>
        </w:rPr>
        <w:t>- </w:t>
      </w:r>
      <w:r w:rsidRPr="004676F5">
        <w:rPr>
          <w:lang w:val="de-DE"/>
        </w:rPr>
        <w:t>oder Versteigerungsverfahren per Einschreiben informieren.</w:t>
      </w:r>
    </w:p>
    <w:p w14:paraId="7AC4247C" w14:textId="77777777" w:rsidR="001527B1" w:rsidRPr="004676F5" w:rsidRDefault="001527B1" w:rsidP="001527B1">
      <w:pPr>
        <w:ind w:firstLine="708"/>
        <w:jc w:val="both"/>
        <w:rPr>
          <w:lang w:val="de-DE"/>
        </w:rPr>
      </w:pPr>
    </w:p>
    <w:p w14:paraId="51B8AC05" w14:textId="77777777" w:rsidR="001527B1" w:rsidRPr="004676F5" w:rsidRDefault="001527B1" w:rsidP="001527B1">
      <w:pPr>
        <w:ind w:firstLine="708"/>
        <w:jc w:val="both"/>
        <w:rPr>
          <w:lang w:val="de-DE"/>
        </w:rPr>
      </w:pPr>
      <w:r w:rsidRPr="004676F5">
        <w:rPr>
          <w:lang w:val="de-DE"/>
        </w:rPr>
        <w:t>Der Käufer hat dieselben Verpflichtungen wie der Abtreter.</w:t>
      </w:r>
    </w:p>
    <w:p w14:paraId="34AC2923" w14:textId="77777777" w:rsidR="001527B1" w:rsidRPr="004676F5" w:rsidRDefault="001527B1" w:rsidP="001527B1">
      <w:pPr>
        <w:ind w:firstLine="708"/>
        <w:jc w:val="both"/>
        <w:rPr>
          <w:lang w:val="de-DE"/>
        </w:rPr>
      </w:pPr>
    </w:p>
    <w:p w14:paraId="4BB2FE14" w14:textId="77777777" w:rsidR="001527B1" w:rsidRPr="004676F5" w:rsidRDefault="001527B1" w:rsidP="001527B1">
      <w:pPr>
        <w:ind w:firstLine="708"/>
        <w:jc w:val="both"/>
        <w:rPr>
          <w:lang w:val="de-DE"/>
        </w:rPr>
      </w:pPr>
      <w:r w:rsidRPr="004676F5">
        <w:rPr>
          <w:lang w:val="de-DE"/>
        </w:rPr>
        <w:t>Der Regisseur oder mangels Regisseur die anderen Urheber haben ein Vorrangsrecht an dem Werk, außer wenn einer der Koproduzenten sich zum Käufer erklärt. Falls keine Übereinstimmung erzielt wird, wird der Kaufpreis durch gerichtliche Entscheidung festgelegt.</w:t>
      </w:r>
    </w:p>
    <w:p w14:paraId="2CCA215B" w14:textId="77777777" w:rsidR="001527B1" w:rsidRPr="004676F5" w:rsidRDefault="001527B1" w:rsidP="001527B1">
      <w:pPr>
        <w:ind w:firstLine="708"/>
        <w:jc w:val="both"/>
        <w:rPr>
          <w:lang w:val="de-DE"/>
        </w:rPr>
      </w:pPr>
    </w:p>
    <w:p w14:paraId="616E5C99" w14:textId="77777777" w:rsidR="001527B1" w:rsidRPr="004676F5" w:rsidRDefault="001527B1" w:rsidP="001527B1">
      <w:pPr>
        <w:ind w:firstLine="708"/>
        <w:jc w:val="both"/>
        <w:rPr>
          <w:lang w:val="de-DE"/>
        </w:rPr>
      </w:pPr>
      <w:r w:rsidRPr="004676F5">
        <w:rPr>
          <w:lang w:val="de-DE"/>
        </w:rPr>
        <w:t>Wenn kein Koproduzent sich innerhalb eines Monats nach entsprechender Notifi</w:t>
      </w:r>
      <w:r w:rsidRPr="004676F5">
        <w:rPr>
          <w:lang w:val="de-DE"/>
        </w:rPr>
        <w:softHyphen/>
        <w:t>zierung zum Käufer erklärt hat, kann der Regisseur innerhalb eines Monats sein Vorrangsrecht ausüben. Nach Ablauf dieser Frist verfügen die Miturheber über einen Monat, um ihrerseits ihr Vorrangsrecht auszuüben.</w:t>
      </w:r>
    </w:p>
    <w:p w14:paraId="61E350CB" w14:textId="77777777" w:rsidR="001527B1" w:rsidRPr="004676F5" w:rsidRDefault="001527B1" w:rsidP="001527B1">
      <w:pPr>
        <w:ind w:firstLine="708"/>
        <w:jc w:val="both"/>
        <w:rPr>
          <w:lang w:val="de-DE"/>
        </w:rPr>
      </w:pPr>
    </w:p>
    <w:p w14:paraId="689F5535" w14:textId="77777777" w:rsidR="001527B1" w:rsidRPr="004676F5" w:rsidRDefault="001527B1" w:rsidP="001527B1">
      <w:pPr>
        <w:ind w:firstLine="708"/>
        <w:jc w:val="both"/>
        <w:rPr>
          <w:lang w:val="de-DE"/>
        </w:rPr>
      </w:pPr>
      <w:r w:rsidRPr="004676F5">
        <w:rPr>
          <w:lang w:val="de-DE"/>
        </w:rPr>
        <w:t>Die Ausübung dieses Rechts erfolgt per Gerichtsvollzieherurkunde oder per Einschrei</w:t>
      </w:r>
      <w:r w:rsidRPr="004676F5">
        <w:rPr>
          <w:lang w:val="de-DE"/>
        </w:rPr>
        <w:softHyphen/>
        <w:t>ben mit Rückschein an den Konkursverwalter beziehungsweise Liquidator.</w:t>
      </w:r>
    </w:p>
    <w:p w14:paraId="4394CDD0" w14:textId="77777777" w:rsidR="001527B1" w:rsidRPr="004676F5" w:rsidRDefault="001527B1" w:rsidP="001527B1">
      <w:pPr>
        <w:ind w:firstLine="708"/>
        <w:jc w:val="both"/>
        <w:rPr>
          <w:lang w:val="de-DE"/>
        </w:rPr>
      </w:pPr>
    </w:p>
    <w:p w14:paraId="3EA86C32" w14:textId="77777777" w:rsidR="001527B1" w:rsidRPr="004676F5" w:rsidRDefault="001527B1" w:rsidP="001527B1">
      <w:pPr>
        <w:ind w:firstLine="708"/>
        <w:jc w:val="both"/>
        <w:rPr>
          <w:lang w:val="de-DE"/>
        </w:rPr>
      </w:pPr>
      <w:r w:rsidRPr="004676F5">
        <w:rPr>
          <w:lang w:val="de-DE"/>
        </w:rPr>
        <w:lastRenderedPageBreak/>
        <w:t>Die Begünstigten eines Vorrangsrechts können per Gerichtsvollzieherurkunde oder per Einschreiben mit Rückschein an den Konkursverwalter auf dieses Recht verzichten.</w:t>
      </w:r>
    </w:p>
    <w:p w14:paraId="5E4B8684" w14:textId="77777777" w:rsidR="001527B1" w:rsidRPr="004676F5" w:rsidRDefault="001527B1" w:rsidP="001527B1">
      <w:pPr>
        <w:ind w:firstLine="708"/>
        <w:jc w:val="both"/>
        <w:rPr>
          <w:lang w:val="de-DE"/>
        </w:rPr>
      </w:pPr>
    </w:p>
    <w:p w14:paraId="12745351" w14:textId="77777777" w:rsidR="001527B1" w:rsidRPr="004676F5" w:rsidRDefault="001527B1" w:rsidP="001527B1">
      <w:pPr>
        <w:ind w:firstLine="708"/>
        <w:jc w:val="both"/>
        <w:rPr>
          <w:lang w:val="de-DE"/>
        </w:rPr>
      </w:pPr>
      <w:r w:rsidRPr="004676F5">
        <w:rPr>
          <w:lang w:val="de-DE"/>
        </w:rPr>
        <w:t>Wenn der Produzent seine Tätigkeit seit mehr als zwölf Monaten eingestellt hat oder wenn die Liquidation bekanntgemacht worden ist und das audiovisuelle Werk mehr als zwölf Monate nach der Bekanntmachung noch nicht verkauft worden ist, kann jeder Urheber dieses Werkes die Auflösung seines Vertrags beantragen.</w:t>
      </w:r>
    </w:p>
    <w:p w14:paraId="13AD0A58" w14:textId="77777777" w:rsidR="001527B1" w:rsidRPr="004676F5" w:rsidRDefault="001527B1" w:rsidP="001527B1">
      <w:pPr>
        <w:jc w:val="both"/>
        <w:rPr>
          <w:lang w:val="de-DE"/>
        </w:rPr>
      </w:pPr>
    </w:p>
    <w:p w14:paraId="7072831E" w14:textId="77777777" w:rsidR="00620833" w:rsidRPr="004676F5" w:rsidRDefault="00620833">
      <w:pPr>
        <w:rPr>
          <w:i/>
          <w:lang w:val="de-DE"/>
        </w:rPr>
      </w:pPr>
    </w:p>
    <w:p w14:paraId="741D1C18" w14:textId="219B6505" w:rsidR="001527B1" w:rsidRPr="004676F5" w:rsidRDefault="001527B1" w:rsidP="001527B1">
      <w:pPr>
        <w:jc w:val="center"/>
        <w:rPr>
          <w:lang w:val="de-DE"/>
        </w:rPr>
      </w:pPr>
      <w:r w:rsidRPr="004676F5">
        <w:rPr>
          <w:i/>
          <w:lang w:val="de-DE"/>
        </w:rPr>
        <w:t>Abschnitt 5 </w:t>
      </w:r>
      <w:r w:rsidR="005B7A5C" w:rsidRPr="004676F5">
        <w:rPr>
          <w:lang w:val="de-DE"/>
        </w:rPr>
        <w:t>- </w:t>
      </w:r>
      <w:r w:rsidRPr="004676F5">
        <w:rPr>
          <w:lang w:val="de-DE"/>
        </w:rPr>
        <w:t>Sonderbestimmungen in Bezug auf Datenbanken</w:t>
      </w:r>
    </w:p>
    <w:p w14:paraId="1BCBAAD9" w14:textId="77777777" w:rsidR="001527B1" w:rsidRPr="004676F5" w:rsidRDefault="001527B1" w:rsidP="001527B1">
      <w:pPr>
        <w:jc w:val="both"/>
        <w:rPr>
          <w:lang w:val="de-DE"/>
        </w:rPr>
      </w:pPr>
    </w:p>
    <w:p w14:paraId="6F66107C" w14:textId="77777777" w:rsidR="00435B6C" w:rsidRPr="004676F5" w:rsidRDefault="00435B6C" w:rsidP="001527B1">
      <w:pPr>
        <w:jc w:val="both"/>
        <w:rPr>
          <w:lang w:val="de-DE"/>
        </w:rPr>
      </w:pPr>
    </w:p>
    <w:p w14:paraId="39935417" w14:textId="669A37AA" w:rsidR="001527B1" w:rsidRPr="004676F5" w:rsidRDefault="00BE0A56" w:rsidP="00435B6C">
      <w:pPr>
        <w:ind w:firstLine="708"/>
        <w:jc w:val="both"/>
        <w:rPr>
          <w:lang w:val="de-DE"/>
        </w:rPr>
      </w:pPr>
      <w:r w:rsidRPr="004676F5">
        <w:rPr>
          <w:b/>
          <w:lang w:val="de-DE"/>
        </w:rPr>
        <w:t>Art. </w:t>
      </w:r>
      <w:r w:rsidR="001527B1" w:rsidRPr="004676F5">
        <w:rPr>
          <w:b/>
          <w:lang w:val="de-DE"/>
        </w:rPr>
        <w:t>XI.186</w:t>
      </w:r>
      <w:r w:rsidR="001527B1" w:rsidRPr="004676F5">
        <w:rPr>
          <w:lang w:val="de-DE"/>
        </w:rPr>
        <w:t> </w:t>
      </w:r>
      <w:r w:rsidR="005B7A5C" w:rsidRPr="004676F5">
        <w:rPr>
          <w:lang w:val="de-DE"/>
        </w:rPr>
        <w:t>- </w:t>
      </w:r>
      <w:r w:rsidR="001527B1" w:rsidRPr="004676F5">
        <w:rPr>
          <w:lang w:val="de-DE"/>
        </w:rPr>
        <w:t>Datenbanken, die aufgrund der Auswahl oder Anordnung des Stoffes eine eigene geistige Schöpfung ihres Urhebers darstellen, werden als solche urheberrechtlich geschützt.</w:t>
      </w:r>
    </w:p>
    <w:p w14:paraId="640DD7AF" w14:textId="77777777" w:rsidR="001527B1" w:rsidRPr="004676F5" w:rsidRDefault="001527B1" w:rsidP="001527B1">
      <w:pPr>
        <w:ind w:firstLine="708"/>
        <w:jc w:val="both"/>
        <w:rPr>
          <w:lang w:val="de-DE"/>
        </w:rPr>
      </w:pPr>
    </w:p>
    <w:p w14:paraId="021852E8" w14:textId="77777777" w:rsidR="001527B1" w:rsidRPr="004676F5" w:rsidRDefault="001527B1" w:rsidP="001527B1">
      <w:pPr>
        <w:ind w:firstLine="708"/>
        <w:jc w:val="both"/>
        <w:rPr>
          <w:lang w:val="de-DE"/>
        </w:rPr>
      </w:pPr>
      <w:r w:rsidRPr="004676F5">
        <w:rPr>
          <w:lang w:val="de-DE"/>
        </w:rPr>
        <w:t>Der Schutz von Datenbanken durch das Urheberrecht gilt nicht für die Werke, Daten oder Elemente selbst und lässt die Rechte, die an den in der Datenbank enthaltenen Werken, Daten oder anderen Elementen bestehen, unberührt.</w:t>
      </w:r>
    </w:p>
    <w:p w14:paraId="7A314B32" w14:textId="77777777" w:rsidR="001527B1" w:rsidRPr="004676F5" w:rsidRDefault="001527B1" w:rsidP="001527B1">
      <w:pPr>
        <w:ind w:firstLine="708"/>
        <w:jc w:val="both"/>
        <w:rPr>
          <w:lang w:val="de-DE"/>
        </w:rPr>
      </w:pPr>
    </w:p>
    <w:p w14:paraId="501EB0DB" w14:textId="77777777" w:rsidR="00435B6C" w:rsidRPr="004676F5" w:rsidRDefault="00435B6C" w:rsidP="001527B1">
      <w:pPr>
        <w:ind w:firstLine="708"/>
        <w:jc w:val="both"/>
        <w:rPr>
          <w:lang w:val="de-DE"/>
        </w:rPr>
      </w:pPr>
    </w:p>
    <w:p w14:paraId="44739D7F" w14:textId="4F725F4C" w:rsidR="001527B1" w:rsidRPr="004676F5" w:rsidRDefault="00BE0A56" w:rsidP="001527B1">
      <w:pPr>
        <w:ind w:firstLine="708"/>
        <w:jc w:val="both"/>
        <w:rPr>
          <w:lang w:val="de-DE"/>
        </w:rPr>
      </w:pPr>
      <w:r w:rsidRPr="004676F5">
        <w:rPr>
          <w:b/>
          <w:lang w:val="de-DE"/>
        </w:rPr>
        <w:t>Art. </w:t>
      </w:r>
      <w:r w:rsidR="001527B1" w:rsidRPr="004676F5">
        <w:rPr>
          <w:b/>
          <w:lang w:val="de-DE"/>
        </w:rPr>
        <w:t>XI.187</w:t>
      </w:r>
      <w:r w:rsidR="001527B1" w:rsidRPr="004676F5">
        <w:rPr>
          <w:lang w:val="de-DE"/>
        </w:rPr>
        <w:t> </w:t>
      </w:r>
      <w:r w:rsidR="005B7A5C" w:rsidRPr="004676F5">
        <w:rPr>
          <w:lang w:val="de-DE"/>
        </w:rPr>
        <w:t>- </w:t>
      </w:r>
      <w:r w:rsidR="001527B1" w:rsidRPr="004676F5">
        <w:rPr>
          <w:lang w:val="de-DE"/>
        </w:rPr>
        <w:t>Vorbehaltlich anders lautender Vertrags</w:t>
      </w:r>
      <w:r w:rsidR="005B7A5C" w:rsidRPr="004676F5">
        <w:rPr>
          <w:lang w:val="de-DE"/>
        </w:rPr>
        <w:t>- </w:t>
      </w:r>
      <w:r w:rsidR="001527B1" w:rsidRPr="004676F5">
        <w:rPr>
          <w:lang w:val="de-DE"/>
        </w:rPr>
        <w:t>oder Satzungsbestimmungen ist ausschließlich der Arbeitgeber als Erwerber der vermögensrechtlichen Befugnisse an den Datenbanken anzusehen, die im nichtkulturellen Sektor von einem oder mehreren Angestellten oder Bediensteten in Wahrnehmung ihrer Aufgaben oder nach den Anweisungen ihres Arbeitgebers geschaffen werden.</w:t>
      </w:r>
    </w:p>
    <w:p w14:paraId="226DE61C" w14:textId="77777777" w:rsidR="001527B1" w:rsidRPr="004676F5" w:rsidRDefault="001527B1" w:rsidP="001527B1">
      <w:pPr>
        <w:ind w:firstLine="708"/>
        <w:jc w:val="both"/>
        <w:rPr>
          <w:lang w:val="de-DE"/>
        </w:rPr>
      </w:pPr>
    </w:p>
    <w:p w14:paraId="6D2172E5" w14:textId="77777777" w:rsidR="001527B1" w:rsidRPr="004676F5" w:rsidRDefault="001527B1" w:rsidP="001527B1">
      <w:pPr>
        <w:ind w:firstLine="708"/>
        <w:jc w:val="both"/>
        <w:rPr>
          <w:lang w:val="de-DE"/>
        </w:rPr>
      </w:pPr>
      <w:r w:rsidRPr="004676F5">
        <w:rPr>
          <w:lang w:val="de-DE"/>
        </w:rPr>
        <w:t>Umfang und Modalitäten der Abtretungsvermutung können in einem Kollektiv</w:t>
      </w:r>
      <w:r w:rsidRPr="004676F5">
        <w:rPr>
          <w:lang w:val="de-DE"/>
        </w:rPr>
        <w:softHyphen/>
        <w:t>abkommen bestimmt werden.</w:t>
      </w:r>
    </w:p>
    <w:p w14:paraId="3741BA45" w14:textId="77777777" w:rsidR="001527B1" w:rsidRPr="004676F5" w:rsidRDefault="001527B1" w:rsidP="001527B1">
      <w:pPr>
        <w:jc w:val="both"/>
        <w:rPr>
          <w:lang w:val="de-DE"/>
        </w:rPr>
      </w:pPr>
    </w:p>
    <w:p w14:paraId="6F93C54D" w14:textId="77777777" w:rsidR="00435B6C" w:rsidRPr="004676F5" w:rsidRDefault="00435B6C" w:rsidP="001527B1">
      <w:pPr>
        <w:jc w:val="both"/>
        <w:rPr>
          <w:lang w:val="de-DE"/>
        </w:rPr>
      </w:pPr>
    </w:p>
    <w:p w14:paraId="13050BD1" w14:textId="406510DE" w:rsidR="001527B1" w:rsidRPr="004676F5" w:rsidRDefault="00BE0A56" w:rsidP="001527B1">
      <w:pPr>
        <w:ind w:firstLine="708"/>
        <w:jc w:val="both"/>
        <w:rPr>
          <w:lang w:val="de-DE"/>
        </w:rPr>
      </w:pPr>
      <w:r w:rsidRPr="004676F5">
        <w:rPr>
          <w:b/>
          <w:lang w:val="de-DE"/>
        </w:rPr>
        <w:t>Art. </w:t>
      </w:r>
      <w:r w:rsidR="001527B1" w:rsidRPr="004676F5">
        <w:rPr>
          <w:b/>
          <w:lang w:val="de-DE"/>
        </w:rPr>
        <w:t>XI.188</w:t>
      </w:r>
      <w:r w:rsidR="001527B1" w:rsidRPr="004676F5">
        <w:rPr>
          <w:lang w:val="de-DE"/>
        </w:rPr>
        <w:t> </w:t>
      </w:r>
      <w:r w:rsidR="005B7A5C" w:rsidRPr="004676F5">
        <w:rPr>
          <w:lang w:val="de-DE"/>
        </w:rPr>
        <w:t>- </w:t>
      </w:r>
      <w:r w:rsidR="001527B1" w:rsidRPr="004676F5">
        <w:rPr>
          <w:lang w:val="de-DE"/>
        </w:rPr>
        <w:t>Der rechtmäßige Benutzer einer Datenbank oder ihrer Verviel</w:t>
      </w:r>
      <w:r w:rsidR="001527B1" w:rsidRPr="004676F5">
        <w:rPr>
          <w:lang w:val="de-DE"/>
        </w:rPr>
        <w:softHyphen/>
        <w:t>fälti</w:t>
      </w:r>
      <w:r w:rsidR="001527B1" w:rsidRPr="004676F5">
        <w:rPr>
          <w:lang w:val="de-DE"/>
        </w:rPr>
        <w:softHyphen/>
        <w:t>gungs</w:t>
      </w:r>
      <w:r w:rsidR="001527B1" w:rsidRPr="004676F5">
        <w:rPr>
          <w:lang w:val="de-DE"/>
        </w:rPr>
        <w:softHyphen/>
        <w:t>stücke bedarf für die in Artikel XI.165 § 1 erwähnten Handlungen nicht der Zustimmung des Urhebers der Datenbank, wenn sie für den Zugang zum Inhalt der Datenbank und deren normale Benutzung durch den rechtmäßigen Benutzer erforderlich sind.</w:t>
      </w:r>
    </w:p>
    <w:p w14:paraId="43A319AE" w14:textId="77777777" w:rsidR="001527B1" w:rsidRPr="004676F5" w:rsidRDefault="001527B1" w:rsidP="001527B1">
      <w:pPr>
        <w:ind w:firstLine="708"/>
        <w:jc w:val="both"/>
        <w:rPr>
          <w:lang w:val="de-DE"/>
        </w:rPr>
      </w:pPr>
    </w:p>
    <w:p w14:paraId="631D105C" w14:textId="77777777" w:rsidR="001527B1" w:rsidRPr="004676F5" w:rsidRDefault="001527B1" w:rsidP="001527B1">
      <w:pPr>
        <w:ind w:firstLine="708"/>
        <w:jc w:val="both"/>
        <w:rPr>
          <w:lang w:val="de-DE"/>
        </w:rPr>
      </w:pPr>
      <w:r w:rsidRPr="004676F5">
        <w:rPr>
          <w:lang w:val="de-DE"/>
        </w:rPr>
        <w:t>Sofern der rechtmäßige Benutzer nur berechtigt ist, einen Teil der Datenbank zu nutzen, gilt Absatz 1 nur für diesen Teil.</w:t>
      </w:r>
    </w:p>
    <w:p w14:paraId="6D0985B1" w14:textId="77777777" w:rsidR="001527B1" w:rsidRPr="004676F5" w:rsidRDefault="001527B1" w:rsidP="001527B1">
      <w:pPr>
        <w:ind w:firstLine="708"/>
        <w:jc w:val="both"/>
        <w:rPr>
          <w:lang w:val="de-DE"/>
        </w:rPr>
      </w:pPr>
    </w:p>
    <w:p w14:paraId="215AC333" w14:textId="77777777" w:rsidR="001527B1" w:rsidRPr="004676F5" w:rsidRDefault="001527B1" w:rsidP="001527B1">
      <w:pPr>
        <w:ind w:firstLine="708"/>
        <w:jc w:val="both"/>
        <w:rPr>
          <w:lang w:val="de-DE"/>
        </w:rPr>
      </w:pPr>
      <w:r w:rsidRPr="004676F5">
        <w:rPr>
          <w:lang w:val="de-DE"/>
        </w:rPr>
        <w:t>Die Bestimmungen der Absätze 1 und 2 sind verbindlich.</w:t>
      </w:r>
    </w:p>
    <w:p w14:paraId="31FF4495" w14:textId="77777777" w:rsidR="001527B1" w:rsidRPr="004676F5" w:rsidRDefault="001527B1" w:rsidP="001527B1">
      <w:pPr>
        <w:jc w:val="both"/>
        <w:rPr>
          <w:lang w:val="de-DE"/>
        </w:rPr>
      </w:pPr>
    </w:p>
    <w:p w14:paraId="28F6E5CA" w14:textId="77777777" w:rsidR="00435B6C" w:rsidRPr="004676F5" w:rsidRDefault="00435B6C" w:rsidP="001527B1">
      <w:pPr>
        <w:jc w:val="both"/>
        <w:rPr>
          <w:lang w:val="de-DE"/>
        </w:rPr>
      </w:pPr>
    </w:p>
    <w:p w14:paraId="7956E288" w14:textId="77777777" w:rsidR="008670B5" w:rsidRPr="004676F5" w:rsidRDefault="008670B5">
      <w:pPr>
        <w:rPr>
          <w:i/>
          <w:lang w:val="de-DE"/>
        </w:rPr>
      </w:pPr>
      <w:r w:rsidRPr="004676F5">
        <w:rPr>
          <w:i/>
          <w:lang w:val="de-DE"/>
        </w:rPr>
        <w:br w:type="page"/>
      </w:r>
    </w:p>
    <w:p w14:paraId="2C8F2905" w14:textId="70EDF287" w:rsidR="001527B1" w:rsidRPr="004676F5" w:rsidRDefault="001527B1" w:rsidP="001527B1">
      <w:pPr>
        <w:jc w:val="center"/>
        <w:rPr>
          <w:lang w:val="de-DE"/>
        </w:rPr>
      </w:pPr>
      <w:r w:rsidRPr="004676F5">
        <w:rPr>
          <w:i/>
          <w:lang w:val="de-DE"/>
        </w:rPr>
        <w:lastRenderedPageBreak/>
        <w:t>Abschnitt 6 </w:t>
      </w:r>
      <w:r w:rsidR="005B7A5C" w:rsidRPr="004676F5">
        <w:rPr>
          <w:lang w:val="de-DE"/>
        </w:rPr>
        <w:t>- </w:t>
      </w:r>
      <w:r w:rsidRPr="004676F5">
        <w:rPr>
          <w:lang w:val="de-DE"/>
        </w:rPr>
        <w:t>Ausnahmen von den vermögensrechtlichen Befugnissen des Urhebers</w:t>
      </w:r>
    </w:p>
    <w:p w14:paraId="0B255FCA" w14:textId="77777777" w:rsidR="001527B1" w:rsidRPr="004676F5" w:rsidRDefault="001527B1" w:rsidP="001527B1">
      <w:pPr>
        <w:jc w:val="both"/>
        <w:rPr>
          <w:lang w:val="de-DE"/>
        </w:rPr>
      </w:pPr>
    </w:p>
    <w:p w14:paraId="33D879FD" w14:textId="77777777" w:rsidR="00435B6C" w:rsidRPr="004676F5" w:rsidRDefault="00435B6C" w:rsidP="001527B1">
      <w:pPr>
        <w:jc w:val="both"/>
        <w:rPr>
          <w:lang w:val="de-DE"/>
        </w:rPr>
      </w:pPr>
    </w:p>
    <w:p w14:paraId="12CC9BD4" w14:textId="4506B475" w:rsidR="00F70CA4" w:rsidRPr="004676F5" w:rsidRDefault="00F70CA4" w:rsidP="00F70CA4">
      <w:pPr>
        <w:jc w:val="center"/>
        <w:rPr>
          <w:lang w:val="de-DE"/>
        </w:rPr>
      </w:pPr>
      <w:r w:rsidRPr="004676F5">
        <w:rPr>
          <w:lang w:val="de-DE"/>
        </w:rPr>
        <w:t xml:space="preserve">[Unterabschnitt 1 </w:t>
      </w:r>
      <w:r w:rsidR="005B7A5C" w:rsidRPr="004676F5">
        <w:rPr>
          <w:lang w:val="de-DE"/>
        </w:rPr>
        <w:t>- </w:t>
      </w:r>
      <w:r w:rsidRPr="004676F5">
        <w:rPr>
          <w:lang w:val="de-DE"/>
        </w:rPr>
        <w:t>Allgemeine Ausnahmen von den vermögensrechtlichen Befug</w:t>
      </w:r>
      <w:r w:rsidRPr="004676F5">
        <w:rPr>
          <w:lang w:val="de-DE"/>
        </w:rPr>
        <w:softHyphen/>
        <w:t>nissen des Urhebers]</w:t>
      </w:r>
    </w:p>
    <w:p w14:paraId="4E82E157" w14:textId="77777777" w:rsidR="00F70CA4" w:rsidRPr="004676F5" w:rsidRDefault="00F70CA4" w:rsidP="00F70CA4">
      <w:pPr>
        <w:jc w:val="center"/>
        <w:rPr>
          <w:lang w:val="de-DE"/>
        </w:rPr>
      </w:pPr>
    </w:p>
    <w:p w14:paraId="0E0BB1D5" w14:textId="56974F19" w:rsidR="00F70CA4" w:rsidRPr="004676F5" w:rsidRDefault="00F70CA4" w:rsidP="00F70CA4">
      <w:pPr>
        <w:jc w:val="both"/>
        <w:rPr>
          <w:i/>
          <w:lang w:val="de-DE"/>
        </w:rPr>
      </w:pPr>
      <w:r w:rsidRPr="004676F5">
        <w:rPr>
          <w:i/>
          <w:lang w:val="de-DE"/>
        </w:rPr>
        <w:t xml:space="preserve">[Unterteilung Unterabschnitt 1 eingefügt durch </w:t>
      </w:r>
      <w:r w:rsidR="00BE0A56" w:rsidRPr="004676F5">
        <w:rPr>
          <w:i/>
          <w:lang w:val="de-DE"/>
        </w:rPr>
        <w:t>Art. </w:t>
      </w:r>
      <w:r w:rsidRPr="004676F5">
        <w:rPr>
          <w:i/>
          <w:lang w:val="de-DE"/>
        </w:rPr>
        <w:t>3 des G. vom 22. Dezember 2016 (B.S. vom 29. Dezember 2016)]</w:t>
      </w:r>
    </w:p>
    <w:p w14:paraId="71B1E914" w14:textId="77777777" w:rsidR="00F70CA4" w:rsidRPr="004676F5" w:rsidRDefault="00F70CA4" w:rsidP="00F70CA4">
      <w:pPr>
        <w:jc w:val="both"/>
        <w:rPr>
          <w:i/>
          <w:lang w:val="de-DE"/>
        </w:rPr>
      </w:pPr>
    </w:p>
    <w:p w14:paraId="5147A704" w14:textId="77777777" w:rsidR="00F70CA4" w:rsidRPr="004676F5" w:rsidRDefault="00F70CA4" w:rsidP="00F70CA4">
      <w:pPr>
        <w:jc w:val="both"/>
        <w:rPr>
          <w:i/>
          <w:lang w:val="de-DE"/>
        </w:rPr>
      </w:pPr>
    </w:p>
    <w:p w14:paraId="44DF1CF2" w14:textId="7315753C" w:rsidR="001527B1" w:rsidRPr="004676F5" w:rsidRDefault="00BE0A56" w:rsidP="001527B1">
      <w:pPr>
        <w:ind w:firstLine="708"/>
        <w:jc w:val="both"/>
        <w:rPr>
          <w:lang w:val="de-DE"/>
        </w:rPr>
      </w:pPr>
      <w:r w:rsidRPr="004676F5">
        <w:rPr>
          <w:b/>
          <w:lang w:val="de-DE"/>
        </w:rPr>
        <w:t>Art. </w:t>
      </w:r>
      <w:r w:rsidR="001527B1" w:rsidRPr="004676F5">
        <w:rPr>
          <w:b/>
          <w:lang w:val="de-DE"/>
        </w:rPr>
        <w:t>XI.189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Zitate aus einem erlaubterweise veröffentlichten Werk zu Zwecken wie Kritik, Polemik oder Rezension</w:t>
      </w:r>
      <w:r w:rsidR="00F70CA4" w:rsidRPr="004676F5">
        <w:rPr>
          <w:lang w:val="de-DE"/>
        </w:rPr>
        <w:t xml:space="preserve"> [...]</w:t>
      </w:r>
      <w:r w:rsidR="001527B1" w:rsidRPr="004676F5">
        <w:rPr>
          <w:lang w:val="de-DE"/>
        </w:rPr>
        <w:t xml:space="preserve"> verletzen das Urheberrecht nicht, sofern die Nutzung den anständigen Berufsgepflogenheiten entspricht und durch den besonderen Zweck gerechtfertigt ist.</w:t>
      </w:r>
    </w:p>
    <w:p w14:paraId="3E66373F" w14:textId="77777777" w:rsidR="001527B1" w:rsidRPr="004676F5" w:rsidRDefault="001527B1" w:rsidP="001527B1">
      <w:pPr>
        <w:ind w:firstLine="708"/>
        <w:jc w:val="both"/>
        <w:rPr>
          <w:lang w:val="de-DE"/>
        </w:rPr>
      </w:pPr>
    </w:p>
    <w:p w14:paraId="726242BA" w14:textId="7F4EC0D2" w:rsidR="001527B1" w:rsidRPr="004676F5" w:rsidRDefault="001527B1" w:rsidP="001527B1">
      <w:pPr>
        <w:ind w:firstLine="708"/>
        <w:jc w:val="both"/>
        <w:rPr>
          <w:lang w:val="de-DE"/>
        </w:rPr>
      </w:pPr>
      <w:r w:rsidRPr="004676F5">
        <w:rPr>
          <w:lang w:val="de-DE"/>
        </w:rPr>
        <w:t xml:space="preserve">Für die in vorhergehendem Absatz erwähnten Zitate muss </w:t>
      </w:r>
      <w:r w:rsidR="005B7A5C" w:rsidRPr="004676F5">
        <w:rPr>
          <w:lang w:val="de-DE"/>
        </w:rPr>
        <w:t>- </w:t>
      </w:r>
      <w:r w:rsidRPr="004676F5">
        <w:rPr>
          <w:lang w:val="de-DE"/>
        </w:rPr>
        <w:t>außer in Fällen, in denen sich dies als unmöglich erweist </w:t>
      </w:r>
      <w:r w:rsidR="005B7A5C" w:rsidRPr="004676F5">
        <w:rPr>
          <w:lang w:val="de-DE"/>
        </w:rPr>
        <w:t>- </w:t>
      </w:r>
      <w:r w:rsidRPr="004676F5">
        <w:rPr>
          <w:lang w:val="de-DE"/>
        </w:rPr>
        <w:t>die Quelle einschließlich des Namens des Urhebers angegeben werden.</w:t>
      </w:r>
    </w:p>
    <w:p w14:paraId="3EA6C76A" w14:textId="77777777" w:rsidR="001527B1" w:rsidRPr="004676F5" w:rsidRDefault="001527B1" w:rsidP="001527B1">
      <w:pPr>
        <w:ind w:firstLine="708"/>
        <w:jc w:val="both"/>
        <w:rPr>
          <w:lang w:val="de-DE"/>
        </w:rPr>
      </w:pPr>
    </w:p>
    <w:p w14:paraId="1F3D1270" w14:textId="699B4EE6" w:rsidR="001527B1" w:rsidRPr="004676F5" w:rsidRDefault="001527B1" w:rsidP="001527B1">
      <w:pPr>
        <w:ind w:firstLine="708"/>
        <w:jc w:val="both"/>
        <w:rPr>
          <w:lang w:val="de-DE"/>
        </w:rPr>
      </w:pPr>
      <w:r w:rsidRPr="004676F5">
        <w:rPr>
          <w:lang w:val="de-DE"/>
        </w:rPr>
        <w:t>§ 2 </w:t>
      </w:r>
      <w:r w:rsidR="005B7A5C" w:rsidRPr="004676F5">
        <w:rPr>
          <w:lang w:val="de-DE"/>
        </w:rPr>
        <w:t>- </w:t>
      </w:r>
      <w:r w:rsidR="00F70CA4" w:rsidRPr="004676F5">
        <w:rPr>
          <w:lang w:val="de-DE"/>
        </w:rPr>
        <w:t>[...]</w:t>
      </w:r>
    </w:p>
    <w:p w14:paraId="04F91FDE" w14:textId="77777777" w:rsidR="001527B1" w:rsidRPr="004676F5" w:rsidRDefault="001527B1" w:rsidP="001527B1">
      <w:pPr>
        <w:ind w:firstLine="708"/>
        <w:jc w:val="both"/>
        <w:rPr>
          <w:lang w:val="de-DE"/>
        </w:rPr>
      </w:pPr>
    </w:p>
    <w:p w14:paraId="64483E92" w14:textId="4ABE127D"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Urheber können vorübergehende Vervielfältigungshandlungen, die flüchtig oder begleitend sind und einen integralen und wesentlichen Teil eines technischen Verfahrens darstellen und deren alleiniger Zweck es ist,</w:t>
      </w:r>
    </w:p>
    <w:p w14:paraId="42954659" w14:textId="77777777" w:rsidR="001527B1" w:rsidRPr="004676F5" w:rsidRDefault="001527B1" w:rsidP="001527B1">
      <w:pPr>
        <w:ind w:firstLine="708"/>
        <w:jc w:val="both"/>
        <w:rPr>
          <w:lang w:val="de-DE"/>
        </w:rPr>
      </w:pPr>
    </w:p>
    <w:p w14:paraId="73B89FF7" w14:textId="148D1EF0" w:rsidR="001527B1" w:rsidRPr="004676F5" w:rsidRDefault="005B7A5C" w:rsidP="001527B1">
      <w:pPr>
        <w:ind w:firstLine="708"/>
        <w:jc w:val="both"/>
        <w:rPr>
          <w:lang w:val="de-DE"/>
        </w:rPr>
      </w:pPr>
      <w:r w:rsidRPr="004676F5">
        <w:rPr>
          <w:lang w:val="de-DE"/>
        </w:rPr>
        <w:t>- </w:t>
      </w:r>
      <w:r w:rsidR="001527B1" w:rsidRPr="004676F5">
        <w:rPr>
          <w:lang w:val="de-DE"/>
        </w:rPr>
        <w:t>eine Übertragung in einem Netz zwischen Dritten durch einen Vermittler oder</w:t>
      </w:r>
    </w:p>
    <w:p w14:paraId="0CDDCC8E" w14:textId="77777777" w:rsidR="001527B1" w:rsidRPr="004676F5" w:rsidRDefault="001527B1" w:rsidP="001527B1">
      <w:pPr>
        <w:ind w:firstLine="708"/>
        <w:jc w:val="both"/>
        <w:rPr>
          <w:lang w:val="de-DE"/>
        </w:rPr>
      </w:pPr>
    </w:p>
    <w:p w14:paraId="33FD26F3" w14:textId="67C0A9E9" w:rsidR="001527B1" w:rsidRPr="004676F5" w:rsidRDefault="005B7A5C" w:rsidP="001527B1">
      <w:pPr>
        <w:ind w:firstLine="708"/>
        <w:jc w:val="both"/>
        <w:rPr>
          <w:lang w:val="de-DE"/>
        </w:rPr>
      </w:pPr>
      <w:r w:rsidRPr="004676F5">
        <w:rPr>
          <w:lang w:val="de-DE"/>
        </w:rPr>
        <w:t>- </w:t>
      </w:r>
      <w:r w:rsidR="001527B1" w:rsidRPr="004676F5">
        <w:rPr>
          <w:lang w:val="de-DE"/>
        </w:rPr>
        <w:t>eine rechtmäßige Nutzung</w:t>
      </w:r>
    </w:p>
    <w:p w14:paraId="11CBF712" w14:textId="77777777" w:rsidR="001527B1" w:rsidRPr="004676F5" w:rsidRDefault="001527B1" w:rsidP="001527B1">
      <w:pPr>
        <w:ind w:firstLine="708"/>
        <w:jc w:val="both"/>
        <w:rPr>
          <w:lang w:val="de-DE"/>
        </w:rPr>
      </w:pPr>
    </w:p>
    <w:p w14:paraId="58D22941" w14:textId="77777777" w:rsidR="001527B1" w:rsidRPr="004676F5" w:rsidRDefault="001527B1" w:rsidP="001527B1">
      <w:pPr>
        <w:ind w:firstLine="708"/>
        <w:jc w:val="both"/>
        <w:rPr>
          <w:lang w:val="de-DE"/>
        </w:rPr>
      </w:pPr>
      <w:r w:rsidRPr="004676F5">
        <w:rPr>
          <w:lang w:val="de-DE"/>
        </w:rPr>
        <w:t>eines geschützten Werkes zu ermöglichen, und die keine eigenständige wirtschaftliche Bedeutung haben, nicht verbieten.</w:t>
      </w:r>
    </w:p>
    <w:p w14:paraId="118599E7" w14:textId="77777777" w:rsidR="001527B1" w:rsidRPr="004676F5" w:rsidRDefault="001527B1" w:rsidP="00F70CA4">
      <w:pPr>
        <w:jc w:val="both"/>
        <w:rPr>
          <w:lang w:val="de-DE"/>
        </w:rPr>
      </w:pPr>
    </w:p>
    <w:p w14:paraId="4D6DECFD" w14:textId="733F263B" w:rsidR="00F70CA4" w:rsidRPr="004676F5" w:rsidRDefault="00F70CA4" w:rsidP="00F70CA4">
      <w:pPr>
        <w:jc w:val="both"/>
        <w:rPr>
          <w:i/>
          <w:lang w:val="de-DE"/>
        </w:rPr>
      </w:pPr>
      <w:r w:rsidRPr="004676F5">
        <w:rPr>
          <w:i/>
          <w:lang w:val="de-DE"/>
        </w:rPr>
        <w:t>[</w:t>
      </w:r>
      <w:r w:rsidR="00BE0A56" w:rsidRPr="004676F5">
        <w:rPr>
          <w:i/>
          <w:lang w:val="de-DE"/>
        </w:rPr>
        <w:t>Art. </w:t>
      </w:r>
      <w:r w:rsidRPr="004676F5">
        <w:rPr>
          <w:i/>
          <w:lang w:val="de-DE"/>
        </w:rPr>
        <w:t xml:space="preserve">XI.189 § 1 Abs. 1 abgeändert durch </w:t>
      </w:r>
      <w:r w:rsidR="00BE0A56" w:rsidRPr="004676F5">
        <w:rPr>
          <w:i/>
          <w:lang w:val="de-DE"/>
        </w:rPr>
        <w:t>Art. </w:t>
      </w:r>
      <w:r w:rsidRPr="004676F5">
        <w:rPr>
          <w:i/>
          <w:lang w:val="de-DE"/>
        </w:rPr>
        <w:t xml:space="preserve">4 Nr. 1 des G. vom 22. Dezember 2016 (B.S. vom 29. Dezember 2016); § 2 aufgehoben durch </w:t>
      </w:r>
      <w:r w:rsidR="00BE0A56" w:rsidRPr="004676F5">
        <w:rPr>
          <w:i/>
          <w:lang w:val="de-DE"/>
        </w:rPr>
        <w:t>Art. </w:t>
      </w:r>
      <w:r w:rsidRPr="004676F5">
        <w:rPr>
          <w:i/>
          <w:lang w:val="de-DE"/>
        </w:rPr>
        <w:t>4 Nr. 2 des G. vom 22. Dezember 2016 (B.S. vom 29. Dezember 2016)]</w:t>
      </w:r>
    </w:p>
    <w:p w14:paraId="0D2976FC" w14:textId="77777777" w:rsidR="00F70CA4" w:rsidRPr="004676F5" w:rsidRDefault="00F70CA4" w:rsidP="00F70CA4">
      <w:pPr>
        <w:jc w:val="both"/>
        <w:rPr>
          <w:i/>
          <w:lang w:val="de-DE"/>
        </w:rPr>
      </w:pPr>
    </w:p>
    <w:p w14:paraId="0AC6698E" w14:textId="77777777" w:rsidR="00435B6C" w:rsidRPr="004676F5" w:rsidRDefault="00435B6C" w:rsidP="001527B1">
      <w:pPr>
        <w:ind w:firstLine="708"/>
        <w:jc w:val="both"/>
        <w:rPr>
          <w:lang w:val="de-DE"/>
        </w:rPr>
      </w:pPr>
    </w:p>
    <w:p w14:paraId="78CC356A" w14:textId="6277C835" w:rsidR="001527B1" w:rsidRPr="004676F5" w:rsidRDefault="00BE0A56" w:rsidP="001527B1">
      <w:pPr>
        <w:ind w:firstLine="708"/>
        <w:jc w:val="both"/>
        <w:rPr>
          <w:lang w:val="de-DE"/>
        </w:rPr>
      </w:pPr>
      <w:r w:rsidRPr="004676F5">
        <w:rPr>
          <w:b/>
          <w:lang w:val="de-DE"/>
        </w:rPr>
        <w:t>Art. </w:t>
      </w:r>
      <w:r w:rsidR="001527B1" w:rsidRPr="004676F5">
        <w:rPr>
          <w:b/>
          <w:lang w:val="de-DE"/>
        </w:rPr>
        <w:t>XI.190</w:t>
      </w:r>
      <w:r w:rsidR="001527B1" w:rsidRPr="004676F5">
        <w:rPr>
          <w:lang w:val="de-DE"/>
        </w:rPr>
        <w:t> </w:t>
      </w:r>
      <w:r w:rsidR="005B7A5C" w:rsidRPr="004676F5">
        <w:rPr>
          <w:lang w:val="de-DE"/>
        </w:rPr>
        <w:t>- </w:t>
      </w:r>
      <w:r w:rsidR="001527B1" w:rsidRPr="004676F5">
        <w:rPr>
          <w:lang w:val="de-DE"/>
        </w:rPr>
        <w:t xml:space="preserve">Wenn ein Werk erlaubterweise </w:t>
      </w:r>
      <w:r w:rsidR="00F70CA4" w:rsidRPr="004676F5">
        <w:rPr>
          <w:lang w:val="de-DE"/>
        </w:rPr>
        <w:t>[bekannt gemacht]</w:t>
      </w:r>
      <w:r w:rsidR="001527B1" w:rsidRPr="004676F5">
        <w:rPr>
          <w:lang w:val="de-DE"/>
        </w:rPr>
        <w:t xml:space="preserve"> worden ist, kann der Urheber sich nicht widersetzen gegen:</w:t>
      </w:r>
    </w:p>
    <w:p w14:paraId="4D2A12A0" w14:textId="77777777" w:rsidR="001527B1" w:rsidRPr="004676F5" w:rsidRDefault="001527B1" w:rsidP="001527B1">
      <w:pPr>
        <w:ind w:firstLine="708"/>
        <w:jc w:val="both"/>
        <w:rPr>
          <w:lang w:val="de-DE"/>
        </w:rPr>
      </w:pPr>
    </w:p>
    <w:p w14:paraId="62196C59" w14:textId="77777777" w:rsidR="001527B1" w:rsidRPr="004676F5" w:rsidRDefault="001527B1" w:rsidP="001527B1">
      <w:pPr>
        <w:ind w:firstLine="708"/>
        <w:jc w:val="both"/>
        <w:rPr>
          <w:lang w:val="de-DE"/>
        </w:rPr>
      </w:pPr>
      <w:r w:rsidRPr="004676F5">
        <w:rPr>
          <w:lang w:val="de-DE"/>
        </w:rPr>
        <w:t>1. Vervielfältigung und öffentliche Wiedergabe zu Informationszwecken von kurzen Bruchstücken aus Werken oder von vollständigen Werken der grafischen oder der bildenden Künste anlässlich der Berichterstattung über Tagesereignisse.</w:t>
      </w:r>
    </w:p>
    <w:p w14:paraId="045E8593" w14:textId="77777777" w:rsidR="001527B1" w:rsidRPr="004676F5" w:rsidRDefault="001527B1" w:rsidP="001527B1">
      <w:pPr>
        <w:ind w:firstLine="708"/>
        <w:jc w:val="both"/>
        <w:rPr>
          <w:lang w:val="de-DE"/>
        </w:rPr>
      </w:pPr>
    </w:p>
    <w:p w14:paraId="393719D1" w14:textId="3DCCD9F7" w:rsidR="001527B1" w:rsidRPr="004676F5" w:rsidRDefault="001527B1" w:rsidP="001527B1">
      <w:pPr>
        <w:ind w:firstLine="708"/>
        <w:jc w:val="both"/>
        <w:rPr>
          <w:lang w:val="de-DE"/>
        </w:rPr>
      </w:pPr>
      <w:r w:rsidRPr="004676F5">
        <w:rPr>
          <w:lang w:val="de-DE"/>
        </w:rPr>
        <w:t xml:space="preserve">Vervielfältigung und öffentliche Wiedergabe von Werken in Verbindung mit der Berichterstattung über Tagesereignisse gemäß vorhergehendem Absatz müssen durch den verfolgten Informationszweck gerechtfertigt sein und </w:t>
      </w:r>
      <w:r w:rsidR="005B7A5C" w:rsidRPr="004676F5">
        <w:rPr>
          <w:lang w:val="de-DE"/>
        </w:rPr>
        <w:t>- </w:t>
      </w:r>
      <w:r w:rsidRPr="004676F5">
        <w:rPr>
          <w:lang w:val="de-DE"/>
        </w:rPr>
        <w:t>außer in Fällen, in denen sich dies als unmöglich erweist </w:t>
      </w:r>
      <w:r w:rsidR="005B7A5C" w:rsidRPr="004676F5">
        <w:rPr>
          <w:lang w:val="de-DE"/>
        </w:rPr>
        <w:t>- </w:t>
      </w:r>
      <w:r w:rsidRPr="004676F5">
        <w:rPr>
          <w:lang w:val="de-DE"/>
        </w:rPr>
        <w:t>die Angabe der Quelle einschließlich des Namens des Urhebers enthalten,</w:t>
      </w:r>
    </w:p>
    <w:p w14:paraId="11E6305C" w14:textId="77777777" w:rsidR="001527B1" w:rsidRPr="004676F5" w:rsidRDefault="001527B1" w:rsidP="001527B1">
      <w:pPr>
        <w:ind w:firstLine="708"/>
        <w:jc w:val="both"/>
        <w:rPr>
          <w:lang w:val="de-DE"/>
        </w:rPr>
      </w:pPr>
    </w:p>
    <w:p w14:paraId="46D9ED32" w14:textId="77777777" w:rsidR="001527B1" w:rsidRPr="004676F5" w:rsidRDefault="001527B1" w:rsidP="001527B1">
      <w:pPr>
        <w:ind w:firstLine="708"/>
        <w:jc w:val="both"/>
        <w:rPr>
          <w:lang w:val="de-DE"/>
        </w:rPr>
      </w:pPr>
      <w:r w:rsidRPr="004676F5">
        <w:rPr>
          <w:lang w:val="de-DE"/>
        </w:rPr>
        <w:t>2. Vervielfältigung und öffentliche Wiedergabe eines Werkes, das an einem der Öffentlichkeit zugänglichen Ort ausgestellt wird, wenn der Zweck der Vervielfältigung oder öffentlichen Wiedergabe nicht das Werk selbst ist,</w:t>
      </w:r>
    </w:p>
    <w:p w14:paraId="316D84B6" w14:textId="77777777" w:rsidR="001527B1" w:rsidRPr="004676F5" w:rsidRDefault="001527B1" w:rsidP="001527B1">
      <w:pPr>
        <w:ind w:firstLine="708"/>
        <w:jc w:val="both"/>
        <w:rPr>
          <w:lang w:val="de-DE"/>
        </w:rPr>
      </w:pPr>
    </w:p>
    <w:p w14:paraId="51890306" w14:textId="164B755C" w:rsidR="000A2E4B" w:rsidRPr="004676F5" w:rsidRDefault="000A2E4B" w:rsidP="001527B1">
      <w:pPr>
        <w:ind w:firstLine="708"/>
        <w:jc w:val="both"/>
        <w:rPr>
          <w:lang w:val="de-DE"/>
        </w:rPr>
      </w:pPr>
      <w:r w:rsidRPr="004676F5">
        <w:rPr>
          <w:lang w:val="de-DE"/>
        </w:rPr>
        <w:t>[2/1. Vervielfältigung und öffentliche Wiedergabe von Werken der grafischen, bildenden oder architektonischen Künste, die dazu bestimmt sind, sich bleibend an öffentlichen Orten zu befinden, insofern es sich um die Vervielfältigung oder Wiedergabe des Werkes wie vor Ort befindlich handelt</w:t>
      </w:r>
      <w:r w:rsidR="008670B5" w:rsidRPr="004676F5">
        <w:rPr>
          <w:lang w:val="de-DE"/>
        </w:rPr>
        <w:t xml:space="preserve"> [...]</w:t>
      </w:r>
      <w:r w:rsidRPr="004676F5">
        <w:rPr>
          <w:lang w:val="de-DE"/>
        </w:rPr>
        <w:t>,]</w:t>
      </w:r>
    </w:p>
    <w:p w14:paraId="1045CCE8" w14:textId="77777777" w:rsidR="000A2E4B" w:rsidRPr="004676F5" w:rsidRDefault="000A2E4B" w:rsidP="001527B1">
      <w:pPr>
        <w:ind w:firstLine="708"/>
        <w:jc w:val="both"/>
        <w:rPr>
          <w:lang w:val="de-DE"/>
        </w:rPr>
      </w:pPr>
    </w:p>
    <w:p w14:paraId="60D29DF2" w14:textId="3A32A166" w:rsidR="001527B1" w:rsidRPr="004676F5" w:rsidRDefault="001527B1" w:rsidP="001527B1">
      <w:pPr>
        <w:ind w:firstLine="708"/>
        <w:jc w:val="both"/>
        <w:rPr>
          <w:lang w:val="de-DE"/>
        </w:rPr>
      </w:pPr>
      <w:r w:rsidRPr="004676F5">
        <w:rPr>
          <w:lang w:val="de-DE"/>
        </w:rPr>
        <w:t>3. </w:t>
      </w:r>
      <w:r w:rsidR="008670B5" w:rsidRPr="004676F5">
        <w:rPr>
          <w:lang w:val="de-DE"/>
        </w:rPr>
        <w:t>[...]</w:t>
      </w:r>
    </w:p>
    <w:p w14:paraId="0B023990" w14:textId="77777777" w:rsidR="001527B1" w:rsidRPr="004676F5" w:rsidRDefault="001527B1" w:rsidP="001527B1">
      <w:pPr>
        <w:ind w:firstLine="708"/>
        <w:jc w:val="both"/>
        <w:rPr>
          <w:lang w:val="de-DE"/>
        </w:rPr>
      </w:pPr>
    </w:p>
    <w:p w14:paraId="6F670B52" w14:textId="77777777" w:rsidR="001527B1" w:rsidRPr="004676F5" w:rsidRDefault="001527B1" w:rsidP="001527B1">
      <w:pPr>
        <w:ind w:firstLine="708"/>
        <w:jc w:val="both"/>
        <w:rPr>
          <w:lang w:val="de-DE"/>
        </w:rPr>
      </w:pPr>
      <w:r w:rsidRPr="004676F5">
        <w:rPr>
          <w:lang w:val="de-DE"/>
        </w:rPr>
        <w:t>4. </w:t>
      </w:r>
      <w:r w:rsidR="00F70CA4" w:rsidRPr="004676F5">
        <w:rPr>
          <w:lang w:val="de-DE"/>
        </w:rPr>
        <w:t>[...]</w:t>
      </w:r>
    </w:p>
    <w:p w14:paraId="5F2A49F7" w14:textId="77777777" w:rsidR="001527B1" w:rsidRPr="004676F5" w:rsidRDefault="001527B1" w:rsidP="001527B1">
      <w:pPr>
        <w:ind w:firstLine="708"/>
        <w:jc w:val="both"/>
        <w:rPr>
          <w:lang w:val="de-DE"/>
        </w:rPr>
      </w:pPr>
    </w:p>
    <w:p w14:paraId="74646843" w14:textId="6DE69FA4" w:rsidR="001527B1" w:rsidRPr="004676F5" w:rsidRDefault="001527B1" w:rsidP="001527B1">
      <w:pPr>
        <w:ind w:firstLine="708"/>
        <w:jc w:val="both"/>
        <w:rPr>
          <w:lang w:val="de-DE"/>
        </w:rPr>
      </w:pPr>
      <w:r w:rsidRPr="004676F5">
        <w:rPr>
          <w:lang w:val="de-DE"/>
        </w:rPr>
        <w:t xml:space="preserve">5. teilweise oder vollständige Vervielfältigung </w:t>
      </w:r>
      <w:r w:rsidR="00F70CA4" w:rsidRPr="004676F5">
        <w:rPr>
          <w:lang w:val="de-DE"/>
        </w:rPr>
        <w:t xml:space="preserve">[auf Papier oder ähnlichem Träger] </w:t>
      </w:r>
      <w:r w:rsidRPr="004676F5">
        <w:rPr>
          <w:lang w:val="de-DE"/>
        </w:rPr>
        <w:t xml:space="preserve">von Artikeln oder Werken der grafischen oder der bildenden Künste oder von kurzen Bruchstücken aus anderen Werken auf Papier oder ähnlichem Träger mittels beliebiger fotomechanischer Verfahren oder anderer Verfahren mit ähnlicher Wirkung, mit Ausnahme von Partituren, wenn diese Vervielfältigung </w:t>
      </w:r>
      <w:r w:rsidR="00F70CA4" w:rsidRPr="004676F5">
        <w:rPr>
          <w:lang w:val="de-DE"/>
        </w:rPr>
        <w:t>[von einer juristischen Person zu internen Zwecken oder von einer natürlichen Person zu internen Zwecken im Rahmen ihrer beruflichen Tätigkeit vorgenommen wird]</w:t>
      </w:r>
      <w:r w:rsidRPr="004676F5">
        <w:rPr>
          <w:lang w:val="de-DE"/>
        </w:rPr>
        <w:t xml:space="preserve"> </w:t>
      </w:r>
      <w:r w:rsidR="008670B5" w:rsidRPr="004676F5">
        <w:rPr>
          <w:lang w:val="de-DE"/>
        </w:rPr>
        <w:t>[...]</w:t>
      </w:r>
      <w:r w:rsidRPr="004676F5">
        <w:rPr>
          <w:lang w:val="de-DE"/>
        </w:rPr>
        <w:t>,</w:t>
      </w:r>
    </w:p>
    <w:p w14:paraId="4B00C2E2" w14:textId="77777777" w:rsidR="001527B1" w:rsidRPr="004676F5" w:rsidRDefault="001527B1" w:rsidP="001527B1">
      <w:pPr>
        <w:ind w:firstLine="708"/>
        <w:jc w:val="both"/>
        <w:rPr>
          <w:lang w:val="de-DE"/>
        </w:rPr>
      </w:pPr>
    </w:p>
    <w:p w14:paraId="77412B58" w14:textId="77777777" w:rsidR="001527B1" w:rsidRPr="004676F5" w:rsidRDefault="001527B1" w:rsidP="001527B1">
      <w:pPr>
        <w:ind w:firstLine="708"/>
        <w:jc w:val="both"/>
        <w:rPr>
          <w:lang w:val="de-DE"/>
        </w:rPr>
      </w:pPr>
      <w:r w:rsidRPr="004676F5">
        <w:rPr>
          <w:lang w:val="de-DE"/>
        </w:rPr>
        <w:t>6. </w:t>
      </w:r>
      <w:r w:rsidR="00F70CA4" w:rsidRPr="004676F5">
        <w:rPr>
          <w:lang w:val="de-DE"/>
        </w:rPr>
        <w:t>[...]</w:t>
      </w:r>
    </w:p>
    <w:p w14:paraId="1A28C79B" w14:textId="77777777" w:rsidR="001527B1" w:rsidRPr="004676F5" w:rsidRDefault="001527B1" w:rsidP="001527B1">
      <w:pPr>
        <w:jc w:val="both"/>
        <w:rPr>
          <w:lang w:val="de-DE"/>
        </w:rPr>
      </w:pPr>
    </w:p>
    <w:p w14:paraId="297E49DF" w14:textId="77777777" w:rsidR="001527B1" w:rsidRPr="004676F5" w:rsidRDefault="001527B1" w:rsidP="001527B1">
      <w:pPr>
        <w:ind w:firstLine="708"/>
        <w:jc w:val="both"/>
        <w:rPr>
          <w:lang w:val="de-DE"/>
        </w:rPr>
      </w:pPr>
      <w:r w:rsidRPr="004676F5">
        <w:rPr>
          <w:lang w:val="de-DE"/>
        </w:rPr>
        <w:t>7. </w:t>
      </w:r>
      <w:r w:rsidR="00F70CA4" w:rsidRPr="004676F5">
        <w:rPr>
          <w:lang w:val="de-DE"/>
        </w:rPr>
        <w:t>[...]</w:t>
      </w:r>
    </w:p>
    <w:p w14:paraId="6CE4AB34" w14:textId="77777777" w:rsidR="001527B1" w:rsidRPr="004676F5" w:rsidRDefault="001527B1" w:rsidP="001527B1">
      <w:pPr>
        <w:ind w:firstLine="708"/>
        <w:jc w:val="both"/>
        <w:rPr>
          <w:lang w:val="de-DE"/>
        </w:rPr>
      </w:pPr>
    </w:p>
    <w:p w14:paraId="1B88D6C4" w14:textId="77777777" w:rsidR="001527B1" w:rsidRPr="004676F5" w:rsidRDefault="001527B1" w:rsidP="001527B1">
      <w:pPr>
        <w:ind w:firstLine="708"/>
        <w:jc w:val="both"/>
        <w:rPr>
          <w:lang w:val="de-DE"/>
        </w:rPr>
      </w:pPr>
      <w:r w:rsidRPr="004676F5">
        <w:rPr>
          <w:lang w:val="de-DE"/>
        </w:rPr>
        <w:t>8. </w:t>
      </w:r>
      <w:r w:rsidR="00F70CA4" w:rsidRPr="004676F5">
        <w:rPr>
          <w:lang w:val="de-DE"/>
        </w:rPr>
        <w:t>[...]</w:t>
      </w:r>
    </w:p>
    <w:p w14:paraId="6BA3CDD4" w14:textId="77777777" w:rsidR="001527B1" w:rsidRPr="004676F5" w:rsidRDefault="001527B1" w:rsidP="001527B1">
      <w:pPr>
        <w:ind w:firstLine="708"/>
        <w:jc w:val="both"/>
        <w:rPr>
          <w:lang w:val="de-DE"/>
        </w:rPr>
      </w:pPr>
    </w:p>
    <w:p w14:paraId="061C39CD" w14:textId="7B4A6646" w:rsidR="001527B1" w:rsidRPr="004676F5" w:rsidRDefault="001527B1" w:rsidP="001527B1">
      <w:pPr>
        <w:ind w:firstLine="708"/>
        <w:jc w:val="both"/>
        <w:rPr>
          <w:lang w:val="de-DE"/>
        </w:rPr>
      </w:pPr>
      <w:r w:rsidRPr="004676F5">
        <w:rPr>
          <w:lang w:val="de-DE"/>
        </w:rPr>
        <w:t>9. </w:t>
      </w:r>
      <w:r w:rsidR="00F70CA4" w:rsidRPr="004676F5">
        <w:rPr>
          <w:lang w:val="de-DE"/>
        </w:rPr>
        <w:t xml:space="preserve">[Vervielfältigung von Werken, mit Ausnahme von Partituren, </w:t>
      </w:r>
      <w:r w:rsidR="00B04019" w:rsidRPr="004676F5">
        <w:rPr>
          <w:lang w:val="de-DE"/>
        </w:rPr>
        <w:t>[die von einer natürlichen Person für den privaten Gebrauch und zu Zwecken, die weder direkt noch indirekt kommerziell sind, vorgenommen wird]</w:t>
      </w:r>
      <w:r w:rsidR="00F70CA4" w:rsidRPr="004676F5">
        <w:rPr>
          <w:lang w:val="de-DE"/>
        </w:rPr>
        <w:t>,]</w:t>
      </w:r>
    </w:p>
    <w:p w14:paraId="03E223A6" w14:textId="77777777" w:rsidR="001527B1" w:rsidRPr="004676F5" w:rsidRDefault="001527B1" w:rsidP="001527B1">
      <w:pPr>
        <w:ind w:firstLine="708"/>
        <w:jc w:val="both"/>
        <w:rPr>
          <w:lang w:val="de-DE"/>
        </w:rPr>
      </w:pPr>
    </w:p>
    <w:p w14:paraId="157E574C" w14:textId="77777777" w:rsidR="001527B1" w:rsidRPr="004676F5" w:rsidRDefault="001527B1" w:rsidP="001527B1">
      <w:pPr>
        <w:ind w:firstLine="708"/>
        <w:jc w:val="both"/>
        <w:rPr>
          <w:lang w:val="de-DE"/>
        </w:rPr>
      </w:pPr>
      <w:r w:rsidRPr="004676F5">
        <w:rPr>
          <w:lang w:val="de-DE"/>
        </w:rPr>
        <w:t>10. Karikatur, Parodie oder Pasticcio unter Berücksichtigung der anständigen Gepflo</w:t>
      </w:r>
      <w:r w:rsidRPr="004676F5">
        <w:rPr>
          <w:lang w:val="de-DE"/>
        </w:rPr>
        <w:softHyphen/>
        <w:t>gen</w:t>
      </w:r>
      <w:r w:rsidRPr="004676F5">
        <w:rPr>
          <w:lang w:val="de-DE"/>
        </w:rPr>
        <w:softHyphen/>
        <w:t>heiten,</w:t>
      </w:r>
    </w:p>
    <w:p w14:paraId="2AE7B6BB" w14:textId="77777777" w:rsidR="001527B1" w:rsidRPr="004676F5" w:rsidRDefault="001527B1" w:rsidP="001527B1">
      <w:pPr>
        <w:ind w:firstLine="708"/>
        <w:jc w:val="both"/>
        <w:rPr>
          <w:lang w:val="de-DE"/>
        </w:rPr>
      </w:pPr>
    </w:p>
    <w:p w14:paraId="1659FFA6" w14:textId="77777777" w:rsidR="001527B1" w:rsidRPr="004676F5" w:rsidRDefault="001527B1" w:rsidP="001527B1">
      <w:pPr>
        <w:ind w:firstLine="708"/>
        <w:jc w:val="both"/>
        <w:rPr>
          <w:lang w:val="de-DE"/>
        </w:rPr>
      </w:pPr>
      <w:r w:rsidRPr="004676F5">
        <w:rPr>
          <w:lang w:val="de-DE"/>
        </w:rPr>
        <w:t>11. </w:t>
      </w:r>
      <w:r w:rsidR="00F70CA4" w:rsidRPr="004676F5">
        <w:rPr>
          <w:lang w:val="de-DE"/>
        </w:rPr>
        <w:t>[...]</w:t>
      </w:r>
    </w:p>
    <w:p w14:paraId="15B1435F" w14:textId="77777777" w:rsidR="001527B1" w:rsidRPr="004676F5" w:rsidRDefault="001527B1" w:rsidP="001527B1">
      <w:pPr>
        <w:ind w:firstLine="708"/>
        <w:jc w:val="both"/>
        <w:rPr>
          <w:lang w:val="de-DE"/>
        </w:rPr>
      </w:pPr>
    </w:p>
    <w:p w14:paraId="4C72529A" w14:textId="0A367271" w:rsidR="001527B1" w:rsidRPr="004676F5" w:rsidRDefault="001527B1" w:rsidP="001527B1">
      <w:pPr>
        <w:ind w:firstLine="708"/>
        <w:jc w:val="both"/>
        <w:rPr>
          <w:lang w:val="de-DE"/>
        </w:rPr>
      </w:pPr>
      <w:r w:rsidRPr="004676F5">
        <w:rPr>
          <w:lang w:val="de-DE"/>
        </w:rPr>
        <w:t>12. </w:t>
      </w:r>
      <w:r w:rsidR="008670B5" w:rsidRPr="004676F5">
        <w:rPr>
          <w:lang w:val="de-DE"/>
        </w:rPr>
        <w:t>[Vervielfältigungen unabhängig von Format oder Medium für die Zwecke der Erhaltung des kulturellen und wissenschaftlichen Erbes, die von öffentlich zugänglichen Bibliotheken oder Museen, von Archiven oder von Einrichtungen, die im Bereich des Film</w:t>
      </w:r>
      <w:r w:rsidR="005B7A5C" w:rsidRPr="004676F5">
        <w:rPr>
          <w:lang w:val="de-DE"/>
        </w:rPr>
        <w:t>- </w:t>
      </w:r>
      <w:r w:rsidR="008670B5" w:rsidRPr="004676F5">
        <w:rPr>
          <w:lang w:val="de-DE"/>
        </w:rPr>
        <w:t>oder Tonerbes tätig sind, vorgenommen werden.]</w:t>
      </w:r>
    </w:p>
    <w:p w14:paraId="58D7B589" w14:textId="77777777" w:rsidR="001527B1" w:rsidRPr="004676F5" w:rsidRDefault="001527B1" w:rsidP="001527B1">
      <w:pPr>
        <w:ind w:firstLine="708"/>
        <w:jc w:val="both"/>
        <w:rPr>
          <w:lang w:val="de-DE"/>
        </w:rPr>
      </w:pPr>
    </w:p>
    <w:p w14:paraId="665C2F92" w14:textId="77777777" w:rsidR="001527B1" w:rsidRPr="004676F5" w:rsidRDefault="001527B1" w:rsidP="001527B1">
      <w:pPr>
        <w:ind w:firstLine="708"/>
        <w:jc w:val="both"/>
        <w:rPr>
          <w:lang w:val="de-DE"/>
        </w:rPr>
      </w:pPr>
      <w:r w:rsidRPr="004676F5">
        <w:rPr>
          <w:lang w:val="de-DE"/>
        </w:rPr>
        <w:t>Das so hergestellte Material bleibt Eigentum dieser Einrichtungen, die sich jeglichen Gebrauch zu kommerziellen oder gewinnbringenden Zwecken verbieten.</w:t>
      </w:r>
    </w:p>
    <w:p w14:paraId="7999D5F8" w14:textId="77777777" w:rsidR="001527B1" w:rsidRPr="004676F5" w:rsidRDefault="001527B1" w:rsidP="001527B1">
      <w:pPr>
        <w:ind w:firstLine="708"/>
        <w:jc w:val="both"/>
        <w:rPr>
          <w:lang w:val="de-DE"/>
        </w:rPr>
      </w:pPr>
    </w:p>
    <w:p w14:paraId="1DB27472" w14:textId="77777777" w:rsidR="001527B1" w:rsidRPr="004676F5" w:rsidRDefault="001527B1" w:rsidP="001527B1">
      <w:pPr>
        <w:ind w:firstLine="708"/>
        <w:jc w:val="both"/>
        <w:rPr>
          <w:lang w:val="de-DE"/>
        </w:rPr>
      </w:pPr>
      <w:r w:rsidRPr="004676F5">
        <w:rPr>
          <w:lang w:val="de-DE"/>
        </w:rPr>
        <w:t>Urheber können gegen Zahlung einer angemessenen Vergütung für die Arbeit dieser Einrichtungen Zugang zu diesem Material haben, sofern die Bewahrung des Werkes strikt beachtet wird,</w:t>
      </w:r>
    </w:p>
    <w:p w14:paraId="6229FBE0" w14:textId="77777777" w:rsidR="001527B1" w:rsidRPr="004676F5" w:rsidRDefault="001527B1" w:rsidP="001527B1">
      <w:pPr>
        <w:ind w:firstLine="708"/>
        <w:jc w:val="both"/>
        <w:rPr>
          <w:lang w:val="de-DE"/>
        </w:rPr>
      </w:pPr>
    </w:p>
    <w:p w14:paraId="7FB09EA2" w14:textId="77777777" w:rsidR="001527B1" w:rsidRPr="004676F5" w:rsidRDefault="001527B1" w:rsidP="001527B1">
      <w:pPr>
        <w:ind w:firstLine="708"/>
        <w:jc w:val="both"/>
        <w:rPr>
          <w:lang w:val="de-DE"/>
        </w:rPr>
      </w:pPr>
      <w:r w:rsidRPr="004676F5">
        <w:rPr>
          <w:lang w:val="de-DE"/>
        </w:rPr>
        <w:t>13. Wiedergabe einschließlich Zugänglichmachung für einzelne Mitglieder der Öffentlichkeit zu Zwecken der Forschung und privater Studien von Werken, die nicht zum Kauf angeboten werden, für die keine Regelungen über Lizenzen gelten und die sich in Sammlungen von öffentlich zugänglichen Bibliotheken, Bildungseinrichtungen, wissenschaft</w:t>
      </w:r>
      <w:r w:rsidRPr="004676F5">
        <w:rPr>
          <w:lang w:val="de-DE"/>
        </w:rPr>
        <w:softHyphen/>
        <w:t>lichen Einrichtungen, Museen oder Archiven befinden, die keinen unmittelbaren oder mittelbaren wirtschaftlichen oder kommerziellen Zweck verfolgen, auf eigens hierfür eingerichteten Terminals in den Räumlichkeiten der genannten Einrichtungen,</w:t>
      </w:r>
    </w:p>
    <w:p w14:paraId="35C29A06" w14:textId="77777777" w:rsidR="001527B1" w:rsidRPr="004676F5" w:rsidRDefault="001527B1" w:rsidP="001527B1">
      <w:pPr>
        <w:ind w:firstLine="708"/>
        <w:jc w:val="both"/>
        <w:rPr>
          <w:lang w:val="de-DE"/>
        </w:rPr>
      </w:pPr>
    </w:p>
    <w:p w14:paraId="059BA4AF" w14:textId="77777777" w:rsidR="001527B1" w:rsidRPr="004676F5" w:rsidRDefault="001527B1" w:rsidP="001527B1">
      <w:pPr>
        <w:ind w:firstLine="708"/>
        <w:jc w:val="both"/>
        <w:rPr>
          <w:lang w:val="de-DE"/>
        </w:rPr>
      </w:pPr>
      <w:r w:rsidRPr="004676F5">
        <w:rPr>
          <w:lang w:val="de-DE"/>
        </w:rPr>
        <w:t>14. ephemere Aufzeichnungen von Werken, die von Sendeunternehmen mit eigenen Mitteln einschließlich der Mittel von Personen, die im Namen und unter der Verantwortung des Sendeunternehmens handeln, und für eigene Sendungen vorgenommen worden sind,</w:t>
      </w:r>
    </w:p>
    <w:p w14:paraId="3F099282" w14:textId="77777777" w:rsidR="001527B1" w:rsidRPr="004676F5" w:rsidRDefault="001527B1" w:rsidP="001527B1">
      <w:pPr>
        <w:ind w:firstLine="708"/>
        <w:jc w:val="both"/>
        <w:rPr>
          <w:lang w:val="de-DE"/>
        </w:rPr>
      </w:pPr>
    </w:p>
    <w:p w14:paraId="6D466342" w14:textId="526AA086" w:rsidR="001527B1" w:rsidRPr="004676F5" w:rsidRDefault="001527B1" w:rsidP="001527B1">
      <w:pPr>
        <w:ind w:firstLine="708"/>
        <w:jc w:val="both"/>
        <w:rPr>
          <w:lang w:val="de-DE"/>
        </w:rPr>
      </w:pPr>
      <w:r w:rsidRPr="004676F5">
        <w:rPr>
          <w:lang w:val="de-DE"/>
        </w:rPr>
        <w:t>15. Vervielfältigung und öffentliche Wiedergabe von Werken zugunsten von Personen mit Behinderung, wenn die Nutzung mit der betreffenden Behinderung unmittelbar in Zusammenhang steht und nicht kommerzieller Art ist, soweit es die betreffende Behinderung erfordert</w:t>
      </w:r>
      <w:r w:rsidR="00DD0D94" w:rsidRPr="004676F5">
        <w:rPr>
          <w:lang w:val="de-DE"/>
        </w:rPr>
        <w:t xml:space="preserve"> [und unbeschadet der etwaigen Anwendung der Nummern 18 und 19]</w:t>
      </w:r>
      <w:r w:rsidRPr="004676F5">
        <w:rPr>
          <w:lang w:val="de-DE"/>
        </w:rPr>
        <w:t xml:space="preserve">, </w:t>
      </w:r>
      <w:r w:rsidR="008670B5" w:rsidRPr="004676F5">
        <w:rPr>
          <w:lang w:val="de-DE"/>
        </w:rPr>
        <w:t>[...]</w:t>
      </w:r>
    </w:p>
    <w:p w14:paraId="405AD99B" w14:textId="77777777" w:rsidR="001527B1" w:rsidRPr="004676F5" w:rsidRDefault="001527B1" w:rsidP="001527B1">
      <w:pPr>
        <w:ind w:firstLine="708"/>
        <w:jc w:val="both"/>
        <w:rPr>
          <w:lang w:val="de-DE"/>
        </w:rPr>
      </w:pPr>
    </w:p>
    <w:p w14:paraId="785AE83F" w14:textId="77777777" w:rsidR="001527B1" w:rsidRPr="004676F5" w:rsidRDefault="001527B1" w:rsidP="001527B1">
      <w:pPr>
        <w:ind w:firstLine="708"/>
        <w:jc w:val="both"/>
        <w:rPr>
          <w:lang w:val="de-DE"/>
        </w:rPr>
      </w:pPr>
      <w:r w:rsidRPr="004676F5">
        <w:rPr>
          <w:lang w:val="de-DE"/>
        </w:rPr>
        <w:t>16. Vervielfältigung und öffentliche Wiedergabe zum Zwecke der Werbung für die öffentliche Ausstellung oder den öffentlichen Verkauf von künstlerischen Werken in dem zur Förderung der betreffenden Veranstaltung erforderlichen Ausmaß unter Ausschluss jeglicher anderen kommerziellen Nutzung,</w:t>
      </w:r>
    </w:p>
    <w:p w14:paraId="528CAA07" w14:textId="77777777" w:rsidR="001527B1" w:rsidRPr="004676F5" w:rsidRDefault="001527B1" w:rsidP="001527B1">
      <w:pPr>
        <w:ind w:firstLine="708"/>
        <w:jc w:val="both"/>
        <w:rPr>
          <w:lang w:val="de-DE"/>
        </w:rPr>
      </w:pPr>
    </w:p>
    <w:p w14:paraId="7963B32B" w14:textId="2013E621" w:rsidR="001527B1" w:rsidRPr="004676F5" w:rsidRDefault="001527B1" w:rsidP="001527B1">
      <w:pPr>
        <w:ind w:firstLine="708"/>
        <w:jc w:val="both"/>
        <w:rPr>
          <w:lang w:val="de-DE"/>
        </w:rPr>
      </w:pPr>
      <w:r w:rsidRPr="004676F5">
        <w:rPr>
          <w:lang w:val="de-DE"/>
        </w:rPr>
        <w:t>17. Vervielfältigungen von Sendungen, die von anerkannten Krankenhäusern, Strafan</w:t>
      </w:r>
      <w:r w:rsidRPr="004676F5">
        <w:rPr>
          <w:lang w:val="de-DE"/>
        </w:rPr>
        <w:softHyphen/>
        <w:t>stalten, Jugendhilfe</w:t>
      </w:r>
      <w:r w:rsidR="005B7A5C" w:rsidRPr="004676F5">
        <w:rPr>
          <w:lang w:val="de-DE"/>
        </w:rPr>
        <w:t>- </w:t>
      </w:r>
      <w:r w:rsidRPr="004676F5">
        <w:rPr>
          <w:lang w:val="de-DE"/>
        </w:rPr>
        <w:t>und Behindertenpflegeeinrichtungen angefertigt wurden, sofern diese Einrichtungen einen nichtgewinnbringenden Zweck verfolgen und diese Vervielfältigung der alleinigen Benutzung durch natürliche Personen, die sich dort aufhalten, vorbehalten ist</w:t>
      </w:r>
      <w:r w:rsidR="00DD0D94" w:rsidRPr="004676F5">
        <w:rPr>
          <w:lang w:val="de-DE"/>
        </w:rPr>
        <w:t>,</w:t>
      </w:r>
    </w:p>
    <w:p w14:paraId="43E946CC" w14:textId="77777777" w:rsidR="00DD0D94" w:rsidRPr="004676F5" w:rsidRDefault="00DD0D94" w:rsidP="001527B1">
      <w:pPr>
        <w:ind w:firstLine="708"/>
        <w:jc w:val="both"/>
        <w:rPr>
          <w:lang w:val="de-DE"/>
        </w:rPr>
      </w:pPr>
    </w:p>
    <w:p w14:paraId="143CBA72" w14:textId="3B91EC7F" w:rsidR="00DD0D94" w:rsidRPr="004676F5" w:rsidRDefault="00DD0D94" w:rsidP="00DD0D94">
      <w:pPr>
        <w:ind w:firstLine="708"/>
        <w:jc w:val="both"/>
        <w:rPr>
          <w:lang w:val="de-DE"/>
        </w:rPr>
      </w:pPr>
      <w:r w:rsidRPr="004676F5">
        <w:rPr>
          <w:lang w:val="de-DE"/>
        </w:rPr>
        <w:t>[18. Handlungen, die erforderlich sind, damit eine begünstigte Person oder eine in deren Namen handelnde Person ein Vervielfältigungsstück eines Werkes oder einer Leistung, zu dem die begünstigte Person rechtmäßigen Zugang hat, in einem barrierefreien Format und zur ausschließlichen Nutzung durch die begünstigte Person erstellen kann</w:t>
      </w:r>
      <w:r w:rsidR="00CC604B" w:rsidRPr="004676F5">
        <w:rPr>
          <w:lang w:val="de-DE"/>
        </w:rPr>
        <w:t xml:space="preserve"> [...]</w:t>
      </w:r>
      <w:r w:rsidRPr="004676F5">
        <w:rPr>
          <w:lang w:val="de-DE"/>
        </w:rPr>
        <w:t>. Eine in Belgien ansässige begünstigte Person kann bei einer befugten Stelle mit Sitz in einem beliebigen Mitgliedstaat der Europäischen Union ein Vervielfältigungsstück in einem barrierefreien Format beziehen oder abrufen,</w:t>
      </w:r>
      <w:r w:rsidR="00C22AF2" w:rsidRPr="004676F5">
        <w:rPr>
          <w:lang w:val="de-DE"/>
        </w:rPr>
        <w:t>]</w:t>
      </w:r>
    </w:p>
    <w:p w14:paraId="78C9653A" w14:textId="77777777" w:rsidR="00DD0D94" w:rsidRPr="004676F5" w:rsidRDefault="00DD0D94" w:rsidP="00DD0D94">
      <w:pPr>
        <w:jc w:val="both"/>
        <w:rPr>
          <w:lang w:val="de-DE"/>
        </w:rPr>
      </w:pPr>
    </w:p>
    <w:p w14:paraId="32C898C4" w14:textId="7084EABD" w:rsidR="00DD0D94" w:rsidRPr="004676F5" w:rsidRDefault="00C22AF2" w:rsidP="00DD0D94">
      <w:pPr>
        <w:ind w:firstLine="708"/>
        <w:jc w:val="both"/>
        <w:rPr>
          <w:lang w:val="de-DE"/>
        </w:rPr>
      </w:pPr>
      <w:r w:rsidRPr="004676F5">
        <w:rPr>
          <w:lang w:val="de-DE"/>
        </w:rPr>
        <w:t>[</w:t>
      </w:r>
      <w:r w:rsidR="00DD0D94" w:rsidRPr="004676F5">
        <w:rPr>
          <w:lang w:val="de-DE"/>
        </w:rPr>
        <w:t xml:space="preserve">19. Handlungen, die erforderlich sind, damit eine befugte Stelle mit Sitz in Belgien zugunsten einer begünstigten Person oder einer anderen befugten Stelle mit Sitz in einem beliebigen Mitgliedstaat der Europäischen Union ein Vervielfältigungsstück eines Werkes oder einer Leistung, zu dem sie rechtmäßigen Zugang hat, in einem barrierefreien Format erstellen, übermitteln, zugänglich machen oder verbreiten kann. Eine befugte Stelle mit Sitz in Belgien kann bei einer befugten Stelle mit Sitz in einem beliebigen Mitgliedstaat der Europäischen Union ein Vervielfältigungsstück in einem barrierefreien Format beziehen oder abrufen. Die in den beiden vorstehenden Sätzen erwähnten Handlungen werden </w:t>
      </w:r>
      <w:r w:rsidR="00CC604B" w:rsidRPr="004676F5">
        <w:rPr>
          <w:lang w:val="de-DE"/>
        </w:rPr>
        <w:t xml:space="preserve">[in gemeinnütziger Weise und zur ausschließlichen Nutzung] </w:t>
      </w:r>
      <w:r w:rsidR="00DD0D94" w:rsidRPr="004676F5">
        <w:rPr>
          <w:lang w:val="de-DE"/>
        </w:rPr>
        <w:t>durch eine begünstigte Person ausgeführt</w:t>
      </w:r>
      <w:r w:rsidR="00CC604B" w:rsidRPr="004676F5">
        <w:rPr>
          <w:lang w:val="de-DE"/>
        </w:rPr>
        <w:t xml:space="preserve"> [...],</w:t>
      </w:r>
      <w:r w:rsidR="00DD0D94" w:rsidRPr="004676F5">
        <w:rPr>
          <w:lang w:val="de-DE"/>
        </w:rPr>
        <w:t>]</w:t>
      </w:r>
    </w:p>
    <w:p w14:paraId="225BA2D3" w14:textId="77777777" w:rsidR="00CC604B" w:rsidRPr="004676F5" w:rsidRDefault="00CC604B" w:rsidP="00DD0D94">
      <w:pPr>
        <w:ind w:firstLine="708"/>
        <w:jc w:val="both"/>
        <w:rPr>
          <w:lang w:val="de-DE"/>
        </w:rPr>
      </w:pPr>
    </w:p>
    <w:p w14:paraId="17F40691" w14:textId="10D32113" w:rsidR="00CC604B" w:rsidRPr="004676F5" w:rsidRDefault="00CC604B" w:rsidP="00CC604B">
      <w:pPr>
        <w:ind w:firstLine="708"/>
        <w:jc w:val="both"/>
        <w:rPr>
          <w:lang w:val="de-DE"/>
        </w:rPr>
      </w:pPr>
      <w:r w:rsidRPr="004676F5">
        <w:rPr>
          <w:lang w:val="de-DE"/>
        </w:rPr>
        <w:t>[20. Vervielfältigungen von rechtmäßig zugänglichen Werken zum Zwecke des Text und Data Mining, sofern die jeweiligen Urheber diese Werke nicht ausdrücklich in angemessener Weise mit einem Nutzungsvorbehalt versehen haben.</w:t>
      </w:r>
    </w:p>
    <w:p w14:paraId="07ACA5AC" w14:textId="77777777" w:rsidR="00CC604B" w:rsidRPr="004676F5" w:rsidRDefault="00CC604B" w:rsidP="00CC604B">
      <w:pPr>
        <w:jc w:val="both"/>
        <w:rPr>
          <w:lang w:val="de-DE"/>
        </w:rPr>
      </w:pPr>
    </w:p>
    <w:p w14:paraId="055C656B" w14:textId="77777777" w:rsidR="00CC604B" w:rsidRPr="004676F5" w:rsidRDefault="00CC604B" w:rsidP="00CC604B">
      <w:pPr>
        <w:jc w:val="both"/>
        <w:rPr>
          <w:lang w:val="de-DE"/>
        </w:rPr>
      </w:pPr>
      <w:r w:rsidRPr="004676F5">
        <w:rPr>
          <w:lang w:val="de-DE"/>
        </w:rPr>
        <w:tab/>
        <w:t>Im Fall von online veröffentlichten Inhalten gilt der Nutzungsvorbehalt nur als angemessen, wenn er mit maschinenlesbaren Mitteln erfolgt.</w:t>
      </w:r>
    </w:p>
    <w:p w14:paraId="44AB7A9C" w14:textId="77777777" w:rsidR="00CC604B" w:rsidRPr="004676F5" w:rsidRDefault="00CC604B" w:rsidP="00CC604B">
      <w:pPr>
        <w:jc w:val="both"/>
        <w:rPr>
          <w:lang w:val="de-DE"/>
        </w:rPr>
      </w:pPr>
    </w:p>
    <w:p w14:paraId="018B8A1E" w14:textId="77777777" w:rsidR="00CC604B" w:rsidRPr="004676F5" w:rsidRDefault="00CC604B" w:rsidP="00CC604B">
      <w:pPr>
        <w:jc w:val="both"/>
        <w:rPr>
          <w:lang w:val="de-DE"/>
        </w:rPr>
      </w:pPr>
      <w:r w:rsidRPr="004676F5">
        <w:rPr>
          <w:lang w:val="de-DE"/>
        </w:rPr>
        <w:tab/>
        <w:t>Diese Vervielfältigungen dürfen so lange aufbewahrt werden, wie es für die Zwecke des Text und Data Mining notwendig ist,</w:t>
      </w:r>
    </w:p>
    <w:p w14:paraId="613E5366" w14:textId="77777777" w:rsidR="00CC604B" w:rsidRPr="004676F5" w:rsidRDefault="00CC604B" w:rsidP="00CC604B">
      <w:pPr>
        <w:jc w:val="both"/>
        <w:rPr>
          <w:lang w:val="de-DE"/>
        </w:rPr>
      </w:pPr>
    </w:p>
    <w:p w14:paraId="430AF32F" w14:textId="77777777" w:rsidR="00CC604B" w:rsidRPr="004676F5" w:rsidRDefault="00CC604B">
      <w:pPr>
        <w:rPr>
          <w:lang w:val="de-DE"/>
        </w:rPr>
      </w:pPr>
      <w:r w:rsidRPr="004676F5">
        <w:rPr>
          <w:lang w:val="de-DE"/>
        </w:rPr>
        <w:br w:type="page"/>
      </w:r>
    </w:p>
    <w:p w14:paraId="0EFD477B" w14:textId="75BBDC9A" w:rsidR="00CC604B" w:rsidRPr="004676F5" w:rsidRDefault="00CC604B" w:rsidP="00CC604B">
      <w:pPr>
        <w:ind w:firstLine="708"/>
        <w:jc w:val="both"/>
        <w:rPr>
          <w:lang w:val="de-DE"/>
        </w:rPr>
      </w:pPr>
      <w:r w:rsidRPr="004676F5">
        <w:rPr>
          <w:lang w:val="de-DE"/>
        </w:rPr>
        <w:lastRenderedPageBreak/>
        <w:t>21. Vervielfältigung und öffentliche Wiedergabe von Werken zu Zwecken der öffentlichen Sicherheit oder zur Sicherstellung des ordnungsgemäßen Ablaufs von Verwaltungsverfahren, parlamentarischen Verfahren oder Gerichtsverfahren oder der Berichterstattung darüber.]</w:t>
      </w:r>
    </w:p>
    <w:p w14:paraId="00DD76A8" w14:textId="77777777" w:rsidR="000A2E4B" w:rsidRPr="004676F5" w:rsidRDefault="000A2E4B" w:rsidP="001527B1">
      <w:pPr>
        <w:ind w:firstLine="708"/>
        <w:jc w:val="both"/>
        <w:rPr>
          <w:lang w:val="de-DE"/>
        </w:rPr>
      </w:pPr>
    </w:p>
    <w:p w14:paraId="4B1DAC39" w14:textId="476C7E15" w:rsidR="000A2E4B" w:rsidRPr="004676F5" w:rsidRDefault="000A2E4B" w:rsidP="000A2E4B">
      <w:pPr>
        <w:jc w:val="both"/>
        <w:rPr>
          <w:i/>
          <w:lang w:val="de-DE"/>
        </w:rPr>
      </w:pPr>
      <w:r w:rsidRPr="004676F5">
        <w:rPr>
          <w:i/>
          <w:lang w:val="de-DE"/>
        </w:rPr>
        <w:t>[</w:t>
      </w:r>
      <w:r w:rsidR="00BE0A56" w:rsidRPr="004676F5">
        <w:rPr>
          <w:i/>
          <w:lang w:val="de-DE"/>
        </w:rPr>
        <w:t>Art. </w:t>
      </w:r>
      <w:r w:rsidRPr="004676F5">
        <w:rPr>
          <w:i/>
          <w:lang w:val="de-DE"/>
        </w:rPr>
        <w:t xml:space="preserve">XI.190 </w:t>
      </w:r>
      <w:r w:rsidR="00F70CA4" w:rsidRPr="004676F5">
        <w:rPr>
          <w:i/>
          <w:lang w:val="de-DE"/>
        </w:rPr>
        <w:t xml:space="preserve">einziger Absatz einleitende Bestimmung abgeändert durch </w:t>
      </w:r>
      <w:r w:rsidR="00BE0A56" w:rsidRPr="004676F5">
        <w:rPr>
          <w:i/>
          <w:lang w:val="de-DE"/>
        </w:rPr>
        <w:t>Art. </w:t>
      </w:r>
      <w:r w:rsidR="00F70CA4" w:rsidRPr="004676F5">
        <w:rPr>
          <w:i/>
          <w:lang w:val="de-DE"/>
        </w:rPr>
        <w:t xml:space="preserve">5 Nr. 1 des G. vom 22. Dezember 2016 (B.S. vom 29. Dezember 2016); </w:t>
      </w:r>
      <w:r w:rsidRPr="004676F5">
        <w:rPr>
          <w:i/>
          <w:lang w:val="de-DE"/>
        </w:rPr>
        <w:t xml:space="preserve">einziger Absatz Nr. 2/1 eingefügt durch </w:t>
      </w:r>
      <w:r w:rsidR="00BE0A56" w:rsidRPr="004676F5">
        <w:rPr>
          <w:i/>
          <w:lang w:val="de-DE"/>
        </w:rPr>
        <w:t>Art. </w:t>
      </w:r>
      <w:r w:rsidRPr="004676F5">
        <w:rPr>
          <w:i/>
          <w:lang w:val="de-DE"/>
        </w:rPr>
        <w:t>2 des G. vom 27. Juni 2016 (B.S. vom 5. Juli 2016)</w:t>
      </w:r>
      <w:r w:rsidR="00CC604B" w:rsidRPr="004676F5">
        <w:rPr>
          <w:i/>
          <w:lang w:val="de-DE"/>
        </w:rPr>
        <w:t xml:space="preserve"> und abgeändert durch Art. 13 Nr. 1 des G. vom 19. Juni 2022 (B.S. vom 1. August 2022)</w:t>
      </w:r>
      <w:r w:rsidR="00F70CA4" w:rsidRPr="004676F5">
        <w:rPr>
          <w:i/>
          <w:lang w:val="de-DE"/>
        </w:rPr>
        <w:t>;</w:t>
      </w:r>
      <w:r w:rsidR="00CC604B" w:rsidRPr="004676F5">
        <w:rPr>
          <w:i/>
          <w:lang w:val="de-DE"/>
        </w:rPr>
        <w:t xml:space="preserve"> einziger Absatz Nr. 3 aufgehoben durch Art. 13 Nr. 2 des G. vom 19. Juni 2022 (B.S. vom 1. August 2022);</w:t>
      </w:r>
      <w:r w:rsidR="00F70CA4" w:rsidRPr="004676F5">
        <w:rPr>
          <w:i/>
          <w:lang w:val="de-DE"/>
        </w:rPr>
        <w:t xml:space="preserve"> einziger Absatz Nr. 4 aufgehoben durch </w:t>
      </w:r>
      <w:r w:rsidR="00BE0A56" w:rsidRPr="004676F5">
        <w:rPr>
          <w:i/>
          <w:lang w:val="de-DE"/>
        </w:rPr>
        <w:t>Art. </w:t>
      </w:r>
      <w:r w:rsidR="00F70CA4" w:rsidRPr="004676F5">
        <w:rPr>
          <w:i/>
          <w:lang w:val="de-DE"/>
        </w:rPr>
        <w:t xml:space="preserve">5 Nr. 2 des G. vom 22. Dezember 2016 (B.S. vom 29. Dezember 2016); einziger Absatz Nr. 5 abgeändert durch </w:t>
      </w:r>
      <w:r w:rsidR="00BE0A56" w:rsidRPr="004676F5">
        <w:rPr>
          <w:i/>
          <w:lang w:val="de-DE"/>
        </w:rPr>
        <w:t>Art. </w:t>
      </w:r>
      <w:r w:rsidR="00F70CA4" w:rsidRPr="004676F5">
        <w:rPr>
          <w:i/>
          <w:lang w:val="de-DE"/>
        </w:rPr>
        <w:t>5 Nr. 3 und 4 des G. vom 22. Dezember 2016 (B.S. vom 29. Dezember 2016)</w:t>
      </w:r>
      <w:r w:rsidR="00CC604B" w:rsidRPr="004676F5">
        <w:rPr>
          <w:i/>
          <w:lang w:val="de-DE"/>
        </w:rPr>
        <w:t xml:space="preserve"> und Art. 13 Nr. 3 des G. vom 19. Juni 2022 (B.S. vom 1. August 2022)</w:t>
      </w:r>
      <w:r w:rsidR="00F70CA4" w:rsidRPr="004676F5">
        <w:rPr>
          <w:i/>
          <w:lang w:val="de-DE"/>
        </w:rPr>
        <w:t xml:space="preserve">; einziger Absatz Nr. 6 bis 8 aufgehoben durch </w:t>
      </w:r>
      <w:r w:rsidR="00BE0A56" w:rsidRPr="004676F5">
        <w:rPr>
          <w:i/>
          <w:lang w:val="de-DE"/>
        </w:rPr>
        <w:t>Art. </w:t>
      </w:r>
      <w:r w:rsidR="00F70CA4" w:rsidRPr="004676F5">
        <w:rPr>
          <w:i/>
          <w:lang w:val="de-DE"/>
        </w:rPr>
        <w:t xml:space="preserve">5 Nr. 5 des G. vom 22. Dezember 2016 (B.S. vom 29. Dezember 2016); einziger Absatz Nr. 9 ersetzt durch </w:t>
      </w:r>
      <w:r w:rsidR="00BE0A56" w:rsidRPr="004676F5">
        <w:rPr>
          <w:i/>
          <w:lang w:val="de-DE"/>
        </w:rPr>
        <w:t>Art. </w:t>
      </w:r>
      <w:r w:rsidR="00F70CA4" w:rsidRPr="004676F5">
        <w:rPr>
          <w:i/>
          <w:lang w:val="de-DE"/>
        </w:rPr>
        <w:t>5 Nr. 6 des G. vom 22. Dezember 2016 (B.S. vom 29. Dezember 2016)</w:t>
      </w:r>
      <w:r w:rsidR="00B04019" w:rsidRPr="004676F5">
        <w:rPr>
          <w:i/>
          <w:lang w:val="de-DE"/>
        </w:rPr>
        <w:t xml:space="preserve"> und abgeändert durch Art. 24 des G. vom 2. Mai 2019 (IV) (B.S. vom 22. Mai 2019)</w:t>
      </w:r>
      <w:r w:rsidR="00F70CA4" w:rsidRPr="004676F5">
        <w:rPr>
          <w:i/>
          <w:lang w:val="de-DE"/>
        </w:rPr>
        <w:t xml:space="preserve">; einziger Absatz Nr. 11 aufgehoben durch </w:t>
      </w:r>
      <w:r w:rsidR="00BE0A56" w:rsidRPr="004676F5">
        <w:rPr>
          <w:i/>
          <w:lang w:val="de-DE"/>
        </w:rPr>
        <w:t>Art. </w:t>
      </w:r>
      <w:r w:rsidR="00F70CA4" w:rsidRPr="004676F5">
        <w:rPr>
          <w:i/>
          <w:lang w:val="de-DE"/>
        </w:rPr>
        <w:t>5 Nr. 7 des G. vom 22. Dezember 2016 (B.S. vom 29. Dezember 2016)</w:t>
      </w:r>
      <w:r w:rsidR="00DD0D94" w:rsidRPr="004676F5">
        <w:rPr>
          <w:i/>
          <w:lang w:val="de-DE"/>
        </w:rPr>
        <w:t xml:space="preserve">; </w:t>
      </w:r>
      <w:r w:rsidR="00CC604B" w:rsidRPr="004676F5">
        <w:rPr>
          <w:i/>
          <w:lang w:val="de-DE"/>
        </w:rPr>
        <w:t xml:space="preserve">einziger Absatz Nr. 12 Abs. 1 ersetzt durch Art. 13 Nr. 4 des G. vom 19. Juni 2022 (B.S. vom 1. August 2022); </w:t>
      </w:r>
      <w:r w:rsidR="00DD0D94" w:rsidRPr="004676F5">
        <w:rPr>
          <w:i/>
          <w:lang w:val="de-DE"/>
        </w:rPr>
        <w:t>einziger Absatz Nr. 15 abgeändert durch Art. 4 Buchstabe a) des G. vom 25. November 2018 (II) (B.S. vom 12. Dezember 2018)</w:t>
      </w:r>
      <w:r w:rsidR="00CC604B" w:rsidRPr="004676F5">
        <w:rPr>
          <w:i/>
          <w:lang w:val="de-DE"/>
        </w:rPr>
        <w:t xml:space="preserve"> und Art. 13 Nr. 5 des G. vom 19. Juni 2022 (B.S. vom 1. August 2022)</w:t>
      </w:r>
      <w:r w:rsidR="00DD0D94" w:rsidRPr="004676F5">
        <w:rPr>
          <w:i/>
          <w:lang w:val="de-DE"/>
        </w:rPr>
        <w:t>; einziger Absatz Nr. 18 eingefügt durch Art. 4 Buchstabe</w:t>
      </w:r>
      <w:r w:rsidR="00CC604B" w:rsidRPr="004676F5">
        <w:rPr>
          <w:i/>
          <w:lang w:val="de-DE"/>
        </w:rPr>
        <w:t> </w:t>
      </w:r>
      <w:r w:rsidR="00DD0D94" w:rsidRPr="004676F5">
        <w:rPr>
          <w:i/>
          <w:lang w:val="de-DE"/>
        </w:rPr>
        <w:t>b) des G. vom 25. November 2018 (II) (B.S. vom 12. Dezember 2018)</w:t>
      </w:r>
      <w:r w:rsidR="00CC604B" w:rsidRPr="004676F5">
        <w:rPr>
          <w:i/>
          <w:lang w:val="de-DE"/>
        </w:rPr>
        <w:t xml:space="preserve"> und abgeändert durch Art. 13 Nr. 6 des G. vom 19. Juni 2022 (B.S. vom 1. August 2022); einziger Absatz Nr. 19 eingefügt durch Art. 4 Buchstabe b) des G. vom 25. November 2018 (II) (B.S. vom 12. Dezember 2018) und abgeändert durch Art. 13 Nr. 7 des G. vom 19. Juni 2022 (B.S. vom 1. August 2022); einziger Absatz Nr. 20 und 21 eingefügt durch Art. 13 Nr. 8 des G. vom 19. Juni 2022 (B.S. vom 1. August 2022)</w:t>
      </w:r>
      <w:r w:rsidRPr="004676F5">
        <w:rPr>
          <w:i/>
          <w:lang w:val="de-DE"/>
        </w:rPr>
        <w:t>]</w:t>
      </w:r>
    </w:p>
    <w:p w14:paraId="4C64F274" w14:textId="77777777" w:rsidR="001527B1" w:rsidRPr="004676F5" w:rsidRDefault="001527B1" w:rsidP="001527B1">
      <w:pPr>
        <w:jc w:val="both"/>
        <w:rPr>
          <w:lang w:val="de-DE"/>
        </w:rPr>
      </w:pPr>
    </w:p>
    <w:p w14:paraId="57B63916" w14:textId="77777777" w:rsidR="00435B6C" w:rsidRPr="004676F5" w:rsidRDefault="00435B6C" w:rsidP="001527B1">
      <w:pPr>
        <w:jc w:val="both"/>
        <w:rPr>
          <w:lang w:val="de-DE"/>
        </w:rPr>
      </w:pPr>
    </w:p>
    <w:p w14:paraId="04B8DEE2" w14:textId="17D6EC1E" w:rsidR="001527B1" w:rsidRPr="004676F5" w:rsidRDefault="00BE0A56" w:rsidP="001527B1">
      <w:pPr>
        <w:ind w:firstLine="708"/>
        <w:jc w:val="both"/>
        <w:rPr>
          <w:lang w:val="de-DE"/>
        </w:rPr>
      </w:pPr>
      <w:r w:rsidRPr="004676F5">
        <w:rPr>
          <w:b/>
          <w:lang w:val="de-DE"/>
        </w:rPr>
        <w:t>Art. </w:t>
      </w:r>
      <w:r w:rsidR="001527B1" w:rsidRPr="004676F5">
        <w:rPr>
          <w:b/>
          <w:lang w:val="de-DE"/>
        </w:rPr>
        <w:t>XI.191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Wenn eine Datenbank erlaubterweise </w:t>
      </w:r>
      <w:r w:rsidR="00F70CA4" w:rsidRPr="004676F5">
        <w:rPr>
          <w:lang w:val="de-DE"/>
        </w:rPr>
        <w:t>[bekannt gemacht]</w:t>
      </w:r>
      <w:r w:rsidR="001527B1" w:rsidRPr="004676F5">
        <w:rPr>
          <w:lang w:val="de-DE"/>
        </w:rPr>
        <w:t xml:space="preserve"> worden ist, kann der Urheber sich in Abweichung von Artikel XI.190 nicht widersetzen gegen:</w:t>
      </w:r>
    </w:p>
    <w:p w14:paraId="434B2811" w14:textId="77777777" w:rsidR="001527B1" w:rsidRPr="004676F5" w:rsidRDefault="001527B1" w:rsidP="001527B1">
      <w:pPr>
        <w:ind w:firstLine="708"/>
        <w:jc w:val="both"/>
        <w:rPr>
          <w:lang w:val="de-DE"/>
        </w:rPr>
      </w:pPr>
    </w:p>
    <w:p w14:paraId="354CF535" w14:textId="551E05C4" w:rsidR="001527B1" w:rsidRPr="004676F5" w:rsidRDefault="001527B1" w:rsidP="001527B1">
      <w:pPr>
        <w:ind w:firstLine="708"/>
        <w:jc w:val="both"/>
        <w:rPr>
          <w:lang w:val="de-DE"/>
        </w:rPr>
      </w:pPr>
      <w:r w:rsidRPr="004676F5">
        <w:rPr>
          <w:lang w:val="de-DE"/>
        </w:rPr>
        <w:t xml:space="preserve">1. teilweise oder vollständige Vervielfältigung auf Papier oder einem ähnlichen Träger mittels beliebiger fotomechanischer Verfahren oder anderer Verfahren mit ähnlicher Wirkung von Datenbanken auf Papier oder ähnlichem Träger, wenn diese Vervielfältigung </w:t>
      </w:r>
      <w:r w:rsidR="00F70CA4" w:rsidRPr="004676F5">
        <w:rPr>
          <w:lang w:val="de-DE"/>
        </w:rPr>
        <w:t>[von einer juristischen Person zu internen Zwecken oder von einer natürlichen Person zu internen Zwecken im Rahmen ihrer beruflichen Tätigkeit vorgenommen wird]</w:t>
      </w:r>
      <w:r w:rsidRPr="004676F5">
        <w:rPr>
          <w:lang w:val="de-DE"/>
        </w:rPr>
        <w:t xml:space="preserve"> </w:t>
      </w:r>
      <w:r w:rsidR="00CC604B" w:rsidRPr="004676F5">
        <w:rPr>
          <w:lang w:val="de-DE"/>
        </w:rPr>
        <w:t>[...]</w:t>
      </w:r>
      <w:r w:rsidRPr="004676F5">
        <w:rPr>
          <w:lang w:val="de-DE"/>
        </w:rPr>
        <w:t>,</w:t>
      </w:r>
    </w:p>
    <w:p w14:paraId="6467D4B5" w14:textId="77777777" w:rsidR="001527B1" w:rsidRPr="004676F5" w:rsidRDefault="001527B1" w:rsidP="001527B1">
      <w:pPr>
        <w:ind w:firstLine="708"/>
        <w:jc w:val="both"/>
        <w:rPr>
          <w:lang w:val="de-DE"/>
        </w:rPr>
      </w:pPr>
    </w:p>
    <w:p w14:paraId="7E581784" w14:textId="77777777" w:rsidR="001527B1" w:rsidRPr="004676F5" w:rsidRDefault="001527B1" w:rsidP="001527B1">
      <w:pPr>
        <w:ind w:firstLine="708"/>
        <w:jc w:val="both"/>
        <w:rPr>
          <w:lang w:val="de-DE"/>
        </w:rPr>
      </w:pPr>
      <w:r w:rsidRPr="004676F5">
        <w:rPr>
          <w:lang w:val="de-DE"/>
        </w:rPr>
        <w:t>2. </w:t>
      </w:r>
      <w:r w:rsidR="00F70CA4" w:rsidRPr="004676F5">
        <w:rPr>
          <w:lang w:val="de-DE"/>
        </w:rPr>
        <w:t>[...]</w:t>
      </w:r>
    </w:p>
    <w:p w14:paraId="148B1526" w14:textId="77777777" w:rsidR="001527B1" w:rsidRPr="004676F5" w:rsidRDefault="001527B1" w:rsidP="001527B1">
      <w:pPr>
        <w:ind w:firstLine="708"/>
        <w:jc w:val="both"/>
        <w:rPr>
          <w:lang w:val="de-DE"/>
        </w:rPr>
      </w:pPr>
    </w:p>
    <w:p w14:paraId="36B6FF63" w14:textId="77777777" w:rsidR="001527B1" w:rsidRPr="004676F5" w:rsidRDefault="001527B1" w:rsidP="001527B1">
      <w:pPr>
        <w:ind w:firstLine="708"/>
        <w:jc w:val="both"/>
        <w:rPr>
          <w:lang w:val="de-DE"/>
        </w:rPr>
      </w:pPr>
      <w:r w:rsidRPr="004676F5">
        <w:rPr>
          <w:lang w:val="de-DE"/>
        </w:rPr>
        <w:t>3. </w:t>
      </w:r>
      <w:r w:rsidR="00F70CA4" w:rsidRPr="004676F5">
        <w:rPr>
          <w:lang w:val="de-DE"/>
        </w:rPr>
        <w:t>[...]</w:t>
      </w:r>
    </w:p>
    <w:p w14:paraId="257055BA" w14:textId="77777777" w:rsidR="001527B1" w:rsidRPr="004676F5" w:rsidRDefault="001527B1" w:rsidP="001527B1">
      <w:pPr>
        <w:ind w:firstLine="708"/>
        <w:jc w:val="both"/>
        <w:rPr>
          <w:lang w:val="de-DE"/>
        </w:rPr>
      </w:pPr>
    </w:p>
    <w:p w14:paraId="61959576" w14:textId="77777777" w:rsidR="001527B1" w:rsidRPr="004676F5" w:rsidRDefault="001527B1" w:rsidP="001527B1">
      <w:pPr>
        <w:ind w:firstLine="708"/>
        <w:jc w:val="both"/>
        <w:rPr>
          <w:lang w:val="de-DE"/>
        </w:rPr>
      </w:pPr>
      <w:r w:rsidRPr="004676F5">
        <w:rPr>
          <w:lang w:val="de-DE"/>
        </w:rPr>
        <w:t>4. </w:t>
      </w:r>
      <w:r w:rsidR="00F70CA4" w:rsidRPr="004676F5">
        <w:rPr>
          <w:lang w:val="de-DE"/>
        </w:rPr>
        <w:t>[...]</w:t>
      </w:r>
    </w:p>
    <w:p w14:paraId="4293C85A" w14:textId="77777777" w:rsidR="001527B1" w:rsidRPr="004676F5" w:rsidRDefault="001527B1" w:rsidP="001527B1">
      <w:pPr>
        <w:ind w:firstLine="708"/>
        <w:jc w:val="both"/>
        <w:rPr>
          <w:lang w:val="de-DE"/>
        </w:rPr>
      </w:pPr>
    </w:p>
    <w:p w14:paraId="3A7A0188" w14:textId="76AD5FF0" w:rsidR="001527B1" w:rsidRPr="004676F5" w:rsidRDefault="001527B1" w:rsidP="001527B1">
      <w:pPr>
        <w:ind w:firstLine="708"/>
        <w:jc w:val="both"/>
        <w:rPr>
          <w:lang w:val="de-DE"/>
        </w:rPr>
      </w:pPr>
      <w:r w:rsidRPr="004676F5">
        <w:rPr>
          <w:lang w:val="de-DE"/>
        </w:rPr>
        <w:t>5. Vervielfältigung und öffentliche Wiedergabe einer Datenbank, wenn diese Handlungen zu Zwecken der öffentlichen Sicherheit oder eines Verwaltungs</w:t>
      </w:r>
      <w:r w:rsidR="005B7A5C" w:rsidRPr="004676F5">
        <w:rPr>
          <w:lang w:val="de-DE"/>
        </w:rPr>
        <w:t>- </w:t>
      </w:r>
      <w:r w:rsidRPr="004676F5">
        <w:rPr>
          <w:lang w:val="de-DE"/>
        </w:rPr>
        <w:t>oder Gerichts</w:t>
      </w:r>
      <w:r w:rsidRPr="004676F5">
        <w:rPr>
          <w:lang w:val="de-DE"/>
        </w:rPr>
        <w:softHyphen/>
        <w:t xml:space="preserve">verfahrens erfolgen </w:t>
      </w:r>
      <w:r w:rsidR="001F6624" w:rsidRPr="004676F5">
        <w:rPr>
          <w:lang w:val="de-DE"/>
        </w:rPr>
        <w:t>[...]</w:t>
      </w:r>
      <w:r w:rsidRPr="004676F5">
        <w:rPr>
          <w:lang w:val="de-DE"/>
        </w:rPr>
        <w:t>.</w:t>
      </w:r>
    </w:p>
    <w:p w14:paraId="75999A44" w14:textId="77777777" w:rsidR="001527B1" w:rsidRPr="004676F5" w:rsidRDefault="001527B1" w:rsidP="001527B1">
      <w:pPr>
        <w:ind w:firstLine="708"/>
        <w:jc w:val="both"/>
        <w:rPr>
          <w:lang w:val="de-DE"/>
        </w:rPr>
      </w:pPr>
    </w:p>
    <w:p w14:paraId="20C01712" w14:textId="77777777" w:rsidR="001527B1" w:rsidRPr="004676F5" w:rsidRDefault="00F70CA4" w:rsidP="001527B1">
      <w:pPr>
        <w:ind w:firstLine="708"/>
        <w:jc w:val="both"/>
        <w:rPr>
          <w:lang w:val="de-DE"/>
        </w:rPr>
      </w:pPr>
      <w:r w:rsidRPr="004676F5">
        <w:rPr>
          <w:lang w:val="de-DE"/>
        </w:rPr>
        <w:t>[...]</w:t>
      </w:r>
    </w:p>
    <w:p w14:paraId="0441C477" w14:textId="77777777" w:rsidR="001527B1" w:rsidRPr="004676F5" w:rsidRDefault="001527B1" w:rsidP="001527B1">
      <w:pPr>
        <w:ind w:firstLine="708"/>
        <w:jc w:val="both"/>
        <w:rPr>
          <w:lang w:val="de-DE"/>
        </w:rPr>
      </w:pPr>
    </w:p>
    <w:p w14:paraId="6A1AC22C" w14:textId="4FDA942D" w:rsidR="001527B1" w:rsidRPr="004676F5" w:rsidRDefault="001527B1" w:rsidP="001527B1">
      <w:pPr>
        <w:ind w:firstLine="708"/>
        <w:jc w:val="both"/>
        <w:rPr>
          <w:lang w:val="de-DE"/>
        </w:rPr>
      </w:pPr>
      <w:r w:rsidRPr="004676F5">
        <w:rPr>
          <w:lang w:val="de-DE"/>
        </w:rPr>
        <w:lastRenderedPageBreak/>
        <w:t>§ 2 </w:t>
      </w:r>
      <w:r w:rsidR="005B7A5C" w:rsidRPr="004676F5">
        <w:rPr>
          <w:lang w:val="de-DE"/>
        </w:rPr>
        <w:t>- </w:t>
      </w:r>
      <w:r w:rsidR="00F70CA4" w:rsidRPr="004676F5">
        <w:rPr>
          <w:lang w:val="de-DE"/>
        </w:rPr>
        <w:t>[</w:t>
      </w:r>
      <w:r w:rsidR="001F6624" w:rsidRPr="004676F5">
        <w:rPr>
          <w:lang w:val="de-DE"/>
        </w:rPr>
        <w:t>Artikel XI.190 Nr. 1, 2, 10, 12 und 20 ist entsprechend anwendbar auf Datenbanken.</w:t>
      </w:r>
      <w:r w:rsidR="00F70CA4" w:rsidRPr="004676F5">
        <w:rPr>
          <w:lang w:val="de-DE"/>
        </w:rPr>
        <w:t>]</w:t>
      </w:r>
    </w:p>
    <w:p w14:paraId="1F9813FD" w14:textId="77777777" w:rsidR="001527B1" w:rsidRPr="004676F5" w:rsidRDefault="001527B1" w:rsidP="001527B1">
      <w:pPr>
        <w:ind w:firstLine="708"/>
        <w:jc w:val="both"/>
        <w:rPr>
          <w:lang w:val="de-DE"/>
        </w:rPr>
      </w:pPr>
    </w:p>
    <w:p w14:paraId="28438A02" w14:textId="3C5510B8" w:rsidR="00435B6C" w:rsidRPr="004676F5" w:rsidRDefault="00F70CA4" w:rsidP="00F70CA4">
      <w:pPr>
        <w:jc w:val="both"/>
        <w:rPr>
          <w:i/>
          <w:lang w:val="de-DE"/>
        </w:rPr>
      </w:pPr>
      <w:r w:rsidRPr="004676F5">
        <w:rPr>
          <w:i/>
          <w:lang w:val="de-DE"/>
        </w:rPr>
        <w:t>[</w:t>
      </w:r>
      <w:r w:rsidR="00BE0A56" w:rsidRPr="004676F5">
        <w:rPr>
          <w:i/>
          <w:lang w:val="de-DE"/>
        </w:rPr>
        <w:t>Art. </w:t>
      </w:r>
      <w:r w:rsidRPr="004676F5">
        <w:rPr>
          <w:i/>
          <w:lang w:val="de-DE"/>
        </w:rPr>
        <w:t xml:space="preserve">XI.191 § 1 einziger Absatz einleitende Bestimmung abgeändert durch </w:t>
      </w:r>
      <w:r w:rsidR="00BE0A56" w:rsidRPr="004676F5">
        <w:rPr>
          <w:i/>
          <w:lang w:val="de-DE"/>
        </w:rPr>
        <w:t>Art. </w:t>
      </w:r>
      <w:r w:rsidRPr="004676F5">
        <w:rPr>
          <w:i/>
          <w:lang w:val="de-DE"/>
        </w:rPr>
        <w:t xml:space="preserve">6 Nr. 1 des G. vom 22. Dezember 2016 (B.S. vom 29. Dezember 2016); § 1 einziger Absatz Nr. 1 abgeändert durch </w:t>
      </w:r>
      <w:r w:rsidR="00BE0A56" w:rsidRPr="004676F5">
        <w:rPr>
          <w:i/>
          <w:lang w:val="de-DE"/>
        </w:rPr>
        <w:t>Art. </w:t>
      </w:r>
      <w:r w:rsidRPr="004676F5">
        <w:rPr>
          <w:i/>
          <w:lang w:val="de-DE"/>
        </w:rPr>
        <w:t>6 Nr. 2 des G. vom 22. Dezember 2016 (B.S. vom 29. Dezember 2016)</w:t>
      </w:r>
      <w:r w:rsidR="001F6624" w:rsidRPr="004676F5">
        <w:rPr>
          <w:i/>
          <w:lang w:val="de-DE"/>
        </w:rPr>
        <w:t xml:space="preserve"> und Art. 14 Nr. 1 des G. vom 19. Juni 2022 (B.S. vom 1. August 2022)</w:t>
      </w:r>
      <w:r w:rsidRPr="004676F5">
        <w:rPr>
          <w:i/>
          <w:lang w:val="de-DE"/>
        </w:rPr>
        <w:t xml:space="preserve">; </w:t>
      </w:r>
      <w:r w:rsidR="00622BD3" w:rsidRPr="004676F5">
        <w:rPr>
          <w:i/>
          <w:lang w:val="de-DE"/>
        </w:rPr>
        <w:t xml:space="preserve">§ 1 </w:t>
      </w:r>
      <w:r w:rsidRPr="004676F5">
        <w:rPr>
          <w:i/>
          <w:lang w:val="de-DE"/>
        </w:rPr>
        <w:t xml:space="preserve">einziger Absatz Nr. 2 bis 4 aufgehoben durch </w:t>
      </w:r>
      <w:r w:rsidR="00BE0A56" w:rsidRPr="004676F5">
        <w:rPr>
          <w:i/>
          <w:lang w:val="de-DE"/>
        </w:rPr>
        <w:t>Art. </w:t>
      </w:r>
      <w:r w:rsidRPr="004676F5">
        <w:rPr>
          <w:i/>
          <w:lang w:val="de-DE"/>
        </w:rPr>
        <w:t>6 Nr. 3 des G. vom 22. Dezember 2016 (B.S. vom 29. Dezember 2016);</w:t>
      </w:r>
      <w:r w:rsidR="001F6624" w:rsidRPr="004676F5">
        <w:rPr>
          <w:i/>
          <w:lang w:val="de-DE"/>
        </w:rPr>
        <w:t xml:space="preserve"> </w:t>
      </w:r>
      <w:r w:rsidR="00622BD3" w:rsidRPr="004676F5">
        <w:rPr>
          <w:i/>
          <w:lang w:val="de-DE"/>
        </w:rPr>
        <w:t xml:space="preserve">§ 1 </w:t>
      </w:r>
      <w:r w:rsidR="001F6624" w:rsidRPr="004676F5">
        <w:rPr>
          <w:i/>
          <w:lang w:val="de-DE"/>
        </w:rPr>
        <w:t>einziger Absatz Nr. 5 abgeändert durch Art. 14 Nr. 2 des G. vom 19. Juni 2022 (B.S. vom 1. August 2022);</w:t>
      </w:r>
      <w:r w:rsidRPr="004676F5">
        <w:rPr>
          <w:i/>
          <w:lang w:val="de-DE"/>
        </w:rPr>
        <w:t xml:space="preserve"> § 1 früherer Absatz 2 aufgehoben durch </w:t>
      </w:r>
      <w:r w:rsidR="00BE0A56" w:rsidRPr="004676F5">
        <w:rPr>
          <w:i/>
          <w:lang w:val="de-DE"/>
        </w:rPr>
        <w:t>Art. </w:t>
      </w:r>
      <w:r w:rsidRPr="004676F5">
        <w:rPr>
          <w:i/>
          <w:lang w:val="de-DE"/>
        </w:rPr>
        <w:t xml:space="preserve">6 Nr. 4 des G. vom 22. Dezember 2016 (B.S. vom 29. Dezember 2016); § 2 ersetzt durch </w:t>
      </w:r>
      <w:r w:rsidR="00BE0A56" w:rsidRPr="004676F5">
        <w:rPr>
          <w:i/>
          <w:lang w:val="de-DE"/>
        </w:rPr>
        <w:t>Art. </w:t>
      </w:r>
      <w:r w:rsidR="001F6624" w:rsidRPr="004676F5">
        <w:rPr>
          <w:i/>
          <w:lang w:val="de-DE"/>
        </w:rPr>
        <w:t>14 Nr. 3 des G. vom 19. Juni 2022 (B.S. vom 1. August 2022)</w:t>
      </w:r>
      <w:r w:rsidRPr="004676F5">
        <w:rPr>
          <w:i/>
          <w:lang w:val="de-DE"/>
        </w:rPr>
        <w:t>]</w:t>
      </w:r>
    </w:p>
    <w:p w14:paraId="421231F0" w14:textId="77777777" w:rsidR="00F70CA4" w:rsidRPr="004676F5" w:rsidRDefault="00F70CA4" w:rsidP="00F70CA4">
      <w:pPr>
        <w:jc w:val="both"/>
        <w:rPr>
          <w:lang w:val="de-DE"/>
        </w:rPr>
      </w:pPr>
    </w:p>
    <w:p w14:paraId="4F129B67" w14:textId="77777777" w:rsidR="00F70CA4" w:rsidRPr="004676F5" w:rsidRDefault="00F70CA4" w:rsidP="00F70CA4">
      <w:pPr>
        <w:jc w:val="both"/>
        <w:rPr>
          <w:lang w:val="de-DE"/>
        </w:rPr>
      </w:pPr>
    </w:p>
    <w:p w14:paraId="17E0A8BE" w14:textId="594DDBF8" w:rsidR="00F70CA4" w:rsidRPr="004676F5" w:rsidRDefault="00F70CA4" w:rsidP="00F70CA4">
      <w:pPr>
        <w:jc w:val="center"/>
        <w:rPr>
          <w:lang w:val="de-DE"/>
        </w:rPr>
      </w:pPr>
      <w:r w:rsidRPr="004676F5">
        <w:rPr>
          <w:lang w:val="de-DE"/>
        </w:rPr>
        <w:t>[Unterabschnitt 2 </w:t>
      </w:r>
      <w:r w:rsidR="005B7A5C" w:rsidRPr="004676F5">
        <w:rPr>
          <w:lang w:val="de-DE"/>
        </w:rPr>
        <w:t>- </w:t>
      </w:r>
      <w:r w:rsidRPr="004676F5">
        <w:rPr>
          <w:lang w:val="de-DE"/>
        </w:rPr>
        <w:t>Ausnahmen von den vermögensrechtlichen Befugnissen des Urhebers für Unterrichtszwecke oder Zwecke der wissenschaftlichen Forschung]</w:t>
      </w:r>
    </w:p>
    <w:p w14:paraId="20B65133" w14:textId="77777777" w:rsidR="00F70CA4" w:rsidRPr="004676F5" w:rsidRDefault="00F70CA4" w:rsidP="00F70CA4">
      <w:pPr>
        <w:jc w:val="center"/>
        <w:rPr>
          <w:lang w:val="de-DE"/>
        </w:rPr>
      </w:pPr>
    </w:p>
    <w:p w14:paraId="0D55D2A5" w14:textId="508A6AC3" w:rsidR="00F70CA4" w:rsidRPr="004676F5" w:rsidRDefault="00F70CA4" w:rsidP="00F70CA4">
      <w:pPr>
        <w:jc w:val="both"/>
        <w:rPr>
          <w:i/>
          <w:lang w:val="de-DE"/>
        </w:rPr>
      </w:pPr>
      <w:r w:rsidRPr="004676F5">
        <w:rPr>
          <w:i/>
          <w:lang w:val="de-DE"/>
        </w:rPr>
        <w:t xml:space="preserve">[Unterteilung Unterabschnitt 2 eingefügt durch </w:t>
      </w:r>
      <w:r w:rsidR="00BE0A56" w:rsidRPr="004676F5">
        <w:rPr>
          <w:i/>
          <w:lang w:val="de-DE"/>
        </w:rPr>
        <w:t>Art. </w:t>
      </w:r>
      <w:r w:rsidRPr="004676F5">
        <w:rPr>
          <w:i/>
          <w:lang w:val="de-DE"/>
        </w:rPr>
        <w:t>7 des G. vom 22. Dezember 2016 (B.S. vom 29. Dezember 2016)]</w:t>
      </w:r>
    </w:p>
    <w:p w14:paraId="307EB180" w14:textId="77777777" w:rsidR="00F70CA4" w:rsidRPr="004676F5" w:rsidRDefault="00F70CA4" w:rsidP="00F70CA4">
      <w:pPr>
        <w:jc w:val="both"/>
        <w:rPr>
          <w:i/>
          <w:lang w:val="de-DE"/>
        </w:rPr>
      </w:pPr>
    </w:p>
    <w:p w14:paraId="076C3FC3" w14:textId="77777777" w:rsidR="00F70CA4" w:rsidRPr="004676F5" w:rsidRDefault="00F70CA4" w:rsidP="00F70CA4">
      <w:pPr>
        <w:jc w:val="both"/>
        <w:rPr>
          <w:lang w:val="de-DE"/>
        </w:rPr>
      </w:pPr>
    </w:p>
    <w:p w14:paraId="5ED6E186" w14:textId="169A3B99" w:rsidR="00F70CA4" w:rsidRPr="004676F5" w:rsidRDefault="00F70CA4" w:rsidP="00F70CA4">
      <w:pPr>
        <w:jc w:val="both"/>
        <w:rPr>
          <w:lang w:val="de-DE"/>
        </w:rPr>
      </w:pPr>
      <w:r w:rsidRPr="004676F5">
        <w:rPr>
          <w:lang w:val="de-DE"/>
        </w:rPr>
        <w:tab/>
        <w:t>[</w:t>
      </w:r>
      <w:r w:rsidR="00BE0A56" w:rsidRPr="004676F5">
        <w:rPr>
          <w:b/>
          <w:lang w:val="de-DE"/>
        </w:rPr>
        <w:t>Art. </w:t>
      </w:r>
      <w:r w:rsidRPr="004676F5">
        <w:rPr>
          <w:b/>
          <w:lang w:val="de-DE"/>
        </w:rPr>
        <w:t>XI.191/1</w:t>
      </w:r>
      <w:r w:rsidRPr="004676F5">
        <w:rPr>
          <w:lang w:val="de-DE"/>
        </w:rPr>
        <w:t> </w:t>
      </w:r>
      <w:r w:rsidR="005B7A5C" w:rsidRPr="004676F5">
        <w:rPr>
          <w:lang w:val="de-DE"/>
        </w:rPr>
        <w:t>- </w:t>
      </w:r>
      <w:r w:rsidRPr="004676F5">
        <w:rPr>
          <w:lang w:val="de-DE"/>
        </w:rPr>
        <w:t>§ 1 </w:t>
      </w:r>
      <w:r w:rsidR="005B7A5C" w:rsidRPr="004676F5">
        <w:rPr>
          <w:lang w:val="de-DE"/>
        </w:rPr>
        <w:t>- </w:t>
      </w:r>
      <w:r w:rsidR="00895CD7" w:rsidRPr="004676F5">
        <w:rPr>
          <w:lang w:val="de-DE"/>
        </w:rPr>
        <w:t>[Wenn ein Werk erlaubterweise bekannt gemacht worden ist, kann der Urheber sich unbeschadet der etwaigen Anwendung der Artikel XI.189 § 3 und XI.190 Nr. 2, 2/1, 10, 12, 13, 15, 16, 17, 18, 19, 20 und 21 nicht widersetzen gegen:]</w:t>
      </w:r>
    </w:p>
    <w:p w14:paraId="7496A8AB" w14:textId="77777777" w:rsidR="00F70CA4" w:rsidRPr="004676F5" w:rsidRDefault="00F70CA4" w:rsidP="00F70CA4">
      <w:pPr>
        <w:jc w:val="both"/>
        <w:rPr>
          <w:lang w:val="de-DE"/>
        </w:rPr>
      </w:pPr>
    </w:p>
    <w:p w14:paraId="52D1A3E7" w14:textId="77777777" w:rsidR="00F70CA4" w:rsidRPr="004676F5" w:rsidRDefault="00F70CA4" w:rsidP="00F70CA4">
      <w:pPr>
        <w:jc w:val="both"/>
        <w:rPr>
          <w:lang w:val="de-DE"/>
        </w:rPr>
      </w:pPr>
      <w:r w:rsidRPr="004676F5">
        <w:rPr>
          <w:lang w:val="de-DE"/>
        </w:rPr>
        <w:tab/>
        <w:t>1. Zitate zu Unterrichtszwecken oder im Rahmen der wissenschaftlichen Forschung, sofern die Nutzung den anständigen Gepflogenheiten entspricht und durch den besonderen Zweck gerechtfertigt ist,</w:t>
      </w:r>
    </w:p>
    <w:p w14:paraId="4F89B174" w14:textId="77777777" w:rsidR="00F70CA4" w:rsidRPr="004676F5" w:rsidRDefault="00F70CA4" w:rsidP="00F70CA4">
      <w:pPr>
        <w:jc w:val="both"/>
        <w:rPr>
          <w:lang w:val="de-DE"/>
        </w:rPr>
      </w:pPr>
    </w:p>
    <w:p w14:paraId="7069957D" w14:textId="77777777" w:rsidR="00F70CA4" w:rsidRPr="004676F5" w:rsidRDefault="00F70CA4" w:rsidP="00F70CA4">
      <w:pPr>
        <w:jc w:val="both"/>
        <w:rPr>
          <w:lang w:val="de-DE"/>
        </w:rPr>
      </w:pPr>
      <w:r w:rsidRPr="004676F5">
        <w:rPr>
          <w:lang w:val="de-DE"/>
        </w:rPr>
        <w:tab/>
        <w:t>2. unentgeltliche Darbietung im Rahmen schulischer Tätigkeiten, einschließlich der Darbietung bei einer öffentlichen Prüfung. Diese unentgeltliche Darbietung im Rahmen schulischer Tätigkeiten und die Darbietung bei einer öffentlichen Prüfung können sowohl innerhalb als auch außerhalb der Bildungseinrichtung stattfinden,</w:t>
      </w:r>
    </w:p>
    <w:p w14:paraId="1D98E143" w14:textId="77777777" w:rsidR="00F70CA4" w:rsidRPr="004676F5" w:rsidRDefault="00F70CA4" w:rsidP="00F70CA4">
      <w:pPr>
        <w:jc w:val="both"/>
        <w:rPr>
          <w:lang w:val="de-DE"/>
        </w:rPr>
      </w:pPr>
    </w:p>
    <w:p w14:paraId="0D067CC4" w14:textId="27152099" w:rsidR="00F70CA4" w:rsidRPr="004676F5" w:rsidRDefault="00F70CA4" w:rsidP="00F70CA4">
      <w:pPr>
        <w:jc w:val="both"/>
        <w:rPr>
          <w:lang w:val="de-DE"/>
        </w:rPr>
      </w:pPr>
      <w:r w:rsidRPr="004676F5">
        <w:rPr>
          <w:lang w:val="de-DE"/>
        </w:rPr>
        <w:tab/>
        <w:t xml:space="preserve">3. Vervielfältigung von Werken, mit Ausnahme von Partituren, für die Nutzung zur Veranschaulichung im Unterricht oder für Zwecke der wissenschaftlichen Forschung, soweit diese Nutzung durch den verfolgten nichtgewinnbringenden Zweck gerechtfertigt ist </w:t>
      </w:r>
      <w:r w:rsidR="00895CD7" w:rsidRPr="004676F5">
        <w:rPr>
          <w:lang w:val="de-DE"/>
        </w:rPr>
        <w:t>[...]</w:t>
      </w:r>
      <w:r w:rsidRPr="004676F5">
        <w:rPr>
          <w:lang w:val="de-DE"/>
        </w:rPr>
        <w:t>,</w:t>
      </w:r>
    </w:p>
    <w:p w14:paraId="4CED323C" w14:textId="77777777" w:rsidR="00F70CA4" w:rsidRPr="004676F5" w:rsidRDefault="00F70CA4" w:rsidP="00F70CA4">
      <w:pPr>
        <w:jc w:val="both"/>
        <w:rPr>
          <w:lang w:val="de-DE"/>
        </w:rPr>
      </w:pPr>
    </w:p>
    <w:p w14:paraId="42AD0921" w14:textId="250ABCA1" w:rsidR="00F70CA4" w:rsidRPr="004676F5" w:rsidRDefault="00F70CA4" w:rsidP="00F70CA4">
      <w:pPr>
        <w:jc w:val="both"/>
        <w:rPr>
          <w:lang w:val="de-DE"/>
        </w:rPr>
      </w:pPr>
      <w:r w:rsidRPr="004676F5">
        <w:rPr>
          <w:lang w:val="de-DE"/>
        </w:rPr>
        <w:tab/>
        <w:t xml:space="preserve">4. öffentliche Wiedergabe von Werken für die Nutzung zur Veranschaulichung im Unterricht oder für Zwecke der wissenschaftlichen Forschung durch Einrichtungen, die zu diesem Zweck von den Behörden amtlich anerkannt oder gegründet wurden, soweit dies durch den verfolgten nichtgewinnbringenden Zweck gerechtfertigt ist, </w:t>
      </w:r>
      <w:r w:rsidR="00895CD7" w:rsidRPr="004676F5">
        <w:rPr>
          <w:lang w:val="de-DE"/>
        </w:rPr>
        <w:t>[im Rahmen der normalen Tätigkeiten der betreffenden Einrichtung erfolgt und durch geeignete Maßnahmen gesichert ist]</w:t>
      </w:r>
      <w:r w:rsidRPr="004676F5">
        <w:rPr>
          <w:lang w:val="de-DE"/>
        </w:rPr>
        <w:t xml:space="preserve"> </w:t>
      </w:r>
      <w:r w:rsidR="00895CD7" w:rsidRPr="004676F5">
        <w:rPr>
          <w:lang w:val="de-DE"/>
        </w:rPr>
        <w:t>[...]</w:t>
      </w:r>
      <w:r w:rsidRPr="004676F5">
        <w:rPr>
          <w:lang w:val="de-DE"/>
        </w:rPr>
        <w:t>,</w:t>
      </w:r>
    </w:p>
    <w:p w14:paraId="03440EF5" w14:textId="77777777" w:rsidR="00F70CA4" w:rsidRPr="004676F5" w:rsidRDefault="00F70CA4" w:rsidP="00F70CA4">
      <w:pPr>
        <w:jc w:val="both"/>
        <w:rPr>
          <w:lang w:val="de-DE"/>
        </w:rPr>
      </w:pPr>
    </w:p>
    <w:p w14:paraId="64FE89EB" w14:textId="4232010D" w:rsidR="00F70CA4" w:rsidRPr="004676F5" w:rsidRDefault="00F70CA4" w:rsidP="00F70CA4">
      <w:pPr>
        <w:jc w:val="both"/>
        <w:rPr>
          <w:lang w:val="de-DE"/>
        </w:rPr>
      </w:pPr>
      <w:r w:rsidRPr="004676F5">
        <w:rPr>
          <w:lang w:val="de-DE"/>
        </w:rPr>
        <w:tab/>
        <w:t>5. Nutzung literarischer Werke verstorbener Urheber in einer Anthologie zu Unterrichtszwecken, die keinen unmittelbaren oder mittelbaren wirtschaftlichen oder kommerziellen Zweck verfolgt, vorausgesetzt, dass die Wahl der Auszüge, ihre Gestaltung und ihre Stelle die Urheberpersönlichkeitsrechte des Urhebers nicht verletzen und eine angemessene Vergütung gezahlt wird, die von den Parteien vereinbart wird oder mangels Vereinbarung vom Richter gemäß den anständigen Gepflogenheiten festgelegt wird</w:t>
      </w:r>
      <w:r w:rsidR="00C96B80" w:rsidRPr="004676F5">
        <w:rPr>
          <w:lang w:val="de-DE"/>
        </w:rPr>
        <w:t>,</w:t>
      </w:r>
    </w:p>
    <w:p w14:paraId="46DE130F" w14:textId="77777777" w:rsidR="00C96B80" w:rsidRPr="004676F5" w:rsidRDefault="00C96B80" w:rsidP="00F70CA4">
      <w:pPr>
        <w:jc w:val="both"/>
        <w:rPr>
          <w:lang w:val="de-DE"/>
        </w:rPr>
      </w:pPr>
    </w:p>
    <w:p w14:paraId="735780EC" w14:textId="3A793AB7" w:rsidR="00C96B80" w:rsidRPr="004676F5" w:rsidRDefault="00C96B80" w:rsidP="00F70CA4">
      <w:pPr>
        <w:jc w:val="both"/>
        <w:rPr>
          <w:lang w:val="de-DE"/>
        </w:rPr>
      </w:pPr>
      <w:r w:rsidRPr="004676F5">
        <w:rPr>
          <w:lang w:val="de-DE"/>
        </w:rPr>
        <w:lastRenderedPageBreak/>
        <w:tab/>
        <w:t>[6. Vervielfältigung oder öffentliche Wiedergabe von Werken durch Kleinkindbetreu</w:t>
      </w:r>
      <w:r w:rsidRPr="004676F5">
        <w:rPr>
          <w:lang w:val="de-DE"/>
        </w:rPr>
        <w:softHyphen/>
        <w:t>ungs</w:t>
      </w:r>
      <w:r w:rsidRPr="004676F5">
        <w:rPr>
          <w:lang w:val="de-DE"/>
        </w:rPr>
        <w:softHyphen/>
        <w:t>einrichtungen, die zu diesem Zweck von den Behörden amtlich anerkannt oder gegründet wurden, soweit diese Vervielfältigung oder öffentliche Wiedergabe im Rahmen der pädagogischen Tätigkeiten dieser Einrichtungen erfolgt</w:t>
      </w:r>
      <w:r w:rsidR="00895CD7" w:rsidRPr="004676F5">
        <w:rPr>
          <w:lang w:val="de-DE"/>
        </w:rPr>
        <w:t>,</w:t>
      </w:r>
      <w:r w:rsidRPr="004676F5">
        <w:rPr>
          <w:lang w:val="de-DE"/>
        </w:rPr>
        <w:t>]</w:t>
      </w:r>
    </w:p>
    <w:p w14:paraId="13FDF011" w14:textId="77777777" w:rsidR="00F70CA4" w:rsidRPr="004676F5" w:rsidRDefault="00F70CA4" w:rsidP="00F70CA4">
      <w:pPr>
        <w:jc w:val="both"/>
        <w:rPr>
          <w:lang w:val="de-DE"/>
        </w:rPr>
      </w:pPr>
    </w:p>
    <w:p w14:paraId="3074BC2C" w14:textId="64E985F6" w:rsidR="00895CD7" w:rsidRPr="004676F5" w:rsidRDefault="00895CD7" w:rsidP="00895CD7">
      <w:pPr>
        <w:jc w:val="both"/>
        <w:rPr>
          <w:lang w:val="de-DE"/>
        </w:rPr>
      </w:pPr>
      <w:r w:rsidRPr="004676F5">
        <w:rPr>
          <w:lang w:val="de-DE"/>
        </w:rPr>
        <w:tab/>
        <w:t>[7. von Forschungsorganisationen, von öffentlich zugänglichen Bibliotheken oder Museen, von Archiven oder von Einrichtungen, die im Bereich des Film</w:t>
      </w:r>
      <w:r w:rsidR="005B7A5C" w:rsidRPr="004676F5">
        <w:rPr>
          <w:lang w:val="de-DE"/>
        </w:rPr>
        <w:t>- </w:t>
      </w:r>
      <w:r w:rsidRPr="004676F5">
        <w:rPr>
          <w:lang w:val="de-DE"/>
        </w:rPr>
        <w:t>oder Tonerbes tätig sind, vorgenommene Vervielfältigungen von Werken, zu denen sie rechtmäßig Zugang haben, zum Zwecke der wissenschaftlichen Forschung für Text und Data Mining.</w:t>
      </w:r>
    </w:p>
    <w:p w14:paraId="0963AE04" w14:textId="77777777" w:rsidR="00895CD7" w:rsidRPr="004676F5" w:rsidRDefault="00895CD7" w:rsidP="00895CD7">
      <w:pPr>
        <w:jc w:val="both"/>
        <w:rPr>
          <w:lang w:val="de-DE"/>
        </w:rPr>
      </w:pPr>
    </w:p>
    <w:p w14:paraId="5017949C" w14:textId="77777777" w:rsidR="00895CD7" w:rsidRPr="004676F5" w:rsidRDefault="00895CD7" w:rsidP="00895CD7">
      <w:pPr>
        <w:jc w:val="both"/>
        <w:rPr>
          <w:lang w:val="de-DE"/>
        </w:rPr>
      </w:pPr>
      <w:r w:rsidRPr="004676F5">
        <w:rPr>
          <w:lang w:val="de-DE"/>
        </w:rPr>
        <w:tab/>
        <w:t>Diese Vervielfältigungen von Werken sind mit angemessenen Sicherheitsvorkehrungen zu speichern und dürfen zum Zwecke der wissenschaftlichen Forschung, auch zur Überprüfung wissenschaftlicher Erkenntnisse, aufbewahrt werden.</w:t>
      </w:r>
    </w:p>
    <w:p w14:paraId="33AD179D" w14:textId="77777777" w:rsidR="00895CD7" w:rsidRPr="004676F5" w:rsidRDefault="00895CD7" w:rsidP="00895CD7">
      <w:pPr>
        <w:jc w:val="both"/>
        <w:rPr>
          <w:lang w:val="de-DE"/>
        </w:rPr>
      </w:pPr>
    </w:p>
    <w:p w14:paraId="126FADF1" w14:textId="77777777" w:rsidR="00895CD7" w:rsidRPr="004676F5" w:rsidRDefault="00895CD7" w:rsidP="00895CD7">
      <w:pPr>
        <w:jc w:val="both"/>
        <w:rPr>
          <w:lang w:val="de-DE"/>
        </w:rPr>
      </w:pPr>
      <w:r w:rsidRPr="004676F5">
        <w:rPr>
          <w:lang w:val="de-DE"/>
        </w:rPr>
        <w:tab/>
        <w:t>Der Urheber darf Maßnahmen durchführen, um die Sicherheit und Integrität der Netze und Datenbanken zu wahren, in denen die Werke gespeichert sind, sofern diese Maßnahmen über das für die Verwirklichung dieses Ziels Notwendige nicht hinausgehen,</w:t>
      </w:r>
    </w:p>
    <w:p w14:paraId="6170AA1A" w14:textId="77777777" w:rsidR="00895CD7" w:rsidRPr="004676F5" w:rsidRDefault="00895CD7" w:rsidP="00895CD7">
      <w:pPr>
        <w:jc w:val="both"/>
        <w:rPr>
          <w:lang w:val="de-DE"/>
        </w:rPr>
      </w:pPr>
    </w:p>
    <w:p w14:paraId="3A3A8016" w14:textId="77777777" w:rsidR="00895CD7" w:rsidRPr="004676F5" w:rsidRDefault="00895CD7" w:rsidP="00895CD7">
      <w:pPr>
        <w:jc w:val="both"/>
        <w:rPr>
          <w:lang w:val="de-DE"/>
        </w:rPr>
      </w:pPr>
      <w:r w:rsidRPr="004676F5">
        <w:rPr>
          <w:lang w:val="de-DE"/>
        </w:rPr>
        <w:tab/>
        <w:t>8. Vervielfältigung von Werken, mit Ausnahme von Notenblättern, oder öffentliche Wiedergabe von Werken im Rahmen ihrer digitalen Nutzung zur Veranschaulichung im Unterricht, soweit diese Nutzung durch den verfolgten nicht gewinnbringenden Zweck gerechtfertigt ist und insofern sie unter der Verantwortung einer Unterrichtsanstalt in ihren Räumlichkeiten oder an anderen Orten oder in einer gesicherten elektronischen Umgebung stattfindet, zu denen/der nur die Schüler oder Studenten und das Lehrpersonal der Unterrichtsanstalt Zugang haben.</w:t>
      </w:r>
    </w:p>
    <w:p w14:paraId="7150A142" w14:textId="77777777" w:rsidR="00895CD7" w:rsidRPr="004676F5" w:rsidRDefault="00895CD7" w:rsidP="00895CD7">
      <w:pPr>
        <w:jc w:val="both"/>
        <w:rPr>
          <w:lang w:val="de-DE"/>
        </w:rPr>
      </w:pPr>
    </w:p>
    <w:p w14:paraId="20AC4425" w14:textId="3D4755F1" w:rsidR="00895CD7" w:rsidRPr="004676F5" w:rsidRDefault="00895CD7" w:rsidP="00895CD7">
      <w:pPr>
        <w:jc w:val="both"/>
        <w:rPr>
          <w:lang w:val="de-DE"/>
        </w:rPr>
      </w:pPr>
      <w:r w:rsidRPr="004676F5">
        <w:rPr>
          <w:lang w:val="de-DE"/>
        </w:rPr>
        <w:tab/>
        <w:t>Die Nutzung von Werken über gesicherte elektronische Umgebungen zur Veranschaulichung im Unterricht wie in vorhergehendem Satz erwähnt gilt als allein in dem Mitgliedstaat erfolgt, in dem die Unterrichtsanstalt ihren Sitz hat.]</w:t>
      </w:r>
    </w:p>
    <w:p w14:paraId="0E7439FE" w14:textId="77777777" w:rsidR="00895CD7" w:rsidRPr="004676F5" w:rsidRDefault="00895CD7" w:rsidP="00F70CA4">
      <w:pPr>
        <w:jc w:val="both"/>
        <w:rPr>
          <w:lang w:val="de-DE"/>
        </w:rPr>
      </w:pPr>
    </w:p>
    <w:p w14:paraId="0FEF71AE" w14:textId="764B99F7" w:rsidR="00F70CA4" w:rsidRPr="004676F5" w:rsidRDefault="00F70CA4" w:rsidP="00F70CA4">
      <w:pPr>
        <w:jc w:val="both"/>
        <w:rPr>
          <w:lang w:val="de-DE"/>
        </w:rPr>
      </w:pPr>
      <w:r w:rsidRPr="004676F5">
        <w:rPr>
          <w:lang w:val="de-DE"/>
        </w:rPr>
        <w:tab/>
        <w:t>§ 2 </w:t>
      </w:r>
      <w:r w:rsidR="005B7A5C" w:rsidRPr="004676F5">
        <w:rPr>
          <w:lang w:val="de-DE"/>
        </w:rPr>
        <w:t>- </w:t>
      </w:r>
      <w:r w:rsidRPr="004676F5">
        <w:rPr>
          <w:lang w:val="de-DE"/>
        </w:rPr>
        <w:t xml:space="preserve">Für die in § 1 erwähnte Nutzung müssen </w:t>
      </w:r>
      <w:r w:rsidR="005B7A5C" w:rsidRPr="004676F5">
        <w:rPr>
          <w:lang w:val="de-DE"/>
        </w:rPr>
        <w:t>- </w:t>
      </w:r>
      <w:r w:rsidRPr="004676F5">
        <w:rPr>
          <w:lang w:val="de-DE"/>
        </w:rPr>
        <w:t>außer in Fällen, in denen sich dies als unmöglich erweist </w:t>
      </w:r>
      <w:r w:rsidR="005B7A5C" w:rsidRPr="004676F5">
        <w:rPr>
          <w:lang w:val="de-DE"/>
        </w:rPr>
        <w:t>- </w:t>
      </w:r>
      <w:r w:rsidRPr="004676F5">
        <w:rPr>
          <w:lang w:val="de-DE"/>
        </w:rPr>
        <w:t>Quelle und Name des Urhebers angegeben werden.]</w:t>
      </w:r>
    </w:p>
    <w:p w14:paraId="6FE8C7D8" w14:textId="77777777" w:rsidR="00F70CA4" w:rsidRPr="004676F5" w:rsidRDefault="00F70CA4" w:rsidP="00F70CA4">
      <w:pPr>
        <w:jc w:val="both"/>
        <w:rPr>
          <w:lang w:val="de-DE"/>
        </w:rPr>
      </w:pPr>
    </w:p>
    <w:p w14:paraId="5047AD0B" w14:textId="74CE199E" w:rsidR="00F70CA4" w:rsidRPr="004676F5" w:rsidRDefault="00F70CA4" w:rsidP="00F70CA4">
      <w:pPr>
        <w:jc w:val="both"/>
        <w:rPr>
          <w:lang w:val="de-DE"/>
        </w:rPr>
      </w:pPr>
      <w:r w:rsidRPr="004676F5">
        <w:rPr>
          <w:i/>
          <w:lang w:val="de-DE"/>
        </w:rPr>
        <w:t>[</w:t>
      </w:r>
      <w:r w:rsidR="00BE0A56" w:rsidRPr="004676F5">
        <w:rPr>
          <w:i/>
          <w:lang w:val="de-DE"/>
        </w:rPr>
        <w:t>Art. </w:t>
      </w:r>
      <w:r w:rsidRPr="004676F5">
        <w:rPr>
          <w:i/>
          <w:lang w:val="de-DE"/>
        </w:rPr>
        <w:t xml:space="preserve">XI.191/1 eingefügt durch </w:t>
      </w:r>
      <w:r w:rsidR="00BE0A56" w:rsidRPr="004676F5">
        <w:rPr>
          <w:i/>
          <w:lang w:val="de-DE"/>
        </w:rPr>
        <w:t>Art. </w:t>
      </w:r>
      <w:r w:rsidRPr="004676F5">
        <w:rPr>
          <w:i/>
          <w:lang w:val="de-DE"/>
        </w:rPr>
        <w:t>8 des G. vom 22. Dezember 2016 (B.S. vom 29. Dezember 2016)</w:t>
      </w:r>
      <w:r w:rsidR="00DD0D94" w:rsidRPr="004676F5">
        <w:rPr>
          <w:i/>
          <w:lang w:val="de-DE"/>
        </w:rPr>
        <w:t xml:space="preserve">; § 1 einziger Absatz einleitende Bestimmung </w:t>
      </w:r>
      <w:r w:rsidR="00895CD7" w:rsidRPr="004676F5">
        <w:rPr>
          <w:i/>
          <w:lang w:val="de-DE"/>
        </w:rPr>
        <w:t>ersetzt durch Art. 15 Nr. 1 des G. vom 19. Juni 2022 (B.S. vom 1. August 2022); § 1 einziger Absatz Nr. 3 abgeändert durch Art. 15 Nr. 2 des G. vom 19. Juni 2022 (B.S. vom 1. August 2022); § 1 einziger Absatz Nr. 4 abgeändert durch Art. 15 Nr. 3 des G. vom 19. Juni 2022 (B.S. vom 1. August 2022)</w:t>
      </w:r>
      <w:r w:rsidR="00C96B80" w:rsidRPr="004676F5">
        <w:rPr>
          <w:i/>
          <w:lang w:val="de-DE"/>
        </w:rPr>
        <w:t>; § 1 einziger Absatz Nr. 6 eingefügt durch Art. 2 des G. vom 2. Mai 2019 (III) (B.S. vom 21.</w:t>
      </w:r>
      <w:r w:rsidR="00895CD7" w:rsidRPr="004676F5">
        <w:rPr>
          <w:i/>
          <w:lang w:val="de-DE"/>
        </w:rPr>
        <w:t> </w:t>
      </w:r>
      <w:r w:rsidR="00C96B80" w:rsidRPr="004676F5">
        <w:rPr>
          <w:i/>
          <w:lang w:val="de-DE"/>
        </w:rPr>
        <w:t>Mai</w:t>
      </w:r>
      <w:r w:rsidR="00895CD7" w:rsidRPr="004676F5">
        <w:rPr>
          <w:i/>
          <w:lang w:val="de-DE"/>
        </w:rPr>
        <w:t> </w:t>
      </w:r>
      <w:r w:rsidR="00C96B80" w:rsidRPr="004676F5">
        <w:rPr>
          <w:i/>
          <w:lang w:val="de-DE"/>
        </w:rPr>
        <w:t>2019)</w:t>
      </w:r>
      <w:r w:rsidR="00895CD7" w:rsidRPr="004676F5">
        <w:rPr>
          <w:i/>
          <w:lang w:val="de-DE"/>
        </w:rPr>
        <w:t>; § 1 einziger Absatz Nr. 7 und 8 eingefügt durch Art. 15 Nr. 4 des G. vom 19. Juni 2022 (B.S. vom 1. August 2022)</w:t>
      </w:r>
      <w:r w:rsidRPr="004676F5">
        <w:rPr>
          <w:i/>
          <w:lang w:val="de-DE"/>
        </w:rPr>
        <w:t>]</w:t>
      </w:r>
    </w:p>
    <w:p w14:paraId="68C65756" w14:textId="77777777" w:rsidR="00F70CA4" w:rsidRPr="004676F5" w:rsidRDefault="00F70CA4" w:rsidP="00F70CA4">
      <w:pPr>
        <w:jc w:val="both"/>
        <w:rPr>
          <w:lang w:val="de-DE"/>
        </w:rPr>
      </w:pPr>
    </w:p>
    <w:p w14:paraId="1C115E01" w14:textId="77777777" w:rsidR="00F70CA4" w:rsidRPr="004676F5" w:rsidRDefault="00F70CA4" w:rsidP="00F70CA4">
      <w:pPr>
        <w:jc w:val="both"/>
        <w:rPr>
          <w:lang w:val="de-DE"/>
        </w:rPr>
      </w:pPr>
    </w:p>
    <w:p w14:paraId="61500515" w14:textId="00DDB85D" w:rsidR="00F70CA4" w:rsidRPr="004676F5" w:rsidRDefault="00F70CA4" w:rsidP="00F70CA4">
      <w:pPr>
        <w:jc w:val="both"/>
        <w:rPr>
          <w:lang w:val="de-DE"/>
        </w:rPr>
      </w:pPr>
      <w:r w:rsidRPr="004676F5">
        <w:rPr>
          <w:lang w:val="de-DE"/>
        </w:rPr>
        <w:tab/>
        <w:t>[</w:t>
      </w:r>
      <w:r w:rsidR="00BE0A56" w:rsidRPr="004676F5">
        <w:rPr>
          <w:b/>
          <w:lang w:val="de-DE"/>
        </w:rPr>
        <w:t>Art. </w:t>
      </w:r>
      <w:r w:rsidRPr="004676F5">
        <w:rPr>
          <w:b/>
          <w:lang w:val="de-DE"/>
        </w:rPr>
        <w:t>XI.191/2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Wenn eine Datenbank erlaubterweise bekannt gemacht worden ist, kann der Urheber sich in Abweichung von Artikel XI.191/1 nicht widersetzen gegen:</w:t>
      </w:r>
    </w:p>
    <w:p w14:paraId="55DFE3B9" w14:textId="77777777" w:rsidR="00F70CA4" w:rsidRPr="004676F5" w:rsidRDefault="00F70CA4" w:rsidP="00F70CA4">
      <w:pPr>
        <w:jc w:val="both"/>
        <w:rPr>
          <w:lang w:val="de-DE"/>
        </w:rPr>
      </w:pPr>
    </w:p>
    <w:p w14:paraId="09301C08" w14:textId="65FBFB0B" w:rsidR="00F70CA4" w:rsidRPr="004676F5" w:rsidRDefault="00F70CA4" w:rsidP="00F70CA4">
      <w:pPr>
        <w:jc w:val="both"/>
        <w:rPr>
          <w:lang w:val="de-DE"/>
        </w:rPr>
      </w:pPr>
      <w:r w:rsidRPr="004676F5">
        <w:rPr>
          <w:lang w:val="de-DE"/>
        </w:rPr>
        <w:tab/>
        <w:t xml:space="preserve">1. Vervielfältigung von Datenbanken für die Nutzung zur Veranschaulichung im Unterricht oder für Zwecke der wissenschaftlichen Forschung, soweit diese Nutzung durch den verfolgten nichtgewinnbringenden Zweck gerechtfertigt ist </w:t>
      </w:r>
      <w:r w:rsidR="00043291" w:rsidRPr="004676F5">
        <w:rPr>
          <w:lang w:val="de-DE"/>
        </w:rPr>
        <w:t>[...]</w:t>
      </w:r>
      <w:r w:rsidRPr="004676F5">
        <w:rPr>
          <w:lang w:val="de-DE"/>
        </w:rPr>
        <w:t>,</w:t>
      </w:r>
    </w:p>
    <w:p w14:paraId="15B020FF" w14:textId="77777777" w:rsidR="00F70CA4" w:rsidRPr="004676F5" w:rsidRDefault="00F70CA4" w:rsidP="00F70CA4">
      <w:pPr>
        <w:jc w:val="both"/>
        <w:rPr>
          <w:lang w:val="de-DE"/>
        </w:rPr>
      </w:pPr>
    </w:p>
    <w:p w14:paraId="20EE920F" w14:textId="224418F1" w:rsidR="00F70CA4" w:rsidRPr="004676F5" w:rsidRDefault="00F70CA4" w:rsidP="00F70CA4">
      <w:pPr>
        <w:jc w:val="both"/>
        <w:rPr>
          <w:lang w:val="de-DE"/>
        </w:rPr>
      </w:pPr>
      <w:r w:rsidRPr="004676F5">
        <w:rPr>
          <w:lang w:val="de-DE"/>
        </w:rPr>
        <w:tab/>
        <w:t xml:space="preserve">2. öffentliche Wiedergabe von Datenbanken für die Nutzung zur Veranschaulichung im Unterricht oder für Zwecke der wissenschaftlichen Forschung durch Einrichtungen, die zu </w:t>
      </w:r>
      <w:r w:rsidRPr="004676F5">
        <w:rPr>
          <w:lang w:val="de-DE"/>
        </w:rPr>
        <w:lastRenderedPageBreak/>
        <w:t xml:space="preserve">diesem Zweck von den Behörden amtlich anerkannt oder gegründet wurden, soweit dies durch den verfolgten nichtgewinnbringenden Zweck gerechtfertigt ist, </w:t>
      </w:r>
      <w:r w:rsidR="00AB7474" w:rsidRPr="004676F5">
        <w:rPr>
          <w:lang w:val="de-DE"/>
        </w:rPr>
        <w:t>[im Rahmen der normalen Tätigkeiten der betreffenden Einrichtung erfolgt und durch geeignete Maßnahmen gesichert ist]</w:t>
      </w:r>
      <w:r w:rsidRPr="004676F5">
        <w:rPr>
          <w:lang w:val="de-DE"/>
        </w:rPr>
        <w:t xml:space="preserve"> </w:t>
      </w:r>
      <w:r w:rsidR="00AB7474" w:rsidRPr="004676F5">
        <w:rPr>
          <w:lang w:val="de-DE"/>
        </w:rPr>
        <w:t>[...],</w:t>
      </w:r>
    </w:p>
    <w:p w14:paraId="5068FE6E" w14:textId="77777777" w:rsidR="00AB7474" w:rsidRPr="004676F5" w:rsidRDefault="00AB7474" w:rsidP="00F70CA4">
      <w:pPr>
        <w:jc w:val="both"/>
        <w:rPr>
          <w:lang w:val="de-DE"/>
        </w:rPr>
      </w:pPr>
    </w:p>
    <w:p w14:paraId="0DABCFE9" w14:textId="101CDCEB" w:rsidR="00AB7474" w:rsidRPr="004676F5" w:rsidRDefault="00AB7474" w:rsidP="00AB7474">
      <w:pPr>
        <w:jc w:val="both"/>
        <w:rPr>
          <w:lang w:val="de-DE"/>
        </w:rPr>
      </w:pPr>
      <w:r w:rsidRPr="004676F5">
        <w:rPr>
          <w:lang w:val="de-DE"/>
        </w:rPr>
        <w:tab/>
        <w:t>[3. von Forschungsorganisationen, von öffentlich zugänglichen Bibliotheken oder Museen, von Archiven oder von Einrichtungen, die im Bereich des Film</w:t>
      </w:r>
      <w:r w:rsidR="005B7A5C" w:rsidRPr="004676F5">
        <w:rPr>
          <w:lang w:val="de-DE"/>
        </w:rPr>
        <w:t>- </w:t>
      </w:r>
      <w:r w:rsidRPr="004676F5">
        <w:rPr>
          <w:lang w:val="de-DE"/>
        </w:rPr>
        <w:t>oder Tonerbes tätig sind, vorgenommene Vervielfältigungen von Datenbanken, zu denen sie rechtmäßig Zugang haben, zum Zwecke der wissenschaftlichen Forschung für Text und Data Mining.</w:t>
      </w:r>
    </w:p>
    <w:p w14:paraId="1353E654" w14:textId="77777777" w:rsidR="00AB7474" w:rsidRPr="004676F5" w:rsidRDefault="00AB7474" w:rsidP="00AB7474">
      <w:pPr>
        <w:jc w:val="both"/>
        <w:rPr>
          <w:lang w:val="de-DE"/>
        </w:rPr>
      </w:pPr>
    </w:p>
    <w:p w14:paraId="14B7DF56" w14:textId="77777777" w:rsidR="00AB7474" w:rsidRPr="004676F5" w:rsidRDefault="00AB7474" w:rsidP="00AB7474">
      <w:pPr>
        <w:jc w:val="both"/>
        <w:rPr>
          <w:lang w:val="de-DE"/>
        </w:rPr>
      </w:pPr>
      <w:r w:rsidRPr="004676F5">
        <w:rPr>
          <w:lang w:val="de-DE"/>
        </w:rPr>
        <w:tab/>
        <w:t>Diese Vervielfältigungen von Datenbanken sind mit angemessenen Sicherheits</w:t>
      </w:r>
      <w:r w:rsidRPr="004676F5">
        <w:rPr>
          <w:lang w:val="de-DE"/>
        </w:rPr>
        <w:softHyphen/>
        <w:t>vorkehrungen zu speichern und dürfen zum Zwecke der wissenschaftlichen Forschung, auch zur Überprüfung wissenschaftlicher Erkenntnisse, aufbewahrt werden.</w:t>
      </w:r>
    </w:p>
    <w:p w14:paraId="6CFFB045" w14:textId="77777777" w:rsidR="00AB7474" w:rsidRPr="004676F5" w:rsidRDefault="00AB7474" w:rsidP="00AB7474">
      <w:pPr>
        <w:jc w:val="both"/>
        <w:rPr>
          <w:lang w:val="de-DE"/>
        </w:rPr>
      </w:pPr>
    </w:p>
    <w:p w14:paraId="281A3297" w14:textId="77777777" w:rsidR="00AB7474" w:rsidRPr="004676F5" w:rsidRDefault="00AB7474" w:rsidP="00AB7474">
      <w:pPr>
        <w:jc w:val="both"/>
        <w:rPr>
          <w:lang w:val="de-DE"/>
        </w:rPr>
      </w:pPr>
      <w:r w:rsidRPr="004676F5">
        <w:rPr>
          <w:lang w:val="de-DE"/>
        </w:rPr>
        <w:tab/>
        <w:t>Der Urheber darf Maßnahmen durchführen, um die Sicherheit und Integrität der Netze und Datenbanken zu wahren, in denen die Datenbanken gespeichert sind, sofern diese Maßnahmen über das für die Verwirklichung dieses Ziels Notwendige nicht hinausgehen,</w:t>
      </w:r>
    </w:p>
    <w:p w14:paraId="10139783" w14:textId="77777777" w:rsidR="00AB7474" w:rsidRPr="004676F5" w:rsidRDefault="00AB7474" w:rsidP="00AB7474">
      <w:pPr>
        <w:jc w:val="both"/>
        <w:rPr>
          <w:lang w:val="de-DE"/>
        </w:rPr>
      </w:pPr>
    </w:p>
    <w:p w14:paraId="5AA82919" w14:textId="77777777" w:rsidR="00AB7474" w:rsidRPr="004676F5" w:rsidRDefault="00AB7474" w:rsidP="00AB7474">
      <w:pPr>
        <w:jc w:val="both"/>
        <w:rPr>
          <w:lang w:val="de-DE"/>
        </w:rPr>
      </w:pPr>
      <w:r w:rsidRPr="004676F5">
        <w:rPr>
          <w:lang w:val="de-DE"/>
        </w:rPr>
        <w:tab/>
        <w:t>4. Vervielfältigung oder öffentliche Wiedergabe von Datenbanken im Rahmen ihrer digitalen Nutzung zur Veranschaulichung im Unterricht, soweit diese Nutzung durch den verfolgten nicht gewinnbringenden Zweck gerechtfertigt ist und insofern sie unter der Verantwortung einer Unterrichtsanstalt in ihren Räumlichkeiten oder an anderen Orten oder in einer gesicherten elektronischen Umgebung stattfindet, zu denen/der nur die Schüler oder Studenten und das Lehrpersonal der Unterrichtsanstalt Zugang haben.</w:t>
      </w:r>
    </w:p>
    <w:p w14:paraId="003D79E1" w14:textId="77777777" w:rsidR="00AB7474" w:rsidRPr="004676F5" w:rsidRDefault="00AB7474" w:rsidP="00AB7474">
      <w:pPr>
        <w:jc w:val="both"/>
        <w:rPr>
          <w:lang w:val="de-DE"/>
        </w:rPr>
      </w:pPr>
    </w:p>
    <w:p w14:paraId="08C6D233" w14:textId="51795F64" w:rsidR="00AB7474" w:rsidRPr="004676F5" w:rsidRDefault="00AB7474" w:rsidP="00AB7474">
      <w:pPr>
        <w:jc w:val="both"/>
        <w:rPr>
          <w:lang w:val="de-DE"/>
        </w:rPr>
      </w:pPr>
      <w:r w:rsidRPr="004676F5">
        <w:rPr>
          <w:lang w:val="de-DE"/>
        </w:rPr>
        <w:tab/>
        <w:t>Die Nutzung von Datenbanken über gesicherte elektronische Umgebungen zur Veranschaulichung im Unterricht wie in vorhergehendem Satz erwähnt gilt als allein in dem Mitgliedstaat erfolgt, in dem die Unterrichtsanstalt ihren Sitz hat.]</w:t>
      </w:r>
    </w:p>
    <w:p w14:paraId="2A57C846" w14:textId="77777777" w:rsidR="00DD0D94" w:rsidRPr="004676F5" w:rsidRDefault="00DD0D94" w:rsidP="00F70CA4">
      <w:pPr>
        <w:jc w:val="both"/>
        <w:rPr>
          <w:lang w:val="de-DE"/>
        </w:rPr>
      </w:pPr>
    </w:p>
    <w:p w14:paraId="12E13F0F" w14:textId="797C9434" w:rsidR="00F70CA4" w:rsidRPr="004676F5" w:rsidRDefault="00F70CA4" w:rsidP="00F70CA4">
      <w:pPr>
        <w:jc w:val="both"/>
        <w:rPr>
          <w:lang w:val="de-DE"/>
        </w:rPr>
      </w:pPr>
      <w:r w:rsidRPr="004676F5">
        <w:rPr>
          <w:lang w:val="de-DE"/>
        </w:rPr>
        <w:tab/>
        <w:t>§ 2 </w:t>
      </w:r>
      <w:r w:rsidR="005B7A5C" w:rsidRPr="004676F5">
        <w:rPr>
          <w:lang w:val="de-DE"/>
        </w:rPr>
        <w:t>- </w:t>
      </w:r>
      <w:r w:rsidRPr="004676F5">
        <w:rPr>
          <w:lang w:val="de-DE"/>
        </w:rPr>
        <w:t xml:space="preserve">Für die in § 1 erwähnte Nutzung müssen </w:t>
      </w:r>
      <w:r w:rsidR="005B7A5C" w:rsidRPr="004676F5">
        <w:rPr>
          <w:lang w:val="de-DE"/>
        </w:rPr>
        <w:t>- </w:t>
      </w:r>
      <w:r w:rsidRPr="004676F5">
        <w:rPr>
          <w:lang w:val="de-DE"/>
        </w:rPr>
        <w:t>außer in Fällen, in denen sich dies als unmöglich erweist </w:t>
      </w:r>
      <w:r w:rsidR="005B7A5C" w:rsidRPr="004676F5">
        <w:rPr>
          <w:lang w:val="de-DE"/>
        </w:rPr>
        <w:t>- </w:t>
      </w:r>
      <w:r w:rsidRPr="004676F5">
        <w:rPr>
          <w:lang w:val="de-DE"/>
        </w:rPr>
        <w:t>Quelle und Name des Urhebers angegeben werden.</w:t>
      </w:r>
    </w:p>
    <w:p w14:paraId="663CCBBC" w14:textId="77777777" w:rsidR="00F70CA4" w:rsidRPr="004676F5" w:rsidRDefault="00F70CA4" w:rsidP="00F70CA4">
      <w:pPr>
        <w:jc w:val="both"/>
        <w:rPr>
          <w:lang w:val="de-DE"/>
        </w:rPr>
      </w:pPr>
    </w:p>
    <w:p w14:paraId="4560C85C" w14:textId="4DBDB585" w:rsidR="00F70CA4" w:rsidRPr="004676F5" w:rsidRDefault="00F70CA4" w:rsidP="00F70CA4">
      <w:pPr>
        <w:jc w:val="both"/>
        <w:rPr>
          <w:lang w:val="de-DE"/>
        </w:rPr>
      </w:pPr>
      <w:r w:rsidRPr="004676F5">
        <w:rPr>
          <w:lang w:val="de-DE"/>
        </w:rPr>
        <w:tab/>
        <w:t>§ 3 </w:t>
      </w:r>
      <w:r w:rsidR="005B7A5C" w:rsidRPr="004676F5">
        <w:rPr>
          <w:lang w:val="de-DE"/>
        </w:rPr>
        <w:t>- </w:t>
      </w:r>
      <w:r w:rsidR="00C96B80" w:rsidRPr="004676F5">
        <w:rPr>
          <w:lang w:val="de-DE"/>
        </w:rPr>
        <w:t>[Artikel XI.191/1 § 1 Nr. 1, 2 und 6 ist entsprechend anwendbar auf Datenbanken.]</w:t>
      </w:r>
      <w:r w:rsidRPr="004676F5">
        <w:rPr>
          <w:lang w:val="de-DE"/>
        </w:rPr>
        <w:t>]</w:t>
      </w:r>
    </w:p>
    <w:p w14:paraId="2CF33BD4" w14:textId="77777777" w:rsidR="00F70CA4" w:rsidRPr="004676F5" w:rsidRDefault="00F70CA4" w:rsidP="00F70CA4">
      <w:pPr>
        <w:jc w:val="both"/>
        <w:rPr>
          <w:lang w:val="de-DE"/>
        </w:rPr>
      </w:pPr>
    </w:p>
    <w:p w14:paraId="0A4AF5A8" w14:textId="5B48CAE3" w:rsidR="00F70CA4" w:rsidRPr="004676F5" w:rsidRDefault="00F70CA4" w:rsidP="00F70CA4">
      <w:pPr>
        <w:jc w:val="both"/>
        <w:rPr>
          <w:lang w:val="de-DE"/>
        </w:rPr>
      </w:pPr>
      <w:r w:rsidRPr="004676F5">
        <w:rPr>
          <w:i/>
          <w:lang w:val="de-DE"/>
        </w:rPr>
        <w:t>[</w:t>
      </w:r>
      <w:r w:rsidR="00BE0A56" w:rsidRPr="004676F5">
        <w:rPr>
          <w:i/>
          <w:lang w:val="de-DE"/>
        </w:rPr>
        <w:t>Art. </w:t>
      </w:r>
      <w:r w:rsidRPr="004676F5">
        <w:rPr>
          <w:i/>
          <w:lang w:val="de-DE"/>
        </w:rPr>
        <w:t xml:space="preserve">XI.191/2 eingefügt durch </w:t>
      </w:r>
      <w:r w:rsidR="00BE0A56" w:rsidRPr="004676F5">
        <w:rPr>
          <w:i/>
          <w:lang w:val="de-DE"/>
        </w:rPr>
        <w:t>Art. </w:t>
      </w:r>
      <w:r w:rsidRPr="004676F5">
        <w:rPr>
          <w:i/>
          <w:lang w:val="de-DE"/>
        </w:rPr>
        <w:t>9 des G. vom 22. Dezember 2016 (B.S. vom 29. Dezember 2016)</w:t>
      </w:r>
      <w:r w:rsidR="00C96B80" w:rsidRPr="004676F5">
        <w:rPr>
          <w:i/>
          <w:lang w:val="de-DE"/>
        </w:rPr>
        <w:t>;</w:t>
      </w:r>
      <w:r w:rsidR="00AB7474" w:rsidRPr="004676F5">
        <w:rPr>
          <w:i/>
          <w:lang w:val="de-DE"/>
        </w:rPr>
        <w:t xml:space="preserve"> § 1 einziger Absatz Nr. 1 abgeändert durch Art. 16 Nr. 1 des G. vom 19. Juni 2022 (B.S. vom 1. August 2022); § 1 einziger Absatz Nr. 2 abgeändert durch Art. 16 Nr. 2 des G. vom 19. Juni 2022 (B.S. vom 1. August 2022); § 1 einziger Absatz Nr. 3 und 4 eingefügt durch Art. 16 Nr. 3 des G. vom 19. Juni 2022 (B.S. vom 1. August 2022);</w:t>
      </w:r>
      <w:r w:rsidR="00C96B80" w:rsidRPr="004676F5">
        <w:rPr>
          <w:i/>
          <w:lang w:val="de-DE"/>
        </w:rPr>
        <w:t xml:space="preserve"> § 3 ersetzt durch Art. 3 des G. vom 2. Mai 2019 (III) (B.S. vom 21. Mai 2019)</w:t>
      </w:r>
      <w:r w:rsidRPr="004676F5">
        <w:rPr>
          <w:i/>
          <w:lang w:val="de-DE"/>
        </w:rPr>
        <w:t>]</w:t>
      </w:r>
    </w:p>
    <w:p w14:paraId="78BEE600" w14:textId="77777777" w:rsidR="00F70CA4" w:rsidRPr="004676F5" w:rsidRDefault="00F70CA4" w:rsidP="00F70CA4">
      <w:pPr>
        <w:jc w:val="both"/>
        <w:rPr>
          <w:lang w:val="de-DE"/>
        </w:rPr>
      </w:pPr>
    </w:p>
    <w:p w14:paraId="4E8A8223" w14:textId="77777777" w:rsidR="00F70CA4" w:rsidRPr="004676F5" w:rsidRDefault="00F70CA4" w:rsidP="00F70CA4">
      <w:pPr>
        <w:jc w:val="both"/>
        <w:rPr>
          <w:lang w:val="de-DE"/>
        </w:rPr>
      </w:pPr>
    </w:p>
    <w:p w14:paraId="32AF6789" w14:textId="781CEB3E" w:rsidR="00F70CA4" w:rsidRPr="004676F5" w:rsidRDefault="00F70CA4" w:rsidP="00F70CA4">
      <w:pPr>
        <w:jc w:val="center"/>
        <w:rPr>
          <w:lang w:val="de-DE"/>
        </w:rPr>
      </w:pPr>
      <w:r w:rsidRPr="004676F5">
        <w:rPr>
          <w:lang w:val="de-DE"/>
        </w:rPr>
        <w:t>[Unterabschnitt 3 </w:t>
      </w:r>
      <w:r w:rsidR="005B7A5C" w:rsidRPr="004676F5">
        <w:rPr>
          <w:lang w:val="de-DE"/>
        </w:rPr>
        <w:t>- </w:t>
      </w:r>
      <w:r w:rsidRPr="004676F5">
        <w:rPr>
          <w:lang w:val="de-DE"/>
        </w:rPr>
        <w:t>Verleih von Werken]</w:t>
      </w:r>
    </w:p>
    <w:p w14:paraId="0E23BF0D" w14:textId="77777777" w:rsidR="00F70CA4" w:rsidRPr="004676F5" w:rsidRDefault="00F70CA4" w:rsidP="00F70CA4">
      <w:pPr>
        <w:jc w:val="center"/>
        <w:rPr>
          <w:lang w:val="de-DE"/>
        </w:rPr>
      </w:pPr>
    </w:p>
    <w:p w14:paraId="0C6505C1" w14:textId="568C8C89" w:rsidR="00F70CA4" w:rsidRPr="004676F5" w:rsidRDefault="00F70CA4" w:rsidP="00F70CA4">
      <w:pPr>
        <w:jc w:val="both"/>
        <w:rPr>
          <w:i/>
          <w:lang w:val="de-DE"/>
        </w:rPr>
      </w:pPr>
      <w:r w:rsidRPr="004676F5">
        <w:rPr>
          <w:i/>
          <w:lang w:val="de-DE"/>
        </w:rPr>
        <w:t xml:space="preserve">[Unterteilung Unterabschnitt 3 eingefügt durch </w:t>
      </w:r>
      <w:r w:rsidR="00BE0A56" w:rsidRPr="004676F5">
        <w:rPr>
          <w:i/>
          <w:lang w:val="de-DE"/>
        </w:rPr>
        <w:t>Art. </w:t>
      </w:r>
      <w:r w:rsidRPr="004676F5">
        <w:rPr>
          <w:i/>
          <w:lang w:val="de-DE"/>
        </w:rPr>
        <w:t>10 des G. vom 22. Dezember 2016 (B.S. vom 29. Dezember 2016)]</w:t>
      </w:r>
    </w:p>
    <w:p w14:paraId="1A9A8127" w14:textId="77777777" w:rsidR="00F70CA4" w:rsidRPr="004676F5" w:rsidRDefault="00F70CA4" w:rsidP="00F70CA4">
      <w:pPr>
        <w:jc w:val="center"/>
        <w:rPr>
          <w:lang w:val="de-DE"/>
        </w:rPr>
      </w:pPr>
    </w:p>
    <w:p w14:paraId="345965F3" w14:textId="77777777" w:rsidR="00F70CA4" w:rsidRPr="004676F5" w:rsidRDefault="00F70CA4" w:rsidP="00F70CA4">
      <w:pPr>
        <w:jc w:val="both"/>
        <w:rPr>
          <w:lang w:val="de-DE"/>
        </w:rPr>
      </w:pPr>
    </w:p>
    <w:p w14:paraId="64A8D844" w14:textId="77F2D527" w:rsidR="001527B1" w:rsidRPr="004676F5" w:rsidRDefault="00BE0A56" w:rsidP="001527B1">
      <w:pPr>
        <w:ind w:firstLine="708"/>
        <w:jc w:val="both"/>
        <w:rPr>
          <w:lang w:val="de-DE"/>
        </w:rPr>
      </w:pPr>
      <w:r w:rsidRPr="004676F5">
        <w:rPr>
          <w:b/>
          <w:lang w:val="de-DE"/>
        </w:rPr>
        <w:t>Art. </w:t>
      </w:r>
      <w:r w:rsidR="001527B1" w:rsidRPr="004676F5">
        <w:rPr>
          <w:b/>
          <w:lang w:val="de-DE"/>
        </w:rPr>
        <w:t>XI.192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Urheber können den Verleih von Werken der Literatur, Daten</w:t>
      </w:r>
      <w:r w:rsidR="001527B1" w:rsidRPr="004676F5">
        <w:rPr>
          <w:lang w:val="de-DE"/>
        </w:rPr>
        <w:softHyphen/>
        <w:t>banken, photographischen Werken, Partituren von Musikwerken, akustischen und audiovi</w:t>
      </w:r>
      <w:r w:rsidR="001527B1" w:rsidRPr="004676F5">
        <w:rPr>
          <w:lang w:val="de-DE"/>
        </w:rPr>
        <w:softHyphen/>
        <w:t xml:space="preserve">suellen Werken nicht verbieten, wenn dieser Verleih zu erzieherischen beziehungsweise </w:t>
      </w:r>
      <w:r w:rsidR="001527B1" w:rsidRPr="004676F5">
        <w:rPr>
          <w:lang w:val="de-DE"/>
        </w:rPr>
        <w:lastRenderedPageBreak/>
        <w:t>kulturellen Zwecken von Einrichtungen, die zu diesem Zweck von den Behörden amtlich anerkannt oder gegründet wurden, organisiert wird.</w:t>
      </w:r>
    </w:p>
    <w:p w14:paraId="61DCF0D3" w14:textId="77777777" w:rsidR="00DD0D94" w:rsidRPr="004676F5" w:rsidRDefault="00DD0D94" w:rsidP="001527B1">
      <w:pPr>
        <w:ind w:firstLine="708"/>
        <w:jc w:val="both"/>
        <w:rPr>
          <w:lang w:val="de-DE"/>
        </w:rPr>
      </w:pPr>
    </w:p>
    <w:p w14:paraId="19BF646E" w14:textId="62378B8C" w:rsidR="00DD0D94" w:rsidRPr="004676F5" w:rsidRDefault="00DD0D94" w:rsidP="001527B1">
      <w:pPr>
        <w:ind w:firstLine="708"/>
        <w:jc w:val="both"/>
        <w:rPr>
          <w:lang w:val="de-DE"/>
        </w:rPr>
      </w:pPr>
      <w:r w:rsidRPr="004676F5">
        <w:rPr>
          <w:lang w:val="de-DE"/>
        </w:rPr>
        <w:t xml:space="preserve">[Urheber können den Verleih eines Vervielfältigungsstücks in einem barrierefreien Format durch eine befugte Stelle mit Sitz in Belgien zugunsten einer begünstigten Person oder einer anderen befugten Stelle mit Sitz in einem beliebigen Mitgliedstaat der Europäischen Union nicht verbieten, wenn dieser Verleih </w:t>
      </w:r>
      <w:r w:rsidR="00AB7474" w:rsidRPr="004676F5">
        <w:rPr>
          <w:lang w:val="de-DE"/>
        </w:rPr>
        <w:t>[in gemeinnütziger Weise und zur ausschließlichen Nutzung]</w:t>
      </w:r>
      <w:r w:rsidRPr="004676F5">
        <w:rPr>
          <w:lang w:val="de-DE"/>
        </w:rPr>
        <w:t xml:space="preserve"> durch eine begünstigte Person organisiert wird</w:t>
      </w:r>
      <w:r w:rsidR="00AB7474" w:rsidRPr="004676F5">
        <w:rPr>
          <w:lang w:val="de-DE"/>
        </w:rPr>
        <w:t xml:space="preserve"> [...]</w:t>
      </w:r>
      <w:r w:rsidRPr="004676F5">
        <w:rPr>
          <w:lang w:val="de-DE"/>
        </w:rPr>
        <w:t>.]</w:t>
      </w:r>
    </w:p>
    <w:p w14:paraId="3C7DA35C" w14:textId="77777777" w:rsidR="001527B1" w:rsidRPr="004676F5" w:rsidRDefault="001527B1" w:rsidP="001527B1">
      <w:pPr>
        <w:ind w:firstLine="708"/>
        <w:jc w:val="both"/>
        <w:rPr>
          <w:lang w:val="de-DE"/>
        </w:rPr>
      </w:pPr>
    </w:p>
    <w:p w14:paraId="3AF0E786" w14:textId="1CA5E69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Akustische und audiovisuelle Werke können erst zwei Monate nach der ersten öffentlichen Verbreitung des Werkes verliehen werden.</w:t>
      </w:r>
    </w:p>
    <w:p w14:paraId="46EED71F" w14:textId="77777777" w:rsidR="001527B1" w:rsidRPr="004676F5" w:rsidRDefault="001527B1" w:rsidP="001527B1">
      <w:pPr>
        <w:ind w:firstLine="708"/>
        <w:jc w:val="both"/>
        <w:rPr>
          <w:lang w:val="de-DE"/>
        </w:rPr>
      </w:pPr>
    </w:p>
    <w:p w14:paraId="53BF9920" w14:textId="77777777" w:rsidR="001527B1" w:rsidRPr="004676F5" w:rsidRDefault="001527B1" w:rsidP="001527B1">
      <w:pPr>
        <w:ind w:firstLine="708"/>
        <w:jc w:val="both"/>
        <w:rPr>
          <w:lang w:val="de-DE"/>
        </w:rPr>
      </w:pPr>
      <w:r w:rsidRPr="004676F5">
        <w:rPr>
          <w:lang w:val="de-DE"/>
        </w:rPr>
        <w:t>Nach Konsultierung der Verwertungseinrichtungen und -gesellschaften kann der König für alle oder bestimmte Tonträger und Erstaufzeichnungen von Filmen die in vorhergehendem Absatz vorgesehene Frist verlängern oder verkürzen.</w:t>
      </w:r>
    </w:p>
    <w:p w14:paraId="78624ACC" w14:textId="77777777" w:rsidR="001527B1" w:rsidRPr="004676F5" w:rsidRDefault="001527B1" w:rsidP="001527B1">
      <w:pPr>
        <w:ind w:firstLine="708"/>
        <w:jc w:val="both"/>
        <w:rPr>
          <w:lang w:val="de-DE"/>
        </w:rPr>
      </w:pPr>
    </w:p>
    <w:p w14:paraId="6DDC5CB5" w14:textId="2BEE912B"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In § 1 erwähnte Einrichtungen, die vom König bestimmt werden, dürfen Werke der Literatur, Datenbanken, photographische Werke, akustische und audiovisuelle Werke und Partituren von Musikwerken einführen, die zuerst außerhalb der Europäischen Union rechtmäßig verkauft worden sind und die auf dem Gebiet der Europäischen Union nicht öffentlich verteilt werden, wenn diese Einfuhr für den öffentlichen Verleih zu erzieherischen beziehungsweise kulturellen Zwecken erfolgt und nicht mehr als fünf Exemplare oder Partituren des Werkes eingeführt werden.</w:t>
      </w:r>
    </w:p>
    <w:p w14:paraId="0815254F" w14:textId="77777777" w:rsidR="00DD0D94" w:rsidRPr="004676F5" w:rsidRDefault="00DD0D94" w:rsidP="001527B1">
      <w:pPr>
        <w:ind w:firstLine="708"/>
        <w:jc w:val="both"/>
        <w:rPr>
          <w:lang w:val="de-DE"/>
        </w:rPr>
      </w:pPr>
    </w:p>
    <w:p w14:paraId="2528B8C2" w14:textId="128A109B" w:rsidR="00DD0D94" w:rsidRPr="004676F5" w:rsidRDefault="00DD0D94" w:rsidP="00DD0D94">
      <w:pPr>
        <w:jc w:val="both"/>
        <w:rPr>
          <w:i/>
          <w:iCs/>
          <w:lang w:val="de-DE"/>
        </w:rPr>
      </w:pPr>
      <w:r w:rsidRPr="004676F5">
        <w:rPr>
          <w:i/>
          <w:iCs/>
          <w:lang w:val="de-DE"/>
        </w:rPr>
        <w:t xml:space="preserve">[Art. XI.192 </w:t>
      </w:r>
      <w:r w:rsidRPr="004676F5">
        <w:rPr>
          <w:i/>
          <w:lang w:val="de-DE"/>
        </w:rPr>
        <w:t>§ 1 Abs. 2 eingefügt durch Art. 6 des G. vom 25. November 2018 (II) (B.S. vom 12. Dezember 2018)</w:t>
      </w:r>
      <w:r w:rsidR="00AB7474" w:rsidRPr="004676F5">
        <w:rPr>
          <w:i/>
          <w:lang w:val="de-DE"/>
        </w:rPr>
        <w:t xml:space="preserve"> und abgeändert durch Art. 17 des G. vom 19. Juni 2022 (B.S. vom 1. August 2022)</w:t>
      </w:r>
      <w:r w:rsidRPr="004676F5">
        <w:rPr>
          <w:i/>
          <w:lang w:val="de-DE"/>
        </w:rPr>
        <w:t>]</w:t>
      </w:r>
    </w:p>
    <w:p w14:paraId="39DD7B79" w14:textId="77777777" w:rsidR="001527B1" w:rsidRPr="004676F5" w:rsidRDefault="001527B1" w:rsidP="001527B1">
      <w:pPr>
        <w:ind w:firstLine="708"/>
        <w:jc w:val="both"/>
        <w:rPr>
          <w:lang w:val="de-DE"/>
        </w:rPr>
      </w:pPr>
    </w:p>
    <w:p w14:paraId="00D6A435" w14:textId="77777777" w:rsidR="00200116" w:rsidRPr="004676F5" w:rsidRDefault="00200116" w:rsidP="001527B1">
      <w:pPr>
        <w:ind w:firstLine="708"/>
        <w:jc w:val="both"/>
        <w:rPr>
          <w:lang w:val="de-DE"/>
        </w:rPr>
      </w:pPr>
    </w:p>
    <w:p w14:paraId="45663129" w14:textId="1C51FC09" w:rsidR="00F70CA4" w:rsidRPr="004676F5" w:rsidRDefault="00F70CA4" w:rsidP="00F70CA4">
      <w:pPr>
        <w:jc w:val="center"/>
        <w:rPr>
          <w:lang w:val="de-DE"/>
        </w:rPr>
      </w:pPr>
      <w:r w:rsidRPr="004676F5">
        <w:rPr>
          <w:lang w:val="de-DE"/>
        </w:rPr>
        <w:t>[Unterabschnitt 4 </w:t>
      </w:r>
      <w:r w:rsidR="005B7A5C" w:rsidRPr="004676F5">
        <w:rPr>
          <w:lang w:val="de-DE"/>
        </w:rPr>
        <w:t>- </w:t>
      </w:r>
      <w:r w:rsidRPr="004676F5">
        <w:rPr>
          <w:lang w:val="de-DE"/>
        </w:rPr>
        <w:t>Verwaiste Werke]</w:t>
      </w:r>
    </w:p>
    <w:p w14:paraId="7C78DCAA" w14:textId="77777777" w:rsidR="00F70CA4" w:rsidRPr="004676F5" w:rsidRDefault="00F70CA4" w:rsidP="00F70CA4">
      <w:pPr>
        <w:jc w:val="center"/>
        <w:rPr>
          <w:lang w:val="de-DE"/>
        </w:rPr>
      </w:pPr>
    </w:p>
    <w:p w14:paraId="43B66B35" w14:textId="52AF74FE" w:rsidR="00F70CA4" w:rsidRPr="004676F5" w:rsidRDefault="00F70CA4" w:rsidP="00F70CA4">
      <w:pPr>
        <w:jc w:val="both"/>
        <w:rPr>
          <w:i/>
          <w:lang w:val="de-DE"/>
        </w:rPr>
      </w:pPr>
      <w:r w:rsidRPr="004676F5">
        <w:rPr>
          <w:i/>
          <w:lang w:val="de-DE"/>
        </w:rPr>
        <w:t xml:space="preserve">[Unterteilung Unterabschnitt 4 eingefügt durch </w:t>
      </w:r>
      <w:r w:rsidR="00BE0A56" w:rsidRPr="004676F5">
        <w:rPr>
          <w:i/>
          <w:lang w:val="de-DE"/>
        </w:rPr>
        <w:t>Art. </w:t>
      </w:r>
      <w:r w:rsidRPr="004676F5">
        <w:rPr>
          <w:i/>
          <w:lang w:val="de-DE"/>
        </w:rPr>
        <w:t>11 des G. vom 22. Dezember 2016 (B.S. vom 29. Dezember 2016)]</w:t>
      </w:r>
    </w:p>
    <w:p w14:paraId="483B9710" w14:textId="77777777" w:rsidR="00F70CA4" w:rsidRPr="004676F5" w:rsidRDefault="00F70CA4" w:rsidP="00F70CA4">
      <w:pPr>
        <w:jc w:val="center"/>
        <w:rPr>
          <w:lang w:val="de-DE"/>
        </w:rPr>
      </w:pPr>
    </w:p>
    <w:p w14:paraId="311F0D3E" w14:textId="77777777" w:rsidR="00F70CA4" w:rsidRPr="004676F5" w:rsidRDefault="00F70CA4" w:rsidP="00F70CA4">
      <w:pPr>
        <w:jc w:val="center"/>
        <w:rPr>
          <w:lang w:val="de-DE"/>
        </w:rPr>
      </w:pPr>
    </w:p>
    <w:p w14:paraId="0F4BC17E" w14:textId="2F76E3FA" w:rsidR="00200116" w:rsidRPr="004676F5" w:rsidRDefault="00200116" w:rsidP="00200116">
      <w:pPr>
        <w:jc w:val="both"/>
        <w:rPr>
          <w:lang w:val="de-DE"/>
        </w:rPr>
      </w:pPr>
      <w:r w:rsidRPr="004676F5">
        <w:rPr>
          <w:lang w:val="de-DE"/>
        </w:rPr>
        <w:tab/>
        <w:t>[</w:t>
      </w:r>
      <w:r w:rsidR="00BE0A56" w:rsidRPr="004676F5">
        <w:rPr>
          <w:b/>
          <w:lang w:val="de-DE"/>
        </w:rPr>
        <w:t>Art. </w:t>
      </w:r>
      <w:r w:rsidRPr="004676F5">
        <w:rPr>
          <w:b/>
          <w:lang w:val="de-DE"/>
        </w:rPr>
        <w:t>XI.192/1</w:t>
      </w:r>
      <w:r w:rsidRPr="004676F5">
        <w:rPr>
          <w:lang w:val="de-DE"/>
        </w:rPr>
        <w:t> </w:t>
      </w:r>
      <w:r w:rsidR="005B7A5C" w:rsidRPr="004676F5">
        <w:rPr>
          <w:lang w:val="de-DE"/>
        </w:rPr>
        <w:t>- </w:t>
      </w:r>
      <w:r w:rsidRPr="004676F5">
        <w:rPr>
          <w:lang w:val="de-DE"/>
        </w:rPr>
        <w:t>Es ist öffentlich zugänglichen Bibliotheken, Bildungseinrichtungen und Museen sowie Archiven, im Bereich des Film</w:t>
      </w:r>
      <w:r w:rsidR="005B7A5C" w:rsidRPr="004676F5">
        <w:rPr>
          <w:lang w:val="de-DE"/>
        </w:rPr>
        <w:t>- </w:t>
      </w:r>
      <w:r w:rsidRPr="004676F5">
        <w:rPr>
          <w:lang w:val="de-DE"/>
        </w:rPr>
        <w:t>oder Tonerbes tätigen Einrichtungen und öffentlich-rechtlichen Rundfunkanstalten, die in den Mitgliedstaaten der Europäischen Union und des Europäischen Wirtschaftsraums ihren Sitz haben, gestattet, in ihren Sammlungen enthaltene verwaiste Werke auf folgende Weise und unter den in Artikel XI.245/5 vorgese</w:t>
      </w:r>
      <w:r w:rsidRPr="004676F5">
        <w:rPr>
          <w:lang w:val="de-DE"/>
        </w:rPr>
        <w:softHyphen/>
        <w:t>henen Bedingungen zu nutzen, um die Ziele im Zusammenhang mit ihren im Gemeinwohl liegenden Aufgaben zu erreichen:</w:t>
      </w:r>
    </w:p>
    <w:p w14:paraId="684ABA90" w14:textId="77777777" w:rsidR="00200116" w:rsidRPr="004676F5" w:rsidRDefault="00200116" w:rsidP="00200116">
      <w:pPr>
        <w:jc w:val="both"/>
        <w:rPr>
          <w:lang w:val="de-DE"/>
        </w:rPr>
      </w:pPr>
    </w:p>
    <w:p w14:paraId="15E42492" w14:textId="77777777" w:rsidR="00200116" w:rsidRPr="004676F5" w:rsidRDefault="00200116" w:rsidP="00200116">
      <w:pPr>
        <w:jc w:val="both"/>
        <w:rPr>
          <w:lang w:val="de-DE"/>
        </w:rPr>
      </w:pPr>
      <w:r w:rsidRPr="004676F5">
        <w:rPr>
          <w:lang w:val="de-DE"/>
        </w:rPr>
        <w:tab/>
      </w:r>
      <w:r w:rsidRPr="004676F5">
        <w:rPr>
          <w:i/>
          <w:lang w:val="de-DE"/>
        </w:rPr>
        <w:t>a)</w:t>
      </w:r>
      <w:r w:rsidRPr="004676F5">
        <w:rPr>
          <w:lang w:val="de-DE"/>
        </w:rPr>
        <w:t> öffentliche Zugänglichmachung des verwaisten Werkes im Sinne von Artikel XI.165 § 1 Absatz 4,</w:t>
      </w:r>
    </w:p>
    <w:p w14:paraId="6C5BAAFC" w14:textId="77777777" w:rsidR="00200116" w:rsidRPr="004676F5" w:rsidRDefault="00200116" w:rsidP="00200116">
      <w:pPr>
        <w:jc w:val="both"/>
        <w:rPr>
          <w:lang w:val="de-DE"/>
        </w:rPr>
      </w:pPr>
    </w:p>
    <w:p w14:paraId="13BB7D5C" w14:textId="77777777" w:rsidR="00200116" w:rsidRPr="004676F5" w:rsidRDefault="00200116" w:rsidP="00200116">
      <w:pPr>
        <w:ind w:firstLine="708"/>
        <w:jc w:val="both"/>
        <w:rPr>
          <w:lang w:val="de-DE"/>
        </w:rPr>
      </w:pPr>
      <w:r w:rsidRPr="004676F5">
        <w:rPr>
          <w:i/>
          <w:lang w:val="de-DE"/>
        </w:rPr>
        <w:t>b)</w:t>
      </w:r>
      <w:r w:rsidRPr="004676F5">
        <w:rPr>
          <w:lang w:val="de-DE"/>
        </w:rPr>
        <w:t> Vervielfältigung im Sinne von Artikel XI.165 § 1 Absatz 1 zum Zweck der Digitalisierung, Zugänglichmachung, Indexierung, Katalogisierung, Bewahrung oder Restaurierung.]</w:t>
      </w:r>
    </w:p>
    <w:p w14:paraId="1AC4F6FC" w14:textId="77777777" w:rsidR="00200116" w:rsidRPr="004676F5" w:rsidRDefault="00200116" w:rsidP="00200116">
      <w:pPr>
        <w:ind w:firstLine="708"/>
        <w:jc w:val="both"/>
        <w:rPr>
          <w:lang w:val="de-DE"/>
        </w:rPr>
      </w:pPr>
    </w:p>
    <w:p w14:paraId="1143DCBE" w14:textId="52403470" w:rsidR="00200116" w:rsidRPr="004676F5" w:rsidRDefault="00200116" w:rsidP="00200116">
      <w:pPr>
        <w:jc w:val="both"/>
        <w:rPr>
          <w:i/>
          <w:lang w:val="de-DE"/>
        </w:rPr>
      </w:pPr>
      <w:r w:rsidRPr="004676F5">
        <w:rPr>
          <w:i/>
          <w:lang w:val="de-DE"/>
        </w:rPr>
        <w:t>[</w:t>
      </w:r>
      <w:r w:rsidR="00BE0A56" w:rsidRPr="004676F5">
        <w:rPr>
          <w:i/>
          <w:lang w:val="de-DE"/>
        </w:rPr>
        <w:t>Art. </w:t>
      </w:r>
      <w:r w:rsidRPr="004676F5">
        <w:rPr>
          <w:i/>
          <w:lang w:val="de-DE"/>
        </w:rPr>
        <w:t xml:space="preserve">XI.192/1 eingefügt durch </w:t>
      </w:r>
      <w:r w:rsidR="00BE0A56" w:rsidRPr="004676F5">
        <w:rPr>
          <w:i/>
          <w:lang w:val="de-DE"/>
        </w:rPr>
        <w:t>Art. </w:t>
      </w:r>
      <w:r w:rsidR="00D35F51" w:rsidRPr="004676F5">
        <w:rPr>
          <w:i/>
          <w:lang w:val="de-DE"/>
        </w:rPr>
        <w:t>6 des G. vom 20. Juli 2015 (B.S. vom 24. August 2015)]</w:t>
      </w:r>
    </w:p>
    <w:p w14:paraId="73782B87" w14:textId="77777777" w:rsidR="00D35F51" w:rsidRPr="004676F5" w:rsidRDefault="00D35F51" w:rsidP="00200116">
      <w:pPr>
        <w:jc w:val="both"/>
        <w:rPr>
          <w:i/>
          <w:lang w:val="de-DE"/>
        </w:rPr>
      </w:pPr>
    </w:p>
    <w:p w14:paraId="642AD752" w14:textId="77777777" w:rsidR="00435B6C" w:rsidRPr="004676F5" w:rsidRDefault="00435B6C" w:rsidP="00F70CA4">
      <w:pPr>
        <w:jc w:val="both"/>
        <w:rPr>
          <w:lang w:val="de-DE"/>
        </w:rPr>
      </w:pPr>
    </w:p>
    <w:p w14:paraId="669786E7" w14:textId="59EEFF11" w:rsidR="00AB7474" w:rsidRPr="004676F5" w:rsidRDefault="00AB7474" w:rsidP="00AB7474">
      <w:pPr>
        <w:jc w:val="center"/>
        <w:rPr>
          <w:lang w:val="de-DE"/>
        </w:rPr>
      </w:pPr>
      <w:r w:rsidRPr="004676F5">
        <w:rPr>
          <w:lang w:val="de-DE"/>
        </w:rPr>
        <w:t>[Unterabschnitt 4/1 </w:t>
      </w:r>
      <w:r w:rsidR="005B7A5C" w:rsidRPr="004676F5">
        <w:rPr>
          <w:lang w:val="de-DE"/>
        </w:rPr>
        <w:t>- </w:t>
      </w:r>
      <w:r w:rsidRPr="004676F5">
        <w:rPr>
          <w:lang w:val="de-DE"/>
        </w:rPr>
        <w:t>Vergriffene Werke]</w:t>
      </w:r>
    </w:p>
    <w:p w14:paraId="0B5C8ACA" w14:textId="77777777" w:rsidR="00AB7474" w:rsidRPr="004676F5" w:rsidRDefault="00AB7474" w:rsidP="00AB7474">
      <w:pPr>
        <w:jc w:val="center"/>
        <w:rPr>
          <w:lang w:val="de-DE"/>
        </w:rPr>
      </w:pPr>
    </w:p>
    <w:p w14:paraId="0C38B1B6" w14:textId="14761291" w:rsidR="00AB7474" w:rsidRPr="004676F5" w:rsidRDefault="00AB7474" w:rsidP="00AB7474">
      <w:pPr>
        <w:jc w:val="both"/>
        <w:rPr>
          <w:i/>
          <w:iCs/>
          <w:lang w:val="de-DE"/>
        </w:rPr>
      </w:pPr>
      <w:r w:rsidRPr="004676F5">
        <w:rPr>
          <w:i/>
          <w:iCs/>
          <w:lang w:val="de-DE"/>
        </w:rPr>
        <w:t>[Unterteilung Unterabschnitt 4/1 eingefügt durch Art. 18 des G. vom 19. Juni 2022 (B.S. vom 1. August 2022)]</w:t>
      </w:r>
    </w:p>
    <w:p w14:paraId="536C92EC" w14:textId="77777777" w:rsidR="00AB7474" w:rsidRPr="004676F5" w:rsidRDefault="00AB7474" w:rsidP="00AB7474">
      <w:pPr>
        <w:jc w:val="both"/>
        <w:rPr>
          <w:lang w:val="de-DE"/>
        </w:rPr>
      </w:pPr>
    </w:p>
    <w:p w14:paraId="3DCD488D" w14:textId="77777777" w:rsidR="00AB7474" w:rsidRPr="004676F5" w:rsidRDefault="00AB7474" w:rsidP="00AB7474">
      <w:pPr>
        <w:jc w:val="both"/>
        <w:rPr>
          <w:lang w:val="de-DE"/>
        </w:rPr>
      </w:pPr>
    </w:p>
    <w:p w14:paraId="3C48D86C" w14:textId="1C5937B9" w:rsidR="00AB7474" w:rsidRPr="004676F5" w:rsidRDefault="00AB7474" w:rsidP="00AB7474">
      <w:pPr>
        <w:jc w:val="both"/>
        <w:rPr>
          <w:lang w:val="de-DE"/>
        </w:rPr>
      </w:pPr>
      <w:r w:rsidRPr="004676F5">
        <w:rPr>
          <w:lang w:val="de-DE"/>
        </w:rPr>
        <w:tab/>
        <w:t>[</w:t>
      </w:r>
      <w:r w:rsidRPr="004676F5">
        <w:rPr>
          <w:b/>
          <w:bCs/>
          <w:lang w:val="de-DE"/>
        </w:rPr>
        <w:t>Art. XI.192/2</w:t>
      </w:r>
      <w:r w:rsidRPr="004676F5">
        <w:rPr>
          <w:lang w:val="de-DE"/>
        </w:rPr>
        <w:t> </w:t>
      </w:r>
      <w:r w:rsidR="005B7A5C" w:rsidRPr="004676F5">
        <w:rPr>
          <w:lang w:val="de-DE"/>
        </w:rPr>
        <w:t>- </w:t>
      </w:r>
      <w:r w:rsidRPr="004676F5">
        <w:rPr>
          <w:lang w:val="de-DE"/>
        </w:rPr>
        <w:t>§ 1 ­ Außer in dem in § 2 erwähnten Fall darf der Urheber eines Werkes Vervielfältigung oder öffentliche Wiedergabe zu nicht kommerziellen Zwecken eines vergriffenen Werkes, das sich dauerhaft in den Sammlungen einer öffentlich zugänglichen Bibliothek, eines öffentlich zugänglichen Museums, eines Archivs oder einer im Bereich des Film</w:t>
      </w:r>
      <w:r w:rsidR="005B7A5C" w:rsidRPr="004676F5">
        <w:rPr>
          <w:lang w:val="de-DE"/>
        </w:rPr>
        <w:t>- </w:t>
      </w:r>
      <w:r w:rsidRPr="004676F5">
        <w:rPr>
          <w:lang w:val="de-DE"/>
        </w:rPr>
        <w:t>oder Tonerbes tätigen Einrichtung befindet, durch diese Bibliothek, dieses Museum, dieses Archiv oder diese Einrichtung nicht untersagen, sofern:</w:t>
      </w:r>
    </w:p>
    <w:p w14:paraId="51A36AD2" w14:textId="77777777" w:rsidR="00AB7474" w:rsidRPr="004676F5" w:rsidRDefault="00AB7474" w:rsidP="00AB7474">
      <w:pPr>
        <w:jc w:val="both"/>
        <w:rPr>
          <w:lang w:val="de-DE"/>
        </w:rPr>
      </w:pPr>
    </w:p>
    <w:p w14:paraId="0545CDFD" w14:textId="77777777" w:rsidR="00AB7474" w:rsidRPr="004676F5" w:rsidRDefault="00AB7474" w:rsidP="00AB7474">
      <w:pPr>
        <w:jc w:val="both"/>
        <w:rPr>
          <w:lang w:val="de-DE"/>
        </w:rPr>
      </w:pPr>
      <w:r w:rsidRPr="004676F5">
        <w:rPr>
          <w:lang w:val="de-DE"/>
        </w:rPr>
        <w:tab/>
        <w:t>1. die gemäß Artikel XI.245/7/2 § 2 bestimmte repräsentative Verwertungsgesellschaft für die betreffenden Rechte nicht bestimmt ist,</w:t>
      </w:r>
    </w:p>
    <w:p w14:paraId="61FC1243" w14:textId="77777777" w:rsidR="00AB7474" w:rsidRPr="004676F5" w:rsidRDefault="00AB7474" w:rsidP="00AB7474">
      <w:pPr>
        <w:jc w:val="both"/>
        <w:rPr>
          <w:lang w:val="de-DE"/>
        </w:rPr>
      </w:pPr>
    </w:p>
    <w:p w14:paraId="1E558CC1" w14:textId="77777777" w:rsidR="00AB7474" w:rsidRPr="004676F5" w:rsidRDefault="00AB7474" w:rsidP="00AB7474">
      <w:pPr>
        <w:jc w:val="both"/>
        <w:rPr>
          <w:lang w:val="de-DE"/>
        </w:rPr>
      </w:pPr>
      <w:r w:rsidRPr="004676F5">
        <w:rPr>
          <w:lang w:val="de-DE"/>
        </w:rPr>
        <w:tab/>
        <w:t>2. die Werke auf nicht kommerziellen Websites zur Verfügung gestellt werden und</w:t>
      </w:r>
    </w:p>
    <w:p w14:paraId="5305779E" w14:textId="77777777" w:rsidR="00AB7474" w:rsidRPr="004676F5" w:rsidRDefault="00AB7474" w:rsidP="00AB7474">
      <w:pPr>
        <w:jc w:val="both"/>
        <w:rPr>
          <w:lang w:val="de-DE"/>
        </w:rPr>
      </w:pPr>
    </w:p>
    <w:p w14:paraId="13CAC862" w14:textId="77777777" w:rsidR="00AB7474" w:rsidRPr="004676F5" w:rsidRDefault="00AB7474" w:rsidP="00AB7474">
      <w:pPr>
        <w:jc w:val="both"/>
        <w:rPr>
          <w:lang w:val="de-DE"/>
        </w:rPr>
      </w:pPr>
      <w:r w:rsidRPr="004676F5">
        <w:rPr>
          <w:lang w:val="de-DE"/>
        </w:rPr>
        <w:tab/>
        <w:t>3. Quelle und Name des Urhebers oder eines anderen identifizierbaren Rechtsinhabers angegeben werden, außer in Fällen, in denen sich das als unmöglich erweist.</w:t>
      </w:r>
    </w:p>
    <w:p w14:paraId="6576253A" w14:textId="77777777" w:rsidR="00AB7474" w:rsidRPr="004676F5" w:rsidRDefault="00AB7474" w:rsidP="00AB7474">
      <w:pPr>
        <w:jc w:val="both"/>
        <w:rPr>
          <w:lang w:val="de-DE"/>
        </w:rPr>
      </w:pPr>
    </w:p>
    <w:p w14:paraId="007F02CF" w14:textId="2373E001" w:rsidR="00AB7474" w:rsidRPr="004676F5" w:rsidRDefault="00AB7474" w:rsidP="00AB7474">
      <w:pPr>
        <w:jc w:val="both"/>
        <w:rPr>
          <w:lang w:val="de-DE"/>
        </w:rPr>
      </w:pPr>
      <w:r w:rsidRPr="004676F5">
        <w:rPr>
          <w:lang w:val="de-DE"/>
        </w:rPr>
        <w:tab/>
        <w:t>§ 2 ­ Ein Urheber kann seine Werke auch nach Beginn der jeweiligen Nutzung durch eine öffentlich zugängliche Bibliothek, ein öffentlich zugängliches Museum, ein Archiv oder eine im Bereich des Film</w:t>
      </w:r>
      <w:r w:rsidR="005B7A5C" w:rsidRPr="004676F5">
        <w:rPr>
          <w:lang w:val="de-DE"/>
        </w:rPr>
        <w:t>- </w:t>
      </w:r>
      <w:r w:rsidRPr="004676F5">
        <w:rPr>
          <w:lang w:val="de-DE"/>
        </w:rPr>
        <w:t>oder Tonerbes tätige Einrichtung entweder generell oder in bestimmten Fällen jederzeit gemäß Artikel XI.245/7/3 einfach und wirksam von den in § 1 erwähnten Rechten der Vervielfältigung und öffentlichen Wiedergabe ausschließen.</w:t>
      </w:r>
    </w:p>
    <w:p w14:paraId="239B5F6C" w14:textId="77777777" w:rsidR="00AB7474" w:rsidRPr="004676F5" w:rsidRDefault="00AB7474" w:rsidP="00AB7474">
      <w:pPr>
        <w:jc w:val="both"/>
        <w:rPr>
          <w:lang w:val="de-DE"/>
        </w:rPr>
      </w:pPr>
    </w:p>
    <w:p w14:paraId="1AA869C3" w14:textId="77777777" w:rsidR="00AB7474" w:rsidRPr="004676F5" w:rsidRDefault="00AB7474" w:rsidP="00AB7474">
      <w:pPr>
        <w:jc w:val="both"/>
        <w:rPr>
          <w:lang w:val="de-DE"/>
        </w:rPr>
      </w:pPr>
      <w:r w:rsidRPr="004676F5">
        <w:rPr>
          <w:lang w:val="de-DE"/>
        </w:rPr>
        <w:tab/>
        <w:t>Der König kann Modalitäten in Bezug auf die Ausübung des in Absatz 1 erwähnten Ausschlusses bestimmen.</w:t>
      </w:r>
    </w:p>
    <w:p w14:paraId="49EE0D4F" w14:textId="77777777" w:rsidR="00AB7474" w:rsidRPr="004676F5" w:rsidRDefault="00AB7474" w:rsidP="00AB7474">
      <w:pPr>
        <w:jc w:val="both"/>
        <w:rPr>
          <w:lang w:val="de-DE"/>
        </w:rPr>
      </w:pPr>
    </w:p>
    <w:p w14:paraId="4C815904" w14:textId="5C59DCE4" w:rsidR="00AB7474" w:rsidRPr="004676F5" w:rsidRDefault="00AB7474" w:rsidP="00AB7474">
      <w:pPr>
        <w:jc w:val="both"/>
        <w:rPr>
          <w:lang w:val="de-DE"/>
        </w:rPr>
      </w:pPr>
      <w:r w:rsidRPr="004676F5">
        <w:rPr>
          <w:lang w:val="de-DE"/>
        </w:rPr>
        <w:tab/>
        <w:t>§ 3 ­ Mindestens sechs Monate vor der in § 1 erwähnten Vervielfältigung und öffentlichen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müssen die vorerwähnten Einrichtungen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1940D15C" w14:textId="77777777" w:rsidR="00AB7474" w:rsidRPr="004676F5" w:rsidRDefault="00AB7474" w:rsidP="00AB7474">
      <w:pPr>
        <w:jc w:val="both"/>
        <w:rPr>
          <w:lang w:val="de-DE"/>
        </w:rPr>
      </w:pPr>
    </w:p>
    <w:p w14:paraId="66AC8744" w14:textId="77777777" w:rsidR="00AB7474" w:rsidRPr="004676F5" w:rsidRDefault="00AB7474" w:rsidP="00AB7474">
      <w:pPr>
        <w:jc w:val="both"/>
        <w:rPr>
          <w:lang w:val="de-DE"/>
        </w:rPr>
      </w:pPr>
      <w:r w:rsidRPr="004676F5">
        <w:rPr>
          <w:lang w:val="de-DE"/>
        </w:rPr>
        <w:tab/>
        <w:t>1. Identifizierung der vergriffenen Werke und</w:t>
      </w:r>
    </w:p>
    <w:p w14:paraId="03CE3B89" w14:textId="77777777" w:rsidR="00AB7474" w:rsidRPr="004676F5" w:rsidRDefault="00AB7474" w:rsidP="00AB7474">
      <w:pPr>
        <w:jc w:val="both"/>
        <w:rPr>
          <w:lang w:val="de-DE"/>
        </w:rPr>
      </w:pPr>
    </w:p>
    <w:p w14:paraId="19CEA59A" w14:textId="77777777" w:rsidR="00AB7474" w:rsidRPr="004676F5" w:rsidRDefault="00AB7474" w:rsidP="00AB7474">
      <w:pPr>
        <w:jc w:val="both"/>
        <w:rPr>
          <w:lang w:val="de-DE"/>
        </w:rPr>
      </w:pPr>
      <w:r w:rsidRPr="004676F5">
        <w:rPr>
          <w:lang w:val="de-DE"/>
        </w:rPr>
        <w:tab/>
        <w:t>2. Möglichkeit für den Urheber, seine Rechte gemäß Artikel XI.245/7/3 von dieser Ausnahme auszuschließen.</w:t>
      </w:r>
    </w:p>
    <w:p w14:paraId="27B3CC94" w14:textId="77777777" w:rsidR="00AB7474" w:rsidRPr="004676F5" w:rsidRDefault="00AB7474" w:rsidP="00AB7474">
      <w:pPr>
        <w:jc w:val="both"/>
        <w:rPr>
          <w:lang w:val="de-DE"/>
        </w:rPr>
      </w:pPr>
    </w:p>
    <w:p w14:paraId="37BC161E" w14:textId="77777777" w:rsidR="00AB7474" w:rsidRPr="004676F5" w:rsidRDefault="00AB7474" w:rsidP="00AB7474">
      <w:pPr>
        <w:jc w:val="both"/>
        <w:rPr>
          <w:lang w:val="de-DE"/>
        </w:rPr>
      </w:pPr>
      <w:r w:rsidRPr="004676F5">
        <w:rPr>
          <w:lang w:val="de-DE"/>
        </w:rPr>
        <w:tab/>
        <w:t>Der König kann Modalitäten in Bezug auf die in Absatz 1 erwähnte Bekanntmachung bestimmen und weitere geeignete Informationsmaßnahmen festlegen, wenn sich dies als notwendig erweist, um Urheber zu sensibilisieren.</w:t>
      </w:r>
    </w:p>
    <w:p w14:paraId="45A95A42" w14:textId="77777777" w:rsidR="00AB7474" w:rsidRPr="004676F5" w:rsidRDefault="00AB7474" w:rsidP="00AB7474">
      <w:pPr>
        <w:jc w:val="both"/>
        <w:rPr>
          <w:lang w:val="de-DE"/>
        </w:rPr>
      </w:pPr>
    </w:p>
    <w:p w14:paraId="0CF87C42" w14:textId="145C9E5B" w:rsidR="00AB7474" w:rsidRPr="004676F5" w:rsidRDefault="00AB7474" w:rsidP="00AB7474">
      <w:pPr>
        <w:jc w:val="both"/>
        <w:rPr>
          <w:lang w:val="de-DE"/>
        </w:rPr>
      </w:pPr>
      <w:r w:rsidRPr="004676F5">
        <w:rPr>
          <w:lang w:val="de-DE"/>
        </w:rPr>
        <w:tab/>
        <w:t>§ 4 </w:t>
      </w:r>
      <w:r w:rsidR="005B7A5C" w:rsidRPr="004676F5">
        <w:rPr>
          <w:lang w:val="de-DE"/>
        </w:rPr>
        <w:t>- </w:t>
      </w:r>
      <w:r w:rsidRPr="004676F5">
        <w:rPr>
          <w:lang w:val="de-DE"/>
        </w:rPr>
        <w:t>Eine in § 1 erwähnte Vervielfältigung und öffentliche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gilt als allein in dem Mitgliedstaat erfolgt, in dem die vorerwähnte Einrichtung ihren Sitz hat.</w:t>
      </w:r>
    </w:p>
    <w:p w14:paraId="33C3A121" w14:textId="77777777" w:rsidR="00AB7474" w:rsidRPr="004676F5" w:rsidRDefault="00AB7474" w:rsidP="00AB7474">
      <w:pPr>
        <w:jc w:val="both"/>
        <w:rPr>
          <w:lang w:val="de-DE"/>
        </w:rPr>
      </w:pPr>
    </w:p>
    <w:p w14:paraId="4F01A2D8" w14:textId="73C0DC65" w:rsidR="00AB7474" w:rsidRPr="004676F5" w:rsidRDefault="00AB7474" w:rsidP="00AB7474">
      <w:pPr>
        <w:jc w:val="both"/>
        <w:rPr>
          <w:lang w:val="de-DE"/>
        </w:rPr>
      </w:pPr>
      <w:r w:rsidRPr="004676F5">
        <w:rPr>
          <w:lang w:val="de-DE"/>
        </w:rPr>
        <w:tab/>
        <w:t>§ 5 </w:t>
      </w:r>
      <w:r w:rsidR="005B7A5C" w:rsidRPr="004676F5">
        <w:rPr>
          <w:lang w:val="de-DE"/>
        </w:rPr>
        <w:t>- </w:t>
      </w:r>
      <w:r w:rsidRPr="004676F5">
        <w:rPr>
          <w:lang w:val="de-DE"/>
        </w:rPr>
        <w:t>Öffentlich zugängliche Bibliotheken oder Museen, Archive oder im Bereich des Film</w:t>
      </w:r>
      <w:r w:rsidR="005B7A5C" w:rsidRPr="004676F5">
        <w:rPr>
          <w:lang w:val="de-DE"/>
        </w:rPr>
        <w:t>- </w:t>
      </w:r>
      <w:r w:rsidRPr="004676F5">
        <w:rPr>
          <w:lang w:val="de-DE"/>
        </w:rPr>
        <w:t>oder Tonerbes tätige Einrichtungen sind die für die Verarbeitung personenbezogener Daten Verantwortlichen, und zwar jeweils für die Datenverarbeitungen, die sie betreffen.]</w:t>
      </w:r>
    </w:p>
    <w:p w14:paraId="2E83AACB" w14:textId="77777777" w:rsidR="00AB7474" w:rsidRPr="004676F5" w:rsidRDefault="00AB7474" w:rsidP="00AB7474">
      <w:pPr>
        <w:jc w:val="both"/>
        <w:rPr>
          <w:lang w:val="de-DE"/>
        </w:rPr>
      </w:pPr>
    </w:p>
    <w:p w14:paraId="7BB880FD" w14:textId="59E6F156" w:rsidR="00AB7474" w:rsidRPr="004676F5" w:rsidRDefault="00AB7474" w:rsidP="00AB7474">
      <w:pPr>
        <w:jc w:val="both"/>
        <w:rPr>
          <w:i/>
          <w:iCs/>
          <w:lang w:val="de-DE"/>
        </w:rPr>
      </w:pPr>
      <w:r w:rsidRPr="004676F5">
        <w:rPr>
          <w:i/>
          <w:iCs/>
          <w:lang w:val="de-DE"/>
        </w:rPr>
        <w:t>[Art. XI.192/2 eingefügt durch Art. 19 des G. vom 19. Juni 2022 (B.S. vom 1. August 2022)]</w:t>
      </w:r>
    </w:p>
    <w:p w14:paraId="748627F9" w14:textId="77777777" w:rsidR="00AB7474" w:rsidRPr="004676F5" w:rsidRDefault="00AB7474" w:rsidP="00AB7474">
      <w:pPr>
        <w:jc w:val="both"/>
        <w:rPr>
          <w:lang w:val="de-DE"/>
        </w:rPr>
      </w:pPr>
    </w:p>
    <w:p w14:paraId="1527D740" w14:textId="77777777" w:rsidR="00AB7474" w:rsidRPr="004676F5" w:rsidRDefault="00AB7474" w:rsidP="00AB7474">
      <w:pPr>
        <w:jc w:val="both"/>
        <w:rPr>
          <w:lang w:val="de-DE"/>
        </w:rPr>
      </w:pPr>
    </w:p>
    <w:p w14:paraId="5A93599A" w14:textId="063E87B4" w:rsidR="00F70CA4" w:rsidRPr="004676F5" w:rsidRDefault="00F70CA4" w:rsidP="00F70CA4">
      <w:pPr>
        <w:jc w:val="center"/>
        <w:rPr>
          <w:lang w:val="de-DE"/>
        </w:rPr>
      </w:pPr>
      <w:r w:rsidRPr="004676F5">
        <w:rPr>
          <w:lang w:val="de-DE"/>
        </w:rPr>
        <w:t>[Unterabschnitt 5 </w:t>
      </w:r>
      <w:r w:rsidR="005B7A5C" w:rsidRPr="004676F5">
        <w:rPr>
          <w:lang w:val="de-DE"/>
        </w:rPr>
        <w:t>- </w:t>
      </w:r>
      <w:r w:rsidR="00AB7474" w:rsidRPr="004676F5">
        <w:rPr>
          <w:lang w:val="de-DE"/>
        </w:rPr>
        <w:t>[</w:t>
      </w:r>
      <w:r w:rsidRPr="004676F5">
        <w:rPr>
          <w:lang w:val="de-DE"/>
        </w:rPr>
        <w:t>Gemeinsame Bestimmungen für die Unterabschnitte 1, 2, 3</w:t>
      </w:r>
      <w:r w:rsidR="00AB7474" w:rsidRPr="004676F5">
        <w:rPr>
          <w:lang w:val="de-DE"/>
        </w:rPr>
        <w:t>, 4</w:t>
      </w:r>
      <w:r w:rsidRPr="004676F5">
        <w:rPr>
          <w:lang w:val="de-DE"/>
        </w:rPr>
        <w:t xml:space="preserve"> und 4</w:t>
      </w:r>
      <w:r w:rsidR="00AB7474" w:rsidRPr="004676F5">
        <w:rPr>
          <w:lang w:val="de-DE"/>
        </w:rPr>
        <w:t>/1]</w:t>
      </w:r>
      <w:r w:rsidRPr="004676F5">
        <w:rPr>
          <w:lang w:val="de-DE"/>
        </w:rPr>
        <w:t>]</w:t>
      </w:r>
    </w:p>
    <w:p w14:paraId="61E1499A" w14:textId="77777777" w:rsidR="00F70CA4" w:rsidRPr="004676F5" w:rsidRDefault="00F70CA4" w:rsidP="00F70CA4">
      <w:pPr>
        <w:jc w:val="center"/>
        <w:rPr>
          <w:lang w:val="de-DE"/>
        </w:rPr>
      </w:pPr>
    </w:p>
    <w:p w14:paraId="1AD17EED" w14:textId="41F159A1" w:rsidR="00F70CA4" w:rsidRPr="004676F5" w:rsidRDefault="00F70CA4" w:rsidP="00F70CA4">
      <w:pPr>
        <w:jc w:val="both"/>
        <w:rPr>
          <w:i/>
          <w:lang w:val="de-DE"/>
        </w:rPr>
      </w:pPr>
      <w:r w:rsidRPr="004676F5">
        <w:rPr>
          <w:i/>
          <w:lang w:val="de-DE"/>
        </w:rPr>
        <w:t>[Unterteilung Unterabschnitt </w:t>
      </w:r>
      <w:r w:rsidR="00C25F31" w:rsidRPr="004676F5">
        <w:rPr>
          <w:i/>
          <w:lang w:val="de-DE"/>
        </w:rPr>
        <w:t>5</w:t>
      </w:r>
      <w:r w:rsidRPr="004676F5">
        <w:rPr>
          <w:i/>
          <w:lang w:val="de-DE"/>
        </w:rPr>
        <w:t xml:space="preserve"> eingefügt durch </w:t>
      </w:r>
      <w:r w:rsidR="00BE0A56" w:rsidRPr="004676F5">
        <w:rPr>
          <w:i/>
          <w:lang w:val="de-DE"/>
        </w:rPr>
        <w:t>Art. </w:t>
      </w:r>
      <w:r w:rsidR="00C25F31" w:rsidRPr="004676F5">
        <w:rPr>
          <w:i/>
          <w:lang w:val="de-DE"/>
        </w:rPr>
        <w:t>12</w:t>
      </w:r>
      <w:r w:rsidRPr="004676F5">
        <w:rPr>
          <w:i/>
          <w:lang w:val="de-DE"/>
        </w:rPr>
        <w:t xml:space="preserve"> des G. vom 22. Dezember 2016 (B.S. vom 29. Dezember 2016)</w:t>
      </w:r>
      <w:r w:rsidR="00AB7474" w:rsidRPr="004676F5">
        <w:rPr>
          <w:i/>
          <w:lang w:val="de-DE"/>
        </w:rPr>
        <w:t>; Überschrift ersetzt durch Art. 20 des G. vom 19. Juni 2022 (B.S. vom 1. August 2022)</w:t>
      </w:r>
      <w:r w:rsidRPr="004676F5">
        <w:rPr>
          <w:i/>
          <w:lang w:val="de-DE"/>
        </w:rPr>
        <w:t>]</w:t>
      </w:r>
    </w:p>
    <w:p w14:paraId="71FF05BD" w14:textId="77777777" w:rsidR="00F70CA4" w:rsidRPr="004676F5" w:rsidRDefault="00F70CA4" w:rsidP="00F70CA4">
      <w:pPr>
        <w:jc w:val="center"/>
        <w:rPr>
          <w:lang w:val="de-DE"/>
        </w:rPr>
      </w:pPr>
    </w:p>
    <w:p w14:paraId="5F8C13FA" w14:textId="77777777" w:rsidR="00C25F31" w:rsidRPr="004676F5" w:rsidRDefault="00C25F31" w:rsidP="00F70CA4">
      <w:pPr>
        <w:jc w:val="center"/>
        <w:rPr>
          <w:lang w:val="de-DE"/>
        </w:rPr>
      </w:pPr>
    </w:p>
    <w:p w14:paraId="50A34B56" w14:textId="26A328A8" w:rsidR="00AB7474" w:rsidRPr="004676F5" w:rsidRDefault="00AB7474" w:rsidP="001527B1">
      <w:pPr>
        <w:ind w:firstLine="708"/>
        <w:jc w:val="both"/>
        <w:rPr>
          <w:bCs/>
          <w:lang w:val="de-DE"/>
        </w:rPr>
      </w:pPr>
      <w:r w:rsidRPr="004676F5">
        <w:rPr>
          <w:lang w:val="de-DE"/>
        </w:rPr>
        <w:t>[</w:t>
      </w:r>
      <w:r w:rsidRPr="004676F5">
        <w:rPr>
          <w:b/>
          <w:bCs/>
          <w:lang w:val="de-DE"/>
        </w:rPr>
        <w:t>Art. XI.192/3</w:t>
      </w:r>
      <w:r w:rsidRPr="004676F5">
        <w:rPr>
          <w:lang w:val="de-DE"/>
        </w:rPr>
        <w:t> </w:t>
      </w:r>
      <w:r w:rsidR="005B7A5C" w:rsidRPr="004676F5">
        <w:rPr>
          <w:lang w:val="de-DE"/>
        </w:rPr>
        <w:t>- </w:t>
      </w:r>
      <w:r w:rsidRPr="004676F5">
        <w:rPr>
          <w:lang w:val="de-DE"/>
        </w:rPr>
        <w:t>Die in den Artikeln XI.189, XI.190, XI.191, XI.191/1, XI.191/2, XI.192 § 1 Absatz 2, XI.192/1 und XI.192/2 erwähnten Ausnahmen sind nur anwendbar, insofern die normale Verwertung des Werkes oder der Datenbank nicht beeinträchtigt wird und die berechtigten Interessen des Rechtsinhabers nicht ungebührlich verletzt werden.</w:t>
      </w:r>
      <w:r w:rsidRPr="004676F5">
        <w:rPr>
          <w:bCs/>
          <w:lang w:val="de-DE"/>
        </w:rPr>
        <w:t>]</w:t>
      </w:r>
    </w:p>
    <w:p w14:paraId="48545CF1" w14:textId="77777777" w:rsidR="00AB7474" w:rsidRPr="004676F5" w:rsidRDefault="00AB7474" w:rsidP="001527B1">
      <w:pPr>
        <w:ind w:firstLine="708"/>
        <w:jc w:val="both"/>
        <w:rPr>
          <w:bCs/>
          <w:lang w:val="de-DE"/>
        </w:rPr>
      </w:pPr>
    </w:p>
    <w:p w14:paraId="7ECD7C75" w14:textId="025932D8" w:rsidR="0048281D" w:rsidRPr="004676F5" w:rsidRDefault="0048281D" w:rsidP="0048281D">
      <w:pPr>
        <w:jc w:val="both"/>
        <w:rPr>
          <w:bCs/>
          <w:i/>
          <w:iCs/>
          <w:lang w:val="de-DE"/>
        </w:rPr>
      </w:pPr>
      <w:r w:rsidRPr="004676F5">
        <w:rPr>
          <w:bCs/>
          <w:i/>
          <w:iCs/>
          <w:lang w:val="de-DE"/>
        </w:rPr>
        <w:t>[Art. XI.192/3 eingefügt durch Art. 21 des G. vom 19. Juni 2022 (B.S. vom 1. August 2022)]</w:t>
      </w:r>
    </w:p>
    <w:p w14:paraId="78DFAC2B" w14:textId="77777777" w:rsidR="00AB7474" w:rsidRPr="004676F5" w:rsidRDefault="00AB7474" w:rsidP="00AB7474">
      <w:pPr>
        <w:jc w:val="both"/>
        <w:rPr>
          <w:bCs/>
          <w:lang w:val="de-DE"/>
        </w:rPr>
      </w:pPr>
    </w:p>
    <w:p w14:paraId="1AF24D72" w14:textId="77777777" w:rsidR="00AB7474" w:rsidRPr="004676F5" w:rsidRDefault="00AB7474" w:rsidP="001527B1">
      <w:pPr>
        <w:ind w:firstLine="708"/>
        <w:jc w:val="both"/>
        <w:rPr>
          <w:b/>
          <w:lang w:val="de-DE"/>
        </w:rPr>
      </w:pPr>
    </w:p>
    <w:p w14:paraId="1BE74274" w14:textId="3E514086" w:rsidR="001527B1" w:rsidRPr="004676F5" w:rsidRDefault="00BE0A56" w:rsidP="001527B1">
      <w:pPr>
        <w:ind w:firstLine="708"/>
        <w:jc w:val="both"/>
        <w:rPr>
          <w:lang w:val="de-DE"/>
        </w:rPr>
      </w:pPr>
      <w:r w:rsidRPr="004676F5">
        <w:rPr>
          <w:b/>
          <w:lang w:val="de-DE"/>
        </w:rPr>
        <w:t>Art. </w:t>
      </w:r>
      <w:r w:rsidR="001527B1" w:rsidRPr="004676F5">
        <w:rPr>
          <w:b/>
          <w:lang w:val="de-DE"/>
        </w:rPr>
        <w:t>XI.193</w:t>
      </w:r>
      <w:r w:rsidR="001527B1" w:rsidRPr="004676F5">
        <w:rPr>
          <w:lang w:val="de-DE"/>
        </w:rPr>
        <w:t> </w:t>
      </w:r>
      <w:r w:rsidR="005B7A5C" w:rsidRPr="004676F5">
        <w:rPr>
          <w:lang w:val="de-DE"/>
        </w:rPr>
        <w:t>- </w:t>
      </w:r>
      <w:r w:rsidR="00D35F51" w:rsidRPr="004676F5">
        <w:rPr>
          <w:lang w:val="de-DE"/>
        </w:rPr>
        <w:t>[</w:t>
      </w:r>
      <w:r w:rsidR="0048281D" w:rsidRPr="004676F5">
        <w:rPr>
          <w:lang w:val="de-DE"/>
        </w:rPr>
        <w:t>Die Bestimmungen der Artikel XI.189, XI.190, XI.191, XI.191/1, XI.191/2, XI.192, XI.192/1 und XI.192/2 sind verbindlich.</w:t>
      </w:r>
      <w:r w:rsidR="00D35F51" w:rsidRPr="004676F5">
        <w:rPr>
          <w:lang w:val="de-DE"/>
        </w:rPr>
        <w:t>]</w:t>
      </w:r>
    </w:p>
    <w:p w14:paraId="11ED0D72" w14:textId="77777777" w:rsidR="00D35F51" w:rsidRPr="004676F5" w:rsidRDefault="00D35F51" w:rsidP="001527B1">
      <w:pPr>
        <w:ind w:firstLine="708"/>
        <w:jc w:val="both"/>
        <w:rPr>
          <w:lang w:val="de-DE"/>
        </w:rPr>
      </w:pPr>
    </w:p>
    <w:p w14:paraId="4E2995D2" w14:textId="1B846610" w:rsidR="00D35F51" w:rsidRPr="004676F5" w:rsidRDefault="00D35F51" w:rsidP="00D35F51">
      <w:pPr>
        <w:jc w:val="both"/>
        <w:rPr>
          <w:i/>
          <w:lang w:val="de-DE"/>
        </w:rPr>
      </w:pPr>
      <w:r w:rsidRPr="004676F5">
        <w:rPr>
          <w:i/>
          <w:lang w:val="de-DE"/>
        </w:rPr>
        <w:t>[</w:t>
      </w:r>
      <w:r w:rsidR="00BE0A56" w:rsidRPr="004676F5">
        <w:rPr>
          <w:i/>
          <w:lang w:val="de-DE"/>
        </w:rPr>
        <w:t>Art. </w:t>
      </w:r>
      <w:r w:rsidRPr="004676F5">
        <w:rPr>
          <w:i/>
          <w:lang w:val="de-DE"/>
        </w:rPr>
        <w:t xml:space="preserve">XI.193 ersetzt durch </w:t>
      </w:r>
      <w:r w:rsidR="00BE0A56" w:rsidRPr="004676F5">
        <w:rPr>
          <w:i/>
          <w:lang w:val="de-DE"/>
        </w:rPr>
        <w:t>Art. </w:t>
      </w:r>
      <w:r w:rsidR="0048281D" w:rsidRPr="004676F5">
        <w:rPr>
          <w:i/>
          <w:lang w:val="de-DE"/>
        </w:rPr>
        <w:t>22 des G. vom 19. Juni 2022 (B.S. vom 1. August 2022)</w:t>
      </w:r>
      <w:r w:rsidRPr="004676F5">
        <w:rPr>
          <w:i/>
          <w:lang w:val="de-DE"/>
        </w:rPr>
        <w:t>]</w:t>
      </w:r>
    </w:p>
    <w:p w14:paraId="2C65771A" w14:textId="77777777" w:rsidR="001527B1" w:rsidRPr="004676F5" w:rsidRDefault="001527B1" w:rsidP="001527B1">
      <w:pPr>
        <w:jc w:val="both"/>
        <w:rPr>
          <w:lang w:val="de-DE"/>
        </w:rPr>
      </w:pPr>
    </w:p>
    <w:p w14:paraId="4B96E3CE" w14:textId="77777777" w:rsidR="00435B6C" w:rsidRPr="004676F5" w:rsidRDefault="00435B6C" w:rsidP="001527B1">
      <w:pPr>
        <w:jc w:val="both"/>
        <w:rPr>
          <w:lang w:val="de-DE"/>
        </w:rPr>
      </w:pPr>
    </w:p>
    <w:p w14:paraId="1519DDFF" w14:textId="007CB844" w:rsidR="001527B1" w:rsidRPr="004676F5" w:rsidRDefault="001527B1" w:rsidP="001527B1">
      <w:pPr>
        <w:jc w:val="center"/>
        <w:rPr>
          <w:lang w:val="de-DE"/>
        </w:rPr>
      </w:pPr>
      <w:r w:rsidRPr="004676F5">
        <w:rPr>
          <w:i/>
          <w:lang w:val="de-DE"/>
        </w:rPr>
        <w:t>Abschnitt 7 </w:t>
      </w:r>
      <w:r w:rsidR="005B7A5C" w:rsidRPr="004676F5">
        <w:rPr>
          <w:lang w:val="de-DE"/>
        </w:rPr>
        <w:t>- </w:t>
      </w:r>
      <w:r w:rsidRPr="004676F5">
        <w:rPr>
          <w:lang w:val="de-DE"/>
        </w:rPr>
        <w:t>Gemeinsame Bestimmung in Bezug auf akustische und audiovisuelle Werke</w:t>
      </w:r>
    </w:p>
    <w:p w14:paraId="1C662A46" w14:textId="77777777" w:rsidR="001527B1" w:rsidRPr="004676F5" w:rsidRDefault="001527B1" w:rsidP="001527B1">
      <w:pPr>
        <w:jc w:val="both"/>
        <w:rPr>
          <w:lang w:val="de-DE"/>
        </w:rPr>
      </w:pPr>
    </w:p>
    <w:p w14:paraId="16708078" w14:textId="77777777" w:rsidR="00435B6C" w:rsidRPr="004676F5" w:rsidRDefault="00435B6C" w:rsidP="001527B1">
      <w:pPr>
        <w:jc w:val="both"/>
        <w:rPr>
          <w:lang w:val="de-DE"/>
        </w:rPr>
      </w:pPr>
    </w:p>
    <w:p w14:paraId="74FD488B" w14:textId="12DF0678" w:rsidR="001527B1" w:rsidRPr="004676F5" w:rsidRDefault="00BE0A56" w:rsidP="001527B1">
      <w:pPr>
        <w:ind w:firstLine="708"/>
        <w:jc w:val="both"/>
        <w:rPr>
          <w:lang w:val="de-DE"/>
        </w:rPr>
      </w:pPr>
      <w:r w:rsidRPr="004676F5">
        <w:rPr>
          <w:b/>
          <w:lang w:val="de-DE"/>
        </w:rPr>
        <w:t>Art. </w:t>
      </w:r>
      <w:r w:rsidR="001527B1" w:rsidRPr="004676F5">
        <w:rPr>
          <w:b/>
          <w:lang w:val="de-DE"/>
        </w:rPr>
        <w:t>XI.194</w:t>
      </w:r>
      <w:r w:rsidR="001527B1" w:rsidRPr="004676F5">
        <w:rPr>
          <w:lang w:val="de-DE"/>
        </w:rPr>
        <w:t> </w:t>
      </w:r>
      <w:r w:rsidR="005B7A5C" w:rsidRPr="004676F5">
        <w:rPr>
          <w:lang w:val="de-DE"/>
        </w:rPr>
        <w:t>- </w:t>
      </w:r>
      <w:r w:rsidR="001527B1" w:rsidRPr="004676F5">
        <w:rPr>
          <w:lang w:val="de-DE"/>
        </w:rPr>
        <w:t>Ein Urheber, der sein Vermietrecht an einem akustischen oder audiovisuellen Werk überträgt oder abtritt, behält den Anspruch auf eine angemessene Vergütung für die Vermietung.</w:t>
      </w:r>
    </w:p>
    <w:p w14:paraId="33D4EB3E" w14:textId="77777777" w:rsidR="001527B1" w:rsidRPr="004676F5" w:rsidRDefault="001527B1" w:rsidP="001527B1">
      <w:pPr>
        <w:ind w:firstLine="708"/>
        <w:jc w:val="both"/>
        <w:rPr>
          <w:lang w:val="de-DE"/>
        </w:rPr>
      </w:pPr>
    </w:p>
    <w:p w14:paraId="0A516EFC" w14:textId="77777777" w:rsidR="001527B1" w:rsidRPr="004676F5" w:rsidRDefault="001527B1" w:rsidP="001527B1">
      <w:pPr>
        <w:ind w:firstLine="708"/>
        <w:jc w:val="both"/>
        <w:rPr>
          <w:lang w:val="de-DE"/>
        </w:rPr>
      </w:pPr>
      <w:r w:rsidRPr="004676F5">
        <w:rPr>
          <w:lang w:val="de-DE"/>
        </w:rPr>
        <w:t>Der Urheber kann auf diesen Anspruch nicht verzichten.</w:t>
      </w:r>
    </w:p>
    <w:p w14:paraId="711B7BA2" w14:textId="77777777" w:rsidR="001527B1" w:rsidRPr="004676F5" w:rsidRDefault="001527B1" w:rsidP="001527B1">
      <w:pPr>
        <w:ind w:firstLine="708"/>
        <w:jc w:val="both"/>
        <w:rPr>
          <w:lang w:val="de-DE"/>
        </w:rPr>
      </w:pPr>
    </w:p>
    <w:p w14:paraId="4662D7A2" w14:textId="77777777" w:rsidR="00435B6C" w:rsidRPr="004676F5" w:rsidRDefault="00435B6C" w:rsidP="001527B1">
      <w:pPr>
        <w:ind w:firstLine="708"/>
        <w:jc w:val="both"/>
        <w:rPr>
          <w:lang w:val="de-DE"/>
        </w:rPr>
      </w:pPr>
    </w:p>
    <w:p w14:paraId="58F73D56" w14:textId="77343C23" w:rsidR="001527B1" w:rsidRPr="004676F5" w:rsidRDefault="001527B1" w:rsidP="001527B1">
      <w:pPr>
        <w:jc w:val="center"/>
        <w:rPr>
          <w:lang w:val="de-DE"/>
        </w:rPr>
      </w:pPr>
      <w:r w:rsidRPr="004676F5">
        <w:rPr>
          <w:i/>
          <w:lang w:val="de-DE"/>
        </w:rPr>
        <w:t>Abschnitt 8 </w:t>
      </w:r>
      <w:r w:rsidR="005B7A5C" w:rsidRPr="004676F5">
        <w:rPr>
          <w:lang w:val="de-DE"/>
        </w:rPr>
        <w:t>- </w:t>
      </w:r>
      <w:r w:rsidRPr="004676F5">
        <w:rPr>
          <w:lang w:val="de-DE"/>
        </w:rPr>
        <w:t>Verlagsvertrag</w:t>
      </w:r>
    </w:p>
    <w:p w14:paraId="1FF90421" w14:textId="77777777" w:rsidR="001527B1" w:rsidRPr="004676F5" w:rsidRDefault="001527B1" w:rsidP="001527B1">
      <w:pPr>
        <w:jc w:val="both"/>
        <w:rPr>
          <w:lang w:val="de-DE"/>
        </w:rPr>
      </w:pPr>
    </w:p>
    <w:p w14:paraId="2F203171" w14:textId="77777777" w:rsidR="00435B6C" w:rsidRPr="004676F5" w:rsidRDefault="00435B6C" w:rsidP="001527B1">
      <w:pPr>
        <w:jc w:val="both"/>
        <w:rPr>
          <w:lang w:val="de-DE"/>
        </w:rPr>
      </w:pPr>
    </w:p>
    <w:p w14:paraId="01159286" w14:textId="1139F7CC" w:rsidR="001527B1" w:rsidRPr="004676F5" w:rsidRDefault="00BE0A56" w:rsidP="001527B1">
      <w:pPr>
        <w:ind w:firstLine="708"/>
        <w:jc w:val="both"/>
        <w:rPr>
          <w:lang w:val="de-DE"/>
        </w:rPr>
      </w:pPr>
      <w:r w:rsidRPr="004676F5">
        <w:rPr>
          <w:b/>
          <w:lang w:val="de-DE"/>
        </w:rPr>
        <w:t>Art. </w:t>
      </w:r>
      <w:r w:rsidR="001527B1" w:rsidRPr="004676F5">
        <w:rPr>
          <w:b/>
          <w:lang w:val="de-DE"/>
        </w:rPr>
        <w:t>XI.195</w:t>
      </w:r>
      <w:r w:rsidR="001527B1" w:rsidRPr="004676F5">
        <w:rPr>
          <w:lang w:val="de-DE"/>
        </w:rPr>
        <w:t> </w:t>
      </w:r>
      <w:r w:rsidR="005B7A5C" w:rsidRPr="004676F5">
        <w:rPr>
          <w:lang w:val="de-DE"/>
        </w:rPr>
        <w:t>- </w:t>
      </w:r>
      <w:r w:rsidR="001527B1" w:rsidRPr="004676F5">
        <w:rPr>
          <w:lang w:val="de-DE"/>
        </w:rPr>
        <w:t xml:space="preserve">Im Verlagsvertrag muss die Mindestanzahl Exemplare der ersten Auflage </w:t>
      </w:r>
      <w:r w:rsidR="0048281D" w:rsidRPr="004676F5">
        <w:rPr>
          <w:lang w:val="de-DE"/>
        </w:rPr>
        <w:t xml:space="preserve">[und die Anzahl Exemplare, die für den Urheber selbst bestimmt sind,] </w:t>
      </w:r>
      <w:r w:rsidR="001527B1" w:rsidRPr="004676F5">
        <w:rPr>
          <w:lang w:val="de-DE"/>
        </w:rPr>
        <w:t>vermerkt sein.</w:t>
      </w:r>
    </w:p>
    <w:p w14:paraId="33A2C352" w14:textId="77777777" w:rsidR="001527B1" w:rsidRPr="004676F5" w:rsidRDefault="001527B1" w:rsidP="001527B1">
      <w:pPr>
        <w:ind w:firstLine="708"/>
        <w:jc w:val="both"/>
        <w:rPr>
          <w:lang w:val="de-DE"/>
        </w:rPr>
      </w:pPr>
    </w:p>
    <w:p w14:paraId="062BF3D1" w14:textId="42FDCFAB" w:rsidR="001527B1" w:rsidRPr="004676F5" w:rsidRDefault="001527B1" w:rsidP="001527B1">
      <w:pPr>
        <w:ind w:firstLine="708"/>
        <w:jc w:val="both"/>
        <w:rPr>
          <w:lang w:val="de-DE"/>
        </w:rPr>
      </w:pPr>
      <w:r w:rsidRPr="004676F5">
        <w:rPr>
          <w:lang w:val="de-DE"/>
        </w:rPr>
        <w:t>Diese Verpflichtung gilt jedoch nicht für Verträge, in denen ein garantiertes Minimum an Urheberrechten zu Lasten des Verlegers vorgesehen ist</w:t>
      </w:r>
      <w:r w:rsidR="0048281D" w:rsidRPr="004676F5">
        <w:rPr>
          <w:lang w:val="de-DE"/>
        </w:rPr>
        <w:t>[, oder für eine digitale Ausgabe]</w:t>
      </w:r>
      <w:r w:rsidRPr="004676F5">
        <w:rPr>
          <w:lang w:val="de-DE"/>
        </w:rPr>
        <w:t>.</w:t>
      </w:r>
    </w:p>
    <w:p w14:paraId="5F353B6E" w14:textId="77777777" w:rsidR="001527B1" w:rsidRPr="004676F5" w:rsidRDefault="001527B1" w:rsidP="0048281D">
      <w:pPr>
        <w:jc w:val="both"/>
        <w:rPr>
          <w:lang w:val="de-DE"/>
        </w:rPr>
      </w:pPr>
    </w:p>
    <w:p w14:paraId="315FFE75" w14:textId="48E027AB" w:rsidR="0048281D" w:rsidRPr="004676F5" w:rsidRDefault="0048281D" w:rsidP="0048281D">
      <w:pPr>
        <w:jc w:val="both"/>
        <w:rPr>
          <w:i/>
          <w:iCs/>
          <w:lang w:val="de-DE"/>
        </w:rPr>
      </w:pPr>
      <w:r w:rsidRPr="004676F5">
        <w:rPr>
          <w:i/>
          <w:iCs/>
          <w:lang w:val="de-DE"/>
        </w:rPr>
        <w:t>[Art. XI.195 Abs. 1 abgeändert durch Art. 23 Nr. 1 des G. vom 19. Juni 2022 (B.S. vom 1. August 2022); Abs. 2 abgeändert durch Art. 23 Nr. 2 des G. vom 19. Juni 2022 (B.S. vom 1. August 2022)]</w:t>
      </w:r>
    </w:p>
    <w:p w14:paraId="1835CA63" w14:textId="77777777" w:rsidR="00435B6C" w:rsidRPr="004676F5" w:rsidRDefault="00435B6C" w:rsidP="001527B1">
      <w:pPr>
        <w:ind w:firstLine="708"/>
        <w:jc w:val="both"/>
        <w:rPr>
          <w:lang w:val="de-DE"/>
        </w:rPr>
      </w:pPr>
    </w:p>
    <w:p w14:paraId="7EB702D5" w14:textId="77777777" w:rsidR="0048281D" w:rsidRPr="004676F5" w:rsidRDefault="0048281D" w:rsidP="001527B1">
      <w:pPr>
        <w:ind w:firstLine="708"/>
        <w:jc w:val="both"/>
        <w:rPr>
          <w:b/>
          <w:lang w:val="de-DE"/>
        </w:rPr>
      </w:pPr>
    </w:p>
    <w:p w14:paraId="2271BFA3" w14:textId="5286BF0C" w:rsidR="001527B1" w:rsidRPr="004676F5" w:rsidRDefault="00BE0A56" w:rsidP="006E6C4B">
      <w:pPr>
        <w:ind w:firstLine="708"/>
        <w:jc w:val="both"/>
        <w:rPr>
          <w:lang w:val="de-DE"/>
        </w:rPr>
      </w:pPr>
      <w:r w:rsidRPr="004676F5">
        <w:rPr>
          <w:b/>
          <w:lang w:val="de-DE"/>
        </w:rPr>
        <w:t>Art. </w:t>
      </w:r>
      <w:r w:rsidR="001527B1" w:rsidRPr="004676F5">
        <w:rPr>
          <w:b/>
          <w:lang w:val="de-DE"/>
        </w:rPr>
        <w:t>XI.196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6E6C4B" w:rsidRPr="004676F5">
        <w:rPr>
          <w:lang w:val="de-DE"/>
        </w:rPr>
        <w:t>[Der Verleger muss die Exemplare des Werkes in der in Artikel XI.167/4 erwähnten Frist herstellen oder herstellen lassen und im Falle einer digitalen Ausgabe das Werk in einem technisch verwertbaren Format in seinem Katalog digitaler Ausgaben anbieten und/oder über verschiedene digitale Kanäle öffentlich zugänglich machen.]</w:t>
      </w:r>
    </w:p>
    <w:p w14:paraId="00D19A53" w14:textId="77777777" w:rsidR="001527B1" w:rsidRPr="004676F5" w:rsidRDefault="001527B1" w:rsidP="001527B1">
      <w:pPr>
        <w:ind w:firstLine="708"/>
        <w:jc w:val="both"/>
        <w:rPr>
          <w:lang w:val="de-DE"/>
        </w:rPr>
      </w:pPr>
    </w:p>
    <w:p w14:paraId="4410BECA" w14:textId="637ADF77" w:rsidR="001527B1" w:rsidRPr="004676F5" w:rsidRDefault="001527B1" w:rsidP="006E6C4B">
      <w:pPr>
        <w:ind w:firstLine="708"/>
        <w:jc w:val="both"/>
        <w:rPr>
          <w:lang w:val="de-DE"/>
        </w:rPr>
      </w:pPr>
      <w:r w:rsidRPr="004676F5">
        <w:rPr>
          <w:lang w:val="de-DE"/>
        </w:rPr>
        <w:t>§ 2 </w:t>
      </w:r>
      <w:r w:rsidR="005B7A5C" w:rsidRPr="004676F5">
        <w:rPr>
          <w:lang w:val="de-DE"/>
        </w:rPr>
        <w:t>- </w:t>
      </w:r>
      <w:r w:rsidR="006E6C4B" w:rsidRPr="004676F5">
        <w:rPr>
          <w:lang w:val="de-DE"/>
        </w:rPr>
        <w:t>[...]</w:t>
      </w:r>
    </w:p>
    <w:p w14:paraId="517428D1" w14:textId="24ACB212" w:rsidR="001527B1" w:rsidRPr="004676F5" w:rsidRDefault="001527B1" w:rsidP="001527B1">
      <w:pPr>
        <w:ind w:firstLine="708"/>
        <w:jc w:val="both"/>
        <w:rPr>
          <w:lang w:val="de-DE"/>
        </w:rPr>
      </w:pPr>
    </w:p>
    <w:p w14:paraId="48F25F2D" w14:textId="05D02D2E" w:rsidR="006601DF" w:rsidRPr="004676F5" w:rsidRDefault="006601DF" w:rsidP="006601DF">
      <w:pPr>
        <w:ind w:firstLine="708"/>
        <w:jc w:val="both"/>
        <w:rPr>
          <w:lang w:val="de-DE"/>
        </w:rPr>
      </w:pPr>
      <w:r w:rsidRPr="004676F5">
        <w:rPr>
          <w:lang w:val="de-DE"/>
        </w:rPr>
        <w:t>[§ 2/1 </w:t>
      </w:r>
      <w:r w:rsidR="005B7A5C" w:rsidRPr="004676F5">
        <w:rPr>
          <w:lang w:val="de-DE"/>
        </w:rPr>
        <w:t>- </w:t>
      </w:r>
      <w:r w:rsidRPr="004676F5">
        <w:rPr>
          <w:lang w:val="de-DE"/>
        </w:rPr>
        <w:t>Der Urheber eines wissenschaftlichen Artikels, der im Rahmen einer mindestens zur Hälfte mit öffentlichen Mitteln finanzierten Forschungstätigkeit entstanden ist, behält, auch wenn er seine Rechte gemäß Artikel XI.167 an den Herausgeber einer Zeitschrift abgetreten oder unter eine einfache oder ausschließliche Lizenz gestellt hat, das Recht, das Manuskript nach Ablauf seit der Erstveröffentlichung von zwölf Monaten für Geistes</w:t>
      </w:r>
      <w:r w:rsidR="005B7A5C" w:rsidRPr="004676F5">
        <w:rPr>
          <w:lang w:val="de-DE"/>
        </w:rPr>
        <w:t>- </w:t>
      </w:r>
      <w:r w:rsidRPr="004676F5">
        <w:rPr>
          <w:lang w:val="de-DE"/>
        </w:rPr>
        <w:t>und Sozialwissenschaften und sechs Monaten für andere Wissenschaften in einer Zeitschrift kostenlos öffentlich zugänglich zu machen, wobei die Quelle der Erstveröffentlichung anzugeben ist.</w:t>
      </w:r>
    </w:p>
    <w:p w14:paraId="153A1E30" w14:textId="77777777" w:rsidR="006601DF" w:rsidRPr="004676F5" w:rsidRDefault="006601DF" w:rsidP="006601DF">
      <w:pPr>
        <w:ind w:firstLine="708"/>
        <w:jc w:val="both"/>
        <w:rPr>
          <w:lang w:val="de-DE"/>
        </w:rPr>
      </w:pPr>
    </w:p>
    <w:p w14:paraId="71A4CCEF" w14:textId="77777777" w:rsidR="006601DF" w:rsidRPr="004676F5" w:rsidRDefault="006601DF" w:rsidP="006601DF">
      <w:pPr>
        <w:ind w:firstLine="708"/>
        <w:jc w:val="both"/>
        <w:rPr>
          <w:lang w:val="de-DE"/>
        </w:rPr>
      </w:pPr>
      <w:r w:rsidRPr="004676F5">
        <w:rPr>
          <w:lang w:val="de-DE"/>
        </w:rPr>
        <w:t>Im Verlagsvertrag kann eine kürzere als die in Absatz 1 festgelegte Frist vorgesehen werden.</w:t>
      </w:r>
    </w:p>
    <w:p w14:paraId="5A56E130" w14:textId="77777777" w:rsidR="006601DF" w:rsidRPr="004676F5" w:rsidRDefault="006601DF" w:rsidP="006601DF">
      <w:pPr>
        <w:ind w:firstLine="708"/>
        <w:jc w:val="both"/>
        <w:rPr>
          <w:lang w:val="de-DE"/>
        </w:rPr>
      </w:pPr>
    </w:p>
    <w:p w14:paraId="5209CBB9" w14:textId="77777777" w:rsidR="006601DF" w:rsidRPr="004676F5" w:rsidRDefault="006601DF" w:rsidP="006601DF">
      <w:pPr>
        <w:ind w:firstLine="708"/>
        <w:jc w:val="both"/>
        <w:rPr>
          <w:lang w:val="de-DE"/>
        </w:rPr>
      </w:pPr>
      <w:r w:rsidRPr="004676F5">
        <w:rPr>
          <w:lang w:val="de-DE"/>
        </w:rPr>
        <w:t>Der König kann die in Absatz 1 festgelegte Frist verlängern.</w:t>
      </w:r>
    </w:p>
    <w:p w14:paraId="5CD95784" w14:textId="77777777" w:rsidR="006601DF" w:rsidRPr="004676F5" w:rsidRDefault="006601DF" w:rsidP="006601DF">
      <w:pPr>
        <w:ind w:firstLine="708"/>
        <w:jc w:val="both"/>
        <w:rPr>
          <w:lang w:val="de-DE"/>
        </w:rPr>
      </w:pPr>
    </w:p>
    <w:p w14:paraId="1038248C" w14:textId="591EDB57" w:rsidR="006601DF" w:rsidRPr="004676F5" w:rsidRDefault="006601DF" w:rsidP="006601DF">
      <w:pPr>
        <w:ind w:firstLine="708"/>
        <w:jc w:val="both"/>
        <w:rPr>
          <w:lang w:val="de-DE"/>
        </w:rPr>
      </w:pPr>
      <w:r w:rsidRPr="004676F5">
        <w:rPr>
          <w:lang w:val="de-DE"/>
        </w:rPr>
        <w:t>Auf das in Absatz 1 vorgesehene Recht kann nicht verzichtet werden. Dieses Recht ist zwingend und gilt ungeachtet des von den Parteien gewählten Rechts, wenn sich ein Anknüpfungspunkt in Belgien befindet. Es gilt auch für Werke, die vor Inkrafttreten des vorliegenden Paragraphen geschaffen wurden und zu diesem Zeitpunkt nicht öffentliches Eigentum sind.]</w:t>
      </w:r>
    </w:p>
    <w:p w14:paraId="0FD18F85" w14:textId="77777777" w:rsidR="006601DF" w:rsidRPr="004676F5" w:rsidRDefault="006601DF" w:rsidP="006601DF">
      <w:pPr>
        <w:ind w:firstLine="708"/>
        <w:jc w:val="both"/>
        <w:rPr>
          <w:lang w:val="de-DE"/>
        </w:rPr>
      </w:pPr>
    </w:p>
    <w:p w14:paraId="704EC72B" w14:textId="311AB155"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Verleger kann seinen Vertrag nicht ohne Zustimmung des Inhabers des Urheberrechts abtreten, außer wenn er gleichzeitig sein Unternehmen ganz oder teilweise abtritt.</w:t>
      </w:r>
    </w:p>
    <w:p w14:paraId="228C0FF6" w14:textId="724D1692" w:rsidR="006601DF" w:rsidRPr="004676F5" w:rsidRDefault="006601DF" w:rsidP="001527B1">
      <w:pPr>
        <w:ind w:firstLine="708"/>
        <w:jc w:val="both"/>
        <w:rPr>
          <w:lang w:val="de-DE"/>
        </w:rPr>
      </w:pPr>
    </w:p>
    <w:p w14:paraId="1267E6D0" w14:textId="095DD5CD" w:rsidR="006601DF" w:rsidRPr="004676F5" w:rsidRDefault="006601DF" w:rsidP="006601DF">
      <w:pPr>
        <w:jc w:val="both"/>
        <w:rPr>
          <w:i/>
          <w:iCs/>
          <w:lang w:val="de-DE"/>
        </w:rPr>
      </w:pPr>
      <w:r w:rsidRPr="004676F5">
        <w:rPr>
          <w:i/>
          <w:iCs/>
          <w:lang w:val="de-DE"/>
        </w:rPr>
        <w:t xml:space="preserve">[Art. XI.196 </w:t>
      </w:r>
      <w:r w:rsidR="006E6C4B" w:rsidRPr="004676F5">
        <w:rPr>
          <w:i/>
          <w:iCs/>
          <w:lang w:val="de-DE"/>
        </w:rPr>
        <w:t xml:space="preserve">§ 1 ersetzt durch Art. 24 Nr. 1 des G. vom 19. Juni 2022 (B.S. vom 1. August 2022); § 2 aufgehoben durch Art. 24 Nr. 2 des G. vom 19. Juni 2022 (B.S. vom 1. August 2022); </w:t>
      </w:r>
      <w:r w:rsidRPr="004676F5">
        <w:rPr>
          <w:i/>
          <w:iCs/>
          <w:lang w:val="de-DE"/>
        </w:rPr>
        <w:t>§ 2/1 eingefügt durch Art. 29</w:t>
      </w:r>
      <w:r w:rsidRPr="004676F5">
        <w:rPr>
          <w:i/>
          <w:lang w:val="de-DE"/>
        </w:rPr>
        <w:t xml:space="preserve"> des G. vom 30. Juli 2018 (II) (B.S. vom 5. September 2018)]</w:t>
      </w:r>
    </w:p>
    <w:p w14:paraId="193BB662" w14:textId="77777777" w:rsidR="001527B1" w:rsidRPr="004676F5" w:rsidRDefault="001527B1" w:rsidP="001527B1">
      <w:pPr>
        <w:ind w:firstLine="708"/>
        <w:jc w:val="both"/>
        <w:rPr>
          <w:lang w:val="de-DE"/>
        </w:rPr>
      </w:pPr>
    </w:p>
    <w:p w14:paraId="22D08786" w14:textId="77777777" w:rsidR="00435B6C" w:rsidRPr="004676F5" w:rsidRDefault="00435B6C" w:rsidP="001527B1">
      <w:pPr>
        <w:ind w:firstLine="708"/>
        <w:jc w:val="both"/>
        <w:rPr>
          <w:lang w:val="de-DE"/>
        </w:rPr>
      </w:pPr>
    </w:p>
    <w:p w14:paraId="34EBE2D1" w14:textId="0E0701CD" w:rsidR="001527B1" w:rsidRPr="004676F5" w:rsidRDefault="00BE0A56" w:rsidP="001527B1">
      <w:pPr>
        <w:ind w:firstLine="708"/>
        <w:jc w:val="both"/>
        <w:rPr>
          <w:lang w:val="de-DE"/>
        </w:rPr>
      </w:pPr>
      <w:r w:rsidRPr="004676F5">
        <w:rPr>
          <w:b/>
          <w:lang w:val="de-DE"/>
        </w:rPr>
        <w:t>Art. </w:t>
      </w:r>
      <w:r w:rsidR="001527B1" w:rsidRPr="004676F5">
        <w:rPr>
          <w:b/>
          <w:lang w:val="de-DE"/>
        </w:rPr>
        <w:t>XI.197</w:t>
      </w:r>
      <w:r w:rsidR="001527B1" w:rsidRPr="004676F5">
        <w:rPr>
          <w:lang w:val="de-DE"/>
        </w:rPr>
        <w:t> </w:t>
      </w:r>
      <w:r w:rsidR="005B7A5C" w:rsidRPr="004676F5">
        <w:rPr>
          <w:lang w:val="de-DE"/>
        </w:rPr>
        <w:t>- </w:t>
      </w:r>
      <w:r w:rsidR="001527B1" w:rsidRPr="004676F5">
        <w:rPr>
          <w:lang w:val="de-DE"/>
        </w:rPr>
        <w:t>In den drei Jahren nach Ablauf des Vertrags kann der Verleger die noch vorrätigen Exemplare zum normalen Preis verkaufen, außer wenn der Urheber es vorzieht, diese Exemplare selbst zu einem Preis aufzukaufen, der in Ermangelung einer Übereinstimmung vom Gericht festgelegt wird.</w:t>
      </w:r>
    </w:p>
    <w:p w14:paraId="58693C2C" w14:textId="77777777" w:rsidR="001527B1" w:rsidRPr="004676F5" w:rsidRDefault="001527B1" w:rsidP="001527B1">
      <w:pPr>
        <w:ind w:firstLine="708"/>
        <w:jc w:val="both"/>
        <w:rPr>
          <w:lang w:val="de-DE"/>
        </w:rPr>
      </w:pPr>
    </w:p>
    <w:p w14:paraId="5836526D" w14:textId="77777777" w:rsidR="00435B6C" w:rsidRPr="004676F5" w:rsidRDefault="00435B6C" w:rsidP="001527B1">
      <w:pPr>
        <w:ind w:firstLine="708"/>
        <w:jc w:val="both"/>
        <w:rPr>
          <w:lang w:val="de-DE"/>
        </w:rPr>
      </w:pPr>
    </w:p>
    <w:p w14:paraId="536C707B" w14:textId="58D9B22D" w:rsidR="001527B1" w:rsidRPr="004676F5" w:rsidRDefault="00BE0A56" w:rsidP="006E6C4B">
      <w:pPr>
        <w:ind w:firstLine="708"/>
        <w:jc w:val="both"/>
        <w:rPr>
          <w:lang w:val="de-DE"/>
        </w:rPr>
      </w:pPr>
      <w:r w:rsidRPr="004676F5">
        <w:rPr>
          <w:b/>
          <w:lang w:val="de-DE"/>
        </w:rPr>
        <w:t>Art. </w:t>
      </w:r>
      <w:r w:rsidR="001527B1" w:rsidRPr="004676F5">
        <w:rPr>
          <w:b/>
          <w:lang w:val="de-DE"/>
        </w:rPr>
        <w:t>XI.198</w:t>
      </w:r>
      <w:r w:rsidR="001527B1" w:rsidRPr="004676F5">
        <w:rPr>
          <w:lang w:val="de-DE"/>
        </w:rPr>
        <w:t> </w:t>
      </w:r>
      <w:r w:rsidR="005B7A5C" w:rsidRPr="004676F5">
        <w:rPr>
          <w:lang w:val="de-DE"/>
        </w:rPr>
        <w:t>- </w:t>
      </w:r>
      <w:r w:rsidR="006E6C4B" w:rsidRPr="004676F5">
        <w:rPr>
          <w:lang w:val="de-DE"/>
        </w:rPr>
        <w:t>[...]</w:t>
      </w:r>
    </w:p>
    <w:p w14:paraId="3565C324" w14:textId="77777777" w:rsidR="006E6C4B" w:rsidRPr="004676F5" w:rsidRDefault="006E6C4B" w:rsidP="006E6C4B">
      <w:pPr>
        <w:ind w:firstLine="708"/>
        <w:jc w:val="both"/>
        <w:rPr>
          <w:lang w:val="de-DE"/>
        </w:rPr>
      </w:pPr>
    </w:p>
    <w:p w14:paraId="3132266C" w14:textId="7C897F61" w:rsidR="006E6C4B" w:rsidRPr="004676F5" w:rsidRDefault="006E6C4B" w:rsidP="006E6C4B">
      <w:pPr>
        <w:jc w:val="both"/>
        <w:rPr>
          <w:i/>
          <w:iCs/>
          <w:lang w:val="de-DE"/>
        </w:rPr>
      </w:pPr>
      <w:r w:rsidRPr="004676F5">
        <w:rPr>
          <w:i/>
          <w:iCs/>
          <w:lang w:val="de-DE"/>
        </w:rPr>
        <w:t>[Art. XI.198 aufgehoben durch Art. 25 des G. vom 19. Juni 2022 (B.S. vom 1. August 2022)]</w:t>
      </w:r>
    </w:p>
    <w:p w14:paraId="02240770" w14:textId="77777777" w:rsidR="001527B1" w:rsidRPr="004676F5" w:rsidRDefault="001527B1" w:rsidP="001527B1">
      <w:pPr>
        <w:ind w:firstLine="708"/>
        <w:jc w:val="both"/>
        <w:rPr>
          <w:lang w:val="de-DE"/>
        </w:rPr>
      </w:pPr>
    </w:p>
    <w:p w14:paraId="3B3E049E" w14:textId="77777777" w:rsidR="00435B6C" w:rsidRPr="004676F5" w:rsidRDefault="00435B6C" w:rsidP="001527B1">
      <w:pPr>
        <w:ind w:firstLine="708"/>
        <w:jc w:val="both"/>
        <w:rPr>
          <w:lang w:val="de-DE"/>
        </w:rPr>
      </w:pPr>
    </w:p>
    <w:p w14:paraId="5543EC54" w14:textId="21F98A0B" w:rsidR="001527B1" w:rsidRPr="004676F5" w:rsidRDefault="00BE0A56" w:rsidP="001527B1">
      <w:pPr>
        <w:ind w:firstLine="708"/>
        <w:jc w:val="both"/>
        <w:rPr>
          <w:lang w:val="de-DE"/>
        </w:rPr>
      </w:pPr>
      <w:r w:rsidRPr="004676F5">
        <w:rPr>
          <w:b/>
          <w:lang w:val="de-DE"/>
        </w:rPr>
        <w:t>Art. </w:t>
      </w:r>
      <w:r w:rsidR="001527B1" w:rsidRPr="004676F5">
        <w:rPr>
          <w:b/>
          <w:lang w:val="de-DE"/>
        </w:rPr>
        <w:t>XI.199</w:t>
      </w:r>
      <w:r w:rsidR="001527B1" w:rsidRPr="004676F5">
        <w:rPr>
          <w:lang w:val="de-DE"/>
        </w:rPr>
        <w:t> </w:t>
      </w:r>
      <w:r w:rsidR="005B7A5C" w:rsidRPr="004676F5">
        <w:rPr>
          <w:lang w:val="de-DE"/>
        </w:rPr>
        <w:t>- </w:t>
      </w:r>
      <w:r w:rsidR="001527B1" w:rsidRPr="004676F5">
        <w:rPr>
          <w:lang w:val="de-DE"/>
        </w:rPr>
        <w:t>Ungeachtet jeglicher anderen Gründe für die Auflösung eines Verlags</w:t>
      </w:r>
      <w:r w:rsidR="001527B1" w:rsidRPr="004676F5">
        <w:rPr>
          <w:lang w:val="de-DE"/>
        </w:rPr>
        <w:softHyphen/>
        <w:t>vertrags kann der Urheber die Auflösung verlangen, wenn der Verleger zur vollständigen Vernichtung der Exemplare übergeht.</w:t>
      </w:r>
    </w:p>
    <w:p w14:paraId="29CE3593" w14:textId="77777777" w:rsidR="001527B1" w:rsidRPr="004676F5" w:rsidRDefault="001527B1" w:rsidP="001527B1">
      <w:pPr>
        <w:ind w:firstLine="708"/>
        <w:jc w:val="both"/>
        <w:rPr>
          <w:lang w:val="de-DE"/>
        </w:rPr>
      </w:pPr>
    </w:p>
    <w:p w14:paraId="66EA00D2" w14:textId="77777777" w:rsidR="001527B1" w:rsidRPr="004676F5" w:rsidRDefault="001527B1" w:rsidP="001527B1">
      <w:pPr>
        <w:ind w:firstLine="708"/>
        <w:jc w:val="both"/>
        <w:rPr>
          <w:lang w:val="de-DE"/>
        </w:rPr>
      </w:pPr>
      <w:r w:rsidRPr="004676F5">
        <w:rPr>
          <w:lang w:val="de-DE"/>
        </w:rPr>
        <w:t>Im Falle einer Auflösung des Vertrags darf der Urheber die noch vorrätigen Exemplare zu einem Preis kaufen, der bei Uneinigkeit zwischen Verleger und Urheber vom Gericht festgelegt wird.</w:t>
      </w:r>
    </w:p>
    <w:p w14:paraId="3A2E6FE0" w14:textId="77777777" w:rsidR="001527B1" w:rsidRPr="004676F5" w:rsidRDefault="001527B1" w:rsidP="001527B1">
      <w:pPr>
        <w:ind w:firstLine="708"/>
        <w:jc w:val="both"/>
        <w:rPr>
          <w:lang w:val="de-DE"/>
        </w:rPr>
      </w:pPr>
    </w:p>
    <w:p w14:paraId="2286BA52" w14:textId="77777777" w:rsidR="001527B1" w:rsidRPr="004676F5" w:rsidRDefault="001527B1" w:rsidP="001527B1">
      <w:pPr>
        <w:ind w:firstLine="708"/>
        <w:jc w:val="both"/>
        <w:rPr>
          <w:lang w:val="de-DE"/>
        </w:rPr>
      </w:pPr>
      <w:r w:rsidRPr="004676F5">
        <w:rPr>
          <w:lang w:val="de-DE"/>
        </w:rPr>
        <w:t>Die Tatsache, dass der Urheber die Auflösung des Vertrags verlangt, kann Nutzungsverträge, die der Verleger rechtsgültig mit Dritten abgeschlossen hat, nicht beeinträchtigen, wobei dem Urheber gegen diese Personen eine Direktklage zur Zahlung der gegebenenfalls vereinbarten Vergütung, die ihm aus diesem Grund zusteht, offensteht.</w:t>
      </w:r>
    </w:p>
    <w:p w14:paraId="25A69C61" w14:textId="77777777" w:rsidR="001527B1" w:rsidRPr="004676F5" w:rsidRDefault="001527B1" w:rsidP="001527B1">
      <w:pPr>
        <w:ind w:firstLine="708"/>
        <w:jc w:val="both"/>
        <w:rPr>
          <w:lang w:val="de-DE"/>
        </w:rPr>
      </w:pPr>
    </w:p>
    <w:p w14:paraId="03C9FEBF" w14:textId="77777777" w:rsidR="00435B6C" w:rsidRPr="004676F5" w:rsidRDefault="00435B6C" w:rsidP="001527B1">
      <w:pPr>
        <w:ind w:firstLine="708"/>
        <w:jc w:val="both"/>
        <w:rPr>
          <w:lang w:val="de-DE"/>
        </w:rPr>
      </w:pPr>
    </w:p>
    <w:p w14:paraId="773EA021" w14:textId="728DB242" w:rsidR="001527B1" w:rsidRPr="004676F5" w:rsidRDefault="00BE0A56" w:rsidP="001527B1">
      <w:pPr>
        <w:ind w:firstLine="708"/>
        <w:jc w:val="both"/>
        <w:rPr>
          <w:lang w:val="de-DE"/>
        </w:rPr>
      </w:pPr>
      <w:r w:rsidRPr="004676F5">
        <w:rPr>
          <w:b/>
          <w:lang w:val="de-DE"/>
        </w:rPr>
        <w:t>Art. </w:t>
      </w:r>
      <w:r w:rsidR="001527B1" w:rsidRPr="004676F5">
        <w:rPr>
          <w:b/>
          <w:lang w:val="de-DE"/>
        </w:rPr>
        <w:t>XI.200</w:t>
      </w:r>
      <w:r w:rsidR="001527B1" w:rsidRPr="004676F5">
        <w:rPr>
          <w:lang w:val="de-DE"/>
        </w:rPr>
        <w:t> </w:t>
      </w:r>
      <w:r w:rsidR="005B7A5C" w:rsidRPr="004676F5">
        <w:rPr>
          <w:lang w:val="de-DE"/>
        </w:rPr>
        <w:t>- </w:t>
      </w:r>
      <w:r w:rsidR="001527B1" w:rsidRPr="004676F5">
        <w:rPr>
          <w:lang w:val="de-DE"/>
        </w:rPr>
        <w:t>Im Falle von Konkurs, gerichtlicher Reorganisation oder Liquidation des Unternehmens des Verlegers kann der Urheber den ursprünglichen Vertrag sofort per Einschreiben mit Rückschein aufkündigen.</w:t>
      </w:r>
    </w:p>
    <w:p w14:paraId="3891FB6A" w14:textId="77777777" w:rsidR="001527B1" w:rsidRPr="004676F5" w:rsidRDefault="001527B1" w:rsidP="001527B1">
      <w:pPr>
        <w:ind w:firstLine="708"/>
        <w:jc w:val="both"/>
        <w:rPr>
          <w:lang w:val="de-DE"/>
        </w:rPr>
      </w:pPr>
    </w:p>
    <w:p w14:paraId="5366DADD" w14:textId="77777777" w:rsidR="001527B1" w:rsidRPr="004676F5" w:rsidRDefault="001527B1" w:rsidP="001527B1">
      <w:pPr>
        <w:ind w:firstLine="708"/>
        <w:jc w:val="both"/>
        <w:rPr>
          <w:lang w:val="de-DE"/>
        </w:rPr>
      </w:pPr>
      <w:r w:rsidRPr="004676F5">
        <w:rPr>
          <w:lang w:val="de-DE"/>
        </w:rPr>
        <w:t>Alle Exemplare, Kopien und Vervielfältigungen, auf die das Urheberrecht anwendbar ist, müssen vorrangig dem Urheber zu einem Preis angeboten werden, der bei Uneinigkeit zwischen Konkursverwalter und Urheber von dem Richter, bei dem die Sache anhängig ist, festgelegt wird auf Antrag der zuerst handelnden Partei, nachdem der Konkursverwalter oder der Urheber ordnungsgemäß geladen worden ist und gegebenenfalls auf Stellungnahme eines oder mehrerer Sachverständigen.</w:t>
      </w:r>
    </w:p>
    <w:p w14:paraId="2BE72375" w14:textId="77777777" w:rsidR="001527B1" w:rsidRPr="004676F5" w:rsidRDefault="001527B1" w:rsidP="001527B1">
      <w:pPr>
        <w:ind w:firstLine="708"/>
        <w:jc w:val="both"/>
        <w:rPr>
          <w:lang w:val="de-DE"/>
        </w:rPr>
      </w:pPr>
    </w:p>
    <w:p w14:paraId="5D480ACE" w14:textId="77777777" w:rsidR="001527B1" w:rsidRPr="004676F5" w:rsidRDefault="001527B1" w:rsidP="001527B1">
      <w:pPr>
        <w:ind w:firstLine="708"/>
        <w:jc w:val="both"/>
        <w:rPr>
          <w:lang w:val="de-DE"/>
        </w:rPr>
      </w:pPr>
      <w:r w:rsidRPr="004676F5">
        <w:rPr>
          <w:lang w:val="de-DE"/>
        </w:rPr>
        <w:t>Der Urheber verliert sein Vorrangsrecht, wenn er dem Konkursverwalter nicht innerhalb dreißig Tagen nach Empfang des Angebots mitteilt, dass er dieses Recht ausüben möchte. Angebot und Annahme müssen zur Vermeidung der Nichtigkeit per Gerichtsvoll</w:t>
      </w:r>
      <w:r w:rsidRPr="004676F5">
        <w:rPr>
          <w:lang w:val="de-DE"/>
        </w:rPr>
        <w:softHyphen/>
        <w:t>zieherurkunde oder per Einschreiben mit Rückschein erfolgen. Der Urheber des Werkes kann per Gerichtsvollzieherurkunde oder per Einschreiben an den Konkursverwalter auf sein Vorrangsrecht verzichten.</w:t>
      </w:r>
    </w:p>
    <w:p w14:paraId="2FD36FBB" w14:textId="77777777" w:rsidR="001527B1" w:rsidRPr="004676F5" w:rsidRDefault="001527B1" w:rsidP="001527B1">
      <w:pPr>
        <w:ind w:firstLine="708"/>
        <w:jc w:val="both"/>
        <w:rPr>
          <w:lang w:val="de-DE"/>
        </w:rPr>
      </w:pPr>
    </w:p>
    <w:p w14:paraId="5D722C2D" w14:textId="77777777" w:rsidR="001527B1" w:rsidRPr="004676F5" w:rsidRDefault="001527B1" w:rsidP="001527B1">
      <w:pPr>
        <w:ind w:firstLine="708"/>
        <w:jc w:val="both"/>
        <w:rPr>
          <w:lang w:val="de-DE"/>
        </w:rPr>
      </w:pPr>
      <w:r w:rsidRPr="004676F5">
        <w:rPr>
          <w:lang w:val="de-DE"/>
        </w:rPr>
        <w:t>Wird das in Absatz 2 erwähnte Verfahren angewandt, kann der Urheber auf dieselbe Weise das ihm unterbreitete Angebot innerhalb einer Frist von fünfzehn Tagen ab dem Tag, an dem ihm von dem oder den Sachverständigen die für gleichlautend erklärte Abschrift des Berichts per Einschreiben notifiziert worden ist, ausschlagen.</w:t>
      </w:r>
    </w:p>
    <w:p w14:paraId="0015B2FD" w14:textId="77777777" w:rsidR="001527B1" w:rsidRPr="004676F5" w:rsidRDefault="001527B1" w:rsidP="001527B1">
      <w:pPr>
        <w:ind w:firstLine="708"/>
        <w:jc w:val="both"/>
        <w:rPr>
          <w:lang w:val="de-DE"/>
        </w:rPr>
      </w:pPr>
    </w:p>
    <w:p w14:paraId="5B8031F4" w14:textId="77777777" w:rsidR="001527B1" w:rsidRPr="004676F5" w:rsidRDefault="001527B1" w:rsidP="001527B1">
      <w:pPr>
        <w:ind w:firstLine="708"/>
        <w:jc w:val="both"/>
        <w:rPr>
          <w:lang w:val="de-DE"/>
        </w:rPr>
      </w:pPr>
      <w:r w:rsidRPr="004676F5">
        <w:rPr>
          <w:lang w:val="de-DE"/>
        </w:rPr>
        <w:t>Sachverständigenkosten werden unter allen Gläubigern und dem Urheber aufgeteilt.</w:t>
      </w:r>
    </w:p>
    <w:p w14:paraId="600957A0" w14:textId="77777777" w:rsidR="00435B6C" w:rsidRPr="004676F5" w:rsidRDefault="00435B6C" w:rsidP="00435B6C">
      <w:pPr>
        <w:rPr>
          <w:lang w:val="de-DE"/>
        </w:rPr>
      </w:pPr>
    </w:p>
    <w:p w14:paraId="61737183" w14:textId="77777777" w:rsidR="00435B6C" w:rsidRPr="004676F5" w:rsidRDefault="00435B6C" w:rsidP="00435B6C">
      <w:pPr>
        <w:rPr>
          <w:lang w:val="de-DE"/>
        </w:rPr>
      </w:pPr>
    </w:p>
    <w:p w14:paraId="55061817" w14:textId="32D358E0" w:rsidR="001527B1" w:rsidRPr="004676F5" w:rsidRDefault="001527B1" w:rsidP="00435B6C">
      <w:pPr>
        <w:jc w:val="center"/>
        <w:rPr>
          <w:lang w:val="de-DE"/>
        </w:rPr>
      </w:pPr>
      <w:r w:rsidRPr="004676F5">
        <w:rPr>
          <w:i/>
          <w:lang w:val="de-DE"/>
        </w:rPr>
        <w:t>Abschnitt 9 </w:t>
      </w:r>
      <w:r w:rsidR="005B7A5C" w:rsidRPr="004676F5">
        <w:rPr>
          <w:lang w:val="de-DE"/>
        </w:rPr>
        <w:t>- </w:t>
      </w:r>
      <w:r w:rsidRPr="004676F5">
        <w:rPr>
          <w:lang w:val="de-DE"/>
        </w:rPr>
        <w:t>Aufführungsvertrag</w:t>
      </w:r>
    </w:p>
    <w:p w14:paraId="65D70551" w14:textId="77777777" w:rsidR="001527B1" w:rsidRPr="004676F5" w:rsidRDefault="001527B1" w:rsidP="001527B1">
      <w:pPr>
        <w:jc w:val="both"/>
        <w:rPr>
          <w:lang w:val="de-DE"/>
        </w:rPr>
      </w:pPr>
    </w:p>
    <w:p w14:paraId="04F3E1E6" w14:textId="77777777" w:rsidR="00435B6C" w:rsidRPr="004676F5" w:rsidRDefault="00435B6C" w:rsidP="001527B1">
      <w:pPr>
        <w:jc w:val="both"/>
        <w:rPr>
          <w:lang w:val="de-DE"/>
        </w:rPr>
      </w:pPr>
    </w:p>
    <w:p w14:paraId="1B2DF67F" w14:textId="73C248EC" w:rsidR="001527B1" w:rsidRPr="004676F5" w:rsidRDefault="00BE0A56" w:rsidP="001527B1">
      <w:pPr>
        <w:ind w:firstLine="708"/>
        <w:jc w:val="both"/>
        <w:rPr>
          <w:lang w:val="de-DE"/>
        </w:rPr>
      </w:pPr>
      <w:r w:rsidRPr="004676F5">
        <w:rPr>
          <w:b/>
          <w:lang w:val="de-DE"/>
        </w:rPr>
        <w:t>Art. </w:t>
      </w:r>
      <w:r w:rsidR="001527B1" w:rsidRPr="004676F5">
        <w:rPr>
          <w:b/>
          <w:lang w:val="de-DE"/>
        </w:rPr>
        <w:t>XI.201</w:t>
      </w:r>
      <w:r w:rsidR="001527B1" w:rsidRPr="004676F5">
        <w:rPr>
          <w:lang w:val="de-DE"/>
        </w:rPr>
        <w:t> </w:t>
      </w:r>
      <w:r w:rsidR="005B7A5C" w:rsidRPr="004676F5">
        <w:rPr>
          <w:lang w:val="de-DE"/>
        </w:rPr>
        <w:t>- </w:t>
      </w:r>
      <w:r w:rsidR="001527B1" w:rsidRPr="004676F5">
        <w:rPr>
          <w:lang w:val="de-DE"/>
        </w:rPr>
        <w:t>Ein Aufführungsvertrag muss für begrenzte Dauer oder für eine bestimmte Anzahl öffentlicher Wiedergaben abgeschlossen werden.</w:t>
      </w:r>
    </w:p>
    <w:p w14:paraId="4D56139E" w14:textId="77777777" w:rsidR="001527B1" w:rsidRPr="004676F5" w:rsidRDefault="001527B1" w:rsidP="001527B1">
      <w:pPr>
        <w:ind w:firstLine="708"/>
        <w:jc w:val="both"/>
        <w:rPr>
          <w:lang w:val="de-DE"/>
        </w:rPr>
      </w:pPr>
    </w:p>
    <w:p w14:paraId="7A3B780D" w14:textId="60545947" w:rsidR="001527B1" w:rsidRPr="004676F5" w:rsidRDefault="006E6C4B" w:rsidP="001527B1">
      <w:pPr>
        <w:ind w:firstLine="708"/>
        <w:jc w:val="both"/>
        <w:rPr>
          <w:lang w:val="de-DE"/>
        </w:rPr>
      </w:pPr>
      <w:r w:rsidRPr="004676F5">
        <w:rPr>
          <w:lang w:val="de-DE"/>
        </w:rPr>
        <w:t>[</w:t>
      </w:r>
      <w:r w:rsidR="001527B1" w:rsidRPr="004676F5">
        <w:rPr>
          <w:lang w:val="de-DE"/>
        </w:rPr>
        <w:t xml:space="preserve">Die </w:t>
      </w:r>
      <w:r w:rsidRPr="004676F5">
        <w:rPr>
          <w:lang w:val="de-DE"/>
        </w:rPr>
        <w:t>Abtret</w:t>
      </w:r>
      <w:r w:rsidR="001527B1" w:rsidRPr="004676F5">
        <w:rPr>
          <w:lang w:val="de-DE"/>
        </w:rPr>
        <w:t>ung</w:t>
      </w:r>
      <w:r w:rsidRPr="004676F5">
        <w:rPr>
          <w:lang w:val="de-DE"/>
        </w:rPr>
        <w:t>]</w:t>
      </w:r>
      <w:r w:rsidR="001527B1" w:rsidRPr="004676F5">
        <w:rPr>
          <w:lang w:val="de-DE"/>
        </w:rPr>
        <w:t xml:space="preserve"> oder ausschließliche Lizenz, die ein Urheber im Hinblick auf Livevorstellungen gewährt, ist höchstens drei Jahre gültig; die Unterbrechung der Aufführungen während zwei aufeinander folgender Jahre führt dazu, dass diese Rechte von Rechts wegen erlöschen.</w:t>
      </w:r>
    </w:p>
    <w:p w14:paraId="56797AE4" w14:textId="77777777" w:rsidR="001527B1" w:rsidRPr="004676F5" w:rsidRDefault="001527B1" w:rsidP="001527B1">
      <w:pPr>
        <w:ind w:firstLine="708"/>
        <w:jc w:val="both"/>
        <w:rPr>
          <w:lang w:val="de-DE"/>
        </w:rPr>
      </w:pPr>
    </w:p>
    <w:p w14:paraId="1F00BA12" w14:textId="77777777" w:rsidR="006E6C4B" w:rsidRPr="004676F5" w:rsidRDefault="006E6C4B">
      <w:pPr>
        <w:rPr>
          <w:lang w:val="de-DE"/>
        </w:rPr>
      </w:pPr>
      <w:r w:rsidRPr="004676F5">
        <w:rPr>
          <w:lang w:val="de-DE"/>
        </w:rPr>
        <w:br w:type="page"/>
      </w:r>
    </w:p>
    <w:p w14:paraId="0D6C5386" w14:textId="0A133C66" w:rsidR="001527B1" w:rsidRPr="004676F5" w:rsidRDefault="001527B1" w:rsidP="001527B1">
      <w:pPr>
        <w:ind w:firstLine="708"/>
        <w:jc w:val="both"/>
        <w:rPr>
          <w:lang w:val="de-DE"/>
        </w:rPr>
      </w:pPr>
      <w:r w:rsidRPr="004676F5">
        <w:rPr>
          <w:lang w:val="de-DE"/>
        </w:rPr>
        <w:lastRenderedPageBreak/>
        <w:t>Der Begünstigte eines Aufführungsvertrags kann diesen Vertrag nicht ohne Zustimmung des Urhebers an Dritte abtreten, außer wenn er gleichzeitig sein Unternehmen ganz oder teilweise abtritt.</w:t>
      </w:r>
    </w:p>
    <w:p w14:paraId="40E7C2F8" w14:textId="77777777" w:rsidR="006E6C4B" w:rsidRPr="004676F5" w:rsidRDefault="006E6C4B" w:rsidP="001527B1">
      <w:pPr>
        <w:ind w:firstLine="708"/>
        <w:jc w:val="both"/>
        <w:rPr>
          <w:lang w:val="de-DE"/>
        </w:rPr>
      </w:pPr>
    </w:p>
    <w:p w14:paraId="35B75A3D" w14:textId="633BD97B" w:rsidR="006E6C4B" w:rsidRPr="004676F5" w:rsidRDefault="006E6C4B" w:rsidP="006E6C4B">
      <w:pPr>
        <w:jc w:val="both"/>
        <w:rPr>
          <w:i/>
          <w:iCs/>
          <w:lang w:val="de-DE"/>
        </w:rPr>
      </w:pPr>
      <w:r w:rsidRPr="004676F5">
        <w:rPr>
          <w:i/>
          <w:iCs/>
          <w:lang w:val="de-DE"/>
        </w:rPr>
        <w:t>[Art. XI.201 Abs. 2 abgeändert durch Art. 26 des G. vom 19. Juni 2022 (B.S. vom 1. August 2022)]</w:t>
      </w:r>
    </w:p>
    <w:p w14:paraId="0FCCF53A" w14:textId="77777777" w:rsidR="001527B1" w:rsidRPr="004676F5" w:rsidRDefault="001527B1" w:rsidP="001527B1">
      <w:pPr>
        <w:ind w:firstLine="708"/>
        <w:jc w:val="both"/>
        <w:rPr>
          <w:lang w:val="de-DE"/>
        </w:rPr>
      </w:pPr>
    </w:p>
    <w:p w14:paraId="44E878BA" w14:textId="77777777" w:rsidR="00435B6C" w:rsidRPr="004676F5" w:rsidRDefault="00435B6C" w:rsidP="001527B1">
      <w:pPr>
        <w:ind w:firstLine="708"/>
        <w:jc w:val="both"/>
        <w:rPr>
          <w:lang w:val="de-DE"/>
        </w:rPr>
      </w:pPr>
    </w:p>
    <w:p w14:paraId="256C5C6D" w14:textId="3123FDE3" w:rsidR="001527B1" w:rsidRPr="004676F5" w:rsidRDefault="00BE0A56" w:rsidP="001527B1">
      <w:pPr>
        <w:ind w:firstLine="708"/>
        <w:jc w:val="both"/>
        <w:rPr>
          <w:lang w:val="de-DE"/>
        </w:rPr>
      </w:pPr>
      <w:r w:rsidRPr="004676F5">
        <w:rPr>
          <w:b/>
          <w:lang w:val="de-DE"/>
        </w:rPr>
        <w:t>Art. </w:t>
      </w:r>
      <w:r w:rsidR="001527B1" w:rsidRPr="004676F5">
        <w:rPr>
          <w:b/>
          <w:lang w:val="de-DE"/>
        </w:rPr>
        <w:t>XI.202</w:t>
      </w:r>
      <w:r w:rsidR="001527B1" w:rsidRPr="004676F5">
        <w:rPr>
          <w:lang w:val="de-DE"/>
        </w:rPr>
        <w:t> </w:t>
      </w:r>
      <w:r w:rsidR="005B7A5C" w:rsidRPr="004676F5">
        <w:rPr>
          <w:lang w:val="de-DE"/>
        </w:rPr>
        <w:t>- </w:t>
      </w:r>
      <w:r w:rsidR="001527B1" w:rsidRPr="004676F5">
        <w:rPr>
          <w:lang w:val="de-DE"/>
        </w:rPr>
        <w:t>Der Begünstigte eines Aufführungsvertrags muss dem Urheber oder dessen Rechtsnachfolgern das genaue Programm der öffentlichen Aufführungen oder Darbietungen mitteilen und ihnen eine mit Belegen versehene Aufstellung seiner Einnahmen übermitteln.</w:t>
      </w:r>
    </w:p>
    <w:p w14:paraId="492287CE" w14:textId="77777777" w:rsidR="001527B1" w:rsidRPr="004676F5" w:rsidRDefault="001527B1" w:rsidP="001527B1">
      <w:pPr>
        <w:ind w:firstLine="708"/>
        <w:jc w:val="both"/>
        <w:rPr>
          <w:lang w:val="de-DE"/>
        </w:rPr>
      </w:pPr>
    </w:p>
    <w:p w14:paraId="4CC0CB3E" w14:textId="0BB3D755" w:rsidR="001527B1" w:rsidRPr="004676F5" w:rsidRDefault="006E6C4B" w:rsidP="001527B1">
      <w:pPr>
        <w:ind w:firstLine="708"/>
        <w:jc w:val="both"/>
        <w:rPr>
          <w:lang w:val="de-DE"/>
        </w:rPr>
      </w:pPr>
      <w:r w:rsidRPr="004676F5">
        <w:rPr>
          <w:lang w:val="de-DE"/>
        </w:rPr>
        <w:t>[...]</w:t>
      </w:r>
    </w:p>
    <w:p w14:paraId="1876D8C7" w14:textId="77777777" w:rsidR="006E6C4B" w:rsidRPr="004676F5" w:rsidRDefault="006E6C4B" w:rsidP="001527B1">
      <w:pPr>
        <w:ind w:firstLine="708"/>
        <w:jc w:val="both"/>
        <w:rPr>
          <w:lang w:val="de-DE"/>
        </w:rPr>
      </w:pPr>
    </w:p>
    <w:p w14:paraId="6527D478" w14:textId="31BC2BF3" w:rsidR="006E6C4B" w:rsidRPr="004676F5" w:rsidRDefault="006E6C4B" w:rsidP="006E6C4B">
      <w:pPr>
        <w:jc w:val="both"/>
        <w:rPr>
          <w:i/>
          <w:iCs/>
          <w:lang w:val="de-DE"/>
        </w:rPr>
      </w:pPr>
      <w:r w:rsidRPr="004676F5">
        <w:rPr>
          <w:i/>
          <w:iCs/>
          <w:lang w:val="de-DE"/>
        </w:rPr>
        <w:t>[Art. XI.202 früherer Absatz 2</w:t>
      </w:r>
      <w:r w:rsidR="002501EB" w:rsidRPr="004676F5">
        <w:rPr>
          <w:i/>
          <w:iCs/>
          <w:lang w:val="de-DE"/>
        </w:rPr>
        <w:t xml:space="preserve"> aufgehoben durch Art. 27 des G. vom 19. Juni 2022 (B.S. vom 1. August 2022)]</w:t>
      </w:r>
    </w:p>
    <w:p w14:paraId="1B41E876" w14:textId="77777777" w:rsidR="001527B1" w:rsidRPr="004676F5" w:rsidRDefault="001527B1" w:rsidP="001527B1">
      <w:pPr>
        <w:jc w:val="both"/>
        <w:rPr>
          <w:lang w:val="de-DE"/>
        </w:rPr>
      </w:pPr>
    </w:p>
    <w:p w14:paraId="1F82DA76" w14:textId="79EF1409" w:rsidR="00C25F31" w:rsidRPr="004676F5" w:rsidRDefault="00C25F31">
      <w:pPr>
        <w:rPr>
          <w:lang w:val="de-DE"/>
        </w:rPr>
      </w:pPr>
    </w:p>
    <w:p w14:paraId="396AEF20" w14:textId="77777777" w:rsidR="006E6C4B" w:rsidRPr="004676F5" w:rsidRDefault="006E6C4B">
      <w:pPr>
        <w:rPr>
          <w:lang w:val="de-DE"/>
        </w:rPr>
      </w:pPr>
      <w:r w:rsidRPr="004676F5">
        <w:rPr>
          <w:lang w:val="de-DE"/>
        </w:rPr>
        <w:br w:type="page"/>
      </w:r>
    </w:p>
    <w:p w14:paraId="7A03A234" w14:textId="5A518AAE" w:rsidR="001527B1" w:rsidRPr="004676F5" w:rsidRDefault="001527B1" w:rsidP="001527B1">
      <w:pPr>
        <w:jc w:val="center"/>
        <w:rPr>
          <w:lang w:val="de-DE"/>
        </w:rPr>
      </w:pPr>
      <w:r w:rsidRPr="004676F5">
        <w:rPr>
          <w:lang w:val="de-DE"/>
        </w:rPr>
        <w:lastRenderedPageBreak/>
        <w:t>KAPITEL 3 </w:t>
      </w:r>
      <w:r w:rsidR="005B7A5C" w:rsidRPr="004676F5">
        <w:rPr>
          <w:lang w:val="de-DE"/>
        </w:rPr>
        <w:t>- </w:t>
      </w:r>
      <w:r w:rsidRPr="004676F5">
        <w:rPr>
          <w:i/>
          <w:lang w:val="de-DE"/>
        </w:rPr>
        <w:t>Verwandte Schutzrechte</w:t>
      </w:r>
    </w:p>
    <w:p w14:paraId="78728DB6" w14:textId="77777777" w:rsidR="001527B1" w:rsidRPr="004676F5" w:rsidRDefault="001527B1" w:rsidP="001527B1">
      <w:pPr>
        <w:jc w:val="center"/>
        <w:rPr>
          <w:lang w:val="de-DE"/>
        </w:rPr>
      </w:pPr>
    </w:p>
    <w:p w14:paraId="5DB383D0" w14:textId="77777777" w:rsidR="00435B6C" w:rsidRPr="004676F5" w:rsidRDefault="00435B6C" w:rsidP="001527B1">
      <w:pPr>
        <w:jc w:val="center"/>
        <w:rPr>
          <w:lang w:val="de-DE"/>
        </w:rPr>
      </w:pPr>
    </w:p>
    <w:p w14:paraId="4AD4B6C7" w14:textId="5298B3C6" w:rsidR="001527B1" w:rsidRPr="004676F5" w:rsidRDefault="001527B1" w:rsidP="001527B1">
      <w:pPr>
        <w:jc w:val="center"/>
        <w:rPr>
          <w:lang w:val="de-DE"/>
        </w:rPr>
      </w:pPr>
      <w:r w:rsidRPr="004676F5">
        <w:rPr>
          <w:i/>
          <w:lang w:val="de-DE"/>
        </w:rPr>
        <w:t>Abschnitt 1 </w:t>
      </w:r>
      <w:r w:rsidR="005B7A5C" w:rsidRPr="004676F5">
        <w:rPr>
          <w:lang w:val="de-DE"/>
        </w:rPr>
        <w:t>- </w:t>
      </w:r>
      <w:r w:rsidRPr="004676F5">
        <w:rPr>
          <w:lang w:val="de-DE"/>
        </w:rPr>
        <w:t>Allgemeine Bestimmung</w:t>
      </w:r>
    </w:p>
    <w:p w14:paraId="5D74BF91" w14:textId="77777777" w:rsidR="001527B1" w:rsidRPr="004676F5" w:rsidRDefault="001527B1" w:rsidP="001527B1">
      <w:pPr>
        <w:jc w:val="both"/>
        <w:rPr>
          <w:lang w:val="de-DE"/>
        </w:rPr>
      </w:pPr>
    </w:p>
    <w:p w14:paraId="62E5FE42" w14:textId="77777777" w:rsidR="00435B6C" w:rsidRPr="004676F5" w:rsidRDefault="00435B6C" w:rsidP="001527B1">
      <w:pPr>
        <w:jc w:val="both"/>
        <w:rPr>
          <w:lang w:val="de-DE"/>
        </w:rPr>
      </w:pPr>
    </w:p>
    <w:p w14:paraId="2C5808FD" w14:textId="6C497487" w:rsidR="001527B1" w:rsidRPr="004676F5" w:rsidRDefault="001527B1" w:rsidP="001527B1">
      <w:pPr>
        <w:ind w:firstLine="708"/>
        <w:jc w:val="both"/>
        <w:rPr>
          <w:lang w:val="de-DE"/>
        </w:rPr>
      </w:pPr>
      <w:r w:rsidRPr="004676F5">
        <w:rPr>
          <w:b/>
          <w:lang w:val="de-DE"/>
        </w:rPr>
        <w:t xml:space="preserve"> </w:t>
      </w:r>
      <w:r w:rsidR="00BE0A56" w:rsidRPr="004676F5">
        <w:rPr>
          <w:b/>
          <w:lang w:val="de-DE"/>
        </w:rPr>
        <w:t>Art. </w:t>
      </w:r>
      <w:r w:rsidRPr="004676F5">
        <w:rPr>
          <w:b/>
          <w:lang w:val="de-DE"/>
        </w:rPr>
        <w:t>XI.203</w:t>
      </w:r>
      <w:r w:rsidRPr="004676F5">
        <w:rPr>
          <w:lang w:val="de-DE"/>
        </w:rPr>
        <w:t> </w:t>
      </w:r>
      <w:r w:rsidR="005B7A5C" w:rsidRPr="004676F5">
        <w:rPr>
          <w:lang w:val="de-DE"/>
        </w:rPr>
        <w:t>- </w:t>
      </w:r>
      <w:r w:rsidRPr="004676F5">
        <w:rPr>
          <w:lang w:val="de-DE"/>
        </w:rPr>
        <w:t>Die Bestimmungen des vorliegenden Kapitels beeinträchtigen die Urheberrechte nicht. Keine dieser Bestimmungen darf als Einschränkung der Ausübung des Urheberrechts interpretiert werden.</w:t>
      </w:r>
    </w:p>
    <w:p w14:paraId="485D91AD" w14:textId="77777777" w:rsidR="001527B1" w:rsidRPr="004676F5" w:rsidRDefault="001527B1" w:rsidP="001527B1">
      <w:pPr>
        <w:ind w:firstLine="708"/>
        <w:jc w:val="both"/>
        <w:rPr>
          <w:lang w:val="de-DE"/>
        </w:rPr>
      </w:pPr>
    </w:p>
    <w:p w14:paraId="48AA636D" w14:textId="545DEAD5" w:rsidR="001527B1" w:rsidRPr="004676F5" w:rsidRDefault="001527B1" w:rsidP="001527B1">
      <w:pPr>
        <w:ind w:firstLine="708"/>
        <w:jc w:val="both"/>
        <w:rPr>
          <w:lang w:val="de-DE"/>
        </w:rPr>
      </w:pPr>
      <w:r w:rsidRPr="004676F5">
        <w:rPr>
          <w:lang w:val="de-DE"/>
        </w:rPr>
        <w:t xml:space="preserve">In vorliegendem Kapitel zuerkannte verwandte Schutzrechte gelten als bewegliche Rechte, sie sind gemäß den Bestimmungen des Zivilgesetzbuches ganz oder teilweise abtretbar und übertragbar. Sie können unter anderem </w:t>
      </w:r>
      <w:r w:rsidR="002501EB" w:rsidRPr="004676F5">
        <w:rPr>
          <w:lang w:val="de-DE"/>
        </w:rPr>
        <w:t>[abgetreten]</w:t>
      </w:r>
      <w:r w:rsidRPr="004676F5">
        <w:rPr>
          <w:lang w:val="de-DE"/>
        </w:rPr>
        <w:t xml:space="preserve"> werden oder Gegenstand einer einfachen oder ausschließlichen Lizenz sein.</w:t>
      </w:r>
    </w:p>
    <w:p w14:paraId="48074D2C" w14:textId="77777777" w:rsidR="002501EB" w:rsidRPr="004676F5" w:rsidRDefault="002501EB" w:rsidP="001527B1">
      <w:pPr>
        <w:ind w:firstLine="708"/>
        <w:jc w:val="both"/>
        <w:rPr>
          <w:lang w:val="de-DE"/>
        </w:rPr>
      </w:pPr>
    </w:p>
    <w:p w14:paraId="39156CA2" w14:textId="219972E4" w:rsidR="002501EB" w:rsidRPr="004676F5" w:rsidRDefault="002501EB" w:rsidP="002501EB">
      <w:pPr>
        <w:jc w:val="both"/>
        <w:rPr>
          <w:i/>
          <w:iCs/>
          <w:lang w:val="de-DE"/>
        </w:rPr>
      </w:pPr>
      <w:r w:rsidRPr="004676F5">
        <w:rPr>
          <w:i/>
          <w:iCs/>
          <w:lang w:val="de-DE"/>
        </w:rPr>
        <w:t>[Art. XI.203 Abs. 2 abgeändert durch Art. 28 des G. vom 19. Juni 2022 (B.S. vom 1. August 2022)]</w:t>
      </w:r>
    </w:p>
    <w:p w14:paraId="4BB534AC" w14:textId="77777777" w:rsidR="001527B1" w:rsidRPr="004676F5" w:rsidRDefault="001527B1" w:rsidP="001527B1">
      <w:pPr>
        <w:jc w:val="both"/>
        <w:rPr>
          <w:lang w:val="de-DE"/>
        </w:rPr>
      </w:pPr>
    </w:p>
    <w:p w14:paraId="01B28FCB" w14:textId="77777777" w:rsidR="00435B6C" w:rsidRPr="004676F5" w:rsidRDefault="00435B6C" w:rsidP="001527B1">
      <w:pPr>
        <w:jc w:val="both"/>
        <w:rPr>
          <w:lang w:val="de-DE"/>
        </w:rPr>
      </w:pPr>
    </w:p>
    <w:p w14:paraId="3A43020A" w14:textId="3196C17F" w:rsidR="001527B1" w:rsidRPr="004676F5" w:rsidRDefault="001527B1" w:rsidP="001527B1">
      <w:pPr>
        <w:jc w:val="center"/>
        <w:rPr>
          <w:lang w:val="de-DE"/>
        </w:rPr>
      </w:pPr>
      <w:r w:rsidRPr="004676F5">
        <w:rPr>
          <w:i/>
          <w:lang w:val="de-DE"/>
        </w:rPr>
        <w:t>Abschnitt </w:t>
      </w:r>
      <w:r w:rsidR="002501EB" w:rsidRPr="004676F5">
        <w:rPr>
          <w:i/>
          <w:lang w:val="de-DE"/>
        </w:rPr>
        <w:t>2</w:t>
      </w:r>
      <w:r w:rsidRPr="004676F5">
        <w:rPr>
          <w:i/>
          <w:lang w:val="de-DE"/>
        </w:rPr>
        <w:t> </w:t>
      </w:r>
      <w:r w:rsidR="005B7A5C" w:rsidRPr="004676F5">
        <w:rPr>
          <w:lang w:val="de-DE"/>
        </w:rPr>
        <w:t>- </w:t>
      </w:r>
      <w:r w:rsidRPr="004676F5">
        <w:rPr>
          <w:lang w:val="de-DE"/>
        </w:rPr>
        <w:t>Bestimmungen für ausübende Künstler</w:t>
      </w:r>
    </w:p>
    <w:p w14:paraId="37B20251" w14:textId="77777777" w:rsidR="001527B1" w:rsidRPr="004676F5" w:rsidRDefault="001527B1" w:rsidP="001527B1">
      <w:pPr>
        <w:ind w:firstLine="708"/>
        <w:jc w:val="both"/>
        <w:rPr>
          <w:lang w:val="de-DE"/>
        </w:rPr>
      </w:pPr>
    </w:p>
    <w:p w14:paraId="430FAF3F" w14:textId="77777777" w:rsidR="00435B6C" w:rsidRPr="004676F5" w:rsidRDefault="00435B6C" w:rsidP="001527B1">
      <w:pPr>
        <w:ind w:firstLine="708"/>
        <w:jc w:val="both"/>
        <w:rPr>
          <w:lang w:val="de-DE"/>
        </w:rPr>
      </w:pPr>
    </w:p>
    <w:p w14:paraId="4BC2EB36" w14:textId="6A7DC035" w:rsidR="001527B1" w:rsidRPr="004676F5" w:rsidRDefault="00BE0A56" w:rsidP="001527B1">
      <w:pPr>
        <w:ind w:firstLine="708"/>
        <w:jc w:val="both"/>
        <w:rPr>
          <w:lang w:val="de-DE"/>
        </w:rPr>
      </w:pPr>
      <w:r w:rsidRPr="004676F5">
        <w:rPr>
          <w:b/>
          <w:lang w:val="de-DE"/>
        </w:rPr>
        <w:t>Art. </w:t>
      </w:r>
      <w:r w:rsidR="001527B1" w:rsidRPr="004676F5">
        <w:rPr>
          <w:b/>
          <w:lang w:val="de-DE"/>
        </w:rPr>
        <w:t>XI.204</w:t>
      </w:r>
      <w:r w:rsidR="001527B1" w:rsidRPr="004676F5">
        <w:rPr>
          <w:lang w:val="de-DE"/>
        </w:rPr>
        <w:t> </w:t>
      </w:r>
      <w:r w:rsidR="005B7A5C" w:rsidRPr="004676F5">
        <w:rPr>
          <w:lang w:val="de-DE"/>
        </w:rPr>
        <w:t>- </w:t>
      </w:r>
      <w:r w:rsidR="001527B1" w:rsidRPr="004676F5">
        <w:rPr>
          <w:lang w:val="de-DE"/>
        </w:rPr>
        <w:t>Ein ausübender Künstler hat ein unveräußerliches Urheberpersönlich</w:t>
      </w:r>
      <w:r w:rsidR="001527B1" w:rsidRPr="004676F5">
        <w:rPr>
          <w:lang w:val="de-DE"/>
        </w:rPr>
        <w:softHyphen/>
        <w:t>keits</w:t>
      </w:r>
      <w:r w:rsidR="001527B1" w:rsidRPr="004676F5">
        <w:rPr>
          <w:lang w:val="de-DE"/>
        </w:rPr>
        <w:softHyphen/>
        <w:t>recht an seiner Leistung.</w:t>
      </w:r>
    </w:p>
    <w:p w14:paraId="0FC662F7" w14:textId="77777777" w:rsidR="001527B1" w:rsidRPr="004676F5" w:rsidRDefault="001527B1" w:rsidP="001527B1">
      <w:pPr>
        <w:ind w:firstLine="708"/>
        <w:jc w:val="both"/>
        <w:rPr>
          <w:lang w:val="de-DE"/>
        </w:rPr>
      </w:pPr>
    </w:p>
    <w:p w14:paraId="48CF6A3B" w14:textId="77777777" w:rsidR="001527B1" w:rsidRPr="004676F5" w:rsidRDefault="001527B1" w:rsidP="001527B1">
      <w:pPr>
        <w:ind w:firstLine="708"/>
        <w:jc w:val="both"/>
        <w:rPr>
          <w:lang w:val="de-DE"/>
        </w:rPr>
      </w:pPr>
      <w:r w:rsidRPr="004676F5">
        <w:rPr>
          <w:lang w:val="de-DE"/>
        </w:rPr>
        <w:t>Der Gesamtverzicht auf die künftige Ausübung dieses Rechts ist nichtig.</w:t>
      </w:r>
    </w:p>
    <w:p w14:paraId="582B44BB" w14:textId="77777777" w:rsidR="001527B1" w:rsidRPr="004676F5" w:rsidRDefault="001527B1" w:rsidP="001527B1">
      <w:pPr>
        <w:ind w:firstLine="708"/>
        <w:jc w:val="both"/>
        <w:rPr>
          <w:lang w:val="de-DE"/>
        </w:rPr>
      </w:pPr>
    </w:p>
    <w:p w14:paraId="0EF897F9" w14:textId="77777777" w:rsidR="001527B1" w:rsidRPr="004676F5" w:rsidRDefault="001527B1" w:rsidP="001527B1">
      <w:pPr>
        <w:ind w:firstLine="708"/>
        <w:jc w:val="both"/>
        <w:rPr>
          <w:lang w:val="de-DE"/>
        </w:rPr>
      </w:pPr>
      <w:r w:rsidRPr="004676F5">
        <w:rPr>
          <w:lang w:val="de-DE"/>
        </w:rPr>
        <w:t>Der ausübende Künstler hat das Recht auf Vermerk seines Namens gemäß den anständigen Berufsgepflogenheiten und das Recht, eine falsche Zuschreibung zu verbieten.</w:t>
      </w:r>
    </w:p>
    <w:p w14:paraId="71EADD5B" w14:textId="77777777" w:rsidR="001527B1" w:rsidRPr="004676F5" w:rsidRDefault="001527B1" w:rsidP="001527B1">
      <w:pPr>
        <w:ind w:firstLine="708"/>
        <w:jc w:val="both"/>
        <w:rPr>
          <w:lang w:val="de-DE"/>
        </w:rPr>
      </w:pPr>
    </w:p>
    <w:p w14:paraId="5A3AEB36" w14:textId="77777777" w:rsidR="001527B1" w:rsidRPr="004676F5" w:rsidRDefault="001527B1" w:rsidP="001527B1">
      <w:pPr>
        <w:ind w:firstLine="708"/>
        <w:jc w:val="both"/>
        <w:rPr>
          <w:lang w:val="de-DE"/>
        </w:rPr>
      </w:pPr>
      <w:r w:rsidRPr="004676F5">
        <w:rPr>
          <w:lang w:val="de-DE"/>
        </w:rPr>
        <w:t>Ungeachtet jeglichen Verzichts behält der ausübende Künstler das Recht, sich einer Entstellung, Verstümmelung oder anderen Änderung seiner Leistung oder einer anderen Beeinträchtigung dieser Leistung, die seine Ehre verletzen oder seinem Ansehen schaden kann, zu widersetzen.</w:t>
      </w:r>
    </w:p>
    <w:p w14:paraId="215E59E6" w14:textId="77777777" w:rsidR="001527B1" w:rsidRPr="004676F5" w:rsidRDefault="001527B1" w:rsidP="001527B1">
      <w:pPr>
        <w:ind w:firstLine="708"/>
        <w:jc w:val="both"/>
        <w:rPr>
          <w:lang w:val="de-DE"/>
        </w:rPr>
      </w:pPr>
    </w:p>
    <w:p w14:paraId="3BAB99E2" w14:textId="77777777" w:rsidR="00435B6C" w:rsidRPr="004676F5" w:rsidRDefault="00435B6C" w:rsidP="001527B1">
      <w:pPr>
        <w:ind w:firstLine="708"/>
        <w:jc w:val="both"/>
        <w:rPr>
          <w:lang w:val="de-DE"/>
        </w:rPr>
      </w:pPr>
    </w:p>
    <w:p w14:paraId="413B37F6" w14:textId="53DB1C78" w:rsidR="001527B1" w:rsidRPr="004676F5" w:rsidRDefault="00BE0A56" w:rsidP="001527B1">
      <w:pPr>
        <w:ind w:firstLine="708"/>
        <w:jc w:val="both"/>
        <w:rPr>
          <w:lang w:val="de-DE"/>
        </w:rPr>
      </w:pPr>
      <w:r w:rsidRPr="004676F5">
        <w:rPr>
          <w:b/>
          <w:lang w:val="de-DE"/>
        </w:rPr>
        <w:t>Art. </w:t>
      </w:r>
      <w:r w:rsidR="001527B1" w:rsidRPr="004676F5">
        <w:rPr>
          <w:b/>
          <w:lang w:val="de-DE"/>
        </w:rPr>
        <w:t>XI.205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Der ausübende Künstler hat allein das Recht, seine Leistung unmittelbar oder mittelbar, vorübergehend oder dauerhaft, auf jede Art und Weise und in jeder Form, ganz oder teilweise zu vervielfältigen oder deren Vervielfältigung zu erlauben.</w:t>
      </w:r>
    </w:p>
    <w:p w14:paraId="17DEAF70" w14:textId="77777777" w:rsidR="001527B1" w:rsidRPr="004676F5" w:rsidRDefault="001527B1" w:rsidP="001527B1">
      <w:pPr>
        <w:ind w:firstLine="708"/>
        <w:jc w:val="both"/>
        <w:rPr>
          <w:lang w:val="de-DE"/>
        </w:rPr>
      </w:pPr>
    </w:p>
    <w:p w14:paraId="54FD11B6" w14:textId="77777777" w:rsidR="001527B1" w:rsidRPr="004676F5" w:rsidRDefault="001527B1" w:rsidP="001527B1">
      <w:pPr>
        <w:ind w:firstLine="708"/>
        <w:jc w:val="both"/>
        <w:rPr>
          <w:lang w:val="de-DE"/>
        </w:rPr>
      </w:pPr>
      <w:r w:rsidRPr="004676F5">
        <w:rPr>
          <w:lang w:val="de-DE"/>
        </w:rPr>
        <w:t>Dieses Recht umfasst ebenfalls das ausschließliche Recht, die Vermietung oder das Verleihen der Leistung zu erlauben.</w:t>
      </w:r>
    </w:p>
    <w:p w14:paraId="0B9D4B89" w14:textId="77777777" w:rsidR="001527B1" w:rsidRPr="004676F5" w:rsidRDefault="001527B1" w:rsidP="001527B1">
      <w:pPr>
        <w:ind w:firstLine="708"/>
        <w:jc w:val="both"/>
        <w:rPr>
          <w:lang w:val="de-DE"/>
        </w:rPr>
      </w:pPr>
    </w:p>
    <w:p w14:paraId="2C678722" w14:textId="77777777" w:rsidR="001527B1" w:rsidRPr="004676F5" w:rsidRDefault="001527B1" w:rsidP="001527B1">
      <w:pPr>
        <w:ind w:firstLine="708"/>
        <w:jc w:val="both"/>
        <w:rPr>
          <w:lang w:val="de-DE"/>
        </w:rPr>
      </w:pPr>
      <w:r w:rsidRPr="004676F5">
        <w:rPr>
          <w:lang w:val="de-DE"/>
        </w:rPr>
        <w:t>Der ausübende Künstler hat allein das Recht, seine Leistung durch gleich welches Verfahren öffentlich wiederzugeben, einschließlich der öffentlichen Zugänglichmachung in der Weise, dass sie Mitgliedern der Öffentlichkeit von Orten und zu Zeiten ihrer Wahl zugänglich sind.</w:t>
      </w:r>
    </w:p>
    <w:p w14:paraId="1AB7FE51" w14:textId="77777777" w:rsidR="001527B1" w:rsidRPr="004676F5" w:rsidRDefault="001527B1" w:rsidP="001527B1">
      <w:pPr>
        <w:ind w:firstLine="708"/>
        <w:jc w:val="both"/>
        <w:rPr>
          <w:lang w:val="de-DE"/>
        </w:rPr>
      </w:pPr>
    </w:p>
    <w:p w14:paraId="1FA43089" w14:textId="77777777" w:rsidR="001527B1" w:rsidRPr="004676F5" w:rsidRDefault="001527B1" w:rsidP="001527B1">
      <w:pPr>
        <w:ind w:firstLine="708"/>
        <w:jc w:val="both"/>
        <w:rPr>
          <w:lang w:val="de-DE"/>
        </w:rPr>
      </w:pPr>
      <w:r w:rsidRPr="004676F5">
        <w:rPr>
          <w:lang w:val="de-DE"/>
        </w:rPr>
        <w:t>Die Rechte des ausübenden Künstlers umfassen insbesondere das ausschließliche Verbreitungsrecht, das sich nur mit dem Erstverkauf oder einer anderen erstmaligen Eigentumsübertragung der Vervielfältigung der Leistung in der Europäischen Union seitens des ausübenden Künstlers oder mit seiner Zustimmung erschöpft.</w:t>
      </w:r>
    </w:p>
    <w:p w14:paraId="78E6B9B4" w14:textId="77777777" w:rsidR="001527B1" w:rsidRPr="004676F5" w:rsidRDefault="001527B1" w:rsidP="001527B1">
      <w:pPr>
        <w:ind w:firstLine="708"/>
        <w:jc w:val="both"/>
        <w:rPr>
          <w:lang w:val="de-DE"/>
        </w:rPr>
      </w:pPr>
    </w:p>
    <w:p w14:paraId="466F2899" w14:textId="77777777" w:rsidR="001527B1" w:rsidRPr="004676F5" w:rsidRDefault="001527B1" w:rsidP="001527B1">
      <w:pPr>
        <w:ind w:firstLine="708"/>
        <w:jc w:val="both"/>
        <w:rPr>
          <w:lang w:val="de-DE"/>
        </w:rPr>
      </w:pPr>
      <w:r w:rsidRPr="004676F5">
        <w:rPr>
          <w:lang w:val="de-DE"/>
        </w:rPr>
        <w:t>Auch Varieté-Künstler und Zirkusartisten sind als ausübende Künstler anzusehen. Künstler in ergänzenden Rollen, die gemäß den Berufsgepflogenheiten als solche anerkannt sind, sind nicht als ausübende Künstler anzusehen.</w:t>
      </w:r>
    </w:p>
    <w:p w14:paraId="31755950" w14:textId="77777777" w:rsidR="001527B1" w:rsidRPr="004676F5" w:rsidRDefault="001527B1" w:rsidP="001527B1">
      <w:pPr>
        <w:jc w:val="both"/>
        <w:rPr>
          <w:lang w:val="de-DE"/>
        </w:rPr>
      </w:pPr>
    </w:p>
    <w:p w14:paraId="7DF022D5" w14:textId="09F9B61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Außer bei Beweis des Gegenteils ist als ausübender Künstler anzusehen, wer durch Vermerk seines Namens oder eines ihn identifizierenden Kurzwortes auf der Leistung, auf einer Vervielfältigung der Leistung oder durch eine Mitteilung über diese Leistung an das Publikum als ausübender Künstler zu identifizieren ist.</w:t>
      </w:r>
    </w:p>
    <w:p w14:paraId="00753E3E" w14:textId="77777777" w:rsidR="001527B1" w:rsidRPr="004676F5" w:rsidRDefault="001527B1" w:rsidP="001527B1">
      <w:pPr>
        <w:ind w:firstLine="708"/>
        <w:jc w:val="both"/>
        <w:rPr>
          <w:lang w:val="de-DE"/>
        </w:rPr>
      </w:pPr>
    </w:p>
    <w:p w14:paraId="2CE1838D" w14:textId="5F2A24F1"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Was den ausübenden Künstler betrifft, werden alle Verträge schriftlich nachge</w:t>
      </w:r>
      <w:r w:rsidRPr="004676F5">
        <w:rPr>
          <w:lang w:val="de-DE"/>
        </w:rPr>
        <w:softHyphen/>
        <w:t>wiesen.</w:t>
      </w:r>
    </w:p>
    <w:p w14:paraId="62808672" w14:textId="77777777" w:rsidR="001527B1" w:rsidRPr="004676F5" w:rsidRDefault="001527B1" w:rsidP="001527B1">
      <w:pPr>
        <w:ind w:firstLine="708"/>
        <w:jc w:val="both"/>
        <w:rPr>
          <w:lang w:val="de-DE"/>
        </w:rPr>
      </w:pPr>
    </w:p>
    <w:p w14:paraId="77B2C107" w14:textId="77777777" w:rsidR="001527B1" w:rsidRPr="004676F5" w:rsidRDefault="001527B1" w:rsidP="001527B1">
      <w:pPr>
        <w:ind w:firstLine="708"/>
        <w:jc w:val="both"/>
        <w:rPr>
          <w:lang w:val="de-DE"/>
        </w:rPr>
      </w:pPr>
      <w:r w:rsidRPr="004676F5">
        <w:rPr>
          <w:lang w:val="de-DE"/>
        </w:rPr>
        <w:t>Vertragsbestimmungen in Bezug auf die Rechte des ausübenden Künstlers und die Nutzungsarten dieser Rechte sind restriktiv zu interpretieren. Die Abtretung des Gegenstands, der eine Aufzeichnung der Leistung umfasst, bringt nicht das Recht mit sich, diese Leistung zu nutzen.</w:t>
      </w:r>
    </w:p>
    <w:p w14:paraId="1FA42A92" w14:textId="77777777" w:rsidR="001527B1" w:rsidRPr="004676F5" w:rsidRDefault="001527B1" w:rsidP="001527B1">
      <w:pPr>
        <w:ind w:firstLine="708"/>
        <w:jc w:val="both"/>
        <w:rPr>
          <w:lang w:val="de-DE"/>
        </w:rPr>
      </w:pPr>
    </w:p>
    <w:p w14:paraId="32662A49" w14:textId="0692372E" w:rsidR="002501EB" w:rsidRPr="004676F5" w:rsidRDefault="002501EB" w:rsidP="001527B1">
      <w:pPr>
        <w:ind w:firstLine="708"/>
        <w:jc w:val="both"/>
        <w:rPr>
          <w:lang w:val="de-DE"/>
        </w:rPr>
      </w:pPr>
      <w:r w:rsidRPr="004676F5">
        <w:rPr>
          <w:lang w:val="de-DE"/>
        </w:rPr>
        <w:t>[Für jede Nutzungsart müssen Vergütung des ausübenden Künstlers und Umfang und Dauer der Abtretung oder Lizenz ausdrücklich bestimmt werden.]</w:t>
      </w:r>
    </w:p>
    <w:p w14:paraId="2F3A1092" w14:textId="77777777" w:rsidR="002501EB" w:rsidRPr="004676F5" w:rsidRDefault="002501EB" w:rsidP="001527B1">
      <w:pPr>
        <w:ind w:firstLine="708"/>
        <w:jc w:val="both"/>
        <w:rPr>
          <w:lang w:val="de-DE"/>
        </w:rPr>
      </w:pPr>
    </w:p>
    <w:p w14:paraId="7801F4C8" w14:textId="79423DD0" w:rsidR="001527B1" w:rsidRPr="004676F5" w:rsidRDefault="002501EB" w:rsidP="001527B1">
      <w:pPr>
        <w:ind w:firstLine="708"/>
        <w:jc w:val="both"/>
        <w:rPr>
          <w:lang w:val="de-DE"/>
        </w:rPr>
      </w:pPr>
      <w:r w:rsidRPr="004676F5">
        <w:rPr>
          <w:lang w:val="de-DE"/>
        </w:rPr>
        <w:t>[Die Person, der die Rechte abgetreten wurden, oder der Lizenznehmer]</w:t>
      </w:r>
      <w:r w:rsidR="001527B1" w:rsidRPr="004676F5">
        <w:rPr>
          <w:lang w:val="de-DE"/>
        </w:rPr>
        <w:t xml:space="preserve"> muss gewährleisten, dass die Leistung gemäß den anständigen Berufsgepflogenheiten genutzt wird.</w:t>
      </w:r>
    </w:p>
    <w:p w14:paraId="7E18A360" w14:textId="77777777" w:rsidR="001527B1" w:rsidRPr="004676F5" w:rsidRDefault="001527B1" w:rsidP="001527B1">
      <w:pPr>
        <w:ind w:firstLine="708"/>
        <w:jc w:val="both"/>
        <w:rPr>
          <w:lang w:val="de-DE"/>
        </w:rPr>
      </w:pPr>
    </w:p>
    <w:p w14:paraId="12408A7F" w14:textId="451E2221" w:rsidR="001527B1" w:rsidRPr="004676F5" w:rsidRDefault="001527B1" w:rsidP="001527B1">
      <w:pPr>
        <w:ind w:firstLine="708"/>
        <w:jc w:val="both"/>
        <w:rPr>
          <w:lang w:val="de-DE"/>
        </w:rPr>
      </w:pPr>
      <w:r w:rsidRPr="004676F5">
        <w:rPr>
          <w:lang w:val="de-DE"/>
        </w:rPr>
        <w:t xml:space="preserve">Ungeachtet jeder anders lautenden Bestimmung ist die Abtretung von Rechten </w:t>
      </w:r>
      <w:r w:rsidR="002501EB" w:rsidRPr="004676F5">
        <w:rPr>
          <w:lang w:val="de-DE"/>
        </w:rPr>
        <w:t xml:space="preserve">[oder die Erteilung einer Lizenz] </w:t>
      </w:r>
      <w:r w:rsidRPr="004676F5">
        <w:rPr>
          <w:lang w:val="de-DE"/>
        </w:rPr>
        <w:t>in Bezug auf noch unbekannte Nutzungsarten nichtig.</w:t>
      </w:r>
    </w:p>
    <w:p w14:paraId="510DDDE9" w14:textId="77777777" w:rsidR="001527B1" w:rsidRPr="004676F5" w:rsidRDefault="001527B1" w:rsidP="001527B1">
      <w:pPr>
        <w:ind w:firstLine="708"/>
        <w:jc w:val="both"/>
        <w:rPr>
          <w:lang w:val="de-DE"/>
        </w:rPr>
      </w:pPr>
    </w:p>
    <w:p w14:paraId="1C072131" w14:textId="6D663211" w:rsidR="001527B1" w:rsidRPr="004676F5" w:rsidRDefault="002501EB" w:rsidP="001527B1">
      <w:pPr>
        <w:ind w:firstLine="708"/>
        <w:jc w:val="both"/>
        <w:rPr>
          <w:lang w:val="de-DE"/>
        </w:rPr>
      </w:pPr>
      <w:r w:rsidRPr="004676F5">
        <w:rPr>
          <w:lang w:val="de-DE"/>
        </w:rPr>
        <w:t>[Die Abtretung von oder die Lizenz für vermögensrechtliche Befugnisse in Bezug auf künftige Leistungen gilt nur für befristete Zeit und sofern die Gattung der Leistungen, auf die die Abtretung oder die Lizenz sich bezieht, bestimmt wurde.]</w:t>
      </w:r>
    </w:p>
    <w:p w14:paraId="58911DB4" w14:textId="77777777" w:rsidR="001527B1" w:rsidRPr="004676F5" w:rsidRDefault="001527B1" w:rsidP="001527B1">
      <w:pPr>
        <w:ind w:firstLine="708"/>
        <w:jc w:val="both"/>
        <w:rPr>
          <w:lang w:val="de-DE"/>
        </w:rPr>
      </w:pPr>
    </w:p>
    <w:p w14:paraId="62056390" w14:textId="7453294E" w:rsidR="002501EB" w:rsidRPr="004676F5" w:rsidRDefault="001527B1" w:rsidP="002501EB">
      <w:pPr>
        <w:ind w:firstLine="708"/>
        <w:jc w:val="both"/>
        <w:rPr>
          <w:lang w:val="de-DE"/>
        </w:rPr>
      </w:pPr>
      <w:r w:rsidRPr="004676F5">
        <w:rPr>
          <w:lang w:val="de-DE"/>
        </w:rPr>
        <w:t>§ 4 </w:t>
      </w:r>
      <w:r w:rsidR="005B7A5C" w:rsidRPr="004676F5">
        <w:rPr>
          <w:lang w:val="de-DE"/>
        </w:rPr>
        <w:t>- </w:t>
      </w:r>
      <w:r w:rsidR="002501EB" w:rsidRPr="004676F5">
        <w:rPr>
          <w:lang w:val="de-DE"/>
        </w:rPr>
        <w:t>[Wenn ein ausübender Künstler Leistungen in Ausführung eines Arbeitsvertrags oder eines Statuts erbringt, können die vermögensrechtlichen Befugnisse an den Arbeitgeber abgetreten oder lizensiert werden, sofern die Abtretung oder Lizensierung der Befugnisse ausdrücklich vorgesehen ist und die Leistung in den Anwendungsbereich des Vertrags oder des Statuts fällt.</w:t>
      </w:r>
    </w:p>
    <w:p w14:paraId="03C9823A" w14:textId="77777777" w:rsidR="002501EB" w:rsidRPr="004676F5" w:rsidRDefault="002501EB" w:rsidP="002501EB">
      <w:pPr>
        <w:jc w:val="both"/>
        <w:rPr>
          <w:lang w:val="de-DE"/>
        </w:rPr>
      </w:pPr>
    </w:p>
    <w:p w14:paraId="6495A8A9" w14:textId="77777777" w:rsidR="002501EB" w:rsidRPr="004676F5" w:rsidRDefault="002501EB" w:rsidP="002501EB">
      <w:pPr>
        <w:jc w:val="both"/>
        <w:rPr>
          <w:lang w:val="de-DE"/>
        </w:rPr>
      </w:pPr>
      <w:r w:rsidRPr="004676F5">
        <w:rPr>
          <w:lang w:val="de-DE"/>
        </w:rPr>
        <w:tab/>
        <w:t>Wenn ein ausübender Künstler Leistungen in Ausführung einer Bestellung erbringt, können die vermögensrechtlichen Befugnisse demjenigen abgetreten oder lizensiert werden, der die Bestellung aufgegeben hat, sofern dieser eine Tätigkeit im nichtkulturellen Sektor oder in der Werbebranche ausübt, die Leistung für diese Tätigkeit bestimmt ist und die Abtretung oder Lizensierung der Befugnisse ausdrücklich vorgesehen ist.</w:t>
      </w:r>
    </w:p>
    <w:p w14:paraId="5C744112" w14:textId="77777777" w:rsidR="002501EB" w:rsidRPr="004676F5" w:rsidRDefault="002501EB" w:rsidP="002501EB">
      <w:pPr>
        <w:jc w:val="both"/>
        <w:rPr>
          <w:lang w:val="de-DE"/>
        </w:rPr>
      </w:pPr>
    </w:p>
    <w:p w14:paraId="3D66F43D" w14:textId="55EA8B21" w:rsidR="001527B1" w:rsidRPr="004676F5" w:rsidRDefault="002501EB" w:rsidP="002501EB">
      <w:pPr>
        <w:ind w:firstLine="708"/>
        <w:jc w:val="both"/>
        <w:rPr>
          <w:lang w:val="de-DE"/>
        </w:rPr>
      </w:pPr>
      <w:r w:rsidRPr="004676F5">
        <w:rPr>
          <w:lang w:val="de-DE"/>
        </w:rPr>
        <w:t>In diesen Fällen kommt § 3 Absatz 3 bis 6 nicht zur Anwendung.]</w:t>
      </w:r>
    </w:p>
    <w:p w14:paraId="31B49B42" w14:textId="77777777" w:rsidR="001527B1" w:rsidRPr="004676F5" w:rsidRDefault="001527B1" w:rsidP="001527B1">
      <w:pPr>
        <w:ind w:firstLine="708"/>
        <w:jc w:val="both"/>
        <w:rPr>
          <w:lang w:val="de-DE"/>
        </w:rPr>
      </w:pPr>
    </w:p>
    <w:p w14:paraId="78B4F74F" w14:textId="2BD370B6" w:rsidR="00355502" w:rsidRPr="004676F5" w:rsidRDefault="002501EB" w:rsidP="002501EB">
      <w:pPr>
        <w:jc w:val="both"/>
        <w:rPr>
          <w:i/>
          <w:iCs/>
          <w:lang w:val="de-DE"/>
        </w:rPr>
      </w:pPr>
      <w:r w:rsidRPr="004676F5">
        <w:rPr>
          <w:i/>
          <w:iCs/>
          <w:lang w:val="de-DE"/>
        </w:rPr>
        <w:t>[Art. XI.205 § 3 neuer Absatz 3 eingefügt durch Art. 29 Nr. 2 des G. vom 19. Juni 2022 (B.S. vom 1. August 2022); § 3 Abs. 4 abgeändert durch Art. 29 Nr. 3 des G. vom 19. Juni 2022 (B.S. vom 1. August 2022); § 3 Abs. 5 abgeändert durch Art. 29 Nr. 4 des G. vom 19. Juni 2022 (B.S. vom 1. August 2022); § 3 Abs. 6 ersetzt durch Art. 29 Nr. 5 des G. vom 19. Juni 2022 (B.S. vom 1. August 2022)</w:t>
      </w:r>
      <w:r w:rsidR="008D6C15" w:rsidRPr="004676F5">
        <w:rPr>
          <w:i/>
          <w:iCs/>
          <w:lang w:val="de-DE"/>
        </w:rPr>
        <w:t>; § 4 ersetzt durch Art. 29 Nr. 6 des G. vom 19. Juni 2022 (B.S. vom 1. August 2022)</w:t>
      </w:r>
      <w:r w:rsidRPr="004676F5">
        <w:rPr>
          <w:i/>
          <w:iCs/>
          <w:lang w:val="de-DE"/>
        </w:rPr>
        <w:t>]</w:t>
      </w:r>
    </w:p>
    <w:p w14:paraId="50CCC2F7" w14:textId="77777777" w:rsidR="002501EB" w:rsidRPr="004676F5" w:rsidRDefault="002501EB" w:rsidP="002501EB">
      <w:pPr>
        <w:jc w:val="both"/>
        <w:rPr>
          <w:i/>
          <w:iCs/>
          <w:lang w:val="de-DE"/>
        </w:rPr>
      </w:pPr>
    </w:p>
    <w:p w14:paraId="405967B0" w14:textId="77777777" w:rsidR="002501EB" w:rsidRPr="004676F5" w:rsidRDefault="002501EB" w:rsidP="002501EB">
      <w:pPr>
        <w:jc w:val="both"/>
        <w:rPr>
          <w:lang w:val="de-DE"/>
        </w:rPr>
      </w:pPr>
    </w:p>
    <w:p w14:paraId="48156CB3" w14:textId="48D31D35" w:rsidR="002501EB" w:rsidRPr="004676F5" w:rsidRDefault="002501EB" w:rsidP="002501EB">
      <w:pPr>
        <w:jc w:val="both"/>
        <w:rPr>
          <w:lang w:val="de-DE"/>
        </w:rPr>
      </w:pPr>
      <w:r w:rsidRPr="004676F5">
        <w:rPr>
          <w:lang w:val="de-DE"/>
        </w:rPr>
        <w:tab/>
        <w:t>[</w:t>
      </w:r>
      <w:r w:rsidRPr="004676F5">
        <w:rPr>
          <w:b/>
          <w:bCs/>
          <w:lang w:val="de-DE"/>
        </w:rPr>
        <w:t>Art. XI.205/1</w:t>
      </w:r>
      <w:r w:rsidRPr="004676F5">
        <w:rPr>
          <w:lang w:val="de-DE"/>
        </w:rPr>
        <w:t> </w:t>
      </w:r>
      <w:r w:rsidR="005B7A5C" w:rsidRPr="004676F5">
        <w:rPr>
          <w:lang w:val="de-DE"/>
        </w:rPr>
        <w:t>- </w:t>
      </w:r>
      <w:r w:rsidRPr="004676F5">
        <w:rPr>
          <w:lang w:val="de-DE"/>
        </w:rPr>
        <w:t>Ausübende Künstler, die eine Lizenz</w:t>
      </w:r>
      <w:r w:rsidR="005B7A5C" w:rsidRPr="004676F5">
        <w:rPr>
          <w:lang w:val="de-DE"/>
        </w:rPr>
        <w:t>- </w:t>
      </w:r>
      <w:r w:rsidRPr="004676F5">
        <w:rPr>
          <w:lang w:val="de-DE"/>
        </w:rPr>
        <w:t>oder Übertragungsvereinbarung für ihre ausschließlichen Rechte an der Verwertung ihrer Leistungen abschließen, behalten das Recht auf eine angemessene und verhältnismäßige Vergütung.]</w:t>
      </w:r>
    </w:p>
    <w:p w14:paraId="4423ECDB" w14:textId="77777777" w:rsidR="002501EB" w:rsidRPr="004676F5" w:rsidRDefault="002501EB" w:rsidP="002501EB">
      <w:pPr>
        <w:jc w:val="both"/>
        <w:rPr>
          <w:lang w:val="de-DE"/>
        </w:rPr>
      </w:pPr>
    </w:p>
    <w:p w14:paraId="75427A41" w14:textId="34DA8B44" w:rsidR="002501EB" w:rsidRPr="004676F5" w:rsidRDefault="002501EB" w:rsidP="002501EB">
      <w:pPr>
        <w:jc w:val="both"/>
        <w:rPr>
          <w:i/>
          <w:iCs/>
          <w:lang w:val="de-DE"/>
        </w:rPr>
      </w:pPr>
      <w:r w:rsidRPr="004676F5">
        <w:rPr>
          <w:i/>
          <w:iCs/>
          <w:lang w:val="de-DE"/>
        </w:rPr>
        <w:t>[Art. XI.205/1 eingefügt durch Art. 30 des G. vom 19. Juni 2022 (B.S. vom 1. August 2022)]</w:t>
      </w:r>
    </w:p>
    <w:p w14:paraId="5D06B465" w14:textId="77777777" w:rsidR="002501EB" w:rsidRPr="004676F5" w:rsidRDefault="002501EB" w:rsidP="002501EB">
      <w:pPr>
        <w:jc w:val="both"/>
        <w:rPr>
          <w:lang w:val="de-DE"/>
        </w:rPr>
      </w:pPr>
    </w:p>
    <w:p w14:paraId="78F7F23B" w14:textId="77777777" w:rsidR="002501EB" w:rsidRPr="004676F5" w:rsidRDefault="002501EB" w:rsidP="002501EB">
      <w:pPr>
        <w:jc w:val="both"/>
        <w:rPr>
          <w:lang w:val="de-DE"/>
        </w:rPr>
      </w:pPr>
    </w:p>
    <w:p w14:paraId="26FA50F5" w14:textId="4FDA582A" w:rsidR="002501EB" w:rsidRPr="004676F5" w:rsidRDefault="002501EB" w:rsidP="002501EB">
      <w:pPr>
        <w:jc w:val="both"/>
        <w:rPr>
          <w:lang w:val="de-DE"/>
        </w:rPr>
      </w:pPr>
      <w:r w:rsidRPr="004676F5">
        <w:rPr>
          <w:lang w:val="de-DE"/>
        </w:rPr>
        <w:tab/>
        <w:t>[</w:t>
      </w:r>
      <w:r w:rsidRPr="004676F5">
        <w:rPr>
          <w:b/>
          <w:bCs/>
          <w:lang w:val="de-DE"/>
        </w:rPr>
        <w:t>Art. XI.205/2</w:t>
      </w:r>
      <w:r w:rsidRPr="004676F5">
        <w:rPr>
          <w:lang w:val="de-DE"/>
        </w:rPr>
        <w:t> </w:t>
      </w:r>
      <w:r w:rsidR="005B7A5C" w:rsidRPr="004676F5">
        <w:rPr>
          <w:lang w:val="de-DE"/>
        </w:rPr>
        <w:t>- </w:t>
      </w:r>
      <w:r w:rsidRPr="004676F5">
        <w:rPr>
          <w:lang w:val="de-DE"/>
        </w:rPr>
        <w:t>Ausübende Künstler, die eine Lizenz</w:t>
      </w:r>
      <w:r w:rsidR="005B7A5C" w:rsidRPr="004676F5">
        <w:rPr>
          <w:lang w:val="de-DE"/>
        </w:rPr>
        <w:t>- </w:t>
      </w:r>
      <w:r w:rsidRPr="004676F5">
        <w:rPr>
          <w:lang w:val="de-DE"/>
        </w:rPr>
        <w:t xml:space="preserve">oder Übertragungsvereinbarung für ihre ausschließlichen Rechte an der Verwertung ihrer Leistungen abschließen, erhalten von der Person, der die Rechte abgetreten wurden, oder vom Lizenznehmer in angemessenerer Frist nach der entsprechenden Verwertung, regelmäßig </w:t>
      </w:r>
      <w:r w:rsidR="005B7A5C" w:rsidRPr="004676F5">
        <w:rPr>
          <w:lang w:val="de-DE"/>
        </w:rPr>
        <w:t>- </w:t>
      </w:r>
      <w:r w:rsidRPr="004676F5">
        <w:rPr>
          <w:lang w:val="de-DE"/>
        </w:rPr>
        <w:t>mindestens einmal jährlich </w:t>
      </w:r>
      <w:r w:rsidR="005B7A5C" w:rsidRPr="004676F5">
        <w:rPr>
          <w:lang w:val="de-DE"/>
        </w:rPr>
        <w:t>- </w:t>
      </w:r>
      <w:r w:rsidRPr="004676F5">
        <w:rPr>
          <w:lang w:val="de-DE"/>
        </w:rPr>
        <w:t>und unter Berücksichtigung der branchenspezifischen Besonderheiten aktuelle, einschlägige und umfassende Informationen über die Verwertung ihrer Leistungen, vor allem über die Art der Verwertung, sämtliche erzielte Einnahmen und die fällige Vergütung.</w:t>
      </w:r>
    </w:p>
    <w:p w14:paraId="6C008E09" w14:textId="77777777" w:rsidR="002501EB" w:rsidRPr="004676F5" w:rsidRDefault="002501EB" w:rsidP="002501EB">
      <w:pPr>
        <w:jc w:val="both"/>
        <w:rPr>
          <w:lang w:val="de-DE"/>
        </w:rPr>
      </w:pPr>
    </w:p>
    <w:p w14:paraId="6C55D099" w14:textId="77777777" w:rsidR="002501EB" w:rsidRPr="004676F5" w:rsidRDefault="002501EB" w:rsidP="002501EB">
      <w:pPr>
        <w:jc w:val="both"/>
        <w:rPr>
          <w:lang w:val="de-DE"/>
        </w:rPr>
      </w:pPr>
      <w:r w:rsidRPr="004676F5">
        <w:rPr>
          <w:lang w:val="de-DE"/>
        </w:rPr>
        <w:tab/>
        <w:t>In hinreichend begründeten Fällen, in denen der Verwaltungsaufwand aufgrund der in Absatz 1 erwähnten Transparenzpflicht, die der Person, der die Rechte abgetreten wurden, oder dem Lizenznehmer obliegt, im Verhältnis zu den durch die Verwertung der Leistungen erzielten Einnahmen unverhältnismäßig hoch wäre, kann die in Absatz 1 erwähnte Transparenzpflicht auf die Arten und den Umfang der Informationen beschränkt werden, deren Bereitstellung in der betreffenden Branche nach billigem Ermessen erwartet werden kann.</w:t>
      </w:r>
    </w:p>
    <w:p w14:paraId="33307BFD" w14:textId="77777777" w:rsidR="002501EB" w:rsidRPr="004676F5" w:rsidRDefault="002501EB" w:rsidP="002501EB">
      <w:pPr>
        <w:jc w:val="both"/>
        <w:rPr>
          <w:lang w:val="de-DE"/>
        </w:rPr>
      </w:pPr>
    </w:p>
    <w:p w14:paraId="66115CDE" w14:textId="77777777" w:rsidR="002501EB" w:rsidRPr="004676F5" w:rsidRDefault="002501EB" w:rsidP="002501EB">
      <w:pPr>
        <w:jc w:val="both"/>
        <w:rPr>
          <w:lang w:val="de-DE"/>
        </w:rPr>
      </w:pPr>
      <w:r w:rsidRPr="004676F5">
        <w:rPr>
          <w:lang w:val="de-DE"/>
        </w:rPr>
        <w:tab/>
        <w:t>Die Absätze 1 und 2 finden keine Anwendung, wenn der Beitrag des ausübenden Künstlers vor dem Hintergrund des Gesamtwerks oder der Gesamtleistung nicht erheblich ist, es sei denn, der ausübende Künstler legt dar, dass er die Informationen zur Ausübung seiner Rechte nach Artikel XI.205/3 benötigt und zu diesem Zweck anfordert.</w:t>
      </w:r>
    </w:p>
    <w:p w14:paraId="4324A72F" w14:textId="77777777" w:rsidR="002501EB" w:rsidRPr="004676F5" w:rsidRDefault="002501EB" w:rsidP="002501EB">
      <w:pPr>
        <w:jc w:val="both"/>
        <w:rPr>
          <w:lang w:val="de-DE"/>
        </w:rPr>
      </w:pPr>
    </w:p>
    <w:p w14:paraId="702E9D8C" w14:textId="77777777" w:rsidR="002501EB" w:rsidRPr="004676F5" w:rsidRDefault="002501EB" w:rsidP="002501EB">
      <w:pPr>
        <w:jc w:val="both"/>
        <w:rPr>
          <w:lang w:val="de-DE"/>
        </w:rPr>
      </w:pPr>
      <w:r w:rsidRPr="004676F5">
        <w:rPr>
          <w:lang w:val="de-DE"/>
        </w:rPr>
        <w:tab/>
        <w:t>Um seine Rechte gemäß Artikel XI.205/3 auszuüben, behält sich der ausübende Künstler jedoch stets das Recht vor, die in Absatz 1 erwähnten Informationen per Einschreibesendung mit Rückschein oder auf eine durch Kollektivvereinbarung geregelte Weise anzufordern.</w:t>
      </w:r>
    </w:p>
    <w:p w14:paraId="475EFE24" w14:textId="77777777" w:rsidR="002501EB" w:rsidRPr="004676F5" w:rsidRDefault="002501EB" w:rsidP="002501EB">
      <w:pPr>
        <w:jc w:val="both"/>
        <w:rPr>
          <w:lang w:val="de-DE"/>
        </w:rPr>
      </w:pPr>
    </w:p>
    <w:p w14:paraId="224895B4" w14:textId="77777777" w:rsidR="002501EB" w:rsidRPr="004676F5" w:rsidRDefault="002501EB" w:rsidP="002501EB">
      <w:pPr>
        <w:jc w:val="both"/>
        <w:rPr>
          <w:lang w:val="de-DE"/>
        </w:rPr>
      </w:pPr>
      <w:r w:rsidRPr="004676F5">
        <w:rPr>
          <w:lang w:val="de-DE"/>
        </w:rPr>
        <w:tab/>
        <w:t>Hat die Person, der die Rechte abgetreten wurden, oder der Lizenznehmer selbst einem Dritten Rechte an der betreffenden Leistung abgetreten oder lizensiert und verfügt sie/er nicht über alle Informationen, die zur Erfüllung der in Absatz 1 erwähnten Pflicht erforderlich sind, kann der ausübende Künstler oder sein Vertreter per Einschreibesendung mit Rückschein zusätzliche Informationen über die Verwertung seiner Leistungen entweder von diesem Dritten oder von der Person, der die Rechte abgetreten wurden, oder vom Lizenznehmer anfordern, die/der das Ersuchen des ausübenden Künstlers oder seines Vertreters an den Dritten weiterleitet. Möchte der ausübende Künstler oder sein Vertreter sein Ersuchen unmittelbar an den Dritten richten, stellt die Person, der die Rechte abgetreten wurden, oder der Lizenznehmer dem ausübenden Künstler oder seinem Vertreter Informationen über die Identität des Dritten zur Verfügung.</w:t>
      </w:r>
    </w:p>
    <w:p w14:paraId="55A3E013" w14:textId="77777777" w:rsidR="002501EB" w:rsidRPr="004676F5" w:rsidRDefault="002501EB" w:rsidP="002501EB">
      <w:pPr>
        <w:jc w:val="both"/>
        <w:rPr>
          <w:lang w:val="de-DE"/>
        </w:rPr>
      </w:pPr>
    </w:p>
    <w:p w14:paraId="0AD80FE6" w14:textId="7C247939" w:rsidR="002501EB" w:rsidRPr="004676F5" w:rsidRDefault="002501EB" w:rsidP="002501EB">
      <w:pPr>
        <w:jc w:val="both"/>
        <w:rPr>
          <w:lang w:val="de-DE"/>
        </w:rPr>
      </w:pPr>
      <w:r w:rsidRPr="004676F5">
        <w:rPr>
          <w:lang w:val="de-DE"/>
        </w:rPr>
        <w:tab/>
        <w:t>In den in Artikel XI.205/5 erwähnten Kollektivvereinbarungen kann bestimmt werden, ob der ausübende Künstler oder sein Vertreter sich unmittelbar an den Dritten wenden muss oder aber an die Person, der die Rechte abgetreten wurden, oder an den Lizenznehmer.]</w:t>
      </w:r>
    </w:p>
    <w:p w14:paraId="4DDF08C6" w14:textId="77777777" w:rsidR="002501EB" w:rsidRPr="004676F5" w:rsidRDefault="002501EB" w:rsidP="002501EB">
      <w:pPr>
        <w:jc w:val="both"/>
        <w:rPr>
          <w:lang w:val="de-DE"/>
        </w:rPr>
      </w:pPr>
    </w:p>
    <w:p w14:paraId="00BE2037" w14:textId="4F5DE1D0" w:rsidR="002501EB" w:rsidRPr="004676F5" w:rsidRDefault="002501EB" w:rsidP="002501EB">
      <w:pPr>
        <w:jc w:val="both"/>
        <w:rPr>
          <w:i/>
          <w:iCs/>
          <w:lang w:val="de-DE"/>
        </w:rPr>
      </w:pPr>
      <w:r w:rsidRPr="004676F5">
        <w:rPr>
          <w:i/>
          <w:iCs/>
          <w:lang w:val="de-DE"/>
        </w:rPr>
        <w:t>[Art. XI.205/2 eingefügt durch Art. 31 des G. vom 19. Juni 2022 (B.S. vom 1. August 2022)]</w:t>
      </w:r>
    </w:p>
    <w:p w14:paraId="1181EC29" w14:textId="77777777" w:rsidR="002501EB" w:rsidRPr="004676F5" w:rsidRDefault="002501EB" w:rsidP="002501EB">
      <w:pPr>
        <w:jc w:val="both"/>
        <w:rPr>
          <w:lang w:val="de-DE"/>
        </w:rPr>
      </w:pPr>
    </w:p>
    <w:p w14:paraId="1DE6999D" w14:textId="77777777" w:rsidR="002501EB" w:rsidRPr="004676F5" w:rsidRDefault="002501EB" w:rsidP="002501EB">
      <w:pPr>
        <w:jc w:val="both"/>
        <w:rPr>
          <w:lang w:val="de-DE"/>
        </w:rPr>
      </w:pPr>
    </w:p>
    <w:p w14:paraId="511EE875" w14:textId="593173FD" w:rsidR="002501EB" w:rsidRPr="004676F5" w:rsidRDefault="002501EB" w:rsidP="002501EB">
      <w:pPr>
        <w:ind w:firstLine="708"/>
        <w:jc w:val="both"/>
        <w:rPr>
          <w:lang w:val="de-DE"/>
        </w:rPr>
      </w:pPr>
      <w:r w:rsidRPr="004676F5">
        <w:rPr>
          <w:lang w:val="de-DE"/>
        </w:rPr>
        <w:lastRenderedPageBreak/>
        <w:t>[</w:t>
      </w:r>
      <w:r w:rsidRPr="004676F5">
        <w:rPr>
          <w:b/>
          <w:bCs/>
          <w:lang w:val="de-DE"/>
        </w:rPr>
        <w:t>Art. XI.205/3 </w:t>
      </w:r>
      <w:r w:rsidR="005B7A5C" w:rsidRPr="004676F5">
        <w:rPr>
          <w:lang w:val="de-DE"/>
        </w:rPr>
        <w:t>- </w:t>
      </w:r>
      <w:r w:rsidRPr="004676F5">
        <w:rPr>
          <w:lang w:val="de-DE"/>
        </w:rPr>
        <w:t>Bestehen keine anwendbaren Kollektivvereinbarungen wie in Artikel XI.205/5 bestimmt, die einen Mechanismus vorsehen, der mit dem in vorliegendem Artikel festgelegten Mechanismus vergleichbar ist, haben ausübende Künstler oder ihre Vertreter das Recht, von der Person, der die Rechte abgetreten wurden, oder vom Lizenznehmer im Rahmen einer Verwertungsvereinbarung eine zusätzliche, angemessene und faire Vergütung zu verlangen, wenn sich die ursprünglich vereinbarte Vergütung im Vergleich zu sämtlichen späteren einschlägigen Einnahmen aus der Verwertung der Leistungen als unverhältnismäßig niedrig erweist.]</w:t>
      </w:r>
    </w:p>
    <w:p w14:paraId="2C3C16C0" w14:textId="77777777" w:rsidR="002501EB" w:rsidRPr="004676F5" w:rsidRDefault="002501EB" w:rsidP="002501EB">
      <w:pPr>
        <w:ind w:firstLine="708"/>
        <w:jc w:val="both"/>
        <w:rPr>
          <w:lang w:val="de-DE"/>
        </w:rPr>
      </w:pPr>
    </w:p>
    <w:p w14:paraId="7BBBB801" w14:textId="1A213DFC" w:rsidR="002501EB" w:rsidRPr="004676F5" w:rsidRDefault="002501EB" w:rsidP="002501EB">
      <w:pPr>
        <w:jc w:val="both"/>
        <w:rPr>
          <w:i/>
          <w:iCs/>
          <w:lang w:val="de-DE"/>
        </w:rPr>
      </w:pPr>
      <w:r w:rsidRPr="004676F5">
        <w:rPr>
          <w:i/>
          <w:iCs/>
          <w:lang w:val="de-DE"/>
        </w:rPr>
        <w:t>[Art. XI.205/3 eingefügt durch Art. 32 des G. vom 19. Juni 2022 (B.S. vom 1. August 2022)]</w:t>
      </w:r>
    </w:p>
    <w:p w14:paraId="25731C1F" w14:textId="77777777" w:rsidR="002501EB" w:rsidRPr="004676F5" w:rsidRDefault="002501EB" w:rsidP="002501EB">
      <w:pPr>
        <w:ind w:firstLine="708"/>
        <w:jc w:val="both"/>
        <w:rPr>
          <w:lang w:val="de-DE"/>
        </w:rPr>
      </w:pPr>
    </w:p>
    <w:p w14:paraId="29C8B6EF" w14:textId="77777777" w:rsidR="002501EB" w:rsidRPr="004676F5" w:rsidRDefault="002501EB" w:rsidP="002501EB">
      <w:pPr>
        <w:jc w:val="both"/>
        <w:rPr>
          <w:lang w:val="de-DE"/>
        </w:rPr>
      </w:pPr>
    </w:p>
    <w:p w14:paraId="0A3E1E89" w14:textId="5FD8D04B" w:rsidR="002501EB" w:rsidRPr="004676F5" w:rsidRDefault="002501EB" w:rsidP="002501EB">
      <w:pPr>
        <w:jc w:val="both"/>
        <w:rPr>
          <w:lang w:val="de-DE"/>
        </w:rPr>
      </w:pPr>
      <w:r w:rsidRPr="004676F5">
        <w:rPr>
          <w:lang w:val="de-DE"/>
        </w:rPr>
        <w:tab/>
        <w:t>[</w:t>
      </w:r>
      <w:r w:rsidRPr="004676F5">
        <w:rPr>
          <w:b/>
          <w:bCs/>
          <w:lang w:val="de-DE"/>
        </w:rPr>
        <w:t>Art. XI.205/4</w:t>
      </w:r>
      <w:r w:rsidRPr="004676F5">
        <w:rPr>
          <w:lang w:val="de-DE"/>
        </w:rPr>
        <w:t> </w:t>
      </w:r>
      <w:r w:rsidR="005B7A5C" w:rsidRPr="004676F5">
        <w:rPr>
          <w:lang w:val="de-DE"/>
        </w:rPr>
        <w:t>- </w:t>
      </w:r>
      <w:r w:rsidRPr="004676F5">
        <w:rPr>
          <w:lang w:val="de-DE"/>
        </w:rPr>
        <w:t>Die Person, der die Rechte abgetreten wurden, oder der Lizenznehmer muss im Rahmen einer Verwertungsvereinbarung diese ausschließlichen Rechte innerhalb der vereinbarten Frist verwerten. Diese Frist darf ehrlichen Berufsgepflogenheiten nicht zuwiderlaufen, es sei denn, sie bietet dem ausübenden Künstler ein höheres Schutzmaß.</w:t>
      </w:r>
    </w:p>
    <w:p w14:paraId="0C2630C2" w14:textId="77777777" w:rsidR="002501EB" w:rsidRPr="004676F5" w:rsidRDefault="002501EB" w:rsidP="002501EB">
      <w:pPr>
        <w:jc w:val="both"/>
        <w:rPr>
          <w:lang w:val="de-DE"/>
        </w:rPr>
      </w:pPr>
    </w:p>
    <w:p w14:paraId="302944CA" w14:textId="77777777" w:rsidR="002501EB" w:rsidRPr="004676F5" w:rsidRDefault="002501EB" w:rsidP="002501EB">
      <w:pPr>
        <w:jc w:val="both"/>
        <w:rPr>
          <w:lang w:val="de-DE"/>
        </w:rPr>
      </w:pPr>
      <w:r w:rsidRPr="004676F5">
        <w:rPr>
          <w:lang w:val="de-DE"/>
        </w:rPr>
        <w:tab/>
        <w:t>Wird diese Frist in der Vereinbarung nicht festgelegt, wird sie gemäß den ehrlichen Berufsgepflogenheiten für die betreffende Art von Leistungen festgelegt. In den in Artikel XI.205/5 erwähnten Kollektivvereinbarungen können diese Berufsgepflogenheiten bestimmt werden.</w:t>
      </w:r>
    </w:p>
    <w:p w14:paraId="3A40C9B5" w14:textId="77777777" w:rsidR="002501EB" w:rsidRPr="004676F5" w:rsidRDefault="002501EB" w:rsidP="002501EB">
      <w:pPr>
        <w:jc w:val="both"/>
        <w:rPr>
          <w:lang w:val="de-DE"/>
        </w:rPr>
      </w:pPr>
    </w:p>
    <w:p w14:paraId="6286F3CD" w14:textId="77777777" w:rsidR="002501EB" w:rsidRPr="004676F5" w:rsidRDefault="002501EB" w:rsidP="002501EB">
      <w:pPr>
        <w:jc w:val="both"/>
        <w:rPr>
          <w:lang w:val="de-DE"/>
        </w:rPr>
      </w:pPr>
      <w:r w:rsidRPr="004676F5">
        <w:rPr>
          <w:lang w:val="de-DE"/>
        </w:rPr>
        <w:tab/>
        <w:t>Wenn die Person, der die Rechte abgetreten wurden, oder der Lizenznehmer der Verwertungspflicht innerhalb der gemäß den Absätzen 1 und 2 festgelegten Fristen ohne rechtmäßige Entschuldigung nicht nachkommt, kann der ausübende Künstler abgetretene oder im Rahmen einer ausschließlichen Lizenz erteilte Rechte ganz oder teilweise zurücknehmen oder die Ausschließlichkeit der Lizenz kündigen nach per Einschreibesendung mit Rückschein versendeter Inverzugsetzung, die nach Ablauf einer angemessenen oder in der Kollektiv</w:t>
      </w:r>
      <w:r w:rsidRPr="004676F5">
        <w:rPr>
          <w:lang w:val="de-DE"/>
        </w:rPr>
        <w:softHyphen/>
        <w:t>vereinbarung nach Artikel XI.205/5 vorgesehenen Frist wirkungslos geblieben ist.</w:t>
      </w:r>
    </w:p>
    <w:p w14:paraId="6E43F183" w14:textId="77777777" w:rsidR="002501EB" w:rsidRPr="004676F5" w:rsidRDefault="002501EB" w:rsidP="002501EB">
      <w:pPr>
        <w:jc w:val="both"/>
        <w:rPr>
          <w:lang w:val="de-DE"/>
        </w:rPr>
      </w:pPr>
    </w:p>
    <w:p w14:paraId="3F9519F6" w14:textId="77777777" w:rsidR="002501EB" w:rsidRPr="004676F5" w:rsidRDefault="002501EB" w:rsidP="002501EB">
      <w:pPr>
        <w:jc w:val="both"/>
        <w:rPr>
          <w:lang w:val="de-DE"/>
        </w:rPr>
      </w:pPr>
      <w:r w:rsidRPr="004676F5">
        <w:rPr>
          <w:lang w:val="de-DE"/>
        </w:rPr>
        <w:tab/>
        <w:t>Die Absätze 1 bis 3 sind nicht anwendbar:</w:t>
      </w:r>
    </w:p>
    <w:p w14:paraId="5611D772" w14:textId="77777777" w:rsidR="002501EB" w:rsidRPr="004676F5" w:rsidRDefault="002501EB" w:rsidP="002501EB">
      <w:pPr>
        <w:jc w:val="both"/>
        <w:rPr>
          <w:lang w:val="de-DE"/>
        </w:rPr>
      </w:pPr>
    </w:p>
    <w:p w14:paraId="05830B88" w14:textId="77777777" w:rsidR="002501EB" w:rsidRPr="004676F5" w:rsidRDefault="002501EB" w:rsidP="002501EB">
      <w:pPr>
        <w:jc w:val="both"/>
        <w:rPr>
          <w:lang w:val="de-DE"/>
        </w:rPr>
      </w:pPr>
      <w:r w:rsidRPr="004676F5">
        <w:rPr>
          <w:lang w:val="de-DE"/>
        </w:rPr>
        <w:tab/>
        <w:t>1. wenn die nicht erfolgte Verwertung der Rechte vorwiegend auf Umstände zurückzuführen ist, deren Behebung nach billigem Ermessen von dem ausübenden Künstler erwartet werden kann,</w:t>
      </w:r>
    </w:p>
    <w:p w14:paraId="0F5E0F17" w14:textId="77777777" w:rsidR="002501EB" w:rsidRPr="004676F5" w:rsidRDefault="002501EB" w:rsidP="002501EB">
      <w:pPr>
        <w:jc w:val="both"/>
        <w:rPr>
          <w:lang w:val="de-DE"/>
        </w:rPr>
      </w:pPr>
    </w:p>
    <w:p w14:paraId="26759F0D" w14:textId="77777777" w:rsidR="002501EB" w:rsidRPr="004676F5" w:rsidRDefault="002501EB" w:rsidP="002501EB">
      <w:pPr>
        <w:jc w:val="both"/>
        <w:rPr>
          <w:lang w:val="de-DE"/>
        </w:rPr>
      </w:pPr>
      <w:r w:rsidRPr="004676F5">
        <w:rPr>
          <w:lang w:val="de-DE"/>
        </w:rPr>
        <w:tab/>
        <w:t>2. wenn das Werk oder die Leistung einen Beitrag mehrerer Urheber oder ausübender Künstler umfasst und der individuelle Beitrag des ausübenden Künstlers, der das Widerrufsrecht ausüben möchte, von relativer Bedeutung ist und die Beiträge und berechtigten Interessen aller Urheber und ausübenden Künstler, die von der Anwendung des Widerrufsverfahrens betroffen sind, durch die Ausübung dieses Rechts beeinträchtigt würden,</w:t>
      </w:r>
    </w:p>
    <w:p w14:paraId="09638A52" w14:textId="77777777" w:rsidR="002501EB" w:rsidRPr="004676F5" w:rsidRDefault="002501EB" w:rsidP="002501EB">
      <w:pPr>
        <w:jc w:val="both"/>
        <w:rPr>
          <w:lang w:val="de-DE"/>
        </w:rPr>
      </w:pPr>
    </w:p>
    <w:p w14:paraId="4ABE2209" w14:textId="77777777" w:rsidR="002501EB" w:rsidRPr="004676F5" w:rsidRDefault="002501EB" w:rsidP="002501EB">
      <w:pPr>
        <w:jc w:val="both"/>
        <w:rPr>
          <w:lang w:val="de-DE"/>
        </w:rPr>
      </w:pPr>
      <w:r w:rsidRPr="004676F5">
        <w:rPr>
          <w:lang w:val="de-DE"/>
        </w:rPr>
        <w:tab/>
        <w:t>3. wenn der ausübende Künstler die Leistung in Ausführung eines Arbeitsvertrags oder eines Statuts erbracht hat und die Leistung in den Anwendungsbereich des Vertrags oder Statuts fällt,</w:t>
      </w:r>
    </w:p>
    <w:p w14:paraId="7B2CA096" w14:textId="77777777" w:rsidR="002501EB" w:rsidRPr="004676F5" w:rsidRDefault="002501EB" w:rsidP="002501EB">
      <w:pPr>
        <w:jc w:val="both"/>
        <w:rPr>
          <w:lang w:val="de-DE"/>
        </w:rPr>
      </w:pPr>
    </w:p>
    <w:p w14:paraId="7A199B37" w14:textId="77777777" w:rsidR="002501EB" w:rsidRPr="004676F5" w:rsidRDefault="002501EB" w:rsidP="002501EB">
      <w:pPr>
        <w:jc w:val="both"/>
        <w:rPr>
          <w:lang w:val="de-DE"/>
        </w:rPr>
      </w:pPr>
      <w:r w:rsidRPr="004676F5">
        <w:rPr>
          <w:lang w:val="de-DE"/>
        </w:rPr>
        <w:tab/>
        <w:t>4. wenn der ausübende Künstler die Leistung in Ausführung einer Bestellung erbracht hat und derjenige, der die Bestellung aufgegeben hat, eine Tätigkeit im nichtkulturellen Sektor oder in der Werbebranche ausübt und soweit die betreffende Leistung für diese Tätigkeit bestimmt ist,</w:t>
      </w:r>
    </w:p>
    <w:p w14:paraId="43648F95" w14:textId="77777777" w:rsidR="002501EB" w:rsidRPr="004676F5" w:rsidRDefault="002501EB" w:rsidP="002501EB">
      <w:pPr>
        <w:jc w:val="both"/>
        <w:rPr>
          <w:lang w:val="de-DE"/>
        </w:rPr>
      </w:pPr>
    </w:p>
    <w:p w14:paraId="03E511B0" w14:textId="77777777" w:rsidR="002501EB" w:rsidRPr="004676F5" w:rsidRDefault="002501EB" w:rsidP="002501EB">
      <w:pPr>
        <w:jc w:val="both"/>
        <w:rPr>
          <w:lang w:val="de-DE"/>
        </w:rPr>
      </w:pPr>
      <w:r w:rsidRPr="004676F5">
        <w:rPr>
          <w:lang w:val="de-DE"/>
        </w:rPr>
        <w:lastRenderedPageBreak/>
        <w:tab/>
        <w:t>5. wenn eine Kollektivvereinbarung wie in Artikel XI.205/5 erwähnt das Wider</w:t>
      </w:r>
      <w:r w:rsidRPr="004676F5">
        <w:rPr>
          <w:lang w:val="de-DE"/>
        </w:rPr>
        <w:softHyphen/>
        <w:t>rufsrecht regelt.</w:t>
      </w:r>
    </w:p>
    <w:p w14:paraId="05E43627" w14:textId="77777777" w:rsidR="002501EB" w:rsidRPr="004676F5" w:rsidRDefault="002501EB" w:rsidP="002501EB">
      <w:pPr>
        <w:jc w:val="both"/>
        <w:rPr>
          <w:lang w:val="de-DE"/>
        </w:rPr>
      </w:pPr>
    </w:p>
    <w:p w14:paraId="1EFE25E6" w14:textId="5645C12C" w:rsidR="002501EB" w:rsidRPr="004676F5" w:rsidRDefault="002501EB" w:rsidP="002501EB">
      <w:pPr>
        <w:jc w:val="both"/>
        <w:rPr>
          <w:lang w:val="de-DE"/>
        </w:rPr>
      </w:pPr>
      <w:r w:rsidRPr="004676F5">
        <w:rPr>
          <w:lang w:val="de-DE"/>
        </w:rPr>
        <w:tab/>
        <w:t>Eine vertragliche Bestimmung, mit der von den Bestimmungen des vorliegenden Artikels abgewichen wird, ist nur verbindlich, wenn sie aus einer Kollektivvereinbarung wie in Artikel XI.205/5 erwähnt hervorgeht.]</w:t>
      </w:r>
    </w:p>
    <w:p w14:paraId="1199EB6D" w14:textId="77777777" w:rsidR="002501EB" w:rsidRPr="004676F5" w:rsidRDefault="002501EB" w:rsidP="002501EB">
      <w:pPr>
        <w:jc w:val="both"/>
        <w:rPr>
          <w:lang w:val="de-DE"/>
        </w:rPr>
      </w:pPr>
    </w:p>
    <w:p w14:paraId="35533C62" w14:textId="428262B1" w:rsidR="002501EB" w:rsidRPr="004676F5" w:rsidRDefault="002501EB" w:rsidP="002501EB">
      <w:pPr>
        <w:jc w:val="both"/>
        <w:rPr>
          <w:i/>
          <w:iCs/>
          <w:lang w:val="de-DE"/>
        </w:rPr>
      </w:pPr>
      <w:r w:rsidRPr="004676F5">
        <w:rPr>
          <w:i/>
          <w:iCs/>
          <w:lang w:val="de-DE"/>
        </w:rPr>
        <w:t>[Art. XI.205/4 eingefügt durch Art. 33 des G. vom 19. Juni 2022 (B.S. vom 1. August 2022)]</w:t>
      </w:r>
    </w:p>
    <w:p w14:paraId="1700B715" w14:textId="77777777" w:rsidR="002501EB" w:rsidRPr="004676F5" w:rsidRDefault="002501EB" w:rsidP="002501EB">
      <w:pPr>
        <w:jc w:val="both"/>
        <w:rPr>
          <w:lang w:val="de-DE"/>
        </w:rPr>
      </w:pPr>
    </w:p>
    <w:p w14:paraId="117C61E5" w14:textId="77777777" w:rsidR="002501EB" w:rsidRPr="004676F5" w:rsidRDefault="002501EB" w:rsidP="002501EB">
      <w:pPr>
        <w:jc w:val="both"/>
        <w:rPr>
          <w:lang w:val="de-DE"/>
        </w:rPr>
      </w:pPr>
    </w:p>
    <w:p w14:paraId="446A9D83" w14:textId="0DC891D5" w:rsidR="002501EB" w:rsidRPr="004676F5" w:rsidRDefault="002501EB" w:rsidP="002501EB">
      <w:pPr>
        <w:ind w:firstLine="708"/>
        <w:jc w:val="both"/>
        <w:rPr>
          <w:lang w:val="de-DE"/>
        </w:rPr>
      </w:pPr>
      <w:r w:rsidRPr="004676F5">
        <w:rPr>
          <w:lang w:val="de-DE"/>
        </w:rPr>
        <w:t>[</w:t>
      </w:r>
      <w:r w:rsidRPr="004676F5">
        <w:rPr>
          <w:b/>
          <w:bCs/>
          <w:lang w:val="de-DE"/>
        </w:rPr>
        <w:t>Art. XI.205/5</w:t>
      </w:r>
      <w:r w:rsidRPr="004676F5">
        <w:rPr>
          <w:lang w:val="de-DE"/>
        </w:rPr>
        <w:t> </w:t>
      </w:r>
      <w:r w:rsidR="005B7A5C" w:rsidRPr="004676F5">
        <w:rPr>
          <w:lang w:val="de-DE"/>
        </w:rPr>
        <w:t>- </w:t>
      </w:r>
      <w:r w:rsidRPr="004676F5">
        <w:rPr>
          <w:lang w:val="de-DE"/>
        </w:rPr>
        <w:t>In Kollektivvereinbarungen kann unter anderem Folgendes festgelegt werden:</w:t>
      </w:r>
    </w:p>
    <w:p w14:paraId="49298182" w14:textId="77777777" w:rsidR="002501EB" w:rsidRPr="004676F5" w:rsidRDefault="002501EB" w:rsidP="002501EB">
      <w:pPr>
        <w:jc w:val="both"/>
        <w:rPr>
          <w:lang w:val="de-DE"/>
        </w:rPr>
      </w:pPr>
    </w:p>
    <w:p w14:paraId="585A26AD" w14:textId="77777777" w:rsidR="002501EB" w:rsidRPr="004676F5" w:rsidRDefault="002501EB" w:rsidP="002501EB">
      <w:pPr>
        <w:jc w:val="both"/>
        <w:rPr>
          <w:lang w:val="de-DE"/>
        </w:rPr>
      </w:pPr>
      <w:r w:rsidRPr="004676F5">
        <w:rPr>
          <w:lang w:val="de-DE"/>
        </w:rPr>
        <w:tab/>
        <w:t>1. Umfang der Abtretung oder Lizenzierung von Rechten,</w:t>
      </w:r>
    </w:p>
    <w:p w14:paraId="158A9B82" w14:textId="77777777" w:rsidR="002501EB" w:rsidRPr="004676F5" w:rsidRDefault="002501EB" w:rsidP="002501EB">
      <w:pPr>
        <w:jc w:val="both"/>
        <w:rPr>
          <w:lang w:val="de-DE"/>
        </w:rPr>
      </w:pPr>
    </w:p>
    <w:p w14:paraId="017C89D8" w14:textId="77777777" w:rsidR="002501EB" w:rsidRPr="004676F5" w:rsidRDefault="002501EB" w:rsidP="002501EB">
      <w:pPr>
        <w:jc w:val="both"/>
        <w:rPr>
          <w:lang w:val="de-DE"/>
        </w:rPr>
      </w:pPr>
      <w:r w:rsidRPr="004676F5">
        <w:rPr>
          <w:lang w:val="de-DE"/>
        </w:rPr>
        <w:tab/>
        <w:t>2. Modalitäten der Abtretung oder Lizenzierung von Rechten,</w:t>
      </w:r>
    </w:p>
    <w:p w14:paraId="21C0DF1D" w14:textId="77777777" w:rsidR="002501EB" w:rsidRPr="004676F5" w:rsidRDefault="002501EB" w:rsidP="002501EB">
      <w:pPr>
        <w:jc w:val="both"/>
        <w:rPr>
          <w:lang w:val="de-DE"/>
        </w:rPr>
      </w:pPr>
    </w:p>
    <w:p w14:paraId="7F3C257D" w14:textId="30E78501" w:rsidR="002501EB" w:rsidRPr="004676F5" w:rsidRDefault="002501EB" w:rsidP="002501EB">
      <w:pPr>
        <w:jc w:val="both"/>
        <w:rPr>
          <w:lang w:val="de-DE"/>
        </w:rPr>
      </w:pPr>
      <w:r w:rsidRPr="004676F5">
        <w:rPr>
          <w:lang w:val="de-DE"/>
        </w:rPr>
        <w:tab/>
        <w:t>3. Modalitäten der Abtretungs</w:t>
      </w:r>
      <w:r w:rsidR="005B7A5C" w:rsidRPr="004676F5">
        <w:rPr>
          <w:lang w:val="de-DE"/>
        </w:rPr>
        <w:t>- </w:t>
      </w:r>
      <w:r w:rsidRPr="004676F5">
        <w:rPr>
          <w:lang w:val="de-DE"/>
        </w:rPr>
        <w:t>oder Lizenzierungsvergütung,</w:t>
      </w:r>
    </w:p>
    <w:p w14:paraId="41771C77" w14:textId="77777777" w:rsidR="002501EB" w:rsidRPr="004676F5" w:rsidRDefault="002501EB" w:rsidP="002501EB">
      <w:pPr>
        <w:jc w:val="both"/>
        <w:rPr>
          <w:lang w:val="de-DE"/>
        </w:rPr>
      </w:pPr>
    </w:p>
    <w:p w14:paraId="118BE09E" w14:textId="77777777" w:rsidR="002501EB" w:rsidRPr="004676F5" w:rsidRDefault="002501EB" w:rsidP="002501EB">
      <w:pPr>
        <w:jc w:val="both"/>
        <w:rPr>
          <w:lang w:val="de-DE"/>
        </w:rPr>
      </w:pPr>
      <w:r w:rsidRPr="004676F5">
        <w:rPr>
          <w:lang w:val="de-DE"/>
        </w:rPr>
        <w:tab/>
        <w:t>4. Modalitäten der in Artikel XI.205/2 erwähnten Transparenzpflicht,</w:t>
      </w:r>
    </w:p>
    <w:p w14:paraId="3E34C9A4" w14:textId="77777777" w:rsidR="002501EB" w:rsidRPr="004676F5" w:rsidRDefault="002501EB" w:rsidP="002501EB">
      <w:pPr>
        <w:jc w:val="both"/>
        <w:rPr>
          <w:lang w:val="de-DE"/>
        </w:rPr>
      </w:pPr>
    </w:p>
    <w:p w14:paraId="0A2873EB" w14:textId="77777777" w:rsidR="002501EB" w:rsidRPr="004676F5" w:rsidRDefault="002501EB" w:rsidP="002501EB">
      <w:pPr>
        <w:jc w:val="both"/>
        <w:rPr>
          <w:lang w:val="de-DE"/>
        </w:rPr>
      </w:pPr>
      <w:r w:rsidRPr="004676F5">
        <w:rPr>
          <w:lang w:val="de-DE"/>
        </w:rPr>
        <w:tab/>
        <w:t>5. Modalitäten der in Artikel XI.205/3 erwähnten Mechanismen zur Anpassung der Verträge,</w:t>
      </w:r>
    </w:p>
    <w:p w14:paraId="4CF3C1F5" w14:textId="77777777" w:rsidR="002501EB" w:rsidRPr="004676F5" w:rsidRDefault="002501EB" w:rsidP="002501EB">
      <w:pPr>
        <w:jc w:val="both"/>
        <w:rPr>
          <w:lang w:val="de-DE"/>
        </w:rPr>
      </w:pPr>
    </w:p>
    <w:p w14:paraId="3E64A7B3" w14:textId="77777777" w:rsidR="002501EB" w:rsidRPr="004676F5" w:rsidRDefault="002501EB" w:rsidP="002501EB">
      <w:pPr>
        <w:jc w:val="both"/>
        <w:rPr>
          <w:lang w:val="de-DE"/>
        </w:rPr>
      </w:pPr>
      <w:r w:rsidRPr="004676F5">
        <w:rPr>
          <w:lang w:val="de-DE"/>
        </w:rPr>
        <w:tab/>
        <w:t>6. in Artikel XI.205/4 erwähntes Widerrufsrecht,</w:t>
      </w:r>
    </w:p>
    <w:p w14:paraId="368253BF" w14:textId="77777777" w:rsidR="002501EB" w:rsidRPr="004676F5" w:rsidRDefault="002501EB" w:rsidP="002501EB">
      <w:pPr>
        <w:jc w:val="both"/>
        <w:rPr>
          <w:lang w:val="de-DE"/>
        </w:rPr>
      </w:pPr>
    </w:p>
    <w:p w14:paraId="40D3986F" w14:textId="77777777" w:rsidR="002501EB" w:rsidRPr="004676F5" w:rsidRDefault="002501EB" w:rsidP="002501EB">
      <w:pPr>
        <w:jc w:val="both"/>
        <w:rPr>
          <w:lang w:val="de-DE"/>
        </w:rPr>
      </w:pPr>
      <w:r w:rsidRPr="004676F5">
        <w:rPr>
          <w:lang w:val="de-DE"/>
        </w:rPr>
        <w:tab/>
        <w:t>7. alternative Streitbeilegungsverfahren.</w:t>
      </w:r>
    </w:p>
    <w:p w14:paraId="108BB032" w14:textId="77777777" w:rsidR="002501EB" w:rsidRPr="004676F5" w:rsidRDefault="002501EB" w:rsidP="002501EB">
      <w:pPr>
        <w:jc w:val="both"/>
        <w:rPr>
          <w:lang w:val="de-DE"/>
        </w:rPr>
      </w:pPr>
    </w:p>
    <w:p w14:paraId="59F327C8" w14:textId="691C9CB3" w:rsidR="002501EB" w:rsidRPr="004676F5" w:rsidRDefault="002501EB" w:rsidP="002501EB">
      <w:pPr>
        <w:jc w:val="both"/>
        <w:rPr>
          <w:lang w:val="de-DE"/>
        </w:rPr>
      </w:pPr>
      <w:r w:rsidRPr="004676F5">
        <w:rPr>
          <w:lang w:val="de-DE"/>
        </w:rPr>
        <w:tab/>
        <w:t>In Kollektivvereinbarungen wird immer ein angemessener Rechte</w:t>
      </w:r>
      <w:r w:rsidR="005B7A5C" w:rsidRPr="004676F5">
        <w:rPr>
          <w:lang w:val="de-DE"/>
        </w:rPr>
        <w:t>- </w:t>
      </w:r>
      <w:r w:rsidRPr="004676F5">
        <w:rPr>
          <w:lang w:val="de-DE"/>
        </w:rPr>
        <w:t>und Interessenausgleich zwischen jeder der Parteien angestrebt.</w:t>
      </w:r>
    </w:p>
    <w:p w14:paraId="604A17A5" w14:textId="77777777" w:rsidR="002501EB" w:rsidRPr="004676F5" w:rsidRDefault="002501EB" w:rsidP="002501EB">
      <w:pPr>
        <w:jc w:val="both"/>
        <w:rPr>
          <w:lang w:val="de-DE"/>
        </w:rPr>
      </w:pPr>
    </w:p>
    <w:p w14:paraId="1579F5AD" w14:textId="79AF458B" w:rsidR="002501EB" w:rsidRPr="004676F5" w:rsidRDefault="002501EB" w:rsidP="002501EB">
      <w:pPr>
        <w:jc w:val="both"/>
        <w:rPr>
          <w:lang w:val="de-DE"/>
        </w:rPr>
      </w:pPr>
      <w:r w:rsidRPr="004676F5">
        <w:rPr>
          <w:lang w:val="de-DE"/>
        </w:rPr>
        <w:tab/>
        <w:t>Der König kann unter Bedingungen und gemäß Verfahren, die Er bestimmt, Kollektivvereinbarungen für Rechtsinhaber und Nutzer der gleichen Kategorie wie diejenigen, die die betreffenden Vereinbarungen abgeschlossen haben, für allgemein verbindlich erklären. In diesem Fall überprüft Er, ob die Parteien der Vereinbarung paritätisch vertreten waren und ob die Vereinbarung nicht gegen geltende Vorschriften verstößt. Stellt der König fest, dass die Vereinbarung diese Bedingungen nicht erfüllt, setzt Er die Parteien der Kollektivvereinbarung von den Gründen für diese Entscheidung in Kenntnis.]</w:t>
      </w:r>
    </w:p>
    <w:p w14:paraId="67F38737" w14:textId="77777777" w:rsidR="002501EB" w:rsidRPr="004676F5" w:rsidRDefault="002501EB" w:rsidP="002501EB">
      <w:pPr>
        <w:jc w:val="both"/>
        <w:rPr>
          <w:lang w:val="de-DE"/>
        </w:rPr>
      </w:pPr>
    </w:p>
    <w:p w14:paraId="78464C4E" w14:textId="289664BD" w:rsidR="002501EB" w:rsidRPr="004676F5" w:rsidRDefault="002501EB" w:rsidP="002501EB">
      <w:pPr>
        <w:jc w:val="both"/>
        <w:rPr>
          <w:i/>
          <w:iCs/>
          <w:lang w:val="de-DE"/>
        </w:rPr>
      </w:pPr>
      <w:r w:rsidRPr="004676F5">
        <w:rPr>
          <w:i/>
          <w:iCs/>
          <w:lang w:val="de-DE"/>
        </w:rPr>
        <w:t>[Art. XI.205/5 eingefügt durch Art. 34 des G. vom 19. Juni 2022 (B.S. vom 1. August 2022)]</w:t>
      </w:r>
    </w:p>
    <w:p w14:paraId="36EE6F24" w14:textId="77777777" w:rsidR="002501EB" w:rsidRPr="004676F5" w:rsidRDefault="002501EB" w:rsidP="002501EB">
      <w:pPr>
        <w:jc w:val="both"/>
        <w:rPr>
          <w:lang w:val="de-DE"/>
        </w:rPr>
      </w:pPr>
    </w:p>
    <w:p w14:paraId="02D2B46F" w14:textId="77777777" w:rsidR="002501EB" w:rsidRPr="004676F5" w:rsidRDefault="002501EB" w:rsidP="002501EB">
      <w:pPr>
        <w:jc w:val="both"/>
        <w:rPr>
          <w:lang w:val="de-DE"/>
        </w:rPr>
      </w:pPr>
    </w:p>
    <w:p w14:paraId="2D731D11" w14:textId="6BDB139B" w:rsidR="002501EB" w:rsidRPr="004676F5" w:rsidRDefault="002501EB" w:rsidP="002501EB">
      <w:pPr>
        <w:ind w:firstLine="708"/>
        <w:jc w:val="both"/>
        <w:rPr>
          <w:lang w:val="de-DE"/>
        </w:rPr>
      </w:pPr>
      <w:r w:rsidRPr="004676F5">
        <w:rPr>
          <w:lang w:val="de-DE"/>
        </w:rPr>
        <w:t>[</w:t>
      </w:r>
      <w:r w:rsidRPr="004676F5">
        <w:rPr>
          <w:b/>
          <w:bCs/>
          <w:lang w:val="de-DE"/>
        </w:rPr>
        <w:t>Art. XI.205/6</w:t>
      </w:r>
      <w:r w:rsidRPr="004676F5">
        <w:rPr>
          <w:lang w:val="de-DE"/>
        </w:rPr>
        <w:t> </w:t>
      </w:r>
      <w:r w:rsidR="005B7A5C" w:rsidRPr="004676F5">
        <w:rPr>
          <w:lang w:val="de-DE"/>
        </w:rPr>
        <w:t>- </w:t>
      </w:r>
      <w:r w:rsidRPr="004676F5">
        <w:rPr>
          <w:lang w:val="de-DE"/>
        </w:rPr>
        <w:t>Artikel XI.203 Absatz 2 und die Artikel XI.205 bis XI.205/5 sind verbindlich.]</w:t>
      </w:r>
    </w:p>
    <w:p w14:paraId="7BAD0849" w14:textId="77777777" w:rsidR="002501EB" w:rsidRPr="004676F5" w:rsidRDefault="002501EB" w:rsidP="002501EB">
      <w:pPr>
        <w:ind w:firstLine="708"/>
        <w:jc w:val="both"/>
        <w:rPr>
          <w:lang w:val="de-DE"/>
        </w:rPr>
      </w:pPr>
    </w:p>
    <w:p w14:paraId="003CB1F4" w14:textId="0894ACB7" w:rsidR="002501EB" w:rsidRPr="004676F5" w:rsidRDefault="002501EB" w:rsidP="002501EB">
      <w:pPr>
        <w:jc w:val="both"/>
        <w:rPr>
          <w:i/>
          <w:iCs/>
          <w:lang w:val="de-DE"/>
        </w:rPr>
      </w:pPr>
      <w:r w:rsidRPr="004676F5">
        <w:rPr>
          <w:i/>
          <w:iCs/>
          <w:lang w:val="de-DE"/>
        </w:rPr>
        <w:t>[Art. XI.205/6 eingefügt durch Art. 35 des G. vom 19. Juni 2022 (B.S. vom 1. August 2022)]</w:t>
      </w:r>
    </w:p>
    <w:p w14:paraId="50B434BF" w14:textId="77777777" w:rsidR="002501EB" w:rsidRPr="004676F5" w:rsidRDefault="002501EB" w:rsidP="002501EB">
      <w:pPr>
        <w:ind w:firstLine="708"/>
        <w:jc w:val="both"/>
        <w:rPr>
          <w:lang w:val="de-DE"/>
        </w:rPr>
      </w:pPr>
    </w:p>
    <w:p w14:paraId="3EF954D5" w14:textId="77777777" w:rsidR="002501EB" w:rsidRPr="004676F5" w:rsidRDefault="002501EB" w:rsidP="002501EB">
      <w:pPr>
        <w:ind w:firstLine="708"/>
        <w:jc w:val="both"/>
        <w:rPr>
          <w:lang w:val="de-DE"/>
        </w:rPr>
      </w:pPr>
    </w:p>
    <w:p w14:paraId="518084B7" w14:textId="631A5417" w:rsidR="001527B1" w:rsidRPr="004676F5" w:rsidRDefault="00BE0A56" w:rsidP="001527B1">
      <w:pPr>
        <w:ind w:firstLine="708"/>
        <w:jc w:val="both"/>
        <w:rPr>
          <w:lang w:val="de-DE"/>
        </w:rPr>
      </w:pPr>
      <w:r w:rsidRPr="004676F5">
        <w:rPr>
          <w:b/>
          <w:lang w:val="de-DE"/>
        </w:rPr>
        <w:t>Art. </w:t>
      </w:r>
      <w:r w:rsidR="001527B1" w:rsidRPr="004676F5">
        <w:rPr>
          <w:b/>
          <w:lang w:val="de-DE"/>
        </w:rPr>
        <w:t>XI.206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Außer bei gegenteiliger Vereinbarung tritt ein ausübender Künstler dem Produzenten eines audiovisuellen Werkes das ausschließliche Recht ab, seine Leistung audiovisuell zu nutzen, einschließlich der für diese Nutzung notwendigen Rechte wie das </w:t>
      </w:r>
      <w:r w:rsidR="001527B1" w:rsidRPr="004676F5">
        <w:rPr>
          <w:lang w:val="de-DE"/>
        </w:rPr>
        <w:lastRenderedPageBreak/>
        <w:t xml:space="preserve">Recht, Untertitel hinzuzufügen oder die Leistung zu synchronisieren, unbeschadet der Bestimmungen </w:t>
      </w:r>
      <w:r w:rsidR="00FB31A4" w:rsidRPr="004676F5">
        <w:rPr>
          <w:lang w:val="de-DE"/>
        </w:rPr>
        <w:t>[</w:t>
      </w:r>
      <w:r w:rsidR="001527B1" w:rsidRPr="004676F5">
        <w:rPr>
          <w:lang w:val="de-DE"/>
        </w:rPr>
        <w:t xml:space="preserve">der Paragraphen 2 </w:t>
      </w:r>
      <w:r w:rsidR="00FB31A4" w:rsidRPr="004676F5">
        <w:rPr>
          <w:lang w:val="de-DE"/>
        </w:rPr>
        <w:t>und 3]</w:t>
      </w:r>
      <w:r w:rsidR="001527B1" w:rsidRPr="004676F5">
        <w:rPr>
          <w:lang w:val="de-DE"/>
        </w:rPr>
        <w:t>.</w:t>
      </w:r>
    </w:p>
    <w:p w14:paraId="4A70336D" w14:textId="77777777" w:rsidR="001527B1" w:rsidRPr="004676F5" w:rsidRDefault="001527B1" w:rsidP="001527B1">
      <w:pPr>
        <w:ind w:firstLine="708"/>
        <w:jc w:val="both"/>
        <w:rPr>
          <w:lang w:val="de-DE"/>
        </w:rPr>
      </w:pPr>
    </w:p>
    <w:p w14:paraId="4D71B95C" w14:textId="4B224FDB"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Ein ausübender Künstler, der sich weigert, seinen Beitrag zu einem audiovi</w:t>
      </w:r>
      <w:r w:rsidRPr="004676F5">
        <w:rPr>
          <w:lang w:val="de-DE"/>
        </w:rPr>
        <w:softHyphen/>
        <w:t>suellen Werk fertigzustellen, oder dazu nicht imstande ist, kann sich der Verwendung seines Beitrags zur Fertigstellung des Werkes nicht widersetzen. Für diesen Beitrag ist er als ausübender Künstler anzusehen und verfügt er über die diesbezüglichen Rechte.</w:t>
      </w:r>
    </w:p>
    <w:p w14:paraId="1EE0D351" w14:textId="77777777" w:rsidR="001527B1" w:rsidRPr="004676F5" w:rsidRDefault="001527B1" w:rsidP="001527B1">
      <w:pPr>
        <w:ind w:firstLine="708"/>
        <w:jc w:val="both"/>
        <w:rPr>
          <w:lang w:val="de-DE"/>
        </w:rPr>
      </w:pPr>
    </w:p>
    <w:p w14:paraId="32179C8C" w14:textId="77777777" w:rsidR="001527B1" w:rsidRPr="004676F5" w:rsidRDefault="001527B1" w:rsidP="001527B1">
      <w:pPr>
        <w:ind w:firstLine="708"/>
        <w:jc w:val="both"/>
        <w:rPr>
          <w:lang w:val="de-DE"/>
        </w:rPr>
      </w:pPr>
      <w:r w:rsidRPr="004676F5">
        <w:rPr>
          <w:lang w:val="de-DE"/>
        </w:rPr>
        <w:t>Ausübende Künstler können ihre Urheberpersönlichkeitsrechte erst nach Fertig</w:t>
      </w:r>
      <w:r w:rsidRPr="004676F5">
        <w:rPr>
          <w:lang w:val="de-DE"/>
        </w:rPr>
        <w:softHyphen/>
        <w:t>stellung des audiovisuellen Werkes ausüben.</w:t>
      </w:r>
    </w:p>
    <w:p w14:paraId="4EDD83B2" w14:textId="77777777" w:rsidR="001527B1" w:rsidRPr="004676F5" w:rsidRDefault="001527B1" w:rsidP="001527B1">
      <w:pPr>
        <w:ind w:firstLine="708"/>
        <w:jc w:val="both"/>
        <w:rPr>
          <w:lang w:val="de-DE"/>
        </w:rPr>
      </w:pPr>
    </w:p>
    <w:p w14:paraId="23121F87" w14:textId="77777777" w:rsidR="001527B1" w:rsidRPr="004676F5" w:rsidRDefault="001527B1" w:rsidP="001527B1">
      <w:pPr>
        <w:ind w:firstLine="708"/>
        <w:jc w:val="both"/>
        <w:rPr>
          <w:lang w:val="de-DE"/>
        </w:rPr>
      </w:pPr>
      <w:r w:rsidRPr="004676F5">
        <w:rPr>
          <w:lang w:val="de-DE"/>
        </w:rPr>
        <w:t>Es ist verboten, das Originalband dieser Fassung zu vernichten.</w:t>
      </w:r>
    </w:p>
    <w:p w14:paraId="09504C0C" w14:textId="77777777" w:rsidR="001527B1" w:rsidRPr="004676F5" w:rsidRDefault="001527B1" w:rsidP="001527B1">
      <w:pPr>
        <w:ind w:firstLine="708"/>
        <w:jc w:val="both"/>
        <w:rPr>
          <w:lang w:val="de-DE"/>
        </w:rPr>
      </w:pPr>
    </w:p>
    <w:p w14:paraId="68821F34" w14:textId="061E97CF"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Außer für Leistungen, die zur Verwirklichung von audiovisuellen Werken des nichtkulturellen Sektors oder der Werbebranche erbracht werden, haben ausübende Künstler für jede Nutzungsart Anspruch auf eine separate Vergütung.</w:t>
      </w:r>
    </w:p>
    <w:p w14:paraId="62F40C98" w14:textId="77777777" w:rsidR="001527B1" w:rsidRPr="004676F5" w:rsidRDefault="001527B1" w:rsidP="001527B1">
      <w:pPr>
        <w:ind w:firstLine="708"/>
        <w:jc w:val="both"/>
        <w:rPr>
          <w:lang w:val="de-DE"/>
        </w:rPr>
      </w:pPr>
    </w:p>
    <w:p w14:paraId="479402FA" w14:textId="016B4175" w:rsidR="001527B1" w:rsidRPr="004676F5" w:rsidRDefault="001527B1" w:rsidP="001527B1">
      <w:pPr>
        <w:ind w:firstLine="708"/>
        <w:jc w:val="both"/>
        <w:rPr>
          <w:lang w:val="de-DE"/>
        </w:rPr>
      </w:pPr>
      <w:r w:rsidRPr="004676F5">
        <w:rPr>
          <w:lang w:val="de-DE"/>
        </w:rPr>
        <w:t>§ 4 </w:t>
      </w:r>
      <w:r w:rsidR="005B7A5C" w:rsidRPr="004676F5">
        <w:rPr>
          <w:lang w:val="de-DE"/>
        </w:rPr>
        <w:t>- </w:t>
      </w:r>
      <w:r w:rsidR="00FB31A4" w:rsidRPr="004676F5">
        <w:rPr>
          <w:lang w:val="de-DE"/>
        </w:rPr>
        <w:t>[...]</w:t>
      </w:r>
    </w:p>
    <w:p w14:paraId="7BAD775D" w14:textId="77777777" w:rsidR="00FB31A4" w:rsidRPr="004676F5" w:rsidRDefault="00FB31A4" w:rsidP="00FB31A4">
      <w:pPr>
        <w:jc w:val="both"/>
        <w:rPr>
          <w:lang w:val="de-DE"/>
        </w:rPr>
      </w:pPr>
    </w:p>
    <w:p w14:paraId="65108548" w14:textId="6BBCD228" w:rsidR="00FB31A4" w:rsidRPr="004676F5" w:rsidRDefault="00FB31A4" w:rsidP="00FB31A4">
      <w:pPr>
        <w:jc w:val="both"/>
        <w:rPr>
          <w:i/>
          <w:iCs/>
          <w:lang w:val="de-DE"/>
        </w:rPr>
      </w:pPr>
      <w:r w:rsidRPr="004676F5">
        <w:rPr>
          <w:i/>
          <w:iCs/>
          <w:lang w:val="de-DE"/>
        </w:rPr>
        <w:t>[Art. XI.206 § 1 abgeändert durch Art. 36 Nr. 1 des G. vom 19. Juni 2022 (B.S. vom 1. August 2022); § 4 aufgehoben durch Art. 36 Nr. 2 des G. vom 19. Juni 2022 (B.S. vom 1. August 2022)]</w:t>
      </w:r>
    </w:p>
    <w:p w14:paraId="2FB87883" w14:textId="1ABAAFEF" w:rsidR="00365BA4" w:rsidRPr="004676F5" w:rsidRDefault="00365BA4" w:rsidP="00365BA4">
      <w:pPr>
        <w:jc w:val="both"/>
        <w:rPr>
          <w:i/>
          <w:iCs/>
          <w:lang w:val="de-DE"/>
        </w:rPr>
      </w:pPr>
    </w:p>
    <w:p w14:paraId="2ABA51B5" w14:textId="77777777" w:rsidR="00365BA4" w:rsidRPr="004676F5" w:rsidRDefault="00365BA4" w:rsidP="00365BA4">
      <w:pPr>
        <w:jc w:val="both"/>
        <w:rPr>
          <w:lang w:val="de-DE"/>
        </w:rPr>
      </w:pPr>
    </w:p>
    <w:p w14:paraId="25AEA4EA" w14:textId="3E3C9A2F" w:rsidR="001527B1" w:rsidRPr="004676F5" w:rsidRDefault="00BE0A56" w:rsidP="001527B1">
      <w:pPr>
        <w:ind w:firstLine="708"/>
        <w:jc w:val="both"/>
        <w:rPr>
          <w:lang w:val="de-DE"/>
        </w:rPr>
      </w:pPr>
      <w:r w:rsidRPr="004676F5">
        <w:rPr>
          <w:b/>
          <w:lang w:val="de-DE"/>
        </w:rPr>
        <w:t>Art. </w:t>
      </w:r>
      <w:r w:rsidR="001527B1" w:rsidRPr="004676F5">
        <w:rPr>
          <w:b/>
          <w:lang w:val="de-DE"/>
        </w:rPr>
        <w:t>XI.207</w:t>
      </w:r>
      <w:r w:rsidR="001527B1" w:rsidRPr="004676F5">
        <w:rPr>
          <w:lang w:val="de-DE"/>
        </w:rPr>
        <w:t> </w:t>
      </w:r>
      <w:r w:rsidR="005B7A5C" w:rsidRPr="004676F5">
        <w:rPr>
          <w:lang w:val="de-DE"/>
        </w:rPr>
        <w:t>- </w:t>
      </w:r>
      <w:r w:rsidR="001527B1" w:rsidRPr="004676F5">
        <w:rPr>
          <w:lang w:val="de-DE"/>
        </w:rPr>
        <w:t>Bei einer Livevorstellung eines Ensembles wird die Einwilligung von den Solisten, Dirigenten und Regisseuren und für die anderen ausübenden Künstler vom Direktor ihrer Truppe erteilt.</w:t>
      </w:r>
    </w:p>
    <w:p w14:paraId="37F9672C" w14:textId="77777777" w:rsidR="001527B1" w:rsidRPr="004676F5" w:rsidRDefault="001527B1" w:rsidP="001527B1">
      <w:pPr>
        <w:ind w:firstLine="708"/>
        <w:jc w:val="both"/>
        <w:rPr>
          <w:lang w:val="de-DE"/>
        </w:rPr>
      </w:pPr>
    </w:p>
    <w:p w14:paraId="75F7C55E" w14:textId="77777777" w:rsidR="00355502" w:rsidRPr="004676F5" w:rsidRDefault="00355502" w:rsidP="001527B1">
      <w:pPr>
        <w:ind w:firstLine="708"/>
        <w:jc w:val="both"/>
        <w:rPr>
          <w:lang w:val="de-DE"/>
        </w:rPr>
      </w:pPr>
    </w:p>
    <w:p w14:paraId="3D5BA4CE" w14:textId="6528808F" w:rsidR="001527B1" w:rsidRPr="004676F5" w:rsidRDefault="00BE0A56" w:rsidP="001527B1">
      <w:pPr>
        <w:ind w:firstLine="708"/>
        <w:jc w:val="both"/>
        <w:rPr>
          <w:lang w:val="de-DE"/>
        </w:rPr>
      </w:pPr>
      <w:r w:rsidRPr="004676F5">
        <w:rPr>
          <w:b/>
          <w:lang w:val="de-DE"/>
        </w:rPr>
        <w:t>Art. </w:t>
      </w:r>
      <w:r w:rsidR="001527B1" w:rsidRPr="004676F5">
        <w:rPr>
          <w:b/>
          <w:lang w:val="de-DE"/>
        </w:rPr>
        <w:t>XI.208</w:t>
      </w:r>
      <w:r w:rsidR="001527B1" w:rsidRPr="004676F5">
        <w:rPr>
          <w:lang w:val="de-DE"/>
        </w:rPr>
        <w:t> </w:t>
      </w:r>
      <w:r w:rsidR="005B7A5C" w:rsidRPr="004676F5">
        <w:rPr>
          <w:lang w:val="de-DE"/>
        </w:rPr>
        <w:t>- </w:t>
      </w:r>
      <w:r w:rsidR="001527B1" w:rsidRPr="004676F5">
        <w:rPr>
          <w:lang w:val="de-DE"/>
        </w:rPr>
        <w:t>Die Rechte des ausübenden Künstlers erlöschen fünfzig Jahre nach dem Datum der Leistung. Wenn eine Aufzeichnung der Leistung erlaubterweise veröffentlicht oder erlaubterweise öffentlich wiedergegeben worden ist, erlöschen die Rechte fünfzig Jahre nach der betreffenden ersten Veröffentlichung oder ersten öffentlichen Wiedergabe, je nachdem, welches Ereignis zuerst stattgefunden hat.</w:t>
      </w:r>
    </w:p>
    <w:p w14:paraId="7FCE3DD6" w14:textId="77777777" w:rsidR="001527B1" w:rsidRPr="004676F5" w:rsidRDefault="001527B1" w:rsidP="001527B1">
      <w:pPr>
        <w:ind w:firstLine="708"/>
        <w:jc w:val="both"/>
        <w:rPr>
          <w:lang w:val="de-DE"/>
        </w:rPr>
      </w:pPr>
    </w:p>
    <w:p w14:paraId="26273421" w14:textId="77777777" w:rsidR="001527B1" w:rsidRPr="004676F5" w:rsidRDefault="001527B1" w:rsidP="001527B1">
      <w:pPr>
        <w:ind w:firstLine="708"/>
        <w:jc w:val="both"/>
        <w:rPr>
          <w:lang w:val="de-DE"/>
        </w:rPr>
      </w:pPr>
      <w:r w:rsidRPr="004676F5">
        <w:rPr>
          <w:lang w:val="de-DE"/>
        </w:rPr>
        <w:t>Wird jedoch</w:t>
      </w:r>
    </w:p>
    <w:p w14:paraId="4907935B" w14:textId="77777777" w:rsidR="001527B1" w:rsidRPr="004676F5" w:rsidRDefault="001527B1" w:rsidP="001527B1">
      <w:pPr>
        <w:ind w:firstLine="708"/>
        <w:jc w:val="both"/>
        <w:rPr>
          <w:lang w:val="de-DE"/>
        </w:rPr>
      </w:pPr>
    </w:p>
    <w:p w14:paraId="42ACDAD5" w14:textId="61D41246" w:rsidR="001527B1" w:rsidRPr="004676F5" w:rsidRDefault="005B7A5C" w:rsidP="001527B1">
      <w:pPr>
        <w:ind w:firstLine="708"/>
        <w:jc w:val="both"/>
        <w:rPr>
          <w:lang w:val="de-DE"/>
        </w:rPr>
      </w:pPr>
      <w:r w:rsidRPr="004676F5">
        <w:rPr>
          <w:lang w:val="de-DE"/>
        </w:rPr>
        <w:t>- </w:t>
      </w:r>
      <w:r w:rsidR="001527B1" w:rsidRPr="004676F5">
        <w:rPr>
          <w:lang w:val="de-DE"/>
        </w:rPr>
        <w:t>eine nicht auf einem Tonträger erfolgte Aufzeichnung der Darbietung innerhalb dieser Frist erlaubterweise veröffentlicht oder erlaubterweise öffentlich wiedergegeben, so erlöschen die Rechte fünfzig Jahre nach der betreffenden ersten Veröffentlichung oder ersten öffentlichen Wiedergabe, je nachdem, welches Ereignis zuerst stattgefunden hat,</w:t>
      </w:r>
    </w:p>
    <w:p w14:paraId="7C53EFDF" w14:textId="77777777" w:rsidR="001527B1" w:rsidRPr="004676F5" w:rsidRDefault="001527B1" w:rsidP="001527B1">
      <w:pPr>
        <w:jc w:val="both"/>
        <w:rPr>
          <w:lang w:val="de-DE"/>
        </w:rPr>
      </w:pPr>
    </w:p>
    <w:p w14:paraId="3B263DB1" w14:textId="3D5B2B49" w:rsidR="001527B1" w:rsidRPr="004676F5" w:rsidRDefault="005B7A5C" w:rsidP="001527B1">
      <w:pPr>
        <w:ind w:firstLine="708"/>
        <w:jc w:val="both"/>
        <w:rPr>
          <w:lang w:val="de-DE"/>
        </w:rPr>
      </w:pPr>
      <w:r w:rsidRPr="004676F5">
        <w:rPr>
          <w:lang w:val="de-DE"/>
        </w:rPr>
        <w:t>- </w:t>
      </w:r>
      <w:r w:rsidR="001527B1" w:rsidRPr="004676F5">
        <w:rPr>
          <w:lang w:val="de-DE"/>
        </w:rPr>
        <w:t>eine Aufzeichnung der Darbietung auf einem Tonträger innerhalb dieser Frist erlaubterweise veröffentlicht oder erlaubterweise öffentlich wiedergegeben, so erlöschen die Rechte siebzig Jahre nach der betreffenden ersten Veröffentlichung oder ersten öffentlichen Wiedergabe, je nachdem, welches Ereignis zuerst stattgefunden hat.</w:t>
      </w:r>
    </w:p>
    <w:p w14:paraId="4519768F" w14:textId="77777777" w:rsidR="001527B1" w:rsidRPr="004676F5" w:rsidRDefault="001527B1" w:rsidP="001527B1">
      <w:pPr>
        <w:ind w:firstLine="708"/>
        <w:jc w:val="both"/>
        <w:rPr>
          <w:lang w:val="de-DE"/>
        </w:rPr>
      </w:pPr>
    </w:p>
    <w:p w14:paraId="7CE61BD2" w14:textId="77777777" w:rsidR="001527B1" w:rsidRPr="004676F5" w:rsidRDefault="001527B1" w:rsidP="001527B1">
      <w:pPr>
        <w:ind w:firstLine="708"/>
        <w:jc w:val="both"/>
        <w:rPr>
          <w:lang w:val="de-DE"/>
        </w:rPr>
      </w:pPr>
      <w:r w:rsidRPr="004676F5">
        <w:rPr>
          <w:lang w:val="de-DE"/>
        </w:rPr>
        <w:t>In Absatz 1 und 2 erwähnte Fristen werden vom 1. Januar des Jahres an berechnet, das auf das für den Beginn der Frist maßgebende Ereignis folgt.</w:t>
      </w:r>
    </w:p>
    <w:p w14:paraId="22C63942" w14:textId="77777777" w:rsidR="001527B1" w:rsidRPr="004676F5" w:rsidRDefault="001527B1" w:rsidP="001527B1">
      <w:pPr>
        <w:ind w:firstLine="708"/>
        <w:jc w:val="both"/>
        <w:rPr>
          <w:lang w:val="de-DE"/>
        </w:rPr>
      </w:pPr>
    </w:p>
    <w:p w14:paraId="298F5718" w14:textId="77777777" w:rsidR="001527B1" w:rsidRPr="004676F5" w:rsidRDefault="001527B1" w:rsidP="001527B1">
      <w:pPr>
        <w:ind w:firstLine="708"/>
        <w:jc w:val="both"/>
        <w:rPr>
          <w:lang w:val="de-DE"/>
        </w:rPr>
      </w:pPr>
      <w:r w:rsidRPr="004676F5">
        <w:rPr>
          <w:lang w:val="de-DE"/>
        </w:rPr>
        <w:t xml:space="preserve">Nach dem Tod eines ausübenden Künstlers werden die Rechte von seinen Erben oder Vermächtnisnehmern ausgeübt, außer wenn der ausübende Künstler diese Rechte unter </w:t>
      </w:r>
      <w:r w:rsidRPr="004676F5">
        <w:rPr>
          <w:lang w:val="de-DE"/>
        </w:rPr>
        <w:lastRenderedPageBreak/>
        <w:t>Berücksichtigung des den Erben zustehenden Pflichtteils einer bestimmten Person zuerkannt hat.</w:t>
      </w:r>
    </w:p>
    <w:p w14:paraId="7B0CFD72" w14:textId="77777777" w:rsidR="001527B1" w:rsidRPr="004676F5" w:rsidRDefault="001527B1" w:rsidP="001527B1">
      <w:pPr>
        <w:jc w:val="both"/>
        <w:rPr>
          <w:lang w:val="de-DE"/>
        </w:rPr>
      </w:pPr>
    </w:p>
    <w:p w14:paraId="3C63F46D" w14:textId="77777777" w:rsidR="00355502" w:rsidRPr="004676F5" w:rsidRDefault="00355502" w:rsidP="001527B1">
      <w:pPr>
        <w:jc w:val="both"/>
        <w:rPr>
          <w:lang w:val="de-DE"/>
        </w:rPr>
      </w:pPr>
    </w:p>
    <w:p w14:paraId="0BCEBBAC" w14:textId="07CD259A" w:rsidR="001527B1" w:rsidRPr="004676F5" w:rsidRDefault="001527B1" w:rsidP="001527B1">
      <w:pPr>
        <w:jc w:val="center"/>
        <w:rPr>
          <w:lang w:val="de-DE"/>
        </w:rPr>
      </w:pPr>
      <w:r w:rsidRPr="004676F5">
        <w:rPr>
          <w:i/>
          <w:lang w:val="de-DE"/>
        </w:rPr>
        <w:t>Abschnitt 3 </w:t>
      </w:r>
      <w:r w:rsidR="005B7A5C" w:rsidRPr="004676F5">
        <w:rPr>
          <w:lang w:val="de-DE"/>
        </w:rPr>
        <w:t>- </w:t>
      </w:r>
      <w:r w:rsidRPr="004676F5">
        <w:rPr>
          <w:lang w:val="de-DE"/>
        </w:rPr>
        <w:t>Gemeinsame Bestimmungen für Produzenten von Tonträgern und Erstaufzeichnungen von Filmen</w:t>
      </w:r>
    </w:p>
    <w:p w14:paraId="15027301" w14:textId="77777777" w:rsidR="001527B1" w:rsidRPr="004676F5" w:rsidRDefault="001527B1" w:rsidP="001527B1">
      <w:pPr>
        <w:jc w:val="both"/>
        <w:rPr>
          <w:lang w:val="de-DE"/>
        </w:rPr>
      </w:pPr>
    </w:p>
    <w:p w14:paraId="1A02A5B6" w14:textId="77777777" w:rsidR="00355502" w:rsidRPr="004676F5" w:rsidRDefault="00355502" w:rsidP="001527B1">
      <w:pPr>
        <w:jc w:val="both"/>
        <w:rPr>
          <w:lang w:val="de-DE"/>
        </w:rPr>
      </w:pPr>
    </w:p>
    <w:p w14:paraId="729C015E" w14:textId="35854462" w:rsidR="001527B1" w:rsidRPr="004676F5" w:rsidRDefault="00BE0A56" w:rsidP="001527B1">
      <w:pPr>
        <w:ind w:firstLine="708"/>
        <w:jc w:val="both"/>
        <w:rPr>
          <w:lang w:val="de-DE"/>
        </w:rPr>
      </w:pPr>
      <w:r w:rsidRPr="004676F5">
        <w:rPr>
          <w:b/>
          <w:lang w:val="de-DE"/>
        </w:rPr>
        <w:t>Art. </w:t>
      </w:r>
      <w:r w:rsidR="001527B1" w:rsidRPr="004676F5">
        <w:rPr>
          <w:b/>
          <w:lang w:val="de-DE"/>
        </w:rPr>
        <w:t>XI.209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Unter Vorbehalt von Artikel XI.212 und unbeschadet des Rechts des Urhebers und des ausübenden Künstlers hat ein Produzent von Tonträgern oder Erstaufzeichnungen von Filmen allein das Recht, seine Leistung unmittelbar oder mittelbar, vorübergehend oder dauerhaft, auf jede Art und Weise und in jeder Form, ganz oder teilweise zu vervielfältigen oder deren Vervielfältigung zu erlauben.</w:t>
      </w:r>
    </w:p>
    <w:p w14:paraId="65ED7393" w14:textId="77777777" w:rsidR="001527B1" w:rsidRPr="004676F5" w:rsidRDefault="001527B1" w:rsidP="001527B1">
      <w:pPr>
        <w:ind w:firstLine="708"/>
        <w:jc w:val="both"/>
        <w:rPr>
          <w:lang w:val="de-DE"/>
        </w:rPr>
      </w:pPr>
    </w:p>
    <w:p w14:paraId="6177B521" w14:textId="77777777" w:rsidR="001527B1" w:rsidRPr="004676F5" w:rsidRDefault="001527B1" w:rsidP="001527B1">
      <w:pPr>
        <w:ind w:firstLine="708"/>
        <w:jc w:val="both"/>
        <w:rPr>
          <w:lang w:val="de-DE"/>
        </w:rPr>
      </w:pPr>
      <w:r w:rsidRPr="004676F5">
        <w:rPr>
          <w:lang w:val="de-DE"/>
        </w:rPr>
        <w:t>Dieses Recht umfasst ebenfalls das Recht, Vermietung oder Verleihen der Leistung zu erlauben.</w:t>
      </w:r>
    </w:p>
    <w:p w14:paraId="486C8DF3" w14:textId="77777777" w:rsidR="001527B1" w:rsidRPr="004676F5" w:rsidRDefault="001527B1" w:rsidP="001527B1">
      <w:pPr>
        <w:ind w:firstLine="708"/>
        <w:jc w:val="both"/>
        <w:rPr>
          <w:lang w:val="de-DE"/>
        </w:rPr>
      </w:pPr>
    </w:p>
    <w:p w14:paraId="078E90C0" w14:textId="77777777" w:rsidR="001527B1" w:rsidRPr="004676F5" w:rsidRDefault="001527B1" w:rsidP="001527B1">
      <w:pPr>
        <w:ind w:firstLine="708"/>
        <w:jc w:val="both"/>
        <w:rPr>
          <w:lang w:val="de-DE"/>
        </w:rPr>
      </w:pPr>
      <w:r w:rsidRPr="004676F5">
        <w:rPr>
          <w:lang w:val="de-DE"/>
        </w:rPr>
        <w:t>Es umfasst des Weiteren das ausschließliche Verbreitungsrecht, das sich nur mit dem Erstverkauf oder einer anderen erstmaligen Eigentumsübertragung der Vervielfältigung der Leistung in der Europäischen Union seitens des Produzenten oder mit seiner Zustimmung erschöpft.</w:t>
      </w:r>
    </w:p>
    <w:p w14:paraId="0353D7B1" w14:textId="77777777" w:rsidR="001527B1" w:rsidRPr="004676F5" w:rsidRDefault="001527B1" w:rsidP="001527B1">
      <w:pPr>
        <w:ind w:firstLine="708"/>
        <w:jc w:val="both"/>
        <w:rPr>
          <w:lang w:val="de-DE"/>
        </w:rPr>
      </w:pPr>
    </w:p>
    <w:p w14:paraId="42864EC8" w14:textId="77777777" w:rsidR="001527B1" w:rsidRPr="004676F5" w:rsidRDefault="001527B1" w:rsidP="001527B1">
      <w:pPr>
        <w:ind w:firstLine="708"/>
        <w:jc w:val="both"/>
        <w:rPr>
          <w:lang w:val="de-DE"/>
        </w:rPr>
      </w:pPr>
      <w:r w:rsidRPr="004676F5">
        <w:rPr>
          <w:lang w:val="de-DE"/>
        </w:rPr>
        <w:t>Der Produzent hat allein das Recht, den Tonträger oder die Erstaufzeichnung eines Films durch gleich welches Verfahren öffentlich wiederzugeben, einschließlich der öffentlichen Zugänglichmachung in der Weise, dass sie Mitgliedern der Öffentlichkeit von Orten und zu Zeiten ihrer Wahl zugänglich sind.</w:t>
      </w:r>
    </w:p>
    <w:p w14:paraId="35893250" w14:textId="77777777" w:rsidR="001527B1" w:rsidRPr="004676F5" w:rsidRDefault="001527B1" w:rsidP="001527B1">
      <w:pPr>
        <w:ind w:firstLine="708"/>
        <w:jc w:val="both"/>
        <w:rPr>
          <w:lang w:val="de-DE"/>
        </w:rPr>
      </w:pPr>
    </w:p>
    <w:p w14:paraId="6B5C07DE" w14:textId="77777777" w:rsidR="001527B1" w:rsidRPr="004676F5" w:rsidRDefault="001527B1" w:rsidP="001527B1">
      <w:pPr>
        <w:ind w:firstLine="708"/>
        <w:jc w:val="both"/>
        <w:rPr>
          <w:lang w:val="de-DE"/>
        </w:rPr>
      </w:pPr>
      <w:r w:rsidRPr="004676F5">
        <w:rPr>
          <w:lang w:val="de-DE"/>
        </w:rPr>
        <w:t>Die Rechte von Produzenten von Erstaufzeichnungen von Filmen erlöschen fünfzig Jahre nach der Aufzeichnung. Wenn die Erstaufzeichnung eines Films jedoch während dieses Zeitraums erlaubterweise veröffentlicht oder erlaubterweise öffentlich wiedergegeben worden ist, erlöschen die Rechte fünfzig Jahre nach der betreffenden ersten Veröffentlichung oder ersten öffentlichen Wiedergabe, je nachdem, welches Ereignis zuerst stattgefunden hat.</w:t>
      </w:r>
    </w:p>
    <w:p w14:paraId="44A6C390" w14:textId="77777777" w:rsidR="001527B1" w:rsidRPr="004676F5" w:rsidRDefault="001527B1" w:rsidP="001527B1">
      <w:pPr>
        <w:ind w:firstLine="708"/>
        <w:jc w:val="both"/>
        <w:rPr>
          <w:lang w:val="de-DE"/>
        </w:rPr>
      </w:pPr>
    </w:p>
    <w:p w14:paraId="4CA94527" w14:textId="77777777" w:rsidR="001527B1" w:rsidRPr="004676F5" w:rsidRDefault="001527B1" w:rsidP="001527B1">
      <w:pPr>
        <w:ind w:firstLine="708"/>
        <w:jc w:val="both"/>
        <w:rPr>
          <w:lang w:val="de-DE"/>
        </w:rPr>
      </w:pPr>
      <w:r w:rsidRPr="004676F5">
        <w:rPr>
          <w:lang w:val="de-DE"/>
        </w:rPr>
        <w:t>Die Rechte der Produzenten von Tonträgern erlöschen fünfzig Jahre nach der Aufzeichnung. Wurde jedoch ein Tonträger innerhalb dieser Frist rechtmäßig veröffentlicht, so erlöschen diese Rechte siebzig Jahre nach der ersten rechtmäßigen Veröffentlichung. Wurde der Tonträger innerhalb der im ersten Satz genannten Frist nicht rechtmäßig veröffentlicht und wurde der Tonträger innerhalb dieser Frist rechtmäßig öffentlich wiedergegeben, so erlöschen diese Rechte siebzig Jahre nach der ersten rechtmäßigen öffentlichen Wiedergabe.</w:t>
      </w:r>
    </w:p>
    <w:p w14:paraId="14CEBAD8" w14:textId="77777777" w:rsidR="001527B1" w:rsidRPr="004676F5" w:rsidRDefault="001527B1" w:rsidP="001527B1">
      <w:pPr>
        <w:ind w:firstLine="708"/>
        <w:jc w:val="both"/>
        <w:rPr>
          <w:lang w:val="de-DE"/>
        </w:rPr>
      </w:pPr>
    </w:p>
    <w:p w14:paraId="59E2A37E" w14:textId="77777777" w:rsidR="001527B1" w:rsidRPr="004676F5" w:rsidRDefault="001527B1" w:rsidP="001527B1">
      <w:pPr>
        <w:ind w:firstLine="708"/>
        <w:jc w:val="both"/>
        <w:rPr>
          <w:lang w:val="de-DE"/>
        </w:rPr>
      </w:pPr>
      <w:r w:rsidRPr="004676F5">
        <w:rPr>
          <w:lang w:val="de-DE"/>
        </w:rPr>
        <w:t>Diese Frist wird vom 1. Januar des Jahres an berechnet, das auf das für den Beginn der Frist maßgebende Ereignis folgt.</w:t>
      </w:r>
    </w:p>
    <w:p w14:paraId="66A70D5C" w14:textId="77777777" w:rsidR="001527B1" w:rsidRPr="004676F5" w:rsidRDefault="001527B1" w:rsidP="001527B1">
      <w:pPr>
        <w:ind w:firstLine="708"/>
        <w:jc w:val="both"/>
        <w:rPr>
          <w:lang w:val="de-DE"/>
        </w:rPr>
      </w:pPr>
    </w:p>
    <w:p w14:paraId="31B8748A" w14:textId="3078BC25"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Außer bei Beweis des Gegenteils ist als Produzent von Tonträgern oder Erstaufzeichnungen von Filmen anzusehen, wer durch Vermerk seines Namens oder eines ihn identifizierenden Kurzwortes auf der Leistung, auf einer Vervielfältigung der Leistung oder durch eine Mitteilung über diese Leistung an das Publikum als Produzent eines Tonträgers oder einer Erstaufzeichnung eines Films zu identifizieren ist.</w:t>
      </w:r>
    </w:p>
    <w:p w14:paraId="0C5B9E1D" w14:textId="77777777" w:rsidR="001527B1" w:rsidRPr="004676F5" w:rsidRDefault="001527B1" w:rsidP="001527B1">
      <w:pPr>
        <w:ind w:firstLine="708"/>
        <w:jc w:val="both"/>
        <w:rPr>
          <w:lang w:val="de-DE"/>
        </w:rPr>
      </w:pPr>
    </w:p>
    <w:p w14:paraId="31CD790E" w14:textId="77777777" w:rsidR="00355502" w:rsidRPr="004676F5" w:rsidRDefault="00355502" w:rsidP="001527B1">
      <w:pPr>
        <w:ind w:firstLine="708"/>
        <w:jc w:val="both"/>
        <w:rPr>
          <w:lang w:val="de-DE"/>
        </w:rPr>
      </w:pPr>
    </w:p>
    <w:p w14:paraId="32A9E29B" w14:textId="51CC43CB" w:rsidR="001527B1" w:rsidRPr="004676F5" w:rsidRDefault="00BE0A56" w:rsidP="001527B1">
      <w:pPr>
        <w:ind w:firstLine="708"/>
        <w:jc w:val="both"/>
        <w:rPr>
          <w:lang w:val="de-DE"/>
        </w:rPr>
      </w:pPr>
      <w:r w:rsidRPr="004676F5">
        <w:rPr>
          <w:b/>
          <w:lang w:val="de-DE"/>
        </w:rPr>
        <w:t>Art. </w:t>
      </w:r>
      <w:r w:rsidR="001527B1" w:rsidRPr="004676F5">
        <w:rPr>
          <w:b/>
          <w:lang w:val="de-DE"/>
        </w:rPr>
        <w:t>XI.210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 xml:space="preserve">Unterlässt es ein Produzent von Tonträgern fünfzig Jahre nach der rechtmäßigen Veröffentlichung des Tonträgers oder ohne eine solche Veröffentlichung fünfzig </w:t>
      </w:r>
      <w:r w:rsidR="001527B1" w:rsidRPr="004676F5">
        <w:rPr>
          <w:lang w:val="de-DE"/>
        </w:rPr>
        <w:lastRenderedPageBreak/>
        <w:t>Jahre nach dessen rechtmäßiger öffentlicher Wiedergabe, Kopien des Tonträgers in ausreichender Menge zum Verkauf anzubieten oder den Tonträger öffentlich auf leitungsgebundenem oder drahtlosem Übertragungsweg so zugänglich zu machen, dass die Öffentlichkeit an einem selbst gewählten Ort und zu einem selbst gewählten Zeitpunkt auf ihn zugreifen kann, so kann der ausübende Künstler den Vertrag, mit dem er seine Rechte an der Aufzeichnung seiner Darbietung einem Produzenten von Tonträgern übertragen oder abgetreten hat, kündigen.</w:t>
      </w:r>
    </w:p>
    <w:p w14:paraId="3A6729F4" w14:textId="77777777" w:rsidR="001527B1" w:rsidRPr="004676F5" w:rsidRDefault="001527B1" w:rsidP="001527B1">
      <w:pPr>
        <w:ind w:firstLine="708"/>
        <w:jc w:val="both"/>
        <w:rPr>
          <w:lang w:val="de-DE"/>
        </w:rPr>
      </w:pPr>
    </w:p>
    <w:p w14:paraId="22C140B9" w14:textId="72224AC4" w:rsidR="001527B1" w:rsidRPr="004676F5" w:rsidRDefault="001527B1" w:rsidP="001527B1">
      <w:pPr>
        <w:ind w:firstLine="708"/>
        <w:jc w:val="both"/>
        <w:rPr>
          <w:lang w:val="de-DE"/>
        </w:rPr>
      </w:pPr>
      <w:r w:rsidRPr="004676F5">
        <w:rPr>
          <w:lang w:val="de-DE"/>
        </w:rPr>
        <w:t>Von dem Recht der Kündigung des Übertragungs</w:t>
      </w:r>
      <w:r w:rsidR="005B7A5C" w:rsidRPr="004676F5">
        <w:rPr>
          <w:lang w:val="de-DE"/>
        </w:rPr>
        <w:t>- </w:t>
      </w:r>
      <w:r w:rsidRPr="004676F5">
        <w:rPr>
          <w:lang w:val="de-DE"/>
        </w:rPr>
        <w:t>oder Abtretungsvertrags kann Gebrauch gemacht werden, wenn der Produzent von Tonträgern innerhalb eines Jahres ab der Mitteilung per Einschreiben des ausübenden Künstlers, den Übertragungs</w:t>
      </w:r>
      <w:r w:rsidR="005B7A5C" w:rsidRPr="004676F5">
        <w:rPr>
          <w:lang w:val="de-DE"/>
        </w:rPr>
        <w:t>- </w:t>
      </w:r>
      <w:r w:rsidRPr="004676F5">
        <w:rPr>
          <w:lang w:val="de-DE"/>
        </w:rPr>
        <w:t>oder Abtretungs</w:t>
      </w:r>
      <w:r w:rsidRPr="004676F5">
        <w:rPr>
          <w:lang w:val="de-DE"/>
        </w:rPr>
        <w:softHyphen/>
        <w:t>vertrag gemäß Absatz 1 kündigen zu wollen, nicht beide in Absatz 1 genannten Nutzungs</w:t>
      </w:r>
      <w:r w:rsidRPr="004676F5">
        <w:rPr>
          <w:lang w:val="de-DE"/>
        </w:rPr>
        <w:softHyphen/>
        <w:t>handlungen ausführt.</w:t>
      </w:r>
    </w:p>
    <w:p w14:paraId="6ADCACD5" w14:textId="77777777" w:rsidR="001527B1" w:rsidRPr="004676F5" w:rsidRDefault="001527B1" w:rsidP="001527B1">
      <w:pPr>
        <w:ind w:firstLine="708"/>
        <w:jc w:val="both"/>
        <w:rPr>
          <w:lang w:val="de-DE"/>
        </w:rPr>
      </w:pPr>
    </w:p>
    <w:p w14:paraId="2EDF46FD" w14:textId="77777777" w:rsidR="001527B1" w:rsidRPr="004676F5" w:rsidRDefault="001527B1" w:rsidP="001527B1">
      <w:pPr>
        <w:ind w:firstLine="708"/>
        <w:jc w:val="both"/>
        <w:rPr>
          <w:lang w:val="de-DE"/>
        </w:rPr>
      </w:pPr>
      <w:r w:rsidRPr="004676F5">
        <w:rPr>
          <w:lang w:val="de-DE"/>
        </w:rPr>
        <w:t>Auf dieses Kündigungsrecht kann der ausübende Künstler nicht verzichten.</w:t>
      </w:r>
    </w:p>
    <w:p w14:paraId="46B3290F" w14:textId="77777777" w:rsidR="001527B1" w:rsidRPr="004676F5" w:rsidRDefault="001527B1" w:rsidP="001527B1">
      <w:pPr>
        <w:ind w:firstLine="708"/>
        <w:jc w:val="both"/>
        <w:rPr>
          <w:lang w:val="de-DE"/>
        </w:rPr>
      </w:pPr>
    </w:p>
    <w:p w14:paraId="623AF36C" w14:textId="675FA225" w:rsidR="001527B1" w:rsidRPr="004676F5" w:rsidRDefault="001527B1" w:rsidP="001527B1">
      <w:pPr>
        <w:ind w:firstLine="708"/>
        <w:jc w:val="both"/>
        <w:rPr>
          <w:lang w:val="de-DE"/>
        </w:rPr>
      </w:pPr>
      <w:r w:rsidRPr="004676F5">
        <w:rPr>
          <w:lang w:val="de-DE"/>
        </w:rPr>
        <w:t>Enthält ein Tonträger die Aufzeichnung der Darbietungen von mehreren ausübenden Künstlern, so können diese ihre Übertragungs</w:t>
      </w:r>
      <w:r w:rsidR="005B7A5C" w:rsidRPr="004676F5">
        <w:rPr>
          <w:lang w:val="de-DE"/>
        </w:rPr>
        <w:t>- </w:t>
      </w:r>
      <w:r w:rsidRPr="004676F5">
        <w:rPr>
          <w:lang w:val="de-DE"/>
        </w:rPr>
        <w:t>oder Abtretungsverträge mangels gegenseitiger Vereinbarung jeder für seinen Beitrag kündigen.</w:t>
      </w:r>
    </w:p>
    <w:p w14:paraId="0A99614F" w14:textId="77777777" w:rsidR="001527B1" w:rsidRPr="004676F5" w:rsidRDefault="001527B1" w:rsidP="001527B1">
      <w:pPr>
        <w:jc w:val="both"/>
        <w:rPr>
          <w:lang w:val="de-DE"/>
        </w:rPr>
      </w:pPr>
    </w:p>
    <w:p w14:paraId="3936DCD4" w14:textId="503D8A44" w:rsidR="001527B1" w:rsidRPr="004676F5" w:rsidRDefault="001527B1" w:rsidP="001527B1">
      <w:pPr>
        <w:ind w:firstLine="708"/>
        <w:jc w:val="both"/>
        <w:rPr>
          <w:lang w:val="de-DE"/>
        </w:rPr>
      </w:pPr>
      <w:r w:rsidRPr="004676F5">
        <w:rPr>
          <w:lang w:val="de-DE"/>
        </w:rPr>
        <w:t>Werden alle Übertragungs</w:t>
      </w:r>
      <w:r w:rsidR="005B7A5C" w:rsidRPr="004676F5">
        <w:rPr>
          <w:lang w:val="de-DE"/>
        </w:rPr>
        <w:t>- </w:t>
      </w:r>
      <w:r w:rsidRPr="004676F5">
        <w:rPr>
          <w:lang w:val="de-DE"/>
        </w:rPr>
        <w:t>oder Abtretungsverträge gemäß vorliegendem Paragraphen gekündigt, so erlöschen die Rechte des Produzenten von Tonträgern am Tonträger.</w:t>
      </w:r>
    </w:p>
    <w:p w14:paraId="08C295A6" w14:textId="77777777" w:rsidR="001527B1" w:rsidRPr="004676F5" w:rsidRDefault="001527B1" w:rsidP="001527B1">
      <w:pPr>
        <w:ind w:firstLine="708"/>
        <w:jc w:val="both"/>
        <w:rPr>
          <w:lang w:val="de-DE"/>
        </w:rPr>
      </w:pPr>
    </w:p>
    <w:p w14:paraId="2BF3B29C" w14:textId="7C2EF8C8"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Gibt ein Übertragungs</w:t>
      </w:r>
      <w:r w:rsidR="005B7A5C" w:rsidRPr="004676F5">
        <w:rPr>
          <w:lang w:val="de-DE"/>
        </w:rPr>
        <w:t>- </w:t>
      </w:r>
      <w:r w:rsidRPr="004676F5">
        <w:rPr>
          <w:lang w:val="de-DE"/>
        </w:rPr>
        <w:t>oder Abtretungsvertrag dem ausübenden Künstler Anspruch auf eine nicht wiederkehrende Vergütung, so hat der ausübende Künstler Anspruch auf eine zusätzliche, jährlich zu zahlende Vergütung seitens des Produzenten von Tonträgern für jedes vollständige Jahr unmittelbar im Anschluss an das fünfzigste Jahr nach der rechtmäßigen Veröffentlichung des Tonträgers oder ohne eine solche Veröffentlichung für das fünfzigste Jahr nach dessen rechtmäßiger öffentlicher Wiedergabe.</w:t>
      </w:r>
    </w:p>
    <w:p w14:paraId="3F17D214" w14:textId="77777777" w:rsidR="001527B1" w:rsidRPr="004676F5" w:rsidRDefault="001527B1" w:rsidP="001527B1">
      <w:pPr>
        <w:ind w:firstLine="708"/>
        <w:jc w:val="both"/>
        <w:rPr>
          <w:lang w:val="de-DE"/>
        </w:rPr>
      </w:pPr>
    </w:p>
    <w:p w14:paraId="0FE32714" w14:textId="77777777" w:rsidR="001527B1" w:rsidRPr="004676F5" w:rsidRDefault="001527B1" w:rsidP="001527B1">
      <w:pPr>
        <w:ind w:firstLine="708"/>
        <w:jc w:val="both"/>
        <w:rPr>
          <w:lang w:val="de-DE"/>
        </w:rPr>
      </w:pPr>
      <w:r w:rsidRPr="004676F5">
        <w:rPr>
          <w:lang w:val="de-DE"/>
        </w:rPr>
        <w:t>Auf diesen Anspruch auf eine zusätzliche, jährlich zu zahlende Vergütung kann der ausübende Künstler nicht verzichten.</w:t>
      </w:r>
    </w:p>
    <w:p w14:paraId="185EEDA1" w14:textId="77777777" w:rsidR="001527B1" w:rsidRPr="004676F5" w:rsidRDefault="001527B1" w:rsidP="001527B1">
      <w:pPr>
        <w:ind w:firstLine="708"/>
        <w:jc w:val="both"/>
        <w:rPr>
          <w:lang w:val="de-DE"/>
        </w:rPr>
      </w:pPr>
    </w:p>
    <w:p w14:paraId="0CCEF848" w14:textId="01490B0D"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Der Produzent von Tonträgern hat im Anschluss an das fünfzigste Jahr nach der rechtmäßigen Veröffentlichung des Tonträgers oder ohne eine solche Veröffentlichung im fünfzigsten Jahr nach seiner rechtmäßigen öffentlichen Wiedergabe für die Zahlung der in § 2 vorgesehenen zusätzlichen, jährlich zu zahlenden Vergütung insgesamt 20 Prozent der Einnahmen beiseite zu legen, die er während des Jahres, das dem Jahr, für das diese Vergütung gezahlt wird, unmittelbar vorausgeht, aus Vervielfältigung, Vertrieb und Zugänglichmachung des betreffenden Tonträgers erzielt hat.</w:t>
      </w:r>
    </w:p>
    <w:p w14:paraId="7B179DDF" w14:textId="77777777" w:rsidR="001527B1" w:rsidRPr="004676F5" w:rsidRDefault="001527B1" w:rsidP="001527B1">
      <w:pPr>
        <w:ind w:firstLine="708"/>
        <w:jc w:val="both"/>
        <w:rPr>
          <w:lang w:val="de-DE"/>
        </w:rPr>
      </w:pPr>
    </w:p>
    <w:p w14:paraId="54106B4C" w14:textId="77777777" w:rsidR="001527B1" w:rsidRPr="004676F5" w:rsidRDefault="001527B1" w:rsidP="001527B1">
      <w:pPr>
        <w:ind w:firstLine="708"/>
        <w:jc w:val="both"/>
        <w:rPr>
          <w:lang w:val="de-DE"/>
        </w:rPr>
      </w:pPr>
      <w:r w:rsidRPr="004676F5">
        <w:rPr>
          <w:lang w:val="de-DE"/>
        </w:rPr>
        <w:t>Produzenten von Tonträgern haben der aufgrund von § 4 bestimmten Verwertungs</w:t>
      </w:r>
      <w:r w:rsidRPr="004676F5">
        <w:rPr>
          <w:lang w:val="de-DE"/>
        </w:rPr>
        <w:softHyphen/>
        <w:t>gesellschaft im Interesse der ausübenden Künstler, die Anspruch auf die zusätzliche Vergütung nach § 2 haben, auf Antrag Informationen zur Verfügung zu stellen, die erforderlich sein können, um die Zahlung dieser Vergütung sicherzustellen.</w:t>
      </w:r>
    </w:p>
    <w:p w14:paraId="14F1230C" w14:textId="77777777" w:rsidR="001527B1" w:rsidRPr="004676F5" w:rsidRDefault="001527B1" w:rsidP="001527B1">
      <w:pPr>
        <w:ind w:firstLine="708"/>
        <w:jc w:val="both"/>
        <w:rPr>
          <w:lang w:val="de-DE"/>
        </w:rPr>
      </w:pPr>
    </w:p>
    <w:p w14:paraId="01DA2E13" w14:textId="77777777" w:rsidR="001527B1" w:rsidRPr="004676F5" w:rsidRDefault="001527B1" w:rsidP="001527B1">
      <w:pPr>
        <w:ind w:firstLine="708"/>
        <w:jc w:val="both"/>
        <w:rPr>
          <w:lang w:val="de-DE"/>
        </w:rPr>
      </w:pPr>
      <w:r w:rsidRPr="004676F5">
        <w:rPr>
          <w:lang w:val="de-DE"/>
        </w:rPr>
        <w:t>Stellen Produzenten von Tonträgern die in Absatz 2 erwähnten Informationen nicht zur Verfügung, kann die aufgrund von § 4 bestimmte Verwertungsgesellschaft eine in den Artikeln XI.336 und XVII.14 erwähnte Unterlassungsklage einleiten, damit der Richter anordnet, dass die in Absatz 2 erwähnten Informationen zur Verfügung gestellt werden.</w:t>
      </w:r>
    </w:p>
    <w:p w14:paraId="2A26308C" w14:textId="77777777" w:rsidR="001527B1" w:rsidRPr="004676F5" w:rsidRDefault="001527B1" w:rsidP="001527B1">
      <w:pPr>
        <w:ind w:firstLine="708"/>
        <w:jc w:val="both"/>
        <w:rPr>
          <w:lang w:val="de-DE"/>
        </w:rPr>
      </w:pPr>
    </w:p>
    <w:p w14:paraId="162133B2" w14:textId="77777777" w:rsidR="001527B1" w:rsidRPr="004676F5" w:rsidRDefault="001527B1" w:rsidP="001527B1">
      <w:pPr>
        <w:ind w:firstLine="708"/>
        <w:jc w:val="both"/>
        <w:rPr>
          <w:lang w:val="de-DE"/>
        </w:rPr>
      </w:pPr>
      <w:r w:rsidRPr="004676F5">
        <w:rPr>
          <w:lang w:val="de-DE"/>
        </w:rPr>
        <w:lastRenderedPageBreak/>
        <w:t>Das in Artikel XI.281 erwähnte Berufsgeheimnis ist auf Personalmitglieder der aufgrund von § 4 bestimmten Verwertungsgesellschaft anwendbar in Bezug auf alle Informationen, von denen sie aufgrund des vorliegenden Paragraphen Kenntnis haben.</w:t>
      </w:r>
    </w:p>
    <w:p w14:paraId="12C8ED10" w14:textId="77777777" w:rsidR="001527B1" w:rsidRPr="004676F5" w:rsidRDefault="001527B1" w:rsidP="001527B1">
      <w:pPr>
        <w:ind w:firstLine="708"/>
        <w:jc w:val="both"/>
        <w:rPr>
          <w:lang w:val="de-DE"/>
        </w:rPr>
      </w:pPr>
    </w:p>
    <w:p w14:paraId="413B3789" w14:textId="4CD7FA6C"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König beauftragt gemäß Bedingungen und Modalitäten, die Er festlegt, eine repräsentative Verwertungsgesellschaft der ausübenden Künstler mit Einnahme und Verteilung der Vergütung nach § 2.</w:t>
      </w:r>
    </w:p>
    <w:p w14:paraId="17CE4981" w14:textId="77777777" w:rsidR="001527B1" w:rsidRPr="004676F5" w:rsidRDefault="001527B1" w:rsidP="001527B1">
      <w:pPr>
        <w:ind w:firstLine="708"/>
        <w:jc w:val="both"/>
        <w:rPr>
          <w:lang w:val="de-DE"/>
        </w:rPr>
      </w:pPr>
    </w:p>
    <w:p w14:paraId="5FE69F52" w14:textId="13BB1235"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Hat ein ausübender Künstler einen Anspruch auf wiederkehrende Zahlungen, so werden im fünfzigsten Jahr nach der rechtmäßigen Veröffentlichung des Tonträgers oder ohne eine solche Veröffentlichung im fünfzigsten Jahr nach dessen rechtmäßiger öffentlicher Wiedergabe weder Vorschüsse noch vertraglich festgelegte Abzüge von den Zahlungen an den ausübenden Künstlern abgezogen.</w:t>
      </w:r>
    </w:p>
    <w:p w14:paraId="2D7AF53E" w14:textId="77777777" w:rsidR="001527B1" w:rsidRPr="004676F5" w:rsidRDefault="001527B1" w:rsidP="001527B1">
      <w:pPr>
        <w:jc w:val="both"/>
        <w:rPr>
          <w:lang w:val="de-DE"/>
        </w:rPr>
      </w:pPr>
    </w:p>
    <w:p w14:paraId="611F06F1" w14:textId="77777777" w:rsidR="00355502" w:rsidRPr="004676F5" w:rsidRDefault="00355502" w:rsidP="001527B1">
      <w:pPr>
        <w:jc w:val="both"/>
        <w:rPr>
          <w:lang w:val="de-DE"/>
        </w:rPr>
      </w:pPr>
    </w:p>
    <w:p w14:paraId="7E5A26F6" w14:textId="09653688" w:rsidR="001527B1" w:rsidRPr="004676F5" w:rsidRDefault="001527B1" w:rsidP="001527B1">
      <w:pPr>
        <w:jc w:val="center"/>
        <w:rPr>
          <w:lang w:val="de-DE"/>
        </w:rPr>
      </w:pPr>
      <w:r w:rsidRPr="004676F5">
        <w:rPr>
          <w:i/>
          <w:lang w:val="de-DE"/>
        </w:rPr>
        <w:t>Abschnitt 4 </w:t>
      </w:r>
      <w:r w:rsidR="005B7A5C" w:rsidRPr="004676F5">
        <w:rPr>
          <w:lang w:val="de-DE"/>
        </w:rPr>
        <w:t>- </w:t>
      </w:r>
      <w:r w:rsidRPr="004676F5">
        <w:rPr>
          <w:lang w:val="de-DE"/>
        </w:rPr>
        <w:t xml:space="preserve">Bestimmung in Bezug auf die Vermietung von Tonträgern </w:t>
      </w:r>
      <w:r w:rsidRPr="004676F5">
        <w:rPr>
          <w:lang w:val="de-DE"/>
        </w:rPr>
        <w:br/>
        <w:t>und Erstaufzeichnungen von Filmen</w:t>
      </w:r>
    </w:p>
    <w:p w14:paraId="63959C48" w14:textId="77777777" w:rsidR="001527B1" w:rsidRPr="004676F5" w:rsidRDefault="001527B1" w:rsidP="001527B1">
      <w:pPr>
        <w:jc w:val="both"/>
        <w:rPr>
          <w:lang w:val="de-DE"/>
        </w:rPr>
      </w:pPr>
    </w:p>
    <w:p w14:paraId="7D996C2A" w14:textId="77777777" w:rsidR="00355502" w:rsidRPr="004676F5" w:rsidRDefault="00355502" w:rsidP="001527B1">
      <w:pPr>
        <w:jc w:val="both"/>
        <w:rPr>
          <w:lang w:val="de-DE"/>
        </w:rPr>
      </w:pPr>
    </w:p>
    <w:p w14:paraId="01D78AB0" w14:textId="44CD9F43" w:rsidR="001527B1" w:rsidRPr="004676F5" w:rsidRDefault="00BE0A56" w:rsidP="001527B1">
      <w:pPr>
        <w:ind w:firstLine="708"/>
        <w:jc w:val="both"/>
        <w:rPr>
          <w:lang w:val="de-DE"/>
        </w:rPr>
      </w:pPr>
      <w:r w:rsidRPr="004676F5">
        <w:rPr>
          <w:b/>
          <w:lang w:val="de-DE"/>
        </w:rPr>
        <w:t>Art. </w:t>
      </w:r>
      <w:r w:rsidR="001527B1" w:rsidRPr="004676F5">
        <w:rPr>
          <w:b/>
          <w:lang w:val="de-DE"/>
        </w:rPr>
        <w:t>XI.211</w:t>
      </w:r>
      <w:r w:rsidR="001527B1" w:rsidRPr="004676F5">
        <w:rPr>
          <w:lang w:val="de-DE"/>
        </w:rPr>
        <w:t> </w:t>
      </w:r>
      <w:r w:rsidR="005B7A5C" w:rsidRPr="004676F5">
        <w:rPr>
          <w:lang w:val="de-DE"/>
        </w:rPr>
        <w:t>- </w:t>
      </w:r>
      <w:r w:rsidR="001527B1" w:rsidRPr="004676F5">
        <w:rPr>
          <w:lang w:val="de-DE"/>
        </w:rPr>
        <w:t>Ein ausübender Künstler, der sein Vermietrecht an Tonträgern und Erstaufzeichnungen von Filmen überträgt oder abtritt, behält den Anspruch auf eine angemessene Vergütung für die Vermietung.</w:t>
      </w:r>
    </w:p>
    <w:p w14:paraId="44F02621" w14:textId="77777777" w:rsidR="001527B1" w:rsidRPr="004676F5" w:rsidRDefault="001527B1" w:rsidP="001527B1">
      <w:pPr>
        <w:ind w:firstLine="708"/>
        <w:jc w:val="both"/>
        <w:rPr>
          <w:lang w:val="de-DE"/>
        </w:rPr>
      </w:pPr>
    </w:p>
    <w:p w14:paraId="4BF38F90" w14:textId="77777777" w:rsidR="001527B1" w:rsidRPr="004676F5" w:rsidRDefault="001527B1" w:rsidP="001527B1">
      <w:pPr>
        <w:ind w:firstLine="708"/>
        <w:jc w:val="both"/>
        <w:rPr>
          <w:lang w:val="de-DE"/>
        </w:rPr>
      </w:pPr>
      <w:r w:rsidRPr="004676F5">
        <w:rPr>
          <w:lang w:val="de-DE"/>
        </w:rPr>
        <w:t>Auf diesen Anspruch kann nicht verzichtet werden und er ist nicht abtretbar.</w:t>
      </w:r>
    </w:p>
    <w:p w14:paraId="59D77468" w14:textId="77777777" w:rsidR="001527B1" w:rsidRPr="004676F5" w:rsidRDefault="001527B1" w:rsidP="001527B1">
      <w:pPr>
        <w:ind w:firstLine="708"/>
        <w:jc w:val="both"/>
        <w:rPr>
          <w:lang w:val="de-DE"/>
        </w:rPr>
      </w:pPr>
    </w:p>
    <w:p w14:paraId="3999A59B" w14:textId="77777777" w:rsidR="00355502" w:rsidRPr="004676F5" w:rsidRDefault="00355502" w:rsidP="001527B1">
      <w:pPr>
        <w:rPr>
          <w:i/>
          <w:lang w:val="de-DE"/>
        </w:rPr>
      </w:pPr>
    </w:p>
    <w:p w14:paraId="5672ED65" w14:textId="4CE08395" w:rsidR="001527B1" w:rsidRPr="004676F5" w:rsidRDefault="001527B1" w:rsidP="001527B1">
      <w:pPr>
        <w:jc w:val="center"/>
        <w:rPr>
          <w:lang w:val="de-DE"/>
        </w:rPr>
      </w:pPr>
      <w:r w:rsidRPr="004676F5">
        <w:rPr>
          <w:i/>
          <w:lang w:val="de-DE"/>
        </w:rPr>
        <w:t>Abschnitt 5 </w:t>
      </w:r>
      <w:r w:rsidR="005B7A5C" w:rsidRPr="004676F5">
        <w:rPr>
          <w:lang w:val="de-DE"/>
        </w:rPr>
        <w:t>- </w:t>
      </w:r>
      <w:r w:rsidRPr="004676F5">
        <w:rPr>
          <w:lang w:val="de-DE"/>
        </w:rPr>
        <w:t>Gemeinsame Bestimmungen für ausübende Künstler und Produzenten</w:t>
      </w:r>
    </w:p>
    <w:p w14:paraId="120A1D7A" w14:textId="77777777" w:rsidR="00355502" w:rsidRPr="004676F5" w:rsidRDefault="00355502" w:rsidP="001527B1">
      <w:pPr>
        <w:ind w:firstLine="708"/>
        <w:jc w:val="both"/>
        <w:rPr>
          <w:lang w:val="de-DE"/>
        </w:rPr>
      </w:pPr>
    </w:p>
    <w:p w14:paraId="2919865F" w14:textId="77777777" w:rsidR="00355502" w:rsidRPr="004676F5" w:rsidRDefault="00355502" w:rsidP="001527B1">
      <w:pPr>
        <w:ind w:firstLine="708"/>
        <w:jc w:val="both"/>
        <w:rPr>
          <w:lang w:val="de-DE"/>
        </w:rPr>
      </w:pPr>
    </w:p>
    <w:p w14:paraId="24BC6455" w14:textId="08941C0E" w:rsidR="007F5A05" w:rsidRPr="004676F5" w:rsidRDefault="007F5A05" w:rsidP="007F5A05">
      <w:pPr>
        <w:jc w:val="both"/>
        <w:rPr>
          <w:lang w:val="de-DE"/>
        </w:rPr>
      </w:pPr>
      <w:r w:rsidRPr="004676F5">
        <w:rPr>
          <w:b/>
          <w:lang w:val="de-DE"/>
        </w:rPr>
        <w:tab/>
      </w:r>
      <w:r w:rsidR="00BE0A56" w:rsidRPr="004676F5">
        <w:rPr>
          <w:b/>
          <w:lang w:val="de-DE"/>
        </w:rPr>
        <w:t>Art. </w:t>
      </w:r>
      <w:r w:rsidR="001527B1" w:rsidRPr="004676F5">
        <w:rPr>
          <w:b/>
          <w:lang w:val="de-DE"/>
        </w:rPr>
        <w:t>XI.212</w:t>
      </w:r>
      <w:r w:rsidR="001527B1" w:rsidRPr="004676F5">
        <w:rPr>
          <w:lang w:val="de-DE"/>
        </w:rPr>
        <w:t> </w:t>
      </w:r>
      <w:r w:rsidR="005B7A5C" w:rsidRPr="004676F5">
        <w:rPr>
          <w:lang w:val="de-DE"/>
        </w:rPr>
        <w:t>- </w:t>
      </w:r>
      <w:r w:rsidRPr="004676F5">
        <w:rPr>
          <w:lang w:val="de-DE"/>
        </w:rPr>
        <w:t>[Wenn die auf einem Tonträger aufgezeichnete Leistung eines ausübenden Künstlers erlaubterweise vervielfältigt oder gesendet wird, dürfen der ausübende Künstler und der Produzent von Tonträgern sich unbeschadet des Urheberrechts nicht widersetzen gegen:</w:t>
      </w:r>
    </w:p>
    <w:p w14:paraId="6A61C82C" w14:textId="77777777" w:rsidR="007F5A05" w:rsidRPr="004676F5" w:rsidRDefault="007F5A05" w:rsidP="007F5A05">
      <w:pPr>
        <w:jc w:val="both"/>
        <w:rPr>
          <w:lang w:val="de-DE"/>
        </w:rPr>
      </w:pPr>
    </w:p>
    <w:p w14:paraId="44494223" w14:textId="77777777" w:rsidR="007F5A05" w:rsidRPr="004676F5" w:rsidRDefault="007F5A05" w:rsidP="007F5A05">
      <w:pPr>
        <w:ind w:firstLine="708"/>
        <w:jc w:val="both"/>
        <w:rPr>
          <w:lang w:val="de-DE"/>
        </w:rPr>
      </w:pPr>
      <w:r w:rsidRPr="004676F5">
        <w:rPr>
          <w:lang w:val="de-DE"/>
        </w:rPr>
        <w:t>1. öffentliche Wiedergabe der Leistung, vorausgesetzt, dass diese Leistung nicht für eine Vorstellung verwendet und vom Publikum für die Wiedergabe kein Eintritt beziehungsweise keine Vergütung verlangt wird,</w:t>
      </w:r>
    </w:p>
    <w:p w14:paraId="497AFFBF" w14:textId="77777777" w:rsidR="007F5A05" w:rsidRPr="004676F5" w:rsidRDefault="007F5A05" w:rsidP="007F5A05">
      <w:pPr>
        <w:ind w:firstLine="708"/>
        <w:jc w:val="both"/>
        <w:rPr>
          <w:lang w:val="de-DE"/>
        </w:rPr>
      </w:pPr>
    </w:p>
    <w:p w14:paraId="268D32E7" w14:textId="0EB223B9" w:rsidR="001527B1" w:rsidRPr="004676F5" w:rsidRDefault="007F5A05" w:rsidP="007F5A05">
      <w:pPr>
        <w:ind w:firstLine="708"/>
        <w:jc w:val="both"/>
        <w:rPr>
          <w:lang w:val="de-DE"/>
        </w:rPr>
      </w:pPr>
      <w:r w:rsidRPr="004676F5">
        <w:rPr>
          <w:lang w:val="de-DE"/>
        </w:rPr>
        <w:t>2. Sendung der Leistung über Rundfunk.]</w:t>
      </w:r>
    </w:p>
    <w:p w14:paraId="11E6836A" w14:textId="77777777" w:rsidR="001527B1" w:rsidRPr="004676F5" w:rsidRDefault="001527B1" w:rsidP="001527B1">
      <w:pPr>
        <w:ind w:firstLine="708"/>
        <w:jc w:val="both"/>
        <w:rPr>
          <w:lang w:val="de-DE"/>
        </w:rPr>
      </w:pPr>
    </w:p>
    <w:p w14:paraId="1EE1BB7E" w14:textId="7647F06D" w:rsidR="007F5A05" w:rsidRPr="004676F5" w:rsidRDefault="007F5A05" w:rsidP="007F5A05">
      <w:pPr>
        <w:jc w:val="both"/>
        <w:rPr>
          <w:i/>
          <w:lang w:val="de-DE"/>
        </w:rPr>
      </w:pPr>
      <w:r w:rsidRPr="004676F5">
        <w:rPr>
          <w:i/>
          <w:iCs/>
          <w:lang w:val="de-DE"/>
        </w:rPr>
        <w:t>[Art. XI.212 ersetzt durch Art. 3</w:t>
      </w:r>
      <w:r w:rsidRPr="004676F5">
        <w:rPr>
          <w:i/>
          <w:lang w:val="de-DE"/>
        </w:rPr>
        <w:t xml:space="preserve"> </w:t>
      </w:r>
      <w:r w:rsidR="00E43762" w:rsidRPr="004676F5">
        <w:rPr>
          <w:i/>
          <w:lang w:val="de-DE"/>
        </w:rPr>
        <w:t>des G. vom 25. November 2018 (I) (B.S. vom 12. Dezember 2018)</w:t>
      </w:r>
      <w:r w:rsidRPr="004676F5">
        <w:rPr>
          <w:i/>
          <w:lang w:val="de-DE"/>
        </w:rPr>
        <w:t>]</w:t>
      </w:r>
    </w:p>
    <w:p w14:paraId="0907C23A" w14:textId="77777777" w:rsidR="007F5A05" w:rsidRPr="004676F5" w:rsidRDefault="007F5A05" w:rsidP="007F5A05">
      <w:pPr>
        <w:jc w:val="both"/>
        <w:rPr>
          <w:i/>
          <w:iCs/>
          <w:lang w:val="de-DE"/>
        </w:rPr>
      </w:pPr>
    </w:p>
    <w:p w14:paraId="534C3586" w14:textId="77777777" w:rsidR="00355502" w:rsidRPr="004676F5" w:rsidRDefault="00355502" w:rsidP="001527B1">
      <w:pPr>
        <w:ind w:firstLine="708"/>
        <w:jc w:val="both"/>
        <w:rPr>
          <w:lang w:val="de-DE"/>
        </w:rPr>
      </w:pPr>
    </w:p>
    <w:p w14:paraId="2DAE427A" w14:textId="1BDD112F" w:rsidR="001527B1" w:rsidRPr="004676F5" w:rsidRDefault="00BE0A56" w:rsidP="001527B1">
      <w:pPr>
        <w:ind w:firstLine="708"/>
        <w:jc w:val="both"/>
        <w:rPr>
          <w:lang w:val="de-DE"/>
        </w:rPr>
      </w:pPr>
      <w:r w:rsidRPr="004676F5">
        <w:rPr>
          <w:b/>
          <w:lang w:val="de-DE"/>
        </w:rPr>
        <w:t>Art. </w:t>
      </w:r>
      <w:r w:rsidR="001527B1" w:rsidRPr="004676F5">
        <w:rPr>
          <w:b/>
          <w:lang w:val="de-DE"/>
        </w:rPr>
        <w:t>XI.213</w:t>
      </w:r>
      <w:r w:rsidR="001527B1" w:rsidRPr="004676F5">
        <w:rPr>
          <w:lang w:val="de-DE"/>
        </w:rPr>
        <w:t> </w:t>
      </w:r>
      <w:r w:rsidR="005B7A5C" w:rsidRPr="004676F5">
        <w:rPr>
          <w:lang w:val="de-DE"/>
        </w:rPr>
        <w:t>- </w:t>
      </w:r>
      <w:r w:rsidR="007F5A05" w:rsidRPr="004676F5">
        <w:rPr>
          <w:lang w:val="de-DE"/>
        </w:rPr>
        <w:t>[Die Verwendung von Leistungen gemäß Artikel XI.212 gibt ausübenden Künstlern und Produzenten von Tonträgern Anrecht auf eine angemessene Vergütung, unabhängig vom Ort der Aufzeichnung.]</w:t>
      </w:r>
    </w:p>
    <w:p w14:paraId="11391246" w14:textId="77777777" w:rsidR="001527B1" w:rsidRPr="004676F5" w:rsidRDefault="001527B1" w:rsidP="001527B1">
      <w:pPr>
        <w:ind w:firstLine="708"/>
        <w:jc w:val="both"/>
        <w:rPr>
          <w:lang w:val="de-DE"/>
        </w:rPr>
      </w:pPr>
    </w:p>
    <w:p w14:paraId="557EB3A3" w14:textId="77777777" w:rsidR="001527B1" w:rsidRPr="004676F5" w:rsidRDefault="001527B1" w:rsidP="001527B1">
      <w:pPr>
        <w:ind w:firstLine="708"/>
        <w:jc w:val="both"/>
        <w:rPr>
          <w:lang w:val="de-DE"/>
        </w:rPr>
      </w:pPr>
      <w:r w:rsidRPr="004676F5">
        <w:rPr>
          <w:lang w:val="de-DE"/>
        </w:rPr>
        <w:t>Der König bestimmt die Höhe der angemessenen Vergütung, die je nach betreffenden Sektoren verschieden sein kann. Er kann Modalitäten bestimmen, nach denen Leistungen ausgeführt werden müssen, damit sie öffentlich sind im Sinne von Artikel XI.212 Nr. 1.</w:t>
      </w:r>
    </w:p>
    <w:p w14:paraId="78BE547F" w14:textId="77777777" w:rsidR="001527B1" w:rsidRPr="004676F5" w:rsidRDefault="001527B1" w:rsidP="001527B1">
      <w:pPr>
        <w:ind w:firstLine="708"/>
        <w:jc w:val="both"/>
        <w:rPr>
          <w:lang w:val="de-DE"/>
        </w:rPr>
      </w:pPr>
    </w:p>
    <w:p w14:paraId="38BC75A3" w14:textId="77777777" w:rsidR="001527B1" w:rsidRPr="004676F5" w:rsidRDefault="001527B1" w:rsidP="001527B1">
      <w:pPr>
        <w:ind w:firstLine="708"/>
        <w:jc w:val="both"/>
        <w:rPr>
          <w:lang w:val="de-DE"/>
        </w:rPr>
      </w:pPr>
      <w:r w:rsidRPr="004676F5">
        <w:rPr>
          <w:lang w:val="de-DE"/>
        </w:rPr>
        <w:lastRenderedPageBreak/>
        <w:t>Der König legt Modalitäten für Einnahme, Verteilung und Kontrolle der Vergütungen und den Zeitpunkt, zu dem sie zu entrichten sind, fest.</w:t>
      </w:r>
    </w:p>
    <w:p w14:paraId="30F9BE77" w14:textId="77777777" w:rsidR="001527B1" w:rsidRPr="004676F5" w:rsidRDefault="001527B1" w:rsidP="001527B1">
      <w:pPr>
        <w:ind w:firstLine="708"/>
        <w:jc w:val="both"/>
        <w:rPr>
          <w:lang w:val="de-DE"/>
        </w:rPr>
      </w:pPr>
    </w:p>
    <w:p w14:paraId="780CA34F" w14:textId="77777777" w:rsidR="001527B1" w:rsidRPr="004676F5" w:rsidRDefault="001527B1" w:rsidP="001527B1">
      <w:pPr>
        <w:ind w:firstLine="708"/>
        <w:jc w:val="both"/>
        <w:rPr>
          <w:lang w:val="de-DE"/>
        </w:rPr>
      </w:pPr>
      <w:r w:rsidRPr="004676F5">
        <w:rPr>
          <w:lang w:val="de-DE"/>
        </w:rPr>
        <w:t xml:space="preserve">Die Vergütung wird von den Personen, die die in Artikel XI.212 vorgesehenen Handlungen vornehmen, </w:t>
      </w:r>
      <w:r w:rsidR="00416F1C" w:rsidRPr="004676F5">
        <w:rPr>
          <w:lang w:val="de-DE"/>
        </w:rPr>
        <w:t>[an die Verwertungs</w:t>
      </w:r>
      <w:r w:rsidR="00416F1C" w:rsidRPr="004676F5">
        <w:rPr>
          <w:lang w:val="de-DE"/>
        </w:rPr>
        <w:softHyphen/>
        <w:t>gesellschaften und/oder Organisationen für die kollektive Rechtewahrnehmung gezahlt, die in Kapitel 9 des vorliegenden Titels erwähnt sind und in Belgien die in Absatz 1 erwähnte angemessene Vergütung verwalten]</w:t>
      </w:r>
      <w:r w:rsidRPr="004676F5">
        <w:rPr>
          <w:lang w:val="de-DE"/>
        </w:rPr>
        <w:t>.</w:t>
      </w:r>
    </w:p>
    <w:p w14:paraId="17E203DD" w14:textId="77777777" w:rsidR="001527B1" w:rsidRPr="004676F5" w:rsidRDefault="001527B1" w:rsidP="001527B1">
      <w:pPr>
        <w:ind w:firstLine="708"/>
        <w:jc w:val="both"/>
        <w:rPr>
          <w:lang w:val="de-DE"/>
        </w:rPr>
      </w:pPr>
    </w:p>
    <w:p w14:paraId="54BAF9FE" w14:textId="77777777" w:rsidR="001527B1" w:rsidRPr="004676F5" w:rsidRDefault="001527B1" w:rsidP="001527B1">
      <w:pPr>
        <w:ind w:firstLine="708"/>
        <w:jc w:val="both"/>
        <w:rPr>
          <w:lang w:val="de-DE"/>
        </w:rPr>
      </w:pPr>
      <w:r w:rsidRPr="004676F5">
        <w:rPr>
          <w:lang w:val="de-DE"/>
        </w:rPr>
        <w:t>Schuldner der Vergütung müssen in angemessener Weise die für Einnahme und Verteilung der Gebühren nützlichen Auskünfte erteilen.</w:t>
      </w:r>
    </w:p>
    <w:p w14:paraId="241574C5" w14:textId="77777777" w:rsidR="001527B1" w:rsidRPr="004676F5" w:rsidRDefault="001527B1" w:rsidP="001527B1">
      <w:pPr>
        <w:ind w:firstLine="708"/>
        <w:jc w:val="both"/>
        <w:rPr>
          <w:lang w:val="de-DE"/>
        </w:rPr>
      </w:pPr>
    </w:p>
    <w:p w14:paraId="662D67D4" w14:textId="77777777" w:rsidR="001527B1" w:rsidRPr="004676F5" w:rsidRDefault="001527B1" w:rsidP="001527B1">
      <w:pPr>
        <w:ind w:firstLine="708"/>
        <w:jc w:val="both"/>
        <w:rPr>
          <w:lang w:val="de-DE"/>
        </w:rPr>
      </w:pPr>
      <w:r w:rsidRPr="004676F5">
        <w:rPr>
          <w:lang w:val="de-DE"/>
        </w:rPr>
        <w:t>Der König bestimmt die Modalitäten, nach denen diese Auskünfte und Belege bereitgestellt werden.</w:t>
      </w:r>
    </w:p>
    <w:p w14:paraId="76F52E0B" w14:textId="77777777" w:rsidR="00416F1C" w:rsidRPr="004676F5" w:rsidRDefault="00416F1C" w:rsidP="001527B1">
      <w:pPr>
        <w:ind w:firstLine="708"/>
        <w:jc w:val="both"/>
        <w:rPr>
          <w:lang w:val="de-DE"/>
        </w:rPr>
      </w:pPr>
    </w:p>
    <w:p w14:paraId="36F449C4" w14:textId="5620690E" w:rsidR="00416F1C" w:rsidRPr="004676F5" w:rsidRDefault="00416F1C" w:rsidP="00416F1C">
      <w:pPr>
        <w:jc w:val="both"/>
        <w:rPr>
          <w:i/>
          <w:lang w:val="de-DE"/>
        </w:rPr>
      </w:pPr>
      <w:r w:rsidRPr="004676F5">
        <w:rPr>
          <w:i/>
          <w:lang w:val="de-DE"/>
        </w:rPr>
        <w:t>[</w:t>
      </w:r>
      <w:r w:rsidR="00BE0A56" w:rsidRPr="004676F5">
        <w:rPr>
          <w:i/>
          <w:lang w:val="de-DE"/>
        </w:rPr>
        <w:t>Art. </w:t>
      </w:r>
      <w:r w:rsidRPr="004676F5">
        <w:rPr>
          <w:i/>
          <w:lang w:val="de-DE"/>
        </w:rPr>
        <w:t xml:space="preserve">XI.213 </w:t>
      </w:r>
      <w:r w:rsidR="007F5A05" w:rsidRPr="004676F5">
        <w:rPr>
          <w:i/>
          <w:lang w:val="de-DE"/>
        </w:rPr>
        <w:t xml:space="preserve">Abs. 1 ersetzt durch Art. 4 </w:t>
      </w:r>
      <w:r w:rsidR="00E43762" w:rsidRPr="004676F5">
        <w:rPr>
          <w:i/>
          <w:lang w:val="de-DE"/>
        </w:rPr>
        <w:t>des G. vom 25. November 2018 (I) (B.S. vom 12. Dezember 2018)</w:t>
      </w:r>
      <w:r w:rsidR="007F5A05" w:rsidRPr="004676F5">
        <w:rPr>
          <w:i/>
          <w:lang w:val="de-DE"/>
        </w:rPr>
        <w:t xml:space="preserve">; </w:t>
      </w:r>
      <w:r w:rsidRPr="004676F5">
        <w:rPr>
          <w:i/>
          <w:lang w:val="de-DE"/>
        </w:rPr>
        <w:t xml:space="preserve">Abs. 4 abgeändert durch </w:t>
      </w:r>
      <w:r w:rsidR="00BE0A56" w:rsidRPr="004676F5">
        <w:rPr>
          <w:i/>
          <w:lang w:val="de-DE"/>
        </w:rPr>
        <w:t>Art. </w:t>
      </w:r>
      <w:r w:rsidRPr="004676F5">
        <w:rPr>
          <w:i/>
          <w:lang w:val="de-DE"/>
        </w:rPr>
        <w:t>6 des G. vom 8. Juni 2017 (B.S. vom 27. Juni 2017)]</w:t>
      </w:r>
    </w:p>
    <w:p w14:paraId="54BEC216" w14:textId="77777777" w:rsidR="001527B1" w:rsidRPr="004676F5" w:rsidRDefault="001527B1" w:rsidP="001527B1">
      <w:pPr>
        <w:ind w:firstLine="708"/>
        <w:jc w:val="both"/>
        <w:rPr>
          <w:lang w:val="de-DE"/>
        </w:rPr>
      </w:pPr>
    </w:p>
    <w:p w14:paraId="3528B6AF" w14:textId="77777777" w:rsidR="00355502" w:rsidRPr="004676F5" w:rsidRDefault="00355502" w:rsidP="001527B1">
      <w:pPr>
        <w:ind w:firstLine="708"/>
        <w:jc w:val="both"/>
        <w:rPr>
          <w:lang w:val="de-DE"/>
        </w:rPr>
      </w:pPr>
    </w:p>
    <w:p w14:paraId="75F5389A" w14:textId="26A99A7D" w:rsidR="001527B1" w:rsidRPr="004676F5" w:rsidRDefault="00BE0A56" w:rsidP="001527B1">
      <w:pPr>
        <w:ind w:firstLine="708"/>
        <w:jc w:val="both"/>
        <w:rPr>
          <w:lang w:val="de-DE"/>
        </w:rPr>
      </w:pPr>
      <w:r w:rsidRPr="004676F5">
        <w:rPr>
          <w:b/>
          <w:lang w:val="de-DE"/>
        </w:rPr>
        <w:t>Art. </w:t>
      </w:r>
      <w:r w:rsidR="001527B1" w:rsidRPr="004676F5">
        <w:rPr>
          <w:b/>
          <w:lang w:val="de-DE"/>
        </w:rPr>
        <w:t>XI.214</w:t>
      </w:r>
      <w:r w:rsidR="001527B1" w:rsidRPr="004676F5">
        <w:rPr>
          <w:lang w:val="de-DE"/>
        </w:rPr>
        <w:t> </w:t>
      </w:r>
      <w:r w:rsidR="005B7A5C" w:rsidRPr="004676F5">
        <w:rPr>
          <w:lang w:val="de-DE"/>
        </w:rPr>
        <w:t>- </w:t>
      </w:r>
      <w:r w:rsidR="001527B1" w:rsidRPr="004676F5">
        <w:rPr>
          <w:lang w:val="de-DE"/>
        </w:rPr>
        <w:t xml:space="preserve">Unter Vorbehalt internationaler Übereinkommen verteilen </w:t>
      </w:r>
      <w:r w:rsidR="00416F1C" w:rsidRPr="004676F5">
        <w:rPr>
          <w:lang w:val="de-DE"/>
        </w:rPr>
        <w:t>[die Verwertungsgesellschaften und/oder Organisationen für die kollektive Rechtewahrnehmung]</w:t>
      </w:r>
      <w:r w:rsidR="001527B1" w:rsidRPr="004676F5">
        <w:rPr>
          <w:lang w:val="de-DE"/>
        </w:rPr>
        <w:t xml:space="preserve"> die in Artikel XI.213 erwähnte Vergütung je zur Hälfte unter die ausübenden Künstler und die Produzenten</w:t>
      </w:r>
      <w:r w:rsidR="007F5A05" w:rsidRPr="004676F5">
        <w:rPr>
          <w:lang w:val="de-DE"/>
        </w:rPr>
        <w:t xml:space="preserve"> [von Tonträgern]</w:t>
      </w:r>
      <w:r w:rsidR="001527B1" w:rsidRPr="004676F5">
        <w:rPr>
          <w:lang w:val="de-DE"/>
        </w:rPr>
        <w:t>. Dieser Verteilerschlüssel ist verbindlich.</w:t>
      </w:r>
    </w:p>
    <w:p w14:paraId="5B8974C3" w14:textId="77777777" w:rsidR="001527B1" w:rsidRPr="004676F5" w:rsidRDefault="001527B1" w:rsidP="001527B1">
      <w:pPr>
        <w:ind w:firstLine="708"/>
        <w:jc w:val="both"/>
        <w:rPr>
          <w:lang w:val="de-DE"/>
        </w:rPr>
      </w:pPr>
    </w:p>
    <w:p w14:paraId="435150C1" w14:textId="77777777" w:rsidR="001527B1" w:rsidRPr="004676F5" w:rsidRDefault="001527B1" w:rsidP="001527B1">
      <w:pPr>
        <w:ind w:firstLine="708"/>
        <w:jc w:val="both"/>
        <w:rPr>
          <w:lang w:val="de-DE"/>
        </w:rPr>
      </w:pPr>
      <w:r w:rsidRPr="004676F5">
        <w:rPr>
          <w:lang w:val="de-DE"/>
        </w:rPr>
        <w:t>Der Teil der in Artikel XI.213 erwähnten Vergütung, auf den ausübende Künstler Anspruch haben, ist nicht abtretbar.</w:t>
      </w:r>
    </w:p>
    <w:p w14:paraId="2193D5E1" w14:textId="77777777" w:rsidR="001527B1" w:rsidRPr="004676F5" w:rsidRDefault="001527B1" w:rsidP="001527B1">
      <w:pPr>
        <w:ind w:firstLine="708"/>
        <w:jc w:val="both"/>
        <w:rPr>
          <w:lang w:val="de-DE"/>
        </w:rPr>
      </w:pPr>
    </w:p>
    <w:p w14:paraId="3F80E371" w14:textId="46562C37" w:rsidR="001527B1" w:rsidRPr="004676F5" w:rsidRDefault="001527B1" w:rsidP="001527B1">
      <w:pPr>
        <w:ind w:firstLine="708"/>
        <w:jc w:val="both"/>
        <w:rPr>
          <w:lang w:val="de-DE"/>
        </w:rPr>
      </w:pPr>
      <w:r w:rsidRPr="004676F5">
        <w:rPr>
          <w:lang w:val="de-DE"/>
        </w:rPr>
        <w:t>Die Dauer der in Artikel XI.213 erwähnten Vergütungsansprüche entspricht der in Artikel XI.208 Absatz 1, 2 und 3 beziehungsweise in Artikel XI.209 § 1 Absatz </w:t>
      </w:r>
      <w:r w:rsidR="007F5A05" w:rsidRPr="004676F5">
        <w:rPr>
          <w:lang w:val="de-DE"/>
        </w:rPr>
        <w:t xml:space="preserve">[...] </w:t>
      </w:r>
      <w:r w:rsidRPr="004676F5">
        <w:rPr>
          <w:lang w:val="de-DE"/>
        </w:rPr>
        <w:t>6 und 7 festgelegten Dauer.</w:t>
      </w:r>
    </w:p>
    <w:p w14:paraId="4EA24390" w14:textId="77777777" w:rsidR="001527B1" w:rsidRPr="004676F5" w:rsidRDefault="001527B1" w:rsidP="001527B1">
      <w:pPr>
        <w:rPr>
          <w:lang w:val="de-DE"/>
        </w:rPr>
      </w:pPr>
    </w:p>
    <w:p w14:paraId="4206B92A" w14:textId="2B149801" w:rsidR="00355502" w:rsidRPr="004676F5" w:rsidRDefault="00416F1C" w:rsidP="00416F1C">
      <w:pPr>
        <w:jc w:val="both"/>
        <w:rPr>
          <w:i/>
          <w:lang w:val="de-DE"/>
        </w:rPr>
      </w:pPr>
      <w:r w:rsidRPr="004676F5">
        <w:rPr>
          <w:i/>
          <w:lang w:val="de-DE"/>
        </w:rPr>
        <w:t>[</w:t>
      </w:r>
      <w:r w:rsidR="00BE0A56" w:rsidRPr="004676F5">
        <w:rPr>
          <w:i/>
          <w:lang w:val="de-DE"/>
        </w:rPr>
        <w:t>Art. </w:t>
      </w:r>
      <w:r w:rsidRPr="004676F5">
        <w:rPr>
          <w:i/>
          <w:lang w:val="de-DE"/>
        </w:rPr>
        <w:t xml:space="preserve">XI.214 Abs. 1 abgeändert durch </w:t>
      </w:r>
      <w:r w:rsidR="00BE0A56" w:rsidRPr="004676F5">
        <w:rPr>
          <w:i/>
          <w:lang w:val="de-DE"/>
        </w:rPr>
        <w:t>Art. </w:t>
      </w:r>
      <w:r w:rsidRPr="004676F5">
        <w:rPr>
          <w:i/>
          <w:lang w:val="de-DE"/>
        </w:rPr>
        <w:t>7 des G. vom 8. Juni 2017 (B.S. vom 27. Juni 2017)</w:t>
      </w:r>
      <w:r w:rsidR="007F5A05" w:rsidRPr="004676F5">
        <w:rPr>
          <w:i/>
          <w:lang w:val="de-DE"/>
        </w:rPr>
        <w:t xml:space="preserve"> und Art. 5 Nr. 1 </w:t>
      </w:r>
      <w:r w:rsidR="00E43762" w:rsidRPr="004676F5">
        <w:rPr>
          <w:i/>
          <w:lang w:val="de-DE"/>
        </w:rPr>
        <w:t>des G. vom 25. November 2018 (I) (B.S. vom 12. Dezember 2018)</w:t>
      </w:r>
      <w:r w:rsidR="007F5A05" w:rsidRPr="004676F5">
        <w:rPr>
          <w:i/>
          <w:lang w:val="de-DE"/>
        </w:rPr>
        <w:t xml:space="preserve">; Abs. 3 abgeändert durch Art. 5 Nr. 2 </w:t>
      </w:r>
      <w:r w:rsidR="00E43762" w:rsidRPr="004676F5">
        <w:rPr>
          <w:i/>
          <w:lang w:val="de-DE"/>
        </w:rPr>
        <w:t>des G. vom 25. November 2018 (I) (B.S. vom 12. Dezember 2018)</w:t>
      </w:r>
      <w:r w:rsidRPr="004676F5">
        <w:rPr>
          <w:i/>
          <w:lang w:val="de-DE"/>
        </w:rPr>
        <w:t>]</w:t>
      </w:r>
    </w:p>
    <w:p w14:paraId="16FA4F89" w14:textId="77777777" w:rsidR="00416F1C" w:rsidRPr="004676F5" w:rsidRDefault="00416F1C" w:rsidP="00355502">
      <w:pPr>
        <w:rPr>
          <w:i/>
          <w:lang w:val="de-DE"/>
        </w:rPr>
      </w:pPr>
    </w:p>
    <w:p w14:paraId="1BC9F4FE" w14:textId="77777777" w:rsidR="00416F1C" w:rsidRPr="004676F5" w:rsidRDefault="00416F1C" w:rsidP="00355502">
      <w:pPr>
        <w:rPr>
          <w:i/>
          <w:lang w:val="de-DE"/>
        </w:rPr>
      </w:pPr>
    </w:p>
    <w:p w14:paraId="2DC86CEC" w14:textId="1AEBB20F" w:rsidR="001527B1" w:rsidRPr="004676F5" w:rsidRDefault="001527B1" w:rsidP="00355502">
      <w:pPr>
        <w:jc w:val="center"/>
        <w:rPr>
          <w:lang w:val="de-DE"/>
        </w:rPr>
      </w:pPr>
      <w:r w:rsidRPr="004676F5">
        <w:rPr>
          <w:i/>
          <w:lang w:val="de-DE"/>
        </w:rPr>
        <w:t>Abschnitt 6 </w:t>
      </w:r>
      <w:r w:rsidR="005B7A5C" w:rsidRPr="004676F5">
        <w:rPr>
          <w:lang w:val="de-DE"/>
        </w:rPr>
        <w:t>- </w:t>
      </w:r>
      <w:r w:rsidRPr="004676F5">
        <w:rPr>
          <w:lang w:val="de-DE"/>
        </w:rPr>
        <w:t>Bestimmungen in Bezug auf Sendeunternehmen</w:t>
      </w:r>
    </w:p>
    <w:p w14:paraId="7D07597F" w14:textId="77777777" w:rsidR="001527B1" w:rsidRPr="004676F5" w:rsidRDefault="001527B1" w:rsidP="001527B1">
      <w:pPr>
        <w:jc w:val="both"/>
        <w:rPr>
          <w:lang w:val="de-DE"/>
        </w:rPr>
      </w:pPr>
    </w:p>
    <w:p w14:paraId="1E014D15" w14:textId="77777777" w:rsidR="00355502" w:rsidRPr="004676F5" w:rsidRDefault="00355502" w:rsidP="001527B1">
      <w:pPr>
        <w:jc w:val="both"/>
        <w:rPr>
          <w:lang w:val="de-DE"/>
        </w:rPr>
      </w:pPr>
    </w:p>
    <w:p w14:paraId="32F6E07E" w14:textId="0D51460F" w:rsidR="001527B1" w:rsidRPr="004676F5" w:rsidRDefault="00BE0A56" w:rsidP="001527B1">
      <w:pPr>
        <w:ind w:firstLine="708"/>
        <w:jc w:val="both"/>
        <w:rPr>
          <w:lang w:val="de-DE"/>
        </w:rPr>
      </w:pPr>
      <w:r w:rsidRPr="004676F5">
        <w:rPr>
          <w:b/>
          <w:lang w:val="de-DE"/>
        </w:rPr>
        <w:t>Art. </w:t>
      </w:r>
      <w:r w:rsidR="001527B1" w:rsidRPr="004676F5">
        <w:rPr>
          <w:b/>
          <w:lang w:val="de-DE"/>
        </w:rPr>
        <w:t>XI.215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Sendeunternehmen haben allein das Recht, folgende Handlungen zu erlauben:</w:t>
      </w:r>
    </w:p>
    <w:p w14:paraId="440F0EA6" w14:textId="77777777" w:rsidR="001527B1" w:rsidRPr="004676F5" w:rsidRDefault="001527B1" w:rsidP="001527B1">
      <w:pPr>
        <w:ind w:firstLine="708"/>
        <w:jc w:val="both"/>
        <w:rPr>
          <w:lang w:val="de-DE"/>
        </w:rPr>
      </w:pPr>
    </w:p>
    <w:p w14:paraId="10B1DE15" w14:textId="48D8ABFA" w:rsidR="001527B1" w:rsidRPr="004676F5" w:rsidRDefault="001527B1" w:rsidP="001527B1">
      <w:pPr>
        <w:ind w:firstLine="708"/>
        <w:jc w:val="both"/>
        <w:rPr>
          <w:lang w:val="de-DE"/>
        </w:rPr>
      </w:pPr>
      <w:r w:rsidRPr="004676F5">
        <w:rPr>
          <w:i/>
          <w:lang w:val="de-DE"/>
        </w:rPr>
        <w:t>a)</w:t>
      </w:r>
      <w:r w:rsidRPr="004676F5">
        <w:rPr>
          <w:lang w:val="de-DE"/>
        </w:rPr>
        <w:t xml:space="preserve"> Direktausstrahlung oder zeitversetzte Ausstrahlung ihrer Sendungen einschließlich der Kabelweiterverbreitung </w:t>
      </w:r>
      <w:r w:rsidR="00826BA0" w:rsidRPr="004676F5">
        <w:rPr>
          <w:lang w:val="de-DE"/>
        </w:rPr>
        <w:t xml:space="preserve">[und/oder Weiterverbreitung] </w:t>
      </w:r>
      <w:r w:rsidRPr="004676F5">
        <w:rPr>
          <w:lang w:val="de-DE"/>
        </w:rPr>
        <w:t>und öffentlichen Wiedergabe über Satellit,</w:t>
      </w:r>
    </w:p>
    <w:p w14:paraId="12A19510" w14:textId="77777777" w:rsidR="001527B1" w:rsidRPr="004676F5" w:rsidRDefault="001527B1" w:rsidP="001527B1">
      <w:pPr>
        <w:ind w:firstLine="708"/>
        <w:jc w:val="both"/>
        <w:rPr>
          <w:lang w:val="de-DE"/>
        </w:rPr>
      </w:pPr>
    </w:p>
    <w:p w14:paraId="5BE03A96" w14:textId="77777777" w:rsidR="001527B1" w:rsidRPr="004676F5" w:rsidRDefault="001527B1" w:rsidP="001527B1">
      <w:pPr>
        <w:ind w:firstLine="708"/>
        <w:jc w:val="both"/>
        <w:rPr>
          <w:lang w:val="de-DE"/>
        </w:rPr>
      </w:pPr>
      <w:r w:rsidRPr="004676F5">
        <w:rPr>
          <w:i/>
          <w:lang w:val="de-DE"/>
        </w:rPr>
        <w:t>b)</w:t>
      </w:r>
      <w:r w:rsidRPr="004676F5">
        <w:rPr>
          <w:lang w:val="de-DE"/>
        </w:rPr>
        <w:t> Vervielfältigung ihrer Sendungen mit gleich welchem Verfahren, unmittelbar oder mittelbar, vorübergehend oder dauerhaft, ganz oder teilweise, einschließlich der Verbreitung von Aufzeichnungen ihrer Sendungen,</w:t>
      </w:r>
    </w:p>
    <w:p w14:paraId="44347A0A" w14:textId="77777777" w:rsidR="001527B1" w:rsidRPr="004676F5" w:rsidRDefault="001527B1" w:rsidP="001527B1">
      <w:pPr>
        <w:ind w:firstLine="708"/>
        <w:jc w:val="both"/>
        <w:rPr>
          <w:lang w:val="de-DE"/>
        </w:rPr>
      </w:pPr>
    </w:p>
    <w:p w14:paraId="2C3A9A8A" w14:textId="77777777" w:rsidR="001527B1" w:rsidRPr="004676F5" w:rsidRDefault="001527B1" w:rsidP="001527B1">
      <w:pPr>
        <w:ind w:firstLine="708"/>
        <w:jc w:val="both"/>
        <w:rPr>
          <w:lang w:val="de-DE"/>
        </w:rPr>
      </w:pPr>
      <w:r w:rsidRPr="004676F5">
        <w:rPr>
          <w:i/>
          <w:lang w:val="de-DE"/>
        </w:rPr>
        <w:lastRenderedPageBreak/>
        <w:t>c)</w:t>
      </w:r>
      <w:r w:rsidRPr="004676F5">
        <w:rPr>
          <w:lang w:val="de-DE"/>
        </w:rPr>
        <w:t> Wiedergabe ihrer Sendungen an Stellen, die der Öffentlichkeit gegen Zahlung von Eintritt zugänglich sind,</w:t>
      </w:r>
    </w:p>
    <w:p w14:paraId="5F476FDB" w14:textId="77777777" w:rsidR="001527B1" w:rsidRPr="004676F5" w:rsidRDefault="001527B1" w:rsidP="001527B1">
      <w:pPr>
        <w:ind w:firstLine="708"/>
        <w:jc w:val="both"/>
        <w:rPr>
          <w:lang w:val="de-DE"/>
        </w:rPr>
      </w:pPr>
    </w:p>
    <w:p w14:paraId="529B0896" w14:textId="77777777" w:rsidR="001527B1" w:rsidRPr="004676F5" w:rsidRDefault="001527B1" w:rsidP="001527B1">
      <w:pPr>
        <w:ind w:firstLine="708"/>
        <w:jc w:val="both"/>
        <w:rPr>
          <w:lang w:val="de-DE"/>
        </w:rPr>
      </w:pPr>
      <w:r w:rsidRPr="004676F5">
        <w:rPr>
          <w:i/>
          <w:lang w:val="de-DE"/>
        </w:rPr>
        <w:t>d)</w:t>
      </w:r>
      <w:r w:rsidRPr="004676F5">
        <w:rPr>
          <w:lang w:val="de-DE"/>
        </w:rPr>
        <w:t> öffentliche Zugänglichmachung von Aufzeichnungen ihrer Sendungen, in der Weise, dass sie Mitgliedern der Öffentlichkeit von Orten und zu Zeiten ihrer Wahl zugänglich sind.</w:t>
      </w:r>
    </w:p>
    <w:p w14:paraId="20A54F24" w14:textId="77777777" w:rsidR="001527B1" w:rsidRPr="004676F5" w:rsidRDefault="001527B1" w:rsidP="001527B1">
      <w:pPr>
        <w:ind w:firstLine="708"/>
        <w:jc w:val="both"/>
        <w:rPr>
          <w:lang w:val="de-DE"/>
        </w:rPr>
      </w:pPr>
    </w:p>
    <w:p w14:paraId="00D9DA18" w14:textId="77777777" w:rsidR="001527B1" w:rsidRPr="004676F5" w:rsidRDefault="001527B1" w:rsidP="001527B1">
      <w:pPr>
        <w:ind w:firstLine="708"/>
        <w:jc w:val="both"/>
        <w:rPr>
          <w:lang w:val="de-DE"/>
        </w:rPr>
      </w:pPr>
      <w:r w:rsidRPr="004676F5">
        <w:rPr>
          <w:lang w:val="de-DE"/>
        </w:rPr>
        <w:t>Das in Absatz 1 Buchstabe </w:t>
      </w:r>
      <w:r w:rsidRPr="004676F5">
        <w:rPr>
          <w:i/>
          <w:lang w:val="de-DE"/>
        </w:rPr>
        <w:t>b)</w:t>
      </w:r>
      <w:r w:rsidRPr="004676F5">
        <w:rPr>
          <w:lang w:val="de-DE"/>
        </w:rPr>
        <w:t xml:space="preserve"> erwähnte Verbreitungsrecht erschöpft sich nur mit dem Erstverkauf oder einer anderen erstmaligen Eigentumsübertragung der Aufzeichnung seiner Sendung in der Europäischen Union seitens des Sendeunternehmens oder mit seiner Zustimmung.</w:t>
      </w:r>
    </w:p>
    <w:p w14:paraId="40907F2B" w14:textId="77777777" w:rsidR="001527B1" w:rsidRPr="004676F5" w:rsidRDefault="001527B1" w:rsidP="001527B1">
      <w:pPr>
        <w:ind w:firstLine="708"/>
        <w:jc w:val="both"/>
        <w:rPr>
          <w:lang w:val="de-DE"/>
        </w:rPr>
      </w:pPr>
    </w:p>
    <w:p w14:paraId="026B7429" w14:textId="55EBA29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Außer bei Beweis des Gegenteils ist als Sendeunternehmen anzusehen, wer durch Vermerk seines Namens oder eines ihn identifizierenden Kurzwortes auf der Leistung, auf einer Vervielfältigung der Leistung oder durch eine Mitteilung über diese Leistung an das Publikum als Sendeunternehmen zu identifizieren ist.</w:t>
      </w:r>
    </w:p>
    <w:p w14:paraId="3D7818CF" w14:textId="77777777" w:rsidR="00826BA0" w:rsidRPr="004676F5" w:rsidRDefault="00826BA0" w:rsidP="001527B1">
      <w:pPr>
        <w:ind w:firstLine="708"/>
        <w:jc w:val="both"/>
        <w:rPr>
          <w:lang w:val="de-DE"/>
        </w:rPr>
      </w:pPr>
    </w:p>
    <w:p w14:paraId="523DAAC1" w14:textId="44B0B74A" w:rsidR="00826BA0" w:rsidRPr="004676F5" w:rsidRDefault="00826BA0" w:rsidP="00826BA0">
      <w:pPr>
        <w:jc w:val="both"/>
        <w:rPr>
          <w:i/>
          <w:iCs/>
          <w:lang w:val="de-DE"/>
        </w:rPr>
      </w:pPr>
      <w:r w:rsidRPr="004676F5">
        <w:rPr>
          <w:i/>
          <w:iCs/>
          <w:lang w:val="de-DE"/>
        </w:rPr>
        <w:t>[Art. XI.215 § 1 Abs. 1 Buchstabe a) abgeändert durch Art. 4 des G. vom 1. April 2022 (B.S. vom 21. April 2022)]</w:t>
      </w:r>
    </w:p>
    <w:p w14:paraId="6F53F82C" w14:textId="77777777" w:rsidR="001527B1" w:rsidRPr="004676F5" w:rsidRDefault="001527B1" w:rsidP="001527B1">
      <w:pPr>
        <w:ind w:firstLine="708"/>
        <w:jc w:val="both"/>
        <w:rPr>
          <w:lang w:val="de-DE"/>
        </w:rPr>
      </w:pPr>
    </w:p>
    <w:p w14:paraId="0364A16F" w14:textId="77777777" w:rsidR="00355502" w:rsidRPr="004676F5" w:rsidRDefault="00355502" w:rsidP="001527B1">
      <w:pPr>
        <w:ind w:firstLine="708"/>
        <w:jc w:val="both"/>
        <w:rPr>
          <w:lang w:val="de-DE"/>
        </w:rPr>
      </w:pPr>
    </w:p>
    <w:p w14:paraId="4691C3AA" w14:textId="6C995B28" w:rsidR="001527B1" w:rsidRPr="004676F5" w:rsidRDefault="00BE0A56" w:rsidP="001527B1">
      <w:pPr>
        <w:ind w:firstLine="708"/>
        <w:jc w:val="both"/>
        <w:rPr>
          <w:lang w:val="de-DE"/>
        </w:rPr>
      </w:pPr>
      <w:r w:rsidRPr="004676F5">
        <w:rPr>
          <w:b/>
          <w:lang w:val="de-DE"/>
        </w:rPr>
        <w:t>Art. </w:t>
      </w:r>
      <w:r w:rsidR="001527B1" w:rsidRPr="004676F5">
        <w:rPr>
          <w:b/>
          <w:lang w:val="de-DE"/>
        </w:rPr>
        <w:t>XI.216</w:t>
      </w:r>
      <w:r w:rsidR="001527B1" w:rsidRPr="004676F5">
        <w:rPr>
          <w:lang w:val="de-DE"/>
        </w:rPr>
        <w:t> </w:t>
      </w:r>
      <w:r w:rsidR="005B7A5C" w:rsidRPr="004676F5">
        <w:rPr>
          <w:lang w:val="de-DE"/>
        </w:rPr>
        <w:t>- </w:t>
      </w:r>
      <w:r w:rsidR="001527B1" w:rsidRPr="004676F5">
        <w:rPr>
          <w:lang w:val="de-DE"/>
        </w:rPr>
        <w:t>Der in Artikel XI.215 erwähnte Schutz dauert fünfzig Jahre ab Erstaus</w:t>
      </w:r>
      <w:r w:rsidR="001527B1" w:rsidRPr="004676F5">
        <w:rPr>
          <w:lang w:val="de-DE"/>
        </w:rPr>
        <w:softHyphen/>
        <w:t>strahlung.</w:t>
      </w:r>
    </w:p>
    <w:p w14:paraId="610C2E44" w14:textId="77777777" w:rsidR="001527B1" w:rsidRPr="004676F5" w:rsidRDefault="001527B1" w:rsidP="001527B1">
      <w:pPr>
        <w:ind w:firstLine="708"/>
        <w:jc w:val="both"/>
        <w:rPr>
          <w:lang w:val="de-DE"/>
        </w:rPr>
      </w:pPr>
    </w:p>
    <w:p w14:paraId="2B57DAEB" w14:textId="77777777" w:rsidR="001527B1" w:rsidRPr="004676F5" w:rsidRDefault="001527B1" w:rsidP="001527B1">
      <w:pPr>
        <w:ind w:firstLine="708"/>
        <w:jc w:val="both"/>
        <w:rPr>
          <w:lang w:val="de-DE"/>
        </w:rPr>
      </w:pPr>
      <w:r w:rsidRPr="004676F5">
        <w:rPr>
          <w:lang w:val="de-DE"/>
        </w:rPr>
        <w:t>Diese Frist wird vom 1. Januar des Jahres an berechnet, das auf das für den Beginn der Frist maßgebende Ereignis folgt.</w:t>
      </w:r>
    </w:p>
    <w:p w14:paraId="647638A5" w14:textId="77777777" w:rsidR="001527B1" w:rsidRPr="004676F5" w:rsidRDefault="001527B1" w:rsidP="001527B1">
      <w:pPr>
        <w:jc w:val="both"/>
        <w:rPr>
          <w:lang w:val="de-DE"/>
        </w:rPr>
      </w:pPr>
    </w:p>
    <w:p w14:paraId="5B57A5B6" w14:textId="77777777" w:rsidR="004F61C6" w:rsidRPr="004676F5" w:rsidRDefault="004F61C6" w:rsidP="001527B1">
      <w:pPr>
        <w:jc w:val="both"/>
        <w:rPr>
          <w:lang w:val="de-DE"/>
        </w:rPr>
      </w:pPr>
    </w:p>
    <w:p w14:paraId="78FFAAA2" w14:textId="2163D930" w:rsidR="004F61C6" w:rsidRPr="004676F5" w:rsidRDefault="004F61C6" w:rsidP="004F61C6">
      <w:pPr>
        <w:jc w:val="center"/>
        <w:rPr>
          <w:lang w:val="de-DE"/>
        </w:rPr>
      </w:pPr>
      <w:r w:rsidRPr="004676F5">
        <w:rPr>
          <w:lang w:val="de-DE"/>
        </w:rPr>
        <w:t>[</w:t>
      </w:r>
      <w:r w:rsidRPr="004676F5">
        <w:rPr>
          <w:i/>
          <w:iCs/>
          <w:lang w:val="de-DE"/>
        </w:rPr>
        <w:t>Abschnitt 6/1</w:t>
      </w:r>
      <w:r w:rsidRPr="004676F5">
        <w:rPr>
          <w:lang w:val="de-DE"/>
        </w:rPr>
        <w:t> </w:t>
      </w:r>
      <w:r w:rsidR="005B7A5C" w:rsidRPr="004676F5">
        <w:rPr>
          <w:lang w:val="de-DE"/>
        </w:rPr>
        <w:t>- </w:t>
      </w:r>
      <w:r w:rsidRPr="004676F5">
        <w:rPr>
          <w:lang w:val="de-DE"/>
        </w:rPr>
        <w:t>Bestimmungen für Presseverleger]</w:t>
      </w:r>
    </w:p>
    <w:p w14:paraId="2667F287" w14:textId="77777777" w:rsidR="00355502" w:rsidRPr="004676F5" w:rsidRDefault="00355502" w:rsidP="001527B1">
      <w:pPr>
        <w:jc w:val="both"/>
        <w:rPr>
          <w:lang w:val="de-DE"/>
        </w:rPr>
      </w:pPr>
    </w:p>
    <w:p w14:paraId="3372871F" w14:textId="61E5BE27" w:rsidR="004F61C6" w:rsidRPr="004676F5" w:rsidRDefault="004F61C6" w:rsidP="001527B1">
      <w:pPr>
        <w:jc w:val="both"/>
        <w:rPr>
          <w:i/>
          <w:iCs/>
          <w:lang w:val="de-DE"/>
        </w:rPr>
      </w:pPr>
      <w:r w:rsidRPr="004676F5">
        <w:rPr>
          <w:i/>
          <w:iCs/>
          <w:lang w:val="de-DE"/>
        </w:rPr>
        <w:t>[Unterteilung Abschnitt 6/1 eingefügt durch Art. 37 des G. vom 19. Juni 2022 (B.S. vom 1. August 2022)]</w:t>
      </w:r>
    </w:p>
    <w:p w14:paraId="7710D22F" w14:textId="77777777" w:rsidR="004F61C6" w:rsidRPr="004676F5" w:rsidRDefault="004F61C6" w:rsidP="001527B1">
      <w:pPr>
        <w:jc w:val="both"/>
        <w:rPr>
          <w:i/>
          <w:iCs/>
          <w:lang w:val="de-DE"/>
        </w:rPr>
      </w:pPr>
    </w:p>
    <w:p w14:paraId="7FBC1C7C" w14:textId="77777777" w:rsidR="004F61C6" w:rsidRPr="004676F5" w:rsidRDefault="004F61C6" w:rsidP="001527B1">
      <w:pPr>
        <w:jc w:val="both"/>
        <w:rPr>
          <w:lang w:val="de-DE"/>
        </w:rPr>
      </w:pPr>
    </w:p>
    <w:p w14:paraId="42B06DD4" w14:textId="3DE714A2" w:rsidR="004F61C6" w:rsidRPr="004676F5" w:rsidRDefault="004F61C6" w:rsidP="004F61C6">
      <w:pPr>
        <w:jc w:val="both"/>
        <w:rPr>
          <w:lang w:val="de-DE"/>
        </w:rPr>
      </w:pPr>
      <w:r w:rsidRPr="004676F5">
        <w:rPr>
          <w:lang w:val="de-DE"/>
        </w:rPr>
        <w:tab/>
        <w:t>[</w:t>
      </w:r>
      <w:r w:rsidRPr="004676F5">
        <w:rPr>
          <w:b/>
          <w:bCs/>
          <w:lang w:val="de-DE"/>
        </w:rPr>
        <w:t>Art. XI.216/1</w:t>
      </w:r>
      <w:r w:rsidRPr="004676F5">
        <w:rPr>
          <w:lang w:val="de-DE"/>
        </w:rPr>
        <w:t> </w:t>
      </w:r>
      <w:r w:rsidR="005B7A5C" w:rsidRPr="004676F5">
        <w:rPr>
          <w:lang w:val="de-DE"/>
        </w:rPr>
        <w:t>- </w:t>
      </w:r>
      <w:r w:rsidRPr="004676F5">
        <w:rPr>
          <w:lang w:val="de-DE"/>
        </w:rPr>
        <w:t>§ 1 ­ Für die Zwecke des vorliegenden Abschnitts bezeichnet der Begriff "Presseveröffentlichung" eine Sammlung, die hauptsächlich aus literarischen Werken journalistischer Art besteht, aber auch sonstige Werke oder Leistungen enthalten kann, und die:</w:t>
      </w:r>
    </w:p>
    <w:p w14:paraId="057226ED" w14:textId="77777777" w:rsidR="004F61C6" w:rsidRPr="004676F5" w:rsidRDefault="004F61C6" w:rsidP="004F61C6">
      <w:pPr>
        <w:jc w:val="both"/>
        <w:rPr>
          <w:lang w:val="de-DE"/>
        </w:rPr>
      </w:pPr>
    </w:p>
    <w:p w14:paraId="074BFB76" w14:textId="77777777" w:rsidR="004F61C6" w:rsidRPr="004676F5" w:rsidRDefault="004F61C6" w:rsidP="004F61C6">
      <w:pPr>
        <w:jc w:val="both"/>
        <w:rPr>
          <w:lang w:val="de-DE"/>
        </w:rPr>
      </w:pPr>
      <w:r w:rsidRPr="004676F5">
        <w:rPr>
          <w:i/>
          <w:lang w:val="de-DE"/>
        </w:rPr>
        <w:tab/>
      </w:r>
      <w:r w:rsidRPr="004676F5">
        <w:rPr>
          <w:i/>
          <w:iCs/>
          <w:lang w:val="de-DE"/>
        </w:rPr>
        <w:t>a)</w:t>
      </w:r>
      <w:r w:rsidRPr="004676F5">
        <w:rPr>
          <w:lang w:val="de-DE"/>
        </w:rPr>
        <w:t> in einer unter einem einheitlichen Titel periodisch erscheinenden oder regelmäßig aktualisierten Veröffentlichung, etwa Zeitungen oder Magazinen von allgemeinem oder besonderem Interesse, eine Einzelausgabe darstellt,</w:t>
      </w:r>
    </w:p>
    <w:p w14:paraId="08FA9B89" w14:textId="77777777" w:rsidR="004F61C6" w:rsidRPr="004676F5" w:rsidRDefault="004F61C6" w:rsidP="004F61C6">
      <w:pPr>
        <w:jc w:val="both"/>
        <w:rPr>
          <w:lang w:val="de-DE"/>
        </w:rPr>
      </w:pPr>
    </w:p>
    <w:p w14:paraId="112D9D0E" w14:textId="77777777" w:rsidR="004F61C6" w:rsidRPr="004676F5" w:rsidRDefault="004F61C6" w:rsidP="004F61C6">
      <w:pPr>
        <w:jc w:val="both"/>
        <w:rPr>
          <w:lang w:val="de-DE"/>
        </w:rPr>
      </w:pPr>
      <w:r w:rsidRPr="004676F5">
        <w:rPr>
          <w:lang w:val="de-DE"/>
        </w:rPr>
        <w:tab/>
      </w:r>
      <w:r w:rsidRPr="004676F5">
        <w:rPr>
          <w:i/>
          <w:lang w:val="de-DE"/>
        </w:rPr>
        <w:t>b)</w:t>
      </w:r>
      <w:r w:rsidRPr="004676F5">
        <w:rPr>
          <w:lang w:val="de-DE"/>
        </w:rPr>
        <w:t> dem Zweck dient, die Öffentlichkeit über Nachrichten oder andere Themen zu informieren und</w:t>
      </w:r>
    </w:p>
    <w:p w14:paraId="1DEEE41A" w14:textId="77777777" w:rsidR="004F61C6" w:rsidRPr="004676F5" w:rsidRDefault="004F61C6" w:rsidP="004F61C6">
      <w:pPr>
        <w:jc w:val="both"/>
        <w:rPr>
          <w:lang w:val="de-DE"/>
        </w:rPr>
      </w:pPr>
    </w:p>
    <w:p w14:paraId="70B16DE4" w14:textId="77777777" w:rsidR="004F61C6" w:rsidRPr="004676F5" w:rsidRDefault="004F61C6" w:rsidP="004F61C6">
      <w:pPr>
        <w:jc w:val="both"/>
        <w:rPr>
          <w:lang w:val="de-DE"/>
        </w:rPr>
      </w:pPr>
      <w:r w:rsidRPr="004676F5">
        <w:rPr>
          <w:lang w:val="de-DE"/>
        </w:rPr>
        <w:tab/>
      </w:r>
      <w:r w:rsidRPr="004676F5">
        <w:rPr>
          <w:i/>
          <w:lang w:val="de-DE"/>
        </w:rPr>
        <w:t>c)</w:t>
      </w:r>
      <w:r w:rsidRPr="004676F5">
        <w:rPr>
          <w:lang w:val="de-DE"/>
        </w:rPr>
        <w:t> unabhängig vom Medium auf Initiative eines Diensteanbieters unter seiner redaktionellen Verantwortung und Aufsicht veröffentlicht wird.</w:t>
      </w:r>
    </w:p>
    <w:p w14:paraId="61D1C9B9" w14:textId="77777777" w:rsidR="004F61C6" w:rsidRPr="004676F5" w:rsidRDefault="004F61C6" w:rsidP="004F61C6">
      <w:pPr>
        <w:jc w:val="both"/>
        <w:rPr>
          <w:lang w:val="de-DE"/>
        </w:rPr>
      </w:pPr>
    </w:p>
    <w:p w14:paraId="4834AED3" w14:textId="77777777" w:rsidR="004F61C6" w:rsidRPr="004676F5" w:rsidRDefault="004F61C6" w:rsidP="004F61C6">
      <w:pPr>
        <w:jc w:val="both"/>
        <w:rPr>
          <w:lang w:val="de-DE"/>
        </w:rPr>
      </w:pPr>
      <w:r w:rsidRPr="004676F5">
        <w:rPr>
          <w:lang w:val="de-DE"/>
        </w:rPr>
        <w:tab/>
        <w:t>Periodika, die für wissenschaftliche oder akademische Zwecke verlegt werden, etwa Wissenschaftsjournale, gelten nicht als Presseveröffentlichungen.</w:t>
      </w:r>
    </w:p>
    <w:p w14:paraId="2823AEB8" w14:textId="77777777" w:rsidR="004F61C6" w:rsidRPr="004676F5" w:rsidRDefault="004F61C6" w:rsidP="004F61C6">
      <w:pPr>
        <w:jc w:val="both"/>
        <w:rPr>
          <w:lang w:val="de-DE"/>
        </w:rPr>
      </w:pPr>
    </w:p>
    <w:p w14:paraId="01E9B29F" w14:textId="77777777" w:rsidR="004F61C6" w:rsidRPr="004676F5" w:rsidRDefault="004F61C6">
      <w:pPr>
        <w:rPr>
          <w:lang w:val="de-DE"/>
        </w:rPr>
      </w:pPr>
      <w:r w:rsidRPr="004676F5">
        <w:rPr>
          <w:lang w:val="de-DE"/>
        </w:rPr>
        <w:br w:type="page"/>
      </w:r>
    </w:p>
    <w:p w14:paraId="7BF2890E" w14:textId="59EA05B4" w:rsidR="004F61C6" w:rsidRPr="004676F5" w:rsidRDefault="004F61C6" w:rsidP="004F61C6">
      <w:pPr>
        <w:jc w:val="both"/>
        <w:rPr>
          <w:lang w:val="de-DE"/>
        </w:rPr>
      </w:pPr>
      <w:r w:rsidRPr="004676F5">
        <w:rPr>
          <w:lang w:val="de-DE"/>
        </w:rPr>
        <w:lastRenderedPageBreak/>
        <w:tab/>
        <w:t>§ 2 ­ Für die Zwecke des vorliegenden Abschnitts bezeichnet der Begriff "Dienst der Informationsgesellschaft" eine Dienstleistung im Sinne von Artikel I.18 Nr. 1.]</w:t>
      </w:r>
    </w:p>
    <w:p w14:paraId="253D7957" w14:textId="77777777" w:rsidR="004F61C6" w:rsidRPr="004676F5" w:rsidRDefault="004F61C6" w:rsidP="004F61C6">
      <w:pPr>
        <w:jc w:val="both"/>
        <w:rPr>
          <w:lang w:val="de-DE"/>
        </w:rPr>
      </w:pPr>
    </w:p>
    <w:p w14:paraId="3140A58E" w14:textId="4A858D98" w:rsidR="004F61C6" w:rsidRPr="004676F5" w:rsidRDefault="004F61C6" w:rsidP="004F61C6">
      <w:pPr>
        <w:jc w:val="both"/>
        <w:rPr>
          <w:i/>
          <w:iCs/>
          <w:lang w:val="de-DE"/>
        </w:rPr>
      </w:pPr>
      <w:r w:rsidRPr="004676F5">
        <w:rPr>
          <w:i/>
          <w:iCs/>
          <w:lang w:val="de-DE"/>
        </w:rPr>
        <w:t>[Art. </w:t>
      </w:r>
      <w:r w:rsidR="008D6C15" w:rsidRPr="004676F5">
        <w:rPr>
          <w:i/>
          <w:iCs/>
          <w:lang w:val="de-DE"/>
        </w:rPr>
        <w:t>XI.</w:t>
      </w:r>
      <w:r w:rsidRPr="004676F5">
        <w:rPr>
          <w:i/>
          <w:iCs/>
          <w:lang w:val="de-DE"/>
        </w:rPr>
        <w:t>216/1 eingefügt durch Art. 38 des G. vom 19. Juni 2022 (B.S. vom 1. August 2022)]</w:t>
      </w:r>
    </w:p>
    <w:p w14:paraId="385A7935" w14:textId="77777777" w:rsidR="004F61C6" w:rsidRPr="004676F5" w:rsidRDefault="004F61C6" w:rsidP="004F61C6">
      <w:pPr>
        <w:jc w:val="both"/>
        <w:rPr>
          <w:lang w:val="de-DE"/>
        </w:rPr>
      </w:pPr>
    </w:p>
    <w:p w14:paraId="5A1B1F02" w14:textId="77777777" w:rsidR="004F61C6" w:rsidRPr="004676F5" w:rsidRDefault="004F61C6" w:rsidP="004F61C6">
      <w:pPr>
        <w:jc w:val="both"/>
        <w:rPr>
          <w:lang w:val="de-DE"/>
        </w:rPr>
      </w:pPr>
    </w:p>
    <w:p w14:paraId="2B5FD060" w14:textId="19E1941F" w:rsidR="004F61C6" w:rsidRPr="004676F5" w:rsidRDefault="004F61C6" w:rsidP="004F61C6">
      <w:pPr>
        <w:ind w:firstLine="708"/>
        <w:jc w:val="both"/>
        <w:rPr>
          <w:lang w:val="de-DE"/>
        </w:rPr>
      </w:pPr>
      <w:r w:rsidRPr="004676F5">
        <w:rPr>
          <w:lang w:val="de-DE"/>
        </w:rPr>
        <w:t>[</w:t>
      </w:r>
      <w:r w:rsidRPr="004676F5">
        <w:rPr>
          <w:b/>
          <w:bCs/>
          <w:lang w:val="de-DE"/>
        </w:rPr>
        <w:t>Art. XI.216/2</w:t>
      </w:r>
      <w:r w:rsidRPr="004676F5">
        <w:rPr>
          <w:lang w:val="de-DE"/>
        </w:rPr>
        <w:t> </w:t>
      </w:r>
      <w:r w:rsidR="005B7A5C" w:rsidRPr="004676F5">
        <w:rPr>
          <w:lang w:val="de-DE"/>
        </w:rPr>
        <w:t>- </w:t>
      </w:r>
      <w:r w:rsidRPr="004676F5">
        <w:rPr>
          <w:lang w:val="de-DE"/>
        </w:rPr>
        <w:t>§ 1 ­ Unbeschadet des Rechts des Urhebers, des ausübenden Künstlers, des Produzenten von Tonträgern oder Erstaufzeichnungen von Filmen und des Sendeunternehmens hat ein in einem Mitgliedstaat der Europäischen Union ansässiger Presseverleger allein das Recht:</w:t>
      </w:r>
    </w:p>
    <w:p w14:paraId="15C9B304" w14:textId="77777777" w:rsidR="004F61C6" w:rsidRPr="004676F5" w:rsidRDefault="004F61C6" w:rsidP="004F61C6">
      <w:pPr>
        <w:jc w:val="both"/>
        <w:rPr>
          <w:lang w:val="de-DE"/>
        </w:rPr>
      </w:pPr>
    </w:p>
    <w:p w14:paraId="75E56682" w14:textId="77777777" w:rsidR="004F61C6" w:rsidRPr="004676F5" w:rsidRDefault="004F61C6" w:rsidP="004F61C6">
      <w:pPr>
        <w:jc w:val="both"/>
        <w:rPr>
          <w:lang w:val="de-DE"/>
        </w:rPr>
      </w:pPr>
      <w:r w:rsidRPr="004676F5">
        <w:rPr>
          <w:lang w:val="de-DE"/>
        </w:rPr>
        <w:tab/>
        <w:t>1. seine Presseveröffentlichung unmittelbar oder mittelbar, vorübergehend oder dauerhaft, auf jede Art und Weise und in jeder Form, ganz oder teilweise zu vervielfältigen oder deren Vervielfältigung zu erlauben für ihre Online-Nutzung durch einen Anbieter von Diensten der Informationsgesellschaft,</w:t>
      </w:r>
    </w:p>
    <w:p w14:paraId="7C9A830E" w14:textId="77777777" w:rsidR="004F61C6" w:rsidRPr="004676F5" w:rsidRDefault="004F61C6" w:rsidP="004F61C6">
      <w:pPr>
        <w:jc w:val="both"/>
        <w:rPr>
          <w:lang w:val="de-DE"/>
        </w:rPr>
      </w:pPr>
    </w:p>
    <w:p w14:paraId="4EA2BDC6" w14:textId="77777777" w:rsidR="004F61C6" w:rsidRPr="004676F5" w:rsidRDefault="004F61C6" w:rsidP="004F61C6">
      <w:pPr>
        <w:jc w:val="both"/>
        <w:rPr>
          <w:lang w:val="de-DE"/>
        </w:rPr>
      </w:pPr>
      <w:r w:rsidRPr="004676F5">
        <w:rPr>
          <w:lang w:val="de-DE"/>
        </w:rPr>
        <w:tab/>
        <w:t>2. seine Presseveröffentlichung durch gleich welches Verfahren öffentlich zugänglich zu machen für ihre Online-Nutzung durch einen Anbieter von Diensten der Informations</w:t>
      </w:r>
      <w:r w:rsidRPr="004676F5">
        <w:rPr>
          <w:lang w:val="de-DE"/>
        </w:rPr>
        <w:softHyphen/>
        <w:t>gesellschaft in der Weise, dass sie Mitgliedern der Öffentlichkeit von Orten und zu Zeiten ihrer Wahl zugänglich sind.</w:t>
      </w:r>
    </w:p>
    <w:p w14:paraId="5457415A" w14:textId="77777777" w:rsidR="004F61C6" w:rsidRPr="004676F5" w:rsidRDefault="004F61C6" w:rsidP="004F61C6">
      <w:pPr>
        <w:jc w:val="both"/>
        <w:rPr>
          <w:lang w:val="de-DE"/>
        </w:rPr>
      </w:pPr>
    </w:p>
    <w:p w14:paraId="3272ED2B" w14:textId="77777777" w:rsidR="004F61C6" w:rsidRPr="004676F5" w:rsidRDefault="004F61C6" w:rsidP="004F61C6">
      <w:pPr>
        <w:jc w:val="both"/>
        <w:rPr>
          <w:lang w:val="de-DE"/>
        </w:rPr>
      </w:pPr>
      <w:r w:rsidRPr="004676F5">
        <w:rPr>
          <w:lang w:val="de-DE"/>
        </w:rPr>
        <w:tab/>
        <w:t>§ 2 ­ Der Presseverleger und der Anbieter von Diensten der Informationsgesellschaft müssen in Bezug auf die in § 1 erwähnten Verwertungen und die dafür zu zahlende Vergütung in gutem Glauben verhandeln, sofern und soweit der Presseverleger bereit ist, die vorerwähnten Verwertungen zuzulassen.</w:t>
      </w:r>
    </w:p>
    <w:p w14:paraId="7E014B6E" w14:textId="77777777" w:rsidR="004F61C6" w:rsidRPr="004676F5" w:rsidRDefault="004F61C6" w:rsidP="004F61C6">
      <w:pPr>
        <w:jc w:val="both"/>
        <w:rPr>
          <w:lang w:val="de-DE"/>
        </w:rPr>
      </w:pPr>
    </w:p>
    <w:p w14:paraId="12B7BFBD" w14:textId="4AB491A2" w:rsidR="004F61C6" w:rsidRPr="004676F5" w:rsidRDefault="004F61C6" w:rsidP="004F61C6">
      <w:pPr>
        <w:jc w:val="both"/>
        <w:rPr>
          <w:lang w:val="de-DE"/>
        </w:rPr>
      </w:pPr>
      <w:r w:rsidRPr="004676F5">
        <w:rPr>
          <w:lang w:val="de-DE"/>
        </w:rPr>
        <w:tab/>
        <w:t>Kommt es zu keiner Einigung, kann die zuerst handelnde Partei das Streitbeilegungs</w:t>
      </w:r>
      <w:r w:rsidRPr="004676F5">
        <w:rPr>
          <w:lang w:val="de-DE"/>
        </w:rPr>
        <w:softHyphen/>
        <w:t>verfahren vor dem Belgischen Institut für Post</w:t>
      </w:r>
      <w:r w:rsidR="005B7A5C" w:rsidRPr="004676F5">
        <w:rPr>
          <w:lang w:val="de-DE"/>
        </w:rPr>
        <w:t>- </w:t>
      </w:r>
      <w:r w:rsidRPr="004676F5">
        <w:rPr>
          <w:lang w:val="de-DE"/>
        </w:rPr>
        <w:t>und Fernmeldewesen in Anspruch nehmen, das in Artikel 4 des Gesetzes vom 17. Januar 2003 über Beschwerden und die Behandlung von Streitsachen in Zusammenhang mit dem Gesetz vom 17. Januar 2003 über das Statut der Regulierungsinstanz des belgischen Post</w:t>
      </w:r>
      <w:r w:rsidR="005B7A5C" w:rsidRPr="004676F5">
        <w:rPr>
          <w:lang w:val="de-DE"/>
        </w:rPr>
        <w:t>- </w:t>
      </w:r>
      <w:r w:rsidRPr="004676F5">
        <w:rPr>
          <w:lang w:val="de-DE"/>
        </w:rPr>
        <w:t>und Telekommunikationssektors erwähnt ist, bei dem die Vergütung für die in § 1 erwähnten Verwertungen beschlossen und eine für die betreffenden Parteien verbindliche Verwaltungsentscheidung wie in vorerwähntem Artikel 4 erwähnt getroffen werden kann.</w:t>
      </w:r>
    </w:p>
    <w:p w14:paraId="2E43640B" w14:textId="77777777" w:rsidR="004F61C6" w:rsidRPr="004676F5" w:rsidRDefault="004F61C6" w:rsidP="004F61C6">
      <w:pPr>
        <w:jc w:val="both"/>
        <w:rPr>
          <w:lang w:val="de-DE"/>
        </w:rPr>
      </w:pPr>
    </w:p>
    <w:p w14:paraId="6A61BE2E" w14:textId="77777777" w:rsidR="004F61C6" w:rsidRPr="004676F5" w:rsidRDefault="004F61C6" w:rsidP="004F61C6">
      <w:pPr>
        <w:jc w:val="both"/>
        <w:rPr>
          <w:lang w:val="de-DE"/>
        </w:rPr>
      </w:pPr>
      <w:r w:rsidRPr="004676F5">
        <w:rPr>
          <w:lang w:val="de-DE"/>
        </w:rPr>
        <w:tab/>
        <w:t>§ 3 ­ Der Anbieter von Diensten der Informationsgesellschaft stellt auf schriftlichen Antrag des Presseverlegers aktuelle, einschlägige und umfassende Informationen über die Verwertung der Presseveröffentlichungen zur Verfügung, damit der Presseverleger den Wert des in § 1 erwähnten Rechts beurteilen kann. Insbesondere stellt der Anbieter von Diensten der Informationsgesellschaft Informationen über die Anzahl der Abrufe der Pressever</w:t>
      </w:r>
      <w:r w:rsidRPr="004676F5">
        <w:rPr>
          <w:lang w:val="de-DE"/>
        </w:rPr>
        <w:softHyphen/>
        <w:t>öffentlichungen und über die Einnahmen bereit, die der Anbieter von Diensten der Informationsgesellschaft aus der Verwertung der Presseveröffentlichungen erzielt.</w:t>
      </w:r>
    </w:p>
    <w:p w14:paraId="42C9CFCA" w14:textId="77777777" w:rsidR="004F61C6" w:rsidRPr="004676F5" w:rsidRDefault="004F61C6" w:rsidP="004F61C6">
      <w:pPr>
        <w:jc w:val="both"/>
        <w:rPr>
          <w:lang w:val="de-DE"/>
        </w:rPr>
      </w:pPr>
    </w:p>
    <w:p w14:paraId="5335537F" w14:textId="77777777" w:rsidR="004F61C6" w:rsidRPr="004676F5" w:rsidRDefault="004F61C6" w:rsidP="004F61C6">
      <w:pPr>
        <w:jc w:val="both"/>
        <w:rPr>
          <w:lang w:val="de-DE"/>
        </w:rPr>
      </w:pPr>
      <w:r w:rsidRPr="004676F5">
        <w:rPr>
          <w:lang w:val="de-DE"/>
        </w:rPr>
        <w:tab/>
        <w:t>Die Informationen werden innerhalb eines Monats ab dem Tag bereitgestellt, der auf die Notifizierung des entsprechenden schriftlichen Antrags des Presseverlegers folgt.</w:t>
      </w:r>
    </w:p>
    <w:p w14:paraId="3FD1042E" w14:textId="77777777" w:rsidR="004F61C6" w:rsidRPr="004676F5" w:rsidRDefault="004F61C6" w:rsidP="004F61C6">
      <w:pPr>
        <w:jc w:val="both"/>
        <w:rPr>
          <w:lang w:val="de-DE"/>
        </w:rPr>
      </w:pPr>
    </w:p>
    <w:p w14:paraId="509A38C5" w14:textId="77777777" w:rsidR="004F61C6" w:rsidRPr="004676F5" w:rsidRDefault="004F61C6" w:rsidP="004F61C6">
      <w:pPr>
        <w:jc w:val="both"/>
        <w:rPr>
          <w:lang w:val="de-DE"/>
        </w:rPr>
      </w:pPr>
      <w:r w:rsidRPr="004676F5">
        <w:rPr>
          <w:lang w:val="de-DE"/>
        </w:rPr>
        <w:tab/>
        <w:t>Bereitgestellte Informationen werden unter keinen Umständen zu anderen Zwecken als zur Bewertung des in § 1 erwähnten Rechts und zur Zuweisung eines angemessenen Anteils dieser Vergütung gemäß § 6 verwendet. Bereitgestellte Informationen werden streng vertraulich behandelt.</w:t>
      </w:r>
    </w:p>
    <w:p w14:paraId="4780B229" w14:textId="77777777" w:rsidR="004F61C6" w:rsidRPr="004676F5" w:rsidRDefault="004F61C6" w:rsidP="004F61C6">
      <w:pPr>
        <w:jc w:val="both"/>
        <w:rPr>
          <w:lang w:val="de-DE"/>
        </w:rPr>
      </w:pPr>
      <w:r w:rsidRPr="004676F5">
        <w:rPr>
          <w:lang w:val="de-DE"/>
        </w:rPr>
        <w:br w:type="page"/>
      </w:r>
    </w:p>
    <w:p w14:paraId="2F3FAB82" w14:textId="2036D0FA" w:rsidR="004F61C6" w:rsidRPr="004676F5" w:rsidRDefault="004F61C6" w:rsidP="004F61C6">
      <w:pPr>
        <w:jc w:val="both"/>
        <w:rPr>
          <w:lang w:val="de-DE"/>
        </w:rPr>
      </w:pPr>
      <w:r w:rsidRPr="004676F5">
        <w:rPr>
          <w:lang w:val="de-DE"/>
        </w:rPr>
        <w:lastRenderedPageBreak/>
        <w:tab/>
        <w:t>§ 4 </w:t>
      </w:r>
      <w:r w:rsidR="005B7A5C" w:rsidRPr="004676F5">
        <w:rPr>
          <w:lang w:val="de-DE"/>
        </w:rPr>
        <w:t>- </w:t>
      </w:r>
      <w:r w:rsidRPr="004676F5">
        <w:rPr>
          <w:lang w:val="de-DE"/>
        </w:rPr>
        <w:t>Der nach § 1 gewährte Schutz gilt nicht für:</w:t>
      </w:r>
    </w:p>
    <w:p w14:paraId="38A3612F" w14:textId="77777777" w:rsidR="004F61C6" w:rsidRPr="004676F5" w:rsidRDefault="004F61C6" w:rsidP="004F61C6">
      <w:pPr>
        <w:jc w:val="both"/>
        <w:rPr>
          <w:lang w:val="de-DE"/>
        </w:rPr>
      </w:pPr>
    </w:p>
    <w:p w14:paraId="6ED4226F" w14:textId="77777777" w:rsidR="004F61C6" w:rsidRPr="004676F5" w:rsidRDefault="004F61C6" w:rsidP="004F61C6">
      <w:pPr>
        <w:jc w:val="both"/>
        <w:rPr>
          <w:lang w:val="de-DE"/>
        </w:rPr>
      </w:pPr>
      <w:r w:rsidRPr="004676F5">
        <w:rPr>
          <w:lang w:val="de-DE"/>
        </w:rPr>
        <w:tab/>
        <w:t>1. das Setzen von Hyperlinks,</w:t>
      </w:r>
    </w:p>
    <w:p w14:paraId="5B39FEC6" w14:textId="77777777" w:rsidR="004F61C6" w:rsidRPr="004676F5" w:rsidRDefault="004F61C6" w:rsidP="004F61C6">
      <w:pPr>
        <w:jc w:val="both"/>
        <w:rPr>
          <w:lang w:val="de-DE"/>
        </w:rPr>
      </w:pPr>
    </w:p>
    <w:p w14:paraId="5AEFD4E9" w14:textId="77777777" w:rsidR="004F61C6" w:rsidRPr="004676F5" w:rsidRDefault="004F61C6" w:rsidP="004F61C6">
      <w:pPr>
        <w:jc w:val="both"/>
        <w:rPr>
          <w:lang w:val="de-DE"/>
        </w:rPr>
      </w:pPr>
      <w:r w:rsidRPr="004676F5">
        <w:rPr>
          <w:lang w:val="de-DE"/>
        </w:rPr>
        <w:tab/>
        <w:t>2. die Nutzung einzelner Wörter oder sehr kurzer Auszüge aus einer Presseveröffent</w:t>
      </w:r>
      <w:r w:rsidRPr="004676F5">
        <w:rPr>
          <w:lang w:val="de-DE"/>
        </w:rPr>
        <w:softHyphen/>
        <w:t>lichung,</w:t>
      </w:r>
    </w:p>
    <w:p w14:paraId="3DC7C676" w14:textId="77777777" w:rsidR="004F61C6" w:rsidRPr="004676F5" w:rsidRDefault="004F61C6" w:rsidP="004F61C6">
      <w:pPr>
        <w:jc w:val="both"/>
        <w:rPr>
          <w:lang w:val="de-DE"/>
        </w:rPr>
      </w:pPr>
    </w:p>
    <w:p w14:paraId="34157236" w14:textId="77777777" w:rsidR="004F61C6" w:rsidRPr="004676F5" w:rsidRDefault="004F61C6" w:rsidP="004F61C6">
      <w:pPr>
        <w:jc w:val="both"/>
        <w:rPr>
          <w:lang w:val="de-DE"/>
        </w:rPr>
      </w:pPr>
      <w:r w:rsidRPr="004676F5">
        <w:rPr>
          <w:lang w:val="de-DE"/>
        </w:rPr>
        <w:tab/>
        <w:t>3. die Nutzung von Werken oder Leistungen, deren Schutzdauer abgelaufen ist.</w:t>
      </w:r>
    </w:p>
    <w:p w14:paraId="35CB5730" w14:textId="77777777" w:rsidR="004F61C6" w:rsidRPr="004676F5" w:rsidRDefault="004F61C6" w:rsidP="004F61C6">
      <w:pPr>
        <w:jc w:val="both"/>
        <w:rPr>
          <w:lang w:val="de-DE"/>
        </w:rPr>
      </w:pPr>
    </w:p>
    <w:p w14:paraId="54DC908C" w14:textId="6115880E" w:rsidR="004F61C6" w:rsidRPr="004676F5" w:rsidRDefault="004F61C6" w:rsidP="004F61C6">
      <w:pPr>
        <w:jc w:val="both"/>
        <w:rPr>
          <w:lang w:val="de-DE"/>
        </w:rPr>
      </w:pPr>
      <w:r w:rsidRPr="004676F5">
        <w:rPr>
          <w:lang w:val="de-DE"/>
        </w:rPr>
        <w:tab/>
        <w:t>§ 5 </w:t>
      </w:r>
      <w:r w:rsidR="005B7A5C" w:rsidRPr="004676F5">
        <w:rPr>
          <w:lang w:val="de-DE"/>
        </w:rPr>
        <w:t>- </w:t>
      </w:r>
      <w:r w:rsidRPr="004676F5">
        <w:rPr>
          <w:lang w:val="de-DE"/>
        </w:rPr>
        <w:t>Außer bei Beweis des Gegenteils ist als Presseverleger anzusehen, wer durch Vermerk seines Namens oder eines ihn identifizierenden Kurzwortes auf der Presseveröffentlichung, auf einer Vervielfältigung der Presseveröffentlichung oder durch eine Mitteilung über diese Presseveröffentlichung an das Publikum als Presseverleger zu identifizieren ist.</w:t>
      </w:r>
    </w:p>
    <w:p w14:paraId="2CA228F9" w14:textId="77777777" w:rsidR="004F61C6" w:rsidRPr="004676F5" w:rsidRDefault="004F61C6" w:rsidP="004F61C6">
      <w:pPr>
        <w:jc w:val="both"/>
        <w:rPr>
          <w:lang w:val="de-DE"/>
        </w:rPr>
      </w:pPr>
    </w:p>
    <w:p w14:paraId="640A9153" w14:textId="427D5DDE" w:rsidR="004F61C6" w:rsidRPr="004676F5" w:rsidRDefault="004F61C6" w:rsidP="004F61C6">
      <w:pPr>
        <w:jc w:val="both"/>
        <w:rPr>
          <w:lang w:val="de-DE"/>
        </w:rPr>
      </w:pPr>
      <w:r w:rsidRPr="004676F5">
        <w:rPr>
          <w:lang w:val="de-DE"/>
        </w:rPr>
        <w:tab/>
        <w:t>§ 6 </w:t>
      </w:r>
      <w:r w:rsidR="005B7A5C" w:rsidRPr="004676F5">
        <w:rPr>
          <w:lang w:val="de-DE"/>
        </w:rPr>
        <w:t>- </w:t>
      </w:r>
      <w:r w:rsidRPr="004676F5">
        <w:rPr>
          <w:lang w:val="de-DE"/>
        </w:rPr>
        <w:t>Urheber der in einer Presseveröffentlichung enthaltenen Werke haben Anspruch auf einen angemessenen Anteil der Vergütung, die Presseverleger aus der Nutzung ihrer Presseveröffentlichungen durch Anbieter von Diensten der Informationsgesellschaft erhalten.</w:t>
      </w:r>
    </w:p>
    <w:p w14:paraId="04761830" w14:textId="77777777" w:rsidR="004F61C6" w:rsidRPr="004676F5" w:rsidRDefault="004F61C6" w:rsidP="004F61C6">
      <w:pPr>
        <w:jc w:val="both"/>
        <w:rPr>
          <w:lang w:val="de-DE"/>
        </w:rPr>
      </w:pPr>
    </w:p>
    <w:p w14:paraId="418AA6A7" w14:textId="77777777" w:rsidR="004F61C6" w:rsidRPr="004676F5" w:rsidRDefault="004F61C6" w:rsidP="004F61C6">
      <w:pPr>
        <w:jc w:val="both"/>
        <w:rPr>
          <w:lang w:val="de-DE"/>
        </w:rPr>
      </w:pPr>
      <w:r w:rsidRPr="004676F5">
        <w:rPr>
          <w:lang w:val="de-DE"/>
        </w:rPr>
        <w:tab/>
        <w:t>Der Anteil der in Absatz 1 erwähnten Vergütung, auf den Urheber Anspruch haben, ist nicht abtretbar.</w:t>
      </w:r>
    </w:p>
    <w:p w14:paraId="7F283DDD" w14:textId="77777777" w:rsidR="004F61C6" w:rsidRPr="004676F5" w:rsidRDefault="004F61C6" w:rsidP="004F61C6">
      <w:pPr>
        <w:jc w:val="both"/>
        <w:rPr>
          <w:lang w:val="de-DE"/>
        </w:rPr>
      </w:pPr>
    </w:p>
    <w:p w14:paraId="45DA4863" w14:textId="77777777" w:rsidR="004F61C6" w:rsidRPr="004676F5" w:rsidRDefault="004F61C6" w:rsidP="004F61C6">
      <w:pPr>
        <w:jc w:val="both"/>
        <w:rPr>
          <w:lang w:val="de-DE"/>
        </w:rPr>
      </w:pPr>
      <w:r w:rsidRPr="004676F5">
        <w:rPr>
          <w:lang w:val="de-DE"/>
        </w:rPr>
        <w:tab/>
        <w:t>Der in Absatz 1 erwähnte Anteil der Vergütung wird gemäß einer Kollektivverein</w:t>
      </w:r>
      <w:r w:rsidRPr="004676F5">
        <w:rPr>
          <w:lang w:val="de-DE"/>
        </w:rPr>
        <w:softHyphen/>
        <w:t>barung zwischen den Presseverlegern einerseits und den in Absatz 1 erwähnten Urhebern andererseits festgelegt.</w:t>
      </w:r>
    </w:p>
    <w:p w14:paraId="6217D69A" w14:textId="77777777" w:rsidR="004F61C6" w:rsidRPr="004676F5" w:rsidRDefault="004F61C6" w:rsidP="004F61C6">
      <w:pPr>
        <w:jc w:val="both"/>
        <w:rPr>
          <w:lang w:val="de-DE"/>
        </w:rPr>
      </w:pPr>
    </w:p>
    <w:p w14:paraId="4790CD94" w14:textId="77777777" w:rsidR="004F61C6" w:rsidRPr="004676F5" w:rsidRDefault="004F61C6" w:rsidP="004F61C6">
      <w:pPr>
        <w:jc w:val="both"/>
        <w:rPr>
          <w:lang w:val="de-DE"/>
        </w:rPr>
      </w:pPr>
      <w:r w:rsidRPr="004676F5">
        <w:rPr>
          <w:lang w:val="de-DE"/>
        </w:rPr>
        <w:tab/>
        <w:t>Die Wahrnehmung des Anspruchs auf einen angemessenen Anteil der Vergütung wie in Absatz 1 erwähnt kann nur von Verwertungsgesellschaften und/oder Organisationen für die kollektive Rechtewahrnehmung ausgeübt werden, die eine Niederlassung in Belgien haben.</w:t>
      </w:r>
    </w:p>
    <w:p w14:paraId="192B755E" w14:textId="77777777" w:rsidR="004F61C6" w:rsidRPr="004676F5" w:rsidRDefault="004F61C6" w:rsidP="004F61C6">
      <w:pPr>
        <w:jc w:val="both"/>
        <w:rPr>
          <w:lang w:val="de-DE"/>
        </w:rPr>
      </w:pPr>
    </w:p>
    <w:p w14:paraId="33425F61" w14:textId="77777777" w:rsidR="004F61C6" w:rsidRPr="004676F5" w:rsidRDefault="004F61C6" w:rsidP="004F61C6">
      <w:pPr>
        <w:jc w:val="both"/>
        <w:rPr>
          <w:lang w:val="de-DE"/>
        </w:rPr>
      </w:pPr>
      <w:r w:rsidRPr="004676F5">
        <w:rPr>
          <w:lang w:val="de-DE"/>
        </w:rPr>
        <w:tab/>
        <w:t>Der König kann gemäß den von Ihm festgelegten Bedingungen eine Verwertungs</w:t>
      </w:r>
      <w:r w:rsidRPr="004676F5">
        <w:rPr>
          <w:lang w:val="de-DE"/>
        </w:rPr>
        <w:softHyphen/>
        <w:t>gesellschaft, die alle Verwertungsgesellschaften und Organisationen für die kollektive Rechtewahrnehmung, die in Belgien den in Absatz 1 erwähnten Anspruch auf Vergütung verwalten, vertritt, mit dem Abschluss der in Absatz 3 erwähnten Kollektivvereinbarung und der Einnahme und Verteilung dieser Vergütung beauftragen.</w:t>
      </w:r>
    </w:p>
    <w:p w14:paraId="1451E9FA" w14:textId="77777777" w:rsidR="004F61C6" w:rsidRPr="004676F5" w:rsidRDefault="004F61C6" w:rsidP="004F61C6">
      <w:pPr>
        <w:jc w:val="both"/>
        <w:rPr>
          <w:lang w:val="de-DE"/>
        </w:rPr>
      </w:pPr>
    </w:p>
    <w:p w14:paraId="2589D837" w14:textId="7979ABEC" w:rsidR="004F61C6" w:rsidRPr="004676F5" w:rsidRDefault="004F61C6" w:rsidP="004F61C6">
      <w:pPr>
        <w:jc w:val="both"/>
        <w:rPr>
          <w:lang w:val="de-DE"/>
        </w:rPr>
      </w:pPr>
      <w:r w:rsidRPr="004676F5">
        <w:rPr>
          <w:lang w:val="de-DE"/>
        </w:rPr>
        <w:tab/>
        <w:t>§ 7 </w:t>
      </w:r>
      <w:r w:rsidR="005B7A5C" w:rsidRPr="004676F5">
        <w:rPr>
          <w:lang w:val="de-DE"/>
        </w:rPr>
        <w:t>- </w:t>
      </w:r>
      <w:r w:rsidRPr="004676F5">
        <w:rPr>
          <w:lang w:val="de-DE"/>
        </w:rPr>
        <w:t>Der Presseverleger stellt auf schriftlichen Antrag der in § 6 erwähnten Verwertungsgesellschaften oder Organisationen für die kollektive Rechtewahrnehmung aktuelle, einschlägige und umfassende Informationen über die Vergütung bereit, die der Presseverleger vom Anbieter von Diensten der Informationsgesellschaft erhält.</w:t>
      </w:r>
    </w:p>
    <w:p w14:paraId="343878E4" w14:textId="77777777" w:rsidR="004F61C6" w:rsidRPr="004676F5" w:rsidRDefault="004F61C6" w:rsidP="004F61C6">
      <w:pPr>
        <w:jc w:val="both"/>
        <w:rPr>
          <w:lang w:val="de-DE"/>
        </w:rPr>
      </w:pPr>
    </w:p>
    <w:p w14:paraId="7582A488" w14:textId="77777777" w:rsidR="004F61C6" w:rsidRPr="004676F5" w:rsidRDefault="004F61C6" w:rsidP="004F61C6">
      <w:pPr>
        <w:jc w:val="both"/>
        <w:rPr>
          <w:lang w:val="de-DE"/>
        </w:rPr>
      </w:pPr>
      <w:r w:rsidRPr="004676F5">
        <w:rPr>
          <w:lang w:val="de-DE"/>
        </w:rPr>
        <w:tab/>
        <w:t>Die Informationen werden innerhalb eines Monats ab dem Tag bereitgestellt, der auf die Notifizierung des entsprechenden schriftlichen Antrags der Verwertungsgesellschaft oder Organisation für die kollektive Rechtewahrnehmung folgt.</w:t>
      </w:r>
    </w:p>
    <w:p w14:paraId="2FEEF037" w14:textId="77777777" w:rsidR="004F61C6" w:rsidRPr="004676F5" w:rsidRDefault="004F61C6" w:rsidP="004F61C6">
      <w:pPr>
        <w:jc w:val="both"/>
        <w:rPr>
          <w:lang w:val="de-DE"/>
        </w:rPr>
      </w:pPr>
    </w:p>
    <w:p w14:paraId="7C823CBA" w14:textId="77777777" w:rsidR="004F61C6" w:rsidRPr="004676F5" w:rsidRDefault="004F61C6" w:rsidP="004F61C6">
      <w:pPr>
        <w:jc w:val="both"/>
        <w:rPr>
          <w:lang w:val="de-DE"/>
        </w:rPr>
      </w:pPr>
      <w:r w:rsidRPr="004676F5">
        <w:rPr>
          <w:lang w:val="de-DE"/>
        </w:rPr>
        <w:tab/>
        <w:t>Bereitgestellte Informationen werden unter keinen Umständen zu anderen Zwecken als zur Bewertung des in § 6 erwähnten angemessenen Anteils verwendet. Bereitgestellte Informationen werden streng vertraulich behandelt.</w:t>
      </w:r>
    </w:p>
    <w:p w14:paraId="2B60A81A" w14:textId="77777777" w:rsidR="004F61C6" w:rsidRPr="004676F5" w:rsidRDefault="004F61C6" w:rsidP="004F61C6">
      <w:pPr>
        <w:jc w:val="both"/>
        <w:rPr>
          <w:lang w:val="de-DE"/>
        </w:rPr>
      </w:pPr>
    </w:p>
    <w:p w14:paraId="361DC317" w14:textId="71B5DC2C" w:rsidR="004F61C6" w:rsidRPr="004676F5" w:rsidRDefault="004F61C6" w:rsidP="004F61C6">
      <w:pPr>
        <w:jc w:val="both"/>
        <w:rPr>
          <w:lang w:val="de-DE"/>
        </w:rPr>
      </w:pPr>
      <w:r w:rsidRPr="004676F5">
        <w:rPr>
          <w:lang w:val="de-DE"/>
        </w:rPr>
        <w:tab/>
        <w:t>§ 8 </w:t>
      </w:r>
      <w:r w:rsidR="005B7A5C" w:rsidRPr="004676F5">
        <w:rPr>
          <w:lang w:val="de-DE"/>
        </w:rPr>
        <w:t>- </w:t>
      </w:r>
      <w:r w:rsidRPr="004676F5">
        <w:rPr>
          <w:lang w:val="de-DE"/>
        </w:rPr>
        <w:t xml:space="preserve">Kommt es zu keiner Einigung über den angemessenen Anteil wie in § 6 erwähnt, können die Parteien einen Ausschuss heranziehen. Den Vorsitz dieses Ausschusses führt ein Vertreter des Ministers; er setzt sich aus Vertretern der Presseverleger und Vertretern der </w:t>
      </w:r>
      <w:r w:rsidRPr="004676F5">
        <w:rPr>
          <w:lang w:val="de-DE"/>
        </w:rPr>
        <w:lastRenderedPageBreak/>
        <w:t>Rechtsinhaber zusammen. Der Ausschuss legt den angemessenen Anteil der Vergütung wie in § 6 erwähnt fest. Der König legt zusätzliche Modalitäten zur Ausführung dieser Bestimmung fest. Der König kann die Vergütung der Mitglieder dieses Ausschusses festlegen.</w:t>
      </w:r>
    </w:p>
    <w:p w14:paraId="2ED2146F" w14:textId="77777777" w:rsidR="004F61C6" w:rsidRPr="004676F5" w:rsidRDefault="004F61C6" w:rsidP="004F61C6">
      <w:pPr>
        <w:jc w:val="both"/>
        <w:rPr>
          <w:lang w:val="de-DE"/>
        </w:rPr>
      </w:pPr>
    </w:p>
    <w:p w14:paraId="4C66C050" w14:textId="323C60CA" w:rsidR="004F61C6" w:rsidRPr="004676F5" w:rsidRDefault="004F61C6" w:rsidP="004F61C6">
      <w:pPr>
        <w:jc w:val="both"/>
        <w:rPr>
          <w:lang w:val="de-DE"/>
        </w:rPr>
      </w:pPr>
      <w:r w:rsidRPr="004676F5">
        <w:rPr>
          <w:lang w:val="de-DE"/>
        </w:rPr>
        <w:tab/>
        <w:t>Der in Absatz 1 erwähnte Ausschuss kann nur herangezogen werden, wenn nachgewiesen wird, dass die Parteien zumindest einen Vermittlungsversuch wie in den Artikeln 1724 bis 1737 des Gerichtsgesetzbuches erwähnt unternommen haben.]</w:t>
      </w:r>
    </w:p>
    <w:p w14:paraId="00B303A6" w14:textId="77777777" w:rsidR="004F61C6" w:rsidRPr="004676F5" w:rsidRDefault="004F61C6" w:rsidP="004F61C6">
      <w:pPr>
        <w:jc w:val="both"/>
        <w:rPr>
          <w:lang w:val="de-DE"/>
        </w:rPr>
      </w:pPr>
    </w:p>
    <w:p w14:paraId="6CC1CAE4" w14:textId="76B673DC" w:rsidR="004F61C6" w:rsidRPr="004676F5" w:rsidRDefault="004F61C6" w:rsidP="004F61C6">
      <w:pPr>
        <w:jc w:val="both"/>
        <w:rPr>
          <w:i/>
          <w:iCs/>
          <w:lang w:val="de-DE"/>
        </w:rPr>
      </w:pPr>
      <w:r w:rsidRPr="004676F5">
        <w:rPr>
          <w:i/>
          <w:iCs/>
          <w:lang w:val="de-DE"/>
        </w:rPr>
        <w:t>[Art. </w:t>
      </w:r>
      <w:r w:rsidR="008D6C15" w:rsidRPr="004676F5">
        <w:rPr>
          <w:i/>
          <w:iCs/>
          <w:lang w:val="de-DE"/>
        </w:rPr>
        <w:t>XI.</w:t>
      </w:r>
      <w:r w:rsidRPr="004676F5">
        <w:rPr>
          <w:i/>
          <w:iCs/>
          <w:lang w:val="de-DE"/>
        </w:rPr>
        <w:t>216/2 eingefügt durch Art. 39 des G. vom 19. Juni 2022 (B.S. vom 1. August 2022)]</w:t>
      </w:r>
    </w:p>
    <w:p w14:paraId="006A152F" w14:textId="77777777" w:rsidR="004F61C6" w:rsidRPr="004676F5" w:rsidRDefault="004F61C6" w:rsidP="004F61C6">
      <w:pPr>
        <w:jc w:val="both"/>
        <w:rPr>
          <w:lang w:val="de-DE"/>
        </w:rPr>
      </w:pPr>
    </w:p>
    <w:p w14:paraId="1CEC9CAC" w14:textId="77777777" w:rsidR="004F61C6" w:rsidRPr="004676F5" w:rsidRDefault="004F61C6" w:rsidP="004F61C6">
      <w:pPr>
        <w:jc w:val="both"/>
        <w:rPr>
          <w:lang w:val="de-DE"/>
        </w:rPr>
      </w:pPr>
    </w:p>
    <w:p w14:paraId="64F339C6" w14:textId="0A090AFA" w:rsidR="004F61C6" w:rsidRPr="004676F5" w:rsidRDefault="004F61C6" w:rsidP="004F61C6">
      <w:pPr>
        <w:jc w:val="both"/>
        <w:rPr>
          <w:lang w:val="de-DE"/>
        </w:rPr>
      </w:pPr>
      <w:r w:rsidRPr="004676F5">
        <w:rPr>
          <w:lang w:val="de-DE"/>
        </w:rPr>
        <w:tab/>
        <w:t>[</w:t>
      </w:r>
      <w:r w:rsidRPr="004676F5">
        <w:rPr>
          <w:b/>
          <w:bCs/>
          <w:lang w:val="de-DE"/>
        </w:rPr>
        <w:t>Art. XI.216/3</w:t>
      </w:r>
      <w:r w:rsidRPr="004676F5">
        <w:rPr>
          <w:lang w:val="de-DE"/>
        </w:rPr>
        <w:t> </w:t>
      </w:r>
      <w:r w:rsidR="005B7A5C" w:rsidRPr="004676F5">
        <w:rPr>
          <w:lang w:val="de-DE"/>
        </w:rPr>
        <w:t>- </w:t>
      </w:r>
      <w:r w:rsidRPr="004676F5">
        <w:rPr>
          <w:lang w:val="de-DE"/>
        </w:rPr>
        <w:t>Die in Artikel XI.216/2 § 1 vorgesehenen Rechte erlöschen zwei Jahre nach der Veröffentlichung der Presseveröffentlichung.</w:t>
      </w:r>
    </w:p>
    <w:p w14:paraId="61FC4C9A" w14:textId="77777777" w:rsidR="004F61C6" w:rsidRPr="004676F5" w:rsidRDefault="004F61C6" w:rsidP="004F61C6">
      <w:pPr>
        <w:jc w:val="both"/>
        <w:rPr>
          <w:lang w:val="de-DE"/>
        </w:rPr>
      </w:pPr>
    </w:p>
    <w:p w14:paraId="35AF5E8D" w14:textId="27138A76" w:rsidR="004F61C6" w:rsidRPr="004676F5" w:rsidRDefault="004F61C6" w:rsidP="004F61C6">
      <w:pPr>
        <w:jc w:val="both"/>
        <w:rPr>
          <w:lang w:val="de-DE"/>
        </w:rPr>
      </w:pPr>
      <w:r w:rsidRPr="004676F5">
        <w:rPr>
          <w:lang w:val="de-DE"/>
        </w:rPr>
        <w:tab/>
        <w:t>Die Berechnung dieser Zeitspanne erfolgt ab dem 1. Januar des auf den Tag der Veröffentlichung der Presseveröffentlichung folgenden Jahres.]</w:t>
      </w:r>
    </w:p>
    <w:p w14:paraId="27BE9620" w14:textId="77777777" w:rsidR="004F61C6" w:rsidRPr="004676F5" w:rsidRDefault="004F61C6" w:rsidP="004F61C6">
      <w:pPr>
        <w:jc w:val="both"/>
        <w:rPr>
          <w:lang w:val="de-DE"/>
        </w:rPr>
      </w:pPr>
    </w:p>
    <w:p w14:paraId="0D4C8A44" w14:textId="1754D0D4" w:rsidR="004F61C6" w:rsidRPr="004676F5" w:rsidRDefault="004F61C6" w:rsidP="004F61C6">
      <w:pPr>
        <w:jc w:val="both"/>
        <w:rPr>
          <w:i/>
          <w:iCs/>
          <w:lang w:val="de-DE"/>
        </w:rPr>
      </w:pPr>
      <w:r w:rsidRPr="004676F5">
        <w:rPr>
          <w:i/>
          <w:iCs/>
          <w:lang w:val="de-DE"/>
        </w:rPr>
        <w:t>[Art. </w:t>
      </w:r>
      <w:r w:rsidR="008D6C15" w:rsidRPr="004676F5">
        <w:rPr>
          <w:i/>
          <w:iCs/>
          <w:lang w:val="de-DE"/>
        </w:rPr>
        <w:t>XI.</w:t>
      </w:r>
      <w:r w:rsidRPr="004676F5">
        <w:rPr>
          <w:i/>
          <w:iCs/>
          <w:lang w:val="de-DE"/>
        </w:rPr>
        <w:t>216/3 eingefügt durch Art. 40 des G. vom 19. Juni 2022 (B.S. vom 1. August 2022)]</w:t>
      </w:r>
    </w:p>
    <w:p w14:paraId="5DD57289" w14:textId="77777777" w:rsidR="004F61C6" w:rsidRPr="004676F5" w:rsidRDefault="004F61C6" w:rsidP="004F61C6">
      <w:pPr>
        <w:jc w:val="both"/>
        <w:rPr>
          <w:lang w:val="de-DE"/>
        </w:rPr>
      </w:pPr>
    </w:p>
    <w:p w14:paraId="260C6D5E" w14:textId="77777777" w:rsidR="004F61C6" w:rsidRPr="004676F5" w:rsidRDefault="004F61C6" w:rsidP="001527B1">
      <w:pPr>
        <w:jc w:val="center"/>
        <w:rPr>
          <w:i/>
          <w:lang w:val="de-DE"/>
        </w:rPr>
      </w:pPr>
    </w:p>
    <w:p w14:paraId="7CCFDDAF" w14:textId="72DFE794" w:rsidR="001527B1" w:rsidRPr="004676F5" w:rsidRDefault="001527B1" w:rsidP="001527B1">
      <w:pPr>
        <w:jc w:val="center"/>
        <w:rPr>
          <w:lang w:val="de-DE"/>
        </w:rPr>
      </w:pPr>
      <w:r w:rsidRPr="004676F5">
        <w:rPr>
          <w:i/>
          <w:lang w:val="de-DE"/>
        </w:rPr>
        <w:t>Abschnitt 7 </w:t>
      </w:r>
      <w:r w:rsidR="005B7A5C" w:rsidRPr="004676F5">
        <w:rPr>
          <w:lang w:val="de-DE"/>
        </w:rPr>
        <w:t>- </w:t>
      </w:r>
      <w:r w:rsidR="004F61C6" w:rsidRPr="004676F5">
        <w:rPr>
          <w:lang w:val="de-DE"/>
        </w:rPr>
        <w:t>[</w:t>
      </w:r>
      <w:r w:rsidRPr="004676F5">
        <w:rPr>
          <w:lang w:val="de-DE"/>
        </w:rPr>
        <w:t>Gemeinsame Bestimmungen für die Abschnitte 1 bis 6</w:t>
      </w:r>
      <w:r w:rsidR="004F61C6" w:rsidRPr="004676F5">
        <w:rPr>
          <w:lang w:val="de-DE"/>
        </w:rPr>
        <w:t>/1]</w:t>
      </w:r>
    </w:p>
    <w:p w14:paraId="34EF7AAC" w14:textId="77777777" w:rsidR="004F61C6" w:rsidRPr="004676F5" w:rsidRDefault="004F61C6" w:rsidP="001527B1">
      <w:pPr>
        <w:jc w:val="center"/>
        <w:rPr>
          <w:lang w:val="de-DE"/>
        </w:rPr>
      </w:pPr>
    </w:p>
    <w:p w14:paraId="16C0AE6A" w14:textId="04FC1232" w:rsidR="004F61C6" w:rsidRPr="004676F5" w:rsidRDefault="004F61C6" w:rsidP="004F61C6">
      <w:pPr>
        <w:jc w:val="both"/>
        <w:rPr>
          <w:i/>
          <w:iCs/>
          <w:lang w:val="de-DE"/>
        </w:rPr>
      </w:pPr>
      <w:r w:rsidRPr="004676F5">
        <w:rPr>
          <w:i/>
          <w:iCs/>
          <w:lang w:val="de-DE"/>
        </w:rPr>
        <w:t>[Überschrift von Abschnitt 7 ersetzt durch Art. 41 des G. vom 19. Juni 2022 (B.S. vom 1. August 2022)]</w:t>
      </w:r>
    </w:p>
    <w:p w14:paraId="4D788F10" w14:textId="77777777" w:rsidR="001527B1" w:rsidRPr="004676F5" w:rsidRDefault="001527B1" w:rsidP="001527B1">
      <w:pPr>
        <w:jc w:val="both"/>
        <w:rPr>
          <w:lang w:val="de-DE"/>
        </w:rPr>
      </w:pPr>
    </w:p>
    <w:p w14:paraId="251548D5" w14:textId="77777777" w:rsidR="00C25F31" w:rsidRPr="004676F5" w:rsidRDefault="00C25F31" w:rsidP="001527B1">
      <w:pPr>
        <w:jc w:val="both"/>
        <w:rPr>
          <w:lang w:val="de-DE"/>
        </w:rPr>
      </w:pPr>
    </w:p>
    <w:p w14:paraId="3C97DC0F" w14:textId="079A184C" w:rsidR="00C25F31" w:rsidRPr="004676F5" w:rsidRDefault="00C25F31" w:rsidP="00C25F31">
      <w:pPr>
        <w:jc w:val="center"/>
        <w:rPr>
          <w:lang w:val="de-DE"/>
        </w:rPr>
      </w:pPr>
      <w:r w:rsidRPr="004676F5">
        <w:rPr>
          <w:lang w:val="de-DE"/>
        </w:rPr>
        <w:t>[Unterabschnitt 1 </w:t>
      </w:r>
      <w:r w:rsidR="005B7A5C" w:rsidRPr="004676F5">
        <w:rPr>
          <w:lang w:val="de-DE"/>
        </w:rPr>
        <w:t>- </w:t>
      </w:r>
      <w:r w:rsidRPr="004676F5">
        <w:rPr>
          <w:lang w:val="de-DE"/>
        </w:rPr>
        <w:t>Allgemeine Ausnahmen]</w:t>
      </w:r>
    </w:p>
    <w:p w14:paraId="28E20CA2" w14:textId="77777777" w:rsidR="00355502" w:rsidRPr="004676F5" w:rsidRDefault="00355502" w:rsidP="001527B1">
      <w:pPr>
        <w:jc w:val="both"/>
        <w:rPr>
          <w:lang w:val="de-DE"/>
        </w:rPr>
      </w:pPr>
    </w:p>
    <w:p w14:paraId="030B6CE2" w14:textId="17252D35" w:rsidR="00C25F31" w:rsidRPr="004676F5" w:rsidRDefault="00C25F31" w:rsidP="00C25F31">
      <w:pPr>
        <w:jc w:val="both"/>
        <w:rPr>
          <w:i/>
          <w:lang w:val="de-DE"/>
        </w:rPr>
      </w:pPr>
      <w:r w:rsidRPr="004676F5">
        <w:rPr>
          <w:i/>
          <w:lang w:val="de-DE"/>
        </w:rPr>
        <w:t xml:space="preserve">[Unterteilung Unterabschnitt 1 eingefügt durch </w:t>
      </w:r>
      <w:r w:rsidR="00BE0A56" w:rsidRPr="004676F5">
        <w:rPr>
          <w:i/>
          <w:lang w:val="de-DE"/>
        </w:rPr>
        <w:t>Art. </w:t>
      </w:r>
      <w:r w:rsidRPr="004676F5">
        <w:rPr>
          <w:i/>
          <w:lang w:val="de-DE"/>
        </w:rPr>
        <w:t>14 des G. vom 22. Dezember 2016 (B.S. vom 29. Dezember 2016)]</w:t>
      </w:r>
    </w:p>
    <w:p w14:paraId="685CDF42" w14:textId="77777777" w:rsidR="00C25F31" w:rsidRPr="004676F5" w:rsidRDefault="00C25F31" w:rsidP="001527B1">
      <w:pPr>
        <w:jc w:val="both"/>
        <w:rPr>
          <w:lang w:val="de-DE"/>
        </w:rPr>
      </w:pPr>
    </w:p>
    <w:p w14:paraId="4DEDD9EB" w14:textId="77777777" w:rsidR="00C25F31" w:rsidRPr="004676F5" w:rsidRDefault="00C25F31" w:rsidP="001527B1">
      <w:pPr>
        <w:jc w:val="both"/>
        <w:rPr>
          <w:lang w:val="de-DE"/>
        </w:rPr>
      </w:pPr>
    </w:p>
    <w:p w14:paraId="38CDEF47" w14:textId="287C8159" w:rsidR="001527B1" w:rsidRPr="004676F5" w:rsidRDefault="00BE0A56" w:rsidP="001527B1">
      <w:pPr>
        <w:ind w:firstLine="708"/>
        <w:jc w:val="both"/>
        <w:rPr>
          <w:lang w:val="de-DE"/>
        </w:rPr>
      </w:pPr>
      <w:r w:rsidRPr="004676F5">
        <w:rPr>
          <w:b/>
          <w:lang w:val="de-DE"/>
        </w:rPr>
        <w:t>Art. </w:t>
      </w:r>
      <w:r w:rsidR="001527B1" w:rsidRPr="004676F5">
        <w:rPr>
          <w:b/>
          <w:lang w:val="de-DE"/>
        </w:rPr>
        <w:t>XI.217</w:t>
      </w:r>
      <w:r w:rsidR="001527B1" w:rsidRPr="004676F5">
        <w:rPr>
          <w:lang w:val="de-DE"/>
        </w:rPr>
        <w:t> </w:t>
      </w:r>
      <w:r w:rsidR="005B7A5C" w:rsidRPr="004676F5">
        <w:rPr>
          <w:lang w:val="de-DE"/>
        </w:rPr>
        <w:t>- </w:t>
      </w:r>
      <w:r w:rsidR="00B71A00" w:rsidRPr="004676F5">
        <w:rPr>
          <w:lang w:val="de-DE"/>
        </w:rPr>
        <w:t>[Die Artikel XI.205, XI.209, XI.213, XI.215 und XI.216/2]</w:t>
      </w:r>
      <w:r w:rsidR="001527B1" w:rsidRPr="004676F5">
        <w:rPr>
          <w:lang w:val="de-DE"/>
        </w:rPr>
        <w:t xml:space="preserve"> kommen nicht zur Anwendung, wenn die in diesen Bestimmungen erwähnten Handlungen zu folgenden Zweckbestimmungen erfolgen:</w:t>
      </w:r>
    </w:p>
    <w:p w14:paraId="4F6147A4" w14:textId="77777777" w:rsidR="001527B1" w:rsidRPr="004676F5" w:rsidRDefault="001527B1" w:rsidP="001527B1">
      <w:pPr>
        <w:ind w:firstLine="708"/>
        <w:jc w:val="both"/>
        <w:rPr>
          <w:lang w:val="de-DE"/>
        </w:rPr>
      </w:pPr>
    </w:p>
    <w:p w14:paraId="6206380A" w14:textId="77777777" w:rsidR="001527B1" w:rsidRPr="004676F5" w:rsidRDefault="001527B1" w:rsidP="001527B1">
      <w:pPr>
        <w:ind w:firstLine="708"/>
        <w:jc w:val="both"/>
        <w:rPr>
          <w:lang w:val="de-DE"/>
        </w:rPr>
      </w:pPr>
      <w:r w:rsidRPr="004676F5">
        <w:rPr>
          <w:lang w:val="de-DE"/>
        </w:rPr>
        <w:t>1. Zitate aus Leistungen zu Zwecken wie Kritik, Polemik oder Rezension</w:t>
      </w:r>
      <w:r w:rsidR="00C25F31" w:rsidRPr="004676F5">
        <w:rPr>
          <w:lang w:val="de-DE"/>
        </w:rPr>
        <w:t xml:space="preserve"> [...]</w:t>
      </w:r>
      <w:r w:rsidRPr="004676F5">
        <w:rPr>
          <w:lang w:val="de-DE"/>
        </w:rPr>
        <w:t>, sofern die Nutzung den anständigen Berufsgepflogenheiten entspricht und durch den besonderen Zweck gerechtfertigt ist,</w:t>
      </w:r>
    </w:p>
    <w:p w14:paraId="23A0D331" w14:textId="77777777" w:rsidR="001527B1" w:rsidRPr="004676F5" w:rsidRDefault="001527B1" w:rsidP="001527B1">
      <w:pPr>
        <w:ind w:firstLine="708"/>
        <w:jc w:val="both"/>
        <w:rPr>
          <w:lang w:val="de-DE"/>
        </w:rPr>
      </w:pPr>
    </w:p>
    <w:p w14:paraId="6BD2C66E" w14:textId="77777777" w:rsidR="001527B1" w:rsidRPr="004676F5" w:rsidRDefault="001527B1" w:rsidP="001527B1">
      <w:pPr>
        <w:ind w:firstLine="708"/>
        <w:jc w:val="both"/>
        <w:rPr>
          <w:lang w:val="de-DE"/>
        </w:rPr>
      </w:pPr>
      <w:r w:rsidRPr="004676F5">
        <w:rPr>
          <w:lang w:val="de-DE"/>
        </w:rPr>
        <w:t>2. Aufzeichnung, Vervielfältigung und öffentliche Wiedergabe zu Informations</w:t>
      </w:r>
      <w:r w:rsidRPr="004676F5">
        <w:rPr>
          <w:lang w:val="de-DE"/>
        </w:rPr>
        <w:softHyphen/>
        <w:t>zwecken von kurzen Bruchstücken aus Leistungen der in den Abschnitten 2 bis 6 des vorliegenden Kapitels erwähnten Inhaber verwandter Schutzrechte anlässlich der Bericht</w:t>
      </w:r>
      <w:r w:rsidRPr="004676F5">
        <w:rPr>
          <w:lang w:val="de-DE"/>
        </w:rPr>
        <w:softHyphen/>
        <w:t>erstattung über Tagesereignisse,</w:t>
      </w:r>
    </w:p>
    <w:p w14:paraId="10135CAE" w14:textId="77777777" w:rsidR="001527B1" w:rsidRPr="004676F5" w:rsidRDefault="001527B1" w:rsidP="001527B1">
      <w:pPr>
        <w:ind w:firstLine="708"/>
        <w:jc w:val="both"/>
        <w:rPr>
          <w:lang w:val="de-DE"/>
        </w:rPr>
      </w:pPr>
    </w:p>
    <w:p w14:paraId="51D73648" w14:textId="7E10CFF2" w:rsidR="001527B1" w:rsidRPr="004676F5" w:rsidRDefault="001527B1" w:rsidP="001527B1">
      <w:pPr>
        <w:ind w:firstLine="708"/>
        <w:jc w:val="both"/>
        <w:rPr>
          <w:lang w:val="de-DE"/>
        </w:rPr>
      </w:pPr>
      <w:r w:rsidRPr="004676F5">
        <w:rPr>
          <w:lang w:val="de-DE"/>
        </w:rPr>
        <w:t>3. </w:t>
      </w:r>
      <w:r w:rsidR="00B71A00" w:rsidRPr="004676F5">
        <w:rPr>
          <w:lang w:val="de-DE"/>
        </w:rPr>
        <w:t>[...]</w:t>
      </w:r>
    </w:p>
    <w:p w14:paraId="484A5567" w14:textId="77777777" w:rsidR="001527B1" w:rsidRPr="004676F5" w:rsidRDefault="001527B1" w:rsidP="001527B1">
      <w:pPr>
        <w:ind w:firstLine="708"/>
        <w:jc w:val="both"/>
        <w:rPr>
          <w:lang w:val="de-DE"/>
        </w:rPr>
      </w:pPr>
    </w:p>
    <w:p w14:paraId="66BB23D0" w14:textId="77777777" w:rsidR="001527B1" w:rsidRPr="004676F5" w:rsidRDefault="001527B1" w:rsidP="001527B1">
      <w:pPr>
        <w:ind w:firstLine="708"/>
        <w:jc w:val="both"/>
        <w:rPr>
          <w:lang w:val="de-DE"/>
        </w:rPr>
      </w:pPr>
      <w:r w:rsidRPr="004676F5">
        <w:rPr>
          <w:lang w:val="de-DE"/>
        </w:rPr>
        <w:t>4. </w:t>
      </w:r>
      <w:r w:rsidR="00C25F31" w:rsidRPr="004676F5">
        <w:rPr>
          <w:lang w:val="de-DE"/>
        </w:rPr>
        <w:t>[...]</w:t>
      </w:r>
    </w:p>
    <w:p w14:paraId="3459C2C5" w14:textId="77777777" w:rsidR="001527B1" w:rsidRPr="004676F5" w:rsidRDefault="001527B1" w:rsidP="001527B1">
      <w:pPr>
        <w:ind w:firstLine="708"/>
        <w:jc w:val="both"/>
        <w:rPr>
          <w:lang w:val="de-DE"/>
        </w:rPr>
      </w:pPr>
    </w:p>
    <w:p w14:paraId="7291E218" w14:textId="77777777" w:rsidR="001527B1" w:rsidRPr="004676F5" w:rsidRDefault="001527B1" w:rsidP="001527B1">
      <w:pPr>
        <w:ind w:firstLine="708"/>
        <w:jc w:val="both"/>
        <w:rPr>
          <w:lang w:val="de-DE"/>
        </w:rPr>
      </w:pPr>
      <w:r w:rsidRPr="004676F5">
        <w:rPr>
          <w:lang w:val="de-DE"/>
        </w:rPr>
        <w:t>5. </w:t>
      </w:r>
      <w:r w:rsidR="00C25F31" w:rsidRPr="004676F5">
        <w:rPr>
          <w:lang w:val="de-DE"/>
        </w:rPr>
        <w:t>[...]</w:t>
      </w:r>
    </w:p>
    <w:p w14:paraId="619BAD73" w14:textId="77777777" w:rsidR="001527B1" w:rsidRPr="004676F5" w:rsidRDefault="001527B1" w:rsidP="001527B1">
      <w:pPr>
        <w:ind w:firstLine="708"/>
        <w:jc w:val="both"/>
        <w:rPr>
          <w:lang w:val="de-DE"/>
        </w:rPr>
      </w:pPr>
    </w:p>
    <w:p w14:paraId="2C5A0300" w14:textId="77777777" w:rsidR="001527B1" w:rsidRPr="004676F5" w:rsidRDefault="001527B1" w:rsidP="001527B1">
      <w:pPr>
        <w:ind w:firstLine="708"/>
        <w:jc w:val="both"/>
        <w:rPr>
          <w:lang w:val="de-DE"/>
        </w:rPr>
      </w:pPr>
      <w:r w:rsidRPr="004676F5">
        <w:rPr>
          <w:lang w:val="de-DE"/>
        </w:rPr>
        <w:t>6. </w:t>
      </w:r>
      <w:r w:rsidR="00C25F31" w:rsidRPr="004676F5">
        <w:rPr>
          <w:lang w:val="de-DE"/>
        </w:rPr>
        <w:t>[...]</w:t>
      </w:r>
    </w:p>
    <w:p w14:paraId="1431D1E6" w14:textId="77777777" w:rsidR="001527B1" w:rsidRPr="004676F5" w:rsidRDefault="001527B1" w:rsidP="001527B1">
      <w:pPr>
        <w:ind w:firstLine="708"/>
        <w:jc w:val="both"/>
        <w:rPr>
          <w:lang w:val="de-DE"/>
        </w:rPr>
      </w:pPr>
    </w:p>
    <w:p w14:paraId="564E0F30" w14:textId="0FF0E7BC" w:rsidR="001527B1" w:rsidRPr="004676F5" w:rsidRDefault="001527B1" w:rsidP="001527B1">
      <w:pPr>
        <w:ind w:firstLine="708"/>
        <w:jc w:val="both"/>
        <w:rPr>
          <w:lang w:val="de-DE"/>
        </w:rPr>
      </w:pPr>
      <w:r w:rsidRPr="004676F5">
        <w:rPr>
          <w:lang w:val="de-DE"/>
        </w:rPr>
        <w:t>7. </w:t>
      </w:r>
      <w:r w:rsidR="00B04019" w:rsidRPr="004676F5">
        <w:rPr>
          <w:lang w:val="de-DE"/>
        </w:rPr>
        <w:t>[Vervielfältigung von Leistungen, die von einer natürlichen Person für den privaten Gebrauch und zu Zwecken, die weder direkt noch indirekt kommerziell sind, vorgenommen wird,]</w:t>
      </w:r>
    </w:p>
    <w:p w14:paraId="0BA98BD8" w14:textId="77777777" w:rsidR="001527B1" w:rsidRPr="004676F5" w:rsidRDefault="001527B1" w:rsidP="001527B1">
      <w:pPr>
        <w:ind w:firstLine="708"/>
        <w:jc w:val="both"/>
        <w:rPr>
          <w:lang w:val="de-DE"/>
        </w:rPr>
      </w:pPr>
    </w:p>
    <w:p w14:paraId="02668410" w14:textId="77777777" w:rsidR="001527B1" w:rsidRPr="004676F5" w:rsidRDefault="001527B1" w:rsidP="001527B1">
      <w:pPr>
        <w:ind w:firstLine="708"/>
        <w:jc w:val="both"/>
        <w:rPr>
          <w:lang w:val="de-DE"/>
        </w:rPr>
      </w:pPr>
      <w:r w:rsidRPr="004676F5">
        <w:rPr>
          <w:lang w:val="de-DE"/>
        </w:rPr>
        <w:t>8. vorübergehende Vervielfältigungshandlungen, die flüchtig oder begleitend sind und einen integralen und wesentlichen Teil eines technischen Verfahrens darstellen und deren alleiniger Zweck es ist,</w:t>
      </w:r>
    </w:p>
    <w:p w14:paraId="31E4FBD5" w14:textId="77777777" w:rsidR="001527B1" w:rsidRPr="004676F5" w:rsidRDefault="001527B1" w:rsidP="001527B1">
      <w:pPr>
        <w:ind w:firstLine="708"/>
        <w:jc w:val="both"/>
        <w:rPr>
          <w:lang w:val="de-DE"/>
        </w:rPr>
      </w:pPr>
    </w:p>
    <w:p w14:paraId="389DDFB1" w14:textId="49D20CDF" w:rsidR="001527B1" w:rsidRPr="004676F5" w:rsidRDefault="005B7A5C" w:rsidP="001527B1">
      <w:pPr>
        <w:ind w:firstLine="708"/>
        <w:jc w:val="both"/>
        <w:rPr>
          <w:lang w:val="de-DE"/>
        </w:rPr>
      </w:pPr>
      <w:r w:rsidRPr="004676F5">
        <w:rPr>
          <w:lang w:val="de-DE"/>
        </w:rPr>
        <w:t>- </w:t>
      </w:r>
      <w:r w:rsidR="001527B1" w:rsidRPr="004676F5">
        <w:rPr>
          <w:lang w:val="de-DE"/>
        </w:rPr>
        <w:t>eine Übertragung in einem Netz zwischen Dritten durch einen Vermittler oder</w:t>
      </w:r>
    </w:p>
    <w:p w14:paraId="1B9B5475" w14:textId="77777777" w:rsidR="001527B1" w:rsidRPr="004676F5" w:rsidRDefault="001527B1" w:rsidP="001527B1">
      <w:pPr>
        <w:ind w:firstLine="708"/>
        <w:jc w:val="both"/>
        <w:rPr>
          <w:lang w:val="de-DE"/>
        </w:rPr>
      </w:pPr>
    </w:p>
    <w:p w14:paraId="3103C719" w14:textId="58961D71" w:rsidR="001527B1" w:rsidRPr="004676F5" w:rsidRDefault="005B7A5C" w:rsidP="001527B1">
      <w:pPr>
        <w:ind w:firstLine="708"/>
        <w:jc w:val="both"/>
        <w:rPr>
          <w:lang w:val="de-DE"/>
        </w:rPr>
      </w:pPr>
      <w:r w:rsidRPr="004676F5">
        <w:rPr>
          <w:lang w:val="de-DE"/>
        </w:rPr>
        <w:t>- </w:t>
      </w:r>
      <w:r w:rsidR="001527B1" w:rsidRPr="004676F5">
        <w:rPr>
          <w:lang w:val="de-DE"/>
        </w:rPr>
        <w:t>eine rechtmäßige Benutzung einer Leistung zu ermöglichen,</w:t>
      </w:r>
    </w:p>
    <w:p w14:paraId="78F9E591" w14:textId="77777777" w:rsidR="001527B1" w:rsidRPr="004676F5" w:rsidRDefault="001527B1" w:rsidP="001527B1">
      <w:pPr>
        <w:ind w:firstLine="708"/>
        <w:jc w:val="both"/>
        <w:rPr>
          <w:lang w:val="de-DE"/>
        </w:rPr>
      </w:pPr>
    </w:p>
    <w:p w14:paraId="25E8E390" w14:textId="77777777" w:rsidR="001527B1" w:rsidRPr="004676F5" w:rsidRDefault="001527B1" w:rsidP="001527B1">
      <w:pPr>
        <w:ind w:firstLine="708"/>
        <w:jc w:val="both"/>
        <w:rPr>
          <w:lang w:val="de-DE"/>
        </w:rPr>
      </w:pPr>
      <w:r w:rsidRPr="004676F5">
        <w:rPr>
          <w:lang w:val="de-DE"/>
        </w:rPr>
        <w:t>und die keine eigenständige wirtschaftliche Bedeutung haben,</w:t>
      </w:r>
    </w:p>
    <w:p w14:paraId="726ED6C3" w14:textId="77777777" w:rsidR="001527B1" w:rsidRPr="004676F5" w:rsidRDefault="001527B1" w:rsidP="001527B1">
      <w:pPr>
        <w:ind w:firstLine="708"/>
        <w:jc w:val="both"/>
        <w:rPr>
          <w:lang w:val="de-DE"/>
        </w:rPr>
      </w:pPr>
    </w:p>
    <w:p w14:paraId="2131F3AC" w14:textId="77777777" w:rsidR="001527B1" w:rsidRPr="004676F5" w:rsidRDefault="001527B1" w:rsidP="001527B1">
      <w:pPr>
        <w:ind w:firstLine="708"/>
        <w:jc w:val="both"/>
        <w:rPr>
          <w:lang w:val="de-DE"/>
        </w:rPr>
      </w:pPr>
      <w:r w:rsidRPr="004676F5">
        <w:rPr>
          <w:lang w:val="de-DE"/>
        </w:rPr>
        <w:t>9. Karikatur, Parodie oder Pasticcio unter Berücksichtigung der anständigen Gepflogen</w:t>
      </w:r>
      <w:r w:rsidRPr="004676F5">
        <w:rPr>
          <w:lang w:val="de-DE"/>
        </w:rPr>
        <w:softHyphen/>
        <w:t>heiten,</w:t>
      </w:r>
    </w:p>
    <w:p w14:paraId="145DD8A4" w14:textId="77777777" w:rsidR="001527B1" w:rsidRPr="004676F5" w:rsidRDefault="001527B1" w:rsidP="001527B1">
      <w:pPr>
        <w:ind w:firstLine="708"/>
        <w:jc w:val="both"/>
        <w:rPr>
          <w:lang w:val="de-DE"/>
        </w:rPr>
      </w:pPr>
    </w:p>
    <w:p w14:paraId="6F4CC62B" w14:textId="77777777" w:rsidR="001527B1" w:rsidRPr="004676F5" w:rsidRDefault="001527B1" w:rsidP="001527B1">
      <w:pPr>
        <w:ind w:firstLine="708"/>
        <w:jc w:val="both"/>
        <w:rPr>
          <w:lang w:val="de-DE"/>
        </w:rPr>
      </w:pPr>
      <w:r w:rsidRPr="004676F5">
        <w:rPr>
          <w:lang w:val="de-DE"/>
        </w:rPr>
        <w:t>10. </w:t>
      </w:r>
      <w:r w:rsidR="00C25F31" w:rsidRPr="004676F5">
        <w:rPr>
          <w:lang w:val="de-DE"/>
        </w:rPr>
        <w:t>[...]</w:t>
      </w:r>
    </w:p>
    <w:p w14:paraId="6F5B6178" w14:textId="77777777" w:rsidR="001527B1" w:rsidRPr="004676F5" w:rsidRDefault="001527B1" w:rsidP="001527B1">
      <w:pPr>
        <w:ind w:firstLine="708"/>
        <w:jc w:val="both"/>
        <w:rPr>
          <w:lang w:val="de-DE"/>
        </w:rPr>
      </w:pPr>
    </w:p>
    <w:p w14:paraId="067386F0" w14:textId="644CD121" w:rsidR="001527B1" w:rsidRPr="004676F5" w:rsidRDefault="001527B1" w:rsidP="00B71A00">
      <w:pPr>
        <w:ind w:firstLine="708"/>
        <w:jc w:val="both"/>
        <w:rPr>
          <w:lang w:val="de-DE"/>
        </w:rPr>
      </w:pPr>
      <w:r w:rsidRPr="004676F5">
        <w:rPr>
          <w:lang w:val="de-DE"/>
        </w:rPr>
        <w:t>11. </w:t>
      </w:r>
      <w:r w:rsidR="00B71A00" w:rsidRPr="004676F5">
        <w:rPr>
          <w:lang w:val="de-DE"/>
        </w:rPr>
        <w:t>[Vervielfältigungen unabhängig von Format oder Medium für die Zwecke der Erhaltung des kulturellen und wissenschaftlichen Erbes, die von öffentlich zugänglichen Bibliotheken oder Museen, von Archiven oder von Einrichtungen, die im Bereich des Film</w:t>
      </w:r>
      <w:r w:rsidR="005B7A5C" w:rsidRPr="004676F5">
        <w:rPr>
          <w:lang w:val="de-DE"/>
        </w:rPr>
        <w:t>- </w:t>
      </w:r>
      <w:r w:rsidR="00B71A00" w:rsidRPr="004676F5">
        <w:rPr>
          <w:lang w:val="de-DE"/>
        </w:rPr>
        <w:t>oder Tonerbes tätig sind, vorgenommen werden,]</w:t>
      </w:r>
    </w:p>
    <w:p w14:paraId="190C5179" w14:textId="77777777" w:rsidR="001527B1" w:rsidRPr="004676F5" w:rsidRDefault="001527B1" w:rsidP="001527B1">
      <w:pPr>
        <w:ind w:firstLine="708"/>
        <w:jc w:val="both"/>
        <w:rPr>
          <w:lang w:val="de-DE"/>
        </w:rPr>
      </w:pPr>
    </w:p>
    <w:p w14:paraId="089E4FD9" w14:textId="77777777" w:rsidR="001527B1" w:rsidRPr="004676F5" w:rsidRDefault="001527B1" w:rsidP="001527B1">
      <w:pPr>
        <w:ind w:firstLine="708"/>
        <w:jc w:val="both"/>
        <w:rPr>
          <w:lang w:val="de-DE"/>
        </w:rPr>
      </w:pPr>
      <w:r w:rsidRPr="004676F5">
        <w:rPr>
          <w:lang w:val="de-DE"/>
        </w:rPr>
        <w:t>12. Wiedergabe und Zugänglichmachung für einzelne Mitglieder der Öffentlichkeit zu Zwecken der Forschung und privater Studien von Leistungen, die nicht zum Kauf angeboten werden, für die keine Regelungen über Lizenzen gelten und die sich in Sammlungen von öffentlich zugänglichen Bibliotheken, Bildungseinrichtungen, wissenschaftlichen Einrich</w:t>
      </w:r>
      <w:r w:rsidRPr="004676F5">
        <w:rPr>
          <w:lang w:val="de-DE"/>
        </w:rPr>
        <w:softHyphen/>
        <w:t>tungen, Museen oder Archiven befinden, die keinen unmittelbaren oder mittelbaren wirt</w:t>
      </w:r>
      <w:r w:rsidRPr="004676F5">
        <w:rPr>
          <w:lang w:val="de-DE"/>
        </w:rPr>
        <w:softHyphen/>
        <w:t>schaft</w:t>
      </w:r>
      <w:r w:rsidRPr="004676F5">
        <w:rPr>
          <w:lang w:val="de-DE"/>
        </w:rPr>
        <w:softHyphen/>
        <w:t>lichen oder kommerziellen Zweck verfolgen, auf eigens hierfür eingerichteten Terminals in den Räumlichkeiten der genannten Einrichtungen,</w:t>
      </w:r>
    </w:p>
    <w:p w14:paraId="3C69F6D9" w14:textId="77777777" w:rsidR="001527B1" w:rsidRPr="004676F5" w:rsidRDefault="001527B1" w:rsidP="001527B1">
      <w:pPr>
        <w:ind w:firstLine="708"/>
        <w:jc w:val="both"/>
        <w:rPr>
          <w:lang w:val="de-DE"/>
        </w:rPr>
      </w:pPr>
    </w:p>
    <w:p w14:paraId="482FB374" w14:textId="77777777" w:rsidR="001527B1" w:rsidRPr="004676F5" w:rsidRDefault="001527B1" w:rsidP="001527B1">
      <w:pPr>
        <w:ind w:firstLine="708"/>
        <w:jc w:val="both"/>
        <w:rPr>
          <w:lang w:val="de-DE"/>
        </w:rPr>
      </w:pPr>
      <w:r w:rsidRPr="004676F5">
        <w:rPr>
          <w:lang w:val="de-DE"/>
        </w:rPr>
        <w:t>13. ephemere Aufzeichnungen von Leistungen, die von Sendeunternehmen mit eigenen Mitteln einschließlich der Mittel von Personen, die im Namen und unter der Verantwortung des Sendeunternehmens handeln, und für eigene Sendungen vorgenommen worden sind,</w:t>
      </w:r>
    </w:p>
    <w:p w14:paraId="69045410" w14:textId="77777777" w:rsidR="001527B1" w:rsidRPr="004676F5" w:rsidRDefault="001527B1" w:rsidP="001527B1">
      <w:pPr>
        <w:ind w:firstLine="708"/>
        <w:jc w:val="both"/>
        <w:rPr>
          <w:lang w:val="de-DE"/>
        </w:rPr>
      </w:pPr>
    </w:p>
    <w:p w14:paraId="6619CB5E" w14:textId="3F37038A" w:rsidR="001527B1" w:rsidRPr="004676F5" w:rsidRDefault="001527B1" w:rsidP="001527B1">
      <w:pPr>
        <w:ind w:firstLine="708"/>
        <w:jc w:val="both"/>
        <w:rPr>
          <w:lang w:val="de-DE"/>
        </w:rPr>
      </w:pPr>
      <w:r w:rsidRPr="004676F5">
        <w:rPr>
          <w:lang w:val="de-DE"/>
        </w:rPr>
        <w:t>14. Vervielfältigung und öffentliche Wiedergabe von Leistungen zugunsten von Personen mit Behinderung, wenn die Nutzung mit der betreffenden Behinderung unmittelbar in Zusammenhang steht und nicht kommerzieller Art ist, soweit es die betreffende Behinderung erfordert</w:t>
      </w:r>
      <w:r w:rsidR="00AE1019" w:rsidRPr="004676F5">
        <w:rPr>
          <w:lang w:val="de-DE"/>
        </w:rPr>
        <w:t xml:space="preserve"> [und unbeschadet der etwaigen Anwendung der Nummern 17 und 18]</w:t>
      </w:r>
      <w:r w:rsidRPr="004676F5">
        <w:rPr>
          <w:lang w:val="de-DE"/>
        </w:rPr>
        <w:t xml:space="preserve">, </w:t>
      </w:r>
      <w:r w:rsidR="00B71A00" w:rsidRPr="004676F5">
        <w:rPr>
          <w:lang w:val="de-DE"/>
        </w:rPr>
        <w:t>[...]</w:t>
      </w:r>
    </w:p>
    <w:p w14:paraId="069BC206" w14:textId="77777777" w:rsidR="001527B1" w:rsidRPr="004676F5" w:rsidRDefault="001527B1" w:rsidP="001527B1">
      <w:pPr>
        <w:ind w:firstLine="708"/>
        <w:jc w:val="both"/>
        <w:rPr>
          <w:lang w:val="de-DE"/>
        </w:rPr>
      </w:pPr>
    </w:p>
    <w:p w14:paraId="206F10BC" w14:textId="77777777" w:rsidR="001527B1" w:rsidRPr="004676F5" w:rsidRDefault="001527B1" w:rsidP="001527B1">
      <w:pPr>
        <w:ind w:firstLine="708"/>
        <w:jc w:val="both"/>
        <w:rPr>
          <w:lang w:val="de-DE"/>
        </w:rPr>
      </w:pPr>
      <w:r w:rsidRPr="004676F5">
        <w:rPr>
          <w:lang w:val="de-DE"/>
        </w:rPr>
        <w:t>15. Vervielfältigung und öffentliche Wiedergabe zum Zwecke der Werbung für die öffentliche Ausstellung oder den öffentlichen Verkauf von Leistungen in dem zur Förderung der betreffenden Veranstaltung erforderlichen Ausmaß unter Ausschluss jeglicher anderen kommerziellen Nutzung,</w:t>
      </w:r>
    </w:p>
    <w:p w14:paraId="5FE1CABF" w14:textId="77777777" w:rsidR="001527B1" w:rsidRPr="004676F5" w:rsidRDefault="001527B1" w:rsidP="001527B1">
      <w:pPr>
        <w:ind w:firstLine="708"/>
        <w:jc w:val="both"/>
        <w:rPr>
          <w:lang w:val="de-DE"/>
        </w:rPr>
      </w:pPr>
    </w:p>
    <w:p w14:paraId="742BE20B" w14:textId="7C427916" w:rsidR="001527B1" w:rsidRPr="004676F5" w:rsidRDefault="001527B1" w:rsidP="001527B1">
      <w:pPr>
        <w:ind w:firstLine="708"/>
        <w:jc w:val="both"/>
        <w:rPr>
          <w:lang w:val="de-DE"/>
        </w:rPr>
      </w:pPr>
      <w:r w:rsidRPr="004676F5">
        <w:rPr>
          <w:lang w:val="de-DE"/>
        </w:rPr>
        <w:t>16. Vervielfältigungen von Sendungen</w:t>
      </w:r>
      <w:r w:rsidR="00B71A00" w:rsidRPr="004676F5">
        <w:rPr>
          <w:lang w:val="de-DE"/>
        </w:rPr>
        <w:t xml:space="preserve"> [oder Presseveröffent</w:t>
      </w:r>
      <w:r w:rsidR="00B71A00" w:rsidRPr="004676F5">
        <w:rPr>
          <w:lang w:val="de-DE"/>
        </w:rPr>
        <w:softHyphen/>
        <w:t>lichungen]</w:t>
      </w:r>
      <w:r w:rsidRPr="004676F5">
        <w:rPr>
          <w:lang w:val="de-DE"/>
        </w:rPr>
        <w:t>, die von anerkannten Krankenhäusern, Strafanstalten, Jugendhilfe</w:t>
      </w:r>
      <w:r w:rsidR="005B7A5C" w:rsidRPr="004676F5">
        <w:rPr>
          <w:lang w:val="de-DE"/>
        </w:rPr>
        <w:t>- </w:t>
      </w:r>
      <w:r w:rsidRPr="004676F5">
        <w:rPr>
          <w:lang w:val="de-DE"/>
        </w:rPr>
        <w:t>und Behindertenpflegeeinrichtungen angefertigt wurden, sofern diese Einrichtungen einen nichtgewinnbringenden Zweck verfolgen und diese Vervielfäl</w:t>
      </w:r>
      <w:r w:rsidRPr="004676F5">
        <w:rPr>
          <w:lang w:val="de-DE"/>
        </w:rPr>
        <w:softHyphen/>
        <w:t>tigung der alleinigen Benutzung durch natürliche Personen, die sich dort aufhalten, vorbehalten ist</w:t>
      </w:r>
      <w:r w:rsidR="00AE1019" w:rsidRPr="004676F5">
        <w:rPr>
          <w:lang w:val="de-DE"/>
        </w:rPr>
        <w:t>,</w:t>
      </w:r>
    </w:p>
    <w:p w14:paraId="2543944E" w14:textId="77777777" w:rsidR="00AE1019" w:rsidRPr="004676F5" w:rsidRDefault="00AE1019" w:rsidP="001527B1">
      <w:pPr>
        <w:ind w:firstLine="708"/>
        <w:jc w:val="both"/>
        <w:rPr>
          <w:lang w:val="de-DE"/>
        </w:rPr>
      </w:pPr>
    </w:p>
    <w:p w14:paraId="214FC5AE" w14:textId="488DCAD9" w:rsidR="00AE1019" w:rsidRPr="004676F5" w:rsidRDefault="00AE1019" w:rsidP="00AE1019">
      <w:pPr>
        <w:jc w:val="both"/>
        <w:rPr>
          <w:lang w:val="de-DE"/>
        </w:rPr>
      </w:pPr>
      <w:r w:rsidRPr="004676F5">
        <w:rPr>
          <w:lang w:val="de-DE"/>
        </w:rPr>
        <w:tab/>
        <w:t>[17. Handlungen, die erforderlich sind, damit eine begünstigte Person oder eine in deren Namen handelnde Person ein Vervielfältigungsstück eines Werkes oder einer Leistung, zu dem die begünstigte Person rechtmäßigen Zugang hat, in einem barrierefreien Format und zur ausschließlichen Nutzung durch die begünstigte Person erstellen kann</w:t>
      </w:r>
      <w:r w:rsidR="00B71A00" w:rsidRPr="004676F5">
        <w:rPr>
          <w:lang w:val="de-DE"/>
        </w:rPr>
        <w:t xml:space="preserve"> [...]</w:t>
      </w:r>
      <w:r w:rsidRPr="004676F5">
        <w:rPr>
          <w:lang w:val="de-DE"/>
        </w:rPr>
        <w:t>. Eine in Belgien ansässige begünstigte Person kann bei einer befugten Stelle mit Sitz in einem beliebigen Mitgliedstaat der Europäischen Union ein Vervielfältigungsstück in einem barrierefreien Format beziehen oder abrufen,</w:t>
      </w:r>
    </w:p>
    <w:p w14:paraId="0C5F707E" w14:textId="77777777" w:rsidR="00AE1019" w:rsidRPr="004676F5" w:rsidRDefault="00AE1019" w:rsidP="00AE1019">
      <w:pPr>
        <w:jc w:val="both"/>
        <w:rPr>
          <w:lang w:val="de-DE"/>
        </w:rPr>
      </w:pPr>
    </w:p>
    <w:p w14:paraId="25A555DF" w14:textId="14D01AA0" w:rsidR="00AE1019" w:rsidRPr="004676F5" w:rsidRDefault="00AE1019" w:rsidP="00AE1019">
      <w:pPr>
        <w:ind w:firstLine="708"/>
        <w:jc w:val="both"/>
        <w:rPr>
          <w:lang w:val="de-DE"/>
        </w:rPr>
      </w:pPr>
      <w:r w:rsidRPr="004676F5">
        <w:rPr>
          <w:lang w:val="de-DE"/>
        </w:rPr>
        <w:t>18. Handlungen, die erforderlich sind, damit eine befugte Stelle mit Sitz in Belgien zugunsten einer begünstigten Person oder einer anderen befugten Stelle mit Sitz in einem beliebigen Mitgliedstaat der Europäischen Union ein Vervielfältigungsstück eines Werkes oder einer Leistung, zu dem sie rechtmäßigen Zugang hat, in einem barrierefreien Format erstellen, übermitteln, zugänglich machen oder verbreiten kann. Eine befugte Stelle mit Sitz in Belgien kann bei einer befugten Stelle mit Sitz in einem beliebigen Mitgliedstaat der Europäischen Union ein Vervielfältigungsstück in einem barrierefreien Format beziehen oder abrufen. Die in den beiden vorstehenden Sätzen erwähnten Handlungen werden in gemeinnütziger Weise zur ausschließlichen Nutzung durch eine begünstigte Person ausgeführt</w:t>
      </w:r>
      <w:r w:rsidR="00B71A00" w:rsidRPr="004676F5">
        <w:rPr>
          <w:lang w:val="de-DE"/>
        </w:rPr>
        <w:t xml:space="preserve"> [...],</w:t>
      </w:r>
      <w:r w:rsidRPr="004676F5">
        <w:rPr>
          <w:lang w:val="de-DE"/>
        </w:rPr>
        <w:t>]</w:t>
      </w:r>
    </w:p>
    <w:p w14:paraId="488A7653" w14:textId="77777777" w:rsidR="00B71A00" w:rsidRPr="004676F5" w:rsidRDefault="00B71A00" w:rsidP="00AE1019">
      <w:pPr>
        <w:ind w:firstLine="708"/>
        <w:jc w:val="both"/>
        <w:rPr>
          <w:lang w:val="de-DE"/>
        </w:rPr>
      </w:pPr>
    </w:p>
    <w:p w14:paraId="467E3838" w14:textId="77777777" w:rsidR="00B71A00" w:rsidRPr="004676F5" w:rsidRDefault="00B71A00" w:rsidP="00B71A00">
      <w:pPr>
        <w:ind w:firstLine="708"/>
        <w:jc w:val="both"/>
        <w:rPr>
          <w:lang w:val="de-DE"/>
        </w:rPr>
      </w:pPr>
      <w:r w:rsidRPr="004676F5">
        <w:rPr>
          <w:lang w:val="de-DE"/>
        </w:rPr>
        <w:t>[19. Vervielfältigungen von rechtmäßig zugänglichen Leistungen zum Zwecke des Text und Data Mining, sofern die jeweiligen Inhaber der verwandten Schutzrechte diese Leistungen nicht ausdrücklich in angemessener Weise mit einem Nutzungsvorbehalt versehen haben.</w:t>
      </w:r>
    </w:p>
    <w:p w14:paraId="733F83D3" w14:textId="77777777" w:rsidR="00B71A00" w:rsidRPr="004676F5" w:rsidRDefault="00B71A00" w:rsidP="00B71A00">
      <w:pPr>
        <w:jc w:val="both"/>
        <w:rPr>
          <w:lang w:val="de-DE"/>
        </w:rPr>
      </w:pPr>
    </w:p>
    <w:p w14:paraId="66B11A6E" w14:textId="77777777" w:rsidR="00B71A00" w:rsidRPr="004676F5" w:rsidRDefault="00B71A00" w:rsidP="00B71A00">
      <w:pPr>
        <w:jc w:val="both"/>
        <w:rPr>
          <w:lang w:val="de-DE"/>
        </w:rPr>
      </w:pPr>
      <w:r w:rsidRPr="004676F5">
        <w:rPr>
          <w:lang w:val="de-DE"/>
        </w:rPr>
        <w:tab/>
        <w:t>Im Fall von online veröffentlichten Inhalten gilt der Nutzungsvorbehalt nur als angemessen, wenn er mit maschinenlesbaren Mitteln erfolgt.</w:t>
      </w:r>
    </w:p>
    <w:p w14:paraId="334FD3A4" w14:textId="77777777" w:rsidR="00B71A00" w:rsidRPr="004676F5" w:rsidRDefault="00B71A00" w:rsidP="00B71A00">
      <w:pPr>
        <w:jc w:val="both"/>
        <w:rPr>
          <w:lang w:val="de-DE"/>
        </w:rPr>
      </w:pPr>
    </w:p>
    <w:p w14:paraId="187700B7" w14:textId="77777777" w:rsidR="00B71A00" w:rsidRPr="004676F5" w:rsidRDefault="00B71A00" w:rsidP="00B71A00">
      <w:pPr>
        <w:jc w:val="both"/>
        <w:rPr>
          <w:lang w:val="de-DE"/>
        </w:rPr>
      </w:pPr>
      <w:r w:rsidRPr="004676F5">
        <w:rPr>
          <w:lang w:val="de-DE"/>
        </w:rPr>
        <w:tab/>
        <w:t>Diese Vervielfältigungen dürfen so lange aufbewahrt werden, wie es für die Zwecke des Text und Data Mining notwendig ist,</w:t>
      </w:r>
    </w:p>
    <w:p w14:paraId="2863208F" w14:textId="77777777" w:rsidR="00B71A00" w:rsidRPr="004676F5" w:rsidRDefault="00B71A00" w:rsidP="00B71A00">
      <w:pPr>
        <w:jc w:val="both"/>
        <w:rPr>
          <w:lang w:val="de-DE"/>
        </w:rPr>
      </w:pPr>
    </w:p>
    <w:p w14:paraId="6E34F41D" w14:textId="06E2E009" w:rsidR="00B71A00" w:rsidRPr="004676F5" w:rsidRDefault="00B71A00" w:rsidP="00B71A00">
      <w:pPr>
        <w:ind w:firstLine="708"/>
        <w:jc w:val="both"/>
        <w:rPr>
          <w:lang w:val="de-DE"/>
        </w:rPr>
      </w:pPr>
      <w:r w:rsidRPr="004676F5">
        <w:rPr>
          <w:lang w:val="de-DE"/>
        </w:rPr>
        <w:t>20. Vervielfältigung und öffentliche Wiedergabe von Leistungen zu Zwecken der öffentlichen Sicherheit oder zur Sicherstellung des ordnungsgemäßen Ablaufs von Verwaltungsverfahren, parlamentarischen Verfahren oder Gerichtsverfahren oder der Berichterstattung darüber.]</w:t>
      </w:r>
    </w:p>
    <w:p w14:paraId="528BA5F9" w14:textId="77777777" w:rsidR="001527B1" w:rsidRPr="004676F5" w:rsidRDefault="001527B1" w:rsidP="001527B1">
      <w:pPr>
        <w:jc w:val="both"/>
        <w:rPr>
          <w:lang w:val="de-DE"/>
        </w:rPr>
      </w:pPr>
    </w:p>
    <w:p w14:paraId="0DB07188" w14:textId="0C5EEF01" w:rsidR="00AE1019" w:rsidRPr="004676F5" w:rsidRDefault="00C25F31" w:rsidP="00333835">
      <w:pPr>
        <w:jc w:val="both"/>
        <w:rPr>
          <w:lang w:val="de-DE"/>
        </w:rPr>
      </w:pPr>
      <w:r w:rsidRPr="004676F5">
        <w:rPr>
          <w:i/>
          <w:lang w:val="de-DE"/>
        </w:rPr>
        <w:t>[</w:t>
      </w:r>
      <w:r w:rsidR="00BE0A56" w:rsidRPr="004676F5">
        <w:rPr>
          <w:i/>
          <w:lang w:val="de-DE"/>
        </w:rPr>
        <w:t>Art. </w:t>
      </w:r>
      <w:r w:rsidRPr="004676F5">
        <w:rPr>
          <w:i/>
          <w:lang w:val="de-DE"/>
        </w:rPr>
        <w:t xml:space="preserve">XI.217 </w:t>
      </w:r>
      <w:r w:rsidR="00333835" w:rsidRPr="004676F5">
        <w:rPr>
          <w:i/>
          <w:lang w:val="de-DE"/>
        </w:rPr>
        <w:t>einziger Absatz einleitende Bestimmung abgeändert durch Art. 42 Nr. 1</w:t>
      </w:r>
      <w:r w:rsidR="00333835" w:rsidRPr="004676F5">
        <w:rPr>
          <w:i/>
          <w:iCs/>
          <w:lang w:val="de-DE"/>
        </w:rPr>
        <w:t xml:space="preserve"> des G. vom 19. Juni 2022 (B.S. vom 1. August 2022); </w:t>
      </w:r>
      <w:r w:rsidRPr="004676F5">
        <w:rPr>
          <w:i/>
          <w:lang w:val="de-DE"/>
        </w:rPr>
        <w:t xml:space="preserve">einziger Absatz Nr. 1 abgeändert durch </w:t>
      </w:r>
      <w:r w:rsidR="00BE0A56" w:rsidRPr="004676F5">
        <w:rPr>
          <w:i/>
          <w:lang w:val="de-DE"/>
        </w:rPr>
        <w:t>Art. </w:t>
      </w:r>
      <w:r w:rsidRPr="004676F5">
        <w:rPr>
          <w:i/>
          <w:lang w:val="de-DE"/>
        </w:rPr>
        <w:t xml:space="preserve">15 Nr. 1 des G. vom 22. Dezember 2016 (B.S. vom 29. Dezember 2016); </w:t>
      </w:r>
      <w:r w:rsidR="00333835" w:rsidRPr="004676F5">
        <w:rPr>
          <w:i/>
          <w:lang w:val="de-DE"/>
        </w:rPr>
        <w:t>einziger Absatz Nr. 3 aufgehoben durch Art. 42 Nr. 2</w:t>
      </w:r>
      <w:r w:rsidR="00333835" w:rsidRPr="004676F5">
        <w:rPr>
          <w:i/>
          <w:iCs/>
          <w:lang w:val="de-DE"/>
        </w:rPr>
        <w:t xml:space="preserve"> des G. vom 19. Juni 2022 (B.S. vom 1. August 2022); </w:t>
      </w:r>
      <w:r w:rsidRPr="004676F5">
        <w:rPr>
          <w:i/>
          <w:lang w:val="de-DE"/>
        </w:rPr>
        <w:t xml:space="preserve">einziger Absatz Nr. 4 bis 6 aufgehoben durch </w:t>
      </w:r>
      <w:r w:rsidR="00BE0A56" w:rsidRPr="004676F5">
        <w:rPr>
          <w:i/>
          <w:lang w:val="de-DE"/>
        </w:rPr>
        <w:t>Art. </w:t>
      </w:r>
      <w:r w:rsidRPr="004676F5">
        <w:rPr>
          <w:i/>
          <w:lang w:val="de-DE"/>
        </w:rPr>
        <w:t>15 Nr. 2 des G. vom 22. Dezember 2016 (B.S. vom 29. Dezember 2016)</w:t>
      </w:r>
      <w:r w:rsidR="00AE1019" w:rsidRPr="004676F5">
        <w:rPr>
          <w:i/>
          <w:lang w:val="de-DE"/>
        </w:rPr>
        <w:t>;</w:t>
      </w:r>
      <w:r w:rsidR="00B04019" w:rsidRPr="004676F5">
        <w:rPr>
          <w:i/>
          <w:lang w:val="de-DE"/>
        </w:rPr>
        <w:t xml:space="preserve"> einziger Absatz Nr. 7 ersetzt durch Art. 25 des G. vom 2. Mai 2019 (IV) (B.S. vom 22. Mai 2019); einziger Absatz Nr. 10 aufgehoben durch Art. 15 Nr. 2 des G. vom 22. Dezember 2016 (B.S. vom 29. Dezember 2016);</w:t>
      </w:r>
      <w:r w:rsidR="00AE1019" w:rsidRPr="004676F5">
        <w:rPr>
          <w:i/>
          <w:lang w:val="de-DE"/>
        </w:rPr>
        <w:t xml:space="preserve"> </w:t>
      </w:r>
      <w:r w:rsidR="00333835" w:rsidRPr="004676F5">
        <w:rPr>
          <w:i/>
          <w:lang w:val="de-DE"/>
        </w:rPr>
        <w:t>einziger Absatz Nr. 11 ersetzt durch Art. 42 Nr. 3</w:t>
      </w:r>
      <w:r w:rsidR="00333835" w:rsidRPr="004676F5">
        <w:rPr>
          <w:i/>
          <w:iCs/>
          <w:lang w:val="de-DE"/>
        </w:rPr>
        <w:t xml:space="preserve"> des G. vom 19. Juni 2022 (B.S. vom 1. August 2022); </w:t>
      </w:r>
      <w:r w:rsidR="00AE1019" w:rsidRPr="004676F5">
        <w:rPr>
          <w:i/>
          <w:lang w:val="de-DE"/>
        </w:rPr>
        <w:t>einziger Absatz Nr. 14 abgeändert durch Art. 7 Buchstabe a) des G. vom 25. November 2018 (II) (B.S. vom 12. Dezember 2018)</w:t>
      </w:r>
      <w:r w:rsidR="00333835" w:rsidRPr="004676F5">
        <w:rPr>
          <w:i/>
          <w:lang w:val="de-DE"/>
        </w:rPr>
        <w:t xml:space="preserve"> und Art. 42 Nr. 4</w:t>
      </w:r>
      <w:r w:rsidR="00333835" w:rsidRPr="004676F5">
        <w:rPr>
          <w:i/>
          <w:iCs/>
          <w:lang w:val="de-DE"/>
        </w:rPr>
        <w:t xml:space="preserve"> des G. vom 19. Juni 2022 (B.S. vom 1. August 2022); einziger Absatz Nr. 16 abgeändert durch Art. 42 Nr. 5 des G. vom 19. Juni 2022 (B.S. vom 1. August 2022)</w:t>
      </w:r>
      <w:r w:rsidR="00AE1019" w:rsidRPr="004676F5">
        <w:rPr>
          <w:i/>
          <w:lang w:val="de-DE"/>
        </w:rPr>
        <w:t>; einziger Absatz Nr. 17 eingefügt durch Art. 7 Buchstabe b) des G. vom 25. November 2018 (II) (B.S. vom 12. Dezember 2018)</w:t>
      </w:r>
      <w:r w:rsidR="00333835" w:rsidRPr="004676F5">
        <w:rPr>
          <w:i/>
          <w:lang w:val="de-DE"/>
        </w:rPr>
        <w:t xml:space="preserve"> und abgeändert durch Art. 42 Nr. 6</w:t>
      </w:r>
      <w:r w:rsidR="00333835" w:rsidRPr="004676F5">
        <w:rPr>
          <w:i/>
          <w:iCs/>
          <w:lang w:val="de-DE"/>
        </w:rPr>
        <w:t xml:space="preserve"> des G. vom 19. Juni 2022 (B.S. vom 1. August 2022)</w:t>
      </w:r>
      <w:r w:rsidR="00333835" w:rsidRPr="004676F5">
        <w:rPr>
          <w:i/>
          <w:lang w:val="de-DE"/>
        </w:rPr>
        <w:t>; einziger Absatz Nr. 18 eingefügt durch Art. 7 Buchstabe b) des G. vom 25. November 2018 (II) (B.S. vom 12. Dezember 2018) und abgeändert durch Art. 42 Nr. 7</w:t>
      </w:r>
      <w:r w:rsidR="00333835" w:rsidRPr="004676F5">
        <w:rPr>
          <w:i/>
          <w:iCs/>
          <w:lang w:val="de-DE"/>
        </w:rPr>
        <w:t xml:space="preserve"> des G. vom 19. Juni 2022 (B.S. vom 1. August 2022); einziger Absatz Nr. 19 und 20 eingefügt durch Art. 42 Nr. 8 des G. vom 19. Juni 2022 (B.S. vom 1. August 2022)</w:t>
      </w:r>
      <w:r w:rsidRPr="004676F5">
        <w:rPr>
          <w:i/>
          <w:lang w:val="de-DE"/>
        </w:rPr>
        <w:t>]</w:t>
      </w:r>
      <w:r w:rsidR="00AE1019" w:rsidRPr="004676F5">
        <w:rPr>
          <w:lang w:val="de-DE"/>
        </w:rPr>
        <w:br w:type="page"/>
      </w:r>
    </w:p>
    <w:p w14:paraId="737DD79F" w14:textId="77777777" w:rsidR="00333835" w:rsidRPr="004676F5" w:rsidRDefault="00333835" w:rsidP="00333835">
      <w:pPr>
        <w:jc w:val="both"/>
        <w:rPr>
          <w:lang w:val="de-DE"/>
        </w:rPr>
      </w:pPr>
    </w:p>
    <w:p w14:paraId="6C5957E4" w14:textId="77777777" w:rsidR="00333835" w:rsidRPr="004676F5" w:rsidRDefault="00333835" w:rsidP="00333835">
      <w:pPr>
        <w:jc w:val="both"/>
        <w:rPr>
          <w:lang w:val="de-DE"/>
        </w:rPr>
      </w:pPr>
    </w:p>
    <w:p w14:paraId="1A069A77" w14:textId="4618A98C" w:rsidR="00C25F31" w:rsidRPr="004676F5" w:rsidRDefault="00C25F31" w:rsidP="00C25F31">
      <w:pPr>
        <w:jc w:val="center"/>
        <w:rPr>
          <w:lang w:val="de-DE"/>
        </w:rPr>
      </w:pPr>
      <w:r w:rsidRPr="004676F5">
        <w:rPr>
          <w:lang w:val="de-DE"/>
        </w:rPr>
        <w:t>[Unterabschnitt 2 </w:t>
      </w:r>
      <w:r w:rsidR="005B7A5C" w:rsidRPr="004676F5">
        <w:rPr>
          <w:lang w:val="de-DE"/>
        </w:rPr>
        <w:t>- </w:t>
      </w:r>
      <w:r w:rsidRPr="004676F5">
        <w:rPr>
          <w:lang w:val="de-DE"/>
        </w:rPr>
        <w:t>Ausnahmen für Unterrichtszwecke oder Zwecke der wissenschaft</w:t>
      </w:r>
      <w:r w:rsidRPr="004676F5">
        <w:rPr>
          <w:lang w:val="de-DE"/>
        </w:rPr>
        <w:softHyphen/>
        <w:t>lichen Forschung]</w:t>
      </w:r>
    </w:p>
    <w:p w14:paraId="0A609635" w14:textId="77777777" w:rsidR="00355502" w:rsidRPr="004676F5" w:rsidRDefault="00355502" w:rsidP="001527B1">
      <w:pPr>
        <w:jc w:val="both"/>
        <w:rPr>
          <w:lang w:val="de-DE"/>
        </w:rPr>
      </w:pPr>
    </w:p>
    <w:p w14:paraId="366F33F7" w14:textId="019BCB55" w:rsidR="00C25F31" w:rsidRPr="004676F5" w:rsidRDefault="00C25F31" w:rsidP="00C25F31">
      <w:pPr>
        <w:jc w:val="both"/>
        <w:rPr>
          <w:i/>
          <w:lang w:val="de-DE"/>
        </w:rPr>
      </w:pPr>
      <w:r w:rsidRPr="004676F5">
        <w:rPr>
          <w:i/>
          <w:lang w:val="de-DE"/>
        </w:rPr>
        <w:t xml:space="preserve">[Unterteilung Unterabschnitt 2 eingefügt durch </w:t>
      </w:r>
      <w:r w:rsidR="00BE0A56" w:rsidRPr="004676F5">
        <w:rPr>
          <w:i/>
          <w:lang w:val="de-DE"/>
        </w:rPr>
        <w:t>Art. </w:t>
      </w:r>
      <w:r w:rsidRPr="004676F5">
        <w:rPr>
          <w:i/>
          <w:lang w:val="de-DE"/>
        </w:rPr>
        <w:t>16 des G. vom 22. Dezember 2016 (B.S. vom 29. Dezember 2016)]</w:t>
      </w:r>
    </w:p>
    <w:p w14:paraId="632953DC" w14:textId="77777777" w:rsidR="00C25F31" w:rsidRPr="004676F5" w:rsidRDefault="00C25F31" w:rsidP="001527B1">
      <w:pPr>
        <w:jc w:val="both"/>
        <w:rPr>
          <w:lang w:val="de-DE"/>
        </w:rPr>
      </w:pPr>
    </w:p>
    <w:p w14:paraId="4383038D" w14:textId="77777777" w:rsidR="00C25F31" w:rsidRPr="004676F5" w:rsidRDefault="00C25F31" w:rsidP="001527B1">
      <w:pPr>
        <w:jc w:val="both"/>
        <w:rPr>
          <w:lang w:val="de-DE"/>
        </w:rPr>
      </w:pPr>
    </w:p>
    <w:p w14:paraId="142C0FE4" w14:textId="533620BD" w:rsidR="00C25F31" w:rsidRPr="004676F5" w:rsidRDefault="00C25F31" w:rsidP="00C25F31">
      <w:pPr>
        <w:jc w:val="both"/>
        <w:rPr>
          <w:lang w:val="de-DE"/>
        </w:rPr>
      </w:pPr>
      <w:r w:rsidRPr="004676F5">
        <w:rPr>
          <w:lang w:val="de-DE"/>
        </w:rPr>
        <w:tab/>
        <w:t>[</w:t>
      </w:r>
      <w:r w:rsidR="00BE0A56" w:rsidRPr="004676F5">
        <w:rPr>
          <w:b/>
          <w:lang w:val="de-DE"/>
        </w:rPr>
        <w:t>Art. </w:t>
      </w:r>
      <w:r w:rsidRPr="004676F5">
        <w:rPr>
          <w:b/>
          <w:lang w:val="de-DE"/>
        </w:rPr>
        <w:t>XI.217/1</w:t>
      </w:r>
      <w:r w:rsidRPr="004676F5">
        <w:rPr>
          <w:lang w:val="de-DE"/>
        </w:rPr>
        <w:t> </w:t>
      </w:r>
      <w:r w:rsidR="005B7A5C" w:rsidRPr="004676F5">
        <w:rPr>
          <w:lang w:val="de-DE"/>
        </w:rPr>
        <w:t>- </w:t>
      </w:r>
      <w:r w:rsidR="00AE1019" w:rsidRPr="004676F5">
        <w:rPr>
          <w:lang w:val="de-DE"/>
        </w:rPr>
        <w:t>[</w:t>
      </w:r>
      <w:r w:rsidR="00333835" w:rsidRPr="004676F5">
        <w:rPr>
          <w:lang w:val="de-DE"/>
        </w:rPr>
        <w:t>Unbeschadet der etwaigen Anwendung von Artikel XI.217 Nr. 8, 9, 11, 12, 14, 15, 16, 17, 18, 19 und 20</w:t>
      </w:r>
      <w:r w:rsidR="00AE1019" w:rsidRPr="004676F5">
        <w:rPr>
          <w:lang w:val="de-DE"/>
        </w:rPr>
        <w:t>]</w:t>
      </w:r>
      <w:r w:rsidRPr="004676F5">
        <w:rPr>
          <w:lang w:val="de-DE"/>
        </w:rPr>
        <w:t xml:space="preserve"> kommen </w:t>
      </w:r>
      <w:r w:rsidR="00333835" w:rsidRPr="004676F5">
        <w:rPr>
          <w:lang w:val="de-DE"/>
        </w:rPr>
        <w:t>[die Artikel XI.205, XI.209, XI.213, XI.215 und XI.216/2]</w:t>
      </w:r>
      <w:r w:rsidRPr="004676F5">
        <w:rPr>
          <w:lang w:val="de-DE"/>
        </w:rPr>
        <w:t xml:space="preserve"> nicht zur Anwendung, wenn die in diesen Bestimmungen erwähnten Handlungen zu folgenden Zweckbestimmungen erfolgen:</w:t>
      </w:r>
    </w:p>
    <w:p w14:paraId="796A653B" w14:textId="77777777" w:rsidR="00C25F31" w:rsidRPr="004676F5" w:rsidRDefault="00C25F31" w:rsidP="00C25F31">
      <w:pPr>
        <w:jc w:val="both"/>
        <w:rPr>
          <w:lang w:val="de-DE"/>
        </w:rPr>
      </w:pPr>
    </w:p>
    <w:p w14:paraId="01BA8C9C" w14:textId="77777777" w:rsidR="00C25F31" w:rsidRPr="004676F5" w:rsidRDefault="00C25F31" w:rsidP="00C25F31">
      <w:pPr>
        <w:jc w:val="both"/>
        <w:rPr>
          <w:lang w:val="de-DE"/>
        </w:rPr>
      </w:pPr>
      <w:r w:rsidRPr="004676F5">
        <w:rPr>
          <w:lang w:val="de-DE"/>
        </w:rPr>
        <w:tab/>
        <w:t>1. Zitate aus Leistungen zu Unterrichtszwecken oder im Rahmen der wissenschaftlichen Forschung, sofern die Nutzung den anständigen Gepflogenheiten entspricht und durch den besonderen Zweck gerechtfertigt ist,</w:t>
      </w:r>
    </w:p>
    <w:p w14:paraId="6CB10008" w14:textId="77777777" w:rsidR="00C25F31" w:rsidRPr="004676F5" w:rsidRDefault="00C25F31" w:rsidP="00C25F31">
      <w:pPr>
        <w:jc w:val="both"/>
        <w:rPr>
          <w:lang w:val="de-DE"/>
        </w:rPr>
      </w:pPr>
    </w:p>
    <w:p w14:paraId="5D5B180F" w14:textId="77777777" w:rsidR="00C25F31" w:rsidRPr="004676F5" w:rsidRDefault="00C25F31" w:rsidP="00C25F31">
      <w:pPr>
        <w:jc w:val="both"/>
        <w:rPr>
          <w:lang w:val="de-DE"/>
        </w:rPr>
      </w:pPr>
      <w:r w:rsidRPr="004676F5">
        <w:rPr>
          <w:lang w:val="de-DE"/>
        </w:rPr>
        <w:tab/>
        <w:t>2. unentgeltliche Darbietung im Rahmen schulischer Tätigkeiten, einschließlich einer Leistung bei einer öffentlichen Prüfung. Diese unentgeltliche Darbietung im Rahmen schulischer Tätigkeiten und die Darbietung bei einer öffentlichen Prüfung können sowohl innerhalb als auch außerhalb der Bildungseinrichtung stattfinden,</w:t>
      </w:r>
    </w:p>
    <w:p w14:paraId="0AB6F09D" w14:textId="77777777" w:rsidR="00C25F31" w:rsidRPr="004676F5" w:rsidRDefault="00C25F31" w:rsidP="00C25F31">
      <w:pPr>
        <w:jc w:val="both"/>
        <w:rPr>
          <w:lang w:val="de-DE"/>
        </w:rPr>
      </w:pPr>
    </w:p>
    <w:p w14:paraId="27395F80" w14:textId="2A4E7F1B" w:rsidR="00C25F31" w:rsidRPr="004676F5" w:rsidRDefault="00C25F31" w:rsidP="00C25F31">
      <w:pPr>
        <w:jc w:val="both"/>
        <w:rPr>
          <w:lang w:val="de-DE"/>
        </w:rPr>
      </w:pPr>
      <w:r w:rsidRPr="004676F5">
        <w:rPr>
          <w:lang w:val="de-DE"/>
        </w:rPr>
        <w:tab/>
        <w:t xml:space="preserve">3. Vervielfältigung von Leistungen für die Nutzung zur Veranschaulichung im Unterricht oder für Zwecke der wissenschaftlichen Forschung, soweit diese Nutzung durch den verfolgten nichtgewinnbringenden Zweck gerechtfertigt ist </w:t>
      </w:r>
      <w:r w:rsidR="00333835" w:rsidRPr="004676F5">
        <w:rPr>
          <w:lang w:val="de-DE"/>
        </w:rPr>
        <w:t>[...]</w:t>
      </w:r>
      <w:r w:rsidRPr="004676F5">
        <w:rPr>
          <w:lang w:val="de-DE"/>
        </w:rPr>
        <w:t>,</w:t>
      </w:r>
    </w:p>
    <w:p w14:paraId="5F116845" w14:textId="77777777" w:rsidR="00C25F31" w:rsidRPr="004676F5" w:rsidRDefault="00C25F31" w:rsidP="00C25F31">
      <w:pPr>
        <w:jc w:val="both"/>
        <w:rPr>
          <w:lang w:val="de-DE"/>
        </w:rPr>
      </w:pPr>
    </w:p>
    <w:p w14:paraId="39DA16CD" w14:textId="5AD2C057" w:rsidR="00C25F31" w:rsidRPr="004676F5" w:rsidRDefault="00C25F31" w:rsidP="00C25F31">
      <w:pPr>
        <w:jc w:val="both"/>
        <w:rPr>
          <w:lang w:val="de-DE"/>
        </w:rPr>
      </w:pPr>
      <w:r w:rsidRPr="004676F5">
        <w:rPr>
          <w:lang w:val="de-DE"/>
        </w:rPr>
        <w:tab/>
        <w:t xml:space="preserve">4. öffentliche Wiedergabe von Leistungen für die Nutzung zur Veranschaulichung im Unterricht oder für Zwecke der wissenschaftlichen Forschung durch Einrichtungen, die zu diesem Zweck von den Behörden amtlich anerkannt oder gegründet wurden, soweit dies durch den verfolgten nichtgewinnbringenden Zweck gerechtfertigt ist, </w:t>
      </w:r>
      <w:r w:rsidR="00333835" w:rsidRPr="004676F5">
        <w:rPr>
          <w:lang w:val="de-DE"/>
        </w:rPr>
        <w:t>[im Rahmen der normalen Tätigkeiten der betreffenden Einrichtung erfolgt und durch geeignete Maßnahmen gesichert ist]</w:t>
      </w:r>
      <w:r w:rsidRPr="004676F5">
        <w:rPr>
          <w:lang w:val="de-DE"/>
        </w:rPr>
        <w:t xml:space="preserve"> </w:t>
      </w:r>
      <w:r w:rsidR="00333835" w:rsidRPr="004676F5">
        <w:rPr>
          <w:lang w:val="de-DE"/>
        </w:rPr>
        <w:t>[...]</w:t>
      </w:r>
      <w:r w:rsidR="000678CE" w:rsidRPr="004676F5">
        <w:rPr>
          <w:lang w:val="de-DE"/>
        </w:rPr>
        <w:t>,</w:t>
      </w:r>
      <w:r w:rsidRPr="004676F5">
        <w:rPr>
          <w:lang w:val="de-DE"/>
        </w:rPr>
        <w:t>]</w:t>
      </w:r>
    </w:p>
    <w:p w14:paraId="1EACE834" w14:textId="77777777" w:rsidR="000678CE" w:rsidRPr="004676F5" w:rsidRDefault="000678CE" w:rsidP="00C25F31">
      <w:pPr>
        <w:jc w:val="both"/>
        <w:rPr>
          <w:lang w:val="de-DE"/>
        </w:rPr>
      </w:pPr>
    </w:p>
    <w:p w14:paraId="54950FED" w14:textId="7527BEC9" w:rsidR="000678CE" w:rsidRPr="004676F5" w:rsidRDefault="000678CE" w:rsidP="00C25F31">
      <w:pPr>
        <w:jc w:val="both"/>
        <w:rPr>
          <w:lang w:val="de-DE"/>
        </w:rPr>
      </w:pPr>
      <w:r w:rsidRPr="004676F5">
        <w:rPr>
          <w:lang w:val="de-DE"/>
        </w:rPr>
        <w:tab/>
        <w:t>[5. Vervielfältigung oder öffentliche Wiedergabe von Leistungen durch Kleinkind</w:t>
      </w:r>
      <w:r w:rsidRPr="004676F5">
        <w:rPr>
          <w:lang w:val="de-DE"/>
        </w:rPr>
        <w:softHyphen/>
        <w:t>betreu</w:t>
      </w:r>
      <w:r w:rsidRPr="004676F5">
        <w:rPr>
          <w:lang w:val="de-DE"/>
        </w:rPr>
        <w:softHyphen/>
        <w:t>ungseinrichtungen, die zu diesem Zweck von den Behörden amtlich anerkannt oder gegründet wurden, soweit diese Vervielfältigung oder öffentliche Wiedergabe im Rahmen der pädagogischen Tätigkeiten dieser Einrichtungen erfolgt</w:t>
      </w:r>
      <w:r w:rsidR="00333835" w:rsidRPr="004676F5">
        <w:rPr>
          <w:lang w:val="de-DE"/>
        </w:rPr>
        <w:t>,</w:t>
      </w:r>
      <w:r w:rsidRPr="004676F5">
        <w:rPr>
          <w:lang w:val="de-DE"/>
        </w:rPr>
        <w:t>]</w:t>
      </w:r>
    </w:p>
    <w:p w14:paraId="7EA99A59" w14:textId="77777777" w:rsidR="00C25F31" w:rsidRPr="004676F5" w:rsidRDefault="00C25F31" w:rsidP="001527B1">
      <w:pPr>
        <w:jc w:val="both"/>
        <w:rPr>
          <w:lang w:val="de-DE"/>
        </w:rPr>
      </w:pPr>
    </w:p>
    <w:p w14:paraId="5CF2AFF8" w14:textId="4234AB3B" w:rsidR="00333835" w:rsidRPr="004676F5" w:rsidRDefault="00333835" w:rsidP="00333835">
      <w:pPr>
        <w:jc w:val="both"/>
        <w:rPr>
          <w:lang w:val="de-DE"/>
        </w:rPr>
      </w:pPr>
      <w:r w:rsidRPr="004676F5">
        <w:rPr>
          <w:lang w:val="de-DE"/>
        </w:rPr>
        <w:tab/>
        <w:t>[6. von Forschungsorganisationen, von öffentlich zugänglichen Bibliotheken oder Museen, von Archiven oder von Einrichtungen, die im Bereich des Film</w:t>
      </w:r>
      <w:r w:rsidR="005B7A5C" w:rsidRPr="004676F5">
        <w:rPr>
          <w:lang w:val="de-DE"/>
        </w:rPr>
        <w:t>- </w:t>
      </w:r>
      <w:r w:rsidRPr="004676F5">
        <w:rPr>
          <w:lang w:val="de-DE"/>
        </w:rPr>
        <w:t>oder Tonerbes tätig sind, vorgenommene Vervielfältigungen von Leistungen, zu denen sie rechtmäßig Zugang haben, zum Zwecke der wissenschaftlichen Forschung für Text und Data Mining.</w:t>
      </w:r>
    </w:p>
    <w:p w14:paraId="6555B3C7" w14:textId="77777777" w:rsidR="00333835" w:rsidRPr="004676F5" w:rsidRDefault="00333835" w:rsidP="00333835">
      <w:pPr>
        <w:jc w:val="both"/>
        <w:rPr>
          <w:lang w:val="de-DE"/>
        </w:rPr>
      </w:pPr>
    </w:p>
    <w:p w14:paraId="23DECEB5" w14:textId="77777777" w:rsidR="00333835" w:rsidRPr="004676F5" w:rsidRDefault="00333835" w:rsidP="00333835">
      <w:pPr>
        <w:jc w:val="both"/>
        <w:rPr>
          <w:lang w:val="de-DE"/>
        </w:rPr>
      </w:pPr>
      <w:r w:rsidRPr="004676F5">
        <w:rPr>
          <w:lang w:val="de-DE"/>
        </w:rPr>
        <w:tab/>
        <w:t>Diese Vervielfältigungen von Leistungen sind mit angemessenen Sicherheitsvor</w:t>
      </w:r>
      <w:r w:rsidRPr="004676F5">
        <w:rPr>
          <w:lang w:val="de-DE"/>
        </w:rPr>
        <w:softHyphen/>
        <w:t>kehrungen zu speichern und dürfen zum Zwecke der wissenschaftlichen Forschung, auch zur Überprüfung wissenschaftlicher Erkenntnisse, aufbewahrt werden.</w:t>
      </w:r>
    </w:p>
    <w:p w14:paraId="35ACC16F" w14:textId="77777777" w:rsidR="00333835" w:rsidRPr="004676F5" w:rsidRDefault="00333835" w:rsidP="00333835">
      <w:pPr>
        <w:jc w:val="both"/>
        <w:rPr>
          <w:lang w:val="de-DE"/>
        </w:rPr>
      </w:pPr>
    </w:p>
    <w:p w14:paraId="3F858455" w14:textId="77777777" w:rsidR="00333835" w:rsidRPr="004676F5" w:rsidRDefault="00333835" w:rsidP="00333835">
      <w:pPr>
        <w:jc w:val="both"/>
        <w:rPr>
          <w:lang w:val="de-DE"/>
        </w:rPr>
      </w:pPr>
      <w:r w:rsidRPr="004676F5">
        <w:rPr>
          <w:lang w:val="de-DE"/>
        </w:rPr>
        <w:tab/>
        <w:t>Der Inhaber der verwandten Schutzrechte darf Maßnahmen durchführen, um die Sicherheit und Integrität der Netze und Datenbanken zu wahren, in denen die Leistungen gespeichert sind, sofern diese Maßnahmen über das für die Verwirklichung dieses Ziels Notwendige nicht hinausgehen,</w:t>
      </w:r>
    </w:p>
    <w:p w14:paraId="003295E3" w14:textId="77777777" w:rsidR="00333835" w:rsidRPr="004676F5" w:rsidRDefault="00333835" w:rsidP="00333835">
      <w:pPr>
        <w:jc w:val="both"/>
        <w:rPr>
          <w:lang w:val="de-DE"/>
        </w:rPr>
      </w:pPr>
    </w:p>
    <w:p w14:paraId="2FACD33F" w14:textId="77777777" w:rsidR="00333835" w:rsidRPr="004676F5" w:rsidRDefault="00333835" w:rsidP="00333835">
      <w:pPr>
        <w:jc w:val="both"/>
        <w:rPr>
          <w:lang w:val="de-DE"/>
        </w:rPr>
      </w:pPr>
      <w:r w:rsidRPr="004676F5">
        <w:rPr>
          <w:lang w:val="de-DE"/>
        </w:rPr>
        <w:tab/>
        <w:t>7. Vervielfältigung oder öffentliche Wiedergabe von Leistungen im Rahmen ihrer digitalen Nutzung zur Veranschaulichung im Unterricht, soweit diese Nutzung durch den verfolgten nicht gewinnbringenden Zweck gerechtfertigt ist und insofern sie:</w:t>
      </w:r>
    </w:p>
    <w:p w14:paraId="1430F10E" w14:textId="77777777" w:rsidR="00333835" w:rsidRPr="004676F5" w:rsidRDefault="00333835" w:rsidP="00333835">
      <w:pPr>
        <w:jc w:val="both"/>
        <w:rPr>
          <w:lang w:val="de-DE"/>
        </w:rPr>
      </w:pPr>
    </w:p>
    <w:p w14:paraId="349C6DCB" w14:textId="77777777" w:rsidR="00333835" w:rsidRPr="004676F5" w:rsidRDefault="00333835" w:rsidP="00333835">
      <w:pPr>
        <w:jc w:val="both"/>
        <w:rPr>
          <w:lang w:val="de-DE"/>
        </w:rPr>
      </w:pPr>
      <w:r w:rsidRPr="004676F5">
        <w:rPr>
          <w:lang w:val="de-DE"/>
        </w:rPr>
        <w:tab/>
      </w:r>
      <w:r w:rsidRPr="004676F5">
        <w:rPr>
          <w:i/>
          <w:lang w:val="de-DE"/>
        </w:rPr>
        <w:t>a)</w:t>
      </w:r>
      <w:r w:rsidRPr="004676F5">
        <w:rPr>
          <w:lang w:val="de-DE"/>
        </w:rPr>
        <w:t> unter der Verantwortung einer Unterrichtsanstalt in ihren Räumlichkeiten oder an anderen Orten oder in einer gesicherten elektronischen Umgebung stattfindet, zu denen/der nur die Schüler oder Studenten und das Lehrpersonal der Unterrichtsanstalt Zugang haben, und</w:t>
      </w:r>
    </w:p>
    <w:p w14:paraId="702CD810" w14:textId="77777777" w:rsidR="00333835" w:rsidRPr="004676F5" w:rsidRDefault="00333835" w:rsidP="00333835">
      <w:pPr>
        <w:jc w:val="both"/>
        <w:rPr>
          <w:lang w:val="de-DE"/>
        </w:rPr>
      </w:pPr>
    </w:p>
    <w:p w14:paraId="0369DD6B" w14:textId="77777777" w:rsidR="00333835" w:rsidRPr="004676F5" w:rsidRDefault="00333835" w:rsidP="00333835">
      <w:pPr>
        <w:jc w:val="both"/>
        <w:rPr>
          <w:lang w:val="de-DE"/>
        </w:rPr>
      </w:pPr>
      <w:r w:rsidRPr="004676F5">
        <w:rPr>
          <w:lang w:val="de-DE"/>
        </w:rPr>
        <w:tab/>
      </w:r>
      <w:r w:rsidRPr="004676F5">
        <w:rPr>
          <w:i/>
          <w:lang w:val="de-DE"/>
        </w:rPr>
        <w:t>b)</w:t>
      </w:r>
      <w:r w:rsidRPr="004676F5">
        <w:rPr>
          <w:lang w:val="de-DE"/>
        </w:rPr>
        <w:t> mit Quellenangaben erfolgt außer in Fällen, in denen sich das als unmöglich erweist.</w:t>
      </w:r>
    </w:p>
    <w:p w14:paraId="0F60123D" w14:textId="77777777" w:rsidR="00333835" w:rsidRPr="004676F5" w:rsidRDefault="00333835" w:rsidP="00333835">
      <w:pPr>
        <w:jc w:val="both"/>
        <w:rPr>
          <w:lang w:val="de-DE"/>
        </w:rPr>
      </w:pPr>
    </w:p>
    <w:p w14:paraId="75C84DF8" w14:textId="3AE37B17" w:rsidR="00333835" w:rsidRPr="004676F5" w:rsidRDefault="00333835" w:rsidP="00333835">
      <w:pPr>
        <w:jc w:val="both"/>
        <w:rPr>
          <w:lang w:val="de-DE"/>
        </w:rPr>
      </w:pPr>
      <w:r w:rsidRPr="004676F5">
        <w:rPr>
          <w:lang w:val="de-DE"/>
        </w:rPr>
        <w:tab/>
        <w:t>Die Nutzung von Leistungen über gesicherte elektronische Umgebungen zur Veranschaulichung im Unterricht wie in vorhergehendem Satz erwähnt gilt als allein in dem Mitgliedstaat erfolgt, in dem die Unterrichtsanstalt ihren Sitz hat.]</w:t>
      </w:r>
    </w:p>
    <w:p w14:paraId="4D28B08E" w14:textId="77777777" w:rsidR="00333835" w:rsidRPr="004676F5" w:rsidRDefault="00333835" w:rsidP="00333835">
      <w:pPr>
        <w:jc w:val="both"/>
        <w:rPr>
          <w:lang w:val="de-DE"/>
        </w:rPr>
      </w:pPr>
    </w:p>
    <w:p w14:paraId="4B934D67" w14:textId="1904A45B" w:rsidR="00C25F31" w:rsidRPr="004676F5" w:rsidRDefault="00C25F31" w:rsidP="00C25F31">
      <w:pPr>
        <w:jc w:val="both"/>
        <w:rPr>
          <w:lang w:val="de-DE"/>
        </w:rPr>
      </w:pPr>
      <w:r w:rsidRPr="004676F5">
        <w:rPr>
          <w:i/>
          <w:lang w:val="de-DE"/>
        </w:rPr>
        <w:t>[</w:t>
      </w:r>
      <w:r w:rsidR="00BE0A56" w:rsidRPr="004676F5">
        <w:rPr>
          <w:i/>
          <w:lang w:val="de-DE"/>
        </w:rPr>
        <w:t>Art. </w:t>
      </w:r>
      <w:r w:rsidRPr="004676F5">
        <w:rPr>
          <w:i/>
          <w:lang w:val="de-DE"/>
        </w:rPr>
        <w:t xml:space="preserve">XI.217/1 eingefügt durch </w:t>
      </w:r>
      <w:r w:rsidR="00BE0A56" w:rsidRPr="004676F5">
        <w:rPr>
          <w:i/>
          <w:lang w:val="de-DE"/>
        </w:rPr>
        <w:t>Art. </w:t>
      </w:r>
      <w:r w:rsidRPr="004676F5">
        <w:rPr>
          <w:i/>
          <w:lang w:val="de-DE"/>
        </w:rPr>
        <w:t>17 des G. vom 22. Dezember 2016 (B.S. vom 29. Dezember 2016)</w:t>
      </w:r>
      <w:r w:rsidR="00AE1019" w:rsidRPr="004676F5">
        <w:rPr>
          <w:i/>
          <w:lang w:val="de-DE"/>
        </w:rPr>
        <w:t>; einziger Absatz einleitende Bestimmung abgeändert durch Art. 8 des G. vom 25. November 2018 (II) (B.S. vom 12. Dezember 2018)</w:t>
      </w:r>
      <w:r w:rsidR="00333835" w:rsidRPr="004676F5">
        <w:rPr>
          <w:i/>
          <w:lang w:val="de-DE"/>
        </w:rPr>
        <w:t xml:space="preserve"> und Art. 43 Nr. 1</w:t>
      </w:r>
      <w:r w:rsidR="00333835" w:rsidRPr="004676F5">
        <w:rPr>
          <w:i/>
          <w:iCs/>
          <w:lang w:val="de-DE"/>
        </w:rPr>
        <w:t xml:space="preserve"> des G. vom 19. Juni 2022 (B.S. vom 1. August 2022); einziger Absatz Nr. 3 abgeändert durch Art. 43 Nr. 3 des G. vom 19. Juni 2022 (B.S. vom 1. August 2022); einziger Absatz Nr. 4 abgeändert durch Art. 43 Nr. 4 des G. vom 19. Juni 2022 (B.S. vom 1. August 2022)</w:t>
      </w:r>
      <w:r w:rsidR="000678CE" w:rsidRPr="004676F5">
        <w:rPr>
          <w:i/>
          <w:lang w:val="de-DE"/>
        </w:rPr>
        <w:t>; einziger Absatz Nr. 5 eingefügt durch Art. 4 des G. vom 2. Mai 2019 (III) (B.S. vom 21. Mai 2019)</w:t>
      </w:r>
      <w:r w:rsidR="00333835" w:rsidRPr="004676F5">
        <w:rPr>
          <w:i/>
          <w:lang w:val="de-DE"/>
        </w:rPr>
        <w:t>; einziger Absatz Nr. 6 und 7 eingefügt durch Art. 43 Nr. 5</w:t>
      </w:r>
      <w:r w:rsidR="00333835" w:rsidRPr="004676F5">
        <w:rPr>
          <w:i/>
          <w:iCs/>
          <w:lang w:val="de-DE"/>
        </w:rPr>
        <w:t xml:space="preserve"> des G. vom 19. Juni 2022 (B.S. vom 1. August 2022)</w:t>
      </w:r>
      <w:r w:rsidRPr="004676F5">
        <w:rPr>
          <w:i/>
          <w:lang w:val="de-DE"/>
        </w:rPr>
        <w:t>]</w:t>
      </w:r>
    </w:p>
    <w:p w14:paraId="6D0D5908" w14:textId="77777777" w:rsidR="00C25F31" w:rsidRPr="004676F5" w:rsidRDefault="00C25F31" w:rsidP="001527B1">
      <w:pPr>
        <w:jc w:val="both"/>
        <w:rPr>
          <w:lang w:val="de-DE"/>
        </w:rPr>
      </w:pPr>
    </w:p>
    <w:p w14:paraId="341D8856" w14:textId="77777777" w:rsidR="00C25F31" w:rsidRPr="004676F5" w:rsidRDefault="00C25F31" w:rsidP="001527B1">
      <w:pPr>
        <w:jc w:val="both"/>
        <w:rPr>
          <w:lang w:val="de-DE"/>
        </w:rPr>
      </w:pPr>
    </w:p>
    <w:p w14:paraId="6C040B9A" w14:textId="1C5C44AA" w:rsidR="00C25F31" w:rsidRPr="004676F5" w:rsidRDefault="00C25F31" w:rsidP="00C25F31">
      <w:pPr>
        <w:jc w:val="center"/>
        <w:rPr>
          <w:lang w:val="de-DE"/>
        </w:rPr>
      </w:pPr>
      <w:r w:rsidRPr="004676F5">
        <w:rPr>
          <w:lang w:val="de-DE"/>
        </w:rPr>
        <w:t>[Unterabschnitt 3 </w:t>
      </w:r>
      <w:r w:rsidR="005B7A5C" w:rsidRPr="004676F5">
        <w:rPr>
          <w:lang w:val="de-DE"/>
        </w:rPr>
        <w:t>- </w:t>
      </w:r>
      <w:r w:rsidRPr="004676F5">
        <w:rPr>
          <w:lang w:val="de-DE"/>
        </w:rPr>
        <w:t>Verleih von Leistungen]</w:t>
      </w:r>
    </w:p>
    <w:p w14:paraId="723E1445" w14:textId="77777777" w:rsidR="00C25F31" w:rsidRPr="004676F5" w:rsidRDefault="00C25F31" w:rsidP="001527B1">
      <w:pPr>
        <w:jc w:val="both"/>
        <w:rPr>
          <w:lang w:val="de-DE"/>
        </w:rPr>
      </w:pPr>
    </w:p>
    <w:p w14:paraId="529C88B0" w14:textId="41CCD6BB" w:rsidR="00C25F31" w:rsidRPr="004676F5" w:rsidRDefault="00C25F31" w:rsidP="00C25F31">
      <w:pPr>
        <w:jc w:val="both"/>
        <w:rPr>
          <w:i/>
          <w:lang w:val="de-DE"/>
        </w:rPr>
      </w:pPr>
      <w:r w:rsidRPr="004676F5">
        <w:rPr>
          <w:i/>
          <w:lang w:val="de-DE"/>
        </w:rPr>
        <w:t>[Unterteilung Unterabs</w:t>
      </w:r>
      <w:r w:rsidR="00192CC5" w:rsidRPr="004676F5">
        <w:rPr>
          <w:i/>
          <w:lang w:val="de-DE"/>
        </w:rPr>
        <w:t>chn</w:t>
      </w:r>
      <w:r w:rsidRPr="004676F5">
        <w:rPr>
          <w:i/>
          <w:lang w:val="de-DE"/>
        </w:rPr>
        <w:t xml:space="preserve">itt 3 eingefügt durch </w:t>
      </w:r>
      <w:r w:rsidR="00BE0A56" w:rsidRPr="004676F5">
        <w:rPr>
          <w:i/>
          <w:lang w:val="de-DE"/>
        </w:rPr>
        <w:t>Art. </w:t>
      </w:r>
      <w:r w:rsidRPr="004676F5">
        <w:rPr>
          <w:i/>
          <w:lang w:val="de-DE"/>
        </w:rPr>
        <w:t>18 des G. vom 22. Dezember 2016 (B.S. vom 29. Dezember 2016)]</w:t>
      </w:r>
    </w:p>
    <w:p w14:paraId="5A3497E2" w14:textId="77777777" w:rsidR="00C25F31" w:rsidRPr="004676F5" w:rsidRDefault="00C25F31" w:rsidP="001527B1">
      <w:pPr>
        <w:jc w:val="both"/>
        <w:rPr>
          <w:lang w:val="de-DE"/>
        </w:rPr>
      </w:pPr>
    </w:p>
    <w:p w14:paraId="2EB3B20A" w14:textId="77777777" w:rsidR="00C25F31" w:rsidRPr="004676F5" w:rsidRDefault="00C25F31" w:rsidP="001527B1">
      <w:pPr>
        <w:ind w:firstLine="708"/>
        <w:jc w:val="both"/>
        <w:rPr>
          <w:b/>
          <w:lang w:val="de-DE"/>
        </w:rPr>
      </w:pPr>
    </w:p>
    <w:p w14:paraId="3EC1E38E" w14:textId="1568410A" w:rsidR="001527B1" w:rsidRPr="004676F5" w:rsidRDefault="00BE0A56" w:rsidP="001527B1">
      <w:pPr>
        <w:ind w:firstLine="708"/>
        <w:jc w:val="both"/>
        <w:rPr>
          <w:lang w:val="de-DE"/>
        </w:rPr>
      </w:pPr>
      <w:r w:rsidRPr="004676F5">
        <w:rPr>
          <w:b/>
          <w:lang w:val="de-DE"/>
        </w:rPr>
        <w:t>Art. </w:t>
      </w:r>
      <w:r w:rsidR="001527B1" w:rsidRPr="004676F5">
        <w:rPr>
          <w:b/>
          <w:lang w:val="de-DE"/>
        </w:rPr>
        <w:t>XI.218</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Ausübende Künstler und Produzenten können den Verleih von Tonträgern oder Erstaufzeichnungen von Filmen nicht verbieten, wenn dieser Verleih zu erzieherischen beziehungsweise kulturellen Zwecken von Einrichtungen, die zu diesem Zweck von den Behörden amtlich anerkannt oder gegründet wurden, organisiert wird.</w:t>
      </w:r>
    </w:p>
    <w:p w14:paraId="5968C95C" w14:textId="77777777" w:rsidR="00AE1019" w:rsidRPr="004676F5" w:rsidRDefault="00AE1019" w:rsidP="001527B1">
      <w:pPr>
        <w:ind w:firstLine="708"/>
        <w:jc w:val="both"/>
        <w:rPr>
          <w:lang w:val="de-DE"/>
        </w:rPr>
      </w:pPr>
    </w:p>
    <w:p w14:paraId="70950D82" w14:textId="7A6555C3" w:rsidR="00AE1019" w:rsidRPr="004676F5" w:rsidRDefault="00AE1019" w:rsidP="001527B1">
      <w:pPr>
        <w:ind w:firstLine="708"/>
        <w:jc w:val="both"/>
        <w:rPr>
          <w:lang w:val="de-DE"/>
        </w:rPr>
      </w:pPr>
      <w:r w:rsidRPr="004676F5">
        <w:rPr>
          <w:lang w:val="de-DE"/>
        </w:rPr>
        <w:t>[Ausübende Künstler und Produzenten können den Verleih eines Vervielfältigungs</w:t>
      </w:r>
      <w:r w:rsidRPr="004676F5">
        <w:rPr>
          <w:lang w:val="de-DE"/>
        </w:rPr>
        <w:softHyphen/>
        <w:t xml:space="preserve">stücks in einem barrierefreien Format durch eine befugte Stelle mit Sitz in Belgien zugunsten einer begünstigten Person oder einer anderen befugten Stelle mit Sitz in einem beliebigen Mitgliedstaat der Europäischen Union </w:t>
      </w:r>
      <w:r w:rsidR="00931546" w:rsidRPr="004676F5">
        <w:rPr>
          <w:lang w:val="de-DE"/>
        </w:rPr>
        <w:t>[</w:t>
      </w:r>
      <w:r w:rsidR="00333835" w:rsidRPr="004676F5">
        <w:rPr>
          <w:lang w:val="de-DE"/>
        </w:rPr>
        <w:t xml:space="preserve">in gemeinnütziger Weise und zur ausschließlichen Nutzung] </w:t>
      </w:r>
      <w:r w:rsidRPr="004676F5">
        <w:rPr>
          <w:lang w:val="de-DE"/>
        </w:rPr>
        <w:t>nicht verbieten, wenn dieser Verleih durch eine begünstigte Person organisiert wird</w:t>
      </w:r>
      <w:r w:rsidR="00A162A7" w:rsidRPr="004676F5">
        <w:rPr>
          <w:lang w:val="de-DE"/>
        </w:rPr>
        <w:t xml:space="preserve"> [...</w:t>
      </w:r>
      <w:r w:rsidR="00931546" w:rsidRPr="004676F5">
        <w:rPr>
          <w:lang w:val="de-DE"/>
        </w:rPr>
        <w:t>]</w:t>
      </w:r>
      <w:r w:rsidRPr="004676F5">
        <w:rPr>
          <w:lang w:val="de-DE"/>
        </w:rPr>
        <w:t>.]</w:t>
      </w:r>
    </w:p>
    <w:p w14:paraId="2F4381B9" w14:textId="77777777" w:rsidR="001527B1" w:rsidRPr="004676F5" w:rsidRDefault="001527B1" w:rsidP="001527B1">
      <w:pPr>
        <w:ind w:firstLine="708"/>
        <w:jc w:val="both"/>
        <w:rPr>
          <w:lang w:val="de-DE"/>
        </w:rPr>
      </w:pPr>
    </w:p>
    <w:p w14:paraId="4BD46674" w14:textId="5098145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Tonträger oder Erstaufzeichnungen von Filmen können erst zwei Monate nach der ersten öffentlichen Verbreitung des Werkes verliehen werden.</w:t>
      </w:r>
    </w:p>
    <w:p w14:paraId="2E6B5E96" w14:textId="77777777" w:rsidR="001527B1" w:rsidRPr="004676F5" w:rsidRDefault="001527B1" w:rsidP="001527B1">
      <w:pPr>
        <w:ind w:firstLine="708"/>
        <w:jc w:val="both"/>
        <w:rPr>
          <w:lang w:val="de-DE"/>
        </w:rPr>
      </w:pPr>
    </w:p>
    <w:p w14:paraId="6818704A" w14:textId="77777777" w:rsidR="001527B1" w:rsidRPr="004676F5" w:rsidRDefault="001527B1" w:rsidP="001527B1">
      <w:pPr>
        <w:ind w:firstLine="708"/>
        <w:jc w:val="both"/>
        <w:rPr>
          <w:lang w:val="de-DE"/>
        </w:rPr>
      </w:pPr>
      <w:r w:rsidRPr="004676F5">
        <w:rPr>
          <w:lang w:val="de-DE"/>
        </w:rPr>
        <w:t>Nach Konsultierung der Verwertungseinrichtungen und -gesellschaften kann der König für alle oder bestimmte Tonträger und Erstaufzeichnungen von Filmen die in vorhergehendem Absatz vorgesehene Frist verlängern oder verkürzen.</w:t>
      </w:r>
    </w:p>
    <w:p w14:paraId="0C98B1E2" w14:textId="77777777" w:rsidR="001527B1" w:rsidRPr="004676F5" w:rsidRDefault="001527B1" w:rsidP="001527B1">
      <w:pPr>
        <w:ind w:firstLine="708"/>
        <w:jc w:val="both"/>
        <w:rPr>
          <w:lang w:val="de-DE"/>
        </w:rPr>
      </w:pPr>
    </w:p>
    <w:p w14:paraId="58ECED43" w14:textId="6488EB56"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 xml:space="preserve">In § 1 erwähnte Einrichtungen, die vom König bestimmt werden, dürfen Tonträger oder Erstaufzeichnungen von Filmen einführen, die zuerst außerhalb der Europäischen Union </w:t>
      </w:r>
      <w:r w:rsidRPr="004676F5">
        <w:rPr>
          <w:lang w:val="de-DE"/>
        </w:rPr>
        <w:lastRenderedPageBreak/>
        <w:t>rechtmäßig verkauft worden sind und die auf dem Gebiet der Europäischen Union nicht öffentlich verteilt werden, wenn diese Einfuhr für den öffentlichen Verleih zu erzieherischen beziehungsweise kulturellen Zwecken erfolgt und nicht mehr als fünf Exemplare eines Tonträgers oder der Erstaufzeichnung eines Films eingeführt werden.</w:t>
      </w:r>
    </w:p>
    <w:p w14:paraId="76F3B9C5" w14:textId="77777777" w:rsidR="00AE1019" w:rsidRPr="004676F5" w:rsidRDefault="00AE1019" w:rsidP="001527B1">
      <w:pPr>
        <w:ind w:firstLine="708"/>
        <w:jc w:val="both"/>
        <w:rPr>
          <w:lang w:val="de-DE"/>
        </w:rPr>
      </w:pPr>
    </w:p>
    <w:p w14:paraId="224C6BC5" w14:textId="7DB223A9" w:rsidR="00AE1019" w:rsidRPr="004676F5" w:rsidRDefault="00AE1019" w:rsidP="00AE1019">
      <w:pPr>
        <w:jc w:val="both"/>
        <w:rPr>
          <w:i/>
          <w:iCs/>
          <w:lang w:val="de-DE"/>
        </w:rPr>
      </w:pPr>
      <w:r w:rsidRPr="004676F5">
        <w:rPr>
          <w:i/>
          <w:iCs/>
          <w:lang w:val="de-DE"/>
        </w:rPr>
        <w:t>[Art. XI.218 § 1 Abs. 2 eingefügt durch Art. 9</w:t>
      </w:r>
      <w:r w:rsidRPr="004676F5">
        <w:rPr>
          <w:i/>
          <w:lang w:val="de-DE"/>
        </w:rPr>
        <w:t xml:space="preserve"> des G. vom 25. November 2018 (II) (B.S. vom 12. Dezember 2018)</w:t>
      </w:r>
      <w:r w:rsidR="00A162A7" w:rsidRPr="004676F5">
        <w:rPr>
          <w:i/>
          <w:lang w:val="de-DE"/>
        </w:rPr>
        <w:t xml:space="preserve"> und abgeändert durch Art. 44</w:t>
      </w:r>
      <w:r w:rsidR="00A162A7" w:rsidRPr="004676F5">
        <w:rPr>
          <w:i/>
          <w:iCs/>
          <w:lang w:val="de-DE"/>
        </w:rPr>
        <w:t xml:space="preserve"> des G. vom 19. Juni 2022 (B.S. vom 1. August 2022)</w:t>
      </w:r>
      <w:r w:rsidRPr="004676F5">
        <w:rPr>
          <w:i/>
          <w:lang w:val="de-DE"/>
        </w:rPr>
        <w:t>]</w:t>
      </w:r>
    </w:p>
    <w:p w14:paraId="14570C18" w14:textId="77777777" w:rsidR="001527B1" w:rsidRPr="004676F5" w:rsidRDefault="001527B1" w:rsidP="001527B1">
      <w:pPr>
        <w:ind w:firstLine="708"/>
        <w:jc w:val="both"/>
        <w:rPr>
          <w:lang w:val="de-DE"/>
        </w:rPr>
      </w:pPr>
    </w:p>
    <w:p w14:paraId="6A77A5A5" w14:textId="77777777" w:rsidR="002A1316" w:rsidRPr="004676F5" w:rsidRDefault="002A1316" w:rsidP="00C25F31">
      <w:pPr>
        <w:jc w:val="both"/>
        <w:rPr>
          <w:lang w:val="de-DE"/>
        </w:rPr>
      </w:pPr>
    </w:p>
    <w:p w14:paraId="0B1A9C3D" w14:textId="1F77234E" w:rsidR="00C25F31" w:rsidRPr="004676F5" w:rsidRDefault="00C25F31" w:rsidP="00C25F31">
      <w:pPr>
        <w:jc w:val="center"/>
        <w:rPr>
          <w:lang w:val="de-DE"/>
        </w:rPr>
      </w:pPr>
      <w:r w:rsidRPr="004676F5">
        <w:rPr>
          <w:lang w:val="de-DE"/>
        </w:rPr>
        <w:t>[Unterabschnitt 4 </w:t>
      </w:r>
      <w:r w:rsidR="005B7A5C" w:rsidRPr="004676F5">
        <w:rPr>
          <w:lang w:val="de-DE"/>
        </w:rPr>
        <w:t>- </w:t>
      </w:r>
      <w:r w:rsidRPr="004676F5">
        <w:rPr>
          <w:lang w:val="de-DE"/>
        </w:rPr>
        <w:t>Verwaiste Werke]</w:t>
      </w:r>
    </w:p>
    <w:p w14:paraId="16E875DA" w14:textId="77777777" w:rsidR="00C25F31" w:rsidRPr="004676F5" w:rsidRDefault="00C25F31" w:rsidP="00C25F31">
      <w:pPr>
        <w:jc w:val="center"/>
        <w:rPr>
          <w:lang w:val="de-DE"/>
        </w:rPr>
      </w:pPr>
    </w:p>
    <w:p w14:paraId="6EFDEDAE" w14:textId="665DDF22" w:rsidR="00C25F31" w:rsidRPr="004676F5" w:rsidRDefault="00C25F31" w:rsidP="00C25F31">
      <w:pPr>
        <w:jc w:val="both"/>
        <w:rPr>
          <w:i/>
          <w:lang w:val="de-DE"/>
        </w:rPr>
      </w:pPr>
      <w:r w:rsidRPr="004676F5">
        <w:rPr>
          <w:i/>
          <w:lang w:val="de-DE"/>
        </w:rPr>
        <w:t xml:space="preserve">[Unterteilung Unterabschnitt 4 eingefügt durch </w:t>
      </w:r>
      <w:r w:rsidR="00BE0A56" w:rsidRPr="004676F5">
        <w:rPr>
          <w:i/>
          <w:lang w:val="de-DE"/>
        </w:rPr>
        <w:t>Art. </w:t>
      </w:r>
      <w:r w:rsidRPr="004676F5">
        <w:rPr>
          <w:i/>
          <w:lang w:val="de-DE"/>
        </w:rPr>
        <w:t>19 des G. vom 22. Dezember 2016 (B.S. vom 29. Dezember 2016)]</w:t>
      </w:r>
    </w:p>
    <w:p w14:paraId="1E9422FA" w14:textId="77777777" w:rsidR="00C25F31" w:rsidRPr="004676F5" w:rsidRDefault="00C25F31" w:rsidP="00C25F31">
      <w:pPr>
        <w:jc w:val="center"/>
        <w:rPr>
          <w:lang w:val="de-DE"/>
        </w:rPr>
      </w:pPr>
    </w:p>
    <w:p w14:paraId="340E808D" w14:textId="77777777" w:rsidR="00C25F31" w:rsidRPr="004676F5" w:rsidRDefault="00C25F31" w:rsidP="00C25F31">
      <w:pPr>
        <w:jc w:val="center"/>
        <w:rPr>
          <w:lang w:val="de-DE"/>
        </w:rPr>
      </w:pPr>
    </w:p>
    <w:p w14:paraId="2B666FC0" w14:textId="623900DA"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XI.218/1</w:t>
      </w:r>
      <w:r w:rsidRPr="004676F5">
        <w:rPr>
          <w:lang w:val="de-DE"/>
        </w:rPr>
        <w:t> </w:t>
      </w:r>
      <w:r w:rsidR="005B7A5C" w:rsidRPr="004676F5">
        <w:rPr>
          <w:lang w:val="de-DE"/>
        </w:rPr>
        <w:t>- </w:t>
      </w:r>
      <w:r w:rsidRPr="004676F5">
        <w:rPr>
          <w:lang w:val="de-DE"/>
        </w:rPr>
        <w:t>Es ist öffentlich zugänglichen Bibliotheken, Bildungseinrichtungen und Museen sowie Archiven, im Bereich des Film</w:t>
      </w:r>
      <w:r w:rsidR="005B7A5C" w:rsidRPr="004676F5">
        <w:rPr>
          <w:lang w:val="de-DE"/>
        </w:rPr>
        <w:t>- </w:t>
      </w:r>
      <w:r w:rsidRPr="004676F5">
        <w:rPr>
          <w:lang w:val="de-DE"/>
        </w:rPr>
        <w:t>oder Tonerbes tätigen Einrichtungen und öffentlich-rechtlichen Rundfunkanstalten, die in den Mitgliedstaaten der Europäischen Union und des Europäischen Wirtschaftsraums ihren Sitz haben, gestattet, in ihren Sammlungen enthaltene verwaiste Werke auf folgende Weise und unter den in Artikel XI.245/5 vorgese</w:t>
      </w:r>
      <w:r w:rsidRPr="004676F5">
        <w:rPr>
          <w:lang w:val="de-DE"/>
        </w:rPr>
        <w:softHyphen/>
        <w:t>henen Bedingungen zu nutzen, um die Ziele im Zusammenhang mit ihren im Gemeinwohl liegenden Aufgaben zu erreichen:</w:t>
      </w:r>
    </w:p>
    <w:p w14:paraId="13D9DA04" w14:textId="77777777" w:rsidR="002A1316" w:rsidRPr="004676F5" w:rsidRDefault="002A1316" w:rsidP="002A1316">
      <w:pPr>
        <w:jc w:val="both"/>
        <w:rPr>
          <w:lang w:val="de-DE"/>
        </w:rPr>
      </w:pPr>
    </w:p>
    <w:p w14:paraId="278D86F3" w14:textId="68DDDF2A" w:rsidR="002A1316" w:rsidRPr="004676F5" w:rsidRDefault="002A1316" w:rsidP="002A1316">
      <w:pPr>
        <w:jc w:val="both"/>
        <w:rPr>
          <w:lang w:val="de-DE"/>
        </w:rPr>
      </w:pPr>
      <w:r w:rsidRPr="004676F5">
        <w:rPr>
          <w:lang w:val="de-DE"/>
        </w:rPr>
        <w:tab/>
      </w:r>
      <w:r w:rsidRPr="004676F5">
        <w:rPr>
          <w:i/>
          <w:lang w:val="de-DE"/>
        </w:rPr>
        <w:t>a)</w:t>
      </w:r>
      <w:r w:rsidRPr="004676F5">
        <w:rPr>
          <w:lang w:val="de-DE"/>
        </w:rPr>
        <w:t xml:space="preserve"> öffentliche Zugänglichmachung des verwaisten Werkes </w:t>
      </w:r>
      <w:r w:rsidR="00A162A7" w:rsidRPr="004676F5">
        <w:rPr>
          <w:lang w:val="de-DE"/>
        </w:rPr>
        <w:t>[im Sinne der Artikel XI.205 § 1 Absatz 3, XI.209 § 1 Absatz 4, XI.215 § 1 Absatz 1 Buchstabe </w:t>
      </w:r>
      <w:r w:rsidR="00A162A7" w:rsidRPr="004676F5">
        <w:rPr>
          <w:i/>
          <w:lang w:val="de-DE"/>
        </w:rPr>
        <w:t>d)</w:t>
      </w:r>
      <w:r w:rsidR="00A162A7" w:rsidRPr="004676F5">
        <w:rPr>
          <w:lang w:val="de-DE"/>
        </w:rPr>
        <w:t xml:space="preserve"> und XI.216/2 § 1 Nr. 2]</w:t>
      </w:r>
      <w:r w:rsidRPr="004676F5">
        <w:rPr>
          <w:lang w:val="de-DE"/>
        </w:rPr>
        <w:t>,</w:t>
      </w:r>
    </w:p>
    <w:p w14:paraId="7B7ED44B" w14:textId="77777777" w:rsidR="002A1316" w:rsidRPr="004676F5" w:rsidRDefault="002A1316" w:rsidP="002A1316">
      <w:pPr>
        <w:jc w:val="both"/>
        <w:rPr>
          <w:lang w:val="de-DE"/>
        </w:rPr>
      </w:pPr>
    </w:p>
    <w:p w14:paraId="4BA32E0B" w14:textId="5A2ACA42" w:rsidR="002A1316" w:rsidRPr="004676F5" w:rsidRDefault="002A1316" w:rsidP="002A1316">
      <w:pPr>
        <w:jc w:val="both"/>
        <w:rPr>
          <w:lang w:val="de-DE"/>
        </w:rPr>
      </w:pPr>
      <w:r w:rsidRPr="004676F5">
        <w:rPr>
          <w:lang w:val="de-DE"/>
        </w:rPr>
        <w:tab/>
      </w:r>
      <w:r w:rsidRPr="004676F5">
        <w:rPr>
          <w:i/>
          <w:lang w:val="de-DE"/>
        </w:rPr>
        <w:t>b)</w:t>
      </w:r>
      <w:r w:rsidRPr="004676F5">
        <w:rPr>
          <w:lang w:val="de-DE"/>
        </w:rPr>
        <w:t xml:space="preserve"> Vervielfältigung </w:t>
      </w:r>
      <w:r w:rsidR="00A162A7" w:rsidRPr="004676F5">
        <w:rPr>
          <w:lang w:val="de-DE"/>
        </w:rPr>
        <w:t>[im Sinne der Artikel XI.205 § 1 Absatz 1, XI.209 § 1 Absatz 1, XI.215 § 1 Absatz 1 Buchstabe </w:t>
      </w:r>
      <w:r w:rsidR="00A162A7" w:rsidRPr="004676F5">
        <w:rPr>
          <w:i/>
          <w:lang w:val="de-DE"/>
        </w:rPr>
        <w:t>b)</w:t>
      </w:r>
      <w:r w:rsidR="00A162A7" w:rsidRPr="004676F5">
        <w:rPr>
          <w:lang w:val="de-DE"/>
        </w:rPr>
        <w:t xml:space="preserve"> und XI.216/2 § 1 Nr. 1]</w:t>
      </w:r>
      <w:r w:rsidRPr="004676F5">
        <w:rPr>
          <w:lang w:val="de-DE"/>
        </w:rPr>
        <w:t xml:space="preserve"> zum Zweck der Digitalisierung, Zugänglichmachung, Indexierung, Katalogisierung, Bewahrung oder Restaurierung.]</w:t>
      </w:r>
    </w:p>
    <w:p w14:paraId="4E2A2BF2" w14:textId="77777777" w:rsidR="002A1316" w:rsidRPr="004676F5" w:rsidRDefault="002A1316" w:rsidP="002A1316">
      <w:pPr>
        <w:jc w:val="both"/>
        <w:rPr>
          <w:lang w:val="de-DE"/>
        </w:rPr>
      </w:pPr>
    </w:p>
    <w:p w14:paraId="42E4B57C" w14:textId="559390E5"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XI.218/1 eingefügt durch </w:t>
      </w:r>
      <w:r w:rsidR="00BE0A56" w:rsidRPr="004676F5">
        <w:rPr>
          <w:i/>
          <w:lang w:val="de-DE"/>
        </w:rPr>
        <w:t>Art. </w:t>
      </w:r>
      <w:r w:rsidR="003366FD" w:rsidRPr="004676F5">
        <w:rPr>
          <w:i/>
          <w:lang w:val="de-DE"/>
        </w:rPr>
        <w:t>20</w:t>
      </w:r>
      <w:r w:rsidRPr="004676F5">
        <w:rPr>
          <w:i/>
          <w:lang w:val="de-DE"/>
        </w:rPr>
        <w:t xml:space="preserve"> des G. vom 20. Juli 2015 (B.S. vom 24. August 2015)</w:t>
      </w:r>
      <w:r w:rsidR="00A162A7" w:rsidRPr="004676F5">
        <w:rPr>
          <w:i/>
          <w:lang w:val="de-DE"/>
        </w:rPr>
        <w:t>; einziger Absatz Buchstabe a) abgeändert durch Art. 45 Nr. 1</w:t>
      </w:r>
      <w:r w:rsidR="00A162A7" w:rsidRPr="004676F5">
        <w:rPr>
          <w:i/>
          <w:iCs/>
          <w:lang w:val="de-DE"/>
        </w:rPr>
        <w:t xml:space="preserve"> des G. vom 19. Juni 2022 (B.S. vom 1. August 2022); </w:t>
      </w:r>
      <w:r w:rsidR="00A162A7" w:rsidRPr="004676F5">
        <w:rPr>
          <w:i/>
          <w:lang w:val="de-DE"/>
        </w:rPr>
        <w:t>einziger Absatz Buchstabe b) abgeändert durch Art. 45 Nr. 2</w:t>
      </w:r>
      <w:r w:rsidR="00A162A7" w:rsidRPr="004676F5">
        <w:rPr>
          <w:i/>
          <w:iCs/>
          <w:lang w:val="de-DE"/>
        </w:rPr>
        <w:t xml:space="preserve"> des G. vom 19. Juni 2022 (B.S. vom 1. August 2022)</w:t>
      </w:r>
      <w:r w:rsidRPr="004676F5">
        <w:rPr>
          <w:i/>
          <w:lang w:val="de-DE"/>
        </w:rPr>
        <w:t>]</w:t>
      </w:r>
    </w:p>
    <w:p w14:paraId="407CE35D" w14:textId="77777777" w:rsidR="00A162A7" w:rsidRPr="004676F5" w:rsidRDefault="00A162A7" w:rsidP="00C25F31">
      <w:pPr>
        <w:jc w:val="center"/>
        <w:rPr>
          <w:lang w:val="de-DE"/>
        </w:rPr>
      </w:pPr>
    </w:p>
    <w:p w14:paraId="11D50482" w14:textId="77777777" w:rsidR="00A162A7" w:rsidRPr="004676F5" w:rsidRDefault="00A162A7" w:rsidP="00C25F31">
      <w:pPr>
        <w:jc w:val="center"/>
        <w:rPr>
          <w:lang w:val="de-DE"/>
        </w:rPr>
      </w:pPr>
    </w:p>
    <w:p w14:paraId="099D12C8" w14:textId="77777777" w:rsidR="00A162A7" w:rsidRPr="004676F5" w:rsidRDefault="00A162A7">
      <w:pPr>
        <w:rPr>
          <w:lang w:val="de-DE"/>
        </w:rPr>
      </w:pPr>
      <w:r w:rsidRPr="004676F5">
        <w:rPr>
          <w:lang w:val="de-DE"/>
        </w:rPr>
        <w:br w:type="page"/>
      </w:r>
    </w:p>
    <w:p w14:paraId="7C39EC8F" w14:textId="70167BF0" w:rsidR="00A162A7" w:rsidRPr="004676F5" w:rsidRDefault="00A162A7" w:rsidP="00C25F31">
      <w:pPr>
        <w:jc w:val="center"/>
        <w:rPr>
          <w:lang w:val="de-DE"/>
        </w:rPr>
      </w:pPr>
      <w:r w:rsidRPr="004676F5">
        <w:rPr>
          <w:lang w:val="de-DE"/>
        </w:rPr>
        <w:lastRenderedPageBreak/>
        <w:t>[Unterabschnitt 4/1 </w:t>
      </w:r>
      <w:r w:rsidR="005B7A5C" w:rsidRPr="004676F5">
        <w:rPr>
          <w:lang w:val="de-DE"/>
        </w:rPr>
        <w:t>- </w:t>
      </w:r>
      <w:r w:rsidRPr="004676F5">
        <w:rPr>
          <w:lang w:val="de-DE"/>
        </w:rPr>
        <w:t>Vergriffene Leistungen]</w:t>
      </w:r>
    </w:p>
    <w:p w14:paraId="6B6505FE" w14:textId="77777777" w:rsidR="00A162A7" w:rsidRPr="004676F5" w:rsidRDefault="00A162A7" w:rsidP="00C25F31">
      <w:pPr>
        <w:jc w:val="center"/>
        <w:rPr>
          <w:lang w:val="de-DE"/>
        </w:rPr>
      </w:pPr>
    </w:p>
    <w:p w14:paraId="313F0BF7" w14:textId="6C164E8B" w:rsidR="00A162A7" w:rsidRPr="004676F5" w:rsidRDefault="00A162A7" w:rsidP="00A162A7">
      <w:pPr>
        <w:jc w:val="both"/>
        <w:rPr>
          <w:i/>
          <w:iCs/>
          <w:lang w:val="de-DE"/>
        </w:rPr>
      </w:pPr>
      <w:r w:rsidRPr="004676F5">
        <w:rPr>
          <w:i/>
          <w:iCs/>
          <w:lang w:val="de-DE"/>
        </w:rPr>
        <w:t>[Unterteilung Unterabschnitt 4/1 eingefügt durch Art. 46 des G. vom 19. Juni 2022 (B.S. vom 1. August 2022)]</w:t>
      </w:r>
    </w:p>
    <w:p w14:paraId="7DE141F3" w14:textId="77777777" w:rsidR="00A162A7" w:rsidRPr="004676F5" w:rsidRDefault="00A162A7" w:rsidP="00A162A7">
      <w:pPr>
        <w:jc w:val="both"/>
        <w:rPr>
          <w:lang w:val="de-DE"/>
        </w:rPr>
      </w:pPr>
    </w:p>
    <w:p w14:paraId="7074905C" w14:textId="77777777" w:rsidR="00A162A7" w:rsidRPr="004676F5" w:rsidRDefault="00A162A7" w:rsidP="00A162A7">
      <w:pPr>
        <w:jc w:val="both"/>
        <w:rPr>
          <w:lang w:val="de-DE"/>
        </w:rPr>
      </w:pPr>
    </w:p>
    <w:p w14:paraId="49B0FC18" w14:textId="7F282439" w:rsidR="00A162A7" w:rsidRPr="004676F5" w:rsidRDefault="00A162A7" w:rsidP="00A162A7">
      <w:pPr>
        <w:jc w:val="both"/>
        <w:rPr>
          <w:lang w:val="de-DE"/>
        </w:rPr>
      </w:pPr>
      <w:r w:rsidRPr="004676F5">
        <w:rPr>
          <w:lang w:val="de-DE"/>
        </w:rPr>
        <w:tab/>
        <w:t>[</w:t>
      </w:r>
      <w:r w:rsidRPr="004676F5">
        <w:rPr>
          <w:b/>
          <w:bCs/>
          <w:lang w:val="de-DE"/>
        </w:rPr>
        <w:t>Art. XI.218/2</w:t>
      </w:r>
      <w:r w:rsidRPr="004676F5">
        <w:rPr>
          <w:lang w:val="de-DE"/>
        </w:rPr>
        <w:t> </w:t>
      </w:r>
      <w:r w:rsidR="005B7A5C" w:rsidRPr="004676F5">
        <w:rPr>
          <w:lang w:val="de-DE"/>
        </w:rPr>
        <w:t>- </w:t>
      </w:r>
      <w:r w:rsidRPr="004676F5">
        <w:rPr>
          <w:lang w:val="de-DE"/>
        </w:rPr>
        <w:t>§ 1 ­ Außer in dem in § 2 erwähnten Fall darf ein ausübender Künstler, ein Produzent, ein Sendeunternehmen oder ein Presseverleger Vervielfältigung oder öffentliche Wiedergabe zu nicht kommerziellen Zwecken einer vergriffenen Leistung oder Presseveröffentlichung, die sich dauerhaft in den Sammlungen einer öffentlich zugänglichen Bibliothek, eines öffentlich zugänglichen Museums, eines Archivs oder einer im Bereich des Film</w:t>
      </w:r>
      <w:r w:rsidR="005B7A5C" w:rsidRPr="004676F5">
        <w:rPr>
          <w:lang w:val="de-DE"/>
        </w:rPr>
        <w:t>- </w:t>
      </w:r>
      <w:r w:rsidRPr="004676F5">
        <w:rPr>
          <w:lang w:val="de-DE"/>
        </w:rPr>
        <w:t>oder Tonerbes tätigen Einrichtung befindet, durch diese Bibliothek, dieses Museum, dieses Archiv oder diese Einrichtung nicht untersagen, sofern:</w:t>
      </w:r>
    </w:p>
    <w:p w14:paraId="25C3FDCF" w14:textId="77777777" w:rsidR="00A162A7" w:rsidRPr="004676F5" w:rsidRDefault="00A162A7" w:rsidP="00A162A7">
      <w:pPr>
        <w:jc w:val="both"/>
        <w:rPr>
          <w:lang w:val="de-DE"/>
        </w:rPr>
      </w:pPr>
    </w:p>
    <w:p w14:paraId="6AECC6E9" w14:textId="77777777" w:rsidR="00A162A7" w:rsidRPr="004676F5" w:rsidRDefault="00A162A7" w:rsidP="00A162A7">
      <w:pPr>
        <w:jc w:val="both"/>
        <w:rPr>
          <w:lang w:val="de-DE"/>
        </w:rPr>
      </w:pPr>
      <w:r w:rsidRPr="004676F5">
        <w:rPr>
          <w:lang w:val="de-DE"/>
        </w:rPr>
        <w:tab/>
        <w:t>1. die gemäß Artikel XI.245/7/2 § 2 bestimmte repräsentative Verwertungsgesellschaft für die betreffenden Rechte nicht bestimmt ist,</w:t>
      </w:r>
    </w:p>
    <w:p w14:paraId="1897DB3F" w14:textId="77777777" w:rsidR="00A162A7" w:rsidRPr="004676F5" w:rsidRDefault="00A162A7" w:rsidP="00A162A7">
      <w:pPr>
        <w:jc w:val="both"/>
        <w:rPr>
          <w:lang w:val="de-DE"/>
        </w:rPr>
      </w:pPr>
    </w:p>
    <w:p w14:paraId="14C2CA71" w14:textId="77777777" w:rsidR="00A162A7" w:rsidRPr="004676F5" w:rsidRDefault="00A162A7" w:rsidP="00A162A7">
      <w:pPr>
        <w:jc w:val="both"/>
        <w:rPr>
          <w:lang w:val="de-DE"/>
        </w:rPr>
      </w:pPr>
      <w:r w:rsidRPr="004676F5">
        <w:rPr>
          <w:lang w:val="de-DE"/>
        </w:rPr>
        <w:tab/>
        <w:t>2. die Leistungen und Presseveröffentlichungen auf nicht kommerziellen Websites zur Verfügung gestellt werden und</w:t>
      </w:r>
    </w:p>
    <w:p w14:paraId="0FDD20A1" w14:textId="77777777" w:rsidR="00A162A7" w:rsidRPr="004676F5" w:rsidRDefault="00A162A7" w:rsidP="00A162A7">
      <w:pPr>
        <w:jc w:val="both"/>
        <w:rPr>
          <w:lang w:val="de-DE"/>
        </w:rPr>
      </w:pPr>
    </w:p>
    <w:p w14:paraId="31397038" w14:textId="77777777" w:rsidR="00A162A7" w:rsidRPr="004676F5" w:rsidRDefault="00A162A7" w:rsidP="00A162A7">
      <w:pPr>
        <w:jc w:val="both"/>
        <w:rPr>
          <w:lang w:val="de-DE"/>
        </w:rPr>
      </w:pPr>
      <w:r w:rsidRPr="004676F5">
        <w:rPr>
          <w:lang w:val="de-DE"/>
        </w:rPr>
        <w:tab/>
        <w:t>3. Quelle und Name des ausübenden Künstlers, des Produzenten, des Sendeunter</w:t>
      </w:r>
      <w:r w:rsidRPr="004676F5">
        <w:rPr>
          <w:lang w:val="de-DE"/>
        </w:rPr>
        <w:softHyphen/>
        <w:t>nehmens, des Presseverlegers oder eines anderen identifizierbaren Rechtsinhabers angegeben werden, außer in Fällen, in denen sich das als unmöglich erweist.</w:t>
      </w:r>
    </w:p>
    <w:p w14:paraId="0392E2DF" w14:textId="77777777" w:rsidR="00A162A7" w:rsidRPr="004676F5" w:rsidRDefault="00A162A7" w:rsidP="00A162A7">
      <w:pPr>
        <w:jc w:val="both"/>
        <w:rPr>
          <w:lang w:val="de-DE"/>
        </w:rPr>
      </w:pPr>
    </w:p>
    <w:p w14:paraId="35164646" w14:textId="7AB3B5A9" w:rsidR="00A162A7" w:rsidRPr="004676F5" w:rsidRDefault="00A162A7" w:rsidP="00A162A7">
      <w:pPr>
        <w:jc w:val="both"/>
        <w:rPr>
          <w:lang w:val="de-DE"/>
        </w:rPr>
      </w:pPr>
      <w:r w:rsidRPr="004676F5">
        <w:rPr>
          <w:lang w:val="de-DE"/>
        </w:rPr>
        <w:tab/>
        <w:t>§ 2 ­ Ein ausübender Künstler, ein Produzent, ein Sendeunternehmen oder ein Presseverleger kann seine Werke auch nach Beginn der jeweiligen Nutzung durch eine öffentlich zugängliche Bibliothek, ein öffentlich zugängliches Museum, ein Archiv oder eine im Bereich des Film</w:t>
      </w:r>
      <w:r w:rsidR="005B7A5C" w:rsidRPr="004676F5">
        <w:rPr>
          <w:lang w:val="de-DE"/>
        </w:rPr>
        <w:t>- </w:t>
      </w:r>
      <w:r w:rsidRPr="004676F5">
        <w:rPr>
          <w:lang w:val="de-DE"/>
        </w:rPr>
        <w:t>oder Tonerbes tätige Einrichtung entweder generell oder in bestimmten Fällen jederzeit gemäß Artikel XI.245/7/3 einfach und wirksam von den in § 1 erwähnten Rechten der Vervielfältigung und öffentlichen Wiedergabe ausschließen.</w:t>
      </w:r>
    </w:p>
    <w:p w14:paraId="3292CD4A" w14:textId="77777777" w:rsidR="00A162A7" w:rsidRPr="004676F5" w:rsidRDefault="00A162A7" w:rsidP="00A162A7">
      <w:pPr>
        <w:jc w:val="both"/>
        <w:rPr>
          <w:lang w:val="de-DE"/>
        </w:rPr>
      </w:pPr>
    </w:p>
    <w:p w14:paraId="44DA4BE7" w14:textId="77777777" w:rsidR="00A162A7" w:rsidRPr="004676F5" w:rsidRDefault="00A162A7" w:rsidP="00A162A7">
      <w:pPr>
        <w:jc w:val="both"/>
        <w:rPr>
          <w:lang w:val="de-DE"/>
        </w:rPr>
      </w:pPr>
      <w:r w:rsidRPr="004676F5">
        <w:rPr>
          <w:lang w:val="de-DE"/>
        </w:rPr>
        <w:tab/>
        <w:t>Der König kann Modalitäten in Bezug auf die Ausübung des in Absatz 1 erwähnten Ausschlusses bestimmen.</w:t>
      </w:r>
    </w:p>
    <w:p w14:paraId="059EA35B" w14:textId="77777777" w:rsidR="00A162A7" w:rsidRPr="004676F5" w:rsidRDefault="00A162A7" w:rsidP="00A162A7">
      <w:pPr>
        <w:jc w:val="both"/>
        <w:rPr>
          <w:lang w:val="de-DE"/>
        </w:rPr>
      </w:pPr>
    </w:p>
    <w:p w14:paraId="31ED83A5" w14:textId="357B3628" w:rsidR="00A162A7" w:rsidRPr="004676F5" w:rsidRDefault="00A162A7" w:rsidP="00A162A7">
      <w:pPr>
        <w:jc w:val="both"/>
        <w:rPr>
          <w:lang w:val="de-DE"/>
        </w:rPr>
      </w:pPr>
      <w:r w:rsidRPr="004676F5">
        <w:rPr>
          <w:lang w:val="de-DE"/>
        </w:rPr>
        <w:tab/>
        <w:t>§ 3 ­ Mindestens sechs Monate vor der in § 1 erwähnten Vervielfältigung und öffentlichen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müssen die vorerwähnten Einrichtungen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7FE02382" w14:textId="77777777" w:rsidR="00A162A7" w:rsidRPr="004676F5" w:rsidRDefault="00A162A7" w:rsidP="00A162A7">
      <w:pPr>
        <w:jc w:val="both"/>
        <w:rPr>
          <w:lang w:val="de-DE"/>
        </w:rPr>
      </w:pPr>
    </w:p>
    <w:p w14:paraId="54BF38DF" w14:textId="77777777" w:rsidR="00A162A7" w:rsidRPr="004676F5" w:rsidRDefault="00A162A7" w:rsidP="00A162A7">
      <w:pPr>
        <w:jc w:val="both"/>
        <w:rPr>
          <w:lang w:val="de-DE"/>
        </w:rPr>
      </w:pPr>
      <w:r w:rsidRPr="004676F5">
        <w:rPr>
          <w:lang w:val="de-DE"/>
        </w:rPr>
        <w:tab/>
        <w:t>1. Identifizierung der vergriffenen Leistungen und Presseveröffentlichungen und</w:t>
      </w:r>
    </w:p>
    <w:p w14:paraId="46F5AC96" w14:textId="77777777" w:rsidR="00A162A7" w:rsidRPr="004676F5" w:rsidRDefault="00A162A7" w:rsidP="00A162A7">
      <w:pPr>
        <w:jc w:val="both"/>
        <w:rPr>
          <w:lang w:val="de-DE"/>
        </w:rPr>
      </w:pPr>
    </w:p>
    <w:p w14:paraId="59EACDB5" w14:textId="77777777" w:rsidR="00A162A7" w:rsidRPr="004676F5" w:rsidRDefault="00A162A7" w:rsidP="00A162A7">
      <w:pPr>
        <w:jc w:val="both"/>
        <w:rPr>
          <w:lang w:val="de-DE"/>
        </w:rPr>
      </w:pPr>
      <w:r w:rsidRPr="004676F5">
        <w:rPr>
          <w:lang w:val="de-DE"/>
        </w:rPr>
        <w:tab/>
        <w:t>2. Möglichkeit für den ausübenden Künstler, den Produzenten, das Sendeunternehmen oder den Presseverleger, seine Rechte gemäß Artikel XI.245/7/3 von dieser Ausnahme auszuschließen.</w:t>
      </w:r>
    </w:p>
    <w:p w14:paraId="1FE28314" w14:textId="77777777" w:rsidR="00A162A7" w:rsidRPr="004676F5" w:rsidRDefault="00A162A7" w:rsidP="00A162A7">
      <w:pPr>
        <w:jc w:val="both"/>
        <w:rPr>
          <w:lang w:val="de-DE"/>
        </w:rPr>
      </w:pPr>
    </w:p>
    <w:p w14:paraId="4FCB6670" w14:textId="77777777" w:rsidR="00A162A7" w:rsidRPr="004676F5" w:rsidRDefault="00A162A7" w:rsidP="00A162A7">
      <w:pPr>
        <w:jc w:val="both"/>
        <w:rPr>
          <w:lang w:val="de-DE"/>
        </w:rPr>
      </w:pPr>
      <w:r w:rsidRPr="004676F5">
        <w:rPr>
          <w:lang w:val="de-DE"/>
        </w:rPr>
        <w:tab/>
        <w:t>Der König kann Modalitäten in Bezug auf die in Absatz 1 erwähnte Bekanntmachung bestimmen und weitere geeignete Informationsmaßnahmen festlegen, wenn sich dies als notwendig erweist, um ausübende Künstler, Produzenten, Sendeunternehmen oder Presseverleger zu sensibilisieren.</w:t>
      </w:r>
    </w:p>
    <w:p w14:paraId="4925BE2A" w14:textId="77777777" w:rsidR="00A162A7" w:rsidRPr="004676F5" w:rsidRDefault="00A162A7" w:rsidP="00A162A7">
      <w:pPr>
        <w:jc w:val="both"/>
        <w:rPr>
          <w:lang w:val="de-DE"/>
        </w:rPr>
      </w:pPr>
    </w:p>
    <w:p w14:paraId="47FD252D" w14:textId="632C2BF4" w:rsidR="00A162A7" w:rsidRPr="004676F5" w:rsidRDefault="00A162A7" w:rsidP="00A162A7">
      <w:pPr>
        <w:jc w:val="both"/>
        <w:rPr>
          <w:lang w:val="de-DE"/>
        </w:rPr>
      </w:pPr>
      <w:r w:rsidRPr="004676F5">
        <w:rPr>
          <w:lang w:val="de-DE"/>
        </w:rPr>
        <w:tab/>
        <w:t>§ 4 </w:t>
      </w:r>
      <w:r w:rsidR="005B7A5C" w:rsidRPr="004676F5">
        <w:rPr>
          <w:lang w:val="de-DE"/>
        </w:rPr>
        <w:t>- </w:t>
      </w:r>
      <w:r w:rsidRPr="004676F5">
        <w:rPr>
          <w:lang w:val="de-DE"/>
        </w:rPr>
        <w:t>Öffentlich zugängliche Bibliotheken oder Museen, Archive oder im Bereich des Film</w:t>
      </w:r>
      <w:r w:rsidR="005B7A5C" w:rsidRPr="004676F5">
        <w:rPr>
          <w:lang w:val="de-DE"/>
        </w:rPr>
        <w:t>- </w:t>
      </w:r>
      <w:r w:rsidRPr="004676F5">
        <w:rPr>
          <w:lang w:val="de-DE"/>
        </w:rPr>
        <w:t>oder Tonerbes tätige Einrichtungen sind die für die Verarbeitung personenbezogener Daten Verantwortlichen, und zwar jeweils für die Datenverarbeitungen, die sie betreffen.</w:t>
      </w:r>
    </w:p>
    <w:p w14:paraId="558819F8" w14:textId="77777777" w:rsidR="00A162A7" w:rsidRPr="004676F5" w:rsidRDefault="00A162A7" w:rsidP="00A162A7">
      <w:pPr>
        <w:jc w:val="both"/>
        <w:rPr>
          <w:lang w:val="de-DE"/>
        </w:rPr>
      </w:pPr>
    </w:p>
    <w:p w14:paraId="375A0325" w14:textId="4E8A360B" w:rsidR="00A162A7" w:rsidRPr="004676F5" w:rsidRDefault="00A162A7" w:rsidP="00A162A7">
      <w:pPr>
        <w:jc w:val="both"/>
        <w:rPr>
          <w:lang w:val="de-DE"/>
        </w:rPr>
      </w:pPr>
      <w:r w:rsidRPr="004676F5">
        <w:rPr>
          <w:lang w:val="de-DE"/>
        </w:rPr>
        <w:tab/>
        <w:t>§ 5 </w:t>
      </w:r>
      <w:r w:rsidR="005B7A5C" w:rsidRPr="004676F5">
        <w:rPr>
          <w:lang w:val="de-DE"/>
        </w:rPr>
        <w:t>- </w:t>
      </w:r>
      <w:r w:rsidRPr="004676F5">
        <w:rPr>
          <w:lang w:val="de-DE"/>
        </w:rPr>
        <w:t>Eine in § 1 erwähnte Vervielfältigung und öffentliche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gilt als allein in dem Mitgliedstaat erfolgt, in dem die vorerwähnte Einrichtung ihren Sitz hat.]</w:t>
      </w:r>
    </w:p>
    <w:p w14:paraId="52A44438" w14:textId="77777777" w:rsidR="00A162A7" w:rsidRPr="004676F5" w:rsidRDefault="00A162A7" w:rsidP="00A162A7">
      <w:pPr>
        <w:jc w:val="both"/>
        <w:rPr>
          <w:lang w:val="de-DE"/>
        </w:rPr>
      </w:pPr>
    </w:p>
    <w:p w14:paraId="7DCDEB03" w14:textId="558C73AB" w:rsidR="00A162A7" w:rsidRPr="004676F5" w:rsidRDefault="00A162A7" w:rsidP="00A162A7">
      <w:pPr>
        <w:jc w:val="both"/>
        <w:rPr>
          <w:i/>
          <w:iCs/>
          <w:lang w:val="de-DE"/>
        </w:rPr>
      </w:pPr>
      <w:r w:rsidRPr="004676F5">
        <w:rPr>
          <w:i/>
          <w:iCs/>
          <w:lang w:val="de-DE"/>
        </w:rPr>
        <w:t>[Art. XI.218/2 eingefügt durch Art. 47 des G. vom 19. Juni 2022 (B.S. vom 1. August 2022)]</w:t>
      </w:r>
    </w:p>
    <w:p w14:paraId="20FC048F" w14:textId="77777777" w:rsidR="00A162A7" w:rsidRPr="004676F5" w:rsidRDefault="00A162A7" w:rsidP="00C25F31">
      <w:pPr>
        <w:jc w:val="center"/>
        <w:rPr>
          <w:lang w:val="de-DE"/>
        </w:rPr>
      </w:pPr>
    </w:p>
    <w:p w14:paraId="5820C599" w14:textId="77777777" w:rsidR="00A162A7" w:rsidRPr="004676F5" w:rsidRDefault="00A162A7" w:rsidP="00C25F31">
      <w:pPr>
        <w:jc w:val="center"/>
        <w:rPr>
          <w:lang w:val="de-DE"/>
        </w:rPr>
      </w:pPr>
    </w:p>
    <w:p w14:paraId="37444FB4" w14:textId="1625FB7A" w:rsidR="00C25F31" w:rsidRPr="004676F5" w:rsidRDefault="00C25F31" w:rsidP="00C25F31">
      <w:pPr>
        <w:jc w:val="center"/>
        <w:rPr>
          <w:lang w:val="de-DE"/>
        </w:rPr>
      </w:pPr>
      <w:r w:rsidRPr="004676F5">
        <w:rPr>
          <w:lang w:val="de-DE"/>
        </w:rPr>
        <w:t>[Unterabschnitt 5 </w:t>
      </w:r>
      <w:r w:rsidR="005B7A5C" w:rsidRPr="004676F5">
        <w:rPr>
          <w:lang w:val="de-DE"/>
        </w:rPr>
        <w:t>- </w:t>
      </w:r>
      <w:r w:rsidR="00931546" w:rsidRPr="004676F5">
        <w:rPr>
          <w:lang w:val="de-DE"/>
        </w:rPr>
        <w:t>[</w:t>
      </w:r>
      <w:r w:rsidRPr="004676F5">
        <w:rPr>
          <w:lang w:val="de-DE"/>
        </w:rPr>
        <w:t>Gemeinsame Bestimmungen für die Unterabschnitte 1, 2, 3</w:t>
      </w:r>
      <w:r w:rsidR="00A162A7" w:rsidRPr="004676F5">
        <w:rPr>
          <w:lang w:val="de-DE"/>
        </w:rPr>
        <w:t>, 4</w:t>
      </w:r>
      <w:r w:rsidRPr="004676F5">
        <w:rPr>
          <w:lang w:val="de-DE"/>
        </w:rPr>
        <w:t xml:space="preserve"> und 4</w:t>
      </w:r>
      <w:r w:rsidR="00A162A7" w:rsidRPr="004676F5">
        <w:rPr>
          <w:lang w:val="de-DE"/>
        </w:rPr>
        <w:t>/1</w:t>
      </w:r>
      <w:r w:rsidRPr="004676F5">
        <w:rPr>
          <w:lang w:val="de-DE"/>
        </w:rPr>
        <w:t>]</w:t>
      </w:r>
      <w:r w:rsidR="00931546" w:rsidRPr="004676F5">
        <w:rPr>
          <w:lang w:val="de-DE"/>
        </w:rPr>
        <w:t>]</w:t>
      </w:r>
    </w:p>
    <w:p w14:paraId="52B27479" w14:textId="77777777" w:rsidR="003366FD" w:rsidRPr="004676F5" w:rsidRDefault="003366FD" w:rsidP="00C25F31">
      <w:pPr>
        <w:jc w:val="center"/>
        <w:rPr>
          <w:lang w:val="de-DE"/>
        </w:rPr>
      </w:pPr>
    </w:p>
    <w:p w14:paraId="232B15C2" w14:textId="5AE3DE1B" w:rsidR="003366FD" w:rsidRPr="004676F5" w:rsidRDefault="003366FD" w:rsidP="003366FD">
      <w:pPr>
        <w:jc w:val="both"/>
        <w:rPr>
          <w:i/>
          <w:lang w:val="de-DE"/>
        </w:rPr>
      </w:pPr>
      <w:r w:rsidRPr="004676F5">
        <w:rPr>
          <w:i/>
          <w:lang w:val="de-DE"/>
        </w:rPr>
        <w:t>[Unterteilung Unterabschnitt </w:t>
      </w:r>
      <w:r w:rsidR="00313551" w:rsidRPr="004676F5">
        <w:rPr>
          <w:i/>
          <w:lang w:val="de-DE"/>
        </w:rPr>
        <w:t>5</w:t>
      </w:r>
      <w:r w:rsidRPr="004676F5">
        <w:rPr>
          <w:i/>
          <w:lang w:val="de-DE"/>
        </w:rPr>
        <w:t xml:space="preserve"> eingefügt durch </w:t>
      </w:r>
      <w:r w:rsidR="00BE0A56" w:rsidRPr="004676F5">
        <w:rPr>
          <w:i/>
          <w:lang w:val="de-DE"/>
        </w:rPr>
        <w:t>Art. </w:t>
      </w:r>
      <w:r w:rsidR="00313551" w:rsidRPr="004676F5">
        <w:rPr>
          <w:i/>
          <w:lang w:val="de-DE"/>
        </w:rPr>
        <w:t>20</w:t>
      </w:r>
      <w:r w:rsidRPr="004676F5">
        <w:rPr>
          <w:i/>
          <w:lang w:val="de-DE"/>
        </w:rPr>
        <w:t xml:space="preserve"> des G. vom 22. Dezember 2016 (B.S. vom 29. Dezember 2016)</w:t>
      </w:r>
      <w:r w:rsidR="00931546" w:rsidRPr="004676F5">
        <w:rPr>
          <w:i/>
          <w:lang w:val="de-DE"/>
        </w:rPr>
        <w:t>;</w:t>
      </w:r>
      <w:r w:rsidR="005B6C3E" w:rsidRPr="004676F5">
        <w:rPr>
          <w:i/>
          <w:lang w:val="de-DE"/>
        </w:rPr>
        <w:t xml:space="preserve"> </w:t>
      </w:r>
      <w:r w:rsidR="00931546" w:rsidRPr="004676F5">
        <w:rPr>
          <w:i/>
          <w:lang w:val="de-DE"/>
        </w:rPr>
        <w:t>Überschrift</w:t>
      </w:r>
      <w:r w:rsidR="005B6C3E" w:rsidRPr="004676F5">
        <w:rPr>
          <w:i/>
          <w:lang w:val="de-DE"/>
        </w:rPr>
        <w:t xml:space="preserve"> er</w:t>
      </w:r>
      <w:r w:rsidR="00335845" w:rsidRPr="004676F5">
        <w:rPr>
          <w:i/>
          <w:lang w:val="de-DE"/>
        </w:rPr>
        <w:t>setz</w:t>
      </w:r>
      <w:r w:rsidR="005B6C3E" w:rsidRPr="004676F5">
        <w:rPr>
          <w:i/>
          <w:lang w:val="de-DE"/>
        </w:rPr>
        <w:t>t durch Art. 48</w:t>
      </w:r>
      <w:r w:rsidR="005B6C3E" w:rsidRPr="004676F5">
        <w:rPr>
          <w:i/>
          <w:iCs/>
          <w:lang w:val="de-DE"/>
        </w:rPr>
        <w:t xml:space="preserve"> des G. vom 19. Juni 2022 (B.S. vom 1. August 2022)</w:t>
      </w:r>
      <w:r w:rsidRPr="004676F5">
        <w:rPr>
          <w:i/>
          <w:lang w:val="de-DE"/>
        </w:rPr>
        <w:t>]</w:t>
      </w:r>
    </w:p>
    <w:p w14:paraId="46EE781C" w14:textId="77777777" w:rsidR="00C25F31" w:rsidRPr="004676F5" w:rsidRDefault="00C25F31" w:rsidP="00C25F31">
      <w:pPr>
        <w:jc w:val="center"/>
        <w:rPr>
          <w:lang w:val="de-DE"/>
        </w:rPr>
      </w:pPr>
    </w:p>
    <w:p w14:paraId="427823E3" w14:textId="77777777" w:rsidR="005B6C3E" w:rsidRPr="004676F5" w:rsidRDefault="005B6C3E" w:rsidP="00C25F31">
      <w:pPr>
        <w:jc w:val="center"/>
        <w:rPr>
          <w:lang w:val="de-DE"/>
        </w:rPr>
      </w:pPr>
    </w:p>
    <w:p w14:paraId="719947D9" w14:textId="41540B58" w:rsidR="005B6C3E" w:rsidRPr="004676F5" w:rsidRDefault="005B6C3E" w:rsidP="005B6C3E">
      <w:pPr>
        <w:jc w:val="both"/>
        <w:rPr>
          <w:lang w:val="de-DE"/>
        </w:rPr>
      </w:pPr>
      <w:r w:rsidRPr="004676F5">
        <w:rPr>
          <w:lang w:val="de-DE"/>
        </w:rPr>
        <w:tab/>
        <w:t>[</w:t>
      </w:r>
      <w:r w:rsidRPr="004676F5">
        <w:rPr>
          <w:b/>
          <w:bCs/>
          <w:lang w:val="de-DE"/>
        </w:rPr>
        <w:t>Art. XI.218/3</w:t>
      </w:r>
      <w:r w:rsidRPr="004676F5">
        <w:rPr>
          <w:lang w:val="de-DE"/>
        </w:rPr>
        <w:t> </w:t>
      </w:r>
      <w:r w:rsidR="005B7A5C" w:rsidRPr="004676F5">
        <w:rPr>
          <w:lang w:val="de-DE"/>
        </w:rPr>
        <w:t>- </w:t>
      </w:r>
      <w:r w:rsidRPr="004676F5">
        <w:rPr>
          <w:lang w:val="de-DE"/>
        </w:rPr>
        <w:t>Die in den Artikeln XI.217, XI.217/1, XI.218 § 1 Absatz 2, XI/218/1 und XI/218/2 erwähnten Ausnahmen sind nur anwendbar, insofern die normale Verwertung der Leistung nicht beeinträchtigt wird und die berechtigten Interessen des Rechtsinhabers nicht ungebührlich verletzt werden.]</w:t>
      </w:r>
    </w:p>
    <w:p w14:paraId="2B65CB35" w14:textId="77777777" w:rsidR="005B6C3E" w:rsidRPr="004676F5" w:rsidRDefault="005B6C3E" w:rsidP="005B6C3E">
      <w:pPr>
        <w:jc w:val="both"/>
        <w:rPr>
          <w:lang w:val="de-DE"/>
        </w:rPr>
      </w:pPr>
    </w:p>
    <w:p w14:paraId="31A924A6" w14:textId="2FE71440" w:rsidR="005B6C3E" w:rsidRPr="004676F5" w:rsidRDefault="005B6C3E" w:rsidP="005B6C3E">
      <w:pPr>
        <w:jc w:val="both"/>
        <w:rPr>
          <w:i/>
          <w:iCs/>
          <w:lang w:val="de-DE"/>
        </w:rPr>
      </w:pPr>
      <w:r w:rsidRPr="004676F5">
        <w:rPr>
          <w:i/>
          <w:iCs/>
          <w:lang w:val="de-DE"/>
        </w:rPr>
        <w:t>[Art. XI.218/3 eingefügt durch Art. 49 des G. vom 19. Juni 2022 (B.S. vom 1. August 2022)]</w:t>
      </w:r>
    </w:p>
    <w:p w14:paraId="07B97945" w14:textId="77777777" w:rsidR="005B6C3E" w:rsidRPr="004676F5" w:rsidRDefault="005B6C3E" w:rsidP="005B6C3E">
      <w:pPr>
        <w:jc w:val="both"/>
        <w:rPr>
          <w:i/>
          <w:iCs/>
          <w:lang w:val="de-DE"/>
        </w:rPr>
      </w:pPr>
    </w:p>
    <w:p w14:paraId="4582B2B2" w14:textId="77777777" w:rsidR="00355502" w:rsidRPr="004676F5" w:rsidRDefault="00355502" w:rsidP="001527B1">
      <w:pPr>
        <w:ind w:firstLine="708"/>
        <w:jc w:val="both"/>
        <w:rPr>
          <w:lang w:val="de-DE"/>
        </w:rPr>
      </w:pPr>
    </w:p>
    <w:p w14:paraId="420E3F6A" w14:textId="5AD0F8DD" w:rsidR="001527B1" w:rsidRPr="004676F5" w:rsidRDefault="00BE0A56" w:rsidP="001527B1">
      <w:pPr>
        <w:ind w:firstLine="708"/>
        <w:jc w:val="both"/>
        <w:rPr>
          <w:lang w:val="de-DE"/>
        </w:rPr>
      </w:pPr>
      <w:r w:rsidRPr="004676F5">
        <w:rPr>
          <w:b/>
          <w:lang w:val="de-DE"/>
        </w:rPr>
        <w:t>Art. </w:t>
      </w:r>
      <w:r w:rsidR="001527B1" w:rsidRPr="004676F5">
        <w:rPr>
          <w:b/>
          <w:lang w:val="de-DE"/>
        </w:rPr>
        <w:t>XI.219</w:t>
      </w:r>
      <w:r w:rsidR="001527B1" w:rsidRPr="004676F5">
        <w:rPr>
          <w:lang w:val="de-DE"/>
        </w:rPr>
        <w:t> </w:t>
      </w:r>
      <w:r w:rsidR="005B7A5C" w:rsidRPr="004676F5">
        <w:rPr>
          <w:lang w:val="de-DE"/>
        </w:rPr>
        <w:t>- </w:t>
      </w:r>
      <w:r w:rsidR="002A1316" w:rsidRPr="004676F5">
        <w:rPr>
          <w:lang w:val="de-DE"/>
        </w:rPr>
        <w:t>[</w:t>
      </w:r>
      <w:r w:rsidR="005B6C3E" w:rsidRPr="004676F5">
        <w:rPr>
          <w:lang w:val="de-DE"/>
        </w:rPr>
        <w:t>Die Bestimmungen der Artikel XI.217, XI.217/1, XI.218, XI.218/1 und XI.218/2 sind verbindlich.</w:t>
      </w:r>
      <w:r w:rsidR="002A1316" w:rsidRPr="004676F5">
        <w:rPr>
          <w:lang w:val="de-DE"/>
        </w:rPr>
        <w:t xml:space="preserve">] </w:t>
      </w:r>
    </w:p>
    <w:p w14:paraId="1468EF00" w14:textId="77777777" w:rsidR="005B6C3E" w:rsidRPr="004676F5" w:rsidRDefault="005B6C3E" w:rsidP="001527B1">
      <w:pPr>
        <w:ind w:firstLine="708"/>
        <w:jc w:val="both"/>
        <w:rPr>
          <w:lang w:val="de-DE"/>
        </w:rPr>
      </w:pPr>
    </w:p>
    <w:p w14:paraId="1AC32F67" w14:textId="1AC734E3"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XI.219 ersetzt durch </w:t>
      </w:r>
      <w:r w:rsidR="00BE0A56" w:rsidRPr="004676F5">
        <w:rPr>
          <w:i/>
          <w:lang w:val="de-DE"/>
        </w:rPr>
        <w:t>Art. </w:t>
      </w:r>
      <w:r w:rsidR="005B6C3E" w:rsidRPr="004676F5">
        <w:rPr>
          <w:i/>
          <w:lang w:val="de-DE"/>
        </w:rPr>
        <w:t>50</w:t>
      </w:r>
      <w:r w:rsidR="005B6C3E" w:rsidRPr="004676F5">
        <w:rPr>
          <w:i/>
          <w:iCs/>
          <w:lang w:val="de-DE"/>
        </w:rPr>
        <w:t xml:space="preserve"> des G. vom 19. Juni 2022 (B.S. vom 1. August 2022)</w:t>
      </w:r>
      <w:r w:rsidRPr="004676F5">
        <w:rPr>
          <w:i/>
          <w:lang w:val="de-DE"/>
        </w:rPr>
        <w:t>]</w:t>
      </w:r>
    </w:p>
    <w:p w14:paraId="4CFE4E78" w14:textId="77777777" w:rsidR="001527B1" w:rsidRPr="004676F5" w:rsidRDefault="001527B1" w:rsidP="001527B1">
      <w:pPr>
        <w:jc w:val="both"/>
        <w:rPr>
          <w:lang w:val="de-DE"/>
        </w:rPr>
      </w:pPr>
    </w:p>
    <w:p w14:paraId="53153972" w14:textId="77777777" w:rsidR="00355502" w:rsidRPr="004676F5" w:rsidRDefault="00355502" w:rsidP="001527B1">
      <w:pPr>
        <w:jc w:val="both"/>
        <w:rPr>
          <w:lang w:val="de-DE"/>
        </w:rPr>
      </w:pPr>
    </w:p>
    <w:p w14:paraId="70499ACF" w14:textId="77777777" w:rsidR="00355502" w:rsidRPr="004676F5" w:rsidRDefault="00355502">
      <w:pPr>
        <w:rPr>
          <w:lang w:val="de-DE"/>
        </w:rPr>
      </w:pPr>
      <w:r w:rsidRPr="004676F5">
        <w:rPr>
          <w:lang w:val="de-DE"/>
        </w:rPr>
        <w:br w:type="page"/>
      </w:r>
    </w:p>
    <w:p w14:paraId="52C4F394" w14:textId="6E1526E2" w:rsidR="001527B1" w:rsidRPr="004676F5" w:rsidRDefault="001527B1" w:rsidP="008E0F29">
      <w:pPr>
        <w:jc w:val="both"/>
        <w:rPr>
          <w:iCs/>
          <w:lang w:val="de-DE"/>
        </w:rPr>
      </w:pPr>
      <w:r w:rsidRPr="004676F5">
        <w:rPr>
          <w:lang w:val="de-DE"/>
        </w:rPr>
        <w:lastRenderedPageBreak/>
        <w:t>KAPITEL 4</w:t>
      </w:r>
      <w:r w:rsidR="008E0F29" w:rsidRPr="004676F5">
        <w:rPr>
          <w:lang w:val="de-DE"/>
        </w:rPr>
        <w:t> </w:t>
      </w:r>
      <w:r w:rsidR="005B7A5C" w:rsidRPr="004676F5">
        <w:rPr>
          <w:lang w:val="de-DE"/>
        </w:rPr>
        <w:t>- </w:t>
      </w:r>
      <w:r w:rsidR="007764CB" w:rsidRPr="004676F5">
        <w:rPr>
          <w:lang w:val="de-DE"/>
        </w:rPr>
        <w:t>[</w:t>
      </w:r>
      <w:r w:rsidR="008E0F29" w:rsidRPr="004676F5">
        <w:rPr>
          <w:i/>
          <w:iCs/>
          <w:lang w:val="de-DE"/>
        </w:rPr>
        <w:t>Öffentliche Wiedergabe über</w:t>
      </w:r>
      <w:r w:rsidR="0099437F" w:rsidRPr="004676F5">
        <w:rPr>
          <w:i/>
          <w:iCs/>
          <w:lang w:val="de-DE"/>
        </w:rPr>
        <w:t xml:space="preserve"> </w:t>
      </w:r>
      <w:r w:rsidR="008E0F29" w:rsidRPr="004676F5">
        <w:rPr>
          <w:i/>
          <w:iCs/>
          <w:lang w:val="de-DE"/>
        </w:rPr>
        <w:t>Satellit,</w:t>
      </w:r>
      <w:r w:rsidR="00E55EF2" w:rsidRPr="004676F5">
        <w:rPr>
          <w:i/>
          <w:iCs/>
          <w:lang w:val="de-DE"/>
        </w:rPr>
        <w:t xml:space="preserve"> </w:t>
      </w:r>
      <w:r w:rsidR="008E0F29" w:rsidRPr="004676F5">
        <w:rPr>
          <w:i/>
          <w:iCs/>
          <w:lang w:val="de-DE"/>
        </w:rPr>
        <w:t>Kabelweiterverbreitung, Weiterver</w:t>
      </w:r>
      <w:r w:rsidR="008E0F29" w:rsidRPr="004676F5">
        <w:rPr>
          <w:i/>
          <w:iCs/>
          <w:lang w:val="de-DE"/>
        </w:rPr>
        <w:softHyphen/>
        <w:t>breitung, öffentliche Wiedergabe durch Direkteinspeisung und ergänzende Online-Dienste von Sendeunternehmen</w:t>
      </w:r>
      <w:r w:rsidR="007764CB" w:rsidRPr="004676F5">
        <w:rPr>
          <w:iCs/>
          <w:lang w:val="de-DE"/>
        </w:rPr>
        <w:t>]</w:t>
      </w:r>
    </w:p>
    <w:p w14:paraId="68C162AF" w14:textId="77777777" w:rsidR="001527B1" w:rsidRPr="004676F5" w:rsidRDefault="001527B1" w:rsidP="001527B1">
      <w:pPr>
        <w:jc w:val="center"/>
        <w:rPr>
          <w:iCs/>
          <w:lang w:val="de-DE"/>
        </w:rPr>
      </w:pPr>
    </w:p>
    <w:p w14:paraId="11A7EE21" w14:textId="04C69E2D" w:rsidR="007764CB" w:rsidRPr="004676F5" w:rsidRDefault="007764CB" w:rsidP="007764CB">
      <w:pPr>
        <w:jc w:val="both"/>
        <w:rPr>
          <w:i/>
          <w:lang w:val="de-DE"/>
        </w:rPr>
      </w:pPr>
      <w:r w:rsidRPr="004676F5">
        <w:rPr>
          <w:i/>
          <w:lang w:val="de-DE"/>
        </w:rPr>
        <w:t>[Überschrift von Kapitel 4 ersetzt durch Art. </w:t>
      </w:r>
      <w:r w:rsidR="00E55EF2" w:rsidRPr="004676F5">
        <w:rPr>
          <w:i/>
          <w:lang w:val="de-DE"/>
        </w:rPr>
        <w:t>5</w:t>
      </w:r>
      <w:r w:rsidRPr="004676F5">
        <w:rPr>
          <w:i/>
          <w:lang w:val="de-DE"/>
        </w:rPr>
        <w:t xml:space="preserve"> </w:t>
      </w:r>
      <w:r w:rsidR="00E43762" w:rsidRPr="004676F5">
        <w:rPr>
          <w:i/>
          <w:lang w:val="de-DE"/>
        </w:rPr>
        <w:t xml:space="preserve">des G. vom </w:t>
      </w:r>
      <w:r w:rsidR="002C7304" w:rsidRPr="004676F5">
        <w:rPr>
          <w:i/>
          <w:lang w:val="de-DE"/>
        </w:rPr>
        <w:t>1. April </w:t>
      </w:r>
      <w:r w:rsidR="00E43762" w:rsidRPr="004676F5">
        <w:rPr>
          <w:i/>
          <w:lang w:val="de-DE"/>
        </w:rPr>
        <w:t>20</w:t>
      </w:r>
      <w:r w:rsidR="002C7304" w:rsidRPr="004676F5">
        <w:rPr>
          <w:i/>
          <w:lang w:val="de-DE"/>
        </w:rPr>
        <w:t>22</w:t>
      </w:r>
      <w:r w:rsidR="00E43762" w:rsidRPr="004676F5">
        <w:rPr>
          <w:i/>
          <w:lang w:val="de-DE"/>
        </w:rPr>
        <w:t xml:space="preserve"> (B.S. vom </w:t>
      </w:r>
      <w:r w:rsidR="002C7304" w:rsidRPr="004676F5">
        <w:rPr>
          <w:i/>
          <w:lang w:val="de-DE"/>
        </w:rPr>
        <w:t>21</w:t>
      </w:r>
      <w:r w:rsidR="00E43762" w:rsidRPr="004676F5">
        <w:rPr>
          <w:i/>
          <w:lang w:val="de-DE"/>
        </w:rPr>
        <w:t>. </w:t>
      </w:r>
      <w:r w:rsidR="002C7304" w:rsidRPr="004676F5">
        <w:rPr>
          <w:i/>
          <w:lang w:val="de-DE"/>
        </w:rPr>
        <w:t>April </w:t>
      </w:r>
      <w:r w:rsidR="00E43762" w:rsidRPr="004676F5">
        <w:rPr>
          <w:i/>
          <w:lang w:val="de-DE"/>
        </w:rPr>
        <w:t>20</w:t>
      </w:r>
      <w:r w:rsidR="002C7304" w:rsidRPr="004676F5">
        <w:rPr>
          <w:i/>
          <w:lang w:val="de-DE"/>
        </w:rPr>
        <w:t>22</w:t>
      </w:r>
      <w:r w:rsidR="00E43762" w:rsidRPr="004676F5">
        <w:rPr>
          <w:i/>
          <w:lang w:val="de-DE"/>
        </w:rPr>
        <w:t>)</w:t>
      </w:r>
      <w:r w:rsidRPr="004676F5">
        <w:rPr>
          <w:i/>
          <w:lang w:val="de-DE"/>
        </w:rPr>
        <w:t>]</w:t>
      </w:r>
    </w:p>
    <w:p w14:paraId="0BCE1DF6" w14:textId="77777777" w:rsidR="007764CB" w:rsidRPr="004676F5" w:rsidRDefault="007764CB" w:rsidP="007764CB">
      <w:pPr>
        <w:jc w:val="both"/>
        <w:rPr>
          <w:i/>
          <w:lang w:val="de-DE"/>
        </w:rPr>
      </w:pPr>
    </w:p>
    <w:p w14:paraId="5DF3BF52" w14:textId="77777777" w:rsidR="00355502" w:rsidRPr="004676F5" w:rsidRDefault="00355502" w:rsidP="001527B1">
      <w:pPr>
        <w:jc w:val="center"/>
        <w:rPr>
          <w:i/>
          <w:lang w:val="de-DE"/>
        </w:rPr>
      </w:pPr>
    </w:p>
    <w:p w14:paraId="6AFF8E45" w14:textId="56379898" w:rsidR="001527B1" w:rsidRPr="004676F5" w:rsidRDefault="001527B1" w:rsidP="001527B1">
      <w:pPr>
        <w:jc w:val="center"/>
        <w:rPr>
          <w:lang w:val="de-DE"/>
        </w:rPr>
      </w:pPr>
      <w:r w:rsidRPr="004676F5">
        <w:rPr>
          <w:i/>
          <w:lang w:val="de-DE"/>
        </w:rPr>
        <w:t>Abschnitt 1</w:t>
      </w:r>
      <w:r w:rsidR="00E55EF2" w:rsidRPr="004676F5">
        <w:rPr>
          <w:i/>
          <w:lang w:val="de-DE"/>
        </w:rPr>
        <w:t xml:space="preserve"> </w:t>
      </w:r>
      <w:r w:rsidR="005B7A5C" w:rsidRPr="004676F5">
        <w:rPr>
          <w:lang w:val="de-DE"/>
        </w:rPr>
        <w:t>- </w:t>
      </w:r>
      <w:r w:rsidRPr="004676F5">
        <w:rPr>
          <w:lang w:val="de-DE"/>
        </w:rPr>
        <w:t>Öffentliche Wiedergabe über Satellit</w:t>
      </w:r>
    </w:p>
    <w:p w14:paraId="6901D2F7" w14:textId="77777777" w:rsidR="001527B1" w:rsidRPr="004676F5" w:rsidRDefault="001527B1" w:rsidP="001527B1">
      <w:pPr>
        <w:jc w:val="both"/>
        <w:rPr>
          <w:lang w:val="de-DE"/>
        </w:rPr>
      </w:pPr>
    </w:p>
    <w:p w14:paraId="06074F23" w14:textId="77777777" w:rsidR="00355502" w:rsidRPr="004676F5" w:rsidRDefault="00355502" w:rsidP="001527B1">
      <w:pPr>
        <w:jc w:val="both"/>
        <w:rPr>
          <w:lang w:val="de-DE"/>
        </w:rPr>
      </w:pPr>
    </w:p>
    <w:p w14:paraId="6173996D" w14:textId="69FAD59F" w:rsidR="001527B1" w:rsidRPr="004676F5" w:rsidRDefault="00BE0A56" w:rsidP="001527B1">
      <w:pPr>
        <w:ind w:firstLine="708"/>
        <w:jc w:val="both"/>
        <w:rPr>
          <w:lang w:val="de-DE"/>
        </w:rPr>
      </w:pPr>
      <w:r w:rsidRPr="004676F5">
        <w:rPr>
          <w:b/>
          <w:lang w:val="de-DE"/>
        </w:rPr>
        <w:t>Art. </w:t>
      </w:r>
      <w:r w:rsidR="001527B1" w:rsidRPr="004676F5">
        <w:rPr>
          <w:b/>
          <w:lang w:val="de-DE"/>
        </w:rPr>
        <w:t>XI.220</w:t>
      </w:r>
      <w:r w:rsidR="001527B1" w:rsidRPr="004676F5">
        <w:rPr>
          <w:lang w:val="de-DE"/>
        </w:rPr>
        <w:t> </w:t>
      </w:r>
      <w:r w:rsidR="005B7A5C" w:rsidRPr="004676F5">
        <w:rPr>
          <w:lang w:val="de-DE"/>
        </w:rPr>
        <w:t>- </w:t>
      </w:r>
      <w:r w:rsidR="001527B1" w:rsidRPr="004676F5">
        <w:rPr>
          <w:lang w:val="de-DE"/>
        </w:rPr>
        <w:t>Gemäß den vorhergehenden Kapiteln und unter Berücksichtigung der nachfolgenden Bestimmungen gilt der Schutz des Urheberrechts und verwandter Schutzrechte auch für Satellitenrundfunk.</w:t>
      </w:r>
    </w:p>
    <w:p w14:paraId="2AD1CEC7" w14:textId="77777777" w:rsidR="001527B1" w:rsidRPr="004676F5" w:rsidRDefault="001527B1" w:rsidP="001527B1">
      <w:pPr>
        <w:ind w:firstLine="708"/>
        <w:jc w:val="both"/>
        <w:rPr>
          <w:lang w:val="de-DE"/>
        </w:rPr>
      </w:pPr>
    </w:p>
    <w:p w14:paraId="4DF67C83" w14:textId="77777777" w:rsidR="00355502" w:rsidRPr="004676F5" w:rsidRDefault="00355502" w:rsidP="001527B1">
      <w:pPr>
        <w:ind w:firstLine="708"/>
        <w:jc w:val="both"/>
        <w:rPr>
          <w:lang w:val="de-DE"/>
        </w:rPr>
      </w:pPr>
    </w:p>
    <w:p w14:paraId="04138DBA" w14:textId="3D64ACEE" w:rsidR="001527B1" w:rsidRPr="004676F5" w:rsidRDefault="00BE0A56" w:rsidP="001527B1">
      <w:pPr>
        <w:ind w:firstLine="708"/>
        <w:jc w:val="both"/>
        <w:rPr>
          <w:lang w:val="de-DE"/>
        </w:rPr>
      </w:pPr>
      <w:r w:rsidRPr="004676F5">
        <w:rPr>
          <w:b/>
          <w:lang w:val="de-DE"/>
        </w:rPr>
        <w:t>Art. </w:t>
      </w:r>
      <w:r w:rsidR="001527B1" w:rsidRPr="004676F5">
        <w:rPr>
          <w:b/>
          <w:lang w:val="de-DE"/>
        </w:rPr>
        <w:t>XI.221</w:t>
      </w:r>
      <w:r w:rsidR="001527B1" w:rsidRPr="004676F5">
        <w:rPr>
          <w:lang w:val="de-DE"/>
        </w:rPr>
        <w:t> </w:t>
      </w:r>
      <w:r w:rsidR="005B7A5C" w:rsidRPr="004676F5">
        <w:rPr>
          <w:lang w:val="de-DE"/>
        </w:rPr>
        <w:t>- </w:t>
      </w:r>
      <w:r w:rsidR="001527B1" w:rsidRPr="004676F5">
        <w:rPr>
          <w:lang w:val="de-DE"/>
        </w:rPr>
        <w:t>Die öffentliche Wiedergabe über Satellit findet nur in dem Mitgliedstaat der Europäischen Union statt, in dem die programmtragenden Signale unter der Kontrolle des Sendeunternehmens und auf dessen Verantwortung in eine ununterbrochene Kommuni</w:t>
      </w:r>
      <w:r w:rsidR="001527B1" w:rsidRPr="004676F5">
        <w:rPr>
          <w:lang w:val="de-DE"/>
        </w:rPr>
        <w:softHyphen/>
        <w:t>kations</w:t>
      </w:r>
      <w:r w:rsidR="001527B1" w:rsidRPr="004676F5">
        <w:rPr>
          <w:lang w:val="de-DE"/>
        </w:rPr>
        <w:softHyphen/>
        <w:t>kette eingegeben werden, die zum Satelliten und zurück zur Erde führt.</w:t>
      </w:r>
    </w:p>
    <w:p w14:paraId="7D30CDC4" w14:textId="77777777" w:rsidR="001527B1" w:rsidRPr="004676F5" w:rsidRDefault="001527B1" w:rsidP="001527B1">
      <w:pPr>
        <w:ind w:firstLine="708"/>
        <w:jc w:val="both"/>
        <w:rPr>
          <w:lang w:val="de-DE"/>
        </w:rPr>
      </w:pPr>
    </w:p>
    <w:p w14:paraId="5452D70E" w14:textId="77777777" w:rsidR="001527B1" w:rsidRPr="004676F5" w:rsidRDefault="001527B1" w:rsidP="001527B1">
      <w:pPr>
        <w:ind w:firstLine="708"/>
        <w:jc w:val="both"/>
        <w:rPr>
          <w:lang w:val="de-DE"/>
        </w:rPr>
      </w:pPr>
      <w:r w:rsidRPr="004676F5">
        <w:rPr>
          <w:lang w:val="de-DE"/>
        </w:rPr>
        <w:t>Findet eine öffentliche Wiedergabe über Satellit in einem Drittstaat statt, in dem das in den vorhergehenden Kapiteln vorgesehene Schutzniveau nicht gewährleistet ist, so gilt dennoch, dass sie in dem weiter unten bestimmten Mitgliedstaat stattgefunden hat, und sind die Rechte je nach Fall gegenüber der Person, die die aussendende Erdfunkstation betreibt, oder gegenüber dem Sendeunternehmen ausübbar:</w:t>
      </w:r>
    </w:p>
    <w:p w14:paraId="091121DC" w14:textId="77777777" w:rsidR="001527B1" w:rsidRPr="004676F5" w:rsidRDefault="001527B1" w:rsidP="001527B1">
      <w:pPr>
        <w:ind w:firstLine="708"/>
        <w:jc w:val="both"/>
        <w:rPr>
          <w:lang w:val="de-DE"/>
        </w:rPr>
      </w:pPr>
    </w:p>
    <w:p w14:paraId="714CAC5E" w14:textId="0B8AEDCF" w:rsidR="001527B1" w:rsidRPr="004676F5" w:rsidRDefault="005B7A5C" w:rsidP="001527B1">
      <w:pPr>
        <w:ind w:firstLine="708"/>
        <w:jc w:val="both"/>
        <w:rPr>
          <w:lang w:val="de-DE"/>
        </w:rPr>
      </w:pPr>
      <w:r w:rsidRPr="004676F5">
        <w:rPr>
          <w:lang w:val="de-DE"/>
        </w:rPr>
        <w:t>- </w:t>
      </w:r>
      <w:r w:rsidR="001527B1" w:rsidRPr="004676F5">
        <w:rPr>
          <w:lang w:val="de-DE"/>
        </w:rPr>
        <w:t>wenn die programmtragenden Signale über Satellit von einer auf dem Staatsgebiet eines Mitgliedstaats gelegenen aussendenden Erdfunkstation geleitet werden beziehungsweise</w:t>
      </w:r>
    </w:p>
    <w:p w14:paraId="257D7BE0" w14:textId="77777777" w:rsidR="001527B1" w:rsidRPr="004676F5" w:rsidRDefault="001527B1" w:rsidP="001527B1">
      <w:pPr>
        <w:ind w:firstLine="708"/>
        <w:jc w:val="both"/>
        <w:rPr>
          <w:lang w:val="de-DE"/>
        </w:rPr>
      </w:pPr>
    </w:p>
    <w:p w14:paraId="5A05FF3D" w14:textId="6E3CEACC" w:rsidR="001527B1" w:rsidRPr="004676F5" w:rsidRDefault="005B7A5C" w:rsidP="001527B1">
      <w:pPr>
        <w:ind w:firstLine="708"/>
        <w:jc w:val="both"/>
        <w:rPr>
          <w:lang w:val="de-DE"/>
        </w:rPr>
      </w:pPr>
      <w:r w:rsidRPr="004676F5">
        <w:rPr>
          <w:lang w:val="de-DE"/>
        </w:rPr>
        <w:t>- </w:t>
      </w:r>
      <w:r w:rsidR="001527B1" w:rsidRPr="004676F5">
        <w:rPr>
          <w:lang w:val="de-DE"/>
        </w:rPr>
        <w:t>wenn das Sendeunternehmen, das die öffentliche Wiedergabe in Auftrag gegeben hat, seine Hauptniederlassung auf dem Staatsgebiet eines Mitgliedstaats hat.</w:t>
      </w:r>
    </w:p>
    <w:p w14:paraId="331DB036" w14:textId="77777777" w:rsidR="001527B1" w:rsidRPr="004676F5" w:rsidRDefault="001527B1" w:rsidP="001527B1">
      <w:pPr>
        <w:ind w:firstLine="708"/>
        <w:jc w:val="both"/>
        <w:rPr>
          <w:lang w:val="de-DE"/>
        </w:rPr>
      </w:pPr>
    </w:p>
    <w:p w14:paraId="14FDD46C" w14:textId="77777777" w:rsidR="00355502" w:rsidRPr="004676F5" w:rsidRDefault="00355502" w:rsidP="001527B1">
      <w:pPr>
        <w:ind w:firstLine="708"/>
        <w:jc w:val="both"/>
        <w:rPr>
          <w:lang w:val="de-DE"/>
        </w:rPr>
      </w:pPr>
    </w:p>
    <w:p w14:paraId="68CAEDAD" w14:textId="0D1A9F3A" w:rsidR="001527B1" w:rsidRPr="004676F5" w:rsidRDefault="00BE0A56" w:rsidP="001527B1">
      <w:pPr>
        <w:ind w:firstLine="708"/>
        <w:jc w:val="both"/>
        <w:rPr>
          <w:lang w:val="de-DE"/>
        </w:rPr>
      </w:pPr>
      <w:r w:rsidRPr="004676F5">
        <w:rPr>
          <w:b/>
          <w:lang w:val="de-DE"/>
        </w:rPr>
        <w:t>Art. </w:t>
      </w:r>
      <w:r w:rsidR="001527B1" w:rsidRPr="004676F5">
        <w:rPr>
          <w:b/>
          <w:lang w:val="de-DE"/>
        </w:rPr>
        <w:t>XI.222</w:t>
      </w:r>
      <w:r w:rsidR="001527B1" w:rsidRPr="004676F5">
        <w:rPr>
          <w:lang w:val="de-DE"/>
        </w:rPr>
        <w:t> </w:t>
      </w:r>
      <w:r w:rsidR="005B7A5C" w:rsidRPr="004676F5">
        <w:rPr>
          <w:lang w:val="de-DE"/>
        </w:rPr>
        <w:t>- </w:t>
      </w:r>
      <w:r w:rsidR="001527B1" w:rsidRPr="004676F5">
        <w:rPr>
          <w:lang w:val="de-DE"/>
        </w:rPr>
        <w:t>Für die Zwecke der Artikel XI.220 und XI.221 bedeutet öffentliche Wiedergabe über Satellit die Handlung, mit der unter der Kontrolle des Sendeunternehmens und auf dessen Verantwortung die programmtragenden Signale, die für den öffentlichen Empfang bestimmt sind, in eine ununterbrochene Kommunikationskette, die zum Satelliten und zurück zur Erde führt, eingegeben werden. Sind die programmtragenden Signale kodiert, so liegt eine öffentliche Wiedergabe über Satellit unter der Voraussetzung vor, dass die Mittel zur Dekodierung der Sendung von dem Sendeunternehmen selbst oder mit seiner Zustimmung der Öffentlichkeit zugänglich gemacht worden sind.</w:t>
      </w:r>
    </w:p>
    <w:p w14:paraId="4C0CF9C3" w14:textId="77777777" w:rsidR="001527B1" w:rsidRPr="004676F5" w:rsidRDefault="001527B1" w:rsidP="001527B1">
      <w:pPr>
        <w:ind w:firstLine="708"/>
        <w:jc w:val="both"/>
        <w:rPr>
          <w:lang w:val="de-DE"/>
        </w:rPr>
      </w:pPr>
    </w:p>
    <w:p w14:paraId="28D6879B" w14:textId="77777777" w:rsidR="00355502" w:rsidRPr="004676F5" w:rsidRDefault="00355502" w:rsidP="001527B1">
      <w:pPr>
        <w:ind w:firstLine="708"/>
        <w:jc w:val="both"/>
        <w:rPr>
          <w:lang w:val="de-DE"/>
        </w:rPr>
      </w:pPr>
    </w:p>
    <w:p w14:paraId="491D1003" w14:textId="33CEF797" w:rsidR="001527B1" w:rsidRPr="004676F5" w:rsidRDefault="001527B1" w:rsidP="001527B1">
      <w:pPr>
        <w:jc w:val="center"/>
        <w:rPr>
          <w:lang w:val="de-DE"/>
        </w:rPr>
      </w:pPr>
      <w:r w:rsidRPr="004676F5">
        <w:rPr>
          <w:i/>
          <w:lang w:val="de-DE"/>
        </w:rPr>
        <w:t>Abschnitt 2 </w:t>
      </w:r>
      <w:r w:rsidR="005B7A5C" w:rsidRPr="004676F5">
        <w:rPr>
          <w:i/>
          <w:lang w:val="de-DE"/>
        </w:rPr>
        <w:t>- </w:t>
      </w:r>
      <w:r w:rsidR="00CA6152" w:rsidRPr="004676F5">
        <w:rPr>
          <w:lang w:val="de-DE"/>
        </w:rPr>
        <w:t>[Kabelweiterverbreitung und Weiterverbreitung]</w:t>
      </w:r>
    </w:p>
    <w:p w14:paraId="24DD6685" w14:textId="77777777" w:rsidR="00CA6152" w:rsidRPr="004676F5" w:rsidRDefault="00CA6152" w:rsidP="001527B1">
      <w:pPr>
        <w:jc w:val="center"/>
        <w:rPr>
          <w:lang w:val="de-DE"/>
        </w:rPr>
      </w:pPr>
    </w:p>
    <w:p w14:paraId="4F762040" w14:textId="5AED33CF" w:rsidR="00CA6152" w:rsidRPr="004676F5" w:rsidRDefault="00CA6152" w:rsidP="00CA6152">
      <w:pPr>
        <w:jc w:val="both"/>
        <w:rPr>
          <w:i/>
          <w:iCs/>
          <w:lang w:val="de-DE"/>
        </w:rPr>
      </w:pPr>
      <w:r w:rsidRPr="004676F5">
        <w:rPr>
          <w:i/>
          <w:iCs/>
          <w:lang w:val="de-DE"/>
        </w:rPr>
        <w:t>[Überschrift von Abschnitt 2 ersetzt durch Art. 6 des G. vom 1. April 2022 (B.S. vom</w:t>
      </w:r>
      <w:r w:rsidR="002C7304" w:rsidRPr="004676F5">
        <w:rPr>
          <w:i/>
          <w:iCs/>
          <w:lang w:val="de-DE"/>
        </w:rPr>
        <w:t xml:space="preserve"> </w:t>
      </w:r>
      <w:r w:rsidRPr="004676F5">
        <w:rPr>
          <w:i/>
          <w:iCs/>
          <w:lang w:val="de-DE"/>
        </w:rPr>
        <w:t>21. April 2022)]</w:t>
      </w:r>
    </w:p>
    <w:p w14:paraId="7AFC2099" w14:textId="77777777" w:rsidR="001527B1" w:rsidRPr="004676F5" w:rsidRDefault="001527B1" w:rsidP="001527B1">
      <w:pPr>
        <w:ind w:firstLine="708"/>
        <w:jc w:val="both"/>
        <w:rPr>
          <w:lang w:val="de-DE"/>
        </w:rPr>
      </w:pPr>
    </w:p>
    <w:p w14:paraId="357B81CC" w14:textId="77777777" w:rsidR="00355502" w:rsidRPr="004676F5" w:rsidRDefault="00355502" w:rsidP="001527B1">
      <w:pPr>
        <w:ind w:firstLine="708"/>
        <w:jc w:val="both"/>
        <w:rPr>
          <w:lang w:val="de-DE"/>
        </w:rPr>
      </w:pPr>
    </w:p>
    <w:p w14:paraId="5E2F3E75" w14:textId="7ADFC36A" w:rsidR="001527B1" w:rsidRPr="004676F5" w:rsidRDefault="00BE0A56" w:rsidP="001527B1">
      <w:pPr>
        <w:ind w:firstLine="708"/>
        <w:jc w:val="both"/>
        <w:rPr>
          <w:lang w:val="de-DE"/>
        </w:rPr>
      </w:pPr>
      <w:r w:rsidRPr="004676F5">
        <w:rPr>
          <w:b/>
          <w:lang w:val="de-DE"/>
        </w:rPr>
        <w:t>Art. </w:t>
      </w:r>
      <w:r w:rsidR="001527B1" w:rsidRPr="004676F5">
        <w:rPr>
          <w:b/>
          <w:lang w:val="de-DE"/>
        </w:rPr>
        <w:t>XI.223</w:t>
      </w:r>
      <w:r w:rsidR="001527B1" w:rsidRPr="004676F5">
        <w:rPr>
          <w:lang w:val="de-DE"/>
        </w:rPr>
        <w:t> </w:t>
      </w:r>
      <w:r w:rsidR="005B7A5C" w:rsidRPr="004676F5">
        <w:rPr>
          <w:lang w:val="de-DE"/>
        </w:rPr>
        <w:t>- </w:t>
      </w:r>
      <w:r w:rsidR="001527B1" w:rsidRPr="004676F5">
        <w:rPr>
          <w:lang w:val="de-DE"/>
        </w:rPr>
        <w:t xml:space="preserve">Gemäß den vorhergehenden Kapiteln und unter Berücksichtigung der weiter unten festgelegten Modalitäten verfügen der Urheber und die Inhaber verwandter </w:t>
      </w:r>
      <w:r w:rsidR="001527B1" w:rsidRPr="004676F5">
        <w:rPr>
          <w:lang w:val="de-DE"/>
        </w:rPr>
        <w:lastRenderedPageBreak/>
        <w:t xml:space="preserve">Schutzrechte über das ausschließliche Recht, die Kabelweiterverbreitung </w:t>
      </w:r>
      <w:r w:rsidR="00CA6152" w:rsidRPr="004676F5">
        <w:rPr>
          <w:lang w:val="de-DE"/>
        </w:rPr>
        <w:t xml:space="preserve">[und/oder Weiterverbreitung] </w:t>
      </w:r>
      <w:r w:rsidR="001527B1" w:rsidRPr="004676F5">
        <w:rPr>
          <w:lang w:val="de-DE"/>
        </w:rPr>
        <w:t>ihrer Werke beziehungsweise Leistungen zu erlauben.</w:t>
      </w:r>
    </w:p>
    <w:p w14:paraId="6923B681" w14:textId="77777777" w:rsidR="00CA6152" w:rsidRPr="004676F5" w:rsidRDefault="00CA6152" w:rsidP="001527B1">
      <w:pPr>
        <w:ind w:firstLine="708"/>
        <w:jc w:val="both"/>
        <w:rPr>
          <w:lang w:val="de-DE"/>
        </w:rPr>
      </w:pPr>
    </w:p>
    <w:p w14:paraId="72BDD3EB" w14:textId="4B378CC0" w:rsidR="00CA6152" w:rsidRPr="004676F5" w:rsidRDefault="00CA6152" w:rsidP="00CA6152">
      <w:pPr>
        <w:jc w:val="both"/>
        <w:rPr>
          <w:i/>
          <w:iCs/>
          <w:lang w:val="de-DE"/>
        </w:rPr>
      </w:pPr>
      <w:r w:rsidRPr="004676F5">
        <w:rPr>
          <w:i/>
          <w:iCs/>
          <w:lang w:val="de-DE"/>
        </w:rPr>
        <w:t>[Art. XI.223 abgeändert durch Art. 7</w:t>
      </w:r>
      <w:r w:rsidRPr="004676F5">
        <w:rPr>
          <w:i/>
          <w:lang w:val="de-DE"/>
        </w:rPr>
        <w:t xml:space="preserve"> </w:t>
      </w:r>
      <w:r w:rsidRPr="004676F5">
        <w:rPr>
          <w:i/>
          <w:iCs/>
          <w:lang w:val="de-DE"/>
        </w:rPr>
        <w:t>des G. vom 1. April 2022 (B.S. vom 21. April 2022)]</w:t>
      </w:r>
    </w:p>
    <w:p w14:paraId="557BF60E" w14:textId="77777777" w:rsidR="001527B1" w:rsidRPr="004676F5" w:rsidRDefault="001527B1" w:rsidP="001527B1">
      <w:pPr>
        <w:ind w:firstLine="708"/>
        <w:jc w:val="both"/>
        <w:rPr>
          <w:lang w:val="de-DE"/>
        </w:rPr>
      </w:pPr>
    </w:p>
    <w:p w14:paraId="0F9B51FA" w14:textId="77777777" w:rsidR="00355502" w:rsidRPr="004676F5" w:rsidRDefault="00355502" w:rsidP="001527B1">
      <w:pPr>
        <w:ind w:firstLine="708"/>
        <w:jc w:val="both"/>
        <w:rPr>
          <w:lang w:val="de-DE"/>
        </w:rPr>
      </w:pPr>
    </w:p>
    <w:p w14:paraId="54A4A3F5" w14:textId="224E2B8D" w:rsidR="001527B1" w:rsidRPr="004676F5" w:rsidRDefault="00BE0A56" w:rsidP="001527B1">
      <w:pPr>
        <w:ind w:firstLine="708"/>
        <w:jc w:val="both"/>
        <w:rPr>
          <w:lang w:val="de-DE"/>
        </w:rPr>
      </w:pPr>
      <w:r w:rsidRPr="004676F5">
        <w:rPr>
          <w:b/>
          <w:lang w:val="de-DE"/>
        </w:rPr>
        <w:t>Art. </w:t>
      </w:r>
      <w:r w:rsidR="001527B1" w:rsidRPr="004676F5">
        <w:rPr>
          <w:b/>
          <w:lang w:val="de-DE"/>
        </w:rPr>
        <w:t>XI.224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CA6152" w:rsidRPr="004676F5">
        <w:rPr>
          <w:lang w:val="de-DE"/>
        </w:rPr>
        <w:t>[Das Recht der Urheber und der Inhaber verwandter Schutzrechte, die Kabelweiterverbreitung und/oder Weiterverbreitung zu erlauben oder zu verbieten, kann nur von Verwertungsgesellschaften und/oder Organisationen für die kollektive Rechtewahr</w:t>
      </w:r>
      <w:r w:rsidR="00CA6152" w:rsidRPr="004676F5">
        <w:rPr>
          <w:lang w:val="de-DE"/>
        </w:rPr>
        <w:softHyphen/>
        <w:t>nehmung, die in Belgien die Kabelweiterverbreitung und/oder Weiterverbreitung verwalten, geltend gemacht werden.]</w:t>
      </w:r>
    </w:p>
    <w:p w14:paraId="4B32DA6D" w14:textId="77777777" w:rsidR="001527B1" w:rsidRPr="004676F5" w:rsidRDefault="001527B1" w:rsidP="001527B1">
      <w:pPr>
        <w:ind w:firstLine="708"/>
        <w:jc w:val="both"/>
        <w:rPr>
          <w:lang w:val="de-DE"/>
        </w:rPr>
      </w:pPr>
    </w:p>
    <w:p w14:paraId="78F25B11" w14:textId="38C00C67" w:rsidR="00416F1C" w:rsidRPr="004676F5" w:rsidRDefault="001527B1" w:rsidP="00416F1C">
      <w:pPr>
        <w:ind w:firstLine="708"/>
        <w:jc w:val="both"/>
        <w:rPr>
          <w:lang w:val="de-DE"/>
        </w:rPr>
      </w:pPr>
      <w:r w:rsidRPr="004676F5">
        <w:rPr>
          <w:lang w:val="de-DE"/>
        </w:rPr>
        <w:t>§ 2 </w:t>
      </w:r>
      <w:r w:rsidR="005B7A5C" w:rsidRPr="004676F5">
        <w:rPr>
          <w:lang w:val="de-DE"/>
        </w:rPr>
        <w:t>- </w:t>
      </w:r>
      <w:r w:rsidR="00416F1C" w:rsidRPr="004676F5">
        <w:rPr>
          <w:lang w:val="de-DE"/>
        </w:rPr>
        <w:t>[Hat ein Urheber oder ein Inhaber verwandter Schutzrechte die Wahrnehmung seiner Rechte keiner Verwertungsgesellschaft oder Organisation für die kollektive Rechtewahr</w:t>
      </w:r>
      <w:r w:rsidR="00416F1C" w:rsidRPr="004676F5">
        <w:rPr>
          <w:lang w:val="de-DE"/>
        </w:rPr>
        <w:softHyphen/>
        <w:t>nehmung übertragen, so gilt die Verwertungsgesellschaft oder Organisation für die kollektive Rechtewahrnehmung, die Rechte der gleichen Art wahrnimmt, als bevollmächtigt, seine Rechte wahrzunehmen.</w:t>
      </w:r>
    </w:p>
    <w:p w14:paraId="049C825B" w14:textId="77777777" w:rsidR="00416F1C" w:rsidRPr="004676F5" w:rsidRDefault="00416F1C" w:rsidP="00416F1C">
      <w:pPr>
        <w:jc w:val="both"/>
        <w:rPr>
          <w:lang w:val="de-DE"/>
        </w:rPr>
      </w:pPr>
    </w:p>
    <w:p w14:paraId="0341952F" w14:textId="77DC9ED6" w:rsidR="001527B1" w:rsidRPr="004676F5" w:rsidRDefault="00416F1C" w:rsidP="00416F1C">
      <w:pPr>
        <w:ind w:firstLine="708"/>
        <w:jc w:val="both"/>
        <w:rPr>
          <w:lang w:val="de-DE"/>
        </w:rPr>
      </w:pPr>
      <w:r w:rsidRPr="004676F5">
        <w:rPr>
          <w:lang w:val="de-DE"/>
        </w:rPr>
        <w:t xml:space="preserve">Nimmt mehr als eine Verwertungsgesellschaft oder Organisation für die kollektive Rechtewahrnehmung Rechte dieser Art wahr, so steht es dem Urheber oder dem Inhaber verwandter Schutzrechte frei, unter diesen Verwertungsgesellschaften oder Organisationen für die kollektive Rechtewahrnehmung diejenige auszuwählen, die als zur Wahrnehmung seiner Rechte bevollmächtigt gelten soll. Für ihn ergeben sich aus der Vereinbarung zwischen </w:t>
      </w:r>
      <w:r w:rsidR="00CB02F8" w:rsidRPr="004676F5">
        <w:rPr>
          <w:lang w:val="de-DE"/>
        </w:rPr>
        <w:t>[dem Betreiber des Kabelweiterverbreitungsdienstes oder Weiterverbreitungsdienstes]</w:t>
      </w:r>
      <w:r w:rsidRPr="004676F5">
        <w:rPr>
          <w:lang w:val="de-DE"/>
        </w:rPr>
        <w:t xml:space="preserve"> und der Verwertungsgesellschaft oder Organisation für die kollektive Rechtewahrnehmung die gleichen Rechte und Pflichten wie für Rechtsinhaber, die diese Verwertungsgesellschaft oder Organisation für die kollektive Rechtewahrnehmung bevoll</w:t>
      </w:r>
      <w:r w:rsidRPr="004676F5">
        <w:rPr>
          <w:lang w:val="de-DE"/>
        </w:rPr>
        <w:softHyphen/>
        <w:t>mächtigt haben. Er kann diese Rechte innerhalb eines Zeitraums von drei Jahren ab dem Zeitpunkt der Kabelweiterverbreitung</w:t>
      </w:r>
      <w:r w:rsidR="002C7304" w:rsidRPr="004676F5">
        <w:rPr>
          <w:lang w:val="de-DE"/>
        </w:rPr>
        <w:t xml:space="preserve"> [oder Weiterverbreitung]</w:t>
      </w:r>
      <w:r w:rsidRPr="004676F5">
        <w:rPr>
          <w:lang w:val="de-DE"/>
        </w:rPr>
        <w:t xml:space="preserve"> seines Werkes oder seiner Leistung geltend machen.]</w:t>
      </w:r>
    </w:p>
    <w:p w14:paraId="0604E16D" w14:textId="77777777" w:rsidR="001527B1" w:rsidRPr="004676F5" w:rsidRDefault="001527B1" w:rsidP="001527B1">
      <w:pPr>
        <w:ind w:firstLine="708"/>
        <w:jc w:val="both"/>
        <w:rPr>
          <w:lang w:val="de-DE"/>
        </w:rPr>
      </w:pPr>
    </w:p>
    <w:p w14:paraId="0448D2AB" w14:textId="72CD272A"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Paragraphen 1 und 2 finden keine Anwendung auf Rechte, die ein Sendeunternehmen in Bezug auf seine eigenen Sendungen geltend macht</w:t>
      </w:r>
      <w:r w:rsidR="00CB02F8" w:rsidRPr="004676F5">
        <w:rPr>
          <w:lang w:val="de-DE"/>
        </w:rPr>
        <w:t>[, wobei es unerheblich ist, ob die betreffenden Rechte eigene Rechte sind oder ihm durch andere Rechtsinhaber übertragen worden sind]</w:t>
      </w:r>
      <w:r w:rsidRPr="004676F5">
        <w:rPr>
          <w:lang w:val="de-DE"/>
        </w:rPr>
        <w:t>.</w:t>
      </w:r>
    </w:p>
    <w:p w14:paraId="78C699D7" w14:textId="77777777" w:rsidR="00416F1C" w:rsidRPr="004676F5" w:rsidRDefault="00416F1C" w:rsidP="001527B1">
      <w:pPr>
        <w:ind w:firstLine="708"/>
        <w:jc w:val="both"/>
        <w:rPr>
          <w:lang w:val="de-DE"/>
        </w:rPr>
      </w:pPr>
    </w:p>
    <w:p w14:paraId="7608B2BC" w14:textId="20FD68B7" w:rsidR="00416F1C" w:rsidRPr="004676F5" w:rsidRDefault="00416F1C" w:rsidP="00416F1C">
      <w:pPr>
        <w:jc w:val="both"/>
        <w:rPr>
          <w:i/>
          <w:lang w:val="de-DE"/>
        </w:rPr>
      </w:pPr>
      <w:r w:rsidRPr="004676F5">
        <w:rPr>
          <w:i/>
          <w:lang w:val="de-DE"/>
        </w:rPr>
        <w:t>[</w:t>
      </w:r>
      <w:r w:rsidR="00BE0A56" w:rsidRPr="004676F5">
        <w:rPr>
          <w:i/>
          <w:lang w:val="de-DE"/>
        </w:rPr>
        <w:t>Art. </w:t>
      </w:r>
      <w:r w:rsidRPr="004676F5">
        <w:rPr>
          <w:i/>
          <w:lang w:val="de-DE"/>
        </w:rPr>
        <w:t xml:space="preserve">XI.224 § 1 </w:t>
      </w:r>
      <w:r w:rsidR="00CB02F8" w:rsidRPr="004676F5">
        <w:rPr>
          <w:i/>
          <w:lang w:val="de-DE"/>
        </w:rPr>
        <w:t>ersetzt durch Art. 8 Nr. 1 des G. vom 1. April 2022 (B.S. vom 21. April 2022)</w:t>
      </w:r>
      <w:r w:rsidRPr="004676F5">
        <w:rPr>
          <w:i/>
          <w:lang w:val="de-DE"/>
        </w:rPr>
        <w:t xml:space="preserve">; § 2 ersetzt durch </w:t>
      </w:r>
      <w:r w:rsidR="00BE0A56" w:rsidRPr="004676F5">
        <w:rPr>
          <w:i/>
          <w:lang w:val="de-DE"/>
        </w:rPr>
        <w:t>Art. </w:t>
      </w:r>
      <w:r w:rsidRPr="004676F5">
        <w:rPr>
          <w:i/>
          <w:lang w:val="de-DE"/>
        </w:rPr>
        <w:t>8 Nr. 2 des G. vom 8. Juni 2017 (B.S. vom 27. Juni 2017)</w:t>
      </w:r>
      <w:r w:rsidR="00CB02F8" w:rsidRPr="004676F5">
        <w:rPr>
          <w:i/>
          <w:lang w:val="de-DE"/>
        </w:rPr>
        <w:t>; § 2 Abs. 2 abgeändert durch Art. 8 Nr. 2 des G. vom 1. April 2022 (B.S. vom 21. April 2022); § 3 abgeändert durch Art. 8 Nr. 3 des G. vom 1. April 2022 (B.S. vom 21. April 2022)</w:t>
      </w:r>
      <w:r w:rsidRPr="004676F5">
        <w:rPr>
          <w:i/>
          <w:lang w:val="de-DE"/>
        </w:rPr>
        <w:t>]</w:t>
      </w:r>
    </w:p>
    <w:p w14:paraId="46BDC351" w14:textId="77777777" w:rsidR="001527B1" w:rsidRPr="004676F5" w:rsidRDefault="001527B1" w:rsidP="001527B1">
      <w:pPr>
        <w:ind w:firstLine="708"/>
        <w:jc w:val="both"/>
        <w:rPr>
          <w:lang w:val="de-DE"/>
        </w:rPr>
      </w:pPr>
    </w:p>
    <w:p w14:paraId="78FADF5A" w14:textId="77777777" w:rsidR="00355502" w:rsidRPr="004676F5" w:rsidRDefault="00355502" w:rsidP="001527B1">
      <w:pPr>
        <w:ind w:firstLine="708"/>
        <w:jc w:val="both"/>
        <w:rPr>
          <w:lang w:val="de-DE"/>
        </w:rPr>
      </w:pPr>
    </w:p>
    <w:p w14:paraId="4B57733C" w14:textId="4A4B815C" w:rsidR="001527B1" w:rsidRPr="004676F5" w:rsidRDefault="00BE0A56" w:rsidP="001527B1">
      <w:pPr>
        <w:ind w:firstLine="708"/>
        <w:jc w:val="both"/>
        <w:rPr>
          <w:lang w:val="de-DE"/>
        </w:rPr>
      </w:pPr>
      <w:r w:rsidRPr="004676F5">
        <w:rPr>
          <w:b/>
          <w:lang w:val="de-DE"/>
        </w:rPr>
        <w:t>Art. </w:t>
      </w:r>
      <w:r w:rsidR="001527B1" w:rsidRPr="004676F5">
        <w:rPr>
          <w:b/>
          <w:lang w:val="de-DE"/>
        </w:rPr>
        <w:t>XI.225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CB02F8" w:rsidRPr="004676F5">
        <w:rPr>
          <w:lang w:val="de-DE"/>
        </w:rPr>
        <w:t>[Hat ein Urheber oder ein ausübender Künstler sein Recht, die Kabelweiter</w:t>
      </w:r>
      <w:r w:rsidR="00CB02F8" w:rsidRPr="004676F5">
        <w:rPr>
          <w:lang w:val="de-DE"/>
        </w:rPr>
        <w:softHyphen/>
        <w:t>verbreitung und/oder Weiterverbreitung zu erlauben oder zu verbieten, an einen Produzenten eines audiovisuellen Werkes abgetreten</w:t>
      </w:r>
      <w:r w:rsidR="00070CA0" w:rsidRPr="004676F5">
        <w:rPr>
          <w:lang w:val="de-DE"/>
        </w:rPr>
        <w:t xml:space="preserve"> [oder lizensiert]</w:t>
      </w:r>
      <w:r w:rsidR="00CB02F8" w:rsidRPr="004676F5">
        <w:rPr>
          <w:lang w:val="de-DE"/>
        </w:rPr>
        <w:t>, so behält er den Anspruch auf eine angemessene Vergütung für die Kabelweiterverbreitung und/oder Weiterverbreitung.]</w:t>
      </w:r>
    </w:p>
    <w:p w14:paraId="74ECA23B" w14:textId="77777777" w:rsidR="001527B1" w:rsidRPr="004676F5" w:rsidRDefault="001527B1" w:rsidP="001527B1">
      <w:pPr>
        <w:ind w:firstLine="708"/>
        <w:jc w:val="both"/>
        <w:rPr>
          <w:lang w:val="de-DE"/>
        </w:rPr>
      </w:pPr>
    </w:p>
    <w:p w14:paraId="35189EAE" w14:textId="42273D7F"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 xml:space="preserve">Der Anspruch auf Vergütung für die Kabelweiterverbreitung </w:t>
      </w:r>
      <w:r w:rsidR="00CB02F8" w:rsidRPr="004676F5">
        <w:rPr>
          <w:lang w:val="de-DE"/>
        </w:rPr>
        <w:t xml:space="preserve">[und/oder Weiterverbreitung] </w:t>
      </w:r>
      <w:r w:rsidRPr="004676F5">
        <w:rPr>
          <w:lang w:val="de-DE"/>
        </w:rPr>
        <w:t>wie in § 1 vorgesehen ist nicht abtretbar und Urheber oder ausübende Künstler können auf diesen Anspruch nicht verzichten. Diese Bestimmung ist verbindlich.</w:t>
      </w:r>
    </w:p>
    <w:p w14:paraId="0C8C4CC2" w14:textId="77777777" w:rsidR="001527B1" w:rsidRPr="004676F5" w:rsidRDefault="001527B1" w:rsidP="001527B1">
      <w:pPr>
        <w:ind w:firstLine="708"/>
        <w:jc w:val="both"/>
        <w:rPr>
          <w:lang w:val="de-DE"/>
        </w:rPr>
      </w:pPr>
    </w:p>
    <w:p w14:paraId="7D697641" w14:textId="1D94A407" w:rsidR="001527B1" w:rsidRPr="004676F5" w:rsidRDefault="001527B1" w:rsidP="001527B1">
      <w:pPr>
        <w:ind w:firstLine="708"/>
        <w:jc w:val="both"/>
        <w:rPr>
          <w:lang w:val="de-DE"/>
        </w:rPr>
      </w:pPr>
      <w:r w:rsidRPr="004676F5">
        <w:rPr>
          <w:lang w:val="de-DE"/>
        </w:rPr>
        <w:lastRenderedPageBreak/>
        <w:t>§ 3 </w:t>
      </w:r>
      <w:r w:rsidR="005B7A5C" w:rsidRPr="004676F5">
        <w:rPr>
          <w:lang w:val="de-DE"/>
        </w:rPr>
        <w:t>- </w:t>
      </w:r>
      <w:r w:rsidRPr="004676F5">
        <w:rPr>
          <w:lang w:val="de-DE"/>
        </w:rPr>
        <w:t xml:space="preserve">Die Wahrnehmung des Anspruchs der Urheber auf Vergütung wie in § 1 erwähnt kann nur von </w:t>
      </w:r>
      <w:r w:rsidR="00416F1C" w:rsidRPr="004676F5">
        <w:rPr>
          <w:lang w:val="de-DE"/>
        </w:rPr>
        <w:t>[Verwer</w:t>
      </w:r>
      <w:r w:rsidR="00416F1C" w:rsidRPr="004676F5">
        <w:rPr>
          <w:lang w:val="de-DE"/>
        </w:rPr>
        <w:softHyphen/>
        <w:t>tungs</w:t>
      </w:r>
      <w:r w:rsidR="00416F1C" w:rsidRPr="004676F5">
        <w:rPr>
          <w:lang w:val="de-DE"/>
        </w:rPr>
        <w:softHyphen/>
      </w:r>
      <w:r w:rsidR="00416F1C" w:rsidRPr="004676F5">
        <w:rPr>
          <w:lang w:val="de-DE"/>
        </w:rPr>
        <w:softHyphen/>
        <w:t>gesellschaften und/oder Organisationen für die kollektive Rechtewahrnehmung]</w:t>
      </w:r>
      <w:r w:rsidRPr="004676F5">
        <w:rPr>
          <w:lang w:val="de-DE"/>
        </w:rPr>
        <w:t xml:space="preserve"> ausgeübt werden, die Urheber vertreten.</w:t>
      </w:r>
    </w:p>
    <w:p w14:paraId="51EA9C44" w14:textId="77777777" w:rsidR="001527B1" w:rsidRPr="004676F5" w:rsidRDefault="001527B1" w:rsidP="001527B1">
      <w:pPr>
        <w:ind w:firstLine="708"/>
        <w:jc w:val="both"/>
        <w:rPr>
          <w:lang w:val="de-DE"/>
        </w:rPr>
      </w:pPr>
    </w:p>
    <w:p w14:paraId="3079B1E6" w14:textId="77777777" w:rsidR="001527B1" w:rsidRPr="004676F5" w:rsidRDefault="001527B1" w:rsidP="001527B1">
      <w:pPr>
        <w:ind w:firstLine="708"/>
        <w:jc w:val="both"/>
        <w:rPr>
          <w:lang w:val="de-DE"/>
        </w:rPr>
      </w:pPr>
      <w:r w:rsidRPr="004676F5">
        <w:rPr>
          <w:lang w:val="de-DE"/>
        </w:rPr>
        <w:t xml:space="preserve">Die Wahrnehmung des Anspruchs der ausübenden Künstler auf Vergütung wie in § 1 erwähnt kann nur von </w:t>
      </w:r>
      <w:r w:rsidR="00416F1C" w:rsidRPr="004676F5">
        <w:rPr>
          <w:lang w:val="de-DE"/>
        </w:rPr>
        <w:t>[Verwer</w:t>
      </w:r>
      <w:r w:rsidR="00416F1C" w:rsidRPr="004676F5">
        <w:rPr>
          <w:lang w:val="de-DE"/>
        </w:rPr>
        <w:softHyphen/>
        <w:t>tungs</w:t>
      </w:r>
      <w:r w:rsidR="00416F1C" w:rsidRPr="004676F5">
        <w:rPr>
          <w:lang w:val="de-DE"/>
        </w:rPr>
        <w:softHyphen/>
      </w:r>
      <w:r w:rsidR="00416F1C" w:rsidRPr="004676F5">
        <w:rPr>
          <w:lang w:val="de-DE"/>
        </w:rPr>
        <w:softHyphen/>
        <w:t xml:space="preserve">gesellschaften und/oder Organisationen für die kollektive Rechtewahrnehmung] </w:t>
      </w:r>
      <w:r w:rsidRPr="004676F5">
        <w:rPr>
          <w:lang w:val="de-DE"/>
        </w:rPr>
        <w:t>ausgeübt werden, die ausübende Künstler vertreten.</w:t>
      </w:r>
    </w:p>
    <w:p w14:paraId="47AA8C30" w14:textId="77777777" w:rsidR="001527B1" w:rsidRPr="004676F5" w:rsidRDefault="001527B1" w:rsidP="001527B1">
      <w:pPr>
        <w:ind w:firstLine="708"/>
        <w:jc w:val="both"/>
        <w:rPr>
          <w:lang w:val="de-DE"/>
        </w:rPr>
      </w:pPr>
    </w:p>
    <w:p w14:paraId="73C41606" w14:textId="4FE16C9F" w:rsidR="001527B1" w:rsidRPr="004676F5" w:rsidRDefault="001527B1" w:rsidP="007F5A05">
      <w:pPr>
        <w:ind w:firstLine="708"/>
        <w:jc w:val="both"/>
        <w:rPr>
          <w:lang w:val="de-DE"/>
        </w:rPr>
      </w:pPr>
      <w:r w:rsidRPr="004676F5">
        <w:rPr>
          <w:lang w:val="de-DE"/>
        </w:rPr>
        <w:t>§ 4 </w:t>
      </w:r>
      <w:r w:rsidR="005B7A5C" w:rsidRPr="004676F5">
        <w:rPr>
          <w:lang w:val="de-DE"/>
        </w:rPr>
        <w:t>- </w:t>
      </w:r>
      <w:r w:rsidR="007F5A05" w:rsidRPr="004676F5">
        <w:rPr>
          <w:lang w:val="de-DE"/>
        </w:rPr>
        <w:t>[...]</w:t>
      </w:r>
    </w:p>
    <w:p w14:paraId="68879F43" w14:textId="4F310B0E" w:rsidR="007764CB" w:rsidRPr="004676F5" w:rsidRDefault="007764CB">
      <w:pPr>
        <w:rPr>
          <w:lang w:val="de-DE"/>
        </w:rPr>
      </w:pPr>
    </w:p>
    <w:p w14:paraId="0EB3C110" w14:textId="221DC7C6"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 xml:space="preserve">Solange </w:t>
      </w:r>
      <w:r w:rsidR="007F5A05" w:rsidRPr="004676F5">
        <w:rPr>
          <w:lang w:val="de-DE"/>
        </w:rPr>
        <w:t>[die in Artikel XI.228/1 vorgesehene Gemeinschaftsplattform]</w:t>
      </w:r>
      <w:r w:rsidRPr="004676F5">
        <w:rPr>
          <w:lang w:val="de-DE"/>
        </w:rPr>
        <w:t xml:space="preserve"> nicht eingesetzt ist, kann der in § 1 erwähnte Vergütungsanspruch unmittelbar bei den </w:t>
      </w:r>
      <w:r w:rsidR="001D7C66" w:rsidRPr="004676F5">
        <w:rPr>
          <w:lang w:val="de-DE"/>
        </w:rPr>
        <w:t>[Verwer</w:t>
      </w:r>
      <w:r w:rsidR="001D7C66" w:rsidRPr="004676F5">
        <w:rPr>
          <w:lang w:val="de-DE"/>
        </w:rPr>
        <w:softHyphen/>
        <w:t>tungs</w:t>
      </w:r>
      <w:r w:rsidR="001D7C66" w:rsidRPr="004676F5">
        <w:rPr>
          <w:lang w:val="de-DE"/>
        </w:rPr>
        <w:softHyphen/>
      </w:r>
      <w:r w:rsidR="001D7C66" w:rsidRPr="004676F5">
        <w:rPr>
          <w:lang w:val="de-DE"/>
        </w:rPr>
        <w:softHyphen/>
        <w:t xml:space="preserve">gesellschaften und/oder Organisationen für die kollektive Rechtewahrnehmung] </w:t>
      </w:r>
      <w:r w:rsidR="00CB02F8" w:rsidRPr="004676F5">
        <w:rPr>
          <w:lang w:val="de-DE"/>
        </w:rPr>
        <w:t>[der Betreiber des Kabelweiterverbreitungsdienstes oder Weiterverbreitungsdienstes]</w:t>
      </w:r>
      <w:r w:rsidRPr="004676F5">
        <w:rPr>
          <w:lang w:val="de-DE"/>
        </w:rPr>
        <w:t xml:space="preserve"> geltend gemacht werden.</w:t>
      </w:r>
    </w:p>
    <w:p w14:paraId="210248A6" w14:textId="77777777" w:rsidR="001D7C66" w:rsidRPr="004676F5" w:rsidRDefault="001D7C66" w:rsidP="001527B1">
      <w:pPr>
        <w:ind w:firstLine="708"/>
        <w:jc w:val="both"/>
        <w:rPr>
          <w:lang w:val="de-DE"/>
        </w:rPr>
      </w:pPr>
    </w:p>
    <w:p w14:paraId="6FA9C6DE" w14:textId="2BC56AE5" w:rsidR="001D7C66" w:rsidRPr="004676F5" w:rsidRDefault="001D7C66" w:rsidP="001D7C66">
      <w:pPr>
        <w:jc w:val="both"/>
        <w:rPr>
          <w:i/>
          <w:lang w:val="de-DE"/>
        </w:rPr>
      </w:pPr>
      <w:r w:rsidRPr="004676F5">
        <w:rPr>
          <w:i/>
          <w:lang w:val="de-DE"/>
        </w:rPr>
        <w:t>[</w:t>
      </w:r>
      <w:r w:rsidR="00BE0A56" w:rsidRPr="004676F5">
        <w:rPr>
          <w:i/>
          <w:lang w:val="de-DE"/>
        </w:rPr>
        <w:t>Art. </w:t>
      </w:r>
      <w:r w:rsidRPr="004676F5">
        <w:rPr>
          <w:i/>
          <w:lang w:val="de-DE"/>
        </w:rPr>
        <w:t>XI.225</w:t>
      </w:r>
      <w:r w:rsidR="00CB02F8" w:rsidRPr="004676F5">
        <w:rPr>
          <w:i/>
          <w:lang w:val="de-DE"/>
        </w:rPr>
        <w:t xml:space="preserve"> § 1 ersetzt durch Art. 9 Nr. 1 des G. vom 1. April 2022 (B.S. vom 21. April 2022)</w:t>
      </w:r>
      <w:r w:rsidR="00070CA0" w:rsidRPr="004676F5">
        <w:rPr>
          <w:i/>
          <w:lang w:val="de-DE"/>
        </w:rPr>
        <w:t xml:space="preserve"> und abgeändert durch Art. 36</w:t>
      </w:r>
      <w:r w:rsidR="00070CA0" w:rsidRPr="004676F5">
        <w:rPr>
          <w:i/>
          <w:iCs/>
          <w:lang w:val="de-DE"/>
        </w:rPr>
        <w:t xml:space="preserve"> des G. vom 9. Februar 2024 (B.S. vom 21. März 2024)</w:t>
      </w:r>
      <w:r w:rsidR="00CB02F8" w:rsidRPr="004676F5">
        <w:rPr>
          <w:i/>
          <w:lang w:val="de-DE"/>
        </w:rPr>
        <w:t>; § 2 abgeändert durch Art. 9 Nr. 2 des G. vom 1. April 2022 (B.S. vom 21. April 2022)</w:t>
      </w:r>
      <w:r w:rsidR="00212CBA" w:rsidRPr="004676F5">
        <w:rPr>
          <w:i/>
          <w:lang w:val="de-DE"/>
        </w:rPr>
        <w:t>;</w:t>
      </w:r>
      <w:r w:rsidR="00CB02F8" w:rsidRPr="004676F5">
        <w:rPr>
          <w:i/>
          <w:lang w:val="de-DE"/>
        </w:rPr>
        <w:t xml:space="preserve"> § </w:t>
      </w:r>
      <w:r w:rsidRPr="004676F5">
        <w:rPr>
          <w:i/>
          <w:lang w:val="de-DE"/>
        </w:rPr>
        <w:t xml:space="preserve">3 Abs. 1 und 2 abgeändert durch </w:t>
      </w:r>
      <w:r w:rsidR="00BE0A56" w:rsidRPr="004676F5">
        <w:rPr>
          <w:i/>
          <w:lang w:val="de-DE"/>
        </w:rPr>
        <w:t>Art. </w:t>
      </w:r>
      <w:r w:rsidRPr="004676F5">
        <w:rPr>
          <w:i/>
          <w:lang w:val="de-DE"/>
        </w:rPr>
        <w:t xml:space="preserve">9 Nr. 1 des G. vom 8. Juni 2017 (B.S. vom 27. Juni 2017); § 4 </w:t>
      </w:r>
      <w:r w:rsidR="007764CB" w:rsidRPr="004676F5">
        <w:rPr>
          <w:i/>
          <w:lang w:val="de-DE"/>
        </w:rPr>
        <w:t xml:space="preserve">aufgehoben durch Art. 6 Nr. 1 </w:t>
      </w:r>
      <w:r w:rsidR="00E43762" w:rsidRPr="004676F5">
        <w:rPr>
          <w:i/>
          <w:lang w:val="de-DE"/>
        </w:rPr>
        <w:t>des G. vom 25. November 2018 (I) (B.S. vom 12. Dezember 2018)</w:t>
      </w:r>
      <w:r w:rsidRPr="004676F5">
        <w:rPr>
          <w:i/>
          <w:lang w:val="de-DE"/>
        </w:rPr>
        <w:t xml:space="preserve">; § 5 abgeändert durch </w:t>
      </w:r>
      <w:r w:rsidR="00BE0A56" w:rsidRPr="004676F5">
        <w:rPr>
          <w:i/>
          <w:lang w:val="de-DE"/>
        </w:rPr>
        <w:t>Art. </w:t>
      </w:r>
      <w:r w:rsidRPr="004676F5">
        <w:rPr>
          <w:i/>
          <w:lang w:val="de-DE"/>
        </w:rPr>
        <w:t>9 Nr. 3 des G. vom 8. Juni 2017 (B.S. vom 27. Juni 2017)</w:t>
      </w:r>
      <w:r w:rsidR="00CB02F8" w:rsidRPr="004676F5">
        <w:rPr>
          <w:i/>
          <w:lang w:val="de-DE"/>
        </w:rPr>
        <w:t>,</w:t>
      </w:r>
      <w:r w:rsidR="007764CB" w:rsidRPr="004676F5">
        <w:rPr>
          <w:i/>
          <w:lang w:val="de-DE"/>
        </w:rPr>
        <w:t xml:space="preserve"> Art. 6 Nr. 2 </w:t>
      </w:r>
      <w:r w:rsidR="00E43762" w:rsidRPr="004676F5">
        <w:rPr>
          <w:i/>
          <w:lang w:val="de-DE"/>
        </w:rPr>
        <w:t>des G. vom 25. November 2018 (I) (B.S. vom 12. Dezember 2018)</w:t>
      </w:r>
      <w:r w:rsidR="00CB02F8" w:rsidRPr="004676F5">
        <w:rPr>
          <w:i/>
          <w:lang w:val="de-DE"/>
        </w:rPr>
        <w:t xml:space="preserve"> und Art. 9 Nr. 3 des G. vom 1. April 2022 (B.S. vom 21. April 2022)</w:t>
      </w:r>
      <w:r w:rsidRPr="004676F5">
        <w:rPr>
          <w:i/>
          <w:lang w:val="de-DE"/>
        </w:rPr>
        <w:t>]</w:t>
      </w:r>
    </w:p>
    <w:p w14:paraId="5F3F2630" w14:textId="77777777" w:rsidR="001527B1" w:rsidRPr="004676F5" w:rsidRDefault="001527B1" w:rsidP="001527B1">
      <w:pPr>
        <w:ind w:firstLine="708"/>
        <w:jc w:val="both"/>
        <w:rPr>
          <w:lang w:val="de-DE"/>
        </w:rPr>
      </w:pPr>
    </w:p>
    <w:p w14:paraId="300F33DD" w14:textId="77777777" w:rsidR="007764CB" w:rsidRPr="004676F5" w:rsidRDefault="007764CB" w:rsidP="001527B1">
      <w:pPr>
        <w:ind w:firstLine="708"/>
        <w:jc w:val="both"/>
        <w:rPr>
          <w:lang w:val="de-DE"/>
        </w:rPr>
      </w:pPr>
    </w:p>
    <w:p w14:paraId="4A6DB6DF" w14:textId="057F0013" w:rsidR="007764CB" w:rsidRPr="004676F5" w:rsidRDefault="007764CB" w:rsidP="007764CB">
      <w:pPr>
        <w:jc w:val="center"/>
        <w:rPr>
          <w:lang w:val="de-DE"/>
        </w:rPr>
      </w:pPr>
      <w:r w:rsidRPr="004676F5">
        <w:rPr>
          <w:lang w:val="de-DE"/>
        </w:rPr>
        <w:t>[</w:t>
      </w:r>
      <w:r w:rsidRPr="004676F5">
        <w:rPr>
          <w:i/>
          <w:iCs/>
          <w:lang w:val="de-DE"/>
        </w:rPr>
        <w:t>Abschnitt 3</w:t>
      </w:r>
      <w:r w:rsidRPr="004676F5">
        <w:rPr>
          <w:lang w:val="de-DE"/>
        </w:rPr>
        <w:t> </w:t>
      </w:r>
      <w:r w:rsidR="005B7A5C" w:rsidRPr="004676F5">
        <w:rPr>
          <w:lang w:val="de-DE"/>
        </w:rPr>
        <w:t>- </w:t>
      </w:r>
      <w:r w:rsidRPr="004676F5">
        <w:rPr>
          <w:lang w:val="de-DE"/>
        </w:rPr>
        <w:t>Öffentliche Wiedergabe durch Direkteinspeisung]</w:t>
      </w:r>
    </w:p>
    <w:p w14:paraId="1211C0B1" w14:textId="77777777" w:rsidR="001926FE" w:rsidRPr="004676F5" w:rsidRDefault="001926FE" w:rsidP="007764CB">
      <w:pPr>
        <w:jc w:val="center"/>
        <w:rPr>
          <w:lang w:val="de-DE"/>
        </w:rPr>
      </w:pPr>
    </w:p>
    <w:p w14:paraId="5411CA2A" w14:textId="3F8DD298" w:rsidR="001926FE" w:rsidRPr="004676F5" w:rsidRDefault="001926FE" w:rsidP="001926FE">
      <w:pPr>
        <w:jc w:val="both"/>
        <w:rPr>
          <w:i/>
          <w:lang w:val="de-DE"/>
        </w:rPr>
      </w:pPr>
      <w:r w:rsidRPr="004676F5">
        <w:rPr>
          <w:i/>
          <w:iCs/>
          <w:lang w:val="de-DE"/>
        </w:rPr>
        <w:t>[Unterteilung Abschnitt 3 eingefügt durch Art. 8</w:t>
      </w:r>
      <w:r w:rsidRPr="004676F5">
        <w:rPr>
          <w:i/>
          <w:lang w:val="de-DE"/>
        </w:rPr>
        <w:t xml:space="preserve"> </w:t>
      </w:r>
      <w:r w:rsidR="00E43762" w:rsidRPr="004676F5">
        <w:rPr>
          <w:i/>
          <w:lang w:val="de-DE"/>
        </w:rPr>
        <w:t>des G. vom 25. November 2018 (I) (B.S. vom 12. Dezember 2018)</w:t>
      </w:r>
      <w:r w:rsidRPr="004676F5">
        <w:rPr>
          <w:i/>
          <w:lang w:val="de-DE"/>
        </w:rPr>
        <w:t>]</w:t>
      </w:r>
    </w:p>
    <w:p w14:paraId="76526ED6" w14:textId="77777777" w:rsidR="001926FE" w:rsidRPr="004676F5" w:rsidRDefault="001926FE" w:rsidP="001926FE">
      <w:pPr>
        <w:jc w:val="both"/>
        <w:rPr>
          <w:i/>
          <w:iCs/>
          <w:lang w:val="de-DE"/>
        </w:rPr>
      </w:pPr>
    </w:p>
    <w:p w14:paraId="14A8DCE0" w14:textId="77777777" w:rsidR="00355502" w:rsidRPr="004676F5" w:rsidRDefault="00355502" w:rsidP="001527B1">
      <w:pPr>
        <w:ind w:firstLine="708"/>
        <w:jc w:val="both"/>
        <w:rPr>
          <w:lang w:val="de-DE"/>
        </w:rPr>
      </w:pPr>
    </w:p>
    <w:p w14:paraId="2D2E4442" w14:textId="500CD042" w:rsidR="001527B1" w:rsidRPr="004676F5" w:rsidRDefault="00BE0A56" w:rsidP="00CC00E5">
      <w:pPr>
        <w:ind w:firstLine="708"/>
        <w:jc w:val="both"/>
        <w:rPr>
          <w:lang w:val="de-DE"/>
        </w:rPr>
      </w:pPr>
      <w:r w:rsidRPr="004676F5">
        <w:rPr>
          <w:b/>
          <w:lang w:val="de-DE"/>
        </w:rPr>
        <w:t>Art. </w:t>
      </w:r>
      <w:r w:rsidR="001527B1" w:rsidRPr="004676F5">
        <w:rPr>
          <w:b/>
          <w:lang w:val="de-DE"/>
        </w:rPr>
        <w:t>XI.226</w:t>
      </w:r>
      <w:r w:rsidR="001527B1" w:rsidRPr="004676F5">
        <w:rPr>
          <w:lang w:val="de-DE"/>
        </w:rPr>
        <w:t> </w:t>
      </w:r>
      <w:r w:rsidR="005B7A5C" w:rsidRPr="004676F5">
        <w:rPr>
          <w:lang w:val="de-DE"/>
        </w:rPr>
        <w:t>- </w:t>
      </w:r>
      <w:r w:rsidR="001926FE" w:rsidRPr="004676F5">
        <w:rPr>
          <w:lang w:val="de-DE"/>
        </w:rPr>
        <w:t>[Gemäß den vorhergehenden Kapiteln und unter Berücksichtigung der weiter unten festgelegten Modalitäten verfügen der Urheber und die Inhaber verwandter Schutzrechte über das ausschließliche Recht, die öffentliche Wiedergabe durch Direkteinspeisung ihrer Werke beziehungsweise Leistungen zu erlauben.</w:t>
      </w:r>
      <w:r w:rsidR="00CC00E5" w:rsidRPr="004676F5">
        <w:rPr>
          <w:lang w:val="de-DE"/>
        </w:rPr>
        <w:t>]</w:t>
      </w:r>
    </w:p>
    <w:p w14:paraId="62FD6B5F" w14:textId="77777777" w:rsidR="00CC00E5" w:rsidRPr="004676F5" w:rsidRDefault="00CC00E5" w:rsidP="00CC00E5">
      <w:pPr>
        <w:ind w:firstLine="708"/>
        <w:jc w:val="both"/>
        <w:rPr>
          <w:lang w:val="de-DE"/>
        </w:rPr>
      </w:pPr>
    </w:p>
    <w:p w14:paraId="2F0CFBB9" w14:textId="07702577" w:rsidR="00CC00E5" w:rsidRPr="004676F5" w:rsidRDefault="00CC00E5" w:rsidP="00CC00E5">
      <w:pPr>
        <w:jc w:val="both"/>
        <w:rPr>
          <w:i/>
          <w:lang w:val="de-DE"/>
        </w:rPr>
      </w:pPr>
      <w:r w:rsidRPr="004676F5">
        <w:rPr>
          <w:i/>
          <w:lang w:val="de-DE"/>
        </w:rPr>
        <w:t>[</w:t>
      </w:r>
      <w:r w:rsidR="00BE0A56" w:rsidRPr="004676F5">
        <w:rPr>
          <w:i/>
          <w:lang w:val="de-DE"/>
        </w:rPr>
        <w:t>Art. </w:t>
      </w:r>
      <w:r w:rsidRPr="004676F5">
        <w:rPr>
          <w:i/>
          <w:lang w:val="de-DE"/>
        </w:rPr>
        <w:t xml:space="preserve">XI.226 aufgehoben durch </w:t>
      </w:r>
      <w:r w:rsidR="00BE0A56" w:rsidRPr="004676F5">
        <w:rPr>
          <w:i/>
          <w:lang w:val="de-DE"/>
        </w:rPr>
        <w:t>Art. </w:t>
      </w:r>
      <w:r w:rsidRPr="004676F5">
        <w:rPr>
          <w:i/>
          <w:lang w:val="de-DE"/>
        </w:rPr>
        <w:t>25 des G. vom 29. Juni 2016 (B.S. vom 6. Juli 2016)</w:t>
      </w:r>
      <w:r w:rsidR="001926FE" w:rsidRPr="004676F5">
        <w:rPr>
          <w:i/>
          <w:lang w:val="de-DE"/>
        </w:rPr>
        <w:t xml:space="preserve"> und wieder aufgenommen durch Art. 9 </w:t>
      </w:r>
      <w:r w:rsidR="00E43762" w:rsidRPr="004676F5">
        <w:rPr>
          <w:i/>
          <w:lang w:val="de-DE"/>
        </w:rPr>
        <w:t>des G. vom 25. November 2018 (I) (B.S. vom 12. Dezember 2018)</w:t>
      </w:r>
      <w:r w:rsidRPr="004676F5">
        <w:rPr>
          <w:i/>
          <w:lang w:val="de-DE"/>
        </w:rPr>
        <w:t>]</w:t>
      </w:r>
    </w:p>
    <w:p w14:paraId="50A06D5E" w14:textId="77777777" w:rsidR="001926FE" w:rsidRPr="004676F5" w:rsidRDefault="001926FE" w:rsidP="00CC00E5">
      <w:pPr>
        <w:jc w:val="both"/>
        <w:rPr>
          <w:iCs/>
          <w:lang w:val="de-DE"/>
        </w:rPr>
      </w:pPr>
    </w:p>
    <w:p w14:paraId="045D09AA" w14:textId="77777777" w:rsidR="001926FE" w:rsidRPr="004676F5" w:rsidRDefault="001926FE" w:rsidP="00CC00E5">
      <w:pPr>
        <w:jc w:val="both"/>
        <w:rPr>
          <w:iCs/>
          <w:lang w:val="de-DE"/>
        </w:rPr>
      </w:pPr>
    </w:p>
    <w:p w14:paraId="44042A52" w14:textId="5261197E" w:rsidR="00CB02F8" w:rsidRPr="004676F5" w:rsidRDefault="001926FE" w:rsidP="00CB02F8">
      <w:pPr>
        <w:ind w:firstLine="708"/>
        <w:jc w:val="both"/>
        <w:rPr>
          <w:rFonts w:eastAsia="Calibri"/>
          <w:kern w:val="2"/>
          <w:lang w:val="de-DE"/>
          <w14:ligatures w14:val="standardContextual"/>
        </w:rPr>
      </w:pPr>
      <w:r w:rsidRPr="004676F5">
        <w:rPr>
          <w:iCs/>
          <w:lang w:val="de-DE"/>
        </w:rPr>
        <w:t>[</w:t>
      </w:r>
      <w:r w:rsidRPr="004676F5">
        <w:rPr>
          <w:b/>
          <w:bCs/>
          <w:lang w:val="de-DE"/>
        </w:rPr>
        <w:t>Art. XI.226/1</w:t>
      </w:r>
      <w:r w:rsidRPr="004676F5">
        <w:rPr>
          <w:lang w:val="de-DE"/>
        </w:rPr>
        <w:t> </w:t>
      </w:r>
      <w:r w:rsidR="005B7A5C" w:rsidRPr="004676F5">
        <w:rPr>
          <w:lang w:val="de-DE"/>
        </w:rPr>
        <w:t>- </w:t>
      </w:r>
      <w:r w:rsidR="00CB02F8" w:rsidRPr="004676F5">
        <w:rPr>
          <w:lang w:val="de-DE"/>
        </w:rPr>
        <w:t>[Überträgt ein Sendeunternehmen seine programmtragenden Signale durch Direkteinspeisung an einen Signalverteiler, ohne sie gleichzeitig selbst öffentlich zu übertragen, und überträgt der Signalverteiler diese programmtragenden Signale unmittelbar öffentlich, so gelten das Sendeunternehmen und der Signalverteiler als Teilnehmer an einer einzigen öffentlichen Wiedergabe, für die sie die Erlaubnis der Rechtsinhaber einholen müssen.</w:t>
      </w:r>
    </w:p>
    <w:p w14:paraId="6ED85691" w14:textId="77777777" w:rsidR="00CB02F8" w:rsidRPr="004676F5" w:rsidRDefault="00CB02F8" w:rsidP="00CB02F8">
      <w:pPr>
        <w:jc w:val="both"/>
        <w:rPr>
          <w:rFonts w:eastAsia="Calibri"/>
          <w:kern w:val="2"/>
          <w:lang w:val="de-DE"/>
          <w14:ligatures w14:val="standardContextual"/>
        </w:rPr>
      </w:pPr>
    </w:p>
    <w:p w14:paraId="7C7DDD27" w14:textId="77777777" w:rsidR="00CB02F8" w:rsidRPr="004676F5" w:rsidRDefault="00CB02F8" w:rsidP="00CB02F8">
      <w:pPr>
        <w:jc w:val="both"/>
        <w:rPr>
          <w:rFonts w:eastAsia="Calibri"/>
          <w:kern w:val="2"/>
          <w:lang w:val="de-DE"/>
          <w14:ligatures w14:val="standardContextual"/>
        </w:rPr>
      </w:pPr>
      <w:r w:rsidRPr="004676F5">
        <w:rPr>
          <w:lang w:val="de-DE"/>
        </w:rPr>
        <w:tab/>
        <w:t xml:space="preserve">Ungeachtet des Absatzes 1 sind das Sendeunternehmen und der Signalverteiler nur für ihren jeweiligen Beitrag zu dieser öffentlichen Wiedergabe verantwortlich. Der Beitrag des Sendeunternehmens besteht in der Übertragung seiner programmtragenden Signale an einen Signalverteiler, ohne dass das Sendeunternehmen diese Signale gleichzeitig selbst öffentlich </w:t>
      </w:r>
      <w:r w:rsidRPr="004676F5">
        <w:rPr>
          <w:lang w:val="de-DE"/>
        </w:rPr>
        <w:lastRenderedPageBreak/>
        <w:t>überträgt. Der Beitrag des Signalverteilers besteht in der öffentlichen Übertragung dieser programmtragenden Signale.</w:t>
      </w:r>
    </w:p>
    <w:p w14:paraId="039A1157" w14:textId="77777777" w:rsidR="00CB02F8" w:rsidRPr="004676F5" w:rsidRDefault="00CB02F8" w:rsidP="00CB02F8">
      <w:pPr>
        <w:jc w:val="both"/>
        <w:rPr>
          <w:rFonts w:eastAsia="Calibri"/>
          <w:kern w:val="2"/>
          <w:lang w:val="de-DE"/>
          <w14:ligatures w14:val="standardContextual"/>
        </w:rPr>
      </w:pPr>
    </w:p>
    <w:p w14:paraId="7689D702" w14:textId="41DE876D" w:rsidR="001926FE" w:rsidRPr="004676F5" w:rsidRDefault="00CB02F8" w:rsidP="00CB02F8">
      <w:pPr>
        <w:ind w:firstLine="708"/>
        <w:jc w:val="both"/>
        <w:rPr>
          <w:iCs/>
          <w:lang w:val="de-DE"/>
        </w:rPr>
      </w:pPr>
      <w:r w:rsidRPr="004676F5">
        <w:rPr>
          <w:lang w:val="de-DE"/>
        </w:rPr>
        <w:t>Die Erlaubnis der Rechtsinhaber muss für die jeweiligen Beiträge des Sendeunter</w:t>
      </w:r>
      <w:r w:rsidRPr="004676F5">
        <w:rPr>
          <w:lang w:val="de-DE"/>
        </w:rPr>
        <w:softHyphen/>
        <w:t>nehmens und des Signalverteilers zu der öffentlichen Wiedergabe durch Direkteinspeisung eingeholt werden.]</w:t>
      </w:r>
      <w:r w:rsidR="001926FE" w:rsidRPr="004676F5">
        <w:rPr>
          <w:iCs/>
          <w:lang w:val="de-DE"/>
        </w:rPr>
        <w:t>]</w:t>
      </w:r>
    </w:p>
    <w:p w14:paraId="2021A460" w14:textId="77777777" w:rsidR="001527B1" w:rsidRPr="004676F5" w:rsidRDefault="001527B1" w:rsidP="001527B1">
      <w:pPr>
        <w:ind w:firstLine="708"/>
        <w:jc w:val="both"/>
        <w:rPr>
          <w:lang w:val="de-DE"/>
        </w:rPr>
      </w:pPr>
    </w:p>
    <w:p w14:paraId="4115B553" w14:textId="022057F5" w:rsidR="001926FE" w:rsidRPr="004676F5" w:rsidRDefault="001926FE" w:rsidP="001926FE">
      <w:pPr>
        <w:jc w:val="both"/>
        <w:rPr>
          <w:i/>
          <w:lang w:val="de-DE"/>
        </w:rPr>
      </w:pPr>
      <w:r w:rsidRPr="004676F5">
        <w:rPr>
          <w:i/>
          <w:iCs/>
          <w:lang w:val="de-DE"/>
        </w:rPr>
        <w:t>[Art. XI.226/1 eingefügt durch Art. 10</w:t>
      </w:r>
      <w:r w:rsidRPr="004676F5">
        <w:rPr>
          <w:i/>
          <w:lang w:val="de-DE"/>
        </w:rPr>
        <w:t xml:space="preserve"> </w:t>
      </w:r>
      <w:r w:rsidR="00E43762" w:rsidRPr="004676F5">
        <w:rPr>
          <w:i/>
          <w:lang w:val="de-DE"/>
        </w:rPr>
        <w:t>des G. vom 25. November 2018 (I) (B.S. vom 12. Dezember 2018)</w:t>
      </w:r>
      <w:r w:rsidR="00CB02F8" w:rsidRPr="004676F5">
        <w:rPr>
          <w:i/>
          <w:lang w:val="de-DE"/>
        </w:rPr>
        <w:t xml:space="preserve"> und ersetzt durch Art. 10 des G. vom 1. April 2022 (B.S. vom 21. April 2022)</w:t>
      </w:r>
      <w:r w:rsidRPr="004676F5">
        <w:rPr>
          <w:i/>
          <w:lang w:val="de-DE"/>
        </w:rPr>
        <w:t>]</w:t>
      </w:r>
    </w:p>
    <w:p w14:paraId="417AF083" w14:textId="77777777" w:rsidR="001926FE" w:rsidRPr="004676F5" w:rsidRDefault="001926FE" w:rsidP="001926FE">
      <w:pPr>
        <w:jc w:val="both"/>
        <w:rPr>
          <w:i/>
          <w:iCs/>
          <w:lang w:val="de-DE"/>
        </w:rPr>
      </w:pPr>
    </w:p>
    <w:p w14:paraId="45ABCB3F" w14:textId="77777777" w:rsidR="00355502" w:rsidRPr="004676F5" w:rsidRDefault="00355502" w:rsidP="001527B1">
      <w:pPr>
        <w:ind w:firstLine="708"/>
        <w:jc w:val="both"/>
        <w:rPr>
          <w:lang w:val="de-DE"/>
        </w:rPr>
      </w:pPr>
    </w:p>
    <w:p w14:paraId="540E97C2" w14:textId="4DB3C13F" w:rsidR="001926FE" w:rsidRPr="004676F5" w:rsidRDefault="001926FE" w:rsidP="001926FE">
      <w:pPr>
        <w:ind w:firstLine="708"/>
        <w:jc w:val="both"/>
        <w:rPr>
          <w:lang w:val="de-DE"/>
        </w:rPr>
      </w:pPr>
      <w:r w:rsidRPr="004676F5">
        <w:rPr>
          <w:b/>
          <w:lang w:val="de-DE"/>
        </w:rPr>
        <w:t>Art. XI.227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Das Recht des Urhebers und der Inhaber verwandter Schutzrechte, </w:t>
      </w:r>
      <w:r w:rsidR="00D05B70" w:rsidRPr="004676F5">
        <w:rPr>
          <w:lang w:val="de-DE"/>
        </w:rPr>
        <w:t>[die Erlaubnis für die öffentliche Wiedergabe durch Direkteinspeisung zu erteilen oder zu verweigern]</w:t>
      </w:r>
      <w:r w:rsidRPr="004676F5">
        <w:rPr>
          <w:lang w:val="de-DE"/>
        </w:rPr>
        <w:t>, kann nur von Verwertungsgesellschaften und/oder Organisationen für die kollektive Rechtewahrnehmung ausgeübt werden, die in Belgien das Recht der öffentlichen Wiedergabe durch Direkteinspeisung verwalten.</w:t>
      </w:r>
    </w:p>
    <w:p w14:paraId="4EE0CB36" w14:textId="77777777" w:rsidR="001926FE" w:rsidRPr="004676F5" w:rsidRDefault="001926FE" w:rsidP="001926FE">
      <w:pPr>
        <w:ind w:firstLine="708"/>
        <w:jc w:val="both"/>
        <w:rPr>
          <w:lang w:val="de-DE"/>
        </w:rPr>
      </w:pPr>
    </w:p>
    <w:p w14:paraId="20E0B960" w14:textId="79E844B4" w:rsidR="001926FE" w:rsidRPr="004676F5" w:rsidRDefault="001926FE" w:rsidP="001926FE">
      <w:pPr>
        <w:ind w:firstLine="708"/>
        <w:jc w:val="both"/>
        <w:rPr>
          <w:lang w:val="de-DE"/>
        </w:rPr>
      </w:pPr>
      <w:r w:rsidRPr="004676F5">
        <w:rPr>
          <w:lang w:val="de-DE"/>
        </w:rPr>
        <w:t>§ 2 </w:t>
      </w:r>
      <w:r w:rsidR="005B7A5C" w:rsidRPr="004676F5">
        <w:rPr>
          <w:lang w:val="de-DE"/>
        </w:rPr>
        <w:t>- </w:t>
      </w:r>
      <w:r w:rsidRPr="004676F5">
        <w:rPr>
          <w:lang w:val="de-DE"/>
        </w:rPr>
        <w:t>Hat ein Urheber oder ein Inhaber verwandter Schutzrechte die Wahrnehmung seiner Rechte keiner Verwertungsgesellschaft oder Organisation für die kollektive Rechtewahrnehmung übertragen, so gilt die Verwertungsgesellschaft oder Organisation für die kollektive Rechtewahrnehmung, die Rechte der gleichen Art wahrnimmt, als bevollmächtigt, seine Rechte wahrzunehmen.</w:t>
      </w:r>
    </w:p>
    <w:p w14:paraId="68345AC9" w14:textId="77777777" w:rsidR="001926FE" w:rsidRPr="004676F5" w:rsidRDefault="001926FE" w:rsidP="001926FE">
      <w:pPr>
        <w:ind w:firstLine="708"/>
        <w:jc w:val="both"/>
        <w:rPr>
          <w:lang w:val="de-DE"/>
        </w:rPr>
      </w:pPr>
    </w:p>
    <w:p w14:paraId="3B8BB2BA" w14:textId="77777777" w:rsidR="001926FE" w:rsidRPr="004676F5" w:rsidRDefault="001926FE" w:rsidP="001926FE">
      <w:pPr>
        <w:ind w:firstLine="708"/>
        <w:jc w:val="both"/>
        <w:rPr>
          <w:lang w:val="de-DE"/>
        </w:rPr>
      </w:pPr>
      <w:r w:rsidRPr="004676F5">
        <w:rPr>
          <w:lang w:val="de-DE"/>
        </w:rPr>
        <w:t>Nimmt mehr als eine Verwertungsgesellschaft oder Organisation für die kollektive Rechtewahrnehmung Rechte dieser Art wahr, so steht es dem Urheber oder dem Inhaber verwandter Schutzrechte frei, unter diesen Verwertungsgesellschaften oder Organisationen für die kollektive Rechtewahrnehmung diejenige auszuwählen, die als zur Wahrnehmung seiner Rechte bevollmächtigt gelten soll. Für ihn ergeben sich aus der Vereinbarung zwischen dem Signalverteiler, dem Sendeunternehmen und der Verwertungsgesellschaft oder Organisation für die kollektive Rechtewahrnehmung die gleichen Rechte und Pflichten wie für Rechtsinhaber, die diese Verwertungsgesellschaft oder Organisation für die kollektive Rechtewahrnehmung bevollmächtigt haben. Er kann diese Rechte innerhalb eines Zeitraums von drei Jahren ab dem Zeitpunkt der öffentlichen Wiedergabe durch Direkteinspeisung seines Werkes oder seiner Leistung geltend machen.</w:t>
      </w:r>
    </w:p>
    <w:p w14:paraId="79545E03" w14:textId="77777777" w:rsidR="001926FE" w:rsidRPr="004676F5" w:rsidRDefault="001926FE" w:rsidP="001926FE">
      <w:pPr>
        <w:jc w:val="both"/>
        <w:rPr>
          <w:lang w:val="de-DE"/>
        </w:rPr>
      </w:pPr>
    </w:p>
    <w:p w14:paraId="0699A12E" w14:textId="51F49736" w:rsidR="001926FE" w:rsidRPr="004676F5" w:rsidRDefault="001926FE" w:rsidP="001926FE">
      <w:pPr>
        <w:ind w:firstLine="708"/>
        <w:jc w:val="both"/>
        <w:rPr>
          <w:lang w:val="de-DE"/>
        </w:rPr>
      </w:pPr>
      <w:r w:rsidRPr="004676F5">
        <w:rPr>
          <w:lang w:val="de-DE"/>
        </w:rPr>
        <w:t>§ 3 </w:t>
      </w:r>
      <w:r w:rsidR="005B7A5C" w:rsidRPr="004676F5">
        <w:rPr>
          <w:lang w:val="de-DE"/>
        </w:rPr>
        <w:t>- </w:t>
      </w:r>
      <w:r w:rsidRPr="004676F5">
        <w:rPr>
          <w:lang w:val="de-DE"/>
        </w:rPr>
        <w:t xml:space="preserve">Die Paragraphen 1 und 2 finden keine Anwendung auf Rechte, die ein Sendeunternehmen in Bezug auf seine eigenen Sendungen geltend macht, </w:t>
      </w:r>
      <w:r w:rsidR="00D05B70" w:rsidRPr="004676F5">
        <w:rPr>
          <w:lang w:val="de-DE"/>
        </w:rPr>
        <w:t xml:space="preserve">[wobei es unerheblich ist, ob die betreffenden Rechte eigene Rechte sind oder ihm durch andere Rechtsinhaber übertragen worden sind,] </w:t>
      </w:r>
      <w:r w:rsidRPr="004676F5">
        <w:rPr>
          <w:lang w:val="de-DE"/>
        </w:rPr>
        <w:t>oder auf Rechte, die ein Produzent gegenüber Sendeunternehmen hat.]</w:t>
      </w:r>
    </w:p>
    <w:p w14:paraId="4EC918DC" w14:textId="77777777" w:rsidR="001926FE" w:rsidRPr="004676F5" w:rsidRDefault="001926FE" w:rsidP="001926FE">
      <w:pPr>
        <w:ind w:firstLine="708"/>
        <w:jc w:val="both"/>
        <w:rPr>
          <w:lang w:val="de-DE"/>
        </w:rPr>
      </w:pPr>
    </w:p>
    <w:p w14:paraId="13CB7DC7" w14:textId="4BA65573" w:rsidR="001926FE" w:rsidRPr="004676F5" w:rsidRDefault="001926FE" w:rsidP="001926FE">
      <w:pPr>
        <w:jc w:val="both"/>
        <w:rPr>
          <w:i/>
          <w:lang w:val="de-DE"/>
        </w:rPr>
      </w:pPr>
      <w:r w:rsidRPr="004676F5">
        <w:rPr>
          <w:i/>
          <w:lang w:val="de-DE"/>
        </w:rPr>
        <w:t xml:space="preserve">[Art. XI.227 aufgehoben durch Art. 25 des G. vom 29. Juni 2016 (B.S. vom 6. Juli 2016) und wieder aufgenommen durch Art. 11 </w:t>
      </w:r>
      <w:r w:rsidR="00E43762" w:rsidRPr="004676F5">
        <w:rPr>
          <w:i/>
          <w:lang w:val="de-DE"/>
        </w:rPr>
        <w:t>des G. vom 25. November 2018 (I) (B.S. vom 12. Dezember 2018)</w:t>
      </w:r>
      <w:r w:rsidR="00D05B70" w:rsidRPr="004676F5">
        <w:rPr>
          <w:i/>
          <w:lang w:val="de-DE"/>
        </w:rPr>
        <w:t>; § 1 abgeändert durch Art. 11 Nr. 1 des G. vom 1. April 2022 (B.S. vom 21. April 2022); § 3 abgeändert durch Art. 11 Nr. 2 des G. vom 1. April 2022 (B.S. vom 21. April 2022)</w:t>
      </w:r>
      <w:r w:rsidRPr="004676F5">
        <w:rPr>
          <w:i/>
          <w:lang w:val="de-DE"/>
        </w:rPr>
        <w:t>]</w:t>
      </w:r>
    </w:p>
    <w:p w14:paraId="08A7A73C" w14:textId="77777777" w:rsidR="001926FE" w:rsidRPr="004676F5" w:rsidRDefault="001926FE" w:rsidP="001926FE">
      <w:pPr>
        <w:jc w:val="both"/>
        <w:rPr>
          <w:iCs/>
          <w:lang w:val="de-DE"/>
        </w:rPr>
      </w:pPr>
    </w:p>
    <w:p w14:paraId="52FB3452" w14:textId="77777777" w:rsidR="001926FE" w:rsidRPr="004676F5" w:rsidRDefault="001926FE" w:rsidP="001926FE">
      <w:pPr>
        <w:jc w:val="both"/>
        <w:rPr>
          <w:iCs/>
          <w:lang w:val="de-DE"/>
        </w:rPr>
      </w:pPr>
    </w:p>
    <w:p w14:paraId="4FE3D54A" w14:textId="2BB585DE" w:rsidR="001926FE" w:rsidRPr="004676F5" w:rsidRDefault="001926FE" w:rsidP="001926FE">
      <w:pPr>
        <w:ind w:firstLine="708"/>
        <w:jc w:val="both"/>
        <w:rPr>
          <w:lang w:val="de-DE"/>
        </w:rPr>
      </w:pPr>
      <w:r w:rsidRPr="004676F5">
        <w:rPr>
          <w:iCs/>
          <w:lang w:val="de-DE"/>
        </w:rPr>
        <w:t>[</w:t>
      </w:r>
      <w:r w:rsidRPr="004676F5">
        <w:rPr>
          <w:b/>
          <w:bCs/>
          <w:lang w:val="de-DE"/>
        </w:rPr>
        <w:t>Art. XI.227/1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Hat ein Urheber oder ein ausübender Künstler sein Recht, die öffentliche Wiedergabe durch Direkteinspeisung zu erlauben oder zu verbieten, an einen Produzenten eines audiovisuellen Werkes abgetreten</w:t>
      </w:r>
      <w:r w:rsidR="00070CA0" w:rsidRPr="004676F5">
        <w:rPr>
          <w:lang w:val="de-DE"/>
        </w:rPr>
        <w:t xml:space="preserve"> [oder lizensiert]</w:t>
      </w:r>
      <w:r w:rsidRPr="004676F5">
        <w:rPr>
          <w:lang w:val="de-DE"/>
        </w:rPr>
        <w:t xml:space="preserve">, so behält er den </w:t>
      </w:r>
      <w:r w:rsidRPr="004676F5">
        <w:rPr>
          <w:lang w:val="de-DE"/>
        </w:rPr>
        <w:lastRenderedPageBreak/>
        <w:t>Anspruch auf eine angemessene Vergütung für die öffentliche Wiedergabe durch Direkteinspeisung.</w:t>
      </w:r>
    </w:p>
    <w:p w14:paraId="727A5A56" w14:textId="77777777" w:rsidR="001926FE" w:rsidRPr="004676F5" w:rsidRDefault="001926FE" w:rsidP="001926FE">
      <w:pPr>
        <w:ind w:firstLine="708"/>
        <w:jc w:val="both"/>
        <w:rPr>
          <w:lang w:val="de-DE"/>
        </w:rPr>
      </w:pPr>
    </w:p>
    <w:p w14:paraId="5AE88901" w14:textId="6022892C" w:rsidR="001926FE" w:rsidRPr="004676F5" w:rsidRDefault="001926FE" w:rsidP="001926FE">
      <w:pPr>
        <w:ind w:firstLine="708"/>
        <w:jc w:val="both"/>
        <w:rPr>
          <w:lang w:val="de-DE"/>
        </w:rPr>
      </w:pPr>
      <w:r w:rsidRPr="004676F5">
        <w:rPr>
          <w:lang w:val="de-DE"/>
        </w:rPr>
        <w:t>§ 2 </w:t>
      </w:r>
      <w:r w:rsidR="005B7A5C" w:rsidRPr="004676F5">
        <w:rPr>
          <w:lang w:val="de-DE"/>
        </w:rPr>
        <w:t>- </w:t>
      </w:r>
      <w:r w:rsidRPr="004676F5">
        <w:rPr>
          <w:lang w:val="de-DE"/>
        </w:rPr>
        <w:t>Der Anspruch auf Vergütung für die öffentliche Wiedergabe durch Direkteinspeisung wie in § 1 vorgesehen ist nicht abtretbar und Urheber oder ausübende Künstler können auf diesen Anspruch nicht verzichten. Diese Bestimmung ist verbindlich.</w:t>
      </w:r>
    </w:p>
    <w:p w14:paraId="25DCDDA1" w14:textId="77777777" w:rsidR="001926FE" w:rsidRPr="004676F5" w:rsidRDefault="001926FE" w:rsidP="001926FE">
      <w:pPr>
        <w:ind w:firstLine="708"/>
        <w:jc w:val="both"/>
        <w:rPr>
          <w:lang w:val="de-DE"/>
        </w:rPr>
      </w:pPr>
    </w:p>
    <w:p w14:paraId="252F4367" w14:textId="0A4434C7" w:rsidR="001926FE" w:rsidRPr="004676F5" w:rsidRDefault="001926FE" w:rsidP="001926FE">
      <w:pPr>
        <w:ind w:firstLine="708"/>
        <w:jc w:val="both"/>
        <w:rPr>
          <w:lang w:val="de-DE"/>
        </w:rPr>
      </w:pPr>
      <w:r w:rsidRPr="004676F5">
        <w:rPr>
          <w:lang w:val="de-DE"/>
        </w:rPr>
        <w:t xml:space="preserve"> § 3 </w:t>
      </w:r>
      <w:r w:rsidR="005B7A5C" w:rsidRPr="004676F5">
        <w:rPr>
          <w:lang w:val="de-DE"/>
        </w:rPr>
        <w:t>- </w:t>
      </w:r>
      <w:r w:rsidRPr="004676F5">
        <w:rPr>
          <w:lang w:val="de-DE"/>
        </w:rPr>
        <w:t>Die Wahrnehmung des Anspruchs der Urheber auf Vergütung wie in § 1 erwähnt kann nur von Verwertungsgesellschaften ausgeübt werden, die Urheber vertreten.</w:t>
      </w:r>
    </w:p>
    <w:p w14:paraId="21399F0F" w14:textId="77777777" w:rsidR="001926FE" w:rsidRPr="004676F5" w:rsidRDefault="001926FE" w:rsidP="001926FE">
      <w:pPr>
        <w:ind w:firstLine="708"/>
        <w:jc w:val="both"/>
        <w:rPr>
          <w:lang w:val="de-DE"/>
        </w:rPr>
      </w:pPr>
    </w:p>
    <w:p w14:paraId="7323A940" w14:textId="085EABD8" w:rsidR="004B25BD" w:rsidRPr="004676F5" w:rsidRDefault="001926FE" w:rsidP="00D05B70">
      <w:pPr>
        <w:ind w:firstLine="708"/>
        <w:jc w:val="both"/>
        <w:rPr>
          <w:lang w:val="de-DE"/>
        </w:rPr>
      </w:pPr>
      <w:r w:rsidRPr="004676F5">
        <w:rPr>
          <w:lang w:val="de-DE"/>
        </w:rPr>
        <w:t>Die Wahrnehmung des Anspruchs der ausübenden Künstler auf Vergütung wie in § 1 erwähnt kann nur von Verwertungsgesellschaften ausgeübt werden, die ausübende Künstler vertreten.</w:t>
      </w:r>
    </w:p>
    <w:p w14:paraId="34E35A05" w14:textId="77777777" w:rsidR="00D05B70" w:rsidRPr="004676F5" w:rsidRDefault="00D05B70" w:rsidP="00D05B70">
      <w:pPr>
        <w:ind w:firstLine="708"/>
        <w:jc w:val="both"/>
        <w:rPr>
          <w:lang w:val="de-DE"/>
        </w:rPr>
      </w:pPr>
    </w:p>
    <w:p w14:paraId="16B9A16E" w14:textId="005C8FF5" w:rsidR="001926FE" w:rsidRPr="004676F5" w:rsidRDefault="001926FE" w:rsidP="001926FE">
      <w:pPr>
        <w:jc w:val="both"/>
        <w:rPr>
          <w:iCs/>
          <w:lang w:val="de-DE"/>
        </w:rPr>
      </w:pPr>
      <w:r w:rsidRPr="004676F5">
        <w:rPr>
          <w:lang w:val="de-DE"/>
        </w:rPr>
        <w:tab/>
        <w:t>§ 4 </w:t>
      </w:r>
      <w:r w:rsidR="005B7A5C" w:rsidRPr="004676F5">
        <w:rPr>
          <w:lang w:val="de-DE"/>
        </w:rPr>
        <w:t>- </w:t>
      </w:r>
      <w:r w:rsidRPr="004676F5">
        <w:rPr>
          <w:lang w:val="de-DE"/>
        </w:rPr>
        <w:t>Solange die in Artikel XI.228/1 vorgesehene Gemeinschaftsplattform nicht eingesetzt ist, kann der in § 1 erwähnte Vergütungsanspruch von den Verwertungs</w:t>
      </w:r>
      <w:r w:rsidRPr="004676F5">
        <w:rPr>
          <w:lang w:val="de-DE"/>
        </w:rPr>
        <w:softHyphen/>
        <w:t>gesellschaften unmittelbar bei den Sendeunternehmen und Signalverteilern geltend gemacht werden.</w:t>
      </w:r>
      <w:r w:rsidRPr="004676F5">
        <w:rPr>
          <w:iCs/>
          <w:lang w:val="de-DE"/>
        </w:rPr>
        <w:t>]</w:t>
      </w:r>
    </w:p>
    <w:p w14:paraId="7DD6DE61" w14:textId="77777777" w:rsidR="001926FE" w:rsidRPr="004676F5" w:rsidRDefault="001926FE" w:rsidP="001926FE">
      <w:pPr>
        <w:jc w:val="both"/>
        <w:rPr>
          <w:iCs/>
          <w:lang w:val="de-DE"/>
        </w:rPr>
      </w:pPr>
    </w:p>
    <w:p w14:paraId="18855C77" w14:textId="2E48B703" w:rsidR="001926FE" w:rsidRPr="004676F5" w:rsidRDefault="001926FE" w:rsidP="001926FE">
      <w:pPr>
        <w:jc w:val="both"/>
        <w:rPr>
          <w:i/>
          <w:lang w:val="de-DE"/>
        </w:rPr>
      </w:pPr>
      <w:r w:rsidRPr="004676F5">
        <w:rPr>
          <w:i/>
          <w:lang w:val="de-DE"/>
        </w:rPr>
        <w:t xml:space="preserve">[Art. XI.227/1 eingefügt durch Art. 12 </w:t>
      </w:r>
      <w:r w:rsidR="00E43762" w:rsidRPr="004676F5">
        <w:rPr>
          <w:i/>
          <w:lang w:val="de-DE"/>
        </w:rPr>
        <w:t>des G. vom 25. November 2018 (I) (B.S. vom 12. Dezember 2018)</w:t>
      </w:r>
      <w:r w:rsidR="00070CA0" w:rsidRPr="004676F5">
        <w:rPr>
          <w:i/>
          <w:lang w:val="de-DE"/>
        </w:rPr>
        <w:t>; § 1 abgeändert durch Art. 37</w:t>
      </w:r>
      <w:r w:rsidR="00070CA0" w:rsidRPr="004676F5">
        <w:rPr>
          <w:i/>
          <w:iCs/>
          <w:lang w:val="de-DE"/>
        </w:rPr>
        <w:t xml:space="preserve"> des G. vom 9. Februar 2024 (B.S. vom 21. März 2024)</w:t>
      </w:r>
      <w:r w:rsidR="00C244AE" w:rsidRPr="004676F5">
        <w:rPr>
          <w:i/>
          <w:lang w:val="de-DE"/>
        </w:rPr>
        <w:t>]</w:t>
      </w:r>
    </w:p>
    <w:p w14:paraId="58EBBA75" w14:textId="77777777" w:rsidR="00C244AE" w:rsidRPr="004676F5" w:rsidRDefault="00C244AE" w:rsidP="001926FE">
      <w:pPr>
        <w:jc w:val="both"/>
        <w:rPr>
          <w:iCs/>
          <w:lang w:val="de-DE"/>
        </w:rPr>
      </w:pPr>
    </w:p>
    <w:p w14:paraId="7986C049" w14:textId="77777777" w:rsidR="00D05B70" w:rsidRPr="004676F5" w:rsidRDefault="00D05B70" w:rsidP="001926FE">
      <w:pPr>
        <w:jc w:val="both"/>
        <w:rPr>
          <w:iCs/>
          <w:lang w:val="de-DE"/>
        </w:rPr>
      </w:pPr>
    </w:p>
    <w:p w14:paraId="69978F4C" w14:textId="1FD1D796" w:rsidR="00D05B70" w:rsidRPr="004676F5" w:rsidRDefault="00D05B70" w:rsidP="00D05B70">
      <w:pPr>
        <w:jc w:val="center"/>
        <w:rPr>
          <w:lang w:val="de-DE"/>
        </w:rPr>
      </w:pPr>
      <w:r w:rsidRPr="004676F5">
        <w:rPr>
          <w:lang w:val="de-DE"/>
        </w:rPr>
        <w:t>[</w:t>
      </w:r>
      <w:r w:rsidRPr="004676F5">
        <w:rPr>
          <w:i/>
          <w:iCs/>
          <w:lang w:val="de-DE"/>
        </w:rPr>
        <w:t>Abschnitt 3/1 </w:t>
      </w:r>
      <w:r w:rsidR="005B7A5C" w:rsidRPr="004676F5">
        <w:rPr>
          <w:lang w:val="de-DE"/>
        </w:rPr>
        <w:t>- </w:t>
      </w:r>
      <w:r w:rsidRPr="004676F5">
        <w:rPr>
          <w:lang w:val="de-DE"/>
        </w:rPr>
        <w:t>Ergänzende Online-Dienste von Sendeunternehmen]</w:t>
      </w:r>
    </w:p>
    <w:p w14:paraId="52A4FBBE" w14:textId="77777777" w:rsidR="00D05B70" w:rsidRPr="004676F5" w:rsidRDefault="00D05B70" w:rsidP="00D05B70">
      <w:pPr>
        <w:jc w:val="center"/>
        <w:rPr>
          <w:lang w:val="de-DE"/>
        </w:rPr>
      </w:pPr>
    </w:p>
    <w:p w14:paraId="10E45095" w14:textId="7C86B57F" w:rsidR="00D05B70" w:rsidRPr="004676F5" w:rsidRDefault="00D05B70" w:rsidP="00D05B70">
      <w:pPr>
        <w:jc w:val="both"/>
        <w:rPr>
          <w:i/>
          <w:iCs/>
          <w:lang w:val="de-DE"/>
        </w:rPr>
      </w:pPr>
      <w:r w:rsidRPr="004676F5">
        <w:rPr>
          <w:i/>
          <w:iCs/>
          <w:lang w:val="de-DE"/>
        </w:rPr>
        <w:t>[Unterteilung Abschnitt 3/1 eingefügt durch Art. 12 des G. vom 1. April 2022 (B.S. vom 21. April 2022)</w:t>
      </w:r>
      <w:r w:rsidR="00070CA0" w:rsidRPr="004676F5">
        <w:rPr>
          <w:i/>
          <w:iCs/>
          <w:lang w:val="de-DE"/>
        </w:rPr>
        <w:t>]</w:t>
      </w:r>
    </w:p>
    <w:p w14:paraId="0C02CA7E" w14:textId="77777777" w:rsidR="00D05B70" w:rsidRPr="004676F5" w:rsidRDefault="00D05B70" w:rsidP="00D05B70">
      <w:pPr>
        <w:jc w:val="both"/>
        <w:rPr>
          <w:i/>
          <w:iCs/>
          <w:lang w:val="de-DE"/>
        </w:rPr>
      </w:pPr>
    </w:p>
    <w:p w14:paraId="56D55CE1" w14:textId="77777777" w:rsidR="00D05B70" w:rsidRPr="004676F5" w:rsidRDefault="00D05B70" w:rsidP="00D05B70">
      <w:pPr>
        <w:jc w:val="both"/>
        <w:rPr>
          <w:i/>
          <w:iCs/>
          <w:lang w:val="de-DE"/>
        </w:rPr>
      </w:pPr>
    </w:p>
    <w:p w14:paraId="00D2082F" w14:textId="012C97DF" w:rsidR="00D05B70" w:rsidRPr="004676F5" w:rsidRDefault="00D05B70" w:rsidP="00D05B70">
      <w:pPr>
        <w:jc w:val="both"/>
        <w:rPr>
          <w:rFonts w:eastAsia="Calibri"/>
          <w:kern w:val="2"/>
          <w:lang w:val="de-DE"/>
          <w14:ligatures w14:val="standardContextual"/>
        </w:rPr>
      </w:pPr>
      <w:r w:rsidRPr="004676F5">
        <w:rPr>
          <w:lang w:val="de-DE"/>
        </w:rPr>
        <w:tab/>
        <w:t>[</w:t>
      </w:r>
      <w:r w:rsidRPr="004676F5">
        <w:rPr>
          <w:b/>
          <w:bCs/>
          <w:lang w:val="de-DE"/>
        </w:rPr>
        <w:t>Art. XI.227/1/1</w:t>
      </w:r>
      <w:r w:rsidRPr="004676F5">
        <w:rPr>
          <w:lang w:val="de-DE"/>
        </w:rPr>
        <w:t> </w:t>
      </w:r>
      <w:r w:rsidR="005B7A5C" w:rsidRPr="004676F5">
        <w:rPr>
          <w:lang w:val="de-DE"/>
        </w:rPr>
        <w:t>- </w:t>
      </w:r>
      <w:r w:rsidRPr="004676F5">
        <w:rPr>
          <w:lang w:val="de-DE"/>
        </w:rPr>
        <w:t>§ 1 ­ Für die Zwecke der Ausübung des Urheberrechts und verwandter Schutzrechte, die für die nachfolgend vermerkten Handlungen relevant sind, gelten als nur in dem Mitgliedstaat der Europäischen Union erfolgt, in dem das Sendeunternehmen seine Hauptniederlassung hat:</w:t>
      </w:r>
    </w:p>
    <w:p w14:paraId="1490B2B1" w14:textId="77777777" w:rsidR="00D05B70" w:rsidRPr="004676F5" w:rsidRDefault="00D05B70" w:rsidP="00D05B70">
      <w:pPr>
        <w:jc w:val="both"/>
        <w:rPr>
          <w:rFonts w:eastAsia="Calibri"/>
          <w:kern w:val="2"/>
          <w:lang w:val="de-DE"/>
          <w14:ligatures w14:val="standardContextual"/>
        </w:rPr>
      </w:pPr>
    </w:p>
    <w:p w14:paraId="0E23EBF3" w14:textId="77777777" w:rsidR="00D05B70" w:rsidRPr="004676F5" w:rsidRDefault="00D05B70" w:rsidP="00D05B70">
      <w:pPr>
        <w:jc w:val="both"/>
        <w:rPr>
          <w:rFonts w:eastAsia="Calibri"/>
          <w:kern w:val="2"/>
          <w:lang w:val="de-DE"/>
          <w14:ligatures w14:val="standardContextual"/>
        </w:rPr>
      </w:pPr>
      <w:r w:rsidRPr="004676F5">
        <w:rPr>
          <w:lang w:val="de-DE"/>
        </w:rPr>
        <w:tab/>
        <w:t>1. drahtgebundene oder drahtlose öffentliche Wiedergabe und Zugänglichmachung von Werken oder Leistungen in einer Weise, dass sie Mitgliedern der Öffentlichkeit von Orten und zu Zeiten ihrer Wahl zugänglich sind, die erfolgt, wenn:</w:t>
      </w:r>
    </w:p>
    <w:p w14:paraId="131F785F" w14:textId="77777777" w:rsidR="00D05B70" w:rsidRPr="004676F5" w:rsidRDefault="00D05B70" w:rsidP="00D05B70">
      <w:pPr>
        <w:jc w:val="both"/>
        <w:rPr>
          <w:rFonts w:eastAsia="Calibri"/>
          <w:kern w:val="2"/>
          <w:lang w:val="de-DE"/>
          <w14:ligatures w14:val="standardContextual"/>
        </w:rPr>
      </w:pPr>
    </w:p>
    <w:p w14:paraId="3959A15A" w14:textId="77777777" w:rsidR="00D05B70" w:rsidRPr="004676F5" w:rsidRDefault="00D05B70" w:rsidP="00D05B70">
      <w:pPr>
        <w:jc w:val="both"/>
        <w:rPr>
          <w:rFonts w:eastAsia="Calibri"/>
          <w:kern w:val="2"/>
          <w:lang w:val="de-DE"/>
          <w14:ligatures w14:val="standardContextual"/>
        </w:rPr>
      </w:pPr>
      <w:r w:rsidRPr="004676F5">
        <w:rPr>
          <w:lang w:val="de-DE"/>
        </w:rPr>
        <w:tab/>
      </w:r>
      <w:r w:rsidRPr="004676F5">
        <w:rPr>
          <w:i/>
          <w:lang w:val="de-DE"/>
        </w:rPr>
        <w:t>a)</w:t>
      </w:r>
      <w:r w:rsidRPr="004676F5">
        <w:rPr>
          <w:lang w:val="de-DE"/>
        </w:rPr>
        <w:t> Hörfunkprogramme und</w:t>
      </w:r>
    </w:p>
    <w:p w14:paraId="3E8FCACE" w14:textId="77777777" w:rsidR="00D05B70" w:rsidRPr="004676F5" w:rsidRDefault="00D05B70" w:rsidP="00D05B70">
      <w:pPr>
        <w:jc w:val="both"/>
        <w:rPr>
          <w:rFonts w:eastAsia="Calibri"/>
          <w:kern w:val="2"/>
          <w:lang w:val="de-DE"/>
          <w14:ligatures w14:val="standardContextual"/>
        </w:rPr>
      </w:pPr>
    </w:p>
    <w:p w14:paraId="2D641F8C" w14:textId="546D3B19" w:rsidR="00D05B70" w:rsidRPr="004676F5" w:rsidRDefault="00D05B70" w:rsidP="00D05B70">
      <w:pPr>
        <w:jc w:val="both"/>
        <w:rPr>
          <w:rFonts w:eastAsia="Calibri"/>
          <w:kern w:val="2"/>
          <w:lang w:val="de-DE"/>
          <w14:ligatures w14:val="standardContextual"/>
        </w:rPr>
      </w:pPr>
      <w:r w:rsidRPr="004676F5">
        <w:rPr>
          <w:lang w:val="de-DE"/>
        </w:rPr>
        <w:tab/>
      </w:r>
      <w:r w:rsidRPr="004676F5">
        <w:rPr>
          <w:i/>
          <w:lang w:val="de-DE"/>
        </w:rPr>
        <w:t>b)</w:t>
      </w:r>
      <w:r w:rsidRPr="004676F5">
        <w:rPr>
          <w:lang w:val="de-DE"/>
        </w:rPr>
        <w:t xml:space="preserve"> Fernsehprogramme </w:t>
      </w:r>
      <w:r w:rsidR="005B7A5C" w:rsidRPr="004676F5">
        <w:rPr>
          <w:lang w:val="de-DE"/>
        </w:rPr>
        <w:t>- </w:t>
      </w:r>
      <w:r w:rsidRPr="004676F5">
        <w:rPr>
          <w:lang w:val="de-DE"/>
        </w:rPr>
        <w:t>die Übertragung von Sportveranstaltungen und in ihnen enthaltenen Werken und Leistungen ausgenommen -, die:</w:t>
      </w:r>
    </w:p>
    <w:p w14:paraId="751B081C" w14:textId="77777777" w:rsidR="00D05B70" w:rsidRPr="004676F5" w:rsidRDefault="00D05B70" w:rsidP="00D05B70">
      <w:pPr>
        <w:jc w:val="both"/>
        <w:rPr>
          <w:rFonts w:eastAsia="Calibri"/>
          <w:kern w:val="2"/>
          <w:lang w:val="de-DE"/>
          <w14:ligatures w14:val="standardContextual"/>
        </w:rPr>
      </w:pPr>
    </w:p>
    <w:p w14:paraId="29131A9A" w14:textId="77777777" w:rsidR="00D05B70" w:rsidRPr="004676F5" w:rsidRDefault="00D05B70" w:rsidP="00D05B70">
      <w:pPr>
        <w:jc w:val="both"/>
        <w:rPr>
          <w:rFonts w:eastAsia="Calibri"/>
          <w:kern w:val="2"/>
          <w:lang w:val="de-DE"/>
          <w14:ligatures w14:val="standardContextual"/>
        </w:rPr>
      </w:pPr>
      <w:r w:rsidRPr="004676F5">
        <w:rPr>
          <w:lang w:val="de-DE"/>
        </w:rPr>
        <w:tab/>
        <w:t>i) Nachrichtensendungen und Sendungen zum aktuellen Geschehen sind oder</w:t>
      </w:r>
    </w:p>
    <w:p w14:paraId="5CF0464F" w14:textId="77777777" w:rsidR="00D05B70" w:rsidRPr="004676F5" w:rsidRDefault="00D05B70" w:rsidP="00D05B70">
      <w:pPr>
        <w:jc w:val="both"/>
        <w:rPr>
          <w:rFonts w:eastAsia="Calibri"/>
          <w:kern w:val="2"/>
          <w:lang w:val="de-DE"/>
          <w14:ligatures w14:val="standardContextual"/>
        </w:rPr>
      </w:pPr>
    </w:p>
    <w:p w14:paraId="08C61FAA" w14:textId="77777777" w:rsidR="00D05B70" w:rsidRPr="004676F5" w:rsidRDefault="00D05B70" w:rsidP="00D05B70">
      <w:pPr>
        <w:jc w:val="both"/>
        <w:rPr>
          <w:lang w:val="de-DE"/>
        </w:rPr>
      </w:pPr>
      <w:r w:rsidRPr="004676F5">
        <w:rPr>
          <w:lang w:val="de-DE"/>
        </w:rPr>
        <w:tab/>
        <w:t>ii) von dem Sendeunternehmen vollständig finanzierte Eigenproduktionen sind,</w:t>
      </w:r>
    </w:p>
    <w:p w14:paraId="33B983DE" w14:textId="77777777" w:rsidR="00D05B70" w:rsidRPr="004676F5" w:rsidRDefault="00D05B70" w:rsidP="00D05B70">
      <w:pPr>
        <w:jc w:val="both"/>
        <w:rPr>
          <w:lang w:val="de-DE"/>
        </w:rPr>
      </w:pPr>
    </w:p>
    <w:p w14:paraId="6F049D95" w14:textId="77777777" w:rsidR="00D05B70" w:rsidRPr="004676F5" w:rsidRDefault="00D05B70" w:rsidP="00D05B70">
      <w:pPr>
        <w:jc w:val="both"/>
        <w:rPr>
          <w:rFonts w:eastAsia="Calibri"/>
          <w:kern w:val="2"/>
          <w:lang w:val="de-DE"/>
          <w14:ligatures w14:val="standardContextual"/>
        </w:rPr>
      </w:pPr>
      <w:r w:rsidRPr="004676F5">
        <w:rPr>
          <w:lang w:val="de-DE"/>
        </w:rPr>
        <w:tab/>
        <w:t>in einem ergänzenden Online-Dienst durch ein Sendeunternehmen oder unter dessen Kontrolle und Verantwortung öffentlich bereitgestellt werden, und</w:t>
      </w:r>
    </w:p>
    <w:p w14:paraId="1F1E5757" w14:textId="77777777" w:rsidR="00D05B70" w:rsidRPr="004676F5" w:rsidRDefault="00D05B70" w:rsidP="00D05B70">
      <w:pPr>
        <w:jc w:val="both"/>
        <w:rPr>
          <w:rFonts w:eastAsia="Calibri"/>
          <w:kern w:val="2"/>
          <w:lang w:val="de-DE"/>
          <w14:ligatures w14:val="standardContextual"/>
        </w:rPr>
      </w:pPr>
    </w:p>
    <w:p w14:paraId="6A0961F8" w14:textId="77777777" w:rsidR="00D05B70" w:rsidRPr="004676F5" w:rsidRDefault="00D05B70" w:rsidP="00D05B70">
      <w:pPr>
        <w:jc w:val="both"/>
        <w:rPr>
          <w:rFonts w:eastAsia="Calibri"/>
          <w:kern w:val="2"/>
          <w:lang w:val="de-DE"/>
          <w14:ligatures w14:val="standardContextual"/>
        </w:rPr>
      </w:pPr>
      <w:r w:rsidRPr="004676F5">
        <w:rPr>
          <w:lang w:val="de-DE"/>
        </w:rPr>
        <w:lastRenderedPageBreak/>
        <w:tab/>
        <w:t>2. Vervielfältigung solcher Werke oder Leistungen, die für die Bereitstellung eines derartigen Online-Dienstes, den Zugang zu diesem oder dessen Nutzung in Bezug auf dieselben Programme erforderlich ist.</w:t>
      </w:r>
    </w:p>
    <w:p w14:paraId="05005E3C" w14:textId="77777777" w:rsidR="00D05B70" w:rsidRPr="004676F5" w:rsidRDefault="00D05B70" w:rsidP="00D05B70">
      <w:pPr>
        <w:jc w:val="both"/>
        <w:rPr>
          <w:rFonts w:eastAsia="Calibri"/>
          <w:kern w:val="2"/>
          <w:lang w:val="de-DE"/>
          <w14:ligatures w14:val="standardContextual"/>
        </w:rPr>
      </w:pPr>
    </w:p>
    <w:p w14:paraId="7A2BCFED" w14:textId="5CE6EA2D" w:rsidR="00D05B70" w:rsidRPr="004676F5" w:rsidRDefault="00D05B70" w:rsidP="00D05B70">
      <w:pPr>
        <w:jc w:val="both"/>
        <w:rPr>
          <w:rFonts w:eastAsia="Calibri"/>
          <w:kern w:val="2"/>
          <w:lang w:val="de-DE"/>
          <w14:ligatures w14:val="standardContextual"/>
        </w:rPr>
      </w:pPr>
      <w:r w:rsidRPr="004676F5">
        <w:rPr>
          <w:lang w:val="de-DE"/>
        </w:rPr>
        <w:tab/>
        <w:t>§ 2 </w:t>
      </w:r>
      <w:r w:rsidR="005B7A5C" w:rsidRPr="004676F5">
        <w:rPr>
          <w:lang w:val="de-DE"/>
        </w:rPr>
        <w:t>- </w:t>
      </w:r>
      <w:r w:rsidRPr="004676F5">
        <w:rPr>
          <w:lang w:val="de-DE"/>
        </w:rPr>
        <w:t>Bei der Festsetzung der Vergütung für die in § 1 erwähnten Rechte berücksichtigen die Parteien alle Aspekte des ergänzenden Online-Dienstes, wie die Eigenschaften des Dienstes, einschließlich des Zeitraums, in dem die im Rahmen des Dienstes bereitgestellten Programme online verfügbar sind, das Publikum und die bereitgestellten Sprachfassungen.</w:t>
      </w:r>
    </w:p>
    <w:p w14:paraId="7DD4B6C6" w14:textId="77777777" w:rsidR="00D05B70" w:rsidRPr="004676F5" w:rsidRDefault="00D05B70" w:rsidP="00D05B70">
      <w:pPr>
        <w:jc w:val="both"/>
        <w:rPr>
          <w:rFonts w:eastAsia="Calibri"/>
          <w:kern w:val="2"/>
          <w:lang w:val="de-DE"/>
          <w14:ligatures w14:val="standardContextual"/>
        </w:rPr>
      </w:pPr>
    </w:p>
    <w:p w14:paraId="6474B78C" w14:textId="77777777" w:rsidR="00D05B70" w:rsidRPr="004676F5" w:rsidRDefault="00D05B70" w:rsidP="00D05B70">
      <w:pPr>
        <w:jc w:val="both"/>
        <w:rPr>
          <w:rFonts w:eastAsia="Calibri"/>
          <w:kern w:val="2"/>
          <w:lang w:val="de-DE"/>
          <w14:ligatures w14:val="standardContextual"/>
        </w:rPr>
      </w:pPr>
      <w:r w:rsidRPr="004676F5">
        <w:rPr>
          <w:lang w:val="de-DE"/>
        </w:rPr>
        <w:tab/>
        <w:t>Absatz 1 schließt die Berechnung der Höhe der Vergütung auf der Grundlage der Einnahmen des Sendeunternehmens nicht aus.</w:t>
      </w:r>
    </w:p>
    <w:p w14:paraId="6CB26C2B" w14:textId="77777777" w:rsidR="00D05B70" w:rsidRPr="004676F5" w:rsidRDefault="00D05B70" w:rsidP="00D05B70">
      <w:pPr>
        <w:jc w:val="both"/>
        <w:rPr>
          <w:rFonts w:eastAsia="Calibri"/>
          <w:kern w:val="2"/>
          <w:lang w:val="de-DE"/>
          <w14:ligatures w14:val="standardContextual"/>
        </w:rPr>
      </w:pPr>
    </w:p>
    <w:p w14:paraId="3F2998B7" w14:textId="13ECA68F" w:rsidR="00D05B70" w:rsidRPr="004676F5" w:rsidRDefault="00D05B70" w:rsidP="00D05B70">
      <w:pPr>
        <w:jc w:val="both"/>
        <w:rPr>
          <w:lang w:val="de-DE"/>
        </w:rPr>
      </w:pPr>
      <w:r w:rsidRPr="004676F5">
        <w:rPr>
          <w:lang w:val="de-DE"/>
        </w:rPr>
        <w:tab/>
        <w:t>§ 3 ­ Paragraph 1 lässt die Vertragsfreiheit der Parteien unberührt, die Nutzung der in diesem Paragraphen erwähnten Rechte zu beschränken.]</w:t>
      </w:r>
    </w:p>
    <w:p w14:paraId="27D0B1E7" w14:textId="77777777" w:rsidR="00D05B70" w:rsidRPr="004676F5" w:rsidRDefault="00D05B70" w:rsidP="001926FE">
      <w:pPr>
        <w:jc w:val="both"/>
        <w:rPr>
          <w:iCs/>
          <w:lang w:val="de-DE"/>
        </w:rPr>
      </w:pPr>
    </w:p>
    <w:p w14:paraId="57D793B7" w14:textId="0BE861C9" w:rsidR="00D05B70" w:rsidRPr="004676F5" w:rsidRDefault="00D05B70" w:rsidP="001926FE">
      <w:pPr>
        <w:jc w:val="both"/>
        <w:rPr>
          <w:i/>
          <w:lang w:val="de-DE"/>
        </w:rPr>
      </w:pPr>
      <w:r w:rsidRPr="004676F5">
        <w:rPr>
          <w:i/>
          <w:lang w:val="de-DE"/>
        </w:rPr>
        <w:t>[Art. XI.227/1/1 eingefügt durch Art. 13 des G. vom 1. April 2022 (B.S. vom 21. April 2022)]</w:t>
      </w:r>
    </w:p>
    <w:p w14:paraId="175302ED" w14:textId="77777777" w:rsidR="00C244AE" w:rsidRPr="004676F5" w:rsidRDefault="00C244AE" w:rsidP="001926FE">
      <w:pPr>
        <w:jc w:val="both"/>
        <w:rPr>
          <w:iCs/>
          <w:lang w:val="de-DE"/>
        </w:rPr>
      </w:pPr>
    </w:p>
    <w:p w14:paraId="3572700F" w14:textId="77777777" w:rsidR="00D05B70" w:rsidRPr="004676F5" w:rsidRDefault="00D05B70" w:rsidP="001926FE">
      <w:pPr>
        <w:jc w:val="both"/>
        <w:rPr>
          <w:iCs/>
          <w:lang w:val="de-DE"/>
        </w:rPr>
      </w:pPr>
    </w:p>
    <w:p w14:paraId="3EAD5594" w14:textId="5D6FE27C" w:rsidR="00C244AE" w:rsidRPr="004676F5" w:rsidRDefault="00C244AE" w:rsidP="00C244AE">
      <w:pPr>
        <w:jc w:val="center"/>
        <w:rPr>
          <w:iCs/>
          <w:lang w:val="de-DE"/>
        </w:rPr>
      </w:pPr>
      <w:r w:rsidRPr="004676F5">
        <w:rPr>
          <w:iCs/>
          <w:lang w:val="de-DE"/>
        </w:rPr>
        <w:t>[</w:t>
      </w:r>
      <w:r w:rsidRPr="004676F5">
        <w:rPr>
          <w:i/>
          <w:iCs/>
          <w:lang w:val="de-DE"/>
        </w:rPr>
        <w:t>Abschnitt 4</w:t>
      </w:r>
      <w:r w:rsidRPr="004676F5">
        <w:rPr>
          <w:lang w:val="de-DE"/>
        </w:rPr>
        <w:t> </w:t>
      </w:r>
      <w:r w:rsidR="005B7A5C" w:rsidRPr="004676F5">
        <w:rPr>
          <w:lang w:val="de-DE"/>
        </w:rPr>
        <w:t>- </w:t>
      </w:r>
      <w:r w:rsidR="00D05B70" w:rsidRPr="004676F5">
        <w:rPr>
          <w:lang w:val="de-DE"/>
        </w:rPr>
        <w:t>[Gemeinsame Bestimmungen für die Abschnitte 1 bis 3/1]</w:t>
      </w:r>
      <w:r w:rsidRPr="004676F5">
        <w:rPr>
          <w:iCs/>
          <w:lang w:val="de-DE"/>
        </w:rPr>
        <w:t>]</w:t>
      </w:r>
    </w:p>
    <w:p w14:paraId="3E48B6CD" w14:textId="77777777" w:rsidR="001926FE" w:rsidRPr="004676F5" w:rsidRDefault="001926FE" w:rsidP="001527B1">
      <w:pPr>
        <w:ind w:firstLine="708"/>
        <w:jc w:val="both"/>
        <w:rPr>
          <w:lang w:val="de-DE"/>
        </w:rPr>
      </w:pPr>
    </w:p>
    <w:p w14:paraId="0F6DD20A" w14:textId="6CFC1BDB" w:rsidR="00C244AE" w:rsidRPr="004676F5" w:rsidRDefault="00C244AE" w:rsidP="00C244AE">
      <w:pPr>
        <w:jc w:val="both"/>
        <w:rPr>
          <w:i/>
          <w:lang w:val="de-DE"/>
        </w:rPr>
      </w:pPr>
      <w:r w:rsidRPr="004676F5">
        <w:rPr>
          <w:i/>
          <w:iCs/>
          <w:lang w:val="de-DE"/>
        </w:rPr>
        <w:t>[Unterteilung Abschnitt 4 eingefügt durch Art. 13</w:t>
      </w:r>
      <w:r w:rsidRPr="004676F5">
        <w:rPr>
          <w:i/>
          <w:lang w:val="de-DE"/>
        </w:rPr>
        <w:t xml:space="preserve"> </w:t>
      </w:r>
      <w:r w:rsidR="00E43762" w:rsidRPr="004676F5">
        <w:rPr>
          <w:i/>
          <w:lang w:val="de-DE"/>
        </w:rPr>
        <w:t>des G. vom 25. November 2018 (I) (B.S. vom 12. Dezember 2018)</w:t>
      </w:r>
      <w:r w:rsidR="00D05B70" w:rsidRPr="004676F5">
        <w:rPr>
          <w:i/>
          <w:lang w:val="de-DE"/>
        </w:rPr>
        <w:t>; Überschrift ersetzt durch Art. 14 des G. vom 1. April 2022 (B.S. vom 21. April 2022)</w:t>
      </w:r>
      <w:r w:rsidRPr="004676F5">
        <w:rPr>
          <w:i/>
          <w:lang w:val="de-DE"/>
        </w:rPr>
        <w:t>]</w:t>
      </w:r>
    </w:p>
    <w:p w14:paraId="36E1CBC3" w14:textId="77777777" w:rsidR="00C244AE" w:rsidRPr="004676F5" w:rsidRDefault="00C244AE" w:rsidP="00C244AE">
      <w:pPr>
        <w:jc w:val="both"/>
        <w:rPr>
          <w:iCs/>
          <w:lang w:val="de-DE"/>
        </w:rPr>
      </w:pPr>
    </w:p>
    <w:p w14:paraId="733DC02E" w14:textId="77777777" w:rsidR="00C244AE" w:rsidRPr="004676F5" w:rsidRDefault="00C244AE" w:rsidP="00C244AE">
      <w:pPr>
        <w:jc w:val="both"/>
        <w:rPr>
          <w:iCs/>
          <w:lang w:val="de-DE"/>
        </w:rPr>
      </w:pPr>
    </w:p>
    <w:p w14:paraId="26352E6C" w14:textId="6F1595F8" w:rsidR="00D05B70" w:rsidRPr="004676F5" w:rsidRDefault="00C244AE" w:rsidP="00D05B70">
      <w:pPr>
        <w:ind w:firstLine="708"/>
        <w:jc w:val="both"/>
        <w:rPr>
          <w:rFonts w:eastAsia="Calibri"/>
          <w:kern w:val="2"/>
          <w:lang w:val="de-DE"/>
          <w14:ligatures w14:val="standardContextual"/>
        </w:rPr>
      </w:pPr>
      <w:r w:rsidRPr="004676F5">
        <w:rPr>
          <w:iCs/>
          <w:lang w:val="de-DE"/>
        </w:rPr>
        <w:t>[</w:t>
      </w:r>
      <w:r w:rsidRPr="004676F5">
        <w:rPr>
          <w:b/>
          <w:bCs/>
          <w:lang w:val="de-DE"/>
        </w:rPr>
        <w:t>Art. XI.227/2</w:t>
      </w:r>
      <w:r w:rsidRPr="004676F5">
        <w:rPr>
          <w:lang w:val="de-DE"/>
        </w:rPr>
        <w:t> </w:t>
      </w:r>
      <w:r w:rsidR="005B7A5C" w:rsidRPr="004676F5">
        <w:rPr>
          <w:lang w:val="de-DE"/>
        </w:rPr>
        <w:t>- </w:t>
      </w:r>
      <w:r w:rsidRPr="004676F5">
        <w:rPr>
          <w:lang w:val="de-DE"/>
        </w:rPr>
        <w:t>§ 1 </w:t>
      </w:r>
      <w:r w:rsidR="005B7A5C" w:rsidRPr="004676F5">
        <w:rPr>
          <w:lang w:val="de-DE"/>
        </w:rPr>
        <w:t>- </w:t>
      </w:r>
      <w:r w:rsidR="00D05B70" w:rsidRPr="004676F5">
        <w:rPr>
          <w:lang w:val="de-DE"/>
        </w:rPr>
        <w:t>[Unbeschadet der anderen gesetzlichen und verordnungs</w:t>
      </w:r>
      <w:r w:rsidR="00D05B70" w:rsidRPr="004676F5">
        <w:rPr>
          <w:lang w:val="de-DE"/>
        </w:rPr>
        <w:softHyphen/>
        <w:t>rechtlichen Informations</w:t>
      </w:r>
      <w:r w:rsidR="00D05B70" w:rsidRPr="004676F5">
        <w:rPr>
          <w:lang w:val="de-DE"/>
        </w:rPr>
        <w:softHyphen/>
        <w:t>anforderungen tauschen Produzenten, Verwertungsgesellschaften, Organisationen für die kollektive Rechtewahrnehmung, Betreiber von Erd-Satelliten-Sendestationen, Sendeunter</w:t>
      </w:r>
      <w:r w:rsidR="00D05B70" w:rsidRPr="004676F5">
        <w:rPr>
          <w:lang w:val="de-DE"/>
        </w:rPr>
        <w:softHyphen/>
        <w:t>nehmen, Betreiber von Kabelweiterverbreitungsdiensten, Betreiber von Weiterverbreitungs</w:t>
      </w:r>
      <w:r w:rsidR="00D05B70" w:rsidRPr="004676F5">
        <w:rPr>
          <w:lang w:val="de-DE"/>
        </w:rPr>
        <w:softHyphen/>
        <w:t>diensten und Signalverteiler rechtzeitig geeignete und ausreichende Informationen zu folgenden Zwecken aus:</w:t>
      </w:r>
    </w:p>
    <w:p w14:paraId="6142A752" w14:textId="77777777" w:rsidR="00D05B70" w:rsidRPr="004676F5" w:rsidRDefault="00D05B70" w:rsidP="00D05B70">
      <w:pPr>
        <w:jc w:val="both"/>
        <w:rPr>
          <w:rFonts w:eastAsia="Calibri"/>
          <w:kern w:val="2"/>
          <w:lang w:val="de-DE"/>
          <w14:ligatures w14:val="standardContextual"/>
        </w:rPr>
      </w:pPr>
    </w:p>
    <w:p w14:paraId="5519D692" w14:textId="77777777" w:rsidR="00D05B70" w:rsidRPr="004676F5" w:rsidRDefault="00D05B70" w:rsidP="00D05B70">
      <w:pPr>
        <w:jc w:val="both"/>
        <w:rPr>
          <w:rFonts w:eastAsia="Calibri"/>
          <w:kern w:val="2"/>
          <w:lang w:val="de-DE"/>
          <w14:ligatures w14:val="standardContextual"/>
        </w:rPr>
      </w:pPr>
      <w:r w:rsidRPr="004676F5">
        <w:rPr>
          <w:lang w:val="de-DE"/>
        </w:rPr>
        <w:tab/>
        <w:t>1. Bestimmung der Art der betreffenden Verwertungshandlung, wie etwa Sendung über Rundfunk, öffentliche Wiedergabe über Satellit, Kabelweiterverbreitung, Weiterverbreitung, öffentliche Wiedergabe durch Direkteinspeisung und/oder ergänzender Online-Dienst,</w:t>
      </w:r>
    </w:p>
    <w:p w14:paraId="5B497A73" w14:textId="77777777" w:rsidR="00D05B70" w:rsidRPr="004676F5" w:rsidRDefault="00D05B70" w:rsidP="00D05B70">
      <w:pPr>
        <w:jc w:val="both"/>
        <w:rPr>
          <w:rFonts w:eastAsia="Calibri"/>
          <w:kern w:val="2"/>
          <w:lang w:val="de-DE"/>
          <w14:ligatures w14:val="standardContextual"/>
        </w:rPr>
      </w:pPr>
    </w:p>
    <w:p w14:paraId="2CEB7EB2" w14:textId="77777777" w:rsidR="00D05B70" w:rsidRPr="004676F5" w:rsidRDefault="00D05B70" w:rsidP="00D05B70">
      <w:pPr>
        <w:jc w:val="both"/>
        <w:rPr>
          <w:rFonts w:eastAsia="Calibri"/>
          <w:kern w:val="2"/>
          <w:lang w:val="de-DE"/>
          <w14:ligatures w14:val="standardContextual"/>
        </w:rPr>
      </w:pPr>
      <w:r w:rsidRPr="004676F5">
        <w:rPr>
          <w:lang w:val="de-DE"/>
        </w:rPr>
        <w:tab/>
        <w:t>2. Bestimmung der relevanten wirtschaftlichen Grundlagen für die Berechnung der Vergütungen,</w:t>
      </w:r>
    </w:p>
    <w:p w14:paraId="6168423C" w14:textId="77777777" w:rsidR="00D05B70" w:rsidRPr="004676F5" w:rsidRDefault="00D05B70" w:rsidP="00D05B70">
      <w:pPr>
        <w:jc w:val="both"/>
        <w:rPr>
          <w:rFonts w:eastAsia="Calibri"/>
          <w:kern w:val="2"/>
          <w:lang w:val="de-DE"/>
          <w14:ligatures w14:val="standardContextual"/>
        </w:rPr>
      </w:pPr>
    </w:p>
    <w:p w14:paraId="0FC107F2" w14:textId="758602CA" w:rsidR="00C244AE" w:rsidRPr="004676F5" w:rsidRDefault="00D05B70" w:rsidP="00D05B70">
      <w:pPr>
        <w:ind w:firstLine="708"/>
        <w:jc w:val="both"/>
        <w:rPr>
          <w:lang w:val="de-DE"/>
        </w:rPr>
      </w:pPr>
      <w:r w:rsidRPr="004676F5">
        <w:rPr>
          <w:lang w:val="de-DE"/>
        </w:rPr>
        <w:t>3. Bestimmung der Höhe der bereits erhaltenen und noch zu erhaltenden Vergütungen für die in Nr. 1 erwähnten Verwertungshandlungen, um Anomalien bei der Zahlung von Vergütungen durch Sendeunternehmen, Betreiber von Kabelweiterverbreitungsdiensten, Betreiber von Weiterverbreitungsdiensten und Signalverteiler zu vermeiden.]</w:t>
      </w:r>
    </w:p>
    <w:p w14:paraId="7B5A7739" w14:textId="0CAC87DA" w:rsidR="00C244AE" w:rsidRPr="004676F5" w:rsidRDefault="00C244AE" w:rsidP="00C244AE">
      <w:pPr>
        <w:ind w:firstLine="708"/>
        <w:jc w:val="both"/>
        <w:rPr>
          <w:lang w:val="de-DE"/>
        </w:rPr>
      </w:pPr>
    </w:p>
    <w:p w14:paraId="589CBB45" w14:textId="3BFCE859" w:rsidR="00C244AE" w:rsidRPr="004676F5" w:rsidRDefault="00C244AE" w:rsidP="00C244AE">
      <w:pPr>
        <w:ind w:firstLine="708"/>
        <w:jc w:val="both"/>
        <w:rPr>
          <w:lang w:val="de-DE"/>
        </w:rPr>
      </w:pPr>
      <w:r w:rsidRPr="004676F5">
        <w:rPr>
          <w:lang w:val="de-DE"/>
        </w:rPr>
        <w:t>§ 2 </w:t>
      </w:r>
      <w:r w:rsidR="005B7A5C" w:rsidRPr="004676F5">
        <w:rPr>
          <w:lang w:val="de-DE"/>
        </w:rPr>
        <w:t>- </w:t>
      </w:r>
      <w:r w:rsidRPr="004676F5">
        <w:rPr>
          <w:lang w:val="de-DE"/>
        </w:rPr>
        <w:t>Nach Konzertierung mit den in Artikel XI.282 § 3 erwähnten Mitgliedern des Konzertierungsausschusses kann der König Folgendes festlegen:</w:t>
      </w:r>
    </w:p>
    <w:p w14:paraId="0FC91FC2" w14:textId="77777777" w:rsidR="00C244AE" w:rsidRPr="004676F5" w:rsidRDefault="00C244AE" w:rsidP="00C244AE">
      <w:pPr>
        <w:ind w:firstLine="708"/>
        <w:jc w:val="both"/>
        <w:rPr>
          <w:lang w:val="de-DE"/>
        </w:rPr>
      </w:pPr>
    </w:p>
    <w:p w14:paraId="31D41937" w14:textId="77777777" w:rsidR="00C244AE" w:rsidRPr="004676F5" w:rsidRDefault="00C244AE" w:rsidP="00C244AE">
      <w:pPr>
        <w:ind w:firstLine="708"/>
        <w:jc w:val="both"/>
        <w:rPr>
          <w:lang w:val="de-DE"/>
        </w:rPr>
      </w:pPr>
      <w:r w:rsidRPr="004676F5">
        <w:rPr>
          <w:lang w:val="de-DE"/>
        </w:rPr>
        <w:t>1. Bedingungen und Modalitäten für den Austausch der in § 1 erwähnten Informationen, einschließlich Art der ausgetauschten Informationen, Personen, die die Informationen bereitstellen, und Personen, die sie erhalten. Der König kann festlegen, dass der in § 1 erwähnte Informationsaustausch über den FÖD Wirtschaft erfolgen kann,</w:t>
      </w:r>
    </w:p>
    <w:p w14:paraId="30D80E40" w14:textId="77777777" w:rsidR="00C244AE" w:rsidRPr="004676F5" w:rsidRDefault="00C244AE" w:rsidP="00C244AE">
      <w:pPr>
        <w:ind w:firstLine="708"/>
        <w:jc w:val="both"/>
        <w:rPr>
          <w:lang w:val="de-DE"/>
        </w:rPr>
      </w:pPr>
    </w:p>
    <w:p w14:paraId="408CB47A" w14:textId="6BA77AB9" w:rsidR="00C244AE" w:rsidRPr="004676F5" w:rsidRDefault="00C244AE" w:rsidP="00C244AE">
      <w:pPr>
        <w:jc w:val="both"/>
        <w:rPr>
          <w:iCs/>
          <w:lang w:val="de-DE"/>
        </w:rPr>
      </w:pPr>
      <w:r w:rsidRPr="004676F5">
        <w:rPr>
          <w:lang w:val="de-DE"/>
        </w:rPr>
        <w:lastRenderedPageBreak/>
        <w:tab/>
        <w:t>2. Empfehlungen für die Parameter der Tarifierung und Einnahme der Vergütungen für die in § 1 erwähnten Verwertungshandlungen.</w:t>
      </w:r>
      <w:r w:rsidRPr="004676F5">
        <w:rPr>
          <w:iCs/>
          <w:lang w:val="de-DE"/>
        </w:rPr>
        <w:t>]</w:t>
      </w:r>
    </w:p>
    <w:p w14:paraId="344D1B7C" w14:textId="77777777" w:rsidR="00C244AE" w:rsidRPr="004676F5" w:rsidRDefault="00C244AE" w:rsidP="00C244AE">
      <w:pPr>
        <w:jc w:val="both"/>
        <w:rPr>
          <w:iCs/>
          <w:lang w:val="de-DE"/>
        </w:rPr>
      </w:pPr>
    </w:p>
    <w:p w14:paraId="4E953E58" w14:textId="1EC59779" w:rsidR="00C244AE" w:rsidRPr="004676F5" w:rsidRDefault="00C244AE" w:rsidP="00C244AE">
      <w:pPr>
        <w:jc w:val="both"/>
        <w:rPr>
          <w:i/>
          <w:lang w:val="de-DE"/>
        </w:rPr>
      </w:pPr>
      <w:r w:rsidRPr="004676F5">
        <w:rPr>
          <w:i/>
          <w:lang w:val="de-DE"/>
        </w:rPr>
        <w:t xml:space="preserve">[Art. XI.227/2 eingefügt durch Art. 14 </w:t>
      </w:r>
      <w:r w:rsidR="00E43762" w:rsidRPr="004676F5">
        <w:rPr>
          <w:i/>
          <w:lang w:val="de-DE"/>
        </w:rPr>
        <w:t>des G. vom 25. November 2018 (I) (B.S. vom 12. Dezember 2018)</w:t>
      </w:r>
      <w:r w:rsidR="00D05B70" w:rsidRPr="004676F5">
        <w:rPr>
          <w:i/>
          <w:lang w:val="de-DE"/>
        </w:rPr>
        <w:t>; § 1 ersetzt durch Art. 15 des G. vom 1. April 2022 (B.S. vom 21. April 2022)</w:t>
      </w:r>
      <w:r w:rsidRPr="004676F5">
        <w:rPr>
          <w:i/>
          <w:lang w:val="de-DE"/>
        </w:rPr>
        <w:t>]</w:t>
      </w:r>
    </w:p>
    <w:p w14:paraId="79B9E0A2" w14:textId="77777777" w:rsidR="00C244AE" w:rsidRPr="004676F5" w:rsidRDefault="00C244AE" w:rsidP="00C244AE">
      <w:pPr>
        <w:jc w:val="both"/>
        <w:rPr>
          <w:i/>
          <w:lang w:val="de-DE"/>
        </w:rPr>
      </w:pPr>
    </w:p>
    <w:p w14:paraId="411274A0" w14:textId="77777777" w:rsidR="001926FE" w:rsidRPr="004676F5" w:rsidRDefault="001926FE" w:rsidP="001527B1">
      <w:pPr>
        <w:ind w:firstLine="708"/>
        <w:jc w:val="both"/>
        <w:rPr>
          <w:lang w:val="de-DE"/>
        </w:rPr>
      </w:pPr>
    </w:p>
    <w:p w14:paraId="5CF15816" w14:textId="3BD98C77" w:rsidR="00C244AE" w:rsidRPr="004676F5" w:rsidRDefault="00BE0A56" w:rsidP="00C244AE">
      <w:pPr>
        <w:ind w:firstLine="708"/>
        <w:jc w:val="both"/>
        <w:rPr>
          <w:lang w:val="de-DE"/>
        </w:rPr>
      </w:pPr>
      <w:r w:rsidRPr="004676F5">
        <w:rPr>
          <w:b/>
          <w:lang w:val="de-DE"/>
        </w:rPr>
        <w:t>Art. </w:t>
      </w:r>
      <w:r w:rsidR="001527B1" w:rsidRPr="004676F5">
        <w:rPr>
          <w:b/>
          <w:lang w:val="de-DE"/>
        </w:rPr>
        <w:t>XI.228</w:t>
      </w:r>
      <w:r w:rsidR="001527B1" w:rsidRPr="004676F5">
        <w:rPr>
          <w:lang w:val="de-DE"/>
        </w:rPr>
        <w:t> </w:t>
      </w:r>
      <w:r w:rsidR="005B7A5C" w:rsidRPr="004676F5">
        <w:rPr>
          <w:lang w:val="de-DE"/>
        </w:rPr>
        <w:t>- </w:t>
      </w:r>
      <w:r w:rsidR="00C244AE" w:rsidRPr="004676F5">
        <w:rPr>
          <w:lang w:val="de-DE"/>
        </w:rPr>
        <w:t xml:space="preserve">[§ 1 ­ </w:t>
      </w:r>
      <w:r w:rsidR="00D05B70" w:rsidRPr="004676F5">
        <w:rPr>
          <w:lang w:val="de-DE"/>
        </w:rPr>
        <w:t>[Kann keine Vereinbarung über die Erlaubnis der öffentlichen Wiedergabe über Satellit, der Kabelweiterverbreitung, der Weiterverbreitung, der öffentlichen Wiedergabe durch Direkteinspeisung und/oder des ergänzenden Online-Dienstes erzielt werden, können die Parteien einvernehmlich einen oder mehrere Vermittler heranziehen.]</w:t>
      </w:r>
    </w:p>
    <w:p w14:paraId="31CD3B34" w14:textId="77777777" w:rsidR="00C244AE" w:rsidRPr="004676F5" w:rsidRDefault="00C244AE" w:rsidP="00C244AE">
      <w:pPr>
        <w:ind w:firstLine="708"/>
        <w:jc w:val="both"/>
        <w:rPr>
          <w:lang w:val="de-DE"/>
        </w:rPr>
      </w:pPr>
    </w:p>
    <w:p w14:paraId="2965135B" w14:textId="0EBF2138" w:rsidR="00C244AE" w:rsidRPr="004676F5" w:rsidRDefault="00C244AE" w:rsidP="00C244AE">
      <w:pPr>
        <w:ind w:firstLine="708"/>
        <w:jc w:val="both"/>
        <w:rPr>
          <w:lang w:val="de-DE"/>
        </w:rPr>
      </w:pPr>
      <w:r w:rsidRPr="004676F5">
        <w:rPr>
          <w:lang w:val="de-DE"/>
        </w:rPr>
        <w:t>§ 2 </w:t>
      </w:r>
      <w:r w:rsidR="005B7A5C" w:rsidRPr="004676F5">
        <w:rPr>
          <w:lang w:val="de-DE"/>
        </w:rPr>
        <w:t>- </w:t>
      </w:r>
      <w:r w:rsidR="00D05B70" w:rsidRPr="004676F5">
        <w:rPr>
          <w:lang w:val="de-DE"/>
        </w:rPr>
        <w:t>[Der oder die Vermittler]</w:t>
      </w:r>
      <w:r w:rsidRPr="004676F5">
        <w:rPr>
          <w:lang w:val="de-DE"/>
        </w:rPr>
        <w:t xml:space="preserve"> werden gemäß den Regeln von </w:t>
      </w:r>
      <w:r w:rsidR="008401FD" w:rsidRPr="004676F5">
        <w:rPr>
          <w:lang w:val="de-DE"/>
        </w:rPr>
        <w:t>[</w:t>
      </w:r>
      <w:r w:rsidRPr="004676F5">
        <w:rPr>
          <w:lang w:val="de-DE"/>
        </w:rPr>
        <w:t>Teil VI</w:t>
      </w:r>
      <w:r w:rsidR="008401FD" w:rsidRPr="004676F5">
        <w:rPr>
          <w:lang w:val="de-DE"/>
        </w:rPr>
        <w:t>I]</w:t>
      </w:r>
      <w:r w:rsidRPr="004676F5">
        <w:rPr>
          <w:lang w:val="de-DE"/>
        </w:rPr>
        <w:t xml:space="preserve"> des Gerichtsgesetzbuches über die Bestimmung </w:t>
      </w:r>
      <w:r w:rsidR="008401FD" w:rsidRPr="004676F5">
        <w:rPr>
          <w:lang w:val="de-DE"/>
        </w:rPr>
        <w:t>[der Vermittler]</w:t>
      </w:r>
      <w:r w:rsidRPr="004676F5">
        <w:rPr>
          <w:lang w:val="de-DE"/>
        </w:rPr>
        <w:t xml:space="preserve"> bestimmt. Sie müssen Unabhängigkeit und Unparteilichkeit gewährleisten. Sie müssen Beistand bei der Führung der Verhandlungen leisten und können nach Anhörung der betroffenen Parteien Vorschläge unterbreiten. Vorschläge werden per Einschreibesendung mit Rückschein notifiziert.</w:t>
      </w:r>
    </w:p>
    <w:p w14:paraId="25A45F41" w14:textId="77777777" w:rsidR="00C244AE" w:rsidRPr="004676F5" w:rsidRDefault="00C244AE" w:rsidP="00C244AE">
      <w:pPr>
        <w:ind w:firstLine="708"/>
        <w:jc w:val="both"/>
        <w:rPr>
          <w:lang w:val="de-DE"/>
        </w:rPr>
      </w:pPr>
    </w:p>
    <w:p w14:paraId="38EB7E41" w14:textId="612953E8" w:rsidR="0010524E" w:rsidRPr="004676F5" w:rsidRDefault="00C244AE" w:rsidP="00C244AE">
      <w:pPr>
        <w:ind w:firstLine="708"/>
        <w:jc w:val="both"/>
        <w:rPr>
          <w:lang w:val="de-DE"/>
        </w:rPr>
      </w:pPr>
      <w:r w:rsidRPr="004676F5">
        <w:rPr>
          <w:lang w:val="de-DE"/>
        </w:rPr>
        <w:t>§ 3 </w:t>
      </w:r>
      <w:r w:rsidR="005B7A5C" w:rsidRPr="004676F5">
        <w:rPr>
          <w:lang w:val="de-DE"/>
        </w:rPr>
        <w:t>- </w:t>
      </w:r>
      <w:r w:rsidRPr="004676F5">
        <w:rPr>
          <w:lang w:val="de-DE"/>
        </w:rPr>
        <w:t xml:space="preserve">Es wird davon ausgegangen, dass die Parteien die ihnen </w:t>
      </w:r>
      <w:r w:rsidR="008401FD" w:rsidRPr="004676F5">
        <w:rPr>
          <w:lang w:val="de-DE"/>
        </w:rPr>
        <w:t xml:space="preserve">[von dem oder den Vermittlern] </w:t>
      </w:r>
      <w:r w:rsidRPr="004676F5">
        <w:rPr>
          <w:lang w:val="de-DE"/>
        </w:rPr>
        <w:t>übermittelten Vorschläge annehmen, wenn binnen drei Monaten ab der Notifizierung keine der Parteien sich in derselben Form anhand einer Notifizierung an die anderen Parteien den Vorschlägen widersetzt.]</w:t>
      </w:r>
    </w:p>
    <w:p w14:paraId="3D574ED7" w14:textId="77777777" w:rsidR="0010524E" w:rsidRPr="004676F5" w:rsidRDefault="0010524E" w:rsidP="001527B1">
      <w:pPr>
        <w:ind w:firstLine="708"/>
        <w:jc w:val="both"/>
        <w:rPr>
          <w:lang w:val="de-DE"/>
        </w:rPr>
      </w:pPr>
    </w:p>
    <w:p w14:paraId="59787608" w14:textId="4FAA4828" w:rsidR="0010524E" w:rsidRPr="004676F5" w:rsidRDefault="0010524E" w:rsidP="0010524E">
      <w:pPr>
        <w:jc w:val="both"/>
        <w:rPr>
          <w:i/>
          <w:lang w:val="de-DE"/>
        </w:rPr>
      </w:pPr>
      <w:r w:rsidRPr="004676F5">
        <w:rPr>
          <w:i/>
          <w:lang w:val="de-DE"/>
        </w:rPr>
        <w:t>[</w:t>
      </w:r>
      <w:r w:rsidR="00BE0A56" w:rsidRPr="004676F5">
        <w:rPr>
          <w:i/>
          <w:lang w:val="de-DE"/>
        </w:rPr>
        <w:t>Art. </w:t>
      </w:r>
      <w:r w:rsidRPr="004676F5">
        <w:rPr>
          <w:i/>
          <w:lang w:val="de-DE"/>
        </w:rPr>
        <w:t xml:space="preserve">XI.228 ersetzt durch </w:t>
      </w:r>
      <w:r w:rsidR="00BE0A56" w:rsidRPr="004676F5">
        <w:rPr>
          <w:i/>
          <w:lang w:val="de-DE"/>
        </w:rPr>
        <w:t>Art. </w:t>
      </w:r>
      <w:r w:rsidR="00C244AE" w:rsidRPr="004676F5">
        <w:rPr>
          <w:i/>
          <w:lang w:val="de-DE"/>
        </w:rPr>
        <w:t xml:space="preserve">15 </w:t>
      </w:r>
      <w:r w:rsidR="00E43762" w:rsidRPr="004676F5">
        <w:rPr>
          <w:i/>
          <w:lang w:val="de-DE"/>
        </w:rPr>
        <w:t>des G. vom 25. November 2018 (I) (B.S. vom 12. Dezember 2018)</w:t>
      </w:r>
      <w:r w:rsidR="00D05B70" w:rsidRPr="004676F5">
        <w:rPr>
          <w:i/>
          <w:lang w:val="de-DE"/>
        </w:rPr>
        <w:t>; § 1 ersetzt durch Art. 16 Nr. 1 des G. vom 1. April 2022 (B.S. vom 21. April 2022)</w:t>
      </w:r>
      <w:r w:rsidR="008401FD" w:rsidRPr="004676F5">
        <w:rPr>
          <w:i/>
          <w:lang w:val="de-DE"/>
        </w:rPr>
        <w:t>; § 2 abgeändert durch Art. 16 Nr. 2 des G. vom 1. April 2022 (B.S. vom 21. April 2022); § </w:t>
      </w:r>
      <w:r w:rsidR="00212CBA" w:rsidRPr="004676F5">
        <w:rPr>
          <w:i/>
          <w:lang w:val="de-DE"/>
        </w:rPr>
        <w:t>3</w:t>
      </w:r>
      <w:r w:rsidR="008401FD" w:rsidRPr="004676F5">
        <w:rPr>
          <w:i/>
          <w:lang w:val="de-DE"/>
        </w:rPr>
        <w:t xml:space="preserve"> abgeändert durch Art. 16 Nr. 3 des G. vom 1. April 2022 (B.S. vom 21. April 2022)</w:t>
      </w:r>
      <w:r w:rsidRPr="004676F5">
        <w:rPr>
          <w:i/>
          <w:lang w:val="de-DE"/>
        </w:rPr>
        <w:t>]</w:t>
      </w:r>
    </w:p>
    <w:p w14:paraId="7D54E845" w14:textId="77777777" w:rsidR="001527B1" w:rsidRPr="004676F5" w:rsidRDefault="001527B1" w:rsidP="001527B1">
      <w:pPr>
        <w:ind w:firstLine="708"/>
        <w:jc w:val="both"/>
        <w:rPr>
          <w:lang w:val="de-DE"/>
        </w:rPr>
      </w:pPr>
    </w:p>
    <w:p w14:paraId="78B454F9" w14:textId="77777777" w:rsidR="00C244AE" w:rsidRPr="004676F5" w:rsidRDefault="00C244AE" w:rsidP="001527B1">
      <w:pPr>
        <w:ind w:firstLine="708"/>
        <w:jc w:val="both"/>
        <w:rPr>
          <w:lang w:val="de-DE"/>
        </w:rPr>
      </w:pPr>
    </w:p>
    <w:p w14:paraId="538D7576" w14:textId="4AE34A60" w:rsidR="008401FD" w:rsidRPr="004676F5" w:rsidRDefault="00C244AE" w:rsidP="008401FD">
      <w:pPr>
        <w:ind w:firstLine="708"/>
        <w:jc w:val="both"/>
        <w:rPr>
          <w:rFonts w:eastAsia="Calibri"/>
          <w:kern w:val="2"/>
          <w:lang w:val="de-DE"/>
          <w14:ligatures w14:val="standardContextual"/>
        </w:rPr>
      </w:pPr>
      <w:r w:rsidRPr="004676F5">
        <w:rPr>
          <w:lang w:val="de-DE"/>
        </w:rPr>
        <w:t>[</w:t>
      </w:r>
      <w:r w:rsidRPr="004676F5">
        <w:rPr>
          <w:b/>
          <w:bCs/>
          <w:lang w:val="de-DE"/>
        </w:rPr>
        <w:t>Art. XI.228/1</w:t>
      </w:r>
      <w:r w:rsidRPr="004676F5">
        <w:rPr>
          <w:lang w:val="de-DE"/>
        </w:rPr>
        <w:t> </w:t>
      </w:r>
      <w:r w:rsidR="005B7A5C" w:rsidRPr="004676F5">
        <w:rPr>
          <w:lang w:val="de-DE"/>
        </w:rPr>
        <w:t>- </w:t>
      </w:r>
      <w:r w:rsidR="008401FD" w:rsidRPr="004676F5">
        <w:rPr>
          <w:lang w:val="de-DE"/>
        </w:rPr>
        <w:t>[Sendeunternehmen, die für ihre eigenen Sendungen das in den Artikeln XI.223 und XI.226 erwähnte Recht ausüben, Kabelweiterverbreitung, Weiterver</w:t>
      </w:r>
      <w:r w:rsidR="008401FD" w:rsidRPr="004676F5">
        <w:rPr>
          <w:lang w:val="de-DE"/>
        </w:rPr>
        <w:softHyphen/>
        <w:t>breitung beziehungsweise öffentliche Wiedergabe durch Direkteinspeisung zu erlauben, Verwertungsgesellschaften, die das in den Artikeln XI.224 § 1 und XI.227 § 1 erwähnte Recht verwalten, Kabelweiterverbreitung, Weiterverbreitung beziehungsweise öffentliche Wieder</w:t>
      </w:r>
      <w:r w:rsidR="008401FD" w:rsidRPr="004676F5">
        <w:rPr>
          <w:lang w:val="de-DE"/>
        </w:rPr>
        <w:softHyphen/>
        <w:t>gabe durch Direkteinspeisung zu erlauben oder zu verbieten, und Verwertungsgesellschaften, die das in den Artikeln XI.225 § 1 und XI.227/1 § 1 erwähnte Recht auf Vergütung für Kabelweiterverbreitung, Weiterverbreitung beziehungsweise öffentliche Wiedergabe durch Direkteinspeisung verwalten, richten unbeschadet des Absatzes 2 für die Einnahme der vorerwähnten Vergütungen eine Gemeinschaftsplattform ein.</w:t>
      </w:r>
    </w:p>
    <w:p w14:paraId="74E0091B" w14:textId="77777777" w:rsidR="008401FD" w:rsidRPr="004676F5" w:rsidRDefault="008401FD" w:rsidP="008401FD">
      <w:pPr>
        <w:jc w:val="both"/>
        <w:rPr>
          <w:rFonts w:eastAsia="Calibri"/>
          <w:kern w:val="2"/>
          <w:lang w:val="de-DE"/>
          <w14:ligatures w14:val="standardContextual"/>
        </w:rPr>
      </w:pPr>
    </w:p>
    <w:p w14:paraId="51CA3776" w14:textId="77777777" w:rsidR="008401FD" w:rsidRPr="004676F5" w:rsidRDefault="008401FD" w:rsidP="008401FD">
      <w:pPr>
        <w:jc w:val="both"/>
        <w:rPr>
          <w:rFonts w:eastAsia="Calibri"/>
          <w:kern w:val="2"/>
          <w:lang w:val="de-DE"/>
          <w14:ligatures w14:val="standardContextual"/>
        </w:rPr>
      </w:pPr>
      <w:r w:rsidRPr="004676F5">
        <w:rPr>
          <w:lang w:val="de-DE"/>
        </w:rPr>
        <w:tab/>
        <w:t>Nach Stellungnahme des Konzertierungsausschusses bestimmt der König die Bedingungen, denen diese Plattform genügen muss. Auf der Grundlage objektiver Kriterien kann Er Zusammensetzung und Tragweite der Gemeinschaftsplattform begrenzen, insbesondere was bestimmte Kategorien von Rechtsinhabern betrifft.</w:t>
      </w:r>
    </w:p>
    <w:p w14:paraId="55BE7E03" w14:textId="77777777" w:rsidR="008401FD" w:rsidRPr="004676F5" w:rsidRDefault="008401FD" w:rsidP="008401FD">
      <w:pPr>
        <w:jc w:val="both"/>
        <w:rPr>
          <w:rFonts w:eastAsia="Calibri"/>
          <w:kern w:val="2"/>
          <w:lang w:val="de-DE"/>
          <w14:ligatures w14:val="standardContextual"/>
        </w:rPr>
      </w:pPr>
    </w:p>
    <w:p w14:paraId="3FC16CF9" w14:textId="77777777" w:rsidR="008401FD" w:rsidRPr="004676F5" w:rsidRDefault="008401FD">
      <w:pPr>
        <w:rPr>
          <w:lang w:val="de-DE"/>
        </w:rPr>
      </w:pPr>
      <w:r w:rsidRPr="004676F5">
        <w:rPr>
          <w:lang w:val="de-DE"/>
        </w:rPr>
        <w:br w:type="page"/>
      </w:r>
    </w:p>
    <w:p w14:paraId="0890C197" w14:textId="0E99DD09" w:rsidR="00C244AE" w:rsidRPr="004676F5" w:rsidRDefault="008401FD" w:rsidP="008401FD">
      <w:pPr>
        <w:ind w:firstLine="708"/>
        <w:jc w:val="both"/>
        <w:rPr>
          <w:lang w:val="de-DE"/>
        </w:rPr>
      </w:pPr>
      <w:r w:rsidRPr="004676F5">
        <w:rPr>
          <w:lang w:val="de-DE"/>
        </w:rPr>
        <w:lastRenderedPageBreak/>
        <w:t>Nach Stellungnahme des Konzertierungsausschusses bestimmt der König das Datum der Einsetzung der Gemeinschaftsplattform.]</w:t>
      </w:r>
      <w:r w:rsidR="00C244AE" w:rsidRPr="004676F5">
        <w:rPr>
          <w:lang w:val="de-DE"/>
        </w:rPr>
        <w:t>]</w:t>
      </w:r>
    </w:p>
    <w:p w14:paraId="36203A50" w14:textId="77777777" w:rsidR="00C244AE" w:rsidRPr="004676F5" w:rsidRDefault="00C244AE" w:rsidP="00C244AE">
      <w:pPr>
        <w:jc w:val="both"/>
        <w:rPr>
          <w:lang w:val="de-DE"/>
        </w:rPr>
      </w:pPr>
    </w:p>
    <w:p w14:paraId="30D6F196" w14:textId="529F0158" w:rsidR="00C244AE" w:rsidRPr="004676F5" w:rsidRDefault="00C244AE" w:rsidP="00C244AE">
      <w:pPr>
        <w:jc w:val="both"/>
        <w:rPr>
          <w:i/>
          <w:lang w:val="de-DE"/>
        </w:rPr>
      </w:pPr>
      <w:r w:rsidRPr="004676F5">
        <w:rPr>
          <w:i/>
          <w:iCs/>
          <w:lang w:val="de-DE"/>
        </w:rPr>
        <w:t>[Art. XI.228/1 eingefügt durch Art. 16</w:t>
      </w:r>
      <w:r w:rsidRPr="004676F5">
        <w:rPr>
          <w:i/>
          <w:lang w:val="de-DE"/>
        </w:rPr>
        <w:t xml:space="preserve"> </w:t>
      </w:r>
      <w:r w:rsidR="00E43762" w:rsidRPr="004676F5">
        <w:rPr>
          <w:i/>
          <w:lang w:val="de-DE"/>
        </w:rPr>
        <w:t>des G. vom 25. November 2018 (I) (B.S. vom 12. Dezember 2018)</w:t>
      </w:r>
      <w:r w:rsidR="008401FD" w:rsidRPr="004676F5">
        <w:rPr>
          <w:i/>
          <w:lang w:val="de-DE"/>
        </w:rPr>
        <w:t xml:space="preserve"> und ersetzt durch Art. 17 des G. vom 1. April 2022 (B.S. vom 21. April 2022)</w:t>
      </w:r>
      <w:r w:rsidRPr="004676F5">
        <w:rPr>
          <w:i/>
          <w:lang w:val="de-DE"/>
        </w:rPr>
        <w:t>]</w:t>
      </w:r>
    </w:p>
    <w:p w14:paraId="49B7BDBD" w14:textId="77777777" w:rsidR="00C244AE" w:rsidRPr="004676F5" w:rsidRDefault="00C244AE" w:rsidP="00C244AE">
      <w:pPr>
        <w:jc w:val="both"/>
        <w:rPr>
          <w:i/>
          <w:iCs/>
          <w:lang w:val="de-DE"/>
        </w:rPr>
      </w:pPr>
    </w:p>
    <w:p w14:paraId="3D5F9754" w14:textId="77777777" w:rsidR="00355502" w:rsidRPr="004676F5" w:rsidRDefault="00355502" w:rsidP="001527B1">
      <w:pPr>
        <w:jc w:val="center"/>
        <w:rPr>
          <w:lang w:val="de-DE"/>
        </w:rPr>
      </w:pPr>
    </w:p>
    <w:p w14:paraId="518690B5" w14:textId="77777777" w:rsidR="00BC359C" w:rsidRPr="004676F5" w:rsidRDefault="00BC359C">
      <w:pPr>
        <w:rPr>
          <w:lang w:val="de-DE"/>
        </w:rPr>
      </w:pPr>
      <w:r w:rsidRPr="004676F5">
        <w:rPr>
          <w:lang w:val="de-DE"/>
        </w:rPr>
        <w:br w:type="page"/>
      </w:r>
    </w:p>
    <w:p w14:paraId="4D36A2F7" w14:textId="4E376DB9" w:rsidR="00BC359C" w:rsidRPr="004676F5" w:rsidRDefault="00BC359C" w:rsidP="00BC359C">
      <w:pPr>
        <w:jc w:val="center"/>
        <w:rPr>
          <w:lang w:val="de-DE"/>
        </w:rPr>
      </w:pPr>
      <w:r w:rsidRPr="004676F5">
        <w:rPr>
          <w:lang w:val="de-DE"/>
        </w:rPr>
        <w:lastRenderedPageBreak/>
        <w:t>[</w:t>
      </w:r>
      <w:r w:rsidR="0066692A" w:rsidRPr="004676F5">
        <w:rPr>
          <w:lang w:val="de-DE"/>
        </w:rPr>
        <w:t>KAPITEL </w:t>
      </w:r>
      <w:r w:rsidRPr="004676F5">
        <w:rPr>
          <w:lang w:val="de-DE"/>
        </w:rPr>
        <w:t>4/1 </w:t>
      </w:r>
      <w:r w:rsidR="005B7A5C" w:rsidRPr="004676F5">
        <w:rPr>
          <w:lang w:val="de-DE"/>
        </w:rPr>
        <w:t>- </w:t>
      </w:r>
      <w:r w:rsidRPr="004676F5">
        <w:rPr>
          <w:i/>
          <w:iCs/>
          <w:lang w:val="de-DE"/>
        </w:rPr>
        <w:t>Nutzung von Werken und Leistungen durch Diensteanbieter für das Teilen von Online-Inhalten</w:t>
      </w:r>
      <w:r w:rsidRPr="004676F5">
        <w:rPr>
          <w:lang w:val="de-DE"/>
        </w:rPr>
        <w:t>]</w:t>
      </w:r>
    </w:p>
    <w:p w14:paraId="56A3C7D7" w14:textId="77777777" w:rsidR="0066692A" w:rsidRPr="004676F5" w:rsidRDefault="0066692A" w:rsidP="00BC359C">
      <w:pPr>
        <w:jc w:val="center"/>
        <w:rPr>
          <w:lang w:val="de-DE"/>
        </w:rPr>
      </w:pPr>
    </w:p>
    <w:p w14:paraId="1686EB58" w14:textId="0C79FD10" w:rsidR="0066692A" w:rsidRPr="004676F5" w:rsidRDefault="0066692A" w:rsidP="0066692A">
      <w:pPr>
        <w:jc w:val="both"/>
        <w:rPr>
          <w:i/>
          <w:iCs/>
          <w:lang w:val="de-DE"/>
        </w:rPr>
      </w:pPr>
      <w:r w:rsidRPr="004676F5">
        <w:rPr>
          <w:i/>
          <w:iCs/>
          <w:lang w:val="de-DE"/>
        </w:rPr>
        <w:t>[Unterteilung Kapitel 4/1 eingefügt durch Art. 51 des G. vom 19. Juni 2022 (B.S. vom 1. August 2022)]</w:t>
      </w:r>
    </w:p>
    <w:p w14:paraId="4C591CDD" w14:textId="77777777" w:rsidR="0066692A" w:rsidRPr="004676F5" w:rsidRDefault="0066692A" w:rsidP="0066692A">
      <w:pPr>
        <w:jc w:val="both"/>
        <w:rPr>
          <w:i/>
          <w:iCs/>
          <w:lang w:val="de-DE"/>
        </w:rPr>
      </w:pPr>
    </w:p>
    <w:p w14:paraId="6EB8DFF7" w14:textId="77777777" w:rsidR="0066692A" w:rsidRPr="004676F5" w:rsidRDefault="0066692A" w:rsidP="0066692A">
      <w:pPr>
        <w:jc w:val="both"/>
        <w:rPr>
          <w:lang w:val="de-DE"/>
        </w:rPr>
      </w:pPr>
    </w:p>
    <w:p w14:paraId="07964714" w14:textId="263F9E2C" w:rsidR="0064210C" w:rsidRPr="004676F5" w:rsidRDefault="0066692A" w:rsidP="0064210C">
      <w:pPr>
        <w:jc w:val="both"/>
        <w:rPr>
          <w:lang w:val="de-DE"/>
        </w:rPr>
      </w:pPr>
      <w:r w:rsidRPr="004676F5">
        <w:rPr>
          <w:lang w:val="de-DE"/>
        </w:rPr>
        <w:tab/>
        <w:t>[</w:t>
      </w:r>
      <w:r w:rsidR="0064210C" w:rsidRPr="004676F5">
        <w:rPr>
          <w:b/>
          <w:bCs/>
          <w:lang w:val="de-DE"/>
        </w:rPr>
        <w:t>Art. XI.228/2</w:t>
      </w:r>
      <w:r w:rsidR="0064210C" w:rsidRPr="004676F5">
        <w:rPr>
          <w:lang w:val="de-DE"/>
        </w:rPr>
        <w:t> </w:t>
      </w:r>
      <w:r w:rsidR="005B7A5C" w:rsidRPr="004676F5">
        <w:rPr>
          <w:lang w:val="de-DE"/>
        </w:rPr>
        <w:t>- </w:t>
      </w:r>
      <w:r w:rsidR="0064210C" w:rsidRPr="004676F5">
        <w:rPr>
          <w:lang w:val="de-DE"/>
        </w:rPr>
        <w:t>Für die Zwecke des vorliegenden Kapitels bezeichnet der Begriff "Diensteanbieter für das Teilen von Online-Inhalten" den Anbieter eines Dienstes der Informationsgesellschaft im Sinne von Artikel I.18 Nr. 1, bei dem der Hauptzweck beziehungsweise einer der Hauptzwecke darin besteht, eine große Menge an von seinen Nutzern hochgeladenen Werken oder Leistungen zu speichern und der Öffentlichkeit Zugang hierzu zu verschaffen, wobei dieser Anbieter diese Inhalte organisiert und zum Zwecke der Gewinnerzielung bewirbt.</w:t>
      </w:r>
    </w:p>
    <w:p w14:paraId="2B318BC1" w14:textId="77777777" w:rsidR="0064210C" w:rsidRPr="004676F5" w:rsidRDefault="0064210C" w:rsidP="0064210C">
      <w:pPr>
        <w:jc w:val="both"/>
        <w:rPr>
          <w:lang w:val="de-DE"/>
        </w:rPr>
      </w:pPr>
    </w:p>
    <w:p w14:paraId="26CB3B83" w14:textId="324E7159" w:rsidR="0064210C" w:rsidRPr="004676F5" w:rsidRDefault="0064210C" w:rsidP="0064210C">
      <w:pPr>
        <w:jc w:val="both"/>
        <w:rPr>
          <w:lang w:val="de-DE"/>
        </w:rPr>
      </w:pPr>
      <w:r w:rsidRPr="004676F5">
        <w:rPr>
          <w:lang w:val="de-DE"/>
        </w:rPr>
        <w:tab/>
        <w:t>Anbieter von Diensten, etwa nicht gewinnorientierte Online-Enzyklopädien, nicht gewinnorientierte bildungsbezogene und wissenschaftliche Repositorien, Entwicklungs</w:t>
      </w:r>
      <w:r w:rsidR="005B7A5C" w:rsidRPr="004676F5">
        <w:rPr>
          <w:lang w:val="de-DE"/>
        </w:rPr>
        <w:t>- </w:t>
      </w:r>
      <w:r w:rsidRPr="004676F5">
        <w:rPr>
          <w:lang w:val="de-DE"/>
        </w:rPr>
        <w:t>und Weitergabeplattformen für quelloffene Software, Anbieter elektronischer Kommunikations</w:t>
      </w:r>
      <w:r w:rsidRPr="004676F5">
        <w:rPr>
          <w:lang w:val="de-DE"/>
        </w:rPr>
        <w:softHyphen/>
        <w:t>dienste im Sinne der Richtlinie (EU) 2018/1972 des Europäischen Parlaments und des Rates vom 11. Dezember 2018 über den europäischen Kodex für die elektronische Kommunikation, Online-Marktplätze, zwischen Unternehmen erbrachte Cloud-Dienste und Cloud-Dienste, die ihren Nutzern das Hochladen von Inhalten für den Eigengebrauch ermöglichen, sind keine Diensteanbieter für das Teilen von Online-Inhalten im Sinne des vorliegenden Kapitels.]</w:t>
      </w:r>
    </w:p>
    <w:p w14:paraId="771A8F40" w14:textId="77777777" w:rsidR="0064210C" w:rsidRPr="004676F5" w:rsidRDefault="0064210C" w:rsidP="0064210C">
      <w:pPr>
        <w:jc w:val="both"/>
        <w:rPr>
          <w:lang w:val="de-DE"/>
        </w:rPr>
      </w:pPr>
    </w:p>
    <w:p w14:paraId="1C66DEAF" w14:textId="2FEB561F" w:rsidR="0064210C" w:rsidRPr="004676F5" w:rsidRDefault="0064210C" w:rsidP="0064210C">
      <w:pPr>
        <w:jc w:val="both"/>
        <w:rPr>
          <w:i/>
          <w:iCs/>
          <w:lang w:val="de-DE"/>
        </w:rPr>
      </w:pPr>
      <w:r w:rsidRPr="004676F5">
        <w:rPr>
          <w:i/>
          <w:iCs/>
          <w:lang w:val="de-DE"/>
        </w:rPr>
        <w:t>[Art. XI.228/2 eingefügt durch Art. 52 des G. vom 19. Juni 2022 (B.S. vom 1. August 2022)]</w:t>
      </w:r>
    </w:p>
    <w:p w14:paraId="5DB6E69B" w14:textId="77777777" w:rsidR="0064210C" w:rsidRPr="004676F5" w:rsidRDefault="0064210C" w:rsidP="0064210C">
      <w:pPr>
        <w:jc w:val="both"/>
        <w:rPr>
          <w:lang w:val="de-DE"/>
        </w:rPr>
      </w:pPr>
    </w:p>
    <w:p w14:paraId="44E17880" w14:textId="77777777" w:rsidR="0064210C" w:rsidRPr="004676F5" w:rsidRDefault="0064210C" w:rsidP="0064210C">
      <w:pPr>
        <w:jc w:val="both"/>
        <w:rPr>
          <w:lang w:val="de-DE"/>
        </w:rPr>
      </w:pPr>
    </w:p>
    <w:p w14:paraId="3DB10CAF" w14:textId="0C422F1D" w:rsidR="0064210C" w:rsidRPr="004676F5" w:rsidRDefault="0064210C" w:rsidP="0064210C">
      <w:pPr>
        <w:jc w:val="both"/>
        <w:rPr>
          <w:lang w:val="de-DE"/>
        </w:rPr>
      </w:pPr>
      <w:r w:rsidRPr="004676F5">
        <w:rPr>
          <w:lang w:val="de-DE"/>
        </w:rPr>
        <w:tab/>
        <w:t>[</w:t>
      </w:r>
      <w:r w:rsidRPr="004676F5">
        <w:rPr>
          <w:b/>
          <w:bCs/>
          <w:lang w:val="de-DE"/>
        </w:rPr>
        <w:t>Art. XI.228/3</w:t>
      </w:r>
      <w:r w:rsidRPr="004676F5">
        <w:rPr>
          <w:lang w:val="de-DE"/>
        </w:rPr>
        <w:t> </w:t>
      </w:r>
      <w:r w:rsidR="005B7A5C" w:rsidRPr="004676F5">
        <w:rPr>
          <w:lang w:val="de-DE"/>
        </w:rPr>
        <w:t>- </w:t>
      </w:r>
      <w:r w:rsidRPr="004676F5">
        <w:rPr>
          <w:lang w:val="de-DE"/>
        </w:rPr>
        <w:t>§ 1 ­ Ein Diensteanbieter für das Teilen von Online-Inhalten nimmt eine Handlung der öffentlichen Wiedergabe oder eine Handlung der öffentlichen Zugänglichmachung von Werken und/oder Leistungen von Rechtsinhabern wie in den Artikeln XI.165 § 1 Absatz 4, XI.205 § 1 Absatz 3 und XI.209 § 1 Absatz 4 erwähnt und/oder eine Handlung der öffentlichen Zugänglichmachung von Leistungen von Rechtsinhabern wie in Artikel XI.215 § 1 Absatz 1 Buchstabe </w:t>
      </w:r>
      <w:r w:rsidRPr="004676F5">
        <w:rPr>
          <w:i/>
          <w:lang w:val="de-DE"/>
        </w:rPr>
        <w:t>d)</w:t>
      </w:r>
      <w:r w:rsidRPr="004676F5">
        <w:rPr>
          <w:lang w:val="de-DE"/>
        </w:rPr>
        <w:t xml:space="preserve"> erwähnt vor, wenn er der Öffentlichkeit Zugang zu solchen von seinen Nutzern hochgeladenen Werken oder Leistungen verschafft.</w:t>
      </w:r>
    </w:p>
    <w:p w14:paraId="4C40709D" w14:textId="77777777" w:rsidR="0064210C" w:rsidRPr="004676F5" w:rsidRDefault="0064210C" w:rsidP="0064210C">
      <w:pPr>
        <w:jc w:val="both"/>
        <w:rPr>
          <w:lang w:val="de-DE"/>
        </w:rPr>
      </w:pPr>
    </w:p>
    <w:p w14:paraId="5F2D051C" w14:textId="77777777" w:rsidR="0064210C" w:rsidRPr="004676F5" w:rsidRDefault="0064210C" w:rsidP="0064210C">
      <w:pPr>
        <w:jc w:val="both"/>
        <w:rPr>
          <w:lang w:val="de-DE"/>
        </w:rPr>
      </w:pPr>
      <w:r w:rsidRPr="004676F5">
        <w:rPr>
          <w:lang w:val="de-DE"/>
        </w:rPr>
        <w:tab/>
        <w:t>§ 2 ­ Eine von einem Diensteanbieter für das Teilen von Online-Inhalten eingeholte Erlaubnis gilt auch für Handlungen der öffentlichen Wiedergabe oder der öffentlichen Zugänglichmachung, die von Nutzern der Dienste ausgeführt werden, sofern diese Nutzer nicht auf der Grundlage einer gewerblichen Tätigkeit handeln oder mit ihrer Tätigkeit keine erheblichen Einnahmen erzielen.</w:t>
      </w:r>
    </w:p>
    <w:p w14:paraId="5D29E759" w14:textId="77777777" w:rsidR="0064210C" w:rsidRPr="004676F5" w:rsidRDefault="0064210C" w:rsidP="0064210C">
      <w:pPr>
        <w:jc w:val="both"/>
        <w:rPr>
          <w:lang w:val="de-DE"/>
        </w:rPr>
      </w:pPr>
    </w:p>
    <w:p w14:paraId="2B9D3BEB" w14:textId="74873A9E" w:rsidR="0064210C" w:rsidRPr="004676F5" w:rsidRDefault="0064210C" w:rsidP="0064210C">
      <w:pPr>
        <w:jc w:val="both"/>
        <w:rPr>
          <w:lang w:val="de-DE"/>
        </w:rPr>
      </w:pPr>
      <w:r w:rsidRPr="004676F5">
        <w:rPr>
          <w:lang w:val="de-DE"/>
        </w:rPr>
        <w:tab/>
        <w:t xml:space="preserve">§ 3 ­ Nimmt ein Diensteanbieter für das Teilen von Online-Inhalten eine Handlung der öffentlichen Wiedergabe oder der öffentlichen Zugänglichmachung von Werken oder Leistungen unter den in Artikel XI.228/2 und in § 1 festgelegten Bedingungen vor, so findet die in </w:t>
      </w:r>
      <w:r w:rsidR="00D91D6B" w:rsidRPr="004676F5">
        <w:rPr>
          <w:lang w:val="de-DE"/>
        </w:rPr>
        <w:t>[Artikel 8 Absatz 1 der Verordnung (EU) 2022/2065 des Europäischen Parlaments und des Rates vom 19. Oktober 2022 über einen Binnenmarkt für digitale Dienste und zur Änderung der Richtlinie 2000/31/EG]</w:t>
      </w:r>
      <w:r w:rsidRPr="004676F5">
        <w:rPr>
          <w:lang w:val="de-DE"/>
        </w:rPr>
        <w:t xml:space="preserve"> erwähnte Verantwortlichkeitsregelung auf die in vorliegendem Kapitel beschriebenen Situationen keine Anwendung.]</w:t>
      </w:r>
    </w:p>
    <w:p w14:paraId="4A106024" w14:textId="77777777" w:rsidR="0064210C" w:rsidRPr="004676F5" w:rsidRDefault="0064210C" w:rsidP="0064210C">
      <w:pPr>
        <w:jc w:val="both"/>
        <w:rPr>
          <w:lang w:val="de-DE"/>
        </w:rPr>
      </w:pPr>
    </w:p>
    <w:p w14:paraId="6A5EF1F7" w14:textId="5BA621F5" w:rsidR="0064210C" w:rsidRPr="004676F5" w:rsidRDefault="0064210C" w:rsidP="0064210C">
      <w:pPr>
        <w:jc w:val="both"/>
        <w:rPr>
          <w:i/>
          <w:iCs/>
          <w:lang w:val="de-DE"/>
        </w:rPr>
      </w:pPr>
      <w:r w:rsidRPr="004676F5">
        <w:rPr>
          <w:i/>
          <w:iCs/>
          <w:lang w:val="de-DE"/>
        </w:rPr>
        <w:t>[Art. XI.228/3 eingefügt durch Art. 53 des G. vom 19. Juni 2022 (B.S. vom 1. August 2022)</w:t>
      </w:r>
      <w:r w:rsidR="00D91D6B" w:rsidRPr="004676F5">
        <w:rPr>
          <w:i/>
          <w:iCs/>
          <w:lang w:val="de-DE"/>
        </w:rPr>
        <w:t>; § 3 abgeändert durch Art. 2 des G. vom 21. April 2024</w:t>
      </w:r>
      <w:r w:rsidR="001F23B7" w:rsidRPr="004676F5">
        <w:rPr>
          <w:i/>
          <w:iCs/>
          <w:lang w:val="de-DE"/>
        </w:rPr>
        <w:t> (I)</w:t>
      </w:r>
      <w:r w:rsidR="00D91D6B" w:rsidRPr="004676F5">
        <w:rPr>
          <w:i/>
          <w:iCs/>
          <w:lang w:val="de-DE"/>
        </w:rPr>
        <w:t>(B.S. vom</w:t>
      </w:r>
      <w:r w:rsidR="00FB7B5D" w:rsidRPr="004676F5">
        <w:rPr>
          <w:i/>
          <w:iCs/>
          <w:lang w:val="de-DE"/>
        </w:rPr>
        <w:t xml:space="preserve"> </w:t>
      </w:r>
      <w:r w:rsidR="00D91D6B" w:rsidRPr="004676F5">
        <w:rPr>
          <w:i/>
          <w:iCs/>
          <w:lang w:val="de-DE"/>
        </w:rPr>
        <w:t>15. Mai 2024)</w:t>
      </w:r>
      <w:r w:rsidRPr="004676F5">
        <w:rPr>
          <w:i/>
          <w:iCs/>
          <w:lang w:val="de-DE"/>
        </w:rPr>
        <w:t>]</w:t>
      </w:r>
    </w:p>
    <w:p w14:paraId="0F216190" w14:textId="77777777" w:rsidR="0064210C" w:rsidRPr="004676F5" w:rsidRDefault="0064210C" w:rsidP="0064210C">
      <w:pPr>
        <w:jc w:val="both"/>
        <w:rPr>
          <w:lang w:val="de-DE"/>
        </w:rPr>
      </w:pPr>
    </w:p>
    <w:p w14:paraId="5D95D5F2" w14:textId="77777777" w:rsidR="0064210C" w:rsidRPr="004676F5" w:rsidRDefault="0064210C" w:rsidP="0064210C">
      <w:pPr>
        <w:jc w:val="both"/>
        <w:rPr>
          <w:lang w:val="de-DE"/>
        </w:rPr>
      </w:pPr>
    </w:p>
    <w:p w14:paraId="583D82B9" w14:textId="27DB73DA" w:rsidR="0064210C" w:rsidRPr="004676F5" w:rsidRDefault="0064210C" w:rsidP="0064210C">
      <w:pPr>
        <w:jc w:val="both"/>
        <w:rPr>
          <w:lang w:val="de-DE"/>
        </w:rPr>
      </w:pPr>
      <w:r w:rsidRPr="004676F5">
        <w:rPr>
          <w:lang w:val="de-DE"/>
        </w:rPr>
        <w:tab/>
        <w:t>[</w:t>
      </w:r>
      <w:r w:rsidRPr="004676F5">
        <w:rPr>
          <w:b/>
          <w:bCs/>
          <w:lang w:val="de-DE"/>
        </w:rPr>
        <w:t>Art. XI.228/4</w:t>
      </w:r>
      <w:r w:rsidRPr="004676F5">
        <w:rPr>
          <w:lang w:val="de-DE"/>
        </w:rPr>
        <w:t> </w:t>
      </w:r>
      <w:r w:rsidR="005B7A5C" w:rsidRPr="004676F5">
        <w:rPr>
          <w:lang w:val="de-DE"/>
        </w:rPr>
        <w:t>- </w:t>
      </w:r>
      <w:r w:rsidRPr="004676F5">
        <w:rPr>
          <w:lang w:val="de-DE"/>
        </w:rPr>
        <w:t>§ 1 ­ Hat ein Urheber oder ein ausübender Künstler sein Recht, die öffentliche Wiedergabe durch einen Diensteanbieter für das Teilen von Online-Inhalten wie in Artikel XI.228/3 § 1 erwähnt zu erlauben oder zu verbieten, abgetreten</w:t>
      </w:r>
      <w:r w:rsidR="00070CA0" w:rsidRPr="004676F5">
        <w:rPr>
          <w:lang w:val="de-DE"/>
        </w:rPr>
        <w:t xml:space="preserve"> [oder lizensiert]</w:t>
      </w:r>
      <w:r w:rsidRPr="004676F5">
        <w:rPr>
          <w:lang w:val="de-DE"/>
        </w:rPr>
        <w:t>, so behält er den Anspruch auf eine angemessene Vergütung für die öffentliche Wiedergabe durch einen Diensteanbieter für das Teilen von Online-Inhalten.</w:t>
      </w:r>
    </w:p>
    <w:p w14:paraId="4ACCDCEE" w14:textId="77777777" w:rsidR="0064210C" w:rsidRPr="004676F5" w:rsidRDefault="0064210C" w:rsidP="0064210C">
      <w:pPr>
        <w:jc w:val="both"/>
        <w:rPr>
          <w:lang w:val="de-DE"/>
        </w:rPr>
      </w:pPr>
    </w:p>
    <w:p w14:paraId="30447B9E" w14:textId="77777777" w:rsidR="0064210C" w:rsidRPr="004676F5" w:rsidRDefault="0064210C" w:rsidP="0064210C">
      <w:pPr>
        <w:jc w:val="both"/>
        <w:rPr>
          <w:lang w:val="de-DE"/>
        </w:rPr>
      </w:pPr>
      <w:r w:rsidRPr="004676F5">
        <w:rPr>
          <w:lang w:val="de-DE"/>
        </w:rPr>
        <w:tab/>
        <w:t>§ 2 ­ Der Anspruch auf Vergütung wie in § 1 vorgesehen ist nicht abtretbar und Urheber oder ausübende Künstler können auf diesen Anspruch nicht verzichten.</w:t>
      </w:r>
    </w:p>
    <w:p w14:paraId="4E47181E" w14:textId="77777777" w:rsidR="0064210C" w:rsidRPr="004676F5" w:rsidRDefault="0064210C" w:rsidP="0064210C">
      <w:pPr>
        <w:jc w:val="both"/>
        <w:rPr>
          <w:lang w:val="de-DE"/>
        </w:rPr>
      </w:pPr>
    </w:p>
    <w:p w14:paraId="187507D3" w14:textId="77777777" w:rsidR="0064210C" w:rsidRPr="004676F5" w:rsidRDefault="0064210C" w:rsidP="0064210C">
      <w:pPr>
        <w:jc w:val="both"/>
        <w:rPr>
          <w:lang w:val="de-DE"/>
        </w:rPr>
      </w:pPr>
      <w:r w:rsidRPr="004676F5">
        <w:rPr>
          <w:lang w:val="de-DE"/>
        </w:rPr>
        <w:tab/>
        <w:t>§ 3 ­ Die Wahrnehmung des Anspruchs der Urheber auf Vergütung wie in § 1 erwähnt kann nur von Verwertungsgesellschaften und/oder Organisationen für die kollektive Rechtewahrnehmung ausgeübt werden, die Urheber vertreten.</w:t>
      </w:r>
    </w:p>
    <w:p w14:paraId="5CB9E3B8" w14:textId="77777777" w:rsidR="0064210C" w:rsidRPr="004676F5" w:rsidRDefault="0064210C" w:rsidP="0064210C">
      <w:pPr>
        <w:jc w:val="both"/>
        <w:rPr>
          <w:lang w:val="de-DE"/>
        </w:rPr>
      </w:pPr>
    </w:p>
    <w:p w14:paraId="62620147" w14:textId="77777777" w:rsidR="0064210C" w:rsidRPr="004676F5" w:rsidRDefault="0064210C" w:rsidP="0064210C">
      <w:pPr>
        <w:jc w:val="both"/>
        <w:rPr>
          <w:lang w:val="de-DE"/>
        </w:rPr>
      </w:pPr>
      <w:r w:rsidRPr="004676F5">
        <w:rPr>
          <w:lang w:val="de-DE"/>
        </w:rPr>
        <w:tab/>
        <w:t>Die Wahrnehmung des Anspruchs der ausübenden Künstler auf Vergütung wie in § 1 erwähnt kann nur von Verwertungsgesellschaften und/oder Organisationen für die kollektive Rechtewahrnehmung ausgeübt werden, die ausübende Künstler vertreten.</w:t>
      </w:r>
    </w:p>
    <w:p w14:paraId="64D7EF29" w14:textId="77777777" w:rsidR="0064210C" w:rsidRPr="004676F5" w:rsidRDefault="0064210C" w:rsidP="0064210C">
      <w:pPr>
        <w:jc w:val="both"/>
        <w:rPr>
          <w:lang w:val="de-DE"/>
        </w:rPr>
      </w:pPr>
    </w:p>
    <w:p w14:paraId="4AFEE716" w14:textId="3C7A6753" w:rsidR="0064210C" w:rsidRPr="004676F5" w:rsidRDefault="0064210C" w:rsidP="0064210C">
      <w:pPr>
        <w:jc w:val="both"/>
        <w:rPr>
          <w:lang w:val="de-DE"/>
        </w:rPr>
      </w:pPr>
      <w:r w:rsidRPr="004676F5">
        <w:rPr>
          <w:lang w:val="de-DE"/>
        </w:rPr>
        <w:tab/>
        <w:t>§ 4 </w:t>
      </w:r>
      <w:r w:rsidR="005B7A5C" w:rsidRPr="004676F5">
        <w:rPr>
          <w:lang w:val="de-DE"/>
        </w:rPr>
        <w:t>- </w:t>
      </w:r>
      <w:r w:rsidRPr="004676F5">
        <w:rPr>
          <w:lang w:val="de-DE"/>
        </w:rPr>
        <w:t>Die Bestimmungen der Paragraphen 1 bis 3 sind verbindlich.]</w:t>
      </w:r>
    </w:p>
    <w:p w14:paraId="2FF4261D" w14:textId="77777777" w:rsidR="0064210C" w:rsidRPr="004676F5" w:rsidRDefault="0064210C" w:rsidP="0064210C">
      <w:pPr>
        <w:jc w:val="both"/>
        <w:rPr>
          <w:lang w:val="de-DE"/>
        </w:rPr>
      </w:pPr>
    </w:p>
    <w:p w14:paraId="4122CD5D" w14:textId="3FC8D5ED" w:rsidR="0064210C" w:rsidRPr="004676F5" w:rsidRDefault="0064210C" w:rsidP="0064210C">
      <w:pPr>
        <w:jc w:val="both"/>
        <w:rPr>
          <w:i/>
          <w:iCs/>
          <w:lang w:val="de-DE"/>
        </w:rPr>
      </w:pPr>
      <w:r w:rsidRPr="004676F5">
        <w:rPr>
          <w:i/>
          <w:iCs/>
          <w:lang w:val="de-DE"/>
        </w:rPr>
        <w:t>[Art. XI.228/4 eingefügt durch Art. 5</w:t>
      </w:r>
      <w:r w:rsidR="009D12B6" w:rsidRPr="004676F5">
        <w:rPr>
          <w:i/>
          <w:iCs/>
          <w:lang w:val="de-DE"/>
        </w:rPr>
        <w:t>4</w:t>
      </w:r>
      <w:r w:rsidRPr="004676F5">
        <w:rPr>
          <w:i/>
          <w:iCs/>
          <w:lang w:val="de-DE"/>
        </w:rPr>
        <w:t xml:space="preserve"> des G. vom 19. Juni 2022 (B.S. vom 1. August 2022)</w:t>
      </w:r>
      <w:r w:rsidR="00070CA0" w:rsidRPr="004676F5">
        <w:rPr>
          <w:i/>
          <w:iCs/>
          <w:lang w:val="de-DE"/>
        </w:rPr>
        <w:t>; § 1 abgeändert durch Art. 38 des G. vom 9. Februar 2024 (B.S. vom 21. März 2024)</w:t>
      </w:r>
      <w:r w:rsidRPr="004676F5">
        <w:rPr>
          <w:i/>
          <w:iCs/>
          <w:lang w:val="de-DE"/>
        </w:rPr>
        <w:t>]</w:t>
      </w:r>
    </w:p>
    <w:p w14:paraId="4466E852" w14:textId="77777777" w:rsidR="0064210C" w:rsidRPr="004676F5" w:rsidRDefault="0064210C" w:rsidP="0064210C">
      <w:pPr>
        <w:jc w:val="both"/>
        <w:rPr>
          <w:lang w:val="de-DE"/>
        </w:rPr>
      </w:pPr>
    </w:p>
    <w:p w14:paraId="774FF158" w14:textId="77777777" w:rsidR="0064210C" w:rsidRPr="004676F5" w:rsidRDefault="0064210C" w:rsidP="0064210C">
      <w:pPr>
        <w:jc w:val="both"/>
        <w:rPr>
          <w:lang w:val="de-DE"/>
        </w:rPr>
      </w:pPr>
    </w:p>
    <w:p w14:paraId="50EAAC63" w14:textId="64282AEE" w:rsidR="0064210C" w:rsidRPr="004676F5" w:rsidRDefault="0064210C" w:rsidP="0064210C">
      <w:pPr>
        <w:jc w:val="both"/>
        <w:rPr>
          <w:lang w:val="de-DE"/>
        </w:rPr>
      </w:pPr>
      <w:r w:rsidRPr="004676F5">
        <w:rPr>
          <w:lang w:val="de-DE"/>
        </w:rPr>
        <w:tab/>
        <w:t>[</w:t>
      </w:r>
      <w:r w:rsidRPr="004676F5">
        <w:rPr>
          <w:b/>
          <w:bCs/>
          <w:lang w:val="de-DE"/>
        </w:rPr>
        <w:t>Art. XI.228/5</w:t>
      </w:r>
      <w:r w:rsidRPr="004676F5">
        <w:rPr>
          <w:lang w:val="de-DE"/>
        </w:rPr>
        <w:t> </w:t>
      </w:r>
      <w:r w:rsidR="005B7A5C" w:rsidRPr="004676F5">
        <w:rPr>
          <w:lang w:val="de-DE"/>
        </w:rPr>
        <w:t>- </w:t>
      </w:r>
      <w:r w:rsidRPr="004676F5">
        <w:rPr>
          <w:lang w:val="de-DE"/>
        </w:rPr>
        <w:t>§ 1 ­ Wird die Erlaubnis nicht erteilt, so ist der Diensteanbieter für das Teilen von Online-Inhalten für nicht erlaubte Handlungen der öffentlichen Wiedergabe, einschließlich der öffentlichen Zugänglichmachung, von Werken oder Leistungen verantwortlich, es sei denn, der Anbieter dieser Dienste erbringt den Nachweis, dass er:</w:t>
      </w:r>
    </w:p>
    <w:p w14:paraId="55E42FB3" w14:textId="77777777" w:rsidR="0064210C" w:rsidRPr="004676F5" w:rsidRDefault="0064210C" w:rsidP="0064210C">
      <w:pPr>
        <w:jc w:val="both"/>
        <w:rPr>
          <w:lang w:val="de-DE"/>
        </w:rPr>
      </w:pPr>
    </w:p>
    <w:p w14:paraId="2E06C8C9" w14:textId="77777777" w:rsidR="0064210C" w:rsidRPr="004676F5" w:rsidRDefault="0064210C" w:rsidP="0064210C">
      <w:pPr>
        <w:jc w:val="both"/>
        <w:rPr>
          <w:lang w:val="de-DE"/>
        </w:rPr>
      </w:pPr>
      <w:r w:rsidRPr="004676F5">
        <w:rPr>
          <w:lang w:val="de-DE"/>
        </w:rPr>
        <w:tab/>
        <w:t>1. alle Anstrengungen unternommen hat, um die Erlaubnis einzuholen; und</w:t>
      </w:r>
    </w:p>
    <w:p w14:paraId="555189EE" w14:textId="77777777" w:rsidR="0064210C" w:rsidRPr="004676F5" w:rsidRDefault="0064210C" w:rsidP="0064210C">
      <w:pPr>
        <w:jc w:val="both"/>
        <w:rPr>
          <w:lang w:val="de-DE"/>
        </w:rPr>
      </w:pPr>
      <w:r w:rsidRPr="004676F5">
        <w:rPr>
          <w:lang w:val="de-DE"/>
        </w:rPr>
        <w:t xml:space="preserve"> </w:t>
      </w:r>
    </w:p>
    <w:p w14:paraId="3425512B" w14:textId="77777777" w:rsidR="0064210C" w:rsidRPr="004676F5" w:rsidRDefault="0064210C" w:rsidP="0064210C">
      <w:pPr>
        <w:jc w:val="both"/>
        <w:rPr>
          <w:lang w:val="de-DE"/>
        </w:rPr>
      </w:pPr>
      <w:r w:rsidRPr="004676F5">
        <w:rPr>
          <w:lang w:val="de-DE"/>
        </w:rPr>
        <w:tab/>
        <w:t>2. nach Maßgabe hoher branchenüblicher Standards für die berufliche Sorgfalt alle Anstrengungen unternommen hat, um sicherzustellen, dass bestimmte Werke und Leistungen, zu denen die Rechtsinhaber ihm einschlägige und notwendige Informationen bereitgestellt haben, nicht verfügbar sind; und in jedem Fall</w:t>
      </w:r>
    </w:p>
    <w:p w14:paraId="16A7B311" w14:textId="77777777" w:rsidR="0064210C" w:rsidRPr="004676F5" w:rsidRDefault="0064210C" w:rsidP="0064210C">
      <w:pPr>
        <w:jc w:val="both"/>
        <w:rPr>
          <w:lang w:val="de-DE"/>
        </w:rPr>
      </w:pPr>
    </w:p>
    <w:p w14:paraId="3A8D61DA" w14:textId="77777777" w:rsidR="0064210C" w:rsidRPr="004676F5" w:rsidRDefault="0064210C" w:rsidP="0064210C">
      <w:pPr>
        <w:jc w:val="both"/>
        <w:rPr>
          <w:lang w:val="de-DE"/>
        </w:rPr>
      </w:pPr>
      <w:r w:rsidRPr="004676F5">
        <w:rPr>
          <w:lang w:val="de-DE"/>
        </w:rPr>
        <w:tab/>
        <w:t>3. nach Erhalt eines hinreichend begründeten Hinweises von den Rechtsinhabern unverzüglich gehandelt hat, um den Zugang zu den entsprechenden Werken oder Leistungen zu sperren beziehungsweise die entsprechenden Werke oder Leistungen von seiner Website zu entfernen, und alle Anstrengungen unternommen hat, um gemäß Nr. 2 das künftige Hochladen dieser Werke oder Leistungen zu verhindern.</w:t>
      </w:r>
    </w:p>
    <w:p w14:paraId="5CEFB765" w14:textId="77777777" w:rsidR="0064210C" w:rsidRPr="004676F5" w:rsidRDefault="0064210C" w:rsidP="0064210C">
      <w:pPr>
        <w:jc w:val="both"/>
        <w:rPr>
          <w:lang w:val="de-DE"/>
        </w:rPr>
      </w:pPr>
    </w:p>
    <w:p w14:paraId="735B774E" w14:textId="77777777" w:rsidR="0064210C" w:rsidRPr="004676F5" w:rsidRDefault="0064210C" w:rsidP="0064210C">
      <w:pPr>
        <w:jc w:val="both"/>
        <w:rPr>
          <w:lang w:val="de-DE"/>
        </w:rPr>
      </w:pPr>
      <w:r w:rsidRPr="004676F5">
        <w:rPr>
          <w:lang w:val="de-DE"/>
        </w:rPr>
        <w:tab/>
        <w:t>§ 2 ­ In Abweichung von § 1 ist ein neuer Diensteanbieter für das Teilen von Online-Inhalten, dessen Dienste der Öffentlichkeit in der Europäischen Union seit weniger als drei Jahren zur Verfügung stehen und dessen Jahresumsatz, berechnet nach der Empfehlung 2003/361/EG der Kommission, zehn Millionen EUR nicht übersteigt, für nicht erlaubte Handlungen der öffentlichen Wiedergabe, einschließlich der öffentlichen Zugänglichmachung, von Werken und Leistungen verantwortlich, es sei denn, der Anbieter dieser Dienste erbringt den Nachweis, dass er:</w:t>
      </w:r>
    </w:p>
    <w:p w14:paraId="16FCCE78" w14:textId="77777777" w:rsidR="0064210C" w:rsidRPr="004676F5" w:rsidRDefault="0064210C" w:rsidP="0064210C">
      <w:pPr>
        <w:jc w:val="both"/>
        <w:rPr>
          <w:lang w:val="de-DE"/>
        </w:rPr>
      </w:pPr>
    </w:p>
    <w:p w14:paraId="7B89910E" w14:textId="77777777" w:rsidR="0064210C" w:rsidRPr="004676F5" w:rsidRDefault="0064210C" w:rsidP="0064210C">
      <w:pPr>
        <w:jc w:val="both"/>
        <w:rPr>
          <w:lang w:val="de-DE"/>
        </w:rPr>
      </w:pPr>
      <w:r w:rsidRPr="004676F5">
        <w:rPr>
          <w:lang w:val="de-DE"/>
        </w:rPr>
        <w:tab/>
        <w:t>1. alle Anstrengungen unternommen hat, um die Erlaubnis einzuholen; und</w:t>
      </w:r>
    </w:p>
    <w:p w14:paraId="678EC084" w14:textId="77777777" w:rsidR="0064210C" w:rsidRPr="004676F5" w:rsidRDefault="0064210C" w:rsidP="0064210C">
      <w:pPr>
        <w:jc w:val="both"/>
        <w:rPr>
          <w:lang w:val="de-DE"/>
        </w:rPr>
      </w:pPr>
    </w:p>
    <w:p w14:paraId="6A7C80A9" w14:textId="77777777" w:rsidR="0064210C" w:rsidRPr="004676F5" w:rsidRDefault="0064210C" w:rsidP="0064210C">
      <w:pPr>
        <w:jc w:val="both"/>
        <w:rPr>
          <w:lang w:val="de-DE"/>
        </w:rPr>
      </w:pPr>
      <w:r w:rsidRPr="004676F5">
        <w:rPr>
          <w:lang w:val="de-DE"/>
        </w:rPr>
        <w:lastRenderedPageBreak/>
        <w:tab/>
        <w:t>2. nach Erhalt eines hinreichend begründeten Hinweises von den Rechtsinhabern unverzüglich gehandelt hat, um den Zugang zu den entsprechenden Werken oder Leistungen zu sperren beziehungsweise die entsprechenden Werke oder Leistungen von seiner Website zu entfernen.</w:t>
      </w:r>
    </w:p>
    <w:p w14:paraId="4560C523" w14:textId="77777777" w:rsidR="0064210C" w:rsidRPr="004676F5" w:rsidRDefault="0064210C" w:rsidP="0064210C">
      <w:pPr>
        <w:jc w:val="both"/>
        <w:rPr>
          <w:lang w:val="de-DE"/>
        </w:rPr>
      </w:pPr>
    </w:p>
    <w:p w14:paraId="2C779F37" w14:textId="77777777" w:rsidR="0064210C" w:rsidRPr="004676F5" w:rsidRDefault="0064210C" w:rsidP="0064210C">
      <w:pPr>
        <w:jc w:val="both"/>
        <w:rPr>
          <w:lang w:val="de-DE"/>
        </w:rPr>
      </w:pPr>
      <w:r w:rsidRPr="004676F5">
        <w:rPr>
          <w:lang w:val="de-DE"/>
        </w:rPr>
        <w:tab/>
        <w:t>Ein in Absatz 1 erwähnter Diensteanbieter, der eine durchschnittliche monatliche Anzahl unterschiedlicher Besucher von mehr als fünf Millionen hat, berechnet auf der Grundlage des vorausgegangenen Kalenderjahres, ist für nicht erlaubte Handlungen der öffentlichen Wiedergabe, einschließlich der öffentlichen Zugänglichmachung, von Werken und Leistungen verantwortlich, es sei denn, der Anbieter dieser Dienste erbringt den Nachweis, dass er:</w:t>
      </w:r>
    </w:p>
    <w:p w14:paraId="0423D01C" w14:textId="77777777" w:rsidR="0064210C" w:rsidRPr="004676F5" w:rsidRDefault="0064210C" w:rsidP="0064210C">
      <w:pPr>
        <w:jc w:val="both"/>
        <w:rPr>
          <w:lang w:val="de-DE"/>
        </w:rPr>
      </w:pPr>
    </w:p>
    <w:p w14:paraId="6CF36E74" w14:textId="77777777" w:rsidR="0064210C" w:rsidRPr="004676F5" w:rsidRDefault="0064210C" w:rsidP="0064210C">
      <w:pPr>
        <w:jc w:val="both"/>
        <w:rPr>
          <w:lang w:val="de-DE"/>
        </w:rPr>
      </w:pPr>
      <w:r w:rsidRPr="004676F5">
        <w:rPr>
          <w:lang w:val="de-DE"/>
        </w:rPr>
        <w:tab/>
        <w:t>1. alle Anstrengungen unternommen hat, um die Erlaubnis einzuholen; und</w:t>
      </w:r>
    </w:p>
    <w:p w14:paraId="51E13F64" w14:textId="77777777" w:rsidR="0064210C" w:rsidRPr="004676F5" w:rsidRDefault="0064210C" w:rsidP="0064210C">
      <w:pPr>
        <w:jc w:val="both"/>
        <w:rPr>
          <w:lang w:val="de-DE"/>
        </w:rPr>
      </w:pPr>
    </w:p>
    <w:p w14:paraId="4949C4DB" w14:textId="77777777" w:rsidR="0064210C" w:rsidRPr="004676F5" w:rsidRDefault="0064210C" w:rsidP="0064210C">
      <w:pPr>
        <w:jc w:val="both"/>
        <w:rPr>
          <w:lang w:val="de-DE"/>
        </w:rPr>
      </w:pPr>
      <w:r w:rsidRPr="004676F5">
        <w:rPr>
          <w:lang w:val="de-DE"/>
        </w:rPr>
        <w:tab/>
        <w:t>2. nach Erhalt eines hinreichend begründeten Hinweises von den Rechtsinhabern unverzüglich gehandelt hat, um den Zugang zu den entsprechenden Werken oder Leistungen zu sperren beziehungsweise die entsprechenden Werke oder Leistungen von seiner Website zu entfernen; und</w:t>
      </w:r>
    </w:p>
    <w:p w14:paraId="2E11E41F" w14:textId="77777777" w:rsidR="0064210C" w:rsidRPr="004676F5" w:rsidRDefault="0064210C" w:rsidP="0064210C">
      <w:pPr>
        <w:jc w:val="both"/>
        <w:rPr>
          <w:lang w:val="de-DE"/>
        </w:rPr>
      </w:pPr>
    </w:p>
    <w:p w14:paraId="7F693593" w14:textId="77777777" w:rsidR="0064210C" w:rsidRPr="004676F5" w:rsidRDefault="0064210C" w:rsidP="0064210C">
      <w:pPr>
        <w:jc w:val="both"/>
        <w:rPr>
          <w:lang w:val="de-DE"/>
        </w:rPr>
      </w:pPr>
      <w:r w:rsidRPr="004676F5">
        <w:rPr>
          <w:lang w:val="de-DE"/>
        </w:rPr>
        <w:tab/>
        <w:t>3. alle Anstrengungen unternommen hat, um das künftige Hochladen der entsprechenden Werke oder Leistungen, zu denen die Rechtsinhaber ihm einschlägige und notwendige Informationen bereitgestellt haben, zu verhindern.</w:t>
      </w:r>
    </w:p>
    <w:p w14:paraId="02395113" w14:textId="77777777" w:rsidR="0064210C" w:rsidRPr="004676F5" w:rsidRDefault="0064210C" w:rsidP="0064210C">
      <w:pPr>
        <w:jc w:val="both"/>
        <w:rPr>
          <w:lang w:val="de-DE"/>
        </w:rPr>
      </w:pPr>
    </w:p>
    <w:p w14:paraId="6BE8055D" w14:textId="77777777" w:rsidR="0064210C" w:rsidRPr="004676F5" w:rsidRDefault="0064210C" w:rsidP="0064210C">
      <w:pPr>
        <w:jc w:val="both"/>
        <w:rPr>
          <w:lang w:val="de-DE"/>
        </w:rPr>
      </w:pPr>
      <w:r w:rsidRPr="004676F5">
        <w:rPr>
          <w:lang w:val="de-DE"/>
        </w:rPr>
        <w:tab/>
        <w:t>§ 3 ­ Bei der Feststellung, ob der Diensteanbieter den in den Paragraphen 1 und 2 festgelegten Verpflichtungen nachgekommen ist, wird im Lichte des Grundsatzes der Verhältnismäßigkeit unter anderem Folgendes berücksichtigt:</w:t>
      </w:r>
    </w:p>
    <w:p w14:paraId="3F22BB39" w14:textId="77777777" w:rsidR="0064210C" w:rsidRPr="004676F5" w:rsidRDefault="0064210C" w:rsidP="0064210C">
      <w:pPr>
        <w:jc w:val="both"/>
        <w:rPr>
          <w:lang w:val="de-DE"/>
        </w:rPr>
      </w:pPr>
    </w:p>
    <w:p w14:paraId="32753C9F" w14:textId="77777777" w:rsidR="0064210C" w:rsidRPr="004676F5" w:rsidRDefault="0064210C" w:rsidP="0064210C">
      <w:pPr>
        <w:jc w:val="both"/>
        <w:rPr>
          <w:lang w:val="de-DE"/>
        </w:rPr>
      </w:pPr>
      <w:r w:rsidRPr="004676F5">
        <w:rPr>
          <w:lang w:val="de-DE"/>
        </w:rPr>
        <w:tab/>
        <w:t>1. Art, Publikum und Umfang der Dienste und Art der von den Nutzern des Dienstes hochgeladenen Werke oder Leistungen; und</w:t>
      </w:r>
    </w:p>
    <w:p w14:paraId="56A35B1B" w14:textId="77777777" w:rsidR="0064210C" w:rsidRPr="004676F5" w:rsidRDefault="0064210C" w:rsidP="0064210C">
      <w:pPr>
        <w:jc w:val="both"/>
        <w:rPr>
          <w:lang w:val="de-DE"/>
        </w:rPr>
      </w:pPr>
    </w:p>
    <w:p w14:paraId="53EAEF40" w14:textId="77777777" w:rsidR="0064210C" w:rsidRPr="004676F5" w:rsidRDefault="0064210C" w:rsidP="0064210C">
      <w:pPr>
        <w:jc w:val="both"/>
        <w:rPr>
          <w:lang w:val="de-DE"/>
        </w:rPr>
      </w:pPr>
      <w:r w:rsidRPr="004676F5">
        <w:rPr>
          <w:lang w:val="de-DE"/>
        </w:rPr>
        <w:tab/>
        <w:t>2. Verfügbarkeit geeigneter und wirksamer Mittel und Kosten, die den Anbietern dieser Dienste hierfür entstehen.</w:t>
      </w:r>
    </w:p>
    <w:p w14:paraId="76E95F49" w14:textId="77777777" w:rsidR="0064210C" w:rsidRPr="004676F5" w:rsidRDefault="0064210C" w:rsidP="0064210C">
      <w:pPr>
        <w:jc w:val="both"/>
        <w:rPr>
          <w:lang w:val="de-DE"/>
        </w:rPr>
      </w:pPr>
    </w:p>
    <w:p w14:paraId="71F96914" w14:textId="53F19A92" w:rsidR="0064210C" w:rsidRPr="004676F5" w:rsidRDefault="0064210C" w:rsidP="0064210C">
      <w:pPr>
        <w:jc w:val="both"/>
        <w:rPr>
          <w:lang w:val="de-DE"/>
        </w:rPr>
      </w:pPr>
      <w:r w:rsidRPr="004676F5">
        <w:rPr>
          <w:lang w:val="de-DE"/>
        </w:rPr>
        <w:tab/>
        <w:t>§ 4 </w:t>
      </w:r>
      <w:r w:rsidR="005B7A5C" w:rsidRPr="004676F5">
        <w:rPr>
          <w:lang w:val="de-DE"/>
        </w:rPr>
        <w:t>- </w:t>
      </w:r>
      <w:r w:rsidRPr="004676F5">
        <w:rPr>
          <w:lang w:val="de-DE"/>
        </w:rPr>
        <w:t>Der König kann unter Berücksichtigung der von der Europäischen Kommission gemäß Artikel 17 Absatz 10 der Richtlinie (EU) 2019/790 des Europäischen Parlaments und des Rates vom 17. April 2019 über das Urheberrecht und die verwandten Schutzrechte im digitalen Binnenmarkt und zur Änderung der Richtlinien 96/9/EG und 2001/29/EG organisierten Dialoge Modalitäten in Zusammenhang mit den in den Paragraphen 1 bis 3 festgelegten Bedingungen festlegen, insbesondere in Bezug auf die Hinweise und die einschlägigen und notwendigen Informationen.]</w:t>
      </w:r>
    </w:p>
    <w:p w14:paraId="2A3F0DCF" w14:textId="77777777" w:rsidR="0064210C" w:rsidRPr="004676F5" w:rsidRDefault="0064210C" w:rsidP="0064210C">
      <w:pPr>
        <w:jc w:val="both"/>
        <w:rPr>
          <w:lang w:val="de-DE"/>
        </w:rPr>
      </w:pPr>
    </w:p>
    <w:p w14:paraId="7277757F" w14:textId="7166ACE1" w:rsidR="0064210C" w:rsidRPr="004676F5" w:rsidRDefault="0064210C" w:rsidP="0064210C">
      <w:pPr>
        <w:jc w:val="both"/>
        <w:rPr>
          <w:i/>
          <w:iCs/>
          <w:lang w:val="de-DE"/>
        </w:rPr>
      </w:pPr>
      <w:r w:rsidRPr="004676F5">
        <w:rPr>
          <w:i/>
          <w:iCs/>
          <w:lang w:val="de-DE"/>
        </w:rPr>
        <w:t>[Art. XI.228/5 eingefügt durch Art. 55 des G. vom 19. Juni 2022 (B.S. vom 1. August 2022)]</w:t>
      </w:r>
    </w:p>
    <w:p w14:paraId="656F691E" w14:textId="77777777" w:rsidR="0064210C" w:rsidRPr="004676F5" w:rsidRDefault="0064210C" w:rsidP="0064210C">
      <w:pPr>
        <w:jc w:val="both"/>
        <w:rPr>
          <w:lang w:val="de-DE"/>
        </w:rPr>
      </w:pPr>
    </w:p>
    <w:p w14:paraId="08412452" w14:textId="46137441" w:rsidR="0064210C" w:rsidRPr="004676F5" w:rsidRDefault="0064210C" w:rsidP="0064210C">
      <w:pPr>
        <w:jc w:val="both"/>
        <w:rPr>
          <w:lang w:val="de-DE"/>
        </w:rPr>
      </w:pPr>
    </w:p>
    <w:p w14:paraId="7A867B6D" w14:textId="4B2B0CA7" w:rsidR="0064210C" w:rsidRPr="004676F5" w:rsidRDefault="0064210C" w:rsidP="0064210C">
      <w:pPr>
        <w:jc w:val="both"/>
        <w:rPr>
          <w:lang w:val="de-DE"/>
        </w:rPr>
      </w:pPr>
      <w:r w:rsidRPr="004676F5">
        <w:rPr>
          <w:lang w:val="de-DE"/>
        </w:rPr>
        <w:tab/>
      </w:r>
      <w:r w:rsidR="001B64F8" w:rsidRPr="004676F5">
        <w:rPr>
          <w:lang w:val="de-DE"/>
        </w:rPr>
        <w:t>[</w:t>
      </w:r>
      <w:r w:rsidRPr="004676F5">
        <w:rPr>
          <w:b/>
          <w:bCs/>
          <w:lang w:val="de-DE"/>
        </w:rPr>
        <w:t>Art. XI.228/6</w:t>
      </w:r>
      <w:r w:rsidRPr="004676F5">
        <w:rPr>
          <w:lang w:val="de-DE"/>
        </w:rPr>
        <w:t> </w:t>
      </w:r>
      <w:r w:rsidR="005B7A5C" w:rsidRPr="004676F5">
        <w:rPr>
          <w:lang w:val="de-DE"/>
        </w:rPr>
        <w:t>- </w:t>
      </w:r>
      <w:r w:rsidRPr="004676F5">
        <w:rPr>
          <w:lang w:val="de-DE"/>
        </w:rPr>
        <w:t>§ 1 ­ Die in Artikel XI.228/5 erwähnte Zusammenarbeit zwischen Diensteanbietern für das Teilen von Online-Inhalten und Rechtsinhabern darf nicht bewirken, dass von Nutzern hochgeladene Werke oder Leistungen, bei denen kein Verstoß gegen das Urheberrecht oder verwandte Schutzrechte vorliegt, nicht verfügbar sind, und zwar auch dann, wenn die Nutzung eines Werkes oder einer Leistung im Rahmen einer Ausnahme oder Beschränkung erlaubt ist.</w:t>
      </w:r>
    </w:p>
    <w:p w14:paraId="1439FE22" w14:textId="77777777" w:rsidR="0064210C" w:rsidRPr="004676F5" w:rsidRDefault="0064210C" w:rsidP="0064210C">
      <w:pPr>
        <w:jc w:val="both"/>
        <w:rPr>
          <w:lang w:val="de-DE"/>
        </w:rPr>
      </w:pPr>
    </w:p>
    <w:p w14:paraId="0FD729CF" w14:textId="10F29141" w:rsidR="0064210C" w:rsidRPr="004676F5" w:rsidRDefault="0064210C" w:rsidP="0064210C">
      <w:pPr>
        <w:jc w:val="both"/>
        <w:rPr>
          <w:lang w:val="de-DE"/>
        </w:rPr>
      </w:pPr>
      <w:r w:rsidRPr="004676F5">
        <w:rPr>
          <w:lang w:val="de-DE"/>
        </w:rPr>
        <w:lastRenderedPageBreak/>
        <w:tab/>
        <w:t>§ 2 ­ Die Anwendung des vorliegenden Kapitels darf nicht zu einer Pflicht zur allgemeinen Überwachung führen.</w:t>
      </w:r>
      <w:r w:rsidR="001B64F8" w:rsidRPr="004676F5">
        <w:rPr>
          <w:lang w:val="de-DE"/>
        </w:rPr>
        <w:t>]</w:t>
      </w:r>
    </w:p>
    <w:p w14:paraId="5CE242F8" w14:textId="77777777" w:rsidR="001B64F8" w:rsidRPr="004676F5" w:rsidRDefault="001B64F8" w:rsidP="0064210C">
      <w:pPr>
        <w:jc w:val="both"/>
        <w:rPr>
          <w:lang w:val="de-DE"/>
        </w:rPr>
      </w:pPr>
    </w:p>
    <w:p w14:paraId="21F78B1B" w14:textId="0CC63A93" w:rsidR="001B64F8" w:rsidRPr="004676F5" w:rsidRDefault="001B64F8" w:rsidP="001B64F8">
      <w:pPr>
        <w:jc w:val="both"/>
        <w:rPr>
          <w:i/>
          <w:iCs/>
          <w:lang w:val="de-DE"/>
        </w:rPr>
      </w:pPr>
      <w:r w:rsidRPr="004676F5">
        <w:rPr>
          <w:i/>
          <w:iCs/>
          <w:lang w:val="de-DE"/>
        </w:rPr>
        <w:t>[Art. XI.228/6 eingefügt durch Art. 56 des G. vom 19. Juni 2022 (B.S. vom 1. August 2022)]</w:t>
      </w:r>
    </w:p>
    <w:p w14:paraId="22526749" w14:textId="77777777" w:rsidR="001B64F8" w:rsidRPr="004676F5" w:rsidRDefault="001B64F8" w:rsidP="0064210C">
      <w:pPr>
        <w:jc w:val="both"/>
        <w:rPr>
          <w:lang w:val="de-DE"/>
        </w:rPr>
      </w:pPr>
    </w:p>
    <w:p w14:paraId="472AEAE6" w14:textId="77777777" w:rsidR="001B64F8" w:rsidRPr="004676F5" w:rsidRDefault="001B64F8" w:rsidP="0064210C">
      <w:pPr>
        <w:jc w:val="both"/>
        <w:rPr>
          <w:lang w:val="de-DE"/>
        </w:rPr>
      </w:pPr>
    </w:p>
    <w:p w14:paraId="6A7AC867" w14:textId="47CAB581" w:rsidR="0064210C" w:rsidRPr="004676F5" w:rsidRDefault="001B64F8" w:rsidP="001B64F8">
      <w:pPr>
        <w:ind w:firstLine="708"/>
        <w:jc w:val="both"/>
        <w:rPr>
          <w:lang w:val="de-DE"/>
        </w:rPr>
      </w:pPr>
      <w:r w:rsidRPr="004676F5">
        <w:rPr>
          <w:lang w:val="de-DE"/>
        </w:rPr>
        <w:t>[</w:t>
      </w:r>
      <w:r w:rsidR="0064210C" w:rsidRPr="004676F5">
        <w:rPr>
          <w:b/>
          <w:bCs/>
          <w:lang w:val="de-DE"/>
        </w:rPr>
        <w:t>Art. XI.228/7</w:t>
      </w:r>
      <w:r w:rsidR="0064210C" w:rsidRPr="004676F5">
        <w:rPr>
          <w:lang w:val="de-DE"/>
        </w:rPr>
        <w:t> </w:t>
      </w:r>
      <w:r w:rsidR="005B7A5C" w:rsidRPr="004676F5">
        <w:rPr>
          <w:lang w:val="de-DE"/>
        </w:rPr>
        <w:t>- </w:t>
      </w:r>
      <w:r w:rsidR="0064210C" w:rsidRPr="004676F5">
        <w:rPr>
          <w:lang w:val="de-DE"/>
        </w:rPr>
        <w:t>§ 1 </w:t>
      </w:r>
      <w:r w:rsidR="005B7A5C" w:rsidRPr="004676F5">
        <w:rPr>
          <w:lang w:val="de-DE"/>
        </w:rPr>
        <w:t>- </w:t>
      </w:r>
      <w:r w:rsidR="0064210C" w:rsidRPr="004676F5">
        <w:rPr>
          <w:lang w:val="de-DE"/>
        </w:rPr>
        <w:t xml:space="preserve">Diensteanbieter für das Teilen von Online-Inhalten stellen den Rechtsinhabern auf deren Ersuchen angemessene Informationen über die Funktionsweise ihrer Verfahren im Hinblick auf die in Artikel XI.228/5 § 1 erwähnte Zusammenarbeit und </w:t>
      </w:r>
      <w:r w:rsidR="005B7A5C" w:rsidRPr="004676F5">
        <w:rPr>
          <w:lang w:val="de-DE"/>
        </w:rPr>
        <w:t>- </w:t>
      </w:r>
      <w:r w:rsidR="0064210C" w:rsidRPr="004676F5">
        <w:rPr>
          <w:lang w:val="de-DE"/>
        </w:rPr>
        <w:t>im Fall von Lizenzvereinbarungen zwischen den Anbietern dieser Dienste und den Rechtsinhabern </w:t>
      </w:r>
      <w:r w:rsidR="005B7A5C" w:rsidRPr="004676F5">
        <w:rPr>
          <w:lang w:val="de-DE"/>
        </w:rPr>
        <w:t>- </w:t>
      </w:r>
      <w:r w:rsidR="0064210C" w:rsidRPr="004676F5">
        <w:rPr>
          <w:lang w:val="de-DE"/>
        </w:rPr>
        <w:t>Informationen über die Nutzung der unter diese Vereinbarungen fallenden Werke und Leistungen bereit.</w:t>
      </w:r>
    </w:p>
    <w:p w14:paraId="03671740" w14:textId="77777777" w:rsidR="0064210C" w:rsidRPr="004676F5" w:rsidRDefault="0064210C" w:rsidP="0064210C">
      <w:pPr>
        <w:jc w:val="both"/>
        <w:rPr>
          <w:lang w:val="de-DE"/>
        </w:rPr>
      </w:pPr>
    </w:p>
    <w:p w14:paraId="24F3A115" w14:textId="77777777" w:rsidR="0064210C" w:rsidRPr="004676F5" w:rsidRDefault="0064210C" w:rsidP="0064210C">
      <w:pPr>
        <w:jc w:val="both"/>
        <w:rPr>
          <w:lang w:val="de-DE"/>
        </w:rPr>
      </w:pPr>
      <w:r w:rsidRPr="004676F5">
        <w:rPr>
          <w:lang w:val="de-DE"/>
        </w:rPr>
        <w:tab/>
        <w:t>§ 2 ­ Diensteanbieter für das Teilen von Online-Inhalten informieren ihre Nutzer in ihren Geschäftsbedingungen, dass sie Werke und Leistungen im Rahmen der Ausnahmen und Beschränkungen für das Urheberrecht und verwandte Schutzrechte nutzen können.</w:t>
      </w:r>
    </w:p>
    <w:p w14:paraId="31776A43" w14:textId="77777777" w:rsidR="0064210C" w:rsidRPr="004676F5" w:rsidRDefault="0064210C" w:rsidP="0064210C">
      <w:pPr>
        <w:jc w:val="both"/>
        <w:rPr>
          <w:lang w:val="de-DE"/>
        </w:rPr>
      </w:pPr>
    </w:p>
    <w:p w14:paraId="4D3458B1" w14:textId="541CE419" w:rsidR="0064210C" w:rsidRPr="004676F5" w:rsidRDefault="0064210C" w:rsidP="0064210C">
      <w:pPr>
        <w:jc w:val="both"/>
        <w:rPr>
          <w:lang w:val="de-DE"/>
        </w:rPr>
      </w:pPr>
      <w:r w:rsidRPr="004676F5">
        <w:rPr>
          <w:lang w:val="de-DE"/>
        </w:rPr>
        <w:tab/>
        <w:t>§ 3 ­ Der König kann unter Berücksichtigung der von der Europäischen Kommission gemäß Artikel 17 Absatz 10 der Richtlinie (EU) 2019/790 des Europäischen Parlaments und des Rates vom 17. April 2019 über das Urheberrecht und die verwandten Schutzrechte im digitalen Binnenmarkt und zur Änderung der Richtlinien 96/9/EG und 2001/29/EG organisierten Dialoge Modalitäten in Zusammenhang mit der in den Paragraphen 1 und 2 erwähnten Informationspflicht festlegen.</w:t>
      </w:r>
      <w:r w:rsidR="001B64F8" w:rsidRPr="004676F5">
        <w:rPr>
          <w:lang w:val="de-DE"/>
        </w:rPr>
        <w:t>]</w:t>
      </w:r>
    </w:p>
    <w:p w14:paraId="6C3B5BA9" w14:textId="77777777" w:rsidR="0064210C" w:rsidRPr="004676F5" w:rsidRDefault="0064210C" w:rsidP="0064210C">
      <w:pPr>
        <w:jc w:val="both"/>
        <w:rPr>
          <w:lang w:val="de-DE"/>
        </w:rPr>
      </w:pPr>
    </w:p>
    <w:p w14:paraId="04EF4C3D" w14:textId="5E3C3CA2" w:rsidR="001B64F8" w:rsidRPr="004676F5" w:rsidRDefault="001B64F8" w:rsidP="001B64F8">
      <w:pPr>
        <w:jc w:val="both"/>
        <w:rPr>
          <w:i/>
          <w:iCs/>
          <w:lang w:val="de-DE"/>
        </w:rPr>
      </w:pPr>
      <w:r w:rsidRPr="004676F5">
        <w:rPr>
          <w:i/>
          <w:iCs/>
          <w:lang w:val="de-DE"/>
        </w:rPr>
        <w:t>[Art. XI.228/7 eingefügt durch Art. 57 des G. vom 19. Juni 2022 (B.S. vom 1. August 2022)]</w:t>
      </w:r>
    </w:p>
    <w:p w14:paraId="63D2B3FF" w14:textId="77777777" w:rsidR="001B64F8" w:rsidRPr="004676F5" w:rsidRDefault="001B64F8" w:rsidP="0064210C">
      <w:pPr>
        <w:jc w:val="both"/>
        <w:rPr>
          <w:lang w:val="de-DE"/>
        </w:rPr>
      </w:pPr>
    </w:p>
    <w:p w14:paraId="3C3848AC" w14:textId="77777777" w:rsidR="0064210C" w:rsidRPr="004676F5" w:rsidRDefault="0064210C" w:rsidP="0064210C">
      <w:pPr>
        <w:jc w:val="both"/>
        <w:rPr>
          <w:lang w:val="de-DE"/>
        </w:rPr>
      </w:pPr>
    </w:p>
    <w:p w14:paraId="798BB452" w14:textId="4BD4E339" w:rsidR="0064210C" w:rsidRPr="004676F5" w:rsidRDefault="0064210C" w:rsidP="0064210C">
      <w:pPr>
        <w:jc w:val="both"/>
        <w:rPr>
          <w:lang w:val="de-DE"/>
        </w:rPr>
      </w:pPr>
      <w:r w:rsidRPr="004676F5">
        <w:rPr>
          <w:lang w:val="de-DE"/>
        </w:rPr>
        <w:tab/>
      </w:r>
      <w:r w:rsidR="001B64F8" w:rsidRPr="004676F5">
        <w:rPr>
          <w:lang w:val="de-DE"/>
        </w:rPr>
        <w:t>[</w:t>
      </w:r>
      <w:r w:rsidRPr="004676F5">
        <w:rPr>
          <w:b/>
          <w:bCs/>
          <w:lang w:val="de-DE"/>
        </w:rPr>
        <w:t>Art. XI.228/8</w:t>
      </w:r>
      <w:r w:rsidRPr="004676F5">
        <w:rPr>
          <w:lang w:val="de-DE"/>
        </w:rPr>
        <w:t> </w:t>
      </w:r>
      <w:r w:rsidR="005B7A5C" w:rsidRPr="004676F5">
        <w:rPr>
          <w:lang w:val="de-DE"/>
        </w:rPr>
        <w:t>- </w:t>
      </w:r>
      <w:r w:rsidRPr="004676F5">
        <w:rPr>
          <w:lang w:val="de-DE"/>
        </w:rPr>
        <w:t>§ 1 ­ Diensteanbieter für das Teilen von Online-Inhalten stellen den Nutzern ihrer Dienste im Fall von Streitigkeiten über die Sperrung des Zugangs zu den von diesen Nutzern hochgeladenen Werken oder Leistungen beziehungsweise über die Entfernung der von diesen Nutzern hochgeladenen Werke oder Leistungen wirksame und zügige Beschwerde</w:t>
      </w:r>
      <w:r w:rsidR="005B7A5C" w:rsidRPr="004676F5">
        <w:rPr>
          <w:lang w:val="de-DE"/>
        </w:rPr>
        <w:t>- </w:t>
      </w:r>
      <w:r w:rsidRPr="004676F5">
        <w:rPr>
          <w:lang w:val="de-DE"/>
        </w:rPr>
        <w:t>und Rechtsbehelfsverfahren zur Verfügung.</w:t>
      </w:r>
    </w:p>
    <w:p w14:paraId="7F919722" w14:textId="77777777" w:rsidR="0064210C" w:rsidRPr="004676F5" w:rsidRDefault="0064210C" w:rsidP="0064210C">
      <w:pPr>
        <w:jc w:val="both"/>
        <w:rPr>
          <w:lang w:val="de-DE"/>
        </w:rPr>
      </w:pPr>
    </w:p>
    <w:p w14:paraId="0F60028B" w14:textId="77777777" w:rsidR="0064210C" w:rsidRPr="004676F5" w:rsidRDefault="0064210C" w:rsidP="0064210C">
      <w:pPr>
        <w:jc w:val="both"/>
        <w:rPr>
          <w:lang w:val="de-DE"/>
        </w:rPr>
      </w:pPr>
      <w:r w:rsidRPr="004676F5">
        <w:rPr>
          <w:lang w:val="de-DE"/>
        </w:rPr>
        <w:tab/>
        <w:t>§ 2 ­ Verlangen Rechtsinhaber die Sperrung des Zugangs zu ihren Werken oder Leistungen oder die Entfernung dieser Werke oder Leistungen, so begründen sie ihr Ersuchen in angemessener Weise.</w:t>
      </w:r>
    </w:p>
    <w:p w14:paraId="714E4677" w14:textId="77777777" w:rsidR="0064210C" w:rsidRPr="004676F5" w:rsidRDefault="0064210C" w:rsidP="0064210C">
      <w:pPr>
        <w:jc w:val="both"/>
        <w:rPr>
          <w:lang w:val="de-DE"/>
        </w:rPr>
      </w:pPr>
    </w:p>
    <w:p w14:paraId="62F2375E" w14:textId="77777777" w:rsidR="0064210C" w:rsidRPr="004676F5" w:rsidRDefault="0064210C" w:rsidP="0064210C">
      <w:pPr>
        <w:jc w:val="both"/>
        <w:rPr>
          <w:lang w:val="de-DE"/>
        </w:rPr>
      </w:pPr>
      <w:r w:rsidRPr="004676F5">
        <w:rPr>
          <w:lang w:val="de-DE"/>
        </w:rPr>
        <w:tab/>
        <w:t>§ 3 ­ Beschwerden, die im Rahmen des in § 1 erwähnten Verfahrens eingereicht werden, sind unverzüglich zu bearbeiten und Entscheidungen über die Sperrung des Zugangs zu hochgeladenen Werken oder Leistungen beziehungsweise über die Entfernung hochgeladener Werke oder Leistungen im Rahmen der Untersuchung dieser Beschwerden sind einer von Menschen durchgeführten Überprüfung zu unterziehen.</w:t>
      </w:r>
    </w:p>
    <w:p w14:paraId="0142FFF9" w14:textId="77777777" w:rsidR="0064210C" w:rsidRPr="004676F5" w:rsidRDefault="0064210C" w:rsidP="0064210C">
      <w:pPr>
        <w:jc w:val="both"/>
        <w:rPr>
          <w:lang w:val="de-DE"/>
        </w:rPr>
      </w:pPr>
    </w:p>
    <w:p w14:paraId="5537E954" w14:textId="77777777" w:rsidR="00070CA0" w:rsidRPr="004676F5" w:rsidRDefault="00070CA0">
      <w:pPr>
        <w:rPr>
          <w:lang w:val="de-DE"/>
        </w:rPr>
      </w:pPr>
      <w:r w:rsidRPr="004676F5">
        <w:rPr>
          <w:lang w:val="de-DE"/>
        </w:rPr>
        <w:br w:type="page"/>
      </w:r>
    </w:p>
    <w:p w14:paraId="02629960" w14:textId="72AC409E" w:rsidR="0064210C" w:rsidRPr="004676F5" w:rsidRDefault="0064210C" w:rsidP="0064210C">
      <w:pPr>
        <w:jc w:val="both"/>
        <w:rPr>
          <w:lang w:val="de-DE"/>
        </w:rPr>
      </w:pPr>
      <w:r w:rsidRPr="004676F5">
        <w:rPr>
          <w:lang w:val="de-DE"/>
        </w:rPr>
        <w:lastRenderedPageBreak/>
        <w:tab/>
        <w:t>§ 4 </w:t>
      </w:r>
      <w:r w:rsidR="005B7A5C" w:rsidRPr="004676F5">
        <w:rPr>
          <w:lang w:val="de-DE"/>
        </w:rPr>
        <w:t>- </w:t>
      </w:r>
      <w:r w:rsidRPr="004676F5">
        <w:rPr>
          <w:lang w:val="de-DE"/>
        </w:rPr>
        <w:t>Der König kann unter Berücksichtigung der von der Europäischen Kommission gemäß Artikel 17 Absatz 10 der Richtlinie (EU) 2019/790 des Europäischen Parlaments und des Rates vom 17. April 2019 über das Urheberrecht und die verwandten Schutzrechte im digitalen Binnenmarkt und zur Änderung der Richtlinien 96/9/EG und 2001/29/EG organisierten Dialoge Modalitäten in Zusammenhang mit den in den Paragraphen 1 bis 3 erwähnten Beschwerde</w:t>
      </w:r>
      <w:r w:rsidR="005B7A5C" w:rsidRPr="004676F5">
        <w:rPr>
          <w:lang w:val="de-DE"/>
        </w:rPr>
        <w:t>- </w:t>
      </w:r>
      <w:r w:rsidRPr="004676F5">
        <w:rPr>
          <w:lang w:val="de-DE"/>
        </w:rPr>
        <w:t>und Rechtsbehelfsverfahren festlegen, insbesondere in Bezug auf die Frist, in der solche Beschwerden bearbeitet werden müssen, das zu befolgende Verfahren und den Status des Inhalts, auf den die Beschwerde sich bezieht, während der Bearbeitung der Beschwerde.</w:t>
      </w:r>
      <w:r w:rsidR="001B64F8" w:rsidRPr="004676F5">
        <w:rPr>
          <w:lang w:val="de-DE"/>
        </w:rPr>
        <w:t>]</w:t>
      </w:r>
    </w:p>
    <w:p w14:paraId="1BA2A7E8" w14:textId="77777777" w:rsidR="0064210C" w:rsidRPr="004676F5" w:rsidRDefault="0064210C" w:rsidP="0064210C">
      <w:pPr>
        <w:jc w:val="both"/>
        <w:rPr>
          <w:lang w:val="de-DE"/>
        </w:rPr>
      </w:pPr>
    </w:p>
    <w:p w14:paraId="046596A0" w14:textId="77722529" w:rsidR="001B64F8" w:rsidRPr="004676F5" w:rsidRDefault="001B64F8" w:rsidP="001B64F8">
      <w:pPr>
        <w:jc w:val="both"/>
        <w:rPr>
          <w:i/>
          <w:iCs/>
          <w:lang w:val="de-DE"/>
        </w:rPr>
      </w:pPr>
      <w:r w:rsidRPr="004676F5">
        <w:rPr>
          <w:i/>
          <w:iCs/>
          <w:lang w:val="de-DE"/>
        </w:rPr>
        <w:t>[Art. XI.228/8 eingefügt durch Art. 58 des G. vom 19. Juni 2022 (B.S. vom 1. August 2022)]</w:t>
      </w:r>
    </w:p>
    <w:p w14:paraId="4A103ED1" w14:textId="77777777" w:rsidR="0064210C" w:rsidRPr="004676F5" w:rsidRDefault="0064210C" w:rsidP="0064210C">
      <w:pPr>
        <w:jc w:val="both"/>
        <w:rPr>
          <w:lang w:val="de-DE"/>
        </w:rPr>
      </w:pPr>
    </w:p>
    <w:p w14:paraId="6D7680E9" w14:textId="77777777" w:rsidR="0064210C" w:rsidRPr="004676F5" w:rsidRDefault="0064210C" w:rsidP="0064210C">
      <w:pPr>
        <w:jc w:val="both"/>
        <w:rPr>
          <w:lang w:val="de-DE"/>
        </w:rPr>
      </w:pPr>
    </w:p>
    <w:p w14:paraId="763C60F4" w14:textId="360E1767" w:rsidR="0064210C" w:rsidRPr="004676F5" w:rsidRDefault="0064210C" w:rsidP="0064210C">
      <w:pPr>
        <w:jc w:val="both"/>
        <w:rPr>
          <w:lang w:val="de-DE"/>
        </w:rPr>
      </w:pPr>
      <w:r w:rsidRPr="004676F5">
        <w:rPr>
          <w:lang w:val="de-DE"/>
        </w:rPr>
        <w:tab/>
      </w:r>
      <w:r w:rsidR="001B64F8" w:rsidRPr="004676F5">
        <w:rPr>
          <w:lang w:val="de-DE"/>
        </w:rPr>
        <w:t>[</w:t>
      </w:r>
      <w:r w:rsidRPr="004676F5">
        <w:rPr>
          <w:b/>
          <w:bCs/>
          <w:lang w:val="de-DE"/>
        </w:rPr>
        <w:t>Art. XI.228/9</w:t>
      </w:r>
      <w:r w:rsidRPr="004676F5">
        <w:rPr>
          <w:lang w:val="de-DE"/>
        </w:rPr>
        <w:t> </w:t>
      </w:r>
      <w:r w:rsidR="005B7A5C" w:rsidRPr="004676F5">
        <w:rPr>
          <w:lang w:val="de-DE"/>
        </w:rPr>
        <w:t>- </w:t>
      </w:r>
      <w:r w:rsidRPr="004676F5">
        <w:rPr>
          <w:lang w:val="de-DE"/>
        </w:rPr>
        <w:t>§ 1 ­ Diensteanbieter für das Teilen von Online-Inhalten geben in Bezug auf Tätigkeiten, die sich an Nutzer mit Sitz oder gewöhnlichem Aufenthaltsort in Belgien richten, in ihren mit diesen Nutzern vereinbarten allgemeinen Geschäftsbedingungen oder in ihren Lizenzvereinbarungen mit Rechtsinhabern mit Sitz oder gewöhnlichem Aufenthaltsort in Belgien zwei oder mehrere Vermittler an, mit denen diese Anbieter bereit sind, zur außergerichtlichen Beilegung von Streitigkeiten über die Sperrung des Zugangs zu oder die Entfernung von hochgeladenen Werken oder Leistungen Kontakt aufzunehmen.</w:t>
      </w:r>
    </w:p>
    <w:p w14:paraId="056069A7" w14:textId="77777777" w:rsidR="0064210C" w:rsidRPr="004676F5" w:rsidRDefault="0064210C" w:rsidP="0064210C">
      <w:pPr>
        <w:jc w:val="both"/>
        <w:rPr>
          <w:lang w:val="de-DE"/>
        </w:rPr>
      </w:pPr>
    </w:p>
    <w:p w14:paraId="5EC1ECA1" w14:textId="77777777" w:rsidR="0064210C" w:rsidRPr="004676F5" w:rsidRDefault="0064210C" w:rsidP="0064210C">
      <w:pPr>
        <w:jc w:val="both"/>
        <w:rPr>
          <w:lang w:val="de-DE"/>
        </w:rPr>
      </w:pPr>
      <w:r w:rsidRPr="004676F5">
        <w:rPr>
          <w:lang w:val="de-DE"/>
        </w:rPr>
        <w:tab/>
        <w:t>Die in Absatz 1 erwähnten Vermittler erfüllen die in Artikel 1726 des Gerichtsgesetz</w:t>
      </w:r>
      <w:r w:rsidRPr="004676F5">
        <w:rPr>
          <w:lang w:val="de-DE"/>
        </w:rPr>
        <w:softHyphen/>
        <w:t>buches festgelegten Bedingungen. Die Vermittlung erfolgt gemäß den auf die außergerichtliche Vermittlung anwendbaren Regeln von Teil 7 des Gerichtsgesetzbuches.</w:t>
      </w:r>
    </w:p>
    <w:p w14:paraId="509FC8D5" w14:textId="77777777" w:rsidR="0064210C" w:rsidRPr="004676F5" w:rsidRDefault="0064210C" w:rsidP="0064210C">
      <w:pPr>
        <w:jc w:val="both"/>
        <w:rPr>
          <w:lang w:val="de-DE"/>
        </w:rPr>
      </w:pPr>
    </w:p>
    <w:p w14:paraId="1CE8863F" w14:textId="77777777" w:rsidR="0064210C" w:rsidRPr="004676F5" w:rsidRDefault="0064210C" w:rsidP="0064210C">
      <w:pPr>
        <w:jc w:val="both"/>
        <w:rPr>
          <w:lang w:val="de-DE"/>
        </w:rPr>
      </w:pPr>
      <w:r w:rsidRPr="004676F5">
        <w:rPr>
          <w:lang w:val="de-DE"/>
        </w:rPr>
        <w:tab/>
        <w:t>§ 2 ­ Unbeschadet des freiwilligen Charakters der Vermittlung wirken Diensteanbieter für das Teilen von Online-Inhalten, ihre Nutzer und Rechtsinhaber in gutem Glauben an Vermittlungsversuchen aufgrund des vorliegenden Artikels mit.</w:t>
      </w:r>
    </w:p>
    <w:p w14:paraId="1F72E3D3" w14:textId="77777777" w:rsidR="0064210C" w:rsidRPr="004676F5" w:rsidRDefault="0064210C" w:rsidP="0064210C">
      <w:pPr>
        <w:jc w:val="both"/>
        <w:rPr>
          <w:lang w:val="de-DE"/>
        </w:rPr>
      </w:pPr>
    </w:p>
    <w:p w14:paraId="3341EB79" w14:textId="17C90CF9" w:rsidR="0066692A" w:rsidRPr="004676F5" w:rsidRDefault="0064210C" w:rsidP="0064210C">
      <w:pPr>
        <w:jc w:val="both"/>
        <w:rPr>
          <w:lang w:val="de-DE"/>
        </w:rPr>
      </w:pPr>
      <w:r w:rsidRPr="004676F5">
        <w:rPr>
          <w:lang w:val="de-DE"/>
        </w:rPr>
        <w:tab/>
        <w:t>§ 3 ­ Diensteanbieter für das Teilen von Online-Inhalten tragen einen angemessenen Teil der Gesamtkosten der Vermittlung. Der Vermittler kann auf Antrag der Parteien unter Berücksichtigung aller einschlägigen Umstände des jeweiligen Einzelfalls, insbesondere der relativen Gültigkeit der Argumente der Streitparteien, des Verhaltens der Parteien sowie der Größe und des finanziellen Gewichts der Parteien im Verhältnis zueinander, einen unverbindlichen Vorschlag zur Kostenverteilung machen, einschließlich des angemessenen Anteils, der von dem Diensteanbieter für das Teilen von Online-Inhalten getragen werden soll.</w:t>
      </w:r>
      <w:r w:rsidR="001B64F8" w:rsidRPr="004676F5">
        <w:rPr>
          <w:lang w:val="de-DE"/>
        </w:rPr>
        <w:t>]</w:t>
      </w:r>
    </w:p>
    <w:p w14:paraId="784D5C71" w14:textId="77777777" w:rsidR="001B64F8" w:rsidRPr="004676F5" w:rsidRDefault="001B64F8" w:rsidP="0064210C">
      <w:pPr>
        <w:jc w:val="both"/>
        <w:rPr>
          <w:lang w:val="de-DE"/>
        </w:rPr>
      </w:pPr>
    </w:p>
    <w:p w14:paraId="00DFDDFB" w14:textId="028EF5B2" w:rsidR="001B64F8" w:rsidRPr="004676F5" w:rsidRDefault="001B64F8" w:rsidP="001B64F8">
      <w:pPr>
        <w:jc w:val="both"/>
        <w:rPr>
          <w:i/>
          <w:iCs/>
          <w:lang w:val="de-DE"/>
        </w:rPr>
      </w:pPr>
      <w:r w:rsidRPr="004676F5">
        <w:rPr>
          <w:i/>
          <w:iCs/>
          <w:lang w:val="de-DE"/>
        </w:rPr>
        <w:t>[Art. XI.228/9 eingefügt durch Art. 59 des G. vom 19. Juni 2022 (B.S. vom 1. August 2022)]</w:t>
      </w:r>
    </w:p>
    <w:p w14:paraId="2A6EA05B" w14:textId="77777777" w:rsidR="001B64F8" w:rsidRPr="004676F5" w:rsidRDefault="001B64F8" w:rsidP="001B64F8">
      <w:pPr>
        <w:jc w:val="both"/>
        <w:rPr>
          <w:lang w:val="de-DE"/>
        </w:rPr>
      </w:pPr>
    </w:p>
    <w:p w14:paraId="3C2CB804" w14:textId="77777777" w:rsidR="001B64F8" w:rsidRPr="004676F5" w:rsidRDefault="001B64F8" w:rsidP="001B64F8">
      <w:pPr>
        <w:jc w:val="both"/>
        <w:rPr>
          <w:lang w:val="de-DE"/>
        </w:rPr>
      </w:pPr>
    </w:p>
    <w:p w14:paraId="785A956A" w14:textId="46230C1A" w:rsidR="001B64F8" w:rsidRPr="004676F5" w:rsidRDefault="001B64F8">
      <w:pPr>
        <w:rPr>
          <w:lang w:val="de-DE"/>
        </w:rPr>
      </w:pPr>
      <w:r w:rsidRPr="004676F5">
        <w:rPr>
          <w:lang w:val="de-DE"/>
        </w:rPr>
        <w:br w:type="page"/>
      </w:r>
    </w:p>
    <w:p w14:paraId="49942061" w14:textId="286C4795" w:rsidR="001B64F8" w:rsidRPr="004676F5" w:rsidRDefault="001B64F8" w:rsidP="001B64F8">
      <w:pPr>
        <w:jc w:val="center"/>
        <w:rPr>
          <w:lang w:val="de-DE"/>
        </w:rPr>
      </w:pPr>
      <w:r w:rsidRPr="004676F5">
        <w:rPr>
          <w:lang w:val="de-DE"/>
        </w:rPr>
        <w:lastRenderedPageBreak/>
        <w:t>[KAPITEL 4/2 </w:t>
      </w:r>
      <w:r w:rsidR="005B7A5C" w:rsidRPr="004676F5">
        <w:rPr>
          <w:lang w:val="de-DE"/>
        </w:rPr>
        <w:t>- </w:t>
      </w:r>
      <w:r w:rsidRPr="004676F5">
        <w:rPr>
          <w:i/>
          <w:iCs/>
          <w:lang w:val="de-DE"/>
        </w:rPr>
        <w:t>Nutzung von akustischen und/oder audiovisuellen Werken durch bestimmte Anbieter von Diensten der Informationsgesellschaft</w:t>
      </w:r>
      <w:r w:rsidRPr="004676F5">
        <w:rPr>
          <w:lang w:val="de-DE"/>
        </w:rPr>
        <w:t>]</w:t>
      </w:r>
    </w:p>
    <w:p w14:paraId="2242FAB3" w14:textId="77777777" w:rsidR="001B64F8" w:rsidRPr="004676F5" w:rsidRDefault="001B64F8" w:rsidP="001B64F8">
      <w:pPr>
        <w:jc w:val="center"/>
        <w:rPr>
          <w:lang w:val="de-DE"/>
        </w:rPr>
      </w:pPr>
    </w:p>
    <w:p w14:paraId="25551D43" w14:textId="40B2AAFE" w:rsidR="001B64F8" w:rsidRPr="004676F5" w:rsidRDefault="001B64F8" w:rsidP="001B64F8">
      <w:pPr>
        <w:jc w:val="both"/>
        <w:rPr>
          <w:i/>
          <w:iCs/>
          <w:lang w:val="de-DE"/>
        </w:rPr>
      </w:pPr>
      <w:r w:rsidRPr="004676F5">
        <w:rPr>
          <w:i/>
          <w:iCs/>
          <w:lang w:val="de-DE"/>
        </w:rPr>
        <w:t>[Unterteilung Kapitel 4/2 eingefügt durch Art. 60 des G. vom 19. Juni 2022 (B.S. vom 1. August 2022)]</w:t>
      </w:r>
    </w:p>
    <w:p w14:paraId="11FC49E7" w14:textId="77777777" w:rsidR="001B64F8" w:rsidRPr="004676F5" w:rsidRDefault="001B64F8" w:rsidP="001B64F8">
      <w:pPr>
        <w:jc w:val="both"/>
        <w:rPr>
          <w:lang w:val="de-DE"/>
        </w:rPr>
      </w:pPr>
    </w:p>
    <w:p w14:paraId="5CF5C834" w14:textId="77777777" w:rsidR="001B64F8" w:rsidRPr="004676F5" w:rsidRDefault="001B64F8" w:rsidP="001B64F8">
      <w:pPr>
        <w:jc w:val="both"/>
        <w:rPr>
          <w:lang w:val="de-DE"/>
        </w:rPr>
      </w:pPr>
    </w:p>
    <w:p w14:paraId="2411A59C" w14:textId="51E30422" w:rsidR="001B64F8" w:rsidRPr="004676F5" w:rsidRDefault="001B64F8" w:rsidP="001B64F8">
      <w:pPr>
        <w:jc w:val="both"/>
        <w:rPr>
          <w:lang w:val="de-DE"/>
        </w:rPr>
      </w:pPr>
      <w:r w:rsidRPr="004676F5">
        <w:rPr>
          <w:lang w:val="de-DE"/>
        </w:rPr>
        <w:tab/>
        <w:t>[</w:t>
      </w:r>
      <w:r w:rsidRPr="004676F5">
        <w:rPr>
          <w:b/>
          <w:bCs/>
          <w:lang w:val="de-DE"/>
        </w:rPr>
        <w:t>Art. XI.228/10</w:t>
      </w:r>
      <w:r w:rsidRPr="004676F5">
        <w:rPr>
          <w:lang w:val="de-DE"/>
        </w:rPr>
        <w:t> </w:t>
      </w:r>
      <w:r w:rsidR="005B7A5C" w:rsidRPr="004676F5">
        <w:rPr>
          <w:lang w:val="de-DE"/>
        </w:rPr>
        <w:t>- </w:t>
      </w:r>
      <w:r w:rsidRPr="004676F5">
        <w:rPr>
          <w:lang w:val="de-DE"/>
        </w:rPr>
        <w:t>Vorliegendes Kapitel gilt für Anbieter von Diensten der Informa</w:t>
      </w:r>
      <w:r w:rsidRPr="004676F5">
        <w:rPr>
          <w:lang w:val="de-DE"/>
        </w:rPr>
        <w:softHyphen/>
        <w:t>tionsgesellschaft, bei denen der Hauptzweck beziehungsweise einer der Hauptzwecke darin besteht, zum Zwecke der Gewinnerzielung eine große Menge an akustischen und/oder audiovisuellen Werken anzubieten, die urheberrechtlich oder durch verwandte Schutzrechte geschützt sind, wobei:</w:t>
      </w:r>
    </w:p>
    <w:p w14:paraId="540B170E" w14:textId="77777777" w:rsidR="001B64F8" w:rsidRPr="004676F5" w:rsidRDefault="001B64F8" w:rsidP="001B64F8">
      <w:pPr>
        <w:jc w:val="both"/>
        <w:rPr>
          <w:lang w:val="de-DE"/>
        </w:rPr>
      </w:pPr>
    </w:p>
    <w:p w14:paraId="48805591" w14:textId="77777777" w:rsidR="001B64F8" w:rsidRPr="004676F5" w:rsidRDefault="001B64F8" w:rsidP="001B64F8">
      <w:pPr>
        <w:jc w:val="both"/>
        <w:rPr>
          <w:lang w:val="de-DE"/>
        </w:rPr>
      </w:pPr>
      <w:r w:rsidRPr="004676F5">
        <w:rPr>
          <w:lang w:val="de-DE"/>
        </w:rPr>
        <w:tab/>
        <w:t>1. die Nutzer gegen eine wiederkehrende Vergütung in Geld oder ohne eine solche Vergütung das Recht auf Zugang zu den angebotenen akustischen und/oder audiovisuellen Werken haben,</w:t>
      </w:r>
    </w:p>
    <w:p w14:paraId="7E5F8193" w14:textId="77777777" w:rsidR="001B64F8" w:rsidRPr="004676F5" w:rsidRDefault="001B64F8" w:rsidP="001B64F8">
      <w:pPr>
        <w:jc w:val="both"/>
        <w:rPr>
          <w:lang w:val="de-DE"/>
        </w:rPr>
      </w:pPr>
    </w:p>
    <w:p w14:paraId="30FAE5CE" w14:textId="77777777" w:rsidR="001B64F8" w:rsidRPr="004676F5" w:rsidRDefault="001B64F8" w:rsidP="001B64F8">
      <w:pPr>
        <w:jc w:val="both"/>
        <w:rPr>
          <w:lang w:val="de-DE"/>
        </w:rPr>
      </w:pPr>
      <w:r w:rsidRPr="004676F5">
        <w:rPr>
          <w:lang w:val="de-DE"/>
        </w:rPr>
        <w:tab/>
        <w:t>2. die Nutzer keine dauerhafte Vervielfältigung des konsultierten Werkes erwerben können,</w:t>
      </w:r>
    </w:p>
    <w:p w14:paraId="244EDDFD" w14:textId="77777777" w:rsidR="001B64F8" w:rsidRPr="004676F5" w:rsidRDefault="001B64F8" w:rsidP="001B64F8">
      <w:pPr>
        <w:jc w:val="both"/>
        <w:rPr>
          <w:lang w:val="de-DE"/>
        </w:rPr>
      </w:pPr>
    </w:p>
    <w:p w14:paraId="00A6F7B3" w14:textId="77777777" w:rsidR="001B64F8" w:rsidRPr="004676F5" w:rsidRDefault="001B64F8" w:rsidP="001B64F8">
      <w:pPr>
        <w:jc w:val="both"/>
        <w:rPr>
          <w:lang w:val="de-DE"/>
        </w:rPr>
      </w:pPr>
      <w:r w:rsidRPr="004676F5">
        <w:rPr>
          <w:lang w:val="de-DE"/>
        </w:rPr>
        <w:tab/>
        <w:t>3. die Nutzer Zugang zu den angebotenen akustischen und/oder audiovisuellen Werken an Orten und zu Zeiten ihrer Wahl haben und</w:t>
      </w:r>
    </w:p>
    <w:p w14:paraId="207937C4" w14:textId="77777777" w:rsidR="001B64F8" w:rsidRPr="004676F5" w:rsidRDefault="001B64F8" w:rsidP="001B64F8">
      <w:pPr>
        <w:jc w:val="both"/>
        <w:rPr>
          <w:lang w:val="de-DE"/>
        </w:rPr>
      </w:pPr>
    </w:p>
    <w:p w14:paraId="655D1459" w14:textId="2DA90F87" w:rsidR="001B64F8" w:rsidRPr="004676F5" w:rsidRDefault="001B64F8" w:rsidP="001B64F8">
      <w:pPr>
        <w:jc w:val="both"/>
        <w:rPr>
          <w:lang w:val="de-DE"/>
        </w:rPr>
      </w:pPr>
      <w:r w:rsidRPr="004676F5">
        <w:rPr>
          <w:lang w:val="de-DE"/>
        </w:rPr>
        <w:tab/>
        <w:t>4. der Diensteanbieter die redaktionelle Verantwortung für das Angebot und die Organisation dieses Dienstes hat, einschließlich der Organisation, Klassifizierung und Bewerbung der akustischen und/oder audiovisuellen Werke.]</w:t>
      </w:r>
    </w:p>
    <w:p w14:paraId="35744EE5" w14:textId="77777777" w:rsidR="001B64F8" w:rsidRPr="004676F5" w:rsidRDefault="001B64F8" w:rsidP="001B64F8">
      <w:pPr>
        <w:jc w:val="both"/>
        <w:rPr>
          <w:lang w:val="de-DE"/>
        </w:rPr>
      </w:pPr>
    </w:p>
    <w:p w14:paraId="3790E70F" w14:textId="5CDA6656" w:rsidR="001B64F8" w:rsidRPr="004676F5" w:rsidRDefault="001B64F8" w:rsidP="001B64F8">
      <w:pPr>
        <w:jc w:val="both"/>
        <w:rPr>
          <w:i/>
          <w:iCs/>
          <w:lang w:val="de-DE"/>
        </w:rPr>
      </w:pPr>
      <w:r w:rsidRPr="004676F5">
        <w:rPr>
          <w:i/>
          <w:iCs/>
          <w:lang w:val="de-DE"/>
        </w:rPr>
        <w:t>[Art. XI.228/10 eingefügt durch Art. 61 des G. vom 19. Juni 2022 (B.S. vom 1. August 2022)]</w:t>
      </w:r>
    </w:p>
    <w:p w14:paraId="3EE27DE0" w14:textId="77777777" w:rsidR="001B64F8" w:rsidRPr="004676F5" w:rsidRDefault="001B64F8" w:rsidP="001B64F8">
      <w:pPr>
        <w:jc w:val="both"/>
        <w:rPr>
          <w:lang w:val="de-DE"/>
        </w:rPr>
      </w:pPr>
    </w:p>
    <w:p w14:paraId="1203CCF3" w14:textId="77777777" w:rsidR="001B64F8" w:rsidRPr="004676F5" w:rsidRDefault="001B64F8" w:rsidP="001B64F8">
      <w:pPr>
        <w:jc w:val="both"/>
        <w:rPr>
          <w:lang w:val="de-DE"/>
        </w:rPr>
      </w:pPr>
    </w:p>
    <w:p w14:paraId="6B75F501" w14:textId="114EB6A5" w:rsidR="001B64F8" w:rsidRPr="004676F5" w:rsidRDefault="001B64F8" w:rsidP="001B64F8">
      <w:pPr>
        <w:jc w:val="both"/>
        <w:rPr>
          <w:lang w:val="de-DE"/>
        </w:rPr>
      </w:pPr>
      <w:r w:rsidRPr="004676F5">
        <w:rPr>
          <w:lang w:val="de-DE"/>
        </w:rPr>
        <w:tab/>
        <w:t>[</w:t>
      </w:r>
      <w:r w:rsidRPr="004676F5">
        <w:rPr>
          <w:b/>
          <w:bCs/>
          <w:lang w:val="de-DE"/>
        </w:rPr>
        <w:t>Art. XI.228/11</w:t>
      </w:r>
      <w:r w:rsidRPr="004676F5">
        <w:rPr>
          <w:lang w:val="de-DE"/>
        </w:rPr>
        <w:t> </w:t>
      </w:r>
      <w:r w:rsidR="005B7A5C" w:rsidRPr="004676F5">
        <w:rPr>
          <w:lang w:val="de-DE"/>
        </w:rPr>
        <w:t>- </w:t>
      </w:r>
      <w:r w:rsidRPr="004676F5">
        <w:rPr>
          <w:lang w:val="de-DE"/>
        </w:rPr>
        <w:t>§ 1 </w:t>
      </w:r>
      <w:r w:rsidR="00070CA0" w:rsidRPr="004676F5">
        <w:rPr>
          <w:lang w:val="de-DE"/>
        </w:rPr>
        <w:t>- [Hat ein Urheber oder ein ausübender Künstler eines akustischen oder audiovisuellen Werkes sein Recht, die öffentliche Wiedergabe, einschließlich der öffentlichen Zugänglichmachung, durch einen Anbieter von Diensten der Informationsgesellschaft wie in Artikel XI.228/10 erwähnt zu erlauben oder zu verbieten, an einen Produzenten oder einen Verleger abgetreten oder lizensiert, so behält er den Anspruch auf eine angemessene Vergütung für die öffentliche Wiedergabe durch einen Anbieter von Diensten der Informationsgesellschaft wie in Artikel XI.228/10 erwähnt.]</w:t>
      </w:r>
    </w:p>
    <w:p w14:paraId="274515E2" w14:textId="77777777" w:rsidR="001B64F8" w:rsidRPr="004676F5" w:rsidRDefault="001B64F8" w:rsidP="001B64F8">
      <w:pPr>
        <w:jc w:val="both"/>
        <w:rPr>
          <w:lang w:val="de-DE"/>
        </w:rPr>
      </w:pPr>
    </w:p>
    <w:p w14:paraId="206555F2" w14:textId="131CD3AB" w:rsidR="001B64F8" w:rsidRPr="004676F5" w:rsidRDefault="001B64F8" w:rsidP="001B64F8">
      <w:pPr>
        <w:jc w:val="both"/>
        <w:rPr>
          <w:lang w:val="de-DE"/>
        </w:rPr>
      </w:pPr>
      <w:r w:rsidRPr="004676F5">
        <w:rPr>
          <w:lang w:val="de-DE"/>
        </w:rPr>
        <w:tab/>
        <w:t>§ 2 </w:t>
      </w:r>
      <w:r w:rsidR="005B7A5C" w:rsidRPr="004676F5">
        <w:rPr>
          <w:lang w:val="de-DE"/>
        </w:rPr>
        <w:t>- </w:t>
      </w:r>
      <w:r w:rsidRPr="004676F5">
        <w:rPr>
          <w:lang w:val="de-DE"/>
        </w:rPr>
        <w:t>Der Anspruch auf Vergütung wie in § 1 vorgesehen ist nicht abtretbar und Urheber oder ausübende Künstler können auf diesen Anspruch nicht verzichten.</w:t>
      </w:r>
    </w:p>
    <w:p w14:paraId="6A9EEC65" w14:textId="77777777" w:rsidR="001B64F8" w:rsidRPr="004676F5" w:rsidRDefault="001B64F8" w:rsidP="001B64F8">
      <w:pPr>
        <w:jc w:val="both"/>
        <w:rPr>
          <w:lang w:val="de-DE"/>
        </w:rPr>
      </w:pPr>
    </w:p>
    <w:p w14:paraId="6DDFC378" w14:textId="5F65CA45" w:rsidR="001B64F8" w:rsidRPr="004676F5" w:rsidRDefault="001B64F8" w:rsidP="001B64F8">
      <w:pPr>
        <w:jc w:val="both"/>
        <w:rPr>
          <w:lang w:val="de-DE"/>
        </w:rPr>
      </w:pPr>
      <w:r w:rsidRPr="004676F5">
        <w:rPr>
          <w:lang w:val="de-DE"/>
        </w:rPr>
        <w:tab/>
        <w:t>§ 3 </w:t>
      </w:r>
      <w:r w:rsidR="005B7A5C" w:rsidRPr="004676F5">
        <w:rPr>
          <w:lang w:val="de-DE"/>
        </w:rPr>
        <w:t>- </w:t>
      </w:r>
      <w:r w:rsidRPr="004676F5">
        <w:rPr>
          <w:lang w:val="de-DE"/>
        </w:rPr>
        <w:t>Bestehen keine anwendbaren Kollektivvereinbarungen wie in Artikel XI.167/5 bestimmt, kann die Wahrnehmung des Anspruchs der Urheber eines akustischen oder audiovisuellen Werkes auf Vergütung wie in § 1 erwähnt nur von Verwertungsgesellschaften und/oder Organisationen für die kollektive Rechtewahrnehmung ausgeübt werden, die Urheber vertreten.</w:t>
      </w:r>
    </w:p>
    <w:p w14:paraId="3C5AB832" w14:textId="77777777" w:rsidR="001B64F8" w:rsidRPr="004676F5" w:rsidRDefault="001B64F8" w:rsidP="001B64F8">
      <w:pPr>
        <w:jc w:val="both"/>
        <w:rPr>
          <w:lang w:val="de-DE"/>
        </w:rPr>
      </w:pPr>
    </w:p>
    <w:p w14:paraId="7F593BB0" w14:textId="77777777" w:rsidR="001B64F8" w:rsidRPr="004676F5" w:rsidRDefault="001B64F8" w:rsidP="001B64F8">
      <w:pPr>
        <w:jc w:val="both"/>
        <w:rPr>
          <w:lang w:val="de-DE"/>
        </w:rPr>
      </w:pPr>
      <w:r w:rsidRPr="004676F5">
        <w:rPr>
          <w:lang w:val="de-DE"/>
        </w:rPr>
        <w:tab/>
        <w:t>Bestehen keine anwendbaren Kollektivvereinbarungen wie in Artikel XI.205/5 bestimmt, kann die Wahrnehmung des Anspruchs der ausübenden Künstler eines akustischen oder audiovisuellen Werkes auf Vergütung wie in § 1 erwähnt nur von Verwertungs</w:t>
      </w:r>
      <w:r w:rsidRPr="004676F5">
        <w:rPr>
          <w:lang w:val="de-DE"/>
        </w:rPr>
        <w:softHyphen/>
        <w:t>gesellschaften und/oder Organisationen für die kollektive Rechtewahrnehmung ausgeübt werden, die ausübende Künstler vertreten.</w:t>
      </w:r>
    </w:p>
    <w:p w14:paraId="1D53D3DD" w14:textId="77777777" w:rsidR="001B64F8" w:rsidRPr="004676F5" w:rsidRDefault="001B64F8" w:rsidP="001B64F8">
      <w:pPr>
        <w:jc w:val="both"/>
        <w:rPr>
          <w:lang w:val="de-DE"/>
        </w:rPr>
      </w:pPr>
    </w:p>
    <w:p w14:paraId="2B7475AD" w14:textId="27DD938A" w:rsidR="001B64F8" w:rsidRPr="004676F5" w:rsidRDefault="001B64F8" w:rsidP="001B64F8">
      <w:pPr>
        <w:jc w:val="both"/>
        <w:rPr>
          <w:lang w:val="de-DE"/>
        </w:rPr>
      </w:pPr>
      <w:r w:rsidRPr="004676F5">
        <w:rPr>
          <w:lang w:val="de-DE"/>
        </w:rPr>
        <w:tab/>
        <w:t>§ 4 </w:t>
      </w:r>
      <w:r w:rsidR="005B7A5C" w:rsidRPr="004676F5">
        <w:rPr>
          <w:lang w:val="de-DE"/>
        </w:rPr>
        <w:t>- </w:t>
      </w:r>
      <w:r w:rsidRPr="004676F5">
        <w:rPr>
          <w:lang w:val="de-DE"/>
        </w:rPr>
        <w:t>Die Bestimmungen der Paragraphen 1 bis 3 sind verbindlich.]</w:t>
      </w:r>
    </w:p>
    <w:p w14:paraId="355E61DE" w14:textId="77777777" w:rsidR="001B64F8" w:rsidRPr="004676F5" w:rsidRDefault="001B64F8" w:rsidP="001B64F8">
      <w:pPr>
        <w:jc w:val="both"/>
        <w:rPr>
          <w:lang w:val="de-DE"/>
        </w:rPr>
      </w:pPr>
    </w:p>
    <w:p w14:paraId="4921E954" w14:textId="3CAC2DA2" w:rsidR="001B64F8" w:rsidRPr="004676F5" w:rsidRDefault="001B64F8" w:rsidP="001B64F8">
      <w:pPr>
        <w:jc w:val="both"/>
        <w:rPr>
          <w:i/>
          <w:iCs/>
          <w:lang w:val="de-DE"/>
        </w:rPr>
      </w:pPr>
      <w:r w:rsidRPr="004676F5">
        <w:rPr>
          <w:i/>
          <w:iCs/>
          <w:lang w:val="de-DE"/>
        </w:rPr>
        <w:t>[Art. XI.228/11 eingefügt durch Art. 62 des G. vom 19. Juni 2022 (B.S. vom 1. August 2022)</w:t>
      </w:r>
      <w:r w:rsidR="00070CA0" w:rsidRPr="004676F5">
        <w:rPr>
          <w:i/>
          <w:iCs/>
          <w:lang w:val="de-DE"/>
        </w:rPr>
        <w:t>; § 1 ersetzt durch Art. 39 des G. vom 9. Februar 2024 (B.S. vom 21. März 2024)</w:t>
      </w:r>
      <w:r w:rsidRPr="004676F5">
        <w:rPr>
          <w:i/>
          <w:iCs/>
          <w:lang w:val="de-DE"/>
        </w:rPr>
        <w:t>]</w:t>
      </w:r>
    </w:p>
    <w:p w14:paraId="44A757A1" w14:textId="77777777" w:rsidR="001B64F8" w:rsidRPr="004676F5" w:rsidRDefault="001B64F8" w:rsidP="001B64F8">
      <w:pPr>
        <w:jc w:val="both"/>
        <w:rPr>
          <w:lang w:val="de-DE"/>
        </w:rPr>
      </w:pPr>
    </w:p>
    <w:p w14:paraId="385C7DF2" w14:textId="77777777" w:rsidR="001B64F8" w:rsidRPr="004676F5" w:rsidRDefault="001B64F8" w:rsidP="001B64F8">
      <w:pPr>
        <w:jc w:val="both"/>
        <w:rPr>
          <w:lang w:val="de-DE"/>
        </w:rPr>
      </w:pPr>
    </w:p>
    <w:p w14:paraId="190BC18A" w14:textId="77777777" w:rsidR="001B64F8" w:rsidRPr="004676F5" w:rsidRDefault="001B64F8" w:rsidP="0064210C">
      <w:pPr>
        <w:jc w:val="both"/>
        <w:rPr>
          <w:lang w:val="de-DE"/>
        </w:rPr>
      </w:pPr>
    </w:p>
    <w:p w14:paraId="34962458" w14:textId="77777777" w:rsidR="00BC359C" w:rsidRPr="004676F5" w:rsidRDefault="00BC359C" w:rsidP="00BC359C">
      <w:pPr>
        <w:jc w:val="center"/>
        <w:rPr>
          <w:lang w:val="de-DE"/>
        </w:rPr>
      </w:pPr>
    </w:p>
    <w:p w14:paraId="173D3986" w14:textId="4416AA75" w:rsidR="00355502" w:rsidRPr="004676F5" w:rsidRDefault="00355502" w:rsidP="00BC359C">
      <w:pPr>
        <w:jc w:val="center"/>
        <w:rPr>
          <w:lang w:val="de-DE"/>
        </w:rPr>
      </w:pPr>
      <w:r w:rsidRPr="004676F5">
        <w:rPr>
          <w:lang w:val="de-DE"/>
        </w:rPr>
        <w:br w:type="page"/>
      </w:r>
    </w:p>
    <w:p w14:paraId="22D49283" w14:textId="7E0C6D98" w:rsidR="001527B1" w:rsidRPr="004676F5" w:rsidRDefault="001527B1" w:rsidP="001527B1">
      <w:pPr>
        <w:jc w:val="center"/>
        <w:rPr>
          <w:i/>
          <w:lang w:val="de-DE"/>
        </w:rPr>
      </w:pPr>
      <w:r w:rsidRPr="004676F5">
        <w:rPr>
          <w:lang w:val="de-DE"/>
        </w:rPr>
        <w:lastRenderedPageBreak/>
        <w:t>KAPITEL 5 </w:t>
      </w:r>
      <w:r w:rsidR="005B7A5C" w:rsidRPr="004676F5">
        <w:rPr>
          <w:lang w:val="de-DE"/>
        </w:rPr>
        <w:t>- </w:t>
      </w:r>
      <w:r w:rsidR="003366FD" w:rsidRPr="004676F5">
        <w:rPr>
          <w:lang w:val="de-DE"/>
        </w:rPr>
        <w:t>[</w:t>
      </w:r>
      <w:r w:rsidR="003366FD" w:rsidRPr="004676F5">
        <w:rPr>
          <w:i/>
          <w:lang w:val="de-DE"/>
        </w:rPr>
        <w:t>Vergütung für Privatvervielfältigungen von Werken und Leistungen</w:t>
      </w:r>
      <w:r w:rsidR="003366FD" w:rsidRPr="004676F5">
        <w:rPr>
          <w:lang w:val="de-DE"/>
        </w:rPr>
        <w:t>]</w:t>
      </w:r>
    </w:p>
    <w:p w14:paraId="50057458" w14:textId="77777777" w:rsidR="001527B1" w:rsidRPr="004676F5" w:rsidRDefault="001527B1" w:rsidP="001527B1">
      <w:pPr>
        <w:ind w:firstLine="708"/>
        <w:jc w:val="both"/>
        <w:rPr>
          <w:lang w:val="de-DE"/>
        </w:rPr>
      </w:pPr>
    </w:p>
    <w:p w14:paraId="7C4D3C1E" w14:textId="66BB6D33" w:rsidR="00355502" w:rsidRPr="004676F5" w:rsidRDefault="003366FD" w:rsidP="003366FD">
      <w:pPr>
        <w:jc w:val="both"/>
        <w:rPr>
          <w:i/>
          <w:lang w:val="de-DE"/>
        </w:rPr>
      </w:pPr>
      <w:r w:rsidRPr="004676F5">
        <w:rPr>
          <w:i/>
          <w:lang w:val="de-DE"/>
        </w:rPr>
        <w:t xml:space="preserve">[Überschrift von Kapitel 5 ersetzt durch </w:t>
      </w:r>
      <w:r w:rsidR="00BE0A56" w:rsidRPr="004676F5">
        <w:rPr>
          <w:i/>
          <w:lang w:val="de-DE"/>
        </w:rPr>
        <w:t>Art. </w:t>
      </w:r>
      <w:r w:rsidRPr="004676F5">
        <w:rPr>
          <w:i/>
          <w:lang w:val="de-DE"/>
        </w:rPr>
        <w:t>22 des G. vom 22. Dezember 2016 (B.S. vom 29. Dezember 2016)]</w:t>
      </w:r>
    </w:p>
    <w:p w14:paraId="3A08372C" w14:textId="77777777" w:rsidR="003366FD" w:rsidRPr="004676F5" w:rsidRDefault="003366FD" w:rsidP="003366FD">
      <w:pPr>
        <w:jc w:val="both"/>
        <w:rPr>
          <w:i/>
          <w:lang w:val="de-DE"/>
        </w:rPr>
      </w:pPr>
    </w:p>
    <w:p w14:paraId="68395897" w14:textId="77777777" w:rsidR="003366FD" w:rsidRPr="004676F5" w:rsidRDefault="003366FD" w:rsidP="003366FD">
      <w:pPr>
        <w:jc w:val="both"/>
        <w:rPr>
          <w:i/>
          <w:lang w:val="de-DE"/>
        </w:rPr>
      </w:pPr>
    </w:p>
    <w:p w14:paraId="7B088F3D" w14:textId="3CD86CE1" w:rsidR="001527B1" w:rsidRPr="004676F5" w:rsidRDefault="00BE0A56" w:rsidP="001527B1">
      <w:pPr>
        <w:ind w:firstLine="708"/>
        <w:jc w:val="both"/>
        <w:rPr>
          <w:lang w:val="de-DE"/>
        </w:rPr>
      </w:pPr>
      <w:r w:rsidRPr="004676F5">
        <w:rPr>
          <w:b/>
          <w:lang w:val="de-DE"/>
        </w:rPr>
        <w:t>Art. </w:t>
      </w:r>
      <w:r w:rsidR="001527B1" w:rsidRPr="004676F5">
        <w:rPr>
          <w:b/>
          <w:lang w:val="de-DE"/>
        </w:rPr>
        <w:t>XI.229</w:t>
      </w:r>
      <w:r w:rsidR="001527B1" w:rsidRPr="004676F5">
        <w:rPr>
          <w:lang w:val="de-DE"/>
        </w:rPr>
        <w:t> </w:t>
      </w:r>
      <w:r w:rsidR="005B7A5C" w:rsidRPr="004676F5">
        <w:rPr>
          <w:lang w:val="de-DE"/>
        </w:rPr>
        <w:t>- </w:t>
      </w:r>
      <w:r w:rsidR="009063B6" w:rsidRPr="004676F5">
        <w:rPr>
          <w:lang w:val="de-DE"/>
        </w:rPr>
        <w:t>[Urheber, ausübende Künstler, Produzenten von Tonträgern und Produzenten von audiovisuellen Werken haben Anspruch auf eine Vergütung für die Vervielfältigung zu privaten Zwecken ihrer Werke und Leistungen, wenn diese Vervielfältigung unter den in den Artikeln XI.190 Nr. 9 und 17 und XI.217 Nr. 7 und 16 erwähnten Bedingungen erfolgt.]</w:t>
      </w:r>
    </w:p>
    <w:p w14:paraId="126C1711" w14:textId="77777777" w:rsidR="001527B1" w:rsidRPr="004676F5" w:rsidRDefault="001527B1" w:rsidP="001527B1">
      <w:pPr>
        <w:ind w:firstLine="708"/>
        <w:jc w:val="both"/>
        <w:rPr>
          <w:lang w:val="de-DE"/>
        </w:rPr>
      </w:pPr>
    </w:p>
    <w:p w14:paraId="57BD9D0C" w14:textId="77777777" w:rsidR="001527B1" w:rsidRPr="004676F5" w:rsidRDefault="001527B1" w:rsidP="001527B1">
      <w:pPr>
        <w:ind w:firstLine="708"/>
        <w:jc w:val="both"/>
        <w:rPr>
          <w:lang w:val="de-DE"/>
        </w:rPr>
      </w:pPr>
      <w:r w:rsidRPr="004676F5">
        <w:rPr>
          <w:lang w:val="de-DE"/>
        </w:rPr>
        <w:t xml:space="preserve">Die Vergütung wird vom Hersteller, Importeur oder innergemeinschaftlichen Abnehmer von Trägern, die offensichtlich für die Vervielfältigung zu privaten Zwecken von Werken und Leistungen </w:t>
      </w:r>
      <w:r w:rsidR="009063B6" w:rsidRPr="004676F5">
        <w:rPr>
          <w:lang w:val="de-DE"/>
        </w:rPr>
        <w:t>[...]</w:t>
      </w:r>
      <w:r w:rsidRPr="004676F5">
        <w:rPr>
          <w:lang w:val="de-DE"/>
        </w:rPr>
        <w:t xml:space="preserve"> benutzt werden, oder von Geräten, mit denen die Vervielfältigung offensichtlich vorgenommen wird, zu dem Zeitpunkt, zu dem diese Träger und Geräte auf nationalem Staatsgebiet in den Handel gebracht werden, entrichtet.</w:t>
      </w:r>
    </w:p>
    <w:p w14:paraId="203EC634" w14:textId="77777777" w:rsidR="001527B1" w:rsidRPr="004676F5" w:rsidRDefault="001527B1" w:rsidP="001527B1">
      <w:pPr>
        <w:ind w:firstLine="708"/>
        <w:jc w:val="both"/>
        <w:rPr>
          <w:lang w:val="de-DE"/>
        </w:rPr>
      </w:pPr>
    </w:p>
    <w:p w14:paraId="23468180" w14:textId="77777777" w:rsidR="001527B1" w:rsidRPr="004676F5" w:rsidRDefault="001527B1" w:rsidP="001527B1">
      <w:pPr>
        <w:ind w:firstLine="708"/>
        <w:jc w:val="both"/>
        <w:rPr>
          <w:lang w:val="de-DE"/>
        </w:rPr>
      </w:pPr>
      <w:r w:rsidRPr="004676F5">
        <w:rPr>
          <w:lang w:val="de-DE"/>
        </w:rPr>
        <w:t xml:space="preserve">Gemäß den in Artikel XI.232 vorgesehenen Modalitäten bestimmt der König, welche Geräte und Träger offensichtlich für die Vervielfältigung zu privaten Zwecken von Werken und Leistungen </w:t>
      </w:r>
      <w:r w:rsidR="009063B6" w:rsidRPr="004676F5">
        <w:rPr>
          <w:lang w:val="de-DE"/>
        </w:rPr>
        <w:t>[...]</w:t>
      </w:r>
      <w:r w:rsidRPr="004676F5">
        <w:rPr>
          <w:lang w:val="de-DE"/>
        </w:rPr>
        <w:t xml:space="preserve"> benutzt werden.</w:t>
      </w:r>
    </w:p>
    <w:p w14:paraId="62E2BF59" w14:textId="77777777" w:rsidR="001527B1" w:rsidRPr="004676F5" w:rsidRDefault="001527B1" w:rsidP="001527B1">
      <w:pPr>
        <w:ind w:firstLine="708"/>
        <w:jc w:val="both"/>
        <w:rPr>
          <w:lang w:val="de-DE"/>
        </w:rPr>
      </w:pPr>
    </w:p>
    <w:p w14:paraId="2FD3ADD9" w14:textId="77777777" w:rsidR="001527B1" w:rsidRPr="004676F5" w:rsidRDefault="001527B1" w:rsidP="001527B1">
      <w:pPr>
        <w:ind w:firstLine="708"/>
        <w:jc w:val="both"/>
        <w:rPr>
          <w:lang w:val="de-DE"/>
        </w:rPr>
      </w:pPr>
      <w:r w:rsidRPr="004676F5">
        <w:rPr>
          <w:lang w:val="de-DE"/>
        </w:rPr>
        <w:t xml:space="preserve">Unbeschadet internationaler Übereinkommen verteilen die </w:t>
      </w:r>
      <w:r w:rsidR="001D7C66" w:rsidRPr="004676F5">
        <w:rPr>
          <w:lang w:val="de-DE"/>
        </w:rPr>
        <w:t>[Verwer</w:t>
      </w:r>
      <w:r w:rsidR="001D7C66" w:rsidRPr="004676F5">
        <w:rPr>
          <w:lang w:val="de-DE"/>
        </w:rPr>
        <w:softHyphen/>
        <w:t xml:space="preserve">tungsgesellschaften und/oder Organisationen für die kollektive Rechtewahrnehmung, die in Belgien die in Absatz 1 erwähnte Vergütung verwalten,] </w:t>
      </w:r>
      <w:r w:rsidRPr="004676F5">
        <w:rPr>
          <w:lang w:val="de-DE"/>
        </w:rPr>
        <w:t>die Vergütung gemäß Artikel XI.234 unter Urheber, ausübende Künstler</w:t>
      </w:r>
      <w:r w:rsidR="009063B6" w:rsidRPr="004676F5">
        <w:rPr>
          <w:lang w:val="de-DE"/>
        </w:rPr>
        <w:t xml:space="preserve"> [...]</w:t>
      </w:r>
      <w:r w:rsidRPr="004676F5">
        <w:rPr>
          <w:lang w:val="de-DE"/>
        </w:rPr>
        <w:t xml:space="preserve"> und Produzenten.</w:t>
      </w:r>
    </w:p>
    <w:p w14:paraId="66C1229D" w14:textId="77777777" w:rsidR="001527B1" w:rsidRPr="004676F5" w:rsidRDefault="001527B1" w:rsidP="001527B1">
      <w:pPr>
        <w:ind w:firstLine="708"/>
        <w:jc w:val="both"/>
        <w:rPr>
          <w:lang w:val="de-DE"/>
        </w:rPr>
      </w:pPr>
    </w:p>
    <w:p w14:paraId="1A59D780" w14:textId="77777777" w:rsidR="001527B1" w:rsidRPr="004676F5" w:rsidRDefault="001527B1" w:rsidP="001527B1">
      <w:pPr>
        <w:ind w:firstLine="708"/>
        <w:jc w:val="both"/>
        <w:rPr>
          <w:lang w:val="de-DE"/>
        </w:rPr>
      </w:pPr>
      <w:r w:rsidRPr="004676F5">
        <w:rPr>
          <w:lang w:val="de-DE"/>
        </w:rPr>
        <w:t xml:space="preserve">Der König beauftragt gemäß den von Ihm festgelegten Bedingungen und Modalitäten </w:t>
      </w:r>
      <w:r w:rsidR="001D7C66" w:rsidRPr="004676F5">
        <w:rPr>
          <w:lang w:val="de-DE"/>
        </w:rPr>
        <w:t>[eine Verwertungsgesellschaft, die alle Verwertungsgesellschaften und Organisationen für die kollektive Rechtewahrnehmung vertritt, die in Belgien die in Absatz 1 erwähnte Vergütung verwalten]</w:t>
      </w:r>
      <w:r w:rsidRPr="004676F5">
        <w:rPr>
          <w:lang w:val="de-DE"/>
        </w:rPr>
        <w:t>, mit Einnahme und Verteilung der Vergütung.</w:t>
      </w:r>
    </w:p>
    <w:p w14:paraId="03AD03A6" w14:textId="77777777" w:rsidR="001527B1" w:rsidRPr="004676F5" w:rsidRDefault="001527B1" w:rsidP="001527B1">
      <w:pPr>
        <w:ind w:firstLine="708"/>
        <w:jc w:val="both"/>
        <w:rPr>
          <w:lang w:val="de-DE"/>
        </w:rPr>
      </w:pPr>
    </w:p>
    <w:p w14:paraId="1F71A8FC" w14:textId="77777777" w:rsidR="001527B1" w:rsidRPr="004676F5" w:rsidRDefault="001527B1" w:rsidP="001527B1">
      <w:pPr>
        <w:ind w:firstLine="708"/>
        <w:jc w:val="both"/>
        <w:rPr>
          <w:lang w:val="de-DE"/>
        </w:rPr>
      </w:pPr>
      <w:r w:rsidRPr="004676F5">
        <w:rPr>
          <w:lang w:val="de-DE"/>
        </w:rPr>
        <w:t>Hat ein Urheber oder ausübender Künstler seinen Anspruch auf Vergütung abgetreten, behält er Anspruch auf eine angemessene Vergütung für Privatkopien.</w:t>
      </w:r>
    </w:p>
    <w:p w14:paraId="666C8F6E" w14:textId="77777777" w:rsidR="001527B1" w:rsidRPr="004676F5" w:rsidRDefault="001527B1" w:rsidP="009063B6">
      <w:pPr>
        <w:jc w:val="both"/>
        <w:rPr>
          <w:lang w:val="de-DE"/>
        </w:rPr>
      </w:pPr>
    </w:p>
    <w:p w14:paraId="6DC75E87" w14:textId="6301C30D" w:rsidR="009063B6" w:rsidRPr="004676F5" w:rsidRDefault="009063B6" w:rsidP="009063B6">
      <w:pPr>
        <w:jc w:val="both"/>
        <w:rPr>
          <w:i/>
          <w:lang w:val="de-DE"/>
        </w:rPr>
      </w:pPr>
      <w:r w:rsidRPr="004676F5">
        <w:rPr>
          <w:i/>
          <w:lang w:val="de-DE"/>
        </w:rPr>
        <w:t>[</w:t>
      </w:r>
      <w:r w:rsidR="00BE0A56" w:rsidRPr="004676F5">
        <w:rPr>
          <w:i/>
          <w:lang w:val="de-DE"/>
        </w:rPr>
        <w:t>Art. </w:t>
      </w:r>
      <w:r w:rsidRPr="004676F5">
        <w:rPr>
          <w:i/>
          <w:lang w:val="de-DE"/>
        </w:rPr>
        <w:t xml:space="preserve">XI.229 Abs. 1 ersetzt durch </w:t>
      </w:r>
      <w:r w:rsidR="00BE0A56" w:rsidRPr="004676F5">
        <w:rPr>
          <w:i/>
          <w:lang w:val="de-DE"/>
        </w:rPr>
        <w:t>Art. </w:t>
      </w:r>
      <w:r w:rsidRPr="004676F5">
        <w:rPr>
          <w:i/>
          <w:lang w:val="de-DE"/>
        </w:rPr>
        <w:t xml:space="preserve">23 Nr. 1 des G. vom 22. Dezember 2016 (B.S. vom 29. Dezember 2016); Abs. 2 abgeändert durch </w:t>
      </w:r>
      <w:r w:rsidR="00BE0A56" w:rsidRPr="004676F5">
        <w:rPr>
          <w:i/>
          <w:lang w:val="de-DE"/>
        </w:rPr>
        <w:t>Art. </w:t>
      </w:r>
      <w:r w:rsidRPr="004676F5">
        <w:rPr>
          <w:i/>
          <w:lang w:val="de-DE"/>
        </w:rPr>
        <w:t xml:space="preserve">23 Nr. 2 des G. vom 22. Dezember 2016 (B.S. vom 29. Dezember 2016); Abs. 3 abgeändert durch </w:t>
      </w:r>
      <w:r w:rsidR="00BE0A56" w:rsidRPr="004676F5">
        <w:rPr>
          <w:i/>
          <w:lang w:val="de-DE"/>
        </w:rPr>
        <w:t>Art. </w:t>
      </w:r>
      <w:r w:rsidRPr="004676F5">
        <w:rPr>
          <w:i/>
          <w:lang w:val="de-DE"/>
        </w:rPr>
        <w:t xml:space="preserve">23 Nr. 3 des G. vom 22. Dezember 2016 (B.S. vom 29. Dezember 2016); Abs. 4 abgeändert durch </w:t>
      </w:r>
      <w:r w:rsidR="00BE0A56" w:rsidRPr="004676F5">
        <w:rPr>
          <w:i/>
          <w:lang w:val="de-DE"/>
        </w:rPr>
        <w:t>Art. </w:t>
      </w:r>
      <w:r w:rsidRPr="004676F5">
        <w:rPr>
          <w:i/>
          <w:lang w:val="de-DE"/>
        </w:rPr>
        <w:t>23 Nr. 4 des G. vom 22. Dezember 2016 (B.S. vom 29. Dezember 2016)</w:t>
      </w:r>
      <w:r w:rsidR="001D7C66" w:rsidRPr="004676F5">
        <w:rPr>
          <w:i/>
          <w:lang w:val="de-DE"/>
        </w:rPr>
        <w:t xml:space="preserve"> und </w:t>
      </w:r>
      <w:r w:rsidR="00BE0A56" w:rsidRPr="004676F5">
        <w:rPr>
          <w:i/>
          <w:lang w:val="de-DE"/>
        </w:rPr>
        <w:t>Art. </w:t>
      </w:r>
      <w:r w:rsidR="001D7C66" w:rsidRPr="004676F5">
        <w:rPr>
          <w:i/>
          <w:lang w:val="de-DE"/>
        </w:rPr>
        <w:t xml:space="preserve">10 Nr. 1 des G. vom 8. Juni 2017 (B.S. vom 27. Juni 2017); Abs. 5 abgeändert durch </w:t>
      </w:r>
      <w:r w:rsidR="00BE0A56" w:rsidRPr="004676F5">
        <w:rPr>
          <w:i/>
          <w:lang w:val="de-DE"/>
        </w:rPr>
        <w:t>Art. </w:t>
      </w:r>
      <w:r w:rsidR="001D7C66" w:rsidRPr="004676F5">
        <w:rPr>
          <w:i/>
          <w:lang w:val="de-DE"/>
        </w:rPr>
        <w:t>10 Nr. 2 des G. vom 8. Juni 2017 (B.S. vom 27. Juni 2017)</w:t>
      </w:r>
      <w:r w:rsidRPr="004676F5">
        <w:rPr>
          <w:i/>
          <w:lang w:val="de-DE"/>
        </w:rPr>
        <w:t>]</w:t>
      </w:r>
    </w:p>
    <w:p w14:paraId="14824CA5" w14:textId="77777777" w:rsidR="009063B6" w:rsidRPr="004676F5" w:rsidRDefault="009063B6" w:rsidP="009063B6">
      <w:pPr>
        <w:jc w:val="both"/>
        <w:rPr>
          <w:i/>
          <w:lang w:val="de-DE"/>
        </w:rPr>
      </w:pPr>
    </w:p>
    <w:p w14:paraId="65C3031F" w14:textId="77777777" w:rsidR="00355502" w:rsidRPr="004676F5" w:rsidRDefault="00355502" w:rsidP="001527B1">
      <w:pPr>
        <w:ind w:firstLine="708"/>
        <w:jc w:val="both"/>
        <w:rPr>
          <w:lang w:val="de-DE"/>
        </w:rPr>
      </w:pPr>
    </w:p>
    <w:p w14:paraId="055BAA69" w14:textId="068A14F3" w:rsidR="001527B1" w:rsidRPr="004676F5" w:rsidRDefault="00BE0A56" w:rsidP="001527B1">
      <w:pPr>
        <w:ind w:firstLine="708"/>
        <w:jc w:val="both"/>
        <w:rPr>
          <w:lang w:val="de-DE"/>
        </w:rPr>
      </w:pPr>
      <w:r w:rsidRPr="004676F5">
        <w:rPr>
          <w:b/>
          <w:lang w:val="de-DE"/>
        </w:rPr>
        <w:t>Art. </w:t>
      </w:r>
      <w:r w:rsidR="001527B1" w:rsidRPr="004676F5">
        <w:rPr>
          <w:b/>
          <w:lang w:val="de-DE"/>
        </w:rPr>
        <w:t>XI.230</w:t>
      </w:r>
      <w:r w:rsidR="001527B1" w:rsidRPr="004676F5">
        <w:rPr>
          <w:lang w:val="de-DE"/>
        </w:rPr>
        <w:t> </w:t>
      </w:r>
      <w:r w:rsidR="005B7A5C" w:rsidRPr="004676F5">
        <w:rPr>
          <w:lang w:val="de-DE"/>
        </w:rPr>
        <w:t>- </w:t>
      </w:r>
      <w:r w:rsidR="001527B1" w:rsidRPr="004676F5">
        <w:rPr>
          <w:lang w:val="de-DE"/>
        </w:rPr>
        <w:t>Die vom König im Rahmen des vorliegenden Kapitels bestimmte Verwertungsgesellschaft kann Auskünfte, die zur Ausführung ihres Auftrags gemäß den Artikel XI.281 und XV.113 erforderlich sind, erhalten bei:</w:t>
      </w:r>
    </w:p>
    <w:p w14:paraId="28A53212" w14:textId="77777777" w:rsidR="001527B1" w:rsidRPr="004676F5" w:rsidRDefault="001527B1" w:rsidP="001527B1">
      <w:pPr>
        <w:ind w:firstLine="708"/>
        <w:jc w:val="both"/>
        <w:rPr>
          <w:lang w:val="de-DE"/>
        </w:rPr>
      </w:pPr>
    </w:p>
    <w:p w14:paraId="647EB1A8" w14:textId="48A7E55D" w:rsidR="001527B1" w:rsidRPr="004676F5" w:rsidRDefault="005B7A5C" w:rsidP="001527B1">
      <w:pPr>
        <w:ind w:firstLine="708"/>
        <w:jc w:val="both"/>
        <w:rPr>
          <w:lang w:val="de-DE"/>
        </w:rPr>
      </w:pPr>
      <w:r w:rsidRPr="004676F5">
        <w:rPr>
          <w:lang w:val="de-DE"/>
        </w:rPr>
        <w:t>- </w:t>
      </w:r>
      <w:r w:rsidR="001527B1" w:rsidRPr="004676F5">
        <w:rPr>
          <w:lang w:val="de-DE"/>
        </w:rPr>
        <w:t>der Zoll</w:t>
      </w:r>
      <w:r w:rsidRPr="004676F5">
        <w:rPr>
          <w:lang w:val="de-DE"/>
        </w:rPr>
        <w:t>- </w:t>
      </w:r>
      <w:r w:rsidR="001527B1" w:rsidRPr="004676F5">
        <w:rPr>
          <w:lang w:val="de-DE"/>
        </w:rPr>
        <w:t>und Akzisenverwaltung in Anwendung von Artikel 320 des allgemeinen Gesetzes vom 18. Juli 1977 über Zölle und Akzisen, ersetzt durch das Gesetz vom 27. Dezember 1993,</w:t>
      </w:r>
    </w:p>
    <w:p w14:paraId="6B72610E" w14:textId="77777777" w:rsidR="001527B1" w:rsidRPr="004676F5" w:rsidRDefault="001527B1" w:rsidP="001527B1">
      <w:pPr>
        <w:ind w:firstLine="708"/>
        <w:jc w:val="both"/>
        <w:rPr>
          <w:lang w:val="de-DE"/>
        </w:rPr>
      </w:pPr>
    </w:p>
    <w:p w14:paraId="1E024CED" w14:textId="4ADE43AC" w:rsidR="001527B1" w:rsidRPr="004676F5" w:rsidRDefault="005B7A5C" w:rsidP="001527B1">
      <w:pPr>
        <w:ind w:firstLine="708"/>
        <w:jc w:val="both"/>
        <w:rPr>
          <w:lang w:val="de-DE"/>
        </w:rPr>
      </w:pPr>
      <w:r w:rsidRPr="004676F5">
        <w:rPr>
          <w:lang w:val="de-DE"/>
        </w:rPr>
        <w:lastRenderedPageBreak/>
        <w:t>- </w:t>
      </w:r>
      <w:r w:rsidR="001527B1" w:rsidRPr="004676F5">
        <w:rPr>
          <w:lang w:val="de-DE"/>
        </w:rPr>
        <w:t>der Mehrwertsteuerverwaltung in Anwendung von Artikel 93</w:t>
      </w:r>
      <w:r w:rsidR="001527B1" w:rsidRPr="004676F5">
        <w:rPr>
          <w:i/>
          <w:lang w:val="de-DE"/>
        </w:rPr>
        <w:t>bis</w:t>
      </w:r>
      <w:r w:rsidR="001527B1" w:rsidRPr="004676F5">
        <w:rPr>
          <w:lang w:val="de-DE"/>
        </w:rPr>
        <w:t xml:space="preserve"> des Mehrwert</w:t>
      </w:r>
      <w:r w:rsidR="001527B1" w:rsidRPr="004676F5">
        <w:rPr>
          <w:lang w:val="de-DE"/>
        </w:rPr>
        <w:softHyphen/>
        <w:t>steuer</w:t>
      </w:r>
      <w:r w:rsidR="001527B1" w:rsidRPr="004676F5">
        <w:rPr>
          <w:lang w:val="de-DE"/>
        </w:rPr>
        <w:softHyphen/>
        <w:t>gesetz</w:t>
      </w:r>
      <w:r w:rsidR="001527B1" w:rsidRPr="004676F5">
        <w:rPr>
          <w:lang w:val="de-DE"/>
        </w:rPr>
        <w:softHyphen/>
        <w:t>buches vom 3. Juli 1969</w:t>
      </w:r>
    </w:p>
    <w:p w14:paraId="594DD6DE" w14:textId="77777777" w:rsidR="001527B1" w:rsidRPr="004676F5" w:rsidRDefault="001527B1" w:rsidP="001527B1">
      <w:pPr>
        <w:ind w:firstLine="708"/>
        <w:jc w:val="both"/>
        <w:rPr>
          <w:lang w:val="de-DE"/>
        </w:rPr>
      </w:pPr>
    </w:p>
    <w:p w14:paraId="1A38FA63" w14:textId="128469B0" w:rsidR="001527B1" w:rsidRPr="004676F5" w:rsidRDefault="005B7A5C" w:rsidP="001527B1">
      <w:pPr>
        <w:ind w:firstLine="708"/>
        <w:jc w:val="both"/>
        <w:rPr>
          <w:lang w:val="de-DE"/>
        </w:rPr>
      </w:pPr>
      <w:r w:rsidRPr="004676F5">
        <w:rPr>
          <w:lang w:val="de-DE"/>
        </w:rPr>
        <w:t>- </w:t>
      </w:r>
      <w:r w:rsidR="001527B1" w:rsidRPr="004676F5">
        <w:rPr>
          <w:lang w:val="de-DE"/>
        </w:rPr>
        <w:t>und dem Landesamt für soziale Sicherheit gemäß dem Gesetz vom 15. Januar 1990 über die Errichtung und Organisation einer Zentralen Datenbank der sozialen Sicherheit.</w:t>
      </w:r>
    </w:p>
    <w:p w14:paraId="16EA657C" w14:textId="77777777" w:rsidR="001527B1" w:rsidRPr="004676F5" w:rsidRDefault="001527B1" w:rsidP="001527B1">
      <w:pPr>
        <w:ind w:firstLine="708"/>
        <w:jc w:val="both"/>
        <w:rPr>
          <w:lang w:val="de-DE"/>
        </w:rPr>
      </w:pPr>
    </w:p>
    <w:p w14:paraId="3943FE65" w14:textId="77777777" w:rsidR="00355502" w:rsidRPr="004676F5" w:rsidRDefault="00355502" w:rsidP="001527B1">
      <w:pPr>
        <w:ind w:firstLine="708"/>
        <w:jc w:val="both"/>
        <w:rPr>
          <w:lang w:val="de-DE"/>
        </w:rPr>
      </w:pPr>
    </w:p>
    <w:p w14:paraId="008332F3" w14:textId="79888EFF" w:rsidR="001527B1" w:rsidRPr="004676F5" w:rsidRDefault="00BE0A56" w:rsidP="001527B1">
      <w:pPr>
        <w:ind w:firstLine="708"/>
        <w:jc w:val="both"/>
        <w:rPr>
          <w:lang w:val="de-DE"/>
        </w:rPr>
      </w:pPr>
      <w:r w:rsidRPr="004676F5">
        <w:rPr>
          <w:b/>
          <w:lang w:val="de-DE"/>
        </w:rPr>
        <w:t>Art. </w:t>
      </w:r>
      <w:r w:rsidR="001527B1" w:rsidRPr="004676F5">
        <w:rPr>
          <w:b/>
          <w:lang w:val="de-DE"/>
        </w:rPr>
        <w:t>XI.231</w:t>
      </w:r>
      <w:r w:rsidR="001527B1" w:rsidRPr="004676F5">
        <w:rPr>
          <w:lang w:val="de-DE"/>
        </w:rPr>
        <w:t> </w:t>
      </w:r>
      <w:r w:rsidR="005B7A5C" w:rsidRPr="004676F5">
        <w:rPr>
          <w:lang w:val="de-DE"/>
        </w:rPr>
        <w:t>- </w:t>
      </w:r>
      <w:r w:rsidR="001527B1" w:rsidRPr="004676F5">
        <w:rPr>
          <w:lang w:val="de-DE"/>
        </w:rPr>
        <w:t>Unbeschadet der Artikel XI.281 und XV.113 kann die bestimmte Verwertungsgesellschaft der Zoll</w:t>
      </w:r>
      <w:r w:rsidR="005B7A5C" w:rsidRPr="004676F5">
        <w:rPr>
          <w:lang w:val="de-DE"/>
        </w:rPr>
        <w:t>- </w:t>
      </w:r>
      <w:r w:rsidR="001527B1" w:rsidRPr="004676F5">
        <w:rPr>
          <w:lang w:val="de-DE"/>
        </w:rPr>
        <w:t>und Akzisenverwaltung und der Mehrwertsteuerverwaltung auf deren Antrag hin Auskünfte erteilen.</w:t>
      </w:r>
    </w:p>
    <w:p w14:paraId="444647FA" w14:textId="77777777" w:rsidR="001527B1" w:rsidRPr="004676F5" w:rsidRDefault="001527B1" w:rsidP="001527B1">
      <w:pPr>
        <w:ind w:firstLine="708"/>
        <w:jc w:val="both"/>
        <w:rPr>
          <w:lang w:val="de-DE"/>
        </w:rPr>
      </w:pPr>
    </w:p>
    <w:p w14:paraId="57442866" w14:textId="77777777" w:rsidR="001527B1" w:rsidRPr="004676F5" w:rsidRDefault="001527B1" w:rsidP="001527B1">
      <w:pPr>
        <w:ind w:firstLine="708"/>
        <w:jc w:val="both"/>
        <w:rPr>
          <w:lang w:val="de-DE"/>
        </w:rPr>
      </w:pPr>
      <w:r w:rsidRPr="004676F5">
        <w:rPr>
          <w:lang w:val="de-DE"/>
        </w:rPr>
        <w:t>Unbeschadet der Artikel XI.281 und XV.113 kann die bestimmte Verwertungs</w:t>
      </w:r>
      <w:r w:rsidRPr="004676F5">
        <w:rPr>
          <w:lang w:val="de-DE"/>
        </w:rPr>
        <w:softHyphen/>
        <w:t>gesellschaft folgenden Stellen Auskünfte erteilen und von ihnen erhalten:</w:t>
      </w:r>
    </w:p>
    <w:p w14:paraId="6CCEA98B" w14:textId="77777777" w:rsidR="001527B1" w:rsidRPr="004676F5" w:rsidRDefault="001527B1" w:rsidP="001527B1">
      <w:pPr>
        <w:ind w:firstLine="708"/>
        <w:jc w:val="both"/>
        <w:rPr>
          <w:lang w:val="de-DE"/>
        </w:rPr>
      </w:pPr>
    </w:p>
    <w:p w14:paraId="4F4B2731" w14:textId="42750CE9" w:rsidR="001527B1" w:rsidRPr="004676F5" w:rsidRDefault="005B7A5C" w:rsidP="001527B1">
      <w:pPr>
        <w:ind w:firstLine="708"/>
        <w:jc w:val="both"/>
        <w:rPr>
          <w:lang w:val="de-DE"/>
        </w:rPr>
      </w:pPr>
      <w:r w:rsidRPr="004676F5">
        <w:rPr>
          <w:lang w:val="de-DE"/>
        </w:rPr>
        <w:t>- </w:t>
      </w:r>
      <w:r w:rsidR="001527B1" w:rsidRPr="004676F5">
        <w:rPr>
          <w:lang w:val="de-DE"/>
        </w:rPr>
        <w:t>dem Dienst Überwachung und Vermittlung des FÖD Wirtschaft,</w:t>
      </w:r>
    </w:p>
    <w:p w14:paraId="112B59A5" w14:textId="77777777" w:rsidR="001527B1" w:rsidRPr="004676F5" w:rsidRDefault="001527B1" w:rsidP="001527B1">
      <w:pPr>
        <w:ind w:firstLine="708"/>
        <w:jc w:val="both"/>
        <w:rPr>
          <w:lang w:val="de-DE"/>
        </w:rPr>
      </w:pPr>
    </w:p>
    <w:p w14:paraId="471AD66C" w14:textId="1C180075" w:rsidR="001527B1" w:rsidRPr="004676F5" w:rsidRDefault="005B7A5C" w:rsidP="001527B1">
      <w:pPr>
        <w:ind w:firstLine="708"/>
        <w:jc w:val="both"/>
        <w:rPr>
          <w:lang w:val="de-DE"/>
        </w:rPr>
      </w:pPr>
      <w:r w:rsidRPr="004676F5">
        <w:rPr>
          <w:lang w:val="de-DE"/>
        </w:rPr>
        <w:t>- </w:t>
      </w:r>
      <w:r w:rsidR="001527B1" w:rsidRPr="004676F5">
        <w:rPr>
          <w:lang w:val="de-DE"/>
        </w:rPr>
        <w:t xml:space="preserve">den </w:t>
      </w:r>
      <w:r w:rsidR="001D7C66" w:rsidRPr="004676F5">
        <w:rPr>
          <w:lang w:val="de-DE"/>
        </w:rPr>
        <w:t>[Verwertungsgesellschaften und Organisationen für die kollektive Rechte</w:t>
      </w:r>
      <w:r w:rsidR="001D7C66" w:rsidRPr="004676F5">
        <w:rPr>
          <w:lang w:val="de-DE"/>
        </w:rPr>
        <w:softHyphen/>
        <w:t>wahr</w:t>
      </w:r>
      <w:r w:rsidR="001D7C66" w:rsidRPr="004676F5">
        <w:rPr>
          <w:lang w:val="de-DE"/>
        </w:rPr>
        <w:softHyphen/>
        <w:t>nehmung]</w:t>
      </w:r>
      <w:r w:rsidR="001527B1" w:rsidRPr="004676F5">
        <w:rPr>
          <w:lang w:val="de-DE"/>
        </w:rPr>
        <w:t>, die eine ähnliche Tätigkeit im Ausland ausüben, unter der Bedingung der Gegenseitigkeit.</w:t>
      </w:r>
    </w:p>
    <w:p w14:paraId="6BA0D203" w14:textId="77777777" w:rsidR="001527B1" w:rsidRPr="004676F5" w:rsidRDefault="001527B1" w:rsidP="001D7C66">
      <w:pPr>
        <w:jc w:val="both"/>
        <w:rPr>
          <w:lang w:val="de-DE"/>
        </w:rPr>
      </w:pPr>
    </w:p>
    <w:p w14:paraId="13A5A2B2" w14:textId="5C105D26" w:rsidR="001D7C66" w:rsidRPr="004676F5" w:rsidRDefault="001D7C66" w:rsidP="001D7C66">
      <w:pPr>
        <w:jc w:val="both"/>
        <w:rPr>
          <w:i/>
          <w:lang w:val="de-DE"/>
        </w:rPr>
      </w:pPr>
      <w:r w:rsidRPr="004676F5">
        <w:rPr>
          <w:i/>
          <w:lang w:val="de-DE"/>
        </w:rPr>
        <w:t>[</w:t>
      </w:r>
      <w:r w:rsidR="00BE0A56" w:rsidRPr="004676F5">
        <w:rPr>
          <w:i/>
          <w:lang w:val="de-DE"/>
        </w:rPr>
        <w:t>Art. </w:t>
      </w:r>
      <w:r w:rsidRPr="004676F5">
        <w:rPr>
          <w:i/>
          <w:lang w:val="de-DE"/>
        </w:rPr>
        <w:t xml:space="preserve">XI.231 Abs. 2 zweiter Gedankenstrich abgeändert durch </w:t>
      </w:r>
      <w:r w:rsidR="00BE0A56" w:rsidRPr="004676F5">
        <w:rPr>
          <w:i/>
          <w:lang w:val="de-DE"/>
        </w:rPr>
        <w:t>Art. </w:t>
      </w:r>
      <w:r w:rsidRPr="004676F5">
        <w:rPr>
          <w:i/>
          <w:lang w:val="de-DE"/>
        </w:rPr>
        <w:t>12 Nr. 2 des G. vom 8. Juni 2017 (B.S. vom 27. Juni 2017)]</w:t>
      </w:r>
    </w:p>
    <w:p w14:paraId="545F45D4" w14:textId="77777777" w:rsidR="001D7C66" w:rsidRPr="004676F5" w:rsidRDefault="001D7C66" w:rsidP="001D7C66">
      <w:pPr>
        <w:jc w:val="both"/>
        <w:rPr>
          <w:i/>
          <w:lang w:val="de-DE"/>
        </w:rPr>
      </w:pPr>
    </w:p>
    <w:p w14:paraId="6606B493" w14:textId="77777777" w:rsidR="00355502" w:rsidRPr="004676F5" w:rsidRDefault="00355502" w:rsidP="001527B1">
      <w:pPr>
        <w:ind w:firstLine="708"/>
        <w:jc w:val="both"/>
        <w:rPr>
          <w:lang w:val="de-DE"/>
        </w:rPr>
      </w:pPr>
    </w:p>
    <w:p w14:paraId="2A4A4E16" w14:textId="3AE165AC" w:rsidR="001527B1" w:rsidRPr="004676F5" w:rsidRDefault="00BE0A56" w:rsidP="001527B1">
      <w:pPr>
        <w:ind w:firstLine="708"/>
        <w:jc w:val="both"/>
        <w:rPr>
          <w:lang w:val="de-DE"/>
        </w:rPr>
      </w:pPr>
      <w:r w:rsidRPr="004676F5">
        <w:rPr>
          <w:b/>
          <w:lang w:val="de-DE"/>
        </w:rPr>
        <w:t>Art. </w:t>
      </w:r>
      <w:r w:rsidR="001527B1" w:rsidRPr="004676F5">
        <w:rPr>
          <w:b/>
          <w:lang w:val="de-DE"/>
        </w:rPr>
        <w:t>XI.232</w:t>
      </w:r>
      <w:r w:rsidR="001527B1" w:rsidRPr="004676F5">
        <w:rPr>
          <w:lang w:val="de-DE"/>
        </w:rPr>
        <w:t> </w:t>
      </w:r>
      <w:r w:rsidR="005B7A5C" w:rsidRPr="004676F5">
        <w:rPr>
          <w:lang w:val="de-DE"/>
        </w:rPr>
        <w:t>- </w:t>
      </w:r>
      <w:r w:rsidR="001527B1" w:rsidRPr="004676F5">
        <w:rPr>
          <w:lang w:val="de-DE"/>
        </w:rPr>
        <w:t xml:space="preserve">Der König bestimmt anhand von Kategorien technisch ähnlicher Träger und Geräte, die Er festlegt, ob diese offensichtlich für die Vervielfältigung zu privaten Zwecken von Werken und Leistungen </w:t>
      </w:r>
      <w:r w:rsidR="000F0DF3" w:rsidRPr="004676F5">
        <w:rPr>
          <w:lang w:val="de-DE"/>
        </w:rPr>
        <w:t>[...]</w:t>
      </w:r>
      <w:r w:rsidR="001527B1" w:rsidRPr="004676F5">
        <w:rPr>
          <w:lang w:val="de-DE"/>
        </w:rPr>
        <w:t xml:space="preserve"> benutzt werden, und legt die Modalitäten für Einnahme, Verteilung und Kontrolle dieser Vergütung und den Zeitpunkt, zu dem sie zu entrichten ist, fest.</w:t>
      </w:r>
    </w:p>
    <w:p w14:paraId="7FA25DEE" w14:textId="77777777" w:rsidR="001527B1" w:rsidRPr="004676F5" w:rsidRDefault="001527B1" w:rsidP="001527B1">
      <w:pPr>
        <w:ind w:firstLine="708"/>
        <w:jc w:val="both"/>
        <w:rPr>
          <w:lang w:val="de-DE"/>
        </w:rPr>
      </w:pPr>
    </w:p>
    <w:p w14:paraId="12FA7FA8" w14:textId="77777777" w:rsidR="001527B1" w:rsidRPr="004676F5" w:rsidRDefault="001527B1" w:rsidP="001527B1">
      <w:pPr>
        <w:ind w:firstLine="708"/>
        <w:jc w:val="both"/>
        <w:rPr>
          <w:lang w:val="de-DE"/>
        </w:rPr>
      </w:pPr>
      <w:r w:rsidRPr="004676F5">
        <w:rPr>
          <w:lang w:val="de-DE"/>
        </w:rPr>
        <w:t xml:space="preserve">Der König kann auf einer spezifischen Liste die Kategorien technisch ähnlicher Träger und Geräte bestimmen, die nicht offensichtlich für die Vervielfältigung zu privaten Zwecken von Werken und Leistungen </w:t>
      </w:r>
      <w:r w:rsidR="000F0DF3" w:rsidRPr="004676F5">
        <w:rPr>
          <w:lang w:val="de-DE"/>
        </w:rPr>
        <w:t>[...]</w:t>
      </w:r>
      <w:r w:rsidRPr="004676F5">
        <w:rPr>
          <w:lang w:val="de-DE"/>
        </w:rPr>
        <w:t xml:space="preserve"> benutzt werden und somit nicht der Vergütung für Privatkopien unterliegen.</w:t>
      </w:r>
    </w:p>
    <w:p w14:paraId="2EFFFDD0" w14:textId="77777777" w:rsidR="001527B1" w:rsidRPr="004676F5" w:rsidRDefault="001527B1" w:rsidP="001527B1">
      <w:pPr>
        <w:ind w:firstLine="708"/>
        <w:jc w:val="both"/>
        <w:rPr>
          <w:lang w:val="de-DE"/>
        </w:rPr>
      </w:pPr>
    </w:p>
    <w:p w14:paraId="2DB8EDBB" w14:textId="77777777" w:rsidR="001527B1" w:rsidRPr="004676F5" w:rsidRDefault="001527B1" w:rsidP="001527B1">
      <w:pPr>
        <w:ind w:firstLine="708"/>
        <w:jc w:val="both"/>
        <w:rPr>
          <w:lang w:val="de-DE"/>
        </w:rPr>
      </w:pPr>
      <w:r w:rsidRPr="004676F5">
        <w:rPr>
          <w:lang w:val="de-DE"/>
        </w:rPr>
        <w:t>Computer beziehungsweise Kategorien von Computern wie vom König bestimmt können nur durch einen im Ministerrat beratenen Königlichen Erlass der Vergütung unterworfen oder in die in Absatz 2 erwähnte spezifische Liste eingetragen werden.</w:t>
      </w:r>
    </w:p>
    <w:p w14:paraId="2A84D841" w14:textId="77777777" w:rsidR="001527B1" w:rsidRPr="004676F5" w:rsidRDefault="001527B1" w:rsidP="001527B1">
      <w:pPr>
        <w:ind w:firstLine="708"/>
        <w:jc w:val="both"/>
        <w:rPr>
          <w:lang w:val="de-DE"/>
        </w:rPr>
      </w:pPr>
    </w:p>
    <w:p w14:paraId="45690DBB" w14:textId="77777777" w:rsidR="001527B1" w:rsidRPr="004676F5" w:rsidRDefault="001527B1" w:rsidP="001527B1">
      <w:pPr>
        <w:ind w:firstLine="708"/>
        <w:jc w:val="both"/>
        <w:rPr>
          <w:lang w:val="de-DE"/>
        </w:rPr>
      </w:pPr>
      <w:r w:rsidRPr="004676F5">
        <w:rPr>
          <w:lang w:val="de-DE"/>
        </w:rPr>
        <w:t>Zu dem Zeitpunkt, an dem der König das Statut der Geräte und Träger bestimmt, legt Er durch einen im Ministerrat beratenen Königlichen Erlass ebenfalls die in Artikel XI.229 erwähnte Vergütung fest.</w:t>
      </w:r>
    </w:p>
    <w:p w14:paraId="6A4089C9" w14:textId="77777777" w:rsidR="001527B1" w:rsidRPr="004676F5" w:rsidRDefault="001527B1" w:rsidP="001527B1">
      <w:pPr>
        <w:ind w:firstLine="708"/>
        <w:jc w:val="both"/>
        <w:rPr>
          <w:lang w:val="de-DE"/>
        </w:rPr>
      </w:pPr>
    </w:p>
    <w:p w14:paraId="48F2CF77" w14:textId="77777777" w:rsidR="001527B1" w:rsidRPr="004676F5" w:rsidRDefault="001527B1" w:rsidP="001527B1">
      <w:pPr>
        <w:ind w:firstLine="708"/>
        <w:jc w:val="both"/>
        <w:rPr>
          <w:lang w:val="de-DE"/>
        </w:rPr>
      </w:pPr>
      <w:r w:rsidRPr="004676F5">
        <w:rPr>
          <w:lang w:val="de-DE"/>
        </w:rPr>
        <w:t>Diese Vergütung wird pro Kategorie technisch ähnlicher Geräte und Träger festgelegt.</w:t>
      </w:r>
    </w:p>
    <w:p w14:paraId="260DF434" w14:textId="77777777" w:rsidR="001527B1" w:rsidRPr="004676F5" w:rsidRDefault="001527B1" w:rsidP="001527B1">
      <w:pPr>
        <w:ind w:firstLine="708"/>
        <w:jc w:val="both"/>
        <w:rPr>
          <w:lang w:val="de-DE"/>
        </w:rPr>
      </w:pPr>
    </w:p>
    <w:p w14:paraId="005E3EEB" w14:textId="77777777" w:rsidR="001527B1" w:rsidRPr="004676F5" w:rsidRDefault="001527B1" w:rsidP="001527B1">
      <w:pPr>
        <w:ind w:firstLine="708"/>
        <w:jc w:val="both"/>
        <w:rPr>
          <w:lang w:val="de-DE"/>
        </w:rPr>
      </w:pPr>
      <w:r w:rsidRPr="004676F5">
        <w:rPr>
          <w:lang w:val="de-DE"/>
        </w:rPr>
        <w:t xml:space="preserve">Für Geräte, die offensichtlich für die Vervielfältigung zu privaten Zwecken von Werken und Leistungen </w:t>
      </w:r>
      <w:r w:rsidR="000F0DF3" w:rsidRPr="004676F5">
        <w:rPr>
          <w:lang w:val="de-DE"/>
        </w:rPr>
        <w:t>[...]</w:t>
      </w:r>
      <w:r w:rsidRPr="004676F5">
        <w:rPr>
          <w:lang w:val="de-DE"/>
        </w:rPr>
        <w:t xml:space="preserve"> benutzt werden und einen Träger dauerhaft beinhalten, muss die Vergütung nur einmal entrichtet werden.</w:t>
      </w:r>
    </w:p>
    <w:p w14:paraId="3AA0708C" w14:textId="77777777" w:rsidR="001527B1" w:rsidRPr="004676F5" w:rsidRDefault="001527B1" w:rsidP="001527B1">
      <w:pPr>
        <w:ind w:firstLine="708"/>
        <w:jc w:val="both"/>
        <w:rPr>
          <w:lang w:val="de-DE"/>
        </w:rPr>
      </w:pPr>
    </w:p>
    <w:p w14:paraId="380A8706" w14:textId="77777777" w:rsidR="001527B1" w:rsidRPr="004676F5" w:rsidRDefault="001527B1" w:rsidP="001527B1">
      <w:pPr>
        <w:ind w:firstLine="708"/>
        <w:jc w:val="both"/>
        <w:rPr>
          <w:lang w:val="de-DE"/>
        </w:rPr>
      </w:pPr>
      <w:r w:rsidRPr="004676F5">
        <w:rPr>
          <w:lang w:val="de-DE"/>
        </w:rPr>
        <w:t>Für die Festlegung dieser Vergütung wird vor allem der Tatsache, ob die in den Artikeln I.13 Nr. 7, XI.291 und XV.69 erwähnten technischen Maßnahmen auf die betreffen</w:t>
      </w:r>
      <w:r w:rsidRPr="004676F5">
        <w:rPr>
          <w:lang w:val="de-DE"/>
        </w:rPr>
        <w:softHyphen/>
        <w:t>den Werke oder Leistungen angewandt werden, Rechnung getragen.</w:t>
      </w:r>
    </w:p>
    <w:p w14:paraId="06EAC315" w14:textId="77777777" w:rsidR="001527B1" w:rsidRPr="004676F5" w:rsidRDefault="001527B1" w:rsidP="001527B1">
      <w:pPr>
        <w:ind w:firstLine="708"/>
        <w:jc w:val="both"/>
        <w:rPr>
          <w:lang w:val="de-DE"/>
        </w:rPr>
      </w:pPr>
    </w:p>
    <w:p w14:paraId="774A9E32" w14:textId="77777777" w:rsidR="001527B1" w:rsidRPr="004676F5" w:rsidRDefault="001527B1" w:rsidP="001527B1">
      <w:pPr>
        <w:ind w:firstLine="708"/>
        <w:jc w:val="both"/>
        <w:rPr>
          <w:lang w:val="de-DE"/>
        </w:rPr>
      </w:pPr>
      <w:r w:rsidRPr="004676F5">
        <w:rPr>
          <w:lang w:val="de-DE"/>
        </w:rPr>
        <w:lastRenderedPageBreak/>
        <w:t>Die Höhe dieser Vergütung kann alle drei Jahre revidiert werden.</w:t>
      </w:r>
    </w:p>
    <w:p w14:paraId="04A3CC65" w14:textId="77777777" w:rsidR="001527B1" w:rsidRPr="004676F5" w:rsidRDefault="001527B1" w:rsidP="001527B1">
      <w:pPr>
        <w:ind w:firstLine="708"/>
        <w:jc w:val="both"/>
        <w:rPr>
          <w:lang w:val="de-DE"/>
        </w:rPr>
      </w:pPr>
    </w:p>
    <w:p w14:paraId="1AE4E548" w14:textId="77777777" w:rsidR="001527B1" w:rsidRPr="004676F5" w:rsidRDefault="001527B1" w:rsidP="001527B1">
      <w:pPr>
        <w:ind w:firstLine="708"/>
        <w:jc w:val="both"/>
        <w:rPr>
          <w:lang w:val="de-DE"/>
        </w:rPr>
      </w:pPr>
      <w:r w:rsidRPr="004676F5">
        <w:rPr>
          <w:lang w:val="de-DE"/>
        </w:rPr>
        <w:t>Haben die Bedingungen, die die Festlegung der Vergütung gerechtfertigt haben, eine offensichtliche und dauerhafte Veränderung erfahren, kann die Vergütung vor Ablauf des Zeitraums von drei Jahren revidiert werden.</w:t>
      </w:r>
    </w:p>
    <w:p w14:paraId="5A3CC389" w14:textId="77777777" w:rsidR="001527B1" w:rsidRPr="004676F5" w:rsidRDefault="001527B1" w:rsidP="001527B1">
      <w:pPr>
        <w:ind w:firstLine="708"/>
        <w:jc w:val="both"/>
        <w:rPr>
          <w:lang w:val="de-DE"/>
        </w:rPr>
      </w:pPr>
    </w:p>
    <w:p w14:paraId="68264A70" w14:textId="77777777" w:rsidR="001527B1" w:rsidRPr="004676F5" w:rsidRDefault="001527B1" w:rsidP="001527B1">
      <w:pPr>
        <w:ind w:firstLine="708"/>
        <w:jc w:val="both"/>
        <w:rPr>
          <w:lang w:val="de-DE"/>
        </w:rPr>
      </w:pPr>
      <w:r w:rsidRPr="004676F5">
        <w:rPr>
          <w:lang w:val="de-DE"/>
        </w:rPr>
        <w:t>Revidiert der König eine Vergütung binnen dem Zeitraum von drei Jahren, begründet Er seine Entscheidung mit den veränderten Ausgangsbedingungen.</w:t>
      </w:r>
    </w:p>
    <w:p w14:paraId="2002AB91" w14:textId="77777777" w:rsidR="001527B1" w:rsidRPr="004676F5" w:rsidRDefault="001527B1" w:rsidP="001527B1">
      <w:pPr>
        <w:ind w:firstLine="708"/>
        <w:jc w:val="both"/>
        <w:rPr>
          <w:lang w:val="de-DE"/>
        </w:rPr>
      </w:pPr>
    </w:p>
    <w:p w14:paraId="217C9D57" w14:textId="77777777" w:rsidR="001527B1" w:rsidRPr="004676F5" w:rsidRDefault="001527B1" w:rsidP="001527B1">
      <w:pPr>
        <w:ind w:firstLine="708"/>
        <w:jc w:val="both"/>
        <w:rPr>
          <w:lang w:val="de-DE"/>
        </w:rPr>
      </w:pPr>
      <w:r w:rsidRPr="004676F5">
        <w:rPr>
          <w:lang w:val="de-DE"/>
        </w:rPr>
        <w:t>Die Tatsache, dass technische Maßnahmen nicht benutzt wurden, darf den in Artikel XI.229 erwähnten Anspruch auf Vergütung nicht beeinträchtigen.</w:t>
      </w:r>
    </w:p>
    <w:p w14:paraId="44ACC6E8" w14:textId="77777777" w:rsidR="001527B1" w:rsidRPr="004676F5" w:rsidRDefault="001527B1" w:rsidP="000F0DF3">
      <w:pPr>
        <w:jc w:val="both"/>
        <w:rPr>
          <w:lang w:val="de-DE"/>
        </w:rPr>
      </w:pPr>
    </w:p>
    <w:p w14:paraId="335783E1" w14:textId="0DDAC98A" w:rsidR="000F0DF3" w:rsidRPr="004676F5" w:rsidRDefault="000F0DF3" w:rsidP="000F0DF3">
      <w:pPr>
        <w:jc w:val="both"/>
        <w:rPr>
          <w:i/>
          <w:lang w:val="de-DE"/>
        </w:rPr>
      </w:pPr>
      <w:r w:rsidRPr="004676F5">
        <w:rPr>
          <w:i/>
          <w:lang w:val="de-DE"/>
        </w:rPr>
        <w:t>[</w:t>
      </w:r>
      <w:r w:rsidR="00BE0A56" w:rsidRPr="004676F5">
        <w:rPr>
          <w:i/>
          <w:lang w:val="de-DE"/>
        </w:rPr>
        <w:t>Art. </w:t>
      </w:r>
      <w:r w:rsidRPr="004676F5">
        <w:rPr>
          <w:i/>
          <w:lang w:val="de-DE"/>
        </w:rPr>
        <w:t xml:space="preserve">XI.232 Abs. 1, 2 und 6 abgeändert durch </w:t>
      </w:r>
      <w:r w:rsidR="00BE0A56" w:rsidRPr="004676F5">
        <w:rPr>
          <w:i/>
          <w:lang w:val="de-DE"/>
        </w:rPr>
        <w:t>Art. </w:t>
      </w:r>
      <w:r w:rsidRPr="004676F5">
        <w:rPr>
          <w:i/>
          <w:lang w:val="de-DE"/>
        </w:rPr>
        <w:t>24 des G. vom 22. Dezember 2016 (B.S. vom 29. Dezember 2016)</w:t>
      </w:r>
      <w:r w:rsidR="00D240EA" w:rsidRPr="004676F5">
        <w:rPr>
          <w:i/>
          <w:lang w:val="de-DE"/>
        </w:rPr>
        <w:t>]</w:t>
      </w:r>
    </w:p>
    <w:p w14:paraId="3F6B2129" w14:textId="77777777" w:rsidR="00D240EA" w:rsidRPr="004676F5" w:rsidRDefault="00D240EA" w:rsidP="000F0DF3">
      <w:pPr>
        <w:jc w:val="both"/>
        <w:rPr>
          <w:i/>
          <w:lang w:val="de-DE"/>
        </w:rPr>
      </w:pPr>
    </w:p>
    <w:p w14:paraId="0BE3F43F" w14:textId="77777777" w:rsidR="00355502" w:rsidRPr="004676F5" w:rsidRDefault="00355502" w:rsidP="001527B1">
      <w:pPr>
        <w:ind w:firstLine="708"/>
        <w:jc w:val="both"/>
        <w:rPr>
          <w:lang w:val="de-DE"/>
        </w:rPr>
      </w:pPr>
    </w:p>
    <w:p w14:paraId="431DB9E7" w14:textId="30D8156C" w:rsidR="001527B1" w:rsidRPr="004676F5" w:rsidRDefault="00BE0A56" w:rsidP="001527B1">
      <w:pPr>
        <w:ind w:firstLine="708"/>
        <w:jc w:val="both"/>
        <w:rPr>
          <w:lang w:val="de-DE"/>
        </w:rPr>
      </w:pPr>
      <w:r w:rsidRPr="004676F5">
        <w:rPr>
          <w:b/>
          <w:lang w:val="de-DE"/>
        </w:rPr>
        <w:t>Art. </w:t>
      </w:r>
      <w:r w:rsidR="001527B1" w:rsidRPr="004676F5">
        <w:rPr>
          <w:b/>
          <w:lang w:val="de-DE"/>
        </w:rPr>
        <w:t>XI.233</w:t>
      </w:r>
      <w:r w:rsidR="001527B1" w:rsidRPr="004676F5">
        <w:rPr>
          <w:lang w:val="de-DE"/>
        </w:rPr>
        <w:t> </w:t>
      </w:r>
      <w:r w:rsidR="005B7A5C" w:rsidRPr="004676F5">
        <w:rPr>
          <w:lang w:val="de-DE"/>
        </w:rPr>
        <w:t>- </w:t>
      </w:r>
      <w:r w:rsidR="001527B1" w:rsidRPr="004676F5">
        <w:rPr>
          <w:lang w:val="de-DE"/>
        </w:rPr>
        <w:t>Die in Artikel XI.229 erwähnte Vergütung wird gemäß den vom König festgelegten Modalitäten erstattet zugunsten von:</w:t>
      </w:r>
    </w:p>
    <w:p w14:paraId="6671A26A" w14:textId="77777777" w:rsidR="001527B1" w:rsidRPr="004676F5" w:rsidRDefault="001527B1" w:rsidP="001527B1">
      <w:pPr>
        <w:ind w:firstLine="708"/>
        <w:jc w:val="both"/>
        <w:rPr>
          <w:lang w:val="de-DE"/>
        </w:rPr>
      </w:pPr>
    </w:p>
    <w:p w14:paraId="3070B1FF" w14:textId="77777777" w:rsidR="001527B1" w:rsidRPr="004676F5" w:rsidRDefault="001527B1" w:rsidP="001527B1">
      <w:pPr>
        <w:ind w:firstLine="708"/>
        <w:jc w:val="both"/>
        <w:rPr>
          <w:lang w:val="de-DE"/>
        </w:rPr>
      </w:pPr>
      <w:r w:rsidRPr="004676F5">
        <w:rPr>
          <w:lang w:val="de-DE"/>
        </w:rPr>
        <w:t>1. Produzenten von akustischen und audiovisuellen Werken,</w:t>
      </w:r>
    </w:p>
    <w:p w14:paraId="6E695648" w14:textId="77777777" w:rsidR="001527B1" w:rsidRPr="004676F5" w:rsidRDefault="001527B1" w:rsidP="001527B1">
      <w:pPr>
        <w:ind w:firstLine="708"/>
        <w:jc w:val="both"/>
        <w:rPr>
          <w:lang w:val="de-DE"/>
        </w:rPr>
      </w:pPr>
    </w:p>
    <w:p w14:paraId="5A1FEF68" w14:textId="77777777" w:rsidR="001527B1" w:rsidRPr="004676F5" w:rsidRDefault="001527B1" w:rsidP="001527B1">
      <w:pPr>
        <w:ind w:firstLine="708"/>
        <w:jc w:val="both"/>
        <w:rPr>
          <w:lang w:val="de-DE"/>
        </w:rPr>
      </w:pPr>
      <w:r w:rsidRPr="004676F5">
        <w:rPr>
          <w:lang w:val="de-DE"/>
        </w:rPr>
        <w:t>2. Sendeunternehmen,</w:t>
      </w:r>
    </w:p>
    <w:p w14:paraId="16304E50" w14:textId="77777777" w:rsidR="001527B1" w:rsidRPr="004676F5" w:rsidRDefault="001527B1" w:rsidP="001527B1">
      <w:pPr>
        <w:ind w:firstLine="708"/>
        <w:jc w:val="both"/>
        <w:rPr>
          <w:lang w:val="de-DE"/>
        </w:rPr>
      </w:pPr>
    </w:p>
    <w:p w14:paraId="56390B42" w14:textId="77777777" w:rsidR="001527B1" w:rsidRPr="004676F5" w:rsidRDefault="001527B1" w:rsidP="001527B1">
      <w:pPr>
        <w:ind w:firstLine="708"/>
        <w:jc w:val="both"/>
        <w:rPr>
          <w:lang w:val="de-DE"/>
        </w:rPr>
      </w:pPr>
      <w:r w:rsidRPr="004676F5">
        <w:rPr>
          <w:lang w:val="de-DE"/>
        </w:rPr>
        <w:t>3. Einrichtungen, die von den Behörden im Hinblick auf die Aufbewahrung von Tonmaterial oder audiovisuellem Material amtlich anerkannt und bezuschusst werden. Die Erstattung wird nur für Träger, die dazu bestimmt sind, Tonmaterial und audiovisuelles Material aufzubewahren und es vor Ort anzuhören oder anzuschauen, gewährt,</w:t>
      </w:r>
    </w:p>
    <w:p w14:paraId="6571C5A8" w14:textId="77777777" w:rsidR="001527B1" w:rsidRPr="004676F5" w:rsidRDefault="001527B1" w:rsidP="001527B1">
      <w:pPr>
        <w:ind w:firstLine="708"/>
        <w:jc w:val="both"/>
        <w:rPr>
          <w:lang w:val="de-DE"/>
        </w:rPr>
      </w:pPr>
    </w:p>
    <w:p w14:paraId="58B8A056" w14:textId="77777777" w:rsidR="001527B1" w:rsidRPr="004676F5" w:rsidRDefault="001527B1" w:rsidP="001527B1">
      <w:pPr>
        <w:ind w:firstLine="708"/>
        <w:jc w:val="both"/>
        <w:rPr>
          <w:lang w:val="de-DE"/>
        </w:rPr>
      </w:pPr>
      <w:r w:rsidRPr="004676F5">
        <w:rPr>
          <w:lang w:val="de-DE"/>
        </w:rPr>
        <w:t>4. Blinden, Sehschwachen, Tauben und Schwerhörigen und anerkannten Einrich</w:t>
      </w:r>
      <w:r w:rsidRPr="004676F5">
        <w:rPr>
          <w:lang w:val="de-DE"/>
        </w:rPr>
        <w:softHyphen/>
        <w:t>tungen, die für diese Personen errichtet worden sind,</w:t>
      </w:r>
    </w:p>
    <w:p w14:paraId="3DEBE912" w14:textId="77777777" w:rsidR="001527B1" w:rsidRPr="004676F5" w:rsidRDefault="001527B1" w:rsidP="001527B1">
      <w:pPr>
        <w:ind w:firstLine="708"/>
        <w:jc w:val="both"/>
        <w:rPr>
          <w:lang w:val="de-DE"/>
        </w:rPr>
      </w:pPr>
    </w:p>
    <w:p w14:paraId="1E592B9C" w14:textId="77777777" w:rsidR="001527B1" w:rsidRPr="004676F5" w:rsidRDefault="001527B1" w:rsidP="001527B1">
      <w:pPr>
        <w:ind w:firstLine="708"/>
        <w:jc w:val="both"/>
        <w:rPr>
          <w:lang w:val="de-DE"/>
        </w:rPr>
      </w:pPr>
      <w:r w:rsidRPr="004676F5">
        <w:rPr>
          <w:lang w:val="de-DE"/>
        </w:rPr>
        <w:t>5. anerkannten Bildungseinrichtungen, die Tonmaterial und audiovisuelles Material zu didaktischen oder wissenschaftlichen Zwecken benutzen,</w:t>
      </w:r>
    </w:p>
    <w:p w14:paraId="5DEAD1DE" w14:textId="77777777" w:rsidR="001527B1" w:rsidRPr="004676F5" w:rsidRDefault="001527B1" w:rsidP="001527B1">
      <w:pPr>
        <w:ind w:firstLine="708"/>
        <w:jc w:val="both"/>
        <w:rPr>
          <w:lang w:val="de-DE"/>
        </w:rPr>
      </w:pPr>
    </w:p>
    <w:p w14:paraId="14821575" w14:textId="77777777" w:rsidR="001527B1" w:rsidRPr="004676F5" w:rsidRDefault="001527B1" w:rsidP="001527B1">
      <w:pPr>
        <w:ind w:firstLine="708"/>
        <w:jc w:val="both"/>
        <w:rPr>
          <w:lang w:val="de-DE"/>
        </w:rPr>
      </w:pPr>
      <w:r w:rsidRPr="004676F5">
        <w:rPr>
          <w:lang w:val="de-DE"/>
        </w:rPr>
        <w:t>6. anerkannten Krankenhäusern, Strafanstalten und Jugendhilfeeinrichtungen.</w:t>
      </w:r>
    </w:p>
    <w:p w14:paraId="5D7DDAE1" w14:textId="77777777" w:rsidR="001527B1" w:rsidRPr="004676F5" w:rsidRDefault="001527B1" w:rsidP="001527B1">
      <w:pPr>
        <w:ind w:firstLine="708"/>
        <w:jc w:val="both"/>
        <w:rPr>
          <w:lang w:val="de-DE"/>
        </w:rPr>
      </w:pPr>
    </w:p>
    <w:p w14:paraId="4042DE7A" w14:textId="77777777" w:rsidR="001527B1" w:rsidRPr="004676F5" w:rsidRDefault="001527B1" w:rsidP="001527B1">
      <w:pPr>
        <w:ind w:firstLine="708"/>
        <w:jc w:val="both"/>
        <w:rPr>
          <w:lang w:val="de-DE"/>
        </w:rPr>
      </w:pPr>
      <w:r w:rsidRPr="004676F5">
        <w:rPr>
          <w:lang w:val="de-DE"/>
        </w:rPr>
        <w:t>Ferner kann der König durch einen im Ministerrat beratenen Königlichen Erlass Kategorien natürlicher oder juristischer Personen festlegen:</w:t>
      </w:r>
    </w:p>
    <w:p w14:paraId="605DC802" w14:textId="77777777" w:rsidR="001527B1" w:rsidRPr="004676F5" w:rsidRDefault="001527B1" w:rsidP="001527B1">
      <w:pPr>
        <w:ind w:firstLine="708"/>
        <w:jc w:val="both"/>
        <w:rPr>
          <w:lang w:val="de-DE"/>
        </w:rPr>
      </w:pPr>
    </w:p>
    <w:p w14:paraId="08CEDED4" w14:textId="77777777" w:rsidR="001527B1" w:rsidRPr="004676F5" w:rsidRDefault="001527B1" w:rsidP="001527B1">
      <w:pPr>
        <w:ind w:firstLine="708"/>
        <w:jc w:val="both"/>
        <w:rPr>
          <w:lang w:val="de-DE"/>
        </w:rPr>
      </w:pPr>
      <w:r w:rsidRPr="004676F5">
        <w:rPr>
          <w:lang w:val="de-DE"/>
        </w:rPr>
        <w:t>1. denen entweder Teilerstattung oder vollständige Erstattung der eingenommenen Vergütung, die auf die von ihnen erworbenen Trägern und Geräten umgewälzt worden ist, gewährt wird</w:t>
      </w:r>
    </w:p>
    <w:p w14:paraId="0347264A" w14:textId="77777777" w:rsidR="001527B1" w:rsidRPr="004676F5" w:rsidRDefault="001527B1" w:rsidP="001527B1">
      <w:pPr>
        <w:ind w:firstLine="708"/>
        <w:jc w:val="both"/>
        <w:rPr>
          <w:lang w:val="de-DE"/>
        </w:rPr>
      </w:pPr>
    </w:p>
    <w:p w14:paraId="5B948BFE" w14:textId="77777777" w:rsidR="001527B1" w:rsidRPr="004676F5" w:rsidRDefault="001527B1" w:rsidP="001527B1">
      <w:pPr>
        <w:ind w:firstLine="708"/>
        <w:jc w:val="both"/>
        <w:rPr>
          <w:lang w:val="de-DE"/>
        </w:rPr>
      </w:pPr>
      <w:r w:rsidRPr="004676F5">
        <w:rPr>
          <w:lang w:val="de-DE"/>
        </w:rPr>
        <w:t>2. oder für die die in Artikel XI.229 erwähnten Vergütungspflichtigen für die von diesen Personen erworbenen Trägern und Geräten von der Vergütung befreit werden oder für die den betreffenden Vergütungspflichtigen Teilerstattung oder vollständige Erstattung der Vergütung gewährt wird.</w:t>
      </w:r>
    </w:p>
    <w:p w14:paraId="6CCB886F" w14:textId="77777777" w:rsidR="001527B1" w:rsidRPr="004676F5" w:rsidRDefault="001527B1" w:rsidP="001527B1">
      <w:pPr>
        <w:ind w:firstLine="708"/>
        <w:jc w:val="both"/>
        <w:rPr>
          <w:lang w:val="de-DE"/>
        </w:rPr>
      </w:pPr>
    </w:p>
    <w:p w14:paraId="573DF027" w14:textId="77777777" w:rsidR="00491C4B" w:rsidRPr="004676F5" w:rsidRDefault="00491C4B">
      <w:pPr>
        <w:rPr>
          <w:lang w:val="de-DE"/>
        </w:rPr>
      </w:pPr>
      <w:r w:rsidRPr="004676F5">
        <w:rPr>
          <w:lang w:val="de-DE"/>
        </w:rPr>
        <w:br w:type="page"/>
      </w:r>
    </w:p>
    <w:p w14:paraId="7E32DC4F" w14:textId="77777777" w:rsidR="001527B1" w:rsidRPr="004676F5" w:rsidRDefault="001527B1" w:rsidP="001527B1">
      <w:pPr>
        <w:ind w:firstLine="708"/>
        <w:jc w:val="both"/>
        <w:rPr>
          <w:lang w:val="de-DE"/>
        </w:rPr>
      </w:pPr>
      <w:r w:rsidRPr="004676F5">
        <w:rPr>
          <w:lang w:val="de-DE"/>
        </w:rPr>
        <w:lastRenderedPageBreak/>
        <w:t>Die in vorhergehendem Absatz erwähnte Erstattung der oder Befreiung von der Vergütung müssen ordnungsgemäß begründet sein:</w:t>
      </w:r>
    </w:p>
    <w:p w14:paraId="003AC23B" w14:textId="77777777" w:rsidR="001527B1" w:rsidRPr="004676F5" w:rsidRDefault="001527B1" w:rsidP="001527B1">
      <w:pPr>
        <w:ind w:firstLine="708"/>
        <w:jc w:val="both"/>
        <w:rPr>
          <w:lang w:val="de-DE"/>
        </w:rPr>
      </w:pPr>
    </w:p>
    <w:p w14:paraId="693A0AE7" w14:textId="4D0D8FC0" w:rsidR="001527B1" w:rsidRPr="004676F5" w:rsidRDefault="001527B1" w:rsidP="001527B1">
      <w:pPr>
        <w:ind w:firstLine="708"/>
        <w:jc w:val="both"/>
        <w:rPr>
          <w:lang w:val="de-DE"/>
        </w:rPr>
      </w:pPr>
      <w:r w:rsidRPr="004676F5">
        <w:rPr>
          <w:lang w:val="de-DE"/>
        </w:rPr>
        <w:t>1. entweder durch die Notwendigkeit, für alle einen möglichst gleichwertigen Zugang zu den neuen Informations</w:t>
      </w:r>
      <w:r w:rsidR="005B7A5C" w:rsidRPr="004676F5">
        <w:rPr>
          <w:lang w:val="de-DE"/>
        </w:rPr>
        <w:t>- </w:t>
      </w:r>
      <w:r w:rsidRPr="004676F5">
        <w:rPr>
          <w:lang w:val="de-DE"/>
        </w:rPr>
        <w:t>und Kommunikationstechnologien zu gewährleisten, sofern die betreffende Vergütung diesen Zugang behindert, ohne dadurch das schöpferische Wirken zu beeinträchtigen,</w:t>
      </w:r>
    </w:p>
    <w:p w14:paraId="72C125F8" w14:textId="77777777" w:rsidR="001527B1" w:rsidRPr="004676F5" w:rsidRDefault="001527B1" w:rsidP="001527B1">
      <w:pPr>
        <w:ind w:firstLine="708"/>
        <w:jc w:val="both"/>
        <w:rPr>
          <w:lang w:val="de-DE"/>
        </w:rPr>
      </w:pPr>
    </w:p>
    <w:p w14:paraId="76DA9274" w14:textId="77777777" w:rsidR="001527B1" w:rsidRPr="004676F5" w:rsidRDefault="001527B1" w:rsidP="001527B1">
      <w:pPr>
        <w:ind w:firstLine="708"/>
        <w:jc w:val="both"/>
        <w:rPr>
          <w:lang w:val="de-DE"/>
        </w:rPr>
      </w:pPr>
      <w:r w:rsidRPr="004676F5">
        <w:rPr>
          <w:lang w:val="de-DE"/>
        </w:rPr>
        <w:t>2. oder durch die Notwendigkeit, den Erwerb von Trägern und Geräten durch Personen sicherzustellen, die dieses Material offensichtlich nicht zu den in Artikel XI.229 erwähnten Vervielfältigungshandlungen verwenden.</w:t>
      </w:r>
    </w:p>
    <w:p w14:paraId="3A31539E" w14:textId="77777777" w:rsidR="001527B1" w:rsidRPr="004676F5" w:rsidRDefault="001527B1" w:rsidP="001527B1">
      <w:pPr>
        <w:ind w:firstLine="708"/>
        <w:jc w:val="both"/>
        <w:rPr>
          <w:lang w:val="de-DE"/>
        </w:rPr>
      </w:pPr>
    </w:p>
    <w:p w14:paraId="1161A865" w14:textId="5B4AEE8F" w:rsidR="001527B1" w:rsidRPr="004676F5" w:rsidRDefault="001527B1" w:rsidP="001527B1">
      <w:pPr>
        <w:ind w:firstLine="708"/>
        <w:jc w:val="both"/>
        <w:rPr>
          <w:lang w:val="de-DE"/>
        </w:rPr>
      </w:pPr>
      <w:r w:rsidRPr="004676F5">
        <w:rPr>
          <w:lang w:val="de-DE"/>
        </w:rPr>
        <w:t>Der König bestimmt Erstattungs</w:t>
      </w:r>
      <w:r w:rsidR="005B7A5C" w:rsidRPr="004676F5">
        <w:rPr>
          <w:lang w:val="de-DE"/>
        </w:rPr>
        <w:t>- </w:t>
      </w:r>
      <w:r w:rsidRPr="004676F5">
        <w:rPr>
          <w:lang w:val="de-DE"/>
        </w:rPr>
        <w:t>oder Befreiungsbedingungen.</w:t>
      </w:r>
    </w:p>
    <w:p w14:paraId="6A85F5EB" w14:textId="77777777" w:rsidR="001527B1" w:rsidRPr="004676F5" w:rsidRDefault="001527B1" w:rsidP="001527B1">
      <w:pPr>
        <w:ind w:firstLine="708"/>
        <w:jc w:val="both"/>
        <w:rPr>
          <w:lang w:val="de-DE"/>
        </w:rPr>
      </w:pPr>
    </w:p>
    <w:p w14:paraId="3038204C" w14:textId="77777777" w:rsidR="00355502" w:rsidRPr="004676F5" w:rsidRDefault="00355502" w:rsidP="001527B1">
      <w:pPr>
        <w:ind w:firstLine="708"/>
        <w:jc w:val="both"/>
        <w:rPr>
          <w:lang w:val="de-DE"/>
        </w:rPr>
      </w:pPr>
    </w:p>
    <w:p w14:paraId="743BDAF9" w14:textId="4460C8B1" w:rsidR="001527B1" w:rsidRPr="004676F5" w:rsidRDefault="00BE0A56" w:rsidP="001527B1">
      <w:pPr>
        <w:ind w:firstLine="708"/>
        <w:jc w:val="both"/>
        <w:rPr>
          <w:lang w:val="de-DE"/>
        </w:rPr>
      </w:pPr>
      <w:r w:rsidRPr="004676F5">
        <w:rPr>
          <w:b/>
          <w:lang w:val="de-DE"/>
        </w:rPr>
        <w:t>Art. </w:t>
      </w:r>
      <w:r w:rsidR="001527B1" w:rsidRPr="004676F5">
        <w:rPr>
          <w:b/>
          <w:lang w:val="de-DE"/>
        </w:rPr>
        <w:t>XI.234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In Bezug auf die in Artikel XI.229 erwähnte Vergütung kann der König einen Verteilerschlüssel für folgende Kategorien von Werken festlegen:</w:t>
      </w:r>
    </w:p>
    <w:p w14:paraId="374C7AB8" w14:textId="77777777" w:rsidR="001527B1" w:rsidRPr="004676F5" w:rsidRDefault="001527B1" w:rsidP="001527B1">
      <w:pPr>
        <w:ind w:firstLine="708"/>
        <w:jc w:val="both"/>
        <w:rPr>
          <w:lang w:val="de-DE"/>
        </w:rPr>
      </w:pPr>
    </w:p>
    <w:p w14:paraId="0C0CACDA" w14:textId="77777777" w:rsidR="001527B1" w:rsidRPr="004676F5" w:rsidRDefault="001527B1" w:rsidP="001527B1">
      <w:pPr>
        <w:ind w:firstLine="708"/>
        <w:jc w:val="both"/>
        <w:rPr>
          <w:lang w:val="de-DE"/>
        </w:rPr>
      </w:pPr>
      <w:r w:rsidRPr="004676F5">
        <w:rPr>
          <w:lang w:val="de-DE"/>
        </w:rPr>
        <w:t>1. Werke der Literatur,</w:t>
      </w:r>
    </w:p>
    <w:p w14:paraId="5D4FF006" w14:textId="77777777" w:rsidR="001527B1" w:rsidRPr="004676F5" w:rsidRDefault="001527B1" w:rsidP="001527B1">
      <w:pPr>
        <w:ind w:firstLine="708"/>
        <w:jc w:val="both"/>
        <w:rPr>
          <w:lang w:val="de-DE"/>
        </w:rPr>
      </w:pPr>
    </w:p>
    <w:p w14:paraId="5EB8054C" w14:textId="77777777" w:rsidR="001527B1" w:rsidRPr="004676F5" w:rsidRDefault="001527B1" w:rsidP="001527B1">
      <w:pPr>
        <w:ind w:firstLine="708"/>
        <w:jc w:val="both"/>
        <w:rPr>
          <w:lang w:val="de-DE"/>
        </w:rPr>
      </w:pPr>
      <w:r w:rsidRPr="004676F5">
        <w:rPr>
          <w:lang w:val="de-DE"/>
        </w:rPr>
        <w:t>2. Werke der grafischen oder der bildenden Künste,</w:t>
      </w:r>
    </w:p>
    <w:p w14:paraId="54B01CC2" w14:textId="77777777" w:rsidR="001527B1" w:rsidRPr="004676F5" w:rsidRDefault="001527B1" w:rsidP="001527B1">
      <w:pPr>
        <w:ind w:firstLine="708"/>
        <w:jc w:val="both"/>
        <w:rPr>
          <w:lang w:val="de-DE"/>
        </w:rPr>
      </w:pPr>
    </w:p>
    <w:p w14:paraId="034C2AC1" w14:textId="77777777" w:rsidR="001527B1" w:rsidRPr="004676F5" w:rsidRDefault="001527B1" w:rsidP="001527B1">
      <w:pPr>
        <w:ind w:firstLine="708"/>
        <w:jc w:val="both"/>
        <w:rPr>
          <w:lang w:val="de-DE"/>
        </w:rPr>
      </w:pPr>
      <w:r w:rsidRPr="004676F5">
        <w:rPr>
          <w:lang w:val="de-DE"/>
        </w:rPr>
        <w:t>3. akustische Werke,</w:t>
      </w:r>
    </w:p>
    <w:p w14:paraId="1C10CD49" w14:textId="77777777" w:rsidR="001527B1" w:rsidRPr="004676F5" w:rsidRDefault="001527B1" w:rsidP="001527B1">
      <w:pPr>
        <w:ind w:firstLine="708"/>
        <w:jc w:val="both"/>
        <w:rPr>
          <w:lang w:val="de-DE"/>
        </w:rPr>
      </w:pPr>
    </w:p>
    <w:p w14:paraId="4BA03294" w14:textId="77777777" w:rsidR="001527B1" w:rsidRPr="004676F5" w:rsidRDefault="001527B1" w:rsidP="001527B1">
      <w:pPr>
        <w:ind w:firstLine="708"/>
        <w:jc w:val="both"/>
        <w:rPr>
          <w:lang w:val="de-DE"/>
        </w:rPr>
      </w:pPr>
      <w:r w:rsidRPr="004676F5">
        <w:rPr>
          <w:lang w:val="de-DE"/>
        </w:rPr>
        <w:t>4. audiovisuelle Werke.</w:t>
      </w:r>
    </w:p>
    <w:p w14:paraId="5BC12610" w14:textId="77777777" w:rsidR="001527B1" w:rsidRPr="004676F5" w:rsidRDefault="001527B1" w:rsidP="001527B1">
      <w:pPr>
        <w:ind w:firstLine="708"/>
        <w:jc w:val="both"/>
        <w:rPr>
          <w:lang w:val="de-DE"/>
        </w:rPr>
      </w:pPr>
    </w:p>
    <w:p w14:paraId="1BDE2CE6" w14:textId="77777777" w:rsidR="001527B1" w:rsidRPr="004676F5" w:rsidRDefault="001527B1" w:rsidP="001527B1">
      <w:pPr>
        <w:ind w:firstLine="708"/>
        <w:jc w:val="both"/>
        <w:rPr>
          <w:lang w:val="de-DE"/>
        </w:rPr>
      </w:pPr>
      <w:r w:rsidRPr="004676F5">
        <w:rPr>
          <w:lang w:val="de-DE"/>
        </w:rPr>
        <w:t>Der Teil der in Artikel XI.229 erwähnten Vergütung für akustische und audiovisuelle Werke wird je zu einem Drittel unter Urheber, ausübende Künstler und Produzenten verteilt.</w:t>
      </w:r>
    </w:p>
    <w:p w14:paraId="356D3B69" w14:textId="77777777" w:rsidR="001527B1" w:rsidRPr="004676F5" w:rsidRDefault="001527B1" w:rsidP="001527B1">
      <w:pPr>
        <w:ind w:firstLine="708"/>
        <w:jc w:val="both"/>
        <w:rPr>
          <w:lang w:val="de-DE"/>
        </w:rPr>
      </w:pPr>
    </w:p>
    <w:p w14:paraId="3A8D0C67" w14:textId="77777777" w:rsidR="001527B1" w:rsidRPr="004676F5" w:rsidRDefault="001527B1" w:rsidP="001527B1">
      <w:pPr>
        <w:ind w:firstLine="708"/>
        <w:jc w:val="both"/>
        <w:rPr>
          <w:lang w:val="de-DE"/>
        </w:rPr>
      </w:pPr>
      <w:r w:rsidRPr="004676F5">
        <w:rPr>
          <w:lang w:val="de-DE"/>
        </w:rPr>
        <w:t xml:space="preserve">Der Teil der in Artikel XI.229 erwähnten Vergütung für Werke der Literatur und Werke der grafischen oder der bildenden Künste </w:t>
      </w:r>
      <w:r w:rsidR="00D240EA" w:rsidRPr="004676F5">
        <w:rPr>
          <w:lang w:val="de-DE"/>
        </w:rPr>
        <w:t>[wird den Urhebern zugeteilt]</w:t>
      </w:r>
      <w:r w:rsidRPr="004676F5">
        <w:rPr>
          <w:lang w:val="de-DE"/>
        </w:rPr>
        <w:t>.</w:t>
      </w:r>
    </w:p>
    <w:p w14:paraId="50219C6A" w14:textId="77777777" w:rsidR="001527B1" w:rsidRPr="004676F5" w:rsidRDefault="001527B1" w:rsidP="001527B1">
      <w:pPr>
        <w:ind w:firstLine="708"/>
        <w:jc w:val="both"/>
        <w:rPr>
          <w:lang w:val="de-DE"/>
        </w:rPr>
      </w:pPr>
    </w:p>
    <w:p w14:paraId="347A75E9" w14:textId="77777777" w:rsidR="001527B1" w:rsidRPr="004676F5" w:rsidRDefault="001527B1" w:rsidP="001527B1">
      <w:pPr>
        <w:ind w:firstLine="708"/>
        <w:jc w:val="both"/>
        <w:rPr>
          <w:lang w:val="de-DE"/>
        </w:rPr>
      </w:pPr>
      <w:r w:rsidRPr="004676F5">
        <w:rPr>
          <w:lang w:val="de-DE"/>
        </w:rPr>
        <w:t>Die Absätze 2 und 3 sind verbindlich.</w:t>
      </w:r>
    </w:p>
    <w:p w14:paraId="590A3898" w14:textId="77777777" w:rsidR="001527B1" w:rsidRPr="004676F5" w:rsidRDefault="001527B1" w:rsidP="001527B1">
      <w:pPr>
        <w:ind w:firstLine="708"/>
        <w:jc w:val="both"/>
        <w:rPr>
          <w:lang w:val="de-DE"/>
        </w:rPr>
      </w:pPr>
    </w:p>
    <w:p w14:paraId="782A0DF6" w14:textId="77777777" w:rsidR="001527B1" w:rsidRPr="004676F5" w:rsidRDefault="001527B1" w:rsidP="001527B1">
      <w:pPr>
        <w:ind w:firstLine="708"/>
        <w:jc w:val="both"/>
        <w:rPr>
          <w:lang w:val="de-DE"/>
        </w:rPr>
      </w:pPr>
      <w:r w:rsidRPr="004676F5">
        <w:rPr>
          <w:lang w:val="de-DE"/>
        </w:rPr>
        <w:t>Der Teil der in Artikel XI.229 erwähnten Vergütung für akustische und audiovisuelle Werke, auf den Urheber und ausübende Künstler Anspruch haben, ist nicht abtretbar.</w:t>
      </w:r>
    </w:p>
    <w:p w14:paraId="0066820B" w14:textId="77777777" w:rsidR="001527B1" w:rsidRPr="004676F5" w:rsidRDefault="001527B1" w:rsidP="001527B1">
      <w:pPr>
        <w:ind w:firstLine="708"/>
        <w:jc w:val="both"/>
        <w:rPr>
          <w:lang w:val="de-DE"/>
        </w:rPr>
      </w:pPr>
    </w:p>
    <w:p w14:paraId="77979438" w14:textId="77777777" w:rsidR="001527B1" w:rsidRPr="004676F5" w:rsidRDefault="00D240EA" w:rsidP="001527B1">
      <w:pPr>
        <w:ind w:firstLine="708"/>
        <w:jc w:val="both"/>
        <w:rPr>
          <w:lang w:val="de-DE"/>
        </w:rPr>
      </w:pPr>
      <w:r w:rsidRPr="004676F5">
        <w:rPr>
          <w:lang w:val="de-DE"/>
        </w:rPr>
        <w:t>[Die in Artikel XI.229 erwähnte Vergütung]</w:t>
      </w:r>
      <w:r w:rsidR="001527B1" w:rsidRPr="004676F5">
        <w:rPr>
          <w:lang w:val="de-DE"/>
        </w:rPr>
        <w:t xml:space="preserve"> für Werke der Literatur und Werke der grafischen oder der bildenden Künste, auf den Urheber Anspruch haben, ist nicht abtretbar.</w:t>
      </w:r>
    </w:p>
    <w:p w14:paraId="0D1E1957" w14:textId="77777777" w:rsidR="001527B1" w:rsidRPr="004676F5" w:rsidRDefault="001527B1" w:rsidP="001527B1">
      <w:pPr>
        <w:ind w:firstLine="708"/>
        <w:jc w:val="both"/>
        <w:rPr>
          <w:lang w:val="de-DE"/>
        </w:rPr>
      </w:pPr>
    </w:p>
    <w:p w14:paraId="56BEDD2B" w14:textId="2EE5C07D"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Gemeinschaften und der Föderalstaat können beschließen, 30 Prozent des Ertrags der in vorhergehendem Paragraphen erwähnten Vergütung zur Förderung der Schaffung von Werken zu verwenden, und zwar mittels eines in Anwendung von Artikel 92</w:t>
      </w:r>
      <w:r w:rsidRPr="004676F5">
        <w:rPr>
          <w:i/>
          <w:lang w:val="de-DE"/>
        </w:rPr>
        <w:t>bis</w:t>
      </w:r>
      <w:r w:rsidRPr="004676F5">
        <w:rPr>
          <w:lang w:val="de-DE"/>
        </w:rPr>
        <w:t xml:space="preserve"> § 1 des Sondergesetzes vom 8. August 1980 zur Reform der Institutionen geschlossenen Zusammenarbeitsabkommens.</w:t>
      </w:r>
    </w:p>
    <w:p w14:paraId="7337AE28" w14:textId="77777777" w:rsidR="001527B1" w:rsidRPr="004676F5" w:rsidRDefault="001527B1" w:rsidP="001527B1">
      <w:pPr>
        <w:ind w:firstLine="708"/>
        <w:jc w:val="both"/>
        <w:rPr>
          <w:lang w:val="de-DE"/>
        </w:rPr>
      </w:pPr>
    </w:p>
    <w:p w14:paraId="3A21382E" w14:textId="78358EEC" w:rsidR="00355502" w:rsidRPr="004676F5" w:rsidRDefault="00D240EA" w:rsidP="001527B1">
      <w:pPr>
        <w:jc w:val="both"/>
        <w:rPr>
          <w:i/>
          <w:lang w:val="de-DE"/>
        </w:rPr>
      </w:pPr>
      <w:r w:rsidRPr="004676F5">
        <w:rPr>
          <w:i/>
          <w:lang w:val="de-DE"/>
        </w:rPr>
        <w:t>[</w:t>
      </w:r>
      <w:r w:rsidR="00BE0A56" w:rsidRPr="004676F5">
        <w:rPr>
          <w:i/>
          <w:lang w:val="de-DE"/>
        </w:rPr>
        <w:t>Art. </w:t>
      </w:r>
      <w:r w:rsidRPr="004676F5">
        <w:rPr>
          <w:i/>
          <w:lang w:val="de-DE"/>
        </w:rPr>
        <w:t xml:space="preserve">XI.234 § 1 Abs. 3 abgeändert durch </w:t>
      </w:r>
      <w:r w:rsidR="00BE0A56" w:rsidRPr="004676F5">
        <w:rPr>
          <w:i/>
          <w:lang w:val="de-DE"/>
        </w:rPr>
        <w:t>Art. </w:t>
      </w:r>
      <w:r w:rsidRPr="004676F5">
        <w:rPr>
          <w:i/>
          <w:lang w:val="de-DE"/>
        </w:rPr>
        <w:t xml:space="preserve">25 Nr. 1 des G. vom 22. Dezember 2016 (B.S. vom 29. Dezember 2016); § 1 Abs. 6 abgeändert durch </w:t>
      </w:r>
      <w:r w:rsidR="00BE0A56" w:rsidRPr="004676F5">
        <w:rPr>
          <w:i/>
          <w:lang w:val="de-DE"/>
        </w:rPr>
        <w:t>Art. </w:t>
      </w:r>
      <w:r w:rsidRPr="004676F5">
        <w:rPr>
          <w:i/>
          <w:lang w:val="de-DE"/>
        </w:rPr>
        <w:t>25 Nr. 2 des G. vom 22. Dezember 2016 (B.S. vom 29. Dezember 2016)]</w:t>
      </w:r>
    </w:p>
    <w:p w14:paraId="27751C19" w14:textId="77777777" w:rsidR="00355502" w:rsidRPr="004676F5" w:rsidRDefault="00355502">
      <w:pPr>
        <w:rPr>
          <w:lang w:val="de-DE"/>
        </w:rPr>
      </w:pPr>
      <w:r w:rsidRPr="004676F5">
        <w:rPr>
          <w:lang w:val="de-DE"/>
        </w:rPr>
        <w:br w:type="page"/>
      </w:r>
    </w:p>
    <w:p w14:paraId="52C3A753" w14:textId="55F6D3C0" w:rsidR="001527B1" w:rsidRPr="004676F5" w:rsidRDefault="001527B1" w:rsidP="00D240EA">
      <w:pPr>
        <w:jc w:val="center"/>
        <w:rPr>
          <w:i/>
          <w:lang w:val="de-DE"/>
        </w:rPr>
      </w:pPr>
      <w:r w:rsidRPr="004676F5">
        <w:rPr>
          <w:lang w:val="de-DE"/>
        </w:rPr>
        <w:lastRenderedPageBreak/>
        <w:t>KAPITEL 6 </w:t>
      </w:r>
      <w:r w:rsidR="005B7A5C" w:rsidRPr="004676F5">
        <w:rPr>
          <w:lang w:val="de-DE"/>
        </w:rPr>
        <w:t>- </w:t>
      </w:r>
      <w:r w:rsidR="00D240EA" w:rsidRPr="004676F5">
        <w:rPr>
          <w:lang w:val="de-DE"/>
        </w:rPr>
        <w:t>[</w:t>
      </w:r>
      <w:r w:rsidR="00D240EA" w:rsidRPr="004676F5">
        <w:rPr>
          <w:i/>
          <w:lang w:val="de-DE"/>
        </w:rPr>
        <w:t>Reprografievergütung</w:t>
      </w:r>
      <w:r w:rsidR="00D240EA" w:rsidRPr="004676F5">
        <w:rPr>
          <w:lang w:val="de-DE"/>
        </w:rPr>
        <w:t>]</w:t>
      </w:r>
    </w:p>
    <w:p w14:paraId="36F6F67E" w14:textId="77777777" w:rsidR="001527B1" w:rsidRPr="004676F5" w:rsidRDefault="001527B1" w:rsidP="001527B1">
      <w:pPr>
        <w:ind w:firstLine="708"/>
        <w:jc w:val="both"/>
        <w:rPr>
          <w:lang w:val="de-DE"/>
        </w:rPr>
      </w:pPr>
    </w:p>
    <w:p w14:paraId="3B5B035C" w14:textId="05E661C9" w:rsidR="00D240EA" w:rsidRPr="004676F5" w:rsidRDefault="00D240EA" w:rsidP="00D240EA">
      <w:pPr>
        <w:jc w:val="both"/>
        <w:rPr>
          <w:i/>
          <w:lang w:val="de-DE"/>
        </w:rPr>
      </w:pPr>
      <w:r w:rsidRPr="004676F5">
        <w:rPr>
          <w:i/>
          <w:lang w:val="de-DE"/>
        </w:rPr>
        <w:t xml:space="preserve">[Überschrift von Kapitel 6 ersetzt durch </w:t>
      </w:r>
      <w:r w:rsidR="00BE0A56" w:rsidRPr="004676F5">
        <w:rPr>
          <w:i/>
          <w:lang w:val="de-DE"/>
        </w:rPr>
        <w:t>Art. </w:t>
      </w:r>
      <w:r w:rsidRPr="004676F5">
        <w:rPr>
          <w:i/>
          <w:lang w:val="de-DE"/>
        </w:rPr>
        <w:t>26 des G. vom 22. Dezember 2016 (B.S. vom 29. Dezember 2016)]</w:t>
      </w:r>
    </w:p>
    <w:p w14:paraId="2D9CB41E" w14:textId="77777777" w:rsidR="00D240EA" w:rsidRPr="004676F5" w:rsidRDefault="00D240EA" w:rsidP="00D240EA">
      <w:pPr>
        <w:jc w:val="both"/>
        <w:rPr>
          <w:i/>
          <w:lang w:val="de-DE"/>
        </w:rPr>
      </w:pPr>
    </w:p>
    <w:p w14:paraId="6FB6B89D" w14:textId="77777777" w:rsidR="00355502" w:rsidRPr="004676F5" w:rsidRDefault="00355502" w:rsidP="001527B1">
      <w:pPr>
        <w:ind w:firstLine="708"/>
        <w:jc w:val="both"/>
        <w:rPr>
          <w:lang w:val="de-DE"/>
        </w:rPr>
      </w:pPr>
    </w:p>
    <w:p w14:paraId="4FD55772" w14:textId="4D4F1670" w:rsidR="001527B1" w:rsidRPr="004676F5" w:rsidRDefault="00BE0A56" w:rsidP="00D240EA">
      <w:pPr>
        <w:ind w:firstLine="708"/>
        <w:jc w:val="both"/>
        <w:rPr>
          <w:lang w:val="de-DE"/>
        </w:rPr>
      </w:pPr>
      <w:r w:rsidRPr="004676F5">
        <w:rPr>
          <w:b/>
          <w:lang w:val="de-DE"/>
        </w:rPr>
        <w:t>Art. </w:t>
      </w:r>
      <w:r w:rsidR="001527B1" w:rsidRPr="004676F5">
        <w:rPr>
          <w:b/>
          <w:lang w:val="de-DE"/>
        </w:rPr>
        <w:t>XI.235</w:t>
      </w:r>
      <w:r w:rsidR="001527B1" w:rsidRPr="004676F5">
        <w:rPr>
          <w:lang w:val="de-DE"/>
        </w:rPr>
        <w:t> </w:t>
      </w:r>
      <w:r w:rsidR="005B7A5C" w:rsidRPr="004676F5">
        <w:rPr>
          <w:lang w:val="de-DE"/>
        </w:rPr>
        <w:t>- </w:t>
      </w:r>
      <w:r w:rsidR="00D240EA" w:rsidRPr="004676F5">
        <w:rPr>
          <w:lang w:val="de-DE"/>
        </w:rPr>
        <w:t>[Urheber haben Anspruch auf eine Vergütung für die Vervielfältigung ihrer Werke auf Papier oder ähnlichem Träger, wenn diese Vervielfältigung unter den in den Artikeln XI.190 Nr. 5 und XI.191 § 1 Nr. 1 festgelegten Bedingungen erfolgt.]</w:t>
      </w:r>
    </w:p>
    <w:p w14:paraId="4688865B" w14:textId="77777777" w:rsidR="001527B1" w:rsidRPr="004676F5" w:rsidRDefault="001527B1" w:rsidP="00D240EA">
      <w:pPr>
        <w:jc w:val="both"/>
        <w:rPr>
          <w:lang w:val="de-DE"/>
        </w:rPr>
      </w:pPr>
    </w:p>
    <w:p w14:paraId="7E973802" w14:textId="079782F5" w:rsidR="00D240EA" w:rsidRPr="004676F5" w:rsidRDefault="00D240EA" w:rsidP="00D240EA">
      <w:pPr>
        <w:jc w:val="both"/>
        <w:rPr>
          <w:i/>
          <w:lang w:val="de-DE"/>
        </w:rPr>
      </w:pPr>
      <w:r w:rsidRPr="004676F5">
        <w:rPr>
          <w:i/>
          <w:lang w:val="de-DE"/>
        </w:rPr>
        <w:t>[</w:t>
      </w:r>
      <w:r w:rsidR="00BE0A56" w:rsidRPr="004676F5">
        <w:rPr>
          <w:i/>
          <w:lang w:val="de-DE"/>
        </w:rPr>
        <w:t>Art. </w:t>
      </w:r>
      <w:r w:rsidRPr="004676F5">
        <w:rPr>
          <w:i/>
          <w:lang w:val="de-DE"/>
        </w:rPr>
        <w:t xml:space="preserve">XI.235 ersetzt durch </w:t>
      </w:r>
      <w:r w:rsidR="00BE0A56" w:rsidRPr="004676F5">
        <w:rPr>
          <w:i/>
          <w:lang w:val="de-DE"/>
        </w:rPr>
        <w:t>Art. </w:t>
      </w:r>
      <w:r w:rsidRPr="004676F5">
        <w:rPr>
          <w:i/>
          <w:lang w:val="de-DE"/>
        </w:rPr>
        <w:t>27 des G. vom 22. Dezember 2016 (B.S. vom 29. Dezember 2016)]</w:t>
      </w:r>
    </w:p>
    <w:p w14:paraId="0A4C9499" w14:textId="77777777" w:rsidR="00D240EA" w:rsidRPr="004676F5" w:rsidRDefault="00D240EA" w:rsidP="00D240EA">
      <w:pPr>
        <w:jc w:val="both"/>
        <w:rPr>
          <w:i/>
          <w:lang w:val="de-DE"/>
        </w:rPr>
      </w:pPr>
    </w:p>
    <w:p w14:paraId="36ED6C67" w14:textId="77777777" w:rsidR="00355502" w:rsidRPr="004676F5" w:rsidRDefault="00355502" w:rsidP="001527B1">
      <w:pPr>
        <w:ind w:firstLine="708"/>
        <w:jc w:val="both"/>
        <w:rPr>
          <w:lang w:val="de-DE"/>
        </w:rPr>
      </w:pPr>
    </w:p>
    <w:p w14:paraId="4D647572" w14:textId="5EC8045D" w:rsidR="00D240EA" w:rsidRPr="004676F5" w:rsidRDefault="00BE0A56" w:rsidP="00D240EA">
      <w:pPr>
        <w:ind w:firstLine="708"/>
        <w:jc w:val="both"/>
        <w:rPr>
          <w:lang w:val="de-DE"/>
        </w:rPr>
      </w:pPr>
      <w:r w:rsidRPr="004676F5">
        <w:rPr>
          <w:b/>
          <w:lang w:val="de-DE"/>
        </w:rPr>
        <w:t>Art. </w:t>
      </w:r>
      <w:r w:rsidR="001527B1" w:rsidRPr="004676F5">
        <w:rPr>
          <w:b/>
          <w:lang w:val="de-DE"/>
        </w:rPr>
        <w:t>XI.236</w:t>
      </w:r>
      <w:r w:rsidR="001527B1" w:rsidRPr="004676F5">
        <w:rPr>
          <w:lang w:val="de-DE"/>
        </w:rPr>
        <w:t> </w:t>
      </w:r>
      <w:r w:rsidR="005B7A5C" w:rsidRPr="004676F5">
        <w:rPr>
          <w:lang w:val="de-DE"/>
        </w:rPr>
        <w:t>- </w:t>
      </w:r>
      <w:r w:rsidR="00D240EA" w:rsidRPr="004676F5">
        <w:rPr>
          <w:lang w:val="de-DE"/>
        </w:rPr>
        <w:t>[Die in Artikel XI.235 erwähnte Vergütung ist eine Vergütung im Verhältnis zur Anzahl angefertigter Vervielfältigungen von Werken.</w:t>
      </w:r>
    </w:p>
    <w:p w14:paraId="21FA81F0" w14:textId="77777777" w:rsidR="00D240EA" w:rsidRPr="004676F5" w:rsidRDefault="00D240EA" w:rsidP="00D240EA">
      <w:pPr>
        <w:jc w:val="both"/>
        <w:rPr>
          <w:lang w:val="de-DE"/>
        </w:rPr>
      </w:pPr>
    </w:p>
    <w:p w14:paraId="2257A0C4" w14:textId="77777777" w:rsidR="001527B1" w:rsidRPr="004676F5" w:rsidRDefault="00D240EA" w:rsidP="00D240EA">
      <w:pPr>
        <w:ind w:firstLine="708"/>
        <w:jc w:val="both"/>
        <w:rPr>
          <w:lang w:val="de-DE"/>
        </w:rPr>
      </w:pPr>
      <w:r w:rsidRPr="004676F5">
        <w:rPr>
          <w:lang w:val="de-DE"/>
        </w:rPr>
        <w:t>Sie wird von natürlichen oder juristischen Personen geschuldet, die Vervielfältigungen von Werken anfertigen, beziehungsweise, unter Entlastung der ersteren, von Personen, die anderen entgeltlich oder unentgeltlich ein Vervielfältigungsgerät zur Verfügung stellen.]</w:t>
      </w:r>
    </w:p>
    <w:p w14:paraId="16BF4B1C" w14:textId="77777777" w:rsidR="001527B1" w:rsidRPr="004676F5" w:rsidRDefault="001527B1" w:rsidP="001527B1">
      <w:pPr>
        <w:ind w:firstLine="708"/>
        <w:jc w:val="both"/>
        <w:rPr>
          <w:lang w:val="de-DE"/>
        </w:rPr>
      </w:pPr>
    </w:p>
    <w:p w14:paraId="43B124B9" w14:textId="1789CEF0" w:rsidR="00D240EA" w:rsidRPr="004676F5" w:rsidRDefault="00D240EA" w:rsidP="00D240EA">
      <w:pPr>
        <w:jc w:val="both"/>
        <w:rPr>
          <w:i/>
          <w:lang w:val="de-DE"/>
        </w:rPr>
      </w:pPr>
      <w:r w:rsidRPr="004676F5">
        <w:rPr>
          <w:i/>
          <w:lang w:val="de-DE"/>
        </w:rPr>
        <w:t>[</w:t>
      </w:r>
      <w:r w:rsidR="00BE0A56" w:rsidRPr="004676F5">
        <w:rPr>
          <w:i/>
          <w:lang w:val="de-DE"/>
        </w:rPr>
        <w:t>Art. </w:t>
      </w:r>
      <w:r w:rsidRPr="004676F5">
        <w:rPr>
          <w:i/>
          <w:lang w:val="de-DE"/>
        </w:rPr>
        <w:t xml:space="preserve">XI.236 ersetzt durch </w:t>
      </w:r>
      <w:r w:rsidR="00BE0A56" w:rsidRPr="004676F5">
        <w:rPr>
          <w:i/>
          <w:lang w:val="de-DE"/>
        </w:rPr>
        <w:t>Art. </w:t>
      </w:r>
      <w:r w:rsidRPr="004676F5">
        <w:rPr>
          <w:i/>
          <w:lang w:val="de-DE"/>
        </w:rPr>
        <w:t>28 des G. vom 22. Dezember 2016 (B.S. vom 29. Dezember 2016)]</w:t>
      </w:r>
    </w:p>
    <w:p w14:paraId="7DDAA5D8" w14:textId="77777777" w:rsidR="00D240EA" w:rsidRPr="004676F5" w:rsidRDefault="00D240EA" w:rsidP="001527B1">
      <w:pPr>
        <w:ind w:firstLine="708"/>
        <w:jc w:val="both"/>
        <w:rPr>
          <w:lang w:val="de-DE"/>
        </w:rPr>
      </w:pPr>
    </w:p>
    <w:p w14:paraId="48194B1A" w14:textId="77777777" w:rsidR="00355502" w:rsidRPr="004676F5" w:rsidRDefault="00355502" w:rsidP="001527B1">
      <w:pPr>
        <w:ind w:firstLine="708"/>
        <w:jc w:val="both"/>
        <w:rPr>
          <w:lang w:val="de-DE"/>
        </w:rPr>
      </w:pPr>
    </w:p>
    <w:p w14:paraId="0D62F333" w14:textId="0272553F" w:rsidR="001527B1" w:rsidRPr="004676F5" w:rsidRDefault="00BE0A56" w:rsidP="001527B1">
      <w:pPr>
        <w:ind w:firstLine="708"/>
        <w:jc w:val="both"/>
        <w:rPr>
          <w:lang w:val="de-DE"/>
        </w:rPr>
      </w:pPr>
      <w:r w:rsidRPr="004676F5">
        <w:rPr>
          <w:b/>
          <w:lang w:val="de-DE"/>
        </w:rPr>
        <w:t>Art. </w:t>
      </w:r>
      <w:r w:rsidR="001527B1" w:rsidRPr="004676F5">
        <w:rPr>
          <w:b/>
          <w:lang w:val="de-DE"/>
        </w:rPr>
        <w:t>XI.237</w:t>
      </w:r>
      <w:r w:rsidR="001527B1" w:rsidRPr="004676F5">
        <w:rPr>
          <w:lang w:val="de-DE"/>
        </w:rPr>
        <w:t> </w:t>
      </w:r>
      <w:r w:rsidR="005B7A5C" w:rsidRPr="004676F5">
        <w:rPr>
          <w:lang w:val="de-DE"/>
        </w:rPr>
        <w:t>- </w:t>
      </w:r>
      <w:r w:rsidR="001527B1" w:rsidRPr="004676F5">
        <w:rPr>
          <w:lang w:val="de-DE"/>
        </w:rPr>
        <w:t>Die vom König im Rahmen des vorliegenden Kapitels bestimmte Verwertungsgesellschaft kann Auskünfte, die zur Ausführung ihres Auftrags gemäß den Artikel XI.281 und XV.113 erforderlich sind, erhalten bei:</w:t>
      </w:r>
    </w:p>
    <w:p w14:paraId="28189B55" w14:textId="77777777" w:rsidR="001527B1" w:rsidRPr="004676F5" w:rsidRDefault="001527B1" w:rsidP="001527B1">
      <w:pPr>
        <w:ind w:firstLine="708"/>
        <w:jc w:val="both"/>
        <w:rPr>
          <w:lang w:val="de-DE"/>
        </w:rPr>
      </w:pPr>
    </w:p>
    <w:p w14:paraId="530BE15F" w14:textId="29AF9F8C" w:rsidR="001527B1" w:rsidRPr="004676F5" w:rsidRDefault="005B7A5C" w:rsidP="001527B1">
      <w:pPr>
        <w:ind w:firstLine="708"/>
        <w:jc w:val="both"/>
        <w:rPr>
          <w:lang w:val="de-DE"/>
        </w:rPr>
      </w:pPr>
      <w:r w:rsidRPr="004676F5">
        <w:rPr>
          <w:lang w:val="de-DE"/>
        </w:rPr>
        <w:t>- </w:t>
      </w:r>
      <w:r w:rsidR="001527B1" w:rsidRPr="004676F5">
        <w:rPr>
          <w:lang w:val="de-DE"/>
        </w:rPr>
        <w:t>der Zoll</w:t>
      </w:r>
      <w:r w:rsidRPr="004676F5">
        <w:rPr>
          <w:lang w:val="de-DE"/>
        </w:rPr>
        <w:t>- </w:t>
      </w:r>
      <w:r w:rsidR="001527B1" w:rsidRPr="004676F5">
        <w:rPr>
          <w:lang w:val="de-DE"/>
        </w:rPr>
        <w:t xml:space="preserve">und Akzisenverwaltung in Anwendung von Artikel 320 des allgemeinen Gesetzes vom 18. Juli 1977 über Zölle und Akzisen, </w:t>
      </w:r>
      <w:r w:rsidR="00D240EA" w:rsidRPr="004676F5">
        <w:rPr>
          <w:lang w:val="de-DE"/>
        </w:rPr>
        <w:t>[...]</w:t>
      </w:r>
    </w:p>
    <w:p w14:paraId="09D1DD05" w14:textId="77777777" w:rsidR="001527B1" w:rsidRPr="004676F5" w:rsidRDefault="001527B1" w:rsidP="001527B1">
      <w:pPr>
        <w:ind w:firstLine="708"/>
        <w:jc w:val="both"/>
        <w:rPr>
          <w:lang w:val="de-DE"/>
        </w:rPr>
      </w:pPr>
    </w:p>
    <w:p w14:paraId="5318C4AF" w14:textId="7B8D551C" w:rsidR="001527B1" w:rsidRPr="004676F5" w:rsidRDefault="005B7A5C" w:rsidP="001527B1">
      <w:pPr>
        <w:ind w:firstLine="708"/>
        <w:jc w:val="both"/>
        <w:rPr>
          <w:lang w:val="de-DE"/>
        </w:rPr>
      </w:pPr>
      <w:r w:rsidRPr="004676F5">
        <w:rPr>
          <w:lang w:val="de-DE"/>
        </w:rPr>
        <w:t>- </w:t>
      </w:r>
      <w:r w:rsidR="001527B1" w:rsidRPr="004676F5">
        <w:rPr>
          <w:lang w:val="de-DE"/>
        </w:rPr>
        <w:t>der Mehrwertsteuerverwaltung in Anwendung von Artikel 93</w:t>
      </w:r>
      <w:r w:rsidR="001527B1" w:rsidRPr="004676F5">
        <w:rPr>
          <w:i/>
          <w:lang w:val="de-DE"/>
        </w:rPr>
        <w:t>bis</w:t>
      </w:r>
      <w:r w:rsidR="001527B1" w:rsidRPr="004676F5">
        <w:rPr>
          <w:lang w:val="de-DE"/>
        </w:rPr>
        <w:t xml:space="preserve"> des Mehrwert</w:t>
      </w:r>
      <w:r w:rsidR="001527B1" w:rsidRPr="004676F5">
        <w:rPr>
          <w:lang w:val="de-DE"/>
        </w:rPr>
        <w:softHyphen/>
        <w:t>steuer</w:t>
      </w:r>
      <w:r w:rsidR="001527B1" w:rsidRPr="004676F5">
        <w:rPr>
          <w:lang w:val="de-DE"/>
        </w:rPr>
        <w:softHyphen/>
        <w:t>gesetzbuches vom 3. Juli 1969</w:t>
      </w:r>
    </w:p>
    <w:p w14:paraId="783E4C6E" w14:textId="77777777" w:rsidR="001527B1" w:rsidRPr="004676F5" w:rsidRDefault="001527B1" w:rsidP="001527B1">
      <w:pPr>
        <w:ind w:firstLine="708"/>
        <w:jc w:val="both"/>
        <w:rPr>
          <w:lang w:val="de-DE"/>
        </w:rPr>
      </w:pPr>
    </w:p>
    <w:p w14:paraId="09071685" w14:textId="3EC7A65B" w:rsidR="001527B1" w:rsidRPr="004676F5" w:rsidRDefault="005B7A5C" w:rsidP="001527B1">
      <w:pPr>
        <w:ind w:firstLine="708"/>
        <w:jc w:val="both"/>
        <w:rPr>
          <w:lang w:val="de-DE"/>
        </w:rPr>
      </w:pPr>
      <w:r w:rsidRPr="004676F5">
        <w:rPr>
          <w:lang w:val="de-DE"/>
        </w:rPr>
        <w:t>- </w:t>
      </w:r>
      <w:r w:rsidR="001527B1" w:rsidRPr="004676F5">
        <w:rPr>
          <w:lang w:val="de-DE"/>
        </w:rPr>
        <w:t>und dem Landesamt für soziale Sicherheit gemäß dem Gesetz vom 15. Januar 1990 über die Errichtung und Organisation einer Zentralen Datenbank der sozialen Sicherheit.</w:t>
      </w:r>
    </w:p>
    <w:p w14:paraId="6FF797D9" w14:textId="77777777" w:rsidR="001527B1" w:rsidRPr="004676F5" w:rsidRDefault="001527B1" w:rsidP="00D240EA">
      <w:pPr>
        <w:jc w:val="both"/>
        <w:rPr>
          <w:lang w:val="de-DE"/>
        </w:rPr>
      </w:pPr>
    </w:p>
    <w:p w14:paraId="08894E21" w14:textId="107E8D27" w:rsidR="00D240EA" w:rsidRPr="004676F5" w:rsidRDefault="00D240EA" w:rsidP="00D240EA">
      <w:pPr>
        <w:jc w:val="both"/>
        <w:rPr>
          <w:i/>
          <w:lang w:val="de-DE"/>
        </w:rPr>
      </w:pPr>
      <w:r w:rsidRPr="004676F5">
        <w:rPr>
          <w:i/>
          <w:lang w:val="de-DE"/>
        </w:rPr>
        <w:t>[</w:t>
      </w:r>
      <w:r w:rsidR="00BE0A56" w:rsidRPr="004676F5">
        <w:rPr>
          <w:i/>
          <w:lang w:val="de-DE"/>
        </w:rPr>
        <w:t>Art. </w:t>
      </w:r>
      <w:r w:rsidRPr="004676F5">
        <w:rPr>
          <w:i/>
          <w:lang w:val="de-DE"/>
        </w:rPr>
        <w:t xml:space="preserve">XI.237 einziger Absatz erster Gedankenstrich abgeändert durch </w:t>
      </w:r>
      <w:r w:rsidR="00BE0A56" w:rsidRPr="004676F5">
        <w:rPr>
          <w:i/>
          <w:lang w:val="de-DE"/>
        </w:rPr>
        <w:t>Art. </w:t>
      </w:r>
      <w:r w:rsidRPr="004676F5">
        <w:rPr>
          <w:i/>
          <w:lang w:val="de-DE"/>
        </w:rPr>
        <w:t>29 des G. vom 22. Dezember 2016 (B.S. vom 29. Dezember 2016)]</w:t>
      </w:r>
    </w:p>
    <w:p w14:paraId="168709DA" w14:textId="77777777" w:rsidR="00D240EA" w:rsidRPr="004676F5" w:rsidRDefault="00D240EA" w:rsidP="00D240EA">
      <w:pPr>
        <w:jc w:val="both"/>
        <w:rPr>
          <w:i/>
          <w:lang w:val="de-DE"/>
        </w:rPr>
      </w:pPr>
    </w:p>
    <w:p w14:paraId="5591BD12" w14:textId="77777777" w:rsidR="00355502" w:rsidRPr="004676F5" w:rsidRDefault="00355502" w:rsidP="001527B1">
      <w:pPr>
        <w:ind w:firstLine="708"/>
        <w:jc w:val="both"/>
        <w:rPr>
          <w:lang w:val="de-DE"/>
        </w:rPr>
      </w:pPr>
    </w:p>
    <w:p w14:paraId="530F4350" w14:textId="2077330E" w:rsidR="001527B1" w:rsidRPr="004676F5" w:rsidRDefault="00BE0A56" w:rsidP="001527B1">
      <w:pPr>
        <w:ind w:firstLine="708"/>
        <w:jc w:val="both"/>
        <w:rPr>
          <w:lang w:val="de-DE"/>
        </w:rPr>
      </w:pPr>
      <w:r w:rsidRPr="004676F5">
        <w:rPr>
          <w:b/>
          <w:lang w:val="de-DE"/>
        </w:rPr>
        <w:t>Art. </w:t>
      </w:r>
      <w:r w:rsidR="001527B1" w:rsidRPr="004676F5">
        <w:rPr>
          <w:b/>
          <w:lang w:val="de-DE"/>
        </w:rPr>
        <w:t>XI.238</w:t>
      </w:r>
      <w:r w:rsidR="001527B1" w:rsidRPr="004676F5">
        <w:rPr>
          <w:lang w:val="de-DE"/>
        </w:rPr>
        <w:t> </w:t>
      </w:r>
      <w:r w:rsidR="005B7A5C" w:rsidRPr="004676F5">
        <w:rPr>
          <w:lang w:val="de-DE"/>
        </w:rPr>
        <w:t>- </w:t>
      </w:r>
      <w:r w:rsidR="001527B1" w:rsidRPr="004676F5">
        <w:rPr>
          <w:lang w:val="de-DE"/>
        </w:rPr>
        <w:t>Unbeschadet der Artikel XI.281 und XV.113 kann die bestimmte Verwertungsgesellschaft der Zoll</w:t>
      </w:r>
      <w:r w:rsidR="005B7A5C" w:rsidRPr="004676F5">
        <w:rPr>
          <w:lang w:val="de-DE"/>
        </w:rPr>
        <w:t>- </w:t>
      </w:r>
      <w:r w:rsidR="001527B1" w:rsidRPr="004676F5">
        <w:rPr>
          <w:lang w:val="de-DE"/>
        </w:rPr>
        <w:t>und Akzisenverwaltung und der Mehrwertsteuerverwaltung auf deren Antrag hin Auskünfte erteilen.</w:t>
      </w:r>
    </w:p>
    <w:p w14:paraId="0B9643DC" w14:textId="77777777" w:rsidR="001527B1" w:rsidRPr="004676F5" w:rsidRDefault="001527B1" w:rsidP="001527B1">
      <w:pPr>
        <w:ind w:firstLine="708"/>
        <w:jc w:val="both"/>
        <w:rPr>
          <w:lang w:val="de-DE"/>
        </w:rPr>
      </w:pPr>
    </w:p>
    <w:p w14:paraId="1EB602B3" w14:textId="77777777" w:rsidR="001527B1" w:rsidRPr="004676F5" w:rsidRDefault="001527B1" w:rsidP="001527B1">
      <w:pPr>
        <w:ind w:firstLine="708"/>
        <w:jc w:val="both"/>
        <w:rPr>
          <w:lang w:val="de-DE"/>
        </w:rPr>
      </w:pPr>
      <w:r w:rsidRPr="004676F5">
        <w:rPr>
          <w:lang w:val="de-DE"/>
        </w:rPr>
        <w:t>Unbeschadet der Artikel XI.281 und XV.113 kann die bestimmte Verwertungs</w:t>
      </w:r>
      <w:r w:rsidRPr="004676F5">
        <w:rPr>
          <w:lang w:val="de-DE"/>
        </w:rPr>
        <w:softHyphen/>
        <w:t>gesellschaft folgenden Stellen Auskünfte erteilen und von ihnen erhalten:</w:t>
      </w:r>
    </w:p>
    <w:p w14:paraId="47925436" w14:textId="77777777" w:rsidR="001527B1" w:rsidRPr="004676F5" w:rsidRDefault="001527B1" w:rsidP="001527B1">
      <w:pPr>
        <w:ind w:firstLine="708"/>
        <w:jc w:val="both"/>
        <w:rPr>
          <w:lang w:val="de-DE"/>
        </w:rPr>
      </w:pPr>
    </w:p>
    <w:p w14:paraId="53B56486" w14:textId="2CA111A4" w:rsidR="001527B1" w:rsidRPr="004676F5" w:rsidRDefault="005B7A5C" w:rsidP="001527B1">
      <w:pPr>
        <w:ind w:firstLine="708"/>
        <w:jc w:val="both"/>
        <w:rPr>
          <w:lang w:val="de-DE"/>
        </w:rPr>
      </w:pPr>
      <w:r w:rsidRPr="004676F5">
        <w:rPr>
          <w:lang w:val="de-DE"/>
        </w:rPr>
        <w:t>- </w:t>
      </w:r>
      <w:r w:rsidR="001527B1" w:rsidRPr="004676F5">
        <w:rPr>
          <w:lang w:val="de-DE"/>
        </w:rPr>
        <w:t>dem Dienst Überwachung und Vermittlung des FÖD Wirtschaft,</w:t>
      </w:r>
    </w:p>
    <w:p w14:paraId="70DE3867" w14:textId="77777777" w:rsidR="001527B1" w:rsidRPr="004676F5" w:rsidRDefault="001527B1" w:rsidP="001527B1">
      <w:pPr>
        <w:ind w:firstLine="708"/>
        <w:jc w:val="both"/>
        <w:rPr>
          <w:lang w:val="de-DE"/>
        </w:rPr>
      </w:pPr>
    </w:p>
    <w:p w14:paraId="1826AB73" w14:textId="2812161D" w:rsidR="001527B1" w:rsidRPr="004676F5" w:rsidRDefault="005B7A5C" w:rsidP="001527B1">
      <w:pPr>
        <w:ind w:firstLine="708"/>
        <w:jc w:val="both"/>
        <w:rPr>
          <w:lang w:val="de-DE"/>
        </w:rPr>
      </w:pPr>
      <w:r w:rsidRPr="004676F5">
        <w:rPr>
          <w:lang w:val="de-DE"/>
        </w:rPr>
        <w:lastRenderedPageBreak/>
        <w:t>- </w:t>
      </w:r>
      <w:r w:rsidR="001527B1" w:rsidRPr="004676F5">
        <w:rPr>
          <w:lang w:val="de-DE"/>
        </w:rPr>
        <w:t xml:space="preserve">den </w:t>
      </w:r>
      <w:r w:rsidR="00F269C4" w:rsidRPr="004676F5">
        <w:rPr>
          <w:lang w:val="de-DE"/>
        </w:rPr>
        <w:t>[Verwertungsgesellschaften und Organisationen für die kollektive Rechte</w:t>
      </w:r>
      <w:r w:rsidR="00F269C4" w:rsidRPr="004676F5">
        <w:rPr>
          <w:lang w:val="de-DE"/>
        </w:rPr>
        <w:softHyphen/>
        <w:t>wahrnehmung]</w:t>
      </w:r>
      <w:r w:rsidR="001527B1" w:rsidRPr="004676F5">
        <w:rPr>
          <w:lang w:val="de-DE"/>
        </w:rPr>
        <w:t>, die eine ähnliche Tätigkeit im Ausland ausüben, unter der Bedingung der Gegenseitigkeit.</w:t>
      </w:r>
    </w:p>
    <w:p w14:paraId="1E8C2123" w14:textId="77777777" w:rsidR="001527B1" w:rsidRPr="004676F5" w:rsidRDefault="001527B1" w:rsidP="00F269C4">
      <w:pPr>
        <w:jc w:val="both"/>
        <w:rPr>
          <w:lang w:val="de-DE"/>
        </w:rPr>
      </w:pPr>
    </w:p>
    <w:p w14:paraId="00E004B3" w14:textId="3B2BB980" w:rsidR="00F269C4" w:rsidRPr="004676F5" w:rsidRDefault="00F269C4" w:rsidP="00F269C4">
      <w:pPr>
        <w:jc w:val="both"/>
        <w:rPr>
          <w:i/>
          <w:lang w:val="de-DE"/>
        </w:rPr>
      </w:pPr>
      <w:r w:rsidRPr="004676F5">
        <w:rPr>
          <w:i/>
          <w:lang w:val="de-DE"/>
        </w:rPr>
        <w:t>[</w:t>
      </w:r>
      <w:r w:rsidR="00BE0A56" w:rsidRPr="004676F5">
        <w:rPr>
          <w:i/>
          <w:lang w:val="de-DE"/>
        </w:rPr>
        <w:t>Art. </w:t>
      </w:r>
      <w:r w:rsidRPr="004676F5">
        <w:rPr>
          <w:i/>
          <w:lang w:val="de-DE"/>
        </w:rPr>
        <w:t xml:space="preserve">XI.238 Abs. 2 zweiter Gedankenstrich abgeändert durch </w:t>
      </w:r>
      <w:r w:rsidR="00BE0A56" w:rsidRPr="004676F5">
        <w:rPr>
          <w:i/>
          <w:lang w:val="de-DE"/>
        </w:rPr>
        <w:t>Art. </w:t>
      </w:r>
      <w:r w:rsidRPr="004676F5">
        <w:rPr>
          <w:i/>
          <w:lang w:val="de-DE"/>
        </w:rPr>
        <w:t>14 Nr. 2 des G. vom 8. Juni 2017 (B.S. vom 27. Juni 2017)]</w:t>
      </w:r>
    </w:p>
    <w:p w14:paraId="2D20F75C" w14:textId="77777777" w:rsidR="00F269C4" w:rsidRPr="004676F5" w:rsidRDefault="00F269C4" w:rsidP="00F269C4">
      <w:pPr>
        <w:jc w:val="both"/>
        <w:rPr>
          <w:i/>
          <w:lang w:val="de-DE"/>
        </w:rPr>
      </w:pPr>
    </w:p>
    <w:p w14:paraId="64BE3DF7" w14:textId="77777777" w:rsidR="00355502" w:rsidRPr="004676F5" w:rsidRDefault="00355502" w:rsidP="001527B1">
      <w:pPr>
        <w:ind w:firstLine="708"/>
        <w:jc w:val="both"/>
        <w:rPr>
          <w:lang w:val="de-DE"/>
        </w:rPr>
      </w:pPr>
    </w:p>
    <w:p w14:paraId="715C2540" w14:textId="37DBA8B0" w:rsidR="00D240EA" w:rsidRPr="004676F5" w:rsidRDefault="00BE0A56" w:rsidP="00D240EA">
      <w:pPr>
        <w:ind w:firstLine="708"/>
        <w:jc w:val="both"/>
        <w:rPr>
          <w:lang w:val="de-DE"/>
        </w:rPr>
      </w:pPr>
      <w:r w:rsidRPr="004676F5">
        <w:rPr>
          <w:b/>
          <w:lang w:val="de-DE"/>
        </w:rPr>
        <w:t>Art. </w:t>
      </w:r>
      <w:r w:rsidR="001527B1" w:rsidRPr="004676F5">
        <w:rPr>
          <w:b/>
          <w:lang w:val="de-DE"/>
        </w:rPr>
        <w:t>XI.239</w:t>
      </w:r>
      <w:r w:rsidR="001527B1" w:rsidRPr="004676F5">
        <w:rPr>
          <w:lang w:val="de-DE"/>
        </w:rPr>
        <w:t> </w:t>
      </w:r>
      <w:r w:rsidR="005B7A5C" w:rsidRPr="004676F5">
        <w:rPr>
          <w:lang w:val="de-DE"/>
        </w:rPr>
        <w:t>- </w:t>
      </w:r>
      <w:r w:rsidR="00D240EA" w:rsidRPr="004676F5">
        <w:rPr>
          <w:lang w:val="de-DE"/>
        </w:rPr>
        <w:t>[Der König legt durch einen im Ministerrat beratenen Erlass die in Artikel XI.236 erwähnte Vergütung fest.</w:t>
      </w:r>
    </w:p>
    <w:p w14:paraId="770DFBC9" w14:textId="77777777" w:rsidR="00D240EA" w:rsidRPr="004676F5" w:rsidRDefault="00D240EA" w:rsidP="00D240EA">
      <w:pPr>
        <w:jc w:val="both"/>
        <w:rPr>
          <w:lang w:val="de-DE"/>
        </w:rPr>
      </w:pPr>
    </w:p>
    <w:p w14:paraId="6E8151D1" w14:textId="77777777" w:rsidR="00D240EA" w:rsidRPr="004676F5" w:rsidRDefault="00D240EA" w:rsidP="00D240EA">
      <w:pPr>
        <w:jc w:val="both"/>
        <w:rPr>
          <w:lang w:val="de-DE"/>
        </w:rPr>
      </w:pPr>
      <w:r w:rsidRPr="004676F5">
        <w:rPr>
          <w:lang w:val="de-DE"/>
        </w:rPr>
        <w:tab/>
        <w:t>Diese Vergütung kann je nach Sektor angepasst werden.</w:t>
      </w:r>
    </w:p>
    <w:p w14:paraId="722CAC3E" w14:textId="77777777" w:rsidR="00D240EA" w:rsidRPr="004676F5" w:rsidRDefault="00D240EA" w:rsidP="00D240EA">
      <w:pPr>
        <w:jc w:val="both"/>
        <w:rPr>
          <w:lang w:val="de-DE"/>
        </w:rPr>
      </w:pPr>
    </w:p>
    <w:p w14:paraId="36D8C753" w14:textId="77777777" w:rsidR="00D240EA" w:rsidRPr="004676F5" w:rsidRDefault="00D240EA" w:rsidP="00D240EA">
      <w:pPr>
        <w:jc w:val="both"/>
        <w:rPr>
          <w:lang w:val="de-DE"/>
        </w:rPr>
      </w:pPr>
      <w:r w:rsidRPr="004676F5">
        <w:rPr>
          <w:lang w:val="de-DE"/>
        </w:rPr>
        <w:tab/>
        <w:t>Der König legt Modalitäten für Einnahme, Verteilung und Kontrolle dieser Vergütung und den Zeitpunkt, zu dem sie zu entrichten ist, fest.</w:t>
      </w:r>
    </w:p>
    <w:p w14:paraId="35639E49" w14:textId="77777777" w:rsidR="00D240EA" w:rsidRPr="004676F5" w:rsidRDefault="00D240EA" w:rsidP="00D240EA">
      <w:pPr>
        <w:jc w:val="both"/>
        <w:rPr>
          <w:lang w:val="de-DE"/>
        </w:rPr>
      </w:pPr>
    </w:p>
    <w:p w14:paraId="49BC15E9" w14:textId="77777777" w:rsidR="00D240EA" w:rsidRPr="004676F5" w:rsidRDefault="00D240EA" w:rsidP="00D240EA">
      <w:pPr>
        <w:jc w:val="both"/>
        <w:rPr>
          <w:lang w:val="de-DE"/>
        </w:rPr>
      </w:pPr>
      <w:r w:rsidRPr="004676F5">
        <w:rPr>
          <w:lang w:val="de-DE"/>
        </w:rPr>
        <w:tab/>
        <w:t>Unbeschadet internationaler Übereinkommen wird die in Artikel XI.236 erwähnte Vergütung den Urhebern zugeteilt. Vorliegende Bestimmung ist verbindlich.</w:t>
      </w:r>
    </w:p>
    <w:p w14:paraId="4FA158BF" w14:textId="77777777" w:rsidR="00D240EA" w:rsidRPr="004676F5" w:rsidRDefault="00D240EA" w:rsidP="00D240EA">
      <w:pPr>
        <w:jc w:val="both"/>
        <w:rPr>
          <w:lang w:val="de-DE"/>
        </w:rPr>
      </w:pPr>
    </w:p>
    <w:p w14:paraId="7BD66DB3" w14:textId="77777777" w:rsidR="00D240EA" w:rsidRPr="004676F5" w:rsidRDefault="00D240EA" w:rsidP="00D240EA">
      <w:pPr>
        <w:jc w:val="both"/>
        <w:rPr>
          <w:lang w:val="de-DE"/>
        </w:rPr>
      </w:pPr>
      <w:r w:rsidRPr="004676F5">
        <w:rPr>
          <w:lang w:val="de-DE"/>
        </w:rPr>
        <w:tab/>
        <w:t>Die in Artikel XI.236 erwähnte Vergütung, auf die Urheber Anspruch haben, ist nicht abtretbar.</w:t>
      </w:r>
    </w:p>
    <w:p w14:paraId="6C3B75D1" w14:textId="77777777" w:rsidR="00D240EA" w:rsidRPr="004676F5" w:rsidRDefault="00D240EA" w:rsidP="00D240EA">
      <w:pPr>
        <w:jc w:val="both"/>
        <w:rPr>
          <w:lang w:val="de-DE"/>
        </w:rPr>
      </w:pPr>
    </w:p>
    <w:p w14:paraId="4023D4A1" w14:textId="77777777" w:rsidR="00D240EA" w:rsidRPr="004676F5" w:rsidRDefault="00D240EA" w:rsidP="00D240EA">
      <w:pPr>
        <w:jc w:val="both"/>
        <w:rPr>
          <w:lang w:val="de-DE"/>
        </w:rPr>
      </w:pPr>
      <w:r w:rsidRPr="004676F5">
        <w:rPr>
          <w:lang w:val="de-DE"/>
        </w:rPr>
        <w:tab/>
        <w:t xml:space="preserve">Der König beauftragt gemäß den von Ihm festgelegten Bedingungen und Modalitäten </w:t>
      </w:r>
      <w:r w:rsidR="00F269C4" w:rsidRPr="004676F5">
        <w:rPr>
          <w:lang w:val="de-DE"/>
        </w:rPr>
        <w:t>[eine Verwertungsgesellschaft, die alle Verwertungs</w:t>
      </w:r>
      <w:r w:rsidR="00F269C4" w:rsidRPr="004676F5">
        <w:rPr>
          <w:lang w:val="de-DE"/>
        </w:rPr>
        <w:softHyphen/>
        <w:t>gesellschaften und Organisationen für die kollektive Rechtewahrnehmung vertritt, die in Belgien die in den Artikeln XI.235 und XI.236 erwähnte Vergütung verwalten]</w:t>
      </w:r>
      <w:r w:rsidRPr="004676F5">
        <w:rPr>
          <w:lang w:val="de-DE"/>
        </w:rPr>
        <w:t>, mit Einnahme und Verteilung der Vergütung.</w:t>
      </w:r>
    </w:p>
    <w:p w14:paraId="39A0E826" w14:textId="77777777" w:rsidR="00D240EA" w:rsidRPr="004676F5" w:rsidRDefault="00D240EA" w:rsidP="00D240EA">
      <w:pPr>
        <w:jc w:val="both"/>
        <w:rPr>
          <w:lang w:val="de-DE"/>
        </w:rPr>
      </w:pPr>
    </w:p>
    <w:p w14:paraId="6CF6D477" w14:textId="77777777" w:rsidR="00D240EA" w:rsidRPr="004676F5" w:rsidRDefault="00D240EA" w:rsidP="00D240EA">
      <w:pPr>
        <w:jc w:val="both"/>
        <w:rPr>
          <w:lang w:val="de-DE"/>
        </w:rPr>
      </w:pPr>
      <w:r w:rsidRPr="004676F5">
        <w:rPr>
          <w:lang w:val="de-DE"/>
        </w:rPr>
        <w:tab/>
        <w:t>Die Höhe dieser Vergütung kann alle drei Jahre revidiert werden.</w:t>
      </w:r>
    </w:p>
    <w:p w14:paraId="5441D131" w14:textId="77777777" w:rsidR="00D240EA" w:rsidRPr="004676F5" w:rsidRDefault="00D240EA" w:rsidP="00D240EA">
      <w:pPr>
        <w:jc w:val="both"/>
        <w:rPr>
          <w:lang w:val="de-DE"/>
        </w:rPr>
      </w:pPr>
    </w:p>
    <w:p w14:paraId="7C03174B" w14:textId="77777777" w:rsidR="00D240EA" w:rsidRPr="004676F5" w:rsidRDefault="00D240EA" w:rsidP="00D240EA">
      <w:pPr>
        <w:jc w:val="both"/>
        <w:rPr>
          <w:lang w:val="de-DE"/>
        </w:rPr>
      </w:pPr>
      <w:r w:rsidRPr="004676F5">
        <w:rPr>
          <w:lang w:val="de-DE"/>
        </w:rPr>
        <w:tab/>
        <w:t>Haben die Bedingungen, die die Festlegung der Höhe der Vergütung gerechtfertigt haben, eine offensichtliche und dauerhafte Veränderung erfahren, kann die Höhe der Vergütung vor Ablauf des Zeitraums von drei Jahren revidiert werden.</w:t>
      </w:r>
    </w:p>
    <w:p w14:paraId="1DA197ED" w14:textId="77777777" w:rsidR="00D240EA" w:rsidRPr="004676F5" w:rsidRDefault="00D240EA" w:rsidP="00D240EA">
      <w:pPr>
        <w:jc w:val="both"/>
        <w:rPr>
          <w:lang w:val="de-DE"/>
        </w:rPr>
      </w:pPr>
    </w:p>
    <w:p w14:paraId="5B4E265A" w14:textId="77777777" w:rsidR="001527B1" w:rsidRPr="004676F5" w:rsidRDefault="00D240EA" w:rsidP="00D240EA">
      <w:pPr>
        <w:ind w:firstLine="708"/>
        <w:jc w:val="both"/>
        <w:rPr>
          <w:lang w:val="de-DE"/>
        </w:rPr>
      </w:pPr>
      <w:r w:rsidRPr="004676F5">
        <w:rPr>
          <w:lang w:val="de-DE"/>
        </w:rPr>
        <w:t>Revidiert der König eine Vergütung binnen dem Zeitraum von drei Jahren, begründet Er seine Entscheidung mit den veränderten Ausgangsbedingungen.]</w:t>
      </w:r>
    </w:p>
    <w:p w14:paraId="602240EE" w14:textId="77777777" w:rsidR="001527B1" w:rsidRPr="004676F5" w:rsidRDefault="001527B1" w:rsidP="001527B1">
      <w:pPr>
        <w:ind w:firstLine="708"/>
        <w:jc w:val="both"/>
        <w:rPr>
          <w:lang w:val="de-DE"/>
        </w:rPr>
      </w:pPr>
    </w:p>
    <w:p w14:paraId="1D21DC6E" w14:textId="3234F4AF" w:rsidR="004E5193" w:rsidRPr="004676F5" w:rsidRDefault="004E5193" w:rsidP="004E5193">
      <w:pPr>
        <w:jc w:val="both"/>
        <w:rPr>
          <w:i/>
          <w:lang w:val="de-DE"/>
        </w:rPr>
      </w:pPr>
      <w:r w:rsidRPr="004676F5">
        <w:rPr>
          <w:i/>
          <w:lang w:val="de-DE"/>
        </w:rPr>
        <w:t>[</w:t>
      </w:r>
      <w:r w:rsidR="00BE0A56" w:rsidRPr="004676F5">
        <w:rPr>
          <w:i/>
          <w:lang w:val="de-DE"/>
        </w:rPr>
        <w:t>Art. </w:t>
      </w:r>
      <w:r w:rsidRPr="004676F5">
        <w:rPr>
          <w:i/>
          <w:lang w:val="de-DE"/>
        </w:rPr>
        <w:t xml:space="preserve">XI.239 ersetzt durch </w:t>
      </w:r>
      <w:r w:rsidR="00BE0A56" w:rsidRPr="004676F5">
        <w:rPr>
          <w:i/>
          <w:lang w:val="de-DE"/>
        </w:rPr>
        <w:t>Art. </w:t>
      </w:r>
      <w:r w:rsidRPr="004676F5">
        <w:rPr>
          <w:i/>
          <w:lang w:val="de-DE"/>
        </w:rPr>
        <w:t>30 des G. vom 22. Dezember 2016 (B.S. vom 29. Dezember 2016)</w:t>
      </w:r>
      <w:r w:rsidR="00F269C4" w:rsidRPr="004676F5">
        <w:rPr>
          <w:i/>
          <w:lang w:val="de-DE"/>
        </w:rPr>
        <w:t xml:space="preserve">; Abs. 6 abgeändert durch </w:t>
      </w:r>
      <w:r w:rsidR="00BE0A56" w:rsidRPr="004676F5">
        <w:rPr>
          <w:i/>
          <w:lang w:val="de-DE"/>
        </w:rPr>
        <w:t>Art. </w:t>
      </w:r>
      <w:r w:rsidR="00F269C4" w:rsidRPr="004676F5">
        <w:rPr>
          <w:i/>
          <w:lang w:val="de-DE"/>
        </w:rPr>
        <w:t>15 des G. vom 8. Juni 2017 (B.S. vom 27. Juni 2017)</w:t>
      </w:r>
      <w:r w:rsidRPr="004676F5">
        <w:rPr>
          <w:i/>
          <w:lang w:val="de-DE"/>
        </w:rPr>
        <w:t>]</w:t>
      </w:r>
    </w:p>
    <w:p w14:paraId="37122601" w14:textId="77777777" w:rsidR="004E5193" w:rsidRPr="004676F5" w:rsidRDefault="004E5193" w:rsidP="001527B1">
      <w:pPr>
        <w:ind w:firstLine="708"/>
        <w:jc w:val="both"/>
        <w:rPr>
          <w:lang w:val="de-DE"/>
        </w:rPr>
      </w:pPr>
    </w:p>
    <w:p w14:paraId="4E48B720" w14:textId="77777777" w:rsidR="00355502" w:rsidRPr="004676F5" w:rsidRDefault="00355502" w:rsidP="001527B1">
      <w:pPr>
        <w:jc w:val="center"/>
        <w:rPr>
          <w:lang w:val="de-DE"/>
        </w:rPr>
      </w:pPr>
    </w:p>
    <w:p w14:paraId="56A61A65" w14:textId="77777777" w:rsidR="00355502" w:rsidRPr="004676F5" w:rsidRDefault="00355502">
      <w:pPr>
        <w:rPr>
          <w:lang w:val="de-DE"/>
        </w:rPr>
      </w:pPr>
      <w:r w:rsidRPr="004676F5">
        <w:rPr>
          <w:lang w:val="de-DE"/>
        </w:rPr>
        <w:br w:type="page"/>
      </w:r>
    </w:p>
    <w:p w14:paraId="3D4F7161" w14:textId="261226FD" w:rsidR="001527B1" w:rsidRPr="004676F5" w:rsidRDefault="001527B1" w:rsidP="001527B1">
      <w:pPr>
        <w:jc w:val="center"/>
        <w:rPr>
          <w:i/>
          <w:lang w:val="de-DE"/>
        </w:rPr>
      </w:pPr>
      <w:r w:rsidRPr="004676F5">
        <w:rPr>
          <w:lang w:val="de-DE"/>
        </w:rPr>
        <w:lastRenderedPageBreak/>
        <w:t>KAPITEL 7 </w:t>
      </w:r>
      <w:r w:rsidR="005B7A5C" w:rsidRPr="004676F5">
        <w:rPr>
          <w:lang w:val="de-DE"/>
        </w:rPr>
        <w:t>- </w:t>
      </w:r>
      <w:r w:rsidR="004E5193" w:rsidRPr="004676F5">
        <w:rPr>
          <w:lang w:val="de-DE"/>
        </w:rPr>
        <w:t>[</w:t>
      </w:r>
      <w:r w:rsidR="004E5193" w:rsidRPr="004676F5">
        <w:rPr>
          <w:i/>
          <w:lang w:val="de-DE"/>
        </w:rPr>
        <w:t>Nutzung von Werken und Leistungen für Unterrichtszwecke oder Zwecke der wissenschaftlichen Forschung</w:t>
      </w:r>
      <w:r w:rsidR="004E5193" w:rsidRPr="004676F5">
        <w:rPr>
          <w:lang w:val="de-DE"/>
        </w:rPr>
        <w:t>]</w:t>
      </w:r>
    </w:p>
    <w:p w14:paraId="2BBD642A" w14:textId="77777777" w:rsidR="001527B1" w:rsidRPr="004676F5" w:rsidRDefault="001527B1" w:rsidP="001527B1">
      <w:pPr>
        <w:ind w:firstLine="708"/>
        <w:jc w:val="both"/>
        <w:rPr>
          <w:lang w:val="de-DE"/>
        </w:rPr>
      </w:pPr>
    </w:p>
    <w:p w14:paraId="1BB87581" w14:textId="5559895C" w:rsidR="004E5193" w:rsidRPr="004676F5" w:rsidRDefault="004E5193" w:rsidP="004E5193">
      <w:pPr>
        <w:jc w:val="both"/>
        <w:rPr>
          <w:i/>
          <w:lang w:val="de-DE"/>
        </w:rPr>
      </w:pPr>
      <w:r w:rsidRPr="004676F5">
        <w:rPr>
          <w:i/>
          <w:lang w:val="de-DE"/>
        </w:rPr>
        <w:t xml:space="preserve">[Überschrift von Kapitel 7 ersetzt durch </w:t>
      </w:r>
      <w:r w:rsidR="00BE0A56" w:rsidRPr="004676F5">
        <w:rPr>
          <w:i/>
          <w:lang w:val="de-DE"/>
        </w:rPr>
        <w:t>Art. </w:t>
      </w:r>
      <w:r w:rsidRPr="004676F5">
        <w:rPr>
          <w:i/>
          <w:lang w:val="de-DE"/>
        </w:rPr>
        <w:t>31 des G. vom 22. Dezember 2016 (B.S. vom 29. Dezember 2016)]</w:t>
      </w:r>
    </w:p>
    <w:p w14:paraId="0E808BF7" w14:textId="77777777" w:rsidR="004E5193" w:rsidRPr="004676F5" w:rsidRDefault="004E5193" w:rsidP="004E5193">
      <w:pPr>
        <w:jc w:val="both"/>
        <w:rPr>
          <w:i/>
          <w:lang w:val="de-DE"/>
        </w:rPr>
      </w:pPr>
    </w:p>
    <w:p w14:paraId="74863BBF" w14:textId="77777777" w:rsidR="00355502" w:rsidRPr="004676F5" w:rsidRDefault="00355502" w:rsidP="001527B1">
      <w:pPr>
        <w:ind w:firstLine="708"/>
        <w:jc w:val="both"/>
        <w:rPr>
          <w:lang w:val="de-DE"/>
        </w:rPr>
      </w:pPr>
    </w:p>
    <w:p w14:paraId="5CAF175B" w14:textId="732FE5E9" w:rsidR="004E5193" w:rsidRPr="004676F5" w:rsidRDefault="00BE0A56" w:rsidP="004E5193">
      <w:pPr>
        <w:ind w:firstLine="708"/>
        <w:jc w:val="both"/>
        <w:rPr>
          <w:lang w:val="de-DE"/>
        </w:rPr>
      </w:pPr>
      <w:r w:rsidRPr="004676F5">
        <w:rPr>
          <w:b/>
          <w:lang w:val="de-DE"/>
        </w:rPr>
        <w:t>Art. </w:t>
      </w:r>
      <w:r w:rsidR="001527B1" w:rsidRPr="004676F5">
        <w:rPr>
          <w:b/>
          <w:lang w:val="de-DE"/>
        </w:rPr>
        <w:t>XI.240</w:t>
      </w:r>
      <w:r w:rsidR="001527B1" w:rsidRPr="004676F5">
        <w:rPr>
          <w:lang w:val="de-DE"/>
        </w:rPr>
        <w:t> </w:t>
      </w:r>
      <w:r w:rsidR="005B7A5C" w:rsidRPr="004676F5">
        <w:rPr>
          <w:lang w:val="de-DE"/>
        </w:rPr>
        <w:t>- </w:t>
      </w:r>
      <w:r w:rsidR="004E5193" w:rsidRPr="004676F5">
        <w:rPr>
          <w:lang w:val="de-DE"/>
        </w:rPr>
        <w:t xml:space="preserve">[Urheber und Verleger von Werken haben Anspruch auf eine Vergütung für Vervielfältigung und Wiedergabe dieser Werke unter den in </w:t>
      </w:r>
      <w:r w:rsidR="001327CD" w:rsidRPr="004676F5">
        <w:rPr>
          <w:lang w:val="de-DE"/>
        </w:rPr>
        <w:t>[Artikel XI.191/1 § 1 Nr. 3, 4</w:t>
      </w:r>
      <w:r w:rsidR="00070CA0" w:rsidRPr="004676F5">
        <w:rPr>
          <w:lang w:val="de-DE"/>
        </w:rPr>
        <w:t>, 6</w:t>
      </w:r>
      <w:r w:rsidR="001327CD" w:rsidRPr="004676F5">
        <w:rPr>
          <w:lang w:val="de-DE"/>
        </w:rPr>
        <w:t xml:space="preserve"> und 8]</w:t>
      </w:r>
      <w:r w:rsidR="004E5193" w:rsidRPr="004676F5">
        <w:rPr>
          <w:lang w:val="de-DE"/>
        </w:rPr>
        <w:t xml:space="preserve"> festgelegten Bedingungen.</w:t>
      </w:r>
    </w:p>
    <w:p w14:paraId="441FD965" w14:textId="77777777" w:rsidR="004E5193" w:rsidRPr="004676F5" w:rsidRDefault="004E5193" w:rsidP="004E5193">
      <w:pPr>
        <w:jc w:val="both"/>
        <w:rPr>
          <w:lang w:val="de-DE"/>
        </w:rPr>
      </w:pPr>
    </w:p>
    <w:p w14:paraId="14E3E1A5" w14:textId="77777777" w:rsidR="004E5193" w:rsidRPr="004676F5" w:rsidRDefault="004E5193" w:rsidP="004E5193">
      <w:pPr>
        <w:jc w:val="both"/>
        <w:rPr>
          <w:lang w:val="de-DE"/>
        </w:rPr>
      </w:pPr>
      <w:r w:rsidRPr="004676F5">
        <w:rPr>
          <w:lang w:val="de-DE"/>
        </w:rPr>
        <w:tab/>
        <w:t>Urheber von Datenbanken haben Anspruch auf eine Vergütung für Vervielfältigung und Wiedergabe dieser Datenbanken unter den in Artikel XI.191/2 § 1 festgelegten Bedingungen.</w:t>
      </w:r>
    </w:p>
    <w:p w14:paraId="05542447" w14:textId="77777777" w:rsidR="004E5193" w:rsidRPr="004676F5" w:rsidRDefault="004E5193" w:rsidP="004E5193">
      <w:pPr>
        <w:jc w:val="both"/>
        <w:rPr>
          <w:lang w:val="de-DE"/>
        </w:rPr>
      </w:pPr>
    </w:p>
    <w:p w14:paraId="08006727" w14:textId="28CB58D5" w:rsidR="001527B1" w:rsidRPr="004676F5" w:rsidRDefault="004E5193" w:rsidP="004E5193">
      <w:pPr>
        <w:ind w:firstLine="708"/>
        <w:jc w:val="both"/>
        <w:rPr>
          <w:lang w:val="de-DE"/>
        </w:rPr>
      </w:pPr>
      <w:r w:rsidRPr="004676F5">
        <w:rPr>
          <w:lang w:val="de-DE"/>
        </w:rPr>
        <w:t xml:space="preserve">Ausübende Künstler und Produzenten von Tonträgern und von Erstaufzeichnungen von Filmen haben Anspruch auf eine Vergütung für Vervielfältigung und Wiedergabe ihrer Leistungen unter den in </w:t>
      </w:r>
      <w:r w:rsidR="001327CD" w:rsidRPr="004676F5">
        <w:rPr>
          <w:lang w:val="de-DE"/>
        </w:rPr>
        <w:t>[Artikel XI.217/1 Nr. 3, 4</w:t>
      </w:r>
      <w:r w:rsidR="00070CA0" w:rsidRPr="004676F5">
        <w:rPr>
          <w:lang w:val="de-DE"/>
        </w:rPr>
        <w:t>, 5</w:t>
      </w:r>
      <w:r w:rsidR="001327CD" w:rsidRPr="004676F5">
        <w:rPr>
          <w:lang w:val="de-DE"/>
        </w:rPr>
        <w:t xml:space="preserve"> und 7]</w:t>
      </w:r>
      <w:r w:rsidRPr="004676F5">
        <w:rPr>
          <w:lang w:val="de-DE"/>
        </w:rPr>
        <w:t xml:space="preserve"> festgelegten Bedingungen.]</w:t>
      </w:r>
    </w:p>
    <w:p w14:paraId="1281EEDB" w14:textId="77777777" w:rsidR="004E5193" w:rsidRPr="004676F5" w:rsidRDefault="004E5193" w:rsidP="004E5193">
      <w:pPr>
        <w:ind w:firstLine="708"/>
        <w:jc w:val="both"/>
        <w:rPr>
          <w:lang w:val="de-DE"/>
        </w:rPr>
      </w:pPr>
    </w:p>
    <w:p w14:paraId="1DB4F711" w14:textId="19B37FD5" w:rsidR="004E5193" w:rsidRPr="004676F5" w:rsidRDefault="004E5193" w:rsidP="004E5193">
      <w:pPr>
        <w:jc w:val="both"/>
        <w:rPr>
          <w:i/>
          <w:lang w:val="de-DE"/>
        </w:rPr>
      </w:pPr>
      <w:r w:rsidRPr="004676F5">
        <w:rPr>
          <w:i/>
          <w:lang w:val="de-DE"/>
        </w:rPr>
        <w:t>[</w:t>
      </w:r>
      <w:r w:rsidR="00BE0A56" w:rsidRPr="004676F5">
        <w:rPr>
          <w:i/>
          <w:lang w:val="de-DE"/>
        </w:rPr>
        <w:t>Art. </w:t>
      </w:r>
      <w:r w:rsidRPr="004676F5">
        <w:rPr>
          <w:i/>
          <w:lang w:val="de-DE"/>
        </w:rPr>
        <w:t xml:space="preserve">XI.240 ersetzt durch </w:t>
      </w:r>
      <w:r w:rsidR="00BE0A56" w:rsidRPr="004676F5">
        <w:rPr>
          <w:i/>
          <w:lang w:val="de-DE"/>
        </w:rPr>
        <w:t>Art. </w:t>
      </w:r>
      <w:r w:rsidRPr="004676F5">
        <w:rPr>
          <w:i/>
          <w:lang w:val="de-DE"/>
        </w:rPr>
        <w:t>32 des G. vom 22. Dezember 2016 (B.S. vom 29. Dezember 2016)</w:t>
      </w:r>
      <w:r w:rsidR="001327CD" w:rsidRPr="004676F5">
        <w:rPr>
          <w:i/>
          <w:lang w:val="de-DE"/>
        </w:rPr>
        <w:t>; Abs. 1 abgeändert durch Art. 63 Nr. 1</w:t>
      </w:r>
      <w:r w:rsidR="001327CD" w:rsidRPr="004676F5">
        <w:rPr>
          <w:i/>
          <w:iCs/>
          <w:lang w:val="de-DE"/>
        </w:rPr>
        <w:t xml:space="preserve"> des G. vom 19. Juni 2022 (B.S. vom 1. August 2022)</w:t>
      </w:r>
      <w:r w:rsidR="00070CA0" w:rsidRPr="004676F5">
        <w:rPr>
          <w:i/>
          <w:iCs/>
          <w:lang w:val="de-DE"/>
        </w:rPr>
        <w:t xml:space="preserve"> und Art. 40 Nr. 1 des G. vom 9. Februar 2024 (B.S. vom 21. März 2024)</w:t>
      </w:r>
      <w:r w:rsidR="001327CD" w:rsidRPr="004676F5">
        <w:rPr>
          <w:i/>
          <w:iCs/>
          <w:lang w:val="de-DE"/>
        </w:rPr>
        <w:t xml:space="preserve">; </w:t>
      </w:r>
      <w:r w:rsidR="001327CD" w:rsidRPr="004676F5">
        <w:rPr>
          <w:i/>
          <w:lang w:val="de-DE"/>
        </w:rPr>
        <w:t>Abs. 3 abgeändert durch Art. 63 Nr. 2</w:t>
      </w:r>
      <w:r w:rsidR="001327CD" w:rsidRPr="004676F5">
        <w:rPr>
          <w:i/>
          <w:iCs/>
          <w:lang w:val="de-DE"/>
        </w:rPr>
        <w:t xml:space="preserve"> des G. vom 19. Juni 2022 (B.S. vom 1. August 2022)</w:t>
      </w:r>
      <w:r w:rsidR="00070CA0" w:rsidRPr="004676F5">
        <w:rPr>
          <w:i/>
          <w:iCs/>
          <w:lang w:val="de-DE"/>
        </w:rPr>
        <w:t xml:space="preserve"> und Art. 40 Nr. 2 des G. vom 9. Februar 2024 (B.S. vom 21. März 2024)</w:t>
      </w:r>
      <w:r w:rsidRPr="004676F5">
        <w:rPr>
          <w:i/>
          <w:lang w:val="de-DE"/>
        </w:rPr>
        <w:t>]</w:t>
      </w:r>
    </w:p>
    <w:p w14:paraId="427700CC" w14:textId="77777777" w:rsidR="001527B1" w:rsidRPr="004676F5" w:rsidRDefault="001527B1" w:rsidP="001527B1">
      <w:pPr>
        <w:ind w:firstLine="708"/>
        <w:jc w:val="both"/>
        <w:rPr>
          <w:lang w:val="de-DE"/>
        </w:rPr>
      </w:pPr>
    </w:p>
    <w:p w14:paraId="6A665FBC" w14:textId="77777777" w:rsidR="00355502" w:rsidRPr="004676F5" w:rsidRDefault="00355502" w:rsidP="001527B1">
      <w:pPr>
        <w:ind w:firstLine="708"/>
        <w:jc w:val="both"/>
        <w:rPr>
          <w:lang w:val="de-DE"/>
        </w:rPr>
      </w:pPr>
    </w:p>
    <w:p w14:paraId="74739007" w14:textId="4A17A5F5" w:rsidR="001527B1" w:rsidRPr="004676F5" w:rsidRDefault="00BE0A56" w:rsidP="001527B1">
      <w:pPr>
        <w:ind w:firstLine="708"/>
        <w:jc w:val="both"/>
        <w:rPr>
          <w:lang w:val="de-DE"/>
        </w:rPr>
      </w:pPr>
      <w:r w:rsidRPr="004676F5">
        <w:rPr>
          <w:b/>
          <w:lang w:val="de-DE"/>
        </w:rPr>
        <w:t>Art. </w:t>
      </w:r>
      <w:r w:rsidR="001527B1" w:rsidRPr="004676F5">
        <w:rPr>
          <w:b/>
          <w:lang w:val="de-DE"/>
        </w:rPr>
        <w:t>XI.241</w:t>
      </w:r>
      <w:r w:rsidR="001527B1" w:rsidRPr="004676F5">
        <w:rPr>
          <w:lang w:val="de-DE"/>
        </w:rPr>
        <w:t> </w:t>
      </w:r>
      <w:r w:rsidR="005B7A5C" w:rsidRPr="004676F5">
        <w:rPr>
          <w:lang w:val="de-DE"/>
        </w:rPr>
        <w:t>- </w:t>
      </w:r>
      <w:r w:rsidR="004E5193" w:rsidRPr="004676F5">
        <w:rPr>
          <w:lang w:val="de-DE"/>
        </w:rPr>
        <w:t>[...]</w:t>
      </w:r>
    </w:p>
    <w:p w14:paraId="1069497E" w14:textId="77777777" w:rsidR="001527B1" w:rsidRPr="004676F5" w:rsidRDefault="001527B1" w:rsidP="001527B1">
      <w:pPr>
        <w:ind w:firstLine="708"/>
        <w:jc w:val="both"/>
        <w:rPr>
          <w:lang w:val="de-DE"/>
        </w:rPr>
      </w:pPr>
    </w:p>
    <w:p w14:paraId="32351E72" w14:textId="6B7B3305" w:rsidR="004E5193" w:rsidRPr="004676F5" w:rsidRDefault="004E5193" w:rsidP="004E5193">
      <w:pPr>
        <w:jc w:val="both"/>
        <w:rPr>
          <w:i/>
          <w:lang w:val="de-DE"/>
        </w:rPr>
      </w:pPr>
      <w:r w:rsidRPr="004676F5">
        <w:rPr>
          <w:i/>
          <w:lang w:val="de-DE"/>
        </w:rPr>
        <w:t>[</w:t>
      </w:r>
      <w:r w:rsidR="00BE0A56" w:rsidRPr="004676F5">
        <w:rPr>
          <w:i/>
          <w:lang w:val="de-DE"/>
        </w:rPr>
        <w:t>Art. </w:t>
      </w:r>
      <w:r w:rsidRPr="004676F5">
        <w:rPr>
          <w:i/>
          <w:lang w:val="de-DE"/>
        </w:rPr>
        <w:t xml:space="preserve">XI.241 aufgehoben durch </w:t>
      </w:r>
      <w:r w:rsidR="00BE0A56" w:rsidRPr="004676F5">
        <w:rPr>
          <w:i/>
          <w:lang w:val="de-DE"/>
        </w:rPr>
        <w:t>Art. </w:t>
      </w:r>
      <w:r w:rsidRPr="004676F5">
        <w:rPr>
          <w:i/>
          <w:lang w:val="de-DE"/>
        </w:rPr>
        <w:t>33 des G. vom 22. Dezember 2016 (B.S. vom 29. Dezember 2016)]</w:t>
      </w:r>
    </w:p>
    <w:p w14:paraId="3ADDD3AE" w14:textId="77777777" w:rsidR="004E5193" w:rsidRPr="004676F5" w:rsidRDefault="004E5193" w:rsidP="004E5193">
      <w:pPr>
        <w:jc w:val="both"/>
        <w:rPr>
          <w:i/>
          <w:lang w:val="de-DE"/>
        </w:rPr>
      </w:pPr>
    </w:p>
    <w:p w14:paraId="6B0E9300" w14:textId="77777777" w:rsidR="00355502" w:rsidRPr="004676F5" w:rsidRDefault="00355502" w:rsidP="001527B1">
      <w:pPr>
        <w:ind w:firstLine="708"/>
        <w:jc w:val="both"/>
        <w:rPr>
          <w:lang w:val="de-DE"/>
        </w:rPr>
      </w:pPr>
    </w:p>
    <w:p w14:paraId="292A4A35" w14:textId="15D2F76B" w:rsidR="001527B1" w:rsidRPr="004676F5" w:rsidRDefault="00BE0A56" w:rsidP="001527B1">
      <w:pPr>
        <w:ind w:firstLine="708"/>
        <w:jc w:val="both"/>
        <w:rPr>
          <w:lang w:val="de-DE"/>
        </w:rPr>
      </w:pPr>
      <w:r w:rsidRPr="004676F5">
        <w:rPr>
          <w:b/>
          <w:lang w:val="de-DE"/>
        </w:rPr>
        <w:t>Art. </w:t>
      </w:r>
      <w:r w:rsidR="001527B1" w:rsidRPr="004676F5">
        <w:rPr>
          <w:b/>
          <w:lang w:val="de-DE"/>
        </w:rPr>
        <w:t>XI.242</w:t>
      </w:r>
      <w:r w:rsidR="001527B1" w:rsidRPr="004676F5">
        <w:rPr>
          <w:lang w:val="de-DE"/>
        </w:rPr>
        <w:t> </w:t>
      </w:r>
      <w:r w:rsidR="005B7A5C" w:rsidRPr="004676F5">
        <w:rPr>
          <w:lang w:val="de-DE"/>
        </w:rPr>
        <w:t>- </w:t>
      </w:r>
      <w:r w:rsidR="001527B1" w:rsidRPr="004676F5">
        <w:rPr>
          <w:lang w:val="de-DE"/>
        </w:rPr>
        <w:t>Die in Artikel XI.240 erwähnte Vergütung wird durch einen im Ministerrat beratenen Königlichen Erlass festgelegt</w:t>
      </w:r>
      <w:r w:rsidR="004E5193" w:rsidRPr="004676F5">
        <w:rPr>
          <w:lang w:val="de-DE"/>
        </w:rPr>
        <w:t>[, wobei den Zielsetzungen der Förderung der Unterrichtstätigkeiten Rechnung getragen wird]</w:t>
      </w:r>
      <w:r w:rsidR="001527B1" w:rsidRPr="004676F5">
        <w:rPr>
          <w:lang w:val="de-DE"/>
        </w:rPr>
        <w:t>.</w:t>
      </w:r>
    </w:p>
    <w:p w14:paraId="566D999C" w14:textId="77777777" w:rsidR="001527B1" w:rsidRPr="004676F5" w:rsidRDefault="001527B1" w:rsidP="001527B1">
      <w:pPr>
        <w:ind w:firstLine="708"/>
        <w:jc w:val="both"/>
        <w:rPr>
          <w:lang w:val="de-DE"/>
        </w:rPr>
      </w:pPr>
    </w:p>
    <w:p w14:paraId="45AAE504" w14:textId="77777777" w:rsidR="001527B1" w:rsidRPr="004676F5" w:rsidRDefault="001527B1" w:rsidP="001527B1">
      <w:pPr>
        <w:ind w:firstLine="708"/>
        <w:jc w:val="both"/>
        <w:rPr>
          <w:lang w:val="de-DE"/>
        </w:rPr>
      </w:pPr>
      <w:r w:rsidRPr="004676F5">
        <w:rPr>
          <w:lang w:val="de-DE"/>
        </w:rPr>
        <w:t>Der König legt Modalitäten für Einnahme, Verteilung und Kontrolle der Vergütungen und den Zeitpunkt, zu dem sie zu entrichten sind, fest.</w:t>
      </w:r>
    </w:p>
    <w:p w14:paraId="4820A125" w14:textId="77777777" w:rsidR="001527B1" w:rsidRPr="004676F5" w:rsidRDefault="001527B1" w:rsidP="001527B1">
      <w:pPr>
        <w:ind w:firstLine="708"/>
        <w:jc w:val="both"/>
        <w:rPr>
          <w:lang w:val="de-DE"/>
        </w:rPr>
      </w:pPr>
    </w:p>
    <w:p w14:paraId="26D2E85A" w14:textId="77777777" w:rsidR="001527B1" w:rsidRPr="004676F5" w:rsidRDefault="001527B1" w:rsidP="001527B1">
      <w:pPr>
        <w:ind w:firstLine="708"/>
        <w:jc w:val="both"/>
        <w:rPr>
          <w:lang w:val="de-DE"/>
        </w:rPr>
      </w:pPr>
      <w:r w:rsidRPr="004676F5">
        <w:rPr>
          <w:lang w:val="de-DE"/>
        </w:rPr>
        <w:t xml:space="preserve">Der König kann gemäß den von Ihm festgelegten Bedingungen und Modalitäten </w:t>
      </w:r>
      <w:r w:rsidR="00F269C4" w:rsidRPr="004676F5">
        <w:rPr>
          <w:lang w:val="de-DE"/>
        </w:rPr>
        <w:t>[eine oder mehrere Verwertungsgesellschaften, die allein oder gemeinsam alle Verwertungsgesellschaften und Organisationen für die kollektive Rechtewahrnehmung vertreten, die in Belgien die in Artikel XI.240 erwähnte Vergütung verwalten]</w:t>
      </w:r>
      <w:r w:rsidRPr="004676F5">
        <w:rPr>
          <w:lang w:val="de-DE"/>
        </w:rPr>
        <w:t>, mit Einnahme und Verteilung der Vergütung beauftragen.</w:t>
      </w:r>
    </w:p>
    <w:p w14:paraId="04288B5B" w14:textId="77777777" w:rsidR="001527B1" w:rsidRPr="004676F5" w:rsidRDefault="001527B1" w:rsidP="001527B1">
      <w:pPr>
        <w:ind w:firstLine="708"/>
        <w:jc w:val="both"/>
        <w:rPr>
          <w:lang w:val="de-DE"/>
        </w:rPr>
      </w:pPr>
    </w:p>
    <w:p w14:paraId="2276E08D" w14:textId="77777777" w:rsidR="001527B1" w:rsidRPr="004676F5" w:rsidRDefault="001527B1" w:rsidP="001527B1">
      <w:pPr>
        <w:ind w:firstLine="708"/>
        <w:jc w:val="both"/>
        <w:rPr>
          <w:lang w:val="de-DE"/>
        </w:rPr>
      </w:pPr>
      <w:r w:rsidRPr="004676F5">
        <w:rPr>
          <w:lang w:val="de-DE"/>
        </w:rPr>
        <w:t>Der König kann ebenfalls den Verteilerschlüssel, auf dessen Grundlage die Vergütung unter die Kategorien von Rechtsinhabern einerseits und die Kategorien von Werken andererseits verteilt wird, festlegen.</w:t>
      </w:r>
    </w:p>
    <w:p w14:paraId="4591476E" w14:textId="77777777" w:rsidR="001527B1" w:rsidRPr="004676F5" w:rsidRDefault="001527B1" w:rsidP="001527B1">
      <w:pPr>
        <w:ind w:firstLine="708"/>
        <w:jc w:val="both"/>
        <w:rPr>
          <w:lang w:val="de-DE"/>
        </w:rPr>
      </w:pPr>
    </w:p>
    <w:p w14:paraId="716E285D" w14:textId="77777777" w:rsidR="001527B1" w:rsidRPr="004676F5" w:rsidRDefault="001527B1" w:rsidP="001527B1">
      <w:pPr>
        <w:ind w:firstLine="708"/>
        <w:jc w:val="both"/>
        <w:rPr>
          <w:lang w:val="de-DE"/>
        </w:rPr>
      </w:pPr>
      <w:r w:rsidRPr="004676F5">
        <w:rPr>
          <w:lang w:val="de-DE"/>
        </w:rPr>
        <w:t>In diesem Fall ist der Verteilerschlüssel verbindlich.</w:t>
      </w:r>
    </w:p>
    <w:p w14:paraId="2A0F7D16" w14:textId="77777777" w:rsidR="001527B1" w:rsidRPr="004676F5" w:rsidRDefault="001527B1" w:rsidP="001527B1">
      <w:pPr>
        <w:ind w:firstLine="708"/>
        <w:jc w:val="both"/>
        <w:rPr>
          <w:lang w:val="de-DE"/>
        </w:rPr>
      </w:pPr>
    </w:p>
    <w:p w14:paraId="2F3E6DDD" w14:textId="77777777" w:rsidR="00F269C4" w:rsidRPr="004676F5" w:rsidRDefault="00F269C4">
      <w:pPr>
        <w:rPr>
          <w:lang w:val="de-DE"/>
        </w:rPr>
      </w:pPr>
      <w:r w:rsidRPr="004676F5">
        <w:rPr>
          <w:lang w:val="de-DE"/>
        </w:rPr>
        <w:br w:type="page"/>
      </w:r>
    </w:p>
    <w:p w14:paraId="09098BF5" w14:textId="77777777" w:rsidR="001527B1" w:rsidRPr="004676F5" w:rsidRDefault="001527B1" w:rsidP="001527B1">
      <w:pPr>
        <w:ind w:firstLine="708"/>
        <w:jc w:val="both"/>
        <w:rPr>
          <w:lang w:val="de-DE"/>
        </w:rPr>
      </w:pPr>
      <w:r w:rsidRPr="004676F5">
        <w:rPr>
          <w:lang w:val="de-DE"/>
        </w:rPr>
        <w:lastRenderedPageBreak/>
        <w:t>Der Teil der in Artikel XI.240 erwähnten Vergütung, auf den Urheber und ausübende Künstler Anspruch haben, ist nicht abtretbar.</w:t>
      </w:r>
    </w:p>
    <w:p w14:paraId="4E4AF338" w14:textId="77777777" w:rsidR="001527B1" w:rsidRPr="004676F5" w:rsidRDefault="001527B1" w:rsidP="001527B1">
      <w:pPr>
        <w:ind w:firstLine="708"/>
        <w:jc w:val="both"/>
        <w:rPr>
          <w:lang w:val="de-DE"/>
        </w:rPr>
      </w:pPr>
    </w:p>
    <w:p w14:paraId="2C61948B" w14:textId="1EDFBDA4" w:rsidR="00355502" w:rsidRPr="004676F5" w:rsidRDefault="004E5193" w:rsidP="004E5193">
      <w:pPr>
        <w:jc w:val="both"/>
        <w:rPr>
          <w:i/>
          <w:lang w:val="de-DE"/>
        </w:rPr>
      </w:pPr>
      <w:r w:rsidRPr="004676F5">
        <w:rPr>
          <w:i/>
          <w:lang w:val="de-DE"/>
        </w:rPr>
        <w:t>[</w:t>
      </w:r>
      <w:r w:rsidR="00BE0A56" w:rsidRPr="004676F5">
        <w:rPr>
          <w:i/>
          <w:lang w:val="de-DE"/>
        </w:rPr>
        <w:t>Art. </w:t>
      </w:r>
      <w:r w:rsidRPr="004676F5">
        <w:rPr>
          <w:i/>
          <w:lang w:val="de-DE"/>
        </w:rPr>
        <w:t xml:space="preserve">XI.242 Abs. 1 abgeändert durch </w:t>
      </w:r>
      <w:r w:rsidR="00BE0A56" w:rsidRPr="004676F5">
        <w:rPr>
          <w:i/>
          <w:lang w:val="de-DE"/>
        </w:rPr>
        <w:t>Art. </w:t>
      </w:r>
      <w:r w:rsidRPr="004676F5">
        <w:rPr>
          <w:i/>
          <w:lang w:val="de-DE"/>
        </w:rPr>
        <w:t>34 des G. vom 22. Dezember 2016 (B.S. vom 29. Dezember 2016)</w:t>
      </w:r>
      <w:r w:rsidR="00F269C4" w:rsidRPr="004676F5">
        <w:rPr>
          <w:i/>
          <w:lang w:val="de-DE"/>
        </w:rPr>
        <w:t xml:space="preserve">; Abs. 3 abgeändert durch </w:t>
      </w:r>
      <w:r w:rsidR="00BE0A56" w:rsidRPr="004676F5">
        <w:rPr>
          <w:i/>
          <w:lang w:val="de-DE"/>
        </w:rPr>
        <w:t>Art. </w:t>
      </w:r>
      <w:r w:rsidR="00F269C4" w:rsidRPr="004676F5">
        <w:rPr>
          <w:i/>
          <w:lang w:val="de-DE"/>
        </w:rPr>
        <w:t>16 des G. vom 8. Juni 2017 (B.S. vom 27. Juni 2017)</w:t>
      </w:r>
      <w:r w:rsidRPr="004676F5">
        <w:rPr>
          <w:i/>
          <w:lang w:val="de-DE"/>
        </w:rPr>
        <w:t>]</w:t>
      </w:r>
    </w:p>
    <w:p w14:paraId="368C733C" w14:textId="77777777" w:rsidR="00355502" w:rsidRPr="004676F5" w:rsidRDefault="00355502">
      <w:pPr>
        <w:rPr>
          <w:lang w:val="de-DE"/>
        </w:rPr>
      </w:pPr>
      <w:r w:rsidRPr="004676F5">
        <w:rPr>
          <w:lang w:val="de-DE"/>
        </w:rPr>
        <w:br w:type="page"/>
      </w:r>
    </w:p>
    <w:p w14:paraId="452D9D5D" w14:textId="641B26E2" w:rsidR="001527B1" w:rsidRPr="004676F5" w:rsidRDefault="001527B1" w:rsidP="001527B1">
      <w:pPr>
        <w:jc w:val="center"/>
        <w:rPr>
          <w:lang w:val="de-DE"/>
        </w:rPr>
      </w:pPr>
      <w:r w:rsidRPr="004676F5">
        <w:rPr>
          <w:lang w:val="de-DE"/>
        </w:rPr>
        <w:lastRenderedPageBreak/>
        <w:t>KAPITEL 8 </w:t>
      </w:r>
      <w:r w:rsidR="005B7A5C" w:rsidRPr="004676F5">
        <w:rPr>
          <w:lang w:val="de-DE"/>
        </w:rPr>
        <w:t>- </w:t>
      </w:r>
      <w:r w:rsidRPr="004676F5">
        <w:rPr>
          <w:i/>
          <w:lang w:val="de-DE"/>
        </w:rPr>
        <w:t>Bestimmungen in Bezug auf den öffentlichen Verleih</w:t>
      </w:r>
    </w:p>
    <w:p w14:paraId="01FAC717" w14:textId="77777777" w:rsidR="001527B1" w:rsidRPr="004676F5" w:rsidRDefault="001527B1" w:rsidP="001527B1">
      <w:pPr>
        <w:ind w:firstLine="708"/>
        <w:jc w:val="both"/>
        <w:rPr>
          <w:lang w:val="de-DE"/>
        </w:rPr>
      </w:pPr>
    </w:p>
    <w:p w14:paraId="0CB469B7" w14:textId="77777777" w:rsidR="00355502" w:rsidRPr="004676F5" w:rsidRDefault="00355502" w:rsidP="001527B1">
      <w:pPr>
        <w:ind w:firstLine="708"/>
        <w:jc w:val="both"/>
        <w:rPr>
          <w:lang w:val="de-DE"/>
        </w:rPr>
      </w:pPr>
    </w:p>
    <w:p w14:paraId="00485958" w14:textId="101402AC" w:rsidR="001527B1" w:rsidRPr="004676F5" w:rsidRDefault="00BE0A56" w:rsidP="001527B1">
      <w:pPr>
        <w:ind w:firstLine="708"/>
        <w:jc w:val="both"/>
        <w:rPr>
          <w:lang w:val="de-DE"/>
        </w:rPr>
      </w:pPr>
      <w:r w:rsidRPr="004676F5">
        <w:rPr>
          <w:b/>
          <w:lang w:val="de-DE"/>
        </w:rPr>
        <w:t>Art. </w:t>
      </w:r>
      <w:r w:rsidR="001527B1" w:rsidRPr="004676F5">
        <w:rPr>
          <w:b/>
          <w:lang w:val="de-DE"/>
        </w:rPr>
        <w:t>XI.243</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Werden Werke der Literatur, Datenbanken, fotografische Werke oder Partituren von Musikwerken unter den in Artikel XI.192 festgelegten Bedingungen verliehen, haben Urheber und Verleger Anspruch auf eine Vergütung.</w:t>
      </w:r>
    </w:p>
    <w:p w14:paraId="7298307D" w14:textId="77777777" w:rsidR="001527B1" w:rsidRPr="004676F5" w:rsidRDefault="001527B1" w:rsidP="001527B1">
      <w:pPr>
        <w:ind w:firstLine="708"/>
        <w:jc w:val="both"/>
        <w:rPr>
          <w:lang w:val="de-DE"/>
        </w:rPr>
      </w:pPr>
    </w:p>
    <w:p w14:paraId="538930D0" w14:textId="143F744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Werden akustische oder audiovisuelle Werke unter den in den Artikeln XI.192 und XI.218 festgelegten Bedingungen verliehen, haben Urheber, ausübender Künstler und Produzent Anspruch auf eine Vergütung.</w:t>
      </w:r>
    </w:p>
    <w:p w14:paraId="51227134" w14:textId="77777777" w:rsidR="001527B1" w:rsidRPr="004676F5" w:rsidRDefault="001527B1" w:rsidP="001527B1">
      <w:pPr>
        <w:ind w:firstLine="708"/>
        <w:jc w:val="both"/>
        <w:rPr>
          <w:lang w:val="de-DE"/>
        </w:rPr>
      </w:pPr>
    </w:p>
    <w:p w14:paraId="315DC955" w14:textId="77777777" w:rsidR="00355502" w:rsidRPr="004676F5" w:rsidRDefault="00355502" w:rsidP="001527B1">
      <w:pPr>
        <w:ind w:firstLine="708"/>
        <w:jc w:val="both"/>
        <w:rPr>
          <w:lang w:val="de-DE"/>
        </w:rPr>
      </w:pPr>
    </w:p>
    <w:p w14:paraId="76019BDD" w14:textId="44E93454" w:rsidR="001527B1" w:rsidRPr="004676F5" w:rsidRDefault="00BE0A56" w:rsidP="001527B1">
      <w:pPr>
        <w:ind w:firstLine="708"/>
        <w:jc w:val="both"/>
        <w:rPr>
          <w:lang w:val="de-DE"/>
        </w:rPr>
      </w:pPr>
      <w:r w:rsidRPr="004676F5">
        <w:rPr>
          <w:b/>
          <w:lang w:val="de-DE"/>
        </w:rPr>
        <w:t>Art. </w:t>
      </w:r>
      <w:r w:rsidR="001527B1" w:rsidRPr="004676F5">
        <w:rPr>
          <w:b/>
          <w:lang w:val="de-DE"/>
        </w:rPr>
        <w:t>XI.244</w:t>
      </w:r>
      <w:r w:rsidR="001527B1" w:rsidRPr="004676F5">
        <w:rPr>
          <w:lang w:val="de-DE"/>
        </w:rPr>
        <w:t> </w:t>
      </w:r>
      <w:r w:rsidR="005B7A5C" w:rsidRPr="004676F5">
        <w:rPr>
          <w:lang w:val="de-DE"/>
        </w:rPr>
        <w:t>- </w:t>
      </w:r>
      <w:r w:rsidR="001527B1" w:rsidRPr="004676F5">
        <w:rPr>
          <w:lang w:val="de-DE"/>
        </w:rPr>
        <w:t>Nach Konsultierung der Gemeinschaften und der Verwertungseinrich</w:t>
      </w:r>
      <w:r w:rsidR="001527B1" w:rsidRPr="004676F5">
        <w:rPr>
          <w:lang w:val="de-DE"/>
        </w:rPr>
        <w:softHyphen/>
        <w:t>tungen und -gesellschaften legt der König die Höhe der in Artikel XI.243 erwähnten Vergütungen fest.</w:t>
      </w:r>
    </w:p>
    <w:p w14:paraId="36C57342" w14:textId="77777777" w:rsidR="001527B1" w:rsidRPr="004676F5" w:rsidRDefault="001527B1" w:rsidP="001527B1">
      <w:pPr>
        <w:ind w:firstLine="708"/>
        <w:jc w:val="both"/>
        <w:rPr>
          <w:lang w:val="de-DE"/>
        </w:rPr>
      </w:pPr>
    </w:p>
    <w:p w14:paraId="4FE37C20" w14:textId="77777777" w:rsidR="001527B1" w:rsidRPr="004676F5" w:rsidRDefault="001527B1" w:rsidP="001527B1">
      <w:pPr>
        <w:ind w:firstLine="708"/>
        <w:jc w:val="both"/>
        <w:rPr>
          <w:lang w:val="de-DE"/>
        </w:rPr>
      </w:pPr>
      <w:r w:rsidRPr="004676F5">
        <w:rPr>
          <w:lang w:val="de-DE"/>
        </w:rPr>
        <w:t>Der König kann die Höhe der in Artikel XI.243 erwähnten Vergütungen unter anderem festlegen aufgrund:</w:t>
      </w:r>
    </w:p>
    <w:p w14:paraId="651DA699" w14:textId="77777777" w:rsidR="001527B1" w:rsidRPr="004676F5" w:rsidRDefault="001527B1" w:rsidP="001527B1">
      <w:pPr>
        <w:ind w:firstLine="708"/>
        <w:jc w:val="both"/>
        <w:rPr>
          <w:lang w:val="de-DE"/>
        </w:rPr>
      </w:pPr>
    </w:p>
    <w:p w14:paraId="3D8D26A8" w14:textId="77777777" w:rsidR="001527B1" w:rsidRPr="004676F5" w:rsidRDefault="001527B1" w:rsidP="001527B1">
      <w:pPr>
        <w:ind w:firstLine="708"/>
        <w:jc w:val="both"/>
        <w:rPr>
          <w:lang w:val="de-DE"/>
        </w:rPr>
      </w:pPr>
      <w:r w:rsidRPr="004676F5">
        <w:rPr>
          <w:lang w:val="de-DE"/>
        </w:rPr>
        <w:t>1. des Umfangs der Sammlung der Verleiheinrichtung und/oder</w:t>
      </w:r>
    </w:p>
    <w:p w14:paraId="6B10C429" w14:textId="77777777" w:rsidR="001527B1" w:rsidRPr="004676F5" w:rsidRDefault="001527B1" w:rsidP="001527B1">
      <w:pPr>
        <w:ind w:firstLine="708"/>
        <w:jc w:val="both"/>
        <w:rPr>
          <w:lang w:val="de-DE"/>
        </w:rPr>
      </w:pPr>
    </w:p>
    <w:p w14:paraId="7D423D85" w14:textId="77777777" w:rsidR="001527B1" w:rsidRPr="004676F5" w:rsidRDefault="001527B1" w:rsidP="001527B1">
      <w:pPr>
        <w:ind w:firstLine="708"/>
        <w:jc w:val="both"/>
        <w:rPr>
          <w:lang w:val="de-DE"/>
        </w:rPr>
      </w:pPr>
      <w:r w:rsidRPr="004676F5">
        <w:rPr>
          <w:lang w:val="de-DE"/>
        </w:rPr>
        <w:t>2. der Anzahl Verleihe pro Einrichtung.</w:t>
      </w:r>
    </w:p>
    <w:p w14:paraId="713F156B" w14:textId="77777777" w:rsidR="001527B1" w:rsidRPr="004676F5" w:rsidRDefault="001527B1" w:rsidP="001527B1">
      <w:pPr>
        <w:ind w:firstLine="708"/>
        <w:jc w:val="both"/>
        <w:rPr>
          <w:lang w:val="de-DE"/>
        </w:rPr>
      </w:pPr>
    </w:p>
    <w:p w14:paraId="1C259EB0" w14:textId="77777777" w:rsidR="001527B1" w:rsidRPr="004676F5" w:rsidRDefault="001527B1" w:rsidP="001527B1">
      <w:pPr>
        <w:ind w:firstLine="708"/>
        <w:jc w:val="both"/>
        <w:rPr>
          <w:lang w:val="de-DE"/>
        </w:rPr>
      </w:pPr>
      <w:r w:rsidRPr="004676F5">
        <w:rPr>
          <w:lang w:val="de-DE"/>
        </w:rPr>
        <w:t xml:space="preserve">Diese Vergütungen werden von den </w:t>
      </w:r>
      <w:r w:rsidR="00F269C4" w:rsidRPr="004676F5">
        <w:rPr>
          <w:lang w:val="de-DE"/>
        </w:rPr>
        <w:t>[Verwer</w:t>
      </w:r>
      <w:r w:rsidR="00F269C4" w:rsidRPr="004676F5">
        <w:rPr>
          <w:lang w:val="de-DE"/>
        </w:rPr>
        <w:softHyphen/>
        <w:t>tungs</w:t>
      </w:r>
      <w:r w:rsidR="00F269C4" w:rsidRPr="004676F5">
        <w:rPr>
          <w:lang w:val="de-DE"/>
        </w:rPr>
        <w:softHyphen/>
        <w:t>gesellschaften und/oder Organisationen für die kollektive Rechtewahrnehmung, die in Belgien die in Artikel XI.243 erwähnte Vergütung verwalten,]</w:t>
      </w:r>
      <w:r w:rsidRPr="004676F5">
        <w:rPr>
          <w:lang w:val="de-DE"/>
        </w:rPr>
        <w:t xml:space="preserve"> eingenommen.</w:t>
      </w:r>
    </w:p>
    <w:p w14:paraId="6A45804E" w14:textId="77777777" w:rsidR="001527B1" w:rsidRPr="004676F5" w:rsidRDefault="001527B1" w:rsidP="001527B1">
      <w:pPr>
        <w:ind w:firstLine="708"/>
        <w:jc w:val="both"/>
        <w:rPr>
          <w:lang w:val="de-DE"/>
        </w:rPr>
      </w:pPr>
    </w:p>
    <w:p w14:paraId="07581D49" w14:textId="77777777" w:rsidR="001527B1" w:rsidRPr="004676F5" w:rsidRDefault="001527B1" w:rsidP="001527B1">
      <w:pPr>
        <w:ind w:firstLine="708"/>
        <w:jc w:val="both"/>
        <w:rPr>
          <w:lang w:val="de-DE"/>
        </w:rPr>
      </w:pPr>
      <w:r w:rsidRPr="004676F5">
        <w:rPr>
          <w:lang w:val="de-DE"/>
        </w:rPr>
        <w:t xml:space="preserve">Der König kann gemäß den von Ihm festgelegten Bedingungen und Modalitäten </w:t>
      </w:r>
      <w:r w:rsidR="00F269C4" w:rsidRPr="004676F5">
        <w:rPr>
          <w:lang w:val="de-DE"/>
        </w:rPr>
        <w:t>[eine Verwertungsgesellschaft, die alle Verwertungsgesellschaften und Organisationen für die kollektive Rechtewahrnehmung vertritt, die in Belgien die in Artikel XI.243 erwähnte Vergütung verwalten]</w:t>
      </w:r>
      <w:r w:rsidRPr="004676F5">
        <w:rPr>
          <w:lang w:val="de-DE"/>
        </w:rPr>
        <w:t>, mit Einnahme und Verteilung der Vergütung für öffentlichen Verleih beauftragen.</w:t>
      </w:r>
    </w:p>
    <w:p w14:paraId="5A68310A" w14:textId="77777777" w:rsidR="001527B1" w:rsidRPr="004676F5" w:rsidRDefault="001527B1" w:rsidP="001527B1">
      <w:pPr>
        <w:ind w:firstLine="708"/>
        <w:jc w:val="both"/>
        <w:rPr>
          <w:lang w:val="de-DE"/>
        </w:rPr>
      </w:pPr>
    </w:p>
    <w:p w14:paraId="6A2E3D53" w14:textId="77777777" w:rsidR="001527B1" w:rsidRPr="004676F5" w:rsidRDefault="001527B1" w:rsidP="001527B1">
      <w:pPr>
        <w:ind w:firstLine="708"/>
        <w:jc w:val="both"/>
        <w:rPr>
          <w:lang w:val="de-DE"/>
        </w:rPr>
      </w:pPr>
      <w:r w:rsidRPr="004676F5">
        <w:rPr>
          <w:lang w:val="de-DE"/>
        </w:rPr>
        <w:t>Bei Festlegung der in Artikel XI.243 erwähnten Vergütung bestimmt der König nach Konsultierung der Gemeinschaften und gegebenenfalls auf deren Initiative für bestimmte Kategorien von Einrichtungen, die von den Behörden anerkannt oder eingerichtet wurden, einen Pauschalpreis pro Verleih oder die Befreiung davon.</w:t>
      </w:r>
    </w:p>
    <w:p w14:paraId="0AF37A30" w14:textId="77777777" w:rsidR="001527B1" w:rsidRPr="004676F5" w:rsidRDefault="001527B1" w:rsidP="001527B1">
      <w:pPr>
        <w:ind w:firstLine="708"/>
        <w:jc w:val="both"/>
        <w:rPr>
          <w:lang w:val="de-DE"/>
        </w:rPr>
      </w:pPr>
    </w:p>
    <w:p w14:paraId="39A33F88" w14:textId="5646EB53" w:rsidR="00F269C4" w:rsidRPr="004676F5" w:rsidRDefault="00F269C4" w:rsidP="00F269C4">
      <w:pPr>
        <w:jc w:val="both"/>
        <w:rPr>
          <w:i/>
          <w:lang w:val="de-DE"/>
        </w:rPr>
      </w:pPr>
      <w:r w:rsidRPr="004676F5">
        <w:rPr>
          <w:i/>
          <w:lang w:val="de-DE"/>
        </w:rPr>
        <w:t>[</w:t>
      </w:r>
      <w:r w:rsidR="00BE0A56" w:rsidRPr="004676F5">
        <w:rPr>
          <w:i/>
          <w:lang w:val="de-DE"/>
        </w:rPr>
        <w:t>Art. </w:t>
      </w:r>
      <w:r w:rsidRPr="004676F5">
        <w:rPr>
          <w:i/>
          <w:lang w:val="de-DE"/>
        </w:rPr>
        <w:t xml:space="preserve">XI.244 Abs. 3 abgeändert durch </w:t>
      </w:r>
      <w:r w:rsidR="00BE0A56" w:rsidRPr="004676F5">
        <w:rPr>
          <w:i/>
          <w:lang w:val="de-DE"/>
        </w:rPr>
        <w:t>Art. </w:t>
      </w:r>
      <w:r w:rsidRPr="004676F5">
        <w:rPr>
          <w:i/>
          <w:lang w:val="de-DE"/>
        </w:rPr>
        <w:t xml:space="preserve">17 Nr. 2 des G. vom 8. Juni 2017 (B.S. vom 27. Juni 2017); Abs. 4 abgeändert durch </w:t>
      </w:r>
      <w:r w:rsidR="00BE0A56" w:rsidRPr="004676F5">
        <w:rPr>
          <w:i/>
          <w:lang w:val="de-DE"/>
        </w:rPr>
        <w:t>Art. </w:t>
      </w:r>
      <w:r w:rsidRPr="004676F5">
        <w:rPr>
          <w:i/>
          <w:lang w:val="de-DE"/>
        </w:rPr>
        <w:t>17 Nr. 3 des G. vom 8. Juni 2017 (B.S. vom 27. Juni 2017)]</w:t>
      </w:r>
    </w:p>
    <w:p w14:paraId="46C911CF" w14:textId="77777777" w:rsidR="00F269C4" w:rsidRPr="004676F5" w:rsidRDefault="00F269C4" w:rsidP="00F269C4">
      <w:pPr>
        <w:jc w:val="both"/>
        <w:rPr>
          <w:i/>
          <w:lang w:val="de-DE"/>
        </w:rPr>
      </w:pPr>
    </w:p>
    <w:p w14:paraId="2ABCFE07" w14:textId="77777777" w:rsidR="00355502" w:rsidRPr="004676F5" w:rsidRDefault="00355502" w:rsidP="001527B1">
      <w:pPr>
        <w:ind w:firstLine="708"/>
        <w:jc w:val="both"/>
        <w:rPr>
          <w:lang w:val="de-DE"/>
        </w:rPr>
      </w:pPr>
    </w:p>
    <w:p w14:paraId="2F6A257D" w14:textId="0BFBA785" w:rsidR="001527B1" w:rsidRPr="004676F5" w:rsidRDefault="00BE0A56" w:rsidP="001527B1">
      <w:pPr>
        <w:ind w:firstLine="708"/>
        <w:jc w:val="both"/>
        <w:rPr>
          <w:lang w:val="de-DE"/>
        </w:rPr>
      </w:pPr>
      <w:r w:rsidRPr="004676F5">
        <w:rPr>
          <w:b/>
          <w:lang w:val="de-DE"/>
        </w:rPr>
        <w:t>Art. </w:t>
      </w:r>
      <w:r w:rsidR="001527B1" w:rsidRPr="004676F5">
        <w:rPr>
          <w:b/>
          <w:lang w:val="de-DE"/>
        </w:rPr>
        <w:t>XI.245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Unter Vorbehalt internationaler Übereinkommen wird die in Artikel XI.243 § 1 erwähnte Vergütung im Verhältnis von 70 zu 30 Prozent unter Urheber beziehungsweise Verleger verteilt.</w:t>
      </w:r>
    </w:p>
    <w:p w14:paraId="162D092D" w14:textId="77777777" w:rsidR="001527B1" w:rsidRPr="004676F5" w:rsidRDefault="001527B1" w:rsidP="001527B1">
      <w:pPr>
        <w:ind w:firstLine="708"/>
        <w:jc w:val="both"/>
        <w:rPr>
          <w:lang w:val="de-DE"/>
        </w:rPr>
      </w:pPr>
    </w:p>
    <w:p w14:paraId="58C5B1E0" w14:textId="19991BC0"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Unter Vorbehalt internationaler Übereinkommen wird die in Artikel XI.243 § 2 erwähnte Vergütung je zu einem Drittel unter die Urheber, ausübenden Künstler und Produzenten verteilt.</w:t>
      </w:r>
    </w:p>
    <w:p w14:paraId="3345D6DC" w14:textId="77777777" w:rsidR="001527B1" w:rsidRPr="004676F5" w:rsidRDefault="001527B1" w:rsidP="001527B1">
      <w:pPr>
        <w:ind w:firstLine="708"/>
        <w:jc w:val="both"/>
        <w:rPr>
          <w:lang w:val="de-DE"/>
        </w:rPr>
      </w:pPr>
    </w:p>
    <w:p w14:paraId="195092C3" w14:textId="67CEAFEA"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Paragraphen 1 und 2 sind verbindlich.</w:t>
      </w:r>
    </w:p>
    <w:p w14:paraId="431AF857" w14:textId="77777777" w:rsidR="001527B1" w:rsidRPr="004676F5" w:rsidRDefault="001527B1" w:rsidP="001527B1">
      <w:pPr>
        <w:ind w:firstLine="708"/>
        <w:jc w:val="both"/>
        <w:rPr>
          <w:lang w:val="de-DE"/>
        </w:rPr>
      </w:pPr>
    </w:p>
    <w:p w14:paraId="7CB5EF9A" w14:textId="77777777" w:rsidR="001527B1" w:rsidRPr="004676F5" w:rsidRDefault="001527B1" w:rsidP="001527B1">
      <w:pPr>
        <w:ind w:firstLine="708"/>
        <w:jc w:val="both"/>
        <w:rPr>
          <w:lang w:val="de-DE"/>
        </w:rPr>
      </w:pPr>
      <w:r w:rsidRPr="004676F5">
        <w:rPr>
          <w:lang w:val="de-DE"/>
        </w:rPr>
        <w:t>Der Teil der in Artikel XI.243 § 1 erwähnten Vergütung, auf den Urheber Anspruch haben, ist nicht abtretbar.</w:t>
      </w:r>
    </w:p>
    <w:p w14:paraId="6AB5EA84" w14:textId="77777777" w:rsidR="001527B1" w:rsidRPr="004676F5" w:rsidRDefault="001527B1" w:rsidP="001527B1">
      <w:pPr>
        <w:ind w:firstLine="708"/>
        <w:jc w:val="both"/>
        <w:rPr>
          <w:lang w:val="de-DE"/>
        </w:rPr>
      </w:pPr>
    </w:p>
    <w:p w14:paraId="5FF2C8A8" w14:textId="77777777" w:rsidR="001527B1" w:rsidRPr="004676F5" w:rsidRDefault="001527B1" w:rsidP="001527B1">
      <w:pPr>
        <w:ind w:firstLine="708"/>
        <w:jc w:val="both"/>
        <w:rPr>
          <w:lang w:val="de-DE"/>
        </w:rPr>
      </w:pPr>
      <w:r w:rsidRPr="004676F5">
        <w:rPr>
          <w:lang w:val="de-DE"/>
        </w:rPr>
        <w:t>Der Teil der in Artikel XI.243 § 2 erwähnten Vergütung, auf den Urheber und ausübende Künstler Anspruch haben, ist nicht abtretbar.</w:t>
      </w:r>
    </w:p>
    <w:p w14:paraId="0008B4CB" w14:textId="77777777" w:rsidR="002A1316" w:rsidRPr="004676F5" w:rsidRDefault="002A1316">
      <w:pPr>
        <w:rPr>
          <w:lang w:val="de-DE"/>
        </w:rPr>
      </w:pPr>
      <w:r w:rsidRPr="004676F5">
        <w:rPr>
          <w:lang w:val="de-DE"/>
        </w:rPr>
        <w:br w:type="page"/>
      </w:r>
    </w:p>
    <w:p w14:paraId="690C8877" w14:textId="436F6C9F" w:rsidR="002A1316" w:rsidRPr="004676F5" w:rsidRDefault="002A1316" w:rsidP="002A1316">
      <w:pPr>
        <w:jc w:val="center"/>
        <w:rPr>
          <w:lang w:val="de-DE"/>
        </w:rPr>
      </w:pPr>
      <w:r w:rsidRPr="004676F5">
        <w:rPr>
          <w:lang w:val="de-DE"/>
        </w:rPr>
        <w:lastRenderedPageBreak/>
        <w:t>[KAPITEL 8/1 </w:t>
      </w:r>
      <w:r w:rsidR="005B7A5C" w:rsidRPr="004676F5">
        <w:rPr>
          <w:lang w:val="de-DE"/>
        </w:rPr>
        <w:t>- </w:t>
      </w:r>
      <w:r w:rsidRPr="004676F5">
        <w:rPr>
          <w:i/>
          <w:lang w:val="de-DE"/>
        </w:rPr>
        <w:t>Bestimmungen in Bezug auf verwaiste Werke</w:t>
      </w:r>
      <w:r w:rsidRPr="004676F5">
        <w:rPr>
          <w:lang w:val="de-DE"/>
        </w:rPr>
        <w:t>]</w:t>
      </w:r>
    </w:p>
    <w:p w14:paraId="20DC2A54" w14:textId="77777777" w:rsidR="001527B1" w:rsidRPr="004676F5" w:rsidRDefault="001527B1" w:rsidP="002A1316">
      <w:pPr>
        <w:jc w:val="both"/>
        <w:rPr>
          <w:lang w:val="de-DE"/>
        </w:rPr>
      </w:pPr>
    </w:p>
    <w:p w14:paraId="3950AB9D" w14:textId="4FB8CF87" w:rsidR="002A1316" w:rsidRPr="004676F5" w:rsidRDefault="002A1316" w:rsidP="002A1316">
      <w:pPr>
        <w:jc w:val="both"/>
        <w:rPr>
          <w:lang w:val="de-DE"/>
        </w:rPr>
      </w:pPr>
      <w:r w:rsidRPr="004676F5">
        <w:rPr>
          <w:i/>
          <w:lang w:val="de-DE"/>
        </w:rPr>
        <w:t xml:space="preserve">[Unterteilung Kapitel 8/1 eingefügt durch </w:t>
      </w:r>
      <w:r w:rsidR="00BE0A56" w:rsidRPr="004676F5">
        <w:rPr>
          <w:i/>
          <w:lang w:val="de-DE"/>
        </w:rPr>
        <w:t>Art. </w:t>
      </w:r>
      <w:r w:rsidRPr="004676F5">
        <w:rPr>
          <w:i/>
          <w:lang w:val="de-DE"/>
        </w:rPr>
        <w:t>10 des G. vom 20. Juli 2015 (B.S. vom 24. August 2015)]</w:t>
      </w:r>
    </w:p>
    <w:p w14:paraId="66D46A5E" w14:textId="77777777" w:rsidR="002A1316" w:rsidRPr="004676F5" w:rsidRDefault="002A1316" w:rsidP="002A1316">
      <w:pPr>
        <w:jc w:val="both"/>
        <w:rPr>
          <w:lang w:val="de-DE"/>
        </w:rPr>
      </w:pPr>
    </w:p>
    <w:p w14:paraId="7E018B29" w14:textId="77777777" w:rsidR="002A1316" w:rsidRPr="004676F5" w:rsidRDefault="002A1316" w:rsidP="002A1316">
      <w:pPr>
        <w:jc w:val="both"/>
        <w:rPr>
          <w:lang w:val="de-DE"/>
        </w:rPr>
      </w:pPr>
    </w:p>
    <w:p w14:paraId="1C449D22" w14:textId="385EFB3E"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XI.245/1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Werk oder Tonträger wie in Artikel XI.245/2 bestimmt gilt als verwaistes Werk, wenn keiner der Rechtsinhaber ermittelt ist oder, selbst wenn einer oder mehrere von ihnen ermittelt sind, keiner ausfindig gemacht worden ist, obwohl eine sorgfältige Suche nach den Rechtsinhabern gemäß den Artikeln XI.245/3 und XI.245/4 durchgeführt und dokumentiert worden ist.</w:t>
      </w:r>
    </w:p>
    <w:p w14:paraId="0F4CD0EF" w14:textId="77777777" w:rsidR="002A1316" w:rsidRPr="004676F5" w:rsidRDefault="002A1316" w:rsidP="002A1316">
      <w:pPr>
        <w:jc w:val="both"/>
        <w:rPr>
          <w:lang w:val="de-DE"/>
        </w:rPr>
      </w:pPr>
    </w:p>
    <w:p w14:paraId="10F8216A" w14:textId="5E6C15FA" w:rsidR="002A1316" w:rsidRPr="004676F5" w:rsidRDefault="002A1316" w:rsidP="002A1316">
      <w:pPr>
        <w:jc w:val="both"/>
        <w:rPr>
          <w:lang w:val="de-DE"/>
        </w:rPr>
      </w:pPr>
      <w:r w:rsidRPr="004676F5">
        <w:rPr>
          <w:lang w:val="de-DE"/>
        </w:rPr>
        <w:tab/>
        <w:t>§ 2 </w:t>
      </w:r>
      <w:r w:rsidR="005B7A5C" w:rsidRPr="004676F5">
        <w:rPr>
          <w:lang w:val="de-DE"/>
        </w:rPr>
        <w:t>- </w:t>
      </w:r>
      <w:r w:rsidRPr="004676F5">
        <w:rPr>
          <w:lang w:val="de-DE"/>
        </w:rPr>
        <w:t xml:space="preserve">Ein Werk oder Tonträger wie in Artikel XI.245/2 bestimmt mit mehr als einem Rechtsinhaber gilt ebenfalls als verwaistes Werk, wenn: </w:t>
      </w:r>
    </w:p>
    <w:p w14:paraId="1A26A904" w14:textId="77777777" w:rsidR="002A1316" w:rsidRPr="004676F5" w:rsidRDefault="002A1316" w:rsidP="002A1316">
      <w:pPr>
        <w:jc w:val="both"/>
        <w:rPr>
          <w:lang w:val="de-DE"/>
        </w:rPr>
      </w:pPr>
    </w:p>
    <w:p w14:paraId="582EB932" w14:textId="77777777" w:rsidR="002A1316" w:rsidRPr="004676F5" w:rsidRDefault="002A1316" w:rsidP="002A1316">
      <w:pPr>
        <w:jc w:val="both"/>
        <w:rPr>
          <w:lang w:val="de-DE"/>
        </w:rPr>
      </w:pPr>
      <w:r w:rsidRPr="004676F5">
        <w:rPr>
          <w:lang w:val="de-DE"/>
        </w:rPr>
        <w:tab/>
        <w:t>1. nicht alle Rechtsinhaber ermittelt oder, selbst wenn ermittelt, ausfindig gemacht worden sind, obwohl eine sorgfältige Suche gemäß den Artikeln XI.245/3 und XI.245/4 durchgeführt und dokumentiert worden ist,</w:t>
      </w:r>
    </w:p>
    <w:p w14:paraId="13839C97" w14:textId="77777777" w:rsidR="002A1316" w:rsidRPr="004676F5" w:rsidRDefault="002A1316" w:rsidP="002A1316">
      <w:pPr>
        <w:jc w:val="both"/>
        <w:rPr>
          <w:lang w:val="de-DE"/>
        </w:rPr>
      </w:pPr>
    </w:p>
    <w:p w14:paraId="3B1B1623" w14:textId="77777777" w:rsidR="002A1316" w:rsidRPr="004676F5" w:rsidRDefault="002A1316" w:rsidP="002A1316">
      <w:pPr>
        <w:jc w:val="both"/>
        <w:rPr>
          <w:lang w:val="de-DE"/>
        </w:rPr>
      </w:pPr>
      <w:r w:rsidRPr="004676F5">
        <w:rPr>
          <w:lang w:val="de-DE"/>
        </w:rPr>
        <w:tab/>
        <w:t>2. die Rechtsinhaber, die ermittelt und ausfindig gemacht worden sind, in Bezug auf die von ihnen gehaltenen Rechte die in Artikel XI.192/1 und XI.218/1 genannten Einrichtungen und Anstalten ermächtigt haben, die Werke beziehungsweise Tonträger gemäß den Artikeln XI.192/1 und XI.218/1 zu vervielfältigen und öffentlich zugänglich zu machen.]</w:t>
      </w:r>
    </w:p>
    <w:p w14:paraId="192D08EB" w14:textId="77777777" w:rsidR="002A1316" w:rsidRPr="004676F5" w:rsidRDefault="002A1316" w:rsidP="002A1316">
      <w:pPr>
        <w:jc w:val="both"/>
        <w:rPr>
          <w:lang w:val="de-DE"/>
        </w:rPr>
      </w:pPr>
    </w:p>
    <w:p w14:paraId="6FBBEECB" w14:textId="1CACEAAB"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XI.245/1 eingefügt durch </w:t>
      </w:r>
      <w:r w:rsidR="00BE0A56" w:rsidRPr="004676F5">
        <w:rPr>
          <w:i/>
          <w:lang w:val="de-DE"/>
        </w:rPr>
        <w:t>Art. </w:t>
      </w:r>
      <w:r w:rsidRPr="004676F5">
        <w:rPr>
          <w:i/>
          <w:lang w:val="de-DE"/>
        </w:rPr>
        <w:t>11 des G. vom 20. Juli 2015 (B.S. vom 24. August 2015)]</w:t>
      </w:r>
    </w:p>
    <w:p w14:paraId="17C4D045" w14:textId="77777777" w:rsidR="002A1316" w:rsidRPr="004676F5" w:rsidRDefault="002A1316" w:rsidP="002A1316">
      <w:pPr>
        <w:jc w:val="both"/>
        <w:rPr>
          <w:lang w:val="de-DE"/>
        </w:rPr>
      </w:pPr>
    </w:p>
    <w:p w14:paraId="7476978B" w14:textId="77777777" w:rsidR="002A1316" w:rsidRPr="004676F5" w:rsidRDefault="002A1316" w:rsidP="002A1316">
      <w:pPr>
        <w:jc w:val="both"/>
        <w:rPr>
          <w:lang w:val="de-DE"/>
        </w:rPr>
      </w:pPr>
    </w:p>
    <w:p w14:paraId="04A09D58" w14:textId="0F606F0A"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XI.245/2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Für die Anwendung der Artikel XI.192/1 und XI.218/1 können nur folgende Werke als verwaistes Werk gelten:</w:t>
      </w:r>
    </w:p>
    <w:p w14:paraId="20C0F789" w14:textId="77777777" w:rsidR="002A1316" w:rsidRPr="004676F5" w:rsidRDefault="002A1316" w:rsidP="002A1316">
      <w:pPr>
        <w:jc w:val="both"/>
        <w:rPr>
          <w:lang w:val="de-DE"/>
        </w:rPr>
      </w:pPr>
    </w:p>
    <w:p w14:paraId="25E50FF3" w14:textId="206FF21B" w:rsidR="002A1316" w:rsidRPr="004676F5" w:rsidRDefault="002A1316" w:rsidP="002A1316">
      <w:pPr>
        <w:jc w:val="both"/>
        <w:rPr>
          <w:lang w:val="de-DE"/>
        </w:rPr>
      </w:pPr>
      <w:r w:rsidRPr="004676F5">
        <w:rPr>
          <w:lang w:val="de-DE"/>
        </w:rPr>
        <w:tab/>
      </w:r>
      <w:r w:rsidRPr="004676F5">
        <w:rPr>
          <w:i/>
          <w:lang w:val="de-DE"/>
        </w:rPr>
        <w:t>a)</w:t>
      </w:r>
      <w:r w:rsidRPr="004676F5">
        <w:rPr>
          <w:lang w:val="de-DE"/>
        </w:rPr>
        <w:t> Werke, die in Form von Büchern, Fachzeitschriften, Zeitungen, Zeitschriften oder in sonstiger Schriftform veröffentlicht wurden und die in Sammlungen öffentlich zugänglicher Bibliotheken, Bildungseinrichtungen oder Museen sowie in den Sammlungen von Archiven oder im Bereich des Film</w:t>
      </w:r>
      <w:r w:rsidR="005B7A5C" w:rsidRPr="004676F5">
        <w:rPr>
          <w:lang w:val="de-DE"/>
        </w:rPr>
        <w:t>- </w:t>
      </w:r>
      <w:r w:rsidRPr="004676F5">
        <w:rPr>
          <w:lang w:val="de-DE"/>
        </w:rPr>
        <w:t>oder Tonerbes tätigen Einrichtungen enthalten sind,</w:t>
      </w:r>
    </w:p>
    <w:p w14:paraId="5FA19433" w14:textId="77777777" w:rsidR="002A1316" w:rsidRPr="004676F5" w:rsidRDefault="002A1316" w:rsidP="002A1316">
      <w:pPr>
        <w:jc w:val="both"/>
        <w:rPr>
          <w:lang w:val="de-DE"/>
        </w:rPr>
      </w:pPr>
    </w:p>
    <w:p w14:paraId="54BF47D6" w14:textId="4418B0D5" w:rsidR="002A1316" w:rsidRPr="004676F5" w:rsidRDefault="002A1316" w:rsidP="002A1316">
      <w:pPr>
        <w:jc w:val="both"/>
        <w:rPr>
          <w:lang w:val="de-DE"/>
        </w:rPr>
      </w:pPr>
      <w:r w:rsidRPr="004676F5">
        <w:rPr>
          <w:lang w:val="de-DE"/>
        </w:rPr>
        <w:tab/>
      </w:r>
      <w:r w:rsidRPr="004676F5">
        <w:rPr>
          <w:i/>
          <w:lang w:val="de-DE"/>
        </w:rPr>
        <w:t>b)</w:t>
      </w:r>
      <w:r w:rsidRPr="004676F5">
        <w:rPr>
          <w:lang w:val="de-DE"/>
        </w:rPr>
        <w:t> Film</w:t>
      </w:r>
      <w:r w:rsidR="005B7A5C" w:rsidRPr="004676F5">
        <w:rPr>
          <w:lang w:val="de-DE"/>
        </w:rPr>
        <w:t>- </w:t>
      </w:r>
      <w:r w:rsidRPr="004676F5">
        <w:rPr>
          <w:lang w:val="de-DE"/>
        </w:rPr>
        <w:t>oder audiovisuelle Werke und Tonträger, die in den Sammlungen von öffentlich zugänglichen Bibliotheken, Bildungseinrichtungen oder Museen sowie in den Sammlungen von Archiven oder im Bereich des Film</w:t>
      </w:r>
      <w:r w:rsidR="005B7A5C" w:rsidRPr="004676F5">
        <w:rPr>
          <w:lang w:val="de-DE"/>
        </w:rPr>
        <w:t>- </w:t>
      </w:r>
      <w:r w:rsidRPr="004676F5">
        <w:rPr>
          <w:lang w:val="de-DE"/>
        </w:rPr>
        <w:t>oder Tonerbes tätigen Einrichtungen enthalten sind, und</w:t>
      </w:r>
    </w:p>
    <w:p w14:paraId="4933B861" w14:textId="77777777" w:rsidR="002A1316" w:rsidRPr="004676F5" w:rsidRDefault="002A1316" w:rsidP="002A1316">
      <w:pPr>
        <w:jc w:val="both"/>
        <w:rPr>
          <w:lang w:val="de-DE"/>
        </w:rPr>
      </w:pPr>
    </w:p>
    <w:p w14:paraId="603540B2" w14:textId="20BAF916" w:rsidR="002A1316" w:rsidRPr="004676F5" w:rsidRDefault="002A1316" w:rsidP="002A1316">
      <w:pPr>
        <w:jc w:val="both"/>
        <w:rPr>
          <w:lang w:val="de-DE"/>
        </w:rPr>
      </w:pPr>
      <w:r w:rsidRPr="004676F5">
        <w:rPr>
          <w:lang w:val="de-DE"/>
        </w:rPr>
        <w:tab/>
      </w:r>
      <w:r w:rsidRPr="004676F5">
        <w:rPr>
          <w:i/>
          <w:lang w:val="de-DE"/>
        </w:rPr>
        <w:t>c)</w:t>
      </w:r>
      <w:r w:rsidRPr="004676F5">
        <w:rPr>
          <w:lang w:val="de-DE"/>
        </w:rPr>
        <w:t> Film</w:t>
      </w:r>
      <w:r w:rsidR="005B7A5C" w:rsidRPr="004676F5">
        <w:rPr>
          <w:lang w:val="de-DE"/>
        </w:rPr>
        <w:t>- </w:t>
      </w:r>
      <w:r w:rsidRPr="004676F5">
        <w:rPr>
          <w:lang w:val="de-DE"/>
        </w:rPr>
        <w:t>oder audiovisuelle Werke und Tonträger, die von öffentlich-rechtlichen Rundfunkanstalten bis zum und einschließlich am 31. Dezember 2002 produziert wurden und in ihren Archiven enthalten sind, die urheberrechtlich oder durch verwandte Schutzrechte geschützt sind und zuerst in einem Mitgliedstaat der Europäischen Union veröffentlicht oder, wenn sie nicht veröffentlicht wurden, gesendet wurden.</w:t>
      </w:r>
    </w:p>
    <w:p w14:paraId="75FFD63C" w14:textId="77777777" w:rsidR="002A1316" w:rsidRPr="004676F5" w:rsidRDefault="002A1316" w:rsidP="002A1316">
      <w:pPr>
        <w:jc w:val="both"/>
        <w:rPr>
          <w:lang w:val="de-DE"/>
        </w:rPr>
      </w:pPr>
    </w:p>
    <w:p w14:paraId="72CAB960" w14:textId="577B9974" w:rsidR="002A1316" w:rsidRPr="004676F5" w:rsidRDefault="002A1316" w:rsidP="002A1316">
      <w:pPr>
        <w:jc w:val="both"/>
        <w:rPr>
          <w:lang w:val="de-DE"/>
        </w:rPr>
      </w:pPr>
      <w:r w:rsidRPr="004676F5">
        <w:rPr>
          <w:lang w:val="de-DE"/>
        </w:rPr>
        <w:tab/>
        <w:t>§ 2 </w:t>
      </w:r>
      <w:r w:rsidR="005B7A5C" w:rsidRPr="004676F5">
        <w:rPr>
          <w:lang w:val="de-DE"/>
        </w:rPr>
        <w:t>- </w:t>
      </w:r>
      <w:r w:rsidRPr="004676F5">
        <w:rPr>
          <w:lang w:val="de-DE"/>
        </w:rPr>
        <w:t>Wurden Werke und Tonträger wie in § 1 erwähnt weder veröffentlicht noch gesendet, gelten sie für die Anwendung der Artikel XI.192/1 und XI.218/1 ebenfalls als verwaistes Werk, wenn sie von den in den Artikeln XI.192/1 und XI.218/1 genannten Einrichtungen und Anstalten mit Zustimmung der Rechtsinhaber der Öffentlichkeit zugäng</w:t>
      </w:r>
      <w:r w:rsidRPr="004676F5">
        <w:rPr>
          <w:lang w:val="de-DE"/>
        </w:rPr>
        <w:softHyphen/>
        <w:t>lich gemacht wurden, sofern vernünftigerweise anzunehmen ist, dass sich die Rechtsinhaber der Nutzung gemäß den Artikeln XI.192/1 und XI.218/1 nicht widersetzen würden.</w:t>
      </w:r>
    </w:p>
    <w:p w14:paraId="66368232" w14:textId="77777777" w:rsidR="002A1316" w:rsidRPr="004676F5" w:rsidRDefault="002A1316" w:rsidP="002A1316">
      <w:pPr>
        <w:jc w:val="both"/>
        <w:rPr>
          <w:lang w:val="de-DE"/>
        </w:rPr>
      </w:pPr>
    </w:p>
    <w:p w14:paraId="542DAEC6" w14:textId="0829A7C8" w:rsidR="002A1316" w:rsidRPr="004676F5" w:rsidRDefault="002A1316" w:rsidP="002A1316">
      <w:pPr>
        <w:jc w:val="both"/>
        <w:rPr>
          <w:lang w:val="de-DE"/>
        </w:rPr>
      </w:pPr>
      <w:r w:rsidRPr="004676F5">
        <w:rPr>
          <w:lang w:val="de-DE"/>
        </w:rPr>
        <w:tab/>
        <w:t>§ 3 </w:t>
      </w:r>
      <w:r w:rsidR="005B7A5C" w:rsidRPr="004676F5">
        <w:rPr>
          <w:lang w:val="de-DE"/>
        </w:rPr>
        <w:t>- </w:t>
      </w:r>
      <w:r w:rsidRPr="004676F5">
        <w:rPr>
          <w:lang w:val="de-DE"/>
        </w:rPr>
        <w:t>Werke und Leistungen, die in Werke wie in den Paragraphen 1 und 2 erwähnt eingebettet oder eingebunden oder integraler Bestandteil solcher Werke sind, gelten ebenfalls als verwaistes Werk im Sinne der Artikel XI.192/1 und XI.218/1.]</w:t>
      </w:r>
    </w:p>
    <w:p w14:paraId="7796D05F" w14:textId="77777777" w:rsidR="002A1316" w:rsidRPr="004676F5" w:rsidRDefault="002A1316" w:rsidP="002A1316">
      <w:pPr>
        <w:jc w:val="both"/>
        <w:rPr>
          <w:lang w:val="de-DE"/>
        </w:rPr>
      </w:pPr>
    </w:p>
    <w:p w14:paraId="6FC4C2AC" w14:textId="41AFB29F"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XI.245/2 eingefügt durch </w:t>
      </w:r>
      <w:r w:rsidR="00BE0A56" w:rsidRPr="004676F5">
        <w:rPr>
          <w:i/>
          <w:lang w:val="de-DE"/>
        </w:rPr>
        <w:t>Art. </w:t>
      </w:r>
      <w:r w:rsidRPr="004676F5">
        <w:rPr>
          <w:i/>
          <w:lang w:val="de-DE"/>
        </w:rPr>
        <w:t>12 des G. vom 20. Juli 2015 (B.S. vom 24. August 2015)]</w:t>
      </w:r>
    </w:p>
    <w:p w14:paraId="6A6D2B8E" w14:textId="77777777" w:rsidR="002A1316" w:rsidRPr="004676F5" w:rsidRDefault="002A1316" w:rsidP="002A1316">
      <w:pPr>
        <w:jc w:val="both"/>
        <w:rPr>
          <w:lang w:val="de-DE"/>
        </w:rPr>
      </w:pPr>
    </w:p>
    <w:p w14:paraId="792CD627" w14:textId="77777777" w:rsidR="002A1316" w:rsidRPr="004676F5" w:rsidRDefault="002A1316" w:rsidP="002A1316">
      <w:pPr>
        <w:jc w:val="both"/>
        <w:rPr>
          <w:lang w:val="de-DE"/>
        </w:rPr>
      </w:pPr>
    </w:p>
    <w:p w14:paraId="482081C4" w14:textId="1CD1B8D5"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XI.245/3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Zur Feststellung, ob ein Werk oder Tonträger ein verwaistes Werk ist, sorgen die in den Artikeln XI.192/1 und XI.218/1 genannten Einrichtungen und Anstalten dafür, dass gemäß Artikel XI.245/4 eine sorgfältige Suche nach jedem einzelnen Werk oder Tonträger nach Treu und Glauben durchgeführt wird.</w:t>
      </w:r>
    </w:p>
    <w:p w14:paraId="221F0FC0" w14:textId="77777777" w:rsidR="002A1316" w:rsidRPr="004676F5" w:rsidRDefault="002A1316" w:rsidP="002A1316">
      <w:pPr>
        <w:jc w:val="both"/>
        <w:rPr>
          <w:lang w:val="de-DE"/>
        </w:rPr>
      </w:pPr>
    </w:p>
    <w:p w14:paraId="1CAC0089" w14:textId="77777777" w:rsidR="002A1316" w:rsidRPr="004676F5" w:rsidRDefault="002A1316" w:rsidP="002A1316">
      <w:pPr>
        <w:jc w:val="both"/>
        <w:rPr>
          <w:lang w:val="de-DE"/>
        </w:rPr>
      </w:pPr>
      <w:r w:rsidRPr="004676F5">
        <w:rPr>
          <w:lang w:val="de-DE"/>
        </w:rPr>
        <w:tab/>
        <w:t>Die sorgfältige Suche wird vor der Nutzung des Werkes oder Tonträgers durchgeführt.</w:t>
      </w:r>
    </w:p>
    <w:p w14:paraId="0D9D3BB3" w14:textId="77777777" w:rsidR="002A1316" w:rsidRPr="004676F5" w:rsidRDefault="002A1316" w:rsidP="002A1316">
      <w:pPr>
        <w:jc w:val="both"/>
        <w:rPr>
          <w:lang w:val="de-DE"/>
        </w:rPr>
      </w:pPr>
    </w:p>
    <w:p w14:paraId="6407F0C8" w14:textId="77777777" w:rsidR="002A1316" w:rsidRPr="004676F5" w:rsidRDefault="002A1316" w:rsidP="002A1316">
      <w:pPr>
        <w:jc w:val="both"/>
        <w:rPr>
          <w:lang w:val="de-DE"/>
        </w:rPr>
      </w:pPr>
      <w:r w:rsidRPr="004676F5">
        <w:rPr>
          <w:lang w:val="de-DE"/>
        </w:rPr>
        <w:tab/>
        <w:t>Der Status eines verwaisten Werkes oder Tonträgers gilt ab dem Zeitpunkt, zu dem die sorgfältige Suche von den in den Artikeln XI.192/1 und XI.218/1 genannten Einrichtungen und Anstalten durchgeführt worden ist und diese das Werk oder den Tonträger als verwaist erfasst haben.</w:t>
      </w:r>
    </w:p>
    <w:p w14:paraId="1FAD0FAF" w14:textId="77777777" w:rsidR="002A1316" w:rsidRPr="004676F5" w:rsidRDefault="002A1316" w:rsidP="002A1316">
      <w:pPr>
        <w:jc w:val="both"/>
        <w:rPr>
          <w:lang w:val="de-DE"/>
        </w:rPr>
      </w:pPr>
    </w:p>
    <w:p w14:paraId="4D3F7D0C" w14:textId="5C072B4D" w:rsidR="002A1316" w:rsidRPr="004676F5" w:rsidRDefault="002A1316" w:rsidP="002A1316">
      <w:pPr>
        <w:jc w:val="both"/>
        <w:rPr>
          <w:lang w:val="de-DE"/>
        </w:rPr>
      </w:pPr>
      <w:r w:rsidRPr="004676F5">
        <w:rPr>
          <w:lang w:val="de-DE"/>
        </w:rPr>
        <w:tab/>
        <w:t>§ 2 </w:t>
      </w:r>
      <w:r w:rsidR="005B7A5C" w:rsidRPr="004676F5">
        <w:rPr>
          <w:lang w:val="de-DE"/>
        </w:rPr>
        <w:t>- </w:t>
      </w:r>
      <w:r w:rsidRPr="004676F5">
        <w:rPr>
          <w:lang w:val="de-DE"/>
        </w:rPr>
        <w:t>Ein Werk oder Tonträger, das beziehungsweise der in einem Mitgliedstaat der Europäischen Union oder des Europäischen Wirtschaftsraums als verwaistes Werk gilt, gilt ebenfalls in Belgien als verwaistes Werk.]</w:t>
      </w:r>
    </w:p>
    <w:p w14:paraId="17AD1259" w14:textId="77777777" w:rsidR="002A1316" w:rsidRPr="004676F5" w:rsidRDefault="002A1316" w:rsidP="002A1316">
      <w:pPr>
        <w:jc w:val="both"/>
        <w:rPr>
          <w:lang w:val="de-DE"/>
        </w:rPr>
      </w:pPr>
    </w:p>
    <w:p w14:paraId="65A5A3C4" w14:textId="1E32073F"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XI.245/3 eingefügt durch </w:t>
      </w:r>
      <w:r w:rsidR="00BE0A56" w:rsidRPr="004676F5">
        <w:rPr>
          <w:i/>
          <w:lang w:val="de-DE"/>
        </w:rPr>
        <w:t>Art. </w:t>
      </w:r>
      <w:r w:rsidRPr="004676F5">
        <w:rPr>
          <w:i/>
          <w:lang w:val="de-DE"/>
        </w:rPr>
        <w:t>13 des G. vom 20. Juli 2015 (B.S. vom 24. August 2015)]</w:t>
      </w:r>
    </w:p>
    <w:p w14:paraId="1E888254" w14:textId="77777777" w:rsidR="002A1316" w:rsidRPr="004676F5" w:rsidRDefault="002A1316" w:rsidP="002A1316">
      <w:pPr>
        <w:jc w:val="both"/>
        <w:rPr>
          <w:lang w:val="de-DE"/>
        </w:rPr>
      </w:pPr>
    </w:p>
    <w:p w14:paraId="75FC881C" w14:textId="77777777" w:rsidR="002A1316" w:rsidRPr="004676F5" w:rsidRDefault="002A1316" w:rsidP="002A1316">
      <w:pPr>
        <w:jc w:val="both"/>
        <w:rPr>
          <w:lang w:val="de-DE"/>
        </w:rPr>
      </w:pPr>
    </w:p>
    <w:p w14:paraId="73FE91D4" w14:textId="1ABBCDBD"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XI.245/4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Eine sorgfältige Suche, die von den in den Artikeln XI.192/1 und XI.218/1 genannten Einrichtungen und Anstalten durchgeführt wird, um festzustellen, ob ein Werk oder Tonträger ein verwaistes Werk ist, erfolgt durch Konsultation der für die einzelnen Kategorien der betreffenden Werke oder Tonträger geeigneten Quellen.</w:t>
      </w:r>
    </w:p>
    <w:p w14:paraId="082D755E" w14:textId="77777777" w:rsidR="002A1316" w:rsidRPr="004676F5" w:rsidRDefault="002A1316" w:rsidP="002A1316">
      <w:pPr>
        <w:jc w:val="both"/>
        <w:rPr>
          <w:lang w:val="de-DE"/>
        </w:rPr>
      </w:pPr>
    </w:p>
    <w:p w14:paraId="52FC5AA8" w14:textId="77777777" w:rsidR="002A1316" w:rsidRPr="004676F5" w:rsidRDefault="002A1316" w:rsidP="002A1316">
      <w:pPr>
        <w:jc w:val="both"/>
        <w:rPr>
          <w:lang w:val="de-DE"/>
        </w:rPr>
      </w:pPr>
      <w:r w:rsidRPr="004676F5">
        <w:rPr>
          <w:lang w:val="de-DE"/>
        </w:rPr>
        <w:tab/>
        <w:t>Der König bestimmt in Absprache mit den repräsentativen Organisationen der Rechtsinhaber und Nutzer und gemäß den von Ihm festgelegten Bedingungen und Modalitäten die im Hinblick auf eine sorgfältige Suche für die einzelnen Kategorien der betreffenden Werke oder Tonträger geeigneten Quellen.</w:t>
      </w:r>
    </w:p>
    <w:p w14:paraId="362ED21F" w14:textId="77777777" w:rsidR="002A1316" w:rsidRPr="004676F5" w:rsidRDefault="002A1316" w:rsidP="002A1316">
      <w:pPr>
        <w:jc w:val="both"/>
        <w:rPr>
          <w:lang w:val="de-DE"/>
        </w:rPr>
      </w:pPr>
    </w:p>
    <w:p w14:paraId="3D3FC91A" w14:textId="389777DB" w:rsidR="002A1316" w:rsidRPr="004676F5" w:rsidRDefault="002A1316" w:rsidP="002A1316">
      <w:pPr>
        <w:jc w:val="both"/>
        <w:rPr>
          <w:lang w:val="de-DE"/>
        </w:rPr>
      </w:pPr>
      <w:r w:rsidRPr="004676F5">
        <w:rPr>
          <w:lang w:val="de-DE"/>
        </w:rPr>
        <w:tab/>
        <w:t>§ 2 </w:t>
      </w:r>
      <w:r w:rsidR="005B7A5C" w:rsidRPr="004676F5">
        <w:rPr>
          <w:lang w:val="de-DE"/>
        </w:rPr>
        <w:t>- </w:t>
      </w:r>
      <w:r w:rsidRPr="004676F5">
        <w:rPr>
          <w:lang w:val="de-DE"/>
        </w:rPr>
        <w:t>Eine sorgfältige Suche wird in dem Mitgliedstaat der Europäischen Union oder des Europäischen Wirtschaftsraums durchgeführt, in dem das Werk oder der Tonträger zuerst veröffentlicht wurde oder, wenn es nicht veröffentlicht wurde, in dem es beziehungsweise er zuerst gesendet wurde, außer im Falle von Film</w:t>
      </w:r>
      <w:r w:rsidR="005B7A5C" w:rsidRPr="004676F5">
        <w:rPr>
          <w:lang w:val="de-DE"/>
        </w:rPr>
        <w:t>- </w:t>
      </w:r>
      <w:r w:rsidRPr="004676F5">
        <w:rPr>
          <w:lang w:val="de-DE"/>
        </w:rPr>
        <w:t>oder audiovisuellen Werken, deren Produzent seine Hauptniederlassung oder seinen gewöhnlichen Aufenthaltsort in einem Mitgliedstaat der Europäischen Union oder des Europäischen Wirtschaftsraums hat. In diesem Fall wird die sorgfältige Suche in dem Mitgliedstaat seiner Hauptniederlassung oder seines gewöhnlichen Aufenthaltsorts durchgeführt.</w:t>
      </w:r>
    </w:p>
    <w:p w14:paraId="5312BC1E" w14:textId="77777777" w:rsidR="002A1316" w:rsidRPr="004676F5" w:rsidRDefault="002A1316" w:rsidP="002A1316">
      <w:pPr>
        <w:jc w:val="both"/>
        <w:rPr>
          <w:lang w:val="de-DE"/>
        </w:rPr>
      </w:pPr>
    </w:p>
    <w:p w14:paraId="10C7A44B" w14:textId="77777777" w:rsidR="002A1316" w:rsidRPr="004676F5" w:rsidRDefault="002A1316" w:rsidP="002A1316">
      <w:pPr>
        <w:jc w:val="both"/>
        <w:rPr>
          <w:lang w:val="de-DE"/>
        </w:rPr>
      </w:pPr>
      <w:r w:rsidRPr="004676F5">
        <w:rPr>
          <w:lang w:val="de-DE"/>
        </w:rPr>
        <w:tab/>
        <w:t>In dem in Artikel XI.245/2 § 2 genannten Fall wird die sorgfältige Suche in dem Mitgliedstaat der Europäischen Union oder des Europäischen Wirtschaftsraums durchgeführt, in dem die Einrichtung oder Anstalt, die das Werk oder den Tonträger mit Zustimmung des Rechtsinhabers der Öffentlichkeit zugänglich gemacht hat, ihren Sitz hat.</w:t>
      </w:r>
    </w:p>
    <w:p w14:paraId="55F6791B" w14:textId="77777777" w:rsidR="002A1316" w:rsidRPr="004676F5" w:rsidRDefault="002A1316" w:rsidP="002A1316">
      <w:pPr>
        <w:jc w:val="both"/>
        <w:rPr>
          <w:lang w:val="de-DE"/>
        </w:rPr>
      </w:pPr>
    </w:p>
    <w:p w14:paraId="6B90F2EC" w14:textId="77777777" w:rsidR="002A1316" w:rsidRPr="004676F5" w:rsidRDefault="002A1316" w:rsidP="002A1316">
      <w:pPr>
        <w:jc w:val="both"/>
        <w:rPr>
          <w:lang w:val="de-DE"/>
        </w:rPr>
      </w:pPr>
      <w:r w:rsidRPr="004676F5">
        <w:rPr>
          <w:lang w:val="de-DE"/>
        </w:rPr>
        <w:lastRenderedPageBreak/>
        <w:tab/>
        <w:t>Wenn es Hinweise dafür gibt, dass relevante Informationen zu Rechtsinhabern in anderen Ländern gefunden werden können, sind auch verfügbare Informationsquellen in diesen anderen Ländern zu konsultieren.</w:t>
      </w:r>
    </w:p>
    <w:p w14:paraId="32C43A13" w14:textId="77777777" w:rsidR="002A1316" w:rsidRPr="004676F5" w:rsidRDefault="002A1316" w:rsidP="002A1316">
      <w:pPr>
        <w:jc w:val="both"/>
        <w:rPr>
          <w:lang w:val="de-DE"/>
        </w:rPr>
      </w:pPr>
    </w:p>
    <w:p w14:paraId="2CF4CBF0" w14:textId="4CFC474E" w:rsidR="002A1316" w:rsidRPr="004676F5" w:rsidRDefault="002A1316" w:rsidP="002A1316">
      <w:pPr>
        <w:jc w:val="both"/>
        <w:rPr>
          <w:lang w:val="de-DE"/>
        </w:rPr>
      </w:pPr>
      <w:r w:rsidRPr="004676F5">
        <w:rPr>
          <w:lang w:val="de-DE"/>
        </w:rPr>
        <w:tab/>
        <w:t>§ 3 </w:t>
      </w:r>
      <w:r w:rsidR="005B7A5C" w:rsidRPr="004676F5">
        <w:rPr>
          <w:lang w:val="de-DE"/>
        </w:rPr>
        <w:t>- </w:t>
      </w:r>
      <w:r w:rsidRPr="004676F5">
        <w:rPr>
          <w:lang w:val="de-DE"/>
        </w:rPr>
        <w:t>Die in den Artikeln XI.192/1 und XI.218/1 genannten Einrichtungen und Anstalten dokumentieren ihre sorgfältigen Suchen.</w:t>
      </w:r>
    </w:p>
    <w:p w14:paraId="46407248" w14:textId="77777777" w:rsidR="002A1316" w:rsidRPr="004676F5" w:rsidRDefault="002A1316" w:rsidP="002A1316">
      <w:pPr>
        <w:jc w:val="both"/>
        <w:rPr>
          <w:lang w:val="de-DE"/>
        </w:rPr>
      </w:pPr>
    </w:p>
    <w:p w14:paraId="316D018F" w14:textId="2035EDD1" w:rsidR="002A1316" w:rsidRPr="004676F5" w:rsidRDefault="002A1316" w:rsidP="002A1316">
      <w:pPr>
        <w:jc w:val="both"/>
        <w:rPr>
          <w:lang w:val="de-DE"/>
        </w:rPr>
      </w:pPr>
      <w:r w:rsidRPr="004676F5">
        <w:rPr>
          <w:lang w:val="de-DE"/>
        </w:rPr>
        <w:tab/>
        <w:t xml:space="preserve">Sie erfassen unverzüglich folgende Informationen in einer einzigen öffentlich zugänglichen Online-Datenbank, die in Übereinstimmung mit der </w:t>
      </w:r>
      <w:r w:rsidR="001327CD" w:rsidRPr="004676F5">
        <w:rPr>
          <w:lang w:val="de-DE"/>
        </w:rPr>
        <w:t>[Verordnung (EU) Nr. 2017/1001 vom Amt der Europäischen Union für geistiges Eigentum]</w:t>
      </w:r>
      <w:r w:rsidRPr="004676F5">
        <w:rPr>
          <w:lang w:val="de-DE"/>
        </w:rPr>
        <w:t xml:space="preserve"> eingerichtet und verwaltet wird:</w:t>
      </w:r>
    </w:p>
    <w:p w14:paraId="3DE196C7" w14:textId="77777777" w:rsidR="002A1316" w:rsidRPr="004676F5" w:rsidRDefault="002A1316" w:rsidP="002A1316">
      <w:pPr>
        <w:jc w:val="both"/>
        <w:rPr>
          <w:lang w:val="de-DE"/>
        </w:rPr>
      </w:pPr>
    </w:p>
    <w:p w14:paraId="1262233E" w14:textId="77777777" w:rsidR="002A1316" w:rsidRPr="004676F5" w:rsidRDefault="002A1316" w:rsidP="002A1316">
      <w:pPr>
        <w:jc w:val="both"/>
        <w:rPr>
          <w:lang w:val="de-DE"/>
        </w:rPr>
      </w:pPr>
      <w:r w:rsidRPr="004676F5">
        <w:rPr>
          <w:lang w:val="de-DE"/>
        </w:rPr>
        <w:tab/>
      </w:r>
      <w:r w:rsidRPr="004676F5">
        <w:rPr>
          <w:i/>
          <w:lang w:val="de-DE"/>
        </w:rPr>
        <w:t>a)</w:t>
      </w:r>
      <w:r w:rsidRPr="004676F5">
        <w:rPr>
          <w:lang w:val="de-DE"/>
        </w:rPr>
        <w:t> Ergebnisse der sorgfältigen Suchen, die sie durchgeführt haben und die zu der Schlussfolgerung geführt haben, dass ein Werk oder Tonträger als verwaistes Werk zu betrachten ist,</w:t>
      </w:r>
    </w:p>
    <w:p w14:paraId="59EEB7EC" w14:textId="77777777" w:rsidR="002A1316" w:rsidRPr="004676F5" w:rsidRDefault="002A1316" w:rsidP="002A1316">
      <w:pPr>
        <w:jc w:val="both"/>
        <w:rPr>
          <w:lang w:val="de-DE"/>
        </w:rPr>
      </w:pPr>
    </w:p>
    <w:p w14:paraId="3612ADA1" w14:textId="77777777" w:rsidR="002A1316" w:rsidRPr="004676F5" w:rsidRDefault="002A1316" w:rsidP="002A1316">
      <w:pPr>
        <w:jc w:val="both"/>
        <w:rPr>
          <w:lang w:val="de-DE"/>
        </w:rPr>
      </w:pPr>
      <w:r w:rsidRPr="004676F5">
        <w:rPr>
          <w:lang w:val="de-DE"/>
        </w:rPr>
        <w:tab/>
      </w:r>
      <w:r w:rsidRPr="004676F5">
        <w:rPr>
          <w:i/>
          <w:lang w:val="de-DE"/>
        </w:rPr>
        <w:t>b)</w:t>
      </w:r>
      <w:r w:rsidRPr="004676F5">
        <w:rPr>
          <w:lang w:val="de-DE"/>
        </w:rPr>
        <w:t> Namen der ermittelten und ausfindig gemachten Rechtsinhaber eines Werkes oder Tonträgers mit mehreren Rechtsinhabern, dessen ermittelte und ausfindig gemachte Rechtsinhaber gemäß Artikel XI.245/1 § 2 eine Nutzungsermächtigung erteilt haben,</w:t>
      </w:r>
    </w:p>
    <w:p w14:paraId="059BCB9D" w14:textId="77777777" w:rsidR="002A1316" w:rsidRPr="004676F5" w:rsidRDefault="002A1316" w:rsidP="002A1316">
      <w:pPr>
        <w:jc w:val="both"/>
        <w:rPr>
          <w:lang w:val="de-DE"/>
        </w:rPr>
      </w:pPr>
    </w:p>
    <w:p w14:paraId="44DEFC82" w14:textId="77777777" w:rsidR="002A1316" w:rsidRPr="004676F5" w:rsidRDefault="002A1316" w:rsidP="002A1316">
      <w:pPr>
        <w:jc w:val="both"/>
        <w:rPr>
          <w:lang w:val="de-DE"/>
        </w:rPr>
      </w:pPr>
      <w:r w:rsidRPr="004676F5">
        <w:rPr>
          <w:lang w:val="de-DE"/>
        </w:rPr>
        <w:tab/>
      </w:r>
      <w:r w:rsidRPr="004676F5">
        <w:rPr>
          <w:i/>
          <w:lang w:val="de-DE"/>
        </w:rPr>
        <w:t>c)</w:t>
      </w:r>
      <w:r w:rsidRPr="004676F5">
        <w:rPr>
          <w:lang w:val="de-DE"/>
        </w:rPr>
        <w:t> Art der Nutzung des verwaisten Werkes durch die Einrichtung oder Anstalt,</w:t>
      </w:r>
    </w:p>
    <w:p w14:paraId="3989E317" w14:textId="77777777" w:rsidR="002A1316" w:rsidRPr="004676F5" w:rsidRDefault="002A1316" w:rsidP="002A1316">
      <w:pPr>
        <w:jc w:val="both"/>
        <w:rPr>
          <w:lang w:val="de-DE"/>
        </w:rPr>
      </w:pPr>
    </w:p>
    <w:p w14:paraId="79D9B75A" w14:textId="77777777" w:rsidR="002A1316" w:rsidRPr="004676F5" w:rsidRDefault="002A1316" w:rsidP="002A1316">
      <w:pPr>
        <w:jc w:val="both"/>
        <w:rPr>
          <w:lang w:val="de-DE"/>
        </w:rPr>
      </w:pPr>
      <w:r w:rsidRPr="004676F5">
        <w:rPr>
          <w:lang w:val="de-DE"/>
        </w:rPr>
        <w:tab/>
      </w:r>
      <w:r w:rsidRPr="004676F5">
        <w:rPr>
          <w:i/>
          <w:lang w:val="de-DE"/>
        </w:rPr>
        <w:t>d)</w:t>
      </w:r>
      <w:r w:rsidRPr="004676F5">
        <w:rPr>
          <w:lang w:val="de-DE"/>
        </w:rPr>
        <w:t> gemäß Artikel XI.245/6 erfolgende Änderungen des Status von Werken oder Tonträgern, die die Einrichtung oder Anstalt nutzt, als verwaiste Werke,</w:t>
      </w:r>
    </w:p>
    <w:p w14:paraId="305BFB45" w14:textId="77777777" w:rsidR="002A1316" w:rsidRPr="004676F5" w:rsidRDefault="002A1316" w:rsidP="002A1316">
      <w:pPr>
        <w:jc w:val="both"/>
        <w:rPr>
          <w:lang w:val="de-DE"/>
        </w:rPr>
      </w:pPr>
    </w:p>
    <w:p w14:paraId="53C35E68" w14:textId="77777777" w:rsidR="002A1316" w:rsidRPr="004676F5" w:rsidRDefault="002A1316" w:rsidP="002A1316">
      <w:pPr>
        <w:jc w:val="both"/>
        <w:rPr>
          <w:lang w:val="de-DE"/>
        </w:rPr>
      </w:pPr>
      <w:r w:rsidRPr="004676F5">
        <w:rPr>
          <w:lang w:val="de-DE"/>
        </w:rPr>
        <w:tab/>
      </w:r>
      <w:r w:rsidRPr="004676F5">
        <w:rPr>
          <w:i/>
          <w:lang w:val="de-DE"/>
        </w:rPr>
        <w:t>e)</w:t>
      </w:r>
      <w:r w:rsidRPr="004676F5">
        <w:rPr>
          <w:lang w:val="de-DE"/>
        </w:rPr>
        <w:t> jeweilige Kontaktangaben der betreffenden Einrichtung oder Anstalt.</w:t>
      </w:r>
    </w:p>
    <w:p w14:paraId="09099B8B" w14:textId="77777777" w:rsidR="002A1316" w:rsidRPr="004676F5" w:rsidRDefault="002A1316" w:rsidP="002A1316">
      <w:pPr>
        <w:jc w:val="both"/>
        <w:rPr>
          <w:lang w:val="de-DE"/>
        </w:rPr>
      </w:pPr>
    </w:p>
    <w:p w14:paraId="50A0DC37" w14:textId="41DBDDD3" w:rsidR="002A1316" w:rsidRPr="004676F5" w:rsidRDefault="002A1316" w:rsidP="002A1316">
      <w:pPr>
        <w:jc w:val="both"/>
        <w:rPr>
          <w:lang w:val="de-DE"/>
        </w:rPr>
      </w:pPr>
      <w:r w:rsidRPr="004676F5">
        <w:rPr>
          <w:lang w:val="de-DE"/>
        </w:rPr>
        <w:tab/>
        <w:t>§ 4 </w:t>
      </w:r>
      <w:r w:rsidR="005B7A5C" w:rsidRPr="004676F5">
        <w:rPr>
          <w:lang w:val="de-DE"/>
        </w:rPr>
        <w:t>- </w:t>
      </w:r>
      <w:r w:rsidRPr="004676F5">
        <w:rPr>
          <w:lang w:val="de-DE"/>
        </w:rPr>
        <w:t>Die für die verwaisten Werke zuständige nationale Behörde wird vom König nach Konsultierung der Gemeinschaften bestimmt.]</w:t>
      </w:r>
    </w:p>
    <w:p w14:paraId="462D1713" w14:textId="77777777" w:rsidR="002A1316" w:rsidRPr="004676F5" w:rsidRDefault="002A1316" w:rsidP="002A1316">
      <w:pPr>
        <w:jc w:val="both"/>
        <w:rPr>
          <w:lang w:val="de-DE"/>
        </w:rPr>
      </w:pPr>
    </w:p>
    <w:p w14:paraId="4ADB1FB9" w14:textId="561E4DA6"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XI.245/4 eingefügt durch </w:t>
      </w:r>
      <w:r w:rsidR="00BE0A56" w:rsidRPr="004676F5">
        <w:rPr>
          <w:i/>
          <w:lang w:val="de-DE"/>
        </w:rPr>
        <w:t>Art. </w:t>
      </w:r>
      <w:r w:rsidRPr="004676F5">
        <w:rPr>
          <w:i/>
          <w:lang w:val="de-DE"/>
        </w:rPr>
        <w:t>14 des G. vom 20. Juli 2015 (B.S. vom 24. August 2015)</w:t>
      </w:r>
      <w:r w:rsidR="001327CD" w:rsidRPr="004676F5">
        <w:rPr>
          <w:i/>
          <w:lang w:val="de-DE"/>
        </w:rPr>
        <w:t>; § 3 Abs. 2 einleitende Bestimmung abgeändert durch Art. 64</w:t>
      </w:r>
      <w:r w:rsidR="001327CD" w:rsidRPr="004676F5">
        <w:rPr>
          <w:i/>
          <w:iCs/>
          <w:lang w:val="de-DE"/>
        </w:rPr>
        <w:t xml:space="preserve"> des G. vom 19. Juni 2022 (B.S. vom 1. August 2022)</w:t>
      </w:r>
      <w:r w:rsidRPr="004676F5">
        <w:rPr>
          <w:i/>
          <w:lang w:val="de-DE"/>
        </w:rPr>
        <w:t>]</w:t>
      </w:r>
    </w:p>
    <w:p w14:paraId="535CE4A8" w14:textId="77777777" w:rsidR="002A1316" w:rsidRPr="004676F5" w:rsidRDefault="002A1316" w:rsidP="002A1316">
      <w:pPr>
        <w:jc w:val="both"/>
        <w:rPr>
          <w:lang w:val="de-DE"/>
        </w:rPr>
      </w:pPr>
    </w:p>
    <w:p w14:paraId="2DBCE2D0" w14:textId="77777777" w:rsidR="002A1316" w:rsidRPr="004676F5" w:rsidRDefault="002A1316" w:rsidP="002A1316">
      <w:pPr>
        <w:jc w:val="both"/>
        <w:rPr>
          <w:lang w:val="de-DE"/>
        </w:rPr>
      </w:pPr>
    </w:p>
    <w:p w14:paraId="425620FA" w14:textId="31E9FBEE"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XI.245/5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in den Artikeln XI.192/1 und XI.218/1 genannten Einrichtungen und Anstalten nutzen ein verwaistes Werk gemäß den Artikeln XI.192/1 und XI.218/1 nur, um Ziele im Zusammenhang mit ihren im Gemeinwohl liegenden Aufgaben zu verfolgen, insbesondere die Bewahrung, die Restaurierung sowie die Bereitstellung des kulturellen und bildungspolitischen Zwecken dienenden Zugangs zu Werken und Tonträgern, die in ihrer Sammlung enthalten sind.</w:t>
      </w:r>
    </w:p>
    <w:p w14:paraId="7D3BE15F" w14:textId="77777777" w:rsidR="002A1316" w:rsidRPr="004676F5" w:rsidRDefault="002A1316" w:rsidP="002A1316">
      <w:pPr>
        <w:jc w:val="both"/>
        <w:rPr>
          <w:lang w:val="de-DE"/>
        </w:rPr>
      </w:pPr>
    </w:p>
    <w:p w14:paraId="7D41EF72" w14:textId="77777777" w:rsidR="002A1316" w:rsidRPr="004676F5" w:rsidRDefault="002A1316" w:rsidP="002A1316">
      <w:pPr>
        <w:jc w:val="both"/>
        <w:rPr>
          <w:lang w:val="de-DE"/>
        </w:rPr>
      </w:pPr>
      <w:r w:rsidRPr="004676F5">
        <w:rPr>
          <w:lang w:val="de-DE"/>
        </w:rPr>
        <w:tab/>
        <w:t>Die Einrichtungen und Anstalten dürfen bei einer solchen Nutzung ausschließlich zur Deckung ihrer Kosten für die Digitalisierung verwaister Werke und ihre öffentliche Zugänglichmachung Einnahmen erwirtschaften.</w:t>
      </w:r>
    </w:p>
    <w:p w14:paraId="658BE505" w14:textId="77777777" w:rsidR="002A1316" w:rsidRPr="004676F5" w:rsidRDefault="002A1316" w:rsidP="002A1316">
      <w:pPr>
        <w:jc w:val="both"/>
        <w:rPr>
          <w:lang w:val="de-DE"/>
        </w:rPr>
      </w:pPr>
    </w:p>
    <w:p w14:paraId="42DDCD5A" w14:textId="5F9B0D94" w:rsidR="002A1316" w:rsidRPr="004676F5" w:rsidRDefault="002A1316" w:rsidP="002A1316">
      <w:pPr>
        <w:jc w:val="both"/>
        <w:rPr>
          <w:lang w:val="de-DE"/>
        </w:rPr>
      </w:pPr>
      <w:r w:rsidRPr="004676F5">
        <w:rPr>
          <w:lang w:val="de-DE"/>
        </w:rPr>
        <w:tab/>
        <w:t>§ 2 </w:t>
      </w:r>
      <w:r w:rsidR="005B7A5C" w:rsidRPr="004676F5">
        <w:rPr>
          <w:lang w:val="de-DE"/>
        </w:rPr>
        <w:t>- </w:t>
      </w:r>
      <w:r w:rsidRPr="004676F5">
        <w:rPr>
          <w:lang w:val="de-DE"/>
        </w:rPr>
        <w:t>Die in den Artikeln XI.192/1 und XI.218/1 genannten Einrichtungen und Anstalten geben bei jeder Nutzung eines verwaisten Werkes die Namen ermittelter Urheber und anderer Rechtsinhaber an.]</w:t>
      </w:r>
    </w:p>
    <w:p w14:paraId="521BDC0C" w14:textId="77777777" w:rsidR="002A1316" w:rsidRPr="004676F5" w:rsidRDefault="002A1316" w:rsidP="002A1316">
      <w:pPr>
        <w:jc w:val="both"/>
        <w:rPr>
          <w:lang w:val="de-DE"/>
        </w:rPr>
      </w:pPr>
    </w:p>
    <w:p w14:paraId="11D596D9" w14:textId="5ECADBF6"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XI.245/5 eingefügt durch </w:t>
      </w:r>
      <w:r w:rsidR="00BE0A56" w:rsidRPr="004676F5">
        <w:rPr>
          <w:i/>
          <w:lang w:val="de-DE"/>
        </w:rPr>
        <w:t>Art. </w:t>
      </w:r>
      <w:r w:rsidRPr="004676F5">
        <w:rPr>
          <w:i/>
          <w:lang w:val="de-DE"/>
        </w:rPr>
        <w:t>15 des G. vom 20. Juli 2015 (B.S. vom 24. August 2015)]</w:t>
      </w:r>
    </w:p>
    <w:p w14:paraId="4A08B82E" w14:textId="77777777" w:rsidR="002A1316" w:rsidRPr="004676F5" w:rsidRDefault="002A1316" w:rsidP="002A1316">
      <w:pPr>
        <w:jc w:val="both"/>
        <w:rPr>
          <w:lang w:val="de-DE"/>
        </w:rPr>
      </w:pPr>
    </w:p>
    <w:p w14:paraId="4B8EA323" w14:textId="77777777" w:rsidR="002A1316" w:rsidRPr="004676F5" w:rsidRDefault="002A1316" w:rsidP="002A1316">
      <w:pPr>
        <w:jc w:val="both"/>
        <w:rPr>
          <w:lang w:val="de-DE"/>
        </w:rPr>
      </w:pPr>
    </w:p>
    <w:p w14:paraId="3A155B2B" w14:textId="6A03A086"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XI.245/6</w:t>
      </w:r>
      <w:r w:rsidRPr="004676F5">
        <w:rPr>
          <w:lang w:val="de-DE"/>
        </w:rPr>
        <w:t> </w:t>
      </w:r>
      <w:r w:rsidR="005B7A5C" w:rsidRPr="004676F5">
        <w:rPr>
          <w:lang w:val="de-DE"/>
        </w:rPr>
        <w:t>- </w:t>
      </w:r>
      <w:r w:rsidRPr="004676F5">
        <w:rPr>
          <w:lang w:val="de-DE"/>
        </w:rPr>
        <w:t>Rechtsinhaber haben jederzeit die Möglichkeit, den Status eines als verwaist qualifizierten Werkes zu beenden.</w:t>
      </w:r>
    </w:p>
    <w:p w14:paraId="60575836" w14:textId="77777777" w:rsidR="002A1316" w:rsidRPr="004676F5" w:rsidRDefault="002A1316" w:rsidP="002A1316">
      <w:pPr>
        <w:jc w:val="both"/>
        <w:rPr>
          <w:lang w:val="de-DE"/>
        </w:rPr>
      </w:pPr>
    </w:p>
    <w:p w14:paraId="11DFF66C" w14:textId="77777777" w:rsidR="002A1316" w:rsidRPr="004676F5" w:rsidRDefault="002A1316" w:rsidP="002A1316">
      <w:pPr>
        <w:jc w:val="both"/>
        <w:rPr>
          <w:lang w:val="de-DE"/>
        </w:rPr>
      </w:pPr>
      <w:r w:rsidRPr="004676F5">
        <w:rPr>
          <w:lang w:val="de-DE"/>
        </w:rPr>
        <w:tab/>
        <w:t>Absatz 1 ist entsprechend auf die in Artikel XI.245/1 § 2 erwähnten Rechtsinhaber anwendbar.]</w:t>
      </w:r>
    </w:p>
    <w:p w14:paraId="57FD48CD" w14:textId="77777777" w:rsidR="002A1316" w:rsidRPr="004676F5" w:rsidRDefault="002A1316" w:rsidP="002A1316">
      <w:pPr>
        <w:jc w:val="both"/>
        <w:rPr>
          <w:lang w:val="de-DE"/>
        </w:rPr>
      </w:pPr>
    </w:p>
    <w:p w14:paraId="2ADEC9D3" w14:textId="40795665" w:rsidR="002A1316" w:rsidRPr="004676F5" w:rsidRDefault="002A1316" w:rsidP="002A1316">
      <w:pPr>
        <w:jc w:val="both"/>
        <w:rPr>
          <w:i/>
          <w:lang w:val="de-DE"/>
        </w:rPr>
      </w:pPr>
      <w:r w:rsidRPr="004676F5">
        <w:rPr>
          <w:i/>
          <w:lang w:val="de-DE"/>
        </w:rPr>
        <w:t>[</w:t>
      </w:r>
      <w:r w:rsidR="00BE0A56" w:rsidRPr="004676F5">
        <w:rPr>
          <w:i/>
          <w:lang w:val="de-DE"/>
        </w:rPr>
        <w:t>Art. </w:t>
      </w:r>
      <w:r w:rsidRPr="004676F5">
        <w:rPr>
          <w:i/>
          <w:lang w:val="de-DE"/>
        </w:rPr>
        <w:t xml:space="preserve">XI.245/6 eingefügt durch </w:t>
      </w:r>
      <w:r w:rsidR="00BE0A56" w:rsidRPr="004676F5">
        <w:rPr>
          <w:i/>
          <w:lang w:val="de-DE"/>
        </w:rPr>
        <w:t>Art. </w:t>
      </w:r>
      <w:r w:rsidRPr="004676F5">
        <w:rPr>
          <w:i/>
          <w:lang w:val="de-DE"/>
        </w:rPr>
        <w:t>16 des G. vom 20. Juli 2015 (B.S. vom 24. August 2015)]</w:t>
      </w:r>
    </w:p>
    <w:p w14:paraId="3FF165F7" w14:textId="77777777" w:rsidR="002A1316" w:rsidRPr="004676F5" w:rsidRDefault="002A1316" w:rsidP="002A1316">
      <w:pPr>
        <w:jc w:val="both"/>
        <w:rPr>
          <w:lang w:val="de-DE"/>
        </w:rPr>
      </w:pPr>
    </w:p>
    <w:p w14:paraId="2AE1850E" w14:textId="77777777" w:rsidR="002A1316" w:rsidRPr="004676F5" w:rsidRDefault="002A1316" w:rsidP="002A1316">
      <w:pPr>
        <w:jc w:val="both"/>
        <w:rPr>
          <w:lang w:val="de-DE"/>
        </w:rPr>
      </w:pPr>
    </w:p>
    <w:p w14:paraId="28BA3923" w14:textId="28885AC2" w:rsidR="002A1316" w:rsidRPr="004676F5" w:rsidRDefault="002A1316" w:rsidP="002A1316">
      <w:pPr>
        <w:jc w:val="both"/>
        <w:rPr>
          <w:lang w:val="de-DE"/>
        </w:rPr>
      </w:pPr>
      <w:r w:rsidRPr="004676F5">
        <w:rPr>
          <w:lang w:val="de-DE"/>
        </w:rPr>
        <w:tab/>
        <w:t>[</w:t>
      </w:r>
      <w:r w:rsidR="00BE0A56" w:rsidRPr="004676F5">
        <w:rPr>
          <w:b/>
          <w:lang w:val="de-DE"/>
        </w:rPr>
        <w:t>Art. </w:t>
      </w:r>
      <w:r w:rsidRPr="004676F5">
        <w:rPr>
          <w:b/>
          <w:lang w:val="de-DE"/>
        </w:rPr>
        <w:t>XI.245/7</w:t>
      </w:r>
      <w:r w:rsidRPr="004676F5">
        <w:rPr>
          <w:lang w:val="de-DE"/>
        </w:rPr>
        <w:t> </w:t>
      </w:r>
      <w:r w:rsidR="005B7A5C" w:rsidRPr="004676F5">
        <w:rPr>
          <w:lang w:val="de-DE"/>
        </w:rPr>
        <w:t>- </w:t>
      </w:r>
      <w:r w:rsidRPr="004676F5">
        <w:rPr>
          <w:lang w:val="de-DE"/>
        </w:rPr>
        <w:t xml:space="preserve">Beenden Urheber, ausübende Künstler, </w:t>
      </w:r>
      <w:r w:rsidR="001327CD" w:rsidRPr="004676F5">
        <w:rPr>
          <w:lang w:val="de-DE"/>
        </w:rPr>
        <w:t>[Produzenten, Sendeunternehmen und Presseverleger]</w:t>
      </w:r>
      <w:r w:rsidRPr="004676F5">
        <w:rPr>
          <w:lang w:val="de-DE"/>
        </w:rPr>
        <w:t xml:space="preserve"> den Status ihrer Werke oder Tonträger als verwaistes Werk, haben sie Anspruch auf eine Vergütung für die vorherige Nutzung solcher Werke oder Tonträger gemäß den Artikeln XI.192/1 und XI.218/1 durch die in den Artikeln XI.192/1 und XI.218/1 genannten Einrichtungen und Anstalten.</w:t>
      </w:r>
    </w:p>
    <w:p w14:paraId="0B2EBF65" w14:textId="77777777" w:rsidR="002A1316" w:rsidRPr="004676F5" w:rsidRDefault="002A1316" w:rsidP="002A1316">
      <w:pPr>
        <w:jc w:val="both"/>
        <w:rPr>
          <w:lang w:val="de-DE"/>
        </w:rPr>
      </w:pPr>
    </w:p>
    <w:p w14:paraId="1B714AB4" w14:textId="77777777" w:rsidR="002A1316" w:rsidRPr="004676F5" w:rsidRDefault="002A1316" w:rsidP="002A1316">
      <w:pPr>
        <w:jc w:val="both"/>
        <w:rPr>
          <w:lang w:val="de-DE"/>
        </w:rPr>
      </w:pPr>
      <w:r w:rsidRPr="004676F5">
        <w:rPr>
          <w:lang w:val="de-DE"/>
        </w:rPr>
        <w:tab/>
        <w:t>Die Vergütung wird von den in den Artikeln XI.192/1 und XI.218/1 genannten Einrichtungen und Anstalten gezahlt.</w:t>
      </w:r>
    </w:p>
    <w:p w14:paraId="644B9A07" w14:textId="77777777" w:rsidR="002A1316" w:rsidRPr="004676F5" w:rsidRDefault="002A1316" w:rsidP="002A1316">
      <w:pPr>
        <w:jc w:val="both"/>
        <w:rPr>
          <w:lang w:val="de-DE"/>
        </w:rPr>
      </w:pPr>
    </w:p>
    <w:p w14:paraId="4360F90D" w14:textId="685CEBB7" w:rsidR="002A1316" w:rsidRPr="004676F5" w:rsidRDefault="002A1316" w:rsidP="002A1316">
      <w:pPr>
        <w:jc w:val="both"/>
        <w:rPr>
          <w:lang w:val="de-DE"/>
        </w:rPr>
      </w:pPr>
      <w:r w:rsidRPr="004676F5">
        <w:rPr>
          <w:lang w:val="de-DE"/>
        </w:rPr>
        <w:tab/>
      </w:r>
      <w:r w:rsidR="001327CD" w:rsidRPr="004676F5">
        <w:rPr>
          <w:lang w:val="de-DE"/>
        </w:rPr>
        <w:t>[Der König kann für bestimmte oder alle Kategorien von Werken und/oder Leistungen die Modalitäten für die Berechnung der Vergütung für die Nutzung verwaister Werke festlegen.]</w:t>
      </w:r>
    </w:p>
    <w:p w14:paraId="7A3F40E2" w14:textId="77777777" w:rsidR="002A1316" w:rsidRPr="004676F5" w:rsidRDefault="002A1316" w:rsidP="002A1316">
      <w:pPr>
        <w:jc w:val="both"/>
        <w:rPr>
          <w:lang w:val="de-DE"/>
        </w:rPr>
      </w:pPr>
    </w:p>
    <w:p w14:paraId="67A92425" w14:textId="77777777" w:rsidR="002A1316" w:rsidRPr="004676F5" w:rsidRDefault="002A1316" w:rsidP="002A1316">
      <w:pPr>
        <w:jc w:val="both"/>
        <w:rPr>
          <w:lang w:val="de-DE"/>
        </w:rPr>
      </w:pPr>
      <w:r w:rsidRPr="004676F5">
        <w:rPr>
          <w:lang w:val="de-DE"/>
        </w:rPr>
        <w:tab/>
        <w:t>Der König kann gemäß den von Ihm festgelegten Bedingungen und Modalitäten eine oder mehrere Gesellschaften, die allein oder gemeinsam alle Verwertungsgesellschaften vertreten, mit Einnahme und Verteilung der Vergütung für die Nutzung verwaister Werke beauftragen.</w:t>
      </w:r>
    </w:p>
    <w:p w14:paraId="5EDC9DFE" w14:textId="77777777" w:rsidR="002A1316" w:rsidRPr="004676F5" w:rsidRDefault="002A1316" w:rsidP="002A1316">
      <w:pPr>
        <w:jc w:val="both"/>
        <w:rPr>
          <w:lang w:val="de-DE"/>
        </w:rPr>
      </w:pPr>
    </w:p>
    <w:p w14:paraId="50A61175" w14:textId="77777777" w:rsidR="002A1316" w:rsidRPr="004676F5" w:rsidRDefault="002A1316" w:rsidP="002A1316">
      <w:pPr>
        <w:jc w:val="both"/>
        <w:rPr>
          <w:lang w:val="de-DE"/>
        </w:rPr>
      </w:pPr>
      <w:r w:rsidRPr="004676F5">
        <w:rPr>
          <w:lang w:val="de-DE"/>
        </w:rPr>
        <w:tab/>
        <w:t>Der König kann ebenfalls den Verteilerschlüssel, auf dessen Grundlage die Vergütung unter die Kategorien von Rechtsinhabern einerseits und die Kategorien von Werken andererseits verteilt wird, festlegen. In diesem Fall ist der Verteilerschlüssel verbindlich.</w:t>
      </w:r>
    </w:p>
    <w:p w14:paraId="0DF89CD5" w14:textId="77777777" w:rsidR="002A1316" w:rsidRPr="004676F5" w:rsidRDefault="002A1316" w:rsidP="002A1316">
      <w:pPr>
        <w:jc w:val="both"/>
        <w:rPr>
          <w:lang w:val="de-DE"/>
        </w:rPr>
      </w:pPr>
    </w:p>
    <w:p w14:paraId="15A55D5D" w14:textId="77777777" w:rsidR="002A1316" w:rsidRPr="004676F5" w:rsidRDefault="002A1316" w:rsidP="002A1316">
      <w:pPr>
        <w:jc w:val="both"/>
        <w:rPr>
          <w:lang w:val="de-DE"/>
        </w:rPr>
      </w:pPr>
      <w:r w:rsidRPr="004676F5">
        <w:rPr>
          <w:lang w:val="de-DE"/>
        </w:rPr>
        <w:tab/>
        <w:t>Der Teil der in Absatz 1 erwähnten Vergütung, auf den Urheber und ausübende Künstler Anspruch haben, ist nicht abtretbar.]</w:t>
      </w:r>
    </w:p>
    <w:p w14:paraId="03FB854A" w14:textId="77777777" w:rsidR="00A340B8" w:rsidRPr="004676F5" w:rsidRDefault="00A340B8">
      <w:pPr>
        <w:rPr>
          <w:lang w:val="de-DE"/>
        </w:rPr>
      </w:pPr>
    </w:p>
    <w:p w14:paraId="63352CD1" w14:textId="00F8ADBB" w:rsidR="00A340B8" w:rsidRPr="004676F5" w:rsidRDefault="00A340B8" w:rsidP="00A340B8">
      <w:pPr>
        <w:jc w:val="both"/>
        <w:rPr>
          <w:i/>
          <w:lang w:val="de-DE"/>
        </w:rPr>
      </w:pPr>
      <w:r w:rsidRPr="004676F5">
        <w:rPr>
          <w:i/>
          <w:lang w:val="de-DE"/>
        </w:rPr>
        <w:t>[</w:t>
      </w:r>
      <w:r w:rsidR="00BE0A56" w:rsidRPr="004676F5">
        <w:rPr>
          <w:i/>
          <w:lang w:val="de-DE"/>
        </w:rPr>
        <w:t>Art. </w:t>
      </w:r>
      <w:r w:rsidRPr="004676F5">
        <w:rPr>
          <w:i/>
          <w:lang w:val="de-DE"/>
        </w:rPr>
        <w:t xml:space="preserve">XI.245/7 eingefügt durch </w:t>
      </w:r>
      <w:r w:rsidR="00BE0A56" w:rsidRPr="004676F5">
        <w:rPr>
          <w:i/>
          <w:lang w:val="de-DE"/>
        </w:rPr>
        <w:t>Art. </w:t>
      </w:r>
      <w:r w:rsidRPr="004676F5">
        <w:rPr>
          <w:i/>
          <w:lang w:val="de-DE"/>
        </w:rPr>
        <w:t>17 des G. vom 20. Juli 2015 (B.S. vom 24. August 2015)</w:t>
      </w:r>
      <w:r w:rsidR="001327CD" w:rsidRPr="004676F5">
        <w:rPr>
          <w:i/>
          <w:lang w:val="de-DE"/>
        </w:rPr>
        <w:t>; Abs. 1 abgeändert durch Art. 65 Nr. 1</w:t>
      </w:r>
      <w:r w:rsidR="001327CD" w:rsidRPr="004676F5">
        <w:rPr>
          <w:i/>
          <w:iCs/>
          <w:lang w:val="de-DE"/>
        </w:rPr>
        <w:t xml:space="preserve"> des G. vom 19. Juni 2022 (B.S. vom 1. August 2022); Abs. 3 ersetzt durch Art. 65 Nr. 3 des G. vom 19. Juni 2022 (B.S. vom 1. August 2022)</w:t>
      </w:r>
      <w:r w:rsidRPr="004676F5">
        <w:rPr>
          <w:i/>
          <w:lang w:val="de-DE"/>
        </w:rPr>
        <w:t>]</w:t>
      </w:r>
    </w:p>
    <w:p w14:paraId="473C5FBE" w14:textId="77777777" w:rsidR="001327CD" w:rsidRPr="004676F5" w:rsidRDefault="001327CD" w:rsidP="00A340B8">
      <w:pPr>
        <w:jc w:val="both"/>
        <w:rPr>
          <w:iCs/>
          <w:lang w:val="de-DE"/>
        </w:rPr>
      </w:pPr>
    </w:p>
    <w:p w14:paraId="7CE37115" w14:textId="77777777" w:rsidR="001327CD" w:rsidRPr="004676F5" w:rsidRDefault="001327CD" w:rsidP="00A340B8">
      <w:pPr>
        <w:jc w:val="both"/>
        <w:rPr>
          <w:iCs/>
          <w:lang w:val="de-DE"/>
        </w:rPr>
      </w:pPr>
    </w:p>
    <w:p w14:paraId="1E18A0A9" w14:textId="33BE912B" w:rsidR="001327CD" w:rsidRPr="004676F5" w:rsidRDefault="001327CD">
      <w:pPr>
        <w:rPr>
          <w:iCs/>
          <w:lang w:val="de-DE"/>
        </w:rPr>
      </w:pPr>
    </w:p>
    <w:p w14:paraId="4C96D391" w14:textId="77777777" w:rsidR="001327CD" w:rsidRPr="004676F5" w:rsidRDefault="001327CD">
      <w:pPr>
        <w:rPr>
          <w:iCs/>
          <w:lang w:val="de-DE"/>
        </w:rPr>
      </w:pPr>
      <w:r w:rsidRPr="004676F5">
        <w:rPr>
          <w:iCs/>
          <w:lang w:val="de-DE"/>
        </w:rPr>
        <w:br w:type="page"/>
      </w:r>
    </w:p>
    <w:p w14:paraId="50EFB5CA" w14:textId="54A5E910" w:rsidR="001327CD" w:rsidRPr="004676F5" w:rsidRDefault="001327CD" w:rsidP="001327CD">
      <w:pPr>
        <w:jc w:val="center"/>
        <w:rPr>
          <w:iCs/>
          <w:lang w:val="de-DE"/>
        </w:rPr>
      </w:pPr>
      <w:r w:rsidRPr="004676F5">
        <w:rPr>
          <w:iCs/>
          <w:lang w:val="de-DE"/>
        </w:rPr>
        <w:lastRenderedPageBreak/>
        <w:t>[</w:t>
      </w:r>
      <w:r w:rsidRPr="004676F5">
        <w:rPr>
          <w:lang w:val="de-DE"/>
        </w:rPr>
        <w:t>KAPITEL 8/1/1 </w:t>
      </w:r>
      <w:r w:rsidR="005B7A5C" w:rsidRPr="004676F5">
        <w:rPr>
          <w:lang w:val="de-DE"/>
        </w:rPr>
        <w:t>- </w:t>
      </w:r>
      <w:r w:rsidRPr="004676F5">
        <w:rPr>
          <w:i/>
          <w:iCs/>
          <w:lang w:val="de-DE"/>
        </w:rPr>
        <w:t>Bestimmungen über vergriffene Werke, Leistungen, Presseveröffent</w:t>
      </w:r>
      <w:r w:rsidRPr="004676F5">
        <w:rPr>
          <w:i/>
          <w:iCs/>
          <w:lang w:val="de-DE"/>
        </w:rPr>
        <w:softHyphen/>
        <w:t>lichungen, Computerprogramme und Datenbanken</w:t>
      </w:r>
      <w:r w:rsidRPr="004676F5">
        <w:rPr>
          <w:iCs/>
          <w:lang w:val="de-DE"/>
        </w:rPr>
        <w:t>]</w:t>
      </w:r>
    </w:p>
    <w:p w14:paraId="3E76EEA6" w14:textId="77777777" w:rsidR="001327CD" w:rsidRPr="004676F5" w:rsidRDefault="001327CD" w:rsidP="001327CD">
      <w:pPr>
        <w:jc w:val="center"/>
        <w:rPr>
          <w:iCs/>
          <w:lang w:val="de-DE"/>
        </w:rPr>
      </w:pPr>
    </w:p>
    <w:p w14:paraId="7D122641" w14:textId="02CCE247" w:rsidR="001327CD" w:rsidRPr="004676F5" w:rsidRDefault="001327CD" w:rsidP="001327CD">
      <w:pPr>
        <w:jc w:val="both"/>
        <w:rPr>
          <w:i/>
          <w:iCs/>
          <w:lang w:val="de-DE"/>
        </w:rPr>
      </w:pPr>
      <w:r w:rsidRPr="004676F5">
        <w:rPr>
          <w:i/>
          <w:lang w:val="de-DE"/>
        </w:rPr>
        <w:t>[Unterteilung Kapitel 8/1/1 eingefügt durch Art. 66</w:t>
      </w:r>
      <w:r w:rsidRPr="004676F5">
        <w:rPr>
          <w:i/>
          <w:iCs/>
          <w:lang w:val="de-DE"/>
        </w:rPr>
        <w:t xml:space="preserve"> des G. vom 19. Juni 2022 (B.S. vom 1. August 2022)]</w:t>
      </w:r>
    </w:p>
    <w:p w14:paraId="7C923CFB" w14:textId="77777777" w:rsidR="001327CD" w:rsidRPr="004676F5" w:rsidRDefault="001327CD" w:rsidP="001327CD">
      <w:pPr>
        <w:jc w:val="both"/>
        <w:rPr>
          <w:lang w:val="de-DE"/>
        </w:rPr>
      </w:pPr>
    </w:p>
    <w:p w14:paraId="06A1EB08" w14:textId="77777777" w:rsidR="001327CD" w:rsidRPr="004676F5" w:rsidRDefault="001327CD" w:rsidP="001327CD">
      <w:pPr>
        <w:jc w:val="both"/>
        <w:rPr>
          <w:lang w:val="de-DE"/>
        </w:rPr>
      </w:pPr>
    </w:p>
    <w:p w14:paraId="494EFF89" w14:textId="00B6C54A" w:rsidR="001327CD" w:rsidRPr="004676F5" w:rsidRDefault="001327CD" w:rsidP="001327CD">
      <w:pPr>
        <w:jc w:val="both"/>
        <w:rPr>
          <w:lang w:val="de-DE"/>
        </w:rPr>
      </w:pPr>
      <w:r w:rsidRPr="004676F5">
        <w:rPr>
          <w:lang w:val="de-DE"/>
        </w:rPr>
        <w:tab/>
        <w:t>[</w:t>
      </w:r>
      <w:r w:rsidRPr="004676F5">
        <w:rPr>
          <w:b/>
          <w:bCs/>
          <w:lang w:val="de-DE"/>
        </w:rPr>
        <w:t>Art. XI.245/7/1</w:t>
      </w:r>
      <w:r w:rsidRPr="004676F5">
        <w:rPr>
          <w:lang w:val="de-DE"/>
        </w:rPr>
        <w:t> </w:t>
      </w:r>
      <w:r w:rsidR="005B7A5C" w:rsidRPr="004676F5">
        <w:rPr>
          <w:lang w:val="de-DE"/>
        </w:rPr>
        <w:t>- </w:t>
      </w:r>
      <w:r w:rsidRPr="004676F5">
        <w:rPr>
          <w:lang w:val="de-DE"/>
        </w:rPr>
        <w:t>Der König kann für jede Art oder Gattung von Werken oder Leistungen spezifische Regeln vorsehen, um zu bestimmen, ob sie gemäß Artikel XI.245/7/2 lizenziert werden können oder aufgrund der Ausnahme oder Beschränkung wie in den Artikeln XI.192/2, XI.218/2, XI.299/1 und XI.310/1 erwähnt genutzt werden können. Er kann auch festlegen, was unter vertretbarem Aufwand im Sinne von Artikel I.13 Nr. 12 zu verstehen ist.]</w:t>
      </w:r>
    </w:p>
    <w:p w14:paraId="49D45EA2" w14:textId="77777777" w:rsidR="001327CD" w:rsidRPr="004676F5" w:rsidRDefault="001327CD" w:rsidP="001327CD">
      <w:pPr>
        <w:jc w:val="both"/>
        <w:rPr>
          <w:lang w:val="de-DE"/>
        </w:rPr>
      </w:pPr>
    </w:p>
    <w:p w14:paraId="5B881CFE" w14:textId="66515343" w:rsidR="001327CD" w:rsidRPr="004676F5" w:rsidRDefault="001327CD" w:rsidP="001327CD">
      <w:pPr>
        <w:jc w:val="both"/>
        <w:rPr>
          <w:i/>
          <w:iCs/>
          <w:lang w:val="de-DE"/>
        </w:rPr>
      </w:pPr>
      <w:r w:rsidRPr="004676F5">
        <w:rPr>
          <w:i/>
          <w:iCs/>
          <w:lang w:val="de-DE"/>
        </w:rPr>
        <w:t>[Art. XI.245/7/1 eingefügt durch Art. </w:t>
      </w:r>
      <w:r w:rsidR="00155758" w:rsidRPr="004676F5">
        <w:rPr>
          <w:i/>
          <w:iCs/>
          <w:lang w:val="de-DE"/>
        </w:rPr>
        <w:t>67 des G. vom 19. Juni 2022 (B.S. vom 1. August 2022)]</w:t>
      </w:r>
    </w:p>
    <w:p w14:paraId="76ADF9BE" w14:textId="77777777" w:rsidR="001327CD" w:rsidRPr="004676F5" w:rsidRDefault="001327CD" w:rsidP="001327CD">
      <w:pPr>
        <w:jc w:val="both"/>
        <w:rPr>
          <w:lang w:val="de-DE"/>
        </w:rPr>
      </w:pPr>
    </w:p>
    <w:p w14:paraId="0B52D919" w14:textId="77777777" w:rsidR="001327CD" w:rsidRPr="004676F5" w:rsidRDefault="001327CD" w:rsidP="001327CD">
      <w:pPr>
        <w:jc w:val="both"/>
        <w:rPr>
          <w:lang w:val="de-DE"/>
        </w:rPr>
      </w:pPr>
    </w:p>
    <w:p w14:paraId="36ED4372" w14:textId="509BE183" w:rsidR="001327CD" w:rsidRPr="004676F5" w:rsidRDefault="001327CD" w:rsidP="001327CD">
      <w:pPr>
        <w:jc w:val="both"/>
        <w:rPr>
          <w:lang w:val="de-DE"/>
        </w:rPr>
      </w:pPr>
      <w:r w:rsidRPr="004676F5">
        <w:rPr>
          <w:lang w:val="de-DE"/>
        </w:rPr>
        <w:tab/>
      </w:r>
      <w:r w:rsidR="00155758" w:rsidRPr="004676F5">
        <w:rPr>
          <w:lang w:val="de-DE"/>
        </w:rPr>
        <w:t>[</w:t>
      </w:r>
      <w:r w:rsidRPr="004676F5">
        <w:rPr>
          <w:b/>
          <w:bCs/>
          <w:lang w:val="de-DE"/>
        </w:rPr>
        <w:t>Art. XI.245/7/2</w:t>
      </w:r>
      <w:r w:rsidRPr="004676F5">
        <w:rPr>
          <w:lang w:val="de-DE"/>
        </w:rPr>
        <w:t> </w:t>
      </w:r>
      <w:r w:rsidR="005B7A5C" w:rsidRPr="004676F5">
        <w:rPr>
          <w:lang w:val="de-DE"/>
        </w:rPr>
        <w:t>- </w:t>
      </w:r>
      <w:r w:rsidRPr="004676F5">
        <w:rPr>
          <w:lang w:val="de-DE"/>
        </w:rPr>
        <w:t>§ 1 ­ Wenn eine in § 2 erwähnte Verwertungsgesellschaft mit den nachfolgenden Einrichtungen Lizenzverträge zu nicht kommerziellen Zwecken für die Vervielfältigung, Verbreitung und/oder öffentliche Wiedergabe von vergriffenen Werken oder Leistungen abschließt, die sich dauerhaft in den Sammlungen einer öffentlich zugänglichen Bibliothek, eines öffentlich zugänglichen Museums, eines Archivs oder einer im Bereich des Film</w:t>
      </w:r>
      <w:r w:rsidR="005B7A5C" w:rsidRPr="004676F5">
        <w:rPr>
          <w:lang w:val="de-DE"/>
        </w:rPr>
        <w:t>- </w:t>
      </w:r>
      <w:r w:rsidRPr="004676F5">
        <w:rPr>
          <w:lang w:val="de-DE"/>
        </w:rPr>
        <w:t>oder Tonerbes tätigen Einrichtung befinden, so wird davon ausgegangen, dass sie ebenfalls die unter die Lizenz fallenden Rechte der Urheber, Inhaber verwandter Schutzrechte oder Hersteller von Datenbanken wahrnimmt, die ihr die Wahrnehmung ihrer Rechte nicht anvertraut haben.</w:t>
      </w:r>
    </w:p>
    <w:p w14:paraId="47413432" w14:textId="77777777" w:rsidR="001327CD" w:rsidRPr="004676F5" w:rsidRDefault="001327CD" w:rsidP="001327CD">
      <w:pPr>
        <w:jc w:val="both"/>
        <w:rPr>
          <w:lang w:val="de-DE"/>
        </w:rPr>
      </w:pPr>
    </w:p>
    <w:p w14:paraId="2B7C3C74" w14:textId="77777777" w:rsidR="001327CD" w:rsidRPr="004676F5" w:rsidRDefault="001327CD" w:rsidP="001327CD">
      <w:pPr>
        <w:jc w:val="both"/>
        <w:rPr>
          <w:lang w:val="de-DE"/>
        </w:rPr>
      </w:pPr>
      <w:r w:rsidRPr="004676F5">
        <w:rPr>
          <w:lang w:val="de-DE"/>
        </w:rPr>
        <w:tab/>
        <w:t>Die in § 2 erwähnte Verwertungsgesellschaft gewährleistet gemäß Artikel XI.248 die Gleichbehandlung aller Rechtsinhaber in Bezug auf die Lizenzbedingungen.</w:t>
      </w:r>
    </w:p>
    <w:p w14:paraId="58280342" w14:textId="77777777" w:rsidR="001327CD" w:rsidRPr="004676F5" w:rsidRDefault="001327CD" w:rsidP="001327CD">
      <w:pPr>
        <w:jc w:val="both"/>
        <w:rPr>
          <w:lang w:val="de-DE"/>
        </w:rPr>
      </w:pPr>
    </w:p>
    <w:p w14:paraId="1211E202" w14:textId="5A4907A6" w:rsidR="001327CD" w:rsidRPr="004676F5" w:rsidRDefault="001327CD" w:rsidP="001327CD">
      <w:pPr>
        <w:jc w:val="both"/>
        <w:rPr>
          <w:lang w:val="de-DE"/>
        </w:rPr>
      </w:pPr>
      <w:r w:rsidRPr="004676F5">
        <w:rPr>
          <w:lang w:val="de-DE"/>
        </w:rPr>
        <w:tab/>
        <w:t>§ 2 ­ Der König bestimmt gemäß den von Ihm festgelegten Bedingungen und Modalitäten eine Verwertungsgesellschaft, die alle Verwertungsgesellschaften und Organisationen für die kollektive Rechtewahrnehmung vertritt, die in Belgien für eine bestimmte Art von Werken, Leistungen, Presseveröffentlichungen, Computerprogrammen und/oder Datenbanken die Arten von Rechten verwalten, die unter die in § 1 erwähnte Lizenz fallen können.</w:t>
      </w:r>
      <w:r w:rsidR="00155758" w:rsidRPr="004676F5">
        <w:rPr>
          <w:lang w:val="de-DE"/>
        </w:rPr>
        <w:t>]</w:t>
      </w:r>
    </w:p>
    <w:p w14:paraId="1A87EFB9" w14:textId="77777777" w:rsidR="00155758" w:rsidRPr="004676F5" w:rsidRDefault="00155758" w:rsidP="001327CD">
      <w:pPr>
        <w:jc w:val="both"/>
        <w:rPr>
          <w:lang w:val="de-DE"/>
        </w:rPr>
      </w:pPr>
    </w:p>
    <w:p w14:paraId="3A572CAD" w14:textId="4C6EC104" w:rsidR="00155758" w:rsidRPr="004676F5" w:rsidRDefault="00155758" w:rsidP="00155758">
      <w:pPr>
        <w:jc w:val="both"/>
        <w:rPr>
          <w:i/>
          <w:iCs/>
          <w:lang w:val="de-DE"/>
        </w:rPr>
      </w:pPr>
      <w:r w:rsidRPr="004676F5">
        <w:rPr>
          <w:i/>
          <w:iCs/>
          <w:lang w:val="de-DE"/>
        </w:rPr>
        <w:t>[Art. XI.245/7/2 eingefügt durch Art. 68 des G. vom 19. Juni 2022 (B.S. vom 1. August 2022)]</w:t>
      </w:r>
    </w:p>
    <w:p w14:paraId="7E531CF8" w14:textId="77777777" w:rsidR="00155758" w:rsidRPr="004676F5" w:rsidRDefault="00155758" w:rsidP="001327CD">
      <w:pPr>
        <w:jc w:val="both"/>
        <w:rPr>
          <w:lang w:val="de-DE"/>
        </w:rPr>
      </w:pPr>
    </w:p>
    <w:p w14:paraId="531810D6" w14:textId="77777777" w:rsidR="001327CD" w:rsidRPr="004676F5" w:rsidRDefault="001327CD" w:rsidP="001327CD">
      <w:pPr>
        <w:jc w:val="both"/>
        <w:rPr>
          <w:lang w:val="de-DE"/>
        </w:rPr>
      </w:pPr>
    </w:p>
    <w:p w14:paraId="2D837607" w14:textId="087070C2" w:rsidR="001327CD" w:rsidRPr="004676F5" w:rsidRDefault="00155758" w:rsidP="001327CD">
      <w:pPr>
        <w:ind w:firstLine="720"/>
        <w:jc w:val="both"/>
        <w:rPr>
          <w:lang w:val="de-DE"/>
        </w:rPr>
      </w:pPr>
      <w:r w:rsidRPr="004676F5">
        <w:rPr>
          <w:lang w:val="de-DE"/>
        </w:rPr>
        <w:t>[</w:t>
      </w:r>
      <w:r w:rsidR="001327CD" w:rsidRPr="004676F5">
        <w:rPr>
          <w:b/>
          <w:bCs/>
          <w:lang w:val="de-DE"/>
        </w:rPr>
        <w:t>Art. XI.245/7/3</w:t>
      </w:r>
      <w:r w:rsidR="001327CD" w:rsidRPr="004676F5">
        <w:rPr>
          <w:lang w:val="de-DE"/>
        </w:rPr>
        <w:t> </w:t>
      </w:r>
      <w:r w:rsidR="005B7A5C" w:rsidRPr="004676F5">
        <w:rPr>
          <w:lang w:val="de-DE"/>
        </w:rPr>
        <w:t>- </w:t>
      </w:r>
      <w:r w:rsidR="001327CD" w:rsidRPr="004676F5">
        <w:rPr>
          <w:lang w:val="de-DE"/>
        </w:rPr>
        <w:t>Ein Urheber, ein Inhaber verwandter Schutzrechte oder ein Hersteller von Datenbanken kann seine Werke auch nach Erteilung der Lizenz oder Beginn der jeweiligen Nutzung durch eine öffentlich zugängliche Bibliothek, ein öffentlich zugängliches Museum, ein Archiv oder eine im Bereich des Film</w:t>
      </w:r>
      <w:r w:rsidR="005B7A5C" w:rsidRPr="004676F5">
        <w:rPr>
          <w:lang w:val="de-DE"/>
        </w:rPr>
        <w:t>- </w:t>
      </w:r>
      <w:r w:rsidR="001327CD" w:rsidRPr="004676F5">
        <w:rPr>
          <w:lang w:val="de-DE"/>
        </w:rPr>
        <w:t>oder Tonerbes tätige Einrichtung entweder generell oder in bestimmten Fällen jederzeit einfach und wirksam von der Anwendung der in den Artikeln XI.192/2, XI.218/2, XI.299/1 und XI.310/1 erwähnten Ausnahmen und/oder der Erteilung der Lizenz durch die in Artikel XI.245/7/2 § 2 erwähnte Verwertungsgesellschaft ausschließen.</w:t>
      </w:r>
    </w:p>
    <w:p w14:paraId="2753BBD8" w14:textId="77777777" w:rsidR="001327CD" w:rsidRPr="004676F5" w:rsidRDefault="001327CD" w:rsidP="001327CD">
      <w:pPr>
        <w:jc w:val="both"/>
        <w:rPr>
          <w:lang w:val="de-DE"/>
        </w:rPr>
      </w:pPr>
    </w:p>
    <w:p w14:paraId="525A0404" w14:textId="77777777" w:rsidR="001327CD" w:rsidRPr="004676F5" w:rsidRDefault="001327CD" w:rsidP="001327CD">
      <w:pPr>
        <w:jc w:val="both"/>
        <w:rPr>
          <w:lang w:val="de-DE"/>
        </w:rPr>
      </w:pPr>
      <w:r w:rsidRPr="004676F5">
        <w:rPr>
          <w:lang w:val="de-DE"/>
        </w:rPr>
        <w:tab/>
        <w:t>Der König kann Modalitäten in Bezug auf die Ausübung des in Absatz 1 erwähnten Ausschlusses bestimmen.</w:t>
      </w:r>
    </w:p>
    <w:p w14:paraId="6258F048" w14:textId="77777777" w:rsidR="001327CD" w:rsidRPr="004676F5" w:rsidRDefault="001327CD" w:rsidP="001327CD">
      <w:pPr>
        <w:jc w:val="both"/>
        <w:rPr>
          <w:lang w:val="de-DE"/>
        </w:rPr>
      </w:pPr>
    </w:p>
    <w:p w14:paraId="0906EA67" w14:textId="21D6C657" w:rsidR="001327CD" w:rsidRPr="004676F5" w:rsidRDefault="001327CD" w:rsidP="001327CD">
      <w:pPr>
        <w:jc w:val="both"/>
        <w:rPr>
          <w:lang w:val="de-DE"/>
        </w:rPr>
      </w:pPr>
      <w:r w:rsidRPr="004676F5">
        <w:rPr>
          <w:lang w:val="de-DE"/>
        </w:rPr>
        <w:lastRenderedPageBreak/>
        <w:tab/>
        <w:t>Ab dem Zeitpunkt, zu dem die in Absatz 1 erwähnte Einrichtung den Hinweis auf einen solchen Ausschluss erhalten hat, beendet sie innerhalb einer angemessenen Frist jede Form der laufenden Nutzung.</w:t>
      </w:r>
      <w:r w:rsidR="00155758" w:rsidRPr="004676F5">
        <w:rPr>
          <w:lang w:val="de-DE"/>
        </w:rPr>
        <w:t>]</w:t>
      </w:r>
    </w:p>
    <w:p w14:paraId="232720B5" w14:textId="77777777" w:rsidR="00155758" w:rsidRPr="004676F5" w:rsidRDefault="00155758" w:rsidP="001327CD">
      <w:pPr>
        <w:jc w:val="both"/>
        <w:rPr>
          <w:lang w:val="de-DE"/>
        </w:rPr>
      </w:pPr>
    </w:p>
    <w:p w14:paraId="773C7401" w14:textId="36AC07BA" w:rsidR="00155758" w:rsidRPr="004676F5" w:rsidRDefault="00155758" w:rsidP="00155758">
      <w:pPr>
        <w:jc w:val="both"/>
        <w:rPr>
          <w:i/>
          <w:iCs/>
          <w:lang w:val="de-DE"/>
        </w:rPr>
      </w:pPr>
      <w:r w:rsidRPr="004676F5">
        <w:rPr>
          <w:i/>
          <w:iCs/>
          <w:lang w:val="de-DE"/>
        </w:rPr>
        <w:t>[Art. XI.245/7/3 eingefügt durch Art. 69 des G. vom 19. Juni 2022 (B.S. vom 1. August 2022)]</w:t>
      </w:r>
    </w:p>
    <w:p w14:paraId="3E7F4CDF" w14:textId="77777777" w:rsidR="00155758" w:rsidRPr="004676F5" w:rsidRDefault="00155758" w:rsidP="001327CD">
      <w:pPr>
        <w:jc w:val="both"/>
        <w:rPr>
          <w:lang w:val="de-DE"/>
        </w:rPr>
      </w:pPr>
    </w:p>
    <w:p w14:paraId="695B28A3" w14:textId="77777777" w:rsidR="001327CD" w:rsidRPr="004676F5" w:rsidRDefault="001327CD" w:rsidP="001327CD">
      <w:pPr>
        <w:jc w:val="both"/>
        <w:rPr>
          <w:lang w:val="de-DE"/>
        </w:rPr>
      </w:pPr>
    </w:p>
    <w:p w14:paraId="221FA11B" w14:textId="630A6C4C" w:rsidR="001327CD" w:rsidRPr="004676F5" w:rsidRDefault="001327CD" w:rsidP="001327CD">
      <w:pPr>
        <w:jc w:val="both"/>
        <w:rPr>
          <w:lang w:val="de-DE"/>
        </w:rPr>
      </w:pPr>
      <w:r w:rsidRPr="004676F5">
        <w:rPr>
          <w:lang w:val="de-DE"/>
        </w:rPr>
        <w:tab/>
      </w:r>
      <w:r w:rsidR="00155758" w:rsidRPr="004676F5">
        <w:rPr>
          <w:lang w:val="de-DE"/>
        </w:rPr>
        <w:t>[</w:t>
      </w:r>
      <w:r w:rsidRPr="004676F5">
        <w:rPr>
          <w:b/>
          <w:bCs/>
          <w:lang w:val="de-DE"/>
        </w:rPr>
        <w:t>Art. XI.245/7/4</w:t>
      </w:r>
      <w:r w:rsidRPr="004676F5">
        <w:rPr>
          <w:lang w:val="de-DE"/>
        </w:rPr>
        <w:t> </w:t>
      </w:r>
      <w:r w:rsidR="005B7A5C" w:rsidRPr="004676F5">
        <w:rPr>
          <w:lang w:val="de-DE"/>
        </w:rPr>
        <w:t>- </w:t>
      </w:r>
      <w:r w:rsidRPr="004676F5">
        <w:rPr>
          <w:lang w:val="de-DE"/>
        </w:rPr>
        <w:t>Öffentlich zugängliche Bibliotheken oder Museen, Archive oder im Bereich des Film</w:t>
      </w:r>
      <w:r w:rsidR="005B7A5C" w:rsidRPr="004676F5">
        <w:rPr>
          <w:lang w:val="de-DE"/>
        </w:rPr>
        <w:t>- </w:t>
      </w:r>
      <w:r w:rsidRPr="004676F5">
        <w:rPr>
          <w:lang w:val="de-DE"/>
        </w:rPr>
        <w:t>oder Tonerbes tätige Einrichtungen, die in Belgien ansässig sind, müssen die in Artikel XI.245/7/2 § 1 erwähnte Lizenz mit der in Artikel XI.245/7/2 § 2 erwähnten repräsentativen Verwertungsgesellschaft abschließen.</w:t>
      </w:r>
      <w:r w:rsidR="00155758" w:rsidRPr="004676F5">
        <w:rPr>
          <w:lang w:val="de-DE"/>
        </w:rPr>
        <w:t>]</w:t>
      </w:r>
    </w:p>
    <w:p w14:paraId="4C06641E" w14:textId="77777777" w:rsidR="00155758" w:rsidRPr="004676F5" w:rsidRDefault="00155758" w:rsidP="001327CD">
      <w:pPr>
        <w:jc w:val="both"/>
        <w:rPr>
          <w:lang w:val="de-DE"/>
        </w:rPr>
      </w:pPr>
    </w:p>
    <w:p w14:paraId="64EF89E1" w14:textId="27C41FF1" w:rsidR="00155758" w:rsidRPr="004676F5" w:rsidRDefault="00155758" w:rsidP="00155758">
      <w:pPr>
        <w:jc w:val="both"/>
        <w:rPr>
          <w:i/>
          <w:iCs/>
          <w:lang w:val="de-DE"/>
        </w:rPr>
      </w:pPr>
      <w:r w:rsidRPr="004676F5">
        <w:rPr>
          <w:i/>
          <w:iCs/>
          <w:lang w:val="de-DE"/>
        </w:rPr>
        <w:t>[Art. XI.245/7/4 eingefügt durch Art. 70 des G. vom 19. Juni 2022 (B.S. vom 1. August 2022)]</w:t>
      </w:r>
    </w:p>
    <w:p w14:paraId="06C0B2F5" w14:textId="77777777" w:rsidR="00155758" w:rsidRPr="004676F5" w:rsidRDefault="00155758" w:rsidP="001327CD">
      <w:pPr>
        <w:jc w:val="both"/>
        <w:rPr>
          <w:lang w:val="de-DE"/>
        </w:rPr>
      </w:pPr>
    </w:p>
    <w:p w14:paraId="32745A55" w14:textId="77777777" w:rsidR="001327CD" w:rsidRPr="004676F5" w:rsidRDefault="001327CD" w:rsidP="001327CD">
      <w:pPr>
        <w:jc w:val="both"/>
        <w:rPr>
          <w:lang w:val="de-DE"/>
        </w:rPr>
      </w:pPr>
    </w:p>
    <w:p w14:paraId="7D0C4042" w14:textId="16AB2E05" w:rsidR="001327CD" w:rsidRPr="004676F5" w:rsidRDefault="001327CD" w:rsidP="001327CD">
      <w:pPr>
        <w:jc w:val="both"/>
        <w:rPr>
          <w:lang w:val="de-DE"/>
        </w:rPr>
      </w:pPr>
      <w:r w:rsidRPr="004676F5">
        <w:rPr>
          <w:lang w:val="de-DE"/>
        </w:rPr>
        <w:tab/>
      </w:r>
      <w:r w:rsidR="00155758" w:rsidRPr="004676F5">
        <w:rPr>
          <w:lang w:val="de-DE"/>
        </w:rPr>
        <w:t>[</w:t>
      </w:r>
      <w:r w:rsidRPr="004676F5">
        <w:rPr>
          <w:b/>
          <w:bCs/>
          <w:lang w:val="de-DE"/>
        </w:rPr>
        <w:t>Art. XI.245/7/5</w:t>
      </w:r>
      <w:r w:rsidRPr="004676F5">
        <w:rPr>
          <w:lang w:val="de-DE"/>
        </w:rPr>
        <w:t> </w:t>
      </w:r>
      <w:r w:rsidR="005B7A5C" w:rsidRPr="004676F5">
        <w:rPr>
          <w:lang w:val="de-DE"/>
        </w:rPr>
        <w:t>- </w:t>
      </w:r>
      <w:r w:rsidRPr="004676F5">
        <w:rPr>
          <w:lang w:val="de-DE"/>
        </w:rPr>
        <w:t xml:space="preserve">Die Bestimmungen der Artikel XI.192/2, XI.218/2, XI.299/1 und XI.310/1 und des vorliegenden Kapitels gelten nicht für Reihen vergriffener Werke oder Leistungen, wenn nach Prüfung mit vertretbarem Aufwand gemäß Artikel I.13 Nr. 12 nachweislich festgestellt wurde, dass derartige Reihen überwiegend aus Folgendem bestehen: </w:t>
      </w:r>
    </w:p>
    <w:p w14:paraId="5A0A2E11" w14:textId="77777777" w:rsidR="001327CD" w:rsidRPr="004676F5" w:rsidRDefault="001327CD" w:rsidP="001327CD">
      <w:pPr>
        <w:jc w:val="both"/>
        <w:rPr>
          <w:lang w:val="de-DE"/>
        </w:rPr>
      </w:pPr>
    </w:p>
    <w:p w14:paraId="53963963" w14:textId="77777777" w:rsidR="001327CD" w:rsidRPr="004676F5" w:rsidRDefault="001327CD" w:rsidP="001327CD">
      <w:pPr>
        <w:jc w:val="both"/>
        <w:rPr>
          <w:lang w:val="de-DE"/>
        </w:rPr>
      </w:pPr>
      <w:r w:rsidRPr="004676F5">
        <w:rPr>
          <w:lang w:val="de-DE"/>
        </w:rPr>
        <w:tab/>
        <w:t>1. aus Werken oder Leistungen, die zuerst außerhalb der Europäischen Union oder des Europäischen Wirtschaftsraums veröffentlicht worden sind,</w:t>
      </w:r>
    </w:p>
    <w:p w14:paraId="4524646E" w14:textId="77777777" w:rsidR="001327CD" w:rsidRPr="004676F5" w:rsidRDefault="001327CD" w:rsidP="001327CD">
      <w:pPr>
        <w:jc w:val="both"/>
        <w:rPr>
          <w:lang w:val="de-DE"/>
        </w:rPr>
      </w:pPr>
    </w:p>
    <w:p w14:paraId="202DA528" w14:textId="77777777" w:rsidR="001327CD" w:rsidRPr="004676F5" w:rsidRDefault="001327CD" w:rsidP="001327CD">
      <w:pPr>
        <w:jc w:val="both"/>
        <w:rPr>
          <w:lang w:val="de-DE"/>
        </w:rPr>
      </w:pPr>
      <w:r w:rsidRPr="004676F5">
        <w:rPr>
          <w:lang w:val="de-DE"/>
        </w:rPr>
        <w:tab/>
        <w:t>2. aus Kinofilmen oder sonstigen audiovisuellen Werken, deren Produzenten ihren Hauptsitz oder ihren gewöhnlichen Aufenthaltsort außerhalb der Europäischen Union oder des Europäischen Wirtschaftsraums haben, oder</w:t>
      </w:r>
    </w:p>
    <w:p w14:paraId="1225B72A" w14:textId="77777777" w:rsidR="001327CD" w:rsidRPr="004676F5" w:rsidRDefault="001327CD" w:rsidP="001327CD">
      <w:pPr>
        <w:jc w:val="both"/>
        <w:rPr>
          <w:lang w:val="de-DE"/>
        </w:rPr>
      </w:pPr>
    </w:p>
    <w:p w14:paraId="4BF0929C" w14:textId="77777777" w:rsidR="001327CD" w:rsidRPr="004676F5" w:rsidRDefault="001327CD" w:rsidP="001327CD">
      <w:pPr>
        <w:jc w:val="both"/>
        <w:rPr>
          <w:lang w:val="de-DE"/>
        </w:rPr>
      </w:pPr>
      <w:r w:rsidRPr="004676F5">
        <w:rPr>
          <w:lang w:val="de-DE"/>
        </w:rPr>
        <w:tab/>
        <w:t>3. aus Werken oder Leistungen von Angehörigen von Ländern, die keine Mitgliedstaaten der Europäischen Union oder des Europäischen Wirtschaftsraums sind, sofern gemäß den Nummern 1 und 2 und nach vertretbarem Aufwand sich kein Mitgliedstaat der Europäischen Union oder des Europäischen Wirtschaftsraums und kein Land, das nicht Mitgliedstaat der Europäischen Union oder des Europäischen Wirtschaftsraums ist, bestimmen lässt.</w:t>
      </w:r>
    </w:p>
    <w:p w14:paraId="67354808" w14:textId="77777777" w:rsidR="001327CD" w:rsidRPr="004676F5" w:rsidRDefault="001327CD" w:rsidP="001327CD">
      <w:pPr>
        <w:jc w:val="both"/>
        <w:rPr>
          <w:lang w:val="de-DE"/>
        </w:rPr>
      </w:pPr>
    </w:p>
    <w:p w14:paraId="5D79CBD3" w14:textId="248D437B" w:rsidR="00155758" w:rsidRPr="004676F5" w:rsidRDefault="001327CD" w:rsidP="001327CD">
      <w:pPr>
        <w:jc w:val="both"/>
        <w:rPr>
          <w:lang w:val="de-DE"/>
        </w:rPr>
      </w:pPr>
      <w:r w:rsidRPr="004676F5">
        <w:rPr>
          <w:lang w:val="de-DE"/>
        </w:rPr>
        <w:tab/>
        <w:t>Absatz 1 findet keine Anwendung, wenn die in Artikel XI.245/7/2 § 2 erwähnte Verwertungsgesellschaft ausreichend repräsentativ für Urheber, Inhaber verwandter Schutzrechte oder Hersteller von Datenbanken des Landes außerhalb der Europäischen Union oder des Europäischen Wirtschaftsraums ist.</w:t>
      </w:r>
      <w:r w:rsidR="00155758" w:rsidRPr="004676F5">
        <w:rPr>
          <w:lang w:val="de-DE"/>
        </w:rPr>
        <w:t>]</w:t>
      </w:r>
    </w:p>
    <w:p w14:paraId="13B15350" w14:textId="77777777" w:rsidR="00155758" w:rsidRPr="004676F5" w:rsidRDefault="00155758" w:rsidP="001327CD">
      <w:pPr>
        <w:jc w:val="both"/>
        <w:rPr>
          <w:lang w:val="de-DE"/>
        </w:rPr>
      </w:pPr>
    </w:p>
    <w:p w14:paraId="405D0B80" w14:textId="72DBCCB9" w:rsidR="00155758" w:rsidRPr="004676F5" w:rsidRDefault="00155758" w:rsidP="00155758">
      <w:pPr>
        <w:jc w:val="both"/>
        <w:rPr>
          <w:i/>
          <w:iCs/>
          <w:lang w:val="de-DE"/>
        </w:rPr>
      </w:pPr>
      <w:r w:rsidRPr="004676F5">
        <w:rPr>
          <w:i/>
          <w:iCs/>
          <w:lang w:val="de-DE"/>
        </w:rPr>
        <w:t>[Art. XI.245/7/5 eingefügt durch Art. 71 des G. vom 19. Juni 2022 (B.S. vom 1. August 2022)]</w:t>
      </w:r>
    </w:p>
    <w:p w14:paraId="6C38E99A" w14:textId="77777777" w:rsidR="00155758" w:rsidRPr="004676F5" w:rsidRDefault="00155758" w:rsidP="001327CD">
      <w:pPr>
        <w:jc w:val="both"/>
        <w:rPr>
          <w:lang w:val="de-DE"/>
        </w:rPr>
      </w:pPr>
    </w:p>
    <w:p w14:paraId="1DE67F98" w14:textId="77777777" w:rsidR="001327CD" w:rsidRPr="004676F5" w:rsidRDefault="001327CD" w:rsidP="001327CD">
      <w:pPr>
        <w:jc w:val="both"/>
        <w:rPr>
          <w:lang w:val="de-DE"/>
        </w:rPr>
      </w:pPr>
    </w:p>
    <w:p w14:paraId="5B006CBB" w14:textId="6D80F2E2" w:rsidR="001327CD" w:rsidRPr="004676F5" w:rsidRDefault="001327CD" w:rsidP="001327CD">
      <w:pPr>
        <w:jc w:val="both"/>
        <w:rPr>
          <w:lang w:val="de-DE"/>
        </w:rPr>
      </w:pPr>
      <w:r w:rsidRPr="004676F5">
        <w:rPr>
          <w:lang w:val="de-DE"/>
        </w:rPr>
        <w:tab/>
      </w:r>
      <w:r w:rsidR="00155758" w:rsidRPr="004676F5">
        <w:rPr>
          <w:lang w:val="de-DE"/>
        </w:rPr>
        <w:t>[</w:t>
      </w:r>
      <w:r w:rsidRPr="004676F5">
        <w:rPr>
          <w:b/>
          <w:bCs/>
          <w:lang w:val="de-DE"/>
        </w:rPr>
        <w:t>Art. XI.245/7/6</w:t>
      </w:r>
      <w:r w:rsidRPr="004676F5">
        <w:rPr>
          <w:lang w:val="de-DE"/>
        </w:rPr>
        <w:t> </w:t>
      </w:r>
      <w:r w:rsidR="005B7A5C" w:rsidRPr="004676F5">
        <w:rPr>
          <w:lang w:val="de-DE"/>
        </w:rPr>
        <w:t>- </w:t>
      </w:r>
      <w:r w:rsidRPr="004676F5">
        <w:rPr>
          <w:lang w:val="de-DE"/>
        </w:rPr>
        <w:t>§ 1 ­ Mindestens sechs Monate vor der Vervielfältigung, Verbreitung oder öffentlichen Wiedergabe der Werke, Leistungen, Presseveröffentlichungen, Computerprogramme und/oder Datenbanken gemäß Artikel XI.245/7/2 müssen die in diesem Artikel erwähnten Einrichtungen, die in Artikel XI.245/7/2 § 2 erwähnte Verwertungs</w:t>
      </w:r>
      <w:r w:rsidRPr="004676F5">
        <w:rPr>
          <w:lang w:val="de-DE"/>
        </w:rPr>
        <w:softHyphen/>
        <w:t>gesellschaft und die Parteien des Lizenzvertrags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3A5826CA" w14:textId="77777777" w:rsidR="001327CD" w:rsidRPr="004676F5" w:rsidRDefault="001327CD" w:rsidP="001327CD">
      <w:pPr>
        <w:jc w:val="both"/>
        <w:rPr>
          <w:lang w:val="de-DE"/>
        </w:rPr>
      </w:pPr>
    </w:p>
    <w:p w14:paraId="62D4D997" w14:textId="77777777" w:rsidR="001327CD" w:rsidRPr="004676F5" w:rsidRDefault="001327CD" w:rsidP="001327CD">
      <w:pPr>
        <w:jc w:val="both"/>
        <w:rPr>
          <w:lang w:val="de-DE"/>
        </w:rPr>
      </w:pPr>
      <w:r w:rsidRPr="004676F5">
        <w:rPr>
          <w:lang w:val="de-DE"/>
        </w:rPr>
        <w:tab/>
        <w:t>1. Identifizierung der vergriffenen Werke und/oder Leistungen,</w:t>
      </w:r>
    </w:p>
    <w:p w14:paraId="1AAC5744" w14:textId="77777777" w:rsidR="001327CD" w:rsidRPr="004676F5" w:rsidRDefault="001327CD" w:rsidP="001327CD">
      <w:pPr>
        <w:jc w:val="both"/>
        <w:rPr>
          <w:lang w:val="de-DE"/>
        </w:rPr>
      </w:pPr>
    </w:p>
    <w:p w14:paraId="609C8446" w14:textId="77777777" w:rsidR="001327CD" w:rsidRPr="004676F5" w:rsidRDefault="001327CD" w:rsidP="001327CD">
      <w:pPr>
        <w:jc w:val="both"/>
        <w:rPr>
          <w:lang w:val="de-DE"/>
        </w:rPr>
      </w:pPr>
      <w:r w:rsidRPr="004676F5">
        <w:rPr>
          <w:lang w:val="de-DE"/>
        </w:rPr>
        <w:tab/>
        <w:t>2. Parteien des Lizenzvertrags,</w:t>
      </w:r>
    </w:p>
    <w:p w14:paraId="6F8B5096" w14:textId="77777777" w:rsidR="001327CD" w:rsidRPr="004676F5" w:rsidRDefault="001327CD" w:rsidP="001327CD">
      <w:pPr>
        <w:jc w:val="both"/>
        <w:rPr>
          <w:lang w:val="de-DE"/>
        </w:rPr>
      </w:pPr>
    </w:p>
    <w:p w14:paraId="4E9F7E8E" w14:textId="77777777" w:rsidR="001327CD" w:rsidRPr="004676F5" w:rsidRDefault="001327CD" w:rsidP="001327CD">
      <w:pPr>
        <w:jc w:val="both"/>
        <w:rPr>
          <w:lang w:val="de-DE"/>
        </w:rPr>
      </w:pPr>
      <w:r w:rsidRPr="004676F5">
        <w:rPr>
          <w:lang w:val="de-DE"/>
        </w:rPr>
        <w:tab/>
        <w:t>3. Gebiet, auf das sich die Nutzung erstreckt,</w:t>
      </w:r>
    </w:p>
    <w:p w14:paraId="57C6F55C" w14:textId="77777777" w:rsidR="001327CD" w:rsidRPr="004676F5" w:rsidRDefault="001327CD" w:rsidP="001327CD">
      <w:pPr>
        <w:jc w:val="both"/>
        <w:rPr>
          <w:lang w:val="de-DE"/>
        </w:rPr>
      </w:pPr>
    </w:p>
    <w:p w14:paraId="06BFBA38" w14:textId="77777777" w:rsidR="001327CD" w:rsidRPr="004676F5" w:rsidRDefault="001327CD" w:rsidP="001327CD">
      <w:pPr>
        <w:jc w:val="both"/>
        <w:rPr>
          <w:lang w:val="de-DE"/>
        </w:rPr>
      </w:pPr>
      <w:r w:rsidRPr="004676F5">
        <w:rPr>
          <w:lang w:val="de-DE"/>
        </w:rPr>
        <w:tab/>
        <w:t>4. vereinbarte Nutzungsarten und</w:t>
      </w:r>
    </w:p>
    <w:p w14:paraId="0457AA20" w14:textId="77777777" w:rsidR="001327CD" w:rsidRPr="004676F5" w:rsidRDefault="001327CD" w:rsidP="001327CD">
      <w:pPr>
        <w:jc w:val="both"/>
        <w:rPr>
          <w:lang w:val="de-DE"/>
        </w:rPr>
      </w:pPr>
    </w:p>
    <w:p w14:paraId="32262E72" w14:textId="77777777" w:rsidR="001327CD" w:rsidRPr="004676F5" w:rsidRDefault="001327CD" w:rsidP="001327CD">
      <w:pPr>
        <w:jc w:val="both"/>
        <w:rPr>
          <w:lang w:val="de-DE"/>
        </w:rPr>
      </w:pPr>
      <w:r w:rsidRPr="004676F5">
        <w:rPr>
          <w:lang w:val="de-DE"/>
        </w:rPr>
        <w:tab/>
        <w:t>5. Möglichkeit für den Urheber, den Inhaber verwandter Schutzrechte und den Hersteller von Datenbanken, seine Werke oder Leistungen gemäß Artikel XI.245/7/3 von dieser Lizenz auszuschließen.</w:t>
      </w:r>
    </w:p>
    <w:p w14:paraId="7DD09451" w14:textId="77777777" w:rsidR="001327CD" w:rsidRPr="004676F5" w:rsidRDefault="001327CD" w:rsidP="001327CD">
      <w:pPr>
        <w:jc w:val="both"/>
        <w:rPr>
          <w:lang w:val="de-DE"/>
        </w:rPr>
      </w:pPr>
    </w:p>
    <w:p w14:paraId="45D6DD83" w14:textId="77777777" w:rsidR="001327CD" w:rsidRPr="004676F5" w:rsidRDefault="001327CD" w:rsidP="001327CD">
      <w:pPr>
        <w:jc w:val="both"/>
        <w:rPr>
          <w:lang w:val="de-DE"/>
        </w:rPr>
      </w:pPr>
      <w:r w:rsidRPr="004676F5">
        <w:rPr>
          <w:lang w:val="de-DE"/>
        </w:rPr>
        <w:tab/>
        <w:t>Der König kann Modalitäten in Bezug auf die in Absatz 1 erwähnte Bekanntmachung bestimmen und weitere geeignete Informationsmaßnahmen festlegen, wenn sich dies als notwendig erweist, um Urheber, Inhaber verwandter Schutzrechte und Hersteller von Datenbanken zu sensibilisieren.</w:t>
      </w:r>
    </w:p>
    <w:p w14:paraId="5EFCCE9E" w14:textId="77777777" w:rsidR="001327CD" w:rsidRPr="004676F5" w:rsidRDefault="001327CD" w:rsidP="001327CD">
      <w:pPr>
        <w:jc w:val="both"/>
        <w:rPr>
          <w:lang w:val="de-DE"/>
        </w:rPr>
      </w:pPr>
    </w:p>
    <w:p w14:paraId="77619D90" w14:textId="25F923C4" w:rsidR="00155758" w:rsidRPr="004676F5" w:rsidRDefault="001327CD" w:rsidP="00155758">
      <w:pPr>
        <w:jc w:val="both"/>
        <w:rPr>
          <w:lang w:val="de-DE"/>
        </w:rPr>
      </w:pPr>
      <w:r w:rsidRPr="004676F5">
        <w:rPr>
          <w:lang w:val="de-DE"/>
        </w:rPr>
        <w:tab/>
        <w:t>§ 2 ­ Öffentlich zugängliche Bibliotheken oder Museen, Archive oder im Bereich des Film</w:t>
      </w:r>
      <w:r w:rsidR="005B7A5C" w:rsidRPr="004676F5">
        <w:rPr>
          <w:lang w:val="de-DE"/>
        </w:rPr>
        <w:t>- </w:t>
      </w:r>
      <w:r w:rsidRPr="004676F5">
        <w:rPr>
          <w:lang w:val="de-DE"/>
        </w:rPr>
        <w:t>oder Tonerbes tätige Einrichtungen sind die für die Verarbeitung personenbezogener Daten Verantwortlichen, und zwar jeweils für die Datenverarbeitungen, die sie betreffen.</w:t>
      </w:r>
      <w:r w:rsidR="00155758" w:rsidRPr="004676F5">
        <w:rPr>
          <w:lang w:val="de-DE"/>
        </w:rPr>
        <w:t>]</w:t>
      </w:r>
    </w:p>
    <w:p w14:paraId="05784242" w14:textId="77777777" w:rsidR="00155758" w:rsidRPr="004676F5" w:rsidRDefault="00155758" w:rsidP="00155758">
      <w:pPr>
        <w:jc w:val="both"/>
        <w:rPr>
          <w:lang w:val="de-DE"/>
        </w:rPr>
      </w:pPr>
    </w:p>
    <w:p w14:paraId="5A587FCA" w14:textId="7385A893" w:rsidR="00155758" w:rsidRPr="004676F5" w:rsidRDefault="00155758" w:rsidP="00155758">
      <w:pPr>
        <w:jc w:val="both"/>
        <w:rPr>
          <w:i/>
          <w:iCs/>
          <w:lang w:val="de-DE"/>
        </w:rPr>
      </w:pPr>
      <w:r w:rsidRPr="004676F5">
        <w:rPr>
          <w:i/>
          <w:iCs/>
          <w:lang w:val="de-DE"/>
        </w:rPr>
        <w:t>[Art. XI.245/7/6 eingefügt durch Art. 72 des G. vom 19. Juni 2022 (B.S. vom 1. August 2022)]</w:t>
      </w:r>
    </w:p>
    <w:p w14:paraId="2CA9F92A" w14:textId="76E68B3B" w:rsidR="00AE1019" w:rsidRPr="004676F5" w:rsidRDefault="00AE1019" w:rsidP="00155758">
      <w:pPr>
        <w:jc w:val="both"/>
        <w:rPr>
          <w:lang w:val="de-DE"/>
        </w:rPr>
      </w:pPr>
      <w:r w:rsidRPr="004676F5">
        <w:rPr>
          <w:lang w:val="de-DE"/>
        </w:rPr>
        <w:br w:type="page"/>
      </w:r>
    </w:p>
    <w:p w14:paraId="57FF6C8D" w14:textId="1504C495" w:rsidR="00AE1019" w:rsidRPr="004676F5" w:rsidRDefault="00AE1019" w:rsidP="00AE1019">
      <w:pPr>
        <w:jc w:val="center"/>
        <w:rPr>
          <w:lang w:val="de-DE"/>
        </w:rPr>
      </w:pPr>
      <w:r w:rsidRPr="004676F5">
        <w:rPr>
          <w:lang w:val="de-DE"/>
        </w:rPr>
        <w:lastRenderedPageBreak/>
        <w:t>[KAPITEL 8/2 </w:t>
      </w:r>
      <w:r w:rsidR="005B7A5C" w:rsidRPr="004676F5">
        <w:rPr>
          <w:lang w:val="de-DE"/>
        </w:rPr>
        <w:t>- </w:t>
      </w:r>
      <w:r w:rsidRPr="004676F5">
        <w:rPr>
          <w:i/>
          <w:iCs/>
          <w:lang w:val="de-DE"/>
        </w:rPr>
        <w:t>Auf befugte Stellen anwendbare Bestimmungen</w:t>
      </w:r>
      <w:r w:rsidRPr="004676F5">
        <w:rPr>
          <w:lang w:val="de-DE"/>
        </w:rPr>
        <w:t>]</w:t>
      </w:r>
    </w:p>
    <w:p w14:paraId="407B2C47" w14:textId="77777777" w:rsidR="00AE1019" w:rsidRPr="004676F5" w:rsidRDefault="00AE1019" w:rsidP="00AE1019">
      <w:pPr>
        <w:jc w:val="center"/>
        <w:rPr>
          <w:lang w:val="de-DE"/>
        </w:rPr>
      </w:pPr>
    </w:p>
    <w:p w14:paraId="1C57B9F8" w14:textId="77777777" w:rsidR="00AE1019" w:rsidRPr="004676F5" w:rsidRDefault="00AE1019" w:rsidP="00AE1019">
      <w:pPr>
        <w:jc w:val="both"/>
        <w:rPr>
          <w:iCs/>
          <w:lang w:val="de-DE"/>
        </w:rPr>
      </w:pPr>
      <w:r w:rsidRPr="004676F5">
        <w:rPr>
          <w:i/>
          <w:iCs/>
          <w:lang w:val="de-DE"/>
        </w:rPr>
        <w:t>[Unterteilung Kapitel 8/2 eingefügt durch Art. 10</w:t>
      </w:r>
      <w:r w:rsidRPr="004676F5">
        <w:rPr>
          <w:i/>
          <w:lang w:val="de-DE"/>
        </w:rPr>
        <w:t xml:space="preserve"> des G. vom 25. November 2018 (II) (B.S. vom 12. Dezember 2018)]</w:t>
      </w:r>
    </w:p>
    <w:p w14:paraId="6DC5853E" w14:textId="77777777" w:rsidR="00AE1019" w:rsidRPr="004676F5" w:rsidRDefault="00AE1019" w:rsidP="00AE1019">
      <w:pPr>
        <w:jc w:val="both"/>
        <w:rPr>
          <w:iCs/>
          <w:lang w:val="de-DE"/>
        </w:rPr>
      </w:pPr>
    </w:p>
    <w:p w14:paraId="7FF6FB24" w14:textId="77777777" w:rsidR="00AE1019" w:rsidRPr="004676F5" w:rsidRDefault="00AE1019" w:rsidP="00AE1019">
      <w:pPr>
        <w:jc w:val="both"/>
        <w:rPr>
          <w:iCs/>
          <w:lang w:val="de-DE"/>
        </w:rPr>
      </w:pPr>
    </w:p>
    <w:p w14:paraId="26A9915A" w14:textId="32730A34" w:rsidR="00AE1019" w:rsidRPr="004676F5" w:rsidRDefault="00AE1019" w:rsidP="00AE1019">
      <w:pPr>
        <w:jc w:val="both"/>
        <w:rPr>
          <w:lang w:val="de-DE"/>
        </w:rPr>
      </w:pPr>
      <w:r w:rsidRPr="004676F5">
        <w:rPr>
          <w:iCs/>
          <w:lang w:val="de-DE"/>
        </w:rPr>
        <w:tab/>
        <w:t>[</w:t>
      </w:r>
      <w:r w:rsidRPr="004676F5">
        <w:rPr>
          <w:b/>
          <w:bCs/>
          <w:lang w:val="de-DE"/>
        </w:rPr>
        <w:t>Art. XI.245/8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Eine befugte Stelle mit Sitz in Belgien, die die in den Artikeln XI.190 Nr. 19, XI.192 § 1 Absatz 2, XI.217 Nr. 18, XI.218 § 1 Absatz 2, XI.299 § 4 Nr. 2 oder XI.310 § 2 Nr. 2 erwähnten Handlungen vornimmt, legt ihre eigenen Verfahren fest und befolgt sie, um sicherzustellen, dass sie:</w:t>
      </w:r>
    </w:p>
    <w:p w14:paraId="5239F346" w14:textId="77777777" w:rsidR="00AE1019" w:rsidRPr="004676F5" w:rsidRDefault="00AE1019" w:rsidP="00AE1019">
      <w:pPr>
        <w:jc w:val="both"/>
        <w:rPr>
          <w:lang w:val="de-DE"/>
        </w:rPr>
      </w:pPr>
    </w:p>
    <w:p w14:paraId="1436AC82" w14:textId="77777777" w:rsidR="00AE1019" w:rsidRPr="004676F5" w:rsidRDefault="00AE1019" w:rsidP="00AE1019">
      <w:pPr>
        <w:jc w:val="both"/>
        <w:rPr>
          <w:lang w:val="de-DE"/>
        </w:rPr>
      </w:pPr>
      <w:r w:rsidRPr="004676F5">
        <w:rPr>
          <w:lang w:val="de-DE"/>
        </w:rPr>
        <w:tab/>
        <w:t>1. Vervielfältigungsstücke in einem barrierefreien Format nur an begünstigte Personen oder andere befugte Stellen verbreitet oder ihnen übermittelt oder zugänglich macht,</w:t>
      </w:r>
    </w:p>
    <w:p w14:paraId="1084B62B" w14:textId="77777777" w:rsidR="00AE1019" w:rsidRPr="004676F5" w:rsidRDefault="00AE1019" w:rsidP="00AE1019">
      <w:pPr>
        <w:jc w:val="both"/>
        <w:rPr>
          <w:lang w:val="de-DE"/>
        </w:rPr>
      </w:pPr>
      <w:r w:rsidRPr="004676F5">
        <w:rPr>
          <w:lang w:val="de-DE"/>
        </w:rPr>
        <w:br/>
      </w:r>
      <w:r w:rsidRPr="004676F5">
        <w:rPr>
          <w:lang w:val="de-DE"/>
        </w:rPr>
        <w:tab/>
        <w:t>2. geeignete Schritte unternimmt, um der nicht genehmigten Vervielfältigung, Verbreitung, öffentlichen Wiedergabe oder öffentlichen Zugänglichmachung von Verviel</w:t>
      </w:r>
      <w:r w:rsidRPr="004676F5">
        <w:rPr>
          <w:lang w:val="de-DE"/>
        </w:rPr>
        <w:softHyphen/>
        <w:t>fältigungsstücken in einem barrierefreien Format entgegenzuwirken,</w:t>
      </w:r>
    </w:p>
    <w:p w14:paraId="4E4D5946" w14:textId="77777777" w:rsidR="00AE1019" w:rsidRPr="004676F5" w:rsidRDefault="00AE1019" w:rsidP="00AE1019">
      <w:pPr>
        <w:jc w:val="both"/>
        <w:rPr>
          <w:lang w:val="de-DE"/>
        </w:rPr>
      </w:pPr>
    </w:p>
    <w:p w14:paraId="0866C17A" w14:textId="77777777" w:rsidR="00AE1019" w:rsidRPr="004676F5" w:rsidRDefault="00AE1019" w:rsidP="00AE1019">
      <w:pPr>
        <w:jc w:val="both"/>
        <w:rPr>
          <w:lang w:val="de-DE"/>
        </w:rPr>
      </w:pPr>
      <w:r w:rsidRPr="004676F5">
        <w:rPr>
          <w:lang w:val="de-DE"/>
        </w:rPr>
        <w:tab/>
        <w:t>3. bei der Handhabung von Werken oder Leistungen und deren Vervielfältigungs</w:t>
      </w:r>
      <w:r w:rsidRPr="004676F5">
        <w:rPr>
          <w:lang w:val="de-DE"/>
        </w:rPr>
        <w:softHyphen/>
        <w:t>stücken in einem barrierefreien Format die gebotene Sorgfalt walten lässt und Aufzeichnungen hierüber führt, und</w:t>
      </w:r>
    </w:p>
    <w:p w14:paraId="69192023" w14:textId="77777777" w:rsidR="00AE1019" w:rsidRPr="004676F5" w:rsidRDefault="00AE1019" w:rsidP="00AE1019">
      <w:pPr>
        <w:jc w:val="both"/>
        <w:rPr>
          <w:lang w:val="de-DE"/>
        </w:rPr>
      </w:pPr>
    </w:p>
    <w:p w14:paraId="03F2CF1C" w14:textId="7E73D69E" w:rsidR="00AE1019" w:rsidRPr="004676F5" w:rsidRDefault="00AE1019" w:rsidP="00AE1019">
      <w:pPr>
        <w:jc w:val="both"/>
        <w:rPr>
          <w:lang w:val="de-DE"/>
        </w:rPr>
      </w:pPr>
      <w:r w:rsidRPr="004676F5">
        <w:rPr>
          <w:lang w:val="de-DE"/>
        </w:rPr>
        <w:tab/>
        <w:t>4. Informationen darüber, wie sie ihren unter den Nummern 1 bis 3 erwähnten Verpflichtungen nachkommt, soweit zweckmäßig auf ihrer Internetseite oder über sonstige Online</w:t>
      </w:r>
      <w:r w:rsidR="005B7A5C" w:rsidRPr="004676F5">
        <w:rPr>
          <w:lang w:val="de-DE"/>
        </w:rPr>
        <w:t>- </w:t>
      </w:r>
      <w:r w:rsidRPr="004676F5">
        <w:rPr>
          <w:lang w:val="de-DE"/>
        </w:rPr>
        <w:t>oder Offline-Kanäle veröffentlicht und auf dem neuesten Stand hält.</w:t>
      </w:r>
    </w:p>
    <w:p w14:paraId="15002A55" w14:textId="77777777" w:rsidR="00AE1019" w:rsidRPr="004676F5" w:rsidRDefault="00AE1019" w:rsidP="00AE1019">
      <w:pPr>
        <w:jc w:val="both"/>
        <w:rPr>
          <w:lang w:val="de-DE"/>
        </w:rPr>
      </w:pPr>
    </w:p>
    <w:p w14:paraId="4264CB75" w14:textId="5F5E0F7B" w:rsidR="00AE1019" w:rsidRPr="004676F5" w:rsidRDefault="00AE1019" w:rsidP="00AE1019">
      <w:pPr>
        <w:jc w:val="both"/>
        <w:rPr>
          <w:lang w:val="de-DE"/>
        </w:rPr>
      </w:pPr>
      <w:r w:rsidRPr="004676F5">
        <w:rPr>
          <w:lang w:val="de-DE"/>
        </w:rPr>
        <w:tab/>
        <w:t>§ 2 </w:t>
      </w:r>
      <w:r w:rsidR="005B7A5C" w:rsidRPr="004676F5">
        <w:rPr>
          <w:lang w:val="de-DE"/>
        </w:rPr>
        <w:t>- </w:t>
      </w:r>
      <w:r w:rsidRPr="004676F5">
        <w:rPr>
          <w:lang w:val="de-DE"/>
        </w:rPr>
        <w:t>Eine befugte Stelle mit Sitz in Belgien, die die in den Artikeln I.190 Nr. 19, XI.192 § 1 Absatz 2, XI.217 Nr. 18, XI.218 § 1 Absatz 2, XI.299 § 4 Nr. 2 oder XI.310 § 2 Nr. 2 erwähnten Handlungen vornimmt, erteilt begünstigten Personen, anderen befugten Stellen oder Rechtsinhabern auf Anfrage folgende Auskünfte in barrierefreier Form:</w:t>
      </w:r>
    </w:p>
    <w:p w14:paraId="2FDE1368" w14:textId="77777777" w:rsidR="00AE1019" w:rsidRPr="004676F5" w:rsidRDefault="00AE1019" w:rsidP="00AE1019">
      <w:pPr>
        <w:jc w:val="both"/>
        <w:rPr>
          <w:lang w:val="de-DE"/>
        </w:rPr>
      </w:pPr>
      <w:r w:rsidRPr="004676F5">
        <w:rPr>
          <w:lang w:val="de-DE"/>
        </w:rPr>
        <w:br/>
      </w:r>
      <w:r w:rsidRPr="004676F5">
        <w:rPr>
          <w:lang w:val="de-DE"/>
        </w:rPr>
        <w:tab/>
        <w:t>1. Liste der Werke oder Leistungen, von denen sie Vervielfältigungsstücke in einem barrierefreien Format besitzt, mit den verfügbaren Formaten, und</w:t>
      </w:r>
    </w:p>
    <w:p w14:paraId="759B56B1" w14:textId="77777777" w:rsidR="00AE1019" w:rsidRPr="004676F5" w:rsidRDefault="00AE1019" w:rsidP="00AE1019">
      <w:pPr>
        <w:jc w:val="both"/>
        <w:rPr>
          <w:lang w:val="de-DE"/>
        </w:rPr>
      </w:pPr>
    </w:p>
    <w:p w14:paraId="6359C34D" w14:textId="28D2067C" w:rsidR="00AE1019" w:rsidRPr="004676F5" w:rsidRDefault="00AE1019" w:rsidP="00AE1019">
      <w:pPr>
        <w:jc w:val="both"/>
        <w:rPr>
          <w:lang w:val="de-DE"/>
        </w:rPr>
      </w:pPr>
      <w:r w:rsidRPr="004676F5">
        <w:rPr>
          <w:lang w:val="de-DE"/>
        </w:rPr>
        <w:tab/>
        <w:t>2. Namen und Kontaktangaben der befugten Stellen, mit denen sie Vervielfältigungsstücke in einem barrierefreien Format gemäß den Artikeln XI.190 Nr. 19, XI.192 § 1 Absatz 2, XI.217 Nr. 18, XI.218 § 1 Absatz 2, XI.299 § 4 Nr. 2 oder XI.310 § 2 Nr. 2 austauscht.]</w:t>
      </w:r>
    </w:p>
    <w:p w14:paraId="32DB5DD0" w14:textId="77777777" w:rsidR="00AE1019" w:rsidRPr="004676F5" w:rsidRDefault="00AE1019" w:rsidP="00AE1019">
      <w:pPr>
        <w:jc w:val="both"/>
        <w:rPr>
          <w:lang w:val="de-DE"/>
        </w:rPr>
      </w:pPr>
    </w:p>
    <w:p w14:paraId="479A98A4" w14:textId="68731060" w:rsidR="00AE1019" w:rsidRPr="004676F5" w:rsidRDefault="00AE1019" w:rsidP="00AE1019">
      <w:pPr>
        <w:jc w:val="both"/>
        <w:rPr>
          <w:i/>
          <w:iCs/>
          <w:lang w:val="de-DE"/>
        </w:rPr>
      </w:pPr>
      <w:r w:rsidRPr="004676F5">
        <w:rPr>
          <w:i/>
          <w:iCs/>
          <w:lang w:val="de-DE"/>
        </w:rPr>
        <w:t>[Art. XI.245/8 eingefügt durch Art. 11 des G. vom 25.</w:t>
      </w:r>
      <w:r w:rsidR="00B1340F" w:rsidRPr="004676F5">
        <w:rPr>
          <w:i/>
          <w:iCs/>
          <w:lang w:val="de-DE"/>
        </w:rPr>
        <w:t> </w:t>
      </w:r>
      <w:r w:rsidRPr="004676F5">
        <w:rPr>
          <w:i/>
          <w:iCs/>
          <w:lang w:val="de-DE"/>
        </w:rPr>
        <w:t>November</w:t>
      </w:r>
      <w:r w:rsidR="00B1340F" w:rsidRPr="004676F5">
        <w:rPr>
          <w:i/>
          <w:iCs/>
          <w:lang w:val="de-DE"/>
        </w:rPr>
        <w:t> </w:t>
      </w:r>
      <w:r w:rsidRPr="004676F5">
        <w:rPr>
          <w:i/>
          <w:iCs/>
          <w:lang w:val="de-DE"/>
        </w:rPr>
        <w:t>2018</w:t>
      </w:r>
      <w:r w:rsidR="00B1340F" w:rsidRPr="004676F5">
        <w:rPr>
          <w:i/>
          <w:iCs/>
          <w:lang w:val="de-DE"/>
        </w:rPr>
        <w:t> </w:t>
      </w:r>
      <w:r w:rsidRPr="004676F5">
        <w:rPr>
          <w:i/>
          <w:iCs/>
          <w:lang w:val="de-DE"/>
        </w:rPr>
        <w:t>(II) (B.S. vom 12.</w:t>
      </w:r>
      <w:r w:rsidR="00B1340F" w:rsidRPr="004676F5">
        <w:rPr>
          <w:i/>
          <w:iCs/>
          <w:lang w:val="de-DE"/>
        </w:rPr>
        <w:t> </w:t>
      </w:r>
      <w:r w:rsidRPr="004676F5">
        <w:rPr>
          <w:i/>
          <w:iCs/>
          <w:lang w:val="de-DE"/>
        </w:rPr>
        <w:t>Dezember</w:t>
      </w:r>
      <w:r w:rsidR="00B1340F" w:rsidRPr="004676F5">
        <w:rPr>
          <w:i/>
          <w:iCs/>
          <w:lang w:val="de-DE"/>
        </w:rPr>
        <w:t> </w:t>
      </w:r>
      <w:r w:rsidRPr="004676F5">
        <w:rPr>
          <w:i/>
          <w:iCs/>
          <w:lang w:val="de-DE"/>
        </w:rPr>
        <w:t>2018)]</w:t>
      </w:r>
    </w:p>
    <w:p w14:paraId="05A65CAF" w14:textId="77777777" w:rsidR="00AE1019" w:rsidRPr="004676F5" w:rsidRDefault="00AE1019" w:rsidP="00AE1019">
      <w:pPr>
        <w:jc w:val="both"/>
        <w:rPr>
          <w:lang w:val="de-DE"/>
        </w:rPr>
      </w:pPr>
    </w:p>
    <w:p w14:paraId="5A3E54C7" w14:textId="77777777" w:rsidR="00AE1019" w:rsidRPr="004676F5" w:rsidRDefault="00AE1019" w:rsidP="00AE1019">
      <w:pPr>
        <w:jc w:val="both"/>
        <w:rPr>
          <w:lang w:val="de-DE"/>
        </w:rPr>
      </w:pPr>
    </w:p>
    <w:p w14:paraId="55847B16" w14:textId="1F3A1CE9" w:rsidR="00AE1019" w:rsidRPr="004676F5" w:rsidRDefault="00AE1019" w:rsidP="00AE1019">
      <w:pPr>
        <w:jc w:val="both"/>
        <w:rPr>
          <w:lang w:val="de-DE"/>
        </w:rPr>
      </w:pPr>
      <w:r w:rsidRPr="004676F5">
        <w:rPr>
          <w:lang w:val="de-DE"/>
        </w:rPr>
        <w:tab/>
        <w:t>[</w:t>
      </w:r>
      <w:r w:rsidRPr="004676F5">
        <w:rPr>
          <w:b/>
          <w:bCs/>
          <w:lang w:val="de-DE"/>
        </w:rPr>
        <w:t>Art. XI.245/9</w:t>
      </w:r>
      <w:r w:rsidRPr="004676F5">
        <w:rPr>
          <w:lang w:val="de-DE"/>
        </w:rPr>
        <w:t> </w:t>
      </w:r>
      <w:r w:rsidR="005B7A5C" w:rsidRPr="004676F5">
        <w:rPr>
          <w:lang w:val="de-DE"/>
        </w:rPr>
        <w:t>- </w:t>
      </w:r>
      <w:r w:rsidRPr="004676F5">
        <w:rPr>
          <w:lang w:val="de-DE"/>
        </w:rPr>
        <w:t>Befugte Stellen mit Sitz in Belgien, die die in den Artikeln XI.190 Nr. 19, XI.192 § 1 Absatz 2, XI.217 Nr. 18, XI.218 § 1 Absatz 2, XI.299 § 4 Nr. 2 oder XI.310 § 2 Nr. 2 und in den Artikeln 3 und 4 der Verordnung (EU) 2017/1563 erwähnten Handlungen vornehmen, teilen dem zuständigen Dienst des FÖD Wirtschaft freiwillig ihre Namen und Kontaktdaten mit.</w:t>
      </w:r>
      <w:r w:rsidRPr="004676F5">
        <w:rPr>
          <w:iCs/>
          <w:lang w:val="de-DE"/>
        </w:rPr>
        <w:t>]</w:t>
      </w:r>
      <w:r w:rsidRPr="004676F5">
        <w:rPr>
          <w:lang w:val="de-DE"/>
        </w:rPr>
        <w:t xml:space="preserve"> </w:t>
      </w:r>
    </w:p>
    <w:p w14:paraId="0DB228AF" w14:textId="77777777" w:rsidR="00AE1019" w:rsidRPr="004676F5" w:rsidRDefault="00AE1019" w:rsidP="00AE1019">
      <w:pPr>
        <w:jc w:val="both"/>
        <w:rPr>
          <w:lang w:val="de-DE"/>
        </w:rPr>
      </w:pPr>
    </w:p>
    <w:p w14:paraId="06CF8191" w14:textId="4081F79B" w:rsidR="00AE1019" w:rsidRPr="004676F5" w:rsidRDefault="00AE1019" w:rsidP="00AE1019">
      <w:pPr>
        <w:jc w:val="both"/>
        <w:rPr>
          <w:i/>
          <w:iCs/>
          <w:lang w:val="de-DE"/>
        </w:rPr>
      </w:pPr>
      <w:r w:rsidRPr="004676F5">
        <w:rPr>
          <w:i/>
          <w:iCs/>
          <w:lang w:val="de-DE"/>
        </w:rPr>
        <w:t>[Art. XI.245/9 eingefügt durch Art. 12 des G. vom 25.</w:t>
      </w:r>
      <w:r w:rsidR="00B1340F" w:rsidRPr="004676F5">
        <w:rPr>
          <w:i/>
          <w:iCs/>
          <w:lang w:val="de-DE"/>
        </w:rPr>
        <w:t> </w:t>
      </w:r>
      <w:r w:rsidRPr="004676F5">
        <w:rPr>
          <w:i/>
          <w:iCs/>
          <w:lang w:val="de-DE"/>
        </w:rPr>
        <w:t>November</w:t>
      </w:r>
      <w:r w:rsidR="00B1340F" w:rsidRPr="004676F5">
        <w:rPr>
          <w:i/>
          <w:iCs/>
          <w:lang w:val="de-DE"/>
        </w:rPr>
        <w:t> </w:t>
      </w:r>
      <w:r w:rsidRPr="004676F5">
        <w:rPr>
          <w:i/>
          <w:iCs/>
          <w:lang w:val="de-DE"/>
        </w:rPr>
        <w:t>2018</w:t>
      </w:r>
      <w:r w:rsidR="00B1340F" w:rsidRPr="004676F5">
        <w:rPr>
          <w:i/>
          <w:iCs/>
          <w:lang w:val="de-DE"/>
        </w:rPr>
        <w:t> </w:t>
      </w:r>
      <w:r w:rsidRPr="004676F5">
        <w:rPr>
          <w:i/>
          <w:iCs/>
          <w:lang w:val="de-DE"/>
        </w:rPr>
        <w:t>(II) (B.S. vom 12.</w:t>
      </w:r>
      <w:r w:rsidR="00B1340F" w:rsidRPr="004676F5">
        <w:rPr>
          <w:i/>
          <w:iCs/>
          <w:lang w:val="de-DE"/>
        </w:rPr>
        <w:t> </w:t>
      </w:r>
      <w:r w:rsidRPr="004676F5">
        <w:rPr>
          <w:i/>
          <w:iCs/>
          <w:lang w:val="de-DE"/>
        </w:rPr>
        <w:t>Dezember</w:t>
      </w:r>
      <w:r w:rsidR="00B1340F" w:rsidRPr="004676F5">
        <w:rPr>
          <w:i/>
          <w:iCs/>
          <w:lang w:val="de-DE"/>
        </w:rPr>
        <w:t> </w:t>
      </w:r>
      <w:r w:rsidRPr="004676F5">
        <w:rPr>
          <w:i/>
          <w:iCs/>
          <w:lang w:val="de-DE"/>
        </w:rPr>
        <w:t>2018)]</w:t>
      </w:r>
    </w:p>
    <w:p w14:paraId="0A052BF7" w14:textId="5672D069" w:rsidR="00355502" w:rsidRPr="004676F5" w:rsidRDefault="00355502" w:rsidP="00AE1019">
      <w:pPr>
        <w:jc w:val="both"/>
        <w:rPr>
          <w:lang w:val="de-DE"/>
        </w:rPr>
      </w:pPr>
      <w:r w:rsidRPr="004676F5">
        <w:rPr>
          <w:lang w:val="de-DE"/>
        </w:rPr>
        <w:br w:type="page"/>
      </w:r>
    </w:p>
    <w:p w14:paraId="037454A3" w14:textId="600ECB8A" w:rsidR="001527B1" w:rsidRPr="004676F5" w:rsidRDefault="001527B1" w:rsidP="001527B1">
      <w:pPr>
        <w:jc w:val="center"/>
        <w:rPr>
          <w:lang w:val="de-DE"/>
        </w:rPr>
      </w:pPr>
      <w:r w:rsidRPr="004676F5">
        <w:rPr>
          <w:lang w:val="de-DE"/>
        </w:rPr>
        <w:lastRenderedPageBreak/>
        <w:t>KAPITEL 9 </w:t>
      </w:r>
      <w:r w:rsidR="005B7A5C" w:rsidRPr="004676F5">
        <w:rPr>
          <w:lang w:val="de-DE"/>
        </w:rPr>
        <w:t>- </w:t>
      </w:r>
      <w:r w:rsidR="00BA7CF0" w:rsidRPr="004676F5">
        <w:rPr>
          <w:lang w:val="de-DE"/>
        </w:rPr>
        <w:t>[</w:t>
      </w:r>
      <w:r w:rsidR="00BA7CF0" w:rsidRPr="004676F5">
        <w:rPr>
          <w:i/>
          <w:lang w:val="de-DE"/>
        </w:rPr>
        <w:t>Kollektive Wahrnehmung der Urheberrechte und verwandten Schutz</w:t>
      </w:r>
      <w:r w:rsidR="00BA7CF0" w:rsidRPr="004676F5">
        <w:rPr>
          <w:i/>
          <w:lang w:val="de-DE"/>
        </w:rPr>
        <w:softHyphen/>
        <w:t>rechte</w:t>
      </w:r>
      <w:r w:rsidR="00BA7CF0" w:rsidRPr="004676F5">
        <w:rPr>
          <w:lang w:val="de-DE"/>
        </w:rPr>
        <w:t>]</w:t>
      </w:r>
    </w:p>
    <w:p w14:paraId="20DFA3A5" w14:textId="77777777" w:rsidR="00BA7CF0" w:rsidRPr="004676F5" w:rsidRDefault="00BA7CF0" w:rsidP="001527B1">
      <w:pPr>
        <w:jc w:val="center"/>
        <w:rPr>
          <w:lang w:val="de-DE"/>
        </w:rPr>
      </w:pPr>
    </w:p>
    <w:p w14:paraId="3E95ADC9" w14:textId="43525B2C" w:rsidR="00BA7CF0" w:rsidRPr="00B14651" w:rsidRDefault="00BA7CF0" w:rsidP="00BA7CF0">
      <w:pPr>
        <w:jc w:val="both"/>
        <w:rPr>
          <w:i/>
          <w:lang w:val="de-DE"/>
        </w:rPr>
      </w:pPr>
      <w:r w:rsidRPr="004676F5">
        <w:rPr>
          <w:i/>
          <w:lang w:val="de-DE"/>
        </w:rPr>
        <w:t xml:space="preserve">[Überschrift von Kapitel 9 ersetzt durch </w:t>
      </w:r>
      <w:r w:rsidR="00BE0A56" w:rsidRPr="004676F5">
        <w:rPr>
          <w:i/>
          <w:lang w:val="de-DE"/>
        </w:rPr>
        <w:t>Art. </w:t>
      </w:r>
      <w:r w:rsidRPr="004676F5">
        <w:rPr>
          <w:i/>
          <w:lang w:val="de-DE"/>
        </w:rPr>
        <w:t>18 des G. vom 8. </w:t>
      </w:r>
      <w:r w:rsidRPr="00B14651">
        <w:rPr>
          <w:i/>
          <w:lang w:val="de-DE"/>
        </w:rPr>
        <w:t>Juni 2017 (B.S. vom 27. Juni 2017)]</w:t>
      </w:r>
    </w:p>
    <w:p w14:paraId="0F38BE61" w14:textId="77777777" w:rsidR="001527B1" w:rsidRPr="00B14651" w:rsidRDefault="001527B1" w:rsidP="001527B1">
      <w:pPr>
        <w:ind w:firstLine="708"/>
        <w:jc w:val="both"/>
        <w:rPr>
          <w:lang w:val="de-DE"/>
        </w:rPr>
      </w:pPr>
    </w:p>
    <w:p w14:paraId="0EEC5839" w14:textId="77777777" w:rsidR="00355502" w:rsidRPr="00B14651" w:rsidRDefault="00355502" w:rsidP="00BA7CF0">
      <w:pPr>
        <w:jc w:val="both"/>
        <w:rPr>
          <w:lang w:val="de-DE"/>
        </w:rPr>
      </w:pPr>
    </w:p>
    <w:p w14:paraId="1C01330A" w14:textId="3E875D61" w:rsidR="00BA7CF0" w:rsidRPr="004676F5" w:rsidRDefault="00BA7CF0" w:rsidP="00BA7CF0">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Anwendungsbereich]</w:t>
      </w:r>
    </w:p>
    <w:p w14:paraId="750FC02D" w14:textId="77777777" w:rsidR="00BA7CF0" w:rsidRPr="004676F5" w:rsidRDefault="00BA7CF0" w:rsidP="00BA7CF0">
      <w:pPr>
        <w:jc w:val="center"/>
        <w:rPr>
          <w:lang w:val="de-DE"/>
        </w:rPr>
      </w:pPr>
    </w:p>
    <w:p w14:paraId="784C6B5D" w14:textId="63C67A35" w:rsidR="00BA7CF0" w:rsidRPr="00B14651" w:rsidRDefault="00BA7CF0" w:rsidP="00BA7CF0">
      <w:pPr>
        <w:jc w:val="both"/>
        <w:rPr>
          <w:i/>
          <w:lang w:val="de-DE"/>
        </w:rPr>
      </w:pPr>
      <w:r w:rsidRPr="004676F5">
        <w:rPr>
          <w:i/>
          <w:lang w:val="de-DE"/>
        </w:rPr>
        <w:t xml:space="preserve">[Unterteilung Abschnitt 1 eingefügt durch </w:t>
      </w:r>
      <w:r w:rsidR="00BE0A56" w:rsidRPr="004676F5">
        <w:rPr>
          <w:i/>
          <w:lang w:val="de-DE"/>
        </w:rPr>
        <w:t>Art. </w:t>
      </w:r>
      <w:r w:rsidRPr="004676F5">
        <w:rPr>
          <w:i/>
          <w:lang w:val="de-DE"/>
        </w:rPr>
        <w:t>19 des G. vom 8. </w:t>
      </w:r>
      <w:r w:rsidRPr="00B14651">
        <w:rPr>
          <w:i/>
          <w:lang w:val="de-DE"/>
        </w:rPr>
        <w:t>Juni 2017 (B.S. vom 27. Juni 2017)]</w:t>
      </w:r>
    </w:p>
    <w:p w14:paraId="26BFDA14" w14:textId="77777777" w:rsidR="00BA7CF0" w:rsidRPr="00B14651" w:rsidRDefault="00BA7CF0" w:rsidP="00BA7CF0">
      <w:pPr>
        <w:jc w:val="center"/>
        <w:rPr>
          <w:lang w:val="de-DE"/>
        </w:rPr>
      </w:pPr>
    </w:p>
    <w:p w14:paraId="291DFE85" w14:textId="77777777" w:rsidR="00BA7CF0" w:rsidRPr="00B14651" w:rsidRDefault="00BA7CF0" w:rsidP="00BA7CF0">
      <w:pPr>
        <w:jc w:val="center"/>
        <w:rPr>
          <w:lang w:val="de-DE"/>
        </w:rPr>
      </w:pPr>
    </w:p>
    <w:p w14:paraId="7EB9F234" w14:textId="1ECD6AF6" w:rsidR="00BA7CF0" w:rsidRPr="004676F5" w:rsidRDefault="00BE0A56" w:rsidP="00BA7CF0">
      <w:pPr>
        <w:ind w:firstLine="708"/>
        <w:jc w:val="both"/>
        <w:rPr>
          <w:lang w:val="de-DE"/>
        </w:rPr>
      </w:pPr>
      <w:r w:rsidRPr="004676F5">
        <w:rPr>
          <w:b/>
          <w:lang w:val="de-DE"/>
        </w:rPr>
        <w:t>Art. </w:t>
      </w:r>
      <w:r w:rsidR="001527B1" w:rsidRPr="004676F5">
        <w:rPr>
          <w:b/>
          <w:lang w:val="de-DE"/>
        </w:rPr>
        <w:t>XI.246</w:t>
      </w:r>
      <w:r w:rsidR="001527B1" w:rsidRPr="004676F5">
        <w:rPr>
          <w:lang w:val="de-DE"/>
        </w:rPr>
        <w:t> </w:t>
      </w:r>
      <w:r w:rsidR="005B7A5C" w:rsidRPr="004676F5">
        <w:rPr>
          <w:lang w:val="de-DE"/>
        </w:rPr>
        <w:t>- </w:t>
      </w:r>
      <w:r w:rsidR="00BA7CF0" w:rsidRPr="004676F5">
        <w:rPr>
          <w:lang w:val="de-DE"/>
        </w:rPr>
        <w:t>[§ 1 </w:t>
      </w:r>
      <w:r w:rsidR="005B7A5C" w:rsidRPr="004676F5">
        <w:rPr>
          <w:lang w:val="de-DE"/>
        </w:rPr>
        <w:t>- </w:t>
      </w:r>
      <w:r w:rsidR="00BA7CF0" w:rsidRPr="004676F5">
        <w:rPr>
          <w:lang w:val="de-DE"/>
        </w:rPr>
        <w:t>Verwertungsgesellschaften unterliegen den Bestimmungen des vorliegenden Kapitels.</w:t>
      </w:r>
    </w:p>
    <w:p w14:paraId="3E8DB671" w14:textId="77777777" w:rsidR="00BA7CF0" w:rsidRPr="004676F5" w:rsidRDefault="00BA7CF0" w:rsidP="00BA7CF0">
      <w:pPr>
        <w:jc w:val="both"/>
        <w:rPr>
          <w:lang w:val="de-DE"/>
        </w:rPr>
      </w:pPr>
    </w:p>
    <w:p w14:paraId="5D9CE923" w14:textId="77777777" w:rsidR="00BA7CF0" w:rsidRPr="004676F5" w:rsidRDefault="00BA7CF0" w:rsidP="00BA7CF0">
      <w:pPr>
        <w:jc w:val="both"/>
        <w:rPr>
          <w:lang w:val="de-DE"/>
        </w:rPr>
      </w:pPr>
      <w:r w:rsidRPr="004676F5">
        <w:rPr>
          <w:lang w:val="de-DE"/>
        </w:rPr>
        <w:tab/>
        <w:t>Organisationen für die kollektive Rechtewahrnehmung mit Zweigstelle in Belgien unterliegen für die Ausübung ihrer Tätigkeiten auf belgischem Staatsgebiet den Artikeln XI.248, XI.248/6, XI.248/7, XI.248/9 § 3, XI.248/12, XI.249 bis XI.253, XI.255 bis XI.257, XI.261 bis XI.267, XI.269, XI.271 bis XI.273/1 und XI.273/13 bis XI.273/16.</w:t>
      </w:r>
    </w:p>
    <w:p w14:paraId="67A8C69E" w14:textId="77777777" w:rsidR="00BA7CF0" w:rsidRPr="004676F5" w:rsidRDefault="00BA7CF0" w:rsidP="00BA7CF0">
      <w:pPr>
        <w:jc w:val="both"/>
        <w:rPr>
          <w:lang w:val="de-DE"/>
        </w:rPr>
      </w:pPr>
    </w:p>
    <w:p w14:paraId="50D8929C" w14:textId="77777777" w:rsidR="00BA7CF0" w:rsidRPr="004676F5" w:rsidRDefault="00BA7CF0" w:rsidP="00BA7CF0">
      <w:pPr>
        <w:jc w:val="both"/>
        <w:rPr>
          <w:lang w:val="de-DE"/>
        </w:rPr>
      </w:pPr>
      <w:r w:rsidRPr="004676F5">
        <w:rPr>
          <w:lang w:val="de-DE"/>
        </w:rPr>
        <w:tab/>
        <w:t>Unabhängige Verwertungseinrichtungen mit Sitz in Belgien unterliegen den Arti</w:t>
      </w:r>
      <w:r w:rsidRPr="004676F5">
        <w:rPr>
          <w:lang w:val="de-DE"/>
        </w:rPr>
        <w:softHyphen/>
        <w:t>keln XI.261 § 1, XI.266 Nr. 1, 2, 3, 5, 6, 7, XI.267 und XI.269.</w:t>
      </w:r>
    </w:p>
    <w:p w14:paraId="1F7D4423" w14:textId="77777777" w:rsidR="00BA7CF0" w:rsidRPr="004676F5" w:rsidRDefault="00BA7CF0" w:rsidP="00BA7CF0">
      <w:pPr>
        <w:jc w:val="both"/>
        <w:rPr>
          <w:lang w:val="de-DE"/>
        </w:rPr>
      </w:pPr>
    </w:p>
    <w:p w14:paraId="23ABC7E9" w14:textId="77777777" w:rsidR="00BA7CF0" w:rsidRPr="004676F5" w:rsidRDefault="00BA7CF0" w:rsidP="00BA7CF0">
      <w:pPr>
        <w:jc w:val="both"/>
        <w:rPr>
          <w:lang w:val="de-DE"/>
        </w:rPr>
      </w:pPr>
      <w:r w:rsidRPr="004676F5">
        <w:rPr>
          <w:lang w:val="de-DE"/>
        </w:rPr>
        <w:tab/>
        <w:t>Unabhängige Verwertungseinrichtungen mit Sitz in einem anderen Mitgliedstaat der Europäischen Union und Zweigstelle in Belgien unterliegen für die Ausübung ihrer Tätigkeiten auf belgischem Staatsgebiet den Artikeln XI.261 § 1, XI.266 Nr. 1, 2, 3, 5, 6, 7, XI.267 und XI.269.</w:t>
      </w:r>
    </w:p>
    <w:p w14:paraId="1020FD47" w14:textId="77777777" w:rsidR="00BA7CF0" w:rsidRPr="004676F5" w:rsidRDefault="00BA7CF0" w:rsidP="00BA7CF0">
      <w:pPr>
        <w:jc w:val="both"/>
        <w:rPr>
          <w:lang w:val="de-DE"/>
        </w:rPr>
      </w:pPr>
    </w:p>
    <w:p w14:paraId="5CA15925" w14:textId="459CC8AE" w:rsidR="001527B1" w:rsidRPr="004676F5" w:rsidRDefault="00BA7CF0" w:rsidP="00BA7CF0">
      <w:pPr>
        <w:ind w:firstLine="708"/>
        <w:jc w:val="both"/>
        <w:rPr>
          <w:lang w:val="de-DE"/>
        </w:rPr>
      </w:pPr>
      <w:r w:rsidRPr="004676F5">
        <w:rPr>
          <w:lang w:val="de-DE"/>
        </w:rPr>
        <w:t>§ 2 </w:t>
      </w:r>
      <w:r w:rsidR="005B7A5C" w:rsidRPr="004676F5">
        <w:rPr>
          <w:lang w:val="de-DE"/>
        </w:rPr>
        <w:t>- </w:t>
      </w:r>
      <w:r w:rsidRPr="004676F5">
        <w:rPr>
          <w:lang w:val="de-DE"/>
        </w:rPr>
        <w:t>Einschlägige Bestimmungen des vorliegenden Kapitels gelten für Einrichtungen, die sich direkt oder indirekt, vollständig oder teilweise im Eigentum einer Verwertungs</w:t>
      </w:r>
      <w:r w:rsidRPr="004676F5">
        <w:rPr>
          <w:lang w:val="de-DE"/>
        </w:rPr>
        <w:softHyphen/>
        <w:t>gesellschaft oder Organisation für die kollektive Rechtewahrnehmung befinden oder direkt oder indirekt, vollständig oder teilweise von einer solchen Gesellschaft beziehungsweise Organisation beherrscht werden, sofern diese Einrichtungen eine Tätigkeit ausüben, die, würde sie von einer Verwertungsgesellschaft oder Organisation für die kollektive Rechtewahr</w:t>
      </w:r>
      <w:r w:rsidRPr="004676F5">
        <w:rPr>
          <w:lang w:val="de-DE"/>
        </w:rPr>
        <w:softHyphen/>
        <w:t>nehmung ausgeführt, den Bestimmungen des vorliegenden Kapitels unterliegen würde.]</w:t>
      </w:r>
    </w:p>
    <w:p w14:paraId="34E5BDCE" w14:textId="77777777" w:rsidR="00BA7CF0" w:rsidRPr="004676F5" w:rsidRDefault="00BA7CF0" w:rsidP="00BA7CF0">
      <w:pPr>
        <w:ind w:firstLine="708"/>
        <w:jc w:val="both"/>
        <w:rPr>
          <w:lang w:val="de-DE"/>
        </w:rPr>
      </w:pPr>
    </w:p>
    <w:p w14:paraId="6CAF47BF" w14:textId="3DC13159" w:rsidR="00BA7CF0" w:rsidRPr="00B14651" w:rsidRDefault="00BA7CF0" w:rsidP="00BA7CF0">
      <w:pPr>
        <w:jc w:val="both"/>
        <w:rPr>
          <w:i/>
          <w:lang w:val="de-DE"/>
        </w:rPr>
      </w:pPr>
      <w:r w:rsidRPr="004676F5">
        <w:rPr>
          <w:i/>
          <w:lang w:val="de-DE"/>
        </w:rPr>
        <w:t>[</w:t>
      </w:r>
      <w:r w:rsidR="00BE0A56" w:rsidRPr="004676F5">
        <w:rPr>
          <w:i/>
          <w:lang w:val="de-DE"/>
        </w:rPr>
        <w:t>Art. </w:t>
      </w:r>
      <w:r w:rsidRPr="004676F5">
        <w:rPr>
          <w:i/>
          <w:lang w:val="de-DE"/>
        </w:rPr>
        <w:t xml:space="preserve">XI.246 ersetzt durch </w:t>
      </w:r>
      <w:r w:rsidR="00BE0A56" w:rsidRPr="004676F5">
        <w:rPr>
          <w:i/>
          <w:lang w:val="de-DE"/>
        </w:rPr>
        <w:t>Art. </w:t>
      </w:r>
      <w:r w:rsidRPr="004676F5">
        <w:rPr>
          <w:i/>
          <w:lang w:val="de-DE"/>
        </w:rPr>
        <w:t>20 des G. vom 8. </w:t>
      </w:r>
      <w:r w:rsidRPr="00B14651">
        <w:rPr>
          <w:i/>
          <w:lang w:val="de-DE"/>
        </w:rPr>
        <w:t>Juni 2017 (B.S. vom 27. Juni 2017)]</w:t>
      </w:r>
    </w:p>
    <w:p w14:paraId="1B606845" w14:textId="77777777" w:rsidR="001527B1" w:rsidRPr="00B14651" w:rsidRDefault="001527B1" w:rsidP="001527B1">
      <w:pPr>
        <w:ind w:firstLine="708"/>
        <w:jc w:val="both"/>
        <w:rPr>
          <w:lang w:val="de-DE"/>
        </w:rPr>
      </w:pPr>
    </w:p>
    <w:p w14:paraId="5C8CD889" w14:textId="77777777" w:rsidR="00355502" w:rsidRPr="00B14651" w:rsidRDefault="00355502" w:rsidP="001527B1">
      <w:pPr>
        <w:ind w:firstLine="708"/>
        <w:jc w:val="both"/>
        <w:rPr>
          <w:lang w:val="de-DE"/>
        </w:rPr>
      </w:pPr>
    </w:p>
    <w:p w14:paraId="225BE5D3" w14:textId="61EDA531" w:rsidR="00BA7CF0" w:rsidRPr="004676F5" w:rsidRDefault="00BA7CF0" w:rsidP="00BA7CF0">
      <w:pPr>
        <w:jc w:val="center"/>
        <w:rPr>
          <w:lang w:val="de-DE"/>
        </w:rPr>
      </w:pPr>
      <w:r w:rsidRPr="004676F5">
        <w:rPr>
          <w:lang w:val="de-DE"/>
        </w:rPr>
        <w:t>[</w:t>
      </w:r>
      <w:r w:rsidRPr="004676F5">
        <w:rPr>
          <w:i/>
          <w:lang w:val="de-DE"/>
        </w:rPr>
        <w:t>Abschnitt 2</w:t>
      </w:r>
      <w:r w:rsidRPr="004676F5">
        <w:rPr>
          <w:lang w:val="de-DE"/>
        </w:rPr>
        <w:t> </w:t>
      </w:r>
      <w:r w:rsidR="005B7A5C" w:rsidRPr="004676F5">
        <w:rPr>
          <w:lang w:val="de-DE"/>
        </w:rPr>
        <w:t>- </w:t>
      </w:r>
      <w:r w:rsidRPr="004676F5">
        <w:rPr>
          <w:lang w:val="de-DE"/>
        </w:rPr>
        <w:t>Rechtsform]</w:t>
      </w:r>
    </w:p>
    <w:p w14:paraId="3A8C9244" w14:textId="77777777" w:rsidR="00BA7CF0" w:rsidRPr="004676F5" w:rsidRDefault="00BA7CF0" w:rsidP="00BA7CF0">
      <w:pPr>
        <w:rPr>
          <w:lang w:val="de-DE"/>
        </w:rPr>
      </w:pPr>
    </w:p>
    <w:p w14:paraId="3DD40089" w14:textId="01BEC7BE" w:rsidR="00BA7CF0" w:rsidRPr="00B14651" w:rsidRDefault="00BA7CF0" w:rsidP="00BA7CF0">
      <w:pPr>
        <w:jc w:val="both"/>
        <w:rPr>
          <w:i/>
          <w:lang w:val="de-DE"/>
        </w:rPr>
      </w:pPr>
      <w:r w:rsidRPr="004676F5">
        <w:rPr>
          <w:i/>
          <w:lang w:val="de-DE"/>
        </w:rPr>
        <w:t xml:space="preserve">[Unterteilung Abschnitt 2 eingefügt durch </w:t>
      </w:r>
      <w:r w:rsidR="00BE0A56" w:rsidRPr="004676F5">
        <w:rPr>
          <w:i/>
          <w:lang w:val="de-DE"/>
        </w:rPr>
        <w:t>Art. </w:t>
      </w:r>
      <w:r w:rsidRPr="004676F5">
        <w:rPr>
          <w:i/>
          <w:lang w:val="de-DE"/>
        </w:rPr>
        <w:t>21 des G. vom 8. </w:t>
      </w:r>
      <w:r w:rsidRPr="00B14651">
        <w:rPr>
          <w:i/>
          <w:lang w:val="de-DE"/>
        </w:rPr>
        <w:t>Juni 2017 (B.S. vom 27. Juni 2017)]</w:t>
      </w:r>
    </w:p>
    <w:p w14:paraId="09256CB4" w14:textId="77777777" w:rsidR="00BA7CF0" w:rsidRPr="00B14651" w:rsidRDefault="00BA7CF0" w:rsidP="00BA7CF0">
      <w:pPr>
        <w:jc w:val="center"/>
        <w:rPr>
          <w:lang w:val="de-DE"/>
        </w:rPr>
      </w:pPr>
    </w:p>
    <w:p w14:paraId="7BC7DC33" w14:textId="77777777" w:rsidR="00BA7CF0" w:rsidRPr="00B14651" w:rsidRDefault="00BA7CF0" w:rsidP="00BA7CF0">
      <w:pPr>
        <w:jc w:val="center"/>
        <w:rPr>
          <w:lang w:val="de-DE"/>
        </w:rPr>
      </w:pPr>
    </w:p>
    <w:p w14:paraId="3D57942D" w14:textId="638A4F57" w:rsidR="00BA7CF0" w:rsidRPr="004676F5" w:rsidRDefault="00BE0A56" w:rsidP="00BA7CF0">
      <w:pPr>
        <w:ind w:firstLine="708"/>
        <w:jc w:val="both"/>
        <w:rPr>
          <w:lang w:val="de-DE"/>
        </w:rPr>
      </w:pPr>
      <w:r w:rsidRPr="004676F5">
        <w:rPr>
          <w:b/>
          <w:lang w:val="de-DE"/>
        </w:rPr>
        <w:t>Art. </w:t>
      </w:r>
      <w:r w:rsidR="001527B1" w:rsidRPr="004676F5">
        <w:rPr>
          <w:b/>
          <w:lang w:val="de-DE"/>
        </w:rPr>
        <w:t>XI.247</w:t>
      </w:r>
      <w:r w:rsidR="001527B1" w:rsidRPr="004676F5">
        <w:rPr>
          <w:lang w:val="de-DE"/>
        </w:rPr>
        <w:t> </w:t>
      </w:r>
      <w:r w:rsidR="005B7A5C" w:rsidRPr="004676F5">
        <w:rPr>
          <w:lang w:val="de-DE"/>
        </w:rPr>
        <w:t>- </w:t>
      </w:r>
      <w:r w:rsidR="00BA7CF0" w:rsidRPr="004676F5">
        <w:rPr>
          <w:lang w:val="de-DE"/>
        </w:rPr>
        <w:t>[Verwertungsgesellschaften müssen Rechtspersönlichkeit besitzen und eine Gesellschaft mit beschränkter Haftung sein.</w:t>
      </w:r>
    </w:p>
    <w:p w14:paraId="63DC61BB" w14:textId="77777777" w:rsidR="00BA7CF0" w:rsidRPr="004676F5" w:rsidRDefault="00BA7CF0" w:rsidP="00BA7CF0">
      <w:pPr>
        <w:jc w:val="both"/>
        <w:rPr>
          <w:lang w:val="de-DE"/>
        </w:rPr>
      </w:pPr>
    </w:p>
    <w:p w14:paraId="189E258B" w14:textId="77777777" w:rsidR="00BA7CF0" w:rsidRPr="004676F5" w:rsidRDefault="00BA7CF0" w:rsidP="00BA7CF0">
      <w:pPr>
        <w:jc w:val="both"/>
        <w:rPr>
          <w:lang w:val="de-DE"/>
        </w:rPr>
      </w:pPr>
      <w:r w:rsidRPr="004676F5">
        <w:rPr>
          <w:lang w:val="de-DE"/>
        </w:rPr>
        <w:tab/>
        <w:t>Organisationen für die kollektive Rechtewahrnehmung sind ordnungsgemäß errichtet in einem Mitgliedstaat der Europäischen Union, der nicht Belgien ist und in dem sie rechtmäßig eine Tätigkeit der kollektiven Rechtewahrnehmung im Sinne von Artikel I.16 § 1 Nr. 5 ausüben.</w:t>
      </w:r>
    </w:p>
    <w:p w14:paraId="0612FA79" w14:textId="77777777" w:rsidR="00BA7CF0" w:rsidRPr="004676F5" w:rsidRDefault="00BA7CF0" w:rsidP="00BA7CF0">
      <w:pPr>
        <w:jc w:val="both"/>
        <w:rPr>
          <w:lang w:val="de-DE"/>
        </w:rPr>
      </w:pPr>
    </w:p>
    <w:p w14:paraId="211FB78B" w14:textId="77777777" w:rsidR="001527B1" w:rsidRPr="004676F5" w:rsidRDefault="00BA7CF0" w:rsidP="00BA7CF0">
      <w:pPr>
        <w:ind w:firstLine="708"/>
        <w:jc w:val="both"/>
        <w:rPr>
          <w:lang w:val="de-DE"/>
        </w:rPr>
      </w:pPr>
      <w:r w:rsidRPr="004676F5">
        <w:rPr>
          <w:lang w:val="de-DE"/>
        </w:rPr>
        <w:t>Unabhängige Verwertungseinrichtungen sind ordnungsgemäß errichtet in einem Mitgliedstaat der Europäischen Union, in dem sie rechtmäßig eine Tätigkeit der kollektiven Rechtewahrnehmung im Sinne von Artikel I.16 § 1 Nr. 6 ausüben.]</w:t>
      </w:r>
    </w:p>
    <w:p w14:paraId="58D12331" w14:textId="77777777" w:rsidR="00BA7CF0" w:rsidRPr="004676F5" w:rsidRDefault="00BA7CF0" w:rsidP="00BA7CF0">
      <w:pPr>
        <w:ind w:firstLine="708"/>
        <w:jc w:val="both"/>
        <w:rPr>
          <w:lang w:val="de-DE"/>
        </w:rPr>
      </w:pPr>
    </w:p>
    <w:p w14:paraId="6A3FE484" w14:textId="545499DF" w:rsidR="00BA7CF0" w:rsidRPr="00B14651" w:rsidRDefault="00BA7CF0" w:rsidP="00BA7CF0">
      <w:pPr>
        <w:jc w:val="both"/>
        <w:rPr>
          <w:i/>
          <w:lang w:val="de-DE"/>
        </w:rPr>
      </w:pPr>
      <w:r w:rsidRPr="004676F5">
        <w:rPr>
          <w:i/>
          <w:lang w:val="de-DE"/>
        </w:rPr>
        <w:t>[</w:t>
      </w:r>
      <w:r w:rsidR="00BE0A56" w:rsidRPr="004676F5">
        <w:rPr>
          <w:i/>
          <w:lang w:val="de-DE"/>
        </w:rPr>
        <w:t>Art. </w:t>
      </w:r>
      <w:r w:rsidRPr="004676F5">
        <w:rPr>
          <w:i/>
          <w:lang w:val="de-DE"/>
        </w:rPr>
        <w:t xml:space="preserve">XI.247 ersetzt durch </w:t>
      </w:r>
      <w:r w:rsidR="00BE0A56" w:rsidRPr="004676F5">
        <w:rPr>
          <w:i/>
          <w:lang w:val="de-DE"/>
        </w:rPr>
        <w:t>Art. </w:t>
      </w:r>
      <w:r w:rsidRPr="004676F5">
        <w:rPr>
          <w:i/>
          <w:lang w:val="de-DE"/>
        </w:rPr>
        <w:t>22 des G. vom 8. </w:t>
      </w:r>
      <w:r w:rsidRPr="00B14651">
        <w:rPr>
          <w:i/>
          <w:lang w:val="de-DE"/>
        </w:rPr>
        <w:t>Juni 2017 (B.S. vom 27. Juni 2017)]</w:t>
      </w:r>
    </w:p>
    <w:p w14:paraId="302E945D" w14:textId="77777777" w:rsidR="00BA7CF0" w:rsidRPr="00B14651" w:rsidRDefault="00BA7CF0" w:rsidP="00BA7CF0">
      <w:pPr>
        <w:jc w:val="both"/>
        <w:rPr>
          <w:i/>
          <w:lang w:val="de-DE"/>
        </w:rPr>
      </w:pPr>
    </w:p>
    <w:p w14:paraId="05FE89A8" w14:textId="77777777" w:rsidR="001527B1" w:rsidRPr="00B14651" w:rsidRDefault="001527B1" w:rsidP="001527B1">
      <w:pPr>
        <w:ind w:firstLine="708"/>
        <w:jc w:val="both"/>
        <w:rPr>
          <w:lang w:val="de-DE"/>
        </w:rPr>
      </w:pPr>
    </w:p>
    <w:p w14:paraId="10F3ABA8" w14:textId="049A719E" w:rsidR="00355502" w:rsidRPr="004676F5" w:rsidRDefault="00BA7CF0" w:rsidP="00BA7CF0">
      <w:pPr>
        <w:jc w:val="center"/>
        <w:rPr>
          <w:lang w:val="de-DE"/>
        </w:rPr>
      </w:pPr>
      <w:r w:rsidRPr="004676F5">
        <w:rPr>
          <w:lang w:val="de-DE"/>
        </w:rPr>
        <w:t>[</w:t>
      </w:r>
      <w:r w:rsidRPr="004676F5">
        <w:rPr>
          <w:i/>
          <w:lang w:val="de-DE"/>
        </w:rPr>
        <w:t>Abschnitt 3</w:t>
      </w:r>
      <w:r w:rsidRPr="004676F5">
        <w:rPr>
          <w:lang w:val="de-DE"/>
        </w:rPr>
        <w:t> </w:t>
      </w:r>
      <w:r w:rsidR="005B7A5C" w:rsidRPr="004676F5">
        <w:rPr>
          <w:lang w:val="de-DE"/>
        </w:rPr>
        <w:t>- </w:t>
      </w:r>
      <w:r w:rsidRPr="004676F5">
        <w:rPr>
          <w:lang w:val="de-DE"/>
        </w:rPr>
        <w:t>Beziehungen mit den Rechtsinhabern und Organisation]</w:t>
      </w:r>
    </w:p>
    <w:p w14:paraId="6F0CF34B" w14:textId="77777777" w:rsidR="00BA7CF0" w:rsidRPr="004676F5" w:rsidRDefault="00BA7CF0" w:rsidP="00BA7CF0">
      <w:pPr>
        <w:jc w:val="center"/>
        <w:rPr>
          <w:lang w:val="de-DE"/>
        </w:rPr>
      </w:pPr>
    </w:p>
    <w:p w14:paraId="5EDE64FA" w14:textId="2F1B87D6" w:rsidR="00BA7CF0" w:rsidRPr="00B14651" w:rsidRDefault="00BA7CF0" w:rsidP="00BA7CF0">
      <w:pPr>
        <w:jc w:val="both"/>
        <w:rPr>
          <w:i/>
          <w:lang w:val="de-DE"/>
        </w:rPr>
      </w:pPr>
      <w:r w:rsidRPr="004676F5">
        <w:rPr>
          <w:i/>
          <w:lang w:val="de-DE"/>
        </w:rPr>
        <w:t xml:space="preserve">[Unterteilung Abschnitt 3 eingefügt durch </w:t>
      </w:r>
      <w:r w:rsidR="00BE0A56" w:rsidRPr="004676F5">
        <w:rPr>
          <w:i/>
          <w:lang w:val="de-DE"/>
        </w:rPr>
        <w:t>Art. </w:t>
      </w:r>
      <w:r w:rsidRPr="004676F5">
        <w:rPr>
          <w:i/>
          <w:lang w:val="de-DE"/>
        </w:rPr>
        <w:t>23 des G. vom 8. </w:t>
      </w:r>
      <w:r w:rsidRPr="00B14651">
        <w:rPr>
          <w:i/>
          <w:lang w:val="de-DE"/>
        </w:rPr>
        <w:t>Juni 2017 (B.S. vom 27. Juni 2017)]</w:t>
      </w:r>
    </w:p>
    <w:p w14:paraId="14D4B7D8" w14:textId="77777777" w:rsidR="00BA7CF0" w:rsidRPr="00B14651" w:rsidRDefault="00BA7CF0" w:rsidP="00BA7CF0">
      <w:pPr>
        <w:jc w:val="center"/>
        <w:rPr>
          <w:lang w:val="de-DE"/>
        </w:rPr>
      </w:pPr>
    </w:p>
    <w:p w14:paraId="3F9D97F6" w14:textId="77777777" w:rsidR="00BA7CF0" w:rsidRPr="00B14651" w:rsidRDefault="00BA7CF0" w:rsidP="00BA7CF0">
      <w:pPr>
        <w:jc w:val="center"/>
        <w:rPr>
          <w:lang w:val="de-DE"/>
        </w:rPr>
      </w:pPr>
    </w:p>
    <w:p w14:paraId="1BDB7E94" w14:textId="50ADEC87" w:rsidR="00BA7CF0" w:rsidRPr="004676F5" w:rsidRDefault="00BA7CF0" w:rsidP="00BA7CF0">
      <w:pPr>
        <w:jc w:val="center"/>
        <w:rPr>
          <w:lang w:val="de-DE"/>
        </w:rPr>
      </w:pPr>
      <w:r w:rsidRPr="004676F5">
        <w:rPr>
          <w:lang w:val="de-DE"/>
        </w:rPr>
        <w:t>[Unterabschnitt 1 </w:t>
      </w:r>
      <w:r w:rsidR="005B7A5C" w:rsidRPr="004676F5">
        <w:rPr>
          <w:lang w:val="de-DE"/>
        </w:rPr>
        <w:t>- </w:t>
      </w:r>
      <w:r w:rsidRPr="004676F5">
        <w:rPr>
          <w:lang w:val="de-DE"/>
        </w:rPr>
        <w:t>Allgemeine Grundsätze]</w:t>
      </w:r>
    </w:p>
    <w:p w14:paraId="4E93AECF" w14:textId="77777777" w:rsidR="00BA7CF0" w:rsidRPr="004676F5" w:rsidRDefault="00BA7CF0" w:rsidP="00BA7CF0">
      <w:pPr>
        <w:jc w:val="center"/>
        <w:rPr>
          <w:lang w:val="de-DE"/>
        </w:rPr>
      </w:pPr>
    </w:p>
    <w:p w14:paraId="12A61A23" w14:textId="2E0E9EC2" w:rsidR="00BA7CF0" w:rsidRPr="004676F5" w:rsidRDefault="00BA7CF0" w:rsidP="00BA7CF0">
      <w:pPr>
        <w:jc w:val="both"/>
        <w:rPr>
          <w:i/>
          <w:lang w:val="de-DE"/>
        </w:rPr>
      </w:pPr>
      <w:r w:rsidRPr="004676F5">
        <w:rPr>
          <w:i/>
          <w:lang w:val="de-DE"/>
        </w:rPr>
        <w:t xml:space="preserve">[Unterteilung Unterabschnitt 1 eingefügt durch </w:t>
      </w:r>
      <w:r w:rsidR="00BE0A56" w:rsidRPr="004676F5">
        <w:rPr>
          <w:i/>
          <w:lang w:val="de-DE"/>
        </w:rPr>
        <w:t>Art. </w:t>
      </w:r>
      <w:r w:rsidRPr="004676F5">
        <w:rPr>
          <w:i/>
          <w:lang w:val="de-DE"/>
        </w:rPr>
        <w:t>24 des G. vom 8. Juni 2017 (B.S. vom 27. Juni 2017)]</w:t>
      </w:r>
    </w:p>
    <w:p w14:paraId="09456984" w14:textId="77777777" w:rsidR="00BA7CF0" w:rsidRPr="004676F5" w:rsidRDefault="00BA7CF0" w:rsidP="00933CDE">
      <w:pPr>
        <w:jc w:val="center"/>
        <w:rPr>
          <w:lang w:val="de-DE"/>
        </w:rPr>
      </w:pPr>
    </w:p>
    <w:p w14:paraId="46ED944A" w14:textId="77777777" w:rsidR="00BA7CF0" w:rsidRPr="004676F5" w:rsidRDefault="00BA7CF0" w:rsidP="00BA7CF0">
      <w:pPr>
        <w:jc w:val="center"/>
        <w:rPr>
          <w:lang w:val="de-DE"/>
        </w:rPr>
      </w:pPr>
    </w:p>
    <w:p w14:paraId="235EC296" w14:textId="3384F94F" w:rsidR="00933CDE" w:rsidRPr="004676F5" w:rsidRDefault="00BE0A56" w:rsidP="00933CDE">
      <w:pPr>
        <w:ind w:firstLine="708"/>
        <w:jc w:val="both"/>
        <w:rPr>
          <w:lang w:val="de-DE"/>
        </w:rPr>
      </w:pPr>
      <w:r w:rsidRPr="004676F5">
        <w:rPr>
          <w:b/>
          <w:lang w:val="de-DE"/>
        </w:rPr>
        <w:t>Art. </w:t>
      </w:r>
      <w:r w:rsidR="001527B1" w:rsidRPr="004676F5">
        <w:rPr>
          <w:b/>
          <w:lang w:val="de-DE"/>
        </w:rPr>
        <w:t>XI.248</w:t>
      </w:r>
      <w:r w:rsidR="001527B1" w:rsidRPr="004676F5">
        <w:rPr>
          <w:lang w:val="de-DE"/>
        </w:rPr>
        <w:t> </w:t>
      </w:r>
      <w:r w:rsidR="005B7A5C" w:rsidRPr="004676F5">
        <w:rPr>
          <w:lang w:val="de-DE"/>
        </w:rPr>
        <w:t>- </w:t>
      </w:r>
      <w:r w:rsidR="00BA7CF0" w:rsidRPr="004676F5">
        <w:rPr>
          <w:lang w:val="de-DE"/>
        </w:rPr>
        <w:t>[</w:t>
      </w:r>
      <w:r w:rsidR="00933CDE" w:rsidRPr="004676F5">
        <w:rPr>
          <w:lang w:val="de-DE"/>
        </w:rPr>
        <w:t>Verwertungsgesellschaften nehmen die Rechte im Interesse der Rechtsinhaber wahr. Die Wahrnehmung dieser Tätigkeit muss in gerechter, sorgfältiger, wirksamer und nicht diskriminierender Weise ausgeführt werden.</w:t>
      </w:r>
    </w:p>
    <w:p w14:paraId="055BB6F5" w14:textId="77777777" w:rsidR="00933CDE" w:rsidRPr="004676F5" w:rsidRDefault="00933CDE" w:rsidP="00933CDE">
      <w:pPr>
        <w:jc w:val="both"/>
        <w:rPr>
          <w:lang w:val="de-DE"/>
        </w:rPr>
      </w:pPr>
    </w:p>
    <w:p w14:paraId="2A868CE7" w14:textId="77777777" w:rsidR="001527B1" w:rsidRPr="004676F5" w:rsidRDefault="00933CDE" w:rsidP="00933CDE">
      <w:pPr>
        <w:ind w:firstLine="708"/>
        <w:jc w:val="both"/>
        <w:rPr>
          <w:lang w:val="de-DE"/>
        </w:rPr>
      </w:pPr>
      <w:r w:rsidRPr="004676F5">
        <w:rPr>
          <w:lang w:val="de-DE"/>
        </w:rPr>
        <w:t>Verwertungsgesellschaften erlegen Rechtsinhabern keine Pflichten auf, die objektiv für den Schutz ihrer Rechte und Interessen oder für die wirksame Wahrnehmung dieser Rechte nicht notwendig sind.]</w:t>
      </w:r>
    </w:p>
    <w:p w14:paraId="06D840BB" w14:textId="77777777" w:rsidR="00B7624B" w:rsidRPr="004676F5" w:rsidRDefault="00B7624B" w:rsidP="001527B1">
      <w:pPr>
        <w:ind w:firstLine="708"/>
        <w:jc w:val="both"/>
        <w:rPr>
          <w:lang w:val="de-DE"/>
        </w:rPr>
      </w:pPr>
    </w:p>
    <w:p w14:paraId="3137EC00" w14:textId="021645D1" w:rsidR="00B7624B" w:rsidRPr="00B14651" w:rsidRDefault="00B7624B" w:rsidP="00B7624B">
      <w:pPr>
        <w:jc w:val="both"/>
        <w:rPr>
          <w:i/>
          <w:lang w:val="de-DE"/>
        </w:rPr>
      </w:pPr>
      <w:r w:rsidRPr="004676F5">
        <w:rPr>
          <w:i/>
          <w:lang w:val="de-DE"/>
        </w:rPr>
        <w:t>[</w:t>
      </w:r>
      <w:r w:rsidR="00BE0A56" w:rsidRPr="004676F5">
        <w:rPr>
          <w:i/>
          <w:lang w:val="de-DE"/>
        </w:rPr>
        <w:t>Art. </w:t>
      </w:r>
      <w:r w:rsidRPr="004676F5">
        <w:rPr>
          <w:i/>
          <w:lang w:val="de-DE"/>
        </w:rPr>
        <w:t xml:space="preserve">XI.248 </w:t>
      </w:r>
      <w:r w:rsidR="00933CDE" w:rsidRPr="004676F5">
        <w:rPr>
          <w:i/>
          <w:lang w:val="de-DE"/>
        </w:rPr>
        <w:t xml:space="preserve">ersetzt durch </w:t>
      </w:r>
      <w:r w:rsidR="00BE0A56" w:rsidRPr="004676F5">
        <w:rPr>
          <w:i/>
          <w:lang w:val="de-DE"/>
        </w:rPr>
        <w:t>Art. </w:t>
      </w:r>
      <w:r w:rsidR="00933CDE" w:rsidRPr="004676F5">
        <w:rPr>
          <w:i/>
          <w:lang w:val="de-DE"/>
        </w:rPr>
        <w:t>25 des G. vom 8. </w:t>
      </w:r>
      <w:r w:rsidR="00933CDE" w:rsidRPr="00B14651">
        <w:rPr>
          <w:i/>
          <w:lang w:val="de-DE"/>
        </w:rPr>
        <w:t>Juni 2017 (B.S. vom 27. Juni 2017)</w:t>
      </w:r>
      <w:r w:rsidRPr="00B14651">
        <w:rPr>
          <w:i/>
          <w:lang w:val="de-DE"/>
        </w:rPr>
        <w:t>]</w:t>
      </w:r>
    </w:p>
    <w:p w14:paraId="496579F7" w14:textId="77777777" w:rsidR="001527B1" w:rsidRPr="00B14651" w:rsidRDefault="001527B1" w:rsidP="001527B1">
      <w:pPr>
        <w:jc w:val="both"/>
        <w:rPr>
          <w:lang w:val="de-DE"/>
        </w:rPr>
      </w:pPr>
    </w:p>
    <w:p w14:paraId="5504DAE3" w14:textId="77777777" w:rsidR="00933CDE" w:rsidRPr="00B14651" w:rsidRDefault="00933CDE" w:rsidP="001527B1">
      <w:pPr>
        <w:jc w:val="both"/>
        <w:rPr>
          <w:lang w:val="de-DE"/>
        </w:rPr>
      </w:pPr>
    </w:p>
    <w:p w14:paraId="364E0E5B" w14:textId="01428A28" w:rsidR="00933CDE" w:rsidRPr="004676F5" w:rsidRDefault="00933CDE" w:rsidP="00933CDE">
      <w:pPr>
        <w:jc w:val="center"/>
        <w:rPr>
          <w:lang w:val="de-DE"/>
        </w:rPr>
      </w:pPr>
      <w:r w:rsidRPr="004676F5">
        <w:rPr>
          <w:lang w:val="de-DE"/>
        </w:rPr>
        <w:t>[Unterabschnitt 2 </w:t>
      </w:r>
      <w:r w:rsidR="005B7A5C" w:rsidRPr="004676F5">
        <w:rPr>
          <w:lang w:val="de-DE"/>
        </w:rPr>
        <w:t>- </w:t>
      </w:r>
      <w:r w:rsidRPr="004676F5">
        <w:rPr>
          <w:lang w:val="de-DE"/>
        </w:rPr>
        <w:t>Rechte der Rechtsinhaber]</w:t>
      </w:r>
    </w:p>
    <w:p w14:paraId="6B89955E" w14:textId="77777777" w:rsidR="00933CDE" w:rsidRPr="004676F5" w:rsidRDefault="00933CDE" w:rsidP="00933CDE">
      <w:pPr>
        <w:jc w:val="center"/>
        <w:rPr>
          <w:lang w:val="de-DE"/>
        </w:rPr>
      </w:pPr>
    </w:p>
    <w:p w14:paraId="18342EF6" w14:textId="0F780F5D" w:rsidR="00933CDE" w:rsidRPr="004676F5" w:rsidRDefault="00933CDE" w:rsidP="00933CDE">
      <w:pPr>
        <w:jc w:val="both"/>
        <w:rPr>
          <w:i/>
          <w:lang w:val="de-DE"/>
        </w:rPr>
      </w:pPr>
      <w:r w:rsidRPr="004676F5">
        <w:rPr>
          <w:i/>
          <w:lang w:val="de-DE"/>
        </w:rPr>
        <w:t xml:space="preserve">[Unterteilung Unterabschnitt 2 eingefügt durch </w:t>
      </w:r>
      <w:r w:rsidR="00BE0A56" w:rsidRPr="004676F5">
        <w:rPr>
          <w:i/>
          <w:lang w:val="de-DE"/>
        </w:rPr>
        <w:t>Art. </w:t>
      </w:r>
      <w:r w:rsidRPr="004676F5">
        <w:rPr>
          <w:i/>
          <w:lang w:val="de-DE"/>
        </w:rPr>
        <w:t>26 des G. vom 8. Juni 2017 (B.S. vom 27. Juni 2017)]</w:t>
      </w:r>
    </w:p>
    <w:p w14:paraId="24FA57EE" w14:textId="77777777" w:rsidR="00933CDE" w:rsidRPr="004676F5" w:rsidRDefault="00933CDE" w:rsidP="00933CDE">
      <w:pPr>
        <w:jc w:val="center"/>
        <w:rPr>
          <w:lang w:val="de-DE"/>
        </w:rPr>
      </w:pPr>
    </w:p>
    <w:p w14:paraId="330C00A8" w14:textId="77777777" w:rsidR="00933CDE" w:rsidRPr="004676F5" w:rsidRDefault="00933CDE" w:rsidP="00933CDE">
      <w:pPr>
        <w:jc w:val="both"/>
        <w:rPr>
          <w:lang w:val="de-DE"/>
        </w:rPr>
      </w:pPr>
      <w:r w:rsidRPr="004676F5">
        <w:rPr>
          <w:lang w:val="de-DE"/>
        </w:rPr>
        <w:tab/>
      </w:r>
    </w:p>
    <w:p w14:paraId="6E81F389" w14:textId="1F648030" w:rsidR="00933CDE" w:rsidRPr="004676F5" w:rsidRDefault="00933CDE" w:rsidP="00933CDE">
      <w:pPr>
        <w:jc w:val="both"/>
        <w:rPr>
          <w:lang w:val="de-DE"/>
        </w:rPr>
      </w:pPr>
      <w:r w:rsidRPr="004676F5">
        <w:rPr>
          <w:lang w:val="de-DE"/>
        </w:rPr>
        <w:tab/>
        <w:t>[</w:t>
      </w:r>
      <w:r w:rsidR="00BE0A56" w:rsidRPr="004676F5">
        <w:rPr>
          <w:b/>
          <w:lang w:val="de-DE"/>
        </w:rPr>
        <w:t>Art. </w:t>
      </w:r>
      <w:r w:rsidRPr="004676F5">
        <w:rPr>
          <w:b/>
          <w:lang w:val="de-DE"/>
        </w:rPr>
        <w:t>XI.248/1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Gesellschafter von Verwertungsgesellschaften müssen Rechtsin</w:t>
      </w:r>
      <w:r w:rsidRPr="004676F5">
        <w:rPr>
          <w:lang w:val="de-DE"/>
        </w:rPr>
        <w:softHyphen/>
        <w:t>haber sein oder eine Einrichtung, die Rechtsinhaber vertritt, einschließlich anderer Verwertungsgesellschaften, Organisationen für die kollektive Rechtewahrnehmung und Vereinigungen von Rechtsinhabern, die die Bedingungen für die Mitgliedschaft in der Verwertungsgesellschaft erfüllen und von dieser aufgenommen wurden.</w:t>
      </w:r>
    </w:p>
    <w:p w14:paraId="0A68CC0E" w14:textId="77777777" w:rsidR="00933CDE" w:rsidRPr="004676F5" w:rsidRDefault="00933CDE" w:rsidP="00933CDE">
      <w:pPr>
        <w:jc w:val="both"/>
        <w:rPr>
          <w:lang w:val="de-DE"/>
        </w:rPr>
      </w:pPr>
    </w:p>
    <w:p w14:paraId="7168DD2B" w14:textId="77777777" w:rsidR="00933CDE" w:rsidRPr="004676F5" w:rsidRDefault="00933CDE" w:rsidP="00933CDE">
      <w:pPr>
        <w:jc w:val="both"/>
        <w:rPr>
          <w:lang w:val="de-DE"/>
        </w:rPr>
      </w:pPr>
      <w:r w:rsidRPr="004676F5">
        <w:rPr>
          <w:lang w:val="de-DE"/>
        </w:rPr>
        <w:tab/>
        <w:t>In der Satzung von Verwertungsgesellschaften muss für die in Absatz 1 erwähnten Personen, deren Rechte sie wahrnehmen, das Recht vorgesehen werden, auf der Grundlage der Mitgliedschaftsbedingungen ihre Gesellschafter zu werden.</w:t>
      </w:r>
    </w:p>
    <w:p w14:paraId="5EF9C1A4" w14:textId="77777777" w:rsidR="00933CDE" w:rsidRPr="004676F5" w:rsidRDefault="00933CDE" w:rsidP="00933CDE">
      <w:pPr>
        <w:jc w:val="both"/>
        <w:rPr>
          <w:lang w:val="de-DE"/>
        </w:rPr>
      </w:pPr>
    </w:p>
    <w:p w14:paraId="2E8696B5" w14:textId="77777777" w:rsidR="00933CDE" w:rsidRPr="004676F5" w:rsidRDefault="00933CDE" w:rsidP="00933CDE">
      <w:pPr>
        <w:jc w:val="both"/>
        <w:rPr>
          <w:lang w:val="de-DE"/>
        </w:rPr>
      </w:pPr>
      <w:r w:rsidRPr="004676F5">
        <w:rPr>
          <w:lang w:val="de-DE"/>
        </w:rPr>
        <w:tab/>
        <w:t>Unbeschadet der Artikel XI.229 Absatz 5, XI.239 Absatz 8, XI.242 Absatz 3, XI.244 Absatz 4 und XI.248/2 § 2 können Verwertungsgesellschaften einzelne Rechtsinhaber nicht als Gesellschafter verweigern.</w:t>
      </w:r>
    </w:p>
    <w:p w14:paraId="7C506755" w14:textId="77777777" w:rsidR="00933CDE" w:rsidRPr="004676F5" w:rsidRDefault="00933CDE" w:rsidP="00933CDE">
      <w:pPr>
        <w:jc w:val="both"/>
        <w:rPr>
          <w:lang w:val="de-DE"/>
        </w:rPr>
      </w:pPr>
    </w:p>
    <w:p w14:paraId="33990FF5" w14:textId="77777777" w:rsidR="00933CDE" w:rsidRPr="004676F5" w:rsidRDefault="00933CDE" w:rsidP="00933CDE">
      <w:pPr>
        <w:jc w:val="both"/>
        <w:rPr>
          <w:lang w:val="de-DE"/>
        </w:rPr>
      </w:pPr>
      <w:r w:rsidRPr="004676F5">
        <w:rPr>
          <w:lang w:val="de-DE"/>
        </w:rPr>
        <w:lastRenderedPageBreak/>
        <w:tab/>
        <w:t>Die Mitgliedschaftsbedingungen beruhen auf objektiven, transparenten und diskrimi</w:t>
      </w:r>
      <w:r w:rsidRPr="004676F5">
        <w:rPr>
          <w:lang w:val="de-DE"/>
        </w:rPr>
        <w:softHyphen/>
        <w:t>nierungsfreien Kriterien. Sie sind in der Satzung der Verwertungsgesellschaft oder den Mitgliedschaftsbedingungen aufgenommen und veröffentlicht. Sie werden diskriminierungs</w:t>
      </w:r>
      <w:r w:rsidRPr="004676F5">
        <w:rPr>
          <w:lang w:val="de-DE"/>
        </w:rPr>
        <w:softHyphen/>
        <w:t>frei angewandt.</w:t>
      </w:r>
    </w:p>
    <w:p w14:paraId="1205E906" w14:textId="77777777" w:rsidR="00933CDE" w:rsidRPr="004676F5" w:rsidRDefault="00933CDE" w:rsidP="00933CDE">
      <w:pPr>
        <w:jc w:val="both"/>
        <w:rPr>
          <w:lang w:val="de-DE"/>
        </w:rPr>
      </w:pPr>
    </w:p>
    <w:p w14:paraId="07C93571" w14:textId="77777777" w:rsidR="00933CDE" w:rsidRPr="004676F5" w:rsidRDefault="00933CDE" w:rsidP="00933CDE">
      <w:pPr>
        <w:jc w:val="both"/>
        <w:rPr>
          <w:lang w:val="de-DE"/>
        </w:rPr>
      </w:pPr>
      <w:r w:rsidRPr="004676F5">
        <w:rPr>
          <w:lang w:val="de-DE"/>
        </w:rPr>
        <w:tab/>
        <w:t>Lehnt eine Verwertungsgesellschaft einen Antrag auf Mitgliedschaft ab, erläutert sie dem Rechtsinhaber auf deutliche Weise die Gründe für diese Entscheidung.</w:t>
      </w:r>
    </w:p>
    <w:p w14:paraId="4D13F49C" w14:textId="77777777" w:rsidR="00933CDE" w:rsidRPr="004676F5" w:rsidRDefault="00933CDE" w:rsidP="00933CDE">
      <w:pPr>
        <w:jc w:val="both"/>
        <w:rPr>
          <w:lang w:val="de-DE"/>
        </w:rPr>
      </w:pPr>
    </w:p>
    <w:p w14:paraId="119BE63B" w14:textId="3E11B206" w:rsidR="00933CDE" w:rsidRPr="004676F5" w:rsidRDefault="00933CDE" w:rsidP="00933CDE">
      <w:pPr>
        <w:jc w:val="both"/>
        <w:rPr>
          <w:lang w:val="de-DE"/>
        </w:rPr>
      </w:pPr>
      <w:r w:rsidRPr="004676F5">
        <w:rPr>
          <w:lang w:val="de-DE"/>
        </w:rPr>
        <w:tab/>
        <w:t>§ 2 </w:t>
      </w:r>
      <w:r w:rsidR="005B7A5C" w:rsidRPr="004676F5">
        <w:rPr>
          <w:lang w:val="de-DE"/>
        </w:rPr>
        <w:t>- </w:t>
      </w:r>
      <w:r w:rsidRPr="004676F5">
        <w:rPr>
          <w:lang w:val="de-DE"/>
        </w:rPr>
        <w:t>In der Satzung von Verwertungsgesellschaften sind angemessene, wirksame Verfahren für die Mitwirkung der Gesellschafter am Entscheidungsfindungsprozess vorgesehen. Die verschiedenen Kategorien von Gesellschaftern sind beim Entscheidungs</w:t>
      </w:r>
      <w:r w:rsidRPr="004676F5">
        <w:rPr>
          <w:lang w:val="de-DE"/>
        </w:rPr>
        <w:softHyphen/>
        <w:t>findungs</w:t>
      </w:r>
      <w:r w:rsidRPr="004676F5">
        <w:rPr>
          <w:lang w:val="de-DE"/>
        </w:rPr>
        <w:softHyphen/>
        <w:t>prozess fair und ausgewogen vertreten.</w:t>
      </w:r>
    </w:p>
    <w:p w14:paraId="24DC2BF1" w14:textId="77777777" w:rsidR="00933CDE" w:rsidRPr="004676F5" w:rsidRDefault="00933CDE" w:rsidP="00933CDE">
      <w:pPr>
        <w:jc w:val="both"/>
        <w:rPr>
          <w:lang w:val="de-DE"/>
        </w:rPr>
      </w:pPr>
    </w:p>
    <w:p w14:paraId="2D8E9378" w14:textId="79B942AC" w:rsidR="00933CDE" w:rsidRPr="004676F5" w:rsidRDefault="00933CDE" w:rsidP="00933CDE">
      <w:pPr>
        <w:jc w:val="both"/>
        <w:rPr>
          <w:lang w:val="de-DE"/>
        </w:rPr>
      </w:pPr>
      <w:r w:rsidRPr="004676F5">
        <w:rPr>
          <w:lang w:val="de-DE"/>
        </w:rPr>
        <w:tab/>
        <w:t>§ 3 </w:t>
      </w:r>
      <w:r w:rsidR="005B7A5C" w:rsidRPr="004676F5">
        <w:rPr>
          <w:lang w:val="de-DE"/>
        </w:rPr>
        <w:t>- </w:t>
      </w:r>
      <w:r w:rsidRPr="004676F5">
        <w:rPr>
          <w:lang w:val="de-DE"/>
        </w:rPr>
        <w:t>Unbeschadet anderer Gesetzesbestimmungen befolgen Verwertungsgesellschaften die Vorschriften der Artikel XI.267, XI.273/1 und XI.273/8 § 2 in Bezug auf Rechtsinhaber, die gesetzlich oder auf der Grundlage einer Abtretungs</w:t>
      </w:r>
      <w:r w:rsidR="005B7A5C" w:rsidRPr="004676F5">
        <w:rPr>
          <w:lang w:val="de-DE"/>
        </w:rPr>
        <w:t>- </w:t>
      </w:r>
      <w:r w:rsidRPr="004676F5">
        <w:rPr>
          <w:lang w:val="de-DE"/>
        </w:rPr>
        <w:t>oder Lizenzvereinbarung oder einer sonstigen vertraglichen Vereinbarung in einem unmittelbaren Rechtsverhältnis zu ihnen stehen, jedoch nicht ihre Gesellschafter sind.</w:t>
      </w:r>
    </w:p>
    <w:p w14:paraId="51BC310B" w14:textId="77777777" w:rsidR="00933CDE" w:rsidRPr="004676F5" w:rsidRDefault="00933CDE" w:rsidP="00933CDE">
      <w:pPr>
        <w:jc w:val="both"/>
        <w:rPr>
          <w:lang w:val="de-DE"/>
        </w:rPr>
      </w:pPr>
    </w:p>
    <w:p w14:paraId="3BB253A7" w14:textId="2B550FC9" w:rsidR="00933CDE" w:rsidRPr="004676F5" w:rsidRDefault="00933CDE" w:rsidP="00933CDE">
      <w:pPr>
        <w:jc w:val="both"/>
        <w:rPr>
          <w:lang w:val="de-DE"/>
        </w:rPr>
      </w:pPr>
      <w:r w:rsidRPr="004676F5">
        <w:rPr>
          <w:lang w:val="de-DE"/>
        </w:rPr>
        <w:tab/>
        <w:t>§ 4 </w:t>
      </w:r>
      <w:r w:rsidR="005B7A5C" w:rsidRPr="004676F5">
        <w:rPr>
          <w:lang w:val="de-DE"/>
        </w:rPr>
        <w:t>- </w:t>
      </w:r>
      <w:r w:rsidRPr="004676F5">
        <w:rPr>
          <w:lang w:val="de-DE"/>
        </w:rPr>
        <w:t>Verwertungsgesellschaften führen Verzeichnisse ihrer Gesellschafter und Rechtsinhaber, die gesetzlich oder auf der Grundlage einer Abtretungs</w:t>
      </w:r>
      <w:r w:rsidR="005B7A5C" w:rsidRPr="004676F5">
        <w:rPr>
          <w:lang w:val="de-DE"/>
        </w:rPr>
        <w:t>- </w:t>
      </w:r>
      <w:r w:rsidRPr="004676F5">
        <w:rPr>
          <w:lang w:val="de-DE"/>
        </w:rPr>
        <w:t>oder Lizenz</w:t>
      </w:r>
      <w:r w:rsidRPr="004676F5">
        <w:rPr>
          <w:lang w:val="de-DE"/>
        </w:rPr>
        <w:softHyphen/>
        <w:t>verein</w:t>
      </w:r>
      <w:r w:rsidRPr="004676F5">
        <w:rPr>
          <w:lang w:val="de-DE"/>
        </w:rPr>
        <w:softHyphen/>
        <w:t>barung oder einer sonstigen vertraglichen Vereinbarung in einem unmittelbaren Rechts</w:t>
      </w:r>
      <w:r w:rsidRPr="004676F5">
        <w:rPr>
          <w:lang w:val="de-DE"/>
        </w:rPr>
        <w:softHyphen/>
        <w:t>verhältnis zu ihnen stehen, und aktualisieren sie regelmäßig.</w:t>
      </w:r>
    </w:p>
    <w:p w14:paraId="434013A5" w14:textId="77777777" w:rsidR="00933CDE" w:rsidRPr="004676F5" w:rsidRDefault="00933CDE" w:rsidP="00933CDE">
      <w:pPr>
        <w:jc w:val="both"/>
        <w:rPr>
          <w:lang w:val="de-DE"/>
        </w:rPr>
      </w:pPr>
    </w:p>
    <w:p w14:paraId="0C3E82F3" w14:textId="02212968" w:rsidR="00933CDE" w:rsidRPr="004676F5" w:rsidRDefault="00933CDE" w:rsidP="00933CDE">
      <w:pPr>
        <w:jc w:val="both"/>
        <w:rPr>
          <w:lang w:val="de-DE"/>
        </w:rPr>
      </w:pPr>
      <w:r w:rsidRPr="004676F5">
        <w:rPr>
          <w:lang w:val="de-DE"/>
        </w:rPr>
        <w:tab/>
        <w:t>§ 5 </w:t>
      </w:r>
      <w:r w:rsidR="005B7A5C" w:rsidRPr="004676F5">
        <w:rPr>
          <w:lang w:val="de-DE"/>
        </w:rPr>
        <w:t>- </w:t>
      </w:r>
      <w:r w:rsidRPr="004676F5">
        <w:rPr>
          <w:lang w:val="de-DE"/>
        </w:rPr>
        <w:t>Verwertungsgesellschaften erlauben ihren Verwaltern, auch zwecks Ausübung ihrer Rechte als Verwalter, und Rechtsinhabern, die gesetzlich oder auf der Grundlage einer Abtretungs</w:t>
      </w:r>
      <w:r w:rsidR="005B7A5C" w:rsidRPr="004676F5">
        <w:rPr>
          <w:lang w:val="de-DE"/>
        </w:rPr>
        <w:t>- </w:t>
      </w:r>
      <w:r w:rsidRPr="004676F5">
        <w:rPr>
          <w:lang w:val="de-DE"/>
        </w:rPr>
        <w:t>oder Lizenzvereinbarung oder einer sonstigen vertraglichen Vereinbarung in einem unmittelbaren Rechtsverhältnis zu ihnen stehen, mit ihnen unter Verwendung elektronischer Kommunikationsmittel zu kommunizieren.]</w:t>
      </w:r>
    </w:p>
    <w:p w14:paraId="55326E3B" w14:textId="77777777" w:rsidR="00933CDE" w:rsidRPr="004676F5" w:rsidRDefault="00933CDE" w:rsidP="00933CDE">
      <w:pPr>
        <w:jc w:val="both"/>
        <w:rPr>
          <w:lang w:val="de-DE"/>
        </w:rPr>
      </w:pPr>
    </w:p>
    <w:p w14:paraId="0ABBB1FE" w14:textId="15EF35C4" w:rsidR="00933CDE" w:rsidRPr="00B14651" w:rsidRDefault="00933CDE" w:rsidP="00933CDE">
      <w:pPr>
        <w:jc w:val="both"/>
        <w:rPr>
          <w:i/>
          <w:lang w:val="de-DE"/>
        </w:rPr>
      </w:pPr>
      <w:r w:rsidRPr="004676F5">
        <w:rPr>
          <w:i/>
          <w:lang w:val="de-DE"/>
        </w:rPr>
        <w:t>[</w:t>
      </w:r>
      <w:r w:rsidR="00BE0A56" w:rsidRPr="004676F5">
        <w:rPr>
          <w:i/>
          <w:lang w:val="de-DE"/>
        </w:rPr>
        <w:t>Art. </w:t>
      </w:r>
      <w:r w:rsidRPr="004676F5">
        <w:rPr>
          <w:i/>
          <w:lang w:val="de-DE"/>
        </w:rPr>
        <w:t xml:space="preserve">XI.248/1 eingefügt durch </w:t>
      </w:r>
      <w:r w:rsidR="00BE0A56" w:rsidRPr="004676F5">
        <w:rPr>
          <w:i/>
          <w:lang w:val="de-DE"/>
        </w:rPr>
        <w:t>Art. </w:t>
      </w:r>
      <w:r w:rsidRPr="004676F5">
        <w:rPr>
          <w:i/>
          <w:lang w:val="de-DE"/>
        </w:rPr>
        <w:t>27 des G. vom 8. </w:t>
      </w:r>
      <w:r w:rsidRPr="00B14651">
        <w:rPr>
          <w:i/>
          <w:lang w:val="de-DE"/>
        </w:rPr>
        <w:t>Juni 2017 (B.S. vom 27. Juni 2017)]</w:t>
      </w:r>
    </w:p>
    <w:p w14:paraId="5DA8079B" w14:textId="77777777" w:rsidR="00933CDE" w:rsidRPr="00B14651" w:rsidRDefault="00933CDE" w:rsidP="00933CDE">
      <w:pPr>
        <w:jc w:val="both"/>
        <w:rPr>
          <w:lang w:val="de-DE"/>
        </w:rPr>
      </w:pPr>
    </w:p>
    <w:p w14:paraId="1238B734" w14:textId="77777777" w:rsidR="00933CDE" w:rsidRPr="00B14651" w:rsidRDefault="00933CDE" w:rsidP="00933CDE">
      <w:pPr>
        <w:jc w:val="both"/>
        <w:rPr>
          <w:lang w:val="de-DE"/>
        </w:rPr>
      </w:pPr>
    </w:p>
    <w:p w14:paraId="24D8FCF7" w14:textId="590D6DA8" w:rsidR="00933CDE" w:rsidRPr="004676F5" w:rsidRDefault="00933CDE" w:rsidP="00933CD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der Satzung oder den Mitgliedschaftsbedingungen von Verwer</w:t>
      </w:r>
      <w:r w:rsidRPr="004676F5">
        <w:rPr>
          <w:lang w:val="de-DE"/>
        </w:rPr>
        <w:softHyphen/>
        <w:t>tungs</w:t>
      </w:r>
      <w:r w:rsidRPr="004676F5">
        <w:rPr>
          <w:lang w:val="de-DE"/>
        </w:rPr>
        <w:softHyphen/>
      </w:r>
      <w:r w:rsidRPr="004676F5">
        <w:rPr>
          <w:lang w:val="de-DE"/>
        </w:rPr>
        <w:softHyphen/>
        <w:t>gesell</w:t>
      </w:r>
      <w:r w:rsidRPr="004676F5">
        <w:rPr>
          <w:lang w:val="de-DE"/>
        </w:rPr>
        <w:softHyphen/>
        <w:t>schaften sind die in den Paragraphen 2 bis 6 und in Artikel XI.248/3 vorgesehenen Rechte aufgeführt.</w:t>
      </w:r>
    </w:p>
    <w:p w14:paraId="336D569D" w14:textId="77777777" w:rsidR="00933CDE" w:rsidRPr="004676F5" w:rsidRDefault="00933CDE" w:rsidP="00933CDE">
      <w:pPr>
        <w:jc w:val="both"/>
        <w:rPr>
          <w:lang w:val="de-DE"/>
        </w:rPr>
      </w:pPr>
    </w:p>
    <w:p w14:paraId="04A0986F" w14:textId="4530BC52" w:rsidR="00933CDE" w:rsidRPr="004676F5" w:rsidRDefault="00933CDE" w:rsidP="00933CDE">
      <w:pPr>
        <w:jc w:val="both"/>
        <w:rPr>
          <w:lang w:val="de-DE"/>
        </w:rPr>
      </w:pPr>
      <w:r w:rsidRPr="004676F5">
        <w:rPr>
          <w:lang w:val="de-DE"/>
        </w:rPr>
        <w:tab/>
        <w:t>§ 2 </w:t>
      </w:r>
      <w:r w:rsidR="005B7A5C" w:rsidRPr="004676F5">
        <w:rPr>
          <w:lang w:val="de-DE"/>
        </w:rPr>
        <w:t>- </w:t>
      </w:r>
      <w:r w:rsidRPr="004676F5">
        <w:rPr>
          <w:lang w:val="de-DE"/>
        </w:rPr>
        <w:t>Rechtsinhaber haben das Recht, eine Verwertungsgesellschaft oder Organisation für die kollektive Rechtewahrnehmung ihrer Wahl mit der Wahrnehmung von Rechten, von Kategorien von Rechten oder von Arten von Werken und Leistungen ihrer Wahl in Gebieten ihrer Wahl ungeachtet des Mitgliedstaats der Staatsangehörigkeit, des Wohnsitzes oder des Sitzes der Verwertungsgesellschaft oder Organisation für die kollektive Rechtewahrnehmung beziehungsweise des Rechtsinhabers zu beauftragen. Sofern die Verwertungsgesellschaft oder Organisation für die kollektive Rechtewahrnehmung die Rechtewahrnehmung nicht aus objektiv nachvollziehbaren Gründen ablehnen kann, ist sie verpflichtet, Rechte, Kategorien von Rechten oder Arten von Werken und Leistungen, die in ihren Tätigkeitsbereich fallen, wahrzunehmen.</w:t>
      </w:r>
    </w:p>
    <w:p w14:paraId="2004942C" w14:textId="77777777" w:rsidR="00933CDE" w:rsidRPr="004676F5" w:rsidRDefault="00933CDE" w:rsidP="00933CDE">
      <w:pPr>
        <w:jc w:val="both"/>
        <w:rPr>
          <w:lang w:val="de-DE"/>
        </w:rPr>
      </w:pPr>
    </w:p>
    <w:p w14:paraId="6AB51826" w14:textId="41A7B83A" w:rsidR="00933CDE" w:rsidRPr="004676F5" w:rsidRDefault="00933CDE" w:rsidP="00933CDE">
      <w:pPr>
        <w:jc w:val="both"/>
        <w:rPr>
          <w:lang w:val="de-DE"/>
        </w:rPr>
      </w:pPr>
      <w:r w:rsidRPr="004676F5">
        <w:rPr>
          <w:lang w:val="de-DE"/>
        </w:rPr>
        <w:tab/>
        <w:t>§ 3 </w:t>
      </w:r>
      <w:r w:rsidR="005B7A5C" w:rsidRPr="004676F5">
        <w:rPr>
          <w:lang w:val="de-DE"/>
        </w:rPr>
        <w:t>- </w:t>
      </w:r>
      <w:r w:rsidRPr="004676F5">
        <w:rPr>
          <w:lang w:val="de-DE"/>
        </w:rPr>
        <w:t>Ungeachtet des Rechtsgeschäfts, mit dem Rechtsinhaber die Wahrnehmung ihrer Rechte einer Verwertungsgesellschaft anvertraut haben, haben sie das Recht, Lizenzen für die nicht-kommerzielle Nutzung von Rechten, von Kategorien von Rechten oder von Arten von Werken und Leistungen ihrer Wahl zu vergeben.</w:t>
      </w:r>
    </w:p>
    <w:p w14:paraId="406C648A" w14:textId="77777777" w:rsidR="00933CDE" w:rsidRPr="004676F5" w:rsidRDefault="00933CDE" w:rsidP="00933CDE">
      <w:pPr>
        <w:jc w:val="both"/>
        <w:rPr>
          <w:lang w:val="de-DE"/>
        </w:rPr>
      </w:pPr>
    </w:p>
    <w:p w14:paraId="1959C9D8" w14:textId="77777777" w:rsidR="00933CDE" w:rsidRPr="004676F5" w:rsidRDefault="00933CDE" w:rsidP="00933CDE">
      <w:pPr>
        <w:jc w:val="both"/>
        <w:rPr>
          <w:lang w:val="de-DE"/>
        </w:rPr>
      </w:pPr>
      <w:r w:rsidRPr="004676F5">
        <w:rPr>
          <w:lang w:val="de-DE"/>
        </w:rPr>
        <w:tab/>
        <w:t>Damit Rechtsinhaber möglichst leicht von dem in Absatz 1 erwähnten Recht, Lizenzen für nicht-kommerzielle Nutzung zu vergeben, Gebrauch machen können, legen Verwertungs</w:t>
      </w:r>
      <w:r w:rsidRPr="004676F5">
        <w:rPr>
          <w:lang w:val="de-DE"/>
        </w:rPr>
        <w:softHyphen/>
        <w:t>gesellschaften in ihrer Satzung diesbezügliche Bedingungen fest, die angemessen, diskriminierungsfrei und verhältnismäßig sein müssen.</w:t>
      </w:r>
    </w:p>
    <w:p w14:paraId="24A1106D" w14:textId="77777777" w:rsidR="00933CDE" w:rsidRPr="004676F5" w:rsidRDefault="00933CDE" w:rsidP="00933CDE">
      <w:pPr>
        <w:jc w:val="both"/>
        <w:rPr>
          <w:lang w:val="de-DE"/>
        </w:rPr>
      </w:pPr>
    </w:p>
    <w:p w14:paraId="51FFFED6" w14:textId="4D7645C3" w:rsidR="00933CDE" w:rsidRPr="004676F5" w:rsidRDefault="00933CDE" w:rsidP="00933CDE">
      <w:pPr>
        <w:jc w:val="both"/>
        <w:rPr>
          <w:lang w:val="de-DE"/>
        </w:rPr>
      </w:pPr>
      <w:r w:rsidRPr="004676F5">
        <w:rPr>
          <w:lang w:val="de-DE"/>
        </w:rPr>
        <w:tab/>
        <w:t>§ 4 </w:t>
      </w:r>
      <w:r w:rsidR="005B7A5C" w:rsidRPr="004676F5">
        <w:rPr>
          <w:lang w:val="de-DE"/>
        </w:rPr>
        <w:t>- </w:t>
      </w:r>
      <w:r w:rsidRPr="004676F5">
        <w:rPr>
          <w:lang w:val="de-DE"/>
        </w:rPr>
        <w:t>Beauftragt ein Rechtsinhaber eine Verwertungsgesellschaft oder Organisation für die kollektive Rechtewahrnehmung mit der Wahrnehmung seiner Rechte, so erteilt er ausdrücklich für jedes Recht oder jede Kategorie von Rechten oder jede Art von Werken und Leistung seine Zustimmung. Diese Zustimmung ist schriftlich zu dokumentieren.</w:t>
      </w:r>
    </w:p>
    <w:p w14:paraId="64E03E64" w14:textId="77777777" w:rsidR="00933CDE" w:rsidRPr="004676F5" w:rsidRDefault="00933CDE" w:rsidP="00933CDE">
      <w:pPr>
        <w:jc w:val="both"/>
        <w:rPr>
          <w:lang w:val="de-DE"/>
        </w:rPr>
      </w:pPr>
    </w:p>
    <w:p w14:paraId="09C67CB1" w14:textId="57474C1B" w:rsidR="00933CDE" w:rsidRPr="004676F5" w:rsidRDefault="00933CDE" w:rsidP="00933CDE">
      <w:pPr>
        <w:jc w:val="both"/>
        <w:rPr>
          <w:lang w:val="de-DE"/>
        </w:rPr>
      </w:pPr>
      <w:r w:rsidRPr="004676F5">
        <w:rPr>
          <w:lang w:val="de-DE"/>
        </w:rPr>
        <w:tab/>
        <w:t>§ 5 </w:t>
      </w:r>
      <w:r w:rsidR="005B7A5C" w:rsidRPr="004676F5">
        <w:rPr>
          <w:lang w:val="de-DE"/>
        </w:rPr>
        <w:t>- </w:t>
      </w:r>
      <w:r w:rsidRPr="004676F5">
        <w:rPr>
          <w:lang w:val="de-DE"/>
        </w:rPr>
        <w:t>Rechtsinhaber haben das Recht, den einer Verwertungsgesellschaft erteilten Auftrag zur Wahrnehmung von Rechten, Kategorien von Rechten oder Arten von Werken und Leistungen zu beenden oder der Verwertungsgesellschaft Rechte, Kategorien von Rechten oder Arten von Werken und Leistungen ihrer Wahl zu entziehen gemäß den in Artikel XI.248/3 festgelegten Bedingungen und Modalitäten.</w:t>
      </w:r>
    </w:p>
    <w:p w14:paraId="1EAA372B" w14:textId="77777777" w:rsidR="00933CDE" w:rsidRPr="004676F5" w:rsidRDefault="00933CDE" w:rsidP="00933CDE">
      <w:pPr>
        <w:jc w:val="both"/>
        <w:rPr>
          <w:lang w:val="de-DE"/>
        </w:rPr>
      </w:pPr>
    </w:p>
    <w:p w14:paraId="03132E30" w14:textId="4FB116BC" w:rsidR="00933CDE" w:rsidRPr="004676F5" w:rsidRDefault="00933CDE" w:rsidP="00933CDE">
      <w:pPr>
        <w:jc w:val="both"/>
        <w:rPr>
          <w:lang w:val="de-DE"/>
        </w:rPr>
      </w:pPr>
      <w:r w:rsidRPr="004676F5">
        <w:rPr>
          <w:lang w:val="de-DE"/>
        </w:rPr>
        <w:tab/>
        <w:t>§ 6 </w:t>
      </w:r>
      <w:r w:rsidR="005B7A5C" w:rsidRPr="004676F5">
        <w:rPr>
          <w:lang w:val="de-DE"/>
        </w:rPr>
        <w:t>- </w:t>
      </w:r>
      <w:r w:rsidRPr="004676F5">
        <w:rPr>
          <w:lang w:val="de-DE"/>
        </w:rPr>
        <w:t>Eine Verwertungsgesellschaft, die von einem Rechtsinhaber mit der Wahrneh</w:t>
      </w:r>
      <w:r w:rsidRPr="004676F5">
        <w:rPr>
          <w:lang w:val="de-DE"/>
        </w:rPr>
        <w:softHyphen/>
        <w:t>mung seiner Rechte beauftragt wird, klärt diesen über Verwaltungskosten und andere Abzüge von den Einnahmen aus den Rechten und über Abzüge von Erträgen aus den Anlagen der Einnahmen aus den Rechten auf, bevor sie die Zustimmung des Rechtsinhabers zur Wahrnehmung seiner Rechte einholt.</w:t>
      </w:r>
    </w:p>
    <w:p w14:paraId="11DF9872" w14:textId="77777777" w:rsidR="00933CDE" w:rsidRPr="004676F5" w:rsidRDefault="00933CDE" w:rsidP="00933CDE">
      <w:pPr>
        <w:jc w:val="both"/>
        <w:rPr>
          <w:lang w:val="de-DE"/>
        </w:rPr>
      </w:pPr>
    </w:p>
    <w:p w14:paraId="49E7F8F3" w14:textId="4BA3A7AD" w:rsidR="00933CDE" w:rsidRPr="004676F5" w:rsidRDefault="00933CDE" w:rsidP="00933CDE">
      <w:pPr>
        <w:jc w:val="both"/>
        <w:rPr>
          <w:lang w:val="de-DE"/>
        </w:rPr>
      </w:pPr>
      <w:r w:rsidRPr="004676F5">
        <w:rPr>
          <w:lang w:val="de-DE"/>
        </w:rPr>
        <w:tab/>
        <w:t>§ 7 </w:t>
      </w:r>
      <w:r w:rsidR="005B7A5C" w:rsidRPr="004676F5">
        <w:rPr>
          <w:lang w:val="de-DE"/>
        </w:rPr>
        <w:t>- </w:t>
      </w:r>
      <w:r w:rsidRPr="004676F5">
        <w:rPr>
          <w:lang w:val="de-DE"/>
        </w:rPr>
        <w:t>Verwertungsgesellschaften informieren die Rechtsinhaber über die ihnen nach den Paragraphen 1 bis 6 und Artikel XI.248/3 zustehenden Rechte und über die an das Recht nach § 3 geknüpften Bedingungen, bevor sie die Zustimmung der Rechtsinhaber zur Wahrnehmung von Rechten, von Kategorien von Rechten oder Arten von Werken und Leistungen einholen.]</w:t>
      </w:r>
    </w:p>
    <w:p w14:paraId="63466136" w14:textId="77777777" w:rsidR="00933CDE" w:rsidRPr="004676F5" w:rsidRDefault="00933CDE" w:rsidP="00933CDE">
      <w:pPr>
        <w:jc w:val="both"/>
        <w:rPr>
          <w:lang w:val="de-DE"/>
        </w:rPr>
      </w:pPr>
    </w:p>
    <w:p w14:paraId="1E0C33C7" w14:textId="7C7AFAC9" w:rsidR="00933CDE" w:rsidRPr="00B14651" w:rsidRDefault="00933CDE" w:rsidP="00933CDE">
      <w:pPr>
        <w:jc w:val="both"/>
        <w:rPr>
          <w:i/>
          <w:lang w:val="de-DE"/>
        </w:rPr>
      </w:pPr>
      <w:r w:rsidRPr="004676F5">
        <w:rPr>
          <w:i/>
          <w:lang w:val="de-DE"/>
        </w:rPr>
        <w:t>[</w:t>
      </w:r>
      <w:r w:rsidR="00BE0A56" w:rsidRPr="004676F5">
        <w:rPr>
          <w:i/>
          <w:lang w:val="de-DE"/>
        </w:rPr>
        <w:t>Art. </w:t>
      </w:r>
      <w:r w:rsidRPr="004676F5">
        <w:rPr>
          <w:i/>
          <w:lang w:val="de-DE"/>
        </w:rPr>
        <w:t xml:space="preserve">XI.248/2 eingefügt durch </w:t>
      </w:r>
      <w:r w:rsidR="00BE0A56" w:rsidRPr="004676F5">
        <w:rPr>
          <w:i/>
          <w:lang w:val="de-DE"/>
        </w:rPr>
        <w:t>Art. </w:t>
      </w:r>
      <w:r w:rsidRPr="004676F5">
        <w:rPr>
          <w:i/>
          <w:lang w:val="de-DE"/>
        </w:rPr>
        <w:t>28 des G. vom 8. </w:t>
      </w:r>
      <w:r w:rsidRPr="00B14651">
        <w:rPr>
          <w:i/>
          <w:lang w:val="de-DE"/>
        </w:rPr>
        <w:t>Juni 2017 (B.S. vom 27. Juni 2017)]</w:t>
      </w:r>
    </w:p>
    <w:p w14:paraId="552B26FE" w14:textId="77777777" w:rsidR="00933CDE" w:rsidRPr="00B14651" w:rsidRDefault="00933CDE" w:rsidP="00933CDE">
      <w:pPr>
        <w:jc w:val="both"/>
        <w:rPr>
          <w:lang w:val="de-DE"/>
        </w:rPr>
      </w:pPr>
    </w:p>
    <w:p w14:paraId="7383C5F9" w14:textId="77777777" w:rsidR="00933CDE" w:rsidRPr="00B14651" w:rsidRDefault="00933CDE" w:rsidP="00933CDE">
      <w:pPr>
        <w:jc w:val="both"/>
        <w:rPr>
          <w:lang w:val="de-DE"/>
        </w:rPr>
      </w:pPr>
    </w:p>
    <w:p w14:paraId="214ECA49" w14:textId="0939354D" w:rsidR="00933CDE" w:rsidRPr="004676F5" w:rsidRDefault="00933CDE" w:rsidP="00933CDE">
      <w:pPr>
        <w:jc w:val="center"/>
        <w:rPr>
          <w:lang w:val="de-DE"/>
        </w:rPr>
      </w:pPr>
      <w:r w:rsidRPr="004676F5">
        <w:rPr>
          <w:lang w:val="de-DE"/>
        </w:rPr>
        <w:t>[Unterabschnitt 3 </w:t>
      </w:r>
      <w:r w:rsidR="005B7A5C" w:rsidRPr="004676F5">
        <w:rPr>
          <w:lang w:val="de-DE"/>
        </w:rPr>
        <w:t>- </w:t>
      </w:r>
      <w:r w:rsidRPr="004676F5">
        <w:rPr>
          <w:lang w:val="de-DE"/>
        </w:rPr>
        <w:t>Organisation]</w:t>
      </w:r>
    </w:p>
    <w:p w14:paraId="66B30A7D" w14:textId="77777777" w:rsidR="00933CDE" w:rsidRPr="004676F5" w:rsidRDefault="00933CDE" w:rsidP="00933CDE">
      <w:pPr>
        <w:jc w:val="center"/>
        <w:rPr>
          <w:lang w:val="de-DE"/>
        </w:rPr>
      </w:pPr>
    </w:p>
    <w:p w14:paraId="7DA6518C" w14:textId="6DAAC72E" w:rsidR="00933CDE" w:rsidRPr="004676F5" w:rsidRDefault="00933CDE" w:rsidP="00933CDE">
      <w:pPr>
        <w:jc w:val="both"/>
        <w:rPr>
          <w:i/>
          <w:lang w:val="de-DE"/>
        </w:rPr>
      </w:pPr>
      <w:r w:rsidRPr="004676F5">
        <w:rPr>
          <w:i/>
          <w:lang w:val="de-DE"/>
        </w:rPr>
        <w:t xml:space="preserve">[Unterteilung Unterabschnitt 3 eingefügt durch </w:t>
      </w:r>
      <w:r w:rsidR="00BE0A56" w:rsidRPr="004676F5">
        <w:rPr>
          <w:i/>
          <w:lang w:val="de-DE"/>
        </w:rPr>
        <w:t>Art. </w:t>
      </w:r>
      <w:r w:rsidRPr="004676F5">
        <w:rPr>
          <w:i/>
          <w:lang w:val="de-DE"/>
        </w:rPr>
        <w:t>29 des G. vom 8. Juni 2017 (B.S. vom 27. Juni 2017)]</w:t>
      </w:r>
    </w:p>
    <w:p w14:paraId="70935687" w14:textId="77777777" w:rsidR="00933CDE" w:rsidRPr="004676F5" w:rsidRDefault="00933CDE" w:rsidP="00933CDE">
      <w:pPr>
        <w:jc w:val="center"/>
        <w:rPr>
          <w:lang w:val="de-DE"/>
        </w:rPr>
      </w:pPr>
    </w:p>
    <w:p w14:paraId="5F6B5DD2" w14:textId="77777777" w:rsidR="00355502" w:rsidRPr="004676F5" w:rsidRDefault="00355502" w:rsidP="001527B1">
      <w:pPr>
        <w:jc w:val="both"/>
        <w:rPr>
          <w:lang w:val="de-DE"/>
        </w:rPr>
      </w:pPr>
    </w:p>
    <w:p w14:paraId="34FB26F8" w14:textId="30394635" w:rsidR="00933CDE" w:rsidRPr="004676F5" w:rsidRDefault="00933CDE" w:rsidP="00933CDE">
      <w:pPr>
        <w:jc w:val="both"/>
        <w:rPr>
          <w:lang w:val="de-DE"/>
        </w:rPr>
      </w:pPr>
      <w:r w:rsidRPr="004676F5">
        <w:rPr>
          <w:lang w:val="de-DE"/>
        </w:rPr>
        <w:tab/>
        <w:t>[</w:t>
      </w:r>
      <w:r w:rsidR="00BE0A56" w:rsidRPr="004676F5">
        <w:rPr>
          <w:b/>
          <w:lang w:val="de-DE"/>
        </w:rPr>
        <w:t>Art. </w:t>
      </w:r>
      <w:r w:rsidRPr="004676F5">
        <w:rPr>
          <w:b/>
          <w:lang w:val="de-DE"/>
        </w:rPr>
        <w:t>XI.248/3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Ungeachtet jeder anders lautenden Klausel können Satzung, Regelungen oder Verträge der Gesellschaften einen Rechtsinhaber nicht davon abhalten, die Rechtewahrnehmung in Bezug auf eine oder mehrere Kategorien von Werken oder Leistungen seines Repertoires oder in Bezug auf ein oder mehrere Gebiete einer anderen Gesellschaft seiner Wahl anzuvertrauen oder seine Rechte selbst wahrzunehmen.</w:t>
      </w:r>
    </w:p>
    <w:p w14:paraId="2212BE3B" w14:textId="77777777" w:rsidR="00933CDE" w:rsidRPr="004676F5" w:rsidRDefault="00933CDE" w:rsidP="00933CDE">
      <w:pPr>
        <w:jc w:val="both"/>
        <w:rPr>
          <w:lang w:val="de-DE"/>
        </w:rPr>
      </w:pPr>
    </w:p>
    <w:p w14:paraId="44189182" w14:textId="65AB734E" w:rsidR="00933CDE" w:rsidRPr="004676F5" w:rsidRDefault="00933CDE" w:rsidP="00933CDE">
      <w:pPr>
        <w:jc w:val="both"/>
        <w:rPr>
          <w:lang w:val="de-DE"/>
        </w:rPr>
      </w:pPr>
      <w:r w:rsidRPr="004676F5">
        <w:rPr>
          <w:lang w:val="de-DE"/>
        </w:rPr>
        <w:tab/>
        <w:t xml:space="preserve">Insofern der Rechtsinhaber sechs Monate vor Ende des Geschäftsjahres eine Kündigung einreicht, wird die Beendigung des Auftrags oder der Entzug der Rechte mit dem ersten Tag des folgenden Geschäftsjahres wirksam, es sei denn, eine kürzere Kündigungsfrist ist in dem mit dem Rechtsinhaber abgeschlossenen Vertrag vorgesehen. Wird die Kündigung weniger als sechs Monate vor Ende des Geschäftsjahres eingereicht </w:t>
      </w:r>
      <w:r w:rsidR="005B7A5C" w:rsidRPr="004676F5">
        <w:rPr>
          <w:lang w:val="de-DE"/>
        </w:rPr>
        <w:t>- </w:t>
      </w:r>
      <w:r w:rsidRPr="004676F5">
        <w:rPr>
          <w:lang w:val="de-DE"/>
        </w:rPr>
        <w:t>oder ohne Einhaltung der Frist, die in dem mit dem Rechtsinhaber abgeschlossenen Vertrag vorgesehen ist, wenn sie kürzer als sechs Monate ist -, so wird die Beendigung oder der Entzug erst wirksam mit dem ersten Tag des Geschäftsjahres nach dem folgenden Geschäftsjahr.</w:t>
      </w:r>
    </w:p>
    <w:p w14:paraId="7D930B47" w14:textId="77777777" w:rsidR="00933CDE" w:rsidRPr="004676F5" w:rsidRDefault="00933CDE" w:rsidP="00933CDE">
      <w:pPr>
        <w:jc w:val="both"/>
        <w:rPr>
          <w:lang w:val="de-DE"/>
        </w:rPr>
      </w:pPr>
    </w:p>
    <w:p w14:paraId="0D24A7F2" w14:textId="4F0BD9D8" w:rsidR="00933CDE" w:rsidRPr="004676F5" w:rsidRDefault="00933CDE" w:rsidP="00933CDE">
      <w:pPr>
        <w:jc w:val="both"/>
        <w:rPr>
          <w:lang w:val="de-DE"/>
        </w:rPr>
      </w:pPr>
      <w:r w:rsidRPr="004676F5">
        <w:rPr>
          <w:lang w:val="de-DE"/>
        </w:rPr>
        <w:lastRenderedPageBreak/>
        <w:tab/>
        <w:t>§ 2 </w:t>
      </w:r>
      <w:r w:rsidR="005B7A5C" w:rsidRPr="004676F5">
        <w:rPr>
          <w:lang w:val="de-DE"/>
        </w:rPr>
        <w:t>- </w:t>
      </w:r>
      <w:r w:rsidRPr="004676F5">
        <w:rPr>
          <w:lang w:val="de-DE"/>
        </w:rPr>
        <w:t>Die Beendigung des Auftrags oder der Entzug der Rechte geschieht unbeschadet der von der Gesellschaft zuvor vorgenommenen Rechtshandlungen.</w:t>
      </w:r>
    </w:p>
    <w:p w14:paraId="524B99D9" w14:textId="77777777" w:rsidR="00933CDE" w:rsidRPr="004676F5" w:rsidRDefault="00933CDE" w:rsidP="00933CDE">
      <w:pPr>
        <w:jc w:val="both"/>
        <w:rPr>
          <w:lang w:val="de-DE"/>
        </w:rPr>
      </w:pPr>
    </w:p>
    <w:p w14:paraId="3959F6BE" w14:textId="77777777" w:rsidR="00933CDE" w:rsidRPr="004676F5" w:rsidRDefault="00933CDE" w:rsidP="00933CDE">
      <w:pPr>
        <w:jc w:val="both"/>
        <w:rPr>
          <w:lang w:val="de-DE"/>
        </w:rPr>
      </w:pPr>
      <w:r w:rsidRPr="004676F5">
        <w:rPr>
          <w:lang w:val="de-DE"/>
        </w:rPr>
        <w:tab/>
        <w:t>Stehen einem Rechtsinhaber Beträge aus Verwertungshandlungen zu, die erfolgt sind, bevor die Beendigung des Auftrags zur Wahrnehmung von Rechten oder der Rechtsentzug wirksam wurde, oder aus einer zuvor erteilten Lizenz, behält der Rechtsinhaber seine Rechte nach den Artikeln XI.249 § 2, XI.252, XI.254, XI.256, XI.258, XI.267, XI.269, XI.273/1 und XI.273/7.</w:t>
      </w:r>
    </w:p>
    <w:p w14:paraId="4B5BB9DA" w14:textId="77777777" w:rsidR="00933CDE" w:rsidRPr="004676F5" w:rsidRDefault="00933CDE" w:rsidP="00933CDE">
      <w:pPr>
        <w:jc w:val="both"/>
        <w:rPr>
          <w:lang w:val="de-DE"/>
        </w:rPr>
      </w:pPr>
    </w:p>
    <w:p w14:paraId="18F5D071" w14:textId="660AF05F" w:rsidR="00933CDE" w:rsidRPr="004676F5" w:rsidRDefault="00933CDE" w:rsidP="00933CDE">
      <w:pPr>
        <w:jc w:val="both"/>
        <w:rPr>
          <w:lang w:val="de-DE"/>
        </w:rPr>
      </w:pPr>
      <w:r w:rsidRPr="004676F5">
        <w:rPr>
          <w:lang w:val="de-DE"/>
        </w:rPr>
        <w:tab/>
        <w:t>§ 3 </w:t>
      </w:r>
      <w:r w:rsidR="005B7A5C" w:rsidRPr="004676F5">
        <w:rPr>
          <w:lang w:val="de-DE"/>
        </w:rPr>
        <w:t>- </w:t>
      </w:r>
      <w:r w:rsidRPr="004676F5">
        <w:rPr>
          <w:lang w:val="de-DE"/>
        </w:rPr>
        <w:t>Verwertungsgesellschaften dürfen die Ausübung von Rechten gemäß § 2 und Artikel XI.248/2 § 5 nicht dadurch beschränken, dass sie als Bedingung für die Ausübung dieser Rechte verlangen, eine andere Verwertungsgesellschaft mit der Wahrnehmung derjenigen Rechte oder Kategorien von Rechten oder Arten von Werken und Leistungen zu betrauen, die entzogen wurden oder in Bezug auf die der Wahrnehmungsauftrag beendet wurde.]</w:t>
      </w:r>
    </w:p>
    <w:p w14:paraId="294A3646" w14:textId="77777777" w:rsidR="00933CDE" w:rsidRPr="004676F5" w:rsidRDefault="00933CDE" w:rsidP="00933CDE">
      <w:pPr>
        <w:jc w:val="both"/>
        <w:rPr>
          <w:lang w:val="de-DE"/>
        </w:rPr>
      </w:pPr>
    </w:p>
    <w:p w14:paraId="1F10F040" w14:textId="20329863" w:rsidR="00933CDE" w:rsidRPr="00B14651" w:rsidRDefault="00933CDE" w:rsidP="00933CDE">
      <w:pPr>
        <w:jc w:val="both"/>
        <w:rPr>
          <w:i/>
          <w:lang w:val="de-DE"/>
        </w:rPr>
      </w:pPr>
      <w:r w:rsidRPr="004676F5">
        <w:rPr>
          <w:i/>
          <w:lang w:val="de-DE"/>
        </w:rPr>
        <w:t>[</w:t>
      </w:r>
      <w:r w:rsidR="00BE0A56" w:rsidRPr="004676F5">
        <w:rPr>
          <w:i/>
          <w:lang w:val="de-DE"/>
        </w:rPr>
        <w:t>Art. </w:t>
      </w:r>
      <w:r w:rsidRPr="004676F5">
        <w:rPr>
          <w:i/>
          <w:lang w:val="de-DE"/>
        </w:rPr>
        <w:t xml:space="preserve">XI.248/3 eingefügt durch </w:t>
      </w:r>
      <w:r w:rsidR="00BE0A56" w:rsidRPr="004676F5">
        <w:rPr>
          <w:i/>
          <w:lang w:val="de-DE"/>
        </w:rPr>
        <w:t>Art. </w:t>
      </w:r>
      <w:r w:rsidRPr="004676F5">
        <w:rPr>
          <w:i/>
          <w:lang w:val="de-DE"/>
        </w:rPr>
        <w:t>30 des G. vom 8. </w:t>
      </w:r>
      <w:r w:rsidRPr="00B14651">
        <w:rPr>
          <w:i/>
          <w:lang w:val="de-DE"/>
        </w:rPr>
        <w:t>Juni 2017 (B.S. vom 27. Juni 2017)]</w:t>
      </w:r>
    </w:p>
    <w:p w14:paraId="67DD9267" w14:textId="77777777" w:rsidR="00933CDE" w:rsidRPr="00B14651" w:rsidRDefault="00933CDE" w:rsidP="00933CDE">
      <w:pPr>
        <w:jc w:val="both"/>
        <w:rPr>
          <w:lang w:val="de-DE"/>
        </w:rPr>
      </w:pPr>
    </w:p>
    <w:p w14:paraId="3A465A60" w14:textId="77777777" w:rsidR="00933CDE" w:rsidRPr="00B14651" w:rsidRDefault="00933CDE" w:rsidP="00933CDE">
      <w:pPr>
        <w:jc w:val="both"/>
        <w:rPr>
          <w:lang w:val="de-DE"/>
        </w:rPr>
      </w:pPr>
    </w:p>
    <w:p w14:paraId="3805F05D" w14:textId="5766F9FE" w:rsidR="00933CDE" w:rsidRPr="004676F5" w:rsidRDefault="00933CDE" w:rsidP="00933CD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Generalversammlung beschließt über die Mitgliedschafts</w:t>
      </w:r>
      <w:r w:rsidRPr="004676F5">
        <w:rPr>
          <w:lang w:val="de-DE"/>
        </w:rPr>
        <w:softHyphen/>
        <w:t>bedingungen.</w:t>
      </w:r>
    </w:p>
    <w:p w14:paraId="56E2F14E" w14:textId="77777777" w:rsidR="00933CDE" w:rsidRPr="004676F5" w:rsidRDefault="00933CDE" w:rsidP="00933CDE">
      <w:pPr>
        <w:jc w:val="both"/>
        <w:rPr>
          <w:lang w:val="de-DE"/>
        </w:rPr>
      </w:pPr>
    </w:p>
    <w:p w14:paraId="5B502F27" w14:textId="541DB595" w:rsidR="00933CDE" w:rsidRPr="004676F5" w:rsidRDefault="00933CDE" w:rsidP="00933CDE">
      <w:pPr>
        <w:jc w:val="both"/>
        <w:rPr>
          <w:lang w:val="de-DE"/>
        </w:rPr>
      </w:pPr>
      <w:r w:rsidRPr="004676F5">
        <w:rPr>
          <w:lang w:val="de-DE"/>
        </w:rPr>
        <w:tab/>
        <w:t>§ 2 </w:t>
      </w:r>
      <w:r w:rsidR="005B7A5C" w:rsidRPr="004676F5">
        <w:rPr>
          <w:lang w:val="de-DE"/>
        </w:rPr>
        <w:t>- </w:t>
      </w:r>
      <w:r w:rsidRPr="004676F5">
        <w:rPr>
          <w:lang w:val="de-DE"/>
        </w:rPr>
        <w:t>Die Generalversammlung beschließt über Ernennung und Abberufung der Verwalter oder Geschäftsführer, überwacht deren allgemeine Aufgabenerfüllung und genehmigt deren Vergütung und sonstige Leistungen, darunter Geld</w:t>
      </w:r>
      <w:r w:rsidR="005B7A5C" w:rsidRPr="004676F5">
        <w:rPr>
          <w:lang w:val="de-DE"/>
        </w:rPr>
        <w:t>- </w:t>
      </w:r>
      <w:r w:rsidRPr="004676F5">
        <w:rPr>
          <w:lang w:val="de-DE"/>
        </w:rPr>
        <w:t>und geldwerte Leistungen, Pensionsleistungen und -ansprüche, Ansprüche auf sonstige Zuwendungen und Abfindungen.</w:t>
      </w:r>
    </w:p>
    <w:p w14:paraId="2E2DC1A3" w14:textId="77777777" w:rsidR="00933CDE" w:rsidRPr="004676F5" w:rsidRDefault="00933CDE" w:rsidP="00933CDE">
      <w:pPr>
        <w:jc w:val="both"/>
        <w:rPr>
          <w:lang w:val="de-DE"/>
        </w:rPr>
      </w:pPr>
    </w:p>
    <w:p w14:paraId="2C6A5538" w14:textId="77777777" w:rsidR="00933CDE" w:rsidRPr="004676F5" w:rsidRDefault="00933CDE" w:rsidP="00933CDE">
      <w:pPr>
        <w:jc w:val="both"/>
        <w:rPr>
          <w:lang w:val="de-DE"/>
        </w:rPr>
      </w:pPr>
      <w:r w:rsidRPr="004676F5">
        <w:rPr>
          <w:lang w:val="de-DE"/>
        </w:rPr>
        <w:tab/>
        <w:t>Gemäß Artikel 524</w:t>
      </w:r>
      <w:r w:rsidRPr="004676F5">
        <w:rPr>
          <w:i/>
          <w:lang w:val="de-DE"/>
        </w:rPr>
        <w:t>bis</w:t>
      </w:r>
      <w:r w:rsidRPr="004676F5">
        <w:rPr>
          <w:lang w:val="de-DE"/>
        </w:rPr>
        <w:t xml:space="preserve"> des Gesellschaftsgesetzbuches beschließt in einer Verwertungs</w:t>
      </w:r>
      <w:r w:rsidRPr="004676F5">
        <w:rPr>
          <w:lang w:val="de-DE"/>
        </w:rPr>
        <w:softHyphen/>
        <w:t>gesellschaft mit dualistischem System die Generalversammlung nicht über Ernennung und Abberufung der Mitglieder des Direktionsausschusses und genehmigt nicht deren Vergütung und sonstige ihnen ausgezahlte Leistungen, wenn diese Befugnisse dem Verwaltungsrat übertragen worden sind.</w:t>
      </w:r>
    </w:p>
    <w:p w14:paraId="0654185E" w14:textId="77777777" w:rsidR="00933CDE" w:rsidRPr="004676F5" w:rsidRDefault="00933CDE" w:rsidP="00933CDE">
      <w:pPr>
        <w:jc w:val="both"/>
        <w:rPr>
          <w:lang w:val="de-DE"/>
        </w:rPr>
      </w:pPr>
    </w:p>
    <w:p w14:paraId="63378B83" w14:textId="35D4C3AC" w:rsidR="00933CDE" w:rsidRPr="004676F5" w:rsidRDefault="00933CDE" w:rsidP="00933CDE">
      <w:pPr>
        <w:jc w:val="both"/>
        <w:rPr>
          <w:lang w:val="de-DE"/>
        </w:rPr>
      </w:pPr>
      <w:r w:rsidRPr="004676F5">
        <w:rPr>
          <w:lang w:val="de-DE"/>
        </w:rPr>
        <w:tab/>
        <w:t>§ 3 </w:t>
      </w:r>
      <w:r w:rsidR="005B7A5C" w:rsidRPr="004676F5">
        <w:rPr>
          <w:lang w:val="de-DE"/>
        </w:rPr>
        <w:t>- </w:t>
      </w:r>
      <w:r w:rsidRPr="004676F5">
        <w:rPr>
          <w:lang w:val="de-DE"/>
        </w:rPr>
        <w:t>Die Generalversammlung beschließt mindestens über:</w:t>
      </w:r>
    </w:p>
    <w:p w14:paraId="64F017B9" w14:textId="77777777" w:rsidR="00933CDE" w:rsidRPr="004676F5" w:rsidRDefault="00933CDE" w:rsidP="00933CDE">
      <w:pPr>
        <w:jc w:val="both"/>
        <w:rPr>
          <w:lang w:val="de-DE"/>
        </w:rPr>
      </w:pPr>
    </w:p>
    <w:p w14:paraId="69CB0D10" w14:textId="77777777" w:rsidR="00933CDE" w:rsidRPr="004676F5" w:rsidRDefault="00933CDE" w:rsidP="00933CDE">
      <w:pPr>
        <w:jc w:val="both"/>
        <w:rPr>
          <w:lang w:val="de-DE"/>
        </w:rPr>
      </w:pPr>
      <w:r w:rsidRPr="004676F5">
        <w:rPr>
          <w:lang w:val="de-DE"/>
        </w:rPr>
        <w:tab/>
        <w:t>1. allgemeine Grundsätze für die Verteilung der den Rechtsinhabern zustehenden Beträge,</w:t>
      </w:r>
    </w:p>
    <w:p w14:paraId="2DC11E7E" w14:textId="77777777" w:rsidR="00933CDE" w:rsidRPr="004676F5" w:rsidRDefault="00933CDE" w:rsidP="00933CDE">
      <w:pPr>
        <w:jc w:val="both"/>
        <w:rPr>
          <w:lang w:val="de-DE"/>
        </w:rPr>
      </w:pPr>
    </w:p>
    <w:p w14:paraId="64BB8F07" w14:textId="77777777" w:rsidR="00933CDE" w:rsidRPr="004676F5" w:rsidRDefault="00933CDE" w:rsidP="00933CDE">
      <w:pPr>
        <w:jc w:val="both"/>
        <w:rPr>
          <w:lang w:val="de-DE"/>
        </w:rPr>
      </w:pPr>
      <w:r w:rsidRPr="004676F5">
        <w:rPr>
          <w:lang w:val="de-DE"/>
        </w:rPr>
        <w:tab/>
        <w:t>2. allgemeine Grundsätze für die Verteilung der nicht verteilbaren Beträge gemäß Artikel XI.254,</w:t>
      </w:r>
    </w:p>
    <w:p w14:paraId="0A6AF5C9" w14:textId="77777777" w:rsidR="00933CDE" w:rsidRPr="004676F5" w:rsidRDefault="00933CDE" w:rsidP="00933CDE">
      <w:pPr>
        <w:jc w:val="both"/>
        <w:rPr>
          <w:lang w:val="de-DE"/>
        </w:rPr>
      </w:pPr>
    </w:p>
    <w:p w14:paraId="4463C542" w14:textId="77777777" w:rsidR="00933CDE" w:rsidRPr="004676F5" w:rsidRDefault="00933CDE" w:rsidP="00933CDE">
      <w:pPr>
        <w:jc w:val="both"/>
        <w:rPr>
          <w:lang w:val="de-DE"/>
        </w:rPr>
      </w:pPr>
      <w:r w:rsidRPr="004676F5">
        <w:rPr>
          <w:lang w:val="de-DE"/>
        </w:rPr>
        <w:tab/>
        <w:t>3. allgemeine Anlagepolitik in Bezug auf die Einnahmen aus den Rechten und etwaige Erträge aus der Anlage von Einnahmen aus den Rechten gemäß Artikel XI.250,</w:t>
      </w:r>
    </w:p>
    <w:p w14:paraId="42935961" w14:textId="77777777" w:rsidR="00933CDE" w:rsidRPr="004676F5" w:rsidRDefault="00933CDE" w:rsidP="00933CDE">
      <w:pPr>
        <w:jc w:val="both"/>
        <w:rPr>
          <w:lang w:val="de-DE"/>
        </w:rPr>
      </w:pPr>
    </w:p>
    <w:p w14:paraId="29D8C75D" w14:textId="77777777" w:rsidR="00933CDE" w:rsidRPr="004676F5" w:rsidRDefault="00933CDE" w:rsidP="00933CDE">
      <w:pPr>
        <w:jc w:val="both"/>
        <w:rPr>
          <w:lang w:val="de-DE"/>
        </w:rPr>
      </w:pPr>
      <w:r w:rsidRPr="004676F5">
        <w:rPr>
          <w:lang w:val="de-DE"/>
        </w:rPr>
        <w:tab/>
        <w:t>4. allgemeine Grundsätze für die Abzüge von den Einnahmen aus den Rechten und von den Erträgen aus der Anlage von Einnahmen aus den Rechten,</w:t>
      </w:r>
    </w:p>
    <w:p w14:paraId="7C650E8D" w14:textId="77777777" w:rsidR="00933CDE" w:rsidRPr="004676F5" w:rsidRDefault="00933CDE" w:rsidP="00933CDE">
      <w:pPr>
        <w:jc w:val="both"/>
        <w:rPr>
          <w:lang w:val="de-DE"/>
        </w:rPr>
      </w:pPr>
    </w:p>
    <w:p w14:paraId="4BEC3A46" w14:textId="77777777" w:rsidR="00933CDE" w:rsidRPr="004676F5" w:rsidRDefault="00933CDE" w:rsidP="00933CDE">
      <w:pPr>
        <w:jc w:val="both"/>
        <w:rPr>
          <w:lang w:val="de-DE"/>
        </w:rPr>
      </w:pPr>
      <w:r w:rsidRPr="004676F5">
        <w:rPr>
          <w:lang w:val="de-DE"/>
        </w:rPr>
        <w:tab/>
        <w:t>5. allgemeine Grundsätze der Verwendung von Beträgen aus den Rechten zu sozialen, kulturellen oder erzieherischen Zwecken,</w:t>
      </w:r>
    </w:p>
    <w:p w14:paraId="40845D6E" w14:textId="77777777" w:rsidR="00933CDE" w:rsidRPr="004676F5" w:rsidRDefault="00933CDE" w:rsidP="00933CDE">
      <w:pPr>
        <w:jc w:val="both"/>
        <w:rPr>
          <w:lang w:val="de-DE"/>
        </w:rPr>
      </w:pPr>
    </w:p>
    <w:p w14:paraId="3101222C" w14:textId="77777777" w:rsidR="00933CDE" w:rsidRPr="004676F5" w:rsidRDefault="00933CDE" w:rsidP="00933CDE">
      <w:pPr>
        <w:jc w:val="both"/>
        <w:rPr>
          <w:lang w:val="de-DE"/>
        </w:rPr>
      </w:pPr>
      <w:r w:rsidRPr="004676F5">
        <w:rPr>
          <w:lang w:val="de-DE"/>
        </w:rPr>
        <w:tab/>
        <w:t>6. Grundsätze für das Risikomanagement,</w:t>
      </w:r>
    </w:p>
    <w:p w14:paraId="1388CA54" w14:textId="77777777" w:rsidR="00933CDE" w:rsidRPr="004676F5" w:rsidRDefault="00933CDE" w:rsidP="00933CDE">
      <w:pPr>
        <w:jc w:val="both"/>
        <w:rPr>
          <w:lang w:val="de-DE"/>
        </w:rPr>
      </w:pPr>
    </w:p>
    <w:p w14:paraId="01C6B1EA" w14:textId="77777777" w:rsidR="00933CDE" w:rsidRPr="004676F5" w:rsidRDefault="00933CDE" w:rsidP="00933CDE">
      <w:pPr>
        <w:jc w:val="both"/>
        <w:rPr>
          <w:lang w:val="de-DE"/>
        </w:rPr>
      </w:pPr>
      <w:r w:rsidRPr="004676F5">
        <w:rPr>
          <w:lang w:val="de-DE"/>
        </w:rPr>
        <w:tab/>
        <w:t>7. Genehmigung des Erwerbs, des Verkaufs oder der Beleihung von unbeweglichen Sachen,</w:t>
      </w:r>
    </w:p>
    <w:p w14:paraId="3EA416BB" w14:textId="77777777" w:rsidR="00933CDE" w:rsidRPr="004676F5" w:rsidRDefault="00933CDE" w:rsidP="00933CDE">
      <w:pPr>
        <w:jc w:val="both"/>
        <w:rPr>
          <w:lang w:val="de-DE"/>
        </w:rPr>
      </w:pPr>
    </w:p>
    <w:p w14:paraId="3808CAAB" w14:textId="77777777" w:rsidR="00933CDE" w:rsidRPr="004676F5" w:rsidRDefault="00933CDE" w:rsidP="00933CDE">
      <w:pPr>
        <w:jc w:val="both"/>
        <w:rPr>
          <w:lang w:val="de-DE"/>
        </w:rPr>
      </w:pPr>
      <w:r w:rsidRPr="004676F5">
        <w:rPr>
          <w:lang w:val="de-DE"/>
        </w:rPr>
        <w:tab/>
        <w:t>8. Genehmigung von Zusammenschlüssen und Bündnissen, der Gründung von Tochtergesellschaften und der Übernahme anderer Organisationen und des Erwerbs von Anteilen oder Rechten an anderen Organisationen,</w:t>
      </w:r>
    </w:p>
    <w:p w14:paraId="4453DE95" w14:textId="77777777" w:rsidR="00933CDE" w:rsidRPr="004676F5" w:rsidRDefault="00933CDE" w:rsidP="00933CDE">
      <w:pPr>
        <w:jc w:val="both"/>
        <w:rPr>
          <w:lang w:val="de-DE"/>
        </w:rPr>
      </w:pPr>
    </w:p>
    <w:p w14:paraId="608ED983" w14:textId="77777777" w:rsidR="00933CDE" w:rsidRPr="004676F5" w:rsidRDefault="00933CDE" w:rsidP="00933CDE">
      <w:pPr>
        <w:jc w:val="both"/>
        <w:rPr>
          <w:lang w:val="de-DE"/>
        </w:rPr>
      </w:pPr>
      <w:r w:rsidRPr="004676F5">
        <w:rPr>
          <w:lang w:val="de-DE"/>
        </w:rPr>
        <w:tab/>
        <w:t>9. Genehmigung der Aufnahme und Vergabe von Darlehen und der Stellung von Darlehenssicherheiten oder -bürgschaften.</w:t>
      </w:r>
    </w:p>
    <w:p w14:paraId="633B5932" w14:textId="77777777" w:rsidR="00933CDE" w:rsidRPr="004676F5" w:rsidRDefault="00933CDE" w:rsidP="00933CDE">
      <w:pPr>
        <w:jc w:val="both"/>
        <w:rPr>
          <w:lang w:val="de-DE"/>
        </w:rPr>
      </w:pPr>
    </w:p>
    <w:p w14:paraId="76D9AE80" w14:textId="04C0CC8D" w:rsidR="00933CDE" w:rsidRPr="004676F5" w:rsidRDefault="00933CDE" w:rsidP="00933CDE">
      <w:pPr>
        <w:jc w:val="both"/>
        <w:rPr>
          <w:lang w:val="de-DE"/>
        </w:rPr>
      </w:pPr>
      <w:r w:rsidRPr="004676F5">
        <w:rPr>
          <w:lang w:val="de-DE"/>
        </w:rPr>
        <w:tab/>
        <w:t>§ 4 </w:t>
      </w:r>
      <w:r w:rsidR="005B7A5C" w:rsidRPr="004676F5">
        <w:rPr>
          <w:lang w:val="de-DE"/>
        </w:rPr>
        <w:t>- </w:t>
      </w:r>
      <w:r w:rsidRPr="004676F5">
        <w:rPr>
          <w:lang w:val="de-DE"/>
        </w:rPr>
        <w:t>Die Generalversammlung kann die Befugnisse gemäß § 3 Nr. 6, 7, 8 und 9 per Beschluss oder durch Satzungsbestimmung dem Verwaltungsrat übertragen.</w:t>
      </w:r>
    </w:p>
    <w:p w14:paraId="18084E74" w14:textId="77777777" w:rsidR="00933CDE" w:rsidRPr="004676F5" w:rsidRDefault="00933CDE" w:rsidP="00933CDE">
      <w:pPr>
        <w:jc w:val="both"/>
        <w:rPr>
          <w:lang w:val="de-DE"/>
        </w:rPr>
      </w:pPr>
    </w:p>
    <w:p w14:paraId="11B665A0" w14:textId="77777777" w:rsidR="00933CDE" w:rsidRPr="004676F5" w:rsidRDefault="00933CDE" w:rsidP="00933CDE">
      <w:pPr>
        <w:jc w:val="both"/>
        <w:rPr>
          <w:lang w:val="de-DE"/>
        </w:rPr>
      </w:pPr>
      <w:r w:rsidRPr="004676F5">
        <w:rPr>
          <w:lang w:val="de-DE"/>
        </w:rPr>
        <w:tab/>
        <w:t>Der Verwaltungsrat gibt in seinem Lagebericht die Beschlüsse an, die er im Rahmen der ihm aufgrund von Absatz 1 übertragenen Befugnisse getroffen hat.</w:t>
      </w:r>
    </w:p>
    <w:p w14:paraId="1D65686B" w14:textId="77777777" w:rsidR="00933CDE" w:rsidRPr="004676F5" w:rsidRDefault="00933CDE" w:rsidP="00933CDE">
      <w:pPr>
        <w:jc w:val="both"/>
        <w:rPr>
          <w:lang w:val="de-DE"/>
        </w:rPr>
      </w:pPr>
    </w:p>
    <w:p w14:paraId="56639AAD" w14:textId="3FC0CD67" w:rsidR="00933CDE" w:rsidRPr="004676F5" w:rsidRDefault="00933CDE" w:rsidP="00933CDE">
      <w:pPr>
        <w:jc w:val="both"/>
        <w:rPr>
          <w:lang w:val="de-DE"/>
        </w:rPr>
      </w:pPr>
      <w:r w:rsidRPr="004676F5">
        <w:rPr>
          <w:lang w:val="de-DE"/>
        </w:rPr>
        <w:tab/>
        <w:t>§ 5 </w:t>
      </w:r>
      <w:r w:rsidR="005B7A5C" w:rsidRPr="004676F5">
        <w:rPr>
          <w:lang w:val="de-DE"/>
        </w:rPr>
        <w:t>- </w:t>
      </w:r>
      <w:r w:rsidRPr="004676F5">
        <w:rPr>
          <w:lang w:val="de-DE"/>
        </w:rPr>
        <w:t>Verwertungsgesellschaften können Einschränkungen des Rechts der Gesell</w:t>
      </w:r>
      <w:r w:rsidRPr="004676F5">
        <w:rPr>
          <w:lang w:val="de-DE"/>
        </w:rPr>
        <w:softHyphen/>
        <w:t>schafter, ihr Stimmrecht in der Generalversammlung auszuüben, aufgrund mindestens eines der folgenden Kriterien vorsehen:</w:t>
      </w:r>
    </w:p>
    <w:p w14:paraId="4631B577" w14:textId="77777777" w:rsidR="00933CDE" w:rsidRPr="004676F5" w:rsidRDefault="00933CDE" w:rsidP="00933CDE">
      <w:pPr>
        <w:jc w:val="both"/>
        <w:rPr>
          <w:lang w:val="de-DE"/>
        </w:rPr>
      </w:pPr>
    </w:p>
    <w:p w14:paraId="7C0B6F2B" w14:textId="77777777" w:rsidR="00933CDE" w:rsidRPr="004676F5" w:rsidRDefault="00933CDE" w:rsidP="00933CDE">
      <w:pPr>
        <w:jc w:val="both"/>
        <w:rPr>
          <w:lang w:val="de-DE"/>
        </w:rPr>
      </w:pPr>
      <w:r w:rsidRPr="004676F5">
        <w:rPr>
          <w:lang w:val="de-DE"/>
        </w:rPr>
        <w:tab/>
        <w:t>1. Dauer des Rechtsgeschäfts, mit dem der Rechtsinhaber die Wahrnehmung seiner Rechte der Verwertungsgesellschaft anvertraut hat,</w:t>
      </w:r>
    </w:p>
    <w:p w14:paraId="5DB4B5C3" w14:textId="77777777" w:rsidR="00933CDE" w:rsidRPr="004676F5" w:rsidRDefault="00933CDE" w:rsidP="00933CDE">
      <w:pPr>
        <w:jc w:val="both"/>
        <w:rPr>
          <w:lang w:val="de-DE"/>
        </w:rPr>
      </w:pPr>
    </w:p>
    <w:p w14:paraId="78ADDE77" w14:textId="77777777" w:rsidR="00933CDE" w:rsidRPr="004676F5" w:rsidRDefault="00933CDE" w:rsidP="00933CDE">
      <w:pPr>
        <w:jc w:val="both"/>
        <w:rPr>
          <w:lang w:val="de-DE"/>
        </w:rPr>
      </w:pPr>
      <w:r w:rsidRPr="004676F5">
        <w:rPr>
          <w:lang w:val="de-DE"/>
        </w:rPr>
        <w:tab/>
        <w:t>2. Beträge, die der Rechtsinhaber erhalten hat oder die ihm zustehen, vorausgesetzt, diese Kriterien werden in einer fairen und verhältnismäßigen Weise festgelegt und angewendet.</w:t>
      </w:r>
    </w:p>
    <w:p w14:paraId="413C7943" w14:textId="77777777" w:rsidR="00933CDE" w:rsidRPr="004676F5" w:rsidRDefault="00933CDE" w:rsidP="00933CDE">
      <w:pPr>
        <w:jc w:val="both"/>
        <w:rPr>
          <w:lang w:val="de-DE"/>
        </w:rPr>
      </w:pPr>
    </w:p>
    <w:p w14:paraId="4804C6E5" w14:textId="77777777" w:rsidR="00933CDE" w:rsidRPr="004676F5" w:rsidRDefault="00933CDE" w:rsidP="00933CDE">
      <w:pPr>
        <w:jc w:val="both"/>
        <w:rPr>
          <w:lang w:val="de-DE"/>
        </w:rPr>
      </w:pPr>
      <w:r w:rsidRPr="004676F5">
        <w:rPr>
          <w:lang w:val="de-DE"/>
        </w:rPr>
        <w:tab/>
        <w:t>Die Kriterien in Absatz 1 Nr. 1 und 2 werden in der Satzung oder in den Mitgliedschafts</w:t>
      </w:r>
      <w:r w:rsidRPr="004676F5">
        <w:rPr>
          <w:lang w:val="de-DE"/>
        </w:rPr>
        <w:softHyphen/>
        <w:t>bedingungen der Verwertungsgesellschaft aufgenommen und gemäß den Artikeln XI.266 und XI.270 veröffentlicht.</w:t>
      </w:r>
    </w:p>
    <w:p w14:paraId="7A4F2AEF" w14:textId="77777777" w:rsidR="00933CDE" w:rsidRPr="004676F5" w:rsidRDefault="00933CDE" w:rsidP="00933CDE">
      <w:pPr>
        <w:jc w:val="both"/>
        <w:rPr>
          <w:lang w:val="de-DE"/>
        </w:rPr>
      </w:pPr>
    </w:p>
    <w:p w14:paraId="4A2F1AAB" w14:textId="7D18D03C" w:rsidR="00933CDE" w:rsidRPr="004676F5" w:rsidRDefault="00933CDE" w:rsidP="00933CDE">
      <w:pPr>
        <w:jc w:val="both"/>
        <w:rPr>
          <w:lang w:val="de-DE"/>
        </w:rPr>
      </w:pPr>
      <w:r w:rsidRPr="004676F5">
        <w:rPr>
          <w:lang w:val="de-DE"/>
        </w:rPr>
        <w:tab/>
        <w:t>§ 6 </w:t>
      </w:r>
      <w:r w:rsidR="005B7A5C" w:rsidRPr="004676F5">
        <w:rPr>
          <w:lang w:val="de-DE"/>
        </w:rPr>
        <w:t>- </w:t>
      </w:r>
      <w:r w:rsidRPr="004676F5">
        <w:rPr>
          <w:lang w:val="de-DE"/>
        </w:rPr>
        <w:t>Gesellschafter einer Verwertungsgesellschaft haben das Recht, eine andere natürliche oder juristische Person zum Vertreter zu bestellen, der in ihrem Namen an der Generalversammlung teilnimmt und ihr Stimmrecht ausübt, sofern diese Bestellung nicht zu einem Interessenkonflikt führt, was beispielsweise der Fall sein kann, wenn ein Gesellschafter und sein Vertreter zu verschiedenen Kategorien von Rechtsinhabern innerhalb der Verwer</w:t>
      </w:r>
      <w:r w:rsidRPr="004676F5">
        <w:rPr>
          <w:lang w:val="de-DE"/>
        </w:rPr>
        <w:softHyphen/>
        <w:t>tungs</w:t>
      </w:r>
      <w:r w:rsidRPr="004676F5">
        <w:rPr>
          <w:lang w:val="de-DE"/>
        </w:rPr>
        <w:softHyphen/>
        <w:t>gesellschaft gehören.</w:t>
      </w:r>
    </w:p>
    <w:p w14:paraId="0C1EF81A" w14:textId="77777777" w:rsidR="00933CDE" w:rsidRPr="004676F5" w:rsidRDefault="00933CDE" w:rsidP="00933CDE">
      <w:pPr>
        <w:jc w:val="both"/>
        <w:rPr>
          <w:lang w:val="de-DE"/>
        </w:rPr>
      </w:pPr>
    </w:p>
    <w:p w14:paraId="1B20B917" w14:textId="77777777" w:rsidR="00933CDE" w:rsidRPr="004676F5" w:rsidRDefault="00933CDE" w:rsidP="00933CDE">
      <w:pPr>
        <w:jc w:val="both"/>
        <w:rPr>
          <w:lang w:val="de-DE"/>
        </w:rPr>
      </w:pPr>
      <w:r w:rsidRPr="004676F5">
        <w:rPr>
          <w:lang w:val="de-DE"/>
        </w:rPr>
        <w:tab/>
        <w:t>Der König kann Bedingungen für die Bestellung von Vertretern und die Ausübung der Stimmrechte der Gesellschafter, die sie vertreten, vorsehen, wenn dadurch die angemessene und wirksame Mitwirkung der Gesellschafter an dem Entscheidungsfindungsprozess der Verwertungsgesellschaft nicht beeinträchtigt wird.</w:t>
      </w:r>
    </w:p>
    <w:p w14:paraId="5169714F" w14:textId="77777777" w:rsidR="00933CDE" w:rsidRPr="004676F5" w:rsidRDefault="00933CDE" w:rsidP="00933CDE">
      <w:pPr>
        <w:jc w:val="both"/>
        <w:rPr>
          <w:lang w:val="de-DE"/>
        </w:rPr>
      </w:pPr>
    </w:p>
    <w:p w14:paraId="552CC841" w14:textId="77777777" w:rsidR="00933CDE" w:rsidRPr="004676F5" w:rsidRDefault="00933CDE" w:rsidP="00933CDE">
      <w:pPr>
        <w:jc w:val="both"/>
        <w:rPr>
          <w:lang w:val="de-DE"/>
        </w:rPr>
      </w:pPr>
      <w:r w:rsidRPr="004676F5">
        <w:rPr>
          <w:lang w:val="de-DE"/>
        </w:rPr>
        <w:tab/>
        <w:t>Ein Vertreter wird jeweils für eine einzige Generalversammlung bestellt. Der Vertreter hat bei der Generalversammlung dieselben Rechte wie der Gesellschafter, der ihn bestellt hat. Der Vertreter ist verpflichtet, entsprechend den Anweisungen des Gesellschafters, der ihn bestellt hat, abzustimmen.]</w:t>
      </w:r>
    </w:p>
    <w:p w14:paraId="320B3650" w14:textId="77777777" w:rsidR="00933CDE" w:rsidRPr="004676F5" w:rsidRDefault="00933CDE" w:rsidP="00933CDE">
      <w:pPr>
        <w:jc w:val="both"/>
        <w:rPr>
          <w:lang w:val="de-DE"/>
        </w:rPr>
      </w:pPr>
    </w:p>
    <w:p w14:paraId="732F6696" w14:textId="335554AF" w:rsidR="00933CDE" w:rsidRPr="00B14651" w:rsidRDefault="00933CDE" w:rsidP="00933CDE">
      <w:pPr>
        <w:jc w:val="both"/>
        <w:rPr>
          <w:i/>
          <w:lang w:val="de-DE"/>
        </w:rPr>
      </w:pPr>
      <w:r w:rsidRPr="004676F5">
        <w:rPr>
          <w:i/>
          <w:lang w:val="de-DE"/>
        </w:rPr>
        <w:t>[</w:t>
      </w:r>
      <w:r w:rsidR="00BE0A56" w:rsidRPr="004676F5">
        <w:rPr>
          <w:i/>
          <w:lang w:val="de-DE"/>
        </w:rPr>
        <w:t>Art. </w:t>
      </w:r>
      <w:r w:rsidRPr="004676F5">
        <w:rPr>
          <w:i/>
          <w:lang w:val="de-DE"/>
        </w:rPr>
        <w:t xml:space="preserve">XI.248/4 eingefügt durch </w:t>
      </w:r>
      <w:r w:rsidR="00BE0A56" w:rsidRPr="004676F5">
        <w:rPr>
          <w:i/>
          <w:lang w:val="de-DE"/>
        </w:rPr>
        <w:t>Art. </w:t>
      </w:r>
      <w:r w:rsidRPr="004676F5">
        <w:rPr>
          <w:i/>
          <w:lang w:val="de-DE"/>
        </w:rPr>
        <w:t>31 des G. vom 8. </w:t>
      </w:r>
      <w:r w:rsidRPr="00B14651">
        <w:rPr>
          <w:i/>
          <w:lang w:val="de-DE"/>
        </w:rPr>
        <w:t>Juni 2017 (B.S. vom 27. Juni 2017)]</w:t>
      </w:r>
    </w:p>
    <w:p w14:paraId="7C7F8C4A" w14:textId="77777777" w:rsidR="00933CDE" w:rsidRPr="00B14651" w:rsidRDefault="00933CDE" w:rsidP="00933CDE">
      <w:pPr>
        <w:jc w:val="both"/>
        <w:rPr>
          <w:lang w:val="de-DE"/>
        </w:rPr>
      </w:pPr>
    </w:p>
    <w:p w14:paraId="4435E034" w14:textId="77777777" w:rsidR="00933CDE" w:rsidRPr="00B14651" w:rsidRDefault="00933CDE" w:rsidP="00933CDE">
      <w:pPr>
        <w:jc w:val="both"/>
        <w:rPr>
          <w:lang w:val="de-DE"/>
        </w:rPr>
      </w:pPr>
    </w:p>
    <w:p w14:paraId="61E70554" w14:textId="5434D193" w:rsidR="00933CDE" w:rsidRPr="004676F5" w:rsidRDefault="00933CDE" w:rsidP="00933CDE">
      <w:pPr>
        <w:jc w:val="both"/>
        <w:rPr>
          <w:lang w:val="de-DE"/>
        </w:rPr>
      </w:pPr>
      <w:r w:rsidRPr="00B14651">
        <w:rPr>
          <w:lang w:val="de-DE"/>
        </w:rPr>
        <w:lastRenderedPageBreak/>
        <w:tab/>
      </w:r>
      <w:r w:rsidRPr="004676F5">
        <w:rPr>
          <w:lang w:val="de-DE"/>
        </w:rPr>
        <w:t>[</w:t>
      </w:r>
      <w:r w:rsidR="00BE0A56" w:rsidRPr="004676F5">
        <w:rPr>
          <w:b/>
          <w:lang w:val="de-DE"/>
        </w:rPr>
        <w:t>Art. </w:t>
      </w:r>
      <w:r w:rsidRPr="004676F5">
        <w:rPr>
          <w:b/>
          <w:lang w:val="de-DE"/>
        </w:rPr>
        <w:t>XI.248/5</w:t>
      </w:r>
      <w:r w:rsidRPr="004676F5">
        <w:rPr>
          <w:lang w:val="de-DE"/>
        </w:rPr>
        <w:t> </w:t>
      </w:r>
      <w:r w:rsidR="005B7A5C" w:rsidRPr="004676F5">
        <w:rPr>
          <w:lang w:val="de-DE"/>
        </w:rPr>
        <w:t>- </w:t>
      </w:r>
      <w:r w:rsidRPr="004676F5">
        <w:rPr>
          <w:lang w:val="de-DE"/>
        </w:rPr>
        <w:t>Personen, die die Geschäftsführung oder Verwaltung einer Verwer</w:t>
      </w:r>
      <w:r w:rsidRPr="004676F5">
        <w:rPr>
          <w:lang w:val="de-DE"/>
        </w:rPr>
        <w:softHyphen/>
        <w:t>tungs</w:t>
      </w:r>
      <w:r w:rsidRPr="004676F5">
        <w:rPr>
          <w:lang w:val="de-DE"/>
        </w:rPr>
        <w:softHyphen/>
        <w:t>gesell</w:t>
      </w:r>
      <w:r w:rsidRPr="004676F5">
        <w:rPr>
          <w:lang w:val="de-DE"/>
        </w:rPr>
        <w:softHyphen/>
        <w:t>schaft wahrnehmen, erfüllen diese Aufgabe solide, umsichtig und angemessen unter Verwendung von Verwaltungs</w:t>
      </w:r>
      <w:r w:rsidR="005B7A5C" w:rsidRPr="004676F5">
        <w:rPr>
          <w:lang w:val="de-DE"/>
        </w:rPr>
        <w:t>- </w:t>
      </w:r>
      <w:r w:rsidRPr="004676F5">
        <w:rPr>
          <w:lang w:val="de-DE"/>
        </w:rPr>
        <w:t>und Rechnungslegungsverfahren und von internen Kontroll</w:t>
      </w:r>
      <w:r w:rsidRPr="004676F5">
        <w:rPr>
          <w:lang w:val="de-DE"/>
        </w:rPr>
        <w:softHyphen/>
        <w:t>mechanismen, die gemäß den Artikeln XI.248/8 bis XI.248/12 eingerichtet werden.</w:t>
      </w:r>
    </w:p>
    <w:p w14:paraId="76C44A91" w14:textId="77777777" w:rsidR="00933CDE" w:rsidRPr="004676F5" w:rsidRDefault="00933CDE" w:rsidP="00933CDE">
      <w:pPr>
        <w:jc w:val="both"/>
        <w:rPr>
          <w:lang w:val="de-DE"/>
        </w:rPr>
      </w:pPr>
    </w:p>
    <w:p w14:paraId="636DA1D2" w14:textId="77777777" w:rsidR="00933CDE" w:rsidRPr="004676F5" w:rsidRDefault="00933CDE" w:rsidP="00933CDE">
      <w:pPr>
        <w:jc w:val="both"/>
        <w:rPr>
          <w:lang w:val="de-DE"/>
        </w:rPr>
      </w:pPr>
      <w:r w:rsidRPr="004676F5">
        <w:rPr>
          <w:lang w:val="de-DE"/>
        </w:rPr>
        <w:tab/>
        <w:t>Personen, die die Geschäftsführung oder Verwaltung einer Verwertungsgesellschaft wahrnehmen, unterliegen den Bestimmungen der Artikel 527 und 528 des Gesellschafts</w:t>
      </w:r>
      <w:r w:rsidRPr="004676F5">
        <w:rPr>
          <w:lang w:val="de-DE"/>
        </w:rPr>
        <w:softHyphen/>
        <w:t>gesetzbuches, wobei ein Verstoß gegen Kapitel 9 des vorliegenden Titels und gegen seine Ausführungserlasse einem Verstoß gegen das Gesellschaftsgesetzbuch gleichgesetzt wird.]</w:t>
      </w:r>
    </w:p>
    <w:p w14:paraId="7FE5ECF2" w14:textId="77777777" w:rsidR="00933CDE" w:rsidRPr="004676F5" w:rsidRDefault="00933CDE" w:rsidP="00933CDE">
      <w:pPr>
        <w:jc w:val="both"/>
        <w:rPr>
          <w:lang w:val="de-DE"/>
        </w:rPr>
      </w:pPr>
    </w:p>
    <w:p w14:paraId="32C00331" w14:textId="6A1D2A4F" w:rsidR="00933CDE" w:rsidRPr="00B14651" w:rsidRDefault="00933CDE" w:rsidP="00933CDE">
      <w:pPr>
        <w:jc w:val="both"/>
        <w:rPr>
          <w:i/>
          <w:lang w:val="de-DE"/>
        </w:rPr>
      </w:pPr>
      <w:r w:rsidRPr="004676F5">
        <w:rPr>
          <w:i/>
          <w:lang w:val="de-DE"/>
        </w:rPr>
        <w:t>[</w:t>
      </w:r>
      <w:r w:rsidR="00BE0A56" w:rsidRPr="004676F5">
        <w:rPr>
          <w:i/>
          <w:lang w:val="de-DE"/>
        </w:rPr>
        <w:t>Art. </w:t>
      </w:r>
      <w:r w:rsidRPr="004676F5">
        <w:rPr>
          <w:i/>
          <w:lang w:val="de-DE"/>
        </w:rPr>
        <w:t xml:space="preserve">XI.248/5 eingefügt durch </w:t>
      </w:r>
      <w:r w:rsidR="00BE0A56" w:rsidRPr="004676F5">
        <w:rPr>
          <w:i/>
          <w:lang w:val="de-DE"/>
        </w:rPr>
        <w:t>Art. </w:t>
      </w:r>
      <w:r w:rsidRPr="004676F5">
        <w:rPr>
          <w:i/>
          <w:lang w:val="de-DE"/>
        </w:rPr>
        <w:t>32 des G. vom 8. </w:t>
      </w:r>
      <w:r w:rsidRPr="00B14651">
        <w:rPr>
          <w:i/>
          <w:lang w:val="de-DE"/>
        </w:rPr>
        <w:t>Juni 2017 (B.S. vom 27. Juni 2017)]</w:t>
      </w:r>
    </w:p>
    <w:p w14:paraId="0B472B45" w14:textId="77777777" w:rsidR="00933CDE" w:rsidRPr="00B14651" w:rsidRDefault="00933CDE" w:rsidP="00933CDE">
      <w:pPr>
        <w:jc w:val="both"/>
        <w:rPr>
          <w:lang w:val="de-DE"/>
        </w:rPr>
      </w:pPr>
    </w:p>
    <w:p w14:paraId="4453BFF2" w14:textId="77777777" w:rsidR="00933CDE" w:rsidRPr="00B14651" w:rsidRDefault="00933CDE" w:rsidP="00933CDE">
      <w:pPr>
        <w:jc w:val="both"/>
        <w:rPr>
          <w:lang w:val="de-DE"/>
        </w:rPr>
      </w:pPr>
    </w:p>
    <w:p w14:paraId="5BF78480" w14:textId="0F25D742" w:rsidR="00933CDE" w:rsidRPr="004676F5" w:rsidRDefault="00933CDE" w:rsidP="00933CD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Ungeachtet der Rechtsform oder der Größe einer Verwertungs</w:t>
      </w:r>
      <w:r w:rsidRPr="004676F5">
        <w:rPr>
          <w:lang w:val="de-DE"/>
        </w:rPr>
        <w:softHyphen/>
        <w:t>gesellschaft stellen Verwalter oder Geschäftsführer der Verwertungsgesellschaften einen Lagebericht auf, in dem sie über ihre Politik Bericht erstatten. Dieser Lagebericht enthält die in Artikel 96 des Gesellschaftsgesetzbuches vorgesehenen Angaben und alle Angaben, die gemäß vorliegendem Titel im Lagebericht aufgenommen werden müssen.</w:t>
      </w:r>
    </w:p>
    <w:p w14:paraId="41A2F752" w14:textId="77777777" w:rsidR="00933CDE" w:rsidRPr="004676F5" w:rsidRDefault="00933CDE" w:rsidP="00933CDE">
      <w:pPr>
        <w:jc w:val="both"/>
        <w:rPr>
          <w:lang w:val="de-DE"/>
        </w:rPr>
      </w:pPr>
    </w:p>
    <w:p w14:paraId="23F6CFF2" w14:textId="77777777" w:rsidR="00933CDE" w:rsidRPr="004676F5" w:rsidRDefault="00933CDE" w:rsidP="00933CDE">
      <w:pPr>
        <w:jc w:val="both"/>
        <w:rPr>
          <w:lang w:val="de-DE"/>
        </w:rPr>
      </w:pPr>
      <w:r w:rsidRPr="004676F5">
        <w:rPr>
          <w:lang w:val="de-DE"/>
        </w:rPr>
        <w:tab/>
        <w:t>Absatz 1 ist auch auf Organisationen für die kollektive Rechtewahrnehmung anwendbar in Bezug auf ihre in Belgien gelegenen Zweigstellen. Der Lagebericht wird von der Person abgefasst, die in Belgien für die Verwaltung der Zweigstelle einer Organisation für die kollektive Rechtewahrnehmung verantwortlich ist.</w:t>
      </w:r>
    </w:p>
    <w:p w14:paraId="4E943182" w14:textId="77777777" w:rsidR="00933CDE" w:rsidRPr="004676F5" w:rsidRDefault="00933CDE" w:rsidP="00933CDE">
      <w:pPr>
        <w:jc w:val="both"/>
        <w:rPr>
          <w:lang w:val="de-DE"/>
        </w:rPr>
      </w:pPr>
    </w:p>
    <w:p w14:paraId="263C23B7" w14:textId="096786BD" w:rsidR="00933CDE" w:rsidRPr="004676F5" w:rsidRDefault="00933CDE" w:rsidP="00933CDE">
      <w:pPr>
        <w:jc w:val="both"/>
        <w:rPr>
          <w:lang w:val="de-DE"/>
        </w:rPr>
      </w:pPr>
      <w:r w:rsidRPr="004676F5">
        <w:rPr>
          <w:lang w:val="de-DE"/>
        </w:rPr>
        <w:tab/>
        <w:t>§ 2 </w:t>
      </w:r>
      <w:r w:rsidR="005B7A5C" w:rsidRPr="004676F5">
        <w:rPr>
          <w:lang w:val="de-DE"/>
        </w:rPr>
        <w:t>- </w:t>
      </w:r>
      <w:r w:rsidRPr="004676F5">
        <w:rPr>
          <w:lang w:val="de-DE"/>
        </w:rPr>
        <w:t>Unbeschadet der Artikel 95, 96 und 119 des Gesellschaftsgesetzbuches werden folgende Informationen im Lagebericht der Verwertungsgesellschaft aufgenommen:</w:t>
      </w:r>
    </w:p>
    <w:p w14:paraId="6C32F500" w14:textId="77777777" w:rsidR="00933CDE" w:rsidRPr="004676F5" w:rsidRDefault="00933CDE" w:rsidP="00933CDE">
      <w:pPr>
        <w:jc w:val="both"/>
        <w:rPr>
          <w:lang w:val="de-DE"/>
        </w:rPr>
      </w:pPr>
    </w:p>
    <w:p w14:paraId="79EDF2D0" w14:textId="77777777" w:rsidR="00933CDE" w:rsidRPr="004676F5" w:rsidRDefault="00933CDE" w:rsidP="00933CDE">
      <w:pPr>
        <w:jc w:val="both"/>
        <w:rPr>
          <w:lang w:val="de-DE"/>
        </w:rPr>
      </w:pPr>
      <w:r w:rsidRPr="004676F5">
        <w:rPr>
          <w:lang w:val="de-DE"/>
        </w:rPr>
        <w:tab/>
        <w:t>1. Angaben zur Ablehnung von Lizenzanträgen nach Artikel XI.262 § 2,</w:t>
      </w:r>
    </w:p>
    <w:p w14:paraId="38891278" w14:textId="77777777" w:rsidR="00933CDE" w:rsidRPr="004676F5" w:rsidRDefault="00933CDE" w:rsidP="00933CDE">
      <w:pPr>
        <w:jc w:val="both"/>
        <w:rPr>
          <w:lang w:val="de-DE"/>
        </w:rPr>
      </w:pPr>
    </w:p>
    <w:p w14:paraId="7D9657A3" w14:textId="77777777" w:rsidR="00933CDE" w:rsidRPr="004676F5" w:rsidRDefault="00933CDE" w:rsidP="00933CDE">
      <w:pPr>
        <w:jc w:val="both"/>
        <w:rPr>
          <w:lang w:val="de-DE"/>
        </w:rPr>
      </w:pPr>
      <w:r w:rsidRPr="004676F5">
        <w:rPr>
          <w:lang w:val="de-DE"/>
        </w:rPr>
        <w:tab/>
        <w:t>2. eine Beschreibung der Rechtsform und Organisationsstruktur der Verwertungs</w:t>
      </w:r>
      <w:r w:rsidRPr="004676F5">
        <w:rPr>
          <w:lang w:val="de-DE"/>
        </w:rPr>
        <w:softHyphen/>
        <w:t>gesellschaft,</w:t>
      </w:r>
    </w:p>
    <w:p w14:paraId="0BAD0473" w14:textId="77777777" w:rsidR="00933CDE" w:rsidRPr="004676F5" w:rsidRDefault="00933CDE" w:rsidP="00933CDE">
      <w:pPr>
        <w:jc w:val="both"/>
        <w:rPr>
          <w:lang w:val="de-DE"/>
        </w:rPr>
      </w:pPr>
    </w:p>
    <w:p w14:paraId="0790698D" w14:textId="77777777" w:rsidR="00933CDE" w:rsidRPr="004676F5" w:rsidRDefault="00933CDE" w:rsidP="00933CDE">
      <w:pPr>
        <w:jc w:val="both"/>
        <w:rPr>
          <w:lang w:val="de-DE"/>
        </w:rPr>
      </w:pPr>
      <w:r w:rsidRPr="004676F5">
        <w:rPr>
          <w:lang w:val="de-DE"/>
        </w:rPr>
        <w:tab/>
        <w:t>3. Angaben zu etwaigen Einrichtungen, die sich direkt oder indirekt, vollständig oder teilweise im Eigentum der Verwertungsgesellschaft befinden oder von dieser direkt oder indirekt, vollständig oder teilweise beherrscht werden,</w:t>
      </w:r>
    </w:p>
    <w:p w14:paraId="4A2DFB6C" w14:textId="77777777" w:rsidR="00933CDE" w:rsidRPr="004676F5" w:rsidRDefault="00933CDE" w:rsidP="00933CDE">
      <w:pPr>
        <w:jc w:val="both"/>
        <w:rPr>
          <w:lang w:val="de-DE"/>
        </w:rPr>
      </w:pPr>
    </w:p>
    <w:p w14:paraId="611336B9" w14:textId="77777777" w:rsidR="00933CDE" w:rsidRPr="004676F5" w:rsidRDefault="00933CDE" w:rsidP="00933CDE">
      <w:pPr>
        <w:jc w:val="both"/>
        <w:rPr>
          <w:lang w:val="de-DE"/>
        </w:rPr>
      </w:pPr>
      <w:r w:rsidRPr="004676F5">
        <w:rPr>
          <w:lang w:val="de-DE"/>
        </w:rPr>
        <w:tab/>
        <w:t>4. Angaben zum Gesamtbetrag der Vergütungen, die im Vorjahr an Personen gezahlt wurden, die die Geschäfte der Verwertungsgesellschaft geführt haben, und zu anderen Leistungen, die sie erhalten haben,</w:t>
      </w:r>
    </w:p>
    <w:p w14:paraId="392744E7" w14:textId="77777777" w:rsidR="00933CDE" w:rsidRPr="004676F5" w:rsidRDefault="00933CDE" w:rsidP="00933CDE">
      <w:pPr>
        <w:jc w:val="both"/>
        <w:rPr>
          <w:lang w:val="de-DE"/>
        </w:rPr>
      </w:pPr>
    </w:p>
    <w:p w14:paraId="328B28C3" w14:textId="77777777" w:rsidR="00933CDE" w:rsidRPr="004676F5" w:rsidRDefault="00933CDE" w:rsidP="00933CDE">
      <w:pPr>
        <w:jc w:val="both"/>
        <w:rPr>
          <w:lang w:val="de-DE"/>
        </w:rPr>
      </w:pPr>
      <w:r w:rsidRPr="004676F5">
        <w:rPr>
          <w:lang w:val="de-DE"/>
        </w:rPr>
        <w:tab/>
        <w:t>5. Gründe für Zahlungsverzögerungen, wenn eine Verwertungsgesellschaft die Verteilung und Ausschüttung von geschuldeten Beträgen nicht innerhalb der in Artikel XI.252 § 1 Absatz 2 genannten Frist vorgenommen hat,</w:t>
      </w:r>
    </w:p>
    <w:p w14:paraId="1FA78853" w14:textId="77777777" w:rsidR="00933CDE" w:rsidRPr="004676F5" w:rsidRDefault="00933CDE" w:rsidP="00933CDE">
      <w:pPr>
        <w:jc w:val="both"/>
        <w:rPr>
          <w:lang w:val="de-DE"/>
        </w:rPr>
      </w:pPr>
    </w:p>
    <w:p w14:paraId="79259690" w14:textId="77777777" w:rsidR="00933CDE" w:rsidRPr="004676F5" w:rsidRDefault="00933CDE" w:rsidP="00933CDE">
      <w:pPr>
        <w:jc w:val="both"/>
        <w:rPr>
          <w:lang w:val="de-DE"/>
        </w:rPr>
      </w:pPr>
      <w:r w:rsidRPr="004676F5">
        <w:rPr>
          <w:lang w:val="de-DE"/>
        </w:rPr>
        <w:tab/>
        <w:t>6. Gesamtsumme der in Artikel XI.254 erwähnten nicht verteilbaren Beträge mit einer Erläuterung zu ihrer Verwendung,</w:t>
      </w:r>
    </w:p>
    <w:p w14:paraId="320E1E48" w14:textId="77777777" w:rsidR="00933CDE" w:rsidRPr="004676F5" w:rsidRDefault="00933CDE" w:rsidP="00933CDE">
      <w:pPr>
        <w:jc w:val="both"/>
        <w:rPr>
          <w:lang w:val="de-DE"/>
        </w:rPr>
      </w:pPr>
    </w:p>
    <w:p w14:paraId="62AC6F52" w14:textId="77777777" w:rsidR="00933CDE" w:rsidRPr="004676F5" w:rsidRDefault="00933CDE" w:rsidP="00933CDE">
      <w:pPr>
        <w:jc w:val="both"/>
        <w:rPr>
          <w:lang w:val="de-DE"/>
        </w:rPr>
      </w:pPr>
      <w:r w:rsidRPr="004676F5">
        <w:rPr>
          <w:lang w:val="de-DE"/>
        </w:rPr>
        <w:tab/>
        <w:t>7. Angaben zu den Beziehungen zu anderen Verwertungsgesellschaften oder Organisationen für die kollektive Rechtewahrnehmung,</w:t>
      </w:r>
    </w:p>
    <w:p w14:paraId="0C377B5A" w14:textId="77777777" w:rsidR="00933CDE" w:rsidRPr="004676F5" w:rsidRDefault="00933CDE" w:rsidP="00933CDE">
      <w:pPr>
        <w:jc w:val="both"/>
        <w:rPr>
          <w:lang w:val="de-DE"/>
        </w:rPr>
      </w:pPr>
    </w:p>
    <w:p w14:paraId="4783E803" w14:textId="77777777" w:rsidR="00933CDE" w:rsidRPr="004676F5" w:rsidRDefault="00933CDE" w:rsidP="00933CDE">
      <w:pPr>
        <w:jc w:val="both"/>
        <w:rPr>
          <w:lang w:val="de-DE"/>
        </w:rPr>
      </w:pPr>
      <w:r w:rsidRPr="004676F5">
        <w:rPr>
          <w:lang w:val="de-DE"/>
        </w:rPr>
        <w:tab/>
        <w:t>8. andere vom König festgelegte Angaben.</w:t>
      </w:r>
    </w:p>
    <w:p w14:paraId="2A689D66" w14:textId="77777777" w:rsidR="00933CDE" w:rsidRPr="004676F5" w:rsidRDefault="00933CDE" w:rsidP="00933CDE">
      <w:pPr>
        <w:jc w:val="both"/>
        <w:rPr>
          <w:lang w:val="de-DE"/>
        </w:rPr>
      </w:pPr>
    </w:p>
    <w:p w14:paraId="0A6B1186" w14:textId="5C60B9E0" w:rsidR="00933CDE" w:rsidRPr="004676F5" w:rsidRDefault="00933CDE" w:rsidP="00933CDE">
      <w:pPr>
        <w:jc w:val="both"/>
        <w:rPr>
          <w:lang w:val="de-DE"/>
        </w:rPr>
      </w:pPr>
      <w:r w:rsidRPr="004676F5">
        <w:rPr>
          <w:lang w:val="de-DE"/>
        </w:rPr>
        <w:lastRenderedPageBreak/>
        <w:tab/>
        <w:t>§ 3 </w:t>
      </w:r>
      <w:r w:rsidR="005B7A5C" w:rsidRPr="004676F5">
        <w:rPr>
          <w:lang w:val="de-DE"/>
        </w:rPr>
        <w:t>- </w:t>
      </w:r>
      <w:r w:rsidRPr="004676F5">
        <w:rPr>
          <w:lang w:val="de-DE"/>
        </w:rPr>
        <w:t>Verwertungsgesellschaften übermitteln dem Kontrolldienst für jedes Geschäftsjahr innerhalb acht Monaten nach dem letzten Tag des betreffenden Geschäftsjahres eine Abschrift ihres in § 1 erwähnten Lageberichts.</w:t>
      </w:r>
    </w:p>
    <w:p w14:paraId="488BEF63" w14:textId="77777777" w:rsidR="00933CDE" w:rsidRPr="004676F5" w:rsidRDefault="00933CDE" w:rsidP="00933CDE">
      <w:pPr>
        <w:jc w:val="both"/>
        <w:rPr>
          <w:lang w:val="de-DE"/>
        </w:rPr>
      </w:pPr>
    </w:p>
    <w:p w14:paraId="3B6B7B29" w14:textId="77777777" w:rsidR="00933CDE" w:rsidRPr="004676F5" w:rsidRDefault="00933CDE" w:rsidP="00933CDE">
      <w:pPr>
        <w:jc w:val="both"/>
        <w:rPr>
          <w:lang w:val="de-DE"/>
        </w:rPr>
      </w:pPr>
      <w:r w:rsidRPr="004676F5">
        <w:rPr>
          <w:lang w:val="de-DE"/>
        </w:rPr>
        <w:tab/>
        <w:t>Innerhalb derselben Frist werden die in § 2 erwähnten Informationen außerdem für eine Mindestdauer von fünf Jahren auf die Website der Verwertungsgesellschaft gestellt an deutlich lesbarer Stelle und mit deutlichen Verweisen im Hauptmenü der Website.</w:t>
      </w:r>
    </w:p>
    <w:p w14:paraId="2560B7B3" w14:textId="77777777" w:rsidR="00933CDE" w:rsidRPr="004676F5" w:rsidRDefault="00933CDE" w:rsidP="00933CDE">
      <w:pPr>
        <w:jc w:val="both"/>
        <w:rPr>
          <w:lang w:val="de-DE"/>
        </w:rPr>
      </w:pPr>
    </w:p>
    <w:p w14:paraId="0A7425C6" w14:textId="562951DA" w:rsidR="00933CDE" w:rsidRPr="004676F5" w:rsidRDefault="00933CDE" w:rsidP="00933CDE">
      <w:pPr>
        <w:jc w:val="both"/>
        <w:rPr>
          <w:lang w:val="de-DE"/>
        </w:rPr>
      </w:pPr>
      <w:r w:rsidRPr="004676F5">
        <w:rPr>
          <w:lang w:val="de-DE"/>
        </w:rPr>
        <w:tab/>
        <w:t>§ 4 </w:t>
      </w:r>
      <w:r w:rsidR="005B7A5C" w:rsidRPr="004676F5">
        <w:rPr>
          <w:lang w:val="de-DE"/>
        </w:rPr>
        <w:t>- </w:t>
      </w:r>
      <w:r w:rsidRPr="004676F5">
        <w:rPr>
          <w:lang w:val="de-DE"/>
        </w:rPr>
        <w:t>Nach Konzertierung mit der Kommission für Buchführungsnormen, dem Institut der Betriebsrevisoren und den Verwertungsgesellschaften, die in dem durch Artikel XI.282 eingesetzten Konzertierungsausschuss vertreten sind, kann der König Modalitäten festlegen, gemäß denen die in § 2 erwähnten Daten anzugeben sind.]</w:t>
      </w:r>
    </w:p>
    <w:p w14:paraId="24D9C4F2" w14:textId="77777777" w:rsidR="00933CDE" w:rsidRPr="004676F5" w:rsidRDefault="00933CDE" w:rsidP="00933CDE">
      <w:pPr>
        <w:jc w:val="both"/>
        <w:rPr>
          <w:lang w:val="de-DE"/>
        </w:rPr>
      </w:pPr>
    </w:p>
    <w:p w14:paraId="51652B3D" w14:textId="0E47BE62" w:rsidR="00933CDE" w:rsidRPr="00B14651" w:rsidRDefault="00933CDE" w:rsidP="00933CDE">
      <w:pPr>
        <w:jc w:val="both"/>
        <w:rPr>
          <w:i/>
          <w:lang w:val="de-DE"/>
        </w:rPr>
      </w:pPr>
      <w:r w:rsidRPr="004676F5">
        <w:rPr>
          <w:i/>
          <w:lang w:val="de-DE"/>
        </w:rPr>
        <w:t>[</w:t>
      </w:r>
      <w:r w:rsidR="00BE0A56" w:rsidRPr="004676F5">
        <w:rPr>
          <w:i/>
          <w:lang w:val="de-DE"/>
        </w:rPr>
        <w:t>Art. </w:t>
      </w:r>
      <w:r w:rsidRPr="004676F5">
        <w:rPr>
          <w:i/>
          <w:lang w:val="de-DE"/>
        </w:rPr>
        <w:t xml:space="preserve">XI.248/6 eingefügt durch </w:t>
      </w:r>
      <w:r w:rsidR="00BE0A56" w:rsidRPr="004676F5">
        <w:rPr>
          <w:i/>
          <w:lang w:val="de-DE"/>
        </w:rPr>
        <w:t>Art. </w:t>
      </w:r>
      <w:r w:rsidRPr="004676F5">
        <w:rPr>
          <w:i/>
          <w:lang w:val="de-DE"/>
        </w:rPr>
        <w:t>33 des G. vom 8. </w:t>
      </w:r>
      <w:r w:rsidRPr="00B14651">
        <w:rPr>
          <w:i/>
          <w:lang w:val="de-DE"/>
        </w:rPr>
        <w:t>Juni 2017 (B.S. vom 27. Juni 2017)]</w:t>
      </w:r>
    </w:p>
    <w:p w14:paraId="3138AD43" w14:textId="77777777" w:rsidR="00933CDE" w:rsidRPr="00B14651" w:rsidRDefault="00933CDE" w:rsidP="00933CDE">
      <w:pPr>
        <w:jc w:val="both"/>
        <w:rPr>
          <w:lang w:val="de-DE"/>
        </w:rPr>
      </w:pPr>
    </w:p>
    <w:p w14:paraId="665B9E9B" w14:textId="77777777" w:rsidR="00933CDE" w:rsidRPr="00B14651" w:rsidRDefault="00933CDE" w:rsidP="00933CDE">
      <w:pPr>
        <w:jc w:val="both"/>
        <w:rPr>
          <w:lang w:val="de-DE"/>
        </w:rPr>
      </w:pPr>
    </w:p>
    <w:p w14:paraId="63E09425" w14:textId="5182013A" w:rsidR="00933CDE" w:rsidRPr="004676F5" w:rsidRDefault="00933CDE" w:rsidP="00933CD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XI.248/7</w:t>
      </w:r>
      <w:r w:rsidRPr="004676F5">
        <w:rPr>
          <w:lang w:val="de-DE"/>
        </w:rPr>
        <w:t> </w:t>
      </w:r>
      <w:r w:rsidR="005B7A5C" w:rsidRPr="004676F5">
        <w:rPr>
          <w:lang w:val="de-DE"/>
        </w:rPr>
        <w:t>- </w:t>
      </w:r>
      <w:r w:rsidRPr="004676F5">
        <w:rPr>
          <w:lang w:val="de-DE"/>
        </w:rPr>
        <w:t>Personen, gegen die ein gerichtliches Verbot besteht wie in den Artikeln 1 bis 3, 3</w:t>
      </w:r>
      <w:r w:rsidRPr="004676F5">
        <w:rPr>
          <w:i/>
          <w:lang w:val="de-DE"/>
        </w:rPr>
        <w:t>bis</w:t>
      </w:r>
      <w:r w:rsidRPr="004676F5">
        <w:rPr>
          <w:lang w:val="de-DE"/>
        </w:rPr>
        <w:t xml:space="preserve"> §§ 1 und 3 und 3</w:t>
      </w:r>
      <w:r w:rsidRPr="004676F5">
        <w:rPr>
          <w:i/>
          <w:lang w:val="de-DE"/>
        </w:rPr>
        <w:t>ter</w:t>
      </w:r>
      <w:r w:rsidRPr="004676F5">
        <w:rPr>
          <w:lang w:val="de-DE"/>
        </w:rPr>
        <w:t xml:space="preserve"> des Königlichen Erlasses Nr. 22 vom 24. Okto</w:t>
      </w:r>
      <w:r w:rsidRPr="004676F5">
        <w:rPr>
          <w:lang w:val="de-DE"/>
        </w:rPr>
        <w:softHyphen/>
        <w:t>ber 1934 über das für bestimmte Verurteilte und für Konkursschuldner geltende gerichtliche Verbot, bestimmte Ämter, Berufe oder Tätigkeiten auszuüben erwähnt, dürfen in einer Verwertungsgesellschaft weder tatsächlich noch in rechtlicher Hinsicht das Amt als Geschäftsführer, Verwalter, mit der Verwaltung der belgischen Zweigstelle einer Organisation für die kollektive Rechtewahrnehmung beauftragte Person oder Direktor ausüben oder Gesellschaften, die solche Ämter ausüben, vertreten.</w:t>
      </w:r>
    </w:p>
    <w:p w14:paraId="39A0489A" w14:textId="77777777" w:rsidR="00933CDE" w:rsidRPr="004676F5" w:rsidRDefault="00933CDE" w:rsidP="00933CDE">
      <w:pPr>
        <w:jc w:val="both"/>
        <w:rPr>
          <w:lang w:val="de-DE"/>
        </w:rPr>
      </w:pPr>
    </w:p>
    <w:p w14:paraId="550E0AC5" w14:textId="77777777" w:rsidR="00933CDE" w:rsidRPr="004676F5" w:rsidRDefault="00933CDE" w:rsidP="00933CDE">
      <w:pPr>
        <w:jc w:val="both"/>
        <w:rPr>
          <w:lang w:val="de-DE"/>
        </w:rPr>
      </w:pPr>
      <w:r w:rsidRPr="004676F5">
        <w:rPr>
          <w:lang w:val="de-DE"/>
        </w:rPr>
        <w:tab/>
        <w:t>In Absatz 1 aufgezählte Ämter dürfen ebenso wenig ausgeübt werden von:</w:t>
      </w:r>
    </w:p>
    <w:p w14:paraId="16C004B5" w14:textId="77777777" w:rsidR="00933CDE" w:rsidRPr="004676F5" w:rsidRDefault="00933CDE" w:rsidP="00933CDE">
      <w:pPr>
        <w:jc w:val="both"/>
        <w:rPr>
          <w:lang w:val="de-DE"/>
        </w:rPr>
      </w:pPr>
    </w:p>
    <w:p w14:paraId="5F813EC3" w14:textId="77777777" w:rsidR="00933CDE" w:rsidRPr="004676F5" w:rsidRDefault="00933CDE" w:rsidP="00933CDE">
      <w:pPr>
        <w:jc w:val="both"/>
        <w:rPr>
          <w:lang w:val="de-DE"/>
        </w:rPr>
      </w:pPr>
      <w:r w:rsidRPr="004676F5">
        <w:rPr>
          <w:lang w:val="de-DE"/>
        </w:rPr>
        <w:tab/>
        <w:t>1. Personen, die zu einer Gefängnisstrafe von weniger als drei Monaten oder zu einer Geldbuße für eine Straftat verurteilt worden sind, die im vorerwähnten Königlichen Erlass Nr. 22 vom 24. Oktober 1934 vorgesehen ist,</w:t>
      </w:r>
    </w:p>
    <w:p w14:paraId="7C51A2B7" w14:textId="77777777" w:rsidR="00933CDE" w:rsidRPr="004676F5" w:rsidRDefault="00933CDE" w:rsidP="00933CDE">
      <w:pPr>
        <w:jc w:val="both"/>
        <w:rPr>
          <w:lang w:val="de-DE"/>
        </w:rPr>
      </w:pPr>
    </w:p>
    <w:p w14:paraId="62DC4B8D" w14:textId="77777777" w:rsidR="00933CDE" w:rsidRPr="004676F5" w:rsidRDefault="00933CDE" w:rsidP="00933CDE">
      <w:pPr>
        <w:jc w:val="both"/>
        <w:rPr>
          <w:lang w:val="de-DE"/>
        </w:rPr>
      </w:pPr>
      <w:r w:rsidRPr="004676F5">
        <w:rPr>
          <w:lang w:val="de-DE"/>
        </w:rPr>
        <w:tab/>
        <w:t>2. Personen, die strafrechtlich verurteilt worden sind wegen Verstoß gegen:</w:t>
      </w:r>
    </w:p>
    <w:p w14:paraId="384B50D7" w14:textId="77777777" w:rsidR="00933CDE" w:rsidRPr="004676F5" w:rsidRDefault="00933CDE" w:rsidP="00933CDE">
      <w:pPr>
        <w:jc w:val="both"/>
        <w:rPr>
          <w:lang w:val="de-DE"/>
        </w:rPr>
      </w:pPr>
    </w:p>
    <w:p w14:paraId="3C69222B" w14:textId="77777777" w:rsidR="00933CDE" w:rsidRPr="004676F5" w:rsidRDefault="00933CDE" w:rsidP="00933CDE">
      <w:pPr>
        <w:jc w:val="both"/>
        <w:rPr>
          <w:lang w:val="de-DE"/>
        </w:rPr>
      </w:pPr>
      <w:r w:rsidRPr="004676F5">
        <w:rPr>
          <w:lang w:val="de-DE"/>
        </w:rPr>
        <w:tab/>
      </w:r>
      <w:r w:rsidRPr="004676F5">
        <w:rPr>
          <w:i/>
          <w:lang w:val="de-DE"/>
        </w:rPr>
        <w:t>a)</w:t>
      </w:r>
      <w:r w:rsidRPr="004676F5">
        <w:rPr>
          <w:lang w:val="de-DE"/>
        </w:rPr>
        <w:t> die Artikel 148 und 149 des Gesetzes vom 6. April 1995 über den Status und die Kontrolle von Investmentgesellschaften,</w:t>
      </w:r>
    </w:p>
    <w:p w14:paraId="2850B233" w14:textId="77777777" w:rsidR="00933CDE" w:rsidRPr="004676F5" w:rsidRDefault="00933CDE" w:rsidP="00933CDE">
      <w:pPr>
        <w:jc w:val="both"/>
        <w:rPr>
          <w:lang w:val="de-DE"/>
        </w:rPr>
      </w:pPr>
    </w:p>
    <w:p w14:paraId="3AD11B8E" w14:textId="77777777" w:rsidR="00933CDE" w:rsidRPr="004676F5" w:rsidRDefault="00933CDE" w:rsidP="00933CDE">
      <w:pPr>
        <w:jc w:val="both"/>
        <w:rPr>
          <w:lang w:val="de-DE"/>
        </w:rPr>
      </w:pPr>
      <w:r w:rsidRPr="004676F5">
        <w:rPr>
          <w:lang w:val="de-DE"/>
        </w:rPr>
        <w:tab/>
      </w:r>
      <w:r w:rsidRPr="004676F5">
        <w:rPr>
          <w:i/>
          <w:lang w:val="de-DE"/>
        </w:rPr>
        <w:t>b)</w:t>
      </w:r>
      <w:r w:rsidRPr="004676F5">
        <w:rPr>
          <w:lang w:val="de-DE"/>
        </w:rPr>
        <w:t> die Artikel 104 und 105 des Gesetzes vom 22. März 1993 über den Status und die Kontrolle der Kreditinstitute,</w:t>
      </w:r>
    </w:p>
    <w:p w14:paraId="031AE5F0" w14:textId="77777777" w:rsidR="00933CDE" w:rsidRPr="004676F5" w:rsidRDefault="00933CDE" w:rsidP="00933CDE">
      <w:pPr>
        <w:jc w:val="both"/>
        <w:rPr>
          <w:lang w:val="de-DE"/>
        </w:rPr>
      </w:pPr>
    </w:p>
    <w:p w14:paraId="39F3E960" w14:textId="77777777" w:rsidR="00933CDE" w:rsidRPr="004676F5" w:rsidRDefault="00933CDE" w:rsidP="00933CDE">
      <w:pPr>
        <w:jc w:val="both"/>
        <w:rPr>
          <w:lang w:val="de-DE"/>
        </w:rPr>
      </w:pPr>
      <w:r w:rsidRPr="004676F5">
        <w:rPr>
          <w:lang w:val="de-DE"/>
        </w:rPr>
        <w:tab/>
      </w:r>
      <w:r w:rsidRPr="004676F5">
        <w:rPr>
          <w:i/>
          <w:lang w:val="de-DE"/>
        </w:rPr>
        <w:t>c)</w:t>
      </w:r>
      <w:r w:rsidRPr="004676F5">
        <w:rPr>
          <w:lang w:val="de-DE"/>
        </w:rPr>
        <w:t> die Artikel 38 Absatz 4 und 42 bis 45 des Königlichen Erlasses Nr. 185 vom 9. Juli 1935 über die Bankenaufsicht und die Regelung der Ausgabe von Wertpapieren und Effekten,</w:t>
      </w:r>
    </w:p>
    <w:p w14:paraId="5D4CE2C4" w14:textId="77777777" w:rsidR="00933CDE" w:rsidRPr="004676F5" w:rsidRDefault="00933CDE" w:rsidP="00933CDE">
      <w:pPr>
        <w:jc w:val="both"/>
        <w:rPr>
          <w:lang w:val="de-DE"/>
        </w:rPr>
      </w:pPr>
    </w:p>
    <w:p w14:paraId="69A45058" w14:textId="77777777" w:rsidR="00933CDE" w:rsidRPr="004676F5" w:rsidRDefault="00933CDE" w:rsidP="00933CDE">
      <w:pPr>
        <w:jc w:val="both"/>
        <w:rPr>
          <w:lang w:val="de-DE"/>
        </w:rPr>
      </w:pPr>
      <w:r w:rsidRPr="004676F5">
        <w:rPr>
          <w:lang w:val="de-DE"/>
        </w:rPr>
        <w:tab/>
      </w:r>
      <w:r w:rsidRPr="004676F5">
        <w:rPr>
          <w:i/>
          <w:lang w:val="de-DE"/>
        </w:rPr>
        <w:t>d)</w:t>
      </w:r>
      <w:r w:rsidRPr="004676F5">
        <w:rPr>
          <w:lang w:val="de-DE"/>
        </w:rPr>
        <w:t xml:space="preserve"> die Artikel 31 bis 35 der Bestimmungen über die Kontrolle der privaten Sparkassen, koordiniert am 23. Juni 1962,</w:t>
      </w:r>
    </w:p>
    <w:p w14:paraId="5FAB2352" w14:textId="77777777" w:rsidR="00933CDE" w:rsidRPr="004676F5" w:rsidRDefault="00933CDE" w:rsidP="00933CDE">
      <w:pPr>
        <w:jc w:val="both"/>
        <w:rPr>
          <w:lang w:val="de-DE"/>
        </w:rPr>
      </w:pPr>
    </w:p>
    <w:p w14:paraId="4376FB72" w14:textId="77777777" w:rsidR="00933CDE" w:rsidRPr="004676F5" w:rsidRDefault="00933CDE" w:rsidP="00933CDE">
      <w:pPr>
        <w:jc w:val="both"/>
        <w:rPr>
          <w:lang w:val="de-DE"/>
        </w:rPr>
      </w:pPr>
      <w:r w:rsidRPr="004676F5">
        <w:rPr>
          <w:lang w:val="de-DE"/>
        </w:rPr>
        <w:tab/>
      </w:r>
      <w:r w:rsidRPr="004676F5">
        <w:rPr>
          <w:i/>
          <w:lang w:val="de-DE"/>
        </w:rPr>
        <w:t>e)</w:t>
      </w:r>
      <w:r w:rsidRPr="004676F5">
        <w:rPr>
          <w:lang w:val="de-DE"/>
        </w:rPr>
        <w:t> die Artikel 13 bis 16 des Gesetzes vom 10. Juni 1964 über die öffentliche Aufforderung zur Zeichnung,</w:t>
      </w:r>
    </w:p>
    <w:p w14:paraId="46992B84" w14:textId="77777777" w:rsidR="00933CDE" w:rsidRPr="004676F5" w:rsidRDefault="00933CDE" w:rsidP="00933CDE">
      <w:pPr>
        <w:jc w:val="both"/>
        <w:rPr>
          <w:lang w:val="de-DE"/>
        </w:rPr>
      </w:pPr>
    </w:p>
    <w:p w14:paraId="7D273E64" w14:textId="77777777" w:rsidR="00933CDE" w:rsidRPr="004676F5" w:rsidRDefault="00933CDE" w:rsidP="00933CDE">
      <w:pPr>
        <w:jc w:val="both"/>
        <w:rPr>
          <w:lang w:val="de-DE"/>
        </w:rPr>
      </w:pPr>
      <w:r w:rsidRPr="004676F5">
        <w:rPr>
          <w:lang w:val="de-DE"/>
        </w:rPr>
        <w:tab/>
      </w:r>
      <w:r w:rsidRPr="004676F5">
        <w:rPr>
          <w:i/>
          <w:lang w:val="de-DE"/>
        </w:rPr>
        <w:t>f)</w:t>
      </w:r>
      <w:r w:rsidRPr="004676F5">
        <w:rPr>
          <w:lang w:val="de-DE"/>
        </w:rPr>
        <w:t> die Artikel 110 bis 112</w:t>
      </w:r>
      <w:r w:rsidRPr="004676F5">
        <w:rPr>
          <w:i/>
          <w:lang w:val="de-DE"/>
        </w:rPr>
        <w:t>ter</w:t>
      </w:r>
      <w:r w:rsidRPr="004676F5">
        <w:rPr>
          <w:lang w:val="de-DE"/>
        </w:rPr>
        <w:t xml:space="preserve"> von Buch I Titel V des Handelsgesetzbuches oder die Artikel 75, 76, 78, 150, 175, 176, 213 und 214 des Gesetzes vom 4. Dezember 1990 über die Geldgeschäfte und die Finanzmärkte,</w:t>
      </w:r>
    </w:p>
    <w:p w14:paraId="6591818E" w14:textId="77777777" w:rsidR="00933CDE" w:rsidRPr="004676F5" w:rsidRDefault="00933CDE" w:rsidP="00933CDE">
      <w:pPr>
        <w:jc w:val="both"/>
        <w:rPr>
          <w:lang w:val="de-DE"/>
        </w:rPr>
      </w:pPr>
    </w:p>
    <w:p w14:paraId="1A240EE9" w14:textId="77777777" w:rsidR="00933CDE" w:rsidRPr="004676F5" w:rsidRDefault="00933CDE" w:rsidP="00933CDE">
      <w:pPr>
        <w:jc w:val="both"/>
        <w:rPr>
          <w:lang w:val="de-DE"/>
        </w:rPr>
      </w:pPr>
      <w:r w:rsidRPr="004676F5">
        <w:rPr>
          <w:lang w:val="de-DE"/>
        </w:rPr>
        <w:tab/>
      </w:r>
      <w:r w:rsidRPr="004676F5">
        <w:rPr>
          <w:i/>
          <w:lang w:val="de-DE"/>
        </w:rPr>
        <w:t>g)</w:t>
      </w:r>
      <w:r w:rsidRPr="004676F5">
        <w:rPr>
          <w:lang w:val="de-DE"/>
        </w:rPr>
        <w:t> Artikel 4 des Königlichen Erlasses Nr. 41 vom 15. Dezember 1934 zum Schutz der Ersparnisse durch Regelung des Teilzahlungsverkaufs von verlosbaren Effekten,</w:t>
      </w:r>
    </w:p>
    <w:p w14:paraId="745CD0D1" w14:textId="77777777" w:rsidR="00933CDE" w:rsidRPr="004676F5" w:rsidRDefault="00933CDE" w:rsidP="00933CDE">
      <w:pPr>
        <w:jc w:val="both"/>
        <w:rPr>
          <w:lang w:val="de-DE"/>
        </w:rPr>
      </w:pPr>
    </w:p>
    <w:p w14:paraId="27C3C967" w14:textId="77777777" w:rsidR="00933CDE" w:rsidRPr="004676F5" w:rsidRDefault="00933CDE" w:rsidP="00933CDE">
      <w:pPr>
        <w:jc w:val="both"/>
        <w:rPr>
          <w:lang w:val="de-DE"/>
        </w:rPr>
      </w:pPr>
      <w:r w:rsidRPr="004676F5">
        <w:rPr>
          <w:lang w:val="de-DE"/>
        </w:rPr>
        <w:tab/>
      </w:r>
      <w:r w:rsidRPr="004676F5">
        <w:rPr>
          <w:i/>
          <w:lang w:val="de-DE"/>
        </w:rPr>
        <w:t>h)</w:t>
      </w:r>
      <w:r w:rsidRPr="004676F5">
        <w:rPr>
          <w:lang w:val="de-DE"/>
        </w:rPr>
        <w:t> die Artikel 18 bis 23 des Königlichen Erlasses Nr. 43 vom 15. Dezember 1934 über die Kontrolle der Kapitalisierungsgesellschaften,</w:t>
      </w:r>
    </w:p>
    <w:p w14:paraId="1D12486A" w14:textId="77777777" w:rsidR="00933CDE" w:rsidRPr="004676F5" w:rsidRDefault="00933CDE" w:rsidP="00933CDE">
      <w:pPr>
        <w:jc w:val="both"/>
        <w:rPr>
          <w:lang w:val="de-DE"/>
        </w:rPr>
      </w:pPr>
    </w:p>
    <w:p w14:paraId="6170D5BC" w14:textId="77777777" w:rsidR="00933CDE" w:rsidRPr="004676F5" w:rsidRDefault="00933CDE" w:rsidP="00933CDE">
      <w:pPr>
        <w:jc w:val="both"/>
        <w:rPr>
          <w:lang w:val="de-DE"/>
        </w:rPr>
      </w:pPr>
      <w:r w:rsidRPr="004676F5">
        <w:rPr>
          <w:lang w:val="de-DE"/>
        </w:rPr>
        <w:tab/>
      </w:r>
      <w:r w:rsidRPr="004676F5">
        <w:rPr>
          <w:i/>
          <w:lang w:val="de-DE"/>
        </w:rPr>
        <w:t>i)</w:t>
      </w:r>
      <w:r w:rsidRPr="004676F5">
        <w:rPr>
          <w:lang w:val="de-DE"/>
        </w:rPr>
        <w:t> die Artikel 200 bis 209 der Gesetze über die Handelsgesellschaften, koordiniert am 30. November 1935,</w:t>
      </w:r>
    </w:p>
    <w:p w14:paraId="40C47539" w14:textId="77777777" w:rsidR="00933CDE" w:rsidRPr="004676F5" w:rsidRDefault="00933CDE" w:rsidP="00933CDE">
      <w:pPr>
        <w:jc w:val="both"/>
        <w:rPr>
          <w:lang w:val="de-DE"/>
        </w:rPr>
      </w:pPr>
    </w:p>
    <w:p w14:paraId="4BD1E313" w14:textId="77777777" w:rsidR="00933CDE" w:rsidRPr="004676F5" w:rsidRDefault="00933CDE" w:rsidP="00933CDE">
      <w:pPr>
        <w:jc w:val="both"/>
        <w:rPr>
          <w:lang w:val="de-DE"/>
        </w:rPr>
      </w:pPr>
      <w:r w:rsidRPr="004676F5">
        <w:rPr>
          <w:lang w:val="de-DE"/>
        </w:rPr>
        <w:tab/>
      </w:r>
      <w:r w:rsidRPr="004676F5">
        <w:rPr>
          <w:i/>
          <w:lang w:val="de-DE"/>
        </w:rPr>
        <w:t>j)</w:t>
      </w:r>
      <w:r w:rsidRPr="004676F5">
        <w:rPr>
          <w:lang w:val="de-DE"/>
        </w:rPr>
        <w:t> die Artikel 67 bis 72 des Königlichen Erlasses Nr. 225 vom 7. Januar 1936 zur Regelung der Hypothekendarlehen und zur Einführung der Kontrolle der Unternehmen für Hypothekendarlehen oder Artikel 34 des Gesetzes vom 4. August 1992 über den Hypothekar</w:t>
      </w:r>
      <w:r w:rsidRPr="004676F5">
        <w:rPr>
          <w:lang w:val="de-DE"/>
        </w:rPr>
        <w:softHyphen/>
        <w:t>kredit,</w:t>
      </w:r>
    </w:p>
    <w:p w14:paraId="4E0121CC" w14:textId="77777777" w:rsidR="00933CDE" w:rsidRPr="004676F5" w:rsidRDefault="00933CDE" w:rsidP="00933CDE">
      <w:pPr>
        <w:jc w:val="both"/>
        <w:rPr>
          <w:lang w:val="de-DE"/>
        </w:rPr>
      </w:pPr>
    </w:p>
    <w:p w14:paraId="1C7A7D68" w14:textId="77777777" w:rsidR="00933CDE" w:rsidRPr="004676F5" w:rsidRDefault="00933CDE" w:rsidP="00933CDE">
      <w:pPr>
        <w:jc w:val="both"/>
        <w:rPr>
          <w:lang w:val="de-DE"/>
        </w:rPr>
      </w:pPr>
      <w:r w:rsidRPr="004676F5">
        <w:rPr>
          <w:lang w:val="de-DE"/>
        </w:rPr>
        <w:tab/>
      </w:r>
      <w:r w:rsidRPr="004676F5">
        <w:rPr>
          <w:i/>
          <w:lang w:val="de-DE"/>
        </w:rPr>
        <w:t>k)</w:t>
      </w:r>
      <w:r w:rsidRPr="004676F5">
        <w:rPr>
          <w:lang w:val="de-DE"/>
        </w:rPr>
        <w:t> die Artikel 4 und 5 des Königlichen Erlasses Nr. 71 vom 30. November 1939 über den Hausierhandel mit Wertpapieren und die Kundenwerbung für Wertpapiere, Güter und Waren,</w:t>
      </w:r>
    </w:p>
    <w:p w14:paraId="2229C0A5" w14:textId="77777777" w:rsidR="00933CDE" w:rsidRPr="004676F5" w:rsidRDefault="00933CDE" w:rsidP="00933CDE">
      <w:pPr>
        <w:jc w:val="both"/>
        <w:rPr>
          <w:lang w:val="de-DE"/>
        </w:rPr>
      </w:pPr>
    </w:p>
    <w:p w14:paraId="36D046D2" w14:textId="77777777" w:rsidR="00933CDE" w:rsidRPr="004676F5" w:rsidRDefault="00933CDE" w:rsidP="00933CDE">
      <w:pPr>
        <w:jc w:val="both"/>
        <w:rPr>
          <w:lang w:val="de-DE"/>
        </w:rPr>
      </w:pPr>
      <w:r w:rsidRPr="004676F5">
        <w:rPr>
          <w:lang w:val="de-DE"/>
        </w:rPr>
        <w:tab/>
      </w:r>
      <w:r w:rsidRPr="004676F5">
        <w:rPr>
          <w:i/>
          <w:lang w:val="de-DE"/>
        </w:rPr>
        <w:t>l)</w:t>
      </w:r>
      <w:r w:rsidRPr="004676F5">
        <w:rPr>
          <w:lang w:val="de-DE"/>
        </w:rPr>
        <w:t> Artikel 31 des Königlichen Erlasses Nr. 72 vom 30. November 1939 zur Regelung der Börsen und Termingeschäfte in Waren und Lebensmitteln, des Berufs der Makler und Zwischenpersonen, die sich um diese Geschäfte kümmern, und der Regelung des Spielein</w:t>
      </w:r>
      <w:r w:rsidRPr="004676F5">
        <w:rPr>
          <w:lang w:val="de-DE"/>
        </w:rPr>
        <w:softHyphen/>
        <w:t>wands,</w:t>
      </w:r>
    </w:p>
    <w:p w14:paraId="6F39A7B3" w14:textId="77777777" w:rsidR="00933CDE" w:rsidRPr="004676F5" w:rsidRDefault="00933CDE" w:rsidP="00933CDE">
      <w:pPr>
        <w:jc w:val="both"/>
        <w:rPr>
          <w:lang w:val="de-DE"/>
        </w:rPr>
      </w:pPr>
    </w:p>
    <w:p w14:paraId="11E36DD3" w14:textId="77777777" w:rsidR="00933CDE" w:rsidRPr="004676F5" w:rsidRDefault="00933CDE" w:rsidP="00933CDE">
      <w:pPr>
        <w:jc w:val="both"/>
        <w:rPr>
          <w:lang w:val="de-DE"/>
        </w:rPr>
      </w:pPr>
      <w:r w:rsidRPr="004676F5">
        <w:rPr>
          <w:lang w:val="de-DE"/>
        </w:rPr>
        <w:tab/>
      </w:r>
      <w:r w:rsidRPr="004676F5">
        <w:rPr>
          <w:i/>
          <w:lang w:val="de-DE"/>
        </w:rPr>
        <w:t>m)</w:t>
      </w:r>
      <w:r w:rsidRPr="004676F5">
        <w:rPr>
          <w:lang w:val="de-DE"/>
        </w:rPr>
        <w:t> Artikel 29 des Gesetzes vom 9. Juli 1957 zur Regelung der Teilzahlungsverkäufe und deren Finanzierung oder die Artikel 101 und 102 des Gesetzes vom 12. Juni 1991 über den Verbraucherkredit,</w:t>
      </w:r>
    </w:p>
    <w:p w14:paraId="5CF8EB6D" w14:textId="77777777" w:rsidR="00933CDE" w:rsidRPr="004676F5" w:rsidRDefault="00933CDE" w:rsidP="00933CDE">
      <w:pPr>
        <w:jc w:val="both"/>
        <w:rPr>
          <w:lang w:val="de-DE"/>
        </w:rPr>
      </w:pPr>
    </w:p>
    <w:p w14:paraId="546CA224" w14:textId="77777777" w:rsidR="00933CDE" w:rsidRPr="004676F5" w:rsidRDefault="00933CDE" w:rsidP="00933CDE">
      <w:pPr>
        <w:jc w:val="both"/>
        <w:rPr>
          <w:lang w:val="de-DE"/>
        </w:rPr>
      </w:pPr>
      <w:r w:rsidRPr="004676F5">
        <w:rPr>
          <w:lang w:val="de-DE"/>
        </w:rPr>
        <w:tab/>
      </w:r>
      <w:r w:rsidRPr="004676F5">
        <w:rPr>
          <w:i/>
          <w:lang w:val="de-DE"/>
        </w:rPr>
        <w:t>n)</w:t>
      </w:r>
      <w:r w:rsidRPr="004676F5">
        <w:rPr>
          <w:lang w:val="de-DE"/>
        </w:rPr>
        <w:t> Artikel 11 des Königlichen Erlasses Nr. 64 vom 10. November 1967 zur Regelung des Status der Kapitalanlagegesellschaften,</w:t>
      </w:r>
    </w:p>
    <w:p w14:paraId="66952E58" w14:textId="77777777" w:rsidR="00933CDE" w:rsidRPr="004676F5" w:rsidRDefault="00933CDE" w:rsidP="00933CDE">
      <w:pPr>
        <w:jc w:val="both"/>
        <w:rPr>
          <w:lang w:val="de-DE"/>
        </w:rPr>
      </w:pPr>
    </w:p>
    <w:p w14:paraId="041FDC0F" w14:textId="77777777" w:rsidR="00933CDE" w:rsidRPr="004676F5" w:rsidRDefault="00933CDE" w:rsidP="00933CDE">
      <w:pPr>
        <w:jc w:val="both"/>
        <w:rPr>
          <w:lang w:val="de-DE"/>
        </w:rPr>
      </w:pPr>
      <w:r w:rsidRPr="004676F5">
        <w:rPr>
          <w:lang w:val="de-DE"/>
        </w:rPr>
        <w:tab/>
      </w:r>
      <w:r w:rsidRPr="004676F5">
        <w:rPr>
          <w:i/>
          <w:lang w:val="de-DE"/>
        </w:rPr>
        <w:t>o)</w:t>
      </w:r>
      <w:r w:rsidRPr="004676F5">
        <w:rPr>
          <w:lang w:val="de-DE"/>
        </w:rPr>
        <w:t> die Artikel 53 bis 57 des Gesetzes vom 9. Juli 1975 über die Kontrolle der Versiche</w:t>
      </w:r>
      <w:r w:rsidRPr="004676F5">
        <w:rPr>
          <w:lang w:val="de-DE"/>
        </w:rPr>
        <w:softHyphen/>
        <w:t>rungs</w:t>
      </w:r>
      <w:r w:rsidRPr="004676F5">
        <w:rPr>
          <w:lang w:val="de-DE"/>
        </w:rPr>
        <w:softHyphen/>
        <w:t>unternehmen,</w:t>
      </w:r>
    </w:p>
    <w:p w14:paraId="5549E91D" w14:textId="77777777" w:rsidR="00933CDE" w:rsidRPr="004676F5" w:rsidRDefault="00933CDE" w:rsidP="00933CDE">
      <w:pPr>
        <w:jc w:val="both"/>
        <w:rPr>
          <w:lang w:val="de-DE"/>
        </w:rPr>
      </w:pPr>
    </w:p>
    <w:p w14:paraId="0F80EA2F" w14:textId="77777777" w:rsidR="00933CDE" w:rsidRPr="004676F5" w:rsidRDefault="00933CDE" w:rsidP="00933CDE">
      <w:pPr>
        <w:jc w:val="both"/>
        <w:rPr>
          <w:lang w:val="de-DE"/>
        </w:rPr>
      </w:pPr>
      <w:r w:rsidRPr="004676F5">
        <w:rPr>
          <w:lang w:val="de-DE"/>
        </w:rPr>
        <w:tab/>
      </w:r>
      <w:r w:rsidRPr="004676F5">
        <w:rPr>
          <w:i/>
          <w:lang w:val="de-DE"/>
        </w:rPr>
        <w:t>p)</w:t>
      </w:r>
      <w:r w:rsidRPr="004676F5">
        <w:rPr>
          <w:lang w:val="de-DE"/>
        </w:rPr>
        <w:t> die Artikel 11, 15 § 4 und 18 des Gesetzes vom 2. März 1989 über die Offenlegung bedeutender Beteiligungen an Gesellschaften, die an der Börse notiert sind, und zur Regelung der öffentlichen Übernahmeangebote,</w:t>
      </w:r>
    </w:p>
    <w:p w14:paraId="5FA4CF16" w14:textId="77777777" w:rsidR="00933CDE" w:rsidRPr="004676F5" w:rsidRDefault="00933CDE" w:rsidP="00933CDE">
      <w:pPr>
        <w:jc w:val="both"/>
        <w:rPr>
          <w:lang w:val="de-DE"/>
        </w:rPr>
      </w:pPr>
    </w:p>
    <w:p w14:paraId="50A959CE" w14:textId="77777777" w:rsidR="00933CDE" w:rsidRPr="004676F5" w:rsidRDefault="00933CDE" w:rsidP="00933CDE">
      <w:pPr>
        <w:jc w:val="both"/>
        <w:rPr>
          <w:lang w:val="de-DE"/>
        </w:rPr>
      </w:pPr>
      <w:r w:rsidRPr="004676F5">
        <w:rPr>
          <w:lang w:val="de-DE"/>
        </w:rPr>
        <w:tab/>
      </w:r>
      <w:r w:rsidRPr="004676F5">
        <w:rPr>
          <w:i/>
          <w:lang w:val="de-DE"/>
        </w:rPr>
        <w:t>q)</w:t>
      </w:r>
      <w:r w:rsidRPr="004676F5">
        <w:rPr>
          <w:lang w:val="de-DE"/>
        </w:rPr>
        <w:t> Artikel 139 des Gesetzes vom 25. Juni 1992 über den Landversicherungsvertrag,</w:t>
      </w:r>
    </w:p>
    <w:p w14:paraId="0BE7135F" w14:textId="77777777" w:rsidR="00933CDE" w:rsidRPr="004676F5" w:rsidRDefault="00933CDE" w:rsidP="00933CDE">
      <w:pPr>
        <w:jc w:val="both"/>
        <w:rPr>
          <w:lang w:val="de-DE"/>
        </w:rPr>
      </w:pPr>
    </w:p>
    <w:p w14:paraId="3ADEEDB1" w14:textId="77777777" w:rsidR="00933CDE" w:rsidRPr="004676F5" w:rsidRDefault="00933CDE" w:rsidP="00933CDE">
      <w:pPr>
        <w:jc w:val="both"/>
        <w:rPr>
          <w:lang w:val="de-DE"/>
        </w:rPr>
      </w:pPr>
      <w:r w:rsidRPr="004676F5">
        <w:rPr>
          <w:lang w:val="de-DE"/>
        </w:rPr>
        <w:tab/>
      </w:r>
      <w:r w:rsidRPr="004676F5">
        <w:rPr>
          <w:i/>
          <w:lang w:val="de-DE"/>
        </w:rPr>
        <w:t>r)</w:t>
      </w:r>
      <w:r w:rsidRPr="004676F5">
        <w:rPr>
          <w:lang w:val="de-DE"/>
        </w:rPr>
        <w:t> die Artikel XI.293, XI.303 und XI.304,</w:t>
      </w:r>
    </w:p>
    <w:p w14:paraId="15517266" w14:textId="77777777" w:rsidR="00933CDE" w:rsidRPr="004676F5" w:rsidRDefault="00933CDE" w:rsidP="00933CDE">
      <w:pPr>
        <w:jc w:val="both"/>
        <w:rPr>
          <w:lang w:val="de-DE"/>
        </w:rPr>
      </w:pPr>
    </w:p>
    <w:p w14:paraId="709E7763" w14:textId="77777777" w:rsidR="00933CDE" w:rsidRPr="004676F5" w:rsidRDefault="00933CDE" w:rsidP="00933CDE">
      <w:pPr>
        <w:jc w:val="both"/>
        <w:rPr>
          <w:lang w:val="de-DE"/>
        </w:rPr>
      </w:pPr>
      <w:r w:rsidRPr="004676F5">
        <w:rPr>
          <w:lang w:val="de-DE"/>
        </w:rPr>
        <w:tab/>
        <w:t>3. Personen, die von einem ausländischen Gericht für eine der in Nr. 1 und 2 bestimmten Straftaten verurteilt worden sind; Artikel 2 des vorerwähnten Königlichen Erlasses Nr. 22 vom 24. Oktober 1934 ist in diesen Fällen anwendbar.</w:t>
      </w:r>
    </w:p>
    <w:p w14:paraId="0A5703FC" w14:textId="77777777" w:rsidR="00933CDE" w:rsidRPr="004676F5" w:rsidRDefault="00933CDE" w:rsidP="00933CDE">
      <w:pPr>
        <w:jc w:val="both"/>
        <w:rPr>
          <w:lang w:val="de-DE"/>
        </w:rPr>
      </w:pPr>
    </w:p>
    <w:p w14:paraId="47408721" w14:textId="77777777" w:rsidR="00933CDE" w:rsidRPr="004676F5" w:rsidRDefault="00933CDE" w:rsidP="00933CDE">
      <w:pPr>
        <w:jc w:val="both"/>
        <w:rPr>
          <w:lang w:val="de-DE"/>
        </w:rPr>
      </w:pPr>
      <w:r w:rsidRPr="004676F5">
        <w:rPr>
          <w:lang w:val="de-DE"/>
        </w:rPr>
        <w:tab/>
        <w:t>Der König kann die Bestimmungen des vorliegenden Artikels anpassen, um sie mit Gesetzen, die die darin aufgezählten Texte abändern, in Einklang zu bringen.]</w:t>
      </w:r>
    </w:p>
    <w:p w14:paraId="118CD9C1" w14:textId="77777777" w:rsidR="00933CDE" w:rsidRPr="004676F5" w:rsidRDefault="00933CDE" w:rsidP="00933CDE">
      <w:pPr>
        <w:jc w:val="both"/>
        <w:rPr>
          <w:lang w:val="de-DE"/>
        </w:rPr>
      </w:pPr>
    </w:p>
    <w:p w14:paraId="638A6FA4" w14:textId="3A01316A" w:rsidR="00933CDE" w:rsidRPr="00B14651" w:rsidRDefault="00933CDE" w:rsidP="00933CDE">
      <w:pPr>
        <w:jc w:val="both"/>
        <w:rPr>
          <w:i/>
          <w:lang w:val="de-DE"/>
        </w:rPr>
      </w:pPr>
      <w:r w:rsidRPr="004676F5">
        <w:rPr>
          <w:i/>
          <w:lang w:val="de-DE"/>
        </w:rPr>
        <w:t>[</w:t>
      </w:r>
      <w:r w:rsidR="00BE0A56" w:rsidRPr="004676F5">
        <w:rPr>
          <w:i/>
          <w:lang w:val="de-DE"/>
        </w:rPr>
        <w:t>Art. </w:t>
      </w:r>
      <w:r w:rsidRPr="004676F5">
        <w:rPr>
          <w:i/>
          <w:lang w:val="de-DE"/>
        </w:rPr>
        <w:t xml:space="preserve">XI.248/7 eingefügt durch </w:t>
      </w:r>
      <w:r w:rsidR="00BE0A56" w:rsidRPr="004676F5">
        <w:rPr>
          <w:i/>
          <w:lang w:val="de-DE"/>
        </w:rPr>
        <w:t>Art. </w:t>
      </w:r>
      <w:r w:rsidR="00E50100" w:rsidRPr="004676F5">
        <w:rPr>
          <w:i/>
          <w:lang w:val="de-DE"/>
        </w:rPr>
        <w:t>34</w:t>
      </w:r>
      <w:r w:rsidRPr="004676F5">
        <w:rPr>
          <w:i/>
          <w:lang w:val="de-DE"/>
        </w:rPr>
        <w:t xml:space="preserve"> des G. vom 8. </w:t>
      </w:r>
      <w:r w:rsidRPr="00B14651">
        <w:rPr>
          <w:i/>
          <w:lang w:val="de-DE"/>
        </w:rPr>
        <w:t>Juni 2017 (B.S. vom 27. Juni 2017)]</w:t>
      </w:r>
    </w:p>
    <w:p w14:paraId="50E9DF10" w14:textId="77777777" w:rsidR="00933CDE" w:rsidRPr="00B14651" w:rsidRDefault="00933CDE" w:rsidP="00933CDE">
      <w:pPr>
        <w:jc w:val="both"/>
        <w:rPr>
          <w:lang w:val="de-DE"/>
        </w:rPr>
      </w:pPr>
    </w:p>
    <w:p w14:paraId="371F45A6" w14:textId="77777777" w:rsidR="00E50100" w:rsidRPr="00B14651" w:rsidRDefault="00E50100" w:rsidP="00933CDE">
      <w:pPr>
        <w:jc w:val="both"/>
        <w:rPr>
          <w:lang w:val="de-DE"/>
        </w:rPr>
      </w:pPr>
    </w:p>
    <w:p w14:paraId="45BFCD2B" w14:textId="5C36CF39" w:rsidR="00E50100" w:rsidRPr="004676F5" w:rsidRDefault="00E50100" w:rsidP="00E50100">
      <w:pPr>
        <w:jc w:val="both"/>
        <w:rPr>
          <w:lang w:val="de-DE"/>
        </w:rPr>
      </w:pPr>
      <w:r w:rsidRPr="00B14651">
        <w:rPr>
          <w:lang w:val="de-DE"/>
        </w:rPr>
        <w:lastRenderedPageBreak/>
        <w:tab/>
      </w:r>
      <w:r w:rsidRPr="004676F5">
        <w:rPr>
          <w:lang w:val="de-DE"/>
        </w:rPr>
        <w:t>[</w:t>
      </w:r>
      <w:r w:rsidR="00BE0A56" w:rsidRPr="004676F5">
        <w:rPr>
          <w:b/>
          <w:lang w:val="de-DE"/>
        </w:rPr>
        <w:t>Art. </w:t>
      </w:r>
      <w:r w:rsidRPr="004676F5">
        <w:rPr>
          <w:b/>
          <w:lang w:val="de-DE"/>
        </w:rPr>
        <w:t>XI.248/8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Verwertungsgesellschaften verfügen über eine Aufsichtsfunktion für die kontinuierliche Überwachung der Tätigkeit und der Aufgabenerfüllung der Personen, die die Geschäfte der Gesellschaft führen.</w:t>
      </w:r>
    </w:p>
    <w:p w14:paraId="6A2EB89F" w14:textId="77777777" w:rsidR="00E50100" w:rsidRPr="004676F5" w:rsidRDefault="00E50100" w:rsidP="00E50100">
      <w:pPr>
        <w:jc w:val="both"/>
        <w:rPr>
          <w:lang w:val="de-DE"/>
        </w:rPr>
      </w:pPr>
    </w:p>
    <w:p w14:paraId="1D6D88FA" w14:textId="77777777" w:rsidR="00E50100" w:rsidRPr="004676F5" w:rsidRDefault="00E50100" w:rsidP="00E50100">
      <w:pPr>
        <w:jc w:val="both"/>
        <w:rPr>
          <w:lang w:val="de-DE"/>
        </w:rPr>
      </w:pPr>
      <w:r w:rsidRPr="004676F5">
        <w:rPr>
          <w:lang w:val="de-DE"/>
        </w:rPr>
        <w:tab/>
        <w:t>In dem Gremium, das die Aufsichtsfunktion wahrnimmt, sind die verschiedenen Kategorien von Gesellschaftern der Verwertungsgesellschaft fair und ausgewogen vertreten.</w:t>
      </w:r>
    </w:p>
    <w:p w14:paraId="0E2C90CD" w14:textId="77777777" w:rsidR="00E50100" w:rsidRPr="004676F5" w:rsidRDefault="00E50100" w:rsidP="00E50100">
      <w:pPr>
        <w:jc w:val="both"/>
        <w:rPr>
          <w:lang w:val="de-DE"/>
        </w:rPr>
      </w:pPr>
    </w:p>
    <w:p w14:paraId="5EBBC1DE" w14:textId="77777777" w:rsidR="00E50100" w:rsidRPr="004676F5" w:rsidRDefault="00E50100" w:rsidP="00E50100">
      <w:pPr>
        <w:jc w:val="both"/>
        <w:rPr>
          <w:lang w:val="de-DE"/>
        </w:rPr>
      </w:pPr>
      <w:r w:rsidRPr="004676F5">
        <w:rPr>
          <w:lang w:val="de-DE"/>
        </w:rPr>
        <w:tab/>
        <w:t>Personen, die die Aufsichtsfunktion wahrnehmen, geben der Generalversammlung gegenüber jährlich eine individuelle Erklärung über Interessenkonflikte ab, in der die Angaben nach Artikel XI.248/10 § 2 enthalten sind.</w:t>
      </w:r>
    </w:p>
    <w:p w14:paraId="640940BB" w14:textId="77777777" w:rsidR="00E50100" w:rsidRPr="004676F5" w:rsidRDefault="00E50100" w:rsidP="00E50100">
      <w:pPr>
        <w:jc w:val="both"/>
        <w:rPr>
          <w:lang w:val="de-DE"/>
        </w:rPr>
      </w:pPr>
    </w:p>
    <w:p w14:paraId="52053307" w14:textId="70BCA372" w:rsidR="00E50100" w:rsidRPr="004676F5" w:rsidRDefault="00E50100" w:rsidP="00E50100">
      <w:pPr>
        <w:jc w:val="both"/>
        <w:rPr>
          <w:lang w:val="de-DE"/>
        </w:rPr>
      </w:pPr>
      <w:r w:rsidRPr="004676F5">
        <w:rPr>
          <w:lang w:val="de-DE"/>
        </w:rPr>
        <w:tab/>
        <w:t>§ 2 </w:t>
      </w:r>
      <w:r w:rsidR="005B7A5C" w:rsidRPr="004676F5">
        <w:rPr>
          <w:lang w:val="de-DE"/>
        </w:rPr>
        <w:t>- </w:t>
      </w:r>
      <w:r w:rsidRPr="004676F5">
        <w:rPr>
          <w:lang w:val="de-DE"/>
        </w:rPr>
        <w:t>Das Gremium, das die Aufsichtsfunktion wahrnimmt, tritt regelmäßig zusammen und verfügt mindestens über folgende Befugnisse:</w:t>
      </w:r>
    </w:p>
    <w:p w14:paraId="2C837F5E" w14:textId="77777777" w:rsidR="00E50100" w:rsidRPr="004676F5" w:rsidRDefault="00E50100" w:rsidP="00E50100">
      <w:pPr>
        <w:jc w:val="both"/>
        <w:rPr>
          <w:lang w:val="de-DE"/>
        </w:rPr>
      </w:pPr>
    </w:p>
    <w:p w14:paraId="4BB9FB3C" w14:textId="77777777" w:rsidR="00E50100" w:rsidRPr="004676F5" w:rsidRDefault="00E50100" w:rsidP="00E50100">
      <w:pPr>
        <w:jc w:val="both"/>
        <w:rPr>
          <w:lang w:val="de-DE"/>
        </w:rPr>
      </w:pPr>
      <w:r w:rsidRPr="004676F5">
        <w:rPr>
          <w:lang w:val="de-DE"/>
        </w:rPr>
        <w:tab/>
        <w:t>1. die Befugnisse, einschließlich derer gemäß Artikel XI.248/4 §§ 2 und 4, die ihm von der Generalversammlung übertragen werden,</w:t>
      </w:r>
    </w:p>
    <w:p w14:paraId="38E80E94" w14:textId="77777777" w:rsidR="00E50100" w:rsidRPr="004676F5" w:rsidRDefault="00E50100" w:rsidP="00E50100">
      <w:pPr>
        <w:jc w:val="both"/>
        <w:rPr>
          <w:lang w:val="de-DE"/>
        </w:rPr>
      </w:pPr>
    </w:p>
    <w:p w14:paraId="39841F2E" w14:textId="77777777" w:rsidR="00E50100" w:rsidRPr="004676F5" w:rsidRDefault="00E50100" w:rsidP="00E50100">
      <w:pPr>
        <w:jc w:val="both"/>
        <w:rPr>
          <w:lang w:val="de-DE"/>
        </w:rPr>
      </w:pPr>
      <w:r w:rsidRPr="004676F5">
        <w:rPr>
          <w:lang w:val="de-DE"/>
        </w:rPr>
        <w:tab/>
        <w:t>2. Überwachung der Tätigkeit und der Aufgabenerfüllung der in Artikel XI.248/5 genannten Personen, einschließlich der Umsetzung der Beschlüsse der Generalversammlung und insbesondere der in Artikel XI.248/4 § 3 Nr. 1 bis 4 aufgelisteten allgemeinen Grundsätze.</w:t>
      </w:r>
    </w:p>
    <w:p w14:paraId="1CACF244" w14:textId="77777777" w:rsidR="00E50100" w:rsidRPr="004676F5" w:rsidRDefault="00E50100" w:rsidP="00E50100">
      <w:pPr>
        <w:jc w:val="both"/>
        <w:rPr>
          <w:lang w:val="de-DE"/>
        </w:rPr>
      </w:pPr>
    </w:p>
    <w:p w14:paraId="31D6EA47" w14:textId="77777777" w:rsidR="00E50100" w:rsidRPr="004676F5" w:rsidRDefault="00E50100" w:rsidP="00E50100">
      <w:pPr>
        <w:jc w:val="both"/>
        <w:rPr>
          <w:lang w:val="de-DE"/>
        </w:rPr>
      </w:pPr>
      <w:r w:rsidRPr="004676F5">
        <w:rPr>
          <w:lang w:val="de-DE"/>
        </w:rPr>
        <w:tab/>
        <w:t>Das Gremium, das die Aufsichtsfunktion wahrnimmt, berichtet der Generalversam</w:t>
      </w:r>
      <w:r w:rsidRPr="004676F5">
        <w:rPr>
          <w:lang w:val="de-DE"/>
        </w:rPr>
        <w:softHyphen/>
        <w:t>mlung mindestens einmal im Jahr über die Ausübung seiner Befugnisse.]</w:t>
      </w:r>
    </w:p>
    <w:p w14:paraId="1CE67BE3" w14:textId="77777777" w:rsidR="00E50100" w:rsidRPr="004676F5" w:rsidRDefault="00E50100" w:rsidP="00E50100">
      <w:pPr>
        <w:jc w:val="both"/>
        <w:rPr>
          <w:lang w:val="de-DE"/>
        </w:rPr>
      </w:pPr>
    </w:p>
    <w:p w14:paraId="512B81FD" w14:textId="19DE7368" w:rsidR="00E50100" w:rsidRPr="00B14651" w:rsidRDefault="00E50100" w:rsidP="00E50100">
      <w:pPr>
        <w:jc w:val="both"/>
        <w:rPr>
          <w:i/>
          <w:lang w:val="de-DE"/>
        </w:rPr>
      </w:pPr>
      <w:r w:rsidRPr="004676F5">
        <w:rPr>
          <w:i/>
          <w:lang w:val="de-DE"/>
        </w:rPr>
        <w:t>[</w:t>
      </w:r>
      <w:r w:rsidR="00BE0A56" w:rsidRPr="004676F5">
        <w:rPr>
          <w:i/>
          <w:lang w:val="de-DE"/>
        </w:rPr>
        <w:t>Art. </w:t>
      </w:r>
      <w:r w:rsidRPr="004676F5">
        <w:rPr>
          <w:i/>
          <w:lang w:val="de-DE"/>
        </w:rPr>
        <w:t xml:space="preserve">XI.248/8 eingefügt durch </w:t>
      </w:r>
      <w:r w:rsidR="00BE0A56" w:rsidRPr="004676F5">
        <w:rPr>
          <w:i/>
          <w:lang w:val="de-DE"/>
        </w:rPr>
        <w:t>Art. </w:t>
      </w:r>
      <w:r w:rsidRPr="004676F5">
        <w:rPr>
          <w:i/>
          <w:lang w:val="de-DE"/>
        </w:rPr>
        <w:t>35 des G. vom 8. </w:t>
      </w:r>
      <w:r w:rsidRPr="00B14651">
        <w:rPr>
          <w:i/>
          <w:lang w:val="de-DE"/>
        </w:rPr>
        <w:t>Juni 2017 (B.S. vom 27. Juni 2017)]</w:t>
      </w:r>
    </w:p>
    <w:p w14:paraId="0D26AE8A" w14:textId="77777777" w:rsidR="00E50100" w:rsidRPr="00B14651" w:rsidRDefault="00E50100" w:rsidP="00E50100">
      <w:pPr>
        <w:jc w:val="both"/>
        <w:rPr>
          <w:lang w:val="de-DE"/>
        </w:rPr>
      </w:pPr>
    </w:p>
    <w:p w14:paraId="20029FA1" w14:textId="77777777" w:rsidR="00933CDE" w:rsidRPr="00B14651" w:rsidRDefault="00933CDE" w:rsidP="00933CDE">
      <w:pPr>
        <w:jc w:val="both"/>
        <w:rPr>
          <w:lang w:val="de-DE"/>
        </w:rPr>
      </w:pPr>
    </w:p>
    <w:p w14:paraId="1FB29F82" w14:textId="60EE456F" w:rsidR="00E50100" w:rsidRPr="004676F5" w:rsidRDefault="00E50100" w:rsidP="00E50100">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Verwertungsgesellschaften verfügen über eine solide Führungs</w:t>
      </w:r>
      <w:r w:rsidRPr="004676F5">
        <w:rPr>
          <w:lang w:val="de-DE"/>
        </w:rPr>
        <w:softHyphen/>
        <w:t>struktur, eine solide Verwaltungs</w:t>
      </w:r>
      <w:r w:rsidR="005B7A5C" w:rsidRPr="004676F5">
        <w:rPr>
          <w:lang w:val="de-DE"/>
        </w:rPr>
        <w:t>- </w:t>
      </w:r>
      <w:r w:rsidRPr="004676F5">
        <w:rPr>
          <w:lang w:val="de-DE"/>
        </w:rPr>
        <w:t>und Rechnungslegungspraxis und eine interne Kontrolle, die den von ihnen ausgeübten Tätigkeiten angepasst sind.</w:t>
      </w:r>
    </w:p>
    <w:p w14:paraId="229E04A9" w14:textId="77777777" w:rsidR="00E50100" w:rsidRPr="004676F5" w:rsidRDefault="00E50100" w:rsidP="00E50100">
      <w:pPr>
        <w:jc w:val="both"/>
        <w:rPr>
          <w:lang w:val="de-DE"/>
        </w:rPr>
      </w:pPr>
    </w:p>
    <w:p w14:paraId="23259758" w14:textId="57CB4CAC" w:rsidR="00E50100" w:rsidRPr="004676F5" w:rsidRDefault="00E50100" w:rsidP="00E50100">
      <w:pPr>
        <w:jc w:val="both"/>
        <w:rPr>
          <w:lang w:val="de-DE"/>
        </w:rPr>
      </w:pPr>
      <w:r w:rsidRPr="004676F5">
        <w:rPr>
          <w:lang w:val="de-DE"/>
        </w:rPr>
        <w:tab/>
        <w:t>§ 2 </w:t>
      </w:r>
      <w:r w:rsidR="005B7A5C" w:rsidRPr="004676F5">
        <w:rPr>
          <w:lang w:val="de-DE"/>
        </w:rPr>
        <w:t>- </w:t>
      </w:r>
      <w:r w:rsidRPr="004676F5">
        <w:rPr>
          <w:lang w:val="de-DE"/>
        </w:rPr>
        <w:t>Verwertungsgesellschaften müssen einerseits das Vermögen aus Vergütungen, die für Rechnung der Inhaber der durch vorliegenden Titel zuerkannten Rechte eingenommen und verwaltet werden, und aus Erträgen aus den Anlagen der Einnahmen aus den Rechten, und andererseits das Eigenvermögen aus der Vergütung für Verwertungsdienste und Einkünften aus anderen Tätigkeiten oder aus ihrem Eigenvermögen trennen.</w:t>
      </w:r>
    </w:p>
    <w:p w14:paraId="742BDD89" w14:textId="77777777" w:rsidR="00E50100" w:rsidRPr="004676F5" w:rsidRDefault="00E50100" w:rsidP="00E50100">
      <w:pPr>
        <w:jc w:val="both"/>
        <w:rPr>
          <w:lang w:val="de-DE"/>
        </w:rPr>
      </w:pPr>
    </w:p>
    <w:p w14:paraId="51DED76A" w14:textId="77777777" w:rsidR="00E50100" w:rsidRPr="004676F5" w:rsidRDefault="00E50100" w:rsidP="00E50100">
      <w:pPr>
        <w:jc w:val="both"/>
        <w:rPr>
          <w:lang w:val="de-DE"/>
        </w:rPr>
      </w:pPr>
      <w:r w:rsidRPr="004676F5">
        <w:rPr>
          <w:lang w:val="de-DE"/>
        </w:rPr>
        <w:tab/>
        <w:t>Summen, die von Verwertungsgesellschaften für Rechnung der Inhaber der durch vorliegenden Titel zuerkannten Rechte eingenommen und verwaltet werden und den Rechtsinhabern noch nicht ausgezahlt worden sind, werden für Rechnung der Rechtsinhaber unter getrennter Rubrik auf ein Sonderkonto bei einem Kreditinstitut eingezahlt, das auf einer der in den Artikeln 14 und 312 des Gesetzes vom 25. April 2014 über den Status und die Kontrolle der Kreditinstitute erwähnten Listen eingetragen ist. Dieses Kreditinstitut muss zuvor auf den Grundsatz der Konteneinheit und auf die gesetzliche und vertragliche Aufrechnung zwischen den verschiedenen Konten der Verwertungsgesellschaft verzichten.</w:t>
      </w:r>
    </w:p>
    <w:p w14:paraId="6CFAE714" w14:textId="77777777" w:rsidR="00E50100" w:rsidRPr="004676F5" w:rsidRDefault="00E50100" w:rsidP="00E50100">
      <w:pPr>
        <w:jc w:val="both"/>
        <w:rPr>
          <w:lang w:val="de-DE"/>
        </w:rPr>
      </w:pPr>
    </w:p>
    <w:p w14:paraId="707FE7D8" w14:textId="71C0BE1A" w:rsidR="00E50100" w:rsidRPr="004676F5" w:rsidRDefault="00E50100" w:rsidP="00E50100">
      <w:pPr>
        <w:jc w:val="both"/>
        <w:rPr>
          <w:lang w:val="de-DE"/>
        </w:rPr>
      </w:pPr>
      <w:r w:rsidRPr="004676F5">
        <w:rPr>
          <w:lang w:val="de-DE"/>
        </w:rPr>
        <w:tab/>
        <w:t>§ 3 </w:t>
      </w:r>
      <w:r w:rsidR="005B7A5C" w:rsidRPr="004676F5">
        <w:rPr>
          <w:lang w:val="de-DE"/>
        </w:rPr>
        <w:t>- </w:t>
      </w:r>
      <w:r w:rsidRPr="004676F5">
        <w:rPr>
          <w:lang w:val="de-DE"/>
        </w:rPr>
        <w:t>Verwertungsgesellschaften dürfen ihren Jahresabschluss nicht nach dem in Artikel 93 des Gesellschaftsgesetzbuches vorgesehenen verkürzten Schema erstellen.</w:t>
      </w:r>
    </w:p>
    <w:p w14:paraId="75EE33CA" w14:textId="77777777" w:rsidR="00E50100" w:rsidRPr="004676F5" w:rsidRDefault="00E50100" w:rsidP="00E50100">
      <w:pPr>
        <w:jc w:val="both"/>
        <w:rPr>
          <w:lang w:val="de-DE"/>
        </w:rPr>
      </w:pPr>
    </w:p>
    <w:p w14:paraId="4E45C2FE" w14:textId="77777777" w:rsidR="00E50100" w:rsidRPr="004676F5" w:rsidRDefault="00E50100" w:rsidP="00E50100">
      <w:pPr>
        <w:jc w:val="both"/>
        <w:rPr>
          <w:lang w:val="de-DE"/>
        </w:rPr>
      </w:pPr>
      <w:r w:rsidRPr="004676F5">
        <w:rPr>
          <w:lang w:val="de-DE"/>
        </w:rPr>
        <w:tab/>
        <w:t xml:space="preserve">Nach Konzertierung mit der Kommission für Buchführungsnormen, dem Institut der Betriebsrevisoren und den Verwertungsgesellschaften, die in dem durch Artikel XI.282 eingesetzten Konzertierungsausschuss vertreten sind, passt der König die in Anwendung von </w:t>
      </w:r>
      <w:r w:rsidRPr="004676F5">
        <w:rPr>
          <w:lang w:val="de-DE"/>
        </w:rPr>
        <w:lastRenderedPageBreak/>
        <w:t>Artikel III.84 und Artikel 92 des Gesellschaftsgesetzbuches festgelegten Regeln an und vervollständigt sie, damit sie den Bedingungen des legalen Status der Verwertungs</w:t>
      </w:r>
      <w:r w:rsidRPr="004676F5">
        <w:rPr>
          <w:lang w:val="de-DE"/>
        </w:rPr>
        <w:softHyphen/>
        <w:t>gesell</w:t>
      </w:r>
      <w:r w:rsidRPr="004676F5">
        <w:rPr>
          <w:lang w:val="de-DE"/>
        </w:rPr>
        <w:softHyphen/>
        <w:t>schaften entsprechen.</w:t>
      </w:r>
    </w:p>
    <w:p w14:paraId="655678CA" w14:textId="77777777" w:rsidR="00E50100" w:rsidRPr="004676F5" w:rsidRDefault="00E50100" w:rsidP="00E50100">
      <w:pPr>
        <w:jc w:val="both"/>
        <w:rPr>
          <w:lang w:val="de-DE"/>
        </w:rPr>
      </w:pPr>
    </w:p>
    <w:p w14:paraId="4164DA83" w14:textId="77777777" w:rsidR="00E50100" w:rsidRPr="004676F5" w:rsidRDefault="00E50100" w:rsidP="00E50100">
      <w:pPr>
        <w:jc w:val="both"/>
        <w:rPr>
          <w:lang w:val="de-DE"/>
        </w:rPr>
      </w:pPr>
      <w:r w:rsidRPr="004676F5">
        <w:rPr>
          <w:lang w:val="de-DE"/>
        </w:rPr>
        <w:tab/>
        <w:t>Der König kann je nach betreffenden Rechten die Regeln, die Er in Anwendung von Absatz 2 festlegt, differenzieren.]</w:t>
      </w:r>
    </w:p>
    <w:p w14:paraId="551FBA77" w14:textId="77777777" w:rsidR="00E50100" w:rsidRPr="004676F5" w:rsidRDefault="00E50100" w:rsidP="00E50100">
      <w:pPr>
        <w:jc w:val="both"/>
        <w:rPr>
          <w:lang w:val="de-DE"/>
        </w:rPr>
      </w:pPr>
    </w:p>
    <w:p w14:paraId="3D415021" w14:textId="043A29C1" w:rsidR="00E50100" w:rsidRPr="00B14651" w:rsidRDefault="00E50100" w:rsidP="00E50100">
      <w:pPr>
        <w:jc w:val="both"/>
        <w:rPr>
          <w:i/>
          <w:lang w:val="de-DE"/>
        </w:rPr>
      </w:pPr>
      <w:r w:rsidRPr="004676F5">
        <w:rPr>
          <w:i/>
          <w:lang w:val="de-DE"/>
        </w:rPr>
        <w:t>[</w:t>
      </w:r>
      <w:r w:rsidR="00BE0A56" w:rsidRPr="004676F5">
        <w:rPr>
          <w:i/>
          <w:lang w:val="de-DE"/>
        </w:rPr>
        <w:t>Art. </w:t>
      </w:r>
      <w:r w:rsidRPr="004676F5">
        <w:rPr>
          <w:i/>
          <w:lang w:val="de-DE"/>
        </w:rPr>
        <w:t xml:space="preserve">XI.248/9 eingefügt durch </w:t>
      </w:r>
      <w:r w:rsidR="00BE0A56" w:rsidRPr="004676F5">
        <w:rPr>
          <w:i/>
          <w:lang w:val="de-DE"/>
        </w:rPr>
        <w:t>Art. </w:t>
      </w:r>
      <w:r w:rsidRPr="004676F5">
        <w:rPr>
          <w:i/>
          <w:lang w:val="de-DE"/>
        </w:rPr>
        <w:t>36 des G. vom 8. </w:t>
      </w:r>
      <w:r w:rsidRPr="00B14651">
        <w:rPr>
          <w:i/>
          <w:lang w:val="de-DE"/>
        </w:rPr>
        <w:t>Juni 2017 (B.S. vom 27. Juni 2017)]</w:t>
      </w:r>
    </w:p>
    <w:p w14:paraId="0DABE738" w14:textId="77777777" w:rsidR="00E50100" w:rsidRPr="00B14651" w:rsidRDefault="00E50100" w:rsidP="00E50100">
      <w:pPr>
        <w:jc w:val="both"/>
        <w:rPr>
          <w:lang w:val="de-DE"/>
        </w:rPr>
      </w:pPr>
    </w:p>
    <w:p w14:paraId="16D21208" w14:textId="77777777" w:rsidR="00E50100" w:rsidRPr="00B14651" w:rsidRDefault="00E50100" w:rsidP="00E50100">
      <w:pPr>
        <w:jc w:val="both"/>
        <w:rPr>
          <w:lang w:val="de-DE"/>
        </w:rPr>
      </w:pPr>
    </w:p>
    <w:p w14:paraId="140A89B6" w14:textId="5DD3061A" w:rsidR="00E50100" w:rsidRPr="004676F5" w:rsidRDefault="00E50100" w:rsidP="00E50100">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XI.248/10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Verwertungsgesellschaften legen Verfahren fest und wenden sie an, um Interessenkonflikte zu vermeiden und für den Fall, dass Interessenkonflikte nicht vermieden werden können, tatsächliche oder mögliche Interessenkonflikte erkennen, ausräumen, überwachen und offenlegen zu können, um zu verhindern, dass sich diese Interessenkonflikte nachteilig auf die kollektiven Interessen der von der Verwertungs</w:t>
      </w:r>
      <w:r w:rsidRPr="004676F5">
        <w:rPr>
          <w:lang w:val="de-DE"/>
        </w:rPr>
        <w:softHyphen/>
        <w:t>gesellschaft vertretenen Rechtsinhaber auswirken. Dazu arbeiten sie insbesondere Regeln aus hinsichtlich der in Ausführung ihres Amtes von Personalmitgliedern, ausführendem Personal und Vertretern der Verwertungsgesellschaft verrichteten Tätigkeiten, an denen diese ein offensichtliches persönliches Interesse haben.</w:t>
      </w:r>
    </w:p>
    <w:p w14:paraId="7351C58F" w14:textId="77777777" w:rsidR="00E50100" w:rsidRPr="004676F5" w:rsidRDefault="00E50100" w:rsidP="00E50100">
      <w:pPr>
        <w:jc w:val="both"/>
        <w:rPr>
          <w:lang w:val="de-DE"/>
        </w:rPr>
      </w:pPr>
    </w:p>
    <w:p w14:paraId="2314F2DE" w14:textId="5DE9AC93" w:rsidR="00E50100" w:rsidRPr="004676F5" w:rsidRDefault="00E50100" w:rsidP="00E50100">
      <w:pPr>
        <w:jc w:val="both"/>
        <w:rPr>
          <w:lang w:val="de-DE"/>
        </w:rPr>
      </w:pPr>
      <w:r w:rsidRPr="004676F5">
        <w:rPr>
          <w:lang w:val="de-DE"/>
        </w:rPr>
        <w:tab/>
        <w:t>§ 2 </w:t>
      </w:r>
      <w:r w:rsidR="005B7A5C" w:rsidRPr="004676F5">
        <w:rPr>
          <w:lang w:val="de-DE"/>
        </w:rPr>
        <w:t>- </w:t>
      </w:r>
      <w:r w:rsidRPr="004676F5">
        <w:rPr>
          <w:lang w:val="de-DE"/>
        </w:rPr>
        <w:t>Zu den Verfahren nach § 1 gehört die jährliche Abgabe einer individuellen Erklärung der Personen, die die Geschäfte der Verwertungsgesellschaft führen, gegenüber der Generalversammlung, die folgende Angaben enthält:</w:t>
      </w:r>
    </w:p>
    <w:p w14:paraId="75B5E21F" w14:textId="77777777" w:rsidR="00E50100" w:rsidRPr="004676F5" w:rsidRDefault="00E50100" w:rsidP="00E50100">
      <w:pPr>
        <w:jc w:val="both"/>
        <w:rPr>
          <w:lang w:val="de-DE"/>
        </w:rPr>
      </w:pPr>
    </w:p>
    <w:p w14:paraId="5DB0B74C" w14:textId="77777777" w:rsidR="00E50100" w:rsidRPr="004676F5" w:rsidRDefault="00E50100" w:rsidP="00E50100">
      <w:pPr>
        <w:jc w:val="both"/>
        <w:rPr>
          <w:lang w:val="de-DE"/>
        </w:rPr>
      </w:pPr>
      <w:r w:rsidRPr="004676F5">
        <w:rPr>
          <w:lang w:val="de-DE"/>
        </w:rPr>
        <w:tab/>
        <w:t>1. Beteiligungen an der Verwertungsgesellschaft,</w:t>
      </w:r>
    </w:p>
    <w:p w14:paraId="5F74B826" w14:textId="77777777" w:rsidR="00E50100" w:rsidRPr="004676F5" w:rsidRDefault="00E50100" w:rsidP="00E50100">
      <w:pPr>
        <w:jc w:val="both"/>
        <w:rPr>
          <w:lang w:val="de-DE"/>
        </w:rPr>
      </w:pPr>
    </w:p>
    <w:p w14:paraId="1BC965F8" w14:textId="77777777" w:rsidR="00E50100" w:rsidRPr="004676F5" w:rsidRDefault="00E50100" w:rsidP="00E50100">
      <w:pPr>
        <w:jc w:val="both"/>
        <w:rPr>
          <w:lang w:val="de-DE"/>
        </w:rPr>
      </w:pPr>
      <w:r w:rsidRPr="004676F5">
        <w:rPr>
          <w:lang w:val="de-DE"/>
        </w:rPr>
        <w:tab/>
        <w:t>2. von der Verwertungsgesellschaft im abgelaufenen Geschäftsjahr bezogene Vergü</w:t>
      </w:r>
      <w:r w:rsidRPr="004676F5">
        <w:rPr>
          <w:lang w:val="de-DE"/>
        </w:rPr>
        <w:softHyphen/>
        <w:t>tungen einschließlich Pensionsleistungen, Sachleistungen und sonstiger Leistungen,</w:t>
      </w:r>
    </w:p>
    <w:p w14:paraId="18599E9B" w14:textId="77777777" w:rsidR="00E50100" w:rsidRPr="004676F5" w:rsidRDefault="00E50100" w:rsidP="00E50100">
      <w:pPr>
        <w:jc w:val="both"/>
        <w:rPr>
          <w:lang w:val="de-DE"/>
        </w:rPr>
      </w:pPr>
    </w:p>
    <w:p w14:paraId="41266D09" w14:textId="77777777" w:rsidR="00E50100" w:rsidRPr="004676F5" w:rsidRDefault="00E50100" w:rsidP="00E50100">
      <w:pPr>
        <w:jc w:val="both"/>
        <w:rPr>
          <w:lang w:val="de-DE"/>
        </w:rPr>
      </w:pPr>
      <w:r w:rsidRPr="004676F5">
        <w:rPr>
          <w:lang w:val="de-DE"/>
        </w:rPr>
        <w:tab/>
        <w:t>3. in der Eigenschaft als Rechtsinhaber von der Verwertungsgesellschaft im abgelaufenen Geschäftsjahr erhaltene Beträge,</w:t>
      </w:r>
    </w:p>
    <w:p w14:paraId="7A31CC1B" w14:textId="77777777" w:rsidR="00E50100" w:rsidRPr="004676F5" w:rsidRDefault="00E50100" w:rsidP="00E50100">
      <w:pPr>
        <w:jc w:val="both"/>
        <w:rPr>
          <w:lang w:val="de-DE"/>
        </w:rPr>
      </w:pPr>
    </w:p>
    <w:p w14:paraId="63701FD8" w14:textId="77777777" w:rsidR="00E50100" w:rsidRPr="004676F5" w:rsidRDefault="00E50100" w:rsidP="00E50100">
      <w:pPr>
        <w:jc w:val="both"/>
        <w:rPr>
          <w:lang w:val="de-DE"/>
        </w:rPr>
      </w:pPr>
      <w:r w:rsidRPr="004676F5">
        <w:rPr>
          <w:lang w:val="de-DE"/>
        </w:rPr>
        <w:tab/>
        <w:t>4. eine Erklärung zu einem etwaigen tatsächlichen oder möglichen Konflikt zwischen persönlichen Interessen und den Interessen der Verwertungsgesellschaft oder zwischen Pflichten gegenüber der Verwertungsgesellschaft und Pflichten gegenüber einer anderen natürlichen oder juristischen Person.]</w:t>
      </w:r>
    </w:p>
    <w:p w14:paraId="5F827B02" w14:textId="77777777" w:rsidR="00E50100" w:rsidRPr="004676F5" w:rsidRDefault="00E50100" w:rsidP="00933CDE">
      <w:pPr>
        <w:jc w:val="both"/>
        <w:rPr>
          <w:lang w:val="de-DE"/>
        </w:rPr>
      </w:pPr>
    </w:p>
    <w:p w14:paraId="2BB5D7E4" w14:textId="41DCF099" w:rsidR="00E50100" w:rsidRPr="00B14651" w:rsidRDefault="00E50100" w:rsidP="00E50100">
      <w:pPr>
        <w:jc w:val="both"/>
        <w:rPr>
          <w:i/>
          <w:lang w:val="de-DE"/>
        </w:rPr>
      </w:pPr>
      <w:r w:rsidRPr="004676F5">
        <w:rPr>
          <w:i/>
          <w:lang w:val="de-DE"/>
        </w:rPr>
        <w:t>[</w:t>
      </w:r>
      <w:r w:rsidR="00BE0A56" w:rsidRPr="004676F5">
        <w:rPr>
          <w:i/>
          <w:lang w:val="de-DE"/>
        </w:rPr>
        <w:t>Art. </w:t>
      </w:r>
      <w:r w:rsidRPr="004676F5">
        <w:rPr>
          <w:i/>
          <w:lang w:val="de-DE"/>
        </w:rPr>
        <w:t xml:space="preserve">XI.248/10 eingefügt durch </w:t>
      </w:r>
      <w:r w:rsidR="00BE0A56" w:rsidRPr="004676F5">
        <w:rPr>
          <w:i/>
          <w:lang w:val="de-DE"/>
        </w:rPr>
        <w:t>Art. </w:t>
      </w:r>
      <w:r w:rsidRPr="004676F5">
        <w:rPr>
          <w:i/>
          <w:lang w:val="de-DE"/>
        </w:rPr>
        <w:t>37 des G. vom 8. </w:t>
      </w:r>
      <w:r w:rsidRPr="00B14651">
        <w:rPr>
          <w:i/>
          <w:lang w:val="de-DE"/>
        </w:rPr>
        <w:t>Juni 2017 (B.S. vom 27. Juni 2017)]</w:t>
      </w:r>
    </w:p>
    <w:p w14:paraId="7A280956" w14:textId="77777777" w:rsidR="00E50100" w:rsidRPr="00B14651" w:rsidRDefault="00E50100" w:rsidP="00933CDE">
      <w:pPr>
        <w:jc w:val="both"/>
        <w:rPr>
          <w:lang w:val="de-DE"/>
        </w:rPr>
      </w:pPr>
    </w:p>
    <w:p w14:paraId="6CFB1B54" w14:textId="77777777" w:rsidR="00E50100" w:rsidRPr="00B14651" w:rsidRDefault="00E50100" w:rsidP="00933CDE">
      <w:pPr>
        <w:jc w:val="both"/>
        <w:rPr>
          <w:lang w:val="de-DE"/>
        </w:rPr>
      </w:pPr>
    </w:p>
    <w:p w14:paraId="785465B7" w14:textId="3D7E4CF0" w:rsidR="00E50100" w:rsidRPr="004676F5" w:rsidRDefault="00E50100" w:rsidP="00E50100">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XI.248/11</w:t>
      </w:r>
      <w:r w:rsidRPr="004676F5">
        <w:rPr>
          <w:lang w:val="de-DE"/>
        </w:rPr>
        <w:t> </w:t>
      </w:r>
      <w:r w:rsidR="005B7A5C" w:rsidRPr="004676F5">
        <w:rPr>
          <w:lang w:val="de-DE"/>
        </w:rPr>
        <w:t>- </w:t>
      </w:r>
      <w:r w:rsidRPr="004676F5">
        <w:rPr>
          <w:lang w:val="de-DE"/>
        </w:rPr>
        <w:t>Nach Konzertierung mit der Kommission für Buchführungsnormen, dem Institut der Betriebsrevisoren und den Verwertungsgesellschaften, die in dem durch Artikel XI.282 eingesetzten Konzertierungsausschuss vertreten sind, legt der König Mindestanforderungen im Zusammenhang mit der Rechnungslegungspraxis und internen Kontrolle der Verwertungsgesellschaften fest.</w:t>
      </w:r>
    </w:p>
    <w:p w14:paraId="58CF1597" w14:textId="77777777" w:rsidR="00E50100" w:rsidRPr="004676F5" w:rsidRDefault="00E50100" w:rsidP="00E50100">
      <w:pPr>
        <w:jc w:val="both"/>
        <w:rPr>
          <w:lang w:val="de-DE"/>
        </w:rPr>
      </w:pPr>
    </w:p>
    <w:p w14:paraId="1B7C224A" w14:textId="7693C603" w:rsidR="00E50100" w:rsidRPr="004676F5" w:rsidRDefault="00E50100" w:rsidP="00E50100">
      <w:pPr>
        <w:jc w:val="both"/>
        <w:rPr>
          <w:lang w:val="de-DE"/>
        </w:rPr>
      </w:pPr>
      <w:r w:rsidRPr="004676F5">
        <w:rPr>
          <w:lang w:val="de-DE"/>
        </w:rPr>
        <w:tab/>
        <w:t>Der Kontrolldienst kann jederzeit notwendige Angaben hinsichtlich Führungsstruktur, Verwaltungs</w:t>
      </w:r>
      <w:r w:rsidR="005B7A5C" w:rsidRPr="004676F5">
        <w:rPr>
          <w:lang w:val="de-DE"/>
        </w:rPr>
        <w:t>- </w:t>
      </w:r>
      <w:r w:rsidRPr="004676F5">
        <w:rPr>
          <w:lang w:val="de-DE"/>
        </w:rPr>
        <w:t>und Rechnungslegungspraxis und interne Kontrolle einer Verwertungsgesell</w:t>
      </w:r>
      <w:r w:rsidRPr="004676F5">
        <w:rPr>
          <w:lang w:val="de-DE"/>
        </w:rPr>
        <w:softHyphen/>
        <w:t>schaft anfordern.</w:t>
      </w:r>
    </w:p>
    <w:p w14:paraId="043C41F6" w14:textId="77777777" w:rsidR="00E50100" w:rsidRPr="004676F5" w:rsidRDefault="00E50100" w:rsidP="00E50100">
      <w:pPr>
        <w:jc w:val="both"/>
        <w:rPr>
          <w:lang w:val="de-DE"/>
        </w:rPr>
      </w:pPr>
    </w:p>
    <w:p w14:paraId="16BB1C03" w14:textId="77777777" w:rsidR="00E50100" w:rsidRPr="004676F5" w:rsidRDefault="00E50100" w:rsidP="00E50100">
      <w:pPr>
        <w:jc w:val="both"/>
        <w:rPr>
          <w:lang w:val="de-DE"/>
        </w:rPr>
      </w:pPr>
      <w:r w:rsidRPr="004676F5">
        <w:rPr>
          <w:lang w:val="de-DE"/>
        </w:rPr>
        <w:lastRenderedPageBreak/>
        <w:tab/>
        <w:t>Stellt der Kontrolldienst fest, dass eine Verwertungsgesellschaft schwere oder wiederholte Verstöße gegen die Bestimmungen des vorliegenden Titels, seiner Ausführungs</w:t>
      </w:r>
      <w:r w:rsidRPr="004676F5">
        <w:rPr>
          <w:lang w:val="de-DE"/>
        </w:rPr>
        <w:softHyphen/>
        <w:t>erlasse oder gegen die Bestimmungen ihrer Satzung und ihrer Regelungen begangen hat und dass er auf der Grundlage der Angaben, über die er verfügt, deutliche Hinweise hat, dass diese Verstöße Folge einer nicht an die Tätigkeiten der Verwertungsgesellschaft angepassten Führungsstruktur oder Verwaltungspraxis sind, so kann er in diesem Zusammenhang Empfehlungen an die Verwertungsgesellschaft richten.</w:t>
      </w:r>
    </w:p>
    <w:p w14:paraId="232E67EC" w14:textId="77777777" w:rsidR="00E50100" w:rsidRPr="004676F5" w:rsidRDefault="00E50100" w:rsidP="00E50100">
      <w:pPr>
        <w:jc w:val="both"/>
        <w:rPr>
          <w:lang w:val="de-DE"/>
        </w:rPr>
      </w:pPr>
    </w:p>
    <w:p w14:paraId="4655917D" w14:textId="77777777" w:rsidR="00E50100" w:rsidRPr="004676F5" w:rsidRDefault="00E50100" w:rsidP="00E50100">
      <w:pPr>
        <w:jc w:val="both"/>
        <w:rPr>
          <w:lang w:val="de-DE"/>
        </w:rPr>
      </w:pPr>
      <w:r w:rsidRPr="004676F5">
        <w:rPr>
          <w:lang w:val="de-DE"/>
        </w:rPr>
        <w:tab/>
        <w:t>Die Verwertungsgesellschaft kann innerhalb einer Frist von drei Monaten entscheiden, ob sie diesen Empfehlungen folgt. Lehnt sie es ab, den Empfehlungen zu folgen, so muss sie dem Kontrolldienst innerhalb derselben Frist die Gründe hierfür nennen.</w:t>
      </w:r>
    </w:p>
    <w:p w14:paraId="5BBB508F" w14:textId="77777777" w:rsidR="00E50100" w:rsidRPr="004676F5" w:rsidRDefault="00E50100" w:rsidP="00E50100">
      <w:pPr>
        <w:jc w:val="both"/>
        <w:rPr>
          <w:lang w:val="de-DE"/>
        </w:rPr>
      </w:pPr>
    </w:p>
    <w:p w14:paraId="3C0E6A39" w14:textId="77777777" w:rsidR="00E50100" w:rsidRPr="004676F5" w:rsidRDefault="00E50100" w:rsidP="00E50100">
      <w:pPr>
        <w:jc w:val="both"/>
        <w:rPr>
          <w:lang w:val="de-DE"/>
        </w:rPr>
      </w:pPr>
      <w:r w:rsidRPr="004676F5">
        <w:rPr>
          <w:lang w:val="de-DE"/>
        </w:rPr>
        <w:tab/>
        <w:t>Hat die Verwertungsgesellschaft es abgelehnt, den Empfehlungen zu folgen, und stellt der Kontrolldienst fest, dass einem schweren oder wiederholten Verstoß gegen die Bestimmungen des vorliegenden Titels, seiner Ausführungserlasse oder gegen die Bestimmungen der Satzung und der Regelungen der betreffenden Gesellschaft nicht abgeholfen oder ein Ende gesetzt wurde, und weist er nach, dass dies auf eine nicht an die Tätigkeiten der Verwertungsgesellschaft angepasste Führungsstruktur oder Verwaltungspraxis zurückzuführen ist, so kann er notwendige Maßnahmen wie in den Artikeln XV.31/1, XV.62/1, XV.66/2 und XVII.21 ergreifen.]</w:t>
      </w:r>
    </w:p>
    <w:p w14:paraId="100DD23E" w14:textId="77777777" w:rsidR="00E50100" w:rsidRPr="004676F5" w:rsidRDefault="00E50100" w:rsidP="00933CDE">
      <w:pPr>
        <w:jc w:val="both"/>
        <w:rPr>
          <w:lang w:val="de-DE"/>
        </w:rPr>
      </w:pPr>
    </w:p>
    <w:p w14:paraId="7D475D93" w14:textId="019F47E7" w:rsidR="00E50100" w:rsidRPr="00B14651" w:rsidRDefault="00E50100" w:rsidP="00E50100">
      <w:pPr>
        <w:jc w:val="both"/>
        <w:rPr>
          <w:i/>
          <w:lang w:val="de-DE"/>
        </w:rPr>
      </w:pPr>
      <w:r w:rsidRPr="004676F5">
        <w:rPr>
          <w:i/>
          <w:lang w:val="de-DE"/>
        </w:rPr>
        <w:t>[</w:t>
      </w:r>
      <w:r w:rsidR="00BE0A56" w:rsidRPr="004676F5">
        <w:rPr>
          <w:i/>
          <w:lang w:val="de-DE"/>
        </w:rPr>
        <w:t>Art. </w:t>
      </w:r>
      <w:r w:rsidRPr="004676F5">
        <w:rPr>
          <w:i/>
          <w:lang w:val="de-DE"/>
        </w:rPr>
        <w:t xml:space="preserve">XI.248/11 eingefügt durch </w:t>
      </w:r>
      <w:r w:rsidR="00BE0A56" w:rsidRPr="004676F5">
        <w:rPr>
          <w:i/>
          <w:lang w:val="de-DE"/>
        </w:rPr>
        <w:t>Art. </w:t>
      </w:r>
      <w:r w:rsidRPr="004676F5">
        <w:rPr>
          <w:i/>
          <w:lang w:val="de-DE"/>
        </w:rPr>
        <w:t>38 des G. vom 8. </w:t>
      </w:r>
      <w:r w:rsidRPr="00B14651">
        <w:rPr>
          <w:i/>
          <w:lang w:val="de-DE"/>
        </w:rPr>
        <w:t>Juni 2017 (B.S. vom 27. Juni 2017)]</w:t>
      </w:r>
    </w:p>
    <w:p w14:paraId="35DDD46D" w14:textId="77777777" w:rsidR="00E50100" w:rsidRPr="00B14651" w:rsidRDefault="00E50100" w:rsidP="00933CDE">
      <w:pPr>
        <w:jc w:val="both"/>
        <w:rPr>
          <w:lang w:val="de-DE"/>
        </w:rPr>
      </w:pPr>
    </w:p>
    <w:p w14:paraId="1A2B358A" w14:textId="77777777" w:rsidR="00E50100" w:rsidRPr="00B14651" w:rsidRDefault="00E50100" w:rsidP="00933CDE">
      <w:pPr>
        <w:jc w:val="both"/>
        <w:rPr>
          <w:lang w:val="de-DE"/>
        </w:rPr>
      </w:pPr>
    </w:p>
    <w:p w14:paraId="06B19DBE" w14:textId="59897FDA" w:rsidR="00E50100" w:rsidRPr="004676F5" w:rsidRDefault="00E50100" w:rsidP="00E50100">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XI.248/12</w:t>
      </w:r>
      <w:r w:rsidRPr="004676F5">
        <w:rPr>
          <w:lang w:val="de-DE"/>
        </w:rPr>
        <w:t> </w:t>
      </w:r>
      <w:r w:rsidR="005B7A5C" w:rsidRPr="004676F5">
        <w:rPr>
          <w:lang w:val="de-DE"/>
        </w:rPr>
        <w:t>- </w:t>
      </w:r>
      <w:r w:rsidRPr="004676F5">
        <w:rPr>
          <w:lang w:val="de-DE"/>
        </w:rPr>
        <w:t>Bestehen enge Verbindungen zwischen einer Verwertungs</w:t>
      </w:r>
      <w:r w:rsidRPr="004676F5">
        <w:rPr>
          <w:lang w:val="de-DE"/>
        </w:rPr>
        <w:softHyphen/>
        <w:t>gesellschaft und anderen natürlichen oder juristischen Personen, so dürfen diese Verbindungen die angemessene Ausübung einer Beaufsichtigung der Verwertungsgesellschaft auf Einzelbasis oder konsolidierter Basis nicht behindern.</w:t>
      </w:r>
    </w:p>
    <w:p w14:paraId="66FD34BF" w14:textId="77777777" w:rsidR="00E50100" w:rsidRPr="004676F5" w:rsidRDefault="00E50100" w:rsidP="00E50100">
      <w:pPr>
        <w:jc w:val="both"/>
        <w:rPr>
          <w:lang w:val="de-DE"/>
        </w:rPr>
      </w:pPr>
    </w:p>
    <w:p w14:paraId="1ADD8278" w14:textId="77777777" w:rsidR="00E50100" w:rsidRPr="004676F5" w:rsidRDefault="00E50100" w:rsidP="00E50100">
      <w:pPr>
        <w:jc w:val="both"/>
        <w:rPr>
          <w:lang w:val="de-DE"/>
        </w:rPr>
      </w:pPr>
      <w:r w:rsidRPr="004676F5">
        <w:rPr>
          <w:lang w:val="de-DE"/>
        </w:rPr>
        <w:tab/>
        <w:t>Unter engen Verbindungen versteht man:</w:t>
      </w:r>
    </w:p>
    <w:p w14:paraId="3EE2EB78" w14:textId="77777777" w:rsidR="00E50100" w:rsidRPr="004676F5" w:rsidRDefault="00E50100" w:rsidP="00E50100">
      <w:pPr>
        <w:jc w:val="both"/>
        <w:rPr>
          <w:lang w:val="de-DE"/>
        </w:rPr>
      </w:pPr>
    </w:p>
    <w:p w14:paraId="22702513" w14:textId="77777777" w:rsidR="00E50100" w:rsidRPr="004676F5" w:rsidRDefault="00E50100" w:rsidP="00E50100">
      <w:pPr>
        <w:jc w:val="both"/>
        <w:rPr>
          <w:lang w:val="de-DE"/>
        </w:rPr>
      </w:pPr>
      <w:r w:rsidRPr="004676F5">
        <w:rPr>
          <w:lang w:val="de-DE"/>
        </w:rPr>
        <w:tab/>
        <w:t>1. eine Situation, in der ein Beteiligungsverhältnis besteht,</w:t>
      </w:r>
    </w:p>
    <w:p w14:paraId="434B1282" w14:textId="77777777" w:rsidR="00E50100" w:rsidRPr="004676F5" w:rsidRDefault="00E50100" w:rsidP="00E50100">
      <w:pPr>
        <w:jc w:val="both"/>
        <w:rPr>
          <w:lang w:val="de-DE"/>
        </w:rPr>
      </w:pPr>
    </w:p>
    <w:p w14:paraId="3211DF71" w14:textId="77777777" w:rsidR="00E50100" w:rsidRPr="004676F5" w:rsidRDefault="00E50100" w:rsidP="00E50100">
      <w:pPr>
        <w:jc w:val="both"/>
        <w:rPr>
          <w:lang w:val="de-DE"/>
        </w:rPr>
      </w:pPr>
      <w:r w:rsidRPr="004676F5">
        <w:rPr>
          <w:lang w:val="de-DE"/>
        </w:rPr>
        <w:tab/>
        <w:t>2. eine Situation, in der Gesellschaften verbundene Gesellschaften im Sinne des Gesellschaftsgesetzbuches sind,</w:t>
      </w:r>
    </w:p>
    <w:p w14:paraId="72B5C033" w14:textId="77777777" w:rsidR="00E50100" w:rsidRPr="004676F5" w:rsidRDefault="00E50100" w:rsidP="00E50100">
      <w:pPr>
        <w:jc w:val="both"/>
        <w:rPr>
          <w:lang w:val="de-DE"/>
        </w:rPr>
      </w:pPr>
    </w:p>
    <w:p w14:paraId="419B4FAD" w14:textId="77777777" w:rsidR="00E50100" w:rsidRPr="004676F5" w:rsidRDefault="00E50100" w:rsidP="00E50100">
      <w:pPr>
        <w:jc w:val="both"/>
        <w:rPr>
          <w:lang w:val="de-DE"/>
        </w:rPr>
      </w:pPr>
      <w:r w:rsidRPr="004676F5">
        <w:rPr>
          <w:lang w:val="de-DE"/>
        </w:rPr>
        <w:tab/>
        <w:t>3. eine Verbindung der gleichen Art wie vorstehend in Nr. 1 und 2 erwähnt zwischen einer natürlichen und einer juristischen Person.</w:t>
      </w:r>
    </w:p>
    <w:p w14:paraId="7E4C7018" w14:textId="77777777" w:rsidR="00E50100" w:rsidRPr="004676F5" w:rsidRDefault="00E50100" w:rsidP="00E50100">
      <w:pPr>
        <w:jc w:val="both"/>
        <w:rPr>
          <w:lang w:val="de-DE"/>
        </w:rPr>
      </w:pPr>
    </w:p>
    <w:p w14:paraId="55753729" w14:textId="77777777" w:rsidR="00E50100" w:rsidRPr="004676F5" w:rsidRDefault="00E50100" w:rsidP="00E50100">
      <w:pPr>
        <w:jc w:val="both"/>
        <w:rPr>
          <w:lang w:val="de-DE"/>
        </w:rPr>
      </w:pPr>
      <w:r w:rsidRPr="004676F5">
        <w:rPr>
          <w:lang w:val="de-DE"/>
        </w:rPr>
        <w:tab/>
        <w:t>Ungeachtet des Absatzes 2 wird bei folgenden Situationen davon ausgegangen, dass enge Verbindungen bestehen: Verwaltungsorgane, die mindestens mehrheitlich aus denselben Personen zusammengestellt sind, Gesellschaftssitz oder Betriebssitz an derselben Adresse, dauerhafte und relevante, direkte oder indirekte Verbindungen in Bezug auf administrativen, finanziellen oder logistischen Beistand oder Beistand hinsichtlich personeller Ressourcen oder Infrastruktur.]</w:t>
      </w:r>
    </w:p>
    <w:p w14:paraId="0CD21636" w14:textId="77777777" w:rsidR="00E50100" w:rsidRPr="004676F5" w:rsidRDefault="00E50100" w:rsidP="00933CDE">
      <w:pPr>
        <w:jc w:val="both"/>
        <w:rPr>
          <w:lang w:val="de-DE"/>
        </w:rPr>
      </w:pPr>
    </w:p>
    <w:p w14:paraId="72AAC1D2" w14:textId="27F46B8E" w:rsidR="00E50100" w:rsidRPr="00B14651" w:rsidRDefault="00E50100" w:rsidP="00E50100">
      <w:pPr>
        <w:jc w:val="both"/>
        <w:rPr>
          <w:i/>
          <w:lang w:val="de-DE"/>
        </w:rPr>
      </w:pPr>
      <w:r w:rsidRPr="004676F5">
        <w:rPr>
          <w:i/>
          <w:lang w:val="de-DE"/>
        </w:rPr>
        <w:t>[</w:t>
      </w:r>
      <w:r w:rsidR="00BE0A56" w:rsidRPr="004676F5">
        <w:rPr>
          <w:i/>
          <w:lang w:val="de-DE"/>
        </w:rPr>
        <w:t>Art. </w:t>
      </w:r>
      <w:r w:rsidRPr="004676F5">
        <w:rPr>
          <w:i/>
          <w:lang w:val="de-DE"/>
        </w:rPr>
        <w:t xml:space="preserve">XI.248/12 eingefügt durch </w:t>
      </w:r>
      <w:r w:rsidR="00BE0A56" w:rsidRPr="004676F5">
        <w:rPr>
          <w:i/>
          <w:lang w:val="de-DE"/>
        </w:rPr>
        <w:t>Art. </w:t>
      </w:r>
      <w:r w:rsidRPr="004676F5">
        <w:rPr>
          <w:i/>
          <w:lang w:val="de-DE"/>
        </w:rPr>
        <w:t>39 des G. vom 8. </w:t>
      </w:r>
      <w:r w:rsidRPr="00B14651">
        <w:rPr>
          <w:i/>
          <w:lang w:val="de-DE"/>
        </w:rPr>
        <w:t>Juni 2017 (B.S. vom 27. Juni 2017)]</w:t>
      </w:r>
    </w:p>
    <w:p w14:paraId="1BDA9BF0" w14:textId="77777777" w:rsidR="00E50100" w:rsidRPr="00B14651" w:rsidRDefault="00E50100" w:rsidP="00933CDE">
      <w:pPr>
        <w:jc w:val="both"/>
        <w:rPr>
          <w:lang w:val="de-DE"/>
        </w:rPr>
      </w:pPr>
    </w:p>
    <w:p w14:paraId="2C9D0966" w14:textId="77777777" w:rsidR="00E50100" w:rsidRPr="00B14651" w:rsidRDefault="00E50100" w:rsidP="00933CDE">
      <w:pPr>
        <w:jc w:val="both"/>
        <w:rPr>
          <w:lang w:val="de-DE"/>
        </w:rPr>
      </w:pPr>
    </w:p>
    <w:p w14:paraId="1F7E6546" w14:textId="77777777" w:rsidR="00E50100" w:rsidRPr="00B14651" w:rsidRDefault="00E50100">
      <w:pPr>
        <w:rPr>
          <w:lang w:val="de-DE"/>
        </w:rPr>
      </w:pPr>
      <w:r w:rsidRPr="00B14651">
        <w:rPr>
          <w:lang w:val="de-DE"/>
        </w:rPr>
        <w:br w:type="page"/>
      </w:r>
    </w:p>
    <w:p w14:paraId="4EFFF264" w14:textId="51939ED3" w:rsidR="00E50100" w:rsidRPr="004676F5" w:rsidRDefault="00E50100" w:rsidP="00E50100">
      <w:pPr>
        <w:jc w:val="center"/>
        <w:rPr>
          <w:lang w:val="de-DE"/>
        </w:rPr>
      </w:pPr>
      <w:r w:rsidRPr="004676F5">
        <w:rPr>
          <w:lang w:val="de-DE"/>
        </w:rPr>
        <w:lastRenderedPageBreak/>
        <w:t>[</w:t>
      </w:r>
      <w:r w:rsidRPr="004676F5">
        <w:rPr>
          <w:i/>
          <w:lang w:val="de-DE"/>
        </w:rPr>
        <w:t>Abschnitt 4</w:t>
      </w:r>
      <w:r w:rsidRPr="004676F5">
        <w:rPr>
          <w:lang w:val="de-DE"/>
        </w:rPr>
        <w:t> </w:t>
      </w:r>
      <w:r w:rsidR="005B7A5C" w:rsidRPr="004676F5">
        <w:rPr>
          <w:lang w:val="de-DE"/>
        </w:rPr>
        <w:t>- </w:t>
      </w:r>
      <w:r w:rsidRPr="004676F5">
        <w:rPr>
          <w:lang w:val="de-DE"/>
        </w:rPr>
        <w:t>Rechtewahrnehmung]</w:t>
      </w:r>
    </w:p>
    <w:p w14:paraId="4C02B680" w14:textId="77777777" w:rsidR="00E50100" w:rsidRPr="004676F5" w:rsidRDefault="00E50100" w:rsidP="00E50100">
      <w:pPr>
        <w:jc w:val="center"/>
        <w:rPr>
          <w:lang w:val="de-DE"/>
        </w:rPr>
      </w:pPr>
    </w:p>
    <w:p w14:paraId="1F2033FA" w14:textId="2C871BD5" w:rsidR="00E50100" w:rsidRPr="00B14651" w:rsidRDefault="00E50100" w:rsidP="00E50100">
      <w:pPr>
        <w:jc w:val="both"/>
        <w:rPr>
          <w:i/>
          <w:lang w:val="de-DE"/>
        </w:rPr>
      </w:pPr>
      <w:r w:rsidRPr="004676F5">
        <w:rPr>
          <w:i/>
          <w:lang w:val="de-DE"/>
        </w:rPr>
        <w:t xml:space="preserve">[Unterteilung Abschnitt 4 eingefügt durch </w:t>
      </w:r>
      <w:r w:rsidR="00BE0A56" w:rsidRPr="004676F5">
        <w:rPr>
          <w:i/>
          <w:lang w:val="de-DE"/>
        </w:rPr>
        <w:t>Art. </w:t>
      </w:r>
      <w:r w:rsidRPr="004676F5">
        <w:rPr>
          <w:i/>
          <w:lang w:val="de-DE"/>
        </w:rPr>
        <w:t>40 des G. vom 8. </w:t>
      </w:r>
      <w:r w:rsidRPr="00B14651">
        <w:rPr>
          <w:i/>
          <w:lang w:val="de-DE"/>
        </w:rPr>
        <w:t>Juni 2017 (B.S. vom 27. Juni 2017)]</w:t>
      </w:r>
    </w:p>
    <w:p w14:paraId="3176D1BE" w14:textId="77777777" w:rsidR="00E50100" w:rsidRPr="00B14651" w:rsidRDefault="00E50100" w:rsidP="00933CDE">
      <w:pPr>
        <w:jc w:val="both"/>
        <w:rPr>
          <w:lang w:val="de-DE"/>
        </w:rPr>
      </w:pPr>
    </w:p>
    <w:p w14:paraId="36592A49" w14:textId="77777777" w:rsidR="00FC2250" w:rsidRPr="00B14651" w:rsidRDefault="00FC2250" w:rsidP="00933CDE">
      <w:pPr>
        <w:jc w:val="both"/>
        <w:rPr>
          <w:lang w:val="de-DE"/>
        </w:rPr>
      </w:pPr>
    </w:p>
    <w:p w14:paraId="15B7F835" w14:textId="12E974C9" w:rsidR="00FC2250" w:rsidRPr="004676F5" w:rsidRDefault="00FC2250" w:rsidP="00FC2250">
      <w:pPr>
        <w:jc w:val="center"/>
        <w:rPr>
          <w:lang w:val="de-DE"/>
        </w:rPr>
      </w:pPr>
      <w:r w:rsidRPr="004676F5">
        <w:rPr>
          <w:lang w:val="de-DE"/>
        </w:rPr>
        <w:t>[Unterabschnitt 1 </w:t>
      </w:r>
      <w:r w:rsidR="005B7A5C" w:rsidRPr="004676F5">
        <w:rPr>
          <w:lang w:val="de-DE"/>
        </w:rPr>
        <w:t>- </w:t>
      </w:r>
      <w:r w:rsidRPr="004676F5">
        <w:rPr>
          <w:lang w:val="de-DE"/>
        </w:rPr>
        <w:t>Entgelterhebungs-, Einnahme</w:t>
      </w:r>
      <w:r w:rsidR="005B7A5C" w:rsidRPr="004676F5">
        <w:rPr>
          <w:lang w:val="de-DE"/>
        </w:rPr>
        <w:t>- </w:t>
      </w:r>
      <w:r w:rsidRPr="004676F5">
        <w:rPr>
          <w:lang w:val="de-DE"/>
        </w:rPr>
        <w:t>und Verteilungsregeln]</w:t>
      </w:r>
    </w:p>
    <w:p w14:paraId="4DB9B9E2" w14:textId="77777777" w:rsidR="00FC2250" w:rsidRPr="004676F5" w:rsidRDefault="00FC2250" w:rsidP="00FC2250">
      <w:pPr>
        <w:jc w:val="center"/>
        <w:rPr>
          <w:lang w:val="de-DE"/>
        </w:rPr>
      </w:pPr>
    </w:p>
    <w:p w14:paraId="691CE885" w14:textId="79FE957C" w:rsidR="00FC2250" w:rsidRPr="004676F5" w:rsidRDefault="00FC2250" w:rsidP="00FC2250">
      <w:pPr>
        <w:jc w:val="both"/>
        <w:rPr>
          <w:i/>
          <w:lang w:val="de-DE"/>
        </w:rPr>
      </w:pPr>
      <w:r w:rsidRPr="004676F5">
        <w:rPr>
          <w:i/>
          <w:lang w:val="de-DE"/>
        </w:rPr>
        <w:t xml:space="preserve">[Unterteilung Unterabschnitt 1 eingefügt durch </w:t>
      </w:r>
      <w:r w:rsidR="00BE0A56" w:rsidRPr="004676F5">
        <w:rPr>
          <w:i/>
          <w:lang w:val="de-DE"/>
        </w:rPr>
        <w:t>Art. </w:t>
      </w:r>
      <w:r w:rsidRPr="004676F5">
        <w:rPr>
          <w:i/>
          <w:lang w:val="de-DE"/>
        </w:rPr>
        <w:t>41 des G. vom 8. Juni 2017 (B.S. vom 27. Juni 2017)]</w:t>
      </w:r>
    </w:p>
    <w:p w14:paraId="151112DB" w14:textId="77777777" w:rsidR="00FC2250" w:rsidRPr="004676F5" w:rsidRDefault="00FC2250" w:rsidP="00FC2250">
      <w:pPr>
        <w:jc w:val="center"/>
        <w:rPr>
          <w:lang w:val="de-DE"/>
        </w:rPr>
      </w:pPr>
    </w:p>
    <w:p w14:paraId="4B0D1B8C" w14:textId="77777777" w:rsidR="00E50100" w:rsidRPr="004676F5" w:rsidRDefault="00E50100" w:rsidP="00933CDE">
      <w:pPr>
        <w:jc w:val="both"/>
        <w:rPr>
          <w:lang w:val="de-DE"/>
        </w:rPr>
      </w:pPr>
    </w:p>
    <w:p w14:paraId="50E6A858" w14:textId="18E47AD2" w:rsidR="00FC2250" w:rsidRPr="004676F5" w:rsidRDefault="00BE0A56" w:rsidP="00FC2250">
      <w:pPr>
        <w:ind w:firstLine="708"/>
        <w:jc w:val="both"/>
        <w:rPr>
          <w:lang w:val="de-DE"/>
        </w:rPr>
      </w:pPr>
      <w:r w:rsidRPr="004676F5">
        <w:rPr>
          <w:b/>
          <w:lang w:val="de-DE"/>
        </w:rPr>
        <w:t>Art. </w:t>
      </w:r>
      <w:r w:rsidR="001527B1" w:rsidRPr="004676F5">
        <w:rPr>
          <w:b/>
          <w:lang w:val="de-DE"/>
        </w:rPr>
        <w:t>XI.249</w:t>
      </w:r>
      <w:r w:rsidR="001527B1" w:rsidRPr="004676F5">
        <w:rPr>
          <w:lang w:val="de-DE"/>
        </w:rPr>
        <w:t> </w:t>
      </w:r>
      <w:r w:rsidR="005B7A5C" w:rsidRPr="004676F5">
        <w:rPr>
          <w:lang w:val="de-DE"/>
        </w:rPr>
        <w:t>- </w:t>
      </w:r>
      <w:r w:rsidR="00FC2250" w:rsidRPr="004676F5">
        <w:rPr>
          <w:lang w:val="de-DE"/>
        </w:rPr>
        <w:t>[§ 1 </w:t>
      </w:r>
      <w:r w:rsidR="005B7A5C" w:rsidRPr="004676F5">
        <w:rPr>
          <w:lang w:val="de-DE"/>
        </w:rPr>
        <w:t>- </w:t>
      </w:r>
      <w:r w:rsidR="00FC2250" w:rsidRPr="004676F5">
        <w:rPr>
          <w:lang w:val="de-DE"/>
        </w:rPr>
        <w:t>Verwertungsgesellschaften legen Entgelterhebungs-, Einnahme</w:t>
      </w:r>
      <w:r w:rsidR="005B7A5C" w:rsidRPr="004676F5">
        <w:rPr>
          <w:lang w:val="de-DE"/>
        </w:rPr>
        <w:t>- </w:t>
      </w:r>
      <w:r w:rsidR="00FC2250" w:rsidRPr="004676F5">
        <w:rPr>
          <w:lang w:val="de-DE"/>
        </w:rPr>
        <w:t>und Verteilungsregeln für alle Nutzungsarten, für die sie die Rechte der Rechtsinhaber wahrnehmen, fest, außer in Fällen, in denen sie durch oder aufgrund des Gesetzes festgelegt werden oder werden müssen.</w:t>
      </w:r>
    </w:p>
    <w:p w14:paraId="3BD513AE" w14:textId="77777777" w:rsidR="00FC2250" w:rsidRPr="004676F5" w:rsidRDefault="00FC2250" w:rsidP="00FC2250">
      <w:pPr>
        <w:jc w:val="both"/>
        <w:rPr>
          <w:lang w:val="de-DE"/>
        </w:rPr>
      </w:pPr>
    </w:p>
    <w:p w14:paraId="7860E0A3" w14:textId="4CA544FB" w:rsidR="00FC2250" w:rsidRPr="004676F5" w:rsidRDefault="00FC2250" w:rsidP="00FC2250">
      <w:pPr>
        <w:jc w:val="both"/>
        <w:rPr>
          <w:lang w:val="de-DE"/>
        </w:rPr>
      </w:pPr>
      <w:r w:rsidRPr="004676F5">
        <w:rPr>
          <w:lang w:val="de-DE"/>
        </w:rPr>
        <w:tab/>
        <w:t>§ 2 </w:t>
      </w:r>
      <w:r w:rsidR="005B7A5C" w:rsidRPr="004676F5">
        <w:rPr>
          <w:lang w:val="de-DE"/>
        </w:rPr>
        <w:t>- </w:t>
      </w:r>
      <w:r w:rsidRPr="004676F5">
        <w:rPr>
          <w:lang w:val="de-DE"/>
        </w:rPr>
        <w:t>Die Verteilungsregeln umfassen ebenfalls Informationen zu Verwaltungskosten und anderen Abzügen von den Einnahmen aus den Rechten und über Abzüge von Erträgen aus den Anlagen der Einnahmen aus den Rechten. Wenn ein Rechtsinhaber eine Verwertungs</w:t>
      </w:r>
      <w:r w:rsidRPr="004676F5">
        <w:rPr>
          <w:lang w:val="de-DE"/>
        </w:rPr>
        <w:softHyphen/>
        <w:t>gesellschaft oder Organisation für die kollektive Rechtewahrnehmung mit der Wahrnehmung seiner Rechte beauftragt, muss die Gesellschaft oder Organisation diese Informationen dem Rechtsinhaber bereitstellen, bevor sie seine Zustimmung zur Wahrnehmung seiner Rechte einholt.</w:t>
      </w:r>
    </w:p>
    <w:p w14:paraId="3796B2AB" w14:textId="77777777" w:rsidR="00FC2250" w:rsidRPr="004676F5" w:rsidRDefault="00FC2250" w:rsidP="00FC2250">
      <w:pPr>
        <w:jc w:val="both"/>
        <w:rPr>
          <w:lang w:val="de-DE"/>
        </w:rPr>
      </w:pPr>
    </w:p>
    <w:p w14:paraId="2B5121DD" w14:textId="4409903C" w:rsidR="00FC2250" w:rsidRPr="004676F5" w:rsidRDefault="00FC2250" w:rsidP="00FC2250">
      <w:pPr>
        <w:jc w:val="both"/>
        <w:rPr>
          <w:lang w:val="de-DE"/>
        </w:rPr>
      </w:pPr>
      <w:r w:rsidRPr="004676F5">
        <w:rPr>
          <w:lang w:val="de-DE"/>
        </w:rPr>
        <w:tab/>
        <w:t>§ 3 </w:t>
      </w:r>
      <w:r w:rsidR="005B7A5C" w:rsidRPr="004676F5">
        <w:rPr>
          <w:lang w:val="de-DE"/>
        </w:rPr>
        <w:t>- </w:t>
      </w:r>
      <w:r w:rsidRPr="004676F5">
        <w:rPr>
          <w:lang w:val="de-DE"/>
        </w:rPr>
        <w:t>Verwertungsgesellschaften verfügen stets über eine aktualisierte und koordinierte Fassung ihrer Entgelterhebungs-, Einnahme</w:t>
      </w:r>
      <w:r w:rsidR="005B7A5C" w:rsidRPr="004676F5">
        <w:rPr>
          <w:lang w:val="de-DE"/>
        </w:rPr>
        <w:t>- </w:t>
      </w:r>
      <w:r w:rsidRPr="004676F5">
        <w:rPr>
          <w:lang w:val="de-DE"/>
        </w:rPr>
        <w:t>und Verteilungsregeln. Die aktualisierte und koordinierte Fassung der Entgelterhebungs</w:t>
      </w:r>
      <w:r w:rsidR="005B7A5C" w:rsidRPr="004676F5">
        <w:rPr>
          <w:lang w:val="de-DE"/>
        </w:rPr>
        <w:t>- </w:t>
      </w:r>
      <w:r w:rsidRPr="004676F5">
        <w:rPr>
          <w:lang w:val="de-DE"/>
        </w:rPr>
        <w:t>und Einnahmeregeln wird innerhalb einer Frist von einem Monat ab ihrer letzten Aktualisierung auf die Website der Verwertungsgesellschaft gestellt an deutlich lesbarer Stelle und mit deutlichen Verweisen im Hauptmenü der Website.</w:t>
      </w:r>
    </w:p>
    <w:p w14:paraId="628CE9A9" w14:textId="77777777" w:rsidR="00FC2250" w:rsidRPr="004676F5" w:rsidRDefault="00FC2250" w:rsidP="00FC2250">
      <w:pPr>
        <w:jc w:val="both"/>
        <w:rPr>
          <w:lang w:val="de-DE"/>
        </w:rPr>
      </w:pPr>
    </w:p>
    <w:p w14:paraId="52ECD215" w14:textId="1D2C0EBB" w:rsidR="001527B1" w:rsidRPr="004676F5" w:rsidRDefault="00FC2250" w:rsidP="00FC2250">
      <w:pPr>
        <w:ind w:firstLine="708"/>
        <w:jc w:val="both"/>
        <w:rPr>
          <w:lang w:val="de-DE"/>
        </w:rPr>
      </w:pPr>
      <w:r w:rsidRPr="004676F5">
        <w:rPr>
          <w:lang w:val="de-DE"/>
        </w:rPr>
        <w:t>Ein Rechtsinhaber, der die Wahrnehmung seiner Rechte einer Verwertungsgesellschaft anvertraut hat, hat das Recht, innerhalb einer Frist von drei Wochen nach seinem Antrag eine Ausfertigung der aktualisierten und koordinierten Fassung der Entgelterhebungs-, Einnahme</w:t>
      </w:r>
      <w:r w:rsidR="005B7A5C" w:rsidRPr="004676F5">
        <w:rPr>
          <w:lang w:val="de-DE"/>
        </w:rPr>
        <w:t>- </w:t>
      </w:r>
      <w:r w:rsidRPr="004676F5">
        <w:rPr>
          <w:lang w:val="de-DE"/>
        </w:rPr>
        <w:t>und Verteilungsregeln dieser Verwertungsgesellschaft zu erhalten.]</w:t>
      </w:r>
    </w:p>
    <w:p w14:paraId="624459BA" w14:textId="77777777" w:rsidR="001527B1" w:rsidRPr="004676F5" w:rsidRDefault="001527B1" w:rsidP="001527B1">
      <w:pPr>
        <w:ind w:firstLine="708"/>
        <w:jc w:val="both"/>
        <w:rPr>
          <w:lang w:val="de-DE"/>
        </w:rPr>
      </w:pPr>
    </w:p>
    <w:p w14:paraId="73331633" w14:textId="1F5D424F" w:rsidR="00FC2250" w:rsidRPr="00B14651" w:rsidRDefault="00FC2250" w:rsidP="00FC2250">
      <w:pPr>
        <w:jc w:val="both"/>
        <w:rPr>
          <w:i/>
          <w:lang w:val="de-DE"/>
        </w:rPr>
      </w:pPr>
      <w:r w:rsidRPr="004676F5">
        <w:rPr>
          <w:i/>
          <w:lang w:val="de-DE"/>
        </w:rPr>
        <w:t>[</w:t>
      </w:r>
      <w:r w:rsidR="00BE0A56" w:rsidRPr="004676F5">
        <w:rPr>
          <w:i/>
          <w:lang w:val="de-DE"/>
        </w:rPr>
        <w:t>Art. </w:t>
      </w:r>
      <w:r w:rsidRPr="004676F5">
        <w:rPr>
          <w:i/>
          <w:lang w:val="de-DE"/>
        </w:rPr>
        <w:t xml:space="preserve">XI.249 ersetzt durch </w:t>
      </w:r>
      <w:r w:rsidR="00BE0A56" w:rsidRPr="004676F5">
        <w:rPr>
          <w:i/>
          <w:lang w:val="de-DE"/>
        </w:rPr>
        <w:t>Art. </w:t>
      </w:r>
      <w:r w:rsidRPr="004676F5">
        <w:rPr>
          <w:i/>
          <w:lang w:val="de-DE"/>
        </w:rPr>
        <w:t>42 des G. vom 8. </w:t>
      </w:r>
      <w:r w:rsidRPr="00B14651">
        <w:rPr>
          <w:i/>
          <w:lang w:val="de-DE"/>
        </w:rPr>
        <w:t>Juni 2017 (B.S. vom 27. Juni 2017)]</w:t>
      </w:r>
    </w:p>
    <w:p w14:paraId="09E7965F" w14:textId="77777777" w:rsidR="00FC2250" w:rsidRPr="00B14651" w:rsidRDefault="00FC2250" w:rsidP="00FC2250">
      <w:pPr>
        <w:jc w:val="both"/>
        <w:rPr>
          <w:i/>
          <w:lang w:val="de-DE"/>
        </w:rPr>
      </w:pPr>
    </w:p>
    <w:p w14:paraId="14806719" w14:textId="77777777" w:rsidR="00FC2250" w:rsidRPr="00B14651" w:rsidRDefault="00FC2250" w:rsidP="00FC2250">
      <w:pPr>
        <w:jc w:val="both"/>
        <w:rPr>
          <w:lang w:val="de-DE"/>
        </w:rPr>
      </w:pPr>
    </w:p>
    <w:p w14:paraId="1CFFE07C" w14:textId="66C3245D" w:rsidR="00FC2250" w:rsidRPr="004676F5" w:rsidRDefault="00FC2250" w:rsidP="00FC2250">
      <w:pPr>
        <w:jc w:val="center"/>
        <w:rPr>
          <w:lang w:val="de-DE"/>
        </w:rPr>
      </w:pPr>
      <w:r w:rsidRPr="004676F5">
        <w:rPr>
          <w:lang w:val="de-DE"/>
        </w:rPr>
        <w:t>[Unterabschnitt 2 </w:t>
      </w:r>
      <w:r w:rsidR="005B7A5C" w:rsidRPr="004676F5">
        <w:rPr>
          <w:lang w:val="de-DE"/>
        </w:rPr>
        <w:t>- </w:t>
      </w:r>
      <w:r w:rsidRPr="004676F5">
        <w:rPr>
          <w:lang w:val="de-DE"/>
        </w:rPr>
        <w:t>Anlagen]</w:t>
      </w:r>
    </w:p>
    <w:p w14:paraId="1F53A394" w14:textId="77777777" w:rsidR="00FC2250" w:rsidRPr="004676F5" w:rsidRDefault="00FC2250" w:rsidP="00FC2250">
      <w:pPr>
        <w:jc w:val="center"/>
        <w:rPr>
          <w:lang w:val="de-DE"/>
        </w:rPr>
      </w:pPr>
    </w:p>
    <w:p w14:paraId="66B736E3" w14:textId="5496C887" w:rsidR="00FC2250" w:rsidRPr="004676F5" w:rsidRDefault="00FC2250" w:rsidP="00FC2250">
      <w:pPr>
        <w:jc w:val="both"/>
        <w:rPr>
          <w:i/>
          <w:lang w:val="de-DE"/>
        </w:rPr>
      </w:pPr>
      <w:r w:rsidRPr="004676F5">
        <w:rPr>
          <w:i/>
          <w:lang w:val="de-DE"/>
        </w:rPr>
        <w:t xml:space="preserve">[Unterteilung Unterabschnitt 2 eingefügt durch </w:t>
      </w:r>
      <w:r w:rsidR="00BE0A56" w:rsidRPr="004676F5">
        <w:rPr>
          <w:i/>
          <w:lang w:val="de-DE"/>
        </w:rPr>
        <w:t>Art. </w:t>
      </w:r>
      <w:r w:rsidRPr="004676F5">
        <w:rPr>
          <w:i/>
          <w:lang w:val="de-DE"/>
        </w:rPr>
        <w:t>43 des G. vom 8. Juni 2017 (B.S. vom 27. Juni 2017)]</w:t>
      </w:r>
    </w:p>
    <w:p w14:paraId="1DC17F4E" w14:textId="77777777" w:rsidR="00FC2250" w:rsidRPr="004676F5" w:rsidRDefault="00FC2250" w:rsidP="001527B1">
      <w:pPr>
        <w:ind w:firstLine="708"/>
        <w:jc w:val="both"/>
        <w:rPr>
          <w:lang w:val="de-DE"/>
        </w:rPr>
      </w:pPr>
    </w:p>
    <w:p w14:paraId="233D88D6" w14:textId="77777777" w:rsidR="00355502" w:rsidRPr="004676F5" w:rsidRDefault="00355502" w:rsidP="001527B1">
      <w:pPr>
        <w:ind w:firstLine="708"/>
        <w:jc w:val="both"/>
        <w:rPr>
          <w:lang w:val="de-DE"/>
        </w:rPr>
      </w:pPr>
    </w:p>
    <w:p w14:paraId="0AB747BF" w14:textId="2800A10B" w:rsidR="00FC2250" w:rsidRPr="004676F5" w:rsidRDefault="00BE0A56" w:rsidP="00FC2250">
      <w:pPr>
        <w:ind w:firstLine="708"/>
        <w:jc w:val="both"/>
        <w:rPr>
          <w:lang w:val="de-DE"/>
        </w:rPr>
      </w:pPr>
      <w:r w:rsidRPr="004676F5">
        <w:rPr>
          <w:b/>
          <w:lang w:val="de-DE"/>
        </w:rPr>
        <w:t>Art. </w:t>
      </w:r>
      <w:r w:rsidR="001527B1" w:rsidRPr="004676F5">
        <w:rPr>
          <w:b/>
          <w:lang w:val="de-DE"/>
        </w:rPr>
        <w:t>XI.250</w:t>
      </w:r>
      <w:r w:rsidR="001527B1" w:rsidRPr="004676F5">
        <w:rPr>
          <w:lang w:val="de-DE"/>
        </w:rPr>
        <w:t> </w:t>
      </w:r>
      <w:r w:rsidR="005B7A5C" w:rsidRPr="004676F5">
        <w:rPr>
          <w:lang w:val="de-DE"/>
        </w:rPr>
        <w:t>- </w:t>
      </w:r>
      <w:r w:rsidR="00FC2250" w:rsidRPr="004676F5">
        <w:rPr>
          <w:lang w:val="de-DE"/>
        </w:rPr>
        <w:t xml:space="preserve">[Einnahmen aus den Rechten und Erträge aus den Anlagen der Einnahmen aus den Rechten dürfen von den Verwertungsgesellschaften nur </w:t>
      </w:r>
      <w:r w:rsidR="00070CA0" w:rsidRPr="004676F5">
        <w:rPr>
          <w:lang w:val="de-DE"/>
        </w:rPr>
        <w:t>[defensiv]</w:t>
      </w:r>
      <w:r w:rsidR="00FC2250" w:rsidRPr="004676F5">
        <w:rPr>
          <w:lang w:val="de-DE"/>
        </w:rPr>
        <w:t xml:space="preserve"> angelegt werden.</w:t>
      </w:r>
    </w:p>
    <w:p w14:paraId="3448213C" w14:textId="77777777" w:rsidR="00FC2250" w:rsidRPr="004676F5" w:rsidRDefault="00FC2250" w:rsidP="00FC2250">
      <w:pPr>
        <w:jc w:val="both"/>
        <w:rPr>
          <w:lang w:val="de-DE"/>
        </w:rPr>
      </w:pPr>
    </w:p>
    <w:p w14:paraId="4E2FD323" w14:textId="77777777" w:rsidR="00FC2250" w:rsidRPr="004676F5" w:rsidRDefault="00FC2250" w:rsidP="00FC2250">
      <w:pPr>
        <w:jc w:val="both"/>
        <w:rPr>
          <w:lang w:val="de-DE"/>
        </w:rPr>
      </w:pPr>
      <w:r w:rsidRPr="004676F5">
        <w:rPr>
          <w:lang w:val="de-DE"/>
        </w:rPr>
        <w:tab/>
        <w:t xml:space="preserve">Legt eine Verwertungsgesellschaft gemäß Absatz 1 die Einnahmen aus den Rechten oder die Erträge aus den Anlagen dieser Einnahmen an, so geschieht dies im besten Interesse der Rechtsinhaber, deren Rechte sie repräsentiert, im Einklang mit der allgemeinen </w:t>
      </w:r>
      <w:r w:rsidRPr="004676F5">
        <w:rPr>
          <w:lang w:val="de-DE"/>
        </w:rPr>
        <w:lastRenderedPageBreak/>
        <w:t>Anlagepolitik und den Grundsätzen für das Risikomanagement im Sinne des Artikels XI.248/4 § 3 Nr. 3 und 6 und im Einklang mit den nachstehenden Bestimmungen:</w:t>
      </w:r>
    </w:p>
    <w:p w14:paraId="1BC3C57A" w14:textId="77777777" w:rsidR="00FC2250" w:rsidRPr="004676F5" w:rsidRDefault="00FC2250" w:rsidP="00FC2250">
      <w:pPr>
        <w:jc w:val="both"/>
        <w:rPr>
          <w:lang w:val="de-DE"/>
        </w:rPr>
      </w:pPr>
    </w:p>
    <w:p w14:paraId="407B920B" w14:textId="77777777" w:rsidR="00FC2250" w:rsidRPr="004676F5" w:rsidRDefault="00FC2250" w:rsidP="00FC2250">
      <w:pPr>
        <w:jc w:val="both"/>
        <w:rPr>
          <w:lang w:val="de-DE"/>
        </w:rPr>
      </w:pPr>
      <w:r w:rsidRPr="004676F5">
        <w:rPr>
          <w:lang w:val="de-DE"/>
        </w:rPr>
        <w:tab/>
        <w:t>1. Im Falle eines möglichen Interessenkonflikts sorgt die Verwertungsgesellschaft dafür, dass die Anlage einzig und allein im Interesse dieser Rechtsinhaber erfolgt.</w:t>
      </w:r>
    </w:p>
    <w:p w14:paraId="5F9E76BA" w14:textId="77777777" w:rsidR="00FC2250" w:rsidRPr="004676F5" w:rsidRDefault="00FC2250" w:rsidP="00FC2250">
      <w:pPr>
        <w:jc w:val="both"/>
        <w:rPr>
          <w:lang w:val="de-DE"/>
        </w:rPr>
      </w:pPr>
    </w:p>
    <w:p w14:paraId="5D3DA964" w14:textId="77777777" w:rsidR="00FC2250" w:rsidRPr="004676F5" w:rsidRDefault="00FC2250" w:rsidP="00FC2250">
      <w:pPr>
        <w:jc w:val="both"/>
        <w:rPr>
          <w:lang w:val="de-DE"/>
        </w:rPr>
      </w:pPr>
      <w:r w:rsidRPr="004676F5">
        <w:rPr>
          <w:lang w:val="de-DE"/>
        </w:rPr>
        <w:tab/>
        <w:t>2. Die Vermögenswerte sind so anzulegen, dass Sicherheit, Qualität, Liquidität und Rentabilität des Portfolios insgesamt gewährleistet ist.</w:t>
      </w:r>
    </w:p>
    <w:p w14:paraId="219849C8" w14:textId="77777777" w:rsidR="00FC2250" w:rsidRPr="004676F5" w:rsidRDefault="00FC2250" w:rsidP="00FC2250">
      <w:pPr>
        <w:jc w:val="both"/>
        <w:rPr>
          <w:lang w:val="de-DE"/>
        </w:rPr>
      </w:pPr>
    </w:p>
    <w:p w14:paraId="6A533912" w14:textId="77777777" w:rsidR="001527B1" w:rsidRPr="004676F5" w:rsidRDefault="00FC2250" w:rsidP="00FC2250">
      <w:pPr>
        <w:ind w:firstLine="708"/>
        <w:jc w:val="both"/>
        <w:rPr>
          <w:lang w:val="de-DE"/>
        </w:rPr>
      </w:pPr>
      <w:r w:rsidRPr="004676F5">
        <w:rPr>
          <w:lang w:val="de-DE"/>
        </w:rPr>
        <w:t>3. Die Anlagen sind in angemessener Weise so zu streuen, dass eine übermäßige Abhängigkeit von einem bestimmten Vermögenswert und eine Risikokonzentration im Portfolio insgesamt vermieden werden.]</w:t>
      </w:r>
    </w:p>
    <w:p w14:paraId="15C16951" w14:textId="77777777" w:rsidR="001527B1" w:rsidRPr="004676F5" w:rsidRDefault="001527B1" w:rsidP="001527B1">
      <w:pPr>
        <w:ind w:firstLine="708"/>
        <w:jc w:val="both"/>
        <w:rPr>
          <w:lang w:val="de-DE"/>
        </w:rPr>
      </w:pPr>
    </w:p>
    <w:p w14:paraId="37F212FB" w14:textId="5ECED1E1" w:rsidR="00FC2250" w:rsidRPr="004676F5" w:rsidRDefault="00FC2250" w:rsidP="00FC2250">
      <w:pPr>
        <w:jc w:val="both"/>
        <w:rPr>
          <w:i/>
          <w:lang w:val="de-DE"/>
        </w:rPr>
      </w:pPr>
      <w:r w:rsidRPr="004676F5">
        <w:rPr>
          <w:i/>
          <w:lang w:val="de-DE"/>
        </w:rPr>
        <w:t>[</w:t>
      </w:r>
      <w:r w:rsidR="00BE0A56" w:rsidRPr="004676F5">
        <w:rPr>
          <w:i/>
          <w:lang w:val="de-DE"/>
        </w:rPr>
        <w:t>Art. </w:t>
      </w:r>
      <w:r w:rsidRPr="004676F5">
        <w:rPr>
          <w:i/>
          <w:lang w:val="de-DE"/>
        </w:rPr>
        <w:t xml:space="preserve">XI.250 ersetzt durch </w:t>
      </w:r>
      <w:r w:rsidR="00BE0A56" w:rsidRPr="004676F5">
        <w:rPr>
          <w:i/>
          <w:lang w:val="de-DE"/>
        </w:rPr>
        <w:t>Art. </w:t>
      </w:r>
      <w:r w:rsidRPr="004676F5">
        <w:rPr>
          <w:i/>
          <w:lang w:val="de-DE"/>
        </w:rPr>
        <w:t>44 des G. vom 8. Juni 2017 (B.S. vom 27. Juni 2017)</w:t>
      </w:r>
      <w:r w:rsidR="00B90A6A" w:rsidRPr="004676F5">
        <w:rPr>
          <w:i/>
          <w:lang w:val="de-DE"/>
        </w:rPr>
        <w:t>; Abs. 1 abgeändert durch Art. 41</w:t>
      </w:r>
      <w:r w:rsidR="00B90A6A" w:rsidRPr="004676F5">
        <w:rPr>
          <w:i/>
          <w:iCs/>
          <w:lang w:val="de-DE"/>
        </w:rPr>
        <w:t xml:space="preserve"> des G. vom 9. Februar 2024 (B.S. vom 21. März 2024)</w:t>
      </w:r>
      <w:r w:rsidRPr="004676F5">
        <w:rPr>
          <w:i/>
          <w:lang w:val="de-DE"/>
        </w:rPr>
        <w:t>]</w:t>
      </w:r>
    </w:p>
    <w:p w14:paraId="5CCEF6C2" w14:textId="77777777" w:rsidR="0081694D" w:rsidRPr="004676F5" w:rsidRDefault="0081694D" w:rsidP="0032004A">
      <w:pPr>
        <w:jc w:val="both"/>
        <w:rPr>
          <w:i/>
          <w:lang w:val="de-DE"/>
        </w:rPr>
      </w:pPr>
    </w:p>
    <w:p w14:paraId="0ADD4693" w14:textId="77777777" w:rsidR="0081694D" w:rsidRPr="004676F5" w:rsidRDefault="0081694D" w:rsidP="0032004A">
      <w:pPr>
        <w:jc w:val="both"/>
        <w:rPr>
          <w:lang w:val="de-DE"/>
        </w:rPr>
      </w:pPr>
    </w:p>
    <w:p w14:paraId="65E91D90" w14:textId="3B2594A1" w:rsidR="00FC2250" w:rsidRPr="004676F5" w:rsidRDefault="00FC2250" w:rsidP="00FC2250">
      <w:pPr>
        <w:jc w:val="center"/>
        <w:rPr>
          <w:lang w:val="de-DE"/>
        </w:rPr>
      </w:pPr>
      <w:r w:rsidRPr="004676F5">
        <w:rPr>
          <w:lang w:val="de-DE"/>
        </w:rPr>
        <w:t>[Unterabschnitt 3 </w:t>
      </w:r>
      <w:r w:rsidR="005B7A5C" w:rsidRPr="004676F5">
        <w:rPr>
          <w:lang w:val="de-DE"/>
        </w:rPr>
        <w:t>- </w:t>
      </w:r>
      <w:r w:rsidRPr="004676F5">
        <w:rPr>
          <w:lang w:val="de-DE"/>
        </w:rPr>
        <w:t>Verteilung]</w:t>
      </w:r>
    </w:p>
    <w:p w14:paraId="3B2004F0" w14:textId="77777777" w:rsidR="00FC2250" w:rsidRPr="004676F5" w:rsidRDefault="00FC2250" w:rsidP="00FC2250">
      <w:pPr>
        <w:jc w:val="center"/>
        <w:rPr>
          <w:lang w:val="de-DE"/>
        </w:rPr>
      </w:pPr>
    </w:p>
    <w:p w14:paraId="566A4D0B" w14:textId="1A45A1BF" w:rsidR="00FC2250" w:rsidRPr="004676F5" w:rsidRDefault="00FC2250" w:rsidP="00FC2250">
      <w:pPr>
        <w:jc w:val="both"/>
        <w:rPr>
          <w:i/>
          <w:lang w:val="de-DE"/>
        </w:rPr>
      </w:pPr>
      <w:r w:rsidRPr="004676F5">
        <w:rPr>
          <w:i/>
          <w:lang w:val="de-DE"/>
        </w:rPr>
        <w:t xml:space="preserve">[Unterteilung Unterabschnitt 3 eingefügt durch </w:t>
      </w:r>
      <w:r w:rsidR="00BE0A56" w:rsidRPr="004676F5">
        <w:rPr>
          <w:i/>
          <w:lang w:val="de-DE"/>
        </w:rPr>
        <w:t>Art. </w:t>
      </w:r>
      <w:r w:rsidRPr="004676F5">
        <w:rPr>
          <w:i/>
          <w:lang w:val="de-DE"/>
        </w:rPr>
        <w:t>45 des G. vom 8. Juni 2017 (B.S. vom 27. Juni 2017)]</w:t>
      </w:r>
    </w:p>
    <w:p w14:paraId="471A8160" w14:textId="77777777" w:rsidR="00FC2250" w:rsidRPr="004676F5" w:rsidRDefault="00FC2250" w:rsidP="00FC2250">
      <w:pPr>
        <w:jc w:val="center"/>
        <w:rPr>
          <w:lang w:val="de-DE"/>
        </w:rPr>
      </w:pPr>
    </w:p>
    <w:p w14:paraId="5EE22CAB" w14:textId="77777777" w:rsidR="00FC2250" w:rsidRPr="004676F5" w:rsidRDefault="00FC2250" w:rsidP="00FC2250">
      <w:pPr>
        <w:jc w:val="center"/>
        <w:rPr>
          <w:lang w:val="de-DE"/>
        </w:rPr>
      </w:pPr>
    </w:p>
    <w:p w14:paraId="25D8926F" w14:textId="0F01F2D9" w:rsidR="001527B1" w:rsidRPr="004676F5" w:rsidRDefault="00BE0A56" w:rsidP="001527B1">
      <w:pPr>
        <w:ind w:firstLine="708"/>
        <w:jc w:val="both"/>
        <w:rPr>
          <w:lang w:val="de-DE"/>
        </w:rPr>
      </w:pPr>
      <w:r w:rsidRPr="004676F5">
        <w:rPr>
          <w:b/>
          <w:lang w:val="de-DE"/>
        </w:rPr>
        <w:t>Art. </w:t>
      </w:r>
      <w:r w:rsidR="001527B1" w:rsidRPr="004676F5">
        <w:rPr>
          <w:b/>
          <w:lang w:val="de-DE"/>
        </w:rPr>
        <w:t>XI.251</w:t>
      </w:r>
      <w:r w:rsidR="001527B1" w:rsidRPr="004676F5">
        <w:rPr>
          <w:lang w:val="de-DE"/>
        </w:rPr>
        <w:t> </w:t>
      </w:r>
      <w:r w:rsidR="005B7A5C" w:rsidRPr="004676F5">
        <w:rPr>
          <w:lang w:val="de-DE"/>
        </w:rPr>
        <w:t>- </w:t>
      </w:r>
      <w:r w:rsidR="00FC2250" w:rsidRPr="004676F5">
        <w:rPr>
          <w:lang w:val="de-DE"/>
        </w:rPr>
        <w:t>[Verwertungsgesellschaften dürfen Einnahmen aus den Rechten und Erträge aus den Anlagen dieser Einnahmen nicht für andere Zwecke als zur Verteilung an die Rechtsinhaber verwenden, außer in Fällen, in denen sie gemäß einem nach Artikel XI.248/4 § 3 Nr. 4 gefassten Beschluss Verwaltungskosten einbehalten oder verrechnen oder Einnahmen aus den Rechten und Erträge aus den Anlagen dieser Einnahmen gemäß einem nach Artikel XI.248/4 § 3 gefassten Beschluss verwenden dürfen.]</w:t>
      </w:r>
    </w:p>
    <w:p w14:paraId="00767EE6" w14:textId="77777777" w:rsidR="001527B1" w:rsidRPr="004676F5" w:rsidRDefault="001527B1" w:rsidP="001527B1">
      <w:pPr>
        <w:ind w:firstLine="708"/>
        <w:jc w:val="both"/>
        <w:rPr>
          <w:lang w:val="de-DE"/>
        </w:rPr>
      </w:pPr>
    </w:p>
    <w:p w14:paraId="5CEEF779" w14:textId="39D83999" w:rsidR="00FC2250" w:rsidRPr="00B14651" w:rsidRDefault="00FC2250" w:rsidP="00FC2250">
      <w:pPr>
        <w:jc w:val="both"/>
        <w:rPr>
          <w:i/>
          <w:lang w:val="de-DE"/>
        </w:rPr>
      </w:pPr>
      <w:r w:rsidRPr="004676F5">
        <w:rPr>
          <w:i/>
          <w:lang w:val="de-DE"/>
        </w:rPr>
        <w:t>[</w:t>
      </w:r>
      <w:r w:rsidR="00BE0A56" w:rsidRPr="004676F5">
        <w:rPr>
          <w:i/>
          <w:lang w:val="de-DE"/>
        </w:rPr>
        <w:t>Art. </w:t>
      </w:r>
      <w:r w:rsidRPr="004676F5">
        <w:rPr>
          <w:i/>
          <w:lang w:val="de-DE"/>
        </w:rPr>
        <w:t xml:space="preserve">XI.251 ersetzt durch </w:t>
      </w:r>
      <w:r w:rsidR="00BE0A56" w:rsidRPr="004676F5">
        <w:rPr>
          <w:i/>
          <w:lang w:val="de-DE"/>
        </w:rPr>
        <w:t>Art. </w:t>
      </w:r>
      <w:r w:rsidRPr="004676F5">
        <w:rPr>
          <w:i/>
          <w:lang w:val="de-DE"/>
        </w:rPr>
        <w:t>46 des G. vom 8. </w:t>
      </w:r>
      <w:r w:rsidRPr="00B14651">
        <w:rPr>
          <w:i/>
          <w:lang w:val="de-DE"/>
        </w:rPr>
        <w:t>Juni 2017 (B.S. vom 27. Juni 2017)]</w:t>
      </w:r>
    </w:p>
    <w:p w14:paraId="5698C675" w14:textId="77777777" w:rsidR="00FC2250" w:rsidRPr="00B14651" w:rsidRDefault="00FC2250" w:rsidP="001527B1">
      <w:pPr>
        <w:ind w:firstLine="708"/>
        <w:jc w:val="both"/>
        <w:rPr>
          <w:lang w:val="de-DE"/>
        </w:rPr>
      </w:pPr>
    </w:p>
    <w:p w14:paraId="3E025237" w14:textId="77777777" w:rsidR="00355502" w:rsidRPr="00B14651" w:rsidRDefault="00355502" w:rsidP="001527B1">
      <w:pPr>
        <w:ind w:firstLine="708"/>
        <w:jc w:val="both"/>
        <w:rPr>
          <w:lang w:val="de-DE"/>
        </w:rPr>
      </w:pPr>
    </w:p>
    <w:p w14:paraId="7A18EE67" w14:textId="240F7037" w:rsidR="00FC2250" w:rsidRPr="004676F5" w:rsidRDefault="00BE0A56" w:rsidP="00FC2250">
      <w:pPr>
        <w:ind w:firstLine="708"/>
        <w:jc w:val="both"/>
        <w:rPr>
          <w:lang w:val="de-DE"/>
        </w:rPr>
      </w:pPr>
      <w:r w:rsidRPr="004676F5">
        <w:rPr>
          <w:b/>
          <w:lang w:val="de-DE"/>
        </w:rPr>
        <w:t>Art. </w:t>
      </w:r>
      <w:r w:rsidR="001527B1" w:rsidRPr="004676F5">
        <w:rPr>
          <w:b/>
          <w:lang w:val="de-DE"/>
        </w:rPr>
        <w:t>XI.252</w:t>
      </w:r>
      <w:r w:rsidR="001527B1" w:rsidRPr="004676F5">
        <w:rPr>
          <w:lang w:val="de-DE"/>
        </w:rPr>
        <w:t> </w:t>
      </w:r>
      <w:r w:rsidR="005B7A5C" w:rsidRPr="004676F5">
        <w:rPr>
          <w:lang w:val="de-DE"/>
        </w:rPr>
        <w:t>- </w:t>
      </w:r>
      <w:r w:rsidR="00FC2250" w:rsidRPr="004676F5">
        <w:rPr>
          <w:lang w:val="de-DE"/>
        </w:rPr>
        <w:t>[§ 1 </w:t>
      </w:r>
      <w:r w:rsidR="005B7A5C" w:rsidRPr="004676F5">
        <w:rPr>
          <w:lang w:val="de-DE"/>
        </w:rPr>
        <w:t>- </w:t>
      </w:r>
      <w:r w:rsidR="00FC2250" w:rsidRPr="004676F5">
        <w:rPr>
          <w:lang w:val="de-DE"/>
        </w:rPr>
        <w:t>Unbeschadet des Artikels XI.260 § 3 und des Artikels XI.273/7 verteilen Verwertungsgesellschaften gemäß den Verteilungsregeln regelmäßig, sorgfältig und korrekt den Rechtsinhabern zustehende Beträge und schütten sie aus.</w:t>
      </w:r>
    </w:p>
    <w:p w14:paraId="297EF13C" w14:textId="77777777" w:rsidR="00FC2250" w:rsidRPr="004676F5" w:rsidRDefault="00FC2250" w:rsidP="00FC2250">
      <w:pPr>
        <w:jc w:val="both"/>
        <w:rPr>
          <w:lang w:val="de-DE"/>
        </w:rPr>
      </w:pPr>
    </w:p>
    <w:p w14:paraId="05F9628B" w14:textId="77777777" w:rsidR="00FC2250" w:rsidRPr="004676F5" w:rsidRDefault="00FC2250" w:rsidP="00FC2250">
      <w:pPr>
        <w:jc w:val="both"/>
        <w:rPr>
          <w:lang w:val="de-DE"/>
        </w:rPr>
      </w:pPr>
      <w:r w:rsidRPr="004676F5">
        <w:rPr>
          <w:lang w:val="de-DE"/>
        </w:rPr>
        <w:tab/>
        <w:t>Verwertungsgesellschaften oder ihre Gesellschafter, wenn es sich dabei um Einrichtungen zur Vertretung von Rechtsinhabern handelt, treffen Maßnahmen, damit eingenommene Beträge so schnell wie möglich, spätestens jedoch neun Monate nach Ablauf des Geschäftsjahrs, in dem die Einnahmen aus den Rechten eingenommen wurden, verteilt und an die Rechtsinhaber ausgeschüttet werden, es sei denn, die Verwertungsgesellschaft ist aus objektiven Gründen insbesondere im Zusammenhang mit Meldungen von Nutzern, der Feststellung der Rechte, Rechtsinhabern oder der Zuordnung von Angaben über Werke und Leistungen zu dem jeweiligen Rechtsinhaber außerstande, diese Frist zu wahren. In dem in Artikel XI.248/6 erwähnten Lagebericht wird unter Angabe der Gründe angegeben, welche eingenommenen Vergütungen nicht innerhalb dieser Frist verteilt worden sind.</w:t>
      </w:r>
    </w:p>
    <w:p w14:paraId="4B461682" w14:textId="77777777" w:rsidR="00FC2250" w:rsidRPr="004676F5" w:rsidRDefault="00FC2250" w:rsidP="00FC2250">
      <w:pPr>
        <w:jc w:val="both"/>
        <w:rPr>
          <w:lang w:val="de-DE"/>
        </w:rPr>
      </w:pPr>
    </w:p>
    <w:p w14:paraId="5ADA52EA" w14:textId="56CCE5F5" w:rsidR="00FC2250" w:rsidRPr="004676F5" w:rsidRDefault="00FC2250" w:rsidP="00FC2250">
      <w:pPr>
        <w:jc w:val="both"/>
        <w:rPr>
          <w:lang w:val="de-DE"/>
        </w:rPr>
      </w:pPr>
      <w:r w:rsidRPr="004676F5">
        <w:rPr>
          <w:lang w:val="de-DE"/>
        </w:rPr>
        <w:tab/>
        <w:t>§ 2 </w:t>
      </w:r>
      <w:r w:rsidR="005B7A5C" w:rsidRPr="004676F5">
        <w:rPr>
          <w:lang w:val="de-DE"/>
        </w:rPr>
        <w:t>- </w:t>
      </w:r>
      <w:r w:rsidRPr="004676F5">
        <w:rPr>
          <w:lang w:val="de-DE"/>
        </w:rPr>
        <w:t>Können Rechtsinhabern zustehende Beträge nicht innerhalb der Frist nach § 1 verteilt werden, da die betreffenden Rechtsinhaber nicht ermittelt oder ausfindig gemacht werden können, und ist die Ausnahme zu dieser Frist nicht anwendbar, werden diese Beträge in der Buchführung der Verwertungsgesellschaft getrennt erfasst.</w:t>
      </w:r>
    </w:p>
    <w:p w14:paraId="04ABC51C" w14:textId="77777777" w:rsidR="00FC2250" w:rsidRPr="004676F5" w:rsidRDefault="00FC2250" w:rsidP="00FC2250">
      <w:pPr>
        <w:jc w:val="both"/>
        <w:rPr>
          <w:lang w:val="de-DE"/>
        </w:rPr>
      </w:pPr>
    </w:p>
    <w:p w14:paraId="4CB57E71" w14:textId="20793662" w:rsidR="00FC2250" w:rsidRPr="004676F5" w:rsidRDefault="00FC2250" w:rsidP="00FC2250">
      <w:pPr>
        <w:jc w:val="both"/>
        <w:rPr>
          <w:lang w:val="de-DE"/>
        </w:rPr>
      </w:pPr>
      <w:r w:rsidRPr="004676F5">
        <w:rPr>
          <w:lang w:val="de-DE"/>
        </w:rPr>
        <w:tab/>
        <w:t>§ 3 </w:t>
      </w:r>
      <w:r w:rsidR="005B7A5C" w:rsidRPr="004676F5">
        <w:rPr>
          <w:lang w:val="de-DE"/>
        </w:rPr>
        <w:t>- </w:t>
      </w:r>
      <w:r w:rsidRPr="004676F5">
        <w:rPr>
          <w:lang w:val="de-DE"/>
        </w:rPr>
        <w:t>Die Verwertungsgesellschaft unternimmt alle notwendigen Schritte im Einklang mit § 1, um Rechtsinhaber zu ermitteln und ausfindig zu machen. Insbesondere stellt die Verwertungsgesellschaft folgenden Adressaten spätestens drei Monate nach Ablauf der Frist nach § 1 Angaben über Werke und Leistungen zur Verfügung, deren Rechtsinhaber nicht ermittelt oder ausfindig gemacht werden konnten:</w:t>
      </w:r>
    </w:p>
    <w:p w14:paraId="69C08286" w14:textId="77777777" w:rsidR="00FC2250" w:rsidRPr="004676F5" w:rsidRDefault="00FC2250" w:rsidP="00FC2250">
      <w:pPr>
        <w:jc w:val="both"/>
        <w:rPr>
          <w:lang w:val="de-DE"/>
        </w:rPr>
      </w:pPr>
    </w:p>
    <w:p w14:paraId="195C47D7" w14:textId="77777777" w:rsidR="00FC2250" w:rsidRPr="004676F5" w:rsidRDefault="00FC2250" w:rsidP="00FC2250">
      <w:pPr>
        <w:jc w:val="both"/>
        <w:rPr>
          <w:lang w:val="de-DE"/>
        </w:rPr>
      </w:pPr>
      <w:r w:rsidRPr="004676F5">
        <w:rPr>
          <w:lang w:val="de-DE"/>
        </w:rPr>
        <w:tab/>
        <w:t>1. den von ihr vertretenen Rechtsinhabern oder den Einrichtungen zur Vertretung von Rechtsinhabern, wenn solche Einrichtungen Mitglieder der Verwertungsgesellschaft sind,</w:t>
      </w:r>
    </w:p>
    <w:p w14:paraId="043CD1EF" w14:textId="77777777" w:rsidR="00FC2250" w:rsidRPr="004676F5" w:rsidRDefault="00FC2250" w:rsidP="00FC2250">
      <w:pPr>
        <w:jc w:val="both"/>
        <w:rPr>
          <w:lang w:val="de-DE"/>
        </w:rPr>
      </w:pPr>
    </w:p>
    <w:p w14:paraId="2C4E7499" w14:textId="77777777" w:rsidR="00FC2250" w:rsidRPr="004676F5" w:rsidRDefault="00FC2250" w:rsidP="00FC2250">
      <w:pPr>
        <w:jc w:val="both"/>
        <w:rPr>
          <w:lang w:val="de-DE"/>
        </w:rPr>
      </w:pPr>
      <w:r w:rsidRPr="004676F5">
        <w:rPr>
          <w:lang w:val="de-DE"/>
        </w:rPr>
        <w:tab/>
        <w:t>2. allen Verwertungsgesellschaften oder Organisationen für die kollektive Rechtewahr</w:t>
      </w:r>
      <w:r w:rsidRPr="004676F5">
        <w:rPr>
          <w:lang w:val="de-DE"/>
        </w:rPr>
        <w:softHyphen/>
        <w:t>nehmung, mit denen sie Repräsentationsvereinbarungen geschlossen hat.</w:t>
      </w:r>
    </w:p>
    <w:p w14:paraId="58DBE2F4" w14:textId="77777777" w:rsidR="00FC2250" w:rsidRPr="004676F5" w:rsidRDefault="00FC2250" w:rsidP="00FC2250">
      <w:pPr>
        <w:jc w:val="both"/>
        <w:rPr>
          <w:lang w:val="de-DE"/>
        </w:rPr>
      </w:pPr>
    </w:p>
    <w:p w14:paraId="069E8E86" w14:textId="77777777" w:rsidR="00FC2250" w:rsidRPr="004676F5" w:rsidRDefault="00FC2250" w:rsidP="00FC2250">
      <w:pPr>
        <w:jc w:val="both"/>
        <w:rPr>
          <w:lang w:val="de-DE"/>
        </w:rPr>
      </w:pPr>
      <w:r w:rsidRPr="004676F5">
        <w:rPr>
          <w:lang w:val="de-DE"/>
        </w:rPr>
        <w:tab/>
        <w:t>Die Angaben nach Absatz 1 umfassen, sofern verfügbar, Folgendes:</w:t>
      </w:r>
    </w:p>
    <w:p w14:paraId="0BCE6307" w14:textId="77777777" w:rsidR="00FC2250" w:rsidRPr="004676F5" w:rsidRDefault="00FC2250" w:rsidP="00FC2250">
      <w:pPr>
        <w:jc w:val="both"/>
        <w:rPr>
          <w:lang w:val="de-DE"/>
        </w:rPr>
      </w:pPr>
    </w:p>
    <w:p w14:paraId="07B9CDCD" w14:textId="77777777" w:rsidR="00FC2250" w:rsidRPr="004676F5" w:rsidRDefault="00FC2250" w:rsidP="00FC2250">
      <w:pPr>
        <w:jc w:val="both"/>
        <w:rPr>
          <w:lang w:val="de-DE"/>
        </w:rPr>
      </w:pPr>
      <w:r w:rsidRPr="004676F5">
        <w:rPr>
          <w:lang w:val="de-DE"/>
        </w:rPr>
        <w:tab/>
        <w:t>1. den Titel des Werks oder der Leistung,</w:t>
      </w:r>
    </w:p>
    <w:p w14:paraId="7E18E52B" w14:textId="77777777" w:rsidR="00FC2250" w:rsidRPr="004676F5" w:rsidRDefault="00FC2250" w:rsidP="00FC2250">
      <w:pPr>
        <w:jc w:val="both"/>
        <w:rPr>
          <w:lang w:val="de-DE"/>
        </w:rPr>
      </w:pPr>
    </w:p>
    <w:p w14:paraId="1C1CAF90" w14:textId="77777777" w:rsidR="00FC2250" w:rsidRPr="004676F5" w:rsidRDefault="00FC2250" w:rsidP="00FC2250">
      <w:pPr>
        <w:jc w:val="both"/>
        <w:rPr>
          <w:lang w:val="de-DE"/>
        </w:rPr>
      </w:pPr>
      <w:r w:rsidRPr="004676F5">
        <w:rPr>
          <w:lang w:val="de-DE"/>
        </w:rPr>
        <w:tab/>
        <w:t>2. den Namen des Rechtsinhabers,</w:t>
      </w:r>
    </w:p>
    <w:p w14:paraId="1387F46B" w14:textId="77777777" w:rsidR="00FC2250" w:rsidRPr="004676F5" w:rsidRDefault="00FC2250" w:rsidP="00FC2250">
      <w:pPr>
        <w:jc w:val="both"/>
        <w:rPr>
          <w:lang w:val="de-DE"/>
        </w:rPr>
      </w:pPr>
    </w:p>
    <w:p w14:paraId="61B85CD3" w14:textId="77777777" w:rsidR="00FC2250" w:rsidRPr="004676F5" w:rsidRDefault="00FC2250" w:rsidP="00FC2250">
      <w:pPr>
        <w:jc w:val="both"/>
        <w:rPr>
          <w:lang w:val="de-DE"/>
        </w:rPr>
      </w:pPr>
      <w:r w:rsidRPr="004676F5">
        <w:rPr>
          <w:lang w:val="de-DE"/>
        </w:rPr>
        <w:tab/>
        <w:t>3. den Namen des betreffenden Verlegers oder Produzenten und</w:t>
      </w:r>
    </w:p>
    <w:p w14:paraId="78CDEE14" w14:textId="77777777" w:rsidR="00FC2250" w:rsidRPr="004676F5" w:rsidRDefault="00FC2250" w:rsidP="00FC2250">
      <w:pPr>
        <w:jc w:val="both"/>
        <w:rPr>
          <w:lang w:val="de-DE"/>
        </w:rPr>
      </w:pPr>
    </w:p>
    <w:p w14:paraId="0F3376E5" w14:textId="77777777" w:rsidR="00FC2250" w:rsidRPr="004676F5" w:rsidRDefault="00FC2250" w:rsidP="00FC2250">
      <w:pPr>
        <w:jc w:val="both"/>
        <w:rPr>
          <w:lang w:val="de-DE"/>
        </w:rPr>
      </w:pPr>
      <w:r w:rsidRPr="004676F5">
        <w:rPr>
          <w:lang w:val="de-DE"/>
        </w:rPr>
        <w:tab/>
        <w:t>4. sonstige relevante verfügbare Informationen, die zur Ermittlung des Rechtsinhabers hilfreich sein könnten.</w:t>
      </w:r>
    </w:p>
    <w:p w14:paraId="4464EBF5" w14:textId="77777777" w:rsidR="00FC2250" w:rsidRPr="004676F5" w:rsidRDefault="00FC2250" w:rsidP="00FC2250">
      <w:pPr>
        <w:jc w:val="both"/>
        <w:rPr>
          <w:lang w:val="de-DE"/>
        </w:rPr>
      </w:pPr>
    </w:p>
    <w:p w14:paraId="6EBCFBC1" w14:textId="77777777" w:rsidR="00FC2250" w:rsidRPr="004676F5" w:rsidRDefault="00FC2250" w:rsidP="00FC2250">
      <w:pPr>
        <w:jc w:val="both"/>
        <w:rPr>
          <w:lang w:val="de-DE"/>
        </w:rPr>
      </w:pPr>
      <w:r w:rsidRPr="004676F5">
        <w:rPr>
          <w:lang w:val="de-DE"/>
        </w:rPr>
        <w:tab/>
        <w:t>Die Verwertungsgesellschaft überprüft zudem die in Artikel XI.248/1 § 4 erwähnten Verzeichnisse und andere leicht verfügbare Aufzeichnungen. Bleiben die zuvor genannten Schritte ohne Erfolg, veröffentlicht die Verwertungsgesellschaft diese Angaben spätestens ein Jahr nach Ablauf der Dreimonatsfrist.</w:t>
      </w:r>
    </w:p>
    <w:p w14:paraId="63130E93" w14:textId="77777777" w:rsidR="00FC2250" w:rsidRPr="004676F5" w:rsidRDefault="00FC2250" w:rsidP="00FC2250">
      <w:pPr>
        <w:jc w:val="both"/>
        <w:rPr>
          <w:lang w:val="de-DE"/>
        </w:rPr>
      </w:pPr>
    </w:p>
    <w:p w14:paraId="6D231A28" w14:textId="4B36E881" w:rsidR="001527B1" w:rsidRPr="004676F5" w:rsidRDefault="00FC2250" w:rsidP="00FC2250">
      <w:pPr>
        <w:ind w:firstLine="708"/>
        <w:jc w:val="both"/>
        <w:rPr>
          <w:lang w:val="de-DE"/>
        </w:rPr>
      </w:pPr>
      <w:r w:rsidRPr="004676F5">
        <w:rPr>
          <w:lang w:val="de-DE"/>
        </w:rPr>
        <w:t>§ 4 </w:t>
      </w:r>
      <w:r w:rsidR="005B7A5C" w:rsidRPr="004676F5">
        <w:rPr>
          <w:lang w:val="de-DE"/>
        </w:rPr>
        <w:t>- </w:t>
      </w:r>
      <w:r w:rsidRPr="004676F5">
        <w:rPr>
          <w:lang w:val="de-DE"/>
        </w:rPr>
        <w:t>Können die den Rechtsinhabern zustehenden Beträge nicht nach Ablauf von drei Jahren nach Ablauf des Geschäftsjahres, in dem die Einnahmen aus den Rechten eingenommen wurden, verteilt werden und hat die Verwertungsgesellschaft alle notwendigen Maßnahmen nach § 3 ergriffen, um die Rechtsinhaber zu ermitteln und ausfindig zu machen, so gelten diese Beträge als nicht verteilbar. Diese Beträge werden gemäß Artikel XI.254 verwaltet.]</w:t>
      </w:r>
    </w:p>
    <w:p w14:paraId="76AF5AED" w14:textId="77777777" w:rsidR="001527B1" w:rsidRPr="004676F5" w:rsidRDefault="001527B1" w:rsidP="0010524E">
      <w:pPr>
        <w:jc w:val="both"/>
        <w:rPr>
          <w:lang w:val="de-DE"/>
        </w:rPr>
      </w:pPr>
    </w:p>
    <w:p w14:paraId="4040339A" w14:textId="66BE37C7" w:rsidR="00FC2250" w:rsidRPr="00B14651" w:rsidRDefault="00FC2250" w:rsidP="00FC2250">
      <w:pPr>
        <w:jc w:val="both"/>
        <w:rPr>
          <w:i/>
          <w:lang w:val="de-DE"/>
        </w:rPr>
      </w:pPr>
      <w:r w:rsidRPr="004676F5">
        <w:rPr>
          <w:i/>
          <w:lang w:val="de-DE"/>
        </w:rPr>
        <w:t>[</w:t>
      </w:r>
      <w:r w:rsidR="00BE0A56" w:rsidRPr="004676F5">
        <w:rPr>
          <w:i/>
          <w:lang w:val="de-DE"/>
        </w:rPr>
        <w:t>Art. </w:t>
      </w:r>
      <w:r w:rsidRPr="004676F5">
        <w:rPr>
          <w:i/>
          <w:lang w:val="de-DE"/>
        </w:rPr>
        <w:t xml:space="preserve">XI.252 ersetzt durch </w:t>
      </w:r>
      <w:r w:rsidR="00BE0A56" w:rsidRPr="004676F5">
        <w:rPr>
          <w:i/>
          <w:lang w:val="de-DE"/>
        </w:rPr>
        <w:t>Art. </w:t>
      </w:r>
      <w:r w:rsidRPr="004676F5">
        <w:rPr>
          <w:i/>
          <w:lang w:val="de-DE"/>
        </w:rPr>
        <w:t>47 des G. vom 8. </w:t>
      </w:r>
      <w:r w:rsidRPr="00B14651">
        <w:rPr>
          <w:i/>
          <w:lang w:val="de-DE"/>
        </w:rPr>
        <w:t>Juni 2017 (B.S. vom 27. Juni 2017)]</w:t>
      </w:r>
    </w:p>
    <w:p w14:paraId="7A087E5F" w14:textId="77777777" w:rsidR="00355502" w:rsidRPr="00B14651" w:rsidRDefault="00355502" w:rsidP="001527B1">
      <w:pPr>
        <w:ind w:firstLine="708"/>
        <w:jc w:val="both"/>
        <w:rPr>
          <w:lang w:val="de-DE"/>
        </w:rPr>
      </w:pPr>
    </w:p>
    <w:p w14:paraId="32E50424" w14:textId="77777777" w:rsidR="0010524E" w:rsidRPr="00B14651" w:rsidRDefault="0010524E" w:rsidP="001527B1">
      <w:pPr>
        <w:ind w:firstLine="708"/>
        <w:jc w:val="both"/>
        <w:rPr>
          <w:lang w:val="de-DE"/>
        </w:rPr>
      </w:pPr>
    </w:p>
    <w:p w14:paraId="16DC95D9" w14:textId="6ECE0981" w:rsidR="00435B36" w:rsidRPr="004676F5" w:rsidRDefault="00BE0A56" w:rsidP="00435B36">
      <w:pPr>
        <w:ind w:firstLine="708"/>
        <w:jc w:val="both"/>
        <w:rPr>
          <w:lang w:val="de-DE"/>
        </w:rPr>
      </w:pPr>
      <w:r w:rsidRPr="004676F5">
        <w:rPr>
          <w:b/>
          <w:lang w:val="de-DE"/>
        </w:rPr>
        <w:t>Art. </w:t>
      </w:r>
      <w:r w:rsidR="001527B1" w:rsidRPr="004676F5">
        <w:rPr>
          <w:b/>
          <w:lang w:val="de-DE"/>
        </w:rPr>
        <w:t>XI.253</w:t>
      </w:r>
      <w:r w:rsidR="001527B1" w:rsidRPr="004676F5">
        <w:rPr>
          <w:lang w:val="de-DE"/>
        </w:rPr>
        <w:t> </w:t>
      </w:r>
      <w:r w:rsidR="005B7A5C" w:rsidRPr="004676F5">
        <w:rPr>
          <w:lang w:val="de-DE"/>
        </w:rPr>
        <w:t>- </w:t>
      </w:r>
      <w:r w:rsidR="00435B36" w:rsidRPr="004676F5">
        <w:rPr>
          <w:lang w:val="de-DE"/>
        </w:rPr>
        <w:t>[Verwertungsgesellschaften dürfen Vorschüsse auf Vergütungen nur gewähren, wenn jede der folgenden Bedingungen erfüllt ist:</w:t>
      </w:r>
    </w:p>
    <w:p w14:paraId="276D6539" w14:textId="77777777" w:rsidR="00435B36" w:rsidRPr="004676F5" w:rsidRDefault="00435B36" w:rsidP="00435B36">
      <w:pPr>
        <w:jc w:val="both"/>
        <w:rPr>
          <w:lang w:val="de-DE"/>
        </w:rPr>
      </w:pPr>
    </w:p>
    <w:p w14:paraId="2AD108CF" w14:textId="77777777" w:rsidR="00435B36" w:rsidRPr="004676F5" w:rsidRDefault="00435B36" w:rsidP="00435B36">
      <w:pPr>
        <w:jc w:val="both"/>
        <w:rPr>
          <w:lang w:val="de-DE"/>
        </w:rPr>
      </w:pPr>
      <w:r w:rsidRPr="004676F5">
        <w:rPr>
          <w:lang w:val="de-DE"/>
        </w:rPr>
        <w:tab/>
        <w:t>1. Sie werden auf der Grundlage nicht diskriminierender Regeln gewährt. Diese Regeln stellen einen wesentlichen Bestandteil der Verteilungsregeln der Verwertungsgesellschaft dar.</w:t>
      </w:r>
    </w:p>
    <w:p w14:paraId="304BC385" w14:textId="77777777" w:rsidR="00435B36" w:rsidRPr="004676F5" w:rsidRDefault="00435B36" w:rsidP="00435B36">
      <w:pPr>
        <w:jc w:val="both"/>
        <w:rPr>
          <w:lang w:val="de-DE"/>
        </w:rPr>
      </w:pPr>
    </w:p>
    <w:p w14:paraId="65988262" w14:textId="77777777" w:rsidR="001527B1" w:rsidRPr="004676F5" w:rsidRDefault="00435B36" w:rsidP="00435B36">
      <w:pPr>
        <w:ind w:firstLine="708"/>
        <w:jc w:val="both"/>
        <w:rPr>
          <w:lang w:val="de-DE"/>
        </w:rPr>
      </w:pPr>
      <w:r w:rsidRPr="004676F5">
        <w:rPr>
          <w:lang w:val="de-DE"/>
        </w:rPr>
        <w:t>2. Die Gewährung von Vorschüssen gefährdet nicht das Ergebnis der definitiven Verteilung.]</w:t>
      </w:r>
    </w:p>
    <w:p w14:paraId="26CEC4DE" w14:textId="77777777" w:rsidR="00E036D9" w:rsidRPr="004676F5" w:rsidRDefault="00E036D9" w:rsidP="001527B1">
      <w:pPr>
        <w:ind w:firstLine="708"/>
        <w:jc w:val="both"/>
        <w:rPr>
          <w:lang w:val="de-DE"/>
        </w:rPr>
      </w:pPr>
    </w:p>
    <w:p w14:paraId="65633543" w14:textId="498A9E63" w:rsidR="00435B36" w:rsidRPr="00B14651" w:rsidRDefault="00435B36" w:rsidP="00435B36">
      <w:pPr>
        <w:jc w:val="both"/>
        <w:rPr>
          <w:i/>
          <w:lang w:val="de-DE"/>
        </w:rPr>
      </w:pPr>
      <w:r w:rsidRPr="004676F5">
        <w:rPr>
          <w:i/>
          <w:lang w:val="de-DE"/>
        </w:rPr>
        <w:t>[</w:t>
      </w:r>
      <w:r w:rsidR="00BE0A56" w:rsidRPr="004676F5">
        <w:rPr>
          <w:i/>
          <w:lang w:val="de-DE"/>
        </w:rPr>
        <w:t>Art. </w:t>
      </w:r>
      <w:r w:rsidRPr="004676F5">
        <w:rPr>
          <w:i/>
          <w:lang w:val="de-DE"/>
        </w:rPr>
        <w:t xml:space="preserve">XI.253 ersetzt durch </w:t>
      </w:r>
      <w:r w:rsidR="00BE0A56" w:rsidRPr="004676F5">
        <w:rPr>
          <w:i/>
          <w:lang w:val="de-DE"/>
        </w:rPr>
        <w:t>Art. </w:t>
      </w:r>
      <w:r w:rsidRPr="004676F5">
        <w:rPr>
          <w:i/>
          <w:lang w:val="de-DE"/>
        </w:rPr>
        <w:t>48 des G. vom 8. </w:t>
      </w:r>
      <w:r w:rsidRPr="00B14651">
        <w:rPr>
          <w:i/>
          <w:lang w:val="de-DE"/>
        </w:rPr>
        <w:t>Juni 2017 (B.S. vom 27. Juni 2017)]</w:t>
      </w:r>
    </w:p>
    <w:p w14:paraId="29FF4985" w14:textId="77777777" w:rsidR="001527B1" w:rsidRPr="00B14651" w:rsidRDefault="001527B1" w:rsidP="001527B1">
      <w:pPr>
        <w:ind w:firstLine="708"/>
        <w:jc w:val="both"/>
        <w:rPr>
          <w:lang w:val="de-DE"/>
        </w:rPr>
      </w:pPr>
    </w:p>
    <w:p w14:paraId="41B448A9" w14:textId="77777777" w:rsidR="00355502" w:rsidRPr="00B14651" w:rsidRDefault="00355502" w:rsidP="001527B1">
      <w:pPr>
        <w:ind w:firstLine="708"/>
        <w:jc w:val="both"/>
        <w:rPr>
          <w:lang w:val="de-DE"/>
        </w:rPr>
      </w:pPr>
    </w:p>
    <w:p w14:paraId="3C5450F7" w14:textId="148E9EAB" w:rsidR="00435B36" w:rsidRPr="004676F5" w:rsidRDefault="00BE0A56" w:rsidP="00435B36">
      <w:pPr>
        <w:ind w:firstLine="708"/>
        <w:jc w:val="both"/>
        <w:rPr>
          <w:lang w:val="de-DE"/>
        </w:rPr>
      </w:pPr>
      <w:r w:rsidRPr="004676F5">
        <w:rPr>
          <w:b/>
          <w:lang w:val="de-DE"/>
        </w:rPr>
        <w:t>Art. </w:t>
      </w:r>
      <w:r w:rsidR="001527B1" w:rsidRPr="004676F5">
        <w:rPr>
          <w:b/>
          <w:lang w:val="de-DE"/>
        </w:rPr>
        <w:t>XI.254</w:t>
      </w:r>
      <w:r w:rsidR="001527B1" w:rsidRPr="004676F5">
        <w:rPr>
          <w:lang w:val="de-DE"/>
        </w:rPr>
        <w:t> </w:t>
      </w:r>
      <w:r w:rsidR="005B7A5C" w:rsidRPr="004676F5">
        <w:rPr>
          <w:lang w:val="de-DE"/>
        </w:rPr>
        <w:t>- </w:t>
      </w:r>
      <w:r w:rsidR="00435B36" w:rsidRPr="004676F5">
        <w:rPr>
          <w:lang w:val="de-DE"/>
        </w:rPr>
        <w:t xml:space="preserve">[Nicht verteilbare Beträge einschließlich der gemäß Artikel XI.252 § 4 als nicht verteilbar geltenden Beträge werden unter den Rechtsinhabern der betreffenden </w:t>
      </w:r>
      <w:r w:rsidR="00435B36" w:rsidRPr="004676F5">
        <w:rPr>
          <w:lang w:val="de-DE"/>
        </w:rPr>
        <w:lastRenderedPageBreak/>
        <w:t>Kategorie gemäß Modalitäten verteilt, die die Generalversammlung mit Zweidrittelmehrheit bestimmt, unbeschadet des Rechts der Rechtsinhaber, diese Beträge bei der Verwertungsgesellschaft geltend zu machen.</w:t>
      </w:r>
    </w:p>
    <w:p w14:paraId="09B2D7D8" w14:textId="77777777" w:rsidR="00435B36" w:rsidRPr="004676F5" w:rsidRDefault="00435B36" w:rsidP="00435B36">
      <w:pPr>
        <w:jc w:val="both"/>
        <w:rPr>
          <w:lang w:val="de-DE"/>
        </w:rPr>
      </w:pPr>
    </w:p>
    <w:p w14:paraId="2D0F3138" w14:textId="77777777" w:rsidR="00435B36" w:rsidRPr="004676F5" w:rsidRDefault="00435B36" w:rsidP="00435B36">
      <w:pPr>
        <w:jc w:val="both"/>
        <w:rPr>
          <w:lang w:val="de-DE"/>
        </w:rPr>
      </w:pPr>
      <w:r w:rsidRPr="004676F5">
        <w:rPr>
          <w:lang w:val="de-DE"/>
        </w:rPr>
        <w:tab/>
        <w:t>Der König kann den Begriff "Rechtsinhaber der betreffenden Kategorie" näher bestimmen.</w:t>
      </w:r>
    </w:p>
    <w:p w14:paraId="3ADFEA37" w14:textId="77777777" w:rsidR="00435B36" w:rsidRPr="004676F5" w:rsidRDefault="00435B36" w:rsidP="00435B36">
      <w:pPr>
        <w:jc w:val="both"/>
        <w:rPr>
          <w:lang w:val="de-DE"/>
        </w:rPr>
      </w:pPr>
    </w:p>
    <w:p w14:paraId="3B2914A6" w14:textId="77777777" w:rsidR="00435B36" w:rsidRPr="004676F5" w:rsidRDefault="00435B36" w:rsidP="00435B36">
      <w:pPr>
        <w:jc w:val="both"/>
        <w:rPr>
          <w:lang w:val="de-DE"/>
        </w:rPr>
      </w:pPr>
      <w:r w:rsidRPr="004676F5">
        <w:rPr>
          <w:lang w:val="de-DE"/>
        </w:rPr>
        <w:tab/>
        <w:t>In Ermangelung einer solchen Mehrheit wird eigens zu diesem Zweck eine neue Generalversammlung einberufen, die mit einfacher Mehrheit entscheidet.</w:t>
      </w:r>
    </w:p>
    <w:p w14:paraId="320A07E3" w14:textId="77777777" w:rsidR="00435B36" w:rsidRPr="004676F5" w:rsidRDefault="00435B36" w:rsidP="00435B36">
      <w:pPr>
        <w:jc w:val="both"/>
        <w:rPr>
          <w:lang w:val="de-DE"/>
        </w:rPr>
      </w:pPr>
    </w:p>
    <w:p w14:paraId="45DD524D" w14:textId="77777777" w:rsidR="00435B36" w:rsidRPr="004676F5" w:rsidRDefault="00435B36" w:rsidP="00435B36">
      <w:pPr>
        <w:jc w:val="both"/>
        <w:rPr>
          <w:lang w:val="de-DE"/>
        </w:rPr>
      </w:pPr>
      <w:r w:rsidRPr="004676F5">
        <w:rPr>
          <w:lang w:val="de-DE"/>
        </w:rPr>
        <w:tab/>
        <w:t>Verwaltungskosten der Verwertungsgesellschaften dürfen auf die in Absatz 1 erwähnten Beträge nicht auf diskriminierende Weise im Verhältnis zu anderen Kategorien von Rechten angerechnet werden, die die betreffenden Verwertungsgesellschaften wahrnehmen.</w:t>
      </w:r>
    </w:p>
    <w:p w14:paraId="56AB2EB6" w14:textId="77777777" w:rsidR="00435B36" w:rsidRPr="004676F5" w:rsidRDefault="00435B36" w:rsidP="00435B36">
      <w:pPr>
        <w:jc w:val="both"/>
        <w:rPr>
          <w:lang w:val="de-DE"/>
        </w:rPr>
      </w:pPr>
    </w:p>
    <w:p w14:paraId="002BD4B0" w14:textId="77777777" w:rsidR="00435B36" w:rsidRPr="004676F5" w:rsidRDefault="00435B36" w:rsidP="00435B36">
      <w:pPr>
        <w:jc w:val="both"/>
        <w:rPr>
          <w:lang w:val="de-DE"/>
        </w:rPr>
      </w:pPr>
      <w:r w:rsidRPr="004676F5">
        <w:rPr>
          <w:lang w:val="de-DE"/>
        </w:rPr>
        <w:tab/>
        <w:t>Der König bestimmt die Bedingungen, unter denen Verwaltungskosten der Verwertungsgesellschaften gemäß Absatz 4 auf die in Absatz 1 erwähnten Beträge angerechnet werden.</w:t>
      </w:r>
    </w:p>
    <w:p w14:paraId="2C8B0BE0" w14:textId="77777777" w:rsidR="00435B36" w:rsidRPr="004676F5" w:rsidRDefault="00435B36" w:rsidP="00435B36">
      <w:pPr>
        <w:jc w:val="both"/>
        <w:rPr>
          <w:lang w:val="de-DE"/>
        </w:rPr>
      </w:pPr>
    </w:p>
    <w:p w14:paraId="6D536318" w14:textId="77777777" w:rsidR="00435B36" w:rsidRPr="004676F5" w:rsidRDefault="00435B36" w:rsidP="00435B36">
      <w:pPr>
        <w:jc w:val="both"/>
        <w:rPr>
          <w:lang w:val="de-DE"/>
        </w:rPr>
      </w:pPr>
      <w:r w:rsidRPr="004676F5">
        <w:rPr>
          <w:lang w:val="de-DE"/>
        </w:rPr>
        <w:tab/>
        <w:t>Der Kommissar erstellt jedes Jahr einen Sonderbericht über:</w:t>
      </w:r>
    </w:p>
    <w:p w14:paraId="330D8C53" w14:textId="77777777" w:rsidR="00435B36" w:rsidRPr="004676F5" w:rsidRDefault="00435B36" w:rsidP="00435B36">
      <w:pPr>
        <w:jc w:val="both"/>
        <w:rPr>
          <w:lang w:val="de-DE"/>
        </w:rPr>
      </w:pPr>
    </w:p>
    <w:p w14:paraId="29CD28B1" w14:textId="77777777" w:rsidR="00435B36" w:rsidRPr="004676F5" w:rsidRDefault="00435B36" w:rsidP="00435B36">
      <w:pPr>
        <w:jc w:val="both"/>
        <w:rPr>
          <w:lang w:val="de-DE"/>
        </w:rPr>
      </w:pPr>
      <w:r w:rsidRPr="004676F5">
        <w:rPr>
          <w:lang w:val="de-DE"/>
        </w:rPr>
        <w:tab/>
        <w:t>1. die Weise, wie Verwertungsgesellschaften Beträge als Beträge vermerken, die nicht verteilbar sind,</w:t>
      </w:r>
    </w:p>
    <w:p w14:paraId="3E9ECE4A" w14:textId="77777777" w:rsidR="00435B36" w:rsidRPr="004676F5" w:rsidRDefault="00435B36" w:rsidP="00435B36">
      <w:pPr>
        <w:jc w:val="both"/>
        <w:rPr>
          <w:lang w:val="de-DE"/>
        </w:rPr>
      </w:pPr>
    </w:p>
    <w:p w14:paraId="6D5CCB5D" w14:textId="77777777" w:rsidR="00435B36" w:rsidRPr="004676F5" w:rsidRDefault="00435B36" w:rsidP="00435B36">
      <w:pPr>
        <w:jc w:val="both"/>
        <w:rPr>
          <w:lang w:val="de-DE"/>
        </w:rPr>
      </w:pPr>
      <w:r w:rsidRPr="004676F5">
        <w:rPr>
          <w:lang w:val="de-DE"/>
        </w:rPr>
        <w:tab/>
        <w:t>2. die Benutzung dieser Beträge durch die betreffende Verwertungsgesellschaft und</w:t>
      </w:r>
    </w:p>
    <w:p w14:paraId="1BF2B0DD" w14:textId="77777777" w:rsidR="00435B36" w:rsidRPr="004676F5" w:rsidRDefault="00435B36" w:rsidP="00435B36">
      <w:pPr>
        <w:jc w:val="both"/>
        <w:rPr>
          <w:lang w:val="de-DE"/>
        </w:rPr>
      </w:pPr>
    </w:p>
    <w:p w14:paraId="4877CE59" w14:textId="77777777" w:rsidR="001527B1" w:rsidRPr="004676F5" w:rsidRDefault="00435B36" w:rsidP="00435B36">
      <w:pPr>
        <w:ind w:firstLine="708"/>
        <w:jc w:val="both"/>
        <w:rPr>
          <w:lang w:val="de-DE"/>
        </w:rPr>
      </w:pPr>
      <w:r w:rsidRPr="004676F5">
        <w:rPr>
          <w:lang w:val="de-DE"/>
        </w:rPr>
        <w:t>3. die Anrechnung von Verwaltungskosten auf diese Beträge.]</w:t>
      </w:r>
    </w:p>
    <w:p w14:paraId="373411C9" w14:textId="77777777" w:rsidR="001527B1" w:rsidRPr="004676F5" w:rsidRDefault="001527B1" w:rsidP="001527B1">
      <w:pPr>
        <w:ind w:firstLine="708"/>
        <w:jc w:val="both"/>
        <w:rPr>
          <w:lang w:val="de-DE"/>
        </w:rPr>
      </w:pPr>
    </w:p>
    <w:p w14:paraId="639B239C" w14:textId="2A67D559" w:rsidR="00435B36" w:rsidRPr="00B14651" w:rsidRDefault="00435B36" w:rsidP="00435B36">
      <w:pPr>
        <w:jc w:val="both"/>
        <w:rPr>
          <w:i/>
          <w:lang w:val="de-DE"/>
        </w:rPr>
      </w:pPr>
      <w:r w:rsidRPr="004676F5">
        <w:rPr>
          <w:i/>
          <w:lang w:val="de-DE"/>
        </w:rPr>
        <w:t>[</w:t>
      </w:r>
      <w:r w:rsidR="00BE0A56" w:rsidRPr="004676F5">
        <w:rPr>
          <w:i/>
          <w:lang w:val="de-DE"/>
        </w:rPr>
        <w:t>Art. </w:t>
      </w:r>
      <w:r w:rsidRPr="004676F5">
        <w:rPr>
          <w:i/>
          <w:lang w:val="de-DE"/>
        </w:rPr>
        <w:t xml:space="preserve">XI.254 ersetzt durch </w:t>
      </w:r>
      <w:r w:rsidR="00BE0A56" w:rsidRPr="004676F5">
        <w:rPr>
          <w:i/>
          <w:lang w:val="de-DE"/>
        </w:rPr>
        <w:t>Art. </w:t>
      </w:r>
      <w:r w:rsidRPr="004676F5">
        <w:rPr>
          <w:i/>
          <w:lang w:val="de-DE"/>
        </w:rPr>
        <w:t>49 des G. vom 8. </w:t>
      </w:r>
      <w:r w:rsidRPr="00B14651">
        <w:rPr>
          <w:i/>
          <w:lang w:val="de-DE"/>
        </w:rPr>
        <w:t>Juni 2017 (B.S. vom 27. Juni 2017)]</w:t>
      </w:r>
    </w:p>
    <w:p w14:paraId="51B1FE79" w14:textId="77777777" w:rsidR="00435B36" w:rsidRPr="00B14651" w:rsidRDefault="00435B36" w:rsidP="001527B1">
      <w:pPr>
        <w:ind w:firstLine="708"/>
        <w:jc w:val="both"/>
        <w:rPr>
          <w:lang w:val="de-DE"/>
        </w:rPr>
      </w:pPr>
    </w:p>
    <w:p w14:paraId="347C49E4" w14:textId="77777777" w:rsidR="00355502" w:rsidRPr="00B14651" w:rsidRDefault="00355502" w:rsidP="001527B1">
      <w:pPr>
        <w:ind w:firstLine="708"/>
        <w:jc w:val="both"/>
        <w:rPr>
          <w:lang w:val="de-DE"/>
        </w:rPr>
      </w:pPr>
    </w:p>
    <w:p w14:paraId="1F2B72D1" w14:textId="7B691893" w:rsidR="001527B1" w:rsidRPr="004676F5" w:rsidRDefault="00BE0A56" w:rsidP="00435B36">
      <w:pPr>
        <w:ind w:firstLine="708"/>
        <w:jc w:val="both"/>
        <w:rPr>
          <w:lang w:val="de-DE"/>
        </w:rPr>
      </w:pPr>
      <w:r w:rsidRPr="004676F5">
        <w:rPr>
          <w:b/>
          <w:lang w:val="de-DE"/>
        </w:rPr>
        <w:t>Art. </w:t>
      </w:r>
      <w:r w:rsidR="001527B1" w:rsidRPr="004676F5">
        <w:rPr>
          <w:b/>
          <w:lang w:val="de-DE"/>
        </w:rPr>
        <w:t>XI.255</w:t>
      </w:r>
      <w:r w:rsidR="001527B1" w:rsidRPr="004676F5">
        <w:rPr>
          <w:lang w:val="de-DE"/>
        </w:rPr>
        <w:t> </w:t>
      </w:r>
      <w:r w:rsidR="005B7A5C" w:rsidRPr="004676F5">
        <w:rPr>
          <w:lang w:val="de-DE"/>
        </w:rPr>
        <w:t>- </w:t>
      </w:r>
      <w:r w:rsidR="00435B36" w:rsidRPr="004676F5">
        <w:rPr>
          <w:lang w:val="de-DE"/>
        </w:rPr>
        <w:t>[Unbeschadet spezifischer Abweichungsbestimmungen verjähren Zah</w:t>
      </w:r>
      <w:r w:rsidR="00435B36" w:rsidRPr="004676F5">
        <w:rPr>
          <w:lang w:val="de-DE"/>
        </w:rPr>
        <w:softHyphen/>
        <w:t>lungs</w:t>
      </w:r>
      <w:r w:rsidR="00435B36" w:rsidRPr="004676F5">
        <w:rPr>
          <w:lang w:val="de-DE"/>
        </w:rPr>
        <w:softHyphen/>
      </w:r>
      <w:r w:rsidR="00435B36" w:rsidRPr="004676F5">
        <w:rPr>
          <w:lang w:val="de-DE"/>
        </w:rPr>
        <w:softHyphen/>
        <w:t>klagen in Bezug auf Vergütungen, die von Verwertungsgesellschaften eingenommen werden, in zehn Jahren ab dem Datum ihrer Einnahme. Diese Frist wird ab dem Datum ihrer Einnahme bis zum Datum ihrer Verteilung ausgesetzt.]</w:t>
      </w:r>
    </w:p>
    <w:p w14:paraId="60E07E3C" w14:textId="77777777" w:rsidR="001527B1" w:rsidRPr="004676F5" w:rsidRDefault="001527B1" w:rsidP="001527B1">
      <w:pPr>
        <w:ind w:firstLine="708"/>
        <w:jc w:val="both"/>
        <w:rPr>
          <w:lang w:val="de-DE"/>
        </w:rPr>
      </w:pPr>
    </w:p>
    <w:p w14:paraId="1F57BA7C" w14:textId="481AD38C" w:rsidR="00435B36" w:rsidRPr="00B14651" w:rsidRDefault="00435B36" w:rsidP="00435B36">
      <w:pPr>
        <w:jc w:val="both"/>
        <w:rPr>
          <w:i/>
          <w:lang w:val="de-DE"/>
        </w:rPr>
      </w:pPr>
      <w:r w:rsidRPr="004676F5">
        <w:rPr>
          <w:i/>
          <w:lang w:val="de-DE"/>
        </w:rPr>
        <w:t>[</w:t>
      </w:r>
      <w:r w:rsidR="00BE0A56" w:rsidRPr="004676F5">
        <w:rPr>
          <w:i/>
          <w:lang w:val="de-DE"/>
        </w:rPr>
        <w:t>Art. </w:t>
      </w:r>
      <w:r w:rsidRPr="004676F5">
        <w:rPr>
          <w:i/>
          <w:lang w:val="de-DE"/>
        </w:rPr>
        <w:t xml:space="preserve">XI.255 ersetzt durch </w:t>
      </w:r>
      <w:r w:rsidR="00BE0A56" w:rsidRPr="004676F5">
        <w:rPr>
          <w:i/>
          <w:lang w:val="de-DE"/>
        </w:rPr>
        <w:t>Art. </w:t>
      </w:r>
      <w:r w:rsidRPr="004676F5">
        <w:rPr>
          <w:i/>
          <w:lang w:val="de-DE"/>
        </w:rPr>
        <w:t>50 des G. vom 8. </w:t>
      </w:r>
      <w:r w:rsidRPr="00B14651">
        <w:rPr>
          <w:i/>
          <w:lang w:val="de-DE"/>
        </w:rPr>
        <w:t>Juni 2017 (B.S. vom 27. Juni 2017)]</w:t>
      </w:r>
    </w:p>
    <w:p w14:paraId="0399F61A" w14:textId="77777777" w:rsidR="00355502" w:rsidRPr="00B14651" w:rsidRDefault="00355502" w:rsidP="001527B1">
      <w:pPr>
        <w:ind w:firstLine="708"/>
        <w:jc w:val="both"/>
        <w:rPr>
          <w:lang w:val="de-DE"/>
        </w:rPr>
      </w:pPr>
    </w:p>
    <w:p w14:paraId="4482E8C2" w14:textId="77777777" w:rsidR="00435B36" w:rsidRPr="00B14651" w:rsidRDefault="00435B36" w:rsidP="001527B1">
      <w:pPr>
        <w:ind w:firstLine="708"/>
        <w:jc w:val="both"/>
        <w:rPr>
          <w:lang w:val="de-DE"/>
        </w:rPr>
      </w:pPr>
    </w:p>
    <w:p w14:paraId="6D2845D9" w14:textId="0E236F0F" w:rsidR="00435B36" w:rsidRPr="004676F5" w:rsidRDefault="00435B36" w:rsidP="00435B36">
      <w:pPr>
        <w:jc w:val="center"/>
        <w:rPr>
          <w:lang w:val="de-DE"/>
        </w:rPr>
      </w:pPr>
      <w:r w:rsidRPr="004676F5">
        <w:rPr>
          <w:lang w:val="de-DE"/>
        </w:rPr>
        <w:t>[Unterabschnitt 4 </w:t>
      </w:r>
      <w:r w:rsidR="005B7A5C" w:rsidRPr="004676F5">
        <w:rPr>
          <w:lang w:val="de-DE"/>
        </w:rPr>
        <w:t>- </w:t>
      </w:r>
      <w:r w:rsidRPr="004676F5">
        <w:rPr>
          <w:lang w:val="de-DE"/>
        </w:rPr>
        <w:t>Verwaltungskosten]</w:t>
      </w:r>
    </w:p>
    <w:p w14:paraId="3D0C7AD6" w14:textId="77777777" w:rsidR="00435B36" w:rsidRPr="004676F5" w:rsidRDefault="00435B36" w:rsidP="00435B36">
      <w:pPr>
        <w:jc w:val="center"/>
        <w:rPr>
          <w:lang w:val="de-DE"/>
        </w:rPr>
      </w:pPr>
    </w:p>
    <w:p w14:paraId="22D137E4" w14:textId="52226652" w:rsidR="00435B36" w:rsidRPr="004676F5" w:rsidRDefault="00435B36" w:rsidP="00435B36">
      <w:pPr>
        <w:jc w:val="both"/>
        <w:rPr>
          <w:i/>
          <w:lang w:val="de-DE"/>
        </w:rPr>
      </w:pPr>
      <w:r w:rsidRPr="004676F5">
        <w:rPr>
          <w:i/>
          <w:lang w:val="de-DE"/>
        </w:rPr>
        <w:t xml:space="preserve">[Unterteilung Unterabschnitt 4 eingefügt durch </w:t>
      </w:r>
      <w:r w:rsidR="00BE0A56" w:rsidRPr="004676F5">
        <w:rPr>
          <w:i/>
          <w:lang w:val="de-DE"/>
        </w:rPr>
        <w:t>Art. </w:t>
      </w:r>
      <w:r w:rsidRPr="004676F5">
        <w:rPr>
          <w:i/>
          <w:lang w:val="de-DE"/>
        </w:rPr>
        <w:t>51 des G. vom 8. Juni 2017 (B.S. vom 27. Juni 2017)]</w:t>
      </w:r>
    </w:p>
    <w:p w14:paraId="4F59D8A1" w14:textId="77777777" w:rsidR="00435B36" w:rsidRPr="004676F5" w:rsidRDefault="00435B36" w:rsidP="00435B36">
      <w:pPr>
        <w:jc w:val="center"/>
        <w:rPr>
          <w:lang w:val="de-DE"/>
        </w:rPr>
      </w:pPr>
    </w:p>
    <w:p w14:paraId="44D8782C" w14:textId="77777777" w:rsidR="00435B36" w:rsidRPr="004676F5" w:rsidRDefault="00435B36" w:rsidP="00435B36">
      <w:pPr>
        <w:jc w:val="center"/>
        <w:rPr>
          <w:lang w:val="de-DE"/>
        </w:rPr>
      </w:pPr>
    </w:p>
    <w:p w14:paraId="3F87081A" w14:textId="3C497B85" w:rsidR="00435B36" w:rsidRPr="004676F5" w:rsidRDefault="00BE0A56" w:rsidP="00435B36">
      <w:pPr>
        <w:ind w:firstLine="708"/>
        <w:jc w:val="both"/>
        <w:rPr>
          <w:lang w:val="de-DE"/>
        </w:rPr>
      </w:pPr>
      <w:r w:rsidRPr="004676F5">
        <w:rPr>
          <w:b/>
          <w:lang w:val="de-DE"/>
        </w:rPr>
        <w:t>Art. </w:t>
      </w:r>
      <w:r w:rsidR="001527B1" w:rsidRPr="004676F5">
        <w:rPr>
          <w:b/>
          <w:lang w:val="de-DE"/>
        </w:rPr>
        <w:t>XI.256</w:t>
      </w:r>
      <w:r w:rsidR="001527B1" w:rsidRPr="004676F5">
        <w:rPr>
          <w:lang w:val="de-DE"/>
        </w:rPr>
        <w:t> </w:t>
      </w:r>
      <w:r w:rsidR="005B7A5C" w:rsidRPr="004676F5">
        <w:rPr>
          <w:lang w:val="de-DE"/>
        </w:rPr>
        <w:t>- </w:t>
      </w:r>
      <w:r w:rsidR="00435B36" w:rsidRPr="004676F5">
        <w:rPr>
          <w:lang w:val="de-DE"/>
        </w:rPr>
        <w:t>[Verwertungsgesellschaften sorgen dafür, dass Verwaltungskosten im Laufe eines bestimmten Geschäftsjahres im Verhältnis zu den entsprechenden Verwertungs</w:t>
      </w:r>
      <w:r w:rsidR="00435B36" w:rsidRPr="004676F5">
        <w:rPr>
          <w:lang w:val="de-DE"/>
        </w:rPr>
        <w:softHyphen/>
        <w:t>leistungen angemessen sind und die gerechtfertigten und belegten Kosten nicht übersteigen.</w:t>
      </w:r>
    </w:p>
    <w:p w14:paraId="3A4E984D" w14:textId="77777777" w:rsidR="00435B36" w:rsidRPr="004676F5" w:rsidRDefault="00435B36" w:rsidP="00435B36">
      <w:pPr>
        <w:jc w:val="both"/>
        <w:rPr>
          <w:lang w:val="de-DE"/>
        </w:rPr>
      </w:pPr>
    </w:p>
    <w:p w14:paraId="7435870E" w14:textId="77777777" w:rsidR="00435B36" w:rsidRPr="004676F5" w:rsidRDefault="00435B36" w:rsidP="00435B36">
      <w:pPr>
        <w:jc w:val="both"/>
        <w:rPr>
          <w:lang w:val="de-DE"/>
        </w:rPr>
      </w:pPr>
      <w:r w:rsidRPr="004676F5">
        <w:rPr>
          <w:lang w:val="de-DE"/>
        </w:rPr>
        <w:tab/>
        <w:t xml:space="preserve">Übersteigen Verwaltungskosten einer Verwertungsgesellschaft eine Höchstgrenze von 15 Prozent des Durchschnitts der während der letzten drei Geschäftsjahre eingenommenen Vergütungen, muss diese Überschreitung in dem in Artikel XI.248/6 erwähnten Lagebericht auf vollständige, genaue und detaillierte Weise begründet werden. Der König kann diesen </w:t>
      </w:r>
      <w:r w:rsidRPr="004676F5">
        <w:rPr>
          <w:lang w:val="de-DE"/>
        </w:rPr>
        <w:lastRenderedPageBreak/>
        <w:t>Prozentsatz anpassen und auf der Grundlage objektiver, nicht diskriminierender Kriterien differenzieren.</w:t>
      </w:r>
    </w:p>
    <w:p w14:paraId="448B100F" w14:textId="77777777" w:rsidR="00435B36" w:rsidRPr="004676F5" w:rsidRDefault="00435B36" w:rsidP="00435B36">
      <w:pPr>
        <w:jc w:val="both"/>
        <w:rPr>
          <w:lang w:val="de-DE"/>
        </w:rPr>
      </w:pPr>
    </w:p>
    <w:p w14:paraId="25F3DF8D" w14:textId="77777777" w:rsidR="001527B1" w:rsidRPr="004676F5" w:rsidRDefault="00435B36" w:rsidP="00435B36">
      <w:pPr>
        <w:ind w:firstLine="708"/>
        <w:jc w:val="both"/>
        <w:rPr>
          <w:lang w:val="de-DE"/>
        </w:rPr>
      </w:pPr>
      <w:r w:rsidRPr="004676F5">
        <w:rPr>
          <w:lang w:val="de-DE"/>
        </w:rPr>
        <w:t>Die Bestimmungen, die für Verwendung und Transparenz bei der Verwendung der abgezogenen oder verrechneten Verwaltungskosten gelten, gelten auch für andere Abzüge, die zur Deckung der durch die Wahrnehmung der Urheberrechte oder verwandten Schutzrechte entstehenden Kosten angesetzt werden.]</w:t>
      </w:r>
    </w:p>
    <w:p w14:paraId="17D3DE5F" w14:textId="77777777" w:rsidR="001527B1" w:rsidRPr="004676F5" w:rsidRDefault="001527B1" w:rsidP="001527B1">
      <w:pPr>
        <w:ind w:firstLine="708"/>
        <w:jc w:val="both"/>
        <w:rPr>
          <w:lang w:val="de-DE"/>
        </w:rPr>
      </w:pPr>
    </w:p>
    <w:p w14:paraId="36069431" w14:textId="25EF4B2A" w:rsidR="00435B36" w:rsidRPr="00B14651" w:rsidRDefault="00435B36" w:rsidP="00435B36">
      <w:pPr>
        <w:jc w:val="both"/>
        <w:rPr>
          <w:i/>
          <w:lang w:val="de-DE"/>
        </w:rPr>
      </w:pPr>
      <w:r w:rsidRPr="004676F5">
        <w:rPr>
          <w:i/>
          <w:lang w:val="de-DE"/>
        </w:rPr>
        <w:t>[</w:t>
      </w:r>
      <w:r w:rsidR="00BE0A56" w:rsidRPr="004676F5">
        <w:rPr>
          <w:i/>
          <w:lang w:val="de-DE"/>
        </w:rPr>
        <w:t>Art. </w:t>
      </w:r>
      <w:r w:rsidRPr="004676F5">
        <w:rPr>
          <w:i/>
          <w:lang w:val="de-DE"/>
        </w:rPr>
        <w:t xml:space="preserve">XI.256 ersetzt durch </w:t>
      </w:r>
      <w:r w:rsidR="00BE0A56" w:rsidRPr="004676F5">
        <w:rPr>
          <w:i/>
          <w:lang w:val="de-DE"/>
        </w:rPr>
        <w:t>Art. </w:t>
      </w:r>
      <w:r w:rsidRPr="004676F5">
        <w:rPr>
          <w:i/>
          <w:lang w:val="de-DE"/>
        </w:rPr>
        <w:t>52 des G. vom 8. </w:t>
      </w:r>
      <w:r w:rsidRPr="00B14651">
        <w:rPr>
          <w:i/>
          <w:lang w:val="de-DE"/>
        </w:rPr>
        <w:t>Juni 2017 (B.S. vom 27. Juni 2017)]</w:t>
      </w:r>
    </w:p>
    <w:p w14:paraId="356FDFB0" w14:textId="77777777" w:rsidR="00435B36" w:rsidRPr="00B14651" w:rsidRDefault="00435B36" w:rsidP="00435B36">
      <w:pPr>
        <w:jc w:val="both"/>
        <w:rPr>
          <w:i/>
          <w:lang w:val="de-DE"/>
        </w:rPr>
      </w:pPr>
    </w:p>
    <w:p w14:paraId="1FE52C25" w14:textId="77777777" w:rsidR="00435B36" w:rsidRPr="00B14651" w:rsidRDefault="00435B36" w:rsidP="00435B36">
      <w:pPr>
        <w:jc w:val="both"/>
        <w:rPr>
          <w:lang w:val="de-DE"/>
        </w:rPr>
      </w:pPr>
    </w:p>
    <w:p w14:paraId="35DB4CAD" w14:textId="2C1E1142" w:rsidR="00435B36" w:rsidRPr="004676F5" w:rsidRDefault="00435B36" w:rsidP="00435B36">
      <w:pPr>
        <w:jc w:val="center"/>
        <w:rPr>
          <w:lang w:val="de-DE"/>
        </w:rPr>
      </w:pPr>
      <w:r w:rsidRPr="004676F5">
        <w:rPr>
          <w:lang w:val="de-DE"/>
        </w:rPr>
        <w:t>[Unterabschnitt 5 </w:t>
      </w:r>
      <w:r w:rsidR="005B7A5C" w:rsidRPr="004676F5">
        <w:rPr>
          <w:lang w:val="de-DE"/>
        </w:rPr>
        <w:t>- </w:t>
      </w:r>
      <w:r w:rsidRPr="004676F5">
        <w:rPr>
          <w:lang w:val="de-DE"/>
        </w:rPr>
        <w:t>Kredite und Darlehen]</w:t>
      </w:r>
    </w:p>
    <w:p w14:paraId="39195C65" w14:textId="77777777" w:rsidR="00435B36" w:rsidRPr="004676F5" w:rsidRDefault="00435B36" w:rsidP="00435B36">
      <w:pPr>
        <w:jc w:val="center"/>
        <w:rPr>
          <w:lang w:val="de-DE"/>
        </w:rPr>
      </w:pPr>
    </w:p>
    <w:p w14:paraId="1CFA567A" w14:textId="2E84FE9F" w:rsidR="00435B36" w:rsidRPr="004676F5" w:rsidRDefault="00435B36" w:rsidP="00435B36">
      <w:pPr>
        <w:jc w:val="both"/>
        <w:rPr>
          <w:i/>
          <w:lang w:val="de-DE"/>
        </w:rPr>
      </w:pPr>
      <w:r w:rsidRPr="004676F5">
        <w:rPr>
          <w:i/>
          <w:lang w:val="de-DE"/>
        </w:rPr>
        <w:t xml:space="preserve">[Unterteilung Unterabschnitt 5 eingefügt durch </w:t>
      </w:r>
      <w:r w:rsidR="00BE0A56" w:rsidRPr="004676F5">
        <w:rPr>
          <w:i/>
          <w:lang w:val="de-DE"/>
        </w:rPr>
        <w:t>Art. </w:t>
      </w:r>
      <w:r w:rsidRPr="004676F5">
        <w:rPr>
          <w:i/>
          <w:lang w:val="de-DE"/>
        </w:rPr>
        <w:t>53 des G. vom 8. Juni 2017 (B.S. vom 27. Juni 2017)]</w:t>
      </w:r>
    </w:p>
    <w:p w14:paraId="4AD43A3F" w14:textId="77777777" w:rsidR="00435B36" w:rsidRPr="004676F5" w:rsidRDefault="00435B36" w:rsidP="001527B1">
      <w:pPr>
        <w:ind w:firstLine="708"/>
        <w:jc w:val="both"/>
        <w:rPr>
          <w:lang w:val="de-DE"/>
        </w:rPr>
      </w:pPr>
    </w:p>
    <w:p w14:paraId="4ACB5801" w14:textId="77777777" w:rsidR="00355502" w:rsidRPr="004676F5" w:rsidRDefault="00355502" w:rsidP="001527B1">
      <w:pPr>
        <w:ind w:firstLine="708"/>
        <w:jc w:val="both"/>
        <w:rPr>
          <w:lang w:val="de-DE"/>
        </w:rPr>
      </w:pPr>
    </w:p>
    <w:p w14:paraId="75FC0563" w14:textId="54E4E548" w:rsidR="001527B1" w:rsidRPr="004676F5" w:rsidRDefault="00BE0A56" w:rsidP="00435B36">
      <w:pPr>
        <w:ind w:firstLine="708"/>
        <w:jc w:val="both"/>
        <w:rPr>
          <w:lang w:val="de-DE"/>
        </w:rPr>
      </w:pPr>
      <w:r w:rsidRPr="004676F5">
        <w:rPr>
          <w:b/>
          <w:lang w:val="de-DE"/>
        </w:rPr>
        <w:t>Art. </w:t>
      </w:r>
      <w:r w:rsidR="001527B1" w:rsidRPr="004676F5">
        <w:rPr>
          <w:b/>
          <w:lang w:val="de-DE"/>
        </w:rPr>
        <w:t>XI.257</w:t>
      </w:r>
      <w:r w:rsidR="001527B1" w:rsidRPr="004676F5">
        <w:rPr>
          <w:lang w:val="de-DE"/>
        </w:rPr>
        <w:t> </w:t>
      </w:r>
      <w:r w:rsidR="005B7A5C" w:rsidRPr="004676F5">
        <w:rPr>
          <w:lang w:val="de-DE"/>
        </w:rPr>
        <w:t>- </w:t>
      </w:r>
      <w:r w:rsidR="00435B36" w:rsidRPr="004676F5">
        <w:rPr>
          <w:lang w:val="de-DE"/>
        </w:rPr>
        <w:t>[Verwertungsgesellschaften dürfen weder direkt noch indirekt Kredite oder Darlehen bewilligen. Sie dürfen außerdem weder direkt noch indirekt von Dritten eingegangene Verbindlichkeiten garantieren.]</w:t>
      </w:r>
    </w:p>
    <w:p w14:paraId="60679DCD" w14:textId="77777777" w:rsidR="001527B1" w:rsidRPr="004676F5" w:rsidRDefault="001527B1" w:rsidP="001527B1">
      <w:pPr>
        <w:ind w:firstLine="708"/>
        <w:jc w:val="both"/>
        <w:rPr>
          <w:lang w:val="de-DE"/>
        </w:rPr>
      </w:pPr>
    </w:p>
    <w:p w14:paraId="021D9E9D" w14:textId="39FC01D6" w:rsidR="00435B36" w:rsidRPr="00B14651" w:rsidRDefault="00435B36" w:rsidP="00435B36">
      <w:pPr>
        <w:jc w:val="both"/>
        <w:rPr>
          <w:i/>
          <w:lang w:val="de-DE"/>
        </w:rPr>
      </w:pPr>
      <w:r w:rsidRPr="004676F5">
        <w:rPr>
          <w:i/>
          <w:lang w:val="de-DE"/>
        </w:rPr>
        <w:t>[</w:t>
      </w:r>
      <w:r w:rsidR="00BE0A56" w:rsidRPr="004676F5">
        <w:rPr>
          <w:i/>
          <w:lang w:val="de-DE"/>
        </w:rPr>
        <w:t>Art. </w:t>
      </w:r>
      <w:r w:rsidRPr="004676F5">
        <w:rPr>
          <w:i/>
          <w:lang w:val="de-DE"/>
        </w:rPr>
        <w:t xml:space="preserve">XI.257 ersetzt durch </w:t>
      </w:r>
      <w:r w:rsidR="00BE0A56" w:rsidRPr="004676F5">
        <w:rPr>
          <w:i/>
          <w:lang w:val="de-DE"/>
        </w:rPr>
        <w:t>Art. </w:t>
      </w:r>
      <w:r w:rsidRPr="004676F5">
        <w:rPr>
          <w:i/>
          <w:lang w:val="de-DE"/>
        </w:rPr>
        <w:t>54 des G. vom 8. </w:t>
      </w:r>
      <w:r w:rsidRPr="00B14651">
        <w:rPr>
          <w:i/>
          <w:lang w:val="de-DE"/>
        </w:rPr>
        <w:t>Juni 2017 (B.S. vom 27. Juni 2017)]</w:t>
      </w:r>
    </w:p>
    <w:p w14:paraId="455A980B" w14:textId="77777777" w:rsidR="00D70DFF" w:rsidRPr="00B14651" w:rsidRDefault="00D70DFF" w:rsidP="00435B36">
      <w:pPr>
        <w:jc w:val="both"/>
        <w:rPr>
          <w:i/>
          <w:lang w:val="de-DE"/>
        </w:rPr>
      </w:pPr>
    </w:p>
    <w:p w14:paraId="3F87C1E1" w14:textId="77777777" w:rsidR="00D70DFF" w:rsidRPr="00B14651" w:rsidRDefault="00D70DFF" w:rsidP="00435B36">
      <w:pPr>
        <w:jc w:val="both"/>
        <w:rPr>
          <w:lang w:val="de-DE"/>
        </w:rPr>
      </w:pPr>
    </w:p>
    <w:p w14:paraId="5625A416" w14:textId="76875800" w:rsidR="00D70DFF" w:rsidRPr="004676F5" w:rsidRDefault="00D70DFF" w:rsidP="00D70DFF">
      <w:pPr>
        <w:jc w:val="center"/>
        <w:rPr>
          <w:lang w:val="de-DE"/>
        </w:rPr>
      </w:pPr>
      <w:r w:rsidRPr="004676F5">
        <w:rPr>
          <w:lang w:val="de-DE"/>
        </w:rPr>
        <w:t>[Unterabschnitt 6 </w:t>
      </w:r>
      <w:r w:rsidR="005B7A5C" w:rsidRPr="004676F5">
        <w:rPr>
          <w:lang w:val="de-DE"/>
        </w:rPr>
        <w:t>- </w:t>
      </w:r>
      <w:r w:rsidRPr="004676F5">
        <w:rPr>
          <w:lang w:val="de-DE"/>
        </w:rPr>
        <w:t>Soziale, kulturelle oder erzieherische Zwecke]</w:t>
      </w:r>
    </w:p>
    <w:p w14:paraId="7D14C78A" w14:textId="77777777" w:rsidR="00D70DFF" w:rsidRPr="004676F5" w:rsidRDefault="00D70DFF" w:rsidP="00D70DFF">
      <w:pPr>
        <w:jc w:val="center"/>
        <w:rPr>
          <w:lang w:val="de-DE"/>
        </w:rPr>
      </w:pPr>
    </w:p>
    <w:p w14:paraId="2137FA63" w14:textId="77F04DCC" w:rsidR="00D70DFF" w:rsidRPr="004676F5" w:rsidRDefault="00D70DFF" w:rsidP="00D70DFF">
      <w:pPr>
        <w:jc w:val="both"/>
        <w:rPr>
          <w:i/>
          <w:lang w:val="de-DE"/>
        </w:rPr>
      </w:pPr>
      <w:r w:rsidRPr="004676F5">
        <w:rPr>
          <w:i/>
          <w:lang w:val="de-DE"/>
        </w:rPr>
        <w:t xml:space="preserve">[Unterteilung Unterabschnitt 6 eingefügt durch </w:t>
      </w:r>
      <w:r w:rsidR="00BE0A56" w:rsidRPr="004676F5">
        <w:rPr>
          <w:i/>
          <w:lang w:val="de-DE"/>
        </w:rPr>
        <w:t>Art. </w:t>
      </w:r>
      <w:r w:rsidRPr="004676F5">
        <w:rPr>
          <w:i/>
          <w:lang w:val="de-DE"/>
        </w:rPr>
        <w:t>55 des G. vom 8. Juni 2017 (B.S. vom 27. Juni 2017)]</w:t>
      </w:r>
    </w:p>
    <w:p w14:paraId="7B8D682D" w14:textId="77777777" w:rsidR="00D70DFF" w:rsidRPr="004676F5" w:rsidRDefault="00D70DFF" w:rsidP="00D70DFF">
      <w:pPr>
        <w:jc w:val="center"/>
        <w:rPr>
          <w:lang w:val="de-DE"/>
        </w:rPr>
      </w:pPr>
    </w:p>
    <w:p w14:paraId="7AE279BC" w14:textId="77777777" w:rsidR="00355502" w:rsidRPr="004676F5" w:rsidRDefault="00355502" w:rsidP="001527B1">
      <w:pPr>
        <w:ind w:firstLine="708"/>
        <w:jc w:val="both"/>
        <w:rPr>
          <w:lang w:val="de-DE"/>
        </w:rPr>
      </w:pPr>
    </w:p>
    <w:p w14:paraId="5D651702" w14:textId="323EF6D3" w:rsidR="00D70DFF" w:rsidRPr="004676F5" w:rsidRDefault="00BE0A56" w:rsidP="00D70DFF">
      <w:pPr>
        <w:ind w:firstLine="708"/>
        <w:jc w:val="both"/>
        <w:rPr>
          <w:lang w:val="de-DE"/>
        </w:rPr>
      </w:pPr>
      <w:r w:rsidRPr="004676F5">
        <w:rPr>
          <w:b/>
          <w:lang w:val="de-DE"/>
        </w:rPr>
        <w:t>Art. </w:t>
      </w:r>
      <w:r w:rsidR="001527B1" w:rsidRPr="004676F5">
        <w:rPr>
          <w:b/>
          <w:lang w:val="de-DE"/>
        </w:rPr>
        <w:t>XI.258</w:t>
      </w:r>
      <w:r w:rsidR="001527B1" w:rsidRPr="004676F5">
        <w:rPr>
          <w:lang w:val="de-DE"/>
        </w:rPr>
        <w:t> </w:t>
      </w:r>
      <w:r w:rsidR="005B7A5C" w:rsidRPr="004676F5">
        <w:rPr>
          <w:lang w:val="de-DE"/>
        </w:rPr>
        <w:t>- </w:t>
      </w:r>
      <w:r w:rsidR="00D70DFF" w:rsidRPr="004676F5">
        <w:rPr>
          <w:lang w:val="de-DE"/>
        </w:rPr>
        <w:t xml:space="preserve">[Unbeschadet des Artikels XI.234 § 2 darf nur die Generalversammlung der Verwertungsgesellschaft mit einer Mehrheit von zwei Dritteln der Stimmen der anwesenden oder vertretenen Gesellschafter </w:t>
      </w:r>
      <w:r w:rsidR="005B7A5C" w:rsidRPr="004676F5">
        <w:rPr>
          <w:lang w:val="de-DE"/>
        </w:rPr>
        <w:t>- </w:t>
      </w:r>
      <w:r w:rsidR="00D70DFF" w:rsidRPr="004676F5">
        <w:rPr>
          <w:lang w:val="de-DE"/>
        </w:rPr>
        <w:t>vorbehaltlich strengerer Satzungsbestimmungen </w:t>
      </w:r>
      <w:r w:rsidR="005B7A5C" w:rsidRPr="004676F5">
        <w:rPr>
          <w:lang w:val="de-DE"/>
        </w:rPr>
        <w:t>- </w:t>
      </w:r>
      <w:r w:rsidR="00D70DFF" w:rsidRPr="004676F5">
        <w:rPr>
          <w:lang w:val="de-DE"/>
        </w:rPr>
        <w:t>beschlie</w:t>
      </w:r>
      <w:r w:rsidR="00D70DFF" w:rsidRPr="004676F5">
        <w:rPr>
          <w:lang w:val="de-DE"/>
        </w:rPr>
        <w:softHyphen/>
        <w:t>ßen, dass die Verwertungsgesellschaft höchstens 10 Prozent der eingenommenen Vergütungen zu sozialen, kulturellen oder erzieherischen Zwecken verwenden darf. Die Generalver</w:t>
      </w:r>
      <w:r w:rsidR="00D70DFF" w:rsidRPr="004676F5">
        <w:rPr>
          <w:lang w:val="de-DE"/>
        </w:rPr>
        <w:softHyphen/>
        <w:t>sammlung kann außerdem einen allgemeinen Rahmen oder allgemeine Richtlinien hinsichtlich des Verwendungszweckes dieser Summen festlegen.</w:t>
      </w:r>
    </w:p>
    <w:p w14:paraId="0A308F5B" w14:textId="77777777" w:rsidR="00D70DFF" w:rsidRPr="004676F5" w:rsidRDefault="00D70DFF" w:rsidP="00D70DFF">
      <w:pPr>
        <w:jc w:val="both"/>
        <w:rPr>
          <w:lang w:val="de-DE"/>
        </w:rPr>
      </w:pPr>
    </w:p>
    <w:p w14:paraId="03F8518E" w14:textId="77777777" w:rsidR="00D70DFF" w:rsidRPr="004676F5" w:rsidRDefault="00D70DFF" w:rsidP="00D70DFF">
      <w:pPr>
        <w:jc w:val="both"/>
        <w:rPr>
          <w:lang w:val="de-DE"/>
        </w:rPr>
      </w:pPr>
      <w:r w:rsidRPr="004676F5">
        <w:rPr>
          <w:lang w:val="de-DE"/>
        </w:rPr>
        <w:tab/>
        <w:t>Die Verwaltung der Vergütungen, die zu sozialen, kulturellen oder erzieherischen Zwecken verwendet werden, wird von der Verwertungsgesellschaft selbst vorgenommen auf der Grundlage fairer Kriterien, insbesondere im Hinblick auf den Zugang zu solchen Leistungen und deren Umfang.</w:t>
      </w:r>
    </w:p>
    <w:p w14:paraId="685D709A" w14:textId="77777777" w:rsidR="00D70DFF" w:rsidRPr="004676F5" w:rsidRDefault="00D70DFF" w:rsidP="00D70DFF">
      <w:pPr>
        <w:jc w:val="both"/>
        <w:rPr>
          <w:lang w:val="de-DE"/>
        </w:rPr>
      </w:pPr>
    </w:p>
    <w:p w14:paraId="63B5B0BD" w14:textId="77777777" w:rsidR="00D70DFF" w:rsidRPr="004676F5" w:rsidRDefault="00D70DFF" w:rsidP="00D70DFF">
      <w:pPr>
        <w:jc w:val="both"/>
        <w:rPr>
          <w:lang w:val="de-DE"/>
        </w:rPr>
      </w:pPr>
      <w:r w:rsidRPr="004676F5">
        <w:rPr>
          <w:lang w:val="de-DE"/>
        </w:rPr>
        <w:tab/>
        <w:t>Verwertungsgesellschaften sorgen dafür, dass Verwaltungskosten im Laufe eines bestimmten Geschäftsjahres angemessen sind und im Verhältnis zu den entsprechenden sozialen, kulturellen oder erzieherischen Zwecken stehen.</w:t>
      </w:r>
    </w:p>
    <w:p w14:paraId="4C4A38F9" w14:textId="77777777" w:rsidR="00D70DFF" w:rsidRPr="004676F5" w:rsidRDefault="00D70DFF" w:rsidP="00D70DFF">
      <w:pPr>
        <w:jc w:val="both"/>
        <w:rPr>
          <w:lang w:val="de-DE"/>
        </w:rPr>
      </w:pPr>
    </w:p>
    <w:p w14:paraId="56787B07" w14:textId="77777777" w:rsidR="00D70DFF" w:rsidRPr="004676F5" w:rsidRDefault="00D70DFF" w:rsidP="00D70DFF">
      <w:pPr>
        <w:jc w:val="both"/>
        <w:rPr>
          <w:lang w:val="de-DE"/>
        </w:rPr>
      </w:pPr>
      <w:r w:rsidRPr="004676F5">
        <w:rPr>
          <w:lang w:val="de-DE"/>
        </w:rPr>
        <w:tab/>
        <w:t>Verwertungsgesellschaften, die gemäß Absatz 1 einen Teil der eingenommenen Vergütungen zu sozialen, kulturellen oder erzieherischen Zwecken verwenden, müssen eine Kontentrennung vornehmen, so dass deutlich ist, welche Mittel zu diesen Zwecken bestimmt sind und wie sie tatsächlich verwendet werden.</w:t>
      </w:r>
    </w:p>
    <w:p w14:paraId="67149BD3" w14:textId="77777777" w:rsidR="00D70DFF" w:rsidRPr="004676F5" w:rsidRDefault="00D70DFF" w:rsidP="00D70DFF">
      <w:pPr>
        <w:jc w:val="both"/>
        <w:rPr>
          <w:lang w:val="de-DE"/>
        </w:rPr>
      </w:pPr>
    </w:p>
    <w:p w14:paraId="1CAAD727" w14:textId="77777777" w:rsidR="001527B1" w:rsidRPr="004676F5" w:rsidRDefault="00D70DFF" w:rsidP="00D70DFF">
      <w:pPr>
        <w:ind w:firstLine="708"/>
        <w:jc w:val="both"/>
        <w:rPr>
          <w:lang w:val="de-DE"/>
        </w:rPr>
      </w:pPr>
      <w:r w:rsidRPr="004676F5">
        <w:rPr>
          <w:lang w:val="de-DE"/>
        </w:rPr>
        <w:lastRenderedPageBreak/>
        <w:t>Zuweisung und Benutzung von Vergütungen durch die Verwertungsgesellschaft zu sozialen, kulturellen oder erzieherischen Zwecken ist jedes Jahr Gegenstand eines Berichts des Verwaltungsrats, in dem die Zuweisung und Benutzung dieser Vergütungen angegeben wird. Dieser Bericht wird der Generalversammlung vorgelegt und dem Kontrolldienst zur Information übermittelt.]</w:t>
      </w:r>
    </w:p>
    <w:p w14:paraId="610CC36A" w14:textId="77777777" w:rsidR="001527B1" w:rsidRPr="004676F5" w:rsidRDefault="001527B1" w:rsidP="001527B1">
      <w:pPr>
        <w:ind w:firstLine="708"/>
        <w:jc w:val="both"/>
        <w:rPr>
          <w:lang w:val="de-DE"/>
        </w:rPr>
      </w:pPr>
    </w:p>
    <w:p w14:paraId="41B1A7F4" w14:textId="10C7F400" w:rsidR="00D70DFF" w:rsidRPr="00B14651" w:rsidRDefault="00D70DFF" w:rsidP="00D70DFF">
      <w:pPr>
        <w:jc w:val="both"/>
        <w:rPr>
          <w:i/>
          <w:lang w:val="de-DE"/>
        </w:rPr>
      </w:pPr>
      <w:r w:rsidRPr="004676F5">
        <w:rPr>
          <w:i/>
          <w:lang w:val="de-DE"/>
        </w:rPr>
        <w:t>[</w:t>
      </w:r>
      <w:r w:rsidR="00BE0A56" w:rsidRPr="004676F5">
        <w:rPr>
          <w:i/>
          <w:lang w:val="de-DE"/>
        </w:rPr>
        <w:t>Art. </w:t>
      </w:r>
      <w:r w:rsidRPr="004676F5">
        <w:rPr>
          <w:i/>
          <w:lang w:val="de-DE"/>
        </w:rPr>
        <w:t xml:space="preserve">XI.258 ersetzt durch </w:t>
      </w:r>
      <w:r w:rsidR="00BE0A56" w:rsidRPr="004676F5">
        <w:rPr>
          <w:i/>
          <w:lang w:val="de-DE"/>
        </w:rPr>
        <w:t>Art. </w:t>
      </w:r>
      <w:r w:rsidRPr="004676F5">
        <w:rPr>
          <w:i/>
          <w:lang w:val="de-DE"/>
        </w:rPr>
        <w:t>56 des G. vom 8. </w:t>
      </w:r>
      <w:r w:rsidRPr="00B14651">
        <w:rPr>
          <w:i/>
          <w:lang w:val="de-DE"/>
        </w:rPr>
        <w:t>Juni 2017 (B.S. vom 27. Juni 2017)]</w:t>
      </w:r>
    </w:p>
    <w:p w14:paraId="57850B70" w14:textId="77777777" w:rsidR="00D70DFF" w:rsidRPr="00B14651" w:rsidRDefault="00D70DFF" w:rsidP="00D70DFF">
      <w:pPr>
        <w:jc w:val="both"/>
        <w:rPr>
          <w:i/>
          <w:lang w:val="de-DE"/>
        </w:rPr>
      </w:pPr>
    </w:p>
    <w:p w14:paraId="2614B2B0" w14:textId="77777777" w:rsidR="00D70DFF" w:rsidRPr="00B14651" w:rsidRDefault="00D70DFF" w:rsidP="00D70DFF">
      <w:pPr>
        <w:jc w:val="both"/>
        <w:rPr>
          <w:i/>
          <w:lang w:val="de-DE"/>
        </w:rPr>
      </w:pPr>
    </w:p>
    <w:p w14:paraId="0317CC1A" w14:textId="0BF3BF28" w:rsidR="00D70DFF" w:rsidRPr="004676F5" w:rsidRDefault="00D70DFF" w:rsidP="00D70DFF">
      <w:pPr>
        <w:jc w:val="center"/>
        <w:rPr>
          <w:lang w:val="de-DE"/>
        </w:rPr>
      </w:pPr>
      <w:r w:rsidRPr="004676F5">
        <w:rPr>
          <w:lang w:val="de-DE"/>
        </w:rPr>
        <w:t>[Unterabschnitt 7 </w:t>
      </w:r>
      <w:r w:rsidR="005B7A5C" w:rsidRPr="004676F5">
        <w:rPr>
          <w:lang w:val="de-DE"/>
        </w:rPr>
        <w:t>- </w:t>
      </w:r>
      <w:r w:rsidRPr="004676F5">
        <w:rPr>
          <w:lang w:val="de-DE"/>
        </w:rPr>
        <w:t>Repräsentationsvereinbarungen]</w:t>
      </w:r>
    </w:p>
    <w:p w14:paraId="42FDC3D5" w14:textId="77777777" w:rsidR="00D70DFF" w:rsidRPr="004676F5" w:rsidRDefault="00D70DFF" w:rsidP="00D70DFF">
      <w:pPr>
        <w:jc w:val="center"/>
        <w:rPr>
          <w:lang w:val="de-DE"/>
        </w:rPr>
      </w:pPr>
    </w:p>
    <w:p w14:paraId="1C4E99AD" w14:textId="2B7BDD75" w:rsidR="00D70DFF" w:rsidRPr="004676F5" w:rsidRDefault="00D70DFF" w:rsidP="00D70DFF">
      <w:pPr>
        <w:jc w:val="both"/>
        <w:rPr>
          <w:i/>
          <w:lang w:val="de-DE"/>
        </w:rPr>
      </w:pPr>
      <w:r w:rsidRPr="004676F5">
        <w:rPr>
          <w:i/>
          <w:lang w:val="de-DE"/>
        </w:rPr>
        <w:t xml:space="preserve">[Unterteilung Unterabschnitt 7 eingefügt durch </w:t>
      </w:r>
      <w:r w:rsidR="00BE0A56" w:rsidRPr="004676F5">
        <w:rPr>
          <w:i/>
          <w:lang w:val="de-DE"/>
        </w:rPr>
        <w:t>Art. </w:t>
      </w:r>
      <w:r w:rsidRPr="004676F5">
        <w:rPr>
          <w:i/>
          <w:lang w:val="de-DE"/>
        </w:rPr>
        <w:t>57 des G. vom 8. Juni 2017 (B.S. vom 27. Juni 2017)]</w:t>
      </w:r>
    </w:p>
    <w:p w14:paraId="0E6A3D6B" w14:textId="77777777" w:rsidR="00D70DFF" w:rsidRPr="004676F5" w:rsidRDefault="00D70DFF" w:rsidP="001527B1">
      <w:pPr>
        <w:ind w:firstLine="708"/>
        <w:jc w:val="both"/>
        <w:rPr>
          <w:lang w:val="de-DE"/>
        </w:rPr>
      </w:pPr>
    </w:p>
    <w:p w14:paraId="1CC2F4DC" w14:textId="77777777" w:rsidR="00355502" w:rsidRPr="004676F5" w:rsidRDefault="00355502" w:rsidP="001527B1">
      <w:pPr>
        <w:ind w:firstLine="708"/>
        <w:jc w:val="both"/>
        <w:rPr>
          <w:lang w:val="de-DE"/>
        </w:rPr>
      </w:pPr>
    </w:p>
    <w:p w14:paraId="7E385E3B" w14:textId="10CFA692" w:rsidR="001527B1" w:rsidRPr="004676F5" w:rsidRDefault="00BE0A56" w:rsidP="00D70DFF">
      <w:pPr>
        <w:ind w:firstLine="708"/>
        <w:jc w:val="both"/>
        <w:rPr>
          <w:lang w:val="de-DE"/>
        </w:rPr>
      </w:pPr>
      <w:r w:rsidRPr="004676F5">
        <w:rPr>
          <w:b/>
          <w:lang w:val="de-DE"/>
        </w:rPr>
        <w:t>Art. </w:t>
      </w:r>
      <w:r w:rsidR="001527B1" w:rsidRPr="004676F5">
        <w:rPr>
          <w:b/>
          <w:lang w:val="de-DE"/>
        </w:rPr>
        <w:t>XI.259</w:t>
      </w:r>
      <w:r w:rsidR="001527B1" w:rsidRPr="004676F5">
        <w:rPr>
          <w:lang w:val="de-DE"/>
        </w:rPr>
        <w:t> </w:t>
      </w:r>
      <w:r w:rsidR="005B7A5C" w:rsidRPr="004676F5">
        <w:rPr>
          <w:lang w:val="de-DE"/>
        </w:rPr>
        <w:t>- </w:t>
      </w:r>
      <w:r w:rsidR="00D70DFF" w:rsidRPr="004676F5">
        <w:rPr>
          <w:lang w:val="de-DE"/>
        </w:rPr>
        <w:t>[Verwertungsgesellschaften diskriminieren keine Rechtsinhaber, deren Rechte sie auf der Grundlage einer Repräsentationsvereinbarung wahrnehmen, insbesondere hinsichtlich der anwendbaren Tarife, der Verwaltungskosten und der Bedingungen für die Einziehung der Einnahmen und die Verteilung der den Rechtsinhabern zustehenden Beträge.]</w:t>
      </w:r>
    </w:p>
    <w:p w14:paraId="5383F41E" w14:textId="77777777" w:rsidR="001527B1" w:rsidRPr="004676F5" w:rsidRDefault="001527B1" w:rsidP="001527B1">
      <w:pPr>
        <w:ind w:firstLine="708"/>
        <w:jc w:val="both"/>
        <w:rPr>
          <w:lang w:val="de-DE"/>
        </w:rPr>
      </w:pPr>
    </w:p>
    <w:p w14:paraId="08391851" w14:textId="27695A50" w:rsidR="00D70DFF" w:rsidRPr="00B14651" w:rsidRDefault="00D70DFF" w:rsidP="00D70DFF">
      <w:pPr>
        <w:jc w:val="both"/>
        <w:rPr>
          <w:i/>
          <w:lang w:val="de-DE"/>
        </w:rPr>
      </w:pPr>
      <w:r w:rsidRPr="004676F5">
        <w:rPr>
          <w:i/>
          <w:lang w:val="de-DE"/>
        </w:rPr>
        <w:t>[</w:t>
      </w:r>
      <w:r w:rsidR="00BE0A56" w:rsidRPr="004676F5">
        <w:rPr>
          <w:i/>
          <w:lang w:val="de-DE"/>
        </w:rPr>
        <w:t>Art. </w:t>
      </w:r>
      <w:r w:rsidRPr="004676F5">
        <w:rPr>
          <w:i/>
          <w:lang w:val="de-DE"/>
        </w:rPr>
        <w:t xml:space="preserve">XI.259 ersetzt durch </w:t>
      </w:r>
      <w:r w:rsidR="00BE0A56" w:rsidRPr="004676F5">
        <w:rPr>
          <w:i/>
          <w:lang w:val="de-DE"/>
        </w:rPr>
        <w:t>Art. </w:t>
      </w:r>
      <w:r w:rsidRPr="004676F5">
        <w:rPr>
          <w:i/>
          <w:lang w:val="de-DE"/>
        </w:rPr>
        <w:t>58 des G. vom 8. </w:t>
      </w:r>
      <w:r w:rsidRPr="00B14651">
        <w:rPr>
          <w:i/>
          <w:lang w:val="de-DE"/>
        </w:rPr>
        <w:t>Juni 2017 (B.S. vom 27. Juni 2017)]</w:t>
      </w:r>
    </w:p>
    <w:p w14:paraId="116680BE" w14:textId="77777777" w:rsidR="00D70DFF" w:rsidRPr="00B14651" w:rsidRDefault="00D70DFF" w:rsidP="001527B1">
      <w:pPr>
        <w:ind w:firstLine="708"/>
        <w:jc w:val="both"/>
        <w:rPr>
          <w:lang w:val="de-DE"/>
        </w:rPr>
      </w:pPr>
    </w:p>
    <w:p w14:paraId="2465BE09" w14:textId="77777777" w:rsidR="00355502" w:rsidRPr="00B14651" w:rsidRDefault="00355502" w:rsidP="001527B1">
      <w:pPr>
        <w:ind w:firstLine="708"/>
        <w:jc w:val="both"/>
        <w:rPr>
          <w:lang w:val="de-DE"/>
        </w:rPr>
      </w:pPr>
    </w:p>
    <w:p w14:paraId="6E381DE8" w14:textId="65700DF7" w:rsidR="00D70DFF" w:rsidRPr="004676F5" w:rsidRDefault="00BE0A56" w:rsidP="00D70DFF">
      <w:pPr>
        <w:ind w:firstLine="708"/>
        <w:jc w:val="both"/>
        <w:rPr>
          <w:lang w:val="de-DE"/>
        </w:rPr>
      </w:pPr>
      <w:r w:rsidRPr="004676F5">
        <w:rPr>
          <w:b/>
          <w:lang w:val="de-DE"/>
        </w:rPr>
        <w:t>Art. </w:t>
      </w:r>
      <w:r w:rsidR="001527B1" w:rsidRPr="004676F5">
        <w:rPr>
          <w:b/>
          <w:lang w:val="de-DE"/>
        </w:rPr>
        <w:t>XI.260</w:t>
      </w:r>
      <w:r w:rsidR="001527B1" w:rsidRPr="004676F5">
        <w:rPr>
          <w:lang w:val="de-DE"/>
        </w:rPr>
        <w:t> </w:t>
      </w:r>
      <w:r w:rsidR="005B7A5C" w:rsidRPr="004676F5">
        <w:rPr>
          <w:lang w:val="de-DE"/>
        </w:rPr>
        <w:t>- </w:t>
      </w:r>
      <w:r w:rsidR="00D70DFF" w:rsidRPr="004676F5">
        <w:rPr>
          <w:lang w:val="de-DE"/>
        </w:rPr>
        <w:t>[§ 1 </w:t>
      </w:r>
      <w:r w:rsidR="005B7A5C" w:rsidRPr="004676F5">
        <w:rPr>
          <w:lang w:val="de-DE"/>
        </w:rPr>
        <w:t>- </w:t>
      </w:r>
      <w:r w:rsidR="00D70DFF" w:rsidRPr="004676F5">
        <w:rPr>
          <w:lang w:val="de-DE"/>
        </w:rPr>
        <w:t>Verwertungsgesellschaften ziehen von den Einnahmen aus den Rechten, die ihnen aus einer Repräsentationsvereinbarung zufließen, oder von Erträgen aus den Anlagen dieser Einnahmen keine anderen Beträge als die Verwaltungskosten ab, es sei denn, die andere Verwertungsgesellschaft oder Organisation für die kollektive Rechtewahrnehmung, mit der die Repräsentationsvereinbarung geschlossen wurde, hat einem solchen Abzug ausdrücklich zugestimmt.</w:t>
      </w:r>
    </w:p>
    <w:p w14:paraId="79E047C9" w14:textId="77777777" w:rsidR="00D70DFF" w:rsidRPr="004676F5" w:rsidRDefault="00D70DFF" w:rsidP="00D70DFF">
      <w:pPr>
        <w:jc w:val="both"/>
        <w:rPr>
          <w:lang w:val="de-DE"/>
        </w:rPr>
      </w:pPr>
    </w:p>
    <w:p w14:paraId="2C2EE9A0" w14:textId="78E29FB1" w:rsidR="00D70DFF" w:rsidRPr="004676F5" w:rsidRDefault="00D70DFF" w:rsidP="00D70DFF">
      <w:pPr>
        <w:jc w:val="both"/>
        <w:rPr>
          <w:lang w:val="de-DE"/>
        </w:rPr>
      </w:pPr>
      <w:r w:rsidRPr="004676F5">
        <w:rPr>
          <w:lang w:val="de-DE"/>
        </w:rPr>
        <w:tab/>
        <w:t>§ 2 </w:t>
      </w:r>
      <w:r w:rsidR="005B7A5C" w:rsidRPr="004676F5">
        <w:rPr>
          <w:lang w:val="de-DE"/>
        </w:rPr>
        <w:t>- </w:t>
      </w:r>
      <w:r w:rsidRPr="004676F5">
        <w:rPr>
          <w:lang w:val="de-DE"/>
        </w:rPr>
        <w:t>Verwertungsgesellschaften verteilen regelmäßig, sorgfältig und korrekt an die anderen Verwertungsgesellschaften oder Organisationen für die kollektive Rechtewahr</w:t>
      </w:r>
      <w:r w:rsidRPr="004676F5">
        <w:rPr>
          <w:lang w:val="de-DE"/>
        </w:rPr>
        <w:softHyphen/>
        <w:t>nehmung die diesen zustehenden Beträge und schütten sie ihnen aus.</w:t>
      </w:r>
    </w:p>
    <w:p w14:paraId="1EC55F7E" w14:textId="77777777" w:rsidR="00D70DFF" w:rsidRPr="004676F5" w:rsidRDefault="00D70DFF" w:rsidP="00D70DFF">
      <w:pPr>
        <w:jc w:val="both"/>
        <w:rPr>
          <w:lang w:val="de-DE"/>
        </w:rPr>
      </w:pPr>
    </w:p>
    <w:p w14:paraId="14ED1960" w14:textId="3246F94D" w:rsidR="00D70DFF" w:rsidRPr="004676F5" w:rsidRDefault="00D70DFF" w:rsidP="00D70DFF">
      <w:pPr>
        <w:jc w:val="both"/>
        <w:rPr>
          <w:lang w:val="de-DE"/>
        </w:rPr>
      </w:pPr>
      <w:r w:rsidRPr="004676F5">
        <w:rPr>
          <w:lang w:val="de-DE"/>
        </w:rPr>
        <w:tab/>
        <w:t>§ 3 </w:t>
      </w:r>
      <w:r w:rsidR="005B7A5C" w:rsidRPr="004676F5">
        <w:rPr>
          <w:lang w:val="de-DE"/>
        </w:rPr>
        <w:t>- </w:t>
      </w:r>
      <w:r w:rsidRPr="004676F5">
        <w:rPr>
          <w:lang w:val="de-DE"/>
        </w:rPr>
        <w:t>Verwertungsgesellschaften nehmen die Verteilung und Ausschüttung an andere Verwertungsgesellschaften und Organisationen für die kollektive Rechtewahrnehmung so schnell wie möglich, spätestens jedoch neun Monate nach Ablauf des Geschäftsjahres vor, in dem die Einnahmen aus den Rechten eingenommen wurden, es sei denn, sie sind aus objektiven Gründen insbesondere im Zusammenhang mit Meldungen von Nutzern, der Feststellung der Rechte, Rechtsinhabern oder der Zuordnung von Angaben über Werke und Leistungen zu dem jeweiligen Rechtsinhaber außerstande, diese Frist zu wahren.</w:t>
      </w:r>
    </w:p>
    <w:p w14:paraId="66F33EFB" w14:textId="77777777" w:rsidR="00D70DFF" w:rsidRPr="004676F5" w:rsidRDefault="00D70DFF" w:rsidP="00D70DFF">
      <w:pPr>
        <w:jc w:val="both"/>
        <w:rPr>
          <w:lang w:val="de-DE"/>
        </w:rPr>
      </w:pPr>
    </w:p>
    <w:p w14:paraId="1CC40B7C" w14:textId="77777777" w:rsidR="001527B1" w:rsidRPr="004676F5" w:rsidRDefault="00D70DFF" w:rsidP="00D70DFF">
      <w:pPr>
        <w:ind w:firstLine="708"/>
        <w:jc w:val="both"/>
        <w:rPr>
          <w:lang w:val="de-DE"/>
        </w:rPr>
      </w:pPr>
      <w:r w:rsidRPr="004676F5">
        <w:rPr>
          <w:lang w:val="de-DE"/>
        </w:rPr>
        <w:t>Verwertungsgesellschaften oder ihre Gesellschafter, wenn es sich dabei um Einrichtungen zur Vertretung von Rechtsinhabern handelt, verteilen und schütten diese Beträge so schnell wie möglich an die Rechtsinhaber aus, spätestens jedoch sechs Monate nach Erhalt, es sei denn, sie sind aus objektiven Gründen insbesondere im Zusammenhang mit Meldungen von Nutzern, der Feststellung der Rechte, Rechtsinhabern oder der Zuordnung von Angaben über Werke und Leistungen zu dem jeweiligen Rechtsinhaber außerstande, diese Frist zu wahren.]</w:t>
      </w:r>
    </w:p>
    <w:p w14:paraId="27F967E5" w14:textId="77777777" w:rsidR="001527B1" w:rsidRPr="004676F5" w:rsidRDefault="001527B1" w:rsidP="001527B1">
      <w:pPr>
        <w:ind w:firstLine="708"/>
        <w:jc w:val="both"/>
        <w:rPr>
          <w:lang w:val="de-DE"/>
        </w:rPr>
      </w:pPr>
    </w:p>
    <w:p w14:paraId="2613797C" w14:textId="43D6097E" w:rsidR="00D70DFF" w:rsidRPr="00B14651" w:rsidRDefault="00D70DFF" w:rsidP="00D70DFF">
      <w:pPr>
        <w:jc w:val="both"/>
        <w:rPr>
          <w:i/>
          <w:lang w:val="de-DE"/>
        </w:rPr>
      </w:pPr>
      <w:r w:rsidRPr="004676F5">
        <w:rPr>
          <w:i/>
          <w:lang w:val="de-DE"/>
        </w:rPr>
        <w:t>[</w:t>
      </w:r>
      <w:r w:rsidR="00BE0A56" w:rsidRPr="004676F5">
        <w:rPr>
          <w:i/>
          <w:lang w:val="de-DE"/>
        </w:rPr>
        <w:t>Art. </w:t>
      </w:r>
      <w:r w:rsidRPr="004676F5">
        <w:rPr>
          <w:i/>
          <w:lang w:val="de-DE"/>
        </w:rPr>
        <w:t xml:space="preserve">XI.260 ersetzt durch </w:t>
      </w:r>
      <w:r w:rsidR="00BE0A56" w:rsidRPr="004676F5">
        <w:rPr>
          <w:i/>
          <w:lang w:val="de-DE"/>
        </w:rPr>
        <w:t>Art. </w:t>
      </w:r>
      <w:r w:rsidRPr="004676F5">
        <w:rPr>
          <w:i/>
          <w:lang w:val="de-DE"/>
        </w:rPr>
        <w:t>59 des G. vom 8. </w:t>
      </w:r>
      <w:r w:rsidRPr="00B14651">
        <w:rPr>
          <w:i/>
          <w:lang w:val="de-DE"/>
        </w:rPr>
        <w:t>Juni 2017 (B.S. vom 27. Juni 2017)]</w:t>
      </w:r>
    </w:p>
    <w:p w14:paraId="542853DA" w14:textId="77777777" w:rsidR="00D70DFF" w:rsidRPr="00B14651" w:rsidRDefault="00D70DFF" w:rsidP="00D70DFF">
      <w:pPr>
        <w:jc w:val="both"/>
        <w:rPr>
          <w:i/>
          <w:lang w:val="de-DE"/>
        </w:rPr>
      </w:pPr>
    </w:p>
    <w:p w14:paraId="2A25A8D0" w14:textId="77777777" w:rsidR="00D70DFF" w:rsidRPr="00B14651" w:rsidRDefault="00D70DFF" w:rsidP="00D70DFF">
      <w:pPr>
        <w:jc w:val="both"/>
        <w:rPr>
          <w:i/>
          <w:lang w:val="de-DE"/>
        </w:rPr>
      </w:pPr>
    </w:p>
    <w:p w14:paraId="01CA0C82" w14:textId="375F9FB6" w:rsidR="00D70DFF" w:rsidRPr="004676F5" w:rsidRDefault="00D70DFF" w:rsidP="00D70DFF">
      <w:pPr>
        <w:jc w:val="center"/>
        <w:rPr>
          <w:lang w:val="de-DE"/>
        </w:rPr>
      </w:pPr>
      <w:r w:rsidRPr="004676F5">
        <w:rPr>
          <w:lang w:val="de-DE"/>
        </w:rPr>
        <w:t>[</w:t>
      </w:r>
      <w:r w:rsidRPr="004676F5">
        <w:rPr>
          <w:i/>
          <w:lang w:val="de-DE"/>
        </w:rPr>
        <w:t>Abschnitt 5</w:t>
      </w:r>
      <w:r w:rsidRPr="004676F5">
        <w:rPr>
          <w:lang w:val="de-DE"/>
        </w:rPr>
        <w:t> </w:t>
      </w:r>
      <w:r w:rsidR="005B7A5C" w:rsidRPr="004676F5">
        <w:rPr>
          <w:lang w:val="de-DE"/>
        </w:rPr>
        <w:t>- </w:t>
      </w:r>
      <w:r w:rsidRPr="004676F5">
        <w:rPr>
          <w:lang w:val="de-DE"/>
        </w:rPr>
        <w:t>Beziehungen mit den Nutzern]</w:t>
      </w:r>
    </w:p>
    <w:p w14:paraId="3F4E7BA4" w14:textId="77777777" w:rsidR="00D70DFF" w:rsidRPr="004676F5" w:rsidRDefault="00D70DFF" w:rsidP="00D70DFF">
      <w:pPr>
        <w:jc w:val="center"/>
        <w:rPr>
          <w:lang w:val="de-DE"/>
        </w:rPr>
      </w:pPr>
    </w:p>
    <w:p w14:paraId="40EA270F" w14:textId="2CBD1A93" w:rsidR="00D70DFF" w:rsidRPr="00B14651" w:rsidRDefault="00D70DFF" w:rsidP="00D70DFF">
      <w:pPr>
        <w:jc w:val="both"/>
        <w:rPr>
          <w:i/>
          <w:lang w:val="de-DE"/>
        </w:rPr>
      </w:pPr>
      <w:r w:rsidRPr="004676F5">
        <w:rPr>
          <w:i/>
          <w:lang w:val="de-DE"/>
        </w:rPr>
        <w:t xml:space="preserve">[Unterteilung Abschnitt 5 eingefügt durch </w:t>
      </w:r>
      <w:r w:rsidR="00BE0A56" w:rsidRPr="004676F5">
        <w:rPr>
          <w:i/>
          <w:lang w:val="de-DE"/>
        </w:rPr>
        <w:t>Art. </w:t>
      </w:r>
      <w:r w:rsidRPr="004676F5">
        <w:rPr>
          <w:i/>
          <w:lang w:val="de-DE"/>
        </w:rPr>
        <w:t>60 des G. vom 8. </w:t>
      </w:r>
      <w:r w:rsidRPr="00B14651">
        <w:rPr>
          <w:i/>
          <w:lang w:val="de-DE"/>
        </w:rPr>
        <w:t>Juni 2017 (B.S. vom 27. Juni 2017)]</w:t>
      </w:r>
    </w:p>
    <w:p w14:paraId="71E94B2E" w14:textId="77777777" w:rsidR="00D70DFF" w:rsidRPr="00B14651" w:rsidRDefault="00D70DFF" w:rsidP="00D70DFF">
      <w:pPr>
        <w:jc w:val="both"/>
        <w:rPr>
          <w:i/>
          <w:lang w:val="de-DE"/>
        </w:rPr>
      </w:pPr>
    </w:p>
    <w:p w14:paraId="1DF610A9" w14:textId="77777777" w:rsidR="00D70DFF" w:rsidRPr="00B14651" w:rsidRDefault="00D70DFF" w:rsidP="00D70DFF">
      <w:pPr>
        <w:jc w:val="both"/>
        <w:rPr>
          <w:i/>
          <w:lang w:val="de-DE"/>
        </w:rPr>
      </w:pPr>
    </w:p>
    <w:p w14:paraId="03E9DB12" w14:textId="1F0C973E" w:rsidR="00D70DFF" w:rsidRPr="004676F5" w:rsidRDefault="00D70DFF" w:rsidP="00D70DFF">
      <w:pPr>
        <w:jc w:val="center"/>
        <w:rPr>
          <w:lang w:val="de-DE"/>
        </w:rPr>
      </w:pPr>
      <w:r w:rsidRPr="004676F5">
        <w:rPr>
          <w:lang w:val="de-DE"/>
        </w:rPr>
        <w:t>[Unterabschnitt 1 </w:t>
      </w:r>
      <w:r w:rsidR="005B7A5C" w:rsidRPr="004676F5">
        <w:rPr>
          <w:lang w:val="de-DE"/>
        </w:rPr>
        <w:t>- </w:t>
      </w:r>
      <w:r w:rsidRPr="004676F5">
        <w:rPr>
          <w:lang w:val="de-DE"/>
        </w:rPr>
        <w:t>Einnahme der Vergütungen]</w:t>
      </w:r>
    </w:p>
    <w:p w14:paraId="3D85F371" w14:textId="77777777" w:rsidR="00D70DFF" w:rsidRPr="004676F5" w:rsidRDefault="00D70DFF" w:rsidP="00D70DFF">
      <w:pPr>
        <w:jc w:val="center"/>
        <w:rPr>
          <w:lang w:val="de-DE"/>
        </w:rPr>
      </w:pPr>
    </w:p>
    <w:p w14:paraId="56D90ED7" w14:textId="4696E5E9" w:rsidR="00D70DFF" w:rsidRPr="004676F5" w:rsidRDefault="00D70DFF" w:rsidP="00D70DFF">
      <w:pPr>
        <w:jc w:val="both"/>
        <w:rPr>
          <w:i/>
          <w:lang w:val="de-DE"/>
        </w:rPr>
      </w:pPr>
      <w:r w:rsidRPr="004676F5">
        <w:rPr>
          <w:i/>
          <w:lang w:val="de-DE"/>
        </w:rPr>
        <w:t xml:space="preserve">[Unterteilung Unterabschnitt 1 eingefügt durch </w:t>
      </w:r>
      <w:r w:rsidR="00BE0A56" w:rsidRPr="004676F5">
        <w:rPr>
          <w:i/>
          <w:lang w:val="de-DE"/>
        </w:rPr>
        <w:t>Art. </w:t>
      </w:r>
      <w:r w:rsidRPr="004676F5">
        <w:rPr>
          <w:i/>
          <w:lang w:val="de-DE"/>
        </w:rPr>
        <w:t>61 des G. vom 8. Juni 2017 (B.S. vom 27. Juni 2017)]</w:t>
      </w:r>
    </w:p>
    <w:p w14:paraId="601B314F" w14:textId="77777777" w:rsidR="00D70DFF" w:rsidRPr="004676F5" w:rsidRDefault="00D70DFF" w:rsidP="00D70DFF">
      <w:pPr>
        <w:jc w:val="center"/>
        <w:rPr>
          <w:lang w:val="de-DE"/>
        </w:rPr>
      </w:pPr>
    </w:p>
    <w:p w14:paraId="0E3F906C" w14:textId="77777777" w:rsidR="00D70DFF" w:rsidRPr="004676F5" w:rsidRDefault="00D70DFF" w:rsidP="001527B1">
      <w:pPr>
        <w:ind w:firstLine="708"/>
        <w:jc w:val="both"/>
        <w:rPr>
          <w:lang w:val="de-DE"/>
        </w:rPr>
      </w:pPr>
    </w:p>
    <w:p w14:paraId="37944837" w14:textId="23826FB3" w:rsidR="00CB53D7" w:rsidRPr="004676F5" w:rsidRDefault="00BE0A56" w:rsidP="00CB53D7">
      <w:pPr>
        <w:ind w:firstLine="708"/>
        <w:jc w:val="both"/>
        <w:rPr>
          <w:lang w:val="de-DE"/>
        </w:rPr>
      </w:pPr>
      <w:r w:rsidRPr="004676F5">
        <w:rPr>
          <w:b/>
          <w:lang w:val="de-DE"/>
        </w:rPr>
        <w:t>Art. </w:t>
      </w:r>
      <w:r w:rsidR="001527B1" w:rsidRPr="004676F5">
        <w:rPr>
          <w:b/>
          <w:lang w:val="de-DE"/>
        </w:rPr>
        <w:t>XI.261</w:t>
      </w:r>
      <w:r w:rsidR="001527B1" w:rsidRPr="004676F5">
        <w:rPr>
          <w:lang w:val="de-DE"/>
        </w:rPr>
        <w:t> </w:t>
      </w:r>
      <w:r w:rsidR="005B7A5C" w:rsidRPr="004676F5">
        <w:rPr>
          <w:lang w:val="de-DE"/>
        </w:rPr>
        <w:t>- </w:t>
      </w:r>
      <w:r w:rsidR="00CB53D7" w:rsidRPr="004676F5">
        <w:rPr>
          <w:lang w:val="de-DE"/>
        </w:rPr>
        <w:t>[§ 1 </w:t>
      </w:r>
      <w:r w:rsidR="005B7A5C" w:rsidRPr="004676F5">
        <w:rPr>
          <w:lang w:val="de-DE"/>
        </w:rPr>
        <w:t>- </w:t>
      </w:r>
      <w:r w:rsidR="00CB53D7" w:rsidRPr="004676F5">
        <w:rPr>
          <w:lang w:val="de-DE"/>
        </w:rPr>
        <w:t>Verwertungsgesellschaften und Nutzer von Werken und Leistungen verhandeln nach Treu und Glauben über die Gewährung von Lizenzen und die Einnahme und Erhebung von Vergütungen. Verhandeln nach Treu und Glauben umfasst ebenfalls die Übermittlung erforderlicher Informationen über die Dienste der Verwertungsgesellschaften beziehungsweise der Nutzer.</w:t>
      </w:r>
    </w:p>
    <w:p w14:paraId="4EA33CAC" w14:textId="77777777" w:rsidR="00CB53D7" w:rsidRPr="004676F5" w:rsidRDefault="00CB53D7" w:rsidP="00CB53D7">
      <w:pPr>
        <w:jc w:val="both"/>
        <w:rPr>
          <w:lang w:val="de-DE"/>
        </w:rPr>
      </w:pPr>
    </w:p>
    <w:p w14:paraId="675B7264" w14:textId="5725FFBB" w:rsidR="00CB53D7" w:rsidRPr="004676F5" w:rsidRDefault="00CB53D7" w:rsidP="00CB53D7">
      <w:pPr>
        <w:jc w:val="both"/>
        <w:rPr>
          <w:lang w:val="de-DE"/>
        </w:rPr>
      </w:pPr>
      <w:r w:rsidRPr="004676F5">
        <w:rPr>
          <w:lang w:val="de-DE"/>
        </w:rPr>
        <w:tab/>
        <w:t>§ 2 </w:t>
      </w:r>
      <w:r w:rsidR="005B7A5C" w:rsidRPr="004676F5">
        <w:rPr>
          <w:lang w:val="de-DE"/>
        </w:rPr>
        <w:t>- </w:t>
      </w:r>
      <w:r w:rsidRPr="004676F5">
        <w:rPr>
          <w:lang w:val="de-DE"/>
        </w:rPr>
        <w:t>Unbeschadet der aufgrund der Artikel XI.175 bis XI.178, XI.213 und XI.229 bis XI.245 vorgesehenen Maßnahmen erteilen Nutzer den Verwertungsgesellschaften innerhalb vereinbarter oder bereits festgelegter Fristen und in vereinbarten oder bereits festgelegten Formaten ihnen verfügbare einschlägige Informationen über die Nutzung der von der Verwertungsgesellschaft repräsentierten Rechte, die für die Einnahme der Vergütungen aus den Rechten und für die Verteilung und Ausschüttung der den Rechtsinhabern zustehenden Beträge benötigt werden.</w:t>
      </w:r>
    </w:p>
    <w:p w14:paraId="3A405359" w14:textId="77777777" w:rsidR="00CB53D7" w:rsidRPr="004676F5" w:rsidRDefault="00CB53D7" w:rsidP="00CB53D7">
      <w:pPr>
        <w:jc w:val="both"/>
        <w:rPr>
          <w:lang w:val="de-DE"/>
        </w:rPr>
      </w:pPr>
    </w:p>
    <w:p w14:paraId="50CA622F" w14:textId="77777777" w:rsidR="00CB53D7" w:rsidRPr="004676F5" w:rsidRDefault="00CB53D7" w:rsidP="00CB53D7">
      <w:pPr>
        <w:jc w:val="both"/>
        <w:rPr>
          <w:lang w:val="de-DE"/>
        </w:rPr>
      </w:pPr>
      <w:r w:rsidRPr="004676F5">
        <w:rPr>
          <w:lang w:val="de-DE"/>
        </w:rPr>
        <w:tab/>
        <w:t>Bei der Wahl der zu übermittelnden Informationen und des Formats für die Infor</w:t>
      </w:r>
      <w:r w:rsidRPr="004676F5">
        <w:rPr>
          <w:lang w:val="de-DE"/>
        </w:rPr>
        <w:softHyphen/>
        <w:t>mations</w:t>
      </w:r>
      <w:r w:rsidRPr="004676F5">
        <w:rPr>
          <w:lang w:val="de-DE"/>
        </w:rPr>
        <w:softHyphen/>
        <w:t>übermittlung berücksichtigen Verwertungsgesellschaften und Nutzer nach Möglichkeit unverbindliche branchenübliche Standards.</w:t>
      </w:r>
    </w:p>
    <w:p w14:paraId="7F2591A4" w14:textId="77777777" w:rsidR="00CB53D7" w:rsidRPr="004676F5" w:rsidRDefault="00CB53D7" w:rsidP="00CB53D7">
      <w:pPr>
        <w:jc w:val="both"/>
        <w:rPr>
          <w:lang w:val="de-DE"/>
        </w:rPr>
      </w:pPr>
    </w:p>
    <w:p w14:paraId="5F514859" w14:textId="77777777" w:rsidR="00CB53D7" w:rsidRPr="004676F5" w:rsidRDefault="00CB53D7" w:rsidP="00CB53D7">
      <w:pPr>
        <w:jc w:val="both"/>
        <w:rPr>
          <w:lang w:val="de-DE"/>
        </w:rPr>
      </w:pPr>
      <w:r w:rsidRPr="004676F5">
        <w:rPr>
          <w:lang w:val="de-DE"/>
        </w:rPr>
        <w:tab/>
        <w:t>Bei Uneinigkeit zwischen Verwertungsgesellschaften und Nutzern in Bezug auf die in Absatz 1 erwähnten Informationen und Formate kann der König sie festlegen. Er kann unter anderem diese Informationen und Modalitäten ihrer Übermittlung je nach Nutzungsart, wie zum Beispiel in beruflichem Rahmen oder nicht, differenzieren.</w:t>
      </w:r>
    </w:p>
    <w:p w14:paraId="4C515D44" w14:textId="77777777" w:rsidR="00CB53D7" w:rsidRPr="004676F5" w:rsidRDefault="00CB53D7" w:rsidP="00CB53D7">
      <w:pPr>
        <w:jc w:val="both"/>
        <w:rPr>
          <w:lang w:val="de-DE"/>
        </w:rPr>
      </w:pPr>
    </w:p>
    <w:p w14:paraId="6873D8DC" w14:textId="44979EB7" w:rsidR="001527B1" w:rsidRPr="004676F5" w:rsidRDefault="00CB53D7" w:rsidP="00CB53D7">
      <w:pPr>
        <w:ind w:firstLine="708"/>
        <w:jc w:val="both"/>
        <w:rPr>
          <w:lang w:val="de-DE"/>
        </w:rPr>
      </w:pPr>
      <w:r w:rsidRPr="004676F5">
        <w:rPr>
          <w:lang w:val="de-DE"/>
        </w:rPr>
        <w:t>§ 3 </w:t>
      </w:r>
      <w:r w:rsidR="005B7A5C" w:rsidRPr="004676F5">
        <w:rPr>
          <w:lang w:val="de-DE"/>
        </w:rPr>
        <w:t>- </w:t>
      </w:r>
      <w:r w:rsidRPr="004676F5">
        <w:rPr>
          <w:lang w:val="de-DE"/>
        </w:rPr>
        <w:t>Vorliegender Artikel gilt nicht für Verbraucher.]</w:t>
      </w:r>
    </w:p>
    <w:p w14:paraId="3F5363FC" w14:textId="77777777" w:rsidR="00CB53D7" w:rsidRPr="004676F5" w:rsidRDefault="00CB53D7" w:rsidP="00CB53D7">
      <w:pPr>
        <w:ind w:firstLine="708"/>
        <w:jc w:val="both"/>
        <w:rPr>
          <w:lang w:val="de-DE"/>
        </w:rPr>
      </w:pPr>
    </w:p>
    <w:p w14:paraId="7D2FA23F" w14:textId="3F493703" w:rsidR="00CB53D7" w:rsidRPr="00B14651" w:rsidRDefault="00CB53D7" w:rsidP="00CB53D7">
      <w:pPr>
        <w:jc w:val="both"/>
        <w:rPr>
          <w:i/>
          <w:lang w:val="de-DE"/>
        </w:rPr>
      </w:pPr>
      <w:r w:rsidRPr="004676F5">
        <w:rPr>
          <w:i/>
          <w:lang w:val="de-DE"/>
        </w:rPr>
        <w:t>[</w:t>
      </w:r>
      <w:r w:rsidR="00BE0A56" w:rsidRPr="004676F5">
        <w:rPr>
          <w:i/>
          <w:lang w:val="de-DE"/>
        </w:rPr>
        <w:t>Art. </w:t>
      </w:r>
      <w:r w:rsidRPr="004676F5">
        <w:rPr>
          <w:i/>
          <w:lang w:val="de-DE"/>
        </w:rPr>
        <w:t xml:space="preserve">XI.261 ersetzt durch </w:t>
      </w:r>
      <w:r w:rsidR="00BE0A56" w:rsidRPr="004676F5">
        <w:rPr>
          <w:i/>
          <w:lang w:val="de-DE"/>
        </w:rPr>
        <w:t>Art. </w:t>
      </w:r>
      <w:r w:rsidRPr="004676F5">
        <w:rPr>
          <w:i/>
          <w:lang w:val="de-DE"/>
        </w:rPr>
        <w:t>62 des G. vom 8. </w:t>
      </w:r>
      <w:r w:rsidRPr="00B14651">
        <w:rPr>
          <w:i/>
          <w:lang w:val="de-DE"/>
        </w:rPr>
        <w:t>Juni 2017 (B.S. vom 27. Juni 2017)]</w:t>
      </w:r>
    </w:p>
    <w:p w14:paraId="277033B7" w14:textId="77777777" w:rsidR="00CB53D7" w:rsidRPr="00B14651" w:rsidRDefault="00CB53D7" w:rsidP="00CB53D7">
      <w:pPr>
        <w:ind w:firstLine="708"/>
        <w:jc w:val="both"/>
        <w:rPr>
          <w:lang w:val="de-DE"/>
        </w:rPr>
      </w:pPr>
    </w:p>
    <w:p w14:paraId="167CAB74" w14:textId="77777777" w:rsidR="00355502" w:rsidRPr="00B14651" w:rsidRDefault="00355502" w:rsidP="001527B1">
      <w:pPr>
        <w:ind w:firstLine="708"/>
        <w:jc w:val="both"/>
        <w:rPr>
          <w:lang w:val="de-DE"/>
        </w:rPr>
      </w:pPr>
    </w:p>
    <w:p w14:paraId="47CA4EEB" w14:textId="340A0E75" w:rsidR="00CB53D7" w:rsidRPr="004676F5" w:rsidRDefault="00BE0A56" w:rsidP="00CB53D7">
      <w:pPr>
        <w:ind w:firstLine="708"/>
        <w:jc w:val="both"/>
        <w:rPr>
          <w:lang w:val="de-DE"/>
        </w:rPr>
      </w:pPr>
      <w:r w:rsidRPr="004676F5">
        <w:rPr>
          <w:b/>
          <w:lang w:val="de-DE"/>
        </w:rPr>
        <w:t>Art. </w:t>
      </w:r>
      <w:r w:rsidR="001527B1" w:rsidRPr="004676F5">
        <w:rPr>
          <w:b/>
          <w:lang w:val="de-DE"/>
        </w:rPr>
        <w:t>XI.262</w:t>
      </w:r>
      <w:r w:rsidR="001527B1" w:rsidRPr="004676F5">
        <w:rPr>
          <w:lang w:val="de-DE"/>
        </w:rPr>
        <w:t> </w:t>
      </w:r>
      <w:r w:rsidR="005B7A5C" w:rsidRPr="004676F5">
        <w:rPr>
          <w:lang w:val="de-DE"/>
        </w:rPr>
        <w:t>- </w:t>
      </w:r>
      <w:r w:rsidR="00CB53D7" w:rsidRPr="004676F5">
        <w:rPr>
          <w:lang w:val="de-DE"/>
        </w:rPr>
        <w:t>[§ 1 </w:t>
      </w:r>
      <w:r w:rsidR="005B7A5C" w:rsidRPr="004676F5">
        <w:rPr>
          <w:lang w:val="de-DE"/>
        </w:rPr>
        <w:t>- </w:t>
      </w:r>
      <w:r w:rsidR="00CB53D7" w:rsidRPr="004676F5">
        <w:rPr>
          <w:lang w:val="de-DE"/>
        </w:rPr>
        <w:t>Lizenzbedingungen sind auf objektive und diskriminierungsfreie Kriterien gestützt. Bei der Lizenzierung sind Verwertungsgesellschaften nicht verpflichtet, Lizenzbedingungen, die zwischen ihnen und einem Nutzer, der neuartige Online-Dienste anbietet, die seit weniger als drei Jahren der Öffentlichkeit in der Europäischen Union zur Verfügung stehen, vereinbart wurden, als Präzedenzfall für andere Online-Dienste heran</w:t>
      </w:r>
      <w:r w:rsidR="00CB53D7" w:rsidRPr="004676F5">
        <w:rPr>
          <w:lang w:val="de-DE"/>
        </w:rPr>
        <w:softHyphen/>
        <w:t>zuziehen.</w:t>
      </w:r>
    </w:p>
    <w:p w14:paraId="374255AE" w14:textId="77777777" w:rsidR="00CB53D7" w:rsidRPr="004676F5" w:rsidRDefault="00CB53D7" w:rsidP="00CB53D7">
      <w:pPr>
        <w:jc w:val="both"/>
        <w:rPr>
          <w:lang w:val="de-DE"/>
        </w:rPr>
      </w:pPr>
    </w:p>
    <w:p w14:paraId="06DDB28E" w14:textId="77777777" w:rsidR="00CB53D7" w:rsidRPr="004676F5" w:rsidRDefault="00CB53D7" w:rsidP="00CB53D7">
      <w:pPr>
        <w:jc w:val="both"/>
        <w:rPr>
          <w:lang w:val="de-DE"/>
        </w:rPr>
      </w:pPr>
      <w:r w:rsidRPr="004676F5">
        <w:rPr>
          <w:lang w:val="de-DE"/>
        </w:rPr>
        <w:tab/>
        <w:t xml:space="preserve">Rechtsinhaber erhalten eine angemessene Vergütung für die Nutzung ihrer Rechte. Tarife für ausschließliche Rechte und Vergütungsansprüche stehen in einem angemessenen Verhältnis unter anderem zu dem wirtschaftlichen Wert der Nutzung der Rechte, unter Berücksichtigung der Art und des Umfangs der Nutzung der Werke und Leistungen, und zu </w:t>
      </w:r>
      <w:r w:rsidRPr="004676F5">
        <w:rPr>
          <w:lang w:val="de-DE"/>
        </w:rPr>
        <w:lastRenderedPageBreak/>
        <w:t>dem wirtschaftlichen Wert der von der Verwertungsgesellschaft erbrachten Leistungen. Verwertungsgesellschaften informieren die betroffenen Nutzer über die der Tarifaufstellung zugrunde liegenden Kriterien.</w:t>
      </w:r>
    </w:p>
    <w:p w14:paraId="0217A9DC" w14:textId="77777777" w:rsidR="00CB53D7" w:rsidRPr="004676F5" w:rsidRDefault="00CB53D7" w:rsidP="00CB53D7">
      <w:pPr>
        <w:jc w:val="both"/>
        <w:rPr>
          <w:lang w:val="de-DE"/>
        </w:rPr>
      </w:pPr>
    </w:p>
    <w:p w14:paraId="60DC2035" w14:textId="2F07DAE1" w:rsidR="00CB53D7" w:rsidRPr="004676F5" w:rsidRDefault="00CB53D7" w:rsidP="00CB53D7">
      <w:pPr>
        <w:jc w:val="both"/>
        <w:rPr>
          <w:lang w:val="de-DE"/>
        </w:rPr>
      </w:pPr>
      <w:r w:rsidRPr="004676F5">
        <w:rPr>
          <w:lang w:val="de-DE"/>
        </w:rPr>
        <w:tab/>
        <w:t>§ 2 </w:t>
      </w:r>
      <w:r w:rsidR="005B7A5C" w:rsidRPr="004676F5">
        <w:rPr>
          <w:lang w:val="de-DE"/>
        </w:rPr>
        <w:t>- </w:t>
      </w:r>
      <w:r w:rsidRPr="004676F5">
        <w:rPr>
          <w:lang w:val="de-DE"/>
        </w:rPr>
        <w:t>Verwertungsgesellschaften antworten unverzüglich auf Anfragen von Nutzern und teilen ihnen unter anderem mit, welche Angaben sie für ein Lizenzangebot benötigen.</w:t>
      </w:r>
    </w:p>
    <w:p w14:paraId="77CC6F70" w14:textId="77777777" w:rsidR="00CB53D7" w:rsidRPr="004676F5" w:rsidRDefault="00CB53D7" w:rsidP="00CB53D7">
      <w:pPr>
        <w:jc w:val="both"/>
        <w:rPr>
          <w:lang w:val="de-DE"/>
        </w:rPr>
      </w:pPr>
    </w:p>
    <w:p w14:paraId="78DC18E4" w14:textId="77777777" w:rsidR="00CB53D7" w:rsidRPr="004676F5" w:rsidRDefault="00CB53D7" w:rsidP="00CB53D7">
      <w:pPr>
        <w:jc w:val="both"/>
        <w:rPr>
          <w:lang w:val="de-DE"/>
        </w:rPr>
      </w:pPr>
      <w:r w:rsidRPr="004676F5">
        <w:rPr>
          <w:lang w:val="de-DE"/>
        </w:rPr>
        <w:tab/>
        <w:t>Nach Eingang aller erforderlichen Angaben unterbreitet die Verwertungsgesellschaft dem Nutzer unverzüglich entweder ein Lizenzangebot oder gibt ihm gegenüber eine mit Gründen versehene Erklärung ab, warum sie keine Lizenz für eine bestimmte Dienstleistung zu vergeben gedenkt.</w:t>
      </w:r>
    </w:p>
    <w:p w14:paraId="2EB3D0C0" w14:textId="77777777" w:rsidR="00CB53D7" w:rsidRPr="004676F5" w:rsidRDefault="00CB53D7" w:rsidP="00CB53D7">
      <w:pPr>
        <w:jc w:val="both"/>
        <w:rPr>
          <w:lang w:val="de-DE"/>
        </w:rPr>
      </w:pPr>
    </w:p>
    <w:p w14:paraId="435C1B35" w14:textId="415CDCB6" w:rsidR="001527B1" w:rsidRPr="004676F5" w:rsidRDefault="00CB53D7" w:rsidP="00CB53D7">
      <w:pPr>
        <w:ind w:firstLine="708"/>
        <w:jc w:val="both"/>
        <w:rPr>
          <w:lang w:val="de-DE"/>
        </w:rPr>
      </w:pPr>
      <w:r w:rsidRPr="004676F5">
        <w:rPr>
          <w:lang w:val="de-DE"/>
        </w:rPr>
        <w:t>§ 3 </w:t>
      </w:r>
      <w:r w:rsidR="005B7A5C" w:rsidRPr="004676F5">
        <w:rPr>
          <w:lang w:val="de-DE"/>
        </w:rPr>
        <w:t>- </w:t>
      </w:r>
      <w:r w:rsidRPr="004676F5">
        <w:rPr>
          <w:lang w:val="de-DE"/>
        </w:rPr>
        <w:t>Verwertungsgesellschaften erlauben den Nutzern für die gegenseitige Kommuni</w:t>
      </w:r>
      <w:r w:rsidRPr="004676F5">
        <w:rPr>
          <w:lang w:val="de-DE"/>
        </w:rPr>
        <w:softHyphen/>
        <w:t>ka</w:t>
      </w:r>
      <w:r w:rsidRPr="004676F5">
        <w:rPr>
          <w:lang w:val="de-DE"/>
        </w:rPr>
        <w:softHyphen/>
        <w:t>tion die Verwendung elektronischer Kommunikationsmittel, gegebenenfalls auch für Meldungen über den Gebrauch der Lizenz.]</w:t>
      </w:r>
    </w:p>
    <w:p w14:paraId="3F8CA8B4" w14:textId="77777777" w:rsidR="00CB53D7" w:rsidRPr="004676F5" w:rsidRDefault="00CB53D7" w:rsidP="00CB53D7">
      <w:pPr>
        <w:ind w:firstLine="708"/>
        <w:jc w:val="both"/>
        <w:rPr>
          <w:lang w:val="de-DE"/>
        </w:rPr>
      </w:pPr>
    </w:p>
    <w:p w14:paraId="1230E32D" w14:textId="4E12E8A7" w:rsidR="00CB53D7" w:rsidRPr="00B14651" w:rsidRDefault="00CB53D7" w:rsidP="00CB53D7">
      <w:pPr>
        <w:jc w:val="both"/>
        <w:rPr>
          <w:i/>
          <w:lang w:val="de-DE"/>
        </w:rPr>
      </w:pPr>
      <w:r w:rsidRPr="004676F5">
        <w:rPr>
          <w:i/>
          <w:lang w:val="de-DE"/>
        </w:rPr>
        <w:t>[</w:t>
      </w:r>
      <w:r w:rsidR="00BE0A56" w:rsidRPr="004676F5">
        <w:rPr>
          <w:i/>
          <w:lang w:val="de-DE"/>
        </w:rPr>
        <w:t>Art. </w:t>
      </w:r>
      <w:r w:rsidRPr="004676F5">
        <w:rPr>
          <w:i/>
          <w:lang w:val="de-DE"/>
        </w:rPr>
        <w:t xml:space="preserve">XI.262 ersetzt durch </w:t>
      </w:r>
      <w:r w:rsidR="00BE0A56" w:rsidRPr="004676F5">
        <w:rPr>
          <w:i/>
          <w:lang w:val="de-DE"/>
        </w:rPr>
        <w:t>Art. </w:t>
      </w:r>
      <w:r w:rsidRPr="004676F5">
        <w:rPr>
          <w:i/>
          <w:lang w:val="de-DE"/>
        </w:rPr>
        <w:t>63 des G. vom 8. </w:t>
      </w:r>
      <w:r w:rsidRPr="00B14651">
        <w:rPr>
          <w:i/>
          <w:lang w:val="de-DE"/>
        </w:rPr>
        <w:t>Juni 2017 (B.S. vom 27. Juni 2017)]</w:t>
      </w:r>
    </w:p>
    <w:p w14:paraId="7887EA65" w14:textId="77777777" w:rsidR="001527B1" w:rsidRPr="00B14651" w:rsidRDefault="001527B1" w:rsidP="001527B1">
      <w:pPr>
        <w:ind w:firstLine="708"/>
        <w:jc w:val="both"/>
        <w:rPr>
          <w:lang w:val="de-DE"/>
        </w:rPr>
      </w:pPr>
    </w:p>
    <w:p w14:paraId="1138159D" w14:textId="77777777" w:rsidR="00355502" w:rsidRPr="00B14651" w:rsidRDefault="00355502" w:rsidP="001527B1">
      <w:pPr>
        <w:ind w:firstLine="708"/>
        <w:jc w:val="both"/>
        <w:rPr>
          <w:lang w:val="de-DE"/>
        </w:rPr>
      </w:pPr>
    </w:p>
    <w:p w14:paraId="2FA1D152" w14:textId="2C44E6A1" w:rsidR="00CB53D7" w:rsidRPr="004676F5" w:rsidRDefault="00BE0A56" w:rsidP="00CB53D7">
      <w:pPr>
        <w:ind w:firstLine="708"/>
        <w:jc w:val="both"/>
        <w:rPr>
          <w:lang w:val="de-DE"/>
        </w:rPr>
      </w:pPr>
      <w:r w:rsidRPr="004676F5">
        <w:rPr>
          <w:b/>
          <w:lang w:val="de-DE"/>
        </w:rPr>
        <w:t>Art. </w:t>
      </w:r>
      <w:r w:rsidR="001527B1" w:rsidRPr="004676F5">
        <w:rPr>
          <w:b/>
          <w:lang w:val="de-DE"/>
        </w:rPr>
        <w:t>XI.263</w:t>
      </w:r>
      <w:r w:rsidR="001527B1" w:rsidRPr="004676F5">
        <w:rPr>
          <w:lang w:val="de-DE"/>
        </w:rPr>
        <w:t> </w:t>
      </w:r>
      <w:r w:rsidR="005B7A5C" w:rsidRPr="004676F5">
        <w:rPr>
          <w:lang w:val="de-DE"/>
        </w:rPr>
        <w:t>- </w:t>
      </w:r>
      <w:r w:rsidR="00CB53D7" w:rsidRPr="004676F5">
        <w:rPr>
          <w:lang w:val="de-DE"/>
        </w:rPr>
        <w:t>[§ 1 </w:t>
      </w:r>
      <w:r w:rsidR="005B7A5C" w:rsidRPr="004676F5">
        <w:rPr>
          <w:lang w:val="de-DE"/>
        </w:rPr>
        <w:t>- </w:t>
      </w:r>
      <w:r w:rsidR="00CB53D7" w:rsidRPr="004676F5">
        <w:rPr>
          <w:lang w:val="de-DE"/>
        </w:rPr>
        <w:t>Verwertungsgesellschaften können im Rahmen der ihnen aufgrund ihrer Satzung erteilten Befugnisse allgemeine Verträge in Bezug auf die Nutzung der Urheberrechte und verwandten Schutzrechte abschließen.</w:t>
      </w:r>
    </w:p>
    <w:p w14:paraId="6DE813D9" w14:textId="77777777" w:rsidR="00CB53D7" w:rsidRPr="004676F5" w:rsidRDefault="00CB53D7" w:rsidP="00CB53D7">
      <w:pPr>
        <w:jc w:val="both"/>
        <w:rPr>
          <w:lang w:val="de-DE"/>
        </w:rPr>
      </w:pPr>
    </w:p>
    <w:p w14:paraId="7B4E5C99" w14:textId="2F094A80" w:rsidR="00CB53D7" w:rsidRPr="004676F5" w:rsidRDefault="00CB53D7" w:rsidP="00CB53D7">
      <w:pPr>
        <w:jc w:val="both"/>
        <w:rPr>
          <w:lang w:val="de-DE"/>
        </w:rPr>
      </w:pPr>
      <w:r w:rsidRPr="004676F5">
        <w:rPr>
          <w:lang w:val="de-DE"/>
        </w:rPr>
        <w:tab/>
        <w:t>§ 2 </w:t>
      </w:r>
      <w:r w:rsidR="005B7A5C" w:rsidRPr="004676F5">
        <w:rPr>
          <w:lang w:val="de-DE"/>
        </w:rPr>
        <w:t>- </w:t>
      </w:r>
      <w:r w:rsidRPr="004676F5">
        <w:rPr>
          <w:lang w:val="de-DE"/>
        </w:rPr>
        <w:t>Verwertungsgesellschaften sind befugt, zur Verteidigung der Rechte, die sie aufgrund ihrer Satzung wahrnehmen, gerichtlich vorzugehen.</w:t>
      </w:r>
    </w:p>
    <w:p w14:paraId="084341A9" w14:textId="77777777" w:rsidR="00CB53D7" w:rsidRPr="004676F5" w:rsidRDefault="00CB53D7" w:rsidP="00CB53D7">
      <w:pPr>
        <w:jc w:val="both"/>
        <w:rPr>
          <w:lang w:val="de-DE"/>
        </w:rPr>
      </w:pPr>
    </w:p>
    <w:p w14:paraId="173AAF69" w14:textId="329B4E2A" w:rsidR="001527B1" w:rsidRPr="004676F5" w:rsidRDefault="00CB53D7" w:rsidP="00CB53D7">
      <w:pPr>
        <w:ind w:firstLine="708"/>
        <w:jc w:val="both"/>
        <w:rPr>
          <w:lang w:val="de-DE"/>
        </w:rPr>
      </w:pPr>
      <w:r w:rsidRPr="004676F5">
        <w:rPr>
          <w:lang w:val="de-DE"/>
        </w:rPr>
        <w:t>§ 3 </w:t>
      </w:r>
      <w:r w:rsidR="005B7A5C" w:rsidRPr="004676F5">
        <w:rPr>
          <w:lang w:val="de-DE"/>
        </w:rPr>
        <w:t>- </w:t>
      </w:r>
      <w:r w:rsidRPr="004676F5">
        <w:rPr>
          <w:lang w:val="de-DE"/>
        </w:rPr>
        <w:t>Der Nachweis einer Aufführung, Darbietung, Vervielfältigung oder anderen Nutzung und der Nachweis einer unrichtigen Erklärung über aufgeführte, dargebotene oder vervielfältigte Werke oder über Einnahmen kann nicht nur durch Protokolle von Gerichtspolizeioffizieren oder -bediensteten erbracht werden, sondern auch durch Feststellungen eines Gerichtsvollziehers oder, bis zum Beweis des Gegenteils, durch Feststellungen einer von den Verwertungsgesellschaften bestimmten Person, die von dem Minister zugelassen und gemäß Artikel 572 des Gerichtsgesetzbuches vereidigt worden ist.]</w:t>
      </w:r>
    </w:p>
    <w:p w14:paraId="41681FC5" w14:textId="77777777" w:rsidR="00CB53D7" w:rsidRPr="004676F5" w:rsidRDefault="00CB53D7" w:rsidP="00CB53D7">
      <w:pPr>
        <w:ind w:firstLine="708"/>
        <w:jc w:val="both"/>
        <w:rPr>
          <w:lang w:val="de-DE"/>
        </w:rPr>
      </w:pPr>
    </w:p>
    <w:p w14:paraId="52978D20" w14:textId="1360848E" w:rsidR="00CB53D7" w:rsidRPr="00B14651" w:rsidRDefault="00CB53D7" w:rsidP="00CB53D7">
      <w:pPr>
        <w:jc w:val="both"/>
        <w:rPr>
          <w:i/>
          <w:lang w:val="de-DE"/>
        </w:rPr>
      </w:pPr>
      <w:r w:rsidRPr="004676F5">
        <w:rPr>
          <w:i/>
          <w:lang w:val="de-DE"/>
        </w:rPr>
        <w:t>[</w:t>
      </w:r>
      <w:r w:rsidR="00BE0A56" w:rsidRPr="004676F5">
        <w:rPr>
          <w:i/>
          <w:lang w:val="de-DE"/>
        </w:rPr>
        <w:t>Art. </w:t>
      </w:r>
      <w:r w:rsidRPr="004676F5">
        <w:rPr>
          <w:i/>
          <w:lang w:val="de-DE"/>
        </w:rPr>
        <w:t xml:space="preserve">XI.263 ersetzt durch </w:t>
      </w:r>
      <w:r w:rsidR="00BE0A56" w:rsidRPr="004676F5">
        <w:rPr>
          <w:i/>
          <w:lang w:val="de-DE"/>
        </w:rPr>
        <w:t>Art. </w:t>
      </w:r>
      <w:r w:rsidRPr="004676F5">
        <w:rPr>
          <w:i/>
          <w:lang w:val="de-DE"/>
        </w:rPr>
        <w:t>64 des G. vom 8. </w:t>
      </w:r>
      <w:r w:rsidRPr="00B14651">
        <w:rPr>
          <w:i/>
          <w:lang w:val="de-DE"/>
        </w:rPr>
        <w:t>Juni 2017 (B.S. vom 27. Juni 2017)]</w:t>
      </w:r>
    </w:p>
    <w:p w14:paraId="1B0DE62F" w14:textId="77777777" w:rsidR="00CB53D7" w:rsidRPr="00B14651" w:rsidRDefault="00CB53D7" w:rsidP="00CB53D7">
      <w:pPr>
        <w:jc w:val="both"/>
        <w:rPr>
          <w:lang w:val="de-DE"/>
        </w:rPr>
      </w:pPr>
    </w:p>
    <w:p w14:paraId="7F445F94" w14:textId="77777777" w:rsidR="00CB53D7" w:rsidRPr="00B14651" w:rsidRDefault="00CB53D7" w:rsidP="00CB53D7">
      <w:pPr>
        <w:jc w:val="both"/>
        <w:rPr>
          <w:lang w:val="de-DE"/>
        </w:rPr>
      </w:pPr>
    </w:p>
    <w:p w14:paraId="7D13AE0B" w14:textId="5CB35AA7" w:rsidR="00CB53D7" w:rsidRPr="004676F5" w:rsidRDefault="00CB53D7" w:rsidP="00CB53D7">
      <w:pPr>
        <w:jc w:val="center"/>
        <w:rPr>
          <w:lang w:val="de-DE"/>
        </w:rPr>
      </w:pPr>
      <w:r w:rsidRPr="004676F5">
        <w:rPr>
          <w:lang w:val="de-DE"/>
        </w:rPr>
        <w:t>[Unterabschnitt 2 </w:t>
      </w:r>
      <w:r w:rsidR="005B7A5C" w:rsidRPr="004676F5">
        <w:rPr>
          <w:lang w:val="de-DE"/>
        </w:rPr>
        <w:t>- </w:t>
      </w:r>
      <w:r w:rsidRPr="004676F5">
        <w:rPr>
          <w:lang w:val="de-DE"/>
        </w:rPr>
        <w:t>Erhöhung der Vergütungen]</w:t>
      </w:r>
    </w:p>
    <w:p w14:paraId="7708D0CE" w14:textId="77777777" w:rsidR="00CB53D7" w:rsidRPr="004676F5" w:rsidRDefault="00CB53D7" w:rsidP="00CB53D7">
      <w:pPr>
        <w:jc w:val="center"/>
        <w:rPr>
          <w:lang w:val="de-DE"/>
        </w:rPr>
      </w:pPr>
    </w:p>
    <w:p w14:paraId="283F75EF" w14:textId="7757D9CC" w:rsidR="00CB53D7" w:rsidRPr="004676F5" w:rsidRDefault="00CB53D7" w:rsidP="00CB53D7">
      <w:pPr>
        <w:jc w:val="both"/>
        <w:rPr>
          <w:i/>
          <w:lang w:val="de-DE"/>
        </w:rPr>
      </w:pPr>
      <w:r w:rsidRPr="004676F5">
        <w:rPr>
          <w:i/>
          <w:lang w:val="de-DE"/>
        </w:rPr>
        <w:t>[Unterteilu</w:t>
      </w:r>
      <w:r w:rsidR="00D77315" w:rsidRPr="004676F5">
        <w:rPr>
          <w:i/>
          <w:lang w:val="de-DE"/>
        </w:rPr>
        <w:t>ng Unterabschnitt 2</w:t>
      </w:r>
      <w:r w:rsidRPr="004676F5">
        <w:rPr>
          <w:i/>
          <w:lang w:val="de-DE"/>
        </w:rPr>
        <w:t xml:space="preserve"> eingefügt durch </w:t>
      </w:r>
      <w:r w:rsidR="00BE0A56" w:rsidRPr="004676F5">
        <w:rPr>
          <w:i/>
          <w:lang w:val="de-DE"/>
        </w:rPr>
        <w:t>Art. </w:t>
      </w:r>
      <w:r w:rsidRPr="004676F5">
        <w:rPr>
          <w:i/>
          <w:lang w:val="de-DE"/>
        </w:rPr>
        <w:t>65 des G. vom 8. Juni 2017 (B.S. vom 27. Juni 2017)]</w:t>
      </w:r>
    </w:p>
    <w:p w14:paraId="259C187C" w14:textId="77777777" w:rsidR="00CB53D7" w:rsidRPr="004676F5" w:rsidRDefault="00CB53D7" w:rsidP="00CB53D7">
      <w:pPr>
        <w:ind w:firstLine="708"/>
        <w:jc w:val="both"/>
        <w:rPr>
          <w:lang w:val="de-DE"/>
        </w:rPr>
      </w:pPr>
    </w:p>
    <w:p w14:paraId="70640B89" w14:textId="77777777" w:rsidR="00355502" w:rsidRPr="004676F5" w:rsidRDefault="00355502" w:rsidP="001527B1">
      <w:pPr>
        <w:ind w:firstLine="708"/>
        <w:jc w:val="both"/>
        <w:rPr>
          <w:lang w:val="de-DE"/>
        </w:rPr>
      </w:pPr>
    </w:p>
    <w:p w14:paraId="491B7357" w14:textId="757DC736" w:rsidR="00CB53D7" w:rsidRPr="004676F5" w:rsidRDefault="00BE0A56" w:rsidP="00CB53D7">
      <w:pPr>
        <w:ind w:firstLine="708"/>
        <w:jc w:val="both"/>
        <w:rPr>
          <w:lang w:val="de-DE"/>
        </w:rPr>
      </w:pPr>
      <w:r w:rsidRPr="004676F5">
        <w:rPr>
          <w:b/>
          <w:lang w:val="de-DE"/>
        </w:rPr>
        <w:t>Art. </w:t>
      </w:r>
      <w:r w:rsidR="001527B1" w:rsidRPr="004676F5">
        <w:rPr>
          <w:b/>
          <w:lang w:val="de-DE"/>
        </w:rPr>
        <w:t>XI.264</w:t>
      </w:r>
      <w:r w:rsidR="001527B1" w:rsidRPr="004676F5">
        <w:rPr>
          <w:lang w:val="de-DE"/>
        </w:rPr>
        <w:t> </w:t>
      </w:r>
      <w:r w:rsidR="005B7A5C" w:rsidRPr="004676F5">
        <w:rPr>
          <w:lang w:val="de-DE"/>
        </w:rPr>
        <w:t>- </w:t>
      </w:r>
      <w:r w:rsidR="00CB53D7" w:rsidRPr="004676F5">
        <w:rPr>
          <w:lang w:val="de-DE"/>
        </w:rPr>
        <w:t>[§ 1 </w:t>
      </w:r>
      <w:r w:rsidR="005B7A5C" w:rsidRPr="004676F5">
        <w:rPr>
          <w:lang w:val="de-DE"/>
        </w:rPr>
        <w:t>- </w:t>
      </w:r>
      <w:r w:rsidR="00CB53D7" w:rsidRPr="004676F5">
        <w:rPr>
          <w:lang w:val="de-DE"/>
        </w:rPr>
        <w:t>Wenden Verwertungsgesellschaften Erhöhungen von Vergütungen an, wenn Nutzer die Nutzung geschützter Werke oder Leistungen nicht innerhalb der festgelegten Fristen angeben oder sie für Einnahme oder Verteilung der Vergütungen erforderliche Auskünfte nicht erteilen, nehmen sie die Regeln in Bezug auf diese Erhöhungen in ihren Entgelterhebungs</w:t>
      </w:r>
      <w:r w:rsidR="005B7A5C" w:rsidRPr="004676F5">
        <w:rPr>
          <w:lang w:val="de-DE"/>
        </w:rPr>
        <w:t>- </w:t>
      </w:r>
      <w:r w:rsidR="00CB53D7" w:rsidRPr="004676F5">
        <w:rPr>
          <w:lang w:val="de-DE"/>
        </w:rPr>
        <w:t>und Einnahmeregeln auf. Diese Erhöhungen haben Entschädigungs</w:t>
      </w:r>
      <w:r w:rsidR="00CB53D7" w:rsidRPr="004676F5">
        <w:rPr>
          <w:lang w:val="de-DE"/>
        </w:rPr>
        <w:softHyphen/>
        <w:t>charakter.</w:t>
      </w:r>
    </w:p>
    <w:p w14:paraId="3D24B216" w14:textId="77777777" w:rsidR="00CB53D7" w:rsidRPr="004676F5" w:rsidRDefault="00CB53D7" w:rsidP="00CB53D7">
      <w:pPr>
        <w:jc w:val="both"/>
        <w:rPr>
          <w:lang w:val="de-DE"/>
        </w:rPr>
      </w:pPr>
    </w:p>
    <w:p w14:paraId="43D0DBE5" w14:textId="24654CA5" w:rsidR="001527B1" w:rsidRPr="004676F5" w:rsidRDefault="00CB53D7" w:rsidP="00CB53D7">
      <w:pPr>
        <w:ind w:firstLine="708"/>
        <w:jc w:val="both"/>
        <w:rPr>
          <w:lang w:val="de-DE"/>
        </w:rPr>
      </w:pPr>
      <w:r w:rsidRPr="004676F5">
        <w:rPr>
          <w:lang w:val="de-DE"/>
        </w:rPr>
        <w:t>§ 2 </w:t>
      </w:r>
      <w:r w:rsidR="005B7A5C" w:rsidRPr="004676F5">
        <w:rPr>
          <w:lang w:val="de-DE"/>
        </w:rPr>
        <w:t>- </w:t>
      </w:r>
      <w:r w:rsidRPr="004676F5">
        <w:rPr>
          <w:lang w:val="de-DE"/>
        </w:rPr>
        <w:t xml:space="preserve">Um den Entschädigungscharakter der Vergütungen zu gewährleisten, kann der König Erhöhungen der Vergütungen festlegen, die von Verwertungsgesellschaften angewandt </w:t>
      </w:r>
      <w:r w:rsidRPr="004676F5">
        <w:rPr>
          <w:lang w:val="de-DE"/>
        </w:rPr>
        <w:lastRenderedPageBreak/>
        <w:t>werden, wenn Nutzer die Nutzung geschützter Werke oder Leistungen nicht innerhalb der festgelegten Fristen angeben oder sie für Einnahme oder Verteilung der Vergütungen erforderliche Auskünfte nicht erteilen.]</w:t>
      </w:r>
    </w:p>
    <w:p w14:paraId="3E90BB3B" w14:textId="77777777" w:rsidR="001527B1" w:rsidRPr="004676F5" w:rsidRDefault="001527B1" w:rsidP="001527B1">
      <w:pPr>
        <w:ind w:firstLine="708"/>
        <w:jc w:val="both"/>
        <w:rPr>
          <w:lang w:val="de-DE"/>
        </w:rPr>
      </w:pPr>
    </w:p>
    <w:p w14:paraId="516B9482" w14:textId="02036216" w:rsidR="00CB53D7" w:rsidRPr="00B14651" w:rsidRDefault="00CB53D7" w:rsidP="00CB53D7">
      <w:pPr>
        <w:jc w:val="both"/>
        <w:rPr>
          <w:i/>
          <w:lang w:val="de-DE"/>
        </w:rPr>
      </w:pPr>
      <w:r w:rsidRPr="004676F5">
        <w:rPr>
          <w:i/>
          <w:lang w:val="de-DE"/>
        </w:rPr>
        <w:t>[</w:t>
      </w:r>
      <w:r w:rsidR="00BE0A56" w:rsidRPr="004676F5">
        <w:rPr>
          <w:i/>
          <w:lang w:val="de-DE"/>
        </w:rPr>
        <w:t>Art. </w:t>
      </w:r>
      <w:r w:rsidRPr="004676F5">
        <w:rPr>
          <w:i/>
          <w:lang w:val="de-DE"/>
        </w:rPr>
        <w:t xml:space="preserve">XI.264 ersetzt durch </w:t>
      </w:r>
      <w:r w:rsidR="00BE0A56" w:rsidRPr="004676F5">
        <w:rPr>
          <w:i/>
          <w:lang w:val="de-DE"/>
        </w:rPr>
        <w:t>Art. </w:t>
      </w:r>
      <w:r w:rsidRPr="004676F5">
        <w:rPr>
          <w:i/>
          <w:lang w:val="de-DE"/>
        </w:rPr>
        <w:t>66 des G. vom 8. </w:t>
      </w:r>
      <w:r w:rsidRPr="00B14651">
        <w:rPr>
          <w:i/>
          <w:lang w:val="de-DE"/>
        </w:rPr>
        <w:t>Juni 2017 (B.S. vom 27. Juni 2017)]</w:t>
      </w:r>
    </w:p>
    <w:p w14:paraId="272D2368" w14:textId="77777777" w:rsidR="00CB53D7" w:rsidRPr="00B14651" w:rsidRDefault="00CB53D7" w:rsidP="00CB53D7">
      <w:pPr>
        <w:jc w:val="both"/>
        <w:rPr>
          <w:i/>
          <w:lang w:val="de-DE"/>
        </w:rPr>
      </w:pPr>
    </w:p>
    <w:p w14:paraId="09B42101" w14:textId="77777777" w:rsidR="00CB53D7" w:rsidRPr="00B14651" w:rsidRDefault="00CB53D7" w:rsidP="00CB53D7">
      <w:pPr>
        <w:jc w:val="both"/>
        <w:rPr>
          <w:lang w:val="de-DE"/>
        </w:rPr>
      </w:pPr>
    </w:p>
    <w:p w14:paraId="5E62DD22" w14:textId="1BB823CC" w:rsidR="00CB53D7" w:rsidRPr="004676F5" w:rsidRDefault="00CB53D7" w:rsidP="00CB53D7">
      <w:pPr>
        <w:jc w:val="center"/>
        <w:rPr>
          <w:lang w:val="de-DE"/>
        </w:rPr>
      </w:pPr>
      <w:r w:rsidRPr="004676F5">
        <w:rPr>
          <w:lang w:val="de-DE"/>
        </w:rPr>
        <w:t>[Unterabschnitt 3 </w:t>
      </w:r>
      <w:r w:rsidR="005B7A5C" w:rsidRPr="004676F5">
        <w:rPr>
          <w:lang w:val="de-DE"/>
        </w:rPr>
        <w:t>- </w:t>
      </w:r>
      <w:r w:rsidRPr="004676F5">
        <w:rPr>
          <w:lang w:val="de-DE"/>
        </w:rPr>
        <w:t>Administrative Vereinfachung]</w:t>
      </w:r>
    </w:p>
    <w:p w14:paraId="11CA3CEB" w14:textId="77777777" w:rsidR="00CB53D7" w:rsidRPr="004676F5" w:rsidRDefault="00CB53D7" w:rsidP="00CB53D7">
      <w:pPr>
        <w:jc w:val="center"/>
        <w:rPr>
          <w:lang w:val="de-DE"/>
        </w:rPr>
      </w:pPr>
    </w:p>
    <w:p w14:paraId="168FB580" w14:textId="00E18CBF" w:rsidR="00CB53D7" w:rsidRPr="004676F5" w:rsidRDefault="00CB53D7" w:rsidP="00CB53D7">
      <w:pPr>
        <w:jc w:val="both"/>
        <w:rPr>
          <w:i/>
          <w:lang w:val="de-DE"/>
        </w:rPr>
      </w:pPr>
      <w:r w:rsidRPr="004676F5">
        <w:rPr>
          <w:i/>
          <w:lang w:val="de-DE"/>
        </w:rPr>
        <w:t xml:space="preserve">[Unterteilung Unterabschnitt 3 eingefügt durch </w:t>
      </w:r>
      <w:r w:rsidR="00BE0A56" w:rsidRPr="004676F5">
        <w:rPr>
          <w:i/>
          <w:lang w:val="de-DE"/>
        </w:rPr>
        <w:t>Art. </w:t>
      </w:r>
      <w:r w:rsidRPr="004676F5">
        <w:rPr>
          <w:i/>
          <w:lang w:val="de-DE"/>
        </w:rPr>
        <w:t>67 des G. vom 8. Juni 2017 (B.S. vom 27. Juni 2017)]</w:t>
      </w:r>
    </w:p>
    <w:p w14:paraId="2232B6D5" w14:textId="77777777" w:rsidR="00CB53D7" w:rsidRPr="004676F5" w:rsidRDefault="00CB53D7" w:rsidP="00CB53D7">
      <w:pPr>
        <w:jc w:val="center"/>
        <w:rPr>
          <w:lang w:val="de-DE"/>
        </w:rPr>
      </w:pPr>
    </w:p>
    <w:p w14:paraId="0E9CE039" w14:textId="77777777" w:rsidR="00355502" w:rsidRPr="004676F5" w:rsidRDefault="00355502" w:rsidP="001527B1">
      <w:pPr>
        <w:ind w:firstLine="708"/>
        <w:jc w:val="both"/>
        <w:rPr>
          <w:lang w:val="de-DE"/>
        </w:rPr>
      </w:pPr>
    </w:p>
    <w:p w14:paraId="3352B231" w14:textId="3A94C05E" w:rsidR="00CB53D7" w:rsidRPr="004676F5" w:rsidRDefault="00BE0A56" w:rsidP="00CB53D7">
      <w:pPr>
        <w:ind w:firstLine="708"/>
        <w:jc w:val="both"/>
        <w:rPr>
          <w:lang w:val="de-DE"/>
        </w:rPr>
      </w:pPr>
      <w:r w:rsidRPr="004676F5">
        <w:rPr>
          <w:b/>
          <w:lang w:val="de-DE"/>
        </w:rPr>
        <w:t>Art. </w:t>
      </w:r>
      <w:r w:rsidR="001527B1" w:rsidRPr="004676F5">
        <w:rPr>
          <w:b/>
          <w:lang w:val="de-DE"/>
        </w:rPr>
        <w:t>XI.265</w:t>
      </w:r>
      <w:r w:rsidR="001527B1" w:rsidRPr="004676F5">
        <w:rPr>
          <w:lang w:val="de-DE"/>
        </w:rPr>
        <w:t> </w:t>
      </w:r>
      <w:r w:rsidR="005B7A5C" w:rsidRPr="004676F5">
        <w:rPr>
          <w:lang w:val="de-DE"/>
        </w:rPr>
        <w:t>- </w:t>
      </w:r>
      <w:r w:rsidR="00CB53D7" w:rsidRPr="004676F5">
        <w:rPr>
          <w:lang w:val="de-DE"/>
        </w:rPr>
        <w:t>[Nach Konzertierung mit den Verwertungsgesellschaften, den Organi</w:t>
      </w:r>
      <w:r w:rsidR="00CB53D7" w:rsidRPr="004676F5">
        <w:rPr>
          <w:lang w:val="de-DE"/>
        </w:rPr>
        <w:softHyphen/>
        <w:t>sa</w:t>
      </w:r>
      <w:r w:rsidR="00CB53D7" w:rsidRPr="004676F5">
        <w:rPr>
          <w:lang w:val="de-DE"/>
        </w:rPr>
        <w:softHyphen/>
        <w:t>tionen, die die Schuldner der Vergütungen vertreten, und den Organisationen, die die Verbrau</w:t>
      </w:r>
      <w:r w:rsidR="00CB53D7" w:rsidRPr="004676F5">
        <w:rPr>
          <w:lang w:val="de-DE"/>
        </w:rPr>
        <w:softHyphen/>
        <w:t>cher vertreten, die in dem durch Artikel XI.282 eingesetzten Konzertierungsausschuss vertreten sind, und unbeschadet des ausschließlichen Rechts von Urhebern und Inhabern verwandter Schutzrechte oder ihrer Zessionare kann der König durch einen im Ministerrat beratenen Erlass unter Berücksichtigung der verschiedenen Kategorien von Werken und Leistungen und der verschiedenen Nutzungsarten Modalitäten festlegen für die administrative Vereinfachung der Einnahme der von den Verwertungsgesellschaften verwalteten Vergütungen.</w:t>
      </w:r>
    </w:p>
    <w:p w14:paraId="068AC038" w14:textId="77777777" w:rsidR="00CB53D7" w:rsidRPr="004676F5" w:rsidRDefault="00CB53D7" w:rsidP="00CB53D7">
      <w:pPr>
        <w:jc w:val="both"/>
        <w:rPr>
          <w:lang w:val="de-DE"/>
        </w:rPr>
      </w:pPr>
    </w:p>
    <w:p w14:paraId="13FCE396" w14:textId="77777777" w:rsidR="00CB53D7" w:rsidRPr="004676F5" w:rsidRDefault="00CB53D7" w:rsidP="00CB53D7">
      <w:pPr>
        <w:jc w:val="both"/>
        <w:rPr>
          <w:lang w:val="de-DE"/>
        </w:rPr>
      </w:pPr>
      <w:r w:rsidRPr="004676F5">
        <w:rPr>
          <w:lang w:val="de-DE"/>
        </w:rPr>
        <w:tab/>
        <w:t>Der König ist aufgrund des Absatzes 1 ermächtigt, jegliche Maßnahmen zur admini</w:t>
      </w:r>
      <w:r w:rsidRPr="004676F5">
        <w:rPr>
          <w:lang w:val="de-DE"/>
        </w:rPr>
        <w:softHyphen/>
        <w:t>strativen Vereinfachung zu ergreifen, so die Einrichtung einer Gemeinschaftsplattform oder die Einführung einer einheitlichen Rechnung.</w:t>
      </w:r>
    </w:p>
    <w:p w14:paraId="67B3B0A8" w14:textId="77777777" w:rsidR="00CB53D7" w:rsidRPr="004676F5" w:rsidRDefault="00CB53D7" w:rsidP="00CB53D7">
      <w:pPr>
        <w:jc w:val="both"/>
        <w:rPr>
          <w:lang w:val="de-DE"/>
        </w:rPr>
      </w:pPr>
    </w:p>
    <w:p w14:paraId="738CFB97" w14:textId="77777777" w:rsidR="00CB53D7" w:rsidRPr="004676F5" w:rsidRDefault="00CB53D7" w:rsidP="00CB53D7">
      <w:pPr>
        <w:jc w:val="both"/>
        <w:rPr>
          <w:lang w:val="de-DE"/>
        </w:rPr>
      </w:pPr>
      <w:r w:rsidRPr="004676F5">
        <w:rPr>
          <w:lang w:val="de-DE"/>
        </w:rPr>
        <w:tab/>
        <w:t>Maßnahmen zur administrativen Vereinfachung können für eine einzelne Nutzungsart oder für mehrere Nutzungsarten vorgesehen werden. Verwertungsgesellschaften, die Vergütungen in Bezug auf diese Nutzungsart/diese Nutzungsarten verwalten, setzen die vom König aufgrund des vorliegenden Artikels festgelegten Maßnahmen zur administrativen Vereinfachung um.</w:t>
      </w:r>
    </w:p>
    <w:p w14:paraId="029CB28A" w14:textId="77777777" w:rsidR="00CB53D7" w:rsidRPr="004676F5" w:rsidRDefault="00CB53D7" w:rsidP="00CB53D7">
      <w:pPr>
        <w:jc w:val="both"/>
        <w:rPr>
          <w:lang w:val="de-DE"/>
        </w:rPr>
      </w:pPr>
    </w:p>
    <w:p w14:paraId="507A1426" w14:textId="77777777" w:rsidR="001527B1" w:rsidRPr="004676F5" w:rsidRDefault="00CB53D7" w:rsidP="00CB53D7">
      <w:pPr>
        <w:ind w:firstLine="708"/>
        <w:jc w:val="both"/>
        <w:rPr>
          <w:lang w:val="de-DE"/>
        </w:rPr>
      </w:pPr>
      <w:r w:rsidRPr="004676F5">
        <w:rPr>
          <w:lang w:val="de-DE"/>
        </w:rPr>
        <w:t>Ab einem vom König festzulegenden Datum sehen Verwertungsgesellschaften, die Urheberrechte und verwandte Schutzrechte in Bezug auf die öffentliche Wiedergabe von Tonträgern und Filmen verwalten, eine Gemeinschaftsplattform für die Einnahme der vorerwähnten Vergütungen vor, sofern die Tonträger und Filme nicht für eine Aufführung benutzt werden und kein Eintritt beziehungsweise keine Vergütung verlangt wird, um der Darbietung beiwohnen zu können.]</w:t>
      </w:r>
    </w:p>
    <w:p w14:paraId="7663E29A" w14:textId="77777777" w:rsidR="00CB53D7" w:rsidRPr="004676F5" w:rsidRDefault="00CB53D7" w:rsidP="00CB53D7">
      <w:pPr>
        <w:ind w:firstLine="708"/>
        <w:jc w:val="both"/>
        <w:rPr>
          <w:lang w:val="de-DE"/>
        </w:rPr>
      </w:pPr>
    </w:p>
    <w:p w14:paraId="70F914E5" w14:textId="322F40C8" w:rsidR="00CB53D7" w:rsidRPr="00B14651" w:rsidRDefault="00CB53D7" w:rsidP="00CB53D7">
      <w:pPr>
        <w:jc w:val="both"/>
        <w:rPr>
          <w:i/>
          <w:lang w:val="de-DE"/>
        </w:rPr>
      </w:pPr>
      <w:r w:rsidRPr="004676F5">
        <w:rPr>
          <w:i/>
          <w:lang w:val="de-DE"/>
        </w:rPr>
        <w:t>[</w:t>
      </w:r>
      <w:r w:rsidR="00BE0A56" w:rsidRPr="004676F5">
        <w:rPr>
          <w:i/>
          <w:lang w:val="de-DE"/>
        </w:rPr>
        <w:t>Art. </w:t>
      </w:r>
      <w:r w:rsidRPr="004676F5">
        <w:rPr>
          <w:i/>
          <w:lang w:val="de-DE"/>
        </w:rPr>
        <w:t xml:space="preserve">XI.265 ersetzt durch </w:t>
      </w:r>
      <w:r w:rsidR="00BE0A56" w:rsidRPr="004676F5">
        <w:rPr>
          <w:i/>
          <w:lang w:val="de-DE"/>
        </w:rPr>
        <w:t>Art. </w:t>
      </w:r>
      <w:r w:rsidRPr="004676F5">
        <w:rPr>
          <w:i/>
          <w:lang w:val="de-DE"/>
        </w:rPr>
        <w:t>68 des G. vom 8. </w:t>
      </w:r>
      <w:r w:rsidRPr="00B14651">
        <w:rPr>
          <w:i/>
          <w:lang w:val="de-DE"/>
        </w:rPr>
        <w:t>Juni 2017 (B.S. vom 27. Juni 2017)]</w:t>
      </w:r>
    </w:p>
    <w:p w14:paraId="1EA38536" w14:textId="77777777" w:rsidR="00CB53D7" w:rsidRPr="00B14651" w:rsidRDefault="00CB53D7" w:rsidP="00CB53D7">
      <w:pPr>
        <w:jc w:val="both"/>
        <w:rPr>
          <w:i/>
          <w:lang w:val="de-DE"/>
        </w:rPr>
      </w:pPr>
    </w:p>
    <w:p w14:paraId="023A3160" w14:textId="77777777" w:rsidR="00CB53D7" w:rsidRPr="00B14651" w:rsidRDefault="00CB53D7" w:rsidP="00CB53D7">
      <w:pPr>
        <w:jc w:val="both"/>
        <w:rPr>
          <w:lang w:val="de-DE"/>
        </w:rPr>
      </w:pPr>
    </w:p>
    <w:p w14:paraId="0D84F1AA" w14:textId="77777777" w:rsidR="00CB53D7" w:rsidRPr="00B14651" w:rsidRDefault="00CB53D7">
      <w:pPr>
        <w:rPr>
          <w:lang w:val="de-DE"/>
        </w:rPr>
      </w:pPr>
    </w:p>
    <w:p w14:paraId="4037CCAB" w14:textId="77777777" w:rsidR="00807D61" w:rsidRPr="00B14651" w:rsidRDefault="00807D61">
      <w:pPr>
        <w:rPr>
          <w:lang w:val="de-DE"/>
        </w:rPr>
      </w:pPr>
      <w:r w:rsidRPr="00B14651">
        <w:rPr>
          <w:lang w:val="de-DE"/>
        </w:rPr>
        <w:br w:type="page"/>
      </w:r>
    </w:p>
    <w:p w14:paraId="37B398A9" w14:textId="054816D9" w:rsidR="00CB53D7" w:rsidRPr="004676F5" w:rsidRDefault="00CB53D7" w:rsidP="00CB53D7">
      <w:pPr>
        <w:jc w:val="center"/>
        <w:rPr>
          <w:lang w:val="de-DE"/>
        </w:rPr>
      </w:pPr>
      <w:r w:rsidRPr="004676F5">
        <w:rPr>
          <w:lang w:val="de-DE"/>
        </w:rPr>
        <w:lastRenderedPageBreak/>
        <w:t>[</w:t>
      </w:r>
      <w:r w:rsidRPr="004676F5">
        <w:rPr>
          <w:i/>
          <w:lang w:val="de-DE"/>
        </w:rPr>
        <w:t>Abschnitt 6</w:t>
      </w:r>
      <w:r w:rsidRPr="004676F5">
        <w:rPr>
          <w:lang w:val="de-DE"/>
        </w:rPr>
        <w:t> </w:t>
      </w:r>
      <w:r w:rsidR="005B7A5C" w:rsidRPr="004676F5">
        <w:rPr>
          <w:lang w:val="de-DE"/>
        </w:rPr>
        <w:t>- </w:t>
      </w:r>
      <w:r w:rsidRPr="004676F5">
        <w:rPr>
          <w:lang w:val="de-DE"/>
        </w:rPr>
        <w:t>Informationen und Mitteilungen]</w:t>
      </w:r>
    </w:p>
    <w:p w14:paraId="7FF44B61" w14:textId="77777777" w:rsidR="00CB53D7" w:rsidRPr="004676F5" w:rsidRDefault="00CB53D7" w:rsidP="00CB53D7">
      <w:pPr>
        <w:jc w:val="center"/>
        <w:rPr>
          <w:lang w:val="de-DE"/>
        </w:rPr>
      </w:pPr>
    </w:p>
    <w:p w14:paraId="59FCCD16" w14:textId="5A8D2DD7" w:rsidR="00CB53D7" w:rsidRPr="00B14651" w:rsidRDefault="00CB53D7" w:rsidP="00CB53D7">
      <w:pPr>
        <w:jc w:val="both"/>
        <w:rPr>
          <w:i/>
          <w:lang w:val="de-DE"/>
        </w:rPr>
      </w:pPr>
      <w:r w:rsidRPr="004676F5">
        <w:rPr>
          <w:i/>
          <w:lang w:val="de-DE"/>
        </w:rPr>
        <w:t xml:space="preserve">[Unterteilung Abschnitt 6 eingefügt durch </w:t>
      </w:r>
      <w:r w:rsidR="00BE0A56" w:rsidRPr="004676F5">
        <w:rPr>
          <w:i/>
          <w:lang w:val="de-DE"/>
        </w:rPr>
        <w:t>Art. </w:t>
      </w:r>
      <w:r w:rsidRPr="004676F5">
        <w:rPr>
          <w:i/>
          <w:lang w:val="de-DE"/>
        </w:rPr>
        <w:t>69 des G. vom 8. </w:t>
      </w:r>
      <w:r w:rsidRPr="00B14651">
        <w:rPr>
          <w:i/>
          <w:lang w:val="de-DE"/>
        </w:rPr>
        <w:t>Juni 2017 (B.S. vom 27. Juni 2017)]</w:t>
      </w:r>
    </w:p>
    <w:p w14:paraId="5254A0C7" w14:textId="77777777" w:rsidR="00CB53D7" w:rsidRPr="00B14651" w:rsidRDefault="00CB53D7" w:rsidP="00CB53D7">
      <w:pPr>
        <w:jc w:val="center"/>
        <w:rPr>
          <w:lang w:val="de-DE"/>
        </w:rPr>
      </w:pPr>
    </w:p>
    <w:p w14:paraId="13A8DFB1" w14:textId="77777777" w:rsidR="00CB53D7" w:rsidRPr="00B14651" w:rsidRDefault="00CB53D7" w:rsidP="00CB53D7">
      <w:pPr>
        <w:jc w:val="center"/>
        <w:rPr>
          <w:lang w:val="de-DE"/>
        </w:rPr>
      </w:pPr>
    </w:p>
    <w:p w14:paraId="509A4445" w14:textId="75D8E6F5" w:rsidR="00CB53D7" w:rsidRPr="004676F5" w:rsidRDefault="00CB53D7" w:rsidP="00CB53D7">
      <w:pPr>
        <w:jc w:val="center"/>
        <w:rPr>
          <w:lang w:val="de-DE"/>
        </w:rPr>
      </w:pPr>
      <w:r w:rsidRPr="004676F5">
        <w:rPr>
          <w:lang w:val="de-DE"/>
        </w:rPr>
        <w:t>[Unterabschnitt 1 </w:t>
      </w:r>
      <w:r w:rsidR="005B7A5C" w:rsidRPr="004676F5">
        <w:rPr>
          <w:lang w:val="de-DE"/>
        </w:rPr>
        <w:t>- </w:t>
      </w:r>
      <w:r w:rsidRPr="004676F5">
        <w:rPr>
          <w:lang w:val="de-DE"/>
        </w:rPr>
        <w:t>Allgemeine Informationen]</w:t>
      </w:r>
    </w:p>
    <w:p w14:paraId="4939E308" w14:textId="77777777" w:rsidR="00CB53D7" w:rsidRPr="004676F5" w:rsidRDefault="00CB53D7" w:rsidP="00CB53D7">
      <w:pPr>
        <w:rPr>
          <w:lang w:val="de-DE"/>
        </w:rPr>
      </w:pPr>
    </w:p>
    <w:p w14:paraId="4CC78D30" w14:textId="1094FE2F" w:rsidR="00CB53D7" w:rsidRPr="004676F5" w:rsidRDefault="00CB53D7" w:rsidP="00CB53D7">
      <w:pPr>
        <w:jc w:val="both"/>
        <w:rPr>
          <w:i/>
          <w:lang w:val="de-DE"/>
        </w:rPr>
      </w:pPr>
      <w:r w:rsidRPr="004676F5">
        <w:rPr>
          <w:i/>
          <w:lang w:val="de-DE"/>
        </w:rPr>
        <w:t xml:space="preserve">[Unterteilung Unterabschnitt 1 eingefügt durch </w:t>
      </w:r>
      <w:r w:rsidR="00BE0A56" w:rsidRPr="004676F5">
        <w:rPr>
          <w:i/>
          <w:lang w:val="de-DE"/>
        </w:rPr>
        <w:t>Art. </w:t>
      </w:r>
      <w:r w:rsidRPr="004676F5">
        <w:rPr>
          <w:i/>
          <w:lang w:val="de-DE"/>
        </w:rPr>
        <w:t>70 des G. vom 8. Juni 2017 (B.S. vom 27. Juni 2017)]</w:t>
      </w:r>
    </w:p>
    <w:p w14:paraId="1E8037C4" w14:textId="77777777" w:rsidR="00CB53D7" w:rsidRPr="004676F5" w:rsidRDefault="00CB53D7" w:rsidP="00CB53D7">
      <w:pPr>
        <w:jc w:val="center"/>
        <w:rPr>
          <w:lang w:val="de-DE"/>
        </w:rPr>
      </w:pPr>
    </w:p>
    <w:p w14:paraId="37E81F10" w14:textId="77777777" w:rsidR="00B7624B" w:rsidRPr="004676F5" w:rsidRDefault="00B7624B">
      <w:pPr>
        <w:rPr>
          <w:b/>
          <w:lang w:val="de-DE"/>
        </w:rPr>
      </w:pPr>
    </w:p>
    <w:p w14:paraId="5EFC7FE1" w14:textId="20BF1020" w:rsidR="00CB53D7" w:rsidRPr="004676F5" w:rsidRDefault="00BE0A56" w:rsidP="00CB53D7">
      <w:pPr>
        <w:ind w:firstLine="708"/>
        <w:jc w:val="both"/>
        <w:rPr>
          <w:lang w:val="de-DE"/>
        </w:rPr>
      </w:pPr>
      <w:r w:rsidRPr="004676F5">
        <w:rPr>
          <w:b/>
          <w:lang w:val="de-DE"/>
        </w:rPr>
        <w:t>Art. </w:t>
      </w:r>
      <w:r w:rsidR="001527B1" w:rsidRPr="004676F5">
        <w:rPr>
          <w:b/>
          <w:lang w:val="de-DE"/>
        </w:rPr>
        <w:t>XI.266</w:t>
      </w:r>
      <w:r w:rsidR="001527B1" w:rsidRPr="004676F5">
        <w:rPr>
          <w:lang w:val="de-DE"/>
        </w:rPr>
        <w:t> </w:t>
      </w:r>
      <w:r w:rsidR="005B7A5C" w:rsidRPr="004676F5">
        <w:rPr>
          <w:lang w:val="de-DE"/>
        </w:rPr>
        <w:t>- </w:t>
      </w:r>
      <w:r w:rsidR="00CB53D7" w:rsidRPr="004676F5">
        <w:rPr>
          <w:lang w:val="de-DE"/>
        </w:rPr>
        <w:t>[Unbeschadet anderer Gesetzesbestimmungen veröffentlichen Verwer</w:t>
      </w:r>
      <w:r w:rsidR="00CB53D7" w:rsidRPr="004676F5">
        <w:rPr>
          <w:lang w:val="de-DE"/>
        </w:rPr>
        <w:softHyphen/>
        <w:t>tungs</w:t>
      </w:r>
      <w:r w:rsidR="00CB53D7" w:rsidRPr="004676F5">
        <w:rPr>
          <w:lang w:val="de-DE"/>
        </w:rPr>
        <w:softHyphen/>
        <w:t>gesellschaften auf ihrer Website an deutlich lesbarer Stelle und mit deutlichen Verweisen im Hauptmenü der Website mindestens folgende Informationen und halten diese Informationen auf dem aktuellen Stand:</w:t>
      </w:r>
    </w:p>
    <w:p w14:paraId="17C2B721" w14:textId="77777777" w:rsidR="00CB53D7" w:rsidRPr="004676F5" w:rsidRDefault="00CB53D7" w:rsidP="00CB53D7">
      <w:pPr>
        <w:jc w:val="both"/>
        <w:rPr>
          <w:lang w:val="de-DE"/>
        </w:rPr>
      </w:pPr>
    </w:p>
    <w:p w14:paraId="23F81F0B" w14:textId="77777777" w:rsidR="00CB53D7" w:rsidRPr="004676F5" w:rsidRDefault="00CB53D7" w:rsidP="00CB53D7">
      <w:pPr>
        <w:jc w:val="both"/>
        <w:rPr>
          <w:lang w:val="de-DE"/>
        </w:rPr>
      </w:pPr>
      <w:r w:rsidRPr="004676F5">
        <w:rPr>
          <w:lang w:val="de-DE"/>
        </w:rPr>
        <w:tab/>
        <w:t>1. ihre Satzung,</w:t>
      </w:r>
    </w:p>
    <w:p w14:paraId="00CBA95D" w14:textId="77777777" w:rsidR="00CB53D7" w:rsidRPr="004676F5" w:rsidRDefault="00CB53D7" w:rsidP="00CB53D7">
      <w:pPr>
        <w:jc w:val="both"/>
        <w:rPr>
          <w:lang w:val="de-DE"/>
        </w:rPr>
      </w:pPr>
    </w:p>
    <w:p w14:paraId="202D0963" w14:textId="77777777" w:rsidR="00CB53D7" w:rsidRPr="004676F5" w:rsidRDefault="00CB53D7" w:rsidP="00CB53D7">
      <w:pPr>
        <w:jc w:val="both"/>
        <w:rPr>
          <w:lang w:val="de-DE"/>
        </w:rPr>
      </w:pPr>
      <w:r w:rsidRPr="004676F5">
        <w:rPr>
          <w:lang w:val="de-DE"/>
        </w:rPr>
        <w:tab/>
        <w:t>2. ihre Mitgliedschaftsbedingungen und die Bedingungen für Beendigung oder Entzug des Wahrnehmungsauftrags, sofern diese nicht in der Satzung enthalten sind,</w:t>
      </w:r>
    </w:p>
    <w:p w14:paraId="7ACDE212" w14:textId="77777777" w:rsidR="00CB53D7" w:rsidRPr="004676F5" w:rsidRDefault="00CB53D7" w:rsidP="00CB53D7">
      <w:pPr>
        <w:jc w:val="both"/>
        <w:rPr>
          <w:lang w:val="de-DE"/>
        </w:rPr>
      </w:pPr>
    </w:p>
    <w:p w14:paraId="4766C057" w14:textId="77777777" w:rsidR="00CB53D7" w:rsidRPr="004676F5" w:rsidRDefault="00CB53D7" w:rsidP="00CB53D7">
      <w:pPr>
        <w:jc w:val="both"/>
        <w:rPr>
          <w:lang w:val="de-DE"/>
        </w:rPr>
      </w:pPr>
      <w:r w:rsidRPr="004676F5">
        <w:rPr>
          <w:lang w:val="de-DE"/>
        </w:rPr>
        <w:tab/>
        <w:t>3. Standardlizenzverträge und anwendbare Standardtarife einschließlich Ermäßigungen,</w:t>
      </w:r>
    </w:p>
    <w:p w14:paraId="4BEDAC23" w14:textId="77777777" w:rsidR="00CB53D7" w:rsidRPr="004676F5" w:rsidRDefault="00CB53D7" w:rsidP="00CB53D7">
      <w:pPr>
        <w:jc w:val="both"/>
        <w:rPr>
          <w:lang w:val="de-DE"/>
        </w:rPr>
      </w:pPr>
    </w:p>
    <w:p w14:paraId="77F18F15" w14:textId="77777777" w:rsidR="00CB53D7" w:rsidRPr="004676F5" w:rsidRDefault="00CB53D7" w:rsidP="00CB53D7">
      <w:pPr>
        <w:jc w:val="both"/>
        <w:rPr>
          <w:lang w:val="de-DE"/>
        </w:rPr>
      </w:pPr>
      <w:r w:rsidRPr="004676F5">
        <w:rPr>
          <w:lang w:val="de-DE"/>
        </w:rPr>
        <w:tab/>
        <w:t>4. Liste der Personen, die die Geschäfte der Verwertungsgesellschaft führen,</w:t>
      </w:r>
    </w:p>
    <w:p w14:paraId="090B06B4" w14:textId="77777777" w:rsidR="00CB53D7" w:rsidRPr="004676F5" w:rsidRDefault="00CB53D7" w:rsidP="00CB53D7">
      <w:pPr>
        <w:jc w:val="both"/>
        <w:rPr>
          <w:lang w:val="de-DE"/>
        </w:rPr>
      </w:pPr>
    </w:p>
    <w:p w14:paraId="070CD46D" w14:textId="77777777" w:rsidR="00CB53D7" w:rsidRPr="004676F5" w:rsidRDefault="00CB53D7" w:rsidP="00CB53D7">
      <w:pPr>
        <w:jc w:val="both"/>
        <w:rPr>
          <w:lang w:val="de-DE"/>
        </w:rPr>
      </w:pPr>
      <w:r w:rsidRPr="004676F5">
        <w:rPr>
          <w:lang w:val="de-DE"/>
        </w:rPr>
        <w:tab/>
        <w:t>5. allgemeine Grundsätze für die Verteilung der den Rechtsinhabern zustehenden Beträge,</w:t>
      </w:r>
    </w:p>
    <w:p w14:paraId="123E1372" w14:textId="77777777" w:rsidR="00CB53D7" w:rsidRPr="004676F5" w:rsidRDefault="00CB53D7" w:rsidP="00CB53D7">
      <w:pPr>
        <w:jc w:val="both"/>
        <w:rPr>
          <w:lang w:val="de-DE"/>
        </w:rPr>
      </w:pPr>
    </w:p>
    <w:p w14:paraId="727CB894" w14:textId="77777777" w:rsidR="00CB53D7" w:rsidRPr="004676F5" w:rsidRDefault="00CB53D7" w:rsidP="00CB53D7">
      <w:pPr>
        <w:jc w:val="both"/>
        <w:rPr>
          <w:lang w:val="de-DE"/>
        </w:rPr>
      </w:pPr>
      <w:r w:rsidRPr="004676F5">
        <w:rPr>
          <w:lang w:val="de-DE"/>
        </w:rPr>
        <w:tab/>
        <w:t>6. allgemeine Grundsätze für die Verwaltungskosten,</w:t>
      </w:r>
    </w:p>
    <w:p w14:paraId="35C20080" w14:textId="77777777" w:rsidR="00CB53D7" w:rsidRPr="004676F5" w:rsidRDefault="00CB53D7" w:rsidP="00CB53D7">
      <w:pPr>
        <w:jc w:val="both"/>
        <w:rPr>
          <w:lang w:val="de-DE"/>
        </w:rPr>
      </w:pPr>
    </w:p>
    <w:p w14:paraId="6E99F65B" w14:textId="77777777" w:rsidR="00CB53D7" w:rsidRPr="004676F5" w:rsidRDefault="00CB53D7" w:rsidP="00CB53D7">
      <w:pPr>
        <w:jc w:val="both"/>
        <w:rPr>
          <w:lang w:val="de-DE"/>
        </w:rPr>
      </w:pPr>
      <w:r w:rsidRPr="004676F5">
        <w:rPr>
          <w:lang w:val="de-DE"/>
        </w:rPr>
        <w:tab/>
        <w:t>7. allgemeine Grundsätze für Abzüge, die nicht Verwaltungskosten betreffen, von Einnahmen aus den Rechten und Erträgen aus der Anlage der Einnahmen, einschließlich Abzügen für soziale, kulturelle oder erzieherische Zwecke,</w:t>
      </w:r>
    </w:p>
    <w:p w14:paraId="238CE251" w14:textId="77777777" w:rsidR="00CB53D7" w:rsidRPr="004676F5" w:rsidRDefault="00CB53D7" w:rsidP="00CB53D7">
      <w:pPr>
        <w:jc w:val="both"/>
        <w:rPr>
          <w:lang w:val="de-DE"/>
        </w:rPr>
      </w:pPr>
    </w:p>
    <w:p w14:paraId="6ED30E92" w14:textId="77777777" w:rsidR="00CB53D7" w:rsidRPr="004676F5" w:rsidRDefault="00CB53D7" w:rsidP="00CB53D7">
      <w:pPr>
        <w:jc w:val="both"/>
        <w:rPr>
          <w:lang w:val="de-DE"/>
        </w:rPr>
      </w:pPr>
      <w:r w:rsidRPr="004676F5">
        <w:rPr>
          <w:lang w:val="de-DE"/>
        </w:rPr>
        <w:tab/>
        <w:t>8. eine Aufstellung der von ihnen geschlossenen Repräsentationsvereinbarungen und die Namen der Verwertungsgesellschaften und Organisationen für die kollektive Rechtewahr</w:t>
      </w:r>
      <w:r w:rsidRPr="004676F5">
        <w:rPr>
          <w:lang w:val="de-DE"/>
        </w:rPr>
        <w:softHyphen/>
        <w:t>nehmung, mit denen diese Repräsentationsvereinbarungen geschlossen wurden,</w:t>
      </w:r>
    </w:p>
    <w:p w14:paraId="31E2EC61" w14:textId="77777777" w:rsidR="00CB53D7" w:rsidRPr="004676F5" w:rsidRDefault="00CB53D7" w:rsidP="00CB53D7">
      <w:pPr>
        <w:jc w:val="both"/>
        <w:rPr>
          <w:lang w:val="de-DE"/>
        </w:rPr>
      </w:pPr>
    </w:p>
    <w:p w14:paraId="69930A18" w14:textId="77777777" w:rsidR="00CB53D7" w:rsidRPr="004676F5" w:rsidRDefault="00CB53D7" w:rsidP="00CB53D7">
      <w:pPr>
        <w:jc w:val="both"/>
        <w:rPr>
          <w:lang w:val="de-DE"/>
        </w:rPr>
      </w:pPr>
      <w:r w:rsidRPr="004676F5">
        <w:rPr>
          <w:lang w:val="de-DE"/>
        </w:rPr>
        <w:tab/>
        <w:t>9. allgemeine Grundsätze für die Verwendung der Beträge, die aufgrund von Arti</w:t>
      </w:r>
      <w:r w:rsidRPr="004676F5">
        <w:rPr>
          <w:lang w:val="de-DE"/>
        </w:rPr>
        <w:softHyphen/>
        <w:t>kel XI.254 als nicht verteilbar gelten,</w:t>
      </w:r>
    </w:p>
    <w:p w14:paraId="48F73826" w14:textId="77777777" w:rsidR="00CB53D7" w:rsidRPr="004676F5" w:rsidRDefault="00CB53D7" w:rsidP="00CB53D7">
      <w:pPr>
        <w:jc w:val="both"/>
        <w:rPr>
          <w:lang w:val="de-DE"/>
        </w:rPr>
      </w:pPr>
    </w:p>
    <w:p w14:paraId="4F31E631" w14:textId="3DCBCD9C" w:rsidR="001527B1" w:rsidRPr="004676F5" w:rsidRDefault="00CB53D7" w:rsidP="00CB53D7">
      <w:pPr>
        <w:ind w:firstLine="708"/>
        <w:jc w:val="both"/>
        <w:rPr>
          <w:lang w:val="de-DE"/>
        </w:rPr>
      </w:pPr>
      <w:r w:rsidRPr="004676F5">
        <w:rPr>
          <w:lang w:val="de-DE"/>
        </w:rPr>
        <w:t>10. verfügbare Beschwerde</w:t>
      </w:r>
      <w:r w:rsidR="005B7A5C" w:rsidRPr="004676F5">
        <w:rPr>
          <w:lang w:val="de-DE"/>
        </w:rPr>
        <w:t>- </w:t>
      </w:r>
      <w:r w:rsidRPr="004676F5">
        <w:rPr>
          <w:lang w:val="de-DE"/>
        </w:rPr>
        <w:t>und Streitbeilegungsverfahren gemäß den Arti</w:t>
      </w:r>
      <w:r w:rsidRPr="004676F5">
        <w:rPr>
          <w:lang w:val="de-DE"/>
        </w:rPr>
        <w:softHyphen/>
        <w:t>keln XI.273/1 und XI.273/12.]</w:t>
      </w:r>
    </w:p>
    <w:p w14:paraId="4858BE37" w14:textId="77777777" w:rsidR="001527B1" w:rsidRPr="004676F5" w:rsidRDefault="001527B1" w:rsidP="001527B1">
      <w:pPr>
        <w:ind w:firstLine="708"/>
        <w:jc w:val="both"/>
        <w:rPr>
          <w:lang w:val="de-DE"/>
        </w:rPr>
      </w:pPr>
    </w:p>
    <w:p w14:paraId="0F862AB6" w14:textId="42347116" w:rsidR="00CB53D7" w:rsidRPr="00B14651" w:rsidRDefault="00CB53D7" w:rsidP="00CB53D7">
      <w:pPr>
        <w:jc w:val="both"/>
        <w:rPr>
          <w:i/>
          <w:lang w:val="de-DE"/>
        </w:rPr>
      </w:pPr>
      <w:r w:rsidRPr="004676F5">
        <w:rPr>
          <w:i/>
          <w:lang w:val="de-DE"/>
        </w:rPr>
        <w:t>[</w:t>
      </w:r>
      <w:r w:rsidR="00BE0A56" w:rsidRPr="004676F5">
        <w:rPr>
          <w:i/>
          <w:lang w:val="de-DE"/>
        </w:rPr>
        <w:t>Art. </w:t>
      </w:r>
      <w:r w:rsidRPr="004676F5">
        <w:rPr>
          <w:i/>
          <w:lang w:val="de-DE"/>
        </w:rPr>
        <w:t xml:space="preserve">XI.266 ersetzt durch </w:t>
      </w:r>
      <w:r w:rsidR="00BE0A56" w:rsidRPr="004676F5">
        <w:rPr>
          <w:i/>
          <w:lang w:val="de-DE"/>
        </w:rPr>
        <w:t>Art. </w:t>
      </w:r>
      <w:r w:rsidRPr="004676F5">
        <w:rPr>
          <w:i/>
          <w:lang w:val="de-DE"/>
        </w:rPr>
        <w:t>71 des G. vom 8. </w:t>
      </w:r>
      <w:r w:rsidRPr="00B14651">
        <w:rPr>
          <w:i/>
          <w:lang w:val="de-DE"/>
        </w:rPr>
        <w:t>Juni 2017 (B.S. vom 27. Juni 2017)]</w:t>
      </w:r>
    </w:p>
    <w:p w14:paraId="29213CB8" w14:textId="77777777" w:rsidR="00CB53D7" w:rsidRPr="00B14651" w:rsidRDefault="00CB53D7" w:rsidP="001527B1">
      <w:pPr>
        <w:ind w:firstLine="708"/>
        <w:jc w:val="both"/>
        <w:rPr>
          <w:lang w:val="de-DE"/>
        </w:rPr>
      </w:pPr>
    </w:p>
    <w:p w14:paraId="7B2325F3" w14:textId="77777777" w:rsidR="00355502" w:rsidRPr="00B14651" w:rsidRDefault="00355502" w:rsidP="001527B1">
      <w:pPr>
        <w:ind w:firstLine="708"/>
        <w:jc w:val="both"/>
        <w:rPr>
          <w:lang w:val="de-DE"/>
        </w:rPr>
      </w:pPr>
    </w:p>
    <w:p w14:paraId="0E73C395" w14:textId="77777777" w:rsidR="00807D61" w:rsidRPr="00B14651" w:rsidRDefault="00807D61">
      <w:pPr>
        <w:rPr>
          <w:b/>
          <w:lang w:val="de-DE"/>
        </w:rPr>
      </w:pPr>
      <w:r w:rsidRPr="00B14651">
        <w:rPr>
          <w:b/>
          <w:lang w:val="de-DE"/>
        </w:rPr>
        <w:br w:type="page"/>
      </w:r>
    </w:p>
    <w:p w14:paraId="0A22D89D" w14:textId="459EA1A2" w:rsidR="00CB53D7" w:rsidRPr="004676F5" w:rsidRDefault="00BE0A56" w:rsidP="00CB53D7">
      <w:pPr>
        <w:ind w:firstLine="708"/>
        <w:jc w:val="both"/>
        <w:rPr>
          <w:lang w:val="de-DE"/>
        </w:rPr>
      </w:pPr>
      <w:r w:rsidRPr="004676F5">
        <w:rPr>
          <w:b/>
          <w:lang w:val="de-DE"/>
        </w:rPr>
        <w:lastRenderedPageBreak/>
        <w:t>Art. </w:t>
      </w:r>
      <w:r w:rsidR="001527B1" w:rsidRPr="004676F5">
        <w:rPr>
          <w:b/>
          <w:lang w:val="de-DE"/>
        </w:rPr>
        <w:t>XI.267</w:t>
      </w:r>
      <w:r w:rsidR="001527B1" w:rsidRPr="004676F5">
        <w:rPr>
          <w:lang w:val="de-DE"/>
        </w:rPr>
        <w:t> </w:t>
      </w:r>
      <w:r w:rsidR="005B7A5C" w:rsidRPr="004676F5">
        <w:rPr>
          <w:lang w:val="de-DE"/>
        </w:rPr>
        <w:t>- </w:t>
      </w:r>
      <w:r w:rsidR="00CB53D7" w:rsidRPr="004676F5">
        <w:rPr>
          <w:lang w:val="de-DE"/>
        </w:rPr>
        <w:t>[Verwertungsgesellschaften stellen unverzüglich Verwertungsgesell</w:t>
      </w:r>
      <w:r w:rsidR="00CB53D7" w:rsidRPr="004676F5">
        <w:rPr>
          <w:lang w:val="de-DE"/>
        </w:rPr>
        <w:softHyphen/>
        <w:t>schaften und Organisationen für die kollektive Rechtewahrnehmung, für die sie auf der Grundlage einer Repräsentationsvereinbarung Rechte wahrnehmen, Rechtsinhabern und Nutzern auf deren hinreichend mit Gründen versehenen Antrag mindestens folgende Informationen elektronisch zur Verfügung:</w:t>
      </w:r>
    </w:p>
    <w:p w14:paraId="75DCBC53" w14:textId="77777777" w:rsidR="00CB53D7" w:rsidRPr="004676F5" w:rsidRDefault="00CB53D7" w:rsidP="00CB53D7">
      <w:pPr>
        <w:jc w:val="both"/>
        <w:rPr>
          <w:lang w:val="de-DE"/>
        </w:rPr>
      </w:pPr>
    </w:p>
    <w:p w14:paraId="3031AC52" w14:textId="77777777" w:rsidR="00CB53D7" w:rsidRPr="004676F5" w:rsidRDefault="00CB53D7" w:rsidP="00CB53D7">
      <w:pPr>
        <w:jc w:val="both"/>
        <w:rPr>
          <w:lang w:val="de-DE"/>
        </w:rPr>
      </w:pPr>
      <w:r w:rsidRPr="004676F5">
        <w:rPr>
          <w:lang w:val="de-DE"/>
        </w:rPr>
        <w:tab/>
        <w:t>1. Werke oder Leistungen, die sie repräsentieren, Rechte, die sie unmittelbar oder auf Grundlage von Repräsentationsvereinbarungen wahrnehmen, und umfasste Lizenzgebiete oder,</w:t>
      </w:r>
    </w:p>
    <w:p w14:paraId="7CAC9C7A" w14:textId="77777777" w:rsidR="00CB53D7" w:rsidRPr="004676F5" w:rsidRDefault="00CB53D7" w:rsidP="00CB53D7">
      <w:pPr>
        <w:jc w:val="both"/>
        <w:rPr>
          <w:lang w:val="de-DE"/>
        </w:rPr>
      </w:pPr>
    </w:p>
    <w:p w14:paraId="04FBFA99" w14:textId="77777777" w:rsidR="001527B1" w:rsidRPr="004676F5" w:rsidRDefault="00CB53D7" w:rsidP="00CB53D7">
      <w:pPr>
        <w:ind w:firstLine="708"/>
        <w:jc w:val="both"/>
        <w:rPr>
          <w:lang w:val="de-DE"/>
        </w:rPr>
      </w:pPr>
      <w:r w:rsidRPr="004676F5">
        <w:rPr>
          <w:lang w:val="de-DE"/>
        </w:rPr>
        <w:t>2. wenn aufgrund des Tätigkeitsbereichs einer Verwertungsgesellschaft derartige Werke und Leistungen nicht bestimmt werden können, Arten von Werken oder Leistungen, die sie repräsentiert, wahrgenommene Rechte und umfasste Lizenzgebiete.]</w:t>
      </w:r>
    </w:p>
    <w:p w14:paraId="51C95FE0" w14:textId="77777777" w:rsidR="00CB53D7" w:rsidRPr="004676F5" w:rsidRDefault="00CB53D7" w:rsidP="00CB53D7">
      <w:pPr>
        <w:ind w:firstLine="708"/>
        <w:jc w:val="both"/>
        <w:rPr>
          <w:lang w:val="de-DE"/>
        </w:rPr>
      </w:pPr>
    </w:p>
    <w:p w14:paraId="356FF93B" w14:textId="36D35EE0" w:rsidR="00CB53D7" w:rsidRPr="00B14651" w:rsidRDefault="00CB53D7" w:rsidP="00CB53D7">
      <w:pPr>
        <w:jc w:val="both"/>
        <w:rPr>
          <w:i/>
          <w:lang w:val="de-DE"/>
        </w:rPr>
      </w:pPr>
      <w:r w:rsidRPr="004676F5">
        <w:rPr>
          <w:i/>
          <w:lang w:val="de-DE"/>
        </w:rPr>
        <w:t>[</w:t>
      </w:r>
      <w:r w:rsidR="00BE0A56" w:rsidRPr="004676F5">
        <w:rPr>
          <w:i/>
          <w:lang w:val="de-DE"/>
        </w:rPr>
        <w:t>Art. </w:t>
      </w:r>
      <w:r w:rsidRPr="004676F5">
        <w:rPr>
          <w:i/>
          <w:lang w:val="de-DE"/>
        </w:rPr>
        <w:t xml:space="preserve">XI.267 ersetzt durch </w:t>
      </w:r>
      <w:r w:rsidR="00BE0A56" w:rsidRPr="004676F5">
        <w:rPr>
          <w:i/>
          <w:lang w:val="de-DE"/>
        </w:rPr>
        <w:t>Art. </w:t>
      </w:r>
      <w:r w:rsidRPr="004676F5">
        <w:rPr>
          <w:i/>
          <w:lang w:val="de-DE"/>
        </w:rPr>
        <w:t>72 des G. vom 8. </w:t>
      </w:r>
      <w:r w:rsidRPr="00B14651">
        <w:rPr>
          <w:i/>
          <w:lang w:val="de-DE"/>
        </w:rPr>
        <w:t>Juni 2017 (B.S. vom 27. Juni 2017)]</w:t>
      </w:r>
    </w:p>
    <w:p w14:paraId="23B912A5" w14:textId="77777777" w:rsidR="00CB53D7" w:rsidRPr="00B14651" w:rsidRDefault="00CB53D7" w:rsidP="00CB53D7">
      <w:pPr>
        <w:jc w:val="both"/>
        <w:rPr>
          <w:i/>
          <w:lang w:val="de-DE"/>
        </w:rPr>
      </w:pPr>
    </w:p>
    <w:p w14:paraId="0E0CFEFD" w14:textId="77777777" w:rsidR="00CB53D7" w:rsidRPr="00B14651" w:rsidRDefault="00CB53D7" w:rsidP="00CB53D7">
      <w:pPr>
        <w:jc w:val="both"/>
        <w:rPr>
          <w:i/>
          <w:lang w:val="de-DE"/>
        </w:rPr>
      </w:pPr>
    </w:p>
    <w:p w14:paraId="239EE87C" w14:textId="60713999" w:rsidR="00CB53D7" w:rsidRPr="004676F5" w:rsidRDefault="00CB53D7" w:rsidP="00CB53D7">
      <w:pPr>
        <w:jc w:val="center"/>
        <w:rPr>
          <w:lang w:val="de-DE"/>
        </w:rPr>
      </w:pPr>
      <w:r w:rsidRPr="004676F5">
        <w:rPr>
          <w:lang w:val="de-DE"/>
        </w:rPr>
        <w:t>[Unterabschnitt 2 </w:t>
      </w:r>
      <w:r w:rsidR="005B7A5C" w:rsidRPr="004676F5">
        <w:rPr>
          <w:lang w:val="de-DE"/>
        </w:rPr>
        <w:t>- </w:t>
      </w:r>
      <w:r w:rsidRPr="004676F5">
        <w:rPr>
          <w:lang w:val="de-DE"/>
        </w:rPr>
        <w:t>Informationen an Rechtsinhaber]</w:t>
      </w:r>
    </w:p>
    <w:p w14:paraId="224995D8" w14:textId="77777777" w:rsidR="00CB53D7" w:rsidRPr="004676F5" w:rsidRDefault="00CB53D7" w:rsidP="00CB53D7">
      <w:pPr>
        <w:jc w:val="center"/>
        <w:rPr>
          <w:lang w:val="de-DE"/>
        </w:rPr>
      </w:pPr>
    </w:p>
    <w:p w14:paraId="7C064D2B" w14:textId="17B34DBA" w:rsidR="00CB53D7" w:rsidRPr="004676F5" w:rsidRDefault="00CB53D7" w:rsidP="00CB53D7">
      <w:pPr>
        <w:jc w:val="both"/>
        <w:rPr>
          <w:i/>
          <w:lang w:val="de-DE"/>
        </w:rPr>
      </w:pPr>
      <w:r w:rsidRPr="004676F5">
        <w:rPr>
          <w:i/>
          <w:lang w:val="de-DE"/>
        </w:rPr>
        <w:t xml:space="preserve">[Unterteilung Unterabschnitt 2 eingefügt durch </w:t>
      </w:r>
      <w:r w:rsidR="00BE0A56" w:rsidRPr="004676F5">
        <w:rPr>
          <w:i/>
          <w:lang w:val="de-DE"/>
        </w:rPr>
        <w:t>Art. </w:t>
      </w:r>
      <w:r w:rsidRPr="004676F5">
        <w:rPr>
          <w:i/>
          <w:lang w:val="de-DE"/>
        </w:rPr>
        <w:t>73 des G. vom 8. Juni 2017 (B.S. vom 27. Juni 2017)]</w:t>
      </w:r>
    </w:p>
    <w:p w14:paraId="18CB5253" w14:textId="77777777" w:rsidR="001527B1" w:rsidRPr="004676F5" w:rsidRDefault="001527B1" w:rsidP="001527B1">
      <w:pPr>
        <w:ind w:firstLine="708"/>
        <w:jc w:val="both"/>
        <w:rPr>
          <w:lang w:val="de-DE"/>
        </w:rPr>
      </w:pPr>
    </w:p>
    <w:p w14:paraId="4B21FC9D" w14:textId="77777777" w:rsidR="00355502" w:rsidRPr="004676F5" w:rsidRDefault="00355502" w:rsidP="001527B1">
      <w:pPr>
        <w:ind w:firstLine="708"/>
        <w:jc w:val="both"/>
        <w:rPr>
          <w:lang w:val="de-DE"/>
        </w:rPr>
      </w:pPr>
    </w:p>
    <w:p w14:paraId="71E4F14B" w14:textId="229D537D" w:rsidR="004D7E5A" w:rsidRPr="004676F5" w:rsidRDefault="00BE0A56" w:rsidP="004D7E5A">
      <w:pPr>
        <w:ind w:firstLine="708"/>
        <w:jc w:val="both"/>
        <w:rPr>
          <w:lang w:val="de-DE"/>
        </w:rPr>
      </w:pPr>
      <w:r w:rsidRPr="004676F5">
        <w:rPr>
          <w:b/>
          <w:lang w:val="de-DE"/>
        </w:rPr>
        <w:t>Art. </w:t>
      </w:r>
      <w:r w:rsidR="001527B1" w:rsidRPr="004676F5">
        <w:rPr>
          <w:b/>
          <w:lang w:val="de-DE"/>
        </w:rPr>
        <w:t>XI.268</w:t>
      </w:r>
      <w:r w:rsidR="001527B1" w:rsidRPr="004676F5">
        <w:rPr>
          <w:lang w:val="de-DE"/>
        </w:rPr>
        <w:t> </w:t>
      </w:r>
      <w:r w:rsidR="005B7A5C" w:rsidRPr="004676F5">
        <w:rPr>
          <w:lang w:val="de-DE"/>
        </w:rPr>
        <w:t>- </w:t>
      </w:r>
      <w:r w:rsidR="004D7E5A" w:rsidRPr="004676F5">
        <w:rPr>
          <w:lang w:val="de-DE"/>
        </w:rPr>
        <w:t>[Unbeschadet der Informationen, die aufgrund der Gesetze und der Satzung mitgeteilt werden müssen, kann ein Gesellschafter oder sein Bevollmächtigter innerhalb eines Monats ab dem Tag seines Antrags eine Abschrift der Unterlagen der letzten drei Jahre erhalten, die Folgendes betreffen:</w:t>
      </w:r>
    </w:p>
    <w:p w14:paraId="7709B76A" w14:textId="77777777" w:rsidR="004D7E5A" w:rsidRPr="004676F5" w:rsidRDefault="004D7E5A" w:rsidP="004D7E5A">
      <w:pPr>
        <w:jc w:val="both"/>
        <w:rPr>
          <w:lang w:val="de-DE"/>
        </w:rPr>
      </w:pPr>
    </w:p>
    <w:p w14:paraId="4ACE505F" w14:textId="77777777" w:rsidR="004D7E5A" w:rsidRPr="004676F5" w:rsidRDefault="004D7E5A" w:rsidP="004D7E5A">
      <w:pPr>
        <w:jc w:val="both"/>
        <w:rPr>
          <w:lang w:val="de-DE"/>
        </w:rPr>
      </w:pPr>
      <w:r w:rsidRPr="004676F5">
        <w:rPr>
          <w:lang w:val="de-DE"/>
        </w:rPr>
        <w:tab/>
        <w:t>1. von der Generalversammlung gebilligten Jahresabschluss und Finanzstruktur der Gesellschaft,</w:t>
      </w:r>
    </w:p>
    <w:p w14:paraId="67EE37E2" w14:textId="77777777" w:rsidR="004D7E5A" w:rsidRPr="004676F5" w:rsidRDefault="004D7E5A" w:rsidP="004D7E5A">
      <w:pPr>
        <w:jc w:val="both"/>
        <w:rPr>
          <w:lang w:val="de-DE"/>
        </w:rPr>
      </w:pPr>
    </w:p>
    <w:p w14:paraId="38E2BE1B" w14:textId="77777777" w:rsidR="004D7E5A" w:rsidRPr="004676F5" w:rsidRDefault="004D7E5A" w:rsidP="004D7E5A">
      <w:pPr>
        <w:jc w:val="both"/>
        <w:rPr>
          <w:lang w:val="de-DE"/>
        </w:rPr>
      </w:pPr>
      <w:r w:rsidRPr="004676F5">
        <w:rPr>
          <w:lang w:val="de-DE"/>
        </w:rPr>
        <w:tab/>
        <w:t>2. aktualisierte Liste der Verwalter,</w:t>
      </w:r>
    </w:p>
    <w:p w14:paraId="6DA3E5F3" w14:textId="77777777" w:rsidR="004D7E5A" w:rsidRPr="004676F5" w:rsidRDefault="004D7E5A" w:rsidP="004D7E5A">
      <w:pPr>
        <w:jc w:val="both"/>
        <w:rPr>
          <w:lang w:val="de-DE"/>
        </w:rPr>
      </w:pPr>
    </w:p>
    <w:p w14:paraId="43B99ACE" w14:textId="77777777" w:rsidR="004D7E5A" w:rsidRPr="004676F5" w:rsidRDefault="004D7E5A" w:rsidP="004D7E5A">
      <w:pPr>
        <w:jc w:val="both"/>
        <w:rPr>
          <w:lang w:val="de-DE"/>
        </w:rPr>
      </w:pPr>
      <w:r w:rsidRPr="004676F5">
        <w:rPr>
          <w:lang w:val="de-DE"/>
        </w:rPr>
        <w:tab/>
        <w:t>3. Berichte des Verwaltungsrats und des Kommissar-Revisors an die General</w:t>
      </w:r>
      <w:r w:rsidRPr="004676F5">
        <w:rPr>
          <w:lang w:val="de-DE"/>
        </w:rPr>
        <w:softHyphen/>
        <w:t>versam</w:t>
      </w:r>
      <w:r w:rsidRPr="004676F5">
        <w:rPr>
          <w:lang w:val="de-DE"/>
        </w:rPr>
        <w:softHyphen/>
        <w:t>mlung,</w:t>
      </w:r>
    </w:p>
    <w:p w14:paraId="4274B0AB" w14:textId="77777777" w:rsidR="004D7E5A" w:rsidRPr="004676F5" w:rsidRDefault="004D7E5A" w:rsidP="004D7E5A">
      <w:pPr>
        <w:jc w:val="both"/>
        <w:rPr>
          <w:lang w:val="de-DE"/>
        </w:rPr>
      </w:pPr>
    </w:p>
    <w:p w14:paraId="11AA762D" w14:textId="77777777" w:rsidR="004D7E5A" w:rsidRPr="004676F5" w:rsidRDefault="004D7E5A" w:rsidP="004D7E5A">
      <w:pPr>
        <w:jc w:val="both"/>
        <w:rPr>
          <w:lang w:val="de-DE"/>
        </w:rPr>
      </w:pPr>
      <w:r w:rsidRPr="004676F5">
        <w:rPr>
          <w:lang w:val="de-DE"/>
        </w:rPr>
        <w:tab/>
        <w:t>4. Text und Begründung der der Generalversammlung vorgeschlagenen Beschlüsse und jegliche Auskünfte über Kandidaten für den Verwaltungsrat,</w:t>
      </w:r>
    </w:p>
    <w:p w14:paraId="53845EF5" w14:textId="77777777" w:rsidR="004D7E5A" w:rsidRPr="004676F5" w:rsidRDefault="004D7E5A" w:rsidP="004D7E5A">
      <w:pPr>
        <w:jc w:val="both"/>
        <w:rPr>
          <w:lang w:val="de-DE"/>
        </w:rPr>
      </w:pPr>
    </w:p>
    <w:p w14:paraId="183BC934" w14:textId="77777777" w:rsidR="004D7E5A" w:rsidRPr="004676F5" w:rsidRDefault="004D7E5A" w:rsidP="004D7E5A">
      <w:pPr>
        <w:jc w:val="both"/>
        <w:rPr>
          <w:lang w:val="de-DE"/>
        </w:rPr>
      </w:pPr>
      <w:r w:rsidRPr="004676F5">
        <w:rPr>
          <w:lang w:val="de-DE"/>
        </w:rPr>
        <w:tab/>
        <w:t>5. vom Kommissar-Revisor für richtig bescheinigten Gesamtbetrag der Vergütungen, pauschalen Kosten und Vorteile gleich welcher Art, die den Verwaltern gezahlt worden sind,</w:t>
      </w:r>
    </w:p>
    <w:p w14:paraId="48A28E75" w14:textId="77777777" w:rsidR="004D7E5A" w:rsidRPr="004676F5" w:rsidRDefault="004D7E5A" w:rsidP="004D7E5A">
      <w:pPr>
        <w:jc w:val="both"/>
        <w:rPr>
          <w:lang w:val="de-DE"/>
        </w:rPr>
      </w:pPr>
    </w:p>
    <w:p w14:paraId="1F3FEBAF" w14:textId="77777777" w:rsidR="004D7E5A" w:rsidRPr="004676F5" w:rsidRDefault="004D7E5A" w:rsidP="004D7E5A">
      <w:pPr>
        <w:jc w:val="both"/>
        <w:rPr>
          <w:lang w:val="de-DE"/>
        </w:rPr>
      </w:pPr>
      <w:r w:rsidRPr="004676F5">
        <w:rPr>
          <w:lang w:val="de-DE"/>
        </w:rPr>
        <w:tab/>
        <w:t>6. aktualisierte Tarife der Gesellschaft,</w:t>
      </w:r>
    </w:p>
    <w:p w14:paraId="72414F7E" w14:textId="77777777" w:rsidR="004D7E5A" w:rsidRPr="004676F5" w:rsidRDefault="004D7E5A" w:rsidP="004D7E5A">
      <w:pPr>
        <w:jc w:val="both"/>
        <w:rPr>
          <w:lang w:val="de-DE"/>
        </w:rPr>
      </w:pPr>
    </w:p>
    <w:p w14:paraId="4E939A72" w14:textId="77777777" w:rsidR="001527B1" w:rsidRPr="004676F5" w:rsidRDefault="004D7E5A" w:rsidP="004D7E5A">
      <w:pPr>
        <w:ind w:firstLine="708"/>
        <w:jc w:val="both"/>
        <w:rPr>
          <w:lang w:val="de-DE"/>
        </w:rPr>
      </w:pPr>
      <w:r w:rsidRPr="004676F5">
        <w:rPr>
          <w:lang w:val="de-DE"/>
        </w:rPr>
        <w:t>7. Bestimmung der Beträge, die gemäß den Artikeln XI.178 § 3 und XI.254 verteilt werden mussten.]</w:t>
      </w:r>
    </w:p>
    <w:p w14:paraId="0F98E30E" w14:textId="77777777" w:rsidR="004D7E5A" w:rsidRPr="004676F5" w:rsidRDefault="004D7E5A" w:rsidP="004D7E5A">
      <w:pPr>
        <w:ind w:firstLine="708"/>
        <w:jc w:val="both"/>
        <w:rPr>
          <w:lang w:val="de-DE"/>
        </w:rPr>
      </w:pPr>
    </w:p>
    <w:p w14:paraId="774B492E" w14:textId="0CC44FF6" w:rsidR="004D7E5A" w:rsidRPr="00B14651" w:rsidRDefault="004D7E5A" w:rsidP="004D7E5A">
      <w:pPr>
        <w:jc w:val="both"/>
        <w:rPr>
          <w:i/>
          <w:lang w:val="de-DE"/>
        </w:rPr>
      </w:pPr>
      <w:r w:rsidRPr="004676F5">
        <w:rPr>
          <w:i/>
          <w:lang w:val="de-DE"/>
        </w:rPr>
        <w:t>[</w:t>
      </w:r>
      <w:r w:rsidR="00BE0A56" w:rsidRPr="004676F5">
        <w:rPr>
          <w:i/>
          <w:lang w:val="de-DE"/>
        </w:rPr>
        <w:t>Art. </w:t>
      </w:r>
      <w:r w:rsidRPr="004676F5">
        <w:rPr>
          <w:i/>
          <w:lang w:val="de-DE"/>
        </w:rPr>
        <w:t xml:space="preserve">XI.268 ersetzt durch </w:t>
      </w:r>
      <w:r w:rsidR="00BE0A56" w:rsidRPr="004676F5">
        <w:rPr>
          <w:i/>
          <w:lang w:val="de-DE"/>
        </w:rPr>
        <w:t>Art. </w:t>
      </w:r>
      <w:r w:rsidRPr="004676F5">
        <w:rPr>
          <w:i/>
          <w:lang w:val="de-DE"/>
        </w:rPr>
        <w:t>74 des G. vom 8. </w:t>
      </w:r>
      <w:r w:rsidRPr="00B14651">
        <w:rPr>
          <w:i/>
          <w:lang w:val="de-DE"/>
        </w:rPr>
        <w:t>Juni 2017 (B.S. vom 27. Juni 2017)]</w:t>
      </w:r>
    </w:p>
    <w:p w14:paraId="1E43534A" w14:textId="77777777" w:rsidR="001527B1" w:rsidRPr="00B14651" w:rsidRDefault="001527B1" w:rsidP="001527B1">
      <w:pPr>
        <w:ind w:firstLine="708"/>
        <w:jc w:val="both"/>
        <w:rPr>
          <w:lang w:val="de-DE"/>
        </w:rPr>
      </w:pPr>
    </w:p>
    <w:p w14:paraId="17DEEED0" w14:textId="77777777" w:rsidR="00355502" w:rsidRPr="00B14651" w:rsidRDefault="00355502" w:rsidP="001527B1">
      <w:pPr>
        <w:ind w:firstLine="708"/>
        <w:jc w:val="both"/>
        <w:rPr>
          <w:lang w:val="de-DE"/>
        </w:rPr>
      </w:pPr>
    </w:p>
    <w:p w14:paraId="5E7C6C7D" w14:textId="77777777" w:rsidR="00807D61" w:rsidRPr="00B14651" w:rsidRDefault="00807D61">
      <w:pPr>
        <w:rPr>
          <w:b/>
          <w:lang w:val="de-DE"/>
        </w:rPr>
      </w:pPr>
      <w:r w:rsidRPr="00B14651">
        <w:rPr>
          <w:b/>
          <w:lang w:val="de-DE"/>
        </w:rPr>
        <w:br w:type="page"/>
      </w:r>
    </w:p>
    <w:p w14:paraId="665AE9D3" w14:textId="59AA1FDA" w:rsidR="004D7E5A" w:rsidRPr="004676F5" w:rsidRDefault="00BE0A56" w:rsidP="004D7E5A">
      <w:pPr>
        <w:ind w:firstLine="708"/>
        <w:jc w:val="both"/>
        <w:rPr>
          <w:lang w:val="de-DE"/>
        </w:rPr>
      </w:pPr>
      <w:r w:rsidRPr="004676F5">
        <w:rPr>
          <w:b/>
          <w:lang w:val="de-DE"/>
        </w:rPr>
        <w:lastRenderedPageBreak/>
        <w:t>Art. </w:t>
      </w:r>
      <w:r w:rsidR="001527B1" w:rsidRPr="004676F5">
        <w:rPr>
          <w:b/>
          <w:lang w:val="de-DE"/>
        </w:rPr>
        <w:t>XI.269</w:t>
      </w:r>
      <w:r w:rsidR="001527B1" w:rsidRPr="004676F5">
        <w:rPr>
          <w:lang w:val="de-DE"/>
        </w:rPr>
        <w:t> </w:t>
      </w:r>
      <w:r w:rsidR="005B7A5C" w:rsidRPr="004676F5">
        <w:rPr>
          <w:lang w:val="de-DE"/>
        </w:rPr>
        <w:t>- </w:t>
      </w:r>
      <w:r w:rsidR="004D7E5A" w:rsidRPr="004676F5">
        <w:rPr>
          <w:lang w:val="de-DE"/>
        </w:rPr>
        <w:t>[§ 1 </w:t>
      </w:r>
      <w:r w:rsidR="005B7A5C" w:rsidRPr="004676F5">
        <w:rPr>
          <w:lang w:val="de-DE"/>
        </w:rPr>
        <w:t>- </w:t>
      </w:r>
      <w:r w:rsidR="004D7E5A" w:rsidRPr="004676F5">
        <w:rPr>
          <w:lang w:val="de-DE"/>
        </w:rPr>
        <w:t>Verwertungsgesellschaften stellen Rechtsinhabern, denen sie im Berichtszeitraum Einnahmen aus den Rechten zugewiesen oder ausgeschüttet haben, mindestens einmal jährlich mindestens folgende Informationen zur Verfügung:</w:t>
      </w:r>
    </w:p>
    <w:p w14:paraId="48C92B81" w14:textId="77777777" w:rsidR="004D7E5A" w:rsidRPr="004676F5" w:rsidRDefault="004D7E5A" w:rsidP="004D7E5A">
      <w:pPr>
        <w:jc w:val="both"/>
        <w:rPr>
          <w:lang w:val="de-DE"/>
        </w:rPr>
      </w:pPr>
    </w:p>
    <w:p w14:paraId="6896C442" w14:textId="77777777" w:rsidR="004D7E5A" w:rsidRPr="004676F5" w:rsidRDefault="004D7E5A" w:rsidP="004D7E5A">
      <w:pPr>
        <w:jc w:val="both"/>
        <w:rPr>
          <w:lang w:val="de-DE"/>
        </w:rPr>
      </w:pPr>
      <w:r w:rsidRPr="004676F5">
        <w:rPr>
          <w:lang w:val="de-DE"/>
        </w:rPr>
        <w:tab/>
        <w:t>1. Kontaktdaten, die von der Verwertungsgesellschaft mit Genehmigung des Rechtsinhabers dazu verwendet werden können, den Rechtsinhaber zu ermitteln und ausfindig zu machen,</w:t>
      </w:r>
    </w:p>
    <w:p w14:paraId="7AF4145B" w14:textId="77777777" w:rsidR="004D7E5A" w:rsidRPr="004676F5" w:rsidRDefault="004D7E5A" w:rsidP="004D7E5A">
      <w:pPr>
        <w:jc w:val="both"/>
        <w:rPr>
          <w:lang w:val="de-DE"/>
        </w:rPr>
      </w:pPr>
    </w:p>
    <w:p w14:paraId="00BDD4FC" w14:textId="77777777" w:rsidR="004D7E5A" w:rsidRPr="004676F5" w:rsidRDefault="004D7E5A" w:rsidP="004D7E5A">
      <w:pPr>
        <w:jc w:val="both"/>
        <w:rPr>
          <w:lang w:val="de-DE"/>
        </w:rPr>
      </w:pPr>
      <w:r w:rsidRPr="004676F5">
        <w:rPr>
          <w:lang w:val="de-DE"/>
        </w:rPr>
        <w:tab/>
        <w:t>2. dem Rechtsinhaber zugewiesene Einnahmen aus den Rechten,</w:t>
      </w:r>
    </w:p>
    <w:p w14:paraId="0DA066A5" w14:textId="77777777" w:rsidR="004D7E5A" w:rsidRPr="004676F5" w:rsidRDefault="004D7E5A" w:rsidP="004D7E5A">
      <w:pPr>
        <w:jc w:val="both"/>
        <w:rPr>
          <w:lang w:val="de-DE"/>
        </w:rPr>
      </w:pPr>
    </w:p>
    <w:p w14:paraId="5D8E8A07" w14:textId="77777777" w:rsidR="004D7E5A" w:rsidRPr="004676F5" w:rsidRDefault="004D7E5A" w:rsidP="004D7E5A">
      <w:pPr>
        <w:jc w:val="both"/>
        <w:rPr>
          <w:lang w:val="de-DE"/>
        </w:rPr>
      </w:pPr>
      <w:r w:rsidRPr="004676F5">
        <w:rPr>
          <w:lang w:val="de-DE"/>
        </w:rPr>
        <w:tab/>
        <w:t>3. dem Rechtsinhaber von der Verwertungsgesellschaft ausgeschüttete Beträge nach Kategorien der wahrgenommenen Rechte und Nutzungsarten,</w:t>
      </w:r>
    </w:p>
    <w:p w14:paraId="40521BD4" w14:textId="77777777" w:rsidR="004D7E5A" w:rsidRPr="004676F5" w:rsidRDefault="004D7E5A" w:rsidP="004D7E5A">
      <w:pPr>
        <w:jc w:val="both"/>
        <w:rPr>
          <w:lang w:val="de-DE"/>
        </w:rPr>
      </w:pPr>
    </w:p>
    <w:p w14:paraId="290257C1" w14:textId="77777777" w:rsidR="004D7E5A" w:rsidRPr="004676F5" w:rsidRDefault="004D7E5A" w:rsidP="004D7E5A">
      <w:pPr>
        <w:jc w:val="both"/>
        <w:rPr>
          <w:lang w:val="de-DE"/>
        </w:rPr>
      </w:pPr>
      <w:r w:rsidRPr="004676F5">
        <w:rPr>
          <w:lang w:val="de-DE"/>
        </w:rPr>
        <w:tab/>
        <w:t>4. Zeitraum, in dem die Nutzungen, für die dem Rechtsinhaber Vergütungen zugewiesen und ausgeschüttet wurden, stattgefunden haben, sofern nicht objektive Gründe im Zusammenhang mit Meldungen von Nutzern die Verwertungsgesellschaft daran hindern, diese Angaben zur Verfügung zu stellen,</w:t>
      </w:r>
    </w:p>
    <w:p w14:paraId="59ED4261" w14:textId="77777777" w:rsidR="004D7E5A" w:rsidRPr="004676F5" w:rsidRDefault="004D7E5A" w:rsidP="004D7E5A">
      <w:pPr>
        <w:jc w:val="both"/>
        <w:rPr>
          <w:lang w:val="de-DE"/>
        </w:rPr>
      </w:pPr>
    </w:p>
    <w:p w14:paraId="7E187713" w14:textId="77777777" w:rsidR="004D7E5A" w:rsidRPr="004676F5" w:rsidRDefault="004D7E5A" w:rsidP="004D7E5A">
      <w:pPr>
        <w:jc w:val="both"/>
        <w:rPr>
          <w:lang w:val="de-DE"/>
        </w:rPr>
      </w:pPr>
      <w:r w:rsidRPr="004676F5">
        <w:rPr>
          <w:lang w:val="de-DE"/>
        </w:rPr>
        <w:tab/>
        <w:t>5. für Verwaltungskosten vorgenommene Abzüge,</w:t>
      </w:r>
    </w:p>
    <w:p w14:paraId="0B9D0D11" w14:textId="77777777" w:rsidR="004D7E5A" w:rsidRPr="004676F5" w:rsidRDefault="004D7E5A" w:rsidP="004D7E5A">
      <w:pPr>
        <w:jc w:val="both"/>
        <w:rPr>
          <w:lang w:val="de-DE"/>
        </w:rPr>
      </w:pPr>
    </w:p>
    <w:p w14:paraId="230AEDB7" w14:textId="77777777" w:rsidR="004D7E5A" w:rsidRPr="004676F5" w:rsidRDefault="004D7E5A" w:rsidP="004D7E5A">
      <w:pPr>
        <w:jc w:val="both"/>
        <w:rPr>
          <w:lang w:val="de-DE"/>
        </w:rPr>
      </w:pPr>
      <w:r w:rsidRPr="004676F5">
        <w:rPr>
          <w:lang w:val="de-DE"/>
        </w:rPr>
        <w:tab/>
        <w:t>6. für andere Zwecke als Verwaltungskosten vorgenommene Abzüge einschließlich der in Artikel XI.258 erwähnten Abzüge zu sozialen, kulturellen oder erzieherischen Zwecken,</w:t>
      </w:r>
    </w:p>
    <w:p w14:paraId="754E4338" w14:textId="77777777" w:rsidR="004D7E5A" w:rsidRPr="004676F5" w:rsidRDefault="004D7E5A" w:rsidP="004D7E5A">
      <w:pPr>
        <w:jc w:val="both"/>
        <w:rPr>
          <w:lang w:val="de-DE"/>
        </w:rPr>
      </w:pPr>
    </w:p>
    <w:p w14:paraId="5675AEF5" w14:textId="77777777" w:rsidR="004D7E5A" w:rsidRPr="004676F5" w:rsidRDefault="004D7E5A" w:rsidP="004D7E5A">
      <w:pPr>
        <w:jc w:val="both"/>
        <w:rPr>
          <w:lang w:val="de-DE"/>
        </w:rPr>
      </w:pPr>
      <w:r w:rsidRPr="004676F5">
        <w:rPr>
          <w:lang w:val="de-DE"/>
        </w:rPr>
        <w:tab/>
        <w:t>7. dem Rechtsinhaber zugewiesene, noch ausstehende Einnahmen aus den Rechten, für jedweden Zeitraum,</w:t>
      </w:r>
    </w:p>
    <w:p w14:paraId="7BC5D154" w14:textId="77777777" w:rsidR="004D7E5A" w:rsidRPr="004676F5" w:rsidRDefault="004D7E5A" w:rsidP="004D7E5A">
      <w:pPr>
        <w:jc w:val="both"/>
        <w:rPr>
          <w:lang w:val="de-DE"/>
        </w:rPr>
      </w:pPr>
    </w:p>
    <w:p w14:paraId="6EFC8C08" w14:textId="77777777" w:rsidR="004D7E5A" w:rsidRPr="004676F5" w:rsidRDefault="004D7E5A" w:rsidP="004D7E5A">
      <w:pPr>
        <w:jc w:val="both"/>
        <w:rPr>
          <w:lang w:val="de-DE"/>
        </w:rPr>
      </w:pPr>
      <w:r w:rsidRPr="004676F5">
        <w:rPr>
          <w:lang w:val="de-DE"/>
        </w:rPr>
        <w:tab/>
        <w:t>8. zusätzliche Informationen, die unbeschadet anderer Gesetzesbestimmungen gegebe</w:t>
      </w:r>
      <w:r w:rsidRPr="004676F5">
        <w:rPr>
          <w:lang w:val="de-DE"/>
        </w:rPr>
        <w:softHyphen/>
        <w:t>nen</w:t>
      </w:r>
      <w:r w:rsidRPr="004676F5">
        <w:rPr>
          <w:lang w:val="de-DE"/>
        </w:rPr>
        <w:softHyphen/>
        <w:t>falls vom König nach Konzertierung mit der Kommission für Buchführungsnormen, dem Institut der Betriebsrevisoren und den Verwertungsgesellschaften, die in dem durch Artikel XI.282 eingesetzten Konzertierungsausschuss vertreten sind, festgelegt werden.</w:t>
      </w:r>
    </w:p>
    <w:p w14:paraId="69950D4F" w14:textId="77777777" w:rsidR="004D7E5A" w:rsidRPr="004676F5" w:rsidRDefault="004D7E5A" w:rsidP="004D7E5A">
      <w:pPr>
        <w:jc w:val="both"/>
        <w:rPr>
          <w:lang w:val="de-DE"/>
        </w:rPr>
      </w:pPr>
    </w:p>
    <w:p w14:paraId="162C7A06" w14:textId="60B325EF" w:rsidR="001527B1" w:rsidRPr="004676F5" w:rsidRDefault="004D7E5A" w:rsidP="004D7E5A">
      <w:pPr>
        <w:ind w:firstLine="708"/>
        <w:jc w:val="both"/>
        <w:rPr>
          <w:lang w:val="de-DE"/>
        </w:rPr>
      </w:pPr>
      <w:r w:rsidRPr="004676F5">
        <w:rPr>
          <w:lang w:val="de-DE"/>
        </w:rPr>
        <w:t>§ 2 </w:t>
      </w:r>
      <w:r w:rsidR="005B7A5C" w:rsidRPr="004676F5">
        <w:rPr>
          <w:lang w:val="de-DE"/>
        </w:rPr>
        <w:t>- </w:t>
      </w:r>
      <w:r w:rsidRPr="004676F5">
        <w:rPr>
          <w:lang w:val="de-DE"/>
        </w:rPr>
        <w:t>Weist eine Verwertungsgesellschaft Einnahmen aus Rechten zu und zählen zu ihren Gesellschaftern Einrichtungen, die für die Verteilung von Einnahmen aus Rechten an Rechtsinhaber verantwortlich sind, so stellt sie diesen Einrichtungen die in § 1 genannten Informationen zur Verfügung, sofern sie nicht selbst darüber verfügen. Mindestens einmal im Jahr stellen die Einrichtungen Rechtsinhabern, denen sie in dem Zeitraum, auf den sich die Informationen beziehen, Einnahmen aus Rechten zugewiesen oder ausgeschüttet haben, mindestens die in § 1 genannten Informationen zur Verfügung.]</w:t>
      </w:r>
    </w:p>
    <w:p w14:paraId="4352085A" w14:textId="77777777" w:rsidR="001527B1" w:rsidRPr="004676F5" w:rsidRDefault="001527B1" w:rsidP="001527B1">
      <w:pPr>
        <w:ind w:firstLine="708"/>
        <w:jc w:val="both"/>
        <w:rPr>
          <w:lang w:val="de-DE"/>
        </w:rPr>
      </w:pPr>
    </w:p>
    <w:p w14:paraId="3D174C2C" w14:textId="5E13EC2B" w:rsidR="004D7E5A" w:rsidRPr="00B14651" w:rsidRDefault="004D7E5A" w:rsidP="004D7E5A">
      <w:pPr>
        <w:jc w:val="both"/>
        <w:rPr>
          <w:i/>
          <w:lang w:val="de-DE"/>
        </w:rPr>
      </w:pPr>
      <w:r w:rsidRPr="004676F5">
        <w:rPr>
          <w:i/>
          <w:lang w:val="de-DE"/>
        </w:rPr>
        <w:t>[</w:t>
      </w:r>
      <w:r w:rsidR="00BE0A56" w:rsidRPr="004676F5">
        <w:rPr>
          <w:i/>
          <w:lang w:val="de-DE"/>
        </w:rPr>
        <w:t>Art. </w:t>
      </w:r>
      <w:r w:rsidRPr="004676F5">
        <w:rPr>
          <w:i/>
          <w:lang w:val="de-DE"/>
        </w:rPr>
        <w:t xml:space="preserve">XI.269 ersetzt durch </w:t>
      </w:r>
      <w:r w:rsidR="00BE0A56" w:rsidRPr="004676F5">
        <w:rPr>
          <w:i/>
          <w:lang w:val="de-DE"/>
        </w:rPr>
        <w:t>Art. </w:t>
      </w:r>
      <w:r w:rsidRPr="004676F5">
        <w:rPr>
          <w:i/>
          <w:lang w:val="de-DE"/>
        </w:rPr>
        <w:t>75 des G. vom 8. </w:t>
      </w:r>
      <w:r w:rsidRPr="00B14651">
        <w:rPr>
          <w:i/>
          <w:lang w:val="de-DE"/>
        </w:rPr>
        <w:t>Juni 2017 (B.S. vom 27. Juni 2017)]</w:t>
      </w:r>
    </w:p>
    <w:p w14:paraId="41D207E7" w14:textId="77777777" w:rsidR="0065243E" w:rsidRPr="00B14651" w:rsidRDefault="0065243E" w:rsidP="004D7E5A">
      <w:pPr>
        <w:jc w:val="both"/>
        <w:rPr>
          <w:i/>
          <w:lang w:val="de-DE"/>
        </w:rPr>
      </w:pPr>
    </w:p>
    <w:p w14:paraId="3186138B" w14:textId="77777777" w:rsidR="0065243E" w:rsidRPr="00B14651" w:rsidRDefault="0065243E" w:rsidP="004D7E5A">
      <w:pPr>
        <w:jc w:val="both"/>
        <w:rPr>
          <w:lang w:val="de-DE"/>
        </w:rPr>
      </w:pPr>
    </w:p>
    <w:p w14:paraId="7FA8812D" w14:textId="0289F216" w:rsidR="0065243E" w:rsidRPr="004676F5" w:rsidRDefault="0065243E" w:rsidP="0065243E">
      <w:pPr>
        <w:jc w:val="center"/>
        <w:rPr>
          <w:lang w:val="de-DE"/>
        </w:rPr>
      </w:pPr>
      <w:r w:rsidRPr="004676F5">
        <w:rPr>
          <w:lang w:val="de-DE"/>
        </w:rPr>
        <w:t>[Unterabschnitt 3 </w:t>
      </w:r>
      <w:r w:rsidR="005B7A5C" w:rsidRPr="004676F5">
        <w:rPr>
          <w:lang w:val="de-DE"/>
        </w:rPr>
        <w:t>- </w:t>
      </w:r>
      <w:r w:rsidRPr="004676F5">
        <w:rPr>
          <w:lang w:val="de-DE"/>
        </w:rPr>
        <w:t>Informationen im Rahmen von Repräsentationsvereinba</w:t>
      </w:r>
      <w:r w:rsidRPr="004676F5">
        <w:rPr>
          <w:lang w:val="de-DE"/>
        </w:rPr>
        <w:softHyphen/>
        <w:t>rungen]</w:t>
      </w:r>
    </w:p>
    <w:p w14:paraId="7E7098B3" w14:textId="77777777" w:rsidR="0065243E" w:rsidRPr="004676F5" w:rsidRDefault="0065243E" w:rsidP="0065243E">
      <w:pPr>
        <w:jc w:val="center"/>
        <w:rPr>
          <w:lang w:val="de-DE"/>
        </w:rPr>
      </w:pPr>
    </w:p>
    <w:p w14:paraId="409F06E2" w14:textId="75230B89" w:rsidR="004D7E5A" w:rsidRPr="004676F5" w:rsidRDefault="0065243E" w:rsidP="0065243E">
      <w:pPr>
        <w:jc w:val="both"/>
        <w:rPr>
          <w:lang w:val="de-DE"/>
        </w:rPr>
      </w:pPr>
      <w:r w:rsidRPr="004676F5">
        <w:rPr>
          <w:i/>
          <w:lang w:val="de-DE"/>
        </w:rPr>
        <w:t xml:space="preserve">[Unterteilung Unterabschnitt 3 eingefügt durch </w:t>
      </w:r>
      <w:r w:rsidR="00BE0A56" w:rsidRPr="004676F5">
        <w:rPr>
          <w:i/>
          <w:lang w:val="de-DE"/>
        </w:rPr>
        <w:t>Art. </w:t>
      </w:r>
      <w:r w:rsidRPr="004676F5">
        <w:rPr>
          <w:i/>
          <w:lang w:val="de-DE"/>
        </w:rPr>
        <w:t>76 des G. vom 8. Juni 2017 (B.S. vom 27. Juni 2017)]</w:t>
      </w:r>
    </w:p>
    <w:p w14:paraId="2FD7EFAF" w14:textId="77777777" w:rsidR="00355502" w:rsidRPr="004676F5" w:rsidRDefault="00355502" w:rsidP="001527B1">
      <w:pPr>
        <w:ind w:firstLine="708"/>
        <w:jc w:val="both"/>
        <w:rPr>
          <w:lang w:val="de-DE"/>
        </w:rPr>
      </w:pPr>
    </w:p>
    <w:p w14:paraId="0A12CF6A" w14:textId="77777777" w:rsidR="0065243E" w:rsidRPr="004676F5" w:rsidRDefault="0065243E" w:rsidP="001527B1">
      <w:pPr>
        <w:ind w:firstLine="708"/>
        <w:jc w:val="both"/>
        <w:rPr>
          <w:lang w:val="de-DE"/>
        </w:rPr>
      </w:pPr>
    </w:p>
    <w:p w14:paraId="0EABC9E3" w14:textId="30B95530" w:rsidR="0065243E" w:rsidRPr="004676F5" w:rsidRDefault="00BE0A56" w:rsidP="0065243E">
      <w:pPr>
        <w:ind w:firstLine="708"/>
        <w:jc w:val="both"/>
        <w:rPr>
          <w:lang w:val="de-DE"/>
        </w:rPr>
      </w:pPr>
      <w:r w:rsidRPr="004676F5">
        <w:rPr>
          <w:b/>
          <w:lang w:val="de-DE"/>
        </w:rPr>
        <w:t>Art. </w:t>
      </w:r>
      <w:r w:rsidR="001527B1" w:rsidRPr="004676F5">
        <w:rPr>
          <w:b/>
          <w:lang w:val="de-DE"/>
        </w:rPr>
        <w:t>XI.270</w:t>
      </w:r>
      <w:r w:rsidR="001527B1" w:rsidRPr="004676F5">
        <w:rPr>
          <w:lang w:val="de-DE"/>
        </w:rPr>
        <w:t> </w:t>
      </w:r>
      <w:r w:rsidR="005B7A5C" w:rsidRPr="004676F5">
        <w:rPr>
          <w:lang w:val="de-DE"/>
        </w:rPr>
        <w:t>- </w:t>
      </w:r>
      <w:r w:rsidR="0065243E" w:rsidRPr="004676F5">
        <w:rPr>
          <w:lang w:val="de-DE"/>
        </w:rPr>
        <w:t xml:space="preserve">[Verwertungsgesellschaften stellen Verwertungsgesellschaften oder Organisationen für die kollektive Rechtewahrnehmung, für die sie auf der Grundlage einer Repräsentationsvereinbarung für den Zeitraum Rechte wahrnehmen, auf den sich die </w:t>
      </w:r>
      <w:r w:rsidR="0065243E" w:rsidRPr="004676F5">
        <w:rPr>
          <w:lang w:val="de-DE"/>
        </w:rPr>
        <w:lastRenderedPageBreak/>
        <w:t>Informationen beziehen, mindestens einmal jährlich elektronisch mindestens folgende Informationen zur Verfügung:</w:t>
      </w:r>
    </w:p>
    <w:p w14:paraId="6F6CBBAA" w14:textId="77777777" w:rsidR="0065243E" w:rsidRPr="004676F5" w:rsidRDefault="0065243E" w:rsidP="0065243E">
      <w:pPr>
        <w:jc w:val="both"/>
        <w:rPr>
          <w:lang w:val="de-DE"/>
        </w:rPr>
      </w:pPr>
    </w:p>
    <w:p w14:paraId="39685D6C" w14:textId="77777777" w:rsidR="0065243E" w:rsidRPr="004676F5" w:rsidRDefault="0065243E" w:rsidP="0065243E">
      <w:pPr>
        <w:jc w:val="both"/>
        <w:rPr>
          <w:lang w:val="de-DE"/>
        </w:rPr>
      </w:pPr>
      <w:r w:rsidRPr="004676F5">
        <w:rPr>
          <w:lang w:val="de-DE"/>
        </w:rPr>
        <w:tab/>
        <w:t>1. zugewiesene Einnahmen aus Rechten, Beträge, die die Verwertungsgesellschaft für jede Kategorie der wahrgenommenen Rechte und jede Art der Nutzung der Rechte, die sie auf der Grundlage der Repräsentationsvereinbarung wahrnimmt, ausgeschüttet hat, und sonstige zugewiesene, noch ausstehende Einnahmen aus Rechten für jedweden Zeitraum,</w:t>
      </w:r>
    </w:p>
    <w:p w14:paraId="73D4CB07" w14:textId="77777777" w:rsidR="0065243E" w:rsidRPr="004676F5" w:rsidRDefault="0065243E" w:rsidP="0065243E">
      <w:pPr>
        <w:jc w:val="both"/>
        <w:rPr>
          <w:lang w:val="de-DE"/>
        </w:rPr>
      </w:pPr>
    </w:p>
    <w:p w14:paraId="457DC0BB" w14:textId="77777777" w:rsidR="0065243E" w:rsidRPr="004676F5" w:rsidRDefault="0065243E" w:rsidP="0065243E">
      <w:pPr>
        <w:jc w:val="both"/>
        <w:rPr>
          <w:lang w:val="de-DE"/>
        </w:rPr>
      </w:pPr>
      <w:r w:rsidRPr="004676F5">
        <w:rPr>
          <w:lang w:val="de-DE"/>
        </w:rPr>
        <w:tab/>
        <w:t>2. für Verwaltungskosten vorgenommene Abzüge,</w:t>
      </w:r>
    </w:p>
    <w:p w14:paraId="0457A313" w14:textId="77777777" w:rsidR="0065243E" w:rsidRPr="004676F5" w:rsidRDefault="0065243E" w:rsidP="0065243E">
      <w:pPr>
        <w:jc w:val="both"/>
        <w:rPr>
          <w:lang w:val="de-DE"/>
        </w:rPr>
      </w:pPr>
    </w:p>
    <w:p w14:paraId="3117BAEA" w14:textId="77777777" w:rsidR="0065243E" w:rsidRPr="004676F5" w:rsidRDefault="0065243E" w:rsidP="0065243E">
      <w:pPr>
        <w:jc w:val="both"/>
        <w:rPr>
          <w:lang w:val="de-DE"/>
        </w:rPr>
      </w:pPr>
      <w:r w:rsidRPr="004676F5">
        <w:rPr>
          <w:lang w:val="de-DE"/>
        </w:rPr>
        <w:tab/>
        <w:t>3. für andere Zwecke als Verwaltungskosten vorgenommene Abzüge gemäß Arti</w:t>
      </w:r>
      <w:r w:rsidRPr="004676F5">
        <w:rPr>
          <w:lang w:val="de-DE"/>
        </w:rPr>
        <w:softHyphen/>
        <w:t>kel XI.260,</w:t>
      </w:r>
    </w:p>
    <w:p w14:paraId="766A6085" w14:textId="77777777" w:rsidR="0065243E" w:rsidRPr="004676F5" w:rsidRDefault="0065243E" w:rsidP="0065243E">
      <w:pPr>
        <w:jc w:val="both"/>
        <w:rPr>
          <w:lang w:val="de-DE"/>
        </w:rPr>
      </w:pPr>
    </w:p>
    <w:p w14:paraId="6A05D363" w14:textId="77777777" w:rsidR="0065243E" w:rsidRPr="004676F5" w:rsidRDefault="0065243E" w:rsidP="0065243E">
      <w:pPr>
        <w:jc w:val="both"/>
        <w:rPr>
          <w:lang w:val="de-DE"/>
        </w:rPr>
      </w:pPr>
      <w:r w:rsidRPr="004676F5">
        <w:rPr>
          <w:lang w:val="de-DE"/>
        </w:rPr>
        <w:tab/>
        <w:t>4. vergebene und verweigerte Lizenzen in Bezug auf Werke und Leistungen, die unter die Repräsentationsvereinbarung fallen,</w:t>
      </w:r>
    </w:p>
    <w:p w14:paraId="7C8B6D94" w14:textId="77777777" w:rsidR="0065243E" w:rsidRPr="004676F5" w:rsidRDefault="0065243E" w:rsidP="0065243E">
      <w:pPr>
        <w:jc w:val="both"/>
        <w:rPr>
          <w:lang w:val="de-DE"/>
        </w:rPr>
      </w:pPr>
    </w:p>
    <w:p w14:paraId="0BF7C732" w14:textId="77777777" w:rsidR="001527B1" w:rsidRPr="004676F5" w:rsidRDefault="0065243E" w:rsidP="0065243E">
      <w:pPr>
        <w:ind w:firstLine="708"/>
        <w:jc w:val="both"/>
        <w:rPr>
          <w:lang w:val="de-DE"/>
        </w:rPr>
      </w:pPr>
      <w:r w:rsidRPr="004676F5">
        <w:rPr>
          <w:lang w:val="de-DE"/>
        </w:rPr>
        <w:t>5. Beschlüsse der Generalversammlung, sofern sie für die Wahrnehmung der unter die Repräsentationsvereinbarung fallenden Rechte maßgeblich sind.]</w:t>
      </w:r>
    </w:p>
    <w:p w14:paraId="3BA18987" w14:textId="77777777" w:rsidR="0065243E" w:rsidRPr="004676F5" w:rsidRDefault="0065243E" w:rsidP="0065243E">
      <w:pPr>
        <w:ind w:firstLine="708"/>
        <w:jc w:val="both"/>
        <w:rPr>
          <w:lang w:val="de-DE"/>
        </w:rPr>
      </w:pPr>
    </w:p>
    <w:p w14:paraId="3F25DB02" w14:textId="34170B75" w:rsidR="0065243E" w:rsidRPr="00B14651" w:rsidRDefault="0065243E" w:rsidP="0065243E">
      <w:pPr>
        <w:jc w:val="both"/>
        <w:rPr>
          <w:i/>
          <w:lang w:val="de-DE"/>
        </w:rPr>
      </w:pPr>
      <w:r w:rsidRPr="004676F5">
        <w:rPr>
          <w:i/>
          <w:lang w:val="de-DE"/>
        </w:rPr>
        <w:t>[</w:t>
      </w:r>
      <w:r w:rsidR="00BE0A56" w:rsidRPr="004676F5">
        <w:rPr>
          <w:i/>
          <w:lang w:val="de-DE"/>
        </w:rPr>
        <w:t>Art. </w:t>
      </w:r>
      <w:r w:rsidRPr="004676F5">
        <w:rPr>
          <w:i/>
          <w:lang w:val="de-DE"/>
        </w:rPr>
        <w:t xml:space="preserve">XI.270 ersetzt durch </w:t>
      </w:r>
      <w:r w:rsidR="00BE0A56" w:rsidRPr="004676F5">
        <w:rPr>
          <w:i/>
          <w:lang w:val="de-DE"/>
        </w:rPr>
        <w:t>Art. </w:t>
      </w:r>
      <w:r w:rsidRPr="004676F5">
        <w:rPr>
          <w:i/>
          <w:lang w:val="de-DE"/>
        </w:rPr>
        <w:t>77 des G. vom 8. </w:t>
      </w:r>
      <w:r w:rsidRPr="00B14651">
        <w:rPr>
          <w:i/>
          <w:lang w:val="de-DE"/>
        </w:rPr>
        <w:t>Juni 2017 (B.S. vom 27. Juni 2017)]</w:t>
      </w:r>
    </w:p>
    <w:p w14:paraId="2A4FA2D6" w14:textId="77777777" w:rsidR="0065243E" w:rsidRPr="00B14651" w:rsidRDefault="0065243E" w:rsidP="0065243E">
      <w:pPr>
        <w:jc w:val="both"/>
        <w:rPr>
          <w:i/>
          <w:lang w:val="de-DE"/>
        </w:rPr>
      </w:pPr>
    </w:p>
    <w:p w14:paraId="4C26ADAE" w14:textId="77777777" w:rsidR="0065243E" w:rsidRPr="00B14651" w:rsidRDefault="0065243E" w:rsidP="0065243E">
      <w:pPr>
        <w:jc w:val="both"/>
        <w:rPr>
          <w:lang w:val="de-DE"/>
        </w:rPr>
      </w:pPr>
    </w:p>
    <w:p w14:paraId="02E1C00F" w14:textId="68ED32FC" w:rsidR="0065243E" w:rsidRPr="004676F5" w:rsidRDefault="0065243E" w:rsidP="0065243E">
      <w:pPr>
        <w:jc w:val="center"/>
        <w:rPr>
          <w:lang w:val="de-DE"/>
        </w:rPr>
      </w:pPr>
      <w:r w:rsidRPr="004676F5">
        <w:rPr>
          <w:lang w:val="de-DE"/>
        </w:rPr>
        <w:t>[Unterabschnitt 4 </w:t>
      </w:r>
      <w:r w:rsidR="005B7A5C" w:rsidRPr="004676F5">
        <w:rPr>
          <w:lang w:val="de-DE"/>
        </w:rPr>
        <w:t>- </w:t>
      </w:r>
      <w:r w:rsidRPr="004676F5">
        <w:rPr>
          <w:lang w:val="de-DE"/>
        </w:rPr>
        <w:t>Informationen an Nutzer]</w:t>
      </w:r>
    </w:p>
    <w:p w14:paraId="2991BCBE" w14:textId="77777777" w:rsidR="0065243E" w:rsidRPr="004676F5" w:rsidRDefault="0065243E" w:rsidP="0065243E">
      <w:pPr>
        <w:jc w:val="both"/>
        <w:rPr>
          <w:lang w:val="de-DE"/>
        </w:rPr>
      </w:pPr>
    </w:p>
    <w:p w14:paraId="57028ED4" w14:textId="122EC973" w:rsidR="0065243E" w:rsidRPr="004676F5" w:rsidRDefault="0065243E" w:rsidP="0065243E">
      <w:pPr>
        <w:jc w:val="both"/>
        <w:rPr>
          <w:lang w:val="de-DE"/>
        </w:rPr>
      </w:pPr>
      <w:r w:rsidRPr="004676F5">
        <w:rPr>
          <w:i/>
          <w:lang w:val="de-DE"/>
        </w:rPr>
        <w:t xml:space="preserve">[Unterteilung Unterabschnitt 4 eingefügt durch </w:t>
      </w:r>
      <w:r w:rsidR="00BE0A56" w:rsidRPr="004676F5">
        <w:rPr>
          <w:i/>
          <w:lang w:val="de-DE"/>
        </w:rPr>
        <w:t>Art. </w:t>
      </w:r>
      <w:r w:rsidRPr="004676F5">
        <w:rPr>
          <w:i/>
          <w:lang w:val="de-DE"/>
        </w:rPr>
        <w:t>78 des G. vom 8. Juni 2017 (B.S. vom 27. Juni 2017)]</w:t>
      </w:r>
    </w:p>
    <w:p w14:paraId="182E48A3" w14:textId="77777777" w:rsidR="001527B1" w:rsidRPr="004676F5" w:rsidRDefault="001527B1" w:rsidP="001527B1">
      <w:pPr>
        <w:ind w:firstLine="708"/>
        <w:jc w:val="both"/>
        <w:rPr>
          <w:lang w:val="de-DE"/>
        </w:rPr>
      </w:pPr>
    </w:p>
    <w:p w14:paraId="42A56517" w14:textId="77777777" w:rsidR="00355502" w:rsidRPr="004676F5" w:rsidRDefault="00355502" w:rsidP="001527B1">
      <w:pPr>
        <w:ind w:firstLine="708"/>
        <w:jc w:val="both"/>
        <w:rPr>
          <w:lang w:val="de-DE"/>
        </w:rPr>
      </w:pPr>
    </w:p>
    <w:p w14:paraId="5E23EEF5" w14:textId="50FDEF97" w:rsidR="0065243E" w:rsidRPr="004676F5" w:rsidRDefault="00BE0A56" w:rsidP="0065243E">
      <w:pPr>
        <w:ind w:firstLine="708"/>
        <w:jc w:val="both"/>
        <w:rPr>
          <w:lang w:val="de-DE"/>
        </w:rPr>
      </w:pPr>
      <w:r w:rsidRPr="004676F5">
        <w:rPr>
          <w:b/>
          <w:lang w:val="de-DE"/>
        </w:rPr>
        <w:t>Art. </w:t>
      </w:r>
      <w:r w:rsidR="001527B1" w:rsidRPr="004676F5">
        <w:rPr>
          <w:b/>
          <w:lang w:val="de-DE"/>
        </w:rPr>
        <w:t>XI.271</w:t>
      </w:r>
      <w:r w:rsidR="001527B1" w:rsidRPr="004676F5">
        <w:rPr>
          <w:lang w:val="de-DE"/>
        </w:rPr>
        <w:t> </w:t>
      </w:r>
      <w:r w:rsidR="005B7A5C" w:rsidRPr="004676F5">
        <w:rPr>
          <w:lang w:val="de-DE"/>
        </w:rPr>
        <w:t>- </w:t>
      </w:r>
      <w:r w:rsidR="0065243E" w:rsidRPr="004676F5">
        <w:rPr>
          <w:lang w:val="de-DE"/>
        </w:rPr>
        <w:t>[Nach Konzertierung mit den Verwertungsgesellschaften, den Organi</w:t>
      </w:r>
      <w:r w:rsidR="0065243E" w:rsidRPr="004676F5">
        <w:rPr>
          <w:lang w:val="de-DE"/>
        </w:rPr>
        <w:softHyphen/>
        <w:t>sationen, die die Schuldner der Vergütungen vertreten, und den Organisationen, die die Verbraucher vertreten, die in dem durch Artikel XI.282 eingesetzten Konzertierungsausschuss vertreten sind, legt der König Folgendes fest:</w:t>
      </w:r>
    </w:p>
    <w:p w14:paraId="23931169" w14:textId="77777777" w:rsidR="0065243E" w:rsidRPr="004676F5" w:rsidRDefault="0065243E" w:rsidP="0065243E">
      <w:pPr>
        <w:jc w:val="both"/>
        <w:rPr>
          <w:lang w:val="de-DE"/>
        </w:rPr>
      </w:pPr>
    </w:p>
    <w:p w14:paraId="5C0FABE7" w14:textId="77777777" w:rsidR="0065243E" w:rsidRPr="004676F5" w:rsidRDefault="0065243E" w:rsidP="0065243E">
      <w:pPr>
        <w:jc w:val="both"/>
        <w:rPr>
          <w:lang w:val="de-DE"/>
        </w:rPr>
      </w:pPr>
      <w:r w:rsidRPr="004676F5">
        <w:rPr>
          <w:lang w:val="de-DE"/>
        </w:rPr>
        <w:tab/>
        <w:t>1. Mindestinformationen, die Unterlagen über die Einnahme der Vergütungen, die Verwertungsgesellschaften der Öffentlichkeit zur Kenntnis bringen, enthalten müssen, unbeschadet anderer Gesetzesbestimmungen,</w:t>
      </w:r>
    </w:p>
    <w:p w14:paraId="6042B70D" w14:textId="77777777" w:rsidR="0065243E" w:rsidRPr="004676F5" w:rsidRDefault="0065243E" w:rsidP="0065243E">
      <w:pPr>
        <w:jc w:val="both"/>
        <w:rPr>
          <w:lang w:val="de-DE"/>
        </w:rPr>
      </w:pPr>
    </w:p>
    <w:p w14:paraId="7A754A68" w14:textId="77777777" w:rsidR="0065243E" w:rsidRPr="004676F5" w:rsidRDefault="0065243E" w:rsidP="0065243E">
      <w:pPr>
        <w:jc w:val="both"/>
        <w:rPr>
          <w:lang w:val="de-DE"/>
        </w:rPr>
      </w:pPr>
      <w:r w:rsidRPr="004676F5">
        <w:rPr>
          <w:lang w:val="de-DE"/>
        </w:rPr>
        <w:tab/>
        <w:t>2. Mindestinformationen, die von Verwertungsgesellschaften ausgehende Rechnungen enthalten müssen, unbeschadet anderer Gesetzesbestimmungen.</w:t>
      </w:r>
    </w:p>
    <w:p w14:paraId="00B46C13" w14:textId="77777777" w:rsidR="0065243E" w:rsidRPr="004676F5" w:rsidRDefault="0065243E" w:rsidP="0065243E">
      <w:pPr>
        <w:jc w:val="both"/>
        <w:rPr>
          <w:lang w:val="de-DE"/>
        </w:rPr>
      </w:pPr>
    </w:p>
    <w:p w14:paraId="24A2C4C9" w14:textId="77777777" w:rsidR="001527B1" w:rsidRPr="004676F5" w:rsidRDefault="0065243E" w:rsidP="0065243E">
      <w:pPr>
        <w:ind w:firstLine="708"/>
        <w:jc w:val="both"/>
        <w:rPr>
          <w:lang w:val="de-DE"/>
        </w:rPr>
      </w:pPr>
      <w:r w:rsidRPr="004676F5">
        <w:rPr>
          <w:lang w:val="de-DE"/>
        </w:rPr>
        <w:t>Der König kann je nach betreffenden Rechten die in Absatz 1 Nr. 1 und 2 erwähnten Mindestinformationen differenzieren.]</w:t>
      </w:r>
    </w:p>
    <w:p w14:paraId="1364091F" w14:textId="77777777" w:rsidR="00355502" w:rsidRPr="004676F5" w:rsidRDefault="00355502" w:rsidP="001527B1">
      <w:pPr>
        <w:ind w:firstLine="708"/>
        <w:jc w:val="both"/>
        <w:rPr>
          <w:lang w:val="de-DE"/>
        </w:rPr>
      </w:pPr>
    </w:p>
    <w:p w14:paraId="7FBEAEC8" w14:textId="79AEFEFB" w:rsidR="0065243E" w:rsidRPr="00B14651" w:rsidRDefault="0065243E" w:rsidP="0065243E">
      <w:pPr>
        <w:jc w:val="both"/>
        <w:rPr>
          <w:i/>
          <w:lang w:val="de-DE"/>
        </w:rPr>
      </w:pPr>
      <w:r w:rsidRPr="004676F5">
        <w:rPr>
          <w:i/>
          <w:lang w:val="de-DE"/>
        </w:rPr>
        <w:t>[</w:t>
      </w:r>
      <w:r w:rsidR="00BE0A56" w:rsidRPr="004676F5">
        <w:rPr>
          <w:i/>
          <w:lang w:val="de-DE"/>
        </w:rPr>
        <w:t>Art. </w:t>
      </w:r>
      <w:r w:rsidRPr="004676F5">
        <w:rPr>
          <w:i/>
          <w:lang w:val="de-DE"/>
        </w:rPr>
        <w:t xml:space="preserve">XI.271 ersetzt durch </w:t>
      </w:r>
      <w:r w:rsidR="00BE0A56" w:rsidRPr="004676F5">
        <w:rPr>
          <w:i/>
          <w:lang w:val="de-DE"/>
        </w:rPr>
        <w:t>Art. </w:t>
      </w:r>
      <w:r w:rsidRPr="004676F5">
        <w:rPr>
          <w:i/>
          <w:lang w:val="de-DE"/>
        </w:rPr>
        <w:t>79 des G. vom 8. </w:t>
      </w:r>
      <w:r w:rsidRPr="00B14651">
        <w:rPr>
          <w:i/>
          <w:lang w:val="de-DE"/>
        </w:rPr>
        <w:t>Juni 2017 (B.S. vom 27. Juni 2017)]</w:t>
      </w:r>
    </w:p>
    <w:p w14:paraId="51441FE9" w14:textId="77777777" w:rsidR="0065243E" w:rsidRPr="00B14651" w:rsidRDefault="0065243E" w:rsidP="0065243E">
      <w:pPr>
        <w:jc w:val="both"/>
        <w:rPr>
          <w:i/>
          <w:lang w:val="de-DE"/>
        </w:rPr>
      </w:pPr>
    </w:p>
    <w:p w14:paraId="3D89096F" w14:textId="77777777" w:rsidR="0065243E" w:rsidRPr="00B14651" w:rsidRDefault="0065243E" w:rsidP="0065243E">
      <w:pPr>
        <w:jc w:val="both"/>
        <w:rPr>
          <w:i/>
          <w:lang w:val="de-DE"/>
        </w:rPr>
      </w:pPr>
    </w:p>
    <w:p w14:paraId="4D3BAE5B" w14:textId="77777777" w:rsidR="00807D61" w:rsidRPr="00B14651" w:rsidRDefault="00807D61">
      <w:pPr>
        <w:rPr>
          <w:lang w:val="de-DE"/>
        </w:rPr>
      </w:pPr>
      <w:r w:rsidRPr="00B14651">
        <w:rPr>
          <w:lang w:val="de-DE"/>
        </w:rPr>
        <w:br w:type="page"/>
      </w:r>
    </w:p>
    <w:p w14:paraId="059CBA65" w14:textId="1C483F5B" w:rsidR="0065243E" w:rsidRPr="004676F5" w:rsidRDefault="0065243E" w:rsidP="0065243E">
      <w:pPr>
        <w:jc w:val="center"/>
        <w:rPr>
          <w:lang w:val="de-DE"/>
        </w:rPr>
      </w:pPr>
      <w:r w:rsidRPr="004676F5">
        <w:rPr>
          <w:lang w:val="de-DE"/>
        </w:rPr>
        <w:lastRenderedPageBreak/>
        <w:t>[Unterabschnitt 5 </w:t>
      </w:r>
      <w:r w:rsidR="005B7A5C" w:rsidRPr="004676F5">
        <w:rPr>
          <w:lang w:val="de-DE"/>
        </w:rPr>
        <w:t>- </w:t>
      </w:r>
      <w:r w:rsidRPr="004676F5">
        <w:rPr>
          <w:lang w:val="de-DE"/>
        </w:rPr>
        <w:t>Mitteilung an den Kontrolldienst]</w:t>
      </w:r>
    </w:p>
    <w:p w14:paraId="68A7664B" w14:textId="77777777" w:rsidR="0065243E" w:rsidRPr="004676F5" w:rsidRDefault="0065243E" w:rsidP="001527B1">
      <w:pPr>
        <w:ind w:firstLine="708"/>
        <w:jc w:val="both"/>
        <w:rPr>
          <w:lang w:val="de-DE"/>
        </w:rPr>
      </w:pPr>
    </w:p>
    <w:p w14:paraId="790C2E86" w14:textId="3CE92806" w:rsidR="0065243E" w:rsidRPr="004676F5" w:rsidRDefault="0065243E" w:rsidP="0065243E">
      <w:pPr>
        <w:jc w:val="both"/>
        <w:rPr>
          <w:lang w:val="de-DE"/>
        </w:rPr>
      </w:pPr>
      <w:r w:rsidRPr="004676F5">
        <w:rPr>
          <w:i/>
          <w:lang w:val="de-DE"/>
        </w:rPr>
        <w:t>[Unterteilung Unterabschnitt </w:t>
      </w:r>
      <w:r w:rsidR="00807D61" w:rsidRPr="004676F5">
        <w:rPr>
          <w:i/>
          <w:lang w:val="de-DE"/>
        </w:rPr>
        <w:t>5</w:t>
      </w:r>
      <w:r w:rsidRPr="004676F5">
        <w:rPr>
          <w:i/>
          <w:lang w:val="de-DE"/>
        </w:rPr>
        <w:t xml:space="preserve"> eingefügt durch </w:t>
      </w:r>
      <w:r w:rsidR="00BE0A56" w:rsidRPr="004676F5">
        <w:rPr>
          <w:i/>
          <w:lang w:val="de-DE"/>
        </w:rPr>
        <w:t>Art. </w:t>
      </w:r>
      <w:r w:rsidRPr="004676F5">
        <w:rPr>
          <w:i/>
          <w:lang w:val="de-DE"/>
        </w:rPr>
        <w:t>80 des G. vom 8. Juni 2017 (B.S. vom 27. Juni 2017)]</w:t>
      </w:r>
    </w:p>
    <w:p w14:paraId="6361BE5E" w14:textId="77777777" w:rsidR="001527B1" w:rsidRPr="004676F5" w:rsidRDefault="001527B1" w:rsidP="001527B1">
      <w:pPr>
        <w:ind w:firstLine="708"/>
        <w:jc w:val="both"/>
        <w:rPr>
          <w:lang w:val="de-DE"/>
        </w:rPr>
      </w:pPr>
    </w:p>
    <w:p w14:paraId="37D1075F" w14:textId="77777777" w:rsidR="0065243E" w:rsidRPr="004676F5" w:rsidRDefault="0065243E" w:rsidP="001527B1">
      <w:pPr>
        <w:ind w:firstLine="708"/>
        <w:jc w:val="both"/>
        <w:rPr>
          <w:lang w:val="de-DE"/>
        </w:rPr>
      </w:pPr>
    </w:p>
    <w:p w14:paraId="69149E94" w14:textId="7F8366AA" w:rsidR="0065243E" w:rsidRPr="004676F5" w:rsidRDefault="00BE0A56" w:rsidP="0065243E">
      <w:pPr>
        <w:ind w:firstLine="708"/>
        <w:jc w:val="both"/>
        <w:rPr>
          <w:lang w:val="de-DE"/>
        </w:rPr>
      </w:pPr>
      <w:r w:rsidRPr="004676F5">
        <w:rPr>
          <w:b/>
          <w:lang w:val="de-DE"/>
        </w:rPr>
        <w:t>Art. </w:t>
      </w:r>
      <w:r w:rsidR="001527B1" w:rsidRPr="004676F5">
        <w:rPr>
          <w:b/>
          <w:lang w:val="de-DE"/>
        </w:rPr>
        <w:t>XI.272</w:t>
      </w:r>
      <w:r w:rsidR="001527B1" w:rsidRPr="004676F5">
        <w:rPr>
          <w:lang w:val="de-DE"/>
        </w:rPr>
        <w:t> </w:t>
      </w:r>
      <w:r w:rsidR="005B7A5C" w:rsidRPr="004676F5">
        <w:rPr>
          <w:lang w:val="de-DE"/>
        </w:rPr>
        <w:t>- </w:t>
      </w:r>
      <w:r w:rsidR="0065243E" w:rsidRPr="004676F5">
        <w:rPr>
          <w:lang w:val="de-DE"/>
        </w:rPr>
        <w:t>[Ungeachtet gegenteiliger Klauseln übermitteln Verwertungs</w:t>
      </w:r>
      <w:r w:rsidR="0065243E" w:rsidRPr="004676F5">
        <w:rPr>
          <w:lang w:val="de-DE"/>
        </w:rPr>
        <w:softHyphen/>
        <w:t>gesell</w:t>
      </w:r>
      <w:r w:rsidR="0065243E" w:rsidRPr="004676F5">
        <w:rPr>
          <w:lang w:val="de-DE"/>
        </w:rPr>
        <w:softHyphen/>
        <w:t>schaf</w:t>
      </w:r>
      <w:r w:rsidR="0065243E" w:rsidRPr="004676F5">
        <w:rPr>
          <w:lang w:val="de-DE"/>
        </w:rPr>
        <w:softHyphen/>
        <w:t>ten dem Kontrolldienst Vorschläge zur Änderung der Satzung, der Mitgliedschafts</w:t>
      </w:r>
      <w:r w:rsidR="0065243E" w:rsidRPr="004676F5">
        <w:rPr>
          <w:lang w:val="de-DE"/>
        </w:rPr>
        <w:softHyphen/>
        <w:t>bedingungen und der Entgelterhebungs-, Einnahme</w:t>
      </w:r>
      <w:r w:rsidR="005B7A5C" w:rsidRPr="004676F5">
        <w:rPr>
          <w:lang w:val="de-DE"/>
        </w:rPr>
        <w:t>- </w:t>
      </w:r>
      <w:r w:rsidR="0065243E" w:rsidRPr="004676F5">
        <w:rPr>
          <w:lang w:val="de-DE"/>
        </w:rPr>
        <w:t>und Verteilungsregeln mindestens sechzig Tage vor deren Untersuchung durch das zuständige Organ.</w:t>
      </w:r>
    </w:p>
    <w:p w14:paraId="57147027" w14:textId="77777777" w:rsidR="0065243E" w:rsidRPr="004676F5" w:rsidRDefault="0065243E" w:rsidP="0065243E">
      <w:pPr>
        <w:jc w:val="both"/>
        <w:rPr>
          <w:lang w:val="de-DE"/>
        </w:rPr>
      </w:pPr>
    </w:p>
    <w:p w14:paraId="461F6095" w14:textId="77777777" w:rsidR="001527B1" w:rsidRPr="004676F5" w:rsidRDefault="0065243E" w:rsidP="0065243E">
      <w:pPr>
        <w:ind w:firstLine="708"/>
        <w:jc w:val="both"/>
        <w:rPr>
          <w:lang w:val="de-DE"/>
        </w:rPr>
      </w:pPr>
      <w:r w:rsidRPr="004676F5">
        <w:rPr>
          <w:lang w:val="de-DE"/>
        </w:rPr>
        <w:t>Der Kontrolldienst kann verlangen, dass von ihm formulierte Bemerkungen zu diesen Vorschlägen dem zuständigen Organ der Gesellschaft zur Kenntnis gebracht werden. Diese Bemerkungen und diesbezügliche Antworten müssen im Protokoll des zuständigen Organs aufgenommen werden.]</w:t>
      </w:r>
    </w:p>
    <w:p w14:paraId="3CC91ADB" w14:textId="77777777" w:rsidR="0065243E" w:rsidRPr="004676F5" w:rsidRDefault="0065243E" w:rsidP="0065243E">
      <w:pPr>
        <w:ind w:firstLine="708"/>
        <w:jc w:val="both"/>
        <w:rPr>
          <w:lang w:val="de-DE"/>
        </w:rPr>
      </w:pPr>
    </w:p>
    <w:p w14:paraId="0A181E86" w14:textId="1A327F38" w:rsidR="0065243E" w:rsidRPr="00B14651" w:rsidRDefault="0065243E" w:rsidP="0065243E">
      <w:pPr>
        <w:jc w:val="both"/>
        <w:rPr>
          <w:i/>
          <w:lang w:val="de-DE"/>
        </w:rPr>
      </w:pPr>
      <w:r w:rsidRPr="004676F5">
        <w:rPr>
          <w:i/>
          <w:lang w:val="de-DE"/>
        </w:rPr>
        <w:t>[</w:t>
      </w:r>
      <w:r w:rsidR="00BE0A56" w:rsidRPr="004676F5">
        <w:rPr>
          <w:i/>
          <w:lang w:val="de-DE"/>
        </w:rPr>
        <w:t>Art. </w:t>
      </w:r>
      <w:r w:rsidRPr="004676F5">
        <w:rPr>
          <w:i/>
          <w:lang w:val="de-DE"/>
        </w:rPr>
        <w:t xml:space="preserve">XI.272 ersetzt durch </w:t>
      </w:r>
      <w:r w:rsidR="00BE0A56" w:rsidRPr="004676F5">
        <w:rPr>
          <w:i/>
          <w:lang w:val="de-DE"/>
        </w:rPr>
        <w:t>Art. </w:t>
      </w:r>
      <w:r w:rsidRPr="004676F5">
        <w:rPr>
          <w:i/>
          <w:lang w:val="de-DE"/>
        </w:rPr>
        <w:t>81 des G. vom 8. </w:t>
      </w:r>
      <w:r w:rsidRPr="00B14651">
        <w:rPr>
          <w:i/>
          <w:lang w:val="de-DE"/>
        </w:rPr>
        <w:t>Juni 2017 (B.S. vom 27. Juni 2017)]</w:t>
      </w:r>
    </w:p>
    <w:p w14:paraId="5A57C1C9" w14:textId="77777777" w:rsidR="001527B1" w:rsidRPr="00B14651" w:rsidRDefault="001527B1" w:rsidP="001527B1">
      <w:pPr>
        <w:ind w:firstLine="708"/>
        <w:jc w:val="both"/>
        <w:rPr>
          <w:lang w:val="de-DE"/>
        </w:rPr>
      </w:pPr>
    </w:p>
    <w:p w14:paraId="73B22451" w14:textId="77777777" w:rsidR="00355502" w:rsidRPr="00B14651" w:rsidRDefault="00355502" w:rsidP="001527B1">
      <w:pPr>
        <w:ind w:firstLine="708"/>
        <w:jc w:val="both"/>
        <w:rPr>
          <w:lang w:val="de-DE"/>
        </w:rPr>
      </w:pPr>
    </w:p>
    <w:p w14:paraId="142831A3" w14:textId="6DDD265A" w:rsidR="001527B1" w:rsidRPr="004676F5" w:rsidRDefault="00BE0A56" w:rsidP="001527B1">
      <w:pPr>
        <w:ind w:firstLine="708"/>
        <w:jc w:val="both"/>
        <w:rPr>
          <w:lang w:val="de-DE"/>
        </w:rPr>
      </w:pPr>
      <w:r w:rsidRPr="004676F5">
        <w:rPr>
          <w:b/>
          <w:lang w:val="de-DE"/>
        </w:rPr>
        <w:t>Art. </w:t>
      </w:r>
      <w:r w:rsidR="001527B1" w:rsidRPr="004676F5">
        <w:rPr>
          <w:b/>
          <w:lang w:val="de-DE"/>
        </w:rPr>
        <w:t>XI.273</w:t>
      </w:r>
      <w:r w:rsidR="001527B1" w:rsidRPr="004676F5">
        <w:rPr>
          <w:lang w:val="de-DE"/>
        </w:rPr>
        <w:t> </w:t>
      </w:r>
      <w:r w:rsidR="005B7A5C" w:rsidRPr="004676F5">
        <w:rPr>
          <w:lang w:val="de-DE"/>
        </w:rPr>
        <w:t>- </w:t>
      </w:r>
      <w:r w:rsidR="000F18F2" w:rsidRPr="004676F5">
        <w:rPr>
          <w:lang w:val="de-DE"/>
        </w:rPr>
        <w:t>[Verwertungsgesellschaften übermitteln dem Kontrolldienst bei Änderungen eine koordinierte und aktualisierte Fassung ihrer Entgelterhebungs-, Einnahme</w:t>
      </w:r>
      <w:r w:rsidR="005B7A5C" w:rsidRPr="004676F5">
        <w:rPr>
          <w:lang w:val="de-DE"/>
        </w:rPr>
        <w:t>- </w:t>
      </w:r>
      <w:r w:rsidR="000F18F2" w:rsidRPr="004676F5">
        <w:rPr>
          <w:lang w:val="de-DE"/>
        </w:rPr>
        <w:t>und Verteilungsregeln.]</w:t>
      </w:r>
    </w:p>
    <w:p w14:paraId="6504F794" w14:textId="77777777" w:rsidR="000F18F2" w:rsidRPr="004676F5" w:rsidRDefault="000F18F2" w:rsidP="001527B1">
      <w:pPr>
        <w:ind w:firstLine="708"/>
        <w:jc w:val="both"/>
        <w:rPr>
          <w:lang w:val="de-DE"/>
        </w:rPr>
      </w:pPr>
    </w:p>
    <w:p w14:paraId="0A9ADFE8" w14:textId="0B037A88"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 ersetzt durch </w:t>
      </w:r>
      <w:r w:rsidR="00BE0A56" w:rsidRPr="004676F5">
        <w:rPr>
          <w:i/>
          <w:lang w:val="de-DE"/>
        </w:rPr>
        <w:t>Art. </w:t>
      </w:r>
      <w:r w:rsidRPr="004676F5">
        <w:rPr>
          <w:i/>
          <w:lang w:val="de-DE"/>
        </w:rPr>
        <w:t>82 des G. vom 8. </w:t>
      </w:r>
      <w:r w:rsidRPr="00B14651">
        <w:rPr>
          <w:i/>
          <w:lang w:val="de-DE"/>
        </w:rPr>
        <w:t>Juni 2017 (B.S. vom 27. Juni 2017)]</w:t>
      </w:r>
    </w:p>
    <w:p w14:paraId="728C7369" w14:textId="77777777" w:rsidR="000F18F2" w:rsidRPr="00B14651" w:rsidRDefault="000F18F2" w:rsidP="001527B1">
      <w:pPr>
        <w:ind w:firstLine="708"/>
        <w:jc w:val="both"/>
        <w:rPr>
          <w:lang w:val="de-DE"/>
        </w:rPr>
      </w:pPr>
    </w:p>
    <w:p w14:paraId="113482D3" w14:textId="77777777" w:rsidR="001527B1" w:rsidRPr="00B14651" w:rsidRDefault="001527B1" w:rsidP="000F18F2">
      <w:pPr>
        <w:jc w:val="both"/>
        <w:rPr>
          <w:lang w:val="de-DE"/>
        </w:rPr>
      </w:pPr>
    </w:p>
    <w:p w14:paraId="268B9FE9" w14:textId="41DC02D7" w:rsidR="000F18F2" w:rsidRPr="004676F5" w:rsidRDefault="000F18F2" w:rsidP="000F18F2">
      <w:pPr>
        <w:jc w:val="center"/>
        <w:rPr>
          <w:lang w:val="de-DE"/>
        </w:rPr>
      </w:pPr>
      <w:r w:rsidRPr="004676F5">
        <w:rPr>
          <w:lang w:val="de-DE"/>
        </w:rPr>
        <w:t>[</w:t>
      </w:r>
      <w:r w:rsidRPr="004676F5">
        <w:rPr>
          <w:i/>
          <w:lang w:val="de-DE"/>
        </w:rPr>
        <w:t>Abschnitt 7</w:t>
      </w:r>
      <w:r w:rsidRPr="004676F5">
        <w:rPr>
          <w:lang w:val="de-DE"/>
        </w:rPr>
        <w:t> </w:t>
      </w:r>
      <w:r w:rsidR="005B7A5C" w:rsidRPr="004676F5">
        <w:rPr>
          <w:lang w:val="de-DE"/>
        </w:rPr>
        <w:t>- </w:t>
      </w:r>
      <w:r w:rsidRPr="004676F5">
        <w:rPr>
          <w:lang w:val="de-DE"/>
        </w:rPr>
        <w:t>Beschwerdeverfahren]</w:t>
      </w:r>
    </w:p>
    <w:p w14:paraId="55827D84" w14:textId="77777777" w:rsidR="000F18F2" w:rsidRPr="004676F5" w:rsidRDefault="000F18F2" w:rsidP="000F18F2">
      <w:pPr>
        <w:jc w:val="center"/>
        <w:rPr>
          <w:lang w:val="de-DE"/>
        </w:rPr>
      </w:pPr>
    </w:p>
    <w:p w14:paraId="0A1622EC" w14:textId="1BBE405D" w:rsidR="000F18F2" w:rsidRPr="00B14651" w:rsidRDefault="000F18F2" w:rsidP="000F18F2">
      <w:pPr>
        <w:jc w:val="both"/>
        <w:rPr>
          <w:i/>
          <w:lang w:val="de-DE"/>
        </w:rPr>
      </w:pPr>
      <w:r w:rsidRPr="004676F5">
        <w:rPr>
          <w:i/>
          <w:lang w:val="de-DE"/>
        </w:rPr>
        <w:t xml:space="preserve">[Unterteilung Abschnitt 7 eingefügt durch </w:t>
      </w:r>
      <w:r w:rsidR="00BE0A56" w:rsidRPr="004676F5">
        <w:rPr>
          <w:i/>
          <w:lang w:val="de-DE"/>
        </w:rPr>
        <w:t>Art. </w:t>
      </w:r>
      <w:r w:rsidRPr="004676F5">
        <w:rPr>
          <w:i/>
          <w:lang w:val="de-DE"/>
        </w:rPr>
        <w:t>83 des G. vom 8. </w:t>
      </w:r>
      <w:r w:rsidRPr="00B14651">
        <w:rPr>
          <w:i/>
          <w:lang w:val="de-DE"/>
        </w:rPr>
        <w:t>Juni 2017 (B.S. vom 27. Juni 2017)]</w:t>
      </w:r>
    </w:p>
    <w:p w14:paraId="0E4675C7" w14:textId="77777777" w:rsidR="000F18F2" w:rsidRPr="00B14651" w:rsidRDefault="000F18F2" w:rsidP="000F18F2">
      <w:pPr>
        <w:jc w:val="both"/>
        <w:rPr>
          <w:i/>
          <w:lang w:val="de-DE"/>
        </w:rPr>
      </w:pPr>
    </w:p>
    <w:p w14:paraId="4021160E" w14:textId="77777777" w:rsidR="000F18F2" w:rsidRPr="00B14651" w:rsidRDefault="000F18F2" w:rsidP="000F18F2">
      <w:pPr>
        <w:jc w:val="both"/>
        <w:rPr>
          <w:i/>
          <w:lang w:val="de-DE"/>
        </w:rPr>
      </w:pPr>
    </w:p>
    <w:p w14:paraId="5057EADB" w14:textId="68547A54"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Rechtsinhaber, Verwertungsgesellschaften und Organisationen für die kollektive Rechtewahrnehmung, die die Wahrnehmung der von ihr vertretenen Rechte im Rahmen einer Repräsentationsvereinbarung einer anderen Gesellschaft beziehungsweise Organisation anvertraut haben, und Nutzer von geschützten Werken und Leistungen haben das Recht, gegen Handlungen in Bezug auf die Wahrnehmung der Urheberrechte oder verwandter Schutzrechte unmittelbar Beschwerde bei der betreffenden Verwertungsgesellschaft einzu</w:t>
      </w:r>
      <w:r w:rsidRPr="004676F5">
        <w:rPr>
          <w:lang w:val="de-DE"/>
        </w:rPr>
        <w:softHyphen/>
        <w:t>reichen, insbesondere in Bezug auf Abschluss oder Beendigung des Wahrnehmungsauftrags oder Entziehung von Rechten, Mitgliedschaftsbedingungen, Einnahme der den Rechtsinhabern zustehenden Beträge, Abzüge und Verteilung.</w:t>
      </w:r>
    </w:p>
    <w:p w14:paraId="57D9B03E" w14:textId="77777777" w:rsidR="000F18F2" w:rsidRPr="004676F5" w:rsidRDefault="000F18F2" w:rsidP="000F18F2">
      <w:pPr>
        <w:jc w:val="both"/>
        <w:rPr>
          <w:lang w:val="de-DE"/>
        </w:rPr>
      </w:pPr>
    </w:p>
    <w:p w14:paraId="554B2ED0" w14:textId="0CBC1C6D"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Zur Gewährleistung des in § 1 erwähnten Rechts stellen Verwertungsgesell</w:t>
      </w:r>
      <w:r w:rsidRPr="004676F5">
        <w:rPr>
          <w:lang w:val="de-DE"/>
        </w:rPr>
        <w:softHyphen/>
        <w:t>schaften Rechtsinhabern, Verwertungsgesellschaften, Organisationen für die kollektive Rechtewahrnehmung und Nutzern von geschützten Werken und Leistungen wirksame und schnelle Beschwerdebearbeitungsverfahren bereit.</w:t>
      </w:r>
    </w:p>
    <w:p w14:paraId="404FB7CE" w14:textId="77777777" w:rsidR="000F18F2" w:rsidRPr="004676F5" w:rsidRDefault="000F18F2" w:rsidP="000F18F2">
      <w:pPr>
        <w:jc w:val="both"/>
        <w:rPr>
          <w:lang w:val="de-DE"/>
        </w:rPr>
      </w:pPr>
    </w:p>
    <w:p w14:paraId="4D4B364C" w14:textId="0977FE42"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Die Verwertungsgesellschaft reagiert so schnell wie möglich innerhalb eines Monats ab dem Tag der Einreichung einer Beschwerde auf die Beschwerde. Sie setzt alles daran, deutliche, relevante und zufriedenstellende Antworten zu finden. In außergewöhnlichen, zu begründenden Fällen kann die Frist für die Bearbeitung einer Beschwerde um höchstens einen Monat verlängert werden.</w:t>
      </w:r>
    </w:p>
    <w:p w14:paraId="596EE0FE" w14:textId="77777777" w:rsidR="000F18F2" w:rsidRPr="004676F5" w:rsidRDefault="000F18F2" w:rsidP="000F18F2">
      <w:pPr>
        <w:jc w:val="both"/>
        <w:rPr>
          <w:lang w:val="de-DE"/>
        </w:rPr>
      </w:pPr>
    </w:p>
    <w:p w14:paraId="0DBA52E2" w14:textId="612CDC85" w:rsidR="000F18F2" w:rsidRPr="004676F5" w:rsidRDefault="000F18F2" w:rsidP="000F18F2">
      <w:pPr>
        <w:jc w:val="both"/>
        <w:rPr>
          <w:lang w:val="de-DE"/>
        </w:rPr>
      </w:pPr>
      <w:r w:rsidRPr="004676F5">
        <w:rPr>
          <w:lang w:val="de-DE"/>
        </w:rPr>
        <w:tab/>
        <w:t xml:space="preserve">Die Antwort erfolgt </w:t>
      </w:r>
      <w:r w:rsidR="00C04D13" w:rsidRPr="004676F5">
        <w:rPr>
          <w:lang w:val="de-DE"/>
        </w:rPr>
        <w:t>[...]</w:t>
      </w:r>
      <w:r w:rsidRPr="004676F5">
        <w:rPr>
          <w:lang w:val="de-DE"/>
        </w:rPr>
        <w:t xml:space="preserve"> </w:t>
      </w:r>
      <w:r w:rsidR="00C04D13" w:rsidRPr="004676F5">
        <w:rPr>
          <w:lang w:val="de-DE"/>
        </w:rPr>
        <w:t>[</w:t>
      </w:r>
      <w:r w:rsidR="00C04D13" w:rsidRPr="004676F5">
        <w:rPr>
          <w:rFonts w:eastAsia="Calibri"/>
          <w:szCs w:val="22"/>
          <w:lang w:val="de-DE" w:eastAsia="en-US"/>
        </w:rPr>
        <w:t>auf einem dauerhaften Datenträger</w:t>
      </w:r>
      <w:r w:rsidR="00C04D13" w:rsidRPr="004676F5">
        <w:rPr>
          <w:lang w:val="de-DE"/>
        </w:rPr>
        <w:t>]</w:t>
      </w:r>
      <w:r w:rsidRPr="004676F5">
        <w:rPr>
          <w:lang w:val="de-DE"/>
        </w:rPr>
        <w:t>. Antwortet die Verwertungsgesellschaft, dass eine Beschwerde zum Teil oder insgesamt nicht begründet ist, begründet sie ihre Antwort.]</w:t>
      </w:r>
    </w:p>
    <w:p w14:paraId="400A5D14" w14:textId="77777777" w:rsidR="000F18F2" w:rsidRPr="004676F5" w:rsidRDefault="000F18F2" w:rsidP="000F18F2">
      <w:pPr>
        <w:jc w:val="both"/>
        <w:rPr>
          <w:lang w:val="de-DE"/>
        </w:rPr>
      </w:pPr>
    </w:p>
    <w:p w14:paraId="68A18BD9" w14:textId="6DA8C0E9" w:rsidR="000F18F2" w:rsidRPr="004676F5" w:rsidRDefault="000F18F2" w:rsidP="000F18F2">
      <w:pPr>
        <w:jc w:val="both"/>
        <w:rPr>
          <w:lang w:val="de-DE"/>
        </w:rPr>
      </w:pPr>
      <w:r w:rsidRPr="004676F5">
        <w:rPr>
          <w:i/>
          <w:lang w:val="de-DE"/>
        </w:rPr>
        <w:t>[</w:t>
      </w:r>
      <w:r w:rsidR="00BE0A56" w:rsidRPr="004676F5">
        <w:rPr>
          <w:i/>
          <w:lang w:val="de-DE"/>
        </w:rPr>
        <w:t>Art. </w:t>
      </w:r>
      <w:r w:rsidRPr="004676F5">
        <w:rPr>
          <w:i/>
          <w:lang w:val="de-DE"/>
        </w:rPr>
        <w:t xml:space="preserve">XI.273/1 eingefügt durch </w:t>
      </w:r>
      <w:r w:rsidR="00BE0A56" w:rsidRPr="004676F5">
        <w:rPr>
          <w:i/>
          <w:lang w:val="de-DE"/>
        </w:rPr>
        <w:t>Art. </w:t>
      </w:r>
      <w:r w:rsidRPr="004676F5">
        <w:rPr>
          <w:i/>
          <w:lang w:val="de-DE"/>
        </w:rPr>
        <w:t>84 des G. vom 8. Juni 2017 (B.S. vom 27. Juni 2017)</w:t>
      </w:r>
      <w:r w:rsidR="00C04D13" w:rsidRPr="004676F5">
        <w:rPr>
          <w:i/>
          <w:lang w:val="de-DE"/>
        </w:rPr>
        <w:t>; § 3 Abs. 2 abgeändert durch Art. 7 Nr. 1 und 2</w:t>
      </w:r>
      <w:r w:rsidR="00C04D13" w:rsidRPr="004676F5">
        <w:rPr>
          <w:i/>
          <w:iCs/>
          <w:lang w:val="de-DE"/>
        </w:rPr>
        <w:t xml:space="preserve"> des G. vom 20. September 2018 (B.S. vom 10. Oktober 2018)</w:t>
      </w:r>
      <w:r w:rsidRPr="004676F5">
        <w:rPr>
          <w:i/>
          <w:lang w:val="de-DE"/>
        </w:rPr>
        <w:t>]</w:t>
      </w:r>
    </w:p>
    <w:p w14:paraId="187EFDE5" w14:textId="77777777" w:rsidR="000F18F2" w:rsidRPr="004676F5" w:rsidRDefault="000F18F2" w:rsidP="000F18F2">
      <w:pPr>
        <w:jc w:val="both"/>
        <w:rPr>
          <w:lang w:val="de-DE"/>
        </w:rPr>
      </w:pPr>
    </w:p>
    <w:p w14:paraId="5ADEE98B" w14:textId="77777777" w:rsidR="000F18F2" w:rsidRPr="004676F5" w:rsidRDefault="000F18F2" w:rsidP="000F18F2">
      <w:pPr>
        <w:jc w:val="both"/>
        <w:rPr>
          <w:lang w:val="de-DE"/>
        </w:rPr>
      </w:pPr>
    </w:p>
    <w:p w14:paraId="34B271E8" w14:textId="540961DB" w:rsidR="000F18F2" w:rsidRPr="004676F5" w:rsidRDefault="000F18F2" w:rsidP="000F18F2">
      <w:pPr>
        <w:jc w:val="center"/>
        <w:rPr>
          <w:lang w:val="de-DE"/>
        </w:rPr>
      </w:pPr>
      <w:r w:rsidRPr="004676F5">
        <w:rPr>
          <w:lang w:val="de-DE"/>
        </w:rPr>
        <w:t>[</w:t>
      </w:r>
      <w:r w:rsidRPr="004676F5">
        <w:rPr>
          <w:i/>
          <w:lang w:val="de-DE"/>
        </w:rPr>
        <w:t>Abschnitt 8</w:t>
      </w:r>
      <w:r w:rsidRPr="004676F5">
        <w:rPr>
          <w:lang w:val="de-DE"/>
        </w:rPr>
        <w:t> </w:t>
      </w:r>
      <w:r w:rsidR="005B7A5C" w:rsidRPr="004676F5">
        <w:rPr>
          <w:lang w:val="de-DE"/>
        </w:rPr>
        <w:t>- </w:t>
      </w:r>
      <w:r w:rsidRPr="004676F5">
        <w:rPr>
          <w:lang w:val="de-DE"/>
        </w:rPr>
        <w:t>Mehrgebietslizenzen für Online-Rechte an Musikwerken]</w:t>
      </w:r>
    </w:p>
    <w:p w14:paraId="3CC8A726" w14:textId="77777777" w:rsidR="000F18F2" w:rsidRPr="004676F5" w:rsidRDefault="000F18F2" w:rsidP="000F18F2">
      <w:pPr>
        <w:jc w:val="center"/>
        <w:rPr>
          <w:lang w:val="de-DE"/>
        </w:rPr>
      </w:pPr>
    </w:p>
    <w:p w14:paraId="78C13CC9" w14:textId="5BCFDD47" w:rsidR="000F18F2" w:rsidRPr="00B14651" w:rsidRDefault="000F18F2" w:rsidP="000F18F2">
      <w:pPr>
        <w:jc w:val="both"/>
        <w:rPr>
          <w:i/>
          <w:lang w:val="de-DE"/>
        </w:rPr>
      </w:pPr>
      <w:r w:rsidRPr="004676F5">
        <w:rPr>
          <w:i/>
          <w:lang w:val="de-DE"/>
        </w:rPr>
        <w:t xml:space="preserve">[Unterteilung Abschnitt 8 eingefügt durch </w:t>
      </w:r>
      <w:r w:rsidR="00BE0A56" w:rsidRPr="004676F5">
        <w:rPr>
          <w:i/>
          <w:lang w:val="de-DE"/>
        </w:rPr>
        <w:t>Art. </w:t>
      </w:r>
      <w:r w:rsidRPr="004676F5">
        <w:rPr>
          <w:i/>
          <w:lang w:val="de-DE"/>
        </w:rPr>
        <w:t>85 des G. vom 8. </w:t>
      </w:r>
      <w:r w:rsidRPr="00B14651">
        <w:rPr>
          <w:i/>
          <w:lang w:val="de-DE"/>
        </w:rPr>
        <w:t>Juni 2017 (B.S. vom 27. Juni 2017)]</w:t>
      </w:r>
    </w:p>
    <w:p w14:paraId="2845DF03" w14:textId="77777777" w:rsidR="000F18F2" w:rsidRPr="00B14651" w:rsidRDefault="000F18F2" w:rsidP="000F18F2">
      <w:pPr>
        <w:jc w:val="both"/>
        <w:rPr>
          <w:i/>
          <w:lang w:val="de-DE"/>
        </w:rPr>
      </w:pPr>
    </w:p>
    <w:p w14:paraId="1B893076" w14:textId="77777777" w:rsidR="000F18F2" w:rsidRPr="00B14651" w:rsidRDefault="000F18F2" w:rsidP="000F18F2">
      <w:pPr>
        <w:jc w:val="both"/>
        <w:rPr>
          <w:i/>
          <w:lang w:val="de-DE"/>
        </w:rPr>
      </w:pPr>
    </w:p>
    <w:p w14:paraId="7914E572" w14:textId="0A14F6F6" w:rsidR="000F18F2" w:rsidRPr="004676F5" w:rsidRDefault="000F18F2" w:rsidP="000F18F2">
      <w:pPr>
        <w:jc w:val="both"/>
        <w:rPr>
          <w:spacing w:val="-4"/>
          <w:lang w:val="de-DE"/>
        </w:rPr>
      </w:pPr>
      <w:r w:rsidRPr="00B14651">
        <w:rPr>
          <w:lang w:val="de-DE"/>
        </w:rPr>
        <w:tab/>
      </w:r>
      <w:r w:rsidRPr="004676F5">
        <w:rPr>
          <w:lang w:val="de-DE"/>
        </w:rPr>
        <w:t>[</w:t>
      </w:r>
      <w:r w:rsidR="00BE0A56" w:rsidRPr="004676F5">
        <w:rPr>
          <w:b/>
          <w:spacing w:val="-4"/>
          <w:lang w:val="de-DE"/>
        </w:rPr>
        <w:t>Art. </w:t>
      </w:r>
      <w:r w:rsidRPr="004676F5">
        <w:rPr>
          <w:b/>
          <w:spacing w:val="-4"/>
          <w:lang w:val="de-DE"/>
        </w:rPr>
        <w:t>XI.273/2</w:t>
      </w:r>
      <w:r w:rsidRPr="004676F5">
        <w:rPr>
          <w:spacing w:val="-4"/>
          <w:lang w:val="de-DE"/>
        </w:rPr>
        <w:t> </w:t>
      </w:r>
      <w:r w:rsidR="005B7A5C" w:rsidRPr="004676F5">
        <w:rPr>
          <w:spacing w:val="-4"/>
          <w:lang w:val="de-DE"/>
        </w:rPr>
        <w:t>- </w:t>
      </w:r>
      <w:r w:rsidRPr="004676F5">
        <w:rPr>
          <w:spacing w:val="-4"/>
          <w:lang w:val="de-DE"/>
        </w:rPr>
        <w:t>Verwertungsgesellschaften halten bei der Vergabe von Mehrgebiets</w:t>
      </w:r>
      <w:r w:rsidRPr="004676F5">
        <w:rPr>
          <w:spacing w:val="-4"/>
          <w:lang w:val="de-DE"/>
        </w:rPr>
        <w:softHyphen/>
        <w:t>lizenzen für Online-Rechte an Musikwerken die Bestimmungen des vorliegenden Abschnitts ein.]</w:t>
      </w:r>
    </w:p>
    <w:p w14:paraId="31B34AAA" w14:textId="77777777" w:rsidR="000F18F2" w:rsidRPr="004676F5" w:rsidRDefault="000F18F2" w:rsidP="000F18F2">
      <w:pPr>
        <w:jc w:val="both"/>
        <w:rPr>
          <w:spacing w:val="-4"/>
          <w:lang w:val="de-DE"/>
        </w:rPr>
      </w:pPr>
    </w:p>
    <w:p w14:paraId="46442629" w14:textId="1E985619"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XI.273/2 eingefügt durch </w:t>
      </w:r>
      <w:r w:rsidR="00BE0A56" w:rsidRPr="004676F5">
        <w:rPr>
          <w:i/>
          <w:lang w:val="de-DE"/>
        </w:rPr>
        <w:t>Art. </w:t>
      </w:r>
      <w:r w:rsidRPr="004676F5">
        <w:rPr>
          <w:i/>
          <w:lang w:val="de-DE"/>
        </w:rPr>
        <w:t>86 des G. vom 8. </w:t>
      </w:r>
      <w:r w:rsidRPr="00B14651">
        <w:rPr>
          <w:i/>
          <w:lang w:val="de-DE"/>
        </w:rPr>
        <w:t>Juni 2017 (B.S. vom 27. Juni 2017)]</w:t>
      </w:r>
    </w:p>
    <w:p w14:paraId="3F78DAE5" w14:textId="77777777" w:rsidR="000F18F2" w:rsidRPr="00B14651" w:rsidRDefault="000F18F2" w:rsidP="000F18F2">
      <w:pPr>
        <w:jc w:val="both"/>
        <w:rPr>
          <w:spacing w:val="-4"/>
          <w:lang w:val="de-DE"/>
        </w:rPr>
      </w:pPr>
    </w:p>
    <w:p w14:paraId="1A726187" w14:textId="77777777" w:rsidR="000F18F2" w:rsidRPr="00B14651" w:rsidRDefault="000F18F2" w:rsidP="000F18F2">
      <w:pPr>
        <w:jc w:val="both"/>
        <w:rPr>
          <w:lang w:val="de-DE"/>
        </w:rPr>
      </w:pPr>
    </w:p>
    <w:p w14:paraId="311445D2" w14:textId="6AEACBEB"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Verwertungsgesellschaften, die Mehrgebietslizenzen für Online-Rechte an Musikwerken vergeben, verfügen über ausreichende Kapazitäten zur effizienten und transparenten elektronischen Verarbeitung der für die Verwaltung dieser Lizenzen erforderlichen Daten, auch zur Bestimmung des Repertoires und Überwachung von dessen Nutzung, zur Ausstellung von Rechnungen an die Nutzer, zur Einnahme von Vergütungen aus der Rechtenutzung und zur Verteilung der den Rechtsinhabern zustehenden Beträge.</w:t>
      </w:r>
    </w:p>
    <w:p w14:paraId="71C75198" w14:textId="77777777" w:rsidR="000F18F2" w:rsidRPr="004676F5" w:rsidRDefault="000F18F2" w:rsidP="000F18F2">
      <w:pPr>
        <w:jc w:val="both"/>
        <w:rPr>
          <w:lang w:val="de-DE"/>
        </w:rPr>
      </w:pPr>
    </w:p>
    <w:p w14:paraId="069218ED" w14:textId="60E42FC6"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Für die Zwecke von § 1 muss eine Verwertungsgesellschaft mindestens folgende Voraussetzungen erfüllen:</w:t>
      </w:r>
    </w:p>
    <w:p w14:paraId="2DD2F45F" w14:textId="77777777" w:rsidR="000F18F2" w:rsidRPr="004676F5" w:rsidRDefault="000F18F2" w:rsidP="000F18F2">
      <w:pPr>
        <w:jc w:val="both"/>
        <w:rPr>
          <w:lang w:val="de-DE"/>
        </w:rPr>
      </w:pPr>
    </w:p>
    <w:p w14:paraId="10F5A3CD" w14:textId="671F0DBE" w:rsidR="000F18F2" w:rsidRPr="004676F5" w:rsidRDefault="000F18F2" w:rsidP="000F18F2">
      <w:pPr>
        <w:jc w:val="both"/>
        <w:rPr>
          <w:lang w:val="de-DE"/>
        </w:rPr>
      </w:pPr>
      <w:r w:rsidRPr="004676F5">
        <w:rPr>
          <w:lang w:val="de-DE"/>
        </w:rPr>
        <w:tab/>
        <w:t xml:space="preserve">1. Sie muss über die Fähigkeit zur korrekten Bestimmung der einzelnen Musikwerke </w:t>
      </w:r>
      <w:r w:rsidR="005B7A5C" w:rsidRPr="004676F5">
        <w:rPr>
          <w:lang w:val="de-DE"/>
        </w:rPr>
        <w:t>- </w:t>
      </w:r>
      <w:r w:rsidRPr="004676F5">
        <w:rPr>
          <w:lang w:val="de-DE"/>
        </w:rPr>
        <w:t>vollständig oder teilweise -, die die Verwertungsgesellschaft repräsentieren darf, verfügen.</w:t>
      </w:r>
    </w:p>
    <w:p w14:paraId="3A99A74B" w14:textId="77777777" w:rsidR="000F18F2" w:rsidRPr="004676F5" w:rsidRDefault="000F18F2" w:rsidP="000F18F2">
      <w:pPr>
        <w:jc w:val="both"/>
        <w:rPr>
          <w:lang w:val="de-DE"/>
        </w:rPr>
      </w:pPr>
    </w:p>
    <w:p w14:paraId="33B3CE73" w14:textId="35CAC027" w:rsidR="000F18F2" w:rsidRPr="004676F5" w:rsidRDefault="000F18F2" w:rsidP="000F18F2">
      <w:pPr>
        <w:jc w:val="both"/>
        <w:rPr>
          <w:lang w:val="de-DE"/>
        </w:rPr>
      </w:pPr>
      <w:r w:rsidRPr="004676F5">
        <w:rPr>
          <w:lang w:val="de-DE"/>
        </w:rPr>
        <w:tab/>
        <w:t xml:space="preserve">2. Sie muss hinsichtlich eines jeden Musikwerks oder Teils eines Musikwerks, das die Verwertungsgesellschaft repräsentieren darf, über die Fähigkeit verfügen, die Rechte </w:t>
      </w:r>
      <w:r w:rsidR="005B7A5C" w:rsidRPr="004676F5">
        <w:rPr>
          <w:lang w:val="de-DE"/>
        </w:rPr>
        <w:t>- </w:t>
      </w:r>
      <w:r w:rsidRPr="004676F5">
        <w:rPr>
          <w:lang w:val="de-DE"/>
        </w:rPr>
        <w:t>vollständig oder teilweise und in Bezug auf jedes Gebiet </w:t>
      </w:r>
      <w:r w:rsidR="005B7A5C" w:rsidRPr="004676F5">
        <w:rPr>
          <w:lang w:val="de-DE"/>
        </w:rPr>
        <w:t>- </w:t>
      </w:r>
      <w:r w:rsidRPr="004676F5">
        <w:rPr>
          <w:lang w:val="de-DE"/>
        </w:rPr>
        <w:t>und die zugehörigen Rechtsinhaber zu bestimmen.</w:t>
      </w:r>
    </w:p>
    <w:p w14:paraId="1403E254" w14:textId="77777777" w:rsidR="000F18F2" w:rsidRPr="004676F5" w:rsidRDefault="000F18F2" w:rsidP="000F18F2">
      <w:pPr>
        <w:jc w:val="both"/>
        <w:rPr>
          <w:lang w:val="de-DE"/>
        </w:rPr>
      </w:pPr>
    </w:p>
    <w:p w14:paraId="740E6E1B" w14:textId="77777777" w:rsidR="000F18F2" w:rsidRPr="004676F5" w:rsidRDefault="000F18F2" w:rsidP="000F18F2">
      <w:pPr>
        <w:jc w:val="both"/>
        <w:rPr>
          <w:lang w:val="de-DE"/>
        </w:rPr>
      </w:pPr>
      <w:r w:rsidRPr="004676F5">
        <w:rPr>
          <w:lang w:val="de-DE"/>
        </w:rPr>
        <w:tab/>
        <w:t>3. Sie muss eindeutige Kennungen verwenden, um Rechtsinhaber und Musikwerke zu bestimmen, unter möglichst weitgehender Berücksichtigung freiwilliger branchenüblicher Standards und Praktiken, die auf internationaler Ebene oder Ebene der Europäischen Union entwickelt wurden.</w:t>
      </w:r>
    </w:p>
    <w:p w14:paraId="68A2E77C" w14:textId="77777777" w:rsidR="000F18F2" w:rsidRPr="004676F5" w:rsidRDefault="000F18F2" w:rsidP="000F18F2">
      <w:pPr>
        <w:jc w:val="both"/>
        <w:rPr>
          <w:lang w:val="de-DE"/>
        </w:rPr>
      </w:pPr>
    </w:p>
    <w:p w14:paraId="4C976C9E" w14:textId="77777777" w:rsidR="000F18F2" w:rsidRPr="004676F5" w:rsidRDefault="000F18F2" w:rsidP="000F18F2">
      <w:pPr>
        <w:jc w:val="both"/>
        <w:rPr>
          <w:lang w:val="de-DE"/>
        </w:rPr>
      </w:pPr>
      <w:r w:rsidRPr="004676F5">
        <w:rPr>
          <w:lang w:val="de-DE"/>
        </w:rPr>
        <w:tab/>
        <w:t>4. Sie muss geeignete Mittel verwenden, um Unstimmigkeiten bei den Daten im Besitz anderer Verwertungsgesellschaften oder Organisationen für die kollektive Rechtewahr</w:t>
      </w:r>
      <w:r w:rsidRPr="004676F5">
        <w:rPr>
          <w:lang w:val="de-DE"/>
        </w:rPr>
        <w:softHyphen/>
        <w:t>nehmung, die Mehrgebietslizenzen für Online-Rechte an Musikwerken vergeben, rasch und wirksam zu erkennen und zu beheben.]</w:t>
      </w:r>
    </w:p>
    <w:p w14:paraId="682ECACE" w14:textId="77777777" w:rsidR="000F18F2" w:rsidRPr="004676F5" w:rsidRDefault="000F18F2" w:rsidP="000F18F2">
      <w:pPr>
        <w:jc w:val="both"/>
        <w:rPr>
          <w:lang w:val="de-DE"/>
        </w:rPr>
      </w:pPr>
    </w:p>
    <w:p w14:paraId="66271FC5" w14:textId="4C829B45"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XI.273/3 eingefügt durch </w:t>
      </w:r>
      <w:r w:rsidR="00BE0A56" w:rsidRPr="004676F5">
        <w:rPr>
          <w:i/>
          <w:lang w:val="de-DE"/>
        </w:rPr>
        <w:t>Art. </w:t>
      </w:r>
      <w:r w:rsidRPr="004676F5">
        <w:rPr>
          <w:i/>
          <w:lang w:val="de-DE"/>
        </w:rPr>
        <w:t>87 des G. vom 8. </w:t>
      </w:r>
      <w:r w:rsidRPr="00B14651">
        <w:rPr>
          <w:i/>
          <w:lang w:val="de-DE"/>
        </w:rPr>
        <w:t>Juni 2017 (B.S. vom 27. Juni 2017)]</w:t>
      </w:r>
    </w:p>
    <w:p w14:paraId="05FAA7BB" w14:textId="77777777" w:rsidR="000F18F2" w:rsidRPr="00B14651" w:rsidRDefault="000F18F2" w:rsidP="000F18F2">
      <w:pPr>
        <w:jc w:val="both"/>
        <w:rPr>
          <w:lang w:val="de-DE"/>
        </w:rPr>
      </w:pPr>
    </w:p>
    <w:p w14:paraId="7C015845" w14:textId="77777777" w:rsidR="000F18F2" w:rsidRPr="00B14651" w:rsidRDefault="000F18F2" w:rsidP="000F18F2">
      <w:pPr>
        <w:jc w:val="both"/>
        <w:rPr>
          <w:lang w:val="de-DE"/>
        </w:rPr>
      </w:pPr>
    </w:p>
    <w:p w14:paraId="5AA436C4" w14:textId="2719C400" w:rsidR="000F18F2" w:rsidRPr="004676F5" w:rsidRDefault="000F18F2" w:rsidP="000F18F2">
      <w:pPr>
        <w:ind w:firstLine="708"/>
        <w:jc w:val="both"/>
        <w:rPr>
          <w:lang w:val="de-DE"/>
        </w:rPr>
      </w:pPr>
      <w:r w:rsidRPr="004676F5">
        <w:rPr>
          <w:lang w:val="de-DE"/>
        </w:rPr>
        <w:t>[</w:t>
      </w:r>
      <w:r w:rsidR="00BE0A56" w:rsidRPr="004676F5">
        <w:rPr>
          <w:b/>
          <w:lang w:val="de-DE"/>
        </w:rPr>
        <w:t>Art. </w:t>
      </w:r>
      <w:r w:rsidRPr="004676F5">
        <w:rPr>
          <w:b/>
          <w:lang w:val="de-DE"/>
        </w:rPr>
        <w:t>XI.273/4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Verwertungsgesellschaften, die Mehrgebietslizenzen für Online-Rechte an Musikwerken vergeben, übermitteln Anbietern von Online-Diensten, Rechtsinhabern, deren Rechte sie repräsentieren, und anderen Verwertungsgesellschaften und Organisationen für die kollektive Rechtewahrnehmung auf deren hinreichend begründeten Antrag hin auf elektronischem Wege aktuelle Informationen, anhand deren das Online-Musikrepertoire, das sie repräsentieren, bestimmt werden kann. Die Informationen umfassen:</w:t>
      </w:r>
    </w:p>
    <w:p w14:paraId="68D5E607" w14:textId="77777777" w:rsidR="000F18F2" w:rsidRPr="004676F5" w:rsidRDefault="000F18F2" w:rsidP="000F18F2">
      <w:pPr>
        <w:jc w:val="both"/>
        <w:rPr>
          <w:lang w:val="de-DE"/>
        </w:rPr>
      </w:pPr>
    </w:p>
    <w:p w14:paraId="70E678CD" w14:textId="77777777" w:rsidR="000F18F2" w:rsidRPr="004676F5" w:rsidRDefault="000F18F2" w:rsidP="000F18F2">
      <w:pPr>
        <w:jc w:val="both"/>
        <w:rPr>
          <w:lang w:val="de-DE"/>
        </w:rPr>
      </w:pPr>
      <w:r w:rsidRPr="004676F5">
        <w:rPr>
          <w:lang w:val="de-DE"/>
        </w:rPr>
        <w:tab/>
        <w:t>1. repräsentierte Musikwerke,</w:t>
      </w:r>
    </w:p>
    <w:p w14:paraId="54B53DA4" w14:textId="77777777" w:rsidR="000F18F2" w:rsidRPr="004676F5" w:rsidRDefault="000F18F2" w:rsidP="000F18F2">
      <w:pPr>
        <w:jc w:val="both"/>
        <w:rPr>
          <w:lang w:val="de-DE"/>
        </w:rPr>
      </w:pPr>
    </w:p>
    <w:p w14:paraId="480AAF71" w14:textId="77777777" w:rsidR="000F18F2" w:rsidRPr="004676F5" w:rsidRDefault="000F18F2" w:rsidP="000F18F2">
      <w:pPr>
        <w:jc w:val="both"/>
        <w:rPr>
          <w:lang w:val="de-DE"/>
        </w:rPr>
      </w:pPr>
      <w:r w:rsidRPr="004676F5">
        <w:rPr>
          <w:lang w:val="de-DE"/>
        </w:rPr>
        <w:tab/>
        <w:t>2. vollständig oder teilweise repräsentierte Rechte und</w:t>
      </w:r>
    </w:p>
    <w:p w14:paraId="5CF96D59" w14:textId="77777777" w:rsidR="000F18F2" w:rsidRPr="004676F5" w:rsidRDefault="000F18F2" w:rsidP="000F18F2">
      <w:pPr>
        <w:jc w:val="both"/>
        <w:rPr>
          <w:lang w:val="de-DE"/>
        </w:rPr>
      </w:pPr>
    </w:p>
    <w:p w14:paraId="67E4CD5D" w14:textId="77777777" w:rsidR="000F18F2" w:rsidRPr="004676F5" w:rsidRDefault="000F18F2" w:rsidP="000F18F2">
      <w:pPr>
        <w:jc w:val="both"/>
        <w:rPr>
          <w:lang w:val="de-DE"/>
        </w:rPr>
      </w:pPr>
      <w:r w:rsidRPr="004676F5">
        <w:rPr>
          <w:lang w:val="de-DE"/>
        </w:rPr>
        <w:tab/>
        <w:t>3. umfasste Lizenzgebiete.</w:t>
      </w:r>
    </w:p>
    <w:p w14:paraId="4FA7676A" w14:textId="77777777" w:rsidR="000F18F2" w:rsidRPr="004676F5" w:rsidRDefault="000F18F2" w:rsidP="000F18F2">
      <w:pPr>
        <w:jc w:val="both"/>
        <w:rPr>
          <w:lang w:val="de-DE"/>
        </w:rPr>
      </w:pPr>
    </w:p>
    <w:p w14:paraId="6437264C" w14:textId="49CF1BDE"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Verwertungsgesellschaften können erforderlichenfalls angemessene Maßnahmen zum Schutz der Korrektheit und Integrität der Daten, zur Kontrolle ihrer Weiterverwendung und zum Schutz wirtschaftlich sensibler Informationen ergreifen.]</w:t>
      </w:r>
      <w:r w:rsidRPr="004676F5">
        <w:rPr>
          <w:lang w:val="de-DE"/>
        </w:rPr>
        <w:tab/>
      </w:r>
    </w:p>
    <w:p w14:paraId="32C514D1" w14:textId="77777777" w:rsidR="000F18F2" w:rsidRPr="004676F5" w:rsidRDefault="000F18F2" w:rsidP="000F18F2">
      <w:pPr>
        <w:jc w:val="both"/>
        <w:rPr>
          <w:lang w:val="de-DE"/>
        </w:rPr>
      </w:pPr>
    </w:p>
    <w:p w14:paraId="4DBC5C48" w14:textId="1CB6B603"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XI.273/4 eingefügt durch </w:t>
      </w:r>
      <w:r w:rsidR="00BE0A56" w:rsidRPr="004676F5">
        <w:rPr>
          <w:i/>
          <w:lang w:val="de-DE"/>
        </w:rPr>
        <w:t>Art. </w:t>
      </w:r>
      <w:r w:rsidRPr="004676F5">
        <w:rPr>
          <w:i/>
          <w:lang w:val="de-DE"/>
        </w:rPr>
        <w:t>88 des G. vom 8. </w:t>
      </w:r>
      <w:r w:rsidRPr="00B14651">
        <w:rPr>
          <w:i/>
          <w:lang w:val="de-DE"/>
        </w:rPr>
        <w:t>Juni 2017 (B.S. vom 27. Juni 2017)]</w:t>
      </w:r>
    </w:p>
    <w:p w14:paraId="4E2D2580" w14:textId="77777777" w:rsidR="000F18F2" w:rsidRPr="00B14651" w:rsidRDefault="000F18F2" w:rsidP="000F18F2">
      <w:pPr>
        <w:jc w:val="both"/>
        <w:rPr>
          <w:lang w:val="de-DE"/>
        </w:rPr>
      </w:pPr>
    </w:p>
    <w:p w14:paraId="35047631" w14:textId="77777777" w:rsidR="000F18F2" w:rsidRPr="00B14651" w:rsidRDefault="000F18F2" w:rsidP="000F18F2">
      <w:pPr>
        <w:jc w:val="both"/>
        <w:rPr>
          <w:lang w:val="de-DE"/>
        </w:rPr>
      </w:pPr>
    </w:p>
    <w:p w14:paraId="073715B6" w14:textId="36A2F533"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Verwertungsgesellschaften, die Mehrgebietslizenzen für Online-Rechte an Musikwerken vergeben, verfügen über Regelungen, die es Rechtsinhabern, anderen Verwertungsgesellschaften, Organisationen für die kollektive Rechtewahrnehmung und Anbietern von Online-Diensten ermöglichen, die Korrektur von Daten, auf die in der Liste der Voraussetzungen in Artikel XI.273/3 § 2 Bezug genommen wird, oder der gemäß Artikel XI.273/4 vorgelegten Informationen zu beantragen, wenn diese Rechtsinhaber, Verwertungsgesellschaften, Organisationen für die kollektive Rechtewahrnehmung und Anbieter von Online-Diensten auf der Grundlage ausreichender Nachweise Grund zu der Annahme haben, dass Daten oder Informationen zu ihren Online-Nutzungsrechten an Musikwerken nicht korrekt sind. Ist die Beanstandung hinreichend begründet, sorgt die betreffende Verwertungsgesellschaft dafür, dass die Daten oder Informationen unverzüglich berichtigt werden.</w:t>
      </w:r>
    </w:p>
    <w:p w14:paraId="6748ADC6" w14:textId="77777777" w:rsidR="000F18F2" w:rsidRPr="004676F5" w:rsidRDefault="000F18F2" w:rsidP="000F18F2">
      <w:pPr>
        <w:jc w:val="both"/>
        <w:rPr>
          <w:lang w:val="de-DE"/>
        </w:rPr>
      </w:pPr>
    </w:p>
    <w:p w14:paraId="6A3F69C8" w14:textId="3B8EC41D"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Verwertungsgesellschaften bieten Rechtsinhabern, deren Musikwerke zu ihren Musikrepertoires gehören, und Rechtsinhabern, die ihnen die Wahrnehmung ihrer Online-Rechte an Musikwerken gemäß Artikel XI.273/10 übertragen haben, die Möglichkeit, auf elektronischem Wege Informationen zu ihren Musikwerken oder zu ihren Rechten an diesen Werken und zu den Gebieten, für die die Rechtsinhaber die Verwertungsgesellschaft mit der Rechtewahrnehmung betrauen, zu übermitteln. Dabei berücksichtigen Verwertungsgesell</w:t>
      </w:r>
      <w:r w:rsidRPr="004676F5">
        <w:rPr>
          <w:lang w:val="de-DE"/>
        </w:rPr>
        <w:softHyphen/>
        <w:t xml:space="preserve">schaften und Rechtsinhaber soweit wie möglich freiwillige branchenübliche Standards und Praktiken für den Datenaustausch, die auf internationaler Ebene oder Ebene der Europäischen Union entwickelt wurden und die es den Rechtsinhabern ermöglichen, das Musikwerk oder Teile davon, die Online-Rechte </w:t>
      </w:r>
      <w:r w:rsidR="005B7A5C" w:rsidRPr="004676F5">
        <w:rPr>
          <w:lang w:val="de-DE"/>
        </w:rPr>
        <w:t>- </w:t>
      </w:r>
      <w:r w:rsidRPr="004676F5">
        <w:rPr>
          <w:lang w:val="de-DE"/>
        </w:rPr>
        <w:t>vollständig oder teilweise </w:t>
      </w:r>
      <w:r w:rsidR="005B7A5C" w:rsidRPr="004676F5">
        <w:rPr>
          <w:lang w:val="de-DE"/>
        </w:rPr>
        <w:t>- </w:t>
      </w:r>
      <w:r w:rsidRPr="004676F5">
        <w:rPr>
          <w:lang w:val="de-DE"/>
        </w:rPr>
        <w:t>und die Gebiete, für die die Rechtsinhaber der jeweiligen Verwertungsgesellschaft einen Wahrnehmungsauftrag erteilt haben, anzugeben.</w:t>
      </w:r>
    </w:p>
    <w:p w14:paraId="1DCA0A3B" w14:textId="77777777" w:rsidR="000F18F2" w:rsidRPr="004676F5" w:rsidRDefault="000F18F2" w:rsidP="000F18F2">
      <w:pPr>
        <w:jc w:val="both"/>
        <w:rPr>
          <w:lang w:val="de-DE"/>
        </w:rPr>
      </w:pPr>
    </w:p>
    <w:p w14:paraId="6AF7347A" w14:textId="77777777" w:rsidR="00807D61" w:rsidRPr="004676F5" w:rsidRDefault="00807D61">
      <w:pPr>
        <w:rPr>
          <w:lang w:val="de-DE"/>
        </w:rPr>
      </w:pPr>
      <w:r w:rsidRPr="004676F5">
        <w:rPr>
          <w:lang w:val="de-DE"/>
        </w:rPr>
        <w:br w:type="page"/>
      </w:r>
    </w:p>
    <w:p w14:paraId="28A50B42" w14:textId="626A2FDE" w:rsidR="000F18F2" w:rsidRPr="004676F5" w:rsidRDefault="000F18F2" w:rsidP="000F18F2">
      <w:pPr>
        <w:jc w:val="both"/>
        <w:rPr>
          <w:lang w:val="de-DE"/>
        </w:rPr>
      </w:pPr>
      <w:r w:rsidRPr="004676F5">
        <w:rPr>
          <w:lang w:val="de-DE"/>
        </w:rPr>
        <w:lastRenderedPageBreak/>
        <w:tab/>
        <w:t>§ 3 </w:t>
      </w:r>
      <w:r w:rsidR="005B7A5C" w:rsidRPr="004676F5">
        <w:rPr>
          <w:lang w:val="de-DE"/>
        </w:rPr>
        <w:t>- </w:t>
      </w:r>
      <w:r w:rsidRPr="004676F5">
        <w:rPr>
          <w:lang w:val="de-DE"/>
        </w:rPr>
        <w:t>Beauftragt eine Verwertungsgesellschaft eine andere Verwertungsgesellschaft oder Organisation für die kollektive Rechtewahrnehmung gemäß den Artikeln XI.273/8 und XI.273/9 mit der Vergabe von Mehrgebietslizenzen für Online-Rechte an Musikwerken, gilt § 2 ebenso für die beauftragte Verwertungsgesellschaft in Bezug auf die Rechtsinhaber, deren Musikwerke zu dem Repertoire der Verwertungsgesellschaft, die den Auftrag erteilt hat, zählen, soweit die Parteien keine anderslautenden Vereinbarungen treffen.]</w:t>
      </w:r>
    </w:p>
    <w:p w14:paraId="5EAD9BD8" w14:textId="77777777" w:rsidR="000F18F2" w:rsidRPr="004676F5" w:rsidRDefault="000F18F2" w:rsidP="000F18F2">
      <w:pPr>
        <w:jc w:val="both"/>
        <w:rPr>
          <w:lang w:val="de-DE"/>
        </w:rPr>
      </w:pPr>
    </w:p>
    <w:p w14:paraId="4540A880" w14:textId="4F4C13D1"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XI.273/5 eingefügt durch </w:t>
      </w:r>
      <w:r w:rsidR="00BE0A56" w:rsidRPr="004676F5">
        <w:rPr>
          <w:i/>
          <w:lang w:val="de-DE"/>
        </w:rPr>
        <w:t>Art. </w:t>
      </w:r>
      <w:r w:rsidRPr="004676F5">
        <w:rPr>
          <w:i/>
          <w:lang w:val="de-DE"/>
        </w:rPr>
        <w:t>89 des G. vom 8. </w:t>
      </w:r>
      <w:r w:rsidRPr="00B14651">
        <w:rPr>
          <w:i/>
          <w:lang w:val="de-DE"/>
        </w:rPr>
        <w:t>Juni 2017 (B.S. vom 27. Juni 2017)]</w:t>
      </w:r>
    </w:p>
    <w:p w14:paraId="5C8D1A14" w14:textId="77777777" w:rsidR="000F18F2" w:rsidRPr="00B14651" w:rsidRDefault="000F18F2" w:rsidP="000F18F2">
      <w:pPr>
        <w:jc w:val="both"/>
        <w:rPr>
          <w:lang w:val="de-DE"/>
        </w:rPr>
      </w:pPr>
    </w:p>
    <w:p w14:paraId="2C2E5A77" w14:textId="77777777" w:rsidR="000F18F2" w:rsidRPr="00B14651" w:rsidRDefault="000F18F2" w:rsidP="000F18F2">
      <w:pPr>
        <w:jc w:val="both"/>
        <w:rPr>
          <w:lang w:val="de-DE"/>
        </w:rPr>
      </w:pPr>
    </w:p>
    <w:p w14:paraId="095161F9" w14:textId="30DEA0B8"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Verwertungsgesellschaften überwachen die Nutzung der Online-Rechte an Musikwerken, die sie vollständig oder teilweise repräsentieren, durch Anbieter von Online-Diensten, denen sie eine Mehrgebietslizenz für diese Rechte erteilt haben.</w:t>
      </w:r>
    </w:p>
    <w:p w14:paraId="12283FAA" w14:textId="77777777" w:rsidR="000F18F2" w:rsidRPr="004676F5" w:rsidRDefault="000F18F2" w:rsidP="000F18F2">
      <w:pPr>
        <w:jc w:val="both"/>
        <w:rPr>
          <w:lang w:val="de-DE"/>
        </w:rPr>
      </w:pPr>
    </w:p>
    <w:p w14:paraId="2D1F04B2" w14:textId="1425E31C"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Verwertungsgesellschaften bieten Anbietern von Online-Diensten die Möglichkeit, die Online-Nutzung von Musikwerken auf elektronischem Wege zu melden, und Anbieter von Online-Diensten melden korrekt die tatsächliche Nutzung dieser Werke. Verwertungsgesellschaften bieten mindestens eine Meldemethode an, die auf freiwilligen, auf internationaler Ebene oder Ebene der Europäischen Union entwickelten, branchenüblichen Standards oder Praktiken für den elektronischen Datenaustausch beruht. Sie können eine Meldung im Format des Anbieters von Online-Diensten ablehnen, wenn sie die Meldung nach einem branchenüblichen Standard für den elektronischen Datenaustausch zulassen.</w:t>
      </w:r>
    </w:p>
    <w:p w14:paraId="1A03F363" w14:textId="77777777" w:rsidR="000F18F2" w:rsidRPr="004676F5" w:rsidRDefault="000F18F2" w:rsidP="000F18F2">
      <w:pPr>
        <w:jc w:val="both"/>
        <w:rPr>
          <w:lang w:val="de-DE"/>
        </w:rPr>
      </w:pPr>
    </w:p>
    <w:p w14:paraId="249CE4D3" w14:textId="1CC7B982"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Verwertungsgesellschaften rechnen gegenüber Anbietern von Online-Diensten elektronisch ab. Verwertungsgesellschaften bieten mindestens ein Format an, das auf freiwilligen, auf internationaler Ebene oder Ebene der Europäischen Union entwickelten, branchenüblichen Standards oder Praktiken beruht. Auf der Rechnung werden die Werke und Rechte, die vollständig oder teilweise Gegenstand der Lizenz sind, auf der Grundlage der Daten, auf die in der Liste der Bedingungen in Artikel XI.273/3 § 2 Bezug genommen wird, und deren tatsächliche Nutzung angegeben, soweit dies auf der Grundlage der Angaben der Anbieter von Online-Diensten und des Formats dieser Angaben möglich ist. Anbieter von Online-Diensten können die Annahme einer Rechnung aufgrund ihres Formats nicht verweigern, wenn die Verwertungsgesellschaft einen branchenüblichen Standard verwendet.</w:t>
      </w:r>
    </w:p>
    <w:p w14:paraId="32032D8C" w14:textId="77777777" w:rsidR="000F18F2" w:rsidRPr="004676F5" w:rsidRDefault="000F18F2" w:rsidP="000F18F2">
      <w:pPr>
        <w:jc w:val="both"/>
        <w:rPr>
          <w:lang w:val="de-DE"/>
        </w:rPr>
      </w:pPr>
    </w:p>
    <w:p w14:paraId="3EF724DB" w14:textId="54111406" w:rsidR="000F18F2" w:rsidRPr="004676F5" w:rsidRDefault="000F18F2" w:rsidP="000F18F2">
      <w:pPr>
        <w:jc w:val="both"/>
        <w:rPr>
          <w:lang w:val="de-DE"/>
        </w:rPr>
      </w:pPr>
      <w:r w:rsidRPr="004676F5">
        <w:rPr>
          <w:lang w:val="de-DE"/>
        </w:rPr>
        <w:tab/>
        <w:t>§ 4 </w:t>
      </w:r>
      <w:r w:rsidR="005B7A5C" w:rsidRPr="004676F5">
        <w:rPr>
          <w:lang w:val="de-DE"/>
        </w:rPr>
        <w:t>- </w:t>
      </w:r>
      <w:r w:rsidRPr="004676F5">
        <w:rPr>
          <w:lang w:val="de-DE"/>
        </w:rPr>
        <w:t>Verwertungsgesellschaften rechnen gegenüber Anbietern von Online-Diensten nach Meldung der tatsächlichen Nutzung von Online-Rechten an Musikwerken korrekt und unverzüglich ab, es sei denn, dies ist aus Gründen, die der Anbieter des Online-Dienstes zu verantworten hat, nicht möglich.</w:t>
      </w:r>
    </w:p>
    <w:p w14:paraId="2A4DCCF6" w14:textId="77777777" w:rsidR="000F18F2" w:rsidRPr="004676F5" w:rsidRDefault="000F18F2" w:rsidP="000F18F2">
      <w:pPr>
        <w:jc w:val="both"/>
        <w:rPr>
          <w:lang w:val="de-DE"/>
        </w:rPr>
      </w:pPr>
    </w:p>
    <w:p w14:paraId="05BCC653" w14:textId="6FD17D56" w:rsidR="000F18F2" w:rsidRPr="004676F5" w:rsidRDefault="000F18F2" w:rsidP="000F18F2">
      <w:pPr>
        <w:jc w:val="both"/>
        <w:rPr>
          <w:lang w:val="de-DE"/>
        </w:rPr>
      </w:pPr>
      <w:r w:rsidRPr="004676F5">
        <w:rPr>
          <w:lang w:val="de-DE"/>
        </w:rPr>
        <w:tab/>
        <w:t>§ 5 </w:t>
      </w:r>
      <w:r w:rsidR="005B7A5C" w:rsidRPr="004676F5">
        <w:rPr>
          <w:lang w:val="de-DE"/>
        </w:rPr>
        <w:t>- </w:t>
      </w:r>
      <w:r w:rsidRPr="004676F5">
        <w:rPr>
          <w:lang w:val="de-DE"/>
        </w:rPr>
        <w:t>Verwertungsgesellschaften verfügen zugunsten von Anbietern von Online-Diensten über geeignete Regelungen für Rechnungsbeanstandungen vonseiten der Anbieter von Online-Diensten, darunter auch für Fälle, in denen ein Anbieter von einer oder mehreren Verwertungsgesellschaften oder Organisationen für die kollektive Rechtewahrnehmung Rechnungen für dieselben Online-Nutzungsrechte an ein</w:t>
      </w:r>
      <w:r w:rsidR="005B7A5C" w:rsidRPr="004676F5">
        <w:rPr>
          <w:lang w:val="de-DE"/>
        </w:rPr>
        <w:t>- </w:t>
      </w:r>
      <w:r w:rsidRPr="004676F5">
        <w:rPr>
          <w:lang w:val="de-DE"/>
        </w:rPr>
        <w:t>und demselben Musikwerk erhält.]</w:t>
      </w:r>
    </w:p>
    <w:p w14:paraId="3611002C" w14:textId="77777777" w:rsidR="000F18F2" w:rsidRPr="004676F5" w:rsidRDefault="000F18F2" w:rsidP="000F18F2">
      <w:pPr>
        <w:jc w:val="both"/>
        <w:rPr>
          <w:lang w:val="de-DE"/>
        </w:rPr>
      </w:pPr>
    </w:p>
    <w:p w14:paraId="45405D4B" w14:textId="28AC5BC9"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XI.273/6 eingefügt durch </w:t>
      </w:r>
      <w:r w:rsidR="00BE0A56" w:rsidRPr="004676F5">
        <w:rPr>
          <w:i/>
          <w:lang w:val="de-DE"/>
        </w:rPr>
        <w:t>Art. </w:t>
      </w:r>
      <w:r w:rsidRPr="004676F5">
        <w:rPr>
          <w:i/>
          <w:lang w:val="de-DE"/>
        </w:rPr>
        <w:t>90 des G. vom 8. </w:t>
      </w:r>
      <w:r w:rsidRPr="00B14651">
        <w:rPr>
          <w:i/>
          <w:lang w:val="de-DE"/>
        </w:rPr>
        <w:t>Juni 2017 (B.S. vom 27. Juni 2017)]</w:t>
      </w:r>
    </w:p>
    <w:p w14:paraId="5147E0C2" w14:textId="77777777" w:rsidR="000F18F2" w:rsidRPr="00B14651" w:rsidRDefault="000F18F2" w:rsidP="000F18F2">
      <w:pPr>
        <w:jc w:val="both"/>
        <w:rPr>
          <w:lang w:val="de-DE"/>
        </w:rPr>
      </w:pPr>
    </w:p>
    <w:p w14:paraId="4D865C80" w14:textId="77777777" w:rsidR="000F18F2" w:rsidRPr="00B14651" w:rsidRDefault="000F18F2" w:rsidP="000F18F2">
      <w:pPr>
        <w:jc w:val="both"/>
        <w:rPr>
          <w:lang w:val="de-DE"/>
        </w:rPr>
      </w:pPr>
    </w:p>
    <w:p w14:paraId="3697752A" w14:textId="1D25F2C7"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des Paragraphen 3 verteilen Verwertungsgesell</w:t>
      </w:r>
      <w:r w:rsidRPr="004676F5">
        <w:rPr>
          <w:lang w:val="de-DE"/>
        </w:rPr>
        <w:softHyphen/>
        <w:t xml:space="preserve">schaften, die Mehrgebietslizenzen für Online-Rechte an Musikwerken vergeben, den Rechtsinhabern aus solchen Lizenzen zustehende Beträge korrekt und unverzüglich nach </w:t>
      </w:r>
      <w:r w:rsidRPr="004676F5">
        <w:rPr>
          <w:lang w:val="de-DE"/>
        </w:rPr>
        <w:lastRenderedPageBreak/>
        <w:t>Meldung der tatsächlichen Nutzung des Werkes, es sei denn, dies ist aus Gründen, die der Anbieter eines Online-Dienstes zu verantworten hat, nicht möglich.</w:t>
      </w:r>
    </w:p>
    <w:p w14:paraId="6B769DDA" w14:textId="77777777" w:rsidR="000F18F2" w:rsidRPr="004676F5" w:rsidRDefault="000F18F2" w:rsidP="000F18F2">
      <w:pPr>
        <w:rPr>
          <w:lang w:val="de-DE"/>
        </w:rPr>
      </w:pPr>
    </w:p>
    <w:p w14:paraId="4092ACFB" w14:textId="40E2EAD4"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Unbeschadet des Paragraphen 3 übermitteln Verwertungsgesellschaften den Rechtsinhabern mit jeder Zahlung nach § 1 mindestens folgende Angaben:</w:t>
      </w:r>
    </w:p>
    <w:p w14:paraId="5602EB87" w14:textId="77777777" w:rsidR="000F18F2" w:rsidRPr="004676F5" w:rsidRDefault="000F18F2" w:rsidP="000F18F2">
      <w:pPr>
        <w:jc w:val="both"/>
        <w:rPr>
          <w:lang w:val="de-DE"/>
        </w:rPr>
      </w:pPr>
    </w:p>
    <w:p w14:paraId="49128BC9" w14:textId="77777777" w:rsidR="000F18F2" w:rsidRPr="004676F5" w:rsidRDefault="000F18F2" w:rsidP="000F18F2">
      <w:pPr>
        <w:jc w:val="both"/>
        <w:rPr>
          <w:lang w:val="de-DE"/>
        </w:rPr>
      </w:pPr>
      <w:r w:rsidRPr="004676F5">
        <w:rPr>
          <w:lang w:val="de-DE"/>
        </w:rPr>
        <w:tab/>
        <w:t>1. Zeitraum der Nutzung, für die den Rechtsinhabern eine Vergütung zusteht, und Gebiete, in denen die Rechte genutzt wurden,</w:t>
      </w:r>
    </w:p>
    <w:p w14:paraId="67896D84" w14:textId="77777777" w:rsidR="000F18F2" w:rsidRPr="004676F5" w:rsidRDefault="000F18F2" w:rsidP="000F18F2">
      <w:pPr>
        <w:jc w:val="both"/>
        <w:rPr>
          <w:lang w:val="de-DE"/>
        </w:rPr>
      </w:pPr>
    </w:p>
    <w:p w14:paraId="1E3B5671" w14:textId="77777777" w:rsidR="000F18F2" w:rsidRPr="004676F5" w:rsidRDefault="000F18F2" w:rsidP="000F18F2">
      <w:pPr>
        <w:jc w:val="both"/>
        <w:rPr>
          <w:lang w:val="de-DE"/>
        </w:rPr>
      </w:pPr>
      <w:r w:rsidRPr="004676F5">
        <w:rPr>
          <w:lang w:val="de-DE"/>
        </w:rPr>
        <w:tab/>
        <w:t>2. für jedes Online-Recht an einem Musikwerk, mit dessen vollständiger oder teilweiser Repräsentation der Rechtsinhaber die Verwertungsgesellschaft beauftragt hat, eingenommene Beträge, Abzüge und von der Verwertungsgesellschaft verteilte Beträge,</w:t>
      </w:r>
    </w:p>
    <w:p w14:paraId="656FFFB2" w14:textId="77777777" w:rsidR="000F18F2" w:rsidRPr="004676F5" w:rsidRDefault="000F18F2" w:rsidP="000F18F2">
      <w:pPr>
        <w:jc w:val="both"/>
        <w:rPr>
          <w:lang w:val="de-DE"/>
        </w:rPr>
      </w:pPr>
    </w:p>
    <w:p w14:paraId="14B136EB" w14:textId="77777777" w:rsidR="000F18F2" w:rsidRPr="004676F5" w:rsidRDefault="000F18F2" w:rsidP="000F18F2">
      <w:pPr>
        <w:jc w:val="both"/>
        <w:rPr>
          <w:lang w:val="de-DE"/>
        </w:rPr>
      </w:pPr>
      <w:r w:rsidRPr="004676F5">
        <w:rPr>
          <w:lang w:val="de-DE"/>
        </w:rPr>
        <w:tab/>
        <w:t>3. für die Rechtsinhaber eingenommene Beträge, Abzüge und von der Verwertungs</w:t>
      </w:r>
      <w:r w:rsidRPr="004676F5">
        <w:rPr>
          <w:lang w:val="de-DE"/>
        </w:rPr>
        <w:softHyphen/>
        <w:t>gesellschaft verteilte Beträge in Bezug auf jeden Anbieter eines Online-Dienstes.</w:t>
      </w:r>
    </w:p>
    <w:p w14:paraId="6D949462" w14:textId="77777777" w:rsidR="000F18F2" w:rsidRPr="004676F5" w:rsidRDefault="000F18F2" w:rsidP="000F18F2">
      <w:pPr>
        <w:jc w:val="both"/>
        <w:rPr>
          <w:lang w:val="de-DE"/>
        </w:rPr>
      </w:pPr>
    </w:p>
    <w:p w14:paraId="780D6A96" w14:textId="2949DD27"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Beauftragt eine Verwertungsgesellschaft eine andere Verwertungsgesellschaft oder Organisation für die kollektive Rechtewahrnehmung gemäß den Artikeln XI.273/8 und XI.273/9 mit der Vergabe von Mehrgebietslizenzen für Online-Rechte an Musikwerken, so verteilt die beauftragte Verwertungsgesellschaft oder Organisation für die kollektive Rechtewahrnehmung korrekt und unverzüglich die in § 1 genannten Beträge und übermittelt der Verwertungsgesellschaft, die den Auftrag erteilt hat, die in § 2 genannten Informationen. Die Verwertungsgesellschaft, die den Auftrag erteilt hat, ist für die nachfolgende Verteilung der Beträge und die Weiterleitung der Informationen an die Rechtsinhaber verantwortlich, soweit die Parteien keine anderslautenden Vereinbarungen treffen.]</w:t>
      </w:r>
    </w:p>
    <w:p w14:paraId="35BEE76A" w14:textId="77777777" w:rsidR="000F18F2" w:rsidRPr="004676F5" w:rsidRDefault="000F18F2" w:rsidP="000F18F2">
      <w:pPr>
        <w:jc w:val="both"/>
        <w:rPr>
          <w:lang w:val="de-DE"/>
        </w:rPr>
      </w:pPr>
    </w:p>
    <w:p w14:paraId="77C0AF23" w14:textId="75D9BA55"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XI.273/7 eingefügt durch </w:t>
      </w:r>
      <w:r w:rsidR="00BE0A56" w:rsidRPr="004676F5">
        <w:rPr>
          <w:i/>
          <w:lang w:val="de-DE"/>
        </w:rPr>
        <w:t>Art. </w:t>
      </w:r>
      <w:r w:rsidRPr="004676F5">
        <w:rPr>
          <w:i/>
          <w:lang w:val="de-DE"/>
        </w:rPr>
        <w:t>91 des G. vom 8. </w:t>
      </w:r>
      <w:r w:rsidRPr="00B14651">
        <w:rPr>
          <w:i/>
          <w:lang w:val="de-DE"/>
        </w:rPr>
        <w:t>Juni 2017 (B.S. vom 27. Juni 2017)]</w:t>
      </w:r>
    </w:p>
    <w:p w14:paraId="360BC58E" w14:textId="77777777" w:rsidR="000F18F2" w:rsidRPr="00B14651" w:rsidRDefault="000F18F2" w:rsidP="000F18F2">
      <w:pPr>
        <w:jc w:val="both"/>
        <w:rPr>
          <w:lang w:val="de-DE"/>
        </w:rPr>
      </w:pPr>
    </w:p>
    <w:p w14:paraId="7CA6AB87" w14:textId="77777777" w:rsidR="000F18F2" w:rsidRPr="00B14651" w:rsidRDefault="000F18F2" w:rsidP="000F18F2">
      <w:pPr>
        <w:jc w:val="both"/>
        <w:rPr>
          <w:lang w:val="de-DE"/>
        </w:rPr>
      </w:pPr>
    </w:p>
    <w:p w14:paraId="210F5D2B" w14:textId="6F3CFC5A"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Repräsentationsvereinbarungen, mit denen eine Verwertungs</w:t>
      </w:r>
      <w:r w:rsidRPr="004676F5">
        <w:rPr>
          <w:lang w:val="de-DE"/>
        </w:rPr>
        <w:softHyphen/>
        <w:t>gesell</w:t>
      </w:r>
      <w:r w:rsidRPr="004676F5">
        <w:rPr>
          <w:lang w:val="de-DE"/>
        </w:rPr>
        <w:softHyphen/>
        <w:t>schaft eine andere Verwertungsgesellschaft oder Organisation für die kollektive Rechtewahrnehmung mit der Vergabe von Mehrgebietslizenzen für Online-Rechte an Musikwerken ihres eigenen Repertoires beauftragt, sind nicht-exklusiv. Die beauftragte Verwertungsgesellschaft oder Organisation für die kollektive Rechtewahrnehmung nimmt diese Online-Rechte diskriminierungsfrei wahr.</w:t>
      </w:r>
    </w:p>
    <w:p w14:paraId="65760FAA" w14:textId="77777777" w:rsidR="000F18F2" w:rsidRPr="004676F5" w:rsidRDefault="000F18F2" w:rsidP="000F18F2">
      <w:pPr>
        <w:jc w:val="both"/>
        <w:rPr>
          <w:lang w:val="de-DE"/>
        </w:rPr>
      </w:pPr>
    </w:p>
    <w:p w14:paraId="7D43CCD0" w14:textId="4024B3C2"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Die Verwertungsgesellschaft, die den Auftrag erteilt hat, informiert ihre Gesellschafter über die zentralen Bedingungen dieser Vereinbarung, darunter die Laufzeit der Vereinbarung und die Kosten für die von der beauftragten Verwertungsgesellschaft oder Organisation für die kollektive Rechtewahrnehmung erbrachten Leistungen.</w:t>
      </w:r>
    </w:p>
    <w:p w14:paraId="2D154285" w14:textId="77777777" w:rsidR="000F18F2" w:rsidRPr="004676F5" w:rsidRDefault="000F18F2" w:rsidP="000F18F2">
      <w:pPr>
        <w:jc w:val="both"/>
        <w:rPr>
          <w:lang w:val="de-DE"/>
        </w:rPr>
      </w:pPr>
    </w:p>
    <w:p w14:paraId="23A5C501" w14:textId="326D71F4"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Die beauftragte Verwertungsgesellschaft oder Organisation für die kollektive Rechtewahrnehmung informiert die Verwertungsgesellschaft, die den Auftrag erteilt hat, über die zentralen Bedingungen für die Vergabe von Lizenzen für die Online-Rechte der Letzteren, unter anderem über Art der Verwertung, sämtliche Bestimmungen, die die Vergütung betreffen oder sich darauf auswirken, Geltungsdauer der Lizenz, Rechnungsperioden und Lizenzgebiete, für die sie gilt.]</w:t>
      </w:r>
    </w:p>
    <w:p w14:paraId="2983854A" w14:textId="77777777" w:rsidR="000F18F2" w:rsidRPr="004676F5" w:rsidRDefault="000F18F2" w:rsidP="000F18F2">
      <w:pPr>
        <w:jc w:val="both"/>
        <w:rPr>
          <w:lang w:val="de-DE"/>
        </w:rPr>
      </w:pPr>
    </w:p>
    <w:p w14:paraId="359D3E20" w14:textId="6FF6CC0D"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XI.273/8 eingefügt durch </w:t>
      </w:r>
      <w:r w:rsidR="00BE0A56" w:rsidRPr="004676F5">
        <w:rPr>
          <w:i/>
          <w:lang w:val="de-DE"/>
        </w:rPr>
        <w:t>Art. </w:t>
      </w:r>
      <w:r w:rsidRPr="004676F5">
        <w:rPr>
          <w:i/>
          <w:lang w:val="de-DE"/>
        </w:rPr>
        <w:t>92 des G. vom 8. </w:t>
      </w:r>
      <w:r w:rsidRPr="00B14651">
        <w:rPr>
          <w:i/>
          <w:lang w:val="de-DE"/>
        </w:rPr>
        <w:t>Juni 2017 (B.S. vom 27. Juni 2017)]</w:t>
      </w:r>
    </w:p>
    <w:p w14:paraId="6C652E16" w14:textId="77777777" w:rsidR="000F18F2" w:rsidRPr="00B14651" w:rsidRDefault="000F18F2" w:rsidP="000F18F2">
      <w:pPr>
        <w:jc w:val="both"/>
        <w:rPr>
          <w:lang w:val="de-DE"/>
        </w:rPr>
      </w:pPr>
    </w:p>
    <w:p w14:paraId="00A5E161" w14:textId="77777777" w:rsidR="000F18F2" w:rsidRPr="00B14651" w:rsidRDefault="000F18F2" w:rsidP="000F18F2">
      <w:pPr>
        <w:jc w:val="both"/>
        <w:rPr>
          <w:lang w:val="de-DE"/>
        </w:rPr>
      </w:pPr>
    </w:p>
    <w:p w14:paraId="76C4028D" w14:textId="454887CE" w:rsidR="000F18F2" w:rsidRPr="004676F5" w:rsidRDefault="000F18F2" w:rsidP="000F18F2">
      <w:pPr>
        <w:jc w:val="both"/>
        <w:rPr>
          <w:lang w:val="de-DE"/>
        </w:rPr>
      </w:pPr>
      <w:r w:rsidRPr="00B14651">
        <w:rPr>
          <w:lang w:val="de-DE"/>
        </w:rPr>
        <w:lastRenderedPageBreak/>
        <w:tab/>
      </w:r>
      <w:r w:rsidRPr="004676F5">
        <w:rPr>
          <w:lang w:val="de-DE"/>
        </w:rPr>
        <w:t>[</w:t>
      </w:r>
      <w:r w:rsidR="00BE0A56" w:rsidRPr="004676F5">
        <w:rPr>
          <w:b/>
          <w:lang w:val="de-DE"/>
        </w:rPr>
        <w:t>Art. </w:t>
      </w:r>
      <w:r w:rsidRPr="004676F5">
        <w:rPr>
          <w:b/>
          <w:lang w:val="de-DE"/>
        </w:rPr>
        <w:t>XI.273/9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Eine Verwertungsgesellschaft oder Organisation für die kollektive Rechtewahrnehmung, an die eine Verwertungsgesellschaft oder Organisation für die kollektive Rechtewahrnehmung, die keine Mehrgebietslizenzen für Online-Rechte an Musikwerken ihres eigenen Repertoires vergibt oder anbietet, den Antrag richtet, mit ihr eine Repräsentations</w:t>
      </w:r>
      <w:r w:rsidRPr="004676F5">
        <w:rPr>
          <w:lang w:val="de-DE"/>
        </w:rPr>
        <w:softHyphen/>
        <w:t>vereinbarung über die Repräsentation dieser Rechte zu schließen, muss diesen Antrag annehmen, wenn sie bereits Mehrgebietslizenzen für dieselbe Kategorie von Online-Rechten an Musikwerken aus dem Repertoire einer oder mehrerer anderer Verwertungsgesellschaften oder Organisationen für die kollektive Rechtewahrnehmung vergibt oder anbietet.</w:t>
      </w:r>
    </w:p>
    <w:p w14:paraId="58A2E3E4" w14:textId="77777777" w:rsidR="000F18F2" w:rsidRPr="004676F5" w:rsidRDefault="000F18F2" w:rsidP="000F18F2">
      <w:pPr>
        <w:jc w:val="both"/>
        <w:rPr>
          <w:lang w:val="de-DE"/>
        </w:rPr>
      </w:pPr>
    </w:p>
    <w:p w14:paraId="7C0D9331" w14:textId="2190FA0C"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Die Verwertungsgesellschaft oder Organisation für die kollektive Rechtewahrnehmung, an die der Antrag gerichtet wurde, antwortet der anderen Verwertungs</w:t>
      </w:r>
      <w:r w:rsidRPr="004676F5">
        <w:rPr>
          <w:lang w:val="de-DE"/>
        </w:rPr>
        <w:softHyphen/>
        <w:t>gesellschaft oder Organisation für die kollektive Rechtewahrnehmung schriftlich und unverzüglich.</w:t>
      </w:r>
    </w:p>
    <w:p w14:paraId="2FD4B830" w14:textId="77777777" w:rsidR="000F18F2" w:rsidRPr="004676F5" w:rsidRDefault="000F18F2" w:rsidP="000F18F2">
      <w:pPr>
        <w:jc w:val="both"/>
        <w:rPr>
          <w:lang w:val="de-DE"/>
        </w:rPr>
      </w:pPr>
    </w:p>
    <w:p w14:paraId="0EAAC6CF" w14:textId="03FE3EE3"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Unbeschadet der Paragraphen 5 und 6 nimmt die Verwertungsgesellschaft oder Organisation für die kollektive Rechtewahrnehmung, an die der Antrag gerichtet wurde, das von der anderen Verwertungsgesellschaft oder Organisation für die kollektive Rechtewahr</w:t>
      </w:r>
      <w:r w:rsidRPr="004676F5">
        <w:rPr>
          <w:lang w:val="de-DE"/>
        </w:rPr>
        <w:softHyphen/>
        <w:t>nehmung repräsentierte Repertoire zu denselben Bedingungen wahr wie ihr eigenes Repertoire.</w:t>
      </w:r>
    </w:p>
    <w:p w14:paraId="48999D9C" w14:textId="77777777" w:rsidR="000F18F2" w:rsidRPr="004676F5" w:rsidRDefault="000F18F2" w:rsidP="000F18F2">
      <w:pPr>
        <w:jc w:val="both"/>
        <w:rPr>
          <w:lang w:val="de-DE"/>
        </w:rPr>
      </w:pPr>
    </w:p>
    <w:p w14:paraId="48403C2B" w14:textId="01D50272" w:rsidR="000F18F2" w:rsidRPr="004676F5" w:rsidRDefault="000F18F2" w:rsidP="000F18F2">
      <w:pPr>
        <w:jc w:val="both"/>
        <w:rPr>
          <w:lang w:val="de-DE"/>
        </w:rPr>
      </w:pPr>
      <w:r w:rsidRPr="004676F5">
        <w:rPr>
          <w:lang w:val="de-DE"/>
        </w:rPr>
        <w:tab/>
        <w:t>§ 4 </w:t>
      </w:r>
      <w:r w:rsidR="005B7A5C" w:rsidRPr="004676F5">
        <w:rPr>
          <w:lang w:val="de-DE"/>
        </w:rPr>
        <w:t>- </w:t>
      </w:r>
      <w:r w:rsidRPr="004676F5">
        <w:rPr>
          <w:lang w:val="de-DE"/>
        </w:rPr>
        <w:t>Die Verwertungsgesellschaft oder Organisation für die kollektive Rechtewahr</w:t>
      </w:r>
      <w:r w:rsidRPr="004676F5">
        <w:rPr>
          <w:lang w:val="de-DE"/>
        </w:rPr>
        <w:softHyphen/>
        <w:t>nehmung, an die der Antrag gerichtet wurde, nimmt das von der anderen Verwertungs</w:t>
      </w:r>
      <w:r w:rsidRPr="004676F5">
        <w:rPr>
          <w:lang w:val="de-DE"/>
        </w:rPr>
        <w:softHyphen/>
        <w:t>gesellschaft oder Organisation für die kollektive Rechtewahrnehmung repräsentierte Repertoire in alle Angebote auf, die sie an Anbieter von Online-Diensten richtet.</w:t>
      </w:r>
    </w:p>
    <w:p w14:paraId="635116EF" w14:textId="77777777" w:rsidR="000F18F2" w:rsidRPr="004676F5" w:rsidRDefault="000F18F2" w:rsidP="000F18F2">
      <w:pPr>
        <w:jc w:val="both"/>
        <w:rPr>
          <w:lang w:val="de-DE"/>
        </w:rPr>
      </w:pPr>
    </w:p>
    <w:p w14:paraId="38E9BC72" w14:textId="0E63F94B" w:rsidR="000F18F2" w:rsidRPr="004676F5" w:rsidRDefault="000F18F2" w:rsidP="000F18F2">
      <w:pPr>
        <w:jc w:val="both"/>
        <w:rPr>
          <w:lang w:val="de-DE"/>
        </w:rPr>
      </w:pPr>
      <w:r w:rsidRPr="004676F5">
        <w:rPr>
          <w:lang w:val="de-DE"/>
        </w:rPr>
        <w:tab/>
        <w:t>§ 5 </w:t>
      </w:r>
      <w:r w:rsidR="005B7A5C" w:rsidRPr="004676F5">
        <w:rPr>
          <w:lang w:val="de-DE"/>
        </w:rPr>
        <w:t>- </w:t>
      </w:r>
      <w:r w:rsidRPr="004676F5">
        <w:rPr>
          <w:lang w:val="de-DE"/>
        </w:rPr>
        <w:t>Verwaltungskosten, die die Verwertungsgesellschaft oder Organisation für die kollektive Rechtewahrnehmung, an die der Antrag gerichtet wurde, von der Verwertungsgesell</w:t>
      </w:r>
      <w:r w:rsidRPr="004676F5">
        <w:rPr>
          <w:lang w:val="de-DE"/>
        </w:rPr>
        <w:softHyphen/>
        <w:t>schaft oder Organisation für die kollektive Rechtewahrnehmung, die den Antrag gestellt hat, für die erbrachten Leistungen verlangt, dürfen die Kosten nicht übersteigen, die Ersterer vernünftigerweise entstanden sind.</w:t>
      </w:r>
    </w:p>
    <w:p w14:paraId="79EF3149" w14:textId="77777777" w:rsidR="000F18F2" w:rsidRPr="004676F5" w:rsidRDefault="000F18F2" w:rsidP="000F18F2">
      <w:pPr>
        <w:jc w:val="both"/>
        <w:rPr>
          <w:lang w:val="de-DE"/>
        </w:rPr>
      </w:pPr>
    </w:p>
    <w:p w14:paraId="6842AF7C" w14:textId="65971BCE" w:rsidR="000F18F2" w:rsidRPr="004676F5" w:rsidRDefault="000F18F2" w:rsidP="000F18F2">
      <w:pPr>
        <w:jc w:val="both"/>
        <w:rPr>
          <w:lang w:val="de-DE"/>
        </w:rPr>
      </w:pPr>
      <w:r w:rsidRPr="004676F5">
        <w:rPr>
          <w:lang w:val="de-DE"/>
        </w:rPr>
        <w:tab/>
        <w:t>§ 6 </w:t>
      </w:r>
      <w:r w:rsidR="005B7A5C" w:rsidRPr="004676F5">
        <w:rPr>
          <w:lang w:val="de-DE"/>
        </w:rPr>
        <w:t>- </w:t>
      </w:r>
      <w:r w:rsidRPr="004676F5">
        <w:rPr>
          <w:lang w:val="de-DE"/>
        </w:rPr>
        <w:t>Die Verwertungsgesellschaft oder Organisation für die kollektive Rechtewahr</w:t>
      </w:r>
      <w:r w:rsidRPr="004676F5">
        <w:rPr>
          <w:lang w:val="de-DE"/>
        </w:rPr>
        <w:softHyphen/>
        <w:t>nehmung, die den Antrag gestellt hat, stellt der anderen Verwertungsgesellschaft oder Organisation für die kollektive Rechtewahrnehmung die für die Vergabe von Mehrgebiets</w:t>
      </w:r>
      <w:r w:rsidRPr="004676F5">
        <w:rPr>
          <w:lang w:val="de-DE"/>
        </w:rPr>
        <w:softHyphen/>
        <w:t>lizenzen für Online-Rechte an Musikwerken erforderlichen Informationen über ihr eigenes Musikrepertoire zur Verfügung. Wenn die Informationen unzureichend sind oder in einer solchen Form vorgelegt wurden, dass die Verwertungsgesellschaft oder Organisation für die kollektive Rechtewahrnehmung, an die der Antrag gerichtet wurde, die Anforderungen des vorliegenden Abschnitts nicht erfüllen kann, ist diese berechtigt, die vernünftigerweise für die Erfüllung der Anforderungen anfallenden Kosten in Rechnung zu stellen oder diejenigen Werke auszuschließen, zu denen keine ausreichenden oder verwendbaren Informationen vorgelegt wurden.]</w:t>
      </w:r>
    </w:p>
    <w:p w14:paraId="61530C86" w14:textId="77777777" w:rsidR="000F18F2" w:rsidRPr="004676F5" w:rsidRDefault="000F18F2" w:rsidP="000F18F2">
      <w:pPr>
        <w:jc w:val="both"/>
        <w:rPr>
          <w:lang w:val="de-DE"/>
        </w:rPr>
      </w:pPr>
    </w:p>
    <w:p w14:paraId="4A1460C6" w14:textId="4F5D9225"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XI.273/9 eingefügt durch </w:t>
      </w:r>
      <w:r w:rsidR="00BE0A56" w:rsidRPr="004676F5">
        <w:rPr>
          <w:i/>
          <w:lang w:val="de-DE"/>
        </w:rPr>
        <w:t>Art. </w:t>
      </w:r>
      <w:r w:rsidRPr="004676F5">
        <w:rPr>
          <w:i/>
          <w:lang w:val="de-DE"/>
        </w:rPr>
        <w:t>93 des G. vom 8. </w:t>
      </w:r>
      <w:r w:rsidRPr="00B14651">
        <w:rPr>
          <w:i/>
          <w:lang w:val="de-DE"/>
        </w:rPr>
        <w:t>Juni 2017 (B.S. vom 27. Juni 2017)]</w:t>
      </w:r>
    </w:p>
    <w:p w14:paraId="0AD15B95" w14:textId="77777777" w:rsidR="000F18F2" w:rsidRPr="00B14651" w:rsidRDefault="000F18F2" w:rsidP="000F18F2">
      <w:pPr>
        <w:jc w:val="both"/>
        <w:rPr>
          <w:lang w:val="de-DE"/>
        </w:rPr>
      </w:pPr>
    </w:p>
    <w:p w14:paraId="1CB319D4" w14:textId="77777777" w:rsidR="000F18F2" w:rsidRPr="00B14651" w:rsidRDefault="000F18F2" w:rsidP="000F18F2">
      <w:pPr>
        <w:jc w:val="both"/>
        <w:rPr>
          <w:lang w:val="de-DE"/>
        </w:rPr>
      </w:pPr>
    </w:p>
    <w:p w14:paraId="1DF2A46C" w14:textId="70EB727F"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XI.273/10</w:t>
      </w:r>
      <w:r w:rsidRPr="004676F5">
        <w:rPr>
          <w:lang w:val="de-DE"/>
        </w:rPr>
        <w:t> </w:t>
      </w:r>
      <w:r w:rsidR="005B7A5C" w:rsidRPr="004676F5">
        <w:rPr>
          <w:lang w:val="de-DE"/>
        </w:rPr>
        <w:t>- </w:t>
      </w:r>
      <w:r w:rsidRPr="004676F5">
        <w:rPr>
          <w:lang w:val="de-DE"/>
        </w:rPr>
        <w:t>Rechtsinhaber, die eine Verwertungsgesellschaft mit der Repräsen</w:t>
      </w:r>
      <w:r w:rsidRPr="004676F5">
        <w:rPr>
          <w:lang w:val="de-DE"/>
        </w:rPr>
        <w:softHyphen/>
        <w:t xml:space="preserve">tation ihrer Online-Rechte an Musikwerken betraut haben, können unter Einhaltung der in Artikel XI.248/3 § 1 vorgesehenen Kündigungsfrist dieser die Online-Rechte an Musikwerken für Zwecke der Vergabe von Mehrgebietslizenzen für alle Gebiete wieder entziehen, ohne ihr auch die Online-Rechte an Musikwerken für die Vergabe von Eingebietslizenzen zu entziehen, um selbst, über einen bevollmächtigten Dritten oder über eine andere Verwertungsgesellschaft, </w:t>
      </w:r>
      <w:r w:rsidRPr="004676F5">
        <w:rPr>
          <w:lang w:val="de-DE"/>
        </w:rPr>
        <w:lastRenderedPageBreak/>
        <w:t>die die Anforderungen des vorliegenden Kapitels erfüllt, entsprechende Mehrgebietslizenzen erteilen zu können, wenn die beauftragte Verwertungsgesellschaft bis zum 10. April 2017 keine solche Mehrgebietslizenzen vergibt oder anbietet und keiner anderen Verwertungsgesellschaft oder Organisation für die kollektive Rechtewahrnehmung erlaubt, diese Rechte zu repräsentieren.]</w:t>
      </w:r>
    </w:p>
    <w:p w14:paraId="009A84E0" w14:textId="77777777" w:rsidR="000F18F2" w:rsidRPr="004676F5" w:rsidRDefault="000F18F2" w:rsidP="000F18F2">
      <w:pPr>
        <w:jc w:val="both"/>
        <w:rPr>
          <w:lang w:val="de-DE"/>
        </w:rPr>
      </w:pPr>
    </w:p>
    <w:p w14:paraId="42E83D59" w14:textId="260988B8"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XI.273/10 eingefügt durch </w:t>
      </w:r>
      <w:r w:rsidR="00BE0A56" w:rsidRPr="004676F5">
        <w:rPr>
          <w:i/>
          <w:lang w:val="de-DE"/>
        </w:rPr>
        <w:t>Art. </w:t>
      </w:r>
      <w:r w:rsidRPr="004676F5">
        <w:rPr>
          <w:i/>
          <w:lang w:val="de-DE"/>
        </w:rPr>
        <w:t>94 des G. vom 8. </w:t>
      </w:r>
      <w:r w:rsidRPr="00B14651">
        <w:rPr>
          <w:i/>
          <w:lang w:val="de-DE"/>
        </w:rPr>
        <w:t>Juni 2017 (B.S. vom 27. Juni 2017)]</w:t>
      </w:r>
    </w:p>
    <w:p w14:paraId="62864D1B" w14:textId="77777777" w:rsidR="000F18F2" w:rsidRPr="00B14651" w:rsidRDefault="000F18F2" w:rsidP="000F18F2">
      <w:pPr>
        <w:jc w:val="both"/>
        <w:rPr>
          <w:b/>
          <w:lang w:val="de-DE"/>
        </w:rPr>
      </w:pPr>
    </w:p>
    <w:p w14:paraId="5548FEF1" w14:textId="77777777" w:rsidR="000F18F2" w:rsidRPr="00B14651" w:rsidRDefault="000F18F2" w:rsidP="000F18F2">
      <w:pPr>
        <w:jc w:val="both"/>
        <w:rPr>
          <w:lang w:val="de-DE"/>
        </w:rPr>
      </w:pPr>
    </w:p>
    <w:p w14:paraId="6C69403C" w14:textId="111D8B68"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XI.273/11</w:t>
      </w:r>
      <w:r w:rsidRPr="004676F5">
        <w:rPr>
          <w:lang w:val="de-DE"/>
        </w:rPr>
        <w:t> </w:t>
      </w:r>
      <w:r w:rsidR="005B7A5C" w:rsidRPr="004676F5">
        <w:rPr>
          <w:lang w:val="de-DE"/>
        </w:rPr>
        <w:t>- </w:t>
      </w:r>
      <w:r w:rsidRPr="004676F5">
        <w:rPr>
          <w:lang w:val="de-DE"/>
        </w:rPr>
        <w:t>Die Bestimmungen des vorliegenden Abschnitts findet auf Verwertungsgesellschaften keine Anwendung, die auf der Grundlage einer freiwilligen Bündelung der notwendigen Rechte unter Beachtung der Wettbewerbsregeln gemäß Artikel 101 und 102 des Vertrags über die Arbeitsweise der Europäischen Union eine Mehrgebietslizenz für Online-Rechte an Musikwerken erteilen, die Sendeunternehmen benötigen, um ihre Hörfunk</w:t>
      </w:r>
      <w:r w:rsidR="005B7A5C" w:rsidRPr="004676F5">
        <w:rPr>
          <w:lang w:val="de-DE"/>
        </w:rPr>
        <w:t>- </w:t>
      </w:r>
      <w:r w:rsidRPr="004676F5">
        <w:rPr>
          <w:lang w:val="de-DE"/>
        </w:rPr>
        <w:t>oder Fernsehprogramme begleitend zur ersten Sendung oder danach und sonstige Online-Inhalte, einschließlich Vorschauen, die ergänzend zur ersten Sendung von dem oder für das Sendeunternehmen produziert wurden, öffentlich wiedergeben oder zugänglich machen zu können.]</w:t>
      </w:r>
    </w:p>
    <w:p w14:paraId="1CD23217" w14:textId="77777777" w:rsidR="000F18F2" w:rsidRPr="004676F5" w:rsidRDefault="000F18F2" w:rsidP="000F18F2">
      <w:pPr>
        <w:jc w:val="both"/>
        <w:rPr>
          <w:lang w:val="de-DE"/>
        </w:rPr>
      </w:pPr>
    </w:p>
    <w:p w14:paraId="46D84C3C" w14:textId="5D83AE3F"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XI.273/11 eingefügt durch </w:t>
      </w:r>
      <w:r w:rsidR="00BE0A56" w:rsidRPr="004676F5">
        <w:rPr>
          <w:i/>
          <w:lang w:val="de-DE"/>
        </w:rPr>
        <w:t>Art. </w:t>
      </w:r>
      <w:r w:rsidRPr="004676F5">
        <w:rPr>
          <w:i/>
          <w:lang w:val="de-DE"/>
        </w:rPr>
        <w:t>95 des G. vom 8. </w:t>
      </w:r>
      <w:r w:rsidRPr="00B14651">
        <w:rPr>
          <w:i/>
          <w:lang w:val="de-DE"/>
        </w:rPr>
        <w:t>Juni 2017 (B.S. vom 27. Juni 2017)]</w:t>
      </w:r>
    </w:p>
    <w:p w14:paraId="72F17641" w14:textId="77777777" w:rsidR="000F18F2" w:rsidRPr="00B14651" w:rsidRDefault="000F18F2" w:rsidP="000F18F2">
      <w:pPr>
        <w:jc w:val="both"/>
        <w:rPr>
          <w:b/>
          <w:lang w:val="de-DE"/>
        </w:rPr>
      </w:pPr>
    </w:p>
    <w:p w14:paraId="3452A15C" w14:textId="77777777" w:rsidR="000F18F2" w:rsidRPr="00B14651" w:rsidRDefault="000F18F2" w:rsidP="000F18F2">
      <w:pPr>
        <w:jc w:val="both"/>
        <w:rPr>
          <w:lang w:val="de-DE"/>
        </w:rPr>
      </w:pPr>
    </w:p>
    <w:p w14:paraId="6105291A" w14:textId="1B5AC548"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XI.273/12</w:t>
      </w:r>
      <w:r w:rsidRPr="004676F5">
        <w:rPr>
          <w:lang w:val="de-DE"/>
        </w:rPr>
        <w:t> </w:t>
      </w:r>
      <w:r w:rsidR="005B7A5C" w:rsidRPr="004676F5">
        <w:rPr>
          <w:lang w:val="de-DE"/>
        </w:rPr>
        <w:t>- </w:t>
      </w:r>
      <w:r w:rsidRPr="004676F5">
        <w:rPr>
          <w:lang w:val="de-DE"/>
        </w:rPr>
        <w:t>Folgende Streitigkeiten einer Verwertungsgesellschaft, die Mehrge</w:t>
      </w:r>
      <w:r w:rsidRPr="004676F5">
        <w:rPr>
          <w:lang w:val="de-DE"/>
        </w:rPr>
        <w:softHyphen/>
        <w:t>biets</w:t>
      </w:r>
      <w:r w:rsidRPr="004676F5">
        <w:rPr>
          <w:lang w:val="de-DE"/>
        </w:rPr>
        <w:softHyphen/>
        <w:t xml:space="preserve">lizenzen für Online-Rechte an Musikwerken vergibt oder anbietet, können einvernehmlich </w:t>
      </w:r>
      <w:r w:rsidR="008401FD" w:rsidRPr="004676F5">
        <w:rPr>
          <w:lang w:val="de-DE"/>
        </w:rPr>
        <w:t>[einem oder mehreren Vermittlern]</w:t>
      </w:r>
      <w:r w:rsidRPr="004676F5">
        <w:rPr>
          <w:lang w:val="de-DE"/>
        </w:rPr>
        <w:t xml:space="preserve"> vorgelegt werden:</w:t>
      </w:r>
    </w:p>
    <w:p w14:paraId="1E06ACC1" w14:textId="77777777" w:rsidR="000F18F2" w:rsidRPr="004676F5" w:rsidRDefault="000F18F2" w:rsidP="000F18F2">
      <w:pPr>
        <w:jc w:val="both"/>
        <w:rPr>
          <w:lang w:val="de-DE"/>
        </w:rPr>
      </w:pPr>
    </w:p>
    <w:p w14:paraId="011E2795" w14:textId="77777777" w:rsidR="000F18F2" w:rsidRPr="004676F5" w:rsidRDefault="000F18F2" w:rsidP="000F18F2">
      <w:pPr>
        <w:jc w:val="both"/>
        <w:rPr>
          <w:lang w:val="de-DE"/>
        </w:rPr>
      </w:pPr>
      <w:r w:rsidRPr="004676F5">
        <w:rPr>
          <w:lang w:val="de-DE"/>
        </w:rPr>
        <w:tab/>
        <w:t>1. Streitigkeiten mit einem tatsächlichen oder potenziellen Anbieter eines Online-Dienstes über die Anwendung der Artikel XI.262 beziehungsweise XI.273/4 bis XI.273/6,</w:t>
      </w:r>
    </w:p>
    <w:p w14:paraId="7CE12CD5" w14:textId="77777777" w:rsidR="000F18F2" w:rsidRPr="004676F5" w:rsidRDefault="000F18F2" w:rsidP="000F18F2">
      <w:pPr>
        <w:jc w:val="both"/>
        <w:rPr>
          <w:lang w:val="de-DE"/>
        </w:rPr>
      </w:pPr>
    </w:p>
    <w:p w14:paraId="6581DFF0" w14:textId="77777777" w:rsidR="000F18F2" w:rsidRPr="004676F5" w:rsidRDefault="000F18F2" w:rsidP="000F18F2">
      <w:pPr>
        <w:jc w:val="both"/>
        <w:rPr>
          <w:lang w:val="de-DE"/>
        </w:rPr>
      </w:pPr>
      <w:r w:rsidRPr="004676F5">
        <w:rPr>
          <w:lang w:val="de-DE"/>
        </w:rPr>
        <w:tab/>
        <w:t>2. Streitigkeiten mit einem oder mehreren Rechtsinhabern über die Anwendung der Artikel XI.273/4 bis XI.273/10,</w:t>
      </w:r>
    </w:p>
    <w:p w14:paraId="4278E99B" w14:textId="77777777" w:rsidR="000F18F2" w:rsidRPr="004676F5" w:rsidRDefault="000F18F2" w:rsidP="000F18F2">
      <w:pPr>
        <w:jc w:val="both"/>
        <w:rPr>
          <w:lang w:val="de-DE"/>
        </w:rPr>
      </w:pPr>
    </w:p>
    <w:p w14:paraId="33A6BCF8" w14:textId="77777777" w:rsidR="000F18F2" w:rsidRPr="004676F5" w:rsidRDefault="000F18F2" w:rsidP="000F18F2">
      <w:pPr>
        <w:jc w:val="both"/>
        <w:rPr>
          <w:lang w:val="de-DE"/>
        </w:rPr>
      </w:pPr>
      <w:r w:rsidRPr="004676F5">
        <w:rPr>
          <w:lang w:val="de-DE"/>
        </w:rPr>
        <w:tab/>
        <w:t>3. Streitigkeiten mit einer anderen Verwertungsgesellschaft oder Organisation für die kollektive Rechtewahrnehmung über die Anwendung der Artikel XI.273/4 bis XI.273/9.</w:t>
      </w:r>
    </w:p>
    <w:p w14:paraId="1EAC51E2" w14:textId="77777777" w:rsidR="000F18F2" w:rsidRPr="004676F5" w:rsidRDefault="000F18F2" w:rsidP="000F18F2">
      <w:pPr>
        <w:jc w:val="both"/>
        <w:rPr>
          <w:lang w:val="de-DE"/>
        </w:rPr>
      </w:pPr>
    </w:p>
    <w:p w14:paraId="53CE1222" w14:textId="1BB85278" w:rsidR="000F18F2" w:rsidRPr="004676F5" w:rsidRDefault="000F18F2" w:rsidP="000F18F2">
      <w:pPr>
        <w:jc w:val="both"/>
        <w:rPr>
          <w:lang w:val="de-DE"/>
        </w:rPr>
      </w:pPr>
      <w:r w:rsidRPr="004676F5">
        <w:rPr>
          <w:lang w:val="de-DE"/>
        </w:rPr>
        <w:tab/>
      </w:r>
      <w:r w:rsidR="008401FD" w:rsidRPr="004676F5">
        <w:rPr>
          <w:lang w:val="de-DE"/>
        </w:rPr>
        <w:t>[Der oder die Vermittler werden gemäß den Regeln von Teil VII des Gerichtsgesetzbuches über die Bestimmung der Vermittler bestimmt.]</w:t>
      </w:r>
      <w:r w:rsidRPr="004676F5">
        <w:rPr>
          <w:lang w:val="de-DE"/>
        </w:rPr>
        <w:t xml:space="preserve"> Sie müssen Unabhängigkeit und Unparteilichkeit gewährleisten. Sie müssen Beistand bei der Führung der Verhandlungen leisten und können nach Anhörung der betroffenen Parteien Vorschläge unterbreiten. Vorschläge werden per Einschreibesendung mit Rückschein notifiziert.</w:t>
      </w:r>
    </w:p>
    <w:p w14:paraId="239A83AF" w14:textId="77777777" w:rsidR="000F18F2" w:rsidRPr="004676F5" w:rsidRDefault="000F18F2" w:rsidP="000F18F2">
      <w:pPr>
        <w:jc w:val="both"/>
        <w:rPr>
          <w:lang w:val="de-DE"/>
        </w:rPr>
      </w:pPr>
    </w:p>
    <w:p w14:paraId="79BAA889" w14:textId="5C8C6A95" w:rsidR="000F18F2" w:rsidRPr="004676F5" w:rsidRDefault="000F18F2" w:rsidP="000F18F2">
      <w:pPr>
        <w:jc w:val="both"/>
        <w:rPr>
          <w:lang w:val="de-DE"/>
        </w:rPr>
      </w:pPr>
      <w:r w:rsidRPr="004676F5">
        <w:rPr>
          <w:lang w:val="de-DE"/>
        </w:rPr>
        <w:tab/>
        <w:t xml:space="preserve">Es wird davon ausgegangen, dass die Parteien die ihnen </w:t>
      </w:r>
      <w:r w:rsidR="008401FD" w:rsidRPr="004676F5">
        <w:rPr>
          <w:lang w:val="de-DE"/>
        </w:rPr>
        <w:t xml:space="preserve">[von dem oder den Vermittlern] </w:t>
      </w:r>
      <w:r w:rsidRPr="004676F5">
        <w:rPr>
          <w:lang w:val="de-DE"/>
        </w:rPr>
        <w:t>übermittelten Vorschläge annehmen, wenn binnen drei Monaten ab der Notifizierung keine der Parteien sich in derselben Form anhand einer Notifizierung an die anderen Parteien den Vorschlägen widersetzt.]</w:t>
      </w:r>
    </w:p>
    <w:p w14:paraId="08E0996B" w14:textId="77777777" w:rsidR="000F18F2" w:rsidRPr="004676F5" w:rsidRDefault="000F18F2" w:rsidP="000F18F2">
      <w:pPr>
        <w:jc w:val="both"/>
        <w:rPr>
          <w:lang w:val="de-DE"/>
        </w:rPr>
      </w:pPr>
    </w:p>
    <w:p w14:paraId="2B6A44E9" w14:textId="18BF8818" w:rsidR="000F18F2" w:rsidRPr="004676F5"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XI.273/12 eingefügt durch </w:t>
      </w:r>
      <w:r w:rsidR="00BE0A56" w:rsidRPr="004676F5">
        <w:rPr>
          <w:i/>
          <w:lang w:val="de-DE"/>
        </w:rPr>
        <w:t>Art. </w:t>
      </w:r>
      <w:r w:rsidRPr="004676F5">
        <w:rPr>
          <w:i/>
          <w:lang w:val="de-DE"/>
        </w:rPr>
        <w:t>96 des G. vom 8. Juni 2017 (B.S. vom 27. Juni 2017)</w:t>
      </w:r>
      <w:r w:rsidR="008401FD" w:rsidRPr="004676F5">
        <w:rPr>
          <w:i/>
          <w:lang w:val="de-DE"/>
        </w:rPr>
        <w:t>; Abs. 1 einleitende Bestimmung abgeändert durch Art. 19 Nr. 1 des G. vom 1. April 2022 (B.S. vom 21. April 2022); Abs. 2 abgeändert durch Art. 19 Nr. 2 des G. vom 1. April 2022 (B.S. vom 21. April 2022); Abs. 3 abgeändert durch Art. 19 Nr. 3 des G. vom 1. April 2022 (B.S. vom 21. April 2022)</w:t>
      </w:r>
      <w:r w:rsidRPr="004676F5">
        <w:rPr>
          <w:i/>
          <w:lang w:val="de-DE"/>
        </w:rPr>
        <w:t>]</w:t>
      </w:r>
    </w:p>
    <w:p w14:paraId="26E26A79" w14:textId="77777777" w:rsidR="000F18F2" w:rsidRPr="004676F5" w:rsidRDefault="000F18F2" w:rsidP="000F18F2">
      <w:pPr>
        <w:jc w:val="both"/>
        <w:rPr>
          <w:lang w:val="de-DE"/>
        </w:rPr>
      </w:pPr>
    </w:p>
    <w:p w14:paraId="53AD58AE" w14:textId="5A417C77" w:rsidR="00807D61" w:rsidRPr="004676F5" w:rsidRDefault="00807D61">
      <w:pPr>
        <w:rPr>
          <w:lang w:val="de-DE"/>
        </w:rPr>
      </w:pPr>
    </w:p>
    <w:p w14:paraId="3C2FE01B" w14:textId="69D138EC" w:rsidR="000F18F2" w:rsidRPr="004676F5" w:rsidRDefault="000F18F2" w:rsidP="000F18F2">
      <w:pPr>
        <w:jc w:val="center"/>
        <w:rPr>
          <w:lang w:val="de-DE"/>
        </w:rPr>
      </w:pPr>
      <w:r w:rsidRPr="004676F5">
        <w:rPr>
          <w:lang w:val="de-DE"/>
        </w:rPr>
        <w:t>[</w:t>
      </w:r>
      <w:r w:rsidRPr="004676F5">
        <w:rPr>
          <w:i/>
          <w:lang w:val="de-DE"/>
        </w:rPr>
        <w:t>Abschnitt 9</w:t>
      </w:r>
      <w:r w:rsidRPr="004676F5">
        <w:rPr>
          <w:lang w:val="de-DE"/>
        </w:rPr>
        <w:t> </w:t>
      </w:r>
      <w:r w:rsidR="005B7A5C" w:rsidRPr="004676F5">
        <w:rPr>
          <w:lang w:val="de-DE"/>
        </w:rPr>
        <w:t>- </w:t>
      </w:r>
      <w:r w:rsidRPr="004676F5">
        <w:rPr>
          <w:lang w:val="de-DE"/>
        </w:rPr>
        <w:t>Revisorenaufsicht]</w:t>
      </w:r>
    </w:p>
    <w:p w14:paraId="13B53DEF" w14:textId="77777777" w:rsidR="000F18F2" w:rsidRPr="004676F5" w:rsidRDefault="000F18F2" w:rsidP="000F18F2">
      <w:pPr>
        <w:jc w:val="both"/>
        <w:rPr>
          <w:lang w:val="de-DE"/>
        </w:rPr>
      </w:pPr>
    </w:p>
    <w:p w14:paraId="2B15B04C" w14:textId="254AFB86" w:rsidR="000F18F2" w:rsidRPr="00B14651" w:rsidRDefault="000F18F2" w:rsidP="000F18F2">
      <w:pPr>
        <w:jc w:val="both"/>
        <w:rPr>
          <w:i/>
          <w:lang w:val="de-DE"/>
        </w:rPr>
      </w:pPr>
      <w:r w:rsidRPr="004676F5">
        <w:rPr>
          <w:i/>
          <w:lang w:val="de-DE"/>
        </w:rPr>
        <w:t xml:space="preserve">[Unterteilung Abschnitt 9 eingefügt durch </w:t>
      </w:r>
      <w:r w:rsidR="00BE0A56" w:rsidRPr="004676F5">
        <w:rPr>
          <w:i/>
          <w:lang w:val="de-DE"/>
        </w:rPr>
        <w:t>Art. </w:t>
      </w:r>
      <w:r w:rsidRPr="004676F5">
        <w:rPr>
          <w:i/>
          <w:lang w:val="de-DE"/>
        </w:rPr>
        <w:t>97 des G. vom 8. </w:t>
      </w:r>
      <w:r w:rsidRPr="00B14651">
        <w:rPr>
          <w:i/>
          <w:lang w:val="de-DE"/>
        </w:rPr>
        <w:t>Juni 2017 (B.S. vom 27. Juni 2017)]</w:t>
      </w:r>
    </w:p>
    <w:p w14:paraId="7A192F78" w14:textId="77777777" w:rsidR="000F18F2" w:rsidRPr="00B14651" w:rsidRDefault="000F18F2" w:rsidP="000F18F2">
      <w:pPr>
        <w:jc w:val="both"/>
        <w:rPr>
          <w:lang w:val="de-DE"/>
        </w:rPr>
      </w:pPr>
    </w:p>
    <w:p w14:paraId="333F02F5" w14:textId="77777777" w:rsidR="000F18F2" w:rsidRPr="00B14651" w:rsidRDefault="000F18F2" w:rsidP="000F18F2">
      <w:pPr>
        <w:jc w:val="both"/>
        <w:rPr>
          <w:lang w:val="de-DE"/>
        </w:rPr>
      </w:pPr>
    </w:p>
    <w:p w14:paraId="13614E4B" w14:textId="381D1E82"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Bei Verwertungsgesellschaften wird die Kontrolle der Finanz</w:t>
      </w:r>
      <w:r w:rsidRPr="004676F5">
        <w:rPr>
          <w:lang w:val="de-DE"/>
        </w:rPr>
        <w:softHyphen/>
        <w:t>lage, des Jahresabschlusses und der Ordnungsmäßigkeit in Bezug auf vorliegenden Titel, seine Ausführungserlasse, die Satzung und die Verteilungsregeln der im Jahresabschluss und im konsolidierten Jahresabschluss eingetragenen Verrichtungen einem oder mehreren Kommissaren anvertraut, der/die ungeachtet der Größe der Verwertungsgesellschaft unter den Mitgliedern des Instituts der Betriebsrevisoren zu wählen ist/sind.</w:t>
      </w:r>
    </w:p>
    <w:p w14:paraId="17054C32" w14:textId="77777777" w:rsidR="000F18F2" w:rsidRPr="004676F5" w:rsidRDefault="000F18F2" w:rsidP="000F18F2">
      <w:pPr>
        <w:jc w:val="both"/>
        <w:rPr>
          <w:lang w:val="de-DE"/>
        </w:rPr>
      </w:pPr>
    </w:p>
    <w:p w14:paraId="4148CF70" w14:textId="77777777" w:rsidR="000F18F2" w:rsidRPr="004676F5" w:rsidRDefault="000F18F2" w:rsidP="000F18F2">
      <w:pPr>
        <w:jc w:val="both"/>
        <w:rPr>
          <w:lang w:val="de-DE"/>
        </w:rPr>
      </w:pPr>
      <w:r w:rsidRPr="004676F5">
        <w:rPr>
          <w:lang w:val="de-DE"/>
        </w:rPr>
        <w:tab/>
        <w:t>Alle Bestimmungen des Gesellschaftsgesetzbuches in Bezug auf Kommissare, ihren Auftrag, ihre Aufgaben und Befugnisse, die Modalitäten der Bestimmung und des Rücktritts sind auf die in Absatz 1 erwähnten Kommissare anwendbar.</w:t>
      </w:r>
    </w:p>
    <w:p w14:paraId="214ADB26" w14:textId="77777777" w:rsidR="000F18F2" w:rsidRPr="004676F5" w:rsidRDefault="000F18F2" w:rsidP="000F18F2">
      <w:pPr>
        <w:jc w:val="both"/>
        <w:rPr>
          <w:lang w:val="de-DE"/>
        </w:rPr>
      </w:pPr>
    </w:p>
    <w:p w14:paraId="4FC60404" w14:textId="30B700A3" w:rsidR="000F18F2" w:rsidRPr="004676F5" w:rsidRDefault="000F18F2" w:rsidP="000F18F2">
      <w:pPr>
        <w:jc w:val="both"/>
        <w:rPr>
          <w:i/>
          <w:lang w:val="de-DE"/>
        </w:rPr>
      </w:pPr>
      <w:r w:rsidRPr="004676F5">
        <w:rPr>
          <w:lang w:val="de-DE"/>
        </w:rPr>
        <w:tab/>
        <w:t>§ 2 </w:t>
      </w:r>
      <w:r w:rsidR="005B7A5C" w:rsidRPr="004676F5">
        <w:rPr>
          <w:lang w:val="de-DE"/>
        </w:rPr>
        <w:t>- </w:t>
      </w:r>
      <w:r w:rsidRPr="004676F5">
        <w:rPr>
          <w:lang w:val="de-DE"/>
        </w:rPr>
        <w:t>Bei Organisationen für die kollektive Rechtewahrnehmung wird hinsichtlich ihrer in Belgien gelegenen Zweigstellen die Kontrolle der Finanzlage, des Jahresabschlusses und der Ordnungsmäßigkeit in Bezug auf vorliegenden Titel, seine Ausführungserlasse, die Satzung und die Verteilungsregeln der im Jahresabschluss eingetragenen Verrichtungen einem oder mehreren Revisoren anvertraut, der/die ungeachtet der Größe der Organisation für die kollektive Rechtewahrnehmung unter den Mitgliedern des Instituts der Betriebsrevisoren zu wählen ist/sind.]</w:t>
      </w:r>
      <w:r w:rsidRPr="004676F5">
        <w:rPr>
          <w:i/>
          <w:lang w:val="de-DE"/>
        </w:rPr>
        <w:t xml:space="preserve"> </w:t>
      </w:r>
    </w:p>
    <w:p w14:paraId="7A94E4AB" w14:textId="77777777" w:rsidR="000F18F2" w:rsidRPr="004676F5" w:rsidRDefault="000F18F2" w:rsidP="000F18F2">
      <w:pPr>
        <w:jc w:val="both"/>
        <w:rPr>
          <w:i/>
          <w:lang w:val="de-DE"/>
        </w:rPr>
      </w:pPr>
    </w:p>
    <w:p w14:paraId="3D155E72" w14:textId="734EEAAC"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XI.273/13 eingefügt durch </w:t>
      </w:r>
      <w:r w:rsidR="00BE0A56" w:rsidRPr="004676F5">
        <w:rPr>
          <w:i/>
          <w:lang w:val="de-DE"/>
        </w:rPr>
        <w:t>Art. </w:t>
      </w:r>
      <w:r w:rsidRPr="004676F5">
        <w:rPr>
          <w:i/>
          <w:lang w:val="de-DE"/>
        </w:rPr>
        <w:t>98 des G. vom 8. </w:t>
      </w:r>
      <w:r w:rsidRPr="00B14651">
        <w:rPr>
          <w:i/>
          <w:lang w:val="de-DE"/>
        </w:rPr>
        <w:t>Juni 2017 (B.S. vom 27. Juni 2017)]</w:t>
      </w:r>
    </w:p>
    <w:p w14:paraId="77D50BA9" w14:textId="77777777" w:rsidR="000F18F2" w:rsidRPr="00B14651" w:rsidRDefault="000F18F2" w:rsidP="000F18F2">
      <w:pPr>
        <w:jc w:val="both"/>
        <w:rPr>
          <w:b/>
          <w:lang w:val="de-DE"/>
        </w:rPr>
      </w:pPr>
    </w:p>
    <w:p w14:paraId="432D40D7" w14:textId="77777777" w:rsidR="000F18F2" w:rsidRPr="00B14651" w:rsidRDefault="000F18F2" w:rsidP="000F18F2">
      <w:pPr>
        <w:jc w:val="both"/>
        <w:rPr>
          <w:lang w:val="de-DE"/>
        </w:rPr>
      </w:pPr>
    </w:p>
    <w:p w14:paraId="3A1D480E" w14:textId="5782BBE8"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XI.273/14</w:t>
      </w:r>
      <w:r w:rsidRPr="004676F5">
        <w:rPr>
          <w:lang w:val="de-DE"/>
        </w:rPr>
        <w:t> </w:t>
      </w:r>
      <w:r w:rsidR="005B7A5C" w:rsidRPr="004676F5">
        <w:rPr>
          <w:lang w:val="de-DE"/>
        </w:rPr>
        <w:t>- </w:t>
      </w:r>
      <w:r w:rsidRPr="004676F5">
        <w:rPr>
          <w:lang w:val="de-DE"/>
        </w:rPr>
        <w:t>Der Kontrolldienst kann von dem bei einer Verwertungsgesellschaft bestimmten Kommissar oder Revisor jederzeit einen Nachweis anfordern, dass keine Disziplinarstrafe gegen ihn verhängt worden ist.</w:t>
      </w:r>
    </w:p>
    <w:p w14:paraId="106213A9" w14:textId="77777777" w:rsidR="000F18F2" w:rsidRPr="004676F5" w:rsidRDefault="000F18F2" w:rsidP="000F18F2">
      <w:pPr>
        <w:jc w:val="both"/>
        <w:rPr>
          <w:lang w:val="de-DE"/>
        </w:rPr>
      </w:pPr>
    </w:p>
    <w:p w14:paraId="1D98F451" w14:textId="77777777" w:rsidR="000F18F2" w:rsidRPr="004676F5" w:rsidRDefault="000F18F2" w:rsidP="000F18F2">
      <w:pPr>
        <w:jc w:val="both"/>
        <w:rPr>
          <w:lang w:val="de-DE"/>
        </w:rPr>
      </w:pPr>
      <w:r w:rsidRPr="004676F5">
        <w:rPr>
          <w:lang w:val="de-DE"/>
        </w:rPr>
        <w:tab/>
        <w:t>Ein Kommissar oder Revisor, gegen den eine Disziplinarstrafe verhängt worden ist, setzt den Kontrolldienst und die betreffende Verwertungsgesellschaft von dieser Disziplinar</w:t>
      </w:r>
      <w:r w:rsidRPr="004676F5">
        <w:rPr>
          <w:lang w:val="de-DE"/>
        </w:rPr>
        <w:softHyphen/>
        <w:t>maßnahme binnen fünf Werktagen ab Zustellung dieser Maßnahme durch das Institut der Betriebsrevisoren in Kenntnis.]</w:t>
      </w:r>
    </w:p>
    <w:p w14:paraId="0FE18A91" w14:textId="77777777" w:rsidR="000F18F2" w:rsidRPr="004676F5" w:rsidRDefault="000F18F2" w:rsidP="000F18F2">
      <w:pPr>
        <w:jc w:val="both"/>
        <w:rPr>
          <w:lang w:val="de-DE"/>
        </w:rPr>
      </w:pPr>
    </w:p>
    <w:p w14:paraId="5A8D868F" w14:textId="59CA7539"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XI.273/14 eingefügt durch </w:t>
      </w:r>
      <w:r w:rsidR="00BE0A56" w:rsidRPr="004676F5">
        <w:rPr>
          <w:i/>
          <w:lang w:val="de-DE"/>
        </w:rPr>
        <w:t>Art. </w:t>
      </w:r>
      <w:r w:rsidRPr="004676F5">
        <w:rPr>
          <w:i/>
          <w:lang w:val="de-DE"/>
        </w:rPr>
        <w:t>99 des G. vom 8. </w:t>
      </w:r>
      <w:r w:rsidRPr="00B14651">
        <w:rPr>
          <w:i/>
          <w:lang w:val="de-DE"/>
        </w:rPr>
        <w:t>Juni 2017 (B.S. vom 27. Juni 2017)]</w:t>
      </w:r>
    </w:p>
    <w:p w14:paraId="02700A66" w14:textId="77777777" w:rsidR="000F18F2" w:rsidRPr="00B14651" w:rsidRDefault="000F18F2" w:rsidP="000F18F2">
      <w:pPr>
        <w:jc w:val="both"/>
        <w:rPr>
          <w:lang w:val="de-DE"/>
        </w:rPr>
      </w:pPr>
    </w:p>
    <w:p w14:paraId="1F4B947E" w14:textId="77777777" w:rsidR="000F18F2" w:rsidRPr="00B14651" w:rsidRDefault="000F18F2" w:rsidP="000F18F2">
      <w:pPr>
        <w:jc w:val="both"/>
        <w:rPr>
          <w:lang w:val="de-DE"/>
        </w:rPr>
      </w:pPr>
    </w:p>
    <w:p w14:paraId="318C6A69" w14:textId="4F6E02ED"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XI.273/15</w:t>
      </w:r>
      <w:r w:rsidRPr="004676F5">
        <w:rPr>
          <w:lang w:val="de-DE"/>
        </w:rPr>
        <w:t> </w:t>
      </w:r>
      <w:r w:rsidR="005B7A5C" w:rsidRPr="004676F5">
        <w:rPr>
          <w:lang w:val="de-DE"/>
        </w:rPr>
        <w:t>- </w:t>
      </w:r>
      <w:r w:rsidRPr="004676F5">
        <w:rPr>
          <w:lang w:val="de-DE"/>
        </w:rPr>
        <w:t>Im Falle des Rücktritts des Kommissars oder Revisors aus einer Verwertungsgesellschaft setzt diese den Kontrolldienst binnen fünf Werktagen ab Notifizierung des Rücktritts davon in Kenntnis.</w:t>
      </w:r>
    </w:p>
    <w:p w14:paraId="72DB174E" w14:textId="77777777" w:rsidR="000F18F2" w:rsidRPr="004676F5" w:rsidRDefault="000F18F2" w:rsidP="000F18F2">
      <w:pPr>
        <w:jc w:val="both"/>
        <w:rPr>
          <w:lang w:val="de-DE"/>
        </w:rPr>
      </w:pPr>
    </w:p>
    <w:p w14:paraId="5A1A1162" w14:textId="77777777" w:rsidR="000F18F2" w:rsidRPr="004676F5" w:rsidRDefault="000F18F2" w:rsidP="000F18F2">
      <w:pPr>
        <w:jc w:val="both"/>
        <w:rPr>
          <w:lang w:val="de-DE"/>
        </w:rPr>
      </w:pPr>
      <w:r w:rsidRPr="004676F5">
        <w:rPr>
          <w:lang w:val="de-DE"/>
        </w:rPr>
        <w:tab/>
        <w:t>Binnen fünf Werktagen nach einer gemäß den Bestimmungen des Gesellschaftsgesetz</w:t>
      </w:r>
      <w:r w:rsidRPr="004676F5">
        <w:rPr>
          <w:lang w:val="de-DE"/>
        </w:rPr>
        <w:softHyphen/>
        <w:t>buches durchgeführten Abberufung eines Kommissars oder Revisors durch eine Verwertungs</w:t>
      </w:r>
      <w:r w:rsidRPr="004676F5">
        <w:rPr>
          <w:lang w:val="de-DE"/>
        </w:rPr>
        <w:softHyphen/>
        <w:t>gesell</w:t>
      </w:r>
      <w:r w:rsidRPr="004676F5">
        <w:rPr>
          <w:lang w:val="de-DE"/>
        </w:rPr>
        <w:softHyphen/>
        <w:t>schaft bringt die Verwertungsgesellschaft dem Kontrolldienst diese Abberufung zur Kenntnis.]</w:t>
      </w:r>
    </w:p>
    <w:p w14:paraId="3519B4CB" w14:textId="77777777" w:rsidR="000F18F2" w:rsidRPr="004676F5" w:rsidRDefault="000F18F2" w:rsidP="000F18F2">
      <w:pPr>
        <w:jc w:val="both"/>
        <w:rPr>
          <w:lang w:val="de-DE"/>
        </w:rPr>
      </w:pPr>
    </w:p>
    <w:p w14:paraId="3639A192" w14:textId="0A3C6F64" w:rsidR="000F18F2" w:rsidRPr="00B14651" w:rsidRDefault="000F18F2" w:rsidP="000F18F2">
      <w:pPr>
        <w:jc w:val="both"/>
        <w:rPr>
          <w:i/>
          <w:lang w:val="de-DE"/>
        </w:rPr>
      </w:pPr>
      <w:r w:rsidRPr="004676F5">
        <w:rPr>
          <w:i/>
          <w:lang w:val="de-DE"/>
        </w:rPr>
        <w:t>[</w:t>
      </w:r>
      <w:r w:rsidR="00BE0A56" w:rsidRPr="004676F5">
        <w:rPr>
          <w:i/>
          <w:lang w:val="de-DE"/>
        </w:rPr>
        <w:t>Art. </w:t>
      </w:r>
      <w:r w:rsidRPr="004676F5">
        <w:rPr>
          <w:i/>
          <w:lang w:val="de-DE"/>
        </w:rPr>
        <w:t xml:space="preserve">XI.273/15 eingefügt durch </w:t>
      </w:r>
      <w:r w:rsidR="00BE0A56" w:rsidRPr="004676F5">
        <w:rPr>
          <w:i/>
          <w:lang w:val="de-DE"/>
        </w:rPr>
        <w:t>Art. </w:t>
      </w:r>
      <w:r w:rsidRPr="004676F5">
        <w:rPr>
          <w:i/>
          <w:lang w:val="de-DE"/>
        </w:rPr>
        <w:t>100 des G. vom 8. </w:t>
      </w:r>
      <w:r w:rsidRPr="00B14651">
        <w:rPr>
          <w:i/>
          <w:lang w:val="de-DE"/>
        </w:rPr>
        <w:t>Juni 2017 (B.S. vom 27. Juni 2017)]</w:t>
      </w:r>
    </w:p>
    <w:p w14:paraId="5BF81F00" w14:textId="77777777" w:rsidR="000F18F2" w:rsidRPr="00B14651" w:rsidRDefault="000F18F2" w:rsidP="000F18F2">
      <w:pPr>
        <w:jc w:val="both"/>
        <w:rPr>
          <w:lang w:val="de-DE"/>
        </w:rPr>
      </w:pPr>
    </w:p>
    <w:p w14:paraId="58CA2F58" w14:textId="77777777" w:rsidR="000F18F2" w:rsidRPr="00B14651" w:rsidRDefault="000F18F2" w:rsidP="000F18F2">
      <w:pPr>
        <w:jc w:val="both"/>
        <w:rPr>
          <w:b/>
          <w:lang w:val="de-DE"/>
        </w:rPr>
      </w:pPr>
    </w:p>
    <w:p w14:paraId="5F8735D5" w14:textId="2E595226" w:rsidR="000F18F2" w:rsidRPr="004676F5" w:rsidRDefault="000F18F2" w:rsidP="000F18F2">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XI.273/16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Aufgaben, die dem Kommissar oder Revisor durch oder aufgrund anderer Gesetzesbestimmungen anvertraut werden, besteht der Auftrag des bei einer Verwertungsgesellschaft bestimmten Kommissars oder Revisors darin:</w:t>
      </w:r>
    </w:p>
    <w:p w14:paraId="612917AD" w14:textId="77777777" w:rsidR="000F18F2" w:rsidRPr="004676F5" w:rsidRDefault="000F18F2" w:rsidP="000F18F2">
      <w:pPr>
        <w:jc w:val="both"/>
        <w:rPr>
          <w:lang w:val="de-DE"/>
        </w:rPr>
      </w:pPr>
    </w:p>
    <w:p w14:paraId="007E25E3" w14:textId="30726331" w:rsidR="000F18F2" w:rsidRPr="004676F5" w:rsidRDefault="000F18F2" w:rsidP="000F18F2">
      <w:pPr>
        <w:jc w:val="both"/>
        <w:rPr>
          <w:lang w:val="de-DE"/>
        </w:rPr>
      </w:pPr>
      <w:r w:rsidRPr="004676F5">
        <w:rPr>
          <w:lang w:val="de-DE"/>
        </w:rPr>
        <w:tab/>
        <w:t>1. sich zu vergewissern, dass die Verwertungsgesellschaft im Hinblick auf die Einhaltung des vorliegenden Titels und seiner Ausführungserlasse angemessene Maßnahmen für Verwaltungs</w:t>
      </w:r>
      <w:r w:rsidR="005B7A5C" w:rsidRPr="004676F5">
        <w:rPr>
          <w:lang w:val="de-DE"/>
        </w:rPr>
        <w:t>- </w:t>
      </w:r>
      <w:r w:rsidRPr="004676F5">
        <w:rPr>
          <w:lang w:val="de-DE"/>
        </w:rPr>
        <w:t>und Rechnungslegungspraxis und interne Kontrolle hat. Diese Aufgabe ist jedes Jahr Gegenstand eines Sonderberichts an den Verwaltungsrat, mit Abschrift zur Information an den Kontrolldienst,</w:t>
      </w:r>
    </w:p>
    <w:p w14:paraId="0280275F" w14:textId="77777777" w:rsidR="000F18F2" w:rsidRPr="004676F5" w:rsidRDefault="000F18F2" w:rsidP="000F18F2">
      <w:pPr>
        <w:jc w:val="both"/>
        <w:rPr>
          <w:lang w:val="de-DE"/>
        </w:rPr>
      </w:pPr>
    </w:p>
    <w:p w14:paraId="097319F1" w14:textId="77777777" w:rsidR="000F18F2" w:rsidRPr="004676F5" w:rsidRDefault="000F18F2" w:rsidP="000F18F2">
      <w:pPr>
        <w:jc w:val="both"/>
        <w:rPr>
          <w:lang w:val="de-DE"/>
        </w:rPr>
      </w:pPr>
      <w:r w:rsidRPr="004676F5">
        <w:rPr>
          <w:lang w:val="de-DE"/>
        </w:rPr>
        <w:tab/>
        <w:t>2. im Rahmen seines Auftrags bei einer Verwertungsgesellschaft oder seines Revisionsauftrags bei einer natürlichen oder juristischen Person, mit der die Verwertungs</w:t>
      </w:r>
      <w:r w:rsidRPr="004676F5">
        <w:rPr>
          <w:lang w:val="de-DE"/>
        </w:rPr>
        <w:softHyphen/>
        <w:t>gesellschaft enge Verbindungen im Sinne von Artikel XI.248/12 hat, den Verwaltern oder Geschäftsführern der Verwertungsgesellschaft aus eigener Initiative Bericht zu erstatten, wenn er Folgendes feststellt:</w:t>
      </w:r>
    </w:p>
    <w:p w14:paraId="1FB6FAE5" w14:textId="77777777" w:rsidR="000F18F2" w:rsidRPr="004676F5" w:rsidRDefault="000F18F2" w:rsidP="000F18F2">
      <w:pPr>
        <w:jc w:val="both"/>
        <w:rPr>
          <w:lang w:val="de-DE"/>
        </w:rPr>
      </w:pPr>
    </w:p>
    <w:p w14:paraId="49C3E134" w14:textId="46BF9A41" w:rsidR="000F18F2" w:rsidRPr="004676F5" w:rsidRDefault="000F18F2" w:rsidP="000F18F2">
      <w:pPr>
        <w:jc w:val="both"/>
        <w:rPr>
          <w:lang w:val="de-DE"/>
        </w:rPr>
      </w:pPr>
      <w:r w:rsidRPr="004676F5">
        <w:rPr>
          <w:lang w:val="de-DE"/>
        </w:rPr>
        <w:tab/>
      </w:r>
      <w:r w:rsidRPr="004676F5">
        <w:rPr>
          <w:i/>
          <w:lang w:val="de-DE"/>
        </w:rPr>
        <w:t>a)</w:t>
      </w:r>
      <w:r w:rsidRPr="004676F5">
        <w:rPr>
          <w:lang w:val="de-DE"/>
        </w:rPr>
        <w:t> Beschlüsse, Fakten oder Entwicklungen, die die Lage der Verwertungsgesellschaft finanziell oder auf Ebene ihrer Verwaltungs</w:t>
      </w:r>
      <w:r w:rsidR="005B7A5C" w:rsidRPr="004676F5">
        <w:rPr>
          <w:lang w:val="de-DE"/>
        </w:rPr>
        <w:t>- </w:t>
      </w:r>
      <w:r w:rsidRPr="004676F5">
        <w:rPr>
          <w:lang w:val="de-DE"/>
        </w:rPr>
        <w:t>und Rechnungslegungspraxis oder ihrer internen Kontrolle wesentlich beeinflussen oder beeinflussen können,</w:t>
      </w:r>
    </w:p>
    <w:p w14:paraId="7AA36998" w14:textId="77777777" w:rsidR="000F18F2" w:rsidRPr="004676F5" w:rsidRDefault="000F18F2" w:rsidP="000F18F2">
      <w:pPr>
        <w:jc w:val="both"/>
        <w:rPr>
          <w:lang w:val="de-DE"/>
        </w:rPr>
      </w:pPr>
    </w:p>
    <w:p w14:paraId="6A16E706" w14:textId="77777777" w:rsidR="000F18F2" w:rsidRPr="004676F5" w:rsidRDefault="000F18F2" w:rsidP="000F18F2">
      <w:pPr>
        <w:jc w:val="both"/>
        <w:rPr>
          <w:lang w:val="de-DE"/>
        </w:rPr>
      </w:pPr>
      <w:r w:rsidRPr="004676F5">
        <w:rPr>
          <w:lang w:val="de-DE"/>
        </w:rPr>
        <w:tab/>
      </w:r>
      <w:r w:rsidRPr="004676F5">
        <w:rPr>
          <w:i/>
          <w:lang w:val="de-DE"/>
        </w:rPr>
        <w:t>b)</w:t>
      </w:r>
      <w:r w:rsidRPr="004676F5">
        <w:rPr>
          <w:lang w:val="de-DE"/>
        </w:rPr>
        <w:t> Beschlüsse oder Fakten, die eine Verletzung des Gesellschaftsgesetzbuches, der buchhalterischen Rechtsvorschriften, der Satzung der Gesellschaft, der Bestimmungen des vorliegenden Titels oder seiner Ausführungserlasse darstellen können,</w:t>
      </w:r>
    </w:p>
    <w:p w14:paraId="0BA9C64C" w14:textId="77777777" w:rsidR="000F18F2" w:rsidRPr="004676F5" w:rsidRDefault="000F18F2" w:rsidP="000F18F2">
      <w:pPr>
        <w:jc w:val="both"/>
        <w:rPr>
          <w:lang w:val="de-DE"/>
        </w:rPr>
      </w:pPr>
    </w:p>
    <w:p w14:paraId="0B29016B" w14:textId="77777777" w:rsidR="000F18F2" w:rsidRPr="004676F5" w:rsidRDefault="000F18F2" w:rsidP="000F18F2">
      <w:pPr>
        <w:jc w:val="both"/>
        <w:rPr>
          <w:lang w:val="de-DE"/>
        </w:rPr>
      </w:pPr>
      <w:r w:rsidRPr="004676F5">
        <w:rPr>
          <w:lang w:val="de-DE"/>
        </w:rPr>
        <w:tab/>
      </w:r>
      <w:r w:rsidRPr="004676F5">
        <w:rPr>
          <w:i/>
          <w:lang w:val="de-DE"/>
        </w:rPr>
        <w:t>c)</w:t>
      </w:r>
      <w:r w:rsidRPr="004676F5">
        <w:rPr>
          <w:lang w:val="de-DE"/>
        </w:rPr>
        <w:t> andere Beschlüsse oder Fakten, die zu einem eingeschränkten Bestätigungsvermerk, einem negativen Prüfungsurteil oder einer Enthaltung in Bezug auf den Bestätigungsvermerk führen können.</w:t>
      </w:r>
    </w:p>
    <w:p w14:paraId="3F281500" w14:textId="77777777" w:rsidR="000F18F2" w:rsidRPr="004676F5" w:rsidRDefault="000F18F2" w:rsidP="000F18F2">
      <w:pPr>
        <w:jc w:val="both"/>
        <w:rPr>
          <w:lang w:val="de-DE"/>
        </w:rPr>
      </w:pPr>
    </w:p>
    <w:p w14:paraId="7FBA8480" w14:textId="77777777" w:rsidR="000F18F2" w:rsidRPr="004676F5" w:rsidRDefault="000F18F2" w:rsidP="000F18F2">
      <w:pPr>
        <w:jc w:val="both"/>
        <w:rPr>
          <w:lang w:val="de-DE"/>
        </w:rPr>
      </w:pPr>
      <w:r w:rsidRPr="004676F5">
        <w:rPr>
          <w:lang w:val="de-DE"/>
        </w:rPr>
        <w:tab/>
        <w:t>Der Kommissar sendet dem Kontrolldienst gleichzeitig eine Abschrift der in vorhergehendem Absatz unter Nr. 1 und 2 erwähnten Berichte zu. Der Kontrolldienst ergreift innerhalb einer Frist von fünfzehn Tagen ab Versendung des Berichts keine Maßnahmen in Bezug auf die in diesen Berichten enthaltenen Angaben, um es der Verwertungsgesellschaft zu ermöglichen, dem Kommissar oder Revisor und dem Kontrolldienst ihre Bemerkungen zu übermitteln.</w:t>
      </w:r>
    </w:p>
    <w:p w14:paraId="317A2B18" w14:textId="77777777" w:rsidR="000F18F2" w:rsidRPr="004676F5" w:rsidRDefault="000F18F2" w:rsidP="000F18F2">
      <w:pPr>
        <w:jc w:val="both"/>
        <w:rPr>
          <w:lang w:val="de-DE"/>
        </w:rPr>
      </w:pPr>
    </w:p>
    <w:p w14:paraId="36D416A7" w14:textId="3601203E"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Gegen Kommissare oder Revisoren, die gutgläubig eine in § 1 Absatz 1 Nr. 2 erwähnte Information erteilt haben, kann weder Zivilklage, Strafverfolgung beziehungsweise Disziplinarklage eingeleitet noch eine berufliche Sanktion ausgesprochen werden.</w:t>
      </w:r>
    </w:p>
    <w:p w14:paraId="0175E3D5" w14:textId="77777777" w:rsidR="000F18F2" w:rsidRPr="004676F5" w:rsidRDefault="000F18F2" w:rsidP="000F18F2">
      <w:pPr>
        <w:jc w:val="both"/>
        <w:rPr>
          <w:lang w:val="de-DE"/>
        </w:rPr>
      </w:pPr>
    </w:p>
    <w:p w14:paraId="22B209B8" w14:textId="77777777" w:rsidR="000F18F2" w:rsidRPr="004676F5" w:rsidRDefault="000F18F2" w:rsidP="000F18F2">
      <w:pPr>
        <w:jc w:val="both"/>
        <w:rPr>
          <w:lang w:val="de-DE"/>
        </w:rPr>
      </w:pPr>
      <w:r w:rsidRPr="004676F5">
        <w:rPr>
          <w:lang w:val="de-DE"/>
        </w:rPr>
        <w:tab/>
        <w:t>Kommissare und Revisoren sind gegenüber dem Minister und dem Kontrolldienst von ihrem Berufsgeheimnis entbunden, wenn sie einen Verstoß gegen das Gesellschaftsgesetzbuch, die buchhalterischen Rechtsvorschriften, die Satzung der Gesellschaft, die Bestimmungen des vorliegenden Kapitels oder seine Ausführungserlasse feststellen.</w:t>
      </w:r>
    </w:p>
    <w:p w14:paraId="232B992F" w14:textId="77777777" w:rsidR="000F18F2" w:rsidRPr="004676F5" w:rsidRDefault="000F18F2" w:rsidP="000F18F2">
      <w:pPr>
        <w:jc w:val="both"/>
        <w:rPr>
          <w:lang w:val="de-DE"/>
        </w:rPr>
      </w:pPr>
    </w:p>
    <w:p w14:paraId="5AA06E09" w14:textId="54931164"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Der Kommissar kann vom Verwaltungsorgan der Gesellschaft, die er kontrolliert, verlangen, dass ihm am Sitz dieser Gesellschaft Informationen über natürliche und juristische Personen bereitgestellt werden, mit denen die Verwertungsgesellschaft enge Verbindungen im S</w:t>
      </w:r>
      <w:r w:rsidR="00BA7F18" w:rsidRPr="004676F5">
        <w:rPr>
          <w:lang w:val="de-DE"/>
        </w:rPr>
        <w:t>inne von Artikel XI.248/12 hat.]</w:t>
      </w:r>
    </w:p>
    <w:p w14:paraId="57AA3C2D" w14:textId="77777777" w:rsidR="00BA7F18" w:rsidRPr="004676F5" w:rsidRDefault="00BA7F18" w:rsidP="000F18F2">
      <w:pPr>
        <w:jc w:val="both"/>
        <w:rPr>
          <w:lang w:val="de-DE"/>
        </w:rPr>
      </w:pPr>
    </w:p>
    <w:p w14:paraId="38D377E5" w14:textId="41BADB2E" w:rsidR="00BA7F18" w:rsidRPr="00B14651" w:rsidRDefault="00BA7F18" w:rsidP="00BA7F18">
      <w:pPr>
        <w:jc w:val="both"/>
        <w:rPr>
          <w:i/>
          <w:lang w:val="de-DE"/>
        </w:rPr>
      </w:pPr>
      <w:r w:rsidRPr="004676F5">
        <w:rPr>
          <w:i/>
          <w:lang w:val="de-DE"/>
        </w:rPr>
        <w:t>[</w:t>
      </w:r>
      <w:r w:rsidR="00BE0A56" w:rsidRPr="004676F5">
        <w:rPr>
          <w:i/>
          <w:lang w:val="de-DE"/>
        </w:rPr>
        <w:t>Art. </w:t>
      </w:r>
      <w:r w:rsidRPr="004676F5">
        <w:rPr>
          <w:i/>
          <w:lang w:val="de-DE"/>
        </w:rPr>
        <w:t xml:space="preserve">XI.273/16 eingefügt durch </w:t>
      </w:r>
      <w:r w:rsidR="00BE0A56" w:rsidRPr="004676F5">
        <w:rPr>
          <w:i/>
          <w:lang w:val="de-DE"/>
        </w:rPr>
        <w:t>Art. </w:t>
      </w:r>
      <w:r w:rsidRPr="004676F5">
        <w:rPr>
          <w:i/>
          <w:lang w:val="de-DE"/>
        </w:rPr>
        <w:t>101 des G. vom 8. </w:t>
      </w:r>
      <w:r w:rsidRPr="00B14651">
        <w:rPr>
          <w:i/>
          <w:lang w:val="de-DE"/>
        </w:rPr>
        <w:t>Juni 2017 (B.S. vom 27. Juni 2017)]</w:t>
      </w:r>
    </w:p>
    <w:p w14:paraId="23AB5519" w14:textId="77777777" w:rsidR="00BA7F18" w:rsidRPr="00B14651" w:rsidRDefault="00BA7F18" w:rsidP="000F18F2">
      <w:pPr>
        <w:jc w:val="both"/>
        <w:rPr>
          <w:lang w:val="de-DE"/>
        </w:rPr>
      </w:pPr>
    </w:p>
    <w:p w14:paraId="7EEC6FCD" w14:textId="77777777" w:rsidR="000F18F2" w:rsidRPr="00B14651" w:rsidRDefault="000F18F2" w:rsidP="000F18F2">
      <w:pPr>
        <w:jc w:val="both"/>
        <w:rPr>
          <w:lang w:val="de-DE"/>
        </w:rPr>
      </w:pPr>
    </w:p>
    <w:p w14:paraId="4F8A15DD" w14:textId="41130D9F" w:rsidR="00BA7F18" w:rsidRPr="004676F5" w:rsidRDefault="00BA7F18" w:rsidP="00BA7F18">
      <w:pPr>
        <w:jc w:val="center"/>
        <w:rPr>
          <w:lang w:val="de-DE"/>
        </w:rPr>
      </w:pPr>
      <w:r w:rsidRPr="004676F5">
        <w:rPr>
          <w:lang w:val="de-DE"/>
        </w:rPr>
        <w:t>[</w:t>
      </w:r>
      <w:r w:rsidRPr="004676F5">
        <w:rPr>
          <w:i/>
          <w:lang w:val="de-DE"/>
        </w:rPr>
        <w:t>Abschnitt 10</w:t>
      </w:r>
      <w:r w:rsidRPr="004676F5">
        <w:rPr>
          <w:lang w:val="de-DE"/>
        </w:rPr>
        <w:t> </w:t>
      </w:r>
      <w:r w:rsidR="005B7A5C" w:rsidRPr="004676F5">
        <w:rPr>
          <w:lang w:val="de-DE"/>
        </w:rPr>
        <w:t>- </w:t>
      </w:r>
      <w:r w:rsidRPr="004676F5">
        <w:rPr>
          <w:lang w:val="de-DE"/>
        </w:rPr>
        <w:t>Zulassung und Erklärung]</w:t>
      </w:r>
    </w:p>
    <w:p w14:paraId="7F75AC01" w14:textId="77777777" w:rsidR="000F18F2" w:rsidRPr="004676F5" w:rsidRDefault="000F18F2" w:rsidP="000F18F2">
      <w:pPr>
        <w:jc w:val="both"/>
        <w:rPr>
          <w:lang w:val="de-DE"/>
        </w:rPr>
      </w:pPr>
    </w:p>
    <w:p w14:paraId="605491B5" w14:textId="52547E00" w:rsidR="00BA7F18" w:rsidRPr="004676F5" w:rsidRDefault="00BA7F18" w:rsidP="00BA7F18">
      <w:pPr>
        <w:jc w:val="both"/>
        <w:rPr>
          <w:i/>
          <w:lang w:val="de-DE"/>
        </w:rPr>
      </w:pPr>
      <w:r w:rsidRPr="004676F5">
        <w:rPr>
          <w:i/>
          <w:lang w:val="de-DE"/>
        </w:rPr>
        <w:t xml:space="preserve">[Unterteilung Abschnitt 10 eingefügt durch </w:t>
      </w:r>
      <w:r w:rsidR="00BE0A56" w:rsidRPr="004676F5">
        <w:rPr>
          <w:i/>
          <w:lang w:val="de-DE"/>
        </w:rPr>
        <w:t>Art. </w:t>
      </w:r>
      <w:r w:rsidRPr="004676F5">
        <w:rPr>
          <w:i/>
          <w:lang w:val="de-DE"/>
        </w:rPr>
        <w:t>102 des G. vom 8. Juni 2017 (B.S. vom 27. Juni 2017)]</w:t>
      </w:r>
    </w:p>
    <w:p w14:paraId="2766A399" w14:textId="77777777" w:rsidR="000F18F2" w:rsidRPr="004676F5" w:rsidRDefault="000F18F2" w:rsidP="000F18F2">
      <w:pPr>
        <w:jc w:val="both"/>
        <w:rPr>
          <w:lang w:val="de-DE"/>
        </w:rPr>
      </w:pPr>
    </w:p>
    <w:p w14:paraId="279EEC11" w14:textId="77777777" w:rsidR="000F18F2" w:rsidRPr="004676F5" w:rsidRDefault="000F18F2" w:rsidP="000F18F2">
      <w:pPr>
        <w:jc w:val="both"/>
        <w:rPr>
          <w:lang w:val="de-DE"/>
        </w:rPr>
      </w:pPr>
    </w:p>
    <w:p w14:paraId="16D30698" w14:textId="2FF514A5" w:rsidR="000F18F2" w:rsidRPr="004676F5" w:rsidRDefault="000F18F2" w:rsidP="000F18F2">
      <w:pPr>
        <w:jc w:val="both"/>
        <w:rPr>
          <w:lang w:val="de-DE"/>
        </w:rPr>
      </w:pPr>
      <w:r w:rsidRPr="004676F5">
        <w:rPr>
          <w:lang w:val="de-DE"/>
        </w:rPr>
        <w:tab/>
      </w:r>
      <w:r w:rsidR="00BA7F18" w:rsidRPr="004676F5">
        <w:rPr>
          <w:lang w:val="de-DE"/>
        </w:rPr>
        <w:t>[</w:t>
      </w:r>
      <w:r w:rsidR="00BE0A56" w:rsidRPr="004676F5">
        <w:rPr>
          <w:b/>
          <w:lang w:val="de-DE"/>
        </w:rPr>
        <w:t>Art. </w:t>
      </w:r>
      <w:r w:rsidRPr="004676F5">
        <w:rPr>
          <w:b/>
          <w:lang w:val="de-DE"/>
        </w:rPr>
        <w:t>XI.273/17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Artikel XI.246 § 1 Absatz 1 und 2 erwähnte Verwertungs</w:t>
      </w:r>
      <w:r w:rsidRPr="004676F5">
        <w:rPr>
          <w:lang w:val="de-DE"/>
        </w:rPr>
        <w:softHyphen/>
        <w:t>gesellschaften und Organisationen für die kollektive Rechtewahrnehmung, die ihre Tätigkeiten in Belgien ausüben wollen, benötigen die Zulassung des Ministers, bevor sie ihre Tätigkeiten aufnehmen.</w:t>
      </w:r>
    </w:p>
    <w:p w14:paraId="38B0B476" w14:textId="77777777" w:rsidR="000F18F2" w:rsidRPr="004676F5" w:rsidRDefault="000F18F2" w:rsidP="000F18F2">
      <w:pPr>
        <w:jc w:val="both"/>
        <w:rPr>
          <w:lang w:val="de-DE"/>
        </w:rPr>
      </w:pPr>
    </w:p>
    <w:p w14:paraId="6E07D207" w14:textId="0EA5E767"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 xml:space="preserve">Eine Zulassung wird Verwertungsgesellschaften erteilt, die die durch die Artikel XI.247 bis XI.248/12, XI.249 bis XI.254, XI.256 bis XI.260, XI.262, XI.264 § 1, XI.267 und XI.273/1 festgelegten Bedingungen erfüllen. </w:t>
      </w:r>
    </w:p>
    <w:p w14:paraId="3D115B77" w14:textId="77777777" w:rsidR="000F18F2" w:rsidRPr="004676F5" w:rsidRDefault="000F18F2" w:rsidP="000F18F2">
      <w:pPr>
        <w:jc w:val="both"/>
        <w:rPr>
          <w:lang w:val="de-DE"/>
        </w:rPr>
      </w:pPr>
    </w:p>
    <w:p w14:paraId="5DEEC70F" w14:textId="77777777" w:rsidR="000F18F2" w:rsidRPr="004676F5" w:rsidRDefault="000F18F2" w:rsidP="000F18F2">
      <w:pPr>
        <w:jc w:val="both"/>
        <w:rPr>
          <w:lang w:val="de-DE"/>
        </w:rPr>
      </w:pPr>
      <w:r w:rsidRPr="004676F5">
        <w:rPr>
          <w:lang w:val="de-DE"/>
        </w:rPr>
        <w:tab/>
        <w:t>Eine Zulassung wird Organisationen für die kollektive Rechtewahrnehmung erteilt, die die durch die Artikel XI.248, XI.248/7, XI.248/12, XI.249, XI.262, XI.264, XI.266, XI.273/1 und XI.273/13 § 2 festgelegten Bedingungen erfüllen.</w:t>
      </w:r>
    </w:p>
    <w:p w14:paraId="2C577AB1" w14:textId="77777777" w:rsidR="000F18F2" w:rsidRPr="004676F5" w:rsidRDefault="000F18F2" w:rsidP="000F18F2">
      <w:pPr>
        <w:jc w:val="both"/>
        <w:rPr>
          <w:lang w:val="de-DE"/>
        </w:rPr>
      </w:pPr>
    </w:p>
    <w:p w14:paraId="330AB5E3" w14:textId="77777777" w:rsidR="000F18F2" w:rsidRPr="004676F5" w:rsidRDefault="000F18F2" w:rsidP="000F18F2">
      <w:pPr>
        <w:jc w:val="both"/>
        <w:rPr>
          <w:lang w:val="de-DE"/>
        </w:rPr>
      </w:pPr>
      <w:r w:rsidRPr="004676F5">
        <w:rPr>
          <w:lang w:val="de-DE"/>
        </w:rPr>
        <w:tab/>
        <w:t>Die Zulassungsbedingungen für eine Organisation für die kollektive Rechtewahr</w:t>
      </w:r>
      <w:r w:rsidRPr="004676F5">
        <w:rPr>
          <w:lang w:val="de-DE"/>
        </w:rPr>
        <w:softHyphen/>
        <w:t>nehmung mit Zweigstelle in Belgien dürfen sich nicht mit gleichwertigen oder in Bezug auf ihren Zweck im Wesentlichen vergleichbaren Anforderungen und Kontrollen überschneiden, denen die Organisation für die kollektive Rechtewahrnehmung in dem Mitgliedstaat der Europäischen Union, in dem sie ihren Sitz hat, bereits unterworfen ist.</w:t>
      </w:r>
    </w:p>
    <w:p w14:paraId="3CF09A49" w14:textId="77777777" w:rsidR="000F18F2" w:rsidRPr="004676F5" w:rsidRDefault="000F18F2" w:rsidP="000F18F2">
      <w:pPr>
        <w:jc w:val="both"/>
        <w:rPr>
          <w:lang w:val="de-DE"/>
        </w:rPr>
      </w:pPr>
    </w:p>
    <w:p w14:paraId="755BADAB" w14:textId="7491AF42"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Zulassungsanträge werden dem Minister per Einschreibesendung zugesandt.</w:t>
      </w:r>
    </w:p>
    <w:p w14:paraId="59228071" w14:textId="77777777" w:rsidR="000F18F2" w:rsidRPr="004676F5" w:rsidRDefault="000F18F2" w:rsidP="000F18F2">
      <w:pPr>
        <w:jc w:val="both"/>
        <w:rPr>
          <w:lang w:val="de-DE"/>
        </w:rPr>
      </w:pPr>
    </w:p>
    <w:p w14:paraId="1BA64AB1" w14:textId="77777777" w:rsidR="000F18F2" w:rsidRPr="004676F5" w:rsidRDefault="000F18F2" w:rsidP="000F18F2">
      <w:pPr>
        <w:jc w:val="both"/>
        <w:rPr>
          <w:lang w:val="de-DE"/>
        </w:rPr>
      </w:pPr>
      <w:r w:rsidRPr="004676F5">
        <w:rPr>
          <w:lang w:val="de-DE"/>
        </w:rPr>
        <w:tab/>
        <w:t>Der König bestimmt Auskünfte und Unterlagen, die dem Zulassungsantrag beigefügt sein müssen.</w:t>
      </w:r>
    </w:p>
    <w:p w14:paraId="558C2165" w14:textId="77777777" w:rsidR="000F18F2" w:rsidRPr="004676F5" w:rsidRDefault="000F18F2" w:rsidP="000F18F2">
      <w:pPr>
        <w:jc w:val="both"/>
        <w:rPr>
          <w:lang w:val="de-DE"/>
        </w:rPr>
      </w:pPr>
    </w:p>
    <w:p w14:paraId="7BEA0943" w14:textId="77777777" w:rsidR="000F18F2" w:rsidRPr="004676F5" w:rsidRDefault="000F18F2" w:rsidP="000F18F2">
      <w:pPr>
        <w:jc w:val="both"/>
        <w:rPr>
          <w:lang w:val="de-DE"/>
        </w:rPr>
      </w:pPr>
      <w:r w:rsidRPr="004676F5">
        <w:rPr>
          <w:lang w:val="de-DE"/>
        </w:rPr>
        <w:tab/>
        <w:t>Ist die Akte vollständig, so übermittelt der Minister oder sein Beauftragter dem Antragsteller binnen zwei Monaten ab Einreichung des Antrags eine Empfangsbestätigung. Im gegenteiligen Fall setzt er ihn davon in Kenntnis, dass die Akte nicht vollständig ist, wobei er fehlende Unterlagen oder Auskünfte angibt. Der Minister oder sein Beauftragter übermittelt die Empfangsbestätigung für die vollständige Akte binnen zwei Monaten ab Empfang der fehlenden Unterlagen oder Auskünfte.</w:t>
      </w:r>
    </w:p>
    <w:p w14:paraId="5C724CEB" w14:textId="77777777" w:rsidR="000F18F2" w:rsidRPr="004676F5" w:rsidRDefault="000F18F2" w:rsidP="000F18F2">
      <w:pPr>
        <w:jc w:val="both"/>
        <w:rPr>
          <w:lang w:val="de-DE"/>
        </w:rPr>
      </w:pPr>
    </w:p>
    <w:p w14:paraId="27FDBDB2" w14:textId="77777777" w:rsidR="000F18F2" w:rsidRPr="004676F5" w:rsidRDefault="000F18F2" w:rsidP="000F18F2">
      <w:pPr>
        <w:jc w:val="both"/>
        <w:rPr>
          <w:lang w:val="de-DE"/>
        </w:rPr>
      </w:pPr>
      <w:r w:rsidRPr="004676F5">
        <w:rPr>
          <w:lang w:val="de-DE"/>
        </w:rPr>
        <w:tab/>
        <w:t>Der Minister befindet über den Antrag binnen drei Monaten ab Notifizierung der Vollständigkeit der Akte. Fügt der Antragsteller seinem Antrag innerhalb dieser Frist zusätzliche Auskünfte oder Unterlagen bei, so wird die dreimonatige Frist um zwei Monate verlängert. Der Beschluss wird dem Antragsteller binnen fünfzehn Tagen per Einschreibe</w:t>
      </w:r>
      <w:r w:rsidRPr="004676F5">
        <w:rPr>
          <w:lang w:val="de-DE"/>
        </w:rPr>
        <w:softHyphen/>
        <w:t>sendung notifiziert.</w:t>
      </w:r>
    </w:p>
    <w:p w14:paraId="4C6325D6" w14:textId="77777777" w:rsidR="000F18F2" w:rsidRPr="004676F5" w:rsidRDefault="000F18F2" w:rsidP="000F18F2">
      <w:pPr>
        <w:jc w:val="both"/>
        <w:rPr>
          <w:lang w:val="de-DE"/>
        </w:rPr>
      </w:pPr>
    </w:p>
    <w:p w14:paraId="12AF6A39" w14:textId="77777777" w:rsidR="000F18F2" w:rsidRPr="004676F5" w:rsidRDefault="000F18F2" w:rsidP="000F18F2">
      <w:pPr>
        <w:jc w:val="both"/>
        <w:rPr>
          <w:lang w:val="de-DE"/>
        </w:rPr>
      </w:pPr>
      <w:r w:rsidRPr="004676F5">
        <w:rPr>
          <w:lang w:val="de-DE"/>
        </w:rPr>
        <w:tab/>
        <w:t xml:space="preserve">Die Zulassung wird binnen dreißig Tagen im </w:t>
      </w:r>
      <w:r w:rsidRPr="004676F5">
        <w:rPr>
          <w:i/>
          <w:lang w:val="de-DE"/>
        </w:rPr>
        <w:t>Belgischen Staatsblatt</w:t>
      </w:r>
      <w:r w:rsidRPr="004676F5">
        <w:rPr>
          <w:lang w:val="de-DE"/>
        </w:rPr>
        <w:t xml:space="preserve"> veröffentlicht.</w:t>
      </w:r>
    </w:p>
    <w:p w14:paraId="6E8ABA43" w14:textId="77777777" w:rsidR="000F18F2" w:rsidRPr="004676F5" w:rsidRDefault="000F18F2" w:rsidP="000F18F2">
      <w:pPr>
        <w:jc w:val="both"/>
        <w:rPr>
          <w:lang w:val="de-DE"/>
        </w:rPr>
      </w:pPr>
    </w:p>
    <w:p w14:paraId="5B1886F6" w14:textId="77777777" w:rsidR="000F18F2" w:rsidRPr="004676F5" w:rsidRDefault="000F18F2" w:rsidP="000F18F2">
      <w:pPr>
        <w:jc w:val="both"/>
        <w:rPr>
          <w:lang w:val="de-DE"/>
        </w:rPr>
      </w:pPr>
      <w:r w:rsidRPr="004676F5">
        <w:rPr>
          <w:lang w:val="de-DE"/>
        </w:rPr>
        <w:tab/>
        <w:t xml:space="preserve">Wird eine Zulassungsverweigerung in Erwägung gezogen, so notifiziert der Minister oder die zu diesem Zweck bestimmte Person der betreffenden Verwertungsgesellschaft oder Organisation für die kollektive Rechtewahrnehmung im Voraus die Einwände gegen die Zulassung per Einschreibesendung mit Rückschein. Der Verwertungsgesellschaft oder Organisation für die kollektive Rechtewahrnehmung wird mitgeteilt, dass sie ab dieser Notifizierung über eine Frist von zwei Monaten verfügt, um die angelegte Akte einzusehen, </w:t>
      </w:r>
      <w:r w:rsidRPr="004676F5">
        <w:rPr>
          <w:lang w:val="de-DE"/>
        </w:rPr>
        <w:lastRenderedPageBreak/>
        <w:t xml:space="preserve">vom Minister oder von der zu diesem Zweck bestimmten Person angehört zu werden und ihre Mittel geltend zu machen. Diese Frist von zwei Monaten setzt die in Absatz 4 erwähnte Frist von drei Monaten aus. Der Beschluss wird binnen fünfzehn Tagen per </w:t>
      </w:r>
      <w:r w:rsidR="00BA7F18" w:rsidRPr="004676F5">
        <w:rPr>
          <w:lang w:val="de-DE"/>
        </w:rPr>
        <w:t>Einschreibesendung notifiziert.]</w:t>
      </w:r>
    </w:p>
    <w:p w14:paraId="56FE777D" w14:textId="77777777" w:rsidR="000F18F2" w:rsidRPr="004676F5" w:rsidRDefault="000F18F2" w:rsidP="000F18F2">
      <w:pPr>
        <w:jc w:val="both"/>
        <w:rPr>
          <w:lang w:val="de-DE"/>
        </w:rPr>
      </w:pPr>
    </w:p>
    <w:p w14:paraId="7B3AD45E" w14:textId="1B957BBE" w:rsidR="00BA7F18" w:rsidRPr="00B14651" w:rsidRDefault="00BA7F18" w:rsidP="00BA7F18">
      <w:pPr>
        <w:jc w:val="both"/>
        <w:rPr>
          <w:i/>
          <w:lang w:val="de-DE"/>
        </w:rPr>
      </w:pPr>
      <w:r w:rsidRPr="004676F5">
        <w:rPr>
          <w:i/>
          <w:lang w:val="de-DE"/>
        </w:rPr>
        <w:t>[</w:t>
      </w:r>
      <w:r w:rsidR="00BE0A56" w:rsidRPr="004676F5">
        <w:rPr>
          <w:i/>
          <w:lang w:val="de-DE"/>
        </w:rPr>
        <w:t>Art. </w:t>
      </w:r>
      <w:r w:rsidRPr="004676F5">
        <w:rPr>
          <w:i/>
          <w:lang w:val="de-DE"/>
        </w:rPr>
        <w:t xml:space="preserve">XI.273/17 eingefügt durch </w:t>
      </w:r>
      <w:r w:rsidR="00BE0A56" w:rsidRPr="004676F5">
        <w:rPr>
          <w:i/>
          <w:lang w:val="de-DE"/>
        </w:rPr>
        <w:t>Art. </w:t>
      </w:r>
      <w:r w:rsidRPr="004676F5">
        <w:rPr>
          <w:i/>
          <w:lang w:val="de-DE"/>
        </w:rPr>
        <w:t>103 des G. vom 8. </w:t>
      </w:r>
      <w:r w:rsidRPr="00B14651">
        <w:rPr>
          <w:i/>
          <w:lang w:val="de-DE"/>
        </w:rPr>
        <w:t>Juni 2017 (B.S. vom 27. Juni 2017)]</w:t>
      </w:r>
    </w:p>
    <w:p w14:paraId="1AF211D0" w14:textId="77777777" w:rsidR="00BA7F18" w:rsidRPr="00B14651" w:rsidRDefault="00BA7F18" w:rsidP="000F18F2">
      <w:pPr>
        <w:jc w:val="both"/>
        <w:rPr>
          <w:lang w:val="de-DE"/>
        </w:rPr>
      </w:pPr>
    </w:p>
    <w:p w14:paraId="53A20F2F" w14:textId="77777777" w:rsidR="00BA7F18" w:rsidRPr="00B14651" w:rsidRDefault="00BA7F18" w:rsidP="000F18F2">
      <w:pPr>
        <w:jc w:val="both"/>
        <w:rPr>
          <w:b/>
          <w:lang w:val="de-DE"/>
        </w:rPr>
      </w:pPr>
    </w:p>
    <w:p w14:paraId="0B2D67E0" w14:textId="3BED3415" w:rsidR="000F18F2" w:rsidRPr="004676F5" w:rsidRDefault="000F18F2" w:rsidP="000F18F2">
      <w:pPr>
        <w:jc w:val="both"/>
        <w:rPr>
          <w:lang w:val="de-DE"/>
        </w:rPr>
      </w:pPr>
      <w:r w:rsidRPr="00B14651">
        <w:rPr>
          <w:lang w:val="de-DE"/>
        </w:rPr>
        <w:tab/>
      </w:r>
      <w:r w:rsidR="00BA7F18" w:rsidRPr="004676F5">
        <w:rPr>
          <w:lang w:val="de-DE"/>
        </w:rPr>
        <w:t>[</w:t>
      </w:r>
      <w:r w:rsidR="00BE0A56" w:rsidRPr="004676F5">
        <w:rPr>
          <w:b/>
          <w:lang w:val="de-DE"/>
        </w:rPr>
        <w:t>Art. </w:t>
      </w:r>
      <w:r w:rsidRPr="004676F5">
        <w:rPr>
          <w:b/>
          <w:lang w:val="de-DE"/>
        </w:rPr>
        <w:t>XI.273/18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Artikel XI.246 § 1 Absatz 3 und 4 erwähnte unabhängige Verwertungseinrichtungen mit Sitz in Belgien oder die ihre Tätigkeiten in Belgien über eine Zweigstelle ausüben, müssen eine Erklärung beim Kontrolldienst einreichen, bevor sie ihre Tätigkeiten aufnehmen.</w:t>
      </w:r>
    </w:p>
    <w:p w14:paraId="67F6C222" w14:textId="77777777" w:rsidR="000F18F2" w:rsidRPr="004676F5" w:rsidRDefault="000F18F2" w:rsidP="000F18F2">
      <w:pPr>
        <w:jc w:val="both"/>
        <w:rPr>
          <w:lang w:val="de-DE"/>
        </w:rPr>
      </w:pPr>
    </w:p>
    <w:p w14:paraId="00827051" w14:textId="49C054E0" w:rsidR="000F18F2" w:rsidRPr="004676F5" w:rsidRDefault="000F18F2" w:rsidP="000F18F2">
      <w:pPr>
        <w:jc w:val="both"/>
        <w:rPr>
          <w:lang w:val="de-DE"/>
        </w:rPr>
      </w:pPr>
      <w:r w:rsidRPr="004676F5">
        <w:rPr>
          <w:lang w:val="de-DE"/>
        </w:rPr>
        <w:tab/>
        <w:t>§ 2 </w:t>
      </w:r>
      <w:r w:rsidR="005B7A5C" w:rsidRPr="004676F5">
        <w:rPr>
          <w:lang w:val="de-DE"/>
        </w:rPr>
        <w:t>- </w:t>
      </w:r>
      <w:r w:rsidRPr="004676F5">
        <w:rPr>
          <w:lang w:val="de-DE"/>
        </w:rPr>
        <w:t>Der König bestimmt das Erklärungsformular und Auskünfte und Unterlagen, die der Erklärung beigefügt werden müssen.</w:t>
      </w:r>
    </w:p>
    <w:p w14:paraId="271B7E5D" w14:textId="77777777" w:rsidR="000F18F2" w:rsidRPr="004676F5" w:rsidRDefault="000F18F2" w:rsidP="000F18F2">
      <w:pPr>
        <w:jc w:val="both"/>
        <w:rPr>
          <w:lang w:val="de-DE"/>
        </w:rPr>
      </w:pPr>
    </w:p>
    <w:p w14:paraId="64CB6C55" w14:textId="7207B512" w:rsidR="000F18F2" w:rsidRPr="004676F5" w:rsidRDefault="000F18F2" w:rsidP="000F18F2">
      <w:pPr>
        <w:jc w:val="both"/>
        <w:rPr>
          <w:lang w:val="de-DE"/>
        </w:rPr>
      </w:pPr>
      <w:r w:rsidRPr="004676F5">
        <w:rPr>
          <w:lang w:val="de-DE"/>
        </w:rPr>
        <w:tab/>
        <w:t>§ 3 </w:t>
      </w:r>
      <w:r w:rsidR="005B7A5C" w:rsidRPr="004676F5">
        <w:rPr>
          <w:lang w:val="de-DE"/>
        </w:rPr>
        <w:t>- </w:t>
      </w:r>
      <w:r w:rsidRPr="004676F5">
        <w:rPr>
          <w:lang w:val="de-DE"/>
        </w:rPr>
        <w:t>Die Erklärungen werden auf der Website des FÖD Wirtschaft, KMB, Mittelstand und Energie veröffentlicht.]</w:t>
      </w:r>
    </w:p>
    <w:p w14:paraId="6B07E735" w14:textId="77777777" w:rsidR="004C0E0A" w:rsidRPr="004676F5" w:rsidRDefault="004C0E0A" w:rsidP="000F18F2">
      <w:pPr>
        <w:jc w:val="both"/>
        <w:rPr>
          <w:lang w:val="de-DE"/>
        </w:rPr>
      </w:pPr>
    </w:p>
    <w:p w14:paraId="293DDB2F" w14:textId="4F8764DE" w:rsidR="004C0E0A" w:rsidRPr="00B14651" w:rsidRDefault="004C0E0A" w:rsidP="004C0E0A">
      <w:pPr>
        <w:jc w:val="both"/>
        <w:rPr>
          <w:i/>
          <w:lang w:val="de-DE"/>
        </w:rPr>
      </w:pPr>
      <w:r w:rsidRPr="004676F5">
        <w:rPr>
          <w:i/>
          <w:lang w:val="de-DE"/>
        </w:rPr>
        <w:t>[</w:t>
      </w:r>
      <w:r w:rsidR="00BE0A56" w:rsidRPr="004676F5">
        <w:rPr>
          <w:i/>
          <w:lang w:val="de-DE"/>
        </w:rPr>
        <w:t>Art. </w:t>
      </w:r>
      <w:r w:rsidRPr="004676F5">
        <w:rPr>
          <w:i/>
          <w:lang w:val="de-DE"/>
        </w:rPr>
        <w:t xml:space="preserve">XI.273/18 eingefügt durch </w:t>
      </w:r>
      <w:r w:rsidR="00BE0A56" w:rsidRPr="004676F5">
        <w:rPr>
          <w:i/>
          <w:lang w:val="de-DE"/>
        </w:rPr>
        <w:t>Art. </w:t>
      </w:r>
      <w:r w:rsidRPr="004676F5">
        <w:rPr>
          <w:i/>
          <w:lang w:val="de-DE"/>
        </w:rPr>
        <w:t>104 des G. vom 8. </w:t>
      </w:r>
      <w:r w:rsidRPr="00B14651">
        <w:rPr>
          <w:i/>
          <w:lang w:val="de-DE"/>
        </w:rPr>
        <w:t>Juni 2017 (B.S. vom 27. Juni 2017)]</w:t>
      </w:r>
    </w:p>
    <w:p w14:paraId="450E6886" w14:textId="77777777" w:rsidR="004C0E0A" w:rsidRPr="00B14651" w:rsidRDefault="004C0E0A" w:rsidP="000F18F2">
      <w:pPr>
        <w:jc w:val="both"/>
        <w:rPr>
          <w:lang w:val="de-DE"/>
        </w:rPr>
      </w:pPr>
    </w:p>
    <w:p w14:paraId="54CCBD56" w14:textId="77777777" w:rsidR="000F18F2" w:rsidRPr="00B14651" w:rsidRDefault="000F18F2" w:rsidP="000F18F2">
      <w:pPr>
        <w:jc w:val="center"/>
        <w:rPr>
          <w:lang w:val="de-DE"/>
        </w:rPr>
      </w:pPr>
    </w:p>
    <w:p w14:paraId="4D887238" w14:textId="77777777" w:rsidR="00355502" w:rsidRPr="00B14651" w:rsidRDefault="00355502" w:rsidP="001527B1">
      <w:pPr>
        <w:jc w:val="center"/>
        <w:rPr>
          <w:lang w:val="de-DE"/>
        </w:rPr>
      </w:pPr>
    </w:p>
    <w:p w14:paraId="0692B05B" w14:textId="77777777" w:rsidR="00355502" w:rsidRPr="00B14651" w:rsidRDefault="00355502">
      <w:pPr>
        <w:rPr>
          <w:lang w:val="de-DE"/>
        </w:rPr>
      </w:pPr>
      <w:r w:rsidRPr="00B14651">
        <w:rPr>
          <w:lang w:val="de-DE"/>
        </w:rPr>
        <w:br w:type="page"/>
      </w:r>
    </w:p>
    <w:p w14:paraId="448436A6" w14:textId="064DA4EA" w:rsidR="001527B1" w:rsidRPr="004676F5" w:rsidRDefault="001527B1" w:rsidP="001527B1">
      <w:pPr>
        <w:jc w:val="center"/>
        <w:rPr>
          <w:i/>
          <w:lang w:val="de-DE"/>
        </w:rPr>
      </w:pPr>
      <w:r w:rsidRPr="004676F5">
        <w:rPr>
          <w:lang w:val="de-DE"/>
        </w:rPr>
        <w:lastRenderedPageBreak/>
        <w:t>KAPITEL 10 </w:t>
      </w:r>
      <w:r w:rsidR="005B7A5C" w:rsidRPr="004676F5">
        <w:rPr>
          <w:lang w:val="de-DE"/>
        </w:rPr>
        <w:t>- </w:t>
      </w:r>
      <w:r w:rsidRPr="004676F5">
        <w:rPr>
          <w:i/>
          <w:lang w:val="de-DE"/>
        </w:rPr>
        <w:t>Transparenz von Urheberrechten und verwandten Schutzrechten</w:t>
      </w:r>
    </w:p>
    <w:p w14:paraId="1F3162DC" w14:textId="77777777" w:rsidR="001527B1" w:rsidRPr="004676F5" w:rsidRDefault="001527B1" w:rsidP="001527B1">
      <w:pPr>
        <w:jc w:val="center"/>
        <w:rPr>
          <w:lang w:val="de-DE"/>
        </w:rPr>
      </w:pPr>
    </w:p>
    <w:p w14:paraId="44AA629F" w14:textId="77777777" w:rsidR="00355502" w:rsidRPr="004676F5" w:rsidRDefault="00355502" w:rsidP="001527B1">
      <w:pPr>
        <w:jc w:val="center"/>
        <w:rPr>
          <w:lang w:val="de-DE"/>
        </w:rPr>
      </w:pPr>
    </w:p>
    <w:p w14:paraId="5796394A" w14:textId="33FFFA32" w:rsidR="001527B1" w:rsidRPr="004676F5" w:rsidRDefault="004413B6" w:rsidP="001527B1">
      <w:pPr>
        <w:jc w:val="center"/>
        <w:rPr>
          <w:lang w:val="de-DE"/>
        </w:rPr>
      </w:pPr>
      <w:r w:rsidRPr="004676F5">
        <w:rPr>
          <w:lang w:val="de-DE"/>
        </w:rPr>
        <w:t>[</w:t>
      </w:r>
      <w:r w:rsidR="001527B1" w:rsidRPr="004676F5">
        <w:rPr>
          <w:i/>
          <w:lang w:val="de-DE"/>
        </w:rPr>
        <w:t>Abschnitt 1</w:t>
      </w:r>
      <w:r w:rsidR="001527B1" w:rsidRPr="004676F5">
        <w:rPr>
          <w:lang w:val="de-DE"/>
        </w:rPr>
        <w:t> </w:t>
      </w:r>
      <w:r w:rsidR="005B7A5C" w:rsidRPr="004676F5">
        <w:rPr>
          <w:lang w:val="de-DE"/>
        </w:rPr>
        <w:t>- </w:t>
      </w:r>
      <w:r w:rsidRPr="004676F5">
        <w:rPr>
          <w:lang w:val="de-DE"/>
        </w:rPr>
        <w:t>[…]</w:t>
      </w:r>
    </w:p>
    <w:p w14:paraId="3920A952" w14:textId="77777777" w:rsidR="001527B1" w:rsidRPr="004676F5" w:rsidRDefault="001527B1" w:rsidP="001527B1">
      <w:pPr>
        <w:ind w:firstLine="708"/>
        <w:jc w:val="both"/>
        <w:rPr>
          <w:lang w:val="de-DE"/>
        </w:rPr>
      </w:pPr>
    </w:p>
    <w:p w14:paraId="350C75AC" w14:textId="54ACC022" w:rsidR="004413B6" w:rsidRPr="004676F5" w:rsidRDefault="004413B6" w:rsidP="004413B6">
      <w:pPr>
        <w:jc w:val="both"/>
        <w:rPr>
          <w:i/>
          <w:lang w:val="de-DE"/>
        </w:rPr>
      </w:pPr>
      <w:r w:rsidRPr="004676F5">
        <w:rPr>
          <w:i/>
          <w:lang w:val="de-DE"/>
        </w:rPr>
        <w:t xml:space="preserve">[Abschnitt 1 mit den Artikeln XI.274 bis XI.278 aufgehoben durch </w:t>
      </w:r>
      <w:r w:rsidR="00BE0A56" w:rsidRPr="004676F5">
        <w:rPr>
          <w:i/>
          <w:lang w:val="de-DE"/>
        </w:rPr>
        <w:t>Art. </w:t>
      </w:r>
      <w:r w:rsidRPr="004676F5">
        <w:rPr>
          <w:i/>
          <w:lang w:val="de-DE"/>
        </w:rPr>
        <w:t>28 des G. vom 29. Juni 2016 (B.S. vom 6. Juli 2016)]</w:t>
      </w:r>
    </w:p>
    <w:p w14:paraId="3A0B1AE1" w14:textId="77777777" w:rsidR="004413B6" w:rsidRPr="004676F5" w:rsidRDefault="004413B6" w:rsidP="001527B1">
      <w:pPr>
        <w:ind w:firstLine="708"/>
        <w:jc w:val="both"/>
        <w:rPr>
          <w:lang w:val="de-DE"/>
        </w:rPr>
      </w:pPr>
    </w:p>
    <w:p w14:paraId="571309F2" w14:textId="77777777" w:rsidR="00355502" w:rsidRPr="004676F5" w:rsidRDefault="00355502" w:rsidP="001527B1">
      <w:pPr>
        <w:ind w:firstLine="708"/>
        <w:jc w:val="both"/>
        <w:rPr>
          <w:lang w:val="de-DE"/>
        </w:rPr>
      </w:pPr>
    </w:p>
    <w:p w14:paraId="10716B73" w14:textId="754465BA" w:rsidR="001527B1" w:rsidRPr="004676F5" w:rsidRDefault="00BE0A56" w:rsidP="004413B6">
      <w:pPr>
        <w:ind w:firstLine="708"/>
        <w:jc w:val="both"/>
        <w:rPr>
          <w:lang w:val="de-DE"/>
        </w:rPr>
      </w:pPr>
      <w:r w:rsidRPr="004676F5">
        <w:rPr>
          <w:b/>
          <w:lang w:val="de-DE"/>
        </w:rPr>
        <w:t>Art. </w:t>
      </w:r>
      <w:r w:rsidR="001527B1" w:rsidRPr="004676F5">
        <w:rPr>
          <w:b/>
          <w:lang w:val="de-DE"/>
        </w:rPr>
        <w:t>XI.274</w:t>
      </w:r>
      <w:r w:rsidR="001527B1" w:rsidRPr="004676F5">
        <w:rPr>
          <w:lang w:val="de-DE"/>
        </w:rPr>
        <w:t> </w:t>
      </w:r>
      <w:r w:rsidR="005B7A5C" w:rsidRPr="004676F5">
        <w:rPr>
          <w:lang w:val="de-DE"/>
        </w:rPr>
        <w:t>- </w:t>
      </w:r>
      <w:r w:rsidR="001527B1" w:rsidRPr="004676F5">
        <w:rPr>
          <w:b/>
          <w:lang w:val="de-DE"/>
        </w:rPr>
        <w:t>XI.278</w:t>
      </w:r>
      <w:r w:rsidR="001527B1" w:rsidRPr="004676F5">
        <w:rPr>
          <w:lang w:val="de-DE"/>
        </w:rPr>
        <w:t> </w:t>
      </w:r>
      <w:r w:rsidR="005B7A5C" w:rsidRPr="004676F5">
        <w:rPr>
          <w:lang w:val="de-DE"/>
        </w:rPr>
        <w:t>- </w:t>
      </w:r>
      <w:r w:rsidR="004413B6" w:rsidRPr="004676F5">
        <w:rPr>
          <w:lang w:val="de-DE"/>
        </w:rPr>
        <w:t>[…]]</w:t>
      </w:r>
    </w:p>
    <w:p w14:paraId="6A33C8C8" w14:textId="77777777" w:rsidR="001527B1" w:rsidRPr="004676F5" w:rsidRDefault="001527B1" w:rsidP="001527B1">
      <w:pPr>
        <w:ind w:firstLine="708"/>
        <w:jc w:val="both"/>
        <w:rPr>
          <w:lang w:val="de-DE"/>
        </w:rPr>
      </w:pPr>
    </w:p>
    <w:p w14:paraId="5FAA8EB9" w14:textId="77777777" w:rsidR="00355502" w:rsidRPr="004676F5" w:rsidRDefault="00355502" w:rsidP="001527B1">
      <w:pPr>
        <w:ind w:firstLine="708"/>
        <w:jc w:val="both"/>
        <w:rPr>
          <w:lang w:val="de-DE"/>
        </w:rPr>
      </w:pPr>
    </w:p>
    <w:p w14:paraId="2D3248E4" w14:textId="753C9ADD" w:rsidR="001527B1" w:rsidRPr="004676F5" w:rsidRDefault="001527B1" w:rsidP="001527B1">
      <w:pPr>
        <w:jc w:val="center"/>
        <w:rPr>
          <w:lang w:val="de-DE"/>
        </w:rPr>
      </w:pPr>
      <w:r w:rsidRPr="004676F5">
        <w:rPr>
          <w:i/>
          <w:lang w:val="de-DE"/>
        </w:rPr>
        <w:t>Abschnitt 2 </w:t>
      </w:r>
      <w:r w:rsidR="005B7A5C" w:rsidRPr="004676F5">
        <w:rPr>
          <w:lang w:val="de-DE"/>
        </w:rPr>
        <w:t>- </w:t>
      </w:r>
      <w:r w:rsidRPr="004676F5">
        <w:rPr>
          <w:lang w:val="de-DE"/>
        </w:rPr>
        <w:t>Kontrolldienst der Verwertungsgesellschaften</w:t>
      </w:r>
    </w:p>
    <w:p w14:paraId="7D232C10" w14:textId="77777777" w:rsidR="001527B1" w:rsidRPr="004676F5" w:rsidRDefault="001527B1" w:rsidP="001527B1">
      <w:pPr>
        <w:jc w:val="both"/>
        <w:rPr>
          <w:lang w:val="de-DE"/>
        </w:rPr>
      </w:pPr>
    </w:p>
    <w:p w14:paraId="495E6ED4" w14:textId="77777777" w:rsidR="00355502" w:rsidRPr="004676F5" w:rsidRDefault="00355502" w:rsidP="001527B1">
      <w:pPr>
        <w:jc w:val="both"/>
        <w:rPr>
          <w:lang w:val="de-DE"/>
        </w:rPr>
      </w:pPr>
    </w:p>
    <w:p w14:paraId="46CE8F29" w14:textId="11BC9339" w:rsidR="004C0E0A" w:rsidRPr="004676F5" w:rsidRDefault="00BE0A56" w:rsidP="004C0E0A">
      <w:pPr>
        <w:ind w:firstLine="708"/>
        <w:jc w:val="both"/>
        <w:rPr>
          <w:lang w:val="de-DE"/>
        </w:rPr>
      </w:pPr>
      <w:r w:rsidRPr="004676F5">
        <w:rPr>
          <w:b/>
          <w:lang w:val="de-DE"/>
        </w:rPr>
        <w:t>Art. </w:t>
      </w:r>
      <w:r w:rsidR="001527B1" w:rsidRPr="004676F5">
        <w:rPr>
          <w:b/>
          <w:lang w:val="de-DE"/>
        </w:rPr>
        <w:t>XI.279</w:t>
      </w:r>
      <w:r w:rsidR="001527B1" w:rsidRPr="004676F5">
        <w:rPr>
          <w:lang w:val="de-DE"/>
        </w:rPr>
        <w:t> </w:t>
      </w:r>
      <w:r w:rsidR="005B7A5C" w:rsidRPr="004676F5">
        <w:rPr>
          <w:lang w:val="de-DE"/>
        </w:rPr>
        <w:t>- </w:t>
      </w:r>
      <w:r w:rsidR="004C0E0A" w:rsidRPr="004676F5">
        <w:rPr>
          <w:lang w:val="de-DE"/>
        </w:rPr>
        <w:t>[§ 1 </w:t>
      </w:r>
      <w:r w:rsidR="005B7A5C" w:rsidRPr="004676F5">
        <w:rPr>
          <w:lang w:val="de-DE"/>
        </w:rPr>
        <w:t>- </w:t>
      </w:r>
      <w:r w:rsidR="004C0E0A" w:rsidRPr="004676F5">
        <w:rPr>
          <w:lang w:val="de-DE"/>
        </w:rPr>
        <w:t>Der Kontrolldienst überwacht die Anwendung durch Verwertungs</w:t>
      </w:r>
      <w:r w:rsidR="004C0E0A" w:rsidRPr="004676F5">
        <w:rPr>
          <w:lang w:val="de-DE"/>
        </w:rPr>
        <w:softHyphen/>
        <w:t>gesellschaften:</w:t>
      </w:r>
    </w:p>
    <w:p w14:paraId="7D56F10E" w14:textId="77777777" w:rsidR="004C0E0A" w:rsidRPr="004676F5" w:rsidRDefault="004C0E0A" w:rsidP="004C0E0A">
      <w:pPr>
        <w:jc w:val="both"/>
        <w:rPr>
          <w:lang w:val="de-DE"/>
        </w:rPr>
      </w:pPr>
    </w:p>
    <w:p w14:paraId="0B6AAC23" w14:textId="77777777" w:rsidR="004C0E0A" w:rsidRPr="004676F5" w:rsidRDefault="004C0E0A" w:rsidP="004C0E0A">
      <w:pPr>
        <w:jc w:val="both"/>
        <w:rPr>
          <w:lang w:val="de-DE"/>
        </w:rPr>
      </w:pPr>
      <w:r w:rsidRPr="004676F5">
        <w:rPr>
          <w:lang w:val="de-DE"/>
        </w:rPr>
        <w:tab/>
        <w:t>1. des vorliegenden Titels und seiner Ausführungserlasse und</w:t>
      </w:r>
    </w:p>
    <w:p w14:paraId="165A6C8C" w14:textId="77777777" w:rsidR="004C0E0A" w:rsidRPr="004676F5" w:rsidRDefault="004C0E0A" w:rsidP="004C0E0A">
      <w:pPr>
        <w:jc w:val="both"/>
        <w:rPr>
          <w:lang w:val="de-DE"/>
        </w:rPr>
      </w:pPr>
    </w:p>
    <w:p w14:paraId="2602E252" w14:textId="6F6CE184" w:rsidR="004C0E0A" w:rsidRPr="004676F5" w:rsidRDefault="004C0E0A" w:rsidP="004C0E0A">
      <w:pPr>
        <w:jc w:val="both"/>
        <w:rPr>
          <w:lang w:val="de-DE"/>
        </w:rPr>
      </w:pPr>
      <w:r w:rsidRPr="004676F5">
        <w:rPr>
          <w:lang w:val="de-DE"/>
        </w:rPr>
        <w:tab/>
        <w:t>2. ihrer Satzung und ihrer Entgelterhebungs-, Einnahme</w:t>
      </w:r>
      <w:r w:rsidR="005B7A5C" w:rsidRPr="004676F5">
        <w:rPr>
          <w:lang w:val="de-DE"/>
        </w:rPr>
        <w:t>- </w:t>
      </w:r>
      <w:r w:rsidRPr="004676F5">
        <w:rPr>
          <w:lang w:val="de-DE"/>
        </w:rPr>
        <w:t>und Verteilungsregeln.</w:t>
      </w:r>
    </w:p>
    <w:p w14:paraId="57B124C0" w14:textId="77777777" w:rsidR="004C0E0A" w:rsidRPr="004676F5" w:rsidRDefault="004C0E0A" w:rsidP="004C0E0A">
      <w:pPr>
        <w:jc w:val="both"/>
        <w:rPr>
          <w:lang w:val="de-DE"/>
        </w:rPr>
      </w:pPr>
    </w:p>
    <w:p w14:paraId="41DBC619" w14:textId="0CF552F1" w:rsidR="004C0E0A" w:rsidRPr="004676F5" w:rsidRDefault="004C0E0A" w:rsidP="004C0E0A">
      <w:pPr>
        <w:jc w:val="both"/>
        <w:rPr>
          <w:lang w:val="de-DE"/>
        </w:rPr>
      </w:pPr>
      <w:r w:rsidRPr="004676F5">
        <w:rPr>
          <w:lang w:val="de-DE"/>
        </w:rPr>
        <w:tab/>
        <w:t>§ 2 </w:t>
      </w:r>
      <w:r w:rsidR="005B7A5C" w:rsidRPr="004676F5">
        <w:rPr>
          <w:lang w:val="de-DE"/>
        </w:rPr>
        <w:t>- </w:t>
      </w:r>
      <w:r w:rsidRPr="004676F5">
        <w:rPr>
          <w:lang w:val="de-DE"/>
        </w:rPr>
        <w:t>Der Kontrolldienst überwacht die Anwendung durch Organisationen für die kollektive Rechtewahrnehmung, die in Artikel XI.246 § 1 Absatz 2 erwähnt sind, in Bezug auf die Ausübung ihrer Tätigkeiten in Belgien:</w:t>
      </w:r>
    </w:p>
    <w:p w14:paraId="274B7996" w14:textId="77777777" w:rsidR="004C0E0A" w:rsidRPr="004676F5" w:rsidRDefault="004C0E0A" w:rsidP="004C0E0A">
      <w:pPr>
        <w:jc w:val="both"/>
        <w:rPr>
          <w:lang w:val="de-DE"/>
        </w:rPr>
      </w:pPr>
    </w:p>
    <w:p w14:paraId="1584346E" w14:textId="77777777" w:rsidR="004C0E0A" w:rsidRPr="004676F5" w:rsidRDefault="004C0E0A" w:rsidP="004C0E0A">
      <w:pPr>
        <w:jc w:val="both"/>
        <w:rPr>
          <w:lang w:val="de-DE"/>
        </w:rPr>
      </w:pPr>
      <w:r w:rsidRPr="004676F5">
        <w:rPr>
          <w:lang w:val="de-DE"/>
        </w:rPr>
        <w:tab/>
        <w:t>1. der in Artikel XI.246 § 1 Absatz 2 erwähnten Bestimmungen und ihrer Ausführungs</w:t>
      </w:r>
      <w:r w:rsidRPr="004676F5">
        <w:rPr>
          <w:lang w:val="de-DE"/>
        </w:rPr>
        <w:softHyphen/>
        <w:t>erlasse,</w:t>
      </w:r>
    </w:p>
    <w:p w14:paraId="0BDC17A3" w14:textId="77777777" w:rsidR="004C0E0A" w:rsidRPr="004676F5" w:rsidRDefault="004C0E0A" w:rsidP="004C0E0A">
      <w:pPr>
        <w:jc w:val="both"/>
        <w:rPr>
          <w:lang w:val="de-DE"/>
        </w:rPr>
      </w:pPr>
    </w:p>
    <w:p w14:paraId="15837A1F" w14:textId="35613169" w:rsidR="004C0E0A" w:rsidRPr="004676F5" w:rsidRDefault="004C0E0A" w:rsidP="004C0E0A">
      <w:pPr>
        <w:jc w:val="both"/>
        <w:rPr>
          <w:lang w:val="de-DE"/>
        </w:rPr>
      </w:pPr>
      <w:r w:rsidRPr="004676F5">
        <w:rPr>
          <w:lang w:val="de-DE"/>
        </w:rPr>
        <w:tab/>
        <w:t>2. ihrer Satzung und ihrer Entgelterhebungs-, Einnahme</w:t>
      </w:r>
      <w:r w:rsidR="005B7A5C" w:rsidRPr="004676F5">
        <w:rPr>
          <w:lang w:val="de-DE"/>
        </w:rPr>
        <w:t>- </w:t>
      </w:r>
      <w:r w:rsidRPr="004676F5">
        <w:rPr>
          <w:lang w:val="de-DE"/>
        </w:rPr>
        <w:t>und Verteilungsregeln und</w:t>
      </w:r>
    </w:p>
    <w:p w14:paraId="6FF0A9B0" w14:textId="77777777" w:rsidR="004C0E0A" w:rsidRPr="004676F5" w:rsidRDefault="004C0E0A" w:rsidP="004C0E0A">
      <w:pPr>
        <w:jc w:val="both"/>
        <w:rPr>
          <w:lang w:val="de-DE"/>
        </w:rPr>
      </w:pPr>
    </w:p>
    <w:p w14:paraId="7EAAA824" w14:textId="77777777" w:rsidR="004C0E0A" w:rsidRPr="004676F5" w:rsidRDefault="004C0E0A" w:rsidP="004C0E0A">
      <w:pPr>
        <w:jc w:val="both"/>
        <w:rPr>
          <w:lang w:val="de-DE"/>
        </w:rPr>
      </w:pPr>
      <w:r w:rsidRPr="004676F5">
        <w:rPr>
          <w:lang w:val="de-DE"/>
        </w:rPr>
        <w:tab/>
        <w:t>3. der Bestimmungen der Kapitel 1 bis 8 und 11 des vorliegenden Titels, die auf die Nutzungsarten anwendbar sind, für die die in Artikel XI.246 § 1 Absatz 2 erwähnten Organisationen für die kollektive Rechtewahrnehmung Rechte in Belgien wahrnehmen.</w:t>
      </w:r>
    </w:p>
    <w:p w14:paraId="740159CC" w14:textId="77777777" w:rsidR="004C0E0A" w:rsidRPr="004676F5" w:rsidRDefault="004C0E0A" w:rsidP="004C0E0A">
      <w:pPr>
        <w:jc w:val="both"/>
        <w:rPr>
          <w:lang w:val="de-DE"/>
        </w:rPr>
      </w:pPr>
    </w:p>
    <w:p w14:paraId="72DED686" w14:textId="77777777" w:rsidR="004C0E0A" w:rsidRPr="004676F5" w:rsidRDefault="004C0E0A" w:rsidP="004C0E0A">
      <w:pPr>
        <w:jc w:val="both"/>
        <w:rPr>
          <w:lang w:val="de-DE"/>
        </w:rPr>
      </w:pPr>
      <w:r w:rsidRPr="004676F5">
        <w:rPr>
          <w:lang w:val="de-DE"/>
        </w:rPr>
        <w:tab/>
        <w:t>Der Kontrolldienst überwacht die Anwendung durch Organisationen für die kollektive Rechtewahrnehmung, die keine Zweigstelle in Belgien haben, in Bezug auf die Ausübung ihrer Tätigkeiten auf belgischem Staatsgebiet:</w:t>
      </w:r>
    </w:p>
    <w:p w14:paraId="69D8D6C7" w14:textId="77777777" w:rsidR="004C0E0A" w:rsidRPr="004676F5" w:rsidRDefault="004C0E0A" w:rsidP="004C0E0A">
      <w:pPr>
        <w:jc w:val="both"/>
        <w:rPr>
          <w:lang w:val="de-DE"/>
        </w:rPr>
      </w:pPr>
    </w:p>
    <w:p w14:paraId="3EB47320" w14:textId="6B911654" w:rsidR="004C0E0A" w:rsidRPr="004676F5" w:rsidRDefault="004C0E0A" w:rsidP="004C0E0A">
      <w:pPr>
        <w:jc w:val="both"/>
        <w:rPr>
          <w:lang w:val="de-DE"/>
        </w:rPr>
      </w:pPr>
      <w:r w:rsidRPr="004676F5">
        <w:rPr>
          <w:lang w:val="de-DE"/>
        </w:rPr>
        <w:tab/>
        <w:t>1. ihrer Entgelterhebungs-, Einnahme</w:t>
      </w:r>
      <w:r w:rsidR="005B7A5C" w:rsidRPr="004676F5">
        <w:rPr>
          <w:lang w:val="de-DE"/>
        </w:rPr>
        <w:t>- </w:t>
      </w:r>
      <w:r w:rsidRPr="004676F5">
        <w:rPr>
          <w:lang w:val="de-DE"/>
        </w:rPr>
        <w:t>und Verteilungsregeln und</w:t>
      </w:r>
    </w:p>
    <w:p w14:paraId="2BB15C82" w14:textId="77777777" w:rsidR="004C0E0A" w:rsidRPr="004676F5" w:rsidRDefault="004C0E0A" w:rsidP="004C0E0A">
      <w:pPr>
        <w:jc w:val="both"/>
        <w:rPr>
          <w:lang w:val="de-DE"/>
        </w:rPr>
      </w:pPr>
    </w:p>
    <w:p w14:paraId="4E369E73" w14:textId="77777777" w:rsidR="004C0E0A" w:rsidRPr="004676F5" w:rsidRDefault="004C0E0A" w:rsidP="004C0E0A">
      <w:pPr>
        <w:jc w:val="both"/>
        <w:rPr>
          <w:lang w:val="de-DE"/>
        </w:rPr>
      </w:pPr>
      <w:r w:rsidRPr="004676F5">
        <w:rPr>
          <w:lang w:val="de-DE"/>
        </w:rPr>
        <w:tab/>
        <w:t>2. der Bestimmungen der Kapitel 1 bis 8 und 11 des vorliegenden Titels, die auf die Nutzungsarten anwendbar sind, für die die in vorliegendem Absatz erwähnten Organisationen für die kollektive Rechtewahrnehmung Rechte in Belgien wahrnehmen.</w:t>
      </w:r>
    </w:p>
    <w:p w14:paraId="20697699" w14:textId="77777777" w:rsidR="004C0E0A" w:rsidRPr="004676F5" w:rsidRDefault="004C0E0A" w:rsidP="004C0E0A">
      <w:pPr>
        <w:jc w:val="both"/>
        <w:rPr>
          <w:lang w:val="de-DE"/>
        </w:rPr>
      </w:pPr>
    </w:p>
    <w:p w14:paraId="08F796BD" w14:textId="3B4AAF51" w:rsidR="004C0E0A" w:rsidRPr="004676F5" w:rsidRDefault="004C0E0A" w:rsidP="004C0E0A">
      <w:pPr>
        <w:jc w:val="both"/>
        <w:rPr>
          <w:lang w:val="de-DE"/>
        </w:rPr>
      </w:pPr>
      <w:r w:rsidRPr="004676F5">
        <w:rPr>
          <w:lang w:val="de-DE"/>
        </w:rPr>
        <w:tab/>
        <w:t>§ 3 </w:t>
      </w:r>
      <w:r w:rsidR="005B7A5C" w:rsidRPr="004676F5">
        <w:rPr>
          <w:lang w:val="de-DE"/>
        </w:rPr>
        <w:t>- </w:t>
      </w:r>
      <w:r w:rsidRPr="004676F5">
        <w:rPr>
          <w:lang w:val="de-DE"/>
        </w:rPr>
        <w:t>Der Kontrolldienst überwacht die Anwendung durch unabhängige Verwertungs</w:t>
      </w:r>
      <w:r w:rsidRPr="004676F5">
        <w:rPr>
          <w:lang w:val="de-DE"/>
        </w:rPr>
        <w:softHyphen/>
        <w:t>einrichtungen mit Sitz in Belgien:</w:t>
      </w:r>
    </w:p>
    <w:p w14:paraId="1D5E8B42" w14:textId="77777777" w:rsidR="004C0E0A" w:rsidRPr="004676F5" w:rsidRDefault="004C0E0A" w:rsidP="004C0E0A">
      <w:pPr>
        <w:jc w:val="both"/>
        <w:rPr>
          <w:lang w:val="de-DE"/>
        </w:rPr>
      </w:pPr>
    </w:p>
    <w:p w14:paraId="4F11181A" w14:textId="77777777" w:rsidR="004C0E0A" w:rsidRPr="004676F5" w:rsidRDefault="004C0E0A" w:rsidP="004C0E0A">
      <w:pPr>
        <w:jc w:val="both"/>
        <w:rPr>
          <w:lang w:val="de-DE"/>
        </w:rPr>
      </w:pPr>
      <w:r w:rsidRPr="004676F5">
        <w:rPr>
          <w:lang w:val="de-DE"/>
        </w:rPr>
        <w:tab/>
        <w:t>1. der in Artikel XI.246 § 1 Absatz 3 erwähnten Bestimmungen und ihrer Ausführungs</w:t>
      </w:r>
      <w:r w:rsidRPr="004676F5">
        <w:rPr>
          <w:lang w:val="de-DE"/>
        </w:rPr>
        <w:softHyphen/>
        <w:t>erlasse und</w:t>
      </w:r>
    </w:p>
    <w:p w14:paraId="5DD66EF7" w14:textId="77777777" w:rsidR="004C0E0A" w:rsidRPr="004676F5" w:rsidRDefault="004C0E0A" w:rsidP="004C0E0A">
      <w:pPr>
        <w:jc w:val="both"/>
        <w:rPr>
          <w:lang w:val="de-DE"/>
        </w:rPr>
      </w:pPr>
    </w:p>
    <w:p w14:paraId="066BEB8D" w14:textId="77777777" w:rsidR="004C0E0A" w:rsidRPr="004676F5" w:rsidRDefault="004C0E0A" w:rsidP="004C0E0A">
      <w:pPr>
        <w:jc w:val="both"/>
        <w:rPr>
          <w:lang w:val="de-DE"/>
        </w:rPr>
      </w:pPr>
      <w:r w:rsidRPr="004676F5">
        <w:rPr>
          <w:lang w:val="de-DE"/>
        </w:rPr>
        <w:lastRenderedPageBreak/>
        <w:tab/>
        <w:t>2. der Bestimmungen der Kapitel 1 bis 8 und 11 des vorliegenden Titels, die auf die Nutzungsarten anwendbar sind, für die die in vorliegendem Absatz erwähnten unabhängigen Verwertungseinrichtungen mit Sitz in Belgien Rechte wahrnehmen.</w:t>
      </w:r>
    </w:p>
    <w:p w14:paraId="75383053" w14:textId="77777777" w:rsidR="004C0E0A" w:rsidRPr="004676F5" w:rsidRDefault="004C0E0A" w:rsidP="004C0E0A">
      <w:pPr>
        <w:rPr>
          <w:lang w:val="de-DE"/>
        </w:rPr>
      </w:pPr>
    </w:p>
    <w:p w14:paraId="07A2D186" w14:textId="77777777" w:rsidR="004C0E0A" w:rsidRPr="004676F5" w:rsidRDefault="004C0E0A" w:rsidP="004C0E0A">
      <w:pPr>
        <w:jc w:val="both"/>
        <w:rPr>
          <w:lang w:val="de-DE"/>
        </w:rPr>
      </w:pPr>
      <w:r w:rsidRPr="004676F5">
        <w:rPr>
          <w:lang w:val="de-DE"/>
        </w:rPr>
        <w:tab/>
        <w:t>Der Kontrolldienst überwacht die Anwendung durch unabhängige Verwertungs</w:t>
      </w:r>
      <w:r w:rsidRPr="004676F5">
        <w:rPr>
          <w:lang w:val="de-DE"/>
        </w:rPr>
        <w:softHyphen/>
        <w:t>einrichtungen mit Sitz in einem anderen Mitgliedstaat der Europäischen Union und Zweigstelle in Belgien, in Bezug auf die Ausübung ihrer Tätigkeiten auf belgischem Staatsgebiet:</w:t>
      </w:r>
    </w:p>
    <w:p w14:paraId="0C4CAE6A" w14:textId="77777777" w:rsidR="004C0E0A" w:rsidRPr="004676F5" w:rsidRDefault="004C0E0A" w:rsidP="004C0E0A">
      <w:pPr>
        <w:jc w:val="both"/>
        <w:rPr>
          <w:lang w:val="de-DE"/>
        </w:rPr>
      </w:pPr>
    </w:p>
    <w:p w14:paraId="74CBDCD7" w14:textId="77777777" w:rsidR="004C0E0A" w:rsidRPr="004676F5" w:rsidRDefault="004C0E0A" w:rsidP="004C0E0A">
      <w:pPr>
        <w:jc w:val="both"/>
        <w:rPr>
          <w:lang w:val="de-DE"/>
        </w:rPr>
      </w:pPr>
      <w:r w:rsidRPr="004676F5">
        <w:rPr>
          <w:lang w:val="de-DE"/>
        </w:rPr>
        <w:tab/>
        <w:t>1. der in Artikel XI.246 § 1 Absatz 4 erwähnten Bestimmungen und ihrer Ausführungs</w:t>
      </w:r>
      <w:r w:rsidRPr="004676F5">
        <w:rPr>
          <w:lang w:val="de-DE"/>
        </w:rPr>
        <w:softHyphen/>
        <w:t>erlasse und</w:t>
      </w:r>
    </w:p>
    <w:p w14:paraId="4BE4171F" w14:textId="77777777" w:rsidR="004C0E0A" w:rsidRPr="004676F5" w:rsidRDefault="004C0E0A" w:rsidP="004C0E0A">
      <w:pPr>
        <w:jc w:val="both"/>
        <w:rPr>
          <w:lang w:val="de-DE"/>
        </w:rPr>
      </w:pPr>
    </w:p>
    <w:p w14:paraId="0857D336" w14:textId="77777777" w:rsidR="004C0E0A" w:rsidRPr="004676F5" w:rsidRDefault="004C0E0A" w:rsidP="004C0E0A">
      <w:pPr>
        <w:jc w:val="both"/>
        <w:rPr>
          <w:lang w:val="de-DE"/>
        </w:rPr>
      </w:pPr>
      <w:r w:rsidRPr="004676F5">
        <w:rPr>
          <w:lang w:val="de-DE"/>
        </w:rPr>
        <w:tab/>
        <w:t>2. der Bestimmungen der Kapitel 1 bis 8 und 11 des vorliegenden Titels, die auf die Nutzungsarten anwendbar sind, für die die in Absatz 1 erwähnten Verwertungseinrichtungen Rechte in Belgien wahrnehmen.</w:t>
      </w:r>
    </w:p>
    <w:p w14:paraId="2C4E7504" w14:textId="77777777" w:rsidR="004C0E0A" w:rsidRPr="004676F5" w:rsidRDefault="004C0E0A" w:rsidP="004C0E0A">
      <w:pPr>
        <w:jc w:val="both"/>
        <w:rPr>
          <w:lang w:val="de-DE"/>
        </w:rPr>
      </w:pPr>
    </w:p>
    <w:p w14:paraId="58EBEF58" w14:textId="77777777" w:rsidR="004C0E0A" w:rsidRPr="004676F5" w:rsidRDefault="004C0E0A" w:rsidP="004C0E0A">
      <w:pPr>
        <w:jc w:val="both"/>
        <w:rPr>
          <w:lang w:val="de-DE"/>
        </w:rPr>
      </w:pPr>
      <w:r w:rsidRPr="004676F5">
        <w:rPr>
          <w:lang w:val="de-DE"/>
        </w:rPr>
        <w:tab/>
        <w:t>Der Kontrolldienst überwacht die Anwendung durch unabhängige Verwertungs</w:t>
      </w:r>
      <w:r w:rsidRPr="004676F5">
        <w:rPr>
          <w:lang w:val="de-DE"/>
        </w:rPr>
        <w:softHyphen/>
        <w:t xml:space="preserve">einrichtungen mit Sitz in einem anderen Mitgliedstaat der Europäischen Union, die keine Zweigstelle in Belgien haben, in Bezug auf die Ausübung ihrer Tätigkeiten auf belgischem Staatsgebiet, der Bestimmungen der Kapitel 1 bis 8 und 11 des vorliegenden Titels, die auf die Nutzungsarten anwendbar sind, für die die in Absatz 1 </w:t>
      </w:r>
      <w:r w:rsidRPr="004676F5">
        <w:rPr>
          <w:i/>
          <w:lang w:val="de-DE"/>
        </w:rPr>
        <w:t>[sic, zu lesen ist: "in vorliegendem Absatz"]</w:t>
      </w:r>
      <w:r w:rsidRPr="004676F5">
        <w:rPr>
          <w:lang w:val="de-DE"/>
        </w:rPr>
        <w:t xml:space="preserve"> erwähnten Verwertungseinrichtungen Rechte in Belgien wahrnehmen.</w:t>
      </w:r>
    </w:p>
    <w:p w14:paraId="6E49FB73" w14:textId="77777777" w:rsidR="004C0E0A" w:rsidRPr="004676F5" w:rsidRDefault="004C0E0A" w:rsidP="004C0E0A">
      <w:pPr>
        <w:jc w:val="both"/>
        <w:rPr>
          <w:lang w:val="de-DE"/>
        </w:rPr>
      </w:pPr>
    </w:p>
    <w:p w14:paraId="27406DFB" w14:textId="6928028A" w:rsidR="004C0E0A" w:rsidRPr="004676F5" w:rsidRDefault="004C0E0A" w:rsidP="004C0E0A">
      <w:pPr>
        <w:jc w:val="both"/>
        <w:rPr>
          <w:lang w:val="de-DE"/>
        </w:rPr>
      </w:pPr>
      <w:r w:rsidRPr="004676F5">
        <w:rPr>
          <w:lang w:val="de-DE"/>
        </w:rPr>
        <w:tab/>
        <w:t>§ 4 </w:t>
      </w:r>
      <w:r w:rsidR="005B7A5C" w:rsidRPr="004676F5">
        <w:rPr>
          <w:lang w:val="de-DE"/>
        </w:rPr>
        <w:t>- </w:t>
      </w:r>
      <w:r w:rsidRPr="004676F5">
        <w:rPr>
          <w:lang w:val="de-DE"/>
        </w:rPr>
        <w:t>Gesellschafter einer Verwertungsgesellschaft, Mitglieder einer Organisation für die kollektive Rechtewahrnehmung, Rechtsinhaber, Nutzer, Verwertungsgesellschaften, Organisationen für die kollektive Rechtewahrnehmung und andere Interessehabende können dem Kontrolldienst Tätigkeiten oder Umstände anzeigen, die ihrer Ansicht gegen die Bestimmungen der Paragraphen 1 und 3 verstoßen.</w:t>
      </w:r>
    </w:p>
    <w:p w14:paraId="6DC7EBC1" w14:textId="77777777" w:rsidR="004C0E0A" w:rsidRPr="004676F5" w:rsidRDefault="004C0E0A" w:rsidP="004C0E0A">
      <w:pPr>
        <w:jc w:val="both"/>
        <w:rPr>
          <w:lang w:val="de-DE"/>
        </w:rPr>
      </w:pPr>
    </w:p>
    <w:p w14:paraId="29AC4672" w14:textId="0AB20396" w:rsidR="001527B1" w:rsidRPr="004676F5" w:rsidRDefault="004C0E0A" w:rsidP="004C0E0A">
      <w:pPr>
        <w:ind w:firstLine="708"/>
        <w:jc w:val="both"/>
        <w:rPr>
          <w:lang w:val="de-DE"/>
        </w:rPr>
      </w:pPr>
      <w:r w:rsidRPr="004676F5">
        <w:rPr>
          <w:lang w:val="de-DE"/>
        </w:rPr>
        <w:t>§ 5 </w:t>
      </w:r>
      <w:r w:rsidR="005B7A5C" w:rsidRPr="004676F5">
        <w:rPr>
          <w:lang w:val="de-DE"/>
        </w:rPr>
        <w:t>- </w:t>
      </w:r>
      <w:r w:rsidRPr="004676F5">
        <w:rPr>
          <w:lang w:val="de-DE"/>
        </w:rPr>
        <w:t>Unbeschadet der Aufgaben der Gerichtspolizeioffiziere sind die zu diesem Zweck vom Minister bestellten Bediensteten des Kontrolldienstes ebenfalls befugt, in Artikel XV.112 erwähnte Verstöße zu ermitteln und festzustellen.]</w:t>
      </w:r>
    </w:p>
    <w:p w14:paraId="51175CA7" w14:textId="77777777" w:rsidR="001527B1" w:rsidRPr="004676F5" w:rsidRDefault="001527B1" w:rsidP="001527B1">
      <w:pPr>
        <w:ind w:firstLine="708"/>
        <w:jc w:val="both"/>
        <w:rPr>
          <w:lang w:val="de-DE"/>
        </w:rPr>
      </w:pPr>
    </w:p>
    <w:p w14:paraId="084A5953" w14:textId="7F18D0B6" w:rsidR="004413B6" w:rsidRPr="00B14651" w:rsidRDefault="004413B6" w:rsidP="004413B6">
      <w:pPr>
        <w:jc w:val="both"/>
        <w:rPr>
          <w:i/>
          <w:lang w:val="de-DE"/>
        </w:rPr>
      </w:pPr>
      <w:r w:rsidRPr="004676F5">
        <w:rPr>
          <w:i/>
          <w:lang w:val="de-DE"/>
        </w:rPr>
        <w:t>[</w:t>
      </w:r>
      <w:r w:rsidR="00BE0A56" w:rsidRPr="004676F5">
        <w:rPr>
          <w:i/>
          <w:lang w:val="de-DE"/>
        </w:rPr>
        <w:t>Art. </w:t>
      </w:r>
      <w:r w:rsidRPr="004676F5">
        <w:rPr>
          <w:i/>
          <w:lang w:val="de-DE"/>
        </w:rPr>
        <w:t>XI.</w:t>
      </w:r>
      <w:r w:rsidR="004C0E0A" w:rsidRPr="004676F5">
        <w:rPr>
          <w:i/>
          <w:lang w:val="de-DE"/>
        </w:rPr>
        <w:t>279</w:t>
      </w:r>
      <w:r w:rsidRPr="004676F5">
        <w:rPr>
          <w:i/>
          <w:lang w:val="de-DE"/>
        </w:rPr>
        <w:t xml:space="preserve"> ersetzt durch </w:t>
      </w:r>
      <w:r w:rsidR="00BE0A56" w:rsidRPr="004676F5">
        <w:rPr>
          <w:i/>
          <w:lang w:val="de-DE"/>
        </w:rPr>
        <w:t>Art. </w:t>
      </w:r>
      <w:r w:rsidR="004C0E0A" w:rsidRPr="004676F5">
        <w:rPr>
          <w:i/>
          <w:lang w:val="de-DE"/>
        </w:rPr>
        <w:t>105 des G. vom 8. </w:t>
      </w:r>
      <w:r w:rsidR="004C0E0A" w:rsidRPr="00B14651">
        <w:rPr>
          <w:i/>
          <w:lang w:val="de-DE"/>
        </w:rPr>
        <w:t>Juni 2017 (B.S. vom 27. Juni 2017)</w:t>
      </w:r>
      <w:r w:rsidRPr="00B14651">
        <w:rPr>
          <w:i/>
          <w:lang w:val="de-DE"/>
        </w:rPr>
        <w:t>]</w:t>
      </w:r>
    </w:p>
    <w:p w14:paraId="275172C9" w14:textId="77777777" w:rsidR="004C0E0A" w:rsidRPr="00B14651" w:rsidRDefault="004C0E0A" w:rsidP="004413B6">
      <w:pPr>
        <w:jc w:val="both"/>
        <w:rPr>
          <w:i/>
          <w:lang w:val="de-DE"/>
        </w:rPr>
      </w:pPr>
    </w:p>
    <w:p w14:paraId="7AAD543F" w14:textId="77777777" w:rsidR="004C0E0A" w:rsidRPr="00B14651" w:rsidRDefault="004C0E0A" w:rsidP="004413B6">
      <w:pPr>
        <w:jc w:val="both"/>
        <w:rPr>
          <w:i/>
          <w:lang w:val="de-DE"/>
        </w:rPr>
      </w:pPr>
    </w:p>
    <w:p w14:paraId="6685DCCF" w14:textId="4D1D8F98" w:rsidR="004C0E0A" w:rsidRPr="004676F5" w:rsidRDefault="004C0E0A" w:rsidP="004C0E0A">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XI.279/1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Auskunftsersuchen einer zu diesem Zweck benannten zuständigen Behörde eines anderen Mitgliedstaats zu Angelegenheiten im Zusammenhang mit Tätigkeiten von Verwertungsgesellschaften wird unverzüglich vom Kontrolldienst beantwortet, wenn diese Anfrage hinreichend mit Gründen versehen ist.</w:t>
      </w:r>
    </w:p>
    <w:p w14:paraId="3874EF01" w14:textId="77777777" w:rsidR="004C0E0A" w:rsidRPr="004676F5" w:rsidRDefault="004C0E0A" w:rsidP="004C0E0A">
      <w:pPr>
        <w:jc w:val="both"/>
        <w:rPr>
          <w:lang w:val="de-DE"/>
        </w:rPr>
      </w:pPr>
    </w:p>
    <w:p w14:paraId="7901D23A" w14:textId="77777777" w:rsidR="004C0E0A" w:rsidRPr="004676F5" w:rsidRDefault="004C0E0A" w:rsidP="004C0E0A">
      <w:pPr>
        <w:jc w:val="both"/>
        <w:rPr>
          <w:lang w:val="de-DE"/>
        </w:rPr>
      </w:pPr>
      <w:r w:rsidRPr="004676F5">
        <w:rPr>
          <w:lang w:val="de-DE"/>
        </w:rPr>
        <w:tab/>
        <w:t>Der Kontrolldienst, der mit einem in Absatz 1 erwähnten Ersuchen einer Behörde eines anderen Mitgliedstaats in Bezug auf eine Verwertungsgesellschaft befasst wird, erteilt binnen drei Monaten eine mit Gründen versehene Antwort.</w:t>
      </w:r>
    </w:p>
    <w:p w14:paraId="55EAE53E" w14:textId="77777777" w:rsidR="004C0E0A" w:rsidRPr="004676F5" w:rsidRDefault="004C0E0A" w:rsidP="004C0E0A">
      <w:pPr>
        <w:jc w:val="both"/>
        <w:rPr>
          <w:lang w:val="de-DE"/>
        </w:rPr>
      </w:pPr>
    </w:p>
    <w:p w14:paraId="2F696433" w14:textId="540A4E74" w:rsidR="004C0E0A" w:rsidRPr="004676F5" w:rsidRDefault="004C0E0A" w:rsidP="004C0E0A">
      <w:pPr>
        <w:jc w:val="both"/>
        <w:rPr>
          <w:lang w:val="de-DE"/>
        </w:rPr>
      </w:pPr>
      <w:r w:rsidRPr="004676F5">
        <w:rPr>
          <w:lang w:val="de-DE"/>
        </w:rPr>
        <w:tab/>
        <w:t>§ 2 </w:t>
      </w:r>
      <w:r w:rsidR="005B7A5C" w:rsidRPr="004676F5">
        <w:rPr>
          <w:lang w:val="de-DE"/>
        </w:rPr>
        <w:t>- </w:t>
      </w:r>
      <w:r w:rsidRPr="004676F5">
        <w:rPr>
          <w:lang w:val="de-DE"/>
        </w:rPr>
        <w:t>Ist der Kontrolldienst der Auffassung, dass eine Organisation für die kollektive Rechtewahrnehmung oder eine unabhängige Verwertungseinrichtung mit Sitz in einem anderen Mitgliedstaat, die auf belgischem Staatsgebiet tätig ist, möglicherweise gegen die nationalen Rechtsvorschriften des Mitgliedstaats zur Umsetzung der Richtlinie 2012/26/UE verstößt, in dem die Organisation oder Einrichtung ihren Sitz hat, so kann der Kontrolldienst alle einschlägigen Informationen an die zuständige Behörde des Mitgliedstaats übermitteln, in dem die Organisation oder Einrichtung ihren Sitz hat, und gegebenenfalls diese Behörde ersuchen, im Rahmen ihrer Befugnisse geeignete Maßnahmen zu ergreifen.</w:t>
      </w:r>
    </w:p>
    <w:p w14:paraId="7935C8D9" w14:textId="77777777" w:rsidR="004C0E0A" w:rsidRPr="004676F5" w:rsidRDefault="004C0E0A" w:rsidP="004C0E0A">
      <w:pPr>
        <w:jc w:val="both"/>
        <w:rPr>
          <w:lang w:val="de-DE"/>
        </w:rPr>
      </w:pPr>
    </w:p>
    <w:p w14:paraId="1F67223F" w14:textId="3ADC9B86" w:rsidR="004C0E0A" w:rsidRPr="004676F5" w:rsidRDefault="004C0E0A" w:rsidP="004C0E0A">
      <w:pPr>
        <w:jc w:val="both"/>
        <w:rPr>
          <w:lang w:val="de-DE"/>
        </w:rPr>
      </w:pPr>
      <w:r w:rsidRPr="004676F5">
        <w:rPr>
          <w:lang w:val="de-DE"/>
        </w:rPr>
        <w:tab/>
        <w:t>§ 3 </w:t>
      </w:r>
      <w:r w:rsidR="005B7A5C" w:rsidRPr="004676F5">
        <w:rPr>
          <w:lang w:val="de-DE"/>
        </w:rPr>
        <w:t>- </w:t>
      </w:r>
      <w:r w:rsidRPr="004676F5">
        <w:rPr>
          <w:lang w:val="de-DE"/>
        </w:rPr>
        <w:t>Der Kontrolldienst kann Angelegenheiten nach § 2 auch an die gemäß Artikel 41 der Richtlinie 2014/26/UE eingerichtete Sachverständigengruppe verweisen.]</w:t>
      </w:r>
    </w:p>
    <w:p w14:paraId="529996A3" w14:textId="77777777" w:rsidR="004C0E0A" w:rsidRPr="004676F5" w:rsidRDefault="004C0E0A" w:rsidP="004C0E0A">
      <w:pPr>
        <w:jc w:val="both"/>
        <w:rPr>
          <w:lang w:val="de-DE"/>
        </w:rPr>
      </w:pPr>
    </w:p>
    <w:p w14:paraId="6934DD8E" w14:textId="4DD65617" w:rsidR="004C0E0A" w:rsidRPr="00B14651" w:rsidRDefault="004C0E0A" w:rsidP="004C0E0A">
      <w:pPr>
        <w:jc w:val="both"/>
        <w:rPr>
          <w:i/>
          <w:lang w:val="de-DE"/>
        </w:rPr>
      </w:pPr>
      <w:r w:rsidRPr="004676F5">
        <w:rPr>
          <w:i/>
          <w:lang w:val="de-DE"/>
        </w:rPr>
        <w:t>[</w:t>
      </w:r>
      <w:r w:rsidR="00BE0A56" w:rsidRPr="004676F5">
        <w:rPr>
          <w:i/>
          <w:lang w:val="de-DE"/>
        </w:rPr>
        <w:t>Art. </w:t>
      </w:r>
      <w:r w:rsidRPr="004676F5">
        <w:rPr>
          <w:i/>
          <w:lang w:val="de-DE"/>
        </w:rPr>
        <w:t xml:space="preserve">XI.279/1 eingefügt durch </w:t>
      </w:r>
      <w:r w:rsidR="00BE0A56" w:rsidRPr="004676F5">
        <w:rPr>
          <w:i/>
          <w:lang w:val="de-DE"/>
        </w:rPr>
        <w:t>Art. </w:t>
      </w:r>
      <w:r w:rsidRPr="004676F5">
        <w:rPr>
          <w:i/>
          <w:lang w:val="de-DE"/>
        </w:rPr>
        <w:t>106 des G. vom 8. </w:t>
      </w:r>
      <w:r w:rsidRPr="00B14651">
        <w:rPr>
          <w:i/>
          <w:lang w:val="de-DE"/>
        </w:rPr>
        <w:t>Juni 2017 (B.S. vom 27. Juni 2017)]</w:t>
      </w:r>
    </w:p>
    <w:p w14:paraId="2C247178" w14:textId="77777777" w:rsidR="004C0E0A" w:rsidRPr="00B14651" w:rsidRDefault="004C0E0A" w:rsidP="004C0E0A">
      <w:pPr>
        <w:jc w:val="both"/>
        <w:rPr>
          <w:lang w:val="de-DE"/>
        </w:rPr>
      </w:pPr>
    </w:p>
    <w:p w14:paraId="0D21DD1E" w14:textId="77777777" w:rsidR="004413B6" w:rsidRPr="00B14651" w:rsidRDefault="004413B6" w:rsidP="001527B1">
      <w:pPr>
        <w:ind w:firstLine="708"/>
        <w:jc w:val="both"/>
        <w:rPr>
          <w:lang w:val="de-DE"/>
        </w:rPr>
      </w:pPr>
    </w:p>
    <w:p w14:paraId="672C772D" w14:textId="13C52C5B" w:rsidR="004C0E0A" w:rsidRPr="004676F5" w:rsidRDefault="00BE0A56" w:rsidP="004C0E0A">
      <w:pPr>
        <w:ind w:firstLine="708"/>
        <w:jc w:val="both"/>
        <w:rPr>
          <w:lang w:val="de-DE"/>
        </w:rPr>
      </w:pPr>
      <w:r w:rsidRPr="004676F5">
        <w:rPr>
          <w:b/>
          <w:lang w:val="de-DE"/>
        </w:rPr>
        <w:t>Art. </w:t>
      </w:r>
      <w:r w:rsidR="001527B1" w:rsidRPr="004676F5">
        <w:rPr>
          <w:b/>
          <w:lang w:val="de-DE"/>
        </w:rPr>
        <w:t>XI.280</w:t>
      </w:r>
      <w:r w:rsidR="001527B1" w:rsidRPr="004676F5">
        <w:rPr>
          <w:lang w:val="de-DE"/>
        </w:rPr>
        <w:t> </w:t>
      </w:r>
      <w:r w:rsidR="005B7A5C" w:rsidRPr="004676F5">
        <w:rPr>
          <w:lang w:val="de-DE"/>
        </w:rPr>
        <w:t>- </w:t>
      </w:r>
      <w:r w:rsidR="004C0E0A" w:rsidRPr="004676F5">
        <w:rPr>
          <w:lang w:val="de-DE"/>
        </w:rPr>
        <w:t>[Verwertungsgesellschaften müssen alle Daten in Bezug auf die Rechte</w:t>
      </w:r>
      <w:r w:rsidR="004C0E0A" w:rsidRPr="004676F5">
        <w:rPr>
          <w:lang w:val="de-DE"/>
        </w:rPr>
        <w:softHyphen/>
        <w:t>wahr</w:t>
      </w:r>
      <w:r w:rsidR="004C0E0A" w:rsidRPr="004676F5">
        <w:rPr>
          <w:lang w:val="de-DE"/>
        </w:rPr>
        <w:softHyphen/>
        <w:t>nehmung entweder am Gesellschaftssitz oder an einem anderen Ort, den der Minister oder der zu diesem Zweck bevollmächtigte Bedienstete zuvor zugelassen hat, aufbewahren.</w:t>
      </w:r>
    </w:p>
    <w:p w14:paraId="2FE4EACA" w14:textId="77777777" w:rsidR="004C0E0A" w:rsidRPr="004676F5" w:rsidRDefault="004C0E0A" w:rsidP="004C0E0A">
      <w:pPr>
        <w:jc w:val="both"/>
        <w:rPr>
          <w:lang w:val="de-DE"/>
        </w:rPr>
      </w:pPr>
    </w:p>
    <w:p w14:paraId="7C10215E" w14:textId="77777777" w:rsidR="004C0E0A" w:rsidRPr="004676F5" w:rsidRDefault="004C0E0A" w:rsidP="004C0E0A">
      <w:pPr>
        <w:jc w:val="both"/>
        <w:rPr>
          <w:lang w:val="de-DE"/>
        </w:rPr>
      </w:pPr>
      <w:r w:rsidRPr="004676F5">
        <w:rPr>
          <w:lang w:val="de-DE"/>
        </w:rPr>
        <w:tab/>
        <w:t>In Artikel XI.246 § 1 Absatz 2 erwähnte Organisationen für die kollektive Rechtewahr</w:t>
      </w:r>
      <w:r w:rsidRPr="004676F5">
        <w:rPr>
          <w:lang w:val="de-DE"/>
        </w:rPr>
        <w:softHyphen/>
        <w:t>nehmung müssen alle Daten in Bezug auf die Rechtewahrnehmung entweder in der belgischen Zweigstelle oder an einem anderen Ort, den der Minister oder der zu diesem Zweck bevollmächtigte Bedienstete zuvor zugelassen hat, aufbewahren.</w:t>
      </w:r>
    </w:p>
    <w:p w14:paraId="11DD1920" w14:textId="77777777" w:rsidR="004C0E0A" w:rsidRPr="004676F5" w:rsidRDefault="004C0E0A" w:rsidP="004C0E0A">
      <w:pPr>
        <w:jc w:val="both"/>
        <w:rPr>
          <w:lang w:val="de-DE"/>
        </w:rPr>
      </w:pPr>
    </w:p>
    <w:p w14:paraId="6A198B68" w14:textId="77777777" w:rsidR="004C0E0A" w:rsidRPr="004676F5" w:rsidRDefault="004C0E0A" w:rsidP="004C0E0A">
      <w:pPr>
        <w:jc w:val="both"/>
        <w:rPr>
          <w:lang w:val="de-DE"/>
        </w:rPr>
      </w:pPr>
      <w:r w:rsidRPr="004676F5">
        <w:rPr>
          <w:lang w:val="de-DE"/>
        </w:rPr>
        <w:tab/>
        <w:t>Bei Organisationen für die kollektive Rechtewahrnehmung betrifft die in vorhergehen</w:t>
      </w:r>
      <w:r w:rsidRPr="004676F5">
        <w:rPr>
          <w:lang w:val="de-DE"/>
        </w:rPr>
        <w:softHyphen/>
        <w:t>dem Absatz erwähnte Verpflichtung Belege über die Wahrnehmung von Rechten, die in Belgien entstehen, und von Rechten zugunsten von Rechtsinhabern, die in Belgien ansässig oder wohnhaft sind.</w:t>
      </w:r>
    </w:p>
    <w:p w14:paraId="71060A1E" w14:textId="77777777" w:rsidR="004C0E0A" w:rsidRPr="004676F5" w:rsidRDefault="004C0E0A" w:rsidP="004C0E0A">
      <w:pPr>
        <w:jc w:val="both"/>
        <w:rPr>
          <w:lang w:val="de-DE"/>
        </w:rPr>
      </w:pPr>
    </w:p>
    <w:p w14:paraId="0FBF0BF9" w14:textId="77777777" w:rsidR="001527B1" w:rsidRPr="004676F5" w:rsidRDefault="004C0E0A" w:rsidP="004C0E0A">
      <w:pPr>
        <w:ind w:firstLine="708"/>
        <w:jc w:val="both"/>
        <w:rPr>
          <w:lang w:val="de-DE"/>
        </w:rPr>
      </w:pPr>
      <w:r w:rsidRPr="004676F5">
        <w:rPr>
          <w:lang w:val="de-DE"/>
        </w:rPr>
        <w:t>Unbeschadet anderer Gesetzesbestimmungen, die eine längere Frist vorschreiben, beträgt die Frist für die Aufbewahrung der in den Absätzen 1 und 2 erwähnten Belege zehn Jahre ab Verteilung der Beträge, auf die sie sich beziehen.]</w:t>
      </w:r>
    </w:p>
    <w:p w14:paraId="2F3B18AA" w14:textId="77777777" w:rsidR="004C0E0A" w:rsidRPr="004676F5" w:rsidRDefault="004C0E0A" w:rsidP="004C0E0A">
      <w:pPr>
        <w:ind w:firstLine="708"/>
        <w:jc w:val="both"/>
        <w:rPr>
          <w:lang w:val="de-DE"/>
        </w:rPr>
      </w:pPr>
    </w:p>
    <w:p w14:paraId="092DF6FF" w14:textId="33748558" w:rsidR="004C0E0A" w:rsidRPr="00B14651" w:rsidRDefault="004C0E0A" w:rsidP="004C0E0A">
      <w:pPr>
        <w:jc w:val="both"/>
        <w:rPr>
          <w:i/>
          <w:lang w:val="de-DE"/>
        </w:rPr>
      </w:pPr>
      <w:r w:rsidRPr="004676F5">
        <w:rPr>
          <w:i/>
          <w:lang w:val="de-DE"/>
        </w:rPr>
        <w:t>[</w:t>
      </w:r>
      <w:r w:rsidR="00BE0A56" w:rsidRPr="004676F5">
        <w:rPr>
          <w:i/>
          <w:lang w:val="de-DE"/>
        </w:rPr>
        <w:t>Art. </w:t>
      </w:r>
      <w:r w:rsidRPr="004676F5">
        <w:rPr>
          <w:i/>
          <w:lang w:val="de-DE"/>
        </w:rPr>
        <w:t xml:space="preserve">XI.280 ersetzt durch </w:t>
      </w:r>
      <w:r w:rsidR="00BE0A56" w:rsidRPr="004676F5">
        <w:rPr>
          <w:i/>
          <w:lang w:val="de-DE"/>
        </w:rPr>
        <w:t>Art. </w:t>
      </w:r>
      <w:r w:rsidRPr="004676F5">
        <w:rPr>
          <w:i/>
          <w:lang w:val="de-DE"/>
        </w:rPr>
        <w:t>107 des G. vom 8. </w:t>
      </w:r>
      <w:r w:rsidRPr="00B14651">
        <w:rPr>
          <w:i/>
          <w:lang w:val="de-DE"/>
        </w:rPr>
        <w:t>Juni 2017 (B.S. vom 27. Juni 2017)]</w:t>
      </w:r>
    </w:p>
    <w:p w14:paraId="436941D2" w14:textId="77777777" w:rsidR="001527B1" w:rsidRPr="00B14651" w:rsidRDefault="001527B1" w:rsidP="001527B1">
      <w:pPr>
        <w:ind w:firstLine="708"/>
        <w:jc w:val="both"/>
        <w:rPr>
          <w:lang w:val="de-DE"/>
        </w:rPr>
      </w:pPr>
    </w:p>
    <w:p w14:paraId="380EDD12" w14:textId="77777777" w:rsidR="00355502" w:rsidRPr="00B14651" w:rsidRDefault="00355502" w:rsidP="001527B1">
      <w:pPr>
        <w:ind w:firstLine="708"/>
        <w:jc w:val="both"/>
        <w:rPr>
          <w:lang w:val="de-DE"/>
        </w:rPr>
      </w:pPr>
    </w:p>
    <w:p w14:paraId="2D43D5D4" w14:textId="468031ED" w:rsidR="001527B1" w:rsidRPr="004676F5" w:rsidRDefault="00BE0A56" w:rsidP="001527B1">
      <w:pPr>
        <w:ind w:firstLine="708"/>
        <w:jc w:val="both"/>
        <w:rPr>
          <w:lang w:val="de-DE"/>
        </w:rPr>
      </w:pPr>
      <w:r w:rsidRPr="004676F5">
        <w:rPr>
          <w:b/>
          <w:lang w:val="de-DE"/>
        </w:rPr>
        <w:t>Art. </w:t>
      </w:r>
      <w:r w:rsidR="001527B1" w:rsidRPr="004676F5">
        <w:rPr>
          <w:b/>
          <w:lang w:val="de-DE"/>
        </w:rPr>
        <w:t>XI.281</w:t>
      </w:r>
      <w:r w:rsidR="001527B1" w:rsidRPr="004676F5">
        <w:rPr>
          <w:lang w:val="de-DE"/>
        </w:rPr>
        <w:t> </w:t>
      </w:r>
      <w:r w:rsidR="005B7A5C" w:rsidRPr="004676F5">
        <w:rPr>
          <w:lang w:val="de-DE"/>
        </w:rPr>
        <w:t>- </w:t>
      </w:r>
      <w:r w:rsidR="004C0E0A" w:rsidRPr="004676F5">
        <w:rPr>
          <w:lang w:val="de-DE"/>
        </w:rPr>
        <w:t>[Personalmitglieder von Verwertungsgesellschaften, unabhängigen Verwertungseinrichtungen mit Sitz in Belgien und Zweigstellen in Belgien von Organisationen für die kollektive Rechtewahrnehmung mit Sitz in einem anderen Mitgliedstaat der Europäischen Union und andere Personen, die an der Einnahme der aufgrund der Kapitel 5 bis 9 zu entrichtenden Vergütungen beteiligt sind, müssen in Bezug auf Auskünfte, von denen sie durch oder aufgrund der Ausübung ihrer Aufgaben Kenntnis haben, das Berufsgeheimnis wahren.]</w:t>
      </w:r>
    </w:p>
    <w:p w14:paraId="1E6EFB23" w14:textId="77777777" w:rsidR="004C0E0A" w:rsidRPr="004676F5" w:rsidRDefault="004C0E0A" w:rsidP="001527B1">
      <w:pPr>
        <w:ind w:firstLine="708"/>
        <w:jc w:val="both"/>
        <w:rPr>
          <w:lang w:val="de-DE"/>
        </w:rPr>
      </w:pPr>
    </w:p>
    <w:p w14:paraId="22A52E61" w14:textId="365E1DD7" w:rsidR="004C0E0A" w:rsidRPr="00B14651" w:rsidRDefault="004C0E0A" w:rsidP="004C0E0A">
      <w:pPr>
        <w:jc w:val="both"/>
        <w:rPr>
          <w:i/>
          <w:lang w:val="de-DE"/>
        </w:rPr>
      </w:pPr>
      <w:r w:rsidRPr="004676F5">
        <w:rPr>
          <w:i/>
          <w:lang w:val="de-DE"/>
        </w:rPr>
        <w:t>[</w:t>
      </w:r>
      <w:r w:rsidR="00BE0A56" w:rsidRPr="004676F5">
        <w:rPr>
          <w:i/>
          <w:lang w:val="de-DE"/>
        </w:rPr>
        <w:t>Art. </w:t>
      </w:r>
      <w:r w:rsidRPr="004676F5">
        <w:rPr>
          <w:i/>
          <w:lang w:val="de-DE"/>
        </w:rPr>
        <w:t xml:space="preserve">XI.281 ersetzt durch </w:t>
      </w:r>
      <w:r w:rsidR="00BE0A56" w:rsidRPr="004676F5">
        <w:rPr>
          <w:i/>
          <w:lang w:val="de-DE"/>
        </w:rPr>
        <w:t>Art. </w:t>
      </w:r>
      <w:r w:rsidRPr="004676F5">
        <w:rPr>
          <w:i/>
          <w:lang w:val="de-DE"/>
        </w:rPr>
        <w:t>108 des G. vom 8. </w:t>
      </w:r>
      <w:r w:rsidRPr="00B14651">
        <w:rPr>
          <w:i/>
          <w:lang w:val="de-DE"/>
        </w:rPr>
        <w:t>Juni 2017 (B.S. vom 27. Juni 2017)]</w:t>
      </w:r>
    </w:p>
    <w:p w14:paraId="35F10FB6" w14:textId="77777777" w:rsidR="004C0E0A" w:rsidRPr="00B14651" w:rsidRDefault="004C0E0A" w:rsidP="001527B1">
      <w:pPr>
        <w:ind w:firstLine="708"/>
        <w:jc w:val="both"/>
        <w:rPr>
          <w:lang w:val="de-DE"/>
        </w:rPr>
      </w:pPr>
    </w:p>
    <w:p w14:paraId="7BF4961A" w14:textId="77777777" w:rsidR="001527B1" w:rsidRPr="00B14651" w:rsidRDefault="001527B1" w:rsidP="001527B1">
      <w:pPr>
        <w:ind w:firstLine="708"/>
        <w:jc w:val="both"/>
        <w:rPr>
          <w:lang w:val="de-DE"/>
        </w:rPr>
      </w:pPr>
    </w:p>
    <w:p w14:paraId="712F4D3E" w14:textId="37ACB451" w:rsidR="001527B1" w:rsidRPr="004676F5" w:rsidRDefault="00BE0A56" w:rsidP="001527B1">
      <w:pPr>
        <w:ind w:firstLine="708"/>
        <w:jc w:val="both"/>
        <w:rPr>
          <w:lang w:val="de-DE"/>
        </w:rPr>
      </w:pPr>
      <w:r w:rsidRPr="004676F5">
        <w:rPr>
          <w:b/>
          <w:lang w:val="de-DE"/>
        </w:rPr>
        <w:t>Art. </w:t>
      </w:r>
      <w:r w:rsidR="001527B1" w:rsidRPr="004676F5">
        <w:rPr>
          <w:b/>
          <w:lang w:val="de-DE"/>
        </w:rPr>
        <w:t>XI.282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Beim FÖD Wirtschaft wird ein Ausschuss eingesetzt mit dem Ziel:</w:t>
      </w:r>
    </w:p>
    <w:p w14:paraId="3EB32FA5" w14:textId="77777777" w:rsidR="001527B1" w:rsidRPr="004676F5" w:rsidRDefault="001527B1" w:rsidP="001527B1">
      <w:pPr>
        <w:ind w:firstLine="708"/>
        <w:jc w:val="both"/>
        <w:rPr>
          <w:lang w:val="de-DE"/>
        </w:rPr>
      </w:pPr>
    </w:p>
    <w:p w14:paraId="7B37AAF9" w14:textId="77777777" w:rsidR="001527B1" w:rsidRPr="004676F5" w:rsidRDefault="001527B1" w:rsidP="001527B1">
      <w:pPr>
        <w:ind w:firstLine="708"/>
        <w:jc w:val="both"/>
        <w:rPr>
          <w:lang w:val="de-DE"/>
        </w:rPr>
      </w:pPr>
      <w:r w:rsidRPr="004676F5">
        <w:rPr>
          <w:lang w:val="de-DE"/>
        </w:rPr>
        <w:t>1. die Konzertierung zur Ausarbeitung der Ausführungsmaßnahmen zu den Bestimmungen von Kapitel 9 zu organisieren,</w:t>
      </w:r>
    </w:p>
    <w:p w14:paraId="21A71117" w14:textId="77777777" w:rsidR="001527B1" w:rsidRPr="004676F5" w:rsidRDefault="001527B1" w:rsidP="001527B1">
      <w:pPr>
        <w:ind w:firstLine="708"/>
        <w:jc w:val="both"/>
        <w:rPr>
          <w:lang w:val="de-DE"/>
        </w:rPr>
      </w:pPr>
    </w:p>
    <w:p w14:paraId="214751EF" w14:textId="77777777" w:rsidR="001527B1" w:rsidRPr="004676F5" w:rsidRDefault="001527B1" w:rsidP="001527B1">
      <w:pPr>
        <w:ind w:firstLine="708"/>
        <w:jc w:val="both"/>
        <w:rPr>
          <w:lang w:val="de-DE"/>
        </w:rPr>
      </w:pPr>
      <w:r w:rsidRPr="004676F5">
        <w:rPr>
          <w:lang w:val="de-DE"/>
        </w:rPr>
        <w:t>2. eine Konzertierung zwischen Beteiligten des audiovisuellen Sektors über die Anwendung der Bestimmungen von Titel 5 über audiovisuelle Werke zu organisieren.</w:t>
      </w:r>
    </w:p>
    <w:p w14:paraId="481F089A" w14:textId="77777777" w:rsidR="001527B1" w:rsidRPr="004676F5" w:rsidRDefault="001527B1" w:rsidP="001527B1">
      <w:pPr>
        <w:ind w:firstLine="708"/>
        <w:jc w:val="both"/>
        <w:rPr>
          <w:lang w:val="de-DE"/>
        </w:rPr>
      </w:pPr>
    </w:p>
    <w:p w14:paraId="6999E06C" w14:textId="2A92924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Dieser Ausschuss tritt mindestens einmal pro Jahr zusammen und setzt sich zusammen aus Vertretern:</w:t>
      </w:r>
    </w:p>
    <w:p w14:paraId="4F437F54" w14:textId="77777777" w:rsidR="001527B1" w:rsidRPr="004676F5" w:rsidRDefault="001527B1" w:rsidP="001527B1">
      <w:pPr>
        <w:ind w:firstLine="708"/>
        <w:jc w:val="both"/>
        <w:rPr>
          <w:lang w:val="de-DE"/>
        </w:rPr>
      </w:pPr>
    </w:p>
    <w:p w14:paraId="6B788929" w14:textId="77777777" w:rsidR="001527B1" w:rsidRPr="004676F5" w:rsidRDefault="001527B1" w:rsidP="001527B1">
      <w:pPr>
        <w:ind w:firstLine="708"/>
        <w:jc w:val="both"/>
        <w:rPr>
          <w:lang w:val="de-DE"/>
        </w:rPr>
      </w:pPr>
      <w:r w:rsidRPr="004676F5">
        <w:rPr>
          <w:lang w:val="de-DE"/>
        </w:rPr>
        <w:t>1. der Verwertungsgesellschaften, die ermächtigt sind, ihre Tätigkeiten auf belgischem Staatsgebiet auszuüben,</w:t>
      </w:r>
    </w:p>
    <w:p w14:paraId="0A32ED53" w14:textId="77777777" w:rsidR="001527B1" w:rsidRPr="004676F5" w:rsidRDefault="001527B1" w:rsidP="001527B1">
      <w:pPr>
        <w:ind w:firstLine="708"/>
        <w:jc w:val="both"/>
        <w:rPr>
          <w:lang w:val="de-DE"/>
        </w:rPr>
      </w:pPr>
    </w:p>
    <w:p w14:paraId="5EC72D57" w14:textId="77777777" w:rsidR="001527B1" w:rsidRPr="004676F5" w:rsidRDefault="001527B1" w:rsidP="001527B1">
      <w:pPr>
        <w:ind w:firstLine="708"/>
        <w:jc w:val="both"/>
        <w:rPr>
          <w:lang w:val="de-DE"/>
        </w:rPr>
      </w:pPr>
      <w:r w:rsidRPr="004676F5">
        <w:rPr>
          <w:lang w:val="de-DE"/>
        </w:rPr>
        <w:t>2. der Organisationen, die Urheber, ausübende Künstler, Produzenten von audio</w:t>
      </w:r>
      <w:r w:rsidRPr="004676F5">
        <w:rPr>
          <w:lang w:val="de-DE"/>
        </w:rPr>
        <w:softHyphen/>
        <w:t>visuellen Werken oder Sendeunternehmen vertreten,</w:t>
      </w:r>
    </w:p>
    <w:p w14:paraId="1A23588C" w14:textId="77777777" w:rsidR="001527B1" w:rsidRPr="004676F5" w:rsidRDefault="001527B1" w:rsidP="001527B1">
      <w:pPr>
        <w:ind w:firstLine="708"/>
        <w:jc w:val="both"/>
        <w:rPr>
          <w:lang w:val="de-DE"/>
        </w:rPr>
      </w:pPr>
    </w:p>
    <w:p w14:paraId="5908A296" w14:textId="77777777" w:rsidR="001527B1" w:rsidRPr="004676F5" w:rsidRDefault="001527B1" w:rsidP="001527B1">
      <w:pPr>
        <w:ind w:firstLine="708"/>
        <w:jc w:val="both"/>
        <w:rPr>
          <w:lang w:val="de-DE"/>
        </w:rPr>
      </w:pPr>
      <w:r w:rsidRPr="004676F5">
        <w:rPr>
          <w:lang w:val="de-DE"/>
        </w:rPr>
        <w:t>3. der vom Minister bestimmten Organisationen, die die Gebührenschuldner vertreten,</w:t>
      </w:r>
    </w:p>
    <w:p w14:paraId="3B524962" w14:textId="77777777" w:rsidR="001527B1" w:rsidRPr="004676F5" w:rsidRDefault="001527B1" w:rsidP="001527B1">
      <w:pPr>
        <w:ind w:firstLine="708"/>
        <w:jc w:val="both"/>
        <w:rPr>
          <w:lang w:val="de-DE"/>
        </w:rPr>
      </w:pPr>
    </w:p>
    <w:p w14:paraId="5ED5F5DD" w14:textId="77777777" w:rsidR="001527B1" w:rsidRPr="004676F5" w:rsidRDefault="001527B1" w:rsidP="001527B1">
      <w:pPr>
        <w:ind w:firstLine="708"/>
        <w:jc w:val="both"/>
        <w:rPr>
          <w:lang w:val="de-DE"/>
        </w:rPr>
      </w:pPr>
      <w:r w:rsidRPr="004676F5">
        <w:rPr>
          <w:lang w:val="de-DE"/>
        </w:rPr>
        <w:t>4. der vom Minister bestimmten Organisationen, die die Verbraucher vertreten,</w:t>
      </w:r>
    </w:p>
    <w:p w14:paraId="51460124" w14:textId="77777777" w:rsidR="001527B1" w:rsidRPr="004676F5" w:rsidRDefault="001527B1" w:rsidP="001527B1">
      <w:pPr>
        <w:ind w:firstLine="708"/>
        <w:jc w:val="both"/>
        <w:rPr>
          <w:lang w:val="de-DE"/>
        </w:rPr>
      </w:pPr>
    </w:p>
    <w:p w14:paraId="05A6A476" w14:textId="77777777" w:rsidR="001527B1" w:rsidRPr="004676F5" w:rsidRDefault="001527B1" w:rsidP="001527B1">
      <w:pPr>
        <w:ind w:firstLine="708"/>
        <w:jc w:val="both"/>
        <w:rPr>
          <w:lang w:val="de-DE"/>
        </w:rPr>
      </w:pPr>
      <w:r w:rsidRPr="004676F5">
        <w:rPr>
          <w:lang w:val="de-DE"/>
        </w:rPr>
        <w:t>5. des Instituts der Betriebsrevisoren,</w:t>
      </w:r>
    </w:p>
    <w:p w14:paraId="6500094C" w14:textId="77777777" w:rsidR="001527B1" w:rsidRPr="004676F5" w:rsidRDefault="001527B1" w:rsidP="001527B1">
      <w:pPr>
        <w:ind w:firstLine="708"/>
        <w:jc w:val="both"/>
        <w:rPr>
          <w:lang w:val="de-DE"/>
        </w:rPr>
      </w:pPr>
    </w:p>
    <w:p w14:paraId="4D719EEC" w14:textId="77777777" w:rsidR="001527B1" w:rsidRPr="004676F5" w:rsidRDefault="001527B1" w:rsidP="001527B1">
      <w:pPr>
        <w:ind w:firstLine="708"/>
        <w:jc w:val="both"/>
        <w:rPr>
          <w:lang w:val="de-DE"/>
        </w:rPr>
      </w:pPr>
      <w:r w:rsidRPr="004676F5">
        <w:rPr>
          <w:lang w:val="de-DE"/>
        </w:rPr>
        <w:t>6. der Kommission für Buchführungsnormen.</w:t>
      </w:r>
    </w:p>
    <w:p w14:paraId="1AEA964F" w14:textId="77777777" w:rsidR="001527B1" w:rsidRPr="004676F5" w:rsidRDefault="001527B1" w:rsidP="001527B1">
      <w:pPr>
        <w:ind w:firstLine="708"/>
        <w:jc w:val="both"/>
        <w:rPr>
          <w:lang w:val="de-DE"/>
        </w:rPr>
      </w:pPr>
    </w:p>
    <w:p w14:paraId="34950E9F" w14:textId="61788453"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Vom Minister als Vertreter der Urheber, ausübenden Künstler, Produzenten, Sendeunternehmen oder Benutzer von audiovisuellen Werken bestimmte Mitglieder des Konzertierungsausschusses können:</w:t>
      </w:r>
    </w:p>
    <w:p w14:paraId="555EACE6" w14:textId="77777777" w:rsidR="001527B1" w:rsidRPr="004676F5" w:rsidRDefault="001527B1" w:rsidP="001527B1">
      <w:pPr>
        <w:ind w:firstLine="708"/>
        <w:jc w:val="both"/>
        <w:rPr>
          <w:lang w:val="de-DE"/>
        </w:rPr>
      </w:pPr>
    </w:p>
    <w:p w14:paraId="2C1BC3CE" w14:textId="77777777" w:rsidR="001527B1" w:rsidRPr="004676F5" w:rsidRDefault="001527B1" w:rsidP="001527B1">
      <w:pPr>
        <w:ind w:firstLine="708"/>
        <w:jc w:val="both"/>
        <w:rPr>
          <w:lang w:val="de-DE"/>
        </w:rPr>
      </w:pPr>
      <w:r w:rsidRPr="004676F5">
        <w:rPr>
          <w:lang w:val="de-DE"/>
        </w:rPr>
        <w:t>1. sich über die Anwendung der Bestimmungen von Titel 5 über audiovisuelle Werke konzertieren,</w:t>
      </w:r>
    </w:p>
    <w:p w14:paraId="40337DEB" w14:textId="77777777" w:rsidR="001527B1" w:rsidRPr="004676F5" w:rsidRDefault="001527B1" w:rsidP="001527B1">
      <w:pPr>
        <w:ind w:firstLine="708"/>
        <w:jc w:val="both"/>
        <w:rPr>
          <w:lang w:val="de-DE"/>
        </w:rPr>
      </w:pPr>
    </w:p>
    <w:p w14:paraId="1272702C" w14:textId="77777777" w:rsidR="001527B1" w:rsidRPr="004676F5" w:rsidRDefault="001527B1" w:rsidP="001527B1">
      <w:pPr>
        <w:ind w:firstLine="708"/>
        <w:jc w:val="both"/>
        <w:rPr>
          <w:lang w:val="de-DE"/>
        </w:rPr>
      </w:pPr>
      <w:r w:rsidRPr="004676F5">
        <w:rPr>
          <w:lang w:val="de-DE"/>
        </w:rPr>
        <w:t>2. gemäß dem vom König bestimmten Verfahren Kollektivabkommen über die Nutzung von audiovisuellen Werken abschließen.</w:t>
      </w:r>
    </w:p>
    <w:p w14:paraId="4B460C9E" w14:textId="77777777" w:rsidR="001527B1" w:rsidRPr="004676F5" w:rsidRDefault="001527B1" w:rsidP="001527B1">
      <w:pPr>
        <w:ind w:firstLine="708"/>
        <w:jc w:val="both"/>
        <w:rPr>
          <w:lang w:val="de-DE"/>
        </w:rPr>
      </w:pPr>
    </w:p>
    <w:p w14:paraId="595EF1EC" w14:textId="77777777" w:rsidR="001527B1" w:rsidRPr="004676F5" w:rsidRDefault="001527B1" w:rsidP="001527B1">
      <w:pPr>
        <w:ind w:firstLine="708"/>
        <w:jc w:val="both"/>
        <w:rPr>
          <w:lang w:val="de-DE"/>
        </w:rPr>
      </w:pPr>
      <w:r w:rsidRPr="004676F5">
        <w:rPr>
          <w:lang w:val="de-DE"/>
        </w:rPr>
        <w:t>In Nr. 2 erwähnte Kollektivabkommen können durch Königlichen Erlass Dritten gegenüber für verbindlich erklärt werden. Der Minister kann verweigern, dem König vorzuschlagen, ein Kollektivabkommen für verbindlich zu erklären, wenn es Bestimmungen enthält, die offensichtlich ungesetzlich sind oder dem allgemeinen Interesse zuwiderlaufen. Er gibt den in Absatz 1 erwähnten Mitgliedern die Gründe hierfür bekannt.</w:t>
      </w:r>
    </w:p>
    <w:p w14:paraId="2A73D37C" w14:textId="77777777" w:rsidR="001527B1" w:rsidRPr="004676F5" w:rsidRDefault="001527B1" w:rsidP="001527B1">
      <w:pPr>
        <w:ind w:firstLine="708"/>
        <w:jc w:val="both"/>
        <w:rPr>
          <w:lang w:val="de-DE"/>
        </w:rPr>
      </w:pPr>
    </w:p>
    <w:p w14:paraId="38851357" w14:textId="77777777" w:rsidR="001527B1" w:rsidRPr="004676F5" w:rsidRDefault="001527B1" w:rsidP="001527B1">
      <w:pPr>
        <w:ind w:firstLine="708"/>
        <w:jc w:val="both"/>
        <w:rPr>
          <w:lang w:val="de-DE"/>
        </w:rPr>
      </w:pPr>
      <w:r w:rsidRPr="004676F5">
        <w:rPr>
          <w:lang w:val="de-DE"/>
        </w:rPr>
        <w:t>Der Konzertierungsausschuss, zusammengesetzt aus den Mitgliedern, die der Minister als Vertreter der Urheber, ausübenden Künstler, Produzenten, Sendeunternehmen und Benutzer von audiovisuellen Werken bestimmt hat, richtet innerhalb sechs Monaten ab Inkrafttreten der vorliegenden Bestimmung und danach alle zwei Jahre eine Stellungnahme über die Anwendung der Bestimmungen von Titel 5 über audiovisuelle Werke und insbesondere der Artikel XI.182, XI.183 und XI.206.</w:t>
      </w:r>
    </w:p>
    <w:p w14:paraId="6443BB88" w14:textId="77777777" w:rsidR="001527B1" w:rsidRPr="004676F5" w:rsidRDefault="001527B1" w:rsidP="001527B1">
      <w:pPr>
        <w:ind w:firstLine="708"/>
        <w:jc w:val="both"/>
        <w:rPr>
          <w:lang w:val="de-DE"/>
        </w:rPr>
      </w:pPr>
    </w:p>
    <w:p w14:paraId="157E42D3" w14:textId="317FC89E"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König bestimmt Zusammensetzung, Bedingungen für die Ernennung der Mitglieder, Organisation und Arbeitsweise des Ausschusses.</w:t>
      </w:r>
    </w:p>
    <w:p w14:paraId="27D65A24" w14:textId="77777777" w:rsidR="001527B1" w:rsidRPr="004676F5" w:rsidRDefault="001527B1" w:rsidP="001527B1">
      <w:pPr>
        <w:ind w:firstLine="708"/>
        <w:jc w:val="both"/>
        <w:rPr>
          <w:lang w:val="de-DE"/>
        </w:rPr>
      </w:pPr>
    </w:p>
    <w:p w14:paraId="654CE779" w14:textId="77777777" w:rsidR="001527B1" w:rsidRPr="004676F5" w:rsidRDefault="001527B1" w:rsidP="001527B1">
      <w:pPr>
        <w:ind w:firstLine="708"/>
        <w:jc w:val="both"/>
        <w:rPr>
          <w:lang w:val="de-DE"/>
        </w:rPr>
      </w:pPr>
      <w:r w:rsidRPr="004676F5">
        <w:rPr>
          <w:lang w:val="de-DE"/>
        </w:rPr>
        <w:t>Der Minister bestimmt die Mitglieder des Konzertierungsausschusses, die die Urheber, ausübenden Künstler, Produzenten, Sendeunternehmen und Benutzer von audiovisuellen Werken vertreten und ermächtigt sind, in § 3 erwähnte Kollektivabkommen abzuschließen.</w:t>
      </w:r>
    </w:p>
    <w:p w14:paraId="52590956" w14:textId="77777777" w:rsidR="001527B1" w:rsidRPr="004676F5" w:rsidRDefault="001527B1" w:rsidP="001527B1">
      <w:pPr>
        <w:ind w:firstLine="708"/>
        <w:jc w:val="both"/>
        <w:rPr>
          <w:lang w:val="de-DE"/>
        </w:rPr>
      </w:pPr>
    </w:p>
    <w:p w14:paraId="3CC8162A" w14:textId="77777777" w:rsidR="00355502" w:rsidRPr="004676F5" w:rsidRDefault="00355502" w:rsidP="001527B1">
      <w:pPr>
        <w:ind w:firstLine="708"/>
        <w:jc w:val="both"/>
        <w:rPr>
          <w:lang w:val="de-DE"/>
        </w:rPr>
      </w:pPr>
    </w:p>
    <w:p w14:paraId="63070EA4" w14:textId="4FB18536" w:rsidR="001527B1" w:rsidRPr="004676F5" w:rsidRDefault="00BE0A56" w:rsidP="001527B1">
      <w:pPr>
        <w:ind w:firstLine="708"/>
        <w:jc w:val="both"/>
        <w:rPr>
          <w:lang w:val="de-DE"/>
        </w:rPr>
      </w:pPr>
      <w:r w:rsidRPr="004676F5">
        <w:rPr>
          <w:b/>
          <w:lang w:val="de-DE"/>
        </w:rPr>
        <w:t>Art. </w:t>
      </w:r>
      <w:r w:rsidR="001527B1" w:rsidRPr="004676F5">
        <w:rPr>
          <w:b/>
          <w:lang w:val="de-DE"/>
        </w:rPr>
        <w:t>XI.283</w:t>
      </w:r>
      <w:r w:rsidR="001527B1" w:rsidRPr="004676F5">
        <w:rPr>
          <w:lang w:val="de-DE"/>
        </w:rPr>
        <w:t> </w:t>
      </w:r>
      <w:r w:rsidR="005B7A5C" w:rsidRPr="004676F5">
        <w:rPr>
          <w:lang w:val="de-DE"/>
        </w:rPr>
        <w:t>- </w:t>
      </w:r>
      <w:r w:rsidR="001527B1" w:rsidRPr="004676F5">
        <w:rPr>
          <w:lang w:val="de-DE"/>
        </w:rPr>
        <w:t>Die Bestimmungen von Kapitel 9 und von Abschnitt 2 des vorliegenden Kapitels werden vom Amt im Laufe des vierten Jahres nach Inkrafttreten des Gesetzes vom 10. Dezember 2009 zur Abänderung hinsichtlich des Status und der Kontrolle der Verwertungsgesellschaften des Gesetzes vom 30. Juni 1994 über das Urheberrecht und ähnliche Rechte beurteilt.</w:t>
      </w:r>
    </w:p>
    <w:p w14:paraId="20C98B10" w14:textId="77777777" w:rsidR="001527B1" w:rsidRPr="004676F5" w:rsidRDefault="001527B1" w:rsidP="001527B1">
      <w:pPr>
        <w:ind w:firstLine="708"/>
        <w:jc w:val="both"/>
        <w:rPr>
          <w:lang w:val="de-DE"/>
        </w:rPr>
      </w:pPr>
    </w:p>
    <w:p w14:paraId="6EE8A459" w14:textId="77777777" w:rsidR="001527B1" w:rsidRPr="004676F5" w:rsidRDefault="001527B1" w:rsidP="001527B1">
      <w:pPr>
        <w:ind w:firstLine="708"/>
        <w:jc w:val="both"/>
        <w:rPr>
          <w:lang w:val="de-DE"/>
        </w:rPr>
      </w:pPr>
      <w:r w:rsidRPr="004676F5">
        <w:rPr>
          <w:lang w:val="de-DE"/>
        </w:rPr>
        <w:t>Den Bericht über diese Beurteilung übermittelt der Minister der Abgeordneten</w:t>
      </w:r>
      <w:r w:rsidRPr="004676F5">
        <w:rPr>
          <w:lang w:val="de-DE"/>
        </w:rPr>
        <w:softHyphen/>
        <w:t>kammer.</w:t>
      </w:r>
    </w:p>
    <w:p w14:paraId="6DF5EBBB" w14:textId="77777777" w:rsidR="001527B1" w:rsidRPr="004676F5" w:rsidRDefault="001527B1" w:rsidP="001527B1">
      <w:pPr>
        <w:ind w:firstLine="708"/>
        <w:jc w:val="both"/>
        <w:rPr>
          <w:lang w:val="de-DE"/>
        </w:rPr>
      </w:pPr>
    </w:p>
    <w:p w14:paraId="0E615973" w14:textId="77777777" w:rsidR="00355502" w:rsidRPr="004676F5" w:rsidRDefault="00355502" w:rsidP="001527B1">
      <w:pPr>
        <w:ind w:firstLine="708"/>
        <w:jc w:val="both"/>
        <w:rPr>
          <w:lang w:val="de-DE"/>
        </w:rPr>
      </w:pPr>
    </w:p>
    <w:p w14:paraId="47B155A3" w14:textId="69F59577" w:rsidR="001527B1" w:rsidRPr="004676F5" w:rsidRDefault="001527B1" w:rsidP="001527B1">
      <w:pPr>
        <w:jc w:val="center"/>
        <w:rPr>
          <w:lang w:val="de-DE"/>
        </w:rPr>
      </w:pPr>
      <w:r w:rsidRPr="004676F5">
        <w:rPr>
          <w:i/>
          <w:lang w:val="de-DE"/>
        </w:rPr>
        <w:lastRenderedPageBreak/>
        <w:t>Abschnitt 3 </w:t>
      </w:r>
      <w:r w:rsidR="005B7A5C" w:rsidRPr="004676F5">
        <w:rPr>
          <w:lang w:val="de-DE"/>
        </w:rPr>
        <w:t>- </w:t>
      </w:r>
      <w:r w:rsidRPr="004676F5">
        <w:rPr>
          <w:lang w:val="de-DE"/>
        </w:rPr>
        <w:t>Wirtschaftsanalyse der Urheberrechte und verwandten Schutzrechte</w:t>
      </w:r>
    </w:p>
    <w:p w14:paraId="792F2547" w14:textId="77777777" w:rsidR="001527B1" w:rsidRPr="004676F5" w:rsidRDefault="001527B1" w:rsidP="001527B1">
      <w:pPr>
        <w:ind w:firstLine="708"/>
        <w:jc w:val="both"/>
        <w:rPr>
          <w:lang w:val="de-DE"/>
        </w:rPr>
      </w:pPr>
    </w:p>
    <w:p w14:paraId="20B6178C" w14:textId="77777777" w:rsidR="00355502" w:rsidRPr="004676F5" w:rsidRDefault="00355502" w:rsidP="001527B1">
      <w:pPr>
        <w:ind w:firstLine="708"/>
        <w:jc w:val="both"/>
        <w:rPr>
          <w:lang w:val="de-DE"/>
        </w:rPr>
      </w:pPr>
    </w:p>
    <w:p w14:paraId="04B207FE" w14:textId="351DCDDC" w:rsidR="001527B1" w:rsidRPr="004676F5" w:rsidRDefault="00BE0A56" w:rsidP="001527B1">
      <w:pPr>
        <w:ind w:firstLine="708"/>
        <w:jc w:val="both"/>
        <w:rPr>
          <w:lang w:val="de-DE"/>
        </w:rPr>
      </w:pPr>
      <w:r w:rsidRPr="004676F5">
        <w:rPr>
          <w:b/>
          <w:lang w:val="de-DE"/>
        </w:rPr>
        <w:t>Art. </w:t>
      </w:r>
      <w:r w:rsidR="001527B1" w:rsidRPr="004676F5">
        <w:rPr>
          <w:b/>
          <w:lang w:val="de-DE"/>
        </w:rPr>
        <w:t>XI.284</w:t>
      </w:r>
      <w:r w:rsidR="001527B1" w:rsidRPr="004676F5">
        <w:rPr>
          <w:lang w:val="de-DE"/>
        </w:rPr>
        <w:t> </w:t>
      </w:r>
      <w:r w:rsidR="005B7A5C" w:rsidRPr="004676F5">
        <w:rPr>
          <w:lang w:val="de-DE"/>
        </w:rPr>
        <w:t>- </w:t>
      </w:r>
      <w:r w:rsidR="001527B1" w:rsidRPr="004676F5">
        <w:rPr>
          <w:lang w:val="de-DE"/>
        </w:rPr>
        <w:t>Zur Beurteilung der Bedeutung der Urheberrechte und verwandten Schutzrechte für die Gesamtwirtschaft oder bestimmte Wirtschaftssektoren erfüllt der FÖD Wirtschaft auf Antrag des Ministers oder der Abgeordnetenkammer oder aus eigener Initiative folgende Aufgaben:</w:t>
      </w:r>
    </w:p>
    <w:p w14:paraId="3CE93C3E" w14:textId="77777777" w:rsidR="001527B1" w:rsidRPr="004676F5" w:rsidRDefault="001527B1" w:rsidP="001527B1">
      <w:pPr>
        <w:ind w:firstLine="708"/>
        <w:jc w:val="both"/>
        <w:rPr>
          <w:lang w:val="de-DE"/>
        </w:rPr>
      </w:pPr>
    </w:p>
    <w:p w14:paraId="5AB8ED5D" w14:textId="77777777" w:rsidR="001527B1" w:rsidRPr="004676F5" w:rsidRDefault="001527B1" w:rsidP="001527B1">
      <w:pPr>
        <w:ind w:firstLine="708"/>
        <w:jc w:val="both"/>
        <w:rPr>
          <w:lang w:val="de-DE"/>
        </w:rPr>
      </w:pPr>
      <w:r w:rsidRPr="004676F5">
        <w:rPr>
          <w:lang w:val="de-DE"/>
        </w:rPr>
        <w:t>1. Sammlung, Verarbeitung und Analyse von statistischen Daten in Bezug auf die Urheberrechte oder verwandten Schutzrechte,</w:t>
      </w:r>
    </w:p>
    <w:p w14:paraId="0376F6A2" w14:textId="77777777" w:rsidR="001527B1" w:rsidRPr="004676F5" w:rsidRDefault="001527B1" w:rsidP="001527B1">
      <w:pPr>
        <w:ind w:firstLine="708"/>
        <w:jc w:val="both"/>
        <w:rPr>
          <w:lang w:val="de-DE"/>
        </w:rPr>
      </w:pPr>
    </w:p>
    <w:p w14:paraId="05E06345" w14:textId="77777777" w:rsidR="001527B1" w:rsidRPr="004676F5" w:rsidRDefault="001527B1" w:rsidP="001527B1">
      <w:pPr>
        <w:ind w:firstLine="708"/>
        <w:jc w:val="both"/>
        <w:rPr>
          <w:lang w:val="de-DE"/>
        </w:rPr>
      </w:pPr>
      <w:r w:rsidRPr="004676F5">
        <w:rPr>
          <w:lang w:val="de-DE"/>
        </w:rPr>
        <w:t>2. Beobachtung und Analyse des Marktes der Urheberrechte und verwandten Schutz</w:t>
      </w:r>
      <w:r w:rsidRPr="004676F5">
        <w:rPr>
          <w:lang w:val="de-DE"/>
        </w:rPr>
        <w:softHyphen/>
        <w:t>rechte,</w:t>
      </w:r>
    </w:p>
    <w:p w14:paraId="0C4D0D4F" w14:textId="77777777" w:rsidR="001527B1" w:rsidRPr="004676F5" w:rsidRDefault="001527B1" w:rsidP="001527B1">
      <w:pPr>
        <w:ind w:firstLine="708"/>
        <w:jc w:val="both"/>
        <w:rPr>
          <w:lang w:val="de-DE"/>
        </w:rPr>
      </w:pPr>
    </w:p>
    <w:p w14:paraId="03044EDE" w14:textId="77777777" w:rsidR="001527B1" w:rsidRPr="004676F5" w:rsidRDefault="001527B1" w:rsidP="001527B1">
      <w:pPr>
        <w:ind w:firstLine="708"/>
        <w:jc w:val="both"/>
        <w:rPr>
          <w:lang w:val="de-DE"/>
        </w:rPr>
      </w:pPr>
      <w:r w:rsidRPr="004676F5">
        <w:rPr>
          <w:lang w:val="de-DE"/>
        </w:rPr>
        <w:t>3. Durchführung von Wirtschaftsanalysen,</w:t>
      </w:r>
    </w:p>
    <w:p w14:paraId="575252D8" w14:textId="77777777" w:rsidR="001527B1" w:rsidRPr="004676F5" w:rsidRDefault="001527B1" w:rsidP="001527B1">
      <w:pPr>
        <w:ind w:firstLine="708"/>
        <w:jc w:val="both"/>
        <w:rPr>
          <w:lang w:val="de-DE"/>
        </w:rPr>
      </w:pPr>
    </w:p>
    <w:p w14:paraId="0C410B28" w14:textId="77777777" w:rsidR="001527B1" w:rsidRPr="004676F5" w:rsidRDefault="001527B1" w:rsidP="001527B1">
      <w:pPr>
        <w:ind w:firstLine="708"/>
        <w:jc w:val="both"/>
        <w:rPr>
          <w:lang w:val="de-DE"/>
        </w:rPr>
      </w:pPr>
      <w:r w:rsidRPr="004676F5">
        <w:rPr>
          <w:lang w:val="de-DE"/>
        </w:rPr>
        <w:t>4. Durchführung von öffentlichen Anhörungen,</w:t>
      </w:r>
    </w:p>
    <w:p w14:paraId="3655AA1D" w14:textId="77777777" w:rsidR="001527B1" w:rsidRPr="004676F5" w:rsidRDefault="001527B1" w:rsidP="001527B1">
      <w:pPr>
        <w:ind w:firstLine="708"/>
        <w:jc w:val="both"/>
        <w:rPr>
          <w:lang w:val="de-DE"/>
        </w:rPr>
      </w:pPr>
    </w:p>
    <w:p w14:paraId="0F6BF74D" w14:textId="77777777" w:rsidR="001527B1" w:rsidRPr="004676F5" w:rsidRDefault="001527B1" w:rsidP="001527B1">
      <w:pPr>
        <w:ind w:firstLine="708"/>
        <w:jc w:val="both"/>
        <w:rPr>
          <w:lang w:val="de-DE"/>
        </w:rPr>
      </w:pPr>
      <w:r w:rsidRPr="004676F5">
        <w:rPr>
          <w:lang w:val="de-DE"/>
        </w:rPr>
        <w:t>5. Ausarbeitung einer Datenbank nationaler, europäischer und internationaler Studien über die wirtschaftliche Bedeutung der Urheberrechte und verwandten Schutzrechte, die von oder auf Antrag einer Behörde oder betroffener Kreise durchgeführt werden,</w:t>
      </w:r>
    </w:p>
    <w:p w14:paraId="3BFAF381" w14:textId="77777777" w:rsidR="001527B1" w:rsidRPr="004676F5" w:rsidRDefault="001527B1" w:rsidP="001527B1">
      <w:pPr>
        <w:ind w:firstLine="708"/>
        <w:jc w:val="both"/>
        <w:rPr>
          <w:lang w:val="de-DE"/>
        </w:rPr>
      </w:pPr>
    </w:p>
    <w:p w14:paraId="255C6DFD" w14:textId="77777777" w:rsidR="001527B1" w:rsidRPr="004676F5" w:rsidRDefault="001527B1" w:rsidP="001527B1">
      <w:pPr>
        <w:ind w:firstLine="708"/>
        <w:jc w:val="both"/>
        <w:rPr>
          <w:lang w:val="de-DE"/>
        </w:rPr>
      </w:pPr>
      <w:r w:rsidRPr="004676F5">
        <w:rPr>
          <w:lang w:val="de-DE"/>
        </w:rPr>
        <w:t>6. Abgabe von Stellungnahmen an den Minister im Rahmen seines Auftrags, die wirtschaftliche Bedeutung der Urheberrechte und verwandten Schutzrechte zu analysieren.</w:t>
      </w:r>
    </w:p>
    <w:p w14:paraId="65F43962" w14:textId="77777777" w:rsidR="001527B1" w:rsidRPr="004676F5" w:rsidRDefault="001527B1" w:rsidP="001527B1">
      <w:pPr>
        <w:ind w:firstLine="708"/>
        <w:jc w:val="both"/>
        <w:rPr>
          <w:lang w:val="de-DE"/>
        </w:rPr>
      </w:pPr>
    </w:p>
    <w:p w14:paraId="654A4076" w14:textId="6CFECA41" w:rsidR="001527B1" w:rsidRPr="004676F5" w:rsidRDefault="001527B1" w:rsidP="001527B1">
      <w:pPr>
        <w:ind w:firstLine="708"/>
        <w:jc w:val="both"/>
        <w:rPr>
          <w:lang w:val="de-DE"/>
        </w:rPr>
      </w:pPr>
      <w:r w:rsidRPr="004676F5">
        <w:rPr>
          <w:lang w:val="de-DE"/>
        </w:rPr>
        <w:t>Für die Ausführung der in Nr. 1, 2, 3, 4 und 5 bestimmten Aufträge kann der FÖD Wirtschaft allein handeln oder Dritte beauftragen, die Unabhängigkeits</w:t>
      </w:r>
      <w:r w:rsidR="005B7A5C" w:rsidRPr="004676F5">
        <w:rPr>
          <w:lang w:val="de-DE"/>
        </w:rPr>
        <w:t>- </w:t>
      </w:r>
      <w:r w:rsidRPr="004676F5">
        <w:rPr>
          <w:lang w:val="de-DE"/>
        </w:rPr>
        <w:t>und Objektivitäts</w:t>
      </w:r>
      <w:r w:rsidRPr="004676F5">
        <w:rPr>
          <w:lang w:val="de-DE"/>
        </w:rPr>
        <w:softHyphen/>
        <w:t>garantien aufweisen.</w:t>
      </w:r>
    </w:p>
    <w:p w14:paraId="6C97E33A" w14:textId="77777777" w:rsidR="001527B1" w:rsidRPr="004676F5" w:rsidRDefault="001527B1" w:rsidP="001527B1">
      <w:pPr>
        <w:ind w:firstLine="708"/>
        <w:jc w:val="both"/>
        <w:rPr>
          <w:lang w:val="de-DE"/>
        </w:rPr>
      </w:pPr>
    </w:p>
    <w:p w14:paraId="19F52BA6" w14:textId="77777777" w:rsidR="00355502" w:rsidRPr="004676F5" w:rsidRDefault="00355502" w:rsidP="001527B1">
      <w:pPr>
        <w:ind w:firstLine="708"/>
        <w:jc w:val="both"/>
        <w:rPr>
          <w:lang w:val="de-DE"/>
        </w:rPr>
      </w:pPr>
    </w:p>
    <w:p w14:paraId="6D983148" w14:textId="35EAFAD9" w:rsidR="001527B1" w:rsidRPr="004676F5" w:rsidRDefault="00BE0A56" w:rsidP="001527B1">
      <w:pPr>
        <w:ind w:firstLine="708"/>
        <w:jc w:val="both"/>
        <w:rPr>
          <w:lang w:val="de-DE"/>
        </w:rPr>
      </w:pPr>
      <w:r w:rsidRPr="004676F5">
        <w:rPr>
          <w:b/>
          <w:lang w:val="de-DE"/>
        </w:rPr>
        <w:t>Art. </w:t>
      </w:r>
      <w:r w:rsidR="001527B1" w:rsidRPr="004676F5">
        <w:rPr>
          <w:b/>
          <w:lang w:val="de-DE"/>
        </w:rPr>
        <w:t>XI.285</w:t>
      </w:r>
      <w:r w:rsidR="001527B1" w:rsidRPr="004676F5">
        <w:rPr>
          <w:lang w:val="de-DE"/>
        </w:rPr>
        <w:t> </w:t>
      </w:r>
      <w:r w:rsidR="005B7A5C" w:rsidRPr="004676F5">
        <w:rPr>
          <w:lang w:val="de-DE"/>
        </w:rPr>
        <w:t>- </w:t>
      </w:r>
      <w:r w:rsidR="001527B1" w:rsidRPr="004676F5">
        <w:rPr>
          <w:lang w:val="de-DE"/>
        </w:rPr>
        <w:t>Der FÖD Wirtschaft oder der von ihm bestimmte Dritte kann von Amts wegen bei natürlichen und juristischen Personen öffentlichen und privaten Rechts jegliche Informationen anfordern, die für die Ausführung seiner in Artikel XI.284 bestimmten Aufgaben nützlich sind.</w:t>
      </w:r>
    </w:p>
    <w:p w14:paraId="02A776EB" w14:textId="77777777" w:rsidR="001527B1" w:rsidRPr="004676F5" w:rsidRDefault="001527B1" w:rsidP="001527B1">
      <w:pPr>
        <w:ind w:firstLine="708"/>
        <w:jc w:val="both"/>
        <w:rPr>
          <w:lang w:val="de-DE"/>
        </w:rPr>
      </w:pPr>
    </w:p>
    <w:p w14:paraId="6D89CE3D" w14:textId="77777777" w:rsidR="001527B1" w:rsidRPr="004676F5" w:rsidRDefault="001527B1" w:rsidP="001527B1">
      <w:pPr>
        <w:ind w:firstLine="708"/>
        <w:jc w:val="both"/>
        <w:rPr>
          <w:lang w:val="de-DE"/>
        </w:rPr>
      </w:pPr>
      <w:r w:rsidRPr="004676F5">
        <w:rPr>
          <w:lang w:val="de-DE"/>
        </w:rPr>
        <w:t>Der König legt Fristen und Weise fest, wie diese Informationen vom FÖD Wirtschaft angefordert werden und von den natürlichen oder juristischen Personen öffentlichen oder privaten Rechts bereitgestellt werden müssen.</w:t>
      </w:r>
    </w:p>
    <w:p w14:paraId="5AB9F532" w14:textId="77777777" w:rsidR="001527B1" w:rsidRPr="004676F5" w:rsidRDefault="001527B1" w:rsidP="001527B1">
      <w:pPr>
        <w:ind w:firstLine="708"/>
        <w:jc w:val="both"/>
        <w:rPr>
          <w:lang w:val="de-DE"/>
        </w:rPr>
      </w:pPr>
    </w:p>
    <w:p w14:paraId="2B005376" w14:textId="77777777" w:rsidR="001527B1" w:rsidRPr="004676F5" w:rsidRDefault="001527B1" w:rsidP="001527B1">
      <w:pPr>
        <w:ind w:firstLine="708"/>
        <w:jc w:val="both"/>
        <w:rPr>
          <w:lang w:val="de-DE"/>
        </w:rPr>
      </w:pPr>
      <w:r w:rsidRPr="004676F5">
        <w:rPr>
          <w:lang w:val="de-DE"/>
        </w:rPr>
        <w:t>Die natürlichen oder juristischen Personen öffentlichen oder privaten Rechts stellen auf Anforderung des FÖD Wirtschaft oder des von ihm bestimmten Dritten eine Kopie der Lizenzverträge bereit, die sie in Anwendung des vorliegenden Titels mit Verwertungs</w:t>
      </w:r>
      <w:r w:rsidRPr="004676F5">
        <w:rPr>
          <w:lang w:val="de-DE"/>
        </w:rPr>
        <w:softHyphen/>
        <w:t>gesellschaften oder anderen Personen abgeschlossen haben, und erteilen Informationen über die Ausführung dieser Verträge.</w:t>
      </w:r>
    </w:p>
    <w:p w14:paraId="468E969B" w14:textId="77777777" w:rsidR="001527B1" w:rsidRPr="004676F5" w:rsidRDefault="001527B1" w:rsidP="001527B1">
      <w:pPr>
        <w:ind w:firstLine="708"/>
        <w:jc w:val="both"/>
        <w:rPr>
          <w:lang w:val="de-DE"/>
        </w:rPr>
      </w:pPr>
    </w:p>
    <w:p w14:paraId="67348FBF" w14:textId="77777777" w:rsidR="001527B1" w:rsidRPr="004676F5" w:rsidRDefault="001527B1" w:rsidP="001527B1">
      <w:pPr>
        <w:ind w:firstLine="708"/>
        <w:jc w:val="both"/>
        <w:rPr>
          <w:lang w:val="de-DE"/>
        </w:rPr>
      </w:pPr>
      <w:r w:rsidRPr="004676F5">
        <w:rPr>
          <w:lang w:val="de-DE"/>
        </w:rPr>
        <w:t>Mitglieder des FÖD Wirtschaft oder des von ihm bestimmten Dritten, die mit der Sammlung oder Analyse der Daten beauftragt sind, unterliegen einer Geheimhaltungspflicht in Bezug auf individuelle Daten, die sie verarbeiten. Diese Daten und Informationen dürfen nur auf anonymisierte und aggregierte Weise veröffentlicht werden.</w:t>
      </w:r>
    </w:p>
    <w:p w14:paraId="667B919D" w14:textId="77777777" w:rsidR="001527B1" w:rsidRPr="004676F5" w:rsidRDefault="001527B1" w:rsidP="001527B1">
      <w:pPr>
        <w:ind w:firstLine="708"/>
        <w:jc w:val="both"/>
        <w:rPr>
          <w:lang w:val="de-DE"/>
        </w:rPr>
      </w:pPr>
    </w:p>
    <w:p w14:paraId="2D8E1E36" w14:textId="77777777" w:rsidR="001527B1" w:rsidRPr="004676F5" w:rsidRDefault="001527B1" w:rsidP="001527B1">
      <w:pPr>
        <w:ind w:firstLine="708"/>
        <w:jc w:val="both"/>
        <w:rPr>
          <w:lang w:val="de-DE"/>
        </w:rPr>
      </w:pPr>
      <w:r w:rsidRPr="004676F5">
        <w:rPr>
          <w:lang w:val="de-DE"/>
        </w:rPr>
        <w:lastRenderedPageBreak/>
        <w:t>Aufgrund des vorliegenden Artikels erhaltene Informationen dürfen nicht für andere Ziele oder Gründe als die Wirtschaftsanalyse der Urheberrechte und verwandten Schutzrechte genutzt werden.</w:t>
      </w:r>
    </w:p>
    <w:p w14:paraId="4029BFDB" w14:textId="77777777" w:rsidR="001527B1" w:rsidRPr="004676F5" w:rsidRDefault="001527B1" w:rsidP="001527B1">
      <w:pPr>
        <w:ind w:firstLine="708"/>
        <w:jc w:val="both"/>
        <w:rPr>
          <w:lang w:val="de-DE"/>
        </w:rPr>
      </w:pPr>
    </w:p>
    <w:p w14:paraId="1CB1FDEA" w14:textId="77777777" w:rsidR="00355502" w:rsidRPr="004676F5" w:rsidRDefault="00355502" w:rsidP="001527B1">
      <w:pPr>
        <w:ind w:firstLine="708"/>
        <w:jc w:val="both"/>
        <w:rPr>
          <w:lang w:val="de-DE"/>
        </w:rPr>
      </w:pPr>
    </w:p>
    <w:p w14:paraId="7366CD2D" w14:textId="0C3BACF2" w:rsidR="001527B1" w:rsidRPr="004676F5" w:rsidRDefault="001527B1" w:rsidP="001527B1">
      <w:pPr>
        <w:jc w:val="center"/>
        <w:rPr>
          <w:lang w:val="de-DE"/>
        </w:rPr>
      </w:pPr>
      <w:r w:rsidRPr="004676F5">
        <w:rPr>
          <w:i/>
          <w:lang w:val="de-DE"/>
        </w:rPr>
        <w:t>Abschnitt 4 </w:t>
      </w:r>
      <w:r w:rsidR="005B7A5C" w:rsidRPr="004676F5">
        <w:rPr>
          <w:lang w:val="de-DE"/>
        </w:rPr>
        <w:t>- </w:t>
      </w:r>
      <w:r w:rsidRPr="004676F5">
        <w:rPr>
          <w:lang w:val="de-DE"/>
        </w:rPr>
        <w:t>Gemeinsame Bestimmungen für die Abschnitte 1 bis 3</w:t>
      </w:r>
    </w:p>
    <w:p w14:paraId="49DA2903" w14:textId="77777777" w:rsidR="001527B1" w:rsidRPr="004676F5" w:rsidRDefault="001527B1" w:rsidP="001527B1">
      <w:pPr>
        <w:jc w:val="both"/>
        <w:rPr>
          <w:lang w:val="de-DE"/>
        </w:rPr>
      </w:pPr>
    </w:p>
    <w:p w14:paraId="5164470F" w14:textId="77777777" w:rsidR="00355502" w:rsidRPr="004676F5" w:rsidRDefault="00355502" w:rsidP="001527B1">
      <w:pPr>
        <w:jc w:val="both"/>
        <w:rPr>
          <w:lang w:val="de-DE"/>
        </w:rPr>
      </w:pPr>
    </w:p>
    <w:p w14:paraId="0F06E4AB" w14:textId="7715A8B3" w:rsidR="00BF3C11" w:rsidRPr="004676F5" w:rsidRDefault="00BE0A56" w:rsidP="00BF3C11">
      <w:pPr>
        <w:ind w:firstLine="708"/>
        <w:jc w:val="both"/>
        <w:rPr>
          <w:lang w:val="de-DE"/>
        </w:rPr>
      </w:pPr>
      <w:r w:rsidRPr="004676F5">
        <w:rPr>
          <w:b/>
          <w:lang w:val="de-DE"/>
        </w:rPr>
        <w:t>Art. </w:t>
      </w:r>
      <w:r w:rsidR="001527B1" w:rsidRPr="004676F5">
        <w:rPr>
          <w:b/>
          <w:lang w:val="de-DE"/>
        </w:rPr>
        <w:t>XI.286</w:t>
      </w:r>
      <w:r w:rsidR="001527B1" w:rsidRPr="004676F5">
        <w:rPr>
          <w:lang w:val="de-DE"/>
        </w:rPr>
        <w:t> </w:t>
      </w:r>
      <w:r w:rsidR="005B7A5C" w:rsidRPr="004676F5">
        <w:rPr>
          <w:lang w:val="de-DE"/>
        </w:rPr>
        <w:t>- </w:t>
      </w:r>
      <w:r w:rsidR="00BF3C11" w:rsidRPr="004676F5">
        <w:rPr>
          <w:lang w:val="de-DE"/>
        </w:rPr>
        <w:t>[§ 1 </w:t>
      </w:r>
      <w:r w:rsidR="005B7A5C" w:rsidRPr="004676F5">
        <w:rPr>
          <w:lang w:val="de-DE"/>
        </w:rPr>
        <w:t>- </w:t>
      </w:r>
      <w:r w:rsidR="00BF3C11" w:rsidRPr="004676F5">
        <w:rPr>
          <w:lang w:val="de-DE"/>
        </w:rPr>
        <w:t>Unbeschadet der Paragraphen 2 und 3 und des Artikels XI.288 unterliegen Bedienstete des Kontrolldienstes einer Geheimhaltungspflicht in Bezug auf vertrauliche Informationen, von denen sie im Rahmen der Ausübung ihres Amtes Kenntnis haben. Nach Beendigung ihres Amtes dürfen sie während eines Jahres kein Amt in einer Gesellschaft, die der durch Kapitel 9 vorgesehenen Kontrolle unterworfen ist, oder in einer großen Gesellschaft im Sinne von Artikel 15 des Gesellschaftsgesetzbuches ausüben, deren betriebliche Erträge zu mehr als der Hälfte unmittelbar aus der Verwertung von geschützten Werken oder Leistungen in Belgien stammen.</w:t>
      </w:r>
    </w:p>
    <w:p w14:paraId="167F1BE9" w14:textId="77777777" w:rsidR="00BF3C11" w:rsidRPr="004676F5" w:rsidRDefault="00BF3C11" w:rsidP="00BF3C11">
      <w:pPr>
        <w:ind w:firstLine="708"/>
        <w:jc w:val="both"/>
        <w:rPr>
          <w:lang w:val="de-DE"/>
        </w:rPr>
      </w:pPr>
    </w:p>
    <w:p w14:paraId="255E7E6E" w14:textId="3353415D" w:rsidR="00BF3C11" w:rsidRPr="004676F5" w:rsidRDefault="00BF3C11" w:rsidP="00BF3C11">
      <w:pPr>
        <w:ind w:firstLine="708"/>
        <w:jc w:val="both"/>
        <w:rPr>
          <w:lang w:val="de-DE"/>
        </w:rPr>
      </w:pPr>
      <w:r w:rsidRPr="004676F5">
        <w:rPr>
          <w:lang w:val="de-DE"/>
        </w:rPr>
        <w:t>§ 2 </w:t>
      </w:r>
      <w:r w:rsidR="005B7A5C" w:rsidRPr="004676F5">
        <w:rPr>
          <w:lang w:val="de-DE"/>
        </w:rPr>
        <w:t>- </w:t>
      </w:r>
      <w:r w:rsidRPr="004676F5">
        <w:rPr>
          <w:lang w:val="de-DE"/>
        </w:rPr>
        <w:t>Der Kontrolldienst kann sich bei der Ausführung der ihm zugewiesenen Aufgaben von unabhängigen Sachverständigen beistehen lassen, die ihm Bericht erstatten. Diese Sachverständigen unterliegen einer Geheimhaltungspflicht in Bezug auf vertrauliche Informationen, von denen sie im Rahmen ihres Auftrags Kenntnis haben.</w:t>
      </w:r>
    </w:p>
    <w:p w14:paraId="3525120F" w14:textId="77777777" w:rsidR="00BF3C11" w:rsidRPr="004676F5" w:rsidRDefault="00BF3C11" w:rsidP="00BF3C11">
      <w:pPr>
        <w:ind w:firstLine="708"/>
        <w:jc w:val="both"/>
        <w:rPr>
          <w:lang w:val="de-DE"/>
        </w:rPr>
      </w:pPr>
    </w:p>
    <w:p w14:paraId="6A32A9F4" w14:textId="2BC9AB12" w:rsidR="00BF3C11" w:rsidRPr="004676F5" w:rsidRDefault="00BF3C11" w:rsidP="00BF3C11">
      <w:pPr>
        <w:ind w:firstLine="708"/>
        <w:jc w:val="both"/>
        <w:rPr>
          <w:lang w:val="de-DE"/>
        </w:rPr>
      </w:pPr>
      <w:r w:rsidRPr="004676F5">
        <w:rPr>
          <w:lang w:val="de-DE"/>
        </w:rPr>
        <w:t>§ 3 </w:t>
      </w:r>
      <w:r w:rsidR="005B7A5C" w:rsidRPr="004676F5">
        <w:rPr>
          <w:lang w:val="de-DE"/>
        </w:rPr>
        <w:t>- </w:t>
      </w:r>
      <w:r w:rsidRPr="004676F5">
        <w:rPr>
          <w:lang w:val="de-DE"/>
        </w:rPr>
        <w:t>Der Kontrolldienst kann:</w:t>
      </w:r>
    </w:p>
    <w:p w14:paraId="34AEF40C" w14:textId="77777777" w:rsidR="00BF3C11" w:rsidRPr="004676F5" w:rsidRDefault="00BF3C11" w:rsidP="00BF3C11">
      <w:pPr>
        <w:ind w:firstLine="708"/>
        <w:jc w:val="both"/>
        <w:rPr>
          <w:lang w:val="de-DE"/>
        </w:rPr>
      </w:pPr>
    </w:p>
    <w:p w14:paraId="36D5343F" w14:textId="77777777" w:rsidR="00BF3C11" w:rsidRPr="004676F5" w:rsidRDefault="00BF3C11" w:rsidP="00BF3C11">
      <w:pPr>
        <w:ind w:firstLine="708"/>
        <w:jc w:val="both"/>
        <w:rPr>
          <w:lang w:val="de-DE"/>
        </w:rPr>
      </w:pPr>
      <w:r w:rsidRPr="004676F5">
        <w:rPr>
          <w:lang w:val="de-DE"/>
        </w:rPr>
        <w:t>1. vertrauliche Informationen mitteilen im Rahmen von Gerichtsverfahren, die eingeleitet werden, nachdem gegenüber einer juristischen Person der Konkurs oder eine gerichtliche Reorganisation eröffnet worden ist,</w:t>
      </w:r>
    </w:p>
    <w:p w14:paraId="2C421E18" w14:textId="77777777" w:rsidR="00BF3C11" w:rsidRPr="004676F5" w:rsidRDefault="00BF3C11" w:rsidP="00BF3C11">
      <w:pPr>
        <w:ind w:firstLine="708"/>
        <w:jc w:val="both"/>
        <w:rPr>
          <w:lang w:val="de-DE"/>
        </w:rPr>
      </w:pPr>
    </w:p>
    <w:p w14:paraId="7F8943F3" w14:textId="77777777" w:rsidR="00BF3C11" w:rsidRPr="004676F5" w:rsidRDefault="00BF3C11" w:rsidP="00BF3C11">
      <w:pPr>
        <w:ind w:firstLine="708"/>
        <w:jc w:val="both"/>
        <w:rPr>
          <w:lang w:val="de-DE"/>
        </w:rPr>
      </w:pPr>
      <w:r w:rsidRPr="004676F5">
        <w:rPr>
          <w:lang w:val="de-DE"/>
        </w:rPr>
        <w:t>2. vertrauliche Informationen über juristische oder natürliche Personen mitteilen:</w:t>
      </w:r>
    </w:p>
    <w:p w14:paraId="5000BB2F" w14:textId="77777777" w:rsidR="00BF3C11" w:rsidRPr="004676F5" w:rsidRDefault="00BF3C11" w:rsidP="00BF3C11">
      <w:pPr>
        <w:ind w:firstLine="708"/>
        <w:jc w:val="both"/>
        <w:rPr>
          <w:lang w:val="de-DE"/>
        </w:rPr>
      </w:pPr>
    </w:p>
    <w:p w14:paraId="4719E84B" w14:textId="77777777" w:rsidR="00BF3C11" w:rsidRPr="004676F5" w:rsidRDefault="00BF3C11" w:rsidP="00BF3C11">
      <w:pPr>
        <w:ind w:firstLine="708"/>
        <w:jc w:val="both"/>
        <w:rPr>
          <w:lang w:val="de-DE"/>
        </w:rPr>
      </w:pPr>
      <w:r w:rsidRPr="004676F5">
        <w:rPr>
          <w:i/>
          <w:lang w:val="de-DE"/>
        </w:rPr>
        <w:t>a)</w:t>
      </w:r>
      <w:r w:rsidRPr="004676F5">
        <w:rPr>
          <w:lang w:val="de-DE"/>
        </w:rPr>
        <w:t> auf Anweisung eines Gerichts,</w:t>
      </w:r>
    </w:p>
    <w:p w14:paraId="47F16681" w14:textId="77777777" w:rsidR="00BF3C11" w:rsidRPr="004676F5" w:rsidRDefault="00BF3C11" w:rsidP="00BF3C11">
      <w:pPr>
        <w:ind w:firstLine="708"/>
        <w:jc w:val="both"/>
        <w:rPr>
          <w:lang w:val="de-DE"/>
        </w:rPr>
      </w:pPr>
    </w:p>
    <w:p w14:paraId="12F633DD" w14:textId="77777777" w:rsidR="00BF3C11" w:rsidRPr="004676F5" w:rsidRDefault="00BF3C11" w:rsidP="00BF3C11">
      <w:pPr>
        <w:ind w:firstLine="708"/>
        <w:jc w:val="both"/>
        <w:rPr>
          <w:lang w:val="de-DE"/>
        </w:rPr>
      </w:pPr>
      <w:r w:rsidRPr="004676F5">
        <w:rPr>
          <w:i/>
          <w:lang w:val="de-DE"/>
        </w:rPr>
        <w:t>b)</w:t>
      </w:r>
      <w:r w:rsidRPr="004676F5">
        <w:rPr>
          <w:lang w:val="de-DE"/>
        </w:rPr>
        <w:t> an die belgischen oder europäischen Behörden, die damit beauftragt sind, für die Einhaltung der Rechtsvorschriften über den Schutz des wirtschaftlichen Wettbewerbs zu sorgen,</w:t>
      </w:r>
    </w:p>
    <w:p w14:paraId="0A306654" w14:textId="77777777" w:rsidR="00BF3C11" w:rsidRPr="004676F5" w:rsidRDefault="00BF3C11" w:rsidP="00BF3C11">
      <w:pPr>
        <w:ind w:firstLine="708"/>
        <w:jc w:val="both"/>
        <w:rPr>
          <w:lang w:val="de-DE"/>
        </w:rPr>
      </w:pPr>
    </w:p>
    <w:p w14:paraId="7DD24B1A" w14:textId="77777777" w:rsidR="00BF3C11" w:rsidRPr="004676F5" w:rsidRDefault="00BF3C11" w:rsidP="00BF3C11">
      <w:pPr>
        <w:ind w:firstLine="708"/>
        <w:jc w:val="both"/>
        <w:rPr>
          <w:lang w:val="de-DE"/>
        </w:rPr>
      </w:pPr>
      <w:r w:rsidRPr="004676F5">
        <w:rPr>
          <w:i/>
          <w:lang w:val="de-DE"/>
        </w:rPr>
        <w:t>c) </w:t>
      </w:r>
      <w:r w:rsidRPr="004676F5">
        <w:rPr>
          <w:lang w:val="de-DE"/>
        </w:rPr>
        <w:t>an Organe, die an Liquidation und Konkurs von juristischen Personen oder an anderen ähnlichen Verfahren beteiligt sind,</w:t>
      </w:r>
    </w:p>
    <w:p w14:paraId="07981331" w14:textId="77777777" w:rsidR="00BF3C11" w:rsidRPr="004676F5" w:rsidRDefault="00BF3C11" w:rsidP="00BF3C11">
      <w:pPr>
        <w:ind w:firstLine="708"/>
        <w:jc w:val="both"/>
        <w:rPr>
          <w:lang w:val="de-DE"/>
        </w:rPr>
      </w:pPr>
    </w:p>
    <w:p w14:paraId="70250442" w14:textId="77777777" w:rsidR="00BF3C11" w:rsidRPr="004676F5" w:rsidRDefault="00BF3C11" w:rsidP="00BF3C11">
      <w:pPr>
        <w:ind w:firstLine="708"/>
        <w:jc w:val="both"/>
        <w:rPr>
          <w:lang w:val="de-DE"/>
        </w:rPr>
      </w:pPr>
      <w:r w:rsidRPr="004676F5">
        <w:rPr>
          <w:i/>
          <w:lang w:val="de-DE"/>
        </w:rPr>
        <w:t>d) </w:t>
      </w:r>
      <w:r w:rsidRPr="004676F5">
        <w:rPr>
          <w:lang w:val="de-DE"/>
        </w:rPr>
        <w:t>an Personen, die mit der gesetzlichen Prüfung der Abschlüsse von juristischen Personen beauftragt sind,</w:t>
      </w:r>
    </w:p>
    <w:p w14:paraId="5721406D" w14:textId="77777777" w:rsidR="00BF3C11" w:rsidRPr="004676F5" w:rsidRDefault="00BF3C11" w:rsidP="00BF3C11">
      <w:pPr>
        <w:ind w:firstLine="708"/>
        <w:jc w:val="both"/>
        <w:rPr>
          <w:lang w:val="de-DE"/>
        </w:rPr>
      </w:pPr>
    </w:p>
    <w:p w14:paraId="31B17788" w14:textId="77777777" w:rsidR="00BF3C11" w:rsidRPr="004676F5" w:rsidRDefault="00BF3C11" w:rsidP="00BF3C11">
      <w:pPr>
        <w:ind w:firstLine="708"/>
        <w:jc w:val="both"/>
        <w:rPr>
          <w:lang w:val="de-DE"/>
        </w:rPr>
      </w:pPr>
      <w:r w:rsidRPr="004676F5">
        <w:rPr>
          <w:i/>
          <w:lang w:val="de-DE"/>
        </w:rPr>
        <w:t>e)</w:t>
      </w:r>
      <w:r w:rsidRPr="004676F5">
        <w:rPr>
          <w:lang w:val="de-DE"/>
        </w:rPr>
        <w:t> an Behörden, die mit der Aufsicht über Organe beauftragt sind, die an Liquidation und Konkurs von juristischen Personen oder an anderen ähnlichen Verfahren beteiligt sind.</w:t>
      </w:r>
    </w:p>
    <w:p w14:paraId="00435F65" w14:textId="77777777" w:rsidR="00BF3C11" w:rsidRPr="004676F5" w:rsidRDefault="00BF3C11" w:rsidP="00BF3C11">
      <w:pPr>
        <w:ind w:firstLine="708"/>
        <w:jc w:val="both"/>
        <w:rPr>
          <w:lang w:val="de-DE"/>
        </w:rPr>
      </w:pPr>
    </w:p>
    <w:p w14:paraId="33AF6801" w14:textId="77777777" w:rsidR="00BF3C11" w:rsidRPr="004676F5" w:rsidRDefault="00BF3C11" w:rsidP="00BF3C11">
      <w:pPr>
        <w:ind w:firstLine="708"/>
        <w:jc w:val="both"/>
        <w:rPr>
          <w:lang w:val="de-DE"/>
        </w:rPr>
      </w:pPr>
      <w:r w:rsidRPr="004676F5">
        <w:rPr>
          <w:lang w:val="de-DE"/>
        </w:rPr>
        <w:t>Informationen dürfen dem Empfänger der Informationen nur zur Ausführung seines gesetzlichen Auftrags wie in Absatz 1 beschrieben mitgeteilt werden.</w:t>
      </w:r>
    </w:p>
    <w:p w14:paraId="6B35BEB0" w14:textId="77777777" w:rsidR="00BF3C11" w:rsidRPr="004676F5" w:rsidRDefault="00BF3C11" w:rsidP="00BF3C11">
      <w:pPr>
        <w:ind w:firstLine="708"/>
        <w:jc w:val="both"/>
        <w:rPr>
          <w:lang w:val="de-DE"/>
        </w:rPr>
      </w:pPr>
    </w:p>
    <w:p w14:paraId="07E14360" w14:textId="77777777" w:rsidR="004C0E0A" w:rsidRPr="004676F5" w:rsidRDefault="004C0E0A">
      <w:pPr>
        <w:rPr>
          <w:lang w:val="de-DE"/>
        </w:rPr>
      </w:pPr>
      <w:r w:rsidRPr="004676F5">
        <w:rPr>
          <w:lang w:val="de-DE"/>
        </w:rPr>
        <w:br w:type="page"/>
      </w:r>
    </w:p>
    <w:p w14:paraId="67E280D4" w14:textId="77777777" w:rsidR="001527B1" w:rsidRPr="004676F5" w:rsidRDefault="00BF3C11" w:rsidP="00BF3C11">
      <w:pPr>
        <w:ind w:firstLine="708"/>
        <w:jc w:val="both"/>
        <w:rPr>
          <w:lang w:val="de-DE"/>
        </w:rPr>
      </w:pPr>
      <w:r w:rsidRPr="004676F5">
        <w:rPr>
          <w:lang w:val="de-DE"/>
        </w:rPr>
        <w:lastRenderedPageBreak/>
        <w:t>Insofern der Empfänger der durch den Kontrolldienst mitgeteilten Informationen in der Ausführung seines Auftrags nicht dadurch beeinträchtigt wird, wird eine Abschrift dieser Informationen der betreffenden juristischen oder natürlichen Person zugesandt.]</w:t>
      </w:r>
    </w:p>
    <w:p w14:paraId="777545BD" w14:textId="77777777" w:rsidR="001527B1" w:rsidRPr="004676F5" w:rsidRDefault="001527B1" w:rsidP="001527B1">
      <w:pPr>
        <w:ind w:firstLine="708"/>
        <w:jc w:val="both"/>
        <w:rPr>
          <w:lang w:val="de-DE"/>
        </w:rPr>
      </w:pPr>
    </w:p>
    <w:p w14:paraId="6901661C" w14:textId="01C051AA" w:rsidR="00BF3C11" w:rsidRPr="004676F5" w:rsidRDefault="00BF3C11" w:rsidP="00BF3C11">
      <w:pPr>
        <w:jc w:val="both"/>
        <w:rPr>
          <w:i/>
          <w:lang w:val="de-DE"/>
        </w:rPr>
      </w:pPr>
      <w:r w:rsidRPr="004676F5">
        <w:rPr>
          <w:i/>
          <w:lang w:val="de-DE"/>
        </w:rPr>
        <w:t>[</w:t>
      </w:r>
      <w:r w:rsidR="00BE0A56" w:rsidRPr="004676F5">
        <w:rPr>
          <w:i/>
          <w:lang w:val="de-DE"/>
        </w:rPr>
        <w:t>Art. </w:t>
      </w:r>
      <w:r w:rsidRPr="004676F5">
        <w:rPr>
          <w:i/>
          <w:lang w:val="de-DE"/>
        </w:rPr>
        <w:t xml:space="preserve">XI.286 ersetzt durch </w:t>
      </w:r>
      <w:r w:rsidR="00BE0A56" w:rsidRPr="004676F5">
        <w:rPr>
          <w:i/>
          <w:lang w:val="de-DE"/>
        </w:rPr>
        <w:t>Art. </w:t>
      </w:r>
      <w:r w:rsidRPr="004676F5">
        <w:rPr>
          <w:i/>
          <w:lang w:val="de-DE"/>
        </w:rPr>
        <w:t>30 des G. vom 29. Juni 2016 (B.S. vom 6. Juli 2016)]</w:t>
      </w:r>
    </w:p>
    <w:p w14:paraId="75B72326" w14:textId="77777777" w:rsidR="00355502" w:rsidRPr="004676F5" w:rsidRDefault="00355502" w:rsidP="001527B1">
      <w:pPr>
        <w:ind w:firstLine="708"/>
        <w:jc w:val="both"/>
        <w:rPr>
          <w:lang w:val="de-DE"/>
        </w:rPr>
      </w:pPr>
    </w:p>
    <w:p w14:paraId="0DCC66FD" w14:textId="77777777" w:rsidR="00BF3C11" w:rsidRPr="004676F5" w:rsidRDefault="00BF3C11" w:rsidP="001527B1">
      <w:pPr>
        <w:ind w:firstLine="708"/>
        <w:jc w:val="both"/>
        <w:rPr>
          <w:lang w:val="de-DE"/>
        </w:rPr>
      </w:pPr>
    </w:p>
    <w:p w14:paraId="7597A6E3" w14:textId="78BCC3A5" w:rsidR="004C0E0A" w:rsidRPr="004676F5" w:rsidRDefault="00BE0A56" w:rsidP="004C0E0A">
      <w:pPr>
        <w:ind w:firstLine="708"/>
        <w:jc w:val="both"/>
        <w:rPr>
          <w:lang w:val="de-DE"/>
        </w:rPr>
      </w:pPr>
      <w:r w:rsidRPr="004676F5">
        <w:rPr>
          <w:b/>
          <w:lang w:val="de-DE"/>
        </w:rPr>
        <w:t>Art. </w:t>
      </w:r>
      <w:r w:rsidR="001527B1" w:rsidRPr="004676F5">
        <w:rPr>
          <w:b/>
          <w:lang w:val="de-DE"/>
        </w:rPr>
        <w:t>XI.287</w:t>
      </w:r>
      <w:r w:rsidR="001527B1" w:rsidRPr="004676F5">
        <w:rPr>
          <w:lang w:val="de-DE"/>
        </w:rPr>
        <w:t> </w:t>
      </w:r>
      <w:r w:rsidR="005B7A5C" w:rsidRPr="004676F5">
        <w:rPr>
          <w:lang w:val="de-DE"/>
        </w:rPr>
        <w:t>- </w:t>
      </w:r>
      <w:r w:rsidR="004C0E0A" w:rsidRPr="004676F5">
        <w:rPr>
          <w:lang w:val="de-DE"/>
        </w:rPr>
        <w:t>[§ 1 </w:t>
      </w:r>
      <w:r w:rsidR="005B7A5C" w:rsidRPr="004676F5">
        <w:rPr>
          <w:lang w:val="de-DE"/>
        </w:rPr>
        <w:t>- </w:t>
      </w:r>
      <w:r w:rsidR="004C0E0A" w:rsidRPr="004676F5">
        <w:rPr>
          <w:lang w:val="de-DE"/>
        </w:rPr>
        <w:t>Ein Grundlagenfonds für die Transparenz von Urheberrechten und verwandten Schutzrechten wird eingerichtet.</w:t>
      </w:r>
    </w:p>
    <w:p w14:paraId="55EA4E65" w14:textId="77777777" w:rsidR="004C0E0A" w:rsidRPr="004676F5" w:rsidRDefault="004C0E0A" w:rsidP="004C0E0A">
      <w:pPr>
        <w:jc w:val="both"/>
        <w:rPr>
          <w:lang w:val="de-DE"/>
        </w:rPr>
      </w:pPr>
    </w:p>
    <w:p w14:paraId="18CE6351" w14:textId="77777777" w:rsidR="004C0E0A" w:rsidRPr="004676F5" w:rsidRDefault="004C0E0A" w:rsidP="004C0E0A">
      <w:pPr>
        <w:jc w:val="both"/>
        <w:rPr>
          <w:lang w:val="de-DE"/>
        </w:rPr>
      </w:pPr>
      <w:r w:rsidRPr="004676F5">
        <w:rPr>
          <w:lang w:val="de-DE"/>
        </w:rPr>
        <w:tab/>
        <w:t>Einnahmen, die dem in Absatz 1 erwähnten Fonds zugewiesen werden, und Ausgaben, die zu seinen Lasten getätigt werden können, werden für diesen Fonds in der Tabelle vermerkt, die dem Grundlagengesetz vom 27. Dezember 1990 zur Schaffung von Haushaltsfonds beigefügt ist.</w:t>
      </w:r>
    </w:p>
    <w:p w14:paraId="40C4E01C" w14:textId="77777777" w:rsidR="004C0E0A" w:rsidRPr="004676F5" w:rsidRDefault="004C0E0A" w:rsidP="004C0E0A">
      <w:pPr>
        <w:jc w:val="both"/>
        <w:rPr>
          <w:lang w:val="de-DE"/>
        </w:rPr>
      </w:pPr>
    </w:p>
    <w:p w14:paraId="5BD6692A" w14:textId="3386ED1B" w:rsidR="004C0E0A" w:rsidRPr="004676F5" w:rsidRDefault="004C0E0A" w:rsidP="004C0E0A">
      <w:pPr>
        <w:jc w:val="both"/>
        <w:rPr>
          <w:lang w:val="de-DE"/>
        </w:rPr>
      </w:pPr>
      <w:r w:rsidRPr="004676F5">
        <w:rPr>
          <w:lang w:val="de-DE"/>
        </w:rPr>
        <w:tab/>
        <w:t>§ 2 </w:t>
      </w:r>
      <w:r w:rsidR="005B7A5C" w:rsidRPr="004676F5">
        <w:rPr>
          <w:lang w:val="de-DE"/>
        </w:rPr>
        <w:t>- </w:t>
      </w:r>
      <w:r w:rsidRPr="004676F5">
        <w:rPr>
          <w:lang w:val="de-DE"/>
        </w:rPr>
        <w:t>Zur Speisung des in § 1 erwähnten Fonds und gemäß den vom König festgelegten Modalitäten sind Verwertungsgesellschaften, in Artikel XI.246 § 1 Absatz 2 erwähnte Organi</w:t>
      </w:r>
      <w:r w:rsidRPr="004676F5">
        <w:rPr>
          <w:lang w:val="de-DE"/>
        </w:rPr>
        <w:softHyphen/>
        <w:t>sa</w:t>
      </w:r>
      <w:r w:rsidRPr="004676F5">
        <w:rPr>
          <w:lang w:val="de-DE"/>
        </w:rPr>
        <w:softHyphen/>
        <w:t>tionen für die kollektive Rechtewahrnehmung und in Artikel XI.246 § 1 Absatz 3 und 4 erwähnte unabhängige Verwertungseinrichtungen verpflichtet, einen Jahresbeitrag zu entricht</w:t>
      </w:r>
      <w:r w:rsidRPr="004676F5">
        <w:rPr>
          <w:lang w:val="de-DE"/>
        </w:rPr>
        <w:softHyphen/>
        <w:t>en.</w:t>
      </w:r>
    </w:p>
    <w:p w14:paraId="4B8D45AD" w14:textId="77777777" w:rsidR="004C0E0A" w:rsidRPr="004676F5" w:rsidRDefault="004C0E0A" w:rsidP="004C0E0A">
      <w:pPr>
        <w:jc w:val="both"/>
        <w:rPr>
          <w:lang w:val="de-DE"/>
        </w:rPr>
      </w:pPr>
    </w:p>
    <w:p w14:paraId="05B6DA63" w14:textId="77777777" w:rsidR="004C0E0A" w:rsidRPr="004676F5" w:rsidRDefault="004C0E0A" w:rsidP="004C0E0A">
      <w:pPr>
        <w:jc w:val="both"/>
        <w:rPr>
          <w:lang w:val="de-DE"/>
        </w:rPr>
      </w:pPr>
      <w:r w:rsidRPr="004676F5">
        <w:rPr>
          <w:lang w:val="de-DE"/>
        </w:rPr>
        <w:tab/>
        <w:t>Im Falle eines Zulassungsentzugs in Anwendung von Buch XV bleiben Verwertungs</w:t>
      </w:r>
      <w:r w:rsidRPr="004676F5">
        <w:rPr>
          <w:lang w:val="de-DE"/>
        </w:rPr>
        <w:softHyphen/>
        <w:t>gesellschaften und Organisationen für die kollektive Rechtewahrnehmung bis zum 31. Dezem</w:t>
      </w:r>
      <w:r w:rsidRPr="004676F5">
        <w:rPr>
          <w:lang w:val="de-DE"/>
        </w:rPr>
        <w:softHyphen/>
        <w:t>ber des Jahres, in dem der Entziehungsbeschluss in Kraft tritt, der Beitragspflicht unterworfen.</w:t>
      </w:r>
    </w:p>
    <w:p w14:paraId="52E4C7F4" w14:textId="77777777" w:rsidR="004C0E0A" w:rsidRPr="004676F5" w:rsidRDefault="004C0E0A" w:rsidP="004C0E0A">
      <w:pPr>
        <w:jc w:val="both"/>
        <w:rPr>
          <w:lang w:val="de-DE"/>
        </w:rPr>
      </w:pPr>
    </w:p>
    <w:p w14:paraId="2DD7BA20" w14:textId="77777777" w:rsidR="004C0E0A" w:rsidRPr="004676F5" w:rsidRDefault="004C0E0A" w:rsidP="004C0E0A">
      <w:pPr>
        <w:jc w:val="both"/>
        <w:rPr>
          <w:lang w:val="de-DE"/>
        </w:rPr>
      </w:pPr>
      <w:r w:rsidRPr="004676F5">
        <w:rPr>
          <w:lang w:val="de-DE"/>
        </w:rPr>
        <w:tab/>
        <w:t>Bei Streichung des Sitzes oder der Zweigstelle einer unabhängigen Verwertungs</w:t>
      </w:r>
      <w:r w:rsidRPr="004676F5">
        <w:rPr>
          <w:lang w:val="de-DE"/>
        </w:rPr>
        <w:softHyphen/>
        <w:t>einrichtung aus der Zentralen Datenbank der Unternehmen bleibt die unabhängige Verwertungs</w:t>
      </w:r>
      <w:r w:rsidRPr="004676F5">
        <w:rPr>
          <w:lang w:val="de-DE"/>
        </w:rPr>
        <w:softHyphen/>
        <w:t>einrichtung bis zum 31. Dezember des Jahres, in dem die Streichung erfolgt, der Beitragspflicht unterworfen.</w:t>
      </w:r>
    </w:p>
    <w:p w14:paraId="480C3956" w14:textId="77777777" w:rsidR="004C0E0A" w:rsidRPr="004676F5" w:rsidRDefault="004C0E0A" w:rsidP="004C0E0A">
      <w:pPr>
        <w:jc w:val="both"/>
        <w:rPr>
          <w:lang w:val="de-DE"/>
        </w:rPr>
      </w:pPr>
    </w:p>
    <w:p w14:paraId="18007EAC" w14:textId="77777777" w:rsidR="004C0E0A" w:rsidRPr="004676F5" w:rsidRDefault="004C0E0A" w:rsidP="004C0E0A">
      <w:pPr>
        <w:jc w:val="both"/>
        <w:rPr>
          <w:lang w:val="de-DE"/>
        </w:rPr>
      </w:pPr>
      <w:r w:rsidRPr="004676F5">
        <w:rPr>
          <w:lang w:val="de-DE"/>
        </w:rPr>
        <w:tab/>
        <w:t>Der Jahresbeitrag ist in einem Mal und unteilbar zu entrichten.</w:t>
      </w:r>
    </w:p>
    <w:p w14:paraId="66084B92" w14:textId="77777777" w:rsidR="004C0E0A" w:rsidRPr="004676F5" w:rsidRDefault="004C0E0A" w:rsidP="004C0E0A">
      <w:pPr>
        <w:jc w:val="both"/>
        <w:rPr>
          <w:lang w:val="de-DE"/>
        </w:rPr>
      </w:pPr>
    </w:p>
    <w:p w14:paraId="67481DFE" w14:textId="5832AC56" w:rsidR="004C0E0A" w:rsidRPr="004676F5" w:rsidRDefault="004C0E0A" w:rsidP="004C0E0A">
      <w:pPr>
        <w:jc w:val="both"/>
        <w:rPr>
          <w:lang w:val="de-DE"/>
        </w:rPr>
      </w:pPr>
      <w:r w:rsidRPr="004676F5">
        <w:rPr>
          <w:lang w:val="de-DE"/>
        </w:rPr>
        <w:tab/>
        <w:t>§ 3 </w:t>
      </w:r>
      <w:r w:rsidR="005B7A5C" w:rsidRPr="004676F5">
        <w:rPr>
          <w:lang w:val="de-DE"/>
        </w:rPr>
        <w:t>- </w:t>
      </w:r>
      <w:r w:rsidRPr="004676F5">
        <w:rPr>
          <w:lang w:val="de-DE"/>
        </w:rPr>
        <w:t>Der Beitrag der in § 2 erwähnten Verwertungsgesellschaften, Organisationen für die kollektive Rechtewahrnehmung und unabhängigen Verwertungseinrichtungen wird auf der Grundlage der jeweiligen Urheberrechte und verwandten Schutzrechte, die sie auf nationalem Staatsgebiet einnehmen, und auf der Grundlage der jeweiligen Urheberrechte und verwandten Schutzrechte, die sie im Ausland für Rechnung von Personen einnehmen, die auf nationalem Staatsgebiet wohnhaft sind, berechnet.</w:t>
      </w:r>
    </w:p>
    <w:p w14:paraId="54B38013" w14:textId="77777777" w:rsidR="004C0E0A" w:rsidRPr="004676F5" w:rsidRDefault="004C0E0A" w:rsidP="004C0E0A">
      <w:pPr>
        <w:jc w:val="both"/>
        <w:rPr>
          <w:lang w:val="de-DE"/>
        </w:rPr>
      </w:pPr>
    </w:p>
    <w:p w14:paraId="05453AD6" w14:textId="44141717" w:rsidR="004C0E0A" w:rsidRPr="004676F5" w:rsidRDefault="004C0E0A" w:rsidP="004C0E0A">
      <w:pPr>
        <w:jc w:val="both"/>
        <w:rPr>
          <w:lang w:val="de-DE"/>
        </w:rPr>
      </w:pPr>
      <w:r w:rsidRPr="004676F5">
        <w:rPr>
          <w:lang w:val="de-DE"/>
        </w:rPr>
        <w:tab/>
        <w:t>§ 4 </w:t>
      </w:r>
      <w:r w:rsidR="005B7A5C" w:rsidRPr="004676F5">
        <w:rPr>
          <w:lang w:val="de-DE"/>
        </w:rPr>
        <w:t>- </w:t>
      </w:r>
      <w:r w:rsidRPr="004676F5">
        <w:rPr>
          <w:lang w:val="de-DE"/>
        </w:rPr>
        <w:t>Der Beitrag, der von den in § 2 erwähnten Verwertungsgesellschaften, Organisationen für die kollektive Rechtewahrnehmung und unabhängigen Verwertungsein</w:t>
      </w:r>
      <w:r w:rsidRPr="004676F5">
        <w:rPr>
          <w:lang w:val="de-DE"/>
        </w:rPr>
        <w:softHyphen/>
        <w:t>rich</w:t>
      </w:r>
      <w:r w:rsidRPr="004676F5">
        <w:rPr>
          <w:lang w:val="de-DE"/>
        </w:rPr>
        <w:softHyphen/>
        <w:t>tungen zu entrichten ist, besteht aus einem Prozentsatz der in § 3 bestimmten Berechnungs</w:t>
      </w:r>
      <w:r w:rsidRPr="004676F5">
        <w:rPr>
          <w:lang w:val="de-DE"/>
        </w:rPr>
        <w:softHyphen/>
        <w:t>grund</w:t>
      </w:r>
      <w:r w:rsidRPr="004676F5">
        <w:rPr>
          <w:lang w:val="de-DE"/>
        </w:rPr>
        <w:softHyphen/>
        <w:t>lage.</w:t>
      </w:r>
    </w:p>
    <w:p w14:paraId="4BEEE6BA" w14:textId="77777777" w:rsidR="004C0E0A" w:rsidRPr="004676F5" w:rsidRDefault="004C0E0A" w:rsidP="004C0E0A">
      <w:pPr>
        <w:jc w:val="both"/>
        <w:rPr>
          <w:lang w:val="de-DE"/>
        </w:rPr>
      </w:pPr>
    </w:p>
    <w:p w14:paraId="2716563F" w14:textId="77777777" w:rsidR="004C0E0A" w:rsidRPr="004676F5" w:rsidRDefault="004C0E0A" w:rsidP="004C0E0A">
      <w:pPr>
        <w:jc w:val="both"/>
        <w:rPr>
          <w:lang w:val="de-DE"/>
        </w:rPr>
      </w:pPr>
      <w:r w:rsidRPr="004676F5">
        <w:rPr>
          <w:lang w:val="de-DE"/>
        </w:rPr>
        <w:tab/>
        <w:t>Unbeschadet des Absatzes 3 muss dieser Prozentsatz folgenden Bedingungen entsprechen:</w:t>
      </w:r>
    </w:p>
    <w:p w14:paraId="1EF77F36" w14:textId="77777777" w:rsidR="004C0E0A" w:rsidRPr="004676F5" w:rsidRDefault="004C0E0A" w:rsidP="004C0E0A">
      <w:pPr>
        <w:jc w:val="both"/>
        <w:rPr>
          <w:lang w:val="de-DE"/>
        </w:rPr>
      </w:pPr>
    </w:p>
    <w:p w14:paraId="17D809AB" w14:textId="77777777" w:rsidR="004C0E0A" w:rsidRPr="004676F5" w:rsidRDefault="004C0E0A" w:rsidP="004C0E0A">
      <w:pPr>
        <w:jc w:val="both"/>
        <w:rPr>
          <w:lang w:val="de-DE"/>
        </w:rPr>
      </w:pPr>
      <w:r w:rsidRPr="004676F5">
        <w:rPr>
          <w:lang w:val="de-DE"/>
        </w:rPr>
        <w:tab/>
        <w:t>1. für alle Verwertungsgesellschaften gleich sein,</w:t>
      </w:r>
    </w:p>
    <w:p w14:paraId="55F7B0CC" w14:textId="77777777" w:rsidR="004C0E0A" w:rsidRPr="004676F5" w:rsidRDefault="004C0E0A" w:rsidP="004C0E0A">
      <w:pPr>
        <w:jc w:val="both"/>
        <w:rPr>
          <w:lang w:val="de-DE"/>
        </w:rPr>
      </w:pPr>
    </w:p>
    <w:p w14:paraId="1A466D7C" w14:textId="77777777" w:rsidR="004C0E0A" w:rsidRPr="004676F5" w:rsidRDefault="004C0E0A" w:rsidP="004C0E0A">
      <w:pPr>
        <w:jc w:val="both"/>
        <w:rPr>
          <w:lang w:val="de-DE"/>
        </w:rPr>
      </w:pPr>
      <w:r w:rsidRPr="004676F5">
        <w:rPr>
          <w:lang w:val="de-DE"/>
        </w:rPr>
        <w:tab/>
        <w:t>2. für alle in Artikel XI.246 § 1 Absatz 2 erwähnten Organisationen für die kollektive Rechtewahrnehmung gleich sein,</w:t>
      </w:r>
    </w:p>
    <w:p w14:paraId="1AE2ECB1" w14:textId="77777777" w:rsidR="004C0E0A" w:rsidRPr="004676F5" w:rsidRDefault="004C0E0A" w:rsidP="004C0E0A">
      <w:pPr>
        <w:jc w:val="both"/>
        <w:rPr>
          <w:lang w:val="de-DE"/>
        </w:rPr>
      </w:pPr>
    </w:p>
    <w:p w14:paraId="0E9EF016" w14:textId="77777777" w:rsidR="004C0E0A" w:rsidRPr="004676F5" w:rsidRDefault="004C0E0A" w:rsidP="004C0E0A">
      <w:pPr>
        <w:jc w:val="both"/>
        <w:rPr>
          <w:lang w:val="de-DE"/>
        </w:rPr>
      </w:pPr>
      <w:r w:rsidRPr="004676F5">
        <w:rPr>
          <w:lang w:val="de-DE"/>
        </w:rPr>
        <w:lastRenderedPageBreak/>
        <w:tab/>
        <w:t>3. für alle in Artikel XI.246 § 1 Absatz 3 und 4 erwähnten unabhängigen Verwertungs</w:t>
      </w:r>
      <w:r w:rsidRPr="004676F5">
        <w:rPr>
          <w:lang w:val="de-DE"/>
        </w:rPr>
        <w:softHyphen/>
        <w:t>einrichtungen gleich sein,</w:t>
      </w:r>
    </w:p>
    <w:p w14:paraId="026D2ECC" w14:textId="77777777" w:rsidR="004C0E0A" w:rsidRPr="004676F5" w:rsidRDefault="004C0E0A" w:rsidP="004C0E0A">
      <w:pPr>
        <w:jc w:val="both"/>
        <w:rPr>
          <w:lang w:val="de-DE"/>
        </w:rPr>
      </w:pPr>
      <w:r w:rsidRPr="004676F5">
        <w:rPr>
          <w:lang w:val="de-DE"/>
        </w:rPr>
        <w:tab/>
      </w:r>
    </w:p>
    <w:p w14:paraId="31A9016E" w14:textId="77777777" w:rsidR="004C0E0A" w:rsidRPr="004676F5" w:rsidRDefault="004C0E0A" w:rsidP="004C0E0A">
      <w:pPr>
        <w:jc w:val="both"/>
        <w:rPr>
          <w:lang w:val="de-DE"/>
        </w:rPr>
      </w:pPr>
      <w:r w:rsidRPr="004676F5">
        <w:rPr>
          <w:lang w:val="de-DE"/>
        </w:rPr>
        <w:tab/>
        <w:t>4. es ermöglichen, dass der Gesamtertrag der Beiträge alle Kosten deckt, die sich aus der Kontrolle aufgrund des vorliegenden Kapitels ergeben,</w:t>
      </w:r>
    </w:p>
    <w:p w14:paraId="3BA8B114" w14:textId="77777777" w:rsidR="004C0E0A" w:rsidRPr="004676F5" w:rsidRDefault="004C0E0A" w:rsidP="004C0E0A">
      <w:pPr>
        <w:jc w:val="both"/>
        <w:rPr>
          <w:lang w:val="de-DE"/>
        </w:rPr>
      </w:pPr>
    </w:p>
    <w:p w14:paraId="519E2E1F" w14:textId="77777777" w:rsidR="004C0E0A" w:rsidRPr="004676F5" w:rsidRDefault="004C0E0A" w:rsidP="004C0E0A">
      <w:pPr>
        <w:jc w:val="both"/>
        <w:rPr>
          <w:lang w:val="de-DE"/>
        </w:rPr>
      </w:pPr>
      <w:r w:rsidRPr="004676F5">
        <w:rPr>
          <w:lang w:val="de-DE"/>
        </w:rPr>
        <w:tab/>
        <w:t>5. 0,4 Prozent der in § 3 bestimmten Berechnungsgrundlage nicht übersteigen.</w:t>
      </w:r>
    </w:p>
    <w:p w14:paraId="3C5C3DA5" w14:textId="77777777" w:rsidR="004C0E0A" w:rsidRPr="004676F5" w:rsidRDefault="004C0E0A" w:rsidP="004C0E0A">
      <w:pPr>
        <w:jc w:val="both"/>
        <w:rPr>
          <w:lang w:val="de-DE"/>
        </w:rPr>
      </w:pPr>
    </w:p>
    <w:p w14:paraId="39B5A960" w14:textId="77777777" w:rsidR="004C0E0A" w:rsidRPr="004676F5" w:rsidRDefault="004C0E0A" w:rsidP="004C0E0A">
      <w:pPr>
        <w:jc w:val="both"/>
        <w:rPr>
          <w:lang w:val="de-DE"/>
        </w:rPr>
      </w:pPr>
      <w:r w:rsidRPr="004676F5">
        <w:rPr>
          <w:lang w:val="de-DE"/>
        </w:rPr>
        <w:tab/>
        <w:t>Der König bestimmt den Prozentsatz der Berechnungsgrundlage, der den im vorstehenden Absatz erwähnten Bedingungen entspricht. Dieser Prozentsatz kann für Verwertungsgesellschaften, Organisationen für die kollektive Rechtewahrnehmung und unabhängige Verwertungseinrichtungen unterschiedlich sein.</w:t>
      </w:r>
    </w:p>
    <w:p w14:paraId="092F97D4" w14:textId="77777777" w:rsidR="004C0E0A" w:rsidRPr="004676F5" w:rsidRDefault="004C0E0A" w:rsidP="004C0E0A">
      <w:pPr>
        <w:jc w:val="both"/>
        <w:rPr>
          <w:lang w:val="de-DE"/>
        </w:rPr>
      </w:pPr>
    </w:p>
    <w:p w14:paraId="01E04C3A" w14:textId="77777777" w:rsidR="004C0E0A" w:rsidRPr="004676F5" w:rsidRDefault="004C0E0A" w:rsidP="004C0E0A">
      <w:pPr>
        <w:jc w:val="both"/>
        <w:rPr>
          <w:lang w:val="de-DE"/>
        </w:rPr>
      </w:pPr>
      <w:r w:rsidRPr="004676F5">
        <w:rPr>
          <w:lang w:val="de-DE"/>
        </w:rPr>
        <w:tab/>
        <w:t>Der Prozentsatz darf 0,1 Prozent der in § 3 bestimmten Berechnungsgrundlage nicht übersteigen für Beiträge, die von Verwertungsgesellschaften zu entrichten sind, die vom König in Anwendung der Artikel XI.229 Absatz 5, XI.239 Absatz 8, XI.242 Absatz 3 und XI.244 Absatz 4 bestimmt worden sind und alle Verwertungsgesellschaften und Organisationen für die kollektive Rechtewahrnehmung vertreten, in Bezug auf die in den Artikeln XI.229, XI.235, XI.236, XI.240 und XI.243 erwähnten Ansprüche auf Vergütungen, die von diesen Gesellschaften eingenommen werden.</w:t>
      </w:r>
    </w:p>
    <w:p w14:paraId="14D906FE" w14:textId="77777777" w:rsidR="004C0E0A" w:rsidRPr="004676F5" w:rsidRDefault="004C0E0A" w:rsidP="004C0E0A">
      <w:pPr>
        <w:jc w:val="both"/>
        <w:rPr>
          <w:lang w:val="de-DE"/>
        </w:rPr>
      </w:pPr>
    </w:p>
    <w:p w14:paraId="64EE0169" w14:textId="4F2B2243" w:rsidR="004C0E0A" w:rsidRPr="004676F5" w:rsidRDefault="004C0E0A" w:rsidP="004C0E0A">
      <w:pPr>
        <w:jc w:val="both"/>
        <w:rPr>
          <w:lang w:val="de-DE"/>
        </w:rPr>
      </w:pPr>
      <w:r w:rsidRPr="004676F5">
        <w:rPr>
          <w:lang w:val="de-DE"/>
        </w:rPr>
        <w:tab/>
        <w:t>§ 5 </w:t>
      </w:r>
      <w:r w:rsidR="005B7A5C" w:rsidRPr="004676F5">
        <w:rPr>
          <w:lang w:val="de-DE"/>
        </w:rPr>
        <w:t>- </w:t>
      </w:r>
      <w:r w:rsidRPr="004676F5">
        <w:rPr>
          <w:lang w:val="de-DE"/>
        </w:rPr>
        <w:t>Vergütungen, die von den in § 2 erwähnten Verwertungsgesellschaften, Organisationen für die kollektive Rechtewahrnehmung und unabhängigen Verwertungseinrich</w:t>
      </w:r>
      <w:r w:rsidRPr="004676F5">
        <w:rPr>
          <w:lang w:val="de-DE"/>
        </w:rPr>
        <w:softHyphen/>
        <w:t>tungen eingenommen werden, werden nicht in die in § 3 bestimmte Berechnungsgrundlage einbezogen, insofern:</w:t>
      </w:r>
    </w:p>
    <w:p w14:paraId="19B90066" w14:textId="77777777" w:rsidR="004C0E0A" w:rsidRPr="004676F5" w:rsidRDefault="004C0E0A" w:rsidP="004C0E0A">
      <w:pPr>
        <w:jc w:val="both"/>
        <w:rPr>
          <w:lang w:val="de-DE"/>
        </w:rPr>
      </w:pPr>
    </w:p>
    <w:p w14:paraId="69510811" w14:textId="77777777" w:rsidR="004C0E0A" w:rsidRPr="004676F5" w:rsidRDefault="004C0E0A" w:rsidP="004C0E0A">
      <w:pPr>
        <w:jc w:val="both"/>
        <w:rPr>
          <w:lang w:val="de-DE"/>
        </w:rPr>
      </w:pPr>
      <w:r w:rsidRPr="004676F5">
        <w:rPr>
          <w:lang w:val="de-DE"/>
        </w:rPr>
        <w:tab/>
        <w:t>1. diese Vergütungen sich ausschließlich auf Verwertungshandlungen beziehen, die im Ausland verrichtet werden,</w:t>
      </w:r>
    </w:p>
    <w:p w14:paraId="64AF6B29" w14:textId="77777777" w:rsidR="004C0E0A" w:rsidRPr="004676F5" w:rsidRDefault="004C0E0A" w:rsidP="004C0E0A">
      <w:pPr>
        <w:jc w:val="both"/>
        <w:rPr>
          <w:lang w:val="de-DE"/>
        </w:rPr>
      </w:pPr>
    </w:p>
    <w:p w14:paraId="38AEEED1" w14:textId="77777777" w:rsidR="004C0E0A" w:rsidRPr="004676F5" w:rsidRDefault="004C0E0A" w:rsidP="004C0E0A">
      <w:pPr>
        <w:jc w:val="both"/>
        <w:rPr>
          <w:lang w:val="de-DE"/>
        </w:rPr>
      </w:pPr>
      <w:r w:rsidRPr="004676F5">
        <w:rPr>
          <w:lang w:val="de-DE"/>
        </w:rPr>
        <w:tab/>
        <w:t>2. diese Vergütungen von der Verwertungsgesellschaft, der in Artikel XI.246 § 1 Absatz 2 erwähnten Organisationen für die kollektive Rechtewahrnehmung oder der in Artikel XI.246 § 1 Absatz 3 und 4 erwähnten unabhängigen Verwertungseinrichtung vollständig einer oder mehreren Verwertungsgesellschaften, Organisationen für die kollektive Rechtewahrnehmung oder unabhängigen Verwertungseinrichtungen im Ausland übertragen werden müssen, gegebenenfalls nach Abzug einer Kommissionsgebühr für die Verwertung, und</w:t>
      </w:r>
    </w:p>
    <w:p w14:paraId="2A0CA97C" w14:textId="77777777" w:rsidR="004C0E0A" w:rsidRPr="004676F5" w:rsidRDefault="004C0E0A" w:rsidP="004C0E0A">
      <w:pPr>
        <w:jc w:val="both"/>
        <w:rPr>
          <w:lang w:val="de-DE"/>
        </w:rPr>
      </w:pPr>
    </w:p>
    <w:p w14:paraId="42CEC08E" w14:textId="77777777" w:rsidR="004C0E0A" w:rsidRPr="004676F5" w:rsidRDefault="004C0E0A" w:rsidP="004C0E0A">
      <w:pPr>
        <w:jc w:val="both"/>
        <w:rPr>
          <w:lang w:val="de-DE"/>
        </w:rPr>
      </w:pPr>
      <w:r w:rsidRPr="004676F5">
        <w:rPr>
          <w:lang w:val="de-DE"/>
        </w:rPr>
        <w:tab/>
        <w:t>3. nur die in Nr. 2 erwähnten Verwertungsgesellschaften, Organisationen für die kollek</w:t>
      </w:r>
      <w:r w:rsidRPr="004676F5">
        <w:rPr>
          <w:lang w:val="de-DE"/>
        </w:rPr>
        <w:softHyphen/>
        <w:t>tive Rechtewahrnehmung oder unabhängigen Verwertungseinrichtungen, die ihren Sitz im Ausland haben, die Verteilung dieser Vergütungen vornehmen.</w:t>
      </w:r>
    </w:p>
    <w:p w14:paraId="10BDDE82" w14:textId="77777777" w:rsidR="004C0E0A" w:rsidRPr="004676F5" w:rsidRDefault="004C0E0A" w:rsidP="004C0E0A">
      <w:pPr>
        <w:jc w:val="both"/>
        <w:rPr>
          <w:lang w:val="de-DE"/>
        </w:rPr>
      </w:pPr>
    </w:p>
    <w:p w14:paraId="5F0DC950" w14:textId="3A87161A" w:rsidR="004C0E0A" w:rsidRPr="004676F5" w:rsidRDefault="004C0E0A" w:rsidP="004C0E0A">
      <w:pPr>
        <w:jc w:val="both"/>
        <w:rPr>
          <w:lang w:val="de-DE"/>
        </w:rPr>
      </w:pPr>
      <w:r w:rsidRPr="004676F5">
        <w:rPr>
          <w:lang w:val="de-DE"/>
        </w:rPr>
        <w:tab/>
        <w:t>§ 6 </w:t>
      </w:r>
      <w:r w:rsidR="005B7A5C" w:rsidRPr="004676F5">
        <w:rPr>
          <w:lang w:val="de-DE"/>
        </w:rPr>
        <w:t>- </w:t>
      </w:r>
      <w:r w:rsidRPr="004676F5">
        <w:rPr>
          <w:lang w:val="de-DE"/>
        </w:rPr>
        <w:t>Der Grundlagenfonds darf einen Debetstand aufweisen, insofern dieser Debetstand noch im Laufe desselben Haushaltsjahres entsprechend den verwirklichten Einnahmen ausgeglichen wird, so dass das Haushaltsjahr mit einem Positivsaldo abgeschlossen werden kann.</w:t>
      </w:r>
    </w:p>
    <w:p w14:paraId="2EF0E2B9" w14:textId="77777777" w:rsidR="004C0E0A" w:rsidRPr="004676F5" w:rsidRDefault="004C0E0A" w:rsidP="004C0E0A">
      <w:pPr>
        <w:jc w:val="both"/>
        <w:rPr>
          <w:lang w:val="de-DE"/>
        </w:rPr>
      </w:pPr>
    </w:p>
    <w:p w14:paraId="6A3692D2" w14:textId="06EF1E85" w:rsidR="001527B1" w:rsidRPr="004676F5" w:rsidRDefault="004C0E0A" w:rsidP="004C0E0A">
      <w:pPr>
        <w:ind w:firstLine="708"/>
        <w:jc w:val="both"/>
        <w:rPr>
          <w:lang w:val="de-DE"/>
        </w:rPr>
      </w:pPr>
      <w:r w:rsidRPr="004676F5">
        <w:rPr>
          <w:lang w:val="de-DE"/>
        </w:rPr>
        <w:t>§ 7 </w:t>
      </w:r>
      <w:r w:rsidR="005B7A5C" w:rsidRPr="004676F5">
        <w:rPr>
          <w:lang w:val="de-DE"/>
        </w:rPr>
        <w:t>- </w:t>
      </w:r>
      <w:r w:rsidRPr="004676F5">
        <w:rPr>
          <w:lang w:val="de-DE"/>
        </w:rPr>
        <w:t>Unbeschadet anderer durch vorliegendes Gesetzbuch vorgesehener Sanktionen kann der Minister der Finanzen auf Antrag des Ministers den Föderalen Öffentlichen Dienst Finanzen mit der Beitreibung ausstehender Beiträge beauftragen.]</w:t>
      </w:r>
    </w:p>
    <w:p w14:paraId="4AAB644C" w14:textId="77777777" w:rsidR="001527B1" w:rsidRPr="004676F5" w:rsidRDefault="001527B1" w:rsidP="001527B1">
      <w:pPr>
        <w:ind w:firstLine="708"/>
        <w:jc w:val="both"/>
        <w:rPr>
          <w:lang w:val="de-DE"/>
        </w:rPr>
      </w:pPr>
    </w:p>
    <w:p w14:paraId="2C338191" w14:textId="14D0074E" w:rsidR="00BF3C11" w:rsidRPr="00B14651" w:rsidRDefault="00BF3C11" w:rsidP="00BF3C11">
      <w:pPr>
        <w:jc w:val="both"/>
        <w:rPr>
          <w:i/>
          <w:lang w:val="de-DE"/>
        </w:rPr>
      </w:pPr>
      <w:r w:rsidRPr="004676F5">
        <w:rPr>
          <w:i/>
          <w:lang w:val="de-DE"/>
        </w:rPr>
        <w:t>[</w:t>
      </w:r>
      <w:r w:rsidR="00BE0A56" w:rsidRPr="004676F5">
        <w:rPr>
          <w:i/>
          <w:lang w:val="de-DE"/>
        </w:rPr>
        <w:t>Art. </w:t>
      </w:r>
      <w:r w:rsidRPr="004676F5">
        <w:rPr>
          <w:i/>
          <w:lang w:val="de-DE"/>
        </w:rPr>
        <w:t xml:space="preserve">XI.287 </w:t>
      </w:r>
      <w:r w:rsidR="004C0E0A" w:rsidRPr="004676F5">
        <w:rPr>
          <w:i/>
          <w:lang w:val="de-DE"/>
        </w:rPr>
        <w:t xml:space="preserve">ersetzt durch </w:t>
      </w:r>
      <w:r w:rsidR="00BE0A56" w:rsidRPr="004676F5">
        <w:rPr>
          <w:i/>
          <w:lang w:val="de-DE"/>
        </w:rPr>
        <w:t>Art. </w:t>
      </w:r>
      <w:r w:rsidR="004C0E0A" w:rsidRPr="004676F5">
        <w:rPr>
          <w:i/>
          <w:lang w:val="de-DE"/>
        </w:rPr>
        <w:t>109 des G. vom 8. </w:t>
      </w:r>
      <w:r w:rsidR="004C0E0A" w:rsidRPr="00B14651">
        <w:rPr>
          <w:i/>
          <w:lang w:val="de-DE"/>
        </w:rPr>
        <w:t>Juni 2017 (B.S. vom 27. Juni 2017)</w:t>
      </w:r>
      <w:r w:rsidRPr="00B14651">
        <w:rPr>
          <w:i/>
          <w:lang w:val="de-DE"/>
        </w:rPr>
        <w:t>]</w:t>
      </w:r>
    </w:p>
    <w:p w14:paraId="4EFE55DE" w14:textId="77777777" w:rsidR="00BF3C11" w:rsidRPr="00B14651" w:rsidRDefault="00BF3C11" w:rsidP="001527B1">
      <w:pPr>
        <w:ind w:firstLine="708"/>
        <w:jc w:val="both"/>
        <w:rPr>
          <w:lang w:val="de-DE"/>
        </w:rPr>
      </w:pPr>
    </w:p>
    <w:p w14:paraId="0E30F659" w14:textId="77777777" w:rsidR="00355502" w:rsidRPr="00B14651" w:rsidRDefault="00355502" w:rsidP="001527B1">
      <w:pPr>
        <w:ind w:firstLine="708"/>
        <w:jc w:val="both"/>
        <w:rPr>
          <w:lang w:val="de-DE"/>
        </w:rPr>
      </w:pPr>
    </w:p>
    <w:p w14:paraId="07677FDD" w14:textId="48B56CE0" w:rsidR="001527B1" w:rsidRPr="004676F5" w:rsidRDefault="00BE0A56" w:rsidP="001527B1">
      <w:pPr>
        <w:ind w:firstLine="708"/>
        <w:jc w:val="both"/>
        <w:rPr>
          <w:lang w:val="de-DE"/>
        </w:rPr>
      </w:pPr>
      <w:r w:rsidRPr="004676F5">
        <w:rPr>
          <w:b/>
          <w:lang w:val="de-DE"/>
        </w:rPr>
        <w:t>Art. </w:t>
      </w:r>
      <w:r w:rsidR="001527B1" w:rsidRPr="004676F5">
        <w:rPr>
          <w:b/>
          <w:lang w:val="de-DE"/>
        </w:rPr>
        <w:t>XI.288</w:t>
      </w:r>
      <w:r w:rsidR="001527B1" w:rsidRPr="004676F5">
        <w:rPr>
          <w:lang w:val="de-DE"/>
        </w:rPr>
        <w:t> </w:t>
      </w:r>
      <w:r w:rsidR="005B7A5C" w:rsidRPr="004676F5">
        <w:rPr>
          <w:lang w:val="de-DE"/>
        </w:rPr>
        <w:t>- </w:t>
      </w:r>
      <w:r w:rsidR="001527B1" w:rsidRPr="004676F5">
        <w:rPr>
          <w:lang w:val="de-DE"/>
        </w:rPr>
        <w:t xml:space="preserve">Der FÖD Wirtschaft veröffentlicht jedes Jahr einen Tätigkeitsbericht über das Urheberrecht und die verwandten Schutzrechte. Dieser Bericht umfasst einen Teil "Rechtsvorschriften", </w:t>
      </w:r>
      <w:r w:rsidR="00BF3C11" w:rsidRPr="004676F5">
        <w:rPr>
          <w:lang w:val="de-DE"/>
        </w:rPr>
        <w:t>[</w:t>
      </w:r>
      <w:r w:rsidR="00B30591" w:rsidRPr="004676F5">
        <w:rPr>
          <w:lang w:val="de-DE"/>
        </w:rPr>
        <w:t>...</w:t>
      </w:r>
      <w:r w:rsidR="00BF3C11" w:rsidRPr="004676F5">
        <w:rPr>
          <w:lang w:val="de-DE"/>
        </w:rPr>
        <w:t>]</w:t>
      </w:r>
      <w:r w:rsidR="001527B1" w:rsidRPr="004676F5">
        <w:rPr>
          <w:lang w:val="de-DE"/>
        </w:rPr>
        <w:t xml:space="preserve"> einen Teil "Kontrolle" und einen Teil "Wirtschaftsanalyse". Dieser Bericht enthält eine Übersicht der Tätigkeiten, die der FÖD Wirtschaft im Laufe des Jahres ausgeübt hat.</w:t>
      </w:r>
    </w:p>
    <w:p w14:paraId="28A0F85C" w14:textId="77777777" w:rsidR="001527B1" w:rsidRPr="004676F5" w:rsidRDefault="001527B1" w:rsidP="001527B1">
      <w:pPr>
        <w:ind w:firstLine="708"/>
        <w:jc w:val="both"/>
        <w:rPr>
          <w:lang w:val="de-DE"/>
        </w:rPr>
      </w:pPr>
    </w:p>
    <w:p w14:paraId="4264A84E" w14:textId="77777777" w:rsidR="001527B1" w:rsidRPr="004676F5" w:rsidRDefault="001527B1" w:rsidP="001527B1">
      <w:pPr>
        <w:ind w:firstLine="708"/>
        <w:jc w:val="both"/>
        <w:rPr>
          <w:lang w:val="de-DE"/>
        </w:rPr>
      </w:pPr>
      <w:r w:rsidRPr="004676F5">
        <w:rPr>
          <w:lang w:val="de-DE"/>
        </w:rPr>
        <w:t>Im Teil "Kontrolle" wird nach Kategorien von Werken und Nutzungsarten zwischen Auskunftsanfragen, Beschwerden von Schuldnern und Rechtsinhabern und Interventionen auf Initiative des Kontrolldienstes und ihren Ergebnissen unterschieden. Begründete Beschwerden werden pro Verwertungsgesellschaft veröffentlicht. Der Bericht vermittelt ein wahrheits</w:t>
      </w:r>
      <w:r w:rsidRPr="004676F5">
        <w:rPr>
          <w:lang w:val="de-DE"/>
        </w:rPr>
        <w:softHyphen/>
        <w:t>getreues Bild des Sektors der kollektiven Wahrnehmung und geht auf die spezifische Rolle und die finanzielle Lage der Verwertungsgesellschaften und die neuesten Entwicklungen in diesem Sektor ein.</w:t>
      </w:r>
    </w:p>
    <w:p w14:paraId="2A998BBC" w14:textId="77777777" w:rsidR="001527B1" w:rsidRPr="004676F5" w:rsidRDefault="001527B1" w:rsidP="001527B1">
      <w:pPr>
        <w:ind w:firstLine="708"/>
        <w:jc w:val="both"/>
        <w:rPr>
          <w:lang w:val="de-DE"/>
        </w:rPr>
      </w:pPr>
    </w:p>
    <w:p w14:paraId="5F926524" w14:textId="77777777" w:rsidR="001527B1" w:rsidRPr="004676F5" w:rsidRDefault="001527B1" w:rsidP="001527B1">
      <w:pPr>
        <w:ind w:firstLine="708"/>
        <w:jc w:val="both"/>
        <w:rPr>
          <w:lang w:val="de-DE"/>
        </w:rPr>
      </w:pPr>
      <w:r w:rsidRPr="004676F5">
        <w:rPr>
          <w:lang w:val="de-DE"/>
        </w:rPr>
        <w:t>Dieser Bericht wird dem Minister übermittelt. Dieser Bericht wird ebenfalls auf der Website des FÖD Wirtschaft veröffentlicht.</w:t>
      </w:r>
    </w:p>
    <w:p w14:paraId="0E3EF89D" w14:textId="77777777" w:rsidR="00BF3C11" w:rsidRPr="004676F5" w:rsidRDefault="00BF3C11" w:rsidP="001527B1">
      <w:pPr>
        <w:ind w:firstLine="708"/>
        <w:jc w:val="both"/>
        <w:rPr>
          <w:lang w:val="de-DE"/>
        </w:rPr>
      </w:pPr>
    </w:p>
    <w:p w14:paraId="20D44D0B" w14:textId="4269CD7C" w:rsidR="00BF3C11" w:rsidRPr="004676F5" w:rsidRDefault="00BF3C11" w:rsidP="00BF3C11">
      <w:pPr>
        <w:jc w:val="both"/>
        <w:rPr>
          <w:i/>
          <w:lang w:val="de-DE"/>
        </w:rPr>
      </w:pPr>
      <w:r w:rsidRPr="004676F5">
        <w:rPr>
          <w:i/>
          <w:lang w:val="de-DE"/>
        </w:rPr>
        <w:t>[</w:t>
      </w:r>
      <w:r w:rsidR="00BE0A56" w:rsidRPr="004676F5">
        <w:rPr>
          <w:i/>
          <w:lang w:val="de-DE"/>
        </w:rPr>
        <w:t>Art. </w:t>
      </w:r>
      <w:r w:rsidRPr="004676F5">
        <w:rPr>
          <w:i/>
          <w:lang w:val="de-DE"/>
        </w:rPr>
        <w:t xml:space="preserve">XI.288 Abs. 1 abgeändert durch </w:t>
      </w:r>
      <w:r w:rsidR="00BE0A56" w:rsidRPr="004676F5">
        <w:rPr>
          <w:i/>
          <w:lang w:val="de-DE"/>
        </w:rPr>
        <w:t>Art. </w:t>
      </w:r>
      <w:r w:rsidRPr="004676F5">
        <w:rPr>
          <w:i/>
          <w:lang w:val="de-DE"/>
        </w:rPr>
        <w:t>32 des G. vom 29. Juni 2016 (B.S. vom 6. Juli 2016)]</w:t>
      </w:r>
    </w:p>
    <w:p w14:paraId="0B9C66B5" w14:textId="77777777" w:rsidR="00BF3C11" w:rsidRPr="004676F5" w:rsidRDefault="00BF3C11" w:rsidP="00BF3C11">
      <w:pPr>
        <w:jc w:val="both"/>
        <w:rPr>
          <w:lang w:val="de-DE"/>
        </w:rPr>
      </w:pPr>
    </w:p>
    <w:p w14:paraId="0A1CDAB7" w14:textId="77777777" w:rsidR="00BF3C11" w:rsidRPr="004676F5" w:rsidRDefault="00BF3C11">
      <w:pPr>
        <w:rPr>
          <w:lang w:val="de-DE"/>
        </w:rPr>
      </w:pPr>
      <w:r w:rsidRPr="004676F5">
        <w:rPr>
          <w:lang w:val="de-DE"/>
        </w:rPr>
        <w:br w:type="page"/>
      </w:r>
    </w:p>
    <w:p w14:paraId="0FFF515C" w14:textId="632B6A6B" w:rsidR="001527B1" w:rsidRPr="004676F5" w:rsidRDefault="001527B1" w:rsidP="001527B1">
      <w:pPr>
        <w:jc w:val="center"/>
        <w:rPr>
          <w:lang w:val="de-DE"/>
        </w:rPr>
      </w:pPr>
      <w:r w:rsidRPr="004676F5">
        <w:rPr>
          <w:lang w:val="de-DE"/>
        </w:rPr>
        <w:lastRenderedPageBreak/>
        <w:t>KAPITEL 11 </w:t>
      </w:r>
      <w:r w:rsidR="005B7A5C" w:rsidRPr="004676F5">
        <w:rPr>
          <w:lang w:val="de-DE"/>
        </w:rPr>
        <w:t>- </w:t>
      </w:r>
      <w:r w:rsidRPr="004676F5">
        <w:rPr>
          <w:i/>
          <w:lang w:val="de-DE"/>
        </w:rPr>
        <w:t>Anwendungsbereich</w:t>
      </w:r>
    </w:p>
    <w:p w14:paraId="50E0F6B6" w14:textId="77777777" w:rsidR="001527B1" w:rsidRPr="004676F5" w:rsidRDefault="001527B1" w:rsidP="001527B1">
      <w:pPr>
        <w:ind w:firstLine="708"/>
        <w:jc w:val="both"/>
        <w:rPr>
          <w:lang w:val="de-DE"/>
        </w:rPr>
      </w:pPr>
    </w:p>
    <w:p w14:paraId="6165781C" w14:textId="77777777" w:rsidR="00355502" w:rsidRPr="004676F5" w:rsidRDefault="00355502" w:rsidP="001527B1">
      <w:pPr>
        <w:ind w:firstLine="708"/>
        <w:jc w:val="both"/>
        <w:rPr>
          <w:lang w:val="de-DE"/>
        </w:rPr>
      </w:pPr>
    </w:p>
    <w:p w14:paraId="0CBDBBC4" w14:textId="3E5C6DDC" w:rsidR="001527B1" w:rsidRPr="004676F5" w:rsidRDefault="00BE0A56" w:rsidP="001527B1">
      <w:pPr>
        <w:ind w:firstLine="708"/>
        <w:jc w:val="both"/>
        <w:rPr>
          <w:lang w:val="de-DE"/>
        </w:rPr>
      </w:pPr>
      <w:r w:rsidRPr="004676F5">
        <w:rPr>
          <w:b/>
          <w:lang w:val="de-DE"/>
        </w:rPr>
        <w:t>Art. </w:t>
      </w:r>
      <w:r w:rsidR="001527B1" w:rsidRPr="004676F5">
        <w:rPr>
          <w:b/>
          <w:lang w:val="de-DE"/>
        </w:rPr>
        <w:t>XI.289</w:t>
      </w:r>
      <w:r w:rsidR="001527B1" w:rsidRPr="004676F5">
        <w:rPr>
          <w:lang w:val="de-DE"/>
        </w:rPr>
        <w:t> </w:t>
      </w:r>
      <w:r w:rsidR="005B7A5C" w:rsidRPr="004676F5">
        <w:rPr>
          <w:lang w:val="de-DE"/>
        </w:rPr>
        <w:t>- </w:t>
      </w:r>
      <w:r w:rsidR="001527B1" w:rsidRPr="004676F5">
        <w:rPr>
          <w:lang w:val="de-DE"/>
        </w:rPr>
        <w:t>Unbeschadet der Bestimmungen internationaler Übereinkommen gelten die in vorliegendem Titel gewährleisteten Rechte in Belgien auch für ausländische Urheber und ausländische Inhaber von verwandten Schutzrechten, dies jedoch nicht über den durch das belgische Gesetz bestimmten Zeitraum hinaus.</w:t>
      </w:r>
    </w:p>
    <w:p w14:paraId="65D90FC3" w14:textId="77777777" w:rsidR="001527B1" w:rsidRPr="004676F5" w:rsidRDefault="001527B1" w:rsidP="001527B1">
      <w:pPr>
        <w:ind w:firstLine="708"/>
        <w:jc w:val="both"/>
        <w:rPr>
          <w:lang w:val="de-DE"/>
        </w:rPr>
      </w:pPr>
    </w:p>
    <w:p w14:paraId="533EA992" w14:textId="77777777" w:rsidR="001527B1" w:rsidRPr="004676F5" w:rsidRDefault="001527B1" w:rsidP="001527B1">
      <w:pPr>
        <w:ind w:firstLine="708"/>
        <w:jc w:val="both"/>
        <w:rPr>
          <w:lang w:val="de-DE"/>
        </w:rPr>
      </w:pPr>
      <w:r w:rsidRPr="004676F5">
        <w:rPr>
          <w:lang w:val="de-DE"/>
        </w:rPr>
        <w:t>Wenn diese Rechte hingegen in ihrem Land früher erlöschen, erlöschen sie zum selben Zeitpunkt auch in Belgien.</w:t>
      </w:r>
    </w:p>
    <w:p w14:paraId="25FC17F0" w14:textId="77777777" w:rsidR="001527B1" w:rsidRPr="004676F5" w:rsidRDefault="001527B1" w:rsidP="001527B1">
      <w:pPr>
        <w:ind w:firstLine="708"/>
        <w:jc w:val="both"/>
        <w:rPr>
          <w:lang w:val="de-DE"/>
        </w:rPr>
      </w:pPr>
    </w:p>
    <w:p w14:paraId="532F1A1E" w14:textId="77777777" w:rsidR="001527B1" w:rsidRPr="004676F5" w:rsidRDefault="001527B1" w:rsidP="001527B1">
      <w:pPr>
        <w:ind w:firstLine="708"/>
        <w:jc w:val="both"/>
        <w:rPr>
          <w:lang w:val="de-DE"/>
        </w:rPr>
      </w:pPr>
      <w:r w:rsidRPr="004676F5">
        <w:rPr>
          <w:lang w:val="de-DE"/>
        </w:rPr>
        <w:t>Wird festgestellt, dass belgische Urheber und belgische Inhaber von verwandten Schutzrechten in einem anderen Land weniger Schutz genießen, gelten die Bestimmungen des vorliegenden Titels darüber hinaus nur in entsprechendem Maße für Staatsangehörige dieses Landes.</w:t>
      </w:r>
    </w:p>
    <w:p w14:paraId="5109D91F" w14:textId="77777777" w:rsidR="001527B1" w:rsidRPr="004676F5" w:rsidRDefault="001527B1" w:rsidP="001527B1">
      <w:pPr>
        <w:ind w:firstLine="708"/>
        <w:jc w:val="both"/>
        <w:rPr>
          <w:lang w:val="de-DE"/>
        </w:rPr>
      </w:pPr>
    </w:p>
    <w:p w14:paraId="01DB6D81" w14:textId="3033DE55" w:rsidR="001527B1" w:rsidRPr="004676F5" w:rsidRDefault="001527B1" w:rsidP="001527B1">
      <w:pPr>
        <w:ind w:firstLine="708"/>
        <w:jc w:val="both"/>
        <w:rPr>
          <w:lang w:val="de-DE"/>
        </w:rPr>
      </w:pPr>
      <w:r w:rsidRPr="004676F5">
        <w:rPr>
          <w:lang w:val="de-DE"/>
        </w:rPr>
        <w:t xml:space="preserve">Ungeachtet des Absatzes 1 wird der Grundsatz der Gegenseitigkeit auf Ansprüche auf Vergütung angewandt, die Verlegern, ausübenden Künstlern, Produzenten von Tonträgern und Produzenten von Erstaufzeichnungen von Filmen zustehen und in </w:t>
      </w:r>
      <w:r w:rsidR="00155758" w:rsidRPr="004676F5">
        <w:rPr>
          <w:lang w:val="de-DE"/>
        </w:rPr>
        <w:t>[den Artikeln XI.229, XI.240, XI.243, XI.318/1 und XI.318/7]</w:t>
      </w:r>
      <w:r w:rsidRPr="004676F5">
        <w:rPr>
          <w:lang w:val="de-DE"/>
        </w:rPr>
        <w:t xml:space="preserve"> erwähnt sind, dies unbeschadet des Vertrags über die Europäische Union.</w:t>
      </w:r>
    </w:p>
    <w:p w14:paraId="01B6BA4B" w14:textId="77777777" w:rsidR="00155758" w:rsidRPr="004676F5" w:rsidRDefault="00155758" w:rsidP="001527B1">
      <w:pPr>
        <w:ind w:firstLine="708"/>
        <w:jc w:val="both"/>
        <w:rPr>
          <w:lang w:val="de-DE"/>
        </w:rPr>
      </w:pPr>
    </w:p>
    <w:p w14:paraId="0475F9B5" w14:textId="5527A501" w:rsidR="00155758" w:rsidRPr="004676F5" w:rsidRDefault="00155758" w:rsidP="00155758">
      <w:pPr>
        <w:jc w:val="both"/>
        <w:rPr>
          <w:i/>
          <w:iCs/>
          <w:lang w:val="de-DE"/>
        </w:rPr>
      </w:pPr>
      <w:r w:rsidRPr="004676F5">
        <w:rPr>
          <w:i/>
          <w:iCs/>
          <w:lang w:val="de-DE"/>
        </w:rPr>
        <w:t>[Art. XI.289 Abs. 4 abgeändert durch Art. 73 des G. vom 19. Juni 2022 (B.S. vom 1. August 2022)]</w:t>
      </w:r>
    </w:p>
    <w:p w14:paraId="5A04AF46" w14:textId="77777777" w:rsidR="001527B1" w:rsidRPr="004676F5" w:rsidRDefault="001527B1" w:rsidP="001527B1">
      <w:pPr>
        <w:rPr>
          <w:lang w:val="de-DE"/>
        </w:rPr>
      </w:pPr>
    </w:p>
    <w:p w14:paraId="00C5003B" w14:textId="77777777" w:rsidR="00355502" w:rsidRPr="004676F5" w:rsidRDefault="00355502" w:rsidP="001527B1">
      <w:pPr>
        <w:rPr>
          <w:lang w:val="de-DE"/>
        </w:rPr>
      </w:pPr>
    </w:p>
    <w:p w14:paraId="20A67BDA" w14:textId="4C305FE9" w:rsidR="001527B1" w:rsidRPr="004676F5" w:rsidRDefault="00BE0A56" w:rsidP="001527B1">
      <w:pPr>
        <w:ind w:firstLine="708"/>
        <w:jc w:val="both"/>
        <w:rPr>
          <w:lang w:val="de-DE"/>
        </w:rPr>
      </w:pPr>
      <w:r w:rsidRPr="004676F5">
        <w:rPr>
          <w:b/>
          <w:lang w:val="de-DE"/>
        </w:rPr>
        <w:t>Art. </w:t>
      </w:r>
      <w:r w:rsidR="001527B1" w:rsidRPr="004676F5">
        <w:rPr>
          <w:b/>
          <w:lang w:val="de-DE"/>
        </w:rPr>
        <w:t>XI.290</w:t>
      </w:r>
      <w:r w:rsidR="001527B1" w:rsidRPr="004676F5">
        <w:rPr>
          <w:lang w:val="de-DE"/>
        </w:rPr>
        <w:t> </w:t>
      </w:r>
      <w:r w:rsidR="005B7A5C" w:rsidRPr="004676F5">
        <w:rPr>
          <w:lang w:val="de-DE"/>
        </w:rPr>
        <w:t>- </w:t>
      </w:r>
      <w:r w:rsidR="001527B1" w:rsidRPr="004676F5">
        <w:rPr>
          <w:lang w:val="de-DE"/>
        </w:rPr>
        <w:t>Belgische Urheber können zu ihren Gunsten in Belgien die Anwendung der Bestimmungen beanspruchen:</w:t>
      </w:r>
    </w:p>
    <w:p w14:paraId="2DEA1850" w14:textId="77777777" w:rsidR="001527B1" w:rsidRPr="004676F5" w:rsidRDefault="001527B1" w:rsidP="001527B1">
      <w:pPr>
        <w:ind w:firstLine="708"/>
        <w:jc w:val="both"/>
        <w:rPr>
          <w:lang w:val="de-DE"/>
        </w:rPr>
      </w:pPr>
    </w:p>
    <w:p w14:paraId="08B38A4C" w14:textId="77777777" w:rsidR="001527B1" w:rsidRPr="004676F5" w:rsidRDefault="001527B1" w:rsidP="001527B1">
      <w:pPr>
        <w:ind w:firstLine="708"/>
        <w:jc w:val="both"/>
        <w:rPr>
          <w:lang w:val="de-DE"/>
        </w:rPr>
      </w:pPr>
      <w:r w:rsidRPr="004676F5">
        <w:rPr>
          <w:lang w:val="de-DE"/>
        </w:rPr>
        <w:t>1. der Berner Übereinkunft und</w:t>
      </w:r>
    </w:p>
    <w:p w14:paraId="6ACD3D8B" w14:textId="77777777" w:rsidR="001527B1" w:rsidRPr="004676F5" w:rsidRDefault="001527B1" w:rsidP="001527B1">
      <w:pPr>
        <w:ind w:firstLine="708"/>
        <w:jc w:val="both"/>
        <w:rPr>
          <w:lang w:val="de-DE"/>
        </w:rPr>
      </w:pPr>
    </w:p>
    <w:p w14:paraId="5EBEDAF8" w14:textId="77777777" w:rsidR="001527B1" w:rsidRPr="004676F5" w:rsidRDefault="001527B1" w:rsidP="001527B1">
      <w:pPr>
        <w:ind w:firstLine="708"/>
        <w:jc w:val="both"/>
        <w:rPr>
          <w:lang w:val="de-DE"/>
        </w:rPr>
      </w:pPr>
      <w:r w:rsidRPr="004676F5">
        <w:rPr>
          <w:lang w:val="de-DE"/>
        </w:rPr>
        <w:t>2. des am 20. Dezember 1996 in Genf angenommenen Urheberrechtsvertrags der Weltorganisation für geistiges Eigentum (WCT) in allen Fällen, in denen diese Be</w:t>
      </w:r>
      <w:r w:rsidRPr="004676F5">
        <w:rPr>
          <w:lang w:val="de-DE"/>
        </w:rPr>
        <w:softHyphen/>
        <w:t>stimmungen für sie günstiger sind als das belgische Gesetz.</w:t>
      </w:r>
    </w:p>
    <w:p w14:paraId="5AE339AE" w14:textId="77777777" w:rsidR="001527B1" w:rsidRPr="004676F5" w:rsidRDefault="001527B1" w:rsidP="001527B1">
      <w:pPr>
        <w:ind w:firstLine="708"/>
        <w:jc w:val="both"/>
        <w:rPr>
          <w:lang w:val="de-DE"/>
        </w:rPr>
      </w:pPr>
    </w:p>
    <w:p w14:paraId="5A289D07" w14:textId="77777777" w:rsidR="001527B1" w:rsidRPr="004676F5" w:rsidRDefault="001527B1" w:rsidP="001527B1">
      <w:pPr>
        <w:ind w:firstLine="708"/>
        <w:jc w:val="both"/>
        <w:rPr>
          <w:lang w:val="de-DE"/>
        </w:rPr>
      </w:pPr>
      <w:r w:rsidRPr="004676F5">
        <w:rPr>
          <w:lang w:val="de-DE"/>
        </w:rPr>
        <w:t>Belgische Inhaber von verwandten Schutzrechten können zu ihren Gunsten in Belgien die Anwendung der Bestimmungen des am 26. Oktober 1961 in Rom abgeschlossenen Internationalen Abkommens über den Schutz der ausübenden Künstler, der Hersteller von Tonträgern und der Sendeunternehmen beanspruchen in allen Fällen, in denen diese Bestimmungen für sie günstiger sind als das belgische Gesetz.</w:t>
      </w:r>
    </w:p>
    <w:p w14:paraId="631D070F" w14:textId="77777777" w:rsidR="001527B1" w:rsidRPr="004676F5" w:rsidRDefault="001527B1" w:rsidP="001527B1">
      <w:pPr>
        <w:ind w:firstLine="708"/>
        <w:jc w:val="both"/>
        <w:rPr>
          <w:lang w:val="de-DE"/>
        </w:rPr>
      </w:pPr>
    </w:p>
    <w:p w14:paraId="6BA4AB67" w14:textId="77777777" w:rsidR="001527B1" w:rsidRPr="004676F5" w:rsidRDefault="001527B1" w:rsidP="001527B1">
      <w:pPr>
        <w:ind w:firstLine="708"/>
        <w:jc w:val="both"/>
        <w:rPr>
          <w:lang w:val="de-DE"/>
        </w:rPr>
      </w:pPr>
      <w:r w:rsidRPr="004676F5">
        <w:rPr>
          <w:lang w:val="de-DE"/>
        </w:rPr>
        <w:t>Belgische ausübende Künstler und Produzenten von Tonträgern können zu ihren Gunsten in Belgien die Anwendung der Bestimmungen des am 20. Dezember 1996 in Genf angenommenen Vertrags der Weltorganisation für geistiges Eigentum über Darbietungen und Tonträger (WPPT) beanspruchen in allen Fällen, in denen diese Bestimmungen für sie günstiger sind als das belgische Gesetz.</w:t>
      </w:r>
    </w:p>
    <w:p w14:paraId="27509045" w14:textId="77777777" w:rsidR="001527B1" w:rsidRPr="004676F5" w:rsidRDefault="001527B1" w:rsidP="001527B1">
      <w:pPr>
        <w:ind w:firstLine="708"/>
        <w:jc w:val="both"/>
        <w:rPr>
          <w:lang w:val="de-DE"/>
        </w:rPr>
      </w:pPr>
    </w:p>
    <w:p w14:paraId="58BB78AA" w14:textId="77777777" w:rsidR="00355502" w:rsidRPr="004676F5" w:rsidRDefault="00355502">
      <w:pPr>
        <w:rPr>
          <w:lang w:val="de-DE"/>
        </w:rPr>
      </w:pPr>
      <w:r w:rsidRPr="004676F5">
        <w:rPr>
          <w:lang w:val="de-DE"/>
        </w:rPr>
        <w:br w:type="page"/>
      </w:r>
    </w:p>
    <w:p w14:paraId="2B10E42E" w14:textId="7C44AAFE" w:rsidR="001527B1" w:rsidRPr="004676F5" w:rsidRDefault="001527B1" w:rsidP="001527B1">
      <w:pPr>
        <w:jc w:val="center"/>
        <w:rPr>
          <w:i/>
          <w:lang w:val="de-DE"/>
        </w:rPr>
      </w:pPr>
      <w:r w:rsidRPr="004676F5">
        <w:rPr>
          <w:lang w:val="de-DE"/>
        </w:rPr>
        <w:lastRenderedPageBreak/>
        <w:t>KAPITEL 12 </w:t>
      </w:r>
      <w:r w:rsidR="005B7A5C" w:rsidRPr="004676F5">
        <w:rPr>
          <w:lang w:val="de-DE"/>
        </w:rPr>
        <w:t>- </w:t>
      </w:r>
      <w:r w:rsidRPr="004676F5">
        <w:rPr>
          <w:i/>
          <w:lang w:val="de-DE"/>
        </w:rPr>
        <w:t>Rechtlicher Schutz von technischen Maßnahmen und von Informationen für die Rechtewahrnehmung</w:t>
      </w:r>
    </w:p>
    <w:p w14:paraId="420E8B0F" w14:textId="77777777" w:rsidR="001527B1" w:rsidRPr="004676F5" w:rsidRDefault="001527B1" w:rsidP="001527B1">
      <w:pPr>
        <w:ind w:firstLine="708"/>
        <w:jc w:val="both"/>
        <w:rPr>
          <w:lang w:val="de-DE"/>
        </w:rPr>
      </w:pPr>
    </w:p>
    <w:p w14:paraId="42F989D4" w14:textId="77777777" w:rsidR="00355502" w:rsidRPr="004676F5" w:rsidRDefault="00355502" w:rsidP="001527B1">
      <w:pPr>
        <w:ind w:firstLine="708"/>
        <w:jc w:val="both"/>
        <w:rPr>
          <w:lang w:val="de-DE"/>
        </w:rPr>
      </w:pPr>
    </w:p>
    <w:p w14:paraId="7A295983" w14:textId="67B8B41A" w:rsidR="001527B1" w:rsidRPr="004676F5" w:rsidRDefault="00BE0A56" w:rsidP="001527B1">
      <w:pPr>
        <w:ind w:firstLine="708"/>
        <w:jc w:val="both"/>
        <w:rPr>
          <w:lang w:val="de-DE"/>
        </w:rPr>
      </w:pPr>
      <w:r w:rsidRPr="004676F5">
        <w:rPr>
          <w:b/>
          <w:lang w:val="de-DE"/>
        </w:rPr>
        <w:t>Art. </w:t>
      </w:r>
      <w:r w:rsidR="001527B1" w:rsidRPr="004676F5">
        <w:rPr>
          <w:b/>
          <w:lang w:val="de-DE"/>
        </w:rPr>
        <w:t>XI.291</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 wirksame technische Maßnahmen umgeht und dem bekannt ist oder den Umständen nach bekannt sein muss, dass er dadurch das Begehen der in Artikel XI.293 erwähnten Verstöße eventuell erleichtert, begeht eine Straftat. Die Umgehung technischer Maßnahmen, die gemäß oder aufgrund des vorliegenden Artikels oder gemäß den Artikeln XI.336 und XVII.15 § 1 angewandt werden, gilt als Erleichterung der Begehung der in Artikel XI.293 erwähnten Verstöße.</w:t>
      </w:r>
    </w:p>
    <w:p w14:paraId="1F5BEC14" w14:textId="77777777" w:rsidR="001527B1" w:rsidRPr="004676F5" w:rsidRDefault="001527B1" w:rsidP="001527B1">
      <w:pPr>
        <w:ind w:firstLine="708"/>
        <w:jc w:val="both"/>
        <w:rPr>
          <w:lang w:val="de-DE"/>
        </w:rPr>
      </w:pPr>
    </w:p>
    <w:p w14:paraId="247C8DEA" w14:textId="77777777" w:rsidR="001527B1" w:rsidRPr="004676F5" w:rsidRDefault="001527B1" w:rsidP="001527B1">
      <w:pPr>
        <w:ind w:firstLine="708"/>
        <w:jc w:val="both"/>
        <w:rPr>
          <w:lang w:val="de-DE"/>
        </w:rPr>
      </w:pPr>
      <w:r w:rsidRPr="004676F5">
        <w:rPr>
          <w:lang w:val="de-DE"/>
        </w:rPr>
        <w:t>Wer Vorrichtungen, Erzeugnisse oder Bestandteile herstellt, einführt, verbreitet, verkauft oder vermietet, im Hinblick auf Verkauf oder Vermietung dafür wirbt oder sie zu kommerziellen Zwecken besitzt oder wer Leistungen erbringt:</w:t>
      </w:r>
    </w:p>
    <w:p w14:paraId="595D0AE5" w14:textId="77777777" w:rsidR="001527B1" w:rsidRPr="004676F5" w:rsidRDefault="001527B1" w:rsidP="001527B1">
      <w:pPr>
        <w:ind w:firstLine="708"/>
        <w:jc w:val="both"/>
        <w:rPr>
          <w:lang w:val="de-DE"/>
        </w:rPr>
      </w:pPr>
    </w:p>
    <w:p w14:paraId="6177D891" w14:textId="77777777" w:rsidR="001527B1" w:rsidRPr="004676F5" w:rsidRDefault="001527B1" w:rsidP="001527B1">
      <w:pPr>
        <w:ind w:firstLine="708"/>
        <w:jc w:val="both"/>
        <w:rPr>
          <w:lang w:val="de-DE"/>
        </w:rPr>
      </w:pPr>
      <w:r w:rsidRPr="004676F5">
        <w:rPr>
          <w:lang w:val="de-DE"/>
        </w:rPr>
        <w:t>1. die Gegenstand einer Verkaufsförderung, Werbung oder Vermarktung mit dem Ziel der Umgehung wirksamer technischer Maßnahmen sind oder</w:t>
      </w:r>
    </w:p>
    <w:p w14:paraId="4DBC29A9" w14:textId="77777777" w:rsidR="001527B1" w:rsidRPr="004676F5" w:rsidRDefault="001527B1" w:rsidP="001527B1">
      <w:pPr>
        <w:ind w:firstLine="708"/>
        <w:jc w:val="both"/>
        <w:rPr>
          <w:lang w:val="de-DE"/>
        </w:rPr>
      </w:pPr>
    </w:p>
    <w:p w14:paraId="46972351" w14:textId="77777777" w:rsidR="001527B1" w:rsidRPr="004676F5" w:rsidRDefault="001527B1" w:rsidP="001527B1">
      <w:pPr>
        <w:ind w:firstLine="708"/>
        <w:jc w:val="both"/>
        <w:rPr>
          <w:lang w:val="de-DE"/>
        </w:rPr>
      </w:pPr>
      <w:r w:rsidRPr="004676F5">
        <w:rPr>
          <w:lang w:val="de-DE"/>
        </w:rPr>
        <w:t>2. die abgesehen von der Umgehung wirksamer technischer Maßnahmen nur einen begrenzten wirtschaftlichen Zweck oder Nutzen haben oder</w:t>
      </w:r>
    </w:p>
    <w:p w14:paraId="2F32BBFC" w14:textId="77777777" w:rsidR="001527B1" w:rsidRPr="004676F5" w:rsidRDefault="001527B1" w:rsidP="001527B1">
      <w:pPr>
        <w:ind w:firstLine="708"/>
        <w:jc w:val="both"/>
        <w:rPr>
          <w:lang w:val="de-DE"/>
        </w:rPr>
      </w:pPr>
    </w:p>
    <w:p w14:paraId="4862790E" w14:textId="77777777" w:rsidR="001527B1" w:rsidRPr="004676F5" w:rsidRDefault="001527B1" w:rsidP="001527B1">
      <w:pPr>
        <w:ind w:firstLine="708"/>
        <w:jc w:val="both"/>
        <w:rPr>
          <w:lang w:val="de-DE"/>
        </w:rPr>
      </w:pPr>
      <w:r w:rsidRPr="004676F5">
        <w:rPr>
          <w:lang w:val="de-DE"/>
        </w:rPr>
        <w:t>3. die hauptsächlich entworfen, hergestellt, angepasst oder erbracht werden, um die Umgehung wirksamer technischer Maßnahmen zu ermöglichen oder zu erleichtern, begeht eine Straftat.</w:t>
      </w:r>
    </w:p>
    <w:p w14:paraId="04CAE502" w14:textId="77777777" w:rsidR="001527B1" w:rsidRPr="004676F5" w:rsidRDefault="001527B1" w:rsidP="001527B1">
      <w:pPr>
        <w:ind w:firstLine="708"/>
        <w:jc w:val="both"/>
        <w:rPr>
          <w:lang w:val="de-DE"/>
        </w:rPr>
      </w:pPr>
    </w:p>
    <w:p w14:paraId="76C025CF" w14:textId="77777777" w:rsidR="001527B1" w:rsidRPr="004676F5" w:rsidRDefault="001527B1" w:rsidP="001527B1">
      <w:pPr>
        <w:ind w:firstLine="708"/>
        <w:jc w:val="both"/>
        <w:rPr>
          <w:lang w:val="de-DE"/>
        </w:rPr>
      </w:pPr>
      <w:r w:rsidRPr="004676F5">
        <w:rPr>
          <w:lang w:val="de-DE"/>
        </w:rPr>
        <w:t>Technische Maßnahmen sind als wirksam im Sinne der Absätze 1 und 2 anzusehen, soweit die Benutzung eines Werkes oder einer Leistung von den Rechtsinhabern durch eine Zugangskontrolle oder einen Schutzmechanismus wie Verschlüsselung, Verzerrung oder sonstige Umwandlung des Werkes oder der Leistung oder einen Mechanismus zur Kontrolle der Vervielfältigung, die die Erreichung des Schutzziels sicherstellen, unter Kontrolle gehalten wird.</w:t>
      </w:r>
    </w:p>
    <w:p w14:paraId="44777D38" w14:textId="77777777" w:rsidR="001527B1" w:rsidRPr="004676F5" w:rsidRDefault="001527B1" w:rsidP="001527B1">
      <w:pPr>
        <w:ind w:firstLine="708"/>
        <w:jc w:val="both"/>
        <w:rPr>
          <w:lang w:val="de-DE"/>
        </w:rPr>
      </w:pPr>
    </w:p>
    <w:p w14:paraId="370BB379" w14:textId="07FA1BF8" w:rsidR="001527B1" w:rsidRPr="004676F5" w:rsidRDefault="001527B1" w:rsidP="001527B1">
      <w:pPr>
        <w:ind w:firstLine="708"/>
        <w:jc w:val="both"/>
        <w:rPr>
          <w:lang w:val="de-DE"/>
        </w:rPr>
      </w:pPr>
      <w:r w:rsidRPr="004676F5">
        <w:rPr>
          <w:lang w:val="de-DE"/>
        </w:rPr>
        <w:t>§ 2 </w:t>
      </w:r>
      <w:r w:rsidR="005B7A5C" w:rsidRPr="004676F5">
        <w:rPr>
          <w:lang w:val="de-DE"/>
        </w:rPr>
        <w:t>- </w:t>
      </w:r>
      <w:r w:rsidR="00A22769" w:rsidRPr="004676F5">
        <w:rPr>
          <w:lang w:val="de-DE"/>
        </w:rPr>
        <w:t>[Binnen einer annehmbaren Frist ergreifen Rechtsinhaber freiwillige geeignete Maßnahmen einschließlich Vereinbarungen mit anderen betroffenen Parteien, um dem Nutzer eines Werkes oder einer Leistung die notwendigen Mittel zur Nutzung der Ausnahmen zur Verfügung zu stellen, die in Artikel XI.190 Nr. 5, 12, 14, 15, 17, 18, 19, 20 und 21, Artikel XI.191 § 1 Nr. 1 und 5, Artikel XI.191/1 § 1 Nr. 3, 4, 5, 7 und 8, Artikel XI.191/2 § 1 Nr. 1 bis 4, Artikel XI.192 § 1 Absatz 2, Artikel XI.217 Nr. 11, 13, 14, 16, 17, 18, 19 und 20, Artikel XI.217/1 Nr. 3, 4, 6 und 7, Artikel XI.218 § 1 Absatz 2, Artikel XI.299 §§ 4 bis 7 und Artikel XI.310 §§ 2 bis 5 vorgesehen sind, soweit dieser rechtmäßig Zugang zu dem Werk oder der Leistung hat, die durch technische Maßnahmen geschützt sind.]</w:t>
      </w:r>
    </w:p>
    <w:p w14:paraId="56F0F289" w14:textId="77777777" w:rsidR="001527B1" w:rsidRPr="004676F5" w:rsidRDefault="001527B1" w:rsidP="001527B1">
      <w:pPr>
        <w:ind w:firstLine="708"/>
        <w:jc w:val="both"/>
        <w:rPr>
          <w:lang w:val="de-DE"/>
        </w:rPr>
      </w:pPr>
    </w:p>
    <w:p w14:paraId="749559D8" w14:textId="77777777" w:rsidR="001527B1" w:rsidRPr="004676F5" w:rsidRDefault="001527B1" w:rsidP="001527B1">
      <w:pPr>
        <w:ind w:firstLine="708"/>
        <w:jc w:val="both"/>
        <w:rPr>
          <w:lang w:val="de-DE"/>
        </w:rPr>
      </w:pPr>
      <w:r w:rsidRPr="004676F5">
        <w:rPr>
          <w:lang w:val="de-DE"/>
        </w:rPr>
        <w:t>Durch einen im Ministerrat beratenen Erlass kann der König gemäß den von Ihm festgelegten Bedingungen die in Absatz 1 erwähnte Liste von Bestimmungen auf die Artikel XI.190 Nr. 9 und XI.217 Nr. 7 ausdehnen, insofern die normale Verwertung der Werke oder Leistungen nicht beeinträchtigt wird und die berechtigten Interessen der Rechtsinhaber nicht ungebührlich verletzt werden.</w:t>
      </w:r>
    </w:p>
    <w:p w14:paraId="20A498C6" w14:textId="77777777" w:rsidR="001527B1" w:rsidRPr="004676F5" w:rsidRDefault="001527B1" w:rsidP="001527B1">
      <w:pPr>
        <w:ind w:firstLine="708"/>
        <w:jc w:val="both"/>
        <w:rPr>
          <w:lang w:val="de-DE"/>
        </w:rPr>
      </w:pPr>
    </w:p>
    <w:p w14:paraId="6585AD95" w14:textId="6FB2C1D9"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Paragraph 2 findet keine Anwendung auf Werke und Leistungen, die der Öffentlichkeit aufgrund einer vertraglichen Vereinbarung in einer Weise zugänglich gemacht werden, dass sie Mitgliedern der Öffentlichkeit von Orten und zu Zeiten ihrer Wahl zugänglich sind.</w:t>
      </w:r>
    </w:p>
    <w:p w14:paraId="54611C2C" w14:textId="77777777" w:rsidR="001527B1" w:rsidRPr="004676F5" w:rsidRDefault="001527B1" w:rsidP="001527B1">
      <w:pPr>
        <w:ind w:firstLine="708"/>
        <w:jc w:val="both"/>
        <w:rPr>
          <w:lang w:val="de-DE"/>
        </w:rPr>
      </w:pPr>
    </w:p>
    <w:p w14:paraId="2C82A52B" w14:textId="66854C84"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In § 1 und Artikel I.13 erwähnte technische Schutzmaßnahmen dürfen recht</w:t>
      </w:r>
      <w:r w:rsidRPr="004676F5">
        <w:rPr>
          <w:lang w:val="de-DE"/>
        </w:rPr>
        <w:softHyphen/>
        <w:t>mäßige Erwerber von geschützten Werken und Leistungen nicht daran hindern, diese Werke und Leistungen gemäß ihrer normalen Bestimmung zu benutzen.</w:t>
      </w:r>
    </w:p>
    <w:p w14:paraId="2B072CA7" w14:textId="7669D85A" w:rsidR="001527B1" w:rsidRPr="004676F5" w:rsidRDefault="00B1340F" w:rsidP="001527B1">
      <w:pPr>
        <w:ind w:firstLine="708"/>
        <w:jc w:val="both"/>
        <w:rPr>
          <w:i/>
          <w:lang w:val="de-DE"/>
        </w:rPr>
      </w:pPr>
      <w:r w:rsidRPr="004676F5">
        <w:rPr>
          <w:lang w:val="de-DE"/>
        </w:rPr>
        <w:br/>
      </w:r>
      <w:r w:rsidRPr="004676F5">
        <w:rPr>
          <w:i/>
          <w:iCs/>
          <w:lang w:val="de-DE"/>
        </w:rPr>
        <w:t xml:space="preserve">[Art. XI.291 § 2 Abs. 1 </w:t>
      </w:r>
      <w:r w:rsidR="00A22769" w:rsidRPr="004676F5">
        <w:rPr>
          <w:i/>
          <w:iCs/>
          <w:lang w:val="de-DE"/>
        </w:rPr>
        <w:t>ersetzt durch Art. 74 des G. vom 19. Juni 2022 (B.S. vom 1. August 2022)</w:t>
      </w:r>
      <w:r w:rsidRPr="004676F5">
        <w:rPr>
          <w:i/>
          <w:lang w:val="de-DE"/>
        </w:rPr>
        <w:t>]</w:t>
      </w:r>
    </w:p>
    <w:p w14:paraId="5E155D37" w14:textId="77777777" w:rsidR="00B1340F" w:rsidRPr="004676F5" w:rsidRDefault="00B1340F" w:rsidP="001527B1">
      <w:pPr>
        <w:ind w:firstLine="708"/>
        <w:jc w:val="both"/>
        <w:rPr>
          <w:i/>
          <w:iCs/>
          <w:lang w:val="de-DE"/>
        </w:rPr>
      </w:pPr>
    </w:p>
    <w:p w14:paraId="4D48C7D4" w14:textId="77777777" w:rsidR="00355502" w:rsidRPr="004676F5" w:rsidRDefault="00355502" w:rsidP="001527B1">
      <w:pPr>
        <w:ind w:firstLine="708"/>
        <w:jc w:val="both"/>
        <w:rPr>
          <w:lang w:val="de-DE"/>
        </w:rPr>
      </w:pPr>
    </w:p>
    <w:p w14:paraId="7C26DC97" w14:textId="330B4248" w:rsidR="001527B1" w:rsidRPr="004676F5" w:rsidRDefault="00BE0A56" w:rsidP="001527B1">
      <w:pPr>
        <w:ind w:firstLine="708"/>
        <w:jc w:val="both"/>
        <w:rPr>
          <w:lang w:val="de-DE"/>
        </w:rPr>
      </w:pPr>
      <w:r w:rsidRPr="004676F5">
        <w:rPr>
          <w:b/>
          <w:lang w:val="de-DE"/>
        </w:rPr>
        <w:t>Art. </w:t>
      </w:r>
      <w:r w:rsidR="001527B1" w:rsidRPr="004676F5">
        <w:rPr>
          <w:b/>
          <w:lang w:val="de-DE"/>
        </w:rPr>
        <w:t>XI.292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 wissentlich unbefugt eine der nachstehenden Handlungen vornimmt:</w:t>
      </w:r>
    </w:p>
    <w:p w14:paraId="79E97F1E" w14:textId="77777777" w:rsidR="001527B1" w:rsidRPr="004676F5" w:rsidRDefault="001527B1" w:rsidP="001527B1">
      <w:pPr>
        <w:ind w:firstLine="708"/>
        <w:jc w:val="both"/>
        <w:rPr>
          <w:lang w:val="de-DE"/>
        </w:rPr>
      </w:pPr>
    </w:p>
    <w:p w14:paraId="0DBEA241" w14:textId="77777777" w:rsidR="001527B1" w:rsidRPr="004676F5" w:rsidRDefault="001527B1" w:rsidP="001527B1">
      <w:pPr>
        <w:ind w:firstLine="708"/>
        <w:jc w:val="both"/>
        <w:rPr>
          <w:lang w:val="de-DE"/>
        </w:rPr>
      </w:pPr>
      <w:r w:rsidRPr="004676F5">
        <w:rPr>
          <w:lang w:val="de-DE"/>
        </w:rPr>
        <w:t>1. Entfernung oder Änderung elektronischer Informationen für die Rechtewahr</w:t>
      </w:r>
      <w:r w:rsidRPr="004676F5">
        <w:rPr>
          <w:lang w:val="de-DE"/>
        </w:rPr>
        <w:softHyphen/>
        <w:t>nehmung und</w:t>
      </w:r>
    </w:p>
    <w:p w14:paraId="656350EE" w14:textId="77777777" w:rsidR="001527B1" w:rsidRPr="004676F5" w:rsidRDefault="001527B1" w:rsidP="001527B1">
      <w:pPr>
        <w:jc w:val="both"/>
        <w:rPr>
          <w:lang w:val="de-DE"/>
        </w:rPr>
      </w:pPr>
    </w:p>
    <w:p w14:paraId="2E24B8F1" w14:textId="77777777" w:rsidR="001527B1" w:rsidRPr="004676F5" w:rsidRDefault="001527B1" w:rsidP="001527B1">
      <w:pPr>
        <w:ind w:firstLine="708"/>
        <w:jc w:val="both"/>
        <w:rPr>
          <w:lang w:val="de-DE"/>
        </w:rPr>
      </w:pPr>
      <w:r w:rsidRPr="004676F5">
        <w:rPr>
          <w:lang w:val="de-DE"/>
        </w:rPr>
        <w:t>2. Verbreitung, Einfuhr zur Verbreitung, Sendung, öffentliche Wiedergabe oder öffent</w:t>
      </w:r>
      <w:r w:rsidRPr="004676F5">
        <w:rPr>
          <w:lang w:val="de-DE"/>
        </w:rPr>
        <w:softHyphen/>
        <w:t>liche Zugänglichmachung von Werken oder Leistungen, bei denen elektronische Informationen für die Rechtewahrnehmung unbefugt entfernt oder geändert wurden, und dem bekannt ist oder den Umständen nach bekannt sein muss, dass er dadurch die Verletzung von Urheberrechten oder verwandten Schutzrechten veranlasst, ermöglicht, erleichtert oder verschleiert, begeht eine Straftat.</w:t>
      </w:r>
    </w:p>
    <w:p w14:paraId="51D7C067" w14:textId="77777777" w:rsidR="001527B1" w:rsidRPr="004676F5" w:rsidRDefault="001527B1" w:rsidP="001527B1">
      <w:pPr>
        <w:ind w:firstLine="708"/>
        <w:jc w:val="both"/>
        <w:rPr>
          <w:lang w:val="de-DE"/>
        </w:rPr>
      </w:pPr>
    </w:p>
    <w:p w14:paraId="5CFD1ADD" w14:textId="1794856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Im Sinne des vorliegenden Artikels bezeichnet der Ausdruck "Informationen für die Rechtewahrnehmung" von Rechtsinhabern stammende Informationen, die das Werk oder die Leistung, den Urheber oder jeden anderen Rechtsinhaber identifizieren. Dieser Ausdruck bezeichnet auch Informationen über Bedingungen und Modalitäten der Benutzung der Werke oder Leistungen und Zahlen oder Codes, durch die derartige Informationen ausgedrückt werden.</w:t>
      </w:r>
    </w:p>
    <w:p w14:paraId="74FC7C41" w14:textId="77777777" w:rsidR="001527B1" w:rsidRPr="004676F5" w:rsidRDefault="001527B1" w:rsidP="001527B1">
      <w:pPr>
        <w:ind w:firstLine="708"/>
        <w:jc w:val="both"/>
        <w:rPr>
          <w:lang w:val="de-DE"/>
        </w:rPr>
      </w:pPr>
    </w:p>
    <w:p w14:paraId="1537C001" w14:textId="77777777" w:rsidR="001527B1" w:rsidRPr="004676F5" w:rsidRDefault="001527B1" w:rsidP="001527B1">
      <w:pPr>
        <w:ind w:firstLine="708"/>
        <w:jc w:val="both"/>
        <w:rPr>
          <w:lang w:val="de-DE"/>
        </w:rPr>
      </w:pPr>
      <w:r w:rsidRPr="004676F5">
        <w:rPr>
          <w:lang w:val="de-DE"/>
        </w:rPr>
        <w:t>Absatz 1 gilt, wenn irgendeine der betreffenden Informationen an einem Verviel</w:t>
      </w:r>
      <w:r w:rsidRPr="004676F5">
        <w:rPr>
          <w:lang w:val="de-DE"/>
        </w:rPr>
        <w:softHyphen/>
        <w:t>fältigungsstück eines Werkes oder einer Leistung angebracht wird oder im Zusammenhang mit der öffentlichen Wiedergabe eines solchen Werkes oder einer solchen Leistung erscheint.</w:t>
      </w:r>
    </w:p>
    <w:p w14:paraId="16CD998B" w14:textId="77777777" w:rsidR="001527B1" w:rsidRPr="004676F5" w:rsidRDefault="001527B1" w:rsidP="001527B1">
      <w:pPr>
        <w:ind w:firstLine="708"/>
        <w:jc w:val="both"/>
        <w:rPr>
          <w:lang w:val="de-DE"/>
        </w:rPr>
      </w:pPr>
    </w:p>
    <w:p w14:paraId="68881F4B" w14:textId="77777777" w:rsidR="00355502" w:rsidRPr="004676F5" w:rsidRDefault="00355502" w:rsidP="001527B1">
      <w:pPr>
        <w:ind w:firstLine="708"/>
        <w:jc w:val="both"/>
        <w:rPr>
          <w:lang w:val="de-DE"/>
        </w:rPr>
      </w:pPr>
    </w:p>
    <w:p w14:paraId="49256A1F" w14:textId="77777777" w:rsidR="00355502" w:rsidRPr="004676F5" w:rsidRDefault="00355502">
      <w:pPr>
        <w:rPr>
          <w:lang w:val="de-DE"/>
        </w:rPr>
      </w:pPr>
      <w:r w:rsidRPr="004676F5">
        <w:rPr>
          <w:lang w:val="de-DE"/>
        </w:rPr>
        <w:br w:type="page"/>
      </w:r>
    </w:p>
    <w:p w14:paraId="3B64F3FD" w14:textId="181B5C3D" w:rsidR="001527B1" w:rsidRPr="004676F5" w:rsidRDefault="001527B1" w:rsidP="001527B1">
      <w:pPr>
        <w:jc w:val="center"/>
        <w:rPr>
          <w:lang w:val="de-DE"/>
        </w:rPr>
      </w:pPr>
      <w:r w:rsidRPr="004676F5">
        <w:rPr>
          <w:lang w:val="de-DE"/>
        </w:rPr>
        <w:lastRenderedPageBreak/>
        <w:t>KAPITEL 13 </w:t>
      </w:r>
      <w:r w:rsidR="005B7A5C" w:rsidRPr="004676F5">
        <w:rPr>
          <w:lang w:val="de-DE"/>
        </w:rPr>
        <w:t>- </w:t>
      </w:r>
      <w:r w:rsidRPr="004676F5">
        <w:rPr>
          <w:i/>
          <w:lang w:val="de-DE"/>
        </w:rPr>
        <w:t>Nachahmung</w:t>
      </w:r>
    </w:p>
    <w:p w14:paraId="2AF10AC0" w14:textId="77777777" w:rsidR="001527B1" w:rsidRPr="004676F5" w:rsidRDefault="001527B1" w:rsidP="001527B1">
      <w:pPr>
        <w:ind w:firstLine="708"/>
        <w:jc w:val="both"/>
        <w:rPr>
          <w:lang w:val="de-DE"/>
        </w:rPr>
      </w:pPr>
    </w:p>
    <w:p w14:paraId="7C36396B" w14:textId="77777777" w:rsidR="00355502" w:rsidRPr="004676F5" w:rsidRDefault="00355502" w:rsidP="001527B1">
      <w:pPr>
        <w:ind w:firstLine="708"/>
        <w:jc w:val="both"/>
        <w:rPr>
          <w:lang w:val="de-DE"/>
        </w:rPr>
      </w:pPr>
    </w:p>
    <w:p w14:paraId="4745BDA0" w14:textId="75798978" w:rsidR="001527B1" w:rsidRPr="004676F5" w:rsidRDefault="00BE0A56" w:rsidP="001527B1">
      <w:pPr>
        <w:ind w:firstLine="708"/>
        <w:jc w:val="both"/>
        <w:rPr>
          <w:lang w:val="de-DE"/>
        </w:rPr>
      </w:pPr>
      <w:r w:rsidRPr="004676F5">
        <w:rPr>
          <w:b/>
          <w:lang w:val="de-DE"/>
        </w:rPr>
        <w:t>Art. </w:t>
      </w:r>
      <w:r w:rsidR="001527B1" w:rsidRPr="004676F5">
        <w:rPr>
          <w:b/>
          <w:lang w:val="de-DE"/>
        </w:rPr>
        <w:t>XI.293</w:t>
      </w:r>
      <w:r w:rsidR="001527B1" w:rsidRPr="004676F5">
        <w:rPr>
          <w:lang w:val="de-DE"/>
        </w:rPr>
        <w:t> </w:t>
      </w:r>
      <w:r w:rsidR="005B7A5C" w:rsidRPr="004676F5">
        <w:rPr>
          <w:lang w:val="de-DE"/>
        </w:rPr>
        <w:t>- </w:t>
      </w:r>
      <w:r w:rsidR="001527B1" w:rsidRPr="004676F5">
        <w:rPr>
          <w:lang w:val="de-DE"/>
        </w:rPr>
        <w:t>Böswillige oder betrügerische Verletzung des Urheberrechts und verwandter Schutzrechte gilt als Delikt der Nachahmung.</w:t>
      </w:r>
    </w:p>
    <w:p w14:paraId="5988716D" w14:textId="77777777" w:rsidR="001527B1" w:rsidRPr="004676F5" w:rsidRDefault="001527B1" w:rsidP="001527B1">
      <w:pPr>
        <w:ind w:firstLine="708"/>
        <w:jc w:val="both"/>
        <w:rPr>
          <w:lang w:val="de-DE"/>
        </w:rPr>
      </w:pPr>
    </w:p>
    <w:p w14:paraId="62743551" w14:textId="77777777" w:rsidR="001527B1" w:rsidRPr="004676F5" w:rsidRDefault="001527B1" w:rsidP="001527B1">
      <w:pPr>
        <w:ind w:firstLine="708"/>
        <w:jc w:val="both"/>
        <w:rPr>
          <w:lang w:val="de-DE"/>
        </w:rPr>
      </w:pPr>
      <w:r w:rsidRPr="004676F5">
        <w:rPr>
          <w:lang w:val="de-DE"/>
        </w:rPr>
        <w:t>Gleiches gilt für böswillige oder betrügerische Verwendung des Namens eines Urhebers beziehungsweise eines Inhabers verwandter Schutzrechte oder eines von ihm zur Bezeichnung seines Werkes oder seiner Leistung angenommenen Kennzeichens; solche Gegenstände sind als nachgeahmt anzusehen.</w:t>
      </w:r>
    </w:p>
    <w:p w14:paraId="1F2E52A6" w14:textId="77777777" w:rsidR="001527B1" w:rsidRPr="004676F5" w:rsidRDefault="001527B1" w:rsidP="001527B1">
      <w:pPr>
        <w:ind w:firstLine="708"/>
        <w:jc w:val="both"/>
        <w:rPr>
          <w:lang w:val="de-DE"/>
        </w:rPr>
      </w:pPr>
    </w:p>
    <w:p w14:paraId="4F256533" w14:textId="77777777" w:rsidR="001527B1" w:rsidRPr="004676F5" w:rsidRDefault="001527B1" w:rsidP="001527B1">
      <w:pPr>
        <w:ind w:firstLine="708"/>
        <w:jc w:val="both"/>
        <w:rPr>
          <w:lang w:val="de-DE"/>
        </w:rPr>
      </w:pPr>
      <w:r w:rsidRPr="004676F5">
        <w:rPr>
          <w:lang w:val="de-DE"/>
        </w:rPr>
        <w:t>Wer wissentlich nachgeahmte Gegenstände verkauft, vermietet, zum Verkauf oder zur Vermietung anbietet, zwecks Verkauf oder Vermietung auf Lager hat oder zu Handels</w:t>
      </w:r>
      <w:r w:rsidRPr="004676F5">
        <w:rPr>
          <w:lang w:val="de-DE"/>
        </w:rPr>
        <w:softHyphen/>
        <w:t>zwecken in Belgien einführt, begeht dieselbe Straftat.</w:t>
      </w:r>
    </w:p>
    <w:p w14:paraId="68A82686" w14:textId="77777777" w:rsidR="001527B1" w:rsidRPr="004676F5" w:rsidRDefault="001527B1" w:rsidP="001527B1">
      <w:pPr>
        <w:ind w:firstLine="708"/>
        <w:jc w:val="both"/>
        <w:rPr>
          <w:lang w:val="de-DE"/>
        </w:rPr>
      </w:pPr>
    </w:p>
    <w:p w14:paraId="15DACA15" w14:textId="77777777" w:rsidR="001527B1" w:rsidRPr="004676F5" w:rsidRDefault="001527B1" w:rsidP="001527B1">
      <w:pPr>
        <w:ind w:firstLine="708"/>
        <w:jc w:val="both"/>
        <w:rPr>
          <w:lang w:val="de-DE"/>
        </w:rPr>
      </w:pPr>
      <w:r w:rsidRPr="004676F5">
        <w:rPr>
          <w:lang w:val="de-DE"/>
        </w:rPr>
        <w:t>Die Bestimmungen von Kapitel 11 des Gesetzes vom 3. Juli 1969 zur Einführung des Gesetzbuches über die Mehrwertsteuer finden Anwendung auf Verstöße gegen die Bestimmungen der Kapitel 5 bis 8 und gegen ihre Ausführungserlasse, wobei der Begriff Steuer jeweils durch den Begriff Vergütung zu ersetzen ist.</w:t>
      </w:r>
    </w:p>
    <w:p w14:paraId="05875496" w14:textId="77777777" w:rsidR="001527B1" w:rsidRPr="004676F5" w:rsidRDefault="001527B1" w:rsidP="001527B1">
      <w:pPr>
        <w:ind w:firstLine="708"/>
        <w:jc w:val="both"/>
        <w:rPr>
          <w:lang w:val="de-DE"/>
        </w:rPr>
      </w:pPr>
    </w:p>
    <w:p w14:paraId="33C4A083" w14:textId="77777777" w:rsidR="001527B1" w:rsidRPr="004676F5" w:rsidRDefault="001527B1" w:rsidP="001527B1">
      <w:pPr>
        <w:ind w:firstLine="708"/>
        <w:jc w:val="both"/>
        <w:rPr>
          <w:lang w:val="de-DE"/>
        </w:rPr>
      </w:pPr>
      <w:r w:rsidRPr="004676F5">
        <w:rPr>
          <w:lang w:val="de-DE"/>
        </w:rPr>
        <w:t>Sind die beim Gericht anhängig gemachten Taten in Anwendung von Artikel XVII.14 § 3 Gegenstand einer Unterlassungsklage, kann über die Strafverfolgung erst entschieden werden, nachdem eine formell rechtskräftige Entscheidung in Bezug auf die Unterlassungsklage ergangen ist.</w:t>
      </w:r>
    </w:p>
    <w:p w14:paraId="194E86E7" w14:textId="77777777" w:rsidR="001527B1" w:rsidRPr="004676F5" w:rsidRDefault="001527B1" w:rsidP="001527B1">
      <w:pPr>
        <w:ind w:firstLine="708"/>
        <w:jc w:val="both"/>
        <w:rPr>
          <w:lang w:val="de-DE"/>
        </w:rPr>
      </w:pPr>
    </w:p>
    <w:p w14:paraId="749A0011" w14:textId="77777777" w:rsidR="00355502" w:rsidRPr="004676F5" w:rsidRDefault="00355502" w:rsidP="001527B1">
      <w:pPr>
        <w:jc w:val="center"/>
        <w:rPr>
          <w:b/>
          <w:lang w:val="de-DE"/>
        </w:rPr>
      </w:pPr>
    </w:p>
    <w:p w14:paraId="53017633" w14:textId="77777777" w:rsidR="00355502" w:rsidRPr="004676F5" w:rsidRDefault="00355502">
      <w:pPr>
        <w:rPr>
          <w:b/>
          <w:lang w:val="de-DE"/>
        </w:rPr>
      </w:pPr>
      <w:r w:rsidRPr="004676F5">
        <w:rPr>
          <w:b/>
          <w:lang w:val="de-DE"/>
        </w:rPr>
        <w:br w:type="page"/>
      </w:r>
    </w:p>
    <w:p w14:paraId="7A205D43" w14:textId="3A68B911" w:rsidR="001527B1" w:rsidRPr="004676F5" w:rsidRDefault="001527B1" w:rsidP="001527B1">
      <w:pPr>
        <w:jc w:val="center"/>
        <w:rPr>
          <w:b/>
          <w:lang w:val="de-DE"/>
        </w:rPr>
      </w:pPr>
      <w:r w:rsidRPr="004676F5">
        <w:rPr>
          <w:b/>
          <w:lang w:val="de-DE"/>
        </w:rPr>
        <w:lastRenderedPageBreak/>
        <w:t>TITEL 6 </w:t>
      </w:r>
      <w:r w:rsidR="005B7A5C" w:rsidRPr="004676F5">
        <w:rPr>
          <w:b/>
          <w:lang w:val="de-DE"/>
        </w:rPr>
        <w:t>- </w:t>
      </w:r>
      <w:r w:rsidRPr="004676F5">
        <w:rPr>
          <w:b/>
          <w:i/>
          <w:lang w:val="de-DE"/>
        </w:rPr>
        <w:t>Computerprogramme</w:t>
      </w:r>
    </w:p>
    <w:p w14:paraId="46A6D245" w14:textId="77777777" w:rsidR="001527B1" w:rsidRPr="004676F5" w:rsidRDefault="001527B1" w:rsidP="001527B1">
      <w:pPr>
        <w:ind w:firstLine="708"/>
        <w:jc w:val="both"/>
        <w:rPr>
          <w:lang w:val="de-DE"/>
        </w:rPr>
      </w:pPr>
    </w:p>
    <w:p w14:paraId="08DD6F85" w14:textId="77777777" w:rsidR="00355502" w:rsidRPr="004676F5" w:rsidRDefault="00355502" w:rsidP="001527B1">
      <w:pPr>
        <w:ind w:firstLine="708"/>
        <w:jc w:val="both"/>
        <w:rPr>
          <w:lang w:val="de-DE"/>
        </w:rPr>
      </w:pPr>
    </w:p>
    <w:p w14:paraId="74E62E41" w14:textId="6B5E6838" w:rsidR="00A22769" w:rsidRPr="004676F5" w:rsidRDefault="00A22769" w:rsidP="00A22769">
      <w:pPr>
        <w:ind w:firstLine="708"/>
        <w:jc w:val="both"/>
        <w:rPr>
          <w:lang w:val="de-DE"/>
        </w:rPr>
      </w:pPr>
      <w:r w:rsidRPr="004676F5">
        <w:rPr>
          <w:lang w:val="de-DE"/>
        </w:rPr>
        <w:t>[</w:t>
      </w:r>
      <w:r w:rsidRPr="004676F5">
        <w:rPr>
          <w:b/>
          <w:bCs/>
          <w:lang w:val="de-DE"/>
        </w:rPr>
        <w:t>Art. XI.293/1</w:t>
      </w:r>
      <w:r w:rsidRPr="004676F5">
        <w:rPr>
          <w:lang w:val="de-DE"/>
        </w:rPr>
        <w:t> </w:t>
      </w:r>
      <w:r w:rsidR="005B7A5C" w:rsidRPr="004676F5">
        <w:rPr>
          <w:lang w:val="de-DE"/>
        </w:rPr>
        <w:t>- </w:t>
      </w:r>
      <w:r w:rsidRPr="004676F5">
        <w:rPr>
          <w:lang w:val="de-DE"/>
        </w:rPr>
        <w:t>Vorliegender Titel setzt folgende Richtlinien um:</w:t>
      </w:r>
    </w:p>
    <w:p w14:paraId="3D895924" w14:textId="77777777" w:rsidR="00A22769" w:rsidRPr="004676F5" w:rsidRDefault="00A22769" w:rsidP="00A22769">
      <w:pPr>
        <w:jc w:val="both"/>
        <w:rPr>
          <w:lang w:val="de-DE"/>
        </w:rPr>
      </w:pPr>
    </w:p>
    <w:p w14:paraId="592D98B6" w14:textId="77777777" w:rsidR="00A22769" w:rsidRPr="004676F5" w:rsidRDefault="00A22769" w:rsidP="00A22769">
      <w:pPr>
        <w:jc w:val="both"/>
        <w:rPr>
          <w:lang w:val="de-DE"/>
        </w:rPr>
      </w:pPr>
      <w:r w:rsidRPr="004676F5">
        <w:rPr>
          <w:lang w:val="de-DE"/>
        </w:rPr>
        <w:tab/>
        <w:t>1. Richtlinie 2009/24/EG des Europäischen Parlaments und des Rates vom 23. April 2009 über den Rechtsschutz von Computerprogrammen,</w:t>
      </w:r>
    </w:p>
    <w:p w14:paraId="454867C4" w14:textId="77777777" w:rsidR="00A22769" w:rsidRPr="004676F5" w:rsidRDefault="00A22769" w:rsidP="00A22769">
      <w:pPr>
        <w:jc w:val="both"/>
        <w:rPr>
          <w:lang w:val="de-DE"/>
        </w:rPr>
      </w:pPr>
    </w:p>
    <w:p w14:paraId="7EE829AE" w14:textId="09DDDD83" w:rsidR="00A22769" w:rsidRPr="004676F5" w:rsidRDefault="00A22769" w:rsidP="00A22769">
      <w:pPr>
        <w:ind w:firstLine="708"/>
        <w:jc w:val="both"/>
        <w:rPr>
          <w:lang w:val="de-DE"/>
        </w:rPr>
      </w:pPr>
      <w:r w:rsidRPr="004676F5">
        <w:rPr>
          <w:lang w:val="de-DE"/>
        </w:rPr>
        <w:t>2. Richtlinie (EU) 2019/790 des Europäischen Parlaments und des Rates vom 17. April 2019 über das Urheberrecht und die verwandten Schutzrechte im digitalen Binnenmarkt und zur Änderung der Richtlinien 96/9/EG und 2001/29/EG.]</w:t>
      </w:r>
    </w:p>
    <w:p w14:paraId="3385244B" w14:textId="77777777" w:rsidR="00A22769" w:rsidRPr="004676F5" w:rsidRDefault="00A22769" w:rsidP="00A22769">
      <w:pPr>
        <w:jc w:val="both"/>
        <w:rPr>
          <w:lang w:val="de-DE"/>
        </w:rPr>
      </w:pPr>
    </w:p>
    <w:p w14:paraId="7FDA3768" w14:textId="11531AA8" w:rsidR="00A22769" w:rsidRPr="004676F5" w:rsidRDefault="00A22769" w:rsidP="00A22769">
      <w:pPr>
        <w:jc w:val="both"/>
        <w:rPr>
          <w:i/>
          <w:iCs/>
          <w:lang w:val="de-DE"/>
        </w:rPr>
      </w:pPr>
      <w:r w:rsidRPr="004676F5">
        <w:rPr>
          <w:i/>
          <w:iCs/>
          <w:lang w:val="de-DE"/>
        </w:rPr>
        <w:t>[Art. XI.293/1 eingefügt durch Art. 75 des G. vom 19. Juni 2022 (B.S. vom 1. August 2022)]</w:t>
      </w:r>
    </w:p>
    <w:p w14:paraId="4F10780F" w14:textId="77777777" w:rsidR="00A22769" w:rsidRPr="004676F5" w:rsidRDefault="00A22769" w:rsidP="00A22769">
      <w:pPr>
        <w:jc w:val="both"/>
        <w:rPr>
          <w:lang w:val="de-DE"/>
        </w:rPr>
      </w:pPr>
    </w:p>
    <w:p w14:paraId="25535B2F" w14:textId="77777777" w:rsidR="00A22769" w:rsidRPr="004676F5" w:rsidRDefault="00A22769" w:rsidP="00A22769">
      <w:pPr>
        <w:ind w:firstLine="708"/>
        <w:jc w:val="both"/>
        <w:rPr>
          <w:lang w:val="de-DE"/>
        </w:rPr>
      </w:pPr>
    </w:p>
    <w:p w14:paraId="320BFB9D" w14:textId="34E93C94" w:rsidR="001527B1" w:rsidRPr="004676F5" w:rsidRDefault="00BE0A56" w:rsidP="001527B1">
      <w:pPr>
        <w:ind w:firstLine="708"/>
        <w:jc w:val="both"/>
        <w:rPr>
          <w:lang w:val="de-DE"/>
        </w:rPr>
      </w:pPr>
      <w:r w:rsidRPr="004676F5">
        <w:rPr>
          <w:b/>
          <w:lang w:val="de-DE"/>
        </w:rPr>
        <w:t>Art. </w:t>
      </w:r>
      <w:r w:rsidR="001527B1" w:rsidRPr="004676F5">
        <w:rPr>
          <w:b/>
          <w:lang w:val="de-DE"/>
        </w:rPr>
        <w:t>XI.294</w:t>
      </w:r>
      <w:r w:rsidR="001527B1" w:rsidRPr="004676F5">
        <w:rPr>
          <w:lang w:val="de-DE"/>
        </w:rPr>
        <w:t> </w:t>
      </w:r>
      <w:r w:rsidR="005B7A5C" w:rsidRPr="004676F5">
        <w:rPr>
          <w:lang w:val="de-DE"/>
        </w:rPr>
        <w:t>- </w:t>
      </w:r>
      <w:r w:rsidR="00A22769" w:rsidRPr="004676F5">
        <w:rPr>
          <w:lang w:val="de-DE"/>
        </w:rPr>
        <w:t>[Computerprogramme, einschließlich des Entwurfsmaterials zu ihrer Vorbereitung, werden]</w:t>
      </w:r>
      <w:r w:rsidR="001527B1" w:rsidRPr="004676F5">
        <w:rPr>
          <w:lang w:val="de-DE"/>
        </w:rPr>
        <w:t xml:space="preserve"> urheberrechtlich geschützt und literarischen Werken im Sinne der Berner Übereinkunft gleichgesetzt.</w:t>
      </w:r>
    </w:p>
    <w:p w14:paraId="36E5AF27" w14:textId="77777777" w:rsidR="00A22769" w:rsidRPr="004676F5" w:rsidRDefault="00A22769" w:rsidP="001527B1">
      <w:pPr>
        <w:ind w:firstLine="708"/>
        <w:jc w:val="both"/>
        <w:rPr>
          <w:lang w:val="de-DE"/>
        </w:rPr>
      </w:pPr>
    </w:p>
    <w:p w14:paraId="713558C8" w14:textId="06509BBE" w:rsidR="00A22769" w:rsidRPr="004676F5" w:rsidRDefault="00A22769" w:rsidP="00A22769">
      <w:pPr>
        <w:jc w:val="both"/>
        <w:rPr>
          <w:i/>
          <w:iCs/>
          <w:lang w:val="de-DE"/>
        </w:rPr>
      </w:pPr>
      <w:r w:rsidRPr="004676F5">
        <w:rPr>
          <w:i/>
          <w:iCs/>
          <w:lang w:val="de-DE"/>
        </w:rPr>
        <w:t>[Art. XI.294 abgeändert durch Art. 76 des G. vom 19. Juni 2022 (B.S. vom 1. August 2022)]</w:t>
      </w:r>
    </w:p>
    <w:p w14:paraId="10C075A7" w14:textId="77777777" w:rsidR="001527B1" w:rsidRPr="004676F5" w:rsidRDefault="001527B1" w:rsidP="001527B1">
      <w:pPr>
        <w:ind w:firstLine="708"/>
        <w:jc w:val="both"/>
        <w:rPr>
          <w:lang w:val="de-DE"/>
        </w:rPr>
      </w:pPr>
    </w:p>
    <w:p w14:paraId="426E4350" w14:textId="77777777" w:rsidR="00355502" w:rsidRPr="004676F5" w:rsidRDefault="00355502" w:rsidP="001527B1">
      <w:pPr>
        <w:ind w:firstLine="708"/>
        <w:jc w:val="both"/>
        <w:rPr>
          <w:lang w:val="de-DE"/>
        </w:rPr>
      </w:pPr>
    </w:p>
    <w:p w14:paraId="1B191E05" w14:textId="283FEAE8" w:rsidR="001527B1" w:rsidRPr="004676F5" w:rsidRDefault="00BE0A56" w:rsidP="001527B1">
      <w:pPr>
        <w:ind w:firstLine="708"/>
        <w:jc w:val="both"/>
        <w:rPr>
          <w:lang w:val="de-DE"/>
        </w:rPr>
      </w:pPr>
      <w:r w:rsidRPr="004676F5">
        <w:rPr>
          <w:b/>
          <w:lang w:val="de-DE"/>
        </w:rPr>
        <w:t>Art. </w:t>
      </w:r>
      <w:r w:rsidR="001527B1" w:rsidRPr="004676F5">
        <w:rPr>
          <w:b/>
          <w:lang w:val="de-DE"/>
        </w:rPr>
        <w:t>XI.295</w:t>
      </w:r>
      <w:r w:rsidR="001527B1" w:rsidRPr="004676F5">
        <w:rPr>
          <w:lang w:val="de-DE"/>
        </w:rPr>
        <w:t> </w:t>
      </w:r>
      <w:r w:rsidR="005B7A5C" w:rsidRPr="004676F5">
        <w:rPr>
          <w:lang w:val="de-DE"/>
        </w:rPr>
        <w:t>- </w:t>
      </w:r>
      <w:r w:rsidR="001527B1" w:rsidRPr="004676F5">
        <w:rPr>
          <w:lang w:val="de-DE"/>
        </w:rPr>
        <w:t>Computerprogramme werden geschützt, wenn sie individuelle Werke in dem Sinne darstellen, dass sie das Ergebnis der eigenen geistigen Schöpfung ihres Urhebers sind. Zur Bestimmung ihrer urheberrechtlichen Schutzfähigkeit sind keine anderen Kriterien anzuwenden.</w:t>
      </w:r>
    </w:p>
    <w:p w14:paraId="2DA16402" w14:textId="77777777" w:rsidR="001527B1" w:rsidRPr="004676F5" w:rsidRDefault="001527B1" w:rsidP="001527B1">
      <w:pPr>
        <w:ind w:firstLine="708"/>
        <w:jc w:val="both"/>
        <w:rPr>
          <w:lang w:val="de-DE"/>
        </w:rPr>
      </w:pPr>
    </w:p>
    <w:p w14:paraId="2386716D" w14:textId="77777777" w:rsidR="001527B1" w:rsidRPr="004676F5" w:rsidRDefault="001527B1" w:rsidP="001527B1">
      <w:pPr>
        <w:ind w:firstLine="708"/>
        <w:jc w:val="both"/>
        <w:rPr>
          <w:lang w:val="de-DE"/>
        </w:rPr>
      </w:pPr>
      <w:r w:rsidRPr="004676F5">
        <w:rPr>
          <w:lang w:val="de-DE"/>
        </w:rPr>
        <w:t>Der gemäß vorliegendem Titel gewährte Schutz gilt für alle Ausdrucksformen von Computerprogrammen. Ideen und Grundsätze, die irgendeinem Element eines Computer</w:t>
      </w:r>
      <w:r w:rsidRPr="004676F5">
        <w:rPr>
          <w:lang w:val="de-DE"/>
        </w:rPr>
        <w:softHyphen/>
        <w:t>programms zugrunde liegen, einschließlich der den Schnittstellen zugrunde liegenden Ideen und Grundsätze, sind nicht urheberrechtlich geschützt.</w:t>
      </w:r>
    </w:p>
    <w:p w14:paraId="77BA2E1F" w14:textId="77777777" w:rsidR="001527B1" w:rsidRPr="004676F5" w:rsidRDefault="001527B1" w:rsidP="001527B1">
      <w:pPr>
        <w:ind w:firstLine="708"/>
        <w:jc w:val="both"/>
        <w:rPr>
          <w:lang w:val="de-DE"/>
        </w:rPr>
      </w:pPr>
    </w:p>
    <w:p w14:paraId="34583806" w14:textId="77777777" w:rsidR="00A22769" w:rsidRPr="004676F5" w:rsidRDefault="00A22769" w:rsidP="001527B1">
      <w:pPr>
        <w:ind w:firstLine="708"/>
        <w:jc w:val="both"/>
        <w:rPr>
          <w:lang w:val="de-DE"/>
        </w:rPr>
      </w:pPr>
    </w:p>
    <w:p w14:paraId="7AC6B964" w14:textId="6BF95FFC" w:rsidR="00A22769" w:rsidRPr="004676F5" w:rsidRDefault="00A22769" w:rsidP="001527B1">
      <w:pPr>
        <w:ind w:firstLine="708"/>
        <w:jc w:val="both"/>
        <w:rPr>
          <w:lang w:val="de-DE"/>
        </w:rPr>
      </w:pPr>
      <w:r w:rsidRPr="004676F5">
        <w:rPr>
          <w:lang w:val="de-DE"/>
        </w:rPr>
        <w:t>[</w:t>
      </w:r>
      <w:r w:rsidRPr="004676F5">
        <w:rPr>
          <w:b/>
          <w:bCs/>
          <w:lang w:val="de-DE"/>
        </w:rPr>
        <w:t>Art. XI.295/1</w:t>
      </w:r>
      <w:r w:rsidRPr="004676F5">
        <w:rPr>
          <w:lang w:val="de-DE"/>
        </w:rPr>
        <w:t> </w:t>
      </w:r>
      <w:r w:rsidR="005B7A5C" w:rsidRPr="004676F5">
        <w:rPr>
          <w:lang w:val="de-DE"/>
        </w:rPr>
        <w:t>- </w:t>
      </w:r>
      <w:r w:rsidRPr="004676F5">
        <w:rPr>
          <w:lang w:val="de-DE"/>
        </w:rPr>
        <w:t>Die Artikel XI.167/1 bis XI.167/6 sind nicht auf Computerprogramme anwendbar.]</w:t>
      </w:r>
    </w:p>
    <w:p w14:paraId="5724600D" w14:textId="77777777" w:rsidR="00A22769" w:rsidRPr="004676F5" w:rsidRDefault="00A22769" w:rsidP="00A22769">
      <w:pPr>
        <w:jc w:val="both"/>
        <w:rPr>
          <w:lang w:val="de-DE"/>
        </w:rPr>
      </w:pPr>
    </w:p>
    <w:p w14:paraId="3311A7C6" w14:textId="17D5D280" w:rsidR="00A22769" w:rsidRPr="004676F5" w:rsidRDefault="00A22769" w:rsidP="00A22769">
      <w:pPr>
        <w:jc w:val="both"/>
        <w:rPr>
          <w:i/>
          <w:iCs/>
          <w:lang w:val="de-DE"/>
        </w:rPr>
      </w:pPr>
      <w:r w:rsidRPr="004676F5">
        <w:rPr>
          <w:i/>
          <w:iCs/>
          <w:lang w:val="de-DE"/>
        </w:rPr>
        <w:t>[Art. XI.295/1 eingefügt durch Art. 77 des G. vom 19. Juni 2022 (B.S. vom 1. August 2022)]</w:t>
      </w:r>
    </w:p>
    <w:p w14:paraId="0C6FD17E" w14:textId="77777777" w:rsidR="00A22769" w:rsidRPr="004676F5" w:rsidRDefault="00A22769" w:rsidP="00A22769">
      <w:pPr>
        <w:jc w:val="both"/>
        <w:rPr>
          <w:lang w:val="de-DE"/>
        </w:rPr>
      </w:pPr>
    </w:p>
    <w:p w14:paraId="3C885F10" w14:textId="77777777" w:rsidR="00355502" w:rsidRPr="004676F5" w:rsidRDefault="00355502" w:rsidP="001527B1">
      <w:pPr>
        <w:ind w:firstLine="708"/>
        <w:jc w:val="both"/>
        <w:rPr>
          <w:lang w:val="de-DE"/>
        </w:rPr>
      </w:pPr>
    </w:p>
    <w:p w14:paraId="56B3AFC5" w14:textId="69501424" w:rsidR="001527B1" w:rsidRPr="004676F5" w:rsidRDefault="00BE0A56" w:rsidP="001527B1">
      <w:pPr>
        <w:ind w:firstLine="708"/>
        <w:jc w:val="both"/>
        <w:rPr>
          <w:lang w:val="de-DE"/>
        </w:rPr>
      </w:pPr>
      <w:r w:rsidRPr="004676F5">
        <w:rPr>
          <w:b/>
          <w:lang w:val="de-DE"/>
        </w:rPr>
        <w:t>Art. </w:t>
      </w:r>
      <w:r w:rsidR="001527B1" w:rsidRPr="004676F5">
        <w:rPr>
          <w:b/>
          <w:lang w:val="de-DE"/>
        </w:rPr>
        <w:t>XI.296</w:t>
      </w:r>
      <w:r w:rsidR="001527B1" w:rsidRPr="004676F5">
        <w:rPr>
          <w:lang w:val="de-DE"/>
        </w:rPr>
        <w:t> </w:t>
      </w:r>
      <w:r w:rsidR="005B7A5C" w:rsidRPr="004676F5">
        <w:rPr>
          <w:lang w:val="de-DE"/>
        </w:rPr>
        <w:t>- </w:t>
      </w:r>
      <w:r w:rsidR="001527B1" w:rsidRPr="004676F5">
        <w:rPr>
          <w:lang w:val="de-DE"/>
        </w:rPr>
        <w:t>Vorbehaltlich anders lautender Vertrags</w:t>
      </w:r>
      <w:r w:rsidR="005B7A5C" w:rsidRPr="004676F5">
        <w:rPr>
          <w:lang w:val="de-DE"/>
        </w:rPr>
        <w:t>- </w:t>
      </w:r>
      <w:r w:rsidR="001527B1" w:rsidRPr="004676F5">
        <w:rPr>
          <w:lang w:val="de-DE"/>
        </w:rPr>
        <w:t>oder Satzungsbestimmungen ist ausschließlich der Arbeitgeber als Erwerber der vermögensrechtlichen Befugnisse an den Computerprogrammen anzusehen, die von einem oder mehreren Angestellten oder Bediensteten in Wahrnehmung ihrer Aufgaben oder nach den Anweisungen ihres Arbeit</w:t>
      </w:r>
      <w:r w:rsidR="001527B1" w:rsidRPr="004676F5">
        <w:rPr>
          <w:lang w:val="de-DE"/>
        </w:rPr>
        <w:softHyphen/>
        <w:t>gebers geschaffen werden.</w:t>
      </w:r>
    </w:p>
    <w:p w14:paraId="466AF2EE" w14:textId="77777777" w:rsidR="001527B1" w:rsidRPr="004676F5" w:rsidRDefault="001527B1" w:rsidP="001527B1">
      <w:pPr>
        <w:ind w:firstLine="708"/>
        <w:jc w:val="both"/>
        <w:rPr>
          <w:lang w:val="de-DE"/>
        </w:rPr>
      </w:pPr>
    </w:p>
    <w:p w14:paraId="0FF6708D" w14:textId="77777777" w:rsidR="00355502" w:rsidRPr="004676F5" w:rsidRDefault="00355502" w:rsidP="001527B1">
      <w:pPr>
        <w:ind w:firstLine="708"/>
        <w:jc w:val="both"/>
        <w:rPr>
          <w:lang w:val="de-DE"/>
        </w:rPr>
      </w:pPr>
    </w:p>
    <w:p w14:paraId="7C488DC3" w14:textId="651D6FB3" w:rsidR="001527B1" w:rsidRPr="004676F5" w:rsidRDefault="00BE0A56" w:rsidP="001527B1">
      <w:pPr>
        <w:ind w:firstLine="708"/>
        <w:jc w:val="both"/>
        <w:rPr>
          <w:lang w:val="de-DE"/>
        </w:rPr>
      </w:pPr>
      <w:r w:rsidRPr="004676F5">
        <w:rPr>
          <w:b/>
          <w:lang w:val="de-DE"/>
        </w:rPr>
        <w:t>Art. </w:t>
      </w:r>
      <w:r w:rsidR="001527B1" w:rsidRPr="004676F5">
        <w:rPr>
          <w:b/>
          <w:lang w:val="de-DE"/>
        </w:rPr>
        <w:t>XI.297</w:t>
      </w:r>
      <w:r w:rsidR="001527B1" w:rsidRPr="004676F5">
        <w:rPr>
          <w:lang w:val="de-DE"/>
        </w:rPr>
        <w:t> </w:t>
      </w:r>
      <w:r w:rsidR="005B7A5C" w:rsidRPr="004676F5">
        <w:rPr>
          <w:lang w:val="de-DE"/>
        </w:rPr>
        <w:t>- </w:t>
      </w:r>
      <w:r w:rsidR="001527B1" w:rsidRPr="004676F5">
        <w:rPr>
          <w:lang w:val="de-DE"/>
        </w:rPr>
        <w:t>Das Urheberpersönlichkeitsrecht wird nach Artikel 6</w:t>
      </w:r>
      <w:r w:rsidR="001527B1" w:rsidRPr="004676F5">
        <w:rPr>
          <w:i/>
          <w:lang w:val="de-DE"/>
        </w:rPr>
        <w:t>bis</w:t>
      </w:r>
      <w:r w:rsidR="001527B1" w:rsidRPr="004676F5">
        <w:rPr>
          <w:lang w:val="de-DE"/>
        </w:rPr>
        <w:t xml:space="preserve"> Absatz 1 der Berner Übereinkunft geregelt.</w:t>
      </w:r>
    </w:p>
    <w:p w14:paraId="0673690E" w14:textId="77777777" w:rsidR="001527B1" w:rsidRPr="004676F5" w:rsidRDefault="001527B1" w:rsidP="001527B1">
      <w:pPr>
        <w:ind w:firstLine="708"/>
        <w:jc w:val="both"/>
        <w:rPr>
          <w:lang w:val="de-DE"/>
        </w:rPr>
      </w:pPr>
    </w:p>
    <w:p w14:paraId="1491F144" w14:textId="77777777" w:rsidR="00355502" w:rsidRPr="004676F5" w:rsidRDefault="00355502" w:rsidP="001527B1">
      <w:pPr>
        <w:ind w:firstLine="708"/>
        <w:jc w:val="both"/>
        <w:rPr>
          <w:lang w:val="de-DE"/>
        </w:rPr>
      </w:pPr>
    </w:p>
    <w:p w14:paraId="73B9B4BD" w14:textId="77777777" w:rsidR="00A22769" w:rsidRPr="004676F5" w:rsidRDefault="00A22769">
      <w:pPr>
        <w:rPr>
          <w:b/>
          <w:lang w:val="de-DE"/>
        </w:rPr>
      </w:pPr>
      <w:r w:rsidRPr="004676F5">
        <w:rPr>
          <w:b/>
          <w:lang w:val="de-DE"/>
        </w:rPr>
        <w:br w:type="page"/>
      </w:r>
    </w:p>
    <w:p w14:paraId="3DE17381" w14:textId="4E25C2B0"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XI.298</w:t>
      </w:r>
      <w:r w:rsidR="001527B1" w:rsidRPr="004676F5">
        <w:rPr>
          <w:lang w:val="de-DE"/>
        </w:rPr>
        <w:t> </w:t>
      </w:r>
      <w:r w:rsidR="005B7A5C" w:rsidRPr="004676F5">
        <w:rPr>
          <w:lang w:val="de-DE"/>
        </w:rPr>
        <w:t>- </w:t>
      </w:r>
      <w:r w:rsidR="001527B1" w:rsidRPr="004676F5">
        <w:rPr>
          <w:lang w:val="de-DE"/>
        </w:rPr>
        <w:t>Vorbehaltlich der Bestimmungen der Artikel XI.299 und XI.300 um</w:t>
      </w:r>
      <w:r w:rsidR="001527B1" w:rsidRPr="004676F5">
        <w:rPr>
          <w:lang w:val="de-DE"/>
        </w:rPr>
        <w:softHyphen/>
        <w:t>fassen die vermögensrechtlichen Befugnisse:</w:t>
      </w:r>
    </w:p>
    <w:p w14:paraId="0D18DF61" w14:textId="77777777" w:rsidR="001527B1" w:rsidRPr="004676F5" w:rsidRDefault="001527B1" w:rsidP="001527B1">
      <w:pPr>
        <w:ind w:firstLine="708"/>
        <w:jc w:val="both"/>
        <w:rPr>
          <w:lang w:val="de-DE"/>
        </w:rPr>
      </w:pPr>
    </w:p>
    <w:p w14:paraId="0E3E329B" w14:textId="77777777" w:rsidR="001527B1" w:rsidRPr="004676F5" w:rsidRDefault="001527B1" w:rsidP="001527B1">
      <w:pPr>
        <w:ind w:firstLine="708"/>
        <w:jc w:val="both"/>
        <w:rPr>
          <w:lang w:val="de-DE"/>
        </w:rPr>
      </w:pPr>
      <w:r w:rsidRPr="004676F5">
        <w:rPr>
          <w:i/>
          <w:lang w:val="de-DE"/>
        </w:rPr>
        <w:t>a) </w:t>
      </w:r>
      <w:r w:rsidRPr="004676F5">
        <w:rPr>
          <w:lang w:val="de-DE"/>
        </w:rPr>
        <w:t>dauerhafte oder vorübergehende Vervielfältigung, ganz oder teilweise, eines Computerprogramms mit jedem Mittel und in jeder Form. Soweit das Laden, Anzeigen, Ablaufen, Übertragen oder Speichern des Computerprogramms eine Vervielfältigung des Programms erforderlich macht, bedürfen diese Handlungen der Zustimmung des Rechtsinhabers,</w:t>
      </w:r>
    </w:p>
    <w:p w14:paraId="032817CA" w14:textId="77777777" w:rsidR="001527B1" w:rsidRPr="004676F5" w:rsidRDefault="001527B1" w:rsidP="001527B1">
      <w:pPr>
        <w:ind w:firstLine="708"/>
        <w:jc w:val="both"/>
        <w:rPr>
          <w:lang w:val="de-DE"/>
        </w:rPr>
      </w:pPr>
    </w:p>
    <w:p w14:paraId="34254BB1" w14:textId="77777777" w:rsidR="001527B1" w:rsidRPr="004676F5" w:rsidRDefault="001527B1" w:rsidP="001527B1">
      <w:pPr>
        <w:ind w:firstLine="708"/>
        <w:jc w:val="both"/>
        <w:rPr>
          <w:lang w:val="de-DE"/>
        </w:rPr>
      </w:pPr>
      <w:r w:rsidRPr="004676F5">
        <w:rPr>
          <w:i/>
          <w:lang w:val="de-DE"/>
        </w:rPr>
        <w:t>b) </w:t>
      </w:r>
      <w:r w:rsidRPr="004676F5">
        <w:rPr>
          <w:lang w:val="de-DE"/>
        </w:rPr>
        <w:t>Übersetzung, Bearbeitung, Arrangement und andere Umarbeitungen eines Computerprogramms und Vervielfältigung der erzielten Ergebnisse, unbeschadet der Rechte der Person, die das Programm umarbeitet,</w:t>
      </w:r>
    </w:p>
    <w:p w14:paraId="15D59EB2" w14:textId="77777777" w:rsidR="001527B1" w:rsidRPr="004676F5" w:rsidRDefault="001527B1" w:rsidP="001527B1">
      <w:pPr>
        <w:ind w:firstLine="708"/>
        <w:jc w:val="both"/>
        <w:rPr>
          <w:lang w:val="de-DE"/>
        </w:rPr>
      </w:pPr>
    </w:p>
    <w:p w14:paraId="3F35D187" w14:textId="77777777" w:rsidR="001527B1" w:rsidRPr="004676F5" w:rsidRDefault="001527B1" w:rsidP="001527B1">
      <w:pPr>
        <w:ind w:firstLine="708"/>
        <w:jc w:val="both"/>
        <w:rPr>
          <w:lang w:val="de-DE"/>
        </w:rPr>
      </w:pPr>
      <w:r w:rsidRPr="004676F5">
        <w:rPr>
          <w:i/>
          <w:lang w:val="de-DE"/>
        </w:rPr>
        <w:t>c) </w:t>
      </w:r>
      <w:r w:rsidRPr="004676F5">
        <w:rPr>
          <w:lang w:val="de-DE"/>
        </w:rPr>
        <w:t>jede Form der öffentlichen Verbreitung des originalen Computerprogramms oder von Kopien davon, einschließlich der Vermietung und des Verleihs. Mit dem Erstverkauf einer Programmkopie in der Europäischen Union durch den Rechtsinhaber oder mit seiner Zustimmung erschöpft sich in der Europäischen Union das Recht auf die Verbreitung dieser Kopie; ausgenommen hiervon ist jedoch das Recht auf Kontrolle der Weitervermietung und des Weiterverleihs des Programms oder einer Kopie davon.</w:t>
      </w:r>
    </w:p>
    <w:p w14:paraId="0EB41119" w14:textId="77777777" w:rsidR="001527B1" w:rsidRPr="004676F5" w:rsidRDefault="001527B1" w:rsidP="001527B1">
      <w:pPr>
        <w:ind w:firstLine="708"/>
        <w:jc w:val="both"/>
        <w:rPr>
          <w:lang w:val="de-DE"/>
        </w:rPr>
      </w:pPr>
    </w:p>
    <w:p w14:paraId="2D009286" w14:textId="77777777" w:rsidR="00355502" w:rsidRPr="004676F5" w:rsidRDefault="00355502" w:rsidP="001527B1">
      <w:pPr>
        <w:ind w:firstLine="708"/>
        <w:jc w:val="both"/>
        <w:rPr>
          <w:lang w:val="de-DE"/>
        </w:rPr>
      </w:pPr>
    </w:p>
    <w:p w14:paraId="0A01D921" w14:textId="73E59A27" w:rsidR="001527B1" w:rsidRPr="004676F5" w:rsidRDefault="00BE0A56" w:rsidP="001527B1">
      <w:pPr>
        <w:ind w:firstLine="708"/>
        <w:jc w:val="both"/>
        <w:rPr>
          <w:lang w:val="de-DE"/>
        </w:rPr>
      </w:pPr>
      <w:r w:rsidRPr="004676F5">
        <w:rPr>
          <w:b/>
          <w:lang w:val="de-DE"/>
        </w:rPr>
        <w:t>Art. </w:t>
      </w:r>
      <w:r w:rsidR="001527B1" w:rsidRPr="004676F5">
        <w:rPr>
          <w:b/>
          <w:lang w:val="de-DE"/>
        </w:rPr>
        <w:t>XI.299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In Ermangelung spezifischer Vertragsbestimmungen bedürfen die in Artikel XI.298 Buchstabe </w:t>
      </w:r>
      <w:r w:rsidR="001527B1" w:rsidRPr="004676F5">
        <w:rPr>
          <w:i/>
          <w:lang w:val="de-DE"/>
        </w:rPr>
        <w:t>a)</w:t>
      </w:r>
      <w:r w:rsidR="001527B1" w:rsidRPr="004676F5">
        <w:rPr>
          <w:lang w:val="de-DE"/>
        </w:rPr>
        <w:t xml:space="preserve"> und </w:t>
      </w:r>
      <w:r w:rsidR="001527B1" w:rsidRPr="004676F5">
        <w:rPr>
          <w:i/>
          <w:lang w:val="de-DE"/>
        </w:rPr>
        <w:t>b)</w:t>
      </w:r>
      <w:r w:rsidR="001527B1" w:rsidRPr="004676F5">
        <w:rPr>
          <w:lang w:val="de-DE"/>
        </w:rPr>
        <w:t xml:space="preserve"> genannten Handlungen nicht der Zustimmung des Rechtsinhabers, wenn sie für eine bestimmungsgemäße Benutzung des Computerprogramms einschließlich der Fehlerberichtigung durch die Person, die zur Benutzung des Programms berechtigt ist, notwendig sind.</w:t>
      </w:r>
    </w:p>
    <w:p w14:paraId="03F36E2E" w14:textId="77777777" w:rsidR="001527B1" w:rsidRPr="004676F5" w:rsidRDefault="001527B1" w:rsidP="001527B1">
      <w:pPr>
        <w:ind w:firstLine="708"/>
        <w:jc w:val="both"/>
        <w:rPr>
          <w:lang w:val="de-DE"/>
        </w:rPr>
      </w:pPr>
    </w:p>
    <w:p w14:paraId="2CD68E1D" w14:textId="236BE229"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Vervielfältigung in Form einer Sicherungskopie durch die Person, die zur Benutzung des Computerprogramms berechtigt ist, darf nicht untersagt werden, wenn sie für die Benutzung des Programms erforderlich ist.</w:t>
      </w:r>
    </w:p>
    <w:p w14:paraId="3E16B93D" w14:textId="77777777" w:rsidR="001527B1" w:rsidRPr="004676F5" w:rsidRDefault="001527B1" w:rsidP="001527B1">
      <w:pPr>
        <w:ind w:firstLine="708"/>
        <w:jc w:val="both"/>
        <w:rPr>
          <w:lang w:val="de-DE"/>
        </w:rPr>
      </w:pPr>
    </w:p>
    <w:p w14:paraId="08CD36AD" w14:textId="55DBDB45"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Die zur Verwendung eines Computerprogramms berechtigte Person kann, ohne die Zustimmung des Rechtsinhabers einholen zu müssen, das Funktionieren dieses Programms beobachten, untersuchen oder testen, um die einem Programmelement zugrunde liegenden Ideen und Grundsätze zu ermitteln, wenn sie dies durch Handlungen zum Laden, Anzeigen, Ablaufen, Übertragen oder Speichern des Computerprogramms tut, zu denen sie berechtigt ist.</w:t>
      </w:r>
    </w:p>
    <w:p w14:paraId="1BFC1AF6" w14:textId="77777777" w:rsidR="00B1340F" w:rsidRPr="004676F5" w:rsidRDefault="00B1340F" w:rsidP="001527B1">
      <w:pPr>
        <w:ind w:firstLine="708"/>
        <w:jc w:val="both"/>
        <w:rPr>
          <w:lang w:val="de-DE"/>
        </w:rPr>
      </w:pPr>
    </w:p>
    <w:p w14:paraId="739EA932" w14:textId="054E9ED5" w:rsidR="00B1340F" w:rsidRPr="004676F5" w:rsidRDefault="00B1340F" w:rsidP="00B1340F">
      <w:pPr>
        <w:jc w:val="both"/>
        <w:rPr>
          <w:lang w:val="de-DE"/>
        </w:rPr>
      </w:pPr>
      <w:r w:rsidRPr="004676F5">
        <w:rPr>
          <w:lang w:val="de-DE"/>
        </w:rPr>
        <w:tab/>
        <w:t>[§ 4 </w:t>
      </w:r>
      <w:r w:rsidR="005B7A5C" w:rsidRPr="004676F5">
        <w:rPr>
          <w:lang w:val="de-DE"/>
        </w:rPr>
        <w:t>- </w:t>
      </w:r>
      <w:r w:rsidRPr="004676F5">
        <w:rPr>
          <w:lang w:val="de-DE"/>
        </w:rPr>
        <w:t>Die Zustimmung des Rechtsinhabers ist nicht erforderlich für:</w:t>
      </w:r>
    </w:p>
    <w:p w14:paraId="28CDD163" w14:textId="77777777" w:rsidR="00B1340F" w:rsidRPr="004676F5" w:rsidRDefault="00B1340F" w:rsidP="00B1340F">
      <w:pPr>
        <w:jc w:val="both"/>
        <w:rPr>
          <w:lang w:val="de-DE"/>
        </w:rPr>
      </w:pPr>
    </w:p>
    <w:p w14:paraId="7AE67DEE" w14:textId="77777777" w:rsidR="00B1340F" w:rsidRPr="004676F5" w:rsidRDefault="00B1340F" w:rsidP="00B1340F">
      <w:pPr>
        <w:jc w:val="both"/>
        <w:rPr>
          <w:lang w:val="de-DE"/>
        </w:rPr>
      </w:pPr>
      <w:r w:rsidRPr="004676F5">
        <w:rPr>
          <w:lang w:val="de-DE"/>
        </w:rPr>
        <w:tab/>
        <w:t>1. Handlungen, die erforderlich sind, damit eine begünstigte Person oder eine in deren Namen handelnde Person ein Vervielfältigungsstück eines Werkes oder einer Leistung, zu dem die begünstigte Person rechtmäßigen Zugang hat, in einem barrierefreien Format und zur ausschließlichen Nutzung durch die begünstigte Person erstellen kann, insofern die normale Verwertung des Computerprogramms nicht beeinträchtigt wird und die berechtigten Interessen des Rechtsinhabers nicht ungebührlich verletzt werden. Eine in Belgien ansässige begünstigte Person kann bei einer befugten Stelle mit Sitz in einem beliebigen Mitgliedstaat der Europäischen Union ein Vervielfältigungsstück in einem barrierefreien Format beziehen oder abrufen,</w:t>
      </w:r>
    </w:p>
    <w:p w14:paraId="777A11C9" w14:textId="77777777" w:rsidR="00B1340F" w:rsidRPr="004676F5" w:rsidRDefault="00B1340F" w:rsidP="00B1340F">
      <w:pPr>
        <w:jc w:val="both"/>
        <w:rPr>
          <w:lang w:val="de-DE"/>
        </w:rPr>
      </w:pPr>
    </w:p>
    <w:p w14:paraId="210955D1" w14:textId="77777777" w:rsidR="00B1340F" w:rsidRPr="004676F5" w:rsidRDefault="00B1340F" w:rsidP="00B1340F">
      <w:pPr>
        <w:jc w:val="both"/>
        <w:rPr>
          <w:lang w:val="de-DE"/>
        </w:rPr>
      </w:pPr>
      <w:r w:rsidRPr="004676F5">
        <w:rPr>
          <w:lang w:val="de-DE"/>
        </w:rPr>
        <w:tab/>
        <w:t xml:space="preserve">2. Handlungen, die erforderlich sind, damit eine befugte Stelle mit Sitz in Belgien zugunsten einer begünstigten Person oder einer anderen befugten Stelle mit Sitz in einem beliebigen Mitgliedstaat der Europäischen Union ein Vervielfältigungsstück eines Werkes oder </w:t>
      </w:r>
      <w:r w:rsidRPr="004676F5">
        <w:rPr>
          <w:lang w:val="de-DE"/>
        </w:rPr>
        <w:lastRenderedPageBreak/>
        <w:t>einer Leistung, zu dem sie rechtmäßigen Zugang hat, in einem barrierefreien Format erstellen, übermitteln, zugänglich machen oder verbreiten kann. Eine befugte Stelle mit Sitz in Belgien kann bei einer befugten Stelle mit Sitz in einem beliebigen Mitgliedstaat der Europäischen Union ein Vervielfältigungsstück in einem barrierefreien Format beziehen oder abrufen. Die in den beiden vorstehenden Sätzen erwähnten Handlungen werden in gemeinnütziger Weise zur ausschließlichen Nutzung durch eine begünstigte Person ausgeführt, beeinträchtigen nicht die normale Verwertung des Computerprogramms und verletzen die berechtigten Interessen des Rechtsinhabers nicht ungebührlich.</w:t>
      </w:r>
    </w:p>
    <w:p w14:paraId="7E2DE7E6" w14:textId="77777777" w:rsidR="00B1340F" w:rsidRPr="004676F5" w:rsidRDefault="00B1340F" w:rsidP="00B1340F">
      <w:pPr>
        <w:jc w:val="both"/>
        <w:rPr>
          <w:lang w:val="de-DE"/>
        </w:rPr>
      </w:pPr>
    </w:p>
    <w:p w14:paraId="58BEC6F6" w14:textId="297AF304" w:rsidR="00B1340F" w:rsidRPr="004676F5" w:rsidRDefault="00B1340F" w:rsidP="00B1340F">
      <w:pPr>
        <w:ind w:firstLine="708"/>
        <w:jc w:val="both"/>
        <w:rPr>
          <w:lang w:val="de-DE"/>
        </w:rPr>
      </w:pPr>
      <w:r w:rsidRPr="004676F5">
        <w:rPr>
          <w:lang w:val="de-DE"/>
        </w:rPr>
        <w:t>Die Bestimmungen von Titel 5 Kapitel 8/2 sind entsprechend anwendbar auf die Nummern 1 und 2.]</w:t>
      </w:r>
    </w:p>
    <w:p w14:paraId="5AADE06C" w14:textId="77777777" w:rsidR="00A22769" w:rsidRPr="004676F5" w:rsidRDefault="00A22769" w:rsidP="00B1340F">
      <w:pPr>
        <w:ind w:firstLine="708"/>
        <w:jc w:val="both"/>
        <w:rPr>
          <w:lang w:val="de-DE"/>
        </w:rPr>
      </w:pPr>
    </w:p>
    <w:p w14:paraId="31DEFA90" w14:textId="32E08417" w:rsidR="00A22769" w:rsidRPr="004676F5" w:rsidRDefault="00A22769" w:rsidP="00A22769">
      <w:pPr>
        <w:ind w:firstLine="708"/>
        <w:jc w:val="both"/>
        <w:rPr>
          <w:lang w:val="de-DE"/>
        </w:rPr>
      </w:pPr>
      <w:r w:rsidRPr="004676F5">
        <w:rPr>
          <w:lang w:val="de-DE"/>
        </w:rPr>
        <w:t>[§ 5 </w:t>
      </w:r>
      <w:r w:rsidR="005B7A5C" w:rsidRPr="004676F5">
        <w:rPr>
          <w:lang w:val="de-DE"/>
        </w:rPr>
        <w:t>- </w:t>
      </w:r>
      <w:r w:rsidRPr="004676F5">
        <w:rPr>
          <w:lang w:val="de-DE"/>
        </w:rPr>
        <w:t xml:space="preserve">Die Erlaubnis des Rechtsinhabers ist für Vervielfältigungen im Sinne von Artikel XI.298 Buchstabe </w:t>
      </w:r>
      <w:r w:rsidRPr="004676F5">
        <w:rPr>
          <w:i/>
          <w:lang w:val="de-DE"/>
        </w:rPr>
        <w:t>a)</w:t>
      </w:r>
      <w:r w:rsidRPr="004676F5">
        <w:rPr>
          <w:lang w:val="de-DE"/>
        </w:rPr>
        <w:t xml:space="preserve"> und </w:t>
      </w:r>
      <w:r w:rsidRPr="004676F5">
        <w:rPr>
          <w:i/>
          <w:lang w:val="de-DE"/>
        </w:rPr>
        <w:t>b)</w:t>
      </w:r>
      <w:r w:rsidRPr="004676F5">
        <w:rPr>
          <w:lang w:val="de-DE"/>
        </w:rPr>
        <w:t xml:space="preserve"> von rechtmäßig zugänglichen Werken zum Zwecke des Text und Data Mining nicht erforderlich, sofern die jeweiligen Rechtsinhaber diese Werke nicht ausdrücklich in angemessener Weise mit einem Nutzungsvorbehalt versehen haben.</w:t>
      </w:r>
    </w:p>
    <w:p w14:paraId="523F4279" w14:textId="77777777" w:rsidR="00A22769" w:rsidRPr="004676F5" w:rsidRDefault="00A22769" w:rsidP="00A22769">
      <w:pPr>
        <w:jc w:val="both"/>
        <w:rPr>
          <w:lang w:val="de-DE"/>
        </w:rPr>
      </w:pPr>
    </w:p>
    <w:p w14:paraId="5FE605D4" w14:textId="77777777" w:rsidR="00A22769" w:rsidRPr="004676F5" w:rsidRDefault="00A22769" w:rsidP="00A22769">
      <w:pPr>
        <w:jc w:val="both"/>
        <w:rPr>
          <w:lang w:val="de-DE"/>
        </w:rPr>
      </w:pPr>
      <w:r w:rsidRPr="004676F5">
        <w:rPr>
          <w:lang w:val="de-DE"/>
        </w:rPr>
        <w:tab/>
        <w:t>Im Fall von online veröffentlichten Inhalten gilt der Nutzungsvorbehalt nur als angemessen, wenn er mit maschinenlesbaren Mitteln erfolgt.</w:t>
      </w:r>
    </w:p>
    <w:p w14:paraId="167A891C" w14:textId="77777777" w:rsidR="00A22769" w:rsidRPr="004676F5" w:rsidRDefault="00A22769" w:rsidP="00A22769">
      <w:pPr>
        <w:jc w:val="both"/>
        <w:rPr>
          <w:lang w:val="de-DE"/>
        </w:rPr>
      </w:pPr>
    </w:p>
    <w:p w14:paraId="75EAAAA5" w14:textId="77777777" w:rsidR="00A22769" w:rsidRPr="004676F5" w:rsidRDefault="00A22769" w:rsidP="00A22769">
      <w:pPr>
        <w:jc w:val="both"/>
        <w:rPr>
          <w:lang w:val="de-DE"/>
        </w:rPr>
      </w:pPr>
      <w:r w:rsidRPr="004676F5">
        <w:rPr>
          <w:lang w:val="de-DE"/>
        </w:rPr>
        <w:tab/>
        <w:t>Diese Vervielfältigungen dürfen so lange aufbewahrt werden, wie es für die Zwecke des Text und Data Mining notwendig ist.</w:t>
      </w:r>
    </w:p>
    <w:p w14:paraId="46A173FA" w14:textId="77777777" w:rsidR="00A22769" w:rsidRPr="004676F5" w:rsidRDefault="00A22769" w:rsidP="00A22769">
      <w:pPr>
        <w:jc w:val="both"/>
        <w:rPr>
          <w:lang w:val="de-DE"/>
        </w:rPr>
      </w:pPr>
    </w:p>
    <w:p w14:paraId="3AEB175C" w14:textId="0B87C9E4" w:rsidR="00A22769" w:rsidRPr="004676F5" w:rsidRDefault="00A22769" w:rsidP="00A22769">
      <w:pPr>
        <w:jc w:val="both"/>
        <w:rPr>
          <w:lang w:val="de-DE"/>
        </w:rPr>
      </w:pPr>
      <w:r w:rsidRPr="004676F5">
        <w:rPr>
          <w:lang w:val="de-DE"/>
        </w:rPr>
        <w:tab/>
        <w:t>§ 6 </w:t>
      </w:r>
      <w:r w:rsidR="005B7A5C" w:rsidRPr="004676F5">
        <w:rPr>
          <w:lang w:val="de-DE"/>
        </w:rPr>
        <w:t>- </w:t>
      </w:r>
      <w:r w:rsidRPr="004676F5">
        <w:rPr>
          <w:lang w:val="de-DE"/>
        </w:rPr>
        <w:t>Die Erlaubnis des Rechtsinhabers ist für Handlungen wie in Artikel XI.298 erwähnt nicht erforderlich, wenn diese Handlungen im Rahmen ihrer digitalen Nutzung zur Veranschaulichung im Unterricht erfolgen, soweit diese Nutzung durch den verfolgten nicht gewinnbringenden Zweck gerechtfertigt ist und insofern sie:</w:t>
      </w:r>
    </w:p>
    <w:p w14:paraId="67EC0095" w14:textId="77777777" w:rsidR="00A22769" w:rsidRPr="004676F5" w:rsidRDefault="00A22769" w:rsidP="00A22769">
      <w:pPr>
        <w:jc w:val="both"/>
        <w:rPr>
          <w:lang w:val="de-DE"/>
        </w:rPr>
      </w:pPr>
    </w:p>
    <w:p w14:paraId="63DF3E00" w14:textId="77777777" w:rsidR="00A22769" w:rsidRPr="004676F5" w:rsidRDefault="00A22769" w:rsidP="00A22769">
      <w:pPr>
        <w:jc w:val="both"/>
        <w:rPr>
          <w:lang w:val="de-DE"/>
        </w:rPr>
      </w:pPr>
      <w:r w:rsidRPr="004676F5">
        <w:rPr>
          <w:lang w:val="de-DE"/>
        </w:rPr>
        <w:tab/>
      </w:r>
      <w:r w:rsidRPr="004676F5">
        <w:rPr>
          <w:i/>
          <w:lang w:val="de-DE"/>
        </w:rPr>
        <w:t>a)</w:t>
      </w:r>
      <w:r w:rsidRPr="004676F5">
        <w:rPr>
          <w:lang w:val="de-DE"/>
        </w:rPr>
        <w:t> unter der Verantwortung einer Unterrichtsanstalt in ihren Räumlichkeiten oder an anderen Orten oder in einer gesicherten elektronischen Umgebung stattfindet, zu denen/der nur die Schüler oder Studenten und das Lehrpersonal der Unterrichtsanstalt Zugang haben, und</w:t>
      </w:r>
    </w:p>
    <w:p w14:paraId="065A7918" w14:textId="77777777" w:rsidR="00A22769" w:rsidRPr="004676F5" w:rsidRDefault="00A22769" w:rsidP="00A22769">
      <w:pPr>
        <w:jc w:val="both"/>
        <w:rPr>
          <w:lang w:val="de-DE"/>
        </w:rPr>
      </w:pPr>
    </w:p>
    <w:p w14:paraId="57E44131" w14:textId="77777777" w:rsidR="00A22769" w:rsidRPr="004676F5" w:rsidRDefault="00A22769" w:rsidP="00A22769">
      <w:pPr>
        <w:jc w:val="both"/>
        <w:rPr>
          <w:lang w:val="de-DE"/>
        </w:rPr>
      </w:pPr>
      <w:r w:rsidRPr="004676F5">
        <w:rPr>
          <w:i/>
          <w:lang w:val="de-DE"/>
        </w:rPr>
        <w:tab/>
        <w:t>b)</w:t>
      </w:r>
      <w:r w:rsidRPr="004676F5">
        <w:rPr>
          <w:lang w:val="de-DE"/>
        </w:rPr>
        <w:t> mit Quellenangaben erfolgt außer in Fällen, in denen sich das als unmöglich erweist.</w:t>
      </w:r>
    </w:p>
    <w:p w14:paraId="6AA5ECD5" w14:textId="77777777" w:rsidR="00A22769" w:rsidRPr="004676F5" w:rsidRDefault="00A22769" w:rsidP="00A22769">
      <w:pPr>
        <w:jc w:val="both"/>
        <w:rPr>
          <w:lang w:val="de-DE"/>
        </w:rPr>
      </w:pPr>
    </w:p>
    <w:p w14:paraId="7A7BA721" w14:textId="77777777" w:rsidR="00A22769" w:rsidRPr="004676F5" w:rsidRDefault="00A22769" w:rsidP="00A22769">
      <w:pPr>
        <w:jc w:val="both"/>
        <w:rPr>
          <w:lang w:val="de-DE"/>
        </w:rPr>
      </w:pPr>
      <w:r w:rsidRPr="004676F5">
        <w:rPr>
          <w:lang w:val="de-DE"/>
        </w:rPr>
        <w:tab/>
        <w:t>Die Nutzung von Werken über gesicherte elektronische Umgebungen zur Veranschaulichung im Unterricht wie in Absatz 1 erwähnt gilt als allein in dem Mitgliedstaat erfolgt, in dem die Unterrichtsanstalt ihren Sitz hat.</w:t>
      </w:r>
    </w:p>
    <w:p w14:paraId="74C79193" w14:textId="77777777" w:rsidR="00A22769" w:rsidRPr="004676F5" w:rsidRDefault="00A22769" w:rsidP="00A22769">
      <w:pPr>
        <w:jc w:val="both"/>
        <w:rPr>
          <w:lang w:val="de-DE"/>
        </w:rPr>
      </w:pPr>
    </w:p>
    <w:p w14:paraId="2728A685" w14:textId="58F5E0BB" w:rsidR="00A22769" w:rsidRPr="004676F5" w:rsidRDefault="00A22769" w:rsidP="00A22769">
      <w:pPr>
        <w:jc w:val="both"/>
        <w:rPr>
          <w:lang w:val="de-DE"/>
        </w:rPr>
      </w:pPr>
      <w:r w:rsidRPr="004676F5">
        <w:rPr>
          <w:lang w:val="de-DE"/>
        </w:rPr>
        <w:tab/>
        <w:t>§ 7 </w:t>
      </w:r>
      <w:r w:rsidR="005B7A5C" w:rsidRPr="004676F5">
        <w:rPr>
          <w:lang w:val="de-DE"/>
        </w:rPr>
        <w:t>- </w:t>
      </w:r>
      <w:r w:rsidRPr="004676F5">
        <w:rPr>
          <w:lang w:val="de-DE"/>
        </w:rPr>
        <w:t>Die Erlaubnis des Rechtsinhabers ist für Handlungen wie in Artikel XI.298 Buchstabe </w:t>
      </w:r>
      <w:r w:rsidRPr="004676F5">
        <w:rPr>
          <w:i/>
          <w:lang w:val="de-DE"/>
        </w:rPr>
        <w:t>a)</w:t>
      </w:r>
      <w:r w:rsidRPr="004676F5">
        <w:rPr>
          <w:lang w:val="de-DE"/>
        </w:rPr>
        <w:t xml:space="preserve"> erwähnt nicht erforderlich, wenn diese Handlungen unabhängig von Format oder Medium von öffentlich zugänglichen Bibliotheken oder Museen, Archiven oder im Bereich des Film</w:t>
      </w:r>
      <w:r w:rsidR="005B7A5C" w:rsidRPr="004676F5">
        <w:rPr>
          <w:lang w:val="de-DE"/>
        </w:rPr>
        <w:t>- </w:t>
      </w:r>
      <w:r w:rsidRPr="004676F5">
        <w:rPr>
          <w:lang w:val="de-DE"/>
        </w:rPr>
        <w:t>oder Tonerbes tätigen Einrichtungen in Bezug auf Werke, die sich dauerhaft in ihren Sammlungen befinden, vorgenommen werden für die Zwecke der Erhaltung dieser Werke in dem für diese Erhaltung notwendigen Umfang.]</w:t>
      </w:r>
    </w:p>
    <w:p w14:paraId="6CE683A5" w14:textId="77777777" w:rsidR="00A22769" w:rsidRPr="004676F5" w:rsidRDefault="00A22769" w:rsidP="00A22769">
      <w:pPr>
        <w:jc w:val="both"/>
        <w:rPr>
          <w:lang w:val="de-DE"/>
        </w:rPr>
      </w:pPr>
    </w:p>
    <w:p w14:paraId="7DC92D9A" w14:textId="2C4756B4" w:rsidR="00A22769" w:rsidRPr="004676F5" w:rsidRDefault="00A03295" w:rsidP="00A22769">
      <w:pPr>
        <w:jc w:val="both"/>
        <w:rPr>
          <w:i/>
          <w:lang w:val="de-DE"/>
        </w:rPr>
      </w:pPr>
      <w:r w:rsidRPr="004676F5">
        <w:rPr>
          <w:i/>
          <w:iCs/>
          <w:lang w:val="de-DE"/>
        </w:rPr>
        <w:t>[Art. XI.299 § 4 eingefügt durch Art. 14</w:t>
      </w:r>
      <w:r w:rsidRPr="004676F5">
        <w:rPr>
          <w:i/>
          <w:lang w:val="de-DE"/>
        </w:rPr>
        <w:t xml:space="preserve"> des G. vom 25. November 2018 (II) (B.S. vom 12. Dezember 2018); </w:t>
      </w:r>
      <w:r w:rsidR="00A22769" w:rsidRPr="004676F5">
        <w:rPr>
          <w:i/>
          <w:iCs/>
          <w:lang w:val="de-DE"/>
        </w:rPr>
        <w:t xml:space="preserve">§§ 5 bis 7 eingefügt durch Art. 78 des G. vom 19. Juni 2022 (B.S. vom 1. August 2022) des G. vom 19. Juni 2022 (B.S. vom 1. August 2022)] </w:t>
      </w:r>
    </w:p>
    <w:p w14:paraId="5D89085E" w14:textId="77777777" w:rsidR="00A22769" w:rsidRPr="004676F5" w:rsidRDefault="00A22769" w:rsidP="00A22769">
      <w:pPr>
        <w:jc w:val="both"/>
        <w:rPr>
          <w:lang w:val="de-DE"/>
        </w:rPr>
      </w:pPr>
    </w:p>
    <w:p w14:paraId="6D12E5FF" w14:textId="77777777" w:rsidR="00A22769" w:rsidRPr="004676F5" w:rsidRDefault="00A22769" w:rsidP="00A22769">
      <w:pPr>
        <w:jc w:val="both"/>
        <w:rPr>
          <w:lang w:val="de-DE"/>
        </w:rPr>
      </w:pPr>
    </w:p>
    <w:p w14:paraId="7A919154" w14:textId="044300EC" w:rsidR="00A22769" w:rsidRPr="004676F5" w:rsidRDefault="00A22769" w:rsidP="00A22769">
      <w:pPr>
        <w:ind w:firstLine="708"/>
        <w:jc w:val="both"/>
        <w:rPr>
          <w:lang w:val="de-DE"/>
        </w:rPr>
      </w:pPr>
      <w:r w:rsidRPr="004676F5">
        <w:rPr>
          <w:lang w:val="de-DE"/>
        </w:rPr>
        <w:t>[</w:t>
      </w:r>
      <w:r w:rsidRPr="004676F5">
        <w:rPr>
          <w:b/>
          <w:bCs/>
          <w:lang w:val="de-DE"/>
        </w:rPr>
        <w:t>Art. XI.299/1</w:t>
      </w:r>
      <w:r w:rsidRPr="004676F5">
        <w:rPr>
          <w:lang w:val="de-DE"/>
        </w:rPr>
        <w:t> </w:t>
      </w:r>
      <w:r w:rsidR="005B7A5C" w:rsidRPr="004676F5">
        <w:rPr>
          <w:lang w:val="de-DE"/>
        </w:rPr>
        <w:t>- </w:t>
      </w:r>
      <w:r w:rsidRPr="004676F5">
        <w:rPr>
          <w:lang w:val="de-DE"/>
        </w:rPr>
        <w:t xml:space="preserve">§ 1 ­ Außer in dem in § 2 erwähnten Fall darf der Inhaber der Rechte an einem Computerprogramm Vervielfältigung oder öffentliche Wiedergabe zu nicht </w:t>
      </w:r>
      <w:r w:rsidRPr="004676F5">
        <w:rPr>
          <w:lang w:val="de-DE"/>
        </w:rPr>
        <w:lastRenderedPageBreak/>
        <w:t>kommerziellen Zwecken eines vergriffenen Computerprogramms, dass sich dauerhaft in den Sammlungen einer öffentlich zugänglichen Bibliothek, eines öffentlich zugänglichen Museums, eines Archivs oder einer im Bereich des Film</w:t>
      </w:r>
      <w:r w:rsidR="005B7A5C" w:rsidRPr="004676F5">
        <w:rPr>
          <w:lang w:val="de-DE"/>
        </w:rPr>
        <w:t>- </w:t>
      </w:r>
      <w:r w:rsidRPr="004676F5">
        <w:rPr>
          <w:lang w:val="de-DE"/>
        </w:rPr>
        <w:t>oder Tonerbes tätigen Einrichtung befindet, durch diese Bibliothek, dieses Museum, dieses Archiv oder diese Einrichtung nicht untersagen, sofern:</w:t>
      </w:r>
    </w:p>
    <w:p w14:paraId="3D812B24" w14:textId="77777777" w:rsidR="00A22769" w:rsidRPr="004676F5" w:rsidRDefault="00A22769" w:rsidP="00A22769">
      <w:pPr>
        <w:jc w:val="both"/>
        <w:rPr>
          <w:lang w:val="de-DE"/>
        </w:rPr>
      </w:pPr>
    </w:p>
    <w:p w14:paraId="1F60E603" w14:textId="77777777" w:rsidR="00A22769" w:rsidRPr="004676F5" w:rsidRDefault="00A22769" w:rsidP="00A22769">
      <w:pPr>
        <w:jc w:val="both"/>
        <w:rPr>
          <w:lang w:val="de-DE"/>
        </w:rPr>
      </w:pPr>
      <w:r w:rsidRPr="004676F5">
        <w:rPr>
          <w:lang w:val="de-DE"/>
        </w:rPr>
        <w:tab/>
        <w:t>1. die gemäß Artikel XI.245/7/2 § 2 bestimmte repräsentative Verwertungsgesellschaft für die betreffenden Rechte nicht bestimmt ist,</w:t>
      </w:r>
    </w:p>
    <w:p w14:paraId="6364C413" w14:textId="77777777" w:rsidR="00A22769" w:rsidRPr="004676F5" w:rsidRDefault="00A22769" w:rsidP="00A22769">
      <w:pPr>
        <w:jc w:val="both"/>
        <w:rPr>
          <w:lang w:val="de-DE"/>
        </w:rPr>
      </w:pPr>
    </w:p>
    <w:p w14:paraId="2BC2F594" w14:textId="77777777" w:rsidR="00A22769" w:rsidRPr="004676F5" w:rsidRDefault="00A22769" w:rsidP="00A22769">
      <w:pPr>
        <w:jc w:val="both"/>
        <w:rPr>
          <w:lang w:val="de-DE"/>
        </w:rPr>
      </w:pPr>
      <w:r w:rsidRPr="004676F5">
        <w:rPr>
          <w:lang w:val="de-DE"/>
        </w:rPr>
        <w:tab/>
        <w:t>2. die Computerprogramme auf nicht kommerziellen Websites zur Verfügung gestellt werden und</w:t>
      </w:r>
    </w:p>
    <w:p w14:paraId="7153FF16" w14:textId="77777777" w:rsidR="00A22769" w:rsidRPr="004676F5" w:rsidRDefault="00A22769" w:rsidP="00A22769">
      <w:pPr>
        <w:jc w:val="both"/>
        <w:rPr>
          <w:lang w:val="de-DE"/>
        </w:rPr>
      </w:pPr>
    </w:p>
    <w:p w14:paraId="3E6DE468" w14:textId="77777777" w:rsidR="00A22769" w:rsidRPr="004676F5" w:rsidRDefault="00A22769" w:rsidP="00A22769">
      <w:pPr>
        <w:jc w:val="both"/>
        <w:rPr>
          <w:lang w:val="de-DE"/>
        </w:rPr>
      </w:pPr>
      <w:r w:rsidRPr="004676F5">
        <w:rPr>
          <w:lang w:val="de-DE"/>
        </w:rPr>
        <w:tab/>
        <w:t>3. Quelle und Name des Rechtsinhabers angegeben werden, außer in Fällen, in denen sich das als unmöglich erweist.</w:t>
      </w:r>
    </w:p>
    <w:p w14:paraId="18E03589" w14:textId="77777777" w:rsidR="00A22769" w:rsidRPr="004676F5" w:rsidRDefault="00A22769" w:rsidP="00A22769">
      <w:pPr>
        <w:jc w:val="both"/>
        <w:rPr>
          <w:lang w:val="de-DE"/>
        </w:rPr>
      </w:pPr>
    </w:p>
    <w:p w14:paraId="6C7294BF" w14:textId="6E754D3C" w:rsidR="00A22769" w:rsidRPr="004676F5" w:rsidRDefault="00A22769" w:rsidP="00A22769">
      <w:pPr>
        <w:jc w:val="both"/>
        <w:rPr>
          <w:lang w:val="de-DE"/>
        </w:rPr>
      </w:pPr>
      <w:r w:rsidRPr="004676F5">
        <w:rPr>
          <w:lang w:val="de-DE"/>
        </w:rPr>
        <w:tab/>
        <w:t>§ 2 ­ Ein Rechtsinhaber kann seine Werke auch nach Beginn der jeweiligen Nutzung durch eine öffentlich zugängliche Bibliothek, ein öffentlich zugängliches Museum, ein Archiv oder eine im Bereich des Film</w:t>
      </w:r>
      <w:r w:rsidR="005B7A5C" w:rsidRPr="004676F5">
        <w:rPr>
          <w:lang w:val="de-DE"/>
        </w:rPr>
        <w:t>- </w:t>
      </w:r>
      <w:r w:rsidRPr="004676F5">
        <w:rPr>
          <w:lang w:val="de-DE"/>
        </w:rPr>
        <w:t>oder Tonerbes tätige Einrichtung entweder generell oder in bestimmten Fällen jederzeit gemäß Artikel XI.245/7/3 einfach und wirksam von den in § 1 erwähnten Rechten der Vervielfältigung und öffentlichen Wiedergabe ausschließen.</w:t>
      </w:r>
    </w:p>
    <w:p w14:paraId="02C14446" w14:textId="77777777" w:rsidR="00A22769" w:rsidRPr="004676F5" w:rsidRDefault="00A22769" w:rsidP="00A22769">
      <w:pPr>
        <w:jc w:val="both"/>
        <w:rPr>
          <w:lang w:val="de-DE"/>
        </w:rPr>
      </w:pPr>
    </w:p>
    <w:p w14:paraId="4B64DFA9" w14:textId="77777777" w:rsidR="00A22769" w:rsidRPr="004676F5" w:rsidRDefault="00A22769" w:rsidP="00A22769">
      <w:pPr>
        <w:jc w:val="both"/>
        <w:rPr>
          <w:lang w:val="de-DE"/>
        </w:rPr>
      </w:pPr>
      <w:r w:rsidRPr="004676F5">
        <w:rPr>
          <w:lang w:val="de-DE"/>
        </w:rPr>
        <w:tab/>
        <w:t>Der König kann Modalitäten in Bezug auf die Ausübung des in Absatz 1 erwähnten Ausschlusses bestimmen.</w:t>
      </w:r>
    </w:p>
    <w:p w14:paraId="77E53301" w14:textId="77777777" w:rsidR="00A22769" w:rsidRPr="004676F5" w:rsidRDefault="00A22769" w:rsidP="00A22769">
      <w:pPr>
        <w:jc w:val="both"/>
        <w:rPr>
          <w:lang w:val="de-DE"/>
        </w:rPr>
      </w:pPr>
    </w:p>
    <w:p w14:paraId="2EE2B1B0" w14:textId="79A2AFEC" w:rsidR="00A22769" w:rsidRPr="004676F5" w:rsidRDefault="00A22769" w:rsidP="00A22769">
      <w:pPr>
        <w:jc w:val="both"/>
        <w:rPr>
          <w:lang w:val="de-DE"/>
        </w:rPr>
      </w:pPr>
      <w:r w:rsidRPr="004676F5">
        <w:rPr>
          <w:lang w:val="de-DE"/>
        </w:rPr>
        <w:tab/>
        <w:t>§ 3 ­ Mindestens sechs Monate vor der in § 1 erwähnten Vervielfältigung und öffentlichen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müssen die vorerwähnten Einrichtungen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49C77E62" w14:textId="77777777" w:rsidR="00A22769" w:rsidRPr="004676F5" w:rsidRDefault="00A22769" w:rsidP="00A22769">
      <w:pPr>
        <w:jc w:val="both"/>
        <w:rPr>
          <w:lang w:val="de-DE"/>
        </w:rPr>
      </w:pPr>
    </w:p>
    <w:p w14:paraId="05486074" w14:textId="77777777" w:rsidR="00A22769" w:rsidRPr="004676F5" w:rsidRDefault="00A22769" w:rsidP="00A22769">
      <w:pPr>
        <w:jc w:val="both"/>
        <w:rPr>
          <w:lang w:val="de-DE"/>
        </w:rPr>
      </w:pPr>
      <w:r w:rsidRPr="004676F5">
        <w:rPr>
          <w:lang w:val="de-DE"/>
        </w:rPr>
        <w:tab/>
        <w:t>1. Identifizierung der vergriffenen Computerprogramme und</w:t>
      </w:r>
    </w:p>
    <w:p w14:paraId="44A8F65E" w14:textId="77777777" w:rsidR="00A22769" w:rsidRPr="004676F5" w:rsidRDefault="00A22769" w:rsidP="00A22769">
      <w:pPr>
        <w:jc w:val="both"/>
        <w:rPr>
          <w:lang w:val="de-DE"/>
        </w:rPr>
      </w:pPr>
    </w:p>
    <w:p w14:paraId="21003EC7" w14:textId="77777777" w:rsidR="00A22769" w:rsidRPr="004676F5" w:rsidRDefault="00A22769" w:rsidP="00A22769">
      <w:pPr>
        <w:jc w:val="both"/>
        <w:rPr>
          <w:lang w:val="de-DE"/>
        </w:rPr>
      </w:pPr>
      <w:r w:rsidRPr="004676F5">
        <w:rPr>
          <w:lang w:val="de-DE"/>
        </w:rPr>
        <w:tab/>
        <w:t>2. Möglichkeit für den Rechtsinhaber, seine Rechte gemäß Artikel XI.245/7/3 von dieser Ausnahme auszuschließen.</w:t>
      </w:r>
    </w:p>
    <w:p w14:paraId="21752ED6" w14:textId="77777777" w:rsidR="00A22769" w:rsidRPr="004676F5" w:rsidRDefault="00A22769" w:rsidP="00A22769">
      <w:pPr>
        <w:jc w:val="both"/>
        <w:rPr>
          <w:lang w:val="de-DE"/>
        </w:rPr>
      </w:pPr>
    </w:p>
    <w:p w14:paraId="279299B7" w14:textId="77777777" w:rsidR="00A22769" w:rsidRPr="004676F5" w:rsidRDefault="00A22769" w:rsidP="00A22769">
      <w:pPr>
        <w:jc w:val="both"/>
        <w:rPr>
          <w:lang w:val="de-DE"/>
        </w:rPr>
      </w:pPr>
      <w:r w:rsidRPr="004676F5">
        <w:rPr>
          <w:lang w:val="de-DE"/>
        </w:rPr>
        <w:tab/>
        <w:t>Der König kann Modalitäten in Bezug auf die in Absatz 1 erwähnte Bekanntmachung bestimmen und weitere geeignete Informationsmaßnahmen festlegen, wenn sich dies als notwendig erweist, um Rechtsinhaber zu sensibilisieren.</w:t>
      </w:r>
    </w:p>
    <w:p w14:paraId="3E1FD061" w14:textId="77777777" w:rsidR="00A22769" w:rsidRPr="004676F5" w:rsidRDefault="00A22769" w:rsidP="00A22769">
      <w:pPr>
        <w:jc w:val="both"/>
        <w:rPr>
          <w:lang w:val="de-DE"/>
        </w:rPr>
      </w:pPr>
    </w:p>
    <w:p w14:paraId="6589FD57" w14:textId="4ACE1479" w:rsidR="00A22769" w:rsidRPr="004676F5" w:rsidRDefault="00A22769" w:rsidP="00A22769">
      <w:pPr>
        <w:jc w:val="both"/>
        <w:rPr>
          <w:lang w:val="de-DE"/>
        </w:rPr>
      </w:pPr>
      <w:r w:rsidRPr="004676F5">
        <w:rPr>
          <w:lang w:val="de-DE"/>
        </w:rPr>
        <w:tab/>
        <w:t>§ 4 </w:t>
      </w:r>
      <w:r w:rsidR="005B7A5C" w:rsidRPr="004676F5">
        <w:rPr>
          <w:lang w:val="de-DE"/>
        </w:rPr>
        <w:t>- </w:t>
      </w:r>
      <w:r w:rsidRPr="004676F5">
        <w:rPr>
          <w:lang w:val="de-DE"/>
        </w:rPr>
        <w:t>Eine in § 1 erwähnte Vervielfältigung und öffentliche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gilt als allein in dem Mitgliedstaat erfolgt, in dem die vorerwähnte Einrichtung ihren Sitz hat.</w:t>
      </w:r>
    </w:p>
    <w:p w14:paraId="79C8E637" w14:textId="77777777" w:rsidR="00A22769" w:rsidRPr="004676F5" w:rsidRDefault="00A22769" w:rsidP="00A22769">
      <w:pPr>
        <w:jc w:val="both"/>
        <w:rPr>
          <w:lang w:val="de-DE"/>
        </w:rPr>
      </w:pPr>
    </w:p>
    <w:p w14:paraId="7688DC0B" w14:textId="7C425760" w:rsidR="00A22769" w:rsidRPr="004676F5" w:rsidRDefault="00A22769" w:rsidP="00A22769">
      <w:pPr>
        <w:ind w:firstLine="708"/>
        <w:jc w:val="both"/>
        <w:rPr>
          <w:lang w:val="de-DE"/>
        </w:rPr>
      </w:pPr>
      <w:r w:rsidRPr="004676F5">
        <w:rPr>
          <w:lang w:val="de-DE"/>
        </w:rPr>
        <w:t>§ 5 </w:t>
      </w:r>
      <w:r w:rsidR="005B7A5C" w:rsidRPr="004676F5">
        <w:rPr>
          <w:lang w:val="de-DE"/>
        </w:rPr>
        <w:t>- </w:t>
      </w:r>
      <w:r w:rsidRPr="004676F5">
        <w:rPr>
          <w:lang w:val="de-DE"/>
        </w:rPr>
        <w:t>Öffentlich zugängliche Bibliotheken oder Museen, Archive oder im Bereich des Film</w:t>
      </w:r>
      <w:r w:rsidR="005B7A5C" w:rsidRPr="004676F5">
        <w:rPr>
          <w:lang w:val="de-DE"/>
        </w:rPr>
        <w:t>- </w:t>
      </w:r>
      <w:r w:rsidRPr="004676F5">
        <w:rPr>
          <w:lang w:val="de-DE"/>
        </w:rPr>
        <w:t>oder Tonerbes tätige Einrichtungen sind die für die Verarbeitung personenbezogener Daten Verantwortlichen, und zwar jeweils für die Datenverarbeitungen, die sie betreffen.</w:t>
      </w:r>
      <w:r w:rsidR="00A03295" w:rsidRPr="004676F5">
        <w:rPr>
          <w:lang w:val="de-DE"/>
        </w:rPr>
        <w:t>]</w:t>
      </w:r>
    </w:p>
    <w:p w14:paraId="174B3C97" w14:textId="77777777" w:rsidR="00A03295" w:rsidRPr="004676F5" w:rsidRDefault="00A03295" w:rsidP="00A22769">
      <w:pPr>
        <w:ind w:firstLine="708"/>
        <w:jc w:val="both"/>
        <w:rPr>
          <w:lang w:val="de-DE"/>
        </w:rPr>
      </w:pPr>
    </w:p>
    <w:p w14:paraId="2228143C" w14:textId="2E5D9E2A" w:rsidR="00A03295" w:rsidRPr="004676F5" w:rsidRDefault="00A03295" w:rsidP="00A03295">
      <w:pPr>
        <w:jc w:val="both"/>
        <w:rPr>
          <w:i/>
          <w:iCs/>
          <w:lang w:val="de-DE"/>
        </w:rPr>
      </w:pPr>
      <w:r w:rsidRPr="004676F5">
        <w:rPr>
          <w:i/>
          <w:iCs/>
          <w:lang w:val="de-DE"/>
        </w:rPr>
        <w:t>[Art. XI.299/1 eingefügt durch Art. 79 des G. vom 19. Juni 2022 (B.S. vom 1. August 2022)]</w:t>
      </w:r>
    </w:p>
    <w:p w14:paraId="5206C90C" w14:textId="77777777" w:rsidR="00A03295" w:rsidRPr="004676F5" w:rsidRDefault="00A03295" w:rsidP="00A03295">
      <w:pPr>
        <w:jc w:val="both"/>
        <w:rPr>
          <w:lang w:val="de-DE"/>
        </w:rPr>
      </w:pPr>
    </w:p>
    <w:p w14:paraId="05E545E3" w14:textId="77777777" w:rsidR="00B1340F" w:rsidRPr="004676F5" w:rsidRDefault="00B1340F" w:rsidP="00B1340F">
      <w:pPr>
        <w:ind w:firstLine="708"/>
        <w:jc w:val="both"/>
        <w:rPr>
          <w:lang w:val="de-DE"/>
        </w:rPr>
      </w:pPr>
    </w:p>
    <w:p w14:paraId="7CA29488" w14:textId="2D3A52AB" w:rsidR="001527B1" w:rsidRPr="004676F5" w:rsidRDefault="00BE0A56" w:rsidP="001527B1">
      <w:pPr>
        <w:ind w:firstLine="708"/>
        <w:jc w:val="both"/>
        <w:rPr>
          <w:lang w:val="de-DE"/>
        </w:rPr>
      </w:pPr>
      <w:r w:rsidRPr="004676F5">
        <w:rPr>
          <w:b/>
          <w:lang w:val="de-DE"/>
        </w:rPr>
        <w:t>Art. </w:t>
      </w:r>
      <w:r w:rsidR="001527B1" w:rsidRPr="004676F5">
        <w:rPr>
          <w:b/>
          <w:lang w:val="de-DE"/>
        </w:rPr>
        <w:t>XI.300</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Die Zustimmung des Rechtsinhabers ist nicht erforderlich, wenn die Vervielfältigung des Codes oder die Übersetzung der Codeform im Sinne des Artikels XI.298 Buchstabe </w:t>
      </w:r>
      <w:r w:rsidR="001527B1" w:rsidRPr="004676F5">
        <w:rPr>
          <w:i/>
          <w:lang w:val="de-DE"/>
        </w:rPr>
        <w:t>a)</w:t>
      </w:r>
      <w:r w:rsidR="001527B1" w:rsidRPr="004676F5">
        <w:rPr>
          <w:lang w:val="de-DE"/>
        </w:rPr>
        <w:t xml:space="preserve"> und </w:t>
      </w:r>
      <w:r w:rsidR="001527B1" w:rsidRPr="004676F5">
        <w:rPr>
          <w:i/>
          <w:lang w:val="de-DE"/>
        </w:rPr>
        <w:t>b)</w:t>
      </w:r>
      <w:r w:rsidR="001527B1" w:rsidRPr="004676F5">
        <w:rPr>
          <w:lang w:val="de-DE"/>
        </w:rPr>
        <w:t xml:space="preserve"> unerlässlich ist, um die erforderlichen Informationen zur Herstellung der Interoperabilität eines unabhängig geschaffenen Computerprogramms mit anderen Programmen zu erhalten, sofern folgende Bedingungen erfüllt sind:</w:t>
      </w:r>
    </w:p>
    <w:p w14:paraId="04292AC8" w14:textId="77777777" w:rsidR="001527B1" w:rsidRPr="004676F5" w:rsidRDefault="001527B1" w:rsidP="001527B1">
      <w:pPr>
        <w:ind w:firstLine="708"/>
        <w:jc w:val="both"/>
        <w:rPr>
          <w:lang w:val="de-DE"/>
        </w:rPr>
      </w:pPr>
    </w:p>
    <w:p w14:paraId="3A5AFA6C" w14:textId="77777777" w:rsidR="001527B1" w:rsidRPr="004676F5" w:rsidRDefault="001527B1" w:rsidP="001527B1">
      <w:pPr>
        <w:ind w:firstLine="708"/>
        <w:jc w:val="both"/>
        <w:rPr>
          <w:lang w:val="de-DE"/>
        </w:rPr>
      </w:pPr>
      <w:r w:rsidRPr="004676F5">
        <w:rPr>
          <w:i/>
          <w:lang w:val="de-DE"/>
        </w:rPr>
        <w:t>a) </w:t>
      </w:r>
      <w:r w:rsidRPr="004676F5">
        <w:rPr>
          <w:lang w:val="de-DE"/>
        </w:rPr>
        <w:t>Die Handlungen zur Vervielfältigung und Übersetzung werden von einer zur Verwendung einer Programmkopie berechtigten Person oder in deren Namen von einer hierzu ermächtigten Person vorgenommen.</w:t>
      </w:r>
    </w:p>
    <w:p w14:paraId="4F45CAD0" w14:textId="77777777" w:rsidR="001527B1" w:rsidRPr="004676F5" w:rsidRDefault="001527B1" w:rsidP="001527B1">
      <w:pPr>
        <w:ind w:firstLine="708"/>
        <w:jc w:val="both"/>
        <w:rPr>
          <w:lang w:val="de-DE"/>
        </w:rPr>
      </w:pPr>
    </w:p>
    <w:p w14:paraId="438275A3" w14:textId="77777777" w:rsidR="001527B1" w:rsidRPr="004676F5" w:rsidRDefault="001527B1" w:rsidP="001527B1">
      <w:pPr>
        <w:ind w:firstLine="708"/>
        <w:jc w:val="both"/>
        <w:rPr>
          <w:lang w:val="de-DE"/>
        </w:rPr>
      </w:pPr>
      <w:r w:rsidRPr="004676F5">
        <w:rPr>
          <w:i/>
          <w:lang w:val="de-DE"/>
        </w:rPr>
        <w:t>b) </w:t>
      </w:r>
      <w:r w:rsidRPr="004676F5">
        <w:rPr>
          <w:lang w:val="de-DE"/>
        </w:rPr>
        <w:t>Die für die Herstellung der Interoperabilität notwendigen Informationen sind für diese Person noch nicht ohne weiteres zugänglich gemacht.</w:t>
      </w:r>
    </w:p>
    <w:p w14:paraId="7EE7D384" w14:textId="77777777" w:rsidR="001527B1" w:rsidRPr="004676F5" w:rsidRDefault="001527B1" w:rsidP="001527B1">
      <w:pPr>
        <w:ind w:firstLine="708"/>
        <w:jc w:val="both"/>
        <w:rPr>
          <w:lang w:val="de-DE"/>
        </w:rPr>
      </w:pPr>
    </w:p>
    <w:p w14:paraId="1EAA5EF9" w14:textId="77777777" w:rsidR="001527B1" w:rsidRPr="004676F5" w:rsidRDefault="001527B1" w:rsidP="001527B1">
      <w:pPr>
        <w:ind w:firstLine="708"/>
        <w:jc w:val="both"/>
        <w:rPr>
          <w:lang w:val="de-DE"/>
        </w:rPr>
      </w:pPr>
      <w:r w:rsidRPr="004676F5">
        <w:rPr>
          <w:i/>
          <w:lang w:val="de-DE"/>
        </w:rPr>
        <w:t>c) </w:t>
      </w:r>
      <w:r w:rsidRPr="004676F5">
        <w:rPr>
          <w:lang w:val="de-DE"/>
        </w:rPr>
        <w:t>Die Handlungen zur Vervielfältigung und Übersetzung beschränken sich auf die Teile des ursprünglichen Programms, die zur Herstellung der Interoperabilität notwendig sind.</w:t>
      </w:r>
    </w:p>
    <w:p w14:paraId="090A3F37" w14:textId="77777777" w:rsidR="001527B1" w:rsidRPr="004676F5" w:rsidRDefault="001527B1" w:rsidP="001527B1">
      <w:pPr>
        <w:ind w:firstLine="708"/>
        <w:jc w:val="both"/>
        <w:rPr>
          <w:lang w:val="de-DE"/>
        </w:rPr>
      </w:pPr>
    </w:p>
    <w:p w14:paraId="6927E2C4" w14:textId="6BEC37C1"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Bestimmungen des vorhergehenden Paragraphen erlauben nicht, dass die im Rahmen ihrer Anwendung gewonnenen Informationen:</w:t>
      </w:r>
    </w:p>
    <w:p w14:paraId="3A33657A" w14:textId="77777777" w:rsidR="001527B1" w:rsidRPr="004676F5" w:rsidRDefault="001527B1" w:rsidP="001527B1">
      <w:pPr>
        <w:ind w:firstLine="708"/>
        <w:jc w:val="both"/>
        <w:rPr>
          <w:lang w:val="de-DE"/>
        </w:rPr>
      </w:pPr>
    </w:p>
    <w:p w14:paraId="60C8BEDA" w14:textId="77777777" w:rsidR="001527B1" w:rsidRPr="004676F5" w:rsidRDefault="001527B1" w:rsidP="001527B1">
      <w:pPr>
        <w:ind w:firstLine="708"/>
        <w:jc w:val="both"/>
        <w:rPr>
          <w:lang w:val="de-DE"/>
        </w:rPr>
      </w:pPr>
      <w:r w:rsidRPr="004676F5">
        <w:rPr>
          <w:i/>
          <w:lang w:val="de-DE"/>
        </w:rPr>
        <w:t>a) </w:t>
      </w:r>
      <w:r w:rsidRPr="004676F5">
        <w:rPr>
          <w:lang w:val="de-DE"/>
        </w:rPr>
        <w:t>zu anderen Zwecken als zur Herstellung der Interoperabilität des unabhängig geschaffenen Programms verwendet werden,</w:t>
      </w:r>
    </w:p>
    <w:p w14:paraId="104EA09E" w14:textId="77777777" w:rsidR="001527B1" w:rsidRPr="004676F5" w:rsidRDefault="001527B1" w:rsidP="001527B1">
      <w:pPr>
        <w:ind w:firstLine="708"/>
        <w:jc w:val="both"/>
        <w:rPr>
          <w:lang w:val="de-DE"/>
        </w:rPr>
      </w:pPr>
    </w:p>
    <w:p w14:paraId="337484B2" w14:textId="77777777" w:rsidR="001527B1" w:rsidRPr="004676F5" w:rsidRDefault="001527B1" w:rsidP="001527B1">
      <w:pPr>
        <w:ind w:firstLine="708"/>
        <w:jc w:val="both"/>
        <w:rPr>
          <w:lang w:val="de-DE"/>
        </w:rPr>
      </w:pPr>
      <w:r w:rsidRPr="004676F5">
        <w:rPr>
          <w:i/>
          <w:lang w:val="de-DE"/>
        </w:rPr>
        <w:t>b) </w:t>
      </w:r>
      <w:r w:rsidRPr="004676F5">
        <w:rPr>
          <w:lang w:val="de-DE"/>
        </w:rPr>
        <w:t>an Dritte weitergegeben werden, es sei denn, dass dies für die Interoperabilität des unabhängig geschaffenen Programms notwendig ist,</w:t>
      </w:r>
    </w:p>
    <w:p w14:paraId="18137C74" w14:textId="77777777" w:rsidR="001527B1" w:rsidRPr="004676F5" w:rsidRDefault="001527B1" w:rsidP="001527B1">
      <w:pPr>
        <w:ind w:firstLine="708"/>
        <w:jc w:val="both"/>
        <w:rPr>
          <w:lang w:val="de-DE"/>
        </w:rPr>
      </w:pPr>
    </w:p>
    <w:p w14:paraId="3E9A352C" w14:textId="77777777" w:rsidR="001527B1" w:rsidRPr="004676F5" w:rsidRDefault="001527B1" w:rsidP="001527B1">
      <w:pPr>
        <w:ind w:firstLine="708"/>
        <w:jc w:val="both"/>
        <w:rPr>
          <w:lang w:val="de-DE"/>
        </w:rPr>
      </w:pPr>
      <w:r w:rsidRPr="004676F5">
        <w:rPr>
          <w:i/>
          <w:lang w:val="de-DE"/>
        </w:rPr>
        <w:t>c) </w:t>
      </w:r>
      <w:r w:rsidRPr="004676F5">
        <w:rPr>
          <w:lang w:val="de-DE"/>
        </w:rPr>
        <w:t>oder für die Entwicklung, Herstellung oder Vermarktung eines Computer</w:t>
      </w:r>
      <w:r w:rsidRPr="004676F5">
        <w:rPr>
          <w:lang w:val="de-DE"/>
        </w:rPr>
        <w:softHyphen/>
        <w:t>programms mit im Wesentlichen ähnlicher Ausdrucksform oder für irgendwelche anderen das Urheberrecht verletzenden Handlungen verwendet werden.</w:t>
      </w:r>
    </w:p>
    <w:p w14:paraId="3CF6BA51" w14:textId="77777777" w:rsidR="001527B1" w:rsidRPr="004676F5" w:rsidRDefault="001527B1" w:rsidP="001527B1">
      <w:pPr>
        <w:ind w:firstLine="708"/>
        <w:jc w:val="both"/>
        <w:rPr>
          <w:lang w:val="de-DE"/>
        </w:rPr>
      </w:pPr>
    </w:p>
    <w:p w14:paraId="60568D64" w14:textId="5ABBD3A0"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Vorliegender Artikel kann nicht in einer Weise angewendet werden, die rechtmäßige Interessen des Rechtsinhabers in unvertretbarer Weise beeinträchtigt oder im Widerspruch zur normalen Nutzung des Computerprogramms steht.</w:t>
      </w:r>
    </w:p>
    <w:p w14:paraId="737B189B" w14:textId="77777777" w:rsidR="001527B1" w:rsidRPr="004676F5" w:rsidRDefault="001527B1" w:rsidP="001527B1">
      <w:pPr>
        <w:ind w:firstLine="708"/>
        <w:jc w:val="both"/>
        <w:rPr>
          <w:lang w:val="de-DE"/>
        </w:rPr>
      </w:pPr>
    </w:p>
    <w:p w14:paraId="546BE5FF" w14:textId="77777777" w:rsidR="00355502" w:rsidRPr="004676F5" w:rsidRDefault="00355502" w:rsidP="001527B1">
      <w:pPr>
        <w:ind w:firstLine="708"/>
        <w:jc w:val="both"/>
        <w:rPr>
          <w:lang w:val="de-DE"/>
        </w:rPr>
      </w:pPr>
    </w:p>
    <w:p w14:paraId="5F6E98FD" w14:textId="4557B990" w:rsidR="001527B1" w:rsidRPr="004676F5" w:rsidRDefault="00BE0A56" w:rsidP="001527B1">
      <w:pPr>
        <w:ind w:firstLine="708"/>
        <w:jc w:val="both"/>
        <w:rPr>
          <w:lang w:val="de-DE"/>
        </w:rPr>
      </w:pPr>
      <w:r w:rsidRPr="004676F5">
        <w:rPr>
          <w:b/>
          <w:lang w:val="de-DE"/>
        </w:rPr>
        <w:t>Art. </w:t>
      </w:r>
      <w:r w:rsidR="001527B1" w:rsidRPr="004676F5">
        <w:rPr>
          <w:b/>
          <w:lang w:val="de-DE"/>
        </w:rPr>
        <w:t>XI.301</w:t>
      </w:r>
      <w:r w:rsidR="001527B1" w:rsidRPr="004676F5">
        <w:rPr>
          <w:lang w:val="de-DE"/>
        </w:rPr>
        <w:t> </w:t>
      </w:r>
      <w:r w:rsidR="005B7A5C" w:rsidRPr="004676F5">
        <w:rPr>
          <w:lang w:val="de-DE"/>
        </w:rPr>
        <w:t>- </w:t>
      </w:r>
      <w:r w:rsidR="00A03295" w:rsidRPr="004676F5">
        <w:rPr>
          <w:lang w:val="de-DE"/>
        </w:rPr>
        <w:t>[Die Bestimmungen der Artikel XI.299 §§ 2 bis 7, XI.299/1 und XI.300 sind verbindlich.]</w:t>
      </w:r>
    </w:p>
    <w:p w14:paraId="4F49B3A4" w14:textId="77777777" w:rsidR="00A03295" w:rsidRPr="004676F5" w:rsidRDefault="00A03295" w:rsidP="001527B1">
      <w:pPr>
        <w:ind w:firstLine="708"/>
        <w:jc w:val="both"/>
        <w:rPr>
          <w:lang w:val="de-DE"/>
        </w:rPr>
      </w:pPr>
    </w:p>
    <w:p w14:paraId="5F1877D4" w14:textId="2A56FE05" w:rsidR="00B1340F" w:rsidRPr="004676F5" w:rsidRDefault="00B1340F" w:rsidP="00B1340F">
      <w:pPr>
        <w:jc w:val="both"/>
        <w:rPr>
          <w:i/>
          <w:lang w:val="de-DE"/>
        </w:rPr>
      </w:pPr>
      <w:r w:rsidRPr="004676F5">
        <w:rPr>
          <w:i/>
          <w:iCs/>
          <w:lang w:val="de-DE"/>
        </w:rPr>
        <w:t xml:space="preserve">[Art. XI.301 </w:t>
      </w:r>
      <w:r w:rsidR="00A03295" w:rsidRPr="004676F5">
        <w:rPr>
          <w:i/>
          <w:iCs/>
          <w:lang w:val="de-DE"/>
        </w:rPr>
        <w:t>ersetzt durch Art. 80 des G. vom 19. Juni 2022 (B.S. vom 1. August 2022)]</w:t>
      </w:r>
    </w:p>
    <w:p w14:paraId="1CB2DE1C" w14:textId="77777777" w:rsidR="00B1340F" w:rsidRPr="004676F5" w:rsidRDefault="00B1340F" w:rsidP="00B1340F">
      <w:pPr>
        <w:jc w:val="both"/>
        <w:rPr>
          <w:i/>
          <w:iCs/>
          <w:lang w:val="de-DE"/>
        </w:rPr>
      </w:pPr>
    </w:p>
    <w:p w14:paraId="30EFFE4C" w14:textId="77777777" w:rsidR="00355502" w:rsidRPr="004676F5" w:rsidRDefault="00355502" w:rsidP="001527B1">
      <w:pPr>
        <w:ind w:firstLine="708"/>
        <w:jc w:val="both"/>
        <w:rPr>
          <w:lang w:val="de-DE"/>
        </w:rPr>
      </w:pPr>
    </w:p>
    <w:p w14:paraId="01FB8207" w14:textId="5237FFFE" w:rsidR="001527B1" w:rsidRPr="004676F5" w:rsidRDefault="00BE0A56" w:rsidP="001527B1">
      <w:pPr>
        <w:ind w:firstLine="708"/>
        <w:jc w:val="both"/>
        <w:rPr>
          <w:lang w:val="de-DE"/>
        </w:rPr>
      </w:pPr>
      <w:r w:rsidRPr="004676F5">
        <w:rPr>
          <w:b/>
          <w:lang w:val="de-DE"/>
        </w:rPr>
        <w:t>Art. </w:t>
      </w:r>
      <w:r w:rsidR="001527B1" w:rsidRPr="004676F5">
        <w:rPr>
          <w:b/>
          <w:lang w:val="de-DE"/>
        </w:rPr>
        <w:t>XI.302</w:t>
      </w:r>
      <w:r w:rsidR="001527B1" w:rsidRPr="004676F5">
        <w:rPr>
          <w:lang w:val="de-DE"/>
        </w:rPr>
        <w:t> </w:t>
      </w:r>
      <w:r w:rsidR="005B7A5C" w:rsidRPr="004676F5">
        <w:rPr>
          <w:lang w:val="de-DE"/>
        </w:rPr>
        <w:t>- </w:t>
      </w:r>
      <w:r w:rsidR="001527B1" w:rsidRPr="004676F5">
        <w:rPr>
          <w:lang w:val="de-DE"/>
        </w:rPr>
        <w:t>Die urheberrechtliche Schutzdauer für Computerprogramme wird gemäß Artikel XI.166 bestimmt.</w:t>
      </w:r>
    </w:p>
    <w:p w14:paraId="28B806E8" w14:textId="77777777" w:rsidR="001527B1" w:rsidRPr="004676F5" w:rsidRDefault="001527B1" w:rsidP="001527B1">
      <w:pPr>
        <w:ind w:firstLine="708"/>
        <w:jc w:val="both"/>
        <w:rPr>
          <w:lang w:val="de-DE"/>
        </w:rPr>
      </w:pPr>
    </w:p>
    <w:p w14:paraId="36EDCD3F" w14:textId="77777777" w:rsidR="00355502" w:rsidRPr="004676F5" w:rsidRDefault="00355502" w:rsidP="001527B1">
      <w:pPr>
        <w:ind w:firstLine="708"/>
        <w:jc w:val="both"/>
        <w:rPr>
          <w:lang w:val="de-DE"/>
        </w:rPr>
      </w:pPr>
    </w:p>
    <w:p w14:paraId="5BE7C7FF" w14:textId="2FD176DE" w:rsidR="001527B1" w:rsidRPr="004676F5" w:rsidRDefault="00BE0A56" w:rsidP="001527B1">
      <w:pPr>
        <w:ind w:firstLine="708"/>
        <w:jc w:val="both"/>
        <w:rPr>
          <w:lang w:val="de-DE"/>
        </w:rPr>
      </w:pPr>
      <w:r w:rsidRPr="004676F5">
        <w:rPr>
          <w:b/>
          <w:lang w:val="de-DE"/>
        </w:rPr>
        <w:t>Art. </w:t>
      </w:r>
      <w:r w:rsidR="001527B1" w:rsidRPr="004676F5">
        <w:rPr>
          <w:b/>
          <w:lang w:val="de-DE"/>
        </w:rPr>
        <w:t>XI.303</w:t>
      </w:r>
      <w:r w:rsidR="001527B1" w:rsidRPr="004676F5">
        <w:rPr>
          <w:lang w:val="de-DE"/>
        </w:rPr>
        <w:t> </w:t>
      </w:r>
      <w:r w:rsidR="005B7A5C" w:rsidRPr="004676F5">
        <w:rPr>
          <w:lang w:val="de-DE"/>
        </w:rPr>
        <w:t>- </w:t>
      </w:r>
      <w:r w:rsidR="001527B1" w:rsidRPr="004676F5">
        <w:rPr>
          <w:lang w:val="de-DE"/>
        </w:rPr>
        <w:t>Verletzungen des Urheberrechts in Bezug auf ein Computerprogramm werden gemäß dem Gesetz geahndet.</w:t>
      </w:r>
    </w:p>
    <w:p w14:paraId="65F060DE" w14:textId="77777777" w:rsidR="001527B1" w:rsidRPr="004676F5" w:rsidRDefault="001527B1" w:rsidP="001527B1">
      <w:pPr>
        <w:ind w:firstLine="708"/>
        <w:jc w:val="both"/>
        <w:rPr>
          <w:lang w:val="de-DE"/>
        </w:rPr>
      </w:pPr>
    </w:p>
    <w:p w14:paraId="51C11FAE" w14:textId="77777777" w:rsidR="00355502" w:rsidRPr="004676F5" w:rsidRDefault="00355502" w:rsidP="001527B1">
      <w:pPr>
        <w:ind w:firstLine="708"/>
        <w:jc w:val="both"/>
        <w:rPr>
          <w:lang w:val="de-DE"/>
        </w:rPr>
      </w:pPr>
    </w:p>
    <w:p w14:paraId="78E939CA" w14:textId="08FA065A" w:rsidR="001527B1" w:rsidRPr="004676F5" w:rsidRDefault="00BE0A56" w:rsidP="001527B1">
      <w:pPr>
        <w:ind w:firstLine="708"/>
        <w:jc w:val="both"/>
        <w:rPr>
          <w:lang w:val="de-DE"/>
        </w:rPr>
      </w:pPr>
      <w:r w:rsidRPr="004676F5">
        <w:rPr>
          <w:b/>
          <w:lang w:val="de-DE"/>
        </w:rPr>
        <w:t>Art. </w:t>
      </w:r>
      <w:r w:rsidR="001527B1" w:rsidRPr="004676F5">
        <w:rPr>
          <w:b/>
          <w:lang w:val="de-DE"/>
        </w:rPr>
        <w:t>XI.304</w:t>
      </w:r>
      <w:r w:rsidR="001527B1" w:rsidRPr="004676F5">
        <w:rPr>
          <w:lang w:val="de-DE"/>
        </w:rPr>
        <w:t> </w:t>
      </w:r>
      <w:r w:rsidR="005B7A5C" w:rsidRPr="004676F5">
        <w:rPr>
          <w:lang w:val="de-DE"/>
        </w:rPr>
        <w:t>- </w:t>
      </w:r>
      <w:r w:rsidR="001527B1" w:rsidRPr="004676F5">
        <w:rPr>
          <w:lang w:val="de-DE"/>
        </w:rPr>
        <w:t xml:space="preserve">Wer die Kopie eines Computerprogramms in Verkehr bringt oder zu Handelszwecken besitzt und wusste oder berechtigterweise Grund zu der Annahme hatte, dass es sich um eine unerlaubte Kopie handelt, und wer Mittel in Verkehr bringt oder zu </w:t>
      </w:r>
      <w:r w:rsidR="001527B1" w:rsidRPr="004676F5">
        <w:rPr>
          <w:lang w:val="de-DE"/>
        </w:rPr>
        <w:lastRenderedPageBreak/>
        <w:t>Handelszwecken besitzt, die allein dazu bestimmt sind, die unerlaubte Beseitigung oder Umgehung technischer Programmschutzmechanismen zu erleichtern, macht sich des Delikts der Nachahmung schuldig.</w:t>
      </w:r>
    </w:p>
    <w:p w14:paraId="265AE396" w14:textId="77777777" w:rsidR="001527B1" w:rsidRPr="004676F5" w:rsidRDefault="001527B1" w:rsidP="001527B1">
      <w:pPr>
        <w:ind w:firstLine="708"/>
        <w:jc w:val="both"/>
        <w:rPr>
          <w:lang w:val="de-DE"/>
        </w:rPr>
      </w:pPr>
    </w:p>
    <w:p w14:paraId="45771E65" w14:textId="1632954F" w:rsidR="00B1340F" w:rsidRPr="004676F5" w:rsidRDefault="00B1340F">
      <w:pPr>
        <w:rPr>
          <w:b/>
          <w:lang w:val="de-DE"/>
        </w:rPr>
      </w:pPr>
    </w:p>
    <w:p w14:paraId="0B118DEA" w14:textId="7812909D" w:rsidR="00A03295" w:rsidRPr="004676F5" w:rsidRDefault="00A03295">
      <w:pPr>
        <w:rPr>
          <w:b/>
          <w:lang w:val="de-DE"/>
        </w:rPr>
      </w:pPr>
    </w:p>
    <w:p w14:paraId="4E56702F" w14:textId="77777777" w:rsidR="00663046" w:rsidRPr="004676F5" w:rsidRDefault="00663046">
      <w:pPr>
        <w:rPr>
          <w:b/>
          <w:lang w:val="de-DE"/>
        </w:rPr>
      </w:pPr>
      <w:r w:rsidRPr="004676F5">
        <w:rPr>
          <w:b/>
          <w:lang w:val="de-DE"/>
        </w:rPr>
        <w:br w:type="page"/>
      </w:r>
    </w:p>
    <w:p w14:paraId="46D72248" w14:textId="71122B12" w:rsidR="001527B1" w:rsidRPr="004676F5" w:rsidRDefault="001527B1" w:rsidP="001527B1">
      <w:pPr>
        <w:jc w:val="center"/>
        <w:rPr>
          <w:b/>
          <w:lang w:val="de-DE"/>
        </w:rPr>
      </w:pPr>
      <w:r w:rsidRPr="004676F5">
        <w:rPr>
          <w:b/>
          <w:lang w:val="de-DE"/>
        </w:rPr>
        <w:lastRenderedPageBreak/>
        <w:t>TITEL 7 </w:t>
      </w:r>
      <w:r w:rsidR="005B7A5C" w:rsidRPr="004676F5">
        <w:rPr>
          <w:b/>
          <w:lang w:val="de-DE"/>
        </w:rPr>
        <w:t>- </w:t>
      </w:r>
      <w:r w:rsidRPr="004676F5">
        <w:rPr>
          <w:b/>
          <w:i/>
          <w:lang w:val="de-DE"/>
        </w:rPr>
        <w:t>Datenbanken</w:t>
      </w:r>
    </w:p>
    <w:p w14:paraId="464AF6E1" w14:textId="77777777" w:rsidR="001527B1" w:rsidRPr="004676F5" w:rsidRDefault="001527B1" w:rsidP="001527B1">
      <w:pPr>
        <w:jc w:val="center"/>
        <w:rPr>
          <w:lang w:val="de-DE"/>
        </w:rPr>
      </w:pPr>
    </w:p>
    <w:p w14:paraId="44EDDD98" w14:textId="77777777" w:rsidR="00355502" w:rsidRPr="004676F5" w:rsidRDefault="00355502" w:rsidP="001527B1">
      <w:pPr>
        <w:jc w:val="center"/>
        <w:rPr>
          <w:lang w:val="de-DE"/>
        </w:rPr>
      </w:pPr>
    </w:p>
    <w:p w14:paraId="745AF179" w14:textId="08F2C74B" w:rsidR="001527B1" w:rsidRPr="004676F5" w:rsidRDefault="001527B1" w:rsidP="001527B1">
      <w:pPr>
        <w:jc w:val="center"/>
        <w:rPr>
          <w:i/>
          <w:lang w:val="de-DE"/>
        </w:rPr>
      </w:pPr>
      <w:r w:rsidRPr="004676F5">
        <w:rPr>
          <w:lang w:val="de-DE"/>
        </w:rPr>
        <w:t>KAPITEL 1 </w:t>
      </w:r>
      <w:r w:rsidR="005B7A5C" w:rsidRPr="004676F5">
        <w:rPr>
          <w:lang w:val="de-DE"/>
        </w:rPr>
        <w:t>- </w:t>
      </w:r>
      <w:r w:rsidRPr="004676F5">
        <w:rPr>
          <w:i/>
          <w:lang w:val="de-DE"/>
        </w:rPr>
        <w:t>Grundbegriffe und Anwendungsbereich</w:t>
      </w:r>
    </w:p>
    <w:p w14:paraId="5FEEA651" w14:textId="77777777" w:rsidR="001527B1" w:rsidRPr="004676F5" w:rsidRDefault="001527B1" w:rsidP="001527B1">
      <w:pPr>
        <w:jc w:val="both"/>
        <w:rPr>
          <w:lang w:val="de-DE"/>
        </w:rPr>
      </w:pPr>
    </w:p>
    <w:p w14:paraId="616F58E6" w14:textId="77777777" w:rsidR="00355502" w:rsidRPr="004676F5" w:rsidRDefault="00355502" w:rsidP="001527B1">
      <w:pPr>
        <w:jc w:val="both"/>
        <w:rPr>
          <w:lang w:val="de-DE"/>
        </w:rPr>
      </w:pPr>
    </w:p>
    <w:p w14:paraId="5D627BC5" w14:textId="3D5D15DF" w:rsidR="00A03295" w:rsidRPr="004676F5" w:rsidRDefault="00BE0A56" w:rsidP="00A03295">
      <w:pPr>
        <w:ind w:firstLine="708"/>
        <w:jc w:val="both"/>
        <w:rPr>
          <w:lang w:val="de-DE"/>
        </w:rPr>
      </w:pPr>
      <w:r w:rsidRPr="004676F5">
        <w:rPr>
          <w:b/>
          <w:lang w:val="de-DE"/>
        </w:rPr>
        <w:t>Art. </w:t>
      </w:r>
      <w:r w:rsidR="001527B1" w:rsidRPr="004676F5">
        <w:rPr>
          <w:b/>
          <w:lang w:val="de-DE"/>
        </w:rPr>
        <w:t>XI.305</w:t>
      </w:r>
      <w:r w:rsidR="001527B1" w:rsidRPr="004676F5">
        <w:rPr>
          <w:lang w:val="de-DE"/>
        </w:rPr>
        <w:t> </w:t>
      </w:r>
      <w:r w:rsidR="005B7A5C" w:rsidRPr="004676F5">
        <w:rPr>
          <w:lang w:val="de-DE"/>
        </w:rPr>
        <w:t>- </w:t>
      </w:r>
      <w:r w:rsidR="00A03295" w:rsidRPr="004676F5">
        <w:rPr>
          <w:lang w:val="de-DE"/>
        </w:rPr>
        <w:t>[Vorliegender Titel setzt folgende Richtlinien um:</w:t>
      </w:r>
    </w:p>
    <w:p w14:paraId="2633293B" w14:textId="77777777" w:rsidR="00A03295" w:rsidRPr="004676F5" w:rsidRDefault="00A03295" w:rsidP="00A03295">
      <w:pPr>
        <w:jc w:val="both"/>
        <w:rPr>
          <w:lang w:val="de-DE"/>
        </w:rPr>
      </w:pPr>
    </w:p>
    <w:p w14:paraId="13C18F28" w14:textId="77777777" w:rsidR="00A03295" w:rsidRPr="004676F5" w:rsidRDefault="00A03295" w:rsidP="00A03295">
      <w:pPr>
        <w:jc w:val="both"/>
        <w:rPr>
          <w:lang w:val="de-DE"/>
        </w:rPr>
      </w:pPr>
      <w:r w:rsidRPr="004676F5">
        <w:rPr>
          <w:lang w:val="de-DE"/>
        </w:rPr>
        <w:tab/>
        <w:t>1. Richtlinie 96/9/EG des Europäischen Parlaments und des Rates vom 11. März 1996 über den rechtlichen Schutz von Datenbanken,</w:t>
      </w:r>
    </w:p>
    <w:p w14:paraId="039DB964" w14:textId="77777777" w:rsidR="00A03295" w:rsidRPr="004676F5" w:rsidRDefault="00A03295" w:rsidP="00A03295">
      <w:pPr>
        <w:jc w:val="both"/>
        <w:rPr>
          <w:lang w:val="de-DE"/>
        </w:rPr>
      </w:pPr>
    </w:p>
    <w:p w14:paraId="07B269D7" w14:textId="0E2E6B23" w:rsidR="001527B1" w:rsidRPr="004676F5" w:rsidRDefault="00A03295" w:rsidP="00A03295">
      <w:pPr>
        <w:ind w:firstLine="708"/>
        <w:jc w:val="both"/>
        <w:rPr>
          <w:lang w:val="de-DE"/>
        </w:rPr>
      </w:pPr>
      <w:r w:rsidRPr="004676F5">
        <w:rPr>
          <w:lang w:val="de-DE"/>
        </w:rPr>
        <w:t>2. Richtlinie (EU) 2019/790 des Europäischen Parlaments und des Rates vom 17. April 2019 über das Urheberrecht und die verwandten Schutzrechte im digitalen Binnenmarkt und zur Änderung der Richtlinien 96/9/EG und 2001/29/EG.]</w:t>
      </w:r>
    </w:p>
    <w:p w14:paraId="55A5C59A" w14:textId="77777777" w:rsidR="00A03295" w:rsidRPr="004676F5" w:rsidRDefault="00A03295" w:rsidP="00A03295">
      <w:pPr>
        <w:ind w:firstLine="708"/>
        <w:jc w:val="both"/>
        <w:rPr>
          <w:lang w:val="de-DE"/>
        </w:rPr>
      </w:pPr>
    </w:p>
    <w:p w14:paraId="6C31F1D5" w14:textId="5D5D8CE2" w:rsidR="00A03295" w:rsidRPr="004676F5" w:rsidRDefault="00A03295" w:rsidP="00A03295">
      <w:pPr>
        <w:jc w:val="both"/>
        <w:rPr>
          <w:i/>
          <w:iCs/>
          <w:lang w:val="de-DE"/>
        </w:rPr>
      </w:pPr>
      <w:r w:rsidRPr="004676F5">
        <w:rPr>
          <w:i/>
          <w:iCs/>
          <w:lang w:val="de-DE"/>
        </w:rPr>
        <w:t>[Art. </w:t>
      </w:r>
      <w:r w:rsidR="00007F74">
        <w:rPr>
          <w:i/>
          <w:iCs/>
          <w:lang w:val="de-DE"/>
        </w:rPr>
        <w:t>XI.</w:t>
      </w:r>
      <w:r w:rsidRPr="004676F5">
        <w:rPr>
          <w:i/>
          <w:iCs/>
          <w:lang w:val="de-DE"/>
        </w:rPr>
        <w:t>305 ersetzt durch Art. 81 des G. vom 19. Juni 2022 (B.S. vom 1. August 2022)]</w:t>
      </w:r>
    </w:p>
    <w:p w14:paraId="6293215D" w14:textId="77777777" w:rsidR="001527B1" w:rsidRPr="004676F5" w:rsidRDefault="001527B1" w:rsidP="001527B1">
      <w:pPr>
        <w:ind w:firstLine="708"/>
        <w:jc w:val="both"/>
        <w:rPr>
          <w:lang w:val="de-DE"/>
        </w:rPr>
      </w:pPr>
    </w:p>
    <w:p w14:paraId="4173D8D5" w14:textId="77777777" w:rsidR="00355502" w:rsidRPr="004676F5" w:rsidRDefault="00355502" w:rsidP="001527B1">
      <w:pPr>
        <w:ind w:firstLine="708"/>
        <w:jc w:val="both"/>
        <w:rPr>
          <w:lang w:val="de-DE"/>
        </w:rPr>
      </w:pPr>
    </w:p>
    <w:p w14:paraId="14523A60" w14:textId="68B3A47F" w:rsidR="001527B1" w:rsidRPr="004676F5" w:rsidRDefault="00BE0A56" w:rsidP="001527B1">
      <w:pPr>
        <w:ind w:firstLine="708"/>
        <w:jc w:val="both"/>
        <w:rPr>
          <w:lang w:val="de-DE"/>
        </w:rPr>
      </w:pPr>
      <w:r w:rsidRPr="004676F5">
        <w:rPr>
          <w:b/>
          <w:lang w:val="de-DE"/>
        </w:rPr>
        <w:t>Art. </w:t>
      </w:r>
      <w:r w:rsidR="001527B1" w:rsidRPr="004676F5">
        <w:rPr>
          <w:b/>
          <w:lang w:val="de-DE"/>
        </w:rPr>
        <w:t>XI.306</w:t>
      </w:r>
      <w:r w:rsidR="001527B1" w:rsidRPr="004676F5">
        <w:rPr>
          <w:lang w:val="de-DE"/>
        </w:rPr>
        <w:t> </w:t>
      </w:r>
      <w:r w:rsidR="005B7A5C" w:rsidRPr="004676F5">
        <w:rPr>
          <w:lang w:val="de-DE"/>
        </w:rPr>
        <w:t>- </w:t>
      </w:r>
      <w:r w:rsidR="001527B1" w:rsidRPr="004676F5">
        <w:rPr>
          <w:lang w:val="de-DE"/>
        </w:rPr>
        <w:t>Das Recht der Hersteller von Datenbanken ist auf Datenbanken gleich welcher Form anwendbar, bei denen für Beschaffung, Überprüfung oder Darstellung ihres Inhalts eine in qualitativer oder quantitativer Hinsicht wesentliche Investition erforderlich ist.</w:t>
      </w:r>
    </w:p>
    <w:p w14:paraId="319623EE" w14:textId="77777777" w:rsidR="001527B1" w:rsidRPr="004676F5" w:rsidRDefault="001527B1" w:rsidP="001527B1">
      <w:pPr>
        <w:ind w:firstLine="708"/>
        <w:jc w:val="both"/>
        <w:rPr>
          <w:lang w:val="de-DE"/>
        </w:rPr>
      </w:pPr>
    </w:p>
    <w:p w14:paraId="67ED3DFF" w14:textId="77777777" w:rsidR="001527B1" w:rsidRPr="004676F5" w:rsidRDefault="001527B1" w:rsidP="001527B1">
      <w:pPr>
        <w:ind w:firstLine="708"/>
        <w:jc w:val="both"/>
        <w:rPr>
          <w:lang w:val="de-DE"/>
        </w:rPr>
      </w:pPr>
      <w:r w:rsidRPr="004676F5">
        <w:rPr>
          <w:lang w:val="de-DE"/>
        </w:rPr>
        <w:t>Das Recht der Hersteller von Datenbanken gilt unabhängig von jeglichem Schutz der Datenbanken oder ihres Inhalts durch das Urheberrecht oder andere Rechte und lässt die Rechte, die an den in der Datenbank enthaltenen Werken, Daten oder anderen Elementen bestehen, unberührt.</w:t>
      </w:r>
    </w:p>
    <w:p w14:paraId="137045FE" w14:textId="77777777" w:rsidR="001527B1" w:rsidRPr="004676F5" w:rsidRDefault="001527B1" w:rsidP="001527B1">
      <w:pPr>
        <w:ind w:firstLine="708"/>
        <w:jc w:val="both"/>
        <w:rPr>
          <w:lang w:val="de-DE"/>
        </w:rPr>
      </w:pPr>
    </w:p>
    <w:p w14:paraId="5539D965" w14:textId="77777777" w:rsidR="001527B1" w:rsidRPr="004676F5" w:rsidRDefault="001527B1" w:rsidP="001527B1">
      <w:pPr>
        <w:ind w:firstLine="708"/>
        <w:jc w:val="both"/>
        <w:rPr>
          <w:lang w:val="de-DE"/>
        </w:rPr>
      </w:pPr>
      <w:r w:rsidRPr="004676F5">
        <w:rPr>
          <w:lang w:val="de-DE"/>
        </w:rPr>
        <w:t>Das Recht der Hersteller von Datenbanken ist auf Computerprogramme als solche nicht anwendbar; dazu zählen Computerprogramme, die für Herstellung oder Betrieb einer Datenbank verwendet werden.</w:t>
      </w:r>
    </w:p>
    <w:p w14:paraId="2755D368" w14:textId="77777777" w:rsidR="001527B1" w:rsidRPr="004676F5" w:rsidRDefault="001527B1" w:rsidP="001527B1">
      <w:pPr>
        <w:ind w:firstLine="708"/>
        <w:jc w:val="both"/>
        <w:rPr>
          <w:lang w:val="de-DE"/>
        </w:rPr>
      </w:pPr>
    </w:p>
    <w:p w14:paraId="229BFCD9" w14:textId="77777777" w:rsidR="00355502" w:rsidRPr="004676F5" w:rsidRDefault="00355502" w:rsidP="001527B1">
      <w:pPr>
        <w:ind w:firstLine="708"/>
        <w:jc w:val="both"/>
        <w:rPr>
          <w:lang w:val="de-DE"/>
        </w:rPr>
      </w:pPr>
    </w:p>
    <w:p w14:paraId="553FCFEC" w14:textId="77777777" w:rsidR="00355502" w:rsidRPr="004676F5" w:rsidRDefault="00355502">
      <w:pPr>
        <w:rPr>
          <w:lang w:val="de-DE"/>
        </w:rPr>
      </w:pPr>
      <w:r w:rsidRPr="004676F5">
        <w:rPr>
          <w:lang w:val="de-DE"/>
        </w:rPr>
        <w:br w:type="page"/>
      </w:r>
    </w:p>
    <w:p w14:paraId="0C186854" w14:textId="66D3355F" w:rsidR="001527B1" w:rsidRPr="004676F5" w:rsidRDefault="001527B1" w:rsidP="001527B1">
      <w:pPr>
        <w:jc w:val="center"/>
        <w:rPr>
          <w:i/>
          <w:lang w:val="de-DE"/>
        </w:rPr>
      </w:pPr>
      <w:r w:rsidRPr="004676F5">
        <w:rPr>
          <w:lang w:val="de-DE"/>
        </w:rPr>
        <w:lastRenderedPageBreak/>
        <w:t>KAPITEL 2 </w:t>
      </w:r>
      <w:r w:rsidR="005B7A5C" w:rsidRPr="004676F5">
        <w:rPr>
          <w:lang w:val="de-DE"/>
        </w:rPr>
        <w:t>- </w:t>
      </w:r>
      <w:r w:rsidRPr="004676F5">
        <w:rPr>
          <w:i/>
          <w:lang w:val="de-DE"/>
        </w:rPr>
        <w:t>Rechte der Hersteller von Datenbanken</w:t>
      </w:r>
    </w:p>
    <w:p w14:paraId="1F671EF5" w14:textId="77777777" w:rsidR="001527B1" w:rsidRPr="004676F5" w:rsidRDefault="001527B1" w:rsidP="001527B1">
      <w:pPr>
        <w:ind w:firstLine="708"/>
        <w:jc w:val="both"/>
        <w:rPr>
          <w:lang w:val="de-DE"/>
        </w:rPr>
      </w:pPr>
    </w:p>
    <w:p w14:paraId="521B5892" w14:textId="77777777" w:rsidR="00355502" w:rsidRPr="004676F5" w:rsidRDefault="00355502" w:rsidP="001527B1">
      <w:pPr>
        <w:ind w:firstLine="708"/>
        <w:jc w:val="both"/>
        <w:rPr>
          <w:lang w:val="de-DE"/>
        </w:rPr>
      </w:pPr>
    </w:p>
    <w:p w14:paraId="7E21C263" w14:textId="322D1B33" w:rsidR="001527B1" w:rsidRPr="004676F5" w:rsidRDefault="00BE0A56" w:rsidP="001527B1">
      <w:pPr>
        <w:ind w:firstLine="708"/>
        <w:jc w:val="both"/>
        <w:rPr>
          <w:lang w:val="de-DE"/>
        </w:rPr>
      </w:pPr>
      <w:r w:rsidRPr="004676F5">
        <w:rPr>
          <w:b/>
          <w:lang w:val="de-DE"/>
        </w:rPr>
        <w:t>Art. </w:t>
      </w:r>
      <w:r w:rsidR="001527B1" w:rsidRPr="004676F5">
        <w:rPr>
          <w:b/>
          <w:lang w:val="de-DE"/>
        </w:rPr>
        <w:t>XI.307</w:t>
      </w:r>
      <w:r w:rsidR="001527B1" w:rsidRPr="004676F5">
        <w:rPr>
          <w:lang w:val="de-DE"/>
        </w:rPr>
        <w:t> </w:t>
      </w:r>
      <w:r w:rsidR="005B7A5C" w:rsidRPr="004676F5">
        <w:rPr>
          <w:lang w:val="de-DE"/>
        </w:rPr>
        <w:t>- </w:t>
      </w:r>
      <w:r w:rsidR="001527B1" w:rsidRPr="004676F5">
        <w:rPr>
          <w:lang w:val="de-DE"/>
        </w:rPr>
        <w:t>Hersteller von Datenbanken haben das Recht, Entnahme und/oder Weiterverwendung der Gesamtheit oder eines in qualitativer oder quantitativer Hinsicht wesentlichen Teils des Inhalts dieser Datenbank zu untersagen.</w:t>
      </w:r>
    </w:p>
    <w:p w14:paraId="702B38A3" w14:textId="77777777" w:rsidR="001527B1" w:rsidRPr="004676F5" w:rsidRDefault="001527B1" w:rsidP="001527B1">
      <w:pPr>
        <w:ind w:firstLine="708"/>
        <w:jc w:val="both"/>
        <w:rPr>
          <w:lang w:val="de-DE"/>
        </w:rPr>
      </w:pPr>
    </w:p>
    <w:p w14:paraId="4528BBFA" w14:textId="77777777" w:rsidR="001527B1" w:rsidRPr="004676F5" w:rsidRDefault="001527B1" w:rsidP="001527B1">
      <w:pPr>
        <w:ind w:firstLine="708"/>
        <w:jc w:val="both"/>
        <w:rPr>
          <w:lang w:val="de-DE"/>
        </w:rPr>
      </w:pPr>
      <w:r w:rsidRPr="004676F5">
        <w:rPr>
          <w:lang w:val="de-DE"/>
        </w:rPr>
        <w:t>Unzulässig ist wiederholte und systematische Entnahme und/oder Weiterverwendung unwesentlicher Teile des Inhalts der Datenbank, wenn dies einer normalen Nutzung dieser Datenbank entgegensteht oder die berechtigten Interessen des Herstellers der Datenbank unzumutbar beeinträchtigt.</w:t>
      </w:r>
    </w:p>
    <w:p w14:paraId="46C03BEA" w14:textId="77777777" w:rsidR="001527B1" w:rsidRPr="004676F5" w:rsidRDefault="001527B1" w:rsidP="001527B1">
      <w:pPr>
        <w:ind w:firstLine="708"/>
        <w:jc w:val="both"/>
        <w:rPr>
          <w:lang w:val="de-DE"/>
        </w:rPr>
      </w:pPr>
    </w:p>
    <w:p w14:paraId="57C74E88" w14:textId="77777777" w:rsidR="001527B1" w:rsidRPr="004676F5" w:rsidRDefault="001527B1" w:rsidP="001527B1">
      <w:pPr>
        <w:ind w:firstLine="708"/>
        <w:jc w:val="both"/>
        <w:rPr>
          <w:lang w:val="de-DE"/>
        </w:rPr>
      </w:pPr>
      <w:r w:rsidRPr="004676F5">
        <w:rPr>
          <w:lang w:val="de-DE"/>
        </w:rPr>
        <w:t>Mit dem Erstverkauf eines Vervielfältigungsstücks einer Datenbank in der Euro</w:t>
      </w:r>
      <w:r w:rsidRPr="004676F5">
        <w:rPr>
          <w:lang w:val="de-DE"/>
        </w:rPr>
        <w:softHyphen/>
        <w:t>päischen Union durch den Rechtsinhaber oder mit seiner Zustimmung erschöpft sich in der Europäischen Union das Recht, den Weiterverkauf dieses Vervielfältigungsstücks zu kontrollieren.</w:t>
      </w:r>
    </w:p>
    <w:p w14:paraId="141C9F09" w14:textId="77777777" w:rsidR="001527B1" w:rsidRPr="004676F5" w:rsidRDefault="001527B1" w:rsidP="001527B1">
      <w:pPr>
        <w:ind w:firstLine="708"/>
        <w:jc w:val="both"/>
        <w:rPr>
          <w:lang w:val="de-DE"/>
        </w:rPr>
      </w:pPr>
    </w:p>
    <w:p w14:paraId="290DD7C4" w14:textId="77777777" w:rsidR="00355502" w:rsidRPr="004676F5" w:rsidRDefault="00355502" w:rsidP="001527B1">
      <w:pPr>
        <w:ind w:firstLine="708"/>
        <w:jc w:val="both"/>
        <w:rPr>
          <w:lang w:val="de-DE"/>
        </w:rPr>
      </w:pPr>
    </w:p>
    <w:p w14:paraId="131B3639" w14:textId="518618BF" w:rsidR="001527B1" w:rsidRPr="004676F5" w:rsidRDefault="00BE0A56" w:rsidP="001527B1">
      <w:pPr>
        <w:ind w:firstLine="708"/>
        <w:jc w:val="both"/>
        <w:rPr>
          <w:lang w:val="de-DE"/>
        </w:rPr>
      </w:pPr>
      <w:r w:rsidRPr="004676F5">
        <w:rPr>
          <w:b/>
          <w:lang w:val="de-DE"/>
        </w:rPr>
        <w:t>Art. </w:t>
      </w:r>
      <w:r w:rsidR="001527B1" w:rsidRPr="004676F5">
        <w:rPr>
          <w:b/>
          <w:lang w:val="de-DE"/>
        </w:rPr>
        <w:t>XI.308</w:t>
      </w:r>
      <w:r w:rsidR="001527B1" w:rsidRPr="004676F5">
        <w:rPr>
          <w:lang w:val="de-DE"/>
        </w:rPr>
        <w:t> </w:t>
      </w:r>
      <w:r w:rsidR="005B7A5C" w:rsidRPr="004676F5">
        <w:rPr>
          <w:lang w:val="de-DE"/>
        </w:rPr>
        <w:t>- </w:t>
      </w:r>
      <w:r w:rsidR="001527B1" w:rsidRPr="004676F5">
        <w:rPr>
          <w:lang w:val="de-DE"/>
        </w:rPr>
        <w:t xml:space="preserve">Das Recht der Hersteller von Datenbanken gilt als bewegliches Recht, es ist gemäß den Bestimmungen des Zivilgesetzbuches ganz oder teilweise abtretbar und übertragbar. Es kann unter anderem </w:t>
      </w:r>
      <w:r w:rsidR="00A03295" w:rsidRPr="004676F5">
        <w:rPr>
          <w:lang w:val="de-DE"/>
        </w:rPr>
        <w:t>[abgetreten]</w:t>
      </w:r>
      <w:r w:rsidR="001527B1" w:rsidRPr="004676F5">
        <w:rPr>
          <w:lang w:val="de-DE"/>
        </w:rPr>
        <w:t xml:space="preserve"> werden oder Gegenstand einer einfachen oder ausschließlichen Lizenz sein.</w:t>
      </w:r>
    </w:p>
    <w:p w14:paraId="39B62D60" w14:textId="77777777" w:rsidR="00A03295" w:rsidRPr="004676F5" w:rsidRDefault="00A03295" w:rsidP="001527B1">
      <w:pPr>
        <w:ind w:firstLine="708"/>
        <w:jc w:val="both"/>
        <w:rPr>
          <w:lang w:val="de-DE"/>
        </w:rPr>
      </w:pPr>
    </w:p>
    <w:p w14:paraId="6031CAEB" w14:textId="783125B7" w:rsidR="00A03295" w:rsidRPr="004676F5" w:rsidRDefault="00A03295" w:rsidP="00A03295">
      <w:pPr>
        <w:jc w:val="both"/>
        <w:rPr>
          <w:i/>
          <w:iCs/>
          <w:lang w:val="de-DE"/>
        </w:rPr>
      </w:pPr>
      <w:r w:rsidRPr="004676F5">
        <w:rPr>
          <w:i/>
          <w:iCs/>
          <w:lang w:val="de-DE"/>
        </w:rPr>
        <w:t>[Art. XI.308 abgeändert durch Art. 82 des G. vom 19. Juni 2022 (B.S. vom 1. August 2022)]</w:t>
      </w:r>
    </w:p>
    <w:p w14:paraId="15FBEF24" w14:textId="77777777" w:rsidR="001527B1" w:rsidRPr="004676F5" w:rsidRDefault="001527B1" w:rsidP="001527B1">
      <w:pPr>
        <w:ind w:firstLine="708"/>
        <w:jc w:val="both"/>
        <w:rPr>
          <w:lang w:val="de-DE"/>
        </w:rPr>
      </w:pPr>
    </w:p>
    <w:p w14:paraId="7D120806" w14:textId="77777777" w:rsidR="00355502" w:rsidRPr="004676F5" w:rsidRDefault="00355502" w:rsidP="001527B1">
      <w:pPr>
        <w:ind w:firstLine="708"/>
        <w:jc w:val="both"/>
        <w:rPr>
          <w:lang w:val="de-DE"/>
        </w:rPr>
      </w:pPr>
    </w:p>
    <w:p w14:paraId="37CAC71D" w14:textId="0A5138EE" w:rsidR="001527B1" w:rsidRPr="004676F5" w:rsidRDefault="00BE0A56" w:rsidP="001527B1">
      <w:pPr>
        <w:ind w:firstLine="708"/>
        <w:jc w:val="both"/>
        <w:rPr>
          <w:lang w:val="de-DE"/>
        </w:rPr>
      </w:pPr>
      <w:r w:rsidRPr="004676F5">
        <w:rPr>
          <w:b/>
          <w:lang w:val="de-DE"/>
        </w:rPr>
        <w:t>Art. </w:t>
      </w:r>
      <w:r w:rsidR="001527B1" w:rsidRPr="004676F5">
        <w:rPr>
          <w:b/>
          <w:lang w:val="de-DE"/>
        </w:rPr>
        <w:t>XI.309</w:t>
      </w:r>
      <w:r w:rsidR="001527B1" w:rsidRPr="004676F5">
        <w:rPr>
          <w:lang w:val="de-DE"/>
        </w:rPr>
        <w:t> </w:t>
      </w:r>
      <w:r w:rsidR="005B7A5C" w:rsidRPr="004676F5">
        <w:rPr>
          <w:lang w:val="de-DE"/>
        </w:rPr>
        <w:t>- </w:t>
      </w:r>
      <w:r w:rsidR="001527B1" w:rsidRPr="004676F5">
        <w:rPr>
          <w:lang w:val="de-DE"/>
        </w:rPr>
        <w:t>Das Recht der Hersteller von Datenbanken gilt ab dem Zeitpunkt des Abschlusses der Herstellung der Datenbank und erlischt fünfzehn Jahre nach dem 1. Januar des auf den Tag des Abschlusses der Herstellung folgenden Jahres.</w:t>
      </w:r>
    </w:p>
    <w:p w14:paraId="794583F7" w14:textId="77777777" w:rsidR="001527B1" w:rsidRPr="004676F5" w:rsidRDefault="001527B1" w:rsidP="001527B1">
      <w:pPr>
        <w:ind w:firstLine="708"/>
        <w:jc w:val="both"/>
        <w:rPr>
          <w:lang w:val="de-DE"/>
        </w:rPr>
      </w:pPr>
    </w:p>
    <w:p w14:paraId="7AE4922A" w14:textId="646F9157" w:rsidR="001527B1" w:rsidRPr="004676F5" w:rsidRDefault="001527B1" w:rsidP="001527B1">
      <w:pPr>
        <w:ind w:firstLine="708"/>
        <w:jc w:val="both"/>
        <w:rPr>
          <w:lang w:val="de-DE"/>
        </w:rPr>
      </w:pPr>
      <w:r w:rsidRPr="004676F5">
        <w:rPr>
          <w:lang w:val="de-DE"/>
        </w:rPr>
        <w:t xml:space="preserve">Im Fall einer Datenbank, die vor Ablauf des in Absatz 1 erwähnten Zeitraums der Öffentlichkeit </w:t>
      </w:r>
      <w:r w:rsidR="005B7A5C" w:rsidRPr="004676F5">
        <w:rPr>
          <w:lang w:val="de-DE"/>
        </w:rPr>
        <w:t>- </w:t>
      </w:r>
      <w:r w:rsidRPr="004676F5">
        <w:rPr>
          <w:lang w:val="de-DE"/>
        </w:rPr>
        <w:t xml:space="preserve">in welcher Weise auch immer </w:t>
      </w:r>
      <w:r w:rsidR="005B7A5C" w:rsidRPr="004676F5">
        <w:rPr>
          <w:lang w:val="de-DE"/>
        </w:rPr>
        <w:t>- </w:t>
      </w:r>
      <w:r w:rsidRPr="004676F5">
        <w:rPr>
          <w:lang w:val="de-DE"/>
        </w:rPr>
        <w:t>zur Verfügung gestellt wurde, endet der Schutz fünfzehn Jahre nach dem 1. Januar des Jahres, das auf den Zeitpunkt folgt, zu dem die Datenbank erstmals der Öffentlichkeit zur Verfügung gestellt wurde.</w:t>
      </w:r>
    </w:p>
    <w:p w14:paraId="2DC843C7" w14:textId="77777777" w:rsidR="001527B1" w:rsidRPr="004676F5" w:rsidRDefault="001527B1" w:rsidP="001527B1">
      <w:pPr>
        <w:ind w:firstLine="708"/>
        <w:jc w:val="both"/>
        <w:rPr>
          <w:lang w:val="de-DE"/>
        </w:rPr>
      </w:pPr>
    </w:p>
    <w:p w14:paraId="76DD0022" w14:textId="77777777" w:rsidR="001527B1" w:rsidRPr="004676F5" w:rsidRDefault="001527B1" w:rsidP="001527B1">
      <w:pPr>
        <w:ind w:firstLine="708"/>
        <w:jc w:val="both"/>
        <w:rPr>
          <w:lang w:val="de-DE"/>
        </w:rPr>
      </w:pPr>
      <w:r w:rsidRPr="004676F5">
        <w:rPr>
          <w:lang w:val="de-DE"/>
        </w:rPr>
        <w:t>Jede in qualitativer oder quantitativer Hinsicht wesentliche Änderung des Inhalts einer Datenbank einschließlich wesentlicher Änderungen infolge der Anhäufung von aufeinander folgenden Zusätzen, Löschungen oder Veränderungen, aufgrund deren angenommen werden kann, dass eine in qualitativer oder quantitativer Hinsicht wesentliche Neuinvestition erfolgt ist, begründet für die Datenbank, die das Ergebnis dieser Investition ist, eine eigene Schutzdauer.</w:t>
      </w:r>
    </w:p>
    <w:p w14:paraId="175B0633" w14:textId="77777777" w:rsidR="001527B1" w:rsidRPr="004676F5" w:rsidRDefault="001527B1" w:rsidP="001527B1">
      <w:pPr>
        <w:ind w:firstLine="708"/>
        <w:jc w:val="both"/>
        <w:rPr>
          <w:lang w:val="de-DE"/>
        </w:rPr>
      </w:pPr>
    </w:p>
    <w:p w14:paraId="1A099118" w14:textId="77777777" w:rsidR="001527B1" w:rsidRPr="004676F5" w:rsidRDefault="001527B1" w:rsidP="001527B1">
      <w:pPr>
        <w:ind w:firstLine="708"/>
        <w:jc w:val="both"/>
        <w:rPr>
          <w:lang w:val="de-DE"/>
        </w:rPr>
      </w:pPr>
      <w:r w:rsidRPr="004676F5">
        <w:rPr>
          <w:lang w:val="de-DE"/>
        </w:rPr>
        <w:t>Der Hersteller einer Datenbank trägt die Beweislast für den Zeitpunkt der Fertigstellung einer Datenbank und der wesentlichen Änderung des Inhalts einer Datenbank, aufgrund deren gemäß Absatz 3 der Datenbank, die das Ergebnis dieser Änderung ist, eine eigene Schutzdauer zuerkannt werden kann.</w:t>
      </w:r>
    </w:p>
    <w:p w14:paraId="7C1012E4" w14:textId="77777777" w:rsidR="001527B1" w:rsidRPr="004676F5" w:rsidRDefault="001527B1" w:rsidP="001527B1">
      <w:pPr>
        <w:rPr>
          <w:lang w:val="de-DE"/>
        </w:rPr>
      </w:pPr>
      <w:r w:rsidRPr="004676F5">
        <w:rPr>
          <w:lang w:val="de-DE"/>
        </w:rPr>
        <w:br w:type="page"/>
      </w:r>
    </w:p>
    <w:p w14:paraId="0FB1B87B" w14:textId="37FC27A0" w:rsidR="001527B1" w:rsidRPr="004676F5" w:rsidRDefault="001527B1" w:rsidP="001527B1">
      <w:pPr>
        <w:jc w:val="center"/>
        <w:rPr>
          <w:i/>
          <w:lang w:val="de-DE"/>
        </w:rPr>
      </w:pPr>
      <w:r w:rsidRPr="004676F5">
        <w:rPr>
          <w:lang w:val="de-DE"/>
        </w:rPr>
        <w:lastRenderedPageBreak/>
        <w:t>KAPITEL 3 </w:t>
      </w:r>
      <w:r w:rsidR="005B7A5C" w:rsidRPr="004676F5">
        <w:rPr>
          <w:lang w:val="de-DE"/>
        </w:rPr>
        <w:t>- </w:t>
      </w:r>
      <w:r w:rsidRPr="004676F5">
        <w:rPr>
          <w:i/>
          <w:lang w:val="de-DE"/>
        </w:rPr>
        <w:t>Ausnahmen vom Recht der Hersteller von Datenbanken</w:t>
      </w:r>
    </w:p>
    <w:p w14:paraId="2FFEFFB5" w14:textId="77777777" w:rsidR="001527B1" w:rsidRPr="004676F5" w:rsidRDefault="001527B1" w:rsidP="001527B1">
      <w:pPr>
        <w:ind w:firstLine="708"/>
        <w:jc w:val="both"/>
        <w:rPr>
          <w:lang w:val="de-DE"/>
        </w:rPr>
      </w:pPr>
    </w:p>
    <w:p w14:paraId="64A47EFF" w14:textId="77777777" w:rsidR="00355502" w:rsidRPr="004676F5" w:rsidRDefault="00355502" w:rsidP="001527B1">
      <w:pPr>
        <w:ind w:firstLine="708"/>
        <w:jc w:val="both"/>
        <w:rPr>
          <w:lang w:val="de-DE"/>
        </w:rPr>
      </w:pPr>
    </w:p>
    <w:p w14:paraId="15A8D7FA" w14:textId="21FFFF05" w:rsidR="001527B1" w:rsidRPr="004676F5" w:rsidRDefault="00BE0A56" w:rsidP="001527B1">
      <w:pPr>
        <w:ind w:firstLine="708"/>
        <w:jc w:val="both"/>
        <w:rPr>
          <w:lang w:val="de-DE"/>
        </w:rPr>
      </w:pPr>
      <w:r w:rsidRPr="004676F5">
        <w:rPr>
          <w:b/>
          <w:lang w:val="de-DE"/>
        </w:rPr>
        <w:t>Art. </w:t>
      </w:r>
      <w:r w:rsidR="001527B1" w:rsidRPr="004676F5">
        <w:rPr>
          <w:b/>
          <w:lang w:val="de-DE"/>
        </w:rPr>
        <w:t>XI.310</w:t>
      </w:r>
      <w:r w:rsidR="001527B1" w:rsidRPr="004676F5">
        <w:rPr>
          <w:lang w:val="de-DE"/>
        </w:rPr>
        <w:t> </w:t>
      </w:r>
      <w:r w:rsidR="005B7A5C" w:rsidRPr="004676F5">
        <w:rPr>
          <w:lang w:val="de-DE"/>
        </w:rPr>
        <w:t>- </w:t>
      </w:r>
      <w:r w:rsidR="00B1340F" w:rsidRPr="004676F5">
        <w:rPr>
          <w:lang w:val="de-DE"/>
        </w:rPr>
        <w:t xml:space="preserve">[§ 1] </w:t>
      </w:r>
      <w:r w:rsidR="005B7A5C" w:rsidRPr="004676F5">
        <w:rPr>
          <w:lang w:val="de-DE"/>
        </w:rPr>
        <w:t>- </w:t>
      </w:r>
      <w:r w:rsidR="001527B1" w:rsidRPr="004676F5">
        <w:rPr>
          <w:lang w:val="de-DE"/>
        </w:rPr>
        <w:t xml:space="preserve">Der rechtmäßige Benutzer einer der Öffentlichkeit </w:t>
      </w:r>
      <w:r w:rsidR="005B7A5C" w:rsidRPr="004676F5">
        <w:rPr>
          <w:lang w:val="de-DE"/>
        </w:rPr>
        <w:t>- </w:t>
      </w:r>
      <w:r w:rsidR="001527B1" w:rsidRPr="004676F5">
        <w:rPr>
          <w:lang w:val="de-DE"/>
        </w:rPr>
        <w:t>in welcher Weise auch immer </w:t>
      </w:r>
      <w:r w:rsidR="005B7A5C" w:rsidRPr="004676F5">
        <w:rPr>
          <w:lang w:val="de-DE"/>
        </w:rPr>
        <w:t>- </w:t>
      </w:r>
      <w:r w:rsidR="001527B1" w:rsidRPr="004676F5">
        <w:rPr>
          <w:lang w:val="de-DE"/>
        </w:rPr>
        <w:t>erlaubterweise zur Verfügung gestellten Datenbank kann ohne Zustimmung des Herstellers:</w:t>
      </w:r>
    </w:p>
    <w:p w14:paraId="09725569" w14:textId="77777777" w:rsidR="001527B1" w:rsidRPr="004676F5" w:rsidRDefault="001527B1" w:rsidP="001527B1">
      <w:pPr>
        <w:ind w:firstLine="708"/>
        <w:jc w:val="both"/>
        <w:rPr>
          <w:lang w:val="de-DE"/>
        </w:rPr>
      </w:pPr>
    </w:p>
    <w:p w14:paraId="02434A7B" w14:textId="77777777" w:rsidR="001527B1" w:rsidRPr="004676F5" w:rsidRDefault="001527B1" w:rsidP="001527B1">
      <w:pPr>
        <w:ind w:firstLine="708"/>
        <w:jc w:val="both"/>
        <w:rPr>
          <w:lang w:val="de-DE"/>
        </w:rPr>
      </w:pPr>
      <w:r w:rsidRPr="004676F5">
        <w:rPr>
          <w:lang w:val="de-DE"/>
        </w:rPr>
        <w:t>1. ausschließlich zu privaten Zwecken einen wesentlichen Teil des Inhalts einer nichtelektronischen Datenbank entnehmen,</w:t>
      </w:r>
    </w:p>
    <w:p w14:paraId="6A8D0009" w14:textId="77777777" w:rsidR="001527B1" w:rsidRPr="004676F5" w:rsidRDefault="001527B1" w:rsidP="001527B1">
      <w:pPr>
        <w:ind w:firstLine="708"/>
        <w:jc w:val="both"/>
        <w:rPr>
          <w:lang w:val="de-DE"/>
        </w:rPr>
      </w:pPr>
    </w:p>
    <w:p w14:paraId="3E4751AF" w14:textId="77777777" w:rsidR="001527B1" w:rsidRPr="004676F5" w:rsidRDefault="001527B1" w:rsidP="001527B1">
      <w:pPr>
        <w:ind w:firstLine="708"/>
        <w:jc w:val="both"/>
        <w:rPr>
          <w:lang w:val="de-DE"/>
        </w:rPr>
      </w:pPr>
      <w:r w:rsidRPr="004676F5">
        <w:rPr>
          <w:lang w:val="de-DE"/>
        </w:rPr>
        <w:t>2. zur Veranschaulichung des Unterrichts oder zu Zwecken der wissenschaftlichen Forschung einen wesentlichen Teil des Inhalts einer Datenbank entnehmen, sofern dies durch den verfolgten nichtgewinnbringenden Zweck gerechtfertigt ist,</w:t>
      </w:r>
    </w:p>
    <w:p w14:paraId="51156D15" w14:textId="77777777" w:rsidR="001527B1" w:rsidRPr="004676F5" w:rsidRDefault="001527B1" w:rsidP="001527B1">
      <w:pPr>
        <w:ind w:firstLine="708"/>
        <w:jc w:val="both"/>
        <w:rPr>
          <w:lang w:val="de-DE"/>
        </w:rPr>
      </w:pPr>
    </w:p>
    <w:p w14:paraId="3E06958C" w14:textId="6431A02B" w:rsidR="001527B1" w:rsidRPr="004676F5" w:rsidRDefault="001527B1" w:rsidP="001527B1">
      <w:pPr>
        <w:ind w:firstLine="708"/>
        <w:jc w:val="both"/>
        <w:rPr>
          <w:lang w:val="de-DE"/>
        </w:rPr>
      </w:pPr>
      <w:r w:rsidRPr="004676F5">
        <w:rPr>
          <w:lang w:val="de-DE"/>
        </w:rPr>
        <w:t>3. zu Zwecken der öffentlichen Sicherheit oder eines Verwaltungs</w:t>
      </w:r>
      <w:r w:rsidR="005B7A5C" w:rsidRPr="004676F5">
        <w:rPr>
          <w:lang w:val="de-DE"/>
        </w:rPr>
        <w:t>- </w:t>
      </w:r>
      <w:r w:rsidRPr="004676F5">
        <w:rPr>
          <w:lang w:val="de-DE"/>
        </w:rPr>
        <w:t>oder Gerichts</w:t>
      </w:r>
      <w:r w:rsidRPr="004676F5">
        <w:rPr>
          <w:lang w:val="de-DE"/>
        </w:rPr>
        <w:softHyphen/>
        <w:t>verfahrens einen wesentlichen Teil des Inhalts einer Datenbank entnehmen und/oder weiterverwenden.</w:t>
      </w:r>
    </w:p>
    <w:p w14:paraId="1DA3EA50" w14:textId="77777777" w:rsidR="001527B1" w:rsidRPr="004676F5" w:rsidRDefault="001527B1" w:rsidP="001527B1">
      <w:pPr>
        <w:ind w:firstLine="708"/>
        <w:jc w:val="both"/>
        <w:rPr>
          <w:lang w:val="de-DE"/>
        </w:rPr>
      </w:pPr>
    </w:p>
    <w:p w14:paraId="3460B95C" w14:textId="77777777" w:rsidR="001527B1" w:rsidRPr="004676F5" w:rsidRDefault="001527B1" w:rsidP="001527B1">
      <w:pPr>
        <w:ind w:firstLine="708"/>
        <w:jc w:val="both"/>
        <w:rPr>
          <w:lang w:val="de-DE"/>
        </w:rPr>
      </w:pPr>
      <w:r w:rsidRPr="004676F5">
        <w:rPr>
          <w:lang w:val="de-DE"/>
        </w:rPr>
        <w:t>Der Name des Herstellers und die Bezeichnung der Datenbank, deren Inhalt zur Veranschaulichung des Unterrichts oder zu Zwecken der wissenschaftlichen Forschung entnommen wird, müssen angegeben werden.</w:t>
      </w:r>
    </w:p>
    <w:p w14:paraId="7DB3BE08" w14:textId="77777777" w:rsidR="001527B1" w:rsidRPr="004676F5" w:rsidRDefault="001527B1" w:rsidP="001527B1">
      <w:pPr>
        <w:ind w:firstLine="708"/>
        <w:jc w:val="both"/>
        <w:rPr>
          <w:lang w:val="de-DE"/>
        </w:rPr>
      </w:pPr>
    </w:p>
    <w:p w14:paraId="2B4EC0ED" w14:textId="0110A93A" w:rsidR="00B1340F" w:rsidRPr="004676F5" w:rsidRDefault="00B1340F" w:rsidP="00B1340F">
      <w:pPr>
        <w:jc w:val="both"/>
        <w:rPr>
          <w:lang w:val="de-DE"/>
        </w:rPr>
      </w:pPr>
      <w:r w:rsidRPr="004676F5">
        <w:rPr>
          <w:lang w:val="de-DE"/>
        </w:rPr>
        <w:tab/>
        <w:t>[§ 2 </w:t>
      </w:r>
      <w:r w:rsidR="005B7A5C" w:rsidRPr="004676F5">
        <w:rPr>
          <w:lang w:val="de-DE"/>
        </w:rPr>
        <w:t>- </w:t>
      </w:r>
      <w:r w:rsidRPr="004676F5">
        <w:rPr>
          <w:lang w:val="de-DE"/>
        </w:rPr>
        <w:t>Die Zustimmung des Herstellers ist nicht erforderlich für:</w:t>
      </w:r>
    </w:p>
    <w:p w14:paraId="074C20A3" w14:textId="77777777" w:rsidR="00B1340F" w:rsidRPr="004676F5" w:rsidRDefault="00B1340F" w:rsidP="00B1340F">
      <w:pPr>
        <w:jc w:val="both"/>
        <w:rPr>
          <w:lang w:val="de-DE"/>
        </w:rPr>
      </w:pPr>
    </w:p>
    <w:p w14:paraId="0E8CCD35" w14:textId="77777777" w:rsidR="00B1340F" w:rsidRPr="004676F5" w:rsidRDefault="00B1340F" w:rsidP="00B1340F">
      <w:pPr>
        <w:jc w:val="both"/>
        <w:rPr>
          <w:lang w:val="de-DE"/>
        </w:rPr>
      </w:pPr>
      <w:r w:rsidRPr="004676F5">
        <w:rPr>
          <w:lang w:val="de-DE"/>
        </w:rPr>
        <w:tab/>
        <w:t>1. Handlungen, die erforderlich sind, damit eine begünstigte Person oder eine in deren Namen handelnde Person ein Vervielfältigungsstück eines Werkes oder einer Leistung, zu dem die begünstigte Person rechtmäßigen Zugang hat, in einem barrierefreien Format und zur ausschließlichen Nutzung durch die begünstigte Person erstellen kann, insofern die normale Verwertung der Datenbank nicht beeinträchtigt wird und die berechtigten Interessen des Herstellers nicht ungebührlich verletzt werden. Eine in Belgien ansässige begünstigte Person kann bei einer befugten Stelle mit Sitz in einem beliebigen Mitgliedstaat der Europäischen Union ein Vervielfältigungsstück in einem barrierefreien Format beziehen oder abrufen,</w:t>
      </w:r>
    </w:p>
    <w:p w14:paraId="4AA92260" w14:textId="77777777" w:rsidR="00B1340F" w:rsidRPr="004676F5" w:rsidRDefault="00B1340F" w:rsidP="00B1340F">
      <w:pPr>
        <w:jc w:val="both"/>
        <w:rPr>
          <w:lang w:val="de-DE"/>
        </w:rPr>
      </w:pPr>
    </w:p>
    <w:p w14:paraId="55989896" w14:textId="77777777" w:rsidR="00B1340F" w:rsidRPr="004676F5" w:rsidRDefault="00B1340F" w:rsidP="00B1340F">
      <w:pPr>
        <w:jc w:val="both"/>
        <w:rPr>
          <w:lang w:val="de-DE"/>
        </w:rPr>
      </w:pPr>
      <w:r w:rsidRPr="004676F5">
        <w:rPr>
          <w:lang w:val="de-DE"/>
        </w:rPr>
        <w:tab/>
        <w:t>2. Handlungen, die erforderlich sind, damit eine befugte Stelle mit Sitz in Belgien zugunsten einer begünstigten Person oder einer anderen befugten Stelle mit Sitz in einem beliebigen Mitgliedstaat der Europäischen Union ein Vervielfältigungsstück eines Werkes oder einer Leistung, zu dem sie rechtmäßigen Zugang hat, in einem barrierefreien Format erstellen, übermitteln, zugänglich machen oder verbreiten kann. Eine befugte Stelle mit Sitz in Belgien kann bei einer befugten Stelle mit Sitz in einem beliebigen Mitgliedstaat der Europäischen Union ein Vervielfältigungsstück in einem barrierefreien Format beziehen oder abrufen. Die in den beiden vorstehenden Sätzen erwähnten Handlungen werden in gemeinnütziger Weise zur ausschließlichen Nutzung durch eine begünstigte Person ausgeführt, beeinträchtigen nicht die normale Verwertung der Datenbank und verletzen die berechtigten Interessen des Herstellers nicht ungebührlich.</w:t>
      </w:r>
    </w:p>
    <w:p w14:paraId="5A2298EB" w14:textId="77777777" w:rsidR="00B1340F" w:rsidRPr="004676F5" w:rsidRDefault="00B1340F" w:rsidP="00B1340F">
      <w:pPr>
        <w:jc w:val="both"/>
        <w:rPr>
          <w:lang w:val="de-DE"/>
        </w:rPr>
      </w:pPr>
    </w:p>
    <w:p w14:paraId="5C5AF10A" w14:textId="15AD6DA6" w:rsidR="00B1340F" w:rsidRPr="004676F5" w:rsidRDefault="00B1340F" w:rsidP="00B1340F">
      <w:pPr>
        <w:ind w:firstLine="708"/>
        <w:jc w:val="both"/>
        <w:rPr>
          <w:lang w:val="de-DE"/>
        </w:rPr>
      </w:pPr>
      <w:r w:rsidRPr="004676F5">
        <w:rPr>
          <w:lang w:val="de-DE"/>
        </w:rPr>
        <w:t>Die Bestimmungen von Titel 5 Kapitel 8/2 sind entsprechend anwendbar auf § 2.]</w:t>
      </w:r>
    </w:p>
    <w:p w14:paraId="3859E027" w14:textId="77777777" w:rsidR="00A03295" w:rsidRPr="004676F5" w:rsidRDefault="00A03295" w:rsidP="00B1340F">
      <w:pPr>
        <w:ind w:firstLine="708"/>
        <w:jc w:val="both"/>
        <w:rPr>
          <w:lang w:val="de-DE"/>
        </w:rPr>
      </w:pPr>
    </w:p>
    <w:p w14:paraId="5F9780A7" w14:textId="57DB1A11" w:rsidR="00A03295" w:rsidRPr="004676F5" w:rsidRDefault="00A03295" w:rsidP="00A03295">
      <w:pPr>
        <w:ind w:firstLine="708"/>
        <w:jc w:val="both"/>
        <w:rPr>
          <w:lang w:val="de-DE"/>
        </w:rPr>
      </w:pPr>
      <w:r w:rsidRPr="004676F5">
        <w:rPr>
          <w:lang w:val="de-DE"/>
        </w:rPr>
        <w:t>[§ 3 </w:t>
      </w:r>
      <w:r w:rsidRPr="004676F5">
        <w:rPr>
          <w:lang w:val="de-DE"/>
        </w:rPr>
        <w:softHyphen/>
      </w:r>
      <w:r w:rsidR="005B7A5C" w:rsidRPr="004676F5">
        <w:rPr>
          <w:lang w:val="de-DE"/>
        </w:rPr>
        <w:t>- </w:t>
      </w:r>
      <w:r w:rsidRPr="004676F5">
        <w:rPr>
          <w:lang w:val="de-DE"/>
        </w:rPr>
        <w:t>Die Zustimmung des Herstellers ist nicht erforderlich für:</w:t>
      </w:r>
    </w:p>
    <w:p w14:paraId="522F6933" w14:textId="77777777" w:rsidR="00A03295" w:rsidRPr="004676F5" w:rsidRDefault="00A03295" w:rsidP="00A03295">
      <w:pPr>
        <w:ind w:firstLine="708"/>
        <w:jc w:val="both"/>
        <w:rPr>
          <w:lang w:val="de-DE"/>
        </w:rPr>
      </w:pPr>
    </w:p>
    <w:p w14:paraId="7FE39DE5" w14:textId="5E308A09" w:rsidR="00A03295" w:rsidRPr="004676F5" w:rsidRDefault="00A03295" w:rsidP="00A03295">
      <w:pPr>
        <w:ind w:firstLine="708"/>
        <w:jc w:val="both"/>
        <w:rPr>
          <w:lang w:val="de-DE"/>
        </w:rPr>
      </w:pPr>
      <w:r w:rsidRPr="004676F5">
        <w:rPr>
          <w:lang w:val="de-DE"/>
        </w:rPr>
        <w:t>1. von Forschungsorganisationen, von öffentlich zugänglichen Bibliotheken oder Museen, von Archiven oder von Einrichtungen, die im Bereich des Film</w:t>
      </w:r>
      <w:r w:rsidR="005B7A5C" w:rsidRPr="004676F5">
        <w:rPr>
          <w:lang w:val="de-DE"/>
        </w:rPr>
        <w:t>- </w:t>
      </w:r>
      <w:r w:rsidRPr="004676F5">
        <w:rPr>
          <w:lang w:val="de-DE"/>
        </w:rPr>
        <w:t xml:space="preserve">oder Tonerbes tätig sind, vorgenommene Entnahmen von Inhalten aus Datenbanken, Werken und Leistungen, zu </w:t>
      </w:r>
      <w:r w:rsidRPr="004676F5">
        <w:rPr>
          <w:lang w:val="de-DE"/>
        </w:rPr>
        <w:lastRenderedPageBreak/>
        <w:t>denen sie rechtmäßig Zugang haben, zum Zwecke der wissenschaftlichen Forschung für Text und Data Mining.</w:t>
      </w:r>
    </w:p>
    <w:p w14:paraId="5A2D4843" w14:textId="77777777" w:rsidR="00A03295" w:rsidRPr="004676F5" w:rsidRDefault="00A03295" w:rsidP="00A03295">
      <w:pPr>
        <w:ind w:firstLine="708"/>
        <w:jc w:val="both"/>
        <w:rPr>
          <w:lang w:val="de-DE"/>
        </w:rPr>
      </w:pPr>
    </w:p>
    <w:p w14:paraId="163A05BD" w14:textId="3B302DFE" w:rsidR="00A03295" w:rsidRPr="004676F5" w:rsidRDefault="00A03295" w:rsidP="00A03295">
      <w:pPr>
        <w:ind w:firstLine="708"/>
        <w:jc w:val="both"/>
        <w:rPr>
          <w:lang w:val="de-DE"/>
        </w:rPr>
      </w:pPr>
      <w:r w:rsidRPr="004676F5">
        <w:rPr>
          <w:lang w:val="de-DE"/>
        </w:rPr>
        <w:t>Diese Entnahmen von Inhalten aus Datenbanken einschließlich Werken und Leistungen sind mit angemessenen Sicherheitsvorkehrungen zu speichern und dürfen zum Zwecke der wissenschaftlichen Forschung, auch zur Überprüfung wissenschaftlicher Erkenntnisse, aufbewahrt werden.</w:t>
      </w:r>
    </w:p>
    <w:p w14:paraId="4AFADD81" w14:textId="77777777" w:rsidR="00A03295" w:rsidRPr="004676F5" w:rsidRDefault="00A03295" w:rsidP="00A03295">
      <w:pPr>
        <w:ind w:firstLine="708"/>
        <w:jc w:val="both"/>
        <w:rPr>
          <w:lang w:val="de-DE"/>
        </w:rPr>
      </w:pPr>
    </w:p>
    <w:p w14:paraId="15108066" w14:textId="340EE9E8" w:rsidR="00A03295" w:rsidRPr="004676F5" w:rsidRDefault="00A03295" w:rsidP="00A03295">
      <w:pPr>
        <w:ind w:firstLine="708"/>
        <w:jc w:val="both"/>
        <w:rPr>
          <w:lang w:val="de-DE"/>
        </w:rPr>
      </w:pPr>
      <w:r w:rsidRPr="004676F5">
        <w:rPr>
          <w:lang w:val="de-DE"/>
        </w:rPr>
        <w:t>Hersteller von Datenbanken dürfen Maßnahmen durchführen, um die Sicherheit und Integrität der Netze und Datenbanken zu wahren, in denen die Inhalte aus Datenbanken gespeichert sind, sofern diese Maßnahmen über das für die Verwirklichung dieses Ziels Notwendige nicht hinausgehen,</w:t>
      </w:r>
    </w:p>
    <w:p w14:paraId="351A7710" w14:textId="77777777" w:rsidR="00A03295" w:rsidRPr="004676F5" w:rsidRDefault="00A03295" w:rsidP="00A03295">
      <w:pPr>
        <w:ind w:firstLine="708"/>
        <w:jc w:val="both"/>
        <w:rPr>
          <w:lang w:val="de-DE"/>
        </w:rPr>
      </w:pPr>
    </w:p>
    <w:p w14:paraId="53566885" w14:textId="72474AD6" w:rsidR="00A03295" w:rsidRPr="004676F5" w:rsidRDefault="00A03295" w:rsidP="00A03295">
      <w:pPr>
        <w:ind w:firstLine="708"/>
        <w:jc w:val="both"/>
        <w:rPr>
          <w:lang w:val="de-DE"/>
        </w:rPr>
      </w:pPr>
      <w:r w:rsidRPr="004676F5">
        <w:rPr>
          <w:lang w:val="de-DE"/>
        </w:rPr>
        <w:t>2. Entnahmen von Inhalten aus rechtmäßig zugänglichen Datenbanken einschließlich Werken und Leistungen zum Zwecke des Text und Data Mining, sofern die jeweiligen Hersteller der Datenbanken die Inhalte der betreffenden Datenbank nicht ausdrücklich in angemessener Weise mit einem Nutzungsvorbehalt versehen haben.</w:t>
      </w:r>
    </w:p>
    <w:p w14:paraId="34F489A3" w14:textId="77777777" w:rsidR="00A03295" w:rsidRPr="004676F5" w:rsidRDefault="00A03295" w:rsidP="00A03295">
      <w:pPr>
        <w:ind w:firstLine="708"/>
        <w:jc w:val="both"/>
        <w:rPr>
          <w:lang w:val="de-DE"/>
        </w:rPr>
      </w:pPr>
    </w:p>
    <w:p w14:paraId="24510B75" w14:textId="50629DA9" w:rsidR="00A03295" w:rsidRPr="004676F5" w:rsidRDefault="00A03295" w:rsidP="00A03295">
      <w:pPr>
        <w:ind w:firstLine="708"/>
        <w:jc w:val="both"/>
        <w:rPr>
          <w:lang w:val="de-DE"/>
        </w:rPr>
      </w:pPr>
      <w:r w:rsidRPr="004676F5">
        <w:rPr>
          <w:lang w:val="de-DE"/>
        </w:rPr>
        <w:t>Im Fall von online veröffentlichten Inhalten gilt der Nutzungsvorbehalt nur als angemessen, wenn er mit maschinenlesbaren Mitteln erfolgt.</w:t>
      </w:r>
    </w:p>
    <w:p w14:paraId="543147CB" w14:textId="77777777" w:rsidR="00A03295" w:rsidRPr="004676F5" w:rsidRDefault="00A03295" w:rsidP="00A03295">
      <w:pPr>
        <w:ind w:firstLine="708"/>
        <w:jc w:val="both"/>
        <w:rPr>
          <w:lang w:val="de-DE"/>
        </w:rPr>
      </w:pPr>
    </w:p>
    <w:p w14:paraId="019C0ABF" w14:textId="059C1873" w:rsidR="00A03295" w:rsidRPr="004676F5" w:rsidRDefault="00A03295" w:rsidP="00A03295">
      <w:pPr>
        <w:ind w:firstLine="708"/>
        <w:jc w:val="both"/>
        <w:rPr>
          <w:lang w:val="de-DE"/>
        </w:rPr>
      </w:pPr>
      <w:r w:rsidRPr="004676F5">
        <w:rPr>
          <w:lang w:val="de-DE"/>
        </w:rPr>
        <w:t>Diese Entnahmen dürfen so lange aufbewahrt werden, wie es für die Zwecke des Text und Data Mining notwendig ist.</w:t>
      </w:r>
    </w:p>
    <w:p w14:paraId="5A54E640" w14:textId="77777777" w:rsidR="00A03295" w:rsidRPr="004676F5" w:rsidRDefault="00A03295" w:rsidP="00A03295">
      <w:pPr>
        <w:ind w:firstLine="708"/>
        <w:jc w:val="both"/>
        <w:rPr>
          <w:lang w:val="de-DE"/>
        </w:rPr>
      </w:pPr>
    </w:p>
    <w:p w14:paraId="06120D2E" w14:textId="4BA45B04" w:rsidR="00A03295" w:rsidRPr="004676F5" w:rsidRDefault="00A03295" w:rsidP="00A03295">
      <w:pPr>
        <w:ind w:firstLine="708"/>
        <w:jc w:val="both"/>
        <w:rPr>
          <w:lang w:val="de-DE"/>
        </w:rPr>
      </w:pPr>
      <w:r w:rsidRPr="004676F5">
        <w:rPr>
          <w:lang w:val="de-DE"/>
        </w:rPr>
        <w:t>§ 4 </w:t>
      </w:r>
      <w:r w:rsidR="005B7A5C" w:rsidRPr="004676F5">
        <w:rPr>
          <w:lang w:val="de-DE"/>
        </w:rPr>
        <w:t>- </w:t>
      </w:r>
      <w:r w:rsidRPr="004676F5">
        <w:rPr>
          <w:lang w:val="de-DE"/>
        </w:rPr>
        <w:t>Die Erlaubnis des Herstellers ist für Entnahmen oder Wiederverwendungen von Inhalten aus Datenbanken nicht erforderlich, wenn diese Handlungen im Rahmen der digitalen Nutzung von Werken oder Leistungen zur Veranschaulichung im Unterricht erfolgen, soweit diese Nutzung durch den verfolgten nicht gewinnbringenden Zweck gerechtfertigt ist und insofern sie:</w:t>
      </w:r>
    </w:p>
    <w:p w14:paraId="7D905A2D" w14:textId="77777777" w:rsidR="00A03295" w:rsidRPr="004676F5" w:rsidRDefault="00A03295" w:rsidP="00A03295">
      <w:pPr>
        <w:ind w:firstLine="708"/>
        <w:jc w:val="both"/>
        <w:rPr>
          <w:lang w:val="de-DE"/>
        </w:rPr>
      </w:pPr>
    </w:p>
    <w:p w14:paraId="25E06098" w14:textId="474F7B7A" w:rsidR="00A03295" w:rsidRPr="004676F5" w:rsidRDefault="00A03295" w:rsidP="00A03295">
      <w:pPr>
        <w:ind w:firstLine="708"/>
        <w:jc w:val="both"/>
        <w:rPr>
          <w:lang w:val="de-DE"/>
        </w:rPr>
      </w:pPr>
      <w:r w:rsidRPr="004676F5">
        <w:rPr>
          <w:i/>
          <w:lang w:val="de-DE"/>
        </w:rPr>
        <w:t>a)</w:t>
      </w:r>
      <w:r w:rsidRPr="004676F5">
        <w:rPr>
          <w:lang w:val="de-DE"/>
        </w:rPr>
        <w:t> unter der Verantwortung einer Unterrichtsanstalt in ihren Räumlichkeiten oder an anderen Orten oder in einer gesicherten elektronischen Umgebung stattfindet, zu denen/der nur die Schüler oder Studenten und das Lehrpersonal der Unterrichtsanstalt Zugang haben, und</w:t>
      </w:r>
    </w:p>
    <w:p w14:paraId="2BE65E98" w14:textId="77777777" w:rsidR="00A03295" w:rsidRPr="004676F5" w:rsidRDefault="00A03295" w:rsidP="00A03295">
      <w:pPr>
        <w:ind w:firstLine="708"/>
        <w:jc w:val="both"/>
        <w:rPr>
          <w:lang w:val="de-DE"/>
        </w:rPr>
      </w:pPr>
    </w:p>
    <w:p w14:paraId="3FC7A99C" w14:textId="7059FD18" w:rsidR="00A03295" w:rsidRPr="004676F5" w:rsidRDefault="00A03295" w:rsidP="00A03295">
      <w:pPr>
        <w:ind w:firstLine="708"/>
        <w:jc w:val="both"/>
        <w:rPr>
          <w:lang w:val="de-DE"/>
        </w:rPr>
      </w:pPr>
      <w:r w:rsidRPr="004676F5">
        <w:rPr>
          <w:i/>
          <w:lang w:val="de-DE"/>
        </w:rPr>
        <w:t>b)</w:t>
      </w:r>
      <w:r w:rsidRPr="004676F5">
        <w:rPr>
          <w:lang w:val="de-DE"/>
        </w:rPr>
        <w:t> mit Quellenangaben erfolgt außer in Fällen, in denen sich das als unmöglich erweist.</w:t>
      </w:r>
    </w:p>
    <w:p w14:paraId="69C2AEF2" w14:textId="77777777" w:rsidR="00A03295" w:rsidRPr="004676F5" w:rsidRDefault="00A03295" w:rsidP="00A03295">
      <w:pPr>
        <w:ind w:firstLine="708"/>
        <w:jc w:val="both"/>
        <w:rPr>
          <w:lang w:val="de-DE"/>
        </w:rPr>
      </w:pPr>
    </w:p>
    <w:p w14:paraId="6CBE5B9E" w14:textId="46095DA2" w:rsidR="00A03295" w:rsidRPr="004676F5" w:rsidRDefault="00A03295" w:rsidP="00A03295">
      <w:pPr>
        <w:ind w:firstLine="708"/>
        <w:jc w:val="both"/>
        <w:rPr>
          <w:lang w:val="de-DE"/>
        </w:rPr>
      </w:pPr>
      <w:r w:rsidRPr="004676F5">
        <w:rPr>
          <w:lang w:val="de-DE"/>
        </w:rPr>
        <w:t>Die Nutzung von Inhalten aus einer Datenbank einschließlich Werken und Leistungen über gesicherte elektronische Umgebungen zur Veranschaulichung im Unterricht wie in Absatz 1 erwähnt gilt als allein in dem Mitgliedstaat erfolgt, in dem die Unterrichtsanstalt ihren Sitz hat.</w:t>
      </w:r>
    </w:p>
    <w:p w14:paraId="5DCDB734" w14:textId="77777777" w:rsidR="00A03295" w:rsidRPr="004676F5" w:rsidRDefault="00A03295" w:rsidP="00A03295">
      <w:pPr>
        <w:ind w:firstLine="708"/>
        <w:jc w:val="both"/>
        <w:rPr>
          <w:lang w:val="de-DE"/>
        </w:rPr>
      </w:pPr>
    </w:p>
    <w:p w14:paraId="7184F944" w14:textId="034B2CD2" w:rsidR="00A03295" w:rsidRPr="004676F5" w:rsidRDefault="00A03295" w:rsidP="00A03295">
      <w:pPr>
        <w:ind w:firstLine="708"/>
        <w:jc w:val="both"/>
        <w:rPr>
          <w:lang w:val="de-DE"/>
        </w:rPr>
      </w:pPr>
      <w:r w:rsidRPr="004676F5">
        <w:rPr>
          <w:lang w:val="de-DE"/>
        </w:rPr>
        <w:t>§ 5 </w:t>
      </w:r>
      <w:r w:rsidR="005B7A5C" w:rsidRPr="004676F5">
        <w:rPr>
          <w:lang w:val="de-DE"/>
        </w:rPr>
        <w:t>- </w:t>
      </w:r>
      <w:r w:rsidRPr="004676F5">
        <w:rPr>
          <w:lang w:val="de-DE"/>
        </w:rPr>
        <w:t>Die Erlaubnis des Herstellers ist für Entnahmen und/oder Wiederverwendungen von Inhalten aus Datenbanken nicht erforderlich, wenn diese Handlungen unabhängig von Format oder Medium von öffentlich zugänglichen Bibliotheken oder Museen, Archiven oder im Bereich des Film</w:t>
      </w:r>
      <w:r w:rsidR="005B7A5C" w:rsidRPr="004676F5">
        <w:rPr>
          <w:lang w:val="de-DE"/>
        </w:rPr>
        <w:t>- </w:t>
      </w:r>
      <w:r w:rsidRPr="004676F5">
        <w:rPr>
          <w:lang w:val="de-DE"/>
        </w:rPr>
        <w:t>oder Tonerbes tätigen Einrichtungen in Bezug auf Inhalte aus einer Datenbank einschließlich Werke und Leistungen, die sich dauerhaft in ihren Sammlungen befinden, vorgenommen werden für die Zwecke der Erhaltung dieser Inhalte aus einer Datenbank in dem für diese Erhaltung notwendigen Umfang.]</w:t>
      </w:r>
    </w:p>
    <w:p w14:paraId="0C40BB41" w14:textId="77777777" w:rsidR="00B1340F" w:rsidRPr="004676F5" w:rsidRDefault="00B1340F" w:rsidP="00B1340F">
      <w:pPr>
        <w:ind w:firstLine="708"/>
        <w:jc w:val="both"/>
        <w:rPr>
          <w:lang w:val="de-DE"/>
        </w:rPr>
      </w:pPr>
    </w:p>
    <w:p w14:paraId="34D0C4AD" w14:textId="38847A36" w:rsidR="00B1340F" w:rsidRPr="004676F5" w:rsidRDefault="00B1340F" w:rsidP="00B1340F">
      <w:pPr>
        <w:jc w:val="both"/>
        <w:rPr>
          <w:i/>
          <w:iCs/>
          <w:lang w:val="de-DE"/>
        </w:rPr>
      </w:pPr>
      <w:r w:rsidRPr="004676F5">
        <w:rPr>
          <w:i/>
          <w:iCs/>
          <w:lang w:val="de-DE"/>
        </w:rPr>
        <w:t>[Art. XI.310 § 1 (frühere Absätze 1 und 2) nummeriert durch Art. 16</w:t>
      </w:r>
      <w:r w:rsidRPr="004676F5">
        <w:rPr>
          <w:i/>
          <w:lang w:val="de-DE"/>
        </w:rPr>
        <w:t xml:space="preserve"> des G. vom 25. November 2018 (II) (B.S. vom 12. Dezember 2018); § 2 eingefügt durch Art. 1</w:t>
      </w:r>
      <w:r w:rsidR="00192CC5" w:rsidRPr="004676F5">
        <w:rPr>
          <w:i/>
          <w:lang w:val="de-DE"/>
        </w:rPr>
        <w:t>6</w:t>
      </w:r>
      <w:r w:rsidRPr="004676F5">
        <w:rPr>
          <w:i/>
          <w:lang w:val="de-DE"/>
        </w:rPr>
        <w:t xml:space="preserve"> des G. vom </w:t>
      </w:r>
      <w:r w:rsidRPr="004676F5">
        <w:rPr>
          <w:i/>
          <w:lang w:val="de-DE"/>
        </w:rPr>
        <w:lastRenderedPageBreak/>
        <w:t>25. November 2018 (II) (B.S. vom 12. Dezember 2018)</w:t>
      </w:r>
      <w:r w:rsidR="00A03295" w:rsidRPr="004676F5">
        <w:rPr>
          <w:i/>
          <w:lang w:val="de-DE"/>
        </w:rPr>
        <w:t>; §§ 3 bis 5 eingefügt durch Art. 83</w:t>
      </w:r>
      <w:r w:rsidR="00A03295" w:rsidRPr="004676F5">
        <w:rPr>
          <w:i/>
          <w:iCs/>
          <w:lang w:val="de-DE"/>
        </w:rPr>
        <w:t xml:space="preserve"> des G. vom 19. Juni 2022 (B.S. vom 1. August 2022)</w:t>
      </w:r>
      <w:r w:rsidRPr="004676F5">
        <w:rPr>
          <w:i/>
          <w:lang w:val="de-DE"/>
        </w:rPr>
        <w:t>]</w:t>
      </w:r>
    </w:p>
    <w:p w14:paraId="738E4146" w14:textId="77777777" w:rsidR="00355502" w:rsidRPr="004676F5" w:rsidRDefault="00355502" w:rsidP="001527B1">
      <w:pPr>
        <w:ind w:firstLine="708"/>
        <w:jc w:val="both"/>
        <w:rPr>
          <w:lang w:val="de-DE"/>
        </w:rPr>
      </w:pPr>
    </w:p>
    <w:p w14:paraId="49C16239" w14:textId="77777777" w:rsidR="00A03295" w:rsidRPr="004676F5" w:rsidRDefault="00A03295">
      <w:pPr>
        <w:rPr>
          <w:lang w:val="de-DE"/>
        </w:rPr>
      </w:pPr>
    </w:p>
    <w:p w14:paraId="7E2FCBDD" w14:textId="63368FB8" w:rsidR="00A03295" w:rsidRPr="004676F5" w:rsidRDefault="00A03295" w:rsidP="00A03295">
      <w:pPr>
        <w:jc w:val="both"/>
        <w:rPr>
          <w:lang w:val="de-DE"/>
        </w:rPr>
      </w:pPr>
      <w:r w:rsidRPr="004676F5">
        <w:rPr>
          <w:lang w:val="de-DE"/>
        </w:rPr>
        <w:tab/>
        <w:t>[</w:t>
      </w:r>
      <w:r w:rsidRPr="004676F5">
        <w:rPr>
          <w:b/>
          <w:bCs/>
          <w:lang w:val="de-DE"/>
        </w:rPr>
        <w:t>Art. XI.310/1</w:t>
      </w:r>
      <w:r w:rsidRPr="004676F5">
        <w:rPr>
          <w:lang w:val="de-DE"/>
        </w:rPr>
        <w:t> </w:t>
      </w:r>
      <w:r w:rsidR="005B7A5C" w:rsidRPr="004676F5">
        <w:rPr>
          <w:lang w:val="de-DE"/>
        </w:rPr>
        <w:t>- </w:t>
      </w:r>
      <w:r w:rsidRPr="004676F5">
        <w:rPr>
          <w:lang w:val="de-DE"/>
        </w:rPr>
        <w:t>§ 1 ­ Außer in dem in § 2 erwähnten Fall darf der Hersteller einer Datenbank Vervielfältigung oder öffentliche Wiedergabe zu nicht kommerziellen Zwecken einer vergriffenen Datenbank, die sich dauerhaft in den Sammlungen einer öffentlich zugänglichen Bibliothek, eines öffentlich zugänglichen Museums, eines Archivs oder einer im Bereich des Film</w:t>
      </w:r>
      <w:r w:rsidR="005B7A5C" w:rsidRPr="004676F5">
        <w:rPr>
          <w:lang w:val="de-DE"/>
        </w:rPr>
        <w:t>- </w:t>
      </w:r>
      <w:r w:rsidRPr="004676F5">
        <w:rPr>
          <w:lang w:val="de-DE"/>
        </w:rPr>
        <w:t>oder Tonerbes tätigen Einrichtung befindet, durch diese Bibliothek, dieses Museum, dieses Archiv oder diese Einrichtung nicht untersagen, sofern:</w:t>
      </w:r>
    </w:p>
    <w:p w14:paraId="0AACC870" w14:textId="77777777" w:rsidR="00A03295" w:rsidRPr="004676F5" w:rsidRDefault="00A03295" w:rsidP="00A03295">
      <w:pPr>
        <w:jc w:val="both"/>
        <w:rPr>
          <w:lang w:val="de-DE"/>
        </w:rPr>
      </w:pPr>
    </w:p>
    <w:p w14:paraId="21921A93" w14:textId="77777777" w:rsidR="00A03295" w:rsidRPr="004676F5" w:rsidRDefault="00A03295" w:rsidP="00A03295">
      <w:pPr>
        <w:jc w:val="both"/>
        <w:rPr>
          <w:lang w:val="de-DE"/>
        </w:rPr>
      </w:pPr>
      <w:r w:rsidRPr="004676F5">
        <w:rPr>
          <w:lang w:val="de-DE"/>
        </w:rPr>
        <w:tab/>
        <w:t>1. die gemäß Artikel XI.245/7/2 § 2 bestimmte repräsentative Verwertungsgesellschaft für die betreffenden Rechte nicht bestimmt ist,</w:t>
      </w:r>
    </w:p>
    <w:p w14:paraId="7D12417B" w14:textId="77777777" w:rsidR="00A03295" w:rsidRPr="004676F5" w:rsidRDefault="00A03295" w:rsidP="00A03295">
      <w:pPr>
        <w:jc w:val="both"/>
        <w:rPr>
          <w:lang w:val="de-DE"/>
        </w:rPr>
      </w:pPr>
    </w:p>
    <w:p w14:paraId="406701D9" w14:textId="77777777" w:rsidR="00A03295" w:rsidRPr="004676F5" w:rsidRDefault="00A03295" w:rsidP="00A03295">
      <w:pPr>
        <w:jc w:val="both"/>
        <w:rPr>
          <w:lang w:val="de-DE"/>
        </w:rPr>
      </w:pPr>
      <w:r w:rsidRPr="004676F5">
        <w:rPr>
          <w:lang w:val="de-DE"/>
        </w:rPr>
        <w:tab/>
        <w:t>2. die Datenbanken auf nicht kommerziellen Websites zur Verfügung gestellt werden und</w:t>
      </w:r>
    </w:p>
    <w:p w14:paraId="4ABEA68A" w14:textId="77777777" w:rsidR="00A03295" w:rsidRPr="004676F5" w:rsidRDefault="00A03295" w:rsidP="00A03295">
      <w:pPr>
        <w:jc w:val="both"/>
        <w:rPr>
          <w:lang w:val="de-DE"/>
        </w:rPr>
      </w:pPr>
    </w:p>
    <w:p w14:paraId="0F07EBA1" w14:textId="77777777" w:rsidR="00A03295" w:rsidRPr="004676F5" w:rsidRDefault="00A03295" w:rsidP="00A03295">
      <w:pPr>
        <w:jc w:val="both"/>
        <w:rPr>
          <w:lang w:val="de-DE"/>
        </w:rPr>
      </w:pPr>
      <w:r w:rsidRPr="004676F5">
        <w:rPr>
          <w:lang w:val="de-DE"/>
        </w:rPr>
        <w:tab/>
        <w:t>3. Quelle und Name des Herstellers oder eines anderen identifizierbaren Rechts</w:t>
      </w:r>
      <w:r w:rsidRPr="004676F5">
        <w:rPr>
          <w:lang w:val="de-DE"/>
        </w:rPr>
        <w:softHyphen/>
        <w:t>inhabers angegeben werden, außer in Fällen, in denen sich das als unmöglich erweist.</w:t>
      </w:r>
    </w:p>
    <w:p w14:paraId="3DE73DC1" w14:textId="77777777" w:rsidR="00A03295" w:rsidRPr="004676F5" w:rsidRDefault="00A03295" w:rsidP="00A03295">
      <w:pPr>
        <w:jc w:val="both"/>
        <w:rPr>
          <w:lang w:val="de-DE"/>
        </w:rPr>
      </w:pPr>
    </w:p>
    <w:p w14:paraId="6B38ECC7" w14:textId="5B3880DA" w:rsidR="00A03295" w:rsidRPr="004676F5" w:rsidRDefault="00A03295" w:rsidP="00A03295">
      <w:pPr>
        <w:jc w:val="both"/>
        <w:rPr>
          <w:lang w:val="de-DE"/>
        </w:rPr>
      </w:pPr>
      <w:r w:rsidRPr="004676F5">
        <w:rPr>
          <w:lang w:val="de-DE"/>
        </w:rPr>
        <w:tab/>
        <w:t>§ 2 ­ Ein Hersteller kann seine Werke auch nach Beginn der jeweiligen Nutzung durch eine öffentlich zugängliche Bibliothek, ein öffentlich zugängliches Museum, ein Archiv oder eine im Bereich des Film</w:t>
      </w:r>
      <w:r w:rsidR="005B7A5C" w:rsidRPr="004676F5">
        <w:rPr>
          <w:lang w:val="de-DE"/>
        </w:rPr>
        <w:t>- </w:t>
      </w:r>
      <w:r w:rsidRPr="004676F5">
        <w:rPr>
          <w:lang w:val="de-DE"/>
        </w:rPr>
        <w:t>oder Tonerbes tätige Einrichtung entweder generell oder in bestimmten Fällen jederzeit gemäß Artikel XI.245/7/3 einfach und wirksam von den in § 1 erwähnten Rechten der Vervielfältigung und öffentlichen Wiedergabe ausschließen.</w:t>
      </w:r>
    </w:p>
    <w:p w14:paraId="01E07C11" w14:textId="77777777" w:rsidR="00A03295" w:rsidRPr="004676F5" w:rsidRDefault="00A03295" w:rsidP="00A03295">
      <w:pPr>
        <w:jc w:val="both"/>
        <w:rPr>
          <w:lang w:val="de-DE"/>
        </w:rPr>
      </w:pPr>
    </w:p>
    <w:p w14:paraId="1C044FB3" w14:textId="77777777" w:rsidR="00A03295" w:rsidRPr="004676F5" w:rsidRDefault="00A03295" w:rsidP="00A03295">
      <w:pPr>
        <w:jc w:val="both"/>
        <w:rPr>
          <w:lang w:val="de-DE"/>
        </w:rPr>
      </w:pPr>
      <w:r w:rsidRPr="004676F5">
        <w:rPr>
          <w:lang w:val="de-DE"/>
        </w:rPr>
        <w:tab/>
        <w:t>Der König kann Modalitäten in Bezug auf die Ausübung des in Absatz 1 erwähnten Ausschlusses bestimmen.</w:t>
      </w:r>
    </w:p>
    <w:p w14:paraId="6C72505B" w14:textId="77777777" w:rsidR="00A03295" w:rsidRPr="004676F5" w:rsidRDefault="00A03295" w:rsidP="00A03295">
      <w:pPr>
        <w:jc w:val="both"/>
        <w:rPr>
          <w:lang w:val="de-DE"/>
        </w:rPr>
      </w:pPr>
    </w:p>
    <w:p w14:paraId="7881AB17" w14:textId="13D2C931" w:rsidR="00A03295" w:rsidRPr="004676F5" w:rsidRDefault="00A03295" w:rsidP="00A03295">
      <w:pPr>
        <w:jc w:val="both"/>
        <w:rPr>
          <w:lang w:val="de-DE"/>
        </w:rPr>
      </w:pPr>
      <w:r w:rsidRPr="004676F5">
        <w:rPr>
          <w:lang w:val="de-DE"/>
        </w:rPr>
        <w:tab/>
        <w:t>§ 3 ­ Mindestens sechs Monate vor der in § 1 erwähnten Vervielfältigung und öffentlichen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müssen die vorerwähnten Einrichtungen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218D9143" w14:textId="77777777" w:rsidR="00A03295" w:rsidRPr="004676F5" w:rsidRDefault="00A03295" w:rsidP="00A03295">
      <w:pPr>
        <w:jc w:val="both"/>
        <w:rPr>
          <w:lang w:val="de-DE"/>
        </w:rPr>
      </w:pPr>
    </w:p>
    <w:p w14:paraId="4F0A6D36" w14:textId="77777777" w:rsidR="00A03295" w:rsidRPr="004676F5" w:rsidRDefault="00A03295" w:rsidP="00A03295">
      <w:pPr>
        <w:jc w:val="both"/>
        <w:rPr>
          <w:lang w:val="de-DE"/>
        </w:rPr>
      </w:pPr>
      <w:r w:rsidRPr="004676F5">
        <w:rPr>
          <w:lang w:val="de-DE"/>
        </w:rPr>
        <w:tab/>
        <w:t>1. Identifizierung der vergriffenen Datenbanken und</w:t>
      </w:r>
    </w:p>
    <w:p w14:paraId="5E0CA175" w14:textId="77777777" w:rsidR="00A03295" w:rsidRPr="004676F5" w:rsidRDefault="00A03295" w:rsidP="00A03295">
      <w:pPr>
        <w:jc w:val="both"/>
        <w:rPr>
          <w:lang w:val="de-DE"/>
        </w:rPr>
      </w:pPr>
    </w:p>
    <w:p w14:paraId="259AF47A" w14:textId="77777777" w:rsidR="00A03295" w:rsidRPr="004676F5" w:rsidRDefault="00A03295" w:rsidP="00A03295">
      <w:pPr>
        <w:jc w:val="both"/>
        <w:rPr>
          <w:lang w:val="de-DE"/>
        </w:rPr>
      </w:pPr>
      <w:r w:rsidRPr="004676F5">
        <w:rPr>
          <w:lang w:val="de-DE"/>
        </w:rPr>
        <w:tab/>
        <w:t>2. Möglichkeit für den Hersteller, seine Rechte gemäß Artikel XI.245/7/3 von dieser Ausnahme auszuschließen.</w:t>
      </w:r>
    </w:p>
    <w:p w14:paraId="44A1A02C" w14:textId="77777777" w:rsidR="00A03295" w:rsidRPr="004676F5" w:rsidRDefault="00A03295" w:rsidP="00A03295">
      <w:pPr>
        <w:jc w:val="both"/>
        <w:rPr>
          <w:lang w:val="de-DE"/>
        </w:rPr>
      </w:pPr>
    </w:p>
    <w:p w14:paraId="078A8623" w14:textId="77777777" w:rsidR="00A03295" w:rsidRPr="004676F5" w:rsidRDefault="00A03295" w:rsidP="00A03295">
      <w:pPr>
        <w:jc w:val="both"/>
        <w:rPr>
          <w:lang w:val="de-DE"/>
        </w:rPr>
      </w:pPr>
      <w:r w:rsidRPr="004676F5">
        <w:rPr>
          <w:lang w:val="de-DE"/>
        </w:rPr>
        <w:tab/>
        <w:t>Der König kann Modalitäten in Bezug auf die in Absatz 1 erwähnte Bekanntmachung bestimmen und weitere geeignete Informationsmaßnahmen festlegen, wenn sich dies als notwendig erweist, um Hersteller zu sensibilisieren.</w:t>
      </w:r>
    </w:p>
    <w:p w14:paraId="6848B17F" w14:textId="77777777" w:rsidR="00A03295" w:rsidRPr="004676F5" w:rsidRDefault="00A03295" w:rsidP="00A03295">
      <w:pPr>
        <w:jc w:val="both"/>
        <w:rPr>
          <w:lang w:val="de-DE"/>
        </w:rPr>
      </w:pPr>
    </w:p>
    <w:p w14:paraId="47CE4B99" w14:textId="7BC11FC4" w:rsidR="00A03295" w:rsidRPr="004676F5" w:rsidRDefault="00A03295" w:rsidP="00A03295">
      <w:pPr>
        <w:jc w:val="both"/>
        <w:rPr>
          <w:lang w:val="de-DE"/>
        </w:rPr>
      </w:pPr>
      <w:r w:rsidRPr="004676F5">
        <w:rPr>
          <w:lang w:val="de-DE"/>
        </w:rPr>
        <w:tab/>
        <w:t>§ 4 </w:t>
      </w:r>
      <w:r w:rsidR="005B7A5C" w:rsidRPr="004676F5">
        <w:rPr>
          <w:lang w:val="de-DE"/>
        </w:rPr>
        <w:t>- </w:t>
      </w:r>
      <w:r w:rsidRPr="004676F5">
        <w:rPr>
          <w:lang w:val="de-DE"/>
        </w:rPr>
        <w:t>Eine in § 1 erwähnte Vervielfältigung und öffentliche Wiedergabe durch eine öffentlich zugängliche Bibliothek oder ein öffentlich zugängliches Museum, ein Archiv oder eine im Bereich des Film</w:t>
      </w:r>
      <w:r w:rsidR="005B7A5C" w:rsidRPr="004676F5">
        <w:rPr>
          <w:lang w:val="de-DE"/>
        </w:rPr>
        <w:t>- </w:t>
      </w:r>
      <w:r w:rsidRPr="004676F5">
        <w:rPr>
          <w:lang w:val="de-DE"/>
        </w:rPr>
        <w:t>oder Tonerbes tätige Einrichtung gilt als allein in dem Mitgliedstaat erfolgt, in dem die vorerwähnte Einrichtung ihren Sitz hat.</w:t>
      </w:r>
    </w:p>
    <w:p w14:paraId="50370D17" w14:textId="77777777" w:rsidR="00A03295" w:rsidRPr="004676F5" w:rsidRDefault="00A03295" w:rsidP="00A03295">
      <w:pPr>
        <w:jc w:val="both"/>
        <w:rPr>
          <w:lang w:val="de-DE"/>
        </w:rPr>
      </w:pPr>
    </w:p>
    <w:p w14:paraId="156BD187" w14:textId="3130C6CA" w:rsidR="00A03295" w:rsidRPr="004676F5" w:rsidRDefault="00A03295" w:rsidP="00A03295">
      <w:pPr>
        <w:jc w:val="both"/>
        <w:rPr>
          <w:lang w:val="de-DE"/>
        </w:rPr>
      </w:pPr>
      <w:r w:rsidRPr="004676F5">
        <w:rPr>
          <w:lang w:val="de-DE"/>
        </w:rPr>
        <w:lastRenderedPageBreak/>
        <w:tab/>
        <w:t>§ 5 </w:t>
      </w:r>
      <w:r w:rsidR="005B7A5C" w:rsidRPr="004676F5">
        <w:rPr>
          <w:lang w:val="de-DE"/>
        </w:rPr>
        <w:t>- </w:t>
      </w:r>
      <w:r w:rsidRPr="004676F5">
        <w:rPr>
          <w:lang w:val="de-DE"/>
        </w:rPr>
        <w:t>Öffentlich zugängliche Bibliotheken oder Museen, Archive oder im Bereich des Film</w:t>
      </w:r>
      <w:r w:rsidR="005B7A5C" w:rsidRPr="004676F5">
        <w:rPr>
          <w:lang w:val="de-DE"/>
        </w:rPr>
        <w:t>- </w:t>
      </w:r>
      <w:r w:rsidRPr="004676F5">
        <w:rPr>
          <w:lang w:val="de-DE"/>
        </w:rPr>
        <w:t>oder Tonerbes tätige Einrichtungen sind die für die Verarbeitung personenbezogener Daten Verantwortlichen, und zwar jeweils für die Datenverarbeitungen, die sie betreffen.]</w:t>
      </w:r>
    </w:p>
    <w:p w14:paraId="35C67350" w14:textId="77777777" w:rsidR="00A03295" w:rsidRPr="004676F5" w:rsidRDefault="00A03295" w:rsidP="00A03295">
      <w:pPr>
        <w:jc w:val="both"/>
        <w:rPr>
          <w:lang w:val="de-DE"/>
        </w:rPr>
      </w:pPr>
    </w:p>
    <w:p w14:paraId="4B4B5EE3" w14:textId="17DE7C70" w:rsidR="00A03295" w:rsidRPr="004676F5" w:rsidRDefault="00A03295" w:rsidP="00A03295">
      <w:pPr>
        <w:jc w:val="both"/>
        <w:rPr>
          <w:i/>
          <w:iCs/>
          <w:lang w:val="de-DE"/>
        </w:rPr>
      </w:pPr>
      <w:r w:rsidRPr="004676F5">
        <w:rPr>
          <w:i/>
          <w:iCs/>
          <w:lang w:val="de-DE"/>
        </w:rPr>
        <w:t>[Art. XI.310/1 eingefügt durch Art. 84 des G. vom 19. Juni 2022 (B.S. vom 1. August 2022)]</w:t>
      </w:r>
    </w:p>
    <w:p w14:paraId="336B0AC0" w14:textId="6451EB8D" w:rsidR="00355502" w:rsidRPr="004676F5" w:rsidRDefault="00355502" w:rsidP="00A03295">
      <w:pPr>
        <w:jc w:val="both"/>
        <w:rPr>
          <w:lang w:val="de-DE"/>
        </w:rPr>
      </w:pPr>
      <w:r w:rsidRPr="004676F5">
        <w:rPr>
          <w:lang w:val="de-DE"/>
        </w:rPr>
        <w:br w:type="page"/>
      </w:r>
    </w:p>
    <w:p w14:paraId="2C882604" w14:textId="3791A665" w:rsidR="001527B1" w:rsidRPr="004676F5" w:rsidRDefault="001527B1" w:rsidP="001527B1">
      <w:pPr>
        <w:jc w:val="center"/>
        <w:rPr>
          <w:lang w:val="de-DE"/>
        </w:rPr>
      </w:pPr>
      <w:r w:rsidRPr="004676F5">
        <w:rPr>
          <w:lang w:val="de-DE"/>
        </w:rPr>
        <w:lastRenderedPageBreak/>
        <w:t>KAPITEL 4 </w:t>
      </w:r>
      <w:r w:rsidR="005B7A5C" w:rsidRPr="004676F5">
        <w:rPr>
          <w:lang w:val="de-DE"/>
        </w:rPr>
        <w:t>- </w:t>
      </w:r>
      <w:r w:rsidRPr="004676F5">
        <w:rPr>
          <w:i/>
          <w:lang w:val="de-DE"/>
        </w:rPr>
        <w:t>Rechte und Pflichten der rechtmäßigen Benutzer</w:t>
      </w:r>
    </w:p>
    <w:p w14:paraId="7E273F1E" w14:textId="77777777" w:rsidR="001527B1" w:rsidRPr="004676F5" w:rsidRDefault="001527B1" w:rsidP="001527B1">
      <w:pPr>
        <w:jc w:val="both"/>
        <w:rPr>
          <w:lang w:val="de-DE"/>
        </w:rPr>
      </w:pPr>
    </w:p>
    <w:p w14:paraId="42AD4FAB" w14:textId="77777777" w:rsidR="00355502" w:rsidRPr="004676F5" w:rsidRDefault="00355502" w:rsidP="001527B1">
      <w:pPr>
        <w:jc w:val="both"/>
        <w:rPr>
          <w:lang w:val="de-DE"/>
        </w:rPr>
      </w:pPr>
    </w:p>
    <w:p w14:paraId="0DD63102" w14:textId="6D23D85F" w:rsidR="001527B1" w:rsidRPr="004676F5" w:rsidRDefault="00BE0A56" w:rsidP="001527B1">
      <w:pPr>
        <w:ind w:firstLine="708"/>
        <w:jc w:val="both"/>
        <w:rPr>
          <w:lang w:val="de-DE"/>
        </w:rPr>
      </w:pPr>
      <w:r w:rsidRPr="004676F5">
        <w:rPr>
          <w:b/>
          <w:lang w:val="de-DE"/>
        </w:rPr>
        <w:t>Art. </w:t>
      </w:r>
      <w:r w:rsidR="001527B1" w:rsidRPr="004676F5">
        <w:rPr>
          <w:b/>
          <w:lang w:val="de-DE"/>
        </w:rPr>
        <w:t>XI.311</w:t>
      </w:r>
      <w:r w:rsidR="001527B1" w:rsidRPr="004676F5">
        <w:rPr>
          <w:lang w:val="de-DE"/>
        </w:rPr>
        <w:t> </w:t>
      </w:r>
      <w:r w:rsidR="005B7A5C" w:rsidRPr="004676F5">
        <w:rPr>
          <w:lang w:val="de-DE"/>
        </w:rPr>
        <w:t>- </w:t>
      </w:r>
      <w:r w:rsidR="001527B1" w:rsidRPr="004676F5">
        <w:rPr>
          <w:lang w:val="de-DE"/>
        </w:rPr>
        <w:t xml:space="preserve">Der Hersteller einer der Öffentlichkeit </w:t>
      </w:r>
      <w:r w:rsidR="005B7A5C" w:rsidRPr="004676F5">
        <w:rPr>
          <w:lang w:val="de-DE"/>
        </w:rPr>
        <w:t>- </w:t>
      </w:r>
      <w:r w:rsidR="001527B1" w:rsidRPr="004676F5">
        <w:rPr>
          <w:lang w:val="de-DE"/>
        </w:rPr>
        <w:t>in welcher Weise auch immer </w:t>
      </w:r>
      <w:r w:rsidR="005B7A5C" w:rsidRPr="004676F5">
        <w:rPr>
          <w:lang w:val="de-DE"/>
        </w:rPr>
        <w:t>- </w:t>
      </w:r>
      <w:r w:rsidR="001527B1" w:rsidRPr="004676F5">
        <w:rPr>
          <w:lang w:val="de-DE"/>
        </w:rPr>
        <w:t>zur Verfügung gestellten Datenbank kann dem rechtmäßigen Benutzer dieser Datenbank nicht untersagen, in qualitativer oder quantitativer Hinsicht unwesentliche Teile des Inhalts der Datenbank zu beliebigen Zwecken zu entnehmen und/oder weiterzuverwenden.</w:t>
      </w:r>
    </w:p>
    <w:p w14:paraId="6D22E40E" w14:textId="77777777" w:rsidR="001527B1" w:rsidRPr="004676F5" w:rsidRDefault="001527B1" w:rsidP="001527B1">
      <w:pPr>
        <w:ind w:firstLine="708"/>
        <w:jc w:val="both"/>
        <w:rPr>
          <w:lang w:val="de-DE"/>
        </w:rPr>
      </w:pPr>
    </w:p>
    <w:p w14:paraId="6E93CE1E" w14:textId="77777777" w:rsidR="001527B1" w:rsidRPr="004676F5" w:rsidRDefault="001527B1" w:rsidP="001527B1">
      <w:pPr>
        <w:ind w:firstLine="708"/>
        <w:jc w:val="both"/>
        <w:rPr>
          <w:lang w:val="de-DE"/>
        </w:rPr>
      </w:pPr>
      <w:r w:rsidRPr="004676F5">
        <w:rPr>
          <w:lang w:val="de-DE"/>
        </w:rPr>
        <w:t>Sofern der rechtmäßige Benutzer nur berechtigt ist, einen Teil der Datenbank zu entnehmen und/oder weiterzuverwenden, gilt Absatz 1 nur für diesen Teil.</w:t>
      </w:r>
    </w:p>
    <w:p w14:paraId="3757376E" w14:textId="77777777" w:rsidR="001527B1" w:rsidRPr="004676F5" w:rsidRDefault="001527B1" w:rsidP="001527B1">
      <w:pPr>
        <w:ind w:firstLine="708"/>
        <w:jc w:val="both"/>
        <w:rPr>
          <w:lang w:val="de-DE"/>
        </w:rPr>
      </w:pPr>
    </w:p>
    <w:p w14:paraId="27F64B68" w14:textId="77777777" w:rsidR="00355502" w:rsidRPr="004676F5" w:rsidRDefault="00355502" w:rsidP="001527B1">
      <w:pPr>
        <w:ind w:firstLine="708"/>
        <w:jc w:val="both"/>
        <w:rPr>
          <w:lang w:val="de-DE"/>
        </w:rPr>
      </w:pPr>
    </w:p>
    <w:p w14:paraId="2EB7A375" w14:textId="46618683" w:rsidR="001527B1" w:rsidRPr="004676F5" w:rsidRDefault="00BE0A56" w:rsidP="001527B1">
      <w:pPr>
        <w:ind w:firstLine="708"/>
        <w:jc w:val="both"/>
        <w:rPr>
          <w:lang w:val="de-DE"/>
        </w:rPr>
      </w:pPr>
      <w:r w:rsidRPr="004676F5">
        <w:rPr>
          <w:b/>
          <w:lang w:val="de-DE"/>
        </w:rPr>
        <w:t>Art. </w:t>
      </w:r>
      <w:r w:rsidR="001527B1" w:rsidRPr="004676F5">
        <w:rPr>
          <w:b/>
          <w:lang w:val="de-DE"/>
        </w:rPr>
        <w:t>XI.312</w:t>
      </w:r>
      <w:r w:rsidR="001527B1" w:rsidRPr="004676F5">
        <w:rPr>
          <w:lang w:val="de-DE"/>
        </w:rPr>
        <w:t> </w:t>
      </w:r>
      <w:r w:rsidR="005B7A5C" w:rsidRPr="004676F5">
        <w:rPr>
          <w:lang w:val="de-DE"/>
        </w:rPr>
        <w:t>- </w:t>
      </w:r>
      <w:r w:rsidR="001527B1" w:rsidRPr="004676F5">
        <w:rPr>
          <w:lang w:val="de-DE"/>
        </w:rPr>
        <w:t xml:space="preserve">Der rechtmäßige Benutzer einer der Öffentlichkeit </w:t>
      </w:r>
      <w:r w:rsidR="005B7A5C" w:rsidRPr="004676F5">
        <w:rPr>
          <w:lang w:val="de-DE"/>
        </w:rPr>
        <w:t>- </w:t>
      </w:r>
      <w:r w:rsidR="001527B1" w:rsidRPr="004676F5">
        <w:rPr>
          <w:lang w:val="de-DE"/>
        </w:rPr>
        <w:t>in welcher Weise auch immer </w:t>
      </w:r>
      <w:r w:rsidR="005B7A5C" w:rsidRPr="004676F5">
        <w:rPr>
          <w:lang w:val="de-DE"/>
        </w:rPr>
        <w:t>- </w:t>
      </w:r>
      <w:r w:rsidR="001527B1" w:rsidRPr="004676F5">
        <w:rPr>
          <w:lang w:val="de-DE"/>
        </w:rPr>
        <w:t>zur Verfügung gestellten Datenbank darf keine Handlungen vornehmen, die die normale Nutzung dieser Datenbank beeinträchtigen oder die berechtigten Interessen des Herstellers der Datenbank unzumutbar verletzen.</w:t>
      </w:r>
    </w:p>
    <w:p w14:paraId="56068EB4" w14:textId="77777777" w:rsidR="001527B1" w:rsidRPr="004676F5" w:rsidRDefault="001527B1" w:rsidP="001527B1">
      <w:pPr>
        <w:ind w:firstLine="708"/>
        <w:jc w:val="both"/>
        <w:rPr>
          <w:lang w:val="de-DE"/>
        </w:rPr>
      </w:pPr>
    </w:p>
    <w:p w14:paraId="549D6901" w14:textId="77777777" w:rsidR="00355502" w:rsidRPr="004676F5" w:rsidRDefault="00355502" w:rsidP="001527B1">
      <w:pPr>
        <w:ind w:firstLine="708"/>
        <w:jc w:val="both"/>
        <w:rPr>
          <w:lang w:val="de-DE"/>
        </w:rPr>
      </w:pPr>
    </w:p>
    <w:p w14:paraId="35D22E7F" w14:textId="5D08EC2F" w:rsidR="001527B1" w:rsidRPr="004676F5" w:rsidRDefault="00BE0A56" w:rsidP="001527B1">
      <w:pPr>
        <w:ind w:firstLine="708"/>
        <w:jc w:val="both"/>
        <w:rPr>
          <w:lang w:val="de-DE"/>
        </w:rPr>
      </w:pPr>
      <w:r w:rsidRPr="004676F5">
        <w:rPr>
          <w:b/>
          <w:lang w:val="de-DE"/>
        </w:rPr>
        <w:t>Art. </w:t>
      </w:r>
      <w:r w:rsidR="001527B1" w:rsidRPr="004676F5">
        <w:rPr>
          <w:b/>
          <w:lang w:val="de-DE"/>
        </w:rPr>
        <w:t>XI.313</w:t>
      </w:r>
      <w:r w:rsidR="001527B1" w:rsidRPr="004676F5">
        <w:rPr>
          <w:lang w:val="de-DE"/>
        </w:rPr>
        <w:t> </w:t>
      </w:r>
      <w:r w:rsidR="005B7A5C" w:rsidRPr="004676F5">
        <w:rPr>
          <w:lang w:val="de-DE"/>
        </w:rPr>
        <w:t>- </w:t>
      </w:r>
      <w:r w:rsidR="001527B1" w:rsidRPr="004676F5">
        <w:rPr>
          <w:lang w:val="de-DE"/>
        </w:rPr>
        <w:t xml:space="preserve">Der rechtmäßige Benutzer einer der Öffentlichkeit </w:t>
      </w:r>
      <w:r w:rsidR="005B7A5C" w:rsidRPr="004676F5">
        <w:rPr>
          <w:lang w:val="de-DE"/>
        </w:rPr>
        <w:t>- </w:t>
      </w:r>
      <w:r w:rsidR="001527B1" w:rsidRPr="004676F5">
        <w:rPr>
          <w:lang w:val="de-DE"/>
        </w:rPr>
        <w:t>in welcher Weise auch immer </w:t>
      </w:r>
      <w:r w:rsidR="005B7A5C" w:rsidRPr="004676F5">
        <w:rPr>
          <w:lang w:val="de-DE"/>
        </w:rPr>
        <w:t>- </w:t>
      </w:r>
      <w:r w:rsidR="001527B1" w:rsidRPr="004676F5">
        <w:rPr>
          <w:lang w:val="de-DE"/>
        </w:rPr>
        <w:t>zur Verfügung gestellten Datenbank darf dem Inhaber eines Urheberrechts oder verwandten Schutzrechts an den in dieser Datenbank enthaltenen Werken oder Leistungen keinen Schaden zufügen.</w:t>
      </w:r>
    </w:p>
    <w:p w14:paraId="5B4E7D86" w14:textId="77777777" w:rsidR="001527B1" w:rsidRPr="004676F5" w:rsidRDefault="001527B1" w:rsidP="001527B1">
      <w:pPr>
        <w:ind w:firstLine="708"/>
        <w:jc w:val="both"/>
        <w:rPr>
          <w:lang w:val="de-DE"/>
        </w:rPr>
      </w:pPr>
    </w:p>
    <w:p w14:paraId="6D327124" w14:textId="77777777" w:rsidR="00355502" w:rsidRPr="004676F5" w:rsidRDefault="00355502" w:rsidP="001527B1">
      <w:pPr>
        <w:ind w:firstLine="708"/>
        <w:jc w:val="both"/>
        <w:rPr>
          <w:lang w:val="de-DE"/>
        </w:rPr>
      </w:pPr>
    </w:p>
    <w:p w14:paraId="432B6EC2" w14:textId="1E843FE5" w:rsidR="001527B1" w:rsidRPr="004676F5" w:rsidRDefault="00BE0A56" w:rsidP="00355502">
      <w:pPr>
        <w:ind w:firstLine="708"/>
        <w:jc w:val="both"/>
        <w:rPr>
          <w:lang w:val="de-DE"/>
        </w:rPr>
      </w:pPr>
      <w:r w:rsidRPr="004676F5">
        <w:rPr>
          <w:b/>
          <w:lang w:val="de-DE"/>
        </w:rPr>
        <w:t>Art. </w:t>
      </w:r>
      <w:r w:rsidR="001527B1" w:rsidRPr="004676F5">
        <w:rPr>
          <w:b/>
          <w:lang w:val="de-DE"/>
        </w:rPr>
        <w:t>XI.314</w:t>
      </w:r>
      <w:r w:rsidR="001527B1" w:rsidRPr="004676F5">
        <w:rPr>
          <w:lang w:val="de-DE"/>
        </w:rPr>
        <w:t> </w:t>
      </w:r>
      <w:r w:rsidR="005B7A5C" w:rsidRPr="004676F5">
        <w:rPr>
          <w:lang w:val="de-DE"/>
        </w:rPr>
        <w:t>- </w:t>
      </w:r>
      <w:r w:rsidR="001527B1" w:rsidRPr="004676F5">
        <w:rPr>
          <w:lang w:val="de-DE"/>
        </w:rPr>
        <w:t>Die Bestimmungen der Artikel XI.310 bis XI.313 sind verbindlich.</w:t>
      </w:r>
    </w:p>
    <w:p w14:paraId="7444EBE7" w14:textId="77777777" w:rsidR="001527B1" w:rsidRPr="004676F5" w:rsidRDefault="001527B1" w:rsidP="001527B1">
      <w:pPr>
        <w:ind w:firstLine="708"/>
        <w:jc w:val="both"/>
        <w:rPr>
          <w:lang w:val="de-DE"/>
        </w:rPr>
      </w:pPr>
    </w:p>
    <w:p w14:paraId="131AFE8C" w14:textId="6B8291C8" w:rsidR="001527B1" w:rsidRPr="004676F5" w:rsidRDefault="00A03295" w:rsidP="001527B1">
      <w:pPr>
        <w:ind w:firstLine="708"/>
        <w:jc w:val="both"/>
        <w:rPr>
          <w:lang w:val="de-DE"/>
        </w:rPr>
      </w:pPr>
      <w:r w:rsidRPr="004676F5">
        <w:rPr>
          <w:lang w:val="de-DE"/>
        </w:rPr>
        <w:t>[...]</w:t>
      </w:r>
    </w:p>
    <w:p w14:paraId="5575F9E9" w14:textId="77777777" w:rsidR="00A03295" w:rsidRPr="004676F5" w:rsidRDefault="00A03295" w:rsidP="001527B1">
      <w:pPr>
        <w:ind w:firstLine="708"/>
        <w:jc w:val="both"/>
        <w:rPr>
          <w:lang w:val="de-DE"/>
        </w:rPr>
      </w:pPr>
    </w:p>
    <w:p w14:paraId="0D68ABD1" w14:textId="37729356" w:rsidR="00A03295" w:rsidRPr="004676F5" w:rsidRDefault="00A03295" w:rsidP="00A03295">
      <w:pPr>
        <w:jc w:val="both"/>
        <w:rPr>
          <w:i/>
          <w:iCs/>
          <w:lang w:val="de-DE"/>
        </w:rPr>
      </w:pPr>
      <w:r w:rsidRPr="004676F5">
        <w:rPr>
          <w:i/>
          <w:iCs/>
          <w:lang w:val="de-DE"/>
        </w:rPr>
        <w:t>[Art. XI.314 früherer Absatz 2 aufgehoben durch Art. 85 des G. vom 19. Juni 2022 (B.S. vom 1. August 2022)]</w:t>
      </w:r>
    </w:p>
    <w:p w14:paraId="0DA3FDA1" w14:textId="77777777" w:rsidR="001527B1" w:rsidRPr="004676F5" w:rsidRDefault="001527B1" w:rsidP="001527B1">
      <w:pPr>
        <w:rPr>
          <w:lang w:val="de-DE"/>
        </w:rPr>
      </w:pPr>
      <w:r w:rsidRPr="004676F5">
        <w:rPr>
          <w:lang w:val="de-DE"/>
        </w:rPr>
        <w:br w:type="page"/>
      </w:r>
    </w:p>
    <w:p w14:paraId="6745C8E0" w14:textId="0FB276B8" w:rsidR="001527B1" w:rsidRPr="004676F5" w:rsidRDefault="001527B1" w:rsidP="001527B1">
      <w:pPr>
        <w:jc w:val="center"/>
        <w:rPr>
          <w:lang w:val="de-DE"/>
        </w:rPr>
      </w:pPr>
      <w:r w:rsidRPr="004676F5">
        <w:rPr>
          <w:lang w:val="de-DE"/>
        </w:rPr>
        <w:lastRenderedPageBreak/>
        <w:t>KAPITEL 5 </w:t>
      </w:r>
      <w:r w:rsidR="005B7A5C" w:rsidRPr="004676F5">
        <w:rPr>
          <w:lang w:val="de-DE"/>
        </w:rPr>
        <w:t>- </w:t>
      </w:r>
      <w:r w:rsidRPr="004676F5">
        <w:rPr>
          <w:i/>
          <w:lang w:val="de-DE"/>
        </w:rPr>
        <w:t>Begünstigte des Schutzes</w:t>
      </w:r>
    </w:p>
    <w:p w14:paraId="7B382CD6" w14:textId="77777777" w:rsidR="001527B1" w:rsidRPr="004676F5" w:rsidRDefault="001527B1" w:rsidP="001527B1">
      <w:pPr>
        <w:ind w:firstLine="708"/>
        <w:jc w:val="both"/>
        <w:rPr>
          <w:lang w:val="de-DE"/>
        </w:rPr>
      </w:pPr>
    </w:p>
    <w:p w14:paraId="351D0A6D" w14:textId="77777777" w:rsidR="00355502" w:rsidRPr="004676F5" w:rsidRDefault="00355502" w:rsidP="001527B1">
      <w:pPr>
        <w:ind w:firstLine="708"/>
        <w:jc w:val="both"/>
        <w:rPr>
          <w:lang w:val="de-DE"/>
        </w:rPr>
      </w:pPr>
    </w:p>
    <w:p w14:paraId="3625B4AA" w14:textId="11021379" w:rsidR="001527B1" w:rsidRPr="004676F5" w:rsidRDefault="00BE0A56" w:rsidP="001527B1">
      <w:pPr>
        <w:ind w:firstLine="708"/>
        <w:jc w:val="both"/>
        <w:rPr>
          <w:lang w:val="de-DE"/>
        </w:rPr>
      </w:pPr>
      <w:r w:rsidRPr="004676F5">
        <w:rPr>
          <w:b/>
          <w:lang w:val="de-DE"/>
        </w:rPr>
        <w:t>Art. </w:t>
      </w:r>
      <w:r w:rsidR="001527B1" w:rsidRPr="004676F5">
        <w:rPr>
          <w:b/>
          <w:lang w:val="de-DE"/>
        </w:rPr>
        <w:t>XI.315</w:t>
      </w:r>
      <w:r w:rsidR="001527B1" w:rsidRPr="004676F5">
        <w:rPr>
          <w:lang w:val="de-DE"/>
        </w:rPr>
        <w:t> </w:t>
      </w:r>
      <w:r w:rsidR="005B7A5C" w:rsidRPr="004676F5">
        <w:rPr>
          <w:lang w:val="de-DE"/>
        </w:rPr>
        <w:t>- </w:t>
      </w:r>
      <w:r w:rsidR="001527B1" w:rsidRPr="004676F5">
        <w:rPr>
          <w:lang w:val="de-DE"/>
        </w:rPr>
        <w:t>Das Recht der Hersteller von Datenbanken gilt für Datenbanken, sofern deren Hersteller Staatsangehöriger eines Mitgliedstaats der Europäischen Union ist oder seinen gewöhnlichen Wohnort im Gebiet der Europäischen Union hat.</w:t>
      </w:r>
    </w:p>
    <w:p w14:paraId="5F90B905" w14:textId="77777777" w:rsidR="001527B1" w:rsidRPr="004676F5" w:rsidRDefault="001527B1" w:rsidP="001527B1">
      <w:pPr>
        <w:ind w:firstLine="708"/>
        <w:jc w:val="both"/>
        <w:rPr>
          <w:lang w:val="de-DE"/>
        </w:rPr>
      </w:pPr>
    </w:p>
    <w:p w14:paraId="4E16D7CC" w14:textId="77777777" w:rsidR="001527B1" w:rsidRPr="004676F5" w:rsidRDefault="001527B1" w:rsidP="001527B1">
      <w:pPr>
        <w:ind w:firstLine="708"/>
        <w:jc w:val="both"/>
        <w:rPr>
          <w:lang w:val="de-DE"/>
        </w:rPr>
      </w:pPr>
      <w:r w:rsidRPr="004676F5">
        <w:rPr>
          <w:lang w:val="de-DE"/>
        </w:rPr>
        <w:t>Absatz 1 gilt auch für Unternehmen und Gesellschaften, die entsprechend den Rechtsvorschriften eines Mitgliedstaats der Europäischen Union gegründet wurden und ihren satzungsmäßigen Sitz, ihre Hauptverwaltung oder ihre Hauptniederlassung in der Union haben. Haben diese Unternehmen oder Gesellschaften jedoch lediglich ihren satzungsmäßigen Sitz im Gebiet der Europäischen Union, so muss ihre Tätigkeit eine tatsächliche ständige Verbindung zu der Wirtschaft eines der Mitgliedstaaten aufweisen.</w:t>
      </w:r>
    </w:p>
    <w:p w14:paraId="5D6184ED" w14:textId="77777777" w:rsidR="001527B1" w:rsidRPr="004676F5" w:rsidRDefault="001527B1" w:rsidP="001527B1">
      <w:pPr>
        <w:ind w:firstLine="708"/>
        <w:jc w:val="both"/>
        <w:rPr>
          <w:lang w:val="de-DE"/>
        </w:rPr>
      </w:pPr>
    </w:p>
    <w:p w14:paraId="01354D72" w14:textId="77777777" w:rsidR="001527B1" w:rsidRPr="004676F5" w:rsidRDefault="001527B1" w:rsidP="001527B1">
      <w:pPr>
        <w:ind w:firstLine="708"/>
        <w:jc w:val="both"/>
        <w:rPr>
          <w:lang w:val="de-DE"/>
        </w:rPr>
      </w:pPr>
      <w:r w:rsidRPr="004676F5">
        <w:rPr>
          <w:lang w:val="de-DE"/>
        </w:rPr>
        <w:t>In Drittländern hergestellte Datenbanken, auf die die Absätze 1 und 2 keine Anwen</w:t>
      </w:r>
      <w:r w:rsidRPr="004676F5">
        <w:rPr>
          <w:lang w:val="de-DE"/>
        </w:rPr>
        <w:softHyphen/>
        <w:t>dung finden und für die Vereinbarungen gelten, die auf Vorschlag der Kommission der Europäischen Union vom Rat geschlossen werden, werden durch das Recht der Hersteller von Datenbanken geschützt. Die Dauer des auf diese Datenbanken ausgedehnten Schutzes darf die in Artikel XI.309 vorgesehene Dauer nicht übersteigen.</w:t>
      </w:r>
    </w:p>
    <w:p w14:paraId="74E8BD9E" w14:textId="77777777" w:rsidR="001527B1" w:rsidRPr="004676F5" w:rsidRDefault="001527B1" w:rsidP="001527B1">
      <w:pPr>
        <w:ind w:firstLine="708"/>
        <w:jc w:val="both"/>
        <w:rPr>
          <w:lang w:val="de-DE"/>
        </w:rPr>
      </w:pPr>
    </w:p>
    <w:p w14:paraId="1FBF40E0" w14:textId="77777777" w:rsidR="00355502" w:rsidRPr="004676F5" w:rsidRDefault="00355502" w:rsidP="001527B1">
      <w:pPr>
        <w:ind w:firstLine="708"/>
        <w:jc w:val="both"/>
        <w:rPr>
          <w:lang w:val="de-DE"/>
        </w:rPr>
      </w:pPr>
    </w:p>
    <w:p w14:paraId="072894BD" w14:textId="77777777" w:rsidR="00355502" w:rsidRPr="004676F5" w:rsidRDefault="00355502">
      <w:pPr>
        <w:rPr>
          <w:lang w:val="de-DE"/>
        </w:rPr>
      </w:pPr>
      <w:r w:rsidRPr="004676F5">
        <w:rPr>
          <w:lang w:val="de-DE"/>
        </w:rPr>
        <w:br w:type="page"/>
      </w:r>
    </w:p>
    <w:p w14:paraId="3ADED573" w14:textId="1A6B4AEB" w:rsidR="001527B1" w:rsidRPr="004676F5" w:rsidRDefault="001527B1" w:rsidP="001527B1">
      <w:pPr>
        <w:jc w:val="center"/>
        <w:rPr>
          <w:lang w:val="de-DE"/>
        </w:rPr>
      </w:pPr>
      <w:r w:rsidRPr="004676F5">
        <w:rPr>
          <w:lang w:val="de-DE"/>
        </w:rPr>
        <w:lastRenderedPageBreak/>
        <w:t>KAPITEL 6 </w:t>
      </w:r>
      <w:r w:rsidR="005B7A5C" w:rsidRPr="004676F5">
        <w:rPr>
          <w:lang w:val="de-DE"/>
        </w:rPr>
        <w:t>- </w:t>
      </w:r>
      <w:r w:rsidRPr="004676F5">
        <w:rPr>
          <w:i/>
          <w:lang w:val="de-DE"/>
        </w:rPr>
        <w:t>Rechtlicher Schutz von technischen Maßnahmen und von Informationen für die Rechtewahrnehmung</w:t>
      </w:r>
    </w:p>
    <w:p w14:paraId="11AF7EDD" w14:textId="77777777" w:rsidR="001527B1" w:rsidRPr="004676F5" w:rsidRDefault="001527B1" w:rsidP="001527B1">
      <w:pPr>
        <w:ind w:firstLine="708"/>
        <w:jc w:val="both"/>
        <w:rPr>
          <w:lang w:val="de-DE"/>
        </w:rPr>
      </w:pPr>
    </w:p>
    <w:p w14:paraId="14A28ED9" w14:textId="77777777" w:rsidR="00355502" w:rsidRPr="004676F5" w:rsidRDefault="00355502" w:rsidP="001527B1">
      <w:pPr>
        <w:ind w:firstLine="708"/>
        <w:jc w:val="both"/>
        <w:rPr>
          <w:lang w:val="de-DE"/>
        </w:rPr>
      </w:pPr>
    </w:p>
    <w:p w14:paraId="3B4ED4E7" w14:textId="2ED78584" w:rsidR="001527B1" w:rsidRPr="004676F5" w:rsidRDefault="00BE0A56" w:rsidP="001527B1">
      <w:pPr>
        <w:ind w:firstLine="708"/>
        <w:jc w:val="both"/>
        <w:rPr>
          <w:lang w:val="de-DE"/>
        </w:rPr>
      </w:pPr>
      <w:r w:rsidRPr="004676F5">
        <w:rPr>
          <w:b/>
          <w:lang w:val="de-DE"/>
        </w:rPr>
        <w:t>Art. </w:t>
      </w:r>
      <w:r w:rsidR="001527B1" w:rsidRPr="004676F5">
        <w:rPr>
          <w:b/>
          <w:lang w:val="de-DE"/>
        </w:rPr>
        <w:t>XI.316</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 wirksame technische Maßnahmen umgeht und dem dies bekannt ist oder den Umständen nach bekannt sein muss, begeht eine Straftat.</w:t>
      </w:r>
    </w:p>
    <w:p w14:paraId="5A4A72FD" w14:textId="77777777" w:rsidR="001527B1" w:rsidRPr="004676F5" w:rsidRDefault="001527B1" w:rsidP="001527B1">
      <w:pPr>
        <w:ind w:firstLine="708"/>
        <w:jc w:val="both"/>
        <w:rPr>
          <w:lang w:val="de-DE"/>
        </w:rPr>
      </w:pPr>
    </w:p>
    <w:p w14:paraId="752A4247" w14:textId="77777777" w:rsidR="001527B1" w:rsidRPr="004676F5" w:rsidRDefault="001527B1" w:rsidP="001527B1">
      <w:pPr>
        <w:ind w:firstLine="708"/>
        <w:jc w:val="both"/>
        <w:rPr>
          <w:lang w:val="de-DE"/>
        </w:rPr>
      </w:pPr>
      <w:r w:rsidRPr="004676F5">
        <w:rPr>
          <w:lang w:val="de-DE"/>
        </w:rPr>
        <w:t>Wer Vorrichtungen, Erzeugnisse oder Bestandteile herstellt, einführt, verbreitet, verkauft oder vermietet, im Hinblick auf Verkauf oder Vermietung dafür wirbt oder sie zu kommerziellen Zwecken besitzt oder wer Leistungen erbringt:</w:t>
      </w:r>
    </w:p>
    <w:p w14:paraId="713D8CFC" w14:textId="77777777" w:rsidR="001527B1" w:rsidRPr="004676F5" w:rsidRDefault="001527B1" w:rsidP="001527B1">
      <w:pPr>
        <w:ind w:firstLine="708"/>
        <w:jc w:val="both"/>
        <w:rPr>
          <w:lang w:val="de-DE"/>
        </w:rPr>
      </w:pPr>
    </w:p>
    <w:p w14:paraId="61568EAA" w14:textId="77777777" w:rsidR="001527B1" w:rsidRPr="004676F5" w:rsidRDefault="001527B1" w:rsidP="001527B1">
      <w:pPr>
        <w:ind w:firstLine="708"/>
        <w:jc w:val="both"/>
        <w:rPr>
          <w:lang w:val="de-DE"/>
        </w:rPr>
      </w:pPr>
      <w:r w:rsidRPr="004676F5">
        <w:rPr>
          <w:lang w:val="de-DE"/>
        </w:rPr>
        <w:t>1. die Gegenstand einer Verkaufsförderung, Werbung oder Vermarktung mit dem Ziel der Umgehung wirksamer technischer Maßnahmen sind oder</w:t>
      </w:r>
    </w:p>
    <w:p w14:paraId="50ABF7FB" w14:textId="77777777" w:rsidR="001527B1" w:rsidRPr="004676F5" w:rsidRDefault="001527B1" w:rsidP="001527B1">
      <w:pPr>
        <w:ind w:firstLine="708"/>
        <w:jc w:val="both"/>
        <w:rPr>
          <w:lang w:val="de-DE"/>
        </w:rPr>
      </w:pPr>
    </w:p>
    <w:p w14:paraId="70554B6C" w14:textId="77777777" w:rsidR="001527B1" w:rsidRPr="004676F5" w:rsidRDefault="001527B1" w:rsidP="001527B1">
      <w:pPr>
        <w:ind w:firstLine="708"/>
        <w:jc w:val="both"/>
        <w:rPr>
          <w:lang w:val="de-DE"/>
        </w:rPr>
      </w:pPr>
      <w:r w:rsidRPr="004676F5">
        <w:rPr>
          <w:lang w:val="de-DE"/>
        </w:rPr>
        <w:t>2. die abgesehen von der Umgehung wirksamer technischer Maßnahmen nur einen begrenzten wirtschaftlichen Zweck oder Nutzen haben oder</w:t>
      </w:r>
    </w:p>
    <w:p w14:paraId="133B5603" w14:textId="77777777" w:rsidR="001527B1" w:rsidRPr="004676F5" w:rsidRDefault="001527B1" w:rsidP="001527B1">
      <w:pPr>
        <w:ind w:firstLine="708"/>
        <w:jc w:val="both"/>
        <w:rPr>
          <w:lang w:val="de-DE"/>
        </w:rPr>
      </w:pPr>
    </w:p>
    <w:p w14:paraId="665F7A98" w14:textId="77777777" w:rsidR="001527B1" w:rsidRPr="004676F5" w:rsidRDefault="001527B1" w:rsidP="001527B1">
      <w:pPr>
        <w:ind w:firstLine="708"/>
        <w:jc w:val="both"/>
        <w:rPr>
          <w:lang w:val="de-DE"/>
        </w:rPr>
      </w:pPr>
      <w:r w:rsidRPr="004676F5">
        <w:rPr>
          <w:lang w:val="de-DE"/>
        </w:rPr>
        <w:t>3. die hauptsächlich entworfen, hergestellt, angepasst oder erbracht werden, um die Umgehung wirksamer technischer Maßnahmen zu ermöglichen oder zu erleichtern, begeht eine Straftat.</w:t>
      </w:r>
    </w:p>
    <w:p w14:paraId="77EEFA53" w14:textId="77777777" w:rsidR="001527B1" w:rsidRPr="004676F5" w:rsidRDefault="001527B1" w:rsidP="001527B1">
      <w:pPr>
        <w:ind w:firstLine="708"/>
        <w:jc w:val="both"/>
        <w:rPr>
          <w:lang w:val="de-DE"/>
        </w:rPr>
      </w:pPr>
    </w:p>
    <w:p w14:paraId="26062B94" w14:textId="77777777" w:rsidR="001527B1" w:rsidRPr="004676F5" w:rsidRDefault="001527B1" w:rsidP="001527B1">
      <w:pPr>
        <w:ind w:firstLine="708"/>
        <w:jc w:val="both"/>
        <w:rPr>
          <w:lang w:val="de-DE"/>
        </w:rPr>
      </w:pPr>
      <w:r w:rsidRPr="004676F5">
        <w:rPr>
          <w:lang w:val="de-DE"/>
        </w:rPr>
        <w:t>Technische Maßnahmen sind als wirksam im Sinne der Absätze 1 und 2 anzusehen, soweit die Benutzung einer Datenbank von den Rechtsinhabern durch eine Zugangskontrolle oder einen Schutzmechanismus wie Verschlüsselung, Verzerrung oder sonstige Umwandlung des Werkes oder der Leistung oder einen Mechanismus zur Kontrolle der Vervielfältigung, die die Erreichung des Schutzziels sicherstellen, unter Kontrolle gehalten wird.</w:t>
      </w:r>
    </w:p>
    <w:p w14:paraId="55C2961F" w14:textId="77777777" w:rsidR="001527B1" w:rsidRPr="004676F5" w:rsidRDefault="001527B1" w:rsidP="001527B1">
      <w:pPr>
        <w:ind w:firstLine="708"/>
        <w:jc w:val="both"/>
        <w:rPr>
          <w:lang w:val="de-DE"/>
        </w:rPr>
      </w:pPr>
    </w:p>
    <w:p w14:paraId="2505F66F" w14:textId="6E25FDF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Binnen einer annehmbaren Frist ergreifen die Hersteller von Datenbanken freiwillige geeignete Maßnahmen einschließlich Vereinbarungen mit anderen betroffenen Parteien, um dem Benutzer einer Datenbank die notwendigen Mittel zur Nutzung der Ausnahmen zur Verfügung zu stellen, die in Artikel XI.310 Absatz 1 Nr. 2 und 3 erwähnt sind, soweit dieser rechtmäßig Zugang zu der Datenbank hat, die durch technische Maßnahmen geschützt ist.</w:t>
      </w:r>
    </w:p>
    <w:p w14:paraId="70CBCBA0" w14:textId="77777777" w:rsidR="001527B1" w:rsidRPr="004676F5" w:rsidRDefault="001527B1" w:rsidP="001527B1">
      <w:pPr>
        <w:ind w:firstLine="708"/>
        <w:jc w:val="both"/>
        <w:rPr>
          <w:lang w:val="de-DE"/>
        </w:rPr>
      </w:pPr>
    </w:p>
    <w:p w14:paraId="554FA805" w14:textId="3FC17084"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Von den Herstellern von Datenbanken freiwillig angewandte technische Maß</w:t>
      </w:r>
      <w:r w:rsidRPr="004676F5">
        <w:rPr>
          <w:lang w:val="de-DE"/>
        </w:rPr>
        <w:softHyphen/>
        <w:t>nahmen, einschließlich der zur Umsetzung freiwilliger Vereinbarungen angewandten Maßnahmen, und technische Maßnahmen, die aufgrund eines Beschlusses angewandt werden, der in Anwendung von Artikel 2</w:t>
      </w:r>
      <w:r w:rsidRPr="004676F5">
        <w:rPr>
          <w:i/>
          <w:lang w:val="de-DE"/>
        </w:rPr>
        <w:t>bis</w:t>
      </w:r>
      <w:r w:rsidRPr="004676F5">
        <w:rPr>
          <w:lang w:val="de-DE"/>
        </w:rPr>
        <w:t xml:space="preserve"> des Gesetzes vom 10. August 1998 zur Umsetzung der Europäischen Richtlinie vom 11. März 1996 über den rechtlichen Schutz von Datenbanken in belgisches Gerichtsverfahrensrecht getroffen wurde, genießen den Rechtsschutz nach § 1.</w:t>
      </w:r>
    </w:p>
    <w:p w14:paraId="6BED9B0F" w14:textId="77777777" w:rsidR="001527B1" w:rsidRPr="004676F5" w:rsidRDefault="001527B1" w:rsidP="001527B1">
      <w:pPr>
        <w:ind w:firstLine="708"/>
        <w:jc w:val="both"/>
        <w:rPr>
          <w:lang w:val="de-DE"/>
        </w:rPr>
      </w:pPr>
    </w:p>
    <w:p w14:paraId="15628716" w14:textId="3E2EB6E4"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Paragraph 2 findet keine Anwendung auf Datenbanken, die der Öffentlichkeit aufgrund einer vertraglichen Vereinbarung in einer Weise zugänglich gemacht werden, dass sie Mitgliedern der Öffentlichkeit von Orten und zu Zeiten ihrer Wahl zugänglich sind.</w:t>
      </w:r>
    </w:p>
    <w:p w14:paraId="7FE51B8C" w14:textId="77777777" w:rsidR="001527B1" w:rsidRPr="004676F5" w:rsidRDefault="001527B1" w:rsidP="001527B1">
      <w:pPr>
        <w:ind w:firstLine="708"/>
        <w:jc w:val="both"/>
        <w:rPr>
          <w:lang w:val="de-DE"/>
        </w:rPr>
      </w:pPr>
    </w:p>
    <w:p w14:paraId="135ED1C8" w14:textId="0D8A9B0F" w:rsidR="001527B1" w:rsidRPr="004676F5" w:rsidRDefault="001527B1" w:rsidP="001527B1">
      <w:pPr>
        <w:ind w:firstLine="708"/>
        <w:jc w:val="both"/>
        <w:rPr>
          <w:lang w:val="de-DE"/>
        </w:rPr>
      </w:pPr>
      <w:r w:rsidRPr="004676F5">
        <w:rPr>
          <w:lang w:val="de-DE"/>
        </w:rPr>
        <w:t>§ 5 </w:t>
      </w:r>
      <w:r w:rsidR="005B7A5C" w:rsidRPr="004676F5">
        <w:rPr>
          <w:lang w:val="de-DE"/>
        </w:rPr>
        <w:t>- </w:t>
      </w:r>
      <w:r w:rsidRPr="004676F5">
        <w:rPr>
          <w:lang w:val="de-DE"/>
        </w:rPr>
        <w:t>In § 1 erwähnte technische Schutzmaßnahmen dürfen rechtmäßige Erwerber von Datenbanken nicht daran hindern, diese Datenbanken gemäß ihrer normalen Bestimmung zu benutzen.</w:t>
      </w:r>
    </w:p>
    <w:p w14:paraId="37A2AC51" w14:textId="77777777" w:rsidR="001527B1" w:rsidRPr="004676F5" w:rsidRDefault="001527B1" w:rsidP="001527B1">
      <w:pPr>
        <w:ind w:firstLine="708"/>
        <w:jc w:val="both"/>
        <w:rPr>
          <w:lang w:val="de-DE"/>
        </w:rPr>
      </w:pPr>
    </w:p>
    <w:p w14:paraId="76B95DEA" w14:textId="77777777" w:rsidR="00355502" w:rsidRPr="004676F5" w:rsidRDefault="00355502" w:rsidP="001527B1">
      <w:pPr>
        <w:ind w:firstLine="708"/>
        <w:jc w:val="both"/>
        <w:rPr>
          <w:lang w:val="de-DE"/>
        </w:rPr>
      </w:pPr>
    </w:p>
    <w:p w14:paraId="4054C694" w14:textId="77777777" w:rsidR="00355502" w:rsidRPr="004676F5" w:rsidRDefault="00355502">
      <w:pPr>
        <w:rPr>
          <w:lang w:val="de-DE"/>
        </w:rPr>
      </w:pPr>
      <w:r w:rsidRPr="004676F5">
        <w:rPr>
          <w:lang w:val="de-DE"/>
        </w:rPr>
        <w:br w:type="page"/>
      </w:r>
    </w:p>
    <w:p w14:paraId="0F52FD40" w14:textId="5BD7CA5A" w:rsidR="001527B1" w:rsidRPr="004676F5" w:rsidRDefault="00BE0A56" w:rsidP="001527B1">
      <w:pPr>
        <w:ind w:firstLine="708"/>
        <w:jc w:val="both"/>
        <w:rPr>
          <w:lang w:val="de-DE"/>
        </w:rPr>
      </w:pPr>
      <w:r w:rsidRPr="004676F5">
        <w:rPr>
          <w:b/>
          <w:lang w:val="de-DE"/>
        </w:rPr>
        <w:lastRenderedPageBreak/>
        <w:t>Art. </w:t>
      </w:r>
      <w:r w:rsidR="001527B1" w:rsidRPr="004676F5">
        <w:rPr>
          <w:b/>
          <w:lang w:val="de-DE"/>
        </w:rPr>
        <w:t>XI.317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 wissentlich unbefugt eine der nachstehenden Handlungen vornimmt:</w:t>
      </w:r>
    </w:p>
    <w:p w14:paraId="7DCA3FC9" w14:textId="77777777" w:rsidR="001527B1" w:rsidRPr="004676F5" w:rsidRDefault="001527B1" w:rsidP="001527B1">
      <w:pPr>
        <w:ind w:firstLine="708"/>
        <w:jc w:val="both"/>
        <w:rPr>
          <w:lang w:val="de-DE"/>
        </w:rPr>
      </w:pPr>
    </w:p>
    <w:p w14:paraId="52FE036B" w14:textId="77777777" w:rsidR="001527B1" w:rsidRPr="004676F5" w:rsidRDefault="001527B1" w:rsidP="001527B1">
      <w:pPr>
        <w:ind w:firstLine="708"/>
        <w:jc w:val="both"/>
        <w:rPr>
          <w:lang w:val="de-DE"/>
        </w:rPr>
      </w:pPr>
      <w:r w:rsidRPr="004676F5">
        <w:rPr>
          <w:lang w:val="de-DE"/>
        </w:rPr>
        <w:t>1. Entfernung oder Änderung elektronischer Informationen für die Rechtewahr</w:t>
      </w:r>
      <w:r w:rsidRPr="004676F5">
        <w:rPr>
          <w:lang w:val="de-DE"/>
        </w:rPr>
        <w:softHyphen/>
        <w:t>nehmung und</w:t>
      </w:r>
    </w:p>
    <w:p w14:paraId="75D61462" w14:textId="77777777" w:rsidR="001527B1" w:rsidRPr="004676F5" w:rsidRDefault="001527B1" w:rsidP="001527B1">
      <w:pPr>
        <w:ind w:firstLine="708"/>
        <w:jc w:val="both"/>
        <w:rPr>
          <w:lang w:val="de-DE"/>
        </w:rPr>
      </w:pPr>
    </w:p>
    <w:p w14:paraId="30D8DEC0" w14:textId="77777777" w:rsidR="001527B1" w:rsidRPr="004676F5" w:rsidRDefault="001527B1" w:rsidP="001527B1">
      <w:pPr>
        <w:ind w:firstLine="708"/>
        <w:jc w:val="both"/>
        <w:rPr>
          <w:lang w:val="de-DE"/>
        </w:rPr>
      </w:pPr>
      <w:r w:rsidRPr="004676F5">
        <w:rPr>
          <w:lang w:val="de-DE"/>
        </w:rPr>
        <w:t>2. Verbreitung, Einfuhr zur Verbreitung, Sendung, öffentliche Wiedergabe oder öffent</w:t>
      </w:r>
      <w:r w:rsidRPr="004676F5">
        <w:rPr>
          <w:lang w:val="de-DE"/>
        </w:rPr>
        <w:softHyphen/>
        <w:t>liche Zugänglichmachung von Datenbanken, bei denen elektronische Informationen für die Rechtewahrnehmung der Rechte unbefugt entfernt oder geändert wurden,</w:t>
      </w:r>
    </w:p>
    <w:p w14:paraId="0AE63C00" w14:textId="77777777" w:rsidR="001527B1" w:rsidRPr="004676F5" w:rsidRDefault="001527B1" w:rsidP="001527B1">
      <w:pPr>
        <w:ind w:firstLine="708"/>
        <w:jc w:val="both"/>
        <w:rPr>
          <w:lang w:val="de-DE"/>
        </w:rPr>
      </w:pPr>
    </w:p>
    <w:p w14:paraId="3D989415" w14:textId="77777777" w:rsidR="001527B1" w:rsidRPr="004676F5" w:rsidRDefault="001527B1" w:rsidP="001527B1">
      <w:pPr>
        <w:ind w:firstLine="708"/>
        <w:jc w:val="both"/>
        <w:rPr>
          <w:lang w:val="de-DE"/>
        </w:rPr>
      </w:pPr>
      <w:r w:rsidRPr="004676F5">
        <w:rPr>
          <w:lang w:val="de-DE"/>
        </w:rPr>
        <w:t>wenn ihm bekannt ist oder den Umständen nach bekannt sein muss, dass er dadurch die Verletzung der Rechte von Herstellern von Datenbanken veranlasst, ermöglicht, erleichtert oder verschleiert, begeht eine Straftat.</w:t>
      </w:r>
    </w:p>
    <w:p w14:paraId="2175B96E" w14:textId="77777777" w:rsidR="001527B1" w:rsidRPr="004676F5" w:rsidRDefault="001527B1" w:rsidP="001527B1">
      <w:pPr>
        <w:ind w:firstLine="708"/>
        <w:jc w:val="both"/>
        <w:rPr>
          <w:lang w:val="de-DE"/>
        </w:rPr>
      </w:pPr>
    </w:p>
    <w:p w14:paraId="3C577599" w14:textId="01731583"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Im Sinne des vorliegenden Artikels bezeichnet der Ausdruck "Informationen für die Rechtewahrnehmung" von Herstellern von Datenbanken stammende Informationen, die die Datenbank oder den Hersteller der Datenbank identifizieren. Dieser Ausdruck bezeichnet auch Informationen über Bedingungen und Modalitäten für die Benutzung der Datenbank und Zahlen oder Codes, durch die derartige Informationen ausgedrückt werden.</w:t>
      </w:r>
    </w:p>
    <w:p w14:paraId="024730BF" w14:textId="77777777" w:rsidR="001527B1" w:rsidRPr="004676F5" w:rsidRDefault="001527B1" w:rsidP="001527B1">
      <w:pPr>
        <w:ind w:firstLine="708"/>
        <w:jc w:val="both"/>
        <w:rPr>
          <w:lang w:val="de-DE"/>
        </w:rPr>
      </w:pPr>
    </w:p>
    <w:p w14:paraId="0025D1C7" w14:textId="77777777" w:rsidR="001527B1" w:rsidRPr="004676F5" w:rsidRDefault="001527B1" w:rsidP="001527B1">
      <w:pPr>
        <w:ind w:firstLine="708"/>
        <w:jc w:val="both"/>
        <w:rPr>
          <w:lang w:val="de-DE"/>
        </w:rPr>
      </w:pPr>
      <w:r w:rsidRPr="004676F5">
        <w:rPr>
          <w:lang w:val="de-DE"/>
        </w:rPr>
        <w:t>Absatz 1 gilt, wenn irgendeine der betreffenden Informationen an einem Vervielfäl</w:t>
      </w:r>
      <w:r w:rsidRPr="004676F5">
        <w:rPr>
          <w:lang w:val="de-DE"/>
        </w:rPr>
        <w:softHyphen/>
        <w:t>tigungs</w:t>
      </w:r>
      <w:r w:rsidRPr="004676F5">
        <w:rPr>
          <w:lang w:val="de-DE"/>
        </w:rPr>
        <w:softHyphen/>
        <w:t>stück einer Datenbank angebracht wird oder im Zusammenhang mit der öffentlichen Wiedergabe einer solchen Datenbank erscheint.</w:t>
      </w:r>
    </w:p>
    <w:p w14:paraId="45ED7039" w14:textId="77777777" w:rsidR="001527B1" w:rsidRPr="004676F5" w:rsidRDefault="001527B1" w:rsidP="001527B1">
      <w:pPr>
        <w:ind w:firstLine="708"/>
        <w:jc w:val="both"/>
        <w:rPr>
          <w:lang w:val="de-DE"/>
        </w:rPr>
      </w:pPr>
    </w:p>
    <w:p w14:paraId="40F71CA2" w14:textId="77777777" w:rsidR="00355502" w:rsidRPr="004676F5" w:rsidRDefault="00355502" w:rsidP="001527B1">
      <w:pPr>
        <w:ind w:firstLine="708"/>
        <w:jc w:val="both"/>
        <w:rPr>
          <w:lang w:val="de-DE"/>
        </w:rPr>
      </w:pPr>
    </w:p>
    <w:p w14:paraId="63124BF1" w14:textId="77777777" w:rsidR="00355502" w:rsidRPr="004676F5" w:rsidRDefault="00355502">
      <w:pPr>
        <w:rPr>
          <w:lang w:val="de-DE"/>
        </w:rPr>
      </w:pPr>
      <w:r w:rsidRPr="004676F5">
        <w:rPr>
          <w:lang w:val="de-DE"/>
        </w:rPr>
        <w:br w:type="page"/>
      </w:r>
    </w:p>
    <w:p w14:paraId="4FF83544" w14:textId="060C9594" w:rsidR="001527B1" w:rsidRPr="004676F5" w:rsidRDefault="001527B1" w:rsidP="001527B1">
      <w:pPr>
        <w:jc w:val="center"/>
        <w:rPr>
          <w:lang w:val="de-DE"/>
        </w:rPr>
      </w:pPr>
      <w:r w:rsidRPr="004676F5">
        <w:rPr>
          <w:lang w:val="de-DE"/>
        </w:rPr>
        <w:lastRenderedPageBreak/>
        <w:t>KAPITEL 7 </w:t>
      </w:r>
      <w:r w:rsidR="005B7A5C" w:rsidRPr="004676F5">
        <w:rPr>
          <w:lang w:val="de-DE"/>
        </w:rPr>
        <w:t>- </w:t>
      </w:r>
      <w:r w:rsidRPr="004676F5">
        <w:rPr>
          <w:i/>
          <w:lang w:val="de-DE"/>
        </w:rPr>
        <w:t>Nachahmung</w:t>
      </w:r>
    </w:p>
    <w:p w14:paraId="00204DF2" w14:textId="77777777" w:rsidR="001527B1" w:rsidRPr="004676F5" w:rsidRDefault="001527B1" w:rsidP="001527B1">
      <w:pPr>
        <w:ind w:firstLine="708"/>
        <w:jc w:val="both"/>
        <w:rPr>
          <w:lang w:val="de-DE"/>
        </w:rPr>
      </w:pPr>
    </w:p>
    <w:p w14:paraId="725AE107" w14:textId="77777777" w:rsidR="00355502" w:rsidRPr="004676F5" w:rsidRDefault="00355502" w:rsidP="001527B1">
      <w:pPr>
        <w:ind w:firstLine="708"/>
        <w:jc w:val="both"/>
        <w:rPr>
          <w:lang w:val="de-DE"/>
        </w:rPr>
      </w:pPr>
    </w:p>
    <w:p w14:paraId="2377B884" w14:textId="56AB517B" w:rsidR="001527B1" w:rsidRPr="004676F5" w:rsidRDefault="00BE0A56" w:rsidP="001527B1">
      <w:pPr>
        <w:ind w:firstLine="708"/>
        <w:jc w:val="both"/>
        <w:rPr>
          <w:lang w:val="de-DE"/>
        </w:rPr>
      </w:pPr>
      <w:r w:rsidRPr="004676F5">
        <w:rPr>
          <w:b/>
          <w:lang w:val="de-DE"/>
        </w:rPr>
        <w:t>Art. </w:t>
      </w:r>
      <w:r w:rsidR="001527B1" w:rsidRPr="004676F5">
        <w:rPr>
          <w:b/>
          <w:lang w:val="de-DE"/>
        </w:rPr>
        <w:t>XI.318</w:t>
      </w:r>
      <w:r w:rsidR="001527B1" w:rsidRPr="004676F5">
        <w:rPr>
          <w:lang w:val="de-DE"/>
        </w:rPr>
        <w:t> </w:t>
      </w:r>
      <w:r w:rsidR="005B7A5C" w:rsidRPr="004676F5">
        <w:rPr>
          <w:lang w:val="de-DE"/>
        </w:rPr>
        <w:t>- </w:t>
      </w:r>
      <w:r w:rsidR="001527B1" w:rsidRPr="004676F5">
        <w:rPr>
          <w:lang w:val="de-DE"/>
        </w:rPr>
        <w:t>Böswillige oder betrügerische Verletzung des Rechts der Hersteller von Datenbanken gilt als Delikt der Nachahmung.</w:t>
      </w:r>
    </w:p>
    <w:p w14:paraId="42EE6244" w14:textId="77777777" w:rsidR="001527B1" w:rsidRPr="004676F5" w:rsidRDefault="001527B1" w:rsidP="001527B1">
      <w:pPr>
        <w:ind w:firstLine="708"/>
        <w:jc w:val="both"/>
        <w:rPr>
          <w:lang w:val="de-DE"/>
        </w:rPr>
      </w:pPr>
    </w:p>
    <w:p w14:paraId="4E3C9B07" w14:textId="77777777" w:rsidR="001527B1" w:rsidRPr="004676F5" w:rsidRDefault="001527B1" w:rsidP="001527B1">
      <w:pPr>
        <w:ind w:firstLine="708"/>
        <w:jc w:val="both"/>
        <w:rPr>
          <w:lang w:val="de-DE"/>
        </w:rPr>
      </w:pPr>
      <w:r w:rsidRPr="004676F5">
        <w:rPr>
          <w:lang w:val="de-DE"/>
        </w:rPr>
        <w:t>Gleiches gilt für böswillige oder betrügerische Verwendung des Namens eines Herstellers von Datenbanken oder des von ihm zur Bezeichnung seiner Leistung angenommenen Kennzeichens; solche Leistungen sind als nachgeahmt anzusehen.</w:t>
      </w:r>
    </w:p>
    <w:p w14:paraId="06142A99" w14:textId="77777777" w:rsidR="001527B1" w:rsidRPr="004676F5" w:rsidRDefault="001527B1" w:rsidP="001527B1">
      <w:pPr>
        <w:ind w:firstLine="708"/>
        <w:jc w:val="both"/>
        <w:rPr>
          <w:lang w:val="de-DE"/>
        </w:rPr>
      </w:pPr>
    </w:p>
    <w:p w14:paraId="4EB2D4E5" w14:textId="77777777" w:rsidR="001527B1" w:rsidRPr="004676F5" w:rsidRDefault="001527B1" w:rsidP="001527B1">
      <w:pPr>
        <w:ind w:firstLine="708"/>
        <w:jc w:val="both"/>
        <w:rPr>
          <w:lang w:val="de-DE"/>
        </w:rPr>
      </w:pPr>
      <w:r w:rsidRPr="004676F5">
        <w:rPr>
          <w:lang w:val="de-DE"/>
        </w:rPr>
        <w:t>Wer in böswilliger oder betrügerischer Absicht nachgeahmte Datenbanken weiterver</w:t>
      </w:r>
      <w:r w:rsidRPr="004676F5">
        <w:rPr>
          <w:lang w:val="de-DE"/>
        </w:rPr>
        <w:softHyphen/>
        <w:t>wendet, zwecks Weiterverwendung vorrätig hat oder zu Handelszwecken ins belgische Staatsgebiet einführt, begeht dieselbe Straftat.</w:t>
      </w:r>
    </w:p>
    <w:p w14:paraId="3D9E4090" w14:textId="77777777" w:rsidR="001527B1" w:rsidRPr="004676F5" w:rsidRDefault="001527B1" w:rsidP="001527B1">
      <w:pPr>
        <w:ind w:firstLine="708"/>
        <w:jc w:val="both"/>
        <w:rPr>
          <w:lang w:val="de-DE"/>
        </w:rPr>
      </w:pPr>
    </w:p>
    <w:p w14:paraId="7B1FB950" w14:textId="77777777" w:rsidR="001527B1" w:rsidRPr="004676F5" w:rsidRDefault="001527B1" w:rsidP="001527B1">
      <w:pPr>
        <w:ind w:firstLine="708"/>
        <w:jc w:val="both"/>
        <w:rPr>
          <w:lang w:val="de-DE"/>
        </w:rPr>
      </w:pPr>
      <w:r w:rsidRPr="004676F5">
        <w:rPr>
          <w:lang w:val="de-DE"/>
        </w:rPr>
        <w:t>Sind die beim Gericht anhängig gemachten Taten in Anwendung der Artikel XVII.14, XVII.15, XVII.18, XVII.19 und XVII.20 Gegenstand einer Unterlassungsklage, kann über die Strafverfolgung erst entschieden werden, nachdem eine formell rechtskräftige Entscheidung in Bezug auf die Unterlassungsklage ergangen ist.</w:t>
      </w:r>
    </w:p>
    <w:p w14:paraId="0B152C93" w14:textId="77777777" w:rsidR="001527B1" w:rsidRPr="004676F5" w:rsidRDefault="001527B1" w:rsidP="001527B1">
      <w:pPr>
        <w:ind w:firstLine="708"/>
        <w:jc w:val="both"/>
        <w:rPr>
          <w:lang w:val="de-DE"/>
        </w:rPr>
      </w:pPr>
    </w:p>
    <w:p w14:paraId="465BB647" w14:textId="77777777" w:rsidR="00355502" w:rsidRPr="004676F5" w:rsidRDefault="00355502" w:rsidP="001527B1">
      <w:pPr>
        <w:jc w:val="center"/>
        <w:rPr>
          <w:b/>
          <w:lang w:val="de-DE"/>
        </w:rPr>
      </w:pPr>
    </w:p>
    <w:p w14:paraId="476CA872" w14:textId="77777777" w:rsidR="00E42057" w:rsidRPr="004676F5" w:rsidRDefault="00E42057">
      <w:pPr>
        <w:rPr>
          <w:b/>
          <w:lang w:val="de-DE"/>
        </w:rPr>
      </w:pPr>
      <w:r w:rsidRPr="004676F5">
        <w:rPr>
          <w:b/>
          <w:lang w:val="de-DE"/>
        </w:rPr>
        <w:br w:type="page"/>
      </w:r>
    </w:p>
    <w:p w14:paraId="2E86F169" w14:textId="5B085AC7" w:rsidR="00E42057" w:rsidRPr="004676F5" w:rsidRDefault="00E42057" w:rsidP="009B004F">
      <w:pPr>
        <w:jc w:val="both"/>
        <w:rPr>
          <w:lang w:val="de-DE"/>
        </w:rPr>
      </w:pPr>
      <w:r w:rsidRPr="004676F5">
        <w:rPr>
          <w:lang w:val="de-DE"/>
        </w:rPr>
        <w:lastRenderedPageBreak/>
        <w:t>[</w:t>
      </w:r>
      <w:r w:rsidRPr="004676F5">
        <w:rPr>
          <w:b/>
          <w:lang w:val="de-DE"/>
        </w:rPr>
        <w:t>TITEL 7/1 </w:t>
      </w:r>
      <w:r w:rsidR="009B004F" w:rsidRPr="004676F5">
        <w:rPr>
          <w:b/>
          <w:lang w:val="de-DE"/>
        </w:rPr>
        <w:t>–</w:t>
      </w:r>
      <w:r w:rsidRPr="004676F5">
        <w:rPr>
          <w:b/>
          <w:lang w:val="de-DE"/>
        </w:rPr>
        <w:t xml:space="preserve"> </w:t>
      </w:r>
      <w:r w:rsidR="009B004F" w:rsidRPr="004676F5">
        <w:rPr>
          <w:lang w:val="de-DE"/>
        </w:rPr>
        <w:t>[</w:t>
      </w:r>
      <w:r w:rsidR="009B004F" w:rsidRPr="004676F5">
        <w:rPr>
          <w:b/>
          <w:bCs/>
          <w:i/>
          <w:iCs/>
          <w:lang w:val="de-DE"/>
        </w:rPr>
        <w:t>Vergütung der Verleger für die Vervielfältigung auf Papier ihrer Ausgaben auf Papier und Vergütung der Verleger für die Vervielfältigung zu privaten Zwecken ihrer Ausgaben</w:t>
      </w:r>
      <w:r w:rsidR="009B004F" w:rsidRPr="004676F5">
        <w:rPr>
          <w:lang w:val="de-DE"/>
        </w:rPr>
        <w:t>]</w:t>
      </w:r>
      <w:r w:rsidRPr="004676F5">
        <w:rPr>
          <w:lang w:val="de-DE"/>
        </w:rPr>
        <w:t>]</w:t>
      </w:r>
    </w:p>
    <w:p w14:paraId="09E81460" w14:textId="77777777" w:rsidR="00E42057" w:rsidRPr="004676F5" w:rsidRDefault="00E42057" w:rsidP="00E42057">
      <w:pPr>
        <w:jc w:val="center"/>
        <w:rPr>
          <w:lang w:val="de-DE"/>
        </w:rPr>
      </w:pPr>
    </w:p>
    <w:p w14:paraId="27626870" w14:textId="7FD067F3" w:rsidR="00E42057" w:rsidRPr="004676F5" w:rsidRDefault="00E42057" w:rsidP="00E42057">
      <w:pPr>
        <w:jc w:val="both"/>
        <w:rPr>
          <w:i/>
          <w:lang w:val="de-DE"/>
        </w:rPr>
      </w:pPr>
      <w:r w:rsidRPr="004676F5">
        <w:rPr>
          <w:i/>
          <w:lang w:val="de-DE"/>
        </w:rPr>
        <w:t xml:space="preserve">[Unterteilung Titel 7/1 eingefügt durch </w:t>
      </w:r>
      <w:r w:rsidR="00BE0A56" w:rsidRPr="004676F5">
        <w:rPr>
          <w:i/>
          <w:lang w:val="de-DE"/>
        </w:rPr>
        <w:t>Art. </w:t>
      </w:r>
      <w:r w:rsidRPr="004676F5">
        <w:rPr>
          <w:i/>
          <w:lang w:val="de-DE"/>
        </w:rPr>
        <w:t>35 des G. vom 22. Dezember 2016 (B.S. vom 29. Dezember 2016)</w:t>
      </w:r>
      <w:r w:rsidR="009B004F" w:rsidRPr="004676F5">
        <w:rPr>
          <w:i/>
          <w:lang w:val="de-DE"/>
        </w:rPr>
        <w:t>; Überschrift ersetzt durch Art. 2 des G. vom 2. Mai 2019 (II) (B.S. vom 20. Mai 2019)</w:t>
      </w:r>
      <w:r w:rsidRPr="004676F5">
        <w:rPr>
          <w:i/>
          <w:lang w:val="de-DE"/>
        </w:rPr>
        <w:t>]</w:t>
      </w:r>
    </w:p>
    <w:p w14:paraId="054D680F" w14:textId="77777777" w:rsidR="00E42057" w:rsidRPr="004676F5" w:rsidRDefault="00E42057" w:rsidP="00E42057">
      <w:pPr>
        <w:jc w:val="both"/>
        <w:rPr>
          <w:i/>
          <w:lang w:val="de-DE"/>
        </w:rPr>
      </w:pPr>
    </w:p>
    <w:p w14:paraId="059DB2FD" w14:textId="77777777" w:rsidR="00E42057" w:rsidRPr="004676F5" w:rsidRDefault="00E42057" w:rsidP="00E42057">
      <w:pPr>
        <w:jc w:val="both"/>
        <w:rPr>
          <w:lang w:val="de-DE"/>
        </w:rPr>
      </w:pPr>
    </w:p>
    <w:p w14:paraId="0DE8357B" w14:textId="14409C08" w:rsidR="00E42057" w:rsidRPr="004676F5" w:rsidRDefault="00E42057" w:rsidP="00E42057">
      <w:pPr>
        <w:jc w:val="both"/>
        <w:rPr>
          <w:lang w:val="de-DE"/>
        </w:rPr>
      </w:pPr>
      <w:r w:rsidRPr="004676F5">
        <w:rPr>
          <w:lang w:val="de-DE"/>
        </w:rPr>
        <w:tab/>
        <w:t>[</w:t>
      </w:r>
      <w:r w:rsidR="00BE0A56" w:rsidRPr="004676F5">
        <w:rPr>
          <w:b/>
          <w:lang w:val="de-DE"/>
        </w:rPr>
        <w:t>Art. </w:t>
      </w:r>
      <w:r w:rsidRPr="004676F5">
        <w:rPr>
          <w:b/>
          <w:lang w:val="de-DE"/>
        </w:rPr>
        <w:t>XI.318/1</w:t>
      </w:r>
      <w:r w:rsidRPr="004676F5">
        <w:rPr>
          <w:lang w:val="de-DE"/>
        </w:rPr>
        <w:t> </w:t>
      </w:r>
      <w:r w:rsidR="005B7A5C" w:rsidRPr="004676F5">
        <w:rPr>
          <w:lang w:val="de-DE"/>
        </w:rPr>
        <w:t>- </w:t>
      </w:r>
      <w:r w:rsidRPr="004676F5">
        <w:rPr>
          <w:lang w:val="de-DE"/>
        </w:rPr>
        <w:t>Unbeschadet des in Artikel XI.239 erwähnten Vergütungsanspruchs des Urhebers haben Verleger Anspruch auf eine Vergütung für die Vervielfältigung auf Papier oder ähnlichem Träger ihrer Ausgaben auf Papier bei teilweiser oder vollständiger Vervielfältigung von Artikeln oder Werken der grafischen oder der bildenden Künste oder von kurzen Bruchstücken aus anderen Ausgaben mittels beliebiger fotomechanischer Verfahren oder anderer Verfahren mit ähnlicher Wirkung, sofern diese Vervielfältigung von einer juristischen Person zu internen Zwecken oder von einer natürlichen Person zu internen Zwecken im Rahmen ihrer beruflichen Tätigkeit vorgenommen wird; ausgenommen sind Vervielfältigungen für die Nutzung zur Veranschaulichung im Unterricht oder für Zwecke der wissenschaftlichen Forschung.</w:t>
      </w:r>
    </w:p>
    <w:p w14:paraId="2058718C" w14:textId="77777777" w:rsidR="00E42057" w:rsidRPr="004676F5" w:rsidRDefault="00E42057" w:rsidP="00E42057">
      <w:pPr>
        <w:jc w:val="both"/>
        <w:rPr>
          <w:lang w:val="de-DE"/>
        </w:rPr>
      </w:pPr>
    </w:p>
    <w:p w14:paraId="7C08D4BC" w14:textId="77777777" w:rsidR="00E42057" w:rsidRPr="004676F5" w:rsidRDefault="00E42057" w:rsidP="00E42057">
      <w:pPr>
        <w:jc w:val="both"/>
        <w:rPr>
          <w:lang w:val="de-DE"/>
        </w:rPr>
      </w:pPr>
      <w:r w:rsidRPr="004676F5">
        <w:rPr>
          <w:lang w:val="de-DE"/>
        </w:rPr>
        <w:tab/>
        <w:t>Die Dauer des in Absatz 1 erwähnten Vergütungsanspruchs beträgt fünfzig Jahre ab der ersten Ausgabe auf Papier. Diese Frist wird vom 1. Januar des Jahres an berechnet, das auf die erste Ausgabe auf Papier folgt.]</w:t>
      </w:r>
    </w:p>
    <w:p w14:paraId="79D61812" w14:textId="77777777" w:rsidR="00E42057" w:rsidRPr="004676F5" w:rsidRDefault="00E42057" w:rsidP="00E42057">
      <w:pPr>
        <w:jc w:val="both"/>
        <w:rPr>
          <w:lang w:val="de-DE"/>
        </w:rPr>
      </w:pPr>
    </w:p>
    <w:p w14:paraId="25665A69" w14:textId="62CFB41D" w:rsidR="00E42057" w:rsidRPr="004676F5" w:rsidRDefault="00E42057" w:rsidP="00E42057">
      <w:pPr>
        <w:jc w:val="both"/>
        <w:rPr>
          <w:i/>
          <w:lang w:val="de-DE"/>
        </w:rPr>
      </w:pPr>
      <w:r w:rsidRPr="004676F5">
        <w:rPr>
          <w:i/>
          <w:lang w:val="de-DE"/>
        </w:rPr>
        <w:t>[</w:t>
      </w:r>
      <w:r w:rsidR="00BE0A56" w:rsidRPr="004676F5">
        <w:rPr>
          <w:i/>
          <w:lang w:val="de-DE"/>
        </w:rPr>
        <w:t>Art. </w:t>
      </w:r>
      <w:r w:rsidRPr="004676F5">
        <w:rPr>
          <w:i/>
          <w:lang w:val="de-DE"/>
        </w:rPr>
        <w:t xml:space="preserve">XI.318/1 eingefügt durch </w:t>
      </w:r>
      <w:r w:rsidR="00BE0A56" w:rsidRPr="004676F5">
        <w:rPr>
          <w:i/>
          <w:lang w:val="de-DE"/>
        </w:rPr>
        <w:t>Art. </w:t>
      </w:r>
      <w:r w:rsidRPr="004676F5">
        <w:rPr>
          <w:i/>
          <w:lang w:val="de-DE"/>
        </w:rPr>
        <w:t>36 des G. vom 22. Dezember 2016 (B.S. vom 29. Dezember 2016)]</w:t>
      </w:r>
    </w:p>
    <w:p w14:paraId="62A728F6" w14:textId="77777777" w:rsidR="00E42057" w:rsidRPr="004676F5" w:rsidRDefault="00E42057" w:rsidP="00E42057">
      <w:pPr>
        <w:jc w:val="both"/>
        <w:rPr>
          <w:lang w:val="de-DE"/>
        </w:rPr>
      </w:pPr>
    </w:p>
    <w:p w14:paraId="41DB55C3" w14:textId="77777777" w:rsidR="00E42057" w:rsidRPr="004676F5" w:rsidRDefault="00E42057" w:rsidP="00E42057">
      <w:pPr>
        <w:jc w:val="both"/>
        <w:rPr>
          <w:b/>
          <w:lang w:val="de-DE"/>
        </w:rPr>
      </w:pPr>
    </w:p>
    <w:p w14:paraId="1675DF00" w14:textId="7D356B24" w:rsidR="00E42057" w:rsidRPr="004676F5" w:rsidRDefault="00E42057" w:rsidP="00E42057">
      <w:pPr>
        <w:jc w:val="both"/>
        <w:rPr>
          <w:lang w:val="de-DE"/>
        </w:rPr>
      </w:pPr>
      <w:r w:rsidRPr="004676F5">
        <w:rPr>
          <w:lang w:val="de-DE"/>
        </w:rPr>
        <w:tab/>
        <w:t>[</w:t>
      </w:r>
      <w:r w:rsidR="00BE0A56" w:rsidRPr="004676F5">
        <w:rPr>
          <w:b/>
          <w:lang w:val="de-DE"/>
        </w:rPr>
        <w:t>Art. </w:t>
      </w:r>
      <w:r w:rsidRPr="004676F5">
        <w:rPr>
          <w:b/>
          <w:lang w:val="de-DE"/>
        </w:rPr>
        <w:t>XI.318/2</w:t>
      </w:r>
      <w:r w:rsidRPr="004676F5">
        <w:rPr>
          <w:lang w:val="de-DE"/>
        </w:rPr>
        <w:t> </w:t>
      </w:r>
      <w:r w:rsidR="005B7A5C" w:rsidRPr="004676F5">
        <w:rPr>
          <w:lang w:val="de-DE"/>
        </w:rPr>
        <w:t>- </w:t>
      </w:r>
      <w:r w:rsidRPr="004676F5">
        <w:rPr>
          <w:lang w:val="de-DE"/>
        </w:rPr>
        <w:t>Die in Artikel XI.318/1 erwähnte Vergütung ist eine Vergütung im Verhältnis zur Anzahl angefertigter Vervielfältigungen von Ausgaben auf Papier.</w:t>
      </w:r>
    </w:p>
    <w:p w14:paraId="42F8CF94" w14:textId="77777777" w:rsidR="00E42057" w:rsidRPr="004676F5" w:rsidRDefault="00E42057" w:rsidP="00E42057">
      <w:pPr>
        <w:jc w:val="both"/>
        <w:rPr>
          <w:lang w:val="de-DE"/>
        </w:rPr>
      </w:pPr>
    </w:p>
    <w:p w14:paraId="5E402CAB" w14:textId="77777777" w:rsidR="00E42057" w:rsidRPr="004676F5" w:rsidRDefault="00E42057" w:rsidP="00E42057">
      <w:pPr>
        <w:jc w:val="both"/>
        <w:rPr>
          <w:lang w:val="de-DE"/>
        </w:rPr>
      </w:pPr>
      <w:r w:rsidRPr="004676F5">
        <w:rPr>
          <w:lang w:val="de-DE"/>
        </w:rPr>
        <w:tab/>
        <w:t>Sie wird von natürlichen oder juristischen Personen geschuldet, die gemäß Artikel XI.318/1 Vervielfältigungen von Ausgaben anfertigen, beziehungsweise, unter Entlastung der ersteren, von Personen, die anderen entgeltlich oder unentgeltlich ein Vervielfältigungsgerät zur Verfügung stellen.]</w:t>
      </w:r>
    </w:p>
    <w:p w14:paraId="5EFE7609" w14:textId="77777777" w:rsidR="00E42057" w:rsidRPr="004676F5" w:rsidRDefault="00E42057" w:rsidP="00E42057">
      <w:pPr>
        <w:jc w:val="both"/>
        <w:rPr>
          <w:lang w:val="de-DE"/>
        </w:rPr>
      </w:pPr>
    </w:p>
    <w:p w14:paraId="63030FE8" w14:textId="6E9D517C" w:rsidR="00E42057" w:rsidRPr="004676F5" w:rsidRDefault="00E42057" w:rsidP="00E42057">
      <w:pPr>
        <w:jc w:val="both"/>
        <w:rPr>
          <w:i/>
          <w:lang w:val="de-DE"/>
        </w:rPr>
      </w:pPr>
      <w:r w:rsidRPr="004676F5">
        <w:rPr>
          <w:i/>
          <w:lang w:val="de-DE"/>
        </w:rPr>
        <w:t>[</w:t>
      </w:r>
      <w:r w:rsidR="00BE0A56" w:rsidRPr="004676F5">
        <w:rPr>
          <w:i/>
          <w:lang w:val="de-DE"/>
        </w:rPr>
        <w:t>Art. </w:t>
      </w:r>
      <w:r w:rsidRPr="004676F5">
        <w:rPr>
          <w:i/>
          <w:lang w:val="de-DE"/>
        </w:rPr>
        <w:t xml:space="preserve">XI.318/2 eingefügt durch </w:t>
      </w:r>
      <w:r w:rsidR="00BE0A56" w:rsidRPr="004676F5">
        <w:rPr>
          <w:i/>
          <w:lang w:val="de-DE"/>
        </w:rPr>
        <w:t>Art. </w:t>
      </w:r>
      <w:r w:rsidRPr="004676F5">
        <w:rPr>
          <w:i/>
          <w:lang w:val="de-DE"/>
        </w:rPr>
        <w:t>37 des G. vom 22. Dezember 2016 (B.S. vom 29. Dezember 2016)]</w:t>
      </w:r>
    </w:p>
    <w:p w14:paraId="078632EB" w14:textId="77777777" w:rsidR="00E42057" w:rsidRPr="004676F5" w:rsidRDefault="00E42057" w:rsidP="00E42057">
      <w:pPr>
        <w:jc w:val="both"/>
        <w:rPr>
          <w:lang w:val="de-DE"/>
        </w:rPr>
      </w:pPr>
    </w:p>
    <w:p w14:paraId="425C099C" w14:textId="77777777" w:rsidR="00E42057" w:rsidRPr="004676F5" w:rsidRDefault="00E42057" w:rsidP="00E42057">
      <w:pPr>
        <w:jc w:val="both"/>
        <w:rPr>
          <w:lang w:val="de-DE"/>
        </w:rPr>
      </w:pPr>
    </w:p>
    <w:p w14:paraId="5FE96DE7" w14:textId="3F04F7DE" w:rsidR="00E42057" w:rsidRPr="004676F5" w:rsidRDefault="00E42057" w:rsidP="00E42057">
      <w:pPr>
        <w:ind w:firstLine="708"/>
        <w:jc w:val="both"/>
        <w:rPr>
          <w:lang w:val="de-DE"/>
        </w:rPr>
      </w:pPr>
      <w:r w:rsidRPr="004676F5">
        <w:rPr>
          <w:lang w:val="de-DE"/>
        </w:rPr>
        <w:t>[</w:t>
      </w:r>
      <w:r w:rsidR="00BE0A56" w:rsidRPr="004676F5">
        <w:rPr>
          <w:b/>
          <w:lang w:val="de-DE"/>
        </w:rPr>
        <w:t>Art. </w:t>
      </w:r>
      <w:r w:rsidRPr="004676F5">
        <w:rPr>
          <w:b/>
          <w:lang w:val="de-DE"/>
        </w:rPr>
        <w:t>XI.318/3</w:t>
      </w:r>
      <w:r w:rsidRPr="004676F5">
        <w:rPr>
          <w:lang w:val="de-DE"/>
        </w:rPr>
        <w:t> </w:t>
      </w:r>
      <w:r w:rsidR="005B7A5C" w:rsidRPr="004676F5">
        <w:rPr>
          <w:lang w:val="de-DE"/>
        </w:rPr>
        <w:t>- </w:t>
      </w:r>
      <w:r w:rsidRPr="004676F5">
        <w:rPr>
          <w:lang w:val="de-DE"/>
        </w:rPr>
        <w:t>Der König legt durch einen im Ministerrat beratenen Erlass die in Artikel XI.318/1 erwähnte Vergütung fest.</w:t>
      </w:r>
    </w:p>
    <w:p w14:paraId="192A14A8" w14:textId="77777777" w:rsidR="00E42057" w:rsidRPr="004676F5" w:rsidRDefault="00E42057" w:rsidP="00E42057">
      <w:pPr>
        <w:jc w:val="both"/>
        <w:rPr>
          <w:lang w:val="de-DE"/>
        </w:rPr>
      </w:pPr>
    </w:p>
    <w:p w14:paraId="7E672D6C" w14:textId="77777777" w:rsidR="00E42057" w:rsidRPr="004676F5" w:rsidRDefault="00E42057" w:rsidP="00E42057">
      <w:pPr>
        <w:jc w:val="both"/>
        <w:rPr>
          <w:lang w:val="de-DE"/>
        </w:rPr>
      </w:pPr>
      <w:r w:rsidRPr="004676F5">
        <w:rPr>
          <w:lang w:val="de-DE"/>
        </w:rPr>
        <w:tab/>
        <w:t>Diese Vergütung kann je nach Sektor angepasst werden.</w:t>
      </w:r>
    </w:p>
    <w:p w14:paraId="57467182" w14:textId="77777777" w:rsidR="00E42057" w:rsidRPr="004676F5" w:rsidRDefault="00E42057" w:rsidP="00E42057">
      <w:pPr>
        <w:jc w:val="both"/>
        <w:rPr>
          <w:lang w:val="de-DE"/>
        </w:rPr>
      </w:pPr>
    </w:p>
    <w:p w14:paraId="447D6A02" w14:textId="77777777" w:rsidR="00E42057" w:rsidRPr="004676F5" w:rsidRDefault="00E42057" w:rsidP="00E42057">
      <w:pPr>
        <w:jc w:val="both"/>
        <w:rPr>
          <w:lang w:val="de-DE"/>
        </w:rPr>
      </w:pPr>
      <w:r w:rsidRPr="004676F5">
        <w:rPr>
          <w:lang w:val="de-DE"/>
        </w:rPr>
        <w:tab/>
        <w:t>Der König legt Modalitäten für Einnahme, Verteilung und Kontrolle dieser Vergütung und den Zeitpunkt, zu dem sie zu entrichten ist, fest.</w:t>
      </w:r>
    </w:p>
    <w:p w14:paraId="1A58AA24" w14:textId="77777777" w:rsidR="00E42057" w:rsidRPr="004676F5" w:rsidRDefault="00E42057" w:rsidP="00E42057">
      <w:pPr>
        <w:jc w:val="both"/>
        <w:rPr>
          <w:lang w:val="de-DE"/>
        </w:rPr>
      </w:pPr>
    </w:p>
    <w:p w14:paraId="5683F1A1" w14:textId="77777777" w:rsidR="00E42057" w:rsidRPr="004676F5" w:rsidRDefault="00E42057" w:rsidP="00E42057">
      <w:pPr>
        <w:jc w:val="both"/>
        <w:rPr>
          <w:lang w:val="de-DE"/>
        </w:rPr>
      </w:pPr>
      <w:r w:rsidRPr="004676F5">
        <w:rPr>
          <w:lang w:val="de-DE"/>
        </w:rPr>
        <w:tab/>
        <w:t xml:space="preserve">Der König beauftragt gemäß den von Ihm festgelegten Bedingungen und Modalitäten </w:t>
      </w:r>
      <w:r w:rsidR="004C0E0A" w:rsidRPr="004676F5">
        <w:rPr>
          <w:lang w:val="de-DE"/>
        </w:rPr>
        <w:t xml:space="preserve">[eine Verwertungsgesellschaft, die alle Verwertungsgesellschaften und Organisationen für die kollektive Rechtewahrnehmung vertritt, die in Belgien die in Artikel XI.318/1 erwähnte </w:t>
      </w:r>
      <w:r w:rsidR="004C0E0A" w:rsidRPr="004676F5">
        <w:rPr>
          <w:lang w:val="de-DE"/>
        </w:rPr>
        <w:lastRenderedPageBreak/>
        <w:t>Vergütung verwalten]</w:t>
      </w:r>
      <w:r w:rsidRPr="004676F5">
        <w:rPr>
          <w:lang w:val="de-DE"/>
        </w:rPr>
        <w:t>, mit Einnahme und Verteilung der in Artikel XI.318/1 erwähnten Vergütung.</w:t>
      </w:r>
    </w:p>
    <w:p w14:paraId="1ED9A36E" w14:textId="77777777" w:rsidR="00E42057" w:rsidRPr="004676F5" w:rsidRDefault="00E42057" w:rsidP="00E42057">
      <w:pPr>
        <w:jc w:val="both"/>
        <w:rPr>
          <w:lang w:val="de-DE"/>
        </w:rPr>
      </w:pPr>
    </w:p>
    <w:p w14:paraId="1E5F62B1" w14:textId="77777777" w:rsidR="00E42057" w:rsidRPr="004676F5" w:rsidRDefault="00E42057" w:rsidP="00E42057">
      <w:pPr>
        <w:jc w:val="both"/>
        <w:rPr>
          <w:lang w:val="de-DE"/>
        </w:rPr>
      </w:pPr>
      <w:r w:rsidRPr="004676F5">
        <w:rPr>
          <w:lang w:val="de-DE"/>
        </w:rPr>
        <w:tab/>
        <w:t>Die Höhe dieser Vergütung kann alle drei Jahre revidiert werden.</w:t>
      </w:r>
    </w:p>
    <w:p w14:paraId="4C59EED3" w14:textId="77777777" w:rsidR="00E42057" w:rsidRPr="004676F5" w:rsidRDefault="00E42057" w:rsidP="00E42057">
      <w:pPr>
        <w:jc w:val="both"/>
        <w:rPr>
          <w:lang w:val="de-DE"/>
        </w:rPr>
      </w:pPr>
    </w:p>
    <w:p w14:paraId="312BFC48" w14:textId="77777777" w:rsidR="00E42057" w:rsidRPr="004676F5" w:rsidRDefault="00E42057" w:rsidP="00E42057">
      <w:pPr>
        <w:jc w:val="both"/>
        <w:rPr>
          <w:lang w:val="de-DE"/>
        </w:rPr>
      </w:pPr>
      <w:r w:rsidRPr="004676F5">
        <w:rPr>
          <w:lang w:val="de-DE"/>
        </w:rPr>
        <w:tab/>
        <w:t>Haben die Bedingungen, die die Festlegung der Höhe der Vergütung gerechtfertigt haben, eine offensichtliche und dauerhafte Veränderung erfahren, kann die Höhe der Vergütung vor Ablauf des Zeitraums von drei Jahren revidiert werden.</w:t>
      </w:r>
    </w:p>
    <w:p w14:paraId="7F7A11A5" w14:textId="77777777" w:rsidR="00E42057" w:rsidRPr="004676F5" w:rsidRDefault="00E42057" w:rsidP="00E42057">
      <w:pPr>
        <w:jc w:val="both"/>
        <w:rPr>
          <w:lang w:val="de-DE"/>
        </w:rPr>
      </w:pPr>
    </w:p>
    <w:p w14:paraId="0903EFB0" w14:textId="77777777" w:rsidR="00E42057" w:rsidRPr="004676F5" w:rsidRDefault="00E42057" w:rsidP="00E42057">
      <w:pPr>
        <w:jc w:val="both"/>
        <w:rPr>
          <w:lang w:val="de-DE"/>
        </w:rPr>
      </w:pPr>
      <w:r w:rsidRPr="004676F5">
        <w:rPr>
          <w:lang w:val="de-DE"/>
        </w:rPr>
        <w:tab/>
        <w:t>Revidiert der König eine Vergütung binnen dem Zeitraum von drei Jahren, begründet Er seine Entscheidung mit den veränderten Ausgangsbedingungen.]</w:t>
      </w:r>
    </w:p>
    <w:p w14:paraId="770EF971" w14:textId="77777777" w:rsidR="00E42057" w:rsidRPr="004676F5" w:rsidRDefault="00E42057" w:rsidP="00E42057">
      <w:pPr>
        <w:jc w:val="both"/>
        <w:rPr>
          <w:lang w:val="de-DE"/>
        </w:rPr>
      </w:pPr>
    </w:p>
    <w:p w14:paraId="14846155" w14:textId="54739C3E" w:rsidR="00E42057" w:rsidRPr="004676F5" w:rsidRDefault="00E42057" w:rsidP="00E42057">
      <w:pPr>
        <w:jc w:val="both"/>
        <w:rPr>
          <w:i/>
          <w:lang w:val="de-DE"/>
        </w:rPr>
      </w:pPr>
      <w:r w:rsidRPr="004676F5">
        <w:rPr>
          <w:i/>
          <w:lang w:val="de-DE"/>
        </w:rPr>
        <w:t>[</w:t>
      </w:r>
      <w:r w:rsidR="00BE0A56" w:rsidRPr="004676F5">
        <w:rPr>
          <w:i/>
          <w:lang w:val="de-DE"/>
        </w:rPr>
        <w:t>Art. </w:t>
      </w:r>
      <w:r w:rsidRPr="004676F5">
        <w:rPr>
          <w:i/>
          <w:lang w:val="de-DE"/>
        </w:rPr>
        <w:t xml:space="preserve">XI.318/3 eingefügt durch </w:t>
      </w:r>
      <w:r w:rsidR="00BE0A56" w:rsidRPr="004676F5">
        <w:rPr>
          <w:i/>
          <w:lang w:val="de-DE"/>
        </w:rPr>
        <w:t>Art. </w:t>
      </w:r>
      <w:r w:rsidRPr="004676F5">
        <w:rPr>
          <w:i/>
          <w:lang w:val="de-DE"/>
        </w:rPr>
        <w:t>38 des G. vom 22. Dezember 2016 (B.S. vom 29. Dezember 2016)</w:t>
      </w:r>
      <w:r w:rsidR="004C0E0A" w:rsidRPr="004676F5">
        <w:rPr>
          <w:i/>
          <w:lang w:val="de-DE"/>
        </w:rPr>
        <w:t xml:space="preserve">; Abs. 4 abgeändert durch </w:t>
      </w:r>
      <w:r w:rsidR="00BE0A56" w:rsidRPr="004676F5">
        <w:rPr>
          <w:i/>
          <w:lang w:val="de-DE"/>
        </w:rPr>
        <w:t>Art. </w:t>
      </w:r>
      <w:r w:rsidR="004C0E0A" w:rsidRPr="004676F5">
        <w:rPr>
          <w:i/>
          <w:lang w:val="de-DE"/>
        </w:rPr>
        <w:t>110 des G. vom 8. Juni 2017 (B.S. vom 27. Juni 2017)</w:t>
      </w:r>
      <w:r w:rsidRPr="004676F5">
        <w:rPr>
          <w:i/>
          <w:lang w:val="de-DE"/>
        </w:rPr>
        <w:t>]</w:t>
      </w:r>
    </w:p>
    <w:p w14:paraId="3596C854" w14:textId="77777777" w:rsidR="00E42057" w:rsidRPr="004676F5" w:rsidRDefault="00E42057" w:rsidP="00E42057">
      <w:pPr>
        <w:jc w:val="both"/>
        <w:rPr>
          <w:lang w:val="de-DE"/>
        </w:rPr>
      </w:pPr>
    </w:p>
    <w:p w14:paraId="74901F2C" w14:textId="77777777" w:rsidR="00E42057" w:rsidRPr="004676F5" w:rsidRDefault="00E42057" w:rsidP="00E42057">
      <w:pPr>
        <w:jc w:val="both"/>
        <w:rPr>
          <w:lang w:val="de-DE"/>
        </w:rPr>
      </w:pPr>
    </w:p>
    <w:p w14:paraId="5808C0F6" w14:textId="4108886B" w:rsidR="00E42057" w:rsidRPr="004676F5" w:rsidRDefault="00E42057" w:rsidP="00E42057">
      <w:pPr>
        <w:jc w:val="both"/>
        <w:rPr>
          <w:lang w:val="de-DE"/>
        </w:rPr>
      </w:pPr>
      <w:r w:rsidRPr="004676F5">
        <w:rPr>
          <w:lang w:val="de-DE"/>
        </w:rPr>
        <w:tab/>
        <w:t>[</w:t>
      </w:r>
      <w:r w:rsidR="00BE0A56" w:rsidRPr="004676F5">
        <w:rPr>
          <w:b/>
          <w:lang w:val="de-DE"/>
        </w:rPr>
        <w:t>Art. </w:t>
      </w:r>
      <w:r w:rsidRPr="004676F5">
        <w:rPr>
          <w:b/>
          <w:lang w:val="de-DE"/>
        </w:rPr>
        <w:t>XI.318/4</w:t>
      </w:r>
      <w:r w:rsidRPr="004676F5">
        <w:rPr>
          <w:lang w:val="de-DE"/>
        </w:rPr>
        <w:t> </w:t>
      </w:r>
      <w:r w:rsidR="005B7A5C" w:rsidRPr="004676F5">
        <w:rPr>
          <w:lang w:val="de-DE"/>
        </w:rPr>
        <w:t>- </w:t>
      </w:r>
      <w:r w:rsidRPr="004676F5">
        <w:rPr>
          <w:lang w:val="de-DE"/>
        </w:rPr>
        <w:t>Die vom König im Rahmen des vorliegenden Kapitels bestimmte Verwertungsgesellschaft kann Auskünfte, die zur Ausführung ihres Auftrags gemäß den Artikeln XI.281 und XV.113 erforderlich sind, erhalten bei:</w:t>
      </w:r>
    </w:p>
    <w:p w14:paraId="62DF7F72" w14:textId="77777777" w:rsidR="00E42057" w:rsidRPr="004676F5" w:rsidRDefault="00E42057" w:rsidP="00E42057">
      <w:pPr>
        <w:jc w:val="both"/>
        <w:rPr>
          <w:lang w:val="de-DE"/>
        </w:rPr>
      </w:pPr>
    </w:p>
    <w:p w14:paraId="33292FB3" w14:textId="13BFC91C" w:rsidR="00E42057" w:rsidRPr="004676F5" w:rsidRDefault="00E42057" w:rsidP="00E42057">
      <w:pPr>
        <w:jc w:val="both"/>
        <w:rPr>
          <w:lang w:val="de-DE"/>
        </w:rPr>
      </w:pPr>
      <w:r w:rsidRPr="004676F5">
        <w:rPr>
          <w:lang w:val="de-DE"/>
        </w:rPr>
        <w:tab/>
        <w:t>1. der Zoll</w:t>
      </w:r>
      <w:r w:rsidR="005B7A5C" w:rsidRPr="004676F5">
        <w:rPr>
          <w:lang w:val="de-DE"/>
        </w:rPr>
        <w:t>- </w:t>
      </w:r>
      <w:r w:rsidRPr="004676F5">
        <w:rPr>
          <w:lang w:val="de-DE"/>
        </w:rPr>
        <w:t>und Akzisenverwaltung in Anwendung von Artikel 320 des allgemeinen Gesetzes vom 18. Juli 1977 über Zölle und Akzisen,</w:t>
      </w:r>
    </w:p>
    <w:p w14:paraId="4E17C676" w14:textId="77777777" w:rsidR="00E42057" w:rsidRPr="004676F5" w:rsidRDefault="00E42057" w:rsidP="00E42057">
      <w:pPr>
        <w:jc w:val="both"/>
        <w:rPr>
          <w:lang w:val="de-DE"/>
        </w:rPr>
      </w:pPr>
    </w:p>
    <w:p w14:paraId="01256DF2" w14:textId="77777777" w:rsidR="00E42057" w:rsidRPr="004676F5" w:rsidRDefault="00E42057" w:rsidP="00E42057">
      <w:pPr>
        <w:jc w:val="both"/>
        <w:rPr>
          <w:lang w:val="de-DE"/>
        </w:rPr>
      </w:pPr>
      <w:r w:rsidRPr="004676F5">
        <w:rPr>
          <w:lang w:val="de-DE"/>
        </w:rPr>
        <w:tab/>
        <w:t>2. der Mehrwertsteuerverwaltung in Anwendung von Artikel 93</w:t>
      </w:r>
      <w:r w:rsidRPr="004676F5">
        <w:rPr>
          <w:i/>
          <w:lang w:val="de-DE"/>
        </w:rPr>
        <w:t>bis</w:t>
      </w:r>
      <w:r w:rsidRPr="004676F5">
        <w:rPr>
          <w:lang w:val="de-DE"/>
        </w:rPr>
        <w:t xml:space="preserve"> des Mehrwertsteuer</w:t>
      </w:r>
      <w:r w:rsidRPr="004676F5">
        <w:rPr>
          <w:lang w:val="de-DE"/>
        </w:rPr>
        <w:softHyphen/>
        <w:t>gesetzbuches vom 3. Juli 1969 und</w:t>
      </w:r>
    </w:p>
    <w:p w14:paraId="13F77E8F" w14:textId="77777777" w:rsidR="00E42057" w:rsidRPr="004676F5" w:rsidRDefault="00E42057" w:rsidP="00E42057">
      <w:pPr>
        <w:jc w:val="both"/>
        <w:rPr>
          <w:lang w:val="de-DE"/>
        </w:rPr>
      </w:pPr>
    </w:p>
    <w:p w14:paraId="18BEFCC9" w14:textId="77777777" w:rsidR="00E42057" w:rsidRPr="004676F5" w:rsidRDefault="00E42057" w:rsidP="00E42057">
      <w:pPr>
        <w:jc w:val="both"/>
        <w:rPr>
          <w:lang w:val="de-DE"/>
        </w:rPr>
      </w:pPr>
      <w:r w:rsidRPr="004676F5">
        <w:rPr>
          <w:lang w:val="de-DE"/>
        </w:rPr>
        <w:tab/>
        <w:t>3. dem Landesamt für soziale Sicherheit gemäß dem Gesetz vom 15. Januar 1990 über die Errichtung und Organisation einer Zentralen Datenbank der sozialen Sicherheit.]</w:t>
      </w:r>
    </w:p>
    <w:p w14:paraId="71F458E9" w14:textId="77777777" w:rsidR="00E42057" w:rsidRPr="004676F5" w:rsidRDefault="00E42057" w:rsidP="00E42057">
      <w:pPr>
        <w:jc w:val="both"/>
        <w:rPr>
          <w:lang w:val="de-DE"/>
        </w:rPr>
      </w:pPr>
    </w:p>
    <w:p w14:paraId="4603D971" w14:textId="70BB87A6" w:rsidR="00E42057" w:rsidRPr="004676F5" w:rsidRDefault="00E42057" w:rsidP="00E42057">
      <w:pPr>
        <w:jc w:val="both"/>
        <w:rPr>
          <w:i/>
          <w:lang w:val="de-DE"/>
        </w:rPr>
      </w:pPr>
      <w:r w:rsidRPr="004676F5">
        <w:rPr>
          <w:i/>
          <w:lang w:val="de-DE"/>
        </w:rPr>
        <w:t>[</w:t>
      </w:r>
      <w:r w:rsidR="00BE0A56" w:rsidRPr="004676F5">
        <w:rPr>
          <w:i/>
          <w:lang w:val="de-DE"/>
        </w:rPr>
        <w:t>Art. </w:t>
      </w:r>
      <w:r w:rsidRPr="004676F5">
        <w:rPr>
          <w:i/>
          <w:lang w:val="de-DE"/>
        </w:rPr>
        <w:t xml:space="preserve">XI.318/4 eingefügt durch </w:t>
      </w:r>
      <w:r w:rsidR="00BE0A56" w:rsidRPr="004676F5">
        <w:rPr>
          <w:i/>
          <w:lang w:val="de-DE"/>
        </w:rPr>
        <w:t>Art. </w:t>
      </w:r>
      <w:r w:rsidRPr="004676F5">
        <w:rPr>
          <w:i/>
          <w:lang w:val="de-DE"/>
        </w:rPr>
        <w:t>39 des G. vom 22. Dezember 2016 (B.S. vom 29. Dezember 2016)]</w:t>
      </w:r>
    </w:p>
    <w:p w14:paraId="1CB9B0C6" w14:textId="77777777" w:rsidR="00E42057" w:rsidRPr="004676F5" w:rsidRDefault="00E42057" w:rsidP="00E42057">
      <w:pPr>
        <w:jc w:val="both"/>
        <w:rPr>
          <w:lang w:val="de-DE"/>
        </w:rPr>
      </w:pPr>
    </w:p>
    <w:p w14:paraId="1ABF64EA" w14:textId="77777777" w:rsidR="00E42057" w:rsidRPr="004676F5" w:rsidRDefault="00E42057" w:rsidP="00E42057">
      <w:pPr>
        <w:jc w:val="both"/>
        <w:rPr>
          <w:lang w:val="de-DE"/>
        </w:rPr>
      </w:pPr>
    </w:p>
    <w:p w14:paraId="3B8F1556" w14:textId="6A74CEA1" w:rsidR="00E42057" w:rsidRPr="004676F5" w:rsidRDefault="00E42057" w:rsidP="00E42057">
      <w:pPr>
        <w:jc w:val="both"/>
        <w:rPr>
          <w:lang w:val="de-DE"/>
        </w:rPr>
      </w:pPr>
      <w:r w:rsidRPr="004676F5">
        <w:rPr>
          <w:lang w:val="de-DE"/>
        </w:rPr>
        <w:tab/>
        <w:t>[</w:t>
      </w:r>
      <w:r w:rsidR="00BE0A56" w:rsidRPr="004676F5">
        <w:rPr>
          <w:b/>
          <w:lang w:val="de-DE"/>
        </w:rPr>
        <w:t>Art. </w:t>
      </w:r>
      <w:r w:rsidRPr="004676F5">
        <w:rPr>
          <w:b/>
          <w:lang w:val="de-DE"/>
        </w:rPr>
        <w:t>XI.318/5</w:t>
      </w:r>
      <w:r w:rsidRPr="004676F5">
        <w:rPr>
          <w:lang w:val="de-DE"/>
        </w:rPr>
        <w:t> </w:t>
      </w:r>
      <w:r w:rsidR="005B7A5C" w:rsidRPr="004676F5">
        <w:rPr>
          <w:lang w:val="de-DE"/>
        </w:rPr>
        <w:t>- </w:t>
      </w:r>
      <w:r w:rsidRPr="004676F5">
        <w:rPr>
          <w:lang w:val="de-DE"/>
        </w:rPr>
        <w:t>Unbeschadet der Artikel XI.281 und XV.113 kann die bestimmte Verwertungsgesellschaft der Zoll</w:t>
      </w:r>
      <w:r w:rsidR="005B7A5C" w:rsidRPr="004676F5">
        <w:rPr>
          <w:lang w:val="de-DE"/>
        </w:rPr>
        <w:t>- </w:t>
      </w:r>
      <w:r w:rsidRPr="004676F5">
        <w:rPr>
          <w:lang w:val="de-DE"/>
        </w:rPr>
        <w:t>und Akzisenverwaltung und der Mehrwertsteuerverwaltung auf deren Antrag hin Auskünfte erteilen.</w:t>
      </w:r>
    </w:p>
    <w:p w14:paraId="7B326426" w14:textId="77777777" w:rsidR="00E42057" w:rsidRPr="004676F5" w:rsidRDefault="00E42057" w:rsidP="00E42057">
      <w:pPr>
        <w:jc w:val="both"/>
        <w:rPr>
          <w:lang w:val="de-DE"/>
        </w:rPr>
      </w:pPr>
    </w:p>
    <w:p w14:paraId="5738F2D3" w14:textId="77777777" w:rsidR="00E42057" w:rsidRPr="004676F5" w:rsidRDefault="00E42057" w:rsidP="00E42057">
      <w:pPr>
        <w:jc w:val="both"/>
        <w:rPr>
          <w:lang w:val="de-DE"/>
        </w:rPr>
      </w:pPr>
      <w:r w:rsidRPr="004676F5">
        <w:rPr>
          <w:lang w:val="de-DE"/>
        </w:rPr>
        <w:tab/>
        <w:t>Unbeschadet der Artikel XI.281 und XV.113 kann die bestimmte Verwertungs</w:t>
      </w:r>
      <w:r w:rsidRPr="004676F5">
        <w:rPr>
          <w:lang w:val="de-DE"/>
        </w:rPr>
        <w:softHyphen/>
        <w:t>gesellschaft folgenden Stellen Auskünfte erteilen und von ihnen erhalten:</w:t>
      </w:r>
    </w:p>
    <w:p w14:paraId="3EC86D95" w14:textId="77777777" w:rsidR="00E42057" w:rsidRPr="004676F5" w:rsidRDefault="00E42057" w:rsidP="00E42057">
      <w:pPr>
        <w:jc w:val="both"/>
        <w:rPr>
          <w:lang w:val="de-DE"/>
        </w:rPr>
      </w:pPr>
    </w:p>
    <w:p w14:paraId="2A20BA4F" w14:textId="77777777" w:rsidR="00E42057" w:rsidRPr="004676F5" w:rsidRDefault="00E42057" w:rsidP="00E42057">
      <w:pPr>
        <w:jc w:val="both"/>
        <w:rPr>
          <w:lang w:val="de-DE"/>
        </w:rPr>
      </w:pPr>
      <w:r w:rsidRPr="004676F5">
        <w:rPr>
          <w:lang w:val="de-DE"/>
        </w:rPr>
        <w:tab/>
        <w:t>1. dem Dienst Überwachung und Vermittlung des FÖD Wirtschaft,</w:t>
      </w:r>
    </w:p>
    <w:p w14:paraId="44981F9F" w14:textId="77777777" w:rsidR="00E42057" w:rsidRPr="004676F5" w:rsidRDefault="00E42057" w:rsidP="00E42057">
      <w:pPr>
        <w:jc w:val="both"/>
        <w:rPr>
          <w:lang w:val="de-DE"/>
        </w:rPr>
      </w:pPr>
    </w:p>
    <w:p w14:paraId="1B01F613" w14:textId="77777777" w:rsidR="00E42057" w:rsidRPr="004676F5" w:rsidRDefault="00E42057" w:rsidP="00E42057">
      <w:pPr>
        <w:jc w:val="both"/>
        <w:rPr>
          <w:lang w:val="de-DE"/>
        </w:rPr>
      </w:pPr>
      <w:r w:rsidRPr="004676F5">
        <w:rPr>
          <w:lang w:val="de-DE"/>
        </w:rPr>
        <w:tab/>
        <w:t xml:space="preserve">2. den </w:t>
      </w:r>
      <w:r w:rsidR="004C0E0A" w:rsidRPr="004676F5">
        <w:rPr>
          <w:lang w:val="de-DE"/>
        </w:rPr>
        <w:t>[Verwertungsgesellschaften und Organisationen für die kollektive Rechtewahrnehmung]</w:t>
      </w:r>
      <w:r w:rsidRPr="004676F5">
        <w:rPr>
          <w:lang w:val="de-DE"/>
        </w:rPr>
        <w:t>, die eine ähnliche Tätigkeit im Ausland ausüben, unter der Bedingung der Gegenseitigkeit.]</w:t>
      </w:r>
    </w:p>
    <w:p w14:paraId="3549EC2D" w14:textId="77777777" w:rsidR="00E42057" w:rsidRPr="004676F5" w:rsidRDefault="00E42057" w:rsidP="00E42057">
      <w:pPr>
        <w:jc w:val="both"/>
        <w:rPr>
          <w:lang w:val="de-DE"/>
        </w:rPr>
      </w:pPr>
    </w:p>
    <w:p w14:paraId="6FF659CE" w14:textId="30486E67" w:rsidR="00E42057" w:rsidRPr="004676F5" w:rsidRDefault="00E42057" w:rsidP="00E42057">
      <w:pPr>
        <w:jc w:val="both"/>
        <w:rPr>
          <w:i/>
          <w:lang w:val="de-DE"/>
        </w:rPr>
      </w:pPr>
      <w:r w:rsidRPr="004676F5">
        <w:rPr>
          <w:i/>
          <w:lang w:val="de-DE"/>
        </w:rPr>
        <w:t>[</w:t>
      </w:r>
      <w:r w:rsidR="00BE0A56" w:rsidRPr="004676F5">
        <w:rPr>
          <w:i/>
          <w:lang w:val="de-DE"/>
        </w:rPr>
        <w:t>Art. </w:t>
      </w:r>
      <w:r w:rsidRPr="004676F5">
        <w:rPr>
          <w:i/>
          <w:lang w:val="de-DE"/>
        </w:rPr>
        <w:t xml:space="preserve">XI.318/5 eingefügt durch </w:t>
      </w:r>
      <w:r w:rsidR="00BE0A56" w:rsidRPr="004676F5">
        <w:rPr>
          <w:i/>
          <w:lang w:val="de-DE"/>
        </w:rPr>
        <w:t>Art. </w:t>
      </w:r>
      <w:r w:rsidRPr="004676F5">
        <w:rPr>
          <w:i/>
          <w:lang w:val="de-DE"/>
        </w:rPr>
        <w:t>40 des G. vom 22. Dezember 2016 (B.S. vom 29. Dezember 2016)</w:t>
      </w:r>
      <w:r w:rsidR="006A29C3" w:rsidRPr="004676F5">
        <w:rPr>
          <w:i/>
          <w:lang w:val="de-DE"/>
        </w:rPr>
        <w:t xml:space="preserve">; Abs. 2 Nr. 2 abgeändert durch </w:t>
      </w:r>
      <w:r w:rsidR="00BE0A56" w:rsidRPr="004676F5">
        <w:rPr>
          <w:i/>
          <w:lang w:val="de-DE"/>
        </w:rPr>
        <w:t>Art. </w:t>
      </w:r>
      <w:r w:rsidR="006A29C3" w:rsidRPr="004676F5">
        <w:rPr>
          <w:i/>
          <w:lang w:val="de-DE"/>
        </w:rPr>
        <w:t>112 Nr. 2 des G. vom 8. Juni 2017 (B.S. vom 27. Juni 2017)</w:t>
      </w:r>
      <w:r w:rsidRPr="004676F5">
        <w:rPr>
          <w:i/>
          <w:lang w:val="de-DE"/>
        </w:rPr>
        <w:t>]</w:t>
      </w:r>
    </w:p>
    <w:p w14:paraId="58E01D69" w14:textId="77777777" w:rsidR="00E42057" w:rsidRPr="004676F5" w:rsidRDefault="00E42057" w:rsidP="00E42057">
      <w:pPr>
        <w:jc w:val="both"/>
        <w:rPr>
          <w:b/>
          <w:lang w:val="de-DE"/>
        </w:rPr>
      </w:pPr>
    </w:p>
    <w:p w14:paraId="28D51C70" w14:textId="77777777" w:rsidR="00E42057" w:rsidRPr="004676F5" w:rsidRDefault="00E42057" w:rsidP="00E42057">
      <w:pPr>
        <w:jc w:val="both"/>
        <w:rPr>
          <w:lang w:val="de-DE"/>
        </w:rPr>
      </w:pPr>
    </w:p>
    <w:p w14:paraId="12B0BF9E" w14:textId="7E21569E" w:rsidR="00E42057" w:rsidRPr="004676F5" w:rsidRDefault="00E42057" w:rsidP="00E42057">
      <w:pPr>
        <w:jc w:val="both"/>
        <w:rPr>
          <w:lang w:val="de-DE"/>
        </w:rPr>
      </w:pPr>
      <w:r w:rsidRPr="004676F5">
        <w:rPr>
          <w:lang w:val="de-DE"/>
        </w:rPr>
        <w:lastRenderedPageBreak/>
        <w:tab/>
        <w:t>[</w:t>
      </w:r>
      <w:r w:rsidR="00BE0A56" w:rsidRPr="004676F5">
        <w:rPr>
          <w:b/>
          <w:lang w:val="de-DE"/>
        </w:rPr>
        <w:t>Art. </w:t>
      </w:r>
      <w:r w:rsidRPr="004676F5">
        <w:rPr>
          <w:b/>
          <w:lang w:val="de-DE"/>
        </w:rPr>
        <w:t>XI.318/6 </w:t>
      </w:r>
      <w:r w:rsidR="005B7A5C" w:rsidRPr="004676F5">
        <w:rPr>
          <w:lang w:val="de-DE"/>
        </w:rPr>
        <w:t>- </w:t>
      </w:r>
      <w:r w:rsidRPr="004676F5">
        <w:rPr>
          <w:lang w:val="de-DE"/>
        </w:rPr>
        <w:t>Die Bestimmungen von Buch I Kapitel 9, Buch XI Titel 5 und 9, Buch XV und Buch XVII sind entsprechend anwendbar auf vorliegenden Titel, wobei der Begriff "verwandte Schutzrechte" so zu lesen ist, dass er den "Anspruch der Verleger auf eine Vergütung für die Vervielfältigung auf Papier oder ähnlichem Träger ihrer Ausgaben auf Papier" deckt.]</w:t>
      </w:r>
    </w:p>
    <w:p w14:paraId="21B3DC74" w14:textId="77777777" w:rsidR="00E42057" w:rsidRPr="004676F5" w:rsidRDefault="00E42057" w:rsidP="00E42057">
      <w:pPr>
        <w:jc w:val="both"/>
        <w:rPr>
          <w:lang w:val="de-DE"/>
        </w:rPr>
      </w:pPr>
    </w:p>
    <w:p w14:paraId="421E6457" w14:textId="77777777" w:rsidR="009B004F" w:rsidRPr="004676F5" w:rsidRDefault="00E42057" w:rsidP="00E42057">
      <w:pPr>
        <w:jc w:val="both"/>
        <w:rPr>
          <w:iCs/>
          <w:lang w:val="de-DE"/>
        </w:rPr>
      </w:pPr>
      <w:r w:rsidRPr="004676F5">
        <w:rPr>
          <w:i/>
          <w:lang w:val="de-DE"/>
        </w:rPr>
        <w:t>[</w:t>
      </w:r>
      <w:r w:rsidR="00BE0A56" w:rsidRPr="004676F5">
        <w:rPr>
          <w:i/>
          <w:lang w:val="de-DE"/>
        </w:rPr>
        <w:t>Art. </w:t>
      </w:r>
      <w:r w:rsidRPr="004676F5">
        <w:rPr>
          <w:i/>
          <w:lang w:val="de-DE"/>
        </w:rPr>
        <w:t xml:space="preserve">XI.318/6 eingefügt durch </w:t>
      </w:r>
      <w:r w:rsidR="00BE0A56" w:rsidRPr="004676F5">
        <w:rPr>
          <w:i/>
          <w:lang w:val="de-DE"/>
        </w:rPr>
        <w:t>Art. </w:t>
      </w:r>
      <w:r w:rsidRPr="004676F5">
        <w:rPr>
          <w:i/>
          <w:lang w:val="de-DE"/>
        </w:rPr>
        <w:t>41 des G. vom 22. Dezember 2016 (B.S. vom 29. Dezember 2016)]</w:t>
      </w:r>
    </w:p>
    <w:p w14:paraId="41329EB9" w14:textId="77777777" w:rsidR="009B004F" w:rsidRPr="004676F5" w:rsidRDefault="009B004F" w:rsidP="00E42057">
      <w:pPr>
        <w:jc w:val="both"/>
        <w:rPr>
          <w:iCs/>
          <w:lang w:val="de-DE"/>
        </w:rPr>
      </w:pPr>
    </w:p>
    <w:p w14:paraId="71218619" w14:textId="77777777" w:rsidR="009B004F" w:rsidRPr="004676F5" w:rsidRDefault="009B004F" w:rsidP="00E42057">
      <w:pPr>
        <w:jc w:val="both"/>
        <w:rPr>
          <w:iCs/>
          <w:lang w:val="de-DE"/>
        </w:rPr>
      </w:pPr>
    </w:p>
    <w:p w14:paraId="16A69F9D" w14:textId="3514C40B" w:rsidR="009B004F" w:rsidRPr="004676F5" w:rsidRDefault="009B004F" w:rsidP="009B004F">
      <w:pPr>
        <w:jc w:val="both"/>
        <w:rPr>
          <w:lang w:val="de-DE"/>
        </w:rPr>
      </w:pPr>
      <w:r w:rsidRPr="004676F5">
        <w:rPr>
          <w:iCs/>
          <w:lang w:val="de-DE"/>
        </w:rPr>
        <w:tab/>
        <w:t>[</w:t>
      </w:r>
      <w:r w:rsidRPr="004676F5">
        <w:rPr>
          <w:b/>
          <w:bCs/>
          <w:lang w:val="de-DE"/>
        </w:rPr>
        <w:t>Art. XI.318/7</w:t>
      </w:r>
      <w:r w:rsidRPr="004676F5">
        <w:rPr>
          <w:lang w:val="de-DE"/>
        </w:rPr>
        <w:t> </w:t>
      </w:r>
      <w:r w:rsidR="005B7A5C" w:rsidRPr="004676F5">
        <w:rPr>
          <w:lang w:val="de-DE"/>
        </w:rPr>
        <w:t>- </w:t>
      </w:r>
      <w:r w:rsidRPr="004676F5">
        <w:rPr>
          <w:lang w:val="de-DE"/>
        </w:rPr>
        <w:t>Unbeschadet der in Artikel XI.229 erwähnten Ansprüche auf Vergütung von Urhebern, ausübenden Künstlern und Produzenten haben Verleger Anspruch auf eine Vergütung für die Vervielfältigung ihrer Ausgaben, Musikpartituren ausgenommen, die von natürlichen Personen zu privaten, weder unmittelbar noch mittelbar kommerziellen Zwecken vorgenommen werden.</w:t>
      </w:r>
    </w:p>
    <w:p w14:paraId="114600E3" w14:textId="77777777" w:rsidR="009B004F" w:rsidRPr="004676F5" w:rsidRDefault="009B004F" w:rsidP="009B004F">
      <w:pPr>
        <w:jc w:val="both"/>
        <w:rPr>
          <w:lang w:val="de-DE"/>
        </w:rPr>
      </w:pPr>
      <w:r w:rsidRPr="004676F5">
        <w:rPr>
          <w:lang w:val="de-DE"/>
        </w:rPr>
        <w:br/>
      </w:r>
      <w:r w:rsidRPr="004676F5">
        <w:rPr>
          <w:lang w:val="de-DE"/>
        </w:rPr>
        <w:tab/>
        <w:t>Die Dauer des in Absatz 1 erwähnten Vergütungsanspruchs beträgt fünfzig Jahre ab der ersten Ausgabe. Diese Frist wird vom 1. Januar des Jahres an berechnet, das auf die erste Ausgabe folgt.</w:t>
      </w:r>
    </w:p>
    <w:p w14:paraId="459CB671" w14:textId="77777777" w:rsidR="009B004F" w:rsidRPr="004676F5" w:rsidRDefault="009B004F" w:rsidP="009B004F">
      <w:pPr>
        <w:jc w:val="both"/>
        <w:rPr>
          <w:lang w:val="de-DE"/>
        </w:rPr>
      </w:pPr>
      <w:r w:rsidRPr="004676F5">
        <w:rPr>
          <w:lang w:val="de-DE"/>
        </w:rPr>
        <w:br/>
      </w:r>
      <w:r w:rsidRPr="004676F5">
        <w:rPr>
          <w:lang w:val="de-DE"/>
        </w:rPr>
        <w:tab/>
        <w:t>Die Vergütung wird vom Hersteller, Importeur oder innergemeinschaftlichen Abnehmer von Trägern und Geräten, die offensichtlich für die Vervielfältigung zu privaten Zwecken von Ausgaben benutzt werden, zu dem Zeitpunkt entrichtet, zu dem diese Träger und Geräte auf nationalem Staatsgebiet in den Handel gebracht werden.</w:t>
      </w:r>
    </w:p>
    <w:p w14:paraId="280FECD0" w14:textId="77777777" w:rsidR="009B004F" w:rsidRPr="004676F5" w:rsidRDefault="009B004F" w:rsidP="009B004F">
      <w:pPr>
        <w:jc w:val="both"/>
        <w:rPr>
          <w:lang w:val="de-DE"/>
        </w:rPr>
      </w:pPr>
      <w:r w:rsidRPr="004676F5">
        <w:rPr>
          <w:lang w:val="de-DE"/>
        </w:rPr>
        <w:br/>
      </w:r>
      <w:r w:rsidRPr="004676F5">
        <w:rPr>
          <w:lang w:val="de-DE"/>
        </w:rPr>
        <w:tab/>
        <w:t>Gemäß den in Artikel XI.318/8 vorgesehenen Modalitäten bestimmt der König, welche Geräte und Träger offensichtlich für die Vervielfältigung zu privaten Zwecken von Ausgaben benutzt werden.</w:t>
      </w:r>
    </w:p>
    <w:p w14:paraId="657BE22C" w14:textId="77777777" w:rsidR="009B004F" w:rsidRPr="004676F5" w:rsidRDefault="009B004F" w:rsidP="009B004F">
      <w:pPr>
        <w:jc w:val="both"/>
        <w:rPr>
          <w:lang w:val="de-DE"/>
        </w:rPr>
      </w:pPr>
      <w:r w:rsidRPr="004676F5">
        <w:rPr>
          <w:lang w:val="de-DE"/>
        </w:rPr>
        <w:br/>
      </w:r>
      <w:r w:rsidRPr="004676F5">
        <w:rPr>
          <w:lang w:val="de-DE"/>
        </w:rPr>
        <w:tab/>
        <w:t>Der König beauftragt gemäß den von Ihm festgelegten Bedingungen und Modalitäten eine Verwertungsgesellschaft, die alle Verwertungsgesellschaften oder Organisationen für die kollektive Rechtewahrnehmung, die in Belgien die in Absatz 1 erwähnte Vergütung verwalten, vertritt, mit Einnahme und Verteilung der Vergütung.]</w:t>
      </w:r>
    </w:p>
    <w:p w14:paraId="192ECC26" w14:textId="77777777" w:rsidR="009B004F" w:rsidRPr="004676F5" w:rsidRDefault="009B004F" w:rsidP="009B004F">
      <w:pPr>
        <w:jc w:val="both"/>
        <w:rPr>
          <w:lang w:val="de-DE"/>
        </w:rPr>
      </w:pPr>
    </w:p>
    <w:p w14:paraId="10F4208D" w14:textId="77777777" w:rsidR="009B004F" w:rsidRPr="004676F5" w:rsidRDefault="009B004F" w:rsidP="009B004F">
      <w:pPr>
        <w:jc w:val="both"/>
        <w:rPr>
          <w:i/>
          <w:lang w:val="de-DE"/>
        </w:rPr>
      </w:pPr>
      <w:r w:rsidRPr="004676F5">
        <w:rPr>
          <w:i/>
          <w:iCs/>
          <w:lang w:val="de-DE"/>
        </w:rPr>
        <w:t>[Art. XI.318/7 eingefügt durch Art. 3</w:t>
      </w:r>
      <w:r w:rsidRPr="004676F5">
        <w:rPr>
          <w:i/>
          <w:lang w:val="de-DE"/>
        </w:rPr>
        <w:t xml:space="preserve"> des G. vom 2. Mai 2019 (II) (B.S. vom 20. Mai 2019)]</w:t>
      </w:r>
    </w:p>
    <w:p w14:paraId="65F1F750" w14:textId="77777777" w:rsidR="009B004F" w:rsidRPr="004676F5" w:rsidRDefault="009B004F" w:rsidP="009B004F">
      <w:pPr>
        <w:jc w:val="both"/>
        <w:rPr>
          <w:iCs/>
          <w:lang w:val="de-DE"/>
        </w:rPr>
      </w:pPr>
    </w:p>
    <w:p w14:paraId="1B09FFA6" w14:textId="77777777" w:rsidR="009B004F" w:rsidRPr="004676F5" w:rsidRDefault="009B004F" w:rsidP="009B004F">
      <w:pPr>
        <w:jc w:val="both"/>
        <w:rPr>
          <w:iCs/>
          <w:lang w:val="de-DE"/>
        </w:rPr>
      </w:pPr>
    </w:p>
    <w:p w14:paraId="52ECF4D3" w14:textId="54D40456" w:rsidR="009B004F" w:rsidRPr="004676F5" w:rsidRDefault="009B004F" w:rsidP="009B004F">
      <w:pPr>
        <w:jc w:val="both"/>
        <w:rPr>
          <w:lang w:val="de-DE"/>
        </w:rPr>
      </w:pPr>
      <w:r w:rsidRPr="004676F5">
        <w:rPr>
          <w:lang w:val="de-DE"/>
        </w:rPr>
        <w:tab/>
        <w:t>[</w:t>
      </w:r>
      <w:r w:rsidRPr="004676F5">
        <w:rPr>
          <w:b/>
          <w:bCs/>
          <w:lang w:val="de-DE"/>
        </w:rPr>
        <w:t>Art. XI.318/8</w:t>
      </w:r>
      <w:r w:rsidRPr="004676F5">
        <w:rPr>
          <w:lang w:val="de-DE"/>
        </w:rPr>
        <w:t> </w:t>
      </w:r>
      <w:r w:rsidR="005B7A5C" w:rsidRPr="004676F5">
        <w:rPr>
          <w:lang w:val="de-DE"/>
        </w:rPr>
        <w:t>- </w:t>
      </w:r>
      <w:r w:rsidRPr="004676F5">
        <w:rPr>
          <w:lang w:val="de-DE"/>
        </w:rPr>
        <w:t>Der König bestimmt anhand von Kategorien technisch ähnlicher Geräte und Träger, die Er festlegt, ob diese offensichtlich für die Vervielfältigung zu privaten Zwecken von Ausgaben benutzt werden, und legt die Modalitäten für Einnahme, Verteilung und Kontrolle dieser Vergütung und den Zeitpunkt, zu dem sie zu entrichten ist, fest.</w:t>
      </w:r>
    </w:p>
    <w:p w14:paraId="6779300C" w14:textId="77777777" w:rsidR="009B004F" w:rsidRPr="004676F5" w:rsidRDefault="009B004F" w:rsidP="009B004F">
      <w:pPr>
        <w:jc w:val="both"/>
        <w:rPr>
          <w:lang w:val="de-DE"/>
        </w:rPr>
      </w:pPr>
      <w:r w:rsidRPr="004676F5">
        <w:rPr>
          <w:lang w:val="de-DE"/>
        </w:rPr>
        <w:br/>
      </w:r>
      <w:r w:rsidRPr="004676F5">
        <w:rPr>
          <w:lang w:val="de-DE"/>
        </w:rPr>
        <w:tab/>
        <w:t>Der König kann auf einer spezifischen Liste die Kategorien technisch ähnlicher Geräte und Träger bestimmen, die nicht offensichtlich für die Vervielfältigung zu privaten Zwecken von Ausgaben benutzt werden und für die keine Vergütung an Verleger für die Vervielfältigung zu privaten Zwecken ihrer Ausgaben gezahlt werden muss.</w:t>
      </w:r>
    </w:p>
    <w:p w14:paraId="2F351DB1" w14:textId="77777777" w:rsidR="009B004F" w:rsidRPr="004676F5" w:rsidRDefault="009B004F" w:rsidP="009B004F">
      <w:pPr>
        <w:jc w:val="both"/>
        <w:rPr>
          <w:lang w:val="de-DE" w:eastAsia="fr-BE"/>
        </w:rPr>
      </w:pPr>
    </w:p>
    <w:p w14:paraId="23C0E745" w14:textId="77777777" w:rsidR="009B004F" w:rsidRPr="004676F5" w:rsidRDefault="009B004F" w:rsidP="009B004F">
      <w:pPr>
        <w:jc w:val="both"/>
        <w:rPr>
          <w:lang w:val="de-DE"/>
        </w:rPr>
      </w:pPr>
      <w:r w:rsidRPr="004676F5">
        <w:rPr>
          <w:lang w:val="de-DE"/>
        </w:rPr>
        <w:tab/>
        <w:t>Computer beziehungsweise Kategorien von Computern wie vom König bestimmt können nur durch einen im Ministerrat beratenen Königlichen Erlass der Vergütung unterworfen oder in die in Absatz 2 erwähnte spezifische Liste eingetragen werden.</w:t>
      </w:r>
    </w:p>
    <w:p w14:paraId="3A74FEFC" w14:textId="77777777" w:rsidR="009B004F" w:rsidRPr="004676F5" w:rsidRDefault="009B004F" w:rsidP="009B004F">
      <w:pPr>
        <w:jc w:val="both"/>
        <w:rPr>
          <w:lang w:val="de-DE"/>
        </w:rPr>
      </w:pPr>
      <w:r w:rsidRPr="004676F5">
        <w:rPr>
          <w:lang w:val="de-DE"/>
        </w:rPr>
        <w:br/>
      </w:r>
      <w:r w:rsidRPr="004676F5">
        <w:rPr>
          <w:lang w:val="de-DE"/>
        </w:rPr>
        <w:tab/>
        <w:t xml:space="preserve">Zu dem Zeitpunkt, an dem der König das Statut der Geräte und Träger bestimmt, legt </w:t>
      </w:r>
      <w:r w:rsidRPr="004676F5">
        <w:rPr>
          <w:lang w:val="de-DE"/>
        </w:rPr>
        <w:lastRenderedPageBreak/>
        <w:t>Er durch einen im Ministerrat beratenen Königlichen Erlass ebenfalls die in Artikel XI.318/7 erwähnte Vergütung fest.</w:t>
      </w:r>
    </w:p>
    <w:p w14:paraId="3566D6E0" w14:textId="77777777" w:rsidR="009B004F" w:rsidRPr="004676F5" w:rsidRDefault="009B004F" w:rsidP="009B004F">
      <w:pPr>
        <w:jc w:val="both"/>
        <w:rPr>
          <w:lang w:val="de-DE"/>
        </w:rPr>
      </w:pPr>
      <w:r w:rsidRPr="004676F5">
        <w:rPr>
          <w:lang w:val="de-DE"/>
        </w:rPr>
        <w:br/>
      </w:r>
      <w:r w:rsidRPr="004676F5">
        <w:rPr>
          <w:lang w:val="de-DE"/>
        </w:rPr>
        <w:tab/>
        <w:t>Diese Vergütung wird pro Kategorie technisch ähnlicher Geräte und Träger festgelegt.</w:t>
      </w:r>
    </w:p>
    <w:p w14:paraId="454E143C" w14:textId="77777777" w:rsidR="009B004F" w:rsidRPr="004676F5" w:rsidRDefault="009B004F" w:rsidP="009B004F">
      <w:pPr>
        <w:jc w:val="both"/>
        <w:rPr>
          <w:lang w:val="de-DE"/>
        </w:rPr>
      </w:pPr>
      <w:r w:rsidRPr="004676F5">
        <w:rPr>
          <w:lang w:val="de-DE"/>
        </w:rPr>
        <w:br/>
      </w:r>
      <w:r w:rsidRPr="004676F5">
        <w:rPr>
          <w:lang w:val="de-DE"/>
        </w:rPr>
        <w:tab/>
        <w:t>Für Geräte, die offensichtlich für die Vervielfältigung zu privaten Zwecken von Ausgaben benutzt werden und einen Träger dauerhaft beinhalten, muss die Vergütung nur einmal entrichtet werden.</w:t>
      </w:r>
    </w:p>
    <w:p w14:paraId="5F6B18DD" w14:textId="77777777" w:rsidR="009B004F" w:rsidRPr="004676F5" w:rsidRDefault="009B004F" w:rsidP="009B004F">
      <w:pPr>
        <w:jc w:val="both"/>
        <w:rPr>
          <w:lang w:val="de-DE"/>
        </w:rPr>
      </w:pPr>
      <w:r w:rsidRPr="004676F5">
        <w:rPr>
          <w:lang w:val="de-DE"/>
        </w:rPr>
        <w:br/>
      </w:r>
      <w:r w:rsidRPr="004676F5">
        <w:rPr>
          <w:lang w:val="de-DE"/>
        </w:rPr>
        <w:tab/>
        <w:t>Für die Festlegung dieser Vergütung wird vor allem der Tatsache, ob die in den Artikeln I.13 Nr. 7, XI.291 und XV.69 erwähnten technischen Maßnahmen auf die betreffenden Ausgaben angewandt werden, Rechnung getragen.</w:t>
      </w:r>
    </w:p>
    <w:p w14:paraId="2AA5B2AC" w14:textId="77777777" w:rsidR="009B004F" w:rsidRPr="004676F5" w:rsidRDefault="009B004F" w:rsidP="009B004F">
      <w:pPr>
        <w:jc w:val="both"/>
        <w:rPr>
          <w:lang w:val="de-DE"/>
        </w:rPr>
      </w:pPr>
      <w:r w:rsidRPr="004676F5">
        <w:rPr>
          <w:lang w:val="de-DE"/>
        </w:rPr>
        <w:br/>
      </w:r>
      <w:r w:rsidRPr="004676F5">
        <w:rPr>
          <w:lang w:val="de-DE"/>
        </w:rPr>
        <w:tab/>
        <w:t>Die Höhe dieser Vergütung kann alle drei Jahre revidiert werden.</w:t>
      </w:r>
    </w:p>
    <w:p w14:paraId="31C448E7" w14:textId="77777777" w:rsidR="009B004F" w:rsidRPr="004676F5" w:rsidRDefault="009B004F" w:rsidP="009B004F">
      <w:pPr>
        <w:jc w:val="both"/>
        <w:rPr>
          <w:lang w:val="de-DE"/>
        </w:rPr>
      </w:pPr>
      <w:r w:rsidRPr="004676F5">
        <w:rPr>
          <w:lang w:val="de-DE"/>
        </w:rPr>
        <w:br/>
      </w:r>
      <w:r w:rsidRPr="004676F5">
        <w:rPr>
          <w:lang w:val="de-DE"/>
        </w:rPr>
        <w:tab/>
        <w:t>Haben die Bedingungen, die die Festlegung der Höhe der Vergütung gerechtfertigt haben, eine offensichtliche und dauerhafte Veränderung erfahren, kann die Höhe der Vergütung vor Ablauf des Zeitraums von drei Jahren revidiert werden.</w:t>
      </w:r>
    </w:p>
    <w:p w14:paraId="522D8648" w14:textId="77777777" w:rsidR="009B004F" w:rsidRPr="004676F5" w:rsidRDefault="009B004F" w:rsidP="009B004F">
      <w:pPr>
        <w:jc w:val="both"/>
        <w:rPr>
          <w:lang w:val="de-DE"/>
        </w:rPr>
      </w:pPr>
      <w:r w:rsidRPr="004676F5">
        <w:rPr>
          <w:lang w:val="de-DE"/>
        </w:rPr>
        <w:br/>
      </w:r>
      <w:r w:rsidRPr="004676F5">
        <w:rPr>
          <w:lang w:val="de-DE"/>
        </w:rPr>
        <w:tab/>
        <w:t>Revidiert der König eine Vergütung binnen dem Zeitraum von drei Jahren, begründet Er seine Entscheidung mit den veränderten Ausgangsbedingungen.</w:t>
      </w:r>
    </w:p>
    <w:p w14:paraId="69BF7EB6" w14:textId="77777777" w:rsidR="009B004F" w:rsidRPr="004676F5" w:rsidRDefault="009B004F" w:rsidP="009B004F">
      <w:pPr>
        <w:jc w:val="both"/>
        <w:rPr>
          <w:lang w:val="de-DE"/>
        </w:rPr>
      </w:pPr>
      <w:r w:rsidRPr="004676F5">
        <w:rPr>
          <w:lang w:val="de-DE"/>
        </w:rPr>
        <w:br/>
      </w:r>
      <w:r w:rsidRPr="004676F5">
        <w:rPr>
          <w:lang w:val="de-DE"/>
        </w:rPr>
        <w:tab/>
        <w:t>Die Tatsache, dass technische Maßnahmen nicht benutzt wurden, darf den in Artikel XI.318/7 erwähnten Anspruch auf Vergütung nicht beeinträchtigen.]</w:t>
      </w:r>
    </w:p>
    <w:p w14:paraId="578DB05D" w14:textId="77777777" w:rsidR="009B004F" w:rsidRPr="004676F5" w:rsidRDefault="009B004F" w:rsidP="009B004F">
      <w:pPr>
        <w:jc w:val="both"/>
        <w:rPr>
          <w:lang w:val="de-DE"/>
        </w:rPr>
      </w:pPr>
    </w:p>
    <w:p w14:paraId="7EAEA639" w14:textId="04E3274A" w:rsidR="009B004F" w:rsidRPr="004676F5" w:rsidRDefault="009B004F" w:rsidP="009B004F">
      <w:pPr>
        <w:jc w:val="both"/>
        <w:rPr>
          <w:i/>
          <w:iCs/>
          <w:lang w:val="de-DE"/>
        </w:rPr>
      </w:pPr>
      <w:r w:rsidRPr="004676F5">
        <w:rPr>
          <w:i/>
          <w:iCs/>
          <w:lang w:val="de-DE"/>
        </w:rPr>
        <w:t>[Art. XI.318/8 eingefügt durch Art. 4 des G. vom 2. Mai 2019 (II) (B.S. vom 20. Mai 2019)]</w:t>
      </w:r>
    </w:p>
    <w:p w14:paraId="657AFC68" w14:textId="77777777" w:rsidR="009B004F" w:rsidRPr="004676F5" w:rsidRDefault="009B004F" w:rsidP="009B004F">
      <w:pPr>
        <w:jc w:val="both"/>
        <w:rPr>
          <w:lang w:val="de-DE"/>
        </w:rPr>
      </w:pPr>
    </w:p>
    <w:p w14:paraId="2F547D79" w14:textId="77777777" w:rsidR="009B004F" w:rsidRPr="004676F5" w:rsidRDefault="009B004F" w:rsidP="009B004F">
      <w:pPr>
        <w:jc w:val="both"/>
        <w:rPr>
          <w:lang w:val="de-DE"/>
        </w:rPr>
      </w:pPr>
    </w:p>
    <w:p w14:paraId="1D6CF072" w14:textId="628C882E" w:rsidR="009B004F" w:rsidRPr="004676F5" w:rsidRDefault="009B004F" w:rsidP="009B004F">
      <w:pPr>
        <w:jc w:val="both"/>
        <w:rPr>
          <w:lang w:val="de-DE"/>
        </w:rPr>
      </w:pPr>
      <w:r w:rsidRPr="004676F5">
        <w:rPr>
          <w:lang w:val="de-DE"/>
        </w:rPr>
        <w:tab/>
        <w:t>[</w:t>
      </w:r>
      <w:r w:rsidRPr="004676F5">
        <w:rPr>
          <w:b/>
          <w:bCs/>
          <w:lang w:val="de-DE"/>
        </w:rPr>
        <w:t>Art. XI.318/9</w:t>
      </w:r>
      <w:r w:rsidRPr="004676F5">
        <w:rPr>
          <w:lang w:val="de-DE"/>
        </w:rPr>
        <w:t> </w:t>
      </w:r>
      <w:r w:rsidR="005B7A5C" w:rsidRPr="004676F5">
        <w:rPr>
          <w:lang w:val="de-DE"/>
        </w:rPr>
        <w:t>- </w:t>
      </w:r>
      <w:r w:rsidRPr="004676F5">
        <w:rPr>
          <w:lang w:val="de-DE"/>
        </w:rPr>
        <w:t>Artikel XI.233 ist entsprechend anwendbar auf die Vergütung von Verlegern für die Vervielfältigung zu privaten Zwecken ihrer Ausgaben.]</w:t>
      </w:r>
    </w:p>
    <w:p w14:paraId="5AC5AD5C" w14:textId="77777777" w:rsidR="009B004F" w:rsidRPr="004676F5" w:rsidRDefault="009B004F" w:rsidP="009B004F">
      <w:pPr>
        <w:jc w:val="both"/>
        <w:rPr>
          <w:lang w:val="de-DE"/>
        </w:rPr>
      </w:pPr>
    </w:p>
    <w:p w14:paraId="34C95B23" w14:textId="1DF0DB52" w:rsidR="009B004F" w:rsidRPr="004676F5" w:rsidRDefault="009B004F" w:rsidP="009B004F">
      <w:pPr>
        <w:jc w:val="both"/>
        <w:rPr>
          <w:i/>
          <w:iCs/>
          <w:lang w:val="de-DE"/>
        </w:rPr>
      </w:pPr>
      <w:r w:rsidRPr="004676F5">
        <w:rPr>
          <w:i/>
          <w:iCs/>
          <w:lang w:val="de-DE"/>
        </w:rPr>
        <w:t>[Art. XI.318/9 eingefügt durch Art. 5 des G. vom 2. Mai 2019 (II) (B.S. vom 20. Mai 2019)]</w:t>
      </w:r>
    </w:p>
    <w:p w14:paraId="775116B5" w14:textId="77777777" w:rsidR="009B004F" w:rsidRPr="004676F5" w:rsidRDefault="009B004F" w:rsidP="009B004F">
      <w:pPr>
        <w:jc w:val="both"/>
        <w:rPr>
          <w:lang w:val="de-DE"/>
        </w:rPr>
      </w:pPr>
    </w:p>
    <w:p w14:paraId="63BCEC5F" w14:textId="797732ED" w:rsidR="009B004F" w:rsidRPr="004676F5" w:rsidRDefault="009B004F" w:rsidP="009B004F">
      <w:pPr>
        <w:jc w:val="both"/>
        <w:rPr>
          <w:lang w:val="de-DE"/>
        </w:rPr>
      </w:pPr>
      <w:r w:rsidRPr="004676F5">
        <w:rPr>
          <w:lang w:val="de-DE"/>
        </w:rPr>
        <w:br/>
      </w:r>
      <w:r w:rsidRPr="004676F5">
        <w:rPr>
          <w:lang w:val="de-DE"/>
        </w:rPr>
        <w:tab/>
        <w:t>[</w:t>
      </w:r>
      <w:r w:rsidRPr="004676F5">
        <w:rPr>
          <w:b/>
          <w:bCs/>
          <w:lang w:val="de-DE"/>
        </w:rPr>
        <w:t>Art. XI.318/10</w:t>
      </w:r>
      <w:r w:rsidRPr="004676F5">
        <w:rPr>
          <w:lang w:val="de-DE"/>
        </w:rPr>
        <w:t> </w:t>
      </w:r>
      <w:r w:rsidR="005B7A5C" w:rsidRPr="004676F5">
        <w:rPr>
          <w:lang w:val="de-DE"/>
        </w:rPr>
        <w:t>- </w:t>
      </w:r>
      <w:r w:rsidRPr="004676F5">
        <w:rPr>
          <w:lang w:val="de-DE"/>
        </w:rPr>
        <w:t>Die vom König gemäß Artikel XI.318/7 bestimmte Verwertungs</w:t>
      </w:r>
      <w:r w:rsidRPr="004676F5">
        <w:rPr>
          <w:lang w:val="de-DE"/>
        </w:rPr>
        <w:softHyphen/>
        <w:t>gesellschaft kann Auskünfte, die zur Ausführung ihres Auftrags gemäß den Artikeln XI.281 und XV.113 erforderlich sind, erhalten bei:</w:t>
      </w:r>
    </w:p>
    <w:p w14:paraId="61C4E8D4" w14:textId="5849FA54" w:rsidR="009B004F" w:rsidRPr="004676F5" w:rsidRDefault="009B004F" w:rsidP="009B004F">
      <w:pPr>
        <w:jc w:val="both"/>
        <w:rPr>
          <w:lang w:val="de-DE"/>
        </w:rPr>
      </w:pPr>
      <w:r w:rsidRPr="004676F5">
        <w:rPr>
          <w:lang w:val="de-DE"/>
        </w:rPr>
        <w:br/>
      </w:r>
      <w:r w:rsidRPr="004676F5">
        <w:rPr>
          <w:lang w:val="de-DE"/>
        </w:rPr>
        <w:tab/>
        <w:t>1. der Zoll</w:t>
      </w:r>
      <w:r w:rsidR="005B7A5C" w:rsidRPr="004676F5">
        <w:rPr>
          <w:lang w:val="de-DE"/>
        </w:rPr>
        <w:t>- </w:t>
      </w:r>
      <w:r w:rsidRPr="004676F5">
        <w:rPr>
          <w:lang w:val="de-DE"/>
        </w:rPr>
        <w:t>und Akzisenverwaltung in Anwendung von Artikel 320 des allgemeinen Gesetzes vom 18. Juli 1977 über Zölle und Akzisen,</w:t>
      </w:r>
    </w:p>
    <w:p w14:paraId="5A24F191" w14:textId="77777777" w:rsidR="009B004F" w:rsidRPr="004676F5" w:rsidRDefault="009B004F" w:rsidP="009B004F">
      <w:pPr>
        <w:jc w:val="both"/>
        <w:rPr>
          <w:lang w:val="de-DE"/>
        </w:rPr>
      </w:pPr>
      <w:r w:rsidRPr="004676F5">
        <w:rPr>
          <w:lang w:val="de-DE"/>
        </w:rPr>
        <w:br/>
      </w:r>
      <w:r w:rsidRPr="004676F5">
        <w:rPr>
          <w:lang w:val="de-DE"/>
        </w:rPr>
        <w:tab/>
        <w:t>2. der Mehrwertsteuerverwaltung in Anwendung von Artikel 93</w:t>
      </w:r>
      <w:r w:rsidRPr="004676F5">
        <w:rPr>
          <w:i/>
          <w:iCs/>
          <w:lang w:val="de-DE"/>
        </w:rPr>
        <w:t>bis</w:t>
      </w:r>
      <w:r w:rsidRPr="004676F5">
        <w:rPr>
          <w:lang w:val="de-DE"/>
        </w:rPr>
        <w:t xml:space="preserve"> des Mehrwertsteuer</w:t>
      </w:r>
      <w:r w:rsidRPr="004676F5">
        <w:rPr>
          <w:lang w:val="de-DE"/>
        </w:rPr>
        <w:softHyphen/>
        <w:t>gesetzbuches vom 3. Juli 1969 und</w:t>
      </w:r>
    </w:p>
    <w:p w14:paraId="56543EBC" w14:textId="378B7BE6" w:rsidR="009B004F" w:rsidRPr="004676F5" w:rsidRDefault="009B004F" w:rsidP="009B004F">
      <w:pPr>
        <w:jc w:val="both"/>
        <w:rPr>
          <w:lang w:val="de-DE"/>
        </w:rPr>
      </w:pPr>
      <w:r w:rsidRPr="004676F5">
        <w:rPr>
          <w:lang w:val="de-DE"/>
        </w:rPr>
        <w:br/>
      </w:r>
      <w:r w:rsidRPr="004676F5">
        <w:rPr>
          <w:lang w:val="de-DE"/>
        </w:rPr>
        <w:tab/>
        <w:t>3. dem Landesamt für soziale Sicherheit gemäß dem Gesetz vom 15. Januar 1990 über die Errichtung und Organisation einer Zentralen Datenbank der sozialen Sicherheit.]</w:t>
      </w:r>
    </w:p>
    <w:p w14:paraId="78F7A42F" w14:textId="77777777" w:rsidR="009B004F" w:rsidRPr="004676F5" w:rsidRDefault="009B004F" w:rsidP="009B004F">
      <w:pPr>
        <w:jc w:val="both"/>
        <w:rPr>
          <w:lang w:val="de-DE"/>
        </w:rPr>
      </w:pPr>
    </w:p>
    <w:p w14:paraId="32425D59" w14:textId="77777777" w:rsidR="009B004F" w:rsidRPr="004676F5" w:rsidRDefault="009B004F" w:rsidP="009B004F">
      <w:pPr>
        <w:jc w:val="both"/>
        <w:rPr>
          <w:i/>
          <w:iCs/>
          <w:lang w:val="de-DE"/>
        </w:rPr>
      </w:pPr>
      <w:r w:rsidRPr="004676F5">
        <w:rPr>
          <w:i/>
          <w:iCs/>
          <w:lang w:val="de-DE"/>
        </w:rPr>
        <w:t>[Art. XI.318/10 eingefügt durch Art. 6 des G. vom 2. Mai 2019 (II) (B.S. vom 20. Mai 2019)]</w:t>
      </w:r>
    </w:p>
    <w:p w14:paraId="2CA373DE" w14:textId="77777777" w:rsidR="009B004F" w:rsidRPr="004676F5" w:rsidRDefault="009B004F" w:rsidP="009B004F">
      <w:pPr>
        <w:jc w:val="both"/>
        <w:rPr>
          <w:i/>
          <w:iCs/>
          <w:lang w:val="de-DE"/>
        </w:rPr>
      </w:pPr>
    </w:p>
    <w:p w14:paraId="564C1834" w14:textId="77777777" w:rsidR="009B004F" w:rsidRPr="004676F5" w:rsidRDefault="009B004F" w:rsidP="009B004F">
      <w:pPr>
        <w:jc w:val="both"/>
        <w:rPr>
          <w:i/>
          <w:iCs/>
          <w:lang w:val="de-DE"/>
        </w:rPr>
      </w:pPr>
    </w:p>
    <w:p w14:paraId="160F3256" w14:textId="0F87F53E" w:rsidR="009B004F" w:rsidRPr="004676F5" w:rsidRDefault="009B004F" w:rsidP="009B004F">
      <w:pPr>
        <w:jc w:val="both"/>
        <w:rPr>
          <w:lang w:val="de-DE"/>
        </w:rPr>
      </w:pPr>
      <w:r w:rsidRPr="004676F5">
        <w:rPr>
          <w:lang w:val="de-DE"/>
        </w:rPr>
        <w:lastRenderedPageBreak/>
        <w:tab/>
        <w:t>[</w:t>
      </w:r>
      <w:r w:rsidRPr="004676F5">
        <w:rPr>
          <w:b/>
          <w:bCs/>
          <w:lang w:val="de-DE"/>
        </w:rPr>
        <w:t>Art. XI.318/11</w:t>
      </w:r>
      <w:r w:rsidRPr="004676F5">
        <w:rPr>
          <w:lang w:val="de-DE"/>
        </w:rPr>
        <w:t> </w:t>
      </w:r>
      <w:r w:rsidR="005B7A5C" w:rsidRPr="004676F5">
        <w:rPr>
          <w:lang w:val="de-DE"/>
        </w:rPr>
        <w:t>- </w:t>
      </w:r>
      <w:r w:rsidRPr="004676F5">
        <w:rPr>
          <w:lang w:val="de-DE"/>
        </w:rPr>
        <w:t>Unbeschadet der Artikel XI.281 und XV.113 kann die gemäß Artikel XI.318/7 bestimmte Verwertungsgesellschaft der Zoll</w:t>
      </w:r>
      <w:r w:rsidR="005B7A5C" w:rsidRPr="004676F5">
        <w:rPr>
          <w:lang w:val="de-DE"/>
        </w:rPr>
        <w:t>- </w:t>
      </w:r>
      <w:r w:rsidRPr="004676F5">
        <w:rPr>
          <w:lang w:val="de-DE"/>
        </w:rPr>
        <w:t>und Akzisenverwaltung und der Mehrwertsteuerverwaltung auf deren Antrag hin Auskünfte erteilen.</w:t>
      </w:r>
    </w:p>
    <w:p w14:paraId="600AC13E" w14:textId="77777777" w:rsidR="009B004F" w:rsidRPr="004676F5" w:rsidRDefault="009B004F" w:rsidP="009B004F">
      <w:pPr>
        <w:jc w:val="both"/>
        <w:rPr>
          <w:lang w:val="de-DE"/>
        </w:rPr>
      </w:pPr>
      <w:r w:rsidRPr="004676F5">
        <w:rPr>
          <w:lang w:val="de-DE"/>
        </w:rPr>
        <w:br/>
      </w:r>
      <w:r w:rsidRPr="004676F5">
        <w:rPr>
          <w:lang w:val="de-DE"/>
        </w:rPr>
        <w:tab/>
        <w:t>Unbeschadet der Artikel XI.281 und XV.113 kann die bestimmte Verwertungs</w:t>
      </w:r>
      <w:r w:rsidRPr="004676F5">
        <w:rPr>
          <w:lang w:val="de-DE"/>
        </w:rPr>
        <w:softHyphen/>
        <w:t>gesellschaft folgenden Stellen Auskünfte erteilen und von ihnen erhalten:</w:t>
      </w:r>
    </w:p>
    <w:p w14:paraId="17A4439D" w14:textId="77777777" w:rsidR="009B004F" w:rsidRPr="004676F5" w:rsidRDefault="009B004F" w:rsidP="009B004F">
      <w:pPr>
        <w:jc w:val="both"/>
        <w:rPr>
          <w:lang w:val="de-DE"/>
        </w:rPr>
      </w:pPr>
      <w:r w:rsidRPr="004676F5">
        <w:rPr>
          <w:lang w:val="de-DE"/>
        </w:rPr>
        <w:br/>
      </w:r>
      <w:r w:rsidRPr="004676F5">
        <w:rPr>
          <w:lang w:val="de-DE"/>
        </w:rPr>
        <w:tab/>
        <w:t>1. dem Dienst Überwachung und Vermittlung des FÖD Wirtschaft,</w:t>
      </w:r>
    </w:p>
    <w:p w14:paraId="13C29A95" w14:textId="77777777" w:rsidR="009B004F" w:rsidRPr="004676F5" w:rsidRDefault="009B004F" w:rsidP="009B004F">
      <w:pPr>
        <w:jc w:val="both"/>
        <w:rPr>
          <w:lang w:val="de-DE"/>
        </w:rPr>
      </w:pPr>
    </w:p>
    <w:p w14:paraId="2BB0F09D" w14:textId="3A906241" w:rsidR="009B004F" w:rsidRPr="004676F5" w:rsidRDefault="009B004F" w:rsidP="009B004F">
      <w:pPr>
        <w:jc w:val="both"/>
        <w:rPr>
          <w:lang w:val="de-DE"/>
        </w:rPr>
      </w:pPr>
      <w:r w:rsidRPr="004676F5">
        <w:rPr>
          <w:lang w:val="de-DE"/>
        </w:rPr>
        <w:tab/>
        <w:t>2. den Verwertungsgesellschaften und Organisationen für die kollektive Rechtewahr</w:t>
      </w:r>
      <w:r w:rsidRPr="004676F5">
        <w:rPr>
          <w:lang w:val="de-DE"/>
        </w:rPr>
        <w:softHyphen/>
        <w:t>nehmung, die eine ähnliche Tätigkeit im Ausland ausüben, unter der Bedingung der Gegenseitigkeit.]</w:t>
      </w:r>
    </w:p>
    <w:p w14:paraId="7C043CDF" w14:textId="77777777" w:rsidR="009B004F" w:rsidRPr="004676F5" w:rsidRDefault="009B004F" w:rsidP="009B004F">
      <w:pPr>
        <w:jc w:val="both"/>
        <w:rPr>
          <w:lang w:val="de-DE"/>
        </w:rPr>
      </w:pPr>
    </w:p>
    <w:p w14:paraId="3E0B9080" w14:textId="096F1E6F" w:rsidR="009B004F" w:rsidRPr="004676F5" w:rsidRDefault="009B004F" w:rsidP="009B004F">
      <w:pPr>
        <w:jc w:val="both"/>
        <w:rPr>
          <w:i/>
          <w:iCs/>
          <w:lang w:val="de-DE"/>
        </w:rPr>
      </w:pPr>
      <w:r w:rsidRPr="004676F5">
        <w:rPr>
          <w:i/>
          <w:iCs/>
          <w:lang w:val="de-DE"/>
        </w:rPr>
        <w:t>[Art. XI.318/11 eingefügt durch Art. 7 des G. vom 2. Mai 2019 (II) (B.S. vom 20. Mai 2019)]</w:t>
      </w:r>
    </w:p>
    <w:p w14:paraId="2252A9AB" w14:textId="13A625EF" w:rsidR="009B004F" w:rsidRPr="004676F5" w:rsidRDefault="009B004F" w:rsidP="009B004F">
      <w:pPr>
        <w:jc w:val="both"/>
        <w:rPr>
          <w:lang w:val="de-DE"/>
        </w:rPr>
      </w:pPr>
      <w:r w:rsidRPr="004676F5">
        <w:rPr>
          <w:lang w:val="de-DE"/>
        </w:rPr>
        <w:br/>
      </w:r>
      <w:r w:rsidRPr="004676F5">
        <w:rPr>
          <w:lang w:val="de-DE"/>
        </w:rPr>
        <w:br/>
      </w:r>
      <w:r w:rsidRPr="004676F5">
        <w:rPr>
          <w:lang w:val="de-DE"/>
        </w:rPr>
        <w:tab/>
        <w:t>[</w:t>
      </w:r>
      <w:r w:rsidRPr="004676F5">
        <w:rPr>
          <w:b/>
          <w:bCs/>
          <w:lang w:val="de-DE"/>
        </w:rPr>
        <w:t>Art. XI.318/12</w:t>
      </w:r>
      <w:r w:rsidRPr="004676F5">
        <w:rPr>
          <w:lang w:val="de-DE"/>
        </w:rPr>
        <w:t> </w:t>
      </w:r>
      <w:r w:rsidR="005B7A5C" w:rsidRPr="004676F5">
        <w:rPr>
          <w:lang w:val="de-DE"/>
        </w:rPr>
        <w:t>- </w:t>
      </w:r>
      <w:r w:rsidRPr="004676F5">
        <w:rPr>
          <w:lang w:val="de-DE"/>
        </w:rPr>
        <w:t>Die Bestimmungen von Buch I Kapitel 9, Buch XI Titel 5 und 9, Buch XV und Buch XVII sind entsprechend anwendbar auf die Vergütung von Verlegern für die Vervielfältigung zu privaten Zwecken ihrer Ausgaben, wobei der Begriff "verwandte Schutzrechte" so zu lesen ist, dass er den "Anspruch der Verleger auf eine Vergütung für die Vervielfältigung zu privaten Zwecken ihrer Ausgaben" deckt.]</w:t>
      </w:r>
    </w:p>
    <w:p w14:paraId="3AFEE0E2" w14:textId="77777777" w:rsidR="009B004F" w:rsidRPr="004676F5" w:rsidRDefault="009B004F" w:rsidP="009B004F">
      <w:pPr>
        <w:jc w:val="both"/>
        <w:rPr>
          <w:lang w:val="de-DE"/>
        </w:rPr>
      </w:pPr>
    </w:p>
    <w:p w14:paraId="679B0CC4" w14:textId="266644AC" w:rsidR="009B004F" w:rsidRPr="004676F5" w:rsidRDefault="009B004F" w:rsidP="009B004F">
      <w:pPr>
        <w:jc w:val="both"/>
        <w:rPr>
          <w:i/>
          <w:iCs/>
          <w:lang w:val="de-DE"/>
        </w:rPr>
      </w:pPr>
      <w:r w:rsidRPr="004676F5">
        <w:rPr>
          <w:i/>
          <w:iCs/>
          <w:lang w:val="de-DE"/>
        </w:rPr>
        <w:t>[Art. XI.318/12 eingefügt durch Art. 8 des G. vom 2. Mai 2019 (II) (B.S. vom 20. Mai 2019)]</w:t>
      </w:r>
      <w:r w:rsidRPr="004676F5">
        <w:rPr>
          <w:i/>
          <w:iCs/>
          <w:lang w:val="de-DE"/>
        </w:rPr>
        <w:br w:type="page"/>
      </w:r>
    </w:p>
    <w:p w14:paraId="51ED63E3" w14:textId="5F98EDB7" w:rsidR="001527B1" w:rsidRPr="004676F5" w:rsidRDefault="001527B1" w:rsidP="001527B1">
      <w:pPr>
        <w:jc w:val="center"/>
        <w:rPr>
          <w:b/>
          <w:lang w:val="de-DE"/>
        </w:rPr>
      </w:pPr>
      <w:r w:rsidRPr="004676F5">
        <w:rPr>
          <w:b/>
          <w:lang w:val="de-DE"/>
        </w:rPr>
        <w:lastRenderedPageBreak/>
        <w:t>TITEL 8 </w:t>
      </w:r>
      <w:r w:rsidR="005B7A5C" w:rsidRPr="004676F5">
        <w:rPr>
          <w:b/>
          <w:lang w:val="de-DE"/>
        </w:rPr>
        <w:t>- </w:t>
      </w:r>
      <w:r w:rsidRPr="004676F5">
        <w:rPr>
          <w:b/>
          <w:i/>
          <w:lang w:val="de-DE"/>
        </w:rPr>
        <w:t>Topographien von Halbleitererzeugnissen</w:t>
      </w:r>
    </w:p>
    <w:p w14:paraId="1B1DD17C" w14:textId="77777777" w:rsidR="001527B1" w:rsidRPr="004676F5" w:rsidRDefault="001527B1" w:rsidP="001527B1">
      <w:pPr>
        <w:ind w:firstLine="708"/>
        <w:jc w:val="center"/>
        <w:rPr>
          <w:lang w:val="de-DE"/>
        </w:rPr>
      </w:pPr>
    </w:p>
    <w:p w14:paraId="61FA499A" w14:textId="77777777" w:rsidR="00355502" w:rsidRPr="004676F5" w:rsidRDefault="00355502" w:rsidP="001527B1">
      <w:pPr>
        <w:ind w:firstLine="708"/>
        <w:jc w:val="center"/>
        <w:rPr>
          <w:lang w:val="de-DE"/>
        </w:rPr>
      </w:pPr>
    </w:p>
    <w:p w14:paraId="59E684B1" w14:textId="3D20D357" w:rsidR="001527B1" w:rsidRPr="004676F5" w:rsidRDefault="001527B1" w:rsidP="001527B1">
      <w:pPr>
        <w:jc w:val="center"/>
        <w:rPr>
          <w:lang w:val="de-DE"/>
        </w:rPr>
      </w:pPr>
      <w:r w:rsidRPr="004676F5">
        <w:rPr>
          <w:lang w:val="de-DE"/>
        </w:rPr>
        <w:t>KAPITEL 1 </w:t>
      </w:r>
      <w:r w:rsidR="005B7A5C" w:rsidRPr="004676F5">
        <w:rPr>
          <w:lang w:val="de-DE"/>
        </w:rPr>
        <w:t>- </w:t>
      </w:r>
      <w:r w:rsidRPr="004676F5">
        <w:rPr>
          <w:i/>
          <w:lang w:val="de-DE"/>
        </w:rPr>
        <w:t>Ausschließliches Recht auf eine Topographie eines Halbleitererzeugnisses</w:t>
      </w:r>
    </w:p>
    <w:p w14:paraId="7B7D5BC7" w14:textId="77777777" w:rsidR="001527B1" w:rsidRPr="004676F5" w:rsidRDefault="001527B1" w:rsidP="001527B1">
      <w:pPr>
        <w:ind w:firstLine="708"/>
        <w:jc w:val="center"/>
        <w:rPr>
          <w:lang w:val="de-DE"/>
        </w:rPr>
      </w:pPr>
    </w:p>
    <w:p w14:paraId="1336ED90" w14:textId="77777777" w:rsidR="00355502" w:rsidRPr="004676F5" w:rsidRDefault="00355502" w:rsidP="001527B1">
      <w:pPr>
        <w:ind w:firstLine="708"/>
        <w:jc w:val="center"/>
        <w:rPr>
          <w:lang w:val="de-DE"/>
        </w:rPr>
      </w:pPr>
    </w:p>
    <w:p w14:paraId="3D4461FD" w14:textId="715419A3" w:rsidR="001527B1" w:rsidRPr="004676F5" w:rsidRDefault="001527B1" w:rsidP="001527B1">
      <w:pPr>
        <w:jc w:val="center"/>
        <w:rPr>
          <w:lang w:val="de-DE"/>
        </w:rPr>
      </w:pPr>
      <w:r w:rsidRPr="004676F5">
        <w:rPr>
          <w:i/>
          <w:lang w:val="de-DE"/>
        </w:rPr>
        <w:t>Abschnitt 1 </w:t>
      </w:r>
      <w:r w:rsidR="005B7A5C" w:rsidRPr="004676F5">
        <w:rPr>
          <w:lang w:val="de-DE"/>
        </w:rPr>
        <w:t>- </w:t>
      </w:r>
      <w:r w:rsidRPr="004676F5">
        <w:rPr>
          <w:lang w:val="de-DE"/>
        </w:rPr>
        <w:t>Gegenstand und Inhaber des ausschließlichen Rechts</w:t>
      </w:r>
    </w:p>
    <w:p w14:paraId="036FF4FD" w14:textId="77777777" w:rsidR="001527B1" w:rsidRPr="004676F5" w:rsidRDefault="001527B1" w:rsidP="001527B1">
      <w:pPr>
        <w:ind w:firstLine="708"/>
        <w:jc w:val="both"/>
        <w:rPr>
          <w:lang w:val="de-DE"/>
        </w:rPr>
      </w:pPr>
    </w:p>
    <w:p w14:paraId="79164BB9" w14:textId="77777777" w:rsidR="00355502" w:rsidRPr="004676F5" w:rsidRDefault="00355502" w:rsidP="001527B1">
      <w:pPr>
        <w:ind w:firstLine="708"/>
        <w:jc w:val="both"/>
        <w:rPr>
          <w:lang w:val="de-DE"/>
        </w:rPr>
      </w:pPr>
    </w:p>
    <w:p w14:paraId="6763F2CA" w14:textId="3CDEE5F3" w:rsidR="001527B1" w:rsidRPr="004676F5" w:rsidRDefault="00BE0A56" w:rsidP="001527B1">
      <w:pPr>
        <w:ind w:firstLine="708"/>
        <w:jc w:val="both"/>
        <w:rPr>
          <w:lang w:val="de-DE"/>
        </w:rPr>
      </w:pPr>
      <w:r w:rsidRPr="004676F5">
        <w:rPr>
          <w:b/>
          <w:lang w:val="de-DE"/>
        </w:rPr>
        <w:t>Art. </w:t>
      </w:r>
      <w:r w:rsidR="001527B1" w:rsidRPr="004676F5">
        <w:rPr>
          <w:b/>
          <w:lang w:val="de-DE"/>
        </w:rPr>
        <w:t>XI.319</w:t>
      </w:r>
      <w:r w:rsidR="001527B1" w:rsidRPr="004676F5">
        <w:rPr>
          <w:lang w:val="de-DE"/>
        </w:rPr>
        <w:t> </w:t>
      </w:r>
      <w:r w:rsidR="005B7A5C" w:rsidRPr="004676F5">
        <w:rPr>
          <w:lang w:val="de-DE"/>
        </w:rPr>
        <w:t>- </w:t>
      </w:r>
      <w:r w:rsidR="001527B1" w:rsidRPr="004676F5">
        <w:rPr>
          <w:lang w:val="de-DE"/>
        </w:rPr>
        <w:t>Der Schöpfer einer Topographie eines Halbleitererzeugnisses hat das ausschließliche und zeitweilige Recht, sie nachzubilden und geschäftlich zu verwerten.</w:t>
      </w:r>
    </w:p>
    <w:p w14:paraId="00660F85" w14:textId="77777777" w:rsidR="001527B1" w:rsidRPr="004676F5" w:rsidRDefault="001527B1" w:rsidP="001527B1">
      <w:pPr>
        <w:ind w:firstLine="708"/>
        <w:jc w:val="both"/>
        <w:rPr>
          <w:lang w:val="de-DE"/>
        </w:rPr>
      </w:pPr>
    </w:p>
    <w:p w14:paraId="666E1683" w14:textId="77777777" w:rsidR="001527B1" w:rsidRPr="004676F5" w:rsidRDefault="001527B1" w:rsidP="001527B1">
      <w:pPr>
        <w:ind w:firstLine="708"/>
        <w:jc w:val="both"/>
        <w:rPr>
          <w:lang w:val="de-DE"/>
        </w:rPr>
      </w:pPr>
      <w:r w:rsidRPr="004676F5">
        <w:rPr>
          <w:lang w:val="de-DE"/>
        </w:rPr>
        <w:t>Für die Anwendung des vorliegenden Titels müssen die Begriffe Topographie, Halbleitererzeugnis und geschäftliche Verwertung im Sinne verstanden werden, wie er in der Richtlinie 87/54 des Rates der Europäischen Gemeinschaften vom 16. Dezember 1986 über den Rechtsschutz der Topographien von Halbleitererzeugnissen vorgesehen ist, oder im Sinne jeglicher Änderung, die vom Rat der Europäischen Union in Anwendung von Artikel 1 Absatz 2 dieser Richtlinie beschlossen wird.</w:t>
      </w:r>
    </w:p>
    <w:p w14:paraId="28629E72" w14:textId="77777777" w:rsidR="001527B1" w:rsidRPr="004676F5" w:rsidRDefault="001527B1" w:rsidP="001527B1">
      <w:pPr>
        <w:ind w:firstLine="708"/>
        <w:jc w:val="both"/>
        <w:rPr>
          <w:lang w:val="de-DE"/>
        </w:rPr>
      </w:pPr>
    </w:p>
    <w:p w14:paraId="6A655121" w14:textId="77777777" w:rsidR="00355502" w:rsidRPr="004676F5" w:rsidRDefault="00355502" w:rsidP="001527B1">
      <w:pPr>
        <w:ind w:firstLine="708"/>
        <w:jc w:val="both"/>
        <w:rPr>
          <w:lang w:val="de-DE"/>
        </w:rPr>
      </w:pPr>
    </w:p>
    <w:p w14:paraId="4BE65766" w14:textId="7EA0CE68" w:rsidR="001527B1" w:rsidRPr="004676F5" w:rsidRDefault="00BE0A56" w:rsidP="001527B1">
      <w:pPr>
        <w:ind w:firstLine="708"/>
        <w:jc w:val="both"/>
        <w:rPr>
          <w:lang w:val="de-DE"/>
        </w:rPr>
      </w:pPr>
      <w:r w:rsidRPr="004676F5">
        <w:rPr>
          <w:b/>
          <w:lang w:val="de-DE"/>
        </w:rPr>
        <w:t>Art. </w:t>
      </w:r>
      <w:r w:rsidR="001527B1" w:rsidRPr="004676F5">
        <w:rPr>
          <w:b/>
          <w:lang w:val="de-DE"/>
        </w:rPr>
        <w:t>XI.320</w:t>
      </w:r>
      <w:r w:rsidR="001527B1" w:rsidRPr="004676F5">
        <w:rPr>
          <w:lang w:val="de-DE"/>
        </w:rPr>
        <w:t> </w:t>
      </w:r>
      <w:r w:rsidR="005B7A5C" w:rsidRPr="004676F5">
        <w:rPr>
          <w:lang w:val="de-DE"/>
        </w:rPr>
        <w:t>- </w:t>
      </w:r>
      <w:r w:rsidR="001527B1" w:rsidRPr="004676F5">
        <w:rPr>
          <w:lang w:val="de-DE"/>
        </w:rPr>
        <w:t>Die Topographie eines Halbleitererzeugnisses wird unter der Voraus</w:t>
      </w:r>
      <w:r w:rsidR="001527B1" w:rsidRPr="004676F5">
        <w:rPr>
          <w:lang w:val="de-DE"/>
        </w:rPr>
        <w:softHyphen/>
        <w:t>setzung geschützt, dass sie das Ergebnis der eigenen geistigen Arbeit ihres Schöpfers und in der Halbleiterindustrie nicht alltäglich ist. Besteht die Topographie eines Halbleitererzeug</w:t>
      </w:r>
      <w:r w:rsidR="001527B1" w:rsidRPr="004676F5">
        <w:rPr>
          <w:lang w:val="de-DE"/>
        </w:rPr>
        <w:softHyphen/>
        <w:t>nisses aus Komponenten, die in der Halbleiterindustrie alltäglich sind, so wird sie nur insoweit geschützt, als die Kombination dieser Komponenten in ihrer Gesamtheit die zwei vorstehend genannten Voraussetzungen erfüllt.</w:t>
      </w:r>
    </w:p>
    <w:p w14:paraId="5EB3B9EC" w14:textId="77777777" w:rsidR="001527B1" w:rsidRPr="004676F5" w:rsidRDefault="001527B1" w:rsidP="001527B1">
      <w:pPr>
        <w:ind w:firstLine="708"/>
        <w:jc w:val="both"/>
        <w:rPr>
          <w:lang w:val="de-DE"/>
        </w:rPr>
      </w:pPr>
    </w:p>
    <w:p w14:paraId="2FF072B8" w14:textId="77777777" w:rsidR="00355502" w:rsidRPr="004676F5" w:rsidRDefault="00355502" w:rsidP="001527B1">
      <w:pPr>
        <w:ind w:firstLine="708"/>
        <w:jc w:val="both"/>
        <w:rPr>
          <w:lang w:val="de-DE"/>
        </w:rPr>
      </w:pPr>
    </w:p>
    <w:p w14:paraId="366DCA78" w14:textId="08B7181F" w:rsidR="001527B1" w:rsidRPr="004676F5" w:rsidRDefault="00BE0A56" w:rsidP="001527B1">
      <w:pPr>
        <w:ind w:firstLine="708"/>
        <w:jc w:val="both"/>
        <w:rPr>
          <w:lang w:val="de-DE"/>
        </w:rPr>
      </w:pPr>
      <w:r w:rsidRPr="004676F5">
        <w:rPr>
          <w:b/>
          <w:lang w:val="de-DE"/>
        </w:rPr>
        <w:t>Art. </w:t>
      </w:r>
      <w:r w:rsidR="001527B1" w:rsidRPr="004676F5">
        <w:rPr>
          <w:b/>
          <w:lang w:val="de-DE"/>
        </w:rPr>
        <w:t>XI.321</w:t>
      </w:r>
      <w:r w:rsidR="001527B1" w:rsidRPr="004676F5">
        <w:rPr>
          <w:lang w:val="de-DE"/>
        </w:rPr>
        <w:t> </w:t>
      </w:r>
      <w:r w:rsidR="005B7A5C" w:rsidRPr="004676F5">
        <w:rPr>
          <w:lang w:val="de-DE"/>
        </w:rPr>
        <w:t>- </w:t>
      </w:r>
      <w:r w:rsidR="001527B1" w:rsidRPr="004676F5">
        <w:rPr>
          <w:lang w:val="de-DE"/>
        </w:rPr>
        <w:t>Der durch vorliegenden Titel organisierte Schutz gilt nur für die Topo</w:t>
      </w:r>
      <w:r w:rsidR="001527B1" w:rsidRPr="004676F5">
        <w:rPr>
          <w:lang w:val="de-DE"/>
        </w:rPr>
        <w:softHyphen/>
        <w:t>graphie als solche und nicht für die in der Topographie enthaltenen Konzepte, Verfahren, Systeme, Techniken oder kodierten Informationen.</w:t>
      </w:r>
    </w:p>
    <w:p w14:paraId="2CFD3E54" w14:textId="77777777" w:rsidR="001527B1" w:rsidRPr="004676F5" w:rsidRDefault="001527B1" w:rsidP="001527B1">
      <w:pPr>
        <w:ind w:firstLine="708"/>
        <w:jc w:val="both"/>
        <w:rPr>
          <w:lang w:val="de-DE"/>
        </w:rPr>
      </w:pPr>
    </w:p>
    <w:p w14:paraId="0A4CE31A" w14:textId="77777777" w:rsidR="00355502" w:rsidRPr="004676F5" w:rsidRDefault="00355502" w:rsidP="001527B1">
      <w:pPr>
        <w:ind w:firstLine="708"/>
        <w:jc w:val="both"/>
        <w:rPr>
          <w:lang w:val="de-DE"/>
        </w:rPr>
      </w:pPr>
    </w:p>
    <w:p w14:paraId="42B113F8" w14:textId="4A5227C5" w:rsidR="001527B1" w:rsidRPr="004676F5" w:rsidRDefault="00BE0A56" w:rsidP="001527B1">
      <w:pPr>
        <w:ind w:firstLine="708"/>
        <w:jc w:val="both"/>
        <w:rPr>
          <w:lang w:val="de-DE"/>
        </w:rPr>
      </w:pPr>
      <w:r w:rsidRPr="004676F5">
        <w:rPr>
          <w:b/>
          <w:lang w:val="de-DE"/>
        </w:rPr>
        <w:t>Art. </w:t>
      </w:r>
      <w:r w:rsidR="001527B1" w:rsidRPr="004676F5">
        <w:rPr>
          <w:b/>
          <w:lang w:val="de-DE"/>
        </w:rPr>
        <w:t>XI.322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Wird eine Topographie eines Halbleitererzeugnisses von einem Arbeitnehmer in Ausführung seiner Funktion entwickelt, so gilt vorbehaltlich anders lautender Bestimmung der Arbeitgeber als Schöpfer.</w:t>
      </w:r>
    </w:p>
    <w:p w14:paraId="1E57DB6D" w14:textId="77777777" w:rsidR="001527B1" w:rsidRPr="004676F5" w:rsidRDefault="001527B1" w:rsidP="001527B1">
      <w:pPr>
        <w:ind w:firstLine="708"/>
        <w:jc w:val="both"/>
        <w:rPr>
          <w:lang w:val="de-DE"/>
        </w:rPr>
      </w:pPr>
    </w:p>
    <w:p w14:paraId="2B899F45" w14:textId="612B03D1"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Wird eine Topographie eines Halbleitererzeugnisses auf Bestellung entwickelt, so gilt vorbehaltlich anders lautender Bestimmung derjenige, der die Bestellung aufgegeben hat, als Schöpfer.</w:t>
      </w:r>
    </w:p>
    <w:p w14:paraId="59AFD628" w14:textId="77777777" w:rsidR="001527B1" w:rsidRPr="004676F5" w:rsidRDefault="001527B1" w:rsidP="001527B1">
      <w:pPr>
        <w:ind w:firstLine="708"/>
        <w:jc w:val="both"/>
        <w:rPr>
          <w:lang w:val="de-DE"/>
        </w:rPr>
      </w:pPr>
    </w:p>
    <w:p w14:paraId="49B7B04C" w14:textId="77777777" w:rsidR="00355502" w:rsidRPr="004676F5" w:rsidRDefault="00355502" w:rsidP="001527B1">
      <w:pPr>
        <w:ind w:firstLine="708"/>
        <w:jc w:val="both"/>
        <w:rPr>
          <w:lang w:val="de-DE"/>
        </w:rPr>
      </w:pPr>
    </w:p>
    <w:p w14:paraId="26F31F70" w14:textId="55C45AA3" w:rsidR="001527B1" w:rsidRPr="004676F5" w:rsidRDefault="00BE0A56" w:rsidP="001527B1">
      <w:pPr>
        <w:ind w:firstLine="708"/>
        <w:jc w:val="both"/>
        <w:rPr>
          <w:lang w:val="de-DE"/>
        </w:rPr>
      </w:pPr>
      <w:r w:rsidRPr="004676F5">
        <w:rPr>
          <w:b/>
          <w:lang w:val="de-DE"/>
        </w:rPr>
        <w:t>Art. </w:t>
      </w:r>
      <w:r w:rsidR="001527B1" w:rsidRPr="004676F5">
        <w:rPr>
          <w:b/>
          <w:lang w:val="de-DE"/>
        </w:rPr>
        <w:t>XI.323</w:t>
      </w:r>
      <w:r w:rsidR="001527B1" w:rsidRPr="004676F5">
        <w:rPr>
          <w:lang w:val="de-DE"/>
        </w:rPr>
        <w:t> </w:t>
      </w:r>
      <w:r w:rsidR="005B7A5C" w:rsidRPr="004676F5">
        <w:rPr>
          <w:lang w:val="de-DE"/>
        </w:rPr>
        <w:t>- </w:t>
      </w:r>
      <w:r w:rsidR="001527B1" w:rsidRPr="004676F5">
        <w:rPr>
          <w:lang w:val="de-DE"/>
        </w:rPr>
        <w:t>Der durch vorliegenden Titel organisierte Schutzanspruch ist auf Rechts</w:t>
      </w:r>
      <w:r w:rsidR="001527B1" w:rsidRPr="004676F5">
        <w:rPr>
          <w:lang w:val="de-DE"/>
        </w:rPr>
        <w:softHyphen/>
        <w:t>nachfolger der Person, die aufgrund des vorliegenden Titels Inhaber dieses Anspruchs ist, übertragbar.</w:t>
      </w:r>
    </w:p>
    <w:p w14:paraId="5809DEA2" w14:textId="77777777" w:rsidR="001527B1" w:rsidRPr="004676F5" w:rsidRDefault="001527B1" w:rsidP="001527B1">
      <w:pPr>
        <w:rPr>
          <w:lang w:val="de-DE"/>
        </w:rPr>
      </w:pPr>
    </w:p>
    <w:p w14:paraId="0DAEC99E" w14:textId="77777777" w:rsidR="00355502" w:rsidRPr="004676F5" w:rsidRDefault="00355502" w:rsidP="001527B1">
      <w:pPr>
        <w:rPr>
          <w:lang w:val="de-DE"/>
        </w:rPr>
      </w:pPr>
    </w:p>
    <w:p w14:paraId="057960EF" w14:textId="77777777" w:rsidR="00355502" w:rsidRPr="004676F5" w:rsidRDefault="00355502">
      <w:pPr>
        <w:rPr>
          <w:i/>
          <w:lang w:val="de-DE"/>
        </w:rPr>
      </w:pPr>
      <w:r w:rsidRPr="004676F5">
        <w:rPr>
          <w:i/>
          <w:lang w:val="de-DE"/>
        </w:rPr>
        <w:br w:type="page"/>
      </w:r>
    </w:p>
    <w:p w14:paraId="1C885C96" w14:textId="743F308F" w:rsidR="001527B1" w:rsidRPr="004676F5" w:rsidRDefault="001527B1" w:rsidP="001527B1">
      <w:pPr>
        <w:jc w:val="center"/>
        <w:rPr>
          <w:lang w:val="de-DE"/>
        </w:rPr>
      </w:pPr>
      <w:r w:rsidRPr="004676F5">
        <w:rPr>
          <w:i/>
          <w:lang w:val="de-DE"/>
        </w:rPr>
        <w:lastRenderedPageBreak/>
        <w:t>Abschnitt 2 </w:t>
      </w:r>
      <w:r w:rsidR="005B7A5C" w:rsidRPr="004676F5">
        <w:rPr>
          <w:lang w:val="de-DE"/>
        </w:rPr>
        <w:t>- </w:t>
      </w:r>
      <w:r w:rsidRPr="004676F5">
        <w:rPr>
          <w:lang w:val="de-DE"/>
        </w:rPr>
        <w:t>Staatsangehörigkeits-, Wohnorts</w:t>
      </w:r>
      <w:r w:rsidR="005B7A5C" w:rsidRPr="004676F5">
        <w:rPr>
          <w:lang w:val="de-DE"/>
        </w:rPr>
        <w:t>- </w:t>
      </w:r>
      <w:r w:rsidRPr="004676F5">
        <w:rPr>
          <w:lang w:val="de-DE"/>
        </w:rPr>
        <w:t>oder Niederlassungsvoraussetzungen</w:t>
      </w:r>
    </w:p>
    <w:p w14:paraId="36549CF7" w14:textId="77777777" w:rsidR="001527B1" w:rsidRPr="004676F5" w:rsidRDefault="001527B1" w:rsidP="001527B1">
      <w:pPr>
        <w:ind w:firstLine="708"/>
        <w:jc w:val="both"/>
        <w:rPr>
          <w:lang w:val="de-DE"/>
        </w:rPr>
      </w:pPr>
    </w:p>
    <w:p w14:paraId="67168B97" w14:textId="77777777" w:rsidR="00355502" w:rsidRPr="004676F5" w:rsidRDefault="00355502" w:rsidP="001527B1">
      <w:pPr>
        <w:ind w:firstLine="708"/>
        <w:jc w:val="both"/>
        <w:rPr>
          <w:lang w:val="de-DE"/>
        </w:rPr>
      </w:pPr>
    </w:p>
    <w:p w14:paraId="66F61438" w14:textId="4B7D17F3" w:rsidR="001527B1" w:rsidRPr="004676F5" w:rsidRDefault="00BE0A56" w:rsidP="001527B1">
      <w:pPr>
        <w:ind w:firstLine="708"/>
        <w:jc w:val="both"/>
        <w:rPr>
          <w:lang w:val="de-DE"/>
        </w:rPr>
      </w:pPr>
      <w:r w:rsidRPr="004676F5">
        <w:rPr>
          <w:b/>
          <w:lang w:val="de-DE"/>
        </w:rPr>
        <w:t>Art. </w:t>
      </w:r>
      <w:r w:rsidR="001527B1" w:rsidRPr="004676F5">
        <w:rPr>
          <w:b/>
          <w:lang w:val="de-DE"/>
        </w:rPr>
        <w:t>XI.324</w:t>
      </w:r>
      <w:r w:rsidR="001527B1" w:rsidRPr="004676F5">
        <w:rPr>
          <w:lang w:val="de-DE"/>
        </w:rPr>
        <w:t> </w:t>
      </w:r>
      <w:r w:rsidR="005B7A5C" w:rsidRPr="004676F5">
        <w:rPr>
          <w:lang w:val="de-DE"/>
        </w:rPr>
        <w:t>- </w:t>
      </w:r>
      <w:r w:rsidR="001527B1" w:rsidRPr="004676F5">
        <w:rPr>
          <w:lang w:val="de-DE"/>
        </w:rPr>
        <w:t>Der durch Artikel XI.319 eingeführte Schutzanspruch gilt für natürliche Personen, die Staatsangehörige eines Mitgliedstaates der Europäischen Union sind oder die dort ihren gewöhnlichen Wohnort haben.</w:t>
      </w:r>
    </w:p>
    <w:p w14:paraId="0972858F" w14:textId="77777777" w:rsidR="001527B1" w:rsidRPr="004676F5" w:rsidRDefault="001527B1" w:rsidP="001527B1">
      <w:pPr>
        <w:ind w:firstLine="708"/>
        <w:jc w:val="both"/>
        <w:rPr>
          <w:lang w:val="de-DE"/>
        </w:rPr>
      </w:pPr>
    </w:p>
    <w:p w14:paraId="097A70EE" w14:textId="77777777" w:rsidR="001527B1" w:rsidRPr="004676F5" w:rsidRDefault="001527B1" w:rsidP="00355502">
      <w:pPr>
        <w:ind w:firstLine="708"/>
        <w:jc w:val="both"/>
        <w:rPr>
          <w:lang w:val="de-DE"/>
        </w:rPr>
      </w:pPr>
      <w:r w:rsidRPr="004676F5">
        <w:rPr>
          <w:lang w:val="de-DE"/>
        </w:rPr>
        <w:t>Der aufgrund von Artikel XI.322 gewährte Schutzanspruch gilt für die in Absatz 1 erwähnten natürlichen Personen und für Gesellschaften oder andere juristische Personen, die im Gebiet eines Mitgliedstaates der Europäischen Union eine tatsächliche und nicht nur zum Schein bestehende gewerbliche Niederlassung oder Handelsniederlassung haben.</w:t>
      </w:r>
    </w:p>
    <w:p w14:paraId="394B13DB" w14:textId="77777777" w:rsidR="001527B1" w:rsidRPr="004676F5" w:rsidRDefault="001527B1" w:rsidP="00355502">
      <w:pPr>
        <w:jc w:val="both"/>
        <w:rPr>
          <w:lang w:val="de-DE"/>
        </w:rPr>
      </w:pPr>
    </w:p>
    <w:p w14:paraId="104597A5" w14:textId="77777777" w:rsidR="00355502" w:rsidRPr="004676F5" w:rsidRDefault="00355502" w:rsidP="00355502">
      <w:pPr>
        <w:jc w:val="both"/>
        <w:rPr>
          <w:lang w:val="de-DE"/>
        </w:rPr>
      </w:pPr>
    </w:p>
    <w:p w14:paraId="58D75BAC" w14:textId="17630F7E" w:rsidR="001527B1" w:rsidRPr="004676F5" w:rsidRDefault="00BE0A56" w:rsidP="001527B1">
      <w:pPr>
        <w:ind w:firstLine="708"/>
        <w:jc w:val="both"/>
        <w:rPr>
          <w:lang w:val="de-DE"/>
        </w:rPr>
      </w:pPr>
      <w:r w:rsidRPr="004676F5">
        <w:rPr>
          <w:b/>
          <w:lang w:val="de-DE"/>
        </w:rPr>
        <w:t>Art. </w:t>
      </w:r>
      <w:r w:rsidR="001527B1" w:rsidRPr="004676F5">
        <w:rPr>
          <w:b/>
          <w:lang w:val="de-DE"/>
        </w:rPr>
        <w:t>XI.325</w:t>
      </w:r>
      <w:r w:rsidR="001527B1" w:rsidRPr="004676F5">
        <w:rPr>
          <w:lang w:val="de-DE"/>
        </w:rPr>
        <w:t> </w:t>
      </w:r>
      <w:r w:rsidR="005B7A5C" w:rsidRPr="004676F5">
        <w:rPr>
          <w:lang w:val="de-DE"/>
        </w:rPr>
        <w:t>- </w:t>
      </w:r>
      <w:r w:rsidR="001527B1" w:rsidRPr="004676F5">
        <w:rPr>
          <w:lang w:val="de-DE"/>
        </w:rPr>
        <w:t>Der durch vorliegenden Titel organisierte Schutzanspruch gilt gleichfalls für die in den Artikeln XI.319 und XI.322 erwähnten Personen, die Staatsangehörige anderer Länder als der in Artikel XI.324 Absatz 2 erwähnten Länder sind und die dort ihren gewöhn</w:t>
      </w:r>
      <w:r w:rsidR="001527B1" w:rsidRPr="004676F5">
        <w:rPr>
          <w:lang w:val="de-DE"/>
        </w:rPr>
        <w:softHyphen/>
        <w:t>lichen Wohnort oder eine tatsächliche und nicht nur zum Schein bestehende gewerbliche Niederlassung oder Handelsniederlassung haben, insofern dies von einem internationalen Vertragswerk vorgesehen oder vom Rat der Europäischen Union beschlossen worden ist.</w:t>
      </w:r>
    </w:p>
    <w:p w14:paraId="58E4C14E" w14:textId="77777777" w:rsidR="001527B1" w:rsidRPr="004676F5" w:rsidRDefault="001527B1" w:rsidP="001527B1">
      <w:pPr>
        <w:ind w:firstLine="708"/>
        <w:jc w:val="both"/>
        <w:rPr>
          <w:lang w:val="de-DE"/>
        </w:rPr>
      </w:pPr>
    </w:p>
    <w:p w14:paraId="5AD8B5C9" w14:textId="77777777" w:rsidR="00355502" w:rsidRPr="004676F5" w:rsidRDefault="00355502" w:rsidP="001527B1">
      <w:pPr>
        <w:ind w:firstLine="708"/>
        <w:jc w:val="both"/>
        <w:rPr>
          <w:lang w:val="de-DE"/>
        </w:rPr>
      </w:pPr>
    </w:p>
    <w:p w14:paraId="46C2C1CD" w14:textId="55A12FC2" w:rsidR="001527B1" w:rsidRPr="004676F5" w:rsidRDefault="00BE0A56" w:rsidP="001527B1">
      <w:pPr>
        <w:ind w:firstLine="708"/>
        <w:jc w:val="both"/>
        <w:rPr>
          <w:lang w:val="de-DE"/>
        </w:rPr>
      </w:pPr>
      <w:r w:rsidRPr="004676F5">
        <w:rPr>
          <w:b/>
          <w:lang w:val="de-DE"/>
        </w:rPr>
        <w:t>Art. </w:t>
      </w:r>
      <w:r w:rsidR="001527B1" w:rsidRPr="004676F5">
        <w:rPr>
          <w:b/>
          <w:lang w:val="de-DE"/>
        </w:rPr>
        <w:t>XI.326</w:t>
      </w:r>
      <w:r w:rsidR="001527B1" w:rsidRPr="004676F5">
        <w:rPr>
          <w:lang w:val="de-DE"/>
        </w:rPr>
        <w:t> </w:t>
      </w:r>
      <w:r w:rsidR="005B7A5C" w:rsidRPr="004676F5">
        <w:rPr>
          <w:lang w:val="de-DE"/>
        </w:rPr>
        <w:t>- </w:t>
      </w:r>
      <w:r w:rsidR="001527B1" w:rsidRPr="004676F5">
        <w:rPr>
          <w:lang w:val="de-DE"/>
        </w:rPr>
        <w:t>Soweit ein Schutzanspruch in Anwendung des vorliegenden Abschnitts nicht besteht, gilt der Schutzanspruch auch für die in Artikel XI.324 Absatz 2 genannten Personen, die</w:t>
      </w:r>
    </w:p>
    <w:p w14:paraId="3891B0E3" w14:textId="77777777" w:rsidR="001527B1" w:rsidRPr="004676F5" w:rsidRDefault="001527B1" w:rsidP="001527B1">
      <w:pPr>
        <w:ind w:firstLine="708"/>
        <w:jc w:val="both"/>
        <w:rPr>
          <w:lang w:val="de-DE"/>
        </w:rPr>
      </w:pPr>
    </w:p>
    <w:p w14:paraId="483BBF05" w14:textId="77777777" w:rsidR="001527B1" w:rsidRPr="004676F5" w:rsidRDefault="001527B1" w:rsidP="001527B1">
      <w:pPr>
        <w:ind w:firstLine="708"/>
        <w:jc w:val="both"/>
        <w:rPr>
          <w:lang w:val="de-DE"/>
        </w:rPr>
      </w:pPr>
      <w:r w:rsidRPr="004676F5">
        <w:rPr>
          <w:i/>
          <w:lang w:val="de-DE"/>
        </w:rPr>
        <w:t>a)</w:t>
      </w:r>
      <w:r w:rsidRPr="004676F5">
        <w:rPr>
          <w:lang w:val="de-DE"/>
        </w:rPr>
        <w:t> eine Topographie, die nicht bereits an einem anderen Ort der Welt geschäftlich verwertet worden ist, zuerst in einem Mitgliedstaat der Europäischen Union geschäftlich verwertet haben und die</w:t>
      </w:r>
    </w:p>
    <w:p w14:paraId="371BF264" w14:textId="77777777" w:rsidR="001527B1" w:rsidRPr="004676F5" w:rsidRDefault="001527B1" w:rsidP="001527B1">
      <w:pPr>
        <w:ind w:firstLine="708"/>
        <w:jc w:val="both"/>
        <w:rPr>
          <w:lang w:val="de-DE"/>
        </w:rPr>
      </w:pPr>
    </w:p>
    <w:p w14:paraId="462EBC6C" w14:textId="77777777" w:rsidR="001527B1" w:rsidRPr="004676F5" w:rsidRDefault="001527B1" w:rsidP="001527B1">
      <w:pPr>
        <w:ind w:firstLine="708"/>
        <w:jc w:val="both"/>
        <w:rPr>
          <w:lang w:val="de-DE"/>
        </w:rPr>
      </w:pPr>
      <w:r w:rsidRPr="004676F5">
        <w:rPr>
          <w:i/>
          <w:lang w:val="de-DE"/>
        </w:rPr>
        <w:t>b)</w:t>
      </w:r>
      <w:r w:rsidRPr="004676F5">
        <w:rPr>
          <w:lang w:val="de-DE"/>
        </w:rPr>
        <w:t> vom Verfügungsberechtigten die ausschließliche Zustimmung erhalten haben, die Topographie innerhalb der gesamten Europäischen Union geschäftlich zu verwerten.</w:t>
      </w:r>
    </w:p>
    <w:p w14:paraId="09FF49C3" w14:textId="77777777" w:rsidR="001527B1" w:rsidRPr="004676F5" w:rsidRDefault="001527B1" w:rsidP="001527B1">
      <w:pPr>
        <w:jc w:val="both"/>
        <w:rPr>
          <w:lang w:val="de-DE"/>
        </w:rPr>
      </w:pPr>
    </w:p>
    <w:p w14:paraId="21BD7F1B" w14:textId="77777777" w:rsidR="00355502" w:rsidRPr="004676F5" w:rsidRDefault="00355502" w:rsidP="001527B1">
      <w:pPr>
        <w:jc w:val="both"/>
        <w:rPr>
          <w:lang w:val="de-DE"/>
        </w:rPr>
      </w:pPr>
    </w:p>
    <w:p w14:paraId="7DC1EA4C" w14:textId="7EBC36AC" w:rsidR="001527B1" w:rsidRPr="004676F5" w:rsidRDefault="001527B1" w:rsidP="001527B1">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Dauer und Ablauf des ausschließlichen Rechts</w:t>
      </w:r>
    </w:p>
    <w:p w14:paraId="13466E5B" w14:textId="77777777" w:rsidR="001527B1" w:rsidRPr="004676F5" w:rsidRDefault="001527B1" w:rsidP="001527B1">
      <w:pPr>
        <w:jc w:val="both"/>
        <w:rPr>
          <w:lang w:val="de-DE"/>
        </w:rPr>
      </w:pPr>
    </w:p>
    <w:p w14:paraId="10045F92" w14:textId="77777777" w:rsidR="00355502" w:rsidRPr="004676F5" w:rsidRDefault="00355502" w:rsidP="001527B1">
      <w:pPr>
        <w:jc w:val="both"/>
        <w:rPr>
          <w:lang w:val="de-DE"/>
        </w:rPr>
      </w:pPr>
    </w:p>
    <w:p w14:paraId="12D31498" w14:textId="5717AF1D" w:rsidR="001527B1" w:rsidRPr="004676F5" w:rsidRDefault="00BE0A56" w:rsidP="001527B1">
      <w:pPr>
        <w:ind w:firstLine="708"/>
        <w:jc w:val="both"/>
        <w:rPr>
          <w:lang w:val="de-DE"/>
        </w:rPr>
      </w:pPr>
      <w:r w:rsidRPr="004676F5">
        <w:rPr>
          <w:b/>
          <w:lang w:val="de-DE"/>
        </w:rPr>
        <w:t>Art. </w:t>
      </w:r>
      <w:r w:rsidR="001527B1" w:rsidRPr="004676F5">
        <w:rPr>
          <w:b/>
          <w:lang w:val="de-DE"/>
        </w:rPr>
        <w:t>XI.327</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Das in Artikel XI.319 erwähnte ausschließliche Recht entsteht am Tag der erstmaligen Fixierung oder Kodierung der Topographie.</w:t>
      </w:r>
    </w:p>
    <w:p w14:paraId="46C9D9AB" w14:textId="77777777" w:rsidR="001527B1" w:rsidRPr="004676F5" w:rsidRDefault="001527B1" w:rsidP="001527B1">
      <w:pPr>
        <w:ind w:firstLine="708"/>
        <w:jc w:val="both"/>
        <w:rPr>
          <w:lang w:val="de-DE"/>
        </w:rPr>
      </w:pPr>
    </w:p>
    <w:p w14:paraId="48B055C7" w14:textId="6D0D5FFC"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Das ausschließliche Recht endet zehn Jahre nach dem letzten Tag des Kalender</w:t>
      </w:r>
      <w:r w:rsidRPr="004676F5">
        <w:rPr>
          <w:lang w:val="de-DE"/>
        </w:rPr>
        <w:softHyphen/>
        <w:t>jahres, in dem die Topographie erstmals an einem beliebigen Ort der Welt geschäftlich verwertet wurde.</w:t>
      </w:r>
    </w:p>
    <w:p w14:paraId="2FD79946" w14:textId="77777777" w:rsidR="001527B1" w:rsidRPr="004676F5" w:rsidRDefault="001527B1" w:rsidP="001527B1">
      <w:pPr>
        <w:ind w:firstLine="708"/>
        <w:jc w:val="both"/>
        <w:rPr>
          <w:lang w:val="de-DE"/>
        </w:rPr>
      </w:pPr>
    </w:p>
    <w:p w14:paraId="7D1FCE12" w14:textId="618E8F31"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Ist eine Topographie innerhalb eines Zeitraums von fünfzehn Jahren nach ihrer erstmaligen Fixierung oder Kodierung nicht an einem beliebigen Ort der Welt geschäftlich verwertet worden, so erlischt das aufgrund von § 1 entstandene ausschließliche Recht.</w:t>
      </w:r>
    </w:p>
    <w:p w14:paraId="483178DB" w14:textId="77777777" w:rsidR="001527B1" w:rsidRPr="004676F5" w:rsidRDefault="001527B1" w:rsidP="001527B1">
      <w:pPr>
        <w:rPr>
          <w:lang w:val="de-DE"/>
        </w:rPr>
      </w:pPr>
      <w:r w:rsidRPr="004676F5">
        <w:rPr>
          <w:lang w:val="de-DE"/>
        </w:rPr>
        <w:br w:type="page"/>
      </w:r>
    </w:p>
    <w:p w14:paraId="2CF64E30" w14:textId="7E336BDA" w:rsidR="001527B1" w:rsidRPr="004676F5" w:rsidRDefault="001527B1" w:rsidP="001527B1">
      <w:pPr>
        <w:jc w:val="center"/>
        <w:rPr>
          <w:lang w:val="de-DE"/>
        </w:rPr>
      </w:pPr>
      <w:r w:rsidRPr="004676F5">
        <w:rPr>
          <w:lang w:val="de-DE"/>
        </w:rPr>
        <w:lastRenderedPageBreak/>
        <w:t>KAPITEL 2 </w:t>
      </w:r>
      <w:r w:rsidR="005B7A5C" w:rsidRPr="004676F5">
        <w:rPr>
          <w:lang w:val="de-DE"/>
        </w:rPr>
        <w:t>- </w:t>
      </w:r>
      <w:r w:rsidRPr="004676F5">
        <w:rPr>
          <w:i/>
          <w:lang w:val="de-DE"/>
        </w:rPr>
        <w:t>Einschränkungen des ausschließlichen Rechts auf eine Topographie eines Halbleitererzeugnisses</w:t>
      </w:r>
    </w:p>
    <w:p w14:paraId="00225F1C" w14:textId="77777777" w:rsidR="001527B1" w:rsidRPr="004676F5" w:rsidRDefault="001527B1" w:rsidP="001527B1">
      <w:pPr>
        <w:ind w:firstLine="708"/>
        <w:jc w:val="both"/>
        <w:rPr>
          <w:lang w:val="de-DE"/>
        </w:rPr>
      </w:pPr>
    </w:p>
    <w:p w14:paraId="41A75637" w14:textId="77777777" w:rsidR="00320AA7" w:rsidRPr="004676F5" w:rsidRDefault="00320AA7" w:rsidP="001527B1">
      <w:pPr>
        <w:ind w:firstLine="708"/>
        <w:jc w:val="both"/>
        <w:rPr>
          <w:lang w:val="de-DE"/>
        </w:rPr>
      </w:pPr>
    </w:p>
    <w:p w14:paraId="4BA359CB" w14:textId="251409FA" w:rsidR="001527B1" w:rsidRPr="004676F5" w:rsidRDefault="00BE0A56" w:rsidP="001527B1">
      <w:pPr>
        <w:ind w:firstLine="708"/>
        <w:jc w:val="both"/>
        <w:rPr>
          <w:lang w:val="de-DE"/>
        </w:rPr>
      </w:pPr>
      <w:r w:rsidRPr="004676F5">
        <w:rPr>
          <w:b/>
          <w:lang w:val="de-DE"/>
        </w:rPr>
        <w:t>Art. </w:t>
      </w:r>
      <w:r w:rsidR="001527B1" w:rsidRPr="004676F5">
        <w:rPr>
          <w:b/>
          <w:lang w:val="de-DE"/>
        </w:rPr>
        <w:t>XI.328</w:t>
      </w:r>
      <w:r w:rsidR="001527B1" w:rsidRPr="004676F5">
        <w:rPr>
          <w:lang w:val="de-DE"/>
        </w:rPr>
        <w:t> </w:t>
      </w:r>
      <w:r w:rsidR="005B7A5C" w:rsidRPr="004676F5">
        <w:rPr>
          <w:lang w:val="de-DE"/>
        </w:rPr>
        <w:t>- </w:t>
      </w:r>
      <w:r w:rsidR="001527B1" w:rsidRPr="004676F5">
        <w:rPr>
          <w:lang w:val="de-DE"/>
        </w:rPr>
        <w:t>Der Inhaber des Schutzanspruchs in Bezug auf eine Topographie eines Halbleitererzeugnisses kann das durch vorliegenden Titel gewährte ausschließliche Recht auf Nachbildung und geschäftliche Verwertung nicht geltend machen in Hinsicht auf:</w:t>
      </w:r>
    </w:p>
    <w:p w14:paraId="54B8927E" w14:textId="77777777" w:rsidR="001527B1" w:rsidRPr="004676F5" w:rsidRDefault="001527B1" w:rsidP="001527B1">
      <w:pPr>
        <w:ind w:firstLine="708"/>
        <w:jc w:val="both"/>
        <w:rPr>
          <w:lang w:val="de-DE"/>
        </w:rPr>
      </w:pPr>
    </w:p>
    <w:p w14:paraId="47D8CC22" w14:textId="77777777" w:rsidR="001527B1" w:rsidRPr="004676F5" w:rsidRDefault="001527B1" w:rsidP="001527B1">
      <w:pPr>
        <w:ind w:firstLine="708"/>
        <w:jc w:val="both"/>
        <w:rPr>
          <w:lang w:val="de-DE"/>
        </w:rPr>
      </w:pPr>
      <w:r w:rsidRPr="004676F5">
        <w:rPr>
          <w:i/>
          <w:lang w:val="de-DE"/>
        </w:rPr>
        <w:t>a)</w:t>
      </w:r>
      <w:r w:rsidRPr="004676F5">
        <w:rPr>
          <w:lang w:val="de-DE"/>
        </w:rPr>
        <w:t> eine allein zum Zweck der Analyse, der Bewertung oder zu Ausbildungszwecken erfolgende Nachbildung der in der Topographie enthaltenen Konzepte, Verfahren, Systeme oder Techniken oder der Topographie selbst,</w:t>
      </w:r>
    </w:p>
    <w:p w14:paraId="631BFE74" w14:textId="77777777" w:rsidR="001527B1" w:rsidRPr="004676F5" w:rsidRDefault="001527B1" w:rsidP="001527B1">
      <w:pPr>
        <w:ind w:firstLine="708"/>
        <w:jc w:val="both"/>
        <w:rPr>
          <w:lang w:val="de-DE"/>
        </w:rPr>
      </w:pPr>
    </w:p>
    <w:p w14:paraId="43FD9AA2" w14:textId="77777777" w:rsidR="001527B1" w:rsidRPr="004676F5" w:rsidRDefault="001527B1" w:rsidP="001527B1">
      <w:pPr>
        <w:ind w:firstLine="708"/>
        <w:jc w:val="both"/>
        <w:rPr>
          <w:lang w:val="de-DE"/>
        </w:rPr>
      </w:pPr>
      <w:r w:rsidRPr="004676F5">
        <w:rPr>
          <w:i/>
          <w:lang w:val="de-DE"/>
        </w:rPr>
        <w:t>b)</w:t>
      </w:r>
      <w:r w:rsidRPr="004676F5">
        <w:rPr>
          <w:lang w:val="de-DE"/>
        </w:rPr>
        <w:t> eine Topographie, die aufgrund einer Analyse und Bewertung einer anderen Topo</w:t>
      </w:r>
      <w:r w:rsidRPr="004676F5">
        <w:rPr>
          <w:lang w:val="de-DE"/>
        </w:rPr>
        <w:softHyphen/>
        <w:t>graphie gemäß Buchstabe </w:t>
      </w:r>
      <w:r w:rsidRPr="004676F5">
        <w:rPr>
          <w:i/>
          <w:lang w:val="de-DE"/>
        </w:rPr>
        <w:t>a)</w:t>
      </w:r>
      <w:r w:rsidRPr="004676F5">
        <w:rPr>
          <w:lang w:val="de-DE"/>
        </w:rPr>
        <w:t xml:space="preserve"> geschaffen wurde, sofern die neue Topographie zumindest das Ergebnis der eigenen geistigen Arbeit ihres Schöpfers und in der Halbleiterindustrie nicht alltäglich ist.</w:t>
      </w:r>
    </w:p>
    <w:p w14:paraId="7322014E" w14:textId="77777777" w:rsidR="00320AA7" w:rsidRPr="004676F5" w:rsidRDefault="00320AA7" w:rsidP="001527B1">
      <w:pPr>
        <w:ind w:firstLine="708"/>
        <w:jc w:val="both"/>
        <w:rPr>
          <w:lang w:val="de-DE"/>
        </w:rPr>
      </w:pPr>
    </w:p>
    <w:p w14:paraId="7A98FFF9" w14:textId="77777777" w:rsidR="001527B1" w:rsidRPr="004676F5" w:rsidRDefault="001527B1" w:rsidP="001527B1">
      <w:pPr>
        <w:ind w:firstLine="708"/>
        <w:jc w:val="both"/>
        <w:rPr>
          <w:lang w:val="de-DE"/>
        </w:rPr>
      </w:pPr>
    </w:p>
    <w:p w14:paraId="5AA0F05C" w14:textId="28B7E2DF" w:rsidR="001527B1" w:rsidRPr="004676F5" w:rsidRDefault="00BE0A56" w:rsidP="001527B1">
      <w:pPr>
        <w:ind w:firstLine="708"/>
        <w:jc w:val="both"/>
        <w:rPr>
          <w:lang w:val="de-DE"/>
        </w:rPr>
      </w:pPr>
      <w:r w:rsidRPr="004676F5">
        <w:rPr>
          <w:b/>
          <w:lang w:val="de-DE"/>
        </w:rPr>
        <w:t>Art. </w:t>
      </w:r>
      <w:r w:rsidR="001527B1" w:rsidRPr="004676F5">
        <w:rPr>
          <w:b/>
          <w:lang w:val="de-DE"/>
        </w:rPr>
        <w:t>XI.329</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Wer beim Kauf eines Halbleitererzeugnisses nicht gewusst hat oder keinen hinreichenden Grund zu der Annahme gehabt hat, dass die Topographie dieses Erzeugnisses durch ein in Artikel XI.319 erwähntes ausschließliches Recht geschützt ist, wird nicht daran gehindert, das Erzeugnis geschäftlich zu verwerten.</w:t>
      </w:r>
    </w:p>
    <w:p w14:paraId="6B31F1D4" w14:textId="77777777" w:rsidR="001527B1" w:rsidRPr="004676F5" w:rsidRDefault="001527B1" w:rsidP="001527B1">
      <w:pPr>
        <w:ind w:firstLine="708"/>
        <w:jc w:val="both"/>
        <w:rPr>
          <w:lang w:val="de-DE"/>
        </w:rPr>
      </w:pPr>
    </w:p>
    <w:p w14:paraId="76174E3E" w14:textId="2D15D37F"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Der Inhaber des ausschließlichen Rechts kann jedoch verlangen, dass die in § 1 erwähnte Person ihm für Handlungen, die vorgenommen wurden, nachdem sie gewusst hat oder hinreichenden Grund zu der Annahme gehabt hat, dass die Topographie des Halbleitererzeugnisses durch ein ausschließliches Recht geschützt ist, eine Vergütung zahlt, die dem Betrag entspricht, der dem Rechtsinhaber im Rahmen der geschäftlichen Verwertung der Topographie normalerweise hätte zukommen müssen.</w:t>
      </w:r>
    </w:p>
    <w:p w14:paraId="7721A704" w14:textId="77777777" w:rsidR="001527B1" w:rsidRPr="004676F5" w:rsidRDefault="001527B1" w:rsidP="001527B1">
      <w:pPr>
        <w:ind w:firstLine="708"/>
        <w:jc w:val="both"/>
        <w:rPr>
          <w:lang w:val="de-DE"/>
        </w:rPr>
      </w:pPr>
    </w:p>
    <w:p w14:paraId="61114674" w14:textId="77777777" w:rsidR="00320AA7" w:rsidRPr="004676F5" w:rsidRDefault="00320AA7" w:rsidP="001527B1">
      <w:pPr>
        <w:ind w:firstLine="708"/>
        <w:jc w:val="both"/>
        <w:rPr>
          <w:lang w:val="de-DE"/>
        </w:rPr>
      </w:pPr>
    </w:p>
    <w:p w14:paraId="6EC8AFAC" w14:textId="1D84999F" w:rsidR="001527B1" w:rsidRPr="004676F5" w:rsidRDefault="00BE0A56" w:rsidP="001527B1">
      <w:pPr>
        <w:ind w:firstLine="708"/>
        <w:jc w:val="both"/>
        <w:rPr>
          <w:lang w:val="de-DE"/>
        </w:rPr>
      </w:pPr>
      <w:r w:rsidRPr="004676F5">
        <w:rPr>
          <w:b/>
          <w:lang w:val="de-DE"/>
        </w:rPr>
        <w:t>Art. </w:t>
      </w:r>
      <w:r w:rsidR="001527B1" w:rsidRPr="004676F5">
        <w:rPr>
          <w:b/>
          <w:lang w:val="de-DE"/>
        </w:rPr>
        <w:t>XI.330</w:t>
      </w:r>
      <w:r w:rsidR="001527B1" w:rsidRPr="004676F5">
        <w:rPr>
          <w:lang w:val="de-DE"/>
        </w:rPr>
        <w:t> </w:t>
      </w:r>
      <w:r w:rsidR="005B7A5C" w:rsidRPr="004676F5">
        <w:rPr>
          <w:lang w:val="de-DE"/>
        </w:rPr>
        <w:t>- </w:t>
      </w:r>
      <w:r w:rsidR="001527B1" w:rsidRPr="004676F5">
        <w:rPr>
          <w:lang w:val="de-DE"/>
        </w:rPr>
        <w:t>Das in Artikel XI.319 erwähnte ausschließliche Recht erstreckt sich nicht auf die geschäftliche Verwertung einer Topographie oder eines Halbleitererzeugnisses, nachdem es von dem Inhaber des ausschließlichen Rechts oder mit seiner ausdrücklichen Zustimmung in einem Mitgliedstaat der Europäischen Union in Verkehr gebracht worden ist.</w:t>
      </w:r>
    </w:p>
    <w:p w14:paraId="24084A07" w14:textId="77777777" w:rsidR="001527B1" w:rsidRPr="004676F5" w:rsidRDefault="001527B1" w:rsidP="001527B1">
      <w:pPr>
        <w:ind w:firstLine="708"/>
        <w:jc w:val="both"/>
        <w:rPr>
          <w:lang w:val="de-DE"/>
        </w:rPr>
      </w:pPr>
    </w:p>
    <w:p w14:paraId="6D0CC1C9" w14:textId="77777777" w:rsidR="00320AA7" w:rsidRPr="004676F5" w:rsidRDefault="00320AA7" w:rsidP="001527B1">
      <w:pPr>
        <w:ind w:firstLine="708"/>
        <w:jc w:val="both"/>
        <w:rPr>
          <w:lang w:val="de-DE"/>
        </w:rPr>
      </w:pPr>
    </w:p>
    <w:p w14:paraId="1D7334A8" w14:textId="1D509801" w:rsidR="001527B1" w:rsidRPr="004676F5" w:rsidRDefault="00BE0A56" w:rsidP="001527B1">
      <w:pPr>
        <w:ind w:firstLine="708"/>
        <w:jc w:val="both"/>
        <w:rPr>
          <w:lang w:val="de-DE"/>
        </w:rPr>
      </w:pPr>
      <w:r w:rsidRPr="004676F5">
        <w:rPr>
          <w:b/>
          <w:lang w:val="de-DE"/>
        </w:rPr>
        <w:t>Art. </w:t>
      </w:r>
      <w:r w:rsidR="001527B1" w:rsidRPr="004676F5">
        <w:rPr>
          <w:b/>
          <w:lang w:val="de-DE"/>
        </w:rPr>
        <w:t>XI.331</w:t>
      </w:r>
      <w:r w:rsidR="001527B1" w:rsidRPr="004676F5">
        <w:rPr>
          <w:lang w:val="de-DE"/>
        </w:rPr>
        <w:t> </w:t>
      </w:r>
      <w:r w:rsidR="005B7A5C" w:rsidRPr="004676F5">
        <w:rPr>
          <w:lang w:val="de-DE"/>
        </w:rPr>
        <w:t>- </w:t>
      </w:r>
      <w:r w:rsidR="001527B1" w:rsidRPr="004676F5">
        <w:rPr>
          <w:lang w:val="de-DE"/>
        </w:rPr>
        <w:t>Ansprüche wegen Verletzung des ausschließlichen Rechts auf eine Topographie eines Halbleitererzeugnisses verjähren in fünf Jahren ab dem Tag, an dem der Verstoß begangen worden ist.</w:t>
      </w:r>
    </w:p>
    <w:p w14:paraId="67B7D597" w14:textId="77777777" w:rsidR="001527B1" w:rsidRPr="004676F5" w:rsidRDefault="001527B1" w:rsidP="001527B1">
      <w:pPr>
        <w:ind w:firstLine="708"/>
        <w:jc w:val="both"/>
        <w:rPr>
          <w:lang w:val="de-DE"/>
        </w:rPr>
      </w:pPr>
    </w:p>
    <w:p w14:paraId="1289E36A" w14:textId="77777777" w:rsidR="00320AA7" w:rsidRPr="004676F5" w:rsidRDefault="00320AA7" w:rsidP="001527B1">
      <w:pPr>
        <w:ind w:firstLine="708"/>
        <w:jc w:val="both"/>
        <w:rPr>
          <w:lang w:val="de-DE"/>
        </w:rPr>
      </w:pPr>
    </w:p>
    <w:p w14:paraId="4EE62004" w14:textId="1203BECE" w:rsidR="001527B1" w:rsidRPr="004676F5" w:rsidRDefault="00BE0A56" w:rsidP="001527B1">
      <w:pPr>
        <w:ind w:firstLine="708"/>
        <w:jc w:val="both"/>
        <w:rPr>
          <w:lang w:val="de-DE"/>
        </w:rPr>
      </w:pPr>
      <w:r w:rsidRPr="004676F5">
        <w:rPr>
          <w:b/>
          <w:lang w:val="de-DE"/>
        </w:rPr>
        <w:t>Art. </w:t>
      </w:r>
      <w:r w:rsidR="001527B1" w:rsidRPr="004676F5">
        <w:rPr>
          <w:b/>
          <w:lang w:val="de-DE"/>
        </w:rPr>
        <w:t>XI.332</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Die Bestimmungen des vorliegenden Titels beeinträchtigen nicht die anderen Gesetzesbestimmungen über das geistige Eigentum.</w:t>
      </w:r>
    </w:p>
    <w:p w14:paraId="6D67105E" w14:textId="77777777" w:rsidR="001527B1" w:rsidRPr="004676F5" w:rsidRDefault="001527B1" w:rsidP="001527B1">
      <w:pPr>
        <w:ind w:firstLine="708"/>
        <w:jc w:val="both"/>
        <w:rPr>
          <w:lang w:val="de-DE"/>
        </w:rPr>
      </w:pPr>
    </w:p>
    <w:p w14:paraId="25EBDAF7" w14:textId="1B30EDDA"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Die Bestimmungen des vorliegenden Titels beeinträchtigen nicht die Anwendung des Urheberrechts auf Werke, die in dem betreffenden Halbleitererzeugnis fixiert wären.</w:t>
      </w:r>
    </w:p>
    <w:p w14:paraId="643BF019" w14:textId="77777777" w:rsidR="001527B1" w:rsidRPr="004676F5" w:rsidRDefault="001527B1" w:rsidP="001527B1">
      <w:pPr>
        <w:ind w:firstLine="708"/>
        <w:jc w:val="both"/>
        <w:rPr>
          <w:lang w:val="de-DE"/>
        </w:rPr>
      </w:pPr>
    </w:p>
    <w:p w14:paraId="6A76DC07" w14:textId="77777777" w:rsidR="00320AA7" w:rsidRPr="004676F5" w:rsidRDefault="00320AA7" w:rsidP="001527B1">
      <w:pPr>
        <w:ind w:firstLine="708"/>
        <w:jc w:val="both"/>
        <w:rPr>
          <w:lang w:val="de-DE"/>
        </w:rPr>
      </w:pPr>
    </w:p>
    <w:p w14:paraId="15F1ADE1" w14:textId="77777777" w:rsidR="00E524CB" w:rsidRPr="004676F5" w:rsidRDefault="00E524CB">
      <w:pPr>
        <w:rPr>
          <w:b/>
          <w:lang w:val="de-DE"/>
        </w:rPr>
      </w:pPr>
      <w:r w:rsidRPr="004676F5">
        <w:rPr>
          <w:b/>
          <w:lang w:val="de-DE"/>
        </w:rPr>
        <w:br w:type="page"/>
      </w:r>
    </w:p>
    <w:p w14:paraId="5EE1B4FF" w14:textId="0EF883F8" w:rsidR="00E524CB" w:rsidRPr="004676F5" w:rsidRDefault="00E524CB" w:rsidP="00E524CB">
      <w:pPr>
        <w:jc w:val="center"/>
        <w:rPr>
          <w:bCs/>
          <w:lang w:val="de-DE"/>
        </w:rPr>
      </w:pPr>
      <w:r w:rsidRPr="004676F5">
        <w:rPr>
          <w:bCs/>
          <w:lang w:val="de-DE"/>
        </w:rPr>
        <w:lastRenderedPageBreak/>
        <w:t>[</w:t>
      </w:r>
      <w:r w:rsidRPr="004676F5">
        <w:rPr>
          <w:b/>
          <w:lang w:val="de-DE"/>
        </w:rPr>
        <w:t xml:space="preserve">TITEL 8/1 </w:t>
      </w:r>
      <w:r w:rsidR="00FE3AF3" w:rsidRPr="004676F5">
        <w:rPr>
          <w:b/>
          <w:lang w:val="de-DE"/>
        </w:rPr>
        <w:t>-</w:t>
      </w:r>
      <w:r w:rsidRPr="004676F5">
        <w:rPr>
          <w:b/>
          <w:lang w:val="de-DE"/>
        </w:rPr>
        <w:t xml:space="preserve"> </w:t>
      </w:r>
      <w:r w:rsidRPr="004676F5">
        <w:rPr>
          <w:b/>
          <w:i/>
          <w:iCs/>
          <w:lang w:val="de-DE"/>
        </w:rPr>
        <w:t>Geschäftsgeheimnisse</w:t>
      </w:r>
      <w:r w:rsidRPr="004676F5">
        <w:rPr>
          <w:bCs/>
          <w:lang w:val="de-DE"/>
        </w:rPr>
        <w:t>]</w:t>
      </w:r>
    </w:p>
    <w:p w14:paraId="00316676" w14:textId="77777777" w:rsidR="00E524CB" w:rsidRPr="004676F5" w:rsidRDefault="00E524CB" w:rsidP="00E524CB">
      <w:pPr>
        <w:jc w:val="center"/>
        <w:rPr>
          <w:bCs/>
          <w:lang w:val="de-DE"/>
        </w:rPr>
      </w:pPr>
    </w:p>
    <w:p w14:paraId="102292A6" w14:textId="737F0FBE" w:rsidR="00E524CB" w:rsidRPr="004676F5" w:rsidRDefault="00E524CB" w:rsidP="00E524CB">
      <w:pPr>
        <w:jc w:val="both"/>
        <w:rPr>
          <w:i/>
          <w:lang w:val="de-DE"/>
        </w:rPr>
      </w:pPr>
      <w:r w:rsidRPr="004676F5">
        <w:rPr>
          <w:bCs/>
          <w:i/>
          <w:iCs/>
          <w:lang w:val="de-DE"/>
        </w:rPr>
        <w:t>[Unterteilung Titel 8/1 eingefügt durch Art. 4</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2B2A2C7A" w14:textId="77777777" w:rsidR="00E524CB" w:rsidRPr="004676F5" w:rsidRDefault="00E524CB" w:rsidP="00E524CB">
      <w:pPr>
        <w:jc w:val="both"/>
        <w:rPr>
          <w:iCs/>
          <w:lang w:val="de-DE"/>
        </w:rPr>
      </w:pPr>
    </w:p>
    <w:p w14:paraId="6AF92B40" w14:textId="77777777" w:rsidR="00E524CB" w:rsidRPr="004676F5" w:rsidRDefault="00E524CB" w:rsidP="00E524CB">
      <w:pPr>
        <w:jc w:val="both"/>
        <w:rPr>
          <w:iCs/>
          <w:lang w:val="de-DE"/>
        </w:rPr>
      </w:pPr>
    </w:p>
    <w:p w14:paraId="78A926B3" w14:textId="01607A04" w:rsidR="00E524CB" w:rsidRPr="004676F5" w:rsidRDefault="00E524CB" w:rsidP="00E524CB">
      <w:pPr>
        <w:ind w:firstLine="708"/>
        <w:jc w:val="both"/>
        <w:rPr>
          <w:lang w:val="de-DE"/>
        </w:rPr>
      </w:pPr>
      <w:r w:rsidRPr="004676F5">
        <w:rPr>
          <w:iCs/>
          <w:lang w:val="de-DE"/>
        </w:rPr>
        <w:t>[</w:t>
      </w:r>
      <w:r w:rsidRPr="004676F5">
        <w:rPr>
          <w:b/>
          <w:bCs/>
          <w:lang w:val="de-DE"/>
        </w:rPr>
        <w:t>Art. XI.332/1</w:t>
      </w:r>
      <w:r w:rsidRPr="004676F5">
        <w:rPr>
          <w:lang w:val="de-DE"/>
        </w:rPr>
        <w:t> </w:t>
      </w:r>
      <w:r w:rsidR="005B7A5C" w:rsidRPr="004676F5">
        <w:rPr>
          <w:lang w:val="de-DE"/>
        </w:rPr>
        <w:t>- </w:t>
      </w:r>
      <w:r w:rsidRPr="004676F5">
        <w:rPr>
          <w:lang w:val="de-DE"/>
        </w:rPr>
        <w:t>Vorliegender Titel dient der Teilumsetzung der Richt</w:t>
      </w:r>
      <w:r w:rsidRPr="004676F5">
        <w:rPr>
          <w:lang w:val="de-DE"/>
        </w:rPr>
        <w:softHyphen/>
        <w:t>linie (EU) 2016/943 des Europäischen Parlaments und des Rates vom 8. Juni 2016 über den Schutz vertraulichen Know-hows und vertraulicher Geschäftsinformationen (Geschäfts</w:t>
      </w:r>
      <w:r w:rsidRPr="004676F5">
        <w:rPr>
          <w:lang w:val="de-DE"/>
        </w:rPr>
        <w:softHyphen/>
        <w:t>geheimnisse) vor rechtswidrigem Erwerb sowie rechtswidriger Nutzung und Offenlegung.]</w:t>
      </w:r>
    </w:p>
    <w:p w14:paraId="2B38F13D" w14:textId="428B860E" w:rsidR="00E524CB" w:rsidRPr="004676F5" w:rsidRDefault="00E524CB" w:rsidP="00E524CB">
      <w:pPr>
        <w:ind w:firstLine="708"/>
        <w:jc w:val="both"/>
        <w:rPr>
          <w:lang w:val="de-DE"/>
        </w:rPr>
      </w:pPr>
    </w:p>
    <w:p w14:paraId="7DA29934" w14:textId="471AA590" w:rsidR="00E524CB" w:rsidRPr="004676F5" w:rsidRDefault="00E524CB" w:rsidP="00E524CB">
      <w:pPr>
        <w:jc w:val="both"/>
        <w:rPr>
          <w:i/>
          <w:iCs/>
          <w:lang w:val="de-DE"/>
        </w:rPr>
      </w:pPr>
      <w:r w:rsidRPr="004676F5">
        <w:rPr>
          <w:i/>
          <w:iCs/>
          <w:lang w:val="de-DE"/>
        </w:rPr>
        <w:t>[Art. XI.332/1 eingefügt durch Art. 5</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0C3E9E76" w14:textId="77777777" w:rsidR="00E524CB" w:rsidRPr="004676F5" w:rsidRDefault="00E524CB" w:rsidP="00E524CB">
      <w:pPr>
        <w:jc w:val="both"/>
        <w:rPr>
          <w:lang w:val="de-DE"/>
        </w:rPr>
      </w:pPr>
    </w:p>
    <w:p w14:paraId="0B82B609" w14:textId="77777777" w:rsidR="00E524CB" w:rsidRPr="004676F5" w:rsidRDefault="00E524CB" w:rsidP="00E524CB">
      <w:pPr>
        <w:ind w:firstLine="708"/>
        <w:jc w:val="both"/>
        <w:rPr>
          <w:lang w:val="de-DE"/>
        </w:rPr>
      </w:pPr>
    </w:p>
    <w:p w14:paraId="308E2C9F" w14:textId="6AB3C126" w:rsidR="00E524CB" w:rsidRPr="004676F5" w:rsidRDefault="00E524CB" w:rsidP="00E524CB">
      <w:pPr>
        <w:ind w:firstLine="708"/>
        <w:jc w:val="both"/>
        <w:rPr>
          <w:lang w:val="de-DE"/>
        </w:rPr>
      </w:pPr>
      <w:r w:rsidRPr="004676F5">
        <w:rPr>
          <w:lang w:val="de-DE"/>
        </w:rPr>
        <w:t>[</w:t>
      </w:r>
      <w:r w:rsidRPr="004676F5">
        <w:rPr>
          <w:b/>
          <w:bCs/>
          <w:lang w:val="de-DE"/>
        </w:rPr>
        <w:t>Art. XI.332/2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Bestimmungen über Geschäftsgeheimnisse berühren nicht:</w:t>
      </w:r>
    </w:p>
    <w:p w14:paraId="59528FD3" w14:textId="77777777" w:rsidR="00E524CB" w:rsidRPr="004676F5" w:rsidRDefault="00E524CB" w:rsidP="00E524CB">
      <w:pPr>
        <w:ind w:firstLine="708"/>
        <w:jc w:val="both"/>
        <w:rPr>
          <w:lang w:val="de-DE"/>
        </w:rPr>
      </w:pPr>
    </w:p>
    <w:p w14:paraId="4F64771B" w14:textId="77777777" w:rsidR="00E524CB" w:rsidRPr="004676F5" w:rsidRDefault="00E524CB" w:rsidP="00E524CB">
      <w:pPr>
        <w:ind w:firstLine="708"/>
        <w:jc w:val="both"/>
        <w:rPr>
          <w:lang w:val="de-DE"/>
        </w:rPr>
      </w:pPr>
      <w:r w:rsidRPr="004676F5">
        <w:rPr>
          <w:lang w:val="de-DE"/>
        </w:rPr>
        <w:t>1. die Ausübung der Grundrechte, die in den Regeln des internationalen und supranationalen Rechts und der Verfassung verankert sind, insbesondere des Rechts der freien Meinungsäußerung und der Informationsfreiheit, einschließlich der Achtung der Freiheit und der Pluralität der Medien,</w:t>
      </w:r>
    </w:p>
    <w:p w14:paraId="5C3A1E66" w14:textId="77777777" w:rsidR="00E524CB" w:rsidRPr="004676F5" w:rsidRDefault="00E524CB" w:rsidP="00E524CB">
      <w:pPr>
        <w:ind w:firstLine="708"/>
        <w:jc w:val="both"/>
        <w:rPr>
          <w:lang w:val="de-DE"/>
        </w:rPr>
      </w:pPr>
    </w:p>
    <w:p w14:paraId="3CAD15DB" w14:textId="77777777" w:rsidR="00E524CB" w:rsidRPr="004676F5" w:rsidRDefault="00E524CB" w:rsidP="00E524CB">
      <w:pPr>
        <w:ind w:firstLine="708"/>
        <w:jc w:val="both"/>
        <w:rPr>
          <w:lang w:val="de-DE"/>
        </w:rPr>
      </w:pPr>
      <w:r w:rsidRPr="004676F5">
        <w:rPr>
          <w:lang w:val="de-DE"/>
        </w:rPr>
        <w:t>2. die Anwendung von Vorschriften der Europäischen Union oder des nationalen Rechts, nach denen die Inhaber von Geschäftsgeheimnissen verpflichtet sind, aus Gründen des öffentlichen Interesses Informationen, auch Geschäftsgeheimnisse, gegenüber der Öffentlichkeit oder den Verwaltungsbehörden oder den Gerichten offenzulegen, damit diese ihre Aufgaben wahrnehmen können,</w:t>
      </w:r>
    </w:p>
    <w:p w14:paraId="572C547D" w14:textId="77777777" w:rsidR="00E524CB" w:rsidRPr="004676F5" w:rsidRDefault="00E524CB" w:rsidP="00E524CB">
      <w:pPr>
        <w:ind w:firstLine="708"/>
        <w:jc w:val="both"/>
        <w:rPr>
          <w:lang w:val="de-DE"/>
        </w:rPr>
      </w:pPr>
    </w:p>
    <w:p w14:paraId="5AB228C2" w14:textId="77777777" w:rsidR="00E524CB" w:rsidRPr="004676F5" w:rsidRDefault="00E524CB" w:rsidP="00E524CB">
      <w:pPr>
        <w:ind w:firstLine="708"/>
        <w:jc w:val="both"/>
        <w:rPr>
          <w:lang w:val="de-DE"/>
        </w:rPr>
      </w:pPr>
      <w:r w:rsidRPr="004676F5">
        <w:rPr>
          <w:lang w:val="de-DE"/>
        </w:rPr>
        <w:t>3. die Anwendung von Vorschriften der Europäischen Union oder des nationalen Rechts, nach denen es den Organen und Einrichtungen der Europäischen Union oder den nationalen Behörden vorgeschrieben oder gestattet ist, von Unternehmen vorgelegte Informationen offenzulegen, die diese Organe, Einrichtungen oder Behörden in Einhaltung der Pflichten und gemäß den Rechten, die im Recht der Europäischen Union oder im nationalen Recht niedergelegt sind, besitzen,</w:t>
      </w:r>
    </w:p>
    <w:p w14:paraId="7FD28326" w14:textId="77777777" w:rsidR="00E524CB" w:rsidRPr="004676F5" w:rsidRDefault="00E524CB" w:rsidP="00E524CB">
      <w:pPr>
        <w:ind w:firstLine="708"/>
        <w:jc w:val="both"/>
        <w:rPr>
          <w:lang w:val="de-DE"/>
        </w:rPr>
      </w:pPr>
    </w:p>
    <w:p w14:paraId="49FE3F7E" w14:textId="77777777" w:rsidR="00E524CB" w:rsidRPr="004676F5" w:rsidRDefault="00E524CB" w:rsidP="00E524CB">
      <w:pPr>
        <w:ind w:firstLine="708"/>
        <w:jc w:val="both"/>
        <w:rPr>
          <w:lang w:val="de-DE"/>
        </w:rPr>
      </w:pPr>
      <w:r w:rsidRPr="004676F5">
        <w:rPr>
          <w:lang w:val="de-DE"/>
        </w:rPr>
        <w:t>4. die Autonomie der Sozialpartner und ihr Recht, Kollektivverträge gemäß dem Recht der Europäischen Union, dem nationalen Recht und den nationalen Gepflogenheiten einzugehen.</w:t>
      </w:r>
    </w:p>
    <w:p w14:paraId="39D693D3" w14:textId="77777777" w:rsidR="00E524CB" w:rsidRPr="004676F5" w:rsidRDefault="00E524CB" w:rsidP="00E524CB">
      <w:pPr>
        <w:ind w:firstLine="708"/>
        <w:jc w:val="both"/>
        <w:rPr>
          <w:lang w:val="de-DE"/>
        </w:rPr>
      </w:pPr>
    </w:p>
    <w:p w14:paraId="77F1D154" w14:textId="3292D505" w:rsidR="00E524CB" w:rsidRPr="004676F5" w:rsidRDefault="00E524CB" w:rsidP="00E524CB">
      <w:pPr>
        <w:ind w:firstLine="708"/>
        <w:jc w:val="both"/>
        <w:rPr>
          <w:lang w:val="de-DE"/>
        </w:rPr>
      </w:pPr>
      <w:r w:rsidRPr="004676F5">
        <w:rPr>
          <w:lang w:val="de-DE"/>
        </w:rPr>
        <w:t>§ 2 </w:t>
      </w:r>
      <w:r w:rsidR="005B7A5C" w:rsidRPr="004676F5">
        <w:rPr>
          <w:lang w:val="de-DE"/>
        </w:rPr>
        <w:t>- </w:t>
      </w:r>
      <w:r w:rsidRPr="004676F5">
        <w:rPr>
          <w:lang w:val="de-DE"/>
        </w:rPr>
        <w:t>Die Bestimmungen über die Geschäftsgeheimnisse dürfen nicht so ausgelegt werden, dass sie eine Grundlage dafür bieten, die Mobilität der Arbeitnehmer zu beschränken. Was die Ausübung dieser Mobilität anbelangt, so bieten diese Bestimmungen insbesondere keinerlei Grund für:</w:t>
      </w:r>
    </w:p>
    <w:p w14:paraId="12F86EE4" w14:textId="77777777" w:rsidR="00E524CB" w:rsidRPr="004676F5" w:rsidRDefault="00E524CB" w:rsidP="00E524CB">
      <w:pPr>
        <w:ind w:firstLine="708"/>
        <w:jc w:val="both"/>
        <w:rPr>
          <w:lang w:val="de-DE"/>
        </w:rPr>
      </w:pPr>
    </w:p>
    <w:p w14:paraId="5FC2DF8B" w14:textId="77777777" w:rsidR="00E524CB" w:rsidRPr="004676F5" w:rsidRDefault="00E524CB" w:rsidP="00E524CB">
      <w:pPr>
        <w:ind w:firstLine="708"/>
        <w:jc w:val="both"/>
        <w:rPr>
          <w:lang w:val="de-DE"/>
        </w:rPr>
      </w:pPr>
      <w:r w:rsidRPr="004676F5">
        <w:rPr>
          <w:lang w:val="de-DE"/>
        </w:rPr>
        <w:t>1. die Beschränkung der Nutzung von Informationen, die kein Geschäftsgeheimnis im Sinne des Artikels I.17/1 Nr. 1 darstellen, durch die Arbeitnehmer,</w:t>
      </w:r>
    </w:p>
    <w:p w14:paraId="5206B29C" w14:textId="77777777" w:rsidR="00E524CB" w:rsidRPr="004676F5" w:rsidRDefault="00E524CB" w:rsidP="00E524CB">
      <w:pPr>
        <w:ind w:firstLine="708"/>
        <w:jc w:val="both"/>
        <w:rPr>
          <w:lang w:val="de-DE"/>
        </w:rPr>
      </w:pPr>
    </w:p>
    <w:p w14:paraId="65FEDFB7" w14:textId="77777777" w:rsidR="00E524CB" w:rsidRPr="004676F5" w:rsidRDefault="00E524CB" w:rsidP="00E524CB">
      <w:pPr>
        <w:ind w:firstLine="708"/>
        <w:jc w:val="both"/>
        <w:rPr>
          <w:lang w:val="de-DE"/>
        </w:rPr>
      </w:pPr>
      <w:r w:rsidRPr="004676F5">
        <w:rPr>
          <w:lang w:val="de-DE"/>
        </w:rPr>
        <w:t>2. die Beschränkung der Nutzung von Erfahrungen und Fähigkeiten, die Arbeitnehmer in der normalen Ausübung ihrer Tätigkeit auf ehrliche Weise erworben haben,</w:t>
      </w:r>
    </w:p>
    <w:p w14:paraId="7DD94F89" w14:textId="77777777" w:rsidR="00E524CB" w:rsidRPr="004676F5" w:rsidRDefault="00E524CB" w:rsidP="00E524CB">
      <w:pPr>
        <w:ind w:firstLine="708"/>
        <w:jc w:val="both"/>
        <w:rPr>
          <w:lang w:val="de-DE"/>
        </w:rPr>
      </w:pPr>
    </w:p>
    <w:p w14:paraId="1C84CC41" w14:textId="77777777" w:rsidR="00E524CB" w:rsidRPr="004676F5" w:rsidRDefault="00E524CB">
      <w:pPr>
        <w:rPr>
          <w:lang w:val="de-DE"/>
        </w:rPr>
      </w:pPr>
      <w:r w:rsidRPr="004676F5">
        <w:rPr>
          <w:lang w:val="de-DE"/>
        </w:rPr>
        <w:br w:type="page"/>
      </w:r>
    </w:p>
    <w:p w14:paraId="14CD35BB" w14:textId="20DEC052" w:rsidR="00E524CB" w:rsidRPr="004676F5" w:rsidRDefault="00E524CB" w:rsidP="00E524CB">
      <w:pPr>
        <w:ind w:firstLine="708"/>
        <w:jc w:val="both"/>
        <w:rPr>
          <w:lang w:val="de-DE"/>
        </w:rPr>
      </w:pPr>
      <w:r w:rsidRPr="004676F5">
        <w:rPr>
          <w:lang w:val="de-DE"/>
        </w:rPr>
        <w:lastRenderedPageBreak/>
        <w:t>3. die Auferlegung zusätzlicher Beschränkungen für Arbeitnehmer in ihren Arbeitsverträgen, die nicht gemäß dem Recht der Europäischen Union oder dem nationalen Recht auferlegt werden.]</w:t>
      </w:r>
    </w:p>
    <w:p w14:paraId="6A871565" w14:textId="77777777" w:rsidR="00E524CB" w:rsidRPr="004676F5" w:rsidRDefault="00E524CB" w:rsidP="00E524CB">
      <w:pPr>
        <w:jc w:val="both"/>
        <w:rPr>
          <w:i/>
          <w:iCs/>
          <w:lang w:val="de-DE"/>
        </w:rPr>
      </w:pPr>
    </w:p>
    <w:p w14:paraId="20A055AC" w14:textId="5EC9C77B" w:rsidR="00E524CB" w:rsidRPr="004676F5" w:rsidRDefault="00E524CB" w:rsidP="00E524CB">
      <w:pPr>
        <w:jc w:val="both"/>
        <w:rPr>
          <w:i/>
          <w:iCs/>
          <w:lang w:val="de-DE"/>
        </w:rPr>
      </w:pPr>
      <w:r w:rsidRPr="004676F5">
        <w:rPr>
          <w:i/>
          <w:iCs/>
          <w:lang w:val="de-DE"/>
        </w:rPr>
        <w:t>[Art. XI.332/2 eingefügt durch Art. 6</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7127EE67" w14:textId="77777777" w:rsidR="00E524CB" w:rsidRPr="004676F5" w:rsidRDefault="00E524CB" w:rsidP="00E524CB">
      <w:pPr>
        <w:ind w:firstLine="708"/>
        <w:rPr>
          <w:lang w:val="de-DE"/>
        </w:rPr>
      </w:pPr>
    </w:p>
    <w:p w14:paraId="1F92FD42" w14:textId="77777777" w:rsidR="00E524CB" w:rsidRPr="004676F5" w:rsidRDefault="00E524CB" w:rsidP="00E524CB">
      <w:pPr>
        <w:ind w:firstLine="708"/>
        <w:jc w:val="both"/>
        <w:rPr>
          <w:lang w:val="de-DE"/>
        </w:rPr>
      </w:pPr>
    </w:p>
    <w:p w14:paraId="5F92F571" w14:textId="79EEC08C" w:rsidR="00E524CB" w:rsidRPr="004676F5" w:rsidRDefault="00E524CB" w:rsidP="00E524CB">
      <w:pPr>
        <w:ind w:firstLine="708"/>
        <w:jc w:val="both"/>
        <w:rPr>
          <w:lang w:val="de-DE"/>
        </w:rPr>
      </w:pPr>
      <w:r w:rsidRPr="004676F5">
        <w:rPr>
          <w:lang w:val="de-DE"/>
        </w:rPr>
        <w:t>[</w:t>
      </w:r>
      <w:r w:rsidRPr="004676F5">
        <w:rPr>
          <w:b/>
          <w:bCs/>
          <w:lang w:val="de-DE"/>
        </w:rPr>
        <w:t>Art. XI.332/3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Erwerb eines Geschäftsgeheimnisses gilt als rechtmäßig, wenn das Geschäftsgeheimnis auf eine der folgenden Weisen erlangt wird:</w:t>
      </w:r>
    </w:p>
    <w:p w14:paraId="23DED2A9" w14:textId="77777777" w:rsidR="00E524CB" w:rsidRPr="004676F5" w:rsidRDefault="00E524CB" w:rsidP="00E524CB">
      <w:pPr>
        <w:ind w:firstLine="708"/>
        <w:jc w:val="both"/>
        <w:rPr>
          <w:lang w:val="de-DE"/>
        </w:rPr>
      </w:pPr>
    </w:p>
    <w:p w14:paraId="3644525F" w14:textId="77777777" w:rsidR="00E524CB" w:rsidRPr="004676F5" w:rsidRDefault="00E524CB" w:rsidP="00E524CB">
      <w:pPr>
        <w:ind w:firstLine="708"/>
        <w:jc w:val="both"/>
        <w:rPr>
          <w:lang w:val="de-DE"/>
        </w:rPr>
      </w:pPr>
      <w:r w:rsidRPr="004676F5">
        <w:rPr>
          <w:lang w:val="de-DE"/>
        </w:rPr>
        <w:t>1. unabhängige Entdeckung oder Schöpfung,</w:t>
      </w:r>
    </w:p>
    <w:p w14:paraId="7618CA18" w14:textId="77777777" w:rsidR="00E524CB" w:rsidRPr="004676F5" w:rsidRDefault="00E524CB" w:rsidP="00E524CB">
      <w:pPr>
        <w:ind w:firstLine="708"/>
        <w:jc w:val="both"/>
        <w:rPr>
          <w:lang w:val="de-DE"/>
        </w:rPr>
      </w:pPr>
    </w:p>
    <w:p w14:paraId="300DF4C7" w14:textId="77777777" w:rsidR="00E524CB" w:rsidRPr="004676F5" w:rsidRDefault="00E524CB" w:rsidP="00E524CB">
      <w:pPr>
        <w:ind w:firstLine="708"/>
        <w:jc w:val="both"/>
        <w:rPr>
          <w:lang w:val="de-DE"/>
        </w:rPr>
      </w:pPr>
      <w:r w:rsidRPr="004676F5">
        <w:rPr>
          <w:lang w:val="de-DE"/>
        </w:rPr>
        <w:t>2. Beobachtung, Untersuchung, Rückbau oder Testen eines Produkts oder Gegenstands, das/der öffentlich verfügbar gemacht wurde oder sich im rechtmäßigen Besitz des Erwerbers der Information befindet, der keiner rechtsgültigen Pflicht zur Beschränkung des Erwerbs des Geschäftsgeheimnisses unterliegt,</w:t>
      </w:r>
    </w:p>
    <w:p w14:paraId="22744C17" w14:textId="77777777" w:rsidR="00E524CB" w:rsidRPr="004676F5" w:rsidRDefault="00E524CB" w:rsidP="00E524CB">
      <w:pPr>
        <w:ind w:firstLine="708"/>
        <w:jc w:val="both"/>
        <w:rPr>
          <w:lang w:val="de-DE"/>
        </w:rPr>
      </w:pPr>
    </w:p>
    <w:p w14:paraId="6297C101" w14:textId="77777777" w:rsidR="00E524CB" w:rsidRPr="004676F5" w:rsidRDefault="00E524CB" w:rsidP="00E524CB">
      <w:pPr>
        <w:ind w:firstLine="708"/>
        <w:jc w:val="both"/>
        <w:rPr>
          <w:lang w:val="de-DE"/>
        </w:rPr>
      </w:pPr>
      <w:r w:rsidRPr="004676F5">
        <w:rPr>
          <w:lang w:val="de-DE"/>
        </w:rPr>
        <w:t>3. Inanspruchnahme des Rechts der Arbeitnehmer oder Arbeitnehmervertreter auf Information und Anhörung gemäß dem Recht der Europäischen Union, dem nationalen Recht und den nationalen Gepflogenheiten,</w:t>
      </w:r>
    </w:p>
    <w:p w14:paraId="72D43B78" w14:textId="77777777" w:rsidR="00E524CB" w:rsidRPr="004676F5" w:rsidRDefault="00E524CB" w:rsidP="00E524CB">
      <w:pPr>
        <w:ind w:firstLine="708"/>
        <w:jc w:val="both"/>
        <w:rPr>
          <w:lang w:val="de-DE"/>
        </w:rPr>
      </w:pPr>
    </w:p>
    <w:p w14:paraId="52FA7150" w14:textId="77777777" w:rsidR="00E524CB" w:rsidRPr="004676F5" w:rsidRDefault="00E524CB" w:rsidP="00E524CB">
      <w:pPr>
        <w:ind w:firstLine="708"/>
        <w:jc w:val="both"/>
        <w:rPr>
          <w:lang w:val="de-DE"/>
        </w:rPr>
      </w:pPr>
      <w:r w:rsidRPr="004676F5">
        <w:rPr>
          <w:lang w:val="de-DE"/>
        </w:rPr>
        <w:t>4. jede andere Vorgehensweise, die unter den gegebenen Umständen mit einer seriösen Geschäftspraxis vereinbar ist.</w:t>
      </w:r>
    </w:p>
    <w:p w14:paraId="6CD9FAAD" w14:textId="77777777" w:rsidR="00E524CB" w:rsidRPr="004676F5" w:rsidRDefault="00E524CB" w:rsidP="00E524CB">
      <w:pPr>
        <w:ind w:firstLine="708"/>
        <w:jc w:val="both"/>
        <w:rPr>
          <w:lang w:val="de-DE"/>
        </w:rPr>
      </w:pPr>
    </w:p>
    <w:p w14:paraId="0172BF47" w14:textId="41DE268F" w:rsidR="00E524CB" w:rsidRPr="004676F5" w:rsidRDefault="00E524CB" w:rsidP="00E524CB">
      <w:pPr>
        <w:ind w:firstLine="708"/>
        <w:jc w:val="both"/>
        <w:rPr>
          <w:lang w:val="de-DE"/>
        </w:rPr>
      </w:pPr>
      <w:r w:rsidRPr="004676F5">
        <w:rPr>
          <w:lang w:val="de-DE"/>
        </w:rPr>
        <w:t>§ 2 </w:t>
      </w:r>
      <w:r w:rsidR="005B7A5C" w:rsidRPr="004676F5">
        <w:rPr>
          <w:lang w:val="de-DE"/>
        </w:rPr>
        <w:t>- </w:t>
      </w:r>
      <w:r w:rsidRPr="004676F5">
        <w:rPr>
          <w:lang w:val="de-DE"/>
        </w:rPr>
        <w:t>Der Erwerb, die Nutzung oder die Offenlegung eines Geschäftsgeheimnisses gilt insofern als rechtmäßig, als der Erwerb, die Nutzung oder die Offenlegung durch das Recht der Europäischen Union oder das nationale Recht vorgeschrieben oder erlaubt ist.]</w:t>
      </w:r>
    </w:p>
    <w:p w14:paraId="6E6EB3C1" w14:textId="27F2DDF6" w:rsidR="00E524CB" w:rsidRPr="004676F5" w:rsidRDefault="00E524CB" w:rsidP="00E524CB">
      <w:pPr>
        <w:ind w:firstLine="708"/>
        <w:jc w:val="both"/>
        <w:rPr>
          <w:lang w:val="de-DE"/>
        </w:rPr>
      </w:pPr>
    </w:p>
    <w:p w14:paraId="12BCD95F" w14:textId="410020B3" w:rsidR="00E524CB" w:rsidRPr="004676F5" w:rsidRDefault="00E524CB" w:rsidP="00E524CB">
      <w:pPr>
        <w:jc w:val="both"/>
        <w:rPr>
          <w:i/>
          <w:iCs/>
          <w:lang w:val="de-DE"/>
        </w:rPr>
      </w:pPr>
      <w:r w:rsidRPr="004676F5">
        <w:rPr>
          <w:i/>
          <w:iCs/>
          <w:lang w:val="de-DE"/>
        </w:rPr>
        <w:t>[Art. XI.332/3 eingefügt durch Art. 7</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2B3A011B" w14:textId="77777777" w:rsidR="00E524CB" w:rsidRPr="004676F5" w:rsidRDefault="00E524CB" w:rsidP="00E524CB">
      <w:pPr>
        <w:ind w:firstLine="708"/>
        <w:jc w:val="both"/>
        <w:rPr>
          <w:lang w:val="de-DE"/>
        </w:rPr>
      </w:pPr>
    </w:p>
    <w:p w14:paraId="3F240732" w14:textId="77777777" w:rsidR="00E524CB" w:rsidRPr="004676F5" w:rsidRDefault="00E524CB" w:rsidP="00E524CB">
      <w:pPr>
        <w:ind w:firstLine="708"/>
        <w:jc w:val="both"/>
        <w:rPr>
          <w:lang w:val="de-DE"/>
        </w:rPr>
      </w:pPr>
    </w:p>
    <w:p w14:paraId="2668C5A7" w14:textId="5002D130" w:rsidR="00E524CB" w:rsidRPr="004676F5" w:rsidRDefault="00E524CB" w:rsidP="00E524CB">
      <w:pPr>
        <w:ind w:firstLine="708"/>
        <w:jc w:val="both"/>
        <w:rPr>
          <w:lang w:val="de-DE"/>
        </w:rPr>
      </w:pPr>
      <w:r w:rsidRPr="004676F5">
        <w:rPr>
          <w:lang w:val="de-DE"/>
        </w:rPr>
        <w:t>[</w:t>
      </w:r>
      <w:r w:rsidRPr="004676F5">
        <w:rPr>
          <w:b/>
          <w:bCs/>
          <w:lang w:val="de-DE"/>
        </w:rPr>
        <w:t>Art. XI.332/4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Erwerb eines Geschäftsgeheimnisses ohne Zustimmung des Inhabers des Geschäftsgeheimnisses gilt als rechtswidrig, wenn er erfolgt durch:</w:t>
      </w:r>
    </w:p>
    <w:p w14:paraId="1C7352DD" w14:textId="77777777" w:rsidR="00E524CB" w:rsidRPr="004676F5" w:rsidRDefault="00E524CB" w:rsidP="00E524CB">
      <w:pPr>
        <w:ind w:firstLine="708"/>
        <w:jc w:val="both"/>
        <w:rPr>
          <w:lang w:val="de-DE"/>
        </w:rPr>
      </w:pPr>
    </w:p>
    <w:p w14:paraId="0F3EAECC" w14:textId="77777777" w:rsidR="00E524CB" w:rsidRPr="004676F5" w:rsidRDefault="00E524CB" w:rsidP="00E524CB">
      <w:pPr>
        <w:ind w:firstLine="708"/>
        <w:jc w:val="both"/>
        <w:rPr>
          <w:lang w:val="de-DE"/>
        </w:rPr>
      </w:pPr>
      <w:r w:rsidRPr="004676F5">
        <w:rPr>
          <w:lang w:val="de-DE"/>
        </w:rPr>
        <w:t>1. unbefugten Zugang zu, unbefugte Aneignung oder unbefugtes Kopieren von Dokumenten, Gegenständen, Materialien, Stoffen oder elektronischen Dateien, die der rechtmäßigen Kontrolle durch den Inhaber des Geschäftsgeheimnisses unterliegen und die das Geschäftsgeheimnis enthalten oder aus denen sich das Geschäftsgeheimnis ableiten lässt,</w:t>
      </w:r>
    </w:p>
    <w:p w14:paraId="72C478A9" w14:textId="77777777" w:rsidR="00E524CB" w:rsidRPr="004676F5" w:rsidRDefault="00E524CB" w:rsidP="00E524CB">
      <w:pPr>
        <w:ind w:firstLine="708"/>
        <w:jc w:val="both"/>
        <w:rPr>
          <w:lang w:val="de-DE"/>
        </w:rPr>
      </w:pPr>
    </w:p>
    <w:p w14:paraId="7655E034" w14:textId="77777777" w:rsidR="00E524CB" w:rsidRPr="004676F5" w:rsidRDefault="00E524CB" w:rsidP="00E524CB">
      <w:pPr>
        <w:ind w:firstLine="708"/>
        <w:jc w:val="both"/>
        <w:rPr>
          <w:lang w:val="de-DE"/>
        </w:rPr>
      </w:pPr>
      <w:r w:rsidRPr="004676F5">
        <w:rPr>
          <w:lang w:val="de-DE"/>
        </w:rPr>
        <w:t>2. jedes sonstige Verhalten, das unter den jeweiligen Umständen als mit einer seriösen Geschäftspraxis nicht vereinbar gilt.</w:t>
      </w:r>
    </w:p>
    <w:p w14:paraId="578731FC" w14:textId="77777777" w:rsidR="00E524CB" w:rsidRPr="004676F5" w:rsidRDefault="00E524CB" w:rsidP="00E524CB">
      <w:pPr>
        <w:ind w:firstLine="708"/>
        <w:jc w:val="both"/>
        <w:rPr>
          <w:lang w:val="de-DE"/>
        </w:rPr>
      </w:pPr>
    </w:p>
    <w:p w14:paraId="78957D90" w14:textId="42E0324E" w:rsidR="00E524CB" w:rsidRPr="004676F5" w:rsidRDefault="00E524CB" w:rsidP="00E524CB">
      <w:pPr>
        <w:ind w:firstLine="708"/>
        <w:jc w:val="both"/>
        <w:rPr>
          <w:lang w:val="de-DE"/>
        </w:rPr>
      </w:pPr>
      <w:r w:rsidRPr="004676F5">
        <w:rPr>
          <w:lang w:val="de-DE"/>
        </w:rPr>
        <w:t>§ 2 </w:t>
      </w:r>
      <w:r w:rsidR="005B7A5C" w:rsidRPr="004676F5">
        <w:rPr>
          <w:lang w:val="de-DE"/>
        </w:rPr>
        <w:t>- </w:t>
      </w:r>
      <w:r w:rsidRPr="004676F5">
        <w:rPr>
          <w:lang w:val="de-DE"/>
        </w:rPr>
        <w:t>Die Nutzung oder Offenlegung eines Geschäftsgeheimnisses gilt als rechtswidrig, wenn sie ohne Zustimmung des Inhabers des Geschäftsgeheimnisses durch eine Person erfolgt, von der sich erweist, dass auf sie eine der folgenden Bedingungen zutrifft:</w:t>
      </w:r>
    </w:p>
    <w:p w14:paraId="19FF0888" w14:textId="77777777" w:rsidR="00E524CB" w:rsidRPr="004676F5" w:rsidRDefault="00E524CB" w:rsidP="00E524CB">
      <w:pPr>
        <w:ind w:firstLine="708"/>
        <w:jc w:val="both"/>
        <w:rPr>
          <w:lang w:val="de-DE"/>
        </w:rPr>
      </w:pPr>
    </w:p>
    <w:p w14:paraId="67F70FC3" w14:textId="77777777" w:rsidR="00E524CB" w:rsidRPr="004676F5" w:rsidRDefault="00E524CB" w:rsidP="00E524CB">
      <w:pPr>
        <w:ind w:firstLine="708"/>
        <w:jc w:val="both"/>
        <w:rPr>
          <w:lang w:val="de-DE"/>
        </w:rPr>
      </w:pPr>
      <w:r w:rsidRPr="004676F5">
        <w:rPr>
          <w:lang w:val="de-DE"/>
        </w:rPr>
        <w:t>1. Sie hat das Geschäftsgeheimnis auf rechtswidrige Weise erworben.</w:t>
      </w:r>
    </w:p>
    <w:p w14:paraId="0C249B30" w14:textId="77777777" w:rsidR="00E524CB" w:rsidRPr="004676F5" w:rsidRDefault="00E524CB" w:rsidP="00E524CB">
      <w:pPr>
        <w:ind w:firstLine="708"/>
        <w:jc w:val="both"/>
        <w:rPr>
          <w:lang w:val="de-DE"/>
        </w:rPr>
      </w:pPr>
    </w:p>
    <w:p w14:paraId="736230C3" w14:textId="77777777" w:rsidR="00E524CB" w:rsidRPr="004676F5" w:rsidRDefault="00E524CB" w:rsidP="00E524CB">
      <w:pPr>
        <w:ind w:firstLine="708"/>
        <w:jc w:val="both"/>
        <w:rPr>
          <w:lang w:val="de-DE"/>
        </w:rPr>
      </w:pPr>
      <w:r w:rsidRPr="004676F5">
        <w:rPr>
          <w:lang w:val="de-DE"/>
        </w:rPr>
        <w:t>2. Sie verstößt gegen eine Vertraulichkeitsvereinbarung oder eine sonstige Verpflichtung, das Geschäftsgeheimnis nicht offenzulegen.</w:t>
      </w:r>
    </w:p>
    <w:p w14:paraId="18F5AF1D" w14:textId="77777777" w:rsidR="00E524CB" w:rsidRPr="004676F5" w:rsidRDefault="00E524CB" w:rsidP="00E524CB">
      <w:pPr>
        <w:ind w:firstLine="708"/>
        <w:jc w:val="both"/>
        <w:rPr>
          <w:lang w:val="de-DE"/>
        </w:rPr>
      </w:pPr>
    </w:p>
    <w:p w14:paraId="244BB232" w14:textId="77777777" w:rsidR="00E524CB" w:rsidRPr="004676F5" w:rsidRDefault="00E524CB" w:rsidP="00E524CB">
      <w:pPr>
        <w:ind w:firstLine="708"/>
        <w:jc w:val="both"/>
        <w:rPr>
          <w:lang w:val="de-DE"/>
        </w:rPr>
      </w:pPr>
      <w:r w:rsidRPr="004676F5">
        <w:rPr>
          <w:lang w:val="de-DE"/>
        </w:rPr>
        <w:lastRenderedPageBreak/>
        <w:t>3. Sie verstößt gegen eine vertragliche oder sonstige Verpflichtung zur Beschränkung der Nutzung des Geschäftsgeheimnisses.</w:t>
      </w:r>
    </w:p>
    <w:p w14:paraId="06FFE6A8" w14:textId="77777777" w:rsidR="00E524CB" w:rsidRPr="004676F5" w:rsidRDefault="00E524CB" w:rsidP="00E524CB">
      <w:pPr>
        <w:ind w:firstLine="708"/>
        <w:jc w:val="both"/>
        <w:rPr>
          <w:lang w:val="de-DE"/>
        </w:rPr>
      </w:pPr>
    </w:p>
    <w:p w14:paraId="2240813E" w14:textId="6EE35791" w:rsidR="00E524CB" w:rsidRPr="004676F5" w:rsidRDefault="00E524CB" w:rsidP="00E524CB">
      <w:pPr>
        <w:ind w:firstLine="708"/>
        <w:jc w:val="both"/>
        <w:rPr>
          <w:lang w:val="de-DE"/>
        </w:rPr>
      </w:pPr>
      <w:r w:rsidRPr="004676F5">
        <w:rPr>
          <w:lang w:val="de-DE"/>
        </w:rPr>
        <w:t>§ 3 </w:t>
      </w:r>
      <w:r w:rsidR="005B7A5C" w:rsidRPr="004676F5">
        <w:rPr>
          <w:lang w:val="de-DE"/>
        </w:rPr>
        <w:t>- </w:t>
      </w:r>
      <w:r w:rsidRPr="004676F5">
        <w:rPr>
          <w:lang w:val="de-DE"/>
        </w:rPr>
        <w:t>Ebenfalls als rechtswidrig gilt der Erwerb, die Nutzung oder die Offenlegung eines Geschäftsgeheimnisses, wenn eine Person zum Zeitpunkt des Erwerbs, der Nutzung oder der Offenlegung wusste oder unter den gegebenen Umständen hätte wissen müssen, dass sie unmittelbar oder mittelbar über eine andere Person in den Besitz des Geschäftsgeheimnisses gelangt war, die dieses rechtswidrig im Sinne von § 2 genutzt oder offengelegt hat.</w:t>
      </w:r>
    </w:p>
    <w:p w14:paraId="1FAAE292" w14:textId="77777777" w:rsidR="00E524CB" w:rsidRPr="004676F5" w:rsidRDefault="00E524CB" w:rsidP="00E524CB">
      <w:pPr>
        <w:ind w:firstLine="708"/>
        <w:jc w:val="both"/>
        <w:rPr>
          <w:lang w:val="de-DE"/>
        </w:rPr>
      </w:pPr>
    </w:p>
    <w:p w14:paraId="79C2B39B" w14:textId="6B6DD529" w:rsidR="00E524CB" w:rsidRPr="004676F5" w:rsidRDefault="00E524CB" w:rsidP="00E524CB">
      <w:pPr>
        <w:ind w:firstLine="708"/>
        <w:jc w:val="both"/>
        <w:rPr>
          <w:lang w:val="de-DE"/>
        </w:rPr>
      </w:pPr>
      <w:r w:rsidRPr="004676F5">
        <w:rPr>
          <w:lang w:val="de-DE"/>
        </w:rPr>
        <w:t>§ 4 </w:t>
      </w:r>
      <w:r w:rsidR="005B7A5C" w:rsidRPr="004676F5">
        <w:rPr>
          <w:lang w:val="de-DE"/>
        </w:rPr>
        <w:t>- </w:t>
      </w:r>
      <w:r w:rsidRPr="004676F5">
        <w:rPr>
          <w:lang w:val="de-DE"/>
        </w:rPr>
        <w:t>Das Herstellen, Anbieten oder Inverkehrbringen von rechtsverletzenden Produkten oder die Einfuhr, Ausfuhr oder Lagerung von rechtsverletzenden Produkten für diese Zwecke stellt ebenfalls eine rechtswidrige Nutzung eines Geschäftsgeheimnisses dar, wenn die Person, die diese Tätigkeiten durchführt, wusste oder unter den gegebenen Umständen hätte wissen müssen, dass das Geschäftsgeheimnis rechtswidrig im Sinne von § 2 genutzt wurde.]</w:t>
      </w:r>
    </w:p>
    <w:p w14:paraId="1FE9B60E" w14:textId="63FA017D" w:rsidR="00E524CB" w:rsidRPr="004676F5" w:rsidRDefault="00E524CB" w:rsidP="00E524CB">
      <w:pPr>
        <w:ind w:firstLine="708"/>
        <w:jc w:val="both"/>
        <w:rPr>
          <w:lang w:val="de-DE"/>
        </w:rPr>
      </w:pPr>
    </w:p>
    <w:p w14:paraId="44282E2B" w14:textId="41EB8B35" w:rsidR="00E524CB" w:rsidRPr="004676F5" w:rsidRDefault="00E524CB" w:rsidP="00E524CB">
      <w:pPr>
        <w:jc w:val="both"/>
        <w:rPr>
          <w:i/>
          <w:iCs/>
          <w:lang w:val="de-DE"/>
        </w:rPr>
      </w:pPr>
      <w:r w:rsidRPr="004676F5">
        <w:rPr>
          <w:i/>
          <w:iCs/>
          <w:lang w:val="de-DE"/>
        </w:rPr>
        <w:t>[Art. XI.332/4 eingefügt durch Art. 8</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0918006A" w14:textId="77777777" w:rsidR="00E524CB" w:rsidRPr="004676F5" w:rsidRDefault="00E524CB" w:rsidP="00E524CB">
      <w:pPr>
        <w:ind w:firstLine="708"/>
        <w:jc w:val="both"/>
        <w:rPr>
          <w:lang w:val="de-DE"/>
        </w:rPr>
      </w:pPr>
    </w:p>
    <w:p w14:paraId="3D7146D5" w14:textId="77777777" w:rsidR="00E524CB" w:rsidRPr="004676F5" w:rsidRDefault="00E524CB" w:rsidP="00E524CB">
      <w:pPr>
        <w:jc w:val="both"/>
        <w:rPr>
          <w:lang w:val="de-DE"/>
        </w:rPr>
      </w:pPr>
    </w:p>
    <w:p w14:paraId="723ADB40" w14:textId="20CFB7FA" w:rsidR="00E524CB" w:rsidRPr="004676F5" w:rsidRDefault="00E524CB" w:rsidP="00E524CB">
      <w:pPr>
        <w:ind w:firstLine="708"/>
        <w:jc w:val="both"/>
        <w:rPr>
          <w:lang w:val="de-DE"/>
        </w:rPr>
      </w:pPr>
      <w:r w:rsidRPr="004676F5">
        <w:rPr>
          <w:lang w:val="de-DE"/>
        </w:rPr>
        <w:t>[</w:t>
      </w:r>
      <w:r w:rsidRPr="004676F5">
        <w:rPr>
          <w:b/>
          <w:bCs/>
          <w:lang w:val="de-DE"/>
        </w:rPr>
        <w:t>Art. XI.332/5</w:t>
      </w:r>
      <w:r w:rsidRPr="004676F5">
        <w:rPr>
          <w:lang w:val="de-DE"/>
        </w:rPr>
        <w:t> </w:t>
      </w:r>
      <w:r w:rsidR="005B7A5C" w:rsidRPr="004676F5">
        <w:rPr>
          <w:lang w:val="de-DE"/>
        </w:rPr>
        <w:t>- </w:t>
      </w:r>
      <w:r w:rsidRPr="004676F5">
        <w:rPr>
          <w:lang w:val="de-DE"/>
        </w:rPr>
        <w:t>Ein Antrag auf Anwendung von Maßnahmen, Verfahren und Rechts</w:t>
      </w:r>
      <w:r w:rsidRPr="004676F5">
        <w:rPr>
          <w:lang w:val="de-DE"/>
        </w:rPr>
        <w:softHyphen/>
        <w:t>behelfen in Bezug auf rechtswidrigen Erwerb oder rechtswidrige Nutzung oder Offenlegung eines Geschäftsgeheimnisses wird abgelehnt, wenn der angebliche Erwerb oder die angebliche Nutzung oder Offenlegung des Geschäftsgeheimnisses in einem der folgenden Fälle erfolgt ist:</w:t>
      </w:r>
    </w:p>
    <w:p w14:paraId="56FA0C60" w14:textId="77777777" w:rsidR="00E524CB" w:rsidRPr="004676F5" w:rsidRDefault="00E524CB" w:rsidP="00E524CB">
      <w:pPr>
        <w:ind w:firstLine="708"/>
        <w:jc w:val="both"/>
        <w:rPr>
          <w:lang w:val="de-DE"/>
        </w:rPr>
      </w:pPr>
    </w:p>
    <w:p w14:paraId="51B9AEE4" w14:textId="77777777" w:rsidR="00E524CB" w:rsidRPr="004676F5" w:rsidRDefault="00E524CB" w:rsidP="00E524CB">
      <w:pPr>
        <w:ind w:firstLine="708"/>
        <w:jc w:val="both"/>
        <w:rPr>
          <w:lang w:val="de-DE"/>
        </w:rPr>
      </w:pPr>
      <w:r w:rsidRPr="004676F5">
        <w:rPr>
          <w:lang w:val="de-DE"/>
        </w:rPr>
        <w:t>1. zur Ausübung des Rechts der freien Meinungsäußerung und der Informationsfreiheit gemäß den Regeln des internationalen und supranationalen Rechts und der Verfassung, einschließlich der Achtung der Freiheit und der Pluralität der Medien,</w:t>
      </w:r>
    </w:p>
    <w:p w14:paraId="5B774FDF" w14:textId="77777777" w:rsidR="00E524CB" w:rsidRPr="004676F5" w:rsidRDefault="00E524CB" w:rsidP="00E524CB">
      <w:pPr>
        <w:ind w:firstLine="708"/>
        <w:jc w:val="both"/>
        <w:rPr>
          <w:lang w:val="de-DE"/>
        </w:rPr>
      </w:pPr>
    </w:p>
    <w:p w14:paraId="0B3FFF32" w14:textId="77777777" w:rsidR="00E524CB" w:rsidRPr="004676F5" w:rsidRDefault="00E524CB" w:rsidP="00E524CB">
      <w:pPr>
        <w:ind w:firstLine="708"/>
        <w:jc w:val="both"/>
        <w:rPr>
          <w:lang w:val="de-DE"/>
        </w:rPr>
      </w:pPr>
      <w:r w:rsidRPr="004676F5">
        <w:rPr>
          <w:lang w:val="de-DE"/>
        </w:rPr>
        <w:t>2. zur Aufdeckung eines beruflichen oder sonstigen Fehlverhaltens oder einer illegalen Tätigkeit, sofern der Antragsgegner in der Absicht gehandelt hat, das allgemeine öffentliche Interesse zu schützen,</w:t>
      </w:r>
    </w:p>
    <w:p w14:paraId="312DEB32" w14:textId="77777777" w:rsidR="00E524CB" w:rsidRPr="004676F5" w:rsidRDefault="00E524CB" w:rsidP="00E524CB">
      <w:pPr>
        <w:ind w:firstLine="708"/>
        <w:jc w:val="both"/>
        <w:rPr>
          <w:lang w:val="de-DE"/>
        </w:rPr>
      </w:pPr>
    </w:p>
    <w:p w14:paraId="49A4A253" w14:textId="77777777" w:rsidR="00E524CB" w:rsidRPr="004676F5" w:rsidRDefault="00E524CB" w:rsidP="00E524CB">
      <w:pPr>
        <w:ind w:firstLine="708"/>
        <w:jc w:val="both"/>
        <w:rPr>
          <w:lang w:val="de-DE"/>
        </w:rPr>
      </w:pPr>
      <w:r w:rsidRPr="004676F5">
        <w:rPr>
          <w:lang w:val="de-DE"/>
        </w:rPr>
        <w:t>3. Offenlegung durch Arbeitnehmer gegenüber ihren Vertretern im Rahmen der rechtmäßigen Erfüllung der Aufgaben dieser Vertreter gemäß dem Recht der Europäischen Union oder dem nationalen Recht, sofern die Offenlegung zur Erfüllung dieser Aufgaben erforderlich war,</w:t>
      </w:r>
    </w:p>
    <w:p w14:paraId="4BF416BB" w14:textId="77777777" w:rsidR="00E524CB" w:rsidRPr="004676F5" w:rsidRDefault="00E524CB" w:rsidP="00E524CB">
      <w:pPr>
        <w:ind w:firstLine="708"/>
        <w:jc w:val="both"/>
        <w:rPr>
          <w:lang w:val="de-DE"/>
        </w:rPr>
      </w:pPr>
    </w:p>
    <w:p w14:paraId="0D27A438" w14:textId="77777777" w:rsidR="00E524CB" w:rsidRPr="004676F5" w:rsidRDefault="00E524CB" w:rsidP="00E524CB">
      <w:pPr>
        <w:jc w:val="both"/>
        <w:rPr>
          <w:lang w:val="de-DE"/>
        </w:rPr>
      </w:pPr>
      <w:r w:rsidRPr="004676F5">
        <w:rPr>
          <w:lang w:val="de-DE"/>
        </w:rPr>
        <w:tab/>
        <w:t>4. zum Schutz eines durch das Recht der Europäischen Union oder das nationale Recht anerkannten rechtmäßigen Interesses.]</w:t>
      </w:r>
    </w:p>
    <w:p w14:paraId="06FD8E44" w14:textId="77777777" w:rsidR="00E524CB" w:rsidRPr="004676F5" w:rsidRDefault="00E524CB" w:rsidP="00E524CB">
      <w:pPr>
        <w:jc w:val="both"/>
        <w:rPr>
          <w:lang w:val="de-DE"/>
        </w:rPr>
      </w:pPr>
    </w:p>
    <w:p w14:paraId="33601570" w14:textId="510993A6" w:rsidR="00E524CB" w:rsidRPr="004676F5" w:rsidRDefault="00E524CB" w:rsidP="00E524CB">
      <w:pPr>
        <w:jc w:val="both"/>
        <w:rPr>
          <w:i/>
          <w:iCs/>
          <w:lang w:val="de-DE"/>
        </w:rPr>
      </w:pPr>
      <w:r w:rsidRPr="004676F5">
        <w:rPr>
          <w:i/>
          <w:iCs/>
          <w:lang w:val="de-DE"/>
        </w:rPr>
        <w:t>[Art. XI.332/5 eingefügt durch Art. 9</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03D430DD" w14:textId="77777777" w:rsidR="00FE3AF3" w:rsidRPr="004676F5" w:rsidRDefault="00FE3AF3">
      <w:pPr>
        <w:rPr>
          <w:b/>
          <w:lang w:val="de-DE"/>
        </w:rPr>
      </w:pPr>
      <w:r w:rsidRPr="004676F5">
        <w:rPr>
          <w:b/>
          <w:lang w:val="de-DE"/>
        </w:rPr>
        <w:br w:type="page"/>
      </w:r>
    </w:p>
    <w:p w14:paraId="15C6866A" w14:textId="374A2567" w:rsidR="00FE3AF3" w:rsidRPr="004676F5" w:rsidRDefault="00FE3AF3" w:rsidP="00FE3AF3">
      <w:pPr>
        <w:jc w:val="center"/>
        <w:rPr>
          <w:b/>
          <w:bCs/>
          <w:lang w:val="de-DE"/>
        </w:rPr>
      </w:pPr>
      <w:r w:rsidRPr="004676F5">
        <w:rPr>
          <w:lang w:val="de-DE"/>
        </w:rPr>
        <w:lastRenderedPageBreak/>
        <w:t>[</w:t>
      </w:r>
      <w:r w:rsidRPr="004676F5">
        <w:rPr>
          <w:b/>
          <w:lang w:val="de-DE"/>
        </w:rPr>
        <w:t xml:space="preserve">TITEL 8/2 - </w:t>
      </w:r>
      <w:r w:rsidRPr="004676F5">
        <w:rPr>
          <w:b/>
          <w:i/>
          <w:iCs/>
          <w:lang w:val="de-DE"/>
        </w:rPr>
        <w:t>Gemeinsame Bestimmungen für die Titel 1 bis 3</w:t>
      </w:r>
      <w:r w:rsidRPr="004676F5">
        <w:rPr>
          <w:lang w:val="de-DE"/>
        </w:rPr>
        <w:t>]</w:t>
      </w:r>
    </w:p>
    <w:p w14:paraId="7C1F5BE2" w14:textId="77777777" w:rsidR="00FE3AF3" w:rsidRPr="004676F5" w:rsidRDefault="00FE3AF3" w:rsidP="00FE3AF3">
      <w:pPr>
        <w:jc w:val="both"/>
        <w:rPr>
          <w:b/>
          <w:bCs/>
          <w:lang w:val="de-DE"/>
        </w:rPr>
      </w:pPr>
    </w:p>
    <w:p w14:paraId="5A14E2F6" w14:textId="2B8BF926" w:rsidR="00FE3AF3" w:rsidRPr="004676F5" w:rsidRDefault="00FE3AF3" w:rsidP="00FE3AF3">
      <w:pPr>
        <w:jc w:val="both"/>
        <w:rPr>
          <w:i/>
          <w:lang w:val="de-DE"/>
        </w:rPr>
      </w:pPr>
      <w:r w:rsidRPr="004676F5">
        <w:rPr>
          <w:i/>
          <w:iCs/>
          <w:lang w:val="de-DE"/>
        </w:rPr>
        <w:t>[Unterteilung Titel 8/2 eingefügt durch Art. 28 des G. vom 25. September 2022 (B.S. vom 24. Oktober 2022)</w:t>
      </w:r>
      <w:r w:rsidRPr="004676F5">
        <w:rPr>
          <w:i/>
          <w:lang w:val="de-DE"/>
        </w:rPr>
        <w:t>]</w:t>
      </w:r>
    </w:p>
    <w:p w14:paraId="6CE3D66D" w14:textId="6E53ECED" w:rsidR="00320AA7" w:rsidRPr="004676F5" w:rsidRDefault="00320AA7" w:rsidP="00E524CB">
      <w:pPr>
        <w:jc w:val="both"/>
        <w:rPr>
          <w:b/>
          <w:lang w:val="de-DE"/>
        </w:rPr>
      </w:pPr>
    </w:p>
    <w:p w14:paraId="0DB56A94" w14:textId="77777777" w:rsidR="00FE3AF3" w:rsidRPr="004676F5" w:rsidRDefault="00FE3AF3" w:rsidP="00FE3AF3">
      <w:pPr>
        <w:jc w:val="both"/>
        <w:rPr>
          <w:lang w:val="de-DE"/>
        </w:rPr>
      </w:pPr>
      <w:r w:rsidRPr="004676F5">
        <w:rPr>
          <w:b/>
          <w:lang w:val="de-DE"/>
        </w:rPr>
        <w:tab/>
      </w:r>
      <w:r w:rsidRPr="004676F5">
        <w:rPr>
          <w:bCs/>
          <w:lang w:val="de-DE"/>
        </w:rPr>
        <w:t>[</w:t>
      </w:r>
      <w:r w:rsidRPr="004676F5">
        <w:rPr>
          <w:b/>
          <w:bCs/>
          <w:lang w:val="de-DE"/>
        </w:rPr>
        <w:t>Art. XI.332/6</w:t>
      </w:r>
      <w:r w:rsidRPr="004676F5">
        <w:rPr>
          <w:lang w:val="de-DE"/>
        </w:rPr>
        <w:t> - Im Falle einer Krise, die die öffentliche Sicherheit einschließlich der öffentlichen Gesundheit betrifft, kann der König die durch oder aufgrund der Titel 1 bis 3 festgelegten Fristen, die während eines vom König bestimmten und mit der Krise zusammenhängenden Zeitraums ablaufen, bis zu einem Datum verlängern, das nach diesem Zeitraum liegen kann.</w:t>
      </w:r>
    </w:p>
    <w:p w14:paraId="03C66139" w14:textId="77777777" w:rsidR="00FE3AF3" w:rsidRPr="004676F5" w:rsidRDefault="00FE3AF3" w:rsidP="00FE3AF3">
      <w:pPr>
        <w:jc w:val="both"/>
        <w:rPr>
          <w:lang w:val="de-DE"/>
        </w:rPr>
      </w:pPr>
    </w:p>
    <w:p w14:paraId="6C8C76AF" w14:textId="77777777" w:rsidR="00FE3AF3" w:rsidRPr="004676F5" w:rsidRDefault="00FE3AF3" w:rsidP="00FE3AF3">
      <w:pPr>
        <w:jc w:val="both"/>
        <w:rPr>
          <w:lang w:val="de-DE"/>
        </w:rPr>
      </w:pPr>
      <w:r w:rsidRPr="004676F5">
        <w:rPr>
          <w:lang w:val="de-DE"/>
        </w:rPr>
        <w:tab/>
        <w:t>In dem in Absatz 1 erwähnten Verlängerungsbeschluss legt der König insbesondere Folgendes fest:</w:t>
      </w:r>
    </w:p>
    <w:p w14:paraId="63B21381" w14:textId="77777777" w:rsidR="00FE3AF3" w:rsidRPr="004676F5" w:rsidRDefault="00FE3AF3" w:rsidP="00FE3AF3">
      <w:pPr>
        <w:jc w:val="both"/>
        <w:rPr>
          <w:lang w:val="de-DE"/>
        </w:rPr>
      </w:pPr>
    </w:p>
    <w:p w14:paraId="41A3267D" w14:textId="77777777" w:rsidR="00FE3AF3" w:rsidRPr="004676F5" w:rsidRDefault="00FE3AF3" w:rsidP="00FE3AF3">
      <w:pPr>
        <w:jc w:val="both"/>
        <w:rPr>
          <w:lang w:val="de-DE"/>
        </w:rPr>
      </w:pPr>
      <w:r w:rsidRPr="004676F5">
        <w:rPr>
          <w:lang w:val="de-DE"/>
        </w:rPr>
        <w:tab/>
        <w:t>1. Datum des Beginns und des Endes des in Absatz 1 erwähnten Zeitraums,</w:t>
      </w:r>
    </w:p>
    <w:p w14:paraId="2B084F18" w14:textId="77777777" w:rsidR="00FE3AF3" w:rsidRPr="004676F5" w:rsidRDefault="00FE3AF3" w:rsidP="00FE3AF3">
      <w:pPr>
        <w:jc w:val="both"/>
        <w:rPr>
          <w:lang w:val="de-DE"/>
        </w:rPr>
      </w:pPr>
    </w:p>
    <w:p w14:paraId="78CF22B5" w14:textId="77777777" w:rsidR="00FE3AF3" w:rsidRPr="004676F5" w:rsidRDefault="00FE3AF3" w:rsidP="00FE3AF3">
      <w:pPr>
        <w:jc w:val="both"/>
        <w:rPr>
          <w:lang w:val="de-DE"/>
        </w:rPr>
      </w:pPr>
      <w:r w:rsidRPr="004676F5">
        <w:rPr>
          <w:lang w:val="de-DE"/>
        </w:rPr>
        <w:tab/>
        <w:t>2. Datum, bis zu dem die Fristen verlängert werden, das nach dem in Absatz 1 erwähnten Zeitraum liegen kann,</w:t>
      </w:r>
    </w:p>
    <w:p w14:paraId="3D737589" w14:textId="77777777" w:rsidR="00FE3AF3" w:rsidRPr="004676F5" w:rsidRDefault="00FE3AF3" w:rsidP="00FE3AF3">
      <w:pPr>
        <w:jc w:val="both"/>
        <w:rPr>
          <w:lang w:val="de-DE"/>
        </w:rPr>
      </w:pPr>
    </w:p>
    <w:p w14:paraId="1170E54F" w14:textId="77777777" w:rsidR="00FE3AF3" w:rsidRPr="004676F5" w:rsidRDefault="00FE3AF3" w:rsidP="00FE3AF3">
      <w:pPr>
        <w:jc w:val="both"/>
        <w:rPr>
          <w:lang w:val="de-DE"/>
        </w:rPr>
      </w:pPr>
      <w:r w:rsidRPr="004676F5">
        <w:rPr>
          <w:lang w:val="de-DE"/>
        </w:rPr>
        <w:tab/>
        <w:t>3. Fristen, die verlängert werden,</w:t>
      </w:r>
    </w:p>
    <w:p w14:paraId="3319C7B0" w14:textId="77777777" w:rsidR="00FE3AF3" w:rsidRPr="004676F5" w:rsidRDefault="00FE3AF3" w:rsidP="00FE3AF3">
      <w:pPr>
        <w:jc w:val="both"/>
        <w:rPr>
          <w:lang w:val="de-DE"/>
        </w:rPr>
      </w:pPr>
    </w:p>
    <w:p w14:paraId="29D6482E" w14:textId="10199413" w:rsidR="00FE3AF3" w:rsidRPr="004676F5" w:rsidRDefault="00FE3AF3" w:rsidP="00FE3AF3">
      <w:pPr>
        <w:jc w:val="both"/>
        <w:rPr>
          <w:lang w:val="de-DE"/>
        </w:rPr>
      </w:pPr>
      <w:r w:rsidRPr="004676F5">
        <w:rPr>
          <w:lang w:val="de-DE"/>
        </w:rPr>
        <w:tab/>
        <w:t>4. Personen in dem Verfahren, für die die Fristen verlängert werden.]</w:t>
      </w:r>
    </w:p>
    <w:p w14:paraId="337A6D09" w14:textId="77777777" w:rsidR="00FE3AF3" w:rsidRPr="004676F5" w:rsidRDefault="00FE3AF3" w:rsidP="00FE3AF3">
      <w:pPr>
        <w:jc w:val="both"/>
        <w:rPr>
          <w:lang w:val="de-DE"/>
        </w:rPr>
      </w:pPr>
    </w:p>
    <w:p w14:paraId="2C63F456" w14:textId="7D7856A0" w:rsidR="00FE3AF3" w:rsidRPr="004676F5" w:rsidRDefault="00FE3AF3" w:rsidP="00FE3AF3">
      <w:pPr>
        <w:jc w:val="both"/>
        <w:rPr>
          <w:bCs/>
          <w:i/>
          <w:iCs/>
          <w:lang w:val="de-DE"/>
        </w:rPr>
      </w:pPr>
      <w:r w:rsidRPr="004676F5">
        <w:rPr>
          <w:i/>
          <w:iCs/>
          <w:lang w:val="de-DE"/>
        </w:rPr>
        <w:t>[Art. XI.332/6 eingefügt durch Art. 29 des G. vom 25. September 2022 (B.S. vom 24. Oktober 2022)]</w:t>
      </w:r>
    </w:p>
    <w:p w14:paraId="5D5B17CD" w14:textId="77777777" w:rsidR="00FE3AF3" w:rsidRPr="004676F5" w:rsidRDefault="00FE3AF3">
      <w:pPr>
        <w:rPr>
          <w:b/>
          <w:lang w:val="de-DE"/>
        </w:rPr>
      </w:pPr>
      <w:r w:rsidRPr="004676F5">
        <w:rPr>
          <w:b/>
          <w:lang w:val="de-DE"/>
        </w:rPr>
        <w:br w:type="page"/>
      </w:r>
    </w:p>
    <w:p w14:paraId="7BA60449" w14:textId="6E160217" w:rsidR="001527B1" w:rsidRPr="004676F5" w:rsidRDefault="001527B1" w:rsidP="001527B1">
      <w:pPr>
        <w:jc w:val="center"/>
        <w:rPr>
          <w:b/>
          <w:lang w:val="de-DE"/>
        </w:rPr>
      </w:pPr>
      <w:r w:rsidRPr="004676F5">
        <w:rPr>
          <w:b/>
          <w:lang w:val="de-DE"/>
        </w:rPr>
        <w:lastRenderedPageBreak/>
        <w:t>TITEL 9 </w:t>
      </w:r>
      <w:r w:rsidR="005B7A5C" w:rsidRPr="004676F5">
        <w:rPr>
          <w:b/>
          <w:lang w:val="de-DE"/>
        </w:rPr>
        <w:t>- </w:t>
      </w:r>
      <w:r w:rsidRPr="004676F5">
        <w:rPr>
          <w:b/>
          <w:i/>
          <w:lang w:val="de-DE"/>
        </w:rPr>
        <w:t>Zivilrechtliche Aspekte des Schutzes von Eigentumsrechten</w:t>
      </w:r>
    </w:p>
    <w:p w14:paraId="2AFF6BEB" w14:textId="77777777" w:rsidR="001527B1" w:rsidRPr="004676F5" w:rsidRDefault="001527B1" w:rsidP="001527B1">
      <w:pPr>
        <w:ind w:firstLine="708"/>
        <w:jc w:val="center"/>
        <w:rPr>
          <w:lang w:val="de-DE"/>
        </w:rPr>
      </w:pPr>
    </w:p>
    <w:p w14:paraId="23DBD28A" w14:textId="77777777" w:rsidR="00320AA7" w:rsidRPr="004676F5" w:rsidRDefault="00320AA7" w:rsidP="001527B1">
      <w:pPr>
        <w:ind w:firstLine="708"/>
        <w:jc w:val="center"/>
        <w:rPr>
          <w:lang w:val="de-DE"/>
        </w:rPr>
      </w:pPr>
    </w:p>
    <w:p w14:paraId="4328CC81" w14:textId="4E82CF98" w:rsidR="001527B1" w:rsidRPr="004676F5" w:rsidRDefault="001527B1" w:rsidP="001527B1">
      <w:pPr>
        <w:jc w:val="center"/>
        <w:rPr>
          <w:i/>
          <w:lang w:val="de-DE"/>
        </w:rPr>
      </w:pPr>
      <w:r w:rsidRPr="004676F5">
        <w:rPr>
          <w:lang w:val="de-DE"/>
        </w:rPr>
        <w:t>KAPITEL 1 </w:t>
      </w:r>
      <w:r w:rsidR="005B7A5C" w:rsidRPr="004676F5">
        <w:rPr>
          <w:lang w:val="de-DE"/>
        </w:rPr>
        <w:t>- </w:t>
      </w:r>
      <w:r w:rsidRPr="004676F5">
        <w:rPr>
          <w:i/>
          <w:lang w:val="de-DE"/>
        </w:rPr>
        <w:t>Allgemeines</w:t>
      </w:r>
    </w:p>
    <w:p w14:paraId="0F3A3893" w14:textId="77777777" w:rsidR="001527B1" w:rsidRPr="004676F5" w:rsidRDefault="001527B1" w:rsidP="001527B1">
      <w:pPr>
        <w:ind w:firstLine="708"/>
        <w:jc w:val="both"/>
        <w:rPr>
          <w:lang w:val="de-DE"/>
        </w:rPr>
      </w:pPr>
    </w:p>
    <w:p w14:paraId="47990C5C" w14:textId="77777777" w:rsidR="00320AA7" w:rsidRPr="004676F5" w:rsidRDefault="00320AA7" w:rsidP="001527B1">
      <w:pPr>
        <w:ind w:firstLine="708"/>
        <w:jc w:val="both"/>
        <w:rPr>
          <w:lang w:val="de-DE"/>
        </w:rPr>
      </w:pPr>
    </w:p>
    <w:p w14:paraId="557BFEA9" w14:textId="6CB56F5B" w:rsidR="001527B1" w:rsidRPr="004676F5" w:rsidRDefault="00BE0A56" w:rsidP="001527B1">
      <w:pPr>
        <w:ind w:firstLine="708"/>
        <w:jc w:val="both"/>
        <w:rPr>
          <w:lang w:val="de-DE"/>
        </w:rPr>
      </w:pPr>
      <w:r w:rsidRPr="004676F5">
        <w:rPr>
          <w:b/>
          <w:lang w:val="de-DE"/>
        </w:rPr>
        <w:t>Art. </w:t>
      </w:r>
      <w:r w:rsidR="001527B1" w:rsidRPr="004676F5">
        <w:rPr>
          <w:b/>
          <w:lang w:val="de-DE"/>
        </w:rPr>
        <w:t>XI.333</w:t>
      </w:r>
      <w:r w:rsidR="001527B1" w:rsidRPr="004676F5">
        <w:rPr>
          <w:lang w:val="de-DE"/>
        </w:rPr>
        <w:t> </w:t>
      </w:r>
      <w:r w:rsidR="005B7A5C" w:rsidRPr="004676F5">
        <w:rPr>
          <w:lang w:val="de-DE"/>
        </w:rPr>
        <w:t>- </w:t>
      </w:r>
      <w:r w:rsidR="001527B1" w:rsidRPr="004676F5">
        <w:rPr>
          <w:lang w:val="de-DE"/>
        </w:rPr>
        <w:t>Vorliegender Titel setzt die Richtlinie 2004/48/EG vom 29. April 2004 zur Durchsetzung der Rechte des geistigen Eigentums um.</w:t>
      </w:r>
    </w:p>
    <w:p w14:paraId="10E5800D" w14:textId="77777777" w:rsidR="001527B1" w:rsidRPr="004676F5" w:rsidRDefault="001527B1" w:rsidP="001527B1">
      <w:pPr>
        <w:ind w:firstLine="708"/>
        <w:jc w:val="both"/>
        <w:rPr>
          <w:lang w:val="de-DE"/>
        </w:rPr>
      </w:pPr>
    </w:p>
    <w:p w14:paraId="4F6E205A" w14:textId="77777777" w:rsidR="00320AA7" w:rsidRPr="004676F5" w:rsidRDefault="00320AA7" w:rsidP="001527B1">
      <w:pPr>
        <w:ind w:firstLine="708"/>
        <w:jc w:val="both"/>
        <w:rPr>
          <w:lang w:val="de-DE"/>
        </w:rPr>
      </w:pPr>
    </w:p>
    <w:p w14:paraId="4EDC0E49" w14:textId="042F932E" w:rsidR="001527B1" w:rsidRPr="004676F5" w:rsidRDefault="001527B1" w:rsidP="001527B1">
      <w:pPr>
        <w:jc w:val="center"/>
        <w:rPr>
          <w:lang w:val="de-DE"/>
        </w:rPr>
      </w:pPr>
      <w:r w:rsidRPr="004676F5">
        <w:rPr>
          <w:lang w:val="de-DE"/>
        </w:rPr>
        <w:t>KAPITEL 2 </w:t>
      </w:r>
      <w:r w:rsidR="005B7A5C" w:rsidRPr="004676F5">
        <w:rPr>
          <w:lang w:val="de-DE"/>
        </w:rPr>
        <w:t>- </w:t>
      </w:r>
      <w:r w:rsidRPr="004676F5">
        <w:rPr>
          <w:i/>
          <w:lang w:val="de-DE"/>
        </w:rPr>
        <w:t>Beendigung der Verletzung und andere Maßnahmen</w:t>
      </w:r>
    </w:p>
    <w:p w14:paraId="6B1CEE71" w14:textId="77777777" w:rsidR="001527B1" w:rsidRPr="004676F5" w:rsidRDefault="001527B1" w:rsidP="001527B1">
      <w:pPr>
        <w:ind w:firstLine="708"/>
        <w:jc w:val="both"/>
        <w:rPr>
          <w:lang w:val="de-DE"/>
        </w:rPr>
      </w:pPr>
    </w:p>
    <w:p w14:paraId="4FF462C8" w14:textId="77777777" w:rsidR="00320AA7" w:rsidRPr="004676F5" w:rsidRDefault="00320AA7" w:rsidP="001527B1">
      <w:pPr>
        <w:ind w:firstLine="708"/>
        <w:jc w:val="both"/>
        <w:rPr>
          <w:lang w:val="de-DE"/>
        </w:rPr>
      </w:pPr>
    </w:p>
    <w:p w14:paraId="6D7E64B3" w14:textId="5B7E48B3" w:rsidR="001527B1" w:rsidRPr="004676F5" w:rsidRDefault="00BE0A56" w:rsidP="001527B1">
      <w:pPr>
        <w:ind w:firstLine="708"/>
        <w:jc w:val="both"/>
        <w:rPr>
          <w:lang w:val="de-DE"/>
        </w:rPr>
      </w:pPr>
      <w:r w:rsidRPr="004676F5">
        <w:rPr>
          <w:b/>
          <w:lang w:val="de-DE"/>
        </w:rPr>
        <w:t>Art. </w:t>
      </w:r>
      <w:r w:rsidR="001527B1" w:rsidRPr="004676F5">
        <w:rPr>
          <w:b/>
          <w:lang w:val="de-DE"/>
        </w:rPr>
        <w:t>XI.334</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Wenn der Richter eine Verletzung eines Erfindungspatents, eines ergänzenden Schutzzertifikats, eines Sortenschutzes, eines Urheberrechts, eines verwandten Schutzrechtes, des Rechts eines Herstellers von Datenbanken oder des Rechts auf eine Topographie eines Halbleitererzeugnisses feststellt, verfügt er gegenüber jedem Verletzer die Beendigung der Verletzung.</w:t>
      </w:r>
    </w:p>
    <w:p w14:paraId="24EA2343" w14:textId="77777777" w:rsidR="001527B1" w:rsidRPr="004676F5" w:rsidRDefault="001527B1" w:rsidP="001527B1">
      <w:pPr>
        <w:ind w:firstLine="708"/>
        <w:jc w:val="both"/>
        <w:rPr>
          <w:lang w:val="de-DE"/>
        </w:rPr>
      </w:pPr>
    </w:p>
    <w:p w14:paraId="45577B1C" w14:textId="77777777" w:rsidR="001527B1" w:rsidRPr="004676F5" w:rsidRDefault="001527B1" w:rsidP="001527B1">
      <w:pPr>
        <w:ind w:firstLine="708"/>
        <w:jc w:val="both"/>
        <w:rPr>
          <w:lang w:val="de-DE"/>
        </w:rPr>
      </w:pPr>
      <w:r w:rsidRPr="004676F5">
        <w:rPr>
          <w:lang w:val="de-DE"/>
        </w:rPr>
        <w:t>Der Richter kann ebenfalls eine Anordnung zur Beendigung der Verletzung gegen Mittelspersonen erlassen, deren Dienste von einem Dritten zwecks Verletzung eines in Absatz 1 erwähnten Rechts in Anspruch genommen werden.</w:t>
      </w:r>
    </w:p>
    <w:p w14:paraId="481ABCBC" w14:textId="77777777" w:rsidR="001527B1" w:rsidRPr="004676F5" w:rsidRDefault="001527B1" w:rsidP="001527B1">
      <w:pPr>
        <w:ind w:firstLine="708"/>
        <w:jc w:val="both"/>
        <w:rPr>
          <w:lang w:val="de-DE"/>
        </w:rPr>
      </w:pPr>
    </w:p>
    <w:p w14:paraId="44C750CA" w14:textId="288496C2"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Unbeschadet etwaiger Schadenersatzansprüche der geschädigten Partei aus der Verletzung und ohne Entschädigung irgendwelcher Art kann der Richter auf Antrag der Partei, die befugt ist, eine Klage wegen Nachahmung zu erheben, den Rückruf aus den Vertriebswegen, das endgültige Entfernen aus den Vertriebswegen oder die Vernichtung der rechtsverletzenden Waren und gegebenenfalls der Materialien und Geräte, die vorwiegend zur Schaffung oder Herstellung dieser Waren gedient haben, anordnen.</w:t>
      </w:r>
    </w:p>
    <w:p w14:paraId="2D731CB7" w14:textId="77777777" w:rsidR="001527B1" w:rsidRPr="004676F5" w:rsidRDefault="001527B1" w:rsidP="001527B1">
      <w:pPr>
        <w:ind w:firstLine="708"/>
        <w:jc w:val="both"/>
        <w:rPr>
          <w:lang w:val="de-DE"/>
        </w:rPr>
      </w:pPr>
    </w:p>
    <w:p w14:paraId="1FAB4DA2" w14:textId="7E0001DF" w:rsidR="001527B1" w:rsidRPr="004676F5" w:rsidRDefault="003F03A0" w:rsidP="001527B1">
      <w:pPr>
        <w:ind w:firstLine="708"/>
        <w:jc w:val="both"/>
        <w:rPr>
          <w:lang w:val="de-DE"/>
        </w:rPr>
      </w:pPr>
      <w:r w:rsidRPr="004676F5">
        <w:rPr>
          <w:lang w:val="de-DE"/>
        </w:rPr>
        <w:t xml:space="preserve"> </w:t>
      </w:r>
      <w:r w:rsidR="001527B1" w:rsidRPr="004676F5">
        <w:rPr>
          <w:lang w:val="de-DE"/>
        </w:rPr>
        <w:t>Bei der Prüfung eines in Absatz 1 erwähnten Antrags sind das angemessene Verhältnis zwischen der Schwere der Verletzung und den angeordneten Maßnahmen und die Interessen Dritter zu berücksichtigen.</w:t>
      </w:r>
    </w:p>
    <w:p w14:paraId="09CDFF19" w14:textId="77777777" w:rsidR="001527B1" w:rsidRPr="004676F5" w:rsidRDefault="001527B1" w:rsidP="001527B1">
      <w:pPr>
        <w:ind w:firstLine="708"/>
        <w:jc w:val="both"/>
        <w:rPr>
          <w:lang w:val="de-DE"/>
        </w:rPr>
      </w:pPr>
    </w:p>
    <w:p w14:paraId="3EC011E3" w14:textId="4C05FBB2"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Wenn der Richter im Rahmen eines Verfahrens eine Verletzung feststellt, kann er auf Antrag der Partei, die befugt ist, eine Klage wegen Nachahmung zu erheben, anordnen, dass der Verletzer der Partei, die diese Klage erhebt, alle ihm bekannten Auskünfte über den Ursprung und die Vertriebswege von rechtsverletzenden Waren oder Dienstleistungen erteilt und ihr alle diesbezüglichen Angaben mitteilt, insofern es sich um eine begründete und die Verhältnismäßigkeit wahrende Maßnahme handelt.</w:t>
      </w:r>
    </w:p>
    <w:p w14:paraId="697B06F5" w14:textId="77777777" w:rsidR="001527B1" w:rsidRPr="004676F5" w:rsidRDefault="001527B1" w:rsidP="001527B1">
      <w:pPr>
        <w:ind w:firstLine="708"/>
        <w:jc w:val="both"/>
        <w:rPr>
          <w:lang w:val="de-DE"/>
        </w:rPr>
      </w:pPr>
    </w:p>
    <w:p w14:paraId="2FC6C883" w14:textId="77777777" w:rsidR="001527B1" w:rsidRPr="004676F5" w:rsidRDefault="001527B1" w:rsidP="001527B1">
      <w:pPr>
        <w:ind w:firstLine="708"/>
        <w:jc w:val="both"/>
        <w:rPr>
          <w:lang w:val="de-DE"/>
        </w:rPr>
      </w:pPr>
      <w:r w:rsidRPr="004676F5">
        <w:rPr>
          <w:lang w:val="de-DE"/>
        </w:rPr>
        <w:t>Dieselbe Anordnung kann der Person erteilt werden, die nachweislich rechts</w:t>
      </w:r>
      <w:r w:rsidRPr="004676F5">
        <w:rPr>
          <w:lang w:val="de-DE"/>
        </w:rPr>
        <w:softHyphen/>
        <w:t>ver</w:t>
      </w:r>
      <w:r w:rsidRPr="004676F5">
        <w:rPr>
          <w:lang w:val="de-DE"/>
        </w:rPr>
        <w:softHyphen/>
        <w:t>letzende Ware in gewerblichem Ausmaß in ihrem Besitz hatte, nachweislich rechtsverletzende Dienstleistungen in gewerblichem Ausmaß in Anspruch nahm oder nachweislich für rechtsverletzende Tätigkeiten genutzte Dienstleistungen in gewerblichem Ausmaß erbrachte.</w:t>
      </w:r>
    </w:p>
    <w:p w14:paraId="78070574" w14:textId="77777777" w:rsidR="001527B1" w:rsidRPr="004676F5" w:rsidRDefault="001527B1" w:rsidP="001527B1">
      <w:pPr>
        <w:ind w:firstLine="708"/>
        <w:jc w:val="both"/>
        <w:rPr>
          <w:lang w:val="de-DE"/>
        </w:rPr>
      </w:pPr>
    </w:p>
    <w:p w14:paraId="4069385D" w14:textId="389CF944" w:rsidR="001527B1" w:rsidRPr="004676F5" w:rsidRDefault="001527B1" w:rsidP="001527B1">
      <w:pPr>
        <w:ind w:firstLine="708"/>
        <w:jc w:val="both"/>
        <w:rPr>
          <w:lang w:val="de-DE"/>
        </w:rPr>
      </w:pPr>
      <w:r w:rsidRPr="004676F5">
        <w:rPr>
          <w:lang w:val="de-DE"/>
        </w:rPr>
        <w:t>§ 4 </w:t>
      </w:r>
      <w:r w:rsidR="005B7A5C" w:rsidRPr="004676F5">
        <w:rPr>
          <w:lang w:val="de-DE"/>
        </w:rPr>
        <w:t>- </w:t>
      </w:r>
      <w:r w:rsidRPr="004676F5">
        <w:rPr>
          <w:lang w:val="de-DE"/>
        </w:rPr>
        <w:t>Der Richter kann anordnen, dass auf Kosten des Verletzers sein Beschluss oder die von ihm erstellte Zusammenfassung während des von ihm festgelegten Zeitraums sowohl außerhalb als auch innerhalb der Niederlassungen des Verletzers angeschlagen wird und dass sein Urteil oder dessen Zusammenfassung in Zeitungen oder sonst irgendwie veröffentlicht wird.</w:t>
      </w:r>
    </w:p>
    <w:p w14:paraId="1FA42021" w14:textId="77777777" w:rsidR="001527B1" w:rsidRPr="004676F5" w:rsidRDefault="001527B1" w:rsidP="001527B1">
      <w:pPr>
        <w:jc w:val="both"/>
        <w:rPr>
          <w:lang w:val="de-DE"/>
        </w:rPr>
      </w:pPr>
    </w:p>
    <w:p w14:paraId="23909FBF" w14:textId="78A130BD" w:rsidR="001527B1" w:rsidRPr="004676F5" w:rsidRDefault="001527B1" w:rsidP="001527B1">
      <w:pPr>
        <w:jc w:val="center"/>
        <w:rPr>
          <w:i/>
          <w:lang w:val="de-DE"/>
        </w:rPr>
      </w:pPr>
      <w:r w:rsidRPr="004676F5">
        <w:rPr>
          <w:lang w:val="de-DE"/>
        </w:rPr>
        <w:lastRenderedPageBreak/>
        <w:t>KAPITEL 3 </w:t>
      </w:r>
      <w:r w:rsidR="005B7A5C" w:rsidRPr="004676F5">
        <w:rPr>
          <w:lang w:val="de-DE"/>
        </w:rPr>
        <w:t>- </w:t>
      </w:r>
      <w:r w:rsidRPr="004676F5">
        <w:rPr>
          <w:i/>
          <w:lang w:val="de-DE"/>
        </w:rPr>
        <w:t xml:space="preserve">Ersatz des durch Nachahmung verursachten Schadens </w:t>
      </w:r>
    </w:p>
    <w:p w14:paraId="7E4D2EE3" w14:textId="77777777" w:rsidR="001527B1" w:rsidRPr="004676F5" w:rsidRDefault="001527B1" w:rsidP="001527B1">
      <w:pPr>
        <w:jc w:val="both"/>
        <w:rPr>
          <w:lang w:val="de-DE"/>
        </w:rPr>
      </w:pPr>
    </w:p>
    <w:p w14:paraId="720CA5C2" w14:textId="77777777" w:rsidR="00320AA7" w:rsidRPr="004676F5" w:rsidRDefault="00320AA7" w:rsidP="001527B1">
      <w:pPr>
        <w:jc w:val="both"/>
        <w:rPr>
          <w:lang w:val="de-DE"/>
        </w:rPr>
      </w:pPr>
    </w:p>
    <w:p w14:paraId="6A4007DF" w14:textId="25978D36" w:rsidR="001527B1" w:rsidRPr="004676F5" w:rsidRDefault="00BE0A56" w:rsidP="001527B1">
      <w:pPr>
        <w:ind w:firstLine="708"/>
        <w:jc w:val="both"/>
        <w:rPr>
          <w:lang w:val="de-DE"/>
        </w:rPr>
      </w:pPr>
      <w:r w:rsidRPr="004676F5">
        <w:rPr>
          <w:b/>
          <w:lang w:val="de-DE"/>
        </w:rPr>
        <w:t>Art. </w:t>
      </w:r>
      <w:r w:rsidR="001527B1" w:rsidRPr="004676F5">
        <w:rPr>
          <w:b/>
          <w:lang w:val="de-DE"/>
        </w:rPr>
        <w:t>XI.335</w:t>
      </w:r>
      <w:r w:rsidR="001527B1" w:rsidRPr="004676F5">
        <w:rPr>
          <w:lang w:val="de-DE"/>
        </w:rPr>
        <w:t> </w:t>
      </w:r>
      <w:r w:rsidR="005B7A5C" w:rsidRPr="004676F5">
        <w:rPr>
          <w:lang w:val="de-DE"/>
        </w:rPr>
        <w:t>- </w:t>
      </w:r>
      <w:r w:rsidR="001527B1" w:rsidRPr="004676F5">
        <w:rPr>
          <w:lang w:val="de-DE"/>
        </w:rPr>
        <w:t>§ 1 </w:t>
      </w:r>
      <w:r w:rsidR="005B7A5C" w:rsidRPr="004676F5">
        <w:rPr>
          <w:lang w:val="de-DE"/>
        </w:rPr>
        <w:t>- </w:t>
      </w:r>
      <w:r w:rsidR="001527B1" w:rsidRPr="004676F5">
        <w:rPr>
          <w:lang w:val="de-DE"/>
        </w:rPr>
        <w:t>Unbeschadet des Paragraphen 3 hat die geschädigte Partei Anrecht auf Ersatz von Schäden, die sie wegen Verletzung eines in Artikel XI.334 § 1 Absatz 1 erwähnten Rechts erlitten hat.</w:t>
      </w:r>
    </w:p>
    <w:p w14:paraId="357AF4B7" w14:textId="77777777" w:rsidR="001527B1" w:rsidRPr="004676F5" w:rsidRDefault="001527B1" w:rsidP="001527B1">
      <w:pPr>
        <w:ind w:firstLine="708"/>
        <w:jc w:val="both"/>
        <w:rPr>
          <w:lang w:val="de-DE"/>
        </w:rPr>
      </w:pPr>
    </w:p>
    <w:p w14:paraId="490AF03D" w14:textId="2349ADB6" w:rsidR="001527B1" w:rsidRPr="004676F5" w:rsidRDefault="001527B1" w:rsidP="001527B1">
      <w:pPr>
        <w:ind w:firstLine="708"/>
        <w:jc w:val="both"/>
        <w:rPr>
          <w:lang w:val="de-DE"/>
        </w:rPr>
      </w:pPr>
      <w:r w:rsidRPr="004676F5">
        <w:rPr>
          <w:lang w:val="de-DE"/>
        </w:rPr>
        <w:t>§ 2 </w:t>
      </w:r>
      <w:r w:rsidR="005B7A5C" w:rsidRPr="004676F5">
        <w:rPr>
          <w:lang w:val="de-DE"/>
        </w:rPr>
        <w:t>- </w:t>
      </w:r>
      <w:r w:rsidRPr="004676F5">
        <w:rPr>
          <w:lang w:val="de-DE"/>
        </w:rPr>
        <w:t>Wenn der Umfang der Rechtsverletzung auf keine andere Weise bestimmt werden kann, kann der Richter als Schadenersatz auf angemessene und gerechte Weise einen Pauschalbetrag festlegen.</w:t>
      </w:r>
    </w:p>
    <w:p w14:paraId="43AF333F" w14:textId="77777777" w:rsidR="001527B1" w:rsidRPr="004676F5" w:rsidRDefault="001527B1" w:rsidP="001527B1">
      <w:pPr>
        <w:ind w:firstLine="708"/>
        <w:jc w:val="both"/>
        <w:rPr>
          <w:lang w:val="de-DE"/>
        </w:rPr>
      </w:pPr>
    </w:p>
    <w:p w14:paraId="334DBE9F" w14:textId="77777777" w:rsidR="001527B1" w:rsidRPr="004676F5" w:rsidRDefault="001527B1" w:rsidP="001527B1">
      <w:pPr>
        <w:ind w:firstLine="708"/>
        <w:jc w:val="both"/>
        <w:rPr>
          <w:lang w:val="de-DE"/>
        </w:rPr>
      </w:pPr>
      <w:r w:rsidRPr="004676F5">
        <w:rPr>
          <w:lang w:val="de-DE"/>
        </w:rPr>
        <w:t>Der Richter kann anordnen, dass der klagenden Partei die rechtsverletzenden Waren und gegebenenfalls die Materialien und Geräte, die vorwiegend zur Schaffung oder Herstellung dieser Waren gedient haben und die noch im Besitz des Beklagten sind, als Schadenersatz ausgehändigt werden. Wenn der Wert dieser Waren, Materialien und Geräte den Umfang des tatsächlichen Schadens überschreitet, legt der Richter die vom Kläger zu entrichtende Zuzahlung fest.</w:t>
      </w:r>
    </w:p>
    <w:p w14:paraId="48969F38" w14:textId="77777777" w:rsidR="001527B1" w:rsidRPr="004676F5" w:rsidRDefault="001527B1" w:rsidP="001527B1">
      <w:pPr>
        <w:ind w:firstLine="708"/>
        <w:jc w:val="both"/>
        <w:rPr>
          <w:lang w:val="de-DE"/>
        </w:rPr>
      </w:pPr>
    </w:p>
    <w:p w14:paraId="55670FCB" w14:textId="77777777" w:rsidR="001527B1" w:rsidRPr="004676F5" w:rsidRDefault="001527B1" w:rsidP="001527B1">
      <w:pPr>
        <w:ind w:firstLine="708"/>
        <w:jc w:val="both"/>
        <w:rPr>
          <w:lang w:val="de-DE"/>
        </w:rPr>
      </w:pPr>
      <w:r w:rsidRPr="004676F5">
        <w:rPr>
          <w:lang w:val="de-DE"/>
        </w:rPr>
        <w:t>Bei bösem Glauben kann der Richter als Schadenersatz die Abtretung des gesamten infolge der Rechtsverletzung erzielten Gewinns beziehungsweise eines Teils davon und diesbezügliche Rechnungslegung anordnen. Für die Festlegung des abzutretenden Gewinns werden nur direkt an die betreffenden Verletzungshandlungen gebundene Kosten abgezogen.</w:t>
      </w:r>
    </w:p>
    <w:p w14:paraId="6DD5C086" w14:textId="77777777" w:rsidR="001527B1" w:rsidRPr="004676F5" w:rsidRDefault="001527B1" w:rsidP="001527B1">
      <w:pPr>
        <w:ind w:firstLine="708"/>
        <w:jc w:val="both"/>
        <w:rPr>
          <w:lang w:val="de-DE"/>
        </w:rPr>
      </w:pPr>
    </w:p>
    <w:p w14:paraId="3C47D675" w14:textId="14F17A3B" w:rsidR="001527B1" w:rsidRPr="004676F5" w:rsidRDefault="001527B1" w:rsidP="001527B1">
      <w:pPr>
        <w:ind w:firstLine="708"/>
        <w:jc w:val="both"/>
        <w:rPr>
          <w:lang w:val="de-DE"/>
        </w:rPr>
      </w:pPr>
      <w:r w:rsidRPr="004676F5">
        <w:rPr>
          <w:lang w:val="de-DE"/>
        </w:rPr>
        <w:t>§ 3 </w:t>
      </w:r>
      <w:r w:rsidR="005B7A5C" w:rsidRPr="004676F5">
        <w:rPr>
          <w:lang w:val="de-DE"/>
        </w:rPr>
        <w:t>- </w:t>
      </w:r>
      <w:r w:rsidRPr="004676F5">
        <w:rPr>
          <w:lang w:val="de-DE"/>
        </w:rPr>
        <w:t>Bei bösem Glauben kann der Richter zugunsten des Klägers die Einziehung der rechtsverletzenden Waren aussprechen und gegebenenfalls der Materialien und Geräte, die vorwiegend zur Schaffung oder Herstellung dieser Waren gedient haben und die noch im Besitz des Beklagten sind. Wenn die Waren, Materialien und Geräte nicht mehr im Besitz des Beklagten sind, kann der Richter eine Summe, die dem für die verkauften Waren, Materialien und Geräte erhaltenen Preis entspricht, bewilligen. Die so ausgesprochene Einziehung wird nach Verhältnis des Einziehungswerts auf den Schadenersatz angerechnet.</w:t>
      </w:r>
      <w:r w:rsidR="00320AA7" w:rsidRPr="004676F5">
        <w:rPr>
          <w:lang w:val="de-DE"/>
        </w:rPr>
        <w:t>]</w:t>
      </w:r>
    </w:p>
    <w:p w14:paraId="2AFB110F" w14:textId="77777777" w:rsidR="001527B1" w:rsidRPr="004676F5" w:rsidRDefault="001527B1" w:rsidP="001527B1">
      <w:pPr>
        <w:ind w:firstLine="708"/>
        <w:jc w:val="both"/>
        <w:rPr>
          <w:lang w:val="de-DE"/>
        </w:rPr>
      </w:pPr>
    </w:p>
    <w:p w14:paraId="7CCA3C05" w14:textId="77777777" w:rsidR="00320AA7" w:rsidRPr="004676F5" w:rsidRDefault="00320AA7" w:rsidP="001527B1">
      <w:pPr>
        <w:ind w:firstLine="708"/>
        <w:jc w:val="both"/>
        <w:rPr>
          <w:lang w:val="de-DE"/>
        </w:rPr>
      </w:pPr>
    </w:p>
    <w:p w14:paraId="756D8845" w14:textId="77777777" w:rsidR="00320AA7" w:rsidRPr="004676F5" w:rsidRDefault="00320AA7">
      <w:pPr>
        <w:rPr>
          <w:lang w:val="de-DE"/>
        </w:rPr>
      </w:pPr>
      <w:r w:rsidRPr="004676F5">
        <w:rPr>
          <w:lang w:val="de-DE"/>
        </w:rPr>
        <w:br w:type="page"/>
      </w:r>
    </w:p>
    <w:p w14:paraId="0611B409" w14:textId="61F61627" w:rsidR="001527B1" w:rsidRPr="004676F5" w:rsidRDefault="001527B1" w:rsidP="001527B1">
      <w:pPr>
        <w:jc w:val="both"/>
        <w:rPr>
          <w:i/>
          <w:lang w:val="de-DE"/>
        </w:rPr>
      </w:pPr>
      <w:r w:rsidRPr="004676F5">
        <w:rPr>
          <w:lang w:val="de-DE"/>
        </w:rPr>
        <w:lastRenderedPageBreak/>
        <w:t>KAPITEL 4 </w:t>
      </w:r>
      <w:r w:rsidR="005B7A5C" w:rsidRPr="004676F5">
        <w:rPr>
          <w:lang w:val="de-DE"/>
        </w:rPr>
        <w:t>- </w:t>
      </w:r>
      <w:r w:rsidRPr="004676F5">
        <w:rPr>
          <w:i/>
          <w:lang w:val="de-DE"/>
        </w:rPr>
        <w:t>Klage in Bezug auf die Anwendung von technischen Schutzmaßnahmen im Rahmen des Urheberrechts, der verwandten Schutzrechte und des Rechts der Hersteller von Datenbanken</w:t>
      </w:r>
    </w:p>
    <w:p w14:paraId="70345F36" w14:textId="77777777" w:rsidR="001527B1" w:rsidRPr="004676F5" w:rsidRDefault="001527B1" w:rsidP="001527B1">
      <w:pPr>
        <w:jc w:val="both"/>
        <w:rPr>
          <w:lang w:val="de-DE"/>
        </w:rPr>
      </w:pPr>
    </w:p>
    <w:p w14:paraId="24357F53" w14:textId="77777777" w:rsidR="00054D39" w:rsidRPr="004676F5" w:rsidRDefault="00054D39" w:rsidP="00473416">
      <w:pPr>
        <w:jc w:val="center"/>
        <w:rPr>
          <w:lang w:val="de-DE"/>
        </w:rPr>
      </w:pPr>
    </w:p>
    <w:p w14:paraId="33624B6D" w14:textId="33A59DB9" w:rsidR="00054D39" w:rsidRPr="004676F5" w:rsidRDefault="00054D39" w:rsidP="00054D39">
      <w:pPr>
        <w:ind w:firstLine="708"/>
        <w:jc w:val="both"/>
        <w:rPr>
          <w:lang w:val="de-DE"/>
        </w:rPr>
      </w:pPr>
      <w:r w:rsidRPr="004676F5">
        <w:rPr>
          <w:lang w:val="de-DE"/>
        </w:rPr>
        <w:t>[</w:t>
      </w:r>
      <w:r w:rsidR="00BE0A56" w:rsidRPr="004676F5">
        <w:rPr>
          <w:b/>
          <w:lang w:val="de-DE"/>
        </w:rPr>
        <w:t>Art. </w:t>
      </w:r>
      <w:r w:rsidRPr="004676F5">
        <w:rPr>
          <w:b/>
          <w:lang w:val="de-DE"/>
        </w:rPr>
        <w:t>XI.336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Ungeachtet des in Artikel XI.291 und Artikel XI.316 vorge</w:t>
      </w:r>
      <w:r w:rsidRPr="004676F5">
        <w:rPr>
          <w:lang w:val="de-DE"/>
        </w:rPr>
        <w:softHyphen/>
        <w:t xml:space="preserve">sehenen Rechtschutzes sind der Präsident des Gerichts Erster Instanz und der Präsident des </w:t>
      </w:r>
      <w:r w:rsidR="00710C79" w:rsidRPr="004676F5">
        <w:rPr>
          <w:lang w:val="de-DE"/>
        </w:rPr>
        <w:t xml:space="preserve">[Unternehmensgerichts] </w:t>
      </w:r>
      <w:r w:rsidRPr="004676F5">
        <w:rPr>
          <w:lang w:val="de-DE"/>
        </w:rPr>
        <w:t>in Angelegenheiten, die zum jeweiligen Zuständigkeitsbereich dieser Gerichte gehören, befugt, Verstöße gegen Artikel XI.291 §§ 2 und 4 und Artikel XI.316 §§ 2 und 5 festzustellen und je nach Fall:</w:t>
      </w:r>
    </w:p>
    <w:p w14:paraId="5CF457E2" w14:textId="77777777" w:rsidR="00054D39" w:rsidRPr="004676F5" w:rsidRDefault="00054D39" w:rsidP="00054D39">
      <w:pPr>
        <w:ind w:firstLine="708"/>
        <w:jc w:val="both"/>
        <w:rPr>
          <w:lang w:val="de-DE"/>
        </w:rPr>
      </w:pPr>
    </w:p>
    <w:p w14:paraId="24DC574A" w14:textId="77777777" w:rsidR="00054D39" w:rsidRPr="004676F5" w:rsidRDefault="00054D39" w:rsidP="00054D39">
      <w:pPr>
        <w:ind w:firstLine="708"/>
        <w:jc w:val="both"/>
        <w:rPr>
          <w:lang w:val="de-DE"/>
        </w:rPr>
      </w:pPr>
      <w:r w:rsidRPr="004676F5">
        <w:rPr>
          <w:lang w:val="de-DE"/>
        </w:rPr>
        <w:t>1. im Bereich des Urheberrechts und ähnlicher Rechte:</w:t>
      </w:r>
    </w:p>
    <w:p w14:paraId="340D71B9" w14:textId="77777777" w:rsidR="00054D39" w:rsidRPr="004676F5" w:rsidRDefault="00054D39" w:rsidP="00054D39">
      <w:pPr>
        <w:ind w:firstLine="708"/>
        <w:jc w:val="both"/>
        <w:rPr>
          <w:lang w:val="de-DE"/>
        </w:rPr>
      </w:pPr>
    </w:p>
    <w:p w14:paraId="02D096C2" w14:textId="471C8ED7" w:rsidR="00054D39" w:rsidRPr="004676F5" w:rsidRDefault="00054D39" w:rsidP="00054D39">
      <w:pPr>
        <w:ind w:firstLine="708"/>
        <w:jc w:val="both"/>
        <w:rPr>
          <w:lang w:val="de-DE"/>
        </w:rPr>
      </w:pPr>
      <w:r w:rsidRPr="004676F5">
        <w:rPr>
          <w:i/>
          <w:lang w:val="de-DE"/>
        </w:rPr>
        <w:t>a)</w:t>
      </w:r>
      <w:r w:rsidRPr="004676F5">
        <w:rPr>
          <w:lang w:val="de-DE"/>
        </w:rPr>
        <w:t> </w:t>
      </w:r>
      <w:r w:rsidR="009F7ABB" w:rsidRPr="004676F5">
        <w:rPr>
          <w:lang w:val="de-DE"/>
        </w:rPr>
        <w:t>[entweder die Anspruchsberechtigten anzuweisen, die notwendigen Maßnahmen zu ergreifen, um sicherzustellen, dass die Begünstigten der Ausnahmen, die in Artikel XI.190 Nr. 5, 12, 14, 15, 17, 18, 19, 20 und 21, Artikel XI.191 § 1 Nr. 1 und 5, Artikel XI.191/1 § 1 Nr. 3, 4, 5, 7 und 8, Artikel XI.191/2 § 1 Nr. 1 bis 4, Artikel XI.192 § 1 Absatz 2, Artikel XI.217 Nr. 11, 13, 14, 16, 17, 18, 19 und 20, Artikel XI.217/1 Nr. 3, 4, 6 und 7, Artikel XI.218 § 1 Absatz 2, Artikel XI.299 §§ 4 bis 7 und Artikel XI.310 §§ 2 bis 5 oder den vom König gemäß Artikel XI.291 § 2 Absatz 2 festgelegten Bestimmungen vorgesehen sind, diese Ausnahmen nutzen können, soweit der Begünstigte rechtmäßig Zugang zu dem geschützten Werk oder der geschützten Leistung hat,]</w:t>
      </w:r>
    </w:p>
    <w:p w14:paraId="17344E12" w14:textId="77777777" w:rsidR="00054D39" w:rsidRPr="004676F5" w:rsidRDefault="00054D39" w:rsidP="00054D39">
      <w:pPr>
        <w:ind w:firstLine="708"/>
        <w:jc w:val="both"/>
        <w:rPr>
          <w:lang w:val="de-DE"/>
        </w:rPr>
      </w:pPr>
    </w:p>
    <w:p w14:paraId="4CA3C7DB" w14:textId="77777777" w:rsidR="00054D39" w:rsidRPr="004676F5" w:rsidRDefault="00054D39" w:rsidP="00054D39">
      <w:pPr>
        <w:ind w:firstLine="708"/>
        <w:jc w:val="both"/>
        <w:rPr>
          <w:lang w:val="de-DE"/>
        </w:rPr>
      </w:pPr>
      <w:r w:rsidRPr="004676F5">
        <w:rPr>
          <w:i/>
          <w:lang w:val="de-DE"/>
        </w:rPr>
        <w:t>b)</w:t>
      </w:r>
      <w:r w:rsidRPr="004676F5">
        <w:rPr>
          <w:lang w:val="de-DE"/>
        </w:rPr>
        <w:t> oder den Anspruchsberechtigten aufzuerlegen, die technischen Schutzmaßnahmen Artikel XI.291 § 4 anzupassen,</w:t>
      </w:r>
    </w:p>
    <w:p w14:paraId="4236F9B2" w14:textId="77777777" w:rsidR="00054D39" w:rsidRPr="004676F5" w:rsidRDefault="00054D39" w:rsidP="00054D39">
      <w:pPr>
        <w:ind w:firstLine="708"/>
        <w:jc w:val="both"/>
        <w:rPr>
          <w:lang w:val="de-DE"/>
        </w:rPr>
      </w:pPr>
    </w:p>
    <w:p w14:paraId="5215F309" w14:textId="77777777" w:rsidR="00054D39" w:rsidRPr="004676F5" w:rsidRDefault="00054D39" w:rsidP="00054D39">
      <w:pPr>
        <w:ind w:firstLine="708"/>
        <w:jc w:val="both"/>
        <w:rPr>
          <w:lang w:val="de-DE"/>
        </w:rPr>
      </w:pPr>
      <w:r w:rsidRPr="004676F5">
        <w:rPr>
          <w:lang w:val="de-DE"/>
        </w:rPr>
        <w:t>2. im Bereich des Rechts der Hersteller von Datenbanken:</w:t>
      </w:r>
    </w:p>
    <w:p w14:paraId="2F198426" w14:textId="77777777" w:rsidR="00054D39" w:rsidRPr="004676F5" w:rsidRDefault="00054D39" w:rsidP="00054D39">
      <w:pPr>
        <w:ind w:firstLine="708"/>
        <w:jc w:val="both"/>
        <w:rPr>
          <w:lang w:val="de-DE"/>
        </w:rPr>
      </w:pPr>
    </w:p>
    <w:p w14:paraId="00EF8485" w14:textId="77777777" w:rsidR="00054D39" w:rsidRPr="004676F5" w:rsidRDefault="00054D39" w:rsidP="00054D39">
      <w:pPr>
        <w:ind w:firstLine="708"/>
        <w:jc w:val="both"/>
        <w:rPr>
          <w:lang w:val="de-DE"/>
        </w:rPr>
      </w:pPr>
      <w:r w:rsidRPr="004676F5">
        <w:rPr>
          <w:i/>
          <w:lang w:val="de-DE"/>
        </w:rPr>
        <w:t>a)</w:t>
      </w:r>
      <w:r w:rsidRPr="004676F5">
        <w:rPr>
          <w:lang w:val="de-DE"/>
        </w:rPr>
        <w:t> entweder die Hersteller von Datenbanken anzuweisen, die notwendigen Maßnahmen zu ergreifen, um sicherzustellen, dass die Begünstigten der Ausnahmen, die in Artikel XI.310 Absatz 1 Nr. 2 und 3 vorgesehen sind, diese Ausnahmen nutzen können, soweit der Begünstigte rechtmäßig Zugang zur Datenbank hat,</w:t>
      </w:r>
    </w:p>
    <w:p w14:paraId="7FBB8634" w14:textId="77777777" w:rsidR="00054D39" w:rsidRPr="004676F5" w:rsidRDefault="00054D39" w:rsidP="00054D39">
      <w:pPr>
        <w:ind w:firstLine="708"/>
        <w:jc w:val="both"/>
        <w:rPr>
          <w:lang w:val="de-DE"/>
        </w:rPr>
      </w:pPr>
    </w:p>
    <w:p w14:paraId="58187951" w14:textId="77777777" w:rsidR="00054D39" w:rsidRPr="004676F5" w:rsidRDefault="00054D39" w:rsidP="00054D39">
      <w:pPr>
        <w:ind w:firstLine="708"/>
        <w:jc w:val="both"/>
        <w:rPr>
          <w:lang w:val="de-DE"/>
        </w:rPr>
      </w:pPr>
      <w:r w:rsidRPr="004676F5">
        <w:rPr>
          <w:i/>
          <w:lang w:val="de-DE"/>
        </w:rPr>
        <w:t>b)</w:t>
      </w:r>
      <w:r w:rsidRPr="004676F5">
        <w:rPr>
          <w:lang w:val="de-DE"/>
        </w:rPr>
        <w:t> oder den Herstellern von Datenbanken aufzuerlegen, die technischen Schutz</w:t>
      </w:r>
      <w:r w:rsidRPr="004676F5">
        <w:rPr>
          <w:lang w:val="de-DE"/>
        </w:rPr>
        <w:softHyphen/>
        <w:t>maßnahmen Artikel XI.316 § 5 anzupassen.</w:t>
      </w:r>
    </w:p>
    <w:p w14:paraId="3DF30A8B" w14:textId="77777777" w:rsidR="00054D39" w:rsidRPr="004676F5" w:rsidRDefault="00054D39" w:rsidP="00054D39">
      <w:pPr>
        <w:ind w:firstLine="708"/>
        <w:jc w:val="both"/>
        <w:rPr>
          <w:lang w:val="de-DE"/>
        </w:rPr>
      </w:pPr>
    </w:p>
    <w:p w14:paraId="2FE8427A" w14:textId="7355CC9D" w:rsidR="00054D39" w:rsidRPr="004676F5" w:rsidRDefault="00054D39" w:rsidP="00054D39">
      <w:pPr>
        <w:ind w:firstLine="708"/>
        <w:jc w:val="both"/>
        <w:rPr>
          <w:lang w:val="de-DE"/>
        </w:rPr>
      </w:pPr>
      <w:r w:rsidRPr="004676F5">
        <w:rPr>
          <w:lang w:val="de-DE"/>
        </w:rPr>
        <w:t xml:space="preserve">§ 2 </w:t>
      </w:r>
      <w:r w:rsidR="005B7A5C" w:rsidRPr="004676F5">
        <w:rPr>
          <w:lang w:val="de-DE"/>
        </w:rPr>
        <w:t>- </w:t>
      </w:r>
      <w:r w:rsidRPr="004676F5">
        <w:rPr>
          <w:lang w:val="de-DE"/>
        </w:rPr>
        <w:t>Die Klage, die auf § 1 beruht, wird eingereicht auf Antrag:</w:t>
      </w:r>
    </w:p>
    <w:p w14:paraId="7C4AFCD6" w14:textId="77777777" w:rsidR="00054D39" w:rsidRPr="004676F5" w:rsidRDefault="00054D39" w:rsidP="00054D39">
      <w:pPr>
        <w:ind w:firstLine="708"/>
        <w:jc w:val="both"/>
        <w:rPr>
          <w:lang w:val="de-DE"/>
        </w:rPr>
      </w:pPr>
    </w:p>
    <w:p w14:paraId="63D2989F" w14:textId="77777777" w:rsidR="00054D39" w:rsidRPr="004676F5" w:rsidRDefault="00054D39" w:rsidP="00054D39">
      <w:pPr>
        <w:ind w:firstLine="708"/>
        <w:jc w:val="both"/>
        <w:rPr>
          <w:lang w:val="de-DE"/>
        </w:rPr>
      </w:pPr>
      <w:r w:rsidRPr="004676F5">
        <w:rPr>
          <w:lang w:val="de-DE"/>
        </w:rPr>
        <w:t>1. der Interessehabenden,</w:t>
      </w:r>
    </w:p>
    <w:p w14:paraId="213607C5" w14:textId="77777777" w:rsidR="00054D39" w:rsidRPr="004676F5" w:rsidRDefault="00054D39" w:rsidP="00054D39">
      <w:pPr>
        <w:ind w:firstLine="708"/>
        <w:jc w:val="both"/>
        <w:rPr>
          <w:lang w:val="de-DE"/>
        </w:rPr>
      </w:pPr>
    </w:p>
    <w:p w14:paraId="30D4DBA5" w14:textId="77777777" w:rsidR="00054D39" w:rsidRPr="004676F5" w:rsidRDefault="00054D39" w:rsidP="00054D39">
      <w:pPr>
        <w:ind w:firstLine="708"/>
        <w:jc w:val="both"/>
        <w:rPr>
          <w:lang w:val="de-DE"/>
        </w:rPr>
      </w:pPr>
      <w:r w:rsidRPr="004676F5">
        <w:rPr>
          <w:lang w:val="de-DE"/>
        </w:rPr>
        <w:t>2. des Ministers, zu dessen Zuständigkeitsbereich das Urheberrecht gehört,</w:t>
      </w:r>
    </w:p>
    <w:p w14:paraId="70FB22ED" w14:textId="77777777" w:rsidR="00054D39" w:rsidRPr="004676F5" w:rsidRDefault="00054D39" w:rsidP="00054D39">
      <w:pPr>
        <w:ind w:firstLine="708"/>
        <w:jc w:val="both"/>
        <w:rPr>
          <w:lang w:val="de-DE"/>
        </w:rPr>
      </w:pPr>
    </w:p>
    <w:p w14:paraId="6D77E411" w14:textId="77777777" w:rsidR="00054D39" w:rsidRPr="004676F5" w:rsidRDefault="00054D39" w:rsidP="00054D39">
      <w:pPr>
        <w:ind w:firstLine="708"/>
        <w:jc w:val="both"/>
        <w:rPr>
          <w:lang w:val="de-DE"/>
        </w:rPr>
      </w:pPr>
      <w:r w:rsidRPr="004676F5">
        <w:rPr>
          <w:lang w:val="de-DE"/>
        </w:rPr>
        <w:t>3. eines Berufsverbands oder überberuflichen Verbands mit Rechtspersönlichkeit,</w:t>
      </w:r>
    </w:p>
    <w:p w14:paraId="2B7557B0" w14:textId="77777777" w:rsidR="00054D39" w:rsidRPr="004676F5" w:rsidRDefault="00054D39" w:rsidP="00054D39">
      <w:pPr>
        <w:jc w:val="both"/>
        <w:rPr>
          <w:lang w:val="de-DE"/>
        </w:rPr>
      </w:pPr>
    </w:p>
    <w:p w14:paraId="4FB1C9FC" w14:textId="77777777" w:rsidR="00054D39" w:rsidRPr="004676F5" w:rsidRDefault="00054D39" w:rsidP="00054D39">
      <w:pPr>
        <w:ind w:firstLine="708"/>
        <w:jc w:val="both"/>
        <w:rPr>
          <w:lang w:val="de-DE"/>
        </w:rPr>
      </w:pPr>
      <w:r w:rsidRPr="004676F5">
        <w:rPr>
          <w:lang w:val="de-DE"/>
        </w:rPr>
        <w:t>4. einer Vereinigung mit Rechtspersönlichkeit zur Verteidigung der Verbraucher</w:t>
      </w:r>
      <w:r w:rsidRPr="004676F5">
        <w:rPr>
          <w:lang w:val="de-DE"/>
        </w:rPr>
        <w:softHyphen/>
        <w:t>interessen, sofern sie im Verbraucherrat vertreten ist oder vom Minister, zu dessen Zuständigkeitsbereich das Urheberrecht gehört, gemäß Kriterien zugelassen ist, die durch einen im Ministerrat beratenen Königlichen Erlass festgelegt worden sind.</w:t>
      </w:r>
    </w:p>
    <w:p w14:paraId="729EBA96" w14:textId="77777777" w:rsidR="00054D39" w:rsidRPr="004676F5" w:rsidRDefault="00054D39" w:rsidP="00054D39">
      <w:pPr>
        <w:ind w:firstLine="708"/>
        <w:jc w:val="both"/>
        <w:rPr>
          <w:lang w:val="de-DE"/>
        </w:rPr>
      </w:pPr>
    </w:p>
    <w:p w14:paraId="4E68F7DD" w14:textId="2553969B" w:rsidR="00054D39" w:rsidRPr="004676F5" w:rsidRDefault="00D84929" w:rsidP="00054D39">
      <w:pPr>
        <w:ind w:firstLine="708"/>
        <w:jc w:val="both"/>
        <w:rPr>
          <w:lang w:val="de-DE"/>
        </w:rPr>
      </w:pPr>
      <w:r w:rsidRPr="004676F5">
        <w:rPr>
          <w:lang w:val="de-DE"/>
        </w:rPr>
        <w:t>[Die in den Nummern 3 und 4 erwähnten Vereinigungen und Verbände können]</w:t>
      </w:r>
      <w:r w:rsidR="00054D39" w:rsidRPr="004676F5">
        <w:rPr>
          <w:lang w:val="de-DE"/>
        </w:rPr>
        <w:t xml:space="preserve"> zur Verteidigung ihrer in der Satzung definierten kollektiven Interessen vor Gericht treten.</w:t>
      </w:r>
    </w:p>
    <w:p w14:paraId="2BF9BE5D" w14:textId="77777777" w:rsidR="00054D39" w:rsidRPr="004676F5" w:rsidRDefault="00054D39" w:rsidP="00054D39">
      <w:pPr>
        <w:ind w:firstLine="708"/>
        <w:jc w:val="both"/>
        <w:rPr>
          <w:lang w:val="de-DE"/>
        </w:rPr>
      </w:pPr>
    </w:p>
    <w:p w14:paraId="2708D0E6" w14:textId="7E2D2398" w:rsidR="00054D39" w:rsidRPr="004676F5" w:rsidRDefault="00054D39" w:rsidP="00054D39">
      <w:pPr>
        <w:ind w:firstLine="708"/>
        <w:jc w:val="both"/>
        <w:rPr>
          <w:lang w:val="de-DE"/>
        </w:rPr>
      </w:pPr>
      <w:r w:rsidRPr="004676F5">
        <w:rPr>
          <w:lang w:val="de-DE"/>
        </w:rPr>
        <w:lastRenderedPageBreak/>
        <w:t xml:space="preserve">§ 3 </w:t>
      </w:r>
      <w:r w:rsidR="005B7A5C" w:rsidRPr="004676F5">
        <w:rPr>
          <w:lang w:val="de-DE"/>
        </w:rPr>
        <w:t>- </w:t>
      </w:r>
      <w:r w:rsidRPr="004676F5">
        <w:rPr>
          <w:lang w:val="de-DE"/>
        </w:rPr>
        <w:t>Die in § 1 erwähnte Klage wird im Eilverfahren eingeleitet und untersucht.</w:t>
      </w:r>
    </w:p>
    <w:p w14:paraId="1842DC9A" w14:textId="77777777" w:rsidR="00054D39" w:rsidRPr="004676F5" w:rsidRDefault="00054D39" w:rsidP="00054D39">
      <w:pPr>
        <w:jc w:val="both"/>
        <w:rPr>
          <w:lang w:val="de-DE"/>
        </w:rPr>
      </w:pPr>
    </w:p>
    <w:p w14:paraId="5815B9A4" w14:textId="77777777" w:rsidR="00054D39" w:rsidRPr="004676F5" w:rsidRDefault="00054D39" w:rsidP="00054D39">
      <w:pPr>
        <w:ind w:firstLine="708"/>
        <w:jc w:val="both"/>
        <w:rPr>
          <w:lang w:val="de-DE"/>
        </w:rPr>
      </w:pPr>
      <w:r w:rsidRPr="004676F5">
        <w:rPr>
          <w:lang w:val="de-DE"/>
        </w:rPr>
        <w:t>Sie kann gemäß den Artikeln 1034</w:t>
      </w:r>
      <w:r w:rsidRPr="004676F5">
        <w:rPr>
          <w:i/>
          <w:lang w:val="de-DE"/>
        </w:rPr>
        <w:t>ter</w:t>
      </w:r>
      <w:r w:rsidRPr="004676F5">
        <w:rPr>
          <w:lang w:val="de-DE"/>
        </w:rPr>
        <w:t xml:space="preserve"> bis 1034</w:t>
      </w:r>
      <w:r w:rsidRPr="004676F5">
        <w:rPr>
          <w:i/>
          <w:lang w:val="de-DE"/>
        </w:rPr>
        <w:t>sexies</w:t>
      </w:r>
      <w:r w:rsidRPr="004676F5">
        <w:rPr>
          <w:lang w:val="de-DE"/>
        </w:rPr>
        <w:t xml:space="preserve"> des Gerichtsgesetzbuches durch eine kontradiktorische Antragschrift eingereicht werden.</w:t>
      </w:r>
    </w:p>
    <w:p w14:paraId="547F9D2C" w14:textId="77777777" w:rsidR="00054D39" w:rsidRPr="004676F5" w:rsidRDefault="00054D39" w:rsidP="00054D39">
      <w:pPr>
        <w:jc w:val="both"/>
        <w:rPr>
          <w:lang w:val="de-DE"/>
        </w:rPr>
      </w:pPr>
    </w:p>
    <w:p w14:paraId="3EBD7D99" w14:textId="12428D8A" w:rsidR="00054D39" w:rsidRPr="004676F5" w:rsidRDefault="00054D39" w:rsidP="00054D39">
      <w:pPr>
        <w:ind w:firstLine="708"/>
        <w:jc w:val="both"/>
        <w:rPr>
          <w:lang w:val="de-DE"/>
        </w:rPr>
      </w:pPr>
      <w:r w:rsidRPr="004676F5">
        <w:rPr>
          <w:lang w:val="de-DE"/>
        </w:rPr>
        <w:t xml:space="preserve">Der Präsident des Gerichts Erster Instanz oder der Präsident des </w:t>
      </w:r>
      <w:r w:rsidR="00710C79" w:rsidRPr="004676F5">
        <w:rPr>
          <w:lang w:val="de-DE"/>
        </w:rPr>
        <w:t xml:space="preserve">[Unternehmensgerichts] </w:t>
      </w:r>
      <w:r w:rsidRPr="004676F5">
        <w:rPr>
          <w:lang w:val="de-DE"/>
        </w:rPr>
        <w:t>kann anordnen, dass auf Kosten des Zuwiderhandelnden sein Beschluss oder die von ihm erstellte Zusammenfassung während des von ihm festgelegten Zeitraums sowohl innerhalb als auch außerhalb der Niederlassungen des Zuwiderhandelnden angeschlagen wird und in Zeitungen oder sonst irgendwie veröffentlicht wird.</w:t>
      </w:r>
    </w:p>
    <w:p w14:paraId="06881D8B" w14:textId="77777777" w:rsidR="00054D39" w:rsidRPr="004676F5" w:rsidRDefault="00054D39" w:rsidP="00054D39">
      <w:pPr>
        <w:jc w:val="both"/>
        <w:rPr>
          <w:lang w:val="de-DE"/>
        </w:rPr>
      </w:pPr>
    </w:p>
    <w:p w14:paraId="2EE2117F" w14:textId="77777777" w:rsidR="00054D39" w:rsidRPr="004676F5" w:rsidRDefault="00054D39" w:rsidP="00054D39">
      <w:pPr>
        <w:ind w:firstLine="708"/>
        <w:jc w:val="both"/>
        <w:rPr>
          <w:lang w:val="de-DE"/>
        </w:rPr>
      </w:pPr>
      <w:r w:rsidRPr="004676F5">
        <w:rPr>
          <w:lang w:val="de-DE"/>
        </w:rPr>
        <w:t>Der Beschluss ist vorläufig vollstreckbar ungeachtet irgendeines Rechtsmittels und ohne Sicherheitsleistung.</w:t>
      </w:r>
    </w:p>
    <w:p w14:paraId="31C6113A" w14:textId="77777777" w:rsidR="00054D39" w:rsidRPr="004676F5" w:rsidRDefault="00054D39" w:rsidP="00054D39">
      <w:pPr>
        <w:ind w:firstLine="708"/>
        <w:jc w:val="both"/>
        <w:rPr>
          <w:lang w:val="de-DE"/>
        </w:rPr>
      </w:pPr>
    </w:p>
    <w:p w14:paraId="168F9A9D" w14:textId="77777777" w:rsidR="00054D39" w:rsidRPr="004676F5" w:rsidRDefault="00BF3C11" w:rsidP="00054D39">
      <w:pPr>
        <w:ind w:firstLine="708"/>
        <w:jc w:val="both"/>
        <w:rPr>
          <w:lang w:val="de-DE"/>
        </w:rPr>
      </w:pPr>
      <w:r w:rsidRPr="004676F5">
        <w:rPr>
          <w:lang w:val="de-DE"/>
        </w:rPr>
        <w:t>[…]</w:t>
      </w:r>
      <w:r w:rsidR="00054D39" w:rsidRPr="004676F5">
        <w:rPr>
          <w:lang w:val="de-DE"/>
        </w:rPr>
        <w:t>]</w:t>
      </w:r>
    </w:p>
    <w:p w14:paraId="1E2B49E3" w14:textId="77777777" w:rsidR="00054D39" w:rsidRPr="004676F5" w:rsidRDefault="00054D39" w:rsidP="00054D39">
      <w:pPr>
        <w:ind w:firstLine="708"/>
        <w:jc w:val="both"/>
        <w:rPr>
          <w:lang w:val="de-DE"/>
        </w:rPr>
      </w:pPr>
    </w:p>
    <w:p w14:paraId="7DBE3C90" w14:textId="7DF815CF" w:rsidR="00054D39" w:rsidRPr="004676F5" w:rsidRDefault="00054D39" w:rsidP="00054D39">
      <w:pPr>
        <w:jc w:val="both"/>
        <w:rPr>
          <w:i/>
          <w:lang w:val="de-DE"/>
        </w:rPr>
      </w:pPr>
      <w:r w:rsidRPr="004676F5">
        <w:rPr>
          <w:i/>
          <w:lang w:val="de-DE"/>
        </w:rPr>
        <w:t>[</w:t>
      </w:r>
      <w:r w:rsidR="00BE0A56" w:rsidRPr="004676F5">
        <w:rPr>
          <w:i/>
          <w:lang w:val="de-DE"/>
        </w:rPr>
        <w:t>Art. </w:t>
      </w:r>
      <w:r w:rsidRPr="004676F5">
        <w:rPr>
          <w:i/>
          <w:lang w:val="de-DE"/>
        </w:rPr>
        <w:t xml:space="preserve">XI.336 eingefügt durch </w:t>
      </w:r>
      <w:r w:rsidR="00BE0A56" w:rsidRPr="004676F5">
        <w:rPr>
          <w:i/>
          <w:lang w:val="de-DE"/>
        </w:rPr>
        <w:t>Art. </w:t>
      </w:r>
      <w:r w:rsidRPr="004676F5">
        <w:rPr>
          <w:i/>
          <w:lang w:val="de-DE"/>
        </w:rPr>
        <w:t>2 des G. vom 10. April 2014 (B.S. vom 12. Juni 2014, Err. vom 27. Juni 2014)</w:t>
      </w:r>
      <w:r w:rsidR="00BF3C11" w:rsidRPr="004676F5">
        <w:rPr>
          <w:i/>
          <w:lang w:val="de-DE"/>
        </w:rPr>
        <w:t xml:space="preserve">; </w:t>
      </w:r>
      <w:r w:rsidR="00710C79" w:rsidRPr="004676F5">
        <w:rPr>
          <w:i/>
          <w:lang w:val="de-DE"/>
        </w:rPr>
        <w:t>§ 1 einziger Absatz einleitende Bestimmung abgeändert durch Art. 252 des G. vom 15. April 2018 (B.S. vom 27. April 2018);</w:t>
      </w:r>
      <w:r w:rsidR="00B1340F" w:rsidRPr="004676F5">
        <w:rPr>
          <w:i/>
          <w:lang w:val="de-DE"/>
        </w:rPr>
        <w:t xml:space="preserve"> § 1 einziger Absatz Nr. 1 einziger Absatz Buchstabe a) </w:t>
      </w:r>
      <w:r w:rsidR="009F7ABB" w:rsidRPr="004676F5">
        <w:rPr>
          <w:i/>
          <w:lang w:val="de-DE"/>
        </w:rPr>
        <w:t>ersetzt durch Art. 86</w:t>
      </w:r>
      <w:r w:rsidR="009F7ABB" w:rsidRPr="004676F5">
        <w:rPr>
          <w:i/>
          <w:iCs/>
          <w:lang w:val="de-DE"/>
        </w:rPr>
        <w:t xml:space="preserve"> des G. vom 19. Juni 2022 (B.S. vom 1. August 2022)</w:t>
      </w:r>
      <w:r w:rsidR="00B1340F" w:rsidRPr="004676F5">
        <w:rPr>
          <w:i/>
          <w:lang w:val="de-DE"/>
        </w:rPr>
        <w:t>;</w:t>
      </w:r>
      <w:r w:rsidR="00710C79" w:rsidRPr="004676F5">
        <w:rPr>
          <w:i/>
          <w:lang w:val="de-DE"/>
        </w:rPr>
        <w:t xml:space="preserve"> </w:t>
      </w:r>
      <w:r w:rsidR="00D84929" w:rsidRPr="004676F5">
        <w:rPr>
          <w:i/>
          <w:lang w:val="de-DE"/>
        </w:rPr>
        <w:t xml:space="preserve">§ 2 Abs. 2 abgeändert durch </w:t>
      </w:r>
      <w:r w:rsidR="00BE0A56" w:rsidRPr="004676F5">
        <w:rPr>
          <w:i/>
          <w:lang w:val="de-DE"/>
        </w:rPr>
        <w:t>Art. </w:t>
      </w:r>
      <w:r w:rsidR="00D84929" w:rsidRPr="004676F5">
        <w:rPr>
          <w:i/>
          <w:lang w:val="de-DE"/>
        </w:rPr>
        <w:t>154</w:t>
      </w:r>
      <w:r w:rsidR="00D84929" w:rsidRPr="004676F5">
        <w:rPr>
          <w:i/>
          <w:iCs/>
          <w:lang w:val="de-DE"/>
        </w:rPr>
        <w:t xml:space="preserve"> des G. vom 21. Dezember 2018 (B.S. vom 31. Dezember 2018);</w:t>
      </w:r>
      <w:r w:rsidR="00710C79" w:rsidRPr="004676F5">
        <w:rPr>
          <w:i/>
          <w:iCs/>
          <w:lang w:val="de-DE"/>
        </w:rPr>
        <w:t xml:space="preserve"> § 3 Abs. 3 abgeändert durch Art. 252 des G. vom 15. April 2018 (B.S. vom 27. April 2018);</w:t>
      </w:r>
      <w:r w:rsidR="00D84929" w:rsidRPr="004676F5">
        <w:rPr>
          <w:i/>
          <w:lang w:val="de-DE"/>
        </w:rPr>
        <w:t xml:space="preserve"> </w:t>
      </w:r>
      <w:r w:rsidR="00BF3C11" w:rsidRPr="004676F5">
        <w:rPr>
          <w:i/>
          <w:lang w:val="de-DE"/>
        </w:rPr>
        <w:t xml:space="preserve">§ 3 Abs. 5 aufgehoben durch </w:t>
      </w:r>
      <w:r w:rsidR="00BE0A56" w:rsidRPr="004676F5">
        <w:rPr>
          <w:i/>
          <w:lang w:val="de-DE"/>
        </w:rPr>
        <w:t>Art. </w:t>
      </w:r>
      <w:r w:rsidR="00BF3C11" w:rsidRPr="004676F5">
        <w:rPr>
          <w:i/>
          <w:lang w:val="de-DE"/>
        </w:rPr>
        <w:t>33 des G. vom 29. Juni 2016 (B.S. vom 6. Juli 2016)</w:t>
      </w:r>
      <w:r w:rsidRPr="004676F5">
        <w:rPr>
          <w:i/>
          <w:lang w:val="de-DE"/>
        </w:rPr>
        <w:t>]</w:t>
      </w:r>
    </w:p>
    <w:p w14:paraId="06265BE0" w14:textId="77777777" w:rsidR="00054D39" w:rsidRPr="004676F5" w:rsidRDefault="00054D39" w:rsidP="00054D39">
      <w:pPr>
        <w:ind w:firstLine="708"/>
        <w:jc w:val="both"/>
        <w:rPr>
          <w:lang w:val="de-DE"/>
        </w:rPr>
      </w:pPr>
    </w:p>
    <w:p w14:paraId="5535C5A1" w14:textId="77777777" w:rsidR="00E524CB" w:rsidRPr="004676F5" w:rsidRDefault="00E524CB">
      <w:pPr>
        <w:rPr>
          <w:lang w:val="de-DE"/>
        </w:rPr>
      </w:pPr>
      <w:r w:rsidRPr="004676F5">
        <w:rPr>
          <w:lang w:val="de-DE"/>
        </w:rPr>
        <w:br w:type="page"/>
      </w:r>
    </w:p>
    <w:p w14:paraId="57F4D26B" w14:textId="44AF0C6E" w:rsidR="00E524CB" w:rsidRPr="004676F5" w:rsidRDefault="00E524CB" w:rsidP="00E524CB">
      <w:pPr>
        <w:jc w:val="center"/>
        <w:rPr>
          <w:lang w:val="de-DE"/>
        </w:rPr>
      </w:pPr>
      <w:r w:rsidRPr="004676F5">
        <w:rPr>
          <w:lang w:val="de-DE"/>
        </w:rPr>
        <w:lastRenderedPageBreak/>
        <w:t>[</w:t>
      </w:r>
      <w:r w:rsidRPr="004676F5">
        <w:rPr>
          <w:b/>
          <w:bCs/>
          <w:lang w:val="de-DE"/>
        </w:rPr>
        <w:t>TITEL 9/1</w:t>
      </w:r>
      <w:r w:rsidRPr="004676F5">
        <w:rPr>
          <w:lang w:val="de-DE"/>
        </w:rPr>
        <w:t> </w:t>
      </w:r>
      <w:r w:rsidR="005B7A5C" w:rsidRPr="004676F5">
        <w:rPr>
          <w:lang w:val="de-DE"/>
        </w:rPr>
        <w:t>- </w:t>
      </w:r>
      <w:r w:rsidRPr="004676F5">
        <w:rPr>
          <w:b/>
          <w:bCs/>
          <w:i/>
          <w:iCs/>
          <w:lang w:val="de-DE"/>
        </w:rPr>
        <w:t>Zivilrechtliche Aspekte des Schutzes von Geschäftsgeheimnissen</w:t>
      </w:r>
      <w:r w:rsidRPr="004676F5">
        <w:rPr>
          <w:lang w:val="de-DE"/>
        </w:rPr>
        <w:t>]</w:t>
      </w:r>
    </w:p>
    <w:p w14:paraId="3C85FBFE" w14:textId="77777777" w:rsidR="00E524CB" w:rsidRPr="004676F5" w:rsidRDefault="00E524CB" w:rsidP="00E524CB">
      <w:pPr>
        <w:jc w:val="center"/>
        <w:rPr>
          <w:lang w:val="de-DE"/>
        </w:rPr>
      </w:pPr>
    </w:p>
    <w:p w14:paraId="299092CD" w14:textId="4AF03924" w:rsidR="00E524CB" w:rsidRPr="004676F5" w:rsidRDefault="00E524CB" w:rsidP="00E524CB">
      <w:pPr>
        <w:jc w:val="both"/>
        <w:rPr>
          <w:i/>
          <w:iCs/>
          <w:lang w:val="de-DE"/>
        </w:rPr>
      </w:pPr>
      <w:r w:rsidRPr="004676F5">
        <w:rPr>
          <w:i/>
          <w:iCs/>
          <w:lang w:val="de-DE"/>
        </w:rPr>
        <w:t>[Unterteilung Titel 9/1 eingefügt durch Art. 10</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r w:rsidRPr="004676F5">
        <w:rPr>
          <w:i/>
          <w:iCs/>
          <w:lang w:val="de-DE"/>
        </w:rPr>
        <w:t>]</w:t>
      </w:r>
    </w:p>
    <w:p w14:paraId="3C7E2AE7" w14:textId="77777777" w:rsidR="00E524CB" w:rsidRPr="004676F5" w:rsidRDefault="00E524CB" w:rsidP="00E524CB">
      <w:pPr>
        <w:jc w:val="both"/>
        <w:rPr>
          <w:lang w:val="de-DE"/>
        </w:rPr>
      </w:pPr>
    </w:p>
    <w:p w14:paraId="7DC79FD0" w14:textId="77777777" w:rsidR="00E524CB" w:rsidRPr="004676F5" w:rsidRDefault="00E524CB" w:rsidP="00E524CB">
      <w:pPr>
        <w:jc w:val="both"/>
        <w:rPr>
          <w:lang w:val="de-DE"/>
        </w:rPr>
      </w:pPr>
    </w:p>
    <w:p w14:paraId="53FFEB06" w14:textId="6F055CE4" w:rsidR="00E524CB" w:rsidRPr="004676F5" w:rsidRDefault="00E524CB" w:rsidP="00E524CB">
      <w:pPr>
        <w:jc w:val="center"/>
        <w:rPr>
          <w:lang w:val="de-DE"/>
        </w:rPr>
      </w:pPr>
      <w:r w:rsidRPr="004676F5">
        <w:rPr>
          <w:lang w:val="de-DE"/>
        </w:rPr>
        <w:t>[KAPITEL 1 </w:t>
      </w:r>
      <w:r w:rsidR="005B7A5C" w:rsidRPr="004676F5">
        <w:rPr>
          <w:lang w:val="de-DE"/>
        </w:rPr>
        <w:t>- </w:t>
      </w:r>
      <w:r w:rsidRPr="004676F5">
        <w:rPr>
          <w:i/>
          <w:iCs/>
          <w:lang w:val="de-DE"/>
        </w:rPr>
        <w:t>Allgemeines</w:t>
      </w:r>
      <w:r w:rsidRPr="004676F5">
        <w:rPr>
          <w:lang w:val="de-DE"/>
        </w:rPr>
        <w:t>]</w:t>
      </w:r>
    </w:p>
    <w:p w14:paraId="36450E99" w14:textId="77777777" w:rsidR="00E524CB" w:rsidRPr="004676F5" w:rsidRDefault="00E524CB" w:rsidP="00E524CB">
      <w:pPr>
        <w:jc w:val="center"/>
        <w:rPr>
          <w:lang w:val="de-DE"/>
        </w:rPr>
      </w:pPr>
    </w:p>
    <w:p w14:paraId="3E8723E5" w14:textId="5E61EAAF" w:rsidR="00E524CB" w:rsidRPr="004676F5" w:rsidRDefault="00E524CB" w:rsidP="00E524CB">
      <w:pPr>
        <w:jc w:val="both"/>
        <w:rPr>
          <w:i/>
          <w:iCs/>
          <w:lang w:val="de-DE"/>
        </w:rPr>
      </w:pPr>
      <w:r w:rsidRPr="004676F5">
        <w:rPr>
          <w:i/>
          <w:iCs/>
          <w:lang w:val="de-DE"/>
        </w:rPr>
        <w:t>[Unterteilung Kapitel 1 eingefügt durch Art. 11</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r w:rsidRPr="004676F5">
        <w:rPr>
          <w:i/>
          <w:iCs/>
          <w:lang w:val="de-DE"/>
        </w:rPr>
        <w:t>]</w:t>
      </w:r>
    </w:p>
    <w:p w14:paraId="0955E2E1" w14:textId="3EED7AB9" w:rsidR="00E524CB" w:rsidRPr="004676F5" w:rsidRDefault="00E524CB" w:rsidP="00E524CB">
      <w:pPr>
        <w:jc w:val="both"/>
        <w:rPr>
          <w:lang w:val="de-DE"/>
        </w:rPr>
      </w:pPr>
    </w:p>
    <w:p w14:paraId="3789F2C2" w14:textId="4232D75D" w:rsidR="00E524CB" w:rsidRPr="004676F5" w:rsidRDefault="00E524CB" w:rsidP="00E524CB">
      <w:pPr>
        <w:jc w:val="both"/>
        <w:rPr>
          <w:lang w:val="de-DE"/>
        </w:rPr>
      </w:pPr>
    </w:p>
    <w:p w14:paraId="337CF14A" w14:textId="3AFF75C4" w:rsidR="00E524CB" w:rsidRPr="004676F5" w:rsidRDefault="00E524CB" w:rsidP="00E524CB">
      <w:pPr>
        <w:jc w:val="both"/>
        <w:rPr>
          <w:lang w:val="de-DE"/>
        </w:rPr>
      </w:pPr>
      <w:r w:rsidRPr="004676F5">
        <w:rPr>
          <w:lang w:val="de-DE"/>
        </w:rPr>
        <w:tab/>
        <w:t>[</w:t>
      </w:r>
      <w:r w:rsidRPr="004676F5">
        <w:rPr>
          <w:b/>
          <w:bCs/>
          <w:lang w:val="de-DE"/>
        </w:rPr>
        <w:t>Art. XI.336/1</w:t>
      </w:r>
      <w:r w:rsidRPr="004676F5">
        <w:rPr>
          <w:lang w:val="de-DE"/>
        </w:rPr>
        <w:t> </w:t>
      </w:r>
      <w:r w:rsidR="005B7A5C" w:rsidRPr="004676F5">
        <w:rPr>
          <w:lang w:val="de-DE"/>
        </w:rPr>
        <w:t>- </w:t>
      </w:r>
      <w:r w:rsidRPr="004676F5">
        <w:rPr>
          <w:lang w:val="de-DE"/>
        </w:rPr>
        <w:t>Vorliegender Titel dient der Teilumsetzung der Richt</w:t>
      </w:r>
      <w:r w:rsidRPr="004676F5">
        <w:rPr>
          <w:lang w:val="de-DE"/>
        </w:rPr>
        <w:softHyphen/>
        <w:t>linie (EU) 2016/943 des Europäischen Parlaments und des Rates vom 8. Juni 2016 über den Schutz vertraulichen Know-hows und vertraulicher Geschäftsinformationen (Geschäfts</w:t>
      </w:r>
      <w:r w:rsidRPr="004676F5">
        <w:rPr>
          <w:lang w:val="de-DE"/>
        </w:rPr>
        <w:softHyphen/>
        <w:t>geheimnisse) vor rechtswidrigem Erwerb sowie rechtswidriger Nutzung und Offenlegung.]</w:t>
      </w:r>
    </w:p>
    <w:p w14:paraId="0A05E91B" w14:textId="77777777" w:rsidR="00E524CB" w:rsidRPr="004676F5" w:rsidRDefault="00E524CB" w:rsidP="00E524CB">
      <w:pPr>
        <w:jc w:val="both"/>
        <w:rPr>
          <w:lang w:val="de-DE"/>
        </w:rPr>
      </w:pPr>
    </w:p>
    <w:p w14:paraId="53DEC846" w14:textId="77BD7458" w:rsidR="00E524CB" w:rsidRPr="004676F5" w:rsidRDefault="00E524CB" w:rsidP="00E524CB">
      <w:pPr>
        <w:jc w:val="both"/>
        <w:rPr>
          <w:i/>
          <w:iCs/>
          <w:lang w:val="de-DE"/>
        </w:rPr>
      </w:pPr>
      <w:r w:rsidRPr="004676F5">
        <w:rPr>
          <w:i/>
          <w:iCs/>
          <w:lang w:val="de-DE"/>
        </w:rPr>
        <w:t>[Art. XI.336/1 eingefügt durch Art. 12</w:t>
      </w:r>
      <w:r w:rsidRPr="004676F5">
        <w:rPr>
          <w:i/>
          <w:lang w:val="de-DE"/>
        </w:rPr>
        <w:t xml:space="preserve"> des G. vom 30. Juli 2018</w:t>
      </w:r>
      <w:r w:rsidR="0022045D" w:rsidRPr="004676F5">
        <w:rPr>
          <w:bCs/>
          <w:lang w:val="de-DE"/>
        </w:rPr>
        <w:t> </w:t>
      </w:r>
      <w:r w:rsidR="0022045D" w:rsidRPr="004676F5">
        <w:rPr>
          <w:bCs/>
          <w:i/>
          <w:iCs/>
          <w:lang w:val="de-DE"/>
        </w:rPr>
        <w:t>(I)</w:t>
      </w:r>
      <w:r w:rsidRPr="004676F5">
        <w:rPr>
          <w:i/>
          <w:lang w:val="de-DE"/>
        </w:rPr>
        <w:t xml:space="preserve"> (B.S. vom 14. August 2018)]</w:t>
      </w:r>
    </w:p>
    <w:p w14:paraId="0F2D40D8" w14:textId="77777777" w:rsidR="00E524CB" w:rsidRPr="004676F5" w:rsidRDefault="00E524CB" w:rsidP="00E524CB">
      <w:pPr>
        <w:jc w:val="both"/>
        <w:rPr>
          <w:lang w:val="de-DE"/>
        </w:rPr>
      </w:pPr>
    </w:p>
    <w:p w14:paraId="3C9B9112" w14:textId="77777777" w:rsidR="00E524CB" w:rsidRPr="004676F5" w:rsidRDefault="00E524CB" w:rsidP="00E524CB">
      <w:pPr>
        <w:jc w:val="both"/>
        <w:rPr>
          <w:lang w:val="de-DE"/>
        </w:rPr>
      </w:pPr>
    </w:p>
    <w:p w14:paraId="458A9141" w14:textId="74CC29CB" w:rsidR="00E524CB" w:rsidRPr="004676F5" w:rsidRDefault="00E524CB" w:rsidP="00E524CB">
      <w:pPr>
        <w:jc w:val="center"/>
        <w:rPr>
          <w:lang w:val="de-DE"/>
        </w:rPr>
      </w:pPr>
      <w:r w:rsidRPr="004676F5">
        <w:rPr>
          <w:lang w:val="de-DE"/>
        </w:rPr>
        <w:t>[KAPITEL 2 </w:t>
      </w:r>
      <w:r w:rsidR="005B7A5C" w:rsidRPr="004676F5">
        <w:rPr>
          <w:lang w:val="de-DE"/>
        </w:rPr>
        <w:t>- </w:t>
      </w:r>
      <w:r w:rsidRPr="004676F5">
        <w:rPr>
          <w:i/>
          <w:iCs/>
          <w:lang w:val="de-DE"/>
        </w:rPr>
        <w:t>Einstellung rechtswidriger Praktiken und andere Maßnahmen</w:t>
      </w:r>
      <w:r w:rsidRPr="004676F5">
        <w:rPr>
          <w:lang w:val="de-DE"/>
        </w:rPr>
        <w:t>]</w:t>
      </w:r>
    </w:p>
    <w:p w14:paraId="646A72BB" w14:textId="77777777" w:rsidR="00E524CB" w:rsidRPr="004676F5" w:rsidRDefault="00E524CB" w:rsidP="00E524CB">
      <w:pPr>
        <w:jc w:val="center"/>
        <w:rPr>
          <w:lang w:val="de-DE"/>
        </w:rPr>
      </w:pPr>
    </w:p>
    <w:p w14:paraId="35A96870" w14:textId="36A23F7A" w:rsidR="00E524CB" w:rsidRPr="004676F5" w:rsidRDefault="00E524CB" w:rsidP="00E524CB">
      <w:pPr>
        <w:jc w:val="both"/>
        <w:rPr>
          <w:lang w:val="de-DE"/>
        </w:rPr>
      </w:pPr>
      <w:r w:rsidRPr="004676F5">
        <w:rPr>
          <w:i/>
          <w:iCs/>
          <w:lang w:val="de-DE"/>
        </w:rPr>
        <w:t>[Unterteilung Kapitel 2 eingefügt durch Art. 13</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r w:rsidRPr="004676F5">
        <w:rPr>
          <w:i/>
          <w:iCs/>
          <w:lang w:val="de-DE"/>
        </w:rPr>
        <w:t>]</w:t>
      </w:r>
    </w:p>
    <w:p w14:paraId="6EC66D99" w14:textId="4D677EC4" w:rsidR="00E524CB" w:rsidRPr="004676F5" w:rsidRDefault="00E524CB" w:rsidP="00E524CB">
      <w:pPr>
        <w:jc w:val="both"/>
        <w:rPr>
          <w:lang w:val="de-DE"/>
        </w:rPr>
      </w:pPr>
    </w:p>
    <w:p w14:paraId="16770C88" w14:textId="70288363" w:rsidR="00E524CB" w:rsidRPr="004676F5" w:rsidRDefault="00E524CB" w:rsidP="00E524CB">
      <w:pPr>
        <w:jc w:val="both"/>
        <w:rPr>
          <w:lang w:val="de-DE"/>
        </w:rPr>
      </w:pPr>
    </w:p>
    <w:p w14:paraId="0F9E5ED3" w14:textId="71FA058E" w:rsidR="00E524CB" w:rsidRPr="004676F5" w:rsidRDefault="00E524CB" w:rsidP="00E524CB">
      <w:pPr>
        <w:ind w:firstLine="708"/>
        <w:jc w:val="both"/>
        <w:rPr>
          <w:lang w:val="de-DE"/>
        </w:rPr>
      </w:pPr>
      <w:r w:rsidRPr="004676F5">
        <w:rPr>
          <w:lang w:val="de-DE"/>
        </w:rPr>
        <w:t>[</w:t>
      </w:r>
      <w:r w:rsidRPr="004676F5">
        <w:rPr>
          <w:b/>
          <w:bCs/>
          <w:lang w:val="de-DE"/>
        </w:rPr>
        <w:t>Art. XI.336/2</w:t>
      </w:r>
      <w:r w:rsidRPr="004676F5">
        <w:rPr>
          <w:lang w:val="de-DE"/>
        </w:rPr>
        <w:t> </w:t>
      </w:r>
      <w:r w:rsidR="005B7A5C" w:rsidRPr="004676F5">
        <w:rPr>
          <w:lang w:val="de-DE"/>
        </w:rPr>
        <w:t>- </w:t>
      </w:r>
      <w:r w:rsidRPr="004676F5">
        <w:rPr>
          <w:lang w:val="de-DE"/>
        </w:rPr>
        <w:t>Inhaber von Geschäftsgeheimnissen sind berechtigt, die im Gesetz vorgesehenen Maßnahmen, Verfahren und Rechtsbehelfe zu beantragen, um einen rechts</w:t>
      </w:r>
      <w:r w:rsidRPr="004676F5">
        <w:rPr>
          <w:lang w:val="de-DE"/>
        </w:rPr>
        <w:softHyphen/>
        <w:t>widrigen Erwerb oder eine rechtswidrige Nutzung oder Offenlegung ihres Geschäftsgeheim</w:t>
      </w:r>
      <w:r w:rsidRPr="004676F5">
        <w:rPr>
          <w:lang w:val="de-DE"/>
        </w:rPr>
        <w:softHyphen/>
        <w:t>nisses zu verhindern oder eine Entschädigung zu erlangen.]</w:t>
      </w:r>
    </w:p>
    <w:p w14:paraId="6ABCD565" w14:textId="69536E2A" w:rsidR="00E524CB" w:rsidRPr="004676F5" w:rsidRDefault="00E524CB" w:rsidP="00E524CB">
      <w:pPr>
        <w:ind w:firstLine="708"/>
        <w:jc w:val="both"/>
        <w:rPr>
          <w:lang w:val="de-DE"/>
        </w:rPr>
      </w:pPr>
    </w:p>
    <w:p w14:paraId="1F3D7DF2" w14:textId="21CFF58E" w:rsidR="00E524CB" w:rsidRPr="004676F5" w:rsidRDefault="00E524CB" w:rsidP="00E524CB">
      <w:pPr>
        <w:jc w:val="both"/>
        <w:rPr>
          <w:i/>
          <w:iCs/>
          <w:lang w:val="de-DE"/>
        </w:rPr>
      </w:pPr>
      <w:r w:rsidRPr="004676F5">
        <w:rPr>
          <w:i/>
          <w:iCs/>
          <w:lang w:val="de-DE"/>
        </w:rPr>
        <w:t>[Art. XI.336/2 eingefügt durch Art. 14</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40B61F5E" w14:textId="77777777" w:rsidR="00E524CB" w:rsidRPr="004676F5" w:rsidRDefault="00E524CB" w:rsidP="00E524CB">
      <w:pPr>
        <w:ind w:firstLine="708"/>
        <w:jc w:val="both"/>
        <w:rPr>
          <w:lang w:val="de-DE"/>
        </w:rPr>
      </w:pPr>
    </w:p>
    <w:p w14:paraId="49A8774E" w14:textId="77777777" w:rsidR="00E524CB" w:rsidRPr="004676F5" w:rsidRDefault="00E524CB" w:rsidP="00E524CB">
      <w:pPr>
        <w:jc w:val="both"/>
        <w:rPr>
          <w:lang w:val="de-DE"/>
        </w:rPr>
      </w:pPr>
    </w:p>
    <w:p w14:paraId="6EEA6794" w14:textId="3AD942A9" w:rsidR="00E524CB" w:rsidRPr="004676F5" w:rsidRDefault="00995E3D" w:rsidP="00E524CB">
      <w:pPr>
        <w:ind w:firstLine="708"/>
        <w:jc w:val="both"/>
        <w:rPr>
          <w:lang w:val="de-DE"/>
        </w:rPr>
      </w:pPr>
      <w:r w:rsidRPr="004676F5">
        <w:rPr>
          <w:lang w:val="de-DE"/>
        </w:rPr>
        <w:t>[</w:t>
      </w:r>
      <w:r w:rsidR="00E524CB" w:rsidRPr="004676F5">
        <w:rPr>
          <w:b/>
          <w:bCs/>
          <w:lang w:val="de-DE"/>
        </w:rPr>
        <w:t>Art. XI.336/3</w:t>
      </w:r>
      <w:r w:rsidR="00E524CB" w:rsidRPr="004676F5">
        <w:rPr>
          <w:lang w:val="de-DE"/>
        </w:rPr>
        <w:t> </w:t>
      </w:r>
      <w:r w:rsidR="005B7A5C" w:rsidRPr="004676F5">
        <w:rPr>
          <w:lang w:val="de-DE"/>
        </w:rPr>
        <w:t>- </w:t>
      </w:r>
      <w:r w:rsidR="00E524CB" w:rsidRPr="004676F5">
        <w:rPr>
          <w:lang w:val="de-DE"/>
        </w:rPr>
        <w:t>§ 1 </w:t>
      </w:r>
      <w:r w:rsidR="005B7A5C" w:rsidRPr="004676F5">
        <w:rPr>
          <w:lang w:val="de-DE"/>
        </w:rPr>
        <w:t>- </w:t>
      </w:r>
      <w:r w:rsidR="00E524CB" w:rsidRPr="004676F5">
        <w:rPr>
          <w:lang w:val="de-DE"/>
        </w:rPr>
        <w:t>Stellt der Richter einen rechtswidrigen Erwerb oder eine rechtswidrige Nutzung oder Offenlegung eines Geschäftsgeheimnisses fest, so kann er auf Antrag des Inhabers des Geschäftsgeheimnisses gegen den Rechtsverletzer eine oder mehrere der folgenden Maßnahmen erlassen:</w:t>
      </w:r>
    </w:p>
    <w:p w14:paraId="31948796" w14:textId="77777777" w:rsidR="00E524CB" w:rsidRPr="004676F5" w:rsidRDefault="00E524CB" w:rsidP="00E524CB">
      <w:pPr>
        <w:ind w:firstLine="708"/>
        <w:jc w:val="both"/>
        <w:rPr>
          <w:lang w:val="de-DE"/>
        </w:rPr>
      </w:pPr>
    </w:p>
    <w:p w14:paraId="2A2251D9" w14:textId="77777777" w:rsidR="00E524CB" w:rsidRPr="004676F5" w:rsidRDefault="00E524CB" w:rsidP="00E524CB">
      <w:pPr>
        <w:ind w:firstLine="708"/>
        <w:jc w:val="both"/>
        <w:rPr>
          <w:lang w:val="de-DE"/>
        </w:rPr>
      </w:pPr>
      <w:r w:rsidRPr="004676F5">
        <w:rPr>
          <w:lang w:val="de-DE"/>
        </w:rPr>
        <w:t>1. Einstellung oder gegebenenfalls Verbot des Erwerbs, der Nutzung oder der Offen</w:t>
      </w:r>
      <w:r w:rsidRPr="004676F5">
        <w:rPr>
          <w:lang w:val="de-DE"/>
        </w:rPr>
        <w:softHyphen/>
        <w:t>legung des Geschäftsgeheimnisses,</w:t>
      </w:r>
    </w:p>
    <w:p w14:paraId="01AAA8D5" w14:textId="77777777" w:rsidR="00E524CB" w:rsidRPr="004676F5" w:rsidRDefault="00E524CB" w:rsidP="00E524CB">
      <w:pPr>
        <w:ind w:firstLine="708"/>
        <w:jc w:val="both"/>
        <w:rPr>
          <w:lang w:val="de-DE"/>
        </w:rPr>
      </w:pPr>
    </w:p>
    <w:p w14:paraId="0B1BB34C" w14:textId="77777777" w:rsidR="00E524CB" w:rsidRPr="004676F5" w:rsidRDefault="00E524CB" w:rsidP="00E524CB">
      <w:pPr>
        <w:ind w:firstLine="708"/>
        <w:jc w:val="both"/>
        <w:rPr>
          <w:lang w:val="de-DE"/>
        </w:rPr>
      </w:pPr>
      <w:r w:rsidRPr="004676F5">
        <w:rPr>
          <w:lang w:val="de-DE"/>
        </w:rPr>
        <w:t>2. Verbot des Herstellens, Anbietens, Vermarktens oder der Nutzung rechtsverletzender Produkte oder der Einfuhr, Ausfuhr oder Lagerung rechtsverletzender Produkte für diese Zwecke,</w:t>
      </w:r>
    </w:p>
    <w:p w14:paraId="40BA1BC4" w14:textId="77777777" w:rsidR="00E524CB" w:rsidRPr="004676F5" w:rsidRDefault="00E524CB" w:rsidP="00E524CB">
      <w:pPr>
        <w:ind w:firstLine="708"/>
        <w:jc w:val="both"/>
        <w:rPr>
          <w:lang w:val="de-DE"/>
        </w:rPr>
      </w:pPr>
    </w:p>
    <w:p w14:paraId="3EC7FEAB" w14:textId="77777777" w:rsidR="00E524CB" w:rsidRPr="004676F5" w:rsidRDefault="00E524CB" w:rsidP="00E524CB">
      <w:pPr>
        <w:ind w:firstLine="708"/>
        <w:jc w:val="both"/>
        <w:rPr>
          <w:lang w:val="de-DE"/>
        </w:rPr>
      </w:pPr>
      <w:r w:rsidRPr="004676F5">
        <w:rPr>
          <w:lang w:val="de-DE"/>
        </w:rPr>
        <w:t>3. Rückruf der rechtsverletzenden Produkte vom Markt,</w:t>
      </w:r>
    </w:p>
    <w:p w14:paraId="1981B3D3" w14:textId="77777777" w:rsidR="00E524CB" w:rsidRPr="004676F5" w:rsidRDefault="00E524CB" w:rsidP="00E524CB">
      <w:pPr>
        <w:ind w:firstLine="708"/>
        <w:jc w:val="both"/>
        <w:rPr>
          <w:lang w:val="de-DE"/>
        </w:rPr>
      </w:pPr>
    </w:p>
    <w:p w14:paraId="1FDC66FE" w14:textId="77777777" w:rsidR="00E524CB" w:rsidRPr="004676F5" w:rsidRDefault="00E524CB" w:rsidP="00E524CB">
      <w:pPr>
        <w:ind w:firstLine="708"/>
        <w:jc w:val="both"/>
        <w:rPr>
          <w:lang w:val="de-DE"/>
        </w:rPr>
      </w:pPr>
      <w:r w:rsidRPr="004676F5">
        <w:rPr>
          <w:lang w:val="de-DE"/>
        </w:rPr>
        <w:t>4. Beseitigung der rechtsverletzenden Qualität der rechtsverletzenden Produkte,</w:t>
      </w:r>
    </w:p>
    <w:p w14:paraId="09796CCC" w14:textId="77777777" w:rsidR="00995E3D" w:rsidRPr="004676F5" w:rsidRDefault="00995E3D" w:rsidP="00E524CB">
      <w:pPr>
        <w:ind w:firstLine="708"/>
        <w:jc w:val="both"/>
        <w:rPr>
          <w:lang w:val="de-DE"/>
        </w:rPr>
      </w:pPr>
    </w:p>
    <w:p w14:paraId="5D256A8E" w14:textId="169FBF45" w:rsidR="00E524CB" w:rsidRPr="004676F5" w:rsidRDefault="00E524CB" w:rsidP="00E524CB">
      <w:pPr>
        <w:ind w:firstLine="708"/>
        <w:jc w:val="both"/>
        <w:rPr>
          <w:lang w:val="de-DE"/>
        </w:rPr>
      </w:pPr>
      <w:r w:rsidRPr="004676F5">
        <w:rPr>
          <w:lang w:val="de-DE"/>
        </w:rPr>
        <w:lastRenderedPageBreak/>
        <w:t>5. Vernichtung der rechtsverletzenden Produkte oder gegebenenfalls ihre Marktrück</w:t>
      </w:r>
      <w:r w:rsidRPr="004676F5">
        <w:rPr>
          <w:lang w:val="de-DE"/>
        </w:rPr>
        <w:softHyphen/>
        <w:t>nahme unter der Voraussetzung, dass der Schutz des in Frage stehenden Geschäftsgeheimnisses durch diese Marktrücknahme nicht beeinträchtigt wird,</w:t>
      </w:r>
    </w:p>
    <w:p w14:paraId="7F75B6C1" w14:textId="77777777" w:rsidR="00E524CB" w:rsidRPr="004676F5" w:rsidRDefault="00E524CB" w:rsidP="00E524CB">
      <w:pPr>
        <w:ind w:firstLine="708"/>
        <w:jc w:val="both"/>
        <w:rPr>
          <w:lang w:val="de-DE"/>
        </w:rPr>
      </w:pPr>
    </w:p>
    <w:p w14:paraId="61F0FCE7" w14:textId="77777777" w:rsidR="00E524CB" w:rsidRPr="004676F5" w:rsidRDefault="00E524CB" w:rsidP="00E524CB">
      <w:pPr>
        <w:ind w:firstLine="708"/>
        <w:jc w:val="both"/>
        <w:rPr>
          <w:lang w:val="de-DE"/>
        </w:rPr>
      </w:pPr>
      <w:r w:rsidRPr="004676F5">
        <w:rPr>
          <w:lang w:val="de-DE"/>
        </w:rPr>
        <w:t>6. Vernichtung der Gesamtheit oder eines Teils der Dokumente, Gegenstände, Materialien, Stoffe oder elektronischen Dateien, die das Geschäftsgeheimnis enthalten oder verkörpern, oder gegebenenfalls Herausgabe der Gesamtheit oder eines Teils dieser Dokumente, Gegenstände, Materialien, Stoffe oder elektronischen Dateien an den Inhaber des Geschäftsgeheimnisses.</w:t>
      </w:r>
    </w:p>
    <w:p w14:paraId="75230E3E" w14:textId="77777777" w:rsidR="00E524CB" w:rsidRPr="004676F5" w:rsidRDefault="00E524CB" w:rsidP="00E524CB">
      <w:pPr>
        <w:ind w:firstLine="708"/>
        <w:jc w:val="both"/>
        <w:rPr>
          <w:lang w:val="de-DE"/>
        </w:rPr>
      </w:pPr>
    </w:p>
    <w:p w14:paraId="5CE6690B" w14:textId="7B7254A5" w:rsidR="00E524CB" w:rsidRPr="004676F5" w:rsidRDefault="00E524CB" w:rsidP="00E524CB">
      <w:pPr>
        <w:ind w:firstLine="708"/>
        <w:jc w:val="both"/>
        <w:rPr>
          <w:lang w:val="de-DE"/>
        </w:rPr>
      </w:pPr>
      <w:r w:rsidRPr="004676F5">
        <w:rPr>
          <w:lang w:val="de-DE"/>
        </w:rPr>
        <w:t>§ 2 </w:t>
      </w:r>
      <w:r w:rsidR="005B7A5C" w:rsidRPr="004676F5">
        <w:rPr>
          <w:lang w:val="de-DE"/>
        </w:rPr>
        <w:t>- </w:t>
      </w:r>
      <w:r w:rsidRPr="004676F5">
        <w:rPr>
          <w:lang w:val="de-DE"/>
        </w:rPr>
        <w:t>Wenn der Richter anordnet, dass rechtsverletzende Produkte aus dem Markt entfernt werden, kann er auf Antrag des Inhabers des Geschäftsgeheimnisses anordnen, dass die Produkte dem Inhaber des Geschäftsgeheimnisses oder wohltätigen Organisationen übergeben werden.</w:t>
      </w:r>
    </w:p>
    <w:p w14:paraId="0E58A30A" w14:textId="77777777" w:rsidR="00E524CB" w:rsidRPr="004676F5" w:rsidRDefault="00E524CB" w:rsidP="00E524CB">
      <w:pPr>
        <w:ind w:firstLine="708"/>
        <w:jc w:val="both"/>
        <w:rPr>
          <w:lang w:val="de-DE"/>
        </w:rPr>
      </w:pPr>
    </w:p>
    <w:p w14:paraId="79737A84" w14:textId="130DF90D" w:rsidR="00E524CB" w:rsidRPr="004676F5" w:rsidRDefault="00E524CB" w:rsidP="00E524CB">
      <w:pPr>
        <w:ind w:firstLine="708"/>
        <w:jc w:val="both"/>
        <w:rPr>
          <w:lang w:val="de-DE"/>
        </w:rPr>
      </w:pPr>
      <w:r w:rsidRPr="004676F5">
        <w:rPr>
          <w:lang w:val="de-DE"/>
        </w:rPr>
        <w:t>§ 3 </w:t>
      </w:r>
      <w:r w:rsidR="005B7A5C" w:rsidRPr="004676F5">
        <w:rPr>
          <w:lang w:val="de-DE"/>
        </w:rPr>
        <w:t>- </w:t>
      </w:r>
      <w:r w:rsidRPr="004676F5">
        <w:rPr>
          <w:lang w:val="de-DE"/>
        </w:rPr>
        <w:t>Die in § 1 Nr. 3 bis 6 erwähnten Maßnahmen werden auf Kosten des Rechts</w:t>
      </w:r>
      <w:r w:rsidRPr="004676F5">
        <w:rPr>
          <w:lang w:val="de-DE"/>
        </w:rPr>
        <w:softHyphen/>
        <w:t>verletzers durchgeführt, es sei denn, es liegen besondere Gründe vor, hiervon abzusehen.</w:t>
      </w:r>
    </w:p>
    <w:p w14:paraId="5E300985" w14:textId="77777777" w:rsidR="00E524CB" w:rsidRPr="004676F5" w:rsidRDefault="00E524CB" w:rsidP="00E524CB">
      <w:pPr>
        <w:ind w:firstLine="708"/>
        <w:jc w:val="both"/>
        <w:rPr>
          <w:lang w:val="de-DE"/>
        </w:rPr>
      </w:pPr>
    </w:p>
    <w:p w14:paraId="73EA1EFC" w14:textId="2914CDFF" w:rsidR="00E524CB" w:rsidRPr="004676F5" w:rsidRDefault="00E524CB" w:rsidP="00E524CB">
      <w:pPr>
        <w:ind w:firstLine="708"/>
        <w:jc w:val="both"/>
        <w:rPr>
          <w:lang w:val="de-DE"/>
        </w:rPr>
      </w:pPr>
      <w:r w:rsidRPr="004676F5">
        <w:rPr>
          <w:lang w:val="de-DE"/>
        </w:rPr>
        <w:t>§ 4 </w:t>
      </w:r>
      <w:r w:rsidR="005B7A5C" w:rsidRPr="004676F5">
        <w:rPr>
          <w:lang w:val="de-DE"/>
        </w:rPr>
        <w:t>- </w:t>
      </w:r>
      <w:r w:rsidRPr="004676F5">
        <w:rPr>
          <w:lang w:val="de-DE"/>
        </w:rPr>
        <w:t>Die in vorliegendem Artikel erwähnten Maßnahmen ergehen unbeschadet des etwaigen Schadenersatzes, der dem Inhaber des Geschäftsgeheimnisses möglicherweise aufgrund des rechtswidrigen Erwerbs oder der rechtswidrigen Nutzung oder Offenlegung des Geschäftsgeheimnisses zu zahlen ist.</w:t>
      </w:r>
      <w:r w:rsidR="00995E3D" w:rsidRPr="004676F5">
        <w:rPr>
          <w:lang w:val="de-DE"/>
        </w:rPr>
        <w:t>]</w:t>
      </w:r>
    </w:p>
    <w:p w14:paraId="7421407C" w14:textId="3AB3D5A0" w:rsidR="00995E3D" w:rsidRPr="004676F5" w:rsidRDefault="00995E3D" w:rsidP="00E524CB">
      <w:pPr>
        <w:ind w:firstLine="708"/>
        <w:jc w:val="both"/>
        <w:rPr>
          <w:lang w:val="de-DE"/>
        </w:rPr>
      </w:pPr>
    </w:p>
    <w:p w14:paraId="00CDCC47" w14:textId="1361086D" w:rsidR="00995E3D" w:rsidRPr="004676F5" w:rsidRDefault="00995E3D" w:rsidP="00995E3D">
      <w:pPr>
        <w:jc w:val="both"/>
        <w:rPr>
          <w:i/>
          <w:iCs/>
          <w:lang w:val="de-DE"/>
        </w:rPr>
      </w:pPr>
      <w:r w:rsidRPr="004676F5">
        <w:rPr>
          <w:i/>
          <w:iCs/>
          <w:lang w:val="de-DE"/>
        </w:rPr>
        <w:t>[Art. XI.336/3 eingefügt durch Art. 15</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20172947" w14:textId="77777777" w:rsidR="00995E3D" w:rsidRPr="004676F5" w:rsidRDefault="00995E3D" w:rsidP="00E524CB">
      <w:pPr>
        <w:ind w:firstLine="708"/>
        <w:jc w:val="both"/>
        <w:rPr>
          <w:lang w:val="de-DE"/>
        </w:rPr>
      </w:pPr>
    </w:p>
    <w:p w14:paraId="77B3AA6C" w14:textId="77777777" w:rsidR="00E524CB" w:rsidRPr="004676F5" w:rsidRDefault="00E524CB" w:rsidP="00E524CB">
      <w:pPr>
        <w:ind w:firstLine="708"/>
        <w:jc w:val="both"/>
        <w:rPr>
          <w:lang w:val="de-DE"/>
        </w:rPr>
      </w:pPr>
    </w:p>
    <w:p w14:paraId="653C20A8" w14:textId="6E26D194" w:rsidR="00E524CB" w:rsidRPr="004676F5" w:rsidRDefault="00995E3D" w:rsidP="00E524CB">
      <w:pPr>
        <w:ind w:firstLine="708"/>
        <w:jc w:val="both"/>
        <w:rPr>
          <w:lang w:val="de-DE"/>
        </w:rPr>
      </w:pPr>
      <w:r w:rsidRPr="004676F5">
        <w:rPr>
          <w:lang w:val="de-DE"/>
        </w:rPr>
        <w:t>[</w:t>
      </w:r>
      <w:r w:rsidR="00E524CB" w:rsidRPr="004676F5">
        <w:rPr>
          <w:b/>
          <w:bCs/>
          <w:lang w:val="de-DE"/>
        </w:rPr>
        <w:t>Art. XI.336/4</w:t>
      </w:r>
      <w:r w:rsidR="00E524CB" w:rsidRPr="004676F5">
        <w:rPr>
          <w:lang w:val="de-DE"/>
        </w:rPr>
        <w:t> </w:t>
      </w:r>
      <w:r w:rsidR="005B7A5C" w:rsidRPr="004676F5">
        <w:rPr>
          <w:lang w:val="de-DE"/>
        </w:rPr>
        <w:t>- </w:t>
      </w:r>
      <w:r w:rsidR="00E524CB" w:rsidRPr="004676F5">
        <w:rPr>
          <w:lang w:val="de-DE"/>
        </w:rPr>
        <w:t>§ 1 </w:t>
      </w:r>
      <w:r w:rsidR="005B7A5C" w:rsidRPr="004676F5">
        <w:rPr>
          <w:lang w:val="de-DE"/>
        </w:rPr>
        <w:t>- </w:t>
      </w:r>
      <w:r w:rsidR="00E524CB" w:rsidRPr="004676F5">
        <w:rPr>
          <w:lang w:val="de-DE"/>
        </w:rPr>
        <w:t>Bei der Prüfung einer Klage auf Erlass gerichtlicher Anordnungen und von Abhilfemaßnahmen nach Artikel XI.336/3 und bei der Beurteilung von deren Verhältnismäßigkeit trägt der Richter den besonderen Umständen des Falls Rechnung, einschließlich gegebenenfalls:</w:t>
      </w:r>
    </w:p>
    <w:p w14:paraId="4EBDC61D" w14:textId="77777777" w:rsidR="00E524CB" w:rsidRPr="004676F5" w:rsidRDefault="00E524CB" w:rsidP="00E524CB">
      <w:pPr>
        <w:ind w:firstLine="708"/>
        <w:jc w:val="both"/>
        <w:rPr>
          <w:lang w:val="de-DE"/>
        </w:rPr>
      </w:pPr>
    </w:p>
    <w:p w14:paraId="616634C1" w14:textId="77777777" w:rsidR="00E524CB" w:rsidRPr="004676F5" w:rsidRDefault="00E524CB" w:rsidP="00E524CB">
      <w:pPr>
        <w:ind w:firstLine="708"/>
        <w:jc w:val="both"/>
        <w:rPr>
          <w:lang w:val="de-DE"/>
        </w:rPr>
      </w:pPr>
      <w:r w:rsidRPr="004676F5">
        <w:rPr>
          <w:lang w:val="de-DE"/>
        </w:rPr>
        <w:t>1. des Wertes oder anderer spezifischer Merkmale des Geschäftsgeheimnisses,</w:t>
      </w:r>
    </w:p>
    <w:p w14:paraId="2902B15F" w14:textId="77777777" w:rsidR="00E524CB" w:rsidRPr="004676F5" w:rsidRDefault="00E524CB" w:rsidP="00E524CB">
      <w:pPr>
        <w:ind w:firstLine="708"/>
        <w:jc w:val="both"/>
        <w:rPr>
          <w:lang w:val="de-DE"/>
        </w:rPr>
      </w:pPr>
    </w:p>
    <w:p w14:paraId="675B5A82" w14:textId="77777777" w:rsidR="00E524CB" w:rsidRPr="004676F5" w:rsidRDefault="00E524CB" w:rsidP="00E524CB">
      <w:pPr>
        <w:ind w:firstLine="708"/>
        <w:jc w:val="both"/>
        <w:rPr>
          <w:lang w:val="de-DE"/>
        </w:rPr>
      </w:pPr>
      <w:r w:rsidRPr="004676F5">
        <w:rPr>
          <w:lang w:val="de-DE"/>
        </w:rPr>
        <w:t>2. der Maßnahmen, die zum Schutz des Geschäftsgeheimnisses getroffen werden,</w:t>
      </w:r>
    </w:p>
    <w:p w14:paraId="36AC14A1" w14:textId="77777777" w:rsidR="00E524CB" w:rsidRPr="004676F5" w:rsidRDefault="00E524CB" w:rsidP="00E524CB">
      <w:pPr>
        <w:ind w:firstLine="708"/>
        <w:jc w:val="both"/>
        <w:rPr>
          <w:lang w:val="de-DE"/>
        </w:rPr>
      </w:pPr>
    </w:p>
    <w:p w14:paraId="02A03172" w14:textId="77777777" w:rsidR="00E524CB" w:rsidRPr="004676F5" w:rsidRDefault="00E524CB" w:rsidP="00E524CB">
      <w:pPr>
        <w:ind w:firstLine="708"/>
        <w:jc w:val="both"/>
        <w:rPr>
          <w:lang w:val="de-DE"/>
        </w:rPr>
      </w:pPr>
      <w:r w:rsidRPr="004676F5">
        <w:rPr>
          <w:lang w:val="de-DE"/>
        </w:rPr>
        <w:t>3. des Verhaltens des Rechtsverletzers bei Erwerb, Nutzung oder Offenlegung des Geschäftsgeheimnisses,</w:t>
      </w:r>
    </w:p>
    <w:p w14:paraId="5695846E" w14:textId="77777777" w:rsidR="00E524CB" w:rsidRPr="004676F5" w:rsidRDefault="00E524CB" w:rsidP="00E524CB">
      <w:pPr>
        <w:ind w:firstLine="708"/>
        <w:jc w:val="both"/>
        <w:rPr>
          <w:lang w:val="de-DE"/>
        </w:rPr>
      </w:pPr>
    </w:p>
    <w:p w14:paraId="41065BA3" w14:textId="77777777" w:rsidR="00E524CB" w:rsidRPr="004676F5" w:rsidRDefault="00E524CB" w:rsidP="00E524CB">
      <w:pPr>
        <w:ind w:firstLine="708"/>
        <w:jc w:val="both"/>
        <w:rPr>
          <w:lang w:val="de-DE"/>
        </w:rPr>
      </w:pPr>
      <w:r w:rsidRPr="004676F5">
        <w:rPr>
          <w:lang w:val="de-DE"/>
        </w:rPr>
        <w:t>4. der Folgen der rechtswidrigen Nutzung oder Offenlegung des Geschäftsgeheim</w:t>
      </w:r>
      <w:r w:rsidRPr="004676F5">
        <w:rPr>
          <w:lang w:val="de-DE"/>
        </w:rPr>
        <w:softHyphen/>
        <w:t>nisses,</w:t>
      </w:r>
    </w:p>
    <w:p w14:paraId="2BF6475F" w14:textId="77777777" w:rsidR="00E524CB" w:rsidRPr="004676F5" w:rsidRDefault="00E524CB" w:rsidP="00E524CB">
      <w:pPr>
        <w:ind w:firstLine="708"/>
        <w:jc w:val="both"/>
        <w:rPr>
          <w:lang w:val="de-DE"/>
        </w:rPr>
      </w:pPr>
    </w:p>
    <w:p w14:paraId="221CC21C" w14:textId="77777777" w:rsidR="00E524CB" w:rsidRPr="004676F5" w:rsidRDefault="00E524CB" w:rsidP="00E524CB">
      <w:pPr>
        <w:ind w:firstLine="708"/>
        <w:jc w:val="both"/>
        <w:rPr>
          <w:lang w:val="de-DE"/>
        </w:rPr>
      </w:pPr>
      <w:r w:rsidRPr="004676F5">
        <w:rPr>
          <w:lang w:val="de-DE"/>
        </w:rPr>
        <w:t>5. der rechtmäßigen Interessen der Parteien und der Auswirkungen, die die Gewährung oder Ablehnung der Maßnahmen für die Parteien haben könnte,</w:t>
      </w:r>
    </w:p>
    <w:p w14:paraId="444F614C" w14:textId="77777777" w:rsidR="00E524CB" w:rsidRPr="004676F5" w:rsidRDefault="00E524CB" w:rsidP="00E524CB">
      <w:pPr>
        <w:ind w:firstLine="708"/>
        <w:jc w:val="both"/>
        <w:rPr>
          <w:lang w:val="de-DE"/>
        </w:rPr>
      </w:pPr>
    </w:p>
    <w:p w14:paraId="34547222" w14:textId="77777777" w:rsidR="00E524CB" w:rsidRPr="004676F5" w:rsidRDefault="00E524CB" w:rsidP="00E524CB">
      <w:pPr>
        <w:ind w:firstLine="708"/>
        <w:jc w:val="both"/>
        <w:rPr>
          <w:lang w:val="de-DE"/>
        </w:rPr>
      </w:pPr>
      <w:r w:rsidRPr="004676F5">
        <w:rPr>
          <w:lang w:val="de-DE"/>
        </w:rPr>
        <w:t>6. der rechtmäßigen Interessen Dritter,</w:t>
      </w:r>
    </w:p>
    <w:p w14:paraId="26AB4DCE" w14:textId="77777777" w:rsidR="00E524CB" w:rsidRPr="004676F5" w:rsidRDefault="00E524CB" w:rsidP="00E524CB">
      <w:pPr>
        <w:ind w:firstLine="708"/>
        <w:jc w:val="both"/>
        <w:rPr>
          <w:lang w:val="de-DE"/>
        </w:rPr>
      </w:pPr>
    </w:p>
    <w:p w14:paraId="14D4AE4E" w14:textId="77777777" w:rsidR="00E524CB" w:rsidRPr="004676F5" w:rsidRDefault="00E524CB" w:rsidP="00E524CB">
      <w:pPr>
        <w:ind w:firstLine="708"/>
        <w:jc w:val="both"/>
        <w:rPr>
          <w:lang w:val="de-DE"/>
        </w:rPr>
      </w:pPr>
      <w:r w:rsidRPr="004676F5">
        <w:rPr>
          <w:lang w:val="de-DE"/>
        </w:rPr>
        <w:t>7. des öffentlichen Interesses und</w:t>
      </w:r>
    </w:p>
    <w:p w14:paraId="3E2FB157" w14:textId="77777777" w:rsidR="00E524CB" w:rsidRPr="004676F5" w:rsidRDefault="00E524CB" w:rsidP="00E524CB">
      <w:pPr>
        <w:ind w:firstLine="708"/>
        <w:jc w:val="both"/>
        <w:rPr>
          <w:lang w:val="de-DE"/>
        </w:rPr>
      </w:pPr>
    </w:p>
    <w:p w14:paraId="46B329A0" w14:textId="77777777" w:rsidR="00E524CB" w:rsidRPr="004676F5" w:rsidRDefault="00E524CB" w:rsidP="00E524CB">
      <w:pPr>
        <w:ind w:firstLine="708"/>
        <w:jc w:val="both"/>
        <w:rPr>
          <w:lang w:val="de-DE"/>
        </w:rPr>
      </w:pPr>
      <w:r w:rsidRPr="004676F5">
        <w:rPr>
          <w:lang w:val="de-DE"/>
        </w:rPr>
        <w:t>8. des Schutzes der Grundrechte.</w:t>
      </w:r>
    </w:p>
    <w:p w14:paraId="6250C2DA" w14:textId="77777777" w:rsidR="00E524CB" w:rsidRPr="004676F5" w:rsidRDefault="00E524CB" w:rsidP="00E524CB">
      <w:pPr>
        <w:ind w:firstLine="708"/>
        <w:jc w:val="both"/>
        <w:rPr>
          <w:lang w:val="de-DE"/>
        </w:rPr>
      </w:pPr>
    </w:p>
    <w:p w14:paraId="4F501C55" w14:textId="77777777" w:rsidR="00E524CB" w:rsidRPr="004676F5" w:rsidRDefault="00E524CB" w:rsidP="00E524CB">
      <w:pPr>
        <w:ind w:firstLine="708"/>
        <w:jc w:val="both"/>
        <w:rPr>
          <w:lang w:val="de-DE"/>
        </w:rPr>
      </w:pPr>
      <w:r w:rsidRPr="004676F5">
        <w:rPr>
          <w:lang w:val="de-DE"/>
        </w:rPr>
        <w:t xml:space="preserve">Falls der Richter die Dauer der in Artikel XI.336/3 § 1 Nr. 1 und 2 erwähnten Maßnahmen begrenzt, muss die Dauer ausreichen, um sämtliche kommerziellen oder </w:t>
      </w:r>
      <w:r w:rsidRPr="004676F5">
        <w:rPr>
          <w:lang w:val="de-DE"/>
        </w:rPr>
        <w:lastRenderedPageBreak/>
        <w:t>wirtschaftlichen Vorteile zu beseitigen, die der Rechtsverletzer aus dem rechtswidrigen Erwerb oder der rechtswidrigen Nutzung oder Offenlegung des Geschäftsgeheimnisses gezogen haben könnte.</w:t>
      </w:r>
    </w:p>
    <w:p w14:paraId="4F5BBB60" w14:textId="77777777" w:rsidR="00E524CB" w:rsidRPr="004676F5" w:rsidRDefault="00E524CB" w:rsidP="00E524CB">
      <w:pPr>
        <w:ind w:firstLine="708"/>
        <w:jc w:val="both"/>
        <w:rPr>
          <w:lang w:val="de-DE"/>
        </w:rPr>
      </w:pPr>
    </w:p>
    <w:p w14:paraId="0D302B31" w14:textId="42A536E5" w:rsidR="00E524CB" w:rsidRPr="004676F5" w:rsidRDefault="00E524CB" w:rsidP="00E524CB">
      <w:pPr>
        <w:ind w:firstLine="708"/>
        <w:jc w:val="both"/>
        <w:rPr>
          <w:lang w:val="de-DE"/>
        </w:rPr>
      </w:pPr>
      <w:r w:rsidRPr="004676F5">
        <w:rPr>
          <w:lang w:val="de-DE"/>
        </w:rPr>
        <w:t>§ 2 </w:t>
      </w:r>
      <w:r w:rsidR="005B7A5C" w:rsidRPr="004676F5">
        <w:rPr>
          <w:lang w:val="de-DE"/>
        </w:rPr>
        <w:t>- </w:t>
      </w:r>
      <w:r w:rsidRPr="004676F5">
        <w:rPr>
          <w:lang w:val="de-DE"/>
        </w:rPr>
        <w:t>Die in Artikel XI.336/3 § 1 Nr. 1 und 2 erwähnten Maßnahmen werden auf Antrag der Person, die diesen Maßnahmen unterliegt, zurückgerufen oder auf andere Weise unwirksam gemacht, wenn die fraglichen Informationen aus Gründen, die diese Person weder unmittelbar noch mittelbar zu vertreten hat, nicht mehr die in Artikel I.17/1 Nr. 1 erwähnten Voraussetzungen erfüllen.</w:t>
      </w:r>
    </w:p>
    <w:p w14:paraId="0BF5BE10" w14:textId="77777777" w:rsidR="00E524CB" w:rsidRPr="004676F5" w:rsidRDefault="00E524CB" w:rsidP="00E524CB">
      <w:pPr>
        <w:ind w:firstLine="708"/>
        <w:jc w:val="both"/>
        <w:rPr>
          <w:lang w:val="de-DE"/>
        </w:rPr>
      </w:pPr>
    </w:p>
    <w:p w14:paraId="6D891552" w14:textId="105EFE25" w:rsidR="00E524CB" w:rsidRPr="004676F5" w:rsidRDefault="00E524CB" w:rsidP="00E524CB">
      <w:pPr>
        <w:ind w:firstLine="708"/>
        <w:jc w:val="both"/>
        <w:rPr>
          <w:lang w:val="de-DE"/>
        </w:rPr>
      </w:pPr>
      <w:r w:rsidRPr="004676F5">
        <w:rPr>
          <w:lang w:val="de-DE"/>
        </w:rPr>
        <w:t>§ 3 </w:t>
      </w:r>
      <w:r w:rsidR="005B7A5C" w:rsidRPr="004676F5">
        <w:rPr>
          <w:lang w:val="de-DE"/>
        </w:rPr>
        <w:t>- </w:t>
      </w:r>
      <w:r w:rsidRPr="004676F5">
        <w:rPr>
          <w:lang w:val="de-DE"/>
        </w:rPr>
        <w:t>Auf Antrag der Person, der die in Artikel XI.336/3 vorgesehenen Maßnahmen auferlegt werden können, kann das Gericht anordnen, dass anstelle der Anwendung dieser Maßnahmen ein finanzieller Ausgleich an den Geschädigten zu zahlen ist, sofern alle folgenden Bedingungen erfüllt sind:</w:t>
      </w:r>
    </w:p>
    <w:p w14:paraId="3F03DCC1" w14:textId="77777777" w:rsidR="00E524CB" w:rsidRPr="004676F5" w:rsidRDefault="00E524CB" w:rsidP="00E524CB">
      <w:pPr>
        <w:ind w:firstLine="708"/>
        <w:jc w:val="both"/>
        <w:rPr>
          <w:lang w:val="de-DE"/>
        </w:rPr>
      </w:pPr>
    </w:p>
    <w:p w14:paraId="1238BC98" w14:textId="77777777" w:rsidR="00E524CB" w:rsidRPr="004676F5" w:rsidRDefault="00E524CB" w:rsidP="00E524CB">
      <w:pPr>
        <w:ind w:firstLine="708"/>
        <w:jc w:val="both"/>
        <w:rPr>
          <w:lang w:val="de-DE"/>
        </w:rPr>
      </w:pPr>
      <w:r w:rsidRPr="004676F5">
        <w:rPr>
          <w:lang w:val="de-DE"/>
        </w:rPr>
        <w:t>1. Zum Zeitpunkt der Nutzung oder Offenlegung wusste die betreffende Person nicht und hätte unter den gegebenen Umständen nicht wissen müssen, dass sie über eine andere Person in den Besitz des Geschäftsgeheimnisses gelangt ist, die dieses Geschäftsgeheimnis rechtswidrig genutzt oder offengelegt hat.</w:t>
      </w:r>
    </w:p>
    <w:p w14:paraId="25A7DCF3" w14:textId="77777777" w:rsidR="00E524CB" w:rsidRPr="004676F5" w:rsidRDefault="00E524CB" w:rsidP="00E524CB">
      <w:pPr>
        <w:ind w:firstLine="708"/>
        <w:jc w:val="both"/>
        <w:rPr>
          <w:lang w:val="de-DE"/>
        </w:rPr>
      </w:pPr>
    </w:p>
    <w:p w14:paraId="33D425ED" w14:textId="77777777" w:rsidR="00E524CB" w:rsidRPr="004676F5" w:rsidRDefault="00E524CB" w:rsidP="00E524CB">
      <w:pPr>
        <w:ind w:firstLine="708"/>
        <w:jc w:val="both"/>
        <w:rPr>
          <w:lang w:val="de-DE"/>
        </w:rPr>
      </w:pPr>
      <w:r w:rsidRPr="004676F5">
        <w:rPr>
          <w:lang w:val="de-DE"/>
        </w:rPr>
        <w:t>2. Bei Durchführung der betreffenden Maßnahmen würde der betreffenden Person ein unverhältnismäßig großer Schaden entstehen.</w:t>
      </w:r>
    </w:p>
    <w:p w14:paraId="6CBFD228" w14:textId="77777777" w:rsidR="00E524CB" w:rsidRPr="004676F5" w:rsidRDefault="00E524CB" w:rsidP="00E524CB">
      <w:pPr>
        <w:ind w:firstLine="708"/>
        <w:jc w:val="both"/>
        <w:rPr>
          <w:lang w:val="de-DE"/>
        </w:rPr>
      </w:pPr>
    </w:p>
    <w:p w14:paraId="15EE394D" w14:textId="77777777" w:rsidR="00E524CB" w:rsidRPr="004676F5" w:rsidRDefault="00E524CB" w:rsidP="00E524CB">
      <w:pPr>
        <w:ind w:firstLine="708"/>
        <w:jc w:val="both"/>
        <w:rPr>
          <w:lang w:val="de-DE"/>
        </w:rPr>
      </w:pPr>
      <w:r w:rsidRPr="004676F5">
        <w:rPr>
          <w:lang w:val="de-DE"/>
        </w:rPr>
        <w:t>3. Die Zahlung eines finanziellen Ausgleichs an die geschädigte Partei erscheint als angemessene Entschädigung.</w:t>
      </w:r>
    </w:p>
    <w:p w14:paraId="6F1900AF" w14:textId="77777777" w:rsidR="00E524CB" w:rsidRPr="004676F5" w:rsidRDefault="00E524CB" w:rsidP="00E524CB">
      <w:pPr>
        <w:ind w:firstLine="708"/>
        <w:jc w:val="both"/>
        <w:rPr>
          <w:lang w:val="de-DE"/>
        </w:rPr>
      </w:pPr>
    </w:p>
    <w:p w14:paraId="5D455FD4" w14:textId="3400F749" w:rsidR="00E524CB" w:rsidRPr="004676F5" w:rsidRDefault="00E524CB" w:rsidP="00E524CB">
      <w:pPr>
        <w:jc w:val="both"/>
        <w:rPr>
          <w:lang w:val="de-DE"/>
        </w:rPr>
      </w:pPr>
      <w:r w:rsidRPr="004676F5">
        <w:rPr>
          <w:lang w:val="de-DE"/>
        </w:rPr>
        <w:tab/>
        <w:t>Wird anstelle einer Maßnahme gemäß Artikel XI.336/3 § 1 Nr. 1 und 2 ein finanzieller Ausgleich angeordnet, so darf dieser die Höhe der Lizenzgebühren nicht übersteigen, die zu zahlen gewesen wären, wenn die betreffende Person um die Erlaubnis ersucht hätte, das in Frage stehende Geschäftsgeheimnis für den Zeitraum zu nutzen, für den die Nutzung des Geschäftsgeheimnisses hätte untersagt werden können.]</w:t>
      </w:r>
    </w:p>
    <w:p w14:paraId="241B7C85" w14:textId="4D84BB5B" w:rsidR="00995E3D" w:rsidRPr="004676F5" w:rsidRDefault="00995E3D" w:rsidP="00E524CB">
      <w:pPr>
        <w:jc w:val="both"/>
        <w:rPr>
          <w:lang w:val="de-DE"/>
        </w:rPr>
      </w:pPr>
    </w:p>
    <w:p w14:paraId="2F4B05E1" w14:textId="15DA38E0" w:rsidR="00995E3D" w:rsidRPr="004676F5" w:rsidRDefault="00995E3D" w:rsidP="00995E3D">
      <w:pPr>
        <w:jc w:val="both"/>
        <w:rPr>
          <w:i/>
          <w:iCs/>
          <w:lang w:val="de-DE"/>
        </w:rPr>
      </w:pPr>
      <w:r w:rsidRPr="004676F5">
        <w:rPr>
          <w:i/>
          <w:iCs/>
          <w:lang w:val="de-DE"/>
        </w:rPr>
        <w:t>[Art. XI.336/4 eingefügt durch Art. 16</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78145F02" w14:textId="77777777" w:rsidR="00995E3D" w:rsidRPr="004676F5" w:rsidRDefault="00995E3D" w:rsidP="00E524CB">
      <w:pPr>
        <w:jc w:val="both"/>
        <w:rPr>
          <w:lang w:val="de-DE"/>
        </w:rPr>
      </w:pPr>
    </w:p>
    <w:p w14:paraId="42D3B318" w14:textId="77777777" w:rsidR="00995E3D" w:rsidRPr="004676F5" w:rsidRDefault="00995E3D" w:rsidP="00E524CB">
      <w:pPr>
        <w:jc w:val="center"/>
        <w:rPr>
          <w:lang w:val="de-DE"/>
        </w:rPr>
      </w:pPr>
    </w:p>
    <w:p w14:paraId="3EE84619" w14:textId="24849885" w:rsidR="00995E3D" w:rsidRPr="004676F5" w:rsidRDefault="00995E3D" w:rsidP="00E524CB">
      <w:pPr>
        <w:jc w:val="center"/>
        <w:rPr>
          <w:lang w:val="de-DE"/>
        </w:rPr>
      </w:pPr>
      <w:r w:rsidRPr="004676F5">
        <w:rPr>
          <w:lang w:val="de-DE"/>
        </w:rPr>
        <w:t>[KAPITEL 3 </w:t>
      </w:r>
      <w:r w:rsidR="005B7A5C" w:rsidRPr="004676F5">
        <w:rPr>
          <w:lang w:val="de-DE"/>
        </w:rPr>
        <w:t>- </w:t>
      </w:r>
      <w:r w:rsidRPr="004676F5">
        <w:rPr>
          <w:i/>
          <w:iCs/>
          <w:lang w:val="de-DE"/>
        </w:rPr>
        <w:t>Ersatz für den durch rechtswidrigen Erwerb oder rechtswidrige Nutzung oder Offenlegung eines Geschäftsgeheimnisses entstandenen Schaden</w:t>
      </w:r>
      <w:r w:rsidRPr="004676F5">
        <w:rPr>
          <w:lang w:val="de-DE"/>
        </w:rPr>
        <w:t>]</w:t>
      </w:r>
    </w:p>
    <w:p w14:paraId="0197D49E" w14:textId="77777777" w:rsidR="00995E3D" w:rsidRPr="004676F5" w:rsidRDefault="00995E3D" w:rsidP="00E524CB">
      <w:pPr>
        <w:jc w:val="center"/>
        <w:rPr>
          <w:lang w:val="de-DE"/>
        </w:rPr>
      </w:pPr>
    </w:p>
    <w:p w14:paraId="3A7F80DD" w14:textId="28B23FA8" w:rsidR="00995E3D" w:rsidRPr="004676F5" w:rsidRDefault="00995E3D" w:rsidP="00995E3D">
      <w:pPr>
        <w:jc w:val="both"/>
        <w:rPr>
          <w:i/>
          <w:iCs/>
          <w:lang w:val="de-DE"/>
        </w:rPr>
      </w:pPr>
      <w:r w:rsidRPr="004676F5">
        <w:rPr>
          <w:i/>
          <w:iCs/>
          <w:lang w:val="de-DE"/>
        </w:rPr>
        <w:t>[Unterteilung Kapitel 3 eingefügt durch Art. 17</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r w:rsidRPr="004676F5">
        <w:rPr>
          <w:i/>
          <w:iCs/>
          <w:lang w:val="de-DE"/>
        </w:rPr>
        <w:t>]</w:t>
      </w:r>
    </w:p>
    <w:p w14:paraId="0DB70ADF" w14:textId="4228CC1A" w:rsidR="00995E3D" w:rsidRPr="004676F5" w:rsidRDefault="00995E3D" w:rsidP="00995E3D">
      <w:pPr>
        <w:jc w:val="both"/>
        <w:rPr>
          <w:lang w:val="de-DE"/>
        </w:rPr>
      </w:pPr>
    </w:p>
    <w:p w14:paraId="322AD90A" w14:textId="30D51513" w:rsidR="00995E3D" w:rsidRPr="004676F5" w:rsidRDefault="00995E3D" w:rsidP="00995E3D">
      <w:pPr>
        <w:jc w:val="both"/>
        <w:rPr>
          <w:lang w:val="de-DE"/>
        </w:rPr>
      </w:pPr>
    </w:p>
    <w:p w14:paraId="48A91B6C" w14:textId="65D0BC49" w:rsidR="00995E3D" w:rsidRPr="004676F5" w:rsidRDefault="00995E3D" w:rsidP="00995E3D">
      <w:pPr>
        <w:ind w:firstLine="708"/>
        <w:jc w:val="both"/>
        <w:rPr>
          <w:lang w:val="de-DE"/>
        </w:rPr>
      </w:pPr>
      <w:r w:rsidRPr="004676F5">
        <w:rPr>
          <w:lang w:val="de-DE"/>
        </w:rPr>
        <w:t>[</w:t>
      </w:r>
      <w:r w:rsidRPr="004676F5">
        <w:rPr>
          <w:b/>
          <w:bCs/>
          <w:lang w:val="de-DE"/>
        </w:rPr>
        <w:t>Art. XI.336/5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Inhaber von Geschäftsgeheimnissen haben Anspruch auf Ersatz für Schaden, der ihnen durch den rechtswidrigen Erwerb oder die rechtswidrige Nutzung oder Offenlegung eines Geschäftsgeheimnisses entstanden ist.</w:t>
      </w:r>
    </w:p>
    <w:p w14:paraId="1A8DD873" w14:textId="77777777" w:rsidR="00995E3D" w:rsidRPr="004676F5" w:rsidRDefault="00995E3D" w:rsidP="00995E3D">
      <w:pPr>
        <w:ind w:firstLine="708"/>
        <w:jc w:val="both"/>
        <w:rPr>
          <w:lang w:val="de-DE"/>
        </w:rPr>
      </w:pPr>
    </w:p>
    <w:p w14:paraId="4EB581ED" w14:textId="4F8C3DFE" w:rsidR="00995E3D" w:rsidRPr="004676F5" w:rsidRDefault="00995E3D" w:rsidP="00995E3D">
      <w:pPr>
        <w:ind w:firstLine="708"/>
        <w:jc w:val="both"/>
        <w:rPr>
          <w:lang w:val="de-DE"/>
        </w:rPr>
      </w:pPr>
      <w:r w:rsidRPr="004676F5">
        <w:rPr>
          <w:lang w:val="de-DE"/>
        </w:rPr>
        <w:t>§ 2 </w:t>
      </w:r>
      <w:r w:rsidR="005B7A5C" w:rsidRPr="004676F5">
        <w:rPr>
          <w:lang w:val="de-DE"/>
        </w:rPr>
        <w:t>- </w:t>
      </w:r>
      <w:r w:rsidRPr="004676F5">
        <w:rPr>
          <w:lang w:val="de-DE"/>
        </w:rPr>
        <w:t>Wenn der Umfang des Schadens auf keine andere Weise bestimmt werden kann, kann der Richter den Schadenersatz auf angemessene und gerechte Weise als Pauschalbetrag festlegen.</w:t>
      </w:r>
    </w:p>
    <w:p w14:paraId="24464C3F" w14:textId="77777777" w:rsidR="00995E3D" w:rsidRPr="004676F5" w:rsidRDefault="00995E3D" w:rsidP="00995E3D">
      <w:pPr>
        <w:ind w:firstLine="708"/>
        <w:jc w:val="both"/>
        <w:rPr>
          <w:lang w:val="de-DE"/>
        </w:rPr>
      </w:pPr>
    </w:p>
    <w:p w14:paraId="79963578" w14:textId="0BD8B811" w:rsidR="00995E3D" w:rsidRPr="004676F5" w:rsidRDefault="00995E3D" w:rsidP="00995E3D">
      <w:pPr>
        <w:jc w:val="both"/>
        <w:rPr>
          <w:lang w:val="de-DE"/>
        </w:rPr>
      </w:pPr>
      <w:r w:rsidRPr="004676F5">
        <w:rPr>
          <w:lang w:val="de-DE"/>
        </w:rPr>
        <w:tab/>
        <w:t>§ 3 </w:t>
      </w:r>
      <w:r w:rsidR="005B7A5C" w:rsidRPr="004676F5">
        <w:rPr>
          <w:lang w:val="de-DE"/>
        </w:rPr>
        <w:t>- </w:t>
      </w:r>
      <w:r w:rsidRPr="004676F5">
        <w:rPr>
          <w:lang w:val="de-DE"/>
        </w:rPr>
        <w:t xml:space="preserve">Auf Antrag des Inhabers des Geschäftsgeheimnisses kann der Richter anordnen, dass dem Inhaber des Geschäftsgeheimnisses die rechtsverletzenden Produkte und </w:t>
      </w:r>
      <w:r w:rsidRPr="004676F5">
        <w:rPr>
          <w:lang w:val="de-DE"/>
        </w:rPr>
        <w:lastRenderedPageBreak/>
        <w:t>gegebenenfalls die Materialien und Geräte, die vorwiegend zur Schaffung oder Herstellung dieser Produkte gedient haben und die noch im Besitz des Beklagten sind, als Schadenersatz ausgehändigt werden. Wenn der Wert dieser Produkte, Materialien und Geräte den Umfang des tatsächlichen Schadens überschreitet, legt der Richter die vom Inhaber des Geschäftsgeheim</w:t>
      </w:r>
      <w:r w:rsidRPr="004676F5">
        <w:rPr>
          <w:lang w:val="de-DE"/>
        </w:rPr>
        <w:softHyphen/>
        <w:t>nisses zu entrichtende Zuzahlung fest.]</w:t>
      </w:r>
    </w:p>
    <w:p w14:paraId="07B97949" w14:textId="716E8955" w:rsidR="00995E3D" w:rsidRPr="004676F5" w:rsidRDefault="00995E3D" w:rsidP="00995E3D">
      <w:pPr>
        <w:jc w:val="both"/>
        <w:rPr>
          <w:lang w:val="de-DE"/>
        </w:rPr>
      </w:pPr>
    </w:p>
    <w:p w14:paraId="3E944934" w14:textId="5EF56DF3" w:rsidR="00995E3D" w:rsidRPr="004676F5" w:rsidRDefault="00995E3D" w:rsidP="00995E3D">
      <w:pPr>
        <w:jc w:val="both"/>
        <w:rPr>
          <w:i/>
          <w:iCs/>
          <w:lang w:val="de-DE"/>
        </w:rPr>
      </w:pPr>
      <w:r w:rsidRPr="004676F5">
        <w:rPr>
          <w:i/>
          <w:iCs/>
          <w:lang w:val="de-DE"/>
        </w:rPr>
        <w:t>[Art. XI.336/5 eingefügt durch Art. 18</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38977B57" w14:textId="77777777" w:rsidR="00995E3D" w:rsidRPr="004676F5" w:rsidRDefault="00995E3D" w:rsidP="00995E3D">
      <w:pPr>
        <w:jc w:val="both"/>
        <w:rPr>
          <w:lang w:val="de-DE"/>
        </w:rPr>
      </w:pPr>
    </w:p>
    <w:p w14:paraId="089F41B9" w14:textId="6FD60C03" w:rsidR="00054D39" w:rsidRPr="004676F5" w:rsidRDefault="00054D39" w:rsidP="00E524CB">
      <w:pPr>
        <w:jc w:val="center"/>
        <w:rPr>
          <w:lang w:val="de-DE"/>
        </w:rPr>
      </w:pPr>
      <w:r w:rsidRPr="004676F5">
        <w:rPr>
          <w:lang w:val="de-DE"/>
        </w:rPr>
        <w:br w:type="page"/>
      </w:r>
    </w:p>
    <w:p w14:paraId="60A9032A" w14:textId="4635A86B" w:rsidR="00320AA7" w:rsidRPr="004676F5" w:rsidRDefault="00AD4794" w:rsidP="00320AA7">
      <w:pPr>
        <w:jc w:val="center"/>
        <w:rPr>
          <w:bCs/>
          <w:iCs/>
          <w:lang w:val="de-DE"/>
        </w:rPr>
      </w:pPr>
      <w:r w:rsidRPr="004676F5">
        <w:rPr>
          <w:b/>
          <w:lang w:val="de-DE"/>
        </w:rPr>
        <w:lastRenderedPageBreak/>
        <w:t xml:space="preserve">TITEL 10 </w:t>
      </w:r>
      <w:r w:rsidR="005B7A5C" w:rsidRPr="004676F5">
        <w:rPr>
          <w:b/>
          <w:lang w:val="de-DE"/>
        </w:rPr>
        <w:t>- </w:t>
      </w:r>
      <w:r w:rsidR="00320AA7" w:rsidRPr="004676F5">
        <w:rPr>
          <w:b/>
          <w:i/>
          <w:lang w:val="de-DE"/>
        </w:rPr>
        <w:t>Gerichtliche Aspekte des Schutzes von Eigentumsrechten</w:t>
      </w:r>
      <w:r w:rsidR="00995E3D" w:rsidRPr="004676F5">
        <w:rPr>
          <w:b/>
          <w:i/>
          <w:lang w:val="de-DE"/>
        </w:rPr>
        <w:t xml:space="preserve"> </w:t>
      </w:r>
      <w:r w:rsidR="00995E3D" w:rsidRPr="004676F5">
        <w:rPr>
          <w:bCs/>
          <w:iCs/>
          <w:lang w:val="de-DE"/>
        </w:rPr>
        <w:t>[</w:t>
      </w:r>
      <w:r w:rsidR="00995E3D" w:rsidRPr="004676F5">
        <w:rPr>
          <w:b/>
          <w:i/>
          <w:lang w:val="de-DE"/>
        </w:rPr>
        <w:t>und Geschäftsgeheimnissen</w:t>
      </w:r>
      <w:r w:rsidR="00995E3D" w:rsidRPr="004676F5">
        <w:rPr>
          <w:bCs/>
          <w:iCs/>
          <w:lang w:val="de-DE"/>
        </w:rPr>
        <w:t>]</w:t>
      </w:r>
    </w:p>
    <w:p w14:paraId="4EEB3B7F" w14:textId="77777777" w:rsidR="00320AA7" w:rsidRPr="004676F5" w:rsidRDefault="00320AA7" w:rsidP="00320AA7">
      <w:pPr>
        <w:ind w:firstLine="708"/>
        <w:rPr>
          <w:lang w:val="de-DE"/>
        </w:rPr>
      </w:pPr>
    </w:p>
    <w:p w14:paraId="31565DCA" w14:textId="39DAC102" w:rsidR="00320AA7" w:rsidRPr="004676F5" w:rsidRDefault="00995E3D" w:rsidP="00D46577">
      <w:pPr>
        <w:jc w:val="both"/>
        <w:rPr>
          <w:i/>
          <w:lang w:val="de-DE"/>
        </w:rPr>
      </w:pPr>
      <w:r w:rsidRPr="004676F5">
        <w:rPr>
          <w:i/>
          <w:iCs/>
          <w:lang w:val="de-DE"/>
        </w:rPr>
        <w:t>[Überschrift von Titel 10 abgeändert durch Art. 19</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5951501F" w14:textId="1F7B9BB1" w:rsidR="00995E3D" w:rsidRPr="004676F5" w:rsidRDefault="00995E3D" w:rsidP="00995E3D">
      <w:pPr>
        <w:rPr>
          <w:i/>
          <w:lang w:val="de-DE"/>
        </w:rPr>
      </w:pPr>
    </w:p>
    <w:p w14:paraId="64109463" w14:textId="77777777" w:rsidR="00995E3D" w:rsidRPr="004676F5" w:rsidRDefault="00995E3D" w:rsidP="00995E3D">
      <w:pPr>
        <w:rPr>
          <w:i/>
          <w:iCs/>
          <w:lang w:val="de-DE"/>
        </w:rPr>
      </w:pPr>
    </w:p>
    <w:p w14:paraId="5958E260" w14:textId="563818CF" w:rsidR="00320AA7" w:rsidRPr="004676F5" w:rsidRDefault="00320AA7" w:rsidP="00320AA7">
      <w:pPr>
        <w:jc w:val="center"/>
        <w:rPr>
          <w:lang w:val="de-DE"/>
        </w:rPr>
      </w:pPr>
      <w:r w:rsidRPr="004676F5">
        <w:rPr>
          <w:lang w:val="de-DE"/>
        </w:rPr>
        <w:t>KAPITEL 1 </w:t>
      </w:r>
      <w:r w:rsidR="005B7A5C" w:rsidRPr="004676F5">
        <w:rPr>
          <w:lang w:val="de-DE"/>
        </w:rPr>
        <w:t>- </w:t>
      </w:r>
      <w:r w:rsidRPr="004676F5">
        <w:rPr>
          <w:i/>
          <w:lang w:val="de-DE"/>
        </w:rPr>
        <w:t>Zuständigkeit im Bereich der Erfindungspatente und der ergänzenden Schutzzertifikate</w:t>
      </w:r>
    </w:p>
    <w:p w14:paraId="41F16E77" w14:textId="77777777" w:rsidR="00AD4794" w:rsidRPr="004676F5" w:rsidRDefault="00AD4794" w:rsidP="00AD4794">
      <w:pPr>
        <w:jc w:val="center"/>
        <w:rPr>
          <w:lang w:val="de-DE"/>
        </w:rPr>
      </w:pPr>
    </w:p>
    <w:p w14:paraId="6627B327" w14:textId="77777777" w:rsidR="00320AA7" w:rsidRPr="004676F5" w:rsidRDefault="00320AA7" w:rsidP="00054D39">
      <w:pPr>
        <w:ind w:firstLine="708"/>
        <w:rPr>
          <w:lang w:val="de-DE"/>
        </w:rPr>
      </w:pPr>
    </w:p>
    <w:p w14:paraId="1C10DCE6" w14:textId="54E58CA3" w:rsidR="00054D39" w:rsidRPr="004676F5" w:rsidRDefault="00AD4794" w:rsidP="00054D39">
      <w:pPr>
        <w:ind w:firstLine="708"/>
        <w:jc w:val="both"/>
        <w:rPr>
          <w:lang w:val="de-DE"/>
        </w:rPr>
      </w:pPr>
      <w:r w:rsidRPr="004676F5">
        <w:rPr>
          <w:lang w:val="de-DE"/>
        </w:rPr>
        <w:t>[</w:t>
      </w:r>
      <w:r w:rsidR="00BE0A56" w:rsidRPr="004676F5">
        <w:rPr>
          <w:b/>
          <w:lang w:val="de-DE"/>
        </w:rPr>
        <w:t>Art. </w:t>
      </w:r>
      <w:r w:rsidR="00054D39" w:rsidRPr="004676F5">
        <w:rPr>
          <w:b/>
          <w:lang w:val="de-DE"/>
        </w:rPr>
        <w:t>XI.337</w:t>
      </w:r>
      <w:r w:rsidR="00054D39" w:rsidRPr="004676F5">
        <w:rPr>
          <w:lang w:val="de-DE"/>
        </w:rPr>
        <w:t> </w:t>
      </w:r>
      <w:r w:rsidR="005B7A5C" w:rsidRPr="004676F5">
        <w:rPr>
          <w:lang w:val="de-DE"/>
        </w:rPr>
        <w:t>- </w:t>
      </w:r>
      <w:r w:rsidR="00054D39" w:rsidRPr="004676F5">
        <w:rPr>
          <w:lang w:val="de-DE"/>
        </w:rPr>
        <w:t>§ 1 </w:t>
      </w:r>
      <w:r w:rsidR="005B7A5C" w:rsidRPr="004676F5">
        <w:rPr>
          <w:lang w:val="de-DE"/>
        </w:rPr>
        <w:t>- </w:t>
      </w:r>
      <w:r w:rsidR="00EE610A" w:rsidRPr="004676F5">
        <w:rPr>
          <w:lang w:val="de-DE"/>
        </w:rPr>
        <w:t xml:space="preserve">[Unbeschadet der Zuständigkeit des Einheitlichen Patentgerichts wie in Artikel 32 Absatz 1 des Übereinkommens über ein Einheitliches Patentgericht erwähnt erkennt </w:t>
      </w:r>
      <w:r w:rsidR="003017FE" w:rsidRPr="004676F5">
        <w:rPr>
          <w:lang w:val="de-DE"/>
        </w:rPr>
        <w:t>[</w:t>
      </w:r>
      <w:r w:rsidR="00EE610A" w:rsidRPr="004676F5">
        <w:rPr>
          <w:lang w:val="de-DE"/>
        </w:rPr>
        <w:t xml:space="preserve">das </w:t>
      </w:r>
      <w:r w:rsidR="003017FE" w:rsidRPr="004676F5">
        <w:rPr>
          <w:lang w:val="de-DE"/>
        </w:rPr>
        <w:t>Unternehmens</w:t>
      </w:r>
      <w:r w:rsidR="00EE610A" w:rsidRPr="004676F5">
        <w:rPr>
          <w:lang w:val="de-DE"/>
        </w:rPr>
        <w:t>gericht</w:t>
      </w:r>
      <w:r w:rsidR="003017FE" w:rsidRPr="004676F5">
        <w:rPr>
          <w:lang w:val="de-DE"/>
        </w:rPr>
        <w:t>]</w:t>
      </w:r>
      <w:r w:rsidR="00EE610A" w:rsidRPr="004676F5">
        <w:rPr>
          <w:lang w:val="de-DE"/>
        </w:rPr>
        <w:t xml:space="preserve"> von Brüssel über Anträge in Bezug auf Patente oder ergänzende Schutzzertifikate, ungeachtet des Betrags, um den es im Antrag geht</w:t>
      </w:r>
      <w:r w:rsidR="003017FE" w:rsidRPr="004676F5">
        <w:rPr>
          <w:lang w:val="de-DE"/>
        </w:rPr>
        <w:t xml:space="preserve"> [...]</w:t>
      </w:r>
      <w:r w:rsidR="00EE610A" w:rsidRPr="004676F5">
        <w:rPr>
          <w:lang w:val="de-DE"/>
        </w:rPr>
        <w:t>.]</w:t>
      </w:r>
    </w:p>
    <w:p w14:paraId="4DF73573" w14:textId="77777777" w:rsidR="00054D39" w:rsidRPr="004676F5" w:rsidRDefault="00054D39" w:rsidP="00054D39">
      <w:pPr>
        <w:ind w:firstLine="708"/>
        <w:jc w:val="both"/>
        <w:rPr>
          <w:lang w:val="de-DE"/>
        </w:rPr>
      </w:pPr>
    </w:p>
    <w:p w14:paraId="1FCA6B13" w14:textId="1860D7BB" w:rsidR="00054D39" w:rsidRPr="004676F5" w:rsidRDefault="00054D39" w:rsidP="00054D39">
      <w:pPr>
        <w:ind w:firstLine="708"/>
        <w:jc w:val="both"/>
        <w:rPr>
          <w:lang w:val="de-DE"/>
        </w:rPr>
      </w:pPr>
      <w:r w:rsidRPr="004676F5">
        <w:rPr>
          <w:lang w:val="de-DE"/>
        </w:rPr>
        <w:t xml:space="preserve">§ 2 </w:t>
      </w:r>
      <w:r w:rsidR="005B7A5C" w:rsidRPr="004676F5">
        <w:rPr>
          <w:lang w:val="de-DE"/>
        </w:rPr>
        <w:t>- </w:t>
      </w:r>
      <w:r w:rsidRPr="004676F5">
        <w:rPr>
          <w:lang w:val="de-DE"/>
        </w:rPr>
        <w:t>Von Rechts wegen nichtig sind Vereinbarungen, die im Widerspruch zu den Bestimmungen des vorhergehenden Paragraphen stehen.</w:t>
      </w:r>
    </w:p>
    <w:p w14:paraId="337A79C4" w14:textId="77777777" w:rsidR="00054D39" w:rsidRPr="004676F5" w:rsidRDefault="00054D39" w:rsidP="00054D39">
      <w:pPr>
        <w:ind w:firstLine="708"/>
        <w:jc w:val="both"/>
        <w:rPr>
          <w:lang w:val="de-DE"/>
        </w:rPr>
      </w:pPr>
    </w:p>
    <w:p w14:paraId="7C9E2114" w14:textId="77777777" w:rsidR="00054D39" w:rsidRPr="004676F5" w:rsidRDefault="00054D39" w:rsidP="00054D39">
      <w:pPr>
        <w:ind w:firstLine="708"/>
        <w:jc w:val="both"/>
        <w:rPr>
          <w:lang w:val="de-DE"/>
        </w:rPr>
      </w:pPr>
      <w:r w:rsidRPr="004676F5">
        <w:rPr>
          <w:lang w:val="de-DE"/>
        </w:rPr>
        <w:t>Die Bestimmungen des vorliegenden Artikels verhindern jedoch nicht, dass Streitfälle in Bezug auf das Eigentum an einer Patentanmeldung oder einem Patent, die Gültigkeit oder Verletzung eines Patents oder die Festlegung der in Artikel XI.35 erwähnten Entschädigung wie auch in Bezug auf Patentlizenzen, die keine Zwangslizenzen sind, vor ein Schiedsgericht gebracht werden.</w:t>
      </w:r>
    </w:p>
    <w:p w14:paraId="5967E40A" w14:textId="77777777" w:rsidR="00054D39" w:rsidRPr="004676F5" w:rsidRDefault="00054D39" w:rsidP="00054D39">
      <w:pPr>
        <w:jc w:val="both"/>
        <w:rPr>
          <w:lang w:val="de-DE"/>
        </w:rPr>
      </w:pPr>
    </w:p>
    <w:p w14:paraId="01A44381" w14:textId="1091ACC7" w:rsidR="00054D39" w:rsidRPr="004676F5" w:rsidRDefault="00AD4794" w:rsidP="00054D39">
      <w:pPr>
        <w:jc w:val="both"/>
        <w:rPr>
          <w:lang w:val="de-DE"/>
        </w:rPr>
      </w:pPr>
      <w:r w:rsidRPr="004676F5">
        <w:rPr>
          <w:lang w:val="de-DE"/>
        </w:rPr>
        <w:tab/>
      </w:r>
      <w:r w:rsidR="00054D39" w:rsidRPr="004676F5">
        <w:rPr>
          <w:lang w:val="de-DE"/>
        </w:rPr>
        <w:t xml:space="preserve">§ 3 </w:t>
      </w:r>
      <w:r w:rsidR="005B7A5C" w:rsidRPr="004676F5">
        <w:rPr>
          <w:lang w:val="de-DE"/>
        </w:rPr>
        <w:t>- </w:t>
      </w:r>
      <w:r w:rsidR="00054D39" w:rsidRPr="004676F5">
        <w:rPr>
          <w:lang w:val="de-DE"/>
        </w:rPr>
        <w:t>Die Bestimmungen der Paragraphen 1 und 2 sind entsprechend anwendbar auf ergänzende Schutzzertifikate.</w:t>
      </w:r>
      <w:r w:rsidRPr="004676F5">
        <w:rPr>
          <w:lang w:val="de-DE"/>
        </w:rPr>
        <w:t>]</w:t>
      </w:r>
    </w:p>
    <w:p w14:paraId="15BE669C" w14:textId="77777777" w:rsidR="00AD4794" w:rsidRPr="004676F5" w:rsidRDefault="00AD4794" w:rsidP="00054D39">
      <w:pPr>
        <w:jc w:val="both"/>
        <w:rPr>
          <w:lang w:val="de-DE"/>
        </w:rPr>
      </w:pPr>
    </w:p>
    <w:p w14:paraId="447331BC" w14:textId="76F8B413" w:rsidR="00AD4794" w:rsidRPr="004676F5" w:rsidRDefault="00AD4794" w:rsidP="00AD4794">
      <w:pPr>
        <w:jc w:val="both"/>
        <w:rPr>
          <w:i/>
          <w:lang w:val="de-DE"/>
        </w:rPr>
      </w:pPr>
      <w:r w:rsidRPr="004676F5">
        <w:rPr>
          <w:i/>
          <w:lang w:val="de-DE"/>
        </w:rPr>
        <w:t>[</w:t>
      </w:r>
      <w:r w:rsidR="00BE0A56" w:rsidRPr="004676F5">
        <w:rPr>
          <w:i/>
          <w:lang w:val="de-DE"/>
        </w:rPr>
        <w:t>Art. </w:t>
      </w:r>
      <w:r w:rsidRPr="004676F5">
        <w:rPr>
          <w:i/>
          <w:lang w:val="de-DE"/>
        </w:rPr>
        <w:t xml:space="preserve">XI.337 eingefügt durch </w:t>
      </w:r>
      <w:r w:rsidR="00BE0A56" w:rsidRPr="004676F5">
        <w:rPr>
          <w:i/>
          <w:lang w:val="de-DE"/>
        </w:rPr>
        <w:t>Art. </w:t>
      </w:r>
      <w:r w:rsidRPr="004676F5">
        <w:rPr>
          <w:i/>
          <w:lang w:val="de-DE"/>
        </w:rPr>
        <w:t>3 des G. vom 10. April 2014 (B.S. vom 12. Juni 2014, Err. vom 27. Juni 2014)</w:t>
      </w:r>
      <w:r w:rsidR="00EE610A" w:rsidRPr="004676F5">
        <w:rPr>
          <w:i/>
          <w:lang w:val="de-DE"/>
        </w:rPr>
        <w:t>; § 1 ersetzt durch Art. 7 des G. vom 19. Dezember 2017 (B.S. vom 28. Dezember 2017)</w:t>
      </w:r>
      <w:r w:rsidR="003017FE" w:rsidRPr="004676F5">
        <w:rPr>
          <w:i/>
          <w:lang w:val="de-DE"/>
        </w:rPr>
        <w:t xml:space="preserve"> und abgeändert durch Art. 195 des G. vom 15. April 2018 (B.S. vom 27. April 2018)</w:t>
      </w:r>
      <w:r w:rsidRPr="004676F5">
        <w:rPr>
          <w:i/>
          <w:lang w:val="de-DE"/>
        </w:rPr>
        <w:t>]</w:t>
      </w:r>
    </w:p>
    <w:p w14:paraId="1247CE15" w14:textId="77777777" w:rsidR="00AD4794" w:rsidRPr="004676F5" w:rsidRDefault="00AD4794" w:rsidP="00054D39">
      <w:pPr>
        <w:jc w:val="both"/>
        <w:rPr>
          <w:lang w:val="de-DE"/>
        </w:rPr>
      </w:pPr>
    </w:p>
    <w:p w14:paraId="67B9B014" w14:textId="77777777" w:rsidR="00A54B03" w:rsidRPr="004676F5" w:rsidRDefault="00A54B03" w:rsidP="00473416">
      <w:pPr>
        <w:jc w:val="center"/>
        <w:rPr>
          <w:lang w:val="de-DE"/>
        </w:rPr>
      </w:pPr>
    </w:p>
    <w:p w14:paraId="59A4CECC" w14:textId="63B15905" w:rsidR="00320AA7" w:rsidRPr="004676F5" w:rsidRDefault="00320AA7" w:rsidP="00320AA7">
      <w:pPr>
        <w:ind w:firstLine="708"/>
        <w:jc w:val="both"/>
        <w:rPr>
          <w:lang w:val="de-DE"/>
        </w:rPr>
      </w:pPr>
      <w:r w:rsidRPr="004676F5">
        <w:rPr>
          <w:lang w:val="de-DE"/>
        </w:rPr>
        <w:t>[</w:t>
      </w:r>
      <w:r w:rsidR="00BE0A56" w:rsidRPr="004676F5">
        <w:rPr>
          <w:b/>
          <w:lang w:val="de-DE"/>
        </w:rPr>
        <w:t>Art. </w:t>
      </w:r>
      <w:r w:rsidRPr="004676F5">
        <w:rPr>
          <w:b/>
          <w:lang w:val="de-DE"/>
        </w:rPr>
        <w:t>XI.338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beurkundende Gerichtsvollzieher übermittelt dem Amt sofort eine Abschrift der Zustellungsurkunde einer Entscheidung über eine Gesamt</w:t>
      </w:r>
      <w:r w:rsidR="005B7A5C" w:rsidRPr="004676F5">
        <w:rPr>
          <w:lang w:val="de-DE"/>
        </w:rPr>
        <w:t>- </w:t>
      </w:r>
      <w:r w:rsidRPr="004676F5">
        <w:rPr>
          <w:lang w:val="de-DE"/>
        </w:rPr>
        <w:t>oder Teil</w:t>
      </w:r>
      <w:r w:rsidRPr="004676F5">
        <w:rPr>
          <w:lang w:val="de-DE"/>
        </w:rPr>
        <w:softHyphen/>
        <w:t>nichtigkeit eines Patents oder eines ergänzenden Schutzzertifikats auf der Grundlage von Artikel XI.57.</w:t>
      </w:r>
    </w:p>
    <w:p w14:paraId="229E58A7" w14:textId="77777777" w:rsidR="00320AA7" w:rsidRPr="004676F5" w:rsidRDefault="00320AA7" w:rsidP="00320AA7">
      <w:pPr>
        <w:ind w:firstLine="708"/>
        <w:jc w:val="both"/>
        <w:rPr>
          <w:lang w:val="de-DE"/>
        </w:rPr>
      </w:pPr>
    </w:p>
    <w:p w14:paraId="2FBBD1C4" w14:textId="10A38A7D" w:rsidR="00320AA7" w:rsidRPr="004676F5" w:rsidRDefault="00320AA7" w:rsidP="00320AA7">
      <w:pPr>
        <w:ind w:firstLine="708"/>
        <w:jc w:val="both"/>
        <w:rPr>
          <w:lang w:val="de-DE"/>
        </w:rPr>
      </w:pPr>
      <w:r w:rsidRPr="004676F5">
        <w:rPr>
          <w:lang w:val="de-DE"/>
        </w:rPr>
        <w:t>§ 2 </w:t>
      </w:r>
      <w:r w:rsidR="005B7A5C" w:rsidRPr="004676F5">
        <w:rPr>
          <w:lang w:val="de-DE"/>
        </w:rPr>
        <w:t>- </w:t>
      </w:r>
      <w:r w:rsidRPr="004676F5">
        <w:rPr>
          <w:lang w:val="de-DE"/>
        </w:rPr>
        <w:t xml:space="preserve">Das Amt kann bei der Kanzlei des </w:t>
      </w:r>
      <w:r w:rsidR="00710C79" w:rsidRPr="004676F5">
        <w:rPr>
          <w:lang w:val="de-DE"/>
        </w:rPr>
        <w:t xml:space="preserve">[Unternehmensgerichts] </w:t>
      </w:r>
      <w:r w:rsidRPr="004676F5">
        <w:rPr>
          <w:lang w:val="de-DE"/>
        </w:rPr>
        <w:t>von Brüssel fragen, ob gegen diese Entscheidung noch Einspruch erhoben oder Berufung oder Kassationsbeschwerde eingelegt werden kann.</w:t>
      </w:r>
    </w:p>
    <w:p w14:paraId="536B1089" w14:textId="77777777" w:rsidR="00320AA7" w:rsidRPr="004676F5" w:rsidRDefault="00320AA7" w:rsidP="00320AA7">
      <w:pPr>
        <w:ind w:firstLine="708"/>
        <w:jc w:val="both"/>
        <w:rPr>
          <w:lang w:val="de-DE"/>
        </w:rPr>
      </w:pPr>
    </w:p>
    <w:p w14:paraId="4D664AC9" w14:textId="77777777" w:rsidR="00320AA7" w:rsidRPr="004676F5" w:rsidRDefault="00320AA7" w:rsidP="00320AA7">
      <w:pPr>
        <w:ind w:firstLine="708"/>
        <w:jc w:val="both"/>
        <w:rPr>
          <w:lang w:val="de-DE"/>
        </w:rPr>
      </w:pPr>
      <w:r w:rsidRPr="004676F5">
        <w:rPr>
          <w:lang w:val="de-DE"/>
        </w:rPr>
        <w:t>Bestätigt der Generalprokurator, dass Einspruch, Berufung oder Kassationsbe</w:t>
      </w:r>
      <w:r w:rsidRPr="004676F5">
        <w:rPr>
          <w:lang w:val="de-DE"/>
        </w:rPr>
        <w:softHyphen/>
        <w:t>schwerde nicht mehr möglich sind, so trägt das Amt innerhalb eines Monats nach Empfang dieser Bestätigung den Tenor dieser Entscheidung in die Patentakte ein und vermerkt die Entscheidung im Register.]</w:t>
      </w:r>
    </w:p>
    <w:p w14:paraId="684FD3E3" w14:textId="77777777" w:rsidR="00320AA7" w:rsidRPr="004676F5" w:rsidRDefault="00320AA7" w:rsidP="00320AA7">
      <w:pPr>
        <w:jc w:val="both"/>
        <w:rPr>
          <w:lang w:val="de-DE"/>
        </w:rPr>
      </w:pPr>
    </w:p>
    <w:p w14:paraId="5980A79F" w14:textId="0D83C7F3" w:rsidR="00320AA7" w:rsidRPr="004676F5" w:rsidRDefault="00320AA7" w:rsidP="00320AA7">
      <w:pPr>
        <w:jc w:val="both"/>
        <w:rPr>
          <w:i/>
          <w:lang w:val="de-DE"/>
        </w:rPr>
      </w:pPr>
      <w:r w:rsidRPr="004676F5">
        <w:rPr>
          <w:i/>
          <w:lang w:val="de-DE"/>
        </w:rPr>
        <w:t>[</w:t>
      </w:r>
      <w:r w:rsidR="00BE0A56" w:rsidRPr="004676F5">
        <w:rPr>
          <w:i/>
          <w:lang w:val="de-DE"/>
        </w:rPr>
        <w:t>Art. </w:t>
      </w:r>
      <w:r w:rsidRPr="004676F5">
        <w:rPr>
          <w:i/>
          <w:lang w:val="de-DE"/>
        </w:rPr>
        <w:t xml:space="preserve">XI.338 eingefügt durch </w:t>
      </w:r>
      <w:r w:rsidR="00BE0A56" w:rsidRPr="004676F5">
        <w:rPr>
          <w:i/>
          <w:lang w:val="de-DE"/>
        </w:rPr>
        <w:t>Art. </w:t>
      </w:r>
      <w:r w:rsidRPr="004676F5">
        <w:rPr>
          <w:i/>
          <w:lang w:val="de-DE"/>
        </w:rPr>
        <w:t>3 des G. vom 19. April 2014 (II) (B.S. vom 12. Juni 2014)</w:t>
      </w:r>
      <w:r w:rsidR="00710C79" w:rsidRPr="004676F5">
        <w:rPr>
          <w:i/>
          <w:lang w:val="de-DE"/>
        </w:rPr>
        <w:t>; § 2 Abs. 1 abgeändert durch Art. 252 des G. vom 15. April 2018 (B.S. vom 27. April 2018)</w:t>
      </w:r>
      <w:r w:rsidRPr="004676F5">
        <w:rPr>
          <w:i/>
          <w:lang w:val="de-DE"/>
        </w:rPr>
        <w:t>]</w:t>
      </w:r>
    </w:p>
    <w:p w14:paraId="4BC7EF25" w14:textId="77777777" w:rsidR="00B90A6A" w:rsidRPr="004676F5" w:rsidRDefault="00B90A6A">
      <w:pPr>
        <w:rPr>
          <w:lang w:val="de-DE"/>
        </w:rPr>
      </w:pPr>
    </w:p>
    <w:p w14:paraId="1B0C12FB" w14:textId="77777777" w:rsidR="00B90A6A" w:rsidRPr="004676F5" w:rsidRDefault="00B90A6A">
      <w:pPr>
        <w:rPr>
          <w:lang w:val="de-DE"/>
        </w:rPr>
      </w:pPr>
    </w:p>
    <w:p w14:paraId="4CFB42EC" w14:textId="77777777" w:rsidR="00B90A6A" w:rsidRPr="004676F5" w:rsidRDefault="00B90A6A" w:rsidP="00B90A6A">
      <w:pPr>
        <w:ind w:firstLine="708"/>
        <w:jc w:val="both"/>
        <w:rPr>
          <w:lang w:val="de-DE"/>
        </w:rPr>
      </w:pPr>
      <w:r w:rsidRPr="004676F5">
        <w:rPr>
          <w:lang w:val="de-DE"/>
        </w:rPr>
        <w:lastRenderedPageBreak/>
        <w:t>[</w:t>
      </w:r>
      <w:r w:rsidRPr="004676F5">
        <w:rPr>
          <w:b/>
          <w:bCs/>
          <w:lang w:val="de-DE"/>
        </w:rPr>
        <w:t>Art. XI.338/1</w:t>
      </w:r>
      <w:r w:rsidRPr="004676F5">
        <w:rPr>
          <w:lang w:val="de-DE"/>
        </w:rPr>
        <w:t> - Die für geistiges Eigentum beziehungsweise Justiz zuständigen Minister sind ermächtigt, einen Antrag an den Vorsitzenden des Verwaltungsausschusses zu richten, um gemäß Artikel 7 Nr. 3 des Übereinkommens vom 19. Februar 2013 über ein Einheitliches Patentgericht, gebilligt durch das Gesetz vom 27. Mai 2014, eine Lokalkammer in Belgien zu errichten.</w:t>
      </w:r>
    </w:p>
    <w:p w14:paraId="5E4344E7" w14:textId="77777777" w:rsidR="00B90A6A" w:rsidRPr="004676F5" w:rsidRDefault="00B90A6A" w:rsidP="00B90A6A">
      <w:pPr>
        <w:jc w:val="both"/>
        <w:rPr>
          <w:lang w:val="de-DE"/>
        </w:rPr>
      </w:pPr>
    </w:p>
    <w:p w14:paraId="5A15A299" w14:textId="77777777" w:rsidR="00B90A6A" w:rsidRPr="004676F5" w:rsidRDefault="00B90A6A" w:rsidP="00B90A6A">
      <w:pPr>
        <w:rPr>
          <w:lang w:val="de-DE"/>
        </w:rPr>
      </w:pPr>
      <w:r w:rsidRPr="004676F5">
        <w:rPr>
          <w:lang w:val="de-DE"/>
        </w:rPr>
        <w:tab/>
        <w:t>Diese Lokalkammer hat ihren Sitz in Brüssel.]</w:t>
      </w:r>
    </w:p>
    <w:p w14:paraId="595ED0D8" w14:textId="77777777" w:rsidR="00B90A6A" w:rsidRPr="004676F5" w:rsidRDefault="00B90A6A" w:rsidP="00B90A6A">
      <w:pPr>
        <w:rPr>
          <w:lang w:val="de-DE"/>
        </w:rPr>
      </w:pPr>
    </w:p>
    <w:p w14:paraId="3771D0EF" w14:textId="77777777" w:rsidR="00B90A6A" w:rsidRPr="004676F5" w:rsidRDefault="00B90A6A" w:rsidP="00B90A6A">
      <w:pPr>
        <w:rPr>
          <w:i/>
          <w:iCs/>
          <w:lang w:val="de-DE"/>
        </w:rPr>
      </w:pPr>
      <w:r w:rsidRPr="004676F5">
        <w:rPr>
          <w:i/>
          <w:iCs/>
          <w:lang w:val="de-DE"/>
        </w:rPr>
        <w:t>[Art. XI.338/1 eingefügt durch Art. 43 des G. vom 9. Februar 2024 (B.S. vom 21. März 2024)]</w:t>
      </w:r>
    </w:p>
    <w:p w14:paraId="6FF46BDB" w14:textId="77777777" w:rsidR="00B90A6A" w:rsidRPr="004676F5" w:rsidRDefault="00B90A6A" w:rsidP="00B90A6A">
      <w:pPr>
        <w:rPr>
          <w:lang w:val="de-DE"/>
        </w:rPr>
      </w:pPr>
    </w:p>
    <w:p w14:paraId="7429B846" w14:textId="77777777" w:rsidR="00B90A6A" w:rsidRPr="004676F5" w:rsidRDefault="00B90A6A" w:rsidP="00B90A6A">
      <w:pPr>
        <w:rPr>
          <w:lang w:val="de-DE"/>
        </w:rPr>
      </w:pPr>
    </w:p>
    <w:p w14:paraId="0FD2EAF9" w14:textId="21D3D83B" w:rsidR="00B90A6A" w:rsidRPr="004676F5" w:rsidRDefault="00B90A6A" w:rsidP="00B90A6A">
      <w:pPr>
        <w:jc w:val="both"/>
        <w:rPr>
          <w:lang w:val="de-DE"/>
        </w:rPr>
      </w:pPr>
      <w:r w:rsidRPr="004676F5">
        <w:rPr>
          <w:lang w:val="de-DE"/>
        </w:rPr>
        <w:tab/>
        <w:t>[</w:t>
      </w:r>
      <w:r w:rsidRPr="004676F5">
        <w:rPr>
          <w:b/>
          <w:bCs/>
          <w:lang w:val="de-DE"/>
        </w:rPr>
        <w:t>Art. XI.338/2</w:t>
      </w:r>
      <w:r w:rsidRPr="004676F5">
        <w:rPr>
          <w:lang w:val="de-DE"/>
        </w:rPr>
        <w:t> - In Anwendung von Artikel 49 des vorerwähnten Übereinkommens sind die Verfahrenssprachen vor dieser Lokalkammer Niederländisch, Französisch, Deutsch und Englisch.]</w:t>
      </w:r>
    </w:p>
    <w:p w14:paraId="42C710C1" w14:textId="77777777" w:rsidR="00B90A6A" w:rsidRPr="004676F5" w:rsidRDefault="00B90A6A" w:rsidP="00B90A6A">
      <w:pPr>
        <w:jc w:val="both"/>
        <w:rPr>
          <w:lang w:val="de-DE"/>
        </w:rPr>
      </w:pPr>
    </w:p>
    <w:p w14:paraId="45BAE697" w14:textId="1F3586E8" w:rsidR="00B90A6A" w:rsidRPr="004676F5" w:rsidRDefault="00B90A6A" w:rsidP="00B90A6A">
      <w:pPr>
        <w:rPr>
          <w:i/>
          <w:iCs/>
          <w:lang w:val="de-DE"/>
        </w:rPr>
      </w:pPr>
      <w:r w:rsidRPr="004676F5">
        <w:rPr>
          <w:i/>
          <w:iCs/>
          <w:lang w:val="de-DE"/>
        </w:rPr>
        <w:t>[Art. XI.338/2 eingefügt durch Art. 44 des G. vom 9. Februar 2024 (B.S. vom 21. März 2024)]</w:t>
      </w:r>
    </w:p>
    <w:p w14:paraId="03D6CAE0" w14:textId="77777777" w:rsidR="00B90A6A" w:rsidRPr="004676F5" w:rsidRDefault="00B90A6A" w:rsidP="00B90A6A">
      <w:pPr>
        <w:jc w:val="both"/>
        <w:rPr>
          <w:lang w:val="de-DE"/>
        </w:rPr>
      </w:pPr>
    </w:p>
    <w:p w14:paraId="298D04F6" w14:textId="77777777" w:rsidR="00B90A6A" w:rsidRPr="004676F5" w:rsidRDefault="00B90A6A" w:rsidP="00B90A6A">
      <w:pPr>
        <w:jc w:val="both"/>
        <w:rPr>
          <w:lang w:val="de-DE"/>
        </w:rPr>
      </w:pPr>
    </w:p>
    <w:p w14:paraId="110E6006" w14:textId="56DC1F4D" w:rsidR="00B90A6A" w:rsidRPr="004676F5" w:rsidRDefault="00B90A6A" w:rsidP="00B90A6A">
      <w:pPr>
        <w:ind w:firstLine="708"/>
        <w:jc w:val="both"/>
        <w:rPr>
          <w:lang w:val="de-DE"/>
        </w:rPr>
      </w:pPr>
      <w:r w:rsidRPr="004676F5">
        <w:rPr>
          <w:lang w:val="de-DE"/>
        </w:rPr>
        <w:t>[</w:t>
      </w:r>
      <w:r w:rsidRPr="004676F5">
        <w:rPr>
          <w:b/>
          <w:bCs/>
          <w:lang w:val="de-DE"/>
        </w:rPr>
        <w:t>Art. XI.338/3</w:t>
      </w:r>
      <w:r w:rsidRPr="004676F5">
        <w:rPr>
          <w:lang w:val="de-DE"/>
        </w:rPr>
        <w:t> - Personalmitglieder des Ministeriums des für Wirtschaft zuständigen Ministers können dem Einheitlichen Patentgericht vom König teilzeitig oder vollzeitig zur Verfügung gestellt werden.</w:t>
      </w:r>
    </w:p>
    <w:p w14:paraId="6F86917B" w14:textId="77777777" w:rsidR="00B90A6A" w:rsidRPr="004676F5" w:rsidRDefault="00B90A6A" w:rsidP="00B90A6A">
      <w:pPr>
        <w:jc w:val="both"/>
        <w:rPr>
          <w:lang w:val="de-DE"/>
        </w:rPr>
      </w:pPr>
    </w:p>
    <w:p w14:paraId="6A73D415" w14:textId="77777777" w:rsidR="00B90A6A" w:rsidRPr="004676F5" w:rsidRDefault="00B90A6A" w:rsidP="00B90A6A">
      <w:pPr>
        <w:rPr>
          <w:lang w:val="de-DE"/>
        </w:rPr>
      </w:pPr>
      <w:r w:rsidRPr="004676F5">
        <w:rPr>
          <w:lang w:val="de-DE"/>
        </w:rPr>
        <w:tab/>
        <w:t>Der König bestimmt durch einen im Ministerrat beratenen Erlass die Modalitäten der Zurverfügungstellung.]</w:t>
      </w:r>
    </w:p>
    <w:p w14:paraId="189C11F6" w14:textId="77777777" w:rsidR="00B90A6A" w:rsidRPr="004676F5" w:rsidRDefault="00B90A6A" w:rsidP="00B90A6A">
      <w:pPr>
        <w:rPr>
          <w:lang w:val="de-DE"/>
        </w:rPr>
      </w:pPr>
    </w:p>
    <w:p w14:paraId="2ACA59E4" w14:textId="00B40296" w:rsidR="00B90A6A" w:rsidRPr="004676F5" w:rsidRDefault="00B90A6A" w:rsidP="00B90A6A">
      <w:pPr>
        <w:rPr>
          <w:i/>
          <w:iCs/>
          <w:lang w:val="de-DE"/>
        </w:rPr>
      </w:pPr>
      <w:r w:rsidRPr="004676F5">
        <w:rPr>
          <w:i/>
          <w:iCs/>
          <w:lang w:val="de-DE"/>
        </w:rPr>
        <w:t>[Art. XI.338/3 eingefügt durch Art. 45 des G. vom 9. Februar 2024 (B.S. vom 21. März 2024)]</w:t>
      </w:r>
    </w:p>
    <w:p w14:paraId="37AB57C7" w14:textId="789C209D" w:rsidR="00AD4794" w:rsidRPr="004676F5" w:rsidRDefault="00AD4794" w:rsidP="00B90A6A">
      <w:pPr>
        <w:rPr>
          <w:lang w:val="de-DE"/>
        </w:rPr>
      </w:pPr>
      <w:r w:rsidRPr="004676F5">
        <w:rPr>
          <w:lang w:val="de-DE"/>
        </w:rPr>
        <w:br w:type="page"/>
      </w:r>
    </w:p>
    <w:p w14:paraId="43533F0A" w14:textId="6619E4E6" w:rsidR="001814E4" w:rsidRPr="004676F5" w:rsidRDefault="001814E4" w:rsidP="001814E4">
      <w:pPr>
        <w:jc w:val="center"/>
        <w:rPr>
          <w:lang w:val="de-DE"/>
        </w:rPr>
      </w:pPr>
      <w:r w:rsidRPr="004676F5">
        <w:rPr>
          <w:lang w:val="de-DE"/>
        </w:rPr>
        <w:lastRenderedPageBreak/>
        <w:t>[</w:t>
      </w:r>
      <w:r w:rsidR="00AD4794" w:rsidRPr="004676F5">
        <w:rPr>
          <w:lang w:val="de-DE"/>
        </w:rPr>
        <w:t xml:space="preserve">KAPITEL 2 </w:t>
      </w:r>
      <w:r w:rsidR="005B7A5C" w:rsidRPr="004676F5">
        <w:rPr>
          <w:lang w:val="de-DE"/>
        </w:rPr>
        <w:t>- </w:t>
      </w:r>
      <w:r w:rsidRPr="004676F5">
        <w:rPr>
          <w:i/>
          <w:lang w:val="de-DE"/>
        </w:rPr>
        <w:t>Zuständigkeit im Bereich Recht auf Sortenschutz</w:t>
      </w:r>
    </w:p>
    <w:p w14:paraId="6BA642FD" w14:textId="77777777" w:rsidR="001814E4" w:rsidRPr="004676F5" w:rsidRDefault="001814E4" w:rsidP="001814E4">
      <w:pPr>
        <w:rPr>
          <w:lang w:val="de-DE"/>
        </w:rPr>
      </w:pPr>
    </w:p>
    <w:p w14:paraId="6464D460" w14:textId="5C4C8892" w:rsidR="001814E4" w:rsidRPr="004676F5" w:rsidRDefault="001814E4" w:rsidP="001814E4">
      <w:pPr>
        <w:jc w:val="both"/>
        <w:rPr>
          <w:i/>
          <w:lang w:val="de-DE"/>
        </w:rPr>
      </w:pPr>
      <w:r w:rsidRPr="004676F5">
        <w:rPr>
          <w:i/>
          <w:lang w:val="de-DE"/>
        </w:rPr>
        <w:t xml:space="preserve">[Kapitel 2 mit </w:t>
      </w:r>
      <w:r w:rsidR="00BE0A56" w:rsidRPr="004676F5">
        <w:rPr>
          <w:i/>
          <w:lang w:val="de-DE"/>
        </w:rPr>
        <w:t>Art. </w:t>
      </w:r>
      <w:r w:rsidRPr="004676F5">
        <w:rPr>
          <w:i/>
          <w:lang w:val="de-DE"/>
        </w:rPr>
        <w:t xml:space="preserve">XI.339 eingefügt durch </w:t>
      </w:r>
      <w:r w:rsidR="00BE0A56" w:rsidRPr="004676F5">
        <w:rPr>
          <w:i/>
          <w:lang w:val="de-DE"/>
        </w:rPr>
        <w:t>Art. </w:t>
      </w:r>
      <w:r w:rsidRPr="004676F5">
        <w:rPr>
          <w:i/>
          <w:lang w:val="de-DE"/>
        </w:rPr>
        <w:t>4 des G. vom 10. April 2014 (B.S. vom 12. Juni 2014, Err. vom 27. Juni 2014)]</w:t>
      </w:r>
    </w:p>
    <w:p w14:paraId="0B345972" w14:textId="77777777" w:rsidR="001814E4" w:rsidRPr="004676F5" w:rsidRDefault="001814E4" w:rsidP="001814E4">
      <w:pPr>
        <w:rPr>
          <w:i/>
          <w:lang w:val="de-DE"/>
        </w:rPr>
      </w:pPr>
    </w:p>
    <w:p w14:paraId="72581379" w14:textId="77777777" w:rsidR="001814E4" w:rsidRPr="004676F5" w:rsidRDefault="001814E4" w:rsidP="001814E4">
      <w:pPr>
        <w:ind w:firstLine="708"/>
        <w:jc w:val="both"/>
        <w:rPr>
          <w:lang w:val="de-DE"/>
        </w:rPr>
      </w:pPr>
    </w:p>
    <w:p w14:paraId="37EFF77A" w14:textId="672DCC03" w:rsidR="001814E4" w:rsidRPr="004676F5" w:rsidRDefault="00BE0A56" w:rsidP="001814E4">
      <w:pPr>
        <w:ind w:firstLine="708"/>
        <w:jc w:val="both"/>
        <w:rPr>
          <w:lang w:val="de-DE"/>
        </w:rPr>
      </w:pPr>
      <w:r w:rsidRPr="004676F5">
        <w:rPr>
          <w:b/>
          <w:lang w:val="de-DE"/>
        </w:rPr>
        <w:t>Art. </w:t>
      </w:r>
      <w:r w:rsidR="001814E4" w:rsidRPr="004676F5">
        <w:rPr>
          <w:b/>
          <w:lang w:val="de-DE"/>
        </w:rPr>
        <w:t>XI.339</w:t>
      </w:r>
      <w:r w:rsidR="001814E4" w:rsidRPr="004676F5">
        <w:rPr>
          <w:lang w:val="de-DE"/>
        </w:rPr>
        <w:t> </w:t>
      </w:r>
      <w:r w:rsidR="005B7A5C" w:rsidRPr="004676F5">
        <w:rPr>
          <w:lang w:val="de-DE"/>
        </w:rPr>
        <w:t>- </w:t>
      </w:r>
      <w:r w:rsidR="003017FE" w:rsidRPr="004676F5">
        <w:rPr>
          <w:lang w:val="de-DE"/>
        </w:rPr>
        <w:t>[</w:t>
      </w:r>
      <w:r w:rsidR="001814E4" w:rsidRPr="004676F5">
        <w:rPr>
          <w:lang w:val="de-DE"/>
        </w:rPr>
        <w:t xml:space="preserve">Die </w:t>
      </w:r>
      <w:r w:rsidR="003017FE" w:rsidRPr="004676F5">
        <w:rPr>
          <w:lang w:val="de-DE"/>
        </w:rPr>
        <w:t>Unternehmen</w:t>
      </w:r>
      <w:r w:rsidR="001814E4" w:rsidRPr="004676F5">
        <w:rPr>
          <w:lang w:val="de-DE"/>
        </w:rPr>
        <w:t>sgerichte</w:t>
      </w:r>
      <w:r w:rsidR="003017FE" w:rsidRPr="004676F5">
        <w:rPr>
          <w:lang w:val="de-DE"/>
        </w:rPr>
        <w:t>]</w:t>
      </w:r>
      <w:r w:rsidR="001814E4" w:rsidRPr="004676F5">
        <w:rPr>
          <w:lang w:val="de-DE"/>
        </w:rPr>
        <w:t xml:space="preserve"> erkennen über Anträge in Bezug auf die Anwendung von Titel 3, ungeachtet des Betrags, um den es im Antrag geht</w:t>
      </w:r>
      <w:r w:rsidR="003017FE" w:rsidRPr="004676F5">
        <w:rPr>
          <w:lang w:val="de-DE"/>
        </w:rPr>
        <w:t xml:space="preserve"> [...]</w:t>
      </w:r>
      <w:r w:rsidR="001814E4" w:rsidRPr="004676F5">
        <w:rPr>
          <w:lang w:val="de-DE"/>
        </w:rPr>
        <w:t xml:space="preserve">. </w:t>
      </w:r>
    </w:p>
    <w:p w14:paraId="0BF5DA2A" w14:textId="77777777" w:rsidR="001814E4" w:rsidRPr="004676F5" w:rsidRDefault="001814E4" w:rsidP="001814E4">
      <w:pPr>
        <w:ind w:firstLine="708"/>
        <w:jc w:val="both"/>
        <w:rPr>
          <w:lang w:val="de-DE"/>
        </w:rPr>
      </w:pPr>
    </w:p>
    <w:p w14:paraId="71BF44BD" w14:textId="134BAC02" w:rsidR="00AD4794" w:rsidRPr="004676F5" w:rsidRDefault="001814E4" w:rsidP="001814E4">
      <w:pPr>
        <w:jc w:val="both"/>
        <w:rPr>
          <w:lang w:val="de-DE"/>
        </w:rPr>
      </w:pPr>
      <w:r w:rsidRPr="004676F5">
        <w:rPr>
          <w:lang w:val="de-DE"/>
        </w:rPr>
        <w:tab/>
        <w:t>Entsteht der Streitfall während der behördlichen Untersuchung des Antrags auf Erteilung des Sortenschutzes, kann das Amt auf Antrag einer Partei des Gerichtsverfahrens die Erteilung des Rechts bis zur Entscheidung des Gerichts aussetzen.]</w:t>
      </w:r>
    </w:p>
    <w:p w14:paraId="59127C5A" w14:textId="3539684E" w:rsidR="003017FE" w:rsidRPr="004676F5" w:rsidRDefault="003017FE" w:rsidP="001814E4">
      <w:pPr>
        <w:jc w:val="both"/>
        <w:rPr>
          <w:lang w:val="de-DE"/>
        </w:rPr>
      </w:pPr>
    </w:p>
    <w:p w14:paraId="7663497B" w14:textId="589794E0" w:rsidR="003017FE" w:rsidRPr="004676F5" w:rsidRDefault="003017FE" w:rsidP="001814E4">
      <w:pPr>
        <w:jc w:val="both"/>
        <w:rPr>
          <w:i/>
          <w:lang w:val="de-DE"/>
        </w:rPr>
      </w:pPr>
      <w:r w:rsidRPr="004676F5">
        <w:rPr>
          <w:i/>
          <w:lang w:val="de-DE"/>
        </w:rPr>
        <w:t>[Art. XI.339 Abs. 1 abgeändert durch Art. 196 des G. vom 15. April 2018 (B.S. vom 27. April 2018)]</w:t>
      </w:r>
    </w:p>
    <w:p w14:paraId="51BCEB70" w14:textId="77777777" w:rsidR="001814E4" w:rsidRPr="004676F5" w:rsidRDefault="001814E4" w:rsidP="001814E4">
      <w:pPr>
        <w:jc w:val="both"/>
        <w:rPr>
          <w:lang w:val="de-DE"/>
        </w:rPr>
      </w:pPr>
    </w:p>
    <w:p w14:paraId="57A10D5D" w14:textId="77777777" w:rsidR="001814E4" w:rsidRPr="004676F5" w:rsidRDefault="001814E4" w:rsidP="001814E4">
      <w:pPr>
        <w:jc w:val="both"/>
        <w:rPr>
          <w:i/>
          <w:lang w:val="de-DE"/>
        </w:rPr>
      </w:pPr>
    </w:p>
    <w:p w14:paraId="588A9548" w14:textId="77777777" w:rsidR="00AD4794" w:rsidRPr="004676F5" w:rsidRDefault="00AD4794" w:rsidP="00473416">
      <w:pPr>
        <w:jc w:val="center"/>
        <w:rPr>
          <w:lang w:val="de-DE"/>
        </w:rPr>
      </w:pPr>
    </w:p>
    <w:p w14:paraId="578DC598" w14:textId="77777777" w:rsidR="001814E4" w:rsidRPr="004676F5" w:rsidRDefault="001814E4">
      <w:pPr>
        <w:rPr>
          <w:lang w:val="de-DE"/>
        </w:rPr>
      </w:pPr>
      <w:r w:rsidRPr="004676F5">
        <w:rPr>
          <w:lang w:val="de-DE"/>
        </w:rPr>
        <w:br w:type="page"/>
      </w:r>
    </w:p>
    <w:p w14:paraId="74E23B45" w14:textId="743C4650" w:rsidR="001814E4" w:rsidRPr="004676F5" w:rsidRDefault="00FF663F" w:rsidP="001814E4">
      <w:pPr>
        <w:jc w:val="center"/>
        <w:rPr>
          <w:i/>
          <w:lang w:val="de-DE"/>
        </w:rPr>
      </w:pPr>
      <w:r w:rsidRPr="004676F5">
        <w:rPr>
          <w:lang w:val="de-DE"/>
        </w:rPr>
        <w:lastRenderedPageBreak/>
        <w:t>[</w:t>
      </w:r>
      <w:r w:rsidR="001814E4" w:rsidRPr="004676F5">
        <w:rPr>
          <w:lang w:val="de-DE"/>
        </w:rPr>
        <w:t>KAPITEL 3 </w:t>
      </w:r>
      <w:r w:rsidR="005B7A5C" w:rsidRPr="004676F5">
        <w:rPr>
          <w:lang w:val="de-DE"/>
        </w:rPr>
        <w:t>- </w:t>
      </w:r>
      <w:r w:rsidR="00BE7BFA" w:rsidRPr="004676F5">
        <w:rPr>
          <w:lang w:val="de-DE"/>
        </w:rPr>
        <w:t>[…]</w:t>
      </w:r>
    </w:p>
    <w:p w14:paraId="2608CB37" w14:textId="77777777" w:rsidR="001814E4" w:rsidRPr="004676F5" w:rsidRDefault="001814E4" w:rsidP="001814E4">
      <w:pPr>
        <w:rPr>
          <w:lang w:val="de-DE"/>
        </w:rPr>
      </w:pPr>
    </w:p>
    <w:p w14:paraId="3A68CE47" w14:textId="29AE9DFC" w:rsidR="00FF663F" w:rsidRPr="004676F5" w:rsidRDefault="00FF663F" w:rsidP="00FF663F">
      <w:pPr>
        <w:jc w:val="both"/>
        <w:rPr>
          <w:i/>
          <w:lang w:val="de-DE"/>
        </w:rPr>
      </w:pPr>
      <w:r w:rsidRPr="004676F5">
        <w:rPr>
          <w:i/>
          <w:lang w:val="de-DE"/>
        </w:rPr>
        <w:t xml:space="preserve">[Kapitel 3 mit den Artikeln XI.340 und XI.341 eingefügt durch </w:t>
      </w:r>
      <w:r w:rsidR="00BE0A56" w:rsidRPr="004676F5">
        <w:rPr>
          <w:i/>
          <w:lang w:val="de-DE"/>
        </w:rPr>
        <w:t>Art. </w:t>
      </w:r>
      <w:r w:rsidR="00FF3EA7" w:rsidRPr="004676F5">
        <w:rPr>
          <w:i/>
          <w:lang w:val="de-DE"/>
        </w:rPr>
        <w:t>5</w:t>
      </w:r>
      <w:r w:rsidRPr="004676F5">
        <w:rPr>
          <w:i/>
          <w:lang w:val="de-DE"/>
        </w:rPr>
        <w:t xml:space="preserve"> des G. vom 10. April 2014 (B.S. vom 12. Juni 2014, Err. vom 27. Juni 2014)</w:t>
      </w:r>
      <w:r w:rsidR="00BE7BFA" w:rsidRPr="004676F5">
        <w:rPr>
          <w:i/>
          <w:lang w:val="de-DE"/>
        </w:rPr>
        <w:t xml:space="preserve"> und aufgehoben durch </w:t>
      </w:r>
      <w:r w:rsidR="00BE0A56" w:rsidRPr="004676F5">
        <w:rPr>
          <w:i/>
          <w:lang w:val="de-DE"/>
        </w:rPr>
        <w:t>Art. </w:t>
      </w:r>
      <w:r w:rsidR="00BE7BFA" w:rsidRPr="004676F5">
        <w:rPr>
          <w:i/>
          <w:lang w:val="de-DE"/>
        </w:rPr>
        <w:t>34 des G. vom 29. Juni 2016 (B.S. vom 6. Juli 2016)</w:t>
      </w:r>
      <w:r w:rsidRPr="004676F5">
        <w:rPr>
          <w:i/>
          <w:lang w:val="de-DE"/>
        </w:rPr>
        <w:t>]</w:t>
      </w:r>
    </w:p>
    <w:p w14:paraId="61BE56B4" w14:textId="77777777" w:rsidR="00FF663F" w:rsidRPr="004676F5" w:rsidRDefault="00FF663F" w:rsidP="001814E4">
      <w:pPr>
        <w:rPr>
          <w:lang w:val="de-DE"/>
        </w:rPr>
      </w:pPr>
    </w:p>
    <w:p w14:paraId="5E111A38" w14:textId="77777777" w:rsidR="00FF663F" w:rsidRPr="004676F5" w:rsidRDefault="00FF663F" w:rsidP="001814E4">
      <w:pPr>
        <w:rPr>
          <w:lang w:val="de-DE"/>
        </w:rPr>
      </w:pPr>
    </w:p>
    <w:p w14:paraId="5127C696" w14:textId="475F3883" w:rsidR="00A54B03" w:rsidRPr="004676F5" w:rsidRDefault="00BE0A56" w:rsidP="00BE7BFA">
      <w:pPr>
        <w:ind w:firstLine="708"/>
        <w:jc w:val="both"/>
        <w:rPr>
          <w:lang w:val="de-DE"/>
        </w:rPr>
      </w:pPr>
      <w:r w:rsidRPr="004676F5">
        <w:rPr>
          <w:b/>
          <w:lang w:val="de-DE"/>
        </w:rPr>
        <w:t>Art. </w:t>
      </w:r>
      <w:r w:rsidR="001814E4" w:rsidRPr="004676F5">
        <w:rPr>
          <w:b/>
          <w:lang w:val="de-DE"/>
        </w:rPr>
        <w:t>XI.340</w:t>
      </w:r>
      <w:r w:rsidR="001814E4" w:rsidRPr="004676F5">
        <w:rPr>
          <w:lang w:val="de-DE"/>
        </w:rPr>
        <w:t xml:space="preserve"> </w:t>
      </w:r>
      <w:r w:rsidR="005B7A5C" w:rsidRPr="004676F5">
        <w:rPr>
          <w:lang w:val="de-DE"/>
        </w:rPr>
        <w:t>- </w:t>
      </w:r>
      <w:r w:rsidR="001814E4" w:rsidRPr="004676F5">
        <w:rPr>
          <w:b/>
          <w:lang w:val="de-DE"/>
        </w:rPr>
        <w:t>XI.341</w:t>
      </w:r>
      <w:r w:rsidR="001814E4" w:rsidRPr="004676F5">
        <w:rPr>
          <w:lang w:val="de-DE"/>
        </w:rPr>
        <w:t> </w:t>
      </w:r>
      <w:r w:rsidR="005B7A5C" w:rsidRPr="004676F5">
        <w:rPr>
          <w:lang w:val="de-DE"/>
        </w:rPr>
        <w:t>- </w:t>
      </w:r>
      <w:r w:rsidR="00BE7BFA" w:rsidRPr="004676F5">
        <w:rPr>
          <w:lang w:val="de-DE"/>
        </w:rPr>
        <w:t>[…]]</w:t>
      </w:r>
    </w:p>
    <w:p w14:paraId="7DFA4613" w14:textId="77777777" w:rsidR="00FF663F" w:rsidRPr="004676F5" w:rsidRDefault="00FF663F" w:rsidP="00A54B03">
      <w:pPr>
        <w:jc w:val="center"/>
        <w:rPr>
          <w:lang w:val="de-DE"/>
        </w:rPr>
      </w:pPr>
    </w:p>
    <w:p w14:paraId="055F4217" w14:textId="77777777" w:rsidR="00FF663F" w:rsidRPr="004676F5" w:rsidRDefault="00FF663F" w:rsidP="00A54B03">
      <w:pPr>
        <w:jc w:val="center"/>
        <w:rPr>
          <w:lang w:val="de-DE"/>
        </w:rPr>
      </w:pPr>
    </w:p>
    <w:p w14:paraId="32771125" w14:textId="6397F38A" w:rsidR="00320AA7" w:rsidRPr="004676F5" w:rsidRDefault="00320AA7" w:rsidP="00320AA7">
      <w:pPr>
        <w:jc w:val="center"/>
        <w:rPr>
          <w:i/>
          <w:lang w:val="de-DE"/>
        </w:rPr>
      </w:pPr>
      <w:r w:rsidRPr="004676F5">
        <w:rPr>
          <w:lang w:val="de-DE"/>
        </w:rPr>
        <w:br w:type="page"/>
      </w:r>
      <w:r w:rsidRPr="004676F5">
        <w:rPr>
          <w:lang w:val="de-DE"/>
        </w:rPr>
        <w:lastRenderedPageBreak/>
        <w:t>[KAPITEL 4 </w:t>
      </w:r>
      <w:r w:rsidR="005B7A5C" w:rsidRPr="004676F5">
        <w:rPr>
          <w:lang w:val="de-DE"/>
        </w:rPr>
        <w:t>- </w:t>
      </w:r>
      <w:r w:rsidRPr="004676F5">
        <w:rPr>
          <w:i/>
          <w:lang w:val="de-DE"/>
        </w:rPr>
        <w:t>Zuständigkeit im Bereich von Topographien von Halbleitererzeugnissen</w:t>
      </w:r>
    </w:p>
    <w:p w14:paraId="1CD99967" w14:textId="77777777" w:rsidR="00320AA7" w:rsidRPr="004676F5" w:rsidRDefault="00320AA7" w:rsidP="00320AA7">
      <w:pPr>
        <w:ind w:firstLine="708"/>
        <w:jc w:val="both"/>
        <w:rPr>
          <w:lang w:val="de-DE"/>
        </w:rPr>
      </w:pPr>
    </w:p>
    <w:p w14:paraId="62DEB98A" w14:textId="2C3EB35C" w:rsidR="00320AA7" w:rsidRPr="004676F5" w:rsidRDefault="00320AA7" w:rsidP="00320AA7">
      <w:pPr>
        <w:jc w:val="both"/>
        <w:rPr>
          <w:i/>
          <w:lang w:val="de-DE"/>
        </w:rPr>
      </w:pPr>
      <w:r w:rsidRPr="004676F5">
        <w:rPr>
          <w:i/>
          <w:lang w:val="de-DE"/>
        </w:rPr>
        <w:t xml:space="preserve">[Kapitel 4 mit </w:t>
      </w:r>
      <w:r w:rsidR="00BE0A56" w:rsidRPr="004676F5">
        <w:rPr>
          <w:i/>
          <w:lang w:val="de-DE"/>
        </w:rPr>
        <w:t>Art. </w:t>
      </w:r>
      <w:r w:rsidRPr="004676F5">
        <w:rPr>
          <w:i/>
          <w:lang w:val="de-DE"/>
        </w:rPr>
        <w:t xml:space="preserve">XI.342 eingefügt durch </w:t>
      </w:r>
      <w:r w:rsidR="00BE0A56" w:rsidRPr="004676F5">
        <w:rPr>
          <w:i/>
          <w:lang w:val="de-DE"/>
        </w:rPr>
        <w:t>Art. </w:t>
      </w:r>
      <w:r w:rsidRPr="004676F5">
        <w:rPr>
          <w:i/>
          <w:lang w:val="de-DE"/>
        </w:rPr>
        <w:t>3 des G. vom 19. April 2014 (II) (B.S. vom 12. Juni 2014)]</w:t>
      </w:r>
    </w:p>
    <w:p w14:paraId="1580DB05" w14:textId="77777777" w:rsidR="00320AA7" w:rsidRPr="004676F5" w:rsidRDefault="00320AA7" w:rsidP="00320AA7">
      <w:pPr>
        <w:jc w:val="both"/>
        <w:rPr>
          <w:i/>
          <w:lang w:val="de-DE"/>
        </w:rPr>
      </w:pPr>
    </w:p>
    <w:p w14:paraId="0B5F1A46" w14:textId="77777777" w:rsidR="00320AA7" w:rsidRPr="004676F5" w:rsidRDefault="00320AA7" w:rsidP="00320AA7">
      <w:pPr>
        <w:jc w:val="both"/>
        <w:rPr>
          <w:i/>
          <w:lang w:val="de-DE"/>
        </w:rPr>
      </w:pPr>
    </w:p>
    <w:p w14:paraId="5A7F9F88" w14:textId="7E2B0333" w:rsidR="00320AA7" w:rsidRPr="004676F5" w:rsidRDefault="00BE0A56" w:rsidP="00320AA7">
      <w:pPr>
        <w:ind w:firstLine="708"/>
        <w:jc w:val="both"/>
        <w:rPr>
          <w:lang w:val="de-DE"/>
        </w:rPr>
      </w:pPr>
      <w:r w:rsidRPr="004676F5">
        <w:rPr>
          <w:b/>
          <w:lang w:val="de-DE"/>
        </w:rPr>
        <w:t>Art. </w:t>
      </w:r>
      <w:r w:rsidR="00320AA7" w:rsidRPr="004676F5">
        <w:rPr>
          <w:b/>
          <w:lang w:val="de-DE"/>
        </w:rPr>
        <w:t>XI.342</w:t>
      </w:r>
      <w:r w:rsidR="00320AA7" w:rsidRPr="004676F5">
        <w:rPr>
          <w:lang w:val="de-DE"/>
        </w:rPr>
        <w:t> </w:t>
      </w:r>
      <w:r w:rsidR="005B7A5C" w:rsidRPr="004676F5">
        <w:rPr>
          <w:lang w:val="de-DE"/>
        </w:rPr>
        <w:t>- </w:t>
      </w:r>
      <w:r w:rsidR="00320AA7" w:rsidRPr="004676F5">
        <w:rPr>
          <w:lang w:val="de-DE"/>
        </w:rPr>
        <w:t>§ 1 </w:t>
      </w:r>
      <w:r w:rsidR="005B7A5C" w:rsidRPr="004676F5">
        <w:rPr>
          <w:lang w:val="de-DE"/>
        </w:rPr>
        <w:t>- </w:t>
      </w:r>
      <w:r w:rsidR="003017FE" w:rsidRPr="004676F5">
        <w:rPr>
          <w:lang w:val="de-DE"/>
        </w:rPr>
        <w:t xml:space="preserve">[Die Unternehmensgerichte] </w:t>
      </w:r>
      <w:r w:rsidR="00320AA7" w:rsidRPr="004676F5">
        <w:rPr>
          <w:lang w:val="de-DE"/>
        </w:rPr>
        <w:t>erkennen über Anträge in Bezug auf die Anwendung von Titel 8, ungeachtet des Betrags, um den es im Antrag geht</w:t>
      </w:r>
      <w:r w:rsidR="003017FE" w:rsidRPr="004676F5">
        <w:rPr>
          <w:lang w:val="de-DE"/>
        </w:rPr>
        <w:t xml:space="preserve"> [...]</w:t>
      </w:r>
      <w:r w:rsidR="00320AA7" w:rsidRPr="004676F5">
        <w:rPr>
          <w:lang w:val="de-DE"/>
        </w:rPr>
        <w:t>.</w:t>
      </w:r>
    </w:p>
    <w:p w14:paraId="6D1815C5" w14:textId="77777777" w:rsidR="00320AA7" w:rsidRPr="004676F5" w:rsidRDefault="00320AA7" w:rsidP="00320AA7">
      <w:pPr>
        <w:ind w:firstLine="708"/>
        <w:jc w:val="both"/>
        <w:rPr>
          <w:lang w:val="de-DE"/>
        </w:rPr>
      </w:pPr>
    </w:p>
    <w:p w14:paraId="50081FF3" w14:textId="0D3106F6" w:rsidR="00320AA7" w:rsidRPr="004676F5" w:rsidRDefault="00320AA7" w:rsidP="00320AA7">
      <w:pPr>
        <w:ind w:firstLine="708"/>
        <w:jc w:val="both"/>
        <w:rPr>
          <w:lang w:val="de-DE"/>
        </w:rPr>
      </w:pPr>
      <w:r w:rsidRPr="004676F5">
        <w:rPr>
          <w:lang w:val="de-DE"/>
        </w:rPr>
        <w:t>§ 2 </w:t>
      </w:r>
      <w:r w:rsidR="005B7A5C" w:rsidRPr="004676F5">
        <w:rPr>
          <w:lang w:val="de-DE"/>
        </w:rPr>
        <w:t>- </w:t>
      </w:r>
      <w:r w:rsidRPr="004676F5">
        <w:rPr>
          <w:lang w:val="de-DE"/>
        </w:rPr>
        <w:t>Nur folgende Gerichte sind zuständig, um über den in § 1 erwähnten Antrag zu erkennen:</w:t>
      </w:r>
    </w:p>
    <w:p w14:paraId="62BE9101" w14:textId="77777777" w:rsidR="00320AA7" w:rsidRPr="004676F5" w:rsidRDefault="00320AA7" w:rsidP="00320AA7">
      <w:pPr>
        <w:ind w:firstLine="708"/>
        <w:jc w:val="both"/>
        <w:rPr>
          <w:lang w:val="de-DE"/>
        </w:rPr>
      </w:pPr>
    </w:p>
    <w:p w14:paraId="43CDCA80" w14:textId="77777777" w:rsidR="00320AA7" w:rsidRPr="004676F5" w:rsidRDefault="00320AA7" w:rsidP="00320AA7">
      <w:pPr>
        <w:ind w:firstLine="708"/>
        <w:jc w:val="both"/>
        <w:rPr>
          <w:lang w:val="de-DE"/>
        </w:rPr>
      </w:pPr>
      <w:r w:rsidRPr="004676F5">
        <w:rPr>
          <w:lang w:val="de-DE"/>
        </w:rPr>
        <w:t>1. das am Sitz des Appellationshofes ansässige Gericht, in dessen Bereich der Verstoß begangen worden ist, oder, nach Wahl des Klägers, das am Sitz des Appellationshofes ansässige Gericht, in dessen Bereich der Beklagte oder einer der Beklagten seinen Wohnsitz oder seinen Wohnort hat,</w:t>
      </w:r>
    </w:p>
    <w:p w14:paraId="48DE62FF" w14:textId="77777777" w:rsidR="00320AA7" w:rsidRPr="004676F5" w:rsidRDefault="00320AA7" w:rsidP="00320AA7">
      <w:pPr>
        <w:ind w:firstLine="708"/>
        <w:jc w:val="both"/>
        <w:rPr>
          <w:lang w:val="de-DE"/>
        </w:rPr>
      </w:pPr>
    </w:p>
    <w:p w14:paraId="1688A9F4" w14:textId="77777777" w:rsidR="00320AA7" w:rsidRPr="004676F5" w:rsidRDefault="00320AA7" w:rsidP="00320AA7">
      <w:pPr>
        <w:ind w:firstLine="708"/>
        <w:jc w:val="both"/>
        <w:rPr>
          <w:lang w:val="de-DE"/>
        </w:rPr>
      </w:pPr>
      <w:r w:rsidRPr="004676F5">
        <w:rPr>
          <w:lang w:val="de-DE"/>
        </w:rPr>
        <w:t>2. das am Sitz des Appellationshofes ansässige Gericht, in dessen Bereich der Kläger seinen Wohnsitz oder seinen Wohnort hat, wenn der Beklagte oder einer der Beklagten keinen Wohnsitz oder Wohnort im Königreich hat.</w:t>
      </w:r>
    </w:p>
    <w:p w14:paraId="13ECBCE7" w14:textId="77777777" w:rsidR="00320AA7" w:rsidRPr="004676F5" w:rsidRDefault="00320AA7" w:rsidP="00320AA7">
      <w:pPr>
        <w:ind w:firstLine="708"/>
        <w:jc w:val="both"/>
        <w:rPr>
          <w:lang w:val="de-DE"/>
        </w:rPr>
      </w:pPr>
    </w:p>
    <w:p w14:paraId="7C17936D" w14:textId="5F0CCF8B" w:rsidR="00320AA7" w:rsidRPr="004676F5" w:rsidRDefault="00320AA7" w:rsidP="00320AA7">
      <w:pPr>
        <w:ind w:firstLine="708"/>
        <w:jc w:val="both"/>
        <w:rPr>
          <w:lang w:val="de-DE"/>
        </w:rPr>
      </w:pPr>
      <w:r w:rsidRPr="004676F5">
        <w:rPr>
          <w:lang w:val="de-DE"/>
        </w:rPr>
        <w:t>§ 3 </w:t>
      </w:r>
      <w:r w:rsidR="005B7A5C" w:rsidRPr="004676F5">
        <w:rPr>
          <w:lang w:val="de-DE"/>
        </w:rPr>
        <w:t>- </w:t>
      </w:r>
      <w:r w:rsidRPr="004676F5">
        <w:rPr>
          <w:lang w:val="de-DE"/>
        </w:rPr>
        <w:t>Vor oder nach Entstehung einer Streitsache getroffene Vereinbarungen, die im Widerspruch zu den Bestimmungen der Paragraphen 1 und 2 des vorliegenden Artikels stehen, sind von Rechts wegen nichtig.</w:t>
      </w:r>
    </w:p>
    <w:p w14:paraId="2F7FAE91" w14:textId="77777777" w:rsidR="00320AA7" w:rsidRPr="004676F5" w:rsidRDefault="00320AA7" w:rsidP="00320AA7">
      <w:pPr>
        <w:ind w:firstLine="708"/>
        <w:jc w:val="both"/>
        <w:rPr>
          <w:lang w:val="de-DE"/>
        </w:rPr>
      </w:pPr>
    </w:p>
    <w:p w14:paraId="5058AECA" w14:textId="22B65EBC" w:rsidR="00320AA7" w:rsidRPr="004676F5" w:rsidRDefault="00320AA7" w:rsidP="00320AA7">
      <w:pPr>
        <w:ind w:firstLine="708"/>
        <w:jc w:val="both"/>
        <w:rPr>
          <w:lang w:val="de-DE"/>
        </w:rPr>
      </w:pPr>
      <w:r w:rsidRPr="004676F5">
        <w:rPr>
          <w:lang w:val="de-DE"/>
        </w:rPr>
        <w:t>Die Bestimmung von Absatz 1 steht jedoch der Vorlage der in vorliegendem Artikel erwähnten Streitsache zur Schiedsentscheidung nicht im Wege. In Abweichung von Arti</w:t>
      </w:r>
      <w:r w:rsidRPr="004676F5">
        <w:rPr>
          <w:lang w:val="de-DE"/>
        </w:rPr>
        <w:softHyphen/>
        <w:t>kel 630 Absatz 2 des Gerichtsgesetzbuches bestimmen die Parteien den Ort der Schieds</w:t>
      </w:r>
      <w:r w:rsidRPr="004676F5">
        <w:rPr>
          <w:lang w:val="de-DE"/>
        </w:rPr>
        <w:softHyphen/>
        <w:t>ent</w:t>
      </w:r>
      <w:r w:rsidRPr="004676F5">
        <w:rPr>
          <w:lang w:val="de-DE"/>
        </w:rPr>
        <w:softHyphen/>
        <w:t>scheidung.]</w:t>
      </w:r>
    </w:p>
    <w:p w14:paraId="495D0E77" w14:textId="1200BF9A" w:rsidR="003017FE" w:rsidRPr="004676F5" w:rsidRDefault="003017FE" w:rsidP="00320AA7">
      <w:pPr>
        <w:ind w:firstLine="708"/>
        <w:jc w:val="both"/>
        <w:rPr>
          <w:lang w:val="de-DE"/>
        </w:rPr>
      </w:pPr>
    </w:p>
    <w:p w14:paraId="41C33EA7" w14:textId="0BE8FA17" w:rsidR="003017FE" w:rsidRPr="004676F5" w:rsidRDefault="003017FE" w:rsidP="003017FE">
      <w:pPr>
        <w:jc w:val="both"/>
        <w:rPr>
          <w:i/>
          <w:lang w:val="de-DE"/>
        </w:rPr>
      </w:pPr>
      <w:r w:rsidRPr="004676F5">
        <w:rPr>
          <w:i/>
          <w:lang w:val="de-DE"/>
        </w:rPr>
        <w:t>[Art. XI.342 § 1 abgeändert durch Art. 197 des G. vom 15. April 2018 (B.S. vom 27. April 2018)]</w:t>
      </w:r>
    </w:p>
    <w:p w14:paraId="75366B79" w14:textId="77777777" w:rsidR="00320AA7" w:rsidRPr="004676F5" w:rsidRDefault="00320AA7" w:rsidP="00320AA7">
      <w:pPr>
        <w:ind w:firstLine="708"/>
        <w:jc w:val="both"/>
        <w:rPr>
          <w:lang w:val="de-DE"/>
        </w:rPr>
      </w:pPr>
    </w:p>
    <w:p w14:paraId="43C5F6F8" w14:textId="56491388" w:rsidR="00995E3D" w:rsidRPr="004676F5" w:rsidRDefault="00995E3D">
      <w:pPr>
        <w:rPr>
          <w:lang w:val="de-DE"/>
        </w:rPr>
      </w:pPr>
      <w:r w:rsidRPr="004676F5">
        <w:rPr>
          <w:lang w:val="de-DE"/>
        </w:rPr>
        <w:br w:type="page"/>
      </w:r>
    </w:p>
    <w:p w14:paraId="4C7F2D69" w14:textId="7FF9B028" w:rsidR="00320AA7" w:rsidRPr="004676F5" w:rsidRDefault="00995E3D" w:rsidP="00995E3D">
      <w:pPr>
        <w:jc w:val="center"/>
        <w:rPr>
          <w:lang w:val="de-DE"/>
        </w:rPr>
      </w:pPr>
      <w:r w:rsidRPr="004676F5">
        <w:rPr>
          <w:lang w:val="de-DE"/>
        </w:rPr>
        <w:lastRenderedPageBreak/>
        <w:t>[KAPITEL 4/1 </w:t>
      </w:r>
      <w:r w:rsidR="005B7A5C" w:rsidRPr="004676F5">
        <w:rPr>
          <w:lang w:val="de-DE"/>
        </w:rPr>
        <w:t>- </w:t>
      </w:r>
      <w:r w:rsidRPr="004676F5">
        <w:rPr>
          <w:i/>
          <w:iCs/>
          <w:lang w:val="de-DE"/>
        </w:rPr>
        <w:t>Zuständigkeit und Verfahrensbestimmungen im Bereich der Geschäftsgeheimnisse</w:t>
      </w:r>
      <w:r w:rsidRPr="004676F5">
        <w:rPr>
          <w:lang w:val="de-DE"/>
        </w:rPr>
        <w:t>]</w:t>
      </w:r>
    </w:p>
    <w:p w14:paraId="1EFFCF4D" w14:textId="56C06E76" w:rsidR="00995E3D" w:rsidRPr="004676F5" w:rsidRDefault="00995E3D" w:rsidP="00995E3D">
      <w:pPr>
        <w:jc w:val="center"/>
        <w:rPr>
          <w:lang w:val="de-DE"/>
        </w:rPr>
      </w:pPr>
    </w:p>
    <w:p w14:paraId="1DC55B08" w14:textId="66B2C580" w:rsidR="00995E3D" w:rsidRPr="004676F5" w:rsidRDefault="00995E3D" w:rsidP="00995E3D">
      <w:pPr>
        <w:jc w:val="both"/>
        <w:rPr>
          <w:i/>
          <w:iCs/>
          <w:lang w:val="de-DE"/>
        </w:rPr>
      </w:pPr>
      <w:r w:rsidRPr="004676F5">
        <w:rPr>
          <w:i/>
          <w:iCs/>
          <w:lang w:val="de-DE"/>
        </w:rPr>
        <w:t>[Unterteilung Kapitel 4/1 eingefügt durch Art. 20</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r w:rsidRPr="004676F5">
        <w:rPr>
          <w:i/>
          <w:iCs/>
          <w:lang w:val="de-DE"/>
        </w:rPr>
        <w:t>]</w:t>
      </w:r>
    </w:p>
    <w:p w14:paraId="2F5A90E1" w14:textId="77777777" w:rsidR="00995E3D" w:rsidRPr="004676F5" w:rsidRDefault="00995E3D" w:rsidP="00995E3D">
      <w:pPr>
        <w:jc w:val="center"/>
        <w:rPr>
          <w:lang w:val="de-DE"/>
        </w:rPr>
      </w:pPr>
    </w:p>
    <w:p w14:paraId="31AB5A8C" w14:textId="77777777" w:rsidR="00995E3D" w:rsidRPr="004676F5" w:rsidRDefault="00995E3D">
      <w:pPr>
        <w:rPr>
          <w:lang w:val="de-DE"/>
        </w:rPr>
      </w:pPr>
    </w:p>
    <w:p w14:paraId="6D7BF958" w14:textId="7444C3FB" w:rsidR="00995E3D" w:rsidRPr="004676F5" w:rsidRDefault="00995E3D" w:rsidP="00995E3D">
      <w:pPr>
        <w:ind w:firstLine="708"/>
        <w:jc w:val="both"/>
        <w:rPr>
          <w:lang w:val="de-DE"/>
        </w:rPr>
      </w:pPr>
      <w:r w:rsidRPr="004676F5">
        <w:rPr>
          <w:lang w:val="de-DE"/>
        </w:rPr>
        <w:t>[</w:t>
      </w:r>
      <w:r w:rsidRPr="004676F5">
        <w:rPr>
          <w:b/>
          <w:bCs/>
          <w:lang w:val="de-DE"/>
        </w:rPr>
        <w:t>Art. XI.342/1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Zuständigkeiten des Arbeitsgerichts erkennt das Handelsgericht über Anträge in Bezug auf den rechtswidrigen Erwerb oder die rechtswidrige Nutzung oder Offenlegung eines Geschäftsgeheimnisses, ungeachtet des Betrags, um den es im Antrag geht, auch wenn die Parteien keine Unternehmen sind.</w:t>
      </w:r>
    </w:p>
    <w:p w14:paraId="48198E18" w14:textId="77777777" w:rsidR="00995E3D" w:rsidRPr="004676F5" w:rsidRDefault="00995E3D" w:rsidP="00995E3D">
      <w:pPr>
        <w:ind w:firstLine="708"/>
        <w:jc w:val="both"/>
        <w:rPr>
          <w:lang w:val="de-DE"/>
        </w:rPr>
      </w:pPr>
    </w:p>
    <w:p w14:paraId="176D0291" w14:textId="0A732F22" w:rsidR="00995E3D" w:rsidRPr="004676F5" w:rsidRDefault="00995E3D" w:rsidP="00995E3D">
      <w:pPr>
        <w:ind w:firstLine="708"/>
        <w:jc w:val="both"/>
        <w:rPr>
          <w:lang w:val="de-DE"/>
        </w:rPr>
      </w:pPr>
      <w:r w:rsidRPr="004676F5">
        <w:rPr>
          <w:lang w:val="de-DE"/>
        </w:rPr>
        <w:t>§ 2 </w:t>
      </w:r>
      <w:r w:rsidR="005B7A5C" w:rsidRPr="004676F5">
        <w:rPr>
          <w:lang w:val="de-DE"/>
        </w:rPr>
        <w:t>- </w:t>
      </w:r>
      <w:r w:rsidRPr="004676F5">
        <w:rPr>
          <w:lang w:val="de-DE"/>
        </w:rPr>
        <w:t>Nur folgende Gerichte sind zuständig, um über den in § 1 erwähnten Antrag zu erkennen:</w:t>
      </w:r>
    </w:p>
    <w:p w14:paraId="4C0831F7" w14:textId="77777777" w:rsidR="00995E3D" w:rsidRPr="004676F5" w:rsidRDefault="00995E3D" w:rsidP="00995E3D">
      <w:pPr>
        <w:ind w:firstLine="708"/>
        <w:jc w:val="both"/>
        <w:rPr>
          <w:lang w:val="de-DE"/>
        </w:rPr>
      </w:pPr>
    </w:p>
    <w:p w14:paraId="7171C0E5" w14:textId="77777777" w:rsidR="00995E3D" w:rsidRPr="004676F5" w:rsidRDefault="00995E3D" w:rsidP="00995E3D">
      <w:pPr>
        <w:ind w:firstLine="708"/>
        <w:jc w:val="both"/>
        <w:rPr>
          <w:lang w:val="de-DE"/>
        </w:rPr>
      </w:pPr>
      <w:r w:rsidRPr="004676F5">
        <w:rPr>
          <w:lang w:val="de-DE"/>
        </w:rPr>
        <w:t>1. das am Sitz des Appellationshofes ansässige Gericht, in dessen Bereich der rechtswidrige Erwerb oder die rechtswidrige Nutzung oder Offenlegung begangen worden ist, oder, nach Wahl des Klägers, das am Sitz des Appellationshofes ansässige Gericht, in dessen Bereich der Beklagte oder einer der Beklagten seinen Wohnsitz oder seinen Wohnort hat,</w:t>
      </w:r>
    </w:p>
    <w:p w14:paraId="34020E2C" w14:textId="77777777" w:rsidR="00995E3D" w:rsidRPr="004676F5" w:rsidRDefault="00995E3D" w:rsidP="00995E3D">
      <w:pPr>
        <w:ind w:firstLine="708"/>
        <w:jc w:val="both"/>
        <w:rPr>
          <w:lang w:val="de-DE"/>
        </w:rPr>
      </w:pPr>
    </w:p>
    <w:p w14:paraId="4DE686EC" w14:textId="77777777" w:rsidR="00995E3D" w:rsidRPr="004676F5" w:rsidRDefault="00995E3D" w:rsidP="00995E3D">
      <w:pPr>
        <w:ind w:firstLine="708"/>
        <w:jc w:val="both"/>
        <w:rPr>
          <w:lang w:val="de-DE"/>
        </w:rPr>
      </w:pPr>
      <w:r w:rsidRPr="004676F5">
        <w:rPr>
          <w:lang w:val="de-DE"/>
        </w:rPr>
        <w:t>2. das am Sitz des Appellationshofes ansässige Gericht, in dessen Bereich der Kläger seinen Wohnsitz oder seinen Wohnort hat, wenn der Beklagte oder einer der Beklagten keinen Wohnsitz oder Wohnort im Königreich hat.</w:t>
      </w:r>
    </w:p>
    <w:p w14:paraId="1FD2FCE1" w14:textId="77777777" w:rsidR="00995E3D" w:rsidRPr="004676F5" w:rsidRDefault="00995E3D" w:rsidP="00995E3D">
      <w:pPr>
        <w:ind w:firstLine="708"/>
        <w:jc w:val="both"/>
        <w:rPr>
          <w:lang w:val="de-DE"/>
        </w:rPr>
      </w:pPr>
    </w:p>
    <w:p w14:paraId="7C3C01DA" w14:textId="6344640F" w:rsidR="00995E3D" w:rsidRPr="004676F5" w:rsidRDefault="00995E3D" w:rsidP="00995E3D">
      <w:pPr>
        <w:ind w:firstLine="708"/>
        <w:jc w:val="both"/>
        <w:rPr>
          <w:lang w:val="de-DE"/>
        </w:rPr>
      </w:pPr>
      <w:r w:rsidRPr="004676F5">
        <w:rPr>
          <w:lang w:val="de-DE"/>
        </w:rPr>
        <w:t>§ 3 </w:t>
      </w:r>
      <w:r w:rsidR="005B7A5C" w:rsidRPr="004676F5">
        <w:rPr>
          <w:lang w:val="de-DE"/>
        </w:rPr>
        <w:t>- </w:t>
      </w:r>
      <w:r w:rsidRPr="004676F5">
        <w:rPr>
          <w:lang w:val="de-DE"/>
        </w:rPr>
        <w:t>Von Rechts wegen nichtig sind Vereinbarungen, die im Widerspruch zu den Bestimmungen der Paragraphen 1 und 2 stehen.</w:t>
      </w:r>
    </w:p>
    <w:p w14:paraId="251FF84A" w14:textId="77777777" w:rsidR="00995E3D" w:rsidRPr="004676F5" w:rsidRDefault="00995E3D" w:rsidP="00995E3D">
      <w:pPr>
        <w:ind w:firstLine="708"/>
        <w:jc w:val="both"/>
        <w:rPr>
          <w:lang w:val="de-DE"/>
        </w:rPr>
      </w:pPr>
    </w:p>
    <w:p w14:paraId="5684FE88" w14:textId="155E49B8" w:rsidR="00995E3D" w:rsidRPr="004676F5" w:rsidRDefault="00995E3D" w:rsidP="00995E3D">
      <w:pPr>
        <w:ind w:firstLine="708"/>
        <w:jc w:val="both"/>
        <w:rPr>
          <w:lang w:val="de-DE"/>
        </w:rPr>
      </w:pPr>
      <w:r w:rsidRPr="004676F5">
        <w:rPr>
          <w:lang w:val="de-DE"/>
        </w:rPr>
        <w:t>Die Bestimmungen des vorliegenden Artikels verhindern jedoch nicht, dass Streitfälle in Bezug auf den rechtswidrigen Erwerb oder die rechtwidrige Nutzung oder Offenlegung eines Geschäftsgeheimnisses vor ein Schiedsgericht gebracht werden.]</w:t>
      </w:r>
    </w:p>
    <w:p w14:paraId="5D3EDE5A" w14:textId="4FE4F99D" w:rsidR="00995E3D" w:rsidRPr="004676F5" w:rsidRDefault="00995E3D" w:rsidP="00995E3D">
      <w:pPr>
        <w:ind w:firstLine="708"/>
        <w:jc w:val="both"/>
        <w:rPr>
          <w:lang w:val="de-DE"/>
        </w:rPr>
      </w:pPr>
    </w:p>
    <w:p w14:paraId="0E9B2C79" w14:textId="5D9A5BB0" w:rsidR="00995E3D" w:rsidRPr="004676F5" w:rsidRDefault="00995E3D" w:rsidP="00995E3D">
      <w:pPr>
        <w:jc w:val="both"/>
        <w:rPr>
          <w:i/>
          <w:iCs/>
          <w:lang w:val="de-DE"/>
        </w:rPr>
      </w:pPr>
      <w:r w:rsidRPr="004676F5">
        <w:rPr>
          <w:i/>
          <w:iCs/>
          <w:lang w:val="de-DE"/>
        </w:rPr>
        <w:t>[Art. XI.342/1 eingefügt durch Art. 21</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1E48CA7D" w14:textId="77777777" w:rsidR="00995E3D" w:rsidRPr="004676F5" w:rsidRDefault="00995E3D" w:rsidP="00995E3D">
      <w:pPr>
        <w:ind w:firstLine="708"/>
        <w:jc w:val="both"/>
        <w:rPr>
          <w:lang w:val="de-DE"/>
        </w:rPr>
      </w:pPr>
    </w:p>
    <w:p w14:paraId="47258478" w14:textId="77777777" w:rsidR="00995E3D" w:rsidRPr="004676F5" w:rsidRDefault="00995E3D" w:rsidP="00995E3D">
      <w:pPr>
        <w:ind w:firstLine="708"/>
        <w:jc w:val="both"/>
        <w:rPr>
          <w:lang w:val="de-DE"/>
        </w:rPr>
      </w:pPr>
    </w:p>
    <w:p w14:paraId="19575900" w14:textId="38773A0E" w:rsidR="00995E3D" w:rsidRPr="004676F5" w:rsidRDefault="00995E3D" w:rsidP="00995E3D">
      <w:pPr>
        <w:ind w:firstLine="708"/>
        <w:jc w:val="both"/>
        <w:rPr>
          <w:lang w:val="de-DE"/>
        </w:rPr>
      </w:pPr>
      <w:r w:rsidRPr="004676F5">
        <w:rPr>
          <w:lang w:val="de-DE"/>
        </w:rPr>
        <w:t>[</w:t>
      </w:r>
      <w:r w:rsidRPr="004676F5">
        <w:rPr>
          <w:b/>
          <w:bCs/>
          <w:lang w:val="de-DE"/>
        </w:rPr>
        <w:t>Art. XI.342/2</w:t>
      </w:r>
      <w:r w:rsidRPr="004676F5">
        <w:rPr>
          <w:lang w:val="de-DE"/>
        </w:rPr>
        <w:t> </w:t>
      </w:r>
      <w:r w:rsidR="005B7A5C" w:rsidRPr="004676F5">
        <w:rPr>
          <w:lang w:val="de-DE"/>
        </w:rPr>
        <w:t>- </w:t>
      </w:r>
      <w:r w:rsidRPr="004676F5">
        <w:rPr>
          <w:lang w:val="de-DE"/>
        </w:rPr>
        <w:t>Unbeschadet des Artikels 15 des Gesetzes vom 3. Juli 1978 über die Arbeitsverträge und des Artikels XVII.5 verjähren Klagen in Bezug auf Geschäftsgeheimnisse in fünf Jahren.</w:t>
      </w:r>
    </w:p>
    <w:p w14:paraId="46FE1D4E" w14:textId="77777777" w:rsidR="00995E3D" w:rsidRPr="004676F5" w:rsidRDefault="00995E3D" w:rsidP="00995E3D">
      <w:pPr>
        <w:jc w:val="both"/>
        <w:rPr>
          <w:lang w:val="de-DE"/>
        </w:rPr>
      </w:pPr>
    </w:p>
    <w:p w14:paraId="1DB71E0B" w14:textId="77777777" w:rsidR="00995E3D" w:rsidRPr="004676F5" w:rsidRDefault="00995E3D" w:rsidP="00995E3D">
      <w:pPr>
        <w:ind w:firstLine="708"/>
        <w:jc w:val="both"/>
        <w:rPr>
          <w:lang w:val="de-DE"/>
        </w:rPr>
      </w:pPr>
      <w:r w:rsidRPr="004676F5">
        <w:rPr>
          <w:lang w:val="de-DE"/>
        </w:rPr>
        <w:t>Diese Verjährungsfrist beginnt mit dem Tag, der auf den Tag folgt, an dem der Kläger Kenntnis erlangt:</w:t>
      </w:r>
    </w:p>
    <w:p w14:paraId="15084445" w14:textId="77777777" w:rsidR="00995E3D" w:rsidRPr="004676F5" w:rsidRDefault="00995E3D" w:rsidP="00995E3D">
      <w:pPr>
        <w:ind w:firstLine="708"/>
        <w:jc w:val="both"/>
        <w:rPr>
          <w:lang w:val="de-DE"/>
        </w:rPr>
      </w:pPr>
    </w:p>
    <w:p w14:paraId="792FCE59" w14:textId="77777777" w:rsidR="00995E3D" w:rsidRPr="004676F5" w:rsidRDefault="00995E3D" w:rsidP="00995E3D">
      <w:pPr>
        <w:ind w:firstLine="708"/>
        <w:jc w:val="both"/>
        <w:rPr>
          <w:lang w:val="de-DE"/>
        </w:rPr>
      </w:pPr>
      <w:r w:rsidRPr="004676F5">
        <w:rPr>
          <w:lang w:val="de-DE"/>
        </w:rPr>
        <w:t>1. des Verhaltens und der Tatsache, dass dieses Verhalten einen rechtswidrigen Erwerb oder eine rechtswidrige Nutzung oder Offenlegung eines Geschäftsgeheimnisses darstellt, und</w:t>
      </w:r>
    </w:p>
    <w:p w14:paraId="3A0C30E2" w14:textId="77777777" w:rsidR="00995E3D" w:rsidRPr="004676F5" w:rsidRDefault="00995E3D" w:rsidP="00995E3D">
      <w:pPr>
        <w:ind w:firstLine="708"/>
        <w:jc w:val="both"/>
        <w:rPr>
          <w:lang w:val="de-DE"/>
        </w:rPr>
      </w:pPr>
    </w:p>
    <w:p w14:paraId="00BC0E05" w14:textId="77777777" w:rsidR="00995E3D" w:rsidRPr="004676F5" w:rsidRDefault="00995E3D" w:rsidP="00995E3D">
      <w:pPr>
        <w:ind w:firstLine="708"/>
        <w:jc w:val="both"/>
        <w:rPr>
          <w:lang w:val="de-DE"/>
        </w:rPr>
      </w:pPr>
      <w:r w:rsidRPr="004676F5">
        <w:rPr>
          <w:lang w:val="de-DE"/>
        </w:rPr>
        <w:t>2. der Identität des Rechtsverletzers.</w:t>
      </w:r>
    </w:p>
    <w:p w14:paraId="497286F8" w14:textId="77777777" w:rsidR="00995E3D" w:rsidRPr="004676F5" w:rsidRDefault="00995E3D" w:rsidP="00995E3D">
      <w:pPr>
        <w:ind w:firstLine="708"/>
        <w:jc w:val="both"/>
        <w:rPr>
          <w:lang w:val="de-DE"/>
        </w:rPr>
      </w:pPr>
    </w:p>
    <w:p w14:paraId="49B0B7EE" w14:textId="0FB2A5FC" w:rsidR="00995E3D" w:rsidRPr="004676F5" w:rsidRDefault="00995E3D" w:rsidP="00995E3D">
      <w:pPr>
        <w:ind w:firstLine="708"/>
        <w:jc w:val="both"/>
        <w:rPr>
          <w:lang w:val="de-DE"/>
        </w:rPr>
      </w:pPr>
      <w:r w:rsidRPr="004676F5">
        <w:rPr>
          <w:lang w:val="de-DE"/>
        </w:rPr>
        <w:t>In Absatz 1 erwähnte Klagen verjähren in jedem Fall in zwanzig Jahren ab dem Tag, der auf den Tag folgt, an dem der rechtswidrige Erwerb oder die rechtswidrige Nutzung oder Offenlegung erfolgt ist.]</w:t>
      </w:r>
    </w:p>
    <w:p w14:paraId="53965E22" w14:textId="4AA610EC" w:rsidR="00995E3D" w:rsidRPr="004676F5" w:rsidRDefault="00995E3D" w:rsidP="00995E3D">
      <w:pPr>
        <w:ind w:firstLine="708"/>
        <w:jc w:val="both"/>
        <w:rPr>
          <w:lang w:val="de-DE"/>
        </w:rPr>
      </w:pPr>
    </w:p>
    <w:p w14:paraId="3B96C2E3" w14:textId="0F458816" w:rsidR="00995E3D" w:rsidRPr="004676F5" w:rsidRDefault="00995E3D" w:rsidP="00995E3D">
      <w:pPr>
        <w:jc w:val="both"/>
        <w:rPr>
          <w:i/>
          <w:iCs/>
          <w:lang w:val="de-DE"/>
        </w:rPr>
      </w:pPr>
      <w:r w:rsidRPr="004676F5">
        <w:rPr>
          <w:i/>
          <w:iCs/>
          <w:lang w:val="de-DE"/>
        </w:rPr>
        <w:t>[Art. XI.342/2 eingefügt durch Art. 22</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5FE40E04" w14:textId="77777777" w:rsidR="00995E3D" w:rsidRPr="004676F5" w:rsidRDefault="00995E3D" w:rsidP="00995E3D">
      <w:pPr>
        <w:ind w:firstLine="708"/>
        <w:jc w:val="both"/>
        <w:rPr>
          <w:lang w:val="de-DE"/>
        </w:rPr>
      </w:pPr>
    </w:p>
    <w:p w14:paraId="1B8CF09E" w14:textId="77777777" w:rsidR="00995E3D" w:rsidRPr="004676F5" w:rsidRDefault="00995E3D" w:rsidP="00995E3D">
      <w:pPr>
        <w:ind w:firstLine="708"/>
        <w:jc w:val="both"/>
        <w:rPr>
          <w:lang w:val="de-DE"/>
        </w:rPr>
      </w:pPr>
    </w:p>
    <w:p w14:paraId="0E23D33E" w14:textId="194DA317" w:rsidR="00995E3D" w:rsidRPr="004676F5" w:rsidRDefault="00995E3D" w:rsidP="00995E3D">
      <w:pPr>
        <w:ind w:firstLine="708"/>
        <w:jc w:val="both"/>
        <w:rPr>
          <w:lang w:val="de-DE"/>
        </w:rPr>
      </w:pPr>
      <w:r w:rsidRPr="004676F5">
        <w:rPr>
          <w:lang w:val="de-DE"/>
        </w:rPr>
        <w:t>[</w:t>
      </w:r>
      <w:r w:rsidRPr="004676F5">
        <w:rPr>
          <w:b/>
          <w:bCs/>
          <w:lang w:val="de-DE"/>
        </w:rPr>
        <w:t>Art. XI.342/3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Im Rahmen von Gerichtsverfahren infolge eines rechtswidrigen Erwerbs oder einer rechtswidrigen Nutzung oder Offenlegung eines Geschäftsgeheimnisses kann der Richter auf Antrag des Klägers anordnen, dass auf Kosten des Rechtsverletzers seine Entscheidung oder die von ihm erstellte Zusammenfassung während des von ihm festgelegten Zeitraums sowohl außerhalb als auch innerhalb der Niederlassungen des Rechtsverletzers angeschlagen wird und dass sein Urteil oder dessen Zusammenfassung in Zeitungen oder sonst irgendwie veröffentlicht wird.</w:t>
      </w:r>
    </w:p>
    <w:p w14:paraId="0F6BA1A1" w14:textId="77777777" w:rsidR="00995E3D" w:rsidRPr="004676F5" w:rsidRDefault="00995E3D" w:rsidP="00995E3D">
      <w:pPr>
        <w:ind w:firstLine="708"/>
        <w:jc w:val="both"/>
        <w:rPr>
          <w:lang w:val="de-DE"/>
        </w:rPr>
      </w:pPr>
    </w:p>
    <w:p w14:paraId="2F24687E" w14:textId="77777777" w:rsidR="00995E3D" w:rsidRPr="004676F5" w:rsidRDefault="00995E3D" w:rsidP="00995E3D">
      <w:pPr>
        <w:ind w:firstLine="708"/>
        <w:jc w:val="both"/>
        <w:rPr>
          <w:lang w:val="de-DE"/>
        </w:rPr>
      </w:pPr>
      <w:r w:rsidRPr="004676F5">
        <w:rPr>
          <w:lang w:val="de-DE"/>
        </w:rPr>
        <w:t>Die in Absatz 1 erwähnten Maßnahmen erfolgen unter Einhaltung der Bestimmungen über die Vertraulichkeit von Geschäftsgeheimnissen wie in Artikel 871</w:t>
      </w:r>
      <w:r w:rsidRPr="004676F5">
        <w:rPr>
          <w:i/>
          <w:iCs/>
          <w:lang w:val="de-DE"/>
        </w:rPr>
        <w:t>bis</w:t>
      </w:r>
      <w:r w:rsidRPr="004676F5">
        <w:rPr>
          <w:lang w:val="de-DE"/>
        </w:rPr>
        <w:t xml:space="preserve"> des Gerichtsgesetz</w:t>
      </w:r>
      <w:r w:rsidRPr="004676F5">
        <w:rPr>
          <w:lang w:val="de-DE"/>
        </w:rPr>
        <w:softHyphen/>
        <w:t>buches festgelegt.</w:t>
      </w:r>
    </w:p>
    <w:p w14:paraId="22C97CCC" w14:textId="77777777" w:rsidR="00995E3D" w:rsidRPr="004676F5" w:rsidRDefault="00995E3D" w:rsidP="00995E3D">
      <w:pPr>
        <w:ind w:firstLine="708"/>
        <w:jc w:val="both"/>
        <w:rPr>
          <w:lang w:val="de-DE"/>
        </w:rPr>
      </w:pPr>
    </w:p>
    <w:p w14:paraId="26C55B7A" w14:textId="21EB2805" w:rsidR="00995E3D" w:rsidRPr="004676F5" w:rsidRDefault="00995E3D" w:rsidP="00995E3D">
      <w:pPr>
        <w:ind w:firstLine="708"/>
        <w:jc w:val="both"/>
        <w:rPr>
          <w:lang w:val="de-DE"/>
        </w:rPr>
      </w:pPr>
      <w:r w:rsidRPr="004676F5">
        <w:rPr>
          <w:lang w:val="de-DE"/>
        </w:rPr>
        <w:t>§ 2 </w:t>
      </w:r>
      <w:r w:rsidR="005B7A5C" w:rsidRPr="004676F5">
        <w:rPr>
          <w:lang w:val="de-DE"/>
        </w:rPr>
        <w:t>- </w:t>
      </w:r>
      <w:r w:rsidRPr="004676F5">
        <w:rPr>
          <w:lang w:val="de-DE"/>
        </w:rPr>
        <w:t>Bei der Entscheidung, ob der Richter eine Maßnahme gemäß § 1 anordnet, und bei der Bewertung ihrer Verhältnismäßigkeit berücksichtigt der Richter gegebenenfalls den Wert des Geschäftsgeheimnisses, das Verhalten des Rechtsverletzers bei Erwerb, Nutzung oder Offenlegung des Geschäftsgeheimnisses, die Folgen der rechtswidrigen Nutzung oder Offen</w:t>
      </w:r>
      <w:r w:rsidRPr="004676F5">
        <w:rPr>
          <w:lang w:val="de-DE"/>
        </w:rPr>
        <w:softHyphen/>
        <w:t>legung des Geschäftsgeheimnisses und die Wahrscheinlichkeit einer weiteren rechtswidrigen Nutzung oder Offenlegung des Geschäftsgeheimnisses durch den Rechtsverletzer.</w:t>
      </w:r>
    </w:p>
    <w:p w14:paraId="7C532817" w14:textId="77777777" w:rsidR="00995E3D" w:rsidRPr="004676F5" w:rsidRDefault="00995E3D" w:rsidP="00995E3D">
      <w:pPr>
        <w:ind w:firstLine="708"/>
        <w:jc w:val="both"/>
        <w:rPr>
          <w:lang w:val="de-DE"/>
        </w:rPr>
      </w:pPr>
    </w:p>
    <w:p w14:paraId="2D68E722" w14:textId="77777777" w:rsidR="00995E3D" w:rsidRPr="004676F5" w:rsidRDefault="00995E3D" w:rsidP="00995E3D">
      <w:pPr>
        <w:jc w:val="both"/>
        <w:rPr>
          <w:lang w:val="de-DE"/>
        </w:rPr>
      </w:pPr>
      <w:r w:rsidRPr="004676F5">
        <w:rPr>
          <w:lang w:val="de-DE"/>
        </w:rPr>
        <w:tab/>
        <w:t>Der Richter berücksichtigt auch, ob die Informationen über den Rechtsverletzer die Identifizierung einer natürlichen Person ermöglichen würden und, falls ja, ob die Veröffentlichung dieser Informationen gerechtfertigt wäre, insbesondere angesichts des etwaigen Schadens, den eine solche Maßnahme der Privatsphäre und dem Ruf des Rechtsverletzers zufügen kann.]</w:t>
      </w:r>
    </w:p>
    <w:p w14:paraId="08C1A847" w14:textId="77777777" w:rsidR="00995E3D" w:rsidRPr="004676F5" w:rsidRDefault="00995E3D" w:rsidP="00995E3D">
      <w:pPr>
        <w:jc w:val="both"/>
        <w:rPr>
          <w:lang w:val="de-DE"/>
        </w:rPr>
      </w:pPr>
    </w:p>
    <w:p w14:paraId="750E7169" w14:textId="70C79677" w:rsidR="00995E3D" w:rsidRPr="004676F5" w:rsidRDefault="00995E3D" w:rsidP="00995E3D">
      <w:pPr>
        <w:jc w:val="both"/>
        <w:rPr>
          <w:i/>
          <w:iCs/>
          <w:lang w:val="de-DE"/>
        </w:rPr>
      </w:pPr>
      <w:r w:rsidRPr="004676F5">
        <w:rPr>
          <w:i/>
          <w:iCs/>
          <w:lang w:val="de-DE"/>
        </w:rPr>
        <w:t>[Art. XI.342/3 eingefügt durch Art. 2</w:t>
      </w:r>
      <w:r w:rsidR="00BF1930" w:rsidRPr="004676F5">
        <w:rPr>
          <w:i/>
          <w:iCs/>
          <w:lang w:val="de-DE"/>
        </w:rPr>
        <w:t>3</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1CA0653B" w14:textId="2C77BE06" w:rsidR="00320AA7" w:rsidRPr="004676F5" w:rsidRDefault="00320AA7" w:rsidP="00995E3D">
      <w:pPr>
        <w:jc w:val="both"/>
        <w:rPr>
          <w:lang w:val="de-DE"/>
        </w:rPr>
      </w:pPr>
      <w:r w:rsidRPr="004676F5">
        <w:rPr>
          <w:lang w:val="de-DE"/>
        </w:rPr>
        <w:br w:type="page"/>
      </w:r>
    </w:p>
    <w:p w14:paraId="505859CE" w14:textId="04F4F563" w:rsidR="00320AA7" w:rsidRPr="004676F5" w:rsidRDefault="00320AA7" w:rsidP="00320AA7">
      <w:pPr>
        <w:jc w:val="center"/>
        <w:rPr>
          <w:lang w:val="de-DE"/>
        </w:rPr>
      </w:pPr>
      <w:r w:rsidRPr="004676F5">
        <w:rPr>
          <w:lang w:val="de-DE"/>
        </w:rPr>
        <w:lastRenderedPageBreak/>
        <w:t>[KAPITEL 5 </w:t>
      </w:r>
      <w:r w:rsidR="005B7A5C" w:rsidRPr="004676F5">
        <w:rPr>
          <w:lang w:val="de-DE"/>
        </w:rPr>
        <w:t>- </w:t>
      </w:r>
      <w:r w:rsidRPr="004676F5">
        <w:rPr>
          <w:i/>
          <w:lang w:val="de-DE"/>
        </w:rPr>
        <w:t>Gemeinsame Bestimmung</w:t>
      </w:r>
    </w:p>
    <w:p w14:paraId="687A17B7" w14:textId="77777777" w:rsidR="00320AA7" w:rsidRPr="004676F5" w:rsidRDefault="00320AA7" w:rsidP="00320AA7">
      <w:pPr>
        <w:ind w:firstLine="708"/>
        <w:jc w:val="both"/>
        <w:rPr>
          <w:lang w:val="de-DE"/>
        </w:rPr>
      </w:pPr>
    </w:p>
    <w:p w14:paraId="2EECA631" w14:textId="4FAF96F1" w:rsidR="00320AA7" w:rsidRPr="004676F5" w:rsidRDefault="00320AA7" w:rsidP="00320AA7">
      <w:pPr>
        <w:jc w:val="both"/>
        <w:rPr>
          <w:i/>
          <w:lang w:val="de-DE"/>
        </w:rPr>
      </w:pPr>
      <w:r w:rsidRPr="004676F5">
        <w:rPr>
          <w:i/>
          <w:lang w:val="de-DE"/>
        </w:rPr>
        <w:t xml:space="preserve">[Kapitel 5 mit </w:t>
      </w:r>
      <w:r w:rsidR="00BE0A56" w:rsidRPr="004676F5">
        <w:rPr>
          <w:i/>
          <w:lang w:val="de-DE"/>
        </w:rPr>
        <w:t>Art. </w:t>
      </w:r>
      <w:r w:rsidRPr="004676F5">
        <w:rPr>
          <w:i/>
          <w:lang w:val="de-DE"/>
        </w:rPr>
        <w:t xml:space="preserve">XI.343 eingefügt durch </w:t>
      </w:r>
      <w:r w:rsidR="00BE0A56" w:rsidRPr="004676F5">
        <w:rPr>
          <w:i/>
          <w:lang w:val="de-DE"/>
        </w:rPr>
        <w:t>Art. </w:t>
      </w:r>
      <w:r w:rsidRPr="004676F5">
        <w:rPr>
          <w:i/>
          <w:lang w:val="de-DE"/>
        </w:rPr>
        <w:t>3 des G. vom 19. April 2014 (II) (B.S. vom 12. Juni 2014)]</w:t>
      </w:r>
    </w:p>
    <w:p w14:paraId="47B0700E" w14:textId="77777777" w:rsidR="00320AA7" w:rsidRPr="004676F5" w:rsidRDefault="00320AA7" w:rsidP="00320AA7">
      <w:pPr>
        <w:jc w:val="both"/>
        <w:rPr>
          <w:lang w:val="de-DE"/>
        </w:rPr>
      </w:pPr>
    </w:p>
    <w:p w14:paraId="56C7A326" w14:textId="77777777" w:rsidR="00320AA7" w:rsidRPr="004676F5" w:rsidRDefault="00320AA7" w:rsidP="00320AA7">
      <w:pPr>
        <w:jc w:val="both"/>
        <w:rPr>
          <w:lang w:val="de-DE"/>
        </w:rPr>
      </w:pPr>
    </w:p>
    <w:p w14:paraId="43CACF62" w14:textId="12146973" w:rsidR="00320AA7" w:rsidRPr="004676F5" w:rsidRDefault="00BE0A56" w:rsidP="00320AA7">
      <w:pPr>
        <w:ind w:firstLine="708"/>
        <w:jc w:val="both"/>
        <w:rPr>
          <w:lang w:val="de-DE"/>
        </w:rPr>
      </w:pPr>
      <w:r w:rsidRPr="004676F5">
        <w:rPr>
          <w:b/>
          <w:lang w:val="de-DE"/>
        </w:rPr>
        <w:t>Art. </w:t>
      </w:r>
      <w:r w:rsidR="00320AA7" w:rsidRPr="004676F5">
        <w:rPr>
          <w:b/>
          <w:lang w:val="de-DE"/>
        </w:rPr>
        <w:t>XI.343</w:t>
      </w:r>
      <w:r w:rsidR="00320AA7" w:rsidRPr="004676F5">
        <w:rPr>
          <w:lang w:val="de-DE"/>
        </w:rPr>
        <w:t> </w:t>
      </w:r>
      <w:r w:rsidR="005B7A5C" w:rsidRPr="004676F5">
        <w:rPr>
          <w:lang w:val="de-DE"/>
        </w:rPr>
        <w:t>- </w:t>
      </w:r>
      <w:r w:rsidR="00BE7BFA" w:rsidRPr="004676F5">
        <w:rPr>
          <w:lang w:val="de-DE"/>
        </w:rPr>
        <w:t>[Die Greffiers der Gerichtshöfe und Gerichte, die eine Entscheidung, einen Beschluss, einen Entscheid oder ein Urteil aufgrund von vorliegendem Buch oder Buch XVII Titel 1 Kapitel 4 erlassen, übermitteln dem Amt spätestens acht Tage nach dem Datum, an dem die Entscheidung, der Beschluss, der Entscheid oder das Urteil formell rechtskräftig geworden ist, oder nach dem Datum, an dem Berufung, Einspruch oder Kassationsbeschwerde eingelegt worden ist, unentgeltlich eine Abschrift der Entscheidung, des Beschlusses, des Entscheids oder des Urteils. Es wird vermerkt, dass die Entscheidung, der Beschluss, der Entscheid oder das Urteil formell rechtskräftig ist oder dass Berufung, Einspruch oder Kassationsbeschwerde eingelegt worden ist.]</w:t>
      </w:r>
    </w:p>
    <w:p w14:paraId="5682AFA0" w14:textId="77777777" w:rsidR="00320AA7" w:rsidRPr="004676F5" w:rsidRDefault="00320AA7" w:rsidP="00320AA7">
      <w:pPr>
        <w:ind w:firstLine="708"/>
        <w:jc w:val="both"/>
        <w:rPr>
          <w:lang w:val="de-DE"/>
        </w:rPr>
      </w:pPr>
    </w:p>
    <w:p w14:paraId="6E9882D6" w14:textId="77777777" w:rsidR="00320AA7" w:rsidRPr="004676F5" w:rsidRDefault="00320AA7" w:rsidP="00320AA7">
      <w:pPr>
        <w:ind w:firstLine="708"/>
        <w:rPr>
          <w:lang w:val="de-DE"/>
        </w:rPr>
      </w:pPr>
      <w:r w:rsidRPr="004676F5">
        <w:rPr>
          <w:lang w:val="de-DE"/>
        </w:rPr>
        <w:t>Dieselbe Verpflichtung gilt auch für Schiedsgerichte.]</w:t>
      </w:r>
    </w:p>
    <w:p w14:paraId="6BE0334A" w14:textId="77777777" w:rsidR="00BE7BFA" w:rsidRPr="004676F5" w:rsidRDefault="00BE7BFA">
      <w:pPr>
        <w:rPr>
          <w:lang w:val="de-DE"/>
        </w:rPr>
      </w:pPr>
    </w:p>
    <w:p w14:paraId="131C9F49" w14:textId="2901012A" w:rsidR="00FF663F" w:rsidRPr="004676F5" w:rsidRDefault="00BE7BFA">
      <w:pPr>
        <w:rPr>
          <w:i/>
          <w:lang w:val="de-DE"/>
        </w:rPr>
      </w:pPr>
      <w:r w:rsidRPr="004676F5">
        <w:rPr>
          <w:i/>
          <w:lang w:val="de-DE"/>
        </w:rPr>
        <w:t>[</w:t>
      </w:r>
      <w:r w:rsidR="00BE0A56" w:rsidRPr="004676F5">
        <w:rPr>
          <w:i/>
          <w:lang w:val="de-DE"/>
        </w:rPr>
        <w:t>Art. </w:t>
      </w:r>
      <w:r w:rsidRPr="004676F5">
        <w:rPr>
          <w:i/>
          <w:lang w:val="de-DE"/>
        </w:rPr>
        <w:t xml:space="preserve">XI.343 Abs. 1 ersetzt durch </w:t>
      </w:r>
      <w:r w:rsidR="00BE0A56" w:rsidRPr="004676F5">
        <w:rPr>
          <w:i/>
          <w:lang w:val="de-DE"/>
        </w:rPr>
        <w:t>Art. </w:t>
      </w:r>
      <w:r w:rsidRPr="004676F5">
        <w:rPr>
          <w:i/>
          <w:lang w:val="de-DE"/>
        </w:rPr>
        <w:t>35 des G. vom 29. Juni 2016 (B.S. vom 6. Juli 2016)]</w:t>
      </w:r>
      <w:r w:rsidR="00FF663F" w:rsidRPr="004676F5">
        <w:rPr>
          <w:i/>
          <w:lang w:val="de-DE"/>
        </w:rPr>
        <w:br w:type="page"/>
      </w:r>
    </w:p>
    <w:p w14:paraId="4C1781AB" w14:textId="0448ED44" w:rsidR="00A54B03" w:rsidRPr="004676F5" w:rsidRDefault="00A54B03" w:rsidP="00A54B03">
      <w:pPr>
        <w:jc w:val="center"/>
        <w:rPr>
          <w:lang w:val="de-DE"/>
        </w:rPr>
      </w:pPr>
      <w:r w:rsidRPr="004676F5">
        <w:rPr>
          <w:lang w:val="de-DE"/>
        </w:rPr>
        <w:lastRenderedPageBreak/>
        <w:t>[</w:t>
      </w:r>
      <w:r w:rsidRPr="004676F5">
        <w:rPr>
          <w:b/>
          <w:lang w:val="de-DE"/>
        </w:rPr>
        <w:t>BUCH XII </w:t>
      </w:r>
      <w:r w:rsidR="005B7A5C" w:rsidRPr="004676F5">
        <w:rPr>
          <w:b/>
          <w:lang w:val="de-DE"/>
        </w:rPr>
        <w:t>- </w:t>
      </w:r>
      <w:r w:rsidRPr="004676F5">
        <w:rPr>
          <w:b/>
          <w:lang w:val="de-DE"/>
        </w:rPr>
        <w:t>RECHT DER ELEKTRONISCHEN WIRTSCHAFT</w:t>
      </w:r>
    </w:p>
    <w:p w14:paraId="3CD66845" w14:textId="77777777" w:rsidR="00A54B03" w:rsidRPr="004676F5" w:rsidRDefault="00A54B03" w:rsidP="00A54B03">
      <w:pPr>
        <w:jc w:val="both"/>
        <w:rPr>
          <w:lang w:val="de-DE"/>
        </w:rPr>
      </w:pPr>
    </w:p>
    <w:p w14:paraId="086AEF2B" w14:textId="71D9C680" w:rsidR="00A54B03" w:rsidRPr="004676F5" w:rsidRDefault="00A54B03" w:rsidP="00A54B03">
      <w:pPr>
        <w:jc w:val="both"/>
        <w:rPr>
          <w:i/>
          <w:lang w:val="de-DE"/>
        </w:rPr>
      </w:pPr>
      <w:r w:rsidRPr="004676F5">
        <w:rPr>
          <w:i/>
          <w:lang w:val="de-DE"/>
        </w:rPr>
        <w:t xml:space="preserve">[Buch XII mit </w:t>
      </w:r>
      <w:r w:rsidR="00B54AAB" w:rsidRPr="004676F5">
        <w:rPr>
          <w:i/>
          <w:lang w:val="de-DE"/>
        </w:rPr>
        <w:t xml:space="preserve">dem Titel 1 und </w:t>
      </w:r>
      <w:r w:rsidRPr="004676F5">
        <w:rPr>
          <w:i/>
          <w:lang w:val="de-DE"/>
        </w:rPr>
        <w:t xml:space="preserve">den Artikeln XII.1 bis </w:t>
      </w:r>
      <w:r w:rsidR="005D2A9E" w:rsidRPr="004676F5">
        <w:rPr>
          <w:i/>
          <w:lang w:val="de-DE"/>
        </w:rPr>
        <w:t xml:space="preserve">XII.4 und XII.6 bis </w:t>
      </w:r>
      <w:r w:rsidRPr="004676F5">
        <w:rPr>
          <w:i/>
          <w:lang w:val="de-DE"/>
        </w:rPr>
        <w:t xml:space="preserve">XII.23 eingefügt durch </w:t>
      </w:r>
      <w:r w:rsidR="00BE0A56" w:rsidRPr="004676F5">
        <w:rPr>
          <w:i/>
          <w:lang w:val="de-DE"/>
        </w:rPr>
        <w:t>Art. </w:t>
      </w:r>
      <w:r w:rsidRPr="004676F5">
        <w:rPr>
          <w:i/>
          <w:lang w:val="de-DE"/>
        </w:rPr>
        <w:t>3 des G. vom 15. Dezember 2013 (I) (B.S. vom 14. Januar 2014)]</w:t>
      </w:r>
    </w:p>
    <w:p w14:paraId="0965FEC5" w14:textId="77777777" w:rsidR="00A54B03" w:rsidRPr="004676F5" w:rsidRDefault="00A54B03" w:rsidP="00A54B03">
      <w:pPr>
        <w:jc w:val="both"/>
        <w:rPr>
          <w:i/>
          <w:lang w:val="de-DE"/>
        </w:rPr>
      </w:pPr>
    </w:p>
    <w:p w14:paraId="28EB7D3F" w14:textId="77777777" w:rsidR="00A54B03" w:rsidRPr="004676F5" w:rsidRDefault="00A54B03" w:rsidP="00A54B03">
      <w:pPr>
        <w:jc w:val="both"/>
        <w:rPr>
          <w:i/>
          <w:lang w:val="de-DE"/>
        </w:rPr>
      </w:pPr>
    </w:p>
    <w:p w14:paraId="6D309DC5" w14:textId="61CD847B" w:rsidR="00A54B03" w:rsidRPr="004676F5" w:rsidRDefault="00A54B03" w:rsidP="00A54B03">
      <w:pPr>
        <w:jc w:val="center"/>
        <w:rPr>
          <w:b/>
          <w:lang w:val="de-DE"/>
        </w:rPr>
      </w:pPr>
      <w:r w:rsidRPr="004676F5">
        <w:rPr>
          <w:b/>
          <w:lang w:val="de-DE"/>
        </w:rPr>
        <w:t>TITEL 1 </w:t>
      </w:r>
      <w:r w:rsidR="005B7A5C" w:rsidRPr="004676F5">
        <w:rPr>
          <w:b/>
          <w:lang w:val="de-DE"/>
        </w:rPr>
        <w:t>- </w:t>
      </w:r>
      <w:r w:rsidRPr="004676F5">
        <w:rPr>
          <w:b/>
          <w:i/>
          <w:lang w:val="de-DE"/>
        </w:rPr>
        <w:t>Bestimmte rechtliche Aspekte der Dienste der Informationsgesellschaft</w:t>
      </w:r>
    </w:p>
    <w:p w14:paraId="7D217E22" w14:textId="77777777" w:rsidR="00A54B03" w:rsidRPr="004676F5" w:rsidRDefault="00A54B03" w:rsidP="00A54B03">
      <w:pPr>
        <w:jc w:val="both"/>
        <w:rPr>
          <w:lang w:val="de-DE"/>
        </w:rPr>
      </w:pPr>
    </w:p>
    <w:p w14:paraId="08F0CA07" w14:textId="77777777" w:rsidR="00A54B03" w:rsidRPr="004676F5" w:rsidRDefault="00A54B03" w:rsidP="00A54B03">
      <w:pPr>
        <w:jc w:val="center"/>
        <w:rPr>
          <w:lang w:val="de-DE"/>
        </w:rPr>
      </w:pPr>
    </w:p>
    <w:p w14:paraId="188322C5" w14:textId="1EB9076B" w:rsidR="00A54B03" w:rsidRPr="004676F5" w:rsidRDefault="00A54B03" w:rsidP="00A54B03">
      <w:pPr>
        <w:jc w:val="center"/>
        <w:rPr>
          <w:lang w:val="de-DE"/>
        </w:rPr>
      </w:pPr>
      <w:r w:rsidRPr="004676F5">
        <w:rPr>
          <w:lang w:val="de-DE"/>
        </w:rPr>
        <w:t>KAPITEL 1 </w:t>
      </w:r>
      <w:r w:rsidR="005B7A5C" w:rsidRPr="004676F5">
        <w:rPr>
          <w:lang w:val="de-DE"/>
        </w:rPr>
        <w:t>- </w:t>
      </w:r>
      <w:r w:rsidRPr="004676F5">
        <w:rPr>
          <w:i/>
          <w:lang w:val="de-DE"/>
        </w:rPr>
        <w:t>Vorhergehende Bestimmungen</w:t>
      </w:r>
    </w:p>
    <w:p w14:paraId="79D9AA31" w14:textId="77777777" w:rsidR="00A54B03" w:rsidRPr="004676F5" w:rsidRDefault="00A54B03" w:rsidP="00A54B03">
      <w:pPr>
        <w:jc w:val="both"/>
        <w:rPr>
          <w:lang w:val="de-DE"/>
        </w:rPr>
      </w:pPr>
    </w:p>
    <w:p w14:paraId="2E6316B5" w14:textId="77777777" w:rsidR="00A54B03" w:rsidRPr="004676F5" w:rsidRDefault="00A54B03" w:rsidP="00A54B03">
      <w:pPr>
        <w:jc w:val="both"/>
        <w:rPr>
          <w:lang w:val="de-DE"/>
        </w:rPr>
      </w:pPr>
    </w:p>
    <w:p w14:paraId="2A6AEFCD" w14:textId="449929FF"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 </w:t>
      </w:r>
      <w:r w:rsidR="005B7A5C" w:rsidRPr="004676F5">
        <w:rPr>
          <w:lang w:val="de-DE"/>
        </w:rPr>
        <w:t>- </w:t>
      </w:r>
      <w:r w:rsidRPr="004676F5">
        <w:rPr>
          <w:lang w:val="de-DE"/>
        </w:rPr>
        <w:t>§ 1 </w:t>
      </w:r>
      <w:r w:rsidR="005B7A5C" w:rsidRPr="004676F5">
        <w:rPr>
          <w:lang w:val="de-DE"/>
        </w:rPr>
        <w:t>- </w:t>
      </w:r>
      <w:r w:rsidRPr="004676F5">
        <w:rPr>
          <w:lang w:val="de-DE"/>
        </w:rPr>
        <w:t>Die Kapitel 1 bis 6 des vorliegenden Titels setzen die Bestimmungen der Richtlinie 2000/31/EG des Europäischen Parlaments und des Rates vom 8. Juni 2000 über bestimmte rechtliche Aspekte der Dienste der Informationsgesellschaft, insbesondere des elektronischen Geschäftsverkehrs, im Binnenmarkt um.</w:t>
      </w:r>
    </w:p>
    <w:p w14:paraId="637E6157" w14:textId="77777777" w:rsidR="00A54B03" w:rsidRPr="004676F5" w:rsidRDefault="00A54B03" w:rsidP="00A54B03">
      <w:pPr>
        <w:jc w:val="both"/>
        <w:rPr>
          <w:lang w:val="de-DE"/>
        </w:rPr>
      </w:pPr>
    </w:p>
    <w:p w14:paraId="02692698" w14:textId="485DCBBF" w:rsidR="00A54B03" w:rsidRPr="004676F5" w:rsidRDefault="00A54B03" w:rsidP="00A54B03">
      <w:pPr>
        <w:jc w:val="both"/>
        <w:rPr>
          <w:lang w:val="de-DE"/>
        </w:rPr>
      </w:pPr>
      <w:r w:rsidRPr="004676F5">
        <w:rPr>
          <w:lang w:val="de-DE"/>
        </w:rPr>
        <w:tab/>
        <w:t xml:space="preserve">Kapitel 4 setzt ferner die Richtlinie 2009/136/EG des Europäischen Parlaments und des Rates vom 25. November 2009 zur Änderung der Richtlinie 2002/22/EG über den Universaldienst und Nutzerrechte bei elektronischen Kommunikationsnetzen und -diensten, der Richtlinie 2002/58/EG über die Verarbeitung personenbezogener Daten und den Schutz der Privatsphäre in der elektronischen Kommunikation </w:t>
      </w:r>
      <w:r w:rsidR="0069647C" w:rsidRPr="004676F5">
        <w:rPr>
          <w:lang w:val="de-DE"/>
        </w:rPr>
        <w:t>[und der Verordnung (EU) 2017/2394 des Europäischen Parlaments und des Rates vom 12. Dezember 2017 über die Zusammenarbeit zwischen den für die Durchsetzung der Verbraucherschutzgesetze zuständigen nationalen Behörden und zur Aufhebung der Verordnung (EG) Nr. 2006/2004]</w:t>
      </w:r>
      <w:r w:rsidRPr="004676F5">
        <w:rPr>
          <w:lang w:val="de-DE"/>
        </w:rPr>
        <w:t xml:space="preserve"> teilweise um.</w:t>
      </w:r>
    </w:p>
    <w:p w14:paraId="16FA3C7C" w14:textId="77777777" w:rsidR="00A54B03" w:rsidRPr="004676F5" w:rsidRDefault="00A54B03" w:rsidP="00A54B03">
      <w:pPr>
        <w:jc w:val="both"/>
        <w:rPr>
          <w:lang w:val="de-DE"/>
        </w:rPr>
      </w:pPr>
    </w:p>
    <w:p w14:paraId="18EF1B6C" w14:textId="77777777" w:rsidR="00A54B03" w:rsidRPr="004676F5" w:rsidRDefault="00A54B03" w:rsidP="00A54B03">
      <w:pPr>
        <w:jc w:val="both"/>
        <w:rPr>
          <w:lang w:val="de-DE"/>
        </w:rPr>
      </w:pPr>
      <w:r w:rsidRPr="004676F5">
        <w:rPr>
          <w:lang w:val="de-DE"/>
        </w:rPr>
        <w:tab/>
        <w:t>Kapitel 7 setzt die Richtlinie 98/84/EG des Europäischen Parlaments und des Rates vom 20. November 1998 über den rechtlichen Schutz von zugangskontrollierten Diensten und von Zugangskontrolldiensten um.</w:t>
      </w:r>
    </w:p>
    <w:p w14:paraId="27FBB575" w14:textId="77777777" w:rsidR="00A54B03" w:rsidRPr="004676F5" w:rsidRDefault="00A54B03" w:rsidP="00A54B03">
      <w:pPr>
        <w:jc w:val="both"/>
        <w:rPr>
          <w:lang w:val="de-DE"/>
        </w:rPr>
      </w:pPr>
    </w:p>
    <w:p w14:paraId="7E6D1E52" w14:textId="19D6C0DF" w:rsidR="00A54B03" w:rsidRPr="004676F5" w:rsidRDefault="00A54B03" w:rsidP="00A54B03">
      <w:pPr>
        <w:jc w:val="both"/>
        <w:rPr>
          <w:lang w:val="de-DE"/>
        </w:rPr>
      </w:pPr>
      <w:r w:rsidRPr="004676F5">
        <w:rPr>
          <w:lang w:val="de-DE"/>
        </w:rPr>
        <w:tab/>
        <w:t>§ 2 </w:t>
      </w:r>
      <w:r w:rsidR="005B7A5C" w:rsidRPr="004676F5">
        <w:rPr>
          <w:lang w:val="de-DE"/>
        </w:rPr>
        <w:t>- </w:t>
      </w:r>
      <w:r w:rsidRPr="004676F5">
        <w:rPr>
          <w:lang w:val="de-DE"/>
        </w:rPr>
        <w:t>Vorliegender Titel regelt bestimmte juristische Aspekte der Dienste der Informationsgesellschaft.</w:t>
      </w:r>
    </w:p>
    <w:p w14:paraId="3B31214E" w14:textId="77777777" w:rsidR="00A54B03" w:rsidRPr="004676F5" w:rsidRDefault="00A54B03" w:rsidP="00A54B03">
      <w:pPr>
        <w:jc w:val="both"/>
        <w:rPr>
          <w:lang w:val="de-DE"/>
        </w:rPr>
      </w:pPr>
    </w:p>
    <w:p w14:paraId="66D78E5E" w14:textId="77777777" w:rsidR="00A54B03" w:rsidRPr="004676F5" w:rsidRDefault="00A54B03" w:rsidP="00A54B03">
      <w:pPr>
        <w:jc w:val="both"/>
        <w:rPr>
          <w:lang w:val="de-DE"/>
        </w:rPr>
      </w:pPr>
      <w:r w:rsidRPr="004676F5">
        <w:rPr>
          <w:lang w:val="de-DE"/>
        </w:rPr>
        <w:tab/>
        <w:t>Es findet keine Anwendung auf:</w:t>
      </w:r>
    </w:p>
    <w:p w14:paraId="767D8E9A" w14:textId="77777777" w:rsidR="00A54B03" w:rsidRPr="004676F5" w:rsidRDefault="00A54B03" w:rsidP="00A54B03">
      <w:pPr>
        <w:jc w:val="both"/>
        <w:rPr>
          <w:lang w:val="de-DE"/>
        </w:rPr>
      </w:pPr>
    </w:p>
    <w:p w14:paraId="49D49DB6" w14:textId="77777777" w:rsidR="00A54B03" w:rsidRPr="004676F5" w:rsidRDefault="00A54B03" w:rsidP="00A54B03">
      <w:pPr>
        <w:jc w:val="both"/>
        <w:rPr>
          <w:lang w:val="de-DE"/>
        </w:rPr>
      </w:pPr>
      <w:r w:rsidRPr="004676F5">
        <w:rPr>
          <w:lang w:val="de-DE"/>
        </w:rPr>
        <w:tab/>
        <w:t>1. den Bereich der Besteuerung,</w:t>
      </w:r>
    </w:p>
    <w:p w14:paraId="7CB31B04" w14:textId="77777777" w:rsidR="00A54B03" w:rsidRPr="004676F5" w:rsidRDefault="00A54B03" w:rsidP="00A54B03">
      <w:pPr>
        <w:jc w:val="both"/>
        <w:rPr>
          <w:lang w:val="de-DE"/>
        </w:rPr>
      </w:pPr>
    </w:p>
    <w:p w14:paraId="7E2068BA" w14:textId="6A5A9FF1" w:rsidR="00A54B03" w:rsidRPr="004676F5" w:rsidRDefault="00A54B03" w:rsidP="00A54B03">
      <w:pPr>
        <w:jc w:val="both"/>
        <w:rPr>
          <w:lang w:val="de-DE"/>
        </w:rPr>
      </w:pPr>
      <w:r w:rsidRPr="004676F5">
        <w:rPr>
          <w:lang w:val="de-DE"/>
        </w:rPr>
        <w:tab/>
        <w:t>2. Fragen über die Dienste der Informationsgesellschaft, die durch die Gesetzes</w:t>
      </w:r>
      <w:r w:rsidR="005B7A5C" w:rsidRPr="004676F5">
        <w:rPr>
          <w:lang w:val="de-DE"/>
        </w:rPr>
        <w:t>- </w:t>
      </w:r>
      <w:r w:rsidRPr="004676F5">
        <w:rPr>
          <w:lang w:val="de-DE"/>
        </w:rPr>
        <w:t>oder Verordnungsbestimmungen über den Schutz des Privatlebens und die Verarbeitung personenbezogener Daten geregelt werden,</w:t>
      </w:r>
    </w:p>
    <w:p w14:paraId="3C5EA693" w14:textId="77777777" w:rsidR="00A54B03" w:rsidRPr="004676F5" w:rsidRDefault="00A54B03" w:rsidP="00A54B03">
      <w:pPr>
        <w:jc w:val="both"/>
        <w:rPr>
          <w:lang w:val="de-DE"/>
        </w:rPr>
      </w:pPr>
    </w:p>
    <w:p w14:paraId="16292AC0" w14:textId="77777777" w:rsidR="00A54B03" w:rsidRPr="004676F5" w:rsidRDefault="00A54B03" w:rsidP="00A54B03">
      <w:pPr>
        <w:jc w:val="both"/>
        <w:rPr>
          <w:lang w:val="de-DE"/>
        </w:rPr>
      </w:pPr>
      <w:r w:rsidRPr="004676F5">
        <w:rPr>
          <w:lang w:val="de-DE"/>
        </w:rPr>
        <w:tab/>
        <w:t>3. Fragen über Vereinbarungen oder Verhaltensweisen, die dem Kartellrecht unterliegen,</w:t>
      </w:r>
    </w:p>
    <w:p w14:paraId="4459B6F4" w14:textId="77777777" w:rsidR="00A54B03" w:rsidRPr="004676F5" w:rsidRDefault="00A54B03" w:rsidP="00A54B03">
      <w:pPr>
        <w:jc w:val="both"/>
        <w:rPr>
          <w:lang w:val="de-DE"/>
        </w:rPr>
      </w:pPr>
    </w:p>
    <w:p w14:paraId="40CC991D" w14:textId="77777777" w:rsidR="00A54B03" w:rsidRPr="004676F5" w:rsidRDefault="00A54B03" w:rsidP="00A54B03">
      <w:pPr>
        <w:jc w:val="both"/>
        <w:rPr>
          <w:lang w:val="de-DE"/>
        </w:rPr>
      </w:pPr>
      <w:r w:rsidRPr="004676F5">
        <w:rPr>
          <w:lang w:val="de-DE"/>
        </w:rPr>
        <w:tab/>
        <w:t>4. folgende Tätigkeiten der Dienste der Informationsgesellschaft:</w:t>
      </w:r>
    </w:p>
    <w:p w14:paraId="041ACBA6" w14:textId="77777777" w:rsidR="00A54B03" w:rsidRPr="004676F5" w:rsidRDefault="00A54B03" w:rsidP="00A54B03">
      <w:pPr>
        <w:jc w:val="both"/>
        <w:rPr>
          <w:lang w:val="de-DE"/>
        </w:rPr>
      </w:pPr>
    </w:p>
    <w:p w14:paraId="1303582E" w14:textId="77777777" w:rsidR="00A54B03" w:rsidRPr="004676F5" w:rsidRDefault="00A54B03" w:rsidP="00A54B03">
      <w:pPr>
        <w:jc w:val="both"/>
        <w:rPr>
          <w:lang w:val="de-DE"/>
        </w:rPr>
      </w:pPr>
      <w:r w:rsidRPr="004676F5">
        <w:rPr>
          <w:lang w:val="de-DE"/>
        </w:rPr>
        <w:tab/>
      </w:r>
      <w:r w:rsidRPr="004676F5">
        <w:rPr>
          <w:i/>
          <w:lang w:val="de-DE"/>
        </w:rPr>
        <w:t>a)</w:t>
      </w:r>
      <w:r w:rsidRPr="004676F5">
        <w:rPr>
          <w:lang w:val="de-DE"/>
        </w:rPr>
        <w:t xml:space="preserve"> Tätigkeiten von Notaren, soweit diese eine unmittelbare und besondere Verbindung zur Ausübung öffentlicher Befugnisse aufweisen, </w:t>
      </w:r>
    </w:p>
    <w:p w14:paraId="025A8B05" w14:textId="77777777" w:rsidR="00A54B03" w:rsidRPr="004676F5" w:rsidRDefault="00A54B03" w:rsidP="00A54B03">
      <w:pPr>
        <w:jc w:val="both"/>
        <w:rPr>
          <w:lang w:val="de-DE"/>
        </w:rPr>
      </w:pPr>
    </w:p>
    <w:p w14:paraId="6693FC08" w14:textId="77777777" w:rsidR="00A54B03" w:rsidRPr="004676F5" w:rsidRDefault="00A54B03" w:rsidP="00A54B03">
      <w:pPr>
        <w:jc w:val="both"/>
        <w:rPr>
          <w:lang w:val="de-DE"/>
        </w:rPr>
      </w:pPr>
      <w:r w:rsidRPr="004676F5">
        <w:rPr>
          <w:lang w:val="de-DE"/>
        </w:rPr>
        <w:tab/>
      </w:r>
      <w:r w:rsidRPr="004676F5">
        <w:rPr>
          <w:i/>
          <w:lang w:val="de-DE"/>
        </w:rPr>
        <w:t>b)</w:t>
      </w:r>
      <w:r w:rsidRPr="004676F5">
        <w:rPr>
          <w:lang w:val="de-DE"/>
        </w:rPr>
        <w:t> Vertretung eines Mandanten und Verteidigung seiner Interessen vor Gericht,</w:t>
      </w:r>
    </w:p>
    <w:p w14:paraId="5638A81B" w14:textId="77777777" w:rsidR="00A54B03" w:rsidRPr="004676F5" w:rsidRDefault="00A54B03" w:rsidP="00A54B03">
      <w:pPr>
        <w:jc w:val="both"/>
        <w:rPr>
          <w:lang w:val="de-DE"/>
        </w:rPr>
      </w:pPr>
    </w:p>
    <w:p w14:paraId="5696058C" w14:textId="77777777" w:rsidR="00A54B03" w:rsidRPr="004676F5" w:rsidRDefault="00A54B03" w:rsidP="00A54B03">
      <w:pPr>
        <w:jc w:val="both"/>
        <w:rPr>
          <w:lang w:val="de-DE"/>
        </w:rPr>
      </w:pPr>
      <w:r w:rsidRPr="004676F5">
        <w:rPr>
          <w:lang w:val="de-DE"/>
        </w:rPr>
        <w:lastRenderedPageBreak/>
        <w:tab/>
      </w:r>
      <w:r w:rsidRPr="004676F5">
        <w:rPr>
          <w:i/>
          <w:lang w:val="de-DE"/>
        </w:rPr>
        <w:t>c)</w:t>
      </w:r>
      <w:r w:rsidRPr="004676F5">
        <w:rPr>
          <w:lang w:val="de-DE"/>
        </w:rPr>
        <w:t> Gewinnspiele mit einem einen Geldwert darstellenden Einsatz bei Glücksspielen, einschließlich Lotterien und Wetten.</w:t>
      </w:r>
    </w:p>
    <w:p w14:paraId="5B3E3F3F" w14:textId="77777777" w:rsidR="0069647C" w:rsidRPr="004676F5" w:rsidRDefault="0069647C" w:rsidP="00A54B03">
      <w:pPr>
        <w:jc w:val="both"/>
        <w:rPr>
          <w:lang w:val="de-DE"/>
        </w:rPr>
      </w:pPr>
    </w:p>
    <w:p w14:paraId="5EA51BF1" w14:textId="43278888" w:rsidR="0069647C" w:rsidRPr="004676F5" w:rsidRDefault="0069647C" w:rsidP="00A54B03">
      <w:pPr>
        <w:jc w:val="both"/>
        <w:rPr>
          <w:i/>
          <w:iCs/>
          <w:lang w:val="de-DE"/>
        </w:rPr>
      </w:pPr>
      <w:r w:rsidRPr="004676F5">
        <w:rPr>
          <w:i/>
          <w:iCs/>
          <w:lang w:val="de-DE"/>
        </w:rPr>
        <w:t>[Art. XII.1 § 1 Abs. 2 abgeändert durch Art. 4</w:t>
      </w:r>
      <w:r w:rsidRPr="004676F5">
        <w:rPr>
          <w:bCs/>
          <w:i/>
          <w:iCs/>
          <w:lang w:val="de-DE"/>
        </w:rPr>
        <w:t xml:space="preserve"> des G. vom 29. September 2020 (B.S. vom 20. November 2020)]</w:t>
      </w:r>
    </w:p>
    <w:p w14:paraId="545FC1B8" w14:textId="77777777" w:rsidR="00A54B03" w:rsidRPr="004676F5" w:rsidRDefault="00A54B03">
      <w:pPr>
        <w:rPr>
          <w:lang w:val="de-DE"/>
        </w:rPr>
      </w:pPr>
      <w:r w:rsidRPr="004676F5">
        <w:rPr>
          <w:lang w:val="de-DE"/>
        </w:rPr>
        <w:br w:type="page"/>
      </w:r>
    </w:p>
    <w:p w14:paraId="7897A554" w14:textId="4A9D9A0D" w:rsidR="00A54B03" w:rsidRPr="004676F5" w:rsidRDefault="00A54B03" w:rsidP="00A54B03">
      <w:pPr>
        <w:jc w:val="center"/>
        <w:rPr>
          <w:lang w:val="de-DE"/>
        </w:rPr>
      </w:pPr>
      <w:r w:rsidRPr="004676F5">
        <w:rPr>
          <w:lang w:val="de-DE"/>
        </w:rPr>
        <w:lastRenderedPageBreak/>
        <w:t>KAPITEL 2 </w:t>
      </w:r>
      <w:r w:rsidR="005B7A5C" w:rsidRPr="004676F5">
        <w:rPr>
          <w:lang w:val="de-DE"/>
        </w:rPr>
        <w:t>- </w:t>
      </w:r>
      <w:r w:rsidRPr="004676F5">
        <w:rPr>
          <w:i/>
          <w:lang w:val="de-DE"/>
        </w:rPr>
        <w:t>Grundsätze</w:t>
      </w:r>
    </w:p>
    <w:p w14:paraId="6CAE8086" w14:textId="77777777" w:rsidR="00A54B03" w:rsidRPr="004676F5" w:rsidRDefault="00A54B03" w:rsidP="00A54B03">
      <w:pPr>
        <w:jc w:val="center"/>
        <w:rPr>
          <w:lang w:val="de-DE"/>
        </w:rPr>
      </w:pPr>
    </w:p>
    <w:p w14:paraId="7D857C01" w14:textId="77777777" w:rsidR="00A54B03" w:rsidRPr="004676F5" w:rsidRDefault="00A54B03" w:rsidP="00A54B03">
      <w:pPr>
        <w:jc w:val="center"/>
        <w:rPr>
          <w:lang w:val="de-DE"/>
        </w:rPr>
      </w:pPr>
    </w:p>
    <w:p w14:paraId="04F31ECA" w14:textId="787F68E1" w:rsidR="00A54B03" w:rsidRPr="004676F5" w:rsidRDefault="00A54B03" w:rsidP="00A54B03">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Grundsatz der Niederlassungsfreiheit</w:t>
      </w:r>
    </w:p>
    <w:p w14:paraId="7DF0D890" w14:textId="77777777" w:rsidR="00A54B03" w:rsidRPr="004676F5" w:rsidRDefault="00A54B03" w:rsidP="00A54B03">
      <w:pPr>
        <w:jc w:val="both"/>
        <w:rPr>
          <w:lang w:val="de-DE"/>
        </w:rPr>
      </w:pPr>
    </w:p>
    <w:p w14:paraId="1BB0FA76" w14:textId="77777777" w:rsidR="00A54B03" w:rsidRPr="004676F5" w:rsidRDefault="00A54B03" w:rsidP="00A54B03">
      <w:pPr>
        <w:jc w:val="both"/>
        <w:rPr>
          <w:lang w:val="de-DE"/>
        </w:rPr>
      </w:pPr>
    </w:p>
    <w:p w14:paraId="6F8534F1" w14:textId="2ABFF95B"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XII.2</w:t>
      </w:r>
      <w:r w:rsidRPr="004676F5">
        <w:rPr>
          <w:lang w:val="de-DE"/>
        </w:rPr>
        <w:t> </w:t>
      </w:r>
      <w:r w:rsidR="005B7A5C" w:rsidRPr="004676F5">
        <w:rPr>
          <w:lang w:val="de-DE"/>
        </w:rPr>
        <w:t>- </w:t>
      </w:r>
      <w:r w:rsidRPr="004676F5">
        <w:rPr>
          <w:lang w:val="de-DE"/>
        </w:rPr>
        <w:t>Die Aufnahme und die Ausübung der Tätigkeit eines Anbieters von Diensten der Informationsgesellschaft sind nicht zulassungspflichtig und unterliegen keiner sonstigen Anforderung gleicher Wirkung.</w:t>
      </w:r>
    </w:p>
    <w:p w14:paraId="644CE49B" w14:textId="77777777" w:rsidR="00A54B03" w:rsidRPr="004676F5" w:rsidRDefault="00A54B03" w:rsidP="00A54B03">
      <w:pPr>
        <w:jc w:val="both"/>
        <w:rPr>
          <w:lang w:val="de-DE"/>
        </w:rPr>
      </w:pPr>
    </w:p>
    <w:p w14:paraId="74EAED3D" w14:textId="77777777" w:rsidR="00A54B03" w:rsidRPr="004676F5" w:rsidRDefault="00A54B03" w:rsidP="00A54B03">
      <w:pPr>
        <w:jc w:val="both"/>
        <w:rPr>
          <w:lang w:val="de-DE"/>
        </w:rPr>
      </w:pPr>
      <w:r w:rsidRPr="004676F5">
        <w:rPr>
          <w:lang w:val="de-DE"/>
        </w:rPr>
        <w:tab/>
        <w:t>Absatz 1 gilt unbeschadet der Zulassungsverfahren, die nicht speziell und ausschließlich Dienste der Informationsgesellschaft betreffen oder die durch die in Titel III des Gesetzes vom 21. März 1991 zur Umstrukturierung bestimmter öffentlicher Wirtschafts</w:t>
      </w:r>
      <w:r w:rsidRPr="004676F5">
        <w:rPr>
          <w:lang w:val="de-DE"/>
        </w:rPr>
        <w:softHyphen/>
        <w:t>unternehmen vorgesehenen Zulassungsverfahren geregelt sind.</w:t>
      </w:r>
    </w:p>
    <w:p w14:paraId="739C42AE" w14:textId="77777777" w:rsidR="00A54B03" w:rsidRPr="004676F5" w:rsidRDefault="00A54B03" w:rsidP="00A54B03">
      <w:pPr>
        <w:jc w:val="both"/>
        <w:rPr>
          <w:lang w:val="de-DE"/>
        </w:rPr>
      </w:pPr>
    </w:p>
    <w:p w14:paraId="4CB7016D" w14:textId="77777777" w:rsidR="00A54B03" w:rsidRPr="004676F5" w:rsidRDefault="00A54B03" w:rsidP="00A54B03">
      <w:pPr>
        <w:jc w:val="both"/>
        <w:rPr>
          <w:lang w:val="de-DE"/>
        </w:rPr>
      </w:pPr>
    </w:p>
    <w:p w14:paraId="23BE81F3" w14:textId="7289CFF6" w:rsidR="00A54B03" w:rsidRPr="004676F5" w:rsidRDefault="00A54B03" w:rsidP="00A54B03">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Grundsatz des freien Dienstleistungsverkehrs</w:t>
      </w:r>
    </w:p>
    <w:p w14:paraId="5E8C0877" w14:textId="77777777" w:rsidR="00A54B03" w:rsidRPr="004676F5" w:rsidRDefault="00A54B03" w:rsidP="00A54B03">
      <w:pPr>
        <w:jc w:val="both"/>
        <w:rPr>
          <w:lang w:val="de-DE"/>
        </w:rPr>
      </w:pPr>
    </w:p>
    <w:p w14:paraId="3D2D981E" w14:textId="77777777" w:rsidR="00A54B03" w:rsidRPr="004676F5" w:rsidRDefault="00A54B03" w:rsidP="00A54B03">
      <w:pPr>
        <w:jc w:val="both"/>
        <w:rPr>
          <w:lang w:val="de-DE"/>
        </w:rPr>
      </w:pPr>
    </w:p>
    <w:p w14:paraId="19319D67" w14:textId="7C6E4CE3"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XII.3</w:t>
      </w:r>
      <w:r w:rsidRPr="004676F5">
        <w:rPr>
          <w:lang w:val="de-DE"/>
        </w:rPr>
        <w:t> </w:t>
      </w:r>
      <w:r w:rsidR="005B7A5C" w:rsidRPr="004676F5">
        <w:rPr>
          <w:lang w:val="de-DE"/>
        </w:rPr>
        <w:t>- </w:t>
      </w:r>
      <w:r w:rsidRPr="004676F5">
        <w:rPr>
          <w:lang w:val="de-DE"/>
        </w:rPr>
        <w:t>Die Erbringung von Diensten der Informationsgesellschaft durch einen auf dem belgischen Staatsgebiet niedergelassenen Diensteanbieter muss den in Belgien anwendbaren Anforderungen genügen.</w:t>
      </w:r>
    </w:p>
    <w:p w14:paraId="1F703E7A" w14:textId="77777777" w:rsidR="00A54B03" w:rsidRPr="004676F5" w:rsidRDefault="00A54B03" w:rsidP="00A54B03">
      <w:pPr>
        <w:jc w:val="both"/>
        <w:rPr>
          <w:lang w:val="de-DE"/>
        </w:rPr>
      </w:pPr>
    </w:p>
    <w:p w14:paraId="3019A1CB" w14:textId="77777777" w:rsidR="00A54B03" w:rsidRPr="004676F5" w:rsidRDefault="00A54B03" w:rsidP="00A54B03">
      <w:pPr>
        <w:jc w:val="both"/>
        <w:rPr>
          <w:lang w:val="de-DE"/>
        </w:rPr>
      </w:pPr>
      <w:r w:rsidRPr="004676F5">
        <w:rPr>
          <w:lang w:val="de-DE"/>
        </w:rPr>
        <w:tab/>
        <w:t>Der freie Verkehr von Diensten der Informationsgesellschaft auf belgischem Staatsgebiet, die durch einen in einem anderen Mitgliedstaat niedergelassenen Diensteanbieter erbracht werden, ist nicht aufgrund der in Belgien oder in anderen Ländern anwendbaren Anforderungen eingeschränkt.</w:t>
      </w:r>
    </w:p>
    <w:p w14:paraId="6260A98F" w14:textId="77777777" w:rsidR="00A54B03" w:rsidRPr="004676F5" w:rsidRDefault="00A54B03" w:rsidP="00A54B03">
      <w:pPr>
        <w:jc w:val="both"/>
        <w:rPr>
          <w:lang w:val="de-DE"/>
        </w:rPr>
      </w:pPr>
    </w:p>
    <w:p w14:paraId="3155B15C" w14:textId="77777777" w:rsidR="00A54B03" w:rsidRPr="004676F5" w:rsidRDefault="00A54B03" w:rsidP="00A54B03">
      <w:pPr>
        <w:jc w:val="both"/>
        <w:rPr>
          <w:lang w:val="de-DE"/>
        </w:rPr>
      </w:pPr>
      <w:r w:rsidRPr="004676F5">
        <w:rPr>
          <w:lang w:val="de-DE"/>
        </w:rPr>
        <w:tab/>
        <w:t>Die Absätze 1 und 2 beziehen sich auf spezifische oder allgemeine Anforderungen in Bezug auf die Dienste der Informationsgesellschaft und die Anbieter dieser Dienste. Sie beziehen sich nicht auf die Anforderungen in Bezug auf Waren als solche, ihre materielle Lieferung oder Dienste, die nicht auf elektronischem Wege erbracht werden.</w:t>
      </w:r>
    </w:p>
    <w:p w14:paraId="3F81EB2B" w14:textId="77777777" w:rsidR="00A54B03" w:rsidRPr="004676F5" w:rsidRDefault="00A54B03" w:rsidP="00A54B03">
      <w:pPr>
        <w:jc w:val="center"/>
        <w:rPr>
          <w:i/>
          <w:lang w:val="de-DE"/>
        </w:rPr>
      </w:pPr>
    </w:p>
    <w:p w14:paraId="762794CE" w14:textId="77777777" w:rsidR="00A54B03" w:rsidRPr="004676F5" w:rsidRDefault="00A54B03" w:rsidP="00A54B03">
      <w:pPr>
        <w:jc w:val="center"/>
        <w:rPr>
          <w:i/>
          <w:lang w:val="de-DE"/>
        </w:rPr>
      </w:pPr>
    </w:p>
    <w:p w14:paraId="678487EA" w14:textId="4C0CA07C" w:rsidR="00A54B03" w:rsidRPr="004676F5" w:rsidRDefault="00A54B03" w:rsidP="00A54B03">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Abweichungen vom Grundsatz des freien Dienstleistungsverkehrs</w:t>
      </w:r>
    </w:p>
    <w:p w14:paraId="625EF732" w14:textId="77777777" w:rsidR="00A54B03" w:rsidRPr="004676F5" w:rsidRDefault="00A54B03" w:rsidP="00A54B03">
      <w:pPr>
        <w:jc w:val="both"/>
        <w:rPr>
          <w:lang w:val="de-DE"/>
        </w:rPr>
      </w:pPr>
    </w:p>
    <w:p w14:paraId="703E152C" w14:textId="77777777" w:rsidR="00A54B03" w:rsidRPr="004676F5" w:rsidRDefault="00A54B03" w:rsidP="00A54B03">
      <w:pPr>
        <w:jc w:val="both"/>
        <w:rPr>
          <w:lang w:val="de-DE"/>
        </w:rPr>
      </w:pPr>
    </w:p>
    <w:p w14:paraId="18BF3B4A" w14:textId="223F3E6C"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XII.4</w:t>
      </w:r>
      <w:r w:rsidRPr="004676F5">
        <w:rPr>
          <w:lang w:val="de-DE"/>
        </w:rPr>
        <w:t> </w:t>
      </w:r>
      <w:r w:rsidR="005B7A5C" w:rsidRPr="004676F5">
        <w:rPr>
          <w:lang w:val="de-DE"/>
        </w:rPr>
        <w:t>- </w:t>
      </w:r>
      <w:r w:rsidRPr="004676F5">
        <w:rPr>
          <w:lang w:val="de-DE"/>
        </w:rPr>
        <w:t xml:space="preserve">In Abweichung von Artikel XII.3 </w:t>
      </w:r>
      <w:r w:rsidR="00517509" w:rsidRPr="004676F5">
        <w:rPr>
          <w:lang w:val="de-DE"/>
        </w:rPr>
        <w:t>[sind Buch II Titel II Kapitel V Abschnitt 2 bis 4 und Buch III Titel I des Gesetzes vom 13. März 2016 über den Status und die Kontrolle der Versicherungs</w:t>
      </w:r>
      <w:r w:rsidR="005B7A5C" w:rsidRPr="004676F5">
        <w:rPr>
          <w:lang w:val="de-DE"/>
        </w:rPr>
        <w:t>- </w:t>
      </w:r>
      <w:r w:rsidR="00517509" w:rsidRPr="004676F5">
        <w:rPr>
          <w:lang w:val="de-DE"/>
        </w:rPr>
        <w:t>oder Rückversicherungsunternehmen anwendbar]</w:t>
      </w:r>
      <w:r w:rsidRPr="004676F5">
        <w:rPr>
          <w:lang w:val="de-DE"/>
        </w:rPr>
        <w:t>.</w:t>
      </w:r>
    </w:p>
    <w:p w14:paraId="7B52348F" w14:textId="77777777" w:rsidR="00A54B03" w:rsidRPr="004676F5" w:rsidRDefault="00A54B03" w:rsidP="00A54B03">
      <w:pPr>
        <w:jc w:val="both"/>
        <w:rPr>
          <w:lang w:val="de-DE"/>
        </w:rPr>
      </w:pPr>
    </w:p>
    <w:p w14:paraId="1BB75860" w14:textId="77777777" w:rsidR="00A54B03" w:rsidRPr="004676F5" w:rsidRDefault="00A54B03" w:rsidP="00A54B03">
      <w:pPr>
        <w:jc w:val="both"/>
        <w:rPr>
          <w:lang w:val="de-DE"/>
        </w:rPr>
      </w:pPr>
      <w:r w:rsidRPr="004676F5">
        <w:rPr>
          <w:lang w:val="de-DE"/>
        </w:rPr>
        <w:tab/>
        <w:t>In Abweichung von Artikel XII.3 ist Werbung für die Vermarktung von Anteilen der Organismen für gemeinsame Anlagen in Wertpapieren, die in Artikel 105 des Gesetzes vom 4. Dezember 1990 über die Geldgeschäfte und die Finanzmärkte erwähnt sind, den Rechtsvorschriften des Vermarktungslandes unterworfen.</w:t>
      </w:r>
    </w:p>
    <w:p w14:paraId="63C60941" w14:textId="77777777" w:rsidR="00A54B03" w:rsidRPr="004676F5" w:rsidRDefault="00A54B03" w:rsidP="00A54B03">
      <w:pPr>
        <w:jc w:val="both"/>
        <w:rPr>
          <w:lang w:val="de-DE"/>
        </w:rPr>
      </w:pPr>
    </w:p>
    <w:p w14:paraId="3F5DED29" w14:textId="77777777" w:rsidR="00A54B03" w:rsidRPr="004676F5" w:rsidRDefault="00A54B03" w:rsidP="00A54B03">
      <w:pPr>
        <w:jc w:val="both"/>
        <w:rPr>
          <w:lang w:val="de-DE"/>
        </w:rPr>
      </w:pPr>
      <w:r w:rsidRPr="004676F5">
        <w:rPr>
          <w:lang w:val="de-DE"/>
        </w:rPr>
        <w:tab/>
        <w:t>Artikel XII.3 findet keine Anwendung:</w:t>
      </w:r>
    </w:p>
    <w:p w14:paraId="116022FA" w14:textId="77777777" w:rsidR="00A54B03" w:rsidRPr="004676F5" w:rsidRDefault="00A54B03" w:rsidP="00A54B03">
      <w:pPr>
        <w:jc w:val="both"/>
        <w:rPr>
          <w:lang w:val="de-DE"/>
        </w:rPr>
      </w:pPr>
    </w:p>
    <w:p w14:paraId="302A8592" w14:textId="77777777" w:rsidR="00A54B03" w:rsidRPr="004676F5" w:rsidRDefault="00A54B03" w:rsidP="00A54B03">
      <w:pPr>
        <w:jc w:val="both"/>
        <w:rPr>
          <w:lang w:val="de-DE"/>
        </w:rPr>
      </w:pPr>
      <w:r w:rsidRPr="004676F5">
        <w:rPr>
          <w:lang w:val="de-DE"/>
        </w:rPr>
        <w:tab/>
        <w:t>1. auf die Freiheit der Rechtswahl für Vertragsparteien,</w:t>
      </w:r>
    </w:p>
    <w:p w14:paraId="6A530715" w14:textId="77777777" w:rsidR="00A54B03" w:rsidRPr="004676F5" w:rsidRDefault="00A54B03" w:rsidP="00A54B03">
      <w:pPr>
        <w:jc w:val="both"/>
        <w:rPr>
          <w:lang w:val="de-DE"/>
        </w:rPr>
      </w:pPr>
    </w:p>
    <w:p w14:paraId="0E4390B1" w14:textId="77777777" w:rsidR="00A54B03" w:rsidRPr="004676F5" w:rsidRDefault="00A54B03" w:rsidP="00A54B03">
      <w:pPr>
        <w:jc w:val="both"/>
        <w:rPr>
          <w:lang w:val="de-DE"/>
        </w:rPr>
      </w:pPr>
      <w:r w:rsidRPr="004676F5">
        <w:rPr>
          <w:lang w:val="de-DE"/>
        </w:rPr>
        <w:tab/>
        <w:t>2. auf vertragliche Schuldverhältnisse in Bezug auf Verbraucherverträge,</w:t>
      </w:r>
    </w:p>
    <w:p w14:paraId="51128488" w14:textId="77777777" w:rsidR="00A54B03" w:rsidRPr="004676F5" w:rsidRDefault="00A54B03" w:rsidP="00A54B03">
      <w:pPr>
        <w:jc w:val="both"/>
        <w:rPr>
          <w:lang w:val="de-DE"/>
        </w:rPr>
      </w:pPr>
    </w:p>
    <w:p w14:paraId="4E733204" w14:textId="77777777" w:rsidR="00A54B03" w:rsidRPr="004676F5" w:rsidRDefault="00A54B03" w:rsidP="00A54B03">
      <w:pPr>
        <w:jc w:val="both"/>
        <w:rPr>
          <w:lang w:val="de-DE"/>
        </w:rPr>
      </w:pPr>
      <w:r w:rsidRPr="004676F5">
        <w:rPr>
          <w:lang w:val="de-DE"/>
        </w:rPr>
        <w:lastRenderedPageBreak/>
        <w:tab/>
        <w:t>3. auf Urheberrecht und verwandte Schutzrechte, Rechte in Bezug auf Topographien von Halbleitererzeugnissen, Schutzrechte sui generis in Bezug auf Datenbanken, gewerbliche Schutzrechte,</w:t>
      </w:r>
    </w:p>
    <w:p w14:paraId="3452B0C6" w14:textId="77777777" w:rsidR="00A54B03" w:rsidRPr="004676F5" w:rsidRDefault="00A54B03" w:rsidP="00A54B03">
      <w:pPr>
        <w:jc w:val="both"/>
        <w:rPr>
          <w:lang w:val="de-DE"/>
        </w:rPr>
      </w:pPr>
    </w:p>
    <w:p w14:paraId="6354764B" w14:textId="77777777" w:rsidR="00A54B03" w:rsidRPr="004676F5" w:rsidRDefault="00A54B03" w:rsidP="00A54B03">
      <w:pPr>
        <w:jc w:val="both"/>
        <w:rPr>
          <w:lang w:val="de-DE"/>
        </w:rPr>
      </w:pPr>
      <w:r w:rsidRPr="004676F5">
        <w:rPr>
          <w:lang w:val="de-DE"/>
        </w:rPr>
        <w:tab/>
        <w:t>4. in Bezug auf die formale Gültigkeit von Verträgen, die Rechte an Immobilien begründen oder übertragen, sofern diese Verträge nach dem Recht des Mitgliedstaates, in dem sich die Immobilie befindet, zwingenden Formvorschriften unterliegen,</w:t>
      </w:r>
    </w:p>
    <w:p w14:paraId="3A4AF755" w14:textId="77777777" w:rsidR="00A54B03" w:rsidRPr="004676F5" w:rsidRDefault="00A54B03" w:rsidP="00A54B03">
      <w:pPr>
        <w:jc w:val="both"/>
        <w:rPr>
          <w:lang w:val="de-DE"/>
        </w:rPr>
      </w:pPr>
    </w:p>
    <w:p w14:paraId="68FF5AC8" w14:textId="77777777" w:rsidR="00A54B03" w:rsidRPr="004676F5" w:rsidRDefault="00A54B03" w:rsidP="00A54B03">
      <w:pPr>
        <w:jc w:val="both"/>
        <w:rPr>
          <w:lang w:val="de-DE"/>
        </w:rPr>
      </w:pPr>
      <w:r w:rsidRPr="004676F5">
        <w:rPr>
          <w:lang w:val="de-DE"/>
        </w:rPr>
        <w:tab/>
        <w:t>5. in Bezug auf die Zulässigkeit nicht angeforderter Werbung mittels elektronischer Post.</w:t>
      </w:r>
    </w:p>
    <w:p w14:paraId="274AA1DE" w14:textId="77777777" w:rsidR="00A54B03" w:rsidRPr="004676F5" w:rsidRDefault="00A54B03" w:rsidP="00A54B03">
      <w:pPr>
        <w:jc w:val="both"/>
        <w:rPr>
          <w:lang w:val="de-DE"/>
        </w:rPr>
      </w:pPr>
    </w:p>
    <w:p w14:paraId="75309B1C" w14:textId="66D22C30" w:rsidR="00517509" w:rsidRPr="004676F5" w:rsidRDefault="00517509" w:rsidP="00A54B03">
      <w:pPr>
        <w:jc w:val="both"/>
        <w:rPr>
          <w:i/>
          <w:iCs/>
          <w:lang w:val="de-DE"/>
        </w:rPr>
      </w:pPr>
      <w:r w:rsidRPr="004676F5">
        <w:rPr>
          <w:i/>
          <w:lang w:val="de-DE"/>
        </w:rPr>
        <w:t>[</w:t>
      </w:r>
      <w:r w:rsidR="00BE0A56" w:rsidRPr="004676F5">
        <w:rPr>
          <w:i/>
          <w:lang w:val="de-DE"/>
        </w:rPr>
        <w:t>Art. </w:t>
      </w:r>
      <w:r w:rsidRPr="004676F5">
        <w:rPr>
          <w:i/>
          <w:lang w:val="de-DE"/>
        </w:rPr>
        <w:t xml:space="preserve">XII.4 Abs. 1 abgeändert durch </w:t>
      </w:r>
      <w:r w:rsidR="00BE0A56" w:rsidRPr="004676F5">
        <w:rPr>
          <w:i/>
          <w:lang w:val="de-DE"/>
        </w:rPr>
        <w:t>Art. </w:t>
      </w:r>
      <w:r w:rsidRPr="004676F5">
        <w:rPr>
          <w:i/>
          <w:lang w:val="de-DE"/>
        </w:rPr>
        <w:t>754</w:t>
      </w:r>
      <w:r w:rsidRPr="004676F5">
        <w:rPr>
          <w:i/>
          <w:iCs/>
          <w:lang w:val="de-DE"/>
        </w:rPr>
        <w:t xml:space="preserve"> des G. vom 13. März 2016 (B.S. vom 23. März 2016, Err. vom 8. April 2016)]</w:t>
      </w:r>
    </w:p>
    <w:p w14:paraId="64BB7CBA" w14:textId="77777777" w:rsidR="00517509" w:rsidRPr="004676F5" w:rsidRDefault="00517509" w:rsidP="00A54B03">
      <w:pPr>
        <w:jc w:val="both"/>
        <w:rPr>
          <w:i/>
          <w:lang w:val="de-DE"/>
        </w:rPr>
      </w:pPr>
    </w:p>
    <w:p w14:paraId="07ACD9A5" w14:textId="77777777" w:rsidR="00A54B03" w:rsidRPr="004676F5" w:rsidRDefault="00A54B03">
      <w:pPr>
        <w:rPr>
          <w:lang w:val="de-DE"/>
        </w:rPr>
      </w:pPr>
    </w:p>
    <w:p w14:paraId="0D263BE7" w14:textId="1A78CFD2" w:rsidR="005F7749" w:rsidRPr="004676F5" w:rsidRDefault="005F7749" w:rsidP="005F7749">
      <w:pPr>
        <w:jc w:val="both"/>
        <w:rPr>
          <w:lang w:val="de-DE"/>
        </w:rPr>
      </w:pPr>
      <w:r w:rsidRPr="004676F5">
        <w:rPr>
          <w:lang w:val="de-DE"/>
        </w:rPr>
        <w:tab/>
        <w:t>[</w:t>
      </w:r>
      <w:r w:rsidR="00BE0A56" w:rsidRPr="004676F5">
        <w:rPr>
          <w:b/>
          <w:lang w:val="de-DE"/>
        </w:rPr>
        <w:t>Art. </w:t>
      </w:r>
      <w:r w:rsidRPr="004676F5">
        <w:rPr>
          <w:b/>
          <w:lang w:val="de-DE"/>
        </w:rPr>
        <w:t>XII.5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Unter den in den Paragraphen 2 bis 5 erwähnten Bedingungen legt der König in Abweichung von den Bestimmungen des Artikels XII.3 die Modalitäten fest, nach denen die Behörden, die Er bestimmt, spezifische Maßnahmen zur Einschränkung des freien Verkehrs eines Dienstes der Informationsgesellschaft, der von einem in einem anderen Mitgliedstaat niedergelassenen Diensteanbieter erbracht wird, ergreifen können.</w:t>
      </w:r>
    </w:p>
    <w:p w14:paraId="0ED4BFCC" w14:textId="77777777" w:rsidR="005F7749" w:rsidRPr="004676F5" w:rsidRDefault="005F7749" w:rsidP="005F7749">
      <w:pPr>
        <w:jc w:val="both"/>
        <w:rPr>
          <w:lang w:val="de-DE"/>
        </w:rPr>
      </w:pPr>
    </w:p>
    <w:p w14:paraId="12CEB567" w14:textId="768CB11C" w:rsidR="005F7749" w:rsidRPr="004676F5" w:rsidRDefault="005F7749" w:rsidP="005F7749">
      <w:pPr>
        <w:jc w:val="both"/>
        <w:rPr>
          <w:lang w:val="de-DE"/>
        </w:rPr>
      </w:pPr>
      <w:r w:rsidRPr="004676F5">
        <w:rPr>
          <w:lang w:val="de-DE"/>
        </w:rPr>
        <w:tab/>
        <w:t>§ 2 </w:t>
      </w:r>
      <w:r w:rsidR="005B7A5C" w:rsidRPr="004676F5">
        <w:rPr>
          <w:lang w:val="de-DE"/>
        </w:rPr>
        <w:t>- </w:t>
      </w:r>
      <w:r w:rsidRPr="004676F5">
        <w:rPr>
          <w:lang w:val="de-DE"/>
        </w:rPr>
        <w:t>Die in den Paragraphen 1 und 6 erwähnten Maßnahmen müssen:</w:t>
      </w:r>
    </w:p>
    <w:p w14:paraId="1F11DE0D" w14:textId="77777777" w:rsidR="005F7749" w:rsidRPr="004676F5" w:rsidRDefault="005F7749" w:rsidP="005F7749">
      <w:pPr>
        <w:jc w:val="both"/>
        <w:rPr>
          <w:lang w:val="de-DE"/>
        </w:rPr>
      </w:pPr>
    </w:p>
    <w:p w14:paraId="0B8063F4" w14:textId="77777777" w:rsidR="005F7749" w:rsidRPr="004676F5" w:rsidRDefault="005F7749" w:rsidP="005F7749">
      <w:pPr>
        <w:jc w:val="both"/>
        <w:rPr>
          <w:lang w:val="de-DE"/>
        </w:rPr>
      </w:pPr>
      <w:r w:rsidRPr="004676F5">
        <w:rPr>
          <w:lang w:val="de-DE"/>
        </w:rPr>
        <w:tab/>
        <w:t>1. aus einem der folgenden Gründe erforderlich sein:</w:t>
      </w:r>
    </w:p>
    <w:p w14:paraId="57874934" w14:textId="77777777" w:rsidR="005F7749" w:rsidRPr="004676F5" w:rsidRDefault="005F7749" w:rsidP="005F7749">
      <w:pPr>
        <w:jc w:val="both"/>
        <w:rPr>
          <w:lang w:val="de-DE"/>
        </w:rPr>
      </w:pPr>
    </w:p>
    <w:p w14:paraId="7C102741" w14:textId="7DBCB0B5" w:rsidR="005F7749" w:rsidRPr="004676F5" w:rsidRDefault="005F7749" w:rsidP="005F7749">
      <w:pPr>
        <w:jc w:val="both"/>
        <w:rPr>
          <w:lang w:val="de-DE"/>
        </w:rPr>
      </w:pPr>
      <w:r w:rsidRPr="004676F5">
        <w:rPr>
          <w:lang w:val="de-DE"/>
        </w:rPr>
        <w:tab/>
      </w:r>
      <w:r w:rsidR="005B7A5C" w:rsidRPr="004676F5">
        <w:rPr>
          <w:lang w:val="de-DE"/>
        </w:rPr>
        <w:t>- </w:t>
      </w:r>
      <w:r w:rsidRPr="004676F5">
        <w:rPr>
          <w:lang w:val="de-DE"/>
        </w:rPr>
        <w:t>Schutz der öffentlichen Ordnung, insbesondere Verhütung, Ermittlung, Aufklärung und Verfolgung von Straftaten, einschließlich des Jugendschutzes und der Bekämpfung der Hetze aus Gründen der Rasse, des Geschlechts, des Glaubens oder der Staatsangehörigkeit und von Verletzungen der Menschenwürde einzelner Personen,</w:t>
      </w:r>
    </w:p>
    <w:p w14:paraId="12BEE0E0" w14:textId="77777777" w:rsidR="005F7749" w:rsidRPr="004676F5" w:rsidRDefault="005F7749" w:rsidP="005F7749">
      <w:pPr>
        <w:rPr>
          <w:lang w:val="de-DE"/>
        </w:rPr>
      </w:pPr>
    </w:p>
    <w:p w14:paraId="3FC5B962" w14:textId="44835B07" w:rsidR="005F7749" w:rsidRPr="004676F5" w:rsidRDefault="005F7749" w:rsidP="005F7749">
      <w:pPr>
        <w:rPr>
          <w:lang w:val="de-DE"/>
        </w:rPr>
      </w:pPr>
      <w:r w:rsidRPr="004676F5">
        <w:rPr>
          <w:lang w:val="de-DE"/>
        </w:rPr>
        <w:tab/>
      </w:r>
      <w:r w:rsidR="005B7A5C" w:rsidRPr="004676F5">
        <w:rPr>
          <w:lang w:val="de-DE"/>
        </w:rPr>
        <w:t>- </w:t>
      </w:r>
      <w:r w:rsidRPr="004676F5">
        <w:rPr>
          <w:lang w:val="de-DE"/>
        </w:rPr>
        <w:t>Schutz der Volksgesundheit,</w:t>
      </w:r>
    </w:p>
    <w:p w14:paraId="1F65AD6F" w14:textId="77777777" w:rsidR="005F7749" w:rsidRPr="004676F5" w:rsidRDefault="005F7749" w:rsidP="005F7749">
      <w:pPr>
        <w:rPr>
          <w:lang w:val="de-DE"/>
        </w:rPr>
      </w:pPr>
    </w:p>
    <w:p w14:paraId="1ABB4415" w14:textId="56EED539" w:rsidR="005F7749" w:rsidRPr="004676F5" w:rsidRDefault="005F7749" w:rsidP="005F7749">
      <w:pPr>
        <w:jc w:val="both"/>
        <w:rPr>
          <w:lang w:val="de-DE"/>
        </w:rPr>
      </w:pPr>
      <w:r w:rsidRPr="004676F5">
        <w:rPr>
          <w:lang w:val="de-DE"/>
        </w:rPr>
        <w:tab/>
      </w:r>
      <w:r w:rsidR="005B7A5C" w:rsidRPr="004676F5">
        <w:rPr>
          <w:lang w:val="de-DE"/>
        </w:rPr>
        <w:t>- </w:t>
      </w:r>
      <w:r w:rsidRPr="004676F5">
        <w:rPr>
          <w:lang w:val="de-DE"/>
        </w:rPr>
        <w:t>Schutz der öffentlichen Sicherheit, einschließlich der Wahrung nationaler Sicherheits</w:t>
      </w:r>
      <w:r w:rsidR="005B7A5C" w:rsidRPr="004676F5">
        <w:rPr>
          <w:lang w:val="de-DE"/>
        </w:rPr>
        <w:t>- </w:t>
      </w:r>
      <w:r w:rsidRPr="004676F5">
        <w:rPr>
          <w:lang w:val="de-DE"/>
        </w:rPr>
        <w:t>und Verteidigungsinteressen,</w:t>
      </w:r>
    </w:p>
    <w:p w14:paraId="1D2F9B6B" w14:textId="77777777" w:rsidR="005F7749" w:rsidRPr="004676F5" w:rsidRDefault="005F7749" w:rsidP="005F7749">
      <w:pPr>
        <w:jc w:val="both"/>
        <w:rPr>
          <w:lang w:val="de-DE"/>
        </w:rPr>
      </w:pPr>
    </w:p>
    <w:p w14:paraId="466A1DC7" w14:textId="205CC853" w:rsidR="005F7749" w:rsidRPr="004676F5" w:rsidRDefault="005F7749" w:rsidP="005F7749">
      <w:pPr>
        <w:jc w:val="both"/>
        <w:rPr>
          <w:lang w:val="de-DE"/>
        </w:rPr>
      </w:pPr>
      <w:r w:rsidRPr="004676F5">
        <w:rPr>
          <w:lang w:val="de-DE"/>
        </w:rPr>
        <w:tab/>
      </w:r>
      <w:r w:rsidR="005B7A5C" w:rsidRPr="004676F5">
        <w:rPr>
          <w:lang w:val="de-DE"/>
        </w:rPr>
        <w:t>- </w:t>
      </w:r>
      <w:r w:rsidRPr="004676F5">
        <w:rPr>
          <w:lang w:val="de-DE"/>
        </w:rPr>
        <w:t>Schutz der Verbraucher, einschließlich des Schutzes von Anlegern,</w:t>
      </w:r>
    </w:p>
    <w:p w14:paraId="70054730" w14:textId="77777777" w:rsidR="005F7749" w:rsidRPr="004676F5" w:rsidRDefault="005F7749" w:rsidP="005F7749">
      <w:pPr>
        <w:jc w:val="both"/>
        <w:rPr>
          <w:lang w:val="de-DE"/>
        </w:rPr>
      </w:pPr>
    </w:p>
    <w:p w14:paraId="1588EBDC" w14:textId="77777777" w:rsidR="005F7749" w:rsidRPr="004676F5" w:rsidRDefault="005F7749" w:rsidP="005F7749">
      <w:pPr>
        <w:jc w:val="both"/>
        <w:rPr>
          <w:lang w:val="de-DE"/>
        </w:rPr>
      </w:pPr>
      <w:r w:rsidRPr="004676F5">
        <w:rPr>
          <w:lang w:val="de-DE"/>
        </w:rPr>
        <w:tab/>
        <w:t>2. einen bestimmten Dienst der Informationsgesellschaft betreffen, der die unter Nr. 1 genannten Schutzziele beeinträchtigt oder eine ernsthafte und schwerwiegende Gefahr einer Beeinträchtigung dieser Ziele darstellt,</w:t>
      </w:r>
    </w:p>
    <w:p w14:paraId="40CD0E4B" w14:textId="77777777" w:rsidR="005F7749" w:rsidRPr="004676F5" w:rsidRDefault="005F7749" w:rsidP="005F7749">
      <w:pPr>
        <w:jc w:val="both"/>
        <w:rPr>
          <w:lang w:val="de-DE"/>
        </w:rPr>
      </w:pPr>
    </w:p>
    <w:p w14:paraId="15AA3601" w14:textId="77777777" w:rsidR="005F7749" w:rsidRPr="004676F5" w:rsidRDefault="005F7749" w:rsidP="005F7749">
      <w:pPr>
        <w:jc w:val="both"/>
        <w:rPr>
          <w:lang w:val="de-DE"/>
        </w:rPr>
      </w:pPr>
      <w:r w:rsidRPr="004676F5">
        <w:rPr>
          <w:lang w:val="de-DE"/>
        </w:rPr>
        <w:tab/>
        <w:t>3. in einem angemessenen Verhältnis zu diesen Schutzzielen stehen.</w:t>
      </w:r>
    </w:p>
    <w:p w14:paraId="3DE68746" w14:textId="77777777" w:rsidR="005F7749" w:rsidRPr="004676F5" w:rsidRDefault="005F7749" w:rsidP="005F7749">
      <w:pPr>
        <w:jc w:val="both"/>
        <w:rPr>
          <w:lang w:val="de-DE"/>
        </w:rPr>
      </w:pPr>
    </w:p>
    <w:p w14:paraId="4FE06A23" w14:textId="511BD896" w:rsidR="005F7749" w:rsidRPr="004676F5" w:rsidRDefault="005F7749" w:rsidP="005F7749">
      <w:pPr>
        <w:jc w:val="both"/>
        <w:rPr>
          <w:lang w:val="de-DE"/>
        </w:rPr>
      </w:pPr>
      <w:r w:rsidRPr="004676F5">
        <w:rPr>
          <w:lang w:val="de-DE"/>
        </w:rPr>
        <w:tab/>
        <w:t>§ 3 </w:t>
      </w:r>
      <w:r w:rsidR="005B7A5C" w:rsidRPr="004676F5">
        <w:rPr>
          <w:lang w:val="de-DE"/>
        </w:rPr>
        <w:t>- </w:t>
      </w:r>
      <w:r w:rsidRPr="004676F5">
        <w:rPr>
          <w:lang w:val="de-DE"/>
        </w:rPr>
        <w:t xml:space="preserve">Unbeschadet etwaiger Gerichtsverfahren, einschließlich Schritten im Rahmen einer Ermittlung oder einer gerichtlichen Untersuchung, müssen die in § 1 erwähnten Behörden vor Ergreifen jeglicher Maßnahme den Mitgliedstaat, auf dessen Hoheitsgebiet der betreffende Diensteanbieter niedergelassen ist, auffordern, die zur Gewährleistung der in § 2 Nr. 1 erwähnten Schutzziele erforderlichen Maßnahmen zu treffen. </w:t>
      </w:r>
    </w:p>
    <w:p w14:paraId="6F549528" w14:textId="77777777" w:rsidR="005F7749" w:rsidRPr="004676F5" w:rsidRDefault="005F7749" w:rsidP="005F7749">
      <w:pPr>
        <w:jc w:val="both"/>
        <w:rPr>
          <w:lang w:val="de-DE"/>
        </w:rPr>
      </w:pPr>
    </w:p>
    <w:p w14:paraId="1AEB1492" w14:textId="1E0E8446" w:rsidR="005F7749" w:rsidRPr="004676F5" w:rsidRDefault="005F7749" w:rsidP="005F7749">
      <w:pPr>
        <w:jc w:val="both"/>
        <w:rPr>
          <w:lang w:val="de-DE"/>
        </w:rPr>
      </w:pPr>
      <w:r w:rsidRPr="004676F5">
        <w:rPr>
          <w:lang w:val="de-DE"/>
        </w:rPr>
        <w:tab/>
        <w:t>§ 4 </w:t>
      </w:r>
      <w:r w:rsidR="005B7A5C" w:rsidRPr="004676F5">
        <w:rPr>
          <w:lang w:val="de-DE"/>
        </w:rPr>
        <w:t>- </w:t>
      </w:r>
      <w:r w:rsidRPr="004676F5">
        <w:rPr>
          <w:lang w:val="de-DE"/>
        </w:rPr>
        <w:t>Leistet der betreffende Mitgliedstaat dieser Aufforderung nicht Folge oder ergreift er keine ausreichenden Maßnahmen, teilen die in § 1 erwähnten Behörden dies dem Untersuchungsrichter des Gerichtsbezirks Brüssel mit.</w:t>
      </w:r>
    </w:p>
    <w:p w14:paraId="4780F463" w14:textId="77777777" w:rsidR="005F7749" w:rsidRPr="004676F5" w:rsidRDefault="005F7749" w:rsidP="005F7749">
      <w:pPr>
        <w:jc w:val="both"/>
        <w:rPr>
          <w:lang w:val="de-DE"/>
        </w:rPr>
      </w:pPr>
    </w:p>
    <w:p w14:paraId="392C6184" w14:textId="77777777" w:rsidR="005F7749" w:rsidRPr="004676F5" w:rsidRDefault="005F7749" w:rsidP="005F7749">
      <w:pPr>
        <w:jc w:val="both"/>
        <w:rPr>
          <w:lang w:val="de-DE"/>
        </w:rPr>
      </w:pPr>
      <w:r w:rsidRPr="004676F5">
        <w:rPr>
          <w:lang w:val="de-DE"/>
        </w:rPr>
        <w:tab/>
        <w:t>Sie informieren zuerst die Europäische Kommission und den betreffenden Mitgliedstaat über ihr Vorhaben.</w:t>
      </w:r>
    </w:p>
    <w:p w14:paraId="76A5DFD7" w14:textId="77777777" w:rsidR="005F7749" w:rsidRPr="004676F5" w:rsidRDefault="005F7749" w:rsidP="005F7749">
      <w:pPr>
        <w:jc w:val="both"/>
        <w:rPr>
          <w:lang w:val="de-DE"/>
        </w:rPr>
      </w:pPr>
    </w:p>
    <w:p w14:paraId="5489219B" w14:textId="31AF5D48" w:rsidR="005F7749" w:rsidRPr="004676F5" w:rsidRDefault="005F7749" w:rsidP="005F7749">
      <w:pPr>
        <w:jc w:val="both"/>
        <w:rPr>
          <w:lang w:val="de-DE"/>
        </w:rPr>
      </w:pPr>
      <w:r w:rsidRPr="004676F5">
        <w:rPr>
          <w:lang w:val="de-DE"/>
        </w:rPr>
        <w:tab/>
        <w:t>§ 5 </w:t>
      </w:r>
      <w:r w:rsidR="005B7A5C" w:rsidRPr="004676F5">
        <w:rPr>
          <w:lang w:val="de-DE"/>
        </w:rPr>
        <w:t>- </w:t>
      </w:r>
      <w:r w:rsidRPr="004676F5">
        <w:rPr>
          <w:lang w:val="de-DE"/>
        </w:rPr>
        <w:t>In dringlichen Fällen und unter den in § 2 erwähnten Bedingungen können die in § 1 erwähnten Behörden den Untersuchungsrichter unmittelbar informieren, vorausgesetzt, sie setzen die Europäische Kommission und den betreffenden Mitgliedstaat unverzüglich davon in Kenntnis.</w:t>
      </w:r>
    </w:p>
    <w:p w14:paraId="2BDB23BB" w14:textId="77777777" w:rsidR="005F7749" w:rsidRPr="004676F5" w:rsidRDefault="005F7749" w:rsidP="005F7749">
      <w:pPr>
        <w:jc w:val="both"/>
        <w:rPr>
          <w:lang w:val="de-DE"/>
        </w:rPr>
      </w:pPr>
    </w:p>
    <w:p w14:paraId="10F69068" w14:textId="4F3AE800" w:rsidR="005F7749" w:rsidRPr="004676F5" w:rsidRDefault="005F7749" w:rsidP="005F7749">
      <w:pPr>
        <w:jc w:val="both"/>
        <w:rPr>
          <w:lang w:val="de-DE"/>
        </w:rPr>
      </w:pPr>
      <w:r w:rsidRPr="004676F5">
        <w:rPr>
          <w:lang w:val="de-DE"/>
        </w:rPr>
        <w:tab/>
        <w:t>§ 6 </w:t>
      </w:r>
      <w:r w:rsidR="005B7A5C" w:rsidRPr="004676F5">
        <w:rPr>
          <w:lang w:val="de-DE"/>
        </w:rPr>
        <w:t>- </w:t>
      </w:r>
      <w:r w:rsidRPr="004676F5">
        <w:rPr>
          <w:lang w:val="de-DE"/>
        </w:rPr>
        <w:t xml:space="preserve">Wird der Untersuchungsrichter gemäß den Bestimmungen von § 2 und von § 4 oder § 5 von den in § 1 erwähnten Behörden informiert, kann er durch einen mit Gründen versehenen Beschluss die Diensteanbieter anweisen, in den Grenzen und für die Dauer, die er bestimmt und die einen Monat nicht übersteigen darf, das Kommunikationsmittel, das zur Ausführung der Handlungen dient, die die Gewährleistung der in § 2 Nr. 1 erwähnten Schutzziele gefährden oder gefährden können, dem in einem anderen Mitgliedstaat niedergelassenen Diensteanbieter nicht mehr zur Verfügung zu stellen, wenn sie dazu in der Lage sind. </w:t>
      </w:r>
    </w:p>
    <w:p w14:paraId="5E0EA698" w14:textId="77777777" w:rsidR="005F7749" w:rsidRPr="004676F5" w:rsidRDefault="005F7749" w:rsidP="005F7749">
      <w:pPr>
        <w:jc w:val="both"/>
        <w:rPr>
          <w:lang w:val="de-DE"/>
        </w:rPr>
      </w:pPr>
    </w:p>
    <w:p w14:paraId="7319F3A0" w14:textId="77777777" w:rsidR="00A54B03" w:rsidRPr="004676F5" w:rsidRDefault="005F7749" w:rsidP="005F7749">
      <w:pPr>
        <w:jc w:val="both"/>
        <w:rPr>
          <w:lang w:val="de-DE"/>
        </w:rPr>
      </w:pPr>
      <w:r w:rsidRPr="004676F5">
        <w:rPr>
          <w:lang w:val="de-DE"/>
        </w:rPr>
        <w:tab/>
        <w:t>Der Untersuchungsrichter kann die Wirkung seines Beschlusses ein oder mehrere Male verlängern; er muss sie beenden, sobald die Umstände, die ihn rechtfertigen, nicht mehr gegeben sind.]</w:t>
      </w:r>
    </w:p>
    <w:p w14:paraId="45A43C3B" w14:textId="77777777" w:rsidR="005F7749" w:rsidRPr="004676F5" w:rsidRDefault="005F7749" w:rsidP="005F7749">
      <w:pPr>
        <w:jc w:val="both"/>
        <w:rPr>
          <w:lang w:val="de-DE"/>
        </w:rPr>
      </w:pPr>
    </w:p>
    <w:p w14:paraId="48A78E0E" w14:textId="3CB49887" w:rsidR="005F7749" w:rsidRPr="004676F5" w:rsidRDefault="005F7749" w:rsidP="005F7749">
      <w:pPr>
        <w:jc w:val="both"/>
        <w:rPr>
          <w:i/>
          <w:lang w:val="de-DE"/>
        </w:rPr>
      </w:pPr>
      <w:r w:rsidRPr="004676F5">
        <w:rPr>
          <w:i/>
          <w:lang w:val="de-DE"/>
        </w:rPr>
        <w:t>[</w:t>
      </w:r>
      <w:r w:rsidR="00BE0A56" w:rsidRPr="004676F5">
        <w:rPr>
          <w:i/>
          <w:lang w:val="de-DE"/>
        </w:rPr>
        <w:t>Art. </w:t>
      </w:r>
      <w:r w:rsidRPr="004676F5">
        <w:rPr>
          <w:i/>
          <w:lang w:val="de-DE"/>
        </w:rPr>
        <w:t xml:space="preserve">XII.5 eingefügt durch </w:t>
      </w:r>
      <w:r w:rsidR="00BE0A56" w:rsidRPr="004676F5">
        <w:rPr>
          <w:i/>
          <w:lang w:val="de-DE"/>
        </w:rPr>
        <w:t>Art. </w:t>
      </w:r>
      <w:r w:rsidRPr="004676F5">
        <w:rPr>
          <w:i/>
          <w:lang w:val="de-DE"/>
        </w:rPr>
        <w:t>2 des G. vom 26. Dezember 2013 (II) (B.S. vom 14. Januar 2014)]</w:t>
      </w:r>
    </w:p>
    <w:p w14:paraId="5F019B22" w14:textId="77777777" w:rsidR="005F7749" w:rsidRPr="004676F5" w:rsidRDefault="005F7749">
      <w:pPr>
        <w:rPr>
          <w:lang w:val="de-DE"/>
        </w:rPr>
      </w:pPr>
      <w:r w:rsidRPr="004676F5">
        <w:rPr>
          <w:lang w:val="de-DE"/>
        </w:rPr>
        <w:br w:type="page"/>
      </w:r>
    </w:p>
    <w:p w14:paraId="5BA93E58" w14:textId="253F1C9E" w:rsidR="00A54B03" w:rsidRPr="004676F5" w:rsidRDefault="00A54B03" w:rsidP="005F7749">
      <w:pPr>
        <w:jc w:val="center"/>
        <w:rPr>
          <w:lang w:val="de-DE"/>
        </w:rPr>
      </w:pPr>
      <w:r w:rsidRPr="004676F5">
        <w:rPr>
          <w:lang w:val="de-DE"/>
        </w:rPr>
        <w:lastRenderedPageBreak/>
        <w:t>KAPITEL 3 </w:t>
      </w:r>
      <w:r w:rsidR="005B7A5C" w:rsidRPr="004676F5">
        <w:rPr>
          <w:lang w:val="de-DE"/>
        </w:rPr>
        <w:t>- </w:t>
      </w:r>
      <w:r w:rsidRPr="004676F5">
        <w:rPr>
          <w:i/>
          <w:lang w:val="de-DE"/>
        </w:rPr>
        <w:t>Information und Transparenz</w:t>
      </w:r>
      <w:r w:rsidRPr="004676F5">
        <w:rPr>
          <w:lang w:val="de-DE"/>
        </w:rPr>
        <w:t xml:space="preserve"> </w:t>
      </w:r>
    </w:p>
    <w:p w14:paraId="06C98B64" w14:textId="77777777" w:rsidR="00A54B03" w:rsidRPr="004676F5" w:rsidRDefault="00A54B03" w:rsidP="00A54B03">
      <w:pPr>
        <w:jc w:val="both"/>
        <w:rPr>
          <w:lang w:val="de-DE"/>
        </w:rPr>
      </w:pPr>
    </w:p>
    <w:p w14:paraId="7CF5317F" w14:textId="77777777" w:rsidR="00A54B03" w:rsidRPr="004676F5" w:rsidRDefault="00A54B03" w:rsidP="00A54B03">
      <w:pPr>
        <w:jc w:val="both"/>
        <w:rPr>
          <w:lang w:val="de-DE"/>
        </w:rPr>
      </w:pPr>
    </w:p>
    <w:p w14:paraId="6578E1DA" w14:textId="52D76C0C"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anderen gesetzlichen und verordnungsrechtlichen Informationsanforderungen gewährleistet jeder Diensteanbieter der Informationsgesellschaft, dass zumindest folgende Informationen für die Nutzer und zuständigen Behörden leicht, unmittelbar und ständig verfügbar sind:</w:t>
      </w:r>
    </w:p>
    <w:p w14:paraId="697D46D4" w14:textId="77777777" w:rsidR="00A54B03" w:rsidRPr="004676F5" w:rsidRDefault="00A54B03" w:rsidP="00A54B03">
      <w:pPr>
        <w:jc w:val="both"/>
        <w:rPr>
          <w:lang w:val="de-DE"/>
        </w:rPr>
      </w:pPr>
    </w:p>
    <w:p w14:paraId="06131CAB" w14:textId="77777777" w:rsidR="00A54B03" w:rsidRPr="004676F5" w:rsidRDefault="00A54B03" w:rsidP="00A54B03">
      <w:pPr>
        <w:jc w:val="both"/>
        <w:rPr>
          <w:lang w:val="de-DE"/>
        </w:rPr>
      </w:pPr>
      <w:r w:rsidRPr="004676F5">
        <w:rPr>
          <w:lang w:val="de-DE"/>
        </w:rPr>
        <w:tab/>
        <w:t>1. sein Name oder sein Gesellschaftsname,</w:t>
      </w:r>
    </w:p>
    <w:p w14:paraId="263F83F2" w14:textId="77777777" w:rsidR="00A54B03" w:rsidRPr="004676F5" w:rsidRDefault="00A54B03" w:rsidP="00A54B03">
      <w:pPr>
        <w:jc w:val="both"/>
        <w:rPr>
          <w:lang w:val="de-DE"/>
        </w:rPr>
      </w:pPr>
    </w:p>
    <w:p w14:paraId="6DB59AC0" w14:textId="77777777" w:rsidR="00A54B03" w:rsidRPr="004676F5" w:rsidRDefault="00A54B03" w:rsidP="00A54B03">
      <w:pPr>
        <w:jc w:val="both"/>
        <w:rPr>
          <w:lang w:val="de-DE"/>
        </w:rPr>
      </w:pPr>
      <w:r w:rsidRPr="004676F5">
        <w:rPr>
          <w:lang w:val="de-DE"/>
        </w:rPr>
        <w:tab/>
        <w:t xml:space="preserve">2. geographische Anschrift, unter der der Diensteanbieter sich niedergelassen hat, </w:t>
      </w:r>
    </w:p>
    <w:p w14:paraId="6AFEAEA9" w14:textId="77777777" w:rsidR="00A54B03" w:rsidRPr="004676F5" w:rsidRDefault="00A54B03" w:rsidP="00A54B03">
      <w:pPr>
        <w:jc w:val="both"/>
        <w:rPr>
          <w:lang w:val="de-DE"/>
        </w:rPr>
      </w:pPr>
    </w:p>
    <w:p w14:paraId="477F6D6C" w14:textId="77777777" w:rsidR="00A54B03" w:rsidRPr="004676F5" w:rsidRDefault="00A54B03" w:rsidP="00A54B03">
      <w:pPr>
        <w:jc w:val="both"/>
        <w:rPr>
          <w:lang w:val="de-DE"/>
        </w:rPr>
      </w:pPr>
      <w:r w:rsidRPr="004676F5">
        <w:rPr>
          <w:lang w:val="de-DE"/>
        </w:rPr>
        <w:tab/>
        <w:t xml:space="preserve">3. Angaben, die es ermöglichen, schnell mit ihm Kontakt aufzunehmen und unmittelbar und effizient mit ihm zu kommunizieren, einschließlich seiner Adresse der elektronischen Post, </w:t>
      </w:r>
    </w:p>
    <w:p w14:paraId="7E95B4F4" w14:textId="77777777" w:rsidR="00A54B03" w:rsidRPr="004676F5" w:rsidRDefault="00A54B03" w:rsidP="00A54B03">
      <w:pPr>
        <w:jc w:val="both"/>
        <w:rPr>
          <w:lang w:val="de-DE"/>
        </w:rPr>
      </w:pPr>
    </w:p>
    <w:p w14:paraId="504BE3FC" w14:textId="77777777" w:rsidR="00A54B03" w:rsidRPr="004676F5" w:rsidRDefault="00A54B03" w:rsidP="00A54B03">
      <w:pPr>
        <w:jc w:val="both"/>
        <w:rPr>
          <w:lang w:val="de-DE"/>
        </w:rPr>
      </w:pPr>
      <w:r w:rsidRPr="004676F5">
        <w:rPr>
          <w:lang w:val="de-DE"/>
        </w:rPr>
        <w:tab/>
        <w:t>4. gegebenenfalls Unternehmensnummer,</w:t>
      </w:r>
    </w:p>
    <w:p w14:paraId="0A761164" w14:textId="77777777" w:rsidR="00A54B03" w:rsidRPr="004676F5" w:rsidRDefault="00A54B03" w:rsidP="00A54B03">
      <w:pPr>
        <w:jc w:val="both"/>
        <w:rPr>
          <w:lang w:val="de-DE"/>
        </w:rPr>
      </w:pPr>
    </w:p>
    <w:p w14:paraId="6E85F0CF" w14:textId="77777777" w:rsidR="00A54B03" w:rsidRPr="004676F5" w:rsidRDefault="00A54B03" w:rsidP="00A54B03">
      <w:pPr>
        <w:jc w:val="both"/>
        <w:rPr>
          <w:lang w:val="de-DE"/>
        </w:rPr>
      </w:pPr>
      <w:r w:rsidRPr="004676F5">
        <w:rPr>
          <w:lang w:val="de-DE"/>
        </w:rPr>
        <w:tab/>
        <w:t xml:space="preserve">5. soweit für die Tätigkeit eine Zulassung erforderlich ist, Angaben zur zuständigen Aufsichtsbehörde, </w:t>
      </w:r>
    </w:p>
    <w:p w14:paraId="237419FB" w14:textId="77777777" w:rsidR="00A54B03" w:rsidRPr="004676F5" w:rsidRDefault="00A54B03" w:rsidP="00A54B03">
      <w:pPr>
        <w:jc w:val="both"/>
        <w:rPr>
          <w:lang w:val="de-DE"/>
        </w:rPr>
      </w:pPr>
    </w:p>
    <w:p w14:paraId="38157180" w14:textId="77777777" w:rsidR="00A54B03" w:rsidRPr="004676F5" w:rsidRDefault="00A54B03" w:rsidP="00A54B03">
      <w:pPr>
        <w:jc w:val="both"/>
        <w:rPr>
          <w:lang w:val="de-DE"/>
        </w:rPr>
      </w:pPr>
      <w:r w:rsidRPr="004676F5">
        <w:rPr>
          <w:lang w:val="de-DE"/>
        </w:rPr>
        <w:tab/>
        <w:t>6. hinsichtlich reglementierter Berufe:</w:t>
      </w:r>
    </w:p>
    <w:p w14:paraId="29B001A2" w14:textId="77777777" w:rsidR="00A54B03" w:rsidRPr="004676F5" w:rsidRDefault="00A54B03" w:rsidP="00A54B03">
      <w:pPr>
        <w:jc w:val="both"/>
        <w:rPr>
          <w:lang w:val="de-DE"/>
        </w:rPr>
      </w:pPr>
    </w:p>
    <w:p w14:paraId="603B7E4A" w14:textId="77777777" w:rsidR="00A54B03" w:rsidRPr="004676F5" w:rsidRDefault="00A54B03" w:rsidP="00A54B03">
      <w:pPr>
        <w:jc w:val="both"/>
        <w:rPr>
          <w:lang w:val="de-DE"/>
        </w:rPr>
      </w:pPr>
      <w:r w:rsidRPr="004676F5">
        <w:rPr>
          <w:lang w:val="de-DE"/>
        </w:rPr>
        <w:tab/>
      </w:r>
      <w:r w:rsidRPr="004676F5">
        <w:rPr>
          <w:i/>
          <w:lang w:val="de-DE"/>
        </w:rPr>
        <w:t>a)</w:t>
      </w:r>
      <w:r w:rsidRPr="004676F5">
        <w:rPr>
          <w:lang w:val="de-DE"/>
        </w:rPr>
        <w:t> Berufsverband oder Berufsorganisation, dem oder der der Diensteanbieter angehört,</w:t>
      </w:r>
    </w:p>
    <w:p w14:paraId="6568BFF0" w14:textId="77777777" w:rsidR="00A54B03" w:rsidRPr="004676F5" w:rsidRDefault="00A54B03" w:rsidP="00A54B03">
      <w:pPr>
        <w:jc w:val="both"/>
        <w:rPr>
          <w:lang w:val="de-DE"/>
        </w:rPr>
      </w:pPr>
    </w:p>
    <w:p w14:paraId="7E9838F8" w14:textId="77777777" w:rsidR="00A54B03" w:rsidRPr="004676F5" w:rsidRDefault="00A54B03" w:rsidP="00A54B03">
      <w:pPr>
        <w:jc w:val="both"/>
        <w:rPr>
          <w:lang w:val="de-DE"/>
        </w:rPr>
      </w:pPr>
      <w:r w:rsidRPr="004676F5">
        <w:rPr>
          <w:lang w:val="de-DE"/>
        </w:rPr>
        <w:tab/>
      </w:r>
      <w:r w:rsidRPr="004676F5">
        <w:rPr>
          <w:i/>
          <w:lang w:val="de-DE"/>
        </w:rPr>
        <w:t>b)</w:t>
      </w:r>
      <w:r w:rsidRPr="004676F5">
        <w:rPr>
          <w:lang w:val="de-DE"/>
        </w:rPr>
        <w:t xml:space="preserve"> Berufsbezeichnung und Staat, in der sie verliehen worden ist, </w:t>
      </w:r>
    </w:p>
    <w:p w14:paraId="30CE79AE" w14:textId="77777777" w:rsidR="00A54B03" w:rsidRPr="004676F5" w:rsidRDefault="00A54B03" w:rsidP="00A54B03">
      <w:pPr>
        <w:jc w:val="both"/>
        <w:rPr>
          <w:lang w:val="de-DE"/>
        </w:rPr>
      </w:pPr>
    </w:p>
    <w:p w14:paraId="7C1EDE26" w14:textId="77777777" w:rsidR="00A54B03" w:rsidRPr="004676F5" w:rsidRDefault="00A54B03" w:rsidP="00A54B03">
      <w:pPr>
        <w:jc w:val="both"/>
        <w:rPr>
          <w:lang w:val="de-DE"/>
        </w:rPr>
      </w:pPr>
      <w:r w:rsidRPr="004676F5">
        <w:rPr>
          <w:lang w:val="de-DE"/>
        </w:rPr>
        <w:tab/>
      </w:r>
      <w:r w:rsidRPr="004676F5">
        <w:rPr>
          <w:i/>
          <w:lang w:val="de-DE"/>
        </w:rPr>
        <w:t>c)</w:t>
      </w:r>
      <w:r w:rsidRPr="004676F5">
        <w:rPr>
          <w:lang w:val="de-DE"/>
        </w:rPr>
        <w:t> eine Verweisung auf die anwendbaren berufsrechtlichen Regeln und Angaben dazu, wie sie zugänglich sind,</w:t>
      </w:r>
    </w:p>
    <w:p w14:paraId="473D651F" w14:textId="77777777" w:rsidR="00A54B03" w:rsidRPr="004676F5" w:rsidRDefault="00A54B03" w:rsidP="00A54B03">
      <w:pPr>
        <w:jc w:val="both"/>
        <w:rPr>
          <w:lang w:val="de-DE"/>
        </w:rPr>
      </w:pPr>
    </w:p>
    <w:p w14:paraId="195D1FEB" w14:textId="77777777" w:rsidR="00A54B03" w:rsidRPr="004676F5" w:rsidRDefault="00A54B03" w:rsidP="00A54B03">
      <w:pPr>
        <w:jc w:val="both"/>
        <w:rPr>
          <w:lang w:val="de-DE"/>
        </w:rPr>
      </w:pPr>
      <w:r w:rsidRPr="004676F5">
        <w:rPr>
          <w:lang w:val="de-DE"/>
        </w:rPr>
        <w:tab/>
        <w:t>7. in Fällen, in denen der Diensteanbieter Tätigkeiten ausübt, die der Mehrwertsteuer unterliegen, in Artikel 50 des Mehrwertsteuergesetzbuches erwähnte Identifikationsnummer,</w:t>
      </w:r>
    </w:p>
    <w:p w14:paraId="249E430E" w14:textId="77777777" w:rsidR="00A54B03" w:rsidRPr="004676F5" w:rsidRDefault="00A54B03" w:rsidP="00A54B03">
      <w:pPr>
        <w:jc w:val="both"/>
        <w:rPr>
          <w:lang w:val="de-DE"/>
        </w:rPr>
      </w:pPr>
    </w:p>
    <w:p w14:paraId="667F2AE7" w14:textId="77777777" w:rsidR="00A54B03" w:rsidRPr="004676F5" w:rsidRDefault="00A54B03" w:rsidP="00A54B03">
      <w:pPr>
        <w:jc w:val="both"/>
        <w:rPr>
          <w:lang w:val="de-DE"/>
        </w:rPr>
      </w:pPr>
      <w:r w:rsidRPr="004676F5">
        <w:rPr>
          <w:lang w:val="de-DE"/>
        </w:rPr>
        <w:tab/>
        <w:t>8. Verhaltenskodizes, denen er sich unterwirft, einschließlich Informationen darüber, wie diese Kodizes auf elektronischem Wege zugänglich sind.</w:t>
      </w:r>
    </w:p>
    <w:p w14:paraId="379DD050" w14:textId="77777777" w:rsidR="00A54B03" w:rsidRPr="004676F5" w:rsidRDefault="00A54B03" w:rsidP="00A54B03">
      <w:pPr>
        <w:jc w:val="both"/>
        <w:rPr>
          <w:lang w:val="de-DE"/>
        </w:rPr>
      </w:pPr>
    </w:p>
    <w:p w14:paraId="3C4D5239" w14:textId="48B37020" w:rsidR="00A54B03" w:rsidRPr="004676F5" w:rsidRDefault="00A54B03" w:rsidP="00A54B03">
      <w:pPr>
        <w:jc w:val="both"/>
        <w:rPr>
          <w:lang w:val="de-DE"/>
        </w:rPr>
      </w:pPr>
      <w:r w:rsidRPr="004676F5">
        <w:rPr>
          <w:lang w:val="de-DE"/>
        </w:rPr>
        <w:tab/>
        <w:t>§ 2 </w:t>
      </w:r>
      <w:r w:rsidR="005B7A5C" w:rsidRPr="004676F5">
        <w:rPr>
          <w:lang w:val="de-DE"/>
        </w:rPr>
        <w:t>- </w:t>
      </w:r>
      <w:r w:rsidRPr="004676F5">
        <w:rPr>
          <w:lang w:val="de-DE"/>
        </w:rPr>
        <w:t>Unbeschadet der anderen gesetzlichen und verordnungsrechtlichen Anforde</w:t>
      </w:r>
      <w:r w:rsidRPr="004676F5">
        <w:rPr>
          <w:lang w:val="de-DE"/>
        </w:rPr>
        <w:softHyphen/>
        <w:t>rungen in Bezug auf die Preisauszeichnung sind Preise, soweit Dienste der Informations</w:t>
      </w:r>
      <w:r w:rsidRPr="004676F5">
        <w:rPr>
          <w:lang w:val="de-DE"/>
        </w:rPr>
        <w:softHyphen/>
        <w:t>gesellschaft auf Preise Bezug nehmen, klar und unzweideutig ausgewiesen, und wird insbesondere angegeben, ob Steuern und Versandkosten in den Preisen enthalten sind.</w:t>
      </w:r>
    </w:p>
    <w:p w14:paraId="7D582148" w14:textId="77777777" w:rsidR="00A54B03" w:rsidRPr="004676F5" w:rsidRDefault="00A54B03" w:rsidP="00A54B03">
      <w:pPr>
        <w:jc w:val="both"/>
        <w:rPr>
          <w:lang w:val="de-DE"/>
        </w:rPr>
      </w:pPr>
    </w:p>
    <w:p w14:paraId="3901B96C" w14:textId="77777777" w:rsidR="00A54B03" w:rsidRPr="004676F5" w:rsidRDefault="00A54B03" w:rsidP="00A54B03">
      <w:pPr>
        <w:jc w:val="both"/>
        <w:rPr>
          <w:lang w:val="de-DE"/>
        </w:rPr>
      </w:pPr>
    </w:p>
    <w:p w14:paraId="12333E3A" w14:textId="737DA304"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anderen gesetzlichen und verordnungsrechtlichen Informationsanforderungen erteilt der Diensteanbieter zumindest folgende Informationen klar, verständlich und unzweideutig, bevor der Nutzer des Dienstes auf elektronischem Wege eine Bestellung aufgibt:</w:t>
      </w:r>
    </w:p>
    <w:p w14:paraId="52E6F051" w14:textId="77777777" w:rsidR="00A54B03" w:rsidRPr="004676F5" w:rsidRDefault="00A54B03" w:rsidP="00A54B03">
      <w:pPr>
        <w:jc w:val="both"/>
        <w:rPr>
          <w:lang w:val="de-DE"/>
        </w:rPr>
      </w:pPr>
    </w:p>
    <w:p w14:paraId="009E2494" w14:textId="77777777" w:rsidR="00A54B03" w:rsidRPr="004676F5" w:rsidRDefault="00A54B03" w:rsidP="00A54B03">
      <w:pPr>
        <w:jc w:val="both"/>
        <w:rPr>
          <w:lang w:val="de-DE"/>
        </w:rPr>
      </w:pPr>
      <w:r w:rsidRPr="004676F5">
        <w:rPr>
          <w:lang w:val="de-DE"/>
        </w:rPr>
        <w:tab/>
        <w:t>1. für den Vertragsabschluss zur Verfügung stehende Sprachen,</w:t>
      </w:r>
    </w:p>
    <w:p w14:paraId="4DEDEA60" w14:textId="77777777" w:rsidR="00A54B03" w:rsidRPr="004676F5" w:rsidRDefault="00A54B03" w:rsidP="00A54B03">
      <w:pPr>
        <w:jc w:val="both"/>
        <w:rPr>
          <w:lang w:val="de-DE"/>
        </w:rPr>
      </w:pPr>
    </w:p>
    <w:p w14:paraId="3B454FF3" w14:textId="77777777" w:rsidR="00A54B03" w:rsidRPr="004676F5" w:rsidRDefault="00A54B03" w:rsidP="00A54B03">
      <w:pPr>
        <w:jc w:val="both"/>
        <w:rPr>
          <w:lang w:val="de-DE"/>
        </w:rPr>
      </w:pPr>
      <w:r w:rsidRPr="004676F5">
        <w:rPr>
          <w:lang w:val="de-DE"/>
        </w:rPr>
        <w:tab/>
        <w:t>2. einzelne technische Schritte, die zu einem Vertragsabschluss führen,</w:t>
      </w:r>
    </w:p>
    <w:p w14:paraId="6D18F1DE" w14:textId="77777777" w:rsidR="00A54B03" w:rsidRPr="004676F5" w:rsidRDefault="00A54B03" w:rsidP="00A54B03">
      <w:pPr>
        <w:jc w:val="both"/>
        <w:rPr>
          <w:lang w:val="de-DE"/>
        </w:rPr>
      </w:pPr>
    </w:p>
    <w:p w14:paraId="7103D49F" w14:textId="77777777" w:rsidR="00A54B03" w:rsidRPr="004676F5" w:rsidRDefault="00A54B03" w:rsidP="00A54B03">
      <w:pPr>
        <w:jc w:val="both"/>
        <w:rPr>
          <w:lang w:val="de-DE"/>
        </w:rPr>
      </w:pPr>
      <w:r w:rsidRPr="004676F5">
        <w:rPr>
          <w:lang w:val="de-DE"/>
        </w:rPr>
        <w:tab/>
        <w:t xml:space="preserve">3. technische Mittel zur Erkennung und Korrektur von Eingabefehlern vor Aufgabe der Bestellung, </w:t>
      </w:r>
    </w:p>
    <w:p w14:paraId="3B00C515" w14:textId="77777777" w:rsidR="00A54B03" w:rsidRPr="004676F5" w:rsidRDefault="00A54B03" w:rsidP="00A54B03">
      <w:pPr>
        <w:jc w:val="both"/>
        <w:rPr>
          <w:lang w:val="de-DE"/>
        </w:rPr>
      </w:pPr>
    </w:p>
    <w:p w14:paraId="27959112" w14:textId="77777777" w:rsidR="00A54B03" w:rsidRPr="004676F5" w:rsidRDefault="00A54B03" w:rsidP="00A54B03">
      <w:pPr>
        <w:jc w:val="both"/>
        <w:rPr>
          <w:lang w:val="de-DE"/>
        </w:rPr>
      </w:pPr>
      <w:r w:rsidRPr="004676F5">
        <w:rPr>
          <w:lang w:val="de-DE"/>
        </w:rPr>
        <w:tab/>
        <w:t xml:space="preserve">4. Angaben dazu, ob der Vertragstext nach Vertragsabschluss vom Diensteanbieter gespeichert wird und ob er zugänglich sein wird. </w:t>
      </w:r>
    </w:p>
    <w:p w14:paraId="2FEB1C3B" w14:textId="77777777" w:rsidR="00A54B03" w:rsidRPr="004676F5" w:rsidRDefault="00A54B03" w:rsidP="00A54B03">
      <w:pPr>
        <w:jc w:val="both"/>
        <w:rPr>
          <w:lang w:val="de-DE"/>
        </w:rPr>
      </w:pPr>
    </w:p>
    <w:p w14:paraId="69A6E237" w14:textId="7BBDBD55" w:rsidR="00A54B03" w:rsidRPr="004676F5" w:rsidRDefault="00A54B03" w:rsidP="00A54B03">
      <w:pPr>
        <w:jc w:val="both"/>
        <w:rPr>
          <w:lang w:val="de-DE"/>
        </w:rPr>
      </w:pPr>
      <w:r w:rsidRPr="004676F5">
        <w:rPr>
          <w:lang w:val="de-DE"/>
        </w:rPr>
        <w:tab/>
        <w:t>§ 2 </w:t>
      </w:r>
      <w:r w:rsidR="005B7A5C" w:rsidRPr="004676F5">
        <w:rPr>
          <w:lang w:val="de-DE"/>
        </w:rPr>
        <w:t>- </w:t>
      </w:r>
      <w:r w:rsidRPr="004676F5">
        <w:rPr>
          <w:lang w:val="de-DE"/>
        </w:rPr>
        <w:t>Die Vertragsbestimmungen und die allgemeinen Geschäftsbedingungen müssen dem Nutzer so zur Verfügung gestellt werden, dass er sie speichern und reproduzieren kann.</w:t>
      </w:r>
    </w:p>
    <w:p w14:paraId="42414F91" w14:textId="77777777" w:rsidR="00A54B03" w:rsidRPr="004676F5" w:rsidRDefault="00A54B03" w:rsidP="00A54B03">
      <w:pPr>
        <w:jc w:val="both"/>
        <w:rPr>
          <w:lang w:val="de-DE"/>
        </w:rPr>
      </w:pPr>
    </w:p>
    <w:p w14:paraId="5E96439E" w14:textId="77777777" w:rsidR="00A54B03" w:rsidRPr="004676F5" w:rsidRDefault="00A54B03" w:rsidP="00A54B03">
      <w:pPr>
        <w:jc w:val="both"/>
        <w:rPr>
          <w:lang w:val="de-DE"/>
        </w:rPr>
      </w:pPr>
      <w:r w:rsidRPr="004676F5">
        <w:rPr>
          <w:lang w:val="de-DE"/>
        </w:rPr>
        <w:tab/>
      </w:r>
    </w:p>
    <w:p w14:paraId="45ACEB5A" w14:textId="04112FEE"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XII.8</w:t>
      </w:r>
      <w:r w:rsidRPr="004676F5">
        <w:rPr>
          <w:lang w:val="de-DE"/>
        </w:rPr>
        <w:t> </w:t>
      </w:r>
      <w:r w:rsidR="005B7A5C" w:rsidRPr="004676F5">
        <w:rPr>
          <w:lang w:val="de-DE"/>
        </w:rPr>
        <w:t>- </w:t>
      </w:r>
      <w:r w:rsidRPr="004676F5">
        <w:rPr>
          <w:lang w:val="de-DE"/>
        </w:rPr>
        <w:t>Vor Aufgabe der Bestellung stellt der Diensteanbieter dem Nutzer angemessene technische Mittel zur Verfügung, mit denen er Eingabefehler erkennen und korrigieren kann.</w:t>
      </w:r>
    </w:p>
    <w:p w14:paraId="15CDA534" w14:textId="77777777" w:rsidR="00A54B03" w:rsidRPr="004676F5" w:rsidRDefault="00A54B03" w:rsidP="00A54B03">
      <w:pPr>
        <w:jc w:val="both"/>
        <w:rPr>
          <w:lang w:val="de-DE"/>
        </w:rPr>
      </w:pPr>
    </w:p>
    <w:p w14:paraId="0D4776A3" w14:textId="77777777" w:rsidR="00A54B03" w:rsidRPr="004676F5" w:rsidRDefault="00A54B03" w:rsidP="00A54B03">
      <w:pPr>
        <w:jc w:val="both"/>
        <w:rPr>
          <w:lang w:val="de-DE"/>
        </w:rPr>
      </w:pPr>
    </w:p>
    <w:p w14:paraId="099F0E48" w14:textId="1C0F155F"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XII.9</w:t>
      </w:r>
      <w:r w:rsidRPr="004676F5">
        <w:rPr>
          <w:lang w:val="de-DE"/>
        </w:rPr>
        <w:t> </w:t>
      </w:r>
      <w:r w:rsidR="005B7A5C" w:rsidRPr="004676F5">
        <w:rPr>
          <w:lang w:val="de-DE"/>
        </w:rPr>
        <w:t>- </w:t>
      </w:r>
      <w:r w:rsidRPr="004676F5">
        <w:rPr>
          <w:lang w:val="de-DE"/>
        </w:rPr>
        <w:t>Gibt der Nutzer auf elektronischem Wege eine Bestellung auf, gelten folgende Grundsätze:</w:t>
      </w:r>
    </w:p>
    <w:p w14:paraId="35F38313" w14:textId="77777777" w:rsidR="00A54B03" w:rsidRPr="004676F5" w:rsidRDefault="00A54B03" w:rsidP="00A54B03">
      <w:pPr>
        <w:jc w:val="both"/>
        <w:rPr>
          <w:lang w:val="de-DE"/>
        </w:rPr>
      </w:pPr>
    </w:p>
    <w:p w14:paraId="59F83C1A" w14:textId="77777777" w:rsidR="00A54B03" w:rsidRPr="004676F5" w:rsidRDefault="00A54B03" w:rsidP="00A54B03">
      <w:pPr>
        <w:jc w:val="both"/>
        <w:rPr>
          <w:lang w:val="de-DE"/>
        </w:rPr>
      </w:pPr>
      <w:r w:rsidRPr="004676F5">
        <w:rPr>
          <w:lang w:val="de-DE"/>
        </w:rPr>
        <w:tab/>
        <w:t>1. Der Diensteanbieter bestätigt den Eingang der Bestellung des Nutzers unverzüglich auf elektronischem Wege.</w:t>
      </w:r>
    </w:p>
    <w:p w14:paraId="2326A73C" w14:textId="77777777" w:rsidR="00A54B03" w:rsidRPr="004676F5" w:rsidRDefault="00A54B03" w:rsidP="00A54B03">
      <w:pPr>
        <w:jc w:val="both"/>
        <w:rPr>
          <w:lang w:val="de-DE"/>
        </w:rPr>
      </w:pPr>
    </w:p>
    <w:p w14:paraId="1CEA70F5" w14:textId="77777777" w:rsidR="00A54B03" w:rsidRPr="004676F5" w:rsidRDefault="00A54B03" w:rsidP="00A54B03">
      <w:pPr>
        <w:jc w:val="both"/>
        <w:rPr>
          <w:lang w:val="de-DE"/>
        </w:rPr>
      </w:pPr>
      <w:r w:rsidRPr="004676F5">
        <w:rPr>
          <w:lang w:val="de-DE"/>
        </w:rPr>
        <w:tab/>
        <w:t>2. Die Empfangsbestätigung enthält unter anderem eine Zusammenfassung der Bestellung.</w:t>
      </w:r>
    </w:p>
    <w:p w14:paraId="68FC1768" w14:textId="77777777" w:rsidR="00A54B03" w:rsidRPr="004676F5" w:rsidRDefault="00A54B03" w:rsidP="00A54B03">
      <w:pPr>
        <w:jc w:val="both"/>
        <w:rPr>
          <w:lang w:val="de-DE"/>
        </w:rPr>
      </w:pPr>
    </w:p>
    <w:p w14:paraId="2A1AD7A9" w14:textId="77777777" w:rsidR="00A54B03" w:rsidRPr="004676F5" w:rsidRDefault="00A54B03" w:rsidP="00A54B03">
      <w:pPr>
        <w:jc w:val="both"/>
        <w:rPr>
          <w:lang w:val="de-DE"/>
        </w:rPr>
      </w:pPr>
      <w:r w:rsidRPr="004676F5">
        <w:rPr>
          <w:lang w:val="de-DE"/>
        </w:rPr>
        <w:tab/>
        <w:t>3. Bestellung und Empfangsbestätigung gelten als eingegangen, wenn die Parteien, für die sie bestimmt sind, sie abrufen können.</w:t>
      </w:r>
    </w:p>
    <w:p w14:paraId="62D030EE" w14:textId="77777777" w:rsidR="00A54B03" w:rsidRPr="004676F5" w:rsidRDefault="00A54B03" w:rsidP="00A54B03">
      <w:pPr>
        <w:jc w:val="both"/>
        <w:rPr>
          <w:lang w:val="de-DE"/>
        </w:rPr>
      </w:pPr>
    </w:p>
    <w:p w14:paraId="67F1FFB0" w14:textId="77777777" w:rsidR="00A54B03" w:rsidRPr="004676F5" w:rsidRDefault="00A54B03" w:rsidP="00A54B03">
      <w:pPr>
        <w:jc w:val="both"/>
        <w:rPr>
          <w:lang w:val="de-DE"/>
        </w:rPr>
      </w:pPr>
    </w:p>
    <w:p w14:paraId="49EAEBFD" w14:textId="494F65C3"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XII.10</w:t>
      </w:r>
      <w:r w:rsidRPr="004676F5">
        <w:rPr>
          <w:lang w:val="de-DE"/>
        </w:rPr>
        <w:t> </w:t>
      </w:r>
      <w:r w:rsidR="005B7A5C" w:rsidRPr="004676F5">
        <w:rPr>
          <w:lang w:val="de-DE"/>
        </w:rPr>
        <w:t>- </w:t>
      </w:r>
      <w:r w:rsidRPr="004676F5">
        <w:rPr>
          <w:lang w:val="de-DE"/>
        </w:rPr>
        <w:t>Parteien, die nicht Verbraucher sind, können durch Vereinbarung von den Bestimmungen der Artikel XII.6 § 1 Nr. 8, XII.7 § 1, XII.8 und XII.9 abweichen.</w:t>
      </w:r>
    </w:p>
    <w:p w14:paraId="546C15B6" w14:textId="77777777" w:rsidR="00A54B03" w:rsidRPr="004676F5" w:rsidRDefault="00A54B03" w:rsidP="00A54B03">
      <w:pPr>
        <w:jc w:val="both"/>
        <w:rPr>
          <w:lang w:val="de-DE"/>
        </w:rPr>
      </w:pPr>
    </w:p>
    <w:p w14:paraId="5189C7EC" w14:textId="77777777" w:rsidR="00A54B03" w:rsidRPr="004676F5" w:rsidRDefault="00A54B03" w:rsidP="00A54B03">
      <w:pPr>
        <w:jc w:val="both"/>
        <w:rPr>
          <w:lang w:val="de-DE"/>
        </w:rPr>
      </w:pPr>
      <w:r w:rsidRPr="004676F5">
        <w:rPr>
          <w:lang w:val="de-DE"/>
        </w:rPr>
        <w:tab/>
        <w:t>Die Bestimmungen der Artikel XII.6 § 1 Nr. 8, XII.7 § 1, XII.8 und XII.9 Nr. 1 und 2 gelten nicht für Verträge, die ausschließlich durch Austausch von elektronischer Post geschlossen werden.</w:t>
      </w:r>
    </w:p>
    <w:p w14:paraId="2DC79CA6" w14:textId="77777777" w:rsidR="00A54B03" w:rsidRPr="004676F5" w:rsidRDefault="00A54B03" w:rsidP="00A54B03">
      <w:pPr>
        <w:jc w:val="both"/>
        <w:rPr>
          <w:lang w:val="de-DE"/>
        </w:rPr>
      </w:pPr>
    </w:p>
    <w:p w14:paraId="5DD16611" w14:textId="77777777" w:rsidR="00A54B03" w:rsidRPr="004676F5" w:rsidRDefault="00A54B03" w:rsidP="00A54B03">
      <w:pPr>
        <w:jc w:val="both"/>
        <w:rPr>
          <w:lang w:val="de-DE"/>
        </w:rPr>
      </w:pPr>
    </w:p>
    <w:p w14:paraId="45458B3E" w14:textId="40E5D1AB"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XII.11</w:t>
      </w:r>
      <w:r w:rsidRPr="004676F5">
        <w:rPr>
          <w:lang w:val="de-DE"/>
        </w:rPr>
        <w:t> </w:t>
      </w:r>
      <w:r w:rsidR="005B7A5C" w:rsidRPr="004676F5">
        <w:rPr>
          <w:lang w:val="de-DE"/>
        </w:rPr>
        <w:t>- </w:t>
      </w:r>
      <w:r w:rsidRPr="004676F5">
        <w:rPr>
          <w:lang w:val="de-DE"/>
        </w:rPr>
        <w:t>In Bezug auf Verbraucher obliegt es dem Diensteanbieter zu beweisen, dass er den in den Artikeln XII.6 bis XII.9 vorgesehenen Anforderungen gerecht geworden ist.</w:t>
      </w:r>
    </w:p>
    <w:p w14:paraId="17FBA709" w14:textId="77777777" w:rsidR="00A54B03" w:rsidRPr="004676F5" w:rsidRDefault="00A54B03" w:rsidP="00A54B03">
      <w:pPr>
        <w:jc w:val="both"/>
        <w:rPr>
          <w:lang w:val="de-DE"/>
        </w:rPr>
      </w:pPr>
    </w:p>
    <w:p w14:paraId="2C43D21F" w14:textId="77777777" w:rsidR="00A54B03" w:rsidRPr="004676F5" w:rsidRDefault="00A54B03" w:rsidP="00A54B03">
      <w:pPr>
        <w:spacing w:after="200" w:line="276" w:lineRule="auto"/>
        <w:rPr>
          <w:lang w:val="de-DE"/>
        </w:rPr>
      </w:pPr>
    </w:p>
    <w:p w14:paraId="40E0BE89" w14:textId="77777777" w:rsidR="00A54B03" w:rsidRPr="004676F5" w:rsidRDefault="00A54B03">
      <w:pPr>
        <w:rPr>
          <w:lang w:val="de-DE"/>
        </w:rPr>
      </w:pPr>
      <w:r w:rsidRPr="004676F5">
        <w:rPr>
          <w:lang w:val="de-DE"/>
        </w:rPr>
        <w:br w:type="page"/>
      </w:r>
    </w:p>
    <w:p w14:paraId="08FA6E5B" w14:textId="3A02BE05" w:rsidR="00A54B03" w:rsidRPr="004676F5" w:rsidRDefault="00A54B03" w:rsidP="00A54B03">
      <w:pPr>
        <w:jc w:val="center"/>
        <w:rPr>
          <w:i/>
          <w:lang w:val="de-DE"/>
        </w:rPr>
      </w:pPr>
      <w:r w:rsidRPr="004676F5">
        <w:rPr>
          <w:lang w:val="de-DE"/>
        </w:rPr>
        <w:lastRenderedPageBreak/>
        <w:t>KAPITEL 4 </w:t>
      </w:r>
      <w:r w:rsidR="005B7A5C" w:rsidRPr="004676F5">
        <w:rPr>
          <w:lang w:val="de-DE"/>
        </w:rPr>
        <w:t>- </w:t>
      </w:r>
      <w:r w:rsidRPr="004676F5">
        <w:rPr>
          <w:i/>
          <w:lang w:val="de-DE"/>
        </w:rPr>
        <w:t>Werbung</w:t>
      </w:r>
    </w:p>
    <w:p w14:paraId="0A6851B5" w14:textId="77777777" w:rsidR="00A54B03" w:rsidRPr="004676F5" w:rsidRDefault="00A54B03" w:rsidP="00A54B03">
      <w:pPr>
        <w:jc w:val="both"/>
        <w:rPr>
          <w:lang w:val="de-DE"/>
        </w:rPr>
      </w:pPr>
    </w:p>
    <w:p w14:paraId="5F134C84" w14:textId="77777777" w:rsidR="00A54B03" w:rsidRPr="004676F5" w:rsidRDefault="00A54B03" w:rsidP="00A54B03">
      <w:pPr>
        <w:jc w:val="both"/>
        <w:rPr>
          <w:lang w:val="de-DE"/>
        </w:rPr>
      </w:pPr>
    </w:p>
    <w:p w14:paraId="026B53E6" w14:textId="44AA8AB3"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XII.12</w:t>
      </w:r>
      <w:r w:rsidRPr="004676F5">
        <w:rPr>
          <w:lang w:val="de-DE"/>
        </w:rPr>
        <w:t> </w:t>
      </w:r>
      <w:r w:rsidR="005B7A5C" w:rsidRPr="004676F5">
        <w:rPr>
          <w:lang w:val="de-DE"/>
        </w:rPr>
        <w:t>- </w:t>
      </w:r>
      <w:r w:rsidRPr="004676F5">
        <w:rPr>
          <w:lang w:val="de-DE"/>
        </w:rPr>
        <w:t>Unbeschadet der anderen gesetzlichen und verordnungsrechtlichen Informationsanforderungen erfüllt Werbung, die Bestandteil eines Dienstes der Informationsgesellschaft ist oder einen solchen Dienst darstellt, folgende Bedingungen:</w:t>
      </w:r>
    </w:p>
    <w:p w14:paraId="6A7E6044" w14:textId="77777777" w:rsidR="00A54B03" w:rsidRPr="004676F5" w:rsidRDefault="00A54B03" w:rsidP="00A54B03">
      <w:pPr>
        <w:jc w:val="both"/>
        <w:rPr>
          <w:lang w:val="de-DE"/>
        </w:rPr>
      </w:pPr>
    </w:p>
    <w:p w14:paraId="0D3FF603" w14:textId="77777777" w:rsidR="00A54B03" w:rsidRPr="004676F5" w:rsidRDefault="00A54B03" w:rsidP="00A54B03">
      <w:pPr>
        <w:jc w:val="both"/>
        <w:rPr>
          <w:lang w:val="de-DE"/>
        </w:rPr>
      </w:pPr>
      <w:r w:rsidRPr="004676F5">
        <w:rPr>
          <w:lang w:val="de-DE"/>
        </w:rPr>
        <w:tab/>
        <w:t>1. Sofort nach ihrem Eingang ist Werbung in Anbetracht ihrer globalen Wirkung einschließlich ihrer Präsentation klar als solche zu erkennen. Andernfalls trägt sie lesbar, sichtbar und unzweideutig den Vermerk "Werbung".</w:t>
      </w:r>
    </w:p>
    <w:p w14:paraId="69CD8B62" w14:textId="77777777" w:rsidR="00A54B03" w:rsidRPr="004676F5" w:rsidRDefault="00A54B03" w:rsidP="00A54B03">
      <w:pPr>
        <w:jc w:val="both"/>
        <w:rPr>
          <w:lang w:val="de-DE"/>
        </w:rPr>
      </w:pPr>
    </w:p>
    <w:p w14:paraId="0D691495" w14:textId="77777777" w:rsidR="00A54B03" w:rsidRPr="004676F5" w:rsidRDefault="00A54B03" w:rsidP="00A54B03">
      <w:pPr>
        <w:jc w:val="both"/>
        <w:rPr>
          <w:lang w:val="de-DE"/>
        </w:rPr>
      </w:pPr>
      <w:r w:rsidRPr="004676F5">
        <w:rPr>
          <w:lang w:val="de-DE"/>
        </w:rPr>
        <w:tab/>
        <w:t>2. Die natürliche oder juristische Person, in deren Auftrag Werbung gemacht wird, ist klar identifizierbar.</w:t>
      </w:r>
    </w:p>
    <w:p w14:paraId="134753C6" w14:textId="77777777" w:rsidR="00A54B03" w:rsidRPr="004676F5" w:rsidRDefault="00A54B03" w:rsidP="00A54B03">
      <w:pPr>
        <w:jc w:val="both"/>
        <w:rPr>
          <w:lang w:val="de-DE"/>
        </w:rPr>
      </w:pPr>
    </w:p>
    <w:p w14:paraId="32659CE3" w14:textId="77777777" w:rsidR="00A54B03" w:rsidRPr="004676F5" w:rsidRDefault="00A54B03" w:rsidP="00A54B03">
      <w:pPr>
        <w:jc w:val="both"/>
        <w:rPr>
          <w:lang w:val="de-DE"/>
        </w:rPr>
      </w:pPr>
      <w:r w:rsidRPr="004676F5">
        <w:rPr>
          <w:lang w:val="de-DE"/>
        </w:rPr>
        <w:tab/>
        <w:t>3. Angebote zur Verkaufsförderung, wie Ankündigungen von Preisnachlässen und Kopplungsgeschäfte, sind klar als solche erkennbar und die Bedingungen für ihre Inanspruchnahme sind leicht zugänglich und klar und unzweideutig angegeben.</w:t>
      </w:r>
    </w:p>
    <w:p w14:paraId="7F406EA7" w14:textId="77777777" w:rsidR="00A54B03" w:rsidRPr="004676F5" w:rsidRDefault="00A54B03" w:rsidP="00A54B03">
      <w:pPr>
        <w:jc w:val="both"/>
        <w:rPr>
          <w:lang w:val="de-DE"/>
        </w:rPr>
      </w:pPr>
    </w:p>
    <w:p w14:paraId="65E1F3BA" w14:textId="77777777" w:rsidR="00A54B03" w:rsidRPr="004676F5" w:rsidRDefault="00A54B03" w:rsidP="00A54B03">
      <w:pPr>
        <w:jc w:val="both"/>
        <w:rPr>
          <w:lang w:val="de-DE"/>
        </w:rPr>
      </w:pPr>
      <w:r w:rsidRPr="004676F5">
        <w:rPr>
          <w:lang w:val="de-DE"/>
        </w:rPr>
        <w:tab/>
        <w:t>4. Preisausschreiben oder Gewinnspiele sind klar als solche erkennbar und die Teilnahmebedingungen sind leicht zugänglich und klar und unzweideutig angegeben.</w:t>
      </w:r>
    </w:p>
    <w:p w14:paraId="2850188A" w14:textId="77777777" w:rsidR="00A54B03" w:rsidRPr="004676F5" w:rsidRDefault="00A54B03" w:rsidP="00A54B03">
      <w:pPr>
        <w:jc w:val="both"/>
        <w:rPr>
          <w:lang w:val="de-DE"/>
        </w:rPr>
      </w:pPr>
    </w:p>
    <w:p w14:paraId="23CA242D" w14:textId="77777777" w:rsidR="00A54B03" w:rsidRPr="004676F5" w:rsidRDefault="00A54B03" w:rsidP="00A54B03">
      <w:pPr>
        <w:jc w:val="both"/>
        <w:rPr>
          <w:lang w:val="de-DE"/>
        </w:rPr>
      </w:pPr>
    </w:p>
    <w:p w14:paraId="1CDA951C" w14:textId="71FE4A31"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Verwendung der elektronischen Post zu Werbezwecken ist ohne vorherige, freie, besondere und informierte Zustimmung des Empfängers der Nachrichten verboten.</w:t>
      </w:r>
    </w:p>
    <w:p w14:paraId="089726F2" w14:textId="77777777" w:rsidR="00A54B03" w:rsidRPr="004676F5" w:rsidRDefault="00A54B03" w:rsidP="00A54B03">
      <w:pPr>
        <w:jc w:val="both"/>
        <w:rPr>
          <w:lang w:val="de-DE"/>
        </w:rPr>
      </w:pPr>
    </w:p>
    <w:p w14:paraId="29BDC83D" w14:textId="77777777" w:rsidR="00A54B03" w:rsidRPr="004676F5" w:rsidRDefault="00A54B03" w:rsidP="00A54B03">
      <w:pPr>
        <w:jc w:val="both"/>
        <w:rPr>
          <w:lang w:val="de-DE"/>
        </w:rPr>
      </w:pPr>
      <w:r w:rsidRPr="004676F5">
        <w:rPr>
          <w:lang w:val="de-DE"/>
        </w:rPr>
        <w:tab/>
        <w:t>Auf gemeinsamen Vorschlag des Ministers und des für Justiz zuständigen Ministers kann der König Ausnahmen zu dem in Absatz 1 vorgesehenen Verbot vorsehen.</w:t>
      </w:r>
    </w:p>
    <w:p w14:paraId="70B79A15" w14:textId="77777777" w:rsidR="00A54B03" w:rsidRPr="004676F5" w:rsidRDefault="00A54B03" w:rsidP="00A54B03">
      <w:pPr>
        <w:jc w:val="both"/>
        <w:rPr>
          <w:lang w:val="de-DE"/>
        </w:rPr>
      </w:pPr>
    </w:p>
    <w:p w14:paraId="4E9F143C" w14:textId="6818FD90" w:rsidR="00A54B03" w:rsidRPr="004676F5" w:rsidRDefault="00A54B03" w:rsidP="00A54B03">
      <w:pPr>
        <w:jc w:val="both"/>
        <w:rPr>
          <w:lang w:val="de-DE"/>
        </w:rPr>
      </w:pPr>
      <w:r w:rsidRPr="004676F5">
        <w:rPr>
          <w:lang w:val="de-DE"/>
        </w:rPr>
        <w:tab/>
        <w:t>§ 2 </w:t>
      </w:r>
      <w:r w:rsidR="005B7A5C" w:rsidRPr="004676F5">
        <w:rPr>
          <w:lang w:val="de-DE"/>
        </w:rPr>
        <w:t>- </w:t>
      </w:r>
      <w:r w:rsidRPr="004676F5">
        <w:rPr>
          <w:lang w:val="de-DE"/>
        </w:rPr>
        <w:t>Bei der Versendung von Werbung per elektronische Post muss der Dienste</w:t>
      </w:r>
      <w:r w:rsidRPr="004676F5">
        <w:rPr>
          <w:lang w:val="de-DE"/>
        </w:rPr>
        <w:softHyphen/>
        <w:t>anbieter:</w:t>
      </w:r>
    </w:p>
    <w:p w14:paraId="47D81E55" w14:textId="77777777" w:rsidR="00A54B03" w:rsidRPr="004676F5" w:rsidRDefault="00A54B03" w:rsidP="00A54B03">
      <w:pPr>
        <w:jc w:val="both"/>
        <w:rPr>
          <w:lang w:val="de-DE"/>
        </w:rPr>
      </w:pPr>
    </w:p>
    <w:p w14:paraId="4910893B" w14:textId="77777777" w:rsidR="00A54B03" w:rsidRPr="004676F5" w:rsidRDefault="00A54B03" w:rsidP="00A54B03">
      <w:pPr>
        <w:jc w:val="both"/>
        <w:rPr>
          <w:lang w:val="de-DE"/>
        </w:rPr>
      </w:pPr>
      <w:r w:rsidRPr="004676F5">
        <w:rPr>
          <w:lang w:val="de-DE"/>
        </w:rPr>
        <w:tab/>
        <w:t>1. eine klare und verständliche Information über das Recht, sich für die Zukunft dem Erhalt von Werbung zu widersetzen, übermitteln,</w:t>
      </w:r>
    </w:p>
    <w:p w14:paraId="1A6D7AEC" w14:textId="77777777" w:rsidR="00A54B03" w:rsidRPr="004676F5" w:rsidRDefault="00A54B03" w:rsidP="00A54B03">
      <w:pPr>
        <w:jc w:val="both"/>
        <w:rPr>
          <w:lang w:val="de-DE"/>
        </w:rPr>
      </w:pPr>
    </w:p>
    <w:p w14:paraId="75116515" w14:textId="77777777" w:rsidR="00A54B03" w:rsidRPr="004676F5" w:rsidRDefault="00A54B03" w:rsidP="00A54B03">
      <w:pPr>
        <w:jc w:val="both"/>
        <w:rPr>
          <w:lang w:val="de-DE"/>
        </w:rPr>
      </w:pPr>
      <w:r w:rsidRPr="004676F5">
        <w:rPr>
          <w:lang w:val="de-DE"/>
        </w:rPr>
        <w:tab/>
        <w:t>2. ein geeignetes Mittel angeben und zur Verfügung stellen, um dieses Recht auf elektronischem Wege wirksam auszuüben.</w:t>
      </w:r>
    </w:p>
    <w:p w14:paraId="375FBD0F" w14:textId="77777777" w:rsidR="00A54B03" w:rsidRPr="004676F5" w:rsidRDefault="00A54B03" w:rsidP="00A54B03">
      <w:pPr>
        <w:jc w:val="both"/>
        <w:rPr>
          <w:lang w:val="de-DE"/>
        </w:rPr>
      </w:pPr>
    </w:p>
    <w:p w14:paraId="6EE4A79C" w14:textId="77777777" w:rsidR="00A54B03" w:rsidRPr="004676F5" w:rsidRDefault="00A54B03" w:rsidP="00A54B03">
      <w:pPr>
        <w:jc w:val="both"/>
        <w:rPr>
          <w:lang w:val="de-DE"/>
        </w:rPr>
      </w:pPr>
      <w:r w:rsidRPr="004676F5">
        <w:rPr>
          <w:lang w:val="de-DE"/>
        </w:rPr>
        <w:tab/>
        <w:t>Auf gemeinsamen Vorschlag des Ministers und des für Justiz zuständigen Ministers legt der König die Modalitäten fest, nach denen Diensteanbieter den Wunsch des Empfängers, keine Werbung per elektronische Post mehr zu erhalten, befolgen.</w:t>
      </w:r>
    </w:p>
    <w:p w14:paraId="54FF1098" w14:textId="77777777" w:rsidR="00A54B03" w:rsidRPr="004676F5" w:rsidRDefault="00A54B03" w:rsidP="00A54B03">
      <w:pPr>
        <w:jc w:val="both"/>
        <w:rPr>
          <w:lang w:val="de-DE"/>
        </w:rPr>
      </w:pPr>
    </w:p>
    <w:p w14:paraId="582C7A0C" w14:textId="0583D701" w:rsidR="00A54B03" w:rsidRPr="004676F5" w:rsidRDefault="00A54B03" w:rsidP="00A54B03">
      <w:pPr>
        <w:jc w:val="both"/>
        <w:rPr>
          <w:lang w:val="de-DE"/>
        </w:rPr>
      </w:pPr>
      <w:r w:rsidRPr="004676F5">
        <w:rPr>
          <w:lang w:val="de-DE"/>
        </w:rPr>
        <w:tab/>
        <w:t>§ 3 </w:t>
      </w:r>
      <w:r w:rsidR="005B7A5C" w:rsidRPr="004676F5">
        <w:rPr>
          <w:lang w:val="de-DE"/>
        </w:rPr>
        <w:t>- </w:t>
      </w:r>
      <w:r w:rsidRPr="004676F5">
        <w:rPr>
          <w:lang w:val="de-DE"/>
        </w:rPr>
        <w:t>Bei der Versendung von Werbung per elektronische Post ist Folgendes verboten:</w:t>
      </w:r>
    </w:p>
    <w:p w14:paraId="3D530E9A" w14:textId="77777777" w:rsidR="00A54B03" w:rsidRPr="004676F5" w:rsidRDefault="00A54B03" w:rsidP="00A54B03">
      <w:pPr>
        <w:jc w:val="both"/>
        <w:rPr>
          <w:lang w:val="de-DE"/>
        </w:rPr>
      </w:pPr>
    </w:p>
    <w:p w14:paraId="36640788" w14:textId="77777777" w:rsidR="00A54B03" w:rsidRPr="004676F5" w:rsidRDefault="00A54B03" w:rsidP="00A54B03">
      <w:pPr>
        <w:jc w:val="both"/>
        <w:rPr>
          <w:lang w:val="de-DE"/>
        </w:rPr>
      </w:pPr>
      <w:r w:rsidRPr="004676F5">
        <w:rPr>
          <w:lang w:val="de-DE"/>
        </w:rPr>
        <w:tab/>
        <w:t>1. die elektronische Adresse oder die Identität eines Dritten zu benutzen,</w:t>
      </w:r>
    </w:p>
    <w:p w14:paraId="3681C13A" w14:textId="77777777" w:rsidR="00A54B03" w:rsidRPr="004676F5" w:rsidRDefault="00A54B03" w:rsidP="00A54B03">
      <w:pPr>
        <w:jc w:val="both"/>
        <w:rPr>
          <w:lang w:val="de-DE"/>
        </w:rPr>
      </w:pPr>
    </w:p>
    <w:p w14:paraId="2ADE993A" w14:textId="77777777" w:rsidR="00A54B03" w:rsidRPr="004676F5" w:rsidRDefault="00A54B03" w:rsidP="00A54B03">
      <w:pPr>
        <w:jc w:val="both"/>
        <w:rPr>
          <w:lang w:val="de-DE"/>
        </w:rPr>
      </w:pPr>
      <w:r w:rsidRPr="004676F5">
        <w:rPr>
          <w:lang w:val="de-DE"/>
        </w:rPr>
        <w:tab/>
        <w:t>2. Informationen, die es ermöglichen, den Ausgangsort der Mitteilung der elektronischen Post oder ihren Übermittlungsweg zu erkennen, zu fälschen oder zu verschleiern,</w:t>
      </w:r>
    </w:p>
    <w:p w14:paraId="38A900AA" w14:textId="77777777" w:rsidR="00A54B03" w:rsidRPr="004676F5" w:rsidRDefault="00A54B03" w:rsidP="00A54B03">
      <w:pPr>
        <w:jc w:val="both"/>
        <w:rPr>
          <w:lang w:val="de-DE"/>
        </w:rPr>
      </w:pPr>
    </w:p>
    <w:p w14:paraId="468B553F" w14:textId="77777777" w:rsidR="00A54B03" w:rsidRPr="004676F5" w:rsidRDefault="00A54B03" w:rsidP="00A54B03">
      <w:pPr>
        <w:jc w:val="both"/>
        <w:rPr>
          <w:lang w:val="de-DE"/>
        </w:rPr>
      </w:pPr>
      <w:r w:rsidRPr="004676F5">
        <w:rPr>
          <w:lang w:val="de-DE"/>
        </w:rPr>
        <w:tab/>
        <w:t>3. den Empfänger von Mitteilungen aufzufordern, Websites zu besuchen, die gegen Artikel XII.12 verstoßen.</w:t>
      </w:r>
    </w:p>
    <w:p w14:paraId="6A522368" w14:textId="77777777" w:rsidR="00A54B03" w:rsidRPr="004676F5" w:rsidRDefault="00A54B03" w:rsidP="00A54B03">
      <w:pPr>
        <w:jc w:val="both"/>
        <w:rPr>
          <w:lang w:val="de-DE"/>
        </w:rPr>
      </w:pPr>
    </w:p>
    <w:p w14:paraId="6C253E98" w14:textId="6D23ED0E" w:rsidR="00A54B03" w:rsidRPr="004676F5" w:rsidRDefault="00A54B03" w:rsidP="00A54B03">
      <w:pPr>
        <w:jc w:val="both"/>
        <w:rPr>
          <w:lang w:val="de-DE"/>
        </w:rPr>
      </w:pPr>
      <w:r w:rsidRPr="004676F5">
        <w:rPr>
          <w:lang w:val="de-DE"/>
        </w:rPr>
        <w:tab/>
        <w:t>§ 4 </w:t>
      </w:r>
      <w:r w:rsidR="005B7A5C" w:rsidRPr="004676F5">
        <w:rPr>
          <w:lang w:val="de-DE"/>
        </w:rPr>
        <w:t>- </w:t>
      </w:r>
      <w:r w:rsidRPr="004676F5">
        <w:rPr>
          <w:lang w:val="de-DE"/>
        </w:rPr>
        <w:t>Der Beweis, dass Werbung per elektronische Post angefordert wurde, obliegt dem Diensteanbieter.</w:t>
      </w:r>
    </w:p>
    <w:p w14:paraId="6BDF4A0C" w14:textId="77777777" w:rsidR="00A54B03" w:rsidRPr="004676F5" w:rsidRDefault="00A54B03" w:rsidP="00A54B03">
      <w:pPr>
        <w:jc w:val="both"/>
        <w:rPr>
          <w:lang w:val="de-DE"/>
        </w:rPr>
      </w:pPr>
    </w:p>
    <w:p w14:paraId="70289FE0" w14:textId="77777777" w:rsidR="00A54B03" w:rsidRPr="004676F5" w:rsidRDefault="00A54B03" w:rsidP="00A54B03">
      <w:pPr>
        <w:jc w:val="both"/>
        <w:rPr>
          <w:lang w:val="de-DE"/>
        </w:rPr>
      </w:pPr>
    </w:p>
    <w:p w14:paraId="618A3568" w14:textId="36613F40"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XII.14</w:t>
      </w:r>
      <w:r w:rsidRPr="004676F5">
        <w:rPr>
          <w:lang w:val="de-DE"/>
        </w:rPr>
        <w:t> </w:t>
      </w:r>
      <w:r w:rsidR="005B7A5C" w:rsidRPr="004676F5">
        <w:rPr>
          <w:lang w:val="de-DE"/>
        </w:rPr>
        <w:t>- </w:t>
      </w:r>
      <w:r w:rsidRPr="004676F5">
        <w:rPr>
          <w:lang w:val="de-DE"/>
        </w:rPr>
        <w:t>Werbung, die Bestandteil eines von einem Angehörigen eines reglementierten Berufs angebotenen Dienstes der Informationsgesellschaft ist oder einen solchen Dienst darstellt, ist gestattet, soweit die berufsrechtlichen Regeln, insbesondere zur Wahrung von Unabhängigkeit, Würde und Ehre des Berufs, des Berufsgeheimnisses und eines lauteren Verhaltens gegenüber Kunden und Berufskollegen, eingehalten werden.</w:t>
      </w:r>
    </w:p>
    <w:p w14:paraId="0E2FB951" w14:textId="77777777" w:rsidR="00A54B03" w:rsidRPr="004676F5" w:rsidRDefault="00A54B03" w:rsidP="00A54B03">
      <w:pPr>
        <w:jc w:val="both"/>
        <w:rPr>
          <w:lang w:val="de-DE"/>
        </w:rPr>
      </w:pPr>
    </w:p>
    <w:p w14:paraId="57E5066E" w14:textId="77777777" w:rsidR="00A54B03" w:rsidRPr="004676F5" w:rsidRDefault="00A54B03" w:rsidP="00A54B03">
      <w:pPr>
        <w:jc w:val="both"/>
        <w:rPr>
          <w:lang w:val="de-DE"/>
        </w:rPr>
      </w:pPr>
    </w:p>
    <w:p w14:paraId="08349809" w14:textId="77777777" w:rsidR="00A54B03" w:rsidRPr="004676F5" w:rsidRDefault="00A54B03">
      <w:pPr>
        <w:rPr>
          <w:lang w:val="de-DE"/>
        </w:rPr>
      </w:pPr>
      <w:r w:rsidRPr="004676F5">
        <w:rPr>
          <w:lang w:val="de-DE"/>
        </w:rPr>
        <w:br w:type="page"/>
      </w:r>
    </w:p>
    <w:p w14:paraId="64B93E39" w14:textId="448A7729" w:rsidR="00A54B03" w:rsidRPr="004676F5" w:rsidRDefault="00A54B03" w:rsidP="00A54B03">
      <w:pPr>
        <w:jc w:val="center"/>
        <w:rPr>
          <w:lang w:val="de-DE"/>
        </w:rPr>
      </w:pPr>
      <w:r w:rsidRPr="004676F5">
        <w:rPr>
          <w:lang w:val="de-DE"/>
        </w:rPr>
        <w:lastRenderedPageBreak/>
        <w:t>KAPITEL 5 </w:t>
      </w:r>
      <w:r w:rsidR="005B7A5C" w:rsidRPr="004676F5">
        <w:rPr>
          <w:lang w:val="de-DE"/>
        </w:rPr>
        <w:t>- </w:t>
      </w:r>
      <w:r w:rsidRPr="004676F5">
        <w:rPr>
          <w:i/>
          <w:lang w:val="de-DE"/>
        </w:rPr>
        <w:t>Abschluss von Verträgen auf elektronischem Wege</w:t>
      </w:r>
    </w:p>
    <w:p w14:paraId="31951050" w14:textId="77777777" w:rsidR="00A54B03" w:rsidRPr="004676F5" w:rsidRDefault="00A54B03" w:rsidP="00A54B03">
      <w:pPr>
        <w:jc w:val="both"/>
        <w:rPr>
          <w:lang w:val="de-DE"/>
        </w:rPr>
      </w:pPr>
    </w:p>
    <w:p w14:paraId="3E9F8D5A" w14:textId="77777777" w:rsidR="00A54B03" w:rsidRPr="004676F5" w:rsidRDefault="00A54B03" w:rsidP="00A54B03">
      <w:pPr>
        <w:jc w:val="both"/>
        <w:rPr>
          <w:lang w:val="de-DE"/>
        </w:rPr>
      </w:pPr>
    </w:p>
    <w:p w14:paraId="09FE89B2" w14:textId="17C41E3F"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Gesetzliche oder verordnungsrechtliche Formvorschriften in Bezug auf Vertragsabschlüsse gelten für den elektronischen Vertragsabschluss als erfüllt, wenn den funktionellen Qualitätsmerkmalen dieser Vorschriften entsprochen wird.</w:t>
      </w:r>
    </w:p>
    <w:p w14:paraId="04F51688" w14:textId="77777777" w:rsidR="00A54B03" w:rsidRPr="004676F5" w:rsidRDefault="00A54B03" w:rsidP="00A54B03">
      <w:pPr>
        <w:jc w:val="both"/>
        <w:rPr>
          <w:lang w:val="de-DE"/>
        </w:rPr>
      </w:pPr>
    </w:p>
    <w:p w14:paraId="496E20F8" w14:textId="1354244B" w:rsidR="00A54B03" w:rsidRPr="004676F5" w:rsidRDefault="00A54B03" w:rsidP="00A54B03">
      <w:pPr>
        <w:jc w:val="both"/>
        <w:rPr>
          <w:lang w:val="de-DE"/>
        </w:rPr>
      </w:pPr>
      <w:r w:rsidRPr="004676F5">
        <w:rPr>
          <w:lang w:val="de-DE"/>
        </w:rPr>
        <w:tab/>
        <w:t>§ 2 </w:t>
      </w:r>
      <w:r w:rsidR="005B7A5C" w:rsidRPr="004676F5">
        <w:rPr>
          <w:lang w:val="de-DE"/>
        </w:rPr>
        <w:t>- </w:t>
      </w:r>
      <w:r w:rsidRPr="004676F5">
        <w:rPr>
          <w:lang w:val="de-DE"/>
        </w:rPr>
        <w:t>Für die Anwendung von § 1 muss Folgendes berücksichtigt werden:</w:t>
      </w:r>
    </w:p>
    <w:p w14:paraId="20F3A176" w14:textId="77777777" w:rsidR="00A54B03" w:rsidRPr="004676F5" w:rsidRDefault="00A54B03" w:rsidP="00A54B03">
      <w:pPr>
        <w:jc w:val="both"/>
        <w:rPr>
          <w:lang w:val="de-DE"/>
        </w:rPr>
      </w:pPr>
    </w:p>
    <w:p w14:paraId="3D85FDC4" w14:textId="28B19849" w:rsidR="00A54B03" w:rsidRPr="004676F5" w:rsidRDefault="00A54B03" w:rsidP="00A54B03">
      <w:pPr>
        <w:jc w:val="both"/>
        <w:rPr>
          <w:lang w:val="de-DE"/>
        </w:rPr>
      </w:pPr>
      <w:r w:rsidRPr="004676F5">
        <w:rPr>
          <w:lang w:val="de-DE"/>
        </w:rPr>
        <w:tab/>
      </w:r>
      <w:r w:rsidR="005B7A5C" w:rsidRPr="004676F5">
        <w:rPr>
          <w:lang w:val="de-DE"/>
        </w:rPr>
        <w:t>- </w:t>
      </w:r>
      <w:r w:rsidR="00E00F54" w:rsidRPr="004676F5">
        <w:rPr>
          <w:lang w:val="de-DE"/>
        </w:rPr>
        <w:t>[</w:t>
      </w:r>
      <w:r w:rsidR="00E00F54" w:rsidRPr="004676F5">
        <w:rPr>
          <w:rFonts w:eastAsia="Calibri"/>
          <w:szCs w:val="22"/>
          <w:lang w:val="de-DE" w:eastAsia="en-US"/>
        </w:rPr>
        <w:t>Die Notwendigkeit der Schriftform wird durch eine Gesamtheit alphabetischer Zeichen oder sonstiger verständlicher Zeichen auf einem Träger erfüllt, der den Zugang zu diesen Zeichen während eines dem Verwendungszweck angemessenen Zeitraums ermöglicht und die Integrität dieser Zeichen, unabhängig vom Träger und von den Übermittlungsmodalitäten, wahrt.</w:t>
      </w:r>
      <w:r w:rsidR="00E00F54" w:rsidRPr="004676F5">
        <w:rPr>
          <w:lang w:val="de-DE"/>
        </w:rPr>
        <w:t>]</w:t>
      </w:r>
    </w:p>
    <w:p w14:paraId="58651022" w14:textId="77777777" w:rsidR="00A54B03" w:rsidRPr="004676F5" w:rsidRDefault="00A54B03" w:rsidP="00A54B03">
      <w:pPr>
        <w:jc w:val="both"/>
        <w:rPr>
          <w:lang w:val="de-DE"/>
        </w:rPr>
      </w:pPr>
    </w:p>
    <w:p w14:paraId="3828D094" w14:textId="7091D58D" w:rsidR="00A54B03" w:rsidRPr="004676F5" w:rsidRDefault="00A54B03" w:rsidP="00A54B03">
      <w:pPr>
        <w:jc w:val="both"/>
        <w:rPr>
          <w:lang w:val="de-DE"/>
        </w:rPr>
      </w:pPr>
      <w:r w:rsidRPr="004676F5">
        <w:rPr>
          <w:lang w:val="de-DE"/>
        </w:rPr>
        <w:tab/>
      </w:r>
      <w:r w:rsidR="005B7A5C" w:rsidRPr="004676F5">
        <w:rPr>
          <w:lang w:val="de-DE"/>
        </w:rPr>
        <w:t>- </w:t>
      </w:r>
      <w:r w:rsidRPr="004676F5">
        <w:rPr>
          <w:lang w:val="de-DE"/>
        </w:rPr>
        <w:t xml:space="preserve">Der ausdrücklichen oder stillschweigenden Signaturpflicht wird entsprochen, wenn die </w:t>
      </w:r>
      <w:r w:rsidR="00E00F54" w:rsidRPr="004676F5">
        <w:rPr>
          <w:lang w:val="de-DE"/>
        </w:rPr>
        <w:t>[</w:t>
      </w:r>
      <w:r w:rsidR="00E00F54" w:rsidRPr="004676F5">
        <w:rPr>
          <w:rFonts w:eastAsia="Calibri"/>
          <w:szCs w:val="22"/>
          <w:lang w:val="de-DE" w:eastAsia="en-US"/>
        </w:rPr>
        <w:t>in Artikel 3 Nr. 10 der Verordnung 910/2014</w:t>
      </w:r>
      <w:r w:rsidR="00E00F54" w:rsidRPr="004676F5">
        <w:rPr>
          <w:lang w:val="de-DE"/>
        </w:rPr>
        <w:t>]</w:t>
      </w:r>
      <w:r w:rsidRPr="004676F5">
        <w:rPr>
          <w:lang w:val="de-DE"/>
        </w:rPr>
        <w:t xml:space="preserve"> </w:t>
      </w:r>
      <w:r w:rsidR="00DA3B7E" w:rsidRPr="004676F5">
        <w:rPr>
          <w:lang w:val="de-DE"/>
        </w:rPr>
        <w:t>[oder in Artikel 3 Nr. 12 der Verordnung 910/2014</w:t>
      </w:r>
      <w:r w:rsidR="003A094C" w:rsidRPr="004676F5">
        <w:rPr>
          <w:lang w:val="de-DE"/>
        </w:rPr>
        <w:t>]</w:t>
      </w:r>
      <w:r w:rsidRPr="004676F5">
        <w:rPr>
          <w:lang w:val="de-DE"/>
        </w:rPr>
        <w:t xml:space="preserve"> vorgesehenen Bedingungen erfüllt werden.</w:t>
      </w:r>
    </w:p>
    <w:p w14:paraId="10D68AA5" w14:textId="77777777" w:rsidR="00A54B03" w:rsidRPr="004676F5" w:rsidRDefault="00A54B03" w:rsidP="00A54B03">
      <w:pPr>
        <w:jc w:val="both"/>
        <w:rPr>
          <w:lang w:val="de-DE"/>
        </w:rPr>
      </w:pPr>
    </w:p>
    <w:p w14:paraId="11919D5B" w14:textId="7EE284A6" w:rsidR="00A54B03" w:rsidRPr="004676F5" w:rsidRDefault="00A54B03" w:rsidP="00A54B03">
      <w:pPr>
        <w:jc w:val="both"/>
        <w:rPr>
          <w:lang w:val="de-DE"/>
        </w:rPr>
      </w:pPr>
      <w:r w:rsidRPr="004676F5">
        <w:rPr>
          <w:lang w:val="de-DE"/>
        </w:rPr>
        <w:tab/>
      </w:r>
      <w:r w:rsidR="005B7A5C" w:rsidRPr="004676F5">
        <w:rPr>
          <w:lang w:val="de-DE"/>
        </w:rPr>
        <w:t>- </w:t>
      </w:r>
      <w:r w:rsidRPr="004676F5">
        <w:rPr>
          <w:lang w:val="de-DE"/>
        </w:rPr>
        <w:t>Der Anforderung eines handschriftlichen Vermerks der Person, die die Verpflichtung eingeht, kann durch jedes Verfahren entsprochen werden, das gewährleistet, dass der Vermerk von dieser Person stammt.</w:t>
      </w:r>
    </w:p>
    <w:p w14:paraId="1A4E757E" w14:textId="77777777" w:rsidR="003A094C" w:rsidRPr="004676F5" w:rsidRDefault="003A094C" w:rsidP="00A54B03">
      <w:pPr>
        <w:jc w:val="both"/>
        <w:rPr>
          <w:lang w:val="de-DE"/>
        </w:rPr>
      </w:pPr>
    </w:p>
    <w:p w14:paraId="4EFE168C" w14:textId="092D77E7" w:rsidR="003A094C" w:rsidRPr="004676F5" w:rsidRDefault="003A094C" w:rsidP="00A54B03">
      <w:pPr>
        <w:jc w:val="both"/>
        <w:rPr>
          <w:i/>
          <w:lang w:val="de-DE"/>
        </w:rPr>
      </w:pPr>
      <w:r w:rsidRPr="004676F5">
        <w:rPr>
          <w:i/>
          <w:lang w:val="de-DE"/>
        </w:rPr>
        <w:t>[</w:t>
      </w:r>
      <w:r w:rsidR="00BE0A56" w:rsidRPr="004676F5">
        <w:rPr>
          <w:i/>
          <w:lang w:val="de-DE"/>
        </w:rPr>
        <w:t>Art. </w:t>
      </w:r>
      <w:r w:rsidRPr="004676F5">
        <w:rPr>
          <w:i/>
          <w:lang w:val="de-DE"/>
        </w:rPr>
        <w:t xml:space="preserve">XII.15 </w:t>
      </w:r>
      <w:r w:rsidR="00E00F54" w:rsidRPr="004676F5">
        <w:rPr>
          <w:i/>
          <w:lang w:val="de-DE"/>
        </w:rPr>
        <w:t xml:space="preserve">§ 2 einziger Absatz erster Gedankenstrich </w:t>
      </w:r>
      <w:r w:rsidR="0053393E" w:rsidRPr="004676F5">
        <w:rPr>
          <w:i/>
          <w:lang w:val="de-DE"/>
        </w:rPr>
        <w:t>ersetzt</w:t>
      </w:r>
      <w:r w:rsidR="00E00F54" w:rsidRPr="004676F5">
        <w:rPr>
          <w:i/>
          <w:lang w:val="de-DE"/>
        </w:rPr>
        <w:t xml:space="preserve"> durch Art. 8 Nr. 1</w:t>
      </w:r>
      <w:r w:rsidR="00E00F54" w:rsidRPr="004676F5">
        <w:rPr>
          <w:i/>
          <w:iCs/>
          <w:lang w:val="de-DE"/>
        </w:rPr>
        <w:t xml:space="preserve"> des G. vom 20. September 2018 (B.S. vom 10. Oktober 2018); </w:t>
      </w:r>
      <w:r w:rsidRPr="004676F5">
        <w:rPr>
          <w:i/>
          <w:lang w:val="de-DE"/>
        </w:rPr>
        <w:t xml:space="preserve">§ 2 einziger Absatz zweiter Gedankenstrich abgeändert durch </w:t>
      </w:r>
      <w:r w:rsidR="00BE0A56" w:rsidRPr="004676F5">
        <w:rPr>
          <w:i/>
          <w:lang w:val="de-DE"/>
        </w:rPr>
        <w:t>Art. </w:t>
      </w:r>
      <w:r w:rsidRPr="004676F5">
        <w:rPr>
          <w:i/>
          <w:lang w:val="de-DE"/>
        </w:rPr>
        <w:t>46</w:t>
      </w:r>
      <w:r w:rsidRPr="004676F5">
        <w:rPr>
          <w:i/>
          <w:iCs/>
          <w:lang w:val="de-DE"/>
        </w:rPr>
        <w:t xml:space="preserve"> </w:t>
      </w:r>
      <w:r w:rsidRPr="004676F5">
        <w:rPr>
          <w:i/>
          <w:lang w:val="de-DE"/>
        </w:rPr>
        <w:t>des G. vom 26. Oktober 2015 (B.S. vom 30. Oktober 2015)</w:t>
      </w:r>
      <w:r w:rsidR="00E00F54" w:rsidRPr="004676F5">
        <w:rPr>
          <w:i/>
          <w:lang w:val="de-DE"/>
        </w:rPr>
        <w:t>,</w:t>
      </w:r>
      <w:r w:rsidR="00DA3B7E" w:rsidRPr="004676F5">
        <w:rPr>
          <w:i/>
          <w:lang w:val="de-DE"/>
        </w:rPr>
        <w:t xml:space="preserve"> </w:t>
      </w:r>
      <w:r w:rsidR="00BE0A56" w:rsidRPr="004676F5">
        <w:rPr>
          <w:i/>
          <w:lang w:val="de-DE"/>
        </w:rPr>
        <w:t>Art. </w:t>
      </w:r>
      <w:r w:rsidR="00DA3B7E" w:rsidRPr="004676F5">
        <w:rPr>
          <w:i/>
          <w:lang w:val="de-DE"/>
        </w:rPr>
        <w:t>30 des G. vom 21. Juli 2016 (B.S. vom 28. September 2016)</w:t>
      </w:r>
      <w:r w:rsidR="00E00F54" w:rsidRPr="004676F5">
        <w:rPr>
          <w:i/>
          <w:lang w:val="de-DE"/>
        </w:rPr>
        <w:t xml:space="preserve"> und Art. 8 Nr. 2</w:t>
      </w:r>
      <w:r w:rsidR="00E00F54" w:rsidRPr="004676F5">
        <w:rPr>
          <w:i/>
          <w:iCs/>
          <w:lang w:val="de-DE"/>
        </w:rPr>
        <w:t xml:space="preserve"> des G. vom 20. September 2018 (B.S. vom 10. Oktober 2018)</w:t>
      </w:r>
      <w:r w:rsidRPr="004676F5">
        <w:rPr>
          <w:i/>
          <w:lang w:val="de-DE"/>
        </w:rPr>
        <w:t>]</w:t>
      </w:r>
    </w:p>
    <w:p w14:paraId="04B3E669" w14:textId="77777777" w:rsidR="00A54B03" w:rsidRPr="004676F5" w:rsidRDefault="00A54B03" w:rsidP="00A54B03">
      <w:pPr>
        <w:jc w:val="both"/>
        <w:rPr>
          <w:lang w:val="de-DE"/>
        </w:rPr>
      </w:pPr>
    </w:p>
    <w:p w14:paraId="049AECB1" w14:textId="77777777" w:rsidR="00A54B03" w:rsidRPr="004676F5" w:rsidRDefault="00A54B03" w:rsidP="00A54B03">
      <w:pPr>
        <w:jc w:val="both"/>
        <w:rPr>
          <w:lang w:val="de-DE"/>
        </w:rPr>
      </w:pPr>
    </w:p>
    <w:p w14:paraId="4676EBA9" w14:textId="6EA6EE97"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XII.16</w:t>
      </w:r>
      <w:r w:rsidRPr="004676F5">
        <w:rPr>
          <w:lang w:val="de-DE"/>
        </w:rPr>
        <w:t> </w:t>
      </w:r>
      <w:r w:rsidR="005B7A5C" w:rsidRPr="004676F5">
        <w:rPr>
          <w:lang w:val="de-DE"/>
        </w:rPr>
        <w:t>- </w:t>
      </w:r>
      <w:r w:rsidR="00E00F54" w:rsidRPr="004676F5">
        <w:rPr>
          <w:lang w:val="de-DE"/>
        </w:rPr>
        <w:t>[</w:t>
      </w:r>
      <w:r w:rsidR="00E00F54" w:rsidRPr="004676F5">
        <w:rPr>
          <w:rFonts w:eastAsia="Calibri"/>
          <w:szCs w:val="22"/>
          <w:lang w:val="de-DE" w:eastAsia="en-US"/>
        </w:rPr>
        <w:t>Unter der Voraussetzung, dass die zuständigen Gerichtshöfe und Gerichte feststellen, dass es praktische Hindernisse für die Erfüllung einer gesetzlichen oder verordnungsrechtlichen Formvorschrift im Rahmen eines Vertragsabschlusses auf elektronischem Wege gibt, können sie Artikel XII.15 nicht anwenden</w:t>
      </w:r>
      <w:r w:rsidR="00E00F54" w:rsidRPr="004676F5">
        <w:rPr>
          <w:lang w:val="de-DE"/>
        </w:rPr>
        <w:t>]</w:t>
      </w:r>
      <w:r w:rsidRPr="004676F5">
        <w:rPr>
          <w:lang w:val="de-DE"/>
        </w:rPr>
        <w:t xml:space="preserve"> auf Verträge, die zu einer der folgenden Kategorien gehören:</w:t>
      </w:r>
    </w:p>
    <w:p w14:paraId="5B3B966C" w14:textId="77777777" w:rsidR="00A54B03" w:rsidRPr="004676F5" w:rsidRDefault="00A54B03" w:rsidP="00A54B03">
      <w:pPr>
        <w:jc w:val="both"/>
        <w:rPr>
          <w:lang w:val="de-DE"/>
        </w:rPr>
      </w:pPr>
    </w:p>
    <w:p w14:paraId="180699E2" w14:textId="77777777" w:rsidR="00A54B03" w:rsidRPr="004676F5" w:rsidRDefault="00A54B03" w:rsidP="00A54B03">
      <w:pPr>
        <w:jc w:val="both"/>
        <w:rPr>
          <w:lang w:val="de-DE"/>
        </w:rPr>
      </w:pPr>
      <w:r w:rsidRPr="004676F5">
        <w:rPr>
          <w:lang w:val="de-DE"/>
        </w:rPr>
        <w:tab/>
        <w:t>1. Verträge, die Rechte an Immobilien mit Ausnahme von Mietrechten begründen oder übertragen,</w:t>
      </w:r>
    </w:p>
    <w:p w14:paraId="504A351D" w14:textId="77777777" w:rsidR="00A54B03" w:rsidRPr="004676F5" w:rsidRDefault="00A54B03" w:rsidP="00A54B03">
      <w:pPr>
        <w:jc w:val="both"/>
        <w:rPr>
          <w:lang w:val="de-DE"/>
        </w:rPr>
      </w:pPr>
    </w:p>
    <w:p w14:paraId="49E47459" w14:textId="77777777" w:rsidR="00A54B03" w:rsidRPr="004676F5" w:rsidRDefault="00A54B03" w:rsidP="00A54B03">
      <w:pPr>
        <w:jc w:val="both"/>
        <w:rPr>
          <w:lang w:val="de-DE"/>
        </w:rPr>
      </w:pPr>
      <w:r w:rsidRPr="004676F5">
        <w:rPr>
          <w:lang w:val="de-DE"/>
        </w:rPr>
        <w:tab/>
        <w:t xml:space="preserve">2. Verträge, bei denen die Mitwirkung von Gerichten, Behörden oder öffentliche Befugnisse ausübenden Berufen gesetzlich vorgeschrieben ist, </w:t>
      </w:r>
    </w:p>
    <w:p w14:paraId="5C5059DD" w14:textId="77777777" w:rsidR="00A54B03" w:rsidRPr="004676F5" w:rsidRDefault="00A54B03" w:rsidP="00A54B03">
      <w:pPr>
        <w:jc w:val="both"/>
        <w:rPr>
          <w:lang w:val="de-DE"/>
        </w:rPr>
      </w:pPr>
    </w:p>
    <w:p w14:paraId="119463D5" w14:textId="77777777" w:rsidR="00A54B03" w:rsidRPr="004676F5" w:rsidRDefault="00A54B03" w:rsidP="00A54B03">
      <w:pPr>
        <w:jc w:val="both"/>
        <w:rPr>
          <w:lang w:val="de-DE"/>
        </w:rPr>
      </w:pPr>
      <w:r w:rsidRPr="004676F5">
        <w:rPr>
          <w:lang w:val="de-DE"/>
        </w:rPr>
        <w:tab/>
        <w:t xml:space="preserve">3. Bürgschaftsverträge und Verträge über Sicherheiten, die von Personen außerhalb ihrer gewerblichen, geschäftlichen oder beruflichen Tätigkeit eingegangen werden, </w:t>
      </w:r>
    </w:p>
    <w:p w14:paraId="04C68F1D" w14:textId="77777777" w:rsidR="00A54B03" w:rsidRPr="004676F5" w:rsidRDefault="00A54B03" w:rsidP="00A54B03">
      <w:pPr>
        <w:jc w:val="both"/>
        <w:rPr>
          <w:lang w:val="de-DE"/>
        </w:rPr>
      </w:pPr>
    </w:p>
    <w:p w14:paraId="506D0FDE" w14:textId="77777777" w:rsidR="00A54B03" w:rsidRPr="004676F5" w:rsidRDefault="00A54B03" w:rsidP="00A54B03">
      <w:pPr>
        <w:jc w:val="both"/>
        <w:rPr>
          <w:lang w:val="de-DE"/>
        </w:rPr>
      </w:pPr>
      <w:r w:rsidRPr="004676F5">
        <w:rPr>
          <w:lang w:val="de-DE"/>
        </w:rPr>
        <w:tab/>
        <w:t>4. Verträge im Bereich des Familienrechts oder des Erbrechts.</w:t>
      </w:r>
    </w:p>
    <w:p w14:paraId="0306AAAB" w14:textId="77777777" w:rsidR="00A54B03" w:rsidRPr="004676F5" w:rsidRDefault="00A54B03" w:rsidP="00A54B03">
      <w:pPr>
        <w:jc w:val="both"/>
        <w:rPr>
          <w:lang w:val="de-DE"/>
        </w:rPr>
      </w:pPr>
    </w:p>
    <w:p w14:paraId="7B09FF30" w14:textId="3941F350" w:rsidR="00E00F54" w:rsidRPr="004676F5" w:rsidRDefault="00E00F54" w:rsidP="00A54B03">
      <w:pPr>
        <w:jc w:val="both"/>
        <w:rPr>
          <w:i/>
          <w:iCs/>
          <w:lang w:val="de-DE"/>
        </w:rPr>
      </w:pPr>
      <w:r w:rsidRPr="004676F5">
        <w:rPr>
          <w:i/>
          <w:iCs/>
          <w:lang w:val="de-DE"/>
        </w:rPr>
        <w:t>[Art. XII.16 einziger Absatz einleitende Bestimmung abgeändert durch Art. 9 des G. vom 20. September 2018 (B.S. vom 10. Oktober 2018)]</w:t>
      </w:r>
    </w:p>
    <w:p w14:paraId="31CE0EA1" w14:textId="77777777" w:rsidR="00A54B03" w:rsidRPr="004676F5" w:rsidRDefault="00A54B03">
      <w:pPr>
        <w:rPr>
          <w:lang w:val="de-DE"/>
        </w:rPr>
      </w:pPr>
      <w:r w:rsidRPr="004676F5">
        <w:rPr>
          <w:lang w:val="de-DE"/>
        </w:rPr>
        <w:br w:type="page"/>
      </w:r>
    </w:p>
    <w:p w14:paraId="49140C49" w14:textId="6DB6B9EC" w:rsidR="00A54B03" w:rsidRPr="004676F5" w:rsidRDefault="00A54B03" w:rsidP="00A54B03">
      <w:pPr>
        <w:jc w:val="center"/>
        <w:rPr>
          <w:lang w:val="de-DE"/>
        </w:rPr>
      </w:pPr>
      <w:r w:rsidRPr="004676F5">
        <w:rPr>
          <w:lang w:val="de-DE"/>
        </w:rPr>
        <w:lastRenderedPageBreak/>
        <w:t>KAPITEL 6 </w:t>
      </w:r>
      <w:r w:rsidR="005B7A5C" w:rsidRPr="004676F5">
        <w:rPr>
          <w:lang w:val="de-DE"/>
        </w:rPr>
        <w:t>- </w:t>
      </w:r>
      <w:r w:rsidRPr="004676F5">
        <w:rPr>
          <w:i/>
          <w:lang w:val="de-DE"/>
        </w:rPr>
        <w:t>Verantwortlichkeit der Vermittler</w:t>
      </w:r>
    </w:p>
    <w:p w14:paraId="2128162D" w14:textId="77777777" w:rsidR="00A54B03" w:rsidRPr="004676F5" w:rsidRDefault="00A54B03" w:rsidP="00A54B03">
      <w:pPr>
        <w:jc w:val="both"/>
        <w:rPr>
          <w:lang w:val="de-DE"/>
        </w:rPr>
      </w:pPr>
    </w:p>
    <w:p w14:paraId="19E78508" w14:textId="77777777" w:rsidR="00A54B03" w:rsidRPr="004676F5" w:rsidRDefault="00A54B03" w:rsidP="00A54B03">
      <w:pPr>
        <w:jc w:val="both"/>
        <w:rPr>
          <w:lang w:val="de-DE"/>
        </w:rPr>
      </w:pPr>
    </w:p>
    <w:p w14:paraId="61E73EB9" w14:textId="5DC2F7DD" w:rsidR="00A54B03" w:rsidRPr="004676F5" w:rsidRDefault="008F5316" w:rsidP="00A54B03">
      <w:pPr>
        <w:jc w:val="center"/>
        <w:rPr>
          <w:iCs/>
          <w:lang w:val="de-DE"/>
        </w:rPr>
      </w:pPr>
      <w:r w:rsidRPr="004676F5">
        <w:rPr>
          <w:iCs/>
          <w:lang w:val="de-DE"/>
        </w:rPr>
        <w:t>[</w:t>
      </w:r>
      <w:r w:rsidRPr="004676F5">
        <w:rPr>
          <w:i/>
          <w:lang w:val="de-DE"/>
        </w:rPr>
        <w:t xml:space="preserve">Abschnitt 1 - </w:t>
      </w:r>
      <w:r w:rsidR="00D91D6B" w:rsidRPr="004676F5">
        <w:rPr>
          <w:iCs/>
          <w:lang w:val="de-DE"/>
        </w:rPr>
        <w:t>[</w:t>
      </w:r>
      <w:r w:rsidR="00C62C19" w:rsidRPr="004676F5">
        <w:rPr>
          <w:i/>
          <w:lang w:val="de-DE"/>
        </w:rPr>
        <w:t>…</w:t>
      </w:r>
      <w:r w:rsidR="00C62C19" w:rsidRPr="004676F5">
        <w:rPr>
          <w:iCs/>
          <w:lang w:val="de-DE"/>
        </w:rPr>
        <w:t>]</w:t>
      </w:r>
    </w:p>
    <w:p w14:paraId="066C8F96" w14:textId="77777777" w:rsidR="00490221" w:rsidRPr="004676F5" w:rsidRDefault="00490221" w:rsidP="00490221">
      <w:pPr>
        <w:jc w:val="both"/>
        <w:rPr>
          <w:lang w:val="de-DE"/>
        </w:rPr>
      </w:pPr>
    </w:p>
    <w:p w14:paraId="0DCD28C4" w14:textId="4603EE3D" w:rsidR="00490221" w:rsidRPr="004676F5" w:rsidRDefault="00490221" w:rsidP="00490221">
      <w:pPr>
        <w:jc w:val="both"/>
        <w:rPr>
          <w:lang w:val="de-DE"/>
        </w:rPr>
      </w:pPr>
      <w:r w:rsidRPr="004676F5">
        <w:rPr>
          <w:i/>
          <w:iCs/>
          <w:lang w:val="de-DE"/>
        </w:rPr>
        <w:t>[Abschnitt 1 mit Art. XII.17</w:t>
      </w:r>
      <w:r w:rsidRPr="004676F5">
        <w:rPr>
          <w:lang w:val="de-DE"/>
        </w:rPr>
        <w:t xml:space="preserve"> </w:t>
      </w:r>
      <w:r w:rsidRPr="004676F5">
        <w:rPr>
          <w:i/>
          <w:iCs/>
          <w:lang w:val="de-DE"/>
        </w:rPr>
        <w:t>aufgehoben durch Art. 3 des G. vom 21. April 2024</w:t>
      </w:r>
      <w:r w:rsidR="001F23B7" w:rsidRPr="004676F5">
        <w:rPr>
          <w:i/>
          <w:iCs/>
          <w:lang w:val="de-DE"/>
        </w:rPr>
        <w:t> (I)</w:t>
      </w:r>
      <w:r w:rsidRPr="004676F5">
        <w:rPr>
          <w:i/>
          <w:iCs/>
          <w:lang w:val="de-DE"/>
        </w:rPr>
        <w:t xml:space="preserve"> (B.S. vom 15. Mai 2024)]</w:t>
      </w:r>
    </w:p>
    <w:p w14:paraId="02C02BC5" w14:textId="77777777" w:rsidR="008F5316" w:rsidRPr="004676F5" w:rsidRDefault="008F5316" w:rsidP="008F5316">
      <w:pPr>
        <w:jc w:val="both"/>
        <w:rPr>
          <w:iCs/>
          <w:lang w:val="de-DE"/>
        </w:rPr>
      </w:pPr>
    </w:p>
    <w:p w14:paraId="58E9AD49" w14:textId="77777777" w:rsidR="008F5316" w:rsidRPr="004676F5" w:rsidRDefault="008F5316" w:rsidP="008F5316">
      <w:pPr>
        <w:jc w:val="both"/>
        <w:rPr>
          <w:iCs/>
          <w:lang w:val="de-DE"/>
        </w:rPr>
      </w:pPr>
    </w:p>
    <w:p w14:paraId="7F5E2F99" w14:textId="30CBC2EB" w:rsidR="00A54B03" w:rsidRPr="004676F5" w:rsidRDefault="008F5316" w:rsidP="00A54B03">
      <w:pPr>
        <w:jc w:val="both"/>
        <w:rPr>
          <w:lang w:val="de-DE"/>
        </w:rPr>
      </w:pPr>
      <w:r w:rsidRPr="004676F5">
        <w:rPr>
          <w:lang w:val="de-DE"/>
        </w:rPr>
        <w:tab/>
      </w:r>
      <w:r w:rsidRPr="004676F5">
        <w:rPr>
          <w:b/>
          <w:bCs/>
          <w:lang w:val="de-DE"/>
        </w:rPr>
        <w:t>Art. XII.17</w:t>
      </w:r>
      <w:r w:rsidRPr="004676F5">
        <w:rPr>
          <w:lang w:val="de-DE"/>
        </w:rPr>
        <w:t>. […]]</w:t>
      </w:r>
    </w:p>
    <w:p w14:paraId="4720930A" w14:textId="77777777" w:rsidR="008F5316" w:rsidRPr="004676F5" w:rsidRDefault="008F5316" w:rsidP="00A54B03">
      <w:pPr>
        <w:jc w:val="both"/>
        <w:rPr>
          <w:lang w:val="de-DE"/>
        </w:rPr>
      </w:pPr>
    </w:p>
    <w:p w14:paraId="2329EDAF" w14:textId="77777777" w:rsidR="008F5316" w:rsidRPr="004676F5" w:rsidRDefault="008F5316" w:rsidP="00A54B03">
      <w:pPr>
        <w:jc w:val="both"/>
        <w:rPr>
          <w:lang w:val="de-DE"/>
        </w:rPr>
      </w:pPr>
    </w:p>
    <w:p w14:paraId="6FAE8A44" w14:textId="67F74D5C" w:rsidR="008F5316" w:rsidRPr="004676F5" w:rsidRDefault="008F5316" w:rsidP="008F5316">
      <w:pPr>
        <w:jc w:val="center"/>
        <w:rPr>
          <w:iCs/>
          <w:lang w:val="de-DE"/>
        </w:rPr>
      </w:pPr>
      <w:r w:rsidRPr="004676F5">
        <w:rPr>
          <w:iCs/>
          <w:lang w:val="de-DE"/>
        </w:rPr>
        <w:t>[</w:t>
      </w:r>
      <w:r w:rsidRPr="004676F5">
        <w:rPr>
          <w:i/>
          <w:lang w:val="de-DE"/>
        </w:rPr>
        <w:t xml:space="preserve">Abschnitt 2 - </w:t>
      </w:r>
      <w:r w:rsidRPr="004676F5">
        <w:rPr>
          <w:iCs/>
          <w:lang w:val="de-DE"/>
        </w:rPr>
        <w:t>[</w:t>
      </w:r>
      <w:r w:rsidRPr="004676F5">
        <w:rPr>
          <w:i/>
          <w:lang w:val="de-DE"/>
        </w:rPr>
        <w:t>…</w:t>
      </w:r>
      <w:r w:rsidRPr="004676F5">
        <w:rPr>
          <w:iCs/>
          <w:lang w:val="de-DE"/>
        </w:rPr>
        <w:t>]</w:t>
      </w:r>
    </w:p>
    <w:p w14:paraId="3768C1B4" w14:textId="77777777" w:rsidR="00490221" w:rsidRPr="004676F5" w:rsidRDefault="00490221" w:rsidP="00490221">
      <w:pPr>
        <w:jc w:val="both"/>
        <w:rPr>
          <w:lang w:val="de-DE"/>
        </w:rPr>
      </w:pPr>
    </w:p>
    <w:p w14:paraId="48DBDF98" w14:textId="0FE0E5C1" w:rsidR="00490221" w:rsidRPr="004676F5" w:rsidRDefault="00490221" w:rsidP="00490221">
      <w:pPr>
        <w:jc w:val="both"/>
        <w:rPr>
          <w:lang w:val="de-DE"/>
        </w:rPr>
      </w:pPr>
      <w:r w:rsidRPr="004676F5">
        <w:rPr>
          <w:i/>
          <w:iCs/>
          <w:lang w:val="de-DE"/>
        </w:rPr>
        <w:t>[Abschnitt 2 mit Art. XII.18</w:t>
      </w:r>
      <w:r w:rsidRPr="004676F5">
        <w:rPr>
          <w:lang w:val="de-DE"/>
        </w:rPr>
        <w:t xml:space="preserve"> </w:t>
      </w:r>
      <w:r w:rsidRPr="004676F5">
        <w:rPr>
          <w:i/>
          <w:iCs/>
          <w:lang w:val="de-DE"/>
        </w:rPr>
        <w:t>aufgehoben durch Art. 3 des G. vom 21. April 2024</w:t>
      </w:r>
      <w:r w:rsidR="001F23B7" w:rsidRPr="004676F5">
        <w:rPr>
          <w:i/>
          <w:iCs/>
          <w:lang w:val="de-DE"/>
        </w:rPr>
        <w:t> (I)</w:t>
      </w:r>
      <w:r w:rsidRPr="004676F5">
        <w:rPr>
          <w:i/>
          <w:iCs/>
          <w:lang w:val="de-DE"/>
        </w:rPr>
        <w:t xml:space="preserve"> (B.S. vom 15. Mai 2024)]</w:t>
      </w:r>
    </w:p>
    <w:p w14:paraId="15FB4964" w14:textId="77777777" w:rsidR="008F5316" w:rsidRPr="004676F5" w:rsidRDefault="008F5316" w:rsidP="008F5316">
      <w:pPr>
        <w:jc w:val="both"/>
        <w:rPr>
          <w:iCs/>
          <w:lang w:val="de-DE"/>
        </w:rPr>
      </w:pPr>
    </w:p>
    <w:p w14:paraId="643B5060" w14:textId="77777777" w:rsidR="008F5316" w:rsidRPr="004676F5" w:rsidRDefault="008F5316" w:rsidP="008F5316">
      <w:pPr>
        <w:jc w:val="both"/>
        <w:rPr>
          <w:iCs/>
          <w:lang w:val="de-DE"/>
        </w:rPr>
      </w:pPr>
    </w:p>
    <w:p w14:paraId="528764EA" w14:textId="588F82AB" w:rsidR="008F5316" w:rsidRPr="004676F5" w:rsidRDefault="008F5316" w:rsidP="008F5316">
      <w:pPr>
        <w:jc w:val="both"/>
        <w:rPr>
          <w:lang w:val="de-DE"/>
        </w:rPr>
      </w:pPr>
      <w:r w:rsidRPr="004676F5">
        <w:rPr>
          <w:lang w:val="de-DE"/>
        </w:rPr>
        <w:tab/>
      </w:r>
      <w:r w:rsidRPr="004676F5">
        <w:rPr>
          <w:b/>
          <w:bCs/>
          <w:lang w:val="de-DE"/>
        </w:rPr>
        <w:t>Art. XII.18</w:t>
      </w:r>
      <w:r w:rsidRPr="004676F5">
        <w:rPr>
          <w:lang w:val="de-DE"/>
        </w:rPr>
        <w:t>. […]]</w:t>
      </w:r>
    </w:p>
    <w:p w14:paraId="63DDF397" w14:textId="77777777" w:rsidR="00C62C19" w:rsidRPr="004676F5" w:rsidRDefault="00C62C19" w:rsidP="00A54B03">
      <w:pPr>
        <w:jc w:val="both"/>
        <w:rPr>
          <w:lang w:val="de-DE"/>
        </w:rPr>
      </w:pPr>
    </w:p>
    <w:p w14:paraId="01B9F70A" w14:textId="77777777" w:rsidR="008F5316" w:rsidRPr="004676F5" w:rsidRDefault="008F5316" w:rsidP="00A54B03">
      <w:pPr>
        <w:jc w:val="both"/>
        <w:rPr>
          <w:lang w:val="de-DE"/>
        </w:rPr>
      </w:pPr>
    </w:p>
    <w:p w14:paraId="59C051FD" w14:textId="4DFC0823" w:rsidR="008F5316" w:rsidRPr="004676F5" w:rsidRDefault="008F5316" w:rsidP="008F5316">
      <w:pPr>
        <w:jc w:val="center"/>
        <w:rPr>
          <w:iCs/>
          <w:lang w:val="de-DE"/>
        </w:rPr>
      </w:pPr>
      <w:r w:rsidRPr="004676F5">
        <w:rPr>
          <w:iCs/>
          <w:lang w:val="de-DE"/>
        </w:rPr>
        <w:t>[</w:t>
      </w:r>
      <w:r w:rsidRPr="004676F5">
        <w:rPr>
          <w:i/>
          <w:lang w:val="de-DE"/>
        </w:rPr>
        <w:t xml:space="preserve">Abschnitt 3 - </w:t>
      </w:r>
      <w:r w:rsidRPr="004676F5">
        <w:rPr>
          <w:iCs/>
          <w:lang w:val="de-DE"/>
        </w:rPr>
        <w:t>[</w:t>
      </w:r>
      <w:r w:rsidRPr="004676F5">
        <w:rPr>
          <w:i/>
          <w:lang w:val="de-DE"/>
        </w:rPr>
        <w:t>…</w:t>
      </w:r>
      <w:r w:rsidRPr="004676F5">
        <w:rPr>
          <w:iCs/>
          <w:lang w:val="de-DE"/>
        </w:rPr>
        <w:t>]</w:t>
      </w:r>
    </w:p>
    <w:p w14:paraId="5DF66AD3" w14:textId="77777777" w:rsidR="00490221" w:rsidRPr="004676F5" w:rsidRDefault="00490221" w:rsidP="00490221">
      <w:pPr>
        <w:jc w:val="both"/>
        <w:rPr>
          <w:lang w:val="de-DE"/>
        </w:rPr>
      </w:pPr>
    </w:p>
    <w:p w14:paraId="516D03EE" w14:textId="67FE33EA" w:rsidR="00490221" w:rsidRPr="004676F5" w:rsidRDefault="00490221" w:rsidP="00490221">
      <w:pPr>
        <w:jc w:val="both"/>
        <w:rPr>
          <w:lang w:val="de-DE"/>
        </w:rPr>
      </w:pPr>
      <w:r w:rsidRPr="004676F5">
        <w:rPr>
          <w:i/>
          <w:iCs/>
          <w:lang w:val="de-DE"/>
        </w:rPr>
        <w:t>[Abschnitt 3 mit Art. XII.19</w:t>
      </w:r>
      <w:r w:rsidRPr="004676F5">
        <w:rPr>
          <w:lang w:val="de-DE"/>
        </w:rPr>
        <w:t xml:space="preserve"> </w:t>
      </w:r>
      <w:r w:rsidRPr="004676F5">
        <w:rPr>
          <w:i/>
          <w:iCs/>
          <w:lang w:val="de-DE"/>
        </w:rPr>
        <w:t>aufgehoben durch Art. 3 des G. vom 21. April 2024</w:t>
      </w:r>
      <w:r w:rsidR="001F23B7" w:rsidRPr="004676F5">
        <w:rPr>
          <w:i/>
          <w:iCs/>
          <w:lang w:val="de-DE"/>
        </w:rPr>
        <w:t> (I)</w:t>
      </w:r>
      <w:r w:rsidRPr="004676F5">
        <w:rPr>
          <w:i/>
          <w:iCs/>
          <w:lang w:val="de-DE"/>
        </w:rPr>
        <w:t xml:space="preserve"> (B.S. vom 15. Mai 2024)]</w:t>
      </w:r>
    </w:p>
    <w:p w14:paraId="4216443B" w14:textId="77777777" w:rsidR="008F5316" w:rsidRPr="004676F5" w:rsidRDefault="008F5316" w:rsidP="008F5316">
      <w:pPr>
        <w:jc w:val="both"/>
        <w:rPr>
          <w:iCs/>
          <w:lang w:val="de-DE"/>
        </w:rPr>
      </w:pPr>
    </w:p>
    <w:p w14:paraId="6B4465CB" w14:textId="77777777" w:rsidR="008F5316" w:rsidRPr="004676F5" w:rsidRDefault="008F5316" w:rsidP="008F5316">
      <w:pPr>
        <w:jc w:val="both"/>
        <w:rPr>
          <w:iCs/>
          <w:lang w:val="de-DE"/>
        </w:rPr>
      </w:pPr>
    </w:p>
    <w:p w14:paraId="3A021F32" w14:textId="1C0235FF" w:rsidR="008F5316" w:rsidRPr="004676F5" w:rsidRDefault="008F5316" w:rsidP="008F5316">
      <w:pPr>
        <w:jc w:val="both"/>
        <w:rPr>
          <w:lang w:val="de-DE"/>
        </w:rPr>
      </w:pPr>
      <w:r w:rsidRPr="004676F5">
        <w:rPr>
          <w:lang w:val="de-DE"/>
        </w:rPr>
        <w:tab/>
      </w:r>
      <w:r w:rsidRPr="004676F5">
        <w:rPr>
          <w:b/>
          <w:bCs/>
          <w:lang w:val="de-DE"/>
        </w:rPr>
        <w:t>Art. XII.19</w:t>
      </w:r>
      <w:r w:rsidRPr="004676F5">
        <w:rPr>
          <w:lang w:val="de-DE"/>
        </w:rPr>
        <w:t>. […]]</w:t>
      </w:r>
    </w:p>
    <w:p w14:paraId="4AD2B937" w14:textId="77777777" w:rsidR="00A54B03" w:rsidRPr="004676F5" w:rsidRDefault="00A54B03" w:rsidP="00A54B03">
      <w:pPr>
        <w:jc w:val="both"/>
        <w:rPr>
          <w:lang w:val="de-DE"/>
        </w:rPr>
      </w:pPr>
    </w:p>
    <w:p w14:paraId="0B5512D6" w14:textId="77777777" w:rsidR="008F5316" w:rsidRPr="004676F5" w:rsidRDefault="008F5316" w:rsidP="00A54B03">
      <w:pPr>
        <w:jc w:val="both"/>
        <w:rPr>
          <w:lang w:val="de-DE"/>
        </w:rPr>
      </w:pPr>
    </w:p>
    <w:p w14:paraId="11183D9D" w14:textId="42F1EA27" w:rsidR="00A54B03" w:rsidRPr="004676F5" w:rsidRDefault="00A54B03" w:rsidP="00A54B03">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Überwachungspflicht</w:t>
      </w:r>
    </w:p>
    <w:p w14:paraId="6A006036" w14:textId="77777777" w:rsidR="00A54B03" w:rsidRPr="004676F5" w:rsidRDefault="00A54B03" w:rsidP="00A54B03">
      <w:pPr>
        <w:jc w:val="both"/>
        <w:rPr>
          <w:lang w:val="de-DE"/>
        </w:rPr>
      </w:pPr>
    </w:p>
    <w:p w14:paraId="2B77EFF4" w14:textId="77777777" w:rsidR="00A54B03" w:rsidRPr="004676F5" w:rsidRDefault="00A54B03" w:rsidP="00A54B03">
      <w:pPr>
        <w:jc w:val="both"/>
        <w:rPr>
          <w:lang w:val="de-DE"/>
        </w:rPr>
      </w:pPr>
    </w:p>
    <w:p w14:paraId="5C9F16E7" w14:textId="43919C1B" w:rsidR="001308C7" w:rsidRPr="004676F5" w:rsidRDefault="00A54B03" w:rsidP="001308C7">
      <w:pPr>
        <w:jc w:val="both"/>
        <w:rPr>
          <w:lang w:val="de-DE"/>
        </w:rPr>
      </w:pPr>
      <w:r w:rsidRPr="004676F5">
        <w:rPr>
          <w:lang w:val="de-DE"/>
        </w:rPr>
        <w:tab/>
      </w:r>
      <w:r w:rsidR="00BE0A56" w:rsidRPr="004676F5">
        <w:rPr>
          <w:b/>
          <w:lang w:val="de-DE"/>
        </w:rPr>
        <w:t>Art. </w:t>
      </w:r>
      <w:r w:rsidRPr="004676F5">
        <w:rPr>
          <w:b/>
          <w:lang w:val="de-DE"/>
        </w:rPr>
        <w:t>XII.20</w:t>
      </w:r>
      <w:r w:rsidRPr="004676F5">
        <w:rPr>
          <w:lang w:val="de-DE"/>
        </w:rPr>
        <w:t> </w:t>
      </w:r>
      <w:r w:rsidR="005B7A5C" w:rsidRPr="004676F5">
        <w:rPr>
          <w:lang w:val="de-DE"/>
        </w:rPr>
        <w:t>- </w:t>
      </w:r>
      <w:r w:rsidR="001308C7" w:rsidRPr="004676F5">
        <w:rPr>
          <w:lang w:val="de-DE"/>
        </w:rPr>
        <w:t>[§ 1 - Unbeschadet anderer Gesetzes- oder Verordnungsbestimmungen machen Anbieter der in Artikel 3 Buchstabe g), i) und j) der Verordnung (EU) 2022/2065 des Europäischen Parlaments und des Rates vom 19. Oktober 2022 über einen Binnenmarkt für digitale Dienste und zur Änderung der Richtlinie 2000/31/EG erwähnten Dienste, wenn eine zuständige Gerichts- oder Verwaltungsbehörde einen Verstoß in Bezug auf einen spezifischen Inhalt feststellt, den Inhalt, der Gegenstand des durch ihre Vermittlung begangenen festgestellten Verstoßes ist, unzugänglich.</w:t>
      </w:r>
    </w:p>
    <w:p w14:paraId="5E3E7E86" w14:textId="77777777" w:rsidR="001308C7" w:rsidRPr="004676F5" w:rsidRDefault="001308C7" w:rsidP="001308C7">
      <w:pPr>
        <w:jc w:val="both"/>
        <w:rPr>
          <w:lang w:val="de-DE"/>
        </w:rPr>
      </w:pPr>
    </w:p>
    <w:p w14:paraId="1E88B605" w14:textId="77777777" w:rsidR="001308C7" w:rsidRPr="004676F5" w:rsidRDefault="001308C7" w:rsidP="001308C7">
      <w:pPr>
        <w:jc w:val="both"/>
        <w:rPr>
          <w:lang w:val="de-DE"/>
        </w:rPr>
      </w:pPr>
      <w:r w:rsidRPr="004676F5">
        <w:rPr>
          <w:lang w:val="de-DE"/>
        </w:rPr>
        <w:tab/>
        <w:t>Von den in Absatz 1 erwähnten Behörden erlassene Anordnungen erfüllen mindestens die in Artikel 9 Absatz 2 der Verordnung (EU) 2022/2065 des Europäischen Parlaments und des Rates vom 19. Oktober 2022 über einen Binnenmarkt für digitale Dienste und zur Änderung der Richtlinie 2000/31/EG aufgeführten Bedingungen.</w:t>
      </w:r>
    </w:p>
    <w:p w14:paraId="7DBBA166" w14:textId="77777777" w:rsidR="001308C7" w:rsidRPr="004676F5" w:rsidRDefault="001308C7" w:rsidP="001308C7">
      <w:pPr>
        <w:jc w:val="both"/>
        <w:rPr>
          <w:lang w:val="de-DE"/>
        </w:rPr>
      </w:pPr>
    </w:p>
    <w:p w14:paraId="222BC01D" w14:textId="77777777" w:rsidR="001308C7" w:rsidRPr="004676F5" w:rsidRDefault="001308C7" w:rsidP="001308C7">
      <w:pPr>
        <w:jc w:val="both"/>
        <w:rPr>
          <w:lang w:val="de-DE"/>
        </w:rPr>
      </w:pPr>
      <w:r w:rsidRPr="004676F5">
        <w:rPr>
          <w:lang w:val="de-DE"/>
        </w:rPr>
        <w:tab/>
        <w:t xml:space="preserve">§ 2 - Unbeschadet anderer Gesetzes- oder Verordnungsbestimmungen übermitteln Anbieter der in Artikel 3 Buchstabe g), i) und j) der Verordnung (EU) 2022/2065 des Europäischen Parlaments und des Rates vom 19. Oktober 2022 über einen Binnenmarkt für digitale Dienste und zur Änderung der Richtlinie 2000/31/EG erwähnten Dienste den zuständigen Gerichts- oder Verwaltungsbehörden auf Verlangen spezifische Informationen, </w:t>
      </w:r>
      <w:r w:rsidRPr="004676F5">
        <w:rPr>
          <w:lang w:val="de-DE"/>
        </w:rPr>
        <w:lastRenderedPageBreak/>
        <w:t>über die sie verfügen und die für Ermittlung und Feststellung der durch einen spezifischen Nutzer ihres Vermittlungsdienstes begangenen Verstöße zweckdienlich sind.</w:t>
      </w:r>
    </w:p>
    <w:p w14:paraId="0375EE55" w14:textId="77777777" w:rsidR="001308C7" w:rsidRPr="004676F5" w:rsidRDefault="001308C7" w:rsidP="001308C7">
      <w:pPr>
        <w:jc w:val="both"/>
        <w:rPr>
          <w:lang w:val="de-DE"/>
        </w:rPr>
      </w:pPr>
    </w:p>
    <w:p w14:paraId="31D362B5" w14:textId="5E44E587" w:rsidR="00A54B03" w:rsidRPr="004676F5" w:rsidRDefault="001308C7" w:rsidP="001308C7">
      <w:pPr>
        <w:jc w:val="both"/>
        <w:rPr>
          <w:lang w:val="de-DE"/>
        </w:rPr>
      </w:pPr>
      <w:r w:rsidRPr="004676F5">
        <w:rPr>
          <w:lang w:val="de-DE"/>
        </w:rPr>
        <w:tab/>
        <w:t>Von den in Absatz 1 erwähnten Behörden erlassene Anordnungen erfüllen mindestens die in Artikel 10 Absatz 2 der Verordnung (EU) 2022/2065 des Europäischen Parlaments und des Rates vom 19. Oktober 2022 über einen Binnenmarkt für digitale Dienste und zur Änderung der Richtlinie 2000/31/EG aufgeführten Bedingungen.]</w:t>
      </w:r>
    </w:p>
    <w:p w14:paraId="157E8EBA" w14:textId="0706D9B7" w:rsidR="00A54B03" w:rsidRPr="004676F5" w:rsidRDefault="00A54B03" w:rsidP="00A54B03">
      <w:pPr>
        <w:jc w:val="both"/>
        <w:rPr>
          <w:lang w:val="de-DE"/>
        </w:rPr>
      </w:pPr>
    </w:p>
    <w:p w14:paraId="61901874" w14:textId="038C04FB" w:rsidR="001308C7" w:rsidRPr="004676F5" w:rsidRDefault="001308C7" w:rsidP="00A54B03">
      <w:pPr>
        <w:jc w:val="both"/>
        <w:rPr>
          <w:i/>
          <w:iCs/>
          <w:lang w:val="de-DE"/>
        </w:rPr>
      </w:pPr>
      <w:r w:rsidRPr="004676F5">
        <w:rPr>
          <w:i/>
          <w:iCs/>
          <w:lang w:val="de-DE"/>
        </w:rPr>
        <w:t>[Art. XII.20 ersetzt durch Art. 4 des G. vom 21. April 2024</w:t>
      </w:r>
      <w:r w:rsidR="001F23B7" w:rsidRPr="004676F5">
        <w:rPr>
          <w:i/>
          <w:iCs/>
          <w:lang w:val="de-DE"/>
        </w:rPr>
        <w:t> (I)</w:t>
      </w:r>
      <w:r w:rsidRPr="004676F5">
        <w:rPr>
          <w:i/>
          <w:iCs/>
          <w:lang w:val="de-DE"/>
        </w:rPr>
        <w:t xml:space="preserve"> (B.S</w:t>
      </w:r>
      <w:r w:rsidR="00A82CBA" w:rsidRPr="004676F5">
        <w:rPr>
          <w:i/>
          <w:iCs/>
          <w:lang w:val="de-DE"/>
        </w:rPr>
        <w:t>.</w:t>
      </w:r>
      <w:r w:rsidRPr="004676F5">
        <w:rPr>
          <w:i/>
          <w:iCs/>
          <w:lang w:val="de-DE"/>
        </w:rPr>
        <w:t xml:space="preserve"> vom 15. Mai 2024)]</w:t>
      </w:r>
    </w:p>
    <w:p w14:paraId="56A80BE5" w14:textId="77777777" w:rsidR="001308C7" w:rsidRPr="004676F5" w:rsidRDefault="001308C7" w:rsidP="00A54B03">
      <w:pPr>
        <w:jc w:val="both"/>
        <w:rPr>
          <w:lang w:val="de-DE"/>
        </w:rPr>
      </w:pPr>
    </w:p>
    <w:p w14:paraId="60466112" w14:textId="77777777" w:rsidR="001308C7" w:rsidRPr="004676F5" w:rsidRDefault="001308C7" w:rsidP="00A54B03">
      <w:pPr>
        <w:jc w:val="both"/>
        <w:rPr>
          <w:lang w:val="de-DE"/>
        </w:rPr>
      </w:pPr>
    </w:p>
    <w:p w14:paraId="4BF97EE3" w14:textId="77777777" w:rsidR="00827EEB" w:rsidRPr="004676F5" w:rsidRDefault="00827EEB">
      <w:pPr>
        <w:rPr>
          <w:lang w:val="de-DE"/>
        </w:rPr>
      </w:pPr>
      <w:r w:rsidRPr="004676F5">
        <w:rPr>
          <w:lang w:val="de-DE"/>
        </w:rPr>
        <w:br w:type="page"/>
      </w:r>
    </w:p>
    <w:p w14:paraId="333633CD" w14:textId="6491E48A" w:rsidR="00A54B03" w:rsidRPr="004676F5" w:rsidRDefault="00A54B03" w:rsidP="009B5BE7">
      <w:pPr>
        <w:jc w:val="center"/>
        <w:rPr>
          <w:lang w:val="de-DE"/>
        </w:rPr>
      </w:pPr>
      <w:r w:rsidRPr="004676F5">
        <w:rPr>
          <w:lang w:val="de-DE"/>
        </w:rPr>
        <w:lastRenderedPageBreak/>
        <w:t>KAPITEL 7 </w:t>
      </w:r>
      <w:r w:rsidR="005B7A5C" w:rsidRPr="004676F5">
        <w:rPr>
          <w:lang w:val="de-DE"/>
        </w:rPr>
        <w:t>- </w:t>
      </w:r>
      <w:r w:rsidRPr="004676F5">
        <w:rPr>
          <w:i/>
          <w:lang w:val="de-DE"/>
        </w:rPr>
        <w:t>Rechtlicher Schutz von zugangskontrollierten Diensten und von Zugangskontrolldiensten der Informationsgesellschaft</w:t>
      </w:r>
    </w:p>
    <w:p w14:paraId="416E0079" w14:textId="77777777" w:rsidR="00A54B03" w:rsidRPr="004676F5" w:rsidRDefault="00A54B03" w:rsidP="00A54B03">
      <w:pPr>
        <w:jc w:val="both"/>
        <w:rPr>
          <w:lang w:val="de-DE"/>
        </w:rPr>
      </w:pPr>
    </w:p>
    <w:p w14:paraId="3414FE9B" w14:textId="77777777" w:rsidR="00A54B03" w:rsidRPr="004676F5" w:rsidRDefault="00A54B03" w:rsidP="00A54B03">
      <w:pPr>
        <w:jc w:val="both"/>
        <w:rPr>
          <w:lang w:val="de-DE"/>
        </w:rPr>
      </w:pPr>
    </w:p>
    <w:p w14:paraId="24785DF9" w14:textId="65C45C27"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XII.21</w:t>
      </w:r>
      <w:r w:rsidRPr="004676F5">
        <w:rPr>
          <w:lang w:val="de-DE"/>
        </w:rPr>
        <w:t> </w:t>
      </w:r>
      <w:r w:rsidR="005B7A5C" w:rsidRPr="004676F5">
        <w:rPr>
          <w:lang w:val="de-DE"/>
        </w:rPr>
        <w:t>- </w:t>
      </w:r>
      <w:r w:rsidRPr="004676F5">
        <w:rPr>
          <w:lang w:val="de-DE"/>
        </w:rPr>
        <w:t>Folgendes ist verboten:</w:t>
      </w:r>
    </w:p>
    <w:p w14:paraId="38B9CEE2" w14:textId="77777777" w:rsidR="00A54B03" w:rsidRPr="004676F5" w:rsidRDefault="00A54B03" w:rsidP="00A54B03">
      <w:pPr>
        <w:jc w:val="both"/>
        <w:rPr>
          <w:lang w:val="de-DE"/>
        </w:rPr>
      </w:pPr>
    </w:p>
    <w:p w14:paraId="4B427B22" w14:textId="77777777" w:rsidR="00A54B03" w:rsidRPr="004676F5" w:rsidRDefault="00A54B03" w:rsidP="00A54B03">
      <w:pPr>
        <w:jc w:val="both"/>
        <w:rPr>
          <w:lang w:val="de-DE"/>
        </w:rPr>
      </w:pPr>
      <w:r w:rsidRPr="004676F5">
        <w:rPr>
          <w:lang w:val="de-DE"/>
        </w:rPr>
        <w:tab/>
        <w:t>1. Herstellung, Einfuhr, Vertrieb, Verkauf, Vermietung oder Besitz illegaler Vorrichtungen zu gewerblichen Zwecken,</w:t>
      </w:r>
    </w:p>
    <w:p w14:paraId="507AA8AF" w14:textId="77777777" w:rsidR="00A54B03" w:rsidRPr="004676F5" w:rsidRDefault="00A54B03" w:rsidP="00A54B03">
      <w:pPr>
        <w:jc w:val="both"/>
        <w:rPr>
          <w:lang w:val="de-DE"/>
        </w:rPr>
      </w:pPr>
    </w:p>
    <w:p w14:paraId="0CA6198B" w14:textId="77777777" w:rsidR="00A54B03" w:rsidRPr="004676F5" w:rsidRDefault="00A54B03" w:rsidP="00A54B03">
      <w:pPr>
        <w:jc w:val="both"/>
        <w:rPr>
          <w:lang w:val="de-DE"/>
        </w:rPr>
      </w:pPr>
      <w:r w:rsidRPr="004676F5">
        <w:rPr>
          <w:lang w:val="de-DE"/>
        </w:rPr>
        <w:tab/>
        <w:t>2. Installierung, Wartung oder Austausch illegaler Vorrichtungen zu gewerblichen Zwecken,</w:t>
      </w:r>
    </w:p>
    <w:p w14:paraId="5B2EA669" w14:textId="77777777" w:rsidR="00A54B03" w:rsidRPr="004676F5" w:rsidRDefault="00A54B03" w:rsidP="00A54B03">
      <w:pPr>
        <w:jc w:val="both"/>
        <w:rPr>
          <w:lang w:val="de-DE"/>
        </w:rPr>
      </w:pPr>
    </w:p>
    <w:p w14:paraId="27B2FDD6" w14:textId="77777777" w:rsidR="00A54B03" w:rsidRPr="004676F5" w:rsidRDefault="00A54B03" w:rsidP="00A54B03">
      <w:pPr>
        <w:jc w:val="both"/>
        <w:rPr>
          <w:lang w:val="de-DE"/>
        </w:rPr>
      </w:pPr>
      <w:r w:rsidRPr="004676F5">
        <w:rPr>
          <w:lang w:val="de-DE"/>
        </w:rPr>
        <w:tab/>
        <w:t>3. Einsatz von Werbung zur Förderung des Inverkehrbringens illegaler Zugangs</w:t>
      </w:r>
      <w:r w:rsidRPr="004676F5">
        <w:rPr>
          <w:lang w:val="de-DE"/>
        </w:rPr>
        <w:softHyphen/>
        <w:t>kontrollvorrichtungen.</w:t>
      </w:r>
    </w:p>
    <w:p w14:paraId="18C0BF9B" w14:textId="77777777" w:rsidR="00A54B03" w:rsidRPr="004676F5" w:rsidRDefault="00A54B03" w:rsidP="00A54B03">
      <w:pPr>
        <w:jc w:val="both"/>
        <w:rPr>
          <w:lang w:val="de-DE"/>
        </w:rPr>
      </w:pPr>
    </w:p>
    <w:p w14:paraId="35834E03" w14:textId="77777777" w:rsidR="006C0BE7" w:rsidRPr="004676F5" w:rsidRDefault="006C0BE7">
      <w:pPr>
        <w:rPr>
          <w:lang w:val="de-DE"/>
        </w:rPr>
      </w:pPr>
      <w:r w:rsidRPr="004676F5">
        <w:rPr>
          <w:lang w:val="de-DE"/>
        </w:rPr>
        <w:br w:type="page"/>
      </w:r>
    </w:p>
    <w:p w14:paraId="0954A57B" w14:textId="3DAEDE1E" w:rsidR="00A54B03" w:rsidRPr="004676F5" w:rsidRDefault="00A54B03" w:rsidP="00A54B03">
      <w:pPr>
        <w:jc w:val="center"/>
        <w:rPr>
          <w:lang w:val="de-DE"/>
        </w:rPr>
      </w:pPr>
      <w:r w:rsidRPr="004676F5">
        <w:rPr>
          <w:lang w:val="de-DE"/>
        </w:rPr>
        <w:lastRenderedPageBreak/>
        <w:t>KAPITEL 8 </w:t>
      </w:r>
      <w:r w:rsidR="005B7A5C" w:rsidRPr="004676F5">
        <w:rPr>
          <w:lang w:val="de-DE"/>
        </w:rPr>
        <w:t>- </w:t>
      </w:r>
      <w:r w:rsidRPr="004676F5">
        <w:rPr>
          <w:i/>
          <w:lang w:val="de-DE"/>
        </w:rPr>
        <w:t>Registrierung von Domainnamen</w:t>
      </w:r>
    </w:p>
    <w:p w14:paraId="0F5D11BD" w14:textId="77777777" w:rsidR="00A54B03" w:rsidRPr="004676F5" w:rsidRDefault="00A54B03" w:rsidP="00A54B03">
      <w:pPr>
        <w:jc w:val="both"/>
        <w:rPr>
          <w:lang w:val="de-DE"/>
        </w:rPr>
      </w:pPr>
    </w:p>
    <w:p w14:paraId="007E4007" w14:textId="77777777" w:rsidR="006C0BE7" w:rsidRPr="004676F5" w:rsidRDefault="006C0BE7" w:rsidP="00A54B03">
      <w:pPr>
        <w:jc w:val="both"/>
        <w:rPr>
          <w:lang w:val="de-DE"/>
        </w:rPr>
      </w:pPr>
    </w:p>
    <w:p w14:paraId="066B0125" w14:textId="2ED21DA9"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XII.22</w:t>
      </w:r>
      <w:r w:rsidRPr="004676F5">
        <w:rPr>
          <w:lang w:val="de-DE"/>
        </w:rPr>
        <w:t> </w:t>
      </w:r>
      <w:r w:rsidR="005B7A5C" w:rsidRPr="004676F5">
        <w:rPr>
          <w:lang w:val="de-DE"/>
        </w:rPr>
        <w:t>- </w:t>
      </w:r>
      <w:r w:rsidRPr="004676F5">
        <w:rPr>
          <w:lang w:val="de-DE"/>
        </w:rPr>
        <w:t>Es ist verboten, ohne irgendein Recht oder rechtmäßiges Interesse an dem Domainnamen und mit dem Ziel Dritten zu schaden oder einen unrechtmäßigen Vorteil zu erlangen selbst oder durch einen Vermittler bei einer zu diesem Zweck amtlich zugelassenen Instanz einen Domainnamen registrieren zu lassen, der mit einer Marke, einer geographischen Angabe oder einer Ursprungsbezeichnung, einem Handelsnamen, einem Originalwerk, einem Gesellschaftsnamen oder einem Namen einer Vereinigung, einem Familiennamen oder dem Namen einer geographischen Einheit einer anderen Person identisch ist oder derart übereinstimmt, dass er Verwirrung stiften könnte.</w:t>
      </w:r>
    </w:p>
    <w:p w14:paraId="5217AF8C" w14:textId="77777777" w:rsidR="00A54B03" w:rsidRPr="004676F5" w:rsidRDefault="00A54B03" w:rsidP="00A54B03">
      <w:pPr>
        <w:jc w:val="both"/>
        <w:rPr>
          <w:lang w:val="de-DE"/>
        </w:rPr>
      </w:pPr>
    </w:p>
    <w:p w14:paraId="71B681A7" w14:textId="77777777" w:rsidR="006C0BE7" w:rsidRPr="004676F5" w:rsidRDefault="006C0BE7" w:rsidP="00A54B03">
      <w:pPr>
        <w:jc w:val="both"/>
        <w:rPr>
          <w:lang w:val="de-DE"/>
        </w:rPr>
      </w:pPr>
    </w:p>
    <w:p w14:paraId="0198E4EC" w14:textId="24EA912A" w:rsidR="00A54B03" w:rsidRPr="004676F5" w:rsidRDefault="00A54B03" w:rsidP="00A54B03">
      <w:pPr>
        <w:jc w:val="both"/>
        <w:rPr>
          <w:lang w:val="de-DE"/>
        </w:rPr>
      </w:pPr>
      <w:r w:rsidRPr="004676F5">
        <w:rPr>
          <w:lang w:val="de-DE"/>
        </w:rPr>
        <w:tab/>
      </w:r>
      <w:r w:rsidR="00BE0A56" w:rsidRPr="004676F5">
        <w:rPr>
          <w:b/>
          <w:lang w:val="de-DE"/>
        </w:rPr>
        <w:t>Art. </w:t>
      </w:r>
      <w:r w:rsidRPr="004676F5">
        <w:rPr>
          <w:b/>
          <w:lang w:val="de-DE"/>
        </w:rPr>
        <w:t>XII.23</w:t>
      </w:r>
      <w:r w:rsidRPr="004676F5">
        <w:rPr>
          <w:lang w:val="de-DE"/>
        </w:rPr>
        <w:t> </w:t>
      </w:r>
      <w:r w:rsidR="005B7A5C" w:rsidRPr="004676F5">
        <w:rPr>
          <w:lang w:val="de-DE"/>
        </w:rPr>
        <w:t>- </w:t>
      </w:r>
      <w:r w:rsidRPr="004676F5">
        <w:rPr>
          <w:lang w:val="de-DE"/>
        </w:rPr>
        <w:t>Artikel XII.22 ist anwendbar unbeschadet anderer Gesetzesbestimmun</w:t>
      </w:r>
      <w:r w:rsidRPr="004676F5">
        <w:rPr>
          <w:lang w:val="de-DE"/>
        </w:rPr>
        <w:softHyphen/>
        <w:t>gen, insbesondere der Gesetzesbestimmungen zum Schutz von Marken, geographischen Angaben und Ursprungsbezeichnungen, Handelsnamen, Originalwerken und allen anderen Gegenständen geistigen Eigentums, Gesellschaftsnamen und Namen von Vereinigungen, Familiennamen und Namen geographischer Einheiten, und unbeschadet aller Gesetzes</w:t>
      </w:r>
      <w:r w:rsidRPr="004676F5">
        <w:rPr>
          <w:lang w:val="de-DE"/>
        </w:rPr>
        <w:softHyphen/>
        <w:t>bestimmungen in den Bereichen unlauterer Wettbewerb, Handelspraktiken und Aufklärung und Schutz der Verbraucher.</w:t>
      </w:r>
    </w:p>
    <w:p w14:paraId="6192F1F2" w14:textId="77777777" w:rsidR="00A54B03" w:rsidRPr="004676F5" w:rsidRDefault="00A54B03" w:rsidP="00A54B03">
      <w:pPr>
        <w:jc w:val="both"/>
        <w:rPr>
          <w:lang w:val="de-DE"/>
        </w:rPr>
      </w:pPr>
    </w:p>
    <w:p w14:paraId="5D58C44E" w14:textId="77777777" w:rsidR="00A54B03" w:rsidRPr="004676F5" w:rsidRDefault="00A54B03" w:rsidP="006C0BE7">
      <w:pPr>
        <w:jc w:val="both"/>
        <w:rPr>
          <w:lang w:val="de-DE"/>
        </w:rPr>
      </w:pPr>
      <w:r w:rsidRPr="004676F5">
        <w:rPr>
          <w:lang w:val="de-DE"/>
        </w:rPr>
        <w:tab/>
        <w:t>Streitsachen, die ihren Ursprung im Recht auf freie Meinungsäußerung finden, fallen nicht in den Anwendungsbereich des vorliegenden Kapitels.</w:t>
      </w:r>
      <w:r w:rsidR="006C0BE7" w:rsidRPr="004676F5">
        <w:rPr>
          <w:lang w:val="de-DE"/>
        </w:rPr>
        <w:t>]</w:t>
      </w:r>
    </w:p>
    <w:p w14:paraId="316FBF26" w14:textId="77777777" w:rsidR="006C0BE7" w:rsidRPr="004676F5" w:rsidRDefault="006C0BE7" w:rsidP="006C0BE7">
      <w:pPr>
        <w:jc w:val="both"/>
        <w:rPr>
          <w:lang w:val="de-DE"/>
        </w:rPr>
      </w:pPr>
    </w:p>
    <w:p w14:paraId="2704F457" w14:textId="77777777" w:rsidR="006C0BE7" w:rsidRPr="004676F5" w:rsidRDefault="006C0BE7" w:rsidP="006C0BE7">
      <w:pPr>
        <w:jc w:val="both"/>
        <w:rPr>
          <w:lang w:val="de-DE"/>
        </w:rPr>
      </w:pPr>
    </w:p>
    <w:p w14:paraId="041E77CA" w14:textId="77777777" w:rsidR="00B54AAB" w:rsidRPr="004676F5" w:rsidRDefault="00B54AAB">
      <w:pPr>
        <w:rPr>
          <w:lang w:val="de-DE"/>
        </w:rPr>
      </w:pPr>
      <w:r w:rsidRPr="004676F5">
        <w:rPr>
          <w:lang w:val="de-DE"/>
        </w:rPr>
        <w:br w:type="page"/>
      </w:r>
    </w:p>
    <w:p w14:paraId="1FE62D1E" w14:textId="1EA532D0" w:rsidR="00B54AAB" w:rsidRPr="004676F5" w:rsidRDefault="00B54AAB" w:rsidP="00B54AAB">
      <w:pPr>
        <w:jc w:val="center"/>
        <w:rPr>
          <w:lang w:val="de-DE"/>
        </w:rPr>
      </w:pPr>
      <w:r w:rsidRPr="004676F5">
        <w:rPr>
          <w:lang w:val="de-DE"/>
        </w:rPr>
        <w:lastRenderedPageBreak/>
        <w:t>[</w:t>
      </w:r>
      <w:r w:rsidRPr="004676F5">
        <w:rPr>
          <w:b/>
          <w:lang w:val="de-DE"/>
        </w:rPr>
        <w:t>TITEL 2 </w:t>
      </w:r>
      <w:r w:rsidR="005B7A5C" w:rsidRPr="004676F5">
        <w:rPr>
          <w:b/>
          <w:lang w:val="de-DE"/>
        </w:rPr>
        <w:t>- </w:t>
      </w:r>
      <w:r w:rsidRPr="004676F5">
        <w:rPr>
          <w:b/>
          <w:i/>
          <w:lang w:val="de-DE"/>
        </w:rPr>
        <w:t>Bestimmte Regeln in Bezug auf den Rechtsrahmen für Vertrauensdienste</w:t>
      </w:r>
      <w:r w:rsidRPr="004676F5">
        <w:rPr>
          <w:lang w:val="de-DE"/>
        </w:rPr>
        <w:t>]</w:t>
      </w:r>
    </w:p>
    <w:p w14:paraId="5C5D9C3B" w14:textId="77777777" w:rsidR="00B54AAB" w:rsidRPr="004676F5" w:rsidRDefault="00B54AAB" w:rsidP="00B54AAB">
      <w:pPr>
        <w:jc w:val="center"/>
        <w:rPr>
          <w:lang w:val="de-DE"/>
        </w:rPr>
      </w:pPr>
    </w:p>
    <w:p w14:paraId="0E3F7674" w14:textId="3B56C6FF" w:rsidR="00B54AAB" w:rsidRPr="004676F5" w:rsidRDefault="00B54AAB" w:rsidP="00B54AAB">
      <w:pPr>
        <w:jc w:val="both"/>
        <w:rPr>
          <w:i/>
          <w:lang w:val="de-DE"/>
        </w:rPr>
      </w:pPr>
      <w:r w:rsidRPr="004676F5">
        <w:rPr>
          <w:i/>
          <w:lang w:val="de-DE"/>
        </w:rPr>
        <w:t xml:space="preserve">[Unterteilung Titel 2 eingefügt durch </w:t>
      </w:r>
      <w:r w:rsidR="00BE0A56" w:rsidRPr="004676F5">
        <w:rPr>
          <w:i/>
          <w:lang w:val="de-DE"/>
        </w:rPr>
        <w:t>Art. </w:t>
      </w:r>
      <w:r w:rsidRPr="004676F5">
        <w:rPr>
          <w:i/>
          <w:lang w:val="de-DE"/>
        </w:rPr>
        <w:t>3 des G. vom 21. Juli 2016 (B.S. vom 28. September 2016)]</w:t>
      </w:r>
    </w:p>
    <w:p w14:paraId="33AFECA6" w14:textId="77777777" w:rsidR="00B54AAB" w:rsidRPr="004676F5" w:rsidRDefault="00B54AAB" w:rsidP="00B54AAB">
      <w:pPr>
        <w:jc w:val="center"/>
        <w:rPr>
          <w:lang w:val="de-DE"/>
        </w:rPr>
      </w:pPr>
    </w:p>
    <w:p w14:paraId="7F167218" w14:textId="77777777" w:rsidR="00B54AAB" w:rsidRPr="004676F5" w:rsidRDefault="00B54AAB" w:rsidP="00B54AAB">
      <w:pPr>
        <w:jc w:val="center"/>
        <w:rPr>
          <w:lang w:val="de-DE"/>
        </w:rPr>
      </w:pPr>
    </w:p>
    <w:p w14:paraId="1B240219" w14:textId="50889860" w:rsidR="00B54AAB" w:rsidRPr="004676F5" w:rsidRDefault="00B54AAB" w:rsidP="00B54AAB">
      <w:pPr>
        <w:jc w:val="center"/>
        <w:rPr>
          <w:lang w:val="de-DE"/>
        </w:rPr>
      </w:pPr>
      <w:r w:rsidRPr="004676F5">
        <w:rPr>
          <w:lang w:val="de-DE"/>
        </w:rPr>
        <w:t>[KAPITEL 1 </w:t>
      </w:r>
      <w:r w:rsidR="005B7A5C" w:rsidRPr="004676F5">
        <w:rPr>
          <w:lang w:val="de-DE"/>
        </w:rPr>
        <w:t>- </w:t>
      </w:r>
      <w:r w:rsidRPr="004676F5">
        <w:rPr>
          <w:i/>
          <w:lang w:val="de-DE"/>
        </w:rPr>
        <w:t>Anwendungsbereich</w:t>
      </w:r>
      <w:r w:rsidRPr="004676F5">
        <w:rPr>
          <w:lang w:val="de-DE"/>
        </w:rPr>
        <w:t>]</w:t>
      </w:r>
    </w:p>
    <w:p w14:paraId="4F714AD4" w14:textId="77777777" w:rsidR="00B54AAB" w:rsidRPr="004676F5" w:rsidRDefault="00B54AAB" w:rsidP="00B54AAB">
      <w:pPr>
        <w:jc w:val="center"/>
        <w:rPr>
          <w:lang w:val="de-DE"/>
        </w:rPr>
      </w:pPr>
    </w:p>
    <w:p w14:paraId="48508760" w14:textId="72FC58BF" w:rsidR="00B54AAB" w:rsidRPr="004676F5" w:rsidRDefault="00B54AAB" w:rsidP="00B54AAB">
      <w:pPr>
        <w:jc w:val="both"/>
        <w:rPr>
          <w:i/>
          <w:lang w:val="de-DE"/>
        </w:rPr>
      </w:pPr>
      <w:r w:rsidRPr="004676F5">
        <w:rPr>
          <w:i/>
          <w:lang w:val="de-DE"/>
        </w:rPr>
        <w:t xml:space="preserve">[Unterteilung Kapitel 1 eingefügt durch </w:t>
      </w:r>
      <w:r w:rsidR="00BE0A56" w:rsidRPr="004676F5">
        <w:rPr>
          <w:i/>
          <w:lang w:val="de-DE"/>
        </w:rPr>
        <w:t>Art. </w:t>
      </w:r>
      <w:r w:rsidRPr="004676F5">
        <w:rPr>
          <w:i/>
          <w:lang w:val="de-DE"/>
        </w:rPr>
        <w:t>4 des G. vom 21. Juli 2016 (B.S. vom 28. September 2016)]</w:t>
      </w:r>
    </w:p>
    <w:p w14:paraId="546637FA" w14:textId="77777777" w:rsidR="00B54AAB" w:rsidRPr="004676F5" w:rsidRDefault="00B54AAB" w:rsidP="00B54AAB">
      <w:pPr>
        <w:jc w:val="both"/>
        <w:rPr>
          <w:i/>
          <w:lang w:val="de-DE"/>
        </w:rPr>
      </w:pPr>
    </w:p>
    <w:p w14:paraId="707E644F" w14:textId="77777777" w:rsidR="00B54AAB" w:rsidRPr="004676F5" w:rsidRDefault="00B54AAB" w:rsidP="00B54AAB">
      <w:pPr>
        <w:jc w:val="both"/>
        <w:rPr>
          <w:i/>
          <w:lang w:val="de-DE"/>
        </w:rPr>
      </w:pPr>
    </w:p>
    <w:p w14:paraId="3BDB1985" w14:textId="09EE7CD7" w:rsidR="00B54AAB" w:rsidRPr="004676F5" w:rsidRDefault="00B54AAB" w:rsidP="00B54AAB">
      <w:pPr>
        <w:ind w:firstLine="708"/>
        <w:jc w:val="both"/>
        <w:rPr>
          <w:lang w:val="de-DE"/>
        </w:rPr>
      </w:pPr>
      <w:r w:rsidRPr="004676F5">
        <w:rPr>
          <w:lang w:val="de-DE"/>
        </w:rPr>
        <w:t>[</w:t>
      </w:r>
      <w:r w:rsidR="00BE0A56" w:rsidRPr="004676F5">
        <w:rPr>
          <w:b/>
          <w:lang w:val="de-DE"/>
        </w:rPr>
        <w:t>Art. </w:t>
      </w:r>
      <w:r w:rsidRPr="004676F5">
        <w:rPr>
          <w:b/>
          <w:lang w:val="de-DE"/>
        </w:rPr>
        <w:t>XII.24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Vorliegender Titel führt die Verordnung 910/2014 durch.</w:t>
      </w:r>
    </w:p>
    <w:p w14:paraId="5F6ECFAB" w14:textId="77777777" w:rsidR="00B54AAB" w:rsidRPr="004676F5" w:rsidRDefault="00B54AAB" w:rsidP="00B54AAB">
      <w:pPr>
        <w:ind w:firstLine="708"/>
        <w:jc w:val="both"/>
        <w:rPr>
          <w:lang w:val="de-DE"/>
        </w:rPr>
      </w:pPr>
    </w:p>
    <w:p w14:paraId="3921B07C" w14:textId="04BD9C5A" w:rsidR="00B54AAB" w:rsidRPr="004676F5" w:rsidRDefault="00B54AAB" w:rsidP="00B54AAB">
      <w:pPr>
        <w:ind w:firstLine="708"/>
        <w:jc w:val="both"/>
        <w:rPr>
          <w:lang w:val="de-DE"/>
        </w:rPr>
      </w:pPr>
      <w:r w:rsidRPr="004676F5">
        <w:rPr>
          <w:lang w:val="de-DE"/>
        </w:rPr>
        <w:t>§ 2 </w:t>
      </w:r>
      <w:r w:rsidR="005B7A5C" w:rsidRPr="004676F5">
        <w:rPr>
          <w:lang w:val="de-DE"/>
        </w:rPr>
        <w:t>- </w:t>
      </w:r>
      <w:r w:rsidRPr="004676F5">
        <w:rPr>
          <w:lang w:val="de-DE"/>
        </w:rPr>
        <w:t>Vorliegender Titel legt bestimmte Regeln fest zur Ergänzung der Verordnung 910/2014 in Bezug auf den Rechtsrahmen für Dienste für elektronische Signaturen, elektronische Siegel, elektronische Archivierung, elektronische Einschreibe</w:t>
      </w:r>
      <w:r w:rsidRPr="004676F5">
        <w:rPr>
          <w:lang w:val="de-DE"/>
        </w:rPr>
        <w:softHyphen/>
        <w:t>sen</w:t>
      </w:r>
      <w:r w:rsidRPr="004676F5">
        <w:rPr>
          <w:lang w:val="de-DE"/>
        </w:rPr>
        <w:softHyphen/>
        <w:t>dun</w:t>
      </w:r>
      <w:r w:rsidRPr="004676F5">
        <w:rPr>
          <w:lang w:val="de-DE"/>
        </w:rPr>
        <w:softHyphen/>
        <w:t>gen und elektronische Zeitstempel, die von einem in Belgien ansässigen Vertrauens</w:t>
      </w:r>
      <w:r w:rsidRPr="004676F5">
        <w:rPr>
          <w:lang w:val="de-DE"/>
        </w:rPr>
        <w:softHyphen/>
        <w:t>dienste</w:t>
      </w:r>
      <w:r w:rsidRPr="004676F5">
        <w:rPr>
          <w:lang w:val="de-DE"/>
        </w:rPr>
        <w:softHyphen/>
        <w:t>anbieter erbracht werden, oder für einen Dienst für elektronische Archivierung, der für eigene Rechnung von einer öffentlichen Einrichtung oder einer natürlichen oder juristischen Person betrieben wird, die in Belgien ansässig ist.</w:t>
      </w:r>
    </w:p>
    <w:p w14:paraId="5C7C44F6" w14:textId="77777777" w:rsidR="00B54AAB" w:rsidRPr="004676F5" w:rsidRDefault="00B54AAB" w:rsidP="00B54AAB">
      <w:pPr>
        <w:ind w:firstLine="708"/>
        <w:jc w:val="both"/>
        <w:rPr>
          <w:lang w:val="de-DE"/>
        </w:rPr>
      </w:pPr>
    </w:p>
    <w:p w14:paraId="266E68E3" w14:textId="77777777" w:rsidR="00B54AAB" w:rsidRPr="004676F5" w:rsidRDefault="00B54AAB" w:rsidP="00B54AAB">
      <w:pPr>
        <w:ind w:firstLine="708"/>
        <w:jc w:val="both"/>
        <w:rPr>
          <w:lang w:val="de-DE"/>
        </w:rPr>
      </w:pPr>
      <w:r w:rsidRPr="004676F5">
        <w:rPr>
          <w:lang w:val="de-DE"/>
        </w:rPr>
        <w:t>Die Bestimmungen des vorliegenden Titels lassen die Bestimmungen des Archiv</w:t>
      </w:r>
      <w:r w:rsidRPr="004676F5">
        <w:rPr>
          <w:lang w:val="de-DE"/>
        </w:rPr>
        <w:softHyphen/>
        <w:t>gesetzes vom 24. Juni 1955 unberührt.</w:t>
      </w:r>
    </w:p>
    <w:p w14:paraId="74BA85EF" w14:textId="77777777" w:rsidR="00B54AAB" w:rsidRPr="004676F5" w:rsidRDefault="00B54AAB" w:rsidP="00B54AAB">
      <w:pPr>
        <w:ind w:firstLine="708"/>
        <w:jc w:val="both"/>
        <w:rPr>
          <w:lang w:val="de-DE"/>
        </w:rPr>
      </w:pPr>
    </w:p>
    <w:p w14:paraId="32B107E1" w14:textId="6F01BE52" w:rsidR="00B54AAB" w:rsidRPr="004676F5" w:rsidRDefault="00B54AAB" w:rsidP="00B54AAB">
      <w:pPr>
        <w:ind w:firstLine="708"/>
        <w:jc w:val="both"/>
        <w:rPr>
          <w:lang w:val="de-DE"/>
        </w:rPr>
      </w:pPr>
      <w:r w:rsidRPr="004676F5">
        <w:rPr>
          <w:lang w:val="de-DE"/>
        </w:rPr>
        <w:t>§ 3 </w:t>
      </w:r>
      <w:r w:rsidR="005B7A5C" w:rsidRPr="004676F5">
        <w:rPr>
          <w:lang w:val="de-DE"/>
        </w:rPr>
        <w:t>- </w:t>
      </w:r>
      <w:r w:rsidRPr="004676F5">
        <w:rPr>
          <w:lang w:val="de-DE"/>
        </w:rPr>
        <w:t>In Anwendung von Artikel 2 Absatz 2 der Verordnung 910/2014 sind Komponenten, die für elektronische Signaturen, elektronische Einschreibesendungen, elektronische Zeitstempel und elektronische Archivierung verwendet werden und kostenlos oder gegen Bezahlung von einer Verwaltungsbehörde im Sinne von Artikel 14 der am 12. Januar 1973 koordinierten Gesetze über den Staatsrat in Ausführung von Aufträgen bereitgestellt werden, die ihr durch oder aufgrund eines Gesetzes anvertraut sind, von der Anwendung der Verordnung 910/2014, des vorliegenden Titels und seiner Anlagen ausgeschlossen.</w:t>
      </w:r>
    </w:p>
    <w:p w14:paraId="4C880580" w14:textId="77777777" w:rsidR="00B54AAB" w:rsidRPr="004676F5" w:rsidRDefault="00B54AAB" w:rsidP="00B54AAB">
      <w:pPr>
        <w:ind w:firstLine="708"/>
        <w:jc w:val="both"/>
        <w:rPr>
          <w:lang w:val="de-DE"/>
        </w:rPr>
      </w:pPr>
    </w:p>
    <w:p w14:paraId="1947D346" w14:textId="77777777" w:rsidR="00B54AAB" w:rsidRPr="004676F5" w:rsidRDefault="00B54AAB" w:rsidP="00DD68A0">
      <w:pPr>
        <w:ind w:firstLine="708"/>
        <w:jc w:val="both"/>
        <w:rPr>
          <w:lang w:val="de-DE"/>
        </w:rPr>
      </w:pPr>
      <w:r w:rsidRPr="004676F5">
        <w:rPr>
          <w:lang w:val="de-DE"/>
        </w:rPr>
        <w:t>Die Artikel 25 Absatz 1, 41 Absatz 1 und 43 Absatz 1 der Verordnung 910/2014 sind jedoch auf die in Absatz 1 erwähnten Komponenten anwendbar, die für elektronische Signaturen, elektronische Einschreibesendungen und elektronische Zeitstempel verwendet werden.]</w:t>
      </w:r>
    </w:p>
    <w:p w14:paraId="7380DAC0" w14:textId="77777777" w:rsidR="00DD68A0" w:rsidRPr="004676F5" w:rsidRDefault="00DD68A0" w:rsidP="00DD68A0">
      <w:pPr>
        <w:ind w:firstLine="708"/>
        <w:jc w:val="both"/>
        <w:rPr>
          <w:lang w:val="de-DE"/>
        </w:rPr>
      </w:pPr>
    </w:p>
    <w:p w14:paraId="3154EC0A" w14:textId="6EE75E79" w:rsidR="00DD68A0" w:rsidRPr="004676F5" w:rsidRDefault="00DD68A0" w:rsidP="00DD68A0">
      <w:pPr>
        <w:jc w:val="both"/>
        <w:rPr>
          <w:i/>
          <w:lang w:val="de-DE"/>
        </w:rPr>
      </w:pPr>
      <w:r w:rsidRPr="004676F5">
        <w:rPr>
          <w:i/>
          <w:lang w:val="de-DE"/>
        </w:rPr>
        <w:t>[</w:t>
      </w:r>
      <w:r w:rsidR="00BE0A56" w:rsidRPr="004676F5">
        <w:rPr>
          <w:i/>
          <w:lang w:val="de-DE"/>
        </w:rPr>
        <w:t>Art. </w:t>
      </w:r>
      <w:r w:rsidRPr="004676F5">
        <w:rPr>
          <w:i/>
          <w:lang w:val="de-DE"/>
        </w:rPr>
        <w:t xml:space="preserve">XII.24 eingefügt durch </w:t>
      </w:r>
      <w:r w:rsidR="00BE0A56" w:rsidRPr="004676F5">
        <w:rPr>
          <w:i/>
          <w:lang w:val="de-DE"/>
        </w:rPr>
        <w:t>Art. </w:t>
      </w:r>
      <w:r w:rsidRPr="004676F5">
        <w:rPr>
          <w:i/>
          <w:lang w:val="de-DE"/>
        </w:rPr>
        <w:t>5 des G. vom 21. Juli 2016 (B.S. vom 28. September 2016)]</w:t>
      </w:r>
    </w:p>
    <w:p w14:paraId="21F011E1" w14:textId="77777777" w:rsidR="00DD68A0" w:rsidRPr="004676F5" w:rsidRDefault="00DD68A0" w:rsidP="00DD68A0">
      <w:pPr>
        <w:jc w:val="both"/>
        <w:rPr>
          <w:lang w:val="de-DE"/>
        </w:rPr>
      </w:pPr>
    </w:p>
    <w:p w14:paraId="11EA9AD7" w14:textId="77777777" w:rsidR="00DD68A0" w:rsidRPr="004676F5" w:rsidRDefault="00DD68A0" w:rsidP="00DD68A0">
      <w:pPr>
        <w:jc w:val="both"/>
        <w:rPr>
          <w:lang w:val="de-DE"/>
        </w:rPr>
      </w:pPr>
    </w:p>
    <w:p w14:paraId="061CA3D8" w14:textId="77777777" w:rsidR="00914447" w:rsidRPr="004676F5" w:rsidRDefault="00914447">
      <w:pPr>
        <w:rPr>
          <w:lang w:val="de-DE"/>
        </w:rPr>
      </w:pPr>
      <w:r w:rsidRPr="004676F5">
        <w:rPr>
          <w:lang w:val="de-DE"/>
        </w:rPr>
        <w:br w:type="page"/>
      </w:r>
    </w:p>
    <w:p w14:paraId="7042E320" w14:textId="6330CAD1" w:rsidR="00DD68A0" w:rsidRPr="004676F5" w:rsidRDefault="00DD68A0" w:rsidP="00DD68A0">
      <w:pPr>
        <w:jc w:val="center"/>
        <w:rPr>
          <w:lang w:val="de-DE"/>
        </w:rPr>
      </w:pPr>
      <w:r w:rsidRPr="004676F5">
        <w:rPr>
          <w:lang w:val="de-DE"/>
        </w:rPr>
        <w:lastRenderedPageBreak/>
        <w:t>[KAPITEL 2 </w:t>
      </w:r>
      <w:r w:rsidR="005B7A5C" w:rsidRPr="004676F5">
        <w:rPr>
          <w:lang w:val="de-DE"/>
        </w:rPr>
        <w:t>- </w:t>
      </w:r>
      <w:r w:rsidRPr="004676F5">
        <w:rPr>
          <w:i/>
          <w:lang w:val="de-DE"/>
        </w:rPr>
        <w:t>Allgemeine Grundsätze</w:t>
      </w:r>
      <w:r w:rsidRPr="004676F5">
        <w:rPr>
          <w:lang w:val="de-DE"/>
        </w:rPr>
        <w:t>]</w:t>
      </w:r>
    </w:p>
    <w:p w14:paraId="5110253B" w14:textId="77777777" w:rsidR="00B54AAB" w:rsidRPr="004676F5" w:rsidRDefault="00B54AAB" w:rsidP="00B54AAB">
      <w:pPr>
        <w:jc w:val="center"/>
        <w:rPr>
          <w:lang w:val="de-DE"/>
        </w:rPr>
      </w:pPr>
    </w:p>
    <w:p w14:paraId="737123C5" w14:textId="1A468107" w:rsidR="00DD68A0" w:rsidRPr="004676F5" w:rsidRDefault="00DD68A0" w:rsidP="00DD68A0">
      <w:pPr>
        <w:jc w:val="both"/>
        <w:rPr>
          <w:lang w:val="de-DE"/>
        </w:rPr>
      </w:pPr>
      <w:r w:rsidRPr="004676F5">
        <w:rPr>
          <w:i/>
          <w:lang w:val="de-DE"/>
        </w:rPr>
        <w:t xml:space="preserve">[Unterteilung Kapitel 2 eingefügt durch </w:t>
      </w:r>
      <w:r w:rsidR="00BE0A56" w:rsidRPr="004676F5">
        <w:rPr>
          <w:i/>
          <w:lang w:val="de-DE"/>
        </w:rPr>
        <w:t>Art. </w:t>
      </w:r>
      <w:r w:rsidRPr="004676F5">
        <w:rPr>
          <w:i/>
          <w:lang w:val="de-DE"/>
        </w:rPr>
        <w:t>6 des G. vom 21. Juli 2016 (B.S. vom 28. September 2016)]</w:t>
      </w:r>
    </w:p>
    <w:p w14:paraId="56762684" w14:textId="77777777" w:rsidR="00DD68A0" w:rsidRPr="004676F5" w:rsidRDefault="00DD68A0" w:rsidP="00DD68A0">
      <w:pPr>
        <w:jc w:val="both"/>
        <w:rPr>
          <w:lang w:val="de-DE"/>
        </w:rPr>
      </w:pPr>
    </w:p>
    <w:p w14:paraId="0DB069CD" w14:textId="77777777" w:rsidR="00643792" w:rsidRPr="004676F5" w:rsidRDefault="00643792" w:rsidP="00DD68A0">
      <w:pPr>
        <w:jc w:val="both"/>
        <w:rPr>
          <w:lang w:val="de-DE"/>
        </w:rPr>
      </w:pPr>
    </w:p>
    <w:p w14:paraId="43D79AC4" w14:textId="26BFA972" w:rsidR="00DD68A0" w:rsidRPr="004676F5" w:rsidRDefault="00DD68A0" w:rsidP="00DD68A0">
      <w:pPr>
        <w:ind w:firstLine="708"/>
        <w:jc w:val="both"/>
        <w:rPr>
          <w:lang w:val="de-DE"/>
        </w:rPr>
      </w:pPr>
      <w:r w:rsidRPr="004676F5">
        <w:rPr>
          <w:lang w:val="de-DE"/>
        </w:rPr>
        <w:t>[</w:t>
      </w:r>
      <w:r w:rsidR="00BE0A56" w:rsidRPr="004676F5">
        <w:rPr>
          <w:b/>
          <w:lang w:val="de-DE"/>
        </w:rPr>
        <w:t>Art. </w:t>
      </w:r>
      <w:r w:rsidRPr="004676F5">
        <w:rPr>
          <w:b/>
          <w:lang w:val="de-DE"/>
        </w:rPr>
        <w:t>XII.25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Mangels gegenteiliger Gesetzesbestimmungen darf niemand verpflichtet werden, Rechtshandlungen mit elektronischen Mitteln vorzunehmen.</w:t>
      </w:r>
    </w:p>
    <w:p w14:paraId="41591B02" w14:textId="77777777" w:rsidR="00DD68A0" w:rsidRPr="004676F5" w:rsidRDefault="00DD68A0" w:rsidP="00DD68A0">
      <w:pPr>
        <w:ind w:firstLine="708"/>
        <w:jc w:val="both"/>
        <w:rPr>
          <w:lang w:val="de-DE"/>
        </w:rPr>
      </w:pPr>
    </w:p>
    <w:p w14:paraId="126DF259" w14:textId="65DCDF62" w:rsidR="00DD68A0" w:rsidRPr="004676F5" w:rsidRDefault="00DD68A0" w:rsidP="00DD68A0">
      <w:pPr>
        <w:ind w:firstLine="708"/>
        <w:jc w:val="both"/>
        <w:rPr>
          <w:lang w:val="de-DE"/>
        </w:rPr>
      </w:pPr>
      <w:r w:rsidRPr="004676F5">
        <w:rPr>
          <w:lang w:val="de-DE"/>
        </w:rPr>
        <w:t>§ 2 </w:t>
      </w:r>
      <w:r w:rsidR="005B7A5C" w:rsidRPr="004676F5">
        <w:rPr>
          <w:lang w:val="de-DE"/>
        </w:rPr>
        <w:t>- </w:t>
      </w:r>
      <w:r w:rsidRPr="004676F5">
        <w:rPr>
          <w:lang w:val="de-DE"/>
        </w:rPr>
        <w:t>Begriffe des vorliegenden Titels, die nicht in Artikel I.18 bestimmt werden, sind gemäß den Begriffsbestimmungen von Artikel 3 der Verordnung 910/2014 zu verstehen.</w:t>
      </w:r>
    </w:p>
    <w:p w14:paraId="1EF6F2E9" w14:textId="77777777" w:rsidR="00DD68A0" w:rsidRPr="004676F5" w:rsidRDefault="00DD68A0" w:rsidP="00DD68A0">
      <w:pPr>
        <w:ind w:firstLine="708"/>
        <w:jc w:val="both"/>
        <w:rPr>
          <w:lang w:val="de-DE"/>
        </w:rPr>
      </w:pPr>
    </w:p>
    <w:p w14:paraId="02D19F6D" w14:textId="71C4923B" w:rsidR="00DD68A0" w:rsidRPr="004676F5" w:rsidRDefault="00DD68A0" w:rsidP="00DD68A0">
      <w:pPr>
        <w:ind w:firstLine="708"/>
        <w:jc w:val="both"/>
        <w:rPr>
          <w:lang w:val="de-DE"/>
        </w:rPr>
      </w:pPr>
      <w:r w:rsidRPr="004676F5">
        <w:rPr>
          <w:lang w:val="de-DE"/>
        </w:rPr>
        <w:t>§ 3 </w:t>
      </w:r>
      <w:r w:rsidR="005B7A5C" w:rsidRPr="004676F5">
        <w:rPr>
          <w:lang w:val="de-DE"/>
        </w:rPr>
        <w:t>- </w:t>
      </w:r>
      <w:r w:rsidRPr="004676F5">
        <w:rPr>
          <w:lang w:val="de-DE"/>
        </w:rPr>
        <w:t xml:space="preserve">Unbeschadet der </w:t>
      </w:r>
      <w:r w:rsidR="003C1E5F" w:rsidRPr="004676F5">
        <w:rPr>
          <w:lang w:val="de-DE"/>
        </w:rPr>
        <w:t>[</w:t>
      </w:r>
      <w:r w:rsidRPr="004676F5">
        <w:rPr>
          <w:lang w:val="de-DE"/>
        </w:rPr>
        <w:t>Artikel </w:t>
      </w:r>
      <w:r w:rsidR="003C1E5F" w:rsidRPr="004676F5">
        <w:rPr>
          <w:lang w:val="de-DE"/>
        </w:rPr>
        <w:t>8.19]</w:t>
      </w:r>
      <w:r w:rsidRPr="004676F5">
        <w:rPr>
          <w:lang w:val="de-DE"/>
        </w:rPr>
        <w:t xml:space="preserve"> und folgenden des Zivilgesetzbuches und der Gesetzes</w:t>
      </w:r>
      <w:r w:rsidR="005B7A5C" w:rsidRPr="004676F5">
        <w:rPr>
          <w:lang w:val="de-DE"/>
        </w:rPr>
        <w:t>- </w:t>
      </w:r>
      <w:r w:rsidRPr="004676F5">
        <w:rPr>
          <w:lang w:val="de-DE"/>
        </w:rPr>
        <w:t>und Verordnungsbestimmungen über die Vertretung von juristischen Personen wird ein qualifiziertes elektronisches Siegel, das im Rahmen von Rechtshandlungen verwendet wird, die ausschließlich von natürlichen und/oder juristischen Personen vorgenommen werden oder zwischen solchen Personen erfolgen, die in Belgien wohnhaft oder ansässig sind, der handschriftlichen Unterschrift der natürlichen Person gleichgesetzt, die die juristische Person vertritt, die dieses Siegel erstellt hat.</w:t>
      </w:r>
    </w:p>
    <w:p w14:paraId="3EDDD6B7" w14:textId="77777777" w:rsidR="00DD68A0" w:rsidRPr="004676F5" w:rsidRDefault="00DD68A0" w:rsidP="00DD68A0">
      <w:pPr>
        <w:ind w:firstLine="708"/>
        <w:jc w:val="both"/>
        <w:rPr>
          <w:lang w:val="de-DE"/>
        </w:rPr>
      </w:pPr>
    </w:p>
    <w:p w14:paraId="5F82F436" w14:textId="1086A2E5" w:rsidR="00DD68A0" w:rsidRPr="004676F5" w:rsidRDefault="00DD68A0" w:rsidP="00DD68A0">
      <w:pPr>
        <w:ind w:firstLine="708"/>
        <w:jc w:val="both"/>
        <w:rPr>
          <w:lang w:val="de-DE"/>
        </w:rPr>
      </w:pPr>
      <w:r w:rsidRPr="004676F5">
        <w:rPr>
          <w:lang w:val="de-DE"/>
        </w:rPr>
        <w:t>§ 4 </w:t>
      </w:r>
      <w:r w:rsidR="005B7A5C" w:rsidRPr="004676F5">
        <w:rPr>
          <w:lang w:val="de-DE"/>
        </w:rPr>
        <w:t>- </w:t>
      </w:r>
      <w:r w:rsidRPr="004676F5">
        <w:rPr>
          <w:lang w:val="de-DE"/>
        </w:rPr>
        <w:t>Einer elektronischen Archivierung darf die Rechtswirkung und die Zulässigkeit als Beweismittel in Gerichtsverfahren nicht allein deshalb abgesprochen werden, weil sie in elektronischer Form vorliegt oder weil sie die Anforderungen an qualifizierte Dienste für elektronische Archivierung nicht erfüllt.</w:t>
      </w:r>
    </w:p>
    <w:p w14:paraId="3DDFA245" w14:textId="77777777" w:rsidR="00DD68A0" w:rsidRPr="004676F5" w:rsidRDefault="00DD68A0" w:rsidP="00DD68A0">
      <w:pPr>
        <w:ind w:firstLine="708"/>
        <w:jc w:val="both"/>
        <w:rPr>
          <w:lang w:val="de-DE"/>
        </w:rPr>
      </w:pPr>
    </w:p>
    <w:p w14:paraId="47610510" w14:textId="2BA2619B" w:rsidR="00DD68A0" w:rsidRPr="004676F5" w:rsidRDefault="00DD68A0" w:rsidP="00DD68A0">
      <w:pPr>
        <w:ind w:firstLine="708"/>
        <w:jc w:val="both"/>
        <w:rPr>
          <w:lang w:val="de-DE"/>
        </w:rPr>
      </w:pPr>
      <w:r w:rsidRPr="004676F5">
        <w:rPr>
          <w:lang w:val="de-DE"/>
        </w:rPr>
        <w:t>§ 5 </w:t>
      </w:r>
      <w:r w:rsidR="005B7A5C" w:rsidRPr="004676F5">
        <w:rPr>
          <w:lang w:val="de-DE"/>
        </w:rPr>
        <w:t>- </w:t>
      </w:r>
      <w:r w:rsidRPr="004676F5">
        <w:rPr>
          <w:lang w:val="de-DE"/>
        </w:rPr>
        <w:t>Wenn eine Verpflichtung zur Aufbewahrung von Daten oder Unterlagen ausdrücklich oder stillschweigend durch einen Gesetzes</w:t>
      </w:r>
      <w:r w:rsidR="005B7A5C" w:rsidRPr="004676F5">
        <w:rPr>
          <w:lang w:val="de-DE"/>
        </w:rPr>
        <w:t>- </w:t>
      </w:r>
      <w:r w:rsidRPr="004676F5">
        <w:rPr>
          <w:lang w:val="de-DE"/>
        </w:rPr>
        <w:t>oder Verordnungstext vorgeschrieben ist, gilt diese Verpflichtung unter Vorbehalt der Anwendung besonderer gesetzlicher oder verordnungsrechtlicher Anforderungen durch Inanspruchnahme eines qualifizierten Dienstes für elektronische Archivierung als erfüllt.</w:t>
      </w:r>
    </w:p>
    <w:p w14:paraId="700C020A" w14:textId="77777777" w:rsidR="00DD68A0" w:rsidRPr="004676F5" w:rsidRDefault="00DD68A0" w:rsidP="00DD68A0">
      <w:pPr>
        <w:ind w:firstLine="708"/>
        <w:jc w:val="both"/>
        <w:rPr>
          <w:lang w:val="de-DE"/>
        </w:rPr>
      </w:pPr>
    </w:p>
    <w:p w14:paraId="17B72190" w14:textId="77777777" w:rsidR="00DD68A0" w:rsidRPr="004676F5" w:rsidRDefault="00DD68A0" w:rsidP="00DD68A0">
      <w:pPr>
        <w:ind w:firstLine="708"/>
        <w:jc w:val="both"/>
        <w:rPr>
          <w:lang w:val="de-DE"/>
        </w:rPr>
      </w:pPr>
      <w:r w:rsidRPr="004676F5">
        <w:rPr>
          <w:lang w:val="de-DE"/>
        </w:rPr>
        <w:t>Für elektronische Daten, die anhand eines qualifizierten Dienstes für elektronische Archivierung aufbewahrt werden, gilt unter Vorbehalt der Anwendung besonderer gesetzlicher oder verordnungsrechtlicher Anforderungen, dass sie gegen jegliche Veränderung geschützt aufbewahrt werden, unter Vorbehalt von Änderungen in Bezug auf ihren Träger oder ihr elektronisches Format.</w:t>
      </w:r>
    </w:p>
    <w:p w14:paraId="678F4263" w14:textId="77777777" w:rsidR="00DD68A0" w:rsidRPr="004676F5" w:rsidRDefault="00DD68A0" w:rsidP="00DD68A0">
      <w:pPr>
        <w:ind w:firstLine="708"/>
        <w:jc w:val="both"/>
        <w:rPr>
          <w:lang w:val="de-DE"/>
        </w:rPr>
      </w:pPr>
    </w:p>
    <w:p w14:paraId="7DF2CF31" w14:textId="77777777" w:rsidR="00DD68A0" w:rsidRPr="004676F5" w:rsidRDefault="00643792" w:rsidP="00DD68A0">
      <w:pPr>
        <w:ind w:firstLine="708"/>
        <w:jc w:val="both"/>
        <w:rPr>
          <w:lang w:val="de-DE"/>
        </w:rPr>
      </w:pPr>
      <w:r w:rsidRPr="004676F5">
        <w:rPr>
          <w:lang w:val="de-DE"/>
        </w:rPr>
        <w:t>(...)</w:t>
      </w:r>
    </w:p>
    <w:p w14:paraId="670374F9" w14:textId="77777777" w:rsidR="00DD68A0" w:rsidRPr="004676F5" w:rsidRDefault="00DD68A0" w:rsidP="00DD68A0">
      <w:pPr>
        <w:ind w:firstLine="708"/>
        <w:jc w:val="both"/>
        <w:rPr>
          <w:lang w:val="de-DE"/>
        </w:rPr>
      </w:pPr>
    </w:p>
    <w:p w14:paraId="0AAB5D23" w14:textId="5D80BFAA" w:rsidR="00DD68A0" w:rsidRPr="004676F5" w:rsidRDefault="00DD68A0" w:rsidP="00DD68A0">
      <w:pPr>
        <w:ind w:firstLine="708"/>
        <w:jc w:val="both"/>
        <w:rPr>
          <w:lang w:val="de-DE"/>
        </w:rPr>
      </w:pPr>
      <w:r w:rsidRPr="004676F5">
        <w:rPr>
          <w:lang w:val="de-DE"/>
        </w:rPr>
        <w:t>§ 6 </w:t>
      </w:r>
      <w:r w:rsidR="005B7A5C" w:rsidRPr="004676F5">
        <w:rPr>
          <w:lang w:val="de-DE"/>
        </w:rPr>
        <w:t>- </w:t>
      </w:r>
      <w:r w:rsidRPr="004676F5">
        <w:rPr>
          <w:lang w:val="de-DE"/>
        </w:rPr>
        <w:t>Eine digitale Abschrift einer Unterlage auf Papier gilt unter Vorbehalt der Anwendung besonderer gesetzlicher oder verordnungsrechtlicher Anforderungen als getreue und dauerhafte Abschrift, wenn sie von einem qualifizierten Dienst für elektronische Archivierung erstellt und aufbewahrt wird. In diesem Fall ist die Vernichtung des Originals auf Papier erlaubt unter Vorbehalt der Anwendung der Gesetzes</w:t>
      </w:r>
      <w:r w:rsidR="005B7A5C" w:rsidRPr="004676F5">
        <w:rPr>
          <w:lang w:val="de-DE"/>
        </w:rPr>
        <w:t>- </w:t>
      </w:r>
      <w:r w:rsidRPr="004676F5">
        <w:rPr>
          <w:lang w:val="de-DE"/>
        </w:rPr>
        <w:t>und Verordnungsbestimmungen über die Aufbewahrung und Vernichtung der Archive des öffentlichen Sektors, insbesondere des Artikels 5 des Archivgesetzes vom 24. Juni 1955.</w:t>
      </w:r>
    </w:p>
    <w:p w14:paraId="6B20B1AC" w14:textId="77777777" w:rsidR="00DD68A0" w:rsidRPr="004676F5" w:rsidRDefault="00DD68A0" w:rsidP="00DD68A0">
      <w:pPr>
        <w:ind w:firstLine="708"/>
        <w:jc w:val="both"/>
        <w:rPr>
          <w:lang w:val="de-DE"/>
        </w:rPr>
      </w:pPr>
    </w:p>
    <w:p w14:paraId="604D08E5" w14:textId="3514115D" w:rsidR="00DD68A0" w:rsidRPr="004676F5" w:rsidRDefault="00DD68A0" w:rsidP="00DD68A0">
      <w:pPr>
        <w:ind w:firstLine="708"/>
        <w:jc w:val="both"/>
        <w:rPr>
          <w:lang w:val="de-DE"/>
        </w:rPr>
      </w:pPr>
      <w:r w:rsidRPr="004676F5">
        <w:rPr>
          <w:lang w:val="de-DE"/>
        </w:rPr>
        <w:t>§ 7 </w:t>
      </w:r>
      <w:r w:rsidR="005B7A5C" w:rsidRPr="004676F5">
        <w:rPr>
          <w:lang w:val="de-DE"/>
        </w:rPr>
        <w:t>- </w:t>
      </w:r>
      <w:r w:rsidRPr="004676F5">
        <w:rPr>
          <w:lang w:val="de-DE"/>
        </w:rPr>
        <w:t>Wenn eine Einschreibesendung ausdrücklich oder stillschweigend durch einen Gesetzes</w:t>
      </w:r>
      <w:r w:rsidR="005B7A5C" w:rsidRPr="004676F5">
        <w:rPr>
          <w:lang w:val="de-DE"/>
        </w:rPr>
        <w:t>- </w:t>
      </w:r>
      <w:r w:rsidRPr="004676F5">
        <w:rPr>
          <w:lang w:val="de-DE"/>
        </w:rPr>
        <w:t>oder Verordnungstext vorgeschrieben ist, gilt diese Verpflichtung unter Vorbehalt der Anwendung besonderer gesetzlicher oder verordnungsrechtlicher Anforderungen durch Inanspruchnahme eines qualifizierten Dienstes für die Zustellung elektronischer Einschreibe</w:t>
      </w:r>
      <w:r w:rsidRPr="004676F5">
        <w:rPr>
          <w:lang w:val="de-DE"/>
        </w:rPr>
        <w:softHyphen/>
        <w:t>sendungen als erfüllt.</w:t>
      </w:r>
    </w:p>
    <w:p w14:paraId="065B2B50" w14:textId="77777777" w:rsidR="00DD68A0" w:rsidRPr="004676F5" w:rsidRDefault="00DD68A0" w:rsidP="00DD68A0">
      <w:pPr>
        <w:ind w:firstLine="708"/>
        <w:jc w:val="both"/>
        <w:rPr>
          <w:lang w:val="de-DE"/>
        </w:rPr>
      </w:pPr>
    </w:p>
    <w:p w14:paraId="729941AC" w14:textId="77777777" w:rsidR="00DD68A0" w:rsidRPr="004676F5" w:rsidRDefault="00643792" w:rsidP="00DD68A0">
      <w:pPr>
        <w:ind w:firstLine="708"/>
        <w:jc w:val="both"/>
        <w:rPr>
          <w:lang w:val="de-DE"/>
        </w:rPr>
      </w:pPr>
      <w:r w:rsidRPr="004676F5">
        <w:rPr>
          <w:lang w:val="de-DE"/>
        </w:rPr>
        <w:t>(...)</w:t>
      </w:r>
    </w:p>
    <w:p w14:paraId="7C796ABA" w14:textId="77777777" w:rsidR="00DD68A0" w:rsidRPr="004676F5" w:rsidRDefault="00DD68A0" w:rsidP="00DD68A0">
      <w:pPr>
        <w:ind w:firstLine="708"/>
        <w:jc w:val="both"/>
        <w:rPr>
          <w:lang w:val="de-DE"/>
        </w:rPr>
      </w:pPr>
    </w:p>
    <w:p w14:paraId="59005C87" w14:textId="045CED1E" w:rsidR="00DD68A0" w:rsidRPr="004676F5" w:rsidRDefault="00DD68A0" w:rsidP="00DD68A0">
      <w:pPr>
        <w:ind w:firstLine="708"/>
        <w:jc w:val="both"/>
        <w:rPr>
          <w:lang w:val="de-DE"/>
        </w:rPr>
      </w:pPr>
      <w:r w:rsidRPr="004676F5">
        <w:rPr>
          <w:lang w:val="de-DE"/>
        </w:rPr>
        <w:t>§ 8 </w:t>
      </w:r>
      <w:r w:rsidR="005B7A5C" w:rsidRPr="004676F5">
        <w:rPr>
          <w:lang w:val="de-DE"/>
        </w:rPr>
        <w:t>- </w:t>
      </w:r>
      <w:r w:rsidRPr="004676F5">
        <w:rPr>
          <w:lang w:val="de-DE"/>
        </w:rPr>
        <w:t>Wenn eine Verpflichtung zur Datierung von Daten oder Unterlagen ausdrücklich oder stillschweigend durch einen Gesetzes</w:t>
      </w:r>
      <w:r w:rsidR="005B7A5C" w:rsidRPr="004676F5">
        <w:rPr>
          <w:lang w:val="de-DE"/>
        </w:rPr>
        <w:t>- </w:t>
      </w:r>
      <w:r w:rsidRPr="004676F5">
        <w:rPr>
          <w:lang w:val="de-DE"/>
        </w:rPr>
        <w:t>oder Verordnungstext vorgeschrieben ist, gilt diese Verpflichtung unter Vorbehalt der Anwendung besonderer gesetzlicher oder verordnungs</w:t>
      </w:r>
      <w:r w:rsidRPr="004676F5">
        <w:rPr>
          <w:lang w:val="de-DE"/>
        </w:rPr>
        <w:softHyphen/>
        <w:t>recht</w:t>
      </w:r>
      <w:r w:rsidRPr="004676F5">
        <w:rPr>
          <w:lang w:val="de-DE"/>
        </w:rPr>
        <w:softHyphen/>
        <w:t>licher Anforderungen durch Inanspruchnahme eines qualifizierten elektronischen Zeitstempels als erfüllt.</w:t>
      </w:r>
    </w:p>
    <w:p w14:paraId="7DEA83BA" w14:textId="77777777" w:rsidR="00DD68A0" w:rsidRPr="004676F5" w:rsidRDefault="00DD68A0" w:rsidP="00DD68A0">
      <w:pPr>
        <w:ind w:firstLine="708"/>
        <w:jc w:val="both"/>
        <w:rPr>
          <w:lang w:val="de-DE"/>
        </w:rPr>
      </w:pPr>
    </w:p>
    <w:p w14:paraId="28CC6ADC" w14:textId="77777777" w:rsidR="00DD68A0" w:rsidRPr="004676F5" w:rsidRDefault="00643792" w:rsidP="00DD68A0">
      <w:pPr>
        <w:ind w:firstLine="708"/>
        <w:jc w:val="both"/>
        <w:rPr>
          <w:lang w:val="de-DE"/>
        </w:rPr>
      </w:pPr>
      <w:r w:rsidRPr="004676F5">
        <w:rPr>
          <w:lang w:val="de-DE"/>
        </w:rPr>
        <w:t>(...)</w:t>
      </w:r>
    </w:p>
    <w:p w14:paraId="452C502A" w14:textId="77777777" w:rsidR="00DD68A0" w:rsidRPr="004676F5" w:rsidRDefault="00DD68A0" w:rsidP="00DD68A0">
      <w:pPr>
        <w:ind w:firstLine="708"/>
        <w:jc w:val="both"/>
        <w:rPr>
          <w:lang w:val="de-DE"/>
        </w:rPr>
      </w:pPr>
    </w:p>
    <w:p w14:paraId="500C37B8" w14:textId="56FDB2D4" w:rsidR="00DD68A0" w:rsidRPr="004676F5" w:rsidRDefault="00DD68A0" w:rsidP="00DD68A0">
      <w:pPr>
        <w:ind w:firstLine="708"/>
        <w:jc w:val="both"/>
        <w:rPr>
          <w:lang w:val="de-DE"/>
        </w:rPr>
      </w:pPr>
      <w:r w:rsidRPr="004676F5">
        <w:rPr>
          <w:lang w:val="de-DE"/>
        </w:rPr>
        <w:t>§ 9 </w:t>
      </w:r>
      <w:r w:rsidR="005B7A5C" w:rsidRPr="004676F5">
        <w:rPr>
          <w:lang w:val="de-DE"/>
        </w:rPr>
        <w:t>- </w:t>
      </w:r>
      <w:r w:rsidRPr="004676F5">
        <w:rPr>
          <w:lang w:val="de-DE"/>
        </w:rPr>
        <w:t>Vertrauensdiensteanbieter dürfen zu keinem Zeitpunkt direkt oder indirekt verstehen lassen, dass sie einen qualifizierten Vertrauensdienst erbringen, wenn sie die Bestimmungen der Verordnung 910/2014, des vorliegenden Titels und seiner Anlagen in Bezug auf diese Dienste nicht einhalten.</w:t>
      </w:r>
    </w:p>
    <w:p w14:paraId="7FC26D39" w14:textId="77777777" w:rsidR="00DD68A0" w:rsidRPr="004676F5" w:rsidRDefault="00DD68A0" w:rsidP="00DD68A0">
      <w:pPr>
        <w:ind w:firstLine="708"/>
        <w:jc w:val="both"/>
        <w:rPr>
          <w:lang w:val="de-DE"/>
        </w:rPr>
      </w:pPr>
    </w:p>
    <w:p w14:paraId="60E52CAD" w14:textId="04F2A2E2" w:rsidR="00DD68A0" w:rsidRPr="004676F5" w:rsidRDefault="00DD68A0" w:rsidP="00DD68A0">
      <w:pPr>
        <w:ind w:firstLine="708"/>
        <w:jc w:val="both"/>
        <w:rPr>
          <w:lang w:val="de-DE"/>
        </w:rPr>
      </w:pPr>
      <w:r w:rsidRPr="004676F5">
        <w:rPr>
          <w:lang w:val="de-DE"/>
        </w:rPr>
        <w:t>§ 10 </w:t>
      </w:r>
      <w:r w:rsidR="005B7A5C" w:rsidRPr="004676F5">
        <w:rPr>
          <w:lang w:val="de-DE"/>
        </w:rPr>
        <w:t>- </w:t>
      </w:r>
      <w:r w:rsidRPr="004676F5">
        <w:rPr>
          <w:lang w:val="de-DE"/>
        </w:rPr>
        <w:t xml:space="preserve">Anbieter eines qualifizierten oder nicht qualifizierten Dienstes für elektronische Zeitstempel dürfen unter Vorbehalt der Anwendung von </w:t>
      </w:r>
      <w:r w:rsidR="003C1E5F" w:rsidRPr="004676F5">
        <w:rPr>
          <w:lang w:val="de-DE"/>
        </w:rPr>
        <w:t>[</w:t>
      </w:r>
      <w:r w:rsidRPr="004676F5">
        <w:rPr>
          <w:lang w:val="de-DE"/>
        </w:rPr>
        <w:t>Artikel 8</w:t>
      </w:r>
      <w:r w:rsidR="003C1E5F" w:rsidRPr="004676F5">
        <w:rPr>
          <w:lang w:val="de-DE"/>
        </w:rPr>
        <w:t>.22]</w:t>
      </w:r>
      <w:r w:rsidRPr="004676F5">
        <w:rPr>
          <w:lang w:val="de-DE"/>
        </w:rPr>
        <w:t xml:space="preserve"> des Zivilgesetzbuches zu keinem Zeitpunkt direkt oder indirekt verstehen lassen, dass ihr Dienst ein feststehendes Datum verleiht.</w:t>
      </w:r>
    </w:p>
    <w:p w14:paraId="52EFC42F" w14:textId="77777777" w:rsidR="00DD68A0" w:rsidRPr="004676F5" w:rsidRDefault="00DD68A0" w:rsidP="00DD68A0">
      <w:pPr>
        <w:ind w:firstLine="708"/>
        <w:jc w:val="both"/>
        <w:rPr>
          <w:lang w:val="de-DE"/>
        </w:rPr>
      </w:pPr>
    </w:p>
    <w:p w14:paraId="53462906" w14:textId="49667F24" w:rsidR="00DD68A0" w:rsidRPr="004676F5" w:rsidRDefault="00DD68A0" w:rsidP="00DD68A0">
      <w:pPr>
        <w:ind w:firstLine="708"/>
        <w:jc w:val="both"/>
        <w:rPr>
          <w:lang w:val="de-DE"/>
        </w:rPr>
      </w:pPr>
      <w:r w:rsidRPr="004676F5">
        <w:rPr>
          <w:lang w:val="de-DE"/>
        </w:rPr>
        <w:t>§ 11 </w:t>
      </w:r>
      <w:r w:rsidR="005B7A5C" w:rsidRPr="004676F5">
        <w:rPr>
          <w:lang w:val="de-DE"/>
        </w:rPr>
        <w:t>- </w:t>
      </w:r>
      <w:r w:rsidRPr="004676F5">
        <w:rPr>
          <w:lang w:val="de-DE"/>
        </w:rPr>
        <w:t>Die elektronische Signatur des Zertifikatsinhabers kann durch ein Äquivalent materialisiert werden, das den Anforderungen von Artikel 26 der Verordnung 910/2014 genügt.</w:t>
      </w:r>
    </w:p>
    <w:p w14:paraId="45A09EE0" w14:textId="77777777" w:rsidR="00DD68A0" w:rsidRPr="004676F5" w:rsidRDefault="00DD68A0" w:rsidP="00DD68A0">
      <w:pPr>
        <w:ind w:firstLine="708"/>
        <w:jc w:val="both"/>
        <w:rPr>
          <w:lang w:val="de-DE"/>
        </w:rPr>
      </w:pPr>
    </w:p>
    <w:p w14:paraId="3DFBCD18" w14:textId="3435C690" w:rsidR="00DD68A0" w:rsidRPr="004676F5" w:rsidRDefault="00DD68A0" w:rsidP="00DD68A0">
      <w:pPr>
        <w:ind w:firstLine="708"/>
        <w:jc w:val="both"/>
        <w:rPr>
          <w:lang w:val="de-DE"/>
        </w:rPr>
      </w:pPr>
      <w:r w:rsidRPr="004676F5">
        <w:rPr>
          <w:lang w:val="de-DE"/>
        </w:rPr>
        <w:t>§ 12 </w:t>
      </w:r>
      <w:r w:rsidR="005B7A5C" w:rsidRPr="004676F5">
        <w:rPr>
          <w:lang w:val="de-DE"/>
        </w:rPr>
        <w:t>- </w:t>
      </w:r>
      <w:r w:rsidRPr="004676F5">
        <w:rPr>
          <w:lang w:val="de-DE"/>
        </w:rPr>
        <w:t>Das elektronische Siegel des Zertifikatsinhabers kann durch ein Äquivalent mate</w:t>
      </w:r>
      <w:r w:rsidRPr="004676F5">
        <w:rPr>
          <w:lang w:val="de-DE"/>
        </w:rPr>
        <w:softHyphen/>
        <w:t>rialisiert werden, das den Anforderungen von Artikel 36 der Verordnung 910/2014 genügt.]</w:t>
      </w:r>
    </w:p>
    <w:p w14:paraId="7FF7E3C3" w14:textId="77777777" w:rsidR="00DD68A0" w:rsidRPr="004676F5" w:rsidRDefault="00DD68A0" w:rsidP="00DD68A0">
      <w:pPr>
        <w:ind w:firstLine="708"/>
        <w:jc w:val="both"/>
        <w:rPr>
          <w:lang w:val="de-DE"/>
        </w:rPr>
      </w:pPr>
    </w:p>
    <w:p w14:paraId="63E9AC12" w14:textId="47F8DA64" w:rsidR="00DD68A0" w:rsidRPr="004676F5" w:rsidRDefault="00DD68A0" w:rsidP="00DD68A0">
      <w:pPr>
        <w:jc w:val="both"/>
        <w:rPr>
          <w:i/>
          <w:lang w:val="de-DE"/>
        </w:rPr>
      </w:pPr>
      <w:r w:rsidRPr="004676F5">
        <w:rPr>
          <w:i/>
          <w:lang w:val="de-DE"/>
        </w:rPr>
        <w:t>[</w:t>
      </w:r>
      <w:r w:rsidR="00BE0A56" w:rsidRPr="004676F5">
        <w:rPr>
          <w:i/>
          <w:lang w:val="de-DE"/>
        </w:rPr>
        <w:t>Art. </w:t>
      </w:r>
      <w:r w:rsidRPr="004676F5">
        <w:rPr>
          <w:i/>
          <w:lang w:val="de-DE"/>
        </w:rPr>
        <w:t xml:space="preserve">XII.25 eingefügt durch </w:t>
      </w:r>
      <w:r w:rsidR="00BE0A56" w:rsidRPr="004676F5">
        <w:rPr>
          <w:i/>
          <w:lang w:val="de-DE"/>
        </w:rPr>
        <w:t>Art. </w:t>
      </w:r>
      <w:r w:rsidRPr="004676F5">
        <w:rPr>
          <w:i/>
          <w:lang w:val="de-DE"/>
        </w:rPr>
        <w:t>7 des G. vom 21. Juli 2016 (B.S. vom 28. September 2016)</w:t>
      </w:r>
      <w:r w:rsidR="003C1E5F" w:rsidRPr="004676F5">
        <w:rPr>
          <w:i/>
          <w:lang w:val="de-DE"/>
        </w:rPr>
        <w:t>; § 3 abgeändert durch Art. 38 Nr. 1</w:t>
      </w:r>
      <w:r w:rsidR="003C1E5F" w:rsidRPr="004676F5">
        <w:rPr>
          <w:bCs/>
          <w:i/>
          <w:lang w:val="de-DE"/>
        </w:rPr>
        <w:t xml:space="preserve"> des G. vom 13. April 2019 (B.S. vom 14. Mai 2019); § 10 abgeändert durch Art. 38 Nr. 2 des G. vom 13. April 2019 (B.S. vom 14. Mai 2019)</w:t>
      </w:r>
      <w:r w:rsidRPr="004676F5">
        <w:rPr>
          <w:i/>
          <w:lang w:val="de-DE"/>
        </w:rPr>
        <w:t>]</w:t>
      </w:r>
    </w:p>
    <w:p w14:paraId="167B0EAD" w14:textId="77777777" w:rsidR="00DD68A0" w:rsidRPr="004676F5" w:rsidRDefault="00DD68A0" w:rsidP="00DD68A0">
      <w:pPr>
        <w:jc w:val="both"/>
        <w:rPr>
          <w:lang w:val="de-DE"/>
        </w:rPr>
      </w:pPr>
    </w:p>
    <w:p w14:paraId="09EEB80D" w14:textId="77777777" w:rsidR="00643792" w:rsidRPr="004676F5" w:rsidRDefault="00643792" w:rsidP="00DD68A0">
      <w:pPr>
        <w:jc w:val="both"/>
        <w:rPr>
          <w:lang w:val="de-DE"/>
        </w:rPr>
      </w:pPr>
    </w:p>
    <w:p w14:paraId="26177CDA" w14:textId="1C743628" w:rsidR="00643792" w:rsidRPr="004676F5" w:rsidRDefault="00643792" w:rsidP="00643792">
      <w:pPr>
        <w:jc w:val="both"/>
        <w:rPr>
          <w:sz w:val="20"/>
          <w:lang w:val="de-DE"/>
        </w:rPr>
      </w:pPr>
      <w:r w:rsidRPr="004676F5">
        <w:rPr>
          <w:sz w:val="20"/>
          <w:lang w:val="de-DE"/>
        </w:rPr>
        <w:t xml:space="preserve">Ab einem gemäß </w:t>
      </w:r>
      <w:r w:rsidR="00BE0A56" w:rsidRPr="004676F5">
        <w:rPr>
          <w:sz w:val="20"/>
          <w:lang w:val="de-DE"/>
        </w:rPr>
        <w:t>Art. </w:t>
      </w:r>
      <w:r w:rsidRPr="004676F5">
        <w:rPr>
          <w:sz w:val="20"/>
          <w:lang w:val="de-DE"/>
        </w:rPr>
        <w:t>50</w:t>
      </w:r>
      <w:r w:rsidRPr="004676F5">
        <w:rPr>
          <w:i/>
          <w:sz w:val="20"/>
          <w:lang w:val="de-DE"/>
        </w:rPr>
        <w:t xml:space="preserve"> </w:t>
      </w:r>
      <w:r w:rsidRPr="004676F5">
        <w:rPr>
          <w:sz w:val="20"/>
          <w:lang w:val="de-DE"/>
        </w:rPr>
        <w:t xml:space="preserve">des G. vom 21. Juli 2016 (B.S. vom 28. September 2016) vom König festzulegenden Datum lautet </w:t>
      </w:r>
      <w:r w:rsidR="00BE0A56" w:rsidRPr="004676F5">
        <w:rPr>
          <w:sz w:val="20"/>
          <w:lang w:val="de-DE"/>
        </w:rPr>
        <w:t>Art. </w:t>
      </w:r>
      <w:r w:rsidRPr="004676F5">
        <w:rPr>
          <w:sz w:val="20"/>
          <w:lang w:val="de-DE"/>
        </w:rPr>
        <w:t>XII.25 wie folgt:</w:t>
      </w:r>
    </w:p>
    <w:p w14:paraId="6E1D7E86" w14:textId="77777777" w:rsidR="00643792" w:rsidRPr="004676F5" w:rsidRDefault="00643792" w:rsidP="00643792">
      <w:pPr>
        <w:jc w:val="both"/>
        <w:rPr>
          <w:sz w:val="20"/>
          <w:lang w:val="de-DE"/>
        </w:rPr>
      </w:pPr>
    </w:p>
    <w:p w14:paraId="7C8BD7E2" w14:textId="1460C46C" w:rsidR="00643792" w:rsidRPr="004676F5" w:rsidRDefault="00643792" w:rsidP="00643792">
      <w:pPr>
        <w:jc w:val="both"/>
        <w:rPr>
          <w:sz w:val="20"/>
          <w:lang w:val="de-DE"/>
        </w:rPr>
      </w:pPr>
      <w:r w:rsidRPr="004676F5">
        <w:rPr>
          <w:sz w:val="20"/>
          <w:lang w:val="de-DE"/>
        </w:rPr>
        <w:t>"[</w:t>
      </w:r>
      <w:r w:rsidR="00BE0A56" w:rsidRPr="004676F5">
        <w:rPr>
          <w:sz w:val="20"/>
          <w:lang w:val="de-DE"/>
        </w:rPr>
        <w:t>Art. </w:t>
      </w:r>
      <w:r w:rsidRPr="004676F5">
        <w:rPr>
          <w:sz w:val="20"/>
          <w:lang w:val="de-DE"/>
        </w:rPr>
        <w:t>XII.25 </w:t>
      </w:r>
      <w:r w:rsidR="005B7A5C" w:rsidRPr="004676F5">
        <w:rPr>
          <w:sz w:val="20"/>
          <w:lang w:val="de-DE"/>
        </w:rPr>
        <w:t>- </w:t>
      </w:r>
      <w:r w:rsidRPr="004676F5">
        <w:rPr>
          <w:sz w:val="20"/>
          <w:lang w:val="de-DE"/>
        </w:rPr>
        <w:t>§ 1 </w:t>
      </w:r>
      <w:r w:rsidR="005B7A5C" w:rsidRPr="004676F5">
        <w:rPr>
          <w:sz w:val="20"/>
          <w:lang w:val="de-DE"/>
        </w:rPr>
        <w:t>- </w:t>
      </w:r>
      <w:r w:rsidRPr="004676F5">
        <w:rPr>
          <w:sz w:val="20"/>
          <w:lang w:val="de-DE"/>
        </w:rPr>
        <w:t>Mangels gegenteiliger Gesetzesbestimmungen darf niemand verpflichtet werden, Rechtshandlungen mit elektronischen Mitteln vorzunehmen.</w:t>
      </w:r>
    </w:p>
    <w:p w14:paraId="1BE5E706" w14:textId="77777777" w:rsidR="00643792" w:rsidRPr="004676F5" w:rsidRDefault="00643792" w:rsidP="00643792">
      <w:pPr>
        <w:jc w:val="both"/>
        <w:rPr>
          <w:sz w:val="20"/>
          <w:lang w:val="de-DE"/>
        </w:rPr>
      </w:pPr>
    </w:p>
    <w:p w14:paraId="5DDC96A3" w14:textId="6ACBF6B1" w:rsidR="00643792" w:rsidRPr="004676F5" w:rsidRDefault="00643792" w:rsidP="00643792">
      <w:pPr>
        <w:jc w:val="both"/>
        <w:rPr>
          <w:sz w:val="20"/>
          <w:lang w:val="de-DE"/>
        </w:rPr>
      </w:pPr>
      <w:r w:rsidRPr="004676F5">
        <w:rPr>
          <w:sz w:val="20"/>
          <w:lang w:val="de-DE"/>
        </w:rPr>
        <w:t>§ 2 </w:t>
      </w:r>
      <w:r w:rsidR="005B7A5C" w:rsidRPr="004676F5">
        <w:rPr>
          <w:sz w:val="20"/>
          <w:lang w:val="de-DE"/>
        </w:rPr>
        <w:t>- </w:t>
      </w:r>
      <w:r w:rsidRPr="004676F5">
        <w:rPr>
          <w:sz w:val="20"/>
          <w:lang w:val="de-DE"/>
        </w:rPr>
        <w:t>Begriffe des vorliegenden Titels, die nicht in Artikel I.18 bestimmt werden, sind gemäß den Begriffsbestimmungen von Artikel 3 der Verordnung 910/2014 zu verstehen.</w:t>
      </w:r>
    </w:p>
    <w:p w14:paraId="728BD3AA" w14:textId="77777777" w:rsidR="00643792" w:rsidRPr="004676F5" w:rsidRDefault="00643792" w:rsidP="00643792">
      <w:pPr>
        <w:jc w:val="both"/>
        <w:rPr>
          <w:sz w:val="20"/>
          <w:lang w:val="de-DE"/>
        </w:rPr>
      </w:pPr>
    </w:p>
    <w:p w14:paraId="79440289" w14:textId="4DBFA2EF" w:rsidR="00643792" w:rsidRPr="004676F5" w:rsidRDefault="00643792" w:rsidP="00643792">
      <w:pPr>
        <w:jc w:val="both"/>
        <w:rPr>
          <w:sz w:val="20"/>
          <w:lang w:val="de-DE"/>
        </w:rPr>
      </w:pPr>
      <w:r w:rsidRPr="004676F5">
        <w:rPr>
          <w:sz w:val="20"/>
          <w:lang w:val="de-DE"/>
        </w:rPr>
        <w:t>§ 3 </w:t>
      </w:r>
      <w:r w:rsidR="005B7A5C" w:rsidRPr="004676F5">
        <w:rPr>
          <w:sz w:val="20"/>
          <w:lang w:val="de-DE"/>
        </w:rPr>
        <w:t>- </w:t>
      </w:r>
      <w:r w:rsidRPr="004676F5">
        <w:rPr>
          <w:sz w:val="20"/>
          <w:lang w:val="de-DE"/>
        </w:rPr>
        <w:t xml:space="preserve">Unbeschadet der </w:t>
      </w:r>
      <w:r w:rsidR="003C1E5F" w:rsidRPr="004676F5">
        <w:rPr>
          <w:sz w:val="20"/>
          <w:lang w:val="de-DE"/>
        </w:rPr>
        <w:t>[</w:t>
      </w:r>
      <w:r w:rsidRPr="004676F5">
        <w:rPr>
          <w:sz w:val="20"/>
          <w:lang w:val="de-DE"/>
        </w:rPr>
        <w:t>Artikel </w:t>
      </w:r>
      <w:r w:rsidR="003C1E5F" w:rsidRPr="004676F5">
        <w:rPr>
          <w:sz w:val="20"/>
          <w:lang w:val="de-DE"/>
        </w:rPr>
        <w:t>8.19]</w:t>
      </w:r>
      <w:r w:rsidRPr="004676F5">
        <w:rPr>
          <w:sz w:val="20"/>
          <w:lang w:val="de-DE"/>
        </w:rPr>
        <w:t xml:space="preserve"> und folgenden des Zivilgesetzbuches und der Gesetzes</w:t>
      </w:r>
      <w:r w:rsidR="005B7A5C" w:rsidRPr="004676F5">
        <w:rPr>
          <w:sz w:val="20"/>
          <w:lang w:val="de-DE"/>
        </w:rPr>
        <w:t>- </w:t>
      </w:r>
      <w:r w:rsidRPr="004676F5">
        <w:rPr>
          <w:sz w:val="20"/>
          <w:lang w:val="de-DE"/>
        </w:rPr>
        <w:t>und Verordnungsbestimmungen über die Vertretung von juristischen Personen wird ein qualifiziertes elektronisches Siegel, das im Rahmen von Rechtshandlungen verwendet wird, die ausschließlich von natürlichen und/oder juristischen Personen vorgenommen werden oder zwischen solchen Personen erfolgen, die in Belgien wohnhaft oder ansässig sind, der handschriftlichen Unterschrift der natürlichen Person gleichgesetzt, die die juristische Person vertritt, die dieses Siegel erstellt hat.</w:t>
      </w:r>
    </w:p>
    <w:p w14:paraId="4122439F" w14:textId="77777777" w:rsidR="00643792" w:rsidRPr="004676F5" w:rsidRDefault="00643792" w:rsidP="00643792">
      <w:pPr>
        <w:jc w:val="both"/>
        <w:rPr>
          <w:sz w:val="20"/>
          <w:lang w:val="de-DE"/>
        </w:rPr>
      </w:pPr>
    </w:p>
    <w:p w14:paraId="5A88FC5B" w14:textId="1854289D" w:rsidR="00643792" w:rsidRPr="004676F5" w:rsidRDefault="00643792" w:rsidP="00643792">
      <w:pPr>
        <w:jc w:val="both"/>
        <w:rPr>
          <w:sz w:val="20"/>
          <w:lang w:val="de-DE"/>
        </w:rPr>
      </w:pPr>
      <w:r w:rsidRPr="004676F5">
        <w:rPr>
          <w:sz w:val="20"/>
          <w:lang w:val="de-DE"/>
        </w:rPr>
        <w:t>§ 4 </w:t>
      </w:r>
      <w:r w:rsidR="005B7A5C" w:rsidRPr="004676F5">
        <w:rPr>
          <w:sz w:val="20"/>
          <w:lang w:val="de-DE"/>
        </w:rPr>
        <w:t>- </w:t>
      </w:r>
      <w:r w:rsidRPr="004676F5">
        <w:rPr>
          <w:sz w:val="20"/>
          <w:lang w:val="de-DE"/>
        </w:rPr>
        <w:t>Einer elektronischen Archivierung darf die Rechtswirkung und die Zulässigkeit als Beweismittel in Gerichtsverfahren nicht allein deshalb abgesprochen werden, weil sie in elektronischer Form vorliegt oder weil sie die Anforderungen an qualifizierte Dienste für elektronische Archivierung nicht erfüllt.</w:t>
      </w:r>
    </w:p>
    <w:p w14:paraId="544627D8" w14:textId="77777777" w:rsidR="00643792" w:rsidRPr="004676F5" w:rsidRDefault="00643792" w:rsidP="00643792">
      <w:pPr>
        <w:jc w:val="both"/>
        <w:rPr>
          <w:sz w:val="20"/>
          <w:lang w:val="de-DE"/>
        </w:rPr>
      </w:pPr>
    </w:p>
    <w:p w14:paraId="22735BD1" w14:textId="5147EFFA" w:rsidR="00643792" w:rsidRPr="004676F5" w:rsidRDefault="00643792" w:rsidP="00643792">
      <w:pPr>
        <w:jc w:val="both"/>
        <w:rPr>
          <w:sz w:val="20"/>
          <w:lang w:val="de-DE"/>
        </w:rPr>
      </w:pPr>
      <w:r w:rsidRPr="004676F5">
        <w:rPr>
          <w:sz w:val="20"/>
          <w:lang w:val="de-DE"/>
        </w:rPr>
        <w:t>§ 5 </w:t>
      </w:r>
      <w:r w:rsidR="005B7A5C" w:rsidRPr="004676F5">
        <w:rPr>
          <w:sz w:val="20"/>
          <w:lang w:val="de-DE"/>
        </w:rPr>
        <w:t>- </w:t>
      </w:r>
      <w:r w:rsidRPr="004676F5">
        <w:rPr>
          <w:sz w:val="20"/>
          <w:lang w:val="de-DE"/>
        </w:rPr>
        <w:t>Wenn eine Verpflichtung zur Aufbewahrung von Daten oder Unterlagen ausdrücklich oder stillschweigend durch einen Gesetzes</w:t>
      </w:r>
      <w:r w:rsidR="005B7A5C" w:rsidRPr="004676F5">
        <w:rPr>
          <w:sz w:val="20"/>
          <w:lang w:val="de-DE"/>
        </w:rPr>
        <w:t>- </w:t>
      </w:r>
      <w:r w:rsidRPr="004676F5">
        <w:rPr>
          <w:sz w:val="20"/>
          <w:lang w:val="de-DE"/>
        </w:rPr>
        <w:t>oder Verordnungstext vorgeschrieben ist, gilt diese Verpflichtung unter Vorbehalt der Anwendung besonderer gesetzlicher oder verordnungsrechtlicher Anforderungen durch Inanspruchnahme eines qualifizierten Dienstes für elektronische Archivierung als erfüllt.</w:t>
      </w:r>
    </w:p>
    <w:p w14:paraId="3E962C4E" w14:textId="77777777" w:rsidR="00643792" w:rsidRPr="004676F5" w:rsidRDefault="00643792" w:rsidP="00643792">
      <w:pPr>
        <w:jc w:val="both"/>
        <w:rPr>
          <w:sz w:val="20"/>
          <w:lang w:val="de-DE"/>
        </w:rPr>
      </w:pPr>
    </w:p>
    <w:p w14:paraId="222E7BD6" w14:textId="77777777" w:rsidR="00643792" w:rsidRPr="004676F5" w:rsidRDefault="00643792" w:rsidP="00643792">
      <w:pPr>
        <w:jc w:val="both"/>
        <w:rPr>
          <w:sz w:val="20"/>
          <w:lang w:val="de-DE"/>
        </w:rPr>
      </w:pPr>
      <w:r w:rsidRPr="004676F5">
        <w:rPr>
          <w:sz w:val="20"/>
          <w:lang w:val="de-DE"/>
        </w:rPr>
        <w:t>Für elektronische Daten, die anhand eines qualifizierten Dienstes für elektronische Archivierung aufbewahrt werden, gilt unter Vorbehalt der Anwendung besonderer gesetzlicher oder verordnungsrechtlicher Anforderungen, dass sie gegen jegliche Veränderung geschützt aufbewahrt werden, unter Vorbehalt von Änderungen in Bezug auf ihren Träger oder ihr elektronisches Format.</w:t>
      </w:r>
    </w:p>
    <w:p w14:paraId="6C518FDD" w14:textId="77777777" w:rsidR="00643792" w:rsidRPr="004676F5" w:rsidRDefault="00643792" w:rsidP="00643792">
      <w:pPr>
        <w:jc w:val="both"/>
        <w:rPr>
          <w:sz w:val="20"/>
          <w:lang w:val="de-DE"/>
        </w:rPr>
      </w:pPr>
    </w:p>
    <w:p w14:paraId="10090A4C" w14:textId="310A29C7" w:rsidR="00643792" w:rsidRPr="004676F5" w:rsidRDefault="00643792" w:rsidP="00643792">
      <w:pPr>
        <w:jc w:val="both"/>
        <w:rPr>
          <w:sz w:val="20"/>
          <w:lang w:val="de-DE"/>
        </w:rPr>
      </w:pPr>
      <w:r w:rsidRPr="004676F5">
        <w:rPr>
          <w:sz w:val="20"/>
          <w:lang w:val="de-DE"/>
        </w:rPr>
        <w:t>Wenn eine Verpflichtung zur Aufbewahrung von Daten oder Unterlagen ausdrücklich durch einen Gesetzes</w:t>
      </w:r>
      <w:r w:rsidR="005B7A5C" w:rsidRPr="004676F5">
        <w:rPr>
          <w:sz w:val="20"/>
          <w:lang w:val="de-DE"/>
        </w:rPr>
        <w:t>- </w:t>
      </w:r>
      <w:r w:rsidRPr="004676F5">
        <w:rPr>
          <w:sz w:val="20"/>
          <w:lang w:val="de-DE"/>
        </w:rPr>
        <w:t>oder Verordnungstext vorgeschrieben ist, wird unter Vorbehalt der Anwendung besonderer gesetzlicher oder verordnungsrechtlicher Anforderungen auf einen qualifizierten Dienst für elektronische Archivierung zurückgegriffen, wenn der Nutzer des Dienstes für elektronische Mittel optiert.</w:t>
      </w:r>
    </w:p>
    <w:p w14:paraId="45DCC692" w14:textId="77777777" w:rsidR="00643792" w:rsidRPr="004676F5" w:rsidRDefault="00643792" w:rsidP="00643792">
      <w:pPr>
        <w:jc w:val="both"/>
        <w:rPr>
          <w:sz w:val="20"/>
          <w:lang w:val="de-DE"/>
        </w:rPr>
      </w:pPr>
    </w:p>
    <w:p w14:paraId="41BABB63" w14:textId="4CEF201F" w:rsidR="00643792" w:rsidRPr="004676F5" w:rsidRDefault="00643792" w:rsidP="00643792">
      <w:pPr>
        <w:jc w:val="both"/>
        <w:rPr>
          <w:sz w:val="20"/>
          <w:lang w:val="de-DE"/>
        </w:rPr>
      </w:pPr>
      <w:r w:rsidRPr="004676F5">
        <w:rPr>
          <w:sz w:val="20"/>
          <w:lang w:val="de-DE"/>
        </w:rPr>
        <w:t>§ 6 </w:t>
      </w:r>
      <w:r w:rsidR="005B7A5C" w:rsidRPr="004676F5">
        <w:rPr>
          <w:sz w:val="20"/>
          <w:lang w:val="de-DE"/>
        </w:rPr>
        <w:t>- </w:t>
      </w:r>
      <w:r w:rsidRPr="004676F5">
        <w:rPr>
          <w:sz w:val="20"/>
          <w:lang w:val="de-DE"/>
        </w:rPr>
        <w:t>Eine digitale Abschrift einer Unterlage auf Papier gilt unter Vorbehalt der Anwendung besonderer gesetzlicher oder verordnungsrechtlicher Anforderungen als getreue und dauerhafte Abschrift, wenn sie von einem qualifizierten Dienst für elektronische Archivierung erstellt und aufbewahrt wird. In diesem Fall ist die Vernichtung des Originals auf Papier erlaubt unter Vorbehalt der Anwendung der Gesetzes</w:t>
      </w:r>
      <w:r w:rsidR="005B7A5C" w:rsidRPr="004676F5">
        <w:rPr>
          <w:sz w:val="20"/>
          <w:lang w:val="de-DE"/>
        </w:rPr>
        <w:t>- </w:t>
      </w:r>
      <w:r w:rsidRPr="004676F5">
        <w:rPr>
          <w:sz w:val="20"/>
          <w:lang w:val="de-DE"/>
        </w:rPr>
        <w:t>und Verordnungsbestimmungen über die Aufbewahrung und Vernichtung der Archive des öffentlichen Sektors, insbesondere des Artikels 5 des Archivgesetzes vom 24. Juni 1955.</w:t>
      </w:r>
    </w:p>
    <w:p w14:paraId="33B39178" w14:textId="77777777" w:rsidR="00643792" w:rsidRPr="004676F5" w:rsidRDefault="00643792" w:rsidP="00643792">
      <w:pPr>
        <w:jc w:val="both"/>
        <w:rPr>
          <w:sz w:val="20"/>
          <w:lang w:val="de-DE"/>
        </w:rPr>
      </w:pPr>
    </w:p>
    <w:p w14:paraId="0AE06D88" w14:textId="2ABEF19E" w:rsidR="00643792" w:rsidRPr="004676F5" w:rsidRDefault="00643792" w:rsidP="00643792">
      <w:pPr>
        <w:jc w:val="both"/>
        <w:rPr>
          <w:sz w:val="20"/>
          <w:lang w:val="de-DE"/>
        </w:rPr>
      </w:pPr>
      <w:r w:rsidRPr="004676F5">
        <w:rPr>
          <w:sz w:val="20"/>
          <w:lang w:val="de-DE"/>
        </w:rPr>
        <w:t>§ 7 </w:t>
      </w:r>
      <w:r w:rsidR="005B7A5C" w:rsidRPr="004676F5">
        <w:rPr>
          <w:sz w:val="20"/>
          <w:lang w:val="de-DE"/>
        </w:rPr>
        <w:t>- </w:t>
      </w:r>
      <w:r w:rsidRPr="004676F5">
        <w:rPr>
          <w:sz w:val="20"/>
          <w:lang w:val="de-DE"/>
        </w:rPr>
        <w:t>Wenn eine Einschreibesendung ausdrücklich oder stillschweigend durch einen Gesetzes</w:t>
      </w:r>
      <w:r w:rsidR="005B7A5C" w:rsidRPr="004676F5">
        <w:rPr>
          <w:sz w:val="20"/>
          <w:lang w:val="de-DE"/>
        </w:rPr>
        <w:t>- </w:t>
      </w:r>
      <w:r w:rsidRPr="004676F5">
        <w:rPr>
          <w:sz w:val="20"/>
          <w:lang w:val="de-DE"/>
        </w:rPr>
        <w:t>oder Verordnungstext vorgeschrieben ist, gilt diese Verpflichtung unter Vorbehalt der Anwendung besonderer gesetzlicher oder verordnungsrechtlicher Anforderungen durch Inanspruchnahme eines qualifizierten Dienstes für die Zustellung elektronischer Einschreibe</w:t>
      </w:r>
      <w:r w:rsidRPr="004676F5">
        <w:rPr>
          <w:sz w:val="20"/>
          <w:lang w:val="de-DE"/>
        </w:rPr>
        <w:softHyphen/>
        <w:t>sendungen als erfüllt.</w:t>
      </w:r>
    </w:p>
    <w:p w14:paraId="5ED6B214" w14:textId="77777777" w:rsidR="00643792" w:rsidRPr="004676F5" w:rsidRDefault="00643792" w:rsidP="00643792">
      <w:pPr>
        <w:jc w:val="both"/>
        <w:rPr>
          <w:sz w:val="20"/>
          <w:lang w:val="de-DE"/>
        </w:rPr>
      </w:pPr>
    </w:p>
    <w:p w14:paraId="6D7A8187" w14:textId="369423FE" w:rsidR="00643792" w:rsidRPr="004676F5" w:rsidRDefault="00643792" w:rsidP="00643792">
      <w:pPr>
        <w:jc w:val="both"/>
        <w:rPr>
          <w:sz w:val="20"/>
          <w:lang w:val="de-DE"/>
        </w:rPr>
      </w:pPr>
      <w:r w:rsidRPr="004676F5">
        <w:rPr>
          <w:sz w:val="20"/>
          <w:lang w:val="de-DE"/>
        </w:rPr>
        <w:t>Wenn eine Einschreibesendung ausdrücklich durch einen Gesetzes</w:t>
      </w:r>
      <w:r w:rsidR="005B7A5C" w:rsidRPr="004676F5">
        <w:rPr>
          <w:sz w:val="20"/>
          <w:lang w:val="de-DE"/>
        </w:rPr>
        <w:t>- </w:t>
      </w:r>
      <w:r w:rsidRPr="004676F5">
        <w:rPr>
          <w:sz w:val="20"/>
          <w:lang w:val="de-DE"/>
        </w:rPr>
        <w:t>oder Verordnungs</w:t>
      </w:r>
      <w:r w:rsidRPr="004676F5">
        <w:rPr>
          <w:sz w:val="20"/>
          <w:lang w:val="de-DE"/>
        </w:rPr>
        <w:softHyphen/>
        <w:t>text vorgeschrieben ist, wird unter Vorbehalt der Anwendung besonderer gesetzlicher oder verordnungsrechtlicher Anforderungen auf einen qualifizierten Dienst für die Zustellung elektronischer Einschreibesendungen zurückgegriffen, wenn der Nutzer des Dienstes für elektronische Mittel optiert.</w:t>
      </w:r>
    </w:p>
    <w:p w14:paraId="0FC81733" w14:textId="77777777" w:rsidR="00643792" w:rsidRPr="004676F5" w:rsidRDefault="00643792" w:rsidP="00643792">
      <w:pPr>
        <w:jc w:val="both"/>
        <w:rPr>
          <w:sz w:val="20"/>
          <w:lang w:val="de-DE"/>
        </w:rPr>
      </w:pPr>
    </w:p>
    <w:p w14:paraId="0A2EBC73" w14:textId="0D3609B9" w:rsidR="00643792" w:rsidRPr="004676F5" w:rsidRDefault="00643792" w:rsidP="00643792">
      <w:pPr>
        <w:jc w:val="both"/>
        <w:rPr>
          <w:sz w:val="20"/>
          <w:lang w:val="de-DE"/>
        </w:rPr>
      </w:pPr>
      <w:r w:rsidRPr="004676F5">
        <w:rPr>
          <w:sz w:val="20"/>
          <w:lang w:val="de-DE"/>
        </w:rPr>
        <w:t>§ 8 </w:t>
      </w:r>
      <w:r w:rsidR="005B7A5C" w:rsidRPr="004676F5">
        <w:rPr>
          <w:sz w:val="20"/>
          <w:lang w:val="de-DE"/>
        </w:rPr>
        <w:t>- </w:t>
      </w:r>
      <w:r w:rsidRPr="004676F5">
        <w:rPr>
          <w:sz w:val="20"/>
          <w:lang w:val="de-DE"/>
        </w:rPr>
        <w:t>Wenn eine Verpflichtung zur Datierung von Daten oder Unterlagen ausdrücklich oder stillschweigend durch einen Gesetzes</w:t>
      </w:r>
      <w:r w:rsidR="005B7A5C" w:rsidRPr="004676F5">
        <w:rPr>
          <w:sz w:val="20"/>
          <w:lang w:val="de-DE"/>
        </w:rPr>
        <w:t>- </w:t>
      </w:r>
      <w:r w:rsidRPr="004676F5">
        <w:rPr>
          <w:sz w:val="20"/>
          <w:lang w:val="de-DE"/>
        </w:rPr>
        <w:t>oder Verordnungstext vorgeschrieben ist, gilt diese Verpflichtung unter Vorbehalt der Anwendung besonderer gesetzlicher oder verordnungs</w:t>
      </w:r>
      <w:r w:rsidRPr="004676F5">
        <w:rPr>
          <w:sz w:val="20"/>
          <w:lang w:val="de-DE"/>
        </w:rPr>
        <w:softHyphen/>
        <w:t>recht</w:t>
      </w:r>
      <w:r w:rsidRPr="004676F5">
        <w:rPr>
          <w:sz w:val="20"/>
          <w:lang w:val="de-DE"/>
        </w:rPr>
        <w:softHyphen/>
        <w:t>licher Anforderungen durch Inanspruchnahme eines qualifizierten elektronischen Zeitstempels als erfüllt.</w:t>
      </w:r>
    </w:p>
    <w:p w14:paraId="3E002EBE" w14:textId="77777777" w:rsidR="00643792" w:rsidRPr="004676F5" w:rsidRDefault="00643792" w:rsidP="00643792">
      <w:pPr>
        <w:jc w:val="both"/>
        <w:rPr>
          <w:sz w:val="20"/>
          <w:lang w:val="de-DE"/>
        </w:rPr>
      </w:pPr>
    </w:p>
    <w:p w14:paraId="280DF3E2" w14:textId="743B14E1" w:rsidR="00643792" w:rsidRPr="004676F5" w:rsidRDefault="00643792" w:rsidP="00643792">
      <w:pPr>
        <w:jc w:val="both"/>
        <w:rPr>
          <w:sz w:val="20"/>
          <w:lang w:val="de-DE"/>
        </w:rPr>
      </w:pPr>
      <w:r w:rsidRPr="004676F5">
        <w:rPr>
          <w:sz w:val="20"/>
          <w:lang w:val="de-DE"/>
        </w:rPr>
        <w:t>Wenn eine Verpflichtung zur Datierung von Daten oder Unterlagen ausdrücklich durch einen Gesetzes</w:t>
      </w:r>
      <w:r w:rsidR="005B7A5C" w:rsidRPr="004676F5">
        <w:rPr>
          <w:sz w:val="20"/>
          <w:lang w:val="de-DE"/>
        </w:rPr>
        <w:t>- </w:t>
      </w:r>
      <w:r w:rsidRPr="004676F5">
        <w:rPr>
          <w:sz w:val="20"/>
          <w:lang w:val="de-DE"/>
        </w:rPr>
        <w:t>oder Verordnungstext vorgeschrieben ist, wird unter Vorbehalt der Anwendung besonderer gesetzlicher oder verordnungsrechtlicher Anforderungen auf einen qualifizierten elektronischen Zeitstempel zurückgegriffen, wenn der Nutzer des Dienstes für elektronische Mittel optiert.</w:t>
      </w:r>
    </w:p>
    <w:p w14:paraId="3A51FC2B" w14:textId="77777777" w:rsidR="00643792" w:rsidRPr="004676F5" w:rsidRDefault="00643792" w:rsidP="00643792">
      <w:pPr>
        <w:jc w:val="both"/>
        <w:rPr>
          <w:sz w:val="20"/>
          <w:lang w:val="de-DE"/>
        </w:rPr>
      </w:pPr>
    </w:p>
    <w:p w14:paraId="7643DA01" w14:textId="3799915E" w:rsidR="00643792" w:rsidRPr="004676F5" w:rsidRDefault="00643792" w:rsidP="00643792">
      <w:pPr>
        <w:jc w:val="both"/>
        <w:rPr>
          <w:sz w:val="20"/>
          <w:lang w:val="de-DE"/>
        </w:rPr>
      </w:pPr>
      <w:r w:rsidRPr="004676F5">
        <w:rPr>
          <w:sz w:val="20"/>
          <w:lang w:val="de-DE"/>
        </w:rPr>
        <w:t>§ 9 </w:t>
      </w:r>
      <w:r w:rsidR="005B7A5C" w:rsidRPr="004676F5">
        <w:rPr>
          <w:sz w:val="20"/>
          <w:lang w:val="de-DE"/>
        </w:rPr>
        <w:t>- </w:t>
      </w:r>
      <w:r w:rsidRPr="004676F5">
        <w:rPr>
          <w:sz w:val="20"/>
          <w:lang w:val="de-DE"/>
        </w:rPr>
        <w:t>Vertrauensdiensteanbieter dürfen zu keinem Zeitpunkt direkt oder indirekt verstehen lassen, dass sie einen qualifizierten Vertrauensdienst erbringen, wenn sie die Bestimmungen der Verordnung 910/2014, des vorliegenden Titels und seiner Anlagen in Bezug auf diese Dienste nicht einhalten.</w:t>
      </w:r>
    </w:p>
    <w:p w14:paraId="240F5725" w14:textId="77777777" w:rsidR="00643792" w:rsidRPr="004676F5" w:rsidRDefault="00643792" w:rsidP="00643792">
      <w:pPr>
        <w:jc w:val="both"/>
        <w:rPr>
          <w:sz w:val="20"/>
          <w:lang w:val="de-DE"/>
        </w:rPr>
      </w:pPr>
    </w:p>
    <w:p w14:paraId="7B8EE6CD" w14:textId="26CB2D7A" w:rsidR="00643792" w:rsidRPr="004676F5" w:rsidRDefault="00643792" w:rsidP="00643792">
      <w:pPr>
        <w:jc w:val="both"/>
        <w:rPr>
          <w:sz w:val="20"/>
          <w:lang w:val="de-DE"/>
        </w:rPr>
      </w:pPr>
      <w:r w:rsidRPr="004676F5">
        <w:rPr>
          <w:sz w:val="20"/>
          <w:lang w:val="de-DE"/>
        </w:rPr>
        <w:t>§ 10 </w:t>
      </w:r>
      <w:r w:rsidR="005B7A5C" w:rsidRPr="004676F5">
        <w:rPr>
          <w:sz w:val="20"/>
          <w:lang w:val="de-DE"/>
        </w:rPr>
        <w:t>- </w:t>
      </w:r>
      <w:r w:rsidRPr="004676F5">
        <w:rPr>
          <w:sz w:val="20"/>
          <w:lang w:val="de-DE"/>
        </w:rPr>
        <w:t xml:space="preserve">Anbieter eines qualifizierten oder nicht qualifizierten Dienstes für elektronische Zeitstempel dürfen unter Vorbehalt der Anwendung von </w:t>
      </w:r>
      <w:r w:rsidR="003C1E5F" w:rsidRPr="004676F5">
        <w:rPr>
          <w:sz w:val="20"/>
          <w:lang w:val="de-DE"/>
        </w:rPr>
        <w:t>[</w:t>
      </w:r>
      <w:r w:rsidRPr="004676F5">
        <w:rPr>
          <w:sz w:val="20"/>
          <w:lang w:val="de-DE"/>
        </w:rPr>
        <w:t>Artikel 8</w:t>
      </w:r>
      <w:r w:rsidR="003C1E5F" w:rsidRPr="004676F5">
        <w:rPr>
          <w:sz w:val="20"/>
          <w:lang w:val="de-DE"/>
        </w:rPr>
        <w:t>.22]</w:t>
      </w:r>
      <w:r w:rsidRPr="004676F5">
        <w:rPr>
          <w:sz w:val="20"/>
          <w:lang w:val="de-DE"/>
        </w:rPr>
        <w:t xml:space="preserve"> des Zivilgesetzbuches zu keinem Zeitpunkt direkt oder indirekt verstehen lassen, dass ihr Dienst ein feststehendes Datum verleiht.</w:t>
      </w:r>
    </w:p>
    <w:p w14:paraId="343947CD" w14:textId="77777777" w:rsidR="00643792" w:rsidRPr="004676F5" w:rsidRDefault="00643792" w:rsidP="00643792">
      <w:pPr>
        <w:jc w:val="both"/>
        <w:rPr>
          <w:sz w:val="20"/>
          <w:lang w:val="de-DE"/>
        </w:rPr>
      </w:pPr>
    </w:p>
    <w:p w14:paraId="14844ABC" w14:textId="1A172922" w:rsidR="00643792" w:rsidRPr="004676F5" w:rsidRDefault="00643792" w:rsidP="00643792">
      <w:pPr>
        <w:jc w:val="both"/>
        <w:rPr>
          <w:sz w:val="20"/>
          <w:lang w:val="de-DE"/>
        </w:rPr>
      </w:pPr>
      <w:r w:rsidRPr="004676F5">
        <w:rPr>
          <w:sz w:val="20"/>
          <w:lang w:val="de-DE"/>
        </w:rPr>
        <w:t>§ 11 </w:t>
      </w:r>
      <w:r w:rsidR="005B7A5C" w:rsidRPr="004676F5">
        <w:rPr>
          <w:sz w:val="20"/>
          <w:lang w:val="de-DE"/>
        </w:rPr>
        <w:t>- </w:t>
      </w:r>
      <w:r w:rsidRPr="004676F5">
        <w:rPr>
          <w:sz w:val="20"/>
          <w:lang w:val="de-DE"/>
        </w:rPr>
        <w:t>Die elektronische Signatur des Zertifikatsinhabers kann durch ein Äquivalent materialisiert werden, das den Anforderungen von Artikel 26 der Verordnung 910/2014 genügt.</w:t>
      </w:r>
    </w:p>
    <w:p w14:paraId="3233B7CF" w14:textId="77777777" w:rsidR="00643792" w:rsidRPr="004676F5" w:rsidRDefault="00643792" w:rsidP="00643792">
      <w:pPr>
        <w:jc w:val="both"/>
        <w:rPr>
          <w:sz w:val="20"/>
          <w:lang w:val="de-DE"/>
        </w:rPr>
      </w:pPr>
    </w:p>
    <w:p w14:paraId="051F4BCE" w14:textId="444483A4" w:rsidR="00643792" w:rsidRPr="004676F5" w:rsidRDefault="00643792" w:rsidP="00643792">
      <w:pPr>
        <w:jc w:val="both"/>
        <w:rPr>
          <w:sz w:val="20"/>
          <w:lang w:val="de-DE"/>
        </w:rPr>
      </w:pPr>
      <w:r w:rsidRPr="004676F5">
        <w:rPr>
          <w:sz w:val="20"/>
          <w:lang w:val="de-DE"/>
        </w:rPr>
        <w:t>§ 12 </w:t>
      </w:r>
      <w:r w:rsidR="005B7A5C" w:rsidRPr="004676F5">
        <w:rPr>
          <w:sz w:val="20"/>
          <w:lang w:val="de-DE"/>
        </w:rPr>
        <w:t>- </w:t>
      </w:r>
      <w:r w:rsidRPr="004676F5">
        <w:rPr>
          <w:sz w:val="20"/>
          <w:lang w:val="de-DE"/>
        </w:rPr>
        <w:t>Das elektronische Siegel des Zertifikatsinhabers kann durch ein Äquivalent mate</w:t>
      </w:r>
      <w:r w:rsidRPr="004676F5">
        <w:rPr>
          <w:sz w:val="20"/>
          <w:lang w:val="de-DE"/>
        </w:rPr>
        <w:softHyphen/>
        <w:t>rialisiert werden, das den Anforderungen von Artikel 36 der Verordnung 910/2014 genügt.]</w:t>
      </w:r>
    </w:p>
    <w:p w14:paraId="1CABDBE1" w14:textId="77777777" w:rsidR="00643792" w:rsidRPr="004676F5" w:rsidRDefault="00643792" w:rsidP="00643792">
      <w:pPr>
        <w:jc w:val="both"/>
        <w:rPr>
          <w:sz w:val="20"/>
          <w:lang w:val="de-DE"/>
        </w:rPr>
      </w:pPr>
    </w:p>
    <w:p w14:paraId="081F0981" w14:textId="167E54DB" w:rsidR="00643792" w:rsidRPr="004676F5" w:rsidRDefault="00643792" w:rsidP="00643792">
      <w:pPr>
        <w:jc w:val="both"/>
        <w:rPr>
          <w:sz w:val="20"/>
          <w:lang w:val="de-DE"/>
        </w:rPr>
      </w:pPr>
      <w:r w:rsidRPr="004676F5">
        <w:rPr>
          <w:i/>
          <w:sz w:val="20"/>
          <w:lang w:val="de-DE"/>
        </w:rPr>
        <w:t>[</w:t>
      </w:r>
      <w:r w:rsidR="00BE0A56" w:rsidRPr="004676F5">
        <w:rPr>
          <w:i/>
          <w:sz w:val="20"/>
          <w:lang w:val="de-DE"/>
        </w:rPr>
        <w:t>Art. </w:t>
      </w:r>
      <w:r w:rsidRPr="004676F5">
        <w:rPr>
          <w:i/>
          <w:sz w:val="20"/>
          <w:lang w:val="de-DE"/>
        </w:rPr>
        <w:t xml:space="preserve">XII.25 eingefügt durch </w:t>
      </w:r>
      <w:r w:rsidR="00BE0A56" w:rsidRPr="004676F5">
        <w:rPr>
          <w:i/>
          <w:sz w:val="20"/>
          <w:lang w:val="de-DE"/>
        </w:rPr>
        <w:t>Art. </w:t>
      </w:r>
      <w:r w:rsidRPr="004676F5">
        <w:rPr>
          <w:i/>
          <w:sz w:val="20"/>
          <w:lang w:val="de-DE"/>
        </w:rPr>
        <w:t>7 des G. vom 21. Juli 2016 (B.S. vom 28. September 2016)</w:t>
      </w:r>
      <w:r w:rsidR="003C1E5F" w:rsidRPr="004676F5">
        <w:rPr>
          <w:i/>
          <w:sz w:val="20"/>
          <w:lang w:val="de-DE"/>
        </w:rPr>
        <w:t>; § 3 abgeändert durch Art. 38 Nr. 1</w:t>
      </w:r>
      <w:r w:rsidR="003C1E5F" w:rsidRPr="004676F5">
        <w:rPr>
          <w:bCs/>
          <w:i/>
          <w:sz w:val="20"/>
          <w:lang w:val="de-DE"/>
        </w:rPr>
        <w:t xml:space="preserve"> des G. vom 13. April 2019 (B.S. vom 14. Mai 2019); § 10 abgeändert durch Art. 38 Nr. 2 des G. vom 13. April 2019 (B.S. vom 14. Mai 2019)</w:t>
      </w:r>
      <w:r w:rsidRPr="004676F5">
        <w:rPr>
          <w:i/>
          <w:sz w:val="20"/>
          <w:lang w:val="de-DE"/>
        </w:rPr>
        <w:t>]</w:t>
      </w:r>
      <w:r w:rsidR="00B524AF" w:rsidRPr="004676F5">
        <w:rPr>
          <w:sz w:val="20"/>
          <w:lang w:val="de-DE"/>
        </w:rPr>
        <w:t>"</w:t>
      </w:r>
    </w:p>
    <w:p w14:paraId="29BC4746" w14:textId="77777777" w:rsidR="00643792" w:rsidRPr="004676F5" w:rsidRDefault="00643792" w:rsidP="00643792">
      <w:pPr>
        <w:jc w:val="center"/>
        <w:rPr>
          <w:lang w:val="de-DE"/>
        </w:rPr>
      </w:pPr>
    </w:p>
    <w:p w14:paraId="3706FEC1" w14:textId="77777777" w:rsidR="00643792" w:rsidRPr="004676F5" w:rsidRDefault="00643792" w:rsidP="00DD68A0">
      <w:pPr>
        <w:jc w:val="both"/>
        <w:rPr>
          <w:lang w:val="de-DE"/>
        </w:rPr>
      </w:pPr>
    </w:p>
    <w:p w14:paraId="0AD655E1" w14:textId="7499FCBC" w:rsidR="0036267D" w:rsidRPr="004676F5" w:rsidRDefault="0036267D" w:rsidP="0036267D">
      <w:pPr>
        <w:ind w:firstLine="708"/>
        <w:jc w:val="both"/>
        <w:rPr>
          <w:lang w:val="de-DE"/>
        </w:rPr>
      </w:pPr>
      <w:r w:rsidRPr="004676F5">
        <w:rPr>
          <w:lang w:val="de-DE"/>
        </w:rPr>
        <w:t>[</w:t>
      </w:r>
      <w:r w:rsidR="00BE0A56" w:rsidRPr="004676F5">
        <w:rPr>
          <w:b/>
          <w:lang w:val="de-DE"/>
        </w:rPr>
        <w:t>Art. </w:t>
      </w:r>
      <w:r w:rsidRPr="004676F5">
        <w:rPr>
          <w:b/>
          <w:lang w:val="de-DE"/>
        </w:rPr>
        <w:t>XII.26</w:t>
      </w:r>
      <w:r w:rsidRPr="004676F5">
        <w:rPr>
          <w:lang w:val="de-DE"/>
        </w:rPr>
        <w:t> </w:t>
      </w:r>
      <w:r w:rsidR="005B7A5C" w:rsidRPr="004676F5">
        <w:rPr>
          <w:lang w:val="de-DE"/>
        </w:rPr>
        <w:t>- </w:t>
      </w:r>
      <w:r w:rsidRPr="004676F5">
        <w:rPr>
          <w:lang w:val="de-DE"/>
        </w:rPr>
        <w:t>Wenn Inhaber eines Zertifikats für elektronische Signaturen ein Pseudonym benutzen, muss der Vertrauensdiensteanbieter, der das Zertifikat ausgestellt hat, unbeschadet anderer Gesetzes</w:t>
      </w:r>
      <w:r w:rsidR="005B7A5C" w:rsidRPr="004676F5">
        <w:rPr>
          <w:lang w:val="de-DE"/>
        </w:rPr>
        <w:t>- </w:t>
      </w:r>
      <w:r w:rsidRPr="004676F5">
        <w:rPr>
          <w:lang w:val="de-DE"/>
        </w:rPr>
        <w:t>oder Verordnungsbestimmungen den zuständigen Verwaltungs</w:t>
      </w:r>
      <w:r w:rsidR="005B7A5C" w:rsidRPr="004676F5">
        <w:rPr>
          <w:lang w:val="de-DE"/>
        </w:rPr>
        <w:t>- </w:t>
      </w:r>
      <w:r w:rsidRPr="004676F5">
        <w:rPr>
          <w:lang w:val="de-DE"/>
        </w:rPr>
        <w:t xml:space="preserve">oder Gerichtsbehörden auf ihren Antrag hin die Informationen zu der Identität </w:t>
      </w:r>
      <w:r w:rsidRPr="004676F5">
        <w:rPr>
          <w:lang w:val="de-DE"/>
        </w:rPr>
        <w:lastRenderedPageBreak/>
        <w:t>des Inhabers mitteilen, über die er verfügt und die zur Ermittlung und Feststellung von Verstößen erforderlich sind.</w:t>
      </w:r>
    </w:p>
    <w:p w14:paraId="5BA94ED6" w14:textId="77777777" w:rsidR="0036267D" w:rsidRPr="004676F5" w:rsidRDefault="0036267D" w:rsidP="0036267D">
      <w:pPr>
        <w:ind w:firstLine="708"/>
        <w:jc w:val="both"/>
        <w:rPr>
          <w:lang w:val="de-DE"/>
        </w:rPr>
      </w:pPr>
    </w:p>
    <w:p w14:paraId="09424721" w14:textId="564AAFC4" w:rsidR="00DD68A0" w:rsidRPr="004676F5" w:rsidRDefault="0036267D" w:rsidP="0036267D">
      <w:pPr>
        <w:ind w:firstLine="708"/>
        <w:jc w:val="both"/>
        <w:rPr>
          <w:lang w:val="de-DE"/>
        </w:rPr>
      </w:pPr>
      <w:r w:rsidRPr="004676F5">
        <w:rPr>
          <w:lang w:val="de-DE"/>
        </w:rPr>
        <w:t>In Belgien ansässige Inhaber eines qualifizierten Zertifikats für elektronische Siegel ergreifen die erforderlichen Maßnahmen, damit sie Namen, Eigenschaft und Befugnisse der natürlichen Person, die die juristische Person vertritt und das qualifizierte elektronische Siegel effektiv benutzt, angeben können, so dass der betreffende Inhaber und gegebenenfalls die zuständigen Verwaltungs</w:t>
      </w:r>
      <w:r w:rsidR="005B7A5C" w:rsidRPr="004676F5">
        <w:rPr>
          <w:lang w:val="de-DE"/>
        </w:rPr>
        <w:t>- </w:t>
      </w:r>
      <w:r w:rsidRPr="004676F5">
        <w:rPr>
          <w:lang w:val="de-DE"/>
        </w:rPr>
        <w:t>oder Gerichtsbehörden, die im Rahmen der Ermittlung und Feststellung von Verstößen handeln, bei jeder Nutzung eines Siegels Identität und Vertretungs</w:t>
      </w:r>
      <w:r w:rsidRPr="004676F5">
        <w:rPr>
          <w:lang w:val="de-DE"/>
        </w:rPr>
        <w:softHyphen/>
        <w:t>befugnisse der natürlichen Person feststellen können.]</w:t>
      </w:r>
    </w:p>
    <w:p w14:paraId="4EAF793B" w14:textId="77777777" w:rsidR="0036267D" w:rsidRPr="004676F5" w:rsidRDefault="0036267D" w:rsidP="0036267D">
      <w:pPr>
        <w:ind w:firstLine="708"/>
        <w:jc w:val="both"/>
        <w:rPr>
          <w:lang w:val="de-DE"/>
        </w:rPr>
      </w:pPr>
    </w:p>
    <w:p w14:paraId="3CCAA7C6" w14:textId="4D72092B" w:rsidR="0036267D" w:rsidRPr="004676F5" w:rsidRDefault="0036267D" w:rsidP="0036267D">
      <w:pPr>
        <w:jc w:val="both"/>
        <w:rPr>
          <w:i/>
          <w:lang w:val="de-DE"/>
        </w:rPr>
      </w:pPr>
      <w:r w:rsidRPr="004676F5">
        <w:rPr>
          <w:i/>
          <w:lang w:val="de-DE"/>
        </w:rPr>
        <w:t>[</w:t>
      </w:r>
      <w:r w:rsidR="00BE0A56" w:rsidRPr="004676F5">
        <w:rPr>
          <w:i/>
          <w:lang w:val="de-DE"/>
        </w:rPr>
        <w:t>Art. </w:t>
      </w:r>
      <w:r w:rsidRPr="004676F5">
        <w:rPr>
          <w:i/>
          <w:lang w:val="de-DE"/>
        </w:rPr>
        <w:t xml:space="preserve">XII.26 eingefügt durch </w:t>
      </w:r>
      <w:r w:rsidR="00BE0A56" w:rsidRPr="004676F5">
        <w:rPr>
          <w:i/>
          <w:lang w:val="de-DE"/>
        </w:rPr>
        <w:t>Art. </w:t>
      </w:r>
      <w:r w:rsidRPr="004676F5">
        <w:rPr>
          <w:i/>
          <w:lang w:val="de-DE"/>
        </w:rPr>
        <w:t>8 des G. vom 21. Juli 2016 (B.S. vom 28. September 2016)]</w:t>
      </w:r>
    </w:p>
    <w:p w14:paraId="45931A84" w14:textId="77777777" w:rsidR="0036267D" w:rsidRPr="004676F5" w:rsidRDefault="0036267D" w:rsidP="0036267D">
      <w:pPr>
        <w:jc w:val="both"/>
        <w:rPr>
          <w:lang w:val="de-DE"/>
        </w:rPr>
      </w:pPr>
    </w:p>
    <w:p w14:paraId="70E3AAA1" w14:textId="77777777" w:rsidR="00914447" w:rsidRPr="004676F5" w:rsidRDefault="00914447">
      <w:pPr>
        <w:rPr>
          <w:lang w:val="de-DE"/>
        </w:rPr>
      </w:pPr>
      <w:r w:rsidRPr="004676F5">
        <w:rPr>
          <w:lang w:val="de-DE"/>
        </w:rPr>
        <w:br w:type="page"/>
      </w:r>
    </w:p>
    <w:p w14:paraId="376D0DA6" w14:textId="32BA3348" w:rsidR="0036267D" w:rsidRPr="004676F5" w:rsidRDefault="0036267D" w:rsidP="0036267D">
      <w:pPr>
        <w:jc w:val="center"/>
        <w:rPr>
          <w:lang w:val="de-DE"/>
        </w:rPr>
      </w:pPr>
      <w:r w:rsidRPr="004676F5">
        <w:rPr>
          <w:lang w:val="de-DE"/>
        </w:rPr>
        <w:lastRenderedPageBreak/>
        <w:t>[KAPITEL 3 </w:t>
      </w:r>
      <w:r w:rsidR="005B7A5C" w:rsidRPr="004676F5">
        <w:rPr>
          <w:lang w:val="de-DE"/>
        </w:rPr>
        <w:t>- </w:t>
      </w:r>
      <w:r w:rsidRPr="004676F5">
        <w:rPr>
          <w:i/>
          <w:lang w:val="de-DE"/>
        </w:rPr>
        <w:t>Anforderungen an Dienste für elektronische Archivierung</w:t>
      </w:r>
      <w:r w:rsidRPr="004676F5">
        <w:rPr>
          <w:lang w:val="de-DE"/>
        </w:rPr>
        <w:t>]</w:t>
      </w:r>
    </w:p>
    <w:p w14:paraId="6DB16F05" w14:textId="77777777" w:rsidR="0036267D" w:rsidRPr="004676F5" w:rsidRDefault="0036267D" w:rsidP="0036267D">
      <w:pPr>
        <w:jc w:val="both"/>
        <w:rPr>
          <w:i/>
          <w:lang w:val="de-DE"/>
        </w:rPr>
      </w:pPr>
    </w:p>
    <w:p w14:paraId="4AFD0B3A" w14:textId="062E5C7F" w:rsidR="0036267D" w:rsidRPr="004676F5" w:rsidRDefault="0036267D" w:rsidP="0036267D">
      <w:pPr>
        <w:jc w:val="both"/>
        <w:rPr>
          <w:i/>
          <w:lang w:val="de-DE"/>
        </w:rPr>
      </w:pPr>
      <w:r w:rsidRPr="004676F5">
        <w:rPr>
          <w:i/>
          <w:lang w:val="de-DE"/>
        </w:rPr>
        <w:t xml:space="preserve">[Unterteilung Kapitel 3 eingefügt durch </w:t>
      </w:r>
      <w:r w:rsidR="00BE0A56" w:rsidRPr="004676F5">
        <w:rPr>
          <w:i/>
          <w:lang w:val="de-DE"/>
        </w:rPr>
        <w:t>Art. </w:t>
      </w:r>
      <w:r w:rsidRPr="004676F5">
        <w:rPr>
          <w:i/>
          <w:lang w:val="de-DE"/>
        </w:rPr>
        <w:t>9 des G. vom 21. Juli 2016 (B.S. vom 28. September 2016)]</w:t>
      </w:r>
    </w:p>
    <w:p w14:paraId="68A48603" w14:textId="77777777" w:rsidR="0036267D" w:rsidRPr="004676F5" w:rsidRDefault="0036267D" w:rsidP="0036267D">
      <w:pPr>
        <w:jc w:val="both"/>
        <w:rPr>
          <w:i/>
          <w:lang w:val="de-DE"/>
        </w:rPr>
      </w:pPr>
    </w:p>
    <w:p w14:paraId="0AB6080B" w14:textId="77777777" w:rsidR="0036267D" w:rsidRPr="004676F5" w:rsidRDefault="0036267D" w:rsidP="0036267D">
      <w:pPr>
        <w:jc w:val="both"/>
        <w:rPr>
          <w:lang w:val="de-DE"/>
        </w:rPr>
      </w:pPr>
    </w:p>
    <w:p w14:paraId="045F5781" w14:textId="4BE8C06C" w:rsidR="0036267D" w:rsidRPr="004676F5" w:rsidRDefault="0036267D" w:rsidP="0036267D">
      <w:pPr>
        <w:jc w:val="both"/>
        <w:rPr>
          <w:lang w:val="de-DE"/>
        </w:rPr>
      </w:pPr>
      <w:r w:rsidRPr="004676F5">
        <w:rPr>
          <w:lang w:val="de-DE"/>
        </w:rPr>
        <w:tab/>
        <w:t>[</w:t>
      </w:r>
      <w:r w:rsidR="00BE0A56" w:rsidRPr="004676F5">
        <w:rPr>
          <w:b/>
          <w:lang w:val="de-DE"/>
        </w:rPr>
        <w:t>Art. </w:t>
      </w:r>
      <w:r w:rsidRPr="004676F5">
        <w:rPr>
          <w:b/>
          <w:lang w:val="de-DE"/>
        </w:rPr>
        <w:t>XII.27</w:t>
      </w:r>
      <w:r w:rsidRPr="004676F5">
        <w:rPr>
          <w:lang w:val="de-DE"/>
        </w:rPr>
        <w:t> </w:t>
      </w:r>
      <w:r w:rsidR="005B7A5C" w:rsidRPr="004676F5">
        <w:rPr>
          <w:lang w:val="de-DE"/>
        </w:rPr>
        <w:t>- </w:t>
      </w:r>
      <w:r w:rsidRPr="004676F5">
        <w:rPr>
          <w:lang w:val="de-DE"/>
        </w:rPr>
        <w:t>Anbieter eines Dienstes für elektronische Archivierung genügen den Bestimmungen der Verordnung 910/2014, die auf nicht qualifizierte Vertrauensdiensteanbieter anwendbar sind.]</w:t>
      </w:r>
    </w:p>
    <w:p w14:paraId="58ACAA9B" w14:textId="77777777" w:rsidR="0036267D" w:rsidRPr="004676F5" w:rsidRDefault="0036267D" w:rsidP="0036267D">
      <w:pPr>
        <w:jc w:val="both"/>
        <w:rPr>
          <w:lang w:val="de-DE"/>
        </w:rPr>
      </w:pPr>
    </w:p>
    <w:p w14:paraId="7319E5BB" w14:textId="279C242B" w:rsidR="0036267D" w:rsidRPr="004676F5" w:rsidRDefault="0036267D" w:rsidP="0036267D">
      <w:pPr>
        <w:jc w:val="both"/>
        <w:rPr>
          <w:lang w:val="de-DE"/>
        </w:rPr>
      </w:pPr>
      <w:r w:rsidRPr="004676F5">
        <w:rPr>
          <w:i/>
          <w:lang w:val="de-DE"/>
        </w:rPr>
        <w:t>[</w:t>
      </w:r>
      <w:r w:rsidR="00BE0A56" w:rsidRPr="004676F5">
        <w:rPr>
          <w:i/>
          <w:lang w:val="de-DE"/>
        </w:rPr>
        <w:t>Art. </w:t>
      </w:r>
      <w:r w:rsidRPr="004676F5">
        <w:rPr>
          <w:i/>
          <w:lang w:val="de-DE"/>
        </w:rPr>
        <w:t xml:space="preserve">XII.27 eingefügt durch </w:t>
      </w:r>
      <w:r w:rsidR="00BE0A56" w:rsidRPr="004676F5">
        <w:rPr>
          <w:i/>
          <w:lang w:val="de-DE"/>
        </w:rPr>
        <w:t>Art. </w:t>
      </w:r>
      <w:r w:rsidRPr="004676F5">
        <w:rPr>
          <w:i/>
          <w:lang w:val="de-DE"/>
        </w:rPr>
        <w:t>10 des G. vom 21. Juli 2016 (B.S. vom 28. September 2016)]</w:t>
      </w:r>
    </w:p>
    <w:p w14:paraId="438F2694" w14:textId="77777777" w:rsidR="0036267D" w:rsidRPr="004676F5" w:rsidRDefault="0036267D" w:rsidP="0036267D">
      <w:pPr>
        <w:jc w:val="both"/>
        <w:rPr>
          <w:lang w:val="de-DE"/>
        </w:rPr>
      </w:pPr>
    </w:p>
    <w:p w14:paraId="65C7C81E" w14:textId="77777777" w:rsidR="0036267D" w:rsidRPr="004676F5" w:rsidRDefault="0036267D" w:rsidP="0036267D">
      <w:pPr>
        <w:jc w:val="both"/>
        <w:rPr>
          <w:lang w:val="de-DE"/>
        </w:rPr>
      </w:pPr>
    </w:p>
    <w:p w14:paraId="3C550442" w14:textId="65505613" w:rsidR="0036267D" w:rsidRPr="004676F5" w:rsidRDefault="0036267D" w:rsidP="0036267D">
      <w:pPr>
        <w:ind w:firstLine="708"/>
        <w:jc w:val="both"/>
        <w:rPr>
          <w:lang w:val="de-DE"/>
        </w:rPr>
      </w:pPr>
      <w:r w:rsidRPr="004676F5">
        <w:rPr>
          <w:lang w:val="de-DE"/>
        </w:rPr>
        <w:t>[</w:t>
      </w:r>
      <w:r w:rsidR="00BE0A56" w:rsidRPr="004676F5">
        <w:rPr>
          <w:b/>
          <w:lang w:val="de-DE"/>
        </w:rPr>
        <w:t>Art. </w:t>
      </w:r>
      <w:r w:rsidRPr="004676F5">
        <w:rPr>
          <w:b/>
          <w:lang w:val="de-DE"/>
        </w:rPr>
        <w:t>XII.28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Anbieter eines qualifizierten Dienstes für elektronische Archi</w:t>
      </w:r>
      <w:r w:rsidRPr="004676F5">
        <w:rPr>
          <w:lang w:val="de-DE"/>
        </w:rPr>
        <w:softHyphen/>
        <w:t xml:space="preserve">vierung, öffentliche Einrichtungen und natürliche oder juristische Personen, die für eigene Rechnung einen qualifizierten Dienst für elektronische Archivierung betreiben, genügen den Bestimmungen der Verordnung 910/2014, die auf qualifizierte Vertrauensdiensteanbieter anwendbar sind, und die in vorliegendem Titel und seiner Anlage I erwähnten Anforderungen. </w:t>
      </w:r>
    </w:p>
    <w:p w14:paraId="24913E41" w14:textId="77777777" w:rsidR="0036267D" w:rsidRPr="004676F5" w:rsidRDefault="0036267D" w:rsidP="0036267D">
      <w:pPr>
        <w:ind w:firstLine="708"/>
        <w:jc w:val="both"/>
        <w:rPr>
          <w:lang w:val="de-DE"/>
        </w:rPr>
      </w:pPr>
    </w:p>
    <w:p w14:paraId="730E1B20" w14:textId="4EA5E379" w:rsidR="0036267D" w:rsidRPr="004676F5" w:rsidRDefault="0036267D" w:rsidP="0036267D">
      <w:pPr>
        <w:ind w:firstLine="708"/>
        <w:jc w:val="both"/>
        <w:rPr>
          <w:spacing w:val="2"/>
          <w:lang w:val="de-DE"/>
        </w:rPr>
      </w:pPr>
      <w:r w:rsidRPr="004676F5">
        <w:rPr>
          <w:spacing w:val="2"/>
          <w:lang w:val="de-DE"/>
        </w:rPr>
        <w:t>§ 2 </w:t>
      </w:r>
      <w:r w:rsidR="005B7A5C" w:rsidRPr="004676F5">
        <w:rPr>
          <w:spacing w:val="2"/>
          <w:lang w:val="de-DE"/>
        </w:rPr>
        <w:t>- </w:t>
      </w:r>
      <w:r w:rsidRPr="004676F5">
        <w:rPr>
          <w:spacing w:val="2"/>
          <w:lang w:val="de-DE"/>
        </w:rPr>
        <w:t xml:space="preserve">In Abweichung von § 1 ist eine öffentliche Einrichtung oder eine natürliche oder juristische Person, die für eigene Rechnung einen qualifizierten Dienst für elektronische Archivierung betreibt, von den Anforderungen befreit, die in den Artikeln 20 Absatz 1, 21 und 24 Absatz 2 Buchstabe </w:t>
      </w:r>
      <w:r w:rsidRPr="004676F5">
        <w:rPr>
          <w:i/>
          <w:spacing w:val="2"/>
          <w:lang w:val="de-DE"/>
        </w:rPr>
        <w:t>a)</w:t>
      </w:r>
      <w:r w:rsidRPr="004676F5">
        <w:rPr>
          <w:spacing w:val="2"/>
          <w:lang w:val="de-DE"/>
        </w:rPr>
        <w:t xml:space="preserve">, </w:t>
      </w:r>
      <w:r w:rsidRPr="004676F5">
        <w:rPr>
          <w:i/>
          <w:spacing w:val="2"/>
          <w:lang w:val="de-DE"/>
        </w:rPr>
        <w:t>d)</w:t>
      </w:r>
      <w:r w:rsidRPr="004676F5">
        <w:rPr>
          <w:spacing w:val="2"/>
          <w:lang w:val="de-DE"/>
        </w:rPr>
        <w:t xml:space="preserve"> und </w:t>
      </w:r>
      <w:r w:rsidRPr="004676F5">
        <w:rPr>
          <w:i/>
          <w:spacing w:val="2"/>
          <w:lang w:val="de-DE"/>
        </w:rPr>
        <w:t>i)</w:t>
      </w:r>
      <w:r w:rsidRPr="004676F5">
        <w:rPr>
          <w:spacing w:val="2"/>
          <w:lang w:val="de-DE"/>
        </w:rPr>
        <w:t xml:space="preserve"> der Verordnung 910/2014 und in den Buchstaben </w:t>
      </w:r>
      <w:r w:rsidRPr="004676F5">
        <w:rPr>
          <w:i/>
          <w:spacing w:val="2"/>
          <w:lang w:val="de-DE"/>
        </w:rPr>
        <w:t>e)</w:t>
      </w:r>
      <w:r w:rsidRPr="004676F5">
        <w:rPr>
          <w:spacing w:val="2"/>
          <w:lang w:val="de-DE"/>
        </w:rPr>
        <w:t xml:space="preserve">, </w:t>
      </w:r>
      <w:r w:rsidRPr="004676F5">
        <w:rPr>
          <w:i/>
          <w:spacing w:val="2"/>
          <w:lang w:val="de-DE"/>
        </w:rPr>
        <w:t>i)</w:t>
      </w:r>
      <w:r w:rsidRPr="004676F5">
        <w:rPr>
          <w:spacing w:val="2"/>
          <w:lang w:val="de-DE"/>
        </w:rPr>
        <w:t xml:space="preserve">, </w:t>
      </w:r>
      <w:r w:rsidRPr="004676F5">
        <w:rPr>
          <w:i/>
          <w:spacing w:val="2"/>
          <w:lang w:val="de-DE"/>
        </w:rPr>
        <w:t>j)</w:t>
      </w:r>
      <w:r w:rsidRPr="004676F5">
        <w:rPr>
          <w:spacing w:val="2"/>
          <w:lang w:val="de-DE"/>
        </w:rPr>
        <w:t xml:space="preserve"> und </w:t>
      </w:r>
      <w:r w:rsidRPr="004676F5">
        <w:rPr>
          <w:i/>
          <w:spacing w:val="2"/>
          <w:lang w:val="de-DE"/>
        </w:rPr>
        <w:t>k)</w:t>
      </w:r>
      <w:r w:rsidRPr="004676F5">
        <w:rPr>
          <w:spacing w:val="2"/>
          <w:lang w:val="de-DE"/>
        </w:rPr>
        <w:t xml:space="preserve"> der Anlage I zu vorliegendem Titel erwähnt sind. Jedoch muss sie der Aufsichtsstelle vor Aufnahme der Betreibung des Dienstes folgende Informationen mitteilen:</w:t>
      </w:r>
    </w:p>
    <w:p w14:paraId="7F33A0D1" w14:textId="77777777" w:rsidR="0036267D" w:rsidRPr="004676F5" w:rsidRDefault="0036267D" w:rsidP="0036267D">
      <w:pPr>
        <w:ind w:firstLine="708"/>
        <w:jc w:val="both"/>
        <w:rPr>
          <w:lang w:val="de-DE"/>
        </w:rPr>
      </w:pPr>
    </w:p>
    <w:p w14:paraId="7AAD7E6A" w14:textId="77777777" w:rsidR="0036267D" w:rsidRPr="004676F5" w:rsidRDefault="0036267D" w:rsidP="0036267D">
      <w:pPr>
        <w:ind w:firstLine="708"/>
        <w:jc w:val="both"/>
        <w:rPr>
          <w:lang w:val="de-DE"/>
        </w:rPr>
      </w:pPr>
      <w:r w:rsidRPr="004676F5">
        <w:rPr>
          <w:lang w:val="de-DE"/>
        </w:rPr>
        <w:t>1. Namen oder Gesellschaftsnamen,</w:t>
      </w:r>
    </w:p>
    <w:p w14:paraId="6CD79886" w14:textId="77777777" w:rsidR="0036267D" w:rsidRPr="004676F5" w:rsidRDefault="0036267D" w:rsidP="0036267D">
      <w:pPr>
        <w:ind w:firstLine="708"/>
        <w:jc w:val="both"/>
        <w:rPr>
          <w:lang w:val="de-DE"/>
        </w:rPr>
      </w:pPr>
    </w:p>
    <w:p w14:paraId="26033BCD" w14:textId="253425E5" w:rsidR="0036267D" w:rsidRPr="004676F5" w:rsidRDefault="0036267D" w:rsidP="0036267D">
      <w:pPr>
        <w:ind w:firstLine="708"/>
        <w:jc w:val="both"/>
        <w:rPr>
          <w:lang w:val="de-DE"/>
        </w:rPr>
      </w:pPr>
      <w:r w:rsidRPr="004676F5">
        <w:rPr>
          <w:lang w:val="de-DE"/>
        </w:rPr>
        <w:t>2. geographische Anschrift ihres Niederlassungs</w:t>
      </w:r>
      <w:r w:rsidR="005B7A5C" w:rsidRPr="004676F5">
        <w:rPr>
          <w:lang w:val="de-DE"/>
        </w:rPr>
        <w:t>- </w:t>
      </w:r>
      <w:r w:rsidRPr="004676F5">
        <w:rPr>
          <w:lang w:val="de-DE"/>
        </w:rPr>
        <w:t>oder Wohnortes,</w:t>
      </w:r>
    </w:p>
    <w:p w14:paraId="6519E955" w14:textId="77777777" w:rsidR="0036267D" w:rsidRPr="004676F5" w:rsidRDefault="0036267D" w:rsidP="0036267D">
      <w:pPr>
        <w:ind w:firstLine="708"/>
        <w:jc w:val="both"/>
        <w:rPr>
          <w:lang w:val="de-DE"/>
        </w:rPr>
      </w:pPr>
    </w:p>
    <w:p w14:paraId="2E19551F" w14:textId="77777777" w:rsidR="0036267D" w:rsidRPr="004676F5" w:rsidRDefault="0036267D" w:rsidP="0036267D">
      <w:pPr>
        <w:ind w:firstLine="708"/>
        <w:jc w:val="both"/>
        <w:rPr>
          <w:lang w:val="de-DE"/>
        </w:rPr>
      </w:pPr>
      <w:r w:rsidRPr="004676F5">
        <w:rPr>
          <w:lang w:val="de-DE"/>
        </w:rPr>
        <w:t>3. Kontaktinformationen, anhand deren sie schnell zu erreichen ist, einschließlich ihrer Adresse der elektronischen Post,</w:t>
      </w:r>
    </w:p>
    <w:p w14:paraId="1CE347AD" w14:textId="77777777" w:rsidR="0036267D" w:rsidRPr="004676F5" w:rsidRDefault="0036267D" w:rsidP="0036267D">
      <w:pPr>
        <w:ind w:firstLine="708"/>
        <w:jc w:val="both"/>
        <w:rPr>
          <w:lang w:val="de-DE"/>
        </w:rPr>
      </w:pPr>
    </w:p>
    <w:p w14:paraId="56418147" w14:textId="77777777" w:rsidR="0036267D" w:rsidRPr="004676F5" w:rsidRDefault="0036267D" w:rsidP="0036267D">
      <w:pPr>
        <w:ind w:firstLine="708"/>
        <w:jc w:val="both"/>
        <w:rPr>
          <w:lang w:val="de-DE"/>
        </w:rPr>
      </w:pPr>
      <w:r w:rsidRPr="004676F5">
        <w:rPr>
          <w:lang w:val="de-DE"/>
        </w:rPr>
        <w:t>4. ihre Unternehmensnummer,</w:t>
      </w:r>
    </w:p>
    <w:p w14:paraId="2A095AEF" w14:textId="77777777" w:rsidR="0036267D" w:rsidRPr="004676F5" w:rsidRDefault="0036267D" w:rsidP="0036267D">
      <w:pPr>
        <w:ind w:firstLine="708"/>
        <w:jc w:val="both"/>
        <w:rPr>
          <w:lang w:val="de-DE"/>
        </w:rPr>
      </w:pPr>
    </w:p>
    <w:p w14:paraId="43F24A02" w14:textId="77777777" w:rsidR="0036267D" w:rsidRPr="004676F5" w:rsidRDefault="0036267D" w:rsidP="0036267D">
      <w:pPr>
        <w:ind w:firstLine="708"/>
        <w:jc w:val="both"/>
        <w:rPr>
          <w:lang w:val="de-DE"/>
        </w:rPr>
      </w:pPr>
      <w:r w:rsidRPr="004676F5">
        <w:rPr>
          <w:lang w:val="de-DE"/>
        </w:rPr>
        <w:t>5. einen Bewertungsbericht, der auf ihre Kosten von einer Konformitätsbewertungs</w:t>
      </w:r>
      <w:r w:rsidRPr="004676F5">
        <w:rPr>
          <w:lang w:val="de-DE"/>
        </w:rPr>
        <w:softHyphen/>
        <w:t>stelle erstellt wird und in dem bestätigt wird, dass die Anforderungen der Verord</w:t>
      </w:r>
      <w:r w:rsidRPr="004676F5">
        <w:rPr>
          <w:lang w:val="de-DE"/>
        </w:rPr>
        <w:softHyphen/>
        <w:t>nung 910/2014, des vorliegenden Titels und seiner Anlage I erfüllt sind.</w:t>
      </w:r>
    </w:p>
    <w:p w14:paraId="410DF7A2" w14:textId="77777777" w:rsidR="0036267D" w:rsidRPr="004676F5" w:rsidRDefault="0036267D" w:rsidP="0036267D">
      <w:pPr>
        <w:ind w:firstLine="708"/>
        <w:jc w:val="both"/>
        <w:rPr>
          <w:lang w:val="de-DE"/>
        </w:rPr>
      </w:pPr>
    </w:p>
    <w:p w14:paraId="4FE1D193" w14:textId="77777777" w:rsidR="0036267D" w:rsidRPr="004676F5" w:rsidRDefault="0036267D" w:rsidP="0036267D">
      <w:pPr>
        <w:ind w:firstLine="708"/>
        <w:jc w:val="both"/>
        <w:rPr>
          <w:lang w:val="de-DE"/>
        </w:rPr>
      </w:pPr>
      <w:r w:rsidRPr="004676F5">
        <w:rPr>
          <w:lang w:val="de-DE"/>
        </w:rPr>
        <w:t>Die Aufsichtsstelle stellt ihr binnen fünf Werktagen ab Eingang der Informationen eine Empfangsbestätigung aus. Die Aufsichtsstelle kann eine Kontrolle durchführen, wenn sie es insbesondere auf der Grundlage des Bewertungsberichts für nützlich hält.</w:t>
      </w:r>
    </w:p>
    <w:p w14:paraId="2531D86F" w14:textId="77777777" w:rsidR="0036267D" w:rsidRPr="004676F5" w:rsidRDefault="0036267D" w:rsidP="0036267D">
      <w:pPr>
        <w:ind w:firstLine="708"/>
        <w:jc w:val="both"/>
        <w:rPr>
          <w:lang w:val="de-DE"/>
        </w:rPr>
      </w:pPr>
    </w:p>
    <w:p w14:paraId="0448E09C" w14:textId="4895F5F4" w:rsidR="0036267D" w:rsidRPr="004676F5" w:rsidRDefault="0036267D" w:rsidP="0036267D">
      <w:pPr>
        <w:ind w:firstLine="708"/>
        <w:jc w:val="both"/>
        <w:rPr>
          <w:lang w:val="de-DE"/>
        </w:rPr>
      </w:pPr>
      <w:r w:rsidRPr="004676F5">
        <w:rPr>
          <w:lang w:val="de-DE"/>
        </w:rPr>
        <w:t>§ 3 </w:t>
      </w:r>
      <w:r w:rsidR="005B7A5C" w:rsidRPr="004676F5">
        <w:rPr>
          <w:lang w:val="de-DE"/>
        </w:rPr>
        <w:t>- </w:t>
      </w:r>
      <w:r w:rsidRPr="004676F5">
        <w:rPr>
          <w:lang w:val="de-DE"/>
        </w:rPr>
        <w:t>Unbeschadet des Artikels 34 Absatz 2 der Verordnung 910/2014 kann der König Kennnummern für Normen für qualifizierte Dienste für elektronische Archivierung festlegen. Für qualifizierte Dienste für elektronische Archivierung, die diesen Normen entsprechen, wird davon ausgegangen, dass sie die Anforderungen des vorliegenden Titels und seiner Anlage I ganz oder teilweise erfüllen. Gegebenenfalls gibt der König an, welche Anforderungen als erfüllt gelten.]</w:t>
      </w:r>
    </w:p>
    <w:p w14:paraId="7ADD82AE" w14:textId="77777777" w:rsidR="0036267D" w:rsidRPr="004676F5" w:rsidRDefault="0036267D" w:rsidP="0036267D">
      <w:pPr>
        <w:jc w:val="both"/>
        <w:rPr>
          <w:lang w:val="de-DE"/>
        </w:rPr>
      </w:pPr>
    </w:p>
    <w:p w14:paraId="1EEB4E64" w14:textId="55DA77CD" w:rsidR="0036267D" w:rsidRPr="004676F5" w:rsidRDefault="0036267D" w:rsidP="0036267D">
      <w:pPr>
        <w:jc w:val="both"/>
        <w:rPr>
          <w:i/>
          <w:lang w:val="de-DE"/>
        </w:rPr>
      </w:pPr>
      <w:r w:rsidRPr="004676F5">
        <w:rPr>
          <w:i/>
          <w:lang w:val="de-DE"/>
        </w:rPr>
        <w:t>[</w:t>
      </w:r>
      <w:r w:rsidR="00BE0A56" w:rsidRPr="004676F5">
        <w:rPr>
          <w:i/>
          <w:lang w:val="de-DE"/>
        </w:rPr>
        <w:t>Art. </w:t>
      </w:r>
      <w:r w:rsidRPr="004676F5">
        <w:rPr>
          <w:i/>
          <w:lang w:val="de-DE"/>
        </w:rPr>
        <w:t xml:space="preserve">XII.28 eingefügt durch </w:t>
      </w:r>
      <w:r w:rsidR="00BE0A56" w:rsidRPr="004676F5">
        <w:rPr>
          <w:i/>
          <w:lang w:val="de-DE"/>
        </w:rPr>
        <w:t>Art. </w:t>
      </w:r>
      <w:r w:rsidRPr="004676F5">
        <w:rPr>
          <w:i/>
          <w:lang w:val="de-DE"/>
        </w:rPr>
        <w:t>11 des G. vom 21. Juli 2016 (B.S. vom 28. September 2016)]</w:t>
      </w:r>
    </w:p>
    <w:p w14:paraId="442B0B80" w14:textId="77777777" w:rsidR="0036267D" w:rsidRPr="004676F5" w:rsidRDefault="0036267D" w:rsidP="0036267D">
      <w:pPr>
        <w:jc w:val="both"/>
        <w:rPr>
          <w:lang w:val="de-DE"/>
        </w:rPr>
      </w:pPr>
    </w:p>
    <w:p w14:paraId="4264F7AE" w14:textId="77777777" w:rsidR="0036267D" w:rsidRPr="004676F5" w:rsidRDefault="0036267D" w:rsidP="0036267D">
      <w:pPr>
        <w:jc w:val="both"/>
        <w:rPr>
          <w:lang w:val="de-DE"/>
        </w:rPr>
      </w:pPr>
    </w:p>
    <w:p w14:paraId="367EA14F" w14:textId="509DFD28" w:rsidR="0036267D" w:rsidRPr="004676F5" w:rsidRDefault="0036267D" w:rsidP="0036267D">
      <w:pPr>
        <w:jc w:val="both"/>
        <w:rPr>
          <w:lang w:val="de-DE"/>
        </w:rPr>
      </w:pPr>
      <w:r w:rsidRPr="004676F5">
        <w:rPr>
          <w:lang w:val="de-DE"/>
        </w:rPr>
        <w:tab/>
        <w:t>[</w:t>
      </w:r>
      <w:r w:rsidR="00BE0A56" w:rsidRPr="004676F5">
        <w:rPr>
          <w:b/>
          <w:lang w:val="de-DE"/>
        </w:rPr>
        <w:t>Art. </w:t>
      </w:r>
      <w:r w:rsidRPr="004676F5">
        <w:rPr>
          <w:b/>
          <w:lang w:val="de-DE"/>
        </w:rPr>
        <w:t>XII.29</w:t>
      </w:r>
      <w:r w:rsidRPr="004676F5">
        <w:rPr>
          <w:lang w:val="de-DE"/>
        </w:rPr>
        <w:t> </w:t>
      </w:r>
      <w:r w:rsidR="005B7A5C" w:rsidRPr="004676F5">
        <w:rPr>
          <w:lang w:val="de-DE"/>
        </w:rPr>
        <w:t>- </w:t>
      </w:r>
      <w:r w:rsidRPr="004676F5">
        <w:rPr>
          <w:lang w:val="de-DE"/>
        </w:rPr>
        <w:t>Artikel 13 der Verordnung 910/2014 ist auf Anbieter eines qualifizierten und nicht qualifizierten Dienstes für elektronische Archivierung anwendbar bei Nichteinhal</w:t>
      </w:r>
      <w:r w:rsidRPr="004676F5">
        <w:rPr>
          <w:lang w:val="de-DE"/>
        </w:rPr>
        <w:softHyphen/>
        <w:t>tung der durch die Verordnung 910/2014, vorliegenden Titel und seine Anlage I vorgesehenen Verpflichtungen.]</w:t>
      </w:r>
    </w:p>
    <w:p w14:paraId="32FF1809" w14:textId="77777777" w:rsidR="0036267D" w:rsidRPr="004676F5" w:rsidRDefault="0036267D" w:rsidP="0036267D">
      <w:pPr>
        <w:jc w:val="both"/>
        <w:rPr>
          <w:lang w:val="de-DE"/>
        </w:rPr>
      </w:pPr>
    </w:p>
    <w:p w14:paraId="7F49DDEB" w14:textId="5BA8CF41" w:rsidR="0036267D" w:rsidRPr="004676F5" w:rsidRDefault="0036267D" w:rsidP="0036267D">
      <w:pPr>
        <w:jc w:val="both"/>
        <w:rPr>
          <w:i/>
          <w:lang w:val="de-DE"/>
        </w:rPr>
      </w:pPr>
      <w:r w:rsidRPr="004676F5">
        <w:rPr>
          <w:i/>
          <w:lang w:val="de-DE"/>
        </w:rPr>
        <w:t>[</w:t>
      </w:r>
      <w:r w:rsidR="00BE0A56" w:rsidRPr="004676F5">
        <w:rPr>
          <w:i/>
          <w:lang w:val="de-DE"/>
        </w:rPr>
        <w:t>Art. </w:t>
      </w:r>
      <w:r w:rsidRPr="004676F5">
        <w:rPr>
          <w:i/>
          <w:lang w:val="de-DE"/>
        </w:rPr>
        <w:t xml:space="preserve">XII.29 eingefügt durch </w:t>
      </w:r>
      <w:r w:rsidR="00BE0A56" w:rsidRPr="004676F5">
        <w:rPr>
          <w:i/>
          <w:lang w:val="de-DE"/>
        </w:rPr>
        <w:t>Art. </w:t>
      </w:r>
      <w:r w:rsidRPr="004676F5">
        <w:rPr>
          <w:i/>
          <w:lang w:val="de-DE"/>
        </w:rPr>
        <w:t>12 des G. vom 21. Juli 2016 (B.S. vom 28. September 2016)]</w:t>
      </w:r>
    </w:p>
    <w:p w14:paraId="4FD3799B" w14:textId="77777777" w:rsidR="0036267D" w:rsidRPr="004676F5" w:rsidRDefault="0036267D" w:rsidP="0036267D">
      <w:pPr>
        <w:jc w:val="both"/>
        <w:rPr>
          <w:lang w:val="de-DE"/>
        </w:rPr>
      </w:pPr>
    </w:p>
    <w:p w14:paraId="7EED053F" w14:textId="77777777" w:rsidR="0036267D" w:rsidRPr="004676F5" w:rsidRDefault="0036267D" w:rsidP="0036267D">
      <w:pPr>
        <w:jc w:val="both"/>
        <w:rPr>
          <w:lang w:val="de-DE"/>
        </w:rPr>
      </w:pPr>
    </w:p>
    <w:p w14:paraId="7A8CF70D" w14:textId="77777777" w:rsidR="00914447" w:rsidRPr="004676F5" w:rsidRDefault="00914447">
      <w:pPr>
        <w:rPr>
          <w:lang w:val="de-DE"/>
        </w:rPr>
      </w:pPr>
      <w:r w:rsidRPr="004676F5">
        <w:rPr>
          <w:lang w:val="de-DE"/>
        </w:rPr>
        <w:br w:type="page"/>
      </w:r>
    </w:p>
    <w:p w14:paraId="65EF4F33" w14:textId="70C6C072" w:rsidR="0036267D" w:rsidRPr="004676F5" w:rsidRDefault="0036267D" w:rsidP="0036267D">
      <w:pPr>
        <w:jc w:val="center"/>
        <w:rPr>
          <w:lang w:val="de-DE"/>
        </w:rPr>
      </w:pPr>
      <w:r w:rsidRPr="004676F5">
        <w:rPr>
          <w:lang w:val="de-DE"/>
        </w:rPr>
        <w:lastRenderedPageBreak/>
        <w:t>[KAPITEL 4 </w:t>
      </w:r>
      <w:r w:rsidR="005B7A5C" w:rsidRPr="004676F5">
        <w:rPr>
          <w:lang w:val="de-DE"/>
        </w:rPr>
        <w:t>- </w:t>
      </w:r>
      <w:r w:rsidRPr="004676F5">
        <w:rPr>
          <w:i/>
          <w:lang w:val="de-DE"/>
        </w:rPr>
        <w:t>Anforderungen an qualifizierte Dienste für die Zustellung elektronischer Einschreibesendungen</w:t>
      </w:r>
      <w:r w:rsidRPr="004676F5">
        <w:rPr>
          <w:lang w:val="de-DE"/>
        </w:rPr>
        <w:t>]</w:t>
      </w:r>
    </w:p>
    <w:p w14:paraId="28BE478C" w14:textId="77777777" w:rsidR="00B54AAB" w:rsidRPr="004676F5" w:rsidRDefault="00B54AAB" w:rsidP="00B54AAB">
      <w:pPr>
        <w:jc w:val="center"/>
        <w:rPr>
          <w:lang w:val="de-DE"/>
        </w:rPr>
      </w:pPr>
    </w:p>
    <w:p w14:paraId="26CB8E8B" w14:textId="5850DC56" w:rsidR="0036267D" w:rsidRPr="004676F5" w:rsidRDefault="0036267D" w:rsidP="0036267D">
      <w:pPr>
        <w:jc w:val="both"/>
        <w:rPr>
          <w:lang w:val="de-DE"/>
        </w:rPr>
      </w:pPr>
      <w:r w:rsidRPr="004676F5">
        <w:rPr>
          <w:i/>
          <w:lang w:val="de-DE"/>
        </w:rPr>
        <w:t xml:space="preserve">[Unterteilung Kapitel 4 eingefügt durch </w:t>
      </w:r>
      <w:r w:rsidR="00BE0A56" w:rsidRPr="004676F5">
        <w:rPr>
          <w:i/>
          <w:lang w:val="de-DE"/>
        </w:rPr>
        <w:t>Art. </w:t>
      </w:r>
      <w:r w:rsidRPr="004676F5">
        <w:rPr>
          <w:i/>
          <w:lang w:val="de-DE"/>
        </w:rPr>
        <w:t>13 des G. vom 21. Juli 2016 (B.S. vom 28. September 2016)]</w:t>
      </w:r>
    </w:p>
    <w:p w14:paraId="6A282550" w14:textId="77777777" w:rsidR="0036267D" w:rsidRPr="004676F5" w:rsidRDefault="0036267D" w:rsidP="0036267D">
      <w:pPr>
        <w:jc w:val="both"/>
        <w:rPr>
          <w:lang w:val="de-DE"/>
        </w:rPr>
      </w:pPr>
    </w:p>
    <w:p w14:paraId="212C5E75" w14:textId="77777777" w:rsidR="0036267D" w:rsidRPr="004676F5" w:rsidRDefault="0036267D" w:rsidP="0036267D">
      <w:pPr>
        <w:jc w:val="both"/>
        <w:rPr>
          <w:lang w:val="de-DE"/>
        </w:rPr>
      </w:pPr>
    </w:p>
    <w:p w14:paraId="3E3073AA" w14:textId="74673B48" w:rsidR="0036267D" w:rsidRPr="004676F5" w:rsidRDefault="0036267D" w:rsidP="0036267D">
      <w:pPr>
        <w:ind w:firstLine="708"/>
        <w:jc w:val="both"/>
        <w:rPr>
          <w:lang w:val="de-DE"/>
        </w:rPr>
      </w:pPr>
      <w:r w:rsidRPr="004676F5">
        <w:rPr>
          <w:lang w:val="de-DE"/>
        </w:rPr>
        <w:t>[</w:t>
      </w:r>
      <w:r w:rsidR="00BE0A56" w:rsidRPr="004676F5">
        <w:rPr>
          <w:b/>
          <w:lang w:val="de-DE"/>
        </w:rPr>
        <w:t>Art. </w:t>
      </w:r>
      <w:r w:rsidRPr="004676F5">
        <w:rPr>
          <w:b/>
          <w:lang w:val="de-DE"/>
        </w:rPr>
        <w:t>XII.30</w:t>
      </w:r>
      <w:r w:rsidRPr="004676F5">
        <w:rPr>
          <w:lang w:val="de-DE"/>
        </w:rPr>
        <w:t> </w:t>
      </w:r>
      <w:r w:rsidR="005B7A5C" w:rsidRPr="004676F5">
        <w:rPr>
          <w:lang w:val="de-DE"/>
        </w:rPr>
        <w:t>- </w:t>
      </w:r>
      <w:r w:rsidRPr="004676F5">
        <w:rPr>
          <w:lang w:val="de-DE"/>
        </w:rPr>
        <w:t>Unbeschadet der Bestimmungen der Verordnung 910/2014, die auf qualifizierte Vertrauensdiensteanbieter und qualifizierte Dienste für die Zustellung elektro</w:t>
      </w:r>
      <w:r w:rsidRPr="004676F5">
        <w:rPr>
          <w:lang w:val="de-DE"/>
        </w:rPr>
        <w:softHyphen/>
        <w:t>ni</w:t>
      </w:r>
      <w:r w:rsidRPr="004676F5">
        <w:rPr>
          <w:lang w:val="de-DE"/>
        </w:rPr>
        <w:softHyphen/>
        <w:t>scher Einschreibesendungen anwendbar sind, erfüllen qualifizierte Vertrauensdienste</w:t>
      </w:r>
      <w:r w:rsidRPr="004676F5">
        <w:rPr>
          <w:lang w:val="de-DE"/>
        </w:rPr>
        <w:softHyphen/>
        <w:t>an</w:t>
      </w:r>
      <w:r w:rsidRPr="004676F5">
        <w:rPr>
          <w:lang w:val="de-DE"/>
        </w:rPr>
        <w:softHyphen/>
        <w:t>bie</w:t>
      </w:r>
      <w:r w:rsidRPr="004676F5">
        <w:rPr>
          <w:lang w:val="de-DE"/>
        </w:rPr>
        <w:softHyphen/>
        <w:t>ter, die einen qualifizierten Dienst für die Zustellung von elektronischen Einschreibesendungen erbringen, die in Anlage II zu vorliegendem Titel erwähnten Anforderungen.</w:t>
      </w:r>
    </w:p>
    <w:p w14:paraId="63D20D55" w14:textId="77777777" w:rsidR="0036267D" w:rsidRPr="004676F5" w:rsidRDefault="0036267D" w:rsidP="0036267D">
      <w:pPr>
        <w:ind w:firstLine="708"/>
        <w:jc w:val="both"/>
        <w:rPr>
          <w:lang w:val="de-DE"/>
        </w:rPr>
      </w:pPr>
    </w:p>
    <w:p w14:paraId="0C566826" w14:textId="77777777" w:rsidR="0036267D" w:rsidRPr="004676F5" w:rsidRDefault="0036267D" w:rsidP="0036267D">
      <w:pPr>
        <w:ind w:firstLine="708"/>
        <w:jc w:val="both"/>
        <w:rPr>
          <w:lang w:val="de-DE"/>
        </w:rPr>
      </w:pPr>
      <w:r w:rsidRPr="004676F5">
        <w:rPr>
          <w:lang w:val="de-DE"/>
        </w:rPr>
        <w:t>Unbeschadet der gemäß Artikel 44 Absatz 2 der Verordnung 910/2014 von der Kommission eventuell festgelegten Normen kann der König zusätzliche Anforderungen zu den in Anlage II erwähnten Anforderungen und Kennnummern für Normen für qualifizierte Dienste für die Zustellung von elektronischen Einschreibesendungen festlegen. Für qualifizierte Dienste für die Zustellung von elektronischen Einschreibesendungen, die diesen Normen entsprechen, wird davon ausgegangen, dass sie die Anforderungen des vorliegenden Titels und seiner Anlage II ganz oder teilweise erfüllen. Gegebenenfalls gibt der König an, welche Anforderungen als erfüllt gelten.]</w:t>
      </w:r>
    </w:p>
    <w:p w14:paraId="69E62D5A" w14:textId="77777777" w:rsidR="0036267D" w:rsidRPr="004676F5" w:rsidRDefault="0036267D" w:rsidP="0036267D">
      <w:pPr>
        <w:ind w:firstLine="708"/>
        <w:jc w:val="both"/>
        <w:rPr>
          <w:lang w:val="de-DE"/>
        </w:rPr>
      </w:pPr>
    </w:p>
    <w:p w14:paraId="3E66D4B3" w14:textId="5E165392" w:rsidR="0036267D" w:rsidRPr="004676F5" w:rsidRDefault="0036267D" w:rsidP="0036267D">
      <w:pPr>
        <w:jc w:val="both"/>
        <w:rPr>
          <w:i/>
          <w:lang w:val="de-DE"/>
        </w:rPr>
      </w:pPr>
      <w:r w:rsidRPr="004676F5">
        <w:rPr>
          <w:i/>
          <w:lang w:val="de-DE"/>
        </w:rPr>
        <w:t>[</w:t>
      </w:r>
      <w:r w:rsidR="00BE0A56" w:rsidRPr="004676F5">
        <w:rPr>
          <w:i/>
          <w:lang w:val="de-DE"/>
        </w:rPr>
        <w:t>Art. </w:t>
      </w:r>
      <w:r w:rsidRPr="004676F5">
        <w:rPr>
          <w:i/>
          <w:lang w:val="de-DE"/>
        </w:rPr>
        <w:t xml:space="preserve">XII.30 eingefügt durch </w:t>
      </w:r>
      <w:r w:rsidR="00BE0A56" w:rsidRPr="004676F5">
        <w:rPr>
          <w:i/>
          <w:lang w:val="de-DE"/>
        </w:rPr>
        <w:t>Art. </w:t>
      </w:r>
      <w:r w:rsidRPr="004676F5">
        <w:rPr>
          <w:i/>
          <w:lang w:val="de-DE"/>
        </w:rPr>
        <w:t>14 des G. vom 21. Juli 2016 (B.S. vom 28. September 2016)]</w:t>
      </w:r>
    </w:p>
    <w:p w14:paraId="09FAAC4D" w14:textId="77777777" w:rsidR="0036267D" w:rsidRPr="004676F5" w:rsidRDefault="0036267D" w:rsidP="0036267D">
      <w:pPr>
        <w:jc w:val="both"/>
        <w:rPr>
          <w:i/>
          <w:lang w:val="de-DE"/>
        </w:rPr>
      </w:pPr>
    </w:p>
    <w:p w14:paraId="70B0AE35" w14:textId="77777777" w:rsidR="0036267D" w:rsidRPr="004676F5" w:rsidRDefault="0036267D" w:rsidP="0036267D">
      <w:pPr>
        <w:jc w:val="both"/>
        <w:rPr>
          <w:i/>
          <w:lang w:val="de-DE"/>
        </w:rPr>
      </w:pPr>
    </w:p>
    <w:p w14:paraId="3BCCAC42" w14:textId="77777777" w:rsidR="00914447" w:rsidRPr="004676F5" w:rsidRDefault="00914447">
      <w:pPr>
        <w:rPr>
          <w:lang w:val="de-DE"/>
        </w:rPr>
      </w:pPr>
      <w:r w:rsidRPr="004676F5">
        <w:rPr>
          <w:lang w:val="de-DE"/>
        </w:rPr>
        <w:br w:type="page"/>
      </w:r>
    </w:p>
    <w:p w14:paraId="451815D9" w14:textId="1B6B6F57" w:rsidR="0036267D" w:rsidRPr="004676F5" w:rsidRDefault="0036267D" w:rsidP="0036267D">
      <w:pPr>
        <w:jc w:val="center"/>
        <w:rPr>
          <w:lang w:val="de-DE"/>
        </w:rPr>
      </w:pPr>
      <w:r w:rsidRPr="004676F5">
        <w:rPr>
          <w:lang w:val="de-DE"/>
        </w:rPr>
        <w:lastRenderedPageBreak/>
        <w:t>[KAPITEL 5 </w:t>
      </w:r>
      <w:r w:rsidR="005B7A5C" w:rsidRPr="004676F5">
        <w:rPr>
          <w:lang w:val="de-DE"/>
        </w:rPr>
        <w:t>- </w:t>
      </w:r>
      <w:r w:rsidRPr="004676F5">
        <w:rPr>
          <w:i/>
          <w:lang w:val="de-DE"/>
        </w:rPr>
        <w:t>Widerruf, Aussetzung und Ablauf von qualifizierten Zertifikaten für elektronische Signaturen und elektronische Siegel</w:t>
      </w:r>
      <w:r w:rsidRPr="004676F5">
        <w:rPr>
          <w:lang w:val="de-DE"/>
        </w:rPr>
        <w:t>]</w:t>
      </w:r>
    </w:p>
    <w:p w14:paraId="480B0391" w14:textId="77777777" w:rsidR="00554519" w:rsidRPr="004676F5" w:rsidRDefault="00554519" w:rsidP="0036267D">
      <w:pPr>
        <w:jc w:val="center"/>
        <w:rPr>
          <w:lang w:val="de-DE"/>
        </w:rPr>
      </w:pPr>
    </w:p>
    <w:p w14:paraId="6994B46E" w14:textId="659DED43" w:rsidR="00554519" w:rsidRPr="004676F5" w:rsidRDefault="00554519" w:rsidP="00554519">
      <w:pPr>
        <w:jc w:val="both"/>
        <w:rPr>
          <w:lang w:val="de-DE"/>
        </w:rPr>
      </w:pPr>
      <w:r w:rsidRPr="004676F5">
        <w:rPr>
          <w:i/>
          <w:lang w:val="de-DE"/>
        </w:rPr>
        <w:t xml:space="preserve">[Unterteilung Kapitel 5 eingefügt durch </w:t>
      </w:r>
      <w:r w:rsidR="00BE0A56" w:rsidRPr="004676F5">
        <w:rPr>
          <w:i/>
          <w:lang w:val="de-DE"/>
        </w:rPr>
        <w:t>Art. </w:t>
      </w:r>
      <w:r w:rsidRPr="004676F5">
        <w:rPr>
          <w:i/>
          <w:lang w:val="de-DE"/>
        </w:rPr>
        <w:t>15 des G. vom 21. Juli 2016 (B.S. vom 28. September 2016)]</w:t>
      </w:r>
    </w:p>
    <w:p w14:paraId="08DAC93D" w14:textId="77777777" w:rsidR="0036267D" w:rsidRPr="004676F5" w:rsidRDefault="0036267D" w:rsidP="00B54AAB">
      <w:pPr>
        <w:jc w:val="center"/>
        <w:rPr>
          <w:lang w:val="de-DE"/>
        </w:rPr>
      </w:pPr>
    </w:p>
    <w:p w14:paraId="4C66E481" w14:textId="77777777" w:rsidR="00554519" w:rsidRPr="004676F5" w:rsidRDefault="00554519" w:rsidP="00B54AAB">
      <w:pPr>
        <w:jc w:val="center"/>
        <w:rPr>
          <w:lang w:val="de-DE"/>
        </w:rPr>
      </w:pPr>
    </w:p>
    <w:p w14:paraId="2258FD4F" w14:textId="72373F98" w:rsidR="00554519" w:rsidRPr="004676F5" w:rsidRDefault="00554519" w:rsidP="00554519">
      <w:pPr>
        <w:ind w:firstLine="708"/>
        <w:jc w:val="both"/>
        <w:rPr>
          <w:lang w:val="de-DE"/>
        </w:rPr>
      </w:pPr>
      <w:r w:rsidRPr="004676F5">
        <w:rPr>
          <w:lang w:val="de-DE"/>
        </w:rPr>
        <w:t>[</w:t>
      </w:r>
      <w:r w:rsidR="00BE0A56" w:rsidRPr="004676F5">
        <w:rPr>
          <w:b/>
          <w:lang w:val="de-DE"/>
        </w:rPr>
        <w:t>Art. </w:t>
      </w:r>
      <w:r w:rsidRPr="004676F5">
        <w:rPr>
          <w:b/>
          <w:lang w:val="de-DE"/>
        </w:rPr>
        <w:t>XII.31</w:t>
      </w:r>
      <w:r w:rsidRPr="004676F5">
        <w:rPr>
          <w:lang w:val="de-DE"/>
        </w:rPr>
        <w:t> </w:t>
      </w:r>
      <w:r w:rsidR="005B7A5C" w:rsidRPr="004676F5">
        <w:rPr>
          <w:lang w:val="de-DE"/>
        </w:rPr>
        <w:t>- </w:t>
      </w:r>
      <w:r w:rsidRPr="004676F5">
        <w:rPr>
          <w:lang w:val="de-DE"/>
        </w:rPr>
        <w:t>Unbeschadet der Artikel 24 Absatz 3, 24 Absatz 4, 28 Absatz 4 und 38 Absatz 4 der Verordnung 910/2014 widerruft ein qualifizierter Vertrauensdiensteanbieter, der qualifizierte Zertifikate ausstellt, ein qualifiziertes Zertifikat, wenn:</w:t>
      </w:r>
    </w:p>
    <w:p w14:paraId="4AFA8E60" w14:textId="77777777" w:rsidR="00554519" w:rsidRPr="004676F5" w:rsidRDefault="00554519" w:rsidP="00554519">
      <w:pPr>
        <w:ind w:firstLine="708"/>
        <w:jc w:val="both"/>
        <w:rPr>
          <w:lang w:val="de-DE"/>
        </w:rPr>
      </w:pPr>
    </w:p>
    <w:p w14:paraId="0934C814" w14:textId="77777777" w:rsidR="00554519" w:rsidRPr="004676F5" w:rsidRDefault="00554519" w:rsidP="00554519">
      <w:pPr>
        <w:ind w:firstLine="708"/>
        <w:jc w:val="both"/>
        <w:rPr>
          <w:lang w:val="de-DE"/>
        </w:rPr>
      </w:pPr>
      <w:r w:rsidRPr="004676F5">
        <w:rPr>
          <w:lang w:val="de-DE"/>
        </w:rPr>
        <w:t>1. der zuvor identifizierte Zertifikatsinhaber es beantragt,</w:t>
      </w:r>
    </w:p>
    <w:p w14:paraId="48EC5A84" w14:textId="77777777" w:rsidR="00554519" w:rsidRPr="004676F5" w:rsidRDefault="00554519" w:rsidP="00554519">
      <w:pPr>
        <w:ind w:firstLine="708"/>
        <w:jc w:val="both"/>
        <w:rPr>
          <w:lang w:val="de-DE"/>
        </w:rPr>
      </w:pPr>
    </w:p>
    <w:p w14:paraId="2E595D16" w14:textId="3E982243" w:rsidR="00554519" w:rsidRPr="004676F5" w:rsidRDefault="00554519" w:rsidP="00554519">
      <w:pPr>
        <w:ind w:firstLine="708"/>
        <w:jc w:val="both"/>
        <w:rPr>
          <w:lang w:val="de-DE"/>
        </w:rPr>
      </w:pPr>
      <w:r w:rsidRPr="004676F5">
        <w:rPr>
          <w:lang w:val="de-DE"/>
        </w:rPr>
        <w:t>2. ernsthafte Gründe für die Annahme vorliegen, dass das Zertifikat auf der Grundlage von fehlerhaften oder verfälschten Angaben ausgestellt wurde, die Angaben im Zertifikat der Wirklichkeit nicht mehr entsprechen oder die Vertraulichkeit der elektronischen Signatur</w:t>
      </w:r>
      <w:r w:rsidR="005B7A5C" w:rsidRPr="004676F5">
        <w:rPr>
          <w:lang w:val="de-DE"/>
        </w:rPr>
        <w:t>- </w:t>
      </w:r>
      <w:r w:rsidRPr="004676F5">
        <w:rPr>
          <w:lang w:val="de-DE"/>
        </w:rPr>
        <w:t>oder Siegelerstellungsdaten verletzt wurde,</w:t>
      </w:r>
    </w:p>
    <w:p w14:paraId="3554D462" w14:textId="77777777" w:rsidR="00554519" w:rsidRPr="004676F5" w:rsidRDefault="00554519" w:rsidP="00554519">
      <w:pPr>
        <w:ind w:firstLine="708"/>
        <w:jc w:val="both"/>
        <w:rPr>
          <w:lang w:val="de-DE"/>
        </w:rPr>
      </w:pPr>
    </w:p>
    <w:p w14:paraId="126480B5" w14:textId="77777777" w:rsidR="00554519" w:rsidRPr="004676F5" w:rsidRDefault="00554519" w:rsidP="00554519">
      <w:pPr>
        <w:ind w:firstLine="708"/>
        <w:jc w:val="both"/>
        <w:rPr>
          <w:lang w:val="de-DE"/>
        </w:rPr>
      </w:pPr>
      <w:r w:rsidRPr="004676F5">
        <w:rPr>
          <w:lang w:val="de-DE"/>
        </w:rPr>
        <w:t>3. Gerichte in Artikel XV.26 § 4 vorgesehene Maßnahmen anordnen,</w:t>
      </w:r>
    </w:p>
    <w:p w14:paraId="34AA4FB6" w14:textId="77777777" w:rsidR="00554519" w:rsidRPr="004676F5" w:rsidRDefault="00554519" w:rsidP="00554519">
      <w:pPr>
        <w:ind w:firstLine="708"/>
        <w:jc w:val="both"/>
        <w:rPr>
          <w:lang w:val="de-DE"/>
        </w:rPr>
      </w:pPr>
    </w:p>
    <w:p w14:paraId="04C0B630" w14:textId="29A180BA" w:rsidR="00554519" w:rsidRPr="004676F5" w:rsidRDefault="00554519" w:rsidP="00554519">
      <w:pPr>
        <w:ind w:firstLine="708"/>
        <w:jc w:val="both"/>
        <w:rPr>
          <w:lang w:val="de-DE"/>
        </w:rPr>
      </w:pPr>
      <w:r w:rsidRPr="004676F5">
        <w:rPr>
          <w:lang w:val="de-DE"/>
        </w:rPr>
        <w:t>4. der qualifizierte Vertrauensdiensteanbieter seine Tätigkeiten einstellt, ohne dass sie in ihrer Gesamtheit von einem anderen qualifizierten Vertrauensdiensteanbieter übernommen werden, der ein gleichwertiges Qualitäts</w:t>
      </w:r>
      <w:r w:rsidR="005B7A5C" w:rsidRPr="004676F5">
        <w:rPr>
          <w:lang w:val="de-DE"/>
        </w:rPr>
        <w:t>- </w:t>
      </w:r>
      <w:r w:rsidRPr="004676F5">
        <w:rPr>
          <w:lang w:val="de-DE"/>
        </w:rPr>
        <w:t>und Sicherheitsniveau gewährleistet,</w:t>
      </w:r>
    </w:p>
    <w:p w14:paraId="701A0456" w14:textId="77777777" w:rsidR="00554519" w:rsidRPr="004676F5" w:rsidRDefault="00554519" w:rsidP="00554519">
      <w:pPr>
        <w:ind w:firstLine="708"/>
        <w:jc w:val="both"/>
        <w:rPr>
          <w:lang w:val="de-DE"/>
        </w:rPr>
      </w:pPr>
    </w:p>
    <w:p w14:paraId="31253A39" w14:textId="77777777" w:rsidR="00554519" w:rsidRPr="004676F5" w:rsidRDefault="00554519" w:rsidP="00554519">
      <w:pPr>
        <w:ind w:firstLine="708"/>
        <w:jc w:val="both"/>
        <w:rPr>
          <w:lang w:val="de-DE"/>
        </w:rPr>
      </w:pPr>
      <w:r w:rsidRPr="004676F5">
        <w:rPr>
          <w:lang w:val="de-DE"/>
        </w:rPr>
        <w:t>5. der qualifizierte Vertrauensdiensteanbieter vom Tod der natürlichen Person oder von der Auflösung der juristischen Person, die Zertifikatsinhaberin ist, in Kenntnis gesetzt worden ist, nachdem er die Richtigkeit dieser Information überprüft hat.</w:t>
      </w:r>
    </w:p>
    <w:p w14:paraId="7C377498" w14:textId="77777777" w:rsidR="00554519" w:rsidRPr="004676F5" w:rsidRDefault="00554519" w:rsidP="00554519">
      <w:pPr>
        <w:ind w:firstLine="708"/>
        <w:jc w:val="both"/>
        <w:rPr>
          <w:lang w:val="de-DE"/>
        </w:rPr>
      </w:pPr>
    </w:p>
    <w:p w14:paraId="7680EDE4" w14:textId="77777777" w:rsidR="00554519" w:rsidRPr="004676F5" w:rsidRDefault="00554519" w:rsidP="00554519">
      <w:pPr>
        <w:ind w:firstLine="708"/>
        <w:jc w:val="both"/>
        <w:rPr>
          <w:lang w:val="de-DE"/>
        </w:rPr>
      </w:pPr>
      <w:r w:rsidRPr="004676F5">
        <w:rPr>
          <w:lang w:val="de-DE"/>
        </w:rPr>
        <w:t>Der qualifizierte Vertrauensdiensteanbieter setzt den Zertifikatsinhaber von dem Widerruf in Kenntnis und begründet seine Entscheidung, es sei denn, es handelt sich um einen Antrag, den Tod oder die Auflösung des Zertifikatsinhabers.]</w:t>
      </w:r>
    </w:p>
    <w:p w14:paraId="4B333BA3" w14:textId="77777777" w:rsidR="00554519" w:rsidRPr="004676F5" w:rsidRDefault="00554519" w:rsidP="00554519">
      <w:pPr>
        <w:ind w:firstLine="708"/>
        <w:jc w:val="both"/>
        <w:rPr>
          <w:lang w:val="de-DE"/>
        </w:rPr>
      </w:pPr>
    </w:p>
    <w:p w14:paraId="0783C724" w14:textId="1B14A725" w:rsidR="00554519" w:rsidRPr="004676F5" w:rsidRDefault="00554519" w:rsidP="00554519">
      <w:pPr>
        <w:jc w:val="both"/>
        <w:rPr>
          <w:lang w:val="de-DE"/>
        </w:rPr>
      </w:pPr>
      <w:r w:rsidRPr="004676F5">
        <w:rPr>
          <w:i/>
          <w:lang w:val="de-DE"/>
        </w:rPr>
        <w:t>[</w:t>
      </w:r>
      <w:r w:rsidR="00BE0A56" w:rsidRPr="004676F5">
        <w:rPr>
          <w:i/>
          <w:lang w:val="de-DE"/>
        </w:rPr>
        <w:t>Art. </w:t>
      </w:r>
      <w:r w:rsidRPr="004676F5">
        <w:rPr>
          <w:i/>
          <w:lang w:val="de-DE"/>
        </w:rPr>
        <w:t xml:space="preserve">XII.31 eingefügt durch </w:t>
      </w:r>
      <w:r w:rsidR="00BE0A56" w:rsidRPr="004676F5">
        <w:rPr>
          <w:i/>
          <w:lang w:val="de-DE"/>
        </w:rPr>
        <w:t>Art. </w:t>
      </w:r>
      <w:r w:rsidRPr="004676F5">
        <w:rPr>
          <w:i/>
          <w:lang w:val="de-DE"/>
        </w:rPr>
        <w:t>16 des G. vom 21. Juli 2016 (B.S. vom 28. September 2016)]</w:t>
      </w:r>
    </w:p>
    <w:p w14:paraId="657B6B45" w14:textId="77777777" w:rsidR="00554519" w:rsidRPr="004676F5" w:rsidRDefault="00554519" w:rsidP="00554519">
      <w:pPr>
        <w:jc w:val="both"/>
        <w:rPr>
          <w:lang w:val="de-DE"/>
        </w:rPr>
      </w:pPr>
    </w:p>
    <w:p w14:paraId="4ACF22F0" w14:textId="77777777" w:rsidR="00554519" w:rsidRPr="004676F5" w:rsidRDefault="00554519" w:rsidP="00554519">
      <w:pPr>
        <w:jc w:val="both"/>
        <w:rPr>
          <w:lang w:val="de-DE"/>
        </w:rPr>
      </w:pPr>
    </w:p>
    <w:p w14:paraId="077C281C" w14:textId="73EB2D28" w:rsidR="00554519" w:rsidRPr="004676F5" w:rsidRDefault="00554519" w:rsidP="00554519">
      <w:pPr>
        <w:ind w:firstLine="708"/>
        <w:jc w:val="both"/>
        <w:rPr>
          <w:lang w:val="de-DE"/>
        </w:rPr>
      </w:pPr>
      <w:r w:rsidRPr="004676F5">
        <w:rPr>
          <w:lang w:val="de-DE"/>
        </w:rPr>
        <w:t>[</w:t>
      </w:r>
      <w:r w:rsidR="00BE0A56" w:rsidRPr="004676F5">
        <w:rPr>
          <w:b/>
          <w:lang w:val="de-DE"/>
        </w:rPr>
        <w:t>Art. </w:t>
      </w:r>
      <w:r w:rsidRPr="004676F5">
        <w:rPr>
          <w:b/>
          <w:lang w:val="de-DE"/>
        </w:rPr>
        <w:t>XII.32</w:t>
      </w:r>
      <w:r w:rsidRPr="004676F5">
        <w:rPr>
          <w:lang w:val="de-DE"/>
        </w:rPr>
        <w:t> </w:t>
      </w:r>
      <w:r w:rsidR="005B7A5C" w:rsidRPr="004676F5">
        <w:rPr>
          <w:lang w:val="de-DE"/>
        </w:rPr>
        <w:t>- </w:t>
      </w:r>
      <w:r w:rsidRPr="004676F5">
        <w:rPr>
          <w:lang w:val="de-DE"/>
        </w:rPr>
        <w:t>Bei ernsthaften Zweifeln an der Wahrung der Vertraulichkeit der elektronischen Signatur</w:t>
      </w:r>
      <w:r w:rsidR="005B7A5C" w:rsidRPr="004676F5">
        <w:rPr>
          <w:lang w:val="de-DE"/>
        </w:rPr>
        <w:t>- </w:t>
      </w:r>
      <w:r w:rsidRPr="004676F5">
        <w:rPr>
          <w:lang w:val="de-DE"/>
        </w:rPr>
        <w:t>oder Siegelerstellungsdaten oder wenn Angaben im Zertifikat der Wirklichkeit nicht mehr entsprechen, muss der Inhaber das Zertifikat widerrufen lassen.</w:t>
      </w:r>
    </w:p>
    <w:p w14:paraId="411B6242" w14:textId="77777777" w:rsidR="00554519" w:rsidRPr="004676F5" w:rsidRDefault="00554519" w:rsidP="00554519">
      <w:pPr>
        <w:ind w:firstLine="708"/>
        <w:jc w:val="both"/>
        <w:rPr>
          <w:lang w:val="de-DE"/>
        </w:rPr>
      </w:pPr>
    </w:p>
    <w:p w14:paraId="52955EA2" w14:textId="771056BB" w:rsidR="00554519" w:rsidRPr="004676F5" w:rsidRDefault="00554519" w:rsidP="00554519">
      <w:pPr>
        <w:ind w:firstLine="708"/>
        <w:jc w:val="both"/>
        <w:rPr>
          <w:lang w:val="de-DE"/>
        </w:rPr>
      </w:pPr>
      <w:r w:rsidRPr="004676F5">
        <w:rPr>
          <w:lang w:val="de-DE"/>
        </w:rPr>
        <w:t>Wenn ein Zertifikat für elektronische Signaturen beziehungsweise ein Zertifikat für elektronische Siegel abläuft oder widerrufen wird, kann der Inhaber des betreffenden Zertifikats nach seinem Ablauf oder Widerruf die entsprechenden elektronischen Signatur</w:t>
      </w:r>
      <w:r w:rsidR="005B7A5C" w:rsidRPr="004676F5">
        <w:rPr>
          <w:lang w:val="de-DE"/>
        </w:rPr>
        <w:t>- </w:t>
      </w:r>
      <w:r w:rsidRPr="004676F5">
        <w:rPr>
          <w:lang w:val="de-DE"/>
        </w:rPr>
        <w:t>oder Siegelerstellungsdaten nicht mehr verwenden, um eine elektronische Signatur oder ein elektronisches Siegel zu erstellen oder diese Daten von einem anderen Vertrauensdienste</w:t>
      </w:r>
      <w:r w:rsidRPr="004676F5">
        <w:rPr>
          <w:lang w:val="de-DE"/>
        </w:rPr>
        <w:softHyphen/>
        <w:t>anbieter zertifizieren zu lassen.</w:t>
      </w:r>
    </w:p>
    <w:p w14:paraId="475C52D4" w14:textId="77777777" w:rsidR="00554519" w:rsidRPr="004676F5" w:rsidRDefault="00554519" w:rsidP="00554519">
      <w:pPr>
        <w:ind w:firstLine="708"/>
        <w:jc w:val="both"/>
        <w:rPr>
          <w:lang w:val="de-DE"/>
        </w:rPr>
      </w:pPr>
    </w:p>
    <w:p w14:paraId="3BE27106" w14:textId="77777777" w:rsidR="00554519" w:rsidRPr="004676F5" w:rsidRDefault="00554519" w:rsidP="00554519">
      <w:pPr>
        <w:ind w:firstLine="708"/>
        <w:jc w:val="both"/>
        <w:rPr>
          <w:lang w:val="de-DE"/>
        </w:rPr>
      </w:pPr>
      <w:r w:rsidRPr="004676F5">
        <w:rPr>
          <w:lang w:val="de-DE"/>
        </w:rPr>
        <w:t>Einen Monat vor Ablauf eines qualifizierten Zertifikats setzt der qualifizierte Vertrauens</w:t>
      </w:r>
      <w:r w:rsidRPr="004676F5">
        <w:rPr>
          <w:lang w:val="de-DE"/>
        </w:rPr>
        <w:softHyphen/>
        <w:t>diensteanbieter den betreffenden Inhaber davon in Kenntnis.]</w:t>
      </w:r>
    </w:p>
    <w:p w14:paraId="7916BD21" w14:textId="77777777" w:rsidR="00554519" w:rsidRPr="004676F5" w:rsidRDefault="00554519" w:rsidP="00554519">
      <w:pPr>
        <w:jc w:val="both"/>
        <w:rPr>
          <w:lang w:val="de-DE"/>
        </w:rPr>
      </w:pPr>
    </w:p>
    <w:p w14:paraId="7862A5E7" w14:textId="6B7DD9A2" w:rsidR="00554519" w:rsidRPr="004676F5" w:rsidRDefault="00554519" w:rsidP="00554519">
      <w:pPr>
        <w:jc w:val="both"/>
        <w:rPr>
          <w:i/>
          <w:lang w:val="de-DE"/>
        </w:rPr>
      </w:pPr>
      <w:r w:rsidRPr="004676F5">
        <w:rPr>
          <w:i/>
          <w:lang w:val="de-DE"/>
        </w:rPr>
        <w:t>[</w:t>
      </w:r>
      <w:r w:rsidR="00BE0A56" w:rsidRPr="004676F5">
        <w:rPr>
          <w:i/>
          <w:lang w:val="de-DE"/>
        </w:rPr>
        <w:t>Art. </w:t>
      </w:r>
      <w:r w:rsidRPr="004676F5">
        <w:rPr>
          <w:i/>
          <w:lang w:val="de-DE"/>
        </w:rPr>
        <w:t xml:space="preserve">XII.32 eingefügt durch </w:t>
      </w:r>
      <w:r w:rsidR="00BE0A56" w:rsidRPr="004676F5">
        <w:rPr>
          <w:i/>
          <w:lang w:val="de-DE"/>
        </w:rPr>
        <w:t>Art. </w:t>
      </w:r>
      <w:r w:rsidRPr="004676F5">
        <w:rPr>
          <w:i/>
          <w:lang w:val="de-DE"/>
        </w:rPr>
        <w:t>17 des G. vom 21. Juli 2016 (B.S. vom 28. September 2016)]</w:t>
      </w:r>
    </w:p>
    <w:p w14:paraId="7B838620" w14:textId="77777777" w:rsidR="00554519" w:rsidRPr="004676F5" w:rsidRDefault="00554519" w:rsidP="00554519">
      <w:pPr>
        <w:jc w:val="both"/>
        <w:rPr>
          <w:lang w:val="de-DE"/>
        </w:rPr>
      </w:pPr>
    </w:p>
    <w:p w14:paraId="7FBD7986" w14:textId="77777777" w:rsidR="00554519" w:rsidRPr="004676F5" w:rsidRDefault="00554519" w:rsidP="00554519">
      <w:pPr>
        <w:jc w:val="both"/>
        <w:rPr>
          <w:lang w:val="de-DE"/>
        </w:rPr>
      </w:pPr>
    </w:p>
    <w:p w14:paraId="22EC0C48" w14:textId="44E6E7C5" w:rsidR="00554519" w:rsidRPr="004676F5" w:rsidRDefault="00554519" w:rsidP="00554519">
      <w:pPr>
        <w:jc w:val="both"/>
        <w:rPr>
          <w:lang w:val="de-DE"/>
        </w:rPr>
      </w:pPr>
      <w:r w:rsidRPr="004676F5">
        <w:rPr>
          <w:lang w:val="de-DE"/>
        </w:rPr>
        <w:lastRenderedPageBreak/>
        <w:tab/>
        <w:t>[</w:t>
      </w:r>
      <w:r w:rsidR="00BE0A56" w:rsidRPr="004676F5">
        <w:rPr>
          <w:b/>
          <w:lang w:val="de-DE"/>
        </w:rPr>
        <w:t>Art. </w:t>
      </w:r>
      <w:r w:rsidRPr="004676F5">
        <w:rPr>
          <w:b/>
          <w:lang w:val="de-DE"/>
        </w:rPr>
        <w:t>XII.33</w:t>
      </w:r>
      <w:r w:rsidRPr="004676F5">
        <w:rPr>
          <w:lang w:val="de-DE"/>
        </w:rPr>
        <w:t> </w:t>
      </w:r>
      <w:r w:rsidR="005B7A5C" w:rsidRPr="004676F5">
        <w:rPr>
          <w:lang w:val="de-DE"/>
        </w:rPr>
        <w:t>- </w:t>
      </w:r>
      <w:r w:rsidRPr="004676F5">
        <w:rPr>
          <w:lang w:val="de-DE"/>
        </w:rPr>
        <w:t>Unter Vorbehalt der Anforderungen der Artikel 28 Absatz 5 und 38 Absatz 5 der Verordnung 910/2014 kann ein qualifizierter Vertrauensdiensteanbieter, der qualifizierte Zertifikate ausstellt, ein Verfahren zur vorläufigen Aussetzung der von ihm ausgestellten Zertifikate einführen.]</w:t>
      </w:r>
    </w:p>
    <w:p w14:paraId="549FF0B5" w14:textId="77777777" w:rsidR="00554519" w:rsidRPr="004676F5" w:rsidRDefault="00554519" w:rsidP="00554519">
      <w:pPr>
        <w:jc w:val="both"/>
        <w:rPr>
          <w:lang w:val="de-DE"/>
        </w:rPr>
      </w:pPr>
    </w:p>
    <w:p w14:paraId="16E245B2" w14:textId="6655AB19" w:rsidR="00FE14A4" w:rsidRPr="004676F5" w:rsidRDefault="00FE14A4" w:rsidP="00FE14A4">
      <w:pPr>
        <w:jc w:val="both"/>
        <w:rPr>
          <w:i/>
          <w:lang w:val="de-DE"/>
        </w:rPr>
      </w:pPr>
      <w:r w:rsidRPr="004676F5">
        <w:rPr>
          <w:i/>
          <w:lang w:val="de-DE"/>
        </w:rPr>
        <w:t>[</w:t>
      </w:r>
      <w:r w:rsidR="00BE0A56" w:rsidRPr="004676F5">
        <w:rPr>
          <w:i/>
          <w:lang w:val="de-DE"/>
        </w:rPr>
        <w:t>Art. </w:t>
      </w:r>
      <w:r w:rsidRPr="004676F5">
        <w:rPr>
          <w:i/>
          <w:lang w:val="de-DE"/>
        </w:rPr>
        <w:t xml:space="preserve">XII.33 eingefügt durch </w:t>
      </w:r>
      <w:r w:rsidR="00BE0A56" w:rsidRPr="004676F5">
        <w:rPr>
          <w:i/>
          <w:lang w:val="de-DE"/>
        </w:rPr>
        <w:t>Art. </w:t>
      </w:r>
      <w:r w:rsidRPr="004676F5">
        <w:rPr>
          <w:i/>
          <w:lang w:val="de-DE"/>
        </w:rPr>
        <w:t>18 des G. vom 21. Juli 2016 (B.S. vom 28. September 2016)]</w:t>
      </w:r>
    </w:p>
    <w:p w14:paraId="01986D66" w14:textId="77777777" w:rsidR="00554519" w:rsidRPr="004676F5" w:rsidRDefault="00554519" w:rsidP="00554519">
      <w:pPr>
        <w:jc w:val="both"/>
        <w:rPr>
          <w:lang w:val="de-DE"/>
        </w:rPr>
      </w:pPr>
    </w:p>
    <w:p w14:paraId="6D67B4A9" w14:textId="79E86BE9" w:rsidR="00650FBF" w:rsidRPr="004676F5" w:rsidRDefault="00650FBF">
      <w:pPr>
        <w:rPr>
          <w:sz w:val="20"/>
          <w:lang w:val="de-DE"/>
        </w:rPr>
      </w:pPr>
      <w:r w:rsidRPr="004676F5">
        <w:rPr>
          <w:sz w:val="20"/>
          <w:lang w:val="de-DE"/>
        </w:rPr>
        <w:br w:type="page"/>
      </w:r>
    </w:p>
    <w:p w14:paraId="3628479C" w14:textId="7DA9928A" w:rsidR="00554519" w:rsidRPr="004676F5" w:rsidRDefault="00554519" w:rsidP="00554519">
      <w:pPr>
        <w:jc w:val="both"/>
        <w:rPr>
          <w:sz w:val="20"/>
          <w:lang w:val="de-DE"/>
        </w:rPr>
      </w:pPr>
      <w:r w:rsidRPr="004676F5">
        <w:rPr>
          <w:sz w:val="20"/>
          <w:lang w:val="de-DE"/>
        </w:rPr>
        <w:lastRenderedPageBreak/>
        <w:t xml:space="preserve">Ab einem gemäß </w:t>
      </w:r>
      <w:r w:rsidR="00BE0A56" w:rsidRPr="004676F5">
        <w:rPr>
          <w:sz w:val="20"/>
          <w:lang w:val="de-DE"/>
        </w:rPr>
        <w:t>Art. </w:t>
      </w:r>
      <w:r w:rsidRPr="004676F5">
        <w:rPr>
          <w:sz w:val="20"/>
          <w:lang w:val="de-DE"/>
        </w:rPr>
        <w:t>50</w:t>
      </w:r>
      <w:r w:rsidRPr="004676F5">
        <w:rPr>
          <w:i/>
          <w:sz w:val="20"/>
          <w:lang w:val="de-DE"/>
        </w:rPr>
        <w:t xml:space="preserve"> </w:t>
      </w:r>
      <w:r w:rsidRPr="004676F5">
        <w:rPr>
          <w:sz w:val="20"/>
          <w:lang w:val="de-DE"/>
        </w:rPr>
        <w:t>des G. vom 21. Juli 2016 (B.S. vom 28. September 2016) vom König festzulegenden Datum wird ein Kapitel 6 mit den Artikeln XII.34 und XII.35 mit folgendem Wortlaut eingefügt:</w:t>
      </w:r>
    </w:p>
    <w:p w14:paraId="424FF2A1" w14:textId="77777777" w:rsidR="00554519" w:rsidRPr="004676F5" w:rsidRDefault="00554519" w:rsidP="00554519">
      <w:pPr>
        <w:jc w:val="center"/>
        <w:rPr>
          <w:lang w:val="de-DE"/>
        </w:rPr>
      </w:pPr>
    </w:p>
    <w:p w14:paraId="101BE4DB" w14:textId="2EA7E6FF" w:rsidR="00554519" w:rsidRPr="004676F5" w:rsidRDefault="00554519" w:rsidP="00554519">
      <w:pPr>
        <w:jc w:val="both"/>
        <w:rPr>
          <w:sz w:val="20"/>
          <w:lang w:val="de-DE"/>
        </w:rPr>
      </w:pPr>
      <w:r w:rsidRPr="004676F5">
        <w:rPr>
          <w:sz w:val="20"/>
          <w:lang w:val="de-DE"/>
        </w:rPr>
        <w:t>"[KAPITEL 6 </w:t>
      </w:r>
      <w:r w:rsidR="005B7A5C" w:rsidRPr="004676F5">
        <w:rPr>
          <w:sz w:val="20"/>
          <w:lang w:val="de-DE"/>
        </w:rPr>
        <w:t>- </w:t>
      </w:r>
      <w:r w:rsidRPr="004676F5">
        <w:rPr>
          <w:i/>
          <w:sz w:val="20"/>
          <w:lang w:val="de-DE"/>
        </w:rPr>
        <w:t>Vertrauende Beteiligte einer qualifizierten elektronischen Signatur oder eines qualifizierten elektronischen Siegels</w:t>
      </w:r>
      <w:r w:rsidRPr="004676F5">
        <w:rPr>
          <w:sz w:val="20"/>
          <w:lang w:val="de-DE"/>
        </w:rPr>
        <w:t>]</w:t>
      </w:r>
    </w:p>
    <w:p w14:paraId="19275B49" w14:textId="77777777" w:rsidR="00554519" w:rsidRPr="004676F5" w:rsidRDefault="00554519" w:rsidP="00B54AAB">
      <w:pPr>
        <w:jc w:val="center"/>
        <w:rPr>
          <w:sz w:val="20"/>
          <w:lang w:val="de-DE"/>
        </w:rPr>
      </w:pPr>
    </w:p>
    <w:p w14:paraId="15E5BC11" w14:textId="6F803C6C" w:rsidR="00554519" w:rsidRPr="004676F5" w:rsidRDefault="00554519" w:rsidP="00554519">
      <w:pPr>
        <w:jc w:val="both"/>
        <w:rPr>
          <w:sz w:val="20"/>
          <w:lang w:val="de-DE"/>
        </w:rPr>
      </w:pPr>
      <w:r w:rsidRPr="004676F5">
        <w:rPr>
          <w:i/>
          <w:sz w:val="20"/>
          <w:lang w:val="de-DE"/>
        </w:rPr>
        <w:t xml:space="preserve">[Unterteilung Kapitel 6 eingefügt durch </w:t>
      </w:r>
      <w:r w:rsidR="00BE0A56" w:rsidRPr="004676F5">
        <w:rPr>
          <w:i/>
          <w:sz w:val="20"/>
          <w:lang w:val="de-DE"/>
        </w:rPr>
        <w:t>Art. </w:t>
      </w:r>
      <w:r w:rsidRPr="004676F5">
        <w:rPr>
          <w:i/>
          <w:sz w:val="20"/>
          <w:lang w:val="de-DE"/>
        </w:rPr>
        <w:t>1</w:t>
      </w:r>
      <w:r w:rsidR="00602B9A" w:rsidRPr="004676F5">
        <w:rPr>
          <w:i/>
          <w:sz w:val="20"/>
          <w:lang w:val="de-DE"/>
        </w:rPr>
        <w:t>9</w:t>
      </w:r>
      <w:r w:rsidRPr="004676F5">
        <w:rPr>
          <w:i/>
          <w:sz w:val="20"/>
          <w:lang w:val="de-DE"/>
        </w:rPr>
        <w:t xml:space="preserve"> des G. vom 21. Juli 2016 (B.S. vom 28. September 2016)]</w:t>
      </w:r>
    </w:p>
    <w:p w14:paraId="296C82A9" w14:textId="77777777" w:rsidR="00554519" w:rsidRPr="004676F5" w:rsidRDefault="00554519" w:rsidP="00554519">
      <w:pPr>
        <w:jc w:val="both"/>
        <w:rPr>
          <w:sz w:val="20"/>
          <w:lang w:val="de-DE"/>
        </w:rPr>
      </w:pPr>
    </w:p>
    <w:p w14:paraId="42DD66DC" w14:textId="77777777" w:rsidR="00554519" w:rsidRPr="004676F5" w:rsidRDefault="00554519" w:rsidP="00554519">
      <w:pPr>
        <w:jc w:val="both"/>
        <w:rPr>
          <w:sz w:val="20"/>
          <w:lang w:val="de-DE"/>
        </w:rPr>
      </w:pPr>
    </w:p>
    <w:p w14:paraId="42BFDB1E" w14:textId="415FE37C" w:rsidR="00554519" w:rsidRPr="004676F5" w:rsidRDefault="00554519" w:rsidP="00554519">
      <w:pPr>
        <w:jc w:val="both"/>
        <w:rPr>
          <w:sz w:val="20"/>
          <w:lang w:val="de-DE"/>
        </w:rPr>
      </w:pPr>
      <w:r w:rsidRPr="004676F5">
        <w:rPr>
          <w:sz w:val="20"/>
          <w:lang w:val="de-DE"/>
        </w:rPr>
        <w:t>[</w:t>
      </w:r>
      <w:r w:rsidR="00BE0A56" w:rsidRPr="004676F5">
        <w:rPr>
          <w:sz w:val="20"/>
          <w:lang w:val="de-DE"/>
        </w:rPr>
        <w:t>Art. </w:t>
      </w:r>
      <w:r w:rsidRPr="004676F5">
        <w:rPr>
          <w:sz w:val="20"/>
          <w:lang w:val="de-DE"/>
        </w:rPr>
        <w:t>XII.34 </w:t>
      </w:r>
      <w:r w:rsidR="005B7A5C" w:rsidRPr="004676F5">
        <w:rPr>
          <w:sz w:val="20"/>
          <w:lang w:val="de-DE"/>
        </w:rPr>
        <w:t>- </w:t>
      </w:r>
      <w:r w:rsidRPr="004676F5">
        <w:rPr>
          <w:sz w:val="20"/>
          <w:lang w:val="de-DE"/>
        </w:rPr>
        <w:t>Für vertrauende Beteiligte einer qualifizierten elektronischen Signatur gilt die Vermutung der Gültigkeit dieser Signatur im Sinne der Artikel 32 und 33 der Verordnung 910/2014, wenn sie diese Signatur durch einen qualifizierten Validierungsdienst im Sinne dieser Artikel 32 und 33 überprüfen, bevor sie ihr vertrauen.]</w:t>
      </w:r>
    </w:p>
    <w:p w14:paraId="5545D587" w14:textId="77777777" w:rsidR="00554519" w:rsidRPr="004676F5" w:rsidRDefault="00554519" w:rsidP="00554519">
      <w:pPr>
        <w:jc w:val="both"/>
        <w:rPr>
          <w:sz w:val="20"/>
          <w:lang w:val="de-DE"/>
        </w:rPr>
      </w:pPr>
    </w:p>
    <w:p w14:paraId="731D8EC1" w14:textId="35A09EA1" w:rsidR="00554519" w:rsidRPr="004676F5" w:rsidRDefault="00554519" w:rsidP="00554519">
      <w:pPr>
        <w:jc w:val="both"/>
        <w:rPr>
          <w:sz w:val="20"/>
          <w:lang w:val="de-DE"/>
        </w:rPr>
      </w:pPr>
      <w:r w:rsidRPr="004676F5">
        <w:rPr>
          <w:i/>
          <w:sz w:val="20"/>
          <w:lang w:val="de-DE"/>
        </w:rPr>
        <w:t>[</w:t>
      </w:r>
      <w:r w:rsidR="00BE0A56" w:rsidRPr="004676F5">
        <w:rPr>
          <w:i/>
          <w:sz w:val="20"/>
          <w:lang w:val="de-DE"/>
        </w:rPr>
        <w:t>Art. </w:t>
      </w:r>
      <w:r w:rsidRPr="004676F5">
        <w:rPr>
          <w:i/>
          <w:sz w:val="20"/>
          <w:lang w:val="de-DE"/>
        </w:rPr>
        <w:t xml:space="preserve">XII.34 eingefügt durch </w:t>
      </w:r>
      <w:r w:rsidR="00BE0A56" w:rsidRPr="004676F5">
        <w:rPr>
          <w:i/>
          <w:sz w:val="20"/>
          <w:lang w:val="de-DE"/>
        </w:rPr>
        <w:t>Art. </w:t>
      </w:r>
      <w:r w:rsidR="00602B9A" w:rsidRPr="004676F5">
        <w:rPr>
          <w:i/>
          <w:sz w:val="20"/>
          <w:lang w:val="de-DE"/>
        </w:rPr>
        <w:t>20</w:t>
      </w:r>
      <w:r w:rsidRPr="004676F5">
        <w:rPr>
          <w:i/>
          <w:sz w:val="20"/>
          <w:lang w:val="de-DE"/>
        </w:rPr>
        <w:t xml:space="preserve"> des G. vom 21. Juli 2016 (B.S. vom 28. September 2016)]</w:t>
      </w:r>
    </w:p>
    <w:p w14:paraId="4FFA85D6" w14:textId="77777777" w:rsidR="00554519" w:rsidRPr="004676F5" w:rsidRDefault="00554519" w:rsidP="00554519">
      <w:pPr>
        <w:jc w:val="both"/>
        <w:rPr>
          <w:sz w:val="20"/>
          <w:lang w:val="de-DE"/>
        </w:rPr>
      </w:pPr>
    </w:p>
    <w:p w14:paraId="58ED492B" w14:textId="77777777" w:rsidR="00554519" w:rsidRPr="004676F5" w:rsidRDefault="00554519" w:rsidP="00554519">
      <w:pPr>
        <w:jc w:val="both"/>
        <w:rPr>
          <w:sz w:val="20"/>
          <w:lang w:val="de-DE"/>
        </w:rPr>
      </w:pPr>
    </w:p>
    <w:p w14:paraId="221CDC13" w14:textId="1B2D0E62" w:rsidR="00554519" w:rsidRPr="004676F5" w:rsidRDefault="00554519" w:rsidP="00554519">
      <w:pPr>
        <w:jc w:val="both"/>
        <w:rPr>
          <w:sz w:val="20"/>
          <w:lang w:val="de-DE"/>
        </w:rPr>
      </w:pPr>
      <w:r w:rsidRPr="004676F5">
        <w:rPr>
          <w:sz w:val="20"/>
          <w:lang w:val="de-DE"/>
        </w:rPr>
        <w:t>[</w:t>
      </w:r>
      <w:r w:rsidR="00BE0A56" w:rsidRPr="004676F5">
        <w:rPr>
          <w:sz w:val="20"/>
          <w:lang w:val="de-DE"/>
        </w:rPr>
        <w:t>Art. </w:t>
      </w:r>
      <w:r w:rsidRPr="004676F5">
        <w:rPr>
          <w:sz w:val="20"/>
          <w:lang w:val="de-DE"/>
        </w:rPr>
        <w:t>XII.35 </w:t>
      </w:r>
      <w:r w:rsidR="005B7A5C" w:rsidRPr="004676F5">
        <w:rPr>
          <w:sz w:val="20"/>
          <w:lang w:val="de-DE"/>
        </w:rPr>
        <w:t>- </w:t>
      </w:r>
      <w:r w:rsidRPr="004676F5">
        <w:rPr>
          <w:sz w:val="20"/>
          <w:lang w:val="de-DE"/>
        </w:rPr>
        <w:t>Für vertrauende Beteiligte eines qualifizierten elektronischen Siegels gilt die Vermutung der Gültigkeit dieses Siegels im Sinne von Artikel 40 der Verord</w:t>
      </w:r>
      <w:r w:rsidRPr="004676F5">
        <w:rPr>
          <w:sz w:val="20"/>
          <w:lang w:val="de-DE"/>
        </w:rPr>
        <w:softHyphen/>
        <w:t>nung 910/2014, wenn sie dieses Siegel durch einen qualifizierten Validierungsdienst im Sinne dieses Artikels 40 überprüfen, bevor sie ihm vertrauen.]</w:t>
      </w:r>
    </w:p>
    <w:p w14:paraId="48339C7E" w14:textId="77777777" w:rsidR="00554519" w:rsidRPr="004676F5" w:rsidRDefault="00554519" w:rsidP="00554519">
      <w:pPr>
        <w:jc w:val="both"/>
        <w:rPr>
          <w:sz w:val="20"/>
          <w:lang w:val="de-DE"/>
        </w:rPr>
      </w:pPr>
    </w:p>
    <w:p w14:paraId="7F077492" w14:textId="4CB3E5FF" w:rsidR="00554519" w:rsidRPr="004676F5" w:rsidRDefault="00554519" w:rsidP="00554519">
      <w:pPr>
        <w:jc w:val="both"/>
        <w:rPr>
          <w:sz w:val="20"/>
          <w:lang w:val="de-DE"/>
        </w:rPr>
      </w:pPr>
      <w:r w:rsidRPr="004676F5">
        <w:rPr>
          <w:i/>
          <w:sz w:val="20"/>
          <w:lang w:val="de-DE"/>
        </w:rPr>
        <w:t>[</w:t>
      </w:r>
      <w:r w:rsidR="00BE0A56" w:rsidRPr="004676F5">
        <w:rPr>
          <w:i/>
          <w:sz w:val="20"/>
          <w:lang w:val="de-DE"/>
        </w:rPr>
        <w:t>Art. </w:t>
      </w:r>
      <w:r w:rsidRPr="004676F5">
        <w:rPr>
          <w:i/>
          <w:sz w:val="20"/>
          <w:lang w:val="de-DE"/>
        </w:rPr>
        <w:t>XII.3</w:t>
      </w:r>
      <w:r w:rsidR="00643792" w:rsidRPr="004676F5">
        <w:rPr>
          <w:i/>
          <w:sz w:val="20"/>
          <w:lang w:val="de-DE"/>
        </w:rPr>
        <w:t>5</w:t>
      </w:r>
      <w:r w:rsidRPr="004676F5">
        <w:rPr>
          <w:i/>
          <w:sz w:val="20"/>
          <w:lang w:val="de-DE"/>
        </w:rPr>
        <w:t xml:space="preserve"> eingefügt durch </w:t>
      </w:r>
      <w:r w:rsidR="00BE0A56" w:rsidRPr="004676F5">
        <w:rPr>
          <w:i/>
          <w:sz w:val="20"/>
          <w:lang w:val="de-DE"/>
        </w:rPr>
        <w:t>Art. </w:t>
      </w:r>
      <w:r w:rsidR="00602B9A" w:rsidRPr="004676F5">
        <w:rPr>
          <w:i/>
          <w:sz w:val="20"/>
          <w:lang w:val="de-DE"/>
        </w:rPr>
        <w:t>2</w:t>
      </w:r>
      <w:r w:rsidRPr="004676F5">
        <w:rPr>
          <w:i/>
          <w:sz w:val="20"/>
          <w:lang w:val="de-DE"/>
        </w:rPr>
        <w:t>1 des G. vom 21. Juli 2016 (B.S. vom 28. September 2016)]</w:t>
      </w:r>
      <w:r w:rsidR="00602B9A" w:rsidRPr="004676F5">
        <w:rPr>
          <w:sz w:val="20"/>
          <w:lang w:val="de-DE"/>
        </w:rPr>
        <w:t>"</w:t>
      </w:r>
    </w:p>
    <w:p w14:paraId="5C100D55" w14:textId="77777777" w:rsidR="00554519" w:rsidRPr="004676F5" w:rsidRDefault="00554519" w:rsidP="00554519">
      <w:pPr>
        <w:jc w:val="both"/>
        <w:rPr>
          <w:sz w:val="20"/>
          <w:lang w:val="de-DE"/>
        </w:rPr>
      </w:pPr>
    </w:p>
    <w:p w14:paraId="6EDC5F4D" w14:textId="77777777" w:rsidR="00554519" w:rsidRPr="004676F5" w:rsidRDefault="00554519" w:rsidP="00B54AAB">
      <w:pPr>
        <w:jc w:val="center"/>
        <w:rPr>
          <w:lang w:val="de-DE"/>
        </w:rPr>
      </w:pPr>
    </w:p>
    <w:p w14:paraId="2B27CBC5" w14:textId="77777777" w:rsidR="00914447" w:rsidRPr="004676F5" w:rsidRDefault="00914447">
      <w:pPr>
        <w:rPr>
          <w:lang w:val="de-DE"/>
        </w:rPr>
      </w:pPr>
      <w:r w:rsidRPr="004676F5">
        <w:rPr>
          <w:lang w:val="de-DE"/>
        </w:rPr>
        <w:br w:type="page"/>
      </w:r>
    </w:p>
    <w:p w14:paraId="1740FC9E" w14:textId="107085AF" w:rsidR="00554519" w:rsidRPr="004676F5" w:rsidRDefault="00602B9A" w:rsidP="00B54AAB">
      <w:pPr>
        <w:jc w:val="center"/>
        <w:rPr>
          <w:lang w:val="de-DE"/>
        </w:rPr>
      </w:pPr>
      <w:r w:rsidRPr="004676F5">
        <w:rPr>
          <w:lang w:val="de-DE"/>
        </w:rPr>
        <w:lastRenderedPageBreak/>
        <w:t>[KAPITEL 7 </w:t>
      </w:r>
      <w:r w:rsidR="005B7A5C" w:rsidRPr="004676F5">
        <w:rPr>
          <w:lang w:val="de-DE"/>
        </w:rPr>
        <w:t>- </w:t>
      </w:r>
      <w:r w:rsidRPr="004676F5">
        <w:rPr>
          <w:i/>
          <w:lang w:val="de-DE"/>
        </w:rPr>
        <w:t>Einstellung der Tätigkeiten eines qualifizierten Vertrauensdienste</w:t>
      </w:r>
      <w:r w:rsidRPr="004676F5">
        <w:rPr>
          <w:i/>
          <w:lang w:val="de-DE"/>
        </w:rPr>
        <w:softHyphen/>
        <w:t>anbieters, der einen oder mehrere qualifizierte Vertrauensdienste erbringt</w:t>
      </w:r>
      <w:r w:rsidRPr="004676F5">
        <w:rPr>
          <w:lang w:val="de-DE"/>
        </w:rPr>
        <w:t>]</w:t>
      </w:r>
    </w:p>
    <w:p w14:paraId="332805C0" w14:textId="77777777" w:rsidR="00602B9A" w:rsidRPr="004676F5" w:rsidRDefault="00602B9A" w:rsidP="00B54AAB">
      <w:pPr>
        <w:jc w:val="center"/>
        <w:rPr>
          <w:lang w:val="de-DE"/>
        </w:rPr>
      </w:pPr>
    </w:p>
    <w:p w14:paraId="2171741D" w14:textId="75503782" w:rsidR="00602B9A" w:rsidRPr="004676F5" w:rsidRDefault="00602B9A" w:rsidP="00602B9A">
      <w:pPr>
        <w:jc w:val="both"/>
        <w:rPr>
          <w:i/>
          <w:lang w:val="de-DE"/>
        </w:rPr>
      </w:pPr>
      <w:r w:rsidRPr="004676F5">
        <w:rPr>
          <w:i/>
          <w:lang w:val="de-DE"/>
        </w:rPr>
        <w:t xml:space="preserve">[Unterteilung Kapitel 7 eingefügt durch </w:t>
      </w:r>
      <w:r w:rsidR="00BE0A56" w:rsidRPr="004676F5">
        <w:rPr>
          <w:i/>
          <w:lang w:val="de-DE"/>
        </w:rPr>
        <w:t>Art. </w:t>
      </w:r>
      <w:r w:rsidRPr="004676F5">
        <w:rPr>
          <w:i/>
          <w:lang w:val="de-DE"/>
        </w:rPr>
        <w:t>22 des G. vom 21. Juli 2016 (B.S. vom 28. September 2016)]</w:t>
      </w:r>
    </w:p>
    <w:p w14:paraId="18803C74" w14:textId="77777777" w:rsidR="00892EC9" w:rsidRPr="004676F5" w:rsidRDefault="00892EC9" w:rsidP="00602B9A">
      <w:pPr>
        <w:jc w:val="both"/>
        <w:rPr>
          <w:lang w:val="de-DE"/>
        </w:rPr>
      </w:pPr>
    </w:p>
    <w:p w14:paraId="0A9BDF4C" w14:textId="77777777" w:rsidR="00892EC9" w:rsidRPr="004676F5" w:rsidRDefault="00892EC9" w:rsidP="00602B9A">
      <w:pPr>
        <w:jc w:val="both"/>
        <w:rPr>
          <w:lang w:val="de-DE"/>
        </w:rPr>
      </w:pPr>
    </w:p>
    <w:p w14:paraId="18D22015" w14:textId="739CD965" w:rsidR="00892EC9" w:rsidRPr="004676F5" w:rsidRDefault="00892EC9" w:rsidP="00892EC9">
      <w:pPr>
        <w:ind w:firstLine="708"/>
        <w:jc w:val="both"/>
        <w:rPr>
          <w:lang w:val="de-DE"/>
        </w:rPr>
      </w:pPr>
      <w:r w:rsidRPr="004676F5">
        <w:rPr>
          <w:lang w:val="de-DE"/>
        </w:rPr>
        <w:t>[</w:t>
      </w:r>
      <w:r w:rsidR="00BE0A56" w:rsidRPr="004676F5">
        <w:rPr>
          <w:b/>
          <w:lang w:val="de-DE"/>
        </w:rPr>
        <w:t>Art. </w:t>
      </w:r>
      <w:r w:rsidRPr="004676F5">
        <w:rPr>
          <w:b/>
          <w:lang w:val="de-DE"/>
        </w:rPr>
        <w:t>XII.36</w:t>
      </w:r>
      <w:r w:rsidRPr="004676F5">
        <w:rPr>
          <w:lang w:val="de-DE"/>
        </w:rPr>
        <w:t> </w:t>
      </w:r>
      <w:r w:rsidR="005B7A5C" w:rsidRPr="004676F5">
        <w:rPr>
          <w:lang w:val="de-DE"/>
        </w:rPr>
        <w:t>- </w:t>
      </w:r>
      <w:r w:rsidRPr="004676F5">
        <w:rPr>
          <w:lang w:val="de-DE"/>
        </w:rPr>
        <w:t xml:space="preserve">Unbeschadet der Artikel 17 Absatz 4 Buchstabe </w:t>
      </w:r>
      <w:r w:rsidRPr="004676F5">
        <w:rPr>
          <w:i/>
          <w:lang w:val="de-DE"/>
        </w:rPr>
        <w:t>i)</w:t>
      </w:r>
      <w:r w:rsidRPr="004676F5">
        <w:rPr>
          <w:lang w:val="de-DE"/>
        </w:rPr>
        <w:t xml:space="preserve"> und 24 Absatz 2 Buchstabe </w:t>
      </w:r>
      <w:r w:rsidRPr="004676F5">
        <w:rPr>
          <w:i/>
          <w:lang w:val="de-DE"/>
        </w:rPr>
        <w:t>h)</w:t>
      </w:r>
      <w:r w:rsidRPr="004676F5">
        <w:rPr>
          <w:lang w:val="de-DE"/>
        </w:rPr>
        <w:t xml:space="preserve"> und </w:t>
      </w:r>
      <w:r w:rsidRPr="004676F5">
        <w:rPr>
          <w:i/>
          <w:lang w:val="de-DE"/>
        </w:rPr>
        <w:t>i)</w:t>
      </w:r>
      <w:r w:rsidRPr="004676F5">
        <w:rPr>
          <w:lang w:val="de-DE"/>
        </w:rPr>
        <w:t xml:space="preserve"> der Verordnung 910/2014 setzt ein qualifizierter Vertrauensdienste</w:t>
      </w:r>
      <w:r w:rsidRPr="004676F5">
        <w:rPr>
          <w:lang w:val="de-DE"/>
        </w:rPr>
        <w:softHyphen/>
        <w:t>anbieter, der einen oder mehrere qualifizierte Vertrauensdienste erbringt, in angemessener Frist die Aufsichtsstelle von seiner Absicht in Kenntnis, zumindest eine seiner Tätigkeiten einzustellen, und von jeglicher Maßnahme beziehungsweise Begebenheit, die zur Einstellung zumindest einer seiner Tätigkeiten führen könnte. In diesem Fall muss die Übernahme dieser Tätigkeiten durch einen anderen qualifizierten Vertrauensdiensteanbieter angestrebt werden.</w:t>
      </w:r>
    </w:p>
    <w:p w14:paraId="50258551" w14:textId="77777777" w:rsidR="00892EC9" w:rsidRPr="004676F5" w:rsidRDefault="00892EC9" w:rsidP="00892EC9">
      <w:pPr>
        <w:ind w:firstLine="708"/>
        <w:jc w:val="both"/>
        <w:rPr>
          <w:lang w:val="de-DE"/>
        </w:rPr>
      </w:pPr>
    </w:p>
    <w:p w14:paraId="4A785D66" w14:textId="77777777" w:rsidR="00892EC9" w:rsidRPr="004676F5" w:rsidRDefault="00892EC9" w:rsidP="00892EC9">
      <w:pPr>
        <w:ind w:firstLine="708"/>
        <w:jc w:val="both"/>
        <w:rPr>
          <w:lang w:val="de-DE"/>
        </w:rPr>
      </w:pPr>
      <w:r w:rsidRPr="004676F5">
        <w:rPr>
          <w:lang w:val="de-DE"/>
        </w:rPr>
        <w:t xml:space="preserve">Ist eine Übernahme der Tätigkeiten, die aus der Ausstellung qualifizierter Zertifikate bestehen, nicht möglich, widerruft der Diensteanbieter die Zertifikate zwei Monate nach entsprechender Inkenntnissetzung der Inhaber und setzt sie von den Maßnahmen in Kenntnis, die im Hinblick auf die Einhaltung der in Artikel 24 Absatz 2 Buchstabe </w:t>
      </w:r>
      <w:r w:rsidRPr="004676F5">
        <w:rPr>
          <w:i/>
          <w:lang w:val="de-DE"/>
        </w:rPr>
        <w:t>h)</w:t>
      </w:r>
      <w:r w:rsidRPr="004676F5">
        <w:rPr>
          <w:lang w:val="de-DE"/>
        </w:rPr>
        <w:t xml:space="preserve"> der Verord</w:t>
      </w:r>
      <w:r w:rsidRPr="004676F5">
        <w:rPr>
          <w:lang w:val="de-DE"/>
        </w:rPr>
        <w:softHyphen/>
        <w:t>nung 910/2014 erwähnten Verpflichtung getroffen worden sind.</w:t>
      </w:r>
    </w:p>
    <w:p w14:paraId="06A3FE41" w14:textId="77777777" w:rsidR="00892EC9" w:rsidRPr="004676F5" w:rsidRDefault="00892EC9" w:rsidP="00892EC9">
      <w:pPr>
        <w:ind w:firstLine="708"/>
        <w:jc w:val="both"/>
        <w:rPr>
          <w:lang w:val="de-DE"/>
        </w:rPr>
      </w:pPr>
    </w:p>
    <w:p w14:paraId="5C5DC22D" w14:textId="77777777" w:rsidR="00892EC9" w:rsidRPr="004676F5" w:rsidRDefault="00892EC9" w:rsidP="00892EC9">
      <w:pPr>
        <w:ind w:firstLine="708"/>
        <w:jc w:val="both"/>
        <w:rPr>
          <w:lang w:val="de-DE"/>
        </w:rPr>
      </w:pPr>
      <w:r w:rsidRPr="004676F5">
        <w:rPr>
          <w:lang w:val="de-DE"/>
        </w:rPr>
        <w:t>Ist eine Übernahme der Tätigkeiten, die aus einem qualifizierten Dienst für elektronische Archivierung bestehen, nicht möglich, setzt der Diensteanbieter Nutzer seines Dienstes unverzüglich vom Zeitpunkt der Einstellung der Tätigkeiten und von den Maßnahmen in Kenntnis, die im Hinblick auf die Einhaltung der in Artikel 24 Absatz 2 Buchstabe </w:t>
      </w:r>
      <w:r w:rsidRPr="004676F5">
        <w:rPr>
          <w:i/>
          <w:lang w:val="de-DE"/>
        </w:rPr>
        <w:t>h)</w:t>
      </w:r>
      <w:r w:rsidRPr="004676F5">
        <w:rPr>
          <w:lang w:val="de-DE"/>
        </w:rPr>
        <w:t xml:space="preserve"> der Verordnung 910/2014 erwähnten Verpflichtung getroffen worden sind, und bietet er ihnen die Möglichkeit, die Daten binnen drei Monaten und ohne zusätzliche Kosten einem anderen qualifizierten Vertrauensdiensteanbieter zu übertragen oder sich die Daten gemäß Artikel XII.38 zurückgeben zu lassen.</w:t>
      </w:r>
    </w:p>
    <w:p w14:paraId="13EF2BE4" w14:textId="77777777" w:rsidR="00892EC9" w:rsidRPr="004676F5" w:rsidRDefault="00892EC9" w:rsidP="00892EC9">
      <w:pPr>
        <w:ind w:firstLine="708"/>
        <w:jc w:val="both"/>
        <w:rPr>
          <w:lang w:val="de-DE"/>
        </w:rPr>
      </w:pPr>
    </w:p>
    <w:p w14:paraId="597380C0" w14:textId="77777777" w:rsidR="00892EC9" w:rsidRPr="004676F5" w:rsidRDefault="00892EC9" w:rsidP="00892EC9">
      <w:pPr>
        <w:ind w:firstLine="708"/>
        <w:jc w:val="both"/>
        <w:rPr>
          <w:lang w:val="de-DE"/>
        </w:rPr>
      </w:pPr>
      <w:r w:rsidRPr="004676F5">
        <w:rPr>
          <w:lang w:val="de-DE"/>
        </w:rPr>
        <w:t>Ist eine Übernahme der Tätigkeiten, die aus einem qualifizierten Dienst für die Zustellung von elektronischen Einschreibesendungen bestehen, nicht möglich, setzt der Diensteanbieter Nutzer seines Dienstes unverzüglich vom Zeitpunkt der Einstellung der Tätigkeiten und von den Maßnahmen in Kenntnis, die im Hinblick auf die Einhaltung der in Artikel 24 Absatz 2 Buchstabe </w:t>
      </w:r>
      <w:r w:rsidRPr="004676F5">
        <w:rPr>
          <w:i/>
          <w:lang w:val="de-DE"/>
        </w:rPr>
        <w:t>h)</w:t>
      </w:r>
      <w:r w:rsidRPr="004676F5">
        <w:rPr>
          <w:lang w:val="de-DE"/>
        </w:rPr>
        <w:t xml:space="preserve"> der Verordnung 910/2014 erwähnten Verpflichtung getroffen worden sind, und sorgt er dafür, dass den Empfängern vor diesem Zeitpunkt vorgenommene Sendungen zugestellt werden.</w:t>
      </w:r>
    </w:p>
    <w:p w14:paraId="3F1F250F" w14:textId="77777777" w:rsidR="00892EC9" w:rsidRPr="004676F5" w:rsidRDefault="00892EC9" w:rsidP="00892EC9">
      <w:pPr>
        <w:ind w:firstLine="708"/>
        <w:jc w:val="both"/>
        <w:rPr>
          <w:lang w:val="de-DE"/>
        </w:rPr>
      </w:pPr>
    </w:p>
    <w:p w14:paraId="28DD8C17" w14:textId="77777777" w:rsidR="00892EC9" w:rsidRPr="004676F5" w:rsidRDefault="00892EC9" w:rsidP="00892EC9">
      <w:pPr>
        <w:ind w:firstLine="708"/>
        <w:jc w:val="both"/>
        <w:rPr>
          <w:lang w:val="de-DE"/>
        </w:rPr>
      </w:pPr>
      <w:r w:rsidRPr="004676F5">
        <w:rPr>
          <w:lang w:val="de-DE"/>
        </w:rPr>
        <w:t>Ist eine Übernahme der Tätigkeiten, die aus einem qualifizierten Dienst für elektronische Zeitstempel bestehen, nicht möglich, setzt der Diensteanbieter Nutzer seines Dienstes unverzüglich vom Zeitpunkt der Einstellung der Tätigkeiten und von den Maßnahmen in Kenntnis, die im Hinblick auf die Einhaltung der in Artikel 24 Absatz 2 Buchstabe </w:t>
      </w:r>
      <w:r w:rsidRPr="004676F5">
        <w:rPr>
          <w:i/>
          <w:lang w:val="de-DE"/>
        </w:rPr>
        <w:t>h)</w:t>
      </w:r>
      <w:r w:rsidRPr="004676F5">
        <w:rPr>
          <w:lang w:val="de-DE"/>
        </w:rPr>
        <w:t xml:space="preserve"> der Verordnung 910/2014 erwähnten Verpflichtung getroffen worden sind.]</w:t>
      </w:r>
    </w:p>
    <w:p w14:paraId="56540773" w14:textId="77777777" w:rsidR="00892EC9" w:rsidRPr="004676F5" w:rsidRDefault="00892EC9" w:rsidP="00892EC9">
      <w:pPr>
        <w:ind w:firstLine="708"/>
        <w:jc w:val="both"/>
        <w:rPr>
          <w:lang w:val="de-DE"/>
        </w:rPr>
      </w:pPr>
    </w:p>
    <w:p w14:paraId="70AEB059" w14:textId="1BF35618" w:rsidR="00892EC9" w:rsidRPr="004676F5" w:rsidRDefault="00892EC9" w:rsidP="00892EC9">
      <w:pPr>
        <w:jc w:val="both"/>
        <w:rPr>
          <w:i/>
          <w:lang w:val="de-DE"/>
        </w:rPr>
      </w:pPr>
      <w:r w:rsidRPr="004676F5">
        <w:rPr>
          <w:i/>
          <w:lang w:val="de-DE"/>
        </w:rPr>
        <w:t>[</w:t>
      </w:r>
      <w:r w:rsidR="00BE0A56" w:rsidRPr="004676F5">
        <w:rPr>
          <w:i/>
          <w:lang w:val="de-DE"/>
        </w:rPr>
        <w:t>Art. </w:t>
      </w:r>
      <w:r w:rsidRPr="004676F5">
        <w:rPr>
          <w:i/>
          <w:lang w:val="de-DE"/>
        </w:rPr>
        <w:t xml:space="preserve">XII.36 eingefügt durch </w:t>
      </w:r>
      <w:r w:rsidR="00BE0A56" w:rsidRPr="004676F5">
        <w:rPr>
          <w:i/>
          <w:lang w:val="de-DE"/>
        </w:rPr>
        <w:t>Art. </w:t>
      </w:r>
      <w:r w:rsidRPr="004676F5">
        <w:rPr>
          <w:i/>
          <w:lang w:val="de-DE"/>
        </w:rPr>
        <w:t>23 des G. vom 21. Juli 2016 (B.S. vom 28. September 2016)]</w:t>
      </w:r>
    </w:p>
    <w:p w14:paraId="78B043E9" w14:textId="77777777" w:rsidR="00892EC9" w:rsidRPr="004676F5" w:rsidRDefault="00892EC9" w:rsidP="00892EC9">
      <w:pPr>
        <w:jc w:val="both"/>
        <w:rPr>
          <w:lang w:val="de-DE"/>
        </w:rPr>
      </w:pPr>
    </w:p>
    <w:p w14:paraId="1D2A2BF8" w14:textId="77777777" w:rsidR="00892EC9" w:rsidRPr="004676F5" w:rsidRDefault="00892EC9" w:rsidP="00892EC9">
      <w:pPr>
        <w:jc w:val="both"/>
        <w:rPr>
          <w:lang w:val="de-DE"/>
        </w:rPr>
      </w:pPr>
    </w:p>
    <w:p w14:paraId="75E59957" w14:textId="17A44269" w:rsidR="00892EC9" w:rsidRPr="004676F5" w:rsidRDefault="00892EC9" w:rsidP="00892EC9">
      <w:pPr>
        <w:jc w:val="both"/>
        <w:rPr>
          <w:lang w:val="de-DE"/>
        </w:rPr>
      </w:pPr>
      <w:r w:rsidRPr="004676F5">
        <w:rPr>
          <w:lang w:val="de-DE"/>
        </w:rPr>
        <w:tab/>
        <w:t>[</w:t>
      </w:r>
      <w:r w:rsidR="00BE0A56" w:rsidRPr="004676F5">
        <w:rPr>
          <w:b/>
          <w:lang w:val="de-DE"/>
        </w:rPr>
        <w:t>Art. </w:t>
      </w:r>
      <w:r w:rsidRPr="004676F5">
        <w:rPr>
          <w:b/>
          <w:lang w:val="de-DE"/>
        </w:rPr>
        <w:t>XII.37</w:t>
      </w:r>
      <w:r w:rsidRPr="004676F5">
        <w:rPr>
          <w:lang w:val="de-DE"/>
        </w:rPr>
        <w:t> </w:t>
      </w:r>
      <w:r w:rsidR="005B7A5C" w:rsidRPr="004676F5">
        <w:rPr>
          <w:lang w:val="de-DE"/>
        </w:rPr>
        <w:t>- </w:t>
      </w:r>
      <w:r w:rsidRPr="004676F5">
        <w:rPr>
          <w:lang w:val="de-DE"/>
        </w:rPr>
        <w:t xml:space="preserve">Ein qualifizierter Vertrauensdiensteanbieter, der seine Tätigkeiten aus bestimmten von seinem Willen unabhängigen Gründen oder wegen Konkurs einstellen muss, setzt unverzüglich die Aufsichtsstelle davon in Kenntnis. Er setzt Nutzer seiner Dienste von den Maßnahmen in Kenntnis, die im Hinblick auf die Einhaltung der in Artikel 24 Absatz 2 </w:t>
      </w:r>
      <w:r w:rsidRPr="004676F5">
        <w:rPr>
          <w:lang w:val="de-DE"/>
        </w:rPr>
        <w:lastRenderedPageBreak/>
        <w:t>Buchstabe </w:t>
      </w:r>
      <w:r w:rsidRPr="004676F5">
        <w:rPr>
          <w:i/>
          <w:lang w:val="de-DE"/>
        </w:rPr>
        <w:t>h)</w:t>
      </w:r>
      <w:r w:rsidRPr="004676F5">
        <w:rPr>
          <w:lang w:val="de-DE"/>
        </w:rPr>
        <w:t xml:space="preserve"> der Verordnung 910/2014 erwähnten Verpflichtung getroffen worden sind, und widerruft gegebenenfalls die qualifizierten Zertifikate.]</w:t>
      </w:r>
    </w:p>
    <w:p w14:paraId="04388D0E" w14:textId="77777777" w:rsidR="00892EC9" w:rsidRPr="004676F5" w:rsidRDefault="00892EC9" w:rsidP="00892EC9">
      <w:pPr>
        <w:jc w:val="both"/>
        <w:rPr>
          <w:lang w:val="de-DE"/>
        </w:rPr>
      </w:pPr>
    </w:p>
    <w:p w14:paraId="0887FBAD" w14:textId="21FFAE9E" w:rsidR="00892EC9" w:rsidRPr="004676F5" w:rsidRDefault="00892EC9" w:rsidP="00892EC9">
      <w:pPr>
        <w:jc w:val="both"/>
        <w:rPr>
          <w:i/>
          <w:lang w:val="de-DE"/>
        </w:rPr>
      </w:pPr>
      <w:r w:rsidRPr="004676F5">
        <w:rPr>
          <w:i/>
          <w:lang w:val="de-DE"/>
        </w:rPr>
        <w:t>[</w:t>
      </w:r>
      <w:r w:rsidR="00BE0A56" w:rsidRPr="004676F5">
        <w:rPr>
          <w:i/>
          <w:lang w:val="de-DE"/>
        </w:rPr>
        <w:t>Art. </w:t>
      </w:r>
      <w:r w:rsidRPr="004676F5">
        <w:rPr>
          <w:i/>
          <w:lang w:val="de-DE"/>
        </w:rPr>
        <w:t xml:space="preserve">XII.37 eingefügt durch </w:t>
      </w:r>
      <w:r w:rsidR="00BE0A56" w:rsidRPr="004676F5">
        <w:rPr>
          <w:i/>
          <w:lang w:val="de-DE"/>
        </w:rPr>
        <w:t>Art. </w:t>
      </w:r>
      <w:r w:rsidRPr="004676F5">
        <w:rPr>
          <w:i/>
          <w:lang w:val="de-DE"/>
        </w:rPr>
        <w:t>24 des G. vom 21. Juli 2016 (B.S. vom 28. September 2016)]</w:t>
      </w:r>
    </w:p>
    <w:p w14:paraId="63CEC80E" w14:textId="77777777" w:rsidR="00892EC9" w:rsidRPr="004676F5" w:rsidRDefault="00892EC9" w:rsidP="00892EC9">
      <w:pPr>
        <w:jc w:val="both"/>
        <w:rPr>
          <w:lang w:val="de-DE"/>
        </w:rPr>
      </w:pPr>
    </w:p>
    <w:p w14:paraId="0EDDA15F" w14:textId="77777777" w:rsidR="00892EC9" w:rsidRPr="004676F5" w:rsidRDefault="00892EC9" w:rsidP="00892EC9">
      <w:pPr>
        <w:jc w:val="both"/>
        <w:rPr>
          <w:lang w:val="de-DE"/>
        </w:rPr>
      </w:pPr>
    </w:p>
    <w:p w14:paraId="67847CA5" w14:textId="3A4AC3C3" w:rsidR="00892EC9" w:rsidRPr="004676F5" w:rsidRDefault="00892EC9" w:rsidP="00892EC9">
      <w:pPr>
        <w:ind w:firstLine="708"/>
        <w:jc w:val="both"/>
        <w:rPr>
          <w:lang w:val="de-DE"/>
        </w:rPr>
      </w:pPr>
      <w:r w:rsidRPr="004676F5">
        <w:rPr>
          <w:lang w:val="de-DE"/>
        </w:rPr>
        <w:t>[</w:t>
      </w:r>
      <w:r w:rsidR="00BE0A56" w:rsidRPr="004676F5">
        <w:rPr>
          <w:b/>
          <w:lang w:val="de-DE"/>
        </w:rPr>
        <w:t>Art. </w:t>
      </w:r>
      <w:r w:rsidRPr="004676F5">
        <w:rPr>
          <w:b/>
          <w:lang w:val="de-DE"/>
        </w:rPr>
        <w:t>XII.38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Endet aus gleich welchem Grund ein Vertrag über einen qualifi</w:t>
      </w:r>
      <w:r w:rsidRPr="004676F5">
        <w:rPr>
          <w:lang w:val="de-DE"/>
        </w:rPr>
        <w:softHyphen/>
        <w:t>zierten Dienst für elektronische Archivierung, darf der Anbieter des qualifizierten Dienstes für elektronische Archivierung Nutzern des Dienstes keinerlei Recht auf Zurückbehaltung von Daten entgegensetzen.</w:t>
      </w:r>
    </w:p>
    <w:p w14:paraId="60AEBC8D" w14:textId="77777777" w:rsidR="00892EC9" w:rsidRPr="004676F5" w:rsidRDefault="00892EC9" w:rsidP="00892EC9">
      <w:pPr>
        <w:ind w:firstLine="708"/>
        <w:jc w:val="both"/>
        <w:rPr>
          <w:lang w:val="de-DE"/>
        </w:rPr>
      </w:pPr>
    </w:p>
    <w:p w14:paraId="2A845BAB" w14:textId="2B107208" w:rsidR="00892EC9" w:rsidRPr="004676F5" w:rsidRDefault="00892EC9" w:rsidP="00892EC9">
      <w:pPr>
        <w:ind w:firstLine="708"/>
        <w:jc w:val="both"/>
        <w:rPr>
          <w:lang w:val="de-DE"/>
        </w:rPr>
      </w:pPr>
      <w:r w:rsidRPr="004676F5">
        <w:rPr>
          <w:lang w:val="de-DE"/>
        </w:rPr>
        <w:t>§ 2 </w:t>
      </w:r>
      <w:r w:rsidR="005B7A5C" w:rsidRPr="004676F5">
        <w:rPr>
          <w:lang w:val="de-DE"/>
        </w:rPr>
        <w:t>- </w:t>
      </w:r>
      <w:r w:rsidRPr="004676F5">
        <w:rPr>
          <w:lang w:val="de-DE"/>
        </w:rPr>
        <w:t>Endet aus gleich welchem Grund ein Vertrag über einen qualifizierten Dienst für elektronische Archivierung, befragt der Anbieter des qualifizierten Dienstes für elektronische Archivierung die jeweiligen Nutzer des Dienstes per Einschreibesendung zu der Bestimmung, die den ihm anvertrauten Daten zu geben ist.</w:t>
      </w:r>
    </w:p>
    <w:p w14:paraId="32BD7EEC" w14:textId="77777777" w:rsidR="00892EC9" w:rsidRPr="004676F5" w:rsidRDefault="00892EC9" w:rsidP="00892EC9">
      <w:pPr>
        <w:ind w:firstLine="708"/>
        <w:jc w:val="both"/>
        <w:rPr>
          <w:lang w:val="de-DE"/>
        </w:rPr>
      </w:pPr>
    </w:p>
    <w:p w14:paraId="2ABAE85F" w14:textId="36DD9BFC" w:rsidR="00892EC9" w:rsidRPr="004676F5" w:rsidRDefault="00892EC9" w:rsidP="00892EC9">
      <w:pPr>
        <w:ind w:firstLine="708"/>
        <w:jc w:val="both"/>
        <w:rPr>
          <w:lang w:val="de-DE"/>
        </w:rPr>
      </w:pPr>
      <w:r w:rsidRPr="004676F5">
        <w:rPr>
          <w:lang w:val="de-DE"/>
        </w:rPr>
        <w:t>In Ermangelung einer Antwort des Nutzers binnen drei Monaten nach der in Absatz 1 erwähnten Befragung darf der Diensteanbieter die Daten vernichten, außer wenn ein ausdrückliches Verbot einer zuständigen Gerichts</w:t>
      </w:r>
      <w:r w:rsidR="005B7A5C" w:rsidRPr="004676F5">
        <w:rPr>
          <w:lang w:val="de-DE"/>
        </w:rPr>
        <w:t>- </w:t>
      </w:r>
      <w:r w:rsidRPr="004676F5">
        <w:rPr>
          <w:lang w:val="de-DE"/>
        </w:rPr>
        <w:t>oder Verwaltungsbehörde vorliegt und unter Vorbehalt der Anwendung der Gesetzes</w:t>
      </w:r>
      <w:r w:rsidR="005B7A5C" w:rsidRPr="004676F5">
        <w:rPr>
          <w:lang w:val="de-DE"/>
        </w:rPr>
        <w:t>- </w:t>
      </w:r>
      <w:r w:rsidRPr="004676F5">
        <w:rPr>
          <w:lang w:val="de-DE"/>
        </w:rPr>
        <w:t>und Verordnungsbestimmungen über die Aufbewahrung und Vernichtung der Archive des öffentlichen Sektors, insbesondere des Artikels 5 des Archivgesetzes vom 24. Juni 1955.</w:t>
      </w:r>
    </w:p>
    <w:p w14:paraId="5F7146AC" w14:textId="77777777" w:rsidR="00892EC9" w:rsidRPr="004676F5" w:rsidRDefault="00892EC9" w:rsidP="00892EC9">
      <w:pPr>
        <w:ind w:firstLine="708"/>
        <w:jc w:val="both"/>
        <w:rPr>
          <w:lang w:val="de-DE"/>
        </w:rPr>
      </w:pPr>
    </w:p>
    <w:p w14:paraId="17B11D3D" w14:textId="0CCD76E1" w:rsidR="00892EC9" w:rsidRPr="004676F5" w:rsidRDefault="00892EC9" w:rsidP="00892EC9">
      <w:pPr>
        <w:ind w:firstLine="708"/>
        <w:jc w:val="both"/>
        <w:rPr>
          <w:lang w:val="de-DE"/>
        </w:rPr>
      </w:pPr>
      <w:r w:rsidRPr="004676F5">
        <w:rPr>
          <w:lang w:val="de-DE"/>
        </w:rPr>
        <w:t>Fordert der Nutzer des Dienstes die Rückgabe der Daten oder eine Übertragung zu einem anderen Diensteanbieter, gibt der Diensteanbieter die Daten und gegebenenfalls die in Artikel 24 Absatz 2 Buchstabe </w:t>
      </w:r>
      <w:r w:rsidRPr="004676F5">
        <w:rPr>
          <w:i/>
          <w:lang w:val="de-DE"/>
        </w:rPr>
        <w:t>h)</w:t>
      </w:r>
      <w:r w:rsidRPr="004676F5">
        <w:rPr>
          <w:lang w:val="de-DE"/>
        </w:rPr>
        <w:t xml:space="preserve"> der Verordnung 910/2014 erwähnten Info</w:t>
      </w:r>
      <w:r w:rsidR="0081732A" w:rsidRPr="004676F5">
        <w:rPr>
          <w:lang w:val="de-DE"/>
        </w:rPr>
        <w:t>rmationen dem Nutzer des Dien</w:t>
      </w:r>
      <w:r w:rsidRPr="004676F5">
        <w:rPr>
          <w:lang w:val="de-DE"/>
        </w:rPr>
        <w:t>stes zurück oder überträgt sie dem anderen bestimmten Diensteanbieter, und zwar in angemessener Frist und in einer mit dem Nutzer des Dienstes beziehungsweise mit dem neuen Diensteanbieter mit Einverständnis des Nutzers des Dienstes vereinbarten lesbaren und verwertbaren Form.]</w:t>
      </w:r>
    </w:p>
    <w:p w14:paraId="00BB5E18" w14:textId="77777777" w:rsidR="00892EC9" w:rsidRPr="004676F5" w:rsidRDefault="00892EC9" w:rsidP="00892EC9">
      <w:pPr>
        <w:ind w:firstLine="708"/>
        <w:jc w:val="both"/>
        <w:rPr>
          <w:lang w:val="de-DE"/>
        </w:rPr>
      </w:pPr>
    </w:p>
    <w:p w14:paraId="2F156349" w14:textId="6299C470" w:rsidR="00892EC9" w:rsidRDefault="00892EC9" w:rsidP="00892EC9">
      <w:pPr>
        <w:jc w:val="both"/>
        <w:rPr>
          <w:iCs/>
          <w:lang w:val="de-DE"/>
        </w:rPr>
      </w:pPr>
      <w:r w:rsidRPr="004676F5">
        <w:rPr>
          <w:i/>
          <w:lang w:val="de-DE"/>
        </w:rPr>
        <w:t>[</w:t>
      </w:r>
      <w:r w:rsidR="00BE0A56" w:rsidRPr="004676F5">
        <w:rPr>
          <w:i/>
          <w:lang w:val="de-DE"/>
        </w:rPr>
        <w:t>Art. </w:t>
      </w:r>
      <w:r w:rsidRPr="004676F5">
        <w:rPr>
          <w:i/>
          <w:lang w:val="de-DE"/>
        </w:rPr>
        <w:t xml:space="preserve">XII.38 eingefügt durch </w:t>
      </w:r>
      <w:r w:rsidR="00BE0A56" w:rsidRPr="004676F5">
        <w:rPr>
          <w:i/>
          <w:lang w:val="de-DE"/>
        </w:rPr>
        <w:t>Art. </w:t>
      </w:r>
      <w:r w:rsidRPr="004676F5">
        <w:rPr>
          <w:i/>
          <w:lang w:val="de-DE"/>
        </w:rPr>
        <w:t>25 des G. vom 21. Juli 2016 (B.S. vom 28. September 2016)]</w:t>
      </w:r>
    </w:p>
    <w:p w14:paraId="41356B2E" w14:textId="77777777" w:rsidR="00872F21" w:rsidRDefault="00872F21" w:rsidP="00892EC9">
      <w:pPr>
        <w:jc w:val="both"/>
        <w:rPr>
          <w:iCs/>
          <w:lang w:val="de-DE"/>
        </w:rPr>
      </w:pPr>
    </w:p>
    <w:p w14:paraId="544A403C" w14:textId="77777777" w:rsidR="00872F21" w:rsidRPr="00872F21" w:rsidRDefault="00872F21" w:rsidP="00892EC9">
      <w:pPr>
        <w:jc w:val="both"/>
        <w:rPr>
          <w:iCs/>
          <w:lang w:val="de-DE"/>
        </w:rPr>
      </w:pPr>
    </w:p>
    <w:p w14:paraId="5FD4F7A6" w14:textId="77777777" w:rsidR="00872F21" w:rsidRDefault="00872F21">
      <w:pPr>
        <w:rPr>
          <w:lang w:val="de-DE"/>
        </w:rPr>
      </w:pPr>
      <w:r>
        <w:rPr>
          <w:lang w:val="de-DE"/>
        </w:rPr>
        <w:br w:type="page"/>
      </w:r>
    </w:p>
    <w:p w14:paraId="5674B5C3" w14:textId="79D31062" w:rsidR="00872F21" w:rsidRPr="008F23A3" w:rsidRDefault="00872F21" w:rsidP="00872F21">
      <w:pPr>
        <w:jc w:val="center"/>
        <w:rPr>
          <w:b/>
          <w:bCs/>
          <w:lang w:val="de-DE"/>
        </w:rPr>
      </w:pPr>
      <w:r>
        <w:rPr>
          <w:b/>
          <w:bCs/>
          <w:lang w:val="de-DE"/>
        </w:rPr>
        <w:lastRenderedPageBreak/>
        <w:t>[</w:t>
      </w:r>
      <w:r w:rsidRPr="00872F21">
        <w:rPr>
          <w:b/>
          <w:bCs/>
          <w:lang w:val="de-DE"/>
        </w:rPr>
        <w:t xml:space="preserve">TITEL 3 - </w:t>
      </w:r>
      <w:r w:rsidRPr="00872F21">
        <w:rPr>
          <w:b/>
          <w:bCs/>
          <w:i/>
          <w:iCs/>
          <w:lang w:val="de-DE"/>
        </w:rPr>
        <w:t>Bestimmte Regeln in Bezug auf den Rechtsrahmen für die Datenwirtschaft</w:t>
      </w:r>
      <w:r w:rsidR="008F23A3">
        <w:rPr>
          <w:b/>
          <w:bCs/>
          <w:lang w:val="de-DE"/>
        </w:rPr>
        <w:t>]</w:t>
      </w:r>
    </w:p>
    <w:p w14:paraId="51162C96" w14:textId="77777777" w:rsidR="00872F21" w:rsidRDefault="00872F21" w:rsidP="00872F21">
      <w:pPr>
        <w:jc w:val="both"/>
        <w:rPr>
          <w:lang w:val="de-DE"/>
        </w:rPr>
      </w:pPr>
    </w:p>
    <w:p w14:paraId="12401F12" w14:textId="3FC65864" w:rsidR="00872F21" w:rsidRDefault="00872F21" w:rsidP="00872F21">
      <w:pPr>
        <w:jc w:val="both"/>
        <w:rPr>
          <w:lang w:val="de-DE"/>
        </w:rPr>
      </w:pPr>
      <w:r>
        <w:rPr>
          <w:i/>
          <w:iCs/>
          <w:lang w:val="de-DE"/>
        </w:rPr>
        <w:t>[Unterteilung Titel 3 eingefügt durch Art. 10 des G. vom 15. Mai 2024 (B.S. vom 7. Juni 2024)]</w:t>
      </w:r>
    </w:p>
    <w:p w14:paraId="3E8A8619" w14:textId="77777777" w:rsidR="00872F21" w:rsidRDefault="00872F21" w:rsidP="00872F21">
      <w:pPr>
        <w:rPr>
          <w:lang w:val="de-DE"/>
        </w:rPr>
      </w:pPr>
    </w:p>
    <w:p w14:paraId="3E4DD65E" w14:textId="77777777" w:rsidR="00872F21" w:rsidRDefault="00872F21" w:rsidP="00872F21">
      <w:pPr>
        <w:rPr>
          <w:lang w:val="de-DE"/>
        </w:rPr>
      </w:pPr>
    </w:p>
    <w:p w14:paraId="7DF58712" w14:textId="59E34211" w:rsidR="00872F21" w:rsidRDefault="00872F21" w:rsidP="00872F21">
      <w:pPr>
        <w:jc w:val="center"/>
        <w:rPr>
          <w:lang w:val="de-DE"/>
        </w:rPr>
      </w:pPr>
      <w:r>
        <w:rPr>
          <w:lang w:val="de-DE"/>
        </w:rPr>
        <w:t>[</w:t>
      </w:r>
      <w:r w:rsidRPr="00285483">
        <w:rPr>
          <w:lang w:val="de-DE"/>
        </w:rPr>
        <w:t>K</w:t>
      </w:r>
      <w:r>
        <w:rPr>
          <w:lang w:val="de-DE"/>
        </w:rPr>
        <w:t>APITEL</w:t>
      </w:r>
      <w:r w:rsidRPr="00285483">
        <w:rPr>
          <w:lang w:val="de-DE"/>
        </w:rPr>
        <w:t xml:space="preserve"> 1 - </w:t>
      </w:r>
      <w:r w:rsidRPr="00872F21">
        <w:rPr>
          <w:i/>
          <w:iCs/>
          <w:lang w:val="de-DE"/>
        </w:rPr>
        <w:t>Anwendungsbereich</w:t>
      </w:r>
      <w:r>
        <w:rPr>
          <w:lang w:val="de-DE"/>
        </w:rPr>
        <w:t>]</w:t>
      </w:r>
    </w:p>
    <w:p w14:paraId="29BD7CB3" w14:textId="77777777" w:rsidR="00872F21" w:rsidRDefault="00872F21" w:rsidP="00872F21">
      <w:pPr>
        <w:jc w:val="both"/>
        <w:rPr>
          <w:lang w:val="de-DE"/>
        </w:rPr>
      </w:pPr>
    </w:p>
    <w:p w14:paraId="05674864" w14:textId="06583CE5" w:rsidR="00872F21" w:rsidRDefault="00872F21" w:rsidP="00872F21">
      <w:pPr>
        <w:jc w:val="both"/>
        <w:rPr>
          <w:lang w:val="de-DE"/>
        </w:rPr>
      </w:pPr>
      <w:r>
        <w:rPr>
          <w:i/>
          <w:iCs/>
          <w:lang w:val="de-DE"/>
        </w:rPr>
        <w:t>[Unterteilung Kapitel 1 eingefügt durch Art. 11 des G. vom 15. Mai 2024 (B.S. vom 7. Juni 2024)]</w:t>
      </w:r>
    </w:p>
    <w:p w14:paraId="7EE295F0" w14:textId="77777777" w:rsidR="00872F21" w:rsidRDefault="00872F21" w:rsidP="00872F21">
      <w:pPr>
        <w:jc w:val="both"/>
        <w:rPr>
          <w:lang w:val="de-DE"/>
        </w:rPr>
      </w:pPr>
    </w:p>
    <w:p w14:paraId="53BF62C4" w14:textId="77777777" w:rsidR="00872F21" w:rsidRDefault="00872F21" w:rsidP="00872F21">
      <w:pPr>
        <w:jc w:val="both"/>
        <w:rPr>
          <w:lang w:val="de-DE"/>
        </w:rPr>
      </w:pPr>
    </w:p>
    <w:p w14:paraId="6A36AA9F" w14:textId="04B462C5" w:rsidR="00872F21" w:rsidRDefault="00872F21" w:rsidP="00872F21">
      <w:pPr>
        <w:jc w:val="both"/>
        <w:rPr>
          <w:lang w:val="de-DE"/>
        </w:rPr>
      </w:pPr>
      <w:r>
        <w:rPr>
          <w:lang w:val="de-DE"/>
        </w:rPr>
        <w:tab/>
        <w:t>[</w:t>
      </w:r>
      <w:r w:rsidRPr="00872F21">
        <w:rPr>
          <w:b/>
          <w:bCs/>
          <w:lang w:val="de-DE"/>
        </w:rPr>
        <w:t>Art. XII.39</w:t>
      </w:r>
      <w:r w:rsidRPr="00285483">
        <w:rPr>
          <w:lang w:val="de-DE"/>
        </w:rPr>
        <w:t> - Vorliegender Titel führt die Verordnung 2022/868 hinsichtlich des Rechtsrahmens für Anbieter von Datenvermittlungsdiensten und datenaltruistische Organisationen, die in Belgien ansässig sind oder einen gesetzlichen Vertreter in Belgien haben, durch.</w:t>
      </w:r>
      <w:r>
        <w:rPr>
          <w:lang w:val="de-DE"/>
        </w:rPr>
        <w:t>]</w:t>
      </w:r>
    </w:p>
    <w:p w14:paraId="4A58F017" w14:textId="77777777" w:rsidR="00872F21" w:rsidRDefault="00872F21" w:rsidP="00872F21">
      <w:pPr>
        <w:jc w:val="both"/>
        <w:rPr>
          <w:lang w:val="de-DE"/>
        </w:rPr>
      </w:pPr>
    </w:p>
    <w:p w14:paraId="7696C173" w14:textId="219C2FE0" w:rsidR="00872F21" w:rsidRPr="00872F21" w:rsidRDefault="00872F21" w:rsidP="00872F21">
      <w:pPr>
        <w:jc w:val="both"/>
        <w:rPr>
          <w:i/>
          <w:iCs/>
          <w:lang w:val="de-DE"/>
        </w:rPr>
      </w:pPr>
      <w:r>
        <w:rPr>
          <w:i/>
          <w:iCs/>
          <w:lang w:val="de-DE"/>
        </w:rPr>
        <w:t>[Art. XII.39 eingefügt durch Art. 12 des G. vom 15. Mai 2024 (B.S. vom 7. Juni 2024)]</w:t>
      </w:r>
    </w:p>
    <w:p w14:paraId="5A37A204" w14:textId="77777777" w:rsidR="00872F21" w:rsidRDefault="00872F21" w:rsidP="00872F21">
      <w:pPr>
        <w:jc w:val="both"/>
        <w:rPr>
          <w:lang w:val="de-DE"/>
        </w:rPr>
      </w:pPr>
    </w:p>
    <w:p w14:paraId="34D66219" w14:textId="77777777" w:rsidR="00872F21" w:rsidRDefault="00872F21" w:rsidP="00872F21">
      <w:pPr>
        <w:jc w:val="both"/>
        <w:rPr>
          <w:lang w:val="de-DE"/>
        </w:rPr>
      </w:pPr>
    </w:p>
    <w:p w14:paraId="683160EE" w14:textId="77777777" w:rsidR="00B86275" w:rsidRDefault="00B86275">
      <w:pPr>
        <w:rPr>
          <w:lang w:val="de-DE"/>
        </w:rPr>
      </w:pPr>
      <w:r>
        <w:rPr>
          <w:lang w:val="de-DE"/>
        </w:rPr>
        <w:br w:type="page"/>
      </w:r>
    </w:p>
    <w:p w14:paraId="48576F30" w14:textId="4A70E5EC" w:rsidR="00872F21" w:rsidRDefault="00872F21" w:rsidP="00872F21">
      <w:pPr>
        <w:jc w:val="center"/>
        <w:rPr>
          <w:lang w:val="de-DE"/>
        </w:rPr>
      </w:pPr>
      <w:r>
        <w:rPr>
          <w:lang w:val="de-DE"/>
        </w:rPr>
        <w:lastRenderedPageBreak/>
        <w:t>[</w:t>
      </w:r>
      <w:r w:rsidRPr="00285483">
        <w:rPr>
          <w:lang w:val="de-DE"/>
        </w:rPr>
        <w:t>K</w:t>
      </w:r>
      <w:r>
        <w:rPr>
          <w:lang w:val="de-DE"/>
        </w:rPr>
        <w:t>APITEL</w:t>
      </w:r>
      <w:r w:rsidRPr="00285483">
        <w:rPr>
          <w:lang w:val="de-DE"/>
        </w:rPr>
        <w:t xml:space="preserve"> 2 - </w:t>
      </w:r>
      <w:r w:rsidRPr="00872F21">
        <w:rPr>
          <w:i/>
          <w:iCs/>
          <w:lang w:val="de-DE"/>
        </w:rPr>
        <w:t>Anmeldung von Datenvermittlungsdiensten</w:t>
      </w:r>
      <w:r>
        <w:rPr>
          <w:lang w:val="de-DE"/>
        </w:rPr>
        <w:t>]</w:t>
      </w:r>
    </w:p>
    <w:p w14:paraId="1EA13E43" w14:textId="77777777" w:rsidR="00872F21" w:rsidRDefault="00872F21" w:rsidP="00872F21">
      <w:pPr>
        <w:jc w:val="both"/>
        <w:rPr>
          <w:lang w:val="de-DE"/>
        </w:rPr>
      </w:pPr>
    </w:p>
    <w:p w14:paraId="2FFE4B02" w14:textId="3203EB79" w:rsidR="00872F21" w:rsidRDefault="00872F21" w:rsidP="00872F21">
      <w:pPr>
        <w:jc w:val="both"/>
        <w:rPr>
          <w:lang w:val="de-DE"/>
        </w:rPr>
      </w:pPr>
      <w:r>
        <w:rPr>
          <w:i/>
          <w:iCs/>
          <w:lang w:val="de-DE"/>
        </w:rPr>
        <w:t>[Unterteilung Kapitel 2 eingefügt durch Art. 13 des G. vom 15. Mai 2024 (B.S. vom 7. Juni 2024)]</w:t>
      </w:r>
    </w:p>
    <w:p w14:paraId="4076214D" w14:textId="77777777" w:rsidR="00872F21" w:rsidRDefault="00872F21" w:rsidP="00872F21">
      <w:pPr>
        <w:jc w:val="both"/>
        <w:rPr>
          <w:lang w:val="de-DE"/>
        </w:rPr>
      </w:pPr>
    </w:p>
    <w:p w14:paraId="0186621E" w14:textId="77777777" w:rsidR="00872F21" w:rsidRDefault="00872F21" w:rsidP="00872F21">
      <w:pPr>
        <w:jc w:val="both"/>
        <w:rPr>
          <w:lang w:val="de-DE"/>
        </w:rPr>
      </w:pPr>
    </w:p>
    <w:p w14:paraId="097B413D" w14:textId="00AA0930" w:rsidR="00872F21" w:rsidRDefault="00872F21" w:rsidP="00872F21">
      <w:pPr>
        <w:jc w:val="center"/>
        <w:rPr>
          <w:lang w:val="de-DE"/>
        </w:rPr>
      </w:pPr>
      <w:r>
        <w:rPr>
          <w:lang w:val="de-DE"/>
        </w:rPr>
        <w:t>[</w:t>
      </w:r>
      <w:r w:rsidRPr="00872F21">
        <w:rPr>
          <w:i/>
          <w:iCs/>
          <w:lang w:val="de-DE"/>
        </w:rPr>
        <w:t>Abschnitt 1</w:t>
      </w:r>
      <w:r w:rsidRPr="00285483">
        <w:rPr>
          <w:lang w:val="de-DE"/>
        </w:rPr>
        <w:t> - Anforderungen in Bezug auf die Ausübung der Tätigkeit als Datenvermittlungsdienst</w:t>
      </w:r>
      <w:r>
        <w:rPr>
          <w:lang w:val="de-DE"/>
        </w:rPr>
        <w:t>]</w:t>
      </w:r>
    </w:p>
    <w:p w14:paraId="203A1D75" w14:textId="77777777" w:rsidR="00872F21" w:rsidRDefault="00872F21" w:rsidP="00872F21">
      <w:pPr>
        <w:jc w:val="both"/>
        <w:rPr>
          <w:lang w:val="de-DE"/>
        </w:rPr>
      </w:pPr>
    </w:p>
    <w:p w14:paraId="4CB7034D" w14:textId="66D5112D" w:rsidR="00872F21" w:rsidRDefault="00872F21" w:rsidP="00872F21">
      <w:pPr>
        <w:jc w:val="both"/>
        <w:rPr>
          <w:lang w:val="de-DE"/>
        </w:rPr>
      </w:pPr>
      <w:r>
        <w:rPr>
          <w:i/>
          <w:iCs/>
          <w:lang w:val="de-DE"/>
        </w:rPr>
        <w:t>[Unterteilung Abschnitt 1 eingefügt durch Art. 14 des G. vom 15. Mai 2024 (B.S. vom 7. Juni 2024)]</w:t>
      </w:r>
    </w:p>
    <w:p w14:paraId="0A8EC093" w14:textId="77777777" w:rsidR="00872F21" w:rsidRDefault="00872F21" w:rsidP="00872F21">
      <w:pPr>
        <w:jc w:val="both"/>
        <w:rPr>
          <w:lang w:val="de-DE"/>
        </w:rPr>
      </w:pPr>
    </w:p>
    <w:p w14:paraId="09F8410A" w14:textId="77777777" w:rsidR="00872F21" w:rsidRDefault="00872F21" w:rsidP="00872F21">
      <w:pPr>
        <w:jc w:val="both"/>
        <w:rPr>
          <w:lang w:val="de-DE"/>
        </w:rPr>
      </w:pPr>
    </w:p>
    <w:p w14:paraId="6198EC46" w14:textId="77777777" w:rsidR="00872F21" w:rsidRPr="00285483" w:rsidRDefault="00872F21" w:rsidP="00872F21">
      <w:pPr>
        <w:jc w:val="both"/>
        <w:rPr>
          <w:lang w:val="de-DE"/>
        </w:rPr>
      </w:pPr>
      <w:r>
        <w:rPr>
          <w:lang w:val="de-DE"/>
        </w:rPr>
        <w:tab/>
        <w:t>[</w:t>
      </w:r>
      <w:r w:rsidRPr="00872F21">
        <w:rPr>
          <w:b/>
          <w:bCs/>
          <w:lang w:val="de-DE"/>
        </w:rPr>
        <w:t>Art. XII.40</w:t>
      </w:r>
      <w:r w:rsidRPr="00285483">
        <w:rPr>
          <w:lang w:val="de-DE"/>
        </w:rPr>
        <w:t> - § 1 - Gemäß den Artikeln 10 und 11 der Verordnung 2022/868 dürfen Anbieter von Datenvermittlungsdiensten ihre Datenvermittlungstätigkeit nur ausüben, wenn sie ihre Tätigkeit zuvor bei dem Eintragungsorgan angemeldet haben.</w:t>
      </w:r>
    </w:p>
    <w:p w14:paraId="42AD2B3F" w14:textId="77777777" w:rsidR="00872F21" w:rsidRPr="00285483" w:rsidRDefault="00872F21" w:rsidP="00872F21">
      <w:pPr>
        <w:jc w:val="both"/>
        <w:rPr>
          <w:lang w:val="de-DE"/>
        </w:rPr>
      </w:pPr>
    </w:p>
    <w:p w14:paraId="0860E65C" w14:textId="77777777" w:rsidR="00872F21" w:rsidRPr="00285483" w:rsidRDefault="00872F21" w:rsidP="00872F21">
      <w:pPr>
        <w:jc w:val="both"/>
        <w:rPr>
          <w:lang w:val="de-DE"/>
        </w:rPr>
      </w:pPr>
      <w:r w:rsidRPr="00285483">
        <w:rPr>
          <w:lang w:val="de-DE"/>
        </w:rPr>
        <w:tab/>
        <w:t>§ 2 - Die Anmeldung eines Anbieters von Datenvermittlungsdiensten darf nur dann für gültig erklärt werden, wenn dieser die in den Artikeln 11, 12 und 31 der Verordnung 2022/868 festgelegten Bedingungen erfüllt.</w:t>
      </w:r>
    </w:p>
    <w:p w14:paraId="0871FC11" w14:textId="77777777" w:rsidR="00872F21" w:rsidRPr="00285483" w:rsidRDefault="00872F21" w:rsidP="00872F21">
      <w:pPr>
        <w:jc w:val="both"/>
        <w:rPr>
          <w:lang w:val="de-DE"/>
        </w:rPr>
      </w:pPr>
    </w:p>
    <w:p w14:paraId="17DFC4D6" w14:textId="77777777" w:rsidR="00872F21" w:rsidRPr="00285483" w:rsidRDefault="00872F21" w:rsidP="00872F21">
      <w:pPr>
        <w:jc w:val="both"/>
        <w:rPr>
          <w:lang w:val="de-DE"/>
        </w:rPr>
      </w:pPr>
      <w:r w:rsidRPr="00285483">
        <w:rPr>
          <w:lang w:val="de-DE"/>
        </w:rPr>
        <w:tab/>
        <w:t>§ 3 - In Ergänzung zu den Artikeln 11, 12 und 31 der Verordnung 2022/868 darf eine juristische Person nur dann registriert werden, wenn sie die folgenden Bedingungen erfüllt:</w:t>
      </w:r>
    </w:p>
    <w:p w14:paraId="7E8F031B" w14:textId="77777777" w:rsidR="00872F21" w:rsidRPr="00285483" w:rsidRDefault="00872F21" w:rsidP="00872F21">
      <w:pPr>
        <w:jc w:val="both"/>
        <w:rPr>
          <w:lang w:val="de-DE"/>
        </w:rPr>
      </w:pPr>
    </w:p>
    <w:p w14:paraId="4F7719F2" w14:textId="77777777" w:rsidR="00872F21" w:rsidRPr="00285483" w:rsidRDefault="00872F21" w:rsidP="00872F21">
      <w:pPr>
        <w:jc w:val="both"/>
        <w:rPr>
          <w:lang w:val="de-DE"/>
        </w:rPr>
      </w:pPr>
      <w:r w:rsidRPr="00285483">
        <w:rPr>
          <w:lang w:val="de-DE"/>
        </w:rPr>
        <w:tab/>
        <w:t>1. Sie ist in der Zentralen Datenbank der Unternehmen eingetragen.</w:t>
      </w:r>
    </w:p>
    <w:p w14:paraId="272B2B90" w14:textId="77777777" w:rsidR="00872F21" w:rsidRPr="00285483" w:rsidRDefault="00872F21" w:rsidP="00872F21">
      <w:pPr>
        <w:jc w:val="both"/>
        <w:rPr>
          <w:lang w:val="de-DE"/>
        </w:rPr>
      </w:pPr>
    </w:p>
    <w:p w14:paraId="3E32F433" w14:textId="77777777" w:rsidR="00872F21" w:rsidRPr="00285483" w:rsidRDefault="00872F21" w:rsidP="00872F21">
      <w:pPr>
        <w:jc w:val="both"/>
        <w:rPr>
          <w:lang w:val="de-DE"/>
        </w:rPr>
      </w:pPr>
      <w:r w:rsidRPr="00285483">
        <w:rPr>
          <w:lang w:val="de-DE"/>
        </w:rPr>
        <w:tab/>
        <w:t>2. Sie hat ein gesetzliches Verwaltungsorgan, das ausschließlich aus Personen besteht, die folgende Bedingungen erfüllen:</w:t>
      </w:r>
    </w:p>
    <w:p w14:paraId="43CF2DE8" w14:textId="77777777" w:rsidR="00872F21" w:rsidRPr="00285483" w:rsidRDefault="00872F21" w:rsidP="00872F21">
      <w:pPr>
        <w:jc w:val="both"/>
        <w:rPr>
          <w:lang w:val="de-DE"/>
        </w:rPr>
      </w:pPr>
    </w:p>
    <w:p w14:paraId="7E20EDE7" w14:textId="77777777" w:rsidR="00872F21" w:rsidRPr="00285483" w:rsidRDefault="00872F21" w:rsidP="00872F21">
      <w:pPr>
        <w:jc w:val="both"/>
        <w:rPr>
          <w:lang w:val="de-DE"/>
        </w:rPr>
      </w:pPr>
      <w:r w:rsidRPr="00285483">
        <w:rPr>
          <w:lang w:val="de-DE"/>
        </w:rPr>
        <w:tab/>
      </w:r>
      <w:r w:rsidRPr="00285483">
        <w:rPr>
          <w:i/>
          <w:iCs/>
          <w:lang w:val="de-DE"/>
        </w:rPr>
        <w:t>a)</w:t>
      </w:r>
      <w:r w:rsidRPr="00285483">
        <w:rPr>
          <w:lang w:val="de-DE"/>
        </w:rPr>
        <w:t> Ihnen dürfen die bürgerlichen und politischen Rechte nicht aberkannt sein.</w:t>
      </w:r>
    </w:p>
    <w:p w14:paraId="5053A1D7" w14:textId="77777777" w:rsidR="00872F21" w:rsidRPr="00285483" w:rsidRDefault="00872F21" w:rsidP="00872F21">
      <w:pPr>
        <w:jc w:val="both"/>
        <w:rPr>
          <w:lang w:val="de-DE"/>
        </w:rPr>
      </w:pPr>
    </w:p>
    <w:p w14:paraId="337496BD" w14:textId="77777777" w:rsidR="00872F21" w:rsidRPr="00285483" w:rsidRDefault="00872F21" w:rsidP="00872F21">
      <w:pPr>
        <w:jc w:val="both"/>
        <w:rPr>
          <w:lang w:val="de-DE"/>
        </w:rPr>
      </w:pPr>
      <w:r w:rsidRPr="00285483">
        <w:rPr>
          <w:lang w:val="de-DE"/>
        </w:rPr>
        <w:tab/>
      </w:r>
      <w:r w:rsidRPr="00285483">
        <w:rPr>
          <w:i/>
          <w:iCs/>
          <w:lang w:val="de-DE"/>
        </w:rPr>
        <w:t>b)</w:t>
      </w:r>
      <w:r w:rsidRPr="00285483">
        <w:rPr>
          <w:lang w:val="de-DE"/>
        </w:rPr>
        <w:t> Über sie darf nicht der Konkurs eröffnet worden sein, ohne dass sie rehabilitiert worden wären.</w:t>
      </w:r>
    </w:p>
    <w:p w14:paraId="1AC79E23" w14:textId="77777777" w:rsidR="00872F21" w:rsidRPr="00285483" w:rsidRDefault="00872F21" w:rsidP="00872F21">
      <w:pPr>
        <w:jc w:val="both"/>
        <w:rPr>
          <w:lang w:val="de-DE"/>
        </w:rPr>
      </w:pPr>
    </w:p>
    <w:p w14:paraId="770A7782" w14:textId="77777777" w:rsidR="00872F21" w:rsidRPr="00285483" w:rsidRDefault="00872F21" w:rsidP="00872F21">
      <w:pPr>
        <w:jc w:val="both"/>
        <w:rPr>
          <w:lang w:val="de-DE"/>
        </w:rPr>
      </w:pPr>
      <w:r w:rsidRPr="00285483">
        <w:rPr>
          <w:lang w:val="de-DE"/>
        </w:rPr>
        <w:tab/>
        <w:t>3. Sie hat eine tatsächliche Leitung, die ausschließlich von Personen wahrgenommen wird, die die in Nr. 2 Buchstabe </w:t>
      </w:r>
      <w:r w:rsidRPr="00285483">
        <w:rPr>
          <w:i/>
          <w:iCs/>
          <w:lang w:val="de-DE"/>
        </w:rPr>
        <w:t>a)</w:t>
      </w:r>
      <w:r w:rsidRPr="00285483">
        <w:rPr>
          <w:lang w:val="de-DE"/>
        </w:rPr>
        <w:t xml:space="preserve"> und </w:t>
      </w:r>
      <w:r w:rsidRPr="00285483">
        <w:rPr>
          <w:i/>
          <w:iCs/>
          <w:lang w:val="de-DE"/>
        </w:rPr>
        <w:t>b)</w:t>
      </w:r>
      <w:r w:rsidRPr="00285483">
        <w:rPr>
          <w:lang w:val="de-DE"/>
        </w:rPr>
        <w:t xml:space="preserve"> vorgesehenen Bedingungen erfüllen.</w:t>
      </w:r>
    </w:p>
    <w:p w14:paraId="6797AB6A" w14:textId="77777777" w:rsidR="00872F21" w:rsidRPr="00285483" w:rsidRDefault="00872F21" w:rsidP="00872F21">
      <w:pPr>
        <w:jc w:val="both"/>
        <w:rPr>
          <w:lang w:val="de-DE"/>
        </w:rPr>
      </w:pPr>
    </w:p>
    <w:p w14:paraId="4097DEA5" w14:textId="77777777" w:rsidR="00872F21" w:rsidRPr="00285483" w:rsidRDefault="00872F21" w:rsidP="00872F21">
      <w:pPr>
        <w:jc w:val="both"/>
        <w:rPr>
          <w:lang w:val="de-DE"/>
        </w:rPr>
      </w:pPr>
      <w:r w:rsidRPr="00285483">
        <w:rPr>
          <w:lang w:val="de-DE"/>
        </w:rPr>
        <w:tab/>
        <w:t>4. Sie hat wirtschaftliche Eigentümer wie in Artikel 4 Nr. 27 Absatz 2 Buchstabe </w:t>
      </w:r>
      <w:r w:rsidRPr="00285483">
        <w:rPr>
          <w:i/>
          <w:iCs/>
          <w:lang w:val="de-DE"/>
        </w:rPr>
        <w:t>a)</w:t>
      </w:r>
      <w:r w:rsidRPr="00285483">
        <w:rPr>
          <w:lang w:val="de-DE"/>
        </w:rPr>
        <w:t xml:space="preserve"> und </w:t>
      </w:r>
      <w:r w:rsidRPr="00285483">
        <w:rPr>
          <w:i/>
          <w:iCs/>
          <w:lang w:val="de-DE"/>
        </w:rPr>
        <w:t>c)</w:t>
      </w:r>
      <w:r w:rsidRPr="00285483">
        <w:rPr>
          <w:lang w:val="de-DE"/>
        </w:rPr>
        <w:t xml:space="preserve"> des Gesetzes vom 18. September 2017 zur Verhinderung von Geldwäsche und Terrorismusfinanzierung und zur Beschränkung der Nutzung von Bargeld erwähnt, die alle die in Nr. 2 Buchstabe </w:t>
      </w:r>
      <w:r w:rsidRPr="00285483">
        <w:rPr>
          <w:i/>
          <w:iCs/>
          <w:lang w:val="de-DE"/>
        </w:rPr>
        <w:t>a)</w:t>
      </w:r>
      <w:r w:rsidRPr="00285483">
        <w:rPr>
          <w:lang w:val="de-DE"/>
        </w:rPr>
        <w:t xml:space="preserve"> und </w:t>
      </w:r>
      <w:r w:rsidRPr="00285483">
        <w:rPr>
          <w:i/>
          <w:iCs/>
          <w:lang w:val="de-DE"/>
        </w:rPr>
        <w:t>b)</w:t>
      </w:r>
      <w:r w:rsidRPr="00285483">
        <w:rPr>
          <w:lang w:val="de-DE"/>
        </w:rPr>
        <w:t xml:space="preserve"> vorgesehenen Bedingungen erfüllen.</w:t>
      </w:r>
    </w:p>
    <w:p w14:paraId="1D453151" w14:textId="77777777" w:rsidR="00872F21" w:rsidRPr="00285483" w:rsidRDefault="00872F21" w:rsidP="00872F21">
      <w:pPr>
        <w:jc w:val="both"/>
        <w:rPr>
          <w:lang w:val="de-DE"/>
        </w:rPr>
      </w:pPr>
    </w:p>
    <w:p w14:paraId="0281ADF2" w14:textId="77777777" w:rsidR="00872F21" w:rsidRPr="00285483" w:rsidRDefault="00872F21" w:rsidP="00872F21">
      <w:pPr>
        <w:jc w:val="both"/>
        <w:rPr>
          <w:lang w:val="de-DE"/>
        </w:rPr>
      </w:pPr>
      <w:r w:rsidRPr="00285483">
        <w:rPr>
          <w:lang w:val="de-DE"/>
        </w:rPr>
        <w:tab/>
        <w:t>5. Sie hat Geschäftsführer und Verwalter, die gesetzlich ermächtigt sind, eine Berufstätigkeit in Belgien auszuüben.</w:t>
      </w:r>
    </w:p>
    <w:p w14:paraId="43FAD543" w14:textId="77777777" w:rsidR="00872F21" w:rsidRPr="00285483" w:rsidRDefault="00872F21" w:rsidP="00872F21">
      <w:pPr>
        <w:jc w:val="both"/>
        <w:rPr>
          <w:lang w:val="de-DE"/>
        </w:rPr>
      </w:pPr>
    </w:p>
    <w:p w14:paraId="08D4359A" w14:textId="77777777" w:rsidR="00872F21" w:rsidRPr="00285483" w:rsidRDefault="00872F21" w:rsidP="00872F21">
      <w:pPr>
        <w:jc w:val="both"/>
        <w:rPr>
          <w:lang w:val="de-DE"/>
        </w:rPr>
      </w:pPr>
      <w:r w:rsidRPr="00285483">
        <w:rPr>
          <w:lang w:val="de-DE"/>
        </w:rPr>
        <w:tab/>
        <w:t>§ 4 - Gemäß Artikel 11 Absatz 8 der Verordnung 2022/868 gibt das Eintragungsorgan auf Antrag des Anbieters von Datenvermittlungsdiensten innerhalb einer Woche nach einer ordnungsgemäß und vollständig abgeschlossenen Anmeldung eine standardisierte Erklärung ab, in der es bestätigt, dass der Anbieter von Datenvermittlungsdiensten die Anmeldung vorgenommen hat.</w:t>
      </w:r>
    </w:p>
    <w:p w14:paraId="5018F949" w14:textId="77777777" w:rsidR="00872F21" w:rsidRPr="00285483" w:rsidRDefault="00872F21" w:rsidP="00872F21">
      <w:pPr>
        <w:jc w:val="both"/>
        <w:rPr>
          <w:lang w:val="de-DE"/>
        </w:rPr>
      </w:pPr>
    </w:p>
    <w:p w14:paraId="69204307" w14:textId="77777777" w:rsidR="00872F21" w:rsidRPr="00285483" w:rsidRDefault="00872F21" w:rsidP="00872F21">
      <w:pPr>
        <w:jc w:val="both"/>
        <w:rPr>
          <w:lang w:val="de-DE"/>
        </w:rPr>
      </w:pPr>
      <w:r w:rsidRPr="00285483">
        <w:rPr>
          <w:lang w:val="de-DE"/>
        </w:rPr>
        <w:lastRenderedPageBreak/>
        <w:tab/>
        <w:t>§ 5 - Gemäß Artikel 11 Absatz 9 der Verordnung 2022/868 bestätigt das Eintragungsorgan dem Anbieter von Datenvermittlungsdiensten auf dessen Antrag, dass die in vorliegendem Artikel erwähnten Bedingungen erfüllt sind.</w:t>
      </w:r>
    </w:p>
    <w:p w14:paraId="15B857C2" w14:textId="77777777" w:rsidR="00872F21" w:rsidRPr="00285483" w:rsidRDefault="00872F21" w:rsidP="00872F21">
      <w:pPr>
        <w:jc w:val="both"/>
        <w:rPr>
          <w:lang w:val="de-DE"/>
        </w:rPr>
      </w:pPr>
    </w:p>
    <w:p w14:paraId="5C0B7CC0" w14:textId="77777777" w:rsidR="00872F21" w:rsidRPr="00285483" w:rsidRDefault="00872F21" w:rsidP="00872F21">
      <w:pPr>
        <w:jc w:val="both"/>
        <w:rPr>
          <w:lang w:val="de-DE"/>
        </w:rPr>
      </w:pPr>
      <w:r w:rsidRPr="00285483">
        <w:rPr>
          <w:lang w:val="de-DE"/>
        </w:rPr>
        <w:tab/>
        <w:t>§ 6 - Anbieter von Datenvermittlungsdiensten dürfen bei der schriftlichen und mündlichen Kommunikation die Bezeichnung "in der Union anerkannter Anbieter von Datenvermittlungsdiensten" führen und das Logo der Europäischen Union verwenden wie gemäß Artikel 11 Absatz 9 der Verordnung 2022/868 bestimmt, sofern sie die in § 5 erwähnte Bestätigung erhalten haben.</w:t>
      </w:r>
    </w:p>
    <w:p w14:paraId="3FBDB255" w14:textId="77777777" w:rsidR="00872F21" w:rsidRPr="00285483" w:rsidRDefault="00872F21" w:rsidP="00872F21">
      <w:pPr>
        <w:jc w:val="both"/>
        <w:rPr>
          <w:lang w:val="de-DE"/>
        </w:rPr>
      </w:pPr>
    </w:p>
    <w:p w14:paraId="1545E0D8" w14:textId="71CB349A" w:rsidR="00872F21" w:rsidRDefault="00872F21" w:rsidP="00872F21">
      <w:pPr>
        <w:jc w:val="both"/>
        <w:rPr>
          <w:lang w:val="de-DE"/>
        </w:rPr>
      </w:pPr>
      <w:r w:rsidRPr="00285483">
        <w:rPr>
          <w:lang w:val="de-DE"/>
        </w:rPr>
        <w:tab/>
        <w:t>§ 7 - In Ergänzung zu Artikel 11 der Verordnung 2022/868 bestimmt der König das Verfahren und die Modalitäten für die vorherige Anmeldung, einschließlich der Modalitäten für den Nachweis seitens der betreffenden Person, dass sie die Anmeldungsbedingungen erfüllt. Er kann bestimmen, dass Anträge nur auf elektronischem Wege eingereicht werden.</w:t>
      </w:r>
      <w:r>
        <w:rPr>
          <w:lang w:val="de-DE"/>
        </w:rPr>
        <w:t>]</w:t>
      </w:r>
    </w:p>
    <w:p w14:paraId="153943C1" w14:textId="77777777" w:rsidR="00872F21" w:rsidRDefault="00872F21" w:rsidP="00872F21">
      <w:pPr>
        <w:jc w:val="both"/>
        <w:rPr>
          <w:lang w:val="de-DE"/>
        </w:rPr>
      </w:pPr>
    </w:p>
    <w:p w14:paraId="1406B381" w14:textId="2CD174E5" w:rsidR="00872F21" w:rsidRDefault="00872F21" w:rsidP="00872F21">
      <w:pPr>
        <w:jc w:val="both"/>
        <w:rPr>
          <w:lang w:val="de-DE"/>
        </w:rPr>
      </w:pPr>
      <w:r>
        <w:rPr>
          <w:i/>
          <w:iCs/>
          <w:lang w:val="de-DE"/>
        </w:rPr>
        <w:t>[Art. XII.40 eingefügt durch Art. 15 des G. vom 15. Mai 2024 (B.S. vom 7. Juni 2024)]</w:t>
      </w:r>
    </w:p>
    <w:p w14:paraId="26199F41" w14:textId="77777777" w:rsidR="00872F21" w:rsidRDefault="00872F21" w:rsidP="00872F21">
      <w:pPr>
        <w:jc w:val="both"/>
        <w:rPr>
          <w:lang w:val="de-DE"/>
        </w:rPr>
      </w:pPr>
    </w:p>
    <w:p w14:paraId="56E7CE67" w14:textId="77777777" w:rsidR="00872F21" w:rsidRDefault="00872F21" w:rsidP="00872F21">
      <w:pPr>
        <w:jc w:val="both"/>
        <w:rPr>
          <w:lang w:val="de-DE"/>
        </w:rPr>
      </w:pPr>
    </w:p>
    <w:p w14:paraId="72B0000E" w14:textId="77777777" w:rsidR="00872F21" w:rsidRPr="00285483" w:rsidRDefault="00872F21" w:rsidP="00872F21">
      <w:pPr>
        <w:jc w:val="both"/>
        <w:rPr>
          <w:lang w:val="de-DE"/>
        </w:rPr>
      </w:pPr>
      <w:r>
        <w:rPr>
          <w:lang w:val="de-DE"/>
        </w:rPr>
        <w:tab/>
        <w:t>[</w:t>
      </w:r>
      <w:r w:rsidRPr="00872F21">
        <w:rPr>
          <w:b/>
          <w:bCs/>
          <w:lang w:val="de-DE"/>
        </w:rPr>
        <w:t>Art. XII.41</w:t>
      </w:r>
      <w:r w:rsidRPr="00285483">
        <w:rPr>
          <w:lang w:val="de-DE"/>
        </w:rPr>
        <w:t> - Der Anbieter von Datenvermittlungsdiensten erfüllt die in Artikel XII.40 erwähnten Bedingungen während der gesamten Dauer seiner Tätigkeiten.</w:t>
      </w:r>
    </w:p>
    <w:p w14:paraId="64FF0B80" w14:textId="77777777" w:rsidR="00872F21" w:rsidRPr="00285483" w:rsidRDefault="00872F21" w:rsidP="00872F21">
      <w:pPr>
        <w:jc w:val="both"/>
        <w:rPr>
          <w:lang w:val="de-DE"/>
        </w:rPr>
      </w:pPr>
    </w:p>
    <w:p w14:paraId="2769156D" w14:textId="77777777" w:rsidR="00872F21" w:rsidRPr="00285483" w:rsidRDefault="00872F21" w:rsidP="00872F21">
      <w:pPr>
        <w:jc w:val="both"/>
        <w:rPr>
          <w:lang w:val="de-DE"/>
        </w:rPr>
      </w:pPr>
      <w:r w:rsidRPr="00285483">
        <w:rPr>
          <w:lang w:val="de-DE"/>
        </w:rPr>
        <w:tab/>
        <w:t>Gemäß Artikel 11 Absatz 12 der Verordnung 2022/868 wird jede Änderung der aufgrund von Artikel XII.40 übermittelten Angaben dem Eintragungsorgan innerhalb vierzehn Tagen nach der Änderung schriftlich oder elektronisch mitgeteilt.</w:t>
      </w:r>
    </w:p>
    <w:p w14:paraId="0567CDF8" w14:textId="77777777" w:rsidR="00872F21" w:rsidRPr="00285483" w:rsidRDefault="00872F21" w:rsidP="00872F21">
      <w:pPr>
        <w:jc w:val="both"/>
        <w:rPr>
          <w:lang w:val="de-DE"/>
        </w:rPr>
      </w:pPr>
    </w:p>
    <w:p w14:paraId="3A5AE0DA" w14:textId="7A554EA0" w:rsidR="00872F21" w:rsidRDefault="00872F21" w:rsidP="00872F21">
      <w:pPr>
        <w:jc w:val="both"/>
        <w:rPr>
          <w:lang w:val="de-DE"/>
        </w:rPr>
      </w:pPr>
      <w:r w:rsidRPr="00285483">
        <w:rPr>
          <w:lang w:val="de-DE"/>
        </w:rPr>
        <w:tab/>
        <w:t>Gemäß Artikel 11 Absatz 13 der Verordnung 2022/868 wird jede Einstellung der Tätigkeiten dem Eintragungsorgan innerhalb fünfzehn Tagen nach der Einstellung schriftlich oder elektronisch mitgeteilt.</w:t>
      </w:r>
      <w:r>
        <w:rPr>
          <w:lang w:val="de-DE"/>
        </w:rPr>
        <w:t>]</w:t>
      </w:r>
    </w:p>
    <w:p w14:paraId="46570D33" w14:textId="77777777" w:rsidR="00872F21" w:rsidRDefault="00872F21" w:rsidP="00872F21">
      <w:pPr>
        <w:jc w:val="both"/>
        <w:rPr>
          <w:lang w:val="de-DE"/>
        </w:rPr>
      </w:pPr>
    </w:p>
    <w:p w14:paraId="71E276E0" w14:textId="7EF98D90" w:rsidR="00872F21" w:rsidRDefault="00872F21" w:rsidP="00872F21">
      <w:pPr>
        <w:jc w:val="both"/>
        <w:rPr>
          <w:lang w:val="de-DE"/>
        </w:rPr>
      </w:pPr>
      <w:r>
        <w:rPr>
          <w:i/>
          <w:iCs/>
          <w:lang w:val="de-DE"/>
        </w:rPr>
        <w:t>[Art. XII.41 eingefügt durch Art. 16 des G. vom 15. Mai 2024 (B.S. vom 7. Juni 2024)]</w:t>
      </w:r>
    </w:p>
    <w:p w14:paraId="0B100C0D" w14:textId="77777777" w:rsidR="00872F21" w:rsidRDefault="00872F21" w:rsidP="00872F21">
      <w:pPr>
        <w:jc w:val="both"/>
        <w:rPr>
          <w:lang w:val="de-DE"/>
        </w:rPr>
      </w:pPr>
    </w:p>
    <w:p w14:paraId="2CB773E5" w14:textId="77777777" w:rsidR="00872F21" w:rsidRDefault="00872F21" w:rsidP="00872F21">
      <w:pPr>
        <w:jc w:val="both"/>
        <w:rPr>
          <w:lang w:val="de-DE"/>
        </w:rPr>
      </w:pPr>
    </w:p>
    <w:p w14:paraId="561F1BDF" w14:textId="2079D6E3" w:rsidR="00872F21" w:rsidRDefault="00872F21" w:rsidP="00872F21">
      <w:pPr>
        <w:jc w:val="center"/>
        <w:rPr>
          <w:lang w:val="de-DE"/>
        </w:rPr>
      </w:pPr>
      <w:r>
        <w:rPr>
          <w:lang w:val="de-DE"/>
        </w:rPr>
        <w:t>[</w:t>
      </w:r>
      <w:r w:rsidRPr="00872F21">
        <w:rPr>
          <w:i/>
          <w:iCs/>
          <w:lang w:val="de-DE"/>
        </w:rPr>
        <w:t>Abschnitt 2</w:t>
      </w:r>
      <w:r w:rsidRPr="00285483">
        <w:rPr>
          <w:lang w:val="de-DE"/>
        </w:rPr>
        <w:t> - Aufschub oder Aussetzung der Datenvermittlungstätigkeit</w:t>
      </w:r>
      <w:r>
        <w:rPr>
          <w:lang w:val="de-DE"/>
        </w:rPr>
        <w:t>]</w:t>
      </w:r>
    </w:p>
    <w:p w14:paraId="60492A83" w14:textId="77777777" w:rsidR="00872F21" w:rsidRDefault="00872F21" w:rsidP="00872F21">
      <w:pPr>
        <w:jc w:val="both"/>
        <w:rPr>
          <w:lang w:val="de-DE"/>
        </w:rPr>
      </w:pPr>
    </w:p>
    <w:p w14:paraId="3FE7255C" w14:textId="796EF41B" w:rsidR="00872F21" w:rsidRDefault="00872F21" w:rsidP="00872F21">
      <w:pPr>
        <w:jc w:val="both"/>
        <w:rPr>
          <w:lang w:val="de-DE"/>
        </w:rPr>
      </w:pPr>
      <w:r>
        <w:rPr>
          <w:i/>
          <w:iCs/>
          <w:lang w:val="de-DE"/>
        </w:rPr>
        <w:t>[Unterteilung Abschnitt 2 eingefügt durch Art. 17 des G. vom 15. Mai 2024 (B.S. vom 7. Juni 2024)]</w:t>
      </w:r>
    </w:p>
    <w:p w14:paraId="5F7B934D" w14:textId="77777777" w:rsidR="00872F21" w:rsidRDefault="00872F21" w:rsidP="00872F21">
      <w:pPr>
        <w:jc w:val="both"/>
        <w:rPr>
          <w:lang w:val="de-DE"/>
        </w:rPr>
      </w:pPr>
    </w:p>
    <w:p w14:paraId="765230AD" w14:textId="77777777" w:rsidR="00872F21" w:rsidRDefault="00872F21" w:rsidP="00872F21">
      <w:pPr>
        <w:jc w:val="both"/>
        <w:rPr>
          <w:lang w:val="de-DE"/>
        </w:rPr>
      </w:pPr>
    </w:p>
    <w:p w14:paraId="147B191D" w14:textId="77777777" w:rsidR="00872F21" w:rsidRPr="00285483" w:rsidRDefault="00872F21" w:rsidP="00872F21">
      <w:pPr>
        <w:jc w:val="both"/>
        <w:rPr>
          <w:lang w:val="de-DE"/>
        </w:rPr>
      </w:pPr>
      <w:r>
        <w:rPr>
          <w:lang w:val="de-DE"/>
        </w:rPr>
        <w:tab/>
        <w:t>[</w:t>
      </w:r>
      <w:r w:rsidRPr="00872F21">
        <w:rPr>
          <w:b/>
          <w:bCs/>
          <w:lang w:val="de-DE"/>
        </w:rPr>
        <w:t>Art. XII.42</w:t>
      </w:r>
      <w:r w:rsidRPr="00285483">
        <w:rPr>
          <w:lang w:val="de-DE"/>
        </w:rPr>
        <w:t> - Stellt das Eintragungsorgan fest, dass ein Anbieter von Datenvermittlungsdiensten die Anforderungen der Artikel 11, 12 und 31 der Verordnung 2022/868 und des Abschnitts 1 des vorliegenden Kapitels nicht erfüllt, teilt es dies dem Anbieter von Datenvermittlungsdiensten per Einschreibesendung mit und gibt ihm Gelegenheit, innerhalb dreißig Tagen dazu Stellung zu nehmen. Diese Frist läuft ab dem dritten Tag nach der Versendung der Mitteilung.</w:t>
      </w:r>
    </w:p>
    <w:p w14:paraId="517F2F79" w14:textId="77777777" w:rsidR="00872F21" w:rsidRPr="00285483" w:rsidRDefault="00872F21" w:rsidP="00872F21">
      <w:pPr>
        <w:jc w:val="both"/>
        <w:rPr>
          <w:lang w:val="de-DE"/>
        </w:rPr>
      </w:pPr>
    </w:p>
    <w:p w14:paraId="1F6A7ABC" w14:textId="174D08CE" w:rsidR="00872F21" w:rsidRDefault="00872F21" w:rsidP="00872F21">
      <w:pPr>
        <w:jc w:val="both"/>
        <w:rPr>
          <w:lang w:val="de-DE"/>
        </w:rPr>
      </w:pPr>
      <w:r w:rsidRPr="00285483">
        <w:rPr>
          <w:lang w:val="de-DE"/>
        </w:rPr>
        <w:tab/>
        <w:t>Sind die erforderlichen Maßnahmen bei Ablauf dieser Frist nicht ergriffen worden, kann das Eintragungsorgan beschließen, dass der Beginn der Erbringung des Datenvermittlungsdienstes verschoben oder die Erbringung des Datenvermittlungsdienstes ausgesetzt wird. Dieser Beschluss wird per Einschreibesendung notifiziert.</w:t>
      </w:r>
      <w:r>
        <w:rPr>
          <w:lang w:val="de-DE"/>
        </w:rPr>
        <w:t>]</w:t>
      </w:r>
    </w:p>
    <w:p w14:paraId="5B32F7C6" w14:textId="77777777" w:rsidR="00872F21" w:rsidRDefault="00872F21" w:rsidP="00872F21">
      <w:pPr>
        <w:jc w:val="both"/>
        <w:rPr>
          <w:lang w:val="de-DE"/>
        </w:rPr>
      </w:pPr>
    </w:p>
    <w:p w14:paraId="47DA7A3E" w14:textId="105F13E4" w:rsidR="00872F21" w:rsidRDefault="00872F21" w:rsidP="00872F21">
      <w:pPr>
        <w:jc w:val="both"/>
        <w:rPr>
          <w:lang w:val="de-DE"/>
        </w:rPr>
      </w:pPr>
      <w:r>
        <w:rPr>
          <w:i/>
          <w:iCs/>
          <w:lang w:val="de-DE"/>
        </w:rPr>
        <w:t>[Art. XII.42 eingefügt durch Art. 1</w:t>
      </w:r>
      <w:r w:rsidR="00B86275">
        <w:rPr>
          <w:i/>
          <w:iCs/>
          <w:lang w:val="de-DE"/>
        </w:rPr>
        <w:t>8</w:t>
      </w:r>
      <w:r>
        <w:rPr>
          <w:i/>
          <w:iCs/>
          <w:lang w:val="de-DE"/>
        </w:rPr>
        <w:t xml:space="preserve"> des G. vom 15. Mai 2024 (B.S. vom 7. Juni 2024)]</w:t>
      </w:r>
    </w:p>
    <w:p w14:paraId="79C8CC0E" w14:textId="77777777" w:rsidR="00872F21" w:rsidRDefault="00872F21" w:rsidP="00872F21">
      <w:pPr>
        <w:jc w:val="both"/>
        <w:rPr>
          <w:lang w:val="de-DE"/>
        </w:rPr>
      </w:pPr>
    </w:p>
    <w:p w14:paraId="799E56B2" w14:textId="368D3B38" w:rsidR="00B86275" w:rsidRDefault="00B86275" w:rsidP="00B86275">
      <w:pPr>
        <w:jc w:val="center"/>
        <w:rPr>
          <w:lang w:val="de-DE"/>
        </w:rPr>
      </w:pPr>
      <w:r>
        <w:rPr>
          <w:lang w:val="de-DE"/>
        </w:rPr>
        <w:lastRenderedPageBreak/>
        <w:t>[KAPITEL</w:t>
      </w:r>
      <w:r w:rsidRPr="00285483">
        <w:rPr>
          <w:lang w:val="de-DE"/>
        </w:rPr>
        <w:t xml:space="preserve"> 3 - </w:t>
      </w:r>
      <w:r w:rsidRPr="00B86275">
        <w:rPr>
          <w:i/>
          <w:iCs/>
          <w:lang w:val="de-DE"/>
        </w:rPr>
        <w:t>Registrierung von datenaltruistischen Organisationen</w:t>
      </w:r>
      <w:r>
        <w:rPr>
          <w:lang w:val="de-DE"/>
        </w:rPr>
        <w:t>]</w:t>
      </w:r>
    </w:p>
    <w:p w14:paraId="698A1548" w14:textId="77777777" w:rsidR="00B86275" w:rsidRDefault="00B86275" w:rsidP="00872F21">
      <w:pPr>
        <w:jc w:val="both"/>
        <w:rPr>
          <w:lang w:val="de-DE"/>
        </w:rPr>
      </w:pPr>
    </w:p>
    <w:p w14:paraId="4220BC25" w14:textId="0F034854" w:rsidR="00B86275" w:rsidRDefault="00B86275" w:rsidP="00B86275">
      <w:pPr>
        <w:jc w:val="both"/>
        <w:rPr>
          <w:lang w:val="de-DE"/>
        </w:rPr>
      </w:pPr>
      <w:r>
        <w:rPr>
          <w:i/>
          <w:iCs/>
          <w:lang w:val="de-DE"/>
        </w:rPr>
        <w:t>[Unterteilung Kapitel 3 eingefügt durch Art. 19 des G. vom 15. Mai 2024 (B.S. vom 7. Juni 2024)]</w:t>
      </w:r>
    </w:p>
    <w:p w14:paraId="6BB81ED8" w14:textId="77777777" w:rsidR="00B86275" w:rsidRDefault="00B86275" w:rsidP="00872F21">
      <w:pPr>
        <w:jc w:val="both"/>
        <w:rPr>
          <w:lang w:val="de-DE"/>
        </w:rPr>
      </w:pPr>
    </w:p>
    <w:p w14:paraId="187101A6" w14:textId="77777777" w:rsidR="00B86275" w:rsidRDefault="00B86275" w:rsidP="00872F21">
      <w:pPr>
        <w:jc w:val="both"/>
        <w:rPr>
          <w:lang w:val="de-DE"/>
        </w:rPr>
      </w:pPr>
    </w:p>
    <w:p w14:paraId="6A987E16" w14:textId="5715895F" w:rsidR="00B86275" w:rsidRDefault="00B86275" w:rsidP="00B86275">
      <w:pPr>
        <w:jc w:val="center"/>
        <w:rPr>
          <w:lang w:val="de-DE"/>
        </w:rPr>
      </w:pPr>
      <w:r>
        <w:rPr>
          <w:lang w:val="de-DE"/>
        </w:rPr>
        <w:t>[</w:t>
      </w:r>
      <w:r w:rsidRPr="008F23A3">
        <w:rPr>
          <w:i/>
          <w:iCs/>
          <w:lang w:val="de-DE"/>
        </w:rPr>
        <w:t>Abschnitt 1</w:t>
      </w:r>
      <w:r w:rsidRPr="00285483">
        <w:rPr>
          <w:lang w:val="de-DE"/>
        </w:rPr>
        <w:t> - Anforderungen in Bezug auf die Registrierung der Datenaltruismus-Tätigkeit</w:t>
      </w:r>
      <w:r>
        <w:rPr>
          <w:lang w:val="de-DE"/>
        </w:rPr>
        <w:t>]</w:t>
      </w:r>
    </w:p>
    <w:p w14:paraId="1FFE0865" w14:textId="77777777" w:rsidR="00B86275" w:rsidRDefault="00B86275" w:rsidP="00872F21">
      <w:pPr>
        <w:jc w:val="both"/>
        <w:rPr>
          <w:lang w:val="de-DE"/>
        </w:rPr>
      </w:pPr>
    </w:p>
    <w:p w14:paraId="0BFA7597" w14:textId="6BBE90A9" w:rsidR="00B86275" w:rsidRDefault="00B86275" w:rsidP="00B86275">
      <w:pPr>
        <w:jc w:val="both"/>
        <w:rPr>
          <w:lang w:val="de-DE"/>
        </w:rPr>
      </w:pPr>
      <w:r>
        <w:rPr>
          <w:i/>
          <w:iCs/>
          <w:lang w:val="de-DE"/>
        </w:rPr>
        <w:t>[Unterteilung Abschnitt 1 eingefügt durch Art. 20 des G. vom 15. Mai 2024 (B.S. vom 7. Juni 2024)]</w:t>
      </w:r>
    </w:p>
    <w:p w14:paraId="3C219D53" w14:textId="77777777" w:rsidR="00B86275" w:rsidRDefault="00B86275" w:rsidP="00872F21">
      <w:pPr>
        <w:jc w:val="both"/>
        <w:rPr>
          <w:lang w:val="de-DE"/>
        </w:rPr>
      </w:pPr>
    </w:p>
    <w:p w14:paraId="5E9F155E" w14:textId="77777777" w:rsidR="00B86275" w:rsidRDefault="00B86275" w:rsidP="00872F21">
      <w:pPr>
        <w:jc w:val="both"/>
        <w:rPr>
          <w:lang w:val="de-DE"/>
        </w:rPr>
      </w:pPr>
    </w:p>
    <w:p w14:paraId="12E83CD0" w14:textId="77777777" w:rsidR="00B86275" w:rsidRPr="00285483" w:rsidRDefault="00B86275" w:rsidP="00B86275">
      <w:pPr>
        <w:jc w:val="both"/>
        <w:rPr>
          <w:lang w:val="de-DE"/>
        </w:rPr>
      </w:pPr>
      <w:r>
        <w:rPr>
          <w:lang w:val="de-DE"/>
        </w:rPr>
        <w:tab/>
        <w:t>[</w:t>
      </w:r>
      <w:r w:rsidRPr="00B86275">
        <w:rPr>
          <w:b/>
          <w:bCs/>
          <w:lang w:val="de-DE"/>
        </w:rPr>
        <w:t>Art. XII.43</w:t>
      </w:r>
      <w:r w:rsidRPr="00285483">
        <w:rPr>
          <w:lang w:val="de-DE"/>
        </w:rPr>
        <w:t> - § 1 - Juristische Personen dürfen, wenn sie die in vorliegendem Artikel und in den Artikeln 18 bis 21 und 31 der Verordnung 2022/868 festgelegten Bedingungen erfüllen, bei dem Eintragungsorgan einen Antrag auf Registrierung im nationalen öffentlichen Register der anerkannten datenaltruistischen Organisationen stellen.</w:t>
      </w:r>
    </w:p>
    <w:p w14:paraId="7271B4B4" w14:textId="77777777" w:rsidR="00B86275" w:rsidRPr="00285483" w:rsidRDefault="00B86275" w:rsidP="00B86275">
      <w:pPr>
        <w:jc w:val="both"/>
        <w:rPr>
          <w:lang w:val="de-DE"/>
        </w:rPr>
      </w:pPr>
    </w:p>
    <w:p w14:paraId="0F2E3FA0" w14:textId="77777777" w:rsidR="00B86275" w:rsidRPr="00285483" w:rsidRDefault="00B86275" w:rsidP="00B86275">
      <w:pPr>
        <w:jc w:val="both"/>
        <w:rPr>
          <w:lang w:val="de-DE"/>
        </w:rPr>
      </w:pPr>
      <w:r w:rsidRPr="00285483">
        <w:rPr>
          <w:lang w:val="de-DE"/>
        </w:rPr>
        <w:tab/>
        <w:t>§ 2 - In Ergänzung zu den Artikeln 18 bis 21 und 31 der Verordnung 2022/868 darf eine juristische Person nur dann registriert werden, wenn sie die folgenden Bedingungen erfüllt:</w:t>
      </w:r>
    </w:p>
    <w:p w14:paraId="7C4B95B1" w14:textId="77777777" w:rsidR="00B86275" w:rsidRPr="00285483" w:rsidRDefault="00B86275" w:rsidP="00B86275">
      <w:pPr>
        <w:jc w:val="both"/>
        <w:rPr>
          <w:lang w:val="de-DE"/>
        </w:rPr>
      </w:pPr>
    </w:p>
    <w:p w14:paraId="7ABAACD2" w14:textId="77777777" w:rsidR="00B86275" w:rsidRPr="00285483" w:rsidRDefault="00B86275" w:rsidP="00B86275">
      <w:pPr>
        <w:jc w:val="both"/>
        <w:rPr>
          <w:lang w:val="de-DE"/>
        </w:rPr>
      </w:pPr>
      <w:r w:rsidRPr="00285483">
        <w:rPr>
          <w:lang w:val="de-DE"/>
        </w:rPr>
        <w:tab/>
        <w:t>1. Sie ist in der Zentralen Datenbank der Unternehmen eingetragen.</w:t>
      </w:r>
    </w:p>
    <w:p w14:paraId="6684E880" w14:textId="77777777" w:rsidR="00B86275" w:rsidRPr="00285483" w:rsidRDefault="00B86275" w:rsidP="00B86275">
      <w:pPr>
        <w:jc w:val="both"/>
        <w:rPr>
          <w:lang w:val="de-DE"/>
        </w:rPr>
      </w:pPr>
    </w:p>
    <w:p w14:paraId="13D86C37" w14:textId="77777777" w:rsidR="00B86275" w:rsidRPr="00285483" w:rsidRDefault="00B86275" w:rsidP="00B86275">
      <w:pPr>
        <w:jc w:val="both"/>
        <w:rPr>
          <w:lang w:val="de-DE"/>
        </w:rPr>
      </w:pPr>
      <w:r w:rsidRPr="00285483">
        <w:rPr>
          <w:lang w:val="de-DE"/>
        </w:rPr>
        <w:tab/>
        <w:t>2. Sie hat ein gesetzliches Verwaltungsorgan, das ausschließlich aus Personen besteht, die folgende Bedingungen erfüllen:</w:t>
      </w:r>
    </w:p>
    <w:p w14:paraId="70BC3B2A" w14:textId="77777777" w:rsidR="00B86275" w:rsidRPr="00285483" w:rsidRDefault="00B86275" w:rsidP="00B86275">
      <w:pPr>
        <w:jc w:val="both"/>
        <w:rPr>
          <w:lang w:val="de-DE"/>
        </w:rPr>
      </w:pPr>
    </w:p>
    <w:p w14:paraId="0036BB83" w14:textId="77777777" w:rsidR="00B86275" w:rsidRPr="00285483" w:rsidRDefault="00B86275" w:rsidP="00B86275">
      <w:pPr>
        <w:jc w:val="both"/>
        <w:rPr>
          <w:lang w:val="de-DE"/>
        </w:rPr>
      </w:pPr>
      <w:r w:rsidRPr="00285483">
        <w:rPr>
          <w:lang w:val="de-DE"/>
        </w:rPr>
        <w:tab/>
      </w:r>
      <w:r w:rsidRPr="00285483">
        <w:rPr>
          <w:i/>
          <w:iCs/>
          <w:lang w:val="de-DE"/>
        </w:rPr>
        <w:t>a)</w:t>
      </w:r>
      <w:r w:rsidRPr="00285483">
        <w:rPr>
          <w:lang w:val="de-DE"/>
        </w:rPr>
        <w:t> Ihnen dürfen die bürgerlichen und politischen Rechte nicht aberkannt sein.</w:t>
      </w:r>
    </w:p>
    <w:p w14:paraId="4EC450CE" w14:textId="77777777" w:rsidR="00B86275" w:rsidRPr="00285483" w:rsidRDefault="00B86275" w:rsidP="00B86275">
      <w:pPr>
        <w:jc w:val="both"/>
        <w:rPr>
          <w:lang w:val="de-DE"/>
        </w:rPr>
      </w:pPr>
    </w:p>
    <w:p w14:paraId="5C5CBBDD" w14:textId="77777777" w:rsidR="00B86275" w:rsidRPr="00285483" w:rsidRDefault="00B86275" w:rsidP="00B86275">
      <w:pPr>
        <w:jc w:val="both"/>
        <w:rPr>
          <w:lang w:val="de-DE"/>
        </w:rPr>
      </w:pPr>
      <w:r w:rsidRPr="00285483">
        <w:rPr>
          <w:lang w:val="de-DE"/>
        </w:rPr>
        <w:tab/>
      </w:r>
      <w:r w:rsidRPr="00285483">
        <w:rPr>
          <w:i/>
          <w:iCs/>
          <w:lang w:val="de-DE"/>
        </w:rPr>
        <w:t>b)</w:t>
      </w:r>
      <w:r w:rsidRPr="00285483">
        <w:rPr>
          <w:lang w:val="de-DE"/>
        </w:rPr>
        <w:t> Über sie darf nicht der Konkurs eröffnet worden sein, ohne dass sie rehabilitiert worden wären.</w:t>
      </w:r>
    </w:p>
    <w:p w14:paraId="6C9FEB05" w14:textId="77777777" w:rsidR="00B86275" w:rsidRPr="00285483" w:rsidRDefault="00B86275" w:rsidP="00B86275">
      <w:pPr>
        <w:jc w:val="both"/>
        <w:rPr>
          <w:lang w:val="de-DE"/>
        </w:rPr>
      </w:pPr>
    </w:p>
    <w:p w14:paraId="4E080192" w14:textId="77777777" w:rsidR="00B86275" w:rsidRPr="00285483" w:rsidRDefault="00B86275" w:rsidP="00B86275">
      <w:pPr>
        <w:jc w:val="both"/>
        <w:rPr>
          <w:lang w:val="de-DE"/>
        </w:rPr>
      </w:pPr>
      <w:r w:rsidRPr="00285483">
        <w:rPr>
          <w:lang w:val="de-DE"/>
        </w:rPr>
        <w:tab/>
        <w:t>3. Sie hat eine tatsächliche Leitung, die ausschließlich von Personen wahrgenommen wird, die die in Nr. 2 Buchstabe </w:t>
      </w:r>
      <w:r w:rsidRPr="00285483">
        <w:rPr>
          <w:i/>
          <w:iCs/>
          <w:lang w:val="de-DE"/>
        </w:rPr>
        <w:t>a)</w:t>
      </w:r>
      <w:r w:rsidRPr="00285483">
        <w:rPr>
          <w:lang w:val="de-DE"/>
        </w:rPr>
        <w:t xml:space="preserve"> und </w:t>
      </w:r>
      <w:r w:rsidRPr="00285483">
        <w:rPr>
          <w:i/>
          <w:iCs/>
          <w:lang w:val="de-DE"/>
        </w:rPr>
        <w:t>b)</w:t>
      </w:r>
      <w:r w:rsidRPr="00285483">
        <w:rPr>
          <w:lang w:val="de-DE"/>
        </w:rPr>
        <w:t xml:space="preserve"> vorgesehenen Bedingungen erfüllen.</w:t>
      </w:r>
    </w:p>
    <w:p w14:paraId="24312777" w14:textId="77777777" w:rsidR="00B86275" w:rsidRPr="00285483" w:rsidRDefault="00B86275" w:rsidP="00B86275">
      <w:pPr>
        <w:jc w:val="both"/>
        <w:rPr>
          <w:lang w:val="de-DE"/>
        </w:rPr>
      </w:pPr>
    </w:p>
    <w:p w14:paraId="0CC3C984" w14:textId="77777777" w:rsidR="00B86275" w:rsidRPr="00285483" w:rsidRDefault="00B86275" w:rsidP="00B86275">
      <w:pPr>
        <w:jc w:val="both"/>
        <w:rPr>
          <w:lang w:val="de-DE"/>
        </w:rPr>
      </w:pPr>
      <w:r w:rsidRPr="00285483">
        <w:rPr>
          <w:lang w:val="de-DE"/>
        </w:rPr>
        <w:tab/>
        <w:t>4. Sie hat wirtschaftliche Eigentümer wie in Artikel 4 Nr. 27 Absatz 2 Buchstabe </w:t>
      </w:r>
      <w:r w:rsidRPr="00285483">
        <w:rPr>
          <w:i/>
          <w:iCs/>
          <w:lang w:val="de-DE"/>
        </w:rPr>
        <w:t>a)</w:t>
      </w:r>
      <w:r w:rsidRPr="00285483">
        <w:rPr>
          <w:lang w:val="de-DE"/>
        </w:rPr>
        <w:t xml:space="preserve"> und </w:t>
      </w:r>
      <w:r w:rsidRPr="00285483">
        <w:rPr>
          <w:i/>
          <w:iCs/>
          <w:lang w:val="de-DE"/>
        </w:rPr>
        <w:t>c)</w:t>
      </w:r>
      <w:r w:rsidRPr="00285483">
        <w:rPr>
          <w:lang w:val="de-DE"/>
        </w:rPr>
        <w:t xml:space="preserve"> des Gesetzes vom 18. September 2017 zur Verhinderung von Geldwäsche und Terrorismusfinanzierung und zur Beschränkung der Nutzung von Bargeld erwähnt, die alle die in Nr. 2 Buchstabe </w:t>
      </w:r>
      <w:r w:rsidRPr="00285483">
        <w:rPr>
          <w:i/>
          <w:iCs/>
          <w:lang w:val="de-DE"/>
        </w:rPr>
        <w:t>a)</w:t>
      </w:r>
      <w:r w:rsidRPr="00285483">
        <w:rPr>
          <w:lang w:val="de-DE"/>
        </w:rPr>
        <w:t xml:space="preserve"> und </w:t>
      </w:r>
      <w:r w:rsidRPr="00285483">
        <w:rPr>
          <w:i/>
          <w:iCs/>
          <w:lang w:val="de-DE"/>
        </w:rPr>
        <w:t>b)</w:t>
      </w:r>
      <w:r w:rsidRPr="00285483">
        <w:rPr>
          <w:lang w:val="de-DE"/>
        </w:rPr>
        <w:t xml:space="preserve"> vorgesehenen Bedingungen erfüllen.</w:t>
      </w:r>
    </w:p>
    <w:p w14:paraId="4E1672CB" w14:textId="77777777" w:rsidR="00B86275" w:rsidRPr="00285483" w:rsidRDefault="00B86275" w:rsidP="00B86275">
      <w:pPr>
        <w:jc w:val="both"/>
        <w:rPr>
          <w:lang w:val="de-DE"/>
        </w:rPr>
      </w:pPr>
    </w:p>
    <w:p w14:paraId="4E3EA52B" w14:textId="77777777" w:rsidR="00B86275" w:rsidRPr="00285483" w:rsidRDefault="00B86275" w:rsidP="00B86275">
      <w:pPr>
        <w:jc w:val="both"/>
        <w:rPr>
          <w:lang w:val="de-DE"/>
        </w:rPr>
      </w:pPr>
      <w:r w:rsidRPr="00285483">
        <w:rPr>
          <w:lang w:val="de-DE"/>
        </w:rPr>
        <w:tab/>
        <w:t>5. Sie hat Geschäftsführer und Verwalter, die gesetzlich ermächtigt sind, eine Berufstätigkeit in Belgien auszuüben.</w:t>
      </w:r>
    </w:p>
    <w:p w14:paraId="54535124" w14:textId="77777777" w:rsidR="00B86275" w:rsidRPr="00285483" w:rsidRDefault="00B86275" w:rsidP="00B86275">
      <w:pPr>
        <w:jc w:val="both"/>
        <w:rPr>
          <w:lang w:val="de-DE"/>
        </w:rPr>
      </w:pPr>
    </w:p>
    <w:p w14:paraId="5B962ED0" w14:textId="1B5CA8D9" w:rsidR="00B86275" w:rsidRDefault="00B86275" w:rsidP="00B86275">
      <w:pPr>
        <w:jc w:val="both"/>
        <w:rPr>
          <w:lang w:val="de-DE"/>
        </w:rPr>
      </w:pPr>
      <w:r w:rsidRPr="00285483">
        <w:rPr>
          <w:lang w:val="de-DE"/>
        </w:rPr>
        <w:tab/>
        <w:t>§ 3 - In Ergänzung zu Artikel 19 der Verordnung 2022/868 bestimmt der König das Verfahren und die Modalitäten für den Registrierungsantrag, einschließlich der Modalitäten für den Nachweis seitens der betreffenden Person, dass sie die Registrierungsbedingungen erfüllt. Er kann bestimmen, dass Anträge nur auf elektronischem Wege eingereicht werden.</w:t>
      </w:r>
      <w:r>
        <w:rPr>
          <w:lang w:val="de-DE"/>
        </w:rPr>
        <w:t>]</w:t>
      </w:r>
    </w:p>
    <w:p w14:paraId="5463FD17" w14:textId="77777777" w:rsidR="00B86275" w:rsidRDefault="00B86275" w:rsidP="00872F21">
      <w:pPr>
        <w:jc w:val="both"/>
        <w:rPr>
          <w:lang w:val="de-DE"/>
        </w:rPr>
      </w:pPr>
    </w:p>
    <w:p w14:paraId="3480FA98" w14:textId="477B3FD2" w:rsidR="00B86275" w:rsidRDefault="00B86275" w:rsidP="00872F21">
      <w:pPr>
        <w:jc w:val="both"/>
        <w:rPr>
          <w:lang w:val="de-DE"/>
        </w:rPr>
      </w:pPr>
      <w:r>
        <w:rPr>
          <w:i/>
          <w:iCs/>
          <w:lang w:val="de-DE"/>
        </w:rPr>
        <w:t>[Art. XII.43 eingefügt durch Art. 21 des G. vom 15. Mai 2024 (B.S. vom 7. Juni 2024)]</w:t>
      </w:r>
    </w:p>
    <w:p w14:paraId="35EE3874" w14:textId="77777777" w:rsidR="00B86275" w:rsidRDefault="00B86275" w:rsidP="00872F21">
      <w:pPr>
        <w:jc w:val="both"/>
        <w:rPr>
          <w:lang w:val="de-DE"/>
        </w:rPr>
      </w:pPr>
    </w:p>
    <w:p w14:paraId="706BE033" w14:textId="77777777" w:rsidR="00B86275" w:rsidRDefault="00B86275" w:rsidP="00872F21">
      <w:pPr>
        <w:jc w:val="both"/>
        <w:rPr>
          <w:lang w:val="de-DE"/>
        </w:rPr>
      </w:pPr>
    </w:p>
    <w:p w14:paraId="3D236AD6" w14:textId="77777777" w:rsidR="00B86275" w:rsidRPr="00285483" w:rsidRDefault="00B86275" w:rsidP="00B86275">
      <w:pPr>
        <w:jc w:val="both"/>
        <w:rPr>
          <w:lang w:val="de-DE"/>
        </w:rPr>
      </w:pPr>
      <w:r>
        <w:rPr>
          <w:lang w:val="de-DE"/>
        </w:rPr>
        <w:tab/>
        <w:t>[</w:t>
      </w:r>
      <w:r w:rsidRPr="00B86275">
        <w:rPr>
          <w:b/>
          <w:bCs/>
          <w:lang w:val="de-DE"/>
        </w:rPr>
        <w:t>Art. XII.44</w:t>
      </w:r>
      <w:r w:rsidRPr="00285483">
        <w:rPr>
          <w:lang w:val="de-DE"/>
        </w:rPr>
        <w:t> - Datenaltruistische Organisationen halten die in Artikel XII.43 erwähnten Registrierungsbedingungen jederzeit ein.</w:t>
      </w:r>
    </w:p>
    <w:p w14:paraId="12C663FE" w14:textId="77777777" w:rsidR="00B86275" w:rsidRPr="00285483" w:rsidRDefault="00B86275" w:rsidP="00B86275">
      <w:pPr>
        <w:jc w:val="both"/>
        <w:rPr>
          <w:lang w:val="de-DE"/>
        </w:rPr>
      </w:pPr>
    </w:p>
    <w:p w14:paraId="2E738F95" w14:textId="5FF6CF5A" w:rsidR="00B86275" w:rsidRDefault="00B86275" w:rsidP="00B86275">
      <w:pPr>
        <w:jc w:val="both"/>
        <w:rPr>
          <w:lang w:val="de-DE"/>
        </w:rPr>
      </w:pPr>
      <w:r w:rsidRPr="00285483">
        <w:rPr>
          <w:lang w:val="de-DE"/>
        </w:rPr>
        <w:lastRenderedPageBreak/>
        <w:tab/>
        <w:t>Gemäß Artikel 19 Absatz 7 der Verordnung 2022/868 wird jede Änderung der aufgrund von Artikel XII.43 übermittelten Angaben dem Eintragungsorgan innerhalb vierzehn Tagen nach der Änderung schriftlich oder elektronisch mitgeteilt.</w:t>
      </w:r>
      <w:r>
        <w:rPr>
          <w:lang w:val="de-DE"/>
        </w:rPr>
        <w:t>]</w:t>
      </w:r>
    </w:p>
    <w:p w14:paraId="26F61E4C" w14:textId="77777777" w:rsidR="00B86275" w:rsidRDefault="00B86275" w:rsidP="00872F21">
      <w:pPr>
        <w:jc w:val="both"/>
        <w:rPr>
          <w:lang w:val="de-DE"/>
        </w:rPr>
      </w:pPr>
    </w:p>
    <w:p w14:paraId="350CA3C5" w14:textId="05E8D3D7" w:rsidR="00B86275" w:rsidRDefault="00B86275" w:rsidP="00872F21">
      <w:pPr>
        <w:jc w:val="both"/>
        <w:rPr>
          <w:lang w:val="de-DE"/>
        </w:rPr>
      </w:pPr>
      <w:r>
        <w:rPr>
          <w:i/>
          <w:iCs/>
          <w:lang w:val="de-DE"/>
        </w:rPr>
        <w:t>[Art. XII.44 eingefügt durch Art. 22 des G. vom 15. Mai 2024 (B.S. vom 7. Juni 2024)]</w:t>
      </w:r>
    </w:p>
    <w:p w14:paraId="58D5C85F" w14:textId="77777777" w:rsidR="00B86275" w:rsidRDefault="00B86275" w:rsidP="00872F21">
      <w:pPr>
        <w:jc w:val="both"/>
        <w:rPr>
          <w:lang w:val="de-DE"/>
        </w:rPr>
      </w:pPr>
    </w:p>
    <w:p w14:paraId="45ABD4E2" w14:textId="77777777" w:rsidR="00B86275" w:rsidRDefault="00B86275" w:rsidP="00872F21">
      <w:pPr>
        <w:jc w:val="both"/>
        <w:rPr>
          <w:lang w:val="de-DE"/>
        </w:rPr>
      </w:pPr>
    </w:p>
    <w:p w14:paraId="17D767BB" w14:textId="1CEBD19B" w:rsidR="00B86275" w:rsidRDefault="00B86275">
      <w:pPr>
        <w:rPr>
          <w:lang w:val="de-DE"/>
        </w:rPr>
      </w:pPr>
    </w:p>
    <w:p w14:paraId="7A82BE30" w14:textId="342495F5" w:rsidR="00B86275" w:rsidRDefault="00B86275" w:rsidP="00B86275">
      <w:pPr>
        <w:jc w:val="center"/>
        <w:rPr>
          <w:lang w:val="de-DE"/>
        </w:rPr>
      </w:pPr>
      <w:r>
        <w:rPr>
          <w:lang w:val="de-DE"/>
        </w:rPr>
        <w:t>[KAPITEL</w:t>
      </w:r>
      <w:r w:rsidRPr="00285483">
        <w:rPr>
          <w:lang w:val="de-DE"/>
        </w:rPr>
        <w:t xml:space="preserve"> 4 - </w:t>
      </w:r>
      <w:r w:rsidRPr="00B86275">
        <w:rPr>
          <w:i/>
          <w:iCs/>
          <w:lang w:val="de-DE"/>
        </w:rPr>
        <w:t>Schutz personenbezogener Daten</w:t>
      </w:r>
      <w:r>
        <w:rPr>
          <w:lang w:val="de-DE"/>
        </w:rPr>
        <w:t>]</w:t>
      </w:r>
    </w:p>
    <w:p w14:paraId="1BBC8B00" w14:textId="77777777" w:rsidR="00B86275" w:rsidRDefault="00B86275" w:rsidP="00872F21">
      <w:pPr>
        <w:jc w:val="both"/>
        <w:rPr>
          <w:lang w:val="de-DE"/>
        </w:rPr>
      </w:pPr>
    </w:p>
    <w:p w14:paraId="037FBB42" w14:textId="1F1A1FBA" w:rsidR="00B86275" w:rsidRPr="00B86275" w:rsidRDefault="00B86275" w:rsidP="00872F21">
      <w:pPr>
        <w:jc w:val="both"/>
        <w:rPr>
          <w:i/>
          <w:iCs/>
          <w:lang w:val="de-DE"/>
        </w:rPr>
      </w:pPr>
      <w:r>
        <w:rPr>
          <w:i/>
          <w:iCs/>
          <w:lang w:val="de-DE"/>
        </w:rPr>
        <w:t>[Unterteilung Kapitel 4 eingefügt durch Art. 23 des G. vom 15. Mai 2024 (B.S. vom 7. Juni 2024)]</w:t>
      </w:r>
    </w:p>
    <w:p w14:paraId="7334B510" w14:textId="77777777" w:rsidR="00B86275" w:rsidRDefault="00B86275" w:rsidP="00872F21">
      <w:pPr>
        <w:jc w:val="both"/>
        <w:rPr>
          <w:lang w:val="de-DE"/>
        </w:rPr>
      </w:pPr>
    </w:p>
    <w:p w14:paraId="21035F41" w14:textId="77777777" w:rsidR="00B86275" w:rsidRDefault="00B86275" w:rsidP="00872F21">
      <w:pPr>
        <w:jc w:val="both"/>
        <w:rPr>
          <w:lang w:val="de-DE"/>
        </w:rPr>
      </w:pPr>
    </w:p>
    <w:p w14:paraId="33384DD4" w14:textId="77777777" w:rsidR="00B86275" w:rsidRPr="00285483" w:rsidRDefault="00B86275" w:rsidP="00B86275">
      <w:pPr>
        <w:jc w:val="both"/>
        <w:rPr>
          <w:lang w:val="de-DE"/>
        </w:rPr>
      </w:pPr>
      <w:r>
        <w:rPr>
          <w:lang w:val="de-DE"/>
        </w:rPr>
        <w:tab/>
        <w:t>[</w:t>
      </w:r>
      <w:r w:rsidRPr="00B86275">
        <w:rPr>
          <w:b/>
          <w:bCs/>
          <w:lang w:val="de-DE"/>
        </w:rPr>
        <w:t>Art. XII.45</w:t>
      </w:r>
      <w:r w:rsidRPr="00285483">
        <w:rPr>
          <w:lang w:val="de-DE"/>
        </w:rPr>
        <w:t> - § 1 - Der Föderale Öffentliche Dienst Wirtschaft, KMB, Mittelstand und Energie ist der Verantwortliche für die Verarbeitungen personenbezogener Daten, die für die Ausführung des vorliegenden Titels erforderlich sind.</w:t>
      </w:r>
    </w:p>
    <w:p w14:paraId="120E7AEF" w14:textId="77777777" w:rsidR="00B86275" w:rsidRPr="00285483" w:rsidRDefault="00B86275" w:rsidP="00B86275">
      <w:pPr>
        <w:jc w:val="both"/>
        <w:rPr>
          <w:lang w:val="de-DE"/>
        </w:rPr>
      </w:pPr>
    </w:p>
    <w:p w14:paraId="508EF026" w14:textId="77777777" w:rsidR="00B86275" w:rsidRPr="00285483" w:rsidRDefault="00B86275" w:rsidP="00B86275">
      <w:pPr>
        <w:jc w:val="both"/>
        <w:rPr>
          <w:lang w:val="de-DE"/>
        </w:rPr>
      </w:pPr>
      <w:r w:rsidRPr="00285483">
        <w:rPr>
          <w:lang w:val="de-DE"/>
        </w:rPr>
        <w:tab/>
        <w:t>§ 2 - Die Zwecke der Verarbeitungen personenbezogener Daten im Rahmen des vorliegenden Titels sind:</w:t>
      </w:r>
    </w:p>
    <w:p w14:paraId="169FCD08" w14:textId="77777777" w:rsidR="00B86275" w:rsidRPr="00285483" w:rsidRDefault="00B86275" w:rsidP="00B86275">
      <w:pPr>
        <w:jc w:val="both"/>
        <w:rPr>
          <w:lang w:val="de-DE"/>
        </w:rPr>
      </w:pPr>
    </w:p>
    <w:p w14:paraId="0B895C9D" w14:textId="77777777" w:rsidR="00B86275" w:rsidRPr="00285483" w:rsidRDefault="00B86275" w:rsidP="00B86275">
      <w:pPr>
        <w:jc w:val="both"/>
        <w:rPr>
          <w:lang w:val="de-DE"/>
        </w:rPr>
      </w:pPr>
      <w:r w:rsidRPr="00285483">
        <w:rPr>
          <w:lang w:val="de-DE"/>
        </w:rPr>
        <w:tab/>
        <w:t>1. Verarbeitung von Anmeldungen von Anbietern von Datenvermittlungsdiensten im Hinblick auf ihre Eintragung in das öffentliche Register der Anbieter von Datenvermittlungsdiensten in der Europäischen Union,</w:t>
      </w:r>
    </w:p>
    <w:p w14:paraId="2FB2A90F" w14:textId="77777777" w:rsidR="00B86275" w:rsidRPr="00285483" w:rsidRDefault="00B86275" w:rsidP="00B86275">
      <w:pPr>
        <w:jc w:val="both"/>
        <w:rPr>
          <w:lang w:val="de-DE"/>
        </w:rPr>
      </w:pPr>
    </w:p>
    <w:p w14:paraId="740C7CDD" w14:textId="77777777" w:rsidR="00B86275" w:rsidRPr="00285483" w:rsidRDefault="00B86275" w:rsidP="00B86275">
      <w:pPr>
        <w:jc w:val="both"/>
        <w:rPr>
          <w:lang w:val="de-DE"/>
        </w:rPr>
      </w:pPr>
      <w:r w:rsidRPr="00285483">
        <w:rPr>
          <w:lang w:val="de-DE"/>
        </w:rPr>
        <w:tab/>
        <w:t>2. Verarbeitung von Registrierungsanträgen von datenaltruistischen Organisationen im Hinblick auf ihre Registrierung im öffentlichen nationalen Register der anerkannten datenaltruistischen Organisationen und im öffentlichen Register der in der Europäischen Union anerkannten datenaltruistischen Organisationen.</w:t>
      </w:r>
    </w:p>
    <w:p w14:paraId="1E1F1104" w14:textId="77777777" w:rsidR="00B86275" w:rsidRPr="00285483" w:rsidRDefault="00B86275" w:rsidP="00B86275">
      <w:pPr>
        <w:jc w:val="both"/>
        <w:rPr>
          <w:lang w:val="de-DE"/>
        </w:rPr>
      </w:pPr>
    </w:p>
    <w:p w14:paraId="28DC7B21" w14:textId="77777777" w:rsidR="00B86275" w:rsidRPr="00285483" w:rsidRDefault="00B86275" w:rsidP="00B86275">
      <w:pPr>
        <w:jc w:val="both"/>
        <w:rPr>
          <w:lang w:val="de-DE"/>
        </w:rPr>
      </w:pPr>
      <w:r w:rsidRPr="00285483">
        <w:rPr>
          <w:lang w:val="de-DE"/>
        </w:rPr>
        <w:tab/>
        <w:t>§ 3 - Die Kategorien von betroffenen Personen sind natürliche Personen, die:</w:t>
      </w:r>
    </w:p>
    <w:p w14:paraId="2D6C6F11" w14:textId="77777777" w:rsidR="00B86275" w:rsidRPr="00285483" w:rsidRDefault="00B86275" w:rsidP="00B86275">
      <w:pPr>
        <w:jc w:val="both"/>
        <w:rPr>
          <w:lang w:val="de-DE"/>
        </w:rPr>
      </w:pPr>
    </w:p>
    <w:p w14:paraId="33ED9CFE" w14:textId="77777777" w:rsidR="00B86275" w:rsidRPr="00285483" w:rsidRDefault="00B86275" w:rsidP="00B86275">
      <w:pPr>
        <w:jc w:val="both"/>
        <w:rPr>
          <w:lang w:val="de-DE"/>
        </w:rPr>
      </w:pPr>
      <w:r w:rsidRPr="00285483">
        <w:rPr>
          <w:lang w:val="de-DE"/>
        </w:rPr>
        <w:tab/>
        <w:t>1. Mitglieder des gesetzlichen Verwaltungsorgans einer juristischen Person sind, die ihre Eintragung als Anbieter von Datenvermittlungsdiensten oder ihre Registrierung als anerkannte datenaltruistische Organisation beantragt,</w:t>
      </w:r>
    </w:p>
    <w:p w14:paraId="3DAC907E" w14:textId="77777777" w:rsidR="00B86275" w:rsidRPr="00285483" w:rsidRDefault="00B86275" w:rsidP="00B86275">
      <w:pPr>
        <w:jc w:val="both"/>
        <w:rPr>
          <w:lang w:val="de-DE"/>
        </w:rPr>
      </w:pPr>
    </w:p>
    <w:p w14:paraId="203011E9" w14:textId="77777777" w:rsidR="00B86275" w:rsidRPr="00285483" w:rsidRDefault="00B86275" w:rsidP="00B86275">
      <w:pPr>
        <w:jc w:val="both"/>
        <w:rPr>
          <w:lang w:val="de-DE"/>
        </w:rPr>
      </w:pPr>
      <w:r w:rsidRPr="00285483">
        <w:rPr>
          <w:lang w:val="de-DE"/>
        </w:rPr>
        <w:tab/>
        <w:t>2. die tatsächliche Leitung einer juristischen Person gewährleisten, die ihre Eintragung als Anbieter von Datenvermittlungsdiensten oder ihre Registrierung als anerkannte datenaltruistische Organisation beantragt,</w:t>
      </w:r>
    </w:p>
    <w:p w14:paraId="6F2BCCD7" w14:textId="77777777" w:rsidR="00B86275" w:rsidRPr="00285483" w:rsidRDefault="00B86275" w:rsidP="00B86275">
      <w:pPr>
        <w:jc w:val="both"/>
        <w:rPr>
          <w:lang w:val="de-DE"/>
        </w:rPr>
      </w:pPr>
    </w:p>
    <w:p w14:paraId="7E5E52F5" w14:textId="77777777" w:rsidR="00B86275" w:rsidRPr="00285483" w:rsidRDefault="00B86275" w:rsidP="00B86275">
      <w:pPr>
        <w:jc w:val="both"/>
        <w:rPr>
          <w:lang w:val="de-DE"/>
        </w:rPr>
      </w:pPr>
      <w:r w:rsidRPr="00285483">
        <w:rPr>
          <w:lang w:val="de-DE"/>
        </w:rPr>
        <w:tab/>
        <w:t>3. wirtschaftliche Eigentümer, Geschäftsführer, Verwalter, Bevollmächtigte oder gesetzliche Vertreter einer juristischen Person sind, die ihre Eintragung als Anbieter von Datenvermittlungsdiensten oder ihre Registrierung als anerkannte datenaltruistische Organisation beantragt.</w:t>
      </w:r>
    </w:p>
    <w:p w14:paraId="03A16EC7" w14:textId="77777777" w:rsidR="00B86275" w:rsidRPr="00285483" w:rsidRDefault="00B86275" w:rsidP="00B86275">
      <w:pPr>
        <w:jc w:val="both"/>
        <w:rPr>
          <w:lang w:val="de-DE"/>
        </w:rPr>
      </w:pPr>
    </w:p>
    <w:p w14:paraId="63237FD0" w14:textId="77777777" w:rsidR="00B86275" w:rsidRPr="00285483" w:rsidRDefault="00B86275" w:rsidP="00B86275">
      <w:pPr>
        <w:jc w:val="both"/>
        <w:rPr>
          <w:lang w:val="de-DE"/>
        </w:rPr>
      </w:pPr>
      <w:r w:rsidRPr="00285483">
        <w:rPr>
          <w:lang w:val="de-DE"/>
        </w:rPr>
        <w:tab/>
        <w:t>Die betroffenen Datenkategorien sind die Erkennungsdaten, die in den Artikeln XII.40 und XII.43 erwähnten Daten und die Daten, die erforderlich sind, um die Einhaltung der in den Artikeln XII.40 und XII.43 erwähnten Bedingungen nachzuweisen.</w:t>
      </w:r>
    </w:p>
    <w:p w14:paraId="63EB3F41" w14:textId="77777777" w:rsidR="00B86275" w:rsidRPr="00285483" w:rsidRDefault="00B86275" w:rsidP="00B86275">
      <w:pPr>
        <w:jc w:val="both"/>
        <w:rPr>
          <w:lang w:val="de-DE"/>
        </w:rPr>
      </w:pPr>
    </w:p>
    <w:p w14:paraId="56CE37E7" w14:textId="77777777" w:rsidR="00820237" w:rsidRDefault="00820237">
      <w:pPr>
        <w:rPr>
          <w:lang w:val="de-DE"/>
        </w:rPr>
      </w:pPr>
      <w:r>
        <w:rPr>
          <w:lang w:val="de-DE"/>
        </w:rPr>
        <w:br w:type="page"/>
      </w:r>
    </w:p>
    <w:p w14:paraId="52E681A5" w14:textId="23177AC9" w:rsidR="00B86275" w:rsidRPr="00285483" w:rsidRDefault="00B86275" w:rsidP="00B86275">
      <w:pPr>
        <w:jc w:val="both"/>
        <w:rPr>
          <w:lang w:val="de-DE"/>
        </w:rPr>
      </w:pPr>
      <w:r w:rsidRPr="00285483">
        <w:rPr>
          <w:lang w:val="de-DE"/>
        </w:rPr>
        <w:lastRenderedPageBreak/>
        <w:tab/>
        <w:t>Die Empfänger dieser Daten sind:</w:t>
      </w:r>
    </w:p>
    <w:p w14:paraId="70087965" w14:textId="77777777" w:rsidR="00B86275" w:rsidRPr="00285483" w:rsidRDefault="00B86275" w:rsidP="00B86275">
      <w:pPr>
        <w:jc w:val="both"/>
        <w:rPr>
          <w:lang w:val="de-DE"/>
        </w:rPr>
      </w:pPr>
    </w:p>
    <w:p w14:paraId="10260B75" w14:textId="77777777" w:rsidR="00B86275" w:rsidRPr="00285483" w:rsidRDefault="00B86275" w:rsidP="00B86275">
      <w:pPr>
        <w:jc w:val="both"/>
        <w:rPr>
          <w:lang w:val="de-DE"/>
        </w:rPr>
      </w:pPr>
      <w:r w:rsidRPr="00285483">
        <w:rPr>
          <w:lang w:val="de-DE"/>
        </w:rPr>
        <w:tab/>
        <w:t>1. das Eintragungsorgan und das Organ für die Überwachung von Datenvermittlungsdiensten und datenaltruistischen Organisationen,</w:t>
      </w:r>
    </w:p>
    <w:p w14:paraId="1E925369" w14:textId="77777777" w:rsidR="00B86275" w:rsidRPr="00285483" w:rsidRDefault="00B86275" w:rsidP="00B86275">
      <w:pPr>
        <w:jc w:val="both"/>
        <w:rPr>
          <w:lang w:val="de-DE"/>
        </w:rPr>
      </w:pPr>
    </w:p>
    <w:p w14:paraId="6E9696B1" w14:textId="77777777" w:rsidR="00B86275" w:rsidRPr="00285483" w:rsidRDefault="00B86275" w:rsidP="00B86275">
      <w:pPr>
        <w:jc w:val="both"/>
        <w:rPr>
          <w:lang w:val="de-DE"/>
        </w:rPr>
      </w:pPr>
      <w:r w:rsidRPr="00285483">
        <w:rPr>
          <w:lang w:val="de-DE"/>
        </w:rPr>
        <w:tab/>
        <w:t>2. die Europäische Kommission in dem Maße, wie es für die Eintragung von Anbietern von Datenvermittlungsdiensten in das öffentliche Register der Anbieter von Datenvermittlungsdiensten in der Europäischen Union und von datenaltruistischen Organisationen in das öffentliche Register der in der Europäischen Union anerkannten datenaltruistischen Organisationen erforderlich ist.</w:t>
      </w:r>
    </w:p>
    <w:p w14:paraId="2220034E" w14:textId="77777777" w:rsidR="00B86275" w:rsidRPr="00285483" w:rsidRDefault="00B86275" w:rsidP="00B86275">
      <w:pPr>
        <w:jc w:val="both"/>
        <w:rPr>
          <w:lang w:val="de-DE"/>
        </w:rPr>
      </w:pPr>
    </w:p>
    <w:p w14:paraId="592AC0AB" w14:textId="412B9CAE" w:rsidR="00B86275" w:rsidRDefault="00B86275" w:rsidP="00B86275">
      <w:pPr>
        <w:jc w:val="both"/>
        <w:rPr>
          <w:lang w:val="de-DE"/>
        </w:rPr>
      </w:pPr>
      <w:r w:rsidRPr="00285483">
        <w:rPr>
          <w:lang w:val="de-DE"/>
        </w:rPr>
        <w:tab/>
        <w:t>§ 4 - Personenbezogene Daten, die gemäß den Bestimmungen des vorliegenden Titels verarbeitet werden, werden nicht länger als notwendig für die Zwecke, für die sie verarbeitet werden, aufbewahrt, mit einer maximalen Aufbewahrungsfrist von zehn Jahren ab dem Zeitpunkt der Streichung aus dem öffentlichen Register der Anbieter von Datenvermittlungsdiensten in der Europäischen Union oder der Streichung aus dem öffentlichen nationalen Register der anerkannten datenaltruistischen Organisationen und dem öffentlichen Register der in der Europäischen Union anerkannten datenaltruistischen Organisationen.</w:t>
      </w:r>
      <w:r>
        <w:rPr>
          <w:lang w:val="de-DE"/>
        </w:rPr>
        <w:t>]</w:t>
      </w:r>
    </w:p>
    <w:p w14:paraId="045D96E9" w14:textId="77777777" w:rsidR="00B86275" w:rsidRDefault="00B86275" w:rsidP="00872F21">
      <w:pPr>
        <w:jc w:val="both"/>
        <w:rPr>
          <w:lang w:val="de-DE"/>
        </w:rPr>
      </w:pPr>
    </w:p>
    <w:p w14:paraId="3BFA6935" w14:textId="1539FE4D" w:rsidR="00B86275" w:rsidRDefault="00B86275" w:rsidP="00872F21">
      <w:pPr>
        <w:jc w:val="both"/>
        <w:rPr>
          <w:lang w:val="de-DE"/>
        </w:rPr>
      </w:pPr>
      <w:r>
        <w:rPr>
          <w:i/>
          <w:iCs/>
          <w:lang w:val="de-DE"/>
        </w:rPr>
        <w:t>[Art. XII.45 eingefügt durch Art. 24 des G. vom 15. Mai 2024 (B.S. vom 7. Juni 2024)]</w:t>
      </w:r>
    </w:p>
    <w:p w14:paraId="56269749" w14:textId="77777777" w:rsidR="00B86275" w:rsidRDefault="00B86275" w:rsidP="00872F21">
      <w:pPr>
        <w:jc w:val="both"/>
        <w:rPr>
          <w:lang w:val="de-DE"/>
        </w:rPr>
      </w:pPr>
    </w:p>
    <w:p w14:paraId="7927E42B" w14:textId="77777777" w:rsidR="00B86275" w:rsidRDefault="00B86275" w:rsidP="00872F21">
      <w:pPr>
        <w:jc w:val="both"/>
        <w:rPr>
          <w:lang w:val="de-DE"/>
        </w:rPr>
      </w:pPr>
    </w:p>
    <w:p w14:paraId="08286E8A" w14:textId="77777777" w:rsidR="00B86275" w:rsidRDefault="00B86275" w:rsidP="00872F21">
      <w:pPr>
        <w:jc w:val="both"/>
        <w:rPr>
          <w:lang w:val="de-DE"/>
        </w:rPr>
      </w:pPr>
    </w:p>
    <w:p w14:paraId="3FBB3508" w14:textId="77777777" w:rsidR="00B86275" w:rsidRDefault="00B86275" w:rsidP="00872F21">
      <w:pPr>
        <w:jc w:val="both"/>
        <w:rPr>
          <w:lang w:val="de-DE"/>
        </w:rPr>
      </w:pPr>
    </w:p>
    <w:p w14:paraId="4EF8B7C4" w14:textId="77777777" w:rsidR="00B86275" w:rsidRDefault="00B86275" w:rsidP="00872F21">
      <w:pPr>
        <w:jc w:val="both"/>
        <w:rPr>
          <w:lang w:val="de-DE"/>
        </w:rPr>
      </w:pPr>
    </w:p>
    <w:p w14:paraId="6965C2D6" w14:textId="77777777" w:rsidR="00B86275" w:rsidRPr="00872F21" w:rsidRDefault="00B86275" w:rsidP="00872F21">
      <w:pPr>
        <w:jc w:val="both"/>
        <w:rPr>
          <w:lang w:val="de-DE"/>
        </w:rPr>
      </w:pPr>
    </w:p>
    <w:p w14:paraId="628EB392" w14:textId="1699FF66" w:rsidR="00872F21" w:rsidRDefault="00872F21">
      <w:pPr>
        <w:rPr>
          <w:lang w:val="de-DE"/>
        </w:rPr>
      </w:pPr>
      <w:r>
        <w:rPr>
          <w:lang w:val="de-DE"/>
        </w:rPr>
        <w:br w:type="page"/>
      </w:r>
    </w:p>
    <w:p w14:paraId="178BDB65" w14:textId="54DB5C65" w:rsidR="003F6C37" w:rsidRPr="00B14651" w:rsidRDefault="003F6C37" w:rsidP="003F6C37">
      <w:pPr>
        <w:jc w:val="center"/>
        <w:rPr>
          <w:lang w:val="da-DK"/>
        </w:rPr>
      </w:pPr>
      <w:r w:rsidRPr="00B14651">
        <w:rPr>
          <w:lang w:val="da-DK"/>
        </w:rPr>
        <w:lastRenderedPageBreak/>
        <w:t>[</w:t>
      </w:r>
      <w:r w:rsidR="00BE0A56" w:rsidRPr="00B14651">
        <w:rPr>
          <w:lang w:val="da-DK"/>
        </w:rPr>
        <w:t>Art. </w:t>
      </w:r>
      <w:r w:rsidRPr="00B14651">
        <w:rPr>
          <w:lang w:val="da-DK"/>
        </w:rPr>
        <w:t xml:space="preserve">XII.N1 </w:t>
      </w:r>
      <w:r w:rsidR="005B7A5C" w:rsidRPr="00B14651">
        <w:rPr>
          <w:lang w:val="da-DK"/>
        </w:rPr>
        <w:t>- </w:t>
      </w:r>
      <w:r w:rsidRPr="00B14651">
        <w:rPr>
          <w:lang w:val="da-DK"/>
        </w:rPr>
        <w:t>ANLAGE I]</w:t>
      </w:r>
    </w:p>
    <w:p w14:paraId="6B6C6A56" w14:textId="77777777" w:rsidR="003F6C37" w:rsidRPr="00B14651" w:rsidRDefault="003F6C37" w:rsidP="003F6C37">
      <w:pPr>
        <w:jc w:val="center"/>
        <w:rPr>
          <w:lang w:val="da-DK"/>
        </w:rPr>
      </w:pPr>
    </w:p>
    <w:p w14:paraId="39384B5F" w14:textId="00CE9830" w:rsidR="003F6C37" w:rsidRPr="004676F5" w:rsidRDefault="003F6C37" w:rsidP="003F6C37">
      <w:pPr>
        <w:jc w:val="both"/>
        <w:rPr>
          <w:i/>
          <w:lang w:val="de-DE"/>
        </w:rPr>
      </w:pPr>
      <w:r w:rsidRPr="004676F5">
        <w:rPr>
          <w:i/>
          <w:lang w:val="de-DE"/>
        </w:rPr>
        <w:t xml:space="preserve">[Anlage I eingefügt durch </w:t>
      </w:r>
      <w:r w:rsidR="00BE0A56" w:rsidRPr="004676F5">
        <w:rPr>
          <w:i/>
          <w:lang w:val="de-DE"/>
        </w:rPr>
        <w:t>Art. </w:t>
      </w:r>
      <w:r w:rsidR="00F70652" w:rsidRPr="004676F5">
        <w:rPr>
          <w:i/>
          <w:lang w:val="de-DE"/>
        </w:rPr>
        <w:t xml:space="preserve">11 </w:t>
      </w:r>
      <w:r w:rsidRPr="004676F5">
        <w:rPr>
          <w:i/>
          <w:lang w:val="de-DE"/>
        </w:rPr>
        <w:t>d</w:t>
      </w:r>
      <w:r w:rsidR="00F70652" w:rsidRPr="004676F5">
        <w:rPr>
          <w:i/>
          <w:lang w:val="de-DE"/>
        </w:rPr>
        <w:t>e</w:t>
      </w:r>
      <w:r w:rsidRPr="004676F5">
        <w:rPr>
          <w:i/>
          <w:lang w:val="de-DE"/>
        </w:rPr>
        <w:t>s G. vom 21. Juli 2016 (B.S. vom 28. September 2016)]</w:t>
      </w:r>
    </w:p>
    <w:p w14:paraId="3FB0452B" w14:textId="77777777" w:rsidR="003F6C37" w:rsidRPr="004676F5" w:rsidRDefault="003F6C37" w:rsidP="003F6C37">
      <w:pPr>
        <w:jc w:val="both"/>
        <w:rPr>
          <w:i/>
          <w:lang w:val="de-DE"/>
        </w:rPr>
      </w:pPr>
    </w:p>
    <w:p w14:paraId="685A4B4D" w14:textId="77777777" w:rsidR="003F6C37" w:rsidRPr="004676F5" w:rsidRDefault="003F6C37" w:rsidP="003F6C37">
      <w:pPr>
        <w:jc w:val="center"/>
        <w:rPr>
          <w:lang w:val="de-DE"/>
        </w:rPr>
      </w:pPr>
    </w:p>
    <w:p w14:paraId="6B07AA27" w14:textId="77777777" w:rsidR="003F6C37" w:rsidRPr="004676F5" w:rsidRDefault="003F6C37" w:rsidP="003F6C37">
      <w:pPr>
        <w:jc w:val="center"/>
        <w:rPr>
          <w:lang w:val="de-DE"/>
        </w:rPr>
      </w:pPr>
      <w:r w:rsidRPr="004676F5">
        <w:rPr>
          <w:lang w:val="de-DE"/>
        </w:rPr>
        <w:t>Anforderungen an qualifizierte Dienste für elektronische Archivierung</w:t>
      </w:r>
    </w:p>
    <w:p w14:paraId="20178A90" w14:textId="77777777" w:rsidR="003F6C37" w:rsidRPr="004676F5" w:rsidRDefault="003F6C37" w:rsidP="003F6C37">
      <w:pPr>
        <w:rPr>
          <w:lang w:val="de-DE"/>
        </w:rPr>
      </w:pPr>
    </w:p>
    <w:p w14:paraId="422B7B79" w14:textId="77777777" w:rsidR="003F6C37" w:rsidRPr="004676F5" w:rsidRDefault="003F6C37" w:rsidP="003F6C37">
      <w:pPr>
        <w:ind w:firstLine="708"/>
        <w:jc w:val="both"/>
        <w:rPr>
          <w:lang w:val="de-DE"/>
        </w:rPr>
      </w:pPr>
      <w:r w:rsidRPr="004676F5">
        <w:rPr>
          <w:lang w:val="de-DE"/>
        </w:rPr>
        <w:t>Unbeschadet der auf qualifizierte Vertrauensdiensteanbieter anwendbaren Bestim</w:t>
      </w:r>
      <w:r w:rsidRPr="004676F5">
        <w:rPr>
          <w:lang w:val="de-DE"/>
        </w:rPr>
        <w:softHyphen/>
        <w:t>mungen der Verordnung 910/2014 muss ein in Belgien ansässiger qualifizierter Vertrauens</w:t>
      </w:r>
      <w:r w:rsidRPr="004676F5">
        <w:rPr>
          <w:lang w:val="de-DE"/>
        </w:rPr>
        <w:softHyphen/>
        <w:t>dienste</w:t>
      </w:r>
      <w:r w:rsidRPr="004676F5">
        <w:rPr>
          <w:lang w:val="de-DE"/>
        </w:rPr>
        <w:softHyphen/>
        <w:t>anbieter, der einen qualifizierten Dienst für elektronische Archivierung erbringt:</w:t>
      </w:r>
    </w:p>
    <w:p w14:paraId="192C9D89" w14:textId="77777777" w:rsidR="003F6C37" w:rsidRPr="004676F5" w:rsidRDefault="003F6C37" w:rsidP="003F6C37">
      <w:pPr>
        <w:ind w:firstLine="708"/>
        <w:jc w:val="both"/>
        <w:rPr>
          <w:lang w:val="de-DE"/>
        </w:rPr>
      </w:pPr>
    </w:p>
    <w:p w14:paraId="5FA45CAC" w14:textId="77777777" w:rsidR="003F6C37" w:rsidRPr="004676F5" w:rsidRDefault="003F6C37" w:rsidP="003F6C37">
      <w:pPr>
        <w:ind w:firstLine="708"/>
        <w:jc w:val="both"/>
        <w:rPr>
          <w:lang w:val="de-DE"/>
        </w:rPr>
      </w:pPr>
      <w:r w:rsidRPr="004676F5">
        <w:rPr>
          <w:i/>
          <w:lang w:val="de-DE"/>
        </w:rPr>
        <w:t>a)</w:t>
      </w:r>
      <w:r w:rsidRPr="004676F5">
        <w:rPr>
          <w:lang w:val="de-DE"/>
        </w:rPr>
        <w:t> gegebenenfalls die Artikel 34 und 40 der Verordnung 910/2014 einhalten,</w:t>
      </w:r>
    </w:p>
    <w:p w14:paraId="3F840C66" w14:textId="77777777" w:rsidR="003F6C37" w:rsidRPr="004676F5" w:rsidRDefault="003F6C37" w:rsidP="003F6C37">
      <w:pPr>
        <w:ind w:firstLine="708"/>
        <w:jc w:val="both"/>
        <w:rPr>
          <w:lang w:val="de-DE"/>
        </w:rPr>
      </w:pPr>
    </w:p>
    <w:p w14:paraId="47DC7DB2" w14:textId="77777777" w:rsidR="003F6C37" w:rsidRPr="004676F5" w:rsidRDefault="003F6C37" w:rsidP="003F6C37">
      <w:pPr>
        <w:ind w:firstLine="708"/>
        <w:jc w:val="both"/>
        <w:rPr>
          <w:lang w:val="de-DE"/>
        </w:rPr>
      </w:pPr>
      <w:r w:rsidRPr="004676F5">
        <w:rPr>
          <w:i/>
          <w:lang w:val="de-DE"/>
        </w:rPr>
        <w:t>b)</w:t>
      </w:r>
      <w:r w:rsidRPr="004676F5">
        <w:rPr>
          <w:lang w:val="de-DE"/>
        </w:rPr>
        <w:t> sich der Verarbeitung von ihm anvertrauten Daten enthalten außer in Fällen, die in Artikel 5 Buchstabe </w:t>
      </w:r>
      <w:r w:rsidRPr="004676F5">
        <w:rPr>
          <w:i/>
          <w:lang w:val="de-DE"/>
        </w:rPr>
        <w:t>b)</w:t>
      </w:r>
      <w:r w:rsidRPr="004676F5">
        <w:rPr>
          <w:lang w:val="de-DE"/>
        </w:rPr>
        <w:t xml:space="preserve">, </w:t>
      </w:r>
      <w:r w:rsidRPr="004676F5">
        <w:rPr>
          <w:i/>
          <w:lang w:val="de-DE"/>
        </w:rPr>
        <w:t>c)</w:t>
      </w:r>
      <w:r w:rsidRPr="004676F5">
        <w:rPr>
          <w:lang w:val="de-DE"/>
        </w:rPr>
        <w:t xml:space="preserve">, </w:t>
      </w:r>
      <w:r w:rsidRPr="004676F5">
        <w:rPr>
          <w:i/>
          <w:lang w:val="de-DE"/>
        </w:rPr>
        <w:t>d)</w:t>
      </w:r>
      <w:r w:rsidRPr="004676F5">
        <w:rPr>
          <w:lang w:val="de-DE"/>
        </w:rPr>
        <w:t xml:space="preserve"> und </w:t>
      </w:r>
      <w:r w:rsidRPr="004676F5">
        <w:rPr>
          <w:i/>
          <w:lang w:val="de-DE"/>
        </w:rPr>
        <w:t>e)</w:t>
      </w:r>
      <w:r w:rsidRPr="004676F5">
        <w:rPr>
          <w:lang w:val="de-DE"/>
        </w:rPr>
        <w:t xml:space="preserve"> des Gesetzes vom 8. Dezember 1992 über den Schutz des Privatlebens hinsichtlich der Verarbeitung personenbezogener Daten aufgezählt sind,</w:t>
      </w:r>
    </w:p>
    <w:p w14:paraId="70CEEAEE" w14:textId="77777777" w:rsidR="003F6C37" w:rsidRPr="004676F5" w:rsidRDefault="003F6C37" w:rsidP="003F6C37">
      <w:pPr>
        <w:ind w:firstLine="708"/>
        <w:jc w:val="both"/>
        <w:rPr>
          <w:lang w:val="de-DE"/>
        </w:rPr>
      </w:pPr>
    </w:p>
    <w:p w14:paraId="4D17A16C" w14:textId="77777777" w:rsidR="003F6C37" w:rsidRPr="004676F5" w:rsidRDefault="003F6C37" w:rsidP="003F6C37">
      <w:pPr>
        <w:ind w:firstLine="708"/>
        <w:jc w:val="both"/>
        <w:rPr>
          <w:lang w:val="de-DE"/>
        </w:rPr>
      </w:pPr>
      <w:r w:rsidRPr="004676F5">
        <w:rPr>
          <w:lang w:val="de-DE"/>
        </w:rPr>
        <w:t>c) unter Berücksichtigung des Stands der Technik erforderliche Maßnahmen treffen zur Gewährleistung der Lesbarkeit der Daten mindestens während der gesetzlichen, verordnungs</w:t>
      </w:r>
      <w:r w:rsidRPr="004676F5">
        <w:rPr>
          <w:lang w:val="de-DE"/>
        </w:rPr>
        <w:softHyphen/>
        <w:t>rechtlichen oder vertraglichen Aufbewahrungsfrist,</w:t>
      </w:r>
    </w:p>
    <w:p w14:paraId="1E989AE8" w14:textId="77777777" w:rsidR="003F6C37" w:rsidRPr="004676F5" w:rsidRDefault="003F6C37" w:rsidP="003F6C37">
      <w:pPr>
        <w:ind w:firstLine="708"/>
        <w:jc w:val="both"/>
        <w:rPr>
          <w:lang w:val="de-DE"/>
        </w:rPr>
      </w:pPr>
    </w:p>
    <w:p w14:paraId="5F7B749F" w14:textId="245EE17D" w:rsidR="003F6C37" w:rsidRPr="004676F5" w:rsidRDefault="003F6C37" w:rsidP="003F6C37">
      <w:pPr>
        <w:ind w:firstLine="708"/>
        <w:jc w:val="both"/>
        <w:rPr>
          <w:lang w:val="de-DE"/>
        </w:rPr>
      </w:pPr>
      <w:r w:rsidRPr="004676F5">
        <w:rPr>
          <w:i/>
          <w:lang w:val="de-DE"/>
        </w:rPr>
        <w:t>d)</w:t>
      </w:r>
      <w:r w:rsidRPr="004676F5">
        <w:rPr>
          <w:lang w:val="de-DE"/>
        </w:rPr>
        <w:t xml:space="preserve"> unter Berücksichtigung des Stands der Technik erforderliche Mittel einsetzen zur Gewährleistung der Unversehrtheit und </w:t>
      </w:r>
      <w:r w:rsidR="00F60AF7" w:rsidRPr="00F60AF7">
        <w:rPr>
          <w:lang w:val="de-DE"/>
        </w:rPr>
        <w:t>Echtheit</w:t>
      </w:r>
      <w:r w:rsidRPr="004676F5">
        <w:rPr>
          <w:lang w:val="de-DE"/>
        </w:rPr>
        <w:t xml:space="preserve"> aufbewahrter elektronischer Daten und zur Verhinderung der Änderung aufbewahrter elektronischer Daten während ihrer Aufbewahrung, Einsicht oder Übertragung, vorbehaltlich der Änderungen in Bezug auf Träger oder elektronisches Format, die zur Erfüllung ihres Dienstes erforderlich sind,</w:t>
      </w:r>
    </w:p>
    <w:p w14:paraId="1E35D666" w14:textId="77777777" w:rsidR="003F6C37" w:rsidRPr="004676F5" w:rsidRDefault="003F6C37" w:rsidP="003F6C37">
      <w:pPr>
        <w:ind w:firstLine="708"/>
        <w:jc w:val="both"/>
        <w:rPr>
          <w:lang w:val="de-DE"/>
        </w:rPr>
      </w:pPr>
    </w:p>
    <w:p w14:paraId="126ECA58" w14:textId="77777777" w:rsidR="003F6C37" w:rsidRPr="004676F5" w:rsidRDefault="003F6C37" w:rsidP="003F6C37">
      <w:pPr>
        <w:ind w:firstLine="708"/>
        <w:jc w:val="both"/>
        <w:rPr>
          <w:lang w:val="de-DE"/>
        </w:rPr>
      </w:pPr>
      <w:r w:rsidRPr="004676F5">
        <w:rPr>
          <w:i/>
          <w:lang w:val="de-DE"/>
        </w:rPr>
        <w:t>e)</w:t>
      </w:r>
      <w:r w:rsidRPr="004676F5">
        <w:rPr>
          <w:lang w:val="de-DE"/>
        </w:rPr>
        <w:t xml:space="preserve"> in angemessener Frist der Forderung des Nutzers des Dienstes auf Rückgabe der von diesem Nutzer angegebenen Daten in einer mit ihm vereinbarten lesbaren und verwertbaren Form entsprechen,</w:t>
      </w:r>
    </w:p>
    <w:p w14:paraId="3F5549CA" w14:textId="77777777" w:rsidR="003F6C37" w:rsidRPr="004676F5" w:rsidRDefault="003F6C37" w:rsidP="003F6C37">
      <w:pPr>
        <w:ind w:firstLine="708"/>
        <w:jc w:val="both"/>
        <w:rPr>
          <w:lang w:val="de-DE"/>
        </w:rPr>
      </w:pPr>
    </w:p>
    <w:p w14:paraId="45FCB096" w14:textId="77777777" w:rsidR="003F6C37" w:rsidRPr="004676F5" w:rsidRDefault="003F6C37" w:rsidP="003F6C37">
      <w:pPr>
        <w:ind w:firstLine="708"/>
        <w:jc w:val="both"/>
        <w:rPr>
          <w:lang w:val="de-DE"/>
        </w:rPr>
      </w:pPr>
      <w:r w:rsidRPr="004676F5">
        <w:rPr>
          <w:i/>
          <w:lang w:val="de-DE"/>
        </w:rPr>
        <w:t>f)</w:t>
      </w:r>
      <w:r w:rsidRPr="004676F5">
        <w:rPr>
          <w:lang w:val="de-DE"/>
        </w:rPr>
        <w:t> dafür sorgen, dass das Verfahren der gewollten Vernichtung aufbewahrter Daten ihre Wiederherstellung, ob ganz oder teilweise, nicht erlaubt,</w:t>
      </w:r>
    </w:p>
    <w:p w14:paraId="0A0F3B0B" w14:textId="77777777" w:rsidR="003F6C37" w:rsidRPr="004676F5" w:rsidRDefault="003F6C37" w:rsidP="003F6C37">
      <w:pPr>
        <w:ind w:firstLine="708"/>
        <w:jc w:val="both"/>
        <w:rPr>
          <w:lang w:val="de-DE"/>
        </w:rPr>
      </w:pPr>
    </w:p>
    <w:p w14:paraId="0558D297" w14:textId="77777777" w:rsidR="003F6C37" w:rsidRPr="004676F5" w:rsidRDefault="003F6C37" w:rsidP="003F6C37">
      <w:pPr>
        <w:ind w:firstLine="708"/>
        <w:jc w:val="both"/>
        <w:rPr>
          <w:lang w:val="de-DE"/>
        </w:rPr>
      </w:pPr>
      <w:r w:rsidRPr="004676F5">
        <w:rPr>
          <w:i/>
          <w:lang w:val="de-DE"/>
        </w:rPr>
        <w:t>g)</w:t>
      </w:r>
      <w:r w:rsidRPr="004676F5">
        <w:rPr>
          <w:lang w:val="de-DE"/>
        </w:rPr>
        <w:t> jedes Mal auf einen qualifizierten Zeitstempel zurückgreifen, wenn Datum und/oder Uhrzeit festgelegt werden müssen,</w:t>
      </w:r>
    </w:p>
    <w:p w14:paraId="3B93AA2C" w14:textId="77777777" w:rsidR="003F6C37" w:rsidRPr="004676F5" w:rsidRDefault="003F6C37" w:rsidP="003F6C37">
      <w:pPr>
        <w:ind w:firstLine="708"/>
        <w:jc w:val="both"/>
        <w:rPr>
          <w:lang w:val="de-DE"/>
        </w:rPr>
      </w:pPr>
    </w:p>
    <w:p w14:paraId="2AF4201E" w14:textId="77777777" w:rsidR="003F6C37" w:rsidRPr="004676F5" w:rsidRDefault="003F6C37" w:rsidP="003F6C37">
      <w:pPr>
        <w:ind w:firstLine="708"/>
        <w:jc w:val="both"/>
        <w:rPr>
          <w:lang w:val="de-DE"/>
        </w:rPr>
      </w:pPr>
      <w:r w:rsidRPr="004676F5">
        <w:rPr>
          <w:i/>
          <w:lang w:val="de-DE"/>
        </w:rPr>
        <w:t>h)</w:t>
      </w:r>
      <w:r w:rsidRPr="004676F5">
        <w:rPr>
          <w:lang w:val="de-DE"/>
        </w:rPr>
        <w:t> bei Digitalisierung eines Dokuments auf Papier:</w:t>
      </w:r>
    </w:p>
    <w:p w14:paraId="7280F956" w14:textId="77777777" w:rsidR="003F6C37" w:rsidRPr="004676F5" w:rsidRDefault="003F6C37" w:rsidP="003F6C37">
      <w:pPr>
        <w:ind w:firstLine="708"/>
        <w:jc w:val="both"/>
        <w:rPr>
          <w:lang w:val="de-DE"/>
        </w:rPr>
      </w:pPr>
    </w:p>
    <w:p w14:paraId="58EA3B4C" w14:textId="77777777" w:rsidR="003F6C37" w:rsidRPr="004676F5" w:rsidRDefault="003F6C37" w:rsidP="003F6C37">
      <w:pPr>
        <w:ind w:firstLine="708"/>
        <w:jc w:val="both"/>
        <w:rPr>
          <w:lang w:val="de-DE"/>
        </w:rPr>
      </w:pPr>
      <w:r w:rsidRPr="004676F5">
        <w:rPr>
          <w:lang w:val="de-DE"/>
        </w:rPr>
        <w:t>1. ein System, Material und Verfahren benutzen, die eine getreue, dauerhafte und vollständige Wiedergabe des Dokuments auf Papier gewährleisten,</w:t>
      </w:r>
    </w:p>
    <w:p w14:paraId="2CF1B18C" w14:textId="77777777" w:rsidR="003F6C37" w:rsidRPr="004676F5" w:rsidRDefault="003F6C37" w:rsidP="003F6C37">
      <w:pPr>
        <w:ind w:firstLine="708"/>
        <w:jc w:val="both"/>
        <w:rPr>
          <w:lang w:val="de-DE"/>
        </w:rPr>
      </w:pPr>
    </w:p>
    <w:p w14:paraId="4F3500A8" w14:textId="77777777" w:rsidR="003F6C37" w:rsidRPr="004676F5" w:rsidRDefault="003F6C37" w:rsidP="003F6C37">
      <w:pPr>
        <w:ind w:firstLine="708"/>
        <w:jc w:val="both"/>
        <w:rPr>
          <w:lang w:val="de-DE"/>
        </w:rPr>
      </w:pPr>
      <w:r w:rsidRPr="004676F5">
        <w:rPr>
          <w:lang w:val="de-DE"/>
        </w:rPr>
        <w:t>2. während des Digitalisierungsverfahrens eine strikte und regelmäßige Kontrolle von Qualität und Exaktheit der digitalen Abschriften im Vergleich zum Original auf Papier durch</w:t>
      </w:r>
      <w:r w:rsidRPr="004676F5">
        <w:rPr>
          <w:lang w:val="de-DE"/>
        </w:rPr>
        <w:softHyphen/>
        <w:t>führen,</w:t>
      </w:r>
    </w:p>
    <w:p w14:paraId="3F66FABB" w14:textId="77777777" w:rsidR="003F6C37" w:rsidRPr="004676F5" w:rsidRDefault="003F6C37" w:rsidP="003F6C37">
      <w:pPr>
        <w:ind w:firstLine="708"/>
        <w:jc w:val="both"/>
        <w:rPr>
          <w:lang w:val="de-DE"/>
        </w:rPr>
      </w:pPr>
    </w:p>
    <w:p w14:paraId="6CADBFA2" w14:textId="77777777" w:rsidR="003F6C37" w:rsidRPr="004676F5" w:rsidRDefault="003F6C37" w:rsidP="003F6C37">
      <w:pPr>
        <w:ind w:firstLine="708"/>
        <w:jc w:val="both"/>
        <w:rPr>
          <w:lang w:val="de-DE"/>
        </w:rPr>
      </w:pPr>
      <w:r w:rsidRPr="004676F5">
        <w:rPr>
          <w:lang w:val="de-DE"/>
        </w:rPr>
        <w:t>3. eine systematische und vollständige Registrierung und Klassierung der Daten durch</w:t>
      </w:r>
      <w:r w:rsidRPr="004676F5">
        <w:rPr>
          <w:lang w:val="de-DE"/>
        </w:rPr>
        <w:softHyphen/>
        <w:t>führen,</w:t>
      </w:r>
    </w:p>
    <w:p w14:paraId="609D92AD" w14:textId="77777777" w:rsidR="003F6C37" w:rsidRPr="004676F5" w:rsidRDefault="003F6C37" w:rsidP="003F6C37">
      <w:pPr>
        <w:ind w:firstLine="708"/>
        <w:jc w:val="both"/>
        <w:rPr>
          <w:lang w:val="de-DE"/>
        </w:rPr>
      </w:pPr>
    </w:p>
    <w:p w14:paraId="1810D52F" w14:textId="77777777" w:rsidR="003F6C37" w:rsidRPr="004676F5" w:rsidRDefault="003F6C37">
      <w:pPr>
        <w:rPr>
          <w:lang w:val="de-DE"/>
        </w:rPr>
      </w:pPr>
      <w:r w:rsidRPr="004676F5">
        <w:rPr>
          <w:lang w:val="de-DE"/>
        </w:rPr>
        <w:br w:type="page"/>
      </w:r>
    </w:p>
    <w:p w14:paraId="58CF39D9" w14:textId="77777777" w:rsidR="003F6C37" w:rsidRPr="004676F5" w:rsidRDefault="003F6C37" w:rsidP="003F6C37">
      <w:pPr>
        <w:ind w:firstLine="708"/>
        <w:jc w:val="both"/>
        <w:rPr>
          <w:lang w:val="de-DE"/>
        </w:rPr>
      </w:pPr>
      <w:r w:rsidRPr="004676F5">
        <w:rPr>
          <w:lang w:val="de-DE"/>
        </w:rPr>
        <w:lastRenderedPageBreak/>
        <w:t>4. ein System zur Beschreibung der digitalisierten Akten und Dokumente anwenden, das mindestens folgende Informationen enthält:</w:t>
      </w:r>
    </w:p>
    <w:p w14:paraId="20EB2881" w14:textId="77777777" w:rsidR="003F6C37" w:rsidRPr="004676F5" w:rsidRDefault="003F6C37" w:rsidP="003F6C37">
      <w:pPr>
        <w:ind w:firstLine="708"/>
        <w:jc w:val="both"/>
        <w:rPr>
          <w:lang w:val="de-DE"/>
        </w:rPr>
      </w:pPr>
    </w:p>
    <w:p w14:paraId="787D9B33" w14:textId="52B87CA1" w:rsidR="003F6C37" w:rsidRPr="004676F5" w:rsidRDefault="005B7A5C" w:rsidP="003F6C37">
      <w:pPr>
        <w:ind w:firstLine="708"/>
        <w:jc w:val="both"/>
        <w:rPr>
          <w:lang w:val="de-DE"/>
        </w:rPr>
      </w:pPr>
      <w:r w:rsidRPr="004676F5">
        <w:rPr>
          <w:lang w:val="de-DE"/>
        </w:rPr>
        <w:t>- </w:t>
      </w:r>
      <w:r w:rsidR="003F6C37" w:rsidRPr="004676F5">
        <w:rPr>
          <w:lang w:val="de-DE"/>
        </w:rPr>
        <w:t>Bezeichnung der Akte oder des Dokuments,</w:t>
      </w:r>
    </w:p>
    <w:p w14:paraId="05B7F887" w14:textId="77777777" w:rsidR="003F6C37" w:rsidRPr="004676F5" w:rsidRDefault="003F6C37" w:rsidP="003F6C37">
      <w:pPr>
        <w:ind w:firstLine="708"/>
        <w:jc w:val="both"/>
        <w:rPr>
          <w:lang w:val="de-DE"/>
        </w:rPr>
      </w:pPr>
    </w:p>
    <w:p w14:paraId="7DC61666" w14:textId="20A78391" w:rsidR="003F6C37" w:rsidRPr="004676F5" w:rsidRDefault="005B7A5C" w:rsidP="003F6C37">
      <w:pPr>
        <w:ind w:firstLine="708"/>
        <w:jc w:val="both"/>
        <w:rPr>
          <w:lang w:val="de-DE"/>
        </w:rPr>
      </w:pPr>
      <w:r w:rsidRPr="004676F5">
        <w:rPr>
          <w:lang w:val="de-DE"/>
        </w:rPr>
        <w:t>- </w:t>
      </w:r>
      <w:r w:rsidR="003F6C37" w:rsidRPr="004676F5">
        <w:rPr>
          <w:lang w:val="de-DE"/>
        </w:rPr>
        <w:t>Identifizierungscode,</w:t>
      </w:r>
    </w:p>
    <w:p w14:paraId="33565293" w14:textId="77777777" w:rsidR="003F6C37" w:rsidRPr="004676F5" w:rsidRDefault="003F6C37" w:rsidP="003F6C37">
      <w:pPr>
        <w:ind w:firstLine="708"/>
        <w:jc w:val="both"/>
        <w:rPr>
          <w:lang w:val="de-DE"/>
        </w:rPr>
      </w:pPr>
    </w:p>
    <w:p w14:paraId="11AA8D46" w14:textId="22221871" w:rsidR="003F6C37" w:rsidRPr="004676F5" w:rsidRDefault="005B7A5C" w:rsidP="003F6C37">
      <w:pPr>
        <w:ind w:firstLine="708"/>
        <w:jc w:val="both"/>
        <w:rPr>
          <w:lang w:val="de-DE"/>
        </w:rPr>
      </w:pPr>
      <w:r w:rsidRPr="004676F5">
        <w:rPr>
          <w:lang w:val="de-DE"/>
        </w:rPr>
        <w:t>- </w:t>
      </w:r>
      <w:r w:rsidR="003F6C37" w:rsidRPr="004676F5">
        <w:rPr>
          <w:lang w:val="de-DE"/>
        </w:rPr>
        <w:t>Urheber,</w:t>
      </w:r>
    </w:p>
    <w:p w14:paraId="56FA6EED" w14:textId="77777777" w:rsidR="003F6C37" w:rsidRPr="004676F5" w:rsidRDefault="003F6C37" w:rsidP="003F6C37">
      <w:pPr>
        <w:ind w:firstLine="708"/>
        <w:jc w:val="both"/>
        <w:rPr>
          <w:lang w:val="de-DE"/>
        </w:rPr>
      </w:pPr>
    </w:p>
    <w:p w14:paraId="607E5249" w14:textId="3DCF234C" w:rsidR="003F6C37" w:rsidRPr="004676F5" w:rsidRDefault="005B7A5C" w:rsidP="003F6C37">
      <w:pPr>
        <w:ind w:firstLine="708"/>
        <w:jc w:val="both"/>
        <w:rPr>
          <w:lang w:val="de-DE"/>
        </w:rPr>
      </w:pPr>
      <w:r w:rsidRPr="004676F5">
        <w:rPr>
          <w:lang w:val="de-DE"/>
        </w:rPr>
        <w:t>- </w:t>
      </w:r>
      <w:r w:rsidR="003F6C37" w:rsidRPr="004676F5">
        <w:rPr>
          <w:lang w:val="de-DE"/>
        </w:rPr>
        <w:t>Beschreibung,</w:t>
      </w:r>
    </w:p>
    <w:p w14:paraId="6927B2B4" w14:textId="77777777" w:rsidR="003F6C37" w:rsidRPr="004676F5" w:rsidRDefault="003F6C37" w:rsidP="003F6C37">
      <w:pPr>
        <w:ind w:firstLine="708"/>
        <w:jc w:val="both"/>
        <w:rPr>
          <w:lang w:val="de-DE"/>
        </w:rPr>
      </w:pPr>
    </w:p>
    <w:p w14:paraId="32FF8AB8" w14:textId="1EAFE33A" w:rsidR="003F6C37" w:rsidRPr="004676F5" w:rsidRDefault="005B7A5C" w:rsidP="003F6C37">
      <w:pPr>
        <w:ind w:firstLine="708"/>
        <w:jc w:val="both"/>
        <w:rPr>
          <w:lang w:val="de-DE"/>
        </w:rPr>
      </w:pPr>
      <w:r w:rsidRPr="004676F5">
        <w:rPr>
          <w:lang w:val="de-DE"/>
        </w:rPr>
        <w:t>- </w:t>
      </w:r>
      <w:r w:rsidR="003F6C37" w:rsidRPr="004676F5">
        <w:rPr>
          <w:lang w:val="de-DE"/>
        </w:rPr>
        <w:t>Datum der Akte oder des Dokuments,</w:t>
      </w:r>
    </w:p>
    <w:p w14:paraId="10797AD4" w14:textId="77777777" w:rsidR="003F6C37" w:rsidRPr="004676F5" w:rsidRDefault="003F6C37" w:rsidP="003F6C37">
      <w:pPr>
        <w:ind w:firstLine="708"/>
        <w:jc w:val="both"/>
        <w:rPr>
          <w:lang w:val="de-DE"/>
        </w:rPr>
      </w:pPr>
    </w:p>
    <w:p w14:paraId="1F69E385" w14:textId="6F6C5026" w:rsidR="003F6C37" w:rsidRPr="004676F5" w:rsidRDefault="005B7A5C" w:rsidP="003F6C37">
      <w:pPr>
        <w:ind w:firstLine="708"/>
        <w:jc w:val="both"/>
        <w:rPr>
          <w:lang w:val="de-DE"/>
        </w:rPr>
      </w:pPr>
      <w:r w:rsidRPr="004676F5">
        <w:rPr>
          <w:lang w:val="de-DE"/>
        </w:rPr>
        <w:t>- </w:t>
      </w:r>
      <w:r w:rsidR="003F6C37" w:rsidRPr="004676F5">
        <w:rPr>
          <w:lang w:val="de-DE"/>
        </w:rPr>
        <w:t>Aufbewahrungsfrist,</w:t>
      </w:r>
    </w:p>
    <w:p w14:paraId="3C4A2A40" w14:textId="77777777" w:rsidR="003F6C37" w:rsidRPr="004676F5" w:rsidRDefault="003F6C37" w:rsidP="003F6C37">
      <w:pPr>
        <w:ind w:firstLine="708"/>
        <w:jc w:val="both"/>
        <w:rPr>
          <w:lang w:val="de-DE"/>
        </w:rPr>
      </w:pPr>
    </w:p>
    <w:p w14:paraId="0443B74A" w14:textId="57B27740" w:rsidR="003F6C37" w:rsidRPr="004676F5" w:rsidRDefault="005B7A5C" w:rsidP="003F6C37">
      <w:pPr>
        <w:ind w:firstLine="708"/>
        <w:jc w:val="both"/>
        <w:rPr>
          <w:lang w:val="de-DE"/>
        </w:rPr>
      </w:pPr>
      <w:r w:rsidRPr="004676F5">
        <w:rPr>
          <w:lang w:val="de-DE"/>
        </w:rPr>
        <w:t>- </w:t>
      </w:r>
      <w:r w:rsidR="003F6C37" w:rsidRPr="004676F5">
        <w:rPr>
          <w:lang w:val="de-DE"/>
        </w:rPr>
        <w:t>Endbestimmung, das heißt permanente Aufbewahrung oder Vernichtung,</w:t>
      </w:r>
    </w:p>
    <w:p w14:paraId="34DB43C9" w14:textId="77777777" w:rsidR="003F6C37" w:rsidRPr="004676F5" w:rsidRDefault="003F6C37" w:rsidP="003F6C37">
      <w:pPr>
        <w:ind w:firstLine="708"/>
        <w:jc w:val="both"/>
        <w:rPr>
          <w:lang w:val="de-DE"/>
        </w:rPr>
      </w:pPr>
    </w:p>
    <w:p w14:paraId="5AC44ECF" w14:textId="31336F46" w:rsidR="003F6C37" w:rsidRPr="004676F5" w:rsidRDefault="005B7A5C" w:rsidP="003F6C37">
      <w:pPr>
        <w:ind w:firstLine="708"/>
        <w:jc w:val="both"/>
        <w:rPr>
          <w:lang w:val="de-DE"/>
        </w:rPr>
      </w:pPr>
      <w:r w:rsidRPr="004676F5">
        <w:rPr>
          <w:lang w:val="de-DE"/>
        </w:rPr>
        <w:t>- </w:t>
      </w:r>
      <w:r w:rsidR="003F6C37" w:rsidRPr="004676F5">
        <w:rPr>
          <w:lang w:val="de-DE"/>
        </w:rPr>
        <w:t>Format des Dokuments,</w:t>
      </w:r>
    </w:p>
    <w:p w14:paraId="38103E68" w14:textId="77777777" w:rsidR="003F6C37" w:rsidRPr="004676F5" w:rsidRDefault="003F6C37" w:rsidP="003F6C37">
      <w:pPr>
        <w:ind w:firstLine="708"/>
        <w:jc w:val="both"/>
        <w:rPr>
          <w:lang w:val="de-DE"/>
        </w:rPr>
      </w:pPr>
    </w:p>
    <w:p w14:paraId="6236E223" w14:textId="77777777" w:rsidR="003F6C37" w:rsidRPr="004676F5" w:rsidRDefault="003F6C37" w:rsidP="003F6C37">
      <w:pPr>
        <w:ind w:firstLine="708"/>
        <w:jc w:val="both"/>
        <w:rPr>
          <w:lang w:val="de-DE"/>
        </w:rPr>
      </w:pPr>
      <w:r w:rsidRPr="004676F5">
        <w:rPr>
          <w:lang w:val="de-DE"/>
        </w:rPr>
        <w:t>5. solange wie die digitale Abschrift und mit denselben Garantien folgende Daten zum Digitalisierungsverfahren aufbewahren:</w:t>
      </w:r>
    </w:p>
    <w:p w14:paraId="6E8E480E" w14:textId="77777777" w:rsidR="003F6C37" w:rsidRPr="004676F5" w:rsidRDefault="003F6C37" w:rsidP="003F6C37">
      <w:pPr>
        <w:ind w:firstLine="708"/>
        <w:jc w:val="both"/>
        <w:rPr>
          <w:lang w:val="de-DE"/>
        </w:rPr>
      </w:pPr>
    </w:p>
    <w:p w14:paraId="636F3E24" w14:textId="51E58C5D" w:rsidR="003F6C37" w:rsidRPr="004676F5" w:rsidRDefault="005B7A5C" w:rsidP="003F6C37">
      <w:pPr>
        <w:ind w:firstLine="708"/>
        <w:jc w:val="both"/>
        <w:rPr>
          <w:lang w:val="de-DE"/>
        </w:rPr>
      </w:pPr>
      <w:r w:rsidRPr="004676F5">
        <w:rPr>
          <w:lang w:val="de-DE"/>
        </w:rPr>
        <w:t>- </w:t>
      </w:r>
      <w:r w:rsidR="003F6C37" w:rsidRPr="004676F5">
        <w:rPr>
          <w:lang w:val="de-DE"/>
        </w:rPr>
        <w:t>Identität des für die Digitalisierung Verantwortlichen und desjenigen, der sie durchgeführt hat,</w:t>
      </w:r>
    </w:p>
    <w:p w14:paraId="3DAFCB10" w14:textId="77777777" w:rsidR="003F6C37" w:rsidRPr="004676F5" w:rsidRDefault="003F6C37" w:rsidP="003F6C37">
      <w:pPr>
        <w:ind w:firstLine="708"/>
        <w:jc w:val="both"/>
        <w:rPr>
          <w:lang w:val="de-DE"/>
        </w:rPr>
      </w:pPr>
    </w:p>
    <w:p w14:paraId="1C0DF271" w14:textId="26D4023B" w:rsidR="003F6C37" w:rsidRPr="004676F5" w:rsidRDefault="005B7A5C" w:rsidP="003F6C37">
      <w:pPr>
        <w:ind w:firstLine="708"/>
        <w:jc w:val="both"/>
        <w:rPr>
          <w:lang w:val="de-DE"/>
        </w:rPr>
      </w:pPr>
      <w:r w:rsidRPr="004676F5">
        <w:rPr>
          <w:lang w:val="de-DE"/>
        </w:rPr>
        <w:t>- </w:t>
      </w:r>
      <w:r w:rsidR="003F6C37" w:rsidRPr="004676F5">
        <w:rPr>
          <w:lang w:val="de-DE"/>
        </w:rPr>
        <w:t>Art und Gegenstand der digitalisierten Dokumente,</w:t>
      </w:r>
    </w:p>
    <w:p w14:paraId="5E1A936B" w14:textId="77777777" w:rsidR="003F6C37" w:rsidRPr="004676F5" w:rsidRDefault="003F6C37" w:rsidP="003F6C37">
      <w:pPr>
        <w:ind w:firstLine="708"/>
        <w:jc w:val="both"/>
        <w:rPr>
          <w:lang w:val="de-DE"/>
        </w:rPr>
      </w:pPr>
    </w:p>
    <w:p w14:paraId="3C965CD1" w14:textId="274E4F36" w:rsidR="003F6C37" w:rsidRPr="004676F5" w:rsidRDefault="005B7A5C" w:rsidP="003F6C37">
      <w:pPr>
        <w:ind w:firstLine="708"/>
        <w:jc w:val="both"/>
        <w:rPr>
          <w:lang w:val="de-DE"/>
        </w:rPr>
      </w:pPr>
      <w:r w:rsidRPr="004676F5">
        <w:rPr>
          <w:lang w:val="de-DE"/>
        </w:rPr>
        <w:t>- </w:t>
      </w:r>
      <w:r w:rsidR="003F6C37" w:rsidRPr="004676F5">
        <w:rPr>
          <w:lang w:val="de-DE"/>
        </w:rPr>
        <w:t>Datierung aller sachdienlichen Vorgänge,</w:t>
      </w:r>
    </w:p>
    <w:p w14:paraId="6F739BCF" w14:textId="77777777" w:rsidR="003F6C37" w:rsidRPr="004676F5" w:rsidRDefault="003F6C37" w:rsidP="003F6C37">
      <w:pPr>
        <w:ind w:firstLine="708"/>
        <w:jc w:val="both"/>
        <w:rPr>
          <w:lang w:val="de-DE"/>
        </w:rPr>
      </w:pPr>
    </w:p>
    <w:p w14:paraId="412D44E4" w14:textId="285DD010" w:rsidR="003F6C37" w:rsidRPr="004676F5" w:rsidRDefault="005B7A5C" w:rsidP="003F6C37">
      <w:pPr>
        <w:ind w:firstLine="708"/>
        <w:jc w:val="both"/>
        <w:rPr>
          <w:lang w:val="de-DE"/>
        </w:rPr>
      </w:pPr>
      <w:r w:rsidRPr="004676F5">
        <w:rPr>
          <w:lang w:val="de-DE"/>
        </w:rPr>
        <w:t>- </w:t>
      </w:r>
      <w:r w:rsidR="003F6C37" w:rsidRPr="004676F5">
        <w:rPr>
          <w:lang w:val="de-DE"/>
        </w:rPr>
        <w:t>Berichte über eventuelle Störungen während der Digitalisierung,</w:t>
      </w:r>
    </w:p>
    <w:p w14:paraId="00B8BFDD" w14:textId="77777777" w:rsidR="003F6C37" w:rsidRPr="004676F5" w:rsidRDefault="003F6C37" w:rsidP="003F6C37">
      <w:pPr>
        <w:ind w:firstLine="708"/>
        <w:jc w:val="both"/>
        <w:rPr>
          <w:lang w:val="de-DE"/>
        </w:rPr>
      </w:pPr>
    </w:p>
    <w:p w14:paraId="4AA53D61" w14:textId="5245DBC3" w:rsidR="003F6C37" w:rsidRPr="004676F5" w:rsidRDefault="003F6C37" w:rsidP="003F6C37">
      <w:pPr>
        <w:ind w:firstLine="708"/>
        <w:jc w:val="both"/>
        <w:rPr>
          <w:lang w:val="de-DE"/>
        </w:rPr>
      </w:pPr>
      <w:r w:rsidRPr="004676F5">
        <w:rPr>
          <w:lang w:val="de-DE"/>
        </w:rPr>
        <w:t xml:space="preserve"> </w:t>
      </w:r>
      <w:r w:rsidR="005B7A5C" w:rsidRPr="004676F5">
        <w:rPr>
          <w:lang w:val="de-DE"/>
        </w:rPr>
        <w:t>- </w:t>
      </w:r>
      <w:r w:rsidRPr="004676F5">
        <w:rPr>
          <w:lang w:val="de-DE"/>
        </w:rPr>
        <w:t>Unterlagen zu der Digitalisierungspolitik und zu den angewandten Systemen und dem benutzten Material,</w:t>
      </w:r>
    </w:p>
    <w:p w14:paraId="40307FA4" w14:textId="77777777" w:rsidR="003F6C37" w:rsidRPr="004676F5" w:rsidRDefault="003F6C37" w:rsidP="003F6C37">
      <w:pPr>
        <w:ind w:firstLine="708"/>
        <w:jc w:val="both"/>
        <w:rPr>
          <w:lang w:val="de-DE"/>
        </w:rPr>
      </w:pPr>
    </w:p>
    <w:p w14:paraId="1F9D8DDF" w14:textId="77777777" w:rsidR="003F6C37" w:rsidRPr="004676F5" w:rsidRDefault="003F6C37" w:rsidP="003F6C37">
      <w:pPr>
        <w:ind w:firstLine="708"/>
        <w:jc w:val="both"/>
        <w:rPr>
          <w:lang w:val="de-DE"/>
        </w:rPr>
      </w:pPr>
      <w:r w:rsidRPr="004676F5">
        <w:rPr>
          <w:i/>
          <w:lang w:val="de-DE"/>
        </w:rPr>
        <w:t>i)</w:t>
      </w:r>
      <w:r w:rsidRPr="004676F5">
        <w:rPr>
          <w:lang w:val="de-DE"/>
        </w:rPr>
        <w:t> Nutzern seines Dienstes vor Vertragsabschluss und während der gesamten Laufzeit des Vertrags einen einfachen und unmittelbaren Zugang zu folgenden Informationen bereitstellen, die klar und verständlich formuliert sein müssen:</w:t>
      </w:r>
    </w:p>
    <w:p w14:paraId="7A586EF0" w14:textId="77777777" w:rsidR="003F6C37" w:rsidRPr="004676F5" w:rsidRDefault="003F6C37" w:rsidP="003F6C37">
      <w:pPr>
        <w:ind w:firstLine="708"/>
        <w:jc w:val="both"/>
        <w:rPr>
          <w:lang w:val="de-DE"/>
        </w:rPr>
      </w:pPr>
    </w:p>
    <w:p w14:paraId="2DA4DF9B" w14:textId="77777777" w:rsidR="003F6C37" w:rsidRPr="004676F5" w:rsidRDefault="003F6C37" w:rsidP="003F6C37">
      <w:pPr>
        <w:ind w:firstLine="708"/>
        <w:jc w:val="both"/>
        <w:rPr>
          <w:lang w:val="de-DE"/>
        </w:rPr>
      </w:pPr>
      <w:r w:rsidRPr="004676F5">
        <w:rPr>
          <w:lang w:val="de-DE"/>
        </w:rPr>
        <w:t>1. genaue Modalitäten und Bedingungen für die Benutzung seines Dienstes,</w:t>
      </w:r>
    </w:p>
    <w:p w14:paraId="2922FEDF" w14:textId="77777777" w:rsidR="003F6C37" w:rsidRPr="004676F5" w:rsidRDefault="003F6C37" w:rsidP="003F6C37">
      <w:pPr>
        <w:ind w:firstLine="708"/>
        <w:jc w:val="both"/>
        <w:rPr>
          <w:lang w:val="de-DE"/>
        </w:rPr>
      </w:pPr>
    </w:p>
    <w:p w14:paraId="3E988861" w14:textId="77777777" w:rsidR="003F6C37" w:rsidRPr="004676F5" w:rsidRDefault="003F6C37" w:rsidP="003F6C37">
      <w:pPr>
        <w:ind w:firstLine="708"/>
        <w:jc w:val="both"/>
        <w:rPr>
          <w:lang w:val="de-DE"/>
        </w:rPr>
      </w:pPr>
      <w:r w:rsidRPr="004676F5">
        <w:rPr>
          <w:lang w:val="de-DE"/>
        </w:rPr>
        <w:t>2. Funktionsweise und Zugänglichkeit seines Dienstes,</w:t>
      </w:r>
    </w:p>
    <w:p w14:paraId="7CB4C322" w14:textId="77777777" w:rsidR="003F6C37" w:rsidRPr="004676F5" w:rsidRDefault="003F6C37" w:rsidP="003F6C37">
      <w:pPr>
        <w:ind w:firstLine="708"/>
        <w:jc w:val="both"/>
        <w:rPr>
          <w:lang w:val="de-DE"/>
        </w:rPr>
      </w:pPr>
    </w:p>
    <w:p w14:paraId="3DAEDDA5" w14:textId="77777777" w:rsidR="003F6C37" w:rsidRPr="004676F5" w:rsidRDefault="003F6C37" w:rsidP="003F6C37">
      <w:pPr>
        <w:ind w:firstLine="708"/>
        <w:jc w:val="both"/>
        <w:rPr>
          <w:lang w:val="de-DE"/>
        </w:rPr>
      </w:pPr>
      <w:r w:rsidRPr="004676F5">
        <w:rPr>
          <w:lang w:val="de-DE"/>
        </w:rPr>
        <w:t>3. von ihm getroffene Sicherheitsmaßnahmen,</w:t>
      </w:r>
    </w:p>
    <w:p w14:paraId="7879EB2A" w14:textId="77777777" w:rsidR="003F6C37" w:rsidRPr="004676F5" w:rsidRDefault="003F6C37" w:rsidP="003F6C37">
      <w:pPr>
        <w:ind w:firstLine="708"/>
        <w:jc w:val="both"/>
        <w:rPr>
          <w:lang w:val="de-DE"/>
        </w:rPr>
      </w:pPr>
    </w:p>
    <w:p w14:paraId="783F9D7F" w14:textId="4B35A444" w:rsidR="003F6C37" w:rsidRPr="004676F5" w:rsidRDefault="003F6C37" w:rsidP="003F6C37">
      <w:pPr>
        <w:ind w:firstLine="708"/>
        <w:jc w:val="both"/>
        <w:rPr>
          <w:lang w:val="de-DE"/>
        </w:rPr>
      </w:pPr>
      <w:r w:rsidRPr="004676F5">
        <w:rPr>
          <w:lang w:val="de-DE"/>
        </w:rPr>
        <w:t>4. Verfahren zur Meldung von Zwischenfällen, Klage</w:t>
      </w:r>
      <w:r w:rsidR="005B7A5C" w:rsidRPr="004676F5">
        <w:rPr>
          <w:lang w:val="de-DE"/>
        </w:rPr>
        <w:t>- </w:t>
      </w:r>
      <w:r w:rsidRPr="004676F5">
        <w:rPr>
          <w:lang w:val="de-DE"/>
        </w:rPr>
        <w:t>und Streitbeilegungsverfahren,</w:t>
      </w:r>
    </w:p>
    <w:p w14:paraId="3B89F910" w14:textId="77777777" w:rsidR="003F6C37" w:rsidRPr="004676F5" w:rsidRDefault="003F6C37" w:rsidP="003F6C37">
      <w:pPr>
        <w:ind w:firstLine="708"/>
        <w:jc w:val="both"/>
        <w:rPr>
          <w:lang w:val="de-DE"/>
        </w:rPr>
      </w:pPr>
    </w:p>
    <w:p w14:paraId="3724B241" w14:textId="77777777" w:rsidR="003F6C37" w:rsidRPr="004676F5" w:rsidRDefault="003F6C37" w:rsidP="003F6C37">
      <w:pPr>
        <w:ind w:firstLine="708"/>
        <w:jc w:val="both"/>
        <w:rPr>
          <w:lang w:val="de-DE"/>
        </w:rPr>
      </w:pPr>
      <w:r w:rsidRPr="004676F5">
        <w:rPr>
          <w:lang w:val="de-DE"/>
        </w:rPr>
        <w:t>5. von ihm gebotene Garantien,</w:t>
      </w:r>
    </w:p>
    <w:p w14:paraId="15D7407B" w14:textId="77777777" w:rsidR="003F6C37" w:rsidRPr="004676F5" w:rsidRDefault="003F6C37" w:rsidP="003F6C37">
      <w:pPr>
        <w:ind w:firstLine="708"/>
        <w:jc w:val="both"/>
        <w:rPr>
          <w:lang w:val="de-DE"/>
        </w:rPr>
      </w:pPr>
    </w:p>
    <w:p w14:paraId="7DD1727E" w14:textId="77777777" w:rsidR="003F6C37" w:rsidRPr="004676F5" w:rsidRDefault="003F6C37" w:rsidP="003F6C37">
      <w:pPr>
        <w:ind w:firstLine="708"/>
        <w:jc w:val="both"/>
        <w:rPr>
          <w:lang w:val="de-DE"/>
        </w:rPr>
      </w:pPr>
      <w:r w:rsidRPr="004676F5">
        <w:rPr>
          <w:lang w:val="de-DE"/>
        </w:rPr>
        <w:t>6. Umfang seiner Haftung und eventuelle Einschränkungen,</w:t>
      </w:r>
    </w:p>
    <w:p w14:paraId="6722345F" w14:textId="77777777" w:rsidR="003F6C37" w:rsidRPr="004676F5" w:rsidRDefault="003F6C37" w:rsidP="003F6C37">
      <w:pPr>
        <w:ind w:firstLine="708"/>
        <w:jc w:val="both"/>
        <w:rPr>
          <w:lang w:val="de-DE"/>
        </w:rPr>
      </w:pPr>
    </w:p>
    <w:p w14:paraId="2640103B" w14:textId="77777777" w:rsidR="003F6C37" w:rsidRPr="004676F5" w:rsidRDefault="003F6C37" w:rsidP="003F6C37">
      <w:pPr>
        <w:ind w:firstLine="708"/>
        <w:jc w:val="both"/>
        <w:rPr>
          <w:lang w:val="de-DE"/>
        </w:rPr>
      </w:pPr>
      <w:r w:rsidRPr="004676F5">
        <w:rPr>
          <w:lang w:val="de-DE"/>
        </w:rPr>
        <w:t>7. gegebenenfalls Bestehen einer Versicherungsdeckung und deren Umfang,</w:t>
      </w:r>
    </w:p>
    <w:p w14:paraId="02BB7A9C" w14:textId="77777777" w:rsidR="003F6C37" w:rsidRPr="004676F5" w:rsidRDefault="003F6C37" w:rsidP="003F6C37">
      <w:pPr>
        <w:ind w:firstLine="708"/>
        <w:jc w:val="both"/>
        <w:rPr>
          <w:lang w:val="de-DE"/>
        </w:rPr>
      </w:pPr>
    </w:p>
    <w:p w14:paraId="6D5B579C" w14:textId="77777777" w:rsidR="003F6C37" w:rsidRPr="004676F5" w:rsidRDefault="003F6C37" w:rsidP="003F6C37">
      <w:pPr>
        <w:ind w:firstLine="708"/>
        <w:jc w:val="both"/>
        <w:rPr>
          <w:lang w:val="de-DE"/>
        </w:rPr>
      </w:pPr>
      <w:r w:rsidRPr="004676F5">
        <w:rPr>
          <w:lang w:val="de-DE"/>
        </w:rPr>
        <w:lastRenderedPageBreak/>
        <w:t>8. Laufzeit des Vertrags und Modalitäten für seine Beendigung,</w:t>
      </w:r>
    </w:p>
    <w:p w14:paraId="643CEA91" w14:textId="77777777" w:rsidR="003F6C37" w:rsidRPr="004676F5" w:rsidRDefault="003F6C37" w:rsidP="003F6C37">
      <w:pPr>
        <w:ind w:firstLine="708"/>
        <w:jc w:val="both"/>
        <w:rPr>
          <w:lang w:val="de-DE"/>
        </w:rPr>
      </w:pPr>
    </w:p>
    <w:p w14:paraId="0FFFA701" w14:textId="77777777" w:rsidR="003F6C37" w:rsidRPr="004676F5" w:rsidRDefault="003F6C37" w:rsidP="003F6C37">
      <w:pPr>
        <w:ind w:firstLine="708"/>
        <w:jc w:val="both"/>
        <w:rPr>
          <w:lang w:val="de-DE"/>
        </w:rPr>
      </w:pPr>
      <w:r w:rsidRPr="004676F5">
        <w:rPr>
          <w:lang w:val="de-DE"/>
        </w:rPr>
        <w:t>9. mit seinem Dienst verbundene Rechtsfolgen,</w:t>
      </w:r>
    </w:p>
    <w:p w14:paraId="5DB67B2C" w14:textId="77777777" w:rsidR="003F6C37" w:rsidRPr="004676F5" w:rsidRDefault="003F6C37" w:rsidP="003F6C37">
      <w:pPr>
        <w:jc w:val="both"/>
        <w:rPr>
          <w:lang w:val="de-DE"/>
        </w:rPr>
      </w:pPr>
    </w:p>
    <w:p w14:paraId="3CA02E76" w14:textId="77777777" w:rsidR="003F6C37" w:rsidRPr="004676F5" w:rsidRDefault="003F6C37" w:rsidP="003F6C37">
      <w:pPr>
        <w:ind w:firstLine="708"/>
        <w:jc w:val="both"/>
        <w:rPr>
          <w:lang w:val="de-DE"/>
        </w:rPr>
      </w:pPr>
      <w:r w:rsidRPr="004676F5">
        <w:rPr>
          <w:i/>
          <w:lang w:val="de-DE"/>
        </w:rPr>
        <w:t>j)</w:t>
      </w:r>
      <w:r w:rsidRPr="004676F5">
        <w:rPr>
          <w:lang w:val="de-DE"/>
        </w:rPr>
        <w:t> gegenüber Nutzern seines Dienstes und Dritten unparteiisch sein,</w:t>
      </w:r>
    </w:p>
    <w:p w14:paraId="682338C9" w14:textId="77777777" w:rsidR="003F6C37" w:rsidRPr="004676F5" w:rsidRDefault="003F6C37" w:rsidP="003F6C37">
      <w:pPr>
        <w:ind w:firstLine="708"/>
        <w:jc w:val="both"/>
        <w:rPr>
          <w:lang w:val="de-DE"/>
        </w:rPr>
      </w:pPr>
    </w:p>
    <w:p w14:paraId="2A4661A5" w14:textId="77777777" w:rsidR="003F6C37" w:rsidRPr="004676F5" w:rsidRDefault="003F6C37" w:rsidP="003F6C37">
      <w:pPr>
        <w:ind w:firstLine="708"/>
        <w:jc w:val="both"/>
        <w:rPr>
          <w:lang w:val="de-DE"/>
        </w:rPr>
      </w:pPr>
      <w:r w:rsidRPr="004676F5">
        <w:rPr>
          <w:i/>
          <w:lang w:val="de-DE"/>
        </w:rPr>
        <w:t>k)</w:t>
      </w:r>
      <w:r w:rsidRPr="004676F5">
        <w:rPr>
          <w:lang w:val="de-DE"/>
        </w:rPr>
        <w:t> über ausreichende Finanzmittel verfügen, um den Anforderungen der Verordnung 910/2014, von Buch XII Titel 2 und der vorliegenden Anlage entsprechend den Dienst erbringen zu können; er muss insbesondere in der Lage sein, das Haftungsrisiko für Schäden zu tragen, zum Beispiel durch Abschluss einer entsprechenden Versicherung.</w:t>
      </w:r>
    </w:p>
    <w:p w14:paraId="691CBC9F" w14:textId="77777777" w:rsidR="003F6C37" w:rsidRPr="004676F5" w:rsidRDefault="003F6C37" w:rsidP="003F6C37">
      <w:pPr>
        <w:ind w:firstLine="708"/>
        <w:jc w:val="both"/>
        <w:rPr>
          <w:lang w:val="de-DE"/>
        </w:rPr>
      </w:pPr>
    </w:p>
    <w:p w14:paraId="0E7D1D1F" w14:textId="77777777" w:rsidR="003F6C37" w:rsidRPr="004676F5" w:rsidRDefault="003F6C37" w:rsidP="003F6C37">
      <w:pPr>
        <w:ind w:firstLine="708"/>
        <w:jc w:val="both"/>
        <w:rPr>
          <w:lang w:val="de-DE"/>
        </w:rPr>
      </w:pPr>
      <w:r w:rsidRPr="004676F5">
        <w:rPr>
          <w:lang w:val="de-DE"/>
        </w:rPr>
        <w:t>Öffentliche Einrichtungen und natürliche oder juristische Personen, die für eigene Rechnung einen qualifizierten Dienst für elektronische Archivierung betreiben, entsprechen den Bestimmungen der vorliegenden Anlage, die Buchstaben </w:t>
      </w:r>
      <w:r w:rsidRPr="004676F5">
        <w:rPr>
          <w:i/>
          <w:lang w:val="de-DE"/>
        </w:rPr>
        <w:t>e)</w:t>
      </w:r>
      <w:r w:rsidRPr="004676F5">
        <w:rPr>
          <w:lang w:val="de-DE"/>
        </w:rPr>
        <w:t xml:space="preserve">, </w:t>
      </w:r>
      <w:r w:rsidRPr="004676F5">
        <w:rPr>
          <w:i/>
          <w:lang w:val="de-DE"/>
        </w:rPr>
        <w:t>i)</w:t>
      </w:r>
      <w:r w:rsidRPr="004676F5">
        <w:rPr>
          <w:lang w:val="de-DE"/>
        </w:rPr>
        <w:t xml:space="preserve">, </w:t>
      </w:r>
      <w:r w:rsidRPr="004676F5">
        <w:rPr>
          <w:i/>
          <w:lang w:val="de-DE"/>
        </w:rPr>
        <w:t>j)</w:t>
      </w:r>
      <w:r w:rsidRPr="004676F5">
        <w:rPr>
          <w:lang w:val="de-DE"/>
        </w:rPr>
        <w:t xml:space="preserve"> und </w:t>
      </w:r>
      <w:r w:rsidRPr="004676F5">
        <w:rPr>
          <w:i/>
          <w:lang w:val="de-DE"/>
        </w:rPr>
        <w:t>k)</w:t>
      </w:r>
      <w:r w:rsidRPr="004676F5">
        <w:rPr>
          <w:lang w:val="de-DE"/>
        </w:rPr>
        <w:t xml:space="preserve"> ausgenommen.</w:t>
      </w:r>
    </w:p>
    <w:p w14:paraId="70D2DD50" w14:textId="77777777" w:rsidR="003F6C37" w:rsidRPr="004676F5" w:rsidRDefault="003F6C37" w:rsidP="003F6C37">
      <w:pPr>
        <w:jc w:val="both"/>
        <w:rPr>
          <w:lang w:val="de-DE"/>
        </w:rPr>
      </w:pPr>
      <w:r w:rsidRPr="004676F5">
        <w:rPr>
          <w:lang w:val="de-DE"/>
        </w:rPr>
        <w:br w:type="page"/>
      </w:r>
    </w:p>
    <w:p w14:paraId="648148F6" w14:textId="636A126E" w:rsidR="003F6C37" w:rsidRPr="004676F5" w:rsidRDefault="003F6C37" w:rsidP="003F6C37">
      <w:pPr>
        <w:jc w:val="center"/>
        <w:rPr>
          <w:lang w:val="de-DE"/>
        </w:rPr>
      </w:pPr>
      <w:r w:rsidRPr="004676F5">
        <w:rPr>
          <w:lang w:val="de-DE"/>
        </w:rPr>
        <w:lastRenderedPageBreak/>
        <w:t>[</w:t>
      </w:r>
      <w:r w:rsidR="00BE0A56" w:rsidRPr="004676F5">
        <w:rPr>
          <w:lang w:val="de-DE"/>
        </w:rPr>
        <w:t>Art. </w:t>
      </w:r>
      <w:r w:rsidRPr="004676F5">
        <w:rPr>
          <w:lang w:val="de-DE"/>
        </w:rPr>
        <w:t xml:space="preserve">XII.N1 </w:t>
      </w:r>
      <w:r w:rsidR="005B7A5C" w:rsidRPr="004676F5">
        <w:rPr>
          <w:lang w:val="de-DE"/>
        </w:rPr>
        <w:t>- </w:t>
      </w:r>
      <w:r w:rsidRPr="004676F5">
        <w:rPr>
          <w:lang w:val="de-DE"/>
        </w:rPr>
        <w:t>ANLAGE II]</w:t>
      </w:r>
    </w:p>
    <w:p w14:paraId="4ED8EBCB" w14:textId="77777777" w:rsidR="003F6C37" w:rsidRPr="004676F5" w:rsidRDefault="003F6C37" w:rsidP="003F6C37">
      <w:pPr>
        <w:jc w:val="center"/>
        <w:rPr>
          <w:lang w:val="de-DE"/>
        </w:rPr>
      </w:pPr>
    </w:p>
    <w:p w14:paraId="72DAB032" w14:textId="642D51E7" w:rsidR="003F6C37" w:rsidRPr="004676F5" w:rsidRDefault="003F6C37" w:rsidP="003F6C37">
      <w:pPr>
        <w:jc w:val="both"/>
        <w:rPr>
          <w:i/>
          <w:lang w:val="de-DE"/>
        </w:rPr>
      </w:pPr>
      <w:r w:rsidRPr="004676F5">
        <w:rPr>
          <w:i/>
          <w:lang w:val="de-DE"/>
        </w:rPr>
        <w:t>[Anlage II eingefügt durch</w:t>
      </w:r>
      <w:r w:rsidR="00F70652" w:rsidRPr="004676F5">
        <w:rPr>
          <w:i/>
          <w:lang w:val="de-DE"/>
        </w:rPr>
        <w:t xml:space="preserve"> </w:t>
      </w:r>
      <w:r w:rsidR="00BE0A56" w:rsidRPr="004676F5">
        <w:rPr>
          <w:i/>
          <w:lang w:val="de-DE"/>
        </w:rPr>
        <w:t>Art. </w:t>
      </w:r>
      <w:r w:rsidR="00F70652" w:rsidRPr="004676F5">
        <w:rPr>
          <w:i/>
          <w:lang w:val="de-DE"/>
        </w:rPr>
        <w:t xml:space="preserve">14 </w:t>
      </w:r>
      <w:r w:rsidRPr="004676F5">
        <w:rPr>
          <w:i/>
          <w:lang w:val="de-DE"/>
        </w:rPr>
        <w:t>d</w:t>
      </w:r>
      <w:r w:rsidR="00F70652" w:rsidRPr="004676F5">
        <w:rPr>
          <w:i/>
          <w:lang w:val="de-DE"/>
        </w:rPr>
        <w:t>e</w:t>
      </w:r>
      <w:r w:rsidRPr="004676F5">
        <w:rPr>
          <w:i/>
          <w:lang w:val="de-DE"/>
        </w:rPr>
        <w:t>s G. vom 21. Juli 2016 (B.S. vom 28. September 2016)]</w:t>
      </w:r>
    </w:p>
    <w:p w14:paraId="4AA66C1E" w14:textId="77777777" w:rsidR="003F6C37" w:rsidRPr="004676F5" w:rsidRDefault="003F6C37" w:rsidP="003F6C37">
      <w:pPr>
        <w:jc w:val="center"/>
        <w:rPr>
          <w:lang w:val="de-DE"/>
        </w:rPr>
      </w:pPr>
    </w:p>
    <w:p w14:paraId="6D8EA1C6" w14:textId="77777777" w:rsidR="003F6C37" w:rsidRPr="004676F5" w:rsidRDefault="003F6C37" w:rsidP="003F6C37">
      <w:pPr>
        <w:jc w:val="center"/>
        <w:rPr>
          <w:lang w:val="de-DE"/>
        </w:rPr>
      </w:pPr>
    </w:p>
    <w:p w14:paraId="13E111D5" w14:textId="77777777" w:rsidR="003F6C37" w:rsidRPr="004676F5" w:rsidRDefault="003F6C37" w:rsidP="003F6C37">
      <w:pPr>
        <w:jc w:val="center"/>
        <w:rPr>
          <w:lang w:val="de-DE"/>
        </w:rPr>
      </w:pPr>
      <w:r w:rsidRPr="004676F5">
        <w:rPr>
          <w:lang w:val="de-DE"/>
        </w:rPr>
        <w:t>Anforderungen an qualifizierte Dienste für die Zustellung elektronischer Einschreibesendungen</w:t>
      </w:r>
    </w:p>
    <w:p w14:paraId="3C75D73F" w14:textId="77777777" w:rsidR="003F6C37" w:rsidRPr="004676F5" w:rsidRDefault="003F6C37" w:rsidP="003F6C37">
      <w:pPr>
        <w:jc w:val="both"/>
        <w:rPr>
          <w:lang w:val="de-DE"/>
        </w:rPr>
      </w:pPr>
    </w:p>
    <w:p w14:paraId="0FCF4E93" w14:textId="77777777" w:rsidR="003F6C37" w:rsidRPr="004676F5" w:rsidRDefault="003F6C37" w:rsidP="003F6C37">
      <w:pPr>
        <w:ind w:firstLine="708"/>
        <w:jc w:val="both"/>
        <w:rPr>
          <w:lang w:val="de-DE"/>
        </w:rPr>
      </w:pPr>
      <w:r w:rsidRPr="004676F5">
        <w:rPr>
          <w:lang w:val="de-DE"/>
        </w:rPr>
        <w:t>Hybride Einschreibesendungen</w:t>
      </w:r>
    </w:p>
    <w:p w14:paraId="1F062A35" w14:textId="77777777" w:rsidR="003F6C37" w:rsidRPr="004676F5" w:rsidRDefault="003F6C37" w:rsidP="003F6C37">
      <w:pPr>
        <w:ind w:firstLine="708"/>
        <w:jc w:val="both"/>
        <w:rPr>
          <w:lang w:val="de-DE"/>
        </w:rPr>
      </w:pPr>
    </w:p>
    <w:p w14:paraId="4A8DEDB3" w14:textId="77777777" w:rsidR="003F6C37" w:rsidRPr="004676F5" w:rsidRDefault="003F6C37" w:rsidP="003F6C37">
      <w:pPr>
        <w:ind w:firstLine="708"/>
        <w:jc w:val="both"/>
        <w:rPr>
          <w:lang w:val="de-DE"/>
        </w:rPr>
      </w:pPr>
      <w:r w:rsidRPr="004676F5">
        <w:rPr>
          <w:lang w:val="de-DE"/>
        </w:rPr>
        <w:t>Der Anbieter eines qualifizierten Dienstes für die Zustellung elektronischer Einschreibesendungen kann auf Verlangen des Absenders die Einschreibesendung in Papierform materialisieren und sie in einen Umschlag stecken.</w:t>
      </w:r>
    </w:p>
    <w:p w14:paraId="41E4B994" w14:textId="77777777" w:rsidR="003F6C37" w:rsidRPr="004676F5" w:rsidRDefault="003F6C37" w:rsidP="003F6C37">
      <w:pPr>
        <w:ind w:firstLine="708"/>
        <w:jc w:val="both"/>
        <w:rPr>
          <w:lang w:val="de-DE"/>
        </w:rPr>
      </w:pPr>
    </w:p>
    <w:p w14:paraId="7EB03C87" w14:textId="1E8744AB" w:rsidR="003F6C37" w:rsidRPr="004676F5" w:rsidRDefault="003F6C37" w:rsidP="003F6C37">
      <w:pPr>
        <w:ind w:firstLine="708"/>
        <w:jc w:val="both"/>
        <w:rPr>
          <w:lang w:val="de-DE"/>
        </w:rPr>
      </w:pPr>
      <w:r w:rsidRPr="004676F5">
        <w:rPr>
          <w:lang w:val="de-DE"/>
        </w:rPr>
        <w:t>Gegebenenfalls übergibt der Diensteanbieter die materialisierte elektronische Einschrei</w:t>
      </w:r>
      <w:r w:rsidRPr="004676F5">
        <w:rPr>
          <w:lang w:val="de-DE"/>
        </w:rPr>
        <w:softHyphen/>
        <w:t>be</w:t>
      </w:r>
      <w:r w:rsidRPr="004676F5">
        <w:rPr>
          <w:lang w:val="de-DE"/>
        </w:rPr>
        <w:softHyphen/>
        <w:t>sendung einem Postdiensteanbieter spätestens am Werktag nach dem Tag, an dem der Absender der qualifizierten elektronischen Einschreibesendung sie hinterlegt hat. Der Postdiensteanbieter ist im Besitz einer vom Belgischen Institut für Post</w:t>
      </w:r>
      <w:r w:rsidR="005B7A5C" w:rsidRPr="004676F5">
        <w:rPr>
          <w:lang w:val="de-DE"/>
        </w:rPr>
        <w:t>- </w:t>
      </w:r>
      <w:r w:rsidRPr="004676F5">
        <w:rPr>
          <w:lang w:val="de-DE"/>
        </w:rPr>
        <w:t>und Fernmeldewesen (BIPF) aufgrund der anwendbaren Verordnungsbestimmungen erteilten Lizenz.</w:t>
      </w:r>
    </w:p>
    <w:p w14:paraId="4A0EF81C" w14:textId="77777777" w:rsidR="003F6C37" w:rsidRPr="004676F5" w:rsidRDefault="003F6C37" w:rsidP="003F6C37">
      <w:pPr>
        <w:ind w:firstLine="708"/>
        <w:jc w:val="both"/>
        <w:rPr>
          <w:lang w:val="de-DE"/>
        </w:rPr>
      </w:pPr>
    </w:p>
    <w:p w14:paraId="3B5127C2" w14:textId="77777777" w:rsidR="003F6C37" w:rsidRPr="004676F5" w:rsidRDefault="003F6C37" w:rsidP="003F6C37">
      <w:pPr>
        <w:ind w:firstLine="708"/>
        <w:jc w:val="both"/>
        <w:rPr>
          <w:lang w:val="de-DE"/>
        </w:rPr>
      </w:pPr>
      <w:r w:rsidRPr="004676F5">
        <w:rPr>
          <w:lang w:val="de-DE"/>
        </w:rPr>
        <w:t>Der Diensteanbieter muss den Absender über das Datum informieren, an dem die Sendung tatsächlich beim Postdiensteanbieter hinterlegt worden ist.</w:t>
      </w:r>
    </w:p>
    <w:p w14:paraId="336F124C" w14:textId="77777777" w:rsidR="003F6C37" w:rsidRPr="004676F5" w:rsidRDefault="003F6C37" w:rsidP="003F6C37">
      <w:pPr>
        <w:ind w:firstLine="708"/>
        <w:jc w:val="both"/>
        <w:rPr>
          <w:lang w:val="de-DE"/>
        </w:rPr>
      </w:pPr>
    </w:p>
    <w:p w14:paraId="471DB8C3" w14:textId="77777777" w:rsidR="003F6C37" w:rsidRPr="004676F5" w:rsidRDefault="003F6C37" w:rsidP="003F6C37">
      <w:pPr>
        <w:ind w:firstLine="708"/>
        <w:jc w:val="both"/>
        <w:rPr>
          <w:lang w:val="de-DE"/>
        </w:rPr>
      </w:pPr>
      <w:r w:rsidRPr="004676F5">
        <w:rPr>
          <w:lang w:val="de-DE"/>
        </w:rPr>
        <w:t>Das Datum der Bestätigung der Versendung der elektronischen Einschreibesendung wird dem Datum der Hinterlegung der Einschreibesendung bei einem Postdiensteanbieter gleichgesetzt, insofern der Absender die Sendung nicht mehr verändern oder annullieren kann. Das Datum der Bestätigung der Versendung der elektronischen Einschreibesendung muss ebenfalls auf oder in der materialisierten Sendung stehen.</w:t>
      </w:r>
    </w:p>
    <w:p w14:paraId="5A45F1CC" w14:textId="77777777" w:rsidR="003F6C37" w:rsidRPr="004676F5" w:rsidRDefault="003F6C37" w:rsidP="003F6C37">
      <w:pPr>
        <w:ind w:firstLine="708"/>
        <w:jc w:val="both"/>
        <w:rPr>
          <w:lang w:val="de-DE"/>
        </w:rPr>
      </w:pPr>
    </w:p>
    <w:p w14:paraId="4859FA99" w14:textId="77777777" w:rsidR="003F6C37" w:rsidRPr="004676F5" w:rsidRDefault="003F6C37" w:rsidP="003F6C37">
      <w:pPr>
        <w:ind w:firstLine="708"/>
        <w:jc w:val="both"/>
        <w:rPr>
          <w:lang w:val="de-DE"/>
        </w:rPr>
      </w:pPr>
      <w:r w:rsidRPr="004676F5">
        <w:rPr>
          <w:lang w:val="de-DE"/>
        </w:rPr>
        <w:t>Der Diensteanbieter bewahrt die Nachweise für die Hinterlegung von Sendungen beim Postbetreiber während fünf Jahren auf.</w:t>
      </w:r>
    </w:p>
    <w:p w14:paraId="3EEF911B" w14:textId="77777777" w:rsidR="003F6C37" w:rsidRPr="004676F5" w:rsidRDefault="003F6C37" w:rsidP="003F6C37">
      <w:pPr>
        <w:ind w:firstLine="708"/>
        <w:jc w:val="both"/>
        <w:rPr>
          <w:lang w:val="de-DE"/>
        </w:rPr>
      </w:pPr>
    </w:p>
    <w:p w14:paraId="079E8444" w14:textId="77777777" w:rsidR="003F6C37" w:rsidRPr="004676F5" w:rsidRDefault="003F6C37" w:rsidP="003F6C37">
      <w:pPr>
        <w:ind w:firstLine="708"/>
        <w:jc w:val="both"/>
        <w:rPr>
          <w:lang w:val="de-DE"/>
        </w:rPr>
      </w:pPr>
      <w:r w:rsidRPr="004676F5">
        <w:rPr>
          <w:lang w:val="de-DE"/>
        </w:rPr>
        <w:t>Der Absender muss in den Bedingungen für die Nutzung des Dienstes deutlich über die Verteilung der Verantwortlichkeiten zwischen dem qualifizierten Anbieter eines Dienstes für die Zustellung elektronischer Einschreibesendungen und dem Postdiensteanbieter informiert werden.</w:t>
      </w:r>
    </w:p>
    <w:p w14:paraId="6744D4CE" w14:textId="77777777" w:rsidR="003F6C37" w:rsidRPr="004676F5" w:rsidRDefault="003F6C37" w:rsidP="003F6C37">
      <w:pPr>
        <w:jc w:val="both"/>
        <w:rPr>
          <w:lang w:val="de-DE"/>
        </w:rPr>
      </w:pPr>
      <w:r w:rsidRPr="004676F5">
        <w:rPr>
          <w:lang w:val="de-DE"/>
        </w:rPr>
        <w:br w:type="page"/>
      </w:r>
    </w:p>
    <w:p w14:paraId="56A4D434" w14:textId="3BE6B1F1" w:rsidR="0064642F" w:rsidRPr="004676F5" w:rsidRDefault="0064642F" w:rsidP="0064642F">
      <w:pPr>
        <w:jc w:val="center"/>
        <w:rPr>
          <w:b/>
          <w:lang w:val="de-DE"/>
        </w:rPr>
      </w:pPr>
      <w:r w:rsidRPr="004676F5">
        <w:rPr>
          <w:lang w:val="de-DE"/>
        </w:rPr>
        <w:lastRenderedPageBreak/>
        <w:t>[</w:t>
      </w:r>
      <w:r w:rsidRPr="004676F5">
        <w:rPr>
          <w:b/>
          <w:lang w:val="de-DE"/>
        </w:rPr>
        <w:t>BUCH XIII </w:t>
      </w:r>
      <w:r w:rsidR="005B7A5C" w:rsidRPr="004676F5">
        <w:rPr>
          <w:b/>
          <w:lang w:val="de-DE"/>
        </w:rPr>
        <w:t>- </w:t>
      </w:r>
      <w:r w:rsidRPr="004676F5">
        <w:rPr>
          <w:b/>
          <w:lang w:val="de-DE"/>
        </w:rPr>
        <w:t>KONZERTIERUNG</w:t>
      </w:r>
    </w:p>
    <w:p w14:paraId="0C6DA1EA" w14:textId="77777777" w:rsidR="0064642F" w:rsidRPr="004676F5" w:rsidRDefault="0064642F" w:rsidP="0064642F">
      <w:pPr>
        <w:jc w:val="center"/>
        <w:rPr>
          <w:b/>
          <w:lang w:val="de-DE"/>
        </w:rPr>
      </w:pPr>
    </w:p>
    <w:p w14:paraId="64E94B5F" w14:textId="17647F3F" w:rsidR="0064642F" w:rsidRPr="004676F5" w:rsidRDefault="0064642F" w:rsidP="0064642F">
      <w:pPr>
        <w:jc w:val="both"/>
        <w:rPr>
          <w:i/>
          <w:lang w:val="de-DE"/>
        </w:rPr>
      </w:pPr>
      <w:r w:rsidRPr="004676F5">
        <w:rPr>
          <w:i/>
          <w:lang w:val="de-DE"/>
        </w:rPr>
        <w:t xml:space="preserve">[Buch XIII mit den Artikeln XIII.1 bis XIII.23 eingefügt durch </w:t>
      </w:r>
      <w:r w:rsidR="00BE0A56" w:rsidRPr="004676F5">
        <w:rPr>
          <w:i/>
          <w:lang w:val="de-DE"/>
        </w:rPr>
        <w:t>Art. </w:t>
      </w:r>
      <w:r w:rsidRPr="004676F5">
        <w:rPr>
          <w:i/>
          <w:lang w:val="de-DE"/>
        </w:rPr>
        <w:t>2 des G. vom 15. Dezember 2013 (II) (B.S. vom 14. Januar 2014)]</w:t>
      </w:r>
    </w:p>
    <w:p w14:paraId="64FD72A5" w14:textId="77777777" w:rsidR="0064642F" w:rsidRPr="004676F5" w:rsidRDefault="0064642F" w:rsidP="0064642F">
      <w:pPr>
        <w:jc w:val="both"/>
        <w:rPr>
          <w:i/>
          <w:lang w:val="de-DE"/>
        </w:rPr>
      </w:pPr>
    </w:p>
    <w:p w14:paraId="6A241CCC" w14:textId="77777777" w:rsidR="0064642F" w:rsidRPr="004676F5" w:rsidRDefault="0064642F" w:rsidP="0064642F">
      <w:pPr>
        <w:jc w:val="both"/>
        <w:rPr>
          <w:i/>
          <w:lang w:val="de-DE"/>
        </w:rPr>
      </w:pPr>
    </w:p>
    <w:p w14:paraId="0671BDCB" w14:textId="272CCFB6" w:rsidR="0064642F" w:rsidRPr="004676F5" w:rsidRDefault="0064642F" w:rsidP="0064642F">
      <w:pPr>
        <w:jc w:val="center"/>
        <w:rPr>
          <w:b/>
          <w:lang w:val="de-DE"/>
        </w:rPr>
      </w:pPr>
      <w:r w:rsidRPr="004676F5">
        <w:rPr>
          <w:b/>
          <w:lang w:val="de-DE"/>
        </w:rPr>
        <w:t>TITEL 1 </w:t>
      </w:r>
      <w:r w:rsidR="005B7A5C" w:rsidRPr="004676F5">
        <w:rPr>
          <w:b/>
          <w:lang w:val="de-DE"/>
        </w:rPr>
        <w:t>- </w:t>
      </w:r>
      <w:r w:rsidRPr="004676F5">
        <w:rPr>
          <w:b/>
          <w:i/>
          <w:lang w:val="de-DE"/>
        </w:rPr>
        <w:t>Zentraler Wirtschaftsrat</w:t>
      </w:r>
    </w:p>
    <w:p w14:paraId="548AB5A4" w14:textId="77777777" w:rsidR="0064642F" w:rsidRPr="004676F5" w:rsidRDefault="0064642F" w:rsidP="0064642F">
      <w:pPr>
        <w:jc w:val="center"/>
        <w:rPr>
          <w:i/>
          <w:lang w:val="de-DE"/>
        </w:rPr>
      </w:pPr>
      <w:r w:rsidRPr="004676F5">
        <w:rPr>
          <w:b/>
          <w:i/>
          <w:lang w:val="de-DE"/>
        </w:rPr>
        <w:t>Allgemeine Organisation</w:t>
      </w:r>
    </w:p>
    <w:p w14:paraId="68672473" w14:textId="77777777" w:rsidR="0064642F" w:rsidRPr="004676F5" w:rsidRDefault="0064642F" w:rsidP="0064642F">
      <w:pPr>
        <w:jc w:val="both"/>
        <w:rPr>
          <w:lang w:val="de-DE"/>
        </w:rPr>
      </w:pPr>
    </w:p>
    <w:p w14:paraId="57EE41BE" w14:textId="77777777" w:rsidR="0064642F" w:rsidRPr="004676F5" w:rsidRDefault="0064642F" w:rsidP="0064642F">
      <w:pPr>
        <w:jc w:val="both"/>
        <w:rPr>
          <w:lang w:val="de-DE"/>
        </w:rPr>
      </w:pPr>
    </w:p>
    <w:p w14:paraId="6A5CFA6D" w14:textId="31C87C10"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w:t>
      </w:r>
      <w:r w:rsidRPr="004676F5">
        <w:rPr>
          <w:lang w:val="de-DE"/>
        </w:rPr>
        <w:t> </w:t>
      </w:r>
      <w:r w:rsidR="005B7A5C" w:rsidRPr="004676F5">
        <w:rPr>
          <w:lang w:val="de-DE"/>
        </w:rPr>
        <w:t>- </w:t>
      </w:r>
      <w:r w:rsidRPr="004676F5">
        <w:rPr>
          <w:lang w:val="de-DE"/>
        </w:rPr>
        <w:t>Eine öffentliche Einrichtung unter der Bezeichnung "Zentraler Wirtschaftsrat" wird eingerichtet, die beauftragt ist, aus eigener Initiative oder auf Antrag der Gesetzgebenden Kammern, des Ministerrates, eines oder mehrerer Minister oder einer anderen föderalen öffentlichen Einrichtung und in der Form von schriftlichen Berichten Stellungnahmen und Vorschläge zu Fragen über die Volkswirtschaft an diese öffentlichen Behörden zu richten. Diese Stellungnahmen und Vorschläge werden im Konsens angenommen. In Ermangelung eines Konsenses werden in der Stellungnahme die jeweiligen Standpunkte der Mitglieder aufgenommen.</w:t>
      </w:r>
    </w:p>
    <w:p w14:paraId="0C0010BA" w14:textId="77777777" w:rsidR="0064642F" w:rsidRPr="004676F5" w:rsidRDefault="0064642F" w:rsidP="0064642F">
      <w:pPr>
        <w:jc w:val="both"/>
        <w:rPr>
          <w:lang w:val="de-DE"/>
        </w:rPr>
      </w:pPr>
    </w:p>
    <w:p w14:paraId="798E5CF9" w14:textId="77777777" w:rsidR="0064642F" w:rsidRPr="004676F5" w:rsidRDefault="0064642F" w:rsidP="0064642F">
      <w:pPr>
        <w:jc w:val="both"/>
        <w:rPr>
          <w:lang w:val="de-DE"/>
        </w:rPr>
      </w:pPr>
    </w:p>
    <w:p w14:paraId="6591BF81" w14:textId="4D5BC13E"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XIII.2</w:t>
      </w:r>
      <w:r w:rsidRPr="004676F5">
        <w:rPr>
          <w:lang w:val="de-DE"/>
        </w:rPr>
        <w:t> </w:t>
      </w:r>
      <w:r w:rsidR="005B7A5C" w:rsidRPr="004676F5">
        <w:rPr>
          <w:lang w:val="de-DE"/>
        </w:rPr>
        <w:t>- </w:t>
      </w:r>
      <w:r w:rsidRPr="004676F5">
        <w:rPr>
          <w:lang w:val="de-DE"/>
        </w:rPr>
        <w:t>Der Zentrale Wirtschaftsrat setzt sich aus einem Präsidenten und aus ordentlichen Mitgliedern zusammen, deren durch Königlichen Erlass bestimmte Anzahl höchstens sechsundfünfzig betragen darf.</w:t>
      </w:r>
    </w:p>
    <w:p w14:paraId="236CAC3B" w14:textId="77777777" w:rsidR="0064642F" w:rsidRPr="004676F5" w:rsidRDefault="0064642F" w:rsidP="0064642F">
      <w:pPr>
        <w:jc w:val="both"/>
        <w:rPr>
          <w:lang w:val="de-DE"/>
        </w:rPr>
      </w:pPr>
    </w:p>
    <w:p w14:paraId="1B180A49" w14:textId="77777777" w:rsidR="0064642F" w:rsidRPr="004676F5" w:rsidRDefault="0064642F" w:rsidP="0064642F">
      <w:pPr>
        <w:jc w:val="both"/>
        <w:rPr>
          <w:lang w:val="de-DE"/>
        </w:rPr>
      </w:pPr>
      <w:r w:rsidRPr="004676F5">
        <w:rPr>
          <w:lang w:val="de-DE"/>
        </w:rPr>
        <w:tab/>
        <w:t>Die ordentlichen Mitglieder werden in gleicher Anzahl unter den Kandidaten ernannt, die vorgeschlagen werden von:</w:t>
      </w:r>
    </w:p>
    <w:p w14:paraId="044F4480" w14:textId="77777777" w:rsidR="0064642F" w:rsidRPr="004676F5" w:rsidRDefault="0064642F" w:rsidP="0064642F">
      <w:pPr>
        <w:jc w:val="both"/>
        <w:rPr>
          <w:lang w:val="de-DE"/>
        </w:rPr>
      </w:pPr>
    </w:p>
    <w:p w14:paraId="70039BE4" w14:textId="77777777" w:rsidR="0064642F" w:rsidRPr="004676F5" w:rsidRDefault="0064642F" w:rsidP="0064642F">
      <w:pPr>
        <w:jc w:val="both"/>
        <w:rPr>
          <w:lang w:val="de-DE"/>
        </w:rPr>
      </w:pPr>
      <w:r w:rsidRPr="004676F5">
        <w:rPr>
          <w:lang w:val="de-DE"/>
        </w:rPr>
        <w:tab/>
        <w:t>1. den repräsentativsten Organisationen des Gewerbes, des Dienstleistungsbereichs, der Landwirtschaft, des Handels und des Handwerks und des nichtkommerziellen Sektors einerseits, die zu diesem Zweck eine Liste mit je zwei Kandidaten erstellen, von denen eine bestimmte Anzahl die kleinen Betriebe und die Familienbetriebe vertreten,</w:t>
      </w:r>
    </w:p>
    <w:p w14:paraId="55807F46" w14:textId="77777777" w:rsidR="0064642F" w:rsidRPr="004676F5" w:rsidRDefault="0064642F" w:rsidP="0064642F">
      <w:pPr>
        <w:jc w:val="both"/>
        <w:rPr>
          <w:lang w:val="de-DE"/>
        </w:rPr>
      </w:pPr>
    </w:p>
    <w:p w14:paraId="3D9F8D9A" w14:textId="77777777" w:rsidR="0064642F" w:rsidRPr="004676F5" w:rsidRDefault="0064642F" w:rsidP="0064642F">
      <w:pPr>
        <w:jc w:val="both"/>
        <w:rPr>
          <w:lang w:val="de-DE"/>
        </w:rPr>
      </w:pPr>
      <w:r w:rsidRPr="004676F5">
        <w:rPr>
          <w:lang w:val="de-DE"/>
        </w:rPr>
        <w:tab/>
        <w:t>2. und den repräsentativsten Arbeitnehmerorganisationen andererseits, so wie sie in Artikel 2 § 4 Absatz 2 des Grundlagengesetzes vom 29. Mai 1952 zur Einsetzung des Nationalen Arbeitsrates erwähnt sind, die zu diesem Zweck eine Liste mit je zwei Kandidaten erstellen, von denen eine bestimmte Anzahl die Konsumgenossenschaften vertreten.</w:t>
      </w:r>
    </w:p>
    <w:p w14:paraId="2D081960" w14:textId="77777777" w:rsidR="0064642F" w:rsidRPr="004676F5" w:rsidRDefault="0064642F" w:rsidP="0064642F">
      <w:pPr>
        <w:jc w:val="both"/>
        <w:rPr>
          <w:lang w:val="de-DE"/>
        </w:rPr>
      </w:pPr>
    </w:p>
    <w:p w14:paraId="2AC235D8" w14:textId="77777777" w:rsidR="0064642F" w:rsidRPr="004676F5" w:rsidRDefault="0064642F" w:rsidP="0064642F">
      <w:pPr>
        <w:jc w:val="both"/>
        <w:rPr>
          <w:lang w:val="de-DE"/>
        </w:rPr>
      </w:pPr>
      <w:r w:rsidRPr="004676F5">
        <w:rPr>
          <w:lang w:val="de-DE"/>
        </w:rPr>
        <w:tab/>
        <w:t>Die aufgrund von Absatz 2 bestellten Mitglieder schlagen auf einer Liste mit je zwei Kandidaten sechs Personen vor, die wegen ihrer Bedeutung für Wissenschaft oder Technik bekannt sind.</w:t>
      </w:r>
    </w:p>
    <w:p w14:paraId="77985B42" w14:textId="77777777" w:rsidR="0064642F" w:rsidRPr="004676F5" w:rsidRDefault="0064642F" w:rsidP="0064642F">
      <w:pPr>
        <w:jc w:val="both"/>
        <w:rPr>
          <w:lang w:val="de-DE"/>
        </w:rPr>
      </w:pPr>
    </w:p>
    <w:p w14:paraId="2AF1F13B" w14:textId="77777777" w:rsidR="0064642F" w:rsidRPr="004676F5" w:rsidRDefault="0064642F" w:rsidP="0064642F">
      <w:pPr>
        <w:jc w:val="both"/>
        <w:rPr>
          <w:lang w:val="de-DE"/>
        </w:rPr>
      </w:pPr>
      <w:r w:rsidRPr="004676F5">
        <w:rPr>
          <w:lang w:val="de-DE"/>
        </w:rPr>
        <w:tab/>
        <w:t>Der Zentrale Wirtschaftsrat zählt ebenso viele Ersatzmitglieder wie ordentliche Mitglieder. Sie werden alle gemäß den gleichen Modalitäten bestimmt und durch Königlichen Erlass ernannt.</w:t>
      </w:r>
    </w:p>
    <w:p w14:paraId="1EC040D3" w14:textId="77777777" w:rsidR="0064642F" w:rsidRPr="004676F5" w:rsidRDefault="0064642F" w:rsidP="0064642F">
      <w:pPr>
        <w:jc w:val="both"/>
        <w:rPr>
          <w:lang w:val="de-DE"/>
        </w:rPr>
      </w:pPr>
    </w:p>
    <w:p w14:paraId="508390B4" w14:textId="77777777" w:rsidR="0064642F" w:rsidRPr="004676F5" w:rsidRDefault="0064642F" w:rsidP="0064642F">
      <w:pPr>
        <w:jc w:val="both"/>
        <w:rPr>
          <w:lang w:val="de-DE"/>
        </w:rPr>
      </w:pPr>
      <w:r w:rsidRPr="004676F5">
        <w:rPr>
          <w:lang w:val="de-DE"/>
        </w:rPr>
        <w:tab/>
        <w:t>Wenn das Hinzuziehen von Vertretern öffentlicher Verwaltungen oder von Diensten öffentlichen Interesses als zweckdienlich erscheint, können sie gebeten werden, vor dem Zentralen Wirtschaftsrat eine Stellungnahme abzugeben.</w:t>
      </w:r>
    </w:p>
    <w:p w14:paraId="6253301E" w14:textId="77777777" w:rsidR="0064642F" w:rsidRPr="004676F5" w:rsidRDefault="0064642F" w:rsidP="0064642F">
      <w:pPr>
        <w:jc w:val="both"/>
        <w:rPr>
          <w:lang w:val="de-DE"/>
        </w:rPr>
      </w:pPr>
    </w:p>
    <w:p w14:paraId="2C69C9DD" w14:textId="77777777" w:rsidR="0064642F" w:rsidRPr="004676F5" w:rsidRDefault="0064642F" w:rsidP="0064642F">
      <w:pPr>
        <w:jc w:val="both"/>
        <w:rPr>
          <w:lang w:val="de-DE"/>
        </w:rPr>
      </w:pPr>
      <w:r w:rsidRPr="004676F5">
        <w:rPr>
          <w:lang w:val="de-DE"/>
        </w:rPr>
        <w:tab/>
        <w:t>Den Vorsitz des Zentralen Wirtschaftsrates führt eine Person, die der Verwaltung und den im Rat vertretenen Organisationen nicht angehört und die nach Konsultierung des Zentralen Wirtschaftsrates durch Königlichen Erlass bestimmt wird.</w:t>
      </w:r>
    </w:p>
    <w:p w14:paraId="7171EA64" w14:textId="77777777" w:rsidR="0064642F" w:rsidRPr="004676F5" w:rsidRDefault="0064642F" w:rsidP="0064642F">
      <w:pPr>
        <w:jc w:val="both"/>
        <w:rPr>
          <w:lang w:val="de-DE"/>
        </w:rPr>
      </w:pPr>
    </w:p>
    <w:p w14:paraId="3A39E6A1" w14:textId="77777777" w:rsidR="0064642F" w:rsidRPr="004676F5" w:rsidRDefault="0064642F" w:rsidP="0064642F">
      <w:pPr>
        <w:jc w:val="both"/>
        <w:rPr>
          <w:lang w:val="de-DE"/>
        </w:rPr>
      </w:pPr>
    </w:p>
    <w:p w14:paraId="5A518255" w14:textId="33DA6BE8"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XIII.3</w:t>
      </w:r>
      <w:r w:rsidRPr="004676F5">
        <w:rPr>
          <w:lang w:val="de-DE"/>
        </w:rPr>
        <w:t> </w:t>
      </w:r>
      <w:r w:rsidR="005B7A5C" w:rsidRPr="004676F5">
        <w:rPr>
          <w:lang w:val="de-DE"/>
        </w:rPr>
        <w:t>- </w:t>
      </w:r>
      <w:r w:rsidRPr="004676F5">
        <w:rPr>
          <w:lang w:val="de-DE"/>
        </w:rPr>
        <w:t>Der Präsident wird für sechs Jahre ernannt. Die Ernennung ist erneuerbar.</w:t>
      </w:r>
    </w:p>
    <w:p w14:paraId="0401DA8A" w14:textId="77777777" w:rsidR="0064642F" w:rsidRPr="004676F5" w:rsidRDefault="0064642F" w:rsidP="0064642F">
      <w:pPr>
        <w:jc w:val="both"/>
        <w:rPr>
          <w:lang w:val="de-DE"/>
        </w:rPr>
      </w:pPr>
    </w:p>
    <w:p w14:paraId="56298393" w14:textId="77777777" w:rsidR="0064642F" w:rsidRPr="004676F5" w:rsidRDefault="0064642F" w:rsidP="0064642F">
      <w:pPr>
        <w:jc w:val="both"/>
        <w:rPr>
          <w:lang w:val="de-DE"/>
        </w:rPr>
      </w:pPr>
      <w:r w:rsidRPr="004676F5">
        <w:rPr>
          <w:lang w:val="de-DE"/>
        </w:rPr>
        <w:tab/>
        <w:t>Das Mandat als Mitglied des Zentralen Wirtschaftsrates hat eine Dauer von vier Jahren. Es ist erneuerbar.</w:t>
      </w:r>
    </w:p>
    <w:p w14:paraId="11A97506" w14:textId="77777777" w:rsidR="0064642F" w:rsidRPr="004676F5" w:rsidRDefault="0064642F" w:rsidP="0064642F">
      <w:pPr>
        <w:jc w:val="both"/>
        <w:rPr>
          <w:lang w:val="de-DE"/>
        </w:rPr>
      </w:pPr>
    </w:p>
    <w:p w14:paraId="2CFB19C2" w14:textId="77777777" w:rsidR="0064642F" w:rsidRPr="004676F5" w:rsidRDefault="0064642F" w:rsidP="0064642F">
      <w:pPr>
        <w:jc w:val="both"/>
        <w:rPr>
          <w:lang w:val="de-DE"/>
        </w:rPr>
      </w:pPr>
    </w:p>
    <w:p w14:paraId="3817F241" w14:textId="5A3A9554"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XIII.4</w:t>
      </w:r>
      <w:r w:rsidRPr="004676F5">
        <w:rPr>
          <w:lang w:val="de-DE"/>
        </w:rPr>
        <w:t> </w:t>
      </w:r>
      <w:r w:rsidR="005B7A5C" w:rsidRPr="004676F5">
        <w:rPr>
          <w:lang w:val="de-DE"/>
        </w:rPr>
        <w:t>- </w:t>
      </w:r>
      <w:r w:rsidRPr="004676F5">
        <w:rPr>
          <w:lang w:val="de-DE"/>
        </w:rPr>
        <w:t>Modalitäten für den Vorschlag der ordentlichen Mitglieder und Ersatzmitglieder und Modalitäten für die Arbeitsweise des Zentralen Wirtschaftsrates werden durch einen im Ministerrat beratenen Königlichen Erlass festgelegt.</w:t>
      </w:r>
    </w:p>
    <w:p w14:paraId="09B58C19" w14:textId="77777777" w:rsidR="0064642F" w:rsidRPr="004676F5" w:rsidRDefault="0064642F" w:rsidP="0064642F">
      <w:pPr>
        <w:jc w:val="both"/>
        <w:rPr>
          <w:lang w:val="de-DE"/>
        </w:rPr>
      </w:pPr>
    </w:p>
    <w:p w14:paraId="14CC3E73" w14:textId="77777777" w:rsidR="0064642F" w:rsidRPr="004676F5" w:rsidRDefault="0064642F" w:rsidP="0064642F">
      <w:pPr>
        <w:jc w:val="both"/>
        <w:rPr>
          <w:lang w:val="de-DE"/>
        </w:rPr>
      </w:pPr>
      <w:r w:rsidRPr="004676F5">
        <w:rPr>
          <w:lang w:val="de-DE"/>
        </w:rPr>
        <w:tab/>
        <w:t>Der Zentrale Wirtschaftsrat erstellt selbst seine Geschäftsordnung, die dem König zur Billigung vorgelegt wird.</w:t>
      </w:r>
    </w:p>
    <w:p w14:paraId="7A84916C" w14:textId="77777777" w:rsidR="0064642F" w:rsidRPr="004676F5" w:rsidRDefault="0064642F" w:rsidP="0064642F">
      <w:pPr>
        <w:jc w:val="both"/>
        <w:rPr>
          <w:lang w:val="de-DE"/>
        </w:rPr>
      </w:pPr>
    </w:p>
    <w:p w14:paraId="4ACBDFA9" w14:textId="77777777" w:rsidR="0064642F" w:rsidRPr="004676F5" w:rsidRDefault="0064642F" w:rsidP="0064642F">
      <w:pPr>
        <w:jc w:val="both"/>
        <w:rPr>
          <w:lang w:val="de-DE"/>
        </w:rPr>
      </w:pPr>
      <w:r w:rsidRPr="004676F5">
        <w:rPr>
          <w:lang w:val="de-DE"/>
        </w:rPr>
        <w:tab/>
        <w:t>In dieser Ordnung wird insbesondere die Organisation der Zusammenarbeit zwischen dem Zentralen Wirtschaftsrat und den gemäß Titel 2 im Zentralen Wirtschaftsrat eingerichteten besonderen Beratungsausschüssen bestimmt.</w:t>
      </w:r>
    </w:p>
    <w:p w14:paraId="0A5020F4" w14:textId="77777777" w:rsidR="0064642F" w:rsidRPr="004676F5" w:rsidRDefault="0064642F" w:rsidP="0064642F">
      <w:pPr>
        <w:jc w:val="both"/>
        <w:rPr>
          <w:lang w:val="de-DE"/>
        </w:rPr>
      </w:pPr>
    </w:p>
    <w:p w14:paraId="3F0CD9DA" w14:textId="77777777" w:rsidR="0064642F" w:rsidRPr="004676F5" w:rsidRDefault="0064642F" w:rsidP="0064642F">
      <w:pPr>
        <w:jc w:val="both"/>
        <w:rPr>
          <w:lang w:val="de-DE"/>
        </w:rPr>
      </w:pPr>
      <w:r w:rsidRPr="004676F5">
        <w:rPr>
          <w:lang w:val="de-DE"/>
        </w:rPr>
        <w:tab/>
        <w:t>Stellenplan und Statut des Sekretariatspersonals und Modalitäten für dessen Arbeitsweise werden durch einen Königlichen Erlass auf der Grundlage eines mit Gründen versehenen Berichts des Zentralen Wirtschaftsrates festgelegt.</w:t>
      </w:r>
    </w:p>
    <w:p w14:paraId="6B0E5649" w14:textId="77777777" w:rsidR="0064642F" w:rsidRPr="004676F5" w:rsidRDefault="0064642F" w:rsidP="0064642F">
      <w:pPr>
        <w:jc w:val="both"/>
        <w:rPr>
          <w:lang w:val="de-DE"/>
        </w:rPr>
      </w:pPr>
    </w:p>
    <w:p w14:paraId="20112369" w14:textId="77777777" w:rsidR="0064642F" w:rsidRPr="004676F5" w:rsidRDefault="0064642F" w:rsidP="0064642F">
      <w:pPr>
        <w:jc w:val="both"/>
        <w:rPr>
          <w:lang w:val="de-DE"/>
        </w:rPr>
      </w:pPr>
      <w:r w:rsidRPr="004676F5">
        <w:rPr>
          <w:lang w:val="de-DE"/>
        </w:rPr>
        <w:tab/>
        <w:t>Sekretär und beigeordneter Sekretär werden nach Konsultierung des Zentralen Wirtschaftsrates vom König ernannt und entlassen.</w:t>
      </w:r>
    </w:p>
    <w:p w14:paraId="4C883468" w14:textId="77777777" w:rsidR="0064642F" w:rsidRPr="004676F5" w:rsidRDefault="0064642F" w:rsidP="0064642F">
      <w:pPr>
        <w:jc w:val="both"/>
        <w:rPr>
          <w:lang w:val="de-DE"/>
        </w:rPr>
      </w:pPr>
    </w:p>
    <w:p w14:paraId="204F5BA4" w14:textId="77777777" w:rsidR="0064642F" w:rsidRPr="004676F5" w:rsidRDefault="0064642F" w:rsidP="0064642F">
      <w:pPr>
        <w:jc w:val="both"/>
        <w:rPr>
          <w:lang w:val="de-DE"/>
        </w:rPr>
      </w:pPr>
      <w:r w:rsidRPr="004676F5">
        <w:rPr>
          <w:lang w:val="de-DE"/>
        </w:rPr>
        <w:tab/>
        <w:t>Sonstige Personalmitglieder werden vom Zentralen Wirtschaftsrat ernannt und entlassen.</w:t>
      </w:r>
    </w:p>
    <w:p w14:paraId="1F7B5E99" w14:textId="77777777" w:rsidR="0064642F" w:rsidRPr="004676F5" w:rsidRDefault="0064642F" w:rsidP="0064642F">
      <w:pPr>
        <w:jc w:val="both"/>
        <w:rPr>
          <w:lang w:val="de-DE"/>
        </w:rPr>
      </w:pPr>
    </w:p>
    <w:p w14:paraId="5AE8DA03" w14:textId="77777777" w:rsidR="0064642F" w:rsidRPr="004676F5" w:rsidRDefault="0064642F" w:rsidP="0064642F">
      <w:pPr>
        <w:jc w:val="both"/>
        <w:rPr>
          <w:lang w:val="de-DE"/>
        </w:rPr>
      </w:pPr>
      <w:r w:rsidRPr="004676F5">
        <w:rPr>
          <w:lang w:val="de-DE"/>
        </w:rPr>
        <w:tab/>
        <w:t>Der vom Zentralen Wirtschaftsrat erstellte Jahreshaushaltsplan wird zusammen mit dem entsprechenden Bezuschussungsvorschlag dem Minister zur Billigung vorgelegt; dieser schreibt die nötigen Haushaltsmittel in den Haushaltsplan des FÖD Wirtschaft ein.</w:t>
      </w:r>
    </w:p>
    <w:p w14:paraId="32009B67" w14:textId="77777777" w:rsidR="0064642F" w:rsidRPr="004676F5" w:rsidRDefault="0064642F" w:rsidP="0064642F">
      <w:pPr>
        <w:jc w:val="both"/>
        <w:rPr>
          <w:lang w:val="de-DE"/>
        </w:rPr>
      </w:pPr>
    </w:p>
    <w:p w14:paraId="5C5690FD" w14:textId="77777777" w:rsidR="0064642F" w:rsidRPr="004676F5" w:rsidRDefault="0064642F" w:rsidP="0064642F">
      <w:pPr>
        <w:jc w:val="both"/>
        <w:rPr>
          <w:lang w:val="de-DE"/>
        </w:rPr>
      </w:pPr>
    </w:p>
    <w:p w14:paraId="00051A32" w14:textId="7E0095D4"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XIII.5</w:t>
      </w:r>
      <w:r w:rsidRPr="004676F5">
        <w:rPr>
          <w:lang w:val="de-DE"/>
        </w:rPr>
        <w:t> </w:t>
      </w:r>
      <w:r w:rsidR="005B7A5C" w:rsidRPr="004676F5">
        <w:rPr>
          <w:lang w:val="de-DE"/>
        </w:rPr>
        <w:t>- </w:t>
      </w:r>
      <w:r w:rsidRPr="004676F5">
        <w:rPr>
          <w:lang w:val="de-DE"/>
        </w:rPr>
        <w:t>Das Sekretariat des Zentralen Wirtschaftsrates ist unter der Gewalt und der Aufsicht des Zentralen Wirtschaftsrates beauftragt:</w:t>
      </w:r>
    </w:p>
    <w:p w14:paraId="5ECAB34C" w14:textId="77777777" w:rsidR="0064642F" w:rsidRPr="004676F5" w:rsidRDefault="0064642F" w:rsidP="0064642F">
      <w:pPr>
        <w:jc w:val="both"/>
        <w:rPr>
          <w:lang w:val="de-DE"/>
        </w:rPr>
      </w:pPr>
    </w:p>
    <w:p w14:paraId="214D6139" w14:textId="27A7FD1C" w:rsidR="0064642F" w:rsidRPr="004676F5" w:rsidRDefault="0064642F" w:rsidP="0064642F">
      <w:pPr>
        <w:jc w:val="both"/>
        <w:rPr>
          <w:lang w:val="de-DE"/>
        </w:rPr>
      </w:pPr>
      <w:r w:rsidRPr="004676F5">
        <w:rPr>
          <w:lang w:val="de-DE"/>
        </w:rPr>
        <w:tab/>
        <w:t>1. Kanzlei</w:t>
      </w:r>
      <w:r w:rsidR="005B7A5C" w:rsidRPr="004676F5">
        <w:rPr>
          <w:lang w:val="de-DE"/>
        </w:rPr>
        <w:t>- </w:t>
      </w:r>
      <w:r w:rsidRPr="004676F5">
        <w:rPr>
          <w:lang w:val="de-DE"/>
        </w:rPr>
        <w:t>und Ökonomatsdienste zu gewährleisten,</w:t>
      </w:r>
    </w:p>
    <w:p w14:paraId="30979DA7" w14:textId="77777777" w:rsidR="0064642F" w:rsidRPr="004676F5" w:rsidRDefault="0064642F" w:rsidP="0064642F">
      <w:pPr>
        <w:jc w:val="both"/>
        <w:rPr>
          <w:lang w:val="de-DE"/>
        </w:rPr>
      </w:pPr>
    </w:p>
    <w:p w14:paraId="4387D042" w14:textId="77777777" w:rsidR="0064642F" w:rsidRPr="004676F5" w:rsidRDefault="0064642F" w:rsidP="0064642F">
      <w:pPr>
        <w:jc w:val="both"/>
        <w:rPr>
          <w:lang w:val="de-DE"/>
        </w:rPr>
      </w:pPr>
      <w:r w:rsidRPr="004676F5">
        <w:rPr>
          <w:lang w:val="de-DE"/>
        </w:rPr>
        <w:tab/>
        <w:t>2. Dokumentation über die Tätigkeiten des Zentralen Wirtschaftsrates zusammenzutra</w:t>
      </w:r>
      <w:r w:rsidRPr="004676F5">
        <w:rPr>
          <w:lang w:val="de-DE"/>
        </w:rPr>
        <w:softHyphen/>
        <w:t>gen und diesbezügliche Untersuchungen und Berichte abzufassen,</w:t>
      </w:r>
    </w:p>
    <w:p w14:paraId="4C4D3D7B" w14:textId="77777777" w:rsidR="0064642F" w:rsidRPr="004676F5" w:rsidRDefault="0064642F" w:rsidP="0064642F">
      <w:pPr>
        <w:jc w:val="both"/>
        <w:rPr>
          <w:lang w:val="de-DE"/>
        </w:rPr>
      </w:pPr>
    </w:p>
    <w:p w14:paraId="4A3C78CA" w14:textId="77777777" w:rsidR="0064642F" w:rsidRPr="004676F5" w:rsidRDefault="0064642F" w:rsidP="0064642F">
      <w:pPr>
        <w:jc w:val="both"/>
        <w:rPr>
          <w:lang w:val="de-DE"/>
        </w:rPr>
      </w:pPr>
      <w:r w:rsidRPr="004676F5">
        <w:rPr>
          <w:lang w:val="de-DE"/>
        </w:rPr>
        <w:tab/>
        <w:t>3. die Tätigkeiten der gemäß Titel 2 im Zentralen Wirtschaftsrat eingerichteten beson</w:t>
      </w:r>
      <w:r w:rsidRPr="004676F5">
        <w:rPr>
          <w:lang w:val="de-DE"/>
        </w:rPr>
        <w:softHyphen/>
        <w:t>deren Beratungsausschüsse zu unterstützen. Jedenfalls muss das Sekretariat des Zentralen Wirtschaftsrates in dem in Artikel XIII.20 § 2 vorgesehenen Fall bei den Versammlungen der besonderen Beratungsausschüsse vertreten sein.</w:t>
      </w:r>
    </w:p>
    <w:p w14:paraId="0CF2C6CF" w14:textId="77777777" w:rsidR="0064642F" w:rsidRPr="004676F5" w:rsidRDefault="0064642F" w:rsidP="0064642F">
      <w:pPr>
        <w:jc w:val="both"/>
        <w:rPr>
          <w:lang w:val="de-DE"/>
        </w:rPr>
      </w:pPr>
    </w:p>
    <w:p w14:paraId="58C1BC7A" w14:textId="77777777" w:rsidR="0064642F" w:rsidRPr="004676F5" w:rsidRDefault="0064642F" w:rsidP="0064642F">
      <w:pPr>
        <w:jc w:val="both"/>
        <w:rPr>
          <w:lang w:val="de-DE"/>
        </w:rPr>
      </w:pPr>
      <w:r w:rsidRPr="004676F5">
        <w:rPr>
          <w:lang w:val="de-DE"/>
        </w:rPr>
        <w:tab/>
        <w:t>Es ist befugt, in Bezug auf den Gegenstand dieser Tätigkeiten Auskünfte einzuholen, die sich im Besitz der Generaldirektion der Statistik und der Wirtschaftsinformation, des Landesamtes für soziale Sicherheit und der Einrichtungen, für deren Rechnung dieses Amt Beiträge erhebt, der Belgischen Nationalbank, des Föderalen Planbüros und anderer föderaler öffentlicher Einrichtungen befinden.</w:t>
      </w:r>
    </w:p>
    <w:p w14:paraId="1B6886E3" w14:textId="77777777" w:rsidR="0064642F" w:rsidRPr="004676F5" w:rsidRDefault="0064642F" w:rsidP="0064642F">
      <w:pPr>
        <w:jc w:val="both"/>
        <w:rPr>
          <w:lang w:val="de-DE"/>
        </w:rPr>
      </w:pPr>
    </w:p>
    <w:p w14:paraId="140B81E4" w14:textId="77777777" w:rsidR="0064642F" w:rsidRPr="004676F5" w:rsidRDefault="0064642F" w:rsidP="0064642F">
      <w:pPr>
        <w:jc w:val="both"/>
        <w:rPr>
          <w:lang w:val="de-DE"/>
        </w:rPr>
      </w:pPr>
      <w:r w:rsidRPr="004676F5">
        <w:rPr>
          <w:lang w:val="de-DE"/>
        </w:rPr>
        <w:tab/>
        <w:t>Von diesen Einrichtungen zu erteilende Auskünfte bestehen unter Ausschluss individueller statistischer Angaben nur aus globalen und anonymen Aufstellungen.</w:t>
      </w:r>
    </w:p>
    <w:p w14:paraId="1882CFFD" w14:textId="77777777" w:rsidR="0064642F" w:rsidRPr="004676F5" w:rsidRDefault="0064642F" w:rsidP="0064642F">
      <w:pPr>
        <w:jc w:val="both"/>
        <w:rPr>
          <w:lang w:val="de-DE"/>
        </w:rPr>
      </w:pPr>
    </w:p>
    <w:p w14:paraId="6D71CD50" w14:textId="77777777" w:rsidR="0064642F" w:rsidRPr="004676F5" w:rsidRDefault="0064642F" w:rsidP="0064642F">
      <w:pPr>
        <w:jc w:val="both"/>
        <w:rPr>
          <w:lang w:val="de-DE"/>
        </w:rPr>
      </w:pPr>
    </w:p>
    <w:p w14:paraId="41DE5CF0" w14:textId="77777777" w:rsidR="0064642F" w:rsidRPr="004676F5" w:rsidRDefault="0064642F">
      <w:pPr>
        <w:rPr>
          <w:b/>
          <w:lang w:val="de-DE"/>
        </w:rPr>
      </w:pPr>
      <w:r w:rsidRPr="004676F5">
        <w:rPr>
          <w:b/>
          <w:lang w:val="de-DE"/>
        </w:rPr>
        <w:br w:type="page"/>
      </w:r>
    </w:p>
    <w:p w14:paraId="0AA04C2A" w14:textId="6017AF67" w:rsidR="0064642F" w:rsidRPr="004676F5" w:rsidRDefault="0064642F" w:rsidP="0064642F">
      <w:pPr>
        <w:jc w:val="center"/>
        <w:rPr>
          <w:b/>
          <w:lang w:val="de-DE"/>
        </w:rPr>
      </w:pPr>
      <w:r w:rsidRPr="004676F5">
        <w:rPr>
          <w:b/>
          <w:lang w:val="de-DE"/>
        </w:rPr>
        <w:lastRenderedPageBreak/>
        <w:t>TITEL 2 </w:t>
      </w:r>
      <w:r w:rsidR="005B7A5C" w:rsidRPr="004676F5">
        <w:rPr>
          <w:b/>
          <w:lang w:val="de-DE"/>
        </w:rPr>
        <w:t>- </w:t>
      </w:r>
      <w:r w:rsidRPr="004676F5">
        <w:rPr>
          <w:b/>
          <w:i/>
          <w:lang w:val="de-DE"/>
        </w:rPr>
        <w:t>Besondere Beratungsausschüsse</w:t>
      </w:r>
    </w:p>
    <w:p w14:paraId="4296AD17" w14:textId="77777777" w:rsidR="0064642F" w:rsidRPr="004676F5" w:rsidRDefault="0064642F" w:rsidP="0064642F">
      <w:pPr>
        <w:jc w:val="both"/>
        <w:rPr>
          <w:lang w:val="de-DE"/>
        </w:rPr>
      </w:pPr>
    </w:p>
    <w:p w14:paraId="297B3049" w14:textId="77777777" w:rsidR="0064642F" w:rsidRPr="004676F5" w:rsidRDefault="0064642F" w:rsidP="0064642F">
      <w:pPr>
        <w:jc w:val="both"/>
        <w:rPr>
          <w:lang w:val="de-DE"/>
        </w:rPr>
      </w:pPr>
    </w:p>
    <w:p w14:paraId="75F82DB1" w14:textId="2A517B5F" w:rsidR="0064642F" w:rsidRPr="004676F5" w:rsidRDefault="0064642F" w:rsidP="0064642F">
      <w:pPr>
        <w:jc w:val="center"/>
        <w:rPr>
          <w:lang w:val="de-DE"/>
        </w:rPr>
      </w:pPr>
      <w:r w:rsidRPr="004676F5">
        <w:rPr>
          <w:lang w:val="de-DE"/>
        </w:rPr>
        <w:t>KAPITEL 1 </w:t>
      </w:r>
      <w:r w:rsidR="005B7A5C" w:rsidRPr="004676F5">
        <w:rPr>
          <w:lang w:val="de-DE"/>
        </w:rPr>
        <w:t>- </w:t>
      </w:r>
      <w:r w:rsidRPr="004676F5">
        <w:rPr>
          <w:i/>
          <w:lang w:val="de-DE"/>
        </w:rPr>
        <w:t>Einrichtung</w:t>
      </w:r>
    </w:p>
    <w:p w14:paraId="4CFDE2F3" w14:textId="77777777" w:rsidR="0064642F" w:rsidRPr="004676F5" w:rsidRDefault="0064642F" w:rsidP="0064642F">
      <w:pPr>
        <w:jc w:val="both"/>
        <w:rPr>
          <w:lang w:val="de-DE"/>
        </w:rPr>
      </w:pPr>
    </w:p>
    <w:p w14:paraId="42F863A9" w14:textId="77777777" w:rsidR="0064642F" w:rsidRPr="004676F5" w:rsidRDefault="0064642F" w:rsidP="0064642F">
      <w:pPr>
        <w:jc w:val="both"/>
        <w:rPr>
          <w:lang w:val="de-DE"/>
        </w:rPr>
      </w:pPr>
    </w:p>
    <w:p w14:paraId="4E142D00" w14:textId="1B57D4E9"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XIII.6</w:t>
      </w:r>
      <w:r w:rsidRPr="004676F5">
        <w:rPr>
          <w:lang w:val="de-DE"/>
        </w:rPr>
        <w:t> </w:t>
      </w:r>
      <w:r w:rsidR="005B7A5C" w:rsidRPr="004676F5">
        <w:rPr>
          <w:lang w:val="de-DE"/>
        </w:rPr>
        <w:t>- </w:t>
      </w:r>
      <w:r w:rsidRPr="004676F5">
        <w:rPr>
          <w:lang w:val="de-DE"/>
        </w:rPr>
        <w:t>Im Zentralen Wirtschaftsrat können für bestimmte Beschäftigungszweige besondere Beratungsausschüsse vom Zentralen Wirtschaftsrat oder vom König eingerichtet werden.</w:t>
      </w:r>
    </w:p>
    <w:p w14:paraId="770F3456" w14:textId="77777777" w:rsidR="0064642F" w:rsidRPr="004676F5" w:rsidRDefault="0064642F" w:rsidP="0064642F">
      <w:pPr>
        <w:jc w:val="both"/>
        <w:rPr>
          <w:lang w:val="de-DE"/>
        </w:rPr>
      </w:pPr>
    </w:p>
    <w:p w14:paraId="1D57B131" w14:textId="77777777" w:rsidR="0064642F" w:rsidRPr="004676F5" w:rsidRDefault="0064642F" w:rsidP="0064642F">
      <w:pPr>
        <w:jc w:val="both"/>
        <w:rPr>
          <w:lang w:val="de-DE"/>
        </w:rPr>
      </w:pPr>
      <w:r w:rsidRPr="004676F5">
        <w:rPr>
          <w:lang w:val="de-DE"/>
        </w:rPr>
        <w:tab/>
        <w:t>Diese Ausschüsse sind beauftragt, aus eigener Initiative oder auf Antrag der Gesetzgebenden Kammern, des Ministerrates, eines oder mehrerer Minister, einer anderen föderalen öffentlichen Einrichtung oder des Zentralen Wirtschaftsrates und in der Form von schriftlichen Berichten Stellungnahmen und Vorschläge zu Fragen über den Bereich, für den sie zuständig sind, an diese öffentlichen Behörden oder an den Zentralen Wirtschaftsrat zu richten. Diese Stellungnahmen und Vorschläge werden im Konsens angenommen. In Ermangelung eines Konsenses werden in der Stellungnahme die jeweiligen Standpunkte der Mitglieder aufgenommen.</w:t>
      </w:r>
    </w:p>
    <w:p w14:paraId="483578A5" w14:textId="77777777" w:rsidR="0064642F" w:rsidRPr="004676F5" w:rsidRDefault="0064642F" w:rsidP="0064642F">
      <w:pPr>
        <w:jc w:val="both"/>
        <w:rPr>
          <w:lang w:val="de-DE"/>
        </w:rPr>
      </w:pPr>
    </w:p>
    <w:p w14:paraId="46623599" w14:textId="77777777" w:rsidR="0064642F" w:rsidRPr="004676F5" w:rsidRDefault="0064642F" w:rsidP="0064642F">
      <w:pPr>
        <w:jc w:val="center"/>
        <w:rPr>
          <w:lang w:val="de-DE"/>
        </w:rPr>
      </w:pPr>
    </w:p>
    <w:p w14:paraId="40AEF863" w14:textId="77777777" w:rsidR="0064642F" w:rsidRPr="004676F5" w:rsidRDefault="0064642F">
      <w:pPr>
        <w:rPr>
          <w:lang w:val="de-DE"/>
        </w:rPr>
      </w:pPr>
      <w:r w:rsidRPr="004676F5">
        <w:rPr>
          <w:lang w:val="de-DE"/>
        </w:rPr>
        <w:br w:type="page"/>
      </w:r>
    </w:p>
    <w:p w14:paraId="137BC496" w14:textId="0AF1B26B" w:rsidR="0064642F" w:rsidRPr="004676F5" w:rsidRDefault="0064642F" w:rsidP="0064642F">
      <w:pPr>
        <w:jc w:val="center"/>
        <w:rPr>
          <w:lang w:val="de-DE"/>
        </w:rPr>
      </w:pPr>
      <w:r w:rsidRPr="004676F5">
        <w:rPr>
          <w:lang w:val="de-DE"/>
        </w:rPr>
        <w:lastRenderedPageBreak/>
        <w:t>KAPITEL 2 </w:t>
      </w:r>
      <w:r w:rsidR="005B7A5C" w:rsidRPr="004676F5">
        <w:rPr>
          <w:lang w:val="de-DE"/>
        </w:rPr>
        <w:t>- </w:t>
      </w:r>
      <w:r w:rsidRPr="004676F5">
        <w:rPr>
          <w:i/>
          <w:lang w:val="de-DE"/>
        </w:rPr>
        <w:t>Zusammensetzung und Arbeitsweise</w:t>
      </w:r>
    </w:p>
    <w:p w14:paraId="0E316112" w14:textId="77777777" w:rsidR="0064642F" w:rsidRPr="004676F5" w:rsidRDefault="0064642F" w:rsidP="0064642F">
      <w:pPr>
        <w:jc w:val="both"/>
        <w:rPr>
          <w:lang w:val="de-DE"/>
        </w:rPr>
      </w:pPr>
    </w:p>
    <w:p w14:paraId="1765BA52" w14:textId="77777777" w:rsidR="0064642F" w:rsidRPr="004676F5" w:rsidRDefault="0064642F" w:rsidP="0064642F">
      <w:pPr>
        <w:jc w:val="both"/>
        <w:rPr>
          <w:lang w:val="de-DE"/>
        </w:rPr>
      </w:pPr>
    </w:p>
    <w:p w14:paraId="34A999E8" w14:textId="0C8A8E10"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XIII.7</w:t>
      </w:r>
      <w:r w:rsidRPr="004676F5">
        <w:rPr>
          <w:lang w:val="de-DE"/>
        </w:rPr>
        <w:t> </w:t>
      </w:r>
      <w:r w:rsidR="005B7A5C" w:rsidRPr="004676F5">
        <w:rPr>
          <w:lang w:val="de-DE"/>
        </w:rPr>
        <w:t>- </w:t>
      </w:r>
      <w:r w:rsidRPr="004676F5">
        <w:rPr>
          <w:lang w:val="de-DE"/>
        </w:rPr>
        <w:t>Besondere Beratungsausschüsse zählen neben dem Präsidenten zwei Vizepräsidenten und ordentliche Mitglieder und Ersatzmitglieder, die vom König ernannt werden und deren Anzahl Er bestimmt.</w:t>
      </w:r>
    </w:p>
    <w:p w14:paraId="69822302" w14:textId="77777777" w:rsidR="0064642F" w:rsidRPr="004676F5" w:rsidRDefault="0064642F" w:rsidP="0064642F">
      <w:pPr>
        <w:jc w:val="both"/>
        <w:rPr>
          <w:lang w:val="de-DE"/>
        </w:rPr>
      </w:pPr>
    </w:p>
    <w:p w14:paraId="4085F9BD" w14:textId="77777777" w:rsidR="0064642F" w:rsidRPr="004676F5" w:rsidRDefault="0064642F" w:rsidP="0064642F">
      <w:pPr>
        <w:jc w:val="both"/>
        <w:rPr>
          <w:lang w:val="de-DE"/>
        </w:rPr>
      </w:pPr>
      <w:r w:rsidRPr="004676F5">
        <w:rPr>
          <w:lang w:val="de-DE"/>
        </w:rPr>
        <w:tab/>
        <w:t>Die ordentlichen Mitglieder werden aus den Kandidaten gewählt, die von den vom König bestimmten repräsentativen Organisationen vorgeschlagen werden. Der König kann ebenfalls Mitglieder ernennen, die Er aus Personen wählt, die wegen ihrer Bedeutung für Wissenschaft oder Technik bekannt sind. Für die Zusammensetzung der besonderen Beratungsausschüsse wird der Zentrale Wirtschaftsrat um eine Stellungnahme ersucht.</w:t>
      </w:r>
    </w:p>
    <w:p w14:paraId="6ECAA4B8" w14:textId="77777777" w:rsidR="0064642F" w:rsidRPr="004676F5" w:rsidRDefault="0064642F" w:rsidP="0064642F">
      <w:pPr>
        <w:jc w:val="both"/>
        <w:rPr>
          <w:lang w:val="de-DE"/>
        </w:rPr>
      </w:pPr>
    </w:p>
    <w:p w14:paraId="6F1E179C" w14:textId="77777777" w:rsidR="0064642F" w:rsidRPr="004676F5" w:rsidRDefault="0064642F" w:rsidP="0064642F">
      <w:pPr>
        <w:jc w:val="both"/>
        <w:rPr>
          <w:lang w:val="de-DE"/>
        </w:rPr>
      </w:pPr>
      <w:r w:rsidRPr="004676F5">
        <w:rPr>
          <w:lang w:val="de-DE"/>
        </w:rPr>
        <w:tab/>
        <w:t>Die vorhergehenden Absätze finden keine Anwendung auf die in Kapitel 4 erwähnten besonderen Beratungsausschüsse, die vom Zentralen Wirtschaftsrat eingerichtet werden.</w:t>
      </w:r>
    </w:p>
    <w:p w14:paraId="707CA3BF" w14:textId="77777777" w:rsidR="0064642F" w:rsidRPr="004676F5" w:rsidRDefault="0064642F" w:rsidP="0064642F">
      <w:pPr>
        <w:jc w:val="both"/>
        <w:rPr>
          <w:lang w:val="de-DE"/>
        </w:rPr>
      </w:pPr>
    </w:p>
    <w:p w14:paraId="78A2BBC3" w14:textId="77777777" w:rsidR="0064642F" w:rsidRPr="004676F5" w:rsidRDefault="0064642F" w:rsidP="0064642F">
      <w:pPr>
        <w:jc w:val="both"/>
        <w:rPr>
          <w:lang w:val="de-DE"/>
        </w:rPr>
      </w:pPr>
      <w:r w:rsidRPr="004676F5">
        <w:rPr>
          <w:lang w:val="de-DE"/>
        </w:rPr>
        <w:tab/>
        <w:t>Besondere Beratungsausschüsse zählen ebenso viele Ersatzmitglieder wie ordentliche Mitglieder. Nur das Ersatzmitglied, das das ordentliche Mitglied seiner Gruppe ersetzt, ist stimmberechtigt.</w:t>
      </w:r>
    </w:p>
    <w:p w14:paraId="160A1EE7" w14:textId="77777777" w:rsidR="0064642F" w:rsidRPr="004676F5" w:rsidRDefault="0064642F" w:rsidP="0064642F">
      <w:pPr>
        <w:jc w:val="both"/>
        <w:rPr>
          <w:lang w:val="de-DE"/>
        </w:rPr>
      </w:pPr>
    </w:p>
    <w:p w14:paraId="1D504F86" w14:textId="77777777" w:rsidR="0064642F" w:rsidRPr="004676F5" w:rsidRDefault="0064642F" w:rsidP="0064642F">
      <w:pPr>
        <w:jc w:val="both"/>
        <w:rPr>
          <w:lang w:val="de-DE"/>
        </w:rPr>
      </w:pPr>
      <w:r w:rsidRPr="004676F5">
        <w:rPr>
          <w:lang w:val="de-DE"/>
        </w:rPr>
        <w:tab/>
        <w:t>Bei Ersetzung eines ordentlichen Mitgliedes oder eines Ersatzmitgliedes beendet die bestimmte Person das Mandat ihres Vorgängers.</w:t>
      </w:r>
    </w:p>
    <w:p w14:paraId="2D0785B9" w14:textId="77777777" w:rsidR="0064642F" w:rsidRPr="004676F5" w:rsidRDefault="0064642F" w:rsidP="0064642F">
      <w:pPr>
        <w:jc w:val="both"/>
        <w:rPr>
          <w:lang w:val="de-DE"/>
        </w:rPr>
      </w:pPr>
    </w:p>
    <w:p w14:paraId="14A1CCF9" w14:textId="77777777" w:rsidR="0064642F" w:rsidRPr="004676F5" w:rsidRDefault="0064642F" w:rsidP="0064642F">
      <w:pPr>
        <w:jc w:val="both"/>
        <w:rPr>
          <w:lang w:val="de-DE"/>
        </w:rPr>
      </w:pPr>
    </w:p>
    <w:p w14:paraId="1E4119DE" w14:textId="42BB7DA0"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XIII.8</w:t>
      </w:r>
      <w:r w:rsidRPr="004676F5">
        <w:rPr>
          <w:lang w:val="de-DE"/>
        </w:rPr>
        <w:t> </w:t>
      </w:r>
      <w:r w:rsidR="005B7A5C" w:rsidRPr="004676F5">
        <w:rPr>
          <w:lang w:val="de-DE"/>
        </w:rPr>
        <w:t>- </w:t>
      </w:r>
      <w:r w:rsidRPr="004676F5">
        <w:rPr>
          <w:lang w:val="de-DE"/>
        </w:rPr>
        <w:t>Der König kann die Höhe der Vergütungen bestimmen, die dem Präsidenten, den Vizepräsidenten und den Mitgliedern der besonderen Beratungsausschüsse zuerkannt werden.</w:t>
      </w:r>
    </w:p>
    <w:p w14:paraId="428A0FF9" w14:textId="77777777" w:rsidR="0064642F" w:rsidRPr="004676F5" w:rsidRDefault="0064642F" w:rsidP="0064642F">
      <w:pPr>
        <w:jc w:val="both"/>
        <w:rPr>
          <w:lang w:val="de-DE"/>
        </w:rPr>
      </w:pPr>
    </w:p>
    <w:p w14:paraId="45939162" w14:textId="77777777" w:rsidR="0064642F" w:rsidRPr="004676F5" w:rsidRDefault="0064642F" w:rsidP="0064642F">
      <w:pPr>
        <w:jc w:val="both"/>
        <w:rPr>
          <w:lang w:val="de-DE"/>
        </w:rPr>
      </w:pPr>
      <w:r w:rsidRPr="004676F5">
        <w:rPr>
          <w:lang w:val="de-DE"/>
        </w:rPr>
        <w:tab/>
        <w:t>Für die in Kapitel 4 erwähnten besonderen Beratungsausschüsse, die vom Zentralen Wirtschaftsrat eingerichtet werden, wird die Höhe der in Absatz 1 erwähnten Vergütungen vom Zentralen Wirtschaftsrat bestimmt.</w:t>
      </w:r>
    </w:p>
    <w:p w14:paraId="493D32D8" w14:textId="77777777" w:rsidR="0064642F" w:rsidRPr="004676F5" w:rsidRDefault="0064642F" w:rsidP="0064642F">
      <w:pPr>
        <w:jc w:val="both"/>
        <w:rPr>
          <w:lang w:val="de-DE"/>
        </w:rPr>
      </w:pPr>
    </w:p>
    <w:p w14:paraId="4BD464EE" w14:textId="77777777" w:rsidR="0064642F" w:rsidRPr="004676F5" w:rsidRDefault="0064642F" w:rsidP="0064642F">
      <w:pPr>
        <w:jc w:val="both"/>
        <w:rPr>
          <w:lang w:val="de-DE"/>
        </w:rPr>
      </w:pPr>
    </w:p>
    <w:p w14:paraId="2E30DDD9" w14:textId="00B374CE"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XIII.9</w:t>
      </w:r>
      <w:r w:rsidRPr="004676F5">
        <w:rPr>
          <w:lang w:val="de-DE"/>
        </w:rPr>
        <w:t> </w:t>
      </w:r>
      <w:r w:rsidR="005B7A5C" w:rsidRPr="004676F5">
        <w:rPr>
          <w:lang w:val="de-DE"/>
        </w:rPr>
        <w:t>- </w:t>
      </w:r>
      <w:r w:rsidRPr="004676F5">
        <w:rPr>
          <w:lang w:val="de-DE"/>
        </w:rPr>
        <w:t>Der König kann zusätzliche Regeln für Organisation und Arbeitsweise der besonderen Beratungsausschüsse bestimmen.</w:t>
      </w:r>
    </w:p>
    <w:p w14:paraId="23BB8A14" w14:textId="77777777" w:rsidR="0064642F" w:rsidRPr="004676F5" w:rsidRDefault="0064642F" w:rsidP="0064642F">
      <w:pPr>
        <w:jc w:val="both"/>
        <w:rPr>
          <w:lang w:val="de-DE"/>
        </w:rPr>
      </w:pPr>
    </w:p>
    <w:p w14:paraId="6CACD63D" w14:textId="77777777" w:rsidR="0064642F" w:rsidRPr="004676F5" w:rsidRDefault="0064642F" w:rsidP="0064642F">
      <w:pPr>
        <w:jc w:val="both"/>
        <w:rPr>
          <w:lang w:val="de-DE"/>
        </w:rPr>
      </w:pPr>
    </w:p>
    <w:p w14:paraId="3DA3CC1C" w14:textId="07B86604"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XIII.10</w:t>
      </w:r>
      <w:r w:rsidRPr="004676F5">
        <w:rPr>
          <w:lang w:val="de-DE"/>
        </w:rPr>
        <w:t> </w:t>
      </w:r>
      <w:r w:rsidR="005B7A5C" w:rsidRPr="004676F5">
        <w:rPr>
          <w:lang w:val="de-DE"/>
        </w:rPr>
        <w:t>- </w:t>
      </w:r>
      <w:r w:rsidRPr="004676F5">
        <w:rPr>
          <w:lang w:val="de-DE"/>
        </w:rPr>
        <w:t>Besondere Beratungsausschüsse erstellen selbst ihre Geschäftsordnung, die dem Zentralen Wirtschaftsrat zur Billigung vorgelegt wird.</w:t>
      </w:r>
    </w:p>
    <w:p w14:paraId="4FDA2204" w14:textId="77777777" w:rsidR="0064642F" w:rsidRPr="004676F5" w:rsidRDefault="0064642F" w:rsidP="0064642F">
      <w:pPr>
        <w:jc w:val="both"/>
        <w:rPr>
          <w:lang w:val="de-DE"/>
        </w:rPr>
      </w:pPr>
    </w:p>
    <w:p w14:paraId="7E57D71B" w14:textId="77777777" w:rsidR="0064642F" w:rsidRPr="004676F5" w:rsidRDefault="0064642F" w:rsidP="0064642F">
      <w:pPr>
        <w:jc w:val="both"/>
        <w:rPr>
          <w:lang w:val="de-DE"/>
        </w:rPr>
      </w:pPr>
      <w:r w:rsidRPr="004676F5">
        <w:rPr>
          <w:lang w:val="de-DE"/>
        </w:rPr>
        <w:tab/>
        <w:t>Besondere Beratungsausschüsse erstellen jährlich einen Tätigkeitsbericht.</w:t>
      </w:r>
    </w:p>
    <w:p w14:paraId="0AE416FB" w14:textId="77777777" w:rsidR="0064642F" w:rsidRPr="004676F5" w:rsidRDefault="0064642F" w:rsidP="0064642F">
      <w:pPr>
        <w:jc w:val="both"/>
        <w:rPr>
          <w:lang w:val="de-DE"/>
        </w:rPr>
      </w:pPr>
    </w:p>
    <w:p w14:paraId="6B524B83" w14:textId="77777777" w:rsidR="0064642F" w:rsidRPr="004676F5" w:rsidRDefault="0064642F" w:rsidP="0064642F">
      <w:pPr>
        <w:jc w:val="both"/>
        <w:rPr>
          <w:lang w:val="de-DE"/>
        </w:rPr>
      </w:pPr>
    </w:p>
    <w:p w14:paraId="4F27C07F" w14:textId="33AE41CB"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XIII.11</w:t>
      </w:r>
      <w:r w:rsidRPr="004676F5">
        <w:rPr>
          <w:lang w:val="de-DE"/>
        </w:rPr>
        <w:t> </w:t>
      </w:r>
      <w:r w:rsidR="005B7A5C" w:rsidRPr="004676F5">
        <w:rPr>
          <w:lang w:val="de-DE"/>
        </w:rPr>
        <w:t>- </w:t>
      </w:r>
      <w:r w:rsidRPr="004676F5">
        <w:rPr>
          <w:lang w:val="de-DE"/>
        </w:rPr>
        <w:t>Den Vorsitz der besonderen Beratungsausschüsse führen Personen, die der Verwaltung und den in den Ausschüssen vertretenen Organisationen nicht angehören.</w:t>
      </w:r>
    </w:p>
    <w:p w14:paraId="4310B528" w14:textId="77777777" w:rsidR="0064642F" w:rsidRPr="004676F5" w:rsidRDefault="0064642F" w:rsidP="0064642F">
      <w:pPr>
        <w:jc w:val="both"/>
        <w:rPr>
          <w:lang w:val="de-DE"/>
        </w:rPr>
      </w:pPr>
    </w:p>
    <w:p w14:paraId="7302A462" w14:textId="77777777" w:rsidR="0064642F" w:rsidRPr="004676F5" w:rsidRDefault="0064642F" w:rsidP="0064642F">
      <w:pPr>
        <w:jc w:val="both"/>
        <w:rPr>
          <w:lang w:val="de-DE"/>
        </w:rPr>
      </w:pPr>
      <w:r w:rsidRPr="004676F5">
        <w:rPr>
          <w:lang w:val="de-DE"/>
        </w:rPr>
        <w:tab/>
        <w:t>Für die in Kapitel 4 erwähnten besonderen Beratungsausschüsse, die vom Zentralen Wirtschaftsrat eingerichtet werden, wird der Präsident nach Konzertierung mit dem betreffenden Ausschuss vom Zentralen Wirtschaftsrat ernannt.</w:t>
      </w:r>
    </w:p>
    <w:p w14:paraId="4769302C" w14:textId="77777777" w:rsidR="0064642F" w:rsidRPr="004676F5" w:rsidRDefault="0064642F" w:rsidP="0064642F">
      <w:pPr>
        <w:jc w:val="both"/>
        <w:rPr>
          <w:lang w:val="de-DE"/>
        </w:rPr>
      </w:pPr>
    </w:p>
    <w:p w14:paraId="2969E978" w14:textId="77777777" w:rsidR="0064642F" w:rsidRPr="004676F5" w:rsidRDefault="0064642F" w:rsidP="0064642F">
      <w:pPr>
        <w:jc w:val="both"/>
        <w:rPr>
          <w:lang w:val="de-DE"/>
        </w:rPr>
      </w:pPr>
    </w:p>
    <w:p w14:paraId="5F2E6022" w14:textId="1AF9536E" w:rsidR="0064642F" w:rsidRPr="004676F5" w:rsidRDefault="0064642F" w:rsidP="0064642F">
      <w:pPr>
        <w:jc w:val="both"/>
        <w:rPr>
          <w:lang w:val="de-DE"/>
        </w:rPr>
      </w:pPr>
      <w:r w:rsidRPr="004676F5">
        <w:rPr>
          <w:lang w:val="de-DE"/>
        </w:rPr>
        <w:lastRenderedPageBreak/>
        <w:tab/>
      </w:r>
      <w:r w:rsidR="00BE0A56" w:rsidRPr="004676F5">
        <w:rPr>
          <w:b/>
          <w:lang w:val="de-DE"/>
        </w:rPr>
        <w:t>Art. </w:t>
      </w:r>
      <w:r w:rsidRPr="004676F5">
        <w:rPr>
          <w:b/>
          <w:lang w:val="de-DE"/>
        </w:rPr>
        <w:t>XIII.12</w:t>
      </w:r>
      <w:r w:rsidRPr="004676F5">
        <w:rPr>
          <w:lang w:val="de-DE"/>
        </w:rPr>
        <w:t> </w:t>
      </w:r>
      <w:r w:rsidR="005B7A5C" w:rsidRPr="004676F5">
        <w:rPr>
          <w:lang w:val="de-DE"/>
        </w:rPr>
        <w:t>- </w:t>
      </w:r>
      <w:r w:rsidRPr="004676F5">
        <w:rPr>
          <w:lang w:val="de-DE"/>
        </w:rPr>
        <w:t>Das Mandat als Präsident, Vizepräsident und Mitglied der besonderen Beratungsausschüsse ist erneuerbar.</w:t>
      </w:r>
    </w:p>
    <w:p w14:paraId="112AD365" w14:textId="77777777" w:rsidR="0064642F" w:rsidRPr="004676F5" w:rsidRDefault="0064642F" w:rsidP="0064642F">
      <w:pPr>
        <w:jc w:val="both"/>
        <w:rPr>
          <w:lang w:val="de-DE"/>
        </w:rPr>
      </w:pPr>
    </w:p>
    <w:p w14:paraId="32FC7168" w14:textId="77777777" w:rsidR="0064642F" w:rsidRPr="004676F5" w:rsidRDefault="0064642F" w:rsidP="0064642F">
      <w:pPr>
        <w:jc w:val="both"/>
        <w:rPr>
          <w:lang w:val="de-DE"/>
        </w:rPr>
      </w:pPr>
    </w:p>
    <w:p w14:paraId="1997609A" w14:textId="7A19318F"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XIII.13</w:t>
      </w:r>
      <w:r w:rsidRPr="004676F5">
        <w:rPr>
          <w:lang w:val="de-DE"/>
        </w:rPr>
        <w:t> </w:t>
      </w:r>
      <w:r w:rsidR="005B7A5C" w:rsidRPr="004676F5">
        <w:rPr>
          <w:lang w:val="de-DE"/>
        </w:rPr>
        <w:t>- </w:t>
      </w:r>
      <w:r w:rsidRPr="004676F5">
        <w:rPr>
          <w:lang w:val="de-DE"/>
        </w:rPr>
        <w:t>In Ermangelung besonderer Regeln in der oder den Akte(n) zur Gründung eines besonderen Beratungsausschusses werden die Sekretariatsgeschäfte vom Sekretariat des Zentralen Wirtschaftsrates wahrgenommen.</w:t>
      </w:r>
    </w:p>
    <w:p w14:paraId="5F61A1CD" w14:textId="77777777" w:rsidR="0064642F" w:rsidRPr="004676F5" w:rsidRDefault="0064642F" w:rsidP="0064642F">
      <w:pPr>
        <w:jc w:val="both"/>
        <w:rPr>
          <w:lang w:val="de-DE"/>
        </w:rPr>
      </w:pPr>
    </w:p>
    <w:p w14:paraId="3F89159B" w14:textId="77777777" w:rsidR="0064642F" w:rsidRPr="004676F5" w:rsidRDefault="0064642F" w:rsidP="0064642F">
      <w:pPr>
        <w:jc w:val="both"/>
        <w:rPr>
          <w:lang w:val="de-DE"/>
        </w:rPr>
      </w:pPr>
    </w:p>
    <w:p w14:paraId="090EB6E0" w14:textId="177E68B2"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XIII.14</w:t>
      </w:r>
      <w:r w:rsidRPr="004676F5">
        <w:rPr>
          <w:lang w:val="de-DE"/>
        </w:rPr>
        <w:t> </w:t>
      </w:r>
      <w:r w:rsidR="005B7A5C" w:rsidRPr="004676F5">
        <w:rPr>
          <w:lang w:val="de-DE"/>
        </w:rPr>
        <w:t>- </w:t>
      </w:r>
      <w:r w:rsidRPr="004676F5">
        <w:rPr>
          <w:lang w:val="de-DE"/>
        </w:rPr>
        <w:t>Besondere Beratungsausschüsse sind nur beschlussfähig, wenn mindestens die Hälfte ihrer Mitglieder anwesend sind. Nach einer zweiten Einberufung sind sie ungeachtet der Anzahl anwesender Mitglieder beschlussfähig.</w:t>
      </w:r>
    </w:p>
    <w:p w14:paraId="148A6181" w14:textId="77777777" w:rsidR="0064642F" w:rsidRPr="004676F5" w:rsidRDefault="0064642F" w:rsidP="0064642F">
      <w:pPr>
        <w:jc w:val="both"/>
        <w:rPr>
          <w:lang w:val="de-DE"/>
        </w:rPr>
      </w:pPr>
    </w:p>
    <w:p w14:paraId="1BCB5933" w14:textId="77777777" w:rsidR="0064642F" w:rsidRPr="004676F5" w:rsidRDefault="0064642F" w:rsidP="0064642F">
      <w:pPr>
        <w:jc w:val="both"/>
        <w:rPr>
          <w:lang w:val="de-DE"/>
        </w:rPr>
      </w:pPr>
    </w:p>
    <w:p w14:paraId="6329AA01" w14:textId="2F3D0C84"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XIII.15</w:t>
      </w:r>
      <w:r w:rsidRPr="004676F5">
        <w:rPr>
          <w:lang w:val="de-DE"/>
        </w:rPr>
        <w:t> </w:t>
      </w:r>
      <w:r w:rsidR="005B7A5C" w:rsidRPr="004676F5">
        <w:rPr>
          <w:lang w:val="de-DE"/>
        </w:rPr>
        <w:t>- </w:t>
      </w:r>
      <w:r w:rsidRPr="004676F5">
        <w:rPr>
          <w:lang w:val="de-DE"/>
        </w:rPr>
        <w:t>Bei der Ausübung ihrer Zuständigkeiten können besondere Beratungsausschüsse auf die Weise und gemäß den Regeln, die in ihrer Geschäftsordnung bestimmt sind, Dritte anhören und Sachverständige bestellen.</w:t>
      </w:r>
    </w:p>
    <w:p w14:paraId="506BD635" w14:textId="77777777" w:rsidR="0064642F" w:rsidRPr="004676F5" w:rsidRDefault="0064642F" w:rsidP="0064642F">
      <w:pPr>
        <w:jc w:val="both"/>
        <w:rPr>
          <w:lang w:val="de-DE"/>
        </w:rPr>
      </w:pPr>
    </w:p>
    <w:p w14:paraId="54059408" w14:textId="77777777" w:rsidR="0064642F" w:rsidRPr="004676F5" w:rsidRDefault="0064642F" w:rsidP="0064642F">
      <w:pPr>
        <w:jc w:val="both"/>
        <w:rPr>
          <w:lang w:val="de-DE"/>
        </w:rPr>
      </w:pPr>
    </w:p>
    <w:p w14:paraId="750CDC82" w14:textId="69CD50E4"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XIII.16</w:t>
      </w:r>
      <w:r w:rsidRPr="004676F5">
        <w:rPr>
          <w:lang w:val="de-DE"/>
        </w:rPr>
        <w:t> </w:t>
      </w:r>
      <w:r w:rsidR="005B7A5C" w:rsidRPr="004676F5">
        <w:rPr>
          <w:lang w:val="de-DE"/>
        </w:rPr>
        <w:t>- </w:t>
      </w:r>
      <w:r w:rsidRPr="004676F5">
        <w:rPr>
          <w:lang w:val="de-DE"/>
        </w:rPr>
        <w:t>Das Sekretariat des Zentralen Wirtschaftsrates ist befugt, auf Antrag eines besonderen Beratungsausschusses bei den Unternehmen, die dessen Zuständigkeit unterliegen, individuelle Auskünfte über besondere Fragen einzuholen, die bei der Vorbereitung einer Stellungnahme oder eines Vorschlags untersucht werden.</w:t>
      </w:r>
    </w:p>
    <w:p w14:paraId="09744CC2" w14:textId="77777777" w:rsidR="0064642F" w:rsidRPr="004676F5" w:rsidRDefault="0064642F" w:rsidP="0064642F">
      <w:pPr>
        <w:jc w:val="both"/>
        <w:rPr>
          <w:lang w:val="de-DE"/>
        </w:rPr>
      </w:pPr>
    </w:p>
    <w:p w14:paraId="4DB166BF" w14:textId="77777777" w:rsidR="0064642F" w:rsidRPr="004676F5" w:rsidRDefault="0064642F" w:rsidP="0064642F">
      <w:pPr>
        <w:jc w:val="both"/>
        <w:rPr>
          <w:lang w:val="de-DE"/>
        </w:rPr>
      </w:pPr>
      <w:r w:rsidRPr="004676F5">
        <w:rPr>
          <w:lang w:val="de-DE"/>
        </w:rPr>
        <w:tab/>
        <w:t>Diese individuellen Auskünfte dürfen dem besonderen Beratungsausschuss jedoch nur in der Form globaler Ergebnisse unter Ausschluss besonderer Auskünfte aus bestimmten Unternehmen zur Kenntnis gebracht werden.</w:t>
      </w:r>
    </w:p>
    <w:p w14:paraId="29BF970A" w14:textId="77777777" w:rsidR="0064642F" w:rsidRPr="004676F5" w:rsidRDefault="0064642F" w:rsidP="0064642F">
      <w:pPr>
        <w:jc w:val="both"/>
        <w:rPr>
          <w:lang w:val="de-DE"/>
        </w:rPr>
      </w:pPr>
    </w:p>
    <w:p w14:paraId="36121275" w14:textId="77777777" w:rsidR="0064642F" w:rsidRPr="004676F5" w:rsidRDefault="0064642F" w:rsidP="0064642F">
      <w:pPr>
        <w:jc w:val="both"/>
        <w:rPr>
          <w:lang w:val="de-DE"/>
        </w:rPr>
      </w:pPr>
    </w:p>
    <w:p w14:paraId="6E5AD257" w14:textId="77777777" w:rsidR="0064642F" w:rsidRPr="004676F5" w:rsidRDefault="0064642F">
      <w:pPr>
        <w:rPr>
          <w:lang w:val="de-DE"/>
        </w:rPr>
      </w:pPr>
      <w:r w:rsidRPr="004676F5">
        <w:rPr>
          <w:lang w:val="de-DE"/>
        </w:rPr>
        <w:br w:type="page"/>
      </w:r>
    </w:p>
    <w:p w14:paraId="2D444A85" w14:textId="500D6824" w:rsidR="0064642F" w:rsidRPr="004676F5" w:rsidRDefault="0064642F" w:rsidP="0064642F">
      <w:pPr>
        <w:jc w:val="center"/>
        <w:rPr>
          <w:lang w:val="de-DE"/>
        </w:rPr>
      </w:pPr>
      <w:r w:rsidRPr="004676F5">
        <w:rPr>
          <w:lang w:val="de-DE"/>
        </w:rPr>
        <w:lastRenderedPageBreak/>
        <w:t>KAPITEL 3 </w:t>
      </w:r>
      <w:r w:rsidR="005B7A5C" w:rsidRPr="004676F5">
        <w:rPr>
          <w:lang w:val="de-DE"/>
        </w:rPr>
        <w:t>- </w:t>
      </w:r>
      <w:r w:rsidRPr="004676F5">
        <w:rPr>
          <w:i/>
          <w:lang w:val="de-DE"/>
        </w:rPr>
        <w:t>Eingliederung der bestehenden Beratungsausschüsse</w:t>
      </w:r>
    </w:p>
    <w:p w14:paraId="2FEB8DFC" w14:textId="77777777" w:rsidR="0064642F" w:rsidRPr="004676F5" w:rsidRDefault="0064642F" w:rsidP="0064642F">
      <w:pPr>
        <w:jc w:val="both"/>
        <w:rPr>
          <w:lang w:val="de-DE"/>
        </w:rPr>
      </w:pPr>
    </w:p>
    <w:p w14:paraId="7AB2C2D4" w14:textId="77777777" w:rsidR="0064642F" w:rsidRPr="004676F5" w:rsidRDefault="0064642F" w:rsidP="0064642F">
      <w:pPr>
        <w:jc w:val="both"/>
        <w:rPr>
          <w:lang w:val="de-DE"/>
        </w:rPr>
      </w:pPr>
    </w:p>
    <w:p w14:paraId="36E92764" w14:textId="7EB7D283"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XIII.17</w:t>
      </w:r>
      <w:r w:rsidRPr="004676F5">
        <w:rPr>
          <w:lang w:val="de-DE"/>
        </w:rPr>
        <w:t> </w:t>
      </w:r>
      <w:r w:rsidR="005B7A5C" w:rsidRPr="004676F5">
        <w:rPr>
          <w:lang w:val="de-DE"/>
        </w:rPr>
        <w:t>- </w:t>
      </w:r>
      <w:r w:rsidRPr="004676F5">
        <w:rPr>
          <w:lang w:val="de-DE"/>
        </w:rPr>
        <w:t>Nach Stellungnahme des Zentralen Wirtschaftsrates und des betreffenden Beratungsausschusses kann der König durch einen im Ministerrat beratenen Königlichen Erlass die für die Abgabe allgemeiner Stellungnahmen in Wirtschaftsangelegen</w:t>
      </w:r>
      <w:r w:rsidRPr="004676F5">
        <w:rPr>
          <w:lang w:val="de-DE"/>
        </w:rPr>
        <w:softHyphen/>
        <w:t>heiten zuständigen Beratungsausschüsse in der Form eines besonderen Beratungsausschusses so wie in den Artikeln XIII.6 bis XIII.16 erwähnt in den Zentralen Wirtschaftsrat eingliedern.</w:t>
      </w:r>
    </w:p>
    <w:p w14:paraId="29990238" w14:textId="77777777" w:rsidR="0064642F" w:rsidRPr="004676F5" w:rsidRDefault="0064642F" w:rsidP="0064642F">
      <w:pPr>
        <w:jc w:val="both"/>
        <w:rPr>
          <w:lang w:val="de-DE"/>
        </w:rPr>
      </w:pPr>
    </w:p>
    <w:p w14:paraId="6DF6DE7B" w14:textId="77777777" w:rsidR="0064642F" w:rsidRPr="004676F5" w:rsidRDefault="0064642F" w:rsidP="0064642F">
      <w:pPr>
        <w:jc w:val="both"/>
        <w:rPr>
          <w:lang w:val="de-DE"/>
        </w:rPr>
      </w:pPr>
      <w:r w:rsidRPr="004676F5">
        <w:rPr>
          <w:lang w:val="de-DE"/>
        </w:rPr>
        <w:tab/>
        <w:t>Zu diesem Zweck kann der König bestehende Gesetzesbestimmungen aufheben, abändern, ergänzen oder ersetzen.</w:t>
      </w:r>
    </w:p>
    <w:p w14:paraId="32C2011B" w14:textId="77777777" w:rsidR="0064642F" w:rsidRPr="004676F5" w:rsidRDefault="0064642F" w:rsidP="0064642F">
      <w:pPr>
        <w:jc w:val="both"/>
        <w:rPr>
          <w:lang w:val="de-DE"/>
        </w:rPr>
      </w:pPr>
    </w:p>
    <w:p w14:paraId="57B13C5A" w14:textId="77777777" w:rsidR="0064642F" w:rsidRPr="004676F5" w:rsidRDefault="0064642F">
      <w:pPr>
        <w:rPr>
          <w:lang w:val="de-DE"/>
        </w:rPr>
      </w:pPr>
      <w:r w:rsidRPr="004676F5">
        <w:rPr>
          <w:lang w:val="de-DE"/>
        </w:rPr>
        <w:br w:type="page"/>
      </w:r>
    </w:p>
    <w:p w14:paraId="456536D7" w14:textId="3199ED4A" w:rsidR="0064642F" w:rsidRPr="004676F5" w:rsidRDefault="0064642F" w:rsidP="0064642F">
      <w:pPr>
        <w:jc w:val="center"/>
        <w:rPr>
          <w:lang w:val="de-DE"/>
        </w:rPr>
      </w:pPr>
      <w:r w:rsidRPr="004676F5">
        <w:rPr>
          <w:lang w:val="de-DE"/>
        </w:rPr>
        <w:lastRenderedPageBreak/>
        <w:t>KAPITEL 4 </w:t>
      </w:r>
      <w:r w:rsidR="005B7A5C" w:rsidRPr="004676F5">
        <w:rPr>
          <w:lang w:val="de-DE"/>
        </w:rPr>
        <w:t>- </w:t>
      </w:r>
      <w:r w:rsidRPr="004676F5">
        <w:rPr>
          <w:i/>
          <w:lang w:val="de-DE"/>
        </w:rPr>
        <w:t>Vom Zentralen Wirtschaftsrat eingerichtete besondere Beratungsausschüsse</w:t>
      </w:r>
    </w:p>
    <w:p w14:paraId="56F5B065" w14:textId="77777777" w:rsidR="0064642F" w:rsidRPr="004676F5" w:rsidRDefault="0064642F" w:rsidP="0064642F">
      <w:pPr>
        <w:jc w:val="both"/>
        <w:rPr>
          <w:lang w:val="de-DE"/>
        </w:rPr>
      </w:pPr>
    </w:p>
    <w:p w14:paraId="2A7CE7D0" w14:textId="77777777" w:rsidR="0064642F" w:rsidRPr="004676F5" w:rsidRDefault="0064642F" w:rsidP="0064642F">
      <w:pPr>
        <w:jc w:val="both"/>
        <w:rPr>
          <w:lang w:val="de-DE"/>
        </w:rPr>
      </w:pPr>
    </w:p>
    <w:p w14:paraId="14D5D73B" w14:textId="65FBF628"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XIII.18</w:t>
      </w:r>
      <w:r w:rsidRPr="004676F5">
        <w:rPr>
          <w:lang w:val="de-DE"/>
        </w:rPr>
        <w:t> </w:t>
      </w:r>
      <w:r w:rsidR="005B7A5C" w:rsidRPr="004676F5">
        <w:rPr>
          <w:lang w:val="de-DE"/>
        </w:rPr>
        <w:t>- </w:t>
      </w:r>
      <w:r w:rsidRPr="004676F5">
        <w:rPr>
          <w:lang w:val="de-DE"/>
        </w:rPr>
        <w:t>Ausgenommen für Beschäftigungszweige, deren Unternehmen keine Lohnempfänger zählen, setzen sich die vom Zentralen Wirtschaftsrat eingerichteten besonderen Beratungsausschüsse aus Mitgliedern zusammen, die paritätisch aus Personen gewählt werden, die von den repräsentativen Organisationen der betreffenden Betriebsleiter und Arbeitnehmer vorgeschlagen werden.</w:t>
      </w:r>
    </w:p>
    <w:p w14:paraId="6AAE9C8B" w14:textId="77777777" w:rsidR="0064642F" w:rsidRPr="004676F5" w:rsidRDefault="0064642F" w:rsidP="0064642F">
      <w:pPr>
        <w:jc w:val="both"/>
        <w:rPr>
          <w:lang w:val="de-DE"/>
        </w:rPr>
      </w:pPr>
    </w:p>
    <w:p w14:paraId="47B85D7B" w14:textId="77777777" w:rsidR="0064642F" w:rsidRPr="004676F5" w:rsidRDefault="0064642F" w:rsidP="0064642F">
      <w:pPr>
        <w:jc w:val="both"/>
        <w:rPr>
          <w:lang w:val="de-DE"/>
        </w:rPr>
      </w:pPr>
      <w:r w:rsidRPr="004676F5">
        <w:rPr>
          <w:lang w:val="de-DE"/>
        </w:rPr>
        <w:tab/>
        <w:t>Den gemäß vorhergehendem Absatz gewählten Mitgliedern werden Personen beigeordnet, die wegen ihrer Bedeutung für Wissenschaft oder Technik bekannt sind und deren Anzahl höchstens vier pro Ausschuss betragen darf. Ihre Bestimmung erfolgt nach den in Artikel XIII.2 vorgesehenen Modalitäten.</w:t>
      </w:r>
    </w:p>
    <w:p w14:paraId="06E7217C" w14:textId="77777777" w:rsidR="0064642F" w:rsidRPr="004676F5" w:rsidRDefault="0064642F" w:rsidP="0064642F">
      <w:pPr>
        <w:jc w:val="both"/>
        <w:rPr>
          <w:lang w:val="de-DE"/>
        </w:rPr>
      </w:pPr>
    </w:p>
    <w:p w14:paraId="6BFC57CE" w14:textId="77777777" w:rsidR="0064642F" w:rsidRPr="004676F5" w:rsidRDefault="0064642F" w:rsidP="0064642F">
      <w:pPr>
        <w:jc w:val="both"/>
        <w:rPr>
          <w:lang w:val="de-DE"/>
        </w:rPr>
      </w:pPr>
      <w:r w:rsidRPr="004676F5">
        <w:rPr>
          <w:lang w:val="de-DE"/>
        </w:rPr>
        <w:tab/>
        <w:t>Die besonderen Beratungsausschüsse zählen ebenso viele Ersatzmitglieder wie ordentliche Mitglieder. Sie werden alle gemäß den gleichen Modalitäten bestimmt und vom Zentralen Wirtschaftsrat ernannt.</w:t>
      </w:r>
    </w:p>
    <w:p w14:paraId="4AC157CC" w14:textId="77777777" w:rsidR="0064642F" w:rsidRPr="004676F5" w:rsidRDefault="0064642F" w:rsidP="0064642F">
      <w:pPr>
        <w:jc w:val="both"/>
        <w:rPr>
          <w:lang w:val="de-DE"/>
        </w:rPr>
      </w:pPr>
    </w:p>
    <w:p w14:paraId="7651FE8E" w14:textId="77777777" w:rsidR="0064642F" w:rsidRPr="004676F5" w:rsidRDefault="0064642F" w:rsidP="0064642F">
      <w:pPr>
        <w:jc w:val="both"/>
        <w:rPr>
          <w:lang w:val="de-DE"/>
        </w:rPr>
      </w:pPr>
    </w:p>
    <w:p w14:paraId="429F786F" w14:textId="62FEF7EF"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XIII.19</w:t>
      </w:r>
      <w:r w:rsidRPr="004676F5">
        <w:rPr>
          <w:lang w:val="de-DE"/>
        </w:rPr>
        <w:t> </w:t>
      </w:r>
      <w:r w:rsidR="005B7A5C" w:rsidRPr="004676F5">
        <w:rPr>
          <w:lang w:val="de-DE"/>
        </w:rPr>
        <w:t>- </w:t>
      </w:r>
      <w:r w:rsidRPr="004676F5">
        <w:rPr>
          <w:lang w:val="de-DE"/>
        </w:rPr>
        <w:t>Der Zentrale Wirtschaftsrat bestimmt für ordentliche Mitglieder und Ersatzmitglieder der besonderen Beratungsausschüsse Anzahl, Dauer des Mandats und Vorschlagsmodalitäten und für den Präsidenten und Vizepräsidenten jedes besonderen Beratungsausschusses Dauer des Mandats und Vorschlagsmodalitäten, und Modalitäten der Arbeitsweise der besonderen Beratungsausschüsse.</w:t>
      </w:r>
    </w:p>
    <w:p w14:paraId="7ADC150F" w14:textId="77777777" w:rsidR="0064642F" w:rsidRPr="004676F5" w:rsidRDefault="0064642F" w:rsidP="0064642F">
      <w:pPr>
        <w:jc w:val="both"/>
        <w:rPr>
          <w:lang w:val="de-DE"/>
        </w:rPr>
      </w:pPr>
    </w:p>
    <w:p w14:paraId="6820DF60" w14:textId="77777777" w:rsidR="0064642F" w:rsidRPr="004676F5" w:rsidRDefault="0064642F">
      <w:pPr>
        <w:rPr>
          <w:lang w:val="de-DE"/>
        </w:rPr>
      </w:pPr>
      <w:r w:rsidRPr="004676F5">
        <w:rPr>
          <w:lang w:val="de-DE"/>
        </w:rPr>
        <w:br w:type="page"/>
      </w:r>
    </w:p>
    <w:p w14:paraId="50265AB0" w14:textId="77FF155F" w:rsidR="0064642F" w:rsidRPr="004676F5" w:rsidRDefault="0064642F" w:rsidP="0064642F">
      <w:pPr>
        <w:jc w:val="center"/>
        <w:rPr>
          <w:lang w:val="de-DE"/>
        </w:rPr>
      </w:pPr>
      <w:r w:rsidRPr="004676F5">
        <w:rPr>
          <w:lang w:val="de-DE"/>
        </w:rPr>
        <w:lastRenderedPageBreak/>
        <w:t>KAPITEL 5 </w:t>
      </w:r>
      <w:r w:rsidR="005B7A5C" w:rsidRPr="004676F5">
        <w:rPr>
          <w:lang w:val="de-DE"/>
        </w:rPr>
        <w:t>- </w:t>
      </w:r>
      <w:r w:rsidRPr="004676F5">
        <w:rPr>
          <w:i/>
          <w:lang w:val="de-DE"/>
        </w:rPr>
        <w:t>Sonderbestimmungen</w:t>
      </w:r>
    </w:p>
    <w:p w14:paraId="6A71F298" w14:textId="77777777" w:rsidR="0064642F" w:rsidRPr="004676F5" w:rsidRDefault="0064642F" w:rsidP="0064642F">
      <w:pPr>
        <w:jc w:val="both"/>
        <w:rPr>
          <w:lang w:val="de-DE"/>
        </w:rPr>
      </w:pPr>
    </w:p>
    <w:p w14:paraId="30749733" w14:textId="77777777" w:rsidR="0064642F" w:rsidRPr="004676F5" w:rsidRDefault="0064642F" w:rsidP="0064642F">
      <w:pPr>
        <w:jc w:val="both"/>
        <w:rPr>
          <w:lang w:val="de-DE"/>
        </w:rPr>
      </w:pPr>
    </w:p>
    <w:p w14:paraId="03D93B2D" w14:textId="3122A53B" w:rsidR="0064642F" w:rsidRPr="004676F5" w:rsidRDefault="0064642F" w:rsidP="0064642F">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Bearbeitung der Anträge auf Stellungnahme</w:t>
      </w:r>
    </w:p>
    <w:p w14:paraId="3FBFD0F0" w14:textId="77777777" w:rsidR="0064642F" w:rsidRPr="004676F5" w:rsidRDefault="0064642F" w:rsidP="0064642F">
      <w:pPr>
        <w:jc w:val="both"/>
        <w:rPr>
          <w:lang w:val="de-DE"/>
        </w:rPr>
      </w:pPr>
    </w:p>
    <w:p w14:paraId="3CBF6BBE" w14:textId="77777777" w:rsidR="0064642F" w:rsidRPr="004676F5" w:rsidRDefault="0064642F" w:rsidP="0064642F">
      <w:pPr>
        <w:jc w:val="both"/>
        <w:rPr>
          <w:lang w:val="de-DE"/>
        </w:rPr>
      </w:pPr>
    </w:p>
    <w:p w14:paraId="169528B9" w14:textId="7D78D07E"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XIII.20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Anträge auf Stellungnahme einer öffentlichen Behörde, für die der Zentrale Wirtschaftsrat oder ein im Rat eingerichteter besonderer Beratungsausschuss zuständig ist, werden beim Sekretariat des Zentralen Wirtschaftsrates eingereicht.</w:t>
      </w:r>
    </w:p>
    <w:p w14:paraId="73480CBB" w14:textId="77777777" w:rsidR="0064642F" w:rsidRPr="004676F5" w:rsidRDefault="0064642F" w:rsidP="0064642F">
      <w:pPr>
        <w:jc w:val="both"/>
        <w:rPr>
          <w:lang w:val="de-DE"/>
        </w:rPr>
      </w:pPr>
    </w:p>
    <w:p w14:paraId="2E1D65BC" w14:textId="77777777" w:rsidR="0064642F" w:rsidRPr="004676F5" w:rsidRDefault="0064642F" w:rsidP="0064642F">
      <w:pPr>
        <w:jc w:val="both"/>
        <w:rPr>
          <w:lang w:val="de-DE"/>
        </w:rPr>
      </w:pPr>
      <w:r w:rsidRPr="004676F5">
        <w:rPr>
          <w:lang w:val="de-DE"/>
        </w:rPr>
        <w:tab/>
        <w:t>Auf Vorschlag des Sekretärs leitet der Präsident des Zentralen Wirtschaftsrates die Anträge auf Stellungnahme an den oder die betreffenden besonderen Beratungsausschüsse weiter.</w:t>
      </w:r>
    </w:p>
    <w:p w14:paraId="38D4A441" w14:textId="77777777" w:rsidR="0064642F" w:rsidRPr="004676F5" w:rsidRDefault="0064642F" w:rsidP="0064642F">
      <w:pPr>
        <w:jc w:val="both"/>
        <w:rPr>
          <w:lang w:val="de-DE"/>
        </w:rPr>
      </w:pPr>
    </w:p>
    <w:p w14:paraId="50AE2BFA" w14:textId="186CE091" w:rsidR="0064642F" w:rsidRPr="004676F5" w:rsidRDefault="0064642F" w:rsidP="0064642F">
      <w:pPr>
        <w:jc w:val="both"/>
        <w:rPr>
          <w:lang w:val="de-DE"/>
        </w:rPr>
      </w:pPr>
      <w:r w:rsidRPr="004676F5">
        <w:rPr>
          <w:lang w:val="de-DE"/>
        </w:rPr>
        <w:tab/>
        <w:t>§ 2 </w:t>
      </w:r>
      <w:r w:rsidR="005B7A5C" w:rsidRPr="004676F5">
        <w:rPr>
          <w:lang w:val="de-DE"/>
        </w:rPr>
        <w:t>- </w:t>
      </w:r>
      <w:r w:rsidRPr="004676F5">
        <w:rPr>
          <w:lang w:val="de-DE"/>
        </w:rPr>
        <w:t>Werden mehrere besondere Beratungsausschüsse mit einem Antrag über denselben Gegenstand befasst, werden die Stellungnahmen der besonderen Beratungs</w:t>
      </w:r>
      <w:r w:rsidRPr="004676F5">
        <w:rPr>
          <w:lang w:val="de-DE"/>
        </w:rPr>
        <w:softHyphen/>
        <w:t>ausschüsse in eine globale Stellungnahme des Zentralen Wirtschaftsrates aufgenommen. Das Sekretariat des Zentralen Wirtschaftsrates übermittelt diese Stellungnahme an die öffentliche Behörde, die um die Stellungnahme ersucht hat.</w:t>
      </w:r>
    </w:p>
    <w:p w14:paraId="44D9F1E8" w14:textId="77777777" w:rsidR="0064642F" w:rsidRPr="004676F5" w:rsidRDefault="0064642F" w:rsidP="0064642F">
      <w:pPr>
        <w:jc w:val="both"/>
        <w:rPr>
          <w:lang w:val="de-DE"/>
        </w:rPr>
      </w:pPr>
    </w:p>
    <w:p w14:paraId="7822342F" w14:textId="40DBAA51" w:rsidR="0064642F" w:rsidRPr="004676F5" w:rsidRDefault="0064642F" w:rsidP="0064642F">
      <w:pPr>
        <w:jc w:val="both"/>
        <w:rPr>
          <w:lang w:val="de-DE"/>
        </w:rPr>
      </w:pPr>
      <w:r w:rsidRPr="004676F5">
        <w:rPr>
          <w:lang w:val="de-DE"/>
        </w:rPr>
        <w:tab/>
        <w:t>§ 3 </w:t>
      </w:r>
      <w:r w:rsidR="005B7A5C" w:rsidRPr="004676F5">
        <w:rPr>
          <w:lang w:val="de-DE"/>
        </w:rPr>
        <w:t>- </w:t>
      </w:r>
      <w:r w:rsidRPr="004676F5">
        <w:rPr>
          <w:lang w:val="de-DE"/>
        </w:rPr>
        <w:t>Die öffentliche Behörde, die um eine Stellungnahme ersucht, gibt in ihrem Antrag die Frist für die Abgabe der Stellungnahme an. Außer bei ordnungsgemäß mit Gründen versehener Dringlichkeit darf diese Frist nicht unter einem Monat liegen.</w:t>
      </w:r>
    </w:p>
    <w:p w14:paraId="5338E649" w14:textId="77777777" w:rsidR="0064642F" w:rsidRPr="004676F5" w:rsidRDefault="0064642F" w:rsidP="0064642F">
      <w:pPr>
        <w:jc w:val="both"/>
        <w:rPr>
          <w:lang w:val="de-DE"/>
        </w:rPr>
      </w:pPr>
    </w:p>
    <w:p w14:paraId="48E7580F" w14:textId="77777777" w:rsidR="0064642F" w:rsidRPr="004676F5" w:rsidRDefault="0064642F" w:rsidP="0064642F">
      <w:pPr>
        <w:jc w:val="both"/>
        <w:rPr>
          <w:lang w:val="de-DE"/>
        </w:rPr>
      </w:pPr>
      <w:r w:rsidRPr="004676F5">
        <w:rPr>
          <w:lang w:val="de-DE"/>
        </w:rPr>
        <w:tab/>
        <w:t>Die Stellungnahmen werden in der von der öffentlichen Behörde festgelegten Frist abgegeben. Ist nach Ablauf dieser Frist keine Stellungnahme abgegeben worden, ist diese Stellungnahme nicht mehr erforderlich.</w:t>
      </w:r>
    </w:p>
    <w:p w14:paraId="6E2A139C" w14:textId="77777777" w:rsidR="0064642F" w:rsidRPr="004676F5" w:rsidRDefault="0064642F" w:rsidP="0064642F">
      <w:pPr>
        <w:jc w:val="both"/>
        <w:rPr>
          <w:lang w:val="de-DE"/>
        </w:rPr>
      </w:pPr>
    </w:p>
    <w:p w14:paraId="5F3F318B" w14:textId="15EA59F1" w:rsidR="0064642F" w:rsidRPr="004676F5" w:rsidRDefault="0064642F" w:rsidP="0064642F">
      <w:pPr>
        <w:jc w:val="both"/>
        <w:rPr>
          <w:lang w:val="de-DE"/>
        </w:rPr>
      </w:pPr>
      <w:r w:rsidRPr="004676F5">
        <w:rPr>
          <w:lang w:val="de-DE"/>
        </w:rPr>
        <w:tab/>
        <w:t>§ 4 </w:t>
      </w:r>
      <w:r w:rsidR="005B7A5C" w:rsidRPr="004676F5">
        <w:rPr>
          <w:lang w:val="de-DE"/>
        </w:rPr>
        <w:t>- </w:t>
      </w:r>
      <w:r w:rsidRPr="004676F5">
        <w:rPr>
          <w:lang w:val="de-DE"/>
        </w:rPr>
        <w:t>Die Stellungnahmen der besonderen Beratungsausschüsse werden im Konsens angenommen. In Ermangelung eines Konsenses werden in der Stellungnahme die jeweiligen Standpunkte der Mitglieder aufgenommen.</w:t>
      </w:r>
    </w:p>
    <w:p w14:paraId="165C94AA" w14:textId="77777777" w:rsidR="0064642F" w:rsidRPr="004676F5" w:rsidRDefault="0064642F" w:rsidP="0064642F">
      <w:pPr>
        <w:jc w:val="both"/>
        <w:rPr>
          <w:lang w:val="de-DE"/>
        </w:rPr>
      </w:pPr>
    </w:p>
    <w:p w14:paraId="78BFF833" w14:textId="5AE947B0" w:rsidR="0064642F" w:rsidRPr="004676F5" w:rsidRDefault="0064642F" w:rsidP="0064642F">
      <w:pPr>
        <w:jc w:val="both"/>
        <w:rPr>
          <w:lang w:val="de-DE"/>
        </w:rPr>
      </w:pPr>
      <w:r w:rsidRPr="004676F5">
        <w:rPr>
          <w:lang w:val="de-DE"/>
        </w:rPr>
        <w:tab/>
        <w:t>§ 5 </w:t>
      </w:r>
      <w:r w:rsidR="005B7A5C" w:rsidRPr="004676F5">
        <w:rPr>
          <w:lang w:val="de-DE"/>
        </w:rPr>
        <w:t>- </w:t>
      </w:r>
      <w:r w:rsidRPr="004676F5">
        <w:rPr>
          <w:lang w:val="de-DE"/>
        </w:rPr>
        <w:t>Die Stellungnahmen der besonderen Beratungsausschüsse und die globale Stellungnahme des Zentralen Wirtschaftsrates werden mit Gründen versehen.</w:t>
      </w:r>
    </w:p>
    <w:p w14:paraId="77A1B070" w14:textId="77777777" w:rsidR="0064642F" w:rsidRPr="004676F5" w:rsidRDefault="0064642F" w:rsidP="0064642F">
      <w:pPr>
        <w:jc w:val="both"/>
        <w:rPr>
          <w:lang w:val="de-DE"/>
        </w:rPr>
      </w:pPr>
    </w:p>
    <w:p w14:paraId="10FAB8E5" w14:textId="77777777" w:rsidR="0064642F" w:rsidRPr="004676F5" w:rsidRDefault="0064642F" w:rsidP="0064642F">
      <w:pPr>
        <w:jc w:val="both"/>
        <w:rPr>
          <w:lang w:val="de-DE"/>
        </w:rPr>
      </w:pPr>
    </w:p>
    <w:p w14:paraId="7D93D492" w14:textId="5FC468D5" w:rsidR="0064642F" w:rsidRPr="004676F5" w:rsidRDefault="0064642F" w:rsidP="0064642F">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Beziehung zwischen dem Zentralen Wirtschaftsrat und den besonderen Beratungsausschüssen</w:t>
      </w:r>
    </w:p>
    <w:p w14:paraId="2B4EEBC3" w14:textId="77777777" w:rsidR="0064642F" w:rsidRPr="004676F5" w:rsidRDefault="0064642F" w:rsidP="0064642F">
      <w:pPr>
        <w:jc w:val="both"/>
        <w:rPr>
          <w:lang w:val="de-DE"/>
        </w:rPr>
      </w:pPr>
    </w:p>
    <w:p w14:paraId="0DB76219" w14:textId="77777777" w:rsidR="0064642F" w:rsidRPr="004676F5" w:rsidRDefault="0064642F" w:rsidP="0064642F">
      <w:pPr>
        <w:jc w:val="both"/>
        <w:rPr>
          <w:lang w:val="de-DE"/>
        </w:rPr>
      </w:pPr>
    </w:p>
    <w:p w14:paraId="4F3B0CC8" w14:textId="6BFE7335"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XIII.21</w:t>
      </w:r>
      <w:r w:rsidRPr="004676F5">
        <w:rPr>
          <w:lang w:val="de-DE"/>
        </w:rPr>
        <w:t> </w:t>
      </w:r>
      <w:r w:rsidR="005B7A5C" w:rsidRPr="004676F5">
        <w:rPr>
          <w:lang w:val="de-DE"/>
        </w:rPr>
        <w:t>- </w:t>
      </w:r>
      <w:r w:rsidRPr="004676F5">
        <w:rPr>
          <w:lang w:val="de-DE"/>
        </w:rPr>
        <w:t>In den Grenzen der Bestimmungen des vorliegenden Buches üben der Zentrale Wirtschaftsrat und die besonderen Beratungsausschüsse ihre Zuständigkeiten mit der größten Autonomie aus.</w:t>
      </w:r>
    </w:p>
    <w:p w14:paraId="27663B3C" w14:textId="77777777" w:rsidR="0064642F" w:rsidRPr="004676F5" w:rsidRDefault="0064642F" w:rsidP="0064642F">
      <w:pPr>
        <w:jc w:val="both"/>
        <w:rPr>
          <w:lang w:val="de-DE"/>
        </w:rPr>
      </w:pPr>
    </w:p>
    <w:p w14:paraId="17FB39D3" w14:textId="77777777" w:rsidR="0064642F" w:rsidRPr="004676F5" w:rsidRDefault="0064642F" w:rsidP="0064642F">
      <w:pPr>
        <w:jc w:val="both"/>
        <w:rPr>
          <w:lang w:val="de-DE"/>
        </w:rPr>
      </w:pPr>
      <w:r w:rsidRPr="004676F5">
        <w:rPr>
          <w:lang w:val="de-DE"/>
        </w:rPr>
        <w:tab/>
        <w:t>Die Präsidenten der besonderen Beratungsausschüsse und der Sekretär des Zentralen Wirtschaftsrates oder, in seiner Abwesenheit, der beigeordnete Sekretär nehmen eine Konzertierung vor:</w:t>
      </w:r>
    </w:p>
    <w:p w14:paraId="1BE62301" w14:textId="77777777" w:rsidR="0064642F" w:rsidRPr="004676F5" w:rsidRDefault="0064642F" w:rsidP="0064642F">
      <w:pPr>
        <w:jc w:val="both"/>
        <w:rPr>
          <w:lang w:val="de-DE"/>
        </w:rPr>
      </w:pPr>
    </w:p>
    <w:p w14:paraId="66D99E8D" w14:textId="77777777" w:rsidR="0064642F" w:rsidRPr="004676F5" w:rsidRDefault="0064642F" w:rsidP="0064642F">
      <w:pPr>
        <w:jc w:val="both"/>
        <w:rPr>
          <w:lang w:val="de-DE"/>
        </w:rPr>
      </w:pPr>
      <w:r w:rsidRPr="004676F5">
        <w:rPr>
          <w:lang w:val="de-DE"/>
        </w:rPr>
        <w:tab/>
        <w:t>1. über Fragen gemeinsamen Interesses,</w:t>
      </w:r>
    </w:p>
    <w:p w14:paraId="45A4621C" w14:textId="77777777" w:rsidR="0064642F" w:rsidRPr="004676F5" w:rsidRDefault="0064642F" w:rsidP="0064642F">
      <w:pPr>
        <w:jc w:val="both"/>
        <w:rPr>
          <w:lang w:val="de-DE"/>
        </w:rPr>
      </w:pPr>
    </w:p>
    <w:p w14:paraId="4E54B2AC" w14:textId="77777777" w:rsidR="0064642F" w:rsidRPr="004676F5" w:rsidRDefault="0064642F" w:rsidP="0064642F">
      <w:pPr>
        <w:jc w:val="both"/>
        <w:rPr>
          <w:lang w:val="de-DE"/>
        </w:rPr>
        <w:sectPr w:rsidR="0064642F" w:rsidRPr="004676F5" w:rsidSect="005130CA">
          <w:pgSz w:w="11906" w:h="16838"/>
          <w:pgMar w:top="1134" w:right="1418" w:bottom="1134" w:left="1418" w:header="709" w:footer="709" w:gutter="0"/>
          <w:cols w:space="708"/>
          <w:docGrid w:linePitch="360"/>
        </w:sectPr>
      </w:pPr>
    </w:p>
    <w:p w14:paraId="22575CE8" w14:textId="77777777" w:rsidR="0064642F" w:rsidRPr="004676F5" w:rsidRDefault="0064642F" w:rsidP="0064642F">
      <w:pPr>
        <w:jc w:val="both"/>
        <w:rPr>
          <w:lang w:val="de-DE"/>
        </w:rPr>
      </w:pPr>
      <w:r w:rsidRPr="004676F5">
        <w:rPr>
          <w:lang w:val="de-DE"/>
        </w:rPr>
        <w:lastRenderedPageBreak/>
        <w:tab/>
        <w:t>2. um zu entscheiden, inwieweit die in den Artikeln XIII.5 und XIII.16 erwähnten Berichte und Auskünfte dem Zentralen Wirtschaftsrat, den verschiedenen besonderen Beratungsausschüssen oder dem Sekretariat zur Verfügung gestellt werden können,</w:t>
      </w:r>
    </w:p>
    <w:p w14:paraId="0C9403C1" w14:textId="77777777" w:rsidR="0064642F" w:rsidRPr="004676F5" w:rsidRDefault="0064642F" w:rsidP="0064642F">
      <w:pPr>
        <w:jc w:val="both"/>
        <w:rPr>
          <w:lang w:val="de-DE"/>
        </w:rPr>
      </w:pPr>
    </w:p>
    <w:p w14:paraId="2560C3EE" w14:textId="77777777" w:rsidR="0064642F" w:rsidRPr="004676F5" w:rsidRDefault="0064642F" w:rsidP="0064642F">
      <w:pPr>
        <w:jc w:val="both"/>
        <w:rPr>
          <w:lang w:val="de-DE"/>
        </w:rPr>
      </w:pPr>
      <w:r w:rsidRPr="004676F5">
        <w:rPr>
          <w:lang w:val="de-DE"/>
        </w:rPr>
        <w:tab/>
        <w:t>3. um die Arbeitsmethoden zu koordinieren, unter anderem bei Anwendung von Artikel XIII.20 § 2.</w:t>
      </w:r>
    </w:p>
    <w:p w14:paraId="0C493983" w14:textId="77777777" w:rsidR="0064642F" w:rsidRPr="004676F5" w:rsidRDefault="0064642F" w:rsidP="0064642F">
      <w:pPr>
        <w:jc w:val="both"/>
        <w:rPr>
          <w:lang w:val="de-DE"/>
        </w:rPr>
      </w:pPr>
    </w:p>
    <w:p w14:paraId="703004F8" w14:textId="77777777" w:rsidR="0064642F" w:rsidRPr="004676F5" w:rsidRDefault="0064642F" w:rsidP="0064642F">
      <w:pPr>
        <w:jc w:val="both"/>
        <w:rPr>
          <w:lang w:val="de-DE"/>
        </w:rPr>
      </w:pPr>
      <w:r w:rsidRPr="004676F5">
        <w:rPr>
          <w:lang w:val="de-DE"/>
        </w:rPr>
        <w:tab/>
        <w:t>Der Sekretär teilt dem Präsidium des Zentralen Wirtschaftsrates beziehungsweise den besonderen Beratungsausschüssen die Beschlüsse dieser Konzertierung mit.</w:t>
      </w:r>
    </w:p>
    <w:p w14:paraId="7D3B88A3" w14:textId="77777777" w:rsidR="0064642F" w:rsidRPr="004676F5" w:rsidRDefault="0064642F" w:rsidP="0064642F">
      <w:pPr>
        <w:jc w:val="both"/>
        <w:rPr>
          <w:lang w:val="de-DE"/>
        </w:rPr>
      </w:pPr>
    </w:p>
    <w:p w14:paraId="6FF5E0CE" w14:textId="77777777" w:rsidR="0064642F" w:rsidRPr="004676F5" w:rsidRDefault="0064642F" w:rsidP="0064642F">
      <w:pPr>
        <w:jc w:val="center"/>
        <w:rPr>
          <w:i/>
          <w:lang w:val="de-DE"/>
        </w:rPr>
      </w:pPr>
    </w:p>
    <w:p w14:paraId="46BE27F6" w14:textId="7F911949" w:rsidR="0064642F" w:rsidRPr="004676F5" w:rsidRDefault="0064642F" w:rsidP="0064642F">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Bestimmungen über das Sekretariat und das Personal</w:t>
      </w:r>
    </w:p>
    <w:p w14:paraId="080FDC37" w14:textId="77777777" w:rsidR="0064642F" w:rsidRPr="004676F5" w:rsidRDefault="0064642F" w:rsidP="0064642F">
      <w:pPr>
        <w:jc w:val="both"/>
        <w:rPr>
          <w:lang w:val="de-DE"/>
        </w:rPr>
      </w:pPr>
    </w:p>
    <w:p w14:paraId="637FE745" w14:textId="77777777" w:rsidR="0064642F" w:rsidRPr="004676F5" w:rsidRDefault="0064642F" w:rsidP="0064642F">
      <w:pPr>
        <w:jc w:val="both"/>
        <w:rPr>
          <w:lang w:val="de-DE"/>
        </w:rPr>
      </w:pPr>
    </w:p>
    <w:p w14:paraId="3CD8323C" w14:textId="6F4402E1"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XIII.22</w:t>
      </w:r>
      <w:r w:rsidRPr="004676F5">
        <w:rPr>
          <w:lang w:val="de-DE"/>
        </w:rPr>
        <w:t> </w:t>
      </w:r>
      <w:r w:rsidR="005B7A5C" w:rsidRPr="004676F5">
        <w:rPr>
          <w:lang w:val="de-DE"/>
        </w:rPr>
        <w:t>- </w:t>
      </w:r>
      <w:r w:rsidRPr="004676F5">
        <w:rPr>
          <w:lang w:val="de-DE"/>
        </w:rPr>
        <w:t>Die Gehaltstabellen des Sekretärs und der Personalmitglieder werden mit denen von Staatsbediensteten mit gleichwertigen Funktionen und Qualifikationen gleichgesetzt. Mit Ausnahme der Bediensteten, auf die die durch das Gesetz vom 28. April 1958 über die Pension der Personalmitglieder bestimmter Einrichtungen öffentlichen Interesses und ihrer Berechtigten eingerichtete Pensionsregelung vom König für anwendbar erklärt worden ist, unterliegen sie der Sozialversicherungsregelung.</w:t>
      </w:r>
    </w:p>
    <w:p w14:paraId="4D0BFE6A" w14:textId="77777777" w:rsidR="0064642F" w:rsidRPr="004676F5" w:rsidRDefault="0064642F" w:rsidP="0064642F">
      <w:pPr>
        <w:jc w:val="both"/>
        <w:rPr>
          <w:lang w:val="de-DE"/>
        </w:rPr>
      </w:pPr>
    </w:p>
    <w:p w14:paraId="602C0172" w14:textId="77777777" w:rsidR="0064642F" w:rsidRPr="004676F5" w:rsidRDefault="0064642F" w:rsidP="0064642F">
      <w:pPr>
        <w:jc w:val="both"/>
        <w:rPr>
          <w:lang w:val="de-DE"/>
        </w:rPr>
      </w:pPr>
      <w:r w:rsidRPr="004676F5">
        <w:rPr>
          <w:lang w:val="de-DE"/>
        </w:rPr>
        <w:tab/>
        <w:t>Bestimmungen über Ämterhäufung im öffentlichen Dienst sind ebenfalls anwendbar.</w:t>
      </w:r>
    </w:p>
    <w:p w14:paraId="1340638F" w14:textId="77777777" w:rsidR="0064642F" w:rsidRPr="004676F5" w:rsidRDefault="0064642F" w:rsidP="0064642F">
      <w:pPr>
        <w:jc w:val="both"/>
        <w:rPr>
          <w:lang w:val="de-DE"/>
        </w:rPr>
      </w:pPr>
    </w:p>
    <w:p w14:paraId="28382311" w14:textId="77777777" w:rsidR="0064642F" w:rsidRPr="004676F5" w:rsidRDefault="0064642F" w:rsidP="0064642F">
      <w:pPr>
        <w:jc w:val="both"/>
        <w:rPr>
          <w:lang w:val="de-DE"/>
        </w:rPr>
      </w:pPr>
      <w:r w:rsidRPr="004676F5">
        <w:rPr>
          <w:lang w:val="de-DE"/>
        </w:rPr>
        <w:tab/>
        <w:t>Es ist dem Sekretär und den Personalmitgliedern verboten, Funktionen in Organisationen, die im Zentralen Wirtschaftsrat oder in den besonderen Beratungsaus</w:t>
      </w:r>
      <w:r w:rsidRPr="004676F5">
        <w:rPr>
          <w:lang w:val="de-DE"/>
        </w:rPr>
        <w:softHyphen/>
        <w:t>schüssen vertreten sind, auszuüben.</w:t>
      </w:r>
    </w:p>
    <w:p w14:paraId="0CA60CE9" w14:textId="77777777" w:rsidR="0064642F" w:rsidRPr="004676F5" w:rsidRDefault="0064642F" w:rsidP="0064642F">
      <w:pPr>
        <w:jc w:val="both"/>
        <w:rPr>
          <w:lang w:val="de-DE"/>
        </w:rPr>
      </w:pPr>
    </w:p>
    <w:p w14:paraId="5949EFEE" w14:textId="77777777" w:rsidR="0064642F" w:rsidRPr="004676F5" w:rsidRDefault="0064642F" w:rsidP="0064642F">
      <w:pPr>
        <w:jc w:val="both"/>
        <w:rPr>
          <w:lang w:val="de-DE"/>
        </w:rPr>
      </w:pPr>
      <w:r w:rsidRPr="004676F5">
        <w:rPr>
          <w:lang w:val="de-DE"/>
        </w:rPr>
        <w:tab/>
        <w:t>Inhaber von Ämtern, die Kenntnis von individuellen Auskünften mit sich bringen, leisten vor dem Minister, zu dessen Zuständigkeitsbereich die Wirtschaftsangelegenheiten gehören, oder seinem Beauftragten den in Artikel 2 des Dekrets vom 20. Juli 1831 vorgesehenen Eid.</w:t>
      </w:r>
    </w:p>
    <w:p w14:paraId="04865A87" w14:textId="77777777" w:rsidR="0064642F" w:rsidRPr="004676F5" w:rsidRDefault="0064642F" w:rsidP="0064642F">
      <w:pPr>
        <w:jc w:val="both"/>
        <w:rPr>
          <w:lang w:val="de-DE"/>
        </w:rPr>
      </w:pPr>
    </w:p>
    <w:p w14:paraId="314B9116" w14:textId="77777777" w:rsidR="0064642F" w:rsidRPr="004676F5" w:rsidRDefault="0064642F" w:rsidP="0064642F">
      <w:pPr>
        <w:jc w:val="both"/>
        <w:rPr>
          <w:lang w:val="de-DE"/>
        </w:rPr>
      </w:pPr>
      <w:r w:rsidRPr="004676F5">
        <w:rPr>
          <w:lang w:val="de-DE"/>
        </w:rPr>
        <w:tab/>
        <w:t>Sie leisten ebenfalls folgenden Eid: "Ich schwöre, keine besonderen Interessen zu begünstigen oder keinen solchen Interessen zu schaden und keine individuellen Auskünfte, von denen ich aufgrund meiner Amtsgeschäfte Kenntnis habe, ohne gesetzliche Erlaubnis und ohne Einwilligung der betreffenden Personen zu verbreiten."</w:t>
      </w:r>
    </w:p>
    <w:p w14:paraId="3B09BAA1" w14:textId="77777777" w:rsidR="0064642F" w:rsidRPr="004676F5" w:rsidRDefault="0064642F" w:rsidP="0064642F">
      <w:pPr>
        <w:jc w:val="both"/>
        <w:rPr>
          <w:lang w:val="de-DE"/>
        </w:rPr>
      </w:pPr>
    </w:p>
    <w:p w14:paraId="7F4990D2" w14:textId="77777777" w:rsidR="0064642F" w:rsidRPr="004676F5" w:rsidRDefault="0064642F" w:rsidP="0064642F">
      <w:pPr>
        <w:jc w:val="center"/>
        <w:rPr>
          <w:lang w:val="de-DE"/>
        </w:rPr>
      </w:pPr>
    </w:p>
    <w:p w14:paraId="4445BC6E" w14:textId="762FAC36" w:rsidR="0064642F" w:rsidRPr="004676F5" w:rsidRDefault="0064642F" w:rsidP="0064642F">
      <w:pPr>
        <w:jc w:val="both"/>
        <w:rPr>
          <w:lang w:val="de-DE"/>
        </w:rPr>
      </w:pPr>
      <w:r w:rsidRPr="004676F5">
        <w:rPr>
          <w:lang w:val="de-DE"/>
        </w:rPr>
        <w:tab/>
      </w:r>
      <w:r w:rsidR="00BE0A56" w:rsidRPr="004676F5">
        <w:rPr>
          <w:b/>
          <w:lang w:val="de-DE"/>
        </w:rPr>
        <w:t>Art. </w:t>
      </w:r>
      <w:r w:rsidRPr="004676F5">
        <w:rPr>
          <w:b/>
          <w:lang w:val="de-DE"/>
        </w:rPr>
        <w:t>XIII.23</w:t>
      </w:r>
      <w:r w:rsidRPr="004676F5">
        <w:rPr>
          <w:lang w:val="de-DE"/>
        </w:rPr>
        <w:t> </w:t>
      </w:r>
      <w:r w:rsidR="005B7A5C" w:rsidRPr="004676F5">
        <w:rPr>
          <w:lang w:val="de-DE"/>
        </w:rPr>
        <w:t>- </w:t>
      </w:r>
      <w:r w:rsidRPr="004676F5">
        <w:rPr>
          <w:lang w:val="de-DE"/>
        </w:rPr>
        <w:t>Modalitäten in Bezug auf die Ausübung der Haushalts</w:t>
      </w:r>
      <w:r w:rsidR="005B7A5C" w:rsidRPr="004676F5">
        <w:rPr>
          <w:lang w:val="de-DE"/>
        </w:rPr>
        <w:t>- </w:t>
      </w:r>
      <w:r w:rsidRPr="004676F5">
        <w:rPr>
          <w:lang w:val="de-DE"/>
        </w:rPr>
        <w:t>und Finanzaufsicht des Zentralen Wirtschaftsrates und des Sekretariats werden durch Königlichen Erlass bestimmt.]</w:t>
      </w:r>
    </w:p>
    <w:p w14:paraId="425A906B" w14:textId="77777777" w:rsidR="0064642F" w:rsidRPr="004676F5" w:rsidRDefault="0064642F" w:rsidP="0064642F">
      <w:pPr>
        <w:jc w:val="both"/>
        <w:rPr>
          <w:lang w:val="de-DE"/>
        </w:rPr>
      </w:pPr>
    </w:p>
    <w:p w14:paraId="27632526" w14:textId="77777777" w:rsidR="00B162A3" w:rsidRPr="004676F5" w:rsidRDefault="00B162A3">
      <w:pPr>
        <w:rPr>
          <w:lang w:val="de-DE"/>
        </w:rPr>
      </w:pPr>
      <w:r w:rsidRPr="004676F5">
        <w:rPr>
          <w:lang w:val="de-DE"/>
        </w:rPr>
        <w:br w:type="page"/>
      </w:r>
    </w:p>
    <w:p w14:paraId="2194F933" w14:textId="63875E2C" w:rsidR="004D59D0" w:rsidRPr="004676F5" w:rsidRDefault="004D59D0" w:rsidP="004D59D0">
      <w:pPr>
        <w:jc w:val="center"/>
        <w:rPr>
          <w:lang w:val="de-DE"/>
        </w:rPr>
      </w:pPr>
      <w:r w:rsidRPr="004676F5">
        <w:rPr>
          <w:lang w:val="de-DE"/>
        </w:rPr>
        <w:lastRenderedPageBreak/>
        <w:t>[</w:t>
      </w:r>
      <w:r w:rsidR="00B162A3" w:rsidRPr="004676F5">
        <w:rPr>
          <w:b/>
          <w:lang w:val="de-DE"/>
        </w:rPr>
        <w:t xml:space="preserve">BUCH XIV </w:t>
      </w:r>
      <w:r w:rsidR="005B7A5C" w:rsidRPr="004676F5">
        <w:rPr>
          <w:b/>
          <w:lang w:val="de-DE"/>
        </w:rPr>
        <w:t>- </w:t>
      </w:r>
      <w:r w:rsidR="009E5EBC" w:rsidRPr="004676F5">
        <w:rPr>
          <w:lang w:val="de-DE"/>
        </w:rPr>
        <w:t>[</w:t>
      </w:r>
      <w:r w:rsidR="009E5EBC" w:rsidRPr="004676F5">
        <w:rPr>
          <w:b/>
          <w:lang w:val="de-DE"/>
        </w:rPr>
        <w:t>...</w:t>
      </w:r>
      <w:r w:rsidR="009E5EBC" w:rsidRPr="004676F5">
        <w:rPr>
          <w:lang w:val="de-DE"/>
        </w:rPr>
        <w:t>]</w:t>
      </w:r>
    </w:p>
    <w:p w14:paraId="6B28DD8F" w14:textId="77777777" w:rsidR="004D59D0" w:rsidRPr="004676F5" w:rsidRDefault="004D59D0" w:rsidP="004D59D0">
      <w:pPr>
        <w:ind w:firstLine="708"/>
        <w:jc w:val="both"/>
        <w:rPr>
          <w:lang w:val="de-DE"/>
        </w:rPr>
      </w:pPr>
    </w:p>
    <w:p w14:paraId="19C8B475" w14:textId="54037015" w:rsidR="004D59D0" w:rsidRPr="004676F5" w:rsidRDefault="004D59D0" w:rsidP="004D59D0">
      <w:pPr>
        <w:jc w:val="both"/>
        <w:rPr>
          <w:i/>
          <w:lang w:val="de-DE"/>
        </w:rPr>
      </w:pPr>
      <w:r w:rsidRPr="004676F5">
        <w:rPr>
          <w:i/>
          <w:lang w:val="de-DE"/>
        </w:rPr>
        <w:t xml:space="preserve">[Buch XIV </w:t>
      </w:r>
      <w:r w:rsidR="0037703A" w:rsidRPr="004676F5">
        <w:rPr>
          <w:i/>
          <w:lang w:val="de-DE"/>
        </w:rPr>
        <w:t>mit den Artikeln XIV.1 bis XIV.</w:t>
      </w:r>
      <w:r w:rsidRPr="004676F5">
        <w:rPr>
          <w:i/>
          <w:lang w:val="de-DE"/>
        </w:rPr>
        <w:t xml:space="preserve">83 eingefügt durch </w:t>
      </w:r>
      <w:r w:rsidR="00BE0A56" w:rsidRPr="004676F5">
        <w:rPr>
          <w:i/>
          <w:lang w:val="de-DE"/>
        </w:rPr>
        <w:t>Art. </w:t>
      </w:r>
      <w:r w:rsidRPr="004676F5">
        <w:rPr>
          <w:i/>
          <w:lang w:val="de-DE"/>
        </w:rPr>
        <w:t>3 des G. vom 15. Mai 2014 (II) (B.S. vom 30. Mai 2014)</w:t>
      </w:r>
      <w:r w:rsidR="009E5EBC" w:rsidRPr="004676F5">
        <w:rPr>
          <w:i/>
          <w:lang w:val="de-DE"/>
        </w:rPr>
        <w:t xml:space="preserve"> und aufgehoben durch Art. 256 Nr. 2 des G. vom 15. April 2018 (B.S. vom 27. April 2018)</w:t>
      </w:r>
      <w:r w:rsidRPr="004676F5">
        <w:rPr>
          <w:i/>
          <w:lang w:val="de-DE"/>
        </w:rPr>
        <w:t>]</w:t>
      </w:r>
    </w:p>
    <w:p w14:paraId="23F08D75" w14:textId="26C41225" w:rsidR="004D59D0" w:rsidRPr="004676F5" w:rsidRDefault="004D59D0" w:rsidP="004D59D0">
      <w:pPr>
        <w:ind w:firstLine="708"/>
        <w:jc w:val="both"/>
        <w:rPr>
          <w:lang w:val="de-DE"/>
        </w:rPr>
      </w:pPr>
    </w:p>
    <w:p w14:paraId="5E6F96D8" w14:textId="77777777" w:rsidR="004D59D0" w:rsidRPr="004676F5" w:rsidRDefault="004D59D0" w:rsidP="004D59D0">
      <w:pPr>
        <w:ind w:firstLine="708"/>
        <w:jc w:val="both"/>
        <w:rPr>
          <w:lang w:val="de-DE"/>
        </w:rPr>
      </w:pPr>
    </w:p>
    <w:p w14:paraId="0B1F0004" w14:textId="0F6E4F9C" w:rsidR="00010E82" w:rsidRPr="004676F5" w:rsidRDefault="00BE0A56" w:rsidP="009E5EBC">
      <w:pPr>
        <w:ind w:firstLine="708"/>
        <w:jc w:val="both"/>
        <w:rPr>
          <w:lang w:val="de-DE"/>
        </w:rPr>
      </w:pPr>
      <w:r w:rsidRPr="004676F5">
        <w:rPr>
          <w:b/>
          <w:lang w:val="de-DE"/>
        </w:rPr>
        <w:t>Art. </w:t>
      </w:r>
      <w:r w:rsidR="004D59D0" w:rsidRPr="004676F5">
        <w:rPr>
          <w:b/>
          <w:lang w:val="de-DE"/>
        </w:rPr>
        <w:t>XIV.1</w:t>
      </w:r>
      <w:r w:rsidR="004D59D0" w:rsidRPr="004676F5">
        <w:rPr>
          <w:lang w:val="de-DE"/>
        </w:rPr>
        <w:t> </w:t>
      </w:r>
      <w:r w:rsidR="005B7A5C" w:rsidRPr="004676F5">
        <w:rPr>
          <w:lang w:val="de-DE"/>
        </w:rPr>
        <w:t>- </w:t>
      </w:r>
      <w:r w:rsidR="00D3142B" w:rsidRPr="004676F5">
        <w:rPr>
          <w:b/>
          <w:lang w:val="de-DE"/>
        </w:rPr>
        <w:t>XIV.83</w:t>
      </w:r>
      <w:r w:rsidR="00D3142B" w:rsidRPr="004676F5">
        <w:rPr>
          <w:lang w:val="de-DE"/>
        </w:rPr>
        <w:t> </w:t>
      </w:r>
      <w:r w:rsidR="005B7A5C" w:rsidRPr="004676F5">
        <w:rPr>
          <w:lang w:val="de-DE"/>
        </w:rPr>
        <w:t>- </w:t>
      </w:r>
      <w:r w:rsidR="009E5EBC" w:rsidRPr="004676F5">
        <w:rPr>
          <w:lang w:val="de-DE"/>
        </w:rPr>
        <w:t>[...]</w:t>
      </w:r>
      <w:r w:rsidR="0037703A" w:rsidRPr="004676F5">
        <w:rPr>
          <w:lang w:val="de-DE"/>
        </w:rPr>
        <w:t>]</w:t>
      </w:r>
      <w:r w:rsidR="00010E82" w:rsidRPr="004676F5">
        <w:rPr>
          <w:lang w:val="de-DE"/>
        </w:rPr>
        <w:br w:type="page"/>
      </w:r>
    </w:p>
    <w:p w14:paraId="3F504B35" w14:textId="77777777" w:rsidR="00010E82" w:rsidRPr="004676F5" w:rsidRDefault="00010E82" w:rsidP="00010E82">
      <w:pPr>
        <w:jc w:val="center"/>
        <w:rPr>
          <w:lang w:val="de-DE"/>
        </w:rPr>
      </w:pPr>
      <w:r w:rsidRPr="004676F5">
        <w:rPr>
          <w:lang w:val="de-DE"/>
        </w:rPr>
        <w:lastRenderedPageBreak/>
        <w:t>[</w:t>
      </w:r>
      <w:r w:rsidRPr="004676F5">
        <w:rPr>
          <w:b/>
          <w:lang w:val="de-DE"/>
        </w:rPr>
        <w:t>Anlage 1</w:t>
      </w:r>
      <w:r w:rsidRPr="004676F5">
        <w:rPr>
          <w:lang w:val="de-DE"/>
        </w:rPr>
        <w:t>]</w:t>
      </w:r>
    </w:p>
    <w:p w14:paraId="0661FB1C" w14:textId="77777777" w:rsidR="00010E82" w:rsidRPr="004676F5" w:rsidRDefault="00010E82" w:rsidP="00010E82">
      <w:pPr>
        <w:jc w:val="center"/>
        <w:rPr>
          <w:lang w:val="de-DE"/>
        </w:rPr>
      </w:pPr>
    </w:p>
    <w:p w14:paraId="77EB2641" w14:textId="289618A0" w:rsidR="00010E82" w:rsidRPr="004676F5" w:rsidRDefault="00010E82" w:rsidP="00010E82">
      <w:pPr>
        <w:jc w:val="both"/>
        <w:rPr>
          <w:i/>
          <w:lang w:val="de-DE"/>
        </w:rPr>
      </w:pPr>
      <w:r w:rsidRPr="004676F5">
        <w:rPr>
          <w:i/>
          <w:lang w:val="de-DE"/>
        </w:rPr>
        <w:t xml:space="preserve">[Anlage 1 eingefügt durch </w:t>
      </w:r>
      <w:r w:rsidR="00BE0A56" w:rsidRPr="004676F5">
        <w:rPr>
          <w:i/>
          <w:lang w:val="de-DE"/>
        </w:rPr>
        <w:t>Art. </w:t>
      </w:r>
      <w:r w:rsidRPr="004676F5">
        <w:rPr>
          <w:i/>
          <w:lang w:val="de-DE"/>
        </w:rPr>
        <w:t>3 des G. vom 15. Mai 2014 (II) (B.S. vom 30. Mai 2014)</w:t>
      </w:r>
      <w:r w:rsidR="009E5EBC" w:rsidRPr="004676F5">
        <w:rPr>
          <w:i/>
          <w:lang w:val="de-DE"/>
        </w:rPr>
        <w:t xml:space="preserve"> und aufgehoben durch Art. 256 Nr. 2 des G. vom 15. April 2018 (B.S. vom 27. April 2018)</w:t>
      </w:r>
      <w:r w:rsidRPr="004676F5">
        <w:rPr>
          <w:i/>
          <w:lang w:val="de-DE"/>
        </w:rPr>
        <w:t>]</w:t>
      </w:r>
    </w:p>
    <w:p w14:paraId="13277797" w14:textId="77777777" w:rsidR="00010E82" w:rsidRPr="004676F5" w:rsidRDefault="00010E82" w:rsidP="00010E82">
      <w:pPr>
        <w:jc w:val="both"/>
        <w:rPr>
          <w:i/>
          <w:lang w:val="de-DE"/>
        </w:rPr>
      </w:pPr>
    </w:p>
    <w:p w14:paraId="6C238597" w14:textId="77777777" w:rsidR="00010E82" w:rsidRPr="004676F5" w:rsidRDefault="00010E82" w:rsidP="00010E82">
      <w:pPr>
        <w:jc w:val="center"/>
        <w:rPr>
          <w:b/>
          <w:lang w:val="de-DE"/>
        </w:rPr>
      </w:pPr>
    </w:p>
    <w:p w14:paraId="7D3CFB03" w14:textId="6D35CA07" w:rsidR="00010E82" w:rsidRPr="004676F5" w:rsidRDefault="009E5EBC" w:rsidP="00010E82">
      <w:pPr>
        <w:jc w:val="center"/>
        <w:rPr>
          <w:lang w:val="de-DE"/>
        </w:rPr>
      </w:pPr>
      <w:r w:rsidRPr="004676F5">
        <w:rPr>
          <w:lang w:val="de-DE"/>
        </w:rPr>
        <w:t>[...]</w:t>
      </w:r>
    </w:p>
    <w:p w14:paraId="2776A0DF" w14:textId="77777777" w:rsidR="00010E82" w:rsidRPr="004676F5" w:rsidRDefault="00010E82" w:rsidP="00010E82">
      <w:pPr>
        <w:ind w:firstLine="708"/>
        <w:jc w:val="both"/>
        <w:rPr>
          <w:lang w:val="de-DE"/>
        </w:rPr>
      </w:pPr>
    </w:p>
    <w:p w14:paraId="0D064B61" w14:textId="77777777" w:rsidR="00010E82" w:rsidRPr="004676F5" w:rsidRDefault="00010E82" w:rsidP="00010E82">
      <w:pPr>
        <w:ind w:firstLine="708"/>
        <w:jc w:val="both"/>
        <w:rPr>
          <w:lang w:val="de-DE"/>
        </w:rPr>
      </w:pPr>
    </w:p>
    <w:p w14:paraId="45867CD7" w14:textId="77777777" w:rsidR="00010E82" w:rsidRPr="004676F5" w:rsidRDefault="00010E82" w:rsidP="00010E82">
      <w:pPr>
        <w:rPr>
          <w:b/>
          <w:lang w:val="de-DE"/>
        </w:rPr>
      </w:pPr>
      <w:r w:rsidRPr="004676F5">
        <w:rPr>
          <w:b/>
          <w:lang w:val="de-DE"/>
        </w:rPr>
        <w:br w:type="page"/>
      </w:r>
    </w:p>
    <w:p w14:paraId="53700B36" w14:textId="77777777" w:rsidR="00010E82" w:rsidRPr="004676F5" w:rsidRDefault="00010E82" w:rsidP="00010E82">
      <w:pPr>
        <w:jc w:val="center"/>
        <w:rPr>
          <w:lang w:val="de-DE"/>
        </w:rPr>
      </w:pPr>
      <w:r w:rsidRPr="004676F5">
        <w:rPr>
          <w:lang w:val="de-DE"/>
        </w:rPr>
        <w:lastRenderedPageBreak/>
        <w:t>[</w:t>
      </w:r>
      <w:r w:rsidRPr="004676F5">
        <w:rPr>
          <w:b/>
          <w:lang w:val="de-DE"/>
        </w:rPr>
        <w:t>Anlage 2</w:t>
      </w:r>
      <w:r w:rsidRPr="004676F5">
        <w:rPr>
          <w:lang w:val="de-DE"/>
        </w:rPr>
        <w:t>]</w:t>
      </w:r>
    </w:p>
    <w:p w14:paraId="0C6AFEEC" w14:textId="77777777" w:rsidR="00010E82" w:rsidRPr="004676F5" w:rsidRDefault="00010E82" w:rsidP="00010E82">
      <w:pPr>
        <w:ind w:firstLine="708"/>
        <w:jc w:val="both"/>
        <w:rPr>
          <w:lang w:val="de-DE"/>
        </w:rPr>
      </w:pPr>
    </w:p>
    <w:p w14:paraId="7FC25136" w14:textId="21297187" w:rsidR="00010E82" w:rsidRPr="004676F5" w:rsidRDefault="00010E82" w:rsidP="00010E82">
      <w:pPr>
        <w:jc w:val="both"/>
        <w:rPr>
          <w:i/>
          <w:lang w:val="de-DE"/>
        </w:rPr>
      </w:pPr>
      <w:r w:rsidRPr="004676F5">
        <w:rPr>
          <w:i/>
          <w:lang w:val="de-DE"/>
        </w:rPr>
        <w:t xml:space="preserve">[Anlage 2 eingefügt durch </w:t>
      </w:r>
      <w:r w:rsidR="00BE0A56" w:rsidRPr="004676F5">
        <w:rPr>
          <w:i/>
          <w:lang w:val="de-DE"/>
        </w:rPr>
        <w:t>Art. </w:t>
      </w:r>
      <w:r w:rsidRPr="004676F5">
        <w:rPr>
          <w:i/>
          <w:lang w:val="de-DE"/>
        </w:rPr>
        <w:t>3 des G. vom 15. Mai 2014 (II) (B.S. vom 30. Mai 2014)</w:t>
      </w:r>
      <w:r w:rsidR="009E5EBC" w:rsidRPr="004676F5">
        <w:rPr>
          <w:i/>
          <w:lang w:val="de-DE"/>
        </w:rPr>
        <w:t xml:space="preserve"> und aufgehoben durch Art. 256 Nr. 2 des G. vom 15. April 2018 (B.S. vom 27. April 2018)</w:t>
      </w:r>
      <w:r w:rsidRPr="004676F5">
        <w:rPr>
          <w:i/>
          <w:lang w:val="de-DE"/>
        </w:rPr>
        <w:t>]</w:t>
      </w:r>
    </w:p>
    <w:p w14:paraId="4DF5161E" w14:textId="4E5E6114" w:rsidR="009E5EBC" w:rsidRPr="004676F5" w:rsidRDefault="009E5EBC" w:rsidP="00010E82">
      <w:pPr>
        <w:jc w:val="both"/>
        <w:rPr>
          <w:i/>
          <w:lang w:val="de-DE"/>
        </w:rPr>
      </w:pPr>
    </w:p>
    <w:p w14:paraId="15BF107D" w14:textId="5DE8452E" w:rsidR="009E5EBC" w:rsidRPr="004676F5" w:rsidRDefault="009E5EBC" w:rsidP="00010E82">
      <w:pPr>
        <w:jc w:val="both"/>
        <w:rPr>
          <w:i/>
          <w:lang w:val="de-DE"/>
        </w:rPr>
      </w:pPr>
    </w:p>
    <w:p w14:paraId="32B2D146" w14:textId="7D57A989" w:rsidR="009E5EBC" w:rsidRPr="004676F5" w:rsidRDefault="009E5EBC" w:rsidP="009E5EBC">
      <w:pPr>
        <w:jc w:val="center"/>
        <w:rPr>
          <w:lang w:val="de-DE"/>
        </w:rPr>
      </w:pPr>
      <w:r w:rsidRPr="004676F5">
        <w:rPr>
          <w:lang w:val="de-DE"/>
        </w:rPr>
        <w:t>[...]</w:t>
      </w:r>
    </w:p>
    <w:p w14:paraId="5CB28EA2" w14:textId="77777777" w:rsidR="00010E82" w:rsidRPr="004676F5" w:rsidRDefault="00010E82" w:rsidP="00010E82">
      <w:pPr>
        <w:ind w:firstLine="708"/>
        <w:jc w:val="both"/>
        <w:rPr>
          <w:lang w:val="de-DE"/>
        </w:rPr>
      </w:pPr>
    </w:p>
    <w:p w14:paraId="4916CD2B" w14:textId="77777777" w:rsidR="00010E82" w:rsidRPr="004676F5" w:rsidRDefault="00010E82" w:rsidP="00010E82">
      <w:pPr>
        <w:ind w:firstLine="708"/>
        <w:jc w:val="both"/>
        <w:rPr>
          <w:lang w:val="de-DE"/>
        </w:rPr>
      </w:pPr>
    </w:p>
    <w:p w14:paraId="528AE804" w14:textId="77777777" w:rsidR="009E5EBC" w:rsidRPr="004676F5" w:rsidRDefault="009E5EBC">
      <w:pPr>
        <w:rPr>
          <w:lang w:val="de-DE"/>
        </w:rPr>
      </w:pPr>
      <w:r w:rsidRPr="004676F5">
        <w:rPr>
          <w:lang w:val="de-DE"/>
        </w:rPr>
        <w:br w:type="page"/>
      </w:r>
    </w:p>
    <w:p w14:paraId="7DF4FF7B" w14:textId="521A62B5" w:rsidR="00473416" w:rsidRPr="004676F5" w:rsidRDefault="00473416" w:rsidP="0064642F">
      <w:pPr>
        <w:jc w:val="center"/>
        <w:rPr>
          <w:b/>
          <w:lang w:val="de-DE"/>
        </w:rPr>
      </w:pPr>
      <w:r w:rsidRPr="004676F5">
        <w:rPr>
          <w:lang w:val="de-DE"/>
        </w:rPr>
        <w:lastRenderedPageBreak/>
        <w:t>[</w:t>
      </w:r>
      <w:r w:rsidRPr="004676F5">
        <w:rPr>
          <w:b/>
          <w:lang w:val="de-DE"/>
        </w:rPr>
        <w:t xml:space="preserve">BUCH </w:t>
      </w:r>
      <w:r w:rsidR="004D4488" w:rsidRPr="004676F5">
        <w:rPr>
          <w:b/>
          <w:lang w:val="de-DE"/>
        </w:rPr>
        <w:t>XV</w:t>
      </w:r>
      <w:r w:rsidRPr="004676F5">
        <w:rPr>
          <w:b/>
          <w:lang w:val="de-DE"/>
        </w:rPr>
        <w:t xml:space="preserve"> </w:t>
      </w:r>
      <w:r w:rsidR="005B7A5C" w:rsidRPr="004676F5">
        <w:rPr>
          <w:b/>
          <w:lang w:val="de-DE"/>
        </w:rPr>
        <w:t>- </w:t>
      </w:r>
      <w:r w:rsidR="004D4488" w:rsidRPr="004676F5">
        <w:rPr>
          <w:b/>
          <w:lang w:val="de-DE"/>
        </w:rPr>
        <w:t>RECHTSDURCHSETZUNG</w:t>
      </w:r>
    </w:p>
    <w:p w14:paraId="3AFA0E5D" w14:textId="77777777" w:rsidR="00473416" w:rsidRPr="004676F5" w:rsidRDefault="00473416" w:rsidP="00473416">
      <w:pPr>
        <w:jc w:val="center"/>
        <w:rPr>
          <w:b/>
          <w:lang w:val="de-DE"/>
        </w:rPr>
      </w:pPr>
    </w:p>
    <w:p w14:paraId="2605E938" w14:textId="4A71B06D" w:rsidR="00473416" w:rsidRPr="004676F5" w:rsidRDefault="004D4488" w:rsidP="00473416">
      <w:pPr>
        <w:jc w:val="both"/>
        <w:rPr>
          <w:i/>
          <w:lang w:val="de-DE"/>
        </w:rPr>
      </w:pPr>
      <w:r w:rsidRPr="004676F5">
        <w:rPr>
          <w:i/>
          <w:lang w:val="de-DE"/>
        </w:rPr>
        <w:t xml:space="preserve">[Buch </w:t>
      </w:r>
      <w:r w:rsidR="00473416" w:rsidRPr="004676F5">
        <w:rPr>
          <w:i/>
          <w:lang w:val="de-DE"/>
        </w:rPr>
        <w:t>X</w:t>
      </w:r>
      <w:r w:rsidRPr="004676F5">
        <w:rPr>
          <w:i/>
          <w:lang w:val="de-DE"/>
        </w:rPr>
        <w:t>V</w:t>
      </w:r>
      <w:r w:rsidR="00473416" w:rsidRPr="004676F5">
        <w:rPr>
          <w:i/>
          <w:lang w:val="de-DE"/>
        </w:rPr>
        <w:t xml:space="preserve"> mit den Artikeln X</w:t>
      </w:r>
      <w:r w:rsidRPr="004676F5">
        <w:rPr>
          <w:i/>
          <w:lang w:val="de-DE"/>
        </w:rPr>
        <w:t>V</w:t>
      </w:r>
      <w:r w:rsidR="00473416" w:rsidRPr="004676F5">
        <w:rPr>
          <w:i/>
          <w:lang w:val="de-DE"/>
        </w:rPr>
        <w:t>.1 bis X</w:t>
      </w:r>
      <w:r w:rsidRPr="004676F5">
        <w:rPr>
          <w:i/>
          <w:lang w:val="de-DE"/>
        </w:rPr>
        <w:t>V</w:t>
      </w:r>
      <w:r w:rsidR="00473416" w:rsidRPr="004676F5">
        <w:rPr>
          <w:i/>
          <w:lang w:val="de-DE"/>
        </w:rPr>
        <w:t>.1</w:t>
      </w:r>
      <w:r w:rsidRPr="004676F5">
        <w:rPr>
          <w:i/>
          <w:lang w:val="de-DE"/>
        </w:rPr>
        <w:t>0, XV.19, XV.20, XV.30 bis XV.34, XV.61, XV.69 bis XV.74, XV.80 bis XV.82, XV.99</w:t>
      </w:r>
      <w:r w:rsidR="00AD327F" w:rsidRPr="004676F5">
        <w:rPr>
          <w:i/>
          <w:lang w:val="de-DE"/>
        </w:rPr>
        <w:t xml:space="preserve"> bis XV.102, XV.126, XV.130 und XV.131</w:t>
      </w:r>
      <w:r w:rsidRPr="004676F5">
        <w:rPr>
          <w:i/>
          <w:lang w:val="de-DE"/>
        </w:rPr>
        <w:t xml:space="preserve"> </w:t>
      </w:r>
      <w:r w:rsidR="00473416" w:rsidRPr="004676F5">
        <w:rPr>
          <w:i/>
          <w:lang w:val="de-DE"/>
        </w:rPr>
        <w:t xml:space="preserve">eingefügt durch </w:t>
      </w:r>
      <w:r w:rsidR="00BE0A56" w:rsidRPr="004676F5">
        <w:rPr>
          <w:i/>
          <w:lang w:val="de-DE"/>
        </w:rPr>
        <w:t>Art. </w:t>
      </w:r>
      <w:r w:rsidR="00AD327F" w:rsidRPr="004676F5">
        <w:rPr>
          <w:i/>
          <w:lang w:val="de-DE"/>
        </w:rPr>
        <w:t>2</w:t>
      </w:r>
      <w:r w:rsidR="00473416" w:rsidRPr="004676F5">
        <w:rPr>
          <w:i/>
          <w:lang w:val="de-DE"/>
        </w:rPr>
        <w:t xml:space="preserve"> des G. vom 2</w:t>
      </w:r>
      <w:r w:rsidR="00AD327F" w:rsidRPr="004676F5">
        <w:rPr>
          <w:i/>
          <w:lang w:val="de-DE"/>
        </w:rPr>
        <w:t>0. November 2013 (B.S. vom 29. November 2013)]</w:t>
      </w:r>
    </w:p>
    <w:p w14:paraId="4BD0BE3E" w14:textId="77777777" w:rsidR="00AD327F" w:rsidRPr="004676F5" w:rsidRDefault="00AD327F" w:rsidP="00473416">
      <w:pPr>
        <w:jc w:val="both"/>
        <w:rPr>
          <w:i/>
          <w:lang w:val="de-DE"/>
        </w:rPr>
      </w:pPr>
    </w:p>
    <w:p w14:paraId="221F3382" w14:textId="77777777" w:rsidR="00AD327F" w:rsidRPr="004676F5" w:rsidRDefault="00AD327F" w:rsidP="00473416">
      <w:pPr>
        <w:jc w:val="both"/>
        <w:rPr>
          <w:i/>
          <w:lang w:val="de-DE"/>
        </w:rPr>
      </w:pPr>
    </w:p>
    <w:p w14:paraId="2207B3AE" w14:textId="77E951CA" w:rsidR="00BA2266" w:rsidRPr="004676F5" w:rsidRDefault="00BA2266" w:rsidP="00BA2266">
      <w:pPr>
        <w:jc w:val="center"/>
        <w:rPr>
          <w:b/>
          <w:lang w:val="de-DE"/>
        </w:rPr>
      </w:pPr>
      <w:r w:rsidRPr="004676F5">
        <w:rPr>
          <w:b/>
          <w:lang w:val="de-DE"/>
        </w:rPr>
        <w:t>TITEL 1 </w:t>
      </w:r>
      <w:r w:rsidR="005B7A5C" w:rsidRPr="004676F5">
        <w:rPr>
          <w:b/>
          <w:lang w:val="de-DE"/>
        </w:rPr>
        <w:t>- </w:t>
      </w:r>
      <w:r w:rsidRPr="004676F5">
        <w:rPr>
          <w:b/>
          <w:i/>
          <w:lang w:val="de-DE"/>
        </w:rPr>
        <w:t>Ausübung der Überwachung und Ermittlung und Feststellung von Verstößen</w:t>
      </w:r>
    </w:p>
    <w:p w14:paraId="1C84EF8F" w14:textId="77777777" w:rsidR="00BA2266" w:rsidRPr="004676F5" w:rsidRDefault="00BA2266" w:rsidP="00BA2266">
      <w:pPr>
        <w:jc w:val="both"/>
        <w:rPr>
          <w:lang w:val="de-DE"/>
        </w:rPr>
      </w:pPr>
    </w:p>
    <w:p w14:paraId="32E6F028" w14:textId="77777777" w:rsidR="00F71E6A" w:rsidRPr="004676F5" w:rsidRDefault="00F71E6A" w:rsidP="00BA2266">
      <w:pPr>
        <w:jc w:val="both"/>
        <w:rPr>
          <w:lang w:val="de-DE"/>
        </w:rPr>
      </w:pPr>
    </w:p>
    <w:p w14:paraId="6097F2A4" w14:textId="3DB203D2" w:rsidR="00BA2266" w:rsidRPr="004676F5" w:rsidRDefault="00BA2266" w:rsidP="00BA2266">
      <w:pPr>
        <w:jc w:val="center"/>
        <w:rPr>
          <w:lang w:val="de-DE"/>
        </w:rPr>
      </w:pPr>
      <w:r w:rsidRPr="004676F5">
        <w:rPr>
          <w:lang w:val="de-DE"/>
        </w:rPr>
        <w:t>KAPITEL 1 </w:t>
      </w:r>
      <w:r w:rsidR="005B7A5C" w:rsidRPr="004676F5">
        <w:rPr>
          <w:lang w:val="de-DE"/>
        </w:rPr>
        <w:t>- </w:t>
      </w:r>
      <w:r w:rsidRPr="004676F5">
        <w:rPr>
          <w:i/>
          <w:lang w:val="de-DE"/>
        </w:rPr>
        <w:t>Allgemeine Befugnisse</w:t>
      </w:r>
    </w:p>
    <w:p w14:paraId="40445BB0" w14:textId="77777777" w:rsidR="00BA2266" w:rsidRPr="004676F5" w:rsidRDefault="00BA2266" w:rsidP="00BA2266">
      <w:pPr>
        <w:jc w:val="both"/>
        <w:rPr>
          <w:lang w:val="de-DE"/>
        </w:rPr>
      </w:pPr>
    </w:p>
    <w:p w14:paraId="197E4E2D" w14:textId="77777777" w:rsidR="00F71E6A" w:rsidRPr="004676F5" w:rsidRDefault="00F71E6A" w:rsidP="00BA2266">
      <w:pPr>
        <w:jc w:val="both"/>
        <w:rPr>
          <w:lang w:val="de-DE"/>
        </w:rPr>
      </w:pPr>
    </w:p>
    <w:p w14:paraId="1D89C2A8" w14:textId="2844894F" w:rsidR="00BA2266" w:rsidRPr="004676F5" w:rsidRDefault="00BE0A56" w:rsidP="00BA2266">
      <w:pPr>
        <w:ind w:firstLine="708"/>
        <w:jc w:val="both"/>
        <w:rPr>
          <w:lang w:val="de-DE"/>
        </w:rPr>
      </w:pPr>
      <w:r w:rsidRPr="004676F5">
        <w:rPr>
          <w:b/>
          <w:lang w:val="de-DE"/>
        </w:rPr>
        <w:t>Art. </w:t>
      </w:r>
      <w:r w:rsidR="00BA2266" w:rsidRPr="004676F5">
        <w:rPr>
          <w:b/>
          <w:lang w:val="de-DE"/>
        </w:rPr>
        <w:t>XV.1</w:t>
      </w:r>
      <w:r w:rsidR="00BA2266" w:rsidRPr="004676F5">
        <w:rPr>
          <w:lang w:val="de-DE"/>
        </w:rPr>
        <w:t> </w:t>
      </w:r>
      <w:r w:rsidR="005B7A5C" w:rsidRPr="004676F5">
        <w:rPr>
          <w:lang w:val="de-DE"/>
        </w:rPr>
        <w:t>- </w:t>
      </w:r>
      <w:r w:rsidR="00BA2266" w:rsidRPr="004676F5">
        <w:rPr>
          <w:lang w:val="de-DE"/>
        </w:rPr>
        <w:t>Mit Ausnahme der in vorliegendem Gesetzbuch erwähnten anders lautenden Bestimmungen sind die Bestimmungen des Strafprozessgesetzbuches auf die in Artikel XV.2 § 1 erwähnte Ermittlung, Feststellung und Verfolgung von Verstößen anwendbar.</w:t>
      </w:r>
    </w:p>
    <w:p w14:paraId="48FD643F" w14:textId="77777777" w:rsidR="00BA2266" w:rsidRPr="004676F5" w:rsidRDefault="00BA2266" w:rsidP="00BA2266">
      <w:pPr>
        <w:jc w:val="both"/>
        <w:rPr>
          <w:lang w:val="de-DE"/>
        </w:rPr>
      </w:pPr>
    </w:p>
    <w:p w14:paraId="3BFBAE16" w14:textId="77777777" w:rsidR="00F71E6A" w:rsidRPr="004676F5" w:rsidRDefault="00F71E6A" w:rsidP="00BA2266">
      <w:pPr>
        <w:jc w:val="both"/>
        <w:rPr>
          <w:lang w:val="de-DE"/>
        </w:rPr>
      </w:pPr>
    </w:p>
    <w:p w14:paraId="41525CBB" w14:textId="1641863B" w:rsidR="00BA2266" w:rsidRPr="004676F5" w:rsidRDefault="00BE0A56" w:rsidP="00BA2266">
      <w:pPr>
        <w:ind w:firstLine="708"/>
        <w:jc w:val="both"/>
        <w:rPr>
          <w:lang w:val="de-DE"/>
        </w:rPr>
      </w:pPr>
      <w:r w:rsidRPr="004676F5">
        <w:rPr>
          <w:b/>
          <w:lang w:val="de-DE"/>
        </w:rPr>
        <w:t>Art. </w:t>
      </w:r>
      <w:r w:rsidR="00BA2266" w:rsidRPr="004676F5">
        <w:rPr>
          <w:b/>
          <w:lang w:val="de-DE"/>
        </w:rPr>
        <w:t>XV.2</w:t>
      </w:r>
      <w:r w:rsidR="00BA2266" w:rsidRPr="004676F5">
        <w:rPr>
          <w:lang w:val="de-DE"/>
        </w:rPr>
        <w:t> </w:t>
      </w:r>
      <w:r w:rsidR="005B7A5C" w:rsidRPr="004676F5">
        <w:rPr>
          <w:lang w:val="de-DE"/>
        </w:rPr>
        <w:t>- </w:t>
      </w:r>
      <w:r w:rsidR="00BA2266" w:rsidRPr="004676F5">
        <w:rPr>
          <w:lang w:val="de-DE"/>
        </w:rPr>
        <w:t>§ 1 </w:t>
      </w:r>
      <w:r w:rsidR="005B7A5C" w:rsidRPr="004676F5">
        <w:rPr>
          <w:lang w:val="de-DE"/>
        </w:rPr>
        <w:t>- </w:t>
      </w:r>
      <w:r w:rsidR="00BA2266" w:rsidRPr="004676F5">
        <w:rPr>
          <w:lang w:val="de-DE"/>
        </w:rPr>
        <w:t>Unbeschadet der Befugnisse der Polizeibeamten der lokalen und föderalen Polizei sind die vom Minister bestellten Bediensteten befugt, Verstöße gegen das vorliegende Gesetzbuch zu ermitteln und festzustellen. Diese Bediensteten dürfen die durch vorliegenden Titel festgelegten Befugnisse nur ausüben, um Verstöße gegen die Bestim</w:t>
      </w:r>
      <w:r w:rsidR="00BA2266" w:rsidRPr="004676F5">
        <w:rPr>
          <w:lang w:val="de-DE"/>
        </w:rPr>
        <w:softHyphen/>
        <w:t xml:space="preserve">mungen </w:t>
      </w:r>
      <w:r w:rsidR="00594AE6" w:rsidRPr="004676F5">
        <w:rPr>
          <w:lang w:val="de-DE"/>
        </w:rPr>
        <w:t>[des vorliegenden Gesetzbuches, seiner Ausführungserlasse</w:t>
      </w:r>
      <w:r w:rsidR="008A7A28" w:rsidRPr="004676F5">
        <w:rPr>
          <w:lang w:val="de-DE"/>
        </w:rPr>
        <w:t>[, der Gesetze und ihrer Ausführungserlasse, für die in vorliegendem Buch Sanktionen vorgesehen sind,]</w:t>
      </w:r>
      <w:r w:rsidR="00594AE6" w:rsidRPr="004676F5">
        <w:rPr>
          <w:lang w:val="de-DE"/>
        </w:rPr>
        <w:t xml:space="preserve"> und der Verordnungen der Europäischen Union, für die in vorliegendem Buch Sanktionen vorgesehen sind,]</w:t>
      </w:r>
      <w:r w:rsidR="00BA2266" w:rsidRPr="004676F5">
        <w:rPr>
          <w:lang w:val="de-DE"/>
        </w:rPr>
        <w:t xml:space="preserve"> zu ermitteln und festzustellen, mit Ausnahme der Befugnisse, die in Buch IV und seinen Ausführungserlassen erwähnt sind.</w:t>
      </w:r>
    </w:p>
    <w:p w14:paraId="0FBC4A81" w14:textId="77777777" w:rsidR="00BA2266" w:rsidRPr="004676F5" w:rsidRDefault="00BA2266" w:rsidP="00BA2266">
      <w:pPr>
        <w:ind w:firstLine="708"/>
        <w:jc w:val="both"/>
        <w:rPr>
          <w:lang w:val="de-DE"/>
        </w:rPr>
      </w:pPr>
    </w:p>
    <w:p w14:paraId="4582DECD" w14:textId="76FEDE67" w:rsidR="00BA2266" w:rsidRPr="004676F5" w:rsidRDefault="00BA2266" w:rsidP="00BA2266">
      <w:pPr>
        <w:ind w:firstLine="708"/>
        <w:jc w:val="both"/>
        <w:rPr>
          <w:lang w:val="de-DE"/>
        </w:rPr>
      </w:pPr>
      <w:r w:rsidRPr="004676F5">
        <w:rPr>
          <w:lang w:val="de-DE"/>
        </w:rPr>
        <w:t>§ 2 </w:t>
      </w:r>
      <w:r w:rsidR="005B7A5C" w:rsidRPr="004676F5">
        <w:rPr>
          <w:lang w:val="de-DE"/>
        </w:rPr>
        <w:t>- </w:t>
      </w:r>
      <w:r w:rsidRPr="004676F5">
        <w:rPr>
          <w:lang w:val="de-DE"/>
        </w:rPr>
        <w:t>Von diesen Bediensteten aufgenommene Protokolle haben Beweiskraft bis zum Beweis des Gegenteils.</w:t>
      </w:r>
    </w:p>
    <w:p w14:paraId="48AA3131" w14:textId="77777777" w:rsidR="00BA2266" w:rsidRPr="004676F5" w:rsidRDefault="00BA2266" w:rsidP="00BA2266">
      <w:pPr>
        <w:jc w:val="both"/>
        <w:rPr>
          <w:lang w:val="de-DE"/>
        </w:rPr>
      </w:pPr>
    </w:p>
    <w:p w14:paraId="442E1305" w14:textId="77777777" w:rsidR="00BA2266" w:rsidRPr="004676F5" w:rsidRDefault="00BA2266" w:rsidP="00BA2266">
      <w:pPr>
        <w:ind w:firstLine="708"/>
        <w:jc w:val="both"/>
        <w:rPr>
          <w:lang w:val="de-DE"/>
        </w:rPr>
      </w:pPr>
      <w:r w:rsidRPr="004676F5">
        <w:rPr>
          <w:lang w:val="de-DE"/>
        </w:rPr>
        <w:t xml:space="preserve">Eine Abschrift des Protokolls wird dem Zuwiderhandelnden innerhalb einer Frist von dreißig Tagen ab Feststellung des Verstoßes </w:t>
      </w:r>
      <w:r w:rsidR="0048079D" w:rsidRPr="004676F5">
        <w:rPr>
          <w:lang w:val="de-DE"/>
        </w:rPr>
        <w:t>[</w:t>
      </w:r>
      <w:r w:rsidRPr="004676F5">
        <w:rPr>
          <w:lang w:val="de-DE"/>
        </w:rPr>
        <w:t>per Einschreiben</w:t>
      </w:r>
      <w:r w:rsidR="0048079D" w:rsidRPr="004676F5">
        <w:rPr>
          <w:lang w:val="de-DE"/>
        </w:rPr>
        <w:t xml:space="preserve"> mit Rückschein]</w:t>
      </w:r>
      <w:r w:rsidRPr="004676F5">
        <w:rPr>
          <w:lang w:val="de-DE"/>
        </w:rPr>
        <w:t xml:space="preserve"> notifiziert oder ihm persönlich ausgehändigt. Das Protokoll kann auch per Fax oder elektronische Post mitgeteilt werden. Wenn es keine Reaktion auf diese Mitteilung per Fax oder elektronische Post gibt, wird sie erneut per Einschreiben mit Rückschein zugeschickt. In Ermangelung dessen kann der mutmaßliche Zuwiderhandelnde jederzeit eine Abschrift bei der zuständigen Verwaltung erhalten.</w:t>
      </w:r>
    </w:p>
    <w:p w14:paraId="369C8813" w14:textId="77777777" w:rsidR="00BA2266" w:rsidRPr="004676F5" w:rsidRDefault="00BA2266" w:rsidP="00BA2266">
      <w:pPr>
        <w:ind w:firstLine="708"/>
        <w:jc w:val="both"/>
        <w:rPr>
          <w:lang w:val="de-DE"/>
        </w:rPr>
      </w:pPr>
    </w:p>
    <w:p w14:paraId="2E1D11E7" w14:textId="77777777" w:rsidR="00BA2266" w:rsidRPr="004676F5" w:rsidRDefault="00BA2266" w:rsidP="00BA2266">
      <w:pPr>
        <w:ind w:firstLine="708"/>
        <w:jc w:val="both"/>
        <w:rPr>
          <w:lang w:val="de-DE"/>
        </w:rPr>
      </w:pPr>
      <w:r w:rsidRPr="004676F5">
        <w:rPr>
          <w:lang w:val="de-DE"/>
        </w:rPr>
        <w:t>Wenn der Zuwiderhandelnde am Tag der Feststellung des Verstoßes nicht identifiziert werden kann, läuft die Frist von dreißig Tagen ab dem Tag, an dem der mutmaßliche Urheber des Verstoßes von den in § 1 erwähnten Bediensteten mit Sicherheit identifiziert werden konnte.</w:t>
      </w:r>
    </w:p>
    <w:p w14:paraId="2C448BF5" w14:textId="77777777" w:rsidR="0048079D" w:rsidRPr="004676F5" w:rsidRDefault="0048079D" w:rsidP="00BA2266">
      <w:pPr>
        <w:ind w:firstLine="708"/>
        <w:jc w:val="both"/>
        <w:rPr>
          <w:lang w:val="de-DE"/>
        </w:rPr>
      </w:pPr>
    </w:p>
    <w:p w14:paraId="5CBA02F4" w14:textId="4D48FA0E" w:rsidR="0048079D" w:rsidRPr="004676F5" w:rsidRDefault="0048079D" w:rsidP="0048079D">
      <w:pPr>
        <w:jc w:val="both"/>
        <w:rPr>
          <w:i/>
          <w:lang w:val="de-DE"/>
        </w:rPr>
      </w:pPr>
      <w:r w:rsidRPr="004676F5">
        <w:rPr>
          <w:i/>
          <w:lang w:val="de-DE"/>
        </w:rPr>
        <w:t>[</w:t>
      </w:r>
      <w:r w:rsidR="00BE0A56" w:rsidRPr="004676F5">
        <w:rPr>
          <w:i/>
          <w:lang w:val="de-DE"/>
        </w:rPr>
        <w:t>Art. </w:t>
      </w:r>
      <w:r w:rsidRPr="004676F5">
        <w:rPr>
          <w:i/>
          <w:lang w:val="de-DE"/>
        </w:rPr>
        <w:t xml:space="preserve">XV.2 </w:t>
      </w:r>
      <w:r w:rsidR="00594AE6" w:rsidRPr="004676F5">
        <w:rPr>
          <w:i/>
          <w:lang w:val="de-DE"/>
        </w:rPr>
        <w:t>§ 1 abgeändert durch Art. 26 des G. vom 2. Mai 2019 (IV) (B.S. vom 22. Mai 2019)</w:t>
      </w:r>
      <w:r w:rsidR="00437C96" w:rsidRPr="004676F5">
        <w:rPr>
          <w:i/>
          <w:lang w:val="de-DE"/>
        </w:rPr>
        <w:t xml:space="preserve"> und Art. 17</w:t>
      </w:r>
      <w:r w:rsidR="00437C96" w:rsidRPr="004676F5">
        <w:rPr>
          <w:bCs/>
          <w:i/>
          <w:iCs/>
          <w:lang w:val="de-DE"/>
        </w:rPr>
        <w:t xml:space="preserve"> des G. vom 20. März 2022 (B.S. vom 31. März 2022)</w:t>
      </w:r>
      <w:r w:rsidR="00594AE6" w:rsidRPr="004676F5">
        <w:rPr>
          <w:i/>
          <w:lang w:val="de-DE"/>
        </w:rPr>
        <w:t xml:space="preserve">; </w:t>
      </w:r>
      <w:r w:rsidRPr="004676F5">
        <w:rPr>
          <w:i/>
          <w:lang w:val="de-DE"/>
        </w:rPr>
        <w:t xml:space="preserve">§ 2 Abs. 2 abgeändert durch </w:t>
      </w:r>
      <w:r w:rsidR="00BE0A56" w:rsidRPr="004676F5">
        <w:rPr>
          <w:i/>
          <w:lang w:val="de-DE"/>
        </w:rPr>
        <w:t>Art. </w:t>
      </w:r>
      <w:r w:rsidRPr="004676F5">
        <w:rPr>
          <w:i/>
          <w:lang w:val="de-DE"/>
        </w:rPr>
        <w:t>51</w:t>
      </w:r>
      <w:r w:rsidRPr="004676F5">
        <w:rPr>
          <w:i/>
          <w:iCs/>
          <w:lang w:val="de-DE"/>
        </w:rPr>
        <w:t xml:space="preserve"> </w:t>
      </w:r>
      <w:r w:rsidRPr="004676F5">
        <w:rPr>
          <w:i/>
          <w:lang w:val="de-DE"/>
        </w:rPr>
        <w:t>des G. vom 26. Oktober 2015 (B.S. vom 30. Oktober 2015)]</w:t>
      </w:r>
    </w:p>
    <w:p w14:paraId="67103962" w14:textId="77777777" w:rsidR="00BA2266" w:rsidRPr="004676F5" w:rsidRDefault="00BA2266" w:rsidP="00BA2266">
      <w:pPr>
        <w:jc w:val="both"/>
        <w:rPr>
          <w:lang w:val="de-DE"/>
        </w:rPr>
      </w:pPr>
    </w:p>
    <w:p w14:paraId="74765045" w14:textId="77777777" w:rsidR="00F71E6A" w:rsidRPr="004676F5" w:rsidRDefault="00F71E6A" w:rsidP="00BA2266">
      <w:pPr>
        <w:ind w:firstLine="708"/>
        <w:jc w:val="both"/>
        <w:rPr>
          <w:lang w:val="de-DE"/>
        </w:rPr>
      </w:pPr>
    </w:p>
    <w:p w14:paraId="79F267F1" w14:textId="77777777" w:rsidR="0048079D" w:rsidRPr="004676F5" w:rsidRDefault="0048079D">
      <w:pPr>
        <w:rPr>
          <w:b/>
          <w:lang w:val="de-DE"/>
        </w:rPr>
      </w:pPr>
      <w:r w:rsidRPr="004676F5">
        <w:rPr>
          <w:b/>
          <w:lang w:val="de-DE"/>
        </w:rPr>
        <w:br w:type="page"/>
      </w:r>
    </w:p>
    <w:p w14:paraId="638A7293" w14:textId="6351F069" w:rsidR="00BA2266" w:rsidRPr="004676F5" w:rsidRDefault="00BE0A56" w:rsidP="00BA2266">
      <w:pPr>
        <w:ind w:firstLine="708"/>
        <w:jc w:val="both"/>
        <w:rPr>
          <w:lang w:val="de-DE"/>
        </w:rPr>
      </w:pPr>
      <w:r w:rsidRPr="004676F5">
        <w:rPr>
          <w:b/>
          <w:lang w:val="de-DE"/>
        </w:rPr>
        <w:lastRenderedPageBreak/>
        <w:t>Art. </w:t>
      </w:r>
      <w:r w:rsidR="00BA2266" w:rsidRPr="004676F5">
        <w:rPr>
          <w:b/>
          <w:lang w:val="de-DE"/>
        </w:rPr>
        <w:t>XV.3</w:t>
      </w:r>
      <w:r w:rsidR="00BA2266" w:rsidRPr="004676F5">
        <w:rPr>
          <w:lang w:val="de-DE"/>
        </w:rPr>
        <w:t> </w:t>
      </w:r>
      <w:r w:rsidR="005B7A5C" w:rsidRPr="004676F5">
        <w:rPr>
          <w:lang w:val="de-DE"/>
        </w:rPr>
        <w:t>- </w:t>
      </w:r>
      <w:r w:rsidR="00BA2266" w:rsidRPr="004676F5">
        <w:rPr>
          <w:lang w:val="de-DE"/>
        </w:rPr>
        <w:t>Zur Ermittlung und Feststellung der in Artikel XV.2 § 1 erwähnten Verstöße sind die in Artikel XV.2 erwähnten Bediensteten befugt:</w:t>
      </w:r>
    </w:p>
    <w:p w14:paraId="515A4C24" w14:textId="77777777" w:rsidR="00BA2266" w:rsidRPr="004676F5" w:rsidRDefault="00BA2266" w:rsidP="00BA2266">
      <w:pPr>
        <w:jc w:val="both"/>
        <w:rPr>
          <w:lang w:val="de-DE"/>
        </w:rPr>
      </w:pPr>
    </w:p>
    <w:p w14:paraId="1027D9A6" w14:textId="3C12C7E7" w:rsidR="00BA2266" w:rsidRPr="004676F5" w:rsidRDefault="00BA2266" w:rsidP="00BA2266">
      <w:pPr>
        <w:ind w:firstLine="708"/>
        <w:jc w:val="both"/>
        <w:rPr>
          <w:lang w:val="de-DE"/>
        </w:rPr>
      </w:pPr>
      <w:r w:rsidRPr="004676F5">
        <w:rPr>
          <w:lang w:val="de-DE"/>
        </w:rPr>
        <w:t>1. während der üblichen Öffnungs</w:t>
      </w:r>
      <w:r w:rsidR="005B7A5C" w:rsidRPr="004676F5">
        <w:rPr>
          <w:lang w:val="de-DE"/>
        </w:rPr>
        <w:t>- </w:t>
      </w:r>
      <w:r w:rsidRPr="004676F5">
        <w:rPr>
          <w:lang w:val="de-DE"/>
        </w:rPr>
        <w:t>beziehungsweise Arbeitszeiten, während des Produktionsverfahrens, zum Zeitpunkt, zu dem Produkte oder Dienstleistungen angeboten werden, oder wenn es Hinweise gibt, dass Produktionsverfahren im Gange sind oder Produkte und Dienstleistungen angeboten werden, Orte zu betreten oder sich Zugang zu Orten zu verschaffen, deren Betretung sie auf der Grundlage von triftigen Gründen zur Erfüllung ihrer Aufgabe für notwendig erachten, es sei denn, es handelt sich um bewohnte Räumlichkeiten</w:t>
      </w:r>
      <w:r w:rsidR="0069647C" w:rsidRPr="004676F5">
        <w:rPr>
          <w:lang w:val="de-DE"/>
        </w:rPr>
        <w:t>[; dies gilt auch für Transportmittel, für die sie verlangen können, dass der Beförderer sie zum Stillstand bringt]</w:t>
      </w:r>
      <w:r w:rsidRPr="004676F5">
        <w:rPr>
          <w:lang w:val="de-DE"/>
        </w:rPr>
        <w:t>.</w:t>
      </w:r>
    </w:p>
    <w:p w14:paraId="63D55D3D" w14:textId="77777777" w:rsidR="00BA2266" w:rsidRPr="004676F5" w:rsidRDefault="00BA2266" w:rsidP="00BA2266">
      <w:pPr>
        <w:jc w:val="both"/>
        <w:rPr>
          <w:lang w:val="de-DE"/>
        </w:rPr>
      </w:pPr>
    </w:p>
    <w:p w14:paraId="0B66E63F" w14:textId="77777777" w:rsidR="00BA2266" w:rsidRPr="004676F5" w:rsidRDefault="00BA2266" w:rsidP="00BA2266">
      <w:pPr>
        <w:ind w:firstLine="708"/>
        <w:jc w:val="both"/>
        <w:rPr>
          <w:lang w:val="de-DE"/>
        </w:rPr>
      </w:pPr>
      <w:r w:rsidRPr="004676F5">
        <w:rPr>
          <w:lang w:val="de-DE"/>
        </w:rPr>
        <w:t>Für die Ermittlung und Feststellung der Verstöße gegen Buch IX und Buch XI können die in Artikel XV.2 erwähnten Bediensteten jedoch jederzeit in Absatz 1 erwähnte Orte betreten oder sich Zugang zu diesen Orten verschaffen.</w:t>
      </w:r>
    </w:p>
    <w:p w14:paraId="059BC6BF" w14:textId="77777777" w:rsidR="00BA2266" w:rsidRPr="004676F5" w:rsidRDefault="00BA2266" w:rsidP="00BA2266">
      <w:pPr>
        <w:jc w:val="both"/>
        <w:rPr>
          <w:lang w:val="de-DE"/>
        </w:rPr>
      </w:pPr>
    </w:p>
    <w:p w14:paraId="44244848" w14:textId="77777777" w:rsidR="00BA2266" w:rsidRPr="004676F5" w:rsidRDefault="00BA2266" w:rsidP="00BA2266">
      <w:pPr>
        <w:ind w:firstLine="708"/>
        <w:jc w:val="both"/>
        <w:rPr>
          <w:lang w:val="de-DE"/>
        </w:rPr>
      </w:pPr>
      <w:r w:rsidRPr="004676F5">
        <w:rPr>
          <w:lang w:val="de-DE"/>
        </w:rPr>
        <w:t>Bewohnte Räumlichkeiten dürfen jedoch mit vorheriger schriftlicher Erlaubnis des Bewohners betreten werden.</w:t>
      </w:r>
    </w:p>
    <w:p w14:paraId="3EF5C327" w14:textId="77777777" w:rsidR="00BA2266" w:rsidRPr="004676F5" w:rsidRDefault="00BA2266" w:rsidP="00BA2266">
      <w:pPr>
        <w:jc w:val="both"/>
        <w:rPr>
          <w:lang w:val="de-DE"/>
        </w:rPr>
      </w:pPr>
    </w:p>
    <w:p w14:paraId="754C9691" w14:textId="77777777" w:rsidR="00BA2266" w:rsidRPr="004676F5" w:rsidRDefault="00BA2266" w:rsidP="00BA2266">
      <w:pPr>
        <w:ind w:firstLine="708"/>
        <w:jc w:val="both"/>
        <w:rPr>
          <w:lang w:val="de-DE"/>
        </w:rPr>
      </w:pPr>
      <w:r w:rsidRPr="004676F5">
        <w:rPr>
          <w:lang w:val="de-DE"/>
        </w:rPr>
        <w:t>Besteht der begründete Verdacht auf einen Verstoß, können auf einen mit Gründen versehenen Antrag und mit der vorherigen, mit Gründen versehenen, schriftlichen, unterzeichneten und datierten Ermächtigung des Untersuchungsrichters zwischen fünf und einundzwanzig Uhr bewohnte Räumlichkeiten von mindestens zwei Bediensteten betreten werden, die gemeinsam handeln.</w:t>
      </w:r>
    </w:p>
    <w:p w14:paraId="16392BFE" w14:textId="77777777" w:rsidR="00BA2266" w:rsidRPr="004676F5" w:rsidRDefault="00BA2266" w:rsidP="00BA2266">
      <w:pPr>
        <w:jc w:val="both"/>
        <w:rPr>
          <w:lang w:val="de-DE"/>
        </w:rPr>
      </w:pPr>
    </w:p>
    <w:p w14:paraId="2A5977BB" w14:textId="71B3DCBB" w:rsidR="00BA2266" w:rsidRPr="004676F5" w:rsidRDefault="00BA2266" w:rsidP="00BA2266">
      <w:pPr>
        <w:ind w:firstLine="708"/>
        <w:jc w:val="both"/>
        <w:rPr>
          <w:lang w:val="de-DE"/>
        </w:rPr>
      </w:pPr>
      <w:r w:rsidRPr="004676F5">
        <w:rPr>
          <w:lang w:val="de-DE"/>
        </w:rPr>
        <w:t>Bei Entdeckung auf frischer Tat wie in Artikel 41 des Strafprozessgesetzbuches vorgesehen dürfen sie auch jederzeit bewohnte Räumlichkeiten betreten</w:t>
      </w:r>
      <w:r w:rsidR="006601DF" w:rsidRPr="004676F5">
        <w:rPr>
          <w:lang w:val="de-DE"/>
        </w:rPr>
        <w:t xml:space="preserve"> [...]</w:t>
      </w:r>
      <w:r w:rsidRPr="004676F5">
        <w:rPr>
          <w:lang w:val="de-DE"/>
        </w:rPr>
        <w:t>. In diesem Fall müssen sie die Haussuchung nicht zu zweit machen,</w:t>
      </w:r>
    </w:p>
    <w:p w14:paraId="45530D36" w14:textId="77777777" w:rsidR="00BA2266" w:rsidRPr="004676F5" w:rsidRDefault="00BA2266" w:rsidP="00BA2266">
      <w:pPr>
        <w:jc w:val="both"/>
        <w:rPr>
          <w:lang w:val="de-DE"/>
        </w:rPr>
      </w:pPr>
    </w:p>
    <w:p w14:paraId="1E2EA703" w14:textId="77777777" w:rsidR="00BA2266" w:rsidRPr="004676F5" w:rsidRDefault="00BA2266" w:rsidP="00BA2266">
      <w:pPr>
        <w:ind w:firstLine="708"/>
        <w:jc w:val="both"/>
        <w:rPr>
          <w:lang w:val="de-DE"/>
        </w:rPr>
      </w:pPr>
      <w:r w:rsidRPr="004676F5">
        <w:rPr>
          <w:lang w:val="de-DE"/>
        </w:rPr>
        <w:t>2. alle zweckdienlichen Feststellungen zu machen, alle Untersuchungen, Kontrollen und Ermittlungen durchzuführen und alle notwendigen Informationen zu sammeln, um sich zu vergewissern, dass die in Artikel XV.2 § 1 erwähnten Bestimmungen eingehalten werden,</w:t>
      </w:r>
    </w:p>
    <w:p w14:paraId="7EC9E21F" w14:textId="77777777" w:rsidR="00BA2266" w:rsidRPr="004676F5" w:rsidRDefault="00BA2266" w:rsidP="00BA2266">
      <w:pPr>
        <w:rPr>
          <w:lang w:val="de-DE"/>
        </w:rPr>
      </w:pPr>
    </w:p>
    <w:p w14:paraId="21F4BCC5" w14:textId="77777777" w:rsidR="00BA2266" w:rsidRPr="004676F5" w:rsidRDefault="00BA2266" w:rsidP="00BA2266">
      <w:pPr>
        <w:ind w:firstLine="708"/>
        <w:jc w:val="both"/>
        <w:rPr>
          <w:lang w:val="de-DE"/>
        </w:rPr>
      </w:pPr>
      <w:r w:rsidRPr="004676F5">
        <w:rPr>
          <w:lang w:val="de-DE"/>
        </w:rPr>
        <w:t>3. jede Person zu allen Sachverhalten zu befragen, deren Kenntnis für die Ermittlung oder Feststellung zweckdienlich ist,</w:t>
      </w:r>
    </w:p>
    <w:p w14:paraId="44FA8EA2" w14:textId="77777777" w:rsidR="00BA2266" w:rsidRPr="004676F5" w:rsidRDefault="00BA2266" w:rsidP="00BA2266">
      <w:pPr>
        <w:jc w:val="both"/>
        <w:rPr>
          <w:lang w:val="de-DE"/>
        </w:rPr>
      </w:pPr>
    </w:p>
    <w:p w14:paraId="5B3EB81D" w14:textId="77777777" w:rsidR="00BA2266" w:rsidRPr="004676F5" w:rsidRDefault="00BA2266" w:rsidP="00BA2266">
      <w:pPr>
        <w:ind w:firstLine="708"/>
        <w:jc w:val="both"/>
        <w:rPr>
          <w:lang w:val="de-DE"/>
        </w:rPr>
      </w:pPr>
      <w:r w:rsidRPr="004676F5">
        <w:rPr>
          <w:lang w:val="de-DE"/>
        </w:rPr>
        <w:t>4. Pakete, Kisten, Fässer und andere Arten von Verpackungen zu öffnen, von denen sie ausgehen, dass sie Waren enthalten, die einen in Artikel XV.2 § 1 erwähnten Verstoß darstellen oder beweisen, und ihren Inhalt zu untersuchen,</w:t>
      </w:r>
    </w:p>
    <w:p w14:paraId="102A1385" w14:textId="77777777" w:rsidR="00BA2266" w:rsidRPr="004676F5" w:rsidRDefault="00BA2266" w:rsidP="00BA2266">
      <w:pPr>
        <w:jc w:val="both"/>
        <w:rPr>
          <w:lang w:val="de-DE"/>
        </w:rPr>
      </w:pPr>
    </w:p>
    <w:p w14:paraId="393B86C5" w14:textId="7D3B2C92" w:rsidR="00BA2266" w:rsidRPr="004676F5" w:rsidRDefault="00BA2266" w:rsidP="00BA2266">
      <w:pPr>
        <w:ind w:firstLine="708"/>
        <w:jc w:val="both"/>
        <w:rPr>
          <w:lang w:val="de-DE"/>
        </w:rPr>
      </w:pPr>
      <w:r w:rsidRPr="004676F5">
        <w:rPr>
          <w:lang w:val="de-DE"/>
        </w:rPr>
        <w:t xml:space="preserve">5. sich bei der ersten Forderung an Ort und Stelle oder nachdem sie sich zu den in Nr. 1 erwähnten Orten </w:t>
      </w:r>
      <w:r w:rsidR="0069647C" w:rsidRPr="004676F5">
        <w:rPr>
          <w:lang w:val="de-DE"/>
        </w:rPr>
        <w:t xml:space="preserve">[oder Transportmitteln] </w:t>
      </w:r>
      <w:r w:rsidRPr="004676F5">
        <w:rPr>
          <w:lang w:val="de-DE"/>
        </w:rPr>
        <w:t>begeben haben, alle zur Erfüllung ihrer Aufgaben notwendigen Auskünfte, Unterlagen, Schriftstücke, Bücher, Akten, Datenbanken und Datenträger</w:t>
      </w:r>
      <w:r w:rsidR="0069647C" w:rsidRPr="004676F5">
        <w:rPr>
          <w:lang w:val="de-DE"/>
        </w:rPr>
        <w:t xml:space="preserve">[, unabhängig von ihrem Speichermedium oder dem Ort, an dem sie aufbewahrt werden,] </w:t>
      </w:r>
      <w:r w:rsidRPr="004676F5">
        <w:rPr>
          <w:lang w:val="de-DE"/>
        </w:rPr>
        <w:t>vorlegen zu lassen und unentgeltlich Abschriften davon anzufertigen oder sie gegen Empfangs</w:t>
      </w:r>
      <w:r w:rsidRPr="004676F5">
        <w:rPr>
          <w:lang w:val="de-DE"/>
        </w:rPr>
        <w:softHyphen/>
        <w:t>bestätigung unentgeltlich mitzunehmen.</w:t>
      </w:r>
    </w:p>
    <w:p w14:paraId="3BAE08E9" w14:textId="77777777" w:rsidR="00BA2266" w:rsidRPr="004676F5" w:rsidRDefault="00BA2266" w:rsidP="00BA2266">
      <w:pPr>
        <w:jc w:val="both"/>
        <w:rPr>
          <w:lang w:val="de-DE"/>
        </w:rPr>
      </w:pPr>
    </w:p>
    <w:p w14:paraId="1E98A837" w14:textId="325F3567" w:rsidR="00BA2266" w:rsidRPr="004676F5" w:rsidRDefault="00BA2266" w:rsidP="00BA2266">
      <w:pPr>
        <w:ind w:firstLine="708"/>
        <w:jc w:val="both"/>
        <w:rPr>
          <w:lang w:val="de-DE"/>
        </w:rPr>
      </w:pPr>
      <w:r w:rsidRPr="004676F5">
        <w:rPr>
          <w:lang w:val="de-DE"/>
        </w:rPr>
        <w:t xml:space="preserve">Wenn Datenträger über ein Datenverarbeitungssystem oder ein anderes elektronisches Gerät zugänglich sind, haben sie das Recht, sich die auf den Datenträgern gespeicherten Daten </w:t>
      </w:r>
      <w:r w:rsidRPr="004676F5">
        <w:rPr>
          <w:lang w:val="de-DE"/>
        </w:rPr>
        <w:lastRenderedPageBreak/>
        <w:t>leserlich und verständlich in der von ihnen geforderten Form gegen Empfangs</w:t>
      </w:r>
      <w:r w:rsidRPr="004676F5">
        <w:rPr>
          <w:lang w:val="de-DE"/>
        </w:rPr>
        <w:softHyphen/>
        <w:t>bestätigung aushändigen zu lassen</w:t>
      </w:r>
      <w:r w:rsidR="0069647C" w:rsidRPr="004676F5">
        <w:rPr>
          <w:lang w:val="de-DE"/>
        </w:rPr>
        <w:t>.</w:t>
      </w:r>
    </w:p>
    <w:p w14:paraId="617A0A17" w14:textId="77777777" w:rsidR="00BA2266" w:rsidRPr="004676F5" w:rsidRDefault="00BA2266" w:rsidP="00BA2266">
      <w:pPr>
        <w:jc w:val="both"/>
        <w:rPr>
          <w:lang w:val="de-DE"/>
        </w:rPr>
      </w:pPr>
    </w:p>
    <w:p w14:paraId="6DD05D99" w14:textId="7B4653F8" w:rsidR="002B63FD" w:rsidRPr="004676F5" w:rsidRDefault="0069647C" w:rsidP="002B63FD">
      <w:pPr>
        <w:jc w:val="both"/>
        <w:rPr>
          <w:lang w:val="de-DE"/>
        </w:rPr>
      </w:pPr>
      <w:r w:rsidRPr="004676F5">
        <w:rPr>
          <w:lang w:val="de-DE"/>
        </w:rPr>
        <w:tab/>
      </w:r>
      <w:r w:rsidR="004D3716" w:rsidRPr="004676F5">
        <w:rPr>
          <w:lang w:val="de-DE"/>
        </w:rPr>
        <w:t xml:space="preserve">[Die in Artikel XV.2 erwähnten Bediensteten können gegebenenfalls die Frist für die Bereitstellung dieser Daten festlegen.] </w:t>
      </w:r>
      <w:r w:rsidRPr="004676F5">
        <w:rPr>
          <w:lang w:val="de-DE"/>
        </w:rPr>
        <w:t>[</w:t>
      </w:r>
      <w:r w:rsidR="004D3716" w:rsidRPr="004676F5">
        <w:rPr>
          <w:lang w:val="de-DE"/>
        </w:rPr>
        <w:t>Diese Frist muss unter Berücksichtigung der Tragweite der betreffenden Forderung angemessen sein,</w:t>
      </w:r>
      <w:r w:rsidR="002B63FD" w:rsidRPr="004676F5">
        <w:rPr>
          <w:lang w:val="de-DE"/>
        </w:rPr>
        <w:t>]</w:t>
      </w:r>
    </w:p>
    <w:p w14:paraId="5AD5A51F" w14:textId="77777777" w:rsidR="0069647C" w:rsidRPr="004676F5" w:rsidRDefault="0069647C" w:rsidP="00BA2266">
      <w:pPr>
        <w:jc w:val="both"/>
        <w:rPr>
          <w:lang w:val="de-DE"/>
        </w:rPr>
      </w:pPr>
    </w:p>
    <w:p w14:paraId="741F9E76" w14:textId="0431E6E4" w:rsidR="00BE7BFA" w:rsidRPr="004676F5" w:rsidRDefault="00BE7BFA" w:rsidP="00BA2266">
      <w:pPr>
        <w:jc w:val="both"/>
        <w:rPr>
          <w:lang w:val="de-DE"/>
        </w:rPr>
      </w:pPr>
      <w:r w:rsidRPr="004676F5">
        <w:rPr>
          <w:lang w:val="de-DE"/>
        </w:rPr>
        <w:tab/>
        <w:t xml:space="preserve">[5/1. sich </w:t>
      </w:r>
      <w:r w:rsidR="00594AE6" w:rsidRPr="004676F5">
        <w:rPr>
          <w:lang w:val="de-DE"/>
        </w:rPr>
        <w:t>[</w:t>
      </w:r>
      <w:r w:rsidR="0069647C" w:rsidRPr="004676F5">
        <w:rPr>
          <w:lang w:val="de-DE"/>
        </w:rPr>
        <w:t>[in Abweichung von den Artikeln 46</w:t>
      </w:r>
      <w:r w:rsidR="0069647C" w:rsidRPr="004676F5">
        <w:rPr>
          <w:i/>
          <w:lang w:val="de-DE"/>
        </w:rPr>
        <w:t>bis</w:t>
      </w:r>
      <w:r w:rsidR="0069647C" w:rsidRPr="004676F5">
        <w:rPr>
          <w:lang w:val="de-DE"/>
        </w:rPr>
        <w:t xml:space="preserve"> und]</w:t>
      </w:r>
      <w:r w:rsidR="00594AE6" w:rsidRPr="004676F5">
        <w:rPr>
          <w:lang w:val="de-DE"/>
        </w:rPr>
        <w:t> 46</w:t>
      </w:r>
      <w:r w:rsidR="00594AE6" w:rsidRPr="004676F5">
        <w:rPr>
          <w:i/>
          <w:iCs/>
          <w:lang w:val="de-DE"/>
        </w:rPr>
        <w:t>quater</w:t>
      </w:r>
      <w:r w:rsidR="00594AE6" w:rsidRPr="004676F5">
        <w:rPr>
          <w:lang w:val="de-DE"/>
        </w:rPr>
        <w:t xml:space="preserve"> des Strafprozess</w:t>
      </w:r>
      <w:r w:rsidR="00594AE6" w:rsidRPr="004676F5">
        <w:rPr>
          <w:lang w:val="de-DE"/>
        </w:rPr>
        <w:softHyphen/>
        <w:t xml:space="preserve">gesetzbuches] </w:t>
      </w:r>
      <w:r w:rsidRPr="004676F5">
        <w:rPr>
          <w:lang w:val="de-DE"/>
        </w:rPr>
        <w:t xml:space="preserve">bei der ersten Forderung von jeder Person unentgeltlich jegliche Auskünfte zur Identifizierung von Personen, gegen die eine Untersuchung läuft, </w:t>
      </w:r>
      <w:r w:rsidR="00862CA3" w:rsidRPr="004676F5">
        <w:rPr>
          <w:lang w:val="de-DE"/>
        </w:rPr>
        <w:t>[und von Personen, die an Daten</w:t>
      </w:r>
      <w:r w:rsidR="005B7A5C" w:rsidRPr="004676F5">
        <w:rPr>
          <w:lang w:val="de-DE"/>
        </w:rPr>
        <w:t>- </w:t>
      </w:r>
      <w:r w:rsidR="00862CA3" w:rsidRPr="004676F5">
        <w:rPr>
          <w:lang w:val="de-DE"/>
        </w:rPr>
        <w:t>und Finanzströmen beteiligt sind, vorlegen zu lassen, die im Rahmen der Ermittlung erforderlich sind]</w:t>
      </w:r>
      <w:r w:rsidRPr="004676F5">
        <w:rPr>
          <w:lang w:val="de-DE"/>
        </w:rPr>
        <w:t>,]</w:t>
      </w:r>
    </w:p>
    <w:p w14:paraId="7009999D" w14:textId="77777777" w:rsidR="002B63FD" w:rsidRPr="004676F5" w:rsidRDefault="002B63FD" w:rsidP="002B63FD">
      <w:pPr>
        <w:jc w:val="both"/>
        <w:rPr>
          <w:lang w:val="de-DE"/>
        </w:rPr>
      </w:pPr>
    </w:p>
    <w:p w14:paraId="6689F579" w14:textId="3B570B28" w:rsidR="002B63FD" w:rsidRPr="004676F5" w:rsidRDefault="002B63FD" w:rsidP="002B63FD">
      <w:pPr>
        <w:ind w:firstLine="708"/>
        <w:jc w:val="both"/>
        <w:rPr>
          <w:lang w:val="de-DE"/>
        </w:rPr>
      </w:pPr>
      <w:r w:rsidRPr="004676F5">
        <w:rPr>
          <w:lang w:val="de-DE"/>
        </w:rPr>
        <w:t>[In Bezug auf die Identifizierung von natürlichen oder juristischen Personen anhand der Telefonnummer des Betreffenden oder der IP-Adresse können sie auf ordnungsgemäß mit Gründen versehenen Antrag und gemäß Artikel 127/1 des Gesetzes vom 13. Juni 2005 über die elektronische Kommunikation bei dem in Artikel 2 Nr. 11 des Gesetzes vom 13. Juni 2005 über die elektronische Kommunikation erwähnten Betreiber die Bereitstellung von Identifizierungs</w:t>
      </w:r>
      <w:r w:rsidRPr="004676F5">
        <w:rPr>
          <w:lang w:val="de-DE"/>
        </w:rPr>
        <w:softHyphen/>
        <w:t>dokumenten und -daten anfordern.</w:t>
      </w:r>
    </w:p>
    <w:p w14:paraId="559B06FC" w14:textId="77777777" w:rsidR="002B63FD" w:rsidRPr="004676F5" w:rsidRDefault="002B63FD" w:rsidP="002B63FD">
      <w:pPr>
        <w:jc w:val="both"/>
        <w:rPr>
          <w:lang w:val="de-DE"/>
        </w:rPr>
      </w:pPr>
    </w:p>
    <w:p w14:paraId="3767DE32" w14:textId="77777777" w:rsidR="002B63FD" w:rsidRPr="004676F5" w:rsidRDefault="002B63FD" w:rsidP="002B63FD">
      <w:pPr>
        <w:jc w:val="both"/>
        <w:rPr>
          <w:lang w:val="de-DE"/>
        </w:rPr>
      </w:pPr>
      <w:r w:rsidRPr="004676F5">
        <w:rPr>
          <w:lang w:val="de-DE"/>
        </w:rPr>
        <w:tab/>
        <w:t>Der leitende Beamte der in Artikel XV.2 erwähnten Bediensteten bestimmt die Personen, die ermächtigt sind, die in Absatz 2 erwähnten Informationen anzufordern und zu verarbeiten. Anforderungen, mit denen Informationen eingeholt werden sollen, werden vom leitenden Beamten oder seinem Stellvertreter bestätigt.</w:t>
      </w:r>
    </w:p>
    <w:p w14:paraId="26C3E62E" w14:textId="77777777" w:rsidR="002B63FD" w:rsidRPr="004676F5" w:rsidRDefault="002B63FD" w:rsidP="002B63FD">
      <w:pPr>
        <w:jc w:val="both"/>
        <w:rPr>
          <w:lang w:val="de-DE"/>
        </w:rPr>
      </w:pPr>
    </w:p>
    <w:p w14:paraId="44622729" w14:textId="77777777" w:rsidR="002B63FD" w:rsidRPr="004676F5" w:rsidRDefault="002B63FD" w:rsidP="002B63FD">
      <w:pPr>
        <w:jc w:val="both"/>
        <w:rPr>
          <w:lang w:val="de-DE"/>
        </w:rPr>
      </w:pPr>
      <w:r w:rsidRPr="004676F5">
        <w:rPr>
          <w:lang w:val="de-DE"/>
        </w:rPr>
        <w:tab/>
        <w:t>Anforderung der in Absatz 2 erwähnten Informationen erfolgt nach Überprüfung der Notwendigkeit und Verhältnismäßigkeit dieser Anforderung durch andere als die in Absatz 3 erwähnten Bediensteten. Diese Bediensteten dürfen in keiner anderen Eigenschaft an der Akte beteiligt sein, für die Informationen angefordert werden. Die von diesen Bediensteten ausgeübte Kontrolle muss mit Gründen versehen werden und ist zwingend.</w:t>
      </w:r>
    </w:p>
    <w:p w14:paraId="04852F6F" w14:textId="77777777" w:rsidR="002B63FD" w:rsidRPr="004676F5" w:rsidRDefault="002B63FD" w:rsidP="002B63FD">
      <w:pPr>
        <w:jc w:val="both"/>
        <w:rPr>
          <w:lang w:val="de-DE"/>
        </w:rPr>
      </w:pPr>
    </w:p>
    <w:p w14:paraId="04795925" w14:textId="5262DE7F" w:rsidR="002B63FD" w:rsidRPr="004676F5" w:rsidRDefault="002B63FD" w:rsidP="002B63FD">
      <w:pPr>
        <w:jc w:val="both"/>
        <w:rPr>
          <w:lang w:val="de-DE"/>
        </w:rPr>
      </w:pPr>
      <w:r w:rsidRPr="004676F5">
        <w:rPr>
          <w:lang w:val="de-DE"/>
        </w:rPr>
        <w:tab/>
        <w:t>Verkehrsdaten, Standortdaten und IP-Adressen wie in und gemäß Artikel 127/1 des Gesetzes vom 13. Juni 2005 über die elektronische Kommunikation erwähnt dürfen nur auf mit Gründen versehenen Antrag und mit vorheriger Ermächtigung eines Untersuchungsrichters des niederländischsprachigen Gerichts Erster Instanz von Brüssel oder eines Untersuchung</w:t>
      </w:r>
      <w:r w:rsidRPr="004676F5">
        <w:rPr>
          <w:lang w:val="de-DE"/>
        </w:rPr>
        <w:softHyphen/>
        <w:t>srichters des französischsprachigen Gerichts Erster Instanz von Brüssel angefordert werden, die für die Anwendung des vorliegenden Absatzes auch außerhalb ihres Bezirks zuständig sind. Verkehrsdaten, Standortdaten und IP-Adressen dürfen nur zur Ermittlung und Feststellung von Verstößen der Stufe 5 oder 6 angefordert werden.</w:t>
      </w:r>
      <w:r w:rsidR="003D7572" w:rsidRPr="004676F5">
        <w:rPr>
          <w:lang w:val="de-DE"/>
        </w:rPr>
        <w:t>]</w:t>
      </w:r>
    </w:p>
    <w:p w14:paraId="3E5D8D2D" w14:textId="77777777" w:rsidR="002B63FD" w:rsidRPr="004676F5" w:rsidRDefault="002B63FD" w:rsidP="002B63FD">
      <w:pPr>
        <w:jc w:val="both"/>
        <w:rPr>
          <w:lang w:val="de-DE"/>
        </w:rPr>
      </w:pPr>
    </w:p>
    <w:p w14:paraId="7C0F0FE5" w14:textId="35FE7D1D" w:rsidR="00BE7BFA" w:rsidRPr="004676F5" w:rsidRDefault="002B63FD" w:rsidP="002B63FD">
      <w:pPr>
        <w:jc w:val="both"/>
        <w:rPr>
          <w:lang w:val="de-DE"/>
        </w:rPr>
      </w:pPr>
      <w:r w:rsidRPr="004676F5">
        <w:rPr>
          <w:lang w:val="de-DE"/>
        </w:rPr>
        <w:tab/>
      </w:r>
      <w:r w:rsidR="003D7572" w:rsidRPr="004676F5">
        <w:rPr>
          <w:lang w:val="de-DE"/>
        </w:rPr>
        <w:t>[</w:t>
      </w:r>
      <w:r w:rsidR="004D3716" w:rsidRPr="004676F5">
        <w:rPr>
          <w:lang w:val="de-DE"/>
        </w:rPr>
        <w:t>[...],</w:t>
      </w:r>
      <w:r w:rsidRPr="004676F5">
        <w:rPr>
          <w:lang w:val="de-DE"/>
        </w:rPr>
        <w:t>]</w:t>
      </w:r>
    </w:p>
    <w:p w14:paraId="2D866C74" w14:textId="77777777" w:rsidR="002B63FD" w:rsidRPr="004676F5" w:rsidRDefault="002B63FD" w:rsidP="002B63FD">
      <w:pPr>
        <w:jc w:val="both"/>
        <w:rPr>
          <w:lang w:val="de-DE"/>
        </w:rPr>
      </w:pPr>
    </w:p>
    <w:p w14:paraId="054B52FC" w14:textId="235A4DEE" w:rsidR="00862CA3" w:rsidRPr="004676F5" w:rsidRDefault="00862CA3" w:rsidP="00862CA3">
      <w:pPr>
        <w:jc w:val="both"/>
        <w:rPr>
          <w:lang w:val="de-DE"/>
        </w:rPr>
      </w:pPr>
      <w:r w:rsidRPr="004676F5">
        <w:rPr>
          <w:lang w:val="de-DE"/>
        </w:rPr>
        <w:tab/>
        <w:t>[5/2. in Abweichung von Artikel 46</w:t>
      </w:r>
      <w:r w:rsidRPr="004676F5">
        <w:rPr>
          <w:i/>
          <w:lang w:val="de-DE"/>
        </w:rPr>
        <w:t>quater</w:t>
      </w:r>
      <w:r w:rsidRPr="004676F5">
        <w:rPr>
          <w:lang w:val="de-DE"/>
        </w:rPr>
        <w:t xml:space="preserve"> des Strafprozessgesetzbuches Geldströme aufzuspüren. Insbesondere können sie </w:t>
      </w:r>
      <w:r w:rsidR="002B63FD" w:rsidRPr="004676F5">
        <w:rPr>
          <w:lang w:val="de-DE"/>
        </w:rPr>
        <w:t xml:space="preserve">[kostenlos] </w:t>
      </w:r>
      <w:r w:rsidRPr="004676F5">
        <w:rPr>
          <w:lang w:val="de-DE"/>
        </w:rPr>
        <w:t>erforderliche Informationen über Finanzpro</w:t>
      </w:r>
      <w:r w:rsidRPr="004676F5">
        <w:rPr>
          <w:lang w:val="de-DE"/>
        </w:rPr>
        <w:softHyphen/>
        <w:t xml:space="preserve">dukte, </w:t>
      </w:r>
      <w:r w:rsidRPr="004676F5">
        <w:rPr>
          <w:lang w:val="de-DE"/>
        </w:rPr>
        <w:noBreakHyphen/>
        <w:t>dienstleistungen und -transaktionen und virtuelle Werte in Bezug auf einen Verdächtigen anfordern bei:</w:t>
      </w:r>
    </w:p>
    <w:p w14:paraId="35BB4E49" w14:textId="77777777" w:rsidR="00862CA3" w:rsidRPr="004676F5" w:rsidRDefault="00862CA3" w:rsidP="00862CA3">
      <w:pPr>
        <w:jc w:val="both"/>
        <w:rPr>
          <w:lang w:val="de-DE"/>
        </w:rPr>
      </w:pPr>
    </w:p>
    <w:p w14:paraId="6DB71DF5" w14:textId="77777777" w:rsidR="00862CA3" w:rsidRPr="004676F5" w:rsidRDefault="00862CA3" w:rsidP="00862CA3">
      <w:pPr>
        <w:jc w:val="both"/>
        <w:rPr>
          <w:lang w:val="de-DE"/>
        </w:rPr>
      </w:pPr>
      <w:r w:rsidRPr="004676F5">
        <w:rPr>
          <w:lang w:val="de-DE"/>
        </w:rPr>
        <w:tab/>
        <w:t>1. Personen und Einrichtungen wie erwähnt in Artikel 5 § 1 Nr. 3 bis 22 des Gesetzes vom 18. September 2017 zur Verhinderung von Geldwäsche und Terrorismusfinanzierung und zur Beschränkung der Nutzung von Bargeld,</w:t>
      </w:r>
    </w:p>
    <w:p w14:paraId="25053F3C" w14:textId="77777777" w:rsidR="00862CA3" w:rsidRPr="004676F5" w:rsidRDefault="00862CA3" w:rsidP="00862CA3">
      <w:pPr>
        <w:jc w:val="both"/>
        <w:rPr>
          <w:lang w:val="de-DE"/>
        </w:rPr>
      </w:pPr>
    </w:p>
    <w:p w14:paraId="50FB81AD" w14:textId="5557A4C2" w:rsidR="00862CA3" w:rsidRPr="004676F5" w:rsidRDefault="00862CA3" w:rsidP="00862CA3">
      <w:pPr>
        <w:jc w:val="both"/>
        <w:rPr>
          <w:lang w:val="de-DE"/>
        </w:rPr>
      </w:pPr>
      <w:r w:rsidRPr="004676F5">
        <w:rPr>
          <w:lang w:val="de-DE"/>
        </w:rPr>
        <w:tab/>
        <w:t>2. Personen und Einrichtungen, die auf belgischem Staatsgebiet Dienstleistungen in Zusammenhang mit virtuellen Werten zur Verfügung stellen oder anbieten, die den Umtausch reglementierter Zahlungsmittel in virtuelle Werte ermöglichen,]</w:t>
      </w:r>
    </w:p>
    <w:p w14:paraId="12F36A52" w14:textId="77777777" w:rsidR="002B63FD" w:rsidRPr="004676F5" w:rsidRDefault="002B63FD" w:rsidP="00862CA3">
      <w:pPr>
        <w:jc w:val="both"/>
        <w:rPr>
          <w:lang w:val="de-DE"/>
        </w:rPr>
      </w:pPr>
    </w:p>
    <w:p w14:paraId="24D33FAC" w14:textId="77777777" w:rsidR="002B63FD" w:rsidRPr="004676F5" w:rsidRDefault="002B63FD" w:rsidP="002B63FD">
      <w:pPr>
        <w:jc w:val="both"/>
        <w:rPr>
          <w:lang w:val="de-DE"/>
        </w:rPr>
      </w:pPr>
      <w:r w:rsidRPr="004676F5">
        <w:rPr>
          <w:lang w:val="de-DE"/>
        </w:rPr>
        <w:tab/>
        <w:t>[5/3. zur Ausübung der in Nr. 5/1 Absatz 1 und 5/2 erwähnten Befugnisse durch einen mit Gründen versehenen Antrag jegliche erforderliche Informationen bei der Zentralen Kontaktstelle anfordern, die von der Belgischen Nationalbank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verwaltet wird.</w:t>
      </w:r>
    </w:p>
    <w:p w14:paraId="573E81D3" w14:textId="77777777" w:rsidR="002B63FD" w:rsidRPr="004676F5" w:rsidRDefault="002B63FD" w:rsidP="002B63FD">
      <w:pPr>
        <w:jc w:val="both"/>
        <w:rPr>
          <w:lang w:val="de-DE"/>
        </w:rPr>
      </w:pPr>
    </w:p>
    <w:p w14:paraId="14075B6A" w14:textId="77777777" w:rsidR="002B63FD" w:rsidRPr="004676F5" w:rsidRDefault="002B63FD" w:rsidP="002B63FD">
      <w:pPr>
        <w:jc w:val="both"/>
        <w:rPr>
          <w:lang w:val="de-DE"/>
        </w:rPr>
      </w:pPr>
      <w:r w:rsidRPr="004676F5">
        <w:rPr>
          <w:lang w:val="de-DE"/>
        </w:rPr>
        <w:tab/>
        <w:t>Unbeschadet der Aufbewahrung, die für die weitere, in Artikel 89 der Datenschutz-Grundverordnung erwähnte Verarbeitung zu im öffentlichen Interesse liegenden Archivzwecken, zu wissenschaftlichen oder historischen Forschungszwecken oder zu statistischen Zwecken erforderlich ist, werden die personenbezogenen Daten, die sich aus dem in Absatz 1 erwähnten Antrag ergeben, nicht länger als notwendig für die Zwecke, für die sie verarbeitet werden, aufbewahrt, wobei die maximale Aufbewahrungsfrist fünf Jahre beträgt:</w:t>
      </w:r>
    </w:p>
    <w:p w14:paraId="794AAA3A" w14:textId="77777777" w:rsidR="002B63FD" w:rsidRPr="004676F5" w:rsidRDefault="002B63FD" w:rsidP="002B63FD">
      <w:pPr>
        <w:jc w:val="both"/>
        <w:rPr>
          <w:lang w:val="de-DE"/>
        </w:rPr>
      </w:pPr>
    </w:p>
    <w:p w14:paraId="4071602B" w14:textId="77777777" w:rsidR="002B63FD" w:rsidRPr="004676F5" w:rsidRDefault="002B63FD" w:rsidP="002B63FD">
      <w:pPr>
        <w:jc w:val="both"/>
        <w:rPr>
          <w:lang w:val="de-DE"/>
        </w:rPr>
      </w:pPr>
      <w:r w:rsidRPr="004676F5">
        <w:rPr>
          <w:lang w:val="de-DE"/>
        </w:rPr>
        <w:tab/>
        <w:t>1. ab dem Zeitpunkt der endgültigen Feststellung, dass der Betreffende keinen Verstoß begangen hat,</w:t>
      </w:r>
    </w:p>
    <w:p w14:paraId="58831714" w14:textId="77777777" w:rsidR="002B63FD" w:rsidRPr="004676F5" w:rsidRDefault="002B63FD" w:rsidP="002B63FD">
      <w:pPr>
        <w:jc w:val="both"/>
        <w:rPr>
          <w:lang w:val="de-DE"/>
        </w:rPr>
      </w:pPr>
    </w:p>
    <w:p w14:paraId="381942B7" w14:textId="77777777" w:rsidR="002B63FD" w:rsidRPr="004676F5" w:rsidRDefault="002B63FD" w:rsidP="002B63FD">
      <w:pPr>
        <w:jc w:val="both"/>
        <w:rPr>
          <w:lang w:val="de-DE"/>
        </w:rPr>
      </w:pPr>
      <w:r w:rsidRPr="004676F5">
        <w:rPr>
          <w:lang w:val="de-DE"/>
        </w:rPr>
        <w:tab/>
        <w:t>2. ab dem Zeitpunkt der Feststellung der Behebung der Missstände, wenn festgestellt wird, dass der in Artikel XV.31 erwähnten Verwarnung Folge geleistet worden ist,</w:t>
      </w:r>
    </w:p>
    <w:p w14:paraId="3C214843" w14:textId="77777777" w:rsidR="002B63FD" w:rsidRPr="004676F5" w:rsidRDefault="002B63FD" w:rsidP="002B63FD">
      <w:pPr>
        <w:jc w:val="both"/>
        <w:rPr>
          <w:lang w:val="de-DE"/>
        </w:rPr>
      </w:pPr>
    </w:p>
    <w:p w14:paraId="63DE0DC0" w14:textId="77777777" w:rsidR="002B63FD" w:rsidRPr="004676F5" w:rsidRDefault="002B63FD" w:rsidP="002B63FD">
      <w:pPr>
        <w:jc w:val="both"/>
        <w:rPr>
          <w:lang w:val="de-DE"/>
        </w:rPr>
      </w:pPr>
      <w:r w:rsidRPr="004676F5">
        <w:rPr>
          <w:lang w:val="de-DE"/>
        </w:rPr>
        <w:tab/>
        <w:t>3. ab dem Zeitpunkt der Entgegennahme oder Akzeptierung einer Abhilfezusage wie in Artikel XV.31/2 erwähnt, sofern keine andere administrative Verfolgung oder Strafverfolgung vorgesehen ist,</w:t>
      </w:r>
    </w:p>
    <w:p w14:paraId="58C26FAA" w14:textId="77777777" w:rsidR="002B63FD" w:rsidRPr="004676F5" w:rsidRDefault="002B63FD" w:rsidP="002B63FD">
      <w:pPr>
        <w:jc w:val="both"/>
        <w:rPr>
          <w:lang w:val="de-DE"/>
        </w:rPr>
      </w:pPr>
    </w:p>
    <w:p w14:paraId="3642C2B2" w14:textId="10EFED9E" w:rsidR="002B63FD" w:rsidRPr="004676F5" w:rsidRDefault="002B63FD" w:rsidP="002B63FD">
      <w:pPr>
        <w:jc w:val="both"/>
        <w:rPr>
          <w:lang w:val="de-DE"/>
        </w:rPr>
      </w:pPr>
      <w:r w:rsidRPr="004676F5">
        <w:rPr>
          <w:lang w:val="de-DE"/>
        </w:rPr>
        <w:tab/>
        <w:t xml:space="preserve">4. ab dem Zeitpunkt der Feststellung der Zahlung des </w:t>
      </w:r>
      <w:r w:rsidR="004D3716" w:rsidRPr="004676F5">
        <w:rPr>
          <w:lang w:val="de-DE"/>
        </w:rPr>
        <w:t>[</w:t>
      </w:r>
      <w:r w:rsidRPr="004676F5">
        <w:rPr>
          <w:lang w:val="de-DE"/>
        </w:rPr>
        <w:t>in Artikel XV.61</w:t>
      </w:r>
      <w:r w:rsidR="004D3716" w:rsidRPr="004676F5">
        <w:rPr>
          <w:lang w:val="de-DE"/>
        </w:rPr>
        <w:t>]</w:t>
      </w:r>
      <w:r w:rsidRPr="004676F5">
        <w:rPr>
          <w:lang w:val="de-DE"/>
        </w:rPr>
        <w:t xml:space="preserve"> erwähnten Vergleichs,</w:t>
      </w:r>
    </w:p>
    <w:p w14:paraId="3A33FCC2" w14:textId="77777777" w:rsidR="002B63FD" w:rsidRPr="004676F5" w:rsidRDefault="002B63FD" w:rsidP="002B63FD">
      <w:pPr>
        <w:jc w:val="both"/>
        <w:rPr>
          <w:lang w:val="de-DE"/>
        </w:rPr>
      </w:pPr>
    </w:p>
    <w:p w14:paraId="77746D00" w14:textId="77777777" w:rsidR="002B63FD" w:rsidRPr="004676F5" w:rsidRDefault="002B63FD" w:rsidP="002B63FD">
      <w:pPr>
        <w:jc w:val="both"/>
        <w:rPr>
          <w:lang w:val="de-DE"/>
        </w:rPr>
      </w:pPr>
      <w:r w:rsidRPr="004676F5">
        <w:rPr>
          <w:lang w:val="de-DE"/>
        </w:rPr>
        <w:tab/>
        <w:t>5. ab dem Zeitpunkt, zu dem eine endgültige Verwaltungsentscheidung getroffen worden ist, insbesondere die in Artikel XV.60/2 erwähnte Entscheidung,</w:t>
      </w:r>
    </w:p>
    <w:p w14:paraId="488680A0" w14:textId="77777777" w:rsidR="002B63FD" w:rsidRPr="004676F5" w:rsidRDefault="002B63FD" w:rsidP="002B63FD">
      <w:pPr>
        <w:jc w:val="both"/>
        <w:rPr>
          <w:lang w:val="de-DE"/>
        </w:rPr>
      </w:pPr>
    </w:p>
    <w:p w14:paraId="6B015C0E" w14:textId="77777777" w:rsidR="002B63FD" w:rsidRPr="004676F5" w:rsidRDefault="002B63FD" w:rsidP="002B63FD">
      <w:pPr>
        <w:jc w:val="both"/>
        <w:rPr>
          <w:lang w:val="de-DE"/>
        </w:rPr>
      </w:pPr>
      <w:r w:rsidRPr="004676F5">
        <w:rPr>
          <w:lang w:val="de-DE"/>
        </w:rPr>
        <w:tab/>
        <w:t>6. ab dem Zeitpunkt, zu dem der in Artikel 216</w:t>
      </w:r>
      <w:r w:rsidRPr="004676F5">
        <w:rPr>
          <w:i/>
          <w:lang w:val="de-DE"/>
        </w:rPr>
        <w:t>bis</w:t>
      </w:r>
      <w:r w:rsidRPr="004676F5">
        <w:rPr>
          <w:lang w:val="de-DE"/>
        </w:rPr>
        <w:t xml:space="preserve"> des Strafprozessgesetzbuches erwähnte Vergleich oder die in Artikel 216</w:t>
      </w:r>
      <w:r w:rsidRPr="004676F5">
        <w:rPr>
          <w:i/>
          <w:lang w:val="de-DE"/>
        </w:rPr>
        <w:t>ter</w:t>
      </w:r>
      <w:r w:rsidRPr="004676F5">
        <w:rPr>
          <w:lang w:val="de-DE"/>
        </w:rPr>
        <w:t xml:space="preserve"> desselben Gesetzbuches erwähnte Vermittlung in Strafsachen oder ein anderes gerichtliches Verfahren angewendet wird,</w:t>
      </w:r>
    </w:p>
    <w:p w14:paraId="2E356E70" w14:textId="77777777" w:rsidR="002B63FD" w:rsidRPr="004676F5" w:rsidRDefault="002B63FD" w:rsidP="002B63FD">
      <w:pPr>
        <w:jc w:val="both"/>
        <w:rPr>
          <w:lang w:val="de-DE"/>
        </w:rPr>
      </w:pPr>
    </w:p>
    <w:p w14:paraId="52DA8126" w14:textId="77777777" w:rsidR="002B63FD" w:rsidRPr="004676F5" w:rsidRDefault="002B63FD" w:rsidP="002B63FD">
      <w:pPr>
        <w:jc w:val="both"/>
        <w:rPr>
          <w:lang w:val="de-DE"/>
        </w:rPr>
      </w:pPr>
      <w:r w:rsidRPr="004676F5">
        <w:rPr>
          <w:lang w:val="de-DE"/>
        </w:rPr>
        <w:tab/>
        <w:t>7. ab der gerichtlichen Endentscheidung.</w:t>
      </w:r>
    </w:p>
    <w:p w14:paraId="23996D11" w14:textId="77777777" w:rsidR="002B63FD" w:rsidRPr="004676F5" w:rsidRDefault="002B63FD" w:rsidP="002B63FD">
      <w:pPr>
        <w:jc w:val="both"/>
        <w:rPr>
          <w:lang w:val="de-DE"/>
        </w:rPr>
      </w:pPr>
    </w:p>
    <w:p w14:paraId="58635F7B" w14:textId="25A0766A" w:rsidR="002B63FD" w:rsidRPr="004676F5" w:rsidRDefault="002B63FD" w:rsidP="002B63FD">
      <w:pPr>
        <w:jc w:val="both"/>
        <w:rPr>
          <w:lang w:val="de-DE"/>
        </w:rPr>
      </w:pPr>
      <w:r w:rsidRPr="004676F5">
        <w:rPr>
          <w:lang w:val="de-DE"/>
        </w:rPr>
        <w:tab/>
      </w:r>
      <w:r w:rsidR="004D3716" w:rsidRPr="004676F5">
        <w:rPr>
          <w:lang w:val="de-DE"/>
        </w:rPr>
        <w:t>[...]</w:t>
      </w:r>
      <w:r w:rsidRPr="004676F5">
        <w:rPr>
          <w:lang w:val="de-DE"/>
        </w:rPr>
        <w:t>]</w:t>
      </w:r>
    </w:p>
    <w:p w14:paraId="505D2B52" w14:textId="77777777" w:rsidR="00862CA3" w:rsidRPr="004676F5" w:rsidRDefault="00862CA3" w:rsidP="00BA2266">
      <w:pPr>
        <w:jc w:val="both"/>
        <w:rPr>
          <w:lang w:val="de-DE"/>
        </w:rPr>
      </w:pPr>
    </w:p>
    <w:p w14:paraId="68E1CE48" w14:textId="77777777" w:rsidR="00BA2266" w:rsidRPr="004676F5" w:rsidRDefault="00BA2266" w:rsidP="00BA2266">
      <w:pPr>
        <w:ind w:firstLine="708"/>
        <w:jc w:val="both"/>
        <w:rPr>
          <w:lang w:val="de-DE"/>
        </w:rPr>
      </w:pPr>
      <w:r w:rsidRPr="004676F5">
        <w:rPr>
          <w:lang w:val="de-DE"/>
        </w:rPr>
        <w:t>6. eine Bestandsaufnahme der Produkte zu machen oder machen zu lassen,</w:t>
      </w:r>
    </w:p>
    <w:p w14:paraId="39B3975E" w14:textId="77777777" w:rsidR="00BA2266" w:rsidRPr="004676F5" w:rsidRDefault="00BA2266" w:rsidP="00BA2266">
      <w:pPr>
        <w:jc w:val="both"/>
        <w:rPr>
          <w:lang w:val="de-DE"/>
        </w:rPr>
      </w:pPr>
    </w:p>
    <w:p w14:paraId="39C2CA9D" w14:textId="624B79B3" w:rsidR="00BA2266" w:rsidRPr="004676F5" w:rsidRDefault="00BA2266" w:rsidP="00BA2266">
      <w:pPr>
        <w:ind w:firstLine="708"/>
        <w:jc w:val="both"/>
        <w:rPr>
          <w:lang w:val="de-DE"/>
        </w:rPr>
      </w:pPr>
      <w:r w:rsidRPr="004676F5">
        <w:rPr>
          <w:lang w:val="de-DE"/>
        </w:rPr>
        <w:t>7. gegen Empfangsbestätigung unentgeltlich die für die Bestimmung der Art und Zusammensetzung der Güter und für die Beweisführung hinsichtlich eines Verstoßes notwendigen Proben zu entnehmen</w:t>
      </w:r>
      <w:r w:rsidR="00862CA3" w:rsidRPr="004676F5">
        <w:rPr>
          <w:lang w:val="de-DE"/>
        </w:rPr>
        <w:t>,</w:t>
      </w:r>
    </w:p>
    <w:p w14:paraId="0A0CA3EF" w14:textId="77777777" w:rsidR="00862CA3" w:rsidRPr="004676F5" w:rsidRDefault="00862CA3" w:rsidP="00BA2266">
      <w:pPr>
        <w:ind w:firstLine="708"/>
        <w:jc w:val="both"/>
        <w:rPr>
          <w:lang w:val="de-DE"/>
        </w:rPr>
      </w:pPr>
    </w:p>
    <w:p w14:paraId="2EF0DA70" w14:textId="77777777" w:rsidR="00BD488E" w:rsidRPr="004676F5" w:rsidRDefault="00BD488E" w:rsidP="00BD488E">
      <w:pPr>
        <w:ind w:firstLine="708"/>
        <w:jc w:val="both"/>
        <w:rPr>
          <w:lang w:val="de-DE"/>
        </w:rPr>
      </w:pPr>
      <w:r w:rsidRPr="004676F5">
        <w:rPr>
          <w:lang w:val="de-DE"/>
        </w:rPr>
        <w:lastRenderedPageBreak/>
        <w:t>Gegebenenfalls müssen die Eigentümer, Besitzer oder Inhaber der vorgenannten Güter notwendige Behälter für Transport und Aufbewahrung der Proben liefern.</w:t>
      </w:r>
    </w:p>
    <w:p w14:paraId="68F8BEF2" w14:textId="77777777" w:rsidR="00BD488E" w:rsidRPr="004676F5" w:rsidRDefault="00BD488E" w:rsidP="00BD488E">
      <w:pPr>
        <w:jc w:val="both"/>
        <w:rPr>
          <w:lang w:val="de-DE"/>
        </w:rPr>
      </w:pPr>
    </w:p>
    <w:p w14:paraId="29C235F6" w14:textId="77777777" w:rsidR="00BD488E" w:rsidRPr="004676F5" w:rsidRDefault="00BD488E" w:rsidP="00BD488E">
      <w:pPr>
        <w:ind w:firstLine="708"/>
        <w:jc w:val="both"/>
        <w:rPr>
          <w:lang w:val="de-DE"/>
        </w:rPr>
      </w:pPr>
      <w:r w:rsidRPr="004676F5">
        <w:rPr>
          <w:lang w:val="de-DE"/>
        </w:rPr>
        <w:t>Der König bestimmt Bedingungen und Modalitäten der Entnahme, Mitnahme und Analyse dieser Proben und kann auch Bedingungen und Modalitäten der Zulassung von natürlichen oder juristischen Personen, die zur Durchführung der Analysen befugt sind, bestimmen,</w:t>
      </w:r>
    </w:p>
    <w:p w14:paraId="68DE3053" w14:textId="77777777" w:rsidR="00BD488E" w:rsidRPr="004676F5" w:rsidRDefault="00BD488E" w:rsidP="00BA2266">
      <w:pPr>
        <w:ind w:firstLine="708"/>
        <w:jc w:val="both"/>
        <w:rPr>
          <w:lang w:val="de-DE"/>
        </w:rPr>
      </w:pPr>
    </w:p>
    <w:p w14:paraId="7D15796D" w14:textId="7FEADF0C" w:rsidR="00862CA3" w:rsidRPr="004676F5" w:rsidRDefault="00862CA3" w:rsidP="00862CA3">
      <w:pPr>
        <w:ind w:firstLine="708"/>
        <w:jc w:val="both"/>
        <w:rPr>
          <w:lang w:val="de-DE"/>
        </w:rPr>
      </w:pPr>
      <w:r w:rsidRPr="004676F5">
        <w:rPr>
          <w:lang w:val="de-DE"/>
        </w:rPr>
        <w:t>8. </w:t>
      </w:r>
      <w:r w:rsidR="009E654E" w:rsidRPr="004676F5">
        <w:rPr>
          <w:lang w:val="de-DE"/>
        </w:rPr>
        <w:t>[</w:t>
      </w:r>
      <w:r w:rsidRPr="004676F5">
        <w:rPr>
          <w:lang w:val="de-DE"/>
        </w:rPr>
        <w:t>Waren oder Dienstleistungen zu prüfen, zu untersuchen, auseinanderzunehmen oder zu testen oder prüfen, untersuchen, auseinandernehmen oder testen zu lassen.</w:t>
      </w:r>
    </w:p>
    <w:p w14:paraId="3BE05404" w14:textId="77777777" w:rsidR="00862CA3" w:rsidRPr="004676F5" w:rsidRDefault="00862CA3" w:rsidP="00862CA3">
      <w:pPr>
        <w:jc w:val="both"/>
        <w:rPr>
          <w:lang w:val="de-DE"/>
        </w:rPr>
      </w:pPr>
    </w:p>
    <w:p w14:paraId="2803FC64" w14:textId="77777777" w:rsidR="00862CA3" w:rsidRPr="004676F5" w:rsidRDefault="00862CA3" w:rsidP="00862CA3">
      <w:pPr>
        <w:jc w:val="both"/>
        <w:rPr>
          <w:lang w:val="de-DE"/>
        </w:rPr>
      </w:pPr>
      <w:r w:rsidRPr="004676F5">
        <w:rPr>
          <w:lang w:val="de-DE"/>
        </w:rPr>
        <w:tab/>
        <w:t>Wenn ausreichende Indizien vorliegen, dass eine Ware oder eine Dienstleistung:</w:t>
      </w:r>
    </w:p>
    <w:p w14:paraId="3BF64120" w14:textId="77777777" w:rsidR="00862CA3" w:rsidRPr="004676F5" w:rsidRDefault="00862CA3" w:rsidP="00862CA3">
      <w:pPr>
        <w:jc w:val="both"/>
        <w:rPr>
          <w:lang w:val="de-DE"/>
        </w:rPr>
      </w:pPr>
    </w:p>
    <w:p w14:paraId="712D3653" w14:textId="77777777" w:rsidR="00862CA3" w:rsidRPr="004676F5" w:rsidRDefault="00862CA3" w:rsidP="00862CA3">
      <w:pPr>
        <w:jc w:val="both"/>
        <w:rPr>
          <w:lang w:val="de-DE"/>
        </w:rPr>
      </w:pPr>
      <w:r w:rsidRPr="004676F5">
        <w:rPr>
          <w:lang w:val="de-DE"/>
        </w:rPr>
        <w:tab/>
      </w:r>
      <w:r w:rsidRPr="004676F5">
        <w:rPr>
          <w:i/>
          <w:lang w:val="de-DE"/>
        </w:rPr>
        <w:t>a)</w:t>
      </w:r>
      <w:r w:rsidRPr="004676F5">
        <w:rPr>
          <w:lang w:val="de-DE"/>
        </w:rPr>
        <w:t> den Bedingungen nicht entspricht, die durch Erlasse zur Ausführung der Artikel VI.9 § 1 und VI.10 auferlegt werden, oder</w:t>
      </w:r>
    </w:p>
    <w:p w14:paraId="6E89F5DA" w14:textId="77777777" w:rsidR="00862CA3" w:rsidRPr="004676F5" w:rsidRDefault="00862CA3" w:rsidP="00862CA3">
      <w:pPr>
        <w:jc w:val="both"/>
        <w:rPr>
          <w:lang w:val="de-DE"/>
        </w:rPr>
      </w:pPr>
    </w:p>
    <w:p w14:paraId="3DA99505" w14:textId="77777777" w:rsidR="00862CA3" w:rsidRPr="004676F5" w:rsidRDefault="00862CA3" w:rsidP="00862CA3">
      <w:pPr>
        <w:jc w:val="both"/>
        <w:rPr>
          <w:lang w:val="de-DE"/>
        </w:rPr>
      </w:pPr>
      <w:r w:rsidRPr="004676F5">
        <w:rPr>
          <w:lang w:val="de-DE"/>
        </w:rPr>
        <w:tab/>
      </w:r>
      <w:r w:rsidRPr="004676F5">
        <w:rPr>
          <w:i/>
          <w:lang w:val="de-DE"/>
        </w:rPr>
        <w:t>b) </w:t>
      </w:r>
      <w:r w:rsidRPr="004676F5">
        <w:rPr>
          <w:lang w:val="de-DE"/>
        </w:rPr>
        <w:t>Gegenstand einer unlauteren Geschäftspraxis ist oder</w:t>
      </w:r>
    </w:p>
    <w:p w14:paraId="2DC6BF27" w14:textId="77777777" w:rsidR="00862CA3" w:rsidRPr="004676F5" w:rsidRDefault="00862CA3" w:rsidP="00862CA3">
      <w:pPr>
        <w:jc w:val="both"/>
        <w:rPr>
          <w:lang w:val="de-DE"/>
        </w:rPr>
      </w:pPr>
    </w:p>
    <w:p w14:paraId="3CA008F2" w14:textId="77777777" w:rsidR="00862CA3" w:rsidRPr="004676F5" w:rsidRDefault="00862CA3" w:rsidP="00862CA3">
      <w:pPr>
        <w:jc w:val="both"/>
        <w:rPr>
          <w:lang w:val="de-DE"/>
        </w:rPr>
      </w:pPr>
      <w:r w:rsidRPr="004676F5">
        <w:rPr>
          <w:lang w:val="de-DE"/>
        </w:rPr>
        <w:tab/>
      </w:r>
      <w:r w:rsidRPr="004676F5">
        <w:rPr>
          <w:i/>
          <w:lang w:val="de-DE"/>
        </w:rPr>
        <w:t>c) </w:t>
      </w:r>
      <w:r w:rsidRPr="004676F5">
        <w:rPr>
          <w:lang w:val="de-DE"/>
        </w:rPr>
        <w:t>gegen Rechte des geistigen Eigentums in einer Weise verstößt, die nach Titel 3 Kapitel 2 Abschnitt 8 strafbar ist,</w:t>
      </w:r>
    </w:p>
    <w:p w14:paraId="6283F438" w14:textId="77777777" w:rsidR="00862CA3" w:rsidRPr="004676F5" w:rsidRDefault="00862CA3" w:rsidP="00862CA3">
      <w:pPr>
        <w:jc w:val="both"/>
        <w:rPr>
          <w:lang w:val="de-DE"/>
        </w:rPr>
      </w:pPr>
    </w:p>
    <w:p w14:paraId="7B3CED0B" w14:textId="77777777" w:rsidR="00862CA3" w:rsidRPr="004676F5" w:rsidRDefault="00862CA3" w:rsidP="00862CA3">
      <w:pPr>
        <w:jc w:val="both"/>
        <w:rPr>
          <w:lang w:val="de-DE"/>
        </w:rPr>
      </w:pPr>
      <w:r w:rsidRPr="004676F5">
        <w:rPr>
          <w:lang w:val="de-DE"/>
        </w:rPr>
        <w:tab/>
        <w:t>und die in Artikel XV.2 erwähnten Bediensteten nicht über die Möglichkeit verfügen, die erforderliche Analyse oder Kontrolle selbst durchzuführen, oder die Ergebnisse nicht hinreichend zuverlässig sind, kann das betroffene Unternehmen angewiesen werden, die Ware oder Dienstleistung innerhalb einer festgelegten Frist und auf Kosten des Unternehmens einer Analyse oder einer Kontrolle durch ein unabhängiges Labor oder eine Forschungseinrichtung zu unterziehen.</w:t>
      </w:r>
    </w:p>
    <w:p w14:paraId="6B5EC3FE" w14:textId="77777777" w:rsidR="00862CA3" w:rsidRPr="004676F5" w:rsidRDefault="00862CA3" w:rsidP="00862CA3">
      <w:pPr>
        <w:jc w:val="both"/>
        <w:rPr>
          <w:lang w:val="de-DE"/>
        </w:rPr>
      </w:pPr>
    </w:p>
    <w:p w14:paraId="2D91D100" w14:textId="3C123B9B" w:rsidR="00862CA3" w:rsidRPr="004676F5" w:rsidRDefault="00862CA3" w:rsidP="00862CA3">
      <w:pPr>
        <w:jc w:val="both"/>
        <w:rPr>
          <w:lang w:val="de-DE"/>
        </w:rPr>
      </w:pPr>
      <w:r w:rsidRPr="004676F5">
        <w:rPr>
          <w:lang w:val="de-DE"/>
        </w:rPr>
        <w:tab/>
        <w:t>Das Unternehmen ersucht die in Artikel XV.2 erwähnten Bediensteten um Bestätigung hinsichtlich der Wahl des Labors oder der Forschungseinrichtung,]</w:t>
      </w:r>
    </w:p>
    <w:p w14:paraId="4E0BABDD" w14:textId="77777777" w:rsidR="00862CA3" w:rsidRPr="004676F5" w:rsidRDefault="00862CA3" w:rsidP="00862CA3">
      <w:pPr>
        <w:jc w:val="both"/>
        <w:rPr>
          <w:lang w:val="de-DE"/>
        </w:rPr>
      </w:pPr>
    </w:p>
    <w:p w14:paraId="63A44CCD" w14:textId="75DD07CB" w:rsidR="00862CA3" w:rsidRPr="004676F5" w:rsidRDefault="00862CA3" w:rsidP="00862CA3">
      <w:pPr>
        <w:jc w:val="both"/>
        <w:rPr>
          <w:lang w:val="de-DE"/>
        </w:rPr>
      </w:pPr>
      <w:r w:rsidRPr="004676F5">
        <w:rPr>
          <w:lang w:val="de-DE"/>
        </w:rPr>
        <w:tab/>
        <w:t>[9. Waren oder Dienstleistungen als Testeinkäufe zu erwerben, erforderlichenfalls mit verdeckter Identität, und an Unternehmen als vorgegebene Kunden oder potenzielle Kunden heranzutreten, ohne ihre Eigenschaft und die Tatsache mitteilen zu müssen, dass bei dieser Gelegenheit gemachte Feststellungen für die Ausübung der Aufsicht verwendet werden können.</w:t>
      </w:r>
    </w:p>
    <w:p w14:paraId="31234863" w14:textId="77777777" w:rsidR="00862CA3" w:rsidRPr="004676F5" w:rsidRDefault="00862CA3" w:rsidP="00862CA3">
      <w:pPr>
        <w:jc w:val="both"/>
        <w:rPr>
          <w:lang w:val="de-DE"/>
        </w:rPr>
      </w:pPr>
    </w:p>
    <w:p w14:paraId="319CD7BB" w14:textId="77777777" w:rsidR="00862CA3" w:rsidRPr="004676F5" w:rsidRDefault="00862CA3" w:rsidP="00862CA3">
      <w:pPr>
        <w:jc w:val="both"/>
        <w:rPr>
          <w:lang w:val="de-DE"/>
        </w:rPr>
      </w:pPr>
      <w:r w:rsidRPr="004676F5">
        <w:rPr>
          <w:lang w:val="de-DE"/>
        </w:rPr>
        <w:tab/>
        <w:t>Wird ein Verstoß festgestellt, können die für die Durchführung von Testeinkäufen gezahlten Beträge vom Zuwiderhandelnden zurückgefordert werden.</w:t>
      </w:r>
    </w:p>
    <w:p w14:paraId="690CEBA3" w14:textId="77777777" w:rsidR="00862CA3" w:rsidRPr="004676F5" w:rsidRDefault="00862CA3" w:rsidP="00862CA3">
      <w:pPr>
        <w:jc w:val="both"/>
        <w:rPr>
          <w:lang w:val="de-DE"/>
        </w:rPr>
      </w:pPr>
    </w:p>
    <w:p w14:paraId="2FB8A9BA" w14:textId="77777777" w:rsidR="00862CA3" w:rsidRPr="004676F5" w:rsidRDefault="00862CA3" w:rsidP="00862CA3">
      <w:pPr>
        <w:jc w:val="both"/>
        <w:rPr>
          <w:lang w:val="de-DE"/>
        </w:rPr>
      </w:pPr>
      <w:r w:rsidRPr="004676F5">
        <w:rPr>
          <w:lang w:val="de-DE"/>
        </w:rPr>
        <w:tab/>
        <w:t>Straffrei bleiben die in Artikel XV.2 erwähnten Bediensteten, die in diesem Rahmen absolut erforderliche Straftaten begehen.</w:t>
      </w:r>
    </w:p>
    <w:p w14:paraId="5A54126B" w14:textId="77777777" w:rsidR="00862CA3" w:rsidRPr="004676F5" w:rsidRDefault="00862CA3" w:rsidP="00862CA3">
      <w:pPr>
        <w:jc w:val="both"/>
        <w:rPr>
          <w:lang w:val="de-DE"/>
        </w:rPr>
      </w:pPr>
    </w:p>
    <w:p w14:paraId="66538882" w14:textId="77777777" w:rsidR="00862CA3" w:rsidRPr="004676F5" w:rsidRDefault="00862CA3" w:rsidP="00862CA3">
      <w:pPr>
        <w:jc w:val="both"/>
        <w:rPr>
          <w:lang w:val="de-DE"/>
        </w:rPr>
      </w:pPr>
      <w:r w:rsidRPr="004676F5">
        <w:rPr>
          <w:lang w:val="de-DE"/>
        </w:rPr>
        <w:tab/>
        <w:t>Die betreffende(n) Person/Personen, der/denen gegenüber Feststellungen gemacht werden, darf/dürfen nicht zu Straftaten angestiftet werden im Sinne des Artikels 30 des einleitenden Titels des Strafprozessgesetzbuches.</w:t>
      </w:r>
    </w:p>
    <w:p w14:paraId="2DA8C3D0" w14:textId="77777777" w:rsidR="00862CA3" w:rsidRPr="004676F5" w:rsidRDefault="00862CA3" w:rsidP="00862CA3">
      <w:pPr>
        <w:jc w:val="both"/>
        <w:rPr>
          <w:lang w:val="de-DE"/>
        </w:rPr>
      </w:pPr>
    </w:p>
    <w:p w14:paraId="3E6CBB35" w14:textId="5326A449" w:rsidR="00862CA3" w:rsidRPr="004676F5" w:rsidRDefault="00862CA3" w:rsidP="00862CA3">
      <w:pPr>
        <w:jc w:val="both"/>
        <w:rPr>
          <w:lang w:val="de-DE"/>
        </w:rPr>
      </w:pPr>
      <w:r w:rsidRPr="004676F5">
        <w:rPr>
          <w:lang w:val="de-DE"/>
        </w:rPr>
        <w:tab/>
        <w:t xml:space="preserve">Alle anderen in den Nummern 1 bis 8 </w:t>
      </w:r>
      <w:r w:rsidR="004D3716" w:rsidRPr="004676F5">
        <w:rPr>
          <w:lang w:val="de-DE"/>
        </w:rPr>
        <w:t xml:space="preserve">[und in Artikel XV.4] </w:t>
      </w:r>
      <w:r w:rsidRPr="004676F5">
        <w:rPr>
          <w:lang w:val="de-DE"/>
        </w:rPr>
        <w:t>erwähnten Befugnisse können bei der Ausübung dieser Befugnis verwendet werden.</w:t>
      </w:r>
    </w:p>
    <w:p w14:paraId="6C56C661" w14:textId="77777777" w:rsidR="00862CA3" w:rsidRPr="004676F5" w:rsidRDefault="00862CA3" w:rsidP="00862CA3">
      <w:pPr>
        <w:jc w:val="both"/>
        <w:rPr>
          <w:lang w:val="de-DE"/>
        </w:rPr>
      </w:pPr>
    </w:p>
    <w:p w14:paraId="5805672E" w14:textId="77777777" w:rsidR="00862CA3" w:rsidRPr="004676F5" w:rsidRDefault="00862CA3" w:rsidP="00862CA3">
      <w:pPr>
        <w:jc w:val="both"/>
        <w:rPr>
          <w:lang w:val="de-DE"/>
        </w:rPr>
      </w:pPr>
      <w:r w:rsidRPr="004676F5">
        <w:rPr>
          <w:lang w:val="de-DE"/>
        </w:rPr>
        <w:lastRenderedPageBreak/>
        <w:tab/>
        <w:t>Diese Befugnis darf nur ausgeübt werden, wenn sie für die Ausübung der Aufsicht erforderlich ist, um die tatsächlichen Begebenheiten feststellen zu können, die für gewöhnliche oder potentielle Kunden gelten.</w:t>
      </w:r>
    </w:p>
    <w:p w14:paraId="625437EF" w14:textId="77777777" w:rsidR="00862CA3" w:rsidRPr="004676F5" w:rsidRDefault="00862CA3" w:rsidP="00862CA3">
      <w:pPr>
        <w:jc w:val="both"/>
        <w:rPr>
          <w:lang w:val="de-DE"/>
        </w:rPr>
      </w:pPr>
    </w:p>
    <w:p w14:paraId="53F2BF10" w14:textId="77777777" w:rsidR="00862CA3" w:rsidRPr="004676F5" w:rsidRDefault="00862CA3" w:rsidP="00862CA3">
      <w:pPr>
        <w:jc w:val="both"/>
        <w:rPr>
          <w:lang w:val="de-DE"/>
        </w:rPr>
      </w:pPr>
      <w:r w:rsidRPr="004676F5">
        <w:rPr>
          <w:lang w:val="de-DE"/>
        </w:rPr>
        <w:tab/>
        <w:t>Die in Artikel XV.2 erwähnten Bediensteten erstellen einen Bericht, der zumindest folgende Angaben umfasst:</w:t>
      </w:r>
    </w:p>
    <w:p w14:paraId="2298B097" w14:textId="77777777" w:rsidR="00862CA3" w:rsidRPr="004676F5" w:rsidRDefault="00862CA3" w:rsidP="00862CA3">
      <w:pPr>
        <w:jc w:val="both"/>
        <w:rPr>
          <w:lang w:val="de-DE"/>
        </w:rPr>
      </w:pPr>
    </w:p>
    <w:p w14:paraId="56BB5A49" w14:textId="77777777" w:rsidR="00862CA3" w:rsidRPr="004676F5" w:rsidRDefault="00862CA3" w:rsidP="00862CA3">
      <w:pPr>
        <w:jc w:val="both"/>
        <w:rPr>
          <w:lang w:val="de-DE"/>
        </w:rPr>
      </w:pPr>
      <w:r w:rsidRPr="004676F5">
        <w:rPr>
          <w:lang w:val="de-DE"/>
        </w:rPr>
        <w:tab/>
      </w:r>
      <w:r w:rsidRPr="004676F5">
        <w:rPr>
          <w:i/>
          <w:lang w:val="de-DE"/>
        </w:rPr>
        <w:t>a)</w:t>
      </w:r>
      <w:r w:rsidRPr="004676F5">
        <w:rPr>
          <w:lang w:val="de-DE"/>
        </w:rPr>
        <w:t> Datum und Ort der Untersuchung,</w:t>
      </w:r>
    </w:p>
    <w:p w14:paraId="6C837CA8" w14:textId="77777777" w:rsidR="00862CA3" w:rsidRPr="004676F5" w:rsidRDefault="00862CA3" w:rsidP="00862CA3">
      <w:pPr>
        <w:jc w:val="both"/>
        <w:rPr>
          <w:lang w:val="de-DE"/>
        </w:rPr>
      </w:pPr>
    </w:p>
    <w:p w14:paraId="0B522694" w14:textId="77777777" w:rsidR="00862CA3" w:rsidRPr="004676F5" w:rsidRDefault="00862CA3" w:rsidP="00862CA3">
      <w:pPr>
        <w:jc w:val="both"/>
        <w:rPr>
          <w:lang w:val="de-DE"/>
        </w:rPr>
      </w:pPr>
      <w:r w:rsidRPr="004676F5">
        <w:rPr>
          <w:lang w:val="de-DE"/>
        </w:rPr>
        <w:tab/>
      </w:r>
      <w:r w:rsidRPr="004676F5">
        <w:rPr>
          <w:i/>
          <w:lang w:val="de-DE"/>
        </w:rPr>
        <w:t>b)</w:t>
      </w:r>
      <w:r w:rsidRPr="004676F5">
        <w:rPr>
          <w:lang w:val="de-DE"/>
        </w:rPr>
        <w:t> Identität der betreffenden Bediensteten, Eigenschaft, in der sie auftreten, und Verwaltung, der sie angehören,</w:t>
      </w:r>
    </w:p>
    <w:p w14:paraId="699EC4D2" w14:textId="77777777" w:rsidR="00862CA3" w:rsidRPr="004676F5" w:rsidRDefault="00862CA3" w:rsidP="00862CA3">
      <w:pPr>
        <w:jc w:val="both"/>
        <w:rPr>
          <w:lang w:val="de-DE"/>
        </w:rPr>
      </w:pPr>
    </w:p>
    <w:p w14:paraId="0AF189F4" w14:textId="77777777" w:rsidR="00862CA3" w:rsidRPr="004676F5" w:rsidRDefault="00862CA3" w:rsidP="00862CA3">
      <w:pPr>
        <w:jc w:val="both"/>
        <w:rPr>
          <w:lang w:val="de-DE"/>
        </w:rPr>
      </w:pPr>
      <w:r w:rsidRPr="004676F5">
        <w:rPr>
          <w:lang w:val="de-DE"/>
        </w:rPr>
        <w:tab/>
      </w:r>
      <w:r w:rsidRPr="004676F5">
        <w:rPr>
          <w:i/>
          <w:lang w:val="de-DE"/>
        </w:rPr>
        <w:t>c)</w:t>
      </w:r>
      <w:r w:rsidRPr="004676F5">
        <w:rPr>
          <w:lang w:val="de-DE"/>
        </w:rPr>
        <w:t> Grund der Untersuchung,</w:t>
      </w:r>
    </w:p>
    <w:p w14:paraId="6F460B10" w14:textId="77777777" w:rsidR="00862CA3" w:rsidRPr="004676F5" w:rsidRDefault="00862CA3" w:rsidP="00862CA3">
      <w:pPr>
        <w:jc w:val="both"/>
        <w:rPr>
          <w:lang w:val="de-DE"/>
        </w:rPr>
      </w:pPr>
    </w:p>
    <w:p w14:paraId="6D235235" w14:textId="77777777" w:rsidR="00862CA3" w:rsidRPr="004676F5" w:rsidRDefault="00862CA3" w:rsidP="00862CA3">
      <w:pPr>
        <w:jc w:val="both"/>
        <w:rPr>
          <w:lang w:val="de-DE"/>
        </w:rPr>
      </w:pPr>
      <w:r w:rsidRPr="004676F5">
        <w:rPr>
          <w:lang w:val="de-DE"/>
        </w:rPr>
        <w:tab/>
      </w:r>
      <w:r w:rsidRPr="004676F5">
        <w:rPr>
          <w:i/>
          <w:lang w:val="de-DE"/>
        </w:rPr>
        <w:t>d)</w:t>
      </w:r>
      <w:r w:rsidRPr="004676F5">
        <w:rPr>
          <w:lang w:val="de-DE"/>
        </w:rPr>
        <w:t> Feststellungen und gegebenenfalls festgestellte mögliche Verstöße,</w:t>
      </w:r>
    </w:p>
    <w:p w14:paraId="7F159C95" w14:textId="77777777" w:rsidR="00862CA3" w:rsidRPr="004676F5" w:rsidRDefault="00862CA3" w:rsidP="00862CA3">
      <w:pPr>
        <w:jc w:val="both"/>
        <w:rPr>
          <w:lang w:val="de-DE"/>
        </w:rPr>
      </w:pPr>
    </w:p>
    <w:p w14:paraId="7B24FE88" w14:textId="0C2FC46B" w:rsidR="00862CA3" w:rsidRPr="004676F5" w:rsidRDefault="00862CA3" w:rsidP="00862CA3">
      <w:pPr>
        <w:jc w:val="both"/>
        <w:rPr>
          <w:lang w:val="de-DE"/>
        </w:rPr>
      </w:pPr>
      <w:r w:rsidRPr="004676F5">
        <w:rPr>
          <w:lang w:val="de-DE"/>
        </w:rPr>
        <w:tab/>
      </w:r>
      <w:r w:rsidRPr="004676F5">
        <w:rPr>
          <w:i/>
          <w:lang w:val="de-DE"/>
        </w:rPr>
        <w:t>e)</w:t>
      </w:r>
      <w:r w:rsidRPr="004676F5">
        <w:rPr>
          <w:lang w:val="de-DE"/>
        </w:rPr>
        <w:t> im Laufe der Untersuchung eingetretene Ereignisse</w:t>
      </w:r>
      <w:r w:rsidR="004D3716" w:rsidRPr="004676F5">
        <w:rPr>
          <w:lang w:val="de-DE"/>
        </w:rPr>
        <w:t>[, einschließlich etwaiger absolut erforderlicher Straftaten der in Artikel XV.2 erwähnten Bediensteten]</w:t>
      </w:r>
      <w:r w:rsidRPr="004676F5">
        <w:rPr>
          <w:lang w:val="de-DE"/>
        </w:rPr>
        <w:t>,</w:t>
      </w:r>
    </w:p>
    <w:p w14:paraId="554591BB" w14:textId="77777777" w:rsidR="00862CA3" w:rsidRPr="004676F5" w:rsidRDefault="00862CA3" w:rsidP="00862CA3">
      <w:pPr>
        <w:jc w:val="both"/>
        <w:rPr>
          <w:lang w:val="de-DE"/>
        </w:rPr>
      </w:pPr>
    </w:p>
    <w:p w14:paraId="68F4832E" w14:textId="77777777" w:rsidR="00862CA3" w:rsidRPr="004676F5" w:rsidRDefault="00862CA3" w:rsidP="00862CA3">
      <w:pPr>
        <w:jc w:val="both"/>
        <w:rPr>
          <w:lang w:val="de-DE"/>
        </w:rPr>
      </w:pPr>
      <w:r w:rsidRPr="004676F5">
        <w:rPr>
          <w:lang w:val="de-DE"/>
        </w:rPr>
        <w:tab/>
      </w:r>
      <w:r w:rsidRPr="004676F5">
        <w:rPr>
          <w:i/>
          <w:lang w:val="de-DE"/>
        </w:rPr>
        <w:t>f)</w:t>
      </w:r>
      <w:r w:rsidRPr="004676F5">
        <w:rPr>
          <w:lang w:val="de-DE"/>
        </w:rPr>
        <w:t> Identifizierung der betreffenden Person/Personen, bei der/denen die Untersuchung durchgeführt wurde,</w:t>
      </w:r>
    </w:p>
    <w:p w14:paraId="07596A29" w14:textId="77777777" w:rsidR="00862CA3" w:rsidRPr="004676F5" w:rsidRDefault="00862CA3" w:rsidP="00862CA3">
      <w:pPr>
        <w:jc w:val="both"/>
        <w:rPr>
          <w:lang w:val="de-DE"/>
        </w:rPr>
      </w:pPr>
    </w:p>
    <w:p w14:paraId="05C11D12" w14:textId="3B80F8F9" w:rsidR="00862CA3" w:rsidRPr="004676F5" w:rsidRDefault="00862CA3" w:rsidP="00862CA3">
      <w:pPr>
        <w:ind w:firstLine="708"/>
        <w:jc w:val="both"/>
        <w:rPr>
          <w:lang w:val="de-DE"/>
        </w:rPr>
      </w:pPr>
      <w:r w:rsidRPr="004676F5">
        <w:rPr>
          <w:i/>
          <w:lang w:val="de-DE"/>
        </w:rPr>
        <w:t>g)</w:t>
      </w:r>
      <w:r w:rsidRPr="004676F5">
        <w:rPr>
          <w:lang w:val="de-DE"/>
        </w:rPr>
        <w:t> gegebenenfalls verwendete verdeckte Identität.]</w:t>
      </w:r>
    </w:p>
    <w:p w14:paraId="00E3BE3C" w14:textId="77777777" w:rsidR="00BA2266" w:rsidRPr="004676F5" w:rsidRDefault="00BA2266" w:rsidP="00BA2266">
      <w:pPr>
        <w:jc w:val="both"/>
        <w:rPr>
          <w:lang w:val="de-DE"/>
        </w:rPr>
      </w:pPr>
    </w:p>
    <w:p w14:paraId="4E172001" w14:textId="4871E3CD" w:rsidR="00BE7BFA" w:rsidRPr="004676F5" w:rsidRDefault="00BE7BFA" w:rsidP="00BA2266">
      <w:pPr>
        <w:jc w:val="both"/>
        <w:rPr>
          <w:i/>
          <w:lang w:val="de-DE"/>
        </w:rPr>
      </w:pPr>
      <w:r w:rsidRPr="004676F5">
        <w:rPr>
          <w:i/>
          <w:lang w:val="de-DE"/>
        </w:rPr>
        <w:t>[</w:t>
      </w:r>
      <w:r w:rsidR="00BE0A56" w:rsidRPr="004676F5">
        <w:rPr>
          <w:i/>
          <w:lang w:val="de-DE"/>
        </w:rPr>
        <w:t>Art. </w:t>
      </w:r>
      <w:r w:rsidRPr="004676F5">
        <w:rPr>
          <w:i/>
          <w:lang w:val="de-DE"/>
        </w:rPr>
        <w:t xml:space="preserve">XV.3 </w:t>
      </w:r>
      <w:r w:rsidR="00BD488E" w:rsidRPr="004676F5">
        <w:rPr>
          <w:i/>
          <w:lang w:val="de-DE"/>
        </w:rPr>
        <w:t>einziger Absatz Nr. 1 Abs. 1 abgeändert durch Art. 5 Nr. 1</w:t>
      </w:r>
      <w:r w:rsidR="00BD488E" w:rsidRPr="004676F5">
        <w:rPr>
          <w:bCs/>
          <w:i/>
          <w:iCs/>
          <w:lang w:val="de-DE"/>
        </w:rPr>
        <w:t xml:space="preserve"> des G. vom 29. September 2020 (B.S. vom 20. November 2020); </w:t>
      </w:r>
      <w:r w:rsidR="006601DF" w:rsidRPr="004676F5">
        <w:rPr>
          <w:i/>
          <w:lang w:val="de-DE"/>
        </w:rPr>
        <w:t xml:space="preserve">einziger Absatz Nr. 1 Abs. 5 abgeändert durch Art. 30 Nr. 3 des G. vom 30. Juli 2018 (II) (B.S. vom 5. September 2018); </w:t>
      </w:r>
      <w:r w:rsidR="00BD488E" w:rsidRPr="004676F5">
        <w:rPr>
          <w:i/>
          <w:lang w:val="de-DE"/>
        </w:rPr>
        <w:t>einziger Absatz Nr. 5 Abs. 1 abgeändert durch Art. 5 Nr. 2</w:t>
      </w:r>
      <w:r w:rsidR="00BD488E" w:rsidRPr="004676F5">
        <w:rPr>
          <w:bCs/>
          <w:i/>
          <w:iCs/>
          <w:lang w:val="de-DE"/>
        </w:rPr>
        <w:t xml:space="preserve"> Buchstabe a) des G. vom 29. September 2020 (B.S. vom 20. November 2020); einziger Absatz Nr. 5 Abs. 3 eingefügt durch Art. 5 Nr. 2 Buchstabe b) des G. vom 29. September 2020 (B.S. vom 20. November 2020)</w:t>
      </w:r>
      <w:r w:rsidR="003D7572" w:rsidRPr="004676F5">
        <w:rPr>
          <w:bCs/>
          <w:i/>
          <w:iCs/>
          <w:lang w:val="de-DE"/>
        </w:rPr>
        <w:t xml:space="preserve"> und abgeändert durch Art. 30 Nr. 1 des G. vom 5. November 2023 </w:t>
      </w:r>
      <w:r w:rsidR="003519CA" w:rsidRPr="004676F5">
        <w:rPr>
          <w:bCs/>
          <w:i/>
          <w:iCs/>
          <w:lang w:val="de-DE"/>
        </w:rPr>
        <w:t xml:space="preserve">(I) </w:t>
      </w:r>
      <w:r w:rsidR="003D7572" w:rsidRPr="004676F5">
        <w:rPr>
          <w:bCs/>
          <w:i/>
          <w:iCs/>
          <w:lang w:val="de-DE"/>
        </w:rPr>
        <w:t>(B.S. vom 11. Dezember 2023)</w:t>
      </w:r>
      <w:r w:rsidR="00BD488E" w:rsidRPr="004676F5">
        <w:rPr>
          <w:bCs/>
          <w:i/>
          <w:iCs/>
          <w:lang w:val="de-DE"/>
        </w:rPr>
        <w:t xml:space="preserve">; </w:t>
      </w:r>
      <w:r w:rsidRPr="004676F5">
        <w:rPr>
          <w:i/>
          <w:lang w:val="de-DE"/>
        </w:rPr>
        <w:t xml:space="preserve">einziger Absatz Nr. 5/1 </w:t>
      </w:r>
      <w:r w:rsidR="00204FCB" w:rsidRPr="004676F5">
        <w:rPr>
          <w:i/>
          <w:lang w:val="de-DE"/>
        </w:rPr>
        <w:t xml:space="preserve">Abs. 1 (früherer einziger Absatz) </w:t>
      </w:r>
      <w:r w:rsidRPr="004676F5">
        <w:rPr>
          <w:i/>
          <w:lang w:val="de-DE"/>
        </w:rPr>
        <w:t xml:space="preserve">eingefügt durch </w:t>
      </w:r>
      <w:r w:rsidR="00BE0A56" w:rsidRPr="004676F5">
        <w:rPr>
          <w:i/>
          <w:lang w:val="de-DE"/>
        </w:rPr>
        <w:t>Art. </w:t>
      </w:r>
      <w:r w:rsidRPr="004676F5">
        <w:rPr>
          <w:i/>
          <w:lang w:val="de-DE"/>
        </w:rPr>
        <w:t>36 des G. vom 29. Juni 2016 (B.S. vom 6. Juli 2016)</w:t>
      </w:r>
      <w:r w:rsidR="00204FCB" w:rsidRPr="004676F5">
        <w:rPr>
          <w:i/>
          <w:lang w:val="de-DE"/>
        </w:rPr>
        <w:t xml:space="preserve"> und </w:t>
      </w:r>
      <w:r w:rsidR="00594AE6" w:rsidRPr="004676F5">
        <w:rPr>
          <w:i/>
          <w:lang w:val="de-DE"/>
        </w:rPr>
        <w:t>abgeändert durch Art. 27 Nr. 1 und 2 des G. vom 2. Mai 2019 (IV) (B.S. vom 22. Mai 2019)</w:t>
      </w:r>
      <w:r w:rsidR="00BD488E" w:rsidRPr="004676F5">
        <w:rPr>
          <w:i/>
          <w:lang w:val="de-DE"/>
        </w:rPr>
        <w:t xml:space="preserve"> und Art. 5 Nr. 3 Buchstabe a) und b)</w:t>
      </w:r>
      <w:r w:rsidR="00BD488E" w:rsidRPr="004676F5">
        <w:rPr>
          <w:bCs/>
          <w:i/>
          <w:iCs/>
          <w:lang w:val="de-DE"/>
        </w:rPr>
        <w:t xml:space="preserve"> des G. vom 29. September 2020 (B.S. vom 20. November 2020); </w:t>
      </w:r>
      <w:r w:rsidR="00204FCB" w:rsidRPr="004676F5">
        <w:rPr>
          <w:bCs/>
          <w:i/>
          <w:iCs/>
          <w:lang w:val="de-DE"/>
        </w:rPr>
        <w:t xml:space="preserve">einziger Absatz Nr. 5/1 Abs. 2 bis </w:t>
      </w:r>
      <w:r w:rsidR="003D7572" w:rsidRPr="004676F5">
        <w:rPr>
          <w:bCs/>
          <w:i/>
          <w:iCs/>
          <w:lang w:val="de-DE"/>
        </w:rPr>
        <w:t>5</w:t>
      </w:r>
      <w:r w:rsidR="00204FCB" w:rsidRPr="004676F5">
        <w:rPr>
          <w:bCs/>
          <w:i/>
          <w:iCs/>
          <w:lang w:val="de-DE"/>
        </w:rPr>
        <w:t xml:space="preserve"> eingefügt durch Art. 28 Nr. 1 des G. vom 25. September 2022 (B.S. vom 16. Januar 2023); </w:t>
      </w:r>
      <w:r w:rsidR="003D7572" w:rsidRPr="004676F5">
        <w:rPr>
          <w:bCs/>
          <w:i/>
          <w:iCs/>
          <w:lang w:val="de-DE"/>
        </w:rPr>
        <w:t>einziger Absatz Nr. 5/1 Abs. 6 eingefügt durch Art. 28 Nr. 1 des G. vom 25. September 2022 (B.S. vom 16. Januar 2023) und aufgehoben durch Art. 30 Nr. 2 des G. vom 5. November 2023</w:t>
      </w:r>
      <w:r w:rsidR="003519CA" w:rsidRPr="004676F5">
        <w:rPr>
          <w:bCs/>
          <w:i/>
          <w:iCs/>
          <w:lang w:val="de-DE"/>
        </w:rPr>
        <w:t> (I)</w:t>
      </w:r>
      <w:r w:rsidR="003D7572" w:rsidRPr="004676F5">
        <w:rPr>
          <w:bCs/>
          <w:i/>
          <w:iCs/>
          <w:lang w:val="de-DE"/>
        </w:rPr>
        <w:t xml:space="preserve"> (B.S. vom 11. Dezember 2023); </w:t>
      </w:r>
      <w:r w:rsidR="00BD488E" w:rsidRPr="004676F5">
        <w:rPr>
          <w:bCs/>
          <w:i/>
          <w:iCs/>
          <w:lang w:val="de-DE"/>
        </w:rPr>
        <w:t xml:space="preserve">einziger Absatz Nr. 5/2 eingefügt durch Art. 5 Nr. 4 des G. vom 29. September 2020 (B.S. vom 20. November 2020); </w:t>
      </w:r>
      <w:r w:rsidR="00204FCB" w:rsidRPr="004676F5">
        <w:rPr>
          <w:bCs/>
          <w:i/>
          <w:iCs/>
          <w:lang w:val="de-DE"/>
        </w:rPr>
        <w:t xml:space="preserve">einziger Absatz Nr. 5/2 </w:t>
      </w:r>
      <w:r w:rsidR="002639C1" w:rsidRPr="004676F5">
        <w:rPr>
          <w:bCs/>
          <w:i/>
          <w:iCs/>
          <w:lang w:val="de-DE"/>
        </w:rPr>
        <w:t xml:space="preserve">einziger Absatz </w:t>
      </w:r>
      <w:r w:rsidR="00204FCB" w:rsidRPr="004676F5">
        <w:rPr>
          <w:bCs/>
          <w:i/>
          <w:iCs/>
          <w:lang w:val="de-DE"/>
        </w:rPr>
        <w:t>einleitende Bestimmung abgeändert durch Art. 28 Nr. 2 des G. vom 25. September 2022 (B.S. vom 16. Januar 2023); einziger Absatz Nr. 5/3 eingefügt durch Art. 28 Nr. 3 des G. vom 25. September 2022 (B.S. vom 16. Januar 2023)</w:t>
      </w:r>
      <w:r w:rsidR="003D7572" w:rsidRPr="004676F5">
        <w:rPr>
          <w:bCs/>
          <w:i/>
          <w:iCs/>
          <w:lang w:val="de-DE"/>
        </w:rPr>
        <w:t>; einziger Absatz Nr. 5/3 Abs. 2 Nr. 4 abgeändert durch Art. 30 Nr. 3 des G. vom 5. November 2023</w:t>
      </w:r>
      <w:r w:rsidR="003519CA" w:rsidRPr="004676F5">
        <w:rPr>
          <w:bCs/>
          <w:i/>
          <w:iCs/>
          <w:lang w:val="de-DE"/>
        </w:rPr>
        <w:t xml:space="preserve"> (I)</w:t>
      </w:r>
      <w:r w:rsidR="003D7572" w:rsidRPr="004676F5">
        <w:rPr>
          <w:bCs/>
          <w:i/>
          <w:iCs/>
          <w:lang w:val="de-DE"/>
        </w:rPr>
        <w:t xml:space="preserve"> (B.S. vom 11. Dezember 2023)</w:t>
      </w:r>
      <w:r w:rsidR="00204FCB" w:rsidRPr="004676F5">
        <w:rPr>
          <w:bCs/>
          <w:i/>
          <w:iCs/>
          <w:lang w:val="de-DE"/>
        </w:rPr>
        <w:t>;</w:t>
      </w:r>
      <w:r w:rsidR="003D7572" w:rsidRPr="004676F5">
        <w:rPr>
          <w:bCs/>
          <w:i/>
          <w:iCs/>
          <w:lang w:val="de-DE"/>
        </w:rPr>
        <w:t xml:space="preserve"> einziger Absatz Nr. 5/3 Abs. 3 aufgehoben durch Art. 30 Nr. 4 des G. vom 5. November 2023 </w:t>
      </w:r>
      <w:r w:rsidR="003519CA" w:rsidRPr="004676F5">
        <w:rPr>
          <w:bCs/>
          <w:i/>
          <w:iCs/>
          <w:lang w:val="de-DE"/>
        </w:rPr>
        <w:t xml:space="preserve">(I) </w:t>
      </w:r>
      <w:r w:rsidR="003D7572" w:rsidRPr="004676F5">
        <w:rPr>
          <w:bCs/>
          <w:i/>
          <w:iCs/>
          <w:lang w:val="de-DE"/>
        </w:rPr>
        <w:t xml:space="preserve">(B.S. vom 11. Dezember 2023); </w:t>
      </w:r>
      <w:r w:rsidR="00BD488E" w:rsidRPr="004676F5">
        <w:rPr>
          <w:bCs/>
          <w:i/>
          <w:iCs/>
          <w:lang w:val="de-DE"/>
        </w:rPr>
        <w:t>einziger Absatz Nr. 8 ersetzt durch Art. 5 Nr. 5 des G. vom 29. September 2020 (B.S. vom 20. November 2020); einziger Absatz Nr. 9 eingefügt durch Art. 5 Nr. 6 des G. vom 29. September 2020 (B.S. vom 20. November 2020)</w:t>
      </w:r>
      <w:r w:rsidR="003D7572" w:rsidRPr="004676F5">
        <w:rPr>
          <w:bCs/>
          <w:i/>
          <w:iCs/>
          <w:lang w:val="de-DE"/>
        </w:rPr>
        <w:t>; einziger Absatz Nr. 9 Abs. 5 abgeändert durch Art. 30 Nr. 5 des G. vom 5. November 2023</w:t>
      </w:r>
      <w:r w:rsidR="003519CA" w:rsidRPr="004676F5">
        <w:rPr>
          <w:bCs/>
          <w:i/>
          <w:iCs/>
          <w:lang w:val="de-DE"/>
        </w:rPr>
        <w:t> (I)</w:t>
      </w:r>
      <w:r w:rsidR="003D7572" w:rsidRPr="004676F5">
        <w:rPr>
          <w:bCs/>
          <w:i/>
          <w:iCs/>
          <w:lang w:val="de-DE"/>
        </w:rPr>
        <w:t xml:space="preserve"> </w:t>
      </w:r>
      <w:r w:rsidR="003D7572" w:rsidRPr="004676F5">
        <w:rPr>
          <w:bCs/>
          <w:i/>
          <w:iCs/>
          <w:lang w:val="de-DE"/>
        </w:rPr>
        <w:lastRenderedPageBreak/>
        <w:t>(B.S. vom 11. Dezember 2023); einziger Absatz Nr. 9 Abs. 7 Buchstabe e) abgeändert durch Art. 30 Nr. 6 des G. vom 5. November 2023</w:t>
      </w:r>
      <w:r w:rsidR="00857EC4" w:rsidRPr="004676F5">
        <w:rPr>
          <w:bCs/>
          <w:i/>
          <w:iCs/>
          <w:lang w:val="de-DE"/>
        </w:rPr>
        <w:t xml:space="preserve"> (I)</w:t>
      </w:r>
      <w:r w:rsidR="003D7572" w:rsidRPr="004676F5">
        <w:rPr>
          <w:bCs/>
          <w:i/>
          <w:iCs/>
          <w:lang w:val="de-DE"/>
        </w:rPr>
        <w:t xml:space="preserve"> (B.S. vom 11. Dezember 2023)</w:t>
      </w:r>
      <w:r w:rsidRPr="004676F5">
        <w:rPr>
          <w:i/>
          <w:lang w:val="de-DE"/>
        </w:rPr>
        <w:t>]</w:t>
      </w:r>
    </w:p>
    <w:p w14:paraId="6833A884" w14:textId="77777777" w:rsidR="00F71E6A" w:rsidRPr="004676F5" w:rsidRDefault="00F71E6A" w:rsidP="00BE7BFA">
      <w:pPr>
        <w:jc w:val="both"/>
        <w:rPr>
          <w:lang w:val="de-DE"/>
        </w:rPr>
      </w:pPr>
    </w:p>
    <w:p w14:paraId="20D4CE36" w14:textId="77777777" w:rsidR="007F671D" w:rsidRPr="004676F5" w:rsidRDefault="007F671D" w:rsidP="00BE7BFA">
      <w:pPr>
        <w:jc w:val="both"/>
        <w:rPr>
          <w:lang w:val="de-DE"/>
        </w:rPr>
      </w:pPr>
    </w:p>
    <w:p w14:paraId="79FC9EE1" w14:textId="2B0EE985" w:rsidR="007F671D" w:rsidRPr="004676F5" w:rsidRDefault="007F671D" w:rsidP="00BD488E">
      <w:pPr>
        <w:ind w:firstLine="708"/>
        <w:jc w:val="both"/>
        <w:rPr>
          <w:lang w:val="de-DE"/>
        </w:rPr>
      </w:pPr>
      <w:r w:rsidRPr="004676F5">
        <w:rPr>
          <w:lang w:val="de-DE"/>
        </w:rPr>
        <w:t>[</w:t>
      </w:r>
      <w:r w:rsidR="00BE0A56" w:rsidRPr="004676F5">
        <w:rPr>
          <w:b/>
          <w:lang w:val="de-DE"/>
        </w:rPr>
        <w:t>Art. </w:t>
      </w:r>
      <w:r w:rsidRPr="004676F5">
        <w:rPr>
          <w:b/>
          <w:lang w:val="de-DE"/>
        </w:rPr>
        <w:t>XV.3/1</w:t>
      </w:r>
      <w:r w:rsidRPr="004676F5">
        <w:rPr>
          <w:lang w:val="de-DE"/>
        </w:rPr>
        <w:t> </w:t>
      </w:r>
      <w:r w:rsidR="005B7A5C" w:rsidRPr="004676F5">
        <w:rPr>
          <w:lang w:val="de-DE"/>
        </w:rPr>
        <w:t>- </w:t>
      </w:r>
      <w:r w:rsidR="00BD488E" w:rsidRPr="004676F5">
        <w:rPr>
          <w:lang w:val="de-DE"/>
        </w:rPr>
        <w:t>[...]</w:t>
      </w:r>
      <w:r w:rsidRPr="004676F5">
        <w:rPr>
          <w:lang w:val="de-DE"/>
        </w:rPr>
        <w:t>]</w:t>
      </w:r>
    </w:p>
    <w:p w14:paraId="6B681F49" w14:textId="77777777" w:rsidR="007F671D" w:rsidRPr="004676F5" w:rsidRDefault="007F671D" w:rsidP="00BE7BFA">
      <w:pPr>
        <w:jc w:val="both"/>
        <w:rPr>
          <w:lang w:val="de-DE"/>
        </w:rPr>
      </w:pPr>
    </w:p>
    <w:p w14:paraId="148535F9" w14:textId="107F0BD9" w:rsidR="007F671D" w:rsidRPr="004676F5" w:rsidRDefault="007F671D" w:rsidP="00BE7BFA">
      <w:pPr>
        <w:jc w:val="both"/>
        <w:rPr>
          <w:i/>
          <w:lang w:val="de-DE"/>
        </w:rPr>
      </w:pPr>
      <w:r w:rsidRPr="004676F5">
        <w:rPr>
          <w:i/>
          <w:lang w:val="de-DE"/>
        </w:rPr>
        <w:t>[</w:t>
      </w:r>
      <w:r w:rsidR="00BE0A56" w:rsidRPr="004676F5">
        <w:rPr>
          <w:i/>
          <w:lang w:val="de-DE"/>
        </w:rPr>
        <w:t>Art. </w:t>
      </w:r>
      <w:r w:rsidRPr="004676F5">
        <w:rPr>
          <w:i/>
          <w:lang w:val="de-DE"/>
        </w:rPr>
        <w:t xml:space="preserve">XV.3/1 eingefügt durch </w:t>
      </w:r>
      <w:r w:rsidR="00BE0A56" w:rsidRPr="004676F5">
        <w:rPr>
          <w:i/>
          <w:lang w:val="de-DE"/>
        </w:rPr>
        <w:t>Art. </w:t>
      </w:r>
      <w:r w:rsidRPr="004676F5">
        <w:rPr>
          <w:i/>
          <w:lang w:val="de-DE"/>
        </w:rPr>
        <w:t>37 des G. vom 29. Juni 2016 (B.S. vom 6. Juli 2016)</w:t>
      </w:r>
      <w:r w:rsidR="00BD488E" w:rsidRPr="004676F5">
        <w:rPr>
          <w:i/>
          <w:lang w:val="de-DE"/>
        </w:rPr>
        <w:t xml:space="preserve"> und aufgehoben durch Art. 6</w:t>
      </w:r>
      <w:r w:rsidR="00BD488E" w:rsidRPr="004676F5">
        <w:rPr>
          <w:bCs/>
          <w:i/>
          <w:iCs/>
          <w:lang w:val="de-DE"/>
        </w:rPr>
        <w:t xml:space="preserve"> des G. vom 29. September 2020 (B.S. vom 20. November 2020)</w:t>
      </w:r>
      <w:r w:rsidRPr="004676F5">
        <w:rPr>
          <w:i/>
          <w:lang w:val="de-DE"/>
        </w:rPr>
        <w:t>]</w:t>
      </w:r>
    </w:p>
    <w:p w14:paraId="55744E13" w14:textId="77777777" w:rsidR="007F671D" w:rsidRPr="004676F5" w:rsidRDefault="007F671D" w:rsidP="00BE7BFA">
      <w:pPr>
        <w:jc w:val="both"/>
        <w:rPr>
          <w:lang w:val="de-DE"/>
        </w:rPr>
      </w:pPr>
    </w:p>
    <w:p w14:paraId="69E406B7" w14:textId="77777777" w:rsidR="00BE7BFA" w:rsidRPr="004676F5" w:rsidRDefault="00BE7BFA" w:rsidP="00BE7BFA">
      <w:pPr>
        <w:jc w:val="both"/>
        <w:rPr>
          <w:lang w:val="de-DE"/>
        </w:rPr>
      </w:pPr>
    </w:p>
    <w:p w14:paraId="6BE2962F" w14:textId="6B4A1301" w:rsidR="00BA2266" w:rsidRPr="004676F5" w:rsidRDefault="00BE0A56" w:rsidP="00BA2266">
      <w:pPr>
        <w:ind w:firstLine="708"/>
        <w:jc w:val="both"/>
        <w:rPr>
          <w:lang w:val="de-DE"/>
        </w:rPr>
      </w:pPr>
      <w:r w:rsidRPr="004676F5">
        <w:rPr>
          <w:b/>
          <w:lang w:val="de-DE"/>
        </w:rPr>
        <w:t>Art. </w:t>
      </w:r>
      <w:r w:rsidR="00BA2266" w:rsidRPr="004676F5">
        <w:rPr>
          <w:b/>
          <w:lang w:val="de-DE"/>
        </w:rPr>
        <w:t>XV.4</w:t>
      </w:r>
      <w:r w:rsidR="00BA2266" w:rsidRPr="004676F5">
        <w:rPr>
          <w:lang w:val="de-DE"/>
        </w:rPr>
        <w:t> </w:t>
      </w:r>
      <w:r w:rsidR="005B7A5C" w:rsidRPr="004676F5">
        <w:rPr>
          <w:lang w:val="de-DE"/>
        </w:rPr>
        <w:t>- </w:t>
      </w:r>
      <w:r w:rsidR="00BA2266" w:rsidRPr="004676F5">
        <w:rPr>
          <w:lang w:val="de-DE"/>
        </w:rPr>
        <w:t>§ 1 </w:t>
      </w:r>
      <w:r w:rsidR="005B7A5C" w:rsidRPr="004676F5">
        <w:rPr>
          <w:lang w:val="de-DE"/>
        </w:rPr>
        <w:t>- </w:t>
      </w:r>
      <w:r w:rsidR="00BA2266" w:rsidRPr="004676F5">
        <w:rPr>
          <w:lang w:val="de-DE"/>
        </w:rPr>
        <w:t xml:space="preserve">Zur Ermittlung und Feststellung der in Artikel XV.2 § 1 erwähnten Verstöße sind die in Artikel XV.2 erwähnten Bediensteten auch befugt, Feststellungen anhand von Bildmaterial ungeachtet des Bildträgers und anhand von Aufzeichnungen von öffentlichen Fernmeldeverbindungen oder Gesprächen </w:t>
      </w:r>
      <w:r w:rsidR="003D7572" w:rsidRPr="004676F5">
        <w:rPr>
          <w:lang w:val="de-DE"/>
        </w:rPr>
        <w:t>[oder von Gesprächen zu machen, an denen ein in Artikel XV.2 erwähnter Bediensteter in Ausübung seines Amtes selbst teilnimmt]</w:t>
      </w:r>
      <w:r w:rsidR="00BA2266" w:rsidRPr="004676F5">
        <w:rPr>
          <w:lang w:val="de-DE"/>
        </w:rPr>
        <w:t>.</w:t>
      </w:r>
    </w:p>
    <w:p w14:paraId="6EA88501" w14:textId="77777777" w:rsidR="00BA2266" w:rsidRPr="004676F5" w:rsidRDefault="00BA2266" w:rsidP="00BA2266">
      <w:pPr>
        <w:jc w:val="both"/>
        <w:rPr>
          <w:lang w:val="de-DE"/>
        </w:rPr>
      </w:pPr>
    </w:p>
    <w:p w14:paraId="520361FC" w14:textId="3CF69D9D" w:rsidR="00BA2266" w:rsidRPr="004676F5" w:rsidRDefault="00BA2266" w:rsidP="00BA2266">
      <w:pPr>
        <w:ind w:firstLine="708"/>
        <w:jc w:val="both"/>
        <w:rPr>
          <w:lang w:val="de-DE"/>
        </w:rPr>
      </w:pPr>
      <w:r w:rsidRPr="004676F5">
        <w:rPr>
          <w:lang w:val="de-DE"/>
        </w:rPr>
        <w:t>§ 2 </w:t>
      </w:r>
      <w:r w:rsidR="005B7A5C" w:rsidRPr="004676F5">
        <w:rPr>
          <w:lang w:val="de-DE"/>
        </w:rPr>
        <w:t>- </w:t>
      </w:r>
      <w:r w:rsidRPr="004676F5">
        <w:rPr>
          <w:lang w:val="de-DE"/>
        </w:rPr>
        <w:t>In bewohnten Räumlichkeiten dürfen die in Artikel XV.2 erwähnten Bediensteten nur Feststellungen anhand von Bildmaterial und/oder Tonaufzeichnungen ungeachtet des Trägers unter der Bedingung machen, dass sie dazu über eine vom Untersuchungsrichter ausgestellte Ermächtigung verfügen.</w:t>
      </w:r>
    </w:p>
    <w:p w14:paraId="66D2ECAB" w14:textId="77777777" w:rsidR="00BA2266" w:rsidRPr="004676F5" w:rsidRDefault="00BA2266" w:rsidP="00BA2266">
      <w:pPr>
        <w:rPr>
          <w:lang w:val="de-DE"/>
        </w:rPr>
      </w:pPr>
    </w:p>
    <w:p w14:paraId="44CE3A15" w14:textId="77777777" w:rsidR="00BA2266" w:rsidRPr="004676F5" w:rsidRDefault="00BA2266" w:rsidP="00BA2266">
      <w:pPr>
        <w:ind w:firstLine="708"/>
        <w:jc w:val="both"/>
        <w:rPr>
          <w:lang w:val="de-DE"/>
        </w:rPr>
      </w:pPr>
      <w:r w:rsidRPr="004676F5">
        <w:rPr>
          <w:lang w:val="de-DE"/>
        </w:rPr>
        <w:t>Der Antrag, den ein in Artikel XV.2 erwähnter Bediensteter an den Untersuchungs</w:t>
      </w:r>
      <w:r w:rsidRPr="004676F5">
        <w:rPr>
          <w:lang w:val="de-DE"/>
        </w:rPr>
        <w:softHyphen/>
        <w:t>richter richtet, umfasst zumindest Folgendes:</w:t>
      </w:r>
    </w:p>
    <w:p w14:paraId="369708ED" w14:textId="77777777" w:rsidR="00BA2266" w:rsidRPr="004676F5" w:rsidRDefault="00BA2266" w:rsidP="00BA2266">
      <w:pPr>
        <w:jc w:val="both"/>
        <w:rPr>
          <w:lang w:val="de-DE"/>
        </w:rPr>
      </w:pPr>
    </w:p>
    <w:p w14:paraId="5B3E4902" w14:textId="77777777" w:rsidR="00BA2266" w:rsidRPr="004676F5" w:rsidRDefault="00BA2266" w:rsidP="00BA2266">
      <w:pPr>
        <w:ind w:firstLine="708"/>
        <w:jc w:val="both"/>
        <w:rPr>
          <w:lang w:val="de-DE"/>
        </w:rPr>
      </w:pPr>
      <w:r w:rsidRPr="004676F5">
        <w:rPr>
          <w:lang w:val="de-DE"/>
        </w:rPr>
        <w:t>1. sofern es möglich ist, Identifizierung der Personen, auf die der Antrag sich bezieht,</w:t>
      </w:r>
    </w:p>
    <w:p w14:paraId="7F83B48E" w14:textId="77777777" w:rsidR="00BA2266" w:rsidRPr="004676F5" w:rsidRDefault="00BA2266" w:rsidP="00BA2266">
      <w:pPr>
        <w:jc w:val="both"/>
        <w:rPr>
          <w:lang w:val="de-DE"/>
        </w:rPr>
      </w:pPr>
    </w:p>
    <w:p w14:paraId="7AB29BD3" w14:textId="77777777" w:rsidR="00BA2266" w:rsidRPr="004676F5" w:rsidRDefault="00BA2266" w:rsidP="00BA2266">
      <w:pPr>
        <w:ind w:firstLine="708"/>
        <w:jc w:val="both"/>
        <w:rPr>
          <w:lang w:val="de-DE"/>
        </w:rPr>
      </w:pPr>
      <w:r w:rsidRPr="004676F5">
        <w:rPr>
          <w:lang w:val="de-DE"/>
        </w:rPr>
        <w:t>2. anwendbare Rechtsvorschriften und betroffene Verstöße,</w:t>
      </w:r>
    </w:p>
    <w:p w14:paraId="3110F1C1" w14:textId="77777777" w:rsidR="00BA2266" w:rsidRPr="004676F5" w:rsidRDefault="00BA2266" w:rsidP="00BA2266">
      <w:pPr>
        <w:jc w:val="both"/>
        <w:rPr>
          <w:lang w:val="de-DE"/>
        </w:rPr>
      </w:pPr>
    </w:p>
    <w:p w14:paraId="72173594" w14:textId="77777777" w:rsidR="00BA2266" w:rsidRPr="004676F5" w:rsidRDefault="00BA2266" w:rsidP="00BA2266">
      <w:pPr>
        <w:ind w:firstLine="708"/>
        <w:jc w:val="both"/>
        <w:rPr>
          <w:lang w:val="de-DE"/>
        </w:rPr>
      </w:pPr>
      <w:r w:rsidRPr="004676F5">
        <w:rPr>
          <w:lang w:val="de-DE"/>
        </w:rPr>
        <w:t>3. alle Unterlagen und Auskünfte, aus denen hervorgeht, dass der Rückgriff auf dieses Mittel notwendig ist.</w:t>
      </w:r>
    </w:p>
    <w:p w14:paraId="7F6F5F01" w14:textId="77777777" w:rsidR="00BA2266" w:rsidRPr="004676F5" w:rsidRDefault="00BA2266" w:rsidP="00BA2266">
      <w:pPr>
        <w:jc w:val="both"/>
        <w:rPr>
          <w:lang w:val="de-DE"/>
        </w:rPr>
      </w:pPr>
    </w:p>
    <w:p w14:paraId="6E9CAD76" w14:textId="08189A47" w:rsidR="00BA2266" w:rsidRPr="004676F5" w:rsidRDefault="00BA2266" w:rsidP="00BA2266">
      <w:pPr>
        <w:ind w:firstLine="708"/>
        <w:jc w:val="both"/>
        <w:rPr>
          <w:lang w:val="de-DE"/>
        </w:rPr>
      </w:pPr>
      <w:r w:rsidRPr="004676F5">
        <w:rPr>
          <w:lang w:val="de-DE"/>
        </w:rPr>
        <w:t>§ 3 </w:t>
      </w:r>
      <w:r w:rsidR="005B7A5C" w:rsidRPr="004676F5">
        <w:rPr>
          <w:lang w:val="de-DE"/>
        </w:rPr>
        <w:t>- </w:t>
      </w:r>
      <w:r w:rsidRPr="004676F5">
        <w:rPr>
          <w:lang w:val="de-DE"/>
        </w:rPr>
        <w:t xml:space="preserve">Feststellungen, die in Artikel XV.2 erwähnte Bedienstete anhand des von ihnen aufgenommenen </w:t>
      </w:r>
      <w:r w:rsidR="003D7572" w:rsidRPr="004676F5">
        <w:rPr>
          <w:lang w:val="de-DE"/>
        </w:rPr>
        <w:t>[Bild- und/oder Tonmaterials]</w:t>
      </w:r>
      <w:r w:rsidRPr="004676F5">
        <w:rPr>
          <w:lang w:val="de-DE"/>
        </w:rPr>
        <w:t xml:space="preserve"> gemacht haben, haben Beweiskraft bis zum Beweis des Gegenteils, sofern nachfolgende Bedingungen erfüllt sind:</w:t>
      </w:r>
    </w:p>
    <w:p w14:paraId="0BB76AB3" w14:textId="77777777" w:rsidR="00BA2266" w:rsidRPr="004676F5" w:rsidRDefault="00BA2266" w:rsidP="00BA2266">
      <w:pPr>
        <w:ind w:firstLine="708"/>
        <w:jc w:val="both"/>
        <w:rPr>
          <w:lang w:val="de-DE"/>
        </w:rPr>
      </w:pPr>
    </w:p>
    <w:p w14:paraId="16851EFC" w14:textId="77777777" w:rsidR="00BA2266" w:rsidRPr="004676F5" w:rsidRDefault="00BA2266" w:rsidP="00BA2266">
      <w:pPr>
        <w:ind w:firstLine="708"/>
        <w:jc w:val="both"/>
        <w:rPr>
          <w:lang w:val="de-DE"/>
        </w:rPr>
      </w:pPr>
      <w:r w:rsidRPr="004676F5">
        <w:rPr>
          <w:lang w:val="de-DE"/>
        </w:rPr>
        <w:t>1. Über die Feststellungen muss ein Protokoll zur Feststellung eines Verstoßes anhand von Bildmaterial erstellt worden sein, das folgende Daten enthalten muss:</w:t>
      </w:r>
    </w:p>
    <w:p w14:paraId="0C0267BE" w14:textId="77777777" w:rsidR="00BA2266" w:rsidRPr="004676F5" w:rsidRDefault="00BA2266" w:rsidP="00BA2266">
      <w:pPr>
        <w:jc w:val="both"/>
        <w:rPr>
          <w:lang w:val="de-DE"/>
        </w:rPr>
      </w:pPr>
    </w:p>
    <w:p w14:paraId="53528E5B" w14:textId="006A2415" w:rsidR="00BA2266" w:rsidRPr="004676F5" w:rsidRDefault="00BA2266" w:rsidP="00BA2266">
      <w:pPr>
        <w:ind w:firstLine="708"/>
        <w:jc w:val="both"/>
        <w:rPr>
          <w:lang w:val="de-DE"/>
        </w:rPr>
      </w:pPr>
      <w:r w:rsidRPr="004676F5">
        <w:rPr>
          <w:i/>
          <w:lang w:val="de-DE"/>
        </w:rPr>
        <w:t>a)</w:t>
      </w:r>
      <w:r w:rsidRPr="004676F5">
        <w:rPr>
          <w:lang w:val="de-DE"/>
        </w:rPr>
        <w:t xml:space="preserve"> Identität des Bediensteten, der das </w:t>
      </w:r>
      <w:r w:rsidR="003D7572" w:rsidRPr="004676F5">
        <w:rPr>
          <w:lang w:val="de-DE"/>
        </w:rPr>
        <w:t>[Bild- und/oder Tonmaterial]</w:t>
      </w:r>
      <w:r w:rsidRPr="004676F5">
        <w:rPr>
          <w:lang w:val="de-DE"/>
        </w:rPr>
        <w:t xml:space="preserve"> aufgenommen hat,</w:t>
      </w:r>
    </w:p>
    <w:p w14:paraId="212C2AF4" w14:textId="77777777" w:rsidR="00BA2266" w:rsidRPr="004676F5" w:rsidRDefault="00BA2266" w:rsidP="00BA2266">
      <w:pPr>
        <w:jc w:val="both"/>
        <w:rPr>
          <w:lang w:val="de-DE"/>
        </w:rPr>
      </w:pPr>
    </w:p>
    <w:p w14:paraId="367889B7" w14:textId="665FFFD9" w:rsidR="00BA2266" w:rsidRPr="004676F5" w:rsidRDefault="00BA2266" w:rsidP="00BA2266">
      <w:pPr>
        <w:ind w:firstLine="708"/>
        <w:jc w:val="both"/>
        <w:rPr>
          <w:lang w:val="de-DE"/>
        </w:rPr>
      </w:pPr>
      <w:r w:rsidRPr="004676F5">
        <w:rPr>
          <w:i/>
          <w:lang w:val="de-DE"/>
        </w:rPr>
        <w:t>b)</w:t>
      </w:r>
      <w:r w:rsidRPr="004676F5">
        <w:rPr>
          <w:lang w:val="de-DE"/>
        </w:rPr>
        <w:t xml:space="preserve"> Tag, Datum, Uhrzeit und genaue Beschreibung des Ortes, wo das </w:t>
      </w:r>
      <w:r w:rsidR="003D7572" w:rsidRPr="004676F5">
        <w:rPr>
          <w:lang w:val="de-DE"/>
        </w:rPr>
        <w:t xml:space="preserve">[Bild- und/oder Tonmaterial] </w:t>
      </w:r>
      <w:r w:rsidRPr="004676F5">
        <w:rPr>
          <w:lang w:val="de-DE"/>
        </w:rPr>
        <w:t>aufgenommen worden ist,</w:t>
      </w:r>
    </w:p>
    <w:p w14:paraId="4947F85D" w14:textId="77777777" w:rsidR="00BA2266" w:rsidRPr="004676F5" w:rsidRDefault="00BA2266" w:rsidP="00BA2266">
      <w:pPr>
        <w:jc w:val="both"/>
        <w:rPr>
          <w:i/>
          <w:lang w:val="de-DE"/>
        </w:rPr>
      </w:pPr>
    </w:p>
    <w:p w14:paraId="690FDB2E" w14:textId="67889292" w:rsidR="00BA2266" w:rsidRPr="004676F5" w:rsidRDefault="00BA2266" w:rsidP="00BA2266">
      <w:pPr>
        <w:ind w:firstLine="708"/>
        <w:jc w:val="both"/>
        <w:rPr>
          <w:lang w:val="de-DE"/>
        </w:rPr>
      </w:pPr>
      <w:r w:rsidRPr="004676F5">
        <w:rPr>
          <w:i/>
          <w:lang w:val="de-DE"/>
        </w:rPr>
        <w:t>c)</w:t>
      </w:r>
      <w:r w:rsidRPr="004676F5">
        <w:rPr>
          <w:lang w:val="de-DE"/>
        </w:rPr>
        <w:t xml:space="preserve"> vollständige Identifizierung der technischen Mittel, mit denen das </w:t>
      </w:r>
      <w:r w:rsidR="003D7572" w:rsidRPr="004676F5">
        <w:rPr>
          <w:lang w:val="de-DE"/>
        </w:rPr>
        <w:t xml:space="preserve">[Bild- und/oder Tonmaterial] </w:t>
      </w:r>
      <w:r w:rsidRPr="004676F5">
        <w:rPr>
          <w:lang w:val="de-DE"/>
        </w:rPr>
        <w:t>aufgenommen worden ist,</w:t>
      </w:r>
    </w:p>
    <w:p w14:paraId="205853EC" w14:textId="77777777" w:rsidR="00BA2266" w:rsidRPr="004676F5" w:rsidRDefault="00BA2266" w:rsidP="00BA2266">
      <w:pPr>
        <w:jc w:val="both"/>
        <w:rPr>
          <w:lang w:val="de-DE"/>
        </w:rPr>
      </w:pPr>
    </w:p>
    <w:p w14:paraId="779840E6" w14:textId="1F14E66A" w:rsidR="00BA2266" w:rsidRPr="004676F5" w:rsidRDefault="00BA2266" w:rsidP="00BA2266">
      <w:pPr>
        <w:ind w:firstLine="708"/>
        <w:jc w:val="both"/>
        <w:rPr>
          <w:lang w:val="de-DE"/>
        </w:rPr>
      </w:pPr>
      <w:r w:rsidRPr="004676F5">
        <w:rPr>
          <w:i/>
          <w:lang w:val="de-DE"/>
        </w:rPr>
        <w:t>d)</w:t>
      </w:r>
      <w:r w:rsidRPr="004676F5">
        <w:rPr>
          <w:lang w:val="de-DE"/>
        </w:rPr>
        <w:t xml:space="preserve"> Beschreibung von dem, was auf dem betreffenden Bildmaterial zu sehen </w:t>
      </w:r>
      <w:r w:rsidR="003D7572" w:rsidRPr="004676F5">
        <w:rPr>
          <w:lang w:val="de-DE"/>
        </w:rPr>
        <w:t xml:space="preserve">[oder dem betreffenden Tonmaterial zu hören] </w:t>
      </w:r>
      <w:r w:rsidRPr="004676F5">
        <w:rPr>
          <w:lang w:val="de-DE"/>
        </w:rPr>
        <w:t>ist, und Zusammenhang mit dem festgestellten Verstoß,</w:t>
      </w:r>
    </w:p>
    <w:p w14:paraId="26FEB24A" w14:textId="77777777" w:rsidR="00BA2266" w:rsidRPr="004676F5" w:rsidRDefault="00BA2266" w:rsidP="00BA2266">
      <w:pPr>
        <w:jc w:val="both"/>
        <w:rPr>
          <w:lang w:val="de-DE"/>
        </w:rPr>
      </w:pPr>
    </w:p>
    <w:p w14:paraId="140A88BE" w14:textId="77777777" w:rsidR="00BA2266" w:rsidRPr="004676F5" w:rsidRDefault="00BA2266" w:rsidP="00BA2266">
      <w:pPr>
        <w:ind w:firstLine="708"/>
        <w:jc w:val="both"/>
        <w:rPr>
          <w:lang w:val="de-DE"/>
        </w:rPr>
      </w:pPr>
      <w:r w:rsidRPr="004676F5">
        <w:rPr>
          <w:i/>
          <w:lang w:val="de-DE"/>
        </w:rPr>
        <w:lastRenderedPageBreak/>
        <w:t>e)</w:t>
      </w:r>
      <w:r w:rsidRPr="004676F5">
        <w:rPr>
          <w:lang w:val="de-DE"/>
        </w:rPr>
        <w:t xml:space="preserve"> handelt es sich um eine Detailaufnahme, Hinweis auf dem Bildmaterial, anhand dessen der Maßstab festgestellt werden kann,</w:t>
      </w:r>
    </w:p>
    <w:p w14:paraId="732C9BEA" w14:textId="77777777" w:rsidR="00BA2266" w:rsidRPr="004676F5" w:rsidRDefault="00BA2266" w:rsidP="00BA2266">
      <w:pPr>
        <w:jc w:val="both"/>
        <w:rPr>
          <w:lang w:val="de-DE"/>
        </w:rPr>
      </w:pPr>
    </w:p>
    <w:p w14:paraId="1166575F" w14:textId="77777777" w:rsidR="00BA2266" w:rsidRPr="004676F5" w:rsidRDefault="00BA2266" w:rsidP="00BA2266">
      <w:pPr>
        <w:ind w:firstLine="708"/>
        <w:jc w:val="both"/>
        <w:rPr>
          <w:lang w:val="de-DE"/>
        </w:rPr>
      </w:pPr>
      <w:r w:rsidRPr="004676F5">
        <w:rPr>
          <w:i/>
          <w:lang w:val="de-DE"/>
        </w:rPr>
        <w:t>f)</w:t>
      </w:r>
      <w:r w:rsidRPr="004676F5">
        <w:rPr>
          <w:lang w:val="de-DE"/>
        </w:rPr>
        <w:t xml:space="preserve"> Reproduktion des Bildmaterials oder, falls dies nicht möglich ist, Kopie auf einem Träger als Anlage zum Protokoll und vollständige Angabe sämtlicher technischer Spezifikationen, die zum Anschauen der Kopie dieses Bildmaterials notwendig sind,</w:t>
      </w:r>
    </w:p>
    <w:p w14:paraId="1E3298A0" w14:textId="77777777" w:rsidR="00BA2266" w:rsidRPr="004676F5" w:rsidRDefault="00BA2266" w:rsidP="00BA2266">
      <w:pPr>
        <w:jc w:val="both"/>
        <w:rPr>
          <w:lang w:val="de-DE"/>
        </w:rPr>
      </w:pPr>
    </w:p>
    <w:p w14:paraId="1616060C" w14:textId="445E7273" w:rsidR="00BA2266" w:rsidRPr="004676F5" w:rsidRDefault="00BA2266" w:rsidP="00BA2266">
      <w:pPr>
        <w:ind w:firstLine="708"/>
        <w:jc w:val="both"/>
        <w:rPr>
          <w:lang w:val="de-DE"/>
        </w:rPr>
      </w:pPr>
      <w:r w:rsidRPr="004676F5">
        <w:rPr>
          <w:i/>
          <w:lang w:val="de-DE"/>
        </w:rPr>
        <w:t>g)</w:t>
      </w:r>
      <w:r w:rsidRPr="004676F5">
        <w:rPr>
          <w:lang w:val="de-DE"/>
        </w:rPr>
        <w:t xml:space="preserve"> wenn es mehrere Reproduktionen oder mehrere Träger gibt, Nummerierung dieser Reproduktionen oder Träger, die ebenfalls in der entsprechenden Beschreibung von dem, was auf dem Bildmaterial zu sehen </w:t>
      </w:r>
      <w:r w:rsidR="003D7572" w:rsidRPr="004676F5">
        <w:rPr>
          <w:lang w:val="de-DE"/>
        </w:rPr>
        <w:t xml:space="preserve">[oder dem Tonmaterial zu hören] </w:t>
      </w:r>
      <w:r w:rsidRPr="004676F5">
        <w:rPr>
          <w:lang w:val="de-DE"/>
        </w:rPr>
        <w:t>ist, im Protokoll vorhanden sein muss.</w:t>
      </w:r>
    </w:p>
    <w:p w14:paraId="65F2BE9E" w14:textId="77777777" w:rsidR="00BA2266" w:rsidRPr="004676F5" w:rsidRDefault="00BA2266" w:rsidP="00BA2266">
      <w:pPr>
        <w:jc w:val="both"/>
        <w:rPr>
          <w:lang w:val="de-DE"/>
        </w:rPr>
      </w:pPr>
    </w:p>
    <w:p w14:paraId="2C879F72" w14:textId="77777777" w:rsidR="00BA2266" w:rsidRPr="004676F5" w:rsidRDefault="00BA2266" w:rsidP="00BA2266">
      <w:pPr>
        <w:ind w:firstLine="708"/>
        <w:jc w:val="both"/>
        <w:rPr>
          <w:lang w:val="de-DE"/>
        </w:rPr>
      </w:pPr>
      <w:r w:rsidRPr="004676F5">
        <w:rPr>
          <w:lang w:val="de-DE"/>
        </w:rPr>
        <w:t>2. Je nach Fall muss der ursprüngliche Träger des Bildmaterials von der Verwaltung, der der Bedienstete angehört, der das Bildmaterial aufgenommen hat, aufbewahrt werden:</w:t>
      </w:r>
    </w:p>
    <w:p w14:paraId="69FCAF67" w14:textId="77777777" w:rsidR="00BA2266" w:rsidRPr="004676F5" w:rsidRDefault="00BA2266" w:rsidP="00BA2266">
      <w:pPr>
        <w:jc w:val="both"/>
        <w:rPr>
          <w:lang w:val="de-DE"/>
        </w:rPr>
      </w:pPr>
    </w:p>
    <w:p w14:paraId="1DE1FE34" w14:textId="77777777" w:rsidR="00BA2266" w:rsidRPr="004676F5" w:rsidRDefault="00BA2266" w:rsidP="00BA2266">
      <w:pPr>
        <w:ind w:firstLine="708"/>
        <w:jc w:val="both"/>
        <w:rPr>
          <w:lang w:val="de-DE"/>
        </w:rPr>
      </w:pPr>
      <w:r w:rsidRPr="004676F5">
        <w:rPr>
          <w:i/>
          <w:lang w:val="de-DE"/>
        </w:rPr>
        <w:t>a)</w:t>
      </w:r>
      <w:r w:rsidRPr="004676F5">
        <w:rPr>
          <w:lang w:val="de-DE"/>
        </w:rPr>
        <w:t xml:space="preserve"> bis eine gerichtliche Entscheidung zur Beendigung der Verfolgung des Verstoßes formell rechtskräftig geworden ist,</w:t>
      </w:r>
    </w:p>
    <w:p w14:paraId="01E1C711" w14:textId="77777777" w:rsidR="00BA2266" w:rsidRPr="004676F5" w:rsidRDefault="00BA2266" w:rsidP="00BA2266">
      <w:pPr>
        <w:jc w:val="both"/>
        <w:rPr>
          <w:lang w:val="de-DE"/>
        </w:rPr>
      </w:pPr>
    </w:p>
    <w:p w14:paraId="4D9E972A" w14:textId="77777777" w:rsidR="00BA2266" w:rsidRPr="004676F5" w:rsidRDefault="00BA2266" w:rsidP="00BA2266">
      <w:pPr>
        <w:ind w:firstLine="708"/>
        <w:jc w:val="both"/>
        <w:rPr>
          <w:lang w:val="de-DE"/>
        </w:rPr>
      </w:pPr>
      <w:r w:rsidRPr="004676F5">
        <w:rPr>
          <w:i/>
          <w:lang w:val="de-DE"/>
        </w:rPr>
        <w:t>b)</w:t>
      </w:r>
      <w:r w:rsidRPr="004676F5">
        <w:rPr>
          <w:lang w:val="de-DE"/>
        </w:rPr>
        <w:t xml:space="preserve"> bis zur Annahme des in Artikel XV.61 erwähnten Vergleichsvorschlags,</w:t>
      </w:r>
    </w:p>
    <w:p w14:paraId="581A04BE" w14:textId="77777777" w:rsidR="00BA2266" w:rsidRPr="004676F5" w:rsidRDefault="00BA2266" w:rsidP="00BA2266">
      <w:pPr>
        <w:rPr>
          <w:lang w:val="de-DE"/>
        </w:rPr>
      </w:pPr>
    </w:p>
    <w:p w14:paraId="7934DFBC" w14:textId="77777777" w:rsidR="00BA2266" w:rsidRPr="004676F5" w:rsidRDefault="00BA2266" w:rsidP="00BA2266">
      <w:pPr>
        <w:ind w:firstLine="708"/>
        <w:jc w:val="both"/>
        <w:rPr>
          <w:lang w:val="de-DE"/>
        </w:rPr>
      </w:pPr>
      <w:r w:rsidRPr="004676F5">
        <w:rPr>
          <w:i/>
          <w:lang w:val="de-DE"/>
        </w:rPr>
        <w:t>c)</w:t>
      </w:r>
      <w:r w:rsidRPr="004676F5">
        <w:rPr>
          <w:lang w:val="de-DE"/>
        </w:rPr>
        <w:t xml:space="preserve"> bis zum Zeitpunkt, zu dem die in Artikel XV.2 erwähnten Bediensteten festgestellt haben, dass der in Artikel XV.31 erwähnten Verwarnung Folge geleistet worden ist,</w:t>
      </w:r>
    </w:p>
    <w:p w14:paraId="7C783304" w14:textId="77777777" w:rsidR="00BA2266" w:rsidRPr="004676F5" w:rsidRDefault="00BA2266" w:rsidP="00BA2266">
      <w:pPr>
        <w:jc w:val="both"/>
        <w:rPr>
          <w:lang w:val="de-DE"/>
        </w:rPr>
      </w:pPr>
    </w:p>
    <w:p w14:paraId="2A4A2D3F" w14:textId="1CEF1319" w:rsidR="00BA2266" w:rsidRPr="004676F5" w:rsidRDefault="00BA2266" w:rsidP="00BA2266">
      <w:pPr>
        <w:ind w:firstLine="708"/>
        <w:jc w:val="both"/>
        <w:rPr>
          <w:lang w:val="de-DE"/>
        </w:rPr>
      </w:pPr>
      <w:r w:rsidRPr="004676F5">
        <w:rPr>
          <w:i/>
          <w:lang w:val="de-DE"/>
        </w:rPr>
        <w:t>d)</w:t>
      </w:r>
      <w:r w:rsidRPr="004676F5">
        <w:rPr>
          <w:lang w:val="de-DE"/>
        </w:rPr>
        <w:t xml:space="preserve"> </w:t>
      </w:r>
      <w:r w:rsidR="003D7572" w:rsidRPr="004676F5">
        <w:rPr>
          <w:lang w:val="de-DE"/>
        </w:rPr>
        <w:t>[</w:t>
      </w:r>
      <w:r w:rsidRPr="004676F5">
        <w:rPr>
          <w:lang w:val="de-DE"/>
        </w:rPr>
        <w:t xml:space="preserve">bis </w:t>
      </w:r>
      <w:r w:rsidR="003D7572" w:rsidRPr="004676F5">
        <w:rPr>
          <w:lang w:val="de-DE"/>
        </w:rPr>
        <w:t>zu</w:t>
      </w:r>
      <w:r w:rsidRPr="004676F5">
        <w:rPr>
          <w:lang w:val="de-DE"/>
        </w:rPr>
        <w:t>r</w:t>
      </w:r>
      <w:r w:rsidR="003D7572" w:rsidRPr="004676F5">
        <w:rPr>
          <w:lang w:val="de-DE"/>
        </w:rPr>
        <w:t>]</w:t>
      </w:r>
      <w:r w:rsidRPr="004676F5">
        <w:rPr>
          <w:lang w:val="de-DE"/>
        </w:rPr>
        <w:t xml:space="preserve"> vollständigen Zahlung der in Artikel 216</w:t>
      </w:r>
      <w:r w:rsidRPr="004676F5">
        <w:rPr>
          <w:i/>
          <w:lang w:val="de-DE"/>
        </w:rPr>
        <w:t>bis</w:t>
      </w:r>
      <w:r w:rsidRPr="004676F5">
        <w:rPr>
          <w:lang w:val="de-DE"/>
        </w:rPr>
        <w:t xml:space="preserve"> des Strafprozess</w:t>
      </w:r>
      <w:r w:rsidRPr="004676F5">
        <w:rPr>
          <w:lang w:val="de-DE"/>
        </w:rPr>
        <w:softHyphen/>
        <w:t>gesetzbuches erwähnten Vergleichsregelung</w:t>
      </w:r>
      <w:r w:rsidR="003D7572" w:rsidRPr="004676F5">
        <w:rPr>
          <w:lang w:val="de-DE"/>
        </w:rPr>
        <w:t>,</w:t>
      </w:r>
    </w:p>
    <w:p w14:paraId="4814E57D" w14:textId="77777777" w:rsidR="003D7572" w:rsidRPr="004676F5" w:rsidRDefault="003D7572" w:rsidP="00BA2266">
      <w:pPr>
        <w:ind w:firstLine="708"/>
        <w:jc w:val="both"/>
        <w:rPr>
          <w:lang w:val="de-DE"/>
        </w:rPr>
      </w:pPr>
    </w:p>
    <w:p w14:paraId="08905B1F" w14:textId="06319404" w:rsidR="003D7572" w:rsidRPr="004676F5" w:rsidRDefault="003D7572" w:rsidP="00BA2266">
      <w:pPr>
        <w:ind w:firstLine="708"/>
        <w:jc w:val="both"/>
        <w:rPr>
          <w:lang w:val="de-DE"/>
        </w:rPr>
      </w:pPr>
      <w:r w:rsidRPr="004676F5">
        <w:rPr>
          <w:lang w:val="de-DE"/>
        </w:rPr>
        <w:t>[</w:t>
      </w:r>
      <w:r w:rsidRPr="004676F5">
        <w:rPr>
          <w:i/>
          <w:lang w:val="de-DE"/>
        </w:rPr>
        <w:t>e)</w:t>
      </w:r>
      <w:r w:rsidRPr="004676F5">
        <w:rPr>
          <w:lang w:val="de-DE"/>
        </w:rPr>
        <w:t> bis zur vollständigen Zahlung der administrativen Geldbuße wie in Artikel XV.60/16 erwähnt.]</w:t>
      </w:r>
    </w:p>
    <w:p w14:paraId="7AB6890C" w14:textId="77777777" w:rsidR="00BA2266" w:rsidRPr="004676F5" w:rsidRDefault="00BA2266" w:rsidP="00BA2266">
      <w:pPr>
        <w:jc w:val="both"/>
        <w:rPr>
          <w:lang w:val="de-DE"/>
        </w:rPr>
      </w:pPr>
    </w:p>
    <w:p w14:paraId="47B49648" w14:textId="7E142828" w:rsidR="00BA2266" w:rsidRPr="004676F5" w:rsidRDefault="00BA2266" w:rsidP="00BA2266">
      <w:pPr>
        <w:ind w:firstLine="708"/>
        <w:jc w:val="both"/>
        <w:rPr>
          <w:lang w:val="de-DE"/>
        </w:rPr>
      </w:pPr>
      <w:r w:rsidRPr="004676F5">
        <w:rPr>
          <w:lang w:val="de-DE"/>
        </w:rPr>
        <w:t xml:space="preserve">Wenn der Zuwiderhandelnde nicht auf den Vergleichsvorschlag eingeht oder den vorgeschlagenen Betrag nicht rechtzeitig zahlt und das Protokoll somit dem Prokurator des Königs übermittelt wird, wird der ursprüngliche </w:t>
      </w:r>
      <w:r w:rsidR="003D7572" w:rsidRPr="004676F5">
        <w:rPr>
          <w:lang w:val="de-DE"/>
        </w:rPr>
        <w:t xml:space="preserve">[Bild- und/oder Tonträger] </w:t>
      </w:r>
      <w:r w:rsidRPr="004676F5">
        <w:rPr>
          <w:lang w:val="de-DE"/>
        </w:rPr>
        <w:t>bis zur Verjährung der Strafver</w:t>
      </w:r>
      <w:r w:rsidRPr="004676F5">
        <w:rPr>
          <w:lang w:val="de-DE"/>
        </w:rPr>
        <w:softHyphen/>
        <w:t>folgung aufbewahrt, es sei denn, durch einen ausdrücklichen Beschluss der Staatsanwaltschaft wird eine kürzere Aufbewahrungsfrist festgelegt.</w:t>
      </w:r>
    </w:p>
    <w:p w14:paraId="75F62AFC" w14:textId="77777777" w:rsidR="00BA2266" w:rsidRPr="004676F5" w:rsidRDefault="00BA2266" w:rsidP="00BA2266">
      <w:pPr>
        <w:jc w:val="both"/>
        <w:rPr>
          <w:lang w:val="de-DE"/>
        </w:rPr>
      </w:pPr>
    </w:p>
    <w:p w14:paraId="7FDBF5C9" w14:textId="7EBF63EF" w:rsidR="00BA2266" w:rsidRPr="004676F5" w:rsidRDefault="00BA2266" w:rsidP="00BA2266">
      <w:pPr>
        <w:ind w:firstLine="708"/>
        <w:jc w:val="both"/>
        <w:rPr>
          <w:lang w:val="de-DE"/>
        </w:rPr>
      </w:pPr>
      <w:r w:rsidRPr="004676F5">
        <w:rPr>
          <w:lang w:val="de-DE"/>
        </w:rPr>
        <w:t>§ 4 </w:t>
      </w:r>
      <w:r w:rsidR="005B7A5C" w:rsidRPr="004676F5">
        <w:rPr>
          <w:lang w:val="de-DE"/>
        </w:rPr>
        <w:t>- </w:t>
      </w:r>
      <w:r w:rsidRPr="004676F5">
        <w:rPr>
          <w:lang w:val="de-DE"/>
        </w:rPr>
        <w:t xml:space="preserve">In Artikel XV.2 erwähnte Bedienstete können auch </w:t>
      </w:r>
      <w:r w:rsidR="003D7572" w:rsidRPr="004676F5">
        <w:rPr>
          <w:lang w:val="de-DE"/>
        </w:rPr>
        <w:t xml:space="preserve">[Bild- und/oder Tonmaterial] </w:t>
      </w:r>
      <w:r w:rsidRPr="004676F5">
        <w:rPr>
          <w:lang w:val="de-DE"/>
        </w:rPr>
        <w:t>von Dritten verwenden, sofern diese Personen dieses Material rechtmäßig aufgenommen oder erhalten haben.</w:t>
      </w:r>
    </w:p>
    <w:p w14:paraId="7B6EFCD6" w14:textId="77777777" w:rsidR="003D7572" w:rsidRPr="004676F5" w:rsidRDefault="003D7572" w:rsidP="003D7572">
      <w:pPr>
        <w:jc w:val="both"/>
        <w:rPr>
          <w:lang w:val="de-DE"/>
        </w:rPr>
      </w:pPr>
    </w:p>
    <w:p w14:paraId="05F06526" w14:textId="22AF7157" w:rsidR="003D7572" w:rsidRPr="004676F5" w:rsidRDefault="003D7572" w:rsidP="003D7572">
      <w:pPr>
        <w:jc w:val="both"/>
        <w:rPr>
          <w:i/>
          <w:iCs/>
          <w:lang w:val="de-DE"/>
        </w:rPr>
      </w:pPr>
      <w:r w:rsidRPr="004676F5">
        <w:rPr>
          <w:i/>
          <w:iCs/>
          <w:lang w:val="de-DE"/>
        </w:rPr>
        <w:t>[Art. XV.4 § 1 abgeändert durch Art. 31 Nr. 1 des G. vom 5. November 2023</w:t>
      </w:r>
      <w:r w:rsidR="00857EC4" w:rsidRPr="004676F5">
        <w:rPr>
          <w:i/>
          <w:iCs/>
          <w:lang w:val="de-DE"/>
        </w:rPr>
        <w:t> (I)</w:t>
      </w:r>
      <w:r w:rsidRPr="004676F5">
        <w:rPr>
          <w:i/>
          <w:iCs/>
          <w:lang w:val="de-DE"/>
        </w:rPr>
        <w:t xml:space="preserve"> (B.S. vom 11. Dezember 2023); § 3 Abs. 1 einleitende Bestimmung abgeändert durch Art. 31 Nr. 2 des G. vom 5. November 2023</w:t>
      </w:r>
      <w:r w:rsidR="00857EC4" w:rsidRPr="004676F5">
        <w:rPr>
          <w:i/>
          <w:iCs/>
          <w:lang w:val="de-DE"/>
        </w:rPr>
        <w:t> (I)</w:t>
      </w:r>
      <w:r w:rsidRPr="004676F5">
        <w:rPr>
          <w:i/>
          <w:iCs/>
          <w:lang w:val="de-DE"/>
        </w:rPr>
        <w:t xml:space="preserve"> (B.S. vom 11. Dezember 2023); § 3 Abs. 1 Nr. 1 einziger Absatz Buchstabe a) bis c) abgeändert durch Art. 31 Nr. 2 des G. vom 5. November 2023</w:t>
      </w:r>
      <w:r w:rsidR="00857EC4" w:rsidRPr="004676F5">
        <w:rPr>
          <w:i/>
          <w:iCs/>
          <w:lang w:val="de-DE"/>
        </w:rPr>
        <w:t> (I)</w:t>
      </w:r>
      <w:r w:rsidRPr="004676F5">
        <w:rPr>
          <w:i/>
          <w:iCs/>
          <w:lang w:val="de-DE"/>
        </w:rPr>
        <w:t xml:space="preserve"> (B.S. vom 11. Dezember 2023); § 3 Abs. 1 Nr. 1 einziger Absatz Buchstabe d) abgeändert durch Art.31 Nr. 5 des G. vom 5. November 2023</w:t>
      </w:r>
      <w:r w:rsidR="00857EC4" w:rsidRPr="004676F5">
        <w:rPr>
          <w:i/>
          <w:iCs/>
          <w:lang w:val="de-DE"/>
        </w:rPr>
        <w:t> (I)</w:t>
      </w:r>
      <w:r w:rsidRPr="004676F5">
        <w:rPr>
          <w:i/>
          <w:iCs/>
          <w:lang w:val="de-DE"/>
        </w:rPr>
        <w:t xml:space="preserve"> (B.S. vom 11. Dezember 2023); § 3 Abs. 1 Nr. 1 einziger Absatz Buchstabe g) abgeändert durch Art. 31 Nr. 6 des G. vom 5. November 2023</w:t>
      </w:r>
      <w:r w:rsidR="00857EC4" w:rsidRPr="004676F5">
        <w:rPr>
          <w:i/>
          <w:iCs/>
          <w:lang w:val="de-DE"/>
        </w:rPr>
        <w:t> (I)</w:t>
      </w:r>
      <w:r w:rsidRPr="004676F5">
        <w:rPr>
          <w:i/>
          <w:iCs/>
          <w:lang w:val="de-DE"/>
        </w:rPr>
        <w:t xml:space="preserve"> (B.S. vom 11. Dezember 2023); § 3 Abs. 1 Nr. 2 einziger Absatz Buchstabe d) abgeändert durch Art. 31 Nr. 7 des G. vom 5. November 2023</w:t>
      </w:r>
      <w:r w:rsidR="00857EC4" w:rsidRPr="004676F5">
        <w:rPr>
          <w:i/>
          <w:iCs/>
          <w:lang w:val="de-DE"/>
        </w:rPr>
        <w:t> (I)</w:t>
      </w:r>
      <w:r w:rsidRPr="004676F5">
        <w:rPr>
          <w:i/>
          <w:iCs/>
          <w:lang w:val="de-DE"/>
        </w:rPr>
        <w:t xml:space="preserve"> (B.S. vom 11. Dezember 2023); § 3 Abs. 1 Nr. 2 einziger Absatz Buchstabe e) eingefügt durch Art. 31 Nr. 8 des G. vom 5. November 2023</w:t>
      </w:r>
      <w:r w:rsidR="00857EC4" w:rsidRPr="004676F5">
        <w:rPr>
          <w:i/>
          <w:iCs/>
          <w:lang w:val="de-DE"/>
        </w:rPr>
        <w:t> (I)</w:t>
      </w:r>
      <w:r w:rsidRPr="004676F5">
        <w:rPr>
          <w:i/>
          <w:iCs/>
          <w:lang w:val="de-DE"/>
        </w:rPr>
        <w:t xml:space="preserve"> (B.S. vom 11. Dezember 2023); § 3 Abs. 2 abgeändert durch Art. 31 Nr. 2 des G. vom </w:t>
      </w:r>
      <w:r w:rsidRPr="004676F5">
        <w:rPr>
          <w:i/>
          <w:iCs/>
          <w:lang w:val="de-DE"/>
        </w:rPr>
        <w:lastRenderedPageBreak/>
        <w:t>5. November 2023</w:t>
      </w:r>
      <w:r w:rsidR="00857EC4" w:rsidRPr="004676F5">
        <w:rPr>
          <w:i/>
          <w:iCs/>
          <w:lang w:val="de-DE"/>
        </w:rPr>
        <w:t xml:space="preserve"> (I) </w:t>
      </w:r>
      <w:r w:rsidRPr="004676F5">
        <w:rPr>
          <w:i/>
          <w:iCs/>
          <w:lang w:val="de-DE"/>
        </w:rPr>
        <w:t>(B.S. vom 11. Dezember 2023); § 4 abgeändert durch Art. 31 Nr. 9 des G. vom 5. November 2023</w:t>
      </w:r>
      <w:r w:rsidR="00857EC4" w:rsidRPr="004676F5">
        <w:rPr>
          <w:i/>
          <w:iCs/>
          <w:lang w:val="de-DE"/>
        </w:rPr>
        <w:t> (I)</w:t>
      </w:r>
      <w:r w:rsidRPr="004676F5">
        <w:rPr>
          <w:i/>
          <w:iCs/>
          <w:lang w:val="de-DE"/>
        </w:rPr>
        <w:t xml:space="preserve"> (B.S. vom 11. Dezember 2023)]</w:t>
      </w:r>
    </w:p>
    <w:p w14:paraId="3471241F" w14:textId="77777777" w:rsidR="00BA2266" w:rsidRPr="004676F5" w:rsidRDefault="00BA2266" w:rsidP="00BA2266">
      <w:pPr>
        <w:jc w:val="both"/>
        <w:rPr>
          <w:lang w:val="de-DE"/>
        </w:rPr>
      </w:pPr>
    </w:p>
    <w:p w14:paraId="738375BA" w14:textId="77777777" w:rsidR="00F71E6A" w:rsidRPr="004676F5" w:rsidRDefault="00F71E6A" w:rsidP="00BA2266">
      <w:pPr>
        <w:jc w:val="both"/>
        <w:rPr>
          <w:lang w:val="de-DE"/>
        </w:rPr>
      </w:pPr>
    </w:p>
    <w:p w14:paraId="154850D1" w14:textId="6C346F17" w:rsidR="00BA2266" w:rsidRPr="004676F5" w:rsidRDefault="00BE0A56" w:rsidP="00BA2266">
      <w:pPr>
        <w:ind w:firstLine="708"/>
        <w:jc w:val="both"/>
        <w:rPr>
          <w:lang w:val="de-DE"/>
        </w:rPr>
      </w:pPr>
      <w:r w:rsidRPr="004676F5">
        <w:rPr>
          <w:b/>
          <w:lang w:val="de-DE"/>
        </w:rPr>
        <w:t>Art. </w:t>
      </w:r>
      <w:r w:rsidR="00BA2266" w:rsidRPr="004676F5">
        <w:rPr>
          <w:b/>
          <w:lang w:val="de-DE"/>
        </w:rPr>
        <w:t>XV.5</w:t>
      </w:r>
      <w:r w:rsidR="00BA2266" w:rsidRPr="004676F5">
        <w:rPr>
          <w:lang w:val="de-DE"/>
        </w:rPr>
        <w:t> </w:t>
      </w:r>
      <w:r w:rsidR="005B7A5C" w:rsidRPr="004676F5">
        <w:rPr>
          <w:lang w:val="de-DE"/>
        </w:rPr>
        <w:t>- </w:t>
      </w:r>
      <w:r w:rsidR="00BA2266" w:rsidRPr="004676F5">
        <w:rPr>
          <w:lang w:val="de-DE"/>
        </w:rPr>
        <w:t>§ 1 </w:t>
      </w:r>
      <w:r w:rsidR="005B7A5C" w:rsidRPr="004676F5">
        <w:rPr>
          <w:lang w:val="de-DE"/>
        </w:rPr>
        <w:t>- </w:t>
      </w:r>
      <w:r w:rsidR="00BA2266" w:rsidRPr="004676F5">
        <w:rPr>
          <w:lang w:val="de-DE"/>
        </w:rPr>
        <w:t>Wenn die in Artikel XV.2 erwähnten Bediensteten gemäß ihren Befugnissen einen Verstoß feststellen, dürfen sie gegen Empfangsbestätigung Folgendes beschlagnahmen:</w:t>
      </w:r>
    </w:p>
    <w:p w14:paraId="1251194D" w14:textId="77777777" w:rsidR="00BA2266" w:rsidRPr="004676F5" w:rsidRDefault="00BA2266" w:rsidP="00BA2266">
      <w:pPr>
        <w:jc w:val="both"/>
        <w:rPr>
          <w:lang w:val="de-DE"/>
        </w:rPr>
      </w:pPr>
    </w:p>
    <w:p w14:paraId="4C445B5D" w14:textId="77777777" w:rsidR="00BA2266" w:rsidRPr="004676F5" w:rsidRDefault="00BA2266" w:rsidP="00BA2266">
      <w:pPr>
        <w:ind w:firstLine="708"/>
        <w:jc w:val="both"/>
        <w:rPr>
          <w:lang w:val="de-DE"/>
        </w:rPr>
      </w:pPr>
      <w:r w:rsidRPr="004676F5">
        <w:rPr>
          <w:lang w:val="de-DE"/>
        </w:rPr>
        <w:t>1. Güter, die Gegenstand des Verstoßes sind,</w:t>
      </w:r>
    </w:p>
    <w:p w14:paraId="7571E80E" w14:textId="77777777" w:rsidR="00BA2266" w:rsidRPr="004676F5" w:rsidRDefault="00BA2266" w:rsidP="00BA2266">
      <w:pPr>
        <w:jc w:val="both"/>
        <w:rPr>
          <w:lang w:val="de-DE"/>
        </w:rPr>
      </w:pPr>
    </w:p>
    <w:p w14:paraId="2DE06928" w14:textId="5CF21306" w:rsidR="00BA2266" w:rsidRPr="004676F5" w:rsidRDefault="00BA2266" w:rsidP="00BA2266">
      <w:pPr>
        <w:ind w:firstLine="708"/>
        <w:jc w:val="both"/>
        <w:rPr>
          <w:lang w:val="de-DE"/>
        </w:rPr>
      </w:pPr>
      <w:r w:rsidRPr="004676F5">
        <w:rPr>
          <w:lang w:val="de-DE"/>
        </w:rPr>
        <w:t>2. Produktions-, Verarbeitungs</w:t>
      </w:r>
      <w:r w:rsidR="005B7A5C" w:rsidRPr="004676F5">
        <w:rPr>
          <w:lang w:val="de-DE"/>
        </w:rPr>
        <w:t>- </w:t>
      </w:r>
      <w:r w:rsidRPr="004676F5">
        <w:rPr>
          <w:lang w:val="de-DE"/>
        </w:rPr>
        <w:t>und Beförderungsmittel oder irgendwelche anderen Gegenstände, die dazu gedient haben, Güter, die Gegenstand des Verstoßes sind, zu produzieren, zu verarbeiten, zu verteilen oder zu befördern,</w:t>
      </w:r>
    </w:p>
    <w:p w14:paraId="152EF7FA" w14:textId="77777777" w:rsidR="00BA2266" w:rsidRPr="004676F5" w:rsidRDefault="00BA2266" w:rsidP="00BA2266">
      <w:pPr>
        <w:jc w:val="both"/>
        <w:rPr>
          <w:lang w:val="de-DE"/>
        </w:rPr>
      </w:pPr>
    </w:p>
    <w:p w14:paraId="45EC007F" w14:textId="77777777" w:rsidR="00BA2266" w:rsidRPr="004676F5" w:rsidRDefault="00BA2266" w:rsidP="00BA2266">
      <w:pPr>
        <w:ind w:firstLine="708"/>
        <w:jc w:val="both"/>
        <w:rPr>
          <w:lang w:val="de-DE"/>
        </w:rPr>
      </w:pPr>
      <w:r w:rsidRPr="004676F5">
        <w:rPr>
          <w:lang w:val="de-DE"/>
        </w:rPr>
        <w:t>3. alle anderen Gegenstände, die dazu gedient haben können, den Verstoß zu begehen,</w:t>
      </w:r>
    </w:p>
    <w:p w14:paraId="09DBD757" w14:textId="77777777" w:rsidR="00BA2266" w:rsidRPr="004676F5" w:rsidRDefault="00BA2266" w:rsidP="00BA2266">
      <w:pPr>
        <w:jc w:val="both"/>
        <w:rPr>
          <w:lang w:val="de-DE"/>
        </w:rPr>
      </w:pPr>
    </w:p>
    <w:p w14:paraId="51E0D7DB" w14:textId="77777777" w:rsidR="00BA2266" w:rsidRPr="004676F5" w:rsidRDefault="00BA2266" w:rsidP="00BA2266">
      <w:pPr>
        <w:ind w:firstLine="708"/>
        <w:jc w:val="both"/>
        <w:rPr>
          <w:lang w:val="de-DE"/>
        </w:rPr>
      </w:pPr>
      <w:r w:rsidRPr="004676F5">
        <w:rPr>
          <w:lang w:val="de-DE"/>
        </w:rPr>
        <w:t>4. Mittel, die für die Erbringung von Dienstleistungen, die einen Verstoß darstellen, notwendig sind,</w:t>
      </w:r>
    </w:p>
    <w:p w14:paraId="39C5CFB0" w14:textId="77777777" w:rsidR="00BA2266" w:rsidRPr="004676F5" w:rsidRDefault="00BA2266" w:rsidP="00BA2266">
      <w:pPr>
        <w:jc w:val="both"/>
        <w:rPr>
          <w:lang w:val="de-DE"/>
        </w:rPr>
      </w:pPr>
    </w:p>
    <w:p w14:paraId="74BD78B0" w14:textId="77777777" w:rsidR="00BA2266" w:rsidRPr="004676F5" w:rsidRDefault="00BA2266" w:rsidP="00BA2266">
      <w:pPr>
        <w:ind w:firstLine="708"/>
        <w:jc w:val="both"/>
        <w:rPr>
          <w:lang w:val="de-DE"/>
        </w:rPr>
      </w:pPr>
      <w:r w:rsidRPr="004676F5">
        <w:rPr>
          <w:lang w:val="de-DE"/>
        </w:rPr>
        <w:t>5. Güter gleicher Art und Bestimmung wie die Güter, die Gegenstand des Verstoßes sind.</w:t>
      </w:r>
    </w:p>
    <w:p w14:paraId="23CBEB67" w14:textId="77777777" w:rsidR="00BA2266" w:rsidRPr="004676F5" w:rsidRDefault="00BA2266" w:rsidP="00BA2266">
      <w:pPr>
        <w:jc w:val="both"/>
        <w:rPr>
          <w:lang w:val="de-DE"/>
        </w:rPr>
      </w:pPr>
    </w:p>
    <w:p w14:paraId="6112A4CF" w14:textId="77777777" w:rsidR="00BA2266" w:rsidRPr="004676F5" w:rsidRDefault="00BA2266" w:rsidP="00BA2266">
      <w:pPr>
        <w:ind w:firstLine="708"/>
        <w:jc w:val="both"/>
        <w:rPr>
          <w:lang w:val="de-DE"/>
        </w:rPr>
      </w:pPr>
      <w:r w:rsidRPr="004676F5">
        <w:rPr>
          <w:lang w:val="de-DE"/>
        </w:rPr>
        <w:t>In Artikel XV.2 erwähnte Bedienstete dürfen diese Beschlagnahme auch durchführen, wenn ein Dritter der Eigentümer ist.</w:t>
      </w:r>
    </w:p>
    <w:p w14:paraId="23498399" w14:textId="77777777" w:rsidR="00BA2266" w:rsidRPr="004676F5" w:rsidRDefault="00BA2266" w:rsidP="00BA2266">
      <w:pPr>
        <w:jc w:val="both"/>
        <w:rPr>
          <w:lang w:val="de-DE"/>
        </w:rPr>
      </w:pPr>
    </w:p>
    <w:p w14:paraId="564A5BB9" w14:textId="77777777" w:rsidR="00BA2266" w:rsidRPr="004676F5" w:rsidRDefault="00BA2266" w:rsidP="00BA2266">
      <w:pPr>
        <w:ind w:firstLine="708"/>
        <w:jc w:val="both"/>
        <w:rPr>
          <w:lang w:val="de-DE"/>
        </w:rPr>
      </w:pPr>
      <w:r w:rsidRPr="004676F5">
        <w:rPr>
          <w:lang w:val="de-DE"/>
        </w:rPr>
        <w:t>Diese Beschlagnahme muss innerhalb einer Frist von fünfzehn Tagen von der Staatsanwaltschaft bestätigt werden. In Ermangelung einer Bestätigung seitens der Staatsanwaltschaft ist die Beschlagnahme von Rechts wegen aufgehoben. Personen, bei denen die Gegenstände beschlagnahmt werden, können vom Gericht als Verwahrer dieser Gegenstände bestellt werden.</w:t>
      </w:r>
    </w:p>
    <w:p w14:paraId="7DADAB8F" w14:textId="77777777" w:rsidR="00BA2266" w:rsidRPr="004676F5" w:rsidRDefault="00BA2266" w:rsidP="00BA2266">
      <w:pPr>
        <w:jc w:val="both"/>
        <w:rPr>
          <w:lang w:val="de-DE"/>
        </w:rPr>
      </w:pPr>
    </w:p>
    <w:p w14:paraId="0A9B879C" w14:textId="77777777" w:rsidR="00BA2266" w:rsidRPr="004676F5" w:rsidRDefault="00BA2266" w:rsidP="00BA2266">
      <w:pPr>
        <w:ind w:firstLine="708"/>
        <w:jc w:val="both"/>
        <w:rPr>
          <w:lang w:val="de-DE"/>
        </w:rPr>
      </w:pPr>
      <w:r w:rsidRPr="004676F5">
        <w:rPr>
          <w:lang w:val="de-DE"/>
        </w:rPr>
        <w:t>Beschlagnahmen können zur Bestellung eines Wächters vor Ort führen oder an einem von den in Artikel XV.2 erwähnten Bediensteten bestimmten sonstigen Ort vollstreckt werden.</w:t>
      </w:r>
    </w:p>
    <w:p w14:paraId="0BAE2C7D" w14:textId="77777777" w:rsidR="00BA2266" w:rsidRPr="004676F5" w:rsidRDefault="00BA2266" w:rsidP="00BA2266">
      <w:pPr>
        <w:rPr>
          <w:lang w:val="de-DE"/>
        </w:rPr>
      </w:pPr>
    </w:p>
    <w:p w14:paraId="33ED6F75" w14:textId="593C95A2" w:rsidR="00BA2266" w:rsidRPr="004676F5" w:rsidRDefault="00BA2266" w:rsidP="00BA2266">
      <w:pPr>
        <w:ind w:firstLine="708"/>
        <w:jc w:val="both"/>
        <w:rPr>
          <w:lang w:val="de-DE"/>
        </w:rPr>
      </w:pPr>
      <w:r w:rsidRPr="004676F5">
        <w:rPr>
          <w:lang w:val="de-DE"/>
        </w:rPr>
        <w:t>§ 2 </w:t>
      </w:r>
      <w:r w:rsidR="005B7A5C" w:rsidRPr="004676F5">
        <w:rPr>
          <w:lang w:val="de-DE"/>
        </w:rPr>
        <w:t>- </w:t>
      </w:r>
      <w:r w:rsidRPr="004676F5">
        <w:rPr>
          <w:lang w:val="de-DE"/>
        </w:rPr>
        <w:t>In Artikel XV.2 erwähnte Bedienstete können Räumlichkeiten versiegeln, wenn dies notwendig ist, um einen Verstoß gegen Artikel XV.2 § 1 nachzuweisen, oder wenn die Gefahr besteht, dass anhand dieser Güter die Verstöße fortgesetzt oder neue Verstöße begangen werden.</w:t>
      </w:r>
    </w:p>
    <w:p w14:paraId="36D9B040" w14:textId="77777777" w:rsidR="0048079D" w:rsidRPr="004676F5" w:rsidRDefault="0048079D" w:rsidP="00BA2266">
      <w:pPr>
        <w:ind w:firstLine="708"/>
        <w:jc w:val="both"/>
        <w:rPr>
          <w:lang w:val="de-DE"/>
        </w:rPr>
      </w:pPr>
    </w:p>
    <w:p w14:paraId="584B4B6F" w14:textId="77777777" w:rsidR="00C8668A" w:rsidRPr="004676F5" w:rsidRDefault="0048079D" w:rsidP="00C8668A">
      <w:pPr>
        <w:ind w:firstLine="708"/>
        <w:jc w:val="both"/>
        <w:rPr>
          <w:lang w:val="de-DE"/>
        </w:rPr>
      </w:pPr>
      <w:r w:rsidRPr="004676F5">
        <w:rPr>
          <w:lang w:val="de-DE"/>
        </w:rPr>
        <w:t>[</w:t>
      </w:r>
      <w:r w:rsidR="00C8668A" w:rsidRPr="004676F5">
        <w:rPr>
          <w:lang w:val="de-DE"/>
        </w:rPr>
        <w:t>Diese Versiegelung muss innerhalb einer Frist von fünfzehn Tagen von der Staatsanwaltschaft bestätigt werden.</w:t>
      </w:r>
    </w:p>
    <w:p w14:paraId="5B99C667" w14:textId="77777777" w:rsidR="00C8668A" w:rsidRPr="004676F5" w:rsidRDefault="00C8668A" w:rsidP="00C8668A">
      <w:pPr>
        <w:ind w:firstLine="708"/>
        <w:jc w:val="both"/>
        <w:rPr>
          <w:lang w:val="de-DE"/>
        </w:rPr>
      </w:pPr>
    </w:p>
    <w:p w14:paraId="355D3888" w14:textId="77777777" w:rsidR="00C8668A" w:rsidRPr="004676F5" w:rsidRDefault="00C8668A" w:rsidP="00C8668A">
      <w:pPr>
        <w:ind w:firstLine="708"/>
        <w:jc w:val="both"/>
        <w:rPr>
          <w:lang w:val="de-DE"/>
        </w:rPr>
      </w:pPr>
      <w:r w:rsidRPr="004676F5">
        <w:rPr>
          <w:lang w:val="de-DE"/>
        </w:rPr>
        <w:t>In Ermangelung einer Bestätigung seitens der Staatsanwaltschaft ist die Versiegelung von Rechts wegen aufgehoben. Personen, bei denen die Gegenstände versiegelt werden, können vom Gericht als Verwahrer dieser Gegenstände bestellt werden.</w:t>
      </w:r>
    </w:p>
    <w:p w14:paraId="544E8E73" w14:textId="77777777" w:rsidR="00C8668A" w:rsidRPr="004676F5" w:rsidRDefault="00C8668A" w:rsidP="00C8668A">
      <w:pPr>
        <w:ind w:firstLine="708"/>
        <w:jc w:val="both"/>
        <w:rPr>
          <w:lang w:val="de-DE"/>
        </w:rPr>
      </w:pPr>
    </w:p>
    <w:p w14:paraId="64BBB1D5" w14:textId="77777777" w:rsidR="0048079D" w:rsidRPr="004676F5" w:rsidRDefault="00C8668A" w:rsidP="00C8668A">
      <w:pPr>
        <w:ind w:firstLine="708"/>
        <w:jc w:val="both"/>
        <w:rPr>
          <w:lang w:val="de-DE"/>
        </w:rPr>
      </w:pPr>
      <w:r w:rsidRPr="004676F5">
        <w:rPr>
          <w:lang w:val="de-DE"/>
        </w:rPr>
        <w:t>Versiegelungen können zur Bestellung eines Wächters vor Ort führen, den die in Artikel XV.2 erwähnten Bediensteten bestimmen.</w:t>
      </w:r>
      <w:r w:rsidR="0048079D" w:rsidRPr="004676F5">
        <w:rPr>
          <w:lang w:val="de-DE"/>
        </w:rPr>
        <w:t>]</w:t>
      </w:r>
    </w:p>
    <w:p w14:paraId="0FA23357" w14:textId="77777777" w:rsidR="00BA2266" w:rsidRPr="004676F5" w:rsidRDefault="00BA2266" w:rsidP="00BA2266">
      <w:pPr>
        <w:jc w:val="both"/>
        <w:rPr>
          <w:lang w:val="de-DE"/>
        </w:rPr>
      </w:pPr>
    </w:p>
    <w:p w14:paraId="5C9846DA" w14:textId="71A80171" w:rsidR="00BA2266" w:rsidRPr="004676F5" w:rsidRDefault="00BA2266" w:rsidP="00BA2266">
      <w:pPr>
        <w:ind w:firstLine="708"/>
        <w:jc w:val="both"/>
        <w:rPr>
          <w:lang w:val="de-DE"/>
        </w:rPr>
      </w:pPr>
      <w:r w:rsidRPr="004676F5">
        <w:rPr>
          <w:lang w:val="de-DE"/>
        </w:rPr>
        <w:lastRenderedPageBreak/>
        <w:t>§ 3 </w:t>
      </w:r>
      <w:r w:rsidR="005B7A5C" w:rsidRPr="004676F5">
        <w:rPr>
          <w:lang w:val="de-DE"/>
        </w:rPr>
        <w:t>- </w:t>
      </w:r>
      <w:r w:rsidRPr="004676F5">
        <w:rPr>
          <w:lang w:val="de-DE"/>
        </w:rPr>
        <w:t>Über die aufgrund der Absätze 1 und 2 vorgenommenen Beschlagnahmen und Versiegelungen muss eine schriftliche Feststellung erstellt werden. In diesem Dokument muss mindestens Folgendes vermerkt sein:</w:t>
      </w:r>
    </w:p>
    <w:p w14:paraId="58E30684" w14:textId="77777777" w:rsidR="00BA2266" w:rsidRPr="004676F5" w:rsidRDefault="00BA2266" w:rsidP="00BA2266">
      <w:pPr>
        <w:jc w:val="both"/>
        <w:rPr>
          <w:lang w:val="de-DE"/>
        </w:rPr>
      </w:pPr>
    </w:p>
    <w:p w14:paraId="187DD052" w14:textId="77777777" w:rsidR="00BA2266" w:rsidRPr="004676F5" w:rsidRDefault="00BA2266" w:rsidP="00BA2266">
      <w:pPr>
        <w:ind w:firstLine="708"/>
        <w:jc w:val="both"/>
        <w:rPr>
          <w:lang w:val="de-DE"/>
        </w:rPr>
      </w:pPr>
      <w:r w:rsidRPr="004676F5">
        <w:rPr>
          <w:lang w:val="de-DE"/>
        </w:rPr>
        <w:t>1. Datum und Uhrzeit des Ergreifens der Maßnahmen,</w:t>
      </w:r>
    </w:p>
    <w:p w14:paraId="2DAD8F84" w14:textId="77777777" w:rsidR="00BA2266" w:rsidRPr="004676F5" w:rsidRDefault="00BA2266" w:rsidP="00BA2266">
      <w:pPr>
        <w:jc w:val="both"/>
        <w:rPr>
          <w:lang w:val="de-DE"/>
        </w:rPr>
      </w:pPr>
    </w:p>
    <w:p w14:paraId="7667777E" w14:textId="77777777" w:rsidR="00BA2266" w:rsidRPr="004676F5" w:rsidRDefault="00BA2266" w:rsidP="00BA2266">
      <w:pPr>
        <w:ind w:firstLine="708"/>
        <w:jc w:val="both"/>
        <w:rPr>
          <w:lang w:val="de-DE"/>
        </w:rPr>
      </w:pPr>
      <w:r w:rsidRPr="004676F5">
        <w:rPr>
          <w:lang w:val="de-DE"/>
        </w:rPr>
        <w:t>2. Datum und Uhrzeit der Notifizierung,</w:t>
      </w:r>
    </w:p>
    <w:p w14:paraId="7A6013FB" w14:textId="77777777" w:rsidR="00BA2266" w:rsidRPr="004676F5" w:rsidRDefault="00BA2266" w:rsidP="00BA2266">
      <w:pPr>
        <w:jc w:val="both"/>
        <w:rPr>
          <w:lang w:val="de-DE"/>
        </w:rPr>
      </w:pPr>
    </w:p>
    <w:p w14:paraId="52EB8416" w14:textId="77777777" w:rsidR="00BA2266" w:rsidRPr="004676F5" w:rsidRDefault="00BA2266" w:rsidP="00BA2266">
      <w:pPr>
        <w:ind w:firstLine="708"/>
        <w:jc w:val="both"/>
        <w:rPr>
          <w:lang w:val="de-DE"/>
        </w:rPr>
      </w:pPr>
      <w:r w:rsidRPr="004676F5">
        <w:rPr>
          <w:lang w:val="de-DE"/>
        </w:rPr>
        <w:t>3. Identität der in Artikel XV.2 erwähnten Bediensteten, Eigenschaft, in der sie auftreten, und Verwaltung, der sie angehören,</w:t>
      </w:r>
    </w:p>
    <w:p w14:paraId="30371C3B" w14:textId="77777777" w:rsidR="00BA2266" w:rsidRPr="004676F5" w:rsidRDefault="00BA2266" w:rsidP="00BA2266">
      <w:pPr>
        <w:jc w:val="both"/>
        <w:rPr>
          <w:lang w:val="de-DE"/>
        </w:rPr>
      </w:pPr>
    </w:p>
    <w:p w14:paraId="4D42CDE9" w14:textId="77777777" w:rsidR="00BA2266" w:rsidRPr="004676F5" w:rsidRDefault="00BA2266" w:rsidP="00BA2266">
      <w:pPr>
        <w:ind w:firstLine="708"/>
        <w:jc w:val="both"/>
        <w:rPr>
          <w:lang w:val="de-DE"/>
        </w:rPr>
      </w:pPr>
      <w:r w:rsidRPr="004676F5">
        <w:rPr>
          <w:lang w:val="de-DE"/>
        </w:rPr>
        <w:t>4. ergriffene Maßnahmen,</w:t>
      </w:r>
    </w:p>
    <w:p w14:paraId="16E2529E" w14:textId="77777777" w:rsidR="00BA2266" w:rsidRPr="004676F5" w:rsidRDefault="00BA2266" w:rsidP="00BA2266">
      <w:pPr>
        <w:jc w:val="both"/>
        <w:rPr>
          <w:lang w:val="de-DE"/>
        </w:rPr>
      </w:pPr>
    </w:p>
    <w:p w14:paraId="03882B41" w14:textId="77777777" w:rsidR="00BA2266" w:rsidRPr="004676F5" w:rsidRDefault="00BA2266" w:rsidP="00BA2266">
      <w:pPr>
        <w:ind w:firstLine="708"/>
        <w:jc w:val="both"/>
        <w:rPr>
          <w:lang w:val="de-DE"/>
        </w:rPr>
      </w:pPr>
      <w:r w:rsidRPr="004676F5">
        <w:rPr>
          <w:lang w:val="de-DE"/>
        </w:rPr>
        <w:t>5. faktische und rechtliche Grundlage,</w:t>
      </w:r>
    </w:p>
    <w:p w14:paraId="19F00467" w14:textId="77777777" w:rsidR="00BA2266" w:rsidRPr="004676F5" w:rsidRDefault="00BA2266" w:rsidP="00BA2266">
      <w:pPr>
        <w:jc w:val="both"/>
        <w:rPr>
          <w:lang w:val="de-DE"/>
        </w:rPr>
      </w:pPr>
    </w:p>
    <w:p w14:paraId="27E5A834" w14:textId="77777777" w:rsidR="00BA2266" w:rsidRPr="004676F5" w:rsidRDefault="00BA2266" w:rsidP="00BA2266">
      <w:pPr>
        <w:ind w:firstLine="708"/>
        <w:jc w:val="both"/>
        <w:rPr>
          <w:lang w:val="de-DE"/>
        </w:rPr>
      </w:pPr>
      <w:r w:rsidRPr="004676F5">
        <w:rPr>
          <w:lang w:val="de-DE"/>
        </w:rPr>
        <w:t>6. Ort, wo die Maßnahmen ergriffen worden sind.</w:t>
      </w:r>
    </w:p>
    <w:p w14:paraId="3072A2FE" w14:textId="77777777" w:rsidR="00BA2266" w:rsidRPr="004676F5" w:rsidRDefault="00BA2266" w:rsidP="00BA2266">
      <w:pPr>
        <w:jc w:val="both"/>
        <w:rPr>
          <w:lang w:val="de-DE"/>
        </w:rPr>
      </w:pPr>
    </w:p>
    <w:p w14:paraId="38E3A46B" w14:textId="69C01AAC" w:rsidR="00BA2266" w:rsidRPr="004676F5" w:rsidRDefault="00BA2266" w:rsidP="00BA2266">
      <w:pPr>
        <w:ind w:firstLine="708"/>
        <w:jc w:val="both"/>
        <w:rPr>
          <w:lang w:val="de-DE"/>
        </w:rPr>
      </w:pPr>
      <w:r w:rsidRPr="004676F5">
        <w:rPr>
          <w:lang w:val="de-DE"/>
        </w:rPr>
        <w:t>§ 4 </w:t>
      </w:r>
      <w:r w:rsidR="005B7A5C" w:rsidRPr="004676F5">
        <w:rPr>
          <w:lang w:val="de-DE"/>
        </w:rPr>
        <w:t>- </w:t>
      </w:r>
      <w:r w:rsidRPr="004676F5">
        <w:rPr>
          <w:lang w:val="de-DE"/>
        </w:rPr>
        <w:t xml:space="preserve">Die Staatsanwaltschaft kann jederzeit die von ihr angeordnete oder bestätigte Beschlagnahme </w:t>
      </w:r>
      <w:r w:rsidR="00C8668A" w:rsidRPr="004676F5">
        <w:rPr>
          <w:lang w:val="de-DE"/>
        </w:rPr>
        <w:t xml:space="preserve">[oder Versiegelung] </w:t>
      </w:r>
      <w:r w:rsidRPr="004676F5">
        <w:rPr>
          <w:lang w:val="de-DE"/>
        </w:rPr>
        <w:t>aufheben, so auch wenn der Zuwiderhandelnde darauf verzichtet, die Güter unter den Bedingungen anzubieten, die zur Ermittlung Anlass gegeben haben; dieser Verzicht beinhaltet keineswegs die Anerkennung irgendeines strafrechtlichen Verschuldens.</w:t>
      </w:r>
    </w:p>
    <w:p w14:paraId="102774EA" w14:textId="77777777" w:rsidR="00BA2266" w:rsidRPr="004676F5" w:rsidRDefault="00BA2266" w:rsidP="00BA2266">
      <w:pPr>
        <w:jc w:val="both"/>
        <w:rPr>
          <w:lang w:val="de-DE"/>
        </w:rPr>
      </w:pPr>
    </w:p>
    <w:p w14:paraId="54BCF8E4" w14:textId="09F11BE4" w:rsidR="00BA2266" w:rsidRPr="004676F5" w:rsidRDefault="00BA2266" w:rsidP="00BA2266">
      <w:pPr>
        <w:ind w:firstLine="708"/>
        <w:jc w:val="both"/>
        <w:rPr>
          <w:lang w:val="de-DE"/>
        </w:rPr>
      </w:pPr>
      <w:r w:rsidRPr="004676F5">
        <w:rPr>
          <w:lang w:val="de-DE"/>
        </w:rPr>
        <w:t>§ 5 </w:t>
      </w:r>
      <w:r w:rsidR="005B7A5C" w:rsidRPr="004676F5">
        <w:rPr>
          <w:lang w:val="de-DE"/>
        </w:rPr>
        <w:t>- </w:t>
      </w:r>
      <w:r w:rsidRPr="004676F5">
        <w:rPr>
          <w:lang w:val="de-DE"/>
        </w:rPr>
        <w:t xml:space="preserve">Die Beschlagnahme </w:t>
      </w:r>
      <w:r w:rsidR="00C8668A" w:rsidRPr="004676F5">
        <w:rPr>
          <w:lang w:val="de-DE"/>
        </w:rPr>
        <w:t xml:space="preserve">[oder Versiegelung] </w:t>
      </w:r>
      <w:r w:rsidRPr="004676F5">
        <w:rPr>
          <w:lang w:val="de-DE"/>
        </w:rPr>
        <w:t>wird von Rechts wegen durch die gerichtliche Entscheidung zur Beendigung der Verfolgung </w:t>
      </w:r>
      <w:r w:rsidR="005B7A5C" w:rsidRPr="004676F5">
        <w:rPr>
          <w:lang w:val="de-DE"/>
        </w:rPr>
        <w:t>- </w:t>
      </w:r>
      <w:r w:rsidRPr="004676F5">
        <w:rPr>
          <w:lang w:val="de-DE"/>
        </w:rPr>
        <w:t>sobald dieses Urteil formell rechtskräftig ist </w:t>
      </w:r>
      <w:r w:rsidR="005B7A5C" w:rsidRPr="004676F5">
        <w:rPr>
          <w:lang w:val="de-DE"/>
        </w:rPr>
        <w:t>- </w:t>
      </w:r>
      <w:r w:rsidRPr="004676F5">
        <w:rPr>
          <w:lang w:val="de-DE"/>
        </w:rPr>
        <w:t>oder durch Einstellung der Strafverfolgung seitens der Staatsanwaltschaft aufgehoben.</w:t>
      </w:r>
    </w:p>
    <w:p w14:paraId="70A53265" w14:textId="77777777" w:rsidR="00C8668A" w:rsidRPr="004676F5" w:rsidRDefault="00C8668A" w:rsidP="00BA2266">
      <w:pPr>
        <w:ind w:firstLine="708"/>
        <w:jc w:val="both"/>
        <w:rPr>
          <w:lang w:val="de-DE"/>
        </w:rPr>
      </w:pPr>
    </w:p>
    <w:p w14:paraId="0C8B384B" w14:textId="208F0261" w:rsidR="00C8668A" w:rsidRPr="004676F5" w:rsidRDefault="00C8668A" w:rsidP="00C8668A">
      <w:pPr>
        <w:jc w:val="both"/>
        <w:rPr>
          <w:i/>
          <w:lang w:val="de-DE"/>
        </w:rPr>
      </w:pPr>
      <w:r w:rsidRPr="004676F5">
        <w:rPr>
          <w:i/>
          <w:lang w:val="de-DE"/>
        </w:rPr>
        <w:t>[</w:t>
      </w:r>
      <w:r w:rsidR="00BE0A56" w:rsidRPr="004676F5">
        <w:rPr>
          <w:i/>
          <w:lang w:val="de-DE"/>
        </w:rPr>
        <w:t>Art. </w:t>
      </w:r>
      <w:r w:rsidRPr="004676F5">
        <w:rPr>
          <w:i/>
          <w:lang w:val="de-DE"/>
        </w:rPr>
        <w:t xml:space="preserve">XV.5 § 2 Abs. 2 bis 4 eingefügt durch </w:t>
      </w:r>
      <w:r w:rsidR="00BE0A56" w:rsidRPr="004676F5">
        <w:rPr>
          <w:i/>
          <w:lang w:val="de-DE"/>
        </w:rPr>
        <w:t>Art. </w:t>
      </w:r>
      <w:r w:rsidRPr="004676F5">
        <w:rPr>
          <w:i/>
          <w:lang w:val="de-DE"/>
        </w:rPr>
        <w:t>52 Nr. 1</w:t>
      </w:r>
      <w:r w:rsidRPr="004676F5">
        <w:rPr>
          <w:i/>
          <w:iCs/>
          <w:lang w:val="de-DE"/>
        </w:rPr>
        <w:t xml:space="preserve"> </w:t>
      </w:r>
      <w:r w:rsidRPr="004676F5">
        <w:rPr>
          <w:i/>
          <w:lang w:val="de-DE"/>
        </w:rPr>
        <w:t xml:space="preserve">des G. vom 26. Oktober 2015 (B.S. vom 30. Oktober 2015); § 4 abgeändert durch </w:t>
      </w:r>
      <w:r w:rsidR="00BE0A56" w:rsidRPr="004676F5">
        <w:rPr>
          <w:i/>
          <w:lang w:val="de-DE"/>
        </w:rPr>
        <w:t>Art. </w:t>
      </w:r>
      <w:r w:rsidRPr="004676F5">
        <w:rPr>
          <w:i/>
          <w:lang w:val="de-DE"/>
        </w:rPr>
        <w:t>52 Nr. 2</w:t>
      </w:r>
      <w:r w:rsidRPr="004676F5">
        <w:rPr>
          <w:i/>
          <w:iCs/>
          <w:lang w:val="de-DE"/>
        </w:rPr>
        <w:t xml:space="preserve"> </w:t>
      </w:r>
      <w:r w:rsidRPr="004676F5">
        <w:rPr>
          <w:i/>
          <w:lang w:val="de-DE"/>
        </w:rPr>
        <w:t xml:space="preserve">des G. vom 26. Oktober 2015 (B.S. vom 30. Oktober 2015); § 5 abgeändert durch </w:t>
      </w:r>
      <w:r w:rsidR="00BE0A56" w:rsidRPr="004676F5">
        <w:rPr>
          <w:i/>
          <w:lang w:val="de-DE"/>
        </w:rPr>
        <w:t>Art. </w:t>
      </w:r>
      <w:r w:rsidRPr="004676F5">
        <w:rPr>
          <w:i/>
          <w:lang w:val="de-DE"/>
        </w:rPr>
        <w:t>52 Nr. 3</w:t>
      </w:r>
      <w:r w:rsidRPr="004676F5">
        <w:rPr>
          <w:i/>
          <w:iCs/>
          <w:lang w:val="de-DE"/>
        </w:rPr>
        <w:t xml:space="preserve"> </w:t>
      </w:r>
      <w:r w:rsidRPr="004676F5">
        <w:rPr>
          <w:i/>
          <w:lang w:val="de-DE"/>
        </w:rPr>
        <w:t>des G. vom 26. Oktober 2015 (B.S. vom 30. Oktober 2015)]</w:t>
      </w:r>
    </w:p>
    <w:p w14:paraId="53FB426D" w14:textId="77777777" w:rsidR="00BA2266" w:rsidRPr="004676F5" w:rsidRDefault="00BA2266" w:rsidP="00BA2266">
      <w:pPr>
        <w:jc w:val="both"/>
        <w:rPr>
          <w:lang w:val="de-DE"/>
        </w:rPr>
      </w:pPr>
    </w:p>
    <w:p w14:paraId="0B4CFB9B" w14:textId="77777777" w:rsidR="00BD488E" w:rsidRPr="004676F5" w:rsidRDefault="00BD488E" w:rsidP="00BA2266">
      <w:pPr>
        <w:jc w:val="both"/>
        <w:rPr>
          <w:lang w:val="de-DE"/>
        </w:rPr>
      </w:pPr>
    </w:p>
    <w:p w14:paraId="1E9C1FBD" w14:textId="67051BD7" w:rsidR="00BD488E" w:rsidRPr="004676F5" w:rsidRDefault="00BD488E" w:rsidP="00BD488E">
      <w:pPr>
        <w:jc w:val="both"/>
        <w:rPr>
          <w:lang w:val="de-DE"/>
        </w:rPr>
      </w:pPr>
      <w:r w:rsidRPr="004676F5">
        <w:rPr>
          <w:lang w:val="de-DE"/>
        </w:rPr>
        <w:tab/>
        <w:t>[</w:t>
      </w:r>
      <w:r w:rsidRPr="004676F5">
        <w:rPr>
          <w:b/>
          <w:bCs/>
          <w:lang w:val="de-DE"/>
        </w:rPr>
        <w:t>Art. XV.5/1</w:t>
      </w:r>
      <w:r w:rsidRPr="004676F5">
        <w:rPr>
          <w:lang w:val="de-DE"/>
        </w:rPr>
        <w:t> </w:t>
      </w:r>
      <w:r w:rsidR="005B7A5C" w:rsidRPr="004676F5">
        <w:rPr>
          <w:lang w:val="de-DE"/>
        </w:rPr>
        <w:t>- </w:t>
      </w:r>
      <w:r w:rsidRPr="004676F5">
        <w:rPr>
          <w:lang w:val="de-DE"/>
        </w:rPr>
        <w:t>§ 1 ­ Wenn keine anderen wirksamen Mittel zur Verfügung stehen, um die Einstellung oder Untersagung der in Artikel XV.2 § 1 erwähnten Verstöße zu bewirken und um das Risiko einer schwerwiegenden Schädigung der Kollektivinteressen von Verbrauchern zu verhindern, sind die zu diesem Zweck vom Minister bestellten Bediensteten befugt:</w:t>
      </w:r>
    </w:p>
    <w:p w14:paraId="667A4995" w14:textId="77777777" w:rsidR="00BD488E" w:rsidRPr="004676F5" w:rsidRDefault="00BD488E" w:rsidP="00BD488E">
      <w:pPr>
        <w:jc w:val="both"/>
        <w:rPr>
          <w:lang w:val="de-DE"/>
        </w:rPr>
      </w:pPr>
    </w:p>
    <w:p w14:paraId="7C65D49B" w14:textId="49880F77" w:rsidR="00BD488E" w:rsidRPr="004676F5" w:rsidRDefault="00BD488E" w:rsidP="00BD488E">
      <w:pPr>
        <w:jc w:val="both"/>
        <w:rPr>
          <w:lang w:val="de-DE"/>
        </w:rPr>
      </w:pPr>
      <w:r w:rsidRPr="004676F5">
        <w:rPr>
          <w:lang w:val="de-DE"/>
        </w:rPr>
        <w:tab/>
        <w:t>1. </w:t>
      </w:r>
      <w:r w:rsidR="00A6011F" w:rsidRPr="004676F5">
        <w:rPr>
          <w:lang w:val="de-DE"/>
        </w:rPr>
        <w:t xml:space="preserve">[denjenigen, der dazu in der Lage ist, anzuweisen,] </w:t>
      </w:r>
      <w:r w:rsidRPr="004676F5">
        <w:rPr>
          <w:lang w:val="de-DE"/>
        </w:rPr>
        <w:t>Inhalte von Online-Schnittstellen zu entfernen oder den Zugang zu einer Online-Schnittstelle zu beschränken oder anzuordnen, dass beim Zugriff auf die Online-Schnittstelle ein ausdrücklicher Warnhinweis an die Verbraucher angezeigt wird,</w:t>
      </w:r>
    </w:p>
    <w:p w14:paraId="699A4BB2" w14:textId="77777777" w:rsidR="00BD488E" w:rsidRPr="004676F5" w:rsidRDefault="00BD488E" w:rsidP="00BD488E">
      <w:pPr>
        <w:jc w:val="both"/>
        <w:rPr>
          <w:lang w:val="de-DE"/>
        </w:rPr>
      </w:pPr>
    </w:p>
    <w:p w14:paraId="5F56E293" w14:textId="77777777" w:rsidR="00BD488E" w:rsidRPr="004676F5" w:rsidRDefault="00BD488E" w:rsidP="00BD488E">
      <w:pPr>
        <w:jc w:val="both"/>
        <w:rPr>
          <w:lang w:val="de-DE"/>
        </w:rPr>
      </w:pPr>
      <w:r w:rsidRPr="004676F5">
        <w:rPr>
          <w:lang w:val="de-DE"/>
        </w:rPr>
        <w:tab/>
        <w:t>2. anzuordnen, dass Anbieter von Hosting-Diensten den Zugang zu einer Online-Schnittstelle entfernen, sperren oder beschränken,</w:t>
      </w:r>
    </w:p>
    <w:p w14:paraId="233F055C" w14:textId="77777777" w:rsidR="00BD488E" w:rsidRPr="004676F5" w:rsidRDefault="00BD488E" w:rsidP="00BD488E">
      <w:pPr>
        <w:jc w:val="both"/>
        <w:rPr>
          <w:lang w:val="de-DE"/>
        </w:rPr>
      </w:pPr>
    </w:p>
    <w:p w14:paraId="43BD59BD" w14:textId="77777777" w:rsidR="00BD488E" w:rsidRPr="004676F5" w:rsidRDefault="00BD488E" w:rsidP="00BD488E">
      <w:pPr>
        <w:jc w:val="both"/>
        <w:rPr>
          <w:lang w:val="de-DE"/>
        </w:rPr>
      </w:pPr>
      <w:r w:rsidRPr="004676F5">
        <w:rPr>
          <w:lang w:val="de-DE"/>
        </w:rPr>
        <w:tab/>
        <w:t>3. anzuordnen, dass Register oder Registrierungsstellen für Domänennamen einen vollständigen Domänennamen entfernen, und der betreffenden zuständigen Behörde seine Registrierung zu gestatten.</w:t>
      </w:r>
    </w:p>
    <w:p w14:paraId="52286DCB" w14:textId="77777777" w:rsidR="00BD488E" w:rsidRPr="004676F5" w:rsidRDefault="00BD488E" w:rsidP="00BD488E">
      <w:pPr>
        <w:jc w:val="both"/>
        <w:rPr>
          <w:lang w:val="de-DE"/>
        </w:rPr>
      </w:pPr>
    </w:p>
    <w:p w14:paraId="7408DF2F" w14:textId="77777777" w:rsidR="00BD488E" w:rsidRPr="004676F5" w:rsidRDefault="00BD488E" w:rsidP="00BD488E">
      <w:pPr>
        <w:jc w:val="both"/>
        <w:rPr>
          <w:lang w:val="de-DE"/>
        </w:rPr>
      </w:pPr>
      <w:r w:rsidRPr="004676F5">
        <w:rPr>
          <w:lang w:val="de-DE"/>
        </w:rPr>
        <w:tab/>
        <w:t>Auf der Grundlage des vorhergehenden Absatzes getroffene Maßnahmen werden von der Staatsanwaltschaft innerhalb einer Frist von achtundvierzig Stunden bestätigt. In Ermangelung einer Bestätigung durch die Staatsanwaltschaft werden Entfernung von Inhalten, Anordnung zur Anzeige eines Warnhinweises beziehungsweise Entfernung, Sperrung oder Beschränkung des Zugangs von Rechts wegen aufgehoben.</w:t>
      </w:r>
    </w:p>
    <w:p w14:paraId="1366F122" w14:textId="77777777" w:rsidR="00BD488E" w:rsidRPr="004676F5" w:rsidRDefault="00BD488E" w:rsidP="00BD488E">
      <w:pPr>
        <w:jc w:val="both"/>
        <w:rPr>
          <w:lang w:val="de-DE"/>
        </w:rPr>
      </w:pPr>
    </w:p>
    <w:p w14:paraId="6F3D5DEB" w14:textId="77777777" w:rsidR="00BD488E" w:rsidRPr="004676F5" w:rsidRDefault="00BD488E" w:rsidP="00BD488E">
      <w:pPr>
        <w:jc w:val="both"/>
        <w:rPr>
          <w:lang w:val="de-DE"/>
        </w:rPr>
      </w:pPr>
      <w:r w:rsidRPr="004676F5">
        <w:rPr>
          <w:lang w:val="de-DE"/>
        </w:rPr>
        <w:tab/>
        <w:t>Die Staatsanwaltschaft kann unter denselben Bedingungen die in Absatz 1 erwähnten Bediensteten ebenfalls anweisen, die in vorliegendem Paragraphen erwähnten Maßnahmen zu ergreifen.</w:t>
      </w:r>
    </w:p>
    <w:p w14:paraId="204905E5" w14:textId="77777777" w:rsidR="00BD488E" w:rsidRPr="004676F5" w:rsidRDefault="00BD488E" w:rsidP="00BD488E">
      <w:pPr>
        <w:jc w:val="both"/>
        <w:rPr>
          <w:lang w:val="de-DE"/>
        </w:rPr>
      </w:pPr>
    </w:p>
    <w:p w14:paraId="2C73F00B" w14:textId="769B3BF7" w:rsidR="00BD488E" w:rsidRPr="004676F5" w:rsidRDefault="00BD488E" w:rsidP="00BD488E">
      <w:pPr>
        <w:jc w:val="both"/>
        <w:rPr>
          <w:lang w:val="de-DE"/>
        </w:rPr>
      </w:pPr>
      <w:r w:rsidRPr="004676F5">
        <w:rPr>
          <w:lang w:val="de-DE"/>
        </w:rPr>
        <w:tab/>
        <w:t>§ 2 </w:t>
      </w:r>
      <w:r w:rsidR="005B7A5C" w:rsidRPr="004676F5">
        <w:rPr>
          <w:lang w:val="de-DE"/>
        </w:rPr>
        <w:t>- </w:t>
      </w:r>
      <w:r w:rsidRPr="004676F5">
        <w:rPr>
          <w:lang w:val="de-DE"/>
        </w:rPr>
        <w:t xml:space="preserve">Bevor die in § 1 erwähnten Bediensteten eine in § 1 erwähnte Maßnahme ergreifen können und sofern die in Artikel XII.6 erwähnten Kontaktdaten verfügbar sind, nehmen diese Bediensteten außer in begründeten Dringlichkeitsfällen mindestens vierundzwanzig Stunden vor Ergreifen der Maßnahme Kontakt mit dem für die Online-Schnittstelle verantwortlichen </w:t>
      </w:r>
      <w:r w:rsidR="00A6011F" w:rsidRPr="004676F5">
        <w:rPr>
          <w:lang w:val="de-DE"/>
        </w:rPr>
        <w:t xml:space="preserve">[zuwiderhandelnden] </w:t>
      </w:r>
      <w:r w:rsidRPr="004676F5">
        <w:rPr>
          <w:lang w:val="de-DE"/>
        </w:rPr>
        <w:t>Unternehmen auf. Sie verweisen dabei auf die von ihnen festgestellten Verstöße nach Artikel XV.2 § 1 und</w:t>
      </w:r>
      <w:r w:rsidR="00A6011F" w:rsidRPr="004676F5">
        <w:rPr>
          <w:lang w:val="de-DE"/>
        </w:rPr>
        <w:t xml:space="preserve"> [...]</w:t>
      </w:r>
      <w:r w:rsidRPr="004676F5">
        <w:rPr>
          <w:lang w:val="de-DE"/>
        </w:rPr>
        <w:t xml:space="preserve"> auf das festgestellte Risiko einer schwerwiegenden Schädigung der Kollektivinteressen von Verbrauchern und auf die Maßnahmen, die auf der Grundlage vorliegender Bestimmung ergriffen werden können.</w:t>
      </w:r>
    </w:p>
    <w:p w14:paraId="76CCA544" w14:textId="77777777" w:rsidR="00BD488E" w:rsidRPr="004676F5" w:rsidRDefault="00BD488E" w:rsidP="00BD488E">
      <w:pPr>
        <w:jc w:val="both"/>
        <w:rPr>
          <w:lang w:val="de-DE"/>
        </w:rPr>
      </w:pPr>
    </w:p>
    <w:p w14:paraId="23ED28A7" w14:textId="77777777" w:rsidR="00BD488E" w:rsidRPr="004676F5" w:rsidRDefault="00BD488E" w:rsidP="00BD488E">
      <w:pPr>
        <w:jc w:val="both"/>
        <w:rPr>
          <w:lang w:val="de-DE"/>
        </w:rPr>
      </w:pPr>
      <w:r w:rsidRPr="004676F5">
        <w:rPr>
          <w:lang w:val="de-DE"/>
        </w:rPr>
        <w:tab/>
        <w:t>Die erwähnte Maßnahme darf nur ergriffen werden, wenn das Unternehmen nicht reagiert oder wenn die Reaktion nicht zur Abwendung des Risikos einer schwerwiegenden Schädigung der Kollektivinteressen von Verbrauchern führt vor Ablauf der vierundzwanzig</w:t>
      </w:r>
      <w:r w:rsidRPr="004676F5">
        <w:rPr>
          <w:lang w:val="de-DE"/>
        </w:rPr>
        <w:softHyphen/>
        <w:t>stündigen Frist.</w:t>
      </w:r>
    </w:p>
    <w:p w14:paraId="5C3D4763" w14:textId="77777777" w:rsidR="00BD488E" w:rsidRPr="004676F5" w:rsidRDefault="00BD488E" w:rsidP="00BD488E">
      <w:pPr>
        <w:jc w:val="both"/>
        <w:rPr>
          <w:lang w:val="de-DE"/>
        </w:rPr>
      </w:pPr>
    </w:p>
    <w:p w14:paraId="35E88E10" w14:textId="77777777" w:rsidR="00BD488E" w:rsidRPr="004676F5" w:rsidRDefault="00BD488E" w:rsidP="00BD488E">
      <w:pPr>
        <w:jc w:val="both"/>
        <w:rPr>
          <w:lang w:val="de-DE"/>
        </w:rPr>
      </w:pPr>
      <w:r w:rsidRPr="004676F5">
        <w:rPr>
          <w:lang w:val="de-DE"/>
        </w:rPr>
        <w:tab/>
        <w:t>§ 3 ­ Auf der Grundlage von § 1 ergriffene Maßnahmen werden schriftlich festgehalten. Mindestens folgende Angaben werden aufgezeichnet:</w:t>
      </w:r>
    </w:p>
    <w:p w14:paraId="359EC146" w14:textId="77777777" w:rsidR="00BD488E" w:rsidRPr="004676F5" w:rsidRDefault="00BD488E" w:rsidP="00BD488E">
      <w:pPr>
        <w:jc w:val="both"/>
        <w:rPr>
          <w:lang w:val="de-DE"/>
        </w:rPr>
      </w:pPr>
    </w:p>
    <w:p w14:paraId="26695C85" w14:textId="77777777" w:rsidR="00BD488E" w:rsidRPr="004676F5" w:rsidRDefault="00BD488E" w:rsidP="00BD488E">
      <w:pPr>
        <w:jc w:val="both"/>
        <w:rPr>
          <w:lang w:val="de-DE"/>
        </w:rPr>
      </w:pPr>
      <w:r w:rsidRPr="004676F5">
        <w:rPr>
          <w:lang w:val="de-DE"/>
        </w:rPr>
        <w:tab/>
        <w:t>1. Datum und Uhrzeit des Ergreifens der Maßnahmen,</w:t>
      </w:r>
    </w:p>
    <w:p w14:paraId="330F15BC" w14:textId="77777777" w:rsidR="00BD488E" w:rsidRPr="004676F5" w:rsidRDefault="00BD488E" w:rsidP="00BD488E">
      <w:pPr>
        <w:jc w:val="both"/>
        <w:rPr>
          <w:lang w:val="de-DE"/>
        </w:rPr>
      </w:pPr>
    </w:p>
    <w:p w14:paraId="64C1A8B5" w14:textId="2CB94420" w:rsidR="00BD488E" w:rsidRPr="004676F5" w:rsidRDefault="00BD488E" w:rsidP="00BD488E">
      <w:pPr>
        <w:jc w:val="both"/>
        <w:rPr>
          <w:lang w:val="de-DE"/>
        </w:rPr>
      </w:pPr>
      <w:r w:rsidRPr="004676F5">
        <w:rPr>
          <w:lang w:val="de-DE"/>
        </w:rPr>
        <w:tab/>
        <w:t>2. </w:t>
      </w:r>
      <w:r w:rsidR="00A6011F" w:rsidRPr="004676F5">
        <w:rPr>
          <w:lang w:val="de-DE"/>
        </w:rPr>
        <w:t>[Datum, Uhrzeit und Modalitäten]</w:t>
      </w:r>
      <w:r w:rsidRPr="004676F5">
        <w:rPr>
          <w:lang w:val="de-DE"/>
        </w:rPr>
        <w:t xml:space="preserve"> der in § 2 erwähnten Kontaktaufnahme,</w:t>
      </w:r>
    </w:p>
    <w:p w14:paraId="747218AB" w14:textId="77777777" w:rsidR="00BD488E" w:rsidRPr="004676F5" w:rsidRDefault="00BD488E" w:rsidP="00BD488E">
      <w:pPr>
        <w:jc w:val="both"/>
        <w:rPr>
          <w:lang w:val="de-DE"/>
        </w:rPr>
      </w:pPr>
    </w:p>
    <w:p w14:paraId="58294E0F" w14:textId="77777777" w:rsidR="00BD488E" w:rsidRPr="004676F5" w:rsidRDefault="00BD488E" w:rsidP="00BD488E">
      <w:pPr>
        <w:jc w:val="both"/>
        <w:rPr>
          <w:lang w:val="de-DE"/>
        </w:rPr>
      </w:pPr>
      <w:r w:rsidRPr="004676F5">
        <w:rPr>
          <w:lang w:val="de-DE"/>
        </w:rPr>
        <w:tab/>
        <w:t>3. Identität der in § 1 erwähnten Bediensteten, Eigenschaft, in der sie auftreten, und Verwaltung, der sie angehören,</w:t>
      </w:r>
    </w:p>
    <w:p w14:paraId="43A46BB1" w14:textId="77777777" w:rsidR="00BD488E" w:rsidRPr="004676F5" w:rsidRDefault="00BD488E" w:rsidP="00BD488E">
      <w:pPr>
        <w:jc w:val="both"/>
        <w:rPr>
          <w:lang w:val="de-DE"/>
        </w:rPr>
      </w:pPr>
    </w:p>
    <w:p w14:paraId="15C441C4" w14:textId="77777777" w:rsidR="00BD488E" w:rsidRPr="004676F5" w:rsidRDefault="00BD488E" w:rsidP="00BD488E">
      <w:pPr>
        <w:jc w:val="both"/>
        <w:rPr>
          <w:lang w:val="de-DE"/>
        </w:rPr>
      </w:pPr>
      <w:r w:rsidRPr="004676F5">
        <w:rPr>
          <w:lang w:val="de-DE"/>
        </w:rPr>
        <w:tab/>
        <w:t>4. ergriffene Maßnahmen,</w:t>
      </w:r>
    </w:p>
    <w:p w14:paraId="251BB53A" w14:textId="77777777" w:rsidR="00BD488E" w:rsidRPr="004676F5" w:rsidRDefault="00BD488E" w:rsidP="00BD488E">
      <w:pPr>
        <w:jc w:val="both"/>
        <w:rPr>
          <w:lang w:val="de-DE"/>
        </w:rPr>
      </w:pPr>
    </w:p>
    <w:p w14:paraId="33042E50" w14:textId="77777777" w:rsidR="00BD488E" w:rsidRPr="004676F5" w:rsidRDefault="00BD488E" w:rsidP="00BD488E">
      <w:pPr>
        <w:jc w:val="both"/>
        <w:rPr>
          <w:lang w:val="de-DE"/>
        </w:rPr>
      </w:pPr>
      <w:r w:rsidRPr="004676F5">
        <w:rPr>
          <w:lang w:val="de-DE"/>
        </w:rPr>
        <w:tab/>
        <w:t>5. faktische und rechtliche Grundlage.</w:t>
      </w:r>
    </w:p>
    <w:p w14:paraId="42718E66" w14:textId="77777777" w:rsidR="00BD488E" w:rsidRPr="004676F5" w:rsidRDefault="00BD488E" w:rsidP="00BD488E">
      <w:pPr>
        <w:jc w:val="both"/>
        <w:rPr>
          <w:lang w:val="de-DE"/>
        </w:rPr>
      </w:pPr>
    </w:p>
    <w:p w14:paraId="1970C902" w14:textId="2636A72E" w:rsidR="00BD488E" w:rsidRPr="004676F5" w:rsidRDefault="00BD488E" w:rsidP="00BD488E">
      <w:pPr>
        <w:jc w:val="both"/>
        <w:rPr>
          <w:lang w:val="de-DE"/>
        </w:rPr>
      </w:pPr>
      <w:r w:rsidRPr="004676F5">
        <w:rPr>
          <w:lang w:val="de-DE"/>
        </w:rPr>
        <w:tab/>
        <w:t>§ 4 </w:t>
      </w:r>
      <w:r w:rsidR="005B7A5C" w:rsidRPr="004676F5">
        <w:rPr>
          <w:lang w:val="de-DE"/>
        </w:rPr>
        <w:t>- </w:t>
      </w:r>
      <w:r w:rsidRPr="004676F5">
        <w:rPr>
          <w:lang w:val="de-DE"/>
        </w:rPr>
        <w:t>Die Staatsanwaltschaft kann jederzeit Aufhebung der von ihr angeordneten oder bestätigten Maßnahmen gewähren.</w:t>
      </w:r>
    </w:p>
    <w:p w14:paraId="16DBFF10" w14:textId="77777777" w:rsidR="00BD488E" w:rsidRPr="004676F5" w:rsidRDefault="00BD488E" w:rsidP="00BD488E">
      <w:pPr>
        <w:jc w:val="both"/>
        <w:rPr>
          <w:lang w:val="de-DE"/>
        </w:rPr>
      </w:pPr>
    </w:p>
    <w:p w14:paraId="10D4B82C" w14:textId="77777777" w:rsidR="00BD488E" w:rsidRPr="004676F5" w:rsidRDefault="00BD488E" w:rsidP="00BD488E">
      <w:pPr>
        <w:jc w:val="both"/>
        <w:rPr>
          <w:lang w:val="de-DE"/>
        </w:rPr>
      </w:pPr>
      <w:r w:rsidRPr="004676F5">
        <w:rPr>
          <w:lang w:val="de-DE"/>
        </w:rPr>
        <w:tab/>
        <w:t>Solange keine Bestätigung durch die Staatsanwaltschaft vorliegt, können die in § 1 erwähnten Bediensteten Aufhebung der Maßnahmen gewähren.</w:t>
      </w:r>
    </w:p>
    <w:p w14:paraId="4BAA1BAB" w14:textId="77777777" w:rsidR="00BD488E" w:rsidRPr="004676F5" w:rsidRDefault="00BD488E" w:rsidP="00BD488E">
      <w:pPr>
        <w:jc w:val="both"/>
        <w:rPr>
          <w:lang w:val="de-DE"/>
        </w:rPr>
      </w:pPr>
    </w:p>
    <w:p w14:paraId="57F444FD" w14:textId="77777777" w:rsidR="00BD488E" w:rsidRPr="004676F5" w:rsidRDefault="00BD488E" w:rsidP="00BD488E">
      <w:pPr>
        <w:jc w:val="both"/>
        <w:rPr>
          <w:lang w:val="de-DE"/>
        </w:rPr>
      </w:pPr>
      <w:r w:rsidRPr="004676F5">
        <w:rPr>
          <w:lang w:val="de-DE"/>
        </w:rPr>
        <w:tab/>
        <w:t>Nach Bestätigung der Maßnahmen oder nach ihrer Anordnung kann eine mit Gründen versehene Beschwerde gegen die ergriffenen Maßnahmen bei der Staatsanwaltschaft eingelegt werden.</w:t>
      </w:r>
    </w:p>
    <w:p w14:paraId="51077DE5" w14:textId="77777777" w:rsidR="00BD488E" w:rsidRPr="004676F5" w:rsidRDefault="00BD488E" w:rsidP="00BD488E">
      <w:pPr>
        <w:jc w:val="both"/>
        <w:rPr>
          <w:lang w:val="de-DE"/>
        </w:rPr>
      </w:pPr>
    </w:p>
    <w:p w14:paraId="495957D5" w14:textId="4BAFCB0B" w:rsidR="00BD488E" w:rsidRPr="004676F5" w:rsidRDefault="00BD488E" w:rsidP="00BD488E">
      <w:pPr>
        <w:jc w:val="both"/>
        <w:rPr>
          <w:lang w:val="de-DE"/>
        </w:rPr>
      </w:pPr>
      <w:r w:rsidRPr="004676F5">
        <w:rPr>
          <w:lang w:val="de-DE"/>
        </w:rPr>
        <w:lastRenderedPageBreak/>
        <w:tab/>
        <w:t>§ 5 </w:t>
      </w:r>
      <w:r w:rsidR="005B7A5C" w:rsidRPr="004676F5">
        <w:rPr>
          <w:lang w:val="de-DE"/>
        </w:rPr>
        <w:t>- </w:t>
      </w:r>
      <w:r w:rsidRPr="004676F5">
        <w:rPr>
          <w:lang w:val="de-DE"/>
        </w:rPr>
        <w:t>In § 1 erwähnte Maßnahmen werden von Rechts wegen durch die gerichtliche Entscheidung zur Beendigung der Verfolgung </w:t>
      </w:r>
      <w:r w:rsidR="005B7A5C" w:rsidRPr="004676F5">
        <w:rPr>
          <w:lang w:val="de-DE"/>
        </w:rPr>
        <w:t>- </w:t>
      </w:r>
      <w:r w:rsidRPr="004676F5">
        <w:rPr>
          <w:lang w:val="de-DE"/>
        </w:rPr>
        <w:t>sobald dieses Urteil formell rechtskräftig ist </w:t>
      </w:r>
      <w:r w:rsidR="005B7A5C" w:rsidRPr="004676F5">
        <w:rPr>
          <w:lang w:val="de-DE"/>
        </w:rPr>
        <w:t>- </w:t>
      </w:r>
      <w:r w:rsidRPr="004676F5">
        <w:rPr>
          <w:lang w:val="de-DE"/>
        </w:rPr>
        <w:t>oder durch Einstellung der Strafverfolgung durch die Staatsanwaltschaft oder durch Beschluss der in § 1 erwähnten Bediensteten aufgehoben.]</w:t>
      </w:r>
    </w:p>
    <w:p w14:paraId="69303DBD" w14:textId="77777777" w:rsidR="00F71E6A" w:rsidRPr="004676F5" w:rsidRDefault="00F71E6A" w:rsidP="00BA2266">
      <w:pPr>
        <w:jc w:val="both"/>
        <w:rPr>
          <w:lang w:val="de-DE"/>
        </w:rPr>
      </w:pPr>
    </w:p>
    <w:p w14:paraId="5E4EF5BD" w14:textId="0792E42A" w:rsidR="00BD488E" w:rsidRPr="004676F5" w:rsidRDefault="00BD488E" w:rsidP="00BA2266">
      <w:pPr>
        <w:jc w:val="both"/>
        <w:rPr>
          <w:bCs/>
          <w:i/>
          <w:iCs/>
          <w:lang w:val="de-DE"/>
        </w:rPr>
      </w:pPr>
      <w:r w:rsidRPr="004676F5">
        <w:rPr>
          <w:i/>
          <w:iCs/>
          <w:lang w:val="de-DE"/>
        </w:rPr>
        <w:t>[Art. XV.5/1 eingefügt durch Art. 7</w:t>
      </w:r>
      <w:r w:rsidRPr="004676F5">
        <w:rPr>
          <w:bCs/>
          <w:i/>
          <w:iCs/>
          <w:lang w:val="de-DE"/>
        </w:rPr>
        <w:t xml:space="preserve"> des G. vom 29. September 2020 (B.S. vom 20. November 2020)</w:t>
      </w:r>
      <w:r w:rsidR="00A6011F" w:rsidRPr="004676F5">
        <w:rPr>
          <w:bCs/>
          <w:i/>
          <w:iCs/>
          <w:lang w:val="de-DE"/>
        </w:rPr>
        <w:t>; § 1 Abs. 1 Nr. 1 abgeändert durch Art. 32 Nr. 1 des G. vom 5. November 2023</w:t>
      </w:r>
      <w:r w:rsidR="00857EC4" w:rsidRPr="004676F5">
        <w:rPr>
          <w:bCs/>
          <w:i/>
          <w:iCs/>
          <w:lang w:val="de-DE"/>
        </w:rPr>
        <w:t> (I)</w:t>
      </w:r>
      <w:r w:rsidR="00A6011F" w:rsidRPr="004676F5">
        <w:rPr>
          <w:bCs/>
          <w:i/>
          <w:iCs/>
          <w:lang w:val="de-DE"/>
        </w:rPr>
        <w:t xml:space="preserve"> (B.S. vom 11. Dezember 2023); § 2 Abs. 1 abgeändert durch Art. 32 Nr. 2 und 3 des G. vom 5. November 2023</w:t>
      </w:r>
      <w:r w:rsidR="00857EC4" w:rsidRPr="004676F5">
        <w:rPr>
          <w:bCs/>
          <w:i/>
          <w:iCs/>
          <w:lang w:val="de-DE"/>
        </w:rPr>
        <w:t> (I)</w:t>
      </w:r>
      <w:r w:rsidR="00A6011F" w:rsidRPr="004676F5">
        <w:rPr>
          <w:bCs/>
          <w:i/>
          <w:iCs/>
          <w:lang w:val="de-DE"/>
        </w:rPr>
        <w:t xml:space="preserve"> (B.S. vom 11. Dezember 2023); § 3 einziger Absatz Nr. 2 abgeändert durch Art. 32 Nr. 4 des G. vom 5. November 2023</w:t>
      </w:r>
      <w:r w:rsidR="00857EC4" w:rsidRPr="004676F5">
        <w:rPr>
          <w:bCs/>
          <w:i/>
          <w:iCs/>
          <w:lang w:val="de-DE"/>
        </w:rPr>
        <w:t> (I)</w:t>
      </w:r>
      <w:r w:rsidR="00A6011F" w:rsidRPr="004676F5">
        <w:rPr>
          <w:bCs/>
          <w:i/>
          <w:iCs/>
          <w:lang w:val="de-DE"/>
        </w:rPr>
        <w:t xml:space="preserve"> (B.S. vom 11. Dezember 2023)</w:t>
      </w:r>
      <w:r w:rsidRPr="004676F5">
        <w:rPr>
          <w:bCs/>
          <w:i/>
          <w:iCs/>
          <w:lang w:val="de-DE"/>
        </w:rPr>
        <w:t>]</w:t>
      </w:r>
    </w:p>
    <w:p w14:paraId="681B32D2" w14:textId="77777777" w:rsidR="00BD488E" w:rsidRPr="004676F5" w:rsidRDefault="00BD488E" w:rsidP="00BA2266">
      <w:pPr>
        <w:jc w:val="both"/>
        <w:rPr>
          <w:bCs/>
          <w:i/>
          <w:iCs/>
          <w:lang w:val="de-DE"/>
        </w:rPr>
      </w:pPr>
    </w:p>
    <w:p w14:paraId="3025726F" w14:textId="77777777" w:rsidR="00BD488E" w:rsidRPr="004676F5" w:rsidRDefault="00BD488E" w:rsidP="00BA2266">
      <w:pPr>
        <w:jc w:val="both"/>
        <w:rPr>
          <w:i/>
          <w:iCs/>
          <w:lang w:val="de-DE"/>
        </w:rPr>
      </w:pPr>
    </w:p>
    <w:p w14:paraId="7ABD7C4F" w14:textId="4335D223" w:rsidR="00BA2266" w:rsidRPr="004676F5" w:rsidRDefault="00BE0A56" w:rsidP="00BA2266">
      <w:pPr>
        <w:ind w:firstLine="708"/>
        <w:jc w:val="both"/>
        <w:rPr>
          <w:lang w:val="de-DE"/>
        </w:rPr>
      </w:pPr>
      <w:r w:rsidRPr="004676F5">
        <w:rPr>
          <w:b/>
          <w:lang w:val="de-DE"/>
        </w:rPr>
        <w:t>Art. </w:t>
      </w:r>
      <w:r w:rsidR="00BA2266" w:rsidRPr="004676F5">
        <w:rPr>
          <w:b/>
          <w:lang w:val="de-DE"/>
        </w:rPr>
        <w:t>XV.6</w:t>
      </w:r>
      <w:r w:rsidR="00BA2266" w:rsidRPr="004676F5">
        <w:rPr>
          <w:lang w:val="de-DE"/>
        </w:rPr>
        <w:t> </w:t>
      </w:r>
      <w:r w:rsidR="005B7A5C" w:rsidRPr="004676F5">
        <w:rPr>
          <w:lang w:val="de-DE"/>
        </w:rPr>
        <w:t>- </w:t>
      </w:r>
      <w:r w:rsidR="00BA2266" w:rsidRPr="004676F5">
        <w:rPr>
          <w:lang w:val="de-DE"/>
        </w:rPr>
        <w:t>In Artikel XV.2 erwähnte Bedienstete üben ihren Auftrag in Bezug auf Ermittlung und Feststellung von wirtschaftlichen Straftaten je nach Fall unter Aufsicht des zuständigen Generalprokurators beziehungsweise des Föderalprokurators aus, unbeschadet der Tatsache, dass sie ihren Verwaltungsvorgesetzten untergeordnet bleiben.</w:t>
      </w:r>
    </w:p>
    <w:p w14:paraId="5256DE2E" w14:textId="77777777" w:rsidR="00E56C9E" w:rsidRPr="004676F5" w:rsidRDefault="00E56C9E" w:rsidP="00BA2266">
      <w:pPr>
        <w:ind w:firstLine="708"/>
        <w:jc w:val="both"/>
        <w:rPr>
          <w:lang w:val="de-DE"/>
        </w:rPr>
      </w:pPr>
    </w:p>
    <w:p w14:paraId="699671BC" w14:textId="77777777" w:rsidR="00E56C9E" w:rsidRPr="004676F5" w:rsidRDefault="00E56C9E" w:rsidP="00BA2266">
      <w:pPr>
        <w:ind w:firstLine="708"/>
        <w:jc w:val="both"/>
        <w:rPr>
          <w:lang w:val="de-DE"/>
        </w:rPr>
      </w:pPr>
    </w:p>
    <w:p w14:paraId="4B963022" w14:textId="611F6B48" w:rsidR="00E56C9E" w:rsidRPr="004676F5" w:rsidRDefault="00E56C9E" w:rsidP="00E56C9E">
      <w:pPr>
        <w:ind w:firstLine="708"/>
        <w:jc w:val="both"/>
        <w:rPr>
          <w:rFonts w:eastAsiaTheme="minorHAnsi"/>
          <w:lang w:val="de-DE"/>
        </w:rPr>
      </w:pPr>
      <w:r w:rsidRPr="004676F5">
        <w:rPr>
          <w:lang w:val="de-DE"/>
        </w:rPr>
        <w:t>[</w:t>
      </w:r>
      <w:r w:rsidR="00BE0A56" w:rsidRPr="004676F5">
        <w:rPr>
          <w:b/>
          <w:lang w:val="de-DE"/>
        </w:rPr>
        <w:t>Art. </w:t>
      </w:r>
      <w:r w:rsidRPr="004676F5">
        <w:rPr>
          <w:b/>
          <w:lang w:val="de-DE"/>
        </w:rPr>
        <w:t>XV.6/1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Artikel XV.2 erwähnte Bedienstete sind an das Berufsgeheimnis gebunden und dürfen vertrauliche Informationen, von denen sie aufgrund ihrer Funktion Kenntnis erhalten haben, keiner Person oder Behörde offenlegen.</w:t>
      </w:r>
    </w:p>
    <w:p w14:paraId="5BC16556" w14:textId="77777777" w:rsidR="00E56C9E" w:rsidRPr="004676F5" w:rsidRDefault="00E56C9E" w:rsidP="00E56C9E">
      <w:pPr>
        <w:jc w:val="both"/>
        <w:rPr>
          <w:rFonts w:eastAsiaTheme="minorHAnsi"/>
          <w:lang w:val="de-DE" w:eastAsia="en-US"/>
        </w:rPr>
      </w:pPr>
    </w:p>
    <w:p w14:paraId="25597E0B" w14:textId="77777777" w:rsidR="00E56C9E" w:rsidRPr="004676F5" w:rsidRDefault="00E56C9E" w:rsidP="00E56C9E">
      <w:pPr>
        <w:jc w:val="both"/>
        <w:rPr>
          <w:rFonts w:eastAsiaTheme="minorHAnsi"/>
          <w:lang w:val="de-DE"/>
        </w:rPr>
      </w:pPr>
      <w:r w:rsidRPr="004676F5">
        <w:rPr>
          <w:lang w:val="de-DE"/>
        </w:rPr>
        <w:tab/>
        <w:t>In Abweichung von Absatz 1 dürfen diese Bediensteten vertrauliche Informationen mitteilen:</w:t>
      </w:r>
    </w:p>
    <w:p w14:paraId="754531C0" w14:textId="77777777" w:rsidR="00E56C9E" w:rsidRPr="004676F5" w:rsidRDefault="00E56C9E" w:rsidP="00E56C9E">
      <w:pPr>
        <w:jc w:val="both"/>
        <w:rPr>
          <w:rFonts w:eastAsiaTheme="minorHAnsi"/>
          <w:lang w:val="de-DE" w:eastAsia="en-US"/>
        </w:rPr>
      </w:pPr>
    </w:p>
    <w:p w14:paraId="7A929712" w14:textId="6BA22EA7" w:rsidR="00E56C9E" w:rsidRPr="004676F5" w:rsidRDefault="00E56C9E" w:rsidP="00E56C9E">
      <w:pPr>
        <w:jc w:val="both"/>
        <w:rPr>
          <w:rFonts w:eastAsiaTheme="minorHAnsi"/>
          <w:lang w:val="de-DE"/>
        </w:rPr>
      </w:pPr>
      <w:r w:rsidRPr="004676F5">
        <w:rPr>
          <w:lang w:val="de-DE"/>
        </w:rPr>
        <w:tab/>
        <w:t>1. in kurz</w:t>
      </w:r>
      <w:r w:rsidR="005B7A5C" w:rsidRPr="004676F5">
        <w:rPr>
          <w:lang w:val="de-DE"/>
        </w:rPr>
        <w:t>- </w:t>
      </w:r>
      <w:r w:rsidRPr="004676F5">
        <w:rPr>
          <w:lang w:val="de-DE"/>
        </w:rPr>
        <w:t xml:space="preserve">oder zusammengefasster Form, sofern einzelne natürliche oder juristische Personen </w:t>
      </w:r>
      <w:r w:rsidR="0098050D" w:rsidRPr="004676F5">
        <w:rPr>
          <w:lang w:val="de-DE"/>
        </w:rPr>
        <w:t>[nicht identifizierbar sind]</w:t>
      </w:r>
      <w:r w:rsidRPr="004676F5">
        <w:rPr>
          <w:lang w:val="de-DE"/>
        </w:rPr>
        <w:t>,</w:t>
      </w:r>
    </w:p>
    <w:p w14:paraId="64BA8559" w14:textId="77777777" w:rsidR="00E56C9E" w:rsidRPr="004676F5" w:rsidRDefault="00E56C9E" w:rsidP="00E56C9E">
      <w:pPr>
        <w:jc w:val="both"/>
        <w:rPr>
          <w:rFonts w:eastAsiaTheme="minorHAnsi"/>
          <w:lang w:val="de-DE" w:eastAsia="en-US"/>
        </w:rPr>
      </w:pPr>
    </w:p>
    <w:p w14:paraId="629A9241" w14:textId="2FCC13C4" w:rsidR="00E56C9E" w:rsidRPr="004676F5" w:rsidRDefault="00E56C9E" w:rsidP="00E56C9E">
      <w:pPr>
        <w:jc w:val="both"/>
        <w:rPr>
          <w:rFonts w:eastAsiaTheme="minorHAnsi"/>
          <w:lang w:val="de-DE"/>
        </w:rPr>
      </w:pPr>
      <w:r w:rsidRPr="004676F5">
        <w:rPr>
          <w:lang w:val="de-DE"/>
        </w:rPr>
        <w:tab/>
        <w:t xml:space="preserve">2. in Fällen, in denen die Mitteilung solcher Informationen durch oder aufgrund des vorliegenden Gesetzbuches </w:t>
      </w:r>
      <w:r w:rsidR="0098050D" w:rsidRPr="004676F5">
        <w:rPr>
          <w:lang w:val="de-DE"/>
        </w:rPr>
        <w:t xml:space="preserve">[oder anderer Gesetze] </w:t>
      </w:r>
      <w:r w:rsidRPr="004676F5">
        <w:rPr>
          <w:lang w:val="de-DE"/>
        </w:rPr>
        <w:t>vorgesehen oder erlaubt ist,</w:t>
      </w:r>
    </w:p>
    <w:p w14:paraId="5EE9A92B" w14:textId="77777777" w:rsidR="00E56C9E" w:rsidRPr="004676F5" w:rsidRDefault="00E56C9E" w:rsidP="00E56C9E">
      <w:pPr>
        <w:jc w:val="both"/>
        <w:rPr>
          <w:rFonts w:eastAsiaTheme="minorHAnsi"/>
          <w:lang w:val="de-DE" w:eastAsia="en-US"/>
        </w:rPr>
      </w:pPr>
    </w:p>
    <w:p w14:paraId="450BC37E" w14:textId="77777777" w:rsidR="00E56C9E" w:rsidRPr="004676F5" w:rsidRDefault="00E56C9E" w:rsidP="00E56C9E">
      <w:pPr>
        <w:jc w:val="both"/>
        <w:rPr>
          <w:rFonts w:eastAsiaTheme="minorHAnsi"/>
          <w:lang w:val="de-DE"/>
        </w:rPr>
      </w:pPr>
      <w:r w:rsidRPr="004676F5">
        <w:rPr>
          <w:lang w:val="de-DE"/>
        </w:rPr>
        <w:tab/>
        <w:t>3. bei einer Aussage vor Gericht in strafrechtlichen Angelegenheiten,</w:t>
      </w:r>
    </w:p>
    <w:p w14:paraId="6F578FB0" w14:textId="77777777" w:rsidR="00E56C9E" w:rsidRPr="004676F5" w:rsidRDefault="00E56C9E" w:rsidP="00E56C9E">
      <w:pPr>
        <w:jc w:val="both"/>
        <w:rPr>
          <w:rFonts w:eastAsiaTheme="minorHAnsi"/>
          <w:lang w:val="de-DE" w:eastAsia="en-US"/>
        </w:rPr>
      </w:pPr>
    </w:p>
    <w:p w14:paraId="0D3047C1" w14:textId="325A3055" w:rsidR="00E56C9E" w:rsidRPr="004676F5" w:rsidRDefault="00E56C9E" w:rsidP="00E56C9E">
      <w:pPr>
        <w:jc w:val="both"/>
        <w:rPr>
          <w:rFonts w:eastAsiaTheme="minorHAnsi"/>
          <w:lang w:val="de-DE"/>
        </w:rPr>
      </w:pPr>
      <w:r w:rsidRPr="004676F5">
        <w:rPr>
          <w:lang w:val="de-DE"/>
        </w:rPr>
        <w:tab/>
        <w:t xml:space="preserve">4. um bei den Gerichtsbehörden </w:t>
      </w:r>
      <w:r w:rsidR="0098050D" w:rsidRPr="004676F5">
        <w:rPr>
          <w:lang w:val="de-DE"/>
        </w:rPr>
        <w:t>[andere Verbrechen und Vergehen]</w:t>
      </w:r>
      <w:r w:rsidRPr="004676F5">
        <w:rPr>
          <w:lang w:val="de-DE"/>
        </w:rPr>
        <w:t xml:space="preserve"> als diejenigen, die in vorliegendem Gesetzbuch und seinen Ausführungserlassen erwähnt sind, anzuzeigen,</w:t>
      </w:r>
    </w:p>
    <w:p w14:paraId="103D717C" w14:textId="77777777" w:rsidR="00E56C9E" w:rsidRPr="004676F5" w:rsidRDefault="00E56C9E" w:rsidP="00E56C9E">
      <w:pPr>
        <w:jc w:val="both"/>
        <w:rPr>
          <w:rFonts w:eastAsiaTheme="minorHAnsi"/>
          <w:lang w:val="de-DE" w:eastAsia="en-US"/>
        </w:rPr>
      </w:pPr>
    </w:p>
    <w:p w14:paraId="203768A2" w14:textId="6A8A368F" w:rsidR="00E56C9E" w:rsidRPr="004676F5" w:rsidRDefault="00E56C9E" w:rsidP="00E56C9E">
      <w:pPr>
        <w:jc w:val="both"/>
        <w:rPr>
          <w:lang w:val="de-DE"/>
        </w:rPr>
      </w:pPr>
      <w:r w:rsidRPr="004676F5">
        <w:rPr>
          <w:lang w:val="de-DE"/>
        </w:rPr>
        <w:tab/>
        <w:t xml:space="preserve">5. an andere öffentliche Dienste und Einrichtungen </w:t>
      </w:r>
      <w:r w:rsidR="0098050D" w:rsidRPr="004676F5">
        <w:rPr>
          <w:lang w:val="de-DE"/>
        </w:rPr>
        <w:t>[wenn dies erforderlich ist für]</w:t>
      </w:r>
      <w:r w:rsidRPr="004676F5">
        <w:rPr>
          <w:lang w:val="de-DE"/>
        </w:rPr>
        <w:t xml:space="preserve"> Ermittlung, Verfolgung und Ahndung von Verstößen gegen Rechtsvorschriften, die in deren Zuständig</w:t>
      </w:r>
      <w:r w:rsidRPr="004676F5">
        <w:rPr>
          <w:lang w:val="de-DE"/>
        </w:rPr>
        <w:softHyphen/>
        <w:t>keiten fallen</w:t>
      </w:r>
      <w:r w:rsidR="00594AE6" w:rsidRPr="004676F5">
        <w:rPr>
          <w:lang w:val="de-DE"/>
        </w:rPr>
        <w:t>,</w:t>
      </w:r>
    </w:p>
    <w:p w14:paraId="55A60316" w14:textId="77777777" w:rsidR="00594AE6" w:rsidRPr="004676F5" w:rsidRDefault="00594AE6" w:rsidP="00E56C9E">
      <w:pPr>
        <w:jc w:val="both"/>
        <w:rPr>
          <w:lang w:val="de-DE"/>
        </w:rPr>
      </w:pPr>
    </w:p>
    <w:p w14:paraId="63621A2D" w14:textId="46FB0C42" w:rsidR="00594AE6" w:rsidRPr="004676F5" w:rsidRDefault="00594AE6" w:rsidP="00E56C9E">
      <w:pPr>
        <w:jc w:val="both"/>
        <w:rPr>
          <w:rFonts w:eastAsiaTheme="minorHAnsi"/>
          <w:lang w:val="de-DE"/>
        </w:rPr>
      </w:pPr>
      <w:r w:rsidRPr="004676F5">
        <w:rPr>
          <w:lang w:val="de-DE"/>
        </w:rPr>
        <w:tab/>
        <w:t xml:space="preserve">[6. an ausländische Behörden, gegebenenfalls in den Grenzen oder unter Einhaltung der europäischen Richtlinien und Verordnungen, </w:t>
      </w:r>
      <w:r w:rsidR="0098050D" w:rsidRPr="004676F5">
        <w:rPr>
          <w:lang w:val="de-DE"/>
        </w:rPr>
        <w:t>[wenn dies erforderlich ist für Ermittlung und Verfolgung von Verstößen]</w:t>
      </w:r>
      <w:r w:rsidRPr="004676F5">
        <w:rPr>
          <w:lang w:val="de-DE"/>
        </w:rPr>
        <w:t>, die mit Verstößen vergleichbar sind, für die in vorliegendem Buch Sanktionen vorgesehen sind.]</w:t>
      </w:r>
    </w:p>
    <w:p w14:paraId="08B5C661" w14:textId="77777777" w:rsidR="00E56C9E" w:rsidRPr="004676F5" w:rsidRDefault="00E56C9E" w:rsidP="00E56C9E">
      <w:pPr>
        <w:jc w:val="both"/>
        <w:rPr>
          <w:rFonts w:eastAsiaTheme="minorHAnsi"/>
          <w:lang w:val="de-DE" w:eastAsia="en-US"/>
        </w:rPr>
      </w:pPr>
    </w:p>
    <w:p w14:paraId="2005315B" w14:textId="77777777" w:rsidR="00650FBF" w:rsidRPr="004676F5" w:rsidRDefault="00650FBF">
      <w:pPr>
        <w:rPr>
          <w:lang w:val="de-DE"/>
        </w:rPr>
      </w:pPr>
      <w:r w:rsidRPr="004676F5">
        <w:rPr>
          <w:lang w:val="de-DE"/>
        </w:rPr>
        <w:br w:type="page"/>
      </w:r>
    </w:p>
    <w:p w14:paraId="40881B34" w14:textId="3BF779B7" w:rsidR="00E56C9E" w:rsidRPr="004676F5" w:rsidRDefault="00E56C9E" w:rsidP="00E56C9E">
      <w:pPr>
        <w:ind w:firstLine="708"/>
        <w:jc w:val="both"/>
        <w:rPr>
          <w:lang w:val="de-DE"/>
        </w:rPr>
      </w:pPr>
      <w:r w:rsidRPr="004676F5">
        <w:rPr>
          <w:lang w:val="de-DE"/>
        </w:rPr>
        <w:lastRenderedPageBreak/>
        <w:t>§ 2 </w:t>
      </w:r>
      <w:r w:rsidR="005B7A5C" w:rsidRPr="004676F5">
        <w:rPr>
          <w:lang w:val="de-DE"/>
        </w:rPr>
        <w:t>- </w:t>
      </w:r>
      <w:r w:rsidRPr="004676F5">
        <w:rPr>
          <w:lang w:val="de-DE"/>
        </w:rPr>
        <w:t>Verstöße gegen § 1 werden mit den in Artikel 458 des Strafgesetzbuches festgelegten Strafen geahndet.]</w:t>
      </w:r>
    </w:p>
    <w:p w14:paraId="40887AEC" w14:textId="77777777" w:rsidR="00E56C9E" w:rsidRPr="004676F5" w:rsidRDefault="00E56C9E" w:rsidP="00E56C9E">
      <w:pPr>
        <w:ind w:firstLine="708"/>
        <w:jc w:val="both"/>
        <w:rPr>
          <w:lang w:val="de-DE"/>
        </w:rPr>
      </w:pPr>
    </w:p>
    <w:p w14:paraId="4EE09231" w14:textId="0FF9A97C" w:rsidR="00E56C9E" w:rsidRPr="004676F5" w:rsidRDefault="00E56C9E" w:rsidP="00E56C9E">
      <w:pPr>
        <w:jc w:val="both"/>
        <w:rPr>
          <w:i/>
          <w:lang w:val="de-DE"/>
        </w:rPr>
      </w:pPr>
      <w:r w:rsidRPr="004676F5">
        <w:rPr>
          <w:i/>
          <w:lang w:val="de-DE"/>
        </w:rPr>
        <w:t>[</w:t>
      </w:r>
      <w:r w:rsidR="00BE0A56" w:rsidRPr="004676F5">
        <w:rPr>
          <w:i/>
          <w:lang w:val="de-DE"/>
        </w:rPr>
        <w:t>Art. </w:t>
      </w:r>
      <w:r w:rsidRPr="004676F5">
        <w:rPr>
          <w:i/>
          <w:lang w:val="de-DE"/>
        </w:rPr>
        <w:t xml:space="preserve">XV.6/1 eingefügt durch </w:t>
      </w:r>
      <w:r w:rsidR="00BE0A56" w:rsidRPr="004676F5">
        <w:rPr>
          <w:i/>
          <w:lang w:val="de-DE"/>
        </w:rPr>
        <w:t>Art. </w:t>
      </w:r>
      <w:r w:rsidRPr="004676F5">
        <w:rPr>
          <w:i/>
          <w:lang w:val="de-DE"/>
        </w:rPr>
        <w:t>22 des G. vom 18. April 2017 (B.S. vom 24. April 2017)</w:t>
      </w:r>
      <w:r w:rsidR="00594AE6" w:rsidRPr="004676F5">
        <w:rPr>
          <w:i/>
          <w:lang w:val="de-DE"/>
        </w:rPr>
        <w:t xml:space="preserve">; </w:t>
      </w:r>
      <w:r w:rsidR="0098050D" w:rsidRPr="004676F5">
        <w:rPr>
          <w:i/>
          <w:lang w:val="de-DE"/>
        </w:rPr>
        <w:t>§ 1 Abs. 2 Nr. 1 abgeändert durch Art. 33 Nr. 1 des G. vom 5. November 2023</w:t>
      </w:r>
      <w:r w:rsidR="00857EC4" w:rsidRPr="004676F5">
        <w:rPr>
          <w:i/>
          <w:lang w:val="de-DE"/>
        </w:rPr>
        <w:t> (I)</w:t>
      </w:r>
      <w:r w:rsidR="0098050D" w:rsidRPr="004676F5">
        <w:rPr>
          <w:i/>
          <w:lang w:val="de-DE"/>
        </w:rPr>
        <w:t xml:space="preserve"> (B.S. vom 11. Dezember 2023); § 1 Abs. 2 Nr. 2 abgeändert durch Art. 33 Nr. 2 des G. vom 5. November 2023</w:t>
      </w:r>
      <w:r w:rsidR="00857EC4" w:rsidRPr="004676F5">
        <w:rPr>
          <w:i/>
          <w:lang w:val="de-DE"/>
        </w:rPr>
        <w:t> (I)</w:t>
      </w:r>
      <w:r w:rsidR="0098050D" w:rsidRPr="004676F5">
        <w:rPr>
          <w:i/>
          <w:lang w:val="de-DE"/>
        </w:rPr>
        <w:t xml:space="preserve"> (B.S. vom 11. Dezember 2023); § 1 Abs. 2 Nr. 4 abgeändert durch Art. 33 Nr. 3 des G. vom 5. November 2023</w:t>
      </w:r>
      <w:r w:rsidR="00857EC4" w:rsidRPr="004676F5">
        <w:rPr>
          <w:i/>
          <w:lang w:val="de-DE"/>
        </w:rPr>
        <w:t> (I)</w:t>
      </w:r>
      <w:r w:rsidR="0098050D" w:rsidRPr="004676F5">
        <w:rPr>
          <w:i/>
          <w:lang w:val="de-DE"/>
        </w:rPr>
        <w:t xml:space="preserve"> (B.S. vom 11. Dezember 2023); § 1 Abs. 2 Nr. 5 abgeändert durch Art. 33 Nr. 4 des G. vom 5. November 2023</w:t>
      </w:r>
      <w:r w:rsidR="00857EC4" w:rsidRPr="004676F5">
        <w:rPr>
          <w:i/>
          <w:lang w:val="de-DE"/>
        </w:rPr>
        <w:t xml:space="preserve"> (I) </w:t>
      </w:r>
      <w:r w:rsidR="0098050D" w:rsidRPr="004676F5">
        <w:rPr>
          <w:i/>
          <w:lang w:val="de-DE"/>
        </w:rPr>
        <w:t xml:space="preserve">(B.S. vom 11. Dezember 2023); </w:t>
      </w:r>
      <w:r w:rsidR="00594AE6" w:rsidRPr="004676F5">
        <w:rPr>
          <w:i/>
          <w:lang w:val="de-DE"/>
        </w:rPr>
        <w:t>§ 1 Abs. 2 Nr. 6 eingefügt durch Art. 28 des G. vom 2. Mai 2019 (IV) (B.S. vom 22. Mai 2019)</w:t>
      </w:r>
      <w:r w:rsidR="0098050D" w:rsidRPr="004676F5">
        <w:rPr>
          <w:i/>
          <w:lang w:val="de-DE"/>
        </w:rPr>
        <w:t xml:space="preserve"> und </w:t>
      </w:r>
      <w:r w:rsidR="004C46A3" w:rsidRPr="004676F5">
        <w:rPr>
          <w:i/>
          <w:lang w:val="de-DE"/>
        </w:rPr>
        <w:t xml:space="preserve">abgeändert durch </w:t>
      </w:r>
      <w:r w:rsidR="0098050D" w:rsidRPr="004676F5">
        <w:rPr>
          <w:i/>
          <w:lang w:val="de-DE"/>
        </w:rPr>
        <w:t>Art. 33 Nr. 4 des G. vom 5. November 2023</w:t>
      </w:r>
      <w:r w:rsidR="00857EC4" w:rsidRPr="004676F5">
        <w:rPr>
          <w:i/>
          <w:lang w:val="de-DE"/>
        </w:rPr>
        <w:t xml:space="preserve"> (I) </w:t>
      </w:r>
      <w:r w:rsidR="0098050D" w:rsidRPr="004676F5">
        <w:rPr>
          <w:i/>
          <w:lang w:val="de-DE"/>
        </w:rPr>
        <w:t>(B.S. vom 11. Dezember 2023)</w:t>
      </w:r>
      <w:r w:rsidRPr="004676F5">
        <w:rPr>
          <w:i/>
          <w:lang w:val="de-DE"/>
        </w:rPr>
        <w:t>]</w:t>
      </w:r>
    </w:p>
    <w:p w14:paraId="18552F34" w14:textId="043C807B" w:rsidR="00BA2266" w:rsidRPr="004676F5" w:rsidRDefault="00C5750E" w:rsidP="00C5750E">
      <w:pPr>
        <w:tabs>
          <w:tab w:val="left" w:pos="2532"/>
        </w:tabs>
        <w:jc w:val="both"/>
        <w:rPr>
          <w:lang w:val="de-DE"/>
        </w:rPr>
      </w:pPr>
      <w:r w:rsidRPr="004676F5">
        <w:rPr>
          <w:lang w:val="de-DE"/>
        </w:rPr>
        <w:tab/>
      </w:r>
    </w:p>
    <w:p w14:paraId="43721780" w14:textId="77777777" w:rsidR="00CE5BB7" w:rsidRPr="004676F5" w:rsidRDefault="00CE5BB7" w:rsidP="00C5750E">
      <w:pPr>
        <w:tabs>
          <w:tab w:val="left" w:pos="2532"/>
        </w:tabs>
        <w:jc w:val="both"/>
        <w:rPr>
          <w:lang w:val="de-DE"/>
        </w:rPr>
      </w:pPr>
    </w:p>
    <w:p w14:paraId="7E0A30EE" w14:textId="05F0E530" w:rsidR="00CE5BB7" w:rsidRPr="004676F5" w:rsidRDefault="00CE5BB7" w:rsidP="00CE5BB7">
      <w:pPr>
        <w:jc w:val="both"/>
        <w:rPr>
          <w:iCs/>
          <w:sz w:val="20"/>
          <w:szCs w:val="20"/>
          <w:lang w:val="de-DE"/>
        </w:rPr>
      </w:pPr>
      <w:r w:rsidRPr="004676F5">
        <w:rPr>
          <w:iCs/>
          <w:sz w:val="20"/>
          <w:szCs w:val="20"/>
          <w:lang w:val="de-DE"/>
        </w:rPr>
        <w:t>Ab dem 8. April 2026 (gemäß Art. 119 des G. vom 29. Februar 2024 </w:t>
      </w:r>
      <w:r w:rsidRPr="004676F5">
        <w:rPr>
          <w:i/>
          <w:sz w:val="20"/>
          <w:szCs w:val="20"/>
          <w:lang w:val="de-DE"/>
        </w:rPr>
        <w:t>(II)</w:t>
      </w:r>
      <w:r w:rsidRPr="004676F5">
        <w:rPr>
          <w:iCs/>
          <w:sz w:val="20"/>
          <w:szCs w:val="20"/>
          <w:lang w:val="de-DE"/>
        </w:rPr>
        <w:t xml:space="preserve"> (B.S. vom 8. April 2024)) lautet Art. </w:t>
      </w:r>
      <w:r w:rsidR="00453EBF" w:rsidRPr="004676F5">
        <w:rPr>
          <w:iCs/>
          <w:sz w:val="20"/>
          <w:szCs w:val="20"/>
          <w:lang w:val="de-DE"/>
        </w:rPr>
        <w:t>XV.6/1</w:t>
      </w:r>
      <w:r w:rsidRPr="004676F5">
        <w:rPr>
          <w:iCs/>
          <w:sz w:val="20"/>
          <w:szCs w:val="20"/>
          <w:lang w:val="de-DE"/>
        </w:rPr>
        <w:t xml:space="preserve"> wie folgt:</w:t>
      </w:r>
    </w:p>
    <w:p w14:paraId="680428D3" w14:textId="77777777" w:rsidR="00CE5BB7" w:rsidRPr="004676F5" w:rsidRDefault="00CE5BB7" w:rsidP="00CE5BB7">
      <w:pPr>
        <w:jc w:val="both"/>
        <w:rPr>
          <w:iCs/>
          <w:sz w:val="20"/>
          <w:szCs w:val="20"/>
          <w:lang w:val="de-DE"/>
        </w:rPr>
      </w:pPr>
    </w:p>
    <w:p w14:paraId="594F5AEE" w14:textId="77777777" w:rsidR="00CE5BB7" w:rsidRPr="004676F5" w:rsidRDefault="00CE5BB7" w:rsidP="00CE5BB7">
      <w:pPr>
        <w:tabs>
          <w:tab w:val="left" w:pos="2532"/>
        </w:tabs>
        <w:jc w:val="both"/>
        <w:rPr>
          <w:iCs/>
          <w:sz w:val="20"/>
          <w:szCs w:val="20"/>
          <w:lang w:val="de-DE"/>
        </w:rPr>
      </w:pPr>
      <w:r w:rsidRPr="004676F5">
        <w:rPr>
          <w:iCs/>
          <w:sz w:val="20"/>
          <w:szCs w:val="20"/>
          <w:lang w:val="de-DE"/>
        </w:rPr>
        <w:t>"[</w:t>
      </w:r>
      <w:r w:rsidRPr="004676F5">
        <w:rPr>
          <w:bCs/>
          <w:iCs/>
          <w:sz w:val="20"/>
          <w:szCs w:val="20"/>
          <w:lang w:val="de-DE"/>
        </w:rPr>
        <w:t>Art. XV.6/1</w:t>
      </w:r>
      <w:r w:rsidRPr="004676F5">
        <w:rPr>
          <w:iCs/>
          <w:sz w:val="20"/>
          <w:szCs w:val="20"/>
          <w:lang w:val="de-DE"/>
        </w:rPr>
        <w:t> - § 1 - In Artikel XV.2 erwähnte Bedienstete sind an das Berufsgeheimnis gebunden und dürfen vertrauliche Informationen, von denen sie aufgrund ihrer Funktion Kenntnis erhalten haben, keiner Person oder Behörde offenlegen.</w:t>
      </w:r>
    </w:p>
    <w:p w14:paraId="54604523" w14:textId="77777777" w:rsidR="00CE5BB7" w:rsidRPr="004676F5" w:rsidRDefault="00CE5BB7" w:rsidP="00CE5BB7">
      <w:pPr>
        <w:tabs>
          <w:tab w:val="left" w:pos="2532"/>
        </w:tabs>
        <w:jc w:val="both"/>
        <w:rPr>
          <w:iCs/>
          <w:sz w:val="20"/>
          <w:szCs w:val="20"/>
          <w:lang w:val="de-DE"/>
        </w:rPr>
      </w:pPr>
    </w:p>
    <w:p w14:paraId="0C49200B" w14:textId="20080299" w:rsidR="00CE5BB7" w:rsidRPr="004676F5" w:rsidRDefault="00CE5BB7" w:rsidP="00CE5BB7">
      <w:pPr>
        <w:tabs>
          <w:tab w:val="left" w:pos="2532"/>
        </w:tabs>
        <w:jc w:val="both"/>
        <w:rPr>
          <w:iCs/>
          <w:sz w:val="20"/>
          <w:szCs w:val="20"/>
          <w:lang w:val="de-DE"/>
        </w:rPr>
      </w:pPr>
      <w:r w:rsidRPr="004676F5">
        <w:rPr>
          <w:iCs/>
          <w:sz w:val="20"/>
          <w:szCs w:val="20"/>
          <w:lang w:val="de-DE"/>
        </w:rPr>
        <w:t>In Abweichung von Absatz 1 dürfen diese Bediensteten vertrauliche Informationen mitteilen:</w:t>
      </w:r>
    </w:p>
    <w:p w14:paraId="6C5EEEAE" w14:textId="77777777" w:rsidR="00CE5BB7" w:rsidRPr="004676F5" w:rsidRDefault="00CE5BB7" w:rsidP="00CE5BB7">
      <w:pPr>
        <w:tabs>
          <w:tab w:val="left" w:pos="2532"/>
        </w:tabs>
        <w:jc w:val="both"/>
        <w:rPr>
          <w:iCs/>
          <w:sz w:val="20"/>
          <w:szCs w:val="20"/>
          <w:lang w:val="de-DE"/>
        </w:rPr>
      </w:pPr>
    </w:p>
    <w:p w14:paraId="10F77B41" w14:textId="228F60FE" w:rsidR="00CE5BB7" w:rsidRPr="004676F5" w:rsidRDefault="00CE5BB7" w:rsidP="00CE5BB7">
      <w:pPr>
        <w:tabs>
          <w:tab w:val="left" w:pos="2532"/>
        </w:tabs>
        <w:jc w:val="both"/>
        <w:rPr>
          <w:iCs/>
          <w:sz w:val="20"/>
          <w:szCs w:val="20"/>
          <w:lang w:val="de-DE"/>
        </w:rPr>
      </w:pPr>
      <w:r w:rsidRPr="004676F5">
        <w:rPr>
          <w:iCs/>
          <w:sz w:val="20"/>
          <w:szCs w:val="20"/>
          <w:lang w:val="de-DE"/>
        </w:rPr>
        <w:t xml:space="preserve">1. in kurz- oder zusammengefasster Form, sofern einzelne natürliche oder juristische Personen </w:t>
      </w:r>
      <w:r w:rsidR="0098050D" w:rsidRPr="004676F5">
        <w:rPr>
          <w:iCs/>
          <w:sz w:val="20"/>
          <w:szCs w:val="20"/>
          <w:lang w:val="de-DE"/>
        </w:rPr>
        <w:t>[nicht identifizierbar sind]</w:t>
      </w:r>
      <w:r w:rsidRPr="004676F5">
        <w:rPr>
          <w:iCs/>
          <w:sz w:val="20"/>
          <w:szCs w:val="20"/>
          <w:lang w:val="de-DE"/>
        </w:rPr>
        <w:t>,</w:t>
      </w:r>
    </w:p>
    <w:p w14:paraId="014031C7" w14:textId="77777777" w:rsidR="00CE5BB7" w:rsidRPr="004676F5" w:rsidRDefault="00CE5BB7" w:rsidP="00CE5BB7">
      <w:pPr>
        <w:tabs>
          <w:tab w:val="left" w:pos="2532"/>
        </w:tabs>
        <w:jc w:val="both"/>
        <w:rPr>
          <w:iCs/>
          <w:sz w:val="20"/>
          <w:szCs w:val="20"/>
          <w:lang w:val="de-DE"/>
        </w:rPr>
      </w:pPr>
    </w:p>
    <w:p w14:paraId="16C24582" w14:textId="6FA96F22" w:rsidR="00CE5BB7" w:rsidRPr="004676F5" w:rsidRDefault="00CE5BB7" w:rsidP="00CE5BB7">
      <w:pPr>
        <w:tabs>
          <w:tab w:val="left" w:pos="2532"/>
        </w:tabs>
        <w:jc w:val="both"/>
        <w:rPr>
          <w:iCs/>
          <w:sz w:val="20"/>
          <w:szCs w:val="20"/>
          <w:lang w:val="de-DE"/>
        </w:rPr>
      </w:pPr>
      <w:r w:rsidRPr="004676F5">
        <w:rPr>
          <w:iCs/>
          <w:sz w:val="20"/>
          <w:szCs w:val="20"/>
          <w:lang w:val="de-DE"/>
        </w:rPr>
        <w:t xml:space="preserve">2. in Fällen, in denen die Mitteilung solcher Informationen durch oder aufgrund des vorliegenden Gesetzbuches </w:t>
      </w:r>
      <w:r w:rsidR="0098050D" w:rsidRPr="004676F5">
        <w:rPr>
          <w:iCs/>
          <w:sz w:val="20"/>
          <w:szCs w:val="20"/>
          <w:lang w:val="de-DE"/>
        </w:rPr>
        <w:t xml:space="preserve">[oder anderer Gesetze] </w:t>
      </w:r>
      <w:r w:rsidRPr="004676F5">
        <w:rPr>
          <w:iCs/>
          <w:sz w:val="20"/>
          <w:szCs w:val="20"/>
          <w:lang w:val="de-DE"/>
        </w:rPr>
        <w:t>vorgesehen oder erlaubt ist,</w:t>
      </w:r>
    </w:p>
    <w:p w14:paraId="4046F99A" w14:textId="77777777" w:rsidR="00CE5BB7" w:rsidRPr="004676F5" w:rsidRDefault="00CE5BB7" w:rsidP="00CE5BB7">
      <w:pPr>
        <w:tabs>
          <w:tab w:val="left" w:pos="2532"/>
        </w:tabs>
        <w:jc w:val="both"/>
        <w:rPr>
          <w:iCs/>
          <w:sz w:val="20"/>
          <w:szCs w:val="20"/>
          <w:lang w:val="de-DE"/>
        </w:rPr>
      </w:pPr>
    </w:p>
    <w:p w14:paraId="06CECF68" w14:textId="7DE26F12" w:rsidR="00CE5BB7" w:rsidRPr="004676F5" w:rsidRDefault="00CE5BB7" w:rsidP="00CE5BB7">
      <w:pPr>
        <w:tabs>
          <w:tab w:val="left" w:pos="2532"/>
        </w:tabs>
        <w:jc w:val="both"/>
        <w:rPr>
          <w:iCs/>
          <w:sz w:val="20"/>
          <w:szCs w:val="20"/>
          <w:lang w:val="de-DE"/>
        </w:rPr>
      </w:pPr>
      <w:r w:rsidRPr="004676F5">
        <w:rPr>
          <w:iCs/>
          <w:sz w:val="20"/>
          <w:szCs w:val="20"/>
          <w:lang w:val="de-DE"/>
        </w:rPr>
        <w:t>3. bei einer Aussage vor Gericht in strafrechtlichen Angelegenheiten,</w:t>
      </w:r>
    </w:p>
    <w:p w14:paraId="46F789AB" w14:textId="77777777" w:rsidR="00CE5BB7" w:rsidRPr="004676F5" w:rsidRDefault="00CE5BB7" w:rsidP="00CE5BB7">
      <w:pPr>
        <w:tabs>
          <w:tab w:val="left" w:pos="2532"/>
        </w:tabs>
        <w:jc w:val="both"/>
        <w:rPr>
          <w:iCs/>
          <w:sz w:val="20"/>
          <w:szCs w:val="20"/>
          <w:lang w:val="de-DE"/>
        </w:rPr>
      </w:pPr>
    </w:p>
    <w:p w14:paraId="21694A80" w14:textId="213C61FD" w:rsidR="00CE5BB7" w:rsidRPr="004676F5" w:rsidRDefault="00CE5BB7" w:rsidP="00CE5BB7">
      <w:pPr>
        <w:tabs>
          <w:tab w:val="left" w:pos="2532"/>
        </w:tabs>
        <w:jc w:val="both"/>
        <w:rPr>
          <w:iCs/>
          <w:sz w:val="20"/>
          <w:szCs w:val="20"/>
          <w:lang w:val="de-DE"/>
        </w:rPr>
      </w:pPr>
      <w:r w:rsidRPr="004676F5">
        <w:rPr>
          <w:iCs/>
          <w:sz w:val="20"/>
          <w:szCs w:val="20"/>
          <w:lang w:val="de-DE"/>
        </w:rPr>
        <w:t xml:space="preserve">4. um bei den Gerichtsbehörden </w:t>
      </w:r>
      <w:r w:rsidR="0098050D" w:rsidRPr="004676F5">
        <w:rPr>
          <w:iCs/>
          <w:sz w:val="20"/>
          <w:szCs w:val="20"/>
          <w:lang w:val="de-DE"/>
        </w:rPr>
        <w:t>[andere Verbrechen und Vergehen]</w:t>
      </w:r>
      <w:r w:rsidRPr="004676F5">
        <w:rPr>
          <w:iCs/>
          <w:sz w:val="20"/>
          <w:szCs w:val="20"/>
          <w:lang w:val="de-DE"/>
        </w:rPr>
        <w:t xml:space="preserve"> als diejenigen, die in vorliegendem Gesetzbuch und seinen Ausführungserlassen erwähnt sind, anzuzeigen,</w:t>
      </w:r>
    </w:p>
    <w:p w14:paraId="5F5BE11F" w14:textId="77777777" w:rsidR="00CE5BB7" w:rsidRPr="004676F5" w:rsidRDefault="00CE5BB7" w:rsidP="00CE5BB7">
      <w:pPr>
        <w:tabs>
          <w:tab w:val="left" w:pos="2532"/>
        </w:tabs>
        <w:jc w:val="both"/>
        <w:rPr>
          <w:iCs/>
          <w:sz w:val="20"/>
          <w:szCs w:val="20"/>
          <w:lang w:val="de-DE"/>
        </w:rPr>
      </w:pPr>
    </w:p>
    <w:p w14:paraId="62D84D2F" w14:textId="63B7D7B2" w:rsidR="00CE5BB7" w:rsidRPr="004676F5" w:rsidRDefault="00CE5BB7" w:rsidP="00CE5BB7">
      <w:pPr>
        <w:tabs>
          <w:tab w:val="left" w:pos="2532"/>
        </w:tabs>
        <w:jc w:val="both"/>
        <w:rPr>
          <w:iCs/>
          <w:sz w:val="20"/>
          <w:szCs w:val="20"/>
          <w:lang w:val="de-DE"/>
        </w:rPr>
      </w:pPr>
      <w:r w:rsidRPr="004676F5">
        <w:rPr>
          <w:iCs/>
          <w:sz w:val="20"/>
          <w:szCs w:val="20"/>
          <w:lang w:val="de-DE"/>
        </w:rPr>
        <w:t xml:space="preserve">5. an andere öffentliche Dienste und Einrichtungen </w:t>
      </w:r>
      <w:r w:rsidR="0098050D" w:rsidRPr="004676F5">
        <w:rPr>
          <w:iCs/>
          <w:sz w:val="20"/>
          <w:szCs w:val="20"/>
          <w:lang w:val="de-DE"/>
        </w:rPr>
        <w:t>[wenn dies erforderlich ist für]</w:t>
      </w:r>
      <w:r w:rsidRPr="004676F5">
        <w:rPr>
          <w:iCs/>
          <w:sz w:val="20"/>
          <w:szCs w:val="20"/>
          <w:lang w:val="de-DE"/>
        </w:rPr>
        <w:t xml:space="preserve"> Ermittlung, Verfolgung und Ahndung von Verstößen gegen Rechtsvorschriften, die in deren Zuständig</w:t>
      </w:r>
      <w:r w:rsidRPr="004676F5">
        <w:rPr>
          <w:iCs/>
          <w:sz w:val="20"/>
          <w:szCs w:val="20"/>
          <w:lang w:val="de-DE"/>
        </w:rPr>
        <w:softHyphen/>
        <w:t>keiten fallen,</w:t>
      </w:r>
    </w:p>
    <w:p w14:paraId="1F15E5A2" w14:textId="77777777" w:rsidR="00CE5BB7" w:rsidRPr="004676F5" w:rsidRDefault="00CE5BB7" w:rsidP="00CE5BB7">
      <w:pPr>
        <w:tabs>
          <w:tab w:val="left" w:pos="2532"/>
        </w:tabs>
        <w:jc w:val="both"/>
        <w:rPr>
          <w:iCs/>
          <w:sz w:val="20"/>
          <w:szCs w:val="20"/>
          <w:lang w:val="de-DE"/>
        </w:rPr>
      </w:pPr>
    </w:p>
    <w:p w14:paraId="26173E5C" w14:textId="1BA40E93" w:rsidR="00CE5BB7" w:rsidRPr="004676F5" w:rsidRDefault="00CE5BB7" w:rsidP="00CE5BB7">
      <w:pPr>
        <w:tabs>
          <w:tab w:val="left" w:pos="2532"/>
        </w:tabs>
        <w:jc w:val="both"/>
        <w:rPr>
          <w:iCs/>
          <w:sz w:val="20"/>
          <w:szCs w:val="20"/>
          <w:lang w:val="de-DE"/>
        </w:rPr>
      </w:pPr>
      <w:r w:rsidRPr="004676F5">
        <w:rPr>
          <w:iCs/>
          <w:sz w:val="20"/>
          <w:szCs w:val="20"/>
          <w:lang w:val="de-DE"/>
        </w:rPr>
        <w:t xml:space="preserve">[6. an ausländische Behörden, gegebenenfalls in den Grenzen oder unter Einhaltung der europäischen Richtlinien und Verordnungen, </w:t>
      </w:r>
      <w:r w:rsidR="0098050D" w:rsidRPr="004676F5">
        <w:rPr>
          <w:iCs/>
          <w:sz w:val="20"/>
          <w:szCs w:val="20"/>
          <w:lang w:val="de-DE"/>
        </w:rPr>
        <w:t>[wenn dies erforderlich ist für Ermittlung und Verfolgung von Verstößen]</w:t>
      </w:r>
      <w:r w:rsidRPr="004676F5">
        <w:rPr>
          <w:iCs/>
          <w:sz w:val="20"/>
          <w:szCs w:val="20"/>
          <w:lang w:val="de-DE"/>
        </w:rPr>
        <w:t>, die mit Verstößen vergleichbar sind, für die in vorliegendem Buch Sanktionen vorgesehen sind.]</w:t>
      </w:r>
    </w:p>
    <w:p w14:paraId="64C02656" w14:textId="77777777" w:rsidR="00CE5BB7" w:rsidRPr="004676F5" w:rsidRDefault="00CE5BB7" w:rsidP="00CE5BB7">
      <w:pPr>
        <w:tabs>
          <w:tab w:val="left" w:pos="2532"/>
        </w:tabs>
        <w:jc w:val="both"/>
        <w:rPr>
          <w:iCs/>
          <w:sz w:val="20"/>
          <w:szCs w:val="20"/>
          <w:lang w:val="de-DE"/>
        </w:rPr>
      </w:pPr>
    </w:p>
    <w:p w14:paraId="3A8BA60E" w14:textId="7C230C2E" w:rsidR="00CE5BB7" w:rsidRPr="004676F5" w:rsidRDefault="00CE5BB7" w:rsidP="00CE5BB7">
      <w:pPr>
        <w:tabs>
          <w:tab w:val="left" w:pos="2532"/>
        </w:tabs>
        <w:jc w:val="both"/>
        <w:rPr>
          <w:iCs/>
          <w:sz w:val="20"/>
          <w:szCs w:val="20"/>
          <w:lang w:val="de-DE"/>
        </w:rPr>
      </w:pPr>
      <w:r w:rsidRPr="004676F5">
        <w:rPr>
          <w:iCs/>
          <w:sz w:val="20"/>
          <w:szCs w:val="20"/>
          <w:lang w:val="de-DE"/>
        </w:rPr>
        <w:t>§ 2 - Verstöße gegen § 1 werden mit den in [Artikel 352 des Strafgesetzbuches] festgelegten Strafen geahndet.]</w:t>
      </w:r>
    </w:p>
    <w:p w14:paraId="1A6E47BF" w14:textId="77777777" w:rsidR="00CE5BB7" w:rsidRPr="004676F5" w:rsidRDefault="00CE5BB7" w:rsidP="00CE5BB7">
      <w:pPr>
        <w:tabs>
          <w:tab w:val="left" w:pos="2532"/>
        </w:tabs>
        <w:jc w:val="both"/>
        <w:rPr>
          <w:iCs/>
          <w:sz w:val="20"/>
          <w:szCs w:val="20"/>
          <w:lang w:val="de-DE"/>
        </w:rPr>
      </w:pPr>
    </w:p>
    <w:p w14:paraId="13C32A01" w14:textId="4800FFFE" w:rsidR="00CE5BB7" w:rsidRPr="004676F5" w:rsidRDefault="00CE5BB7" w:rsidP="00CE5BB7">
      <w:pPr>
        <w:tabs>
          <w:tab w:val="left" w:pos="2532"/>
        </w:tabs>
        <w:jc w:val="both"/>
        <w:rPr>
          <w:sz w:val="20"/>
          <w:szCs w:val="20"/>
          <w:lang w:val="de-DE"/>
        </w:rPr>
      </w:pPr>
      <w:r w:rsidRPr="004676F5">
        <w:rPr>
          <w:i/>
          <w:iCs/>
          <w:sz w:val="20"/>
          <w:szCs w:val="20"/>
          <w:lang w:val="de-DE"/>
        </w:rPr>
        <w:t xml:space="preserve">[Art. XV.6/1 eingefügt durch Art. 22 des G. vom 18. April 2017 (B.S. vom 24. April 2017); </w:t>
      </w:r>
      <w:r w:rsidR="0098050D" w:rsidRPr="004676F5">
        <w:rPr>
          <w:i/>
          <w:iCs/>
          <w:sz w:val="20"/>
          <w:szCs w:val="20"/>
          <w:lang w:val="de-DE"/>
        </w:rPr>
        <w:t>§ 1 Abs. 2 Nr. 1 abgeändert durch Art. 33 Nr. 1 des G. vom 5. November 2023</w:t>
      </w:r>
      <w:r w:rsidR="00857EC4" w:rsidRPr="004676F5">
        <w:rPr>
          <w:i/>
          <w:iCs/>
          <w:sz w:val="20"/>
          <w:szCs w:val="20"/>
          <w:lang w:val="de-DE"/>
        </w:rPr>
        <w:t> (I)</w:t>
      </w:r>
      <w:r w:rsidR="0098050D" w:rsidRPr="004676F5">
        <w:rPr>
          <w:i/>
          <w:iCs/>
          <w:sz w:val="20"/>
          <w:szCs w:val="20"/>
          <w:lang w:val="de-DE"/>
        </w:rPr>
        <w:t xml:space="preserve"> (B.S. vom 11. Dezember 2023); § 1 Abs. 2 Nr. 2 abgeändert durch Art. 33 Nr. 2 des G. vom 5. November 2023</w:t>
      </w:r>
      <w:r w:rsidR="00857EC4" w:rsidRPr="004676F5">
        <w:rPr>
          <w:i/>
          <w:iCs/>
          <w:sz w:val="20"/>
          <w:szCs w:val="20"/>
          <w:lang w:val="de-DE"/>
        </w:rPr>
        <w:t> (I)</w:t>
      </w:r>
      <w:r w:rsidR="0098050D" w:rsidRPr="004676F5">
        <w:rPr>
          <w:i/>
          <w:iCs/>
          <w:sz w:val="20"/>
          <w:szCs w:val="20"/>
          <w:lang w:val="de-DE"/>
        </w:rPr>
        <w:t xml:space="preserve"> (B.S. vom 11. Dezember 2023); § 1 Abs. 2 Nr. 4 abgeändert durch Art. 33 Nr. 3 des G. vom 5. November 2023</w:t>
      </w:r>
      <w:r w:rsidR="00857EC4" w:rsidRPr="004676F5">
        <w:rPr>
          <w:i/>
          <w:iCs/>
          <w:sz w:val="20"/>
          <w:szCs w:val="20"/>
          <w:lang w:val="de-DE"/>
        </w:rPr>
        <w:t> (I)</w:t>
      </w:r>
      <w:r w:rsidR="0098050D" w:rsidRPr="004676F5">
        <w:rPr>
          <w:i/>
          <w:iCs/>
          <w:sz w:val="20"/>
          <w:szCs w:val="20"/>
          <w:lang w:val="de-DE"/>
        </w:rPr>
        <w:t xml:space="preserve"> (B.S. vom 11. Dezember 2023); § 1 Abs. 2 Nr. 5 abgeändert durch Art. 33 Nr. 4 des G. vom 5. November 2023</w:t>
      </w:r>
      <w:r w:rsidR="00857EC4" w:rsidRPr="004676F5">
        <w:rPr>
          <w:i/>
          <w:iCs/>
          <w:sz w:val="20"/>
          <w:szCs w:val="20"/>
          <w:lang w:val="de-DE"/>
        </w:rPr>
        <w:t> (I)</w:t>
      </w:r>
      <w:r w:rsidR="0098050D" w:rsidRPr="004676F5">
        <w:rPr>
          <w:i/>
          <w:iCs/>
          <w:sz w:val="20"/>
          <w:szCs w:val="20"/>
          <w:lang w:val="de-DE"/>
        </w:rPr>
        <w:t xml:space="preserve"> (B.S. vom 11. Dezember 2023); § 1 Abs. 2 Nr. 6 eingefügt durch Art. 28 des G. vom 2. Mai 2019 (IV) (B.S. vom 22. Mai 2019) und</w:t>
      </w:r>
      <w:r w:rsidR="004C46A3" w:rsidRPr="004676F5">
        <w:rPr>
          <w:i/>
          <w:iCs/>
          <w:sz w:val="20"/>
          <w:szCs w:val="20"/>
          <w:lang w:val="de-DE"/>
        </w:rPr>
        <w:t xml:space="preserve"> abgeändert durch</w:t>
      </w:r>
      <w:r w:rsidR="0098050D" w:rsidRPr="004676F5">
        <w:rPr>
          <w:i/>
          <w:iCs/>
          <w:sz w:val="20"/>
          <w:szCs w:val="20"/>
          <w:lang w:val="de-DE"/>
        </w:rPr>
        <w:t xml:space="preserve"> Art. 33 Nr. 4 des G. vom 5. November 2023</w:t>
      </w:r>
      <w:r w:rsidR="00857EC4" w:rsidRPr="004676F5">
        <w:rPr>
          <w:i/>
          <w:iCs/>
          <w:sz w:val="20"/>
          <w:szCs w:val="20"/>
          <w:lang w:val="de-DE"/>
        </w:rPr>
        <w:t> (I)</w:t>
      </w:r>
      <w:r w:rsidR="0098050D" w:rsidRPr="004676F5">
        <w:rPr>
          <w:i/>
          <w:iCs/>
          <w:sz w:val="20"/>
          <w:szCs w:val="20"/>
          <w:lang w:val="de-DE"/>
        </w:rPr>
        <w:t xml:space="preserve"> (B.S. vom 11. Dezember 2023)</w:t>
      </w:r>
      <w:r w:rsidRPr="004676F5">
        <w:rPr>
          <w:i/>
          <w:iCs/>
          <w:sz w:val="20"/>
          <w:szCs w:val="20"/>
          <w:lang w:val="de-DE"/>
        </w:rPr>
        <w:t>; § 2 abgeändert durch Art. 106 des G. vom 29.</w:t>
      </w:r>
      <w:r w:rsidR="0098050D" w:rsidRPr="004676F5">
        <w:rPr>
          <w:i/>
          <w:iCs/>
          <w:sz w:val="20"/>
          <w:szCs w:val="20"/>
          <w:lang w:val="de-DE"/>
        </w:rPr>
        <w:t> </w:t>
      </w:r>
      <w:r w:rsidRPr="004676F5">
        <w:rPr>
          <w:i/>
          <w:iCs/>
          <w:sz w:val="20"/>
          <w:szCs w:val="20"/>
          <w:lang w:val="de-DE"/>
        </w:rPr>
        <w:t>Februar</w:t>
      </w:r>
      <w:r w:rsidR="0098050D" w:rsidRPr="004676F5">
        <w:rPr>
          <w:i/>
          <w:iCs/>
          <w:sz w:val="20"/>
          <w:szCs w:val="20"/>
          <w:lang w:val="de-DE"/>
        </w:rPr>
        <w:t> </w:t>
      </w:r>
      <w:r w:rsidRPr="004676F5">
        <w:rPr>
          <w:i/>
          <w:iCs/>
          <w:sz w:val="20"/>
          <w:szCs w:val="20"/>
          <w:lang w:val="de-DE"/>
        </w:rPr>
        <w:t>2024</w:t>
      </w:r>
      <w:r w:rsidR="0098050D" w:rsidRPr="004676F5">
        <w:rPr>
          <w:i/>
          <w:iCs/>
          <w:sz w:val="20"/>
          <w:szCs w:val="20"/>
          <w:lang w:val="de-DE"/>
        </w:rPr>
        <w:t> </w:t>
      </w:r>
      <w:r w:rsidRPr="004676F5">
        <w:rPr>
          <w:i/>
          <w:iCs/>
          <w:sz w:val="20"/>
          <w:szCs w:val="20"/>
          <w:lang w:val="de-DE"/>
        </w:rPr>
        <w:t>(II) (B.S. vom 8.</w:t>
      </w:r>
      <w:r w:rsidR="0098050D" w:rsidRPr="004676F5">
        <w:rPr>
          <w:i/>
          <w:iCs/>
          <w:sz w:val="20"/>
          <w:szCs w:val="20"/>
          <w:lang w:val="de-DE"/>
        </w:rPr>
        <w:t> </w:t>
      </w:r>
      <w:r w:rsidRPr="004676F5">
        <w:rPr>
          <w:i/>
          <w:iCs/>
          <w:sz w:val="20"/>
          <w:szCs w:val="20"/>
          <w:lang w:val="de-DE"/>
        </w:rPr>
        <w:t>April</w:t>
      </w:r>
      <w:r w:rsidR="0098050D" w:rsidRPr="004676F5">
        <w:rPr>
          <w:i/>
          <w:iCs/>
          <w:sz w:val="20"/>
          <w:szCs w:val="20"/>
          <w:lang w:val="de-DE"/>
        </w:rPr>
        <w:t> </w:t>
      </w:r>
      <w:r w:rsidRPr="004676F5">
        <w:rPr>
          <w:i/>
          <w:iCs/>
          <w:sz w:val="20"/>
          <w:szCs w:val="20"/>
          <w:lang w:val="de-DE"/>
        </w:rPr>
        <w:t>2024)]</w:t>
      </w:r>
      <w:r w:rsidRPr="004676F5">
        <w:rPr>
          <w:sz w:val="20"/>
          <w:szCs w:val="20"/>
          <w:lang w:val="de-DE"/>
        </w:rPr>
        <w:t>"</w:t>
      </w:r>
    </w:p>
    <w:p w14:paraId="109B4559" w14:textId="412F2402" w:rsidR="00CE5BB7" w:rsidRPr="004676F5" w:rsidRDefault="00CE5BB7" w:rsidP="00CE5BB7">
      <w:pPr>
        <w:tabs>
          <w:tab w:val="left" w:pos="2532"/>
        </w:tabs>
        <w:jc w:val="both"/>
        <w:rPr>
          <w:lang w:val="de-DE"/>
        </w:rPr>
      </w:pPr>
    </w:p>
    <w:p w14:paraId="1700A9B9" w14:textId="77777777" w:rsidR="00F71E6A" w:rsidRPr="004676F5" w:rsidRDefault="00F71E6A" w:rsidP="00BA2266">
      <w:pPr>
        <w:jc w:val="both"/>
        <w:rPr>
          <w:lang w:val="de-DE"/>
        </w:rPr>
      </w:pPr>
    </w:p>
    <w:p w14:paraId="78CFF66B" w14:textId="3D9CE6AE" w:rsidR="00C5750E" w:rsidRPr="004676F5" w:rsidRDefault="00C5750E" w:rsidP="00C5750E">
      <w:pPr>
        <w:jc w:val="both"/>
        <w:rPr>
          <w:lang w:val="de-DE"/>
        </w:rPr>
      </w:pPr>
      <w:r w:rsidRPr="004676F5">
        <w:rPr>
          <w:lang w:val="de-DE"/>
        </w:rPr>
        <w:tab/>
        <w:t>[</w:t>
      </w:r>
      <w:r w:rsidRPr="004676F5">
        <w:rPr>
          <w:b/>
          <w:bCs/>
          <w:lang w:val="de-DE"/>
        </w:rPr>
        <w:t>Art. XV.6/2</w:t>
      </w:r>
      <w:r w:rsidRPr="004676F5">
        <w:rPr>
          <w:lang w:val="de-DE"/>
        </w:rPr>
        <w:t> </w:t>
      </w:r>
      <w:r w:rsidR="005B7A5C" w:rsidRPr="004676F5">
        <w:rPr>
          <w:lang w:val="de-DE"/>
        </w:rPr>
        <w:t>- </w:t>
      </w:r>
      <w:r w:rsidRPr="004676F5">
        <w:rPr>
          <w:lang w:val="de-DE"/>
        </w:rPr>
        <w:t xml:space="preserve">Wird eine Maßnahme zur Untersuchung oder Feststellung eines Verstoßes gegenüber einem Freiberufler beschlossen und betrifft diese Maßnahme Informationen oder Daten, die unter das Berufsgeheimnis fallen, darf sie ausschließlich </w:t>
      </w:r>
      <w:r w:rsidRPr="004676F5">
        <w:rPr>
          <w:lang w:val="de-DE"/>
        </w:rPr>
        <w:lastRenderedPageBreak/>
        <w:t>ausgeführt werden in Anwesenheit des Vertreters der für diesen Freiberufler zuständigen Disziplinarbehörde oder nachdem diese Person ordnungsgemäß vorgeladen wurde, damit sie beurteilen kann, ob und gegebenenfalls in welchem Maße das Informationsersuchen oder die Aushändigung der Bücher und Unterlagen mit der Einhaltung des Berufsgeheimnisses vereinbar ist.</w:t>
      </w:r>
    </w:p>
    <w:p w14:paraId="5D2D67F9" w14:textId="77777777" w:rsidR="00C5750E" w:rsidRPr="004676F5" w:rsidRDefault="00C5750E" w:rsidP="00C5750E">
      <w:pPr>
        <w:jc w:val="both"/>
        <w:rPr>
          <w:lang w:val="de-DE"/>
        </w:rPr>
      </w:pPr>
    </w:p>
    <w:p w14:paraId="31FA9419" w14:textId="77777777" w:rsidR="00C5750E" w:rsidRPr="004676F5" w:rsidRDefault="00C5750E" w:rsidP="00C5750E">
      <w:pPr>
        <w:jc w:val="both"/>
        <w:rPr>
          <w:lang w:val="de-DE"/>
        </w:rPr>
      </w:pPr>
      <w:r w:rsidRPr="004676F5">
        <w:rPr>
          <w:lang w:val="de-DE"/>
        </w:rPr>
        <w:tab/>
        <w:t>Darüber hinaus wird eine solche Maßnahme unter Wahrung des Rechts des Kunden des Freiberuflers auf Schutz seines Privatlebens ausgeführt.</w:t>
      </w:r>
    </w:p>
    <w:p w14:paraId="75105859" w14:textId="77777777" w:rsidR="00C5750E" w:rsidRPr="004676F5" w:rsidRDefault="00C5750E" w:rsidP="00C5750E">
      <w:pPr>
        <w:jc w:val="both"/>
        <w:rPr>
          <w:lang w:val="de-DE"/>
        </w:rPr>
      </w:pPr>
    </w:p>
    <w:p w14:paraId="0F1A434C" w14:textId="77777777" w:rsidR="00C5750E" w:rsidRPr="004676F5" w:rsidRDefault="00C5750E" w:rsidP="00C5750E">
      <w:pPr>
        <w:jc w:val="both"/>
        <w:rPr>
          <w:lang w:val="de-DE"/>
        </w:rPr>
      </w:pPr>
      <w:r w:rsidRPr="004676F5">
        <w:rPr>
          <w:lang w:val="de-DE"/>
        </w:rPr>
        <w:tab/>
        <w:t>Akten und andere Unterlagen des Freiberuflers, die unter das Berufsgeheimnis fallen, dürfen nicht beschlagnahmt werden. Vorbehaltlich der Absätze 1 und 2 und unter Einhaltung des Berufsgeheimnisses kann eine Abschrift angefertigt werden, die vom Freiberufler für gleichlautend erklärt werden kann.</w:t>
      </w:r>
    </w:p>
    <w:p w14:paraId="7D9482E9" w14:textId="77777777" w:rsidR="00C5750E" w:rsidRPr="004676F5" w:rsidRDefault="00C5750E" w:rsidP="00C5750E">
      <w:pPr>
        <w:jc w:val="both"/>
        <w:rPr>
          <w:lang w:val="de-DE"/>
        </w:rPr>
      </w:pPr>
    </w:p>
    <w:p w14:paraId="1DF4C40B" w14:textId="7B645CB4" w:rsidR="00C5750E" w:rsidRPr="004676F5" w:rsidRDefault="00C5750E" w:rsidP="00C5750E">
      <w:pPr>
        <w:jc w:val="both"/>
        <w:rPr>
          <w:lang w:val="de-DE"/>
        </w:rPr>
      </w:pPr>
      <w:r w:rsidRPr="004676F5">
        <w:rPr>
          <w:lang w:val="de-DE"/>
        </w:rPr>
        <w:tab/>
        <w:t>Der Vertreter der zuständigen Disziplinarbehörde kann jegliche Bemerkungen hinsichtlich der Einhaltung des Berufsgeheimnisses an die Behörden richten, die diese Maßnahmen angeordnet haben. Beschlagnahmeurkunden und Besuchsprotokolle vermerken zur Vermeidung der Nichtigkeit die Anwesenheit des Vertreters der zuständigen Disziplinarbehörde oder die Tatsache, dass Letztere ordnungsgemäß vorgeladen war, und die Bemerkungen, die der Vertreter der Disziplinarbehörde zu machen für notwendig hielt.]</w:t>
      </w:r>
    </w:p>
    <w:p w14:paraId="0FF66D05" w14:textId="77777777" w:rsidR="00C5750E" w:rsidRPr="004676F5" w:rsidRDefault="00C5750E" w:rsidP="00BA2266">
      <w:pPr>
        <w:jc w:val="both"/>
        <w:rPr>
          <w:lang w:val="de-DE"/>
        </w:rPr>
      </w:pPr>
    </w:p>
    <w:p w14:paraId="481FB793" w14:textId="21444005" w:rsidR="00C5750E" w:rsidRPr="004676F5" w:rsidRDefault="00C5750E" w:rsidP="00BA2266">
      <w:pPr>
        <w:jc w:val="both"/>
        <w:rPr>
          <w:i/>
          <w:iCs/>
          <w:lang w:val="de-DE"/>
        </w:rPr>
      </w:pPr>
      <w:r w:rsidRPr="004676F5">
        <w:rPr>
          <w:i/>
          <w:iCs/>
          <w:lang w:val="de-DE"/>
        </w:rPr>
        <w:t>[Art. XV.6/2 eingefügt durch Art. 5 des G. vom 4. Mai 2023 (B.S. vom 23. Mai 2023)]</w:t>
      </w:r>
    </w:p>
    <w:p w14:paraId="342484E8" w14:textId="77777777" w:rsidR="00C5750E" w:rsidRPr="004676F5" w:rsidRDefault="00C5750E" w:rsidP="00BA2266">
      <w:pPr>
        <w:jc w:val="both"/>
        <w:rPr>
          <w:i/>
          <w:iCs/>
          <w:lang w:val="de-DE"/>
        </w:rPr>
      </w:pPr>
    </w:p>
    <w:p w14:paraId="3B9381CB" w14:textId="77777777" w:rsidR="00C5750E" w:rsidRPr="004676F5" w:rsidRDefault="00C5750E" w:rsidP="00BA2266">
      <w:pPr>
        <w:jc w:val="both"/>
        <w:rPr>
          <w:lang w:val="de-DE"/>
        </w:rPr>
      </w:pPr>
    </w:p>
    <w:p w14:paraId="0F7BCACB" w14:textId="0C68958A" w:rsidR="00BA2266" w:rsidRPr="004676F5" w:rsidRDefault="00BE0A56" w:rsidP="00BA2266">
      <w:pPr>
        <w:ind w:firstLine="708"/>
        <w:jc w:val="both"/>
        <w:rPr>
          <w:lang w:val="de-DE"/>
        </w:rPr>
      </w:pPr>
      <w:r w:rsidRPr="004676F5">
        <w:rPr>
          <w:b/>
          <w:lang w:val="de-DE"/>
        </w:rPr>
        <w:t>Art. </w:t>
      </w:r>
      <w:r w:rsidR="00BA2266" w:rsidRPr="004676F5">
        <w:rPr>
          <w:b/>
          <w:lang w:val="de-DE"/>
        </w:rPr>
        <w:t>XV.7</w:t>
      </w:r>
      <w:r w:rsidR="00BA2266" w:rsidRPr="004676F5">
        <w:rPr>
          <w:lang w:val="de-DE"/>
        </w:rPr>
        <w:t> </w:t>
      </w:r>
      <w:r w:rsidR="005B7A5C" w:rsidRPr="004676F5">
        <w:rPr>
          <w:lang w:val="de-DE"/>
        </w:rPr>
        <w:t>- </w:t>
      </w:r>
      <w:r w:rsidR="00BA2266" w:rsidRPr="004676F5">
        <w:rPr>
          <w:lang w:val="de-DE"/>
        </w:rPr>
        <w:t>Unbeschadet des in den Artikeln 28</w:t>
      </w:r>
      <w:r w:rsidR="00BA2266" w:rsidRPr="004676F5">
        <w:rPr>
          <w:i/>
          <w:lang w:val="de-DE"/>
        </w:rPr>
        <w:t>ter</w:t>
      </w:r>
      <w:r w:rsidR="00BA2266" w:rsidRPr="004676F5">
        <w:rPr>
          <w:lang w:val="de-DE"/>
        </w:rPr>
        <w:t xml:space="preserve"> § 3 und 56 § 2 des Strafprozessgesetzbuches erwähnten Anforderungsrechts der Staatsanwaltschaft und des Untersuchungsrichters verfügen die in Artikel XV.2 erwähnten Bediensteten für die Ausübung ihres Auftrags über die Möglichkeit, Auskünfte und Ratschläge zu erteilen, insbesondere über die wirksamsten Mittel zur Einhaltung der Bestimmungen des vorliegenden Gesetzbuches und seiner Ausführungserlasse</w:t>
      </w:r>
      <w:r w:rsidR="00BD488E" w:rsidRPr="004676F5">
        <w:rPr>
          <w:lang w:val="de-DE"/>
        </w:rPr>
        <w:t xml:space="preserve"> [und der Verordnungen der Europäischen Union, für die vorliegendes Gesetzbuch Sanktionen vorsieht, und anderer Gesetze, deren Einhaltung zu überwachen sie beauftragt sind]</w:t>
      </w:r>
      <w:r w:rsidR="00BA2266" w:rsidRPr="004676F5">
        <w:rPr>
          <w:lang w:val="de-DE"/>
        </w:rPr>
        <w:t>.</w:t>
      </w:r>
    </w:p>
    <w:p w14:paraId="11E82633" w14:textId="77777777" w:rsidR="00BD488E" w:rsidRPr="004676F5" w:rsidRDefault="00BD488E" w:rsidP="00BA2266">
      <w:pPr>
        <w:ind w:firstLine="708"/>
        <w:jc w:val="both"/>
        <w:rPr>
          <w:lang w:val="de-DE"/>
        </w:rPr>
      </w:pPr>
    </w:p>
    <w:p w14:paraId="47AEB9AD" w14:textId="472A4F53" w:rsidR="00BD488E" w:rsidRPr="004676F5" w:rsidRDefault="00BD488E" w:rsidP="00BD488E">
      <w:pPr>
        <w:jc w:val="both"/>
        <w:rPr>
          <w:i/>
          <w:iCs/>
          <w:lang w:val="de-DE"/>
        </w:rPr>
      </w:pPr>
      <w:r w:rsidRPr="004676F5">
        <w:rPr>
          <w:i/>
          <w:iCs/>
          <w:lang w:val="de-DE"/>
        </w:rPr>
        <w:t>[Art. XV.7 abgeändert durch Art. 8</w:t>
      </w:r>
      <w:r w:rsidRPr="004676F5">
        <w:rPr>
          <w:bCs/>
          <w:i/>
          <w:iCs/>
          <w:lang w:val="de-DE"/>
        </w:rPr>
        <w:t xml:space="preserve"> des G. vom 29. September 2020 (B.S. vom 20. November 2020)]</w:t>
      </w:r>
    </w:p>
    <w:p w14:paraId="1B1F8426" w14:textId="77777777" w:rsidR="00BA2266" w:rsidRPr="004676F5" w:rsidRDefault="00BA2266" w:rsidP="00BA2266">
      <w:pPr>
        <w:rPr>
          <w:lang w:val="de-DE"/>
        </w:rPr>
      </w:pPr>
    </w:p>
    <w:p w14:paraId="231D5456" w14:textId="77777777" w:rsidR="00F71E6A" w:rsidRPr="004676F5" w:rsidRDefault="00F71E6A" w:rsidP="00BA2266">
      <w:pPr>
        <w:rPr>
          <w:lang w:val="de-DE"/>
        </w:rPr>
      </w:pPr>
    </w:p>
    <w:p w14:paraId="3739395D" w14:textId="560E6CBD" w:rsidR="00BA2266" w:rsidRPr="004676F5" w:rsidRDefault="00BE0A56" w:rsidP="00BA2266">
      <w:pPr>
        <w:ind w:firstLine="708"/>
        <w:jc w:val="both"/>
        <w:rPr>
          <w:lang w:val="de-DE"/>
        </w:rPr>
      </w:pPr>
      <w:r w:rsidRPr="004676F5">
        <w:rPr>
          <w:b/>
          <w:lang w:val="de-DE"/>
        </w:rPr>
        <w:t>Art. </w:t>
      </w:r>
      <w:r w:rsidR="00BA2266" w:rsidRPr="004676F5">
        <w:rPr>
          <w:b/>
          <w:lang w:val="de-DE"/>
        </w:rPr>
        <w:t>XV.8</w:t>
      </w:r>
      <w:r w:rsidR="00BA2266" w:rsidRPr="004676F5">
        <w:rPr>
          <w:lang w:val="de-DE"/>
        </w:rPr>
        <w:t> </w:t>
      </w:r>
      <w:r w:rsidR="005B7A5C" w:rsidRPr="004676F5">
        <w:rPr>
          <w:lang w:val="de-DE"/>
        </w:rPr>
        <w:t>- </w:t>
      </w:r>
      <w:r w:rsidR="00BA2266" w:rsidRPr="004676F5">
        <w:rPr>
          <w:lang w:val="de-DE"/>
        </w:rPr>
        <w:t>§ 1 </w:t>
      </w:r>
      <w:r w:rsidR="005B7A5C" w:rsidRPr="004676F5">
        <w:rPr>
          <w:lang w:val="de-DE"/>
        </w:rPr>
        <w:t>- </w:t>
      </w:r>
      <w:r w:rsidR="00BA2266" w:rsidRPr="004676F5">
        <w:rPr>
          <w:lang w:val="de-DE"/>
        </w:rPr>
        <w:t>Der König bestimmt die in Artikel XV.2 erwähnten Bediensteten, die auch die Eigenschaft eines Gerichtspolizeioffiziers, Hilfsbeamter des Prokurators des Königs, innehaben.</w:t>
      </w:r>
    </w:p>
    <w:p w14:paraId="295A819F" w14:textId="77777777" w:rsidR="00BA2266" w:rsidRPr="004676F5" w:rsidRDefault="00BA2266" w:rsidP="00BA2266">
      <w:pPr>
        <w:jc w:val="both"/>
        <w:rPr>
          <w:lang w:val="de-DE"/>
        </w:rPr>
      </w:pPr>
    </w:p>
    <w:p w14:paraId="102B8CA1" w14:textId="77777777" w:rsidR="00BA2266" w:rsidRPr="004676F5" w:rsidRDefault="00BA2266" w:rsidP="00BA2266">
      <w:pPr>
        <w:ind w:firstLine="708"/>
        <w:jc w:val="both"/>
        <w:rPr>
          <w:lang w:val="de-DE"/>
        </w:rPr>
      </w:pPr>
      <w:r w:rsidRPr="004676F5">
        <w:rPr>
          <w:lang w:val="de-DE"/>
        </w:rPr>
        <w:t>Der König bestimmt die Bedingungen in Bezug auf Erfahrung und Ausbildung dieser Bediensteten.</w:t>
      </w:r>
    </w:p>
    <w:p w14:paraId="71BEA41F" w14:textId="77777777" w:rsidR="00BA2266" w:rsidRPr="004676F5" w:rsidRDefault="00BA2266" w:rsidP="00BA2266">
      <w:pPr>
        <w:jc w:val="both"/>
        <w:rPr>
          <w:lang w:val="de-DE"/>
        </w:rPr>
      </w:pPr>
    </w:p>
    <w:p w14:paraId="5383262B" w14:textId="77777777" w:rsidR="00650FBF" w:rsidRPr="004676F5" w:rsidRDefault="00650FBF">
      <w:pPr>
        <w:rPr>
          <w:lang w:val="de-DE"/>
        </w:rPr>
      </w:pPr>
      <w:r w:rsidRPr="004676F5">
        <w:rPr>
          <w:lang w:val="de-DE"/>
        </w:rPr>
        <w:br w:type="page"/>
      </w:r>
    </w:p>
    <w:p w14:paraId="39AB3CD6" w14:textId="580BB09C" w:rsidR="00BA2266" w:rsidRPr="004676F5" w:rsidRDefault="00BA2266" w:rsidP="00BA2266">
      <w:pPr>
        <w:ind w:firstLine="708"/>
        <w:jc w:val="both"/>
        <w:rPr>
          <w:lang w:val="de-DE"/>
        </w:rPr>
      </w:pPr>
      <w:r w:rsidRPr="004676F5">
        <w:rPr>
          <w:lang w:val="de-DE"/>
        </w:rPr>
        <w:lastRenderedPageBreak/>
        <w:t>§ 2 </w:t>
      </w:r>
      <w:r w:rsidR="005B7A5C" w:rsidRPr="004676F5">
        <w:rPr>
          <w:lang w:val="de-DE"/>
        </w:rPr>
        <w:t>- </w:t>
      </w:r>
      <w:r w:rsidRPr="004676F5">
        <w:rPr>
          <w:lang w:val="de-DE"/>
        </w:rPr>
        <w:t xml:space="preserve">Die Befugnisse eines Gerichtspolizeioffiziers, Hilfsbeamter des Prokurators des Königs, die den vom König bestimmten Bediensteten erteilt werden, können nur im Hinblick auf Ermittlung, Feststellung und Untersuchung der in Artikel XV.2 § 1 und </w:t>
      </w:r>
      <w:r w:rsidR="00CA1E57" w:rsidRPr="004676F5">
        <w:rPr>
          <w:lang w:val="de-DE"/>
        </w:rPr>
        <w:t>[in den Artikeln</w:t>
      </w:r>
      <w:r w:rsidR="00680111" w:rsidRPr="004676F5">
        <w:rPr>
          <w:lang w:val="de-DE"/>
        </w:rPr>
        <w:t> </w:t>
      </w:r>
      <w:r w:rsidR="00CA1E57" w:rsidRPr="004676F5">
        <w:rPr>
          <w:lang w:val="de-DE"/>
        </w:rPr>
        <w:t xml:space="preserve">196, </w:t>
      </w:r>
      <w:r w:rsidR="00D57AA5" w:rsidRPr="004676F5">
        <w:rPr>
          <w:lang w:val="de-DE"/>
        </w:rPr>
        <w:t>[197, 210</w:t>
      </w:r>
      <w:r w:rsidR="00D57AA5" w:rsidRPr="004676F5">
        <w:rPr>
          <w:i/>
          <w:iCs/>
          <w:lang w:val="de-DE"/>
        </w:rPr>
        <w:t>bis</w:t>
      </w:r>
      <w:r w:rsidR="00D57AA5" w:rsidRPr="004676F5">
        <w:rPr>
          <w:lang w:val="de-DE"/>
        </w:rPr>
        <w:t xml:space="preserve">,] </w:t>
      </w:r>
      <w:r w:rsidR="00CA1E57" w:rsidRPr="004676F5">
        <w:rPr>
          <w:lang w:val="de-DE"/>
        </w:rPr>
        <w:t>299 und 494 und Buch II Titel IX Kapitel II Abschnitt III des Strafgesetzbuches]</w:t>
      </w:r>
      <w:r w:rsidRPr="004676F5">
        <w:rPr>
          <w:lang w:val="de-DE"/>
        </w:rPr>
        <w:t xml:space="preserve"> erwähnten Verstöße ausgeübt werden.</w:t>
      </w:r>
    </w:p>
    <w:p w14:paraId="7949B614" w14:textId="77777777" w:rsidR="00BA2266" w:rsidRPr="004676F5" w:rsidRDefault="00BA2266" w:rsidP="00BA2266">
      <w:pPr>
        <w:jc w:val="both"/>
        <w:rPr>
          <w:lang w:val="de-DE"/>
        </w:rPr>
      </w:pPr>
    </w:p>
    <w:p w14:paraId="1BDB2364" w14:textId="378909FC" w:rsidR="00CA1E57" w:rsidRPr="004676F5" w:rsidRDefault="00CA1E57" w:rsidP="00BA2266">
      <w:pPr>
        <w:jc w:val="both"/>
        <w:rPr>
          <w:i/>
          <w:lang w:val="de-DE"/>
        </w:rPr>
      </w:pPr>
      <w:r w:rsidRPr="004676F5">
        <w:rPr>
          <w:i/>
          <w:lang w:val="de-DE"/>
        </w:rPr>
        <w:t>[</w:t>
      </w:r>
      <w:r w:rsidR="00BE0A56" w:rsidRPr="004676F5">
        <w:rPr>
          <w:i/>
          <w:lang w:val="de-DE"/>
        </w:rPr>
        <w:t>Art. </w:t>
      </w:r>
      <w:r w:rsidRPr="004676F5">
        <w:rPr>
          <w:i/>
          <w:lang w:val="de-DE"/>
        </w:rPr>
        <w:t xml:space="preserve">XV.8 § 2 abgeändert durch </w:t>
      </w:r>
      <w:r w:rsidR="00BE0A56" w:rsidRPr="004676F5">
        <w:rPr>
          <w:i/>
          <w:lang w:val="de-DE"/>
        </w:rPr>
        <w:t>Art. </w:t>
      </w:r>
      <w:r w:rsidRPr="004676F5">
        <w:rPr>
          <w:i/>
          <w:lang w:val="de-DE"/>
        </w:rPr>
        <w:t>38 des G. vom 29. Juni 2016 (B.S. vom 6. Juli 2016)</w:t>
      </w:r>
      <w:r w:rsidR="00D57AA5" w:rsidRPr="004676F5">
        <w:rPr>
          <w:i/>
          <w:lang w:val="de-DE"/>
        </w:rPr>
        <w:t xml:space="preserve"> und Art. 31 des G. vom 30. Juli 2018 (II) (B.S. vom 5. September 2018)</w:t>
      </w:r>
      <w:r w:rsidRPr="004676F5">
        <w:rPr>
          <w:i/>
          <w:lang w:val="de-DE"/>
        </w:rPr>
        <w:t>]</w:t>
      </w:r>
    </w:p>
    <w:p w14:paraId="40E96C33" w14:textId="77777777" w:rsidR="00F71E6A" w:rsidRPr="004676F5" w:rsidRDefault="00F71E6A" w:rsidP="00BA2266">
      <w:pPr>
        <w:jc w:val="both"/>
        <w:rPr>
          <w:lang w:val="de-DE"/>
        </w:rPr>
      </w:pPr>
    </w:p>
    <w:p w14:paraId="1EF4ABD2" w14:textId="77777777" w:rsidR="00CE5BB7" w:rsidRPr="004676F5" w:rsidRDefault="00CE5BB7" w:rsidP="00BA2266">
      <w:pPr>
        <w:jc w:val="both"/>
        <w:rPr>
          <w:lang w:val="de-DE"/>
        </w:rPr>
      </w:pPr>
    </w:p>
    <w:p w14:paraId="430D2E96" w14:textId="63E0D5F6" w:rsidR="00CE5BB7" w:rsidRPr="004676F5" w:rsidRDefault="00CE5BB7" w:rsidP="00CE5BB7">
      <w:pPr>
        <w:jc w:val="both"/>
        <w:rPr>
          <w:iCs/>
          <w:sz w:val="20"/>
          <w:szCs w:val="20"/>
          <w:lang w:val="de-DE"/>
        </w:rPr>
      </w:pPr>
      <w:r w:rsidRPr="004676F5">
        <w:rPr>
          <w:iCs/>
          <w:sz w:val="20"/>
          <w:szCs w:val="20"/>
          <w:lang w:val="de-DE"/>
        </w:rPr>
        <w:t>Ab dem 8. April 2026 (gemäß Art. 119 des G. vom 29. Februar 2024 </w:t>
      </w:r>
      <w:r w:rsidRPr="004676F5">
        <w:rPr>
          <w:i/>
          <w:sz w:val="20"/>
          <w:szCs w:val="20"/>
          <w:lang w:val="de-DE"/>
        </w:rPr>
        <w:t>(II)</w:t>
      </w:r>
      <w:r w:rsidRPr="004676F5">
        <w:rPr>
          <w:iCs/>
          <w:sz w:val="20"/>
          <w:szCs w:val="20"/>
          <w:lang w:val="de-DE"/>
        </w:rPr>
        <w:t xml:space="preserve"> (B.S. vom 8. April 2024)) lautet Art. XV.8 wie folgt:</w:t>
      </w:r>
    </w:p>
    <w:p w14:paraId="6BC0FF64" w14:textId="77777777" w:rsidR="00CE5BB7" w:rsidRPr="004676F5" w:rsidRDefault="00CE5BB7" w:rsidP="00CE5BB7">
      <w:pPr>
        <w:jc w:val="both"/>
        <w:rPr>
          <w:iCs/>
          <w:sz w:val="20"/>
          <w:szCs w:val="20"/>
          <w:lang w:val="de-DE"/>
        </w:rPr>
      </w:pPr>
    </w:p>
    <w:p w14:paraId="337CDE8C" w14:textId="3708D327" w:rsidR="00CE5BB7" w:rsidRPr="004676F5" w:rsidRDefault="00CE5BB7" w:rsidP="00CE5BB7">
      <w:pPr>
        <w:jc w:val="both"/>
        <w:rPr>
          <w:iCs/>
          <w:sz w:val="20"/>
          <w:szCs w:val="20"/>
          <w:lang w:val="de-DE"/>
        </w:rPr>
      </w:pPr>
      <w:r w:rsidRPr="004676F5">
        <w:rPr>
          <w:iCs/>
          <w:sz w:val="20"/>
          <w:szCs w:val="20"/>
          <w:lang w:val="de-DE"/>
        </w:rPr>
        <w:t>"</w:t>
      </w:r>
      <w:r w:rsidRPr="004676F5">
        <w:rPr>
          <w:bCs/>
          <w:iCs/>
          <w:sz w:val="20"/>
          <w:szCs w:val="20"/>
          <w:lang w:val="de-DE"/>
        </w:rPr>
        <w:t>Art. XV.8</w:t>
      </w:r>
      <w:r w:rsidRPr="004676F5">
        <w:rPr>
          <w:iCs/>
          <w:sz w:val="20"/>
          <w:szCs w:val="20"/>
          <w:lang w:val="de-DE"/>
        </w:rPr>
        <w:t> - § 1 - Der König bestimmt die in Artikel XV.2 erwähnten Bediensteten, die auch die Eigenschaft eines Gerichtspolizeioffiziers, Hilfsbeamter des Prokurators des Königs, innehaben.</w:t>
      </w:r>
    </w:p>
    <w:p w14:paraId="5872662B" w14:textId="77777777" w:rsidR="00CE5BB7" w:rsidRPr="004676F5" w:rsidRDefault="00CE5BB7" w:rsidP="00CE5BB7">
      <w:pPr>
        <w:jc w:val="both"/>
        <w:rPr>
          <w:iCs/>
          <w:sz w:val="20"/>
          <w:szCs w:val="20"/>
          <w:lang w:val="de-DE"/>
        </w:rPr>
      </w:pPr>
    </w:p>
    <w:p w14:paraId="37C65A23" w14:textId="77777777" w:rsidR="00CE5BB7" w:rsidRPr="004676F5" w:rsidRDefault="00CE5BB7" w:rsidP="00CE5BB7">
      <w:pPr>
        <w:jc w:val="both"/>
        <w:rPr>
          <w:iCs/>
          <w:sz w:val="20"/>
          <w:szCs w:val="20"/>
          <w:lang w:val="de-DE"/>
        </w:rPr>
      </w:pPr>
      <w:r w:rsidRPr="004676F5">
        <w:rPr>
          <w:iCs/>
          <w:sz w:val="20"/>
          <w:szCs w:val="20"/>
          <w:lang w:val="de-DE"/>
        </w:rPr>
        <w:t>Der König bestimmt die Bedingungen in Bezug auf Erfahrung und Ausbildung dieser Bediensteten.</w:t>
      </w:r>
    </w:p>
    <w:p w14:paraId="4F7CB460" w14:textId="77777777" w:rsidR="00CE5BB7" w:rsidRPr="004676F5" w:rsidRDefault="00CE5BB7" w:rsidP="00CE5BB7">
      <w:pPr>
        <w:jc w:val="both"/>
        <w:rPr>
          <w:iCs/>
          <w:sz w:val="20"/>
          <w:szCs w:val="20"/>
          <w:lang w:val="de-DE"/>
        </w:rPr>
      </w:pPr>
    </w:p>
    <w:p w14:paraId="7E20A189" w14:textId="6B6E883C" w:rsidR="00CE5BB7" w:rsidRPr="004676F5" w:rsidRDefault="00CE5BB7" w:rsidP="00CE5BB7">
      <w:pPr>
        <w:jc w:val="both"/>
        <w:rPr>
          <w:iCs/>
          <w:sz w:val="20"/>
          <w:szCs w:val="20"/>
          <w:lang w:val="de-DE"/>
        </w:rPr>
      </w:pPr>
      <w:r w:rsidRPr="004676F5">
        <w:rPr>
          <w:iCs/>
          <w:sz w:val="20"/>
          <w:szCs w:val="20"/>
          <w:lang w:val="de-DE"/>
        </w:rPr>
        <w:t>§ 2 - Die Befugnisse eines Gerichtspolizeioffiziers, Hilfsbeamter des Prokurators des Königs, die den vom König bestimmten Bediensteten erteilt werden, können nur im Hinblick auf Ermittlung, Feststellung und Untersuchung der in Artikel XV.2 § 1 und [[in den Artikeln 451, 478, 479 bis 485, 489 bis 497 und 671] des Strafgesetzbuches] erwähnten Verstöße ausgeübt werden.</w:t>
      </w:r>
    </w:p>
    <w:p w14:paraId="44E1FCBB" w14:textId="77777777" w:rsidR="00CE5BB7" w:rsidRPr="004676F5" w:rsidRDefault="00CE5BB7" w:rsidP="00CE5BB7">
      <w:pPr>
        <w:jc w:val="both"/>
        <w:rPr>
          <w:iCs/>
          <w:sz w:val="20"/>
          <w:szCs w:val="20"/>
          <w:lang w:val="de-DE"/>
        </w:rPr>
      </w:pPr>
    </w:p>
    <w:p w14:paraId="2CA9646E" w14:textId="31CF6E9F" w:rsidR="00CE5BB7" w:rsidRPr="004676F5" w:rsidRDefault="00CE5BB7" w:rsidP="00CE5BB7">
      <w:pPr>
        <w:jc w:val="both"/>
        <w:rPr>
          <w:sz w:val="20"/>
          <w:szCs w:val="20"/>
          <w:lang w:val="de-DE"/>
        </w:rPr>
      </w:pPr>
      <w:r w:rsidRPr="004676F5">
        <w:rPr>
          <w:i/>
          <w:iCs/>
          <w:sz w:val="20"/>
          <w:szCs w:val="20"/>
          <w:lang w:val="de-DE"/>
        </w:rPr>
        <w:t>[Art. XV.8 § 2 abgeändert durch Art. 38 des G. vom 29. Juni 2016 (B.S. vom 6. Juli 2016), Art. 31 des G. vom 30. Juli 2018 (II) (B.S. vom 5. September 2018) und Art. 107 des G. vom 29. Februar 2024 (II) (B.S. vom 8. April 2024)]</w:t>
      </w:r>
      <w:r w:rsidRPr="004676F5">
        <w:rPr>
          <w:sz w:val="20"/>
          <w:szCs w:val="20"/>
          <w:lang w:val="de-DE"/>
        </w:rPr>
        <w:t>"</w:t>
      </w:r>
    </w:p>
    <w:p w14:paraId="0E2A904B" w14:textId="797EA946" w:rsidR="00CE5BB7" w:rsidRPr="004676F5" w:rsidRDefault="00CE5BB7" w:rsidP="00CE5BB7">
      <w:pPr>
        <w:jc w:val="both"/>
        <w:rPr>
          <w:lang w:val="de-DE"/>
        </w:rPr>
      </w:pPr>
    </w:p>
    <w:p w14:paraId="55E8B532" w14:textId="77777777" w:rsidR="00CA1E57" w:rsidRPr="004676F5" w:rsidRDefault="00CA1E57" w:rsidP="00BA2266">
      <w:pPr>
        <w:jc w:val="both"/>
        <w:rPr>
          <w:lang w:val="de-DE"/>
        </w:rPr>
      </w:pPr>
    </w:p>
    <w:p w14:paraId="5B7C22BE" w14:textId="34305B85" w:rsidR="00BA2266" w:rsidRPr="004676F5" w:rsidRDefault="00BE0A56" w:rsidP="00BA2266">
      <w:pPr>
        <w:ind w:firstLine="708"/>
        <w:jc w:val="both"/>
        <w:rPr>
          <w:lang w:val="de-DE"/>
        </w:rPr>
      </w:pPr>
      <w:r w:rsidRPr="004676F5">
        <w:rPr>
          <w:b/>
          <w:lang w:val="de-DE"/>
        </w:rPr>
        <w:t>Art. </w:t>
      </w:r>
      <w:r w:rsidR="00BA2266" w:rsidRPr="004676F5">
        <w:rPr>
          <w:b/>
          <w:lang w:val="de-DE"/>
        </w:rPr>
        <w:t>XV.9</w:t>
      </w:r>
      <w:r w:rsidR="00BA2266" w:rsidRPr="004676F5">
        <w:rPr>
          <w:lang w:val="de-DE"/>
        </w:rPr>
        <w:t> </w:t>
      </w:r>
      <w:r w:rsidR="005B7A5C" w:rsidRPr="004676F5">
        <w:rPr>
          <w:lang w:val="de-DE"/>
        </w:rPr>
        <w:t>- </w:t>
      </w:r>
      <w:r w:rsidR="00BA2266" w:rsidRPr="004676F5">
        <w:rPr>
          <w:lang w:val="de-DE"/>
        </w:rPr>
        <w:t>Damit die in Artikel XV.8 erwähnten Bediensteten ihre Befugnisse eines Gerichtspolizeioffiziers, Hilfsbeamter des Prokurators des Königs, ausüben können, legen sie vor dem Generalprokurator des Bereichs ihres Wohnsitzes einen Eid mit folgendem Wortlaut ab: "Ich schwöre Treue dem König, Gehorsam der Verfassung und den Gesetzen des belgischen Volkes sowie das mir aufgetragene Amt treu wahrzunehmen."</w:t>
      </w:r>
    </w:p>
    <w:p w14:paraId="444DBC39" w14:textId="77777777" w:rsidR="00BA2266" w:rsidRPr="004676F5" w:rsidRDefault="00BA2266" w:rsidP="00BA2266">
      <w:pPr>
        <w:jc w:val="both"/>
        <w:rPr>
          <w:lang w:val="de-DE"/>
        </w:rPr>
      </w:pPr>
    </w:p>
    <w:p w14:paraId="753AB171" w14:textId="77777777" w:rsidR="00BA2266" w:rsidRPr="004676F5" w:rsidRDefault="00BA2266" w:rsidP="00BA2266">
      <w:pPr>
        <w:ind w:firstLine="708"/>
        <w:jc w:val="both"/>
        <w:rPr>
          <w:lang w:val="de-DE"/>
        </w:rPr>
      </w:pPr>
      <w:r w:rsidRPr="004676F5">
        <w:rPr>
          <w:lang w:val="de-DE"/>
        </w:rPr>
        <w:t>Sie können ihre Befugnisse auf dem gesamten Gebiet des Königreichs ausüben.</w:t>
      </w:r>
    </w:p>
    <w:p w14:paraId="67B63AFA" w14:textId="77777777" w:rsidR="00BA2266" w:rsidRPr="004676F5" w:rsidRDefault="00BA2266" w:rsidP="00BA2266">
      <w:pPr>
        <w:jc w:val="both"/>
        <w:rPr>
          <w:lang w:val="de-DE"/>
        </w:rPr>
      </w:pPr>
    </w:p>
    <w:p w14:paraId="55017DA2" w14:textId="77777777" w:rsidR="00F71E6A" w:rsidRPr="004676F5" w:rsidRDefault="00F71E6A" w:rsidP="00BA2266">
      <w:pPr>
        <w:jc w:val="both"/>
        <w:rPr>
          <w:lang w:val="de-DE"/>
        </w:rPr>
      </w:pPr>
    </w:p>
    <w:p w14:paraId="353D9083" w14:textId="63ACE3E7" w:rsidR="00BA2266" w:rsidRPr="004676F5" w:rsidRDefault="00BE0A56" w:rsidP="00BA2266">
      <w:pPr>
        <w:ind w:firstLine="708"/>
        <w:jc w:val="both"/>
        <w:rPr>
          <w:lang w:val="de-DE"/>
        </w:rPr>
      </w:pPr>
      <w:r w:rsidRPr="004676F5">
        <w:rPr>
          <w:b/>
          <w:lang w:val="de-DE"/>
        </w:rPr>
        <w:t>Art. </w:t>
      </w:r>
      <w:r w:rsidR="00BA2266" w:rsidRPr="004676F5">
        <w:rPr>
          <w:b/>
          <w:lang w:val="de-DE"/>
        </w:rPr>
        <w:t>XV.10</w:t>
      </w:r>
      <w:r w:rsidR="00BA2266" w:rsidRPr="004676F5">
        <w:rPr>
          <w:lang w:val="de-DE"/>
        </w:rPr>
        <w:t> </w:t>
      </w:r>
      <w:r w:rsidR="005B7A5C" w:rsidRPr="004676F5">
        <w:rPr>
          <w:lang w:val="de-DE"/>
        </w:rPr>
        <w:t>- </w:t>
      </w:r>
      <w:r w:rsidR="00BA2266" w:rsidRPr="004676F5">
        <w:rPr>
          <w:lang w:val="de-DE"/>
        </w:rPr>
        <w:t>Der König kann durch einen im Ministerrat beratenen Erlass den in Artikel XV.2 erwähnten Bediensteten zusätzlich zu den Befugnissen, über die sie gemäß den Bestimmungen des vorliegenden Kapitels und des Kapitels 2 verfügen, weitere spezifische Befugnisse für Ermittlung und Feststellung von Verstößen zuweisen. Dieser Königliche Erlass muss innerhalb achtzehn Monaten ab seinem Inkrafttreten durch Gesetz bestätigt werden.</w:t>
      </w:r>
    </w:p>
    <w:p w14:paraId="15DDB135" w14:textId="77777777" w:rsidR="00BA2266" w:rsidRPr="004676F5" w:rsidRDefault="00BA2266" w:rsidP="00BA2266">
      <w:pPr>
        <w:jc w:val="both"/>
        <w:rPr>
          <w:lang w:val="de-DE"/>
        </w:rPr>
      </w:pPr>
    </w:p>
    <w:p w14:paraId="74E3F9E5" w14:textId="77777777" w:rsidR="00F71E6A" w:rsidRPr="004676F5" w:rsidRDefault="00F71E6A">
      <w:pPr>
        <w:rPr>
          <w:lang w:val="de-DE"/>
        </w:rPr>
      </w:pPr>
    </w:p>
    <w:p w14:paraId="78C3A4E5" w14:textId="77777777" w:rsidR="0098050D" w:rsidRPr="004676F5" w:rsidRDefault="0098050D">
      <w:pPr>
        <w:rPr>
          <w:lang w:val="de-DE"/>
        </w:rPr>
      </w:pPr>
      <w:r w:rsidRPr="004676F5">
        <w:rPr>
          <w:lang w:val="de-DE"/>
        </w:rPr>
        <w:br w:type="page"/>
      </w:r>
    </w:p>
    <w:p w14:paraId="6A448A9F" w14:textId="77777777" w:rsidR="0098050D" w:rsidRPr="004676F5" w:rsidRDefault="0098050D" w:rsidP="0098050D">
      <w:pPr>
        <w:jc w:val="center"/>
        <w:rPr>
          <w:lang w:val="de-DE"/>
        </w:rPr>
      </w:pPr>
      <w:r w:rsidRPr="004676F5">
        <w:rPr>
          <w:lang w:val="de-DE"/>
        </w:rPr>
        <w:lastRenderedPageBreak/>
        <w:t>[KAPITEL 1/1 - </w:t>
      </w:r>
      <w:r w:rsidRPr="004676F5">
        <w:rPr>
          <w:i/>
          <w:iCs/>
          <w:lang w:val="de-DE"/>
        </w:rPr>
        <w:t>Schutz und Verarbeitung personenbezogener Daten</w:t>
      </w:r>
      <w:r w:rsidRPr="004676F5">
        <w:rPr>
          <w:lang w:val="de-DE"/>
        </w:rPr>
        <w:t>]</w:t>
      </w:r>
    </w:p>
    <w:p w14:paraId="6D5AA4A0" w14:textId="77777777" w:rsidR="0098050D" w:rsidRPr="004676F5" w:rsidRDefault="0098050D" w:rsidP="0098050D">
      <w:pPr>
        <w:jc w:val="center"/>
        <w:rPr>
          <w:lang w:val="de-DE"/>
        </w:rPr>
      </w:pPr>
    </w:p>
    <w:p w14:paraId="3DCAED34" w14:textId="0CFAEFEC" w:rsidR="0098050D" w:rsidRPr="004676F5" w:rsidRDefault="0098050D" w:rsidP="0098050D">
      <w:pPr>
        <w:jc w:val="both"/>
        <w:rPr>
          <w:i/>
          <w:iCs/>
          <w:lang w:val="de-DE"/>
        </w:rPr>
      </w:pPr>
      <w:r w:rsidRPr="004676F5">
        <w:rPr>
          <w:i/>
          <w:iCs/>
          <w:lang w:val="de-DE"/>
        </w:rPr>
        <w:t>[Unterteilung Kapitel 1/1 eingefügt durch Art. 34 des G. vom 5. November 2023</w:t>
      </w:r>
      <w:r w:rsidR="00857EC4" w:rsidRPr="004676F5">
        <w:rPr>
          <w:i/>
          <w:iCs/>
          <w:lang w:val="de-DE"/>
        </w:rPr>
        <w:t> (I)</w:t>
      </w:r>
      <w:r w:rsidRPr="004676F5">
        <w:rPr>
          <w:i/>
          <w:iCs/>
          <w:lang w:val="de-DE"/>
        </w:rPr>
        <w:t xml:space="preserve"> (B.S. vom 11. Dezember 2023)]</w:t>
      </w:r>
    </w:p>
    <w:p w14:paraId="299F9878" w14:textId="77777777" w:rsidR="0098050D" w:rsidRPr="004676F5" w:rsidRDefault="0098050D" w:rsidP="0098050D">
      <w:pPr>
        <w:jc w:val="both"/>
        <w:rPr>
          <w:lang w:val="de-DE"/>
        </w:rPr>
      </w:pPr>
    </w:p>
    <w:p w14:paraId="700848EE" w14:textId="77777777" w:rsidR="0098050D" w:rsidRPr="004676F5" w:rsidRDefault="0098050D" w:rsidP="0098050D">
      <w:pPr>
        <w:jc w:val="both"/>
        <w:rPr>
          <w:lang w:val="de-DE"/>
        </w:rPr>
      </w:pPr>
    </w:p>
    <w:p w14:paraId="1BDC26B2" w14:textId="77777777" w:rsidR="0098050D" w:rsidRPr="004676F5" w:rsidRDefault="0098050D" w:rsidP="0098050D">
      <w:pPr>
        <w:jc w:val="center"/>
        <w:rPr>
          <w:lang w:val="de-DE"/>
        </w:rPr>
      </w:pPr>
      <w:r w:rsidRPr="004676F5">
        <w:rPr>
          <w:lang w:val="de-DE"/>
        </w:rPr>
        <w:t>[</w:t>
      </w:r>
      <w:r w:rsidRPr="004676F5">
        <w:rPr>
          <w:i/>
          <w:iCs/>
          <w:lang w:val="de-DE"/>
        </w:rPr>
        <w:t>Abschnitt 1</w:t>
      </w:r>
      <w:r w:rsidRPr="004676F5">
        <w:rPr>
          <w:lang w:val="de-DE"/>
        </w:rPr>
        <w:t> - Rechte natürlicher Personen bei der Verarbeitung personen</w:t>
      </w:r>
      <w:r w:rsidRPr="004676F5">
        <w:rPr>
          <w:lang w:val="de-DE"/>
        </w:rPr>
        <w:softHyphen/>
        <w:t>bezogener Daten]</w:t>
      </w:r>
    </w:p>
    <w:p w14:paraId="11BBD5EF" w14:textId="77777777" w:rsidR="0098050D" w:rsidRPr="004676F5" w:rsidRDefault="0098050D" w:rsidP="0098050D">
      <w:pPr>
        <w:jc w:val="center"/>
        <w:rPr>
          <w:lang w:val="de-DE"/>
        </w:rPr>
      </w:pPr>
    </w:p>
    <w:p w14:paraId="5C371571" w14:textId="48488C61" w:rsidR="0098050D" w:rsidRPr="004676F5" w:rsidRDefault="0098050D" w:rsidP="0098050D">
      <w:pPr>
        <w:jc w:val="both"/>
        <w:rPr>
          <w:i/>
          <w:iCs/>
          <w:lang w:val="de-DE"/>
        </w:rPr>
      </w:pPr>
      <w:r w:rsidRPr="004676F5">
        <w:rPr>
          <w:i/>
          <w:iCs/>
          <w:lang w:val="de-DE"/>
        </w:rPr>
        <w:t>[Unterteilung Abschnitt 1 eingefügt durch Art. 35 des G. vom 5. November 2023</w:t>
      </w:r>
      <w:r w:rsidR="00857EC4" w:rsidRPr="004676F5">
        <w:rPr>
          <w:i/>
          <w:iCs/>
          <w:lang w:val="de-DE"/>
        </w:rPr>
        <w:t> (I)</w:t>
      </w:r>
      <w:r w:rsidRPr="004676F5">
        <w:rPr>
          <w:i/>
          <w:iCs/>
          <w:lang w:val="de-DE"/>
        </w:rPr>
        <w:t xml:space="preserve"> (B.S. vom 11. Dezember 2023)]</w:t>
      </w:r>
    </w:p>
    <w:p w14:paraId="4A8B1768" w14:textId="77777777" w:rsidR="0098050D" w:rsidRPr="004676F5" w:rsidRDefault="0098050D" w:rsidP="00E47C8C">
      <w:pPr>
        <w:ind w:firstLine="708"/>
        <w:jc w:val="both"/>
        <w:rPr>
          <w:lang w:val="de-DE"/>
        </w:rPr>
      </w:pPr>
    </w:p>
    <w:p w14:paraId="0BC17758" w14:textId="77777777" w:rsidR="0098050D" w:rsidRPr="004676F5" w:rsidRDefault="0098050D" w:rsidP="00E47C8C">
      <w:pPr>
        <w:ind w:firstLine="708"/>
        <w:jc w:val="both"/>
        <w:rPr>
          <w:lang w:val="de-DE"/>
        </w:rPr>
      </w:pPr>
    </w:p>
    <w:p w14:paraId="4B55813B" w14:textId="0E3214B5" w:rsidR="00E47C8C" w:rsidRPr="004676F5" w:rsidRDefault="00C5750E" w:rsidP="00E47C8C">
      <w:pPr>
        <w:ind w:firstLine="708"/>
        <w:jc w:val="both"/>
        <w:rPr>
          <w:rFonts w:eastAsia="Calibri" w:cs="Arial"/>
          <w:szCs w:val="22"/>
          <w:lang w:val="de-DE" w:eastAsia="en-US"/>
        </w:rPr>
      </w:pPr>
      <w:r w:rsidRPr="004676F5">
        <w:rPr>
          <w:rFonts w:eastAsia="Calibri" w:cs="Arial"/>
          <w:szCs w:val="22"/>
          <w:lang w:val="de-DE" w:eastAsia="en-US"/>
        </w:rPr>
        <w:t>[...]</w:t>
      </w:r>
    </w:p>
    <w:p w14:paraId="25DE7E31" w14:textId="77777777" w:rsidR="00E47C8C" w:rsidRPr="004676F5" w:rsidRDefault="00E47C8C" w:rsidP="00E47C8C">
      <w:pPr>
        <w:ind w:firstLine="708"/>
        <w:jc w:val="both"/>
        <w:rPr>
          <w:rFonts w:eastAsia="Calibri" w:cs="Arial"/>
          <w:szCs w:val="22"/>
          <w:lang w:val="de-DE" w:eastAsia="en-US"/>
        </w:rPr>
      </w:pPr>
    </w:p>
    <w:p w14:paraId="6F365A3E" w14:textId="538A0386" w:rsidR="00E47C8C" w:rsidRPr="004676F5" w:rsidRDefault="00FC0C7F" w:rsidP="00E47C8C">
      <w:pPr>
        <w:jc w:val="both"/>
        <w:rPr>
          <w:rFonts w:eastAsia="Calibri"/>
          <w:i/>
          <w:iCs/>
          <w:lang w:val="de-DE" w:eastAsia="en-US"/>
        </w:rPr>
      </w:pPr>
      <w:r w:rsidRPr="004676F5">
        <w:rPr>
          <w:rFonts w:eastAsia="Calibri" w:cs="Arial"/>
          <w:i/>
          <w:iCs/>
          <w:szCs w:val="22"/>
          <w:lang w:val="de-DE" w:eastAsia="en-US"/>
        </w:rPr>
        <w:t>[</w:t>
      </w:r>
      <w:r w:rsidR="0098050D" w:rsidRPr="004676F5">
        <w:rPr>
          <w:rFonts w:eastAsia="Calibri" w:cs="Arial"/>
          <w:i/>
          <w:iCs/>
          <w:szCs w:val="22"/>
          <w:lang w:val="de-DE" w:eastAsia="en-US"/>
        </w:rPr>
        <w:t>Früherer z</w:t>
      </w:r>
      <w:r w:rsidR="0053393E" w:rsidRPr="004676F5">
        <w:rPr>
          <w:rFonts w:eastAsia="Calibri" w:cs="Arial"/>
          <w:i/>
          <w:iCs/>
          <w:szCs w:val="22"/>
          <w:lang w:val="de-DE" w:eastAsia="en-US"/>
        </w:rPr>
        <w:t>wei</w:t>
      </w:r>
      <w:r w:rsidRPr="004676F5">
        <w:rPr>
          <w:rFonts w:eastAsia="Calibri" w:cs="Arial"/>
          <w:i/>
          <w:iCs/>
          <w:szCs w:val="22"/>
          <w:lang w:val="de-DE" w:eastAsia="en-US"/>
        </w:rPr>
        <w:t>ter Artikel XV.10/1 eingefügt durch Art. 88</w:t>
      </w:r>
      <w:r w:rsidRPr="004676F5">
        <w:rPr>
          <w:i/>
          <w:iCs/>
          <w:lang w:val="de-DE"/>
        </w:rPr>
        <w:t xml:space="preserve"> des G. vom 5. September 2018 (B.S. vom 10. September 2018)</w:t>
      </w:r>
      <w:r w:rsidR="00C5750E" w:rsidRPr="004676F5">
        <w:rPr>
          <w:i/>
          <w:iCs/>
          <w:lang w:val="de-DE"/>
        </w:rPr>
        <w:t xml:space="preserve"> und aufgehoben durch Art. 6 des G. vom 4. Mai 2023 (B.S. vom 23. Mai 2023)</w:t>
      </w:r>
      <w:r w:rsidR="0098050D" w:rsidRPr="004676F5">
        <w:rPr>
          <w:i/>
          <w:iCs/>
          <w:lang w:val="de-DE"/>
        </w:rPr>
        <w:t xml:space="preserve"> und Art. 36 des G. vom 5. November 2023</w:t>
      </w:r>
      <w:r w:rsidR="00857EC4" w:rsidRPr="004676F5">
        <w:rPr>
          <w:i/>
          <w:iCs/>
          <w:lang w:val="de-DE"/>
        </w:rPr>
        <w:t> (I)</w:t>
      </w:r>
      <w:r w:rsidR="0098050D" w:rsidRPr="004676F5">
        <w:rPr>
          <w:i/>
          <w:iCs/>
          <w:lang w:val="de-DE"/>
        </w:rPr>
        <w:t xml:space="preserve"> (B.S. vom 11. Dezember 2023)</w:t>
      </w:r>
      <w:r w:rsidRPr="004676F5">
        <w:rPr>
          <w:i/>
          <w:iCs/>
          <w:lang w:val="de-DE"/>
        </w:rPr>
        <w:t>]</w:t>
      </w:r>
    </w:p>
    <w:p w14:paraId="2A4B91CC" w14:textId="77777777" w:rsidR="00E47C8C" w:rsidRPr="004676F5" w:rsidRDefault="00E47C8C" w:rsidP="00E47C8C">
      <w:pPr>
        <w:ind w:firstLine="708"/>
        <w:jc w:val="both"/>
        <w:rPr>
          <w:rFonts w:eastAsia="Calibri"/>
          <w:lang w:val="de-DE" w:eastAsia="en-US"/>
        </w:rPr>
      </w:pPr>
    </w:p>
    <w:p w14:paraId="3024FF06" w14:textId="77777777" w:rsidR="00E47C8C" w:rsidRPr="004676F5" w:rsidRDefault="00E47C8C" w:rsidP="00E47C8C">
      <w:pPr>
        <w:ind w:firstLine="708"/>
        <w:jc w:val="both"/>
        <w:rPr>
          <w:rFonts w:eastAsia="Calibri"/>
          <w:lang w:val="de-DE" w:eastAsia="en-US"/>
        </w:rPr>
      </w:pPr>
    </w:p>
    <w:p w14:paraId="1E618DBE" w14:textId="3F9D0789" w:rsidR="0098050D" w:rsidRPr="004676F5" w:rsidRDefault="00FC0C7F" w:rsidP="0098050D">
      <w:pPr>
        <w:ind w:firstLine="708"/>
        <w:jc w:val="both"/>
        <w:rPr>
          <w:lang w:val="de-DE"/>
        </w:rPr>
      </w:pPr>
      <w:r w:rsidRPr="004676F5">
        <w:rPr>
          <w:rFonts w:eastAsia="Calibri" w:cs="Arial"/>
          <w:szCs w:val="22"/>
          <w:lang w:val="de-DE" w:eastAsia="en-US"/>
        </w:rPr>
        <w:t>[</w:t>
      </w:r>
      <w:r w:rsidR="00E47C8C" w:rsidRPr="004676F5">
        <w:rPr>
          <w:rFonts w:eastAsia="Calibri" w:cs="Arial"/>
          <w:b/>
          <w:bCs/>
          <w:szCs w:val="22"/>
          <w:lang w:val="de-DE" w:eastAsia="en-US"/>
        </w:rPr>
        <w:t>Art. XV.10/2</w:t>
      </w:r>
      <w:r w:rsidR="00E47C8C" w:rsidRPr="004676F5">
        <w:rPr>
          <w:rFonts w:eastAsia="Calibri" w:cs="Arial"/>
          <w:szCs w:val="22"/>
          <w:lang w:val="de-DE" w:eastAsia="en-US"/>
        </w:rPr>
        <w:t> </w:t>
      </w:r>
      <w:r w:rsidR="005B7A5C" w:rsidRPr="004676F5">
        <w:rPr>
          <w:rFonts w:eastAsia="Calibri" w:cs="Arial"/>
          <w:szCs w:val="22"/>
          <w:lang w:val="de-DE" w:eastAsia="en-US"/>
        </w:rPr>
        <w:t>- </w:t>
      </w:r>
      <w:r w:rsidR="0098050D" w:rsidRPr="004676F5">
        <w:rPr>
          <w:rFonts w:eastAsia="Calibri" w:cs="Arial"/>
          <w:szCs w:val="22"/>
          <w:lang w:val="de-DE" w:eastAsia="en-US"/>
        </w:rPr>
        <w:t>[</w:t>
      </w:r>
      <w:r w:rsidR="0098050D" w:rsidRPr="004676F5">
        <w:rPr>
          <w:lang w:val="de-DE"/>
        </w:rPr>
        <w:t>§ 1 ­ In Anwendung von Artikel 23 Absatz 1 Buchstabe d) und h) und in Abweichung von den Artikeln 13 und 14 der Verordnung (EU) 2016/679 des Europäischen Parlaments und des Rates vom 27. April 2016 zum Schutz natürlicher Personen bei der Verarbeitung personenbezogener Daten, zum freien Datenverkehr und zur Aufhebung der Richtlinie 95/46/EG (im Nachfolgenden Datenschutz-Grundverordnung) kann das Recht auf Unterrichtung verzögert werden, was Verarbeitungen personenbezogener Daten auf der Grundlage der Bestimmungen des vorliegenden Buches betrifft, zur Gewährleistung von:</w:t>
      </w:r>
    </w:p>
    <w:p w14:paraId="1F877E01" w14:textId="77777777" w:rsidR="0098050D" w:rsidRPr="004676F5" w:rsidRDefault="0098050D" w:rsidP="0098050D">
      <w:pPr>
        <w:jc w:val="both"/>
        <w:rPr>
          <w:lang w:val="de-DE"/>
        </w:rPr>
      </w:pPr>
    </w:p>
    <w:p w14:paraId="2BF9A6E2" w14:textId="77777777" w:rsidR="0098050D" w:rsidRPr="004676F5" w:rsidRDefault="0098050D" w:rsidP="0098050D">
      <w:pPr>
        <w:jc w:val="both"/>
        <w:rPr>
          <w:lang w:val="de-DE"/>
        </w:rPr>
      </w:pPr>
      <w:r w:rsidRPr="004676F5">
        <w:rPr>
          <w:lang w:val="de-DE"/>
        </w:rPr>
        <w:tab/>
        <w:t>1. Verhütung, Ermittlung, Aufdeckung oder Verfolgung von strafbaren Handlungen oder Vollstreckung von Sanktionen,</w:t>
      </w:r>
    </w:p>
    <w:p w14:paraId="2384009F" w14:textId="77777777" w:rsidR="0098050D" w:rsidRPr="004676F5" w:rsidRDefault="0098050D" w:rsidP="0098050D">
      <w:pPr>
        <w:jc w:val="both"/>
        <w:rPr>
          <w:lang w:val="de-DE"/>
        </w:rPr>
      </w:pPr>
    </w:p>
    <w:p w14:paraId="1A18A968" w14:textId="77777777" w:rsidR="0098050D" w:rsidRPr="004676F5" w:rsidRDefault="0098050D" w:rsidP="0098050D">
      <w:pPr>
        <w:jc w:val="both"/>
        <w:rPr>
          <w:lang w:val="de-DE"/>
        </w:rPr>
      </w:pPr>
      <w:r w:rsidRPr="004676F5">
        <w:rPr>
          <w:lang w:val="de-DE"/>
        </w:rPr>
        <w:tab/>
        <w:t>2. Kontroll- oder Inspektionsaufgaben, die selbst nur gelegentlich mit der Ausübung öffentlicher Gewalt verbunden sind.</w:t>
      </w:r>
    </w:p>
    <w:p w14:paraId="3F27C5DC" w14:textId="77777777" w:rsidR="0098050D" w:rsidRPr="004676F5" w:rsidRDefault="0098050D" w:rsidP="0098050D">
      <w:pPr>
        <w:jc w:val="both"/>
        <w:rPr>
          <w:lang w:val="de-DE"/>
        </w:rPr>
      </w:pPr>
    </w:p>
    <w:p w14:paraId="73DE62E8" w14:textId="77777777" w:rsidR="0098050D" w:rsidRPr="004676F5" w:rsidRDefault="0098050D" w:rsidP="0098050D">
      <w:pPr>
        <w:jc w:val="both"/>
        <w:rPr>
          <w:lang w:val="de-DE"/>
        </w:rPr>
      </w:pPr>
      <w:r w:rsidRPr="004676F5">
        <w:rPr>
          <w:lang w:val="de-DE"/>
        </w:rPr>
        <w:tab/>
        <w:t>§ 2 ­ Diese Abweichungen gelten während des Zeitraums, in dem in Bezug auf die betreffende Person Kontrollen oder Untersuchungen laufen, die von den in Artikel XV.2 erwähnten Bediensteten im Rahmen der Ausführung ihrer gesetzlichen Aufträge durchgeführt werden, und während des Zeitraums, in dem Unterlagen dieser Dienste im Hinblick auf eine diesbezügliche Verfolgung verarbeitet werden.</w:t>
      </w:r>
    </w:p>
    <w:p w14:paraId="35856441" w14:textId="77777777" w:rsidR="0098050D" w:rsidRPr="004676F5" w:rsidRDefault="0098050D" w:rsidP="0098050D">
      <w:pPr>
        <w:jc w:val="both"/>
        <w:rPr>
          <w:lang w:val="de-DE"/>
        </w:rPr>
      </w:pPr>
    </w:p>
    <w:p w14:paraId="5963E2C2" w14:textId="77777777" w:rsidR="0098050D" w:rsidRPr="004676F5" w:rsidRDefault="0098050D" w:rsidP="0098050D">
      <w:pPr>
        <w:jc w:val="both"/>
        <w:rPr>
          <w:lang w:val="de-DE"/>
        </w:rPr>
      </w:pPr>
      <w:r w:rsidRPr="004676F5">
        <w:rPr>
          <w:lang w:val="de-DE"/>
        </w:rPr>
        <w:tab/>
        <w:t>Diese Abweichungen gelten, sofern die Anwendung dieses Rechts den Zwecken der Kontrolle oder Untersuchung schaden würde beziehungsweise die Vertraulichkeit der strafrechtlichen Ermittlung oder das Berufsgeheimnis zu verletzen droht.</w:t>
      </w:r>
    </w:p>
    <w:p w14:paraId="67FF21D0" w14:textId="77777777" w:rsidR="0098050D" w:rsidRPr="004676F5" w:rsidRDefault="0098050D" w:rsidP="0098050D">
      <w:pPr>
        <w:jc w:val="both"/>
        <w:rPr>
          <w:lang w:val="de-DE"/>
        </w:rPr>
      </w:pPr>
    </w:p>
    <w:p w14:paraId="41C113A3" w14:textId="77777777" w:rsidR="0098050D" w:rsidRPr="004676F5" w:rsidRDefault="0098050D" w:rsidP="0098050D">
      <w:pPr>
        <w:jc w:val="both"/>
        <w:rPr>
          <w:lang w:val="de-DE"/>
        </w:rPr>
      </w:pPr>
      <w:r w:rsidRPr="004676F5">
        <w:rPr>
          <w:lang w:val="de-DE"/>
        </w:rPr>
        <w:tab/>
        <w:t>Die in § 1 erwähnte Einschränkung bezieht sich nicht auf Daten, die unabhängig vom Gegenstand der Untersuchung oder Kontrolle sind, die die Verzögerung des Rechts auf Unterrichtung rechtfertigt.</w:t>
      </w:r>
    </w:p>
    <w:p w14:paraId="271B1D59" w14:textId="77777777" w:rsidR="0098050D" w:rsidRPr="004676F5" w:rsidRDefault="0098050D" w:rsidP="0098050D">
      <w:pPr>
        <w:jc w:val="both"/>
        <w:rPr>
          <w:lang w:val="de-DE"/>
        </w:rPr>
      </w:pPr>
    </w:p>
    <w:p w14:paraId="56419D99" w14:textId="77777777" w:rsidR="0098050D" w:rsidRPr="004676F5" w:rsidRDefault="0098050D" w:rsidP="0098050D">
      <w:pPr>
        <w:jc w:val="both"/>
        <w:rPr>
          <w:lang w:val="de-DE"/>
        </w:rPr>
      </w:pPr>
      <w:r w:rsidRPr="004676F5">
        <w:rPr>
          <w:lang w:val="de-DE"/>
        </w:rPr>
        <w:tab/>
        <w:t>§ 3 - Bei Eingang eines Antrags in Bezug auf das Recht auf Unterrichtung bestätigt der für die Verarbeitung Verantwortliche den Empfang.</w:t>
      </w:r>
    </w:p>
    <w:p w14:paraId="2E47CE40" w14:textId="77777777" w:rsidR="0098050D" w:rsidRPr="004676F5" w:rsidRDefault="0098050D" w:rsidP="0098050D">
      <w:pPr>
        <w:jc w:val="both"/>
        <w:rPr>
          <w:lang w:val="de-DE"/>
        </w:rPr>
      </w:pPr>
    </w:p>
    <w:p w14:paraId="13C034A9" w14:textId="77777777" w:rsidR="0098050D" w:rsidRPr="004676F5" w:rsidRDefault="0098050D" w:rsidP="0098050D">
      <w:pPr>
        <w:jc w:val="both"/>
        <w:rPr>
          <w:lang w:val="de-DE"/>
        </w:rPr>
      </w:pPr>
      <w:r w:rsidRPr="004676F5">
        <w:rPr>
          <w:lang w:val="de-DE"/>
        </w:rPr>
        <w:lastRenderedPageBreak/>
        <w:tab/>
        <w:t>Der für die Verarbeitung Verantwortliche unterrichtet die betreffende Person schnellstmöglich, in jedem Fall aber innerhalb eines Monats nach Eingang des Antrags, schriftlich über jede Verzögerung des Rechts auf Unterrichtung und über die Gründe für diese Verzögerung. Diese Unterrichtung kann unterbleiben, wenn ihre Mitteilung eine der in § 1 erwähnten Zielsetzungen zu gefährden droht. Die Frist kann um zwei Monate verlängert werden, wenn dies unter Berücksichtigung der Komplexität und der Anzahl Anträge erforderlich ist.</w:t>
      </w:r>
    </w:p>
    <w:p w14:paraId="4FB0EED7" w14:textId="77777777" w:rsidR="0098050D" w:rsidRPr="004676F5" w:rsidRDefault="0098050D" w:rsidP="0098050D">
      <w:pPr>
        <w:jc w:val="both"/>
        <w:rPr>
          <w:lang w:val="de-DE"/>
        </w:rPr>
      </w:pPr>
    </w:p>
    <w:p w14:paraId="51C797D4" w14:textId="77777777" w:rsidR="0098050D" w:rsidRPr="004676F5" w:rsidRDefault="0098050D" w:rsidP="0098050D">
      <w:pPr>
        <w:jc w:val="both"/>
        <w:rPr>
          <w:lang w:val="de-DE"/>
        </w:rPr>
      </w:pPr>
      <w:r w:rsidRPr="004676F5">
        <w:rPr>
          <w:lang w:val="de-DE"/>
        </w:rPr>
        <w:tab/>
        <w:t>Der für die Verarbeitung Verantwortliche unterrichtet die betreffende Person innerhalb eines Monats nach Eingang des Antrags über diese Fristverlängerung und die Gründe für die Verzögerung.</w:t>
      </w:r>
    </w:p>
    <w:p w14:paraId="7118852B" w14:textId="77777777" w:rsidR="0098050D" w:rsidRPr="004676F5" w:rsidRDefault="0098050D" w:rsidP="0098050D">
      <w:pPr>
        <w:jc w:val="both"/>
        <w:rPr>
          <w:lang w:val="de-DE"/>
        </w:rPr>
      </w:pPr>
    </w:p>
    <w:p w14:paraId="54B9A4B4" w14:textId="77777777" w:rsidR="0098050D" w:rsidRPr="004676F5" w:rsidRDefault="0098050D" w:rsidP="0098050D">
      <w:pPr>
        <w:jc w:val="both"/>
        <w:rPr>
          <w:lang w:val="de-DE"/>
        </w:rPr>
      </w:pPr>
      <w:r w:rsidRPr="004676F5">
        <w:rPr>
          <w:lang w:val="de-DE"/>
        </w:rPr>
        <w:tab/>
        <w:t>Der für die Verarbeitung Verantwortliche unterrichtet die betroffene Person über die Möglichkeiten, bei der Datenschutzbehörde Beschwerde einzureichen oder eine gerichtliche Beschwerde einzureichen.</w:t>
      </w:r>
    </w:p>
    <w:p w14:paraId="70F05E63" w14:textId="77777777" w:rsidR="0098050D" w:rsidRPr="004676F5" w:rsidRDefault="0098050D" w:rsidP="0098050D">
      <w:pPr>
        <w:jc w:val="both"/>
        <w:rPr>
          <w:lang w:val="de-DE"/>
        </w:rPr>
      </w:pPr>
    </w:p>
    <w:p w14:paraId="5061E35D" w14:textId="77777777" w:rsidR="0098050D" w:rsidRPr="004676F5" w:rsidRDefault="0098050D" w:rsidP="0098050D">
      <w:pPr>
        <w:jc w:val="both"/>
        <w:rPr>
          <w:lang w:val="de-DE"/>
        </w:rPr>
      </w:pPr>
      <w:r w:rsidRPr="004676F5">
        <w:rPr>
          <w:lang w:val="de-DE"/>
        </w:rPr>
        <w:tab/>
        <w:t>Der für die Verarbeitung Verantwortliche dokumentiert die sachlichen oder rechtlichen Gründe für die Entscheidung. Diese Angaben werden der Datenschutzbehörde zur Verfügung gestellt.</w:t>
      </w:r>
    </w:p>
    <w:p w14:paraId="565C5A19" w14:textId="77777777" w:rsidR="0098050D" w:rsidRPr="004676F5" w:rsidRDefault="0098050D" w:rsidP="0098050D">
      <w:pPr>
        <w:jc w:val="both"/>
        <w:rPr>
          <w:lang w:val="de-DE"/>
        </w:rPr>
      </w:pPr>
    </w:p>
    <w:p w14:paraId="2FF95FD4" w14:textId="77777777" w:rsidR="0098050D" w:rsidRPr="004676F5" w:rsidRDefault="0098050D" w:rsidP="0098050D">
      <w:pPr>
        <w:jc w:val="both"/>
        <w:rPr>
          <w:lang w:val="de-DE"/>
        </w:rPr>
      </w:pPr>
      <w:r w:rsidRPr="004676F5">
        <w:rPr>
          <w:lang w:val="de-DE"/>
        </w:rPr>
        <w:tab/>
        <w:t>Hat der für die Verarbeitung Verantwortliche von der in § 1 vorgesehenen Ausnahme Gebrauch gemacht, wird außer in den in Absatz 7 erwähnten Situationen die Ausnahmeregel nach Abschluss der Kontrolle beziehungsweise Untersuchung sofort aufgehoben. Der für die Verarbeitung Verantwortliche unterrichtet die betreffende Person sofort hierüber.</w:t>
      </w:r>
    </w:p>
    <w:p w14:paraId="0CDE0D54" w14:textId="77777777" w:rsidR="0098050D" w:rsidRPr="004676F5" w:rsidRDefault="0098050D" w:rsidP="0098050D">
      <w:pPr>
        <w:rPr>
          <w:lang w:val="de-DE"/>
        </w:rPr>
      </w:pPr>
    </w:p>
    <w:p w14:paraId="3DB203AB" w14:textId="77777777" w:rsidR="0098050D" w:rsidRPr="004676F5" w:rsidRDefault="0098050D" w:rsidP="0098050D">
      <w:pPr>
        <w:jc w:val="both"/>
        <w:rPr>
          <w:lang w:val="de-DE"/>
        </w:rPr>
      </w:pPr>
      <w:r w:rsidRPr="004676F5">
        <w:rPr>
          <w:lang w:val="de-DE"/>
        </w:rPr>
        <w:tab/>
        <w:t>Wird eine Akte an die Staatsanwaltschaft bei den Gerichtshöfen und Gerichten und/oder den Untersuchungsrichter weitergeleitet, werden die Rechte der betreffenden Person erst nach Erlaubnis der Gerichtsbehörde oder nach Abschluss der gerichtlichen Phase und gegebenenfalls, nachdem der zuständige Dienst einen Beschluss gefasst hat, wiederhergestellt. In Abweichung davon werden die Rechte in jedem Fall ab dem Zeitpunkt wiederhergestellt, zu dem:</w:t>
      </w:r>
    </w:p>
    <w:p w14:paraId="71437AC7" w14:textId="77777777" w:rsidR="0098050D" w:rsidRPr="004676F5" w:rsidRDefault="0098050D" w:rsidP="0098050D">
      <w:pPr>
        <w:jc w:val="both"/>
        <w:rPr>
          <w:lang w:val="de-DE"/>
        </w:rPr>
      </w:pPr>
    </w:p>
    <w:p w14:paraId="44CA2552" w14:textId="77777777" w:rsidR="0098050D" w:rsidRPr="004676F5" w:rsidRDefault="0098050D" w:rsidP="0098050D">
      <w:pPr>
        <w:jc w:val="both"/>
        <w:rPr>
          <w:lang w:val="de-DE"/>
        </w:rPr>
      </w:pPr>
      <w:r w:rsidRPr="004676F5">
        <w:rPr>
          <w:lang w:val="de-DE"/>
        </w:rPr>
        <w:tab/>
        <w:t>1. der Zuwiderhandelnde gemäß Artikel XV.2 § 2 über das Protokoll zur Feststellung des Verstoßes informiert wird,</w:t>
      </w:r>
    </w:p>
    <w:p w14:paraId="1A068C8A" w14:textId="77777777" w:rsidR="0098050D" w:rsidRPr="004676F5" w:rsidRDefault="0098050D" w:rsidP="0098050D">
      <w:pPr>
        <w:jc w:val="both"/>
        <w:rPr>
          <w:lang w:val="de-DE"/>
        </w:rPr>
      </w:pPr>
    </w:p>
    <w:p w14:paraId="084A4422" w14:textId="77777777" w:rsidR="0098050D" w:rsidRPr="004676F5" w:rsidRDefault="0098050D" w:rsidP="0098050D">
      <w:pPr>
        <w:jc w:val="both"/>
        <w:rPr>
          <w:lang w:val="de-DE"/>
        </w:rPr>
      </w:pPr>
      <w:r w:rsidRPr="004676F5">
        <w:rPr>
          <w:lang w:val="de-DE"/>
        </w:rPr>
        <w:tab/>
        <w:t>2. die Absicht, eine Maßnahme wie in Artikel XV.5/1 erwähnt zu ergreifen, dem Zuwiderhandelnden zur Kenntnis gebracht wird,</w:t>
      </w:r>
    </w:p>
    <w:p w14:paraId="24247018" w14:textId="77777777" w:rsidR="0098050D" w:rsidRPr="004676F5" w:rsidRDefault="0098050D" w:rsidP="0098050D">
      <w:pPr>
        <w:jc w:val="both"/>
        <w:rPr>
          <w:lang w:val="de-DE"/>
        </w:rPr>
      </w:pPr>
    </w:p>
    <w:p w14:paraId="24ED14D9" w14:textId="77777777" w:rsidR="0098050D" w:rsidRPr="004676F5" w:rsidRDefault="0098050D" w:rsidP="0098050D">
      <w:pPr>
        <w:jc w:val="both"/>
        <w:rPr>
          <w:lang w:val="de-DE"/>
        </w:rPr>
      </w:pPr>
      <w:r w:rsidRPr="004676F5">
        <w:rPr>
          <w:lang w:val="de-DE"/>
        </w:rPr>
        <w:tab/>
        <w:t>3. dem Zuwiderhandelnden gemäß Artikel XV.31 eine Verwarnung erteilt wird,</w:t>
      </w:r>
    </w:p>
    <w:p w14:paraId="3645914A" w14:textId="77777777" w:rsidR="0098050D" w:rsidRPr="004676F5" w:rsidRDefault="0098050D" w:rsidP="0098050D">
      <w:pPr>
        <w:jc w:val="both"/>
        <w:rPr>
          <w:lang w:val="de-DE"/>
        </w:rPr>
      </w:pPr>
    </w:p>
    <w:p w14:paraId="25E39029" w14:textId="77777777" w:rsidR="0098050D" w:rsidRPr="004676F5" w:rsidRDefault="0098050D" w:rsidP="0098050D">
      <w:pPr>
        <w:jc w:val="both"/>
        <w:rPr>
          <w:lang w:val="de-DE"/>
        </w:rPr>
      </w:pPr>
      <w:r w:rsidRPr="004676F5">
        <w:rPr>
          <w:lang w:val="de-DE"/>
        </w:rPr>
        <w:tab/>
        <w:t>4. der Zuwiderhandelnde zu einer Abhilfezusage wie in Artikel XV.31/2 erwähnt veranlasst wird,</w:t>
      </w:r>
    </w:p>
    <w:p w14:paraId="261E4B4A" w14:textId="77777777" w:rsidR="0098050D" w:rsidRPr="004676F5" w:rsidRDefault="0098050D" w:rsidP="0098050D">
      <w:pPr>
        <w:jc w:val="both"/>
        <w:rPr>
          <w:lang w:val="de-DE"/>
        </w:rPr>
      </w:pPr>
    </w:p>
    <w:p w14:paraId="733B19EA" w14:textId="77777777" w:rsidR="0098050D" w:rsidRPr="004676F5" w:rsidRDefault="0098050D" w:rsidP="0098050D">
      <w:pPr>
        <w:jc w:val="both"/>
        <w:rPr>
          <w:lang w:val="de-DE"/>
        </w:rPr>
      </w:pPr>
      <w:r w:rsidRPr="004676F5">
        <w:rPr>
          <w:lang w:val="de-DE"/>
        </w:rPr>
        <w:tab/>
        <w:t>5. der Zuwiderhandelnde im Rahmen des Verfahrens der öffentlichen Bekanntmachung wie in Artikel XV.31/2/1 erwähnt kontaktiert wird,</w:t>
      </w:r>
    </w:p>
    <w:p w14:paraId="3D5E2383" w14:textId="77777777" w:rsidR="0098050D" w:rsidRPr="004676F5" w:rsidRDefault="0098050D" w:rsidP="0098050D">
      <w:pPr>
        <w:jc w:val="both"/>
        <w:rPr>
          <w:lang w:val="de-DE"/>
        </w:rPr>
      </w:pPr>
    </w:p>
    <w:p w14:paraId="5F853C05" w14:textId="77777777" w:rsidR="0098050D" w:rsidRPr="004676F5" w:rsidRDefault="0098050D" w:rsidP="0098050D">
      <w:pPr>
        <w:jc w:val="both"/>
        <w:rPr>
          <w:lang w:val="de-DE"/>
        </w:rPr>
      </w:pPr>
      <w:r w:rsidRPr="004676F5">
        <w:rPr>
          <w:lang w:val="de-DE"/>
        </w:rPr>
        <w:tab/>
        <w:t>6. der Zuwiderhandelnde gemäß Artikel XV.60/7 aufgefordert wird, seine Verteidi</w:t>
      </w:r>
      <w:r w:rsidRPr="004676F5">
        <w:rPr>
          <w:lang w:val="de-DE"/>
        </w:rPr>
        <w:softHyphen/>
        <w:t>gungsmittel vorzubringen,</w:t>
      </w:r>
    </w:p>
    <w:p w14:paraId="155C6715" w14:textId="77777777" w:rsidR="0098050D" w:rsidRPr="004676F5" w:rsidRDefault="0098050D" w:rsidP="0098050D">
      <w:pPr>
        <w:jc w:val="both"/>
        <w:rPr>
          <w:lang w:val="de-DE"/>
        </w:rPr>
      </w:pPr>
    </w:p>
    <w:p w14:paraId="14EB4D40" w14:textId="77777777" w:rsidR="0098050D" w:rsidRPr="004676F5" w:rsidRDefault="0098050D" w:rsidP="0098050D">
      <w:pPr>
        <w:jc w:val="both"/>
        <w:rPr>
          <w:lang w:val="de-DE"/>
        </w:rPr>
      </w:pPr>
      <w:r w:rsidRPr="004676F5">
        <w:rPr>
          <w:lang w:val="de-DE"/>
        </w:rPr>
        <w:tab/>
        <w:t>7. dem Zuwiderhandelnden gemäß Artikel XV.61 ein Vergleich vorgeschlagen wird.</w:t>
      </w:r>
    </w:p>
    <w:p w14:paraId="21FF41B4" w14:textId="77777777" w:rsidR="0098050D" w:rsidRPr="004676F5" w:rsidRDefault="0098050D" w:rsidP="0098050D">
      <w:pPr>
        <w:jc w:val="both"/>
        <w:rPr>
          <w:lang w:val="de-DE"/>
        </w:rPr>
      </w:pPr>
    </w:p>
    <w:p w14:paraId="68A5A459" w14:textId="0D727BE7" w:rsidR="00E47C8C" w:rsidRPr="004676F5" w:rsidRDefault="0098050D" w:rsidP="00E47C8C">
      <w:pPr>
        <w:ind w:firstLine="708"/>
        <w:jc w:val="both"/>
        <w:rPr>
          <w:rFonts w:eastAsia="Calibri"/>
          <w:lang w:val="de-DE" w:eastAsia="en-US"/>
        </w:rPr>
      </w:pPr>
      <w:r w:rsidRPr="004676F5">
        <w:rPr>
          <w:lang w:val="de-DE"/>
        </w:rPr>
        <w:t>Auskünfte, die bei der Ausübung der von der Gerichtsbehörde vorgeschriebenen Pflichten gesammelt wurden, dürfen jedoch nur mit ausdrücklicher Erlaubnis dieser Gerichtsbehörde mitgeteilt werden.]</w:t>
      </w:r>
      <w:r w:rsidR="00FC0C7F" w:rsidRPr="004676F5">
        <w:rPr>
          <w:rFonts w:eastAsia="Calibri" w:cs="Arial"/>
          <w:szCs w:val="22"/>
          <w:lang w:val="de-DE" w:eastAsia="en-US"/>
        </w:rPr>
        <w:t>]</w:t>
      </w:r>
    </w:p>
    <w:p w14:paraId="359ECE96" w14:textId="77777777" w:rsidR="00E47C8C" w:rsidRPr="004676F5" w:rsidRDefault="00E47C8C" w:rsidP="00E47C8C">
      <w:pPr>
        <w:ind w:firstLine="708"/>
        <w:jc w:val="both"/>
        <w:rPr>
          <w:rFonts w:eastAsia="Calibri"/>
          <w:lang w:val="de-DE" w:eastAsia="en-US"/>
        </w:rPr>
      </w:pPr>
    </w:p>
    <w:p w14:paraId="1511FFB4" w14:textId="76A76D2B" w:rsidR="00FC0C7F" w:rsidRPr="004676F5" w:rsidRDefault="00FC0C7F" w:rsidP="00FC0C7F">
      <w:pPr>
        <w:jc w:val="both"/>
        <w:rPr>
          <w:rFonts w:eastAsia="Calibri"/>
          <w:i/>
          <w:iCs/>
          <w:lang w:val="de-DE" w:eastAsia="en-US"/>
        </w:rPr>
      </w:pPr>
      <w:r w:rsidRPr="004676F5">
        <w:rPr>
          <w:rFonts w:eastAsia="Calibri" w:cs="Arial"/>
          <w:i/>
          <w:iCs/>
          <w:szCs w:val="22"/>
          <w:lang w:val="de-DE" w:eastAsia="en-US"/>
        </w:rPr>
        <w:t>[Art. XV.10/2 eingefügt durch Art. 89</w:t>
      </w:r>
      <w:r w:rsidRPr="004676F5">
        <w:rPr>
          <w:i/>
          <w:iCs/>
          <w:lang w:val="de-DE"/>
        </w:rPr>
        <w:t xml:space="preserve"> des G. vom 5. September 2018 (B.S. vom 10. September 2018)</w:t>
      </w:r>
      <w:r w:rsidR="0098050D" w:rsidRPr="004676F5">
        <w:rPr>
          <w:i/>
          <w:iCs/>
          <w:lang w:val="de-DE"/>
        </w:rPr>
        <w:t xml:space="preserve"> und ersetzt durch Art. 37 des G. vom 5. November 2023</w:t>
      </w:r>
      <w:r w:rsidR="00857EC4" w:rsidRPr="004676F5">
        <w:rPr>
          <w:i/>
          <w:iCs/>
          <w:lang w:val="de-DE"/>
        </w:rPr>
        <w:t> (I)</w:t>
      </w:r>
      <w:r w:rsidR="0098050D" w:rsidRPr="004676F5">
        <w:rPr>
          <w:i/>
          <w:iCs/>
          <w:lang w:val="de-DE"/>
        </w:rPr>
        <w:t xml:space="preserve"> (B.S. vom 11. Dezember 2023)</w:t>
      </w:r>
      <w:r w:rsidRPr="004676F5">
        <w:rPr>
          <w:i/>
          <w:iCs/>
          <w:lang w:val="de-DE"/>
        </w:rPr>
        <w:t>]</w:t>
      </w:r>
    </w:p>
    <w:p w14:paraId="28682BAF" w14:textId="77777777" w:rsidR="00E47C8C" w:rsidRPr="004676F5" w:rsidRDefault="00E47C8C" w:rsidP="00FC0C7F">
      <w:pPr>
        <w:jc w:val="both"/>
        <w:rPr>
          <w:rFonts w:eastAsia="Calibri"/>
          <w:lang w:val="de-DE" w:eastAsia="en-US"/>
        </w:rPr>
      </w:pPr>
    </w:p>
    <w:p w14:paraId="763CFCA4" w14:textId="77777777" w:rsidR="00E47C8C" w:rsidRPr="004676F5" w:rsidRDefault="00E47C8C" w:rsidP="00E47C8C">
      <w:pPr>
        <w:ind w:firstLine="708"/>
        <w:jc w:val="both"/>
        <w:rPr>
          <w:rFonts w:eastAsia="Calibri"/>
          <w:lang w:val="de-DE" w:eastAsia="en-US"/>
        </w:rPr>
      </w:pPr>
    </w:p>
    <w:p w14:paraId="7AA23377" w14:textId="7AB4A611" w:rsidR="0098050D" w:rsidRPr="004676F5" w:rsidRDefault="00FC0C7F" w:rsidP="0098050D">
      <w:pPr>
        <w:ind w:firstLine="708"/>
        <w:jc w:val="both"/>
        <w:rPr>
          <w:lang w:val="de-DE"/>
        </w:rPr>
      </w:pPr>
      <w:r w:rsidRPr="004676F5">
        <w:rPr>
          <w:rFonts w:eastAsia="Calibri" w:cs="Arial"/>
          <w:szCs w:val="22"/>
          <w:lang w:val="de-DE" w:eastAsia="en-US"/>
        </w:rPr>
        <w:t>[</w:t>
      </w:r>
      <w:r w:rsidR="00E47C8C" w:rsidRPr="004676F5">
        <w:rPr>
          <w:rFonts w:eastAsia="Calibri" w:cs="Arial"/>
          <w:b/>
          <w:bCs/>
          <w:szCs w:val="22"/>
          <w:lang w:val="de-DE" w:eastAsia="en-US"/>
        </w:rPr>
        <w:t>Art. XV.10/3</w:t>
      </w:r>
      <w:r w:rsidR="00E47C8C" w:rsidRPr="004676F5">
        <w:rPr>
          <w:rFonts w:eastAsia="Calibri" w:cs="Arial"/>
          <w:szCs w:val="22"/>
          <w:lang w:val="de-DE" w:eastAsia="en-US"/>
        </w:rPr>
        <w:t> </w:t>
      </w:r>
      <w:r w:rsidR="005B7A5C" w:rsidRPr="004676F5">
        <w:rPr>
          <w:rFonts w:eastAsia="Calibri" w:cs="Arial"/>
          <w:szCs w:val="22"/>
          <w:lang w:val="de-DE" w:eastAsia="en-US"/>
        </w:rPr>
        <w:t>- </w:t>
      </w:r>
      <w:r w:rsidR="0098050D" w:rsidRPr="004676F5">
        <w:rPr>
          <w:rFonts w:eastAsia="Calibri" w:cs="Arial"/>
          <w:szCs w:val="22"/>
          <w:lang w:val="de-DE" w:eastAsia="en-US"/>
        </w:rPr>
        <w:t>[</w:t>
      </w:r>
      <w:r w:rsidR="0098050D" w:rsidRPr="004676F5">
        <w:rPr>
          <w:lang w:val="de-DE"/>
        </w:rPr>
        <w:t>§ 1 ­ In Anwendung von Artikel 23 Absatz 1 Buchstabe d) und h) und in Abweichung von Artikel 15 der Datenschutz-Grundverordnung kann das Recht auf Auskunft verzögert werden, was Verarbeitungen personenbezogener Daten auf der Grundlage der Bestimmungen des vorliegenden Buches betrifft, zur Gewährleistung von:</w:t>
      </w:r>
    </w:p>
    <w:p w14:paraId="3B9D517E" w14:textId="77777777" w:rsidR="0098050D" w:rsidRPr="004676F5" w:rsidRDefault="0098050D" w:rsidP="0098050D">
      <w:pPr>
        <w:jc w:val="both"/>
        <w:rPr>
          <w:lang w:val="de-DE"/>
        </w:rPr>
      </w:pPr>
    </w:p>
    <w:p w14:paraId="1D4C32F4" w14:textId="77777777" w:rsidR="0098050D" w:rsidRPr="004676F5" w:rsidRDefault="0098050D" w:rsidP="0098050D">
      <w:pPr>
        <w:jc w:val="both"/>
        <w:rPr>
          <w:lang w:val="de-DE"/>
        </w:rPr>
      </w:pPr>
      <w:r w:rsidRPr="004676F5">
        <w:rPr>
          <w:lang w:val="de-DE"/>
        </w:rPr>
        <w:tab/>
        <w:t>1. Verhütung, Ermittlung, Aufdeckung oder Verfolgung von strafbaren Handlungen oder Vollstreckung von Sanktionen,</w:t>
      </w:r>
    </w:p>
    <w:p w14:paraId="0F4B8EDD" w14:textId="77777777" w:rsidR="0098050D" w:rsidRPr="004676F5" w:rsidRDefault="0098050D" w:rsidP="0098050D">
      <w:pPr>
        <w:jc w:val="both"/>
        <w:rPr>
          <w:lang w:val="de-DE"/>
        </w:rPr>
      </w:pPr>
    </w:p>
    <w:p w14:paraId="60B46E0E" w14:textId="77777777" w:rsidR="0098050D" w:rsidRPr="004676F5" w:rsidRDefault="0098050D" w:rsidP="0098050D">
      <w:pPr>
        <w:jc w:val="both"/>
        <w:rPr>
          <w:lang w:val="de-DE"/>
        </w:rPr>
      </w:pPr>
      <w:r w:rsidRPr="004676F5">
        <w:rPr>
          <w:lang w:val="de-DE"/>
        </w:rPr>
        <w:tab/>
        <w:t>2. Kontroll- oder Inspektionsaufgaben, die selbst nur gelegentlich mit der Ausübung öffentlicher Gewalt verbunden sind.</w:t>
      </w:r>
    </w:p>
    <w:p w14:paraId="04EEEAA7" w14:textId="77777777" w:rsidR="0098050D" w:rsidRPr="004676F5" w:rsidRDefault="0098050D" w:rsidP="0098050D">
      <w:pPr>
        <w:jc w:val="both"/>
        <w:rPr>
          <w:lang w:val="de-DE"/>
        </w:rPr>
      </w:pPr>
    </w:p>
    <w:p w14:paraId="5CACBACB" w14:textId="77777777" w:rsidR="0098050D" w:rsidRPr="004676F5" w:rsidRDefault="0098050D" w:rsidP="0098050D">
      <w:pPr>
        <w:jc w:val="both"/>
        <w:rPr>
          <w:lang w:val="de-DE"/>
        </w:rPr>
      </w:pPr>
      <w:r w:rsidRPr="004676F5">
        <w:rPr>
          <w:lang w:val="de-DE"/>
        </w:rPr>
        <w:tab/>
        <w:t>§ 2 ­ Diese Abweichungen gelten während des Zeitraums, in dem in Bezug auf die betreffende Person Kontrollen oder Untersuchungen laufen, die von den in Artikel XV.2 erwähnten Bediensteten im Rahmen der Ausführung ihrer gesetzlichen Aufträge durchgeführt werden, und während des Zeitraums, in dem Unterlagen dieser Dienste im Hinblick auf eine diesbezügliche Verfolgung verarbeitet werden.</w:t>
      </w:r>
    </w:p>
    <w:p w14:paraId="6986EB70" w14:textId="77777777" w:rsidR="0098050D" w:rsidRPr="004676F5" w:rsidRDefault="0098050D" w:rsidP="0098050D">
      <w:pPr>
        <w:jc w:val="both"/>
        <w:rPr>
          <w:lang w:val="de-DE"/>
        </w:rPr>
      </w:pPr>
    </w:p>
    <w:p w14:paraId="780324E4" w14:textId="77777777" w:rsidR="0098050D" w:rsidRPr="004676F5" w:rsidRDefault="0098050D" w:rsidP="0098050D">
      <w:pPr>
        <w:jc w:val="both"/>
        <w:rPr>
          <w:lang w:val="de-DE"/>
        </w:rPr>
      </w:pPr>
      <w:r w:rsidRPr="004676F5">
        <w:rPr>
          <w:lang w:val="de-DE"/>
        </w:rPr>
        <w:tab/>
        <w:t>Diese Abweichungen gelten, sofern die Anwendung dieses Rechts den Zwecken der Kontrolle oder Untersuchung schaden würde beziehungsweise die Vertraulichkeit der strafrechtlichen Ermittlung oder das Berufsgeheimnis zu verletzen droht.</w:t>
      </w:r>
    </w:p>
    <w:p w14:paraId="2BAB2CAD" w14:textId="77777777" w:rsidR="0098050D" w:rsidRPr="004676F5" w:rsidRDefault="0098050D" w:rsidP="0098050D">
      <w:pPr>
        <w:jc w:val="both"/>
        <w:rPr>
          <w:lang w:val="de-DE"/>
        </w:rPr>
      </w:pPr>
    </w:p>
    <w:p w14:paraId="60DDA769" w14:textId="77777777" w:rsidR="0098050D" w:rsidRPr="004676F5" w:rsidRDefault="0098050D" w:rsidP="0098050D">
      <w:pPr>
        <w:jc w:val="both"/>
        <w:rPr>
          <w:lang w:val="de-DE"/>
        </w:rPr>
      </w:pPr>
      <w:r w:rsidRPr="004676F5">
        <w:rPr>
          <w:lang w:val="de-DE"/>
        </w:rPr>
        <w:tab/>
        <w:t>Die in § 1 erwähnte Einschränkung bezieht sich nicht auf Daten, die unabhängig vom Gegenstand der Untersuchung oder Kontrolle sind, die die Verzögerung des Rechts auf Auskunft rechtfertigt.</w:t>
      </w:r>
    </w:p>
    <w:p w14:paraId="326C5AAF" w14:textId="77777777" w:rsidR="0098050D" w:rsidRPr="004676F5" w:rsidRDefault="0098050D" w:rsidP="0098050D">
      <w:pPr>
        <w:jc w:val="both"/>
        <w:rPr>
          <w:lang w:val="de-DE"/>
        </w:rPr>
      </w:pPr>
    </w:p>
    <w:p w14:paraId="01DFC8DD" w14:textId="77777777" w:rsidR="0098050D" w:rsidRPr="004676F5" w:rsidRDefault="0098050D" w:rsidP="0098050D">
      <w:pPr>
        <w:jc w:val="both"/>
        <w:rPr>
          <w:lang w:val="de-DE"/>
        </w:rPr>
      </w:pPr>
      <w:r w:rsidRPr="004676F5">
        <w:rPr>
          <w:lang w:val="de-DE"/>
        </w:rPr>
        <w:tab/>
        <w:t>§ 3 - Bei Eingang eines Antrags auf Auskunft bestätigt der für die Verarbeitung Verantwortliche den Empfang.</w:t>
      </w:r>
    </w:p>
    <w:p w14:paraId="01297F3C" w14:textId="77777777" w:rsidR="0098050D" w:rsidRPr="004676F5" w:rsidRDefault="0098050D" w:rsidP="0098050D">
      <w:pPr>
        <w:jc w:val="both"/>
        <w:rPr>
          <w:lang w:val="de-DE"/>
        </w:rPr>
      </w:pPr>
    </w:p>
    <w:p w14:paraId="3002D613" w14:textId="77777777" w:rsidR="0098050D" w:rsidRPr="004676F5" w:rsidRDefault="0098050D" w:rsidP="0098050D">
      <w:pPr>
        <w:jc w:val="both"/>
        <w:rPr>
          <w:lang w:val="de-DE"/>
        </w:rPr>
      </w:pPr>
      <w:r w:rsidRPr="004676F5">
        <w:rPr>
          <w:lang w:val="de-DE"/>
        </w:rPr>
        <w:tab/>
        <w:t>Der für die Verarbeitung Verantwortliche unterrichtet die betreffende Person schnellstmöglich, in jedem Fall aber innerhalb eines Monats nach Eingang des Antrags, schriftlich über jede Verzögerung des Rechts auf Auskunft und über die Gründe für diese Verzögerung. Diese Unterrichtung kann unterbleiben, wenn ihre Mitteilung eine der in § 1 erwähnten Zielsetzungen zu gefährden droht. Die Frist kann um zwei Monate verlängert werden, wenn dies unter Berücksichtigung der Komplexität und der Anzahl Anträge erforderlich ist.</w:t>
      </w:r>
    </w:p>
    <w:p w14:paraId="77DB66FE" w14:textId="77777777" w:rsidR="0098050D" w:rsidRPr="004676F5" w:rsidRDefault="0098050D" w:rsidP="0098050D">
      <w:pPr>
        <w:jc w:val="both"/>
        <w:rPr>
          <w:lang w:val="de-DE"/>
        </w:rPr>
      </w:pPr>
    </w:p>
    <w:p w14:paraId="370B1200" w14:textId="77777777" w:rsidR="0098050D" w:rsidRPr="004676F5" w:rsidRDefault="0098050D" w:rsidP="0098050D">
      <w:pPr>
        <w:jc w:val="both"/>
        <w:rPr>
          <w:lang w:val="de-DE"/>
        </w:rPr>
      </w:pPr>
      <w:r w:rsidRPr="004676F5">
        <w:rPr>
          <w:lang w:val="de-DE"/>
        </w:rPr>
        <w:tab/>
        <w:t>Der für die Verarbeitung Verantwortliche unterrichtet die betreffende Person innerhalb eines Monats nach Eingang des Antrags über diese Fristverlängerung und die Gründe für die Verzögerung.</w:t>
      </w:r>
    </w:p>
    <w:p w14:paraId="3EBE65A3" w14:textId="77777777" w:rsidR="0098050D" w:rsidRPr="004676F5" w:rsidRDefault="0098050D" w:rsidP="0098050D">
      <w:pPr>
        <w:jc w:val="both"/>
        <w:rPr>
          <w:lang w:val="de-DE"/>
        </w:rPr>
      </w:pPr>
    </w:p>
    <w:p w14:paraId="294DFDAD" w14:textId="77777777" w:rsidR="0098050D" w:rsidRPr="004676F5" w:rsidRDefault="0098050D" w:rsidP="0098050D">
      <w:pPr>
        <w:jc w:val="both"/>
        <w:rPr>
          <w:lang w:val="de-DE"/>
        </w:rPr>
      </w:pPr>
      <w:r w:rsidRPr="004676F5">
        <w:rPr>
          <w:lang w:val="de-DE"/>
        </w:rPr>
        <w:lastRenderedPageBreak/>
        <w:tab/>
        <w:t>Der für die Verarbeitung Verantwortliche unterrichtet die betroffene Person über die Möglichkeiten, bei der Datenschutzbehörde Beschwerde einzureichen oder eine gerichtliche Beschwerde einzureichen.</w:t>
      </w:r>
    </w:p>
    <w:p w14:paraId="3009990F" w14:textId="77777777" w:rsidR="0098050D" w:rsidRPr="004676F5" w:rsidRDefault="0098050D" w:rsidP="0098050D">
      <w:pPr>
        <w:jc w:val="both"/>
        <w:rPr>
          <w:lang w:val="de-DE"/>
        </w:rPr>
      </w:pPr>
    </w:p>
    <w:p w14:paraId="7B41ABAA" w14:textId="77777777" w:rsidR="0098050D" w:rsidRPr="004676F5" w:rsidRDefault="0098050D" w:rsidP="0098050D">
      <w:pPr>
        <w:jc w:val="both"/>
        <w:rPr>
          <w:lang w:val="de-DE"/>
        </w:rPr>
      </w:pPr>
      <w:r w:rsidRPr="004676F5">
        <w:rPr>
          <w:lang w:val="de-DE"/>
        </w:rPr>
        <w:tab/>
        <w:t>Der für die Verarbeitung Verantwortliche dokumentiert die sachlichen oder rechtlichen Gründe für die Entscheidung. Diese Angaben werden der Datenschutzbehörde zur Verfügung gestellt.</w:t>
      </w:r>
    </w:p>
    <w:p w14:paraId="21638315" w14:textId="77777777" w:rsidR="0098050D" w:rsidRPr="004676F5" w:rsidRDefault="0098050D" w:rsidP="0098050D">
      <w:pPr>
        <w:jc w:val="both"/>
        <w:rPr>
          <w:lang w:val="de-DE"/>
        </w:rPr>
      </w:pPr>
    </w:p>
    <w:p w14:paraId="01A88CE2" w14:textId="77777777" w:rsidR="0098050D" w:rsidRPr="004676F5" w:rsidRDefault="0098050D" w:rsidP="0098050D">
      <w:pPr>
        <w:jc w:val="both"/>
        <w:rPr>
          <w:lang w:val="de-DE"/>
        </w:rPr>
      </w:pPr>
      <w:r w:rsidRPr="004676F5">
        <w:rPr>
          <w:lang w:val="de-DE"/>
        </w:rPr>
        <w:tab/>
        <w:t>Hat der für die Verarbeitung Verantwortliche von der in § 1 vorgesehenen Ausnahme Gebrauch gemacht, wird außer in den in Absatz 7 erwähnten Situationen die Ausnahmeregel nach Abschluss der Kontrolle beziehungsweise Untersuchung sofort aufgehoben. Der für die Verarbeitung Verantwortliche unterrichtet die betreffende Person sofort hierüber.</w:t>
      </w:r>
    </w:p>
    <w:p w14:paraId="3A315BD2" w14:textId="77777777" w:rsidR="0098050D" w:rsidRPr="004676F5" w:rsidRDefault="0098050D" w:rsidP="0098050D">
      <w:pPr>
        <w:jc w:val="both"/>
        <w:rPr>
          <w:lang w:val="de-DE"/>
        </w:rPr>
      </w:pPr>
    </w:p>
    <w:p w14:paraId="129C5718" w14:textId="77777777" w:rsidR="0098050D" w:rsidRPr="004676F5" w:rsidRDefault="0098050D" w:rsidP="0098050D">
      <w:pPr>
        <w:jc w:val="both"/>
        <w:rPr>
          <w:lang w:val="de-DE"/>
        </w:rPr>
      </w:pPr>
      <w:r w:rsidRPr="004676F5">
        <w:rPr>
          <w:lang w:val="de-DE"/>
        </w:rPr>
        <w:tab/>
        <w:t>Wird eine Akte an die Staatsanwaltschaft bei den Gerichtshöfen und Gerichten und/oder den Untersuchungsrichter weitergeleitet, werden die Rechte der betreffenden Person erst nach Erlaubnis der Gerichtsbehörde oder nach Abschluss der gerichtlichen Phase und gegebenenfalls, nachdem der zuständige Dienst einen Beschluss gefasst hat, wiederhergestellt. In Abweichung davon werden die Rechte in jedem Fall ab dem Zeitpunkt wiederhergestellt, zu dem:</w:t>
      </w:r>
    </w:p>
    <w:p w14:paraId="12C5DD75" w14:textId="77777777" w:rsidR="0098050D" w:rsidRPr="004676F5" w:rsidRDefault="0098050D" w:rsidP="0098050D">
      <w:pPr>
        <w:jc w:val="both"/>
        <w:rPr>
          <w:lang w:val="de-DE"/>
        </w:rPr>
      </w:pPr>
    </w:p>
    <w:p w14:paraId="4BCD8BA6" w14:textId="77777777" w:rsidR="0098050D" w:rsidRPr="004676F5" w:rsidRDefault="0098050D" w:rsidP="0098050D">
      <w:pPr>
        <w:jc w:val="both"/>
        <w:rPr>
          <w:lang w:val="de-DE"/>
        </w:rPr>
      </w:pPr>
      <w:r w:rsidRPr="004676F5">
        <w:rPr>
          <w:lang w:val="de-DE"/>
        </w:rPr>
        <w:tab/>
        <w:t>1. der Zuwiderhandelnde gemäß Artikel XV.2 § 2 über das Protokoll zur Feststellung des Verstoßes informiert wird,</w:t>
      </w:r>
    </w:p>
    <w:p w14:paraId="27733759" w14:textId="77777777" w:rsidR="0098050D" w:rsidRPr="004676F5" w:rsidRDefault="0098050D" w:rsidP="0098050D">
      <w:pPr>
        <w:jc w:val="both"/>
        <w:rPr>
          <w:lang w:val="de-DE"/>
        </w:rPr>
      </w:pPr>
    </w:p>
    <w:p w14:paraId="0A1F1538" w14:textId="77777777" w:rsidR="0098050D" w:rsidRPr="004676F5" w:rsidRDefault="0098050D" w:rsidP="0098050D">
      <w:pPr>
        <w:jc w:val="both"/>
        <w:rPr>
          <w:lang w:val="de-DE"/>
        </w:rPr>
      </w:pPr>
      <w:r w:rsidRPr="004676F5">
        <w:rPr>
          <w:lang w:val="de-DE"/>
        </w:rPr>
        <w:tab/>
        <w:t>2. die Absicht, eine Maßnahme wie in Artikel XV.5/1 erwähnt zu ergreifen, dem Zuwiderhandelnden zur Kenntnis gebracht wird,</w:t>
      </w:r>
    </w:p>
    <w:p w14:paraId="657DCE8C" w14:textId="77777777" w:rsidR="0098050D" w:rsidRPr="004676F5" w:rsidRDefault="0098050D" w:rsidP="0098050D">
      <w:pPr>
        <w:jc w:val="both"/>
        <w:rPr>
          <w:lang w:val="de-DE"/>
        </w:rPr>
      </w:pPr>
    </w:p>
    <w:p w14:paraId="2669BC75" w14:textId="77777777" w:rsidR="0098050D" w:rsidRPr="004676F5" w:rsidRDefault="0098050D" w:rsidP="0098050D">
      <w:pPr>
        <w:jc w:val="both"/>
        <w:rPr>
          <w:lang w:val="de-DE"/>
        </w:rPr>
      </w:pPr>
      <w:r w:rsidRPr="004676F5">
        <w:rPr>
          <w:lang w:val="de-DE"/>
        </w:rPr>
        <w:tab/>
        <w:t>3. dem Zuwiderhandelnden gemäß Artikel XV.31 eine Verwarnung erteilt wird,</w:t>
      </w:r>
    </w:p>
    <w:p w14:paraId="416FA80D" w14:textId="77777777" w:rsidR="0098050D" w:rsidRPr="004676F5" w:rsidRDefault="0098050D" w:rsidP="0098050D">
      <w:pPr>
        <w:jc w:val="both"/>
        <w:rPr>
          <w:lang w:val="de-DE"/>
        </w:rPr>
      </w:pPr>
    </w:p>
    <w:p w14:paraId="738EC280" w14:textId="77777777" w:rsidR="0098050D" w:rsidRPr="004676F5" w:rsidRDefault="0098050D" w:rsidP="0098050D">
      <w:pPr>
        <w:jc w:val="both"/>
        <w:rPr>
          <w:lang w:val="de-DE"/>
        </w:rPr>
      </w:pPr>
      <w:r w:rsidRPr="004676F5">
        <w:rPr>
          <w:lang w:val="de-DE"/>
        </w:rPr>
        <w:tab/>
        <w:t>4. der Zuwiderhandelnde zu einer Abhilfezusage wie in Artikel XV.31/2 erwähnt veranlasst wird,</w:t>
      </w:r>
    </w:p>
    <w:p w14:paraId="46C8A927" w14:textId="77777777" w:rsidR="0098050D" w:rsidRPr="004676F5" w:rsidRDefault="0098050D" w:rsidP="0098050D">
      <w:pPr>
        <w:jc w:val="both"/>
        <w:rPr>
          <w:lang w:val="de-DE"/>
        </w:rPr>
      </w:pPr>
    </w:p>
    <w:p w14:paraId="1B0E125D" w14:textId="77777777" w:rsidR="0098050D" w:rsidRPr="004676F5" w:rsidRDefault="0098050D" w:rsidP="0098050D">
      <w:pPr>
        <w:jc w:val="both"/>
        <w:rPr>
          <w:lang w:val="de-DE"/>
        </w:rPr>
      </w:pPr>
      <w:r w:rsidRPr="004676F5">
        <w:rPr>
          <w:lang w:val="de-DE"/>
        </w:rPr>
        <w:tab/>
        <w:t>5. der Zuwiderhandelnde im Rahmen des Verfahrens der öffentlichen Bekanntmachung wie in Artikel XV.31/2/1 erwähnt kontaktiert wird,</w:t>
      </w:r>
    </w:p>
    <w:p w14:paraId="05E3416C" w14:textId="77777777" w:rsidR="0098050D" w:rsidRPr="004676F5" w:rsidRDefault="0098050D" w:rsidP="0098050D">
      <w:pPr>
        <w:jc w:val="both"/>
        <w:rPr>
          <w:lang w:val="de-DE"/>
        </w:rPr>
      </w:pPr>
    </w:p>
    <w:p w14:paraId="7A517238" w14:textId="77777777" w:rsidR="0098050D" w:rsidRPr="004676F5" w:rsidRDefault="0098050D" w:rsidP="0098050D">
      <w:pPr>
        <w:jc w:val="both"/>
        <w:rPr>
          <w:lang w:val="de-DE"/>
        </w:rPr>
      </w:pPr>
      <w:r w:rsidRPr="004676F5">
        <w:rPr>
          <w:lang w:val="de-DE"/>
        </w:rPr>
        <w:tab/>
        <w:t>6. der Zuwiderhandelnde gemäß Artikel XV.60/7 aufgefordert wird, seine Verteidi</w:t>
      </w:r>
      <w:r w:rsidRPr="004676F5">
        <w:rPr>
          <w:lang w:val="de-DE"/>
        </w:rPr>
        <w:softHyphen/>
        <w:t>gungsmittel vorzubringen,</w:t>
      </w:r>
    </w:p>
    <w:p w14:paraId="2197D212" w14:textId="77777777" w:rsidR="0098050D" w:rsidRPr="004676F5" w:rsidRDefault="0098050D" w:rsidP="0098050D">
      <w:pPr>
        <w:jc w:val="both"/>
        <w:rPr>
          <w:lang w:val="de-DE"/>
        </w:rPr>
      </w:pPr>
    </w:p>
    <w:p w14:paraId="5862BC9A" w14:textId="77777777" w:rsidR="0098050D" w:rsidRPr="004676F5" w:rsidRDefault="0098050D" w:rsidP="0098050D">
      <w:pPr>
        <w:jc w:val="both"/>
        <w:rPr>
          <w:lang w:val="de-DE"/>
        </w:rPr>
      </w:pPr>
      <w:r w:rsidRPr="004676F5">
        <w:rPr>
          <w:lang w:val="de-DE"/>
        </w:rPr>
        <w:tab/>
        <w:t>7. dem Zuwiderhandelnden gemäß Artikel XV.61 ein Vergleich vorgeschlagen wird.</w:t>
      </w:r>
    </w:p>
    <w:p w14:paraId="5EEA4566" w14:textId="77777777" w:rsidR="0098050D" w:rsidRPr="004676F5" w:rsidRDefault="0098050D" w:rsidP="0098050D">
      <w:pPr>
        <w:jc w:val="both"/>
        <w:rPr>
          <w:lang w:val="de-DE"/>
        </w:rPr>
      </w:pPr>
    </w:p>
    <w:p w14:paraId="028D5671" w14:textId="60EDC027" w:rsidR="00E47C8C" w:rsidRPr="004676F5" w:rsidRDefault="0098050D" w:rsidP="0098050D">
      <w:pPr>
        <w:ind w:firstLine="708"/>
        <w:jc w:val="both"/>
        <w:rPr>
          <w:rFonts w:eastAsia="Calibri" w:cs="Arial"/>
          <w:szCs w:val="22"/>
          <w:lang w:val="de-DE" w:eastAsia="en-US"/>
        </w:rPr>
      </w:pPr>
      <w:r w:rsidRPr="004676F5">
        <w:rPr>
          <w:lang w:val="de-DE"/>
        </w:rPr>
        <w:t>Auskünfte, die bei der Ausübung der von der Gerichtsbehörde vorgeschriebenen Pflichten gesammelt wurden, dürfen jedoch nur mit ausdrücklicher Erlaubnis dieser Gerichtsbehörde mitgeteilt werden.</w:t>
      </w:r>
      <w:r w:rsidRPr="004676F5">
        <w:rPr>
          <w:rFonts w:eastAsia="Calibri" w:cs="Arial"/>
          <w:szCs w:val="22"/>
          <w:lang w:val="de-DE" w:eastAsia="en-US"/>
        </w:rPr>
        <w:t>]</w:t>
      </w:r>
      <w:r w:rsidR="00FC0C7F" w:rsidRPr="004676F5">
        <w:rPr>
          <w:rFonts w:eastAsia="Calibri" w:cs="Arial"/>
          <w:szCs w:val="22"/>
          <w:lang w:val="de-DE" w:eastAsia="en-US"/>
        </w:rPr>
        <w:t>]</w:t>
      </w:r>
    </w:p>
    <w:p w14:paraId="55FD191E" w14:textId="77777777" w:rsidR="00FC0C7F" w:rsidRPr="004676F5" w:rsidRDefault="00FC0C7F" w:rsidP="00E47C8C">
      <w:pPr>
        <w:ind w:firstLine="708"/>
        <w:jc w:val="both"/>
        <w:rPr>
          <w:rFonts w:eastAsia="Calibri" w:cs="Arial"/>
          <w:szCs w:val="22"/>
          <w:lang w:val="de-DE" w:eastAsia="en-US"/>
        </w:rPr>
      </w:pPr>
    </w:p>
    <w:p w14:paraId="5CBF7EBD" w14:textId="2D1B9E7D" w:rsidR="00FC0C7F" w:rsidRPr="004676F5" w:rsidRDefault="00FC0C7F" w:rsidP="00FC0C7F">
      <w:pPr>
        <w:jc w:val="both"/>
        <w:rPr>
          <w:rFonts w:eastAsia="Calibri"/>
          <w:i/>
          <w:iCs/>
          <w:lang w:val="de-DE" w:eastAsia="en-US"/>
        </w:rPr>
      </w:pPr>
      <w:r w:rsidRPr="004676F5">
        <w:rPr>
          <w:rFonts w:eastAsia="Calibri" w:cs="Arial"/>
          <w:i/>
          <w:iCs/>
          <w:szCs w:val="22"/>
          <w:lang w:val="de-DE" w:eastAsia="en-US"/>
        </w:rPr>
        <w:t>[Art. XV.10/3 eingefügt durch Art. 90</w:t>
      </w:r>
      <w:r w:rsidRPr="004676F5">
        <w:rPr>
          <w:i/>
          <w:iCs/>
          <w:lang w:val="de-DE"/>
        </w:rPr>
        <w:t xml:space="preserve"> des G. vom 5. September 2018 (B.S. vom 10. September 2018)</w:t>
      </w:r>
      <w:r w:rsidR="0098050D" w:rsidRPr="004676F5">
        <w:rPr>
          <w:i/>
          <w:iCs/>
          <w:lang w:val="de-DE"/>
        </w:rPr>
        <w:t xml:space="preserve"> und ersetzt durch Art. 38 des G. vom 5. November 2023</w:t>
      </w:r>
      <w:r w:rsidR="00857EC4" w:rsidRPr="004676F5">
        <w:rPr>
          <w:i/>
          <w:iCs/>
          <w:lang w:val="de-DE"/>
        </w:rPr>
        <w:t> (I)</w:t>
      </w:r>
      <w:r w:rsidR="0098050D" w:rsidRPr="004676F5">
        <w:rPr>
          <w:i/>
          <w:iCs/>
          <w:lang w:val="de-DE"/>
        </w:rPr>
        <w:t xml:space="preserve"> (B.S. vom 11. Dezember 2023)</w:t>
      </w:r>
      <w:r w:rsidRPr="004676F5">
        <w:rPr>
          <w:i/>
          <w:iCs/>
          <w:lang w:val="de-DE"/>
        </w:rPr>
        <w:t>]</w:t>
      </w:r>
    </w:p>
    <w:p w14:paraId="09913EE3" w14:textId="77777777" w:rsidR="00FC0C7F" w:rsidRPr="004676F5" w:rsidRDefault="00FC0C7F" w:rsidP="00FC0C7F">
      <w:pPr>
        <w:jc w:val="both"/>
        <w:rPr>
          <w:rFonts w:eastAsia="Calibri"/>
          <w:lang w:val="de-DE" w:eastAsia="en-US"/>
        </w:rPr>
      </w:pPr>
    </w:p>
    <w:p w14:paraId="28169ADA" w14:textId="77777777" w:rsidR="00E47C8C" w:rsidRPr="004676F5" w:rsidRDefault="00E47C8C" w:rsidP="00E47C8C">
      <w:pPr>
        <w:ind w:firstLine="708"/>
        <w:jc w:val="both"/>
        <w:rPr>
          <w:rFonts w:eastAsia="Calibri"/>
          <w:lang w:val="de-DE" w:eastAsia="en-US"/>
        </w:rPr>
      </w:pPr>
    </w:p>
    <w:p w14:paraId="21E552F1" w14:textId="77777777" w:rsidR="0098050D" w:rsidRPr="004676F5" w:rsidRDefault="0098050D">
      <w:pPr>
        <w:rPr>
          <w:rFonts w:eastAsia="Calibri" w:cs="Arial"/>
          <w:szCs w:val="22"/>
          <w:lang w:val="de-DE" w:eastAsia="en-US"/>
        </w:rPr>
      </w:pPr>
      <w:r w:rsidRPr="004676F5">
        <w:rPr>
          <w:rFonts w:eastAsia="Calibri" w:cs="Arial"/>
          <w:szCs w:val="22"/>
          <w:lang w:val="de-DE" w:eastAsia="en-US"/>
        </w:rPr>
        <w:br w:type="page"/>
      </w:r>
    </w:p>
    <w:p w14:paraId="4886FC2B" w14:textId="5410C1BD" w:rsidR="00E47C8C" w:rsidRPr="004676F5" w:rsidRDefault="00FC0C7F" w:rsidP="0098050D">
      <w:pPr>
        <w:ind w:firstLine="708"/>
        <w:jc w:val="both"/>
        <w:rPr>
          <w:rFonts w:eastAsia="Calibri" w:cs="Arial"/>
          <w:szCs w:val="22"/>
          <w:lang w:val="de-DE" w:eastAsia="en-US"/>
        </w:rPr>
      </w:pPr>
      <w:r w:rsidRPr="004676F5">
        <w:rPr>
          <w:rFonts w:eastAsia="Calibri" w:cs="Arial"/>
          <w:szCs w:val="22"/>
          <w:lang w:val="de-DE" w:eastAsia="en-US"/>
        </w:rPr>
        <w:lastRenderedPageBreak/>
        <w:t>[</w:t>
      </w:r>
      <w:r w:rsidR="00E47C8C" w:rsidRPr="004676F5">
        <w:rPr>
          <w:rFonts w:eastAsia="Calibri" w:cs="Arial"/>
          <w:b/>
          <w:bCs/>
          <w:szCs w:val="22"/>
          <w:lang w:val="de-DE" w:eastAsia="en-US"/>
        </w:rPr>
        <w:t>Art. XV.10/4</w:t>
      </w:r>
      <w:r w:rsidR="00E47C8C" w:rsidRPr="004676F5">
        <w:rPr>
          <w:rFonts w:eastAsia="Calibri" w:cs="Arial"/>
          <w:szCs w:val="22"/>
          <w:lang w:val="de-DE" w:eastAsia="en-US"/>
        </w:rPr>
        <w:t> </w:t>
      </w:r>
      <w:r w:rsidR="005B7A5C" w:rsidRPr="004676F5">
        <w:rPr>
          <w:rFonts w:eastAsia="Calibri" w:cs="Arial"/>
          <w:szCs w:val="22"/>
          <w:lang w:val="de-DE" w:eastAsia="en-US"/>
        </w:rPr>
        <w:t>- </w:t>
      </w:r>
      <w:r w:rsidR="0098050D" w:rsidRPr="004676F5">
        <w:rPr>
          <w:rFonts w:eastAsia="Calibri" w:cs="Arial"/>
          <w:szCs w:val="22"/>
          <w:lang w:val="de-DE" w:eastAsia="en-US"/>
        </w:rPr>
        <w:t>[...]</w:t>
      </w:r>
      <w:r w:rsidRPr="004676F5">
        <w:rPr>
          <w:rFonts w:eastAsia="Calibri" w:cs="Arial"/>
          <w:szCs w:val="22"/>
          <w:lang w:val="de-DE" w:eastAsia="en-US"/>
        </w:rPr>
        <w:t>]</w:t>
      </w:r>
    </w:p>
    <w:p w14:paraId="0AFA5A84" w14:textId="77777777" w:rsidR="00FC0C7F" w:rsidRPr="004676F5" w:rsidRDefault="00FC0C7F" w:rsidP="00E47C8C">
      <w:pPr>
        <w:ind w:firstLine="708"/>
        <w:jc w:val="both"/>
        <w:rPr>
          <w:rFonts w:eastAsia="Calibri" w:cs="Arial"/>
          <w:szCs w:val="22"/>
          <w:lang w:val="de-DE" w:eastAsia="en-US"/>
        </w:rPr>
      </w:pPr>
    </w:p>
    <w:p w14:paraId="26956B4A" w14:textId="3875F404" w:rsidR="00FC0C7F" w:rsidRPr="004676F5" w:rsidRDefault="00FC0C7F" w:rsidP="00FC0C7F">
      <w:pPr>
        <w:jc w:val="both"/>
        <w:rPr>
          <w:rFonts w:eastAsia="Calibri"/>
          <w:i/>
          <w:iCs/>
          <w:lang w:val="de-DE" w:eastAsia="en-US"/>
        </w:rPr>
      </w:pPr>
      <w:r w:rsidRPr="004676F5">
        <w:rPr>
          <w:rFonts w:eastAsia="Calibri" w:cs="Arial"/>
          <w:i/>
          <w:iCs/>
          <w:szCs w:val="22"/>
          <w:lang w:val="de-DE" w:eastAsia="en-US"/>
        </w:rPr>
        <w:t>[Art. XV.10/4 eingefügt durch Art. 91</w:t>
      </w:r>
      <w:r w:rsidRPr="004676F5">
        <w:rPr>
          <w:i/>
          <w:iCs/>
          <w:lang w:val="de-DE"/>
        </w:rPr>
        <w:t xml:space="preserve"> des G. vom 5. September 2018 (B.S. vom 10. September 2018)</w:t>
      </w:r>
      <w:r w:rsidR="0098050D" w:rsidRPr="004676F5">
        <w:rPr>
          <w:i/>
          <w:iCs/>
          <w:lang w:val="de-DE"/>
        </w:rPr>
        <w:t xml:space="preserve"> und aufgehoben durch Art. 39 des G. vom 5. November 2023</w:t>
      </w:r>
      <w:r w:rsidR="00857EC4" w:rsidRPr="004676F5">
        <w:rPr>
          <w:i/>
          <w:iCs/>
          <w:lang w:val="de-DE"/>
        </w:rPr>
        <w:t> (I)</w:t>
      </w:r>
      <w:r w:rsidR="0098050D" w:rsidRPr="004676F5">
        <w:rPr>
          <w:i/>
          <w:iCs/>
          <w:lang w:val="de-DE"/>
        </w:rPr>
        <w:t xml:space="preserve"> (B.S. vom 11. Dezember 2023)</w:t>
      </w:r>
      <w:r w:rsidRPr="004676F5">
        <w:rPr>
          <w:i/>
          <w:iCs/>
          <w:lang w:val="de-DE"/>
        </w:rPr>
        <w:t>]</w:t>
      </w:r>
    </w:p>
    <w:p w14:paraId="645F01E7" w14:textId="77777777" w:rsidR="00FC0C7F" w:rsidRPr="004676F5" w:rsidRDefault="00FC0C7F" w:rsidP="00FC0C7F">
      <w:pPr>
        <w:jc w:val="both"/>
        <w:rPr>
          <w:rFonts w:eastAsia="Calibri"/>
          <w:lang w:val="de-DE" w:eastAsia="en-US"/>
        </w:rPr>
      </w:pPr>
    </w:p>
    <w:p w14:paraId="7D84EA1D" w14:textId="3855B3A0" w:rsidR="00E47C8C" w:rsidRPr="004676F5" w:rsidRDefault="00E47C8C" w:rsidP="0098050D">
      <w:pPr>
        <w:ind w:firstLine="708"/>
        <w:jc w:val="both"/>
        <w:rPr>
          <w:rFonts w:eastAsia="Calibri"/>
          <w:lang w:val="de-DE" w:eastAsia="en-US"/>
        </w:rPr>
      </w:pPr>
    </w:p>
    <w:p w14:paraId="4AD8D4E5" w14:textId="6B9DB1AB" w:rsidR="0098050D" w:rsidRPr="004676F5" w:rsidRDefault="00FC0C7F" w:rsidP="0098050D">
      <w:pPr>
        <w:ind w:firstLine="708"/>
        <w:jc w:val="both"/>
        <w:rPr>
          <w:lang w:val="de-DE"/>
        </w:rPr>
      </w:pPr>
      <w:r w:rsidRPr="004676F5">
        <w:rPr>
          <w:rFonts w:eastAsia="Calibri" w:cs="Arial"/>
          <w:szCs w:val="22"/>
          <w:lang w:val="de-DE" w:eastAsia="en-US"/>
        </w:rPr>
        <w:t>[</w:t>
      </w:r>
      <w:r w:rsidR="00E47C8C" w:rsidRPr="004676F5">
        <w:rPr>
          <w:rFonts w:eastAsia="Calibri" w:cs="Arial"/>
          <w:b/>
          <w:bCs/>
          <w:szCs w:val="22"/>
          <w:lang w:val="de-DE" w:eastAsia="en-US"/>
        </w:rPr>
        <w:t>Art. XV.10/5</w:t>
      </w:r>
      <w:r w:rsidR="00E47C8C" w:rsidRPr="004676F5">
        <w:rPr>
          <w:rFonts w:eastAsia="Calibri" w:cs="Arial"/>
          <w:szCs w:val="22"/>
          <w:lang w:val="de-DE" w:eastAsia="en-US"/>
        </w:rPr>
        <w:t> </w:t>
      </w:r>
      <w:r w:rsidR="005B7A5C" w:rsidRPr="004676F5">
        <w:rPr>
          <w:rFonts w:eastAsia="Calibri" w:cs="Arial"/>
          <w:szCs w:val="22"/>
          <w:lang w:val="de-DE" w:eastAsia="en-US"/>
        </w:rPr>
        <w:t>- </w:t>
      </w:r>
      <w:r w:rsidR="0098050D" w:rsidRPr="004676F5">
        <w:rPr>
          <w:rFonts w:eastAsia="Calibri" w:cs="Arial"/>
          <w:szCs w:val="22"/>
          <w:lang w:val="de-DE" w:eastAsia="en-US"/>
        </w:rPr>
        <w:t>[</w:t>
      </w:r>
      <w:r w:rsidR="0098050D" w:rsidRPr="004676F5">
        <w:rPr>
          <w:lang w:val="de-DE"/>
        </w:rPr>
        <w:t>§ 1 - In Anwendung von Artikel 23 Absatz 1 Buchstabe d) und h) und in Abweichung von Artikel 18 der Datenschutz-Grundverordnung kann das Recht auf Einschränkung der Verarbeitung verzögert werden, was Verarbeitungen personenbezogener Daten auf der Grundlage der Bestimmungen des vorliegenden Buches betrifft, zur Gewährleistung von:</w:t>
      </w:r>
    </w:p>
    <w:p w14:paraId="7B6C31E0" w14:textId="77777777" w:rsidR="0098050D" w:rsidRPr="004676F5" w:rsidRDefault="0098050D" w:rsidP="0098050D">
      <w:pPr>
        <w:jc w:val="both"/>
        <w:rPr>
          <w:lang w:val="de-DE"/>
        </w:rPr>
      </w:pPr>
    </w:p>
    <w:p w14:paraId="00C252AB" w14:textId="77777777" w:rsidR="0098050D" w:rsidRPr="004676F5" w:rsidRDefault="0098050D" w:rsidP="0098050D">
      <w:pPr>
        <w:jc w:val="both"/>
        <w:rPr>
          <w:lang w:val="de-DE"/>
        </w:rPr>
      </w:pPr>
      <w:r w:rsidRPr="004676F5">
        <w:rPr>
          <w:lang w:val="de-DE"/>
        </w:rPr>
        <w:tab/>
        <w:t>1. Verhütung, Ermittlung, Aufdeckung oder Verfolgung von strafbaren Handlungen oder Vollstreckung von Sanktionen,</w:t>
      </w:r>
    </w:p>
    <w:p w14:paraId="39EA1A00" w14:textId="77777777" w:rsidR="0098050D" w:rsidRPr="004676F5" w:rsidRDefault="0098050D" w:rsidP="0098050D">
      <w:pPr>
        <w:jc w:val="both"/>
        <w:rPr>
          <w:lang w:val="de-DE"/>
        </w:rPr>
      </w:pPr>
    </w:p>
    <w:p w14:paraId="64F44E76" w14:textId="77777777" w:rsidR="0098050D" w:rsidRPr="004676F5" w:rsidRDefault="0098050D" w:rsidP="0098050D">
      <w:pPr>
        <w:jc w:val="both"/>
        <w:rPr>
          <w:lang w:val="de-DE"/>
        </w:rPr>
      </w:pPr>
      <w:r w:rsidRPr="004676F5">
        <w:rPr>
          <w:lang w:val="de-DE"/>
        </w:rPr>
        <w:tab/>
        <w:t>2. Kontroll- oder Inspektionsaufgaben, die selbst nur gelegentlich mit der Ausübung öffentlicher Gewalt verbunden sind.</w:t>
      </w:r>
    </w:p>
    <w:p w14:paraId="0B72EFB8" w14:textId="77777777" w:rsidR="0098050D" w:rsidRPr="004676F5" w:rsidRDefault="0098050D" w:rsidP="0098050D">
      <w:pPr>
        <w:jc w:val="both"/>
        <w:rPr>
          <w:lang w:val="de-DE"/>
        </w:rPr>
      </w:pPr>
    </w:p>
    <w:p w14:paraId="53631A11" w14:textId="77777777" w:rsidR="0098050D" w:rsidRPr="004676F5" w:rsidRDefault="0098050D" w:rsidP="0098050D">
      <w:pPr>
        <w:jc w:val="both"/>
        <w:rPr>
          <w:lang w:val="de-DE"/>
        </w:rPr>
      </w:pPr>
      <w:r w:rsidRPr="004676F5">
        <w:rPr>
          <w:lang w:val="de-DE"/>
        </w:rPr>
        <w:tab/>
        <w:t>§ 2 ­ Diese Abweichungen gelten während des Zeitraums, in dem in Bezug auf die betreffende Person Kontrollen oder Untersuchungen laufen, die von den in Artikel XV.2 erwähnten Bediensteten im Rahmen der Ausführung ihrer gesetzlichen Aufträge durchgeführt werden, und während des Zeitraums, in dem Unterlagen dieser Dienste im Hinblick auf eine diesbezügliche Verfolgung verarbeitet werden.</w:t>
      </w:r>
    </w:p>
    <w:p w14:paraId="1BEBEF2C" w14:textId="77777777" w:rsidR="0098050D" w:rsidRPr="004676F5" w:rsidRDefault="0098050D" w:rsidP="0098050D">
      <w:pPr>
        <w:jc w:val="both"/>
        <w:rPr>
          <w:lang w:val="de-DE"/>
        </w:rPr>
      </w:pPr>
    </w:p>
    <w:p w14:paraId="45431B2A" w14:textId="77777777" w:rsidR="0098050D" w:rsidRPr="004676F5" w:rsidRDefault="0098050D" w:rsidP="0098050D">
      <w:pPr>
        <w:jc w:val="both"/>
        <w:rPr>
          <w:lang w:val="de-DE"/>
        </w:rPr>
      </w:pPr>
      <w:r w:rsidRPr="004676F5">
        <w:rPr>
          <w:lang w:val="de-DE"/>
        </w:rPr>
        <w:tab/>
        <w:t>Diese Abweichungen gelten, sofern die Anwendung dieses Rechts den Zwecken der Kontrolle oder Untersuchung schaden würde beziehungsweise die Vertraulichkeit der strafrechtlichen Ermittlung oder das Berufsgeheimnis zu verletzen droht.</w:t>
      </w:r>
    </w:p>
    <w:p w14:paraId="3A75EC3B" w14:textId="77777777" w:rsidR="0098050D" w:rsidRPr="004676F5" w:rsidRDefault="0098050D" w:rsidP="0098050D">
      <w:pPr>
        <w:jc w:val="both"/>
        <w:rPr>
          <w:lang w:val="de-DE"/>
        </w:rPr>
      </w:pPr>
    </w:p>
    <w:p w14:paraId="58F46255" w14:textId="77777777" w:rsidR="0098050D" w:rsidRPr="004676F5" w:rsidRDefault="0098050D" w:rsidP="0098050D">
      <w:pPr>
        <w:jc w:val="both"/>
        <w:rPr>
          <w:lang w:val="de-DE"/>
        </w:rPr>
      </w:pPr>
      <w:r w:rsidRPr="004676F5">
        <w:rPr>
          <w:lang w:val="de-DE"/>
        </w:rPr>
        <w:tab/>
        <w:t>Die in § 1 erwähnte Einschränkung bezieht sich nicht auf Daten, die unabhängig vom Gegenstand der Untersuchung oder Kontrolle sind, die die Verzögerung des Rechts auf Einschränkung der Verarbeitung dieser Daten rechtfertigt.</w:t>
      </w:r>
    </w:p>
    <w:p w14:paraId="326D3AFC" w14:textId="77777777" w:rsidR="0098050D" w:rsidRPr="004676F5" w:rsidRDefault="0098050D" w:rsidP="0098050D">
      <w:pPr>
        <w:jc w:val="both"/>
        <w:rPr>
          <w:lang w:val="de-DE"/>
        </w:rPr>
      </w:pPr>
    </w:p>
    <w:p w14:paraId="237CA2CD" w14:textId="77777777" w:rsidR="0098050D" w:rsidRPr="004676F5" w:rsidRDefault="0098050D" w:rsidP="0098050D">
      <w:pPr>
        <w:jc w:val="both"/>
        <w:rPr>
          <w:lang w:val="de-DE"/>
        </w:rPr>
      </w:pPr>
      <w:r w:rsidRPr="004676F5">
        <w:rPr>
          <w:lang w:val="de-DE"/>
        </w:rPr>
        <w:tab/>
        <w:t>§ 3 ­ Bei Eingang eines Antrags in Bezug auf das Recht auf Einschränkung der Verarbeitung bestätigt der für die Verarbeitung Verantwortliche den Empfang.</w:t>
      </w:r>
    </w:p>
    <w:p w14:paraId="7F7E505C" w14:textId="77777777" w:rsidR="0098050D" w:rsidRPr="004676F5" w:rsidRDefault="0098050D" w:rsidP="0098050D">
      <w:pPr>
        <w:jc w:val="both"/>
        <w:rPr>
          <w:lang w:val="de-DE"/>
        </w:rPr>
      </w:pPr>
    </w:p>
    <w:p w14:paraId="2BDDDAF9" w14:textId="77777777" w:rsidR="0098050D" w:rsidRPr="004676F5" w:rsidRDefault="0098050D" w:rsidP="0098050D">
      <w:pPr>
        <w:jc w:val="both"/>
        <w:rPr>
          <w:lang w:val="de-DE"/>
        </w:rPr>
      </w:pPr>
      <w:r w:rsidRPr="004676F5">
        <w:rPr>
          <w:lang w:val="de-DE"/>
        </w:rPr>
        <w:tab/>
        <w:t>Der für die Verarbeitung Verantwortliche unterrichtet die betreffende Person schnellstmöglich, in jedem Fall aber innerhalb eines Monats nach Eingang des Antrags, schriftlich über jede Verzögerung des Rechts auf Einschränkung der Verarbeitung und über die Gründe für diese Verzögerung. Diese Unterrichtung kann unterbleiben, wenn ihre Mitteilung eine der in § 1 erwähnten Zielsetzungen zu gefährden droht. Die Frist kann um zwei Monate verlängert werden, wenn dies unter Berücksichtigung der Komplexität und der Anzahl Anträge erforderlich ist.</w:t>
      </w:r>
    </w:p>
    <w:p w14:paraId="79265E8A" w14:textId="77777777" w:rsidR="0098050D" w:rsidRPr="004676F5" w:rsidRDefault="0098050D" w:rsidP="0098050D">
      <w:pPr>
        <w:jc w:val="both"/>
        <w:rPr>
          <w:lang w:val="de-DE"/>
        </w:rPr>
      </w:pPr>
    </w:p>
    <w:p w14:paraId="5005DD67" w14:textId="77777777" w:rsidR="0098050D" w:rsidRPr="004676F5" w:rsidRDefault="0098050D" w:rsidP="0098050D">
      <w:pPr>
        <w:jc w:val="both"/>
        <w:rPr>
          <w:lang w:val="de-DE"/>
        </w:rPr>
      </w:pPr>
      <w:r w:rsidRPr="004676F5">
        <w:rPr>
          <w:lang w:val="de-DE"/>
        </w:rPr>
        <w:tab/>
        <w:t>Der für die Verarbeitung Verantwortliche unterrichtet die betreffende Person innerhalb eines Monats nach Eingang des Antrags über diese Fristverlängerung und die Gründe für die Verzögerung.</w:t>
      </w:r>
    </w:p>
    <w:p w14:paraId="0C0B8945" w14:textId="77777777" w:rsidR="0098050D" w:rsidRPr="004676F5" w:rsidRDefault="0098050D" w:rsidP="0098050D">
      <w:pPr>
        <w:jc w:val="both"/>
        <w:rPr>
          <w:lang w:val="de-DE"/>
        </w:rPr>
      </w:pPr>
    </w:p>
    <w:p w14:paraId="319DCF2B" w14:textId="77777777" w:rsidR="0098050D" w:rsidRPr="004676F5" w:rsidRDefault="0098050D" w:rsidP="0098050D">
      <w:pPr>
        <w:jc w:val="both"/>
        <w:rPr>
          <w:lang w:val="de-DE"/>
        </w:rPr>
      </w:pPr>
      <w:r w:rsidRPr="004676F5">
        <w:rPr>
          <w:lang w:val="de-DE"/>
        </w:rPr>
        <w:lastRenderedPageBreak/>
        <w:tab/>
        <w:t>Der für die Verarbeitung Verantwortliche unterrichtet die betroffene Person über die Möglichkeiten, bei der Datenschutzbehörde Beschwerde einzureichen oder eine gerichtliche Beschwerde einzureichen.</w:t>
      </w:r>
    </w:p>
    <w:p w14:paraId="0E2179D1" w14:textId="77777777" w:rsidR="0098050D" w:rsidRPr="004676F5" w:rsidRDefault="0098050D" w:rsidP="0098050D">
      <w:pPr>
        <w:jc w:val="both"/>
        <w:rPr>
          <w:lang w:val="de-DE"/>
        </w:rPr>
      </w:pPr>
    </w:p>
    <w:p w14:paraId="354B0E8F" w14:textId="77777777" w:rsidR="0098050D" w:rsidRPr="004676F5" w:rsidRDefault="0098050D" w:rsidP="0098050D">
      <w:pPr>
        <w:jc w:val="both"/>
        <w:rPr>
          <w:lang w:val="de-DE"/>
        </w:rPr>
      </w:pPr>
      <w:r w:rsidRPr="004676F5">
        <w:rPr>
          <w:lang w:val="de-DE"/>
        </w:rPr>
        <w:tab/>
        <w:t>Der für die Verarbeitung Verantwortliche dokumentiert die sachlichen oder rechtlichen Gründe für die Entscheidung. Diese Angaben werden der Datenschutzbehörde zur Verfügung gestellt.</w:t>
      </w:r>
    </w:p>
    <w:p w14:paraId="1B7A504E" w14:textId="77777777" w:rsidR="0098050D" w:rsidRPr="004676F5" w:rsidRDefault="0098050D" w:rsidP="0098050D">
      <w:pPr>
        <w:jc w:val="both"/>
        <w:rPr>
          <w:lang w:val="de-DE"/>
        </w:rPr>
      </w:pPr>
    </w:p>
    <w:p w14:paraId="3E677755" w14:textId="77777777" w:rsidR="0098050D" w:rsidRPr="004676F5" w:rsidRDefault="0098050D" w:rsidP="0098050D">
      <w:pPr>
        <w:jc w:val="both"/>
        <w:rPr>
          <w:lang w:val="de-DE"/>
        </w:rPr>
      </w:pPr>
      <w:r w:rsidRPr="004676F5">
        <w:rPr>
          <w:lang w:val="de-DE"/>
        </w:rPr>
        <w:tab/>
        <w:t>Hat der für die Verarbeitung Verantwortliche von der in § 1 vorgesehenen Ausnahme Gebrauch gemacht, wird außer in den in Absatz 7 erwähnten Situationen die Ausnahmeregel nach Abschluss der Kontrolle beziehungsweise Untersuchung sofort aufgehoben. Der für die Verarbeitung Verantwortliche unterrichtet die betreffende Person sofort hierüber.</w:t>
      </w:r>
    </w:p>
    <w:p w14:paraId="2259DE28" w14:textId="77777777" w:rsidR="0098050D" w:rsidRPr="004676F5" w:rsidRDefault="0098050D" w:rsidP="0098050D">
      <w:pPr>
        <w:jc w:val="both"/>
        <w:rPr>
          <w:lang w:val="de-DE"/>
        </w:rPr>
      </w:pPr>
    </w:p>
    <w:p w14:paraId="6CAC7C0C" w14:textId="77777777" w:rsidR="0098050D" w:rsidRPr="004676F5" w:rsidRDefault="0098050D" w:rsidP="0098050D">
      <w:pPr>
        <w:jc w:val="both"/>
        <w:rPr>
          <w:lang w:val="de-DE"/>
        </w:rPr>
      </w:pPr>
      <w:r w:rsidRPr="004676F5">
        <w:rPr>
          <w:lang w:val="de-DE"/>
        </w:rPr>
        <w:tab/>
        <w:t>Wird eine Akte an die Staatsanwaltschaft bei den Gerichtshöfen und Gerichten und/oder den Untersuchungsrichter weitergeleitet, werden die Rechte der betreffenden Person erst nach Erlaubnis der Gerichtsbehörde oder nach Abschluss der gerichtlichen Phase und gegebenenfalls, nachdem der zuständige Dienst einen Beschluss gefasst hat, wiederhergestellt. In Abweichung davon werden die Rechte in jedem Fall ab dem Zeitpunkt wiederhergestellt, zu dem:</w:t>
      </w:r>
    </w:p>
    <w:p w14:paraId="301FB832" w14:textId="77777777" w:rsidR="0098050D" w:rsidRPr="004676F5" w:rsidRDefault="0098050D" w:rsidP="0098050D">
      <w:pPr>
        <w:jc w:val="both"/>
        <w:rPr>
          <w:lang w:val="de-DE"/>
        </w:rPr>
      </w:pPr>
    </w:p>
    <w:p w14:paraId="4BEA15ED" w14:textId="77777777" w:rsidR="0098050D" w:rsidRPr="004676F5" w:rsidRDefault="0098050D" w:rsidP="0098050D">
      <w:pPr>
        <w:jc w:val="both"/>
        <w:rPr>
          <w:lang w:val="de-DE"/>
        </w:rPr>
      </w:pPr>
      <w:r w:rsidRPr="004676F5">
        <w:rPr>
          <w:lang w:val="de-DE"/>
        </w:rPr>
        <w:tab/>
        <w:t>1. der Zuwiderhandelnde gemäß Artikel XV.2 § 2 über das Protokoll zur Feststellung des Verstoßes informiert wird,</w:t>
      </w:r>
    </w:p>
    <w:p w14:paraId="6E58150A" w14:textId="77777777" w:rsidR="0098050D" w:rsidRPr="004676F5" w:rsidRDefault="0098050D" w:rsidP="0098050D">
      <w:pPr>
        <w:jc w:val="both"/>
        <w:rPr>
          <w:lang w:val="de-DE"/>
        </w:rPr>
      </w:pPr>
    </w:p>
    <w:p w14:paraId="442C08B5" w14:textId="77777777" w:rsidR="0098050D" w:rsidRPr="004676F5" w:rsidRDefault="0098050D" w:rsidP="0098050D">
      <w:pPr>
        <w:jc w:val="both"/>
        <w:rPr>
          <w:lang w:val="de-DE"/>
        </w:rPr>
      </w:pPr>
      <w:r w:rsidRPr="004676F5">
        <w:rPr>
          <w:lang w:val="de-DE"/>
        </w:rPr>
        <w:tab/>
        <w:t>2. die Absicht, eine Maßnahme wie in Artikel XV.5/1 erwähnt zu ergreifen, dem Zuwiderhandelnden zur Kenntnis gebracht wird,</w:t>
      </w:r>
    </w:p>
    <w:p w14:paraId="6856ED21" w14:textId="77777777" w:rsidR="0098050D" w:rsidRPr="004676F5" w:rsidRDefault="0098050D" w:rsidP="0098050D">
      <w:pPr>
        <w:jc w:val="both"/>
        <w:rPr>
          <w:lang w:val="de-DE"/>
        </w:rPr>
      </w:pPr>
    </w:p>
    <w:p w14:paraId="69D401F9" w14:textId="77777777" w:rsidR="0098050D" w:rsidRPr="004676F5" w:rsidRDefault="0098050D" w:rsidP="0098050D">
      <w:pPr>
        <w:jc w:val="both"/>
        <w:rPr>
          <w:lang w:val="de-DE"/>
        </w:rPr>
      </w:pPr>
      <w:r w:rsidRPr="004676F5">
        <w:rPr>
          <w:lang w:val="de-DE"/>
        </w:rPr>
        <w:tab/>
        <w:t>3. dem Zuwiderhandelnden gemäß Artikel XV.31 eine Verwarnung erteilt wird,</w:t>
      </w:r>
    </w:p>
    <w:p w14:paraId="055C9862" w14:textId="77777777" w:rsidR="0098050D" w:rsidRPr="004676F5" w:rsidRDefault="0098050D" w:rsidP="0098050D">
      <w:pPr>
        <w:jc w:val="both"/>
        <w:rPr>
          <w:lang w:val="de-DE"/>
        </w:rPr>
      </w:pPr>
    </w:p>
    <w:p w14:paraId="4C4EA2CB" w14:textId="77777777" w:rsidR="0098050D" w:rsidRPr="004676F5" w:rsidRDefault="0098050D" w:rsidP="0098050D">
      <w:pPr>
        <w:jc w:val="both"/>
        <w:rPr>
          <w:lang w:val="de-DE"/>
        </w:rPr>
      </w:pPr>
      <w:r w:rsidRPr="004676F5">
        <w:rPr>
          <w:lang w:val="de-DE"/>
        </w:rPr>
        <w:tab/>
        <w:t>4. der Zuwiderhandelnde zu einer Abhilfezusage wie in Artikel XV.31/2 erwähnt veranlasst wird,</w:t>
      </w:r>
    </w:p>
    <w:p w14:paraId="7FC8329D" w14:textId="77777777" w:rsidR="0098050D" w:rsidRPr="004676F5" w:rsidRDefault="0098050D" w:rsidP="0098050D">
      <w:pPr>
        <w:jc w:val="both"/>
        <w:rPr>
          <w:lang w:val="de-DE"/>
        </w:rPr>
      </w:pPr>
    </w:p>
    <w:p w14:paraId="3E4AAE51" w14:textId="77777777" w:rsidR="0098050D" w:rsidRPr="004676F5" w:rsidRDefault="0098050D" w:rsidP="0098050D">
      <w:pPr>
        <w:jc w:val="both"/>
        <w:rPr>
          <w:lang w:val="de-DE"/>
        </w:rPr>
      </w:pPr>
      <w:r w:rsidRPr="004676F5">
        <w:rPr>
          <w:lang w:val="de-DE"/>
        </w:rPr>
        <w:tab/>
        <w:t>5. der Zuwiderhandelnde im Rahmen des Verfahrens der öffentlichen Bekanntmachung wie in Artikel XV.31/2/1 erwähnt kontaktiert wird,</w:t>
      </w:r>
    </w:p>
    <w:p w14:paraId="520E27E0" w14:textId="77777777" w:rsidR="0098050D" w:rsidRPr="004676F5" w:rsidRDefault="0098050D" w:rsidP="0098050D">
      <w:pPr>
        <w:jc w:val="both"/>
        <w:rPr>
          <w:lang w:val="de-DE"/>
        </w:rPr>
      </w:pPr>
    </w:p>
    <w:p w14:paraId="041C9D09" w14:textId="77777777" w:rsidR="0098050D" w:rsidRPr="004676F5" w:rsidRDefault="0098050D" w:rsidP="0098050D">
      <w:pPr>
        <w:jc w:val="both"/>
        <w:rPr>
          <w:lang w:val="de-DE"/>
        </w:rPr>
      </w:pPr>
      <w:r w:rsidRPr="004676F5">
        <w:rPr>
          <w:lang w:val="de-DE"/>
        </w:rPr>
        <w:tab/>
        <w:t>6. der Zuwiderhandelnde gemäß Artikel XV.60/7 aufgefordert wird, seine Verteidi</w:t>
      </w:r>
      <w:r w:rsidRPr="004676F5">
        <w:rPr>
          <w:lang w:val="de-DE"/>
        </w:rPr>
        <w:softHyphen/>
        <w:t>gungsmittel vorzubringen,</w:t>
      </w:r>
    </w:p>
    <w:p w14:paraId="58C121E2" w14:textId="77777777" w:rsidR="0098050D" w:rsidRPr="004676F5" w:rsidRDefault="0098050D" w:rsidP="0098050D">
      <w:pPr>
        <w:jc w:val="both"/>
        <w:rPr>
          <w:lang w:val="de-DE"/>
        </w:rPr>
      </w:pPr>
    </w:p>
    <w:p w14:paraId="043DBD1D" w14:textId="77777777" w:rsidR="0098050D" w:rsidRPr="004676F5" w:rsidRDefault="0098050D" w:rsidP="0098050D">
      <w:pPr>
        <w:jc w:val="both"/>
        <w:rPr>
          <w:lang w:val="de-DE"/>
        </w:rPr>
      </w:pPr>
      <w:r w:rsidRPr="004676F5">
        <w:rPr>
          <w:lang w:val="de-DE"/>
        </w:rPr>
        <w:tab/>
        <w:t>7. dem Zuwiderhandelnden gemäß Artikel XV.61 ein Vergleich vorgeschlagen wird.</w:t>
      </w:r>
    </w:p>
    <w:p w14:paraId="4F8CA520" w14:textId="77777777" w:rsidR="0098050D" w:rsidRPr="004676F5" w:rsidRDefault="0098050D" w:rsidP="0098050D">
      <w:pPr>
        <w:jc w:val="both"/>
        <w:rPr>
          <w:lang w:val="de-DE"/>
        </w:rPr>
      </w:pPr>
    </w:p>
    <w:p w14:paraId="09FE3187" w14:textId="76DF3268" w:rsidR="00E47C8C" w:rsidRPr="004676F5" w:rsidRDefault="0098050D" w:rsidP="0098050D">
      <w:pPr>
        <w:ind w:firstLine="708"/>
        <w:jc w:val="both"/>
        <w:rPr>
          <w:lang w:val="de-DE"/>
        </w:rPr>
      </w:pPr>
      <w:r w:rsidRPr="004676F5">
        <w:rPr>
          <w:lang w:val="de-DE"/>
        </w:rPr>
        <w:t>Auskünfte, die bei der Ausübung der von der Gerichtsbehörde vorgeschriebenen Pflichten gesammelt wurden, dürfen jedoch nur mit ausdrücklicher Erlaubnis dieser Gerichtsbehörde mitgeteilt werden.</w:t>
      </w:r>
      <w:r w:rsidRPr="004676F5">
        <w:rPr>
          <w:rFonts w:eastAsia="Calibri" w:cs="Arial"/>
          <w:szCs w:val="22"/>
          <w:lang w:val="de-DE" w:eastAsia="en-US"/>
        </w:rPr>
        <w:t>]</w:t>
      </w:r>
      <w:r w:rsidR="00E47C8C" w:rsidRPr="004676F5">
        <w:rPr>
          <w:lang w:val="de-DE"/>
        </w:rPr>
        <w:t>]</w:t>
      </w:r>
    </w:p>
    <w:p w14:paraId="66083E05" w14:textId="77777777" w:rsidR="00FC0C7F" w:rsidRPr="004676F5" w:rsidRDefault="00FC0C7F">
      <w:pPr>
        <w:rPr>
          <w:lang w:val="de-DE"/>
        </w:rPr>
      </w:pPr>
    </w:p>
    <w:p w14:paraId="32BB56EB" w14:textId="43A77CBB" w:rsidR="0098050D" w:rsidRPr="004676F5" w:rsidRDefault="00FC0C7F" w:rsidP="00C5750E">
      <w:pPr>
        <w:jc w:val="both"/>
        <w:rPr>
          <w:i/>
          <w:iCs/>
          <w:lang w:val="de-DE"/>
        </w:rPr>
      </w:pPr>
      <w:r w:rsidRPr="004676F5">
        <w:rPr>
          <w:rFonts w:eastAsia="Calibri" w:cs="Arial"/>
          <w:i/>
          <w:iCs/>
          <w:szCs w:val="22"/>
          <w:lang w:val="de-DE" w:eastAsia="en-US"/>
        </w:rPr>
        <w:t>[Art. XV.10/5 eingefügt durch Art. 92</w:t>
      </w:r>
      <w:r w:rsidRPr="004676F5">
        <w:rPr>
          <w:i/>
          <w:iCs/>
          <w:lang w:val="de-DE"/>
        </w:rPr>
        <w:t xml:space="preserve"> des G. vom 5. September 2018 (B.S. vom 10. September 2018</w:t>
      </w:r>
      <w:r w:rsidR="00204FCB" w:rsidRPr="004676F5">
        <w:rPr>
          <w:i/>
          <w:iCs/>
          <w:lang w:val="de-DE"/>
        </w:rPr>
        <w:t>)</w:t>
      </w:r>
      <w:r w:rsidR="0098050D" w:rsidRPr="004676F5">
        <w:rPr>
          <w:i/>
          <w:iCs/>
          <w:lang w:val="de-DE"/>
        </w:rPr>
        <w:t xml:space="preserve"> und ersetzt durch Art. 40 des G. vom 5. November 2023</w:t>
      </w:r>
      <w:r w:rsidR="00857EC4" w:rsidRPr="004676F5">
        <w:rPr>
          <w:i/>
          <w:iCs/>
          <w:lang w:val="de-DE"/>
        </w:rPr>
        <w:t> (I)</w:t>
      </w:r>
      <w:r w:rsidR="0098050D" w:rsidRPr="004676F5">
        <w:rPr>
          <w:i/>
          <w:iCs/>
          <w:lang w:val="de-DE"/>
        </w:rPr>
        <w:t xml:space="preserve"> (B.S. vom 11. Dezember 2023)</w:t>
      </w:r>
      <w:r w:rsidRPr="004676F5">
        <w:rPr>
          <w:i/>
          <w:iCs/>
          <w:lang w:val="de-DE"/>
        </w:rPr>
        <w:t>]</w:t>
      </w:r>
    </w:p>
    <w:p w14:paraId="6CB6B000" w14:textId="77777777" w:rsidR="0098050D" w:rsidRPr="004676F5" w:rsidRDefault="0098050D" w:rsidP="00C5750E">
      <w:pPr>
        <w:jc w:val="both"/>
        <w:rPr>
          <w:lang w:val="de-DE"/>
        </w:rPr>
      </w:pPr>
    </w:p>
    <w:p w14:paraId="66EEBAEA" w14:textId="77777777" w:rsidR="0098050D" w:rsidRPr="004676F5" w:rsidRDefault="0098050D" w:rsidP="00C5750E">
      <w:pPr>
        <w:jc w:val="both"/>
        <w:rPr>
          <w:lang w:val="de-DE"/>
        </w:rPr>
      </w:pPr>
    </w:p>
    <w:p w14:paraId="58605046" w14:textId="77777777" w:rsidR="0098050D" w:rsidRPr="004676F5" w:rsidRDefault="0098050D">
      <w:pPr>
        <w:rPr>
          <w:lang w:val="de-DE"/>
        </w:rPr>
      </w:pPr>
      <w:r w:rsidRPr="004676F5">
        <w:rPr>
          <w:lang w:val="de-DE"/>
        </w:rPr>
        <w:br w:type="page"/>
      </w:r>
    </w:p>
    <w:p w14:paraId="171F3FC5" w14:textId="77777777" w:rsidR="0098050D" w:rsidRPr="004676F5" w:rsidRDefault="0098050D" w:rsidP="0098050D">
      <w:pPr>
        <w:jc w:val="center"/>
        <w:rPr>
          <w:lang w:val="de-DE"/>
        </w:rPr>
      </w:pPr>
      <w:r w:rsidRPr="004676F5">
        <w:rPr>
          <w:lang w:val="de-DE"/>
        </w:rPr>
        <w:lastRenderedPageBreak/>
        <w:t>[</w:t>
      </w:r>
      <w:r w:rsidRPr="004676F5">
        <w:rPr>
          <w:i/>
          <w:iCs/>
          <w:lang w:val="de-DE"/>
        </w:rPr>
        <w:t>Abschnitt 2</w:t>
      </w:r>
      <w:r w:rsidRPr="004676F5">
        <w:rPr>
          <w:lang w:val="de-DE"/>
        </w:rPr>
        <w:t> - Schutz personenbezogener Daten]</w:t>
      </w:r>
    </w:p>
    <w:p w14:paraId="77C71C17" w14:textId="77777777" w:rsidR="0098050D" w:rsidRPr="004676F5" w:rsidRDefault="0098050D" w:rsidP="0098050D">
      <w:pPr>
        <w:jc w:val="center"/>
        <w:rPr>
          <w:lang w:val="de-DE"/>
        </w:rPr>
      </w:pPr>
    </w:p>
    <w:p w14:paraId="410F5FC0" w14:textId="7B95C4C9" w:rsidR="0098050D" w:rsidRPr="004676F5" w:rsidRDefault="0098050D" w:rsidP="0098050D">
      <w:pPr>
        <w:jc w:val="both"/>
        <w:rPr>
          <w:i/>
          <w:iCs/>
          <w:lang w:val="de-DE"/>
        </w:rPr>
      </w:pPr>
      <w:r w:rsidRPr="004676F5">
        <w:rPr>
          <w:i/>
          <w:iCs/>
          <w:lang w:val="de-DE"/>
        </w:rPr>
        <w:t>[Unterteilung Abschnitt 2 eingefügt durch Art. 41 des G. vom 5. November 2023</w:t>
      </w:r>
      <w:r w:rsidR="00857EC4" w:rsidRPr="004676F5">
        <w:rPr>
          <w:i/>
          <w:iCs/>
          <w:lang w:val="de-DE"/>
        </w:rPr>
        <w:t> (I)</w:t>
      </w:r>
      <w:r w:rsidRPr="004676F5">
        <w:rPr>
          <w:i/>
          <w:iCs/>
          <w:lang w:val="de-DE"/>
        </w:rPr>
        <w:t xml:space="preserve"> (B.S. vom 11. Dezember 2023)]</w:t>
      </w:r>
    </w:p>
    <w:p w14:paraId="77F4CAC2" w14:textId="77777777" w:rsidR="0098050D" w:rsidRPr="004676F5" w:rsidRDefault="0098050D" w:rsidP="0098050D">
      <w:pPr>
        <w:jc w:val="both"/>
        <w:rPr>
          <w:lang w:val="de-DE"/>
        </w:rPr>
      </w:pPr>
    </w:p>
    <w:p w14:paraId="55FFEDED" w14:textId="77777777" w:rsidR="0098050D" w:rsidRPr="004676F5" w:rsidRDefault="0098050D" w:rsidP="0098050D">
      <w:pPr>
        <w:jc w:val="both"/>
        <w:rPr>
          <w:lang w:val="de-DE"/>
        </w:rPr>
      </w:pPr>
    </w:p>
    <w:p w14:paraId="70684E4C" w14:textId="26815C75" w:rsidR="0098050D" w:rsidRPr="004676F5" w:rsidRDefault="0098050D" w:rsidP="0098050D">
      <w:pPr>
        <w:jc w:val="both"/>
        <w:rPr>
          <w:lang w:val="de-DE"/>
        </w:rPr>
      </w:pPr>
      <w:r w:rsidRPr="004676F5">
        <w:rPr>
          <w:lang w:val="de-DE"/>
        </w:rPr>
        <w:tab/>
        <w:t>[</w:t>
      </w:r>
      <w:r w:rsidRPr="004676F5">
        <w:rPr>
          <w:b/>
          <w:bCs/>
          <w:lang w:val="de-DE"/>
        </w:rPr>
        <w:t>Art. XV.10/6</w:t>
      </w:r>
      <w:r w:rsidRPr="004676F5">
        <w:rPr>
          <w:lang w:val="de-DE"/>
        </w:rPr>
        <w:t> - Der Föderale Öffentliche Dienst Wirtschaft, KMB, Mittelstand und Energie ist der Verantwortliche für die Verarbeitungen personenbezogener Daten, die für die Ausführung des vorliegenden Buches erforderlich sind.]</w:t>
      </w:r>
    </w:p>
    <w:p w14:paraId="57A5BDB8" w14:textId="77777777" w:rsidR="0098050D" w:rsidRPr="004676F5" w:rsidRDefault="0098050D" w:rsidP="0098050D">
      <w:pPr>
        <w:jc w:val="both"/>
        <w:rPr>
          <w:lang w:val="de-DE"/>
        </w:rPr>
      </w:pPr>
    </w:p>
    <w:p w14:paraId="29BF49CA" w14:textId="5EDFDA94" w:rsidR="0098050D" w:rsidRPr="004676F5" w:rsidRDefault="0098050D" w:rsidP="0098050D">
      <w:pPr>
        <w:jc w:val="both"/>
        <w:rPr>
          <w:i/>
          <w:iCs/>
          <w:lang w:val="de-DE"/>
        </w:rPr>
      </w:pPr>
      <w:r w:rsidRPr="004676F5">
        <w:rPr>
          <w:i/>
          <w:iCs/>
          <w:lang w:val="de-DE"/>
        </w:rPr>
        <w:t>[Art. XV.10/6 eingefügt durch Art. 42 des G. vom 5. November 2023</w:t>
      </w:r>
      <w:r w:rsidR="00857EC4" w:rsidRPr="004676F5">
        <w:rPr>
          <w:i/>
          <w:iCs/>
          <w:lang w:val="de-DE"/>
        </w:rPr>
        <w:t> (I)</w:t>
      </w:r>
      <w:r w:rsidRPr="004676F5">
        <w:rPr>
          <w:i/>
          <w:iCs/>
          <w:lang w:val="de-DE"/>
        </w:rPr>
        <w:t xml:space="preserve"> (B.S. vom 11. Dezember 2023)]</w:t>
      </w:r>
    </w:p>
    <w:p w14:paraId="6C90B504" w14:textId="77777777" w:rsidR="0098050D" w:rsidRPr="004676F5" w:rsidRDefault="0098050D" w:rsidP="0098050D">
      <w:pPr>
        <w:jc w:val="both"/>
        <w:rPr>
          <w:lang w:val="de-DE"/>
        </w:rPr>
      </w:pPr>
    </w:p>
    <w:p w14:paraId="067D3A97" w14:textId="77777777" w:rsidR="0098050D" w:rsidRPr="004676F5" w:rsidRDefault="0098050D" w:rsidP="0098050D">
      <w:pPr>
        <w:jc w:val="both"/>
        <w:rPr>
          <w:lang w:val="de-DE"/>
        </w:rPr>
      </w:pPr>
    </w:p>
    <w:p w14:paraId="689B93FC" w14:textId="068F8BF2" w:rsidR="0098050D" w:rsidRPr="004676F5" w:rsidRDefault="0098050D" w:rsidP="0098050D">
      <w:pPr>
        <w:jc w:val="both"/>
        <w:rPr>
          <w:lang w:val="de-DE"/>
        </w:rPr>
      </w:pPr>
      <w:r w:rsidRPr="004676F5">
        <w:rPr>
          <w:lang w:val="de-DE"/>
        </w:rPr>
        <w:tab/>
        <w:t>[</w:t>
      </w:r>
      <w:r w:rsidRPr="004676F5">
        <w:rPr>
          <w:b/>
          <w:bCs/>
          <w:lang w:val="de-DE"/>
        </w:rPr>
        <w:t>Art. XV.10/7</w:t>
      </w:r>
      <w:r w:rsidRPr="004676F5">
        <w:rPr>
          <w:lang w:val="de-DE"/>
        </w:rPr>
        <w:t> - Personenbezogene Daten, die gemäß den Bestimmungen des vorliegenden Buches verarbeitet werden, werden nicht länger als notwendig für die Zwecke, für die sie verarbeitet werden, aufbewahrt, mit einer maximalen Aufbewahrungsfrist von zehn Jahren:</w:t>
      </w:r>
    </w:p>
    <w:p w14:paraId="33892821" w14:textId="77777777" w:rsidR="0098050D" w:rsidRPr="004676F5" w:rsidRDefault="0098050D" w:rsidP="0098050D">
      <w:pPr>
        <w:jc w:val="both"/>
        <w:rPr>
          <w:lang w:val="de-DE"/>
        </w:rPr>
      </w:pPr>
    </w:p>
    <w:p w14:paraId="2FD53DF3" w14:textId="77777777" w:rsidR="0098050D" w:rsidRPr="004676F5" w:rsidRDefault="0098050D" w:rsidP="0098050D">
      <w:pPr>
        <w:jc w:val="both"/>
        <w:rPr>
          <w:lang w:val="de-DE"/>
        </w:rPr>
      </w:pPr>
      <w:r w:rsidRPr="004676F5">
        <w:rPr>
          <w:lang w:val="de-DE"/>
        </w:rPr>
        <w:tab/>
        <w:t>1. ab dem Zeitpunkt der endgültigen Feststellung, dass der Betreffende keinen Verstoß begangen hat,</w:t>
      </w:r>
    </w:p>
    <w:p w14:paraId="22B66374" w14:textId="77777777" w:rsidR="0098050D" w:rsidRPr="004676F5" w:rsidRDefault="0098050D" w:rsidP="0098050D">
      <w:pPr>
        <w:jc w:val="both"/>
        <w:rPr>
          <w:lang w:val="de-DE"/>
        </w:rPr>
      </w:pPr>
    </w:p>
    <w:p w14:paraId="4A121A41" w14:textId="1F7FD908" w:rsidR="0098050D" w:rsidRPr="004676F5" w:rsidRDefault="0098050D" w:rsidP="0098050D">
      <w:pPr>
        <w:jc w:val="both"/>
        <w:rPr>
          <w:lang w:val="de-DE"/>
        </w:rPr>
      </w:pPr>
      <w:r w:rsidRPr="004676F5">
        <w:rPr>
          <w:lang w:val="de-DE"/>
        </w:rPr>
        <w:tab/>
        <w:t xml:space="preserve">2. ab dem Zeitpunkt der Feststellung der Behebung der Missstände, wenn festgestellt wird, dass der in Artikel XV.16/4, XV.31, XV.31/1 </w:t>
      </w:r>
      <w:r w:rsidR="0081222B">
        <w:rPr>
          <w:lang w:val="de-DE"/>
        </w:rPr>
        <w:t>[</w:t>
      </w:r>
      <w:r w:rsidR="0081222B" w:rsidRPr="00285483">
        <w:rPr>
          <w:lang w:val="de-DE"/>
        </w:rPr>
        <w:t>XV.65 § 1 Nr. 1 oder XV.66/7 § 1</w:t>
      </w:r>
      <w:r w:rsidR="0081222B">
        <w:rPr>
          <w:lang w:val="de-DE"/>
        </w:rPr>
        <w:t>]</w:t>
      </w:r>
      <w:r w:rsidRPr="004676F5">
        <w:rPr>
          <w:lang w:val="de-DE"/>
        </w:rPr>
        <w:t xml:space="preserve"> erwähnten Verwarnung Folge geleistet worden ist,</w:t>
      </w:r>
    </w:p>
    <w:p w14:paraId="33860389" w14:textId="77777777" w:rsidR="0098050D" w:rsidRPr="004676F5" w:rsidRDefault="0098050D" w:rsidP="0098050D">
      <w:pPr>
        <w:jc w:val="both"/>
        <w:rPr>
          <w:lang w:val="de-DE"/>
        </w:rPr>
      </w:pPr>
    </w:p>
    <w:p w14:paraId="37426308" w14:textId="13E963E7" w:rsidR="0098050D" w:rsidRPr="004676F5" w:rsidRDefault="0098050D" w:rsidP="0098050D">
      <w:pPr>
        <w:jc w:val="both"/>
        <w:rPr>
          <w:lang w:val="de-DE"/>
        </w:rPr>
      </w:pPr>
      <w:r w:rsidRPr="004676F5">
        <w:rPr>
          <w:lang w:val="de-DE"/>
        </w:rPr>
        <w:tab/>
        <w:t xml:space="preserve">3. ab dem Zeitpunkt der Entgegennahme oder Akzeptierung einer Abhilfezusage wie </w:t>
      </w:r>
      <w:r w:rsidR="0081222B">
        <w:rPr>
          <w:lang w:val="de-DE"/>
        </w:rPr>
        <w:t>[</w:t>
      </w:r>
      <w:r w:rsidR="0081222B" w:rsidRPr="00285483">
        <w:rPr>
          <w:lang w:val="de-DE"/>
        </w:rPr>
        <w:t>in Artikel XV.31/2 oder Artikel XV.66/7 § 1 Absatz 4 Nr. 7</w:t>
      </w:r>
      <w:r w:rsidR="0081222B">
        <w:rPr>
          <w:lang w:val="de-DE"/>
        </w:rPr>
        <w:t>]</w:t>
      </w:r>
      <w:r w:rsidRPr="004676F5">
        <w:rPr>
          <w:lang w:val="de-DE"/>
        </w:rPr>
        <w:t xml:space="preserve"> erwähnt, sofern keine andere administrative Verfolgung oder Strafverfolgung vorgesehen ist,</w:t>
      </w:r>
    </w:p>
    <w:p w14:paraId="08DDEF98" w14:textId="77777777" w:rsidR="0098050D" w:rsidRPr="004676F5" w:rsidRDefault="0098050D" w:rsidP="0098050D">
      <w:pPr>
        <w:jc w:val="both"/>
        <w:rPr>
          <w:lang w:val="de-DE"/>
        </w:rPr>
      </w:pPr>
    </w:p>
    <w:p w14:paraId="453D4AD9" w14:textId="77777777" w:rsidR="0098050D" w:rsidRPr="004676F5" w:rsidRDefault="0098050D" w:rsidP="0098050D">
      <w:pPr>
        <w:jc w:val="both"/>
        <w:rPr>
          <w:lang w:val="de-DE"/>
        </w:rPr>
      </w:pPr>
      <w:r w:rsidRPr="004676F5">
        <w:rPr>
          <w:lang w:val="de-DE"/>
        </w:rPr>
        <w:tab/>
        <w:t>4. ab dem Zeitpunkt der Feststellung der Zahlung des in Artikel XV.61 erwähnten Vergleichs,</w:t>
      </w:r>
    </w:p>
    <w:p w14:paraId="5B6D3C40" w14:textId="77777777" w:rsidR="0098050D" w:rsidRPr="004676F5" w:rsidRDefault="0098050D" w:rsidP="0098050D">
      <w:pPr>
        <w:jc w:val="both"/>
        <w:rPr>
          <w:lang w:val="de-DE"/>
        </w:rPr>
      </w:pPr>
    </w:p>
    <w:p w14:paraId="08AD3FCA" w14:textId="77777777" w:rsidR="0098050D" w:rsidRPr="004676F5" w:rsidRDefault="0098050D" w:rsidP="0098050D">
      <w:pPr>
        <w:jc w:val="both"/>
        <w:rPr>
          <w:lang w:val="de-DE"/>
        </w:rPr>
      </w:pPr>
      <w:r w:rsidRPr="004676F5">
        <w:rPr>
          <w:lang w:val="de-DE"/>
        </w:rPr>
        <w:tab/>
        <w:t>5. ab dem Zeitpunkt, zu dem eine endgültige Verwaltungsentscheidung getroffen worden ist, insbesondere die in Artikel XV.60/2 erwähnte Entscheidung,</w:t>
      </w:r>
    </w:p>
    <w:p w14:paraId="7974E85E" w14:textId="77777777" w:rsidR="0098050D" w:rsidRPr="004676F5" w:rsidRDefault="0098050D" w:rsidP="0098050D">
      <w:pPr>
        <w:jc w:val="both"/>
        <w:rPr>
          <w:lang w:val="de-DE"/>
        </w:rPr>
      </w:pPr>
    </w:p>
    <w:p w14:paraId="15036300" w14:textId="77777777" w:rsidR="0098050D" w:rsidRPr="004676F5" w:rsidRDefault="0098050D" w:rsidP="0098050D">
      <w:pPr>
        <w:jc w:val="both"/>
        <w:rPr>
          <w:lang w:val="de-DE"/>
        </w:rPr>
      </w:pPr>
      <w:r w:rsidRPr="004676F5">
        <w:rPr>
          <w:lang w:val="de-DE"/>
        </w:rPr>
        <w:tab/>
        <w:t>6. ab dem Zeitpunkt, zu dem der in Artikel 216</w:t>
      </w:r>
      <w:r w:rsidRPr="004676F5">
        <w:rPr>
          <w:i/>
          <w:lang w:val="de-DE"/>
        </w:rPr>
        <w:t>bis</w:t>
      </w:r>
      <w:r w:rsidRPr="004676F5">
        <w:rPr>
          <w:lang w:val="de-DE"/>
        </w:rPr>
        <w:t xml:space="preserve"> des Strafprozessgesetzbuches erwähnte Vergleich oder die in Artikel 216</w:t>
      </w:r>
      <w:r w:rsidRPr="004676F5">
        <w:rPr>
          <w:i/>
          <w:lang w:val="de-DE"/>
        </w:rPr>
        <w:t>ter</w:t>
      </w:r>
      <w:r w:rsidRPr="004676F5">
        <w:rPr>
          <w:lang w:val="de-DE"/>
        </w:rPr>
        <w:t xml:space="preserve"> desselben Gesetzbuches erwähnte Vermittlung in Strafsachen oder ein anderes gerichtliches Verfahren angewendet wird.</w:t>
      </w:r>
    </w:p>
    <w:p w14:paraId="3DF9AC6D" w14:textId="77777777" w:rsidR="0098050D" w:rsidRPr="004676F5" w:rsidRDefault="0098050D" w:rsidP="0098050D">
      <w:pPr>
        <w:jc w:val="both"/>
        <w:rPr>
          <w:lang w:val="de-DE"/>
        </w:rPr>
      </w:pPr>
    </w:p>
    <w:p w14:paraId="2E5898A2" w14:textId="70D02ED5" w:rsidR="0098050D" w:rsidRPr="004676F5" w:rsidRDefault="0098050D" w:rsidP="0098050D">
      <w:pPr>
        <w:jc w:val="both"/>
        <w:rPr>
          <w:lang w:val="de-DE"/>
        </w:rPr>
      </w:pPr>
      <w:r w:rsidRPr="004676F5">
        <w:rPr>
          <w:lang w:val="de-DE"/>
        </w:rPr>
        <w:tab/>
        <w:t>Im Falle eines Gerichtsverfahrens wird die in Absatz 1 erwähnte maximale Aufbewahrungsfrist von zehn Jahren gegebenenfalls bis zur endgültigen Beendigung dieses Verfahrens verlängert.]</w:t>
      </w:r>
    </w:p>
    <w:p w14:paraId="3ACC7961" w14:textId="77777777" w:rsidR="0098050D" w:rsidRPr="004676F5" w:rsidRDefault="0098050D" w:rsidP="0098050D">
      <w:pPr>
        <w:jc w:val="both"/>
        <w:rPr>
          <w:lang w:val="de-DE"/>
        </w:rPr>
      </w:pPr>
    </w:p>
    <w:p w14:paraId="1EAC843C" w14:textId="292490D7" w:rsidR="0098050D" w:rsidRPr="004676F5" w:rsidRDefault="0098050D" w:rsidP="0098050D">
      <w:pPr>
        <w:jc w:val="both"/>
        <w:rPr>
          <w:i/>
          <w:iCs/>
          <w:lang w:val="de-DE"/>
        </w:rPr>
      </w:pPr>
      <w:r w:rsidRPr="004676F5">
        <w:rPr>
          <w:i/>
          <w:iCs/>
          <w:lang w:val="de-DE"/>
        </w:rPr>
        <w:t>[Art. XV.10/7 eingefügt durch Art. 43 des G. vom 5. November 2023</w:t>
      </w:r>
      <w:r w:rsidR="00857EC4" w:rsidRPr="004676F5">
        <w:rPr>
          <w:i/>
          <w:iCs/>
          <w:lang w:val="de-DE"/>
        </w:rPr>
        <w:t> (I)</w:t>
      </w:r>
      <w:r w:rsidRPr="004676F5">
        <w:rPr>
          <w:i/>
          <w:iCs/>
          <w:lang w:val="de-DE"/>
        </w:rPr>
        <w:t xml:space="preserve"> (B.S. vom 11. Dezember 2023)</w:t>
      </w:r>
      <w:r w:rsidR="0081222B">
        <w:rPr>
          <w:i/>
          <w:iCs/>
          <w:lang w:val="de-DE"/>
        </w:rPr>
        <w:t>; Abs. 1 Nr. 2 abgeändert durch Art. 25 Nr. 1 des G. vom 15. Mai 2024 (B.S. vom 7. Juni 2024); Abs. 1 Nr. 3 abgeändert durch Art. 25 Nr. 2 des G. vom 15. Mai 2024 (B.S. vom 7. Juni 2024)</w:t>
      </w:r>
      <w:r w:rsidRPr="004676F5">
        <w:rPr>
          <w:i/>
          <w:iCs/>
          <w:lang w:val="de-DE"/>
        </w:rPr>
        <w:t>]</w:t>
      </w:r>
    </w:p>
    <w:p w14:paraId="6ACB91FD" w14:textId="77777777" w:rsidR="0098050D" w:rsidRPr="004676F5" w:rsidRDefault="0098050D" w:rsidP="0098050D">
      <w:pPr>
        <w:jc w:val="both"/>
        <w:rPr>
          <w:lang w:val="de-DE"/>
        </w:rPr>
      </w:pPr>
    </w:p>
    <w:p w14:paraId="17E439D3" w14:textId="77777777" w:rsidR="0098050D" w:rsidRPr="004676F5" w:rsidRDefault="0098050D" w:rsidP="0098050D">
      <w:pPr>
        <w:jc w:val="both"/>
        <w:rPr>
          <w:lang w:val="de-DE"/>
        </w:rPr>
      </w:pPr>
    </w:p>
    <w:p w14:paraId="5D35522D" w14:textId="3E5B3DDB" w:rsidR="0098050D" w:rsidRPr="004676F5" w:rsidRDefault="0098050D" w:rsidP="0098050D">
      <w:pPr>
        <w:ind w:firstLine="708"/>
        <w:jc w:val="both"/>
        <w:rPr>
          <w:lang w:val="de-DE"/>
        </w:rPr>
      </w:pPr>
      <w:r w:rsidRPr="004676F5">
        <w:rPr>
          <w:lang w:val="de-DE"/>
        </w:rPr>
        <w:lastRenderedPageBreak/>
        <w:t>[</w:t>
      </w:r>
      <w:r w:rsidRPr="004676F5">
        <w:rPr>
          <w:b/>
          <w:bCs/>
          <w:lang w:val="de-DE"/>
        </w:rPr>
        <w:t>Art. XV.10/8</w:t>
      </w:r>
      <w:r w:rsidRPr="004676F5">
        <w:rPr>
          <w:lang w:val="de-DE"/>
        </w:rPr>
        <w:t> - Die in Artikel XV.2 erwähnten Bediensteten des FÖD Wirtschaft sorgen für die jährliche Veröffentlichung auf der Website ihrer Verwaltung:</w:t>
      </w:r>
    </w:p>
    <w:p w14:paraId="619E5F6A" w14:textId="77777777" w:rsidR="0098050D" w:rsidRPr="004676F5" w:rsidRDefault="0098050D" w:rsidP="0098050D">
      <w:pPr>
        <w:jc w:val="both"/>
        <w:rPr>
          <w:lang w:val="de-DE"/>
        </w:rPr>
      </w:pPr>
    </w:p>
    <w:p w14:paraId="13BF41E6" w14:textId="77777777" w:rsidR="0098050D" w:rsidRPr="004676F5" w:rsidRDefault="0098050D" w:rsidP="0098050D">
      <w:pPr>
        <w:jc w:val="both"/>
        <w:rPr>
          <w:lang w:val="de-DE"/>
        </w:rPr>
      </w:pPr>
      <w:r w:rsidRPr="004676F5">
        <w:rPr>
          <w:lang w:val="de-DE"/>
        </w:rPr>
        <w:tab/>
        <w:t>1. der jährlichen Anzahl der ihnen bewilligten und abgelehnten Anträge auf Zugang zu den in Artikel XV.3 Nr. 5/1 Absatz 2 und 5 erwähnten Daten, der Anzahl Metadaten, zu denen sie Zugang hatten, der Anzahl von diesen Zugängen betroffener Personen und der Angabe, ob auf der Grundlage dieser Daten Verstöße festgestellt wurden oder nicht,</w:t>
      </w:r>
    </w:p>
    <w:p w14:paraId="2B4FC69C" w14:textId="77777777" w:rsidR="0098050D" w:rsidRPr="004676F5" w:rsidRDefault="0098050D" w:rsidP="0098050D">
      <w:pPr>
        <w:jc w:val="both"/>
        <w:rPr>
          <w:lang w:val="de-DE"/>
        </w:rPr>
      </w:pPr>
    </w:p>
    <w:p w14:paraId="3A2FB057" w14:textId="77777777" w:rsidR="0098050D" w:rsidRPr="004676F5" w:rsidRDefault="0098050D" w:rsidP="0098050D">
      <w:pPr>
        <w:jc w:val="both"/>
        <w:rPr>
          <w:lang w:val="de-DE"/>
        </w:rPr>
      </w:pPr>
      <w:r w:rsidRPr="004676F5">
        <w:rPr>
          <w:lang w:val="de-DE"/>
        </w:rPr>
        <w:tab/>
        <w:t>2. der jährlichen Anzahl der von ihnen gemäß Artikel XV.3 Nr. 5/3 Absatz 1 gestellten bewilligten und abgelehnten Anträge auf Zugang zu der Zentralen Kontaktstelle der Belgischen Nationalbank, der Anzahl der von diesen Zugängen betroffenen Personen und der Angabe, ob auf der Grundlage dieser Daten Verstöße festgestellt wurden oder nicht.]</w:t>
      </w:r>
    </w:p>
    <w:p w14:paraId="7DCCA2C6" w14:textId="77777777" w:rsidR="0098050D" w:rsidRPr="004676F5" w:rsidRDefault="0098050D" w:rsidP="0098050D">
      <w:pPr>
        <w:jc w:val="both"/>
        <w:rPr>
          <w:lang w:val="de-DE"/>
        </w:rPr>
      </w:pPr>
    </w:p>
    <w:p w14:paraId="5D7A877F" w14:textId="5E80DFD2" w:rsidR="0098050D" w:rsidRPr="004676F5" w:rsidRDefault="0098050D" w:rsidP="0098050D">
      <w:pPr>
        <w:jc w:val="both"/>
        <w:rPr>
          <w:i/>
          <w:iCs/>
          <w:lang w:val="de-DE"/>
        </w:rPr>
      </w:pPr>
      <w:r w:rsidRPr="004676F5">
        <w:rPr>
          <w:i/>
          <w:iCs/>
          <w:lang w:val="de-DE"/>
        </w:rPr>
        <w:t>[Art. XV.10/8 eingefügt durch Art. 44 des G. vom 5. November 2023</w:t>
      </w:r>
      <w:r w:rsidR="00857EC4" w:rsidRPr="004676F5">
        <w:rPr>
          <w:i/>
          <w:iCs/>
          <w:lang w:val="de-DE"/>
        </w:rPr>
        <w:t> (I)</w:t>
      </w:r>
      <w:r w:rsidRPr="004676F5">
        <w:rPr>
          <w:i/>
          <w:iCs/>
          <w:lang w:val="de-DE"/>
        </w:rPr>
        <w:t xml:space="preserve"> (B.S. vom 11. Dezember 2023)]</w:t>
      </w:r>
    </w:p>
    <w:p w14:paraId="68F6B682" w14:textId="528CC775" w:rsidR="00280329" w:rsidRPr="004676F5" w:rsidRDefault="00280329" w:rsidP="0098050D">
      <w:pPr>
        <w:jc w:val="both"/>
        <w:rPr>
          <w:lang w:val="de-DE"/>
        </w:rPr>
      </w:pPr>
      <w:r w:rsidRPr="004676F5">
        <w:rPr>
          <w:lang w:val="de-DE"/>
        </w:rPr>
        <w:br w:type="page"/>
      </w:r>
    </w:p>
    <w:p w14:paraId="5BC47DDB" w14:textId="5E85F902" w:rsidR="00BA2266" w:rsidRPr="004676F5" w:rsidRDefault="00BA2266" w:rsidP="00BA2266">
      <w:pPr>
        <w:jc w:val="center"/>
        <w:rPr>
          <w:lang w:val="de-DE"/>
        </w:rPr>
      </w:pPr>
      <w:r w:rsidRPr="004676F5">
        <w:rPr>
          <w:lang w:val="de-DE"/>
        </w:rPr>
        <w:lastRenderedPageBreak/>
        <w:t>KAPITEL 2 </w:t>
      </w:r>
      <w:r w:rsidR="005B7A5C" w:rsidRPr="004676F5">
        <w:rPr>
          <w:lang w:val="de-DE"/>
        </w:rPr>
        <w:t>- </w:t>
      </w:r>
      <w:r w:rsidRPr="004676F5">
        <w:rPr>
          <w:i/>
          <w:lang w:val="de-DE"/>
        </w:rPr>
        <w:t>Sonderbefugnisse</w:t>
      </w:r>
    </w:p>
    <w:p w14:paraId="1C1D123A" w14:textId="77777777" w:rsidR="00BA2266" w:rsidRPr="004676F5" w:rsidRDefault="00BA2266" w:rsidP="00BA2266">
      <w:pPr>
        <w:jc w:val="both"/>
        <w:rPr>
          <w:lang w:val="de-DE"/>
        </w:rPr>
      </w:pPr>
    </w:p>
    <w:p w14:paraId="2251027B" w14:textId="77777777" w:rsidR="00664554" w:rsidRPr="004676F5" w:rsidRDefault="00664554" w:rsidP="00BA2266">
      <w:pPr>
        <w:jc w:val="both"/>
        <w:rPr>
          <w:lang w:val="de-DE"/>
        </w:rPr>
      </w:pPr>
    </w:p>
    <w:p w14:paraId="18D8E022" w14:textId="4DD16A76" w:rsidR="00BE758F" w:rsidRPr="004676F5" w:rsidRDefault="00BE758F" w:rsidP="00BE758F">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Sonderbefugnisse in Bezug auf Ermittlung und Feststellung von Verstößen gegen Buch VI</w:t>
      </w:r>
    </w:p>
    <w:p w14:paraId="531B3BB6" w14:textId="77777777" w:rsidR="00384BFD" w:rsidRPr="004676F5" w:rsidRDefault="00384BFD" w:rsidP="00BE758F">
      <w:pPr>
        <w:jc w:val="center"/>
        <w:rPr>
          <w:lang w:val="de-DE"/>
        </w:rPr>
      </w:pPr>
    </w:p>
    <w:p w14:paraId="56CE9A45" w14:textId="74E3B6DB" w:rsidR="00384BFD" w:rsidRPr="004676F5" w:rsidRDefault="00384BFD" w:rsidP="00384BFD">
      <w:pPr>
        <w:jc w:val="both"/>
        <w:rPr>
          <w:i/>
          <w:lang w:val="de-DE"/>
        </w:rPr>
      </w:pPr>
      <w:r w:rsidRPr="004676F5">
        <w:rPr>
          <w:i/>
          <w:lang w:val="de-DE"/>
        </w:rPr>
        <w:t>[Abschnitt</w:t>
      </w:r>
      <w:r w:rsidR="000A263D" w:rsidRPr="004676F5">
        <w:rPr>
          <w:i/>
          <w:lang w:val="de-DE"/>
        </w:rPr>
        <w:t> </w:t>
      </w:r>
      <w:r w:rsidRPr="004676F5">
        <w:rPr>
          <w:i/>
          <w:lang w:val="de-DE"/>
        </w:rPr>
        <w:t xml:space="preserve">1 mit den Artikeln XV.11 bis XV.16 eingefügt durch </w:t>
      </w:r>
      <w:r w:rsidR="00BE0A56" w:rsidRPr="004676F5">
        <w:rPr>
          <w:i/>
          <w:lang w:val="de-DE"/>
        </w:rPr>
        <w:t>Art. </w:t>
      </w:r>
      <w:r w:rsidRPr="004676F5">
        <w:rPr>
          <w:i/>
          <w:lang w:val="de-DE"/>
        </w:rPr>
        <w:t>4 des G. vom 21. Dezember 2013 (B.S. vom 30. Dezember 2013, Err. vom 20. Januar 2014)]</w:t>
      </w:r>
    </w:p>
    <w:p w14:paraId="4F012B26" w14:textId="77777777" w:rsidR="00384BFD" w:rsidRPr="004676F5" w:rsidRDefault="00384BFD" w:rsidP="00384BFD">
      <w:pPr>
        <w:jc w:val="both"/>
        <w:rPr>
          <w:i/>
          <w:lang w:val="de-DE"/>
        </w:rPr>
      </w:pPr>
    </w:p>
    <w:p w14:paraId="7AE121B9" w14:textId="63C30DF5" w:rsidR="00BE758F" w:rsidRPr="004676F5" w:rsidRDefault="00BE758F" w:rsidP="00BE758F">
      <w:pPr>
        <w:jc w:val="both"/>
        <w:rPr>
          <w:lang w:val="de-DE"/>
        </w:rPr>
      </w:pPr>
    </w:p>
    <w:p w14:paraId="7475D06F" w14:textId="4A50FA14" w:rsidR="00685151" w:rsidRPr="004676F5" w:rsidRDefault="00685151" w:rsidP="00685151">
      <w:pPr>
        <w:ind w:firstLine="708"/>
        <w:jc w:val="both"/>
        <w:rPr>
          <w:lang w:val="de-DE"/>
        </w:rPr>
      </w:pPr>
      <w:r w:rsidRPr="004676F5">
        <w:rPr>
          <w:lang w:val="de-DE"/>
        </w:rPr>
        <w:t>[</w:t>
      </w:r>
      <w:r w:rsidRPr="004676F5">
        <w:rPr>
          <w:b/>
          <w:lang w:val="de-DE"/>
        </w:rPr>
        <w:t>Art. XV.10/1</w:t>
      </w:r>
      <w:r w:rsidRPr="004676F5">
        <w:rPr>
          <w:lang w:val="de-DE"/>
        </w:rPr>
        <w:t> </w:t>
      </w:r>
      <w:r w:rsidR="005B7A5C" w:rsidRPr="004676F5">
        <w:rPr>
          <w:lang w:val="de-DE"/>
        </w:rPr>
        <w:t>- </w:t>
      </w:r>
      <w:r w:rsidRPr="004676F5">
        <w:rPr>
          <w:lang w:val="de-DE"/>
        </w:rPr>
        <w:t>Wird eine Maßnahme zur Untersuchung oder Feststellung eines Verstoßes gegenüber einem Freiberufler ausgeführt, erfolgt dies gegebenenfalls ausschließlich in Anwesenheit des Vertreters der für den Freiberufler zuständigen Disziplinarbehörde oder nachdem diese Person ordnungsgemäß vorgeladen wurde, damit sie beurteilen kann, ob und gegebenenfalls in welchem Maße das Informationsersuchen oder die Aushändigung der Bücher und Belege mit der Einhaltung des Berufsgeheimnisses vereinbar ist.</w:t>
      </w:r>
    </w:p>
    <w:p w14:paraId="66CA361F" w14:textId="77777777" w:rsidR="00685151" w:rsidRPr="004676F5" w:rsidRDefault="00685151" w:rsidP="00685151">
      <w:pPr>
        <w:ind w:firstLine="708"/>
        <w:jc w:val="both"/>
        <w:rPr>
          <w:lang w:val="de-DE"/>
        </w:rPr>
      </w:pPr>
    </w:p>
    <w:p w14:paraId="768B3094" w14:textId="77777777" w:rsidR="00685151" w:rsidRPr="004676F5" w:rsidRDefault="00685151" w:rsidP="00685151">
      <w:pPr>
        <w:ind w:firstLine="708"/>
        <w:jc w:val="both"/>
        <w:rPr>
          <w:lang w:val="de-DE"/>
        </w:rPr>
      </w:pPr>
      <w:r w:rsidRPr="004676F5">
        <w:rPr>
          <w:lang w:val="de-DE"/>
        </w:rPr>
        <w:t>Darüber hinaus wird eine solche Maßnahme unter Wahrung des Rechts des Kunden des Freiberuflers auf Schutz seines Privatlebens ausgeführt.</w:t>
      </w:r>
    </w:p>
    <w:p w14:paraId="54D39E7E" w14:textId="77777777" w:rsidR="00685151" w:rsidRPr="004676F5" w:rsidRDefault="00685151" w:rsidP="00685151">
      <w:pPr>
        <w:ind w:firstLine="708"/>
        <w:jc w:val="both"/>
        <w:rPr>
          <w:lang w:val="de-DE"/>
        </w:rPr>
      </w:pPr>
    </w:p>
    <w:p w14:paraId="55742402" w14:textId="77777777" w:rsidR="00685151" w:rsidRPr="004676F5" w:rsidRDefault="00685151" w:rsidP="00685151">
      <w:pPr>
        <w:ind w:firstLine="708"/>
        <w:jc w:val="both"/>
        <w:rPr>
          <w:lang w:val="de-DE"/>
        </w:rPr>
      </w:pPr>
      <w:r w:rsidRPr="004676F5">
        <w:rPr>
          <w:lang w:val="de-DE"/>
        </w:rPr>
        <w:t>Akten und andere Unterlagen des Freiberuflers dürfen nicht beschlagnahmt werden. Vorbehaltlich der Absätze 1 und 2 und unter Einhaltung des Berufsgeheimnisses kann eine Abschrift angefertigt werden, die vom Freiberufler für gleichlautend erklärt werden kann.</w:t>
      </w:r>
    </w:p>
    <w:p w14:paraId="63965191" w14:textId="77777777" w:rsidR="00685151" w:rsidRPr="004676F5" w:rsidRDefault="00685151" w:rsidP="00685151">
      <w:pPr>
        <w:ind w:firstLine="708"/>
        <w:jc w:val="both"/>
        <w:rPr>
          <w:lang w:val="de-DE"/>
        </w:rPr>
      </w:pPr>
    </w:p>
    <w:p w14:paraId="4CFB66FD" w14:textId="7B5EE4C0" w:rsidR="00685151" w:rsidRPr="004676F5" w:rsidRDefault="00685151" w:rsidP="00685151">
      <w:pPr>
        <w:jc w:val="both"/>
        <w:rPr>
          <w:lang w:val="de-DE"/>
        </w:rPr>
      </w:pPr>
      <w:r w:rsidRPr="004676F5">
        <w:rPr>
          <w:lang w:val="de-DE"/>
        </w:rPr>
        <w:tab/>
        <w:t>Der Vertreter der zuständigen Disziplinarbehörde kann jegliche Bemerkungen hinsichtlich der Einhaltung des Berufsgeheimnisses an die Behörden richten, die diese Maßnahmen angeordnet haben. Beschlagnahmeurkunden und Besuchsprotokolle vermerken zur Vermeidung der Nichtigkeit die Anwesenheit des Vertreters der zuständigen Disziplinarbehörde oder die Tatsache, dass er ordnungsgemäß vorgeladen war, und die Bemerkungen, die der Vertreter der Disziplinarbehörde zu machen für notwendig hielt.]</w:t>
      </w:r>
    </w:p>
    <w:p w14:paraId="2BE4D6AF" w14:textId="050CBC5D" w:rsidR="00685151" w:rsidRPr="004676F5" w:rsidRDefault="00685151" w:rsidP="00685151">
      <w:pPr>
        <w:jc w:val="both"/>
        <w:rPr>
          <w:lang w:val="de-DE"/>
        </w:rPr>
      </w:pPr>
    </w:p>
    <w:p w14:paraId="54A2E585" w14:textId="2425D87E" w:rsidR="00685151" w:rsidRPr="004676F5" w:rsidRDefault="00685151" w:rsidP="00685151">
      <w:pPr>
        <w:jc w:val="both"/>
        <w:rPr>
          <w:i/>
          <w:lang w:val="de-DE"/>
        </w:rPr>
      </w:pPr>
      <w:r w:rsidRPr="004676F5">
        <w:rPr>
          <w:i/>
          <w:lang w:val="de-DE"/>
        </w:rPr>
        <w:t>[Ar</w:t>
      </w:r>
      <w:r w:rsidR="001F3248" w:rsidRPr="004676F5">
        <w:rPr>
          <w:i/>
          <w:lang w:val="de-DE"/>
        </w:rPr>
        <w:t>t.</w:t>
      </w:r>
      <w:r w:rsidRPr="004676F5">
        <w:rPr>
          <w:i/>
          <w:lang w:val="de-DE"/>
        </w:rPr>
        <w:t> XV.10/1 eingefügt durch Art. 198 des G. vom 15.</w:t>
      </w:r>
      <w:r w:rsidR="00FC0C7F" w:rsidRPr="004676F5">
        <w:rPr>
          <w:i/>
          <w:lang w:val="de-DE"/>
        </w:rPr>
        <w:t> </w:t>
      </w:r>
      <w:r w:rsidRPr="004676F5">
        <w:rPr>
          <w:i/>
          <w:lang w:val="de-DE"/>
        </w:rPr>
        <w:t>April</w:t>
      </w:r>
      <w:r w:rsidR="00FC0C7F" w:rsidRPr="004676F5">
        <w:rPr>
          <w:i/>
          <w:lang w:val="de-DE"/>
        </w:rPr>
        <w:t> </w:t>
      </w:r>
      <w:r w:rsidRPr="004676F5">
        <w:rPr>
          <w:i/>
          <w:lang w:val="de-DE"/>
        </w:rPr>
        <w:t>2018 (B.S. vom 27.</w:t>
      </w:r>
      <w:r w:rsidR="00FC0C7F" w:rsidRPr="004676F5">
        <w:rPr>
          <w:i/>
          <w:lang w:val="de-DE"/>
        </w:rPr>
        <w:t> </w:t>
      </w:r>
      <w:r w:rsidRPr="004676F5">
        <w:rPr>
          <w:i/>
          <w:lang w:val="de-DE"/>
        </w:rPr>
        <w:t>April</w:t>
      </w:r>
      <w:r w:rsidR="00FC0C7F" w:rsidRPr="004676F5">
        <w:rPr>
          <w:i/>
          <w:lang w:val="de-DE"/>
        </w:rPr>
        <w:t> </w:t>
      </w:r>
      <w:r w:rsidRPr="004676F5">
        <w:rPr>
          <w:i/>
          <w:lang w:val="de-DE"/>
        </w:rPr>
        <w:t>2018)]</w:t>
      </w:r>
    </w:p>
    <w:p w14:paraId="62A43314" w14:textId="50486640" w:rsidR="00685151" w:rsidRPr="004676F5" w:rsidRDefault="00685151" w:rsidP="00685151">
      <w:pPr>
        <w:jc w:val="both"/>
        <w:rPr>
          <w:i/>
          <w:lang w:val="de-DE"/>
        </w:rPr>
      </w:pPr>
    </w:p>
    <w:p w14:paraId="048772E1" w14:textId="77777777" w:rsidR="00685151" w:rsidRPr="004676F5" w:rsidRDefault="00685151" w:rsidP="00685151">
      <w:pPr>
        <w:jc w:val="both"/>
        <w:rPr>
          <w:i/>
          <w:lang w:val="de-DE"/>
        </w:rPr>
      </w:pPr>
    </w:p>
    <w:p w14:paraId="29D7BD01" w14:textId="0B82A4B8" w:rsidR="00BE758F" w:rsidRPr="004676F5" w:rsidRDefault="00BE758F" w:rsidP="00BE758F">
      <w:pPr>
        <w:jc w:val="both"/>
        <w:rPr>
          <w:lang w:val="de-DE"/>
        </w:rPr>
      </w:pPr>
      <w:r w:rsidRPr="004676F5">
        <w:rPr>
          <w:lang w:val="de-DE"/>
        </w:rPr>
        <w:tab/>
      </w:r>
      <w:r w:rsidR="00BE0A56" w:rsidRPr="004676F5">
        <w:rPr>
          <w:b/>
          <w:lang w:val="de-DE"/>
        </w:rPr>
        <w:t>Art. </w:t>
      </w:r>
      <w:r w:rsidRPr="004676F5">
        <w:rPr>
          <w:b/>
          <w:lang w:val="de-DE"/>
        </w:rPr>
        <w:t>XV.11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Artikel XV.83 Absatz 2 erwähnte Verstöße können sowohl von den in Artikel XV.2 erwähnten Bediensteten als auch von den Bediensteten, die in Artikel 11 des Gesetzes vom 24. Januar 1977 über den Schutz der Gesundheit der Verbraucher im Bereich der Lebensmittel und anderer Waren erwähnt sind, ermittelt und festgestellt werden.</w:t>
      </w:r>
    </w:p>
    <w:p w14:paraId="547AA082" w14:textId="77777777" w:rsidR="00BE758F" w:rsidRPr="004676F5" w:rsidRDefault="00BE758F" w:rsidP="00BE758F">
      <w:pPr>
        <w:jc w:val="both"/>
        <w:rPr>
          <w:lang w:val="de-DE"/>
        </w:rPr>
      </w:pPr>
    </w:p>
    <w:p w14:paraId="7F6C9090" w14:textId="4A583DE3" w:rsidR="00BE758F" w:rsidRPr="004676F5" w:rsidRDefault="00BE758F" w:rsidP="00BE758F">
      <w:pPr>
        <w:jc w:val="both"/>
        <w:rPr>
          <w:lang w:val="de-DE"/>
        </w:rPr>
      </w:pPr>
      <w:r w:rsidRPr="004676F5">
        <w:rPr>
          <w:lang w:val="de-DE"/>
        </w:rPr>
        <w:tab/>
        <w:t>§ 2 </w:t>
      </w:r>
      <w:r w:rsidR="005B7A5C" w:rsidRPr="004676F5">
        <w:rPr>
          <w:lang w:val="de-DE"/>
        </w:rPr>
        <w:t>- </w:t>
      </w:r>
      <w:r w:rsidRPr="004676F5">
        <w:rPr>
          <w:lang w:val="de-DE"/>
        </w:rPr>
        <w:t>Beziehen sich Verstöße gegen die Bestimmungen von Buch VI und seine Ausführungserlasse auf Finanzdienstleistungen, können sie sowohl von den in Artikel XV.2 erwähnten Bediensteten als auch von der FSMA, was Unternehmen betrifft, die ihrer Aufsicht unterliegen oder deren Geschäfte oder Produkte ihrer Aufsicht unterliegen, ermittelt und festgestellt werden.</w:t>
      </w:r>
    </w:p>
    <w:p w14:paraId="02F2CF64" w14:textId="77777777" w:rsidR="00BE758F" w:rsidRPr="004676F5" w:rsidRDefault="00BE758F" w:rsidP="00BE758F">
      <w:pPr>
        <w:jc w:val="both"/>
        <w:rPr>
          <w:lang w:val="de-DE"/>
        </w:rPr>
      </w:pPr>
    </w:p>
    <w:p w14:paraId="380AD22C" w14:textId="77777777" w:rsidR="00BE758F" w:rsidRPr="004676F5" w:rsidRDefault="00BE758F" w:rsidP="00BE758F">
      <w:pPr>
        <w:jc w:val="both"/>
        <w:rPr>
          <w:lang w:val="de-DE"/>
        </w:rPr>
      </w:pPr>
      <w:r w:rsidRPr="004676F5">
        <w:rPr>
          <w:lang w:val="de-DE"/>
        </w:rPr>
        <w:tab/>
        <w:t>Zwecks Ausübung der in Absatz 1 erwähnten Aufsicht kann die FSMA die Befugnisse ausüben, die in den Artikeln 34 § 1 Nr. 1 Buchstabe </w:t>
      </w:r>
      <w:r w:rsidRPr="004676F5">
        <w:rPr>
          <w:i/>
          <w:lang w:val="de-DE"/>
        </w:rPr>
        <w:t>a)</w:t>
      </w:r>
      <w:r w:rsidRPr="004676F5">
        <w:rPr>
          <w:lang w:val="de-DE"/>
        </w:rPr>
        <w:t xml:space="preserve"> und </w:t>
      </w:r>
      <w:r w:rsidRPr="004676F5">
        <w:rPr>
          <w:i/>
          <w:lang w:val="de-DE"/>
        </w:rPr>
        <w:t>b)</w:t>
      </w:r>
      <w:r w:rsidRPr="004676F5">
        <w:rPr>
          <w:lang w:val="de-DE"/>
        </w:rPr>
        <w:t>, 36, 36</w:t>
      </w:r>
      <w:r w:rsidRPr="004676F5">
        <w:rPr>
          <w:i/>
          <w:lang w:val="de-DE"/>
        </w:rPr>
        <w:t>bis</w:t>
      </w:r>
      <w:r w:rsidRPr="004676F5">
        <w:rPr>
          <w:lang w:val="de-DE"/>
        </w:rPr>
        <w:t xml:space="preserve"> und 37 des Gesetzes vom 2. August 2002 über die Aufsicht über den Finanzsektor und die Finanzdienstleistungen erwähnt sind.</w:t>
      </w:r>
    </w:p>
    <w:p w14:paraId="122DA739" w14:textId="77777777" w:rsidR="00BE758F" w:rsidRPr="004676F5" w:rsidRDefault="00BE758F" w:rsidP="00BE758F">
      <w:pPr>
        <w:jc w:val="both"/>
        <w:rPr>
          <w:lang w:val="de-DE"/>
        </w:rPr>
      </w:pPr>
    </w:p>
    <w:p w14:paraId="7C74F9E3" w14:textId="77777777" w:rsidR="00BE758F" w:rsidRPr="004676F5" w:rsidRDefault="00BE758F" w:rsidP="00BE758F">
      <w:pPr>
        <w:jc w:val="both"/>
        <w:rPr>
          <w:lang w:val="de-DE"/>
        </w:rPr>
      </w:pPr>
      <w:r w:rsidRPr="004676F5">
        <w:rPr>
          <w:lang w:val="de-DE"/>
        </w:rPr>
        <w:lastRenderedPageBreak/>
        <w:tab/>
        <w:t>Der Föderale Öffentliche Dienst Wirtschaft und die FSMA setzen sich gegenseitig von Feststellungen, die sie machen, und Maßnahmen, die sie in Bezug auf die in Absatz 1 erwähnten Verstöße ergreifen, in Kenntnis.</w:t>
      </w:r>
    </w:p>
    <w:p w14:paraId="2EA384E8" w14:textId="77777777" w:rsidR="00BE758F" w:rsidRPr="004676F5" w:rsidRDefault="00BE758F" w:rsidP="00BE758F">
      <w:pPr>
        <w:jc w:val="both"/>
        <w:rPr>
          <w:lang w:val="de-DE"/>
        </w:rPr>
      </w:pPr>
    </w:p>
    <w:p w14:paraId="522E9378" w14:textId="77777777" w:rsidR="00384BFD" w:rsidRPr="004676F5" w:rsidRDefault="00384BFD" w:rsidP="00BE758F">
      <w:pPr>
        <w:jc w:val="both"/>
        <w:rPr>
          <w:lang w:val="de-DE"/>
        </w:rPr>
      </w:pPr>
    </w:p>
    <w:p w14:paraId="5FDC3E9B" w14:textId="414C19CD" w:rsidR="00BE758F" w:rsidRPr="004676F5" w:rsidRDefault="00BE758F" w:rsidP="00BE758F">
      <w:pPr>
        <w:jc w:val="both"/>
        <w:rPr>
          <w:lang w:val="de-DE"/>
        </w:rPr>
      </w:pPr>
      <w:r w:rsidRPr="004676F5">
        <w:rPr>
          <w:lang w:val="de-DE"/>
        </w:rPr>
        <w:tab/>
      </w:r>
      <w:r w:rsidR="00BE0A56" w:rsidRPr="004676F5">
        <w:rPr>
          <w:b/>
          <w:lang w:val="de-DE"/>
        </w:rPr>
        <w:t>Art. </w:t>
      </w:r>
      <w:r w:rsidRPr="004676F5">
        <w:rPr>
          <w:b/>
          <w:lang w:val="de-DE"/>
        </w:rPr>
        <w:t>XV.12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Artikel XV.2 erwähnte Bedienstete sind ebenfalls befugt, Sachverhalte zu ermitteln und festzustellen, die zwar nicht strafbar sind, gegen die aber auf Betreiben des Ministers eine Unterlassungsklage eingeleitet werden kann. Diesbezüglich aufgenommene Protokolle haben Beweiskraft bis zum Beweis des Gegenteils.</w:t>
      </w:r>
    </w:p>
    <w:p w14:paraId="1F5A9C3F" w14:textId="77777777" w:rsidR="00BE758F" w:rsidRPr="004676F5" w:rsidRDefault="00BE758F" w:rsidP="00BE758F">
      <w:pPr>
        <w:jc w:val="both"/>
        <w:rPr>
          <w:lang w:val="de-DE"/>
        </w:rPr>
      </w:pPr>
    </w:p>
    <w:p w14:paraId="7228F1DA" w14:textId="0BB39AE7" w:rsidR="00BE758F" w:rsidRPr="004676F5" w:rsidRDefault="00BE758F" w:rsidP="00BE758F">
      <w:pPr>
        <w:jc w:val="both"/>
        <w:rPr>
          <w:lang w:val="de-DE"/>
        </w:rPr>
      </w:pPr>
      <w:r w:rsidRPr="004676F5">
        <w:rPr>
          <w:lang w:val="de-DE"/>
        </w:rPr>
        <w:tab/>
        <w:t>§ 2 </w:t>
      </w:r>
      <w:r w:rsidR="005B7A5C" w:rsidRPr="004676F5">
        <w:rPr>
          <w:lang w:val="de-DE"/>
        </w:rPr>
        <w:t>- </w:t>
      </w:r>
      <w:r w:rsidRPr="004676F5">
        <w:rPr>
          <w:lang w:val="de-DE"/>
        </w:rPr>
        <w:t>In der Ausübung ihres Amtes verfügen die in § 1 erwähnten Bediensteten über die in Artikel XV.3 Nr. 1, 2 und 7 erwähnten Befugnisse.</w:t>
      </w:r>
    </w:p>
    <w:p w14:paraId="27D337A6" w14:textId="77777777" w:rsidR="00BE758F" w:rsidRPr="004676F5" w:rsidRDefault="00BE758F" w:rsidP="00BE758F">
      <w:pPr>
        <w:jc w:val="both"/>
        <w:rPr>
          <w:lang w:val="de-DE"/>
        </w:rPr>
      </w:pPr>
    </w:p>
    <w:p w14:paraId="6D0AB418" w14:textId="77777777" w:rsidR="00384BFD" w:rsidRPr="004676F5" w:rsidRDefault="00384BFD" w:rsidP="00BE758F">
      <w:pPr>
        <w:jc w:val="both"/>
        <w:rPr>
          <w:lang w:val="de-DE"/>
        </w:rPr>
      </w:pPr>
    </w:p>
    <w:p w14:paraId="4EABDFEC" w14:textId="6CAB3FE8" w:rsidR="00BE758F" w:rsidRPr="004676F5" w:rsidRDefault="00BE758F" w:rsidP="00BE758F">
      <w:pPr>
        <w:jc w:val="both"/>
        <w:rPr>
          <w:lang w:val="de-DE"/>
        </w:rPr>
      </w:pPr>
      <w:r w:rsidRPr="004676F5">
        <w:rPr>
          <w:lang w:val="de-DE"/>
        </w:rPr>
        <w:tab/>
      </w:r>
      <w:r w:rsidR="00BE0A56" w:rsidRPr="004676F5">
        <w:rPr>
          <w:b/>
          <w:lang w:val="de-DE"/>
        </w:rPr>
        <w:t>Art. </w:t>
      </w:r>
      <w:r w:rsidRPr="004676F5">
        <w:rPr>
          <w:b/>
          <w:lang w:val="de-DE"/>
        </w:rPr>
        <w:t>XV.13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von den in Artikel XVII.9 erwähnten Ministern zu diesem Zweck bestellten Bediensteten sind befugt, Verstöße zu ermitteln und festzustellen, gegen die die in Artikel XVII.3 erwähnte Klage eingeleitet werden kann. Diesbezüglich aufgenommene Protokolle haben Beweiskraft bis zum Beweis des Gegenteils.</w:t>
      </w:r>
    </w:p>
    <w:p w14:paraId="32BA4D75" w14:textId="77777777" w:rsidR="00BE758F" w:rsidRPr="004676F5" w:rsidRDefault="00BE758F" w:rsidP="00BE758F">
      <w:pPr>
        <w:jc w:val="both"/>
        <w:rPr>
          <w:lang w:val="de-DE"/>
        </w:rPr>
      </w:pPr>
    </w:p>
    <w:p w14:paraId="303A4A7C" w14:textId="521082A9" w:rsidR="00BE758F" w:rsidRPr="004676F5" w:rsidRDefault="00BE758F" w:rsidP="00BE758F">
      <w:pPr>
        <w:jc w:val="both"/>
        <w:rPr>
          <w:lang w:val="de-DE"/>
        </w:rPr>
      </w:pPr>
      <w:r w:rsidRPr="004676F5">
        <w:rPr>
          <w:lang w:val="de-DE"/>
        </w:rPr>
        <w:tab/>
        <w:t>§ 2 </w:t>
      </w:r>
      <w:r w:rsidR="005B7A5C" w:rsidRPr="004676F5">
        <w:rPr>
          <w:lang w:val="de-DE"/>
        </w:rPr>
        <w:t>- </w:t>
      </w:r>
      <w:r w:rsidRPr="004676F5">
        <w:rPr>
          <w:lang w:val="de-DE"/>
        </w:rPr>
        <w:t>In der Ausübung ihres Amtes verfügen die in § 1 erwähnten Bediensteten über die in Artikel XV.3 Nr. 1, 2 und 7 erwähnten Befugnisse.</w:t>
      </w:r>
    </w:p>
    <w:p w14:paraId="47484DBD" w14:textId="77777777" w:rsidR="00BE758F" w:rsidRPr="004676F5" w:rsidRDefault="00BE758F" w:rsidP="00BE758F">
      <w:pPr>
        <w:jc w:val="both"/>
        <w:rPr>
          <w:lang w:val="de-DE"/>
        </w:rPr>
      </w:pPr>
    </w:p>
    <w:p w14:paraId="3BDB2B92" w14:textId="77777777" w:rsidR="00384BFD" w:rsidRPr="004676F5" w:rsidRDefault="00384BFD" w:rsidP="00BE758F">
      <w:pPr>
        <w:jc w:val="both"/>
        <w:rPr>
          <w:lang w:val="de-DE"/>
        </w:rPr>
      </w:pPr>
    </w:p>
    <w:p w14:paraId="622346B2" w14:textId="3FEB61ED" w:rsidR="00BE758F" w:rsidRPr="004676F5" w:rsidRDefault="00BE758F" w:rsidP="00BE758F">
      <w:pPr>
        <w:jc w:val="both"/>
        <w:rPr>
          <w:lang w:val="de-DE"/>
        </w:rPr>
      </w:pPr>
      <w:r w:rsidRPr="004676F5">
        <w:rPr>
          <w:lang w:val="de-DE"/>
        </w:rPr>
        <w:tab/>
      </w:r>
      <w:r w:rsidR="00BE0A56" w:rsidRPr="004676F5">
        <w:rPr>
          <w:b/>
          <w:lang w:val="de-DE"/>
        </w:rPr>
        <w:t>Art. </w:t>
      </w:r>
      <w:r w:rsidRPr="004676F5">
        <w:rPr>
          <w:b/>
          <w:lang w:val="de-DE"/>
        </w:rPr>
        <w:t>XV.14</w:t>
      </w:r>
      <w:r w:rsidRPr="004676F5">
        <w:rPr>
          <w:lang w:val="de-DE"/>
        </w:rPr>
        <w:t> </w:t>
      </w:r>
      <w:r w:rsidR="005B7A5C" w:rsidRPr="004676F5">
        <w:rPr>
          <w:lang w:val="de-DE"/>
        </w:rPr>
        <w:t>- </w:t>
      </w:r>
      <w:r w:rsidRPr="004676F5">
        <w:rPr>
          <w:lang w:val="de-DE"/>
        </w:rPr>
        <w:t xml:space="preserve">Nach Einsichtnahme in die aufgrund von Artikel XV.2 aufgenommenen Protokolle und bei Feststellung von Verstößen gegen die in </w:t>
      </w:r>
      <w:r w:rsidR="00280329" w:rsidRPr="004676F5">
        <w:rPr>
          <w:lang w:val="de-DE"/>
        </w:rPr>
        <w:t>[</w:t>
      </w:r>
      <w:r w:rsidRPr="004676F5">
        <w:rPr>
          <w:lang w:val="de-DE"/>
        </w:rPr>
        <w:t>Artikel XV.83 Nr. </w:t>
      </w:r>
      <w:r w:rsidR="00280329" w:rsidRPr="004676F5">
        <w:rPr>
          <w:lang w:val="de-DE"/>
        </w:rPr>
        <w:t>8]</w:t>
      </w:r>
      <w:r w:rsidRPr="004676F5">
        <w:rPr>
          <w:lang w:val="de-DE"/>
        </w:rPr>
        <w:t xml:space="preserve"> erwähnten Bestimmungen kann der Untersuchungsrichter durch einen mit Gründen versehenen Beschluss die Betreiber eines Fernkommunikationsmittels anweisen, in den Grenzen und für die Dauer, die er bestimmt und die einen Monat nicht übersteigen darf, die Zurverfügung</w:t>
      </w:r>
      <w:r w:rsidRPr="004676F5">
        <w:rPr>
          <w:lang w:val="de-DE"/>
        </w:rPr>
        <w:softHyphen/>
        <w:t>stellung des vom Zuwiderhandelnden für den Verstoß verwendeten Kommunikationsmittels auszusetzen, wenn diese Betreiber dazu in der Lage sind.</w:t>
      </w:r>
    </w:p>
    <w:p w14:paraId="7E5BFF84" w14:textId="77777777" w:rsidR="00BE758F" w:rsidRPr="004676F5" w:rsidRDefault="00BE758F" w:rsidP="00BE758F">
      <w:pPr>
        <w:jc w:val="both"/>
        <w:rPr>
          <w:lang w:val="de-DE"/>
        </w:rPr>
      </w:pPr>
    </w:p>
    <w:p w14:paraId="2A665787" w14:textId="77777777" w:rsidR="00BE758F" w:rsidRPr="004676F5" w:rsidRDefault="00BE758F" w:rsidP="00BE758F">
      <w:pPr>
        <w:jc w:val="both"/>
        <w:rPr>
          <w:lang w:val="de-DE"/>
        </w:rPr>
      </w:pPr>
      <w:r w:rsidRPr="004676F5">
        <w:rPr>
          <w:lang w:val="de-DE"/>
        </w:rPr>
        <w:tab/>
        <w:t>Der Untersuchungsrichter kann die Wirkung seines Beschlusses ein oder mehrere Male verlängern; er muss sie beenden, sobald die Umstände, die ihn rechtfertigen, nicht mehr gegeben sind.</w:t>
      </w:r>
    </w:p>
    <w:p w14:paraId="3338912A" w14:textId="77777777" w:rsidR="00BE758F" w:rsidRPr="004676F5" w:rsidRDefault="00BE758F" w:rsidP="00BE758F">
      <w:pPr>
        <w:jc w:val="both"/>
        <w:rPr>
          <w:lang w:val="de-DE"/>
        </w:rPr>
      </w:pPr>
    </w:p>
    <w:p w14:paraId="1C25B7CD" w14:textId="76EF7BE7" w:rsidR="00280329" w:rsidRPr="004676F5" w:rsidRDefault="00280329" w:rsidP="00BE758F">
      <w:pPr>
        <w:jc w:val="both"/>
        <w:rPr>
          <w:i/>
          <w:lang w:val="de-DE"/>
        </w:rPr>
      </w:pPr>
      <w:r w:rsidRPr="004676F5">
        <w:rPr>
          <w:i/>
          <w:lang w:val="de-DE"/>
        </w:rPr>
        <w:t>[</w:t>
      </w:r>
      <w:r w:rsidR="00BE0A56" w:rsidRPr="004676F5">
        <w:rPr>
          <w:i/>
          <w:lang w:val="de-DE"/>
        </w:rPr>
        <w:t>Art. </w:t>
      </w:r>
      <w:r w:rsidRPr="004676F5">
        <w:rPr>
          <w:i/>
          <w:lang w:val="de-DE"/>
        </w:rPr>
        <w:t xml:space="preserve">XV.14 Abs. 1 abgeändert durch </w:t>
      </w:r>
      <w:r w:rsidR="00BE0A56" w:rsidRPr="004676F5">
        <w:rPr>
          <w:i/>
          <w:lang w:val="de-DE"/>
        </w:rPr>
        <w:t>Art. </w:t>
      </w:r>
      <w:r w:rsidRPr="004676F5">
        <w:rPr>
          <w:i/>
          <w:lang w:val="de-DE"/>
        </w:rPr>
        <w:t>53</w:t>
      </w:r>
      <w:r w:rsidRPr="004676F5">
        <w:rPr>
          <w:i/>
          <w:iCs/>
          <w:lang w:val="de-DE"/>
        </w:rPr>
        <w:t xml:space="preserve"> </w:t>
      </w:r>
      <w:r w:rsidRPr="004676F5">
        <w:rPr>
          <w:i/>
          <w:lang w:val="de-DE"/>
        </w:rPr>
        <w:t>des G. vom 26. Oktober 2015 (B.S. vom 30. Oktober 2015)]</w:t>
      </w:r>
    </w:p>
    <w:p w14:paraId="6E08E825" w14:textId="77777777" w:rsidR="00280329" w:rsidRPr="004676F5" w:rsidRDefault="00280329" w:rsidP="00BE758F">
      <w:pPr>
        <w:jc w:val="both"/>
        <w:rPr>
          <w:i/>
          <w:lang w:val="de-DE"/>
        </w:rPr>
      </w:pPr>
    </w:p>
    <w:p w14:paraId="66BEC7E1" w14:textId="77777777" w:rsidR="00384BFD" w:rsidRPr="004676F5" w:rsidRDefault="00384BFD" w:rsidP="00BE758F">
      <w:pPr>
        <w:jc w:val="both"/>
        <w:rPr>
          <w:lang w:val="de-DE"/>
        </w:rPr>
      </w:pPr>
    </w:p>
    <w:p w14:paraId="4006E711" w14:textId="7BD21F53" w:rsidR="00BE758F" w:rsidRPr="004676F5" w:rsidRDefault="00BE758F" w:rsidP="00BE758F">
      <w:pPr>
        <w:jc w:val="both"/>
        <w:rPr>
          <w:lang w:val="de-DE"/>
        </w:rPr>
      </w:pPr>
      <w:r w:rsidRPr="004676F5">
        <w:rPr>
          <w:lang w:val="de-DE"/>
        </w:rPr>
        <w:tab/>
      </w:r>
      <w:r w:rsidR="00BE0A56" w:rsidRPr="004676F5">
        <w:rPr>
          <w:b/>
          <w:lang w:val="de-DE"/>
        </w:rPr>
        <w:t>Art. </w:t>
      </w:r>
      <w:r w:rsidRPr="004676F5">
        <w:rPr>
          <w:b/>
          <w:lang w:val="de-DE"/>
        </w:rPr>
        <w:t>XV.15</w:t>
      </w:r>
      <w:r w:rsidRPr="004676F5">
        <w:rPr>
          <w:lang w:val="de-DE"/>
        </w:rPr>
        <w:t> </w:t>
      </w:r>
      <w:r w:rsidR="005B7A5C" w:rsidRPr="004676F5">
        <w:rPr>
          <w:lang w:val="de-DE"/>
        </w:rPr>
        <w:t>- </w:t>
      </w:r>
      <w:r w:rsidRPr="004676F5">
        <w:rPr>
          <w:lang w:val="de-DE"/>
        </w:rPr>
        <w:t>Bei Nichteinhaltung der Bestimmungen von Buch VI Titel 3 Kapitel 4 können die in Artikel XV.2 erwähnten Bediensteten und die Gerichtspolizeioffiziere ein Protokoll aufnehmen. Eine Abschrift des Protokolls wird dem Veranstalter oder seinem Angestellten ausgehändigt oder per Einschreiben notifiziert.</w:t>
      </w:r>
    </w:p>
    <w:p w14:paraId="63DB5954" w14:textId="77777777" w:rsidR="00BE758F" w:rsidRPr="004676F5" w:rsidRDefault="00BE758F" w:rsidP="00BE758F">
      <w:pPr>
        <w:jc w:val="both"/>
        <w:rPr>
          <w:lang w:val="de-DE"/>
        </w:rPr>
      </w:pPr>
    </w:p>
    <w:p w14:paraId="70FEE9C4" w14:textId="77777777" w:rsidR="00BE758F" w:rsidRPr="004676F5" w:rsidRDefault="00BE758F" w:rsidP="00BE758F">
      <w:pPr>
        <w:jc w:val="both"/>
        <w:rPr>
          <w:lang w:val="de-DE"/>
        </w:rPr>
      </w:pPr>
      <w:r w:rsidRPr="004676F5">
        <w:rPr>
          <w:lang w:val="de-DE"/>
        </w:rPr>
        <w:tab/>
        <w:t>Vorerwähnte Bedienstete können in diesem Fall vor Ort mündlich den Verkauf der im Protokoll erwähnten Waren verbieten oder die Einstellung dieses Verkaufs anordnen.</w:t>
      </w:r>
    </w:p>
    <w:p w14:paraId="7E5B06E0" w14:textId="77777777" w:rsidR="00BE758F" w:rsidRPr="004676F5" w:rsidRDefault="00BE758F" w:rsidP="00BE758F">
      <w:pPr>
        <w:jc w:val="both"/>
        <w:rPr>
          <w:lang w:val="de-DE"/>
        </w:rPr>
      </w:pPr>
    </w:p>
    <w:p w14:paraId="0523B730" w14:textId="77777777" w:rsidR="00BE758F" w:rsidRPr="004676F5" w:rsidRDefault="00BE758F" w:rsidP="00BE758F">
      <w:pPr>
        <w:jc w:val="both"/>
        <w:rPr>
          <w:lang w:val="de-DE"/>
        </w:rPr>
      </w:pPr>
      <w:r w:rsidRPr="004676F5">
        <w:rPr>
          <w:lang w:val="de-DE"/>
        </w:rPr>
        <w:tab/>
        <w:t>Sie können gemäß den Bestimmungen von Artikel XV.4 die Sicherungsbeschlag</w:t>
      </w:r>
      <w:r w:rsidRPr="004676F5">
        <w:rPr>
          <w:lang w:val="de-DE"/>
        </w:rPr>
        <w:softHyphen/>
        <w:t>nahme der von dem Verstoß betroffenen Waren vornehmen.</w:t>
      </w:r>
    </w:p>
    <w:p w14:paraId="463770FF" w14:textId="77777777" w:rsidR="00BE758F" w:rsidRPr="004676F5" w:rsidRDefault="00BE758F" w:rsidP="00BE758F">
      <w:pPr>
        <w:jc w:val="both"/>
        <w:rPr>
          <w:lang w:val="de-DE"/>
        </w:rPr>
      </w:pPr>
    </w:p>
    <w:p w14:paraId="57F6C831" w14:textId="77777777" w:rsidR="00384BFD" w:rsidRPr="004676F5" w:rsidRDefault="00384BFD" w:rsidP="00BE758F">
      <w:pPr>
        <w:jc w:val="both"/>
        <w:rPr>
          <w:lang w:val="de-DE"/>
        </w:rPr>
      </w:pPr>
    </w:p>
    <w:p w14:paraId="316AECAC" w14:textId="3573692F" w:rsidR="00BE758F" w:rsidRPr="004676F5" w:rsidRDefault="00BE758F" w:rsidP="00BE758F">
      <w:pPr>
        <w:jc w:val="both"/>
        <w:rPr>
          <w:lang w:val="de-DE"/>
        </w:rPr>
      </w:pPr>
      <w:r w:rsidRPr="004676F5">
        <w:rPr>
          <w:lang w:val="de-DE"/>
        </w:rPr>
        <w:tab/>
      </w:r>
      <w:r w:rsidR="00BE0A56" w:rsidRPr="004676F5">
        <w:rPr>
          <w:b/>
          <w:lang w:val="de-DE"/>
        </w:rPr>
        <w:t>Art. </w:t>
      </w:r>
      <w:r w:rsidRPr="004676F5">
        <w:rPr>
          <w:b/>
          <w:lang w:val="de-DE"/>
        </w:rPr>
        <w:t>XV.16</w:t>
      </w:r>
      <w:r w:rsidRPr="004676F5">
        <w:rPr>
          <w:lang w:val="de-DE"/>
        </w:rPr>
        <w:t> </w:t>
      </w:r>
      <w:r w:rsidR="005B7A5C" w:rsidRPr="004676F5">
        <w:rPr>
          <w:lang w:val="de-DE"/>
        </w:rPr>
        <w:t>- </w:t>
      </w:r>
      <w:r w:rsidRPr="004676F5">
        <w:rPr>
          <w:lang w:val="de-DE"/>
        </w:rPr>
        <w:t>Der Minister oder der in Artikel XV.2 erwähnte Bedienstete kann von einem Unternehmen verlangen, dass es Beweise für die Richtigkeit der im Rahmen einer Geschäftspraxis mitgeteilten Tatsachenbehauptungen erbringt.</w:t>
      </w:r>
    </w:p>
    <w:p w14:paraId="6E065966" w14:textId="77777777" w:rsidR="00BE758F" w:rsidRPr="004676F5" w:rsidRDefault="00BE758F" w:rsidP="00BE758F">
      <w:pPr>
        <w:jc w:val="both"/>
        <w:rPr>
          <w:lang w:val="de-DE"/>
        </w:rPr>
      </w:pPr>
    </w:p>
    <w:p w14:paraId="04A092DF" w14:textId="77777777" w:rsidR="00BE758F" w:rsidRPr="004676F5" w:rsidRDefault="00BE758F" w:rsidP="00BE758F">
      <w:pPr>
        <w:jc w:val="both"/>
        <w:rPr>
          <w:lang w:val="de-DE"/>
        </w:rPr>
      </w:pPr>
      <w:r w:rsidRPr="004676F5">
        <w:rPr>
          <w:lang w:val="de-DE"/>
        </w:rPr>
        <w:tab/>
        <w:t>Das Unternehmen muss innerhalb einer Frist von höchstens einem Monat Beweise für die Richtigkeit dieser Behauptungen erbringen.</w:t>
      </w:r>
    </w:p>
    <w:p w14:paraId="1F2F2F62" w14:textId="77777777" w:rsidR="00BE758F" w:rsidRPr="004676F5" w:rsidRDefault="00BE758F" w:rsidP="00BE758F">
      <w:pPr>
        <w:jc w:val="both"/>
        <w:rPr>
          <w:lang w:val="de-DE"/>
        </w:rPr>
      </w:pPr>
    </w:p>
    <w:p w14:paraId="7039892E" w14:textId="77777777" w:rsidR="00BE758F" w:rsidRPr="004676F5" w:rsidRDefault="00BE758F" w:rsidP="00BE758F">
      <w:pPr>
        <w:jc w:val="both"/>
        <w:rPr>
          <w:lang w:val="de-DE"/>
        </w:rPr>
      </w:pPr>
      <w:r w:rsidRPr="004676F5">
        <w:rPr>
          <w:lang w:val="de-DE"/>
        </w:rPr>
        <w:tab/>
        <w:t>Falls die aufgrund von Absatz 1 verlangten Beweise nicht erbracht oder für unzureichend erachtet werden, kann der Minister oder der von ihm zu diesem Zweck bestellte Bedienstete urteilen, dass die Geschäftspraxis gegen die Bestimmungen von Buch VI Titel 4 verstößt.]</w:t>
      </w:r>
    </w:p>
    <w:p w14:paraId="6A50ADF5" w14:textId="77777777" w:rsidR="00BE758F" w:rsidRPr="004676F5" w:rsidRDefault="00BE758F" w:rsidP="00BE758F">
      <w:pPr>
        <w:jc w:val="center"/>
        <w:rPr>
          <w:lang w:val="de-DE"/>
        </w:rPr>
      </w:pPr>
    </w:p>
    <w:p w14:paraId="342E80C6" w14:textId="77777777" w:rsidR="00CA1E57" w:rsidRPr="004676F5" w:rsidRDefault="00CA1E57">
      <w:pPr>
        <w:rPr>
          <w:lang w:val="de-DE"/>
        </w:rPr>
      </w:pPr>
    </w:p>
    <w:p w14:paraId="4CFBC0C3" w14:textId="66AC5B77" w:rsidR="00CA1E57" w:rsidRPr="004676F5" w:rsidRDefault="00CA1E57" w:rsidP="00A56747">
      <w:pPr>
        <w:ind w:firstLine="708"/>
        <w:jc w:val="both"/>
        <w:rPr>
          <w:lang w:val="de-DE"/>
        </w:rPr>
      </w:pPr>
      <w:r w:rsidRPr="004676F5">
        <w:rPr>
          <w:lang w:val="de-DE"/>
        </w:rPr>
        <w:t>[</w:t>
      </w:r>
      <w:r w:rsidR="00BE0A56" w:rsidRPr="004676F5">
        <w:rPr>
          <w:b/>
          <w:lang w:val="de-DE"/>
        </w:rPr>
        <w:t>Art. </w:t>
      </w:r>
      <w:r w:rsidRPr="004676F5">
        <w:rPr>
          <w:b/>
          <w:lang w:val="de-DE"/>
        </w:rPr>
        <w:t>XV.16/1</w:t>
      </w:r>
      <w:r w:rsidRPr="004676F5">
        <w:rPr>
          <w:lang w:val="de-DE"/>
        </w:rPr>
        <w:t> </w:t>
      </w:r>
      <w:r w:rsidR="005B7A5C" w:rsidRPr="004676F5">
        <w:rPr>
          <w:lang w:val="de-DE"/>
        </w:rPr>
        <w:t>- </w:t>
      </w:r>
      <w:r w:rsidR="00A56747" w:rsidRPr="004676F5">
        <w:rPr>
          <w:lang w:val="de-DE"/>
        </w:rPr>
        <w:t>[...]</w:t>
      </w:r>
      <w:r w:rsidRPr="004676F5">
        <w:rPr>
          <w:lang w:val="de-DE"/>
        </w:rPr>
        <w:t>]</w:t>
      </w:r>
    </w:p>
    <w:p w14:paraId="711EC4AA" w14:textId="77777777" w:rsidR="00CA1E57" w:rsidRPr="004676F5" w:rsidRDefault="00CA1E57" w:rsidP="00CA1E57">
      <w:pPr>
        <w:rPr>
          <w:lang w:val="de-DE"/>
        </w:rPr>
      </w:pPr>
    </w:p>
    <w:p w14:paraId="446BA711" w14:textId="5653C856" w:rsidR="00CA1E57" w:rsidRPr="004676F5" w:rsidRDefault="00CA1E57" w:rsidP="00A56747">
      <w:pPr>
        <w:jc w:val="both"/>
        <w:rPr>
          <w:i/>
          <w:lang w:val="de-DE"/>
        </w:rPr>
      </w:pPr>
      <w:r w:rsidRPr="004676F5">
        <w:rPr>
          <w:i/>
          <w:lang w:val="de-DE"/>
        </w:rPr>
        <w:t>[</w:t>
      </w:r>
      <w:r w:rsidR="00BE0A56" w:rsidRPr="004676F5">
        <w:rPr>
          <w:i/>
          <w:lang w:val="de-DE"/>
        </w:rPr>
        <w:t>Art. </w:t>
      </w:r>
      <w:r w:rsidRPr="004676F5">
        <w:rPr>
          <w:i/>
          <w:lang w:val="de-DE"/>
        </w:rPr>
        <w:t xml:space="preserve">XV.16/1 eingefügt durch </w:t>
      </w:r>
      <w:r w:rsidR="00BE0A56" w:rsidRPr="004676F5">
        <w:rPr>
          <w:i/>
          <w:lang w:val="de-DE"/>
        </w:rPr>
        <w:t>Art. </w:t>
      </w:r>
      <w:r w:rsidRPr="004676F5">
        <w:rPr>
          <w:i/>
          <w:lang w:val="de-DE"/>
        </w:rPr>
        <w:t>39 des G. vom 29. Juni 2016 (B.S. vom 6. Juli 2016)</w:t>
      </w:r>
      <w:r w:rsidR="00A56747" w:rsidRPr="004676F5">
        <w:rPr>
          <w:i/>
          <w:lang w:val="de-DE"/>
        </w:rPr>
        <w:t xml:space="preserve"> und aufgehoben durch Art. 9</w:t>
      </w:r>
      <w:r w:rsidR="00A56747" w:rsidRPr="004676F5">
        <w:rPr>
          <w:bCs/>
          <w:i/>
          <w:iCs/>
          <w:lang w:val="de-DE"/>
        </w:rPr>
        <w:t xml:space="preserve"> des G. vom 29. September 2020 (B.S. vom 20. November 2020)</w:t>
      </w:r>
      <w:r w:rsidRPr="004676F5">
        <w:rPr>
          <w:i/>
          <w:lang w:val="de-DE"/>
        </w:rPr>
        <w:t>]</w:t>
      </w:r>
    </w:p>
    <w:p w14:paraId="70F51402" w14:textId="77777777" w:rsidR="00CA1E57" w:rsidRPr="004676F5" w:rsidRDefault="00CA1E57" w:rsidP="00CA1E57">
      <w:pPr>
        <w:rPr>
          <w:i/>
          <w:lang w:val="de-DE"/>
        </w:rPr>
      </w:pPr>
    </w:p>
    <w:p w14:paraId="050D92F5" w14:textId="77777777" w:rsidR="00CA1E57" w:rsidRPr="004676F5" w:rsidRDefault="00CA1E57" w:rsidP="00CA1E57">
      <w:pPr>
        <w:rPr>
          <w:lang w:val="de-DE"/>
        </w:rPr>
      </w:pPr>
    </w:p>
    <w:p w14:paraId="74CB68CA" w14:textId="5168DDD2" w:rsidR="00CA1E57" w:rsidRPr="004676F5" w:rsidRDefault="00CA1E57" w:rsidP="00CA1E57">
      <w:pPr>
        <w:ind w:firstLine="708"/>
        <w:jc w:val="both"/>
        <w:rPr>
          <w:lang w:val="de-DE"/>
        </w:rPr>
      </w:pPr>
      <w:r w:rsidRPr="004676F5">
        <w:rPr>
          <w:lang w:val="de-DE"/>
        </w:rPr>
        <w:t>[</w:t>
      </w:r>
      <w:r w:rsidR="00BE0A56" w:rsidRPr="004676F5">
        <w:rPr>
          <w:b/>
          <w:lang w:val="de-DE"/>
        </w:rPr>
        <w:t>Art. </w:t>
      </w:r>
      <w:r w:rsidRPr="004676F5">
        <w:rPr>
          <w:b/>
          <w:lang w:val="de-DE"/>
        </w:rPr>
        <w:t>XV.16/2</w:t>
      </w:r>
      <w:r w:rsidRPr="004676F5">
        <w:rPr>
          <w:lang w:val="de-DE"/>
        </w:rPr>
        <w:t> </w:t>
      </w:r>
      <w:r w:rsidR="005B7A5C" w:rsidRPr="004676F5">
        <w:rPr>
          <w:lang w:val="de-DE"/>
        </w:rPr>
        <w:t>- </w:t>
      </w:r>
      <w:r w:rsidRPr="004676F5">
        <w:rPr>
          <w:lang w:val="de-DE"/>
        </w:rPr>
        <w:t>Der Minister oder sein Beauftragter kann ein Produkt aus dem Verkehr ziehen und seine Rücknahme zwecks Änderung, Gesamt</w:t>
      </w:r>
      <w:r w:rsidR="005B7A5C" w:rsidRPr="004676F5">
        <w:rPr>
          <w:lang w:val="de-DE"/>
        </w:rPr>
        <w:t>- </w:t>
      </w:r>
      <w:r w:rsidRPr="004676F5">
        <w:rPr>
          <w:lang w:val="de-DE"/>
        </w:rPr>
        <w:t>oder Teilerstattung oder Umtausch des betreffenden Produkts vorschreiben, wenn festgestellt wird, dass:</w:t>
      </w:r>
    </w:p>
    <w:p w14:paraId="3A7FF888" w14:textId="77777777" w:rsidR="00CA1E57" w:rsidRPr="004676F5" w:rsidRDefault="00CA1E57" w:rsidP="00CA1E57">
      <w:pPr>
        <w:ind w:firstLine="708"/>
        <w:jc w:val="both"/>
        <w:rPr>
          <w:lang w:val="de-DE"/>
        </w:rPr>
      </w:pPr>
    </w:p>
    <w:p w14:paraId="5A6E49A7" w14:textId="4B512A92" w:rsidR="00CA1E57" w:rsidRPr="004676F5" w:rsidRDefault="005B7A5C" w:rsidP="00CA1E57">
      <w:pPr>
        <w:ind w:firstLine="708"/>
        <w:jc w:val="both"/>
        <w:rPr>
          <w:lang w:val="de-DE"/>
        </w:rPr>
      </w:pPr>
      <w:r w:rsidRPr="004676F5">
        <w:rPr>
          <w:lang w:val="de-DE"/>
        </w:rPr>
        <w:t>- </w:t>
      </w:r>
      <w:r w:rsidR="00CA1E57" w:rsidRPr="004676F5">
        <w:rPr>
          <w:lang w:val="de-DE"/>
        </w:rPr>
        <w:t>ein Unternehmen innerhalb der in Artikel XV.16 festgelegten Frist keine Beweise für die Richtigkeit der im Rahmen einer Geschäftspraxis mitgeteilten Tatsachenbehauptungen erbringt oder</w:t>
      </w:r>
    </w:p>
    <w:p w14:paraId="540C7A1D" w14:textId="77777777" w:rsidR="00CA1E57" w:rsidRPr="004676F5" w:rsidRDefault="00CA1E57" w:rsidP="00CA1E57">
      <w:pPr>
        <w:ind w:firstLine="708"/>
        <w:jc w:val="both"/>
        <w:rPr>
          <w:lang w:val="de-DE"/>
        </w:rPr>
      </w:pPr>
    </w:p>
    <w:p w14:paraId="7DB57A55" w14:textId="01582A1B" w:rsidR="00CA1E57" w:rsidRPr="004676F5" w:rsidRDefault="005B7A5C" w:rsidP="00CA1E57">
      <w:pPr>
        <w:ind w:firstLine="708"/>
        <w:jc w:val="both"/>
        <w:rPr>
          <w:lang w:val="de-DE"/>
        </w:rPr>
      </w:pPr>
      <w:r w:rsidRPr="004676F5">
        <w:rPr>
          <w:lang w:val="de-DE"/>
        </w:rPr>
        <w:t>- </w:t>
      </w:r>
      <w:r w:rsidR="00CA1E57" w:rsidRPr="004676F5">
        <w:rPr>
          <w:lang w:val="de-DE"/>
        </w:rPr>
        <w:t xml:space="preserve">ein Unternehmen die </w:t>
      </w:r>
      <w:r w:rsidR="00A56747" w:rsidRPr="004676F5">
        <w:rPr>
          <w:lang w:val="de-DE"/>
        </w:rPr>
        <w:t>[in Artikel XV.3 Nr. 8]</w:t>
      </w:r>
      <w:r w:rsidR="00CA1E57" w:rsidRPr="004676F5">
        <w:rPr>
          <w:lang w:val="de-DE"/>
        </w:rPr>
        <w:t xml:space="preserve"> erwähnte Analyse oder Kontrolle durch </w:t>
      </w:r>
      <w:r w:rsidR="0081732A" w:rsidRPr="004676F5">
        <w:rPr>
          <w:lang w:val="de-DE"/>
        </w:rPr>
        <w:t>ein unabhängige</w:t>
      </w:r>
      <w:r w:rsidR="00555BD8" w:rsidRPr="004676F5">
        <w:rPr>
          <w:lang w:val="de-DE"/>
        </w:rPr>
        <w:t>s</w:t>
      </w:r>
      <w:r w:rsidR="0081732A" w:rsidRPr="004676F5">
        <w:rPr>
          <w:lang w:val="de-DE"/>
        </w:rPr>
        <w:t xml:space="preserve"> Labor</w:t>
      </w:r>
      <w:r w:rsidR="00CA1E57" w:rsidRPr="004676F5">
        <w:rPr>
          <w:lang w:val="de-DE"/>
        </w:rPr>
        <w:t xml:space="preserve"> nicht durchführen lässt oder</w:t>
      </w:r>
    </w:p>
    <w:p w14:paraId="3622F9E1" w14:textId="77777777" w:rsidR="00CA1E57" w:rsidRPr="004676F5" w:rsidRDefault="00CA1E57" w:rsidP="00CA1E57">
      <w:pPr>
        <w:ind w:firstLine="708"/>
        <w:jc w:val="both"/>
        <w:rPr>
          <w:lang w:val="de-DE"/>
        </w:rPr>
      </w:pPr>
    </w:p>
    <w:p w14:paraId="76D8EEE6" w14:textId="68C4D38D" w:rsidR="00CA1E57" w:rsidRPr="004676F5" w:rsidRDefault="005B7A5C" w:rsidP="00CA1E57">
      <w:pPr>
        <w:ind w:firstLine="708"/>
        <w:jc w:val="both"/>
        <w:rPr>
          <w:lang w:val="de-DE"/>
        </w:rPr>
      </w:pPr>
      <w:r w:rsidRPr="004676F5">
        <w:rPr>
          <w:lang w:val="de-DE"/>
        </w:rPr>
        <w:t>- </w:t>
      </w:r>
      <w:r w:rsidR="00CA1E57" w:rsidRPr="004676F5">
        <w:rPr>
          <w:lang w:val="de-DE"/>
        </w:rPr>
        <w:t>eine von einem unabhängigen Labor durchgeführte Analyse oder Kontrolle aufzeigt, dass ein Produkt den Bedingungen nicht entspricht, die durch Erlasse zur Ausführung von Artikel VI.9 § 1 auferlegt werden.</w:t>
      </w:r>
    </w:p>
    <w:p w14:paraId="7B51D64D" w14:textId="77777777" w:rsidR="00CA1E57" w:rsidRPr="004676F5" w:rsidRDefault="00CA1E57" w:rsidP="00CA1E57">
      <w:pPr>
        <w:ind w:firstLine="708"/>
        <w:jc w:val="both"/>
        <w:rPr>
          <w:lang w:val="de-DE"/>
        </w:rPr>
      </w:pPr>
    </w:p>
    <w:p w14:paraId="0D9745C8" w14:textId="77777777" w:rsidR="00280329" w:rsidRPr="004676F5" w:rsidRDefault="00CA1E57" w:rsidP="00A56747">
      <w:pPr>
        <w:ind w:firstLine="708"/>
        <w:jc w:val="both"/>
        <w:rPr>
          <w:i/>
          <w:lang w:val="de-DE"/>
        </w:rPr>
      </w:pPr>
      <w:r w:rsidRPr="004676F5">
        <w:rPr>
          <w:lang w:val="de-DE"/>
        </w:rPr>
        <w:t>Der Minister oder sein Beauftragter hört vorher das betreffende Unternehmen an und informiert es spätestens fünfzehn Tage, nachdem die Maßnahmen getroffen worden sind.]</w:t>
      </w:r>
    </w:p>
    <w:p w14:paraId="7F5CBC3B" w14:textId="77777777" w:rsidR="00CA1E57" w:rsidRPr="004676F5" w:rsidRDefault="00CA1E57" w:rsidP="00CA1E57">
      <w:pPr>
        <w:rPr>
          <w:i/>
          <w:lang w:val="de-DE"/>
        </w:rPr>
      </w:pPr>
    </w:p>
    <w:p w14:paraId="23AE1494" w14:textId="4B487BA2" w:rsidR="00CA1E57" w:rsidRPr="004676F5" w:rsidRDefault="00CA1E57" w:rsidP="00A56747">
      <w:pPr>
        <w:jc w:val="both"/>
        <w:rPr>
          <w:i/>
          <w:lang w:val="de-DE"/>
        </w:rPr>
      </w:pPr>
      <w:r w:rsidRPr="004676F5">
        <w:rPr>
          <w:i/>
          <w:lang w:val="de-DE"/>
        </w:rPr>
        <w:t>[</w:t>
      </w:r>
      <w:r w:rsidR="00BE0A56" w:rsidRPr="004676F5">
        <w:rPr>
          <w:i/>
          <w:lang w:val="de-DE"/>
        </w:rPr>
        <w:t>Art. </w:t>
      </w:r>
      <w:r w:rsidRPr="004676F5">
        <w:rPr>
          <w:i/>
          <w:lang w:val="de-DE"/>
        </w:rPr>
        <w:t xml:space="preserve">XV.16/2 eingefügt durch </w:t>
      </w:r>
      <w:r w:rsidR="00BE0A56" w:rsidRPr="004676F5">
        <w:rPr>
          <w:i/>
          <w:lang w:val="de-DE"/>
        </w:rPr>
        <w:t>Art. </w:t>
      </w:r>
      <w:r w:rsidRPr="004676F5">
        <w:rPr>
          <w:i/>
          <w:lang w:val="de-DE"/>
        </w:rPr>
        <w:t>40 des G. vom 29. Juni 2016 (B.S. vom 6. Juli 2016)</w:t>
      </w:r>
      <w:r w:rsidR="00A56747" w:rsidRPr="004676F5">
        <w:rPr>
          <w:i/>
          <w:lang w:val="de-DE"/>
        </w:rPr>
        <w:t>; Abs. 1 zweiter Gedankenstrich abgeändert durch Art. 10</w:t>
      </w:r>
      <w:r w:rsidR="00A56747" w:rsidRPr="004676F5">
        <w:rPr>
          <w:bCs/>
          <w:i/>
          <w:iCs/>
          <w:lang w:val="de-DE"/>
        </w:rPr>
        <w:t xml:space="preserve"> des G. vom 29. September 2020 (B.S. vom 20. November 2020)</w:t>
      </w:r>
      <w:r w:rsidRPr="004676F5">
        <w:rPr>
          <w:i/>
          <w:lang w:val="de-DE"/>
        </w:rPr>
        <w:t>]</w:t>
      </w:r>
    </w:p>
    <w:p w14:paraId="68583007" w14:textId="77777777" w:rsidR="00CA1E57" w:rsidRPr="004676F5" w:rsidRDefault="00CA1E57" w:rsidP="00CA1E57">
      <w:pPr>
        <w:rPr>
          <w:lang w:val="de-DE"/>
        </w:rPr>
      </w:pPr>
    </w:p>
    <w:p w14:paraId="1A377A93" w14:textId="77777777" w:rsidR="00CA1E57" w:rsidRPr="004676F5" w:rsidRDefault="00CA1E57" w:rsidP="00CA1E57">
      <w:pPr>
        <w:rPr>
          <w:lang w:val="de-DE"/>
        </w:rPr>
      </w:pPr>
    </w:p>
    <w:p w14:paraId="2F3248D6" w14:textId="4009933D" w:rsidR="000D06E3" w:rsidRPr="004676F5" w:rsidRDefault="000D06E3" w:rsidP="000D06E3">
      <w:pPr>
        <w:jc w:val="both"/>
        <w:rPr>
          <w:lang w:val="de-DE"/>
        </w:rPr>
      </w:pPr>
      <w:r w:rsidRPr="004676F5">
        <w:rPr>
          <w:lang w:val="de-DE"/>
        </w:rPr>
        <w:tab/>
        <w:t>[</w:t>
      </w:r>
      <w:r w:rsidRPr="004676F5">
        <w:rPr>
          <w:b/>
          <w:bCs/>
          <w:lang w:val="de-DE"/>
        </w:rPr>
        <w:t>Art. XV.16/3</w:t>
      </w:r>
      <w:r w:rsidRPr="004676F5">
        <w:rPr>
          <w:lang w:val="de-DE"/>
        </w:rPr>
        <w:t> </w:t>
      </w:r>
      <w:r w:rsidR="005B7A5C" w:rsidRPr="004676F5">
        <w:rPr>
          <w:lang w:val="de-DE"/>
        </w:rPr>
        <w:t>- </w:t>
      </w:r>
      <w:r w:rsidRPr="004676F5">
        <w:rPr>
          <w:lang w:val="de-DE"/>
        </w:rPr>
        <w:t>§ 1 ­ Ein Beschwerdeführer in der Agrar</w:t>
      </w:r>
      <w:r w:rsidR="005B7A5C" w:rsidRPr="004676F5">
        <w:rPr>
          <w:lang w:val="de-DE"/>
        </w:rPr>
        <w:t>- </w:t>
      </w:r>
      <w:r w:rsidRPr="004676F5">
        <w:rPr>
          <w:lang w:val="de-DE"/>
        </w:rPr>
        <w:t>und Lebensmittelver</w:t>
      </w:r>
      <w:r w:rsidRPr="004676F5">
        <w:rPr>
          <w:lang w:val="de-DE"/>
        </w:rPr>
        <w:softHyphen/>
        <w:t>sorgungskette kann eine Beschwerde an die in Artikel XV.2 erwähnten Bediensteten richten, wenn ein begründeter Verdacht auf Verstöße gegen die in Artikel XV.83 Nr. 15/1 erwähnten Bestimmungen besteht. Der König kann Modalitäten für die Übermittlung einer Beschwerde festlegen.</w:t>
      </w:r>
    </w:p>
    <w:p w14:paraId="37210964" w14:textId="77777777" w:rsidR="000D06E3" w:rsidRPr="004676F5" w:rsidRDefault="000D06E3" w:rsidP="000D06E3">
      <w:pPr>
        <w:jc w:val="both"/>
        <w:rPr>
          <w:lang w:val="de-DE"/>
        </w:rPr>
      </w:pPr>
    </w:p>
    <w:p w14:paraId="09721E65" w14:textId="77777777" w:rsidR="000D06E3" w:rsidRPr="004676F5" w:rsidRDefault="000D06E3" w:rsidP="000D06E3">
      <w:pPr>
        <w:jc w:val="both"/>
        <w:rPr>
          <w:lang w:val="de-DE"/>
        </w:rPr>
      </w:pPr>
      <w:r w:rsidRPr="004676F5">
        <w:rPr>
          <w:lang w:val="de-DE"/>
        </w:rPr>
        <w:lastRenderedPageBreak/>
        <w:tab/>
        <w:t>§ 2 ­ Innerhalb sechzig Tagen nach Eingang der in § 1 erwähnten Beschwerde teilen die in Artikel XV.2 erwähnten Bediensteten dem in § 1 erwähnten Beschwerdeführer mit, wie sie mit der Beschwerde zu verfahren gedenken.</w:t>
      </w:r>
    </w:p>
    <w:p w14:paraId="7A04ACBB" w14:textId="77777777" w:rsidR="000D06E3" w:rsidRPr="004676F5" w:rsidRDefault="000D06E3" w:rsidP="000D06E3">
      <w:pPr>
        <w:jc w:val="both"/>
        <w:rPr>
          <w:lang w:val="de-DE"/>
        </w:rPr>
      </w:pPr>
    </w:p>
    <w:p w14:paraId="206369F0" w14:textId="77777777" w:rsidR="000D06E3" w:rsidRPr="004676F5" w:rsidRDefault="000D06E3" w:rsidP="000D06E3">
      <w:pPr>
        <w:jc w:val="both"/>
        <w:rPr>
          <w:lang w:val="de-DE"/>
        </w:rPr>
      </w:pPr>
      <w:r w:rsidRPr="004676F5">
        <w:rPr>
          <w:lang w:val="de-DE"/>
        </w:rPr>
        <w:tab/>
        <w:t>§ 3 ­ Sind die in Artikel XV.2 erwähnten Bediensteten der Auffassung, dass keine ausreichenden Gründe vorliegen, um einer Beschwerde nachzugehen, teilen sie dem in § 1 erwähnten Beschwerdeführer innerhalb der in § 2 erwähnten Frist die Gründe hierfür mit.</w:t>
      </w:r>
    </w:p>
    <w:p w14:paraId="20E3D429" w14:textId="77777777" w:rsidR="000D06E3" w:rsidRPr="004676F5" w:rsidRDefault="000D06E3" w:rsidP="000D06E3">
      <w:pPr>
        <w:jc w:val="both"/>
        <w:rPr>
          <w:lang w:val="de-DE"/>
        </w:rPr>
      </w:pPr>
    </w:p>
    <w:p w14:paraId="5F4EF6AB" w14:textId="77777777" w:rsidR="000D06E3" w:rsidRPr="004676F5" w:rsidRDefault="000D06E3" w:rsidP="000D06E3">
      <w:pPr>
        <w:jc w:val="both"/>
        <w:rPr>
          <w:lang w:val="de-DE"/>
        </w:rPr>
      </w:pPr>
      <w:r w:rsidRPr="004676F5">
        <w:rPr>
          <w:lang w:val="de-DE"/>
        </w:rPr>
        <w:tab/>
        <w:t>Unbeschadet der Möglichkeit, aus eigener Initiative Verstöße gegen die in Artikel XV.83 Nr. 15/1 erwähnten Bestimmungen zu ermitteln und festzustellen, untersuchen die in Artikel XV.2 erwähnten Bediensteten die Beschwerde innerhalb einer angemessenen Frist nach der in § 2 erwähnten Mitteilung, sofern sie der Auffassung sind, dass ausreichende Gründe vorliegen, um einer Beschwerde nachzugehen.</w:t>
      </w:r>
    </w:p>
    <w:p w14:paraId="7359ECCA" w14:textId="77777777" w:rsidR="000D06E3" w:rsidRPr="004676F5" w:rsidRDefault="000D06E3" w:rsidP="000D06E3">
      <w:pPr>
        <w:jc w:val="both"/>
        <w:rPr>
          <w:lang w:val="de-DE"/>
        </w:rPr>
      </w:pPr>
    </w:p>
    <w:p w14:paraId="5BDDE616" w14:textId="0E7FBFE2" w:rsidR="000D06E3" w:rsidRPr="004676F5" w:rsidRDefault="000D06E3" w:rsidP="000D06E3">
      <w:pPr>
        <w:jc w:val="both"/>
        <w:rPr>
          <w:lang w:val="de-DE"/>
        </w:rPr>
      </w:pPr>
      <w:r w:rsidRPr="004676F5">
        <w:rPr>
          <w:lang w:val="de-DE"/>
        </w:rPr>
        <w:tab/>
        <w:t>§ 4 </w:t>
      </w:r>
      <w:r w:rsidR="005B7A5C" w:rsidRPr="004676F5">
        <w:rPr>
          <w:lang w:val="de-DE"/>
        </w:rPr>
        <w:t>- </w:t>
      </w:r>
      <w:r w:rsidRPr="004676F5">
        <w:rPr>
          <w:lang w:val="de-DE"/>
        </w:rPr>
        <w:t>Im Rahmen der Ermittlung, Feststellung, Verfolgung und Ahndung von Verstößen gegen die in Artikel XV.83 Nr. 15/1 erwähnten Bestimmungen treffen die in Artikel XV.2 erwähnten Bediensteten die erforderlichen Maßnahmen, um Identität oder Interessen des Beschwerdeführers in der Agrar</w:t>
      </w:r>
      <w:r w:rsidR="005B7A5C" w:rsidRPr="004676F5">
        <w:rPr>
          <w:lang w:val="de-DE"/>
        </w:rPr>
        <w:t>- </w:t>
      </w:r>
      <w:r w:rsidRPr="004676F5">
        <w:rPr>
          <w:lang w:val="de-DE"/>
        </w:rPr>
        <w:t>und Lebensmittelversorgungskette oder gegebenenfalls seiner Mitglieder zu schützen, sofern der Beschwerdeführer dies beantragt und die Informationen angibt, für die er eine vertrauliche Behandlung beantragt.</w:t>
      </w:r>
    </w:p>
    <w:p w14:paraId="6AD0B8A0" w14:textId="77777777" w:rsidR="000D06E3" w:rsidRPr="004676F5" w:rsidRDefault="000D06E3" w:rsidP="000D06E3">
      <w:pPr>
        <w:jc w:val="both"/>
        <w:rPr>
          <w:lang w:val="de-DE"/>
        </w:rPr>
      </w:pPr>
    </w:p>
    <w:p w14:paraId="6447BBC6" w14:textId="1AC38255" w:rsidR="000D06E3" w:rsidRPr="004676F5" w:rsidRDefault="000D06E3" w:rsidP="000D06E3">
      <w:pPr>
        <w:jc w:val="both"/>
        <w:rPr>
          <w:lang w:val="de-DE"/>
        </w:rPr>
      </w:pPr>
      <w:r w:rsidRPr="004676F5">
        <w:rPr>
          <w:lang w:val="de-DE"/>
        </w:rPr>
        <w:tab/>
        <w:t>Die in Absatz 1 erwähnten erforderlichen Maßnahmen können unter anderem darin bestehen, die Identität des Beschwerdeführers in der Agrar</w:t>
      </w:r>
      <w:r w:rsidR="005B7A5C" w:rsidRPr="004676F5">
        <w:rPr>
          <w:lang w:val="de-DE"/>
        </w:rPr>
        <w:t>- </w:t>
      </w:r>
      <w:r w:rsidRPr="004676F5">
        <w:rPr>
          <w:lang w:val="de-DE"/>
        </w:rPr>
        <w:t>und Lebensmittelversorgungskette oder andere Informationen, deren Offenlegung seinen Interessen schaden würde, aus der Abschrift des Protokolls zu entfernen, das dem Zuwiderhandelnden gemäß Artikel XV.2 § 2 ausgehändigt wird.]</w:t>
      </w:r>
    </w:p>
    <w:p w14:paraId="0C293F71" w14:textId="77777777" w:rsidR="000D06E3" w:rsidRPr="004676F5" w:rsidRDefault="000D06E3" w:rsidP="000D06E3">
      <w:pPr>
        <w:jc w:val="both"/>
        <w:rPr>
          <w:lang w:val="de-DE"/>
        </w:rPr>
      </w:pPr>
    </w:p>
    <w:p w14:paraId="2D447EC8" w14:textId="2FDE4017" w:rsidR="000D06E3" w:rsidRPr="004676F5" w:rsidRDefault="000D06E3" w:rsidP="000D06E3">
      <w:pPr>
        <w:jc w:val="both"/>
        <w:rPr>
          <w:i/>
          <w:iCs/>
          <w:lang w:val="de-DE"/>
        </w:rPr>
      </w:pPr>
      <w:r w:rsidRPr="004676F5">
        <w:rPr>
          <w:i/>
          <w:iCs/>
          <w:lang w:val="de-DE"/>
        </w:rPr>
        <w:t>[Art. XV.16/3 eingefügt durch Art. 10</w:t>
      </w:r>
      <w:r w:rsidRPr="004676F5">
        <w:rPr>
          <w:bCs/>
          <w:i/>
          <w:iCs/>
          <w:lang w:val="de-DE"/>
        </w:rPr>
        <w:t xml:space="preserve"> des G. vom 28. November 2021 (II) (B.S. vom 15. Dezember 2021)]</w:t>
      </w:r>
    </w:p>
    <w:p w14:paraId="5D156F5C" w14:textId="77777777" w:rsidR="000D06E3" w:rsidRPr="004676F5" w:rsidRDefault="000D06E3" w:rsidP="000D06E3">
      <w:pPr>
        <w:jc w:val="both"/>
        <w:rPr>
          <w:lang w:val="de-DE"/>
        </w:rPr>
      </w:pPr>
    </w:p>
    <w:p w14:paraId="2EFB7944" w14:textId="77777777" w:rsidR="000D06E3" w:rsidRPr="004676F5" w:rsidRDefault="000D06E3" w:rsidP="000D06E3">
      <w:pPr>
        <w:jc w:val="both"/>
        <w:rPr>
          <w:lang w:val="de-DE"/>
        </w:rPr>
      </w:pPr>
    </w:p>
    <w:p w14:paraId="62ED5103" w14:textId="77261AA5" w:rsidR="000D06E3" w:rsidRPr="004676F5" w:rsidRDefault="000D06E3" w:rsidP="000D06E3">
      <w:pPr>
        <w:jc w:val="both"/>
        <w:rPr>
          <w:lang w:val="de-DE"/>
        </w:rPr>
      </w:pPr>
      <w:r w:rsidRPr="004676F5">
        <w:rPr>
          <w:lang w:val="de-DE"/>
        </w:rPr>
        <w:tab/>
        <w:t>[</w:t>
      </w:r>
      <w:r w:rsidRPr="004676F5">
        <w:rPr>
          <w:b/>
          <w:bCs/>
          <w:lang w:val="de-DE"/>
        </w:rPr>
        <w:t>Art. XV.16/4</w:t>
      </w:r>
      <w:r w:rsidRPr="004676F5">
        <w:rPr>
          <w:lang w:val="de-DE"/>
        </w:rPr>
        <w:t> </w:t>
      </w:r>
      <w:r w:rsidR="005B7A5C" w:rsidRPr="004676F5">
        <w:rPr>
          <w:lang w:val="de-DE"/>
        </w:rPr>
        <w:t>- </w:t>
      </w:r>
      <w:r w:rsidRPr="004676F5">
        <w:rPr>
          <w:lang w:val="de-DE"/>
        </w:rPr>
        <w:t>Wenn ein Verstoß gegen die in Artikel XV.83 Nr. 15/1 erwähnten Bestimmungen festgestellt wird, erteilen die in Artikel XV.2 erwähnten Bediensteten dem Käufer von Agrar</w:t>
      </w:r>
      <w:r w:rsidR="005B7A5C" w:rsidRPr="004676F5">
        <w:rPr>
          <w:lang w:val="de-DE"/>
        </w:rPr>
        <w:t>- </w:t>
      </w:r>
      <w:r w:rsidRPr="004676F5">
        <w:rPr>
          <w:lang w:val="de-DE"/>
        </w:rPr>
        <w:t xml:space="preserve">und Lebensmittelerzeugnissen gemäß dem in Artikel XV.31 erwähnten Verfahren </w:t>
      </w:r>
      <w:r w:rsidR="005B7A5C" w:rsidRPr="004676F5">
        <w:rPr>
          <w:lang w:val="de-DE"/>
        </w:rPr>
        <w:t>- </w:t>
      </w:r>
      <w:r w:rsidRPr="004676F5">
        <w:rPr>
          <w:lang w:val="de-DE"/>
        </w:rPr>
        <w:t>ohne die in Artikel XV.31 § 1 Absatz 4 Nr. 3 und 4 erwähnten Angaben </w:t>
      </w:r>
      <w:r w:rsidR="005B7A5C" w:rsidRPr="004676F5">
        <w:rPr>
          <w:lang w:val="de-DE"/>
        </w:rPr>
        <w:t>- </w:t>
      </w:r>
      <w:r w:rsidRPr="004676F5">
        <w:rPr>
          <w:lang w:val="de-DE"/>
        </w:rPr>
        <w:t>eine Verwarnung, in der er aufgefordert wird, die Handlung einzustellen.</w:t>
      </w:r>
    </w:p>
    <w:p w14:paraId="4549D3A1" w14:textId="77777777" w:rsidR="000D06E3" w:rsidRPr="004676F5" w:rsidRDefault="000D06E3" w:rsidP="000D06E3">
      <w:pPr>
        <w:jc w:val="both"/>
        <w:rPr>
          <w:lang w:val="de-DE"/>
        </w:rPr>
      </w:pPr>
    </w:p>
    <w:p w14:paraId="3C48A4C6" w14:textId="77777777" w:rsidR="000D06E3" w:rsidRPr="004676F5" w:rsidRDefault="000D06E3" w:rsidP="000D06E3">
      <w:pPr>
        <w:jc w:val="both"/>
        <w:rPr>
          <w:lang w:val="de-DE"/>
        </w:rPr>
      </w:pPr>
      <w:r w:rsidRPr="004676F5">
        <w:rPr>
          <w:lang w:val="de-DE"/>
        </w:rPr>
        <w:tab/>
        <w:t>In Abweichung von Artikel XV.31 § 2 können die in Artikel XV.2 erwähnten Bediensteten ein Protokoll erstellen, das Gegenstand des Verfahrens und der Verfolgung gemäß Artikel XV.60/1 § 1 sein kann.</w:t>
      </w:r>
    </w:p>
    <w:p w14:paraId="49E61F3D" w14:textId="77777777" w:rsidR="000D06E3" w:rsidRPr="004676F5" w:rsidRDefault="000D06E3" w:rsidP="000D06E3">
      <w:pPr>
        <w:jc w:val="both"/>
        <w:rPr>
          <w:lang w:val="de-DE"/>
        </w:rPr>
      </w:pPr>
    </w:p>
    <w:p w14:paraId="1C4942CD" w14:textId="22A53A0A" w:rsidR="000D06E3" w:rsidRPr="004676F5" w:rsidRDefault="000D06E3" w:rsidP="000D06E3">
      <w:pPr>
        <w:jc w:val="both"/>
        <w:rPr>
          <w:lang w:val="de-DE"/>
        </w:rPr>
      </w:pPr>
      <w:r w:rsidRPr="004676F5">
        <w:rPr>
          <w:lang w:val="de-DE"/>
        </w:rPr>
        <w:tab/>
        <w:t>Die in Artikel XV.2 erwähnten Bediensteten können davon absehen, dem Zuwiderhandelnden eine Verwarnung zu erteilen, wenn die Gefahr besteht, dass die Identität eines Beschwerdeführers in der Agrar</w:t>
      </w:r>
      <w:r w:rsidR="005B7A5C" w:rsidRPr="004676F5">
        <w:rPr>
          <w:lang w:val="de-DE"/>
        </w:rPr>
        <w:t>- </w:t>
      </w:r>
      <w:r w:rsidRPr="004676F5">
        <w:rPr>
          <w:lang w:val="de-DE"/>
        </w:rPr>
        <w:t>und Lebensmittelversorgungskette preisgegeben wird oder Informationen offengelegt werden, die nach Ansicht des Beschwerdeführers seinen Interessen schaden würden, und sofern der Beschwerdeführer die Informationen angegeben hat, für die er eine vertrauliche Behandlung beantragt.</w:t>
      </w:r>
    </w:p>
    <w:p w14:paraId="41946B91" w14:textId="77777777" w:rsidR="000D06E3" w:rsidRPr="004676F5" w:rsidRDefault="000D06E3" w:rsidP="000D06E3">
      <w:pPr>
        <w:jc w:val="both"/>
        <w:rPr>
          <w:lang w:val="de-DE"/>
        </w:rPr>
      </w:pPr>
    </w:p>
    <w:p w14:paraId="75EF833F" w14:textId="02F5D6B7" w:rsidR="000D06E3" w:rsidRPr="004676F5" w:rsidRDefault="000D06E3" w:rsidP="000D06E3">
      <w:pPr>
        <w:jc w:val="both"/>
        <w:rPr>
          <w:lang w:val="de-DE"/>
        </w:rPr>
      </w:pPr>
      <w:r w:rsidRPr="004676F5">
        <w:rPr>
          <w:lang w:val="de-DE"/>
        </w:rPr>
        <w:lastRenderedPageBreak/>
        <w:tab/>
        <w:t>Die in Artikel XV.2 erwähnten Bediensteten können die in Absatz 1 erwähnte Verwarnung veröffentlichen, selbst wenn der Käufer von Agrar</w:t>
      </w:r>
      <w:r w:rsidR="005B7A5C" w:rsidRPr="004676F5">
        <w:rPr>
          <w:lang w:val="de-DE"/>
        </w:rPr>
        <w:t>- </w:t>
      </w:r>
      <w:r w:rsidRPr="004676F5">
        <w:rPr>
          <w:lang w:val="de-DE"/>
        </w:rPr>
        <w:t>und Lebensmittelerzeugnissen ihr nicht Folge leistet.]</w:t>
      </w:r>
    </w:p>
    <w:p w14:paraId="1202B60D" w14:textId="77777777" w:rsidR="000D06E3" w:rsidRPr="004676F5" w:rsidRDefault="000D06E3" w:rsidP="000D06E3">
      <w:pPr>
        <w:jc w:val="both"/>
        <w:rPr>
          <w:lang w:val="de-DE"/>
        </w:rPr>
      </w:pPr>
    </w:p>
    <w:p w14:paraId="62C7F205" w14:textId="7C9F70E0" w:rsidR="000D06E3" w:rsidRPr="004676F5" w:rsidRDefault="000D06E3" w:rsidP="000D06E3">
      <w:pPr>
        <w:jc w:val="both"/>
        <w:rPr>
          <w:i/>
          <w:iCs/>
          <w:lang w:val="de-DE"/>
        </w:rPr>
      </w:pPr>
      <w:r w:rsidRPr="004676F5">
        <w:rPr>
          <w:i/>
          <w:iCs/>
          <w:lang w:val="de-DE"/>
        </w:rPr>
        <w:t>[Art. XV.16/4 eingefügt durch Art. 11</w:t>
      </w:r>
      <w:r w:rsidRPr="004676F5">
        <w:rPr>
          <w:bCs/>
          <w:i/>
          <w:iCs/>
          <w:lang w:val="de-DE"/>
        </w:rPr>
        <w:t xml:space="preserve"> des G. vom 28. November 2021 (II) (B.S. vom 15. Dezember 2021)]</w:t>
      </w:r>
    </w:p>
    <w:p w14:paraId="0919BAC2" w14:textId="77777777" w:rsidR="000D06E3" w:rsidRPr="004676F5" w:rsidRDefault="000D06E3" w:rsidP="000D06E3">
      <w:pPr>
        <w:jc w:val="both"/>
        <w:rPr>
          <w:lang w:val="de-DE"/>
        </w:rPr>
      </w:pPr>
    </w:p>
    <w:p w14:paraId="7FEEE510" w14:textId="77777777" w:rsidR="000D06E3" w:rsidRPr="004676F5" w:rsidRDefault="000D06E3" w:rsidP="000D06E3">
      <w:pPr>
        <w:rPr>
          <w:lang w:val="de-DE"/>
        </w:rPr>
      </w:pPr>
    </w:p>
    <w:p w14:paraId="364E1EC2" w14:textId="5BD9DD6C" w:rsidR="000D06E3" w:rsidRPr="004676F5" w:rsidRDefault="000D06E3" w:rsidP="000D06E3">
      <w:pPr>
        <w:jc w:val="both"/>
        <w:rPr>
          <w:lang w:val="de-DE"/>
        </w:rPr>
      </w:pPr>
      <w:r w:rsidRPr="004676F5">
        <w:rPr>
          <w:lang w:val="de-DE"/>
        </w:rPr>
        <w:tab/>
        <w:t>[</w:t>
      </w:r>
      <w:r w:rsidRPr="004676F5">
        <w:rPr>
          <w:b/>
          <w:bCs/>
          <w:lang w:val="de-DE"/>
        </w:rPr>
        <w:t>Art. XV.16/5</w:t>
      </w:r>
      <w:r w:rsidRPr="004676F5">
        <w:rPr>
          <w:lang w:val="de-DE"/>
        </w:rPr>
        <w:t> </w:t>
      </w:r>
      <w:r w:rsidR="005B7A5C" w:rsidRPr="004676F5">
        <w:rPr>
          <w:lang w:val="de-DE"/>
        </w:rPr>
        <w:t>- </w:t>
      </w:r>
      <w:r w:rsidRPr="004676F5">
        <w:rPr>
          <w:lang w:val="de-DE"/>
        </w:rPr>
        <w:t>Die in Artikel XV.2 erwähnten Bediensteten arbeiten mit den benannten Durchsetzungsbehörden der anderen Mitgliedstaaten zusammen, die in Artikel 4 Absatz 1 der Richtlinie (EU) 2019/633 des Europäischen Parlaments und des Rates vom 17. April 2019 über unlautere Handelspraktiken in den Geschäftsbeziehungen zwischen Unternehmen in der Agrar</w:t>
      </w:r>
      <w:r w:rsidR="005B7A5C" w:rsidRPr="004676F5">
        <w:rPr>
          <w:lang w:val="de-DE"/>
        </w:rPr>
        <w:t>- </w:t>
      </w:r>
      <w:r w:rsidRPr="004676F5">
        <w:rPr>
          <w:lang w:val="de-DE"/>
        </w:rPr>
        <w:t>und Lebensmittelversorgungskette erwähnt sind, um einander bei Untersuchungen mit grenzüberschreitender Dimension Amtshilfe zu leisten.]</w:t>
      </w:r>
    </w:p>
    <w:p w14:paraId="0C520FD4" w14:textId="77777777" w:rsidR="000D06E3" w:rsidRPr="004676F5" w:rsidRDefault="000D06E3" w:rsidP="000D06E3">
      <w:pPr>
        <w:jc w:val="both"/>
        <w:rPr>
          <w:lang w:val="de-DE"/>
        </w:rPr>
      </w:pPr>
    </w:p>
    <w:p w14:paraId="5824C261" w14:textId="6E2C070F" w:rsidR="000D06E3" w:rsidRPr="004676F5" w:rsidRDefault="000D06E3" w:rsidP="000D06E3">
      <w:pPr>
        <w:jc w:val="both"/>
        <w:rPr>
          <w:i/>
          <w:iCs/>
          <w:lang w:val="de-DE"/>
        </w:rPr>
      </w:pPr>
      <w:r w:rsidRPr="004676F5">
        <w:rPr>
          <w:i/>
          <w:iCs/>
          <w:lang w:val="de-DE"/>
        </w:rPr>
        <w:t>[Art. XV.16/5 eingefügt durch Art. 12</w:t>
      </w:r>
      <w:r w:rsidRPr="004676F5">
        <w:rPr>
          <w:bCs/>
          <w:i/>
          <w:iCs/>
          <w:lang w:val="de-DE"/>
        </w:rPr>
        <w:t xml:space="preserve"> des G. vom 28. November 2021 (II) (B.S. vom 15. Dezember 2021)]</w:t>
      </w:r>
    </w:p>
    <w:p w14:paraId="05B7DC89" w14:textId="77777777" w:rsidR="000D06E3" w:rsidRPr="004676F5" w:rsidRDefault="000D06E3" w:rsidP="000D06E3">
      <w:pPr>
        <w:jc w:val="both"/>
        <w:rPr>
          <w:lang w:val="de-DE"/>
        </w:rPr>
      </w:pPr>
    </w:p>
    <w:p w14:paraId="0DB71EA9" w14:textId="42F58A27" w:rsidR="00A56747" w:rsidRPr="004676F5" w:rsidRDefault="00A56747">
      <w:pPr>
        <w:rPr>
          <w:lang w:val="de-DE"/>
        </w:rPr>
      </w:pPr>
    </w:p>
    <w:p w14:paraId="5D6620CF" w14:textId="20820E0A" w:rsidR="00E95FDC" w:rsidRPr="004676F5" w:rsidRDefault="00E95FDC" w:rsidP="00E95FDC">
      <w:pPr>
        <w:jc w:val="center"/>
        <w:rPr>
          <w:lang w:val="de-DE"/>
        </w:rPr>
      </w:pPr>
      <w:r w:rsidRPr="004676F5">
        <w:rPr>
          <w:lang w:val="de-DE"/>
        </w:rPr>
        <w:t>[</w:t>
      </w:r>
      <w:r w:rsidRPr="004676F5">
        <w:rPr>
          <w:i/>
          <w:lang w:val="de-DE"/>
        </w:rPr>
        <w:t>Abschnitt 2 </w:t>
      </w:r>
      <w:r w:rsidR="005B7A5C" w:rsidRPr="004676F5">
        <w:rPr>
          <w:lang w:val="de-DE"/>
        </w:rPr>
        <w:t>- </w:t>
      </w:r>
      <w:r w:rsidRPr="004676F5">
        <w:rPr>
          <w:lang w:val="de-DE"/>
        </w:rPr>
        <w:t>Sonderbefugnisse in Bezug auf Ermittlung und Feststellung von Verstößen gegen Buch VII</w:t>
      </w:r>
    </w:p>
    <w:p w14:paraId="32058303" w14:textId="77777777" w:rsidR="00E95FDC" w:rsidRPr="004676F5" w:rsidRDefault="00E95FDC" w:rsidP="00E95FDC">
      <w:pPr>
        <w:ind w:firstLine="708"/>
        <w:jc w:val="both"/>
        <w:rPr>
          <w:lang w:val="de-DE"/>
        </w:rPr>
      </w:pPr>
    </w:p>
    <w:p w14:paraId="187FCD74" w14:textId="45F64596" w:rsidR="00E95FDC" w:rsidRPr="004676F5" w:rsidRDefault="00E95FDC" w:rsidP="00E95FDC">
      <w:pPr>
        <w:jc w:val="both"/>
        <w:rPr>
          <w:i/>
          <w:lang w:val="de-DE"/>
        </w:rPr>
      </w:pPr>
      <w:r w:rsidRPr="004676F5">
        <w:rPr>
          <w:i/>
          <w:lang w:val="de-DE"/>
        </w:rPr>
        <w:t xml:space="preserve">[Abschnitt 2 mit den Artikeln XV.17 bis XV.18/3 eingefügt durch </w:t>
      </w:r>
      <w:r w:rsidR="00BE0A56" w:rsidRPr="004676F5">
        <w:rPr>
          <w:i/>
          <w:lang w:val="de-DE"/>
        </w:rPr>
        <w:t>Art. </w:t>
      </w:r>
      <w:r w:rsidRPr="004676F5">
        <w:rPr>
          <w:i/>
          <w:lang w:val="de-DE"/>
        </w:rPr>
        <w:t>4 des G. vom 19. April 2014</w:t>
      </w:r>
      <w:r w:rsidR="004808C3" w:rsidRPr="004676F5">
        <w:rPr>
          <w:i/>
          <w:lang w:val="de-DE"/>
        </w:rPr>
        <w:t> (I)</w:t>
      </w:r>
      <w:r w:rsidRPr="004676F5">
        <w:rPr>
          <w:i/>
          <w:lang w:val="de-DE"/>
        </w:rPr>
        <w:t xml:space="preserve"> (B.S. vom 28. Mai 2014)]</w:t>
      </w:r>
    </w:p>
    <w:p w14:paraId="79F999ED" w14:textId="77777777" w:rsidR="00E95FDC" w:rsidRPr="004676F5" w:rsidRDefault="00E95FDC" w:rsidP="00E95FDC">
      <w:pPr>
        <w:jc w:val="both"/>
        <w:rPr>
          <w:i/>
          <w:lang w:val="de-DE"/>
        </w:rPr>
      </w:pPr>
    </w:p>
    <w:p w14:paraId="7793218A" w14:textId="77777777" w:rsidR="00E95FDC" w:rsidRPr="004676F5" w:rsidRDefault="00E95FDC" w:rsidP="00E95FDC">
      <w:pPr>
        <w:jc w:val="both"/>
        <w:rPr>
          <w:i/>
          <w:lang w:val="de-DE"/>
        </w:rPr>
      </w:pPr>
    </w:p>
    <w:p w14:paraId="627AA27E" w14:textId="071C0A66" w:rsidR="00E95FDC" w:rsidRPr="004676F5" w:rsidRDefault="00E95FDC" w:rsidP="00E95FDC">
      <w:pPr>
        <w:jc w:val="center"/>
        <w:rPr>
          <w:lang w:val="de-DE"/>
        </w:rPr>
      </w:pPr>
      <w:r w:rsidRPr="004676F5">
        <w:rPr>
          <w:lang w:val="de-DE"/>
        </w:rPr>
        <w:t>Unterabschnitt 1 </w:t>
      </w:r>
      <w:r w:rsidR="005B7A5C" w:rsidRPr="004676F5">
        <w:rPr>
          <w:lang w:val="de-DE"/>
        </w:rPr>
        <w:t>- </w:t>
      </w:r>
      <w:r w:rsidRPr="004676F5">
        <w:rPr>
          <w:lang w:val="de-DE"/>
        </w:rPr>
        <w:t>Allgemeine Bestimmungen</w:t>
      </w:r>
    </w:p>
    <w:p w14:paraId="15B8A341" w14:textId="77777777" w:rsidR="00E95FDC" w:rsidRPr="004676F5" w:rsidRDefault="00E95FDC" w:rsidP="00E95FDC">
      <w:pPr>
        <w:ind w:firstLine="708"/>
        <w:jc w:val="both"/>
        <w:rPr>
          <w:lang w:val="de-DE"/>
        </w:rPr>
      </w:pPr>
    </w:p>
    <w:p w14:paraId="675BA22B" w14:textId="77777777" w:rsidR="00E95FDC" w:rsidRPr="004676F5" w:rsidRDefault="00E95FDC" w:rsidP="00E95FDC">
      <w:pPr>
        <w:ind w:firstLine="708"/>
        <w:jc w:val="both"/>
        <w:rPr>
          <w:lang w:val="de-DE"/>
        </w:rPr>
      </w:pPr>
    </w:p>
    <w:p w14:paraId="4169363F" w14:textId="695A110C" w:rsidR="00E95FDC" w:rsidRPr="004676F5" w:rsidRDefault="00BE0A56" w:rsidP="00E95FDC">
      <w:pPr>
        <w:tabs>
          <w:tab w:val="left" w:pos="6521"/>
        </w:tabs>
        <w:ind w:firstLine="708"/>
        <w:jc w:val="both"/>
        <w:rPr>
          <w:lang w:val="de-DE"/>
        </w:rPr>
      </w:pPr>
      <w:r w:rsidRPr="004676F5">
        <w:rPr>
          <w:b/>
          <w:lang w:val="de-DE"/>
        </w:rPr>
        <w:t>Art. </w:t>
      </w:r>
      <w:r w:rsidR="00E95FDC" w:rsidRPr="004676F5">
        <w:rPr>
          <w:b/>
          <w:lang w:val="de-DE"/>
        </w:rPr>
        <w:t>XV.17</w:t>
      </w:r>
      <w:r w:rsidR="00E95FDC" w:rsidRPr="004676F5">
        <w:rPr>
          <w:lang w:val="de-DE"/>
        </w:rPr>
        <w:t> </w:t>
      </w:r>
      <w:r w:rsidR="005B7A5C" w:rsidRPr="004676F5">
        <w:rPr>
          <w:lang w:val="de-DE"/>
        </w:rPr>
        <w:t>- </w:t>
      </w:r>
      <w:r w:rsidR="00E95FDC" w:rsidRPr="004676F5">
        <w:rPr>
          <w:lang w:val="de-DE"/>
        </w:rPr>
        <w:t>§ 1 </w:t>
      </w:r>
      <w:r w:rsidR="005B7A5C" w:rsidRPr="004676F5">
        <w:rPr>
          <w:lang w:val="de-DE"/>
        </w:rPr>
        <w:t>- </w:t>
      </w:r>
      <w:r w:rsidR="00E95FDC" w:rsidRPr="004676F5">
        <w:rPr>
          <w:lang w:val="de-DE"/>
        </w:rPr>
        <w:t xml:space="preserve">Im Hinblick auf Ermittlung und Feststellung von Verstößen gegen die Bestimmungen von Buch VII </w:t>
      </w:r>
      <w:r w:rsidR="00685151" w:rsidRPr="004676F5">
        <w:rPr>
          <w:lang w:val="de-DE"/>
        </w:rPr>
        <w:t xml:space="preserve">[Titel 1 bis 6] </w:t>
      </w:r>
      <w:r w:rsidR="00E95FDC" w:rsidRPr="004676F5">
        <w:rPr>
          <w:lang w:val="de-DE"/>
        </w:rPr>
        <w:t>und seiner Ausführungserlasse sind in Artikel XV.2 erwähnte Bedienstete befugt, an ein Unternehmen als Kunden oder potentielle Kunden heranzutreten, ohne ihre Eigenschaft und die Tatsache, dass bei dieser Gelegenheit gemachte Feststellungen für die Ausübung der Aufsicht verwendet werden können, mitteilen zu müssen. Straffrei bleiben in Artikel XV.2 erwähnte Bedienstete, die in diesem Rahmen absolut erforderliche Straftaten begehen.</w:t>
      </w:r>
    </w:p>
    <w:p w14:paraId="7C52D491" w14:textId="77777777" w:rsidR="00E95FDC" w:rsidRPr="004676F5" w:rsidRDefault="00E95FDC" w:rsidP="00E95FDC">
      <w:pPr>
        <w:ind w:firstLine="708"/>
        <w:jc w:val="both"/>
        <w:rPr>
          <w:lang w:val="de-DE"/>
        </w:rPr>
      </w:pPr>
    </w:p>
    <w:p w14:paraId="10B1BC09" w14:textId="77777777" w:rsidR="00E95FDC" w:rsidRPr="004676F5" w:rsidRDefault="00E95FDC" w:rsidP="00E95FDC">
      <w:pPr>
        <w:ind w:firstLine="708"/>
        <w:jc w:val="both"/>
        <w:rPr>
          <w:lang w:val="de-DE"/>
        </w:rPr>
      </w:pPr>
      <w:r w:rsidRPr="004676F5">
        <w:rPr>
          <w:lang w:val="de-DE"/>
        </w:rPr>
        <w:t>Sie können dabei die in den Artikeln XV.3 Nr. 2 und XV.4 erwähnten Befugnisse ausüben.</w:t>
      </w:r>
    </w:p>
    <w:p w14:paraId="0D875467" w14:textId="07A5E85E" w:rsidR="00DE0C53" w:rsidRPr="004676F5" w:rsidRDefault="00DE0C53" w:rsidP="00E95FDC">
      <w:pPr>
        <w:ind w:firstLine="708"/>
        <w:jc w:val="both"/>
        <w:rPr>
          <w:lang w:val="de-DE"/>
        </w:rPr>
      </w:pPr>
    </w:p>
    <w:p w14:paraId="1BBDB090" w14:textId="50A02CCD" w:rsidR="00DE0C53" w:rsidRPr="004676F5" w:rsidRDefault="00DE0C53" w:rsidP="00E95FDC">
      <w:pPr>
        <w:ind w:firstLine="708"/>
        <w:jc w:val="both"/>
        <w:rPr>
          <w:lang w:val="de-DE"/>
        </w:rPr>
      </w:pPr>
      <w:r w:rsidRPr="004676F5">
        <w:rPr>
          <w:lang w:val="de-DE"/>
        </w:rPr>
        <w:t xml:space="preserve">[Insbesondere im Hinblick auf die Ermittlung und Feststellung von Verstößen gegen die Bestimmungen der Verordnung (EU) Nr. 2015/751, </w:t>
      </w:r>
      <w:r w:rsidR="0000450F" w:rsidRPr="004676F5">
        <w:rPr>
          <w:lang w:val="de-DE"/>
        </w:rPr>
        <w:t xml:space="preserve">[mit Ausnahme ihres Artikels 7, gegen die Artikel VII.34 bis VII.37, VII.64 und VII.65 und] </w:t>
      </w:r>
      <w:r w:rsidRPr="004676F5">
        <w:rPr>
          <w:lang w:val="de-DE"/>
        </w:rPr>
        <w:t>Verstößen gegen den Königlichen Erlass zur Ausführung von Artikel VII.63/1 und Artikel VII.63/2 des Wirtschaftsgesetzbuches können sie die Bank zu Rate ziehen, die ihnen gegebenenfalls Beistand leistet und ihnen gemäß Artikel 36/14 Nr. 17 des Gesetzes vom 22. Februar 1998 zur Festlegung des Grundlagenstatuts der Belgischen Nationalbank vertrau</w:t>
      </w:r>
      <w:r w:rsidRPr="004676F5">
        <w:rPr>
          <w:lang w:val="de-DE"/>
        </w:rPr>
        <w:softHyphen/>
        <w:t>liche Informationen mitteilt.]</w:t>
      </w:r>
    </w:p>
    <w:p w14:paraId="572B402E" w14:textId="77777777" w:rsidR="00E95FDC" w:rsidRPr="004676F5" w:rsidRDefault="00E95FDC" w:rsidP="00E95FDC">
      <w:pPr>
        <w:ind w:firstLine="708"/>
        <w:jc w:val="both"/>
        <w:rPr>
          <w:lang w:val="de-DE"/>
        </w:rPr>
      </w:pPr>
    </w:p>
    <w:p w14:paraId="314A0392" w14:textId="77777777" w:rsidR="00E95FDC" w:rsidRPr="004676F5" w:rsidRDefault="00E95FDC" w:rsidP="00E95FDC">
      <w:pPr>
        <w:ind w:firstLine="708"/>
        <w:jc w:val="both"/>
        <w:rPr>
          <w:lang w:val="de-DE"/>
        </w:rPr>
      </w:pPr>
      <w:r w:rsidRPr="004676F5">
        <w:rPr>
          <w:lang w:val="de-DE"/>
        </w:rPr>
        <w:lastRenderedPageBreak/>
        <w:t>Betreffende Person/Personen, denen gegenüber Feststellungen gemacht werden, dürfen nicht zu Straftaten angestiftet werden im Sinne des Artikels 30 des einleitenden Titels des Strafprozessgesetzbuches.</w:t>
      </w:r>
    </w:p>
    <w:p w14:paraId="7F77D03A" w14:textId="77777777" w:rsidR="00E95FDC" w:rsidRPr="004676F5" w:rsidRDefault="00E95FDC" w:rsidP="00E95FDC">
      <w:pPr>
        <w:ind w:firstLine="708"/>
        <w:jc w:val="both"/>
        <w:rPr>
          <w:lang w:val="de-DE"/>
        </w:rPr>
      </w:pPr>
    </w:p>
    <w:p w14:paraId="327C3942" w14:textId="77777777" w:rsidR="00E95FDC" w:rsidRPr="004676F5" w:rsidRDefault="00E95FDC" w:rsidP="00E95FDC">
      <w:pPr>
        <w:ind w:firstLine="708"/>
        <w:jc w:val="both"/>
        <w:rPr>
          <w:lang w:val="de-DE"/>
        </w:rPr>
      </w:pPr>
      <w:r w:rsidRPr="004676F5">
        <w:rPr>
          <w:lang w:val="de-DE"/>
        </w:rPr>
        <w:t>Diese Befugnis darf nur ausgeübt werden, wenn sie für die Ausübung der Aufsicht erforderlich ist, um die tatsächlichen Begebenheiten feststellen zu können, die für gewöhnliche oder potentielle Kunden gelten.</w:t>
      </w:r>
    </w:p>
    <w:p w14:paraId="62AD59F0" w14:textId="77777777" w:rsidR="00E95FDC" w:rsidRPr="004676F5" w:rsidRDefault="00E95FDC" w:rsidP="00E95FDC">
      <w:pPr>
        <w:ind w:firstLine="708"/>
        <w:jc w:val="both"/>
        <w:rPr>
          <w:lang w:val="de-DE"/>
        </w:rPr>
      </w:pPr>
    </w:p>
    <w:p w14:paraId="2F603889" w14:textId="01D60A4E" w:rsidR="00E95FDC" w:rsidRPr="004676F5" w:rsidRDefault="00E95FDC" w:rsidP="00E95FDC">
      <w:pPr>
        <w:ind w:firstLine="708"/>
        <w:jc w:val="both"/>
        <w:rPr>
          <w:lang w:val="de-DE"/>
        </w:rPr>
      </w:pPr>
      <w:r w:rsidRPr="004676F5">
        <w:rPr>
          <w:lang w:val="de-DE"/>
        </w:rPr>
        <w:t xml:space="preserve">Außer wenn die Feststellungen sich auf die Einhaltung von einer oder mehreren Bestimmungen </w:t>
      </w:r>
      <w:r w:rsidR="00D57AA5" w:rsidRPr="004676F5">
        <w:rPr>
          <w:lang w:val="de-DE"/>
        </w:rPr>
        <w:t xml:space="preserve">[von Buch VII Titel 4 Kapitel 4, Artikel VII.183 § 5 Nr. 4 ausgenommen,] </w:t>
      </w:r>
      <w:r w:rsidRPr="004676F5">
        <w:rPr>
          <w:lang w:val="de-DE"/>
        </w:rPr>
        <w:t>beziehen, dürfen in Artikel XV.2 erwähnte Bedienstete ein Verwarnungsprotokoll oder ein Protokoll ausstellen oder eine Verwaltungssanktion vorschlagen, die unter anderem auf die gemäß Absatz 1 gemachten Feststellungen gestützt sind.</w:t>
      </w:r>
    </w:p>
    <w:p w14:paraId="1965AC46" w14:textId="77777777" w:rsidR="00E95FDC" w:rsidRPr="004676F5" w:rsidRDefault="00E95FDC" w:rsidP="00E95FDC">
      <w:pPr>
        <w:ind w:firstLine="708"/>
        <w:jc w:val="both"/>
        <w:rPr>
          <w:lang w:val="de-DE"/>
        </w:rPr>
      </w:pPr>
    </w:p>
    <w:p w14:paraId="6C8EBE5C" w14:textId="77777777" w:rsidR="00E95FDC" w:rsidRPr="004676F5" w:rsidRDefault="00E95FDC" w:rsidP="00E95FDC">
      <w:pPr>
        <w:ind w:firstLine="708"/>
        <w:jc w:val="both"/>
        <w:rPr>
          <w:lang w:val="de-DE"/>
        </w:rPr>
      </w:pPr>
      <w:r w:rsidRPr="004676F5">
        <w:rPr>
          <w:lang w:val="de-DE"/>
        </w:rPr>
        <w:t>Wird sich in einem Verwarnungsprotokoll oder in einem Protokoll oder für eine Verwaltungssanktion unter anderem auf die gemäß Absatz 1 gemachten Feststellungen gestützt, wird das Unternehmen vorher durch Mitteilung einer Kopie des Verwarnungs</w:t>
      </w:r>
      <w:r w:rsidRPr="004676F5">
        <w:rPr>
          <w:lang w:val="de-DE"/>
        </w:rPr>
        <w:softHyphen/>
        <w:t>protokolls oder Protokolls oder spätestens einen Monat vor Beginn des Verfahrens zur Verhängung einer Verwaltungsstrafe davon in Kenntnis gesetzt.</w:t>
      </w:r>
    </w:p>
    <w:p w14:paraId="3B29D3D2" w14:textId="77777777" w:rsidR="00E95FDC" w:rsidRPr="004676F5" w:rsidRDefault="00E95FDC" w:rsidP="00E95FDC">
      <w:pPr>
        <w:ind w:firstLine="708"/>
        <w:jc w:val="both"/>
        <w:rPr>
          <w:lang w:val="de-DE"/>
        </w:rPr>
      </w:pPr>
    </w:p>
    <w:p w14:paraId="4EAFF7A1" w14:textId="04BEB5A1" w:rsidR="00E95FDC" w:rsidRPr="004676F5" w:rsidRDefault="00E95FDC" w:rsidP="00E95FDC">
      <w:pPr>
        <w:ind w:firstLine="708"/>
        <w:jc w:val="both"/>
        <w:rPr>
          <w:lang w:val="de-DE"/>
        </w:rPr>
      </w:pPr>
      <w:r w:rsidRPr="004676F5">
        <w:rPr>
          <w:lang w:val="de-DE"/>
        </w:rPr>
        <w:t>§ 2 </w:t>
      </w:r>
      <w:r w:rsidR="005B7A5C" w:rsidRPr="004676F5">
        <w:rPr>
          <w:lang w:val="de-DE"/>
        </w:rPr>
        <w:t>- </w:t>
      </w:r>
      <w:r w:rsidRPr="004676F5">
        <w:rPr>
          <w:lang w:val="de-DE"/>
        </w:rPr>
        <w:t>In Artikel XV.2 erwähnte Bedienstete sind ebenfalls befugt, Sachverhalte zu ermitteln und festzustellen, die zwar nicht strafbar sind, gegen die aber auf Betreiben des Ministers eine Unterlassungsklage eingeleitet werden kann. Diesbezüglich aufgenommene Protokolle haben Beweiskraft bis zum Beweis des Gegenteils.</w:t>
      </w:r>
    </w:p>
    <w:p w14:paraId="4FBBBB3F" w14:textId="77777777" w:rsidR="00E95FDC" w:rsidRPr="004676F5" w:rsidRDefault="00E95FDC" w:rsidP="00E95FDC">
      <w:pPr>
        <w:ind w:firstLine="708"/>
        <w:jc w:val="both"/>
        <w:rPr>
          <w:lang w:val="de-DE"/>
        </w:rPr>
      </w:pPr>
    </w:p>
    <w:p w14:paraId="700B3EF8" w14:textId="77777777" w:rsidR="00E95FDC" w:rsidRPr="004676F5" w:rsidRDefault="00E95FDC" w:rsidP="00E95FDC">
      <w:pPr>
        <w:ind w:firstLine="708"/>
        <w:jc w:val="both"/>
        <w:rPr>
          <w:lang w:val="de-DE"/>
        </w:rPr>
      </w:pPr>
      <w:r w:rsidRPr="004676F5">
        <w:rPr>
          <w:lang w:val="de-DE"/>
        </w:rPr>
        <w:t>In der Ausübung ihres Amtes verfügen in Absatz 1 erwähnte Bedienstete über die in Artikel XV.3 Nr. 1 bis 3 und 5 erwähnten Befugnisse.</w:t>
      </w:r>
    </w:p>
    <w:p w14:paraId="7A7B9D30" w14:textId="77777777" w:rsidR="00DE0C53" w:rsidRPr="004676F5" w:rsidRDefault="00DE0C53" w:rsidP="00E95FDC">
      <w:pPr>
        <w:ind w:firstLine="708"/>
        <w:jc w:val="both"/>
        <w:rPr>
          <w:lang w:val="de-DE"/>
        </w:rPr>
      </w:pPr>
    </w:p>
    <w:p w14:paraId="734A2642" w14:textId="447CF707" w:rsidR="00DE0C53" w:rsidRPr="004676F5" w:rsidRDefault="00DE0C53" w:rsidP="00DE0C53">
      <w:pPr>
        <w:jc w:val="both"/>
        <w:rPr>
          <w:lang w:val="de-DE"/>
        </w:rPr>
      </w:pPr>
      <w:r w:rsidRPr="004676F5">
        <w:rPr>
          <w:i/>
          <w:lang w:val="de-DE"/>
        </w:rPr>
        <w:t>[</w:t>
      </w:r>
      <w:r w:rsidR="00BE0A56" w:rsidRPr="004676F5">
        <w:rPr>
          <w:i/>
          <w:lang w:val="de-DE"/>
        </w:rPr>
        <w:t>Art. </w:t>
      </w:r>
      <w:r w:rsidRPr="004676F5">
        <w:rPr>
          <w:i/>
          <w:lang w:val="de-DE"/>
        </w:rPr>
        <w:t xml:space="preserve">XV.17 </w:t>
      </w:r>
      <w:r w:rsidR="00685151" w:rsidRPr="004676F5">
        <w:rPr>
          <w:i/>
          <w:lang w:val="de-DE"/>
        </w:rPr>
        <w:t xml:space="preserve">§ 1 Abs. 1 abgeändert durch Art. 199 des G. vom 15. April 2018 (B.S. vom 27. April 2018); § 1 </w:t>
      </w:r>
      <w:r w:rsidRPr="004676F5">
        <w:rPr>
          <w:i/>
          <w:lang w:val="de-DE"/>
        </w:rPr>
        <w:t xml:space="preserve">neuer Absatz 3 eingefügt durch </w:t>
      </w:r>
      <w:r w:rsidR="00BE0A56" w:rsidRPr="004676F5">
        <w:rPr>
          <w:i/>
          <w:lang w:val="de-DE"/>
        </w:rPr>
        <w:t>Art. </w:t>
      </w:r>
      <w:r w:rsidRPr="004676F5">
        <w:rPr>
          <w:i/>
          <w:lang w:val="de-DE"/>
        </w:rPr>
        <w:t>4 des G. vom 1. Dezember 2016 (B.S. vom 15. Dezember 2016)</w:t>
      </w:r>
      <w:r w:rsidR="00CD36FE" w:rsidRPr="004676F5">
        <w:rPr>
          <w:i/>
          <w:lang w:val="de-DE"/>
        </w:rPr>
        <w:t xml:space="preserve"> und abgeändert durch Art. 12 des G. vom 19. Juli 2018 (B.S. vom 30. Juli 2018)</w:t>
      </w:r>
      <w:r w:rsidR="00D57AA5" w:rsidRPr="004676F5">
        <w:rPr>
          <w:i/>
          <w:lang w:val="de-DE"/>
        </w:rPr>
        <w:t>; § 1 Abs. 6 abgeändert durch Art. 32 des G. vom 30. Juli 2018 (II) (B.S. vom 5. September 2018)</w:t>
      </w:r>
      <w:r w:rsidRPr="004676F5">
        <w:rPr>
          <w:i/>
          <w:lang w:val="de-DE"/>
        </w:rPr>
        <w:t>]</w:t>
      </w:r>
    </w:p>
    <w:p w14:paraId="7EAA9A7F" w14:textId="77777777" w:rsidR="00E95FDC" w:rsidRPr="004676F5" w:rsidRDefault="00E95FDC" w:rsidP="00E95FDC">
      <w:pPr>
        <w:ind w:firstLine="708"/>
        <w:jc w:val="both"/>
        <w:rPr>
          <w:lang w:val="de-DE"/>
        </w:rPr>
      </w:pPr>
    </w:p>
    <w:p w14:paraId="3796121B" w14:textId="77777777" w:rsidR="00F0360C" w:rsidRPr="004676F5" w:rsidRDefault="00F0360C" w:rsidP="00E95FDC">
      <w:pPr>
        <w:ind w:firstLine="708"/>
        <w:jc w:val="both"/>
        <w:rPr>
          <w:lang w:val="de-DE"/>
        </w:rPr>
      </w:pPr>
    </w:p>
    <w:p w14:paraId="260B329C" w14:textId="6C7AE8AA" w:rsidR="00F0360C" w:rsidRPr="004676F5" w:rsidRDefault="00F0360C" w:rsidP="00F0360C">
      <w:pPr>
        <w:ind w:firstLine="720"/>
        <w:jc w:val="both"/>
        <w:rPr>
          <w:lang w:val="de-DE"/>
        </w:rPr>
      </w:pPr>
      <w:r w:rsidRPr="004676F5">
        <w:rPr>
          <w:lang w:val="de-DE"/>
        </w:rPr>
        <w:t>[</w:t>
      </w:r>
      <w:r w:rsidRPr="004676F5">
        <w:rPr>
          <w:b/>
          <w:bCs/>
          <w:lang w:val="de-DE"/>
        </w:rPr>
        <w:t>Art. XV.17/1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Artikel XV.2 erwähnte Bedienstete des FÖD Wirtschaft arbeiten mit den Behörden der anderen Mitgliedstaaten zusammen, um die Aufgaben zu erfüllen, die in der Richtlinie 2014/17/EU des Europäischen Parlaments und des Rates vom 4. Februar 2014 über Wohnimmobilienkreditverträge für Verbraucher und zur Änderung der Richtlinien 2008/48/EG und 2013/36/EU und der Verordnung (EU) Nr. 1093/2010 und in der Richtlinie 2014/92/EU des Europäischen Parlaments und des Rates vom 23. Juli 2014 über die Vergleichbarkeit von Zahlungskontoentgelten, den Wechsel von Zahlungskonten und den Zugang zu Zahlungskonten mit grundlegenden Funktionen erwähnt sind.</w:t>
      </w:r>
    </w:p>
    <w:p w14:paraId="16A15C6C" w14:textId="77777777" w:rsidR="00F0360C" w:rsidRPr="004676F5" w:rsidRDefault="00F0360C" w:rsidP="00F0360C">
      <w:pPr>
        <w:ind w:firstLine="720"/>
        <w:jc w:val="both"/>
        <w:rPr>
          <w:lang w:val="de-DE"/>
        </w:rPr>
      </w:pPr>
    </w:p>
    <w:p w14:paraId="4763553B" w14:textId="77777777" w:rsidR="00F0360C" w:rsidRPr="004676F5" w:rsidRDefault="00F0360C" w:rsidP="00F0360C">
      <w:pPr>
        <w:ind w:firstLine="720"/>
        <w:jc w:val="both"/>
        <w:rPr>
          <w:lang w:val="de-DE"/>
        </w:rPr>
      </w:pPr>
      <w:r w:rsidRPr="004676F5">
        <w:rPr>
          <w:lang w:val="de-DE"/>
        </w:rPr>
        <w:t>Sie leisten den zuständigen Behörden der anderen Mitgliedstaaten ebenfalls Unterstützung.</w:t>
      </w:r>
    </w:p>
    <w:p w14:paraId="48C9828A" w14:textId="77777777" w:rsidR="00F0360C" w:rsidRPr="004676F5" w:rsidRDefault="00F0360C" w:rsidP="00F0360C">
      <w:pPr>
        <w:jc w:val="both"/>
        <w:rPr>
          <w:lang w:val="de-DE"/>
        </w:rPr>
      </w:pPr>
    </w:p>
    <w:p w14:paraId="75A1B442" w14:textId="2BF039E6" w:rsidR="00F0360C" w:rsidRPr="004676F5" w:rsidRDefault="00F0360C" w:rsidP="00F0360C">
      <w:pPr>
        <w:ind w:firstLine="720"/>
        <w:jc w:val="both"/>
        <w:rPr>
          <w:lang w:val="de-DE"/>
        </w:rPr>
      </w:pPr>
      <w:r w:rsidRPr="004676F5">
        <w:rPr>
          <w:lang w:val="de-DE"/>
        </w:rPr>
        <w:t>§ 2 </w:t>
      </w:r>
      <w:r w:rsidR="005B7A5C" w:rsidRPr="004676F5">
        <w:rPr>
          <w:lang w:val="de-DE"/>
        </w:rPr>
        <w:t>- </w:t>
      </w:r>
      <w:r w:rsidRPr="004676F5">
        <w:rPr>
          <w:lang w:val="de-DE"/>
        </w:rPr>
        <w:t xml:space="preserve">Der FÖD Wirtschaft übermittelt den zuständigen Behörden der anderen Mitgliedstaaten, die gemäß Artikel 36 Absatz 1 der in § 1 erwähnten Richtlinie 2014/17/EU und gemäß Artikel 22 Absatz 1 der in § 1 erwähnten Richtlinie 2014/92/EU benannt wurden, </w:t>
      </w:r>
      <w:r w:rsidRPr="004676F5">
        <w:rPr>
          <w:lang w:val="de-DE"/>
        </w:rPr>
        <w:lastRenderedPageBreak/>
        <w:t>unverzüglich alle Informationen, die für die Wahrnehmung der in diesen Richtlinien vorgesehenen Aufgaben dieser Behörden erforderlich sind.</w:t>
      </w:r>
    </w:p>
    <w:p w14:paraId="578D36CB" w14:textId="77777777" w:rsidR="00F0360C" w:rsidRPr="004676F5" w:rsidRDefault="00F0360C" w:rsidP="00F0360C">
      <w:pPr>
        <w:ind w:firstLine="720"/>
        <w:jc w:val="both"/>
        <w:rPr>
          <w:lang w:val="de-DE"/>
        </w:rPr>
      </w:pPr>
    </w:p>
    <w:p w14:paraId="5F7BFC76" w14:textId="77777777" w:rsidR="00F0360C" w:rsidRPr="004676F5" w:rsidRDefault="00F0360C" w:rsidP="00F0360C">
      <w:pPr>
        <w:ind w:firstLine="720"/>
        <w:jc w:val="both"/>
        <w:rPr>
          <w:lang w:val="de-DE"/>
        </w:rPr>
      </w:pPr>
      <w:r w:rsidRPr="004676F5">
        <w:rPr>
          <w:lang w:val="de-DE"/>
        </w:rPr>
        <w:t>Zum Zeitpunkt des Informationsaustauschs kann der FÖD Wirtschaft darauf hinweisen, dass die betreffenden Informationen nur mit seiner ausdrücklichen Zustimmung veröffentlicht werden dürfen. In diesem Fall dürfen diese Informationen nur für die Zwecke, für die der FÖD Wirtschaft seine Zustimmung erteilt hat, ausgetauscht werden.</w:t>
      </w:r>
    </w:p>
    <w:p w14:paraId="3291183B" w14:textId="77777777" w:rsidR="00F0360C" w:rsidRPr="004676F5" w:rsidRDefault="00F0360C" w:rsidP="00F0360C">
      <w:pPr>
        <w:ind w:firstLine="720"/>
        <w:jc w:val="both"/>
        <w:rPr>
          <w:lang w:val="de-DE"/>
        </w:rPr>
      </w:pPr>
    </w:p>
    <w:p w14:paraId="035B4F5A" w14:textId="77777777" w:rsidR="00F0360C" w:rsidRPr="004676F5" w:rsidRDefault="00F0360C" w:rsidP="00F0360C">
      <w:pPr>
        <w:ind w:firstLine="720"/>
        <w:jc w:val="both"/>
        <w:rPr>
          <w:lang w:val="de-DE"/>
        </w:rPr>
      </w:pPr>
      <w:r w:rsidRPr="004676F5">
        <w:rPr>
          <w:lang w:val="de-DE"/>
        </w:rPr>
        <w:t>Der FÖD Wirtschaft kann erhaltene Informationen an die FSMA oder die Bank weiterleiten. Außer in gebührend begründeten Fällen, in denen der FÖD Wirtschaft unverzüglich die Kontaktstelle, die die Informationen übermittelt hatte, unterrichtet, dürfen die Informationen nur mit ausdrücklicher Zustimmung der zuständigen Behörden, die sie übermittelt haben, und nur für die Zwecke, für die diese Behörden ihre Zustimmung gegeben haben, an andere Stellen oder natürliche oder juristische Personen weitergegeben werden.</w:t>
      </w:r>
    </w:p>
    <w:p w14:paraId="7430DFCB" w14:textId="60C1E431" w:rsidR="00A56747" w:rsidRPr="004676F5" w:rsidRDefault="00A56747">
      <w:pPr>
        <w:rPr>
          <w:lang w:val="de-DE"/>
        </w:rPr>
      </w:pPr>
    </w:p>
    <w:p w14:paraId="5361C4AA" w14:textId="451FE8C0" w:rsidR="00F0360C" w:rsidRPr="004676F5" w:rsidRDefault="00F0360C" w:rsidP="00F0360C">
      <w:pPr>
        <w:ind w:firstLine="720"/>
        <w:jc w:val="both"/>
        <w:rPr>
          <w:lang w:val="de-DE"/>
        </w:rPr>
      </w:pPr>
      <w:r w:rsidRPr="004676F5">
        <w:rPr>
          <w:lang w:val="de-DE"/>
        </w:rPr>
        <w:t>§ 3 ­ In Artikel XV.2 erwähnte Bedienstete des FÖD Wirtschaft können ein Ersuchen auf Zusammenarbeit bei der Durchführung einer Ermittlung oder einer Überwachung oder auf Austausch von Informationen gemäß § 2 nur ablehnen, wenn:</w:t>
      </w:r>
    </w:p>
    <w:p w14:paraId="68C293CF" w14:textId="77777777" w:rsidR="00F0360C" w:rsidRPr="004676F5" w:rsidRDefault="00F0360C" w:rsidP="00F0360C">
      <w:pPr>
        <w:ind w:firstLine="720"/>
        <w:jc w:val="both"/>
        <w:rPr>
          <w:lang w:val="de-DE"/>
        </w:rPr>
      </w:pPr>
    </w:p>
    <w:p w14:paraId="0BAD552D" w14:textId="77777777" w:rsidR="00F0360C" w:rsidRPr="004676F5" w:rsidRDefault="00F0360C" w:rsidP="00F0360C">
      <w:pPr>
        <w:ind w:firstLine="720"/>
        <w:jc w:val="both"/>
        <w:rPr>
          <w:lang w:val="de-DE"/>
        </w:rPr>
      </w:pPr>
      <w:r w:rsidRPr="004676F5">
        <w:rPr>
          <w:lang w:val="de-DE"/>
        </w:rPr>
        <w:t>1. die Ermittlung, Überprüfung vor Ort, Überwachung oder der Austausch der Informationen die Souveränität, die Sicherheit oder die öffentliche Ordnung des Belgischen Staates beeinträchtigen könnte,</w:t>
      </w:r>
    </w:p>
    <w:p w14:paraId="13A9652F" w14:textId="77777777" w:rsidR="00F0360C" w:rsidRPr="004676F5" w:rsidRDefault="00F0360C" w:rsidP="00F0360C">
      <w:pPr>
        <w:ind w:firstLine="720"/>
        <w:jc w:val="both"/>
        <w:rPr>
          <w:lang w:val="de-DE"/>
        </w:rPr>
      </w:pPr>
    </w:p>
    <w:p w14:paraId="649B7AA3" w14:textId="77777777" w:rsidR="00F0360C" w:rsidRPr="004676F5" w:rsidRDefault="00F0360C" w:rsidP="00F0360C">
      <w:pPr>
        <w:ind w:firstLine="720"/>
        <w:jc w:val="both"/>
        <w:rPr>
          <w:lang w:val="de-DE"/>
        </w:rPr>
      </w:pPr>
      <w:r w:rsidRPr="004676F5">
        <w:rPr>
          <w:lang w:val="de-DE"/>
        </w:rPr>
        <w:t>2. aufgrund derselben Handlungen und gegen dieselben Personen bereits ein Verfahren vor einem Gericht anhängig ist,</w:t>
      </w:r>
    </w:p>
    <w:p w14:paraId="3BBCB2C1" w14:textId="77777777" w:rsidR="00F0360C" w:rsidRPr="004676F5" w:rsidRDefault="00F0360C" w:rsidP="00F0360C">
      <w:pPr>
        <w:ind w:firstLine="720"/>
        <w:jc w:val="both"/>
        <w:rPr>
          <w:lang w:val="de-DE"/>
        </w:rPr>
      </w:pPr>
    </w:p>
    <w:p w14:paraId="51227366" w14:textId="77777777" w:rsidR="00F0360C" w:rsidRPr="004676F5" w:rsidRDefault="00F0360C" w:rsidP="00F0360C">
      <w:pPr>
        <w:ind w:firstLine="720"/>
        <w:jc w:val="both"/>
        <w:rPr>
          <w:lang w:val="de-DE"/>
        </w:rPr>
      </w:pPr>
      <w:r w:rsidRPr="004676F5">
        <w:rPr>
          <w:lang w:val="de-DE"/>
        </w:rPr>
        <w:t>3. in Belgien gegen die betreffenden Personen aufgrund derselben Handlungen bereits ein Endurteil ergangen ist.</w:t>
      </w:r>
    </w:p>
    <w:p w14:paraId="31B1EF5D" w14:textId="77777777" w:rsidR="00F0360C" w:rsidRPr="004676F5" w:rsidRDefault="00F0360C" w:rsidP="00F0360C">
      <w:pPr>
        <w:ind w:firstLine="720"/>
        <w:jc w:val="both"/>
        <w:rPr>
          <w:lang w:val="de-DE"/>
        </w:rPr>
      </w:pPr>
    </w:p>
    <w:p w14:paraId="4FAA2D62" w14:textId="12389E6D" w:rsidR="00F0360C" w:rsidRPr="004676F5" w:rsidRDefault="00F0360C" w:rsidP="00F0360C">
      <w:pPr>
        <w:ind w:firstLine="708"/>
        <w:jc w:val="both"/>
        <w:rPr>
          <w:lang w:val="de-DE"/>
        </w:rPr>
      </w:pPr>
      <w:r w:rsidRPr="004676F5">
        <w:rPr>
          <w:lang w:val="de-DE"/>
        </w:rPr>
        <w:t>Im Falle einer solchen Ablehnung teilt der FÖD Wirtschaft dies der ersuchenden zuständigen Behörde mit und übermittelt ihr möglichst genaue Informationen.]</w:t>
      </w:r>
    </w:p>
    <w:p w14:paraId="4B203766" w14:textId="77777777" w:rsidR="00F0360C" w:rsidRPr="004676F5" w:rsidRDefault="00F0360C" w:rsidP="00F0360C">
      <w:pPr>
        <w:ind w:firstLine="708"/>
        <w:jc w:val="both"/>
        <w:rPr>
          <w:lang w:val="de-DE"/>
        </w:rPr>
      </w:pPr>
    </w:p>
    <w:p w14:paraId="70342208" w14:textId="4DDD3998" w:rsidR="00F0360C" w:rsidRPr="004676F5" w:rsidRDefault="00F0360C" w:rsidP="00F0360C">
      <w:pPr>
        <w:jc w:val="both"/>
        <w:rPr>
          <w:i/>
          <w:lang w:val="de-DE"/>
        </w:rPr>
      </w:pPr>
      <w:r w:rsidRPr="004676F5">
        <w:rPr>
          <w:i/>
          <w:iCs/>
          <w:lang w:val="de-DE"/>
        </w:rPr>
        <w:t>[Art. XV.17/1 eingefügt durch Art. 29</w:t>
      </w:r>
      <w:r w:rsidRPr="004676F5">
        <w:rPr>
          <w:i/>
          <w:lang w:val="de-DE"/>
        </w:rPr>
        <w:t xml:space="preserve"> des G. vom 2. Mai 2019 (IV) (B.S. vom 22. Mai 2019)]</w:t>
      </w:r>
    </w:p>
    <w:p w14:paraId="3DC16E37" w14:textId="77777777" w:rsidR="00F0360C" w:rsidRPr="004676F5" w:rsidRDefault="00F0360C" w:rsidP="00F0360C">
      <w:pPr>
        <w:jc w:val="both"/>
        <w:rPr>
          <w:i/>
          <w:iCs/>
          <w:lang w:val="de-DE"/>
        </w:rPr>
      </w:pPr>
    </w:p>
    <w:p w14:paraId="71F60952" w14:textId="77777777" w:rsidR="00E95FDC" w:rsidRPr="004676F5" w:rsidRDefault="00E95FDC" w:rsidP="00E95FDC">
      <w:pPr>
        <w:ind w:firstLine="708"/>
        <w:jc w:val="both"/>
        <w:rPr>
          <w:lang w:val="de-DE"/>
        </w:rPr>
      </w:pPr>
    </w:p>
    <w:p w14:paraId="06D0937E" w14:textId="33DED044" w:rsidR="00E95FDC" w:rsidRPr="004676F5" w:rsidRDefault="00BE0A56" w:rsidP="00E95FDC">
      <w:pPr>
        <w:ind w:firstLine="708"/>
        <w:jc w:val="both"/>
        <w:rPr>
          <w:lang w:val="de-DE"/>
        </w:rPr>
      </w:pPr>
      <w:r w:rsidRPr="004676F5">
        <w:rPr>
          <w:b/>
          <w:lang w:val="de-DE"/>
        </w:rPr>
        <w:t>Art. </w:t>
      </w:r>
      <w:r w:rsidR="00E95FDC" w:rsidRPr="004676F5">
        <w:rPr>
          <w:b/>
          <w:lang w:val="de-DE"/>
        </w:rPr>
        <w:t>XV.18</w:t>
      </w:r>
      <w:r w:rsidR="00E95FDC" w:rsidRPr="004676F5">
        <w:rPr>
          <w:lang w:val="de-DE"/>
        </w:rPr>
        <w:t> </w:t>
      </w:r>
      <w:r w:rsidR="005B7A5C" w:rsidRPr="004676F5">
        <w:rPr>
          <w:lang w:val="de-DE"/>
        </w:rPr>
        <w:t>- </w:t>
      </w:r>
      <w:r w:rsidR="00E95FDC" w:rsidRPr="004676F5">
        <w:rPr>
          <w:lang w:val="de-DE"/>
        </w:rPr>
        <w:t>§ 1 </w:t>
      </w:r>
      <w:r w:rsidR="005B7A5C" w:rsidRPr="004676F5">
        <w:rPr>
          <w:lang w:val="de-DE"/>
        </w:rPr>
        <w:t>- </w:t>
      </w:r>
      <w:r w:rsidR="00E95FDC" w:rsidRPr="004676F5">
        <w:rPr>
          <w:lang w:val="de-DE"/>
        </w:rPr>
        <w:t xml:space="preserve">Stellen in Artikel XV.2 erwähnte befugte Bedienstete fest, dass ein Zahlungsdienstleister oder ein E-Geld-Emittent eine oder mehrere Bestimmungen </w:t>
      </w:r>
      <w:r w:rsidR="00280329" w:rsidRPr="004676F5">
        <w:rPr>
          <w:lang w:val="de-DE"/>
        </w:rPr>
        <w:t>[</w:t>
      </w:r>
      <w:r w:rsidR="00E95FDC" w:rsidRPr="004676F5">
        <w:rPr>
          <w:lang w:val="de-DE"/>
        </w:rPr>
        <w:t>von Buch VII</w:t>
      </w:r>
      <w:r w:rsidR="00280329" w:rsidRPr="004676F5">
        <w:rPr>
          <w:lang w:val="de-DE"/>
        </w:rPr>
        <w:t xml:space="preserve"> Titel 3]</w:t>
      </w:r>
      <w:r w:rsidR="00E95FDC" w:rsidRPr="004676F5">
        <w:rPr>
          <w:lang w:val="de-DE"/>
        </w:rPr>
        <w:t xml:space="preserve">, der </w:t>
      </w:r>
      <w:r w:rsidR="0098050D" w:rsidRPr="004676F5">
        <w:rPr>
          <w:lang w:val="de-DE"/>
        </w:rPr>
        <w:t>[Verordnung (EU) 2021/1230]</w:t>
      </w:r>
      <w:r w:rsidR="00E95FDC" w:rsidRPr="004676F5">
        <w:rPr>
          <w:lang w:val="de-DE"/>
        </w:rPr>
        <w:t xml:space="preserve"> oder der Artikel 3 und 5 bis 9 der Verordnung (EU) Nr. 260/212 nicht einhält, übermitteln sie diese Feststellungen der Bank. Die Bank untersucht, ob und in welchem Maße verwaltungsrechtliche Sanktionen oder andere besondere Maßnahmen gegen den betreffenden Dienstleister beziehungsweise Emittenten gemäß dessen eigenem Statut getroffen werden müssen.</w:t>
      </w:r>
    </w:p>
    <w:p w14:paraId="0AB6F044" w14:textId="77777777" w:rsidR="00E85D64" w:rsidRPr="004676F5" w:rsidRDefault="00E85D64">
      <w:pPr>
        <w:rPr>
          <w:lang w:val="de-DE"/>
        </w:rPr>
      </w:pPr>
    </w:p>
    <w:p w14:paraId="272C099E" w14:textId="192EA1F7" w:rsidR="00E95FDC" w:rsidRPr="004676F5" w:rsidRDefault="00E95FDC" w:rsidP="00E95FDC">
      <w:pPr>
        <w:ind w:firstLine="708"/>
        <w:jc w:val="both"/>
        <w:rPr>
          <w:lang w:val="de-DE"/>
        </w:rPr>
      </w:pPr>
      <w:r w:rsidRPr="004676F5">
        <w:rPr>
          <w:lang w:val="de-DE"/>
        </w:rPr>
        <w:t xml:space="preserve">§ 2 </w:t>
      </w:r>
      <w:r w:rsidR="005B7A5C" w:rsidRPr="004676F5">
        <w:rPr>
          <w:lang w:val="de-DE"/>
        </w:rPr>
        <w:t>- </w:t>
      </w:r>
      <w:r w:rsidRPr="004676F5">
        <w:rPr>
          <w:lang w:val="de-DE"/>
        </w:rPr>
        <w:t xml:space="preserve">Stellen in Artikel XV.2 erwähnte befugte Bedienstete fest, dass ein Kreditgeber oder ein Kreditvermittler eine oder mehrere Bestimmungen </w:t>
      </w:r>
      <w:r w:rsidR="00D57AA5" w:rsidRPr="004676F5">
        <w:rPr>
          <w:lang w:val="de-DE"/>
        </w:rPr>
        <w:t xml:space="preserve">[von Buch VII Titel 4 Kapitel 4, Artikel VII.183 § 5 Nr. 4 ausgenommen,] </w:t>
      </w:r>
      <w:r w:rsidRPr="004676F5">
        <w:rPr>
          <w:lang w:val="de-DE"/>
        </w:rPr>
        <w:t>nicht einhält, übermitteln sie diese Information der FSMA, damit diese gegebenenfalls Maßnahmen trifft beziehungsweise verwaltungsrechtliche Sanktionen verhängt, die in vorliegendem Buch vorgesehen sind.</w:t>
      </w:r>
    </w:p>
    <w:p w14:paraId="5F79AC9E" w14:textId="77777777" w:rsidR="003140C8" w:rsidRPr="004676F5" w:rsidRDefault="003140C8" w:rsidP="003140C8">
      <w:pPr>
        <w:jc w:val="both"/>
        <w:rPr>
          <w:lang w:val="de-DE"/>
        </w:rPr>
      </w:pPr>
    </w:p>
    <w:p w14:paraId="59E00868" w14:textId="32E3B798" w:rsidR="003140C8" w:rsidRPr="004676F5" w:rsidRDefault="003140C8" w:rsidP="003140C8">
      <w:pPr>
        <w:jc w:val="both"/>
        <w:rPr>
          <w:lang w:val="de-DE"/>
        </w:rPr>
      </w:pPr>
      <w:r w:rsidRPr="004676F5">
        <w:rPr>
          <w:lang w:val="de-DE"/>
        </w:rPr>
        <w:lastRenderedPageBreak/>
        <w:tab/>
        <w:t>[§ 3 </w:t>
      </w:r>
      <w:r w:rsidR="005B7A5C" w:rsidRPr="004676F5">
        <w:rPr>
          <w:lang w:val="de-DE"/>
        </w:rPr>
        <w:t>- </w:t>
      </w:r>
      <w:r w:rsidRPr="004676F5">
        <w:rPr>
          <w:lang w:val="de-DE"/>
        </w:rPr>
        <w:t>Stellen in Artikel XV.2 erwähnte befugte Bedienstete fest, dass ein Zahlungsempfänger, ein Zahlungsdienstleister, ein Acquirer, ein Emittent, ein Kartenzahl</w:t>
      </w:r>
      <w:r w:rsidRPr="004676F5">
        <w:rPr>
          <w:lang w:val="de-DE"/>
        </w:rPr>
        <w:softHyphen/>
        <w:t>verfahren oder eine abwickelnde Stelle einen Verstoß begeht, der aufgrund von Artikel XV.89 Nr. 22 oder Artikel XV.89 Nr. 23 bestraft wird, übermitteln sie diese Feststellung der Bank zur Information.</w:t>
      </w:r>
    </w:p>
    <w:p w14:paraId="02AF63EA" w14:textId="77777777" w:rsidR="003140C8" w:rsidRPr="004676F5" w:rsidRDefault="003140C8" w:rsidP="003140C8">
      <w:pPr>
        <w:jc w:val="both"/>
        <w:rPr>
          <w:lang w:val="de-DE"/>
        </w:rPr>
      </w:pPr>
    </w:p>
    <w:p w14:paraId="1D98AB3A" w14:textId="29C8AD99" w:rsidR="003140C8" w:rsidRPr="004676F5" w:rsidRDefault="003140C8" w:rsidP="003140C8">
      <w:pPr>
        <w:jc w:val="both"/>
        <w:rPr>
          <w:lang w:val="de-DE"/>
        </w:rPr>
      </w:pPr>
      <w:r w:rsidRPr="004676F5">
        <w:rPr>
          <w:lang w:val="de-DE"/>
        </w:rPr>
        <w:tab/>
        <w:t>Zahlungsempfänger, Zahlungsdienstleister, Acquirer, Emittenten, Kartenzahlverfahren und abwickelnde Stellen sind im Sinne von Artikel 2 Nr. 13, Artikel 2 Nr. 24, Artikel 2 Nr. 1, Artikel 2 Nr. 2, Artikel 2 Nr. 16 beziehungsweise Artikel 2 Nr. 28 der Verordnung (EU) Nr. 2015/751 zu verstehen</w:t>
      </w:r>
      <w:r w:rsidR="0056169A" w:rsidRPr="004676F5">
        <w:rPr>
          <w:lang w:val="de-DE"/>
        </w:rPr>
        <w:t>.</w:t>
      </w:r>
      <w:r w:rsidRPr="004676F5">
        <w:rPr>
          <w:lang w:val="de-DE"/>
        </w:rPr>
        <w:t>]</w:t>
      </w:r>
    </w:p>
    <w:p w14:paraId="04ED91CA" w14:textId="77777777" w:rsidR="00E95FDC" w:rsidRPr="004676F5" w:rsidRDefault="00E95FDC" w:rsidP="003140C8">
      <w:pPr>
        <w:jc w:val="both"/>
        <w:rPr>
          <w:lang w:val="de-DE"/>
        </w:rPr>
      </w:pPr>
    </w:p>
    <w:p w14:paraId="4B984151" w14:textId="4A2C9EC2" w:rsidR="00280329" w:rsidRPr="004676F5" w:rsidRDefault="00CC4800" w:rsidP="00280329">
      <w:pPr>
        <w:jc w:val="both"/>
        <w:rPr>
          <w:i/>
          <w:lang w:val="de-DE"/>
        </w:rPr>
      </w:pPr>
      <w:r w:rsidRPr="004676F5">
        <w:rPr>
          <w:i/>
          <w:lang w:val="de-DE"/>
        </w:rPr>
        <w:t>[</w:t>
      </w:r>
      <w:r w:rsidR="00BE0A56" w:rsidRPr="004676F5">
        <w:rPr>
          <w:i/>
          <w:lang w:val="de-DE"/>
        </w:rPr>
        <w:t>Art. </w:t>
      </w:r>
      <w:r w:rsidRPr="004676F5">
        <w:rPr>
          <w:i/>
          <w:lang w:val="de-DE"/>
        </w:rPr>
        <w:t>XV.</w:t>
      </w:r>
      <w:r w:rsidR="00280329" w:rsidRPr="004676F5">
        <w:rPr>
          <w:i/>
          <w:lang w:val="de-DE"/>
        </w:rPr>
        <w:t xml:space="preserve">18 § 1 abgeändert durch </w:t>
      </w:r>
      <w:r w:rsidR="00BE0A56" w:rsidRPr="004676F5">
        <w:rPr>
          <w:i/>
          <w:lang w:val="de-DE"/>
        </w:rPr>
        <w:t>Art. </w:t>
      </w:r>
      <w:r w:rsidR="00280329" w:rsidRPr="004676F5">
        <w:rPr>
          <w:i/>
          <w:lang w:val="de-DE"/>
        </w:rPr>
        <w:t>54</w:t>
      </w:r>
      <w:r w:rsidR="00280329" w:rsidRPr="004676F5">
        <w:rPr>
          <w:i/>
          <w:iCs/>
          <w:lang w:val="de-DE"/>
        </w:rPr>
        <w:t xml:space="preserve"> </w:t>
      </w:r>
      <w:r w:rsidR="00280329" w:rsidRPr="004676F5">
        <w:rPr>
          <w:i/>
          <w:lang w:val="de-DE"/>
        </w:rPr>
        <w:t>des G. vom 26. Oktober 2015 (B.S. vom 30. Oktober 2015)</w:t>
      </w:r>
      <w:r w:rsidR="0098050D" w:rsidRPr="004676F5">
        <w:rPr>
          <w:i/>
          <w:lang w:val="de-DE"/>
        </w:rPr>
        <w:t xml:space="preserve"> und Art. 45 des G. vom 5. November 2023</w:t>
      </w:r>
      <w:r w:rsidR="00857EC4" w:rsidRPr="004676F5">
        <w:rPr>
          <w:i/>
          <w:lang w:val="de-DE"/>
        </w:rPr>
        <w:t> (I)</w:t>
      </w:r>
      <w:r w:rsidR="0098050D" w:rsidRPr="004676F5">
        <w:rPr>
          <w:i/>
          <w:lang w:val="de-DE"/>
        </w:rPr>
        <w:t xml:space="preserve"> (B.S. vom 11. Dezember 2023)</w:t>
      </w:r>
      <w:r w:rsidR="003140C8" w:rsidRPr="004676F5">
        <w:rPr>
          <w:i/>
          <w:lang w:val="de-DE"/>
        </w:rPr>
        <w:t xml:space="preserve">; </w:t>
      </w:r>
      <w:r w:rsidR="00D57AA5" w:rsidRPr="004676F5">
        <w:rPr>
          <w:i/>
          <w:lang w:val="de-DE"/>
        </w:rPr>
        <w:t xml:space="preserve">§ 2 abgeändert durch Art. 32 des G. vom 30. Juli 2018 (II) (B.S. vom 5. September 2018); </w:t>
      </w:r>
      <w:r w:rsidR="003140C8" w:rsidRPr="004676F5">
        <w:rPr>
          <w:i/>
          <w:lang w:val="de-DE"/>
        </w:rPr>
        <w:t xml:space="preserve">§ 3 eingefügt durch </w:t>
      </w:r>
      <w:r w:rsidR="00BE0A56" w:rsidRPr="004676F5">
        <w:rPr>
          <w:i/>
          <w:lang w:val="de-DE"/>
        </w:rPr>
        <w:t>Art. </w:t>
      </w:r>
      <w:r w:rsidR="003140C8" w:rsidRPr="004676F5">
        <w:rPr>
          <w:i/>
          <w:lang w:val="de-DE"/>
        </w:rPr>
        <w:t>5 des G. vom 1. Dezember 2016 (B.S. vom 15. Dezember 2016)</w:t>
      </w:r>
      <w:r w:rsidR="00280329" w:rsidRPr="004676F5">
        <w:rPr>
          <w:i/>
          <w:lang w:val="de-DE"/>
        </w:rPr>
        <w:t>]</w:t>
      </w:r>
    </w:p>
    <w:p w14:paraId="1EE22CB3" w14:textId="65D98BCB" w:rsidR="00D57AA5" w:rsidRPr="004676F5" w:rsidRDefault="00D57AA5" w:rsidP="00280329">
      <w:pPr>
        <w:jc w:val="both"/>
        <w:rPr>
          <w:i/>
          <w:lang w:val="de-DE"/>
        </w:rPr>
      </w:pPr>
    </w:p>
    <w:p w14:paraId="65D4D07F" w14:textId="304F8B9A" w:rsidR="00D57AA5" w:rsidRPr="004676F5" w:rsidRDefault="00D57AA5" w:rsidP="00280329">
      <w:pPr>
        <w:jc w:val="both"/>
        <w:rPr>
          <w:i/>
          <w:lang w:val="de-DE"/>
        </w:rPr>
      </w:pPr>
    </w:p>
    <w:p w14:paraId="6D8E0E5A" w14:textId="5AE952D9" w:rsidR="00E95FDC" w:rsidRPr="004676F5" w:rsidRDefault="00E95FDC" w:rsidP="00E95FDC">
      <w:pPr>
        <w:jc w:val="center"/>
        <w:rPr>
          <w:lang w:val="de-DE"/>
        </w:rPr>
      </w:pPr>
      <w:r w:rsidRPr="004676F5">
        <w:rPr>
          <w:lang w:val="de-DE"/>
        </w:rPr>
        <w:t xml:space="preserve">Unterabschnitt 2 </w:t>
      </w:r>
      <w:r w:rsidR="005B7A5C" w:rsidRPr="004676F5">
        <w:rPr>
          <w:lang w:val="de-DE"/>
        </w:rPr>
        <w:t>- </w:t>
      </w:r>
      <w:r w:rsidRPr="004676F5">
        <w:rPr>
          <w:lang w:val="de-DE"/>
        </w:rPr>
        <w:t>Befugnisse der FSMA</w:t>
      </w:r>
    </w:p>
    <w:p w14:paraId="7DC97C1E" w14:textId="77777777" w:rsidR="00E95FDC" w:rsidRPr="004676F5" w:rsidRDefault="00E95FDC" w:rsidP="00E95FDC">
      <w:pPr>
        <w:ind w:firstLine="708"/>
        <w:jc w:val="both"/>
        <w:rPr>
          <w:lang w:val="de-DE"/>
        </w:rPr>
      </w:pPr>
    </w:p>
    <w:p w14:paraId="35AB7A9E" w14:textId="77777777" w:rsidR="00E95FDC" w:rsidRPr="004676F5" w:rsidRDefault="00E95FDC" w:rsidP="00E95FDC">
      <w:pPr>
        <w:ind w:firstLine="708"/>
        <w:jc w:val="both"/>
        <w:rPr>
          <w:lang w:val="de-DE"/>
        </w:rPr>
      </w:pPr>
    </w:p>
    <w:p w14:paraId="0E8BD2A6" w14:textId="0784DDD5" w:rsidR="00E95FDC" w:rsidRPr="004676F5" w:rsidRDefault="00BE0A56" w:rsidP="00E95FDC">
      <w:pPr>
        <w:ind w:firstLine="708"/>
        <w:jc w:val="both"/>
        <w:rPr>
          <w:lang w:val="de-DE"/>
        </w:rPr>
      </w:pPr>
      <w:r w:rsidRPr="004676F5">
        <w:rPr>
          <w:b/>
          <w:lang w:val="de-DE"/>
        </w:rPr>
        <w:t>Art. </w:t>
      </w:r>
      <w:r w:rsidR="00E95FDC" w:rsidRPr="004676F5">
        <w:rPr>
          <w:b/>
          <w:lang w:val="de-DE"/>
        </w:rPr>
        <w:t>XV.18/1</w:t>
      </w:r>
      <w:r w:rsidR="00E95FDC" w:rsidRPr="004676F5">
        <w:rPr>
          <w:lang w:val="de-DE"/>
        </w:rPr>
        <w:t> </w:t>
      </w:r>
      <w:r w:rsidR="005B7A5C" w:rsidRPr="004676F5">
        <w:rPr>
          <w:lang w:val="de-DE"/>
        </w:rPr>
        <w:t>- </w:t>
      </w:r>
      <w:r w:rsidR="00E95FDC" w:rsidRPr="004676F5">
        <w:rPr>
          <w:lang w:val="de-DE"/>
        </w:rPr>
        <w:t xml:space="preserve">Die FSMA stellt sicher, dass Kreditgeber und Kreditvermittler gemäß den Bestimmungen </w:t>
      </w:r>
      <w:r w:rsidR="00D57AA5" w:rsidRPr="004676F5">
        <w:rPr>
          <w:lang w:val="de-DE"/>
        </w:rPr>
        <w:t xml:space="preserve">[von Buch VII Titel 4 Kapitel 4, Artikel VII.183 § 5 Nr. 4 ausgenommen,] </w:t>
      </w:r>
      <w:r w:rsidR="00E95FDC" w:rsidRPr="004676F5">
        <w:rPr>
          <w:lang w:val="de-DE"/>
        </w:rPr>
        <w:t>und der Erlasse und Verordnungen zur Ausführung dieser Bestimmungen handeln.</w:t>
      </w:r>
    </w:p>
    <w:p w14:paraId="251CD637" w14:textId="77777777" w:rsidR="00E95FDC" w:rsidRPr="004676F5" w:rsidRDefault="00E95FDC" w:rsidP="00E95FDC">
      <w:pPr>
        <w:ind w:firstLine="708"/>
        <w:jc w:val="both"/>
        <w:rPr>
          <w:lang w:val="de-DE"/>
        </w:rPr>
      </w:pPr>
    </w:p>
    <w:p w14:paraId="5E52C063" w14:textId="629F754B" w:rsidR="00E95FDC" w:rsidRPr="004676F5" w:rsidRDefault="00BE3947" w:rsidP="00E95FDC">
      <w:pPr>
        <w:ind w:firstLine="708"/>
        <w:jc w:val="both"/>
        <w:rPr>
          <w:lang w:val="de-DE"/>
        </w:rPr>
      </w:pPr>
      <w:r w:rsidRPr="004676F5">
        <w:rPr>
          <w:lang w:val="de-DE"/>
        </w:rPr>
        <w:t>[Die FSMA bestimmt die Informationen und Unterlagen, die Kreditgeber oder Kreditvermittler erteilen müssen, damit überprüft werden kann, ob sie die auf sie anwendbaren Gesetzes- und Verordnungsbestimmungen kontinuierlich einhalten. Die FSMA bestimmt ebenfalls Häufigkeit und Modalitäten für die Übermittlung dieser Informationen und Unterlagen.]</w:t>
      </w:r>
    </w:p>
    <w:p w14:paraId="7A47103B" w14:textId="77777777" w:rsidR="00BE3947" w:rsidRPr="004676F5" w:rsidRDefault="00BE3947" w:rsidP="00E95FDC">
      <w:pPr>
        <w:ind w:firstLine="708"/>
        <w:jc w:val="both"/>
        <w:rPr>
          <w:lang w:val="de-DE"/>
        </w:rPr>
      </w:pPr>
    </w:p>
    <w:p w14:paraId="15978CA0" w14:textId="23474E4C" w:rsidR="00BE3947" w:rsidRPr="004676F5" w:rsidRDefault="00BE3947" w:rsidP="00E95FDC">
      <w:pPr>
        <w:ind w:firstLine="708"/>
        <w:jc w:val="both"/>
        <w:rPr>
          <w:lang w:val="de-DE"/>
        </w:rPr>
      </w:pPr>
      <w:r w:rsidRPr="004676F5">
        <w:rPr>
          <w:lang w:val="de-DE"/>
        </w:rPr>
        <w:t>[Auf einfaches Ersuchen der FSMA müssen Kreditgeber und Kreditvermittler ihr in der von ihr festgelegten Frist alle Auskünfte erteilen und alle Unterlagen aushändigen über ihre Organisation, Arbeitsweise, finanzielle Lage und ihre Verrichtungen, wie auch andere Unterlagen und Auskünfte, die für die Erfüllung ihres Kontrollauftrags erforderlich sind.]</w:t>
      </w:r>
    </w:p>
    <w:p w14:paraId="27AB8FF3" w14:textId="77777777" w:rsidR="00E95FDC" w:rsidRPr="004676F5" w:rsidRDefault="00E95FDC" w:rsidP="00E95FDC">
      <w:pPr>
        <w:ind w:firstLine="708"/>
        <w:jc w:val="both"/>
        <w:rPr>
          <w:lang w:val="de-DE"/>
        </w:rPr>
      </w:pPr>
    </w:p>
    <w:p w14:paraId="7BBE2C06" w14:textId="7BA20A9B" w:rsidR="00E95FDC" w:rsidRPr="004676F5" w:rsidRDefault="00E95FDC" w:rsidP="00E95FDC">
      <w:pPr>
        <w:ind w:firstLine="708"/>
        <w:jc w:val="both"/>
        <w:rPr>
          <w:lang w:val="de-DE"/>
        </w:rPr>
      </w:pPr>
      <w:r w:rsidRPr="004676F5">
        <w:rPr>
          <w:lang w:val="de-DE"/>
        </w:rPr>
        <w:t xml:space="preserve"> Sie kann vor Ort bei Kreditgebern, Kreditvermittlern und zentralen Einrichtungen Inspektionen durchführen und Informationen, die Kreditgeber oder Kreditvermittler besitzen, einsehen und eine Abschrift davon anfertigen, um die Einhaltung der in Absatz 1 erwähnten Gesetzes</w:t>
      </w:r>
      <w:r w:rsidR="005B7A5C" w:rsidRPr="004676F5">
        <w:rPr>
          <w:lang w:val="de-DE"/>
        </w:rPr>
        <w:t>- </w:t>
      </w:r>
      <w:r w:rsidRPr="004676F5">
        <w:rPr>
          <w:lang w:val="de-DE"/>
        </w:rPr>
        <w:t>und Verordnungsbestimmungen zu überprüfen.</w:t>
      </w:r>
    </w:p>
    <w:p w14:paraId="49ABDEB6" w14:textId="0DE56897" w:rsidR="00E95FDC" w:rsidRPr="004676F5" w:rsidRDefault="00E95FDC" w:rsidP="00E95FDC">
      <w:pPr>
        <w:ind w:firstLine="708"/>
        <w:jc w:val="both"/>
        <w:rPr>
          <w:lang w:val="de-DE"/>
        </w:rPr>
      </w:pPr>
    </w:p>
    <w:p w14:paraId="34EA25EC" w14:textId="3DAA3DC7" w:rsidR="00D57AA5" w:rsidRPr="004676F5" w:rsidRDefault="00D57AA5" w:rsidP="00D57AA5">
      <w:pPr>
        <w:jc w:val="both"/>
        <w:rPr>
          <w:i/>
          <w:lang w:val="de-DE"/>
        </w:rPr>
      </w:pPr>
      <w:r w:rsidRPr="004676F5">
        <w:rPr>
          <w:i/>
          <w:iCs/>
          <w:lang w:val="de-DE"/>
        </w:rPr>
        <w:t>[Art. XV.18/1 Abs. 1</w:t>
      </w:r>
      <w:r w:rsidRPr="004676F5">
        <w:rPr>
          <w:i/>
          <w:lang w:val="de-DE"/>
        </w:rPr>
        <w:t xml:space="preserve"> abgeändert durch Art. 32 des G. vom 30. Juli 2018 (II) (B.S. vom 5. September 2018)</w:t>
      </w:r>
      <w:r w:rsidR="00BE3947" w:rsidRPr="004676F5">
        <w:rPr>
          <w:i/>
          <w:lang w:val="de-DE"/>
        </w:rPr>
        <w:t>; Abs. 2 ersetzt durch Art. 23 Nr. 1 des G. vom 8. Mai 2022 (B.S. vom 23. Juni 2022); neuer Absatz 3 eingefügt durch Art. 23 Nr. 2 des G. vom 8. Mai 2022 (B.S. vom 23. Juni 2022)</w:t>
      </w:r>
      <w:r w:rsidRPr="004676F5">
        <w:rPr>
          <w:i/>
          <w:lang w:val="de-DE"/>
        </w:rPr>
        <w:t>]</w:t>
      </w:r>
    </w:p>
    <w:p w14:paraId="46100FE9" w14:textId="77777777" w:rsidR="00D57AA5" w:rsidRPr="004676F5" w:rsidRDefault="00D57AA5" w:rsidP="00D57AA5">
      <w:pPr>
        <w:jc w:val="both"/>
        <w:rPr>
          <w:i/>
          <w:iCs/>
          <w:lang w:val="de-DE"/>
        </w:rPr>
      </w:pPr>
    </w:p>
    <w:p w14:paraId="618BC1C2" w14:textId="77777777" w:rsidR="00E95FDC" w:rsidRPr="004676F5" w:rsidRDefault="00E95FDC" w:rsidP="00E95FDC">
      <w:pPr>
        <w:ind w:firstLine="708"/>
        <w:jc w:val="both"/>
        <w:rPr>
          <w:lang w:val="de-DE"/>
        </w:rPr>
      </w:pPr>
    </w:p>
    <w:p w14:paraId="499520EB" w14:textId="0164A0A2" w:rsidR="00E95FDC" w:rsidRPr="004676F5" w:rsidRDefault="00BE0A56" w:rsidP="00E95FDC">
      <w:pPr>
        <w:ind w:firstLine="708"/>
        <w:jc w:val="both"/>
        <w:rPr>
          <w:lang w:val="de-DE"/>
        </w:rPr>
      </w:pPr>
      <w:r w:rsidRPr="004676F5">
        <w:rPr>
          <w:b/>
          <w:lang w:val="de-DE"/>
        </w:rPr>
        <w:t>Art. </w:t>
      </w:r>
      <w:r w:rsidR="00E95FDC" w:rsidRPr="004676F5">
        <w:rPr>
          <w:b/>
          <w:lang w:val="de-DE"/>
        </w:rPr>
        <w:t>XV.18/2</w:t>
      </w:r>
      <w:r w:rsidR="00E95FDC" w:rsidRPr="004676F5">
        <w:rPr>
          <w:lang w:val="de-DE"/>
        </w:rPr>
        <w:t> </w:t>
      </w:r>
      <w:r w:rsidR="005B7A5C" w:rsidRPr="004676F5">
        <w:rPr>
          <w:lang w:val="de-DE"/>
        </w:rPr>
        <w:t>- </w:t>
      </w:r>
      <w:r w:rsidR="00E95FDC" w:rsidRPr="004676F5">
        <w:rPr>
          <w:lang w:val="de-DE"/>
        </w:rPr>
        <w:t>Unbeschadet der Gesetzesbestimmungen in Bezug auf die Unverletz</w:t>
      </w:r>
      <w:r w:rsidR="00E95FDC" w:rsidRPr="004676F5">
        <w:rPr>
          <w:lang w:val="de-DE"/>
        </w:rPr>
        <w:softHyphen/>
        <w:t>lichkeit der Wohnung und den Schutz des Privatlebens kann die FSMA jegliche Unter</w:t>
      </w:r>
      <w:r w:rsidR="00E95FDC" w:rsidRPr="004676F5">
        <w:rPr>
          <w:lang w:val="de-DE"/>
        </w:rPr>
        <w:softHyphen/>
        <w:t xml:space="preserve">suchungen durchführen einschließlich in den Räumen, in denen ein Kreditvermittler seine </w:t>
      </w:r>
      <w:r w:rsidR="00E95FDC" w:rsidRPr="004676F5">
        <w:rPr>
          <w:lang w:val="de-DE"/>
        </w:rPr>
        <w:lastRenderedPageBreak/>
        <w:t>Tätigkeiten ausübt, und am Sitz und in den Agenturen der betreffenden Kreditgeber, um die Richtigkeit der in den Artikeln VII.181 § 3 und VII.186 § 3 erwähnten eidesstattlichen Erklärung zu überprüfen.</w:t>
      </w:r>
    </w:p>
    <w:p w14:paraId="791CB15B" w14:textId="77777777" w:rsidR="00E95FDC" w:rsidRPr="004676F5" w:rsidRDefault="00E95FDC" w:rsidP="00E95FDC">
      <w:pPr>
        <w:ind w:firstLine="708"/>
        <w:jc w:val="both"/>
        <w:rPr>
          <w:lang w:val="de-DE"/>
        </w:rPr>
      </w:pPr>
    </w:p>
    <w:p w14:paraId="5CCCF607" w14:textId="77777777" w:rsidR="00E95FDC" w:rsidRPr="004676F5" w:rsidRDefault="00E95FDC" w:rsidP="00E95FDC">
      <w:pPr>
        <w:ind w:firstLine="708"/>
        <w:jc w:val="both"/>
        <w:rPr>
          <w:lang w:val="de-DE"/>
        </w:rPr>
      </w:pPr>
    </w:p>
    <w:p w14:paraId="3E07620E" w14:textId="382D2A06" w:rsidR="00BA2266" w:rsidRPr="004676F5" w:rsidRDefault="00E95FDC" w:rsidP="00E95FDC">
      <w:pPr>
        <w:jc w:val="both"/>
        <w:rPr>
          <w:lang w:val="de-DE"/>
        </w:rPr>
      </w:pPr>
      <w:r w:rsidRPr="004676F5">
        <w:rPr>
          <w:b/>
          <w:lang w:val="de-DE"/>
        </w:rPr>
        <w:tab/>
      </w:r>
      <w:r w:rsidR="00BE0A56" w:rsidRPr="004676F5">
        <w:rPr>
          <w:b/>
          <w:lang w:val="de-DE"/>
        </w:rPr>
        <w:t>Art. </w:t>
      </w:r>
      <w:r w:rsidRPr="004676F5">
        <w:rPr>
          <w:b/>
          <w:lang w:val="de-DE"/>
        </w:rPr>
        <w:t>XV.18/3</w:t>
      </w:r>
      <w:r w:rsidRPr="004676F5">
        <w:rPr>
          <w:lang w:val="de-DE"/>
        </w:rPr>
        <w:t> </w:t>
      </w:r>
      <w:r w:rsidR="005B7A5C" w:rsidRPr="004676F5">
        <w:rPr>
          <w:lang w:val="de-DE"/>
        </w:rPr>
        <w:t>- </w:t>
      </w:r>
      <w:r w:rsidRPr="004676F5">
        <w:rPr>
          <w:lang w:val="de-DE"/>
        </w:rPr>
        <w:t>Die FSMA kann vor Ort in Zweigniederlassungen im Europäischen Wirtschaftsraum von Kreditvermittlern nach Artikel VII.183 § 1, dessen Herkunftsmitglied</w:t>
      </w:r>
      <w:r w:rsidRPr="004676F5">
        <w:rPr>
          <w:lang w:val="de-DE"/>
        </w:rPr>
        <w:softHyphen/>
        <w:t>staat sie ist, Überprüfungen durchführen.]</w:t>
      </w:r>
    </w:p>
    <w:p w14:paraId="3C498210" w14:textId="77777777" w:rsidR="003140C8" w:rsidRPr="004676F5" w:rsidRDefault="003140C8" w:rsidP="00E95FDC">
      <w:pPr>
        <w:jc w:val="both"/>
        <w:rPr>
          <w:lang w:val="de-DE"/>
        </w:rPr>
      </w:pPr>
    </w:p>
    <w:p w14:paraId="6B0F6485" w14:textId="77777777" w:rsidR="003140C8" w:rsidRPr="004676F5" w:rsidRDefault="003140C8" w:rsidP="00E95FDC">
      <w:pPr>
        <w:jc w:val="both"/>
        <w:rPr>
          <w:lang w:val="de-DE"/>
        </w:rPr>
      </w:pPr>
    </w:p>
    <w:p w14:paraId="489031CF" w14:textId="4236C4B3" w:rsidR="003140C8" w:rsidRPr="004676F5" w:rsidRDefault="003140C8" w:rsidP="003140C8">
      <w:pPr>
        <w:jc w:val="center"/>
        <w:rPr>
          <w:lang w:val="de-DE"/>
        </w:rPr>
      </w:pPr>
      <w:r w:rsidRPr="004676F5">
        <w:rPr>
          <w:lang w:val="de-DE"/>
        </w:rPr>
        <w:t>[Unterabschnitt 3 </w:t>
      </w:r>
      <w:r w:rsidR="005B7A5C" w:rsidRPr="004676F5">
        <w:rPr>
          <w:lang w:val="de-DE"/>
        </w:rPr>
        <w:t>- </w:t>
      </w:r>
      <w:r w:rsidRPr="004676F5">
        <w:rPr>
          <w:lang w:val="de-DE"/>
        </w:rPr>
        <w:t>Befugnisse der Bank]</w:t>
      </w:r>
    </w:p>
    <w:p w14:paraId="5ED3B6D4" w14:textId="77777777" w:rsidR="003140C8" w:rsidRPr="004676F5" w:rsidRDefault="003140C8" w:rsidP="00E95FDC">
      <w:pPr>
        <w:jc w:val="both"/>
        <w:rPr>
          <w:lang w:val="de-DE"/>
        </w:rPr>
      </w:pPr>
    </w:p>
    <w:p w14:paraId="7B19BAAE" w14:textId="06249C2C" w:rsidR="003140C8" w:rsidRPr="004676F5" w:rsidRDefault="003140C8" w:rsidP="00E95FDC">
      <w:pPr>
        <w:jc w:val="both"/>
        <w:rPr>
          <w:lang w:val="de-DE"/>
        </w:rPr>
      </w:pPr>
      <w:r w:rsidRPr="004676F5">
        <w:rPr>
          <w:i/>
          <w:lang w:val="de-DE"/>
        </w:rPr>
        <w:t xml:space="preserve">[Unterteilung Unterabschnitt 3 eingefügt durch </w:t>
      </w:r>
      <w:r w:rsidR="00BE0A56" w:rsidRPr="004676F5">
        <w:rPr>
          <w:i/>
          <w:lang w:val="de-DE"/>
        </w:rPr>
        <w:t>Art. </w:t>
      </w:r>
      <w:r w:rsidRPr="004676F5">
        <w:rPr>
          <w:i/>
          <w:lang w:val="de-DE"/>
        </w:rPr>
        <w:t>6 des G. vom 1. Dezember 2016 (B.S. vom 15. Dezember 2016)]</w:t>
      </w:r>
    </w:p>
    <w:p w14:paraId="251B92FC" w14:textId="77777777" w:rsidR="003140C8" w:rsidRPr="004676F5" w:rsidRDefault="003140C8" w:rsidP="00E95FDC">
      <w:pPr>
        <w:jc w:val="both"/>
        <w:rPr>
          <w:lang w:val="de-DE"/>
        </w:rPr>
      </w:pPr>
    </w:p>
    <w:p w14:paraId="2DE28512" w14:textId="77777777" w:rsidR="003140C8" w:rsidRPr="004676F5" w:rsidRDefault="003140C8" w:rsidP="00E95FDC">
      <w:pPr>
        <w:jc w:val="both"/>
        <w:rPr>
          <w:lang w:val="de-DE"/>
        </w:rPr>
      </w:pPr>
    </w:p>
    <w:p w14:paraId="6617CDDE" w14:textId="0F296425" w:rsidR="003140C8" w:rsidRPr="004676F5" w:rsidRDefault="003140C8" w:rsidP="003140C8">
      <w:pPr>
        <w:jc w:val="both"/>
        <w:rPr>
          <w:lang w:val="de-DE"/>
        </w:rPr>
      </w:pPr>
      <w:r w:rsidRPr="004676F5">
        <w:rPr>
          <w:lang w:val="de-DE"/>
        </w:rPr>
        <w:tab/>
        <w:t>[</w:t>
      </w:r>
      <w:r w:rsidR="00BE0A56" w:rsidRPr="004676F5">
        <w:rPr>
          <w:b/>
          <w:lang w:val="de-DE"/>
        </w:rPr>
        <w:t>Art. </w:t>
      </w:r>
      <w:r w:rsidRPr="004676F5">
        <w:rPr>
          <w:b/>
          <w:lang w:val="de-DE"/>
        </w:rPr>
        <w:t>XV.18/4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Bank ist befugt, dafür zu sorgen, dass Kartenzahlverfahren und abwickelnde Stellen gemäß Artikel 7 der Verordnung (EU) Nr. 2015/751 handeln.</w:t>
      </w:r>
    </w:p>
    <w:p w14:paraId="3A419EAE" w14:textId="77777777" w:rsidR="003140C8" w:rsidRPr="004676F5" w:rsidRDefault="003140C8" w:rsidP="003140C8">
      <w:pPr>
        <w:jc w:val="both"/>
        <w:rPr>
          <w:lang w:val="de-DE"/>
        </w:rPr>
      </w:pPr>
    </w:p>
    <w:p w14:paraId="02715BAC" w14:textId="77777777" w:rsidR="003140C8" w:rsidRPr="004676F5" w:rsidRDefault="003140C8" w:rsidP="003140C8">
      <w:pPr>
        <w:jc w:val="both"/>
        <w:rPr>
          <w:lang w:val="de-DE"/>
        </w:rPr>
      </w:pPr>
      <w:r w:rsidRPr="004676F5">
        <w:rPr>
          <w:lang w:val="de-DE"/>
        </w:rPr>
        <w:tab/>
        <w:t>Kartenzahlverfahren und abwickelnde Stellen sind im Sinne von Artikel 2 Nr. 16 beziehungsweise Artikel 2 Nr. 28 der Verordnung (EU) Nr. 2015/751 zu verstehen.</w:t>
      </w:r>
    </w:p>
    <w:p w14:paraId="51D67C85" w14:textId="77777777" w:rsidR="003140C8" w:rsidRPr="004676F5" w:rsidRDefault="003140C8" w:rsidP="003140C8">
      <w:pPr>
        <w:jc w:val="both"/>
        <w:rPr>
          <w:lang w:val="de-DE"/>
        </w:rPr>
      </w:pPr>
    </w:p>
    <w:p w14:paraId="2C73EC83" w14:textId="36F682F3" w:rsidR="003140C8" w:rsidRPr="004676F5" w:rsidRDefault="003140C8" w:rsidP="003140C8">
      <w:pPr>
        <w:jc w:val="both"/>
        <w:rPr>
          <w:lang w:val="de-DE"/>
        </w:rPr>
      </w:pPr>
      <w:r w:rsidRPr="004676F5">
        <w:rPr>
          <w:lang w:val="de-DE"/>
        </w:rPr>
        <w:tab/>
        <w:t>§ 2 </w:t>
      </w:r>
      <w:r w:rsidR="005B7A5C" w:rsidRPr="004676F5">
        <w:rPr>
          <w:lang w:val="de-DE"/>
        </w:rPr>
        <w:t>- </w:t>
      </w:r>
      <w:r w:rsidRPr="004676F5">
        <w:rPr>
          <w:lang w:val="de-DE"/>
        </w:rPr>
        <w:t>Zu diesem Zweck kann sich die Bank auf schriftliche Aufforderung innerhalb der von ihr gesetzten Frist alle Informationen und Unterlagen übermitteln lassen, die erforderlich sind, um die Einhaltung von Artikel 7 der Verordnung (EU) Nr. 2015/751 zu kontrollieren.</w:t>
      </w:r>
    </w:p>
    <w:p w14:paraId="7645212C" w14:textId="77777777" w:rsidR="003140C8" w:rsidRPr="004676F5" w:rsidRDefault="003140C8" w:rsidP="003140C8">
      <w:pPr>
        <w:jc w:val="both"/>
        <w:rPr>
          <w:lang w:val="de-DE"/>
        </w:rPr>
      </w:pPr>
    </w:p>
    <w:p w14:paraId="55168F0B" w14:textId="3E383224" w:rsidR="003140C8" w:rsidRPr="004676F5" w:rsidRDefault="003140C8" w:rsidP="003140C8">
      <w:pPr>
        <w:jc w:val="both"/>
        <w:rPr>
          <w:lang w:val="de-DE"/>
        </w:rPr>
      </w:pPr>
      <w:r w:rsidRPr="004676F5">
        <w:rPr>
          <w:lang w:val="de-DE"/>
        </w:rPr>
        <w:tab/>
        <w:t>Darüber hinaus kann sie von einem Kartenzahlverfahren die Vorlage eines unabhängigen Berichts verlangen, in dem bestätigt wird, dass es die Bestimmungen von Artikel 7 Absatz 1 der Verordnung (EU) Nr. 2015/751 einhält.]</w:t>
      </w:r>
    </w:p>
    <w:p w14:paraId="5D7A6ECA" w14:textId="77777777" w:rsidR="003140C8" w:rsidRPr="004676F5" w:rsidRDefault="003140C8" w:rsidP="003140C8">
      <w:pPr>
        <w:jc w:val="both"/>
        <w:rPr>
          <w:lang w:val="de-DE"/>
        </w:rPr>
      </w:pPr>
    </w:p>
    <w:p w14:paraId="3CF91466" w14:textId="7D58A3B0" w:rsidR="003140C8" w:rsidRPr="004676F5" w:rsidRDefault="003140C8" w:rsidP="003140C8">
      <w:pPr>
        <w:jc w:val="both"/>
        <w:rPr>
          <w:lang w:val="de-DE"/>
        </w:rPr>
      </w:pPr>
      <w:r w:rsidRPr="004676F5">
        <w:rPr>
          <w:i/>
          <w:lang w:val="de-DE"/>
        </w:rPr>
        <w:t>[</w:t>
      </w:r>
      <w:r w:rsidR="00BE0A56" w:rsidRPr="004676F5">
        <w:rPr>
          <w:i/>
          <w:lang w:val="de-DE"/>
        </w:rPr>
        <w:t>Art. </w:t>
      </w:r>
      <w:r w:rsidRPr="004676F5">
        <w:rPr>
          <w:i/>
          <w:lang w:val="de-DE"/>
        </w:rPr>
        <w:t xml:space="preserve">XV.18/4 eingefügt durch </w:t>
      </w:r>
      <w:r w:rsidR="00BE0A56" w:rsidRPr="004676F5">
        <w:rPr>
          <w:i/>
          <w:lang w:val="de-DE"/>
        </w:rPr>
        <w:t>Art. </w:t>
      </w:r>
      <w:r w:rsidRPr="004676F5">
        <w:rPr>
          <w:i/>
          <w:lang w:val="de-DE"/>
        </w:rPr>
        <w:t>7 des G. vom 1. Dezember 2016 (B.S. vom 15. Dezember 2016)]</w:t>
      </w:r>
    </w:p>
    <w:p w14:paraId="3A905ECD" w14:textId="77777777" w:rsidR="00BA2266" w:rsidRPr="004676F5" w:rsidRDefault="00BA2266" w:rsidP="00BA2266">
      <w:pPr>
        <w:jc w:val="both"/>
        <w:rPr>
          <w:lang w:val="de-DE"/>
        </w:rPr>
      </w:pPr>
    </w:p>
    <w:p w14:paraId="324C22F7" w14:textId="77777777" w:rsidR="00A56641" w:rsidRPr="004676F5" w:rsidRDefault="00A56641" w:rsidP="00BA2266">
      <w:pPr>
        <w:jc w:val="both"/>
        <w:rPr>
          <w:lang w:val="de-DE"/>
        </w:rPr>
      </w:pPr>
    </w:p>
    <w:p w14:paraId="6F628216" w14:textId="2B925A0D" w:rsidR="00A56641" w:rsidRPr="004676F5" w:rsidRDefault="00A56641" w:rsidP="00A56641">
      <w:pPr>
        <w:jc w:val="center"/>
        <w:rPr>
          <w:lang w:val="de-DE"/>
        </w:rPr>
      </w:pPr>
      <w:r w:rsidRPr="004676F5">
        <w:rPr>
          <w:lang w:val="de-DE"/>
        </w:rPr>
        <w:t>[</w:t>
      </w:r>
      <w:r w:rsidRPr="004676F5">
        <w:rPr>
          <w:i/>
          <w:iCs/>
          <w:lang w:val="de-DE"/>
        </w:rPr>
        <w:t>Abschnitt 2/1</w:t>
      </w:r>
      <w:r w:rsidRPr="004676F5">
        <w:rPr>
          <w:lang w:val="de-DE"/>
        </w:rPr>
        <w:t xml:space="preserve"> - Besondere Zuständigkeiten für die Anwendung von Buch VIII Titel 4 und 5]</w:t>
      </w:r>
    </w:p>
    <w:p w14:paraId="0650F817" w14:textId="77777777" w:rsidR="00A56641" w:rsidRPr="004676F5" w:rsidRDefault="00A56641" w:rsidP="00A56641">
      <w:pPr>
        <w:jc w:val="center"/>
        <w:rPr>
          <w:lang w:val="de-DE"/>
        </w:rPr>
      </w:pPr>
    </w:p>
    <w:p w14:paraId="37E0197A" w14:textId="270A6529" w:rsidR="00A56641" w:rsidRPr="004676F5" w:rsidRDefault="00A56641" w:rsidP="00A56641">
      <w:pPr>
        <w:jc w:val="both"/>
        <w:rPr>
          <w:bCs/>
          <w:i/>
          <w:iCs/>
          <w:lang w:val="de-DE"/>
        </w:rPr>
      </w:pPr>
      <w:r w:rsidRPr="004676F5">
        <w:rPr>
          <w:i/>
          <w:lang w:val="de-DE"/>
        </w:rPr>
        <w:t>[Unterteilung Abschnitt 2/1 eingefügt durch Art. 24</w:t>
      </w:r>
      <w:r w:rsidRPr="004676F5">
        <w:rPr>
          <w:bCs/>
          <w:i/>
          <w:iCs/>
          <w:lang w:val="de-DE"/>
        </w:rPr>
        <w:t xml:space="preserve"> des G. vom 5. November 2023</w:t>
      </w:r>
      <w:r w:rsidR="00857EC4" w:rsidRPr="004676F5">
        <w:rPr>
          <w:bCs/>
          <w:i/>
          <w:iCs/>
          <w:lang w:val="de-DE"/>
        </w:rPr>
        <w:t> (</w:t>
      </w:r>
      <w:r w:rsidR="00AA0B2E" w:rsidRPr="004676F5">
        <w:rPr>
          <w:bCs/>
          <w:i/>
          <w:iCs/>
          <w:lang w:val="de-DE"/>
        </w:rPr>
        <w:t>I</w:t>
      </w:r>
      <w:r w:rsidR="00857EC4" w:rsidRPr="004676F5">
        <w:rPr>
          <w:bCs/>
          <w:i/>
          <w:iCs/>
          <w:lang w:val="de-DE"/>
        </w:rPr>
        <w:t>I)</w:t>
      </w:r>
      <w:r w:rsidRPr="004676F5">
        <w:rPr>
          <w:bCs/>
          <w:i/>
          <w:iCs/>
          <w:lang w:val="de-DE"/>
        </w:rPr>
        <w:t xml:space="preserve"> (B.S. vom 28. November 2023)]</w:t>
      </w:r>
    </w:p>
    <w:p w14:paraId="18025F46" w14:textId="77777777" w:rsidR="00A56641" w:rsidRPr="004676F5" w:rsidRDefault="00A56641" w:rsidP="00A56641">
      <w:pPr>
        <w:jc w:val="both"/>
        <w:rPr>
          <w:lang w:val="de-DE"/>
        </w:rPr>
      </w:pPr>
    </w:p>
    <w:p w14:paraId="40FD4D8B" w14:textId="7182A44F" w:rsidR="00A56641" w:rsidRPr="004676F5" w:rsidRDefault="00A56641" w:rsidP="00A56641">
      <w:pPr>
        <w:jc w:val="both"/>
        <w:rPr>
          <w:lang w:val="de-DE"/>
        </w:rPr>
      </w:pPr>
    </w:p>
    <w:p w14:paraId="0F8F0977" w14:textId="0E42AD68" w:rsidR="00A56641" w:rsidRPr="004676F5" w:rsidRDefault="00A56641" w:rsidP="00A56641">
      <w:pPr>
        <w:jc w:val="center"/>
        <w:rPr>
          <w:lang w:val="de-DE"/>
        </w:rPr>
      </w:pPr>
      <w:r w:rsidRPr="004676F5">
        <w:rPr>
          <w:lang w:val="de-DE"/>
        </w:rPr>
        <w:t>[Unterabschnitt 1 - Beschwerden in Bezug auf Barrierefreiheit von Produkten und Dienstleistungen]</w:t>
      </w:r>
    </w:p>
    <w:p w14:paraId="2506FE01" w14:textId="77777777" w:rsidR="00A56641" w:rsidRPr="004676F5" w:rsidRDefault="00A56641" w:rsidP="00A56641">
      <w:pPr>
        <w:jc w:val="center"/>
        <w:rPr>
          <w:lang w:val="de-DE"/>
        </w:rPr>
      </w:pPr>
    </w:p>
    <w:p w14:paraId="6F0EE97B" w14:textId="54D79908" w:rsidR="00A56641" w:rsidRPr="004676F5" w:rsidRDefault="00A56641" w:rsidP="00A56641">
      <w:pPr>
        <w:jc w:val="both"/>
        <w:rPr>
          <w:bCs/>
          <w:i/>
          <w:iCs/>
          <w:lang w:val="de-DE"/>
        </w:rPr>
      </w:pPr>
      <w:r w:rsidRPr="004676F5">
        <w:rPr>
          <w:i/>
          <w:lang w:val="de-DE"/>
        </w:rPr>
        <w:t>[Unterteilung Unterabschnitt 1 eingefügt durch Art. 25</w:t>
      </w:r>
      <w:r w:rsidRPr="004676F5">
        <w:rPr>
          <w:bCs/>
          <w:i/>
          <w:iCs/>
          <w:lang w:val="de-DE"/>
        </w:rPr>
        <w:t xml:space="preserve"> des G. vom 5. November 2023</w:t>
      </w:r>
      <w:r w:rsidR="00857EC4" w:rsidRPr="004676F5">
        <w:rPr>
          <w:bCs/>
          <w:i/>
          <w:iCs/>
          <w:lang w:val="de-DE"/>
        </w:rPr>
        <w:t> (</w:t>
      </w:r>
      <w:r w:rsidR="00AA0B2E" w:rsidRPr="004676F5">
        <w:rPr>
          <w:bCs/>
          <w:i/>
          <w:iCs/>
          <w:lang w:val="de-DE"/>
        </w:rPr>
        <w:t>I</w:t>
      </w:r>
      <w:r w:rsidR="00857EC4" w:rsidRPr="004676F5">
        <w:rPr>
          <w:bCs/>
          <w:i/>
          <w:iCs/>
          <w:lang w:val="de-DE"/>
        </w:rPr>
        <w:t>I)</w:t>
      </w:r>
      <w:r w:rsidRPr="004676F5">
        <w:rPr>
          <w:bCs/>
          <w:i/>
          <w:iCs/>
          <w:lang w:val="de-DE"/>
        </w:rPr>
        <w:t xml:space="preserve"> (B.S. vom 28. November 2023)]</w:t>
      </w:r>
    </w:p>
    <w:p w14:paraId="34D9F7C3" w14:textId="77777777" w:rsidR="00A56641" w:rsidRPr="004676F5" w:rsidRDefault="00A56641" w:rsidP="00A56641">
      <w:pPr>
        <w:jc w:val="both"/>
        <w:rPr>
          <w:bCs/>
          <w:lang w:val="de-DE"/>
        </w:rPr>
      </w:pPr>
    </w:p>
    <w:p w14:paraId="687761F6" w14:textId="77777777" w:rsidR="00A56641" w:rsidRPr="004676F5" w:rsidRDefault="00A56641" w:rsidP="00A56641">
      <w:pPr>
        <w:jc w:val="both"/>
        <w:rPr>
          <w:bCs/>
          <w:lang w:val="de-DE"/>
        </w:rPr>
      </w:pPr>
    </w:p>
    <w:p w14:paraId="30EFE704" w14:textId="77777777" w:rsidR="00A56641" w:rsidRPr="004676F5" w:rsidRDefault="00A56641" w:rsidP="00A56641">
      <w:pPr>
        <w:jc w:val="both"/>
        <w:rPr>
          <w:lang w:val="de-DE"/>
        </w:rPr>
      </w:pPr>
      <w:r w:rsidRPr="004676F5">
        <w:rPr>
          <w:bCs/>
          <w:lang w:val="de-DE"/>
        </w:rPr>
        <w:tab/>
        <w:t>[</w:t>
      </w:r>
      <w:r w:rsidRPr="004676F5">
        <w:rPr>
          <w:b/>
          <w:bCs/>
          <w:lang w:val="de-DE"/>
        </w:rPr>
        <w:t>Art. XV.18/5</w:t>
      </w:r>
      <w:r w:rsidRPr="004676F5">
        <w:rPr>
          <w:lang w:val="de-DE"/>
        </w:rPr>
        <w:t xml:space="preserve"> - § 1 - Jede Person kann bei den in Artikel XV.2 erwähnten Bediensteten kostenlos eine Beschwerde in Bezug auf die Barrierefreiheit von Produkten und </w:t>
      </w:r>
      <w:r w:rsidRPr="004676F5">
        <w:rPr>
          <w:lang w:val="de-DE"/>
        </w:rPr>
        <w:lastRenderedPageBreak/>
        <w:t>Dienstleistungen einreichen. Die Beschwerde wird per Brief oder auf elektronischem Wege eingereicht.</w:t>
      </w:r>
    </w:p>
    <w:p w14:paraId="7E7E5EAA" w14:textId="77777777" w:rsidR="00A56641" w:rsidRPr="004676F5" w:rsidRDefault="00A56641" w:rsidP="00A56641">
      <w:pPr>
        <w:jc w:val="both"/>
        <w:rPr>
          <w:lang w:val="de-DE"/>
        </w:rPr>
      </w:pPr>
    </w:p>
    <w:p w14:paraId="51029445" w14:textId="77777777" w:rsidR="00A56641" w:rsidRPr="004676F5" w:rsidRDefault="00A56641" w:rsidP="00A56641">
      <w:pPr>
        <w:jc w:val="both"/>
        <w:rPr>
          <w:lang w:val="de-DE"/>
        </w:rPr>
      </w:pPr>
      <w:r w:rsidRPr="004676F5">
        <w:rPr>
          <w:lang w:val="de-DE"/>
        </w:rPr>
        <w:tab/>
        <w:t>Die Beschwerde enthält folgende Angaben:</w:t>
      </w:r>
    </w:p>
    <w:p w14:paraId="6AFF0649" w14:textId="77777777" w:rsidR="00A56641" w:rsidRPr="004676F5" w:rsidRDefault="00A56641" w:rsidP="00A56641">
      <w:pPr>
        <w:jc w:val="both"/>
        <w:rPr>
          <w:lang w:val="de-DE"/>
        </w:rPr>
      </w:pPr>
    </w:p>
    <w:p w14:paraId="54A11BF3" w14:textId="77777777" w:rsidR="00A56641" w:rsidRPr="004676F5" w:rsidRDefault="00A56641" w:rsidP="00A56641">
      <w:pPr>
        <w:jc w:val="both"/>
        <w:rPr>
          <w:lang w:val="de-DE"/>
        </w:rPr>
      </w:pPr>
      <w:r w:rsidRPr="004676F5">
        <w:rPr>
          <w:lang w:val="de-DE"/>
        </w:rPr>
        <w:tab/>
        <w:t>1. Identität des Beschwerdeführers und seine Kontaktdaten, die eine schnelle Kontaktaufnahme und eine direkte und effektive Kommunikation mit ihm ermöglichen,</w:t>
      </w:r>
    </w:p>
    <w:p w14:paraId="43BA15D0" w14:textId="77777777" w:rsidR="00A56641" w:rsidRPr="004676F5" w:rsidRDefault="00A56641" w:rsidP="00A56641">
      <w:pPr>
        <w:jc w:val="both"/>
        <w:rPr>
          <w:lang w:val="de-DE"/>
        </w:rPr>
      </w:pPr>
    </w:p>
    <w:p w14:paraId="54E3B2EA" w14:textId="77777777" w:rsidR="00A56641" w:rsidRPr="004676F5" w:rsidRDefault="00A56641" w:rsidP="00A56641">
      <w:pPr>
        <w:jc w:val="both"/>
        <w:rPr>
          <w:lang w:val="de-DE"/>
        </w:rPr>
      </w:pPr>
      <w:r w:rsidRPr="004676F5">
        <w:rPr>
          <w:lang w:val="de-DE"/>
        </w:rPr>
        <w:tab/>
        <w:t>2. eine Darlegung des Sachverhaltes,</w:t>
      </w:r>
    </w:p>
    <w:p w14:paraId="3E53997E" w14:textId="77777777" w:rsidR="00A56641" w:rsidRPr="004676F5" w:rsidRDefault="00A56641" w:rsidP="00A56641">
      <w:pPr>
        <w:jc w:val="both"/>
        <w:rPr>
          <w:lang w:val="de-DE"/>
        </w:rPr>
      </w:pPr>
    </w:p>
    <w:p w14:paraId="2834527D" w14:textId="77777777" w:rsidR="00A56641" w:rsidRPr="004676F5" w:rsidRDefault="00A56641" w:rsidP="00A56641">
      <w:pPr>
        <w:jc w:val="both"/>
        <w:rPr>
          <w:lang w:val="de-DE"/>
        </w:rPr>
      </w:pPr>
      <w:r w:rsidRPr="004676F5">
        <w:rPr>
          <w:lang w:val="de-DE"/>
        </w:rPr>
        <w:tab/>
        <w:t>3. alle Aktenstücke, die der Beschwerdeführer für notwendig erachtet.</w:t>
      </w:r>
    </w:p>
    <w:p w14:paraId="7A4D4578" w14:textId="77777777" w:rsidR="00A56641" w:rsidRPr="004676F5" w:rsidRDefault="00A56641" w:rsidP="00A56641">
      <w:pPr>
        <w:jc w:val="both"/>
        <w:rPr>
          <w:lang w:val="de-DE"/>
        </w:rPr>
      </w:pPr>
    </w:p>
    <w:p w14:paraId="016F186A" w14:textId="77777777" w:rsidR="00A56641" w:rsidRPr="004676F5" w:rsidRDefault="00A56641" w:rsidP="00A56641">
      <w:pPr>
        <w:jc w:val="both"/>
        <w:rPr>
          <w:lang w:val="de-DE"/>
        </w:rPr>
      </w:pPr>
      <w:r w:rsidRPr="004676F5">
        <w:rPr>
          <w:lang w:val="de-DE"/>
        </w:rPr>
        <w:tab/>
        <w:t>§ 2 ­ Wenn die in Artikel XV.2 erwähnten Bediensteten eine Beschwerde für zulässig erachten, teilen sie dies dem Beschwerdeführer innerhalb dreißig Tagen ab Eingang der Beschwerde schriftlich mit.</w:t>
      </w:r>
    </w:p>
    <w:p w14:paraId="1E084BE3" w14:textId="77777777" w:rsidR="00A56641" w:rsidRPr="004676F5" w:rsidRDefault="00A56641" w:rsidP="00A56641">
      <w:pPr>
        <w:jc w:val="both"/>
        <w:rPr>
          <w:lang w:val="de-DE"/>
        </w:rPr>
      </w:pPr>
    </w:p>
    <w:p w14:paraId="3F5411D7" w14:textId="77777777" w:rsidR="00A56641" w:rsidRPr="004676F5" w:rsidRDefault="00A56641" w:rsidP="00A56641">
      <w:pPr>
        <w:jc w:val="both"/>
        <w:rPr>
          <w:lang w:val="de-DE"/>
        </w:rPr>
      </w:pPr>
      <w:r w:rsidRPr="004676F5">
        <w:rPr>
          <w:lang w:val="de-DE"/>
        </w:rPr>
        <w:tab/>
        <w:t>§ 3 ­ Die in Artikel XV.2 erwähnten Bediensteten lehnen die Bearbeitung einer Beschwerde ab und erklären sie für unzulässig, wenn:</w:t>
      </w:r>
    </w:p>
    <w:p w14:paraId="173D4A4D" w14:textId="77777777" w:rsidR="00A56641" w:rsidRPr="004676F5" w:rsidRDefault="00A56641" w:rsidP="00A56641">
      <w:pPr>
        <w:jc w:val="both"/>
        <w:rPr>
          <w:lang w:val="de-DE"/>
        </w:rPr>
      </w:pPr>
    </w:p>
    <w:p w14:paraId="25581808" w14:textId="77777777" w:rsidR="00A56641" w:rsidRPr="004676F5" w:rsidRDefault="00A56641" w:rsidP="00A56641">
      <w:pPr>
        <w:jc w:val="both"/>
        <w:rPr>
          <w:lang w:val="de-DE"/>
        </w:rPr>
      </w:pPr>
      <w:r w:rsidRPr="004676F5">
        <w:rPr>
          <w:lang w:val="de-DE"/>
        </w:rPr>
        <w:tab/>
        <w:t>1. diese Beschwerde offensichtlich unbegründet ist,</w:t>
      </w:r>
    </w:p>
    <w:p w14:paraId="3F9EBD41" w14:textId="77777777" w:rsidR="00A56641" w:rsidRPr="004676F5" w:rsidRDefault="00A56641" w:rsidP="00A56641">
      <w:pPr>
        <w:jc w:val="both"/>
        <w:rPr>
          <w:lang w:val="de-DE"/>
        </w:rPr>
      </w:pPr>
    </w:p>
    <w:p w14:paraId="47CF31FE" w14:textId="77777777" w:rsidR="00A56641" w:rsidRPr="004676F5" w:rsidRDefault="00A56641" w:rsidP="00A56641">
      <w:pPr>
        <w:jc w:val="both"/>
        <w:rPr>
          <w:lang w:val="de-DE"/>
        </w:rPr>
      </w:pPr>
      <w:r w:rsidRPr="004676F5">
        <w:rPr>
          <w:lang w:val="de-DE"/>
        </w:rPr>
        <w:tab/>
        <w:t>2. der Inhalt im Zusammenhang mit Sachverhalten steht, die sich vor dem 28. Juni 2025 beziehungsweise dem 28. Juni 2030, wenn die Dienstleistung von einem Kleinstunternehmen erbracht wird, ereignet haben,</w:t>
      </w:r>
    </w:p>
    <w:p w14:paraId="72BDACC5" w14:textId="77777777" w:rsidR="00A56641" w:rsidRPr="004676F5" w:rsidRDefault="00A56641" w:rsidP="00A56641">
      <w:pPr>
        <w:jc w:val="both"/>
        <w:rPr>
          <w:lang w:val="de-DE"/>
        </w:rPr>
      </w:pPr>
    </w:p>
    <w:p w14:paraId="7199F70D" w14:textId="77777777" w:rsidR="00A56641" w:rsidRPr="004676F5" w:rsidRDefault="00A56641" w:rsidP="00A56641">
      <w:pPr>
        <w:jc w:val="both"/>
        <w:rPr>
          <w:lang w:val="de-DE"/>
        </w:rPr>
      </w:pPr>
      <w:r w:rsidRPr="004676F5">
        <w:rPr>
          <w:lang w:val="de-DE"/>
        </w:rPr>
        <w:tab/>
        <w:t>3. die Beschwerde die gleiche ist wie eine Beschwerde, die vorher von den in Artikel XV.2 erwähnten Bediensteten bearbeitet worden ist, zu der nichts Neues hinzugekommen ist,</w:t>
      </w:r>
    </w:p>
    <w:p w14:paraId="3AA7A6BC" w14:textId="77777777" w:rsidR="00A56641" w:rsidRPr="004676F5" w:rsidRDefault="00A56641" w:rsidP="00A56641">
      <w:pPr>
        <w:jc w:val="both"/>
        <w:rPr>
          <w:lang w:val="de-DE"/>
        </w:rPr>
      </w:pPr>
    </w:p>
    <w:p w14:paraId="4CB43B42" w14:textId="77777777" w:rsidR="00A56641" w:rsidRPr="004676F5" w:rsidRDefault="00A56641" w:rsidP="00A56641">
      <w:pPr>
        <w:jc w:val="both"/>
        <w:rPr>
          <w:lang w:val="de-DE"/>
        </w:rPr>
      </w:pPr>
      <w:r w:rsidRPr="004676F5">
        <w:rPr>
          <w:lang w:val="de-DE"/>
        </w:rPr>
        <w:tab/>
        <w:t>4. der Tatbestand verjährt ist.</w:t>
      </w:r>
    </w:p>
    <w:p w14:paraId="39523F53" w14:textId="77777777" w:rsidR="00A56641" w:rsidRPr="004676F5" w:rsidRDefault="00A56641" w:rsidP="00A56641">
      <w:pPr>
        <w:jc w:val="both"/>
        <w:rPr>
          <w:lang w:val="de-DE"/>
        </w:rPr>
      </w:pPr>
    </w:p>
    <w:p w14:paraId="23541FA8" w14:textId="1893FFFC" w:rsidR="00A56641" w:rsidRPr="004676F5" w:rsidRDefault="00A56641" w:rsidP="00A56641">
      <w:pPr>
        <w:jc w:val="both"/>
        <w:rPr>
          <w:lang w:val="de-DE"/>
        </w:rPr>
      </w:pPr>
      <w:r w:rsidRPr="004676F5">
        <w:rPr>
          <w:lang w:val="de-DE"/>
        </w:rPr>
        <w:tab/>
        <w:t>§ 4 ­ Wenn die in Artikel XV.2 erwähnten Bediensteten eine Beschwerde nicht bearbeiten oder ihre Bearbeitung nicht fortsetzen, teilen sie dies dem Beschwerdeführer innerhalb dreißig Tagen ab Eingang der Beschwerde schriftlich mit.]</w:t>
      </w:r>
    </w:p>
    <w:p w14:paraId="4D322AF1" w14:textId="77777777" w:rsidR="00A56641" w:rsidRPr="004676F5" w:rsidRDefault="00A56641" w:rsidP="00A56641">
      <w:pPr>
        <w:jc w:val="both"/>
        <w:rPr>
          <w:lang w:val="de-DE"/>
        </w:rPr>
      </w:pPr>
    </w:p>
    <w:p w14:paraId="3DC359A5" w14:textId="6E169827" w:rsidR="00A56641" w:rsidRPr="004676F5" w:rsidRDefault="00A56641" w:rsidP="00A56641">
      <w:pPr>
        <w:jc w:val="both"/>
        <w:rPr>
          <w:i/>
          <w:iCs/>
          <w:lang w:val="de-DE"/>
        </w:rPr>
      </w:pPr>
      <w:r w:rsidRPr="004676F5">
        <w:rPr>
          <w:i/>
          <w:iCs/>
          <w:lang w:val="de-DE"/>
        </w:rPr>
        <w:t>[Art. XV.18/5 eingefügt durch Art. 26</w:t>
      </w:r>
      <w:r w:rsidRPr="004676F5">
        <w:rPr>
          <w:bCs/>
          <w:i/>
          <w:iCs/>
          <w:lang w:val="de-DE"/>
        </w:rPr>
        <w:t xml:space="preserve"> des G. vom 5. November 2023</w:t>
      </w:r>
      <w:r w:rsidR="00857EC4" w:rsidRPr="004676F5">
        <w:rPr>
          <w:bCs/>
          <w:i/>
          <w:iCs/>
          <w:lang w:val="de-DE"/>
        </w:rPr>
        <w:t> (I</w:t>
      </w:r>
      <w:r w:rsidR="00AA0B2E" w:rsidRPr="004676F5">
        <w:rPr>
          <w:bCs/>
          <w:i/>
          <w:iCs/>
          <w:lang w:val="de-DE"/>
        </w:rPr>
        <w:t>I</w:t>
      </w:r>
      <w:r w:rsidR="00857EC4" w:rsidRPr="004676F5">
        <w:rPr>
          <w:bCs/>
          <w:i/>
          <w:iCs/>
          <w:lang w:val="de-DE"/>
        </w:rPr>
        <w:t>)</w:t>
      </w:r>
      <w:r w:rsidRPr="004676F5">
        <w:rPr>
          <w:bCs/>
          <w:i/>
          <w:iCs/>
          <w:lang w:val="de-DE"/>
        </w:rPr>
        <w:t xml:space="preserve"> (B.S. vom 28. November 2023)]</w:t>
      </w:r>
    </w:p>
    <w:p w14:paraId="6D4F34F6" w14:textId="77777777" w:rsidR="00A56641" w:rsidRPr="004676F5" w:rsidRDefault="00A56641" w:rsidP="00A56641">
      <w:pPr>
        <w:jc w:val="both"/>
        <w:rPr>
          <w:lang w:val="de-DE"/>
        </w:rPr>
      </w:pPr>
    </w:p>
    <w:p w14:paraId="12AFC5C5" w14:textId="77777777" w:rsidR="00A56641" w:rsidRPr="004676F5" w:rsidRDefault="00A56641" w:rsidP="00A56641">
      <w:pPr>
        <w:jc w:val="both"/>
        <w:rPr>
          <w:lang w:val="de-DE"/>
        </w:rPr>
      </w:pPr>
    </w:p>
    <w:p w14:paraId="0D2408DA" w14:textId="2287B29D" w:rsidR="00A56641" w:rsidRPr="004676F5" w:rsidRDefault="00A56641" w:rsidP="00A56641">
      <w:pPr>
        <w:jc w:val="both"/>
        <w:rPr>
          <w:lang w:val="de-DE"/>
        </w:rPr>
      </w:pPr>
      <w:r w:rsidRPr="004676F5">
        <w:rPr>
          <w:lang w:val="de-DE"/>
        </w:rPr>
        <w:tab/>
        <w:t>[</w:t>
      </w:r>
      <w:r w:rsidRPr="004676F5">
        <w:rPr>
          <w:b/>
          <w:bCs/>
          <w:lang w:val="de-DE"/>
        </w:rPr>
        <w:t>Art. XV.18/6</w:t>
      </w:r>
      <w:r w:rsidRPr="004676F5">
        <w:rPr>
          <w:lang w:val="de-DE"/>
        </w:rPr>
        <w:t> - § 1 - Menschen mit Behinderungen haben das Recht, ein Organ, eine Organisation oder eine Vereinigung ohne Gewinnerzielungsabsicht zu beauftragen, in ihrem Namen eine Beschwerde einzureichen.</w:t>
      </w:r>
    </w:p>
    <w:p w14:paraId="3A744180" w14:textId="77777777" w:rsidR="00A56641" w:rsidRPr="004676F5" w:rsidRDefault="00A56641" w:rsidP="00A56641">
      <w:pPr>
        <w:jc w:val="both"/>
        <w:rPr>
          <w:lang w:val="de-DE"/>
        </w:rPr>
      </w:pPr>
    </w:p>
    <w:p w14:paraId="1901AF15" w14:textId="77777777" w:rsidR="00A56641" w:rsidRPr="004676F5" w:rsidRDefault="00A56641" w:rsidP="00A56641">
      <w:pPr>
        <w:jc w:val="both"/>
        <w:rPr>
          <w:lang w:val="de-DE"/>
        </w:rPr>
      </w:pPr>
      <w:r w:rsidRPr="004676F5">
        <w:rPr>
          <w:lang w:val="de-DE"/>
        </w:rPr>
        <w:tab/>
        <w:t>§ 2 ­ Um gemäß § 1 eine Beschwerde einzureichen, muss das Organ, die Organisation oder die Vereinigung ohne Gewinnerzielungsabsicht:</w:t>
      </w:r>
    </w:p>
    <w:p w14:paraId="70A67B76" w14:textId="77777777" w:rsidR="00A56641" w:rsidRPr="004676F5" w:rsidRDefault="00A56641" w:rsidP="00A56641">
      <w:pPr>
        <w:jc w:val="both"/>
        <w:rPr>
          <w:lang w:val="de-DE"/>
        </w:rPr>
      </w:pPr>
    </w:p>
    <w:p w14:paraId="3DDB5EF8" w14:textId="77777777" w:rsidR="00A56641" w:rsidRPr="004676F5" w:rsidRDefault="00A56641" w:rsidP="00A56641">
      <w:pPr>
        <w:jc w:val="both"/>
        <w:rPr>
          <w:lang w:val="de-DE"/>
        </w:rPr>
      </w:pPr>
      <w:r w:rsidRPr="004676F5">
        <w:rPr>
          <w:lang w:val="de-DE"/>
        </w:rPr>
        <w:tab/>
        <w:t>1. nach belgischem Recht rechtsgültig gegründet sein,</w:t>
      </w:r>
    </w:p>
    <w:p w14:paraId="23D728BC" w14:textId="77777777" w:rsidR="00A56641" w:rsidRPr="004676F5" w:rsidRDefault="00A56641" w:rsidP="00A56641">
      <w:pPr>
        <w:jc w:val="both"/>
        <w:rPr>
          <w:lang w:val="de-DE"/>
        </w:rPr>
      </w:pPr>
    </w:p>
    <w:p w14:paraId="10428992" w14:textId="77777777" w:rsidR="00A56641" w:rsidRPr="004676F5" w:rsidRDefault="00A56641" w:rsidP="00A56641">
      <w:pPr>
        <w:jc w:val="both"/>
        <w:rPr>
          <w:lang w:val="de-DE"/>
        </w:rPr>
      </w:pPr>
      <w:r w:rsidRPr="004676F5">
        <w:rPr>
          <w:lang w:val="de-DE"/>
        </w:rPr>
        <w:tab/>
        <w:t>2. Rechtspersönlichkeit besitzen,</w:t>
      </w:r>
    </w:p>
    <w:p w14:paraId="63A44E46" w14:textId="77777777" w:rsidR="00A56641" w:rsidRPr="004676F5" w:rsidRDefault="00A56641" w:rsidP="00A56641">
      <w:pPr>
        <w:jc w:val="both"/>
        <w:rPr>
          <w:lang w:val="de-DE"/>
        </w:rPr>
      </w:pPr>
    </w:p>
    <w:p w14:paraId="315BC206" w14:textId="77777777" w:rsidR="00A56641" w:rsidRPr="004676F5" w:rsidRDefault="00A56641" w:rsidP="00A56641">
      <w:pPr>
        <w:jc w:val="both"/>
        <w:rPr>
          <w:lang w:val="de-DE"/>
        </w:rPr>
      </w:pPr>
      <w:r w:rsidRPr="004676F5">
        <w:rPr>
          <w:lang w:val="de-DE"/>
        </w:rPr>
        <w:lastRenderedPageBreak/>
        <w:tab/>
        <w:t>3. Satzungsziele von öffentlichem Interesse haben,</w:t>
      </w:r>
    </w:p>
    <w:p w14:paraId="282F3DEB" w14:textId="77777777" w:rsidR="00A56641" w:rsidRPr="004676F5" w:rsidRDefault="00A56641" w:rsidP="00A56641">
      <w:pPr>
        <w:jc w:val="both"/>
        <w:rPr>
          <w:lang w:val="de-DE"/>
        </w:rPr>
      </w:pPr>
    </w:p>
    <w:p w14:paraId="37671CC4" w14:textId="77777777" w:rsidR="00A56641" w:rsidRPr="004676F5" w:rsidRDefault="00A56641" w:rsidP="00A56641">
      <w:pPr>
        <w:jc w:val="both"/>
        <w:rPr>
          <w:lang w:val="de-DE"/>
        </w:rPr>
      </w:pPr>
      <w:r w:rsidRPr="004676F5">
        <w:rPr>
          <w:lang w:val="de-DE"/>
        </w:rPr>
        <w:tab/>
        <w:t>4. im Bereich des Schutzes der Rechte und Freiheiten von Menschen mit Behinderungen aktiv sein.</w:t>
      </w:r>
    </w:p>
    <w:p w14:paraId="09C74E1E" w14:textId="77777777" w:rsidR="00A56641" w:rsidRPr="004676F5" w:rsidRDefault="00A56641" w:rsidP="00A56641">
      <w:pPr>
        <w:jc w:val="both"/>
        <w:rPr>
          <w:lang w:val="de-DE"/>
        </w:rPr>
      </w:pPr>
    </w:p>
    <w:p w14:paraId="6A29C76D" w14:textId="4ADBEEB3" w:rsidR="00A56641" w:rsidRPr="004676F5" w:rsidRDefault="00A56641" w:rsidP="00A56641">
      <w:pPr>
        <w:jc w:val="both"/>
        <w:rPr>
          <w:lang w:val="de-DE"/>
        </w:rPr>
      </w:pPr>
      <w:r w:rsidRPr="004676F5">
        <w:rPr>
          <w:lang w:val="de-DE"/>
        </w:rPr>
        <w:tab/>
        <w:t>§ 3 ­ Das Organ, die Organisation oder die Vereinigung ohne Gewinnerzielungsabsicht weist durch Vorlage seiner/ihrer Tätigkeitsberichte oder anderer Unterlagen nach, dass die in § 2 Nr. 4 erwähnte Bedingung erfüllt ist.]</w:t>
      </w:r>
    </w:p>
    <w:p w14:paraId="1654EFDD" w14:textId="77777777" w:rsidR="00A56641" w:rsidRPr="004676F5" w:rsidRDefault="00A56641" w:rsidP="00A56641">
      <w:pPr>
        <w:jc w:val="both"/>
        <w:rPr>
          <w:lang w:val="de-DE"/>
        </w:rPr>
      </w:pPr>
    </w:p>
    <w:p w14:paraId="66B50CCB" w14:textId="73D7FE9C" w:rsidR="00A56641" w:rsidRPr="004676F5" w:rsidRDefault="00A56641" w:rsidP="00A56641">
      <w:pPr>
        <w:jc w:val="both"/>
        <w:rPr>
          <w:bCs/>
          <w:i/>
          <w:iCs/>
          <w:lang w:val="de-DE"/>
        </w:rPr>
      </w:pPr>
      <w:r w:rsidRPr="004676F5">
        <w:rPr>
          <w:bCs/>
          <w:i/>
          <w:iCs/>
          <w:lang w:val="de-DE"/>
        </w:rPr>
        <w:t>[Art. XV.18/6 eingefügt durch Art. 27 des G. vom 5. November 2023</w:t>
      </w:r>
      <w:r w:rsidR="00857EC4" w:rsidRPr="004676F5">
        <w:rPr>
          <w:bCs/>
          <w:i/>
          <w:iCs/>
          <w:lang w:val="de-DE"/>
        </w:rPr>
        <w:t> (</w:t>
      </w:r>
      <w:r w:rsidR="00AA0B2E" w:rsidRPr="004676F5">
        <w:rPr>
          <w:bCs/>
          <w:i/>
          <w:iCs/>
          <w:lang w:val="de-DE"/>
        </w:rPr>
        <w:t>I</w:t>
      </w:r>
      <w:r w:rsidR="00857EC4" w:rsidRPr="004676F5">
        <w:rPr>
          <w:bCs/>
          <w:i/>
          <w:iCs/>
          <w:lang w:val="de-DE"/>
        </w:rPr>
        <w:t>I)</w:t>
      </w:r>
      <w:r w:rsidRPr="004676F5">
        <w:rPr>
          <w:bCs/>
          <w:i/>
          <w:iCs/>
          <w:lang w:val="de-DE"/>
        </w:rPr>
        <w:t xml:space="preserve"> (B.S. vom 28. November 2023)]</w:t>
      </w:r>
    </w:p>
    <w:p w14:paraId="561FDCB3" w14:textId="77777777" w:rsidR="00A56641" w:rsidRPr="004676F5" w:rsidRDefault="00A56641" w:rsidP="00A56641">
      <w:pPr>
        <w:jc w:val="both"/>
        <w:rPr>
          <w:bCs/>
          <w:lang w:val="de-DE"/>
        </w:rPr>
      </w:pPr>
    </w:p>
    <w:p w14:paraId="0DA6FDCA" w14:textId="77777777" w:rsidR="00A56641" w:rsidRPr="004676F5" w:rsidRDefault="00A56641" w:rsidP="00A56641">
      <w:pPr>
        <w:jc w:val="both"/>
        <w:rPr>
          <w:bCs/>
          <w:lang w:val="de-DE"/>
        </w:rPr>
      </w:pPr>
    </w:p>
    <w:p w14:paraId="1C8E3CF8" w14:textId="0FF67A8E" w:rsidR="00A56641" w:rsidRPr="004676F5" w:rsidRDefault="00A56641" w:rsidP="00A56641">
      <w:pPr>
        <w:jc w:val="center"/>
        <w:rPr>
          <w:lang w:val="de-DE"/>
        </w:rPr>
      </w:pPr>
      <w:r w:rsidRPr="004676F5">
        <w:rPr>
          <w:bCs/>
          <w:lang w:val="de-DE"/>
        </w:rPr>
        <w:t>[</w:t>
      </w:r>
      <w:r w:rsidRPr="004676F5">
        <w:rPr>
          <w:lang w:val="de-DE"/>
        </w:rPr>
        <w:t>Unterabschnitt 2 - Marktüberwachung von Produkten]</w:t>
      </w:r>
    </w:p>
    <w:p w14:paraId="07E534A0" w14:textId="77777777" w:rsidR="00A56641" w:rsidRPr="004676F5" w:rsidRDefault="00A56641" w:rsidP="00A56641">
      <w:pPr>
        <w:jc w:val="both"/>
        <w:rPr>
          <w:lang w:val="de-DE"/>
        </w:rPr>
      </w:pPr>
    </w:p>
    <w:p w14:paraId="3E8CE9EC" w14:textId="404F9CFC" w:rsidR="00A56641" w:rsidRPr="004676F5" w:rsidRDefault="00A56641" w:rsidP="00A56641">
      <w:pPr>
        <w:jc w:val="both"/>
        <w:rPr>
          <w:bCs/>
          <w:i/>
          <w:iCs/>
          <w:lang w:val="de-DE"/>
        </w:rPr>
      </w:pPr>
      <w:r w:rsidRPr="004676F5">
        <w:rPr>
          <w:bCs/>
          <w:i/>
          <w:lang w:val="de-DE"/>
        </w:rPr>
        <w:t>[Unterteilung Unterabschnitt 2 eingefügt durch Art. 28</w:t>
      </w:r>
      <w:r w:rsidRPr="004676F5">
        <w:rPr>
          <w:bCs/>
          <w:i/>
          <w:iCs/>
          <w:lang w:val="de-DE"/>
        </w:rPr>
        <w:t xml:space="preserve"> des G. vom 5. November 2023</w:t>
      </w:r>
      <w:r w:rsidR="00857EC4" w:rsidRPr="004676F5">
        <w:rPr>
          <w:bCs/>
          <w:i/>
          <w:iCs/>
          <w:lang w:val="de-DE"/>
        </w:rPr>
        <w:t> (</w:t>
      </w:r>
      <w:r w:rsidR="00AA0B2E" w:rsidRPr="004676F5">
        <w:rPr>
          <w:bCs/>
          <w:i/>
          <w:iCs/>
          <w:lang w:val="de-DE"/>
        </w:rPr>
        <w:t>I</w:t>
      </w:r>
      <w:r w:rsidR="00857EC4" w:rsidRPr="004676F5">
        <w:rPr>
          <w:bCs/>
          <w:i/>
          <w:iCs/>
          <w:lang w:val="de-DE"/>
        </w:rPr>
        <w:t>I)</w:t>
      </w:r>
      <w:r w:rsidRPr="004676F5">
        <w:rPr>
          <w:bCs/>
          <w:i/>
          <w:iCs/>
          <w:lang w:val="de-DE"/>
        </w:rPr>
        <w:t xml:space="preserve"> (B.S. vom 28. November 2023)]</w:t>
      </w:r>
    </w:p>
    <w:p w14:paraId="21F6F62B" w14:textId="77777777" w:rsidR="00A56641" w:rsidRPr="004676F5" w:rsidRDefault="00A56641" w:rsidP="00A56641">
      <w:pPr>
        <w:jc w:val="both"/>
        <w:rPr>
          <w:bCs/>
          <w:lang w:val="de-DE"/>
        </w:rPr>
      </w:pPr>
    </w:p>
    <w:p w14:paraId="553B9413" w14:textId="77777777" w:rsidR="00A56641" w:rsidRPr="004676F5" w:rsidRDefault="00A56641" w:rsidP="00A56641">
      <w:pPr>
        <w:jc w:val="both"/>
        <w:rPr>
          <w:bCs/>
          <w:lang w:val="de-DE"/>
        </w:rPr>
      </w:pPr>
    </w:p>
    <w:p w14:paraId="3CE70737" w14:textId="77777777" w:rsidR="00A56641" w:rsidRPr="004676F5" w:rsidRDefault="00A56641" w:rsidP="00A56641">
      <w:pPr>
        <w:jc w:val="both"/>
        <w:rPr>
          <w:lang w:val="de-DE"/>
        </w:rPr>
      </w:pPr>
      <w:r w:rsidRPr="004676F5">
        <w:rPr>
          <w:bCs/>
          <w:lang w:val="de-DE"/>
        </w:rPr>
        <w:tab/>
        <w:t>[</w:t>
      </w:r>
      <w:r w:rsidRPr="004676F5">
        <w:rPr>
          <w:b/>
          <w:bCs/>
          <w:lang w:val="de-DE"/>
        </w:rPr>
        <w:t>Art. XV.18/7</w:t>
      </w:r>
      <w:r w:rsidRPr="004676F5">
        <w:rPr>
          <w:lang w:val="de-DE"/>
        </w:rPr>
        <w:t> - § 1 - Wenn die in Artikel XV.2 erwähnten Bediensteten eine der folgenden Feststellungen machen, fordern sie den betreffenden Wirtschaftsakteur auf, die betreffende Nichtkonformität zu korrigieren:</w:t>
      </w:r>
    </w:p>
    <w:p w14:paraId="060C94D0" w14:textId="77777777" w:rsidR="00A56641" w:rsidRPr="004676F5" w:rsidRDefault="00A56641" w:rsidP="00A56641">
      <w:pPr>
        <w:jc w:val="both"/>
        <w:rPr>
          <w:lang w:val="de-DE"/>
        </w:rPr>
      </w:pPr>
    </w:p>
    <w:p w14:paraId="2BB59C25" w14:textId="77777777" w:rsidR="00A56641" w:rsidRPr="004676F5" w:rsidRDefault="00A56641" w:rsidP="00A56641">
      <w:pPr>
        <w:jc w:val="both"/>
        <w:rPr>
          <w:lang w:val="de-DE"/>
        </w:rPr>
      </w:pPr>
      <w:r w:rsidRPr="004676F5">
        <w:rPr>
          <w:lang w:val="de-DE"/>
        </w:rPr>
        <w:tab/>
        <w:t>1. Die CE-Kennzeichnung wurde unter Verletzung von Artikel 30 der Verordnung (EG) Nr. 765/2008 des Europäischen Parlaments und des Rates vom 9. Juli 2008 über die Vorschriften für die Akkreditierung und Marktüberwachung im Zusammenhang mit der Vermarktung von Produkten und zur Aufhebung der Verordnung (EWG) Nr. 339/93 des Rates oder von Buch VIII Titel 4 oder seiner Ausführungserlasse angebracht.</w:t>
      </w:r>
    </w:p>
    <w:p w14:paraId="71341433" w14:textId="77777777" w:rsidR="00A56641" w:rsidRPr="004676F5" w:rsidRDefault="00A56641" w:rsidP="00A56641">
      <w:pPr>
        <w:jc w:val="both"/>
        <w:rPr>
          <w:lang w:val="de-DE"/>
        </w:rPr>
      </w:pPr>
    </w:p>
    <w:p w14:paraId="75F7E3C8" w14:textId="77777777" w:rsidR="00A56641" w:rsidRPr="004676F5" w:rsidRDefault="00A56641" w:rsidP="00A56641">
      <w:pPr>
        <w:jc w:val="both"/>
        <w:rPr>
          <w:lang w:val="de-DE"/>
        </w:rPr>
      </w:pPr>
      <w:r w:rsidRPr="004676F5">
        <w:rPr>
          <w:lang w:val="de-DE"/>
        </w:rPr>
        <w:tab/>
        <w:t>2. Die CE-Kennzeichnung wurde nicht angebracht.</w:t>
      </w:r>
    </w:p>
    <w:p w14:paraId="41EA6837" w14:textId="77777777" w:rsidR="00A56641" w:rsidRPr="004676F5" w:rsidRDefault="00A56641" w:rsidP="00A56641">
      <w:pPr>
        <w:jc w:val="both"/>
        <w:rPr>
          <w:lang w:val="de-DE"/>
        </w:rPr>
      </w:pPr>
    </w:p>
    <w:p w14:paraId="58ACE9DC" w14:textId="77777777" w:rsidR="00A56641" w:rsidRPr="004676F5" w:rsidRDefault="00A56641" w:rsidP="00A56641">
      <w:pPr>
        <w:jc w:val="both"/>
        <w:rPr>
          <w:lang w:val="de-DE"/>
        </w:rPr>
      </w:pPr>
      <w:r w:rsidRPr="004676F5">
        <w:rPr>
          <w:lang w:val="de-DE"/>
        </w:rPr>
        <w:tab/>
        <w:t>3. Die EU-Konformitätserklärung wurde nicht ausgestellt.</w:t>
      </w:r>
    </w:p>
    <w:p w14:paraId="7C947BA1" w14:textId="77777777" w:rsidR="00A56641" w:rsidRPr="004676F5" w:rsidRDefault="00A56641" w:rsidP="00A56641">
      <w:pPr>
        <w:jc w:val="both"/>
        <w:rPr>
          <w:lang w:val="de-DE"/>
        </w:rPr>
      </w:pPr>
    </w:p>
    <w:p w14:paraId="6757C01A" w14:textId="77777777" w:rsidR="00A56641" w:rsidRPr="004676F5" w:rsidRDefault="00A56641" w:rsidP="00A56641">
      <w:pPr>
        <w:jc w:val="both"/>
        <w:rPr>
          <w:lang w:val="de-DE"/>
        </w:rPr>
      </w:pPr>
      <w:r w:rsidRPr="004676F5">
        <w:rPr>
          <w:lang w:val="de-DE"/>
        </w:rPr>
        <w:tab/>
        <w:t>4. Die EU-Konformitätserklärung wurde nicht korrekt ausgestellt.</w:t>
      </w:r>
    </w:p>
    <w:p w14:paraId="2C71A5F3" w14:textId="77777777" w:rsidR="00A56641" w:rsidRPr="004676F5" w:rsidRDefault="00A56641" w:rsidP="00A56641">
      <w:pPr>
        <w:jc w:val="both"/>
        <w:rPr>
          <w:lang w:val="de-DE"/>
        </w:rPr>
      </w:pPr>
    </w:p>
    <w:p w14:paraId="1EF82276" w14:textId="77777777" w:rsidR="00A56641" w:rsidRPr="004676F5" w:rsidRDefault="00A56641" w:rsidP="00A56641">
      <w:pPr>
        <w:jc w:val="both"/>
        <w:rPr>
          <w:lang w:val="de-DE"/>
        </w:rPr>
      </w:pPr>
      <w:r w:rsidRPr="004676F5">
        <w:rPr>
          <w:lang w:val="de-DE"/>
        </w:rPr>
        <w:tab/>
        <w:t>5. Die technische Dokumentation ist entweder nicht verfügbar oder unvollständig.</w:t>
      </w:r>
    </w:p>
    <w:p w14:paraId="304ED1C6" w14:textId="77777777" w:rsidR="00A56641" w:rsidRPr="004676F5" w:rsidRDefault="00A56641" w:rsidP="00A56641">
      <w:pPr>
        <w:jc w:val="both"/>
        <w:rPr>
          <w:lang w:val="de-DE"/>
        </w:rPr>
      </w:pPr>
    </w:p>
    <w:p w14:paraId="5AD268A7" w14:textId="77777777" w:rsidR="00A56641" w:rsidRPr="004676F5" w:rsidRDefault="00A56641" w:rsidP="00A56641">
      <w:pPr>
        <w:jc w:val="both"/>
        <w:rPr>
          <w:lang w:val="de-DE"/>
        </w:rPr>
      </w:pPr>
      <w:r w:rsidRPr="004676F5">
        <w:rPr>
          <w:lang w:val="de-DE"/>
        </w:rPr>
        <w:tab/>
        <w:t>6. Andere in Buch VIII oder seinen Ausführungserlassen erwähnte Informationen fehlen, sind falsch oder unvollständig.</w:t>
      </w:r>
    </w:p>
    <w:p w14:paraId="5505B2B2" w14:textId="77777777" w:rsidR="00A56641" w:rsidRPr="004676F5" w:rsidRDefault="00A56641" w:rsidP="00A56641">
      <w:pPr>
        <w:jc w:val="both"/>
        <w:rPr>
          <w:lang w:val="de-DE"/>
        </w:rPr>
      </w:pPr>
    </w:p>
    <w:p w14:paraId="56A5434F" w14:textId="77777777" w:rsidR="00A56641" w:rsidRPr="004676F5" w:rsidRDefault="00A56641" w:rsidP="00A56641">
      <w:pPr>
        <w:jc w:val="both"/>
        <w:rPr>
          <w:lang w:val="de-DE"/>
        </w:rPr>
      </w:pPr>
      <w:r w:rsidRPr="004676F5">
        <w:rPr>
          <w:lang w:val="de-DE"/>
        </w:rPr>
        <w:tab/>
        <w:t>7. Eine andere in Buch VIII oder seinen Ausführungserlassen vorgesehene Verwaltungsanforderung ist nicht erfüllt.</w:t>
      </w:r>
    </w:p>
    <w:p w14:paraId="1D141614" w14:textId="77777777" w:rsidR="00A56641" w:rsidRPr="004676F5" w:rsidRDefault="00A56641" w:rsidP="00A56641">
      <w:pPr>
        <w:jc w:val="both"/>
        <w:rPr>
          <w:lang w:val="de-DE"/>
        </w:rPr>
      </w:pPr>
    </w:p>
    <w:p w14:paraId="1C229CDB" w14:textId="1418CACB" w:rsidR="00A56641" w:rsidRPr="004676F5" w:rsidRDefault="00A56641" w:rsidP="00A56641">
      <w:pPr>
        <w:jc w:val="both"/>
        <w:rPr>
          <w:lang w:val="de-DE"/>
        </w:rPr>
      </w:pPr>
      <w:r w:rsidRPr="004676F5">
        <w:rPr>
          <w:lang w:val="de-DE"/>
        </w:rPr>
        <w:tab/>
        <w:t>§ 2 ­ Besteht die Nichtkonformität gemäß § 1 weiter, kann der Minister oder sein Beauftragter alle geeigneten Maßnahmen treffen, um die Bereitstellung des Produkts auf dem Markt einzuschränken oder zu untersagen oder um dafür zu sorgen, dass es vom Markt genommen wird.]</w:t>
      </w:r>
    </w:p>
    <w:p w14:paraId="2DF496B9" w14:textId="77777777" w:rsidR="00A56641" w:rsidRPr="004676F5" w:rsidRDefault="00A56641" w:rsidP="00A56641">
      <w:pPr>
        <w:jc w:val="both"/>
        <w:rPr>
          <w:lang w:val="de-DE"/>
        </w:rPr>
      </w:pPr>
    </w:p>
    <w:p w14:paraId="5A836BF3" w14:textId="49464231" w:rsidR="00A56641" w:rsidRPr="004676F5" w:rsidRDefault="00A56641" w:rsidP="00A56641">
      <w:pPr>
        <w:jc w:val="both"/>
        <w:rPr>
          <w:bCs/>
          <w:i/>
          <w:iCs/>
          <w:lang w:val="de-DE"/>
        </w:rPr>
      </w:pPr>
      <w:r w:rsidRPr="004676F5">
        <w:rPr>
          <w:bCs/>
          <w:i/>
          <w:iCs/>
          <w:lang w:val="de-DE"/>
        </w:rPr>
        <w:t>[Art. XV.18/7 eingefügt durch Art. 29 des G. vom 5. November 2023</w:t>
      </w:r>
      <w:r w:rsidR="00857EC4" w:rsidRPr="004676F5">
        <w:rPr>
          <w:bCs/>
          <w:i/>
          <w:iCs/>
          <w:lang w:val="de-DE"/>
        </w:rPr>
        <w:t> (</w:t>
      </w:r>
      <w:r w:rsidR="00AA0B2E" w:rsidRPr="004676F5">
        <w:rPr>
          <w:bCs/>
          <w:i/>
          <w:iCs/>
          <w:lang w:val="de-DE"/>
        </w:rPr>
        <w:t>I</w:t>
      </w:r>
      <w:r w:rsidR="00857EC4" w:rsidRPr="004676F5">
        <w:rPr>
          <w:bCs/>
          <w:i/>
          <w:iCs/>
          <w:lang w:val="de-DE"/>
        </w:rPr>
        <w:t>I)</w:t>
      </w:r>
      <w:r w:rsidRPr="004676F5">
        <w:rPr>
          <w:bCs/>
          <w:i/>
          <w:iCs/>
          <w:lang w:val="de-DE"/>
        </w:rPr>
        <w:t xml:space="preserve"> (B.S. vom 28. November 2023)]</w:t>
      </w:r>
    </w:p>
    <w:p w14:paraId="0BCB400F" w14:textId="77777777" w:rsidR="00A56641" w:rsidRPr="004676F5" w:rsidRDefault="00A56641" w:rsidP="00A56641">
      <w:pPr>
        <w:jc w:val="both"/>
        <w:rPr>
          <w:bCs/>
          <w:lang w:val="de-DE"/>
        </w:rPr>
      </w:pPr>
    </w:p>
    <w:p w14:paraId="1A4FB062" w14:textId="77777777" w:rsidR="00A56641" w:rsidRPr="004676F5" w:rsidRDefault="00A56641" w:rsidP="00A56641">
      <w:pPr>
        <w:jc w:val="center"/>
        <w:rPr>
          <w:lang w:val="de-DE"/>
        </w:rPr>
      </w:pPr>
    </w:p>
    <w:p w14:paraId="71EF502C" w14:textId="70BD293F" w:rsidR="00BA2266" w:rsidRPr="004676F5" w:rsidRDefault="00BA2266" w:rsidP="00BA2266">
      <w:pPr>
        <w:ind w:firstLine="708"/>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Sonderbefugnisse für die Anwendung von Buch IX</w:t>
      </w:r>
    </w:p>
    <w:p w14:paraId="04E396CF" w14:textId="77777777" w:rsidR="00BA2266" w:rsidRPr="004676F5" w:rsidRDefault="00BA2266" w:rsidP="00BA2266">
      <w:pPr>
        <w:jc w:val="both"/>
        <w:rPr>
          <w:lang w:val="de-DE"/>
        </w:rPr>
      </w:pPr>
    </w:p>
    <w:p w14:paraId="2A1D2931" w14:textId="77777777" w:rsidR="00664554" w:rsidRPr="004676F5" w:rsidRDefault="00664554" w:rsidP="00BA2266">
      <w:pPr>
        <w:jc w:val="both"/>
        <w:rPr>
          <w:lang w:val="de-DE"/>
        </w:rPr>
      </w:pPr>
    </w:p>
    <w:p w14:paraId="3BC1F3CC" w14:textId="09576713" w:rsidR="00BA2266" w:rsidRPr="004676F5" w:rsidRDefault="00BE0A56" w:rsidP="00BA2266">
      <w:pPr>
        <w:ind w:firstLine="708"/>
        <w:jc w:val="both"/>
        <w:rPr>
          <w:lang w:val="de-DE"/>
        </w:rPr>
      </w:pPr>
      <w:r w:rsidRPr="004676F5">
        <w:rPr>
          <w:b/>
          <w:lang w:val="de-DE"/>
        </w:rPr>
        <w:t>Art. </w:t>
      </w:r>
      <w:r w:rsidR="00BA2266" w:rsidRPr="004676F5">
        <w:rPr>
          <w:b/>
          <w:lang w:val="de-DE"/>
        </w:rPr>
        <w:t>XV.19</w:t>
      </w:r>
      <w:r w:rsidR="00BA2266" w:rsidRPr="004676F5">
        <w:rPr>
          <w:lang w:val="de-DE"/>
        </w:rPr>
        <w:t> </w:t>
      </w:r>
      <w:r w:rsidR="005B7A5C" w:rsidRPr="004676F5">
        <w:rPr>
          <w:lang w:val="de-DE"/>
        </w:rPr>
        <w:t>- </w:t>
      </w:r>
      <w:r w:rsidR="00BA2266" w:rsidRPr="004676F5">
        <w:rPr>
          <w:lang w:val="de-DE"/>
        </w:rPr>
        <w:t>Unbeschadet des Kapitels 1 sind folgende Bestimmungen für die Anwendung von Buch IX anwendbar:</w:t>
      </w:r>
    </w:p>
    <w:p w14:paraId="1AB2BF64" w14:textId="77777777" w:rsidR="00BA2266" w:rsidRPr="004676F5" w:rsidRDefault="00BA2266" w:rsidP="00BA2266">
      <w:pPr>
        <w:ind w:firstLine="708"/>
        <w:jc w:val="both"/>
        <w:rPr>
          <w:lang w:val="de-DE"/>
        </w:rPr>
      </w:pPr>
    </w:p>
    <w:p w14:paraId="5665107B" w14:textId="77777777" w:rsidR="00BA2266" w:rsidRPr="004676F5" w:rsidRDefault="00BA2266" w:rsidP="00BA2266">
      <w:pPr>
        <w:ind w:firstLine="708"/>
        <w:jc w:val="both"/>
        <w:rPr>
          <w:lang w:val="de-DE"/>
        </w:rPr>
      </w:pPr>
      <w:r w:rsidRPr="004676F5">
        <w:rPr>
          <w:lang w:val="de-DE"/>
        </w:rPr>
        <w:t>1. In Artikel XV.2 erwähnte Bedienstete, Personalmitglieder der Zentralen Beratungsstelle und Mitglieder der Kommission für Verbrauchersicherheit sind zur Geheimhaltung der im Rahmen von Buch IX gesammelten Information verpflichtet, die aufgrund ihrer Art dem Berufsgeheimnis unterliegt, es sei denn, diese Information betrifft Sicherheitseigenschaften von Produkten und muss in Anbetracht der Umstände veröffentlicht werden, um die Gesundheit und Sicherheit der Verbraucher zu gewährleisten.</w:t>
      </w:r>
    </w:p>
    <w:p w14:paraId="7E361E83" w14:textId="77777777" w:rsidR="00BA2266" w:rsidRPr="004676F5" w:rsidRDefault="00BA2266" w:rsidP="00BA2266">
      <w:pPr>
        <w:jc w:val="both"/>
        <w:rPr>
          <w:lang w:val="de-DE"/>
        </w:rPr>
      </w:pPr>
    </w:p>
    <w:p w14:paraId="7D3D9401" w14:textId="77777777" w:rsidR="00BA2266" w:rsidRPr="004676F5" w:rsidRDefault="00BA2266" w:rsidP="00BA2266">
      <w:pPr>
        <w:ind w:firstLine="708"/>
        <w:jc w:val="both"/>
        <w:rPr>
          <w:lang w:val="de-DE"/>
        </w:rPr>
      </w:pPr>
      <w:r w:rsidRPr="004676F5">
        <w:rPr>
          <w:lang w:val="de-DE"/>
        </w:rPr>
        <w:t>2. Im Rahmen ihres Auftrags dürfen die in Artikel XV.2 erwähnten Bediensteten relevante Feststellungen und Analyseergebnisse, die ihnen von anderen Behörden mitgeteilt werden, verwenden.</w:t>
      </w:r>
    </w:p>
    <w:p w14:paraId="3E63D37D" w14:textId="77777777" w:rsidR="00664554" w:rsidRPr="004676F5" w:rsidRDefault="00664554" w:rsidP="00664554">
      <w:pPr>
        <w:rPr>
          <w:lang w:val="de-DE"/>
        </w:rPr>
      </w:pPr>
    </w:p>
    <w:p w14:paraId="16B53642" w14:textId="77777777" w:rsidR="00664554" w:rsidRPr="004676F5" w:rsidRDefault="00664554" w:rsidP="00664554">
      <w:pPr>
        <w:rPr>
          <w:lang w:val="de-DE"/>
        </w:rPr>
      </w:pPr>
    </w:p>
    <w:p w14:paraId="40EF3F45" w14:textId="7539AA23" w:rsidR="00BA2266" w:rsidRPr="004676F5" w:rsidRDefault="00664554" w:rsidP="00BE3947">
      <w:pPr>
        <w:jc w:val="both"/>
        <w:rPr>
          <w:lang w:val="de-DE"/>
        </w:rPr>
      </w:pPr>
      <w:r w:rsidRPr="004676F5">
        <w:rPr>
          <w:lang w:val="de-DE"/>
        </w:rPr>
        <w:tab/>
      </w:r>
      <w:r w:rsidR="00BE0A56" w:rsidRPr="004676F5">
        <w:rPr>
          <w:b/>
          <w:lang w:val="de-DE"/>
        </w:rPr>
        <w:t>Art. </w:t>
      </w:r>
      <w:r w:rsidR="00BA2266" w:rsidRPr="004676F5">
        <w:rPr>
          <w:b/>
          <w:lang w:val="de-DE"/>
        </w:rPr>
        <w:t>XV.20</w:t>
      </w:r>
      <w:r w:rsidR="00BA2266" w:rsidRPr="004676F5">
        <w:rPr>
          <w:lang w:val="de-DE"/>
        </w:rPr>
        <w:t> </w:t>
      </w:r>
      <w:r w:rsidR="005B7A5C" w:rsidRPr="004676F5">
        <w:rPr>
          <w:lang w:val="de-DE"/>
        </w:rPr>
        <w:t>- </w:t>
      </w:r>
      <w:r w:rsidR="00BA2266" w:rsidRPr="004676F5">
        <w:rPr>
          <w:lang w:val="de-DE"/>
        </w:rPr>
        <w:t>Mit der Kontrolle anderer Rechtsvorschriften beauftragte Bedienstete dürfen im Rahmen der Kontrolle der Bestimmungen von Buch IX und anderen Rechtsvorschriften erhaltene Auskünfte für die Ausübung aller Kontrollaufträge, mit denen sie beauftragt sind, verwenden.</w:t>
      </w:r>
    </w:p>
    <w:p w14:paraId="355B03DF" w14:textId="77777777" w:rsidR="00BA2266" w:rsidRPr="004676F5" w:rsidRDefault="00BA2266" w:rsidP="00BA2266">
      <w:pPr>
        <w:jc w:val="both"/>
        <w:rPr>
          <w:lang w:val="de-DE"/>
        </w:rPr>
      </w:pPr>
    </w:p>
    <w:p w14:paraId="2A70D4D4" w14:textId="77769DF8" w:rsidR="00901C74" w:rsidRPr="004676F5" w:rsidRDefault="00901C74">
      <w:pPr>
        <w:rPr>
          <w:lang w:val="de-DE"/>
        </w:rPr>
      </w:pPr>
    </w:p>
    <w:p w14:paraId="2B44F16E" w14:textId="1A093AE5" w:rsidR="00320AA7" w:rsidRPr="004676F5" w:rsidRDefault="00320AA7" w:rsidP="00320AA7">
      <w:pPr>
        <w:jc w:val="center"/>
        <w:rPr>
          <w:lang w:val="de-DE"/>
        </w:rPr>
      </w:pPr>
      <w:r w:rsidRPr="004676F5">
        <w:rPr>
          <w:lang w:val="de-DE"/>
        </w:rPr>
        <w:t>[</w:t>
      </w:r>
      <w:r w:rsidRPr="004676F5">
        <w:rPr>
          <w:i/>
          <w:lang w:val="de-DE"/>
        </w:rPr>
        <w:t>Abschnitt 4 </w:t>
      </w:r>
      <w:r w:rsidR="005B7A5C" w:rsidRPr="004676F5">
        <w:rPr>
          <w:lang w:val="de-DE"/>
        </w:rPr>
        <w:t>- </w:t>
      </w:r>
      <w:r w:rsidRPr="004676F5">
        <w:rPr>
          <w:lang w:val="de-DE"/>
        </w:rPr>
        <w:t>Sonderbefugnisse für die Anwendung von Buch XI</w:t>
      </w:r>
    </w:p>
    <w:p w14:paraId="0EEED3D1" w14:textId="77777777" w:rsidR="00320AA7" w:rsidRPr="004676F5" w:rsidRDefault="00320AA7" w:rsidP="00320AA7">
      <w:pPr>
        <w:ind w:firstLine="708"/>
        <w:jc w:val="both"/>
        <w:rPr>
          <w:lang w:val="de-DE"/>
        </w:rPr>
      </w:pPr>
    </w:p>
    <w:p w14:paraId="7B40BE02" w14:textId="079862D6" w:rsidR="00320AA7" w:rsidRPr="004676F5" w:rsidRDefault="00320AA7" w:rsidP="00320AA7">
      <w:pPr>
        <w:jc w:val="both"/>
        <w:rPr>
          <w:i/>
          <w:lang w:val="de-DE"/>
        </w:rPr>
      </w:pPr>
      <w:r w:rsidRPr="004676F5">
        <w:rPr>
          <w:i/>
          <w:lang w:val="de-DE"/>
        </w:rPr>
        <w:t xml:space="preserve">[Abschnitt 4 mit den Artikeln XV.21 bis XV.25/4 eingefügt durch </w:t>
      </w:r>
      <w:r w:rsidR="00BE0A56" w:rsidRPr="004676F5">
        <w:rPr>
          <w:i/>
          <w:lang w:val="de-DE"/>
        </w:rPr>
        <w:t>Art. </w:t>
      </w:r>
      <w:r w:rsidRPr="004676F5">
        <w:rPr>
          <w:i/>
          <w:lang w:val="de-DE"/>
        </w:rPr>
        <w:t>4 des G. vom 19. April 2014 (II) (B.S. vom 12. Juni 2014)]</w:t>
      </w:r>
    </w:p>
    <w:p w14:paraId="7DC63EB2" w14:textId="77777777" w:rsidR="00320AA7" w:rsidRPr="004676F5" w:rsidRDefault="00320AA7" w:rsidP="00320AA7">
      <w:pPr>
        <w:jc w:val="both"/>
        <w:rPr>
          <w:i/>
          <w:lang w:val="de-DE"/>
        </w:rPr>
      </w:pPr>
    </w:p>
    <w:p w14:paraId="39602920" w14:textId="77777777" w:rsidR="00320AA7" w:rsidRPr="004676F5" w:rsidRDefault="00320AA7" w:rsidP="00320AA7">
      <w:pPr>
        <w:jc w:val="both"/>
        <w:rPr>
          <w:i/>
          <w:lang w:val="de-DE"/>
        </w:rPr>
      </w:pPr>
    </w:p>
    <w:p w14:paraId="39169135" w14:textId="7EEBB862" w:rsidR="00320AA7" w:rsidRPr="004676F5" w:rsidRDefault="00320AA7" w:rsidP="00320AA7">
      <w:pPr>
        <w:jc w:val="center"/>
        <w:rPr>
          <w:lang w:val="de-DE"/>
        </w:rPr>
      </w:pPr>
      <w:r w:rsidRPr="004676F5">
        <w:rPr>
          <w:lang w:val="de-DE"/>
        </w:rPr>
        <w:t>Unterabschnitt 1 </w:t>
      </w:r>
      <w:r w:rsidR="005B7A5C" w:rsidRPr="004676F5">
        <w:rPr>
          <w:lang w:val="de-DE"/>
        </w:rPr>
        <w:t>- </w:t>
      </w:r>
      <w:r w:rsidRPr="004676F5">
        <w:rPr>
          <w:lang w:val="de-DE"/>
        </w:rPr>
        <w:t>Bekämpfung der Nachahmung und Piraterie</w:t>
      </w:r>
    </w:p>
    <w:p w14:paraId="31CD7D44" w14:textId="77777777" w:rsidR="00320AA7" w:rsidRPr="004676F5" w:rsidRDefault="00320AA7" w:rsidP="00320AA7">
      <w:pPr>
        <w:jc w:val="both"/>
        <w:rPr>
          <w:lang w:val="de-DE"/>
        </w:rPr>
      </w:pPr>
    </w:p>
    <w:p w14:paraId="334B5978" w14:textId="77777777" w:rsidR="00320AA7" w:rsidRPr="004676F5" w:rsidRDefault="00320AA7" w:rsidP="00320AA7">
      <w:pPr>
        <w:jc w:val="both"/>
        <w:rPr>
          <w:lang w:val="de-DE"/>
        </w:rPr>
      </w:pPr>
    </w:p>
    <w:p w14:paraId="6CB41A2C" w14:textId="0384D997" w:rsidR="00320AA7" w:rsidRPr="004676F5" w:rsidRDefault="00BE0A56" w:rsidP="00320AA7">
      <w:pPr>
        <w:ind w:firstLine="708"/>
        <w:jc w:val="both"/>
        <w:rPr>
          <w:lang w:val="de-DE"/>
        </w:rPr>
      </w:pPr>
      <w:r w:rsidRPr="004676F5">
        <w:rPr>
          <w:b/>
          <w:lang w:val="de-DE"/>
        </w:rPr>
        <w:t>Art. </w:t>
      </w:r>
      <w:r w:rsidR="00320AA7" w:rsidRPr="004676F5">
        <w:rPr>
          <w:b/>
          <w:lang w:val="de-DE"/>
        </w:rPr>
        <w:t>XV.21</w:t>
      </w:r>
      <w:r w:rsidR="00320AA7" w:rsidRPr="004676F5">
        <w:rPr>
          <w:lang w:val="de-DE"/>
        </w:rPr>
        <w:t> </w:t>
      </w:r>
      <w:r w:rsidR="005B7A5C" w:rsidRPr="004676F5">
        <w:rPr>
          <w:lang w:val="de-DE"/>
        </w:rPr>
        <w:t>- </w:t>
      </w:r>
      <w:r w:rsidR="00320AA7" w:rsidRPr="004676F5">
        <w:rPr>
          <w:lang w:val="de-DE"/>
        </w:rPr>
        <w:t>In Abweichung von Kapitel 1 sind in den Artikeln XV.2 und XV.25/1 erwähnte Bedienstete nur für die in Titel 3 Kapitel 2 Abschnitt 8 Unterabschnitt 1 erwähnten Verstöße zur Ermittlung und Feststellung von Verstößen gegen Buch XI befugt.</w:t>
      </w:r>
    </w:p>
    <w:p w14:paraId="545CF20F" w14:textId="77777777" w:rsidR="00320AA7" w:rsidRPr="004676F5" w:rsidRDefault="00320AA7" w:rsidP="00320AA7">
      <w:pPr>
        <w:ind w:firstLine="708"/>
        <w:jc w:val="both"/>
        <w:rPr>
          <w:lang w:val="de-DE"/>
        </w:rPr>
      </w:pPr>
    </w:p>
    <w:p w14:paraId="0CBF0ED5" w14:textId="77777777" w:rsidR="00320AA7" w:rsidRPr="004676F5" w:rsidRDefault="00320AA7" w:rsidP="00320AA7">
      <w:pPr>
        <w:ind w:firstLine="708"/>
        <w:jc w:val="both"/>
        <w:rPr>
          <w:lang w:val="de-DE"/>
        </w:rPr>
      </w:pPr>
    </w:p>
    <w:p w14:paraId="18A8ABA4" w14:textId="74718D78" w:rsidR="00320AA7" w:rsidRPr="004676F5" w:rsidRDefault="00BE0A56" w:rsidP="00320AA7">
      <w:pPr>
        <w:ind w:firstLine="708"/>
        <w:jc w:val="both"/>
        <w:rPr>
          <w:lang w:val="de-DE"/>
        </w:rPr>
      </w:pPr>
      <w:r w:rsidRPr="004676F5">
        <w:rPr>
          <w:b/>
          <w:lang w:val="de-DE"/>
        </w:rPr>
        <w:t>Art. </w:t>
      </w:r>
      <w:r w:rsidR="00320AA7" w:rsidRPr="004676F5">
        <w:rPr>
          <w:b/>
          <w:lang w:val="de-DE"/>
        </w:rPr>
        <w:t>XV.22</w:t>
      </w:r>
      <w:r w:rsidR="00320AA7" w:rsidRPr="004676F5">
        <w:rPr>
          <w:lang w:val="de-DE"/>
        </w:rPr>
        <w:t> </w:t>
      </w:r>
      <w:r w:rsidR="005B7A5C" w:rsidRPr="004676F5">
        <w:rPr>
          <w:lang w:val="de-DE"/>
        </w:rPr>
        <w:t>- </w:t>
      </w:r>
      <w:r w:rsidR="00320AA7" w:rsidRPr="004676F5">
        <w:rPr>
          <w:lang w:val="de-DE"/>
        </w:rPr>
        <w:t>In den Artikeln XV.2 und XV.25/1 erwähnte Bedienstete können die in Artikel XV.3 Nr. 1 Absatz 1 erwähnten Befugnisse nur ausüben, wenn berechtigterweise angenommen werden kann, dass sich Waren, die ein geistiges Eigentumsrecht verletzen, an diesen Orten befinden.</w:t>
      </w:r>
    </w:p>
    <w:p w14:paraId="19CD7724" w14:textId="77777777" w:rsidR="00320AA7" w:rsidRPr="004676F5" w:rsidRDefault="00320AA7" w:rsidP="00320AA7">
      <w:pPr>
        <w:ind w:firstLine="708"/>
        <w:jc w:val="both"/>
        <w:rPr>
          <w:lang w:val="de-DE"/>
        </w:rPr>
      </w:pPr>
    </w:p>
    <w:p w14:paraId="7A605B45" w14:textId="77777777" w:rsidR="00320AA7" w:rsidRPr="004676F5" w:rsidRDefault="00320AA7" w:rsidP="00320AA7">
      <w:pPr>
        <w:ind w:firstLine="708"/>
        <w:jc w:val="both"/>
        <w:rPr>
          <w:lang w:val="de-DE"/>
        </w:rPr>
      </w:pPr>
      <w:r w:rsidRPr="004676F5">
        <w:rPr>
          <w:lang w:val="de-DE"/>
        </w:rPr>
        <w:t>In Absatz 1 erwähnte Bedienstete können die in Artikel XV.3 Nr. 4 erwähnten Befugnisse nur ausüben, wenn berechtigterweise angenommen werden kann, dass Pakete, Kisten, Fässer und andere Arten von Verpackungen Waren enthalten, die ein geistiges Eigentumsrecht verletzen.</w:t>
      </w:r>
    </w:p>
    <w:p w14:paraId="5D9A52F0" w14:textId="77777777" w:rsidR="00320AA7" w:rsidRPr="004676F5" w:rsidRDefault="00320AA7" w:rsidP="00320AA7">
      <w:pPr>
        <w:ind w:firstLine="708"/>
        <w:jc w:val="both"/>
        <w:rPr>
          <w:lang w:val="de-DE"/>
        </w:rPr>
      </w:pPr>
    </w:p>
    <w:p w14:paraId="046C982F" w14:textId="77777777" w:rsidR="00320AA7" w:rsidRPr="004676F5" w:rsidRDefault="00320AA7" w:rsidP="00320AA7">
      <w:pPr>
        <w:ind w:firstLine="708"/>
        <w:jc w:val="both"/>
        <w:rPr>
          <w:lang w:val="de-DE"/>
        </w:rPr>
      </w:pPr>
      <w:r w:rsidRPr="004676F5">
        <w:rPr>
          <w:lang w:val="de-DE"/>
        </w:rPr>
        <w:lastRenderedPageBreak/>
        <w:t>In Absatz 1 erwähnte Bedienstete können die in Artikel XV.3 Nr. 5 erwähnten Befugnisse nur ausüben, wenn im Rahmen einer Untersuchung wegen Verstoß gegen die Bestimmungen von Titel 3 Kapitel 2 Abschnitt 8 Unterabschnitt 1 schwerwiegende Indizien für die Verletzung eines geistigen Eigentumsrechts bestehen.</w:t>
      </w:r>
    </w:p>
    <w:p w14:paraId="5516F221" w14:textId="77777777" w:rsidR="00320AA7" w:rsidRPr="004676F5" w:rsidRDefault="00320AA7" w:rsidP="00320AA7">
      <w:pPr>
        <w:ind w:firstLine="708"/>
        <w:jc w:val="both"/>
        <w:rPr>
          <w:lang w:val="de-DE"/>
        </w:rPr>
      </w:pPr>
    </w:p>
    <w:p w14:paraId="6C53B886" w14:textId="77777777" w:rsidR="00320AA7" w:rsidRPr="004676F5" w:rsidRDefault="00320AA7" w:rsidP="00320AA7">
      <w:pPr>
        <w:ind w:firstLine="708"/>
        <w:jc w:val="both"/>
        <w:rPr>
          <w:lang w:val="de-DE"/>
        </w:rPr>
      </w:pPr>
    </w:p>
    <w:p w14:paraId="62DAD308" w14:textId="50D9B159" w:rsidR="00320AA7" w:rsidRPr="004676F5" w:rsidRDefault="00BE0A56" w:rsidP="00320AA7">
      <w:pPr>
        <w:ind w:firstLine="708"/>
        <w:jc w:val="both"/>
        <w:rPr>
          <w:lang w:val="de-DE"/>
        </w:rPr>
      </w:pPr>
      <w:r w:rsidRPr="004676F5">
        <w:rPr>
          <w:b/>
          <w:lang w:val="de-DE"/>
        </w:rPr>
        <w:t>Art. </w:t>
      </w:r>
      <w:r w:rsidR="00320AA7" w:rsidRPr="004676F5">
        <w:rPr>
          <w:b/>
          <w:lang w:val="de-DE"/>
        </w:rPr>
        <w:t>XV.23</w:t>
      </w:r>
      <w:r w:rsidR="00320AA7" w:rsidRPr="004676F5">
        <w:rPr>
          <w:lang w:val="de-DE"/>
        </w:rPr>
        <w:t> </w:t>
      </w:r>
      <w:r w:rsidR="005B7A5C" w:rsidRPr="004676F5">
        <w:rPr>
          <w:lang w:val="de-DE"/>
        </w:rPr>
        <w:t>- </w:t>
      </w:r>
      <w:r w:rsidR="00320AA7" w:rsidRPr="004676F5">
        <w:rPr>
          <w:lang w:val="de-DE"/>
        </w:rPr>
        <w:t>In Abweichung von Artikel XV.5 § 1 Absatz 1 können in den Artikeln XV.2 und XV.25/1 erwähnte Bedienstete bei der Ausübung ihres Auftrags in Bezug auf Verstöße, die in Titel 3 Kapitel 2 Abschnitt 8 Unterabschnitt 1 erwähnt sind, auf Risiko des Eigentümers, Inhabers oder Empfängers von Waren, für die vermutet wird, dass sie ein geistiges Eigentumsrecht verletzen, die Beschlagnahme dieser Waren und von Beförderungs</w:t>
      </w:r>
      <w:r w:rsidR="00320AA7" w:rsidRPr="004676F5">
        <w:rPr>
          <w:lang w:val="de-DE"/>
        </w:rPr>
        <w:softHyphen/>
        <w:t>mitteln, Geräten, Werkzeugen</w:t>
      </w:r>
      <w:r w:rsidR="007748FE" w:rsidRPr="004676F5">
        <w:rPr>
          <w:lang w:val="de-DE"/>
        </w:rPr>
        <w:t>[,</w:t>
      </w:r>
      <w:r w:rsidR="00320AA7" w:rsidRPr="004676F5">
        <w:rPr>
          <w:lang w:val="de-DE"/>
        </w:rPr>
        <w:t xml:space="preserve"> </w:t>
      </w:r>
      <w:r w:rsidR="007748FE" w:rsidRPr="004676F5">
        <w:rPr>
          <w:lang w:val="de-DE"/>
        </w:rPr>
        <w:t xml:space="preserve">Vermögensvorteilen aus dem Verkauf der Waren, die Gegenstand des Verstoßes sind,] </w:t>
      </w:r>
      <w:r w:rsidR="00320AA7" w:rsidRPr="004676F5">
        <w:rPr>
          <w:lang w:val="de-DE"/>
        </w:rPr>
        <w:t>und anderen Gegenständen vornehmen, die dazu gedient haben können, den Verstoß zu begehen.</w:t>
      </w:r>
    </w:p>
    <w:p w14:paraId="0401F0C8" w14:textId="77777777" w:rsidR="007748FE" w:rsidRPr="004676F5" w:rsidRDefault="007748FE" w:rsidP="007748FE">
      <w:pPr>
        <w:jc w:val="both"/>
        <w:rPr>
          <w:lang w:val="de-DE"/>
        </w:rPr>
      </w:pPr>
    </w:p>
    <w:p w14:paraId="72571B74" w14:textId="3A8E7CB6" w:rsidR="007748FE" w:rsidRPr="004676F5" w:rsidRDefault="007748FE" w:rsidP="007748FE">
      <w:pPr>
        <w:jc w:val="both"/>
        <w:rPr>
          <w:i/>
          <w:iCs/>
          <w:lang w:val="de-DE"/>
        </w:rPr>
      </w:pPr>
      <w:r w:rsidRPr="004676F5">
        <w:rPr>
          <w:i/>
          <w:iCs/>
          <w:lang w:val="de-DE"/>
        </w:rPr>
        <w:t>[Art. XV.23 abgeändert durch Art. 46 des G. vom 5. November 2023</w:t>
      </w:r>
      <w:r w:rsidR="00857EC4" w:rsidRPr="004676F5">
        <w:rPr>
          <w:i/>
          <w:iCs/>
          <w:lang w:val="de-DE"/>
        </w:rPr>
        <w:t> (I)</w:t>
      </w:r>
      <w:r w:rsidRPr="004676F5">
        <w:rPr>
          <w:i/>
          <w:iCs/>
          <w:lang w:val="de-DE"/>
        </w:rPr>
        <w:t xml:space="preserve"> (B.S. vom 11. Dezember 2023)]</w:t>
      </w:r>
    </w:p>
    <w:p w14:paraId="7FDEB88A" w14:textId="77777777" w:rsidR="00320AA7" w:rsidRPr="004676F5" w:rsidRDefault="00320AA7" w:rsidP="00320AA7">
      <w:pPr>
        <w:ind w:firstLine="708"/>
        <w:jc w:val="both"/>
        <w:rPr>
          <w:lang w:val="de-DE"/>
        </w:rPr>
      </w:pPr>
    </w:p>
    <w:p w14:paraId="1E5A6FC9" w14:textId="77777777" w:rsidR="00320AA7" w:rsidRPr="004676F5" w:rsidRDefault="00320AA7" w:rsidP="00320AA7">
      <w:pPr>
        <w:ind w:firstLine="708"/>
        <w:jc w:val="both"/>
        <w:rPr>
          <w:lang w:val="de-DE"/>
        </w:rPr>
      </w:pPr>
    </w:p>
    <w:p w14:paraId="0E7F29FF" w14:textId="25D4ED4D" w:rsidR="00320AA7" w:rsidRPr="004676F5" w:rsidRDefault="00BE0A56" w:rsidP="00320AA7">
      <w:pPr>
        <w:ind w:firstLine="708"/>
        <w:jc w:val="both"/>
        <w:rPr>
          <w:lang w:val="de-DE"/>
        </w:rPr>
      </w:pPr>
      <w:r w:rsidRPr="004676F5">
        <w:rPr>
          <w:b/>
          <w:lang w:val="de-DE"/>
        </w:rPr>
        <w:t>Art. </w:t>
      </w:r>
      <w:r w:rsidR="00320AA7" w:rsidRPr="004676F5">
        <w:rPr>
          <w:b/>
          <w:lang w:val="de-DE"/>
        </w:rPr>
        <w:t>XV.24</w:t>
      </w:r>
      <w:r w:rsidR="00320AA7" w:rsidRPr="004676F5">
        <w:rPr>
          <w:lang w:val="de-DE"/>
        </w:rPr>
        <w:t> </w:t>
      </w:r>
      <w:r w:rsidR="005B7A5C" w:rsidRPr="004676F5">
        <w:rPr>
          <w:lang w:val="de-DE"/>
        </w:rPr>
        <w:t>- </w:t>
      </w:r>
      <w:r w:rsidR="00320AA7" w:rsidRPr="004676F5">
        <w:rPr>
          <w:lang w:val="de-DE"/>
        </w:rPr>
        <w:t>Artikel XV.5 § 4 findet keine Anwendung auf Waren, für die vermutet wird, dass sie ein geistiges Eigentumsrecht verletzen.</w:t>
      </w:r>
    </w:p>
    <w:p w14:paraId="3F7AC30D" w14:textId="77777777" w:rsidR="00320AA7" w:rsidRPr="004676F5" w:rsidRDefault="00320AA7" w:rsidP="00320AA7">
      <w:pPr>
        <w:ind w:firstLine="708"/>
        <w:jc w:val="both"/>
        <w:rPr>
          <w:lang w:val="de-DE"/>
        </w:rPr>
      </w:pPr>
    </w:p>
    <w:p w14:paraId="63999207" w14:textId="77777777" w:rsidR="00320AA7" w:rsidRPr="004676F5" w:rsidRDefault="00320AA7" w:rsidP="00320AA7">
      <w:pPr>
        <w:ind w:firstLine="708"/>
        <w:jc w:val="both"/>
        <w:rPr>
          <w:lang w:val="de-DE"/>
        </w:rPr>
      </w:pPr>
    </w:p>
    <w:p w14:paraId="1583FB40" w14:textId="48E18BC4" w:rsidR="00320AA7" w:rsidRPr="004676F5" w:rsidRDefault="00BE0A56" w:rsidP="00320AA7">
      <w:pPr>
        <w:ind w:firstLine="708"/>
        <w:jc w:val="both"/>
        <w:rPr>
          <w:lang w:val="de-DE"/>
        </w:rPr>
      </w:pPr>
      <w:r w:rsidRPr="004676F5">
        <w:rPr>
          <w:b/>
          <w:lang w:val="de-DE"/>
        </w:rPr>
        <w:t>Art. </w:t>
      </w:r>
      <w:r w:rsidR="00320AA7" w:rsidRPr="004676F5">
        <w:rPr>
          <w:b/>
          <w:lang w:val="de-DE"/>
        </w:rPr>
        <w:t>XV.25</w:t>
      </w:r>
      <w:r w:rsidR="00320AA7" w:rsidRPr="004676F5">
        <w:rPr>
          <w:lang w:val="de-DE"/>
        </w:rPr>
        <w:t> </w:t>
      </w:r>
      <w:r w:rsidR="005B7A5C" w:rsidRPr="004676F5">
        <w:rPr>
          <w:lang w:val="de-DE"/>
        </w:rPr>
        <w:t>- </w:t>
      </w:r>
      <w:r w:rsidR="00320AA7" w:rsidRPr="004676F5">
        <w:rPr>
          <w:lang w:val="de-DE"/>
        </w:rPr>
        <w:t>Wenn berechtigterweise angenommen werden kann, dass sich Waren, die ein geistiges Eigentumsrecht verletzen, in einem Fahrzeug befinden, können in den Artikeln XV.2 und XV.25/1 erwähnte Bedienstete Beförderer anweisen, ihr Fahrzeug anzuhalten und die Hilfe zu leisten, die zur Feststellung von Art und Menge der beförderten Waren nötig ist. Sollte die Überprüfung vor Ort nicht möglich sein, muss der Transport auf Befehl des auffordernden Bediensteten an einen Ort gebracht werden, an dem die Überprüfung möglich ist, und zwar auf Kosten des Beförderers, wenn ein Verstoß zu seinen Lasten festgestellt wird.</w:t>
      </w:r>
    </w:p>
    <w:p w14:paraId="034A7E86" w14:textId="77777777" w:rsidR="00320AA7" w:rsidRPr="004676F5" w:rsidRDefault="00320AA7" w:rsidP="00320AA7">
      <w:pPr>
        <w:ind w:firstLine="708"/>
        <w:jc w:val="both"/>
        <w:rPr>
          <w:lang w:val="de-DE"/>
        </w:rPr>
      </w:pPr>
    </w:p>
    <w:p w14:paraId="5BE49DF7" w14:textId="77777777" w:rsidR="00320AA7" w:rsidRPr="004676F5" w:rsidRDefault="00320AA7" w:rsidP="00320AA7">
      <w:pPr>
        <w:ind w:firstLine="708"/>
        <w:jc w:val="both"/>
        <w:rPr>
          <w:lang w:val="de-DE"/>
        </w:rPr>
      </w:pPr>
    </w:p>
    <w:p w14:paraId="6C8CEAEA" w14:textId="579CC9C0" w:rsidR="00320AA7" w:rsidRPr="004676F5" w:rsidRDefault="00BE0A56" w:rsidP="00320AA7">
      <w:pPr>
        <w:ind w:firstLine="708"/>
        <w:jc w:val="both"/>
        <w:rPr>
          <w:lang w:val="de-DE"/>
        </w:rPr>
      </w:pPr>
      <w:r w:rsidRPr="004676F5">
        <w:rPr>
          <w:b/>
          <w:lang w:val="de-DE"/>
        </w:rPr>
        <w:t>Art. </w:t>
      </w:r>
      <w:r w:rsidR="00320AA7" w:rsidRPr="004676F5">
        <w:rPr>
          <w:b/>
          <w:lang w:val="de-DE"/>
        </w:rPr>
        <w:t>XV.25/1</w:t>
      </w:r>
      <w:r w:rsidR="00320AA7" w:rsidRPr="004676F5">
        <w:rPr>
          <w:lang w:val="de-DE"/>
        </w:rPr>
        <w:t> </w:t>
      </w:r>
      <w:r w:rsidR="005B7A5C" w:rsidRPr="004676F5">
        <w:rPr>
          <w:lang w:val="de-DE"/>
        </w:rPr>
        <w:t>- </w:t>
      </w:r>
      <w:r w:rsidR="00320AA7" w:rsidRPr="004676F5">
        <w:rPr>
          <w:lang w:val="de-DE"/>
        </w:rPr>
        <w:t>Neben den in Artikel XV.2 erwähnten Bediensteten sind Bedienstete der Zoll</w:t>
      </w:r>
      <w:r w:rsidR="005B7A5C" w:rsidRPr="004676F5">
        <w:rPr>
          <w:lang w:val="de-DE"/>
        </w:rPr>
        <w:t>- </w:t>
      </w:r>
      <w:r w:rsidR="00320AA7" w:rsidRPr="004676F5">
        <w:rPr>
          <w:lang w:val="de-DE"/>
        </w:rPr>
        <w:t>und Akzisenverwaltung und Bedienstete, die der für Wirtschaft zuständige Minister und der Minister der Finanzen zu diesem Zweck bestellen, befugt, in Titel 3 Kapitel 2 Abschnitt 8 Unterabschnitt 1 erwähnte Verstöße zu ermitteln und festzustellen.</w:t>
      </w:r>
    </w:p>
    <w:p w14:paraId="751D1036" w14:textId="77777777" w:rsidR="00320AA7" w:rsidRPr="004676F5" w:rsidRDefault="00320AA7" w:rsidP="00320AA7">
      <w:pPr>
        <w:ind w:firstLine="708"/>
        <w:jc w:val="both"/>
        <w:rPr>
          <w:lang w:val="de-DE"/>
        </w:rPr>
      </w:pPr>
    </w:p>
    <w:p w14:paraId="7703D589" w14:textId="77777777" w:rsidR="00320AA7" w:rsidRPr="004676F5" w:rsidRDefault="00320AA7" w:rsidP="00320AA7">
      <w:pPr>
        <w:ind w:firstLine="708"/>
        <w:jc w:val="both"/>
        <w:rPr>
          <w:lang w:val="de-DE"/>
        </w:rPr>
      </w:pPr>
      <w:r w:rsidRPr="004676F5">
        <w:rPr>
          <w:lang w:val="de-DE"/>
        </w:rPr>
        <w:t>In Absatz 1 erwähnte Bedienstete haben dieselben Befugnisse wie die in Artikel XV.2 erwähnten Bediensteten.</w:t>
      </w:r>
    </w:p>
    <w:p w14:paraId="6923D497" w14:textId="77777777" w:rsidR="00320AA7" w:rsidRPr="004676F5" w:rsidRDefault="00320AA7" w:rsidP="00320AA7">
      <w:pPr>
        <w:ind w:firstLine="708"/>
        <w:jc w:val="both"/>
        <w:rPr>
          <w:lang w:val="de-DE"/>
        </w:rPr>
      </w:pPr>
    </w:p>
    <w:p w14:paraId="1E9F8D62" w14:textId="77777777" w:rsidR="00320AA7" w:rsidRPr="004676F5" w:rsidRDefault="00320AA7" w:rsidP="00320AA7">
      <w:pPr>
        <w:ind w:firstLine="708"/>
        <w:jc w:val="both"/>
        <w:rPr>
          <w:lang w:val="de-DE"/>
        </w:rPr>
      </w:pPr>
    </w:p>
    <w:p w14:paraId="69FFAAFC" w14:textId="28AB82E8" w:rsidR="00320AA7" w:rsidRPr="004676F5" w:rsidRDefault="00BE0A56" w:rsidP="00320AA7">
      <w:pPr>
        <w:ind w:firstLine="708"/>
        <w:jc w:val="both"/>
        <w:rPr>
          <w:lang w:val="de-DE"/>
        </w:rPr>
      </w:pPr>
      <w:r w:rsidRPr="004676F5">
        <w:rPr>
          <w:b/>
          <w:lang w:val="de-DE"/>
        </w:rPr>
        <w:t>Art. </w:t>
      </w:r>
      <w:r w:rsidR="00320AA7" w:rsidRPr="004676F5">
        <w:rPr>
          <w:b/>
          <w:lang w:val="de-DE"/>
        </w:rPr>
        <w:t>XV.25/2</w:t>
      </w:r>
      <w:r w:rsidR="00320AA7" w:rsidRPr="004676F5">
        <w:rPr>
          <w:lang w:val="de-DE"/>
        </w:rPr>
        <w:t> </w:t>
      </w:r>
      <w:r w:rsidR="005B7A5C" w:rsidRPr="004676F5">
        <w:rPr>
          <w:lang w:val="de-DE"/>
        </w:rPr>
        <w:t>- </w:t>
      </w:r>
      <w:r w:rsidR="00320AA7" w:rsidRPr="004676F5">
        <w:rPr>
          <w:lang w:val="de-DE"/>
        </w:rPr>
        <w:t>Der für Wirtschaft zuständige Minister erkennt gemäß Bedingungen und Modalitäten, die der König festlegt, die in Artikel XV.33 Absatz 1 erwähnten Sach</w:t>
      </w:r>
      <w:r w:rsidR="00320AA7" w:rsidRPr="004676F5">
        <w:rPr>
          <w:lang w:val="de-DE"/>
        </w:rPr>
        <w:softHyphen/>
        <w:t>verständigen an, die im Bereich Piraterie und Nachahmung von geistigen Eigentums</w:t>
      </w:r>
      <w:r w:rsidR="00320AA7" w:rsidRPr="004676F5">
        <w:rPr>
          <w:lang w:val="de-DE"/>
        </w:rPr>
        <w:softHyphen/>
        <w:t>rechten bestimmt werden.</w:t>
      </w:r>
    </w:p>
    <w:p w14:paraId="104F8334" w14:textId="77777777" w:rsidR="00320AA7" w:rsidRPr="004676F5" w:rsidRDefault="00320AA7" w:rsidP="00320AA7">
      <w:pPr>
        <w:ind w:firstLine="708"/>
        <w:jc w:val="both"/>
        <w:rPr>
          <w:lang w:val="de-DE"/>
        </w:rPr>
      </w:pPr>
    </w:p>
    <w:p w14:paraId="55692CD1" w14:textId="77777777" w:rsidR="00320AA7" w:rsidRPr="004676F5" w:rsidRDefault="00320AA7" w:rsidP="00320AA7">
      <w:pPr>
        <w:ind w:firstLine="708"/>
        <w:jc w:val="both"/>
        <w:rPr>
          <w:lang w:val="de-DE"/>
        </w:rPr>
      </w:pPr>
    </w:p>
    <w:p w14:paraId="3EE94057" w14:textId="0BE81FDF" w:rsidR="00320AA7" w:rsidRPr="004676F5" w:rsidRDefault="00BE0A56" w:rsidP="00320AA7">
      <w:pPr>
        <w:ind w:firstLine="708"/>
        <w:jc w:val="both"/>
        <w:rPr>
          <w:lang w:val="de-DE"/>
        </w:rPr>
      </w:pPr>
      <w:r w:rsidRPr="004676F5">
        <w:rPr>
          <w:b/>
          <w:lang w:val="de-DE"/>
        </w:rPr>
        <w:t>Art. </w:t>
      </w:r>
      <w:r w:rsidR="00320AA7" w:rsidRPr="004676F5">
        <w:rPr>
          <w:b/>
          <w:lang w:val="de-DE"/>
        </w:rPr>
        <w:t>XV.25/3</w:t>
      </w:r>
      <w:r w:rsidR="00320AA7" w:rsidRPr="004676F5">
        <w:rPr>
          <w:lang w:val="de-DE"/>
        </w:rPr>
        <w:t> </w:t>
      </w:r>
      <w:r w:rsidR="005B7A5C" w:rsidRPr="004676F5">
        <w:rPr>
          <w:lang w:val="de-DE"/>
        </w:rPr>
        <w:t>- </w:t>
      </w:r>
      <w:r w:rsidR="007748FE" w:rsidRPr="004676F5">
        <w:rPr>
          <w:lang w:val="de-DE"/>
        </w:rPr>
        <w:t>[In Artikel XV.61 § 1 Absatz 1 erwähnte, vom Minister bestellte Bedienstete]</w:t>
      </w:r>
      <w:r w:rsidR="00320AA7" w:rsidRPr="004676F5">
        <w:rPr>
          <w:lang w:val="de-DE"/>
        </w:rPr>
        <w:t xml:space="preserve"> können die Vernichtung von Waren anordnen, die der Staatskasse überlassen </w:t>
      </w:r>
      <w:r w:rsidR="00320AA7" w:rsidRPr="004676F5">
        <w:rPr>
          <w:lang w:val="de-DE"/>
        </w:rPr>
        <w:lastRenderedPageBreak/>
        <w:t>wurden, sofern innerhalb eines Monats ab dem Datum der Überlassung kein Dritter, der einen Anspruch auf diese Waren erhebt, die Herausgabe der Waren gefordert hat. Für die Anwendung des vorliegenden Absatzes gilt für die Vernichtung von verderblichen Waren oder von Waren mit begrenzter Haltbarkeit eine Frist von fünfzehn Tagen.</w:t>
      </w:r>
    </w:p>
    <w:p w14:paraId="15563176" w14:textId="77777777" w:rsidR="00320AA7" w:rsidRPr="004676F5" w:rsidRDefault="00320AA7" w:rsidP="00320AA7">
      <w:pPr>
        <w:ind w:firstLine="708"/>
        <w:jc w:val="both"/>
        <w:rPr>
          <w:lang w:val="de-DE"/>
        </w:rPr>
      </w:pPr>
    </w:p>
    <w:p w14:paraId="26B425E7" w14:textId="77777777" w:rsidR="00320AA7" w:rsidRPr="004676F5" w:rsidRDefault="00320AA7" w:rsidP="00320AA7">
      <w:pPr>
        <w:ind w:firstLine="708"/>
        <w:jc w:val="both"/>
        <w:rPr>
          <w:lang w:val="de-DE"/>
        </w:rPr>
      </w:pPr>
      <w:r w:rsidRPr="004676F5">
        <w:rPr>
          <w:lang w:val="de-DE"/>
        </w:rPr>
        <w:t>Diese Bediensteten können den Eigentümer oder Inhaber der der Staatskasse überlassenen Waren oder den Inhaber des geistigen Eigentumsrechts, dessen Verletzung geltend gemacht wird, auffordern, die Waren selbst zu vernichten.</w:t>
      </w:r>
    </w:p>
    <w:p w14:paraId="681EE4EF" w14:textId="77777777" w:rsidR="00320AA7" w:rsidRPr="004676F5" w:rsidRDefault="00320AA7" w:rsidP="00320AA7">
      <w:pPr>
        <w:ind w:firstLine="708"/>
        <w:jc w:val="both"/>
        <w:rPr>
          <w:lang w:val="de-DE"/>
        </w:rPr>
      </w:pPr>
    </w:p>
    <w:p w14:paraId="044192BF" w14:textId="77777777" w:rsidR="00320AA7" w:rsidRPr="004676F5" w:rsidRDefault="00320AA7" w:rsidP="00320AA7">
      <w:pPr>
        <w:ind w:firstLine="708"/>
        <w:jc w:val="both"/>
        <w:rPr>
          <w:lang w:val="de-DE"/>
        </w:rPr>
      </w:pPr>
      <w:r w:rsidRPr="004676F5">
        <w:rPr>
          <w:lang w:val="de-DE"/>
        </w:rPr>
        <w:t>Kosten für Erhaltung und Vernichtung von Waren, die der Staatskasse überlassen wurden, werden von der Person getragen, die zum Zeitpunkt der Überlassung Eigentümer der Waren ist. Ist diese Person unbekannt oder zahlungsunfähig, so sind der Inhaber der Waren, der Empfänger der Waren und der Rechtsinhaber gesamtschuldnerisch verpflichtet, die Kosten zu tragen. Der König kann Verfahrensmodalitäten für die Rückforderung der Kosten festlegen.</w:t>
      </w:r>
    </w:p>
    <w:p w14:paraId="62A76EC5" w14:textId="77777777" w:rsidR="00320AA7" w:rsidRPr="004676F5" w:rsidRDefault="00320AA7" w:rsidP="00320AA7">
      <w:pPr>
        <w:ind w:firstLine="708"/>
        <w:jc w:val="both"/>
        <w:rPr>
          <w:lang w:val="de-DE"/>
        </w:rPr>
      </w:pPr>
    </w:p>
    <w:p w14:paraId="4C515D0C" w14:textId="2D888A2E" w:rsidR="00320AA7" w:rsidRPr="004676F5" w:rsidRDefault="00320AA7" w:rsidP="00320AA7">
      <w:pPr>
        <w:ind w:firstLine="708"/>
        <w:jc w:val="both"/>
        <w:rPr>
          <w:lang w:val="de-DE"/>
        </w:rPr>
      </w:pPr>
      <w:r w:rsidRPr="004676F5">
        <w:rPr>
          <w:lang w:val="de-DE"/>
        </w:rPr>
        <w:t>In Abweichung von Absatz 1 und sofern der Rechtsinhaber durch eine solche Entscheidung keinen Schaden erleidet, kann der befugte Bedienstete entscheiden, den Waren eine andere Zweckbestimmung zu geben. In diesem Fall übergibt er die Waren der Kataster-, Registrierungs</w:t>
      </w:r>
      <w:r w:rsidR="005B7A5C" w:rsidRPr="004676F5">
        <w:rPr>
          <w:lang w:val="de-DE"/>
        </w:rPr>
        <w:t>- </w:t>
      </w:r>
      <w:r w:rsidRPr="004676F5">
        <w:rPr>
          <w:lang w:val="de-DE"/>
        </w:rPr>
        <w:t>und Domänenverwaltung und beauftragt sie mit der Veräußerung der Waren. Der König kann Modalitäten der Anwendung dieses Veräußerungsverfahrens festlegen. Dieses Verfahren darf keine Kosten für die Staatskasse mit sich bringen.</w:t>
      </w:r>
    </w:p>
    <w:p w14:paraId="686B7B42" w14:textId="77777777" w:rsidR="00320AA7" w:rsidRPr="004676F5" w:rsidRDefault="00320AA7" w:rsidP="00320AA7">
      <w:pPr>
        <w:ind w:firstLine="708"/>
        <w:jc w:val="both"/>
        <w:rPr>
          <w:lang w:val="de-DE"/>
        </w:rPr>
      </w:pPr>
    </w:p>
    <w:p w14:paraId="7E649460" w14:textId="77777777" w:rsidR="00320AA7" w:rsidRPr="004676F5" w:rsidRDefault="00320AA7" w:rsidP="00320AA7">
      <w:pPr>
        <w:ind w:firstLine="708"/>
        <w:jc w:val="both"/>
        <w:rPr>
          <w:lang w:val="de-DE"/>
        </w:rPr>
      </w:pPr>
      <w:r w:rsidRPr="004676F5">
        <w:rPr>
          <w:lang w:val="de-DE"/>
        </w:rPr>
        <w:t>Wenn eine Vernichtung oder Veräußerung erfolgt, werden vorab die zu vernichtenden oder zu veräußernden Gegenstände so präzise wie möglich beschrieben und es wird eine Probe dieser Gegenstände entnommen.</w:t>
      </w:r>
    </w:p>
    <w:p w14:paraId="739D1B50" w14:textId="77777777" w:rsidR="00320AA7" w:rsidRPr="004676F5" w:rsidRDefault="00320AA7" w:rsidP="007748FE">
      <w:pPr>
        <w:jc w:val="both"/>
        <w:rPr>
          <w:lang w:val="de-DE"/>
        </w:rPr>
      </w:pPr>
    </w:p>
    <w:p w14:paraId="2C246DD5" w14:textId="61CF2BDD" w:rsidR="007748FE" w:rsidRPr="004676F5" w:rsidRDefault="007748FE" w:rsidP="007748FE">
      <w:pPr>
        <w:jc w:val="both"/>
        <w:rPr>
          <w:i/>
          <w:iCs/>
          <w:lang w:val="de-DE"/>
        </w:rPr>
      </w:pPr>
      <w:r w:rsidRPr="004676F5">
        <w:rPr>
          <w:i/>
          <w:iCs/>
          <w:lang w:val="de-DE"/>
        </w:rPr>
        <w:t>[Art. XV.25/3 Abs. 1 abgeändert durch Art. 47 des G. vom 5. November 2023</w:t>
      </w:r>
      <w:r w:rsidR="00857EC4" w:rsidRPr="004676F5">
        <w:rPr>
          <w:i/>
          <w:iCs/>
          <w:lang w:val="de-DE"/>
        </w:rPr>
        <w:t> (I)</w:t>
      </w:r>
      <w:r w:rsidRPr="004676F5">
        <w:rPr>
          <w:i/>
          <w:iCs/>
          <w:lang w:val="de-DE"/>
        </w:rPr>
        <w:t xml:space="preserve"> (B.S. vom 11. Dezember 2023)]</w:t>
      </w:r>
    </w:p>
    <w:p w14:paraId="76BDFF3C" w14:textId="77777777" w:rsidR="007748FE" w:rsidRPr="004676F5" w:rsidRDefault="007748FE" w:rsidP="007748FE">
      <w:pPr>
        <w:jc w:val="both"/>
        <w:rPr>
          <w:i/>
          <w:iCs/>
          <w:lang w:val="de-DE"/>
        </w:rPr>
      </w:pPr>
    </w:p>
    <w:p w14:paraId="6D2DB064" w14:textId="77777777" w:rsidR="00320AA7" w:rsidRPr="004676F5" w:rsidRDefault="00320AA7" w:rsidP="00320AA7">
      <w:pPr>
        <w:ind w:firstLine="708"/>
        <w:jc w:val="both"/>
        <w:rPr>
          <w:lang w:val="de-DE"/>
        </w:rPr>
      </w:pPr>
    </w:p>
    <w:p w14:paraId="0CD4CE90" w14:textId="610330A3" w:rsidR="00320AA7" w:rsidRPr="004676F5" w:rsidRDefault="00320AA7" w:rsidP="00320AA7">
      <w:pPr>
        <w:jc w:val="center"/>
        <w:rPr>
          <w:lang w:val="de-DE"/>
        </w:rPr>
      </w:pPr>
      <w:r w:rsidRPr="004676F5">
        <w:rPr>
          <w:lang w:val="de-DE"/>
        </w:rPr>
        <w:t>Unterabschnitt 2 </w:t>
      </w:r>
      <w:r w:rsidR="005B7A5C" w:rsidRPr="004676F5">
        <w:rPr>
          <w:lang w:val="de-DE"/>
        </w:rPr>
        <w:t>- </w:t>
      </w:r>
      <w:r w:rsidRPr="004676F5">
        <w:rPr>
          <w:lang w:val="de-DE"/>
        </w:rPr>
        <w:t>Kollektive Wahrnehmung von Urheberrechten und verwandten Schutzrechten und Transparenz von Urheberrechten und verwandten Schutzrechten</w:t>
      </w:r>
    </w:p>
    <w:p w14:paraId="5B0522E2" w14:textId="77777777" w:rsidR="00320AA7" w:rsidRPr="004676F5" w:rsidRDefault="00320AA7" w:rsidP="00320AA7">
      <w:pPr>
        <w:ind w:firstLine="708"/>
        <w:jc w:val="both"/>
        <w:rPr>
          <w:lang w:val="de-DE"/>
        </w:rPr>
      </w:pPr>
    </w:p>
    <w:p w14:paraId="6F181742" w14:textId="77777777" w:rsidR="00320AA7" w:rsidRPr="004676F5" w:rsidRDefault="00320AA7" w:rsidP="00320AA7">
      <w:pPr>
        <w:ind w:firstLine="708"/>
        <w:jc w:val="both"/>
        <w:rPr>
          <w:lang w:val="de-DE"/>
        </w:rPr>
      </w:pPr>
    </w:p>
    <w:p w14:paraId="0A41330B" w14:textId="47FE470F" w:rsidR="006A29C3" w:rsidRPr="004676F5" w:rsidRDefault="00BE0A56" w:rsidP="006A29C3">
      <w:pPr>
        <w:ind w:firstLine="708"/>
        <w:jc w:val="both"/>
        <w:rPr>
          <w:lang w:val="de-DE"/>
        </w:rPr>
      </w:pPr>
      <w:r w:rsidRPr="004676F5">
        <w:rPr>
          <w:b/>
          <w:lang w:val="de-DE"/>
        </w:rPr>
        <w:t>Art. </w:t>
      </w:r>
      <w:r w:rsidR="00320AA7" w:rsidRPr="004676F5">
        <w:rPr>
          <w:b/>
          <w:lang w:val="de-DE"/>
        </w:rPr>
        <w:t>XV.25/4</w:t>
      </w:r>
      <w:r w:rsidR="00320AA7" w:rsidRPr="004676F5">
        <w:rPr>
          <w:lang w:val="de-DE"/>
        </w:rPr>
        <w:t> </w:t>
      </w:r>
      <w:r w:rsidR="005B7A5C" w:rsidRPr="004676F5">
        <w:rPr>
          <w:lang w:val="de-DE"/>
        </w:rPr>
        <w:t>- </w:t>
      </w:r>
      <w:r w:rsidR="006A29C3" w:rsidRPr="004676F5">
        <w:rPr>
          <w:lang w:val="de-DE"/>
        </w:rPr>
        <w:t>[§ 1 </w:t>
      </w:r>
      <w:r w:rsidR="005B7A5C" w:rsidRPr="004676F5">
        <w:rPr>
          <w:lang w:val="de-DE"/>
        </w:rPr>
        <w:t>- </w:t>
      </w:r>
      <w:r w:rsidR="006A29C3" w:rsidRPr="004676F5">
        <w:rPr>
          <w:lang w:val="de-DE"/>
        </w:rPr>
        <w:t>Falls der begründete Verdacht besteht, dass ein Verstoß gegen eine oder mehrere Bestimmungen von Artikel XI.279 oder XV.112 vorliegt, können vom Minister bestellte Bedienstete des Kontrolldienstes in Anwendung von Artikel XV.2:</w:t>
      </w:r>
    </w:p>
    <w:p w14:paraId="024FEE6A" w14:textId="77777777" w:rsidR="006A29C3" w:rsidRPr="004676F5" w:rsidRDefault="006A29C3" w:rsidP="006A29C3">
      <w:pPr>
        <w:jc w:val="both"/>
        <w:rPr>
          <w:lang w:val="de-DE"/>
        </w:rPr>
      </w:pPr>
    </w:p>
    <w:p w14:paraId="4F79FB93" w14:textId="77777777" w:rsidR="006A29C3" w:rsidRPr="004676F5" w:rsidRDefault="006A29C3" w:rsidP="006A29C3">
      <w:pPr>
        <w:jc w:val="both"/>
        <w:rPr>
          <w:lang w:val="de-DE"/>
        </w:rPr>
      </w:pPr>
      <w:r w:rsidRPr="004676F5">
        <w:rPr>
          <w:lang w:val="de-DE"/>
        </w:rPr>
        <w:tab/>
        <w:t>1. sich bei der ersten Forderung an Ort und Stelle die für ihre Ermittlungen und Feststellungen erforderlichen Unterlagen, Belege und Bücher vorlegen lassen und Abschriften davon anfertigen,</w:t>
      </w:r>
    </w:p>
    <w:p w14:paraId="15B5108C" w14:textId="77777777" w:rsidR="006A29C3" w:rsidRPr="004676F5" w:rsidRDefault="006A29C3" w:rsidP="006A29C3">
      <w:pPr>
        <w:jc w:val="both"/>
        <w:rPr>
          <w:lang w:val="de-DE"/>
        </w:rPr>
      </w:pPr>
    </w:p>
    <w:p w14:paraId="5E4882AE" w14:textId="6715BFA8" w:rsidR="006A29C3" w:rsidRPr="004676F5" w:rsidRDefault="006A29C3" w:rsidP="006A29C3">
      <w:pPr>
        <w:jc w:val="both"/>
        <w:rPr>
          <w:lang w:val="de-DE"/>
        </w:rPr>
      </w:pPr>
      <w:r w:rsidRPr="004676F5">
        <w:rPr>
          <w:lang w:val="de-DE"/>
        </w:rPr>
        <w:tab/>
        <w:t>2. nach vorheriger Ankündigung mindestens fünf Werktage im Voraus oder ohne vorherige Ankündigung während der üblichen Öffnungs</w:t>
      </w:r>
      <w:r w:rsidR="005B7A5C" w:rsidRPr="004676F5">
        <w:rPr>
          <w:lang w:val="de-DE"/>
        </w:rPr>
        <w:t>- </w:t>
      </w:r>
      <w:r w:rsidRPr="004676F5">
        <w:rPr>
          <w:lang w:val="de-DE"/>
        </w:rPr>
        <w:t>beziehungsweise Arbeitszeiten Büroräume, Räumlichkeiten, Werkstätten, Gebäude und angrenzende Höfe betreten, zu denen sie für die Erfüllung ihres Auftrags Zugang haben müssen, und dort alle zweckdienlichen Feststellungen machen und falls nötig gegen Empfangsbescheinigung in Nr. 1 erwähnte Unterlagen beschlagnahmen,</w:t>
      </w:r>
    </w:p>
    <w:p w14:paraId="1ECA336A" w14:textId="77777777" w:rsidR="006A29C3" w:rsidRPr="004676F5" w:rsidRDefault="006A29C3" w:rsidP="006A29C3">
      <w:pPr>
        <w:jc w:val="both"/>
        <w:rPr>
          <w:lang w:val="de-DE"/>
        </w:rPr>
      </w:pPr>
    </w:p>
    <w:p w14:paraId="4E233A0E" w14:textId="1F3A07A5" w:rsidR="006A29C3" w:rsidRPr="004676F5" w:rsidRDefault="006A29C3" w:rsidP="006A29C3">
      <w:pPr>
        <w:jc w:val="both"/>
        <w:rPr>
          <w:lang w:val="de-DE"/>
        </w:rPr>
      </w:pPr>
      <w:r w:rsidRPr="004676F5">
        <w:rPr>
          <w:lang w:val="de-DE"/>
        </w:rPr>
        <w:lastRenderedPageBreak/>
        <w:tab/>
        <w:t>3. ohne vorherige Ankündigung, aber mit vorhergehender Ermächtigung des Präsidenten des Gerichts Erster Instanz während der üblichen Öffnungs</w:t>
      </w:r>
      <w:r w:rsidR="005B7A5C" w:rsidRPr="004676F5">
        <w:rPr>
          <w:lang w:val="de-DE"/>
        </w:rPr>
        <w:t>- </w:t>
      </w:r>
      <w:r w:rsidRPr="004676F5">
        <w:rPr>
          <w:lang w:val="de-DE"/>
        </w:rPr>
        <w:t>beziehungsweise Arbeitszeiten Besuche in bewohnten Gebäuden durchführen, die Räumlichkeiten umfassen, die ganz oder teilweise für die Ausübung der in Artikel I.16 § 1 Nr. 4 bis 6 erwähnten Tätigkeit genutzt werden, und dort alle zweckdienlichen Feststellungen machen und falls nötig gegen Empfangsbescheinigung in Nr. 1 erwähnte Unterlagen beschlagnahmen.</w:t>
      </w:r>
    </w:p>
    <w:p w14:paraId="38770F0B" w14:textId="77777777" w:rsidR="006A29C3" w:rsidRPr="004676F5" w:rsidRDefault="006A29C3" w:rsidP="006A29C3">
      <w:pPr>
        <w:jc w:val="both"/>
        <w:rPr>
          <w:lang w:val="de-DE"/>
        </w:rPr>
      </w:pPr>
    </w:p>
    <w:p w14:paraId="4A88D84F" w14:textId="1E38A908" w:rsidR="006A29C3" w:rsidRPr="004676F5" w:rsidRDefault="006A29C3" w:rsidP="006A29C3">
      <w:pPr>
        <w:jc w:val="both"/>
        <w:rPr>
          <w:lang w:val="de-DE"/>
        </w:rPr>
      </w:pPr>
      <w:r w:rsidRPr="004676F5">
        <w:rPr>
          <w:lang w:val="de-DE"/>
        </w:rPr>
        <w:tab/>
        <w:t>§ 2 </w:t>
      </w:r>
      <w:r w:rsidR="005B7A5C" w:rsidRPr="004676F5">
        <w:rPr>
          <w:lang w:val="de-DE"/>
        </w:rPr>
        <w:t>- </w:t>
      </w:r>
      <w:r w:rsidRPr="004676F5">
        <w:rPr>
          <w:lang w:val="de-DE"/>
        </w:rPr>
        <w:t>In der Ausübung ihres Amtes können Bedienstete des Kontrolldienstes die Unterstützung der Polizei anfordern.</w:t>
      </w:r>
    </w:p>
    <w:p w14:paraId="7EDF3B31" w14:textId="77777777" w:rsidR="006A29C3" w:rsidRPr="004676F5" w:rsidRDefault="006A29C3" w:rsidP="006A29C3">
      <w:pPr>
        <w:jc w:val="both"/>
        <w:rPr>
          <w:lang w:val="de-DE"/>
        </w:rPr>
      </w:pPr>
    </w:p>
    <w:p w14:paraId="54EEC79A" w14:textId="28763EC8" w:rsidR="006A29C3" w:rsidRPr="004676F5" w:rsidRDefault="006A29C3" w:rsidP="006A29C3">
      <w:pPr>
        <w:jc w:val="both"/>
        <w:rPr>
          <w:lang w:val="de-DE"/>
        </w:rPr>
      </w:pPr>
      <w:r w:rsidRPr="004676F5">
        <w:rPr>
          <w:lang w:val="de-DE"/>
        </w:rPr>
        <w:tab/>
        <w:t>§ 3 </w:t>
      </w:r>
      <w:r w:rsidR="005B7A5C" w:rsidRPr="004676F5">
        <w:rPr>
          <w:lang w:val="de-DE"/>
        </w:rPr>
        <w:t>- </w:t>
      </w:r>
      <w:r w:rsidRPr="004676F5">
        <w:rPr>
          <w:lang w:val="de-DE"/>
        </w:rPr>
        <w:t>Bedienstete des Kontrolldienstes üben die ihnen aufgrund der Paragraphen 1 und 2 erteilten Befugnisse unter der Aufsicht des Generalprokurators und des Föderalprokurators aus, was die Ermittlung und Feststellung der in Artikel XV.112 erwähnten Verstöße betrifft, unbeschadet der Tatsache, dass sie ihren Verwaltungsvorgesetzten untergeordnet bleiben.</w:t>
      </w:r>
    </w:p>
    <w:p w14:paraId="676C4213" w14:textId="77777777" w:rsidR="006A29C3" w:rsidRPr="004676F5" w:rsidRDefault="006A29C3" w:rsidP="006A29C3">
      <w:pPr>
        <w:jc w:val="both"/>
        <w:rPr>
          <w:lang w:val="de-DE"/>
        </w:rPr>
      </w:pPr>
    </w:p>
    <w:p w14:paraId="3F2FB8A8" w14:textId="71F591B6" w:rsidR="00BA2266" w:rsidRPr="004676F5" w:rsidRDefault="006A29C3" w:rsidP="006A29C3">
      <w:pPr>
        <w:ind w:firstLine="708"/>
        <w:jc w:val="both"/>
        <w:rPr>
          <w:lang w:val="de-DE"/>
        </w:rPr>
      </w:pPr>
      <w:r w:rsidRPr="004676F5">
        <w:rPr>
          <w:lang w:val="de-DE"/>
        </w:rPr>
        <w:t>§ 4 </w:t>
      </w:r>
      <w:r w:rsidR="005B7A5C" w:rsidRPr="004676F5">
        <w:rPr>
          <w:lang w:val="de-DE"/>
        </w:rPr>
        <w:t>- </w:t>
      </w:r>
      <w:r w:rsidRPr="004676F5">
        <w:rPr>
          <w:lang w:val="de-DE"/>
        </w:rPr>
        <w:t>Falls Artikel XV.31/1 zur Anwendung kommt, wird das Protokoll zur Feststellung eines in Artikel XV.112 erwähnten Verstoßes nur dann dem Prokurator des Königs übermittelt, wenn der Verwarnung nicht Folge geleistet wird. Falls Artikel XV.62/1 zur Anwendung kommt, wird das Protokoll nur dann dem Prokurator des Königs übermittelt, wenn der Zuwiderhandelnde auf den Vergleichsvorschlag nicht eingeht.</w:t>
      </w:r>
      <w:r w:rsidR="00320AA7" w:rsidRPr="004676F5">
        <w:rPr>
          <w:lang w:val="de-DE"/>
        </w:rPr>
        <w:t>]</w:t>
      </w:r>
    </w:p>
    <w:p w14:paraId="24CBD222" w14:textId="77777777" w:rsidR="00320AA7" w:rsidRPr="004676F5" w:rsidRDefault="00320AA7" w:rsidP="00320AA7">
      <w:pPr>
        <w:ind w:firstLine="708"/>
        <w:jc w:val="both"/>
        <w:rPr>
          <w:lang w:val="de-DE"/>
        </w:rPr>
      </w:pPr>
    </w:p>
    <w:p w14:paraId="3A4938AB" w14:textId="182779B1" w:rsidR="006D71E0" w:rsidRPr="00B14651" w:rsidRDefault="006D71E0" w:rsidP="006D71E0">
      <w:pPr>
        <w:jc w:val="both"/>
        <w:rPr>
          <w:i/>
          <w:lang w:val="de-DE"/>
        </w:rPr>
      </w:pPr>
      <w:r w:rsidRPr="004676F5">
        <w:rPr>
          <w:i/>
          <w:lang w:val="de-DE"/>
        </w:rPr>
        <w:t>[</w:t>
      </w:r>
      <w:r w:rsidR="00BE0A56" w:rsidRPr="004676F5">
        <w:rPr>
          <w:i/>
          <w:lang w:val="de-DE"/>
        </w:rPr>
        <w:t>Art. </w:t>
      </w:r>
      <w:r w:rsidRPr="004676F5">
        <w:rPr>
          <w:i/>
          <w:lang w:val="de-DE"/>
        </w:rPr>
        <w:t xml:space="preserve">XV.25/4 </w:t>
      </w:r>
      <w:r w:rsidR="006A29C3" w:rsidRPr="004676F5">
        <w:rPr>
          <w:i/>
          <w:lang w:val="de-DE"/>
        </w:rPr>
        <w:t xml:space="preserve">ersetzt durch </w:t>
      </w:r>
      <w:r w:rsidR="00BE0A56" w:rsidRPr="004676F5">
        <w:rPr>
          <w:i/>
          <w:lang w:val="de-DE"/>
        </w:rPr>
        <w:t>Art. </w:t>
      </w:r>
      <w:r w:rsidR="006A29C3" w:rsidRPr="004676F5">
        <w:rPr>
          <w:i/>
          <w:lang w:val="de-DE"/>
        </w:rPr>
        <w:t>113 des G. vom 8. </w:t>
      </w:r>
      <w:r w:rsidR="006A29C3" w:rsidRPr="00B14651">
        <w:rPr>
          <w:i/>
          <w:lang w:val="de-DE"/>
        </w:rPr>
        <w:t>Juni 2017 (B.S. vom 27. Juni 2017)</w:t>
      </w:r>
      <w:r w:rsidRPr="00B14651">
        <w:rPr>
          <w:i/>
          <w:lang w:val="de-DE"/>
        </w:rPr>
        <w:t>]</w:t>
      </w:r>
    </w:p>
    <w:p w14:paraId="260FDB8E" w14:textId="77777777" w:rsidR="00DF2660" w:rsidRPr="00B14651" w:rsidRDefault="00DF2660" w:rsidP="00320AA7">
      <w:pPr>
        <w:ind w:firstLine="708"/>
        <w:jc w:val="both"/>
        <w:rPr>
          <w:lang w:val="de-DE"/>
        </w:rPr>
      </w:pPr>
    </w:p>
    <w:p w14:paraId="49668B7C" w14:textId="77777777" w:rsidR="00DF2660" w:rsidRPr="00B14651" w:rsidRDefault="00DF2660" w:rsidP="00DF2660">
      <w:pPr>
        <w:jc w:val="center"/>
        <w:rPr>
          <w:lang w:val="de-DE"/>
        </w:rPr>
      </w:pPr>
    </w:p>
    <w:p w14:paraId="7E01F706" w14:textId="23A0B7B4" w:rsidR="00DA3B7E" w:rsidRPr="004676F5" w:rsidRDefault="00DA3B7E" w:rsidP="00DF2660">
      <w:pPr>
        <w:jc w:val="center"/>
        <w:rPr>
          <w:i/>
          <w:lang w:val="de-DE"/>
        </w:rPr>
      </w:pPr>
      <w:r w:rsidRPr="004676F5">
        <w:rPr>
          <w:lang w:val="de-DE"/>
        </w:rPr>
        <w:t>[</w:t>
      </w:r>
      <w:r w:rsidRPr="004676F5">
        <w:rPr>
          <w:i/>
          <w:lang w:val="de-DE"/>
        </w:rPr>
        <w:t>Abschnitt 5</w:t>
      </w:r>
      <w:r w:rsidRPr="004676F5">
        <w:rPr>
          <w:lang w:val="de-DE"/>
        </w:rPr>
        <w:t> </w:t>
      </w:r>
      <w:r w:rsidR="005B7A5C" w:rsidRPr="004676F5">
        <w:rPr>
          <w:lang w:val="de-DE"/>
        </w:rPr>
        <w:t>- </w:t>
      </w:r>
      <w:r w:rsidRPr="004676F5">
        <w:rPr>
          <w:lang w:val="de-DE"/>
        </w:rPr>
        <w:t>Sonderbefugnisse in Bezug auf Ermittlung und Feststellung von Verstößen gegen Buch XII]</w:t>
      </w:r>
      <w:r w:rsidRPr="004676F5">
        <w:rPr>
          <w:i/>
          <w:lang w:val="de-DE"/>
        </w:rPr>
        <w:t xml:space="preserve"> </w:t>
      </w:r>
    </w:p>
    <w:p w14:paraId="2C6E9F5C" w14:textId="77777777" w:rsidR="00DA3B7E" w:rsidRPr="004676F5" w:rsidRDefault="00DA3B7E" w:rsidP="00DA3B7E">
      <w:pPr>
        <w:jc w:val="both"/>
        <w:rPr>
          <w:i/>
          <w:lang w:val="de-DE"/>
        </w:rPr>
      </w:pPr>
    </w:p>
    <w:p w14:paraId="2AE461C4" w14:textId="2E24CF1A" w:rsidR="00DA3B7E" w:rsidRPr="004676F5" w:rsidRDefault="00DA3B7E" w:rsidP="00DA3B7E">
      <w:pPr>
        <w:jc w:val="both"/>
        <w:rPr>
          <w:i/>
          <w:lang w:val="de-DE"/>
        </w:rPr>
      </w:pPr>
      <w:r w:rsidRPr="004676F5">
        <w:rPr>
          <w:i/>
          <w:lang w:val="de-DE"/>
        </w:rPr>
        <w:t xml:space="preserve">[Unterteilung Abschnitt 5 eingefügt durch </w:t>
      </w:r>
      <w:r w:rsidR="00BE0A56" w:rsidRPr="004676F5">
        <w:rPr>
          <w:i/>
          <w:lang w:val="de-DE"/>
        </w:rPr>
        <w:t>Art. </w:t>
      </w:r>
      <w:r w:rsidR="004F13FF" w:rsidRPr="004676F5">
        <w:rPr>
          <w:i/>
          <w:lang w:val="de-DE"/>
        </w:rPr>
        <w:t>26</w:t>
      </w:r>
      <w:r w:rsidRPr="004676F5">
        <w:rPr>
          <w:i/>
          <w:lang w:val="de-DE"/>
        </w:rPr>
        <w:t xml:space="preserve"> des G. vom 21. Juli 2016 (B.S. vom 28. September 2016)]</w:t>
      </w:r>
    </w:p>
    <w:p w14:paraId="168771C6" w14:textId="77777777" w:rsidR="00DA3B7E" w:rsidRPr="004676F5" w:rsidRDefault="00DA3B7E" w:rsidP="00DF2660">
      <w:pPr>
        <w:jc w:val="center"/>
        <w:rPr>
          <w:i/>
          <w:lang w:val="de-DE"/>
        </w:rPr>
      </w:pPr>
    </w:p>
    <w:p w14:paraId="65247D0A" w14:textId="77777777" w:rsidR="00DA3B7E" w:rsidRPr="004676F5" w:rsidRDefault="00DA3B7E" w:rsidP="00DF2660">
      <w:pPr>
        <w:jc w:val="center"/>
        <w:rPr>
          <w:i/>
          <w:lang w:val="de-DE"/>
        </w:rPr>
      </w:pPr>
    </w:p>
    <w:p w14:paraId="43DDC6BE" w14:textId="3E7FDF95" w:rsidR="00DA3B7E" w:rsidRPr="004676F5" w:rsidRDefault="00DA3B7E" w:rsidP="00DA3B7E">
      <w:pPr>
        <w:ind w:firstLine="708"/>
        <w:jc w:val="both"/>
        <w:rPr>
          <w:lang w:val="de-DE"/>
        </w:rPr>
      </w:pPr>
      <w:r w:rsidRPr="004676F5">
        <w:rPr>
          <w:lang w:val="de-DE"/>
        </w:rPr>
        <w:t>[</w:t>
      </w:r>
      <w:r w:rsidR="00BE0A56" w:rsidRPr="004676F5">
        <w:rPr>
          <w:b/>
          <w:lang w:val="de-DE"/>
        </w:rPr>
        <w:t>Art. </w:t>
      </w:r>
      <w:r w:rsidRPr="004676F5">
        <w:rPr>
          <w:b/>
          <w:lang w:val="de-DE"/>
        </w:rPr>
        <w:t>XV.26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Bestimmungen von Titel 1 Kapitel 1 und 3 und der Verordnung (EU) Nr. 910/2014 des Europäischen Parlaments und des Rates vom 23. Juli 2014 über elektronische Identifizierung und Vertrauensdienste für elektronische Transaktionen im Binnenmarkt und zur Aufhebung der Richtlinie 1999/93/EG finden folgende Bestimmungen Anwendung auf die Aufsicht über die in Belgien ansässigen Vertrauensdiensteanbieter, die in der Verordnung 910/2014 und in Buch XII Titel 2 erwähnt sind.</w:t>
      </w:r>
    </w:p>
    <w:p w14:paraId="2E1E4642" w14:textId="77777777" w:rsidR="00DA3B7E" w:rsidRPr="004676F5" w:rsidRDefault="00DA3B7E" w:rsidP="00DA3B7E">
      <w:pPr>
        <w:ind w:firstLine="708"/>
        <w:jc w:val="both"/>
        <w:rPr>
          <w:lang w:val="de-DE"/>
        </w:rPr>
      </w:pPr>
    </w:p>
    <w:p w14:paraId="5A7A26A5" w14:textId="0A4EB02B" w:rsidR="00DA3B7E" w:rsidRPr="004676F5" w:rsidRDefault="00DA3B7E" w:rsidP="00DA3B7E">
      <w:pPr>
        <w:ind w:firstLine="708"/>
        <w:jc w:val="both"/>
        <w:rPr>
          <w:lang w:val="de-DE"/>
        </w:rPr>
      </w:pPr>
      <w:r w:rsidRPr="004676F5">
        <w:rPr>
          <w:lang w:val="de-DE"/>
        </w:rPr>
        <w:t>§ 2 </w:t>
      </w:r>
      <w:r w:rsidR="005B7A5C" w:rsidRPr="004676F5">
        <w:rPr>
          <w:lang w:val="de-DE"/>
        </w:rPr>
        <w:t>- </w:t>
      </w:r>
      <w:r w:rsidRPr="004676F5">
        <w:rPr>
          <w:lang w:val="de-DE"/>
        </w:rPr>
        <w:t>Die Aufsichtsstelle ist mit der Aufsicht über die in § 1 erwähnten Vertrauens</w:t>
      </w:r>
      <w:r w:rsidRPr="004676F5">
        <w:rPr>
          <w:lang w:val="de-DE"/>
        </w:rPr>
        <w:softHyphen/>
        <w:t>dienste</w:t>
      </w:r>
      <w:r w:rsidRPr="004676F5">
        <w:rPr>
          <w:lang w:val="de-DE"/>
        </w:rPr>
        <w:softHyphen/>
        <w:t>anbieter beauftragt.</w:t>
      </w:r>
    </w:p>
    <w:p w14:paraId="1B296B86" w14:textId="77777777" w:rsidR="00DA3B7E" w:rsidRPr="004676F5" w:rsidRDefault="00DA3B7E" w:rsidP="00DA3B7E">
      <w:pPr>
        <w:ind w:firstLine="708"/>
        <w:jc w:val="both"/>
        <w:rPr>
          <w:lang w:val="de-DE"/>
        </w:rPr>
      </w:pPr>
    </w:p>
    <w:p w14:paraId="1F0EB685" w14:textId="77777777" w:rsidR="00DA3B7E" w:rsidRPr="004676F5" w:rsidRDefault="00DA3B7E" w:rsidP="00DA3B7E">
      <w:pPr>
        <w:ind w:firstLine="708"/>
        <w:jc w:val="both"/>
        <w:rPr>
          <w:lang w:val="de-DE"/>
        </w:rPr>
      </w:pPr>
      <w:r w:rsidRPr="004676F5">
        <w:rPr>
          <w:lang w:val="de-DE"/>
        </w:rPr>
        <w:t>Die Aufsichtsstelle kann einen oder mehrere Sachverständige heranziehen, um sich bei ihrer Aufsichtsaufgabe beistehen zu lassen. Bestellte Sachverständige müssen in finanzieller und organisatorischer Hinsicht unabhängig von den Vertrauensdiensteanbietern sein.</w:t>
      </w:r>
    </w:p>
    <w:p w14:paraId="127CC0B2" w14:textId="77777777" w:rsidR="00DA3B7E" w:rsidRPr="004676F5" w:rsidRDefault="00DA3B7E" w:rsidP="00DA3B7E">
      <w:pPr>
        <w:ind w:firstLine="708"/>
        <w:jc w:val="both"/>
        <w:rPr>
          <w:lang w:val="de-DE"/>
        </w:rPr>
      </w:pPr>
    </w:p>
    <w:p w14:paraId="56F91EDD" w14:textId="462A498D" w:rsidR="00DA3B7E" w:rsidRPr="004676F5" w:rsidRDefault="00DA3B7E" w:rsidP="00DA3B7E">
      <w:pPr>
        <w:ind w:firstLine="708"/>
        <w:jc w:val="both"/>
        <w:rPr>
          <w:lang w:val="de-DE"/>
        </w:rPr>
      </w:pPr>
      <w:r w:rsidRPr="004676F5">
        <w:rPr>
          <w:lang w:val="de-DE"/>
        </w:rPr>
        <w:t>§ 3 </w:t>
      </w:r>
      <w:r w:rsidR="005B7A5C" w:rsidRPr="004676F5">
        <w:rPr>
          <w:lang w:val="de-DE"/>
        </w:rPr>
        <w:t>- </w:t>
      </w:r>
      <w:r w:rsidRPr="004676F5">
        <w:rPr>
          <w:lang w:val="de-DE"/>
        </w:rPr>
        <w:t>Stellt die Aufsichtsstelle fest, dass ein in Belgien ansässiger Vertrauensdienste</w:t>
      </w:r>
      <w:r w:rsidRPr="004676F5">
        <w:rPr>
          <w:lang w:val="de-DE"/>
        </w:rPr>
        <w:softHyphen/>
        <w:t>anbieter die Anforderungen der Verordnung 910/2014, von Buch XII Titel 2 oder seiner Anlagen nicht erfüllt, setzt sie ihn in Verzug und fordert ihn auf, in angemessener Frist, die sie unter Berücksichtigung der Art und der Schwere der Nichteinhaltung festlegt, erforderliche Maßnahmen zu treffen, um diesen Unzulänglichkeiten abzuhelfen.</w:t>
      </w:r>
    </w:p>
    <w:p w14:paraId="6FAA8B52" w14:textId="0C6F1F5F" w:rsidR="00CD1D4A" w:rsidRPr="004676F5" w:rsidRDefault="00CD1D4A">
      <w:pPr>
        <w:rPr>
          <w:lang w:val="de-DE"/>
        </w:rPr>
      </w:pPr>
    </w:p>
    <w:p w14:paraId="685854FF" w14:textId="6035166F" w:rsidR="00DA3B7E" w:rsidRPr="004676F5" w:rsidRDefault="00DA3B7E" w:rsidP="00DA3B7E">
      <w:pPr>
        <w:ind w:firstLine="708"/>
        <w:jc w:val="both"/>
        <w:rPr>
          <w:lang w:val="de-DE"/>
        </w:rPr>
      </w:pPr>
      <w:r w:rsidRPr="004676F5">
        <w:rPr>
          <w:lang w:val="de-DE"/>
        </w:rPr>
        <w:t>§ 4 </w:t>
      </w:r>
      <w:r w:rsidR="005B7A5C" w:rsidRPr="004676F5">
        <w:rPr>
          <w:lang w:val="de-DE"/>
        </w:rPr>
        <w:t>- </w:t>
      </w:r>
      <w:r w:rsidRPr="004676F5">
        <w:rPr>
          <w:lang w:val="de-DE"/>
        </w:rPr>
        <w:t>Sind erforderliche Maßnahmen nach Ablauf dieser Frist nicht getroffen worden, kann der Minister oder sein Beauftragter:</w:t>
      </w:r>
    </w:p>
    <w:p w14:paraId="1FC1A8DC" w14:textId="77777777" w:rsidR="00DA3B7E" w:rsidRPr="004676F5" w:rsidRDefault="00DA3B7E" w:rsidP="00DA3B7E">
      <w:pPr>
        <w:ind w:firstLine="708"/>
        <w:jc w:val="both"/>
        <w:rPr>
          <w:lang w:val="de-DE"/>
        </w:rPr>
      </w:pPr>
    </w:p>
    <w:p w14:paraId="6377BAD0" w14:textId="77777777" w:rsidR="00DA3B7E" w:rsidRPr="004676F5" w:rsidRDefault="00DA3B7E" w:rsidP="00DA3B7E">
      <w:pPr>
        <w:ind w:firstLine="708"/>
        <w:jc w:val="both"/>
        <w:rPr>
          <w:lang w:val="de-DE"/>
        </w:rPr>
      </w:pPr>
      <w:r w:rsidRPr="004676F5">
        <w:rPr>
          <w:i/>
          <w:lang w:val="de-DE"/>
        </w:rPr>
        <w:t>a)</w:t>
      </w:r>
      <w:r w:rsidRPr="004676F5">
        <w:rPr>
          <w:lang w:val="de-DE"/>
        </w:rPr>
        <w:t> dem qualifizierten Vertrauensdiensteanbieter untersagen, qualifizierte Vertrauens</w:t>
      </w:r>
      <w:r w:rsidRPr="004676F5">
        <w:rPr>
          <w:lang w:val="de-DE"/>
        </w:rPr>
        <w:softHyphen/>
        <w:t>dienste weiter zu erbringen,</w:t>
      </w:r>
    </w:p>
    <w:p w14:paraId="0346B4ED" w14:textId="77777777" w:rsidR="00DA3B7E" w:rsidRPr="004676F5" w:rsidRDefault="00DA3B7E" w:rsidP="00DA3B7E">
      <w:pPr>
        <w:ind w:firstLine="708"/>
        <w:jc w:val="both"/>
        <w:rPr>
          <w:lang w:val="de-DE"/>
        </w:rPr>
      </w:pPr>
    </w:p>
    <w:p w14:paraId="4A97A923" w14:textId="77777777" w:rsidR="00DA3B7E" w:rsidRPr="004676F5" w:rsidRDefault="00DA3B7E" w:rsidP="00DA3B7E">
      <w:pPr>
        <w:ind w:firstLine="708"/>
        <w:jc w:val="both"/>
        <w:rPr>
          <w:lang w:val="de-DE"/>
        </w:rPr>
      </w:pPr>
      <w:r w:rsidRPr="004676F5">
        <w:rPr>
          <w:i/>
          <w:lang w:val="de-DE"/>
        </w:rPr>
        <w:t>b)</w:t>
      </w:r>
      <w:r w:rsidRPr="004676F5">
        <w:rPr>
          <w:lang w:val="de-DE"/>
        </w:rPr>
        <w:t> den qualifizierten Vertrauensdiensteanbieter anweisen, die Nutzer seiner Dienste sofort vom Verlust seiner Qualifizierung in Kenntnis zu setzen,</w:t>
      </w:r>
    </w:p>
    <w:p w14:paraId="374070AB" w14:textId="77777777" w:rsidR="00DA3B7E" w:rsidRPr="004676F5" w:rsidRDefault="00DA3B7E" w:rsidP="00DA3B7E">
      <w:pPr>
        <w:ind w:firstLine="708"/>
        <w:jc w:val="both"/>
        <w:rPr>
          <w:lang w:val="de-DE"/>
        </w:rPr>
      </w:pPr>
    </w:p>
    <w:p w14:paraId="3E2F2F81" w14:textId="201AB5B1" w:rsidR="00DA3B7E" w:rsidRPr="004676F5" w:rsidRDefault="00DA3B7E" w:rsidP="00DA3B7E">
      <w:pPr>
        <w:ind w:firstLine="708"/>
        <w:jc w:val="both"/>
        <w:rPr>
          <w:lang w:val="de-DE"/>
        </w:rPr>
      </w:pPr>
      <w:r w:rsidRPr="004676F5">
        <w:rPr>
          <w:i/>
          <w:lang w:val="de-DE"/>
        </w:rPr>
        <w:t>c)</w:t>
      </w:r>
      <w:r w:rsidRPr="004676F5">
        <w:rPr>
          <w:lang w:val="de-DE"/>
        </w:rPr>
        <w:t xml:space="preserve"> nicht qualifizierten Vertrauensdiensteanbietern in Anwendung von Artikel 17 Absatz 3 Buchstabe </w:t>
      </w:r>
      <w:r w:rsidRPr="004676F5">
        <w:rPr>
          <w:i/>
          <w:lang w:val="de-DE"/>
        </w:rPr>
        <w:t>b)</w:t>
      </w:r>
      <w:r w:rsidRPr="004676F5">
        <w:rPr>
          <w:lang w:val="de-DE"/>
        </w:rPr>
        <w:t xml:space="preserve"> der Verordnung 910/2014 untersagen, nicht qualifizierte Vertraue</w:t>
      </w:r>
      <w:r w:rsidR="003775F0" w:rsidRPr="004676F5">
        <w:rPr>
          <w:lang w:val="de-DE"/>
        </w:rPr>
        <w:t>ns</w:t>
      </w:r>
      <w:r w:rsidR="003775F0" w:rsidRPr="004676F5">
        <w:rPr>
          <w:lang w:val="de-DE"/>
        </w:rPr>
        <w:softHyphen/>
        <w:t>dienste weiter zu erbringen.</w:t>
      </w:r>
      <w:r w:rsidRPr="004676F5">
        <w:rPr>
          <w:lang w:val="de-DE"/>
        </w:rPr>
        <w:t>]</w:t>
      </w:r>
    </w:p>
    <w:p w14:paraId="333E4A78" w14:textId="77777777" w:rsidR="00664554" w:rsidRPr="004676F5" w:rsidRDefault="00664554" w:rsidP="00BA2266">
      <w:pPr>
        <w:jc w:val="both"/>
        <w:rPr>
          <w:lang w:val="de-DE"/>
        </w:rPr>
      </w:pPr>
    </w:p>
    <w:p w14:paraId="77BBB8EE" w14:textId="228C2A46" w:rsidR="00DA3B7E" w:rsidRPr="004676F5" w:rsidRDefault="00DA3B7E" w:rsidP="00DA3B7E">
      <w:pPr>
        <w:jc w:val="both"/>
        <w:rPr>
          <w:i/>
          <w:lang w:val="de-DE"/>
        </w:rPr>
      </w:pPr>
      <w:r w:rsidRPr="004676F5">
        <w:rPr>
          <w:i/>
          <w:lang w:val="de-DE"/>
        </w:rPr>
        <w:t>[</w:t>
      </w:r>
      <w:r w:rsidR="00BE0A56" w:rsidRPr="004676F5">
        <w:rPr>
          <w:i/>
          <w:lang w:val="de-DE"/>
        </w:rPr>
        <w:t>Art. </w:t>
      </w:r>
      <w:r w:rsidRPr="004676F5">
        <w:rPr>
          <w:i/>
          <w:lang w:val="de-DE"/>
        </w:rPr>
        <w:t xml:space="preserve">XV.26 eingefügt durch </w:t>
      </w:r>
      <w:r w:rsidR="00BE0A56" w:rsidRPr="004676F5">
        <w:rPr>
          <w:i/>
          <w:lang w:val="de-DE"/>
        </w:rPr>
        <w:t>Art. </w:t>
      </w:r>
      <w:r w:rsidRPr="004676F5">
        <w:rPr>
          <w:i/>
          <w:lang w:val="de-DE"/>
        </w:rPr>
        <w:t>27 des G. vom 21. Juli 2016 (B.S. vom 28. September 2016)]</w:t>
      </w:r>
    </w:p>
    <w:p w14:paraId="794B68D0" w14:textId="763AC112" w:rsidR="00BE3947" w:rsidRPr="004676F5" w:rsidRDefault="00BE3947">
      <w:pPr>
        <w:rPr>
          <w:lang w:val="de-DE"/>
        </w:rPr>
      </w:pPr>
    </w:p>
    <w:p w14:paraId="74B442B3" w14:textId="77777777" w:rsidR="007748FE" w:rsidRPr="004676F5" w:rsidRDefault="007748FE" w:rsidP="00DF2660">
      <w:pPr>
        <w:jc w:val="center"/>
        <w:rPr>
          <w:lang w:val="de-DE"/>
        </w:rPr>
      </w:pPr>
    </w:p>
    <w:p w14:paraId="7A9F8CA3" w14:textId="470DBA63" w:rsidR="00DF2660" w:rsidRPr="004676F5" w:rsidRDefault="00DF2660" w:rsidP="00DF2660">
      <w:pPr>
        <w:jc w:val="center"/>
        <w:rPr>
          <w:lang w:val="de-DE"/>
        </w:rPr>
      </w:pPr>
      <w:r w:rsidRPr="004676F5">
        <w:rPr>
          <w:lang w:val="de-DE"/>
        </w:rPr>
        <w:t>[</w:t>
      </w:r>
      <w:r w:rsidRPr="004676F5">
        <w:rPr>
          <w:i/>
          <w:lang w:val="de-DE"/>
        </w:rPr>
        <w:t>Abschnitt 6</w:t>
      </w:r>
      <w:r w:rsidRPr="004676F5">
        <w:rPr>
          <w:lang w:val="de-DE"/>
        </w:rPr>
        <w:t> </w:t>
      </w:r>
      <w:r w:rsidR="005B7A5C" w:rsidRPr="004676F5">
        <w:rPr>
          <w:lang w:val="de-DE"/>
        </w:rPr>
        <w:t>- </w:t>
      </w:r>
      <w:r w:rsidR="00685151" w:rsidRPr="004676F5">
        <w:rPr>
          <w:lang w:val="de-DE"/>
        </w:rPr>
        <w:t>[...]</w:t>
      </w:r>
    </w:p>
    <w:p w14:paraId="55E3405A" w14:textId="77777777" w:rsidR="00DF2660" w:rsidRPr="004676F5" w:rsidRDefault="00DF2660" w:rsidP="00DF2660">
      <w:pPr>
        <w:jc w:val="center"/>
        <w:rPr>
          <w:lang w:val="de-DE"/>
        </w:rPr>
      </w:pPr>
    </w:p>
    <w:p w14:paraId="0A288F58" w14:textId="10F49616" w:rsidR="00DF2660" w:rsidRPr="004676F5" w:rsidRDefault="00DF2660" w:rsidP="00DF2660">
      <w:pPr>
        <w:jc w:val="both"/>
        <w:rPr>
          <w:i/>
          <w:lang w:val="de-DE"/>
        </w:rPr>
      </w:pPr>
      <w:r w:rsidRPr="004676F5">
        <w:rPr>
          <w:i/>
          <w:lang w:val="de-DE"/>
        </w:rPr>
        <w:t xml:space="preserve">[Abschnitt 6 mit den Artikeln XV.27 bis XV.27/5 eingefügt durch </w:t>
      </w:r>
      <w:r w:rsidR="00BE0A56" w:rsidRPr="004676F5">
        <w:rPr>
          <w:i/>
          <w:lang w:val="de-DE"/>
        </w:rPr>
        <w:t>Art. </w:t>
      </w:r>
      <w:r w:rsidRPr="004676F5">
        <w:rPr>
          <w:i/>
          <w:lang w:val="de-DE"/>
        </w:rPr>
        <w:t>4 des G. vom 15. Mai 2014 (II) (B.S. vom 30. Mai 2014)</w:t>
      </w:r>
      <w:r w:rsidR="00685151" w:rsidRPr="004676F5">
        <w:rPr>
          <w:i/>
          <w:lang w:val="de-DE"/>
        </w:rPr>
        <w:t xml:space="preserve"> und aufgehoben durch Art. 200 des G. vom 15. April 2018 (B.S. vom 27. April 2018)</w:t>
      </w:r>
      <w:r w:rsidRPr="004676F5">
        <w:rPr>
          <w:i/>
          <w:lang w:val="de-DE"/>
        </w:rPr>
        <w:t>]</w:t>
      </w:r>
    </w:p>
    <w:p w14:paraId="510FE3DB" w14:textId="77777777" w:rsidR="00DF2660" w:rsidRPr="004676F5" w:rsidRDefault="00DF2660" w:rsidP="00DF2660">
      <w:pPr>
        <w:jc w:val="both"/>
        <w:rPr>
          <w:i/>
          <w:lang w:val="de-DE"/>
        </w:rPr>
      </w:pPr>
    </w:p>
    <w:p w14:paraId="69A52DEF" w14:textId="77777777" w:rsidR="00DF2660" w:rsidRPr="004676F5" w:rsidRDefault="00DF2660" w:rsidP="00DF2660">
      <w:pPr>
        <w:ind w:firstLine="708"/>
        <w:jc w:val="both"/>
        <w:rPr>
          <w:lang w:val="de-DE"/>
        </w:rPr>
      </w:pPr>
    </w:p>
    <w:p w14:paraId="7B65647B" w14:textId="65AC8268" w:rsidR="00DF2660" w:rsidRPr="004676F5" w:rsidRDefault="00BE0A56" w:rsidP="00685151">
      <w:pPr>
        <w:ind w:firstLine="708"/>
        <w:jc w:val="both"/>
        <w:rPr>
          <w:lang w:val="de-DE"/>
        </w:rPr>
      </w:pPr>
      <w:r w:rsidRPr="004676F5">
        <w:rPr>
          <w:b/>
          <w:lang w:val="de-DE"/>
        </w:rPr>
        <w:t>Art. </w:t>
      </w:r>
      <w:r w:rsidR="00DF2660" w:rsidRPr="004676F5">
        <w:rPr>
          <w:b/>
          <w:lang w:val="de-DE"/>
        </w:rPr>
        <w:t>XV.27</w:t>
      </w:r>
      <w:r w:rsidR="00DF2660" w:rsidRPr="004676F5">
        <w:rPr>
          <w:lang w:val="de-DE"/>
        </w:rPr>
        <w:t> </w:t>
      </w:r>
      <w:r w:rsidR="005B7A5C" w:rsidRPr="004676F5">
        <w:rPr>
          <w:lang w:val="de-DE"/>
        </w:rPr>
        <w:t>- </w:t>
      </w:r>
      <w:r w:rsidR="00DF2660" w:rsidRPr="004676F5">
        <w:rPr>
          <w:b/>
          <w:lang w:val="de-DE"/>
        </w:rPr>
        <w:t>XV.27/5</w:t>
      </w:r>
      <w:r w:rsidR="00DF2660" w:rsidRPr="004676F5">
        <w:rPr>
          <w:lang w:val="de-DE"/>
        </w:rPr>
        <w:t> </w:t>
      </w:r>
      <w:r w:rsidR="005B7A5C" w:rsidRPr="004676F5">
        <w:rPr>
          <w:lang w:val="de-DE"/>
        </w:rPr>
        <w:t>- </w:t>
      </w:r>
      <w:r w:rsidR="00685151" w:rsidRPr="004676F5">
        <w:rPr>
          <w:lang w:val="de-DE"/>
        </w:rPr>
        <w:t>[...]</w:t>
      </w:r>
      <w:r w:rsidR="00DF2660" w:rsidRPr="004676F5">
        <w:rPr>
          <w:lang w:val="de-DE"/>
        </w:rPr>
        <w:t>]</w:t>
      </w:r>
    </w:p>
    <w:p w14:paraId="7BCCAE5A" w14:textId="77777777" w:rsidR="00DF2660" w:rsidRPr="004676F5" w:rsidRDefault="00DF2660" w:rsidP="00DF2660">
      <w:pPr>
        <w:jc w:val="center"/>
        <w:rPr>
          <w:lang w:val="de-DE"/>
        </w:rPr>
      </w:pPr>
    </w:p>
    <w:p w14:paraId="7649B3A5" w14:textId="77777777" w:rsidR="00620833" w:rsidRPr="004676F5" w:rsidRDefault="00620833">
      <w:pPr>
        <w:rPr>
          <w:lang w:val="de-DE"/>
        </w:rPr>
      </w:pPr>
    </w:p>
    <w:p w14:paraId="6522D44F" w14:textId="5CEBB896" w:rsidR="003D6918" w:rsidRPr="004676F5" w:rsidRDefault="003D6918" w:rsidP="00685151">
      <w:pPr>
        <w:jc w:val="center"/>
        <w:rPr>
          <w:lang w:val="de-DE"/>
        </w:rPr>
      </w:pPr>
      <w:r w:rsidRPr="004676F5">
        <w:rPr>
          <w:lang w:val="de-DE"/>
        </w:rPr>
        <w:t>[</w:t>
      </w:r>
      <w:r w:rsidRPr="004676F5">
        <w:rPr>
          <w:i/>
          <w:lang w:val="de-DE"/>
        </w:rPr>
        <w:t xml:space="preserve">Abschnitt 7 </w:t>
      </w:r>
      <w:r w:rsidR="005B7A5C" w:rsidRPr="004676F5">
        <w:rPr>
          <w:lang w:val="de-DE"/>
        </w:rPr>
        <w:t>- </w:t>
      </w:r>
      <w:r w:rsidRPr="004676F5">
        <w:rPr>
          <w:lang w:val="de-DE"/>
        </w:rPr>
        <w:t>Sonderbefugnisse in Bezug auf Ermittlung und Feststellung von Verstößen gegen Buch XVIII</w:t>
      </w:r>
    </w:p>
    <w:p w14:paraId="0437D5E3" w14:textId="77777777" w:rsidR="003D6918" w:rsidRPr="004676F5" w:rsidRDefault="003D6918" w:rsidP="003D6918">
      <w:pPr>
        <w:rPr>
          <w:lang w:val="de-DE"/>
        </w:rPr>
      </w:pPr>
    </w:p>
    <w:p w14:paraId="6D150A41" w14:textId="4F3B92C6" w:rsidR="003D6918" w:rsidRPr="004676F5" w:rsidRDefault="0034154F" w:rsidP="003D6918">
      <w:pPr>
        <w:rPr>
          <w:i/>
          <w:lang w:val="de-DE"/>
        </w:rPr>
      </w:pPr>
      <w:r w:rsidRPr="004676F5">
        <w:rPr>
          <w:i/>
          <w:lang w:val="de-DE"/>
        </w:rPr>
        <w:t xml:space="preserve">[Abschnitt 7 mit </w:t>
      </w:r>
      <w:r w:rsidR="00BE0A56" w:rsidRPr="004676F5">
        <w:rPr>
          <w:i/>
          <w:lang w:val="de-DE"/>
        </w:rPr>
        <w:t>Art. </w:t>
      </w:r>
      <w:r w:rsidR="003D6918" w:rsidRPr="004676F5">
        <w:rPr>
          <w:i/>
          <w:lang w:val="de-DE"/>
        </w:rPr>
        <w:t xml:space="preserve">XV.28 eingefügt durch </w:t>
      </w:r>
      <w:r w:rsidR="00BE0A56" w:rsidRPr="004676F5">
        <w:rPr>
          <w:i/>
          <w:lang w:val="de-DE"/>
        </w:rPr>
        <w:t>Art. </w:t>
      </w:r>
      <w:r w:rsidR="003D6918" w:rsidRPr="004676F5">
        <w:rPr>
          <w:i/>
          <w:lang w:val="de-DE"/>
        </w:rPr>
        <w:t>3</w:t>
      </w:r>
      <w:r w:rsidRPr="004676F5">
        <w:rPr>
          <w:i/>
          <w:lang w:val="de-DE"/>
        </w:rPr>
        <w:t xml:space="preserve"> des G. vom 27. März 2014 (I) (B.S. vom 29. April 2014)]</w:t>
      </w:r>
    </w:p>
    <w:p w14:paraId="5B374092" w14:textId="77777777" w:rsidR="0034154F" w:rsidRPr="004676F5" w:rsidRDefault="0034154F" w:rsidP="003D6918">
      <w:pPr>
        <w:rPr>
          <w:i/>
          <w:lang w:val="de-DE"/>
        </w:rPr>
      </w:pPr>
    </w:p>
    <w:p w14:paraId="71B4FCAC" w14:textId="77777777" w:rsidR="003D6918" w:rsidRPr="004676F5" w:rsidRDefault="003D6918" w:rsidP="003D6918">
      <w:pPr>
        <w:rPr>
          <w:lang w:val="de-DE"/>
        </w:rPr>
      </w:pPr>
    </w:p>
    <w:p w14:paraId="474E584E" w14:textId="7A43FFAF" w:rsidR="003D6918" w:rsidRPr="004676F5" w:rsidRDefault="00BE0A56" w:rsidP="0034154F">
      <w:pPr>
        <w:ind w:firstLine="708"/>
        <w:jc w:val="both"/>
        <w:rPr>
          <w:lang w:val="de-DE"/>
        </w:rPr>
      </w:pPr>
      <w:r w:rsidRPr="004676F5">
        <w:rPr>
          <w:b/>
          <w:lang w:val="de-DE"/>
        </w:rPr>
        <w:t>Art. </w:t>
      </w:r>
      <w:r w:rsidR="003D6918" w:rsidRPr="004676F5">
        <w:rPr>
          <w:b/>
          <w:lang w:val="de-DE"/>
        </w:rPr>
        <w:t>XV.28</w:t>
      </w:r>
      <w:r w:rsidR="003D6918" w:rsidRPr="004676F5">
        <w:rPr>
          <w:lang w:val="de-DE"/>
        </w:rPr>
        <w:t xml:space="preserve"> </w:t>
      </w:r>
      <w:r w:rsidR="005B7A5C" w:rsidRPr="004676F5">
        <w:rPr>
          <w:lang w:val="de-DE"/>
        </w:rPr>
        <w:t>- </w:t>
      </w:r>
      <w:r w:rsidR="003D6918" w:rsidRPr="004676F5">
        <w:rPr>
          <w:lang w:val="de-DE"/>
        </w:rPr>
        <w:t>In Artikel XV.2 erwähnte Bedienstete können bei der Ausführung ihres Auftrags:</w:t>
      </w:r>
    </w:p>
    <w:p w14:paraId="239E9210" w14:textId="77777777" w:rsidR="003D6918" w:rsidRPr="004676F5" w:rsidRDefault="003D6918" w:rsidP="0034154F">
      <w:pPr>
        <w:ind w:firstLine="708"/>
        <w:jc w:val="both"/>
        <w:rPr>
          <w:lang w:val="de-DE"/>
        </w:rPr>
      </w:pPr>
    </w:p>
    <w:p w14:paraId="15562E9B" w14:textId="77777777" w:rsidR="003D6918" w:rsidRPr="004676F5" w:rsidRDefault="003D6918" w:rsidP="0034154F">
      <w:pPr>
        <w:ind w:firstLine="708"/>
        <w:jc w:val="both"/>
        <w:rPr>
          <w:lang w:val="de-DE"/>
        </w:rPr>
      </w:pPr>
      <w:r w:rsidRPr="004676F5">
        <w:rPr>
          <w:lang w:val="de-DE"/>
        </w:rPr>
        <w:t>1. ordnungsgemäß angeordnete Requirierungen notifizieren, ausführen oder ausführen lassen,</w:t>
      </w:r>
    </w:p>
    <w:p w14:paraId="2646AC07" w14:textId="77777777" w:rsidR="003D6918" w:rsidRPr="004676F5" w:rsidRDefault="003D6918" w:rsidP="0034154F">
      <w:pPr>
        <w:ind w:firstLine="708"/>
        <w:jc w:val="both"/>
        <w:rPr>
          <w:lang w:val="de-DE"/>
        </w:rPr>
      </w:pPr>
    </w:p>
    <w:p w14:paraId="00425978" w14:textId="77777777" w:rsidR="003D6918" w:rsidRPr="004676F5" w:rsidRDefault="003D6918" w:rsidP="0034154F">
      <w:pPr>
        <w:ind w:firstLine="708"/>
        <w:jc w:val="both"/>
        <w:rPr>
          <w:lang w:val="de-DE"/>
        </w:rPr>
      </w:pPr>
      <w:r w:rsidRPr="004676F5">
        <w:rPr>
          <w:lang w:val="de-DE"/>
        </w:rPr>
        <w:t>2. von den Gemeindeverwaltungen die nötigen Mittel zur Ausführung ihres Auftrags requirieren. Zu diesem Zweck können die Verwaltungen in der Person des Bürgermeisters, eines der Schöffen, des Gemeindesekretärs oder eines der Bediensteten der lokalen und föderalen Polizei requiriert werden.</w:t>
      </w:r>
    </w:p>
    <w:p w14:paraId="0C6F0AAB" w14:textId="77777777" w:rsidR="003D6918" w:rsidRPr="004676F5" w:rsidRDefault="003D6918" w:rsidP="0034154F">
      <w:pPr>
        <w:ind w:firstLine="708"/>
        <w:jc w:val="both"/>
        <w:rPr>
          <w:lang w:val="de-DE"/>
        </w:rPr>
      </w:pPr>
    </w:p>
    <w:p w14:paraId="1AF8ECD6" w14:textId="77777777" w:rsidR="003D6918" w:rsidRPr="004676F5" w:rsidRDefault="0034154F" w:rsidP="0034154F">
      <w:pPr>
        <w:jc w:val="both"/>
        <w:rPr>
          <w:lang w:val="de-DE"/>
        </w:rPr>
      </w:pPr>
      <w:r w:rsidRPr="004676F5">
        <w:rPr>
          <w:lang w:val="de-DE"/>
        </w:rPr>
        <w:tab/>
      </w:r>
      <w:r w:rsidR="003D6918" w:rsidRPr="004676F5">
        <w:rPr>
          <w:lang w:val="de-DE"/>
        </w:rPr>
        <w:t>Die Verwaltungen können unter anderem verpflichtet werden, beschlagnahmte Waren entgegenzunehmen, ihre Beförderung zu gewährleisten und als ihre Wächter aufzutreten.</w:t>
      </w:r>
      <w:r w:rsidRPr="004676F5">
        <w:rPr>
          <w:lang w:val="de-DE"/>
        </w:rPr>
        <w:t>]</w:t>
      </w:r>
    </w:p>
    <w:p w14:paraId="5AA27DC3" w14:textId="77777777" w:rsidR="0034154F" w:rsidRPr="004676F5" w:rsidRDefault="0034154F" w:rsidP="0034154F">
      <w:pPr>
        <w:jc w:val="both"/>
        <w:rPr>
          <w:lang w:val="de-DE"/>
        </w:rPr>
      </w:pPr>
    </w:p>
    <w:p w14:paraId="26BF7CFE" w14:textId="77777777" w:rsidR="0034154F" w:rsidRPr="004676F5" w:rsidRDefault="0034154F" w:rsidP="0034154F">
      <w:pPr>
        <w:jc w:val="both"/>
        <w:rPr>
          <w:lang w:val="de-DE"/>
        </w:rPr>
      </w:pPr>
    </w:p>
    <w:p w14:paraId="1B2AE1A9" w14:textId="77777777" w:rsidR="0034154F" w:rsidRPr="004676F5" w:rsidRDefault="0034154F" w:rsidP="0034154F">
      <w:pPr>
        <w:jc w:val="center"/>
        <w:rPr>
          <w:lang w:val="de-DE"/>
        </w:rPr>
      </w:pPr>
      <w:r w:rsidRPr="004676F5">
        <w:rPr>
          <w:lang w:val="de-DE"/>
        </w:rPr>
        <w:t>(…)</w:t>
      </w:r>
    </w:p>
    <w:p w14:paraId="571FCB83" w14:textId="77777777" w:rsidR="0034154F" w:rsidRPr="004676F5" w:rsidRDefault="0034154F" w:rsidP="0034154F">
      <w:pPr>
        <w:jc w:val="center"/>
        <w:rPr>
          <w:lang w:val="de-DE"/>
        </w:rPr>
      </w:pPr>
    </w:p>
    <w:p w14:paraId="79CF467D" w14:textId="77777777" w:rsidR="0034154F" w:rsidRPr="004676F5" w:rsidRDefault="0034154F" w:rsidP="0034154F">
      <w:pPr>
        <w:jc w:val="center"/>
        <w:rPr>
          <w:lang w:val="de-DE"/>
        </w:rPr>
      </w:pPr>
    </w:p>
    <w:p w14:paraId="1FD02AD0" w14:textId="3E52D25E" w:rsidR="00BA2266" w:rsidRPr="004676F5" w:rsidRDefault="00BA2266" w:rsidP="00BA2266">
      <w:pPr>
        <w:jc w:val="center"/>
        <w:rPr>
          <w:lang w:val="de-DE"/>
        </w:rPr>
      </w:pPr>
      <w:r w:rsidRPr="004676F5">
        <w:rPr>
          <w:i/>
          <w:lang w:val="de-DE"/>
        </w:rPr>
        <w:t>Abschnitt 8</w:t>
      </w:r>
      <w:r w:rsidRPr="004676F5">
        <w:rPr>
          <w:lang w:val="de-DE"/>
        </w:rPr>
        <w:t> </w:t>
      </w:r>
      <w:r w:rsidR="005B7A5C" w:rsidRPr="004676F5">
        <w:rPr>
          <w:lang w:val="de-DE"/>
        </w:rPr>
        <w:t>- </w:t>
      </w:r>
      <w:r w:rsidRPr="004676F5">
        <w:rPr>
          <w:lang w:val="de-DE"/>
        </w:rPr>
        <w:t>Sonderbefugnis der Staatsanwaltschaft und des Untersuchungsrichters</w:t>
      </w:r>
    </w:p>
    <w:p w14:paraId="10073BB7" w14:textId="77777777" w:rsidR="00BA2266" w:rsidRPr="004676F5" w:rsidRDefault="00BA2266" w:rsidP="00BA2266">
      <w:pPr>
        <w:jc w:val="both"/>
        <w:rPr>
          <w:lang w:val="de-DE"/>
        </w:rPr>
      </w:pPr>
    </w:p>
    <w:p w14:paraId="008AA045" w14:textId="77777777" w:rsidR="00664554" w:rsidRPr="004676F5" w:rsidRDefault="00664554" w:rsidP="00BA2266">
      <w:pPr>
        <w:jc w:val="both"/>
        <w:rPr>
          <w:lang w:val="de-DE"/>
        </w:rPr>
      </w:pPr>
    </w:p>
    <w:p w14:paraId="613320CD" w14:textId="361EC9BB" w:rsidR="00BA2266" w:rsidRPr="004676F5" w:rsidRDefault="00BE0A56" w:rsidP="00BA2266">
      <w:pPr>
        <w:ind w:firstLine="708"/>
        <w:jc w:val="both"/>
        <w:rPr>
          <w:lang w:val="de-DE"/>
        </w:rPr>
      </w:pPr>
      <w:r w:rsidRPr="004676F5">
        <w:rPr>
          <w:b/>
          <w:lang w:val="de-DE"/>
        </w:rPr>
        <w:t>Art. </w:t>
      </w:r>
      <w:r w:rsidR="00BA2266" w:rsidRPr="004676F5">
        <w:rPr>
          <w:b/>
          <w:lang w:val="de-DE"/>
        </w:rPr>
        <w:t>XV.30</w:t>
      </w:r>
      <w:r w:rsidR="00BA2266" w:rsidRPr="004676F5">
        <w:rPr>
          <w:lang w:val="de-DE"/>
        </w:rPr>
        <w:t> </w:t>
      </w:r>
      <w:r w:rsidR="005B7A5C" w:rsidRPr="004676F5">
        <w:rPr>
          <w:lang w:val="de-DE"/>
        </w:rPr>
        <w:t>- </w:t>
      </w:r>
      <w:r w:rsidR="00BA2266" w:rsidRPr="004676F5">
        <w:rPr>
          <w:lang w:val="de-DE"/>
        </w:rPr>
        <w:t>Die Staatsanwaltschaft oder, wenn eine gerichtliche Untersuchung eingeleitet worden ist, der Untersuchungsrichter kann die vorläufige Schließung der Einrichtung des Zuwiderhandelnden anordnen. Die Dauer der vorläufigen Schließung darf nicht über das Datum hinausgehen, an dem endgültig über den Verstoß befunden wird.</w:t>
      </w:r>
    </w:p>
    <w:p w14:paraId="017E38FC" w14:textId="77777777" w:rsidR="00BA2266" w:rsidRPr="004676F5" w:rsidRDefault="00BA2266" w:rsidP="00BA2266">
      <w:pPr>
        <w:jc w:val="both"/>
        <w:rPr>
          <w:lang w:val="de-DE"/>
        </w:rPr>
      </w:pPr>
    </w:p>
    <w:p w14:paraId="625CD8B0" w14:textId="7D7EF6CB" w:rsidR="00BA2266" w:rsidRPr="004676F5" w:rsidRDefault="00BA2266" w:rsidP="00BA2266">
      <w:pPr>
        <w:ind w:firstLine="708"/>
        <w:jc w:val="both"/>
        <w:rPr>
          <w:lang w:val="de-DE"/>
        </w:rPr>
      </w:pPr>
      <w:r w:rsidRPr="004676F5">
        <w:rPr>
          <w:lang w:val="de-DE"/>
        </w:rPr>
        <w:t xml:space="preserve">Der Beschluss der vorläufigen Schließung schließt ein </w:t>
      </w:r>
      <w:r w:rsidR="00595EFA" w:rsidRPr="004676F5">
        <w:rPr>
          <w:lang w:val="de-DE"/>
        </w:rPr>
        <w:t>[in den Artikeln XV.61</w:t>
      </w:r>
      <w:r w:rsidR="007748FE" w:rsidRPr="004676F5">
        <w:rPr>
          <w:lang w:val="de-DE"/>
        </w:rPr>
        <w:t xml:space="preserve"> </w:t>
      </w:r>
      <w:r w:rsidR="00595EFA" w:rsidRPr="004676F5">
        <w:rPr>
          <w:lang w:val="de-DE"/>
        </w:rPr>
        <w:t xml:space="preserve">und XV.62/1] </w:t>
      </w:r>
      <w:r w:rsidRPr="004676F5">
        <w:rPr>
          <w:lang w:val="de-DE"/>
        </w:rPr>
        <w:t>erwähntes Vergleichsverfahren aus.</w:t>
      </w:r>
    </w:p>
    <w:p w14:paraId="1EF1BA2C" w14:textId="77777777" w:rsidR="00280329" w:rsidRPr="004676F5" w:rsidRDefault="00280329">
      <w:pPr>
        <w:rPr>
          <w:lang w:val="de-DE"/>
        </w:rPr>
      </w:pPr>
    </w:p>
    <w:p w14:paraId="3A7FEDF2" w14:textId="41F4FA3B" w:rsidR="00BA2266" w:rsidRPr="004676F5" w:rsidRDefault="00BA2266" w:rsidP="00BA2266">
      <w:pPr>
        <w:jc w:val="both"/>
        <w:rPr>
          <w:lang w:val="de-DE"/>
        </w:rPr>
      </w:pPr>
      <w:r w:rsidRPr="004676F5">
        <w:rPr>
          <w:lang w:val="de-DE"/>
        </w:rPr>
        <w:tab/>
        <w:t>Die vorläufige Schließung der Einrichtung wird achtundvierzig Stunden nach Notifizierung an den Zuwiderhandelnden wirksam.</w:t>
      </w:r>
    </w:p>
    <w:p w14:paraId="58D82D16" w14:textId="77777777" w:rsidR="00595EFA" w:rsidRPr="004676F5" w:rsidRDefault="00595EFA" w:rsidP="00BA2266">
      <w:pPr>
        <w:jc w:val="both"/>
        <w:rPr>
          <w:lang w:val="de-DE"/>
        </w:rPr>
      </w:pPr>
    </w:p>
    <w:p w14:paraId="78468C77" w14:textId="326F741C" w:rsidR="00595EFA" w:rsidRPr="004676F5" w:rsidRDefault="00595EFA" w:rsidP="00BA2266">
      <w:pPr>
        <w:jc w:val="both"/>
        <w:rPr>
          <w:i/>
          <w:lang w:val="de-DE"/>
        </w:rPr>
      </w:pPr>
      <w:r w:rsidRPr="004676F5">
        <w:rPr>
          <w:i/>
          <w:lang w:val="de-DE"/>
        </w:rPr>
        <w:t>[</w:t>
      </w:r>
      <w:r w:rsidR="00BE0A56" w:rsidRPr="004676F5">
        <w:rPr>
          <w:i/>
          <w:lang w:val="de-DE"/>
        </w:rPr>
        <w:t>Art. </w:t>
      </w:r>
      <w:r w:rsidRPr="004676F5">
        <w:rPr>
          <w:i/>
          <w:lang w:val="de-DE"/>
        </w:rPr>
        <w:t xml:space="preserve">XV.30 Abs. 2 abgeändert durch </w:t>
      </w:r>
      <w:r w:rsidR="00BE0A56" w:rsidRPr="004676F5">
        <w:rPr>
          <w:i/>
          <w:lang w:val="de-DE"/>
        </w:rPr>
        <w:t>Art. </w:t>
      </w:r>
      <w:r w:rsidRPr="004676F5">
        <w:rPr>
          <w:i/>
          <w:lang w:val="de-DE"/>
        </w:rPr>
        <w:t>5 des G. vom 19. April 2014 (II) (B.S. vom 12. Juni 2014)</w:t>
      </w:r>
      <w:r w:rsidR="007748FE" w:rsidRPr="004676F5">
        <w:rPr>
          <w:i/>
          <w:lang w:val="de-DE"/>
        </w:rPr>
        <w:t xml:space="preserve"> und Art. 48 des G. vom 5. November 2023</w:t>
      </w:r>
      <w:r w:rsidR="00857EC4" w:rsidRPr="004676F5">
        <w:rPr>
          <w:i/>
          <w:lang w:val="de-DE"/>
        </w:rPr>
        <w:t> (I)</w:t>
      </w:r>
      <w:r w:rsidR="007748FE" w:rsidRPr="004676F5">
        <w:rPr>
          <w:i/>
          <w:lang w:val="de-DE"/>
        </w:rPr>
        <w:t xml:space="preserve"> (B.S. vom 11. Dezember 2023)</w:t>
      </w:r>
      <w:r w:rsidRPr="004676F5">
        <w:rPr>
          <w:i/>
          <w:lang w:val="de-DE"/>
        </w:rPr>
        <w:t>]</w:t>
      </w:r>
    </w:p>
    <w:p w14:paraId="4587AB83" w14:textId="77777777" w:rsidR="0034154F" w:rsidRPr="004676F5" w:rsidRDefault="0034154F">
      <w:pPr>
        <w:rPr>
          <w:lang w:val="de-DE"/>
        </w:rPr>
      </w:pPr>
    </w:p>
    <w:p w14:paraId="00CBAB38" w14:textId="77777777" w:rsidR="00EA5961" w:rsidRPr="004676F5" w:rsidRDefault="00EA5961">
      <w:pPr>
        <w:rPr>
          <w:lang w:val="de-DE"/>
        </w:rPr>
      </w:pPr>
    </w:p>
    <w:p w14:paraId="207422AB" w14:textId="10624A46" w:rsidR="00595EFA" w:rsidRPr="004676F5" w:rsidRDefault="00595EFA" w:rsidP="00595EFA">
      <w:pPr>
        <w:ind w:firstLine="708"/>
        <w:jc w:val="both"/>
        <w:rPr>
          <w:lang w:val="de-DE"/>
        </w:rPr>
      </w:pPr>
      <w:r w:rsidRPr="004676F5">
        <w:rPr>
          <w:lang w:val="de-DE"/>
        </w:rPr>
        <w:t>[</w:t>
      </w:r>
      <w:r w:rsidR="00BE0A56" w:rsidRPr="004676F5">
        <w:rPr>
          <w:b/>
          <w:lang w:val="de-DE"/>
        </w:rPr>
        <w:t>Art. </w:t>
      </w:r>
      <w:r w:rsidRPr="004676F5">
        <w:rPr>
          <w:b/>
          <w:lang w:val="de-DE"/>
        </w:rPr>
        <w:t>XV.30/1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Prokurator des Königs ordnet die Vernichtung der in Anwendung von Artikel XV.23 beschlagnahmten Waren an, wenn Belange der öffentlichen Sicherheit dies erfordern oder wenn Aufbewahrung oder Lagerung dieser Waren möglicher</w:t>
      </w:r>
      <w:r w:rsidRPr="004676F5">
        <w:rPr>
          <w:lang w:val="de-DE"/>
        </w:rPr>
        <w:softHyphen/>
        <w:t>weise eine Gefahr für die öffentliche Ordnung darstellt beziehungsweise wenn sie aufgrund von Beschaffenheit, Menge oder Art der Lagerung der Waren problematisch ist, und sofern innerhalb eines Monats ab dem Datum der Beschlagnahme kein Dritter, der einen Anspruch auf diese Waren erhebt, die Herausgabe der Waren gefordert hat. Für die Anwendung des vorliegenden Absatzes gilt für die Vernichtung von verderblichen Waren oder von Waren mit begrenzter Haltbarkeit eine Frist von fünfzehn Tagen.</w:t>
      </w:r>
    </w:p>
    <w:p w14:paraId="2262AAC1" w14:textId="77777777" w:rsidR="00595EFA" w:rsidRPr="004676F5" w:rsidRDefault="00595EFA" w:rsidP="00595EFA">
      <w:pPr>
        <w:ind w:firstLine="708"/>
        <w:jc w:val="both"/>
        <w:rPr>
          <w:lang w:val="de-DE"/>
        </w:rPr>
      </w:pPr>
    </w:p>
    <w:p w14:paraId="3E3D68AC" w14:textId="77777777" w:rsidR="00595EFA" w:rsidRPr="004676F5" w:rsidRDefault="00595EFA" w:rsidP="00595EFA">
      <w:pPr>
        <w:ind w:firstLine="708"/>
        <w:jc w:val="both"/>
        <w:rPr>
          <w:lang w:val="de-DE"/>
        </w:rPr>
      </w:pPr>
      <w:r w:rsidRPr="004676F5">
        <w:rPr>
          <w:lang w:val="de-DE"/>
        </w:rPr>
        <w:t>Der Eigentümer oder Inhaber der beschlagnahmten Waren oder der Inhaber des geistigen Eigentumsrechts, dessen Verletzung geltend gemacht wird, kann auf Antrag des Prokurators des Königs aufgefordert werden, die Waren selbst zu vernichten.</w:t>
      </w:r>
    </w:p>
    <w:p w14:paraId="54E5534E" w14:textId="77777777" w:rsidR="00595EFA" w:rsidRPr="004676F5" w:rsidRDefault="00595EFA" w:rsidP="00595EFA">
      <w:pPr>
        <w:ind w:firstLine="708"/>
        <w:jc w:val="both"/>
        <w:rPr>
          <w:lang w:val="de-DE"/>
        </w:rPr>
      </w:pPr>
    </w:p>
    <w:p w14:paraId="7CB9BE22" w14:textId="777F0CC8" w:rsidR="00595EFA" w:rsidRPr="004676F5" w:rsidRDefault="00D57AA5" w:rsidP="00595EFA">
      <w:pPr>
        <w:ind w:firstLine="708"/>
        <w:jc w:val="both"/>
        <w:rPr>
          <w:lang w:val="de-DE"/>
        </w:rPr>
      </w:pPr>
      <w:r w:rsidRPr="004676F5">
        <w:rPr>
          <w:lang w:val="de-DE"/>
        </w:rPr>
        <w:t>[...]</w:t>
      </w:r>
    </w:p>
    <w:p w14:paraId="7CC026A5" w14:textId="77777777" w:rsidR="00595EFA" w:rsidRPr="004676F5" w:rsidRDefault="00595EFA" w:rsidP="00595EFA">
      <w:pPr>
        <w:ind w:firstLine="708"/>
        <w:jc w:val="both"/>
        <w:rPr>
          <w:lang w:val="de-DE"/>
        </w:rPr>
      </w:pPr>
    </w:p>
    <w:p w14:paraId="7297715D" w14:textId="0FFBA903" w:rsidR="00595EFA" w:rsidRPr="004676F5" w:rsidRDefault="00595EFA" w:rsidP="00595EFA">
      <w:pPr>
        <w:ind w:firstLine="708"/>
        <w:jc w:val="both"/>
        <w:rPr>
          <w:lang w:val="de-DE"/>
        </w:rPr>
      </w:pPr>
      <w:r w:rsidRPr="004676F5">
        <w:rPr>
          <w:lang w:val="de-DE"/>
        </w:rPr>
        <w:t xml:space="preserve">Kosten für die in Anwendung </w:t>
      </w:r>
      <w:r w:rsidR="00D57AA5" w:rsidRPr="004676F5">
        <w:rPr>
          <w:lang w:val="de-DE"/>
        </w:rPr>
        <w:t xml:space="preserve">[der ersten beiden Absätze] </w:t>
      </w:r>
      <w:r w:rsidRPr="004676F5">
        <w:rPr>
          <w:lang w:val="de-DE"/>
        </w:rPr>
        <w:t>angeordnete Vernichtung der Waren werden vom Eigentümer der Waren getragen. Ist der Eigentümer unbekannt oder zahlungsunfähig, so sind der Inhaber der Waren, der Empfänger der Waren und der Rechtsinhaber gesamtschuldnerisch verpflichtet, die Kosten zu tragen. Der König kann durch einen im Ministerrat beratenen Erlass Verfahrensmodalitäten für die Rückforderung der Kosten festlegen.</w:t>
      </w:r>
    </w:p>
    <w:p w14:paraId="36E4EC81" w14:textId="77777777" w:rsidR="00595EFA" w:rsidRPr="004676F5" w:rsidRDefault="00595EFA" w:rsidP="00595EFA">
      <w:pPr>
        <w:ind w:firstLine="708"/>
        <w:jc w:val="both"/>
        <w:rPr>
          <w:lang w:val="de-DE"/>
        </w:rPr>
      </w:pPr>
    </w:p>
    <w:p w14:paraId="0751E41D" w14:textId="77777777" w:rsidR="00595EFA" w:rsidRPr="004676F5" w:rsidRDefault="00595EFA" w:rsidP="00595EFA">
      <w:pPr>
        <w:ind w:firstLine="708"/>
        <w:jc w:val="both"/>
        <w:rPr>
          <w:lang w:val="de-DE"/>
        </w:rPr>
      </w:pPr>
      <w:r w:rsidRPr="004676F5">
        <w:rPr>
          <w:lang w:val="de-DE"/>
        </w:rPr>
        <w:t>In Abweichung von Absatz 1 und sofern der Rechtsinhaber durch eine solche Entscheidung keinen Schaden erleidet, kann der Prokurator des Königs entscheiden, den Waren eine andere Zweckbestimmung zu geben, und das in Artikel 28</w:t>
      </w:r>
      <w:r w:rsidRPr="004676F5">
        <w:rPr>
          <w:i/>
          <w:lang w:val="de-DE"/>
        </w:rPr>
        <w:t>octies</w:t>
      </w:r>
      <w:r w:rsidRPr="004676F5">
        <w:rPr>
          <w:lang w:val="de-DE"/>
        </w:rPr>
        <w:t xml:space="preserve"> § 1 Nr. 1 des Strafprozessgesetzbuches erwähnte Veräußerungsverfahren anordnen. Der König kann durch einen im Ministerrat beratenen Erlass Modalitäten der Anwendung dieses Veräußerungs</w:t>
      </w:r>
      <w:r w:rsidRPr="004676F5">
        <w:rPr>
          <w:lang w:val="de-DE"/>
        </w:rPr>
        <w:softHyphen/>
        <w:t>verfahrens festlegen. Dieses Verfahren darf keine Kosten für die Staatskasse mit sich bringen.</w:t>
      </w:r>
    </w:p>
    <w:p w14:paraId="6BA8D871" w14:textId="77777777" w:rsidR="00595EFA" w:rsidRPr="004676F5" w:rsidRDefault="00595EFA" w:rsidP="00595EFA">
      <w:pPr>
        <w:ind w:firstLine="708"/>
        <w:jc w:val="both"/>
        <w:rPr>
          <w:lang w:val="de-DE"/>
        </w:rPr>
      </w:pPr>
    </w:p>
    <w:p w14:paraId="478451D3" w14:textId="77777777" w:rsidR="00595EFA" w:rsidRPr="004676F5" w:rsidRDefault="00595EFA" w:rsidP="00595EFA">
      <w:pPr>
        <w:ind w:firstLine="708"/>
        <w:jc w:val="both"/>
        <w:rPr>
          <w:lang w:val="de-DE"/>
        </w:rPr>
      </w:pPr>
      <w:r w:rsidRPr="004676F5">
        <w:rPr>
          <w:lang w:val="de-DE"/>
        </w:rPr>
        <w:lastRenderedPageBreak/>
        <w:t>Wenn eine Vernichtung oder Veräußerung erfolgen muss, werden vorab die zu vernichtenden oder zu veräußernden Gegenstände so präzise wie möglich beschrieben und es wird eine Probe dieser Gegenstände entnommen.</w:t>
      </w:r>
    </w:p>
    <w:p w14:paraId="3A43DF59" w14:textId="77777777" w:rsidR="00595EFA" w:rsidRPr="004676F5" w:rsidRDefault="00595EFA" w:rsidP="00595EFA">
      <w:pPr>
        <w:ind w:firstLine="708"/>
        <w:jc w:val="both"/>
        <w:rPr>
          <w:lang w:val="de-DE"/>
        </w:rPr>
      </w:pPr>
    </w:p>
    <w:p w14:paraId="58DC2F0C" w14:textId="063CAEF5" w:rsidR="00595EFA" w:rsidRPr="004676F5" w:rsidRDefault="00595EFA" w:rsidP="00595EFA">
      <w:pPr>
        <w:ind w:firstLine="708"/>
        <w:jc w:val="both"/>
        <w:rPr>
          <w:lang w:val="de-DE"/>
        </w:rPr>
      </w:pPr>
      <w:r w:rsidRPr="004676F5">
        <w:rPr>
          <w:lang w:val="de-DE"/>
        </w:rPr>
        <w:t>§ 2 </w:t>
      </w:r>
      <w:r w:rsidR="005B7A5C" w:rsidRPr="004676F5">
        <w:rPr>
          <w:lang w:val="de-DE"/>
        </w:rPr>
        <w:t>- </w:t>
      </w:r>
      <w:r w:rsidRPr="004676F5">
        <w:rPr>
          <w:lang w:val="de-DE"/>
        </w:rPr>
        <w:t>Kosten für die Erhaltung beschlagnahmter Waren werden vom Eigentümer der Waren getragen. Ist der Eigentümer unbekannt oder zahlungsunfähig, so sind der Inhaber der Waren, der Empfänger der Waren und der Rechtsinhaber gesamtschuldnerisch verpflichtet, die Kosten zu tragen. Der König kann Verfahrensmodalitäten für die Rückforderung der Kosten festlegen.</w:t>
      </w:r>
    </w:p>
    <w:p w14:paraId="1205D7C6" w14:textId="77777777" w:rsidR="00595EFA" w:rsidRPr="004676F5" w:rsidRDefault="00595EFA" w:rsidP="00595EFA">
      <w:pPr>
        <w:ind w:firstLine="708"/>
        <w:jc w:val="both"/>
        <w:rPr>
          <w:lang w:val="de-DE"/>
        </w:rPr>
      </w:pPr>
    </w:p>
    <w:p w14:paraId="05337670" w14:textId="77777777" w:rsidR="00595EFA" w:rsidRPr="004676F5" w:rsidRDefault="00595EFA" w:rsidP="00595EFA">
      <w:pPr>
        <w:ind w:firstLine="708"/>
        <w:jc w:val="both"/>
        <w:rPr>
          <w:lang w:val="de-DE"/>
        </w:rPr>
      </w:pPr>
      <w:r w:rsidRPr="004676F5">
        <w:rPr>
          <w:lang w:val="de-DE"/>
        </w:rPr>
        <w:t>Der Eigentümer oder Inhaber der beschlagnahmten Waren, der Inhaber des geistigen Eigentumsrechts, dessen Verletzung geltend gemacht wird, oder Dritte, die in Anwendung von § 1 Absatz 1 einen Anspruch auf diese Waren erheben, können auf Antrag des Proku</w:t>
      </w:r>
      <w:r w:rsidRPr="004676F5">
        <w:rPr>
          <w:lang w:val="de-DE"/>
        </w:rPr>
        <w:softHyphen/>
        <w:t>rators des Königs als gerichtlicher Verwahrer dieser Waren bestellt werden.</w:t>
      </w:r>
    </w:p>
    <w:p w14:paraId="2253604F" w14:textId="77777777" w:rsidR="00595EFA" w:rsidRPr="004676F5" w:rsidRDefault="00595EFA" w:rsidP="00595EFA">
      <w:pPr>
        <w:ind w:firstLine="708"/>
        <w:jc w:val="both"/>
        <w:rPr>
          <w:lang w:val="de-DE"/>
        </w:rPr>
      </w:pPr>
    </w:p>
    <w:p w14:paraId="73A28452" w14:textId="587E829C" w:rsidR="00595EFA" w:rsidRPr="004676F5" w:rsidRDefault="00595EFA" w:rsidP="00595EFA">
      <w:pPr>
        <w:ind w:firstLine="708"/>
        <w:jc w:val="both"/>
        <w:rPr>
          <w:lang w:val="de-DE"/>
        </w:rPr>
      </w:pPr>
      <w:r w:rsidRPr="004676F5">
        <w:rPr>
          <w:lang w:val="de-DE"/>
        </w:rPr>
        <w:t>§ 3 </w:t>
      </w:r>
      <w:r w:rsidR="005B7A5C" w:rsidRPr="004676F5">
        <w:rPr>
          <w:lang w:val="de-DE"/>
        </w:rPr>
        <w:t>- </w:t>
      </w:r>
      <w:r w:rsidRPr="004676F5">
        <w:rPr>
          <w:lang w:val="de-DE"/>
        </w:rPr>
        <w:t>Im Laufe der Untersuchung und für die Anwendung der Paragraphen 1 und 2 verfügt der Untersuchungsrichter über dieselben Befugnisse wie der Prokurator des Königs.]</w:t>
      </w:r>
    </w:p>
    <w:p w14:paraId="3CBB44E3" w14:textId="77777777" w:rsidR="00595EFA" w:rsidRPr="004676F5" w:rsidRDefault="00595EFA" w:rsidP="00595EFA">
      <w:pPr>
        <w:ind w:firstLine="708"/>
        <w:jc w:val="both"/>
        <w:rPr>
          <w:lang w:val="de-DE"/>
        </w:rPr>
      </w:pPr>
    </w:p>
    <w:p w14:paraId="774E7F1F" w14:textId="29591F07" w:rsidR="00595EFA" w:rsidRPr="004676F5" w:rsidRDefault="00595EFA" w:rsidP="00595EFA">
      <w:pPr>
        <w:jc w:val="both"/>
        <w:rPr>
          <w:i/>
          <w:lang w:val="de-DE"/>
        </w:rPr>
      </w:pPr>
      <w:r w:rsidRPr="004676F5">
        <w:rPr>
          <w:i/>
          <w:lang w:val="de-DE"/>
        </w:rPr>
        <w:t>[</w:t>
      </w:r>
      <w:r w:rsidR="00BE0A56" w:rsidRPr="004676F5">
        <w:rPr>
          <w:i/>
          <w:lang w:val="de-DE"/>
        </w:rPr>
        <w:t>Art. </w:t>
      </w:r>
      <w:r w:rsidR="00242FEF" w:rsidRPr="004676F5">
        <w:rPr>
          <w:i/>
          <w:lang w:val="de-DE"/>
        </w:rPr>
        <w:t>XV.</w:t>
      </w:r>
      <w:r w:rsidRPr="004676F5">
        <w:rPr>
          <w:i/>
          <w:lang w:val="de-DE"/>
        </w:rPr>
        <w:t xml:space="preserve">30/1 eingefügt durch </w:t>
      </w:r>
      <w:r w:rsidR="00BE0A56" w:rsidRPr="004676F5">
        <w:rPr>
          <w:i/>
          <w:lang w:val="de-DE"/>
        </w:rPr>
        <w:t>Art. </w:t>
      </w:r>
      <w:r w:rsidRPr="004676F5">
        <w:rPr>
          <w:i/>
          <w:lang w:val="de-DE"/>
        </w:rPr>
        <w:t>6 des G. vom 19. April 2014 (II) (B.S. vom 12. Juni 2014)</w:t>
      </w:r>
      <w:r w:rsidR="00D57AA5" w:rsidRPr="004676F5">
        <w:rPr>
          <w:i/>
          <w:lang w:val="de-DE"/>
        </w:rPr>
        <w:t>; § 1 früherer Absatz 3 aufgehoben durch Art. 33 Nr. 1 des G. vom 30. Juli 2018 (II) (B.S. vom 5. September 2018); § 1 neuer Absatz 3 abgeändert durch Art. 33 Nr. 2 des G. vom 30. Juli 2018 (II) (B.S. vom 5. September 2018)</w:t>
      </w:r>
      <w:r w:rsidRPr="004676F5">
        <w:rPr>
          <w:i/>
          <w:lang w:val="de-DE"/>
        </w:rPr>
        <w:t>]</w:t>
      </w:r>
    </w:p>
    <w:p w14:paraId="196FAD1E" w14:textId="77777777" w:rsidR="00E56C9E" w:rsidRPr="004676F5" w:rsidRDefault="00E56C9E">
      <w:pPr>
        <w:rPr>
          <w:lang w:val="de-DE"/>
        </w:rPr>
      </w:pPr>
    </w:p>
    <w:p w14:paraId="6C511E41" w14:textId="77777777" w:rsidR="00E56C9E" w:rsidRPr="004676F5" w:rsidRDefault="00E56C9E">
      <w:pPr>
        <w:rPr>
          <w:lang w:val="de-DE"/>
        </w:rPr>
      </w:pPr>
    </w:p>
    <w:p w14:paraId="7F0292F4" w14:textId="38D184A4" w:rsidR="00E56C9E" w:rsidRPr="004676F5" w:rsidRDefault="00E56C9E" w:rsidP="00E56C9E">
      <w:pPr>
        <w:jc w:val="center"/>
        <w:rPr>
          <w:lang w:val="de-DE"/>
        </w:rPr>
      </w:pPr>
      <w:r w:rsidRPr="004676F5">
        <w:rPr>
          <w:lang w:val="de-DE"/>
        </w:rPr>
        <w:t>[</w:t>
      </w:r>
      <w:r w:rsidRPr="004676F5">
        <w:rPr>
          <w:i/>
          <w:lang w:val="de-DE"/>
        </w:rPr>
        <w:t>Abschnitt 9 </w:t>
      </w:r>
      <w:r w:rsidR="005B7A5C" w:rsidRPr="004676F5">
        <w:rPr>
          <w:lang w:val="de-DE"/>
        </w:rPr>
        <w:t>- </w:t>
      </w:r>
      <w:r w:rsidRPr="004676F5">
        <w:rPr>
          <w:lang w:val="de-DE"/>
        </w:rPr>
        <w:t>Andere Sonderbefugnisse]</w:t>
      </w:r>
    </w:p>
    <w:p w14:paraId="20CC97D9" w14:textId="77777777" w:rsidR="00E56C9E" w:rsidRPr="004676F5" w:rsidRDefault="00E56C9E" w:rsidP="00E56C9E">
      <w:pPr>
        <w:jc w:val="center"/>
        <w:rPr>
          <w:lang w:val="de-DE"/>
        </w:rPr>
      </w:pPr>
    </w:p>
    <w:p w14:paraId="63EA2763" w14:textId="6D26814E" w:rsidR="00E56C9E" w:rsidRPr="004676F5" w:rsidRDefault="00E56C9E" w:rsidP="00E56C9E">
      <w:pPr>
        <w:jc w:val="both"/>
        <w:rPr>
          <w:i/>
          <w:lang w:val="de-DE"/>
        </w:rPr>
      </w:pPr>
      <w:r w:rsidRPr="004676F5">
        <w:rPr>
          <w:i/>
          <w:lang w:val="de-DE"/>
        </w:rPr>
        <w:t xml:space="preserve">[Unterteilung Abschnitt 9 eingefügt durch </w:t>
      </w:r>
      <w:r w:rsidR="00BE0A56" w:rsidRPr="004676F5">
        <w:rPr>
          <w:i/>
          <w:lang w:val="de-DE"/>
        </w:rPr>
        <w:t>Art. </w:t>
      </w:r>
      <w:r w:rsidRPr="004676F5">
        <w:rPr>
          <w:i/>
          <w:lang w:val="de-DE"/>
        </w:rPr>
        <w:t>23 des G. vom 18. April 2017 (B.S. vom 24. April 2017)]</w:t>
      </w:r>
    </w:p>
    <w:p w14:paraId="28F5ECB7" w14:textId="77777777" w:rsidR="00E56C9E" w:rsidRPr="004676F5" w:rsidRDefault="00E56C9E" w:rsidP="00E56C9E">
      <w:pPr>
        <w:jc w:val="both"/>
        <w:rPr>
          <w:lang w:val="de-DE"/>
        </w:rPr>
      </w:pPr>
    </w:p>
    <w:p w14:paraId="7D86E398" w14:textId="77777777" w:rsidR="00E56C9E" w:rsidRPr="004676F5" w:rsidRDefault="00E56C9E" w:rsidP="00E56C9E">
      <w:pPr>
        <w:jc w:val="both"/>
        <w:rPr>
          <w:lang w:val="de-DE"/>
        </w:rPr>
      </w:pPr>
    </w:p>
    <w:p w14:paraId="3AD64A7C" w14:textId="4A14F75B" w:rsidR="00E56C9E" w:rsidRPr="004676F5" w:rsidRDefault="00E56C9E" w:rsidP="00E56C9E">
      <w:pPr>
        <w:jc w:val="both"/>
        <w:rPr>
          <w:rFonts w:eastAsiaTheme="minorHAnsi"/>
          <w:lang w:val="de-DE"/>
        </w:rPr>
      </w:pPr>
      <w:r w:rsidRPr="004676F5">
        <w:rPr>
          <w:lang w:val="de-DE"/>
        </w:rPr>
        <w:tab/>
        <w:t>[</w:t>
      </w:r>
      <w:r w:rsidR="00BE0A56" w:rsidRPr="004676F5">
        <w:rPr>
          <w:b/>
          <w:lang w:val="de-DE"/>
        </w:rPr>
        <w:t>Art. </w:t>
      </w:r>
      <w:r w:rsidRPr="004676F5">
        <w:rPr>
          <w:b/>
          <w:lang w:val="de-DE"/>
        </w:rPr>
        <w:t>XV.30/2</w:t>
      </w:r>
      <w:r w:rsidRPr="004676F5">
        <w:rPr>
          <w:lang w:val="de-DE"/>
        </w:rPr>
        <w:t> </w:t>
      </w:r>
      <w:r w:rsidR="005B7A5C" w:rsidRPr="004676F5">
        <w:rPr>
          <w:lang w:val="de-DE"/>
        </w:rPr>
        <w:t>- </w:t>
      </w:r>
      <w:r w:rsidRPr="004676F5">
        <w:rPr>
          <w:lang w:val="de-DE"/>
        </w:rPr>
        <w:t>Die vom Minister bestellten Bediensteten sind befugt, gemäß Artikel 9 der Verordnung (Euratom, EG) Nr. 2185/96 des Rates betreffend die Kontrollen und Überprüfungen vor Ort durch die Kommission zum Schutz der finanziellen Interessen der Europäischen Gemeinschaften vor Betrug und anderen Unregelmäßigkeiten den Kontrolleuren der Europäischen Kommission die erforderliche Unterstützung zu gewähren.</w:t>
      </w:r>
    </w:p>
    <w:p w14:paraId="49F45216" w14:textId="77777777" w:rsidR="00E56C9E" w:rsidRPr="004676F5" w:rsidRDefault="00E56C9E" w:rsidP="00E56C9E">
      <w:pPr>
        <w:jc w:val="both"/>
        <w:rPr>
          <w:rFonts w:eastAsiaTheme="minorHAnsi"/>
          <w:lang w:val="de-DE" w:eastAsia="en-US"/>
        </w:rPr>
      </w:pPr>
    </w:p>
    <w:p w14:paraId="3CFDE411" w14:textId="77777777" w:rsidR="00E56C9E" w:rsidRPr="004676F5" w:rsidRDefault="00E56C9E" w:rsidP="00E56C9E">
      <w:pPr>
        <w:jc w:val="both"/>
        <w:rPr>
          <w:lang w:val="de-DE"/>
        </w:rPr>
      </w:pPr>
      <w:r w:rsidRPr="004676F5">
        <w:rPr>
          <w:lang w:val="de-DE"/>
        </w:rPr>
        <w:tab/>
        <w:t xml:space="preserve">Die in Absatz 1 erwähnten Bediensteten verfügen zu diesem Zweck über die in Titel 1 Kapitel 1 erwähnten Befugnisse.] </w:t>
      </w:r>
    </w:p>
    <w:p w14:paraId="7323445A" w14:textId="77777777" w:rsidR="00E56C9E" w:rsidRPr="004676F5" w:rsidRDefault="00E56C9E" w:rsidP="00E56C9E">
      <w:pPr>
        <w:jc w:val="both"/>
        <w:rPr>
          <w:lang w:val="de-DE"/>
        </w:rPr>
      </w:pPr>
    </w:p>
    <w:p w14:paraId="7E4C0ECC" w14:textId="77777777" w:rsidR="003A13B8" w:rsidRPr="004676F5" w:rsidRDefault="00E56C9E" w:rsidP="00E56C9E">
      <w:pPr>
        <w:jc w:val="both"/>
        <w:rPr>
          <w:i/>
          <w:lang w:val="de-DE"/>
        </w:rPr>
      </w:pPr>
      <w:r w:rsidRPr="004676F5">
        <w:rPr>
          <w:i/>
          <w:lang w:val="de-DE"/>
        </w:rPr>
        <w:t>[</w:t>
      </w:r>
      <w:r w:rsidR="00BE0A56" w:rsidRPr="004676F5">
        <w:rPr>
          <w:i/>
          <w:lang w:val="de-DE"/>
        </w:rPr>
        <w:t>Art. </w:t>
      </w:r>
      <w:r w:rsidRPr="004676F5">
        <w:rPr>
          <w:i/>
          <w:lang w:val="de-DE"/>
        </w:rPr>
        <w:t xml:space="preserve">XV.30/2 eingefügt durch </w:t>
      </w:r>
      <w:r w:rsidR="00BE0A56" w:rsidRPr="004676F5">
        <w:rPr>
          <w:i/>
          <w:lang w:val="de-DE"/>
        </w:rPr>
        <w:t>Art. </w:t>
      </w:r>
      <w:r w:rsidRPr="004676F5">
        <w:rPr>
          <w:i/>
          <w:lang w:val="de-DE"/>
        </w:rPr>
        <w:t>24 des G. vom 18. April 2017 (B.S. vom 24. April 2017)]</w:t>
      </w:r>
    </w:p>
    <w:p w14:paraId="34B12AB5" w14:textId="77777777" w:rsidR="003A13B8" w:rsidRPr="004676F5" w:rsidRDefault="003A13B8" w:rsidP="00E56C9E">
      <w:pPr>
        <w:jc w:val="both"/>
        <w:rPr>
          <w:iCs/>
          <w:lang w:val="de-DE"/>
        </w:rPr>
      </w:pPr>
    </w:p>
    <w:p w14:paraId="68B82805" w14:textId="77777777" w:rsidR="003A13B8" w:rsidRPr="004676F5" w:rsidRDefault="003A13B8" w:rsidP="00E56C9E">
      <w:pPr>
        <w:jc w:val="both"/>
        <w:rPr>
          <w:iCs/>
          <w:lang w:val="de-DE"/>
        </w:rPr>
      </w:pPr>
    </w:p>
    <w:p w14:paraId="4FD70CCD" w14:textId="77777777" w:rsidR="00CD1D4A" w:rsidRPr="004676F5" w:rsidRDefault="00CD1D4A">
      <w:pPr>
        <w:rPr>
          <w:iCs/>
          <w:lang w:val="de-DE"/>
        </w:rPr>
      </w:pPr>
      <w:r w:rsidRPr="004676F5">
        <w:rPr>
          <w:iCs/>
          <w:lang w:val="de-DE"/>
        </w:rPr>
        <w:br w:type="page"/>
      </w:r>
    </w:p>
    <w:p w14:paraId="484AD4B7" w14:textId="7B3232E2" w:rsidR="003A13B8" w:rsidRPr="004676F5" w:rsidRDefault="003A13B8" w:rsidP="003A13B8">
      <w:pPr>
        <w:jc w:val="center"/>
        <w:rPr>
          <w:lang w:val="de-DE"/>
        </w:rPr>
      </w:pPr>
      <w:r w:rsidRPr="004676F5">
        <w:rPr>
          <w:iCs/>
          <w:lang w:val="de-DE"/>
        </w:rPr>
        <w:lastRenderedPageBreak/>
        <w:t>[</w:t>
      </w:r>
      <w:r w:rsidRPr="004676F5">
        <w:rPr>
          <w:i/>
          <w:iCs/>
          <w:lang w:val="de-DE"/>
        </w:rPr>
        <w:t>Abschnitt 10</w:t>
      </w:r>
      <w:r w:rsidRPr="004676F5">
        <w:rPr>
          <w:lang w:val="de-DE"/>
        </w:rPr>
        <w:t xml:space="preserve"> - Cybersicherheits</w:t>
      </w:r>
      <w:r w:rsidRPr="004676F5">
        <w:rPr>
          <w:lang w:val="de-DE"/>
        </w:rPr>
        <w:softHyphen/>
        <w:t>zertifizierung]</w:t>
      </w:r>
    </w:p>
    <w:p w14:paraId="22824505" w14:textId="77777777" w:rsidR="003A13B8" w:rsidRPr="004676F5" w:rsidRDefault="003A13B8" w:rsidP="003A13B8">
      <w:pPr>
        <w:jc w:val="center"/>
        <w:rPr>
          <w:lang w:val="de-DE"/>
        </w:rPr>
      </w:pPr>
    </w:p>
    <w:p w14:paraId="7CE4A012" w14:textId="77777777" w:rsidR="003A13B8" w:rsidRPr="004676F5" w:rsidRDefault="003A13B8" w:rsidP="003A13B8">
      <w:pPr>
        <w:jc w:val="both"/>
        <w:rPr>
          <w:i/>
          <w:iCs/>
          <w:lang w:val="de-DE"/>
        </w:rPr>
      </w:pPr>
      <w:r w:rsidRPr="004676F5">
        <w:rPr>
          <w:i/>
          <w:iCs/>
          <w:lang w:val="de-DE"/>
        </w:rPr>
        <w:t>[Unterteilung Abschnitt 10 eingefügt durch Art. 46 des G. vom 20. Juli 2022 (B.S. vom 5. August 2022)]</w:t>
      </w:r>
    </w:p>
    <w:p w14:paraId="7AE557A1" w14:textId="77777777" w:rsidR="003A13B8" w:rsidRPr="004676F5" w:rsidRDefault="003A13B8" w:rsidP="003A13B8">
      <w:pPr>
        <w:jc w:val="both"/>
        <w:rPr>
          <w:lang w:val="de-DE"/>
        </w:rPr>
      </w:pPr>
    </w:p>
    <w:p w14:paraId="564B14F7" w14:textId="77777777" w:rsidR="00113F59" w:rsidRPr="004676F5" w:rsidRDefault="00113F59" w:rsidP="003A13B8">
      <w:pPr>
        <w:jc w:val="both"/>
        <w:rPr>
          <w:lang w:val="de-DE"/>
        </w:rPr>
      </w:pPr>
    </w:p>
    <w:p w14:paraId="003D1343" w14:textId="35FB74B8" w:rsidR="00113F59" w:rsidRPr="004676F5" w:rsidRDefault="00113F59" w:rsidP="00113F59">
      <w:pPr>
        <w:jc w:val="center"/>
        <w:rPr>
          <w:lang w:val="de-DE"/>
        </w:rPr>
      </w:pPr>
      <w:r w:rsidRPr="004676F5">
        <w:rPr>
          <w:lang w:val="de-DE"/>
        </w:rPr>
        <w:t>[Unterabschnitt 1 - Freiwillige Cybersicherheitszertifizierung]</w:t>
      </w:r>
    </w:p>
    <w:p w14:paraId="092D3B10" w14:textId="77777777" w:rsidR="00113F59" w:rsidRPr="004676F5" w:rsidRDefault="00113F59" w:rsidP="00113F59">
      <w:pPr>
        <w:jc w:val="center"/>
        <w:rPr>
          <w:lang w:val="de-DE"/>
        </w:rPr>
      </w:pPr>
    </w:p>
    <w:p w14:paraId="567AB357" w14:textId="29DC4AC7" w:rsidR="00113F59" w:rsidRPr="004676F5" w:rsidRDefault="00113F59" w:rsidP="00113F59">
      <w:pPr>
        <w:jc w:val="both"/>
        <w:rPr>
          <w:i/>
          <w:iCs/>
          <w:lang w:val="de-DE"/>
        </w:rPr>
      </w:pPr>
      <w:r w:rsidRPr="004676F5">
        <w:rPr>
          <w:i/>
          <w:iCs/>
          <w:lang w:val="de-DE"/>
        </w:rPr>
        <w:t>[Unterteilung Unterabschnitt 1 eingefügt durch Art. 47 des G. vom 20. Juli 2022 (B.S. vom 5. August 2022)]</w:t>
      </w:r>
    </w:p>
    <w:p w14:paraId="4DBDB523" w14:textId="77777777" w:rsidR="00113F59" w:rsidRPr="004676F5" w:rsidRDefault="00113F59" w:rsidP="00113F59">
      <w:pPr>
        <w:jc w:val="center"/>
        <w:rPr>
          <w:lang w:val="de-DE"/>
        </w:rPr>
      </w:pPr>
    </w:p>
    <w:p w14:paraId="341D56B3" w14:textId="77777777" w:rsidR="003A13B8" w:rsidRPr="004676F5" w:rsidRDefault="003A13B8" w:rsidP="003A13B8">
      <w:pPr>
        <w:jc w:val="both"/>
        <w:rPr>
          <w:lang w:val="de-DE"/>
        </w:rPr>
      </w:pPr>
    </w:p>
    <w:p w14:paraId="7A99A39E" w14:textId="77777777" w:rsidR="003A13B8" w:rsidRPr="004676F5" w:rsidRDefault="003A13B8" w:rsidP="003A13B8">
      <w:pPr>
        <w:jc w:val="both"/>
        <w:rPr>
          <w:lang w:val="de-DE"/>
        </w:rPr>
      </w:pPr>
      <w:r w:rsidRPr="004676F5">
        <w:rPr>
          <w:lang w:val="de-DE"/>
        </w:rPr>
        <w:tab/>
        <w:t>[</w:t>
      </w:r>
      <w:r w:rsidRPr="004676F5">
        <w:rPr>
          <w:b/>
          <w:bCs/>
          <w:lang w:val="de-DE"/>
        </w:rPr>
        <w:t>Art. XV.30/3</w:t>
      </w:r>
      <w:r w:rsidRPr="004676F5">
        <w:rPr>
          <w:lang w:val="de-DE"/>
        </w:rPr>
        <w:t> - Für die freiwillige Cybersicherheitszertifizierung kann der König durch einen im Ministerrat beratenen Erlass bestimmte Aufträge, die in den Kapiteln 5 und 6 - mit Ausnahme der Artikel 21 und 22 - des Gesetzes vom 20. Juli 2022 über die Zertifizierung der Cybersicherheit von Informations- und Kommunikationstechnik und zur Benennung einer nationalen Behörde für die Cybersicherheitszertifizierung erwähnt sind, bestimmten Bediensteten des FÖD Wirtschaft übertragen, sofern der FÖD Wirtschaft über die für diese Zwecke erforderliche Fachkompetenz verfügt. In diesem Fall holt der König die Stellungnahme der in Artikel 5 § 1 des vorerwähnten Gesetzes erwähnten Behörde ein und stimmt sich vorab mit ihr ab. Der FÖD Wirtschaft übt diese Kontrollaufträge nur in Bezug auf Produkte oder Einrichtungen aus, die durch vorliegendes Gesetzbuch, seine Ausführungs</w:t>
      </w:r>
      <w:r w:rsidRPr="004676F5">
        <w:rPr>
          <w:lang w:val="de-DE"/>
        </w:rPr>
        <w:softHyphen/>
        <w:t>erlasse oder Verordnungen der Europäischen Union in Bezug auf Angelegenheiten geregelt sind, die gemäß den Büchern VI, VII, IX und XII des vorliegenden Gesetzbuches in die Verordnungsbefugnis des Königs fallen.]</w:t>
      </w:r>
    </w:p>
    <w:p w14:paraId="337EF7E7" w14:textId="77777777" w:rsidR="003A13B8" w:rsidRPr="004676F5" w:rsidRDefault="003A13B8" w:rsidP="003A13B8">
      <w:pPr>
        <w:jc w:val="both"/>
        <w:rPr>
          <w:lang w:val="de-DE"/>
        </w:rPr>
      </w:pPr>
    </w:p>
    <w:p w14:paraId="4FFAF6D0" w14:textId="77777777" w:rsidR="00113F59" w:rsidRPr="004676F5" w:rsidRDefault="003A13B8" w:rsidP="003A13B8">
      <w:pPr>
        <w:jc w:val="both"/>
        <w:rPr>
          <w:i/>
          <w:iCs/>
          <w:lang w:val="de-DE"/>
        </w:rPr>
      </w:pPr>
      <w:r w:rsidRPr="004676F5">
        <w:rPr>
          <w:i/>
          <w:iCs/>
          <w:lang w:val="de-DE"/>
        </w:rPr>
        <w:t>[Art. XV.30/3 eingefügt durch Art. </w:t>
      </w:r>
      <w:r w:rsidR="00113F59" w:rsidRPr="004676F5">
        <w:rPr>
          <w:i/>
          <w:iCs/>
          <w:lang w:val="de-DE"/>
        </w:rPr>
        <w:t>48</w:t>
      </w:r>
      <w:r w:rsidRPr="004676F5">
        <w:rPr>
          <w:i/>
          <w:iCs/>
          <w:lang w:val="de-DE"/>
        </w:rPr>
        <w:t xml:space="preserve"> des G. vom 20. Juli 2022 (B.S. vom 5. August 2022)]</w:t>
      </w:r>
    </w:p>
    <w:p w14:paraId="207B785A" w14:textId="77777777" w:rsidR="00113F59" w:rsidRPr="004676F5" w:rsidRDefault="00113F59" w:rsidP="003A13B8">
      <w:pPr>
        <w:jc w:val="both"/>
        <w:rPr>
          <w:lang w:val="de-DE"/>
        </w:rPr>
      </w:pPr>
    </w:p>
    <w:p w14:paraId="086B0436" w14:textId="77777777" w:rsidR="00113F59" w:rsidRPr="004676F5" w:rsidRDefault="00113F59" w:rsidP="003A13B8">
      <w:pPr>
        <w:jc w:val="both"/>
        <w:rPr>
          <w:lang w:val="de-DE"/>
        </w:rPr>
      </w:pPr>
    </w:p>
    <w:p w14:paraId="7A990E31" w14:textId="77777777" w:rsidR="00113F59" w:rsidRPr="004676F5" w:rsidRDefault="00113F59" w:rsidP="00113F59">
      <w:pPr>
        <w:jc w:val="center"/>
        <w:rPr>
          <w:lang w:val="de-DE"/>
        </w:rPr>
      </w:pPr>
      <w:r w:rsidRPr="004676F5">
        <w:rPr>
          <w:lang w:val="de-DE"/>
        </w:rPr>
        <w:t>[Unterabschnitt 2 - Verbindlich vorgeschriebene Cybersicherheitszertifizierung]</w:t>
      </w:r>
    </w:p>
    <w:p w14:paraId="27C6E7C6" w14:textId="77777777" w:rsidR="00113F59" w:rsidRPr="004676F5" w:rsidRDefault="00113F59" w:rsidP="00113F59">
      <w:pPr>
        <w:jc w:val="center"/>
        <w:rPr>
          <w:lang w:val="de-DE"/>
        </w:rPr>
      </w:pPr>
    </w:p>
    <w:p w14:paraId="463FC971" w14:textId="3C0FD853" w:rsidR="00113F59" w:rsidRPr="004676F5" w:rsidRDefault="00113F59" w:rsidP="00113F59">
      <w:pPr>
        <w:jc w:val="both"/>
        <w:rPr>
          <w:i/>
          <w:iCs/>
          <w:lang w:val="de-DE"/>
        </w:rPr>
      </w:pPr>
      <w:r w:rsidRPr="004676F5">
        <w:rPr>
          <w:i/>
          <w:iCs/>
          <w:lang w:val="de-DE"/>
        </w:rPr>
        <w:t>[Unterteilung Unterabschnitt 1 eingefügt durch Art. 49 des G. vom 20. Juli 2022 (B.S. vom 5. August 2022)]</w:t>
      </w:r>
    </w:p>
    <w:p w14:paraId="78B97E4A" w14:textId="77777777" w:rsidR="00113F59" w:rsidRPr="004676F5" w:rsidRDefault="00113F59" w:rsidP="00113F59">
      <w:pPr>
        <w:jc w:val="both"/>
        <w:rPr>
          <w:lang w:val="de-DE"/>
        </w:rPr>
      </w:pPr>
    </w:p>
    <w:p w14:paraId="4554562F" w14:textId="77777777" w:rsidR="00113F59" w:rsidRPr="004676F5" w:rsidRDefault="00113F59" w:rsidP="00113F59">
      <w:pPr>
        <w:jc w:val="both"/>
        <w:rPr>
          <w:lang w:val="de-DE"/>
        </w:rPr>
      </w:pPr>
    </w:p>
    <w:p w14:paraId="16275E63" w14:textId="46EAAD50" w:rsidR="00113F59" w:rsidRPr="004676F5" w:rsidRDefault="00113F59" w:rsidP="00113F59">
      <w:pPr>
        <w:ind w:firstLine="720"/>
        <w:jc w:val="both"/>
        <w:rPr>
          <w:lang w:val="de-DE"/>
        </w:rPr>
      </w:pPr>
      <w:r w:rsidRPr="004676F5">
        <w:rPr>
          <w:lang w:val="de-DE"/>
        </w:rPr>
        <w:t>[</w:t>
      </w:r>
      <w:r w:rsidRPr="004676F5">
        <w:rPr>
          <w:b/>
          <w:bCs/>
          <w:lang w:val="de-DE"/>
        </w:rPr>
        <w:t>Art. XV.30/4</w:t>
      </w:r>
      <w:r w:rsidRPr="004676F5">
        <w:rPr>
          <w:lang w:val="de-DE"/>
        </w:rPr>
        <w:t> - § 1 - Für die aufgrund des Unionsrechts oder des nationalen Rechts nach Stellungnahme der nationalen Behörde für die Cybersicherheitszertifizierung verbindlich vorgeschriebene Cybersicherheitszertifizierung kann der König durch einen im Ministerrat beratenen Erlass bestimmte Kontrollaufträge in Bezug auf den Rechtsakt zur Cybersicherheit oder das Gesetz vom 20. Juli 2022 über die Zertifizierung der Cybersicherheit von Informations- und Kommunikationstechnik und zur Benennung einer nationalen Behörde für die Cybersicherheitszertifizierung bestimmten Bediensteten des FÖD Wirtschaft übertragen, sofern der FÖD Wirtschaft über die für diese Zwecke erforderliche Fachkompetenz verfügt.</w:t>
      </w:r>
    </w:p>
    <w:p w14:paraId="7F5CB103" w14:textId="77777777" w:rsidR="00113F59" w:rsidRPr="004676F5" w:rsidRDefault="00113F59" w:rsidP="00113F59">
      <w:pPr>
        <w:ind w:firstLine="720"/>
        <w:jc w:val="both"/>
        <w:rPr>
          <w:lang w:val="de-DE"/>
        </w:rPr>
      </w:pPr>
    </w:p>
    <w:p w14:paraId="446420BF" w14:textId="3407A2A4" w:rsidR="00113F59" w:rsidRPr="004676F5" w:rsidRDefault="00113F59" w:rsidP="00113F59">
      <w:pPr>
        <w:ind w:firstLine="708"/>
        <w:jc w:val="both"/>
        <w:rPr>
          <w:lang w:val="de-DE"/>
        </w:rPr>
      </w:pPr>
      <w:r w:rsidRPr="004676F5">
        <w:rPr>
          <w:lang w:val="de-DE"/>
        </w:rPr>
        <w:t>§ 2 ­ Die in § 1 erwähnten Kontrollaufträge, einschließlich der Ermittlung, Feststellung, Verfolgung und Ahndung von Verstößen, werden gemäß den Bestimmungen des vorliegenden Buches durchgeführt.]</w:t>
      </w:r>
    </w:p>
    <w:p w14:paraId="358BF2FA" w14:textId="77777777" w:rsidR="00113F59" w:rsidRPr="004676F5" w:rsidRDefault="00113F59" w:rsidP="00113F59">
      <w:pPr>
        <w:jc w:val="both"/>
        <w:rPr>
          <w:lang w:val="de-DE"/>
        </w:rPr>
      </w:pPr>
    </w:p>
    <w:p w14:paraId="5D290A77" w14:textId="0AC0EB90" w:rsidR="00113F59" w:rsidRPr="004676F5" w:rsidRDefault="00113F59" w:rsidP="00113F59">
      <w:pPr>
        <w:jc w:val="both"/>
        <w:rPr>
          <w:i/>
          <w:iCs/>
          <w:lang w:val="de-DE"/>
        </w:rPr>
      </w:pPr>
      <w:r w:rsidRPr="004676F5">
        <w:rPr>
          <w:i/>
          <w:iCs/>
          <w:lang w:val="de-DE"/>
        </w:rPr>
        <w:t>[Art. XV.30/4 eingefügt durch Art. 50 des G. vom 20. Juli 2022 (B.S. vom 5. August 2022)]</w:t>
      </w:r>
    </w:p>
    <w:p w14:paraId="2B022B48" w14:textId="5CC25F17" w:rsidR="00595EFA" w:rsidRPr="004676F5" w:rsidRDefault="00595EFA" w:rsidP="00113F59">
      <w:pPr>
        <w:jc w:val="center"/>
        <w:rPr>
          <w:lang w:val="de-DE"/>
        </w:rPr>
      </w:pPr>
      <w:r w:rsidRPr="004676F5">
        <w:rPr>
          <w:lang w:val="de-DE"/>
        </w:rPr>
        <w:br w:type="page"/>
      </w:r>
    </w:p>
    <w:p w14:paraId="0D4322EE" w14:textId="4E886E14" w:rsidR="00BA2266" w:rsidRPr="004676F5" w:rsidRDefault="00BA2266" w:rsidP="00BA2266">
      <w:pPr>
        <w:jc w:val="center"/>
        <w:rPr>
          <w:lang w:val="de-DE"/>
        </w:rPr>
      </w:pPr>
      <w:r w:rsidRPr="004676F5">
        <w:rPr>
          <w:lang w:val="de-DE"/>
        </w:rPr>
        <w:lastRenderedPageBreak/>
        <w:t>KAPITEL 3 </w:t>
      </w:r>
      <w:r w:rsidR="005B7A5C" w:rsidRPr="004676F5">
        <w:rPr>
          <w:lang w:val="de-DE"/>
        </w:rPr>
        <w:t>- </w:t>
      </w:r>
      <w:r w:rsidRPr="004676F5">
        <w:rPr>
          <w:i/>
          <w:lang w:val="de-DE"/>
        </w:rPr>
        <w:t>Verwarnungs</w:t>
      </w:r>
      <w:r w:rsidR="005B7A5C" w:rsidRPr="004676F5">
        <w:rPr>
          <w:i/>
          <w:lang w:val="de-DE"/>
        </w:rPr>
        <w:t>- </w:t>
      </w:r>
      <w:r w:rsidRPr="004676F5">
        <w:rPr>
          <w:i/>
          <w:lang w:val="de-DE"/>
        </w:rPr>
        <w:t>und Bekanntgabeverfahren</w:t>
      </w:r>
      <w:r w:rsidR="00A56747" w:rsidRPr="004676F5">
        <w:rPr>
          <w:i/>
          <w:lang w:val="de-DE"/>
        </w:rPr>
        <w:t xml:space="preserve"> </w:t>
      </w:r>
      <w:r w:rsidR="00A56747" w:rsidRPr="004676F5">
        <w:rPr>
          <w:iCs/>
          <w:lang w:val="de-DE"/>
        </w:rPr>
        <w:t>[</w:t>
      </w:r>
      <w:r w:rsidR="00A56747" w:rsidRPr="004676F5">
        <w:rPr>
          <w:i/>
          <w:iCs/>
          <w:lang w:val="de-DE"/>
        </w:rPr>
        <w:t>und Abhilfezusagen</w:t>
      </w:r>
      <w:r w:rsidR="00A56747" w:rsidRPr="004676F5">
        <w:rPr>
          <w:iCs/>
          <w:lang w:val="de-DE"/>
        </w:rPr>
        <w:t>]</w:t>
      </w:r>
    </w:p>
    <w:p w14:paraId="639FB9A8" w14:textId="77777777" w:rsidR="00BA2266" w:rsidRPr="004676F5" w:rsidRDefault="00BA2266" w:rsidP="00BA2266">
      <w:pPr>
        <w:jc w:val="both"/>
        <w:rPr>
          <w:lang w:val="de-DE"/>
        </w:rPr>
      </w:pPr>
    </w:p>
    <w:p w14:paraId="01A260E4" w14:textId="5F6395FF" w:rsidR="00664554" w:rsidRPr="004676F5" w:rsidRDefault="00A56747" w:rsidP="00BA2266">
      <w:pPr>
        <w:jc w:val="both"/>
        <w:rPr>
          <w:bCs/>
          <w:i/>
          <w:iCs/>
          <w:lang w:val="de-DE"/>
        </w:rPr>
      </w:pPr>
      <w:r w:rsidRPr="004676F5">
        <w:rPr>
          <w:i/>
          <w:iCs/>
          <w:lang w:val="de-DE"/>
        </w:rPr>
        <w:t>[Überschrift von Kapitel 3 abgeändert durch Art. 11</w:t>
      </w:r>
      <w:r w:rsidRPr="004676F5">
        <w:rPr>
          <w:bCs/>
          <w:i/>
          <w:iCs/>
          <w:lang w:val="de-DE"/>
        </w:rPr>
        <w:t xml:space="preserve"> des G. vom 29. September 2020 (B.S. vom 20. November 2020)]</w:t>
      </w:r>
    </w:p>
    <w:p w14:paraId="2AF9F06B" w14:textId="77777777" w:rsidR="00A56747" w:rsidRPr="004676F5" w:rsidRDefault="00A56747" w:rsidP="00BA2266">
      <w:pPr>
        <w:jc w:val="both"/>
        <w:rPr>
          <w:bCs/>
          <w:i/>
          <w:iCs/>
          <w:lang w:val="de-DE"/>
        </w:rPr>
      </w:pPr>
    </w:p>
    <w:p w14:paraId="10A5B88E" w14:textId="77777777" w:rsidR="00A56747" w:rsidRPr="004676F5" w:rsidRDefault="00A56747" w:rsidP="00BA2266">
      <w:pPr>
        <w:jc w:val="both"/>
        <w:rPr>
          <w:i/>
          <w:iCs/>
          <w:lang w:val="de-DE"/>
        </w:rPr>
      </w:pPr>
    </w:p>
    <w:p w14:paraId="4D6BABCC" w14:textId="3F5A051A" w:rsidR="00595EFA" w:rsidRPr="004676F5" w:rsidRDefault="00595EFA" w:rsidP="00595EFA">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Allgemeine Bestimmungen]</w:t>
      </w:r>
    </w:p>
    <w:p w14:paraId="36AA87F4" w14:textId="77777777" w:rsidR="00595EFA" w:rsidRPr="004676F5" w:rsidRDefault="00595EFA" w:rsidP="00595EFA">
      <w:pPr>
        <w:jc w:val="center"/>
        <w:rPr>
          <w:lang w:val="de-DE"/>
        </w:rPr>
      </w:pPr>
    </w:p>
    <w:p w14:paraId="472E6E96" w14:textId="666A7A45" w:rsidR="00595EFA" w:rsidRPr="004676F5" w:rsidRDefault="00595EFA" w:rsidP="00595EFA">
      <w:pPr>
        <w:jc w:val="both"/>
        <w:rPr>
          <w:i/>
          <w:lang w:val="de-DE"/>
        </w:rPr>
      </w:pPr>
      <w:r w:rsidRPr="004676F5">
        <w:rPr>
          <w:i/>
          <w:lang w:val="de-DE"/>
        </w:rPr>
        <w:t xml:space="preserve">[Unterteilung Abschnitt 1 eingefügt durch </w:t>
      </w:r>
      <w:r w:rsidR="00BE0A56" w:rsidRPr="004676F5">
        <w:rPr>
          <w:i/>
          <w:lang w:val="de-DE"/>
        </w:rPr>
        <w:t>Art. </w:t>
      </w:r>
      <w:r w:rsidRPr="004676F5">
        <w:rPr>
          <w:i/>
          <w:lang w:val="de-DE"/>
        </w:rPr>
        <w:t>8 des G. vom 19. April 2014 (II) (B.S. vom 12. Juni 2014)]</w:t>
      </w:r>
    </w:p>
    <w:p w14:paraId="5B554D41" w14:textId="77777777" w:rsidR="00595EFA" w:rsidRPr="004676F5" w:rsidRDefault="00595EFA" w:rsidP="00595EFA">
      <w:pPr>
        <w:jc w:val="center"/>
        <w:rPr>
          <w:lang w:val="de-DE"/>
        </w:rPr>
      </w:pPr>
    </w:p>
    <w:p w14:paraId="72818B81" w14:textId="77777777" w:rsidR="00595EFA" w:rsidRPr="004676F5" w:rsidRDefault="00595EFA" w:rsidP="00595EFA">
      <w:pPr>
        <w:jc w:val="center"/>
        <w:rPr>
          <w:lang w:val="de-DE"/>
        </w:rPr>
      </w:pPr>
    </w:p>
    <w:p w14:paraId="6ED1CC58" w14:textId="07AB84C5" w:rsidR="00BA2266" w:rsidRPr="004676F5" w:rsidRDefault="00BE0A56" w:rsidP="00BA2266">
      <w:pPr>
        <w:ind w:firstLine="708"/>
        <w:jc w:val="both"/>
        <w:rPr>
          <w:lang w:val="de-DE"/>
        </w:rPr>
      </w:pPr>
      <w:r w:rsidRPr="004676F5">
        <w:rPr>
          <w:b/>
          <w:lang w:val="de-DE"/>
        </w:rPr>
        <w:t>Art. </w:t>
      </w:r>
      <w:r w:rsidR="00BA2266" w:rsidRPr="004676F5">
        <w:rPr>
          <w:b/>
          <w:lang w:val="de-DE"/>
        </w:rPr>
        <w:t>XV.31</w:t>
      </w:r>
      <w:r w:rsidR="00BA2266" w:rsidRPr="004676F5">
        <w:rPr>
          <w:lang w:val="de-DE"/>
        </w:rPr>
        <w:t> </w:t>
      </w:r>
      <w:r w:rsidR="005B7A5C" w:rsidRPr="004676F5">
        <w:rPr>
          <w:lang w:val="de-DE"/>
        </w:rPr>
        <w:t>- </w:t>
      </w:r>
      <w:r w:rsidR="00BA2266" w:rsidRPr="004676F5">
        <w:rPr>
          <w:lang w:val="de-DE"/>
        </w:rPr>
        <w:t>§ 1 </w:t>
      </w:r>
      <w:r w:rsidR="005B7A5C" w:rsidRPr="004676F5">
        <w:rPr>
          <w:lang w:val="de-DE"/>
        </w:rPr>
        <w:t>- </w:t>
      </w:r>
      <w:r w:rsidR="00BA2266" w:rsidRPr="004676F5">
        <w:rPr>
          <w:lang w:val="de-DE"/>
        </w:rPr>
        <w:t>Wenn festgestellt wird, dass eine Handlung einen in Artikel XV.2 § 1 erwähnten Verstoß darstellt oder dass sie Anlass zu einer Unterlassungsklage geben kann, können die in Artikel XV.2 erwähnten Bediensteten dem Zuwiderhandelnden eine Verwarnung erteilen, mit der sie ihn zur Einstellung dieser Handlung auffordern.</w:t>
      </w:r>
    </w:p>
    <w:p w14:paraId="01994F2C" w14:textId="77777777" w:rsidR="00BA2266" w:rsidRPr="004676F5" w:rsidRDefault="00BA2266" w:rsidP="00BA2266">
      <w:pPr>
        <w:jc w:val="both"/>
        <w:rPr>
          <w:lang w:val="de-DE"/>
        </w:rPr>
      </w:pPr>
    </w:p>
    <w:p w14:paraId="717F008E" w14:textId="77777777" w:rsidR="00BA2266" w:rsidRPr="004676F5" w:rsidRDefault="00BA2266" w:rsidP="00BA2266">
      <w:pPr>
        <w:ind w:firstLine="708"/>
        <w:jc w:val="both"/>
        <w:rPr>
          <w:lang w:val="de-DE"/>
        </w:rPr>
      </w:pPr>
      <w:r w:rsidRPr="004676F5">
        <w:rPr>
          <w:lang w:val="de-DE"/>
        </w:rPr>
        <w:t xml:space="preserve">Die Verwarnung wird dem Zuwiderhandelnden innerhalb einer Frist von dreißig Tagen ab Feststellung des Sachverhaltes per Einschreiben mit Rückschein oder durch Aushändigung einer Abschrift </w:t>
      </w:r>
      <w:r w:rsidR="00D61169" w:rsidRPr="004676F5">
        <w:rPr>
          <w:lang w:val="de-DE"/>
        </w:rPr>
        <w:t>[des Verwarnungsprotokolls]</w:t>
      </w:r>
      <w:r w:rsidRPr="004676F5">
        <w:rPr>
          <w:lang w:val="de-DE"/>
        </w:rPr>
        <w:t xml:space="preserve"> notifiziert. Die Verwarnung kann auch per Fax oder elektronische Post mitgeteilt werden. Wenn es keine Reaktion auf diese Verwarnung per Fax oder elektronische Post gibt, wird sie erneut per Einschreiben mit Rückschein zugeschickt.</w:t>
      </w:r>
    </w:p>
    <w:p w14:paraId="304542EC" w14:textId="77777777" w:rsidR="00BA2266" w:rsidRPr="004676F5" w:rsidRDefault="00BA2266" w:rsidP="00BA2266">
      <w:pPr>
        <w:jc w:val="both"/>
        <w:rPr>
          <w:lang w:val="de-DE"/>
        </w:rPr>
      </w:pPr>
    </w:p>
    <w:p w14:paraId="6C2515FF" w14:textId="77777777" w:rsidR="00BA2266" w:rsidRPr="004676F5" w:rsidRDefault="00BA2266" w:rsidP="00BA2266">
      <w:pPr>
        <w:ind w:firstLine="708"/>
        <w:jc w:val="both"/>
        <w:rPr>
          <w:lang w:val="de-DE"/>
        </w:rPr>
      </w:pPr>
      <w:r w:rsidRPr="004676F5">
        <w:rPr>
          <w:lang w:val="de-DE"/>
        </w:rPr>
        <w:t>Wenn der Zuwiderhandelnde am Tag der Feststellung des Verstoßes nicht identifiziert werden kann, läuft die Frist von dreißig Tagen ab dem Tag, an dem der Zuwiderhandelnde, der den Verstoß vermutlich begangen hat, von den in Artikel XV.2 erwähnten Bediensteten mit Sicherheit identifiziert werden konnte.</w:t>
      </w:r>
    </w:p>
    <w:p w14:paraId="65C9D5AA" w14:textId="77777777" w:rsidR="00BA2266" w:rsidRPr="004676F5" w:rsidRDefault="00BA2266" w:rsidP="00BA2266">
      <w:pPr>
        <w:jc w:val="both"/>
        <w:rPr>
          <w:lang w:val="de-DE"/>
        </w:rPr>
      </w:pPr>
    </w:p>
    <w:p w14:paraId="0B16C8AE" w14:textId="77777777" w:rsidR="00BA2266" w:rsidRPr="004676F5" w:rsidRDefault="00BA2266" w:rsidP="00BA2266">
      <w:pPr>
        <w:ind w:firstLine="708"/>
        <w:jc w:val="both"/>
        <w:rPr>
          <w:lang w:val="de-DE"/>
        </w:rPr>
      </w:pPr>
      <w:r w:rsidRPr="004676F5">
        <w:rPr>
          <w:lang w:val="de-DE"/>
        </w:rPr>
        <w:t>In der Verwarnung werden folgende Angaben vermerkt:</w:t>
      </w:r>
    </w:p>
    <w:p w14:paraId="041D8099" w14:textId="77777777" w:rsidR="00BA2266" w:rsidRPr="004676F5" w:rsidRDefault="00BA2266" w:rsidP="00BA2266">
      <w:pPr>
        <w:jc w:val="both"/>
        <w:rPr>
          <w:lang w:val="de-DE"/>
        </w:rPr>
      </w:pPr>
    </w:p>
    <w:p w14:paraId="7ADB28B2" w14:textId="62BCF0DA" w:rsidR="00BA2266" w:rsidRPr="004676F5" w:rsidRDefault="00BA2266" w:rsidP="00BA2266">
      <w:pPr>
        <w:ind w:firstLine="708"/>
        <w:jc w:val="both"/>
        <w:rPr>
          <w:lang w:val="de-DE"/>
        </w:rPr>
      </w:pPr>
      <w:r w:rsidRPr="004676F5">
        <w:rPr>
          <w:lang w:val="de-DE"/>
        </w:rPr>
        <w:t>1. der zur Last gelegte Sachverhalt und die in Artikel XV.2 § 1 erwähnten Gesetzes</w:t>
      </w:r>
      <w:r w:rsidR="005B7A5C" w:rsidRPr="004676F5">
        <w:rPr>
          <w:lang w:val="de-DE"/>
        </w:rPr>
        <w:t>- </w:t>
      </w:r>
      <w:r w:rsidRPr="004676F5">
        <w:rPr>
          <w:lang w:val="de-DE"/>
        </w:rPr>
        <w:t>oder Verordnungsbestimmungen, gegen die verstoßen wird,</w:t>
      </w:r>
    </w:p>
    <w:p w14:paraId="44B540EE" w14:textId="77777777" w:rsidR="00BA2266" w:rsidRPr="004676F5" w:rsidRDefault="00BA2266" w:rsidP="00BA2266">
      <w:pPr>
        <w:jc w:val="both"/>
        <w:rPr>
          <w:lang w:val="de-DE"/>
        </w:rPr>
      </w:pPr>
    </w:p>
    <w:p w14:paraId="7888C57F" w14:textId="77777777" w:rsidR="00BA2266" w:rsidRPr="004676F5" w:rsidRDefault="00BA2266" w:rsidP="00BA2266">
      <w:pPr>
        <w:ind w:firstLine="708"/>
        <w:jc w:val="both"/>
        <w:rPr>
          <w:lang w:val="de-DE"/>
        </w:rPr>
      </w:pPr>
      <w:r w:rsidRPr="004676F5">
        <w:rPr>
          <w:lang w:val="de-DE"/>
        </w:rPr>
        <w:t>2. die Frist zur Behebung der Missstände</w:t>
      </w:r>
      <w:r w:rsidR="00595EFA" w:rsidRPr="004676F5">
        <w:rPr>
          <w:lang w:val="de-DE"/>
        </w:rPr>
        <w:t xml:space="preserve"> [und hinsichtlich der in Titel 3 Kapitel 2 Abschnitt 8 Unterabschnitt 1 erwähnten Verstöße eventuell Modalitäten, um dies zu erreichen,]</w:t>
      </w:r>
    </w:p>
    <w:p w14:paraId="320D8D94" w14:textId="77777777" w:rsidR="00BA2266" w:rsidRPr="004676F5" w:rsidRDefault="00BA2266" w:rsidP="00BA2266">
      <w:pPr>
        <w:rPr>
          <w:lang w:val="de-DE"/>
        </w:rPr>
      </w:pPr>
    </w:p>
    <w:p w14:paraId="4CFD24BB" w14:textId="77777777" w:rsidR="00BA2266" w:rsidRPr="004676F5" w:rsidRDefault="00BA2266" w:rsidP="00BA2266">
      <w:pPr>
        <w:ind w:firstLine="708"/>
        <w:jc w:val="both"/>
        <w:rPr>
          <w:lang w:val="de-DE"/>
        </w:rPr>
      </w:pPr>
      <w:r w:rsidRPr="004676F5">
        <w:rPr>
          <w:lang w:val="de-DE"/>
        </w:rPr>
        <w:t>3. dass, sollte der Verwarnung nicht Folge geleistet werden, gegebenenfalls entweder eine Unterlassungsklage eingeleitet oder der Prokurator des Königs informiert oder das in Titel 2 Kapitel 1 erwähnte Vergleichsverfahren angewandt oder eine Verwaltungsstrafe auferlegt wird,</w:t>
      </w:r>
    </w:p>
    <w:p w14:paraId="2676FC17" w14:textId="77777777" w:rsidR="00BA2266" w:rsidRPr="004676F5" w:rsidRDefault="00BA2266" w:rsidP="00BA2266">
      <w:pPr>
        <w:jc w:val="both"/>
        <w:rPr>
          <w:lang w:val="de-DE"/>
        </w:rPr>
      </w:pPr>
    </w:p>
    <w:p w14:paraId="3DB1D63F" w14:textId="13957EB4" w:rsidR="00BA2266" w:rsidRPr="004676F5" w:rsidRDefault="00BA2266" w:rsidP="00BA2266">
      <w:pPr>
        <w:ind w:firstLine="708"/>
        <w:jc w:val="both"/>
        <w:rPr>
          <w:lang w:val="de-DE"/>
        </w:rPr>
      </w:pPr>
      <w:r w:rsidRPr="004676F5">
        <w:rPr>
          <w:lang w:val="de-DE"/>
        </w:rPr>
        <w:t>4. </w:t>
      </w:r>
      <w:r w:rsidR="00A56747" w:rsidRPr="004676F5">
        <w:rPr>
          <w:lang w:val="de-DE"/>
        </w:rPr>
        <w:t>[</w:t>
      </w:r>
      <w:r w:rsidR="006111BA" w:rsidRPr="004676F5">
        <w:rPr>
          <w:lang w:val="de-DE"/>
        </w:rPr>
        <w:t>dass der Zuwiderhandelnde Zusagen zur Einstellung des Verstoßes machen kann und, wo dies relevant ist, zusätzlich Abhilfezusagen anbieten kann, dass eine Zusage akzeptiert werden kann und zur Einstellung des Strafverfahrens führen kann, wodurch aber nicht notwendigerweise andere verwaltungsrechtliche oder strafrechtliche Durchsetzungsmaß</w:t>
      </w:r>
      <w:r w:rsidR="006111BA" w:rsidRPr="004676F5">
        <w:rPr>
          <w:lang w:val="de-DE"/>
        </w:rPr>
        <w:softHyphen/>
        <w:t>nahmen verhindert werden, und dass die Zusage des Zuwiderhandelnden zur Einstellung des Verstoßes und, wo dies relevant ist, Abhilfezusagen des Zuwiderhandelnden öffentlich bekannt gegeben werden können.</w:t>
      </w:r>
      <w:r w:rsidR="00A56747" w:rsidRPr="004676F5">
        <w:rPr>
          <w:lang w:val="de-DE"/>
        </w:rPr>
        <w:t>]</w:t>
      </w:r>
    </w:p>
    <w:p w14:paraId="6A750B32" w14:textId="77777777" w:rsidR="00BA2266" w:rsidRPr="004676F5" w:rsidRDefault="00BA2266" w:rsidP="00BA2266">
      <w:pPr>
        <w:jc w:val="both"/>
        <w:rPr>
          <w:lang w:val="de-DE"/>
        </w:rPr>
      </w:pPr>
    </w:p>
    <w:p w14:paraId="273B74FA" w14:textId="23B746F5" w:rsidR="00BA2266" w:rsidRPr="004676F5" w:rsidRDefault="00BA2266" w:rsidP="00BA2266">
      <w:pPr>
        <w:ind w:firstLine="708"/>
        <w:jc w:val="both"/>
        <w:rPr>
          <w:lang w:val="de-DE"/>
        </w:rPr>
      </w:pPr>
      <w:r w:rsidRPr="004676F5">
        <w:rPr>
          <w:lang w:val="de-DE"/>
        </w:rPr>
        <w:lastRenderedPageBreak/>
        <w:t>§ 2 </w:t>
      </w:r>
      <w:r w:rsidR="005B7A5C" w:rsidRPr="004676F5">
        <w:rPr>
          <w:lang w:val="de-DE"/>
        </w:rPr>
        <w:t>- </w:t>
      </w:r>
      <w:r w:rsidR="00204FCB" w:rsidRPr="004676F5">
        <w:rPr>
          <w:lang w:val="de-DE"/>
        </w:rPr>
        <w:t>[Wird der in § 1 erwähnten Verwarnung innerhalb der in § 1 Absatz 4 Nr. 2 erwähnten Frist nicht Folge geleistet, wird ein in Artikel XV.60/1 § 2 erwähntes Protokoll erstellt.]</w:t>
      </w:r>
    </w:p>
    <w:p w14:paraId="2F035F4E" w14:textId="77777777" w:rsidR="00BA2266" w:rsidRPr="004676F5" w:rsidRDefault="00BA2266" w:rsidP="00BA2266">
      <w:pPr>
        <w:jc w:val="both"/>
        <w:rPr>
          <w:lang w:val="de-DE"/>
        </w:rPr>
      </w:pPr>
    </w:p>
    <w:p w14:paraId="2F6C0DED" w14:textId="56220980" w:rsidR="00BA2266" w:rsidRPr="004676F5" w:rsidRDefault="00BA2266" w:rsidP="00BA2266">
      <w:pPr>
        <w:ind w:firstLine="708"/>
        <w:jc w:val="both"/>
        <w:rPr>
          <w:lang w:val="de-DE"/>
        </w:rPr>
      </w:pPr>
      <w:r w:rsidRPr="004676F5">
        <w:rPr>
          <w:lang w:val="de-DE"/>
        </w:rPr>
        <w:t>§ 3 </w:t>
      </w:r>
      <w:r w:rsidR="005B7A5C" w:rsidRPr="004676F5">
        <w:rPr>
          <w:lang w:val="de-DE"/>
        </w:rPr>
        <w:t>- </w:t>
      </w:r>
      <w:r w:rsidR="007748FE" w:rsidRPr="004676F5">
        <w:rPr>
          <w:lang w:val="de-DE"/>
        </w:rPr>
        <w:t>[Unbeschadet der anderen in vorliegendem Gesetzbuch vorgeschriebenen Maßnahmen können die in Artikel XV.2 erwähnten Bediensteten das Versprechen eines Unternehmens, einem in Artikel XV.2 § 1 erwähnten Verstoß ein Ende zu setzen oder gemäß Artikel XV.31/2 andere Abhilfemaßnahmen vorzunehmen, öffentlich bekannt geben.]</w:t>
      </w:r>
    </w:p>
    <w:p w14:paraId="5F5F07BA" w14:textId="77777777" w:rsidR="00BA2266" w:rsidRPr="004676F5" w:rsidRDefault="00BA2266" w:rsidP="00BA2266">
      <w:pPr>
        <w:jc w:val="both"/>
        <w:rPr>
          <w:lang w:val="de-DE"/>
        </w:rPr>
      </w:pPr>
    </w:p>
    <w:p w14:paraId="5BB8411C" w14:textId="73CF6F64" w:rsidR="00EA5961" w:rsidRPr="004676F5" w:rsidRDefault="00EA5961" w:rsidP="00BA2266">
      <w:pPr>
        <w:jc w:val="both"/>
        <w:rPr>
          <w:lang w:val="de-DE"/>
        </w:rPr>
      </w:pPr>
      <w:r w:rsidRPr="004676F5">
        <w:rPr>
          <w:lang w:val="de-DE"/>
        </w:rPr>
        <w:tab/>
        <w:t>[§ 4 </w:t>
      </w:r>
      <w:r w:rsidR="005B7A5C" w:rsidRPr="004676F5">
        <w:rPr>
          <w:lang w:val="de-DE"/>
        </w:rPr>
        <w:t>- </w:t>
      </w:r>
      <w:r w:rsidRPr="004676F5">
        <w:rPr>
          <w:lang w:val="de-DE"/>
        </w:rPr>
        <w:t xml:space="preserve">Vorliegender Artikel ist nicht anwendbar auf Verstöße gegen die Bestimmungen </w:t>
      </w:r>
      <w:r w:rsidR="00D57AA5" w:rsidRPr="004676F5">
        <w:rPr>
          <w:lang w:val="de-DE"/>
        </w:rPr>
        <w:t>[von Buch VII Titel 4 Kapitel 4, Artikel VII.183 § 5 Nr. 4 ausgenommen]</w:t>
      </w:r>
      <w:r w:rsidRPr="004676F5">
        <w:rPr>
          <w:lang w:val="de-DE"/>
        </w:rPr>
        <w:t>.]</w:t>
      </w:r>
    </w:p>
    <w:p w14:paraId="46A6C782" w14:textId="77777777" w:rsidR="00EA5961" w:rsidRPr="004676F5" w:rsidRDefault="00EA5961" w:rsidP="00BA2266">
      <w:pPr>
        <w:jc w:val="both"/>
        <w:rPr>
          <w:lang w:val="de-DE"/>
        </w:rPr>
      </w:pPr>
    </w:p>
    <w:p w14:paraId="07409521" w14:textId="6D7A160D" w:rsidR="00EA5961" w:rsidRPr="004676F5" w:rsidRDefault="00EA5961" w:rsidP="00BA2266">
      <w:pPr>
        <w:jc w:val="both"/>
        <w:rPr>
          <w:i/>
          <w:lang w:val="de-DE"/>
        </w:rPr>
      </w:pPr>
      <w:r w:rsidRPr="004676F5">
        <w:rPr>
          <w:i/>
          <w:lang w:val="de-DE"/>
        </w:rPr>
        <w:t>[</w:t>
      </w:r>
      <w:r w:rsidR="00BE0A56" w:rsidRPr="004676F5">
        <w:rPr>
          <w:i/>
          <w:lang w:val="de-DE"/>
        </w:rPr>
        <w:t>Art. </w:t>
      </w:r>
      <w:r w:rsidRPr="004676F5">
        <w:rPr>
          <w:i/>
          <w:lang w:val="de-DE"/>
        </w:rPr>
        <w:t xml:space="preserve">XV.31 </w:t>
      </w:r>
      <w:r w:rsidR="00D61169" w:rsidRPr="004676F5">
        <w:rPr>
          <w:i/>
          <w:lang w:val="de-DE"/>
        </w:rPr>
        <w:t xml:space="preserve">§ 1 Abs. 2 abgeändert durch </w:t>
      </w:r>
      <w:r w:rsidR="00BE0A56" w:rsidRPr="004676F5">
        <w:rPr>
          <w:i/>
          <w:lang w:val="de-DE"/>
        </w:rPr>
        <w:t>Art. </w:t>
      </w:r>
      <w:r w:rsidR="00D61169" w:rsidRPr="004676F5">
        <w:rPr>
          <w:i/>
          <w:lang w:val="de-DE"/>
        </w:rPr>
        <w:t>55</w:t>
      </w:r>
      <w:r w:rsidR="00D61169" w:rsidRPr="004676F5">
        <w:rPr>
          <w:i/>
          <w:iCs/>
          <w:lang w:val="de-DE"/>
        </w:rPr>
        <w:t xml:space="preserve"> </w:t>
      </w:r>
      <w:r w:rsidR="00D61169" w:rsidRPr="004676F5">
        <w:rPr>
          <w:i/>
          <w:lang w:val="de-DE"/>
        </w:rPr>
        <w:t xml:space="preserve">des G. vom 26. Oktober 2015 (B.S. vom 30. Oktober 2015); </w:t>
      </w:r>
      <w:r w:rsidR="00595EFA" w:rsidRPr="004676F5">
        <w:rPr>
          <w:i/>
          <w:lang w:val="de-DE"/>
        </w:rPr>
        <w:t xml:space="preserve">§ 1 Abs. 4 Nr. 2 ergänzt durch </w:t>
      </w:r>
      <w:r w:rsidR="00BE0A56" w:rsidRPr="004676F5">
        <w:rPr>
          <w:i/>
          <w:lang w:val="de-DE"/>
        </w:rPr>
        <w:t>Art. </w:t>
      </w:r>
      <w:r w:rsidR="00595EFA" w:rsidRPr="004676F5">
        <w:rPr>
          <w:i/>
          <w:lang w:val="de-DE"/>
        </w:rPr>
        <w:t xml:space="preserve">9 Nr. 1 des G. vom 19. April 2014 (II) (B.S. vom 12. Juni 2014); </w:t>
      </w:r>
      <w:r w:rsidR="006111BA" w:rsidRPr="004676F5">
        <w:rPr>
          <w:i/>
          <w:lang w:val="de-DE"/>
        </w:rPr>
        <w:t>§ 1 Abs. 4 Nr. 4 ersetzt durch Art. 12</w:t>
      </w:r>
      <w:r w:rsidR="006111BA" w:rsidRPr="004676F5">
        <w:rPr>
          <w:bCs/>
          <w:i/>
          <w:iCs/>
          <w:lang w:val="de-DE"/>
        </w:rPr>
        <w:t xml:space="preserve"> des G. vom 29. September 2020 (B.S. vom 20. November 2020); </w:t>
      </w:r>
      <w:r w:rsidR="00595EFA" w:rsidRPr="004676F5">
        <w:rPr>
          <w:i/>
          <w:lang w:val="de-DE"/>
        </w:rPr>
        <w:t xml:space="preserve">§ 2 </w:t>
      </w:r>
      <w:r w:rsidR="00204FCB" w:rsidRPr="004676F5">
        <w:rPr>
          <w:i/>
          <w:lang w:val="de-DE"/>
        </w:rPr>
        <w:t>ersetzt durch Art. 32</w:t>
      </w:r>
      <w:r w:rsidR="00204FCB" w:rsidRPr="004676F5">
        <w:rPr>
          <w:i/>
          <w:iCs/>
          <w:lang w:val="de-DE"/>
        </w:rPr>
        <w:t xml:space="preserve"> des G. vom 25. September 2022 (B.S. vom 16. Januar 2023)</w:t>
      </w:r>
      <w:r w:rsidR="00595EFA" w:rsidRPr="004676F5">
        <w:rPr>
          <w:i/>
          <w:lang w:val="de-DE"/>
        </w:rPr>
        <w:t xml:space="preserve">; </w:t>
      </w:r>
      <w:r w:rsidR="007748FE" w:rsidRPr="004676F5">
        <w:rPr>
          <w:i/>
          <w:lang w:val="de-DE"/>
        </w:rPr>
        <w:t>§ 3 ersetzt durch Art. 49 des G. vom 5. November 2023</w:t>
      </w:r>
      <w:r w:rsidR="00857EC4" w:rsidRPr="004676F5">
        <w:rPr>
          <w:i/>
          <w:lang w:val="de-DE"/>
        </w:rPr>
        <w:t> (I)</w:t>
      </w:r>
      <w:r w:rsidR="007748FE" w:rsidRPr="004676F5">
        <w:rPr>
          <w:i/>
          <w:lang w:val="de-DE"/>
        </w:rPr>
        <w:t xml:space="preserve"> (B.S. vom 11. Dezember 2023); </w:t>
      </w:r>
      <w:r w:rsidRPr="004676F5">
        <w:rPr>
          <w:i/>
          <w:lang w:val="de-DE"/>
        </w:rPr>
        <w:t xml:space="preserve">§ 4 eingefügt durch </w:t>
      </w:r>
      <w:r w:rsidR="00BE0A56" w:rsidRPr="004676F5">
        <w:rPr>
          <w:i/>
          <w:lang w:val="de-DE"/>
        </w:rPr>
        <w:t>Art. </w:t>
      </w:r>
      <w:r w:rsidRPr="004676F5">
        <w:rPr>
          <w:i/>
          <w:lang w:val="de-DE"/>
        </w:rPr>
        <w:t>5 des G. vom 19. April 2014</w:t>
      </w:r>
      <w:r w:rsidR="004808C3" w:rsidRPr="004676F5">
        <w:rPr>
          <w:i/>
          <w:lang w:val="de-DE"/>
        </w:rPr>
        <w:t> (I)</w:t>
      </w:r>
      <w:r w:rsidRPr="004676F5">
        <w:rPr>
          <w:i/>
          <w:lang w:val="de-DE"/>
        </w:rPr>
        <w:t xml:space="preserve"> (B.S. vom 28. Mai 2014)</w:t>
      </w:r>
      <w:r w:rsidR="00D57AA5" w:rsidRPr="004676F5">
        <w:rPr>
          <w:i/>
          <w:lang w:val="de-DE"/>
        </w:rPr>
        <w:t xml:space="preserve"> und abgeändert durch Art. 32 des G. vom 30. Juli 2018 (II) (B.S. vom 5. September 2018)</w:t>
      </w:r>
      <w:r w:rsidRPr="004676F5">
        <w:rPr>
          <w:i/>
          <w:lang w:val="de-DE"/>
        </w:rPr>
        <w:t>]</w:t>
      </w:r>
    </w:p>
    <w:p w14:paraId="53A5D0BA" w14:textId="77777777" w:rsidR="00595EFA" w:rsidRPr="004676F5" w:rsidRDefault="00595EFA">
      <w:pPr>
        <w:rPr>
          <w:lang w:val="de-DE"/>
        </w:rPr>
      </w:pPr>
    </w:p>
    <w:p w14:paraId="1B456330" w14:textId="77777777" w:rsidR="00595EFA" w:rsidRPr="004676F5" w:rsidRDefault="00595EFA">
      <w:pPr>
        <w:rPr>
          <w:lang w:val="de-DE"/>
        </w:rPr>
      </w:pPr>
    </w:p>
    <w:p w14:paraId="4FFAE654" w14:textId="7B2F5812" w:rsidR="002064D4" w:rsidRPr="004676F5" w:rsidRDefault="002064D4" w:rsidP="002064D4">
      <w:pPr>
        <w:jc w:val="center"/>
        <w:rPr>
          <w:lang w:val="de-DE"/>
        </w:rPr>
      </w:pPr>
      <w:r w:rsidRPr="004676F5">
        <w:rPr>
          <w:lang w:val="de-DE"/>
        </w:rPr>
        <w:t>[</w:t>
      </w:r>
      <w:r w:rsidRPr="004676F5">
        <w:rPr>
          <w:i/>
          <w:lang w:val="de-DE"/>
        </w:rPr>
        <w:t>Abschnitt 2 </w:t>
      </w:r>
      <w:r w:rsidR="005B7A5C" w:rsidRPr="004676F5">
        <w:rPr>
          <w:lang w:val="de-DE"/>
        </w:rPr>
        <w:t>- </w:t>
      </w:r>
      <w:r w:rsidRPr="004676F5">
        <w:rPr>
          <w:lang w:val="de-DE"/>
        </w:rPr>
        <w:t>Transparenz von Urheberrechten und verwandten Schutzrechten</w:t>
      </w:r>
    </w:p>
    <w:p w14:paraId="6762FFB4" w14:textId="77777777" w:rsidR="002064D4" w:rsidRPr="004676F5" w:rsidRDefault="002064D4" w:rsidP="002064D4">
      <w:pPr>
        <w:jc w:val="center"/>
        <w:rPr>
          <w:lang w:val="de-DE"/>
        </w:rPr>
      </w:pPr>
    </w:p>
    <w:p w14:paraId="5BF87867" w14:textId="31F1A782" w:rsidR="002064D4" w:rsidRPr="004676F5" w:rsidRDefault="002064D4" w:rsidP="002064D4">
      <w:pPr>
        <w:jc w:val="both"/>
        <w:rPr>
          <w:i/>
          <w:lang w:val="de-DE"/>
        </w:rPr>
      </w:pPr>
      <w:r w:rsidRPr="004676F5">
        <w:rPr>
          <w:i/>
          <w:lang w:val="de-DE"/>
        </w:rPr>
        <w:t xml:space="preserve">[Abschnitt 2 mit den Artikeln XV.31/1 und XV.31/2 eingefügt durch </w:t>
      </w:r>
      <w:r w:rsidR="00BE0A56" w:rsidRPr="004676F5">
        <w:rPr>
          <w:i/>
          <w:lang w:val="de-DE"/>
        </w:rPr>
        <w:t>Art. </w:t>
      </w:r>
      <w:r w:rsidRPr="004676F5">
        <w:rPr>
          <w:i/>
          <w:lang w:val="de-DE"/>
        </w:rPr>
        <w:t>10 des G. vom 19. April 2014 (II) (B.S. vom 12. Juni 2014)]</w:t>
      </w:r>
    </w:p>
    <w:p w14:paraId="662FE35A" w14:textId="77777777" w:rsidR="002064D4" w:rsidRPr="004676F5" w:rsidRDefault="002064D4" w:rsidP="002064D4">
      <w:pPr>
        <w:jc w:val="both"/>
        <w:rPr>
          <w:i/>
          <w:lang w:val="de-DE"/>
        </w:rPr>
      </w:pPr>
    </w:p>
    <w:p w14:paraId="5631EF07" w14:textId="77777777" w:rsidR="002064D4" w:rsidRPr="004676F5" w:rsidRDefault="002064D4" w:rsidP="002064D4">
      <w:pPr>
        <w:ind w:firstLine="708"/>
        <w:jc w:val="both"/>
        <w:rPr>
          <w:lang w:val="de-DE"/>
        </w:rPr>
      </w:pPr>
    </w:p>
    <w:p w14:paraId="54ABB8A2" w14:textId="029D257E" w:rsidR="006A29C3" w:rsidRPr="004676F5" w:rsidRDefault="00BE0A56" w:rsidP="006A29C3">
      <w:pPr>
        <w:ind w:firstLine="708"/>
        <w:jc w:val="both"/>
        <w:rPr>
          <w:lang w:val="de-DE"/>
        </w:rPr>
      </w:pPr>
      <w:r w:rsidRPr="004676F5">
        <w:rPr>
          <w:b/>
          <w:lang w:val="de-DE"/>
        </w:rPr>
        <w:t>Art. </w:t>
      </w:r>
      <w:r w:rsidR="002064D4" w:rsidRPr="004676F5">
        <w:rPr>
          <w:b/>
          <w:lang w:val="de-DE"/>
        </w:rPr>
        <w:t>XV.31/1</w:t>
      </w:r>
      <w:r w:rsidR="002064D4" w:rsidRPr="004676F5">
        <w:rPr>
          <w:lang w:val="de-DE"/>
        </w:rPr>
        <w:t> </w:t>
      </w:r>
      <w:r w:rsidR="005B7A5C" w:rsidRPr="004676F5">
        <w:rPr>
          <w:lang w:val="de-DE"/>
        </w:rPr>
        <w:t>- </w:t>
      </w:r>
      <w:r w:rsidR="006A29C3" w:rsidRPr="004676F5">
        <w:rPr>
          <w:lang w:val="de-DE"/>
        </w:rPr>
        <w:t>[§ 1 </w:t>
      </w:r>
      <w:r w:rsidR="005B7A5C" w:rsidRPr="004676F5">
        <w:rPr>
          <w:lang w:val="de-DE"/>
        </w:rPr>
        <w:t>- </w:t>
      </w:r>
      <w:r w:rsidR="006A29C3" w:rsidRPr="004676F5">
        <w:rPr>
          <w:lang w:val="de-DE"/>
        </w:rPr>
        <w:t>Wird nach Anhörung festgestellt, dass:</w:t>
      </w:r>
    </w:p>
    <w:p w14:paraId="5AD6F791" w14:textId="77777777" w:rsidR="006A29C3" w:rsidRPr="004676F5" w:rsidRDefault="006A29C3" w:rsidP="006A29C3">
      <w:pPr>
        <w:jc w:val="both"/>
        <w:rPr>
          <w:lang w:val="de-DE"/>
        </w:rPr>
      </w:pPr>
    </w:p>
    <w:p w14:paraId="03E451EB" w14:textId="77777777" w:rsidR="006A29C3" w:rsidRPr="004676F5" w:rsidRDefault="006A29C3" w:rsidP="006A29C3">
      <w:pPr>
        <w:jc w:val="both"/>
        <w:rPr>
          <w:lang w:val="de-DE"/>
        </w:rPr>
      </w:pPr>
      <w:r w:rsidRPr="004676F5">
        <w:rPr>
          <w:lang w:val="de-DE"/>
        </w:rPr>
        <w:tab/>
        <w:t>1. eine Verwertungsgesellschaft die in Artikel XI.279 § 1 Absatz 1 erwähnten Bestimmungen und Rechtshandlungen missachtet,</w:t>
      </w:r>
    </w:p>
    <w:p w14:paraId="6927487C" w14:textId="77777777" w:rsidR="006A29C3" w:rsidRPr="004676F5" w:rsidRDefault="006A29C3" w:rsidP="006A29C3">
      <w:pPr>
        <w:jc w:val="both"/>
        <w:rPr>
          <w:lang w:val="de-DE"/>
        </w:rPr>
      </w:pPr>
    </w:p>
    <w:p w14:paraId="2314AC05" w14:textId="77777777" w:rsidR="006A29C3" w:rsidRPr="004676F5" w:rsidRDefault="006A29C3" w:rsidP="006A29C3">
      <w:pPr>
        <w:jc w:val="both"/>
        <w:rPr>
          <w:lang w:val="de-DE"/>
        </w:rPr>
      </w:pPr>
      <w:r w:rsidRPr="004676F5">
        <w:rPr>
          <w:lang w:val="de-DE"/>
        </w:rPr>
        <w:tab/>
        <w:t>2. eine in Artikel XI.246 § 1 Absatz 3 erwähnte unabhängige Verwertungseinrichtung die in Artikel XI.279 § 1 Absatz 2 erwähnten Bestimmungen missachtet,</w:t>
      </w:r>
    </w:p>
    <w:p w14:paraId="6B17EFAA" w14:textId="77777777" w:rsidR="006A29C3" w:rsidRPr="004676F5" w:rsidRDefault="006A29C3" w:rsidP="006A29C3">
      <w:pPr>
        <w:jc w:val="both"/>
        <w:rPr>
          <w:lang w:val="de-DE"/>
        </w:rPr>
      </w:pPr>
    </w:p>
    <w:p w14:paraId="10524146" w14:textId="77777777" w:rsidR="006A29C3" w:rsidRPr="004676F5" w:rsidRDefault="006A29C3" w:rsidP="006A29C3">
      <w:pPr>
        <w:jc w:val="both"/>
        <w:rPr>
          <w:lang w:val="de-DE"/>
        </w:rPr>
      </w:pPr>
      <w:r w:rsidRPr="004676F5">
        <w:rPr>
          <w:lang w:val="de-DE"/>
        </w:rPr>
        <w:tab/>
        <w:t>3. eine Organisation für die kollektive Rechtewahrnehmung mit Sitz in einem anderen Mitgliedstaat und mit oder ohne Zweigstelle in Belgien die in Artikel XI.279 § 2 erwähnten Bestimmungen missachtet,</w:t>
      </w:r>
    </w:p>
    <w:p w14:paraId="3E9EDF4A" w14:textId="77777777" w:rsidR="006A29C3" w:rsidRPr="004676F5" w:rsidRDefault="006A29C3" w:rsidP="006A29C3">
      <w:pPr>
        <w:jc w:val="both"/>
        <w:rPr>
          <w:lang w:val="de-DE"/>
        </w:rPr>
      </w:pPr>
    </w:p>
    <w:p w14:paraId="6FE8F0F2" w14:textId="77777777" w:rsidR="006A29C3" w:rsidRPr="004676F5" w:rsidRDefault="006A29C3" w:rsidP="006A29C3">
      <w:pPr>
        <w:jc w:val="both"/>
        <w:rPr>
          <w:lang w:val="de-DE"/>
        </w:rPr>
      </w:pPr>
      <w:r w:rsidRPr="004676F5">
        <w:rPr>
          <w:lang w:val="de-DE"/>
        </w:rPr>
        <w:tab/>
        <w:t>4. eine unabhängige Verwertungseinrichtung mit Sitz in einem anderen Mitgliedstaat und mit oder ohne Zweigstelle in Belgien die in Artikel XI.279 § 3 erwähnten Bestimmungen missachtet,</w:t>
      </w:r>
    </w:p>
    <w:p w14:paraId="567076AA" w14:textId="77777777" w:rsidR="006A29C3" w:rsidRPr="004676F5" w:rsidRDefault="006A29C3" w:rsidP="006A29C3">
      <w:pPr>
        <w:jc w:val="both"/>
        <w:rPr>
          <w:lang w:val="de-DE"/>
        </w:rPr>
      </w:pPr>
    </w:p>
    <w:p w14:paraId="33853040" w14:textId="77777777" w:rsidR="006A29C3" w:rsidRPr="004676F5" w:rsidRDefault="006A29C3" w:rsidP="006A29C3">
      <w:pPr>
        <w:jc w:val="both"/>
        <w:rPr>
          <w:lang w:val="de-DE"/>
        </w:rPr>
      </w:pPr>
      <w:r w:rsidRPr="004676F5">
        <w:rPr>
          <w:lang w:val="de-DE"/>
        </w:rPr>
        <w:tab/>
        <w:t>5. eine Person ohne die in Anwendung von Artikel XI.273/17 erforderliche Zulassung eine Verwertungstätigkeit im Sinne von Artikel I.16 § 1 Nr. 4 oder 5 ausübt oder</w:t>
      </w:r>
    </w:p>
    <w:p w14:paraId="1798CE96" w14:textId="77777777" w:rsidR="006A29C3" w:rsidRPr="004676F5" w:rsidRDefault="006A29C3" w:rsidP="006A29C3">
      <w:pPr>
        <w:jc w:val="both"/>
        <w:rPr>
          <w:lang w:val="de-DE"/>
        </w:rPr>
      </w:pPr>
    </w:p>
    <w:p w14:paraId="5C3A00F8" w14:textId="77777777" w:rsidR="006A29C3" w:rsidRPr="004676F5" w:rsidRDefault="006A29C3" w:rsidP="006A29C3">
      <w:pPr>
        <w:jc w:val="both"/>
        <w:rPr>
          <w:lang w:val="de-DE"/>
        </w:rPr>
      </w:pPr>
      <w:r w:rsidRPr="004676F5">
        <w:rPr>
          <w:lang w:val="de-DE"/>
        </w:rPr>
        <w:tab/>
        <w:t>6. eine Person ohne die in Anwendung von Artikel XI.273/18 erforderliche Erklärung eine Verwertungstätigkeit im Sinne von Artikel I.16 § 1 Nr. 6 ausübt,</w:t>
      </w:r>
    </w:p>
    <w:p w14:paraId="384417F0" w14:textId="77777777" w:rsidR="006A29C3" w:rsidRPr="004676F5" w:rsidRDefault="006A29C3" w:rsidP="006A29C3">
      <w:pPr>
        <w:jc w:val="both"/>
        <w:rPr>
          <w:lang w:val="de-DE"/>
        </w:rPr>
      </w:pPr>
    </w:p>
    <w:p w14:paraId="275736F8" w14:textId="77777777" w:rsidR="006A29C3" w:rsidRPr="004676F5" w:rsidRDefault="006A29C3" w:rsidP="006A29C3">
      <w:pPr>
        <w:jc w:val="both"/>
        <w:rPr>
          <w:lang w:val="de-DE"/>
        </w:rPr>
      </w:pPr>
      <w:r w:rsidRPr="004676F5">
        <w:rPr>
          <w:lang w:val="de-DE"/>
        </w:rPr>
        <w:lastRenderedPageBreak/>
        <w:tab/>
        <w:t>so kann der Kontrolldienst in Abweichung von Abschnitt 1 der in Absatz 1 erwähnten Verwertungsgesellschaft, unabhängigen Verwertungseinrichtung, Organisation für die kollektive Rechtewahrnehmung oder Person eine Verwarnung erteilen, mit der sie zur Behebung der festgestellten Missstände aufgefordert wird.</w:t>
      </w:r>
    </w:p>
    <w:p w14:paraId="57E48755" w14:textId="77777777" w:rsidR="006A29C3" w:rsidRPr="004676F5" w:rsidRDefault="006A29C3" w:rsidP="006A29C3">
      <w:pPr>
        <w:jc w:val="both"/>
        <w:rPr>
          <w:lang w:val="de-DE"/>
        </w:rPr>
      </w:pPr>
    </w:p>
    <w:p w14:paraId="34914D57" w14:textId="50BFC9AD" w:rsidR="006A29C3" w:rsidRPr="004676F5" w:rsidRDefault="006A29C3" w:rsidP="006A29C3">
      <w:pPr>
        <w:jc w:val="both"/>
        <w:rPr>
          <w:lang w:val="de-DE"/>
        </w:rPr>
      </w:pPr>
      <w:r w:rsidRPr="004676F5">
        <w:rPr>
          <w:lang w:val="de-DE"/>
        </w:rPr>
        <w:tab/>
        <w:t>§ 2 </w:t>
      </w:r>
      <w:r w:rsidR="005B7A5C" w:rsidRPr="004676F5">
        <w:rPr>
          <w:lang w:val="de-DE"/>
        </w:rPr>
        <w:t>- </w:t>
      </w:r>
      <w:r w:rsidRPr="004676F5">
        <w:rPr>
          <w:lang w:val="de-DE"/>
        </w:rPr>
        <w:t>Die Verwarnung wird der in Absatz 1 erwähnten Verwertungsgesellschaft, unabhängigen Verwertungseinrichtung, Organisation für die kollektive Rechtewahrnehmung oder Person per Einschreibesendung mit Rückschein oder durch Aushändigung einer Abschrift des Protokolls zur Feststellung des Sachverhaltes notifiziert.</w:t>
      </w:r>
    </w:p>
    <w:p w14:paraId="375A246A" w14:textId="77777777" w:rsidR="00D57AA5" w:rsidRPr="004676F5" w:rsidRDefault="00D57AA5" w:rsidP="006A29C3">
      <w:pPr>
        <w:jc w:val="both"/>
        <w:rPr>
          <w:lang w:val="de-DE"/>
        </w:rPr>
      </w:pPr>
    </w:p>
    <w:p w14:paraId="4B7EC391" w14:textId="77777777" w:rsidR="006A29C3" w:rsidRPr="004676F5" w:rsidRDefault="006A29C3" w:rsidP="006A29C3">
      <w:pPr>
        <w:jc w:val="both"/>
        <w:rPr>
          <w:lang w:val="de-DE"/>
        </w:rPr>
      </w:pPr>
      <w:r w:rsidRPr="004676F5">
        <w:rPr>
          <w:lang w:val="de-DE"/>
        </w:rPr>
        <w:tab/>
        <w:t>In der Verwarnung werden folgende Angaben vermerkt:</w:t>
      </w:r>
    </w:p>
    <w:p w14:paraId="59216F43" w14:textId="77777777" w:rsidR="006A29C3" w:rsidRPr="004676F5" w:rsidRDefault="006A29C3" w:rsidP="006A29C3">
      <w:pPr>
        <w:jc w:val="both"/>
        <w:rPr>
          <w:lang w:val="de-DE"/>
        </w:rPr>
      </w:pPr>
    </w:p>
    <w:p w14:paraId="72B63228" w14:textId="77777777" w:rsidR="006A29C3" w:rsidRPr="004676F5" w:rsidRDefault="006A29C3" w:rsidP="006A29C3">
      <w:pPr>
        <w:jc w:val="both"/>
        <w:rPr>
          <w:lang w:val="de-DE"/>
        </w:rPr>
      </w:pPr>
      <w:r w:rsidRPr="004676F5">
        <w:rPr>
          <w:lang w:val="de-DE"/>
        </w:rPr>
        <w:tab/>
        <w:t>1. der zur Last gelegte Sachverhalt und die Bestimmung(en), gegen die verstoßen wird,</w:t>
      </w:r>
    </w:p>
    <w:p w14:paraId="52AF1A0C" w14:textId="77777777" w:rsidR="006A29C3" w:rsidRPr="004676F5" w:rsidRDefault="006A29C3" w:rsidP="006A29C3">
      <w:pPr>
        <w:jc w:val="both"/>
        <w:rPr>
          <w:lang w:val="de-DE"/>
        </w:rPr>
      </w:pPr>
    </w:p>
    <w:p w14:paraId="22871F65" w14:textId="77777777" w:rsidR="006A29C3" w:rsidRPr="004676F5" w:rsidRDefault="006A29C3" w:rsidP="006A29C3">
      <w:pPr>
        <w:jc w:val="both"/>
        <w:rPr>
          <w:lang w:val="de-DE"/>
        </w:rPr>
      </w:pPr>
      <w:r w:rsidRPr="004676F5">
        <w:rPr>
          <w:lang w:val="de-DE"/>
        </w:rPr>
        <w:tab/>
        <w:t>2. die Frist zur Behebung der festgestellten Missstände,</w:t>
      </w:r>
    </w:p>
    <w:p w14:paraId="34CC21C9" w14:textId="77777777" w:rsidR="006A29C3" w:rsidRPr="004676F5" w:rsidRDefault="006A29C3" w:rsidP="006A29C3">
      <w:pPr>
        <w:jc w:val="both"/>
        <w:rPr>
          <w:lang w:val="de-DE"/>
        </w:rPr>
      </w:pPr>
    </w:p>
    <w:p w14:paraId="1638E96C" w14:textId="77777777" w:rsidR="006A29C3" w:rsidRPr="004676F5" w:rsidRDefault="006A29C3" w:rsidP="006A29C3">
      <w:pPr>
        <w:jc w:val="both"/>
        <w:rPr>
          <w:lang w:val="de-DE"/>
        </w:rPr>
      </w:pPr>
      <w:r w:rsidRPr="004676F5">
        <w:rPr>
          <w:lang w:val="de-DE"/>
        </w:rPr>
        <w:tab/>
        <w:t>3. dass, sollte den festgestellten Missständen nicht abgeholfen werden:</w:t>
      </w:r>
    </w:p>
    <w:p w14:paraId="205FA010" w14:textId="77777777" w:rsidR="006A29C3" w:rsidRPr="004676F5" w:rsidRDefault="006A29C3" w:rsidP="006A29C3">
      <w:pPr>
        <w:jc w:val="both"/>
        <w:rPr>
          <w:lang w:val="de-DE"/>
        </w:rPr>
      </w:pPr>
    </w:p>
    <w:p w14:paraId="0F8C58C3" w14:textId="77777777" w:rsidR="006A29C3" w:rsidRPr="004676F5" w:rsidRDefault="006A29C3" w:rsidP="006A29C3">
      <w:pPr>
        <w:jc w:val="both"/>
        <w:rPr>
          <w:lang w:val="de-DE"/>
        </w:rPr>
      </w:pPr>
      <w:r w:rsidRPr="004676F5">
        <w:rPr>
          <w:lang w:val="de-DE"/>
        </w:rPr>
        <w:tab/>
      </w:r>
      <w:r w:rsidRPr="004676F5">
        <w:rPr>
          <w:i/>
          <w:lang w:val="de-DE"/>
        </w:rPr>
        <w:t>a)</w:t>
      </w:r>
      <w:r w:rsidRPr="004676F5">
        <w:rPr>
          <w:lang w:val="de-DE"/>
        </w:rPr>
        <w:t> der Minister oder je nach Fall der eigens zu diesem Zweck bestellte Bedienstete eine der in Artikel XVII.21 erwähnten Rechtsklagen einleiten und/oder die in den Artikeln XV.66/1, XV.66/2 und XV.66/3 erwähnten Verwaltungssanktionen verhängen kann,</w:t>
      </w:r>
    </w:p>
    <w:p w14:paraId="1635E73E" w14:textId="77777777" w:rsidR="006A29C3" w:rsidRPr="004676F5" w:rsidRDefault="006A29C3" w:rsidP="006A29C3">
      <w:pPr>
        <w:jc w:val="both"/>
        <w:rPr>
          <w:lang w:val="de-DE"/>
        </w:rPr>
      </w:pPr>
    </w:p>
    <w:p w14:paraId="2CF4E40E" w14:textId="77777777" w:rsidR="002064D4" w:rsidRPr="004676F5" w:rsidRDefault="006A29C3" w:rsidP="006A29C3">
      <w:pPr>
        <w:ind w:firstLine="708"/>
        <w:jc w:val="both"/>
        <w:rPr>
          <w:lang w:val="de-DE"/>
        </w:rPr>
      </w:pPr>
      <w:r w:rsidRPr="004676F5">
        <w:rPr>
          <w:i/>
          <w:lang w:val="de-DE"/>
        </w:rPr>
        <w:t>b)</w:t>
      </w:r>
      <w:r w:rsidRPr="004676F5">
        <w:rPr>
          <w:lang w:val="de-DE"/>
        </w:rPr>
        <w:t> im Falle eines in Artikel XV.112 erwähnten Verstoßes die vom Minister bestellten Bediensteten unbeschadet der in Buchstabe </w:t>
      </w:r>
      <w:r w:rsidRPr="004676F5">
        <w:rPr>
          <w:i/>
          <w:lang w:val="de-DE"/>
        </w:rPr>
        <w:t>a)</w:t>
      </w:r>
      <w:r w:rsidRPr="004676F5">
        <w:rPr>
          <w:lang w:val="de-DE"/>
        </w:rPr>
        <w:t xml:space="preserve"> erwähnten Maßnahmen den Prokurator des Königs informieren oder die in Artikel XV.62/1 vorgesehene Vergleichsregelung anwenden können.]</w:t>
      </w:r>
    </w:p>
    <w:p w14:paraId="49DDBF35" w14:textId="77777777" w:rsidR="006A29C3" w:rsidRPr="004676F5" w:rsidRDefault="006A29C3" w:rsidP="006A29C3">
      <w:pPr>
        <w:ind w:firstLine="708"/>
        <w:jc w:val="both"/>
        <w:rPr>
          <w:lang w:val="de-DE"/>
        </w:rPr>
      </w:pPr>
    </w:p>
    <w:p w14:paraId="5AFD3117" w14:textId="218D2749" w:rsidR="006A29C3" w:rsidRPr="00B14651" w:rsidRDefault="006A29C3" w:rsidP="006A29C3">
      <w:pPr>
        <w:jc w:val="both"/>
        <w:rPr>
          <w:i/>
          <w:lang w:val="de-DE"/>
        </w:rPr>
      </w:pPr>
      <w:r w:rsidRPr="004676F5">
        <w:rPr>
          <w:i/>
          <w:lang w:val="de-DE"/>
        </w:rPr>
        <w:t>[</w:t>
      </w:r>
      <w:r w:rsidR="00BE0A56" w:rsidRPr="004676F5">
        <w:rPr>
          <w:i/>
          <w:lang w:val="de-DE"/>
        </w:rPr>
        <w:t>Art. </w:t>
      </w:r>
      <w:r w:rsidRPr="004676F5">
        <w:rPr>
          <w:i/>
          <w:lang w:val="de-DE"/>
        </w:rPr>
        <w:t xml:space="preserve">XV.31/1 ersetzt durch </w:t>
      </w:r>
      <w:r w:rsidR="00BE0A56" w:rsidRPr="004676F5">
        <w:rPr>
          <w:i/>
          <w:lang w:val="de-DE"/>
        </w:rPr>
        <w:t>Art. </w:t>
      </w:r>
      <w:r w:rsidRPr="004676F5">
        <w:rPr>
          <w:i/>
          <w:lang w:val="de-DE"/>
        </w:rPr>
        <w:t>114 des G. vom 8. </w:t>
      </w:r>
      <w:r w:rsidRPr="00B14651">
        <w:rPr>
          <w:i/>
          <w:lang w:val="de-DE"/>
        </w:rPr>
        <w:t>Juni 2017 (B.S. vom 27. Juni 2017)]</w:t>
      </w:r>
    </w:p>
    <w:p w14:paraId="3E511B38" w14:textId="77777777" w:rsidR="006A29C3" w:rsidRPr="00B14651" w:rsidRDefault="006A29C3" w:rsidP="006A29C3">
      <w:pPr>
        <w:ind w:firstLine="708"/>
        <w:jc w:val="both"/>
        <w:rPr>
          <w:lang w:val="de-DE"/>
        </w:rPr>
      </w:pPr>
    </w:p>
    <w:p w14:paraId="488E0158" w14:textId="238EEC68" w:rsidR="00620833" w:rsidRPr="00B14651" w:rsidRDefault="00620833">
      <w:pPr>
        <w:rPr>
          <w:b/>
          <w:lang w:val="de-DE"/>
        </w:rPr>
      </w:pPr>
    </w:p>
    <w:p w14:paraId="2DABC3DC" w14:textId="2F8C65BF" w:rsidR="00BC16BF" w:rsidRPr="004676F5" w:rsidRDefault="00BC16BF" w:rsidP="00BC16BF">
      <w:pPr>
        <w:jc w:val="center"/>
        <w:rPr>
          <w:bCs/>
          <w:lang w:val="de-DE"/>
        </w:rPr>
      </w:pPr>
      <w:r w:rsidRPr="004676F5">
        <w:rPr>
          <w:bCs/>
          <w:lang w:val="de-DE"/>
        </w:rPr>
        <w:t>[</w:t>
      </w:r>
      <w:r w:rsidRPr="004676F5">
        <w:rPr>
          <w:i/>
          <w:iCs/>
          <w:lang w:val="de-DE"/>
        </w:rPr>
        <w:t>Abschnitt 3</w:t>
      </w:r>
      <w:r w:rsidRPr="004676F5">
        <w:rPr>
          <w:lang w:val="de-DE"/>
        </w:rPr>
        <w:t> </w:t>
      </w:r>
      <w:r w:rsidR="005B7A5C" w:rsidRPr="004676F5">
        <w:rPr>
          <w:lang w:val="de-DE"/>
        </w:rPr>
        <w:t>- </w:t>
      </w:r>
      <w:r w:rsidRPr="004676F5">
        <w:rPr>
          <w:lang w:val="de-DE"/>
        </w:rPr>
        <w:t>Abhilfezusagen</w:t>
      </w:r>
      <w:r w:rsidRPr="004676F5">
        <w:rPr>
          <w:bCs/>
          <w:lang w:val="de-DE"/>
        </w:rPr>
        <w:t>]</w:t>
      </w:r>
    </w:p>
    <w:p w14:paraId="6B0B27D6" w14:textId="77777777" w:rsidR="00BC16BF" w:rsidRPr="004676F5" w:rsidRDefault="00BC16BF" w:rsidP="00BC16BF">
      <w:pPr>
        <w:jc w:val="center"/>
        <w:rPr>
          <w:bCs/>
          <w:lang w:val="de-DE"/>
        </w:rPr>
      </w:pPr>
    </w:p>
    <w:p w14:paraId="074D5396" w14:textId="111ED9BC" w:rsidR="00BC16BF" w:rsidRPr="004676F5" w:rsidRDefault="00BC16BF" w:rsidP="00BC16BF">
      <w:pPr>
        <w:jc w:val="both"/>
        <w:rPr>
          <w:bCs/>
          <w:i/>
          <w:iCs/>
          <w:lang w:val="de-DE"/>
        </w:rPr>
      </w:pPr>
      <w:r w:rsidRPr="004676F5">
        <w:rPr>
          <w:bCs/>
          <w:i/>
          <w:iCs/>
          <w:lang w:val="de-DE"/>
        </w:rPr>
        <w:t>[Unterteilung Abschnitt 3 eingefügt durch Art. 13 des G. vom 29. September 2020 (B.S. vom 20. November 2020)</w:t>
      </w:r>
    </w:p>
    <w:p w14:paraId="1A8414E2" w14:textId="77777777" w:rsidR="00BC16BF" w:rsidRPr="004676F5" w:rsidRDefault="00BC16BF" w:rsidP="00BC16BF">
      <w:pPr>
        <w:jc w:val="both"/>
        <w:rPr>
          <w:bCs/>
          <w:i/>
          <w:iCs/>
          <w:lang w:val="de-DE"/>
        </w:rPr>
      </w:pPr>
    </w:p>
    <w:p w14:paraId="24AF6494" w14:textId="77777777" w:rsidR="00BC16BF" w:rsidRPr="004676F5" w:rsidRDefault="00BC16BF" w:rsidP="00BC16BF">
      <w:pPr>
        <w:jc w:val="both"/>
        <w:rPr>
          <w:bCs/>
          <w:i/>
          <w:iCs/>
          <w:lang w:val="de-DE"/>
        </w:rPr>
      </w:pPr>
    </w:p>
    <w:p w14:paraId="2BBABEA2" w14:textId="77B50711" w:rsidR="00BC16BF" w:rsidRPr="004676F5" w:rsidRDefault="00BE0A56" w:rsidP="00BC16BF">
      <w:pPr>
        <w:ind w:firstLine="708"/>
        <w:jc w:val="both"/>
        <w:rPr>
          <w:lang w:val="de-DE"/>
        </w:rPr>
      </w:pPr>
      <w:r w:rsidRPr="004676F5">
        <w:rPr>
          <w:b/>
          <w:lang w:val="de-DE"/>
        </w:rPr>
        <w:t>Art. </w:t>
      </w:r>
      <w:r w:rsidR="002064D4" w:rsidRPr="004676F5">
        <w:rPr>
          <w:b/>
          <w:lang w:val="de-DE"/>
        </w:rPr>
        <w:t>XV.31/2</w:t>
      </w:r>
      <w:r w:rsidR="002064D4" w:rsidRPr="004676F5">
        <w:rPr>
          <w:lang w:val="de-DE"/>
        </w:rPr>
        <w:t> </w:t>
      </w:r>
      <w:r w:rsidR="005B7A5C" w:rsidRPr="004676F5">
        <w:rPr>
          <w:lang w:val="de-DE"/>
        </w:rPr>
        <w:t>- </w:t>
      </w:r>
      <w:r w:rsidR="006D71E0" w:rsidRPr="004676F5">
        <w:rPr>
          <w:lang w:val="de-DE"/>
        </w:rPr>
        <w:t>[</w:t>
      </w:r>
      <w:r w:rsidR="00BC16BF" w:rsidRPr="004676F5">
        <w:rPr>
          <w:lang w:val="de-DE"/>
        </w:rPr>
        <w:t>§ 1 ­ Die in Artikel XV.2 erwähnten Bediensteten sind befugt, von den für die in Artikel XV.2 § 1 erwähnten Verstöße verantwortlichen Unternehmen Zusagen zur Einstellung der Verstöße zu erhalten oder zu akzeptieren.</w:t>
      </w:r>
    </w:p>
    <w:p w14:paraId="363010BD" w14:textId="77777777" w:rsidR="00BC16BF" w:rsidRPr="004676F5" w:rsidRDefault="00BC16BF" w:rsidP="00BC16BF">
      <w:pPr>
        <w:jc w:val="both"/>
        <w:rPr>
          <w:lang w:val="de-DE"/>
        </w:rPr>
      </w:pPr>
    </w:p>
    <w:p w14:paraId="6CFEEBDD" w14:textId="1A63BB29" w:rsidR="00BC16BF" w:rsidRPr="004676F5" w:rsidRDefault="00BC16BF" w:rsidP="00BC16BF">
      <w:pPr>
        <w:jc w:val="both"/>
        <w:rPr>
          <w:lang w:val="de-DE"/>
        </w:rPr>
      </w:pPr>
      <w:r w:rsidRPr="004676F5">
        <w:rPr>
          <w:lang w:val="de-DE"/>
        </w:rPr>
        <w:tab/>
        <w:t>§ 2 </w:t>
      </w:r>
      <w:r w:rsidR="005B7A5C" w:rsidRPr="004676F5">
        <w:rPr>
          <w:lang w:val="de-DE"/>
        </w:rPr>
        <w:t>- </w:t>
      </w:r>
      <w:r w:rsidRPr="004676F5">
        <w:rPr>
          <w:lang w:val="de-DE"/>
        </w:rPr>
        <w:t>Die in Artikel XV.2 erwähnten Bediensteten sind befugt, von Unternehmen auf deren Initiative angebotene zusätzliche Abhilfezusagen zugunsten der Verbraucher, die von den in Artikel XV.2 § 1 erwähnten mutmaßlichen Verstößen betroffen sind, entgegenzu</w:t>
      </w:r>
      <w:r w:rsidRPr="004676F5">
        <w:rPr>
          <w:lang w:val="de-DE"/>
        </w:rPr>
        <w:softHyphen/>
        <w:t>nehmen oder gegebenenfalls zu versuchen, von Unternehmen Zusagen zu erhalten, um den von diesen Verstößen betroffenen Verbrauchern angemessene Abhilfe anzubieten.</w:t>
      </w:r>
    </w:p>
    <w:p w14:paraId="0AAB68E3" w14:textId="77777777" w:rsidR="00BC16BF" w:rsidRPr="004676F5" w:rsidRDefault="00BC16BF" w:rsidP="00BC16BF">
      <w:pPr>
        <w:jc w:val="both"/>
        <w:rPr>
          <w:lang w:val="de-DE"/>
        </w:rPr>
      </w:pPr>
    </w:p>
    <w:p w14:paraId="6CE379A5" w14:textId="77777777" w:rsidR="00BC16BF" w:rsidRPr="004676F5" w:rsidRDefault="00BC16BF" w:rsidP="00BC16BF">
      <w:pPr>
        <w:jc w:val="both"/>
        <w:rPr>
          <w:lang w:val="de-DE"/>
        </w:rPr>
      </w:pPr>
      <w:r w:rsidRPr="004676F5">
        <w:rPr>
          <w:lang w:val="de-DE"/>
        </w:rPr>
        <w:tab/>
        <w:t>§ 3 ­ Entgegennahme oder Akzeptierung einer Zusage steht anderer administrativer Verfolgung oder Strafverfolgung nicht im Wege.</w:t>
      </w:r>
    </w:p>
    <w:p w14:paraId="6DBE9D15" w14:textId="77777777" w:rsidR="00BC16BF" w:rsidRPr="004676F5" w:rsidRDefault="00BC16BF" w:rsidP="00BC16BF">
      <w:pPr>
        <w:jc w:val="both"/>
        <w:rPr>
          <w:lang w:val="de-DE"/>
        </w:rPr>
      </w:pPr>
    </w:p>
    <w:p w14:paraId="449D2F6E" w14:textId="77777777" w:rsidR="00BC16BF" w:rsidRPr="004676F5" w:rsidRDefault="00BC16BF" w:rsidP="00BC16BF">
      <w:pPr>
        <w:jc w:val="both"/>
        <w:rPr>
          <w:lang w:val="de-DE"/>
        </w:rPr>
      </w:pPr>
      <w:r w:rsidRPr="004676F5">
        <w:rPr>
          <w:lang w:val="de-DE"/>
        </w:rPr>
        <w:lastRenderedPageBreak/>
        <w:tab/>
        <w:t>Entgegennahme einer Zusage und deren Akzeptierung durch die in Artikel XV.2 erwähnten Bediensteten kann zur Folge haben, dass die Verfolgungsmaßnahmen eingestellt werden, sofern die in Artikel XV.2 § 1 erwähnten Verstöße eingestellt und für die geschädigten Verbraucher Abhilfe geschaffen worden ist.</w:t>
      </w:r>
    </w:p>
    <w:p w14:paraId="5D317217" w14:textId="77777777" w:rsidR="00BC16BF" w:rsidRPr="004676F5" w:rsidRDefault="00BC16BF" w:rsidP="00BC16BF">
      <w:pPr>
        <w:jc w:val="both"/>
        <w:rPr>
          <w:lang w:val="de-DE"/>
        </w:rPr>
      </w:pPr>
    </w:p>
    <w:p w14:paraId="51C205D0" w14:textId="61820648" w:rsidR="007748FE" w:rsidRPr="004676F5" w:rsidRDefault="00BC16BF" w:rsidP="007748FE">
      <w:pPr>
        <w:ind w:firstLine="708"/>
        <w:jc w:val="both"/>
        <w:rPr>
          <w:lang w:val="de-DE"/>
        </w:rPr>
      </w:pPr>
      <w:r w:rsidRPr="004676F5">
        <w:rPr>
          <w:lang w:val="de-DE"/>
        </w:rPr>
        <w:t>§ 4 </w:t>
      </w:r>
      <w:r w:rsidR="005B7A5C" w:rsidRPr="004676F5">
        <w:rPr>
          <w:lang w:val="de-DE"/>
        </w:rPr>
        <w:t>- </w:t>
      </w:r>
      <w:r w:rsidR="007748FE" w:rsidRPr="004676F5">
        <w:rPr>
          <w:lang w:val="de-DE"/>
        </w:rPr>
        <w:t>[In den Paragraphen 1 und 2 erwähnte Zusagen können, sofern sie von den in Artikel XV.2 erwähnten Bediensteten akzeptiert worden sind, öffentlich bekannt gegeben werden, um Verbraucher und Unternehmen von den Praktiken des Zuwiderhandelnden in Kenntnis zu setzen oder sie darüber zu informieren oder um künftige Verstöße des Unternehmens zu verhindern. In diesem Rahmen können die in Artikel XV.2 erwähnten Bediensteten auch Identifizierungsdaten des Zuwiderhandelnden und Angaben zu den festgestellten Verstößen, den zugrunde liegenden Praktiken und den zur Begehung dieser Verstöße verwendeten Mitteln öffentlich bekannt geben. Adressen dürfen nur öffentlich bekannt gegeben werden, wenn der Zuwiderhandelnde dort nicht seinen Wohnsitz hat.</w:t>
      </w:r>
    </w:p>
    <w:p w14:paraId="1B65E83D" w14:textId="77777777" w:rsidR="007748FE" w:rsidRPr="004676F5" w:rsidRDefault="007748FE" w:rsidP="007748FE">
      <w:pPr>
        <w:jc w:val="both"/>
        <w:rPr>
          <w:lang w:val="de-DE"/>
        </w:rPr>
      </w:pPr>
    </w:p>
    <w:p w14:paraId="2F8B2050" w14:textId="77777777" w:rsidR="007748FE" w:rsidRPr="004676F5" w:rsidRDefault="007748FE" w:rsidP="007748FE">
      <w:pPr>
        <w:jc w:val="both"/>
        <w:rPr>
          <w:lang w:val="de-DE"/>
        </w:rPr>
      </w:pPr>
      <w:r w:rsidRPr="004676F5">
        <w:rPr>
          <w:lang w:val="de-DE"/>
        </w:rPr>
        <w:tab/>
        <w:t>Bevor die in Artikel XV.2 erwähnten Bediensteten eine öffentliche Bekanntmachung vornehmen, informieren sie das Unternehmen vorab über die Absicht, die in den Paragraphen 1 und 2 erwähnten Zusagen bekannt zu geben, und über die Möglichkeit des Unternehmens, sich dem zu widersetzen. Die in Absatz 1 erwähnte Bekanntmachung kann nur erfolgen, wenn innerhalb einer Frist von zwei Werktagen keine Reaktion des Unternehmens eingegangen ist oder das Unternehmen keine angemessene Begründung gegeben hat, weshalb es sich der Bekanntmachung widersetzt.</w:t>
      </w:r>
    </w:p>
    <w:p w14:paraId="076360BA" w14:textId="77777777" w:rsidR="007748FE" w:rsidRPr="004676F5" w:rsidRDefault="007748FE" w:rsidP="007748FE">
      <w:pPr>
        <w:jc w:val="both"/>
        <w:rPr>
          <w:lang w:val="de-DE"/>
        </w:rPr>
      </w:pPr>
    </w:p>
    <w:p w14:paraId="0AD66A2F" w14:textId="5437D092" w:rsidR="00EA5961" w:rsidRPr="004676F5" w:rsidRDefault="007748FE" w:rsidP="007748FE">
      <w:pPr>
        <w:ind w:firstLine="708"/>
        <w:jc w:val="both"/>
        <w:rPr>
          <w:lang w:val="de-DE"/>
        </w:rPr>
      </w:pPr>
      <w:r w:rsidRPr="004676F5">
        <w:rPr>
          <w:lang w:val="de-DE"/>
        </w:rPr>
        <w:t>Die Bekanntmachung erfolgt auf der Website des Föderalen Öffentlichen Dienstes Wirtschaft, KMB, Mittelstand und Energie, die für jeden Bürger zugänglich ist. Die Bekanntmachung wird entfernt, sobald das Unternehmen den Beweis erbringt, dass es seiner Zusage wie in den Paragraphen 1 und 2 erwähnt nachgekommen ist.]</w:t>
      </w:r>
      <w:r w:rsidR="006D71E0" w:rsidRPr="004676F5">
        <w:rPr>
          <w:lang w:val="de-DE"/>
        </w:rPr>
        <w:t>]</w:t>
      </w:r>
    </w:p>
    <w:p w14:paraId="5EB43F0D" w14:textId="77777777" w:rsidR="006D71E0" w:rsidRPr="004676F5" w:rsidRDefault="006D71E0" w:rsidP="006D71E0">
      <w:pPr>
        <w:ind w:firstLine="708"/>
        <w:jc w:val="both"/>
        <w:rPr>
          <w:lang w:val="de-DE"/>
        </w:rPr>
      </w:pPr>
    </w:p>
    <w:p w14:paraId="43E3B57B" w14:textId="66D39F8E" w:rsidR="006D71E0" w:rsidRPr="004676F5" w:rsidRDefault="006D71E0" w:rsidP="006D71E0">
      <w:pPr>
        <w:jc w:val="both"/>
        <w:rPr>
          <w:i/>
          <w:lang w:val="de-DE"/>
        </w:rPr>
      </w:pPr>
      <w:r w:rsidRPr="004676F5">
        <w:rPr>
          <w:i/>
          <w:lang w:val="de-DE"/>
        </w:rPr>
        <w:t>[</w:t>
      </w:r>
      <w:r w:rsidR="00BE0A56" w:rsidRPr="004676F5">
        <w:rPr>
          <w:i/>
          <w:lang w:val="de-DE"/>
        </w:rPr>
        <w:t>Art. </w:t>
      </w:r>
      <w:r w:rsidR="00322D42" w:rsidRPr="004676F5">
        <w:rPr>
          <w:i/>
          <w:lang w:val="de-DE"/>
        </w:rPr>
        <w:t xml:space="preserve">XV.31/2 aufgehoben durch </w:t>
      </w:r>
      <w:r w:rsidR="00BE0A56" w:rsidRPr="004676F5">
        <w:rPr>
          <w:i/>
          <w:lang w:val="de-DE"/>
        </w:rPr>
        <w:t>Art. </w:t>
      </w:r>
      <w:r w:rsidR="00322D42" w:rsidRPr="004676F5">
        <w:rPr>
          <w:i/>
          <w:lang w:val="de-DE"/>
        </w:rPr>
        <w:t>42 des G. vom 29. Juni 2016 (B.S. vom 6. Juli 2016)</w:t>
      </w:r>
      <w:r w:rsidR="00BC16BF" w:rsidRPr="004676F5">
        <w:rPr>
          <w:i/>
          <w:lang w:val="de-DE"/>
        </w:rPr>
        <w:t xml:space="preserve"> und wieder aufgenommen durch Art. 14</w:t>
      </w:r>
      <w:r w:rsidR="00BC16BF" w:rsidRPr="004676F5">
        <w:rPr>
          <w:bCs/>
          <w:i/>
          <w:iCs/>
          <w:lang w:val="de-DE"/>
        </w:rPr>
        <w:t xml:space="preserve"> des G. vom 29. September 2020 (B.S. vom 20. November 2020)</w:t>
      </w:r>
      <w:r w:rsidR="007748FE" w:rsidRPr="004676F5">
        <w:rPr>
          <w:bCs/>
          <w:i/>
          <w:iCs/>
          <w:lang w:val="de-DE"/>
        </w:rPr>
        <w:t>; § 4 ersetzt durch Art. 50 des G. vom 5. November 2023</w:t>
      </w:r>
      <w:r w:rsidR="00857EC4" w:rsidRPr="004676F5">
        <w:rPr>
          <w:bCs/>
          <w:i/>
          <w:iCs/>
          <w:lang w:val="de-DE"/>
        </w:rPr>
        <w:t> (I)</w:t>
      </w:r>
      <w:r w:rsidR="007748FE" w:rsidRPr="004676F5">
        <w:rPr>
          <w:bCs/>
          <w:i/>
          <w:iCs/>
          <w:lang w:val="de-DE"/>
        </w:rPr>
        <w:t xml:space="preserve"> (B.S. vom 11. Dezember 2023)</w:t>
      </w:r>
      <w:r w:rsidRPr="004676F5">
        <w:rPr>
          <w:i/>
          <w:lang w:val="de-DE"/>
        </w:rPr>
        <w:t>]</w:t>
      </w:r>
    </w:p>
    <w:p w14:paraId="11B60EC5" w14:textId="77777777" w:rsidR="002064D4" w:rsidRPr="004676F5" w:rsidRDefault="002064D4" w:rsidP="00EA5961">
      <w:pPr>
        <w:jc w:val="center"/>
        <w:rPr>
          <w:lang w:val="de-DE"/>
        </w:rPr>
      </w:pPr>
    </w:p>
    <w:p w14:paraId="2F355110" w14:textId="77777777" w:rsidR="00BC16BF" w:rsidRPr="004676F5" w:rsidRDefault="00BC16BF" w:rsidP="00EA5961">
      <w:pPr>
        <w:jc w:val="center"/>
        <w:rPr>
          <w:lang w:val="de-DE"/>
        </w:rPr>
      </w:pPr>
    </w:p>
    <w:p w14:paraId="0F125B96" w14:textId="041C48DD" w:rsidR="00BC16BF" w:rsidRPr="004676F5" w:rsidRDefault="00BC16BF" w:rsidP="00EA5961">
      <w:pPr>
        <w:jc w:val="center"/>
        <w:rPr>
          <w:lang w:val="de-DE"/>
        </w:rPr>
      </w:pPr>
      <w:r w:rsidRPr="004676F5">
        <w:rPr>
          <w:lang w:val="de-DE"/>
        </w:rPr>
        <w:t>[</w:t>
      </w:r>
      <w:r w:rsidRPr="004676F5">
        <w:rPr>
          <w:i/>
          <w:iCs/>
          <w:lang w:val="de-DE"/>
        </w:rPr>
        <w:t>Abschnitt 4</w:t>
      </w:r>
      <w:r w:rsidRPr="004676F5">
        <w:rPr>
          <w:lang w:val="de-DE"/>
        </w:rPr>
        <w:t> </w:t>
      </w:r>
      <w:r w:rsidR="005B7A5C" w:rsidRPr="004676F5">
        <w:rPr>
          <w:lang w:val="de-DE"/>
        </w:rPr>
        <w:t>- </w:t>
      </w:r>
      <w:r w:rsidRPr="004676F5">
        <w:rPr>
          <w:lang w:val="de-DE"/>
        </w:rPr>
        <w:t>Öffentliche Bekanntmachung]</w:t>
      </w:r>
    </w:p>
    <w:p w14:paraId="1061624D" w14:textId="1BA936C2" w:rsidR="002064D4" w:rsidRPr="004676F5" w:rsidRDefault="002064D4">
      <w:pPr>
        <w:rPr>
          <w:lang w:val="de-DE"/>
        </w:rPr>
      </w:pPr>
    </w:p>
    <w:p w14:paraId="4610F5B9" w14:textId="656D340B" w:rsidR="00BC16BF" w:rsidRPr="004676F5" w:rsidRDefault="00BC16BF" w:rsidP="00BC16BF">
      <w:pPr>
        <w:jc w:val="both"/>
        <w:rPr>
          <w:bCs/>
          <w:i/>
          <w:iCs/>
          <w:lang w:val="de-DE"/>
        </w:rPr>
      </w:pPr>
      <w:r w:rsidRPr="004676F5">
        <w:rPr>
          <w:bCs/>
          <w:i/>
          <w:iCs/>
          <w:lang w:val="de-DE"/>
        </w:rPr>
        <w:t>[Unterteilung Abschnitt 4 eingefügt durch Art. 15 des G. vom 29. September 2020 (B.S. vom 20. November 2020)</w:t>
      </w:r>
    </w:p>
    <w:p w14:paraId="13AF898F" w14:textId="77777777" w:rsidR="00BC16BF" w:rsidRPr="004676F5" w:rsidRDefault="00BC16BF" w:rsidP="00BC16BF">
      <w:pPr>
        <w:jc w:val="both"/>
        <w:rPr>
          <w:bCs/>
          <w:i/>
          <w:iCs/>
          <w:lang w:val="de-DE"/>
        </w:rPr>
      </w:pPr>
    </w:p>
    <w:p w14:paraId="763ABA7B" w14:textId="77777777" w:rsidR="00BC16BF" w:rsidRPr="004676F5" w:rsidRDefault="00BC16BF">
      <w:pPr>
        <w:rPr>
          <w:lang w:val="de-DE"/>
        </w:rPr>
      </w:pPr>
    </w:p>
    <w:p w14:paraId="1EC9F41F" w14:textId="0338BD6A" w:rsidR="00BC16BF" w:rsidRPr="004676F5" w:rsidRDefault="00BC16BF" w:rsidP="00BC16BF">
      <w:pPr>
        <w:jc w:val="both"/>
        <w:rPr>
          <w:lang w:val="de-DE"/>
        </w:rPr>
      </w:pPr>
      <w:r w:rsidRPr="004676F5">
        <w:rPr>
          <w:lang w:val="de-DE"/>
        </w:rPr>
        <w:tab/>
        <w:t>[</w:t>
      </w:r>
      <w:r w:rsidRPr="004676F5">
        <w:rPr>
          <w:b/>
          <w:bCs/>
          <w:lang w:val="de-DE"/>
        </w:rPr>
        <w:t>Art. XV.31/2/1</w:t>
      </w:r>
      <w:r w:rsidRPr="004676F5">
        <w:rPr>
          <w:lang w:val="de-DE"/>
        </w:rPr>
        <w:t> </w:t>
      </w:r>
      <w:r w:rsidR="005B7A5C" w:rsidRPr="004676F5">
        <w:rPr>
          <w:lang w:val="de-DE"/>
        </w:rPr>
        <w:t>- </w:t>
      </w:r>
      <w:r w:rsidR="007748FE" w:rsidRPr="004676F5">
        <w:rPr>
          <w:lang w:val="de-DE"/>
        </w:rPr>
        <w:t xml:space="preserve">[Um schwerwiegende Schädigungen der Kollektivinteressen der Verbraucher </w:t>
      </w:r>
      <w:r w:rsidR="00B90A6A" w:rsidRPr="004676F5">
        <w:rPr>
          <w:lang w:val="de-DE"/>
        </w:rPr>
        <w:t xml:space="preserve">[und der Kollektivinteressen der Unternehmen] </w:t>
      </w:r>
      <w:r w:rsidR="007748FE" w:rsidRPr="004676F5">
        <w:rPr>
          <w:lang w:val="de-DE"/>
        </w:rPr>
        <w:t xml:space="preserve">zu verhindern, sind die in Artikel XV.2 erwähnten Bediensteten befugt, vorübergehend Identifizierungsdaten von Zuwiderhandelnden, die Praktiken anwenden, die die Verbraucher </w:t>
      </w:r>
      <w:r w:rsidR="00B90A6A" w:rsidRPr="004676F5">
        <w:rPr>
          <w:lang w:val="de-DE"/>
        </w:rPr>
        <w:t xml:space="preserve">[und/oder die Unternehmen] </w:t>
      </w:r>
      <w:r w:rsidR="007748FE" w:rsidRPr="004676F5">
        <w:rPr>
          <w:lang w:val="de-DE"/>
        </w:rPr>
        <w:t>schädigen, und Angaben zu den festgestellten Verstößen, den zugrunde liegenden Praktiken und den zur Begehung dieser Verstöße verwendeten Mitteln öffentlich bekannt zu geben. Adressen dürfen nur öffentlich bekannt gegeben werden, wenn der Zuwiderhandelnde dort nicht seinen Wohnsitz hat. Die Bekanntmachung erfolgt auf der Website des Föderalen Öffentlichen Dienstes Wirtschaft, KMB, Mittelstand und Energie, die für jeden Bürger zugänglich ist.]</w:t>
      </w:r>
    </w:p>
    <w:p w14:paraId="44A71670" w14:textId="77777777" w:rsidR="00BC16BF" w:rsidRPr="004676F5" w:rsidRDefault="00BC16BF" w:rsidP="00BC16BF">
      <w:pPr>
        <w:jc w:val="both"/>
        <w:rPr>
          <w:lang w:val="de-DE"/>
        </w:rPr>
      </w:pPr>
    </w:p>
    <w:p w14:paraId="5914A3F9" w14:textId="566E092B" w:rsidR="00BC16BF" w:rsidRPr="004676F5" w:rsidRDefault="00BC16BF" w:rsidP="00BC16BF">
      <w:pPr>
        <w:jc w:val="both"/>
        <w:rPr>
          <w:lang w:val="de-DE"/>
        </w:rPr>
      </w:pPr>
      <w:r w:rsidRPr="004676F5">
        <w:rPr>
          <w:lang w:val="de-DE"/>
        </w:rPr>
        <w:tab/>
        <w:t>Bevor die in Artikel XV.2 erwähnten Bediensteten eine öffentliche Bekanntmachung vornehmen können, müssen sie das Unternehmen</w:t>
      </w:r>
      <w:r w:rsidR="00B90A6A" w:rsidRPr="004676F5">
        <w:rPr>
          <w:lang w:val="de-DE"/>
        </w:rPr>
        <w:t>[, das schädliche Praktiken verwendet,]</w:t>
      </w:r>
      <w:r w:rsidRPr="004676F5">
        <w:rPr>
          <w:lang w:val="de-DE"/>
        </w:rPr>
        <w:t xml:space="preserve"> über die Taten, die den in Absatz 1 erwähnten Maßnahmen zugrunde liegen, über die Absicht, diese Maßnahmen zu ergreifen, und über die in den Absätzen 3 und 4 erwähnten Bestimmungen informieren.</w:t>
      </w:r>
    </w:p>
    <w:p w14:paraId="07E366C5" w14:textId="77777777" w:rsidR="00BC16BF" w:rsidRPr="004676F5" w:rsidRDefault="00BC16BF" w:rsidP="00BC16BF">
      <w:pPr>
        <w:jc w:val="both"/>
        <w:rPr>
          <w:lang w:val="de-DE"/>
        </w:rPr>
      </w:pPr>
    </w:p>
    <w:p w14:paraId="39EA48D7" w14:textId="773FEFFC" w:rsidR="00BC16BF" w:rsidRPr="004676F5" w:rsidRDefault="00BC16BF" w:rsidP="00BC16BF">
      <w:pPr>
        <w:jc w:val="both"/>
        <w:rPr>
          <w:lang w:val="de-DE"/>
        </w:rPr>
      </w:pPr>
      <w:r w:rsidRPr="004676F5">
        <w:rPr>
          <w:lang w:val="de-DE"/>
        </w:rPr>
        <w:tab/>
        <w:t xml:space="preserve">Die in Absatz 1 erwähnte öffentliche Bekanntmachung kann nur erfolgen, wenn innerhalb einer Frist von </w:t>
      </w:r>
      <w:r w:rsidR="00B90A6A" w:rsidRPr="004676F5">
        <w:rPr>
          <w:lang w:val="de-DE"/>
        </w:rPr>
        <w:t>[zwei Werktagen]</w:t>
      </w:r>
      <w:r w:rsidRPr="004676F5">
        <w:rPr>
          <w:lang w:val="de-DE"/>
        </w:rPr>
        <w:t xml:space="preserve"> keine Reaktion eingegangen ist, keine Kontaktaufnahme möglich ist, das Unternehmen keine Zusage macht, die schädigende Praxis einzustellen wie in Artikel XV.31/2 erwähnt, oder es auf keine andere Weise eine angemessene Begründung erteilt hat.</w:t>
      </w:r>
    </w:p>
    <w:p w14:paraId="6BF93F90" w14:textId="77777777" w:rsidR="00BC16BF" w:rsidRPr="004676F5" w:rsidRDefault="00BC16BF" w:rsidP="00BC16BF">
      <w:pPr>
        <w:jc w:val="both"/>
        <w:rPr>
          <w:lang w:val="de-DE"/>
        </w:rPr>
      </w:pPr>
    </w:p>
    <w:p w14:paraId="2A017A24" w14:textId="540860E3" w:rsidR="00BC16BF" w:rsidRPr="004676F5" w:rsidRDefault="00BC16BF" w:rsidP="00BC16BF">
      <w:pPr>
        <w:jc w:val="both"/>
        <w:rPr>
          <w:lang w:val="de-DE"/>
        </w:rPr>
      </w:pPr>
      <w:r w:rsidRPr="004676F5">
        <w:rPr>
          <w:lang w:val="de-DE"/>
        </w:rPr>
        <w:tab/>
        <w:t>Unbeschadet der Möglichkeit, die Zusage selbst öffentlich bekannt zu machen, wird die öffentliche Bekanntmachung zurückgezogen, sobald das Unternehmen den Nachweis erbringt, dass es den Verstoß gemäß seiner Zusage wie in Artikel XV.31/2 erwähnt eingestellt hat.]</w:t>
      </w:r>
    </w:p>
    <w:p w14:paraId="548ECC89" w14:textId="77777777" w:rsidR="00BC16BF" w:rsidRPr="004676F5" w:rsidRDefault="00BC16BF" w:rsidP="00BC16BF">
      <w:pPr>
        <w:jc w:val="both"/>
        <w:rPr>
          <w:lang w:val="de-DE"/>
        </w:rPr>
      </w:pPr>
    </w:p>
    <w:p w14:paraId="731650CB" w14:textId="3526C2FB" w:rsidR="00BC16BF" w:rsidRPr="004676F5" w:rsidRDefault="00BC16BF" w:rsidP="00BC16BF">
      <w:pPr>
        <w:jc w:val="both"/>
        <w:rPr>
          <w:i/>
          <w:iCs/>
          <w:lang w:val="de-DE"/>
        </w:rPr>
      </w:pPr>
      <w:r w:rsidRPr="004676F5">
        <w:rPr>
          <w:i/>
          <w:iCs/>
          <w:lang w:val="de-DE"/>
        </w:rPr>
        <w:t>[Art. </w:t>
      </w:r>
      <w:r w:rsidR="00EC5614" w:rsidRPr="004676F5">
        <w:rPr>
          <w:i/>
          <w:iCs/>
          <w:lang w:val="de-DE"/>
        </w:rPr>
        <w:t>XV.</w:t>
      </w:r>
      <w:r w:rsidRPr="004676F5">
        <w:rPr>
          <w:i/>
          <w:iCs/>
          <w:lang w:val="de-DE"/>
        </w:rPr>
        <w:t>31/2/1 eingefügt durch Art. 16</w:t>
      </w:r>
      <w:r w:rsidRPr="004676F5">
        <w:rPr>
          <w:bCs/>
          <w:i/>
          <w:iCs/>
          <w:lang w:val="de-DE"/>
        </w:rPr>
        <w:t xml:space="preserve"> des G. vom 29. September 2020 (B.S. vom 20. November 2020)</w:t>
      </w:r>
      <w:r w:rsidR="007748FE" w:rsidRPr="004676F5">
        <w:rPr>
          <w:bCs/>
          <w:i/>
          <w:iCs/>
          <w:lang w:val="de-DE"/>
        </w:rPr>
        <w:t>; Abs. 1 ersetzt durch Art. 51 des G. vom 5. November 2023</w:t>
      </w:r>
      <w:r w:rsidR="00857EC4" w:rsidRPr="004676F5">
        <w:rPr>
          <w:bCs/>
          <w:i/>
          <w:iCs/>
          <w:lang w:val="de-DE"/>
        </w:rPr>
        <w:t> (I)</w:t>
      </w:r>
      <w:r w:rsidR="007748FE" w:rsidRPr="004676F5">
        <w:rPr>
          <w:bCs/>
          <w:i/>
          <w:iCs/>
          <w:lang w:val="de-DE"/>
        </w:rPr>
        <w:t xml:space="preserve"> (B.S. vom 11. Dezember 2023)</w:t>
      </w:r>
      <w:r w:rsidR="00B90A6A" w:rsidRPr="004676F5">
        <w:rPr>
          <w:bCs/>
          <w:i/>
          <w:iCs/>
          <w:lang w:val="de-DE"/>
        </w:rPr>
        <w:t xml:space="preserve"> und </w:t>
      </w:r>
      <w:r w:rsidR="00E843F0" w:rsidRPr="004676F5">
        <w:rPr>
          <w:bCs/>
          <w:i/>
          <w:iCs/>
          <w:lang w:val="de-DE"/>
        </w:rPr>
        <w:t xml:space="preserve">abgeändert durch </w:t>
      </w:r>
      <w:r w:rsidR="00B90A6A" w:rsidRPr="004676F5">
        <w:rPr>
          <w:bCs/>
          <w:i/>
          <w:iCs/>
          <w:lang w:val="de-DE"/>
        </w:rPr>
        <w:t>Art. 46 Nr. 1 und 2 des G. vom 9. Februar 2024 (B.S. vom 21. März 2024); Abs. 2 abgeändert durch Art. 46 Nr. 3 des G. vom 9. Februar 2024 (B.S. vom 21. März 2024); Abs. 3 abgeändert durch Art. 46 Nr. 4 des G. vom 9. Februar 2024 (B.S. vom 21. März 2024)</w:t>
      </w:r>
      <w:r w:rsidRPr="004676F5">
        <w:rPr>
          <w:bCs/>
          <w:i/>
          <w:iCs/>
          <w:lang w:val="de-DE"/>
        </w:rPr>
        <w:t>]</w:t>
      </w:r>
    </w:p>
    <w:p w14:paraId="1EF8AF6A" w14:textId="77777777" w:rsidR="00BC16BF" w:rsidRPr="004676F5" w:rsidRDefault="00BC16BF">
      <w:pPr>
        <w:rPr>
          <w:lang w:val="de-DE"/>
        </w:rPr>
      </w:pPr>
      <w:r w:rsidRPr="004676F5">
        <w:rPr>
          <w:lang w:val="de-DE"/>
        </w:rPr>
        <w:br w:type="page"/>
      </w:r>
    </w:p>
    <w:p w14:paraId="0304E96F" w14:textId="0AB72216" w:rsidR="00EA5961" w:rsidRPr="004676F5" w:rsidRDefault="00EA5961" w:rsidP="00EA5961">
      <w:pPr>
        <w:jc w:val="center"/>
        <w:rPr>
          <w:lang w:val="de-DE"/>
        </w:rPr>
      </w:pPr>
      <w:r w:rsidRPr="004676F5">
        <w:rPr>
          <w:lang w:val="de-DE"/>
        </w:rPr>
        <w:lastRenderedPageBreak/>
        <w:t>[KAPITEL 3/1 </w:t>
      </w:r>
      <w:r w:rsidR="005B7A5C" w:rsidRPr="004676F5">
        <w:rPr>
          <w:lang w:val="de-DE"/>
        </w:rPr>
        <w:t>- </w:t>
      </w:r>
      <w:r w:rsidRPr="004676F5">
        <w:rPr>
          <w:i/>
          <w:lang w:val="de-DE"/>
        </w:rPr>
        <w:t>Mahn</w:t>
      </w:r>
      <w:r w:rsidR="005B7A5C" w:rsidRPr="004676F5">
        <w:rPr>
          <w:i/>
          <w:lang w:val="de-DE"/>
        </w:rPr>
        <w:t>- </w:t>
      </w:r>
      <w:r w:rsidRPr="004676F5">
        <w:rPr>
          <w:i/>
          <w:lang w:val="de-DE"/>
        </w:rPr>
        <w:t>und Zwangsgeldverfahren</w:t>
      </w:r>
      <w:r w:rsidRPr="004676F5">
        <w:rPr>
          <w:lang w:val="de-DE"/>
        </w:rPr>
        <w:t>]</w:t>
      </w:r>
    </w:p>
    <w:p w14:paraId="6E7C0969" w14:textId="77777777" w:rsidR="00EA5961" w:rsidRPr="004676F5" w:rsidRDefault="00EA5961" w:rsidP="00EA5961">
      <w:pPr>
        <w:jc w:val="center"/>
        <w:rPr>
          <w:lang w:val="de-DE"/>
        </w:rPr>
      </w:pPr>
    </w:p>
    <w:p w14:paraId="2781E2EE" w14:textId="186C08B9" w:rsidR="00EA5961" w:rsidRPr="004676F5" w:rsidRDefault="00EA5961" w:rsidP="00EA5961">
      <w:pPr>
        <w:jc w:val="both"/>
        <w:rPr>
          <w:i/>
          <w:lang w:val="de-DE"/>
        </w:rPr>
      </w:pPr>
      <w:r w:rsidRPr="004676F5">
        <w:rPr>
          <w:i/>
          <w:lang w:val="de-DE"/>
        </w:rPr>
        <w:t xml:space="preserve">[Unterteilung Kapitel 3/1 eingefügt durch </w:t>
      </w:r>
      <w:r w:rsidR="00BE0A56" w:rsidRPr="004676F5">
        <w:rPr>
          <w:i/>
          <w:lang w:val="de-DE"/>
        </w:rPr>
        <w:t>Art. </w:t>
      </w:r>
      <w:r w:rsidRPr="004676F5">
        <w:rPr>
          <w:i/>
          <w:lang w:val="de-DE"/>
        </w:rPr>
        <w:t>6 des G. vom 19. April 2014</w:t>
      </w:r>
      <w:r w:rsidR="004808C3" w:rsidRPr="004676F5">
        <w:rPr>
          <w:i/>
          <w:lang w:val="de-DE"/>
        </w:rPr>
        <w:t> (I)</w:t>
      </w:r>
      <w:r w:rsidRPr="004676F5">
        <w:rPr>
          <w:i/>
          <w:lang w:val="de-DE"/>
        </w:rPr>
        <w:t xml:space="preserve"> (B.S. vom 28. Mai 2014)]</w:t>
      </w:r>
    </w:p>
    <w:p w14:paraId="3CEB9083" w14:textId="77777777" w:rsidR="00EA5961" w:rsidRPr="004676F5" w:rsidRDefault="00EA5961" w:rsidP="00EA5961">
      <w:pPr>
        <w:jc w:val="both"/>
        <w:rPr>
          <w:lang w:val="de-DE"/>
        </w:rPr>
      </w:pPr>
    </w:p>
    <w:p w14:paraId="3413D971" w14:textId="77777777" w:rsidR="00EA5961" w:rsidRPr="004676F5" w:rsidRDefault="00EA5961" w:rsidP="00EA5961">
      <w:pPr>
        <w:jc w:val="both"/>
        <w:rPr>
          <w:lang w:val="de-DE"/>
        </w:rPr>
      </w:pPr>
    </w:p>
    <w:p w14:paraId="78899472" w14:textId="733D0E63" w:rsidR="00EA5961" w:rsidRPr="004676F5" w:rsidRDefault="00EA5961" w:rsidP="00EA5961">
      <w:pPr>
        <w:ind w:firstLine="708"/>
        <w:jc w:val="both"/>
        <w:rPr>
          <w:lang w:val="de-DE"/>
        </w:rPr>
      </w:pPr>
      <w:r w:rsidRPr="004676F5">
        <w:rPr>
          <w:lang w:val="de-DE"/>
        </w:rPr>
        <w:t>[</w:t>
      </w:r>
      <w:r w:rsidR="00BE0A56" w:rsidRPr="004676F5">
        <w:rPr>
          <w:b/>
          <w:lang w:val="de-DE"/>
        </w:rPr>
        <w:t>Art. </w:t>
      </w:r>
      <w:r w:rsidRPr="004676F5">
        <w:rPr>
          <w:b/>
          <w:lang w:val="de-DE"/>
        </w:rPr>
        <w:t>XV.31/3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Die FSMA kann einen Kreditgeber oder Kreditvermittler anweisen, den Bestimmungen </w:t>
      </w:r>
      <w:r w:rsidR="00D57AA5" w:rsidRPr="004676F5">
        <w:rPr>
          <w:lang w:val="de-DE"/>
        </w:rPr>
        <w:t xml:space="preserve">[von Buch VII Titel 4 Kapitel 4, Artikel VII.183 § 5 Nr. 4 ausgenommen,] </w:t>
      </w:r>
      <w:r w:rsidRPr="004676F5">
        <w:rPr>
          <w:lang w:val="de-DE"/>
        </w:rPr>
        <w:t>oder seiner Ausführungs</w:t>
      </w:r>
      <w:r w:rsidRPr="004676F5">
        <w:rPr>
          <w:lang w:val="de-DE"/>
        </w:rPr>
        <w:softHyphen/>
        <w:t>erlasse und Verordnungen innerhalb einer Frist, die die FSMA bestimmt, nachzukommen.</w:t>
      </w:r>
    </w:p>
    <w:p w14:paraId="5110D5CB" w14:textId="77777777" w:rsidR="00EA5961" w:rsidRPr="004676F5" w:rsidRDefault="00EA5961" w:rsidP="00EA5961">
      <w:pPr>
        <w:ind w:firstLine="708"/>
        <w:jc w:val="both"/>
        <w:rPr>
          <w:lang w:val="de-DE"/>
        </w:rPr>
      </w:pPr>
    </w:p>
    <w:p w14:paraId="0DE6BAAB" w14:textId="16A73A75" w:rsidR="00EA5961" w:rsidRPr="004676F5" w:rsidRDefault="00EA5961" w:rsidP="00EA5961">
      <w:pPr>
        <w:ind w:firstLine="708"/>
        <w:jc w:val="both"/>
        <w:rPr>
          <w:lang w:val="de-DE"/>
        </w:rPr>
      </w:pPr>
      <w:r w:rsidRPr="004676F5">
        <w:rPr>
          <w:lang w:val="de-DE"/>
        </w:rPr>
        <w:t>§ 2 </w:t>
      </w:r>
      <w:r w:rsidR="005B7A5C" w:rsidRPr="004676F5">
        <w:rPr>
          <w:lang w:val="de-DE"/>
        </w:rPr>
        <w:t>- </w:t>
      </w:r>
      <w:r w:rsidRPr="004676F5">
        <w:rPr>
          <w:lang w:val="de-DE"/>
        </w:rPr>
        <w:t>Wenn eine Person, die in Anwendung von § 1 eine Mahnung erhalten hat, dieser Mahnung bei Ablauf der bestimmten Frist nicht nachgekommen ist, kann die FSMA unbeschadet anderer durch vorliegendes Buch oder Buch VII Titel 4 Kapitel 4 vorgesehener Maßnahmen und sofern die betreffende Person ihre Verteidigungsmittel geltend machen konnte:</w:t>
      </w:r>
    </w:p>
    <w:p w14:paraId="6793F781" w14:textId="77777777" w:rsidR="00EA5961" w:rsidRPr="004676F5" w:rsidRDefault="00EA5961" w:rsidP="00EA5961">
      <w:pPr>
        <w:ind w:firstLine="708"/>
        <w:jc w:val="both"/>
        <w:rPr>
          <w:lang w:val="de-DE"/>
        </w:rPr>
      </w:pPr>
    </w:p>
    <w:p w14:paraId="328AF159" w14:textId="77777777" w:rsidR="00EA5961" w:rsidRPr="004676F5" w:rsidRDefault="00EA5961" w:rsidP="00EA5961">
      <w:pPr>
        <w:ind w:firstLine="708"/>
        <w:jc w:val="both"/>
        <w:rPr>
          <w:lang w:val="de-DE"/>
        </w:rPr>
      </w:pPr>
      <w:r w:rsidRPr="004676F5">
        <w:rPr>
          <w:lang w:val="de-DE"/>
        </w:rPr>
        <w:t>1. ihren Standpunkt zu betreffendem Verstoß oder betreffender Säumigkeit öffentlich bekanntmachen. Kosten dieser Bekanntmachung gehen zu Lasten des betreffenden Kreditgebers oder Kreditvermittlers,</w:t>
      </w:r>
    </w:p>
    <w:p w14:paraId="1759A2E0" w14:textId="77777777" w:rsidR="00EA5961" w:rsidRPr="004676F5" w:rsidRDefault="00EA5961" w:rsidP="00EA5961">
      <w:pPr>
        <w:ind w:firstLine="708"/>
        <w:jc w:val="both"/>
        <w:rPr>
          <w:lang w:val="de-DE"/>
        </w:rPr>
      </w:pPr>
    </w:p>
    <w:p w14:paraId="64CA200C" w14:textId="77777777" w:rsidR="00EA5961" w:rsidRPr="004676F5" w:rsidRDefault="00EA5961" w:rsidP="00EA5961">
      <w:pPr>
        <w:ind w:firstLine="708"/>
        <w:jc w:val="both"/>
        <w:rPr>
          <w:lang w:val="de-DE"/>
        </w:rPr>
      </w:pPr>
      <w:r w:rsidRPr="004676F5">
        <w:rPr>
          <w:lang w:val="de-DE"/>
        </w:rPr>
        <w:t>2. die Zahlung eines Zwangsgeldes auferlegen, das für Kreditgeber pro Verzugstag nicht über 5.000 EUR und insgesamt pro Verstoß nicht über 50.000 EUR und für Kreditvermittler pro Verzugstag nicht über 500 EUR und insgesamt nicht über 25.000 EUR liegen darf.</w:t>
      </w:r>
    </w:p>
    <w:p w14:paraId="393C60CC" w14:textId="77777777" w:rsidR="00EA5961" w:rsidRPr="004676F5" w:rsidRDefault="00EA5961" w:rsidP="00EA5961">
      <w:pPr>
        <w:ind w:firstLine="708"/>
        <w:jc w:val="both"/>
        <w:rPr>
          <w:lang w:val="de-DE"/>
        </w:rPr>
      </w:pPr>
    </w:p>
    <w:p w14:paraId="5C5A5649" w14:textId="778FC208" w:rsidR="00EA5961" w:rsidRPr="004676F5" w:rsidRDefault="00EA5961" w:rsidP="00EA5961">
      <w:pPr>
        <w:ind w:firstLine="708"/>
        <w:jc w:val="both"/>
        <w:rPr>
          <w:lang w:val="de-DE"/>
        </w:rPr>
      </w:pPr>
      <w:r w:rsidRPr="004676F5">
        <w:rPr>
          <w:lang w:val="de-DE"/>
        </w:rPr>
        <w:t xml:space="preserve">§ 3 </w:t>
      </w:r>
      <w:r w:rsidR="005B7A5C" w:rsidRPr="004676F5">
        <w:rPr>
          <w:lang w:val="de-DE"/>
        </w:rPr>
        <w:t>- </w:t>
      </w:r>
      <w:r w:rsidRPr="004676F5">
        <w:rPr>
          <w:lang w:val="de-DE"/>
        </w:rPr>
        <w:t>In dringenden Fällen kann die FSMA die in § 1 Nr. 2 erwähnte Maßnahme ohne vorhergehende Mahnung treffen, sofern die betreffende Person ihre Verteidigungsmittel geltend machen konnte.</w:t>
      </w:r>
    </w:p>
    <w:p w14:paraId="10AD291B" w14:textId="77777777" w:rsidR="00EA5961" w:rsidRPr="004676F5" w:rsidRDefault="00EA5961" w:rsidP="00EA5961">
      <w:pPr>
        <w:ind w:firstLine="708"/>
        <w:jc w:val="both"/>
        <w:rPr>
          <w:lang w:val="de-DE"/>
        </w:rPr>
      </w:pPr>
    </w:p>
    <w:p w14:paraId="5E0EAA94" w14:textId="79FB10F2" w:rsidR="00EA5961" w:rsidRPr="004676F5" w:rsidRDefault="007E11E1" w:rsidP="00EA5961">
      <w:pPr>
        <w:jc w:val="both"/>
        <w:rPr>
          <w:lang w:val="de-DE"/>
        </w:rPr>
      </w:pPr>
      <w:r w:rsidRPr="004676F5">
        <w:rPr>
          <w:lang w:val="de-DE"/>
        </w:rPr>
        <w:tab/>
      </w:r>
      <w:r w:rsidR="00EA5961" w:rsidRPr="004676F5">
        <w:rPr>
          <w:lang w:val="de-DE"/>
        </w:rPr>
        <w:t xml:space="preserve">§ 4 </w:t>
      </w:r>
      <w:r w:rsidR="005B7A5C" w:rsidRPr="004676F5">
        <w:rPr>
          <w:lang w:val="de-DE"/>
        </w:rPr>
        <w:t>- </w:t>
      </w:r>
      <w:r w:rsidR="00EA5961" w:rsidRPr="004676F5">
        <w:rPr>
          <w:lang w:val="de-DE"/>
        </w:rPr>
        <w:t>In Anwendung des vorliegenden Artikels auferlegte Zwangsgelder werden von der Kataster-, Registrierungs</w:t>
      </w:r>
      <w:r w:rsidR="005B7A5C" w:rsidRPr="004676F5">
        <w:rPr>
          <w:lang w:val="de-DE"/>
        </w:rPr>
        <w:t>- </w:t>
      </w:r>
      <w:r w:rsidR="00EA5961" w:rsidRPr="004676F5">
        <w:rPr>
          <w:lang w:val="de-DE"/>
        </w:rPr>
        <w:t>und Domänenverwaltung zugunsten der Staatskasse einge</w:t>
      </w:r>
      <w:r w:rsidR="00EA5961" w:rsidRPr="004676F5">
        <w:rPr>
          <w:lang w:val="de-DE"/>
        </w:rPr>
        <w:softHyphen/>
        <w:t>nommen.]</w:t>
      </w:r>
    </w:p>
    <w:p w14:paraId="73B2CB53" w14:textId="77777777" w:rsidR="007E11E1" w:rsidRPr="004676F5" w:rsidRDefault="007E11E1" w:rsidP="00EA5961">
      <w:pPr>
        <w:jc w:val="both"/>
        <w:rPr>
          <w:lang w:val="de-DE"/>
        </w:rPr>
      </w:pPr>
    </w:p>
    <w:p w14:paraId="2D2F2E02" w14:textId="7C0E1F57" w:rsidR="007E11E1" w:rsidRPr="004676F5" w:rsidRDefault="007E11E1" w:rsidP="00EA5961">
      <w:pPr>
        <w:jc w:val="both"/>
        <w:rPr>
          <w:i/>
          <w:lang w:val="de-DE"/>
        </w:rPr>
      </w:pPr>
      <w:r w:rsidRPr="004676F5">
        <w:rPr>
          <w:i/>
          <w:lang w:val="de-DE"/>
        </w:rPr>
        <w:t>[</w:t>
      </w:r>
      <w:r w:rsidR="00BE0A56" w:rsidRPr="004676F5">
        <w:rPr>
          <w:i/>
          <w:lang w:val="de-DE"/>
        </w:rPr>
        <w:t>Art. </w:t>
      </w:r>
      <w:r w:rsidRPr="004676F5">
        <w:rPr>
          <w:i/>
          <w:lang w:val="de-DE"/>
        </w:rPr>
        <w:t xml:space="preserve">XV.31/3 eingefügt durch </w:t>
      </w:r>
      <w:r w:rsidR="00BE0A56" w:rsidRPr="004676F5">
        <w:rPr>
          <w:i/>
          <w:lang w:val="de-DE"/>
        </w:rPr>
        <w:t>Art. </w:t>
      </w:r>
      <w:r w:rsidRPr="004676F5">
        <w:rPr>
          <w:i/>
          <w:lang w:val="de-DE"/>
        </w:rPr>
        <w:t>7 des G. vom 19. April 2014</w:t>
      </w:r>
      <w:r w:rsidR="004808C3" w:rsidRPr="004676F5">
        <w:rPr>
          <w:i/>
          <w:lang w:val="de-DE"/>
        </w:rPr>
        <w:t> (I)</w:t>
      </w:r>
      <w:r w:rsidRPr="004676F5">
        <w:rPr>
          <w:i/>
          <w:lang w:val="de-DE"/>
        </w:rPr>
        <w:t xml:space="preserve"> (B.S. vom 28. Mai 2014)</w:t>
      </w:r>
      <w:r w:rsidR="00D57AA5" w:rsidRPr="004676F5">
        <w:rPr>
          <w:i/>
          <w:lang w:val="de-DE"/>
        </w:rPr>
        <w:t>; § 1 abgeändert durch Art. 32 des G. vom 30. Juli 2018 (II) (B.S. vom 5. September 2018)</w:t>
      </w:r>
      <w:r w:rsidRPr="004676F5">
        <w:rPr>
          <w:i/>
          <w:lang w:val="de-DE"/>
        </w:rPr>
        <w:t>]</w:t>
      </w:r>
    </w:p>
    <w:p w14:paraId="0604CA23" w14:textId="77777777" w:rsidR="00EA5961" w:rsidRPr="004676F5" w:rsidRDefault="00EA5961">
      <w:pPr>
        <w:rPr>
          <w:lang w:val="de-DE"/>
        </w:rPr>
      </w:pPr>
    </w:p>
    <w:p w14:paraId="00CB582A" w14:textId="77777777" w:rsidR="00EA5961" w:rsidRPr="004676F5" w:rsidRDefault="00EA5961">
      <w:pPr>
        <w:rPr>
          <w:lang w:val="de-DE"/>
        </w:rPr>
      </w:pPr>
    </w:p>
    <w:p w14:paraId="1402069F" w14:textId="77777777" w:rsidR="00C76F75" w:rsidRPr="004676F5" w:rsidRDefault="00C76F75">
      <w:pPr>
        <w:rPr>
          <w:lang w:val="de-DE"/>
        </w:rPr>
      </w:pPr>
      <w:r w:rsidRPr="004676F5">
        <w:rPr>
          <w:lang w:val="de-DE"/>
        </w:rPr>
        <w:br w:type="page"/>
      </w:r>
    </w:p>
    <w:p w14:paraId="2CC4C08E" w14:textId="598C1C46" w:rsidR="00BA2266" w:rsidRPr="004676F5" w:rsidRDefault="00BA2266" w:rsidP="00BA2266">
      <w:pPr>
        <w:jc w:val="center"/>
        <w:rPr>
          <w:lang w:val="de-DE"/>
        </w:rPr>
      </w:pPr>
      <w:r w:rsidRPr="004676F5">
        <w:rPr>
          <w:lang w:val="de-DE"/>
        </w:rPr>
        <w:lastRenderedPageBreak/>
        <w:t>KAPITEL 4 </w:t>
      </w:r>
      <w:r w:rsidR="005B7A5C" w:rsidRPr="004676F5">
        <w:rPr>
          <w:lang w:val="de-DE"/>
        </w:rPr>
        <w:t>- </w:t>
      </w:r>
      <w:r w:rsidRPr="004676F5">
        <w:rPr>
          <w:i/>
          <w:lang w:val="de-DE"/>
        </w:rPr>
        <w:t>Koordinierung und Weiterverfolgung zwischen verschiedenen Behörden</w:t>
      </w:r>
    </w:p>
    <w:p w14:paraId="131BCECF" w14:textId="77777777" w:rsidR="00BA2266" w:rsidRPr="004676F5" w:rsidRDefault="00BA2266" w:rsidP="00BA2266">
      <w:pPr>
        <w:jc w:val="both"/>
        <w:rPr>
          <w:lang w:val="de-DE"/>
        </w:rPr>
      </w:pPr>
    </w:p>
    <w:p w14:paraId="2CD99469" w14:textId="77777777" w:rsidR="00664554" w:rsidRPr="004676F5" w:rsidRDefault="00664554" w:rsidP="00BA2266">
      <w:pPr>
        <w:jc w:val="center"/>
        <w:rPr>
          <w:i/>
          <w:lang w:val="de-DE"/>
        </w:rPr>
      </w:pPr>
    </w:p>
    <w:p w14:paraId="321F3AA1" w14:textId="0CF8E1F1" w:rsidR="00BA2266" w:rsidRPr="004676F5" w:rsidRDefault="00BA2266" w:rsidP="00BA2266">
      <w:pPr>
        <w:jc w:val="center"/>
        <w:rPr>
          <w:lang w:val="de-DE"/>
        </w:rPr>
      </w:pPr>
      <w:r w:rsidRPr="004676F5">
        <w:rPr>
          <w:i/>
          <w:lang w:val="de-DE"/>
        </w:rPr>
        <w:t>Abschnitt 1 </w:t>
      </w:r>
      <w:r w:rsidR="005B7A5C" w:rsidRPr="004676F5">
        <w:rPr>
          <w:i/>
          <w:lang w:val="de-DE"/>
        </w:rPr>
        <w:t>- </w:t>
      </w:r>
      <w:r w:rsidRPr="004676F5">
        <w:rPr>
          <w:lang w:val="de-DE"/>
        </w:rPr>
        <w:t>Allgemeines</w:t>
      </w:r>
    </w:p>
    <w:p w14:paraId="7318F057" w14:textId="77777777" w:rsidR="00BA2266" w:rsidRPr="004676F5" w:rsidRDefault="00BA2266" w:rsidP="00BA2266">
      <w:pPr>
        <w:jc w:val="both"/>
        <w:rPr>
          <w:lang w:val="de-DE"/>
        </w:rPr>
      </w:pPr>
    </w:p>
    <w:p w14:paraId="1EC9247E" w14:textId="77777777" w:rsidR="00664554" w:rsidRPr="004676F5" w:rsidRDefault="00664554" w:rsidP="00BA2266">
      <w:pPr>
        <w:jc w:val="both"/>
        <w:rPr>
          <w:lang w:val="de-DE"/>
        </w:rPr>
      </w:pPr>
    </w:p>
    <w:p w14:paraId="2589C0C7" w14:textId="36ED6EA2" w:rsidR="00BA2266" w:rsidRPr="004676F5" w:rsidRDefault="00BE0A56" w:rsidP="00BA2266">
      <w:pPr>
        <w:ind w:firstLine="708"/>
        <w:jc w:val="both"/>
        <w:rPr>
          <w:lang w:val="de-DE"/>
        </w:rPr>
      </w:pPr>
      <w:r w:rsidRPr="004676F5">
        <w:rPr>
          <w:b/>
          <w:lang w:val="de-DE"/>
        </w:rPr>
        <w:t>Art. </w:t>
      </w:r>
      <w:r w:rsidR="00BA2266" w:rsidRPr="004676F5">
        <w:rPr>
          <w:b/>
          <w:lang w:val="de-DE"/>
        </w:rPr>
        <w:t>XV.32</w:t>
      </w:r>
      <w:r w:rsidR="00BA2266" w:rsidRPr="004676F5">
        <w:rPr>
          <w:lang w:val="de-DE"/>
        </w:rPr>
        <w:t> </w:t>
      </w:r>
      <w:r w:rsidR="005B7A5C" w:rsidRPr="004676F5">
        <w:rPr>
          <w:lang w:val="de-DE"/>
        </w:rPr>
        <w:t>- </w:t>
      </w:r>
      <w:r w:rsidR="00BA2266" w:rsidRPr="004676F5">
        <w:rPr>
          <w:lang w:val="de-DE"/>
        </w:rPr>
        <w:t>In Artikel XV.2 erwähnte Bedienstete können alle staatlichen Dienste, darin einbegriffen die Staatsanwaltschaften und die Kanzleien aller Rechtsprechungsorgane, alle Dienste der Gemeinschaften, Regionen, Provinzen, Agglomerationen, Gemeinde</w:t>
      </w:r>
      <w:r w:rsidR="00BA2266" w:rsidRPr="004676F5">
        <w:rPr>
          <w:lang w:val="de-DE"/>
        </w:rPr>
        <w:softHyphen/>
        <w:t xml:space="preserve">föderationen, der Polizeizonen, der Gemeinden und der Verbände, denen sie angehören, und der öffentlichen Einrichtungen, die ihnen unterstehen, bitten, </w:t>
      </w:r>
      <w:r w:rsidR="007748FE" w:rsidRPr="004676F5">
        <w:rPr>
          <w:lang w:val="de-DE"/>
        </w:rPr>
        <w:t>[alle für die Ausführung ihrer Aufträge erforderlichen Informationen und Unterlagen zu sammeln]</w:t>
      </w:r>
      <w:r w:rsidR="00BA2266" w:rsidRPr="004676F5">
        <w:rPr>
          <w:lang w:val="de-DE"/>
        </w:rPr>
        <w:t>.</w:t>
      </w:r>
    </w:p>
    <w:p w14:paraId="30B56551" w14:textId="77777777" w:rsidR="00BA2266" w:rsidRPr="004676F5" w:rsidRDefault="00BA2266" w:rsidP="00BA2266">
      <w:pPr>
        <w:jc w:val="both"/>
        <w:rPr>
          <w:lang w:val="de-DE"/>
        </w:rPr>
      </w:pPr>
    </w:p>
    <w:p w14:paraId="39FC91CB" w14:textId="77777777" w:rsidR="00BA2266" w:rsidRPr="004676F5" w:rsidRDefault="00BA2266" w:rsidP="00BA2266">
      <w:pPr>
        <w:ind w:firstLine="708"/>
        <w:jc w:val="both"/>
        <w:rPr>
          <w:lang w:val="de-DE"/>
        </w:rPr>
      </w:pPr>
      <w:r w:rsidRPr="004676F5">
        <w:rPr>
          <w:lang w:val="de-DE"/>
        </w:rPr>
        <w:t>Alle in Absatz 1 erwähnten Dienste, mit Ausnahme der Dienste der Gemeinschaften und Regionen, geben den in Artikel XV.2 erwähnten Bediensteten an Ort und Stelle diese Informationen und Unterlagen; Informationen und Unterlagen über Ermittlungen oder gerichtliche Untersuchungen können jedoch nur mit der ausdrücklichen Erlaubnis des zuständigen Generalprokurators oder des Föderalprokurators mitgeteilt werden.</w:t>
      </w:r>
    </w:p>
    <w:p w14:paraId="2971E985" w14:textId="77777777" w:rsidR="00BA2266" w:rsidRPr="004676F5" w:rsidRDefault="00BA2266" w:rsidP="00BA2266">
      <w:pPr>
        <w:jc w:val="both"/>
        <w:rPr>
          <w:lang w:val="de-DE"/>
        </w:rPr>
      </w:pPr>
    </w:p>
    <w:p w14:paraId="75F72220" w14:textId="73E21C1F" w:rsidR="007748FE" w:rsidRPr="004676F5" w:rsidRDefault="007748FE" w:rsidP="00BA2266">
      <w:pPr>
        <w:jc w:val="both"/>
        <w:rPr>
          <w:i/>
          <w:iCs/>
          <w:lang w:val="de-DE"/>
        </w:rPr>
      </w:pPr>
      <w:r w:rsidRPr="004676F5">
        <w:rPr>
          <w:i/>
          <w:iCs/>
          <w:lang w:val="de-DE"/>
        </w:rPr>
        <w:t>[Art. XV.32 Abs. 1 abgeändert durch Art. 52 Nr. 2 des G. vom 5. November 2023</w:t>
      </w:r>
      <w:r w:rsidR="00857EC4" w:rsidRPr="004676F5">
        <w:rPr>
          <w:i/>
          <w:iCs/>
          <w:lang w:val="de-DE"/>
        </w:rPr>
        <w:t> (I)</w:t>
      </w:r>
      <w:r w:rsidRPr="004676F5">
        <w:rPr>
          <w:i/>
          <w:iCs/>
          <w:lang w:val="de-DE"/>
        </w:rPr>
        <w:t xml:space="preserve"> (B.S. vom 11. Dezember 2023)]</w:t>
      </w:r>
    </w:p>
    <w:p w14:paraId="25F5B4BA" w14:textId="77777777" w:rsidR="007748FE" w:rsidRPr="004676F5" w:rsidRDefault="007748FE" w:rsidP="00BA2266">
      <w:pPr>
        <w:jc w:val="both"/>
        <w:rPr>
          <w:i/>
          <w:iCs/>
          <w:lang w:val="de-DE"/>
        </w:rPr>
      </w:pPr>
    </w:p>
    <w:p w14:paraId="121865D1" w14:textId="77777777" w:rsidR="00664554" w:rsidRPr="004676F5" w:rsidRDefault="00664554" w:rsidP="00BA2266">
      <w:pPr>
        <w:ind w:firstLine="708"/>
        <w:jc w:val="both"/>
        <w:rPr>
          <w:lang w:val="de-DE"/>
        </w:rPr>
      </w:pPr>
    </w:p>
    <w:p w14:paraId="4D06B5E0" w14:textId="41E506AD" w:rsidR="00BA2266" w:rsidRPr="004676F5" w:rsidRDefault="00BE0A56" w:rsidP="00BA2266">
      <w:pPr>
        <w:ind w:firstLine="708"/>
        <w:jc w:val="both"/>
        <w:rPr>
          <w:lang w:val="de-DE"/>
        </w:rPr>
      </w:pPr>
      <w:r w:rsidRPr="004676F5">
        <w:rPr>
          <w:b/>
          <w:lang w:val="de-DE"/>
        </w:rPr>
        <w:t>Art. </w:t>
      </w:r>
      <w:r w:rsidR="00BA2266" w:rsidRPr="004676F5">
        <w:rPr>
          <w:b/>
          <w:lang w:val="de-DE"/>
        </w:rPr>
        <w:t>XV.33</w:t>
      </w:r>
      <w:r w:rsidR="00BA2266" w:rsidRPr="004676F5">
        <w:rPr>
          <w:lang w:val="de-DE"/>
        </w:rPr>
        <w:t> </w:t>
      </w:r>
      <w:r w:rsidR="005B7A5C" w:rsidRPr="004676F5">
        <w:rPr>
          <w:lang w:val="de-DE"/>
        </w:rPr>
        <w:t>- </w:t>
      </w:r>
      <w:r w:rsidR="00BA2266" w:rsidRPr="004676F5">
        <w:rPr>
          <w:lang w:val="de-DE"/>
        </w:rPr>
        <w:t>In Artikel XV.2 erwähnte Bedienstete können die Unterstützung von Polizeibeamten der lokalen und föderalen Polizei, gerichtlichen Sachverständigen oder Sachverständigen, die in spezifischen Bereichen vom Minister anerkannt sind, anfordern, entweder um die Ausführung der von den Behörden vorgeschriebenen Maßnahmen zu gewährleisten oder zu kontrollieren oder um Art und Umstände eines Verstoßes zu beurteilen.</w:t>
      </w:r>
    </w:p>
    <w:p w14:paraId="157C3FFF" w14:textId="77777777" w:rsidR="00BA2266" w:rsidRPr="004676F5" w:rsidRDefault="00BA2266" w:rsidP="00BA2266">
      <w:pPr>
        <w:jc w:val="both"/>
        <w:rPr>
          <w:lang w:val="de-DE"/>
        </w:rPr>
      </w:pPr>
    </w:p>
    <w:p w14:paraId="5AAFE982" w14:textId="0767C406" w:rsidR="00BA2266" w:rsidRPr="004676F5" w:rsidRDefault="00BA2266" w:rsidP="00BA2266">
      <w:pPr>
        <w:ind w:firstLine="708"/>
        <w:jc w:val="both"/>
        <w:rPr>
          <w:lang w:val="de-DE"/>
        </w:rPr>
      </w:pPr>
      <w:r w:rsidRPr="004676F5">
        <w:rPr>
          <w:lang w:val="de-DE"/>
        </w:rPr>
        <w:t>Bedienstete der Verwaltung des Steuerwesens für Unternehmen und Einkünfte, der Katasterverwaltung, der Registrierungs</w:t>
      </w:r>
      <w:r w:rsidR="005B7A5C" w:rsidRPr="004676F5">
        <w:rPr>
          <w:lang w:val="de-DE"/>
        </w:rPr>
        <w:t>- </w:t>
      </w:r>
      <w:r w:rsidRPr="004676F5">
        <w:rPr>
          <w:lang w:val="de-DE"/>
        </w:rPr>
        <w:t>und Domänenverwaltung, der Verwaltung der Sonderinspektion der Steuern und die in Artikel 17 des Sozialstrafgesetzbuches erwähnten Sozialinspektoren sind befugt, in Artikel XV.2 erwähnte Bedienstete im Rahmen ihrer Besuche zu begleiten, um Verstöße gegen Gesetze und Verordnungen in Bereichen, die in ihre Zuständigkeit fallen, festzustellen und gegebenenfalls ein Protokoll darüber zu erstellen.</w:t>
      </w:r>
    </w:p>
    <w:p w14:paraId="299E1232" w14:textId="77777777" w:rsidR="007E11E1" w:rsidRPr="004676F5" w:rsidRDefault="007E11E1" w:rsidP="00BA2266">
      <w:pPr>
        <w:ind w:firstLine="708"/>
        <w:jc w:val="both"/>
        <w:rPr>
          <w:lang w:val="de-DE"/>
        </w:rPr>
      </w:pPr>
    </w:p>
    <w:p w14:paraId="302CC635" w14:textId="77777777" w:rsidR="007E11E1" w:rsidRPr="004676F5" w:rsidRDefault="007E11E1" w:rsidP="00BA2266">
      <w:pPr>
        <w:ind w:firstLine="708"/>
        <w:jc w:val="both"/>
        <w:rPr>
          <w:lang w:val="de-DE"/>
        </w:rPr>
      </w:pPr>
      <w:r w:rsidRPr="004676F5">
        <w:rPr>
          <w:lang w:val="de-DE"/>
        </w:rPr>
        <w:t>[In Artikel XV.2 erwähnte Bedienstete und die Belgische Nationalbank und/oder die FSMA können in gegenseitigem Einvernehmen praktische Modalitäten der Zusammenarbeit auf Gebieten, die sie festlegen und die in ihre Befugnisse fallen, vereinbaren.]</w:t>
      </w:r>
    </w:p>
    <w:p w14:paraId="40BCA204" w14:textId="77777777" w:rsidR="007E11E1" w:rsidRPr="004676F5" w:rsidRDefault="007E11E1" w:rsidP="00BA2266">
      <w:pPr>
        <w:ind w:firstLine="708"/>
        <w:jc w:val="both"/>
        <w:rPr>
          <w:lang w:val="de-DE"/>
        </w:rPr>
      </w:pPr>
    </w:p>
    <w:p w14:paraId="1FA0473A" w14:textId="474F0DFF" w:rsidR="007E11E1" w:rsidRPr="004676F5" w:rsidRDefault="007E11E1" w:rsidP="007E11E1">
      <w:pPr>
        <w:jc w:val="both"/>
        <w:rPr>
          <w:i/>
          <w:lang w:val="de-DE"/>
        </w:rPr>
      </w:pPr>
      <w:r w:rsidRPr="004676F5">
        <w:rPr>
          <w:i/>
          <w:lang w:val="de-DE"/>
        </w:rPr>
        <w:t>[</w:t>
      </w:r>
      <w:r w:rsidR="00BE0A56" w:rsidRPr="004676F5">
        <w:rPr>
          <w:i/>
          <w:lang w:val="de-DE"/>
        </w:rPr>
        <w:t>Art. </w:t>
      </w:r>
      <w:r w:rsidRPr="004676F5">
        <w:rPr>
          <w:i/>
          <w:lang w:val="de-DE"/>
        </w:rPr>
        <w:t xml:space="preserve">XV.33 Abs. 3 eingefügt durch </w:t>
      </w:r>
      <w:r w:rsidR="00BE0A56" w:rsidRPr="004676F5">
        <w:rPr>
          <w:i/>
          <w:lang w:val="de-DE"/>
        </w:rPr>
        <w:t>Art. </w:t>
      </w:r>
      <w:r w:rsidRPr="004676F5">
        <w:rPr>
          <w:i/>
          <w:lang w:val="de-DE"/>
        </w:rPr>
        <w:t>8 des G. vom 19. April 2014</w:t>
      </w:r>
      <w:r w:rsidR="004808C3" w:rsidRPr="004676F5">
        <w:rPr>
          <w:i/>
          <w:lang w:val="de-DE"/>
        </w:rPr>
        <w:t> (I)</w:t>
      </w:r>
      <w:r w:rsidRPr="004676F5">
        <w:rPr>
          <w:i/>
          <w:lang w:val="de-DE"/>
        </w:rPr>
        <w:t xml:space="preserve"> (B.S. vom 28. Mai 2014)]</w:t>
      </w:r>
    </w:p>
    <w:p w14:paraId="62D93264" w14:textId="77777777" w:rsidR="00BA2266" w:rsidRPr="004676F5" w:rsidRDefault="00BA2266" w:rsidP="00BA2266">
      <w:pPr>
        <w:rPr>
          <w:lang w:val="de-DE"/>
        </w:rPr>
      </w:pPr>
    </w:p>
    <w:p w14:paraId="416F1A9E" w14:textId="77777777" w:rsidR="00664554" w:rsidRPr="004676F5" w:rsidRDefault="00664554" w:rsidP="00BA2266">
      <w:pPr>
        <w:rPr>
          <w:lang w:val="de-DE"/>
        </w:rPr>
      </w:pPr>
    </w:p>
    <w:p w14:paraId="5E5CF5A4" w14:textId="1E271E9E" w:rsidR="00BA2266" w:rsidRPr="004676F5" w:rsidRDefault="00BE0A56" w:rsidP="00BA2266">
      <w:pPr>
        <w:ind w:firstLine="708"/>
        <w:jc w:val="both"/>
        <w:rPr>
          <w:lang w:val="de-DE"/>
        </w:rPr>
      </w:pPr>
      <w:r w:rsidRPr="004676F5">
        <w:rPr>
          <w:b/>
          <w:lang w:val="de-DE"/>
        </w:rPr>
        <w:t>Art. </w:t>
      </w:r>
      <w:r w:rsidR="00BA2266" w:rsidRPr="004676F5">
        <w:rPr>
          <w:b/>
          <w:lang w:val="de-DE"/>
        </w:rPr>
        <w:t>XV.34</w:t>
      </w:r>
      <w:r w:rsidR="00BA2266" w:rsidRPr="004676F5">
        <w:rPr>
          <w:lang w:val="de-DE"/>
        </w:rPr>
        <w:t> </w:t>
      </w:r>
      <w:r w:rsidR="005B7A5C" w:rsidRPr="004676F5">
        <w:rPr>
          <w:lang w:val="de-DE"/>
        </w:rPr>
        <w:t>- </w:t>
      </w:r>
      <w:r w:rsidR="00BA2266" w:rsidRPr="004676F5">
        <w:rPr>
          <w:lang w:val="de-DE"/>
        </w:rPr>
        <w:t>Vorbehaltlich der gesetzlich festgelegten Ausnahmefälle sind Auskünfte, die ungeachtet ihrer Form in Anwendung des vorliegenden Kapitels erhalten oder mitgeteilt werden, vertraulicher Art.</w:t>
      </w:r>
    </w:p>
    <w:p w14:paraId="2F48710A" w14:textId="77777777" w:rsidR="00BA2266" w:rsidRPr="004676F5" w:rsidRDefault="00BA2266" w:rsidP="00BA2266">
      <w:pPr>
        <w:jc w:val="both"/>
        <w:rPr>
          <w:lang w:val="de-DE"/>
        </w:rPr>
      </w:pPr>
    </w:p>
    <w:p w14:paraId="09256C05" w14:textId="77777777" w:rsidR="00333F19" w:rsidRPr="004676F5" w:rsidRDefault="00BA2266" w:rsidP="00C76F75">
      <w:pPr>
        <w:ind w:firstLine="708"/>
        <w:jc w:val="both"/>
        <w:rPr>
          <w:lang w:val="de-DE"/>
        </w:rPr>
      </w:pPr>
      <w:r w:rsidRPr="004676F5">
        <w:rPr>
          <w:lang w:val="de-DE"/>
        </w:rPr>
        <w:t xml:space="preserve">Vorbehaltlich der gesetzlich festgelegten Ausnahmefälle dürfen die in diesem Kapitel erwähnten Auskünfte nicht zu anderen Zwecken als die des vorliegenden Buches verwendet </w:t>
      </w:r>
      <w:r w:rsidRPr="004676F5">
        <w:rPr>
          <w:lang w:val="de-DE"/>
        </w:rPr>
        <w:lastRenderedPageBreak/>
        <w:t>werden. Die zuständigen Behörden dürfen in ihren Protokollen, Berichten und Zeugen</w:t>
      </w:r>
      <w:r w:rsidRPr="004676F5">
        <w:rPr>
          <w:lang w:val="de-DE"/>
        </w:rPr>
        <w:softHyphen/>
        <w:t>aussagen und während Verfahren vor Gerichtshöfen und Gerichten gemäß den Bestimmungen des vorliegenden Kapitels gesammelte Auskünfte und eingesehene oder beschlagnahmte Dokumente als Beweis anführen.</w:t>
      </w:r>
    </w:p>
    <w:p w14:paraId="7BADB80E" w14:textId="77777777" w:rsidR="00C76F75" w:rsidRPr="004676F5" w:rsidRDefault="00C76F75" w:rsidP="00C76F75">
      <w:pPr>
        <w:ind w:firstLine="708"/>
        <w:jc w:val="both"/>
        <w:rPr>
          <w:lang w:val="de-DE"/>
        </w:rPr>
      </w:pPr>
    </w:p>
    <w:p w14:paraId="527AF2C9" w14:textId="77777777" w:rsidR="00C76F75" w:rsidRPr="004676F5" w:rsidRDefault="00C76F75" w:rsidP="00C76F75">
      <w:pPr>
        <w:ind w:firstLine="708"/>
        <w:jc w:val="both"/>
        <w:rPr>
          <w:lang w:val="de-DE"/>
        </w:rPr>
      </w:pPr>
    </w:p>
    <w:p w14:paraId="51C0F30B" w14:textId="4E5C4738" w:rsidR="00D17371" w:rsidRPr="004676F5" w:rsidRDefault="00D17371" w:rsidP="00D17371">
      <w:pPr>
        <w:jc w:val="center"/>
        <w:rPr>
          <w:lang w:val="de-DE"/>
        </w:rPr>
      </w:pPr>
      <w:r w:rsidRPr="004676F5">
        <w:rPr>
          <w:lang w:val="de-DE"/>
        </w:rPr>
        <w:t>[</w:t>
      </w:r>
      <w:r w:rsidRPr="004676F5">
        <w:rPr>
          <w:i/>
          <w:lang w:val="de-DE"/>
        </w:rPr>
        <w:t>Abschnitt 2</w:t>
      </w:r>
      <w:r w:rsidRPr="004676F5">
        <w:rPr>
          <w:lang w:val="de-DE"/>
        </w:rPr>
        <w:t> </w:t>
      </w:r>
      <w:r w:rsidR="005B7A5C" w:rsidRPr="004676F5">
        <w:rPr>
          <w:lang w:val="de-DE"/>
        </w:rPr>
        <w:t>- </w:t>
      </w:r>
      <w:r w:rsidRPr="004676F5">
        <w:rPr>
          <w:lang w:val="de-DE"/>
        </w:rPr>
        <w:t>Koordinierung und Weiterverfolgung der Schritte</w:t>
      </w:r>
    </w:p>
    <w:p w14:paraId="7238C7A8" w14:textId="77777777" w:rsidR="00D17371" w:rsidRPr="004676F5" w:rsidRDefault="00D17371" w:rsidP="00D17371">
      <w:pPr>
        <w:jc w:val="center"/>
        <w:rPr>
          <w:lang w:val="de-DE"/>
        </w:rPr>
      </w:pPr>
      <w:r w:rsidRPr="004676F5">
        <w:rPr>
          <w:lang w:val="de-DE"/>
        </w:rPr>
        <w:t>im Rahmen von Buch III Titel 1</w:t>
      </w:r>
    </w:p>
    <w:p w14:paraId="07506FFF" w14:textId="77777777" w:rsidR="00D233B8" w:rsidRPr="004676F5" w:rsidRDefault="00D233B8" w:rsidP="00D17371">
      <w:pPr>
        <w:jc w:val="center"/>
        <w:rPr>
          <w:lang w:val="de-DE"/>
        </w:rPr>
      </w:pPr>
    </w:p>
    <w:p w14:paraId="33E535C5" w14:textId="7A2C0FFE" w:rsidR="00D233B8" w:rsidRPr="004676F5" w:rsidRDefault="00D233B8" w:rsidP="00D233B8">
      <w:pPr>
        <w:jc w:val="both"/>
        <w:rPr>
          <w:i/>
          <w:lang w:val="de-DE"/>
        </w:rPr>
      </w:pPr>
      <w:r w:rsidRPr="004676F5">
        <w:rPr>
          <w:i/>
          <w:lang w:val="de-DE"/>
        </w:rPr>
        <w:t xml:space="preserve">[Abschnitt 2 mit </w:t>
      </w:r>
      <w:r w:rsidR="00E57E9E" w:rsidRPr="004676F5">
        <w:rPr>
          <w:i/>
          <w:lang w:val="de-DE"/>
        </w:rPr>
        <w:t xml:space="preserve">den Unterabschnitten 1 bis 3 und </w:t>
      </w:r>
      <w:r w:rsidRPr="004676F5">
        <w:rPr>
          <w:i/>
          <w:lang w:val="de-DE"/>
        </w:rPr>
        <w:t xml:space="preserve">den Artikeln XV.35 bis XV.57 eingefügt durch </w:t>
      </w:r>
      <w:r w:rsidR="00BE0A56" w:rsidRPr="004676F5">
        <w:rPr>
          <w:i/>
          <w:lang w:val="de-DE"/>
        </w:rPr>
        <w:t>Art. </w:t>
      </w:r>
      <w:r w:rsidRPr="004676F5">
        <w:rPr>
          <w:i/>
          <w:lang w:val="de-DE"/>
        </w:rPr>
        <w:t>2 des G. vom 17. Juli 2013 (B.S. vom 14. August 2013)]</w:t>
      </w:r>
    </w:p>
    <w:p w14:paraId="7B4C9FE1" w14:textId="77777777" w:rsidR="00D233B8" w:rsidRPr="004676F5" w:rsidRDefault="00D233B8" w:rsidP="00D233B8">
      <w:pPr>
        <w:jc w:val="both"/>
        <w:rPr>
          <w:i/>
          <w:lang w:val="de-DE"/>
        </w:rPr>
      </w:pPr>
    </w:p>
    <w:p w14:paraId="459E685C" w14:textId="77777777" w:rsidR="00D233B8" w:rsidRPr="004676F5" w:rsidRDefault="00D233B8" w:rsidP="00D233B8">
      <w:pPr>
        <w:jc w:val="both"/>
        <w:rPr>
          <w:i/>
          <w:lang w:val="de-DE"/>
        </w:rPr>
      </w:pPr>
    </w:p>
    <w:p w14:paraId="6916615E" w14:textId="37DB6D63" w:rsidR="00D17371" w:rsidRPr="004676F5" w:rsidRDefault="00D17371" w:rsidP="00D17371">
      <w:pPr>
        <w:jc w:val="center"/>
        <w:rPr>
          <w:lang w:val="de-DE"/>
        </w:rPr>
      </w:pPr>
      <w:r w:rsidRPr="004676F5">
        <w:rPr>
          <w:lang w:val="de-DE"/>
        </w:rPr>
        <w:t>Unterabschnitt 1 </w:t>
      </w:r>
      <w:r w:rsidR="005B7A5C" w:rsidRPr="004676F5">
        <w:rPr>
          <w:lang w:val="de-DE"/>
        </w:rPr>
        <w:t>- </w:t>
      </w:r>
      <w:r w:rsidRPr="004676F5">
        <w:rPr>
          <w:lang w:val="de-DE"/>
        </w:rPr>
        <w:t>Anwendungsbereich</w:t>
      </w:r>
    </w:p>
    <w:p w14:paraId="1AA24C16" w14:textId="77777777" w:rsidR="00D17371" w:rsidRPr="004676F5" w:rsidRDefault="00D17371" w:rsidP="00D17371">
      <w:pPr>
        <w:jc w:val="both"/>
        <w:rPr>
          <w:lang w:val="de-DE"/>
        </w:rPr>
      </w:pPr>
    </w:p>
    <w:p w14:paraId="5F4DA1E9" w14:textId="77777777" w:rsidR="00D233B8" w:rsidRPr="004676F5" w:rsidRDefault="00D233B8" w:rsidP="00D17371">
      <w:pPr>
        <w:jc w:val="both"/>
        <w:rPr>
          <w:lang w:val="de-DE"/>
        </w:rPr>
      </w:pPr>
    </w:p>
    <w:p w14:paraId="40495125" w14:textId="3BFBEF45"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XV.35</w:t>
      </w:r>
      <w:r w:rsidRPr="004676F5">
        <w:rPr>
          <w:lang w:val="de-DE"/>
        </w:rPr>
        <w:t> </w:t>
      </w:r>
      <w:r w:rsidR="005B7A5C" w:rsidRPr="004676F5">
        <w:rPr>
          <w:lang w:val="de-DE"/>
        </w:rPr>
        <w:t>- </w:t>
      </w:r>
      <w:r w:rsidRPr="004676F5">
        <w:rPr>
          <w:lang w:val="de-DE"/>
        </w:rPr>
        <w:t>Vorliegender Abschnitt ist auf die in Artikel III.1 erwähnten Dienstleistungstätigkeiten anwendbar.</w:t>
      </w:r>
    </w:p>
    <w:p w14:paraId="57BAC8B0" w14:textId="77777777" w:rsidR="00D17371" w:rsidRPr="004676F5" w:rsidRDefault="00D17371" w:rsidP="00D17371">
      <w:pPr>
        <w:jc w:val="both"/>
        <w:rPr>
          <w:lang w:val="de-DE"/>
        </w:rPr>
      </w:pPr>
    </w:p>
    <w:p w14:paraId="33B1F662" w14:textId="77777777" w:rsidR="00D17371" w:rsidRPr="004676F5" w:rsidRDefault="00D17371" w:rsidP="00D17371">
      <w:pPr>
        <w:jc w:val="both"/>
        <w:rPr>
          <w:lang w:val="de-DE"/>
        </w:rPr>
      </w:pPr>
      <w:r w:rsidRPr="004676F5">
        <w:rPr>
          <w:lang w:val="de-DE"/>
        </w:rPr>
        <w:tab/>
        <w:t>Vorliegender Abschnitt und insbesondere seine Bestimmungen über die Kontrolle der Vorschriften zum Schutz personenbezogener Daten werden umgesetzt und angewandt unbeschadet der Vorschriften, die in der Richtlinie 95/46/EG, der Richtlinie 2002/58/EG und dem Gesetz vom 8. Dezember 1992 über den Schutz des Privatlebens hinsichtlich der Verarbeitung personenbezogener Daten vorgesehen sind, und der Vorschriften, die in Bezug auf den Schutz personenbezogener Daten im Gesetz vom 13. Juni 2005 über die elektronische Kommunikation und im Gesetz vom 24. August 2005 zur Umsetzung verschiedener Bestimmungen der Richtlinie über den Fernabsatz von Finanzdienstleistungen und der Datenschutzrichtlinie für elektronische Kommunikation vorgesehen sind.</w:t>
      </w:r>
    </w:p>
    <w:p w14:paraId="4D45DD66" w14:textId="77777777" w:rsidR="00D233B8" w:rsidRPr="004676F5" w:rsidRDefault="00D233B8" w:rsidP="00D233B8">
      <w:pPr>
        <w:rPr>
          <w:lang w:val="de-DE"/>
        </w:rPr>
      </w:pPr>
    </w:p>
    <w:p w14:paraId="0C4B7D0E" w14:textId="77777777" w:rsidR="00D233B8" w:rsidRPr="004676F5" w:rsidRDefault="00D233B8" w:rsidP="00D233B8">
      <w:pPr>
        <w:rPr>
          <w:lang w:val="de-DE"/>
        </w:rPr>
      </w:pPr>
    </w:p>
    <w:p w14:paraId="4709443F" w14:textId="4C6833AD" w:rsidR="00D17371" w:rsidRPr="004676F5" w:rsidRDefault="00D17371" w:rsidP="00D233B8">
      <w:pPr>
        <w:jc w:val="center"/>
        <w:rPr>
          <w:lang w:val="de-DE"/>
        </w:rPr>
      </w:pPr>
      <w:r w:rsidRPr="004676F5">
        <w:rPr>
          <w:lang w:val="de-DE"/>
        </w:rPr>
        <w:t>Unterabschnitt 2 </w:t>
      </w:r>
      <w:r w:rsidR="005B7A5C" w:rsidRPr="004676F5">
        <w:rPr>
          <w:lang w:val="de-DE"/>
        </w:rPr>
        <w:t>- </w:t>
      </w:r>
      <w:r w:rsidRPr="004676F5">
        <w:rPr>
          <w:lang w:val="de-DE"/>
        </w:rPr>
        <w:t>Grundsätze</w:t>
      </w:r>
    </w:p>
    <w:p w14:paraId="498C0DA3" w14:textId="77777777" w:rsidR="00D17371" w:rsidRPr="004676F5" w:rsidRDefault="00D17371" w:rsidP="00D17371">
      <w:pPr>
        <w:jc w:val="both"/>
        <w:rPr>
          <w:lang w:val="de-DE"/>
        </w:rPr>
      </w:pPr>
    </w:p>
    <w:p w14:paraId="1CF3FD82" w14:textId="77777777" w:rsidR="00D233B8" w:rsidRPr="004676F5" w:rsidRDefault="00D233B8" w:rsidP="00D17371">
      <w:pPr>
        <w:jc w:val="both"/>
        <w:rPr>
          <w:lang w:val="de-DE"/>
        </w:rPr>
      </w:pPr>
    </w:p>
    <w:p w14:paraId="57512F27" w14:textId="23735BA7"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XV.36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zuständige belgische Behörde übermittelt innerhalb der Grenzen ihrer Zuständigkeiten der zuständigen Behörde eines anderen Mitgliedstaats, die ein mit Gründen versehenes Ersuchen an sie richtet, jede relevante Information in Bezug auf einen Dienstleistungserbringer und/oder seine Dienstleistungen, über die sie verfügt.</w:t>
      </w:r>
    </w:p>
    <w:p w14:paraId="608ADD95" w14:textId="77777777" w:rsidR="00D17371" w:rsidRPr="004676F5" w:rsidRDefault="00D17371" w:rsidP="00D17371">
      <w:pPr>
        <w:jc w:val="both"/>
        <w:rPr>
          <w:lang w:val="de-DE"/>
        </w:rPr>
      </w:pPr>
    </w:p>
    <w:p w14:paraId="4A6384FB" w14:textId="77777777" w:rsidR="00D17371" w:rsidRPr="004676F5" w:rsidRDefault="00D17371" w:rsidP="00D17371">
      <w:pPr>
        <w:jc w:val="both"/>
        <w:rPr>
          <w:lang w:val="de-DE"/>
        </w:rPr>
      </w:pPr>
      <w:r w:rsidRPr="004676F5">
        <w:rPr>
          <w:lang w:val="de-DE"/>
        </w:rPr>
        <w:tab/>
        <w:t>Sie übermittelt die angeforderten Informationen insbesondere in Bezug auf die Niederlassung und die Rechtmäßigkeit der erbrachten Dienstleistungen.</w:t>
      </w:r>
    </w:p>
    <w:p w14:paraId="66F16194" w14:textId="77777777" w:rsidR="00D17371" w:rsidRPr="004676F5" w:rsidRDefault="00D17371" w:rsidP="00D17371">
      <w:pPr>
        <w:jc w:val="both"/>
        <w:rPr>
          <w:lang w:val="de-DE"/>
        </w:rPr>
      </w:pPr>
    </w:p>
    <w:p w14:paraId="55396725" w14:textId="79D8F76F" w:rsidR="00D17371" w:rsidRPr="004676F5" w:rsidRDefault="00D17371" w:rsidP="00D17371">
      <w:pPr>
        <w:jc w:val="both"/>
        <w:rPr>
          <w:lang w:val="de-DE"/>
        </w:rPr>
      </w:pPr>
      <w:r w:rsidRPr="004676F5">
        <w:rPr>
          <w:lang w:val="de-DE"/>
        </w:rPr>
        <w:tab/>
        <w:t>§ 2 </w:t>
      </w:r>
      <w:r w:rsidR="005B7A5C" w:rsidRPr="004676F5">
        <w:rPr>
          <w:lang w:val="de-DE"/>
        </w:rPr>
        <w:t>- </w:t>
      </w:r>
      <w:r w:rsidRPr="004676F5">
        <w:rPr>
          <w:lang w:val="de-DE"/>
        </w:rPr>
        <w:t>Die zuständige belgische Behörde führt innerhalb der Grenzen ihrer Zuständigkeiten Überprüfungen, Kontrollen und Untersuchungen in Bezug auf einen Dienstleistungserbringer oder seine Dienstleistungen durch, die von der zuständigen Behörde eines anderen Mitgliedstaats durch ein mit Gründen versehenes Ersuchen erbeten werden.</w:t>
      </w:r>
    </w:p>
    <w:p w14:paraId="1636E45D" w14:textId="77777777" w:rsidR="00D17371" w:rsidRPr="004676F5" w:rsidRDefault="00D17371" w:rsidP="00D17371">
      <w:pPr>
        <w:jc w:val="both"/>
        <w:rPr>
          <w:lang w:val="de-DE"/>
        </w:rPr>
      </w:pPr>
    </w:p>
    <w:p w14:paraId="52E3892B" w14:textId="77777777" w:rsidR="00D17371" w:rsidRPr="004676F5" w:rsidRDefault="00D17371" w:rsidP="00D17371">
      <w:pPr>
        <w:jc w:val="both"/>
        <w:rPr>
          <w:lang w:val="de-DE"/>
        </w:rPr>
      </w:pPr>
      <w:r w:rsidRPr="004676F5">
        <w:rPr>
          <w:lang w:val="de-DE"/>
        </w:rPr>
        <w:tab/>
        <w:t>Sie kann entscheiden, welche Maßnahmen im Einzelfall am besten zu ergreifen sind, um dem Ersuchen der zuständigen Behörde eines anderen Mitgliedstaats nachzukommen.</w:t>
      </w:r>
    </w:p>
    <w:p w14:paraId="7E121819" w14:textId="77777777" w:rsidR="00D17371" w:rsidRPr="004676F5" w:rsidRDefault="00D17371" w:rsidP="00D17371">
      <w:pPr>
        <w:jc w:val="both"/>
        <w:rPr>
          <w:lang w:val="de-DE"/>
        </w:rPr>
      </w:pPr>
    </w:p>
    <w:p w14:paraId="1733835A" w14:textId="77777777" w:rsidR="00D233B8" w:rsidRPr="004676F5" w:rsidRDefault="00D233B8" w:rsidP="00D17371">
      <w:pPr>
        <w:jc w:val="both"/>
        <w:rPr>
          <w:lang w:val="de-DE"/>
        </w:rPr>
      </w:pPr>
    </w:p>
    <w:p w14:paraId="2E42C85F" w14:textId="20B0AC38" w:rsidR="00D17371" w:rsidRPr="004676F5" w:rsidRDefault="00D17371" w:rsidP="00D17371">
      <w:pPr>
        <w:jc w:val="both"/>
        <w:rPr>
          <w:lang w:val="de-DE"/>
        </w:rPr>
      </w:pPr>
      <w:r w:rsidRPr="004676F5">
        <w:rPr>
          <w:lang w:val="de-DE"/>
        </w:rPr>
        <w:lastRenderedPageBreak/>
        <w:tab/>
      </w:r>
      <w:r w:rsidR="00BE0A56" w:rsidRPr="004676F5">
        <w:rPr>
          <w:b/>
          <w:lang w:val="de-DE"/>
        </w:rPr>
        <w:t>Art. </w:t>
      </w:r>
      <w:r w:rsidRPr="004676F5">
        <w:rPr>
          <w:b/>
          <w:lang w:val="de-DE"/>
        </w:rPr>
        <w:t>XV.37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zuständige belgische Behörde übermittelt innerhalb der Grenzen ihrer Zuständigkeiten der zuständigen Behörde eines anderen Mitgliedstaats, die ein mit Gründen versehenes Ersuchen an sie richtet, gemäß den Regeln, die durch die besonderen Rechtsvorschriften oder Regelungen für solche Übermittlungen festgelegt sind, endgültige Entscheidungen über berufsbezogene Disziplinar</w:t>
      </w:r>
      <w:r w:rsidR="005B7A5C" w:rsidRPr="004676F5">
        <w:rPr>
          <w:lang w:val="de-DE"/>
        </w:rPr>
        <w:t>- </w:t>
      </w:r>
      <w:r w:rsidRPr="004676F5">
        <w:rPr>
          <w:lang w:val="de-DE"/>
        </w:rPr>
        <w:t>und Verwaltungssanktionen.</w:t>
      </w:r>
    </w:p>
    <w:p w14:paraId="530DB296" w14:textId="77777777" w:rsidR="00D17371" w:rsidRPr="004676F5" w:rsidRDefault="00D17371" w:rsidP="00D17371">
      <w:pPr>
        <w:jc w:val="both"/>
        <w:rPr>
          <w:lang w:val="de-DE"/>
        </w:rPr>
      </w:pPr>
    </w:p>
    <w:p w14:paraId="4F8908AC" w14:textId="77777777" w:rsidR="00D17371" w:rsidRPr="004676F5" w:rsidRDefault="00D17371" w:rsidP="00D17371">
      <w:pPr>
        <w:jc w:val="both"/>
        <w:rPr>
          <w:lang w:val="de-DE"/>
        </w:rPr>
      </w:pPr>
      <w:r w:rsidRPr="004676F5">
        <w:rPr>
          <w:lang w:val="de-DE"/>
        </w:rPr>
        <w:tab/>
        <w:t>Sie übermittelt innerhalb der Grenzen ihrer Zuständigkeiten und gemäß Buch II Titel VII Kapitel I des Strafprozessgesetzbuches auch Informationen über berufsbezogene endgültige strafrechtliche Sanktionen und jedes Endurteil in Bezug auf Insolvenz im Sinne von Anhang </w:t>
      </w:r>
      <w:r w:rsidRPr="004676F5">
        <w:rPr>
          <w:i/>
          <w:lang w:val="de-DE"/>
        </w:rPr>
        <w:t>A</w:t>
      </w:r>
      <w:r w:rsidRPr="004676F5">
        <w:rPr>
          <w:lang w:val="de-DE"/>
        </w:rPr>
        <w:t xml:space="preserve"> der EG-Verordnung 1346/2000 oder in Bezug auf Konkurs mit betrügerischer Absicht eines Dienstleistungserbringers.</w:t>
      </w:r>
    </w:p>
    <w:p w14:paraId="571E82B4" w14:textId="77777777" w:rsidR="00D17371" w:rsidRPr="004676F5" w:rsidRDefault="00D17371" w:rsidP="00D17371">
      <w:pPr>
        <w:jc w:val="both"/>
        <w:rPr>
          <w:lang w:val="de-DE"/>
        </w:rPr>
      </w:pPr>
    </w:p>
    <w:p w14:paraId="48891386" w14:textId="01C48786" w:rsidR="00D17371" w:rsidRPr="004676F5" w:rsidRDefault="00D17371" w:rsidP="00D17371">
      <w:pPr>
        <w:jc w:val="both"/>
        <w:rPr>
          <w:lang w:val="de-DE"/>
        </w:rPr>
      </w:pPr>
      <w:r w:rsidRPr="004676F5">
        <w:rPr>
          <w:lang w:val="de-DE"/>
        </w:rPr>
        <w:tab/>
        <w:t>In der Mitteilung werden die Gesetzes</w:t>
      </w:r>
      <w:r w:rsidR="005B7A5C" w:rsidRPr="004676F5">
        <w:rPr>
          <w:lang w:val="de-DE"/>
        </w:rPr>
        <w:t>- </w:t>
      </w:r>
      <w:r w:rsidRPr="004676F5">
        <w:rPr>
          <w:lang w:val="de-DE"/>
        </w:rPr>
        <w:t>oder Verordnungsbestimmungen vermerkt, gegen die verstoßen wurde.</w:t>
      </w:r>
    </w:p>
    <w:p w14:paraId="4DBED73E" w14:textId="77777777" w:rsidR="00D17371" w:rsidRPr="004676F5" w:rsidRDefault="00D17371" w:rsidP="00D17371">
      <w:pPr>
        <w:jc w:val="both"/>
        <w:rPr>
          <w:lang w:val="de-DE"/>
        </w:rPr>
      </w:pPr>
    </w:p>
    <w:p w14:paraId="2D543E04" w14:textId="683D9944" w:rsidR="00D17371" w:rsidRPr="004676F5" w:rsidRDefault="00D17371" w:rsidP="00D17371">
      <w:pPr>
        <w:jc w:val="both"/>
        <w:rPr>
          <w:lang w:val="de-DE"/>
        </w:rPr>
      </w:pPr>
      <w:r w:rsidRPr="004676F5">
        <w:rPr>
          <w:lang w:val="de-DE"/>
        </w:rPr>
        <w:tab/>
        <w:t>§ 2 </w:t>
      </w:r>
      <w:r w:rsidR="005B7A5C" w:rsidRPr="004676F5">
        <w:rPr>
          <w:lang w:val="de-DE"/>
        </w:rPr>
        <w:t>- </w:t>
      </w:r>
      <w:r w:rsidRPr="004676F5">
        <w:rPr>
          <w:lang w:val="de-DE"/>
        </w:rPr>
        <w:t xml:space="preserve">Diese Mitteilung geschieht unter Einhaltung der Bestimmungen zum Schutz personenbezogener Daten und der Rechte von </w:t>
      </w:r>
      <w:r w:rsidR="005B7A5C" w:rsidRPr="004676F5">
        <w:rPr>
          <w:lang w:val="de-DE"/>
        </w:rPr>
        <w:t>- </w:t>
      </w:r>
      <w:r w:rsidRPr="004676F5">
        <w:rPr>
          <w:lang w:val="de-DE"/>
        </w:rPr>
        <w:t xml:space="preserve">auch durch Berufsverbände </w:t>
      </w:r>
      <w:r w:rsidR="005B7A5C" w:rsidRPr="004676F5">
        <w:rPr>
          <w:lang w:val="de-DE"/>
        </w:rPr>
        <w:t>- </w:t>
      </w:r>
      <w:r w:rsidRPr="004676F5">
        <w:rPr>
          <w:lang w:val="de-DE"/>
        </w:rPr>
        <w:t>sanktionierten oder verurteilten Personen.</w:t>
      </w:r>
    </w:p>
    <w:p w14:paraId="13DBE6CA" w14:textId="77777777" w:rsidR="00D17371" w:rsidRPr="004676F5" w:rsidRDefault="00D17371" w:rsidP="00D17371">
      <w:pPr>
        <w:jc w:val="both"/>
        <w:rPr>
          <w:lang w:val="de-DE"/>
        </w:rPr>
      </w:pPr>
    </w:p>
    <w:p w14:paraId="763183DC" w14:textId="5B1FBD32" w:rsidR="00D17371" w:rsidRPr="004676F5" w:rsidRDefault="00D17371" w:rsidP="00D17371">
      <w:pPr>
        <w:jc w:val="both"/>
        <w:rPr>
          <w:lang w:val="de-DE"/>
        </w:rPr>
      </w:pPr>
      <w:r w:rsidRPr="004676F5">
        <w:rPr>
          <w:lang w:val="de-DE"/>
        </w:rPr>
        <w:tab/>
        <w:t>§ 3 </w:t>
      </w:r>
      <w:r w:rsidR="005B7A5C" w:rsidRPr="004676F5">
        <w:rPr>
          <w:lang w:val="de-DE"/>
        </w:rPr>
        <w:t>- </w:t>
      </w:r>
      <w:r w:rsidRPr="004676F5">
        <w:rPr>
          <w:lang w:val="de-DE"/>
        </w:rPr>
        <w:t>Die zuständige belgische Behörde, die solche Informationen zur Verfügung stellt, informiert den Dienstleistungserbringer darüber.</w:t>
      </w:r>
    </w:p>
    <w:p w14:paraId="649C7CC4" w14:textId="77777777" w:rsidR="00D17371" w:rsidRPr="004676F5" w:rsidRDefault="00D17371" w:rsidP="00D17371">
      <w:pPr>
        <w:jc w:val="both"/>
        <w:rPr>
          <w:lang w:val="de-DE"/>
        </w:rPr>
      </w:pPr>
    </w:p>
    <w:p w14:paraId="626B5021" w14:textId="77777777" w:rsidR="00D233B8" w:rsidRPr="004676F5" w:rsidRDefault="00D233B8" w:rsidP="00D17371">
      <w:pPr>
        <w:jc w:val="both"/>
        <w:rPr>
          <w:lang w:val="de-DE"/>
        </w:rPr>
      </w:pPr>
    </w:p>
    <w:p w14:paraId="49EDF587" w14:textId="76A17641"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XV.38</w:t>
      </w:r>
      <w:r w:rsidRPr="004676F5">
        <w:rPr>
          <w:lang w:val="de-DE"/>
        </w:rPr>
        <w:t> </w:t>
      </w:r>
      <w:r w:rsidR="005B7A5C" w:rsidRPr="004676F5">
        <w:rPr>
          <w:lang w:val="de-DE"/>
        </w:rPr>
        <w:t>- </w:t>
      </w:r>
      <w:r w:rsidRPr="004676F5">
        <w:rPr>
          <w:lang w:val="de-DE"/>
        </w:rPr>
        <w:t>In Anwendung der Artikel XV.36 und XV.37 angeforderte Informationen oder Ergebnisse der Überprüfungen, Kontrollen und Untersuchungen werden so schnell wie möglich über das elektronische System für den Austausch von Informationen übermittelt.</w:t>
      </w:r>
    </w:p>
    <w:p w14:paraId="48F11954" w14:textId="77777777" w:rsidR="00D17371" w:rsidRPr="004676F5" w:rsidRDefault="00D17371" w:rsidP="00D17371">
      <w:pPr>
        <w:rPr>
          <w:lang w:val="de-DE"/>
        </w:rPr>
      </w:pPr>
    </w:p>
    <w:p w14:paraId="64658AD3" w14:textId="77777777" w:rsidR="00D233B8" w:rsidRPr="004676F5" w:rsidRDefault="00D233B8" w:rsidP="00D17371">
      <w:pPr>
        <w:rPr>
          <w:lang w:val="de-DE"/>
        </w:rPr>
      </w:pPr>
    </w:p>
    <w:p w14:paraId="268B9C4B" w14:textId="320D98F4"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XV.39</w:t>
      </w:r>
      <w:r w:rsidRPr="004676F5">
        <w:rPr>
          <w:lang w:val="de-DE"/>
        </w:rPr>
        <w:t> </w:t>
      </w:r>
      <w:r w:rsidR="005B7A5C" w:rsidRPr="004676F5">
        <w:rPr>
          <w:lang w:val="de-DE"/>
        </w:rPr>
        <w:t>- </w:t>
      </w:r>
      <w:r w:rsidRPr="004676F5">
        <w:rPr>
          <w:lang w:val="de-DE"/>
        </w:rPr>
        <w:t>Die zuständige belgische Behörde, die aus gesetzlichen oder praktischen Gründen ein Ersuchen um Informationen oder Überprüfungen, Kontrollen oder Untersuchungen nicht behandeln kann, informiert die zuständige Behörde des anderen Mitgliedstaats so schnell wie möglich darüber, wobei sie die Gründe, die gegen die Behandlung des Ersuchens sprechen, angibt. Kann sich die zuständige Behörde des anderen Mitgliedstaats nach Notifizierung dieser Verweigerung dem Standpunkt der zuständigen belgischen Behörde nicht anschließen und lässt sich keine Lösung finden, so wird diese Feststellung dem föderalen Koordinator zur Information übermittelt.</w:t>
      </w:r>
    </w:p>
    <w:p w14:paraId="54F7A257" w14:textId="77777777" w:rsidR="00D17371" w:rsidRPr="004676F5" w:rsidRDefault="00D17371" w:rsidP="00D17371">
      <w:pPr>
        <w:jc w:val="both"/>
        <w:rPr>
          <w:lang w:val="de-DE"/>
        </w:rPr>
      </w:pPr>
    </w:p>
    <w:p w14:paraId="3B1BCD2E" w14:textId="77777777" w:rsidR="00D233B8" w:rsidRPr="004676F5" w:rsidRDefault="00D233B8" w:rsidP="00D17371">
      <w:pPr>
        <w:jc w:val="both"/>
        <w:rPr>
          <w:lang w:val="de-DE"/>
        </w:rPr>
      </w:pPr>
    </w:p>
    <w:p w14:paraId="349B34EE" w14:textId="0F823C8F"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XV.40</w:t>
      </w:r>
      <w:r w:rsidRPr="004676F5">
        <w:rPr>
          <w:lang w:val="de-DE"/>
        </w:rPr>
        <w:t> </w:t>
      </w:r>
      <w:r w:rsidR="005B7A5C" w:rsidRPr="004676F5">
        <w:rPr>
          <w:lang w:val="de-DE"/>
        </w:rPr>
        <w:t>- </w:t>
      </w:r>
      <w:r w:rsidRPr="004676F5">
        <w:rPr>
          <w:lang w:val="de-DE"/>
        </w:rPr>
        <w:t>Die zuständige Behörde eines anderen Mitgliedstaats kann unter denselben Bedingungen wie die zuständige belgische Behörde Zugang zu den Registern erhalten, die für die zuständige belgische Behörde zugänglich sind.</w:t>
      </w:r>
    </w:p>
    <w:p w14:paraId="414A526C" w14:textId="77777777" w:rsidR="00D17371" w:rsidRPr="004676F5" w:rsidRDefault="00D17371" w:rsidP="00D17371">
      <w:pPr>
        <w:jc w:val="both"/>
        <w:rPr>
          <w:lang w:val="de-DE"/>
        </w:rPr>
      </w:pPr>
    </w:p>
    <w:p w14:paraId="5B48C968" w14:textId="77777777" w:rsidR="00D233B8" w:rsidRPr="004676F5" w:rsidRDefault="00D233B8" w:rsidP="00D17371">
      <w:pPr>
        <w:jc w:val="both"/>
        <w:rPr>
          <w:lang w:val="de-DE"/>
        </w:rPr>
      </w:pPr>
    </w:p>
    <w:p w14:paraId="12638243" w14:textId="06F14378"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Wünscht die zuständige belgische Behörde, dass eine zuständige Behörde eines anderen Mitgliedstaats ihr Informationen übermittelt oder Überprüfungen, Kontrollen und Untersuchungen in Bezug auf einen Dienstleistungserbringer oder seine Dienstleistungen durchführt, so richtet sie über das elektronische System für den Austausch von Informationen ein mit Gründen versehenes Ersuchen an die zuständige Behörde des anderen Mitgliedstaats.</w:t>
      </w:r>
    </w:p>
    <w:p w14:paraId="0E88F1E6" w14:textId="77777777" w:rsidR="00D17371" w:rsidRPr="004676F5" w:rsidRDefault="00D17371" w:rsidP="00D17371">
      <w:pPr>
        <w:jc w:val="both"/>
        <w:rPr>
          <w:lang w:val="de-DE"/>
        </w:rPr>
      </w:pPr>
    </w:p>
    <w:p w14:paraId="36B4C8D1" w14:textId="141EDAAD" w:rsidR="00D17371" w:rsidRPr="004676F5" w:rsidRDefault="00D17371" w:rsidP="00D17371">
      <w:pPr>
        <w:jc w:val="both"/>
        <w:rPr>
          <w:lang w:val="de-DE"/>
        </w:rPr>
      </w:pPr>
      <w:r w:rsidRPr="004676F5">
        <w:rPr>
          <w:lang w:val="de-DE"/>
        </w:rPr>
        <w:lastRenderedPageBreak/>
        <w:tab/>
        <w:t>§ 2 </w:t>
      </w:r>
      <w:r w:rsidR="005B7A5C" w:rsidRPr="004676F5">
        <w:rPr>
          <w:lang w:val="de-DE"/>
        </w:rPr>
        <w:t>- </w:t>
      </w:r>
      <w:r w:rsidRPr="004676F5">
        <w:rPr>
          <w:lang w:val="de-DE"/>
        </w:rPr>
        <w:t>Behandelt die zuständige Behörde des anderen Mitgliedstaats das Ersuchen nicht und lässt sich keine Lösung finden, so informiert die zuständige belgische Behörde den föderalen Koordinator darüber.</w:t>
      </w:r>
    </w:p>
    <w:p w14:paraId="5088BF9C" w14:textId="77777777" w:rsidR="00D17371" w:rsidRPr="004676F5" w:rsidRDefault="00D17371" w:rsidP="00D17371">
      <w:pPr>
        <w:jc w:val="both"/>
        <w:rPr>
          <w:lang w:val="de-DE"/>
        </w:rPr>
      </w:pPr>
    </w:p>
    <w:p w14:paraId="292B9AAA" w14:textId="77777777" w:rsidR="00D233B8" w:rsidRPr="004676F5" w:rsidRDefault="00D233B8" w:rsidP="00D17371">
      <w:pPr>
        <w:jc w:val="both"/>
        <w:rPr>
          <w:lang w:val="de-DE"/>
        </w:rPr>
      </w:pPr>
    </w:p>
    <w:p w14:paraId="08D9412E" w14:textId="6F906EDA"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XV.42</w:t>
      </w:r>
      <w:r w:rsidRPr="004676F5">
        <w:rPr>
          <w:lang w:val="de-DE"/>
        </w:rPr>
        <w:t> </w:t>
      </w:r>
      <w:r w:rsidR="005B7A5C" w:rsidRPr="004676F5">
        <w:rPr>
          <w:lang w:val="de-DE"/>
        </w:rPr>
        <w:t>- </w:t>
      </w:r>
      <w:r w:rsidRPr="004676F5">
        <w:rPr>
          <w:lang w:val="de-DE"/>
        </w:rPr>
        <w:t>Ausgetauschte Informationen dürfen nur im Zusammenhang mit der Angelegenheit verwendet werden, für die sie angefordert wurden.</w:t>
      </w:r>
    </w:p>
    <w:p w14:paraId="11A637E3" w14:textId="77777777" w:rsidR="00D17371" w:rsidRPr="004676F5" w:rsidRDefault="00D17371" w:rsidP="00D17371">
      <w:pPr>
        <w:jc w:val="both"/>
        <w:rPr>
          <w:lang w:val="de-DE"/>
        </w:rPr>
      </w:pPr>
    </w:p>
    <w:p w14:paraId="30BABF74" w14:textId="77777777" w:rsidR="00D233B8" w:rsidRPr="004676F5" w:rsidRDefault="00D233B8" w:rsidP="00D17371">
      <w:pPr>
        <w:jc w:val="both"/>
        <w:rPr>
          <w:lang w:val="de-DE"/>
        </w:rPr>
      </w:pPr>
    </w:p>
    <w:p w14:paraId="074FA3A1" w14:textId="01C23530"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zuständige belgische Behörde erfüllt ihre Kontrollaufträge hinsichtlich der in Belgien ansässigen Dienstleistungserbringer auch für Dienstleistungen, die in einem anderen Mitgliedstaat erbracht wurden oder in dem anderen Mitgliedstaat Schaden verursacht haben.</w:t>
      </w:r>
    </w:p>
    <w:p w14:paraId="15450CD7" w14:textId="77777777" w:rsidR="00D17371" w:rsidRPr="004676F5" w:rsidRDefault="00D17371" w:rsidP="00D17371">
      <w:pPr>
        <w:jc w:val="both"/>
        <w:rPr>
          <w:lang w:val="de-DE"/>
        </w:rPr>
      </w:pPr>
    </w:p>
    <w:p w14:paraId="150A542C" w14:textId="3293970C" w:rsidR="00D17371" w:rsidRPr="004676F5" w:rsidRDefault="00D17371" w:rsidP="00D17371">
      <w:pPr>
        <w:jc w:val="both"/>
        <w:rPr>
          <w:lang w:val="de-DE"/>
        </w:rPr>
      </w:pPr>
      <w:r w:rsidRPr="004676F5">
        <w:rPr>
          <w:lang w:val="de-DE"/>
        </w:rPr>
        <w:tab/>
        <w:t>§ 2 </w:t>
      </w:r>
      <w:r w:rsidR="005B7A5C" w:rsidRPr="004676F5">
        <w:rPr>
          <w:lang w:val="de-DE"/>
        </w:rPr>
        <w:t>- </w:t>
      </w:r>
      <w:r w:rsidRPr="004676F5">
        <w:rPr>
          <w:lang w:val="de-DE"/>
        </w:rPr>
        <w:t>Diese Verpflichtung gilt nicht für:</w:t>
      </w:r>
    </w:p>
    <w:p w14:paraId="484BDB13" w14:textId="77777777" w:rsidR="00D17371" w:rsidRPr="004676F5" w:rsidRDefault="00D17371" w:rsidP="00D17371">
      <w:pPr>
        <w:jc w:val="both"/>
        <w:rPr>
          <w:lang w:val="de-DE"/>
        </w:rPr>
      </w:pPr>
    </w:p>
    <w:p w14:paraId="21203F7F" w14:textId="77777777" w:rsidR="00D17371" w:rsidRPr="004676F5" w:rsidRDefault="00D17371" w:rsidP="00D17371">
      <w:pPr>
        <w:jc w:val="both"/>
        <w:rPr>
          <w:lang w:val="de-DE"/>
        </w:rPr>
      </w:pPr>
      <w:r w:rsidRPr="004676F5">
        <w:rPr>
          <w:lang w:val="de-DE"/>
        </w:rPr>
        <w:tab/>
        <w:t>1. die Kontrolle der Einhaltung spezifischer Anforderungen, die den Dienstleistungs</w:t>
      </w:r>
      <w:r w:rsidRPr="004676F5">
        <w:rPr>
          <w:lang w:val="de-DE"/>
        </w:rPr>
        <w:softHyphen/>
        <w:t>erbringern durch den Mitgliedstaat, in dem die Dienstleistung erbracht wird, auferlegt werden, ungeachtet des Niederlassungsorts des Dienstleistungserbringers,</w:t>
      </w:r>
    </w:p>
    <w:p w14:paraId="6D30AB93" w14:textId="77777777" w:rsidR="00D17371" w:rsidRPr="004676F5" w:rsidRDefault="00D17371" w:rsidP="00D17371">
      <w:pPr>
        <w:jc w:val="both"/>
        <w:rPr>
          <w:lang w:val="de-DE"/>
        </w:rPr>
      </w:pPr>
    </w:p>
    <w:p w14:paraId="7F330855" w14:textId="77777777" w:rsidR="00D17371" w:rsidRPr="004676F5" w:rsidRDefault="00D17371" w:rsidP="00D17371">
      <w:pPr>
        <w:jc w:val="both"/>
        <w:rPr>
          <w:lang w:val="de-DE"/>
        </w:rPr>
      </w:pPr>
      <w:r w:rsidRPr="004676F5">
        <w:rPr>
          <w:lang w:val="de-DE"/>
        </w:rPr>
        <w:tab/>
        <w:t>2. die Ausführung von Kontrollen im Hoheitsgebiet des Mitgliedstaats, in dem die Dienstleistung erbracht wird.</w:t>
      </w:r>
    </w:p>
    <w:p w14:paraId="63D38E4D" w14:textId="77777777" w:rsidR="00D17371" w:rsidRPr="004676F5" w:rsidRDefault="00D17371" w:rsidP="00D17371">
      <w:pPr>
        <w:jc w:val="both"/>
        <w:rPr>
          <w:lang w:val="de-DE"/>
        </w:rPr>
      </w:pPr>
    </w:p>
    <w:p w14:paraId="46070FB1" w14:textId="77777777" w:rsidR="00D17371" w:rsidRPr="004676F5" w:rsidRDefault="00D17371" w:rsidP="00D17371">
      <w:pPr>
        <w:jc w:val="both"/>
        <w:rPr>
          <w:lang w:val="de-DE"/>
        </w:rPr>
      </w:pPr>
      <w:r w:rsidRPr="004676F5">
        <w:rPr>
          <w:lang w:val="de-DE"/>
        </w:rPr>
        <w:tab/>
        <w:t>Diese Kontrollen werden auf Ersuchen der zuständigen belgischen Behörde und gemäß Artikel XV.41 von den Behörden des Mitgliedstaats durchgeführt, in dem der Dienstleistungserbringer vorübergehend tätig ist.</w:t>
      </w:r>
    </w:p>
    <w:p w14:paraId="17F1CC79" w14:textId="77777777" w:rsidR="00D17371" w:rsidRPr="004676F5" w:rsidRDefault="00D17371" w:rsidP="00D17371">
      <w:pPr>
        <w:jc w:val="both"/>
        <w:rPr>
          <w:lang w:val="de-DE"/>
        </w:rPr>
      </w:pPr>
    </w:p>
    <w:p w14:paraId="323E0943" w14:textId="77777777" w:rsidR="00D233B8" w:rsidRPr="004676F5" w:rsidRDefault="00D233B8" w:rsidP="00D17371">
      <w:pPr>
        <w:jc w:val="both"/>
        <w:rPr>
          <w:lang w:val="de-DE"/>
        </w:rPr>
      </w:pPr>
    </w:p>
    <w:p w14:paraId="10F617E0" w14:textId="6DD81C31"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XV.44</w:t>
      </w:r>
      <w:r w:rsidRPr="004676F5">
        <w:rPr>
          <w:lang w:val="de-DE"/>
        </w:rPr>
        <w:t> </w:t>
      </w:r>
      <w:r w:rsidR="005B7A5C" w:rsidRPr="004676F5">
        <w:rPr>
          <w:lang w:val="de-DE"/>
        </w:rPr>
        <w:t>- </w:t>
      </w:r>
      <w:r w:rsidRPr="004676F5">
        <w:rPr>
          <w:lang w:val="de-DE"/>
        </w:rPr>
        <w:t>Eine zuständige belgische Behörde kann aus eigener Initiative in Belgien Überprüfungen, Kontrollen und Untersuchungen in Bezug auf einen Dienstleistungserbringer, der nicht in Belgien ansässig ist, durchführen, vorausgesetzt, diese Maßnahmen sind nicht diskriminierend, beruhen nicht darauf, dass der Dienstleistungserbringer seine Niederlassung in einem anderen Mitgliedstaat hat, und sind verhältnismäßig.</w:t>
      </w:r>
    </w:p>
    <w:p w14:paraId="4BFE9942" w14:textId="77777777" w:rsidR="00D17371" w:rsidRPr="004676F5" w:rsidRDefault="00D17371" w:rsidP="00D17371">
      <w:pPr>
        <w:jc w:val="both"/>
        <w:rPr>
          <w:lang w:val="de-DE"/>
        </w:rPr>
      </w:pPr>
    </w:p>
    <w:p w14:paraId="014A4B41" w14:textId="77777777" w:rsidR="00D233B8" w:rsidRPr="004676F5" w:rsidRDefault="00D233B8" w:rsidP="00D17371">
      <w:pPr>
        <w:jc w:val="both"/>
        <w:rPr>
          <w:lang w:val="de-DE"/>
        </w:rPr>
      </w:pPr>
    </w:p>
    <w:p w14:paraId="1A359AAA" w14:textId="3D1C2BE1"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Erhält die zuständige belgische Behörde Kenntnis von einem Verhalten, schwerwiegenden und spezifischen Handlungen oder Umständen im Zusammenhang mit einem Dienstleistungserbringer oder einer Dienstleistungstätigkeit, die einen schweren Schaden für die Gesundheit oder Sicherheit von Personen oder für die Umwelt verursachen könnten, so unterrichtet sie so schnell wie möglich über einen Vorwarnungskoordinator und mittels des elektronischen Systems für den Austausch von Informationen die Mitgliedstaaten und die Europäische Kommission hierüber und informiert auch den föderalen Koordinator.</w:t>
      </w:r>
    </w:p>
    <w:p w14:paraId="157B1905" w14:textId="77777777" w:rsidR="00D17371" w:rsidRPr="004676F5" w:rsidRDefault="00D17371" w:rsidP="00D17371">
      <w:pPr>
        <w:jc w:val="both"/>
        <w:rPr>
          <w:lang w:val="de-DE"/>
        </w:rPr>
      </w:pPr>
    </w:p>
    <w:p w14:paraId="2E7B88B5" w14:textId="3EBE62F7" w:rsidR="00D17371" w:rsidRPr="004676F5" w:rsidRDefault="00D17371" w:rsidP="00D17371">
      <w:pPr>
        <w:jc w:val="both"/>
        <w:rPr>
          <w:lang w:val="de-DE"/>
        </w:rPr>
      </w:pPr>
      <w:r w:rsidRPr="004676F5">
        <w:rPr>
          <w:lang w:val="de-DE"/>
        </w:rPr>
        <w:tab/>
        <w:t>§ 2 </w:t>
      </w:r>
      <w:r w:rsidR="005B7A5C" w:rsidRPr="004676F5">
        <w:rPr>
          <w:lang w:val="de-DE"/>
        </w:rPr>
        <w:t>- </w:t>
      </w:r>
      <w:r w:rsidRPr="004676F5">
        <w:rPr>
          <w:lang w:val="de-DE"/>
        </w:rPr>
        <w:t>Wenn eine Vorwarnung verändert werden muss oder nicht mehr gerechtfertigt ist, unterrichtet die zuständige belgische Behörde über einen Vorwarnungskoordinator und mittels des elektronischen Systems für den Austausch von Informationen die Europäische Kommission und die Mitgliedstaaten hierüber und informiert auch den föderalen Koordinator.</w:t>
      </w:r>
    </w:p>
    <w:p w14:paraId="54384635" w14:textId="77777777" w:rsidR="00D17371" w:rsidRPr="004676F5" w:rsidRDefault="00D17371" w:rsidP="00D17371">
      <w:pPr>
        <w:jc w:val="both"/>
        <w:rPr>
          <w:lang w:val="de-DE"/>
        </w:rPr>
      </w:pPr>
    </w:p>
    <w:p w14:paraId="0DEA352A" w14:textId="54195FBE" w:rsidR="00D17371" w:rsidRPr="004676F5" w:rsidRDefault="00D17371" w:rsidP="00D17371">
      <w:pPr>
        <w:jc w:val="both"/>
        <w:rPr>
          <w:lang w:val="de-DE"/>
        </w:rPr>
      </w:pPr>
      <w:r w:rsidRPr="004676F5">
        <w:rPr>
          <w:lang w:val="de-DE"/>
        </w:rPr>
        <w:lastRenderedPageBreak/>
        <w:tab/>
        <w:t>§ 3 </w:t>
      </w:r>
      <w:r w:rsidR="005B7A5C" w:rsidRPr="004676F5">
        <w:rPr>
          <w:lang w:val="de-DE"/>
        </w:rPr>
        <w:t>- </w:t>
      </w:r>
      <w:r w:rsidRPr="004676F5">
        <w:rPr>
          <w:lang w:val="de-DE"/>
        </w:rPr>
        <w:t>Das vorstehend beschriebene Verfahren gilt unbeschadet der gerichtlichen Verfahren.</w:t>
      </w:r>
    </w:p>
    <w:p w14:paraId="6D063637" w14:textId="77777777" w:rsidR="00D17371" w:rsidRPr="004676F5" w:rsidRDefault="00D17371" w:rsidP="00D17371">
      <w:pPr>
        <w:jc w:val="both"/>
        <w:rPr>
          <w:lang w:val="de-DE"/>
        </w:rPr>
      </w:pPr>
    </w:p>
    <w:p w14:paraId="225AD165" w14:textId="77777777" w:rsidR="00D233B8" w:rsidRPr="004676F5" w:rsidRDefault="00D233B8" w:rsidP="00D17371">
      <w:pPr>
        <w:jc w:val="both"/>
        <w:rPr>
          <w:lang w:val="de-DE"/>
        </w:rPr>
      </w:pPr>
    </w:p>
    <w:p w14:paraId="111FDB72" w14:textId="19D51911"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Abweichend von Artikel III.13 und nur in Ausnahmefällen kann der zuständige Minister oder sein Beauftragter Maßnahmen gegenüber einem in einem anderen Mitgliedstaat ansässigen Dienstleistungserbringer ergreifen, die sich auf die Sicherheit der Dienstleistungen beziehen, gemäß den Voraussetzungen und Verfahren, die für das Ergreifen ähnlicher Maßnahmen gegenüber einem in Belgien ansässigen Dienstleistungserbringer gelten. Diese Maßnahmen können nur unter Einhaltung des in Artikel XV.47 erwähnten Amtshilfeverfahrens und bei Vorliegen aller folgenden Voraussetzungen ergriffen werden:</w:t>
      </w:r>
    </w:p>
    <w:p w14:paraId="0E327065" w14:textId="77777777" w:rsidR="00D17371" w:rsidRPr="004676F5" w:rsidRDefault="00D17371" w:rsidP="00D17371">
      <w:pPr>
        <w:jc w:val="both"/>
        <w:rPr>
          <w:lang w:val="de-DE"/>
        </w:rPr>
      </w:pPr>
    </w:p>
    <w:p w14:paraId="400E8D36" w14:textId="77777777" w:rsidR="00D17371" w:rsidRPr="004676F5" w:rsidRDefault="00D17371" w:rsidP="00D17371">
      <w:pPr>
        <w:jc w:val="both"/>
        <w:rPr>
          <w:lang w:val="de-DE"/>
        </w:rPr>
      </w:pPr>
      <w:r w:rsidRPr="004676F5">
        <w:rPr>
          <w:lang w:val="de-DE"/>
        </w:rPr>
        <w:tab/>
        <w:t>1. Die Bestimmungen, aufgrund deren die Maßnahme getroffen wird, waren nicht Gegenstand einer Harmonisierung auf Gemeinschaftsebene im Bereich der Sicherheit von Dienstleistungen.</w:t>
      </w:r>
    </w:p>
    <w:p w14:paraId="094C2524" w14:textId="77777777" w:rsidR="00D17371" w:rsidRPr="004676F5" w:rsidRDefault="00D17371" w:rsidP="00D17371">
      <w:pPr>
        <w:jc w:val="both"/>
        <w:rPr>
          <w:lang w:val="de-DE"/>
        </w:rPr>
      </w:pPr>
    </w:p>
    <w:p w14:paraId="4939855C" w14:textId="77777777" w:rsidR="00D17371" w:rsidRPr="004676F5" w:rsidRDefault="00D17371" w:rsidP="00D17371">
      <w:pPr>
        <w:jc w:val="both"/>
        <w:rPr>
          <w:lang w:val="de-DE"/>
        </w:rPr>
      </w:pPr>
      <w:r w:rsidRPr="004676F5">
        <w:rPr>
          <w:lang w:val="de-DE"/>
        </w:rPr>
        <w:tab/>
        <w:t>2. Die Maßnahmen bewirken für den Dienstleistungsempfänger einen größeren Schutz als die Maßnahmen, die der Niederlassungsmitgliedstaat aufgrund seiner nationalen Bestimmungen ergreifen würde.</w:t>
      </w:r>
    </w:p>
    <w:p w14:paraId="3EBDE580" w14:textId="77777777" w:rsidR="00D17371" w:rsidRPr="004676F5" w:rsidRDefault="00D17371" w:rsidP="00D17371">
      <w:pPr>
        <w:jc w:val="both"/>
        <w:rPr>
          <w:lang w:val="de-DE"/>
        </w:rPr>
      </w:pPr>
    </w:p>
    <w:p w14:paraId="161A397E" w14:textId="77777777" w:rsidR="00D17371" w:rsidRPr="004676F5" w:rsidRDefault="00D17371" w:rsidP="00D17371">
      <w:pPr>
        <w:jc w:val="both"/>
        <w:rPr>
          <w:lang w:val="de-DE"/>
        </w:rPr>
      </w:pPr>
      <w:r w:rsidRPr="004676F5">
        <w:rPr>
          <w:lang w:val="de-DE"/>
        </w:rPr>
        <w:tab/>
        <w:t>3. Der Niederlassungsmitgliedstaat hat keine beziehungsweise im Hinblick auf Artikel XV.44 unzureichende Maßnahmen ergriffen.</w:t>
      </w:r>
    </w:p>
    <w:p w14:paraId="071C5006" w14:textId="77777777" w:rsidR="00D17371" w:rsidRPr="004676F5" w:rsidRDefault="00D17371" w:rsidP="00D17371">
      <w:pPr>
        <w:jc w:val="both"/>
        <w:rPr>
          <w:lang w:val="de-DE"/>
        </w:rPr>
      </w:pPr>
    </w:p>
    <w:p w14:paraId="6436A0F6" w14:textId="77777777" w:rsidR="00D17371" w:rsidRPr="004676F5" w:rsidRDefault="00D17371" w:rsidP="00D17371">
      <w:pPr>
        <w:jc w:val="both"/>
        <w:rPr>
          <w:lang w:val="de-DE"/>
        </w:rPr>
      </w:pPr>
      <w:r w:rsidRPr="004676F5">
        <w:rPr>
          <w:lang w:val="de-DE"/>
        </w:rPr>
        <w:tab/>
        <w:t>4. Die Maßnahmen sind verhältnismäßig.</w:t>
      </w:r>
    </w:p>
    <w:p w14:paraId="1EC9F2B5" w14:textId="77777777" w:rsidR="00D17371" w:rsidRPr="004676F5" w:rsidRDefault="00D17371" w:rsidP="00D17371">
      <w:pPr>
        <w:jc w:val="both"/>
        <w:rPr>
          <w:lang w:val="de-DE"/>
        </w:rPr>
      </w:pPr>
    </w:p>
    <w:p w14:paraId="4470CE77" w14:textId="786FFE13" w:rsidR="00D17371" w:rsidRPr="004676F5" w:rsidRDefault="00D17371" w:rsidP="00D17371">
      <w:pPr>
        <w:jc w:val="both"/>
        <w:rPr>
          <w:lang w:val="de-DE"/>
        </w:rPr>
      </w:pPr>
      <w:r w:rsidRPr="004676F5">
        <w:rPr>
          <w:lang w:val="de-DE"/>
        </w:rPr>
        <w:tab/>
        <w:t>§ 2 </w:t>
      </w:r>
      <w:r w:rsidR="005B7A5C" w:rsidRPr="004676F5">
        <w:rPr>
          <w:lang w:val="de-DE"/>
        </w:rPr>
        <w:t>- </w:t>
      </w:r>
      <w:r w:rsidRPr="004676F5">
        <w:rPr>
          <w:lang w:val="de-DE"/>
        </w:rPr>
        <w:t>Paragraph 1 lässt die durch oder aufgrund des Gemeinschaftsrechts festgelegten Bestimmungen zur Gewährleistung der Dienstleistungsfreiheit oder zur Gewährung von Ausnahmen von dieser Freiheit unberührt.</w:t>
      </w:r>
    </w:p>
    <w:p w14:paraId="36AD745D" w14:textId="77777777" w:rsidR="00D17371" w:rsidRPr="004676F5" w:rsidRDefault="00D17371" w:rsidP="00D17371">
      <w:pPr>
        <w:jc w:val="both"/>
        <w:rPr>
          <w:lang w:val="de-DE"/>
        </w:rPr>
      </w:pPr>
    </w:p>
    <w:p w14:paraId="3755D20D" w14:textId="77777777" w:rsidR="00AD0EFB" w:rsidRPr="004676F5" w:rsidRDefault="00AD0EFB" w:rsidP="00D17371">
      <w:pPr>
        <w:jc w:val="both"/>
        <w:rPr>
          <w:lang w:val="de-DE"/>
        </w:rPr>
      </w:pPr>
    </w:p>
    <w:p w14:paraId="72681463" w14:textId="0A9C697B"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Beabsichtigt die zuständige belgische Behörde, in Anwendung von Artikel XV.46 § 1 Maßnahmen zu ergreifen, um die Sicherheit von Dienstleistungen, die in Belgien erbracht werden, zu gewährleisten, so richtet sie über das elektronische System für den Austausch von Informationen ein Ersuchen an die zuständige Behörde des Niederlassungsmitgliedstaats und übermittelt alle zweckdienlichen Informationen über die in Frage stehende Dienstleistung und den jeweiligen Sachverhalt.</w:t>
      </w:r>
    </w:p>
    <w:p w14:paraId="1DE307BD" w14:textId="77777777" w:rsidR="00D17371" w:rsidRPr="004676F5" w:rsidRDefault="00D17371" w:rsidP="00D17371">
      <w:pPr>
        <w:rPr>
          <w:lang w:val="de-DE"/>
        </w:rPr>
      </w:pPr>
    </w:p>
    <w:p w14:paraId="29AC952F" w14:textId="3CB2DFAF" w:rsidR="00D17371" w:rsidRPr="004676F5" w:rsidRDefault="00D17371" w:rsidP="00D17371">
      <w:pPr>
        <w:jc w:val="both"/>
        <w:rPr>
          <w:lang w:val="de-DE"/>
        </w:rPr>
      </w:pPr>
      <w:r w:rsidRPr="004676F5">
        <w:rPr>
          <w:lang w:val="de-DE"/>
        </w:rPr>
        <w:tab/>
        <w:t>§ 2 </w:t>
      </w:r>
      <w:r w:rsidR="005B7A5C" w:rsidRPr="004676F5">
        <w:rPr>
          <w:lang w:val="de-DE"/>
        </w:rPr>
        <w:t>- </w:t>
      </w:r>
      <w:r w:rsidRPr="004676F5">
        <w:rPr>
          <w:lang w:val="de-DE"/>
        </w:rPr>
        <w:t>Nach Empfang der Antwort des Niederlassungsmitgliedstaats oder in Ermangelung einer Antwort innerhalb einer angemessenen Frist unterrichtet die zuständige belgische Behörde gegebenenfalls die Europäische Kommission und den Niederlassungs</w:t>
      </w:r>
      <w:r w:rsidRPr="004676F5">
        <w:rPr>
          <w:lang w:val="de-DE"/>
        </w:rPr>
        <w:softHyphen/>
        <w:t>mitgliedstaat über das elektronische System für den Austausch von Informationen über ihr Vorhaben, Maßnahmen zu ergreifen, und informiert auch den föderalen Koordinator.</w:t>
      </w:r>
    </w:p>
    <w:p w14:paraId="5CE3F667" w14:textId="77777777" w:rsidR="00D17371" w:rsidRPr="004676F5" w:rsidRDefault="00D17371" w:rsidP="00D17371">
      <w:pPr>
        <w:jc w:val="both"/>
        <w:rPr>
          <w:lang w:val="de-DE"/>
        </w:rPr>
      </w:pPr>
    </w:p>
    <w:p w14:paraId="3070AE74" w14:textId="77777777" w:rsidR="00D17371" w:rsidRPr="004676F5" w:rsidRDefault="00D17371" w:rsidP="00D17371">
      <w:pPr>
        <w:jc w:val="both"/>
        <w:rPr>
          <w:lang w:val="de-DE"/>
        </w:rPr>
      </w:pPr>
      <w:r w:rsidRPr="004676F5">
        <w:rPr>
          <w:lang w:val="de-DE"/>
        </w:rPr>
        <w:tab/>
        <w:t>In der Mitteilung wird angegeben:</w:t>
      </w:r>
    </w:p>
    <w:p w14:paraId="6DE1543B" w14:textId="77777777" w:rsidR="00D17371" w:rsidRPr="004676F5" w:rsidRDefault="00D17371" w:rsidP="00D17371">
      <w:pPr>
        <w:jc w:val="both"/>
        <w:rPr>
          <w:lang w:val="de-DE"/>
        </w:rPr>
      </w:pPr>
    </w:p>
    <w:p w14:paraId="78694F32" w14:textId="77777777" w:rsidR="00D17371" w:rsidRPr="004676F5" w:rsidRDefault="00D17371" w:rsidP="00D17371">
      <w:pPr>
        <w:jc w:val="both"/>
        <w:rPr>
          <w:lang w:val="de-DE"/>
        </w:rPr>
      </w:pPr>
      <w:r w:rsidRPr="004676F5">
        <w:rPr>
          <w:lang w:val="de-DE"/>
        </w:rPr>
        <w:tab/>
        <w:t>1. aus welchen Gründen die zuständige Behörde die vom Niederlassungsmitgliedstaat getroffenen oder beabsichtigten Maßnahmen für unzureichend hält,</w:t>
      </w:r>
    </w:p>
    <w:p w14:paraId="7B10236D" w14:textId="77777777" w:rsidR="00D17371" w:rsidRPr="004676F5" w:rsidRDefault="00D17371" w:rsidP="00D17371">
      <w:pPr>
        <w:jc w:val="both"/>
        <w:rPr>
          <w:lang w:val="de-DE"/>
        </w:rPr>
      </w:pPr>
    </w:p>
    <w:p w14:paraId="352C0CF3" w14:textId="77777777" w:rsidR="00D17371" w:rsidRPr="004676F5" w:rsidRDefault="00D17371" w:rsidP="00D17371">
      <w:pPr>
        <w:jc w:val="both"/>
        <w:rPr>
          <w:lang w:val="de-DE"/>
        </w:rPr>
      </w:pPr>
      <w:r w:rsidRPr="004676F5">
        <w:rPr>
          <w:lang w:val="de-DE"/>
        </w:rPr>
        <w:tab/>
        <w:t>2. warum sie der Auffassung ist, dass die von ihr beabsichtigten Maßnahmen die Voraussetzungen des Artikels XV.46 § 1 erfüllen.</w:t>
      </w:r>
    </w:p>
    <w:p w14:paraId="75F9A5F5" w14:textId="77777777" w:rsidR="00D17371" w:rsidRPr="004676F5" w:rsidRDefault="00D17371" w:rsidP="00D17371">
      <w:pPr>
        <w:jc w:val="both"/>
        <w:rPr>
          <w:lang w:val="de-DE"/>
        </w:rPr>
      </w:pPr>
    </w:p>
    <w:p w14:paraId="0560A67D" w14:textId="5C4EBC86" w:rsidR="00D17371" w:rsidRPr="004676F5" w:rsidRDefault="00D17371" w:rsidP="00D17371">
      <w:pPr>
        <w:jc w:val="both"/>
        <w:rPr>
          <w:lang w:val="de-DE"/>
        </w:rPr>
      </w:pPr>
      <w:r w:rsidRPr="004676F5">
        <w:rPr>
          <w:lang w:val="de-DE"/>
        </w:rPr>
        <w:tab/>
        <w:t>§ 3 </w:t>
      </w:r>
      <w:r w:rsidR="005B7A5C" w:rsidRPr="004676F5">
        <w:rPr>
          <w:lang w:val="de-DE"/>
        </w:rPr>
        <w:t>- </w:t>
      </w:r>
      <w:r w:rsidRPr="004676F5">
        <w:rPr>
          <w:lang w:val="de-DE"/>
        </w:rPr>
        <w:t>Die Maßnahmen dürfen frühestens fünfzehn Werktage nach Versand einer Mitteilung gemäß § 2 an den Niederlassungsmitgliedstaat und die Europäische Kommission getroffen werden.</w:t>
      </w:r>
    </w:p>
    <w:p w14:paraId="67DFADE6" w14:textId="77777777" w:rsidR="00D17371" w:rsidRPr="004676F5" w:rsidRDefault="00D17371" w:rsidP="00D17371">
      <w:pPr>
        <w:jc w:val="both"/>
        <w:rPr>
          <w:lang w:val="de-DE"/>
        </w:rPr>
      </w:pPr>
    </w:p>
    <w:p w14:paraId="0B1F3C01" w14:textId="3B616B73" w:rsidR="00D17371" w:rsidRPr="004676F5" w:rsidRDefault="00D17371" w:rsidP="00D17371">
      <w:pPr>
        <w:jc w:val="both"/>
        <w:rPr>
          <w:lang w:val="de-DE"/>
        </w:rPr>
      </w:pPr>
      <w:r w:rsidRPr="004676F5">
        <w:rPr>
          <w:lang w:val="de-DE"/>
        </w:rPr>
        <w:tab/>
        <w:t>§ 4 </w:t>
      </w:r>
      <w:r w:rsidR="005B7A5C" w:rsidRPr="004676F5">
        <w:rPr>
          <w:lang w:val="de-DE"/>
        </w:rPr>
        <w:t>- </w:t>
      </w:r>
      <w:r w:rsidRPr="004676F5">
        <w:rPr>
          <w:lang w:val="de-DE"/>
        </w:rPr>
        <w:t>In dringenden Fällen kann die zuständige belgische Behörde von den Paragraphen 1, 2 und 3 abweichen. In diesen Fällen sind die getroffenen Maßnahmen der Europäischen Kommission und dem Niederlassungsmitgliedstaat unter Begründung der Dringlichkeit mitzuteilen.</w:t>
      </w:r>
    </w:p>
    <w:p w14:paraId="484DB7F9" w14:textId="77777777" w:rsidR="00D17371" w:rsidRPr="004676F5" w:rsidRDefault="00D17371" w:rsidP="00D17371">
      <w:pPr>
        <w:jc w:val="both"/>
        <w:rPr>
          <w:lang w:val="de-DE"/>
        </w:rPr>
      </w:pPr>
    </w:p>
    <w:p w14:paraId="68979B7A" w14:textId="4C89A49F" w:rsidR="00D17371" w:rsidRPr="004676F5" w:rsidRDefault="00D17371" w:rsidP="00D17371">
      <w:pPr>
        <w:jc w:val="both"/>
        <w:rPr>
          <w:lang w:val="de-DE"/>
        </w:rPr>
      </w:pPr>
      <w:r w:rsidRPr="004676F5">
        <w:rPr>
          <w:lang w:val="de-DE"/>
        </w:rPr>
        <w:tab/>
        <w:t>§ 5 </w:t>
      </w:r>
      <w:r w:rsidR="005B7A5C" w:rsidRPr="004676F5">
        <w:rPr>
          <w:lang w:val="de-DE"/>
        </w:rPr>
        <w:t>- </w:t>
      </w:r>
      <w:r w:rsidRPr="004676F5">
        <w:rPr>
          <w:lang w:val="de-DE"/>
        </w:rPr>
        <w:t>Das vorstehend beschriebene Verfahren gilt unbeschadet der gerichtlichen Verfahren.</w:t>
      </w:r>
    </w:p>
    <w:p w14:paraId="1B34973A" w14:textId="77777777" w:rsidR="00D17371" w:rsidRPr="004676F5" w:rsidRDefault="00D17371" w:rsidP="00D17371">
      <w:pPr>
        <w:jc w:val="both"/>
        <w:rPr>
          <w:lang w:val="de-DE"/>
        </w:rPr>
      </w:pPr>
    </w:p>
    <w:p w14:paraId="4B9A41DE" w14:textId="77777777" w:rsidR="00AD0EFB" w:rsidRPr="004676F5" w:rsidRDefault="00AD0EFB" w:rsidP="00D17371">
      <w:pPr>
        <w:jc w:val="both"/>
        <w:rPr>
          <w:lang w:val="de-DE"/>
        </w:rPr>
      </w:pPr>
    </w:p>
    <w:p w14:paraId="77DDCB85" w14:textId="7CE2B040" w:rsidR="00D17371" w:rsidRPr="004676F5" w:rsidRDefault="00D17371" w:rsidP="00D17371">
      <w:pPr>
        <w:jc w:val="both"/>
        <w:rPr>
          <w:lang w:val="de-DE"/>
        </w:rPr>
      </w:pPr>
      <w:r w:rsidRPr="004676F5">
        <w:rPr>
          <w:lang w:val="de-DE"/>
        </w:rPr>
        <w:tab/>
      </w:r>
      <w:r w:rsidR="00BE0A56" w:rsidRPr="004676F5">
        <w:rPr>
          <w:b/>
          <w:lang w:val="de-DE"/>
        </w:rPr>
        <w:t>Art. </w:t>
      </w:r>
      <w:r w:rsidRPr="004676F5">
        <w:rPr>
          <w:b/>
          <w:lang w:val="de-DE"/>
        </w:rPr>
        <w:t>XV.48</w:t>
      </w:r>
      <w:r w:rsidRPr="004676F5">
        <w:rPr>
          <w:lang w:val="de-DE"/>
        </w:rPr>
        <w:t> </w:t>
      </w:r>
      <w:r w:rsidR="005B7A5C" w:rsidRPr="004676F5">
        <w:rPr>
          <w:lang w:val="de-DE"/>
        </w:rPr>
        <w:t>- </w:t>
      </w:r>
      <w:r w:rsidRPr="004676F5">
        <w:rPr>
          <w:lang w:val="de-DE"/>
        </w:rPr>
        <w:t>Vorliegendes Kapitel lässt die Zusammenarbeit im Informationsbereich in Anwendung der Richtlinie 96/71/EG des Europäischen Parlaments und des Rates vom 16. Dezember 1996 über die Entsendung von Arbeitnehmern im Rahmen der Erbringung von Dienstleistungen unberührt.</w:t>
      </w:r>
    </w:p>
    <w:p w14:paraId="12D5A069" w14:textId="77777777" w:rsidR="00D17371" w:rsidRPr="004676F5" w:rsidRDefault="00D17371" w:rsidP="00D17371">
      <w:pPr>
        <w:jc w:val="both"/>
        <w:rPr>
          <w:lang w:val="de-DE"/>
        </w:rPr>
      </w:pPr>
    </w:p>
    <w:p w14:paraId="28778F9F" w14:textId="77777777" w:rsidR="00AD0EFB" w:rsidRPr="004676F5" w:rsidRDefault="00AD0EFB" w:rsidP="00D17371">
      <w:pPr>
        <w:jc w:val="both"/>
        <w:rPr>
          <w:lang w:val="de-DE"/>
        </w:rPr>
      </w:pPr>
    </w:p>
    <w:p w14:paraId="0DCD9870" w14:textId="7E02609F" w:rsidR="00D17371" w:rsidRPr="004676F5" w:rsidRDefault="007748FE" w:rsidP="00D17371">
      <w:pPr>
        <w:jc w:val="center"/>
        <w:rPr>
          <w:lang w:val="de-DE"/>
        </w:rPr>
      </w:pPr>
      <w:r w:rsidRPr="004676F5">
        <w:rPr>
          <w:lang w:val="de-DE"/>
        </w:rPr>
        <w:t>[</w:t>
      </w:r>
      <w:r w:rsidR="00D17371" w:rsidRPr="004676F5">
        <w:rPr>
          <w:lang w:val="de-DE"/>
        </w:rPr>
        <w:t>Unterabschnitt 3 </w:t>
      </w:r>
      <w:r w:rsidR="005B7A5C" w:rsidRPr="004676F5">
        <w:rPr>
          <w:lang w:val="de-DE"/>
        </w:rPr>
        <w:t>- </w:t>
      </w:r>
      <w:r w:rsidRPr="004676F5">
        <w:rPr>
          <w:lang w:val="de-DE"/>
        </w:rPr>
        <w:t>[...]</w:t>
      </w:r>
    </w:p>
    <w:p w14:paraId="235DB3B7" w14:textId="77777777" w:rsidR="00D17371" w:rsidRPr="004676F5" w:rsidRDefault="00D17371" w:rsidP="00D17371">
      <w:pPr>
        <w:jc w:val="both"/>
        <w:rPr>
          <w:lang w:val="de-DE"/>
        </w:rPr>
      </w:pPr>
    </w:p>
    <w:p w14:paraId="40F7ED2A" w14:textId="53C7B80F" w:rsidR="007748FE" w:rsidRPr="004676F5" w:rsidRDefault="007748FE" w:rsidP="00D17371">
      <w:pPr>
        <w:jc w:val="both"/>
        <w:rPr>
          <w:i/>
          <w:iCs/>
          <w:lang w:val="de-DE"/>
        </w:rPr>
      </w:pPr>
      <w:r w:rsidRPr="004676F5">
        <w:rPr>
          <w:i/>
          <w:iCs/>
          <w:lang w:val="de-DE"/>
        </w:rPr>
        <w:t>[Unterabschnitt 3 mit den Artikeln XV.49 bis XV.57 aufgehoben durch Art. 53 des G. vom 5. November 2023</w:t>
      </w:r>
      <w:r w:rsidR="00857EC4" w:rsidRPr="004676F5">
        <w:rPr>
          <w:i/>
          <w:iCs/>
          <w:lang w:val="de-DE"/>
        </w:rPr>
        <w:t> (I)</w:t>
      </w:r>
      <w:r w:rsidRPr="004676F5">
        <w:rPr>
          <w:i/>
          <w:iCs/>
          <w:lang w:val="de-DE"/>
        </w:rPr>
        <w:t xml:space="preserve"> (B.S. vom 11. Dezember 2023)]</w:t>
      </w:r>
    </w:p>
    <w:p w14:paraId="20CB4557" w14:textId="77777777" w:rsidR="007748FE" w:rsidRPr="004676F5" w:rsidRDefault="007748FE" w:rsidP="00D17371">
      <w:pPr>
        <w:jc w:val="both"/>
        <w:rPr>
          <w:i/>
          <w:iCs/>
          <w:lang w:val="de-DE"/>
        </w:rPr>
      </w:pPr>
    </w:p>
    <w:p w14:paraId="5CC441B4" w14:textId="77777777" w:rsidR="00AD0EFB" w:rsidRPr="004676F5" w:rsidRDefault="00AD0EFB" w:rsidP="00D17371">
      <w:pPr>
        <w:jc w:val="both"/>
        <w:rPr>
          <w:lang w:val="de-DE"/>
        </w:rPr>
      </w:pPr>
    </w:p>
    <w:p w14:paraId="0E002876" w14:textId="10A35F7B" w:rsidR="00D17371" w:rsidRPr="004676F5" w:rsidRDefault="00D17371" w:rsidP="007748FE">
      <w:pPr>
        <w:jc w:val="both"/>
        <w:rPr>
          <w:lang w:val="de-DE"/>
        </w:rPr>
      </w:pPr>
      <w:r w:rsidRPr="004676F5">
        <w:rPr>
          <w:lang w:val="de-DE"/>
        </w:rPr>
        <w:tab/>
      </w:r>
      <w:r w:rsidR="00BE0A56" w:rsidRPr="004676F5">
        <w:rPr>
          <w:b/>
          <w:lang w:val="de-DE"/>
        </w:rPr>
        <w:t>Art. </w:t>
      </w:r>
      <w:r w:rsidRPr="004676F5">
        <w:rPr>
          <w:b/>
          <w:lang w:val="de-DE"/>
        </w:rPr>
        <w:t>XV.49</w:t>
      </w:r>
      <w:r w:rsidRPr="004676F5">
        <w:rPr>
          <w:lang w:val="de-DE"/>
        </w:rPr>
        <w:t> </w:t>
      </w:r>
      <w:r w:rsidR="005B7A5C" w:rsidRPr="004676F5">
        <w:rPr>
          <w:lang w:val="de-DE"/>
        </w:rPr>
        <w:t>- </w:t>
      </w:r>
      <w:r w:rsidRPr="004676F5">
        <w:rPr>
          <w:b/>
          <w:lang w:val="de-DE"/>
        </w:rPr>
        <w:t>XV.57</w:t>
      </w:r>
      <w:r w:rsidRPr="004676F5">
        <w:rPr>
          <w:lang w:val="de-DE"/>
        </w:rPr>
        <w:t> </w:t>
      </w:r>
      <w:r w:rsidR="005B7A5C" w:rsidRPr="004676F5">
        <w:rPr>
          <w:lang w:val="de-DE"/>
        </w:rPr>
        <w:t>- </w:t>
      </w:r>
      <w:r w:rsidR="007748FE" w:rsidRPr="004676F5">
        <w:rPr>
          <w:lang w:val="de-DE"/>
        </w:rPr>
        <w:t>[...]]</w:t>
      </w:r>
    </w:p>
    <w:p w14:paraId="371CF223" w14:textId="77777777" w:rsidR="00E57E9E" w:rsidRPr="004676F5" w:rsidRDefault="00E57E9E" w:rsidP="00EB6EE0">
      <w:pPr>
        <w:jc w:val="center"/>
        <w:rPr>
          <w:lang w:val="de-DE"/>
        </w:rPr>
      </w:pPr>
    </w:p>
    <w:p w14:paraId="6C81F630" w14:textId="77777777" w:rsidR="00E57E9E" w:rsidRPr="004676F5" w:rsidRDefault="00E57E9E" w:rsidP="00EB6EE0">
      <w:pPr>
        <w:jc w:val="center"/>
        <w:rPr>
          <w:lang w:val="de-DE"/>
        </w:rPr>
      </w:pPr>
    </w:p>
    <w:p w14:paraId="50CE8899" w14:textId="0F43DDEA" w:rsidR="007E11E1" w:rsidRPr="004676F5" w:rsidRDefault="007E11E1" w:rsidP="00EB6EE0">
      <w:pPr>
        <w:jc w:val="center"/>
        <w:rPr>
          <w:lang w:val="de-DE"/>
        </w:rPr>
      </w:pPr>
      <w:r w:rsidRPr="004676F5">
        <w:rPr>
          <w:lang w:val="de-DE"/>
        </w:rPr>
        <w:t>[</w:t>
      </w:r>
      <w:r w:rsidRPr="004676F5">
        <w:rPr>
          <w:i/>
          <w:lang w:val="de-DE"/>
        </w:rPr>
        <w:t>Abschnitt 2/1 </w:t>
      </w:r>
      <w:r w:rsidR="005B7A5C" w:rsidRPr="004676F5">
        <w:rPr>
          <w:lang w:val="de-DE"/>
        </w:rPr>
        <w:t>- </w:t>
      </w:r>
      <w:r w:rsidRPr="004676F5">
        <w:rPr>
          <w:lang w:val="de-DE"/>
        </w:rPr>
        <w:t>Erteilung von Informationen an die FSMA im Rahmen von Buch VII Titel 4 Kapitel 4]</w:t>
      </w:r>
    </w:p>
    <w:p w14:paraId="1E5B247C" w14:textId="77777777" w:rsidR="007E11E1" w:rsidRPr="004676F5" w:rsidRDefault="007E11E1" w:rsidP="00EB6EE0">
      <w:pPr>
        <w:jc w:val="center"/>
        <w:rPr>
          <w:lang w:val="de-DE"/>
        </w:rPr>
      </w:pPr>
    </w:p>
    <w:p w14:paraId="299366CA" w14:textId="60003277" w:rsidR="007E11E1" w:rsidRPr="004676F5" w:rsidRDefault="007E11E1" w:rsidP="007E11E1">
      <w:pPr>
        <w:jc w:val="both"/>
        <w:rPr>
          <w:i/>
          <w:lang w:val="de-DE"/>
        </w:rPr>
      </w:pPr>
      <w:r w:rsidRPr="004676F5">
        <w:rPr>
          <w:i/>
          <w:lang w:val="de-DE"/>
        </w:rPr>
        <w:t xml:space="preserve">[Unterteilung Abschnitt 2/1 eingefügt durch </w:t>
      </w:r>
      <w:r w:rsidR="00BE0A56" w:rsidRPr="004676F5">
        <w:rPr>
          <w:i/>
          <w:lang w:val="de-DE"/>
        </w:rPr>
        <w:t>Art. </w:t>
      </w:r>
      <w:r w:rsidRPr="004676F5">
        <w:rPr>
          <w:i/>
          <w:lang w:val="de-DE"/>
        </w:rPr>
        <w:t>9 des G. vom 19. April 2014</w:t>
      </w:r>
      <w:r w:rsidR="004808C3" w:rsidRPr="004676F5">
        <w:rPr>
          <w:i/>
          <w:lang w:val="de-DE"/>
        </w:rPr>
        <w:t> (I)</w:t>
      </w:r>
      <w:r w:rsidRPr="004676F5">
        <w:rPr>
          <w:i/>
          <w:lang w:val="de-DE"/>
        </w:rPr>
        <w:t xml:space="preserve"> (B.S. vom 28. Mai 2014)]</w:t>
      </w:r>
    </w:p>
    <w:p w14:paraId="16DB20A3" w14:textId="77777777" w:rsidR="007E11E1" w:rsidRPr="004676F5" w:rsidRDefault="007E11E1" w:rsidP="007E11E1">
      <w:pPr>
        <w:jc w:val="both"/>
        <w:rPr>
          <w:i/>
          <w:lang w:val="de-DE"/>
        </w:rPr>
      </w:pPr>
    </w:p>
    <w:p w14:paraId="6F7FCB1A" w14:textId="77777777" w:rsidR="007E11E1" w:rsidRPr="004676F5" w:rsidRDefault="007E11E1" w:rsidP="007E11E1">
      <w:pPr>
        <w:jc w:val="both"/>
        <w:rPr>
          <w:i/>
          <w:lang w:val="de-DE"/>
        </w:rPr>
      </w:pPr>
    </w:p>
    <w:p w14:paraId="149FA600" w14:textId="0BE38125" w:rsidR="007E11E1" w:rsidRPr="004676F5" w:rsidRDefault="007E11E1" w:rsidP="007E11E1">
      <w:pPr>
        <w:ind w:firstLine="708"/>
        <w:jc w:val="both"/>
        <w:rPr>
          <w:lang w:val="de-DE"/>
        </w:rPr>
      </w:pPr>
      <w:r w:rsidRPr="004676F5">
        <w:rPr>
          <w:lang w:val="de-DE"/>
        </w:rPr>
        <w:t>[</w:t>
      </w:r>
      <w:r w:rsidR="00BE0A56" w:rsidRPr="004676F5">
        <w:rPr>
          <w:b/>
          <w:lang w:val="de-DE"/>
        </w:rPr>
        <w:t>Art. </w:t>
      </w:r>
      <w:r w:rsidRPr="004676F5">
        <w:rPr>
          <w:b/>
          <w:lang w:val="de-DE"/>
        </w:rPr>
        <w:t>XV.57/1</w:t>
      </w:r>
      <w:r w:rsidRPr="004676F5">
        <w:rPr>
          <w:lang w:val="de-DE"/>
        </w:rPr>
        <w:t> </w:t>
      </w:r>
      <w:r w:rsidR="005B7A5C" w:rsidRPr="004676F5">
        <w:rPr>
          <w:lang w:val="de-DE"/>
        </w:rPr>
        <w:t>- </w:t>
      </w:r>
      <w:r w:rsidRPr="004676F5">
        <w:rPr>
          <w:lang w:val="de-DE"/>
        </w:rPr>
        <w:t xml:space="preserve">Eine Ermittlung wegen Verstoß gegen die Bestimmungen </w:t>
      </w:r>
      <w:r w:rsidR="0039351D" w:rsidRPr="004676F5">
        <w:rPr>
          <w:lang w:val="de-DE"/>
        </w:rPr>
        <w:t xml:space="preserve">[von Buch VII Titel 4 Kapitel 4, Artikel VII.183 § 5 Nr. 4 ausgenommen,] </w:t>
      </w:r>
      <w:r w:rsidRPr="004676F5">
        <w:rPr>
          <w:lang w:val="de-DE"/>
        </w:rPr>
        <w:t xml:space="preserve">oder gegen eine der in </w:t>
      </w:r>
      <w:r w:rsidR="00FF631B" w:rsidRPr="004676F5">
        <w:rPr>
          <w:lang w:val="de-DE"/>
        </w:rPr>
        <w:t xml:space="preserve">[Artikel 20 des </w:t>
      </w:r>
      <w:r w:rsidR="006868C3" w:rsidRPr="004676F5">
        <w:rPr>
          <w:lang w:val="de-DE"/>
        </w:rPr>
        <w:t>[</w:t>
      </w:r>
      <w:r w:rsidR="00FF631B" w:rsidRPr="004676F5">
        <w:rPr>
          <w:lang w:val="de-DE"/>
        </w:rPr>
        <w:t>Gesetzes vom 25. April 2014 über den Status und die Kontrolle der Kreditinstitute</w:t>
      </w:r>
      <w:r w:rsidR="00807BB5" w:rsidRPr="004676F5">
        <w:rPr>
          <w:lang w:val="de-DE"/>
        </w:rPr>
        <w:t xml:space="preserve"> und der Börsengesellschaften]</w:t>
      </w:r>
      <w:r w:rsidR="00FF631B" w:rsidRPr="004676F5">
        <w:rPr>
          <w:lang w:val="de-DE"/>
        </w:rPr>
        <w:t>]</w:t>
      </w:r>
      <w:r w:rsidRPr="004676F5">
        <w:rPr>
          <w:lang w:val="de-DE"/>
        </w:rPr>
        <w:t xml:space="preserve"> erwähnten Bestimmungen, geführt gegen einen Kreditgeber oder Kreditvermittler, einen tatsächlichen Leiter oder einen Vertriebsbeauftragten bei einem Kreditgeber oder Kreditvermittler im Sinne </w:t>
      </w:r>
      <w:r w:rsidR="00E13953" w:rsidRPr="004676F5">
        <w:rPr>
          <w:lang w:val="de-DE"/>
        </w:rPr>
        <w:t>von Buch VII Titel 4 Kapitel 4</w:t>
      </w:r>
      <w:r w:rsidR="00ED1035" w:rsidRPr="004676F5">
        <w:rPr>
          <w:lang w:val="de-DE"/>
        </w:rPr>
        <w:t xml:space="preserve"> </w:t>
      </w:r>
      <w:r w:rsidRPr="004676F5">
        <w:rPr>
          <w:lang w:val="de-DE"/>
        </w:rPr>
        <w:t>und eine Ermittlung wegen Verstoß gegen die Bestimmungen dieses Kapitels, geführt gegen eine andere natürliche oder juristische Person, muss der FSMA durch die Gerichtsbehörde zur Kenntnis gebracht werden, die mit der Ermittlung befasst ist.</w:t>
      </w:r>
    </w:p>
    <w:p w14:paraId="4BB003B9" w14:textId="77777777" w:rsidR="007E11E1" w:rsidRPr="004676F5" w:rsidRDefault="007E11E1" w:rsidP="007E11E1">
      <w:pPr>
        <w:ind w:firstLine="708"/>
        <w:jc w:val="both"/>
        <w:rPr>
          <w:lang w:val="de-DE"/>
        </w:rPr>
      </w:pPr>
    </w:p>
    <w:p w14:paraId="268B7CE4" w14:textId="77777777" w:rsidR="007748FE" w:rsidRPr="004676F5" w:rsidRDefault="007748FE">
      <w:pPr>
        <w:rPr>
          <w:lang w:val="de-DE"/>
        </w:rPr>
      </w:pPr>
      <w:r w:rsidRPr="004676F5">
        <w:rPr>
          <w:lang w:val="de-DE"/>
        </w:rPr>
        <w:br w:type="page"/>
      </w:r>
    </w:p>
    <w:p w14:paraId="3A8BB31D" w14:textId="6692BDE2" w:rsidR="007E11E1" w:rsidRPr="004676F5" w:rsidRDefault="007E11E1" w:rsidP="007E11E1">
      <w:pPr>
        <w:jc w:val="both"/>
        <w:rPr>
          <w:lang w:val="de-DE"/>
        </w:rPr>
      </w:pPr>
      <w:r w:rsidRPr="004676F5">
        <w:rPr>
          <w:lang w:val="de-DE"/>
        </w:rPr>
        <w:lastRenderedPageBreak/>
        <w:tab/>
        <w:t>Strafverfolgung in Bezug auf die in Absatz 1 erwähnten Straftaten muss der FSMA auf Veranlassung der Staatsanwaltschaft zur Kenntnis gebracht werden.]</w:t>
      </w:r>
    </w:p>
    <w:p w14:paraId="1C633063" w14:textId="77777777" w:rsidR="007E11E1" w:rsidRPr="004676F5" w:rsidRDefault="007E11E1" w:rsidP="007E11E1">
      <w:pPr>
        <w:jc w:val="both"/>
        <w:rPr>
          <w:lang w:val="de-DE"/>
        </w:rPr>
      </w:pPr>
    </w:p>
    <w:p w14:paraId="2443F911" w14:textId="34F14767" w:rsidR="007E11E1" w:rsidRPr="004676F5" w:rsidRDefault="007E11E1" w:rsidP="007E11E1">
      <w:pPr>
        <w:jc w:val="both"/>
        <w:rPr>
          <w:i/>
          <w:lang w:val="de-DE"/>
        </w:rPr>
      </w:pPr>
      <w:r w:rsidRPr="004676F5">
        <w:rPr>
          <w:i/>
          <w:lang w:val="de-DE"/>
        </w:rPr>
        <w:t>[</w:t>
      </w:r>
      <w:r w:rsidR="00BE0A56" w:rsidRPr="004676F5">
        <w:rPr>
          <w:i/>
          <w:lang w:val="de-DE"/>
        </w:rPr>
        <w:t>Art. </w:t>
      </w:r>
      <w:r w:rsidRPr="004676F5">
        <w:rPr>
          <w:i/>
          <w:lang w:val="de-DE"/>
        </w:rPr>
        <w:t xml:space="preserve">XV.57/1 eingefügt durch </w:t>
      </w:r>
      <w:r w:rsidR="00BE0A56" w:rsidRPr="004676F5">
        <w:rPr>
          <w:i/>
          <w:lang w:val="de-DE"/>
        </w:rPr>
        <w:t>Art. </w:t>
      </w:r>
      <w:r w:rsidRPr="004676F5">
        <w:rPr>
          <w:i/>
          <w:lang w:val="de-DE"/>
        </w:rPr>
        <w:t>10 des G. vom 19. April 2014</w:t>
      </w:r>
      <w:r w:rsidR="004808C3" w:rsidRPr="004676F5">
        <w:rPr>
          <w:i/>
          <w:lang w:val="de-DE"/>
        </w:rPr>
        <w:t> (I)</w:t>
      </w:r>
      <w:r w:rsidRPr="004676F5">
        <w:rPr>
          <w:i/>
          <w:lang w:val="de-DE"/>
        </w:rPr>
        <w:t xml:space="preserve"> (B.S. vom 28. Mai 2014)</w:t>
      </w:r>
      <w:r w:rsidR="00FF631B" w:rsidRPr="004676F5">
        <w:rPr>
          <w:i/>
          <w:lang w:val="de-DE"/>
        </w:rPr>
        <w:t xml:space="preserve">; Abs. 1 abgeändert durch </w:t>
      </w:r>
      <w:r w:rsidR="00BE0A56" w:rsidRPr="004676F5">
        <w:rPr>
          <w:i/>
          <w:lang w:val="de-DE"/>
        </w:rPr>
        <w:t>Art. </w:t>
      </w:r>
      <w:r w:rsidR="00FF631B" w:rsidRPr="004676F5">
        <w:rPr>
          <w:i/>
          <w:lang w:val="de-DE"/>
        </w:rPr>
        <w:t>56</w:t>
      </w:r>
      <w:r w:rsidR="00FF631B" w:rsidRPr="004676F5">
        <w:rPr>
          <w:i/>
          <w:iCs/>
          <w:lang w:val="de-DE"/>
        </w:rPr>
        <w:t xml:space="preserve"> </w:t>
      </w:r>
      <w:r w:rsidR="00FF631B" w:rsidRPr="004676F5">
        <w:rPr>
          <w:i/>
          <w:lang w:val="de-DE"/>
        </w:rPr>
        <w:t>des G. vom 26. Oktober 2015 (B.S. vom 30. Oktober 2015)</w:t>
      </w:r>
      <w:r w:rsidR="00E13953" w:rsidRPr="004676F5">
        <w:rPr>
          <w:i/>
          <w:lang w:val="de-DE"/>
        </w:rPr>
        <w:t>,</w:t>
      </w:r>
      <w:r w:rsidR="00807BB5" w:rsidRPr="004676F5">
        <w:rPr>
          <w:i/>
          <w:lang w:val="de-DE"/>
        </w:rPr>
        <w:t xml:space="preserve"> </w:t>
      </w:r>
      <w:r w:rsidR="00BE0A56" w:rsidRPr="004676F5">
        <w:rPr>
          <w:i/>
          <w:lang w:val="de-DE"/>
        </w:rPr>
        <w:t>Art. </w:t>
      </w:r>
      <w:r w:rsidR="00807BB5" w:rsidRPr="004676F5">
        <w:rPr>
          <w:i/>
          <w:lang w:val="de-DE"/>
        </w:rPr>
        <w:t>168 des G. vom 25. Oktober 2016 (B.S. vom 18. November 2016)</w:t>
      </w:r>
      <w:r w:rsidR="00E13953" w:rsidRPr="004676F5">
        <w:rPr>
          <w:i/>
          <w:lang w:val="de-DE"/>
        </w:rPr>
        <w:t xml:space="preserve"> und Art. 34 des G. vom 30. Juli 2018 (II) (B.S. vom 5. September 2018)</w:t>
      </w:r>
      <w:r w:rsidRPr="004676F5">
        <w:rPr>
          <w:i/>
          <w:lang w:val="de-DE"/>
        </w:rPr>
        <w:t>]</w:t>
      </w:r>
    </w:p>
    <w:p w14:paraId="5EB6D65E" w14:textId="77777777" w:rsidR="007E11E1" w:rsidRPr="004676F5" w:rsidRDefault="007E11E1" w:rsidP="007E11E1">
      <w:pPr>
        <w:jc w:val="both"/>
        <w:rPr>
          <w:i/>
          <w:lang w:val="de-DE"/>
        </w:rPr>
      </w:pPr>
    </w:p>
    <w:p w14:paraId="274AC225" w14:textId="77777777" w:rsidR="007E11E1" w:rsidRPr="004676F5" w:rsidRDefault="007E11E1" w:rsidP="007E11E1">
      <w:pPr>
        <w:jc w:val="both"/>
        <w:rPr>
          <w:i/>
          <w:lang w:val="de-DE"/>
        </w:rPr>
      </w:pPr>
    </w:p>
    <w:p w14:paraId="7A06D1CA" w14:textId="31DBECCB" w:rsidR="002064D4" w:rsidRPr="004676F5" w:rsidRDefault="002064D4" w:rsidP="002064D4">
      <w:pPr>
        <w:jc w:val="center"/>
        <w:rPr>
          <w:lang w:val="de-DE"/>
        </w:rPr>
      </w:pPr>
      <w:r w:rsidRPr="004676F5">
        <w:rPr>
          <w:lang w:val="de-DE"/>
        </w:rPr>
        <w:t>[</w:t>
      </w:r>
      <w:r w:rsidRPr="004676F5">
        <w:rPr>
          <w:i/>
          <w:lang w:val="de-DE"/>
        </w:rPr>
        <w:t>Abschnitt 3 </w:t>
      </w:r>
      <w:r w:rsidR="005B7A5C" w:rsidRPr="004676F5">
        <w:rPr>
          <w:lang w:val="de-DE"/>
        </w:rPr>
        <w:t>- </w:t>
      </w:r>
      <w:r w:rsidRPr="004676F5">
        <w:rPr>
          <w:lang w:val="de-DE"/>
        </w:rPr>
        <w:t>Bekämpfung der Nachahmung und Piraterie</w:t>
      </w:r>
    </w:p>
    <w:p w14:paraId="72AB361B" w14:textId="77777777" w:rsidR="002064D4" w:rsidRPr="004676F5" w:rsidRDefault="002064D4" w:rsidP="002064D4">
      <w:pPr>
        <w:ind w:firstLine="708"/>
        <w:jc w:val="both"/>
        <w:rPr>
          <w:lang w:val="de-DE"/>
        </w:rPr>
      </w:pPr>
    </w:p>
    <w:p w14:paraId="2D47903D" w14:textId="3944CC91" w:rsidR="002064D4" w:rsidRPr="004676F5" w:rsidRDefault="002064D4" w:rsidP="002064D4">
      <w:pPr>
        <w:jc w:val="both"/>
        <w:rPr>
          <w:i/>
          <w:lang w:val="de-DE"/>
        </w:rPr>
      </w:pPr>
      <w:r w:rsidRPr="004676F5">
        <w:rPr>
          <w:i/>
          <w:lang w:val="de-DE"/>
        </w:rPr>
        <w:t xml:space="preserve">[Abschnitt 3 mit den Artikeln XV.58 bis XV.60 eingefügt durch </w:t>
      </w:r>
      <w:r w:rsidR="00BE0A56" w:rsidRPr="004676F5">
        <w:rPr>
          <w:i/>
          <w:lang w:val="de-DE"/>
        </w:rPr>
        <w:t>Art. </w:t>
      </w:r>
      <w:r w:rsidRPr="004676F5">
        <w:rPr>
          <w:i/>
          <w:lang w:val="de-DE"/>
        </w:rPr>
        <w:t>11 des G. vom 19. April 2014 (II) (B.S. vom 12. Juni 2014)]</w:t>
      </w:r>
    </w:p>
    <w:p w14:paraId="2D753353" w14:textId="77777777" w:rsidR="002064D4" w:rsidRPr="004676F5" w:rsidRDefault="002064D4" w:rsidP="002064D4">
      <w:pPr>
        <w:jc w:val="both"/>
        <w:rPr>
          <w:i/>
          <w:lang w:val="de-DE"/>
        </w:rPr>
      </w:pPr>
    </w:p>
    <w:p w14:paraId="043ED5B7" w14:textId="77777777" w:rsidR="002064D4" w:rsidRPr="004676F5" w:rsidRDefault="002064D4" w:rsidP="002064D4">
      <w:pPr>
        <w:jc w:val="both"/>
        <w:rPr>
          <w:i/>
          <w:lang w:val="de-DE"/>
        </w:rPr>
      </w:pPr>
    </w:p>
    <w:p w14:paraId="799989CB" w14:textId="7AF3A0D4" w:rsidR="002064D4" w:rsidRPr="004676F5" w:rsidRDefault="00BE0A56" w:rsidP="002064D4">
      <w:pPr>
        <w:ind w:firstLine="708"/>
        <w:jc w:val="both"/>
        <w:rPr>
          <w:lang w:val="de-DE"/>
        </w:rPr>
      </w:pPr>
      <w:r w:rsidRPr="004676F5">
        <w:rPr>
          <w:b/>
          <w:lang w:val="de-DE"/>
        </w:rPr>
        <w:t>Art. </w:t>
      </w:r>
      <w:r w:rsidR="002064D4" w:rsidRPr="004676F5">
        <w:rPr>
          <w:b/>
          <w:lang w:val="de-DE"/>
        </w:rPr>
        <w:t>XV.58</w:t>
      </w:r>
      <w:r w:rsidR="002064D4" w:rsidRPr="004676F5">
        <w:rPr>
          <w:lang w:val="de-DE"/>
        </w:rPr>
        <w:t> </w:t>
      </w:r>
      <w:r w:rsidR="005B7A5C" w:rsidRPr="004676F5">
        <w:rPr>
          <w:lang w:val="de-DE"/>
        </w:rPr>
        <w:t>- </w:t>
      </w:r>
      <w:r w:rsidR="002064D4" w:rsidRPr="004676F5">
        <w:rPr>
          <w:lang w:val="de-DE"/>
        </w:rPr>
        <w:t>Unbeschadet des Abschnittes 1 legt der König Vorschriften und Mittel fest, die dazu geeignet sind, Koordinierung und Weiterverfolgung von Maßnahmen zur Bekämpfung der Nachahmung und der Piraterie von geistigen Eigentumsrechten zu gewähr</w:t>
      </w:r>
      <w:r w:rsidR="002064D4" w:rsidRPr="004676F5">
        <w:rPr>
          <w:lang w:val="de-DE"/>
        </w:rPr>
        <w:softHyphen/>
        <w:t>leisten.</w:t>
      </w:r>
    </w:p>
    <w:p w14:paraId="1248396B" w14:textId="77777777" w:rsidR="002064D4" w:rsidRPr="004676F5" w:rsidRDefault="002064D4" w:rsidP="002064D4">
      <w:pPr>
        <w:ind w:firstLine="708"/>
        <w:jc w:val="both"/>
        <w:rPr>
          <w:lang w:val="de-DE"/>
        </w:rPr>
      </w:pPr>
    </w:p>
    <w:p w14:paraId="77CF7D55" w14:textId="77777777" w:rsidR="002064D4" w:rsidRPr="004676F5" w:rsidRDefault="002064D4" w:rsidP="002064D4">
      <w:pPr>
        <w:ind w:firstLine="708"/>
        <w:jc w:val="both"/>
        <w:rPr>
          <w:lang w:val="de-DE"/>
        </w:rPr>
      </w:pPr>
    </w:p>
    <w:p w14:paraId="6E08204F" w14:textId="732974A4" w:rsidR="002064D4" w:rsidRPr="004676F5" w:rsidRDefault="00BE0A56" w:rsidP="002064D4">
      <w:pPr>
        <w:ind w:firstLine="708"/>
        <w:jc w:val="both"/>
        <w:rPr>
          <w:lang w:val="de-DE"/>
        </w:rPr>
      </w:pPr>
      <w:r w:rsidRPr="004676F5">
        <w:rPr>
          <w:b/>
          <w:lang w:val="de-DE"/>
        </w:rPr>
        <w:t>Art. </w:t>
      </w:r>
      <w:r w:rsidR="002064D4" w:rsidRPr="004676F5">
        <w:rPr>
          <w:b/>
          <w:lang w:val="de-DE"/>
        </w:rPr>
        <w:t>XV.59</w:t>
      </w:r>
      <w:r w:rsidR="002064D4" w:rsidRPr="004676F5">
        <w:rPr>
          <w:lang w:val="de-DE"/>
        </w:rPr>
        <w:t> </w:t>
      </w:r>
      <w:r w:rsidR="005B7A5C" w:rsidRPr="004676F5">
        <w:rPr>
          <w:lang w:val="de-DE"/>
        </w:rPr>
        <w:t>- </w:t>
      </w:r>
      <w:r w:rsidR="002064D4" w:rsidRPr="004676F5">
        <w:rPr>
          <w:lang w:val="de-DE"/>
        </w:rPr>
        <w:t>§ 1 </w:t>
      </w:r>
      <w:r w:rsidR="005B7A5C" w:rsidRPr="004676F5">
        <w:rPr>
          <w:lang w:val="de-DE"/>
        </w:rPr>
        <w:t>- </w:t>
      </w:r>
      <w:r w:rsidR="002064D4" w:rsidRPr="004676F5">
        <w:rPr>
          <w:lang w:val="de-DE"/>
        </w:rPr>
        <w:t>Die zuständigen Behörden und öffentlichen Dienste tauschen aus eigener Initiative oder auf Antrag angemessene Auskünfte in Bezug auf die Anwendung von Titel 3 Kapitel 2 Abschnitt 8 Unterabschnitt 1 aus und teilen sich gegenseitig Handlungen mit, die zu einem Eingreifen in Anwendung dieser Bestimmungen führen können.</w:t>
      </w:r>
    </w:p>
    <w:p w14:paraId="48CC6F69" w14:textId="77777777" w:rsidR="002064D4" w:rsidRPr="004676F5" w:rsidRDefault="002064D4">
      <w:pPr>
        <w:rPr>
          <w:lang w:val="de-DE"/>
        </w:rPr>
      </w:pPr>
    </w:p>
    <w:p w14:paraId="1800F60D" w14:textId="77777777" w:rsidR="002064D4" w:rsidRPr="004676F5" w:rsidRDefault="002064D4" w:rsidP="002064D4">
      <w:pPr>
        <w:ind w:firstLine="708"/>
        <w:jc w:val="both"/>
        <w:rPr>
          <w:lang w:val="de-DE"/>
        </w:rPr>
      </w:pPr>
      <w:r w:rsidRPr="004676F5">
        <w:rPr>
          <w:lang w:val="de-DE"/>
        </w:rPr>
        <w:t>Der gelieferte Beistand bezieht sich insbesondere auf die Mitteilung von:</w:t>
      </w:r>
    </w:p>
    <w:p w14:paraId="77EC1BB9" w14:textId="77777777" w:rsidR="002064D4" w:rsidRPr="004676F5" w:rsidRDefault="002064D4" w:rsidP="002064D4">
      <w:pPr>
        <w:ind w:firstLine="708"/>
        <w:jc w:val="both"/>
        <w:rPr>
          <w:lang w:val="de-DE"/>
        </w:rPr>
      </w:pPr>
    </w:p>
    <w:p w14:paraId="37F08197" w14:textId="77777777" w:rsidR="002064D4" w:rsidRPr="004676F5" w:rsidRDefault="002064D4" w:rsidP="002064D4">
      <w:pPr>
        <w:ind w:firstLine="708"/>
        <w:jc w:val="both"/>
        <w:rPr>
          <w:lang w:val="de-DE"/>
        </w:rPr>
      </w:pPr>
      <w:r w:rsidRPr="004676F5">
        <w:rPr>
          <w:lang w:val="de-DE"/>
        </w:rPr>
        <w:t>1. Informationen, die nützlich sind zur Bekämpfung durch präventive und repressive Maßnahmen von Handlungen und Praktiken, die Titel 3 Kapitel 2 Abschnitt 8 Unterab</w:t>
      </w:r>
      <w:r w:rsidRPr="004676F5">
        <w:rPr>
          <w:lang w:val="de-DE"/>
        </w:rPr>
        <w:softHyphen/>
        <w:t>schnitt 1 zuwiderlaufen,</w:t>
      </w:r>
    </w:p>
    <w:p w14:paraId="20A86196" w14:textId="77777777" w:rsidR="002064D4" w:rsidRPr="004676F5" w:rsidRDefault="002064D4" w:rsidP="002064D4">
      <w:pPr>
        <w:jc w:val="both"/>
        <w:rPr>
          <w:lang w:val="de-DE"/>
        </w:rPr>
      </w:pPr>
    </w:p>
    <w:p w14:paraId="76B48843" w14:textId="77777777" w:rsidR="002064D4" w:rsidRPr="004676F5" w:rsidRDefault="002064D4" w:rsidP="002064D4">
      <w:pPr>
        <w:ind w:firstLine="708"/>
        <w:jc w:val="both"/>
        <w:rPr>
          <w:lang w:val="de-DE"/>
        </w:rPr>
      </w:pPr>
      <w:r w:rsidRPr="004676F5">
        <w:rPr>
          <w:lang w:val="de-DE"/>
        </w:rPr>
        <w:t>2. Auskünften über neue Methoden, die bei Handlungen, die Titel 3 Kapitel 2 Abschnitt 8 Unterabschnitt 1 zuwiderlaufen, eingesetzt werden, oder über illegale Hand</w:t>
      </w:r>
      <w:r w:rsidRPr="004676F5">
        <w:rPr>
          <w:lang w:val="de-DE"/>
        </w:rPr>
        <w:softHyphen/>
        <w:t>lungen beziehungsweise Handlungsschemen,</w:t>
      </w:r>
    </w:p>
    <w:p w14:paraId="06DC6B34" w14:textId="77777777" w:rsidR="002064D4" w:rsidRPr="004676F5" w:rsidRDefault="002064D4" w:rsidP="002064D4">
      <w:pPr>
        <w:ind w:firstLine="708"/>
        <w:jc w:val="both"/>
        <w:rPr>
          <w:lang w:val="de-DE"/>
        </w:rPr>
      </w:pPr>
    </w:p>
    <w:p w14:paraId="51095CEB" w14:textId="77777777" w:rsidR="002064D4" w:rsidRPr="004676F5" w:rsidRDefault="002064D4" w:rsidP="002064D4">
      <w:pPr>
        <w:ind w:firstLine="708"/>
        <w:jc w:val="both"/>
        <w:rPr>
          <w:lang w:val="de-DE"/>
        </w:rPr>
      </w:pPr>
      <w:r w:rsidRPr="004676F5">
        <w:rPr>
          <w:lang w:val="de-DE"/>
        </w:rPr>
        <w:t>3. Auskünften über Beobachtungen der zuständigen Behörden und öffentlichen Dienste und über Ergebnisse der erfolgreichen Anwendung neuer Mittel und Techniken zur Bekämpfung der Nachahmung und der Piraterie von geistigen Eigentumsrechten.</w:t>
      </w:r>
    </w:p>
    <w:p w14:paraId="6F3E7198" w14:textId="77777777" w:rsidR="002064D4" w:rsidRPr="004676F5" w:rsidRDefault="002064D4" w:rsidP="002064D4">
      <w:pPr>
        <w:ind w:firstLine="708"/>
        <w:jc w:val="both"/>
        <w:rPr>
          <w:lang w:val="de-DE"/>
        </w:rPr>
      </w:pPr>
    </w:p>
    <w:p w14:paraId="4998C656" w14:textId="1EBEFACD" w:rsidR="002064D4" w:rsidRPr="004676F5" w:rsidRDefault="002064D4" w:rsidP="002064D4">
      <w:pPr>
        <w:ind w:firstLine="708"/>
        <w:jc w:val="both"/>
        <w:rPr>
          <w:lang w:val="de-DE"/>
        </w:rPr>
      </w:pPr>
      <w:r w:rsidRPr="004676F5">
        <w:rPr>
          <w:lang w:val="de-DE"/>
        </w:rPr>
        <w:t>§ 2 </w:t>
      </w:r>
      <w:r w:rsidR="005B7A5C" w:rsidRPr="004676F5">
        <w:rPr>
          <w:lang w:val="de-DE"/>
        </w:rPr>
        <w:t>- </w:t>
      </w:r>
      <w:r w:rsidRPr="004676F5">
        <w:rPr>
          <w:lang w:val="de-DE"/>
        </w:rPr>
        <w:t>Der König bestimmt Art der in vorliegendem Artikel erwähnten Auskünfte und Informationen und Modalitäten ihres Austauschs zwischen den zuständigen Behörden und öffentlichen Diensten.</w:t>
      </w:r>
    </w:p>
    <w:p w14:paraId="04FD9D4C" w14:textId="77777777" w:rsidR="002064D4" w:rsidRPr="004676F5" w:rsidRDefault="002064D4" w:rsidP="002064D4">
      <w:pPr>
        <w:ind w:firstLine="708"/>
        <w:jc w:val="both"/>
        <w:rPr>
          <w:lang w:val="de-DE"/>
        </w:rPr>
      </w:pPr>
    </w:p>
    <w:p w14:paraId="10882E1A" w14:textId="77777777" w:rsidR="002064D4" w:rsidRPr="004676F5" w:rsidRDefault="002064D4" w:rsidP="002064D4">
      <w:pPr>
        <w:ind w:firstLine="708"/>
        <w:jc w:val="both"/>
        <w:rPr>
          <w:lang w:val="de-DE"/>
        </w:rPr>
      </w:pPr>
    </w:p>
    <w:p w14:paraId="535D457B" w14:textId="16712D07" w:rsidR="002064D4" w:rsidRPr="004676F5" w:rsidRDefault="00BE0A56" w:rsidP="002064D4">
      <w:pPr>
        <w:ind w:firstLine="708"/>
        <w:jc w:val="both"/>
        <w:rPr>
          <w:lang w:val="de-DE"/>
        </w:rPr>
      </w:pPr>
      <w:r w:rsidRPr="004676F5">
        <w:rPr>
          <w:b/>
          <w:lang w:val="de-DE"/>
        </w:rPr>
        <w:t>Art. </w:t>
      </w:r>
      <w:r w:rsidR="002064D4" w:rsidRPr="004676F5">
        <w:rPr>
          <w:b/>
          <w:lang w:val="de-DE"/>
        </w:rPr>
        <w:t>XV.60</w:t>
      </w:r>
      <w:r w:rsidR="002064D4" w:rsidRPr="004676F5">
        <w:rPr>
          <w:lang w:val="de-DE"/>
        </w:rPr>
        <w:t> </w:t>
      </w:r>
      <w:r w:rsidR="005B7A5C" w:rsidRPr="004676F5">
        <w:rPr>
          <w:lang w:val="de-DE"/>
        </w:rPr>
        <w:t>- </w:t>
      </w:r>
      <w:r w:rsidR="002064D4" w:rsidRPr="004676F5">
        <w:rPr>
          <w:lang w:val="de-DE"/>
        </w:rPr>
        <w:t>Urteile oder Entscheide von Gerichtshöfen und Gerichten aufgrund von Titel 3 Kapitel 2 Abschnitt 8 Unterabschnitt 1 werden auf Betreiben des Greffiers des zuständigen Gerichts kostenlos durch gewöhnlichen Brief dem Amt für geistiges Eigentum übermittelt innerhalb eines Monats ab Verkündung der betreffenden Entscheidung.</w:t>
      </w:r>
    </w:p>
    <w:p w14:paraId="3C3F55B4" w14:textId="77777777" w:rsidR="002064D4" w:rsidRPr="004676F5" w:rsidRDefault="002064D4" w:rsidP="002064D4">
      <w:pPr>
        <w:ind w:firstLine="708"/>
        <w:jc w:val="both"/>
        <w:rPr>
          <w:lang w:val="de-DE"/>
        </w:rPr>
      </w:pPr>
    </w:p>
    <w:p w14:paraId="64C7A1F2" w14:textId="77777777" w:rsidR="00BA2266" w:rsidRPr="004676F5" w:rsidRDefault="002064D4" w:rsidP="002064D4">
      <w:pPr>
        <w:ind w:firstLine="708"/>
        <w:jc w:val="both"/>
        <w:rPr>
          <w:lang w:val="de-DE"/>
        </w:rPr>
      </w:pPr>
      <w:r w:rsidRPr="004676F5">
        <w:rPr>
          <w:lang w:val="de-DE"/>
        </w:rPr>
        <w:lastRenderedPageBreak/>
        <w:t>Der Greffier hat das Amt für geistiges Eigentum ebenfalls unverzüglich von jeder Beschwerde gegen eine derartige Entscheidung in Kenntnis zu setzen.]</w:t>
      </w:r>
    </w:p>
    <w:p w14:paraId="599CACA9" w14:textId="77777777" w:rsidR="00BA2266" w:rsidRPr="004676F5" w:rsidRDefault="00BA2266" w:rsidP="002064D4">
      <w:pPr>
        <w:jc w:val="both"/>
        <w:rPr>
          <w:lang w:val="de-DE"/>
        </w:rPr>
      </w:pPr>
    </w:p>
    <w:p w14:paraId="6A98B0E0" w14:textId="353CE051" w:rsidR="00664554" w:rsidRPr="004676F5" w:rsidRDefault="00664554" w:rsidP="00EB6EE0">
      <w:pPr>
        <w:jc w:val="center"/>
        <w:rPr>
          <w:b/>
          <w:lang w:val="de-DE"/>
        </w:rPr>
      </w:pPr>
      <w:r w:rsidRPr="004676F5">
        <w:rPr>
          <w:b/>
          <w:lang w:val="de-DE"/>
        </w:rPr>
        <w:br/>
      </w:r>
    </w:p>
    <w:p w14:paraId="03193717" w14:textId="77777777" w:rsidR="007748FE" w:rsidRPr="004676F5" w:rsidRDefault="007748FE">
      <w:pPr>
        <w:rPr>
          <w:bCs/>
          <w:lang w:val="de-DE"/>
        </w:rPr>
      </w:pPr>
      <w:r w:rsidRPr="004676F5">
        <w:rPr>
          <w:bCs/>
          <w:lang w:val="de-DE"/>
        </w:rPr>
        <w:br w:type="page"/>
      </w:r>
    </w:p>
    <w:p w14:paraId="73A538CA" w14:textId="7B7643F0" w:rsidR="00BC16BF" w:rsidRPr="004676F5" w:rsidRDefault="00BC16BF" w:rsidP="00BA2266">
      <w:pPr>
        <w:jc w:val="center"/>
        <w:rPr>
          <w:b/>
          <w:lang w:val="de-DE"/>
        </w:rPr>
      </w:pPr>
      <w:r w:rsidRPr="004676F5">
        <w:rPr>
          <w:bCs/>
          <w:lang w:val="de-DE"/>
        </w:rPr>
        <w:lastRenderedPageBreak/>
        <w:t>[</w:t>
      </w:r>
      <w:r w:rsidRPr="004676F5">
        <w:rPr>
          <w:b/>
          <w:lang w:val="de-DE"/>
        </w:rPr>
        <w:t xml:space="preserve">TITEL 1/1 </w:t>
      </w:r>
      <w:r w:rsidR="005B7A5C" w:rsidRPr="004676F5">
        <w:rPr>
          <w:b/>
          <w:lang w:val="de-DE"/>
        </w:rPr>
        <w:t>- </w:t>
      </w:r>
      <w:r w:rsidRPr="004676F5">
        <w:rPr>
          <w:b/>
          <w:bCs/>
          <w:i/>
          <w:iCs/>
          <w:lang w:val="de-DE"/>
        </w:rPr>
        <w:t>Verfolgung von Verstößen</w:t>
      </w:r>
      <w:r w:rsidRPr="004676F5">
        <w:rPr>
          <w:lang w:val="de-DE"/>
        </w:rPr>
        <w:t>]</w:t>
      </w:r>
    </w:p>
    <w:p w14:paraId="72D19057" w14:textId="77777777" w:rsidR="00BC16BF" w:rsidRPr="004676F5" w:rsidRDefault="00BC16BF" w:rsidP="00BA2266">
      <w:pPr>
        <w:jc w:val="center"/>
        <w:rPr>
          <w:b/>
          <w:lang w:val="de-DE"/>
        </w:rPr>
      </w:pPr>
    </w:p>
    <w:p w14:paraId="2FC0F2B9" w14:textId="528C9AEA" w:rsidR="00BC16BF" w:rsidRPr="004676F5" w:rsidRDefault="00BC16BF" w:rsidP="00BC16BF">
      <w:pPr>
        <w:jc w:val="both"/>
        <w:rPr>
          <w:bCs/>
          <w:i/>
          <w:iCs/>
          <w:lang w:val="de-DE"/>
        </w:rPr>
      </w:pPr>
      <w:r w:rsidRPr="004676F5">
        <w:rPr>
          <w:bCs/>
          <w:i/>
          <w:iCs/>
          <w:lang w:val="de-DE"/>
        </w:rPr>
        <w:t>[Unterteilung Titel 1/1 eingefügt durch Art. 17 des G. vom 29. September 2020 (B.S. vom 20. November 2020)</w:t>
      </w:r>
      <w:r w:rsidR="00B61C9F" w:rsidRPr="004676F5">
        <w:rPr>
          <w:bCs/>
          <w:i/>
          <w:iCs/>
          <w:lang w:val="de-DE"/>
        </w:rPr>
        <w:t>]</w:t>
      </w:r>
    </w:p>
    <w:p w14:paraId="6BBBA385" w14:textId="01CECCCF" w:rsidR="00BC16BF" w:rsidRPr="004676F5" w:rsidRDefault="00BC16BF" w:rsidP="00BC16BF">
      <w:pPr>
        <w:jc w:val="both"/>
        <w:rPr>
          <w:bCs/>
          <w:lang w:val="de-DE"/>
        </w:rPr>
      </w:pPr>
    </w:p>
    <w:p w14:paraId="5DF89F92" w14:textId="77777777" w:rsidR="00BC16BF" w:rsidRPr="004676F5" w:rsidRDefault="00BC16BF" w:rsidP="00BC16BF">
      <w:pPr>
        <w:jc w:val="both"/>
        <w:rPr>
          <w:bCs/>
          <w:lang w:val="de-DE"/>
        </w:rPr>
      </w:pPr>
    </w:p>
    <w:p w14:paraId="14AC3F4F" w14:textId="59AC1CA9" w:rsidR="00BC16BF" w:rsidRPr="004676F5" w:rsidRDefault="00BC16BF" w:rsidP="00BC16BF">
      <w:pPr>
        <w:jc w:val="both"/>
        <w:rPr>
          <w:lang w:val="de-DE"/>
        </w:rPr>
      </w:pPr>
      <w:r w:rsidRPr="004676F5">
        <w:rPr>
          <w:bCs/>
          <w:lang w:val="de-DE"/>
        </w:rPr>
        <w:tab/>
        <w:t>[</w:t>
      </w:r>
      <w:r w:rsidRPr="004676F5">
        <w:rPr>
          <w:b/>
          <w:bCs/>
          <w:lang w:val="de-DE"/>
        </w:rPr>
        <w:t>Art. XV.60/1</w:t>
      </w:r>
      <w:r w:rsidRPr="004676F5">
        <w:rPr>
          <w:lang w:val="de-DE"/>
        </w:rPr>
        <w:t> </w:t>
      </w:r>
      <w:r w:rsidR="005B7A5C" w:rsidRPr="004676F5">
        <w:rPr>
          <w:lang w:val="de-DE"/>
        </w:rPr>
        <w:t>- </w:t>
      </w:r>
      <w:r w:rsidRPr="004676F5">
        <w:rPr>
          <w:lang w:val="de-DE"/>
        </w:rPr>
        <w:t>§ 1 ­ Unbeschadet der in vorliegendem Gesetzbuch vorgesehenen besonderen Verfahren können in Bezug auf die in Artikel XV.2 § 1 erwähnten Verstöße folgende Verfahren angewandt werden:</w:t>
      </w:r>
    </w:p>
    <w:p w14:paraId="2F05672F" w14:textId="77777777" w:rsidR="00BC16BF" w:rsidRPr="004676F5" w:rsidRDefault="00BC16BF" w:rsidP="00BC16BF">
      <w:pPr>
        <w:jc w:val="both"/>
        <w:rPr>
          <w:lang w:val="de-DE"/>
        </w:rPr>
      </w:pPr>
    </w:p>
    <w:p w14:paraId="7D54335D" w14:textId="77777777" w:rsidR="00BC16BF" w:rsidRPr="004676F5" w:rsidRDefault="00BC16BF" w:rsidP="00BC16BF">
      <w:pPr>
        <w:jc w:val="both"/>
        <w:rPr>
          <w:lang w:val="de-DE"/>
        </w:rPr>
      </w:pPr>
      <w:r w:rsidRPr="004676F5">
        <w:rPr>
          <w:lang w:val="de-DE"/>
        </w:rPr>
        <w:tab/>
        <w:t>1. Vergleichsverfahren wie in Titel 2 Kapitel 1 erwähnt,</w:t>
      </w:r>
    </w:p>
    <w:p w14:paraId="224366F4" w14:textId="77777777" w:rsidR="00BC16BF" w:rsidRPr="004676F5" w:rsidRDefault="00BC16BF" w:rsidP="00BC16BF">
      <w:pPr>
        <w:jc w:val="both"/>
        <w:rPr>
          <w:lang w:val="de-DE"/>
        </w:rPr>
      </w:pPr>
    </w:p>
    <w:p w14:paraId="0ED17556" w14:textId="77777777" w:rsidR="00BC16BF" w:rsidRPr="004676F5" w:rsidRDefault="00BC16BF" w:rsidP="00BC16BF">
      <w:pPr>
        <w:jc w:val="both"/>
        <w:rPr>
          <w:lang w:val="de-DE"/>
        </w:rPr>
      </w:pPr>
      <w:r w:rsidRPr="004676F5">
        <w:rPr>
          <w:lang w:val="de-DE"/>
        </w:rPr>
        <w:tab/>
        <w:t>2. administrative Verfolgung wie in Titel 1/2 erwähnt,</w:t>
      </w:r>
    </w:p>
    <w:p w14:paraId="148F1DCA" w14:textId="77777777" w:rsidR="00BC16BF" w:rsidRPr="004676F5" w:rsidRDefault="00BC16BF" w:rsidP="00BC16BF">
      <w:pPr>
        <w:jc w:val="both"/>
        <w:rPr>
          <w:lang w:val="de-DE"/>
        </w:rPr>
      </w:pPr>
    </w:p>
    <w:p w14:paraId="5176950A" w14:textId="77777777" w:rsidR="00BC16BF" w:rsidRPr="004676F5" w:rsidRDefault="00BC16BF" w:rsidP="00BC16BF">
      <w:pPr>
        <w:jc w:val="both"/>
        <w:rPr>
          <w:lang w:val="de-DE"/>
        </w:rPr>
      </w:pPr>
      <w:r w:rsidRPr="004676F5">
        <w:rPr>
          <w:lang w:val="de-DE"/>
        </w:rPr>
        <w:tab/>
        <w:t>3. Strafverfolgung wie in Titel 3 erwähnt.</w:t>
      </w:r>
    </w:p>
    <w:p w14:paraId="4D40857C" w14:textId="77777777" w:rsidR="00BC16BF" w:rsidRPr="004676F5" w:rsidRDefault="00BC16BF" w:rsidP="00BC16BF">
      <w:pPr>
        <w:jc w:val="both"/>
        <w:rPr>
          <w:lang w:val="de-DE"/>
        </w:rPr>
      </w:pPr>
    </w:p>
    <w:p w14:paraId="3F4DD29E" w14:textId="00B215FD" w:rsidR="00BC16BF" w:rsidRPr="004676F5" w:rsidRDefault="00BC16BF" w:rsidP="00BC16BF">
      <w:pPr>
        <w:jc w:val="both"/>
        <w:rPr>
          <w:lang w:val="de-DE"/>
        </w:rPr>
      </w:pPr>
      <w:r w:rsidRPr="004676F5">
        <w:rPr>
          <w:lang w:val="de-DE"/>
        </w:rPr>
        <w:tab/>
        <w:t>§ 2 </w:t>
      </w:r>
      <w:r w:rsidR="005B7A5C" w:rsidRPr="004676F5">
        <w:rPr>
          <w:lang w:val="de-DE"/>
        </w:rPr>
        <w:t>- </w:t>
      </w:r>
      <w:r w:rsidRPr="004676F5">
        <w:rPr>
          <w:lang w:val="de-DE"/>
        </w:rPr>
        <w:t>Die Verfolgung erfolgt auf der Grundlage eines Protokolls zur Feststellung eines Verstoßes, das von den in Artikel XV.2 erwähnten Bediensteten aufgenommen wird.</w:t>
      </w:r>
    </w:p>
    <w:p w14:paraId="2795D8CF" w14:textId="77777777" w:rsidR="00BC16BF" w:rsidRPr="004676F5" w:rsidRDefault="00BC16BF" w:rsidP="00BC16BF">
      <w:pPr>
        <w:jc w:val="both"/>
        <w:rPr>
          <w:lang w:val="de-DE"/>
        </w:rPr>
      </w:pPr>
    </w:p>
    <w:p w14:paraId="3AAB35C5" w14:textId="3804D829" w:rsidR="00BC16BF" w:rsidRPr="004676F5" w:rsidRDefault="00BC16BF" w:rsidP="00BC16BF">
      <w:pPr>
        <w:jc w:val="both"/>
        <w:rPr>
          <w:lang w:val="de-DE"/>
        </w:rPr>
      </w:pPr>
      <w:r w:rsidRPr="004676F5">
        <w:rPr>
          <w:lang w:val="de-DE"/>
        </w:rPr>
        <w:tab/>
        <w:t>Die in Artikel XV.2 erwähnten Bediensteten senden diese Protokolle an die Bediensteten des Föderalen Öffentlichen Dienstes Wirtschaft, KMB, Mittelstand und Energie, die von dem für Wirtschaft zuständigen Minister bestellt werden. Letztere beschließen, ob die in § 1 Nr. 1 und 2 erwähnten Verfahren angewandt werden und, wenn ja, welches, oder ob die Akte gemäß § 1 Nr. 3 an die Staatsanwaltschaft weitergeleitet wird.]</w:t>
      </w:r>
    </w:p>
    <w:p w14:paraId="76D5A0D3" w14:textId="77777777" w:rsidR="00BC16BF" w:rsidRPr="004676F5" w:rsidRDefault="00BC16BF" w:rsidP="00BC16BF">
      <w:pPr>
        <w:jc w:val="both"/>
        <w:rPr>
          <w:lang w:val="de-DE"/>
        </w:rPr>
      </w:pPr>
    </w:p>
    <w:p w14:paraId="7C6A237B" w14:textId="1B5D8472" w:rsidR="00BC16BF" w:rsidRPr="004676F5" w:rsidRDefault="00BC16BF" w:rsidP="00BC16BF">
      <w:pPr>
        <w:jc w:val="both"/>
        <w:rPr>
          <w:i/>
          <w:iCs/>
          <w:lang w:val="de-DE"/>
        </w:rPr>
      </w:pPr>
      <w:r w:rsidRPr="004676F5">
        <w:rPr>
          <w:i/>
          <w:iCs/>
          <w:lang w:val="de-DE"/>
        </w:rPr>
        <w:t>[Art. XV.60/1 eingefügt durch Art. 18</w:t>
      </w:r>
      <w:r w:rsidRPr="004676F5">
        <w:rPr>
          <w:bCs/>
          <w:i/>
          <w:iCs/>
          <w:lang w:val="de-DE"/>
        </w:rPr>
        <w:t xml:space="preserve"> des G. vom 29. September 2020 (B.S. vom 20. November 2020)]</w:t>
      </w:r>
    </w:p>
    <w:p w14:paraId="553AA5B9" w14:textId="77777777" w:rsidR="00BC16BF" w:rsidRPr="004676F5" w:rsidRDefault="00BC16BF" w:rsidP="00BC16BF">
      <w:pPr>
        <w:jc w:val="both"/>
        <w:rPr>
          <w:lang w:val="de-DE"/>
        </w:rPr>
      </w:pPr>
    </w:p>
    <w:p w14:paraId="45F49E45" w14:textId="77777777" w:rsidR="00BC16BF" w:rsidRPr="004676F5" w:rsidRDefault="00BC16BF" w:rsidP="00BC16BF">
      <w:pPr>
        <w:jc w:val="both"/>
        <w:rPr>
          <w:lang w:val="de-DE"/>
        </w:rPr>
      </w:pPr>
    </w:p>
    <w:p w14:paraId="2356D6CE" w14:textId="2FE0F07C" w:rsidR="00BC16BF" w:rsidRPr="004676F5" w:rsidRDefault="00BC16BF" w:rsidP="00BC16BF">
      <w:pPr>
        <w:jc w:val="both"/>
        <w:rPr>
          <w:lang w:val="de-DE"/>
        </w:rPr>
      </w:pPr>
      <w:r w:rsidRPr="004676F5">
        <w:rPr>
          <w:lang w:val="de-DE"/>
        </w:rPr>
        <w:tab/>
        <w:t>[</w:t>
      </w:r>
      <w:r w:rsidRPr="004676F5">
        <w:rPr>
          <w:b/>
          <w:bCs/>
          <w:lang w:val="de-DE"/>
        </w:rPr>
        <w:t>Art. XV.60/2</w:t>
      </w:r>
      <w:r w:rsidRPr="004676F5">
        <w:rPr>
          <w:lang w:val="de-DE"/>
        </w:rPr>
        <w:t> </w:t>
      </w:r>
      <w:r w:rsidR="005B7A5C" w:rsidRPr="004676F5">
        <w:rPr>
          <w:lang w:val="de-DE"/>
        </w:rPr>
        <w:t>- </w:t>
      </w:r>
      <w:r w:rsidRPr="004676F5">
        <w:rPr>
          <w:lang w:val="de-DE"/>
        </w:rPr>
        <w:t>Wird eine administrative Verfolgung wie in Artikel VI.60/1 § 1 Nr. 2 erwähnt angewandt, beschließen die in Artikel XV.60/4 erwähnten Bediensteten, ob die Verstöße zu einer administrativen Geldbuße, einer Schuldigerklärung oder einer Einstellung der Verfolgung führen.</w:t>
      </w:r>
    </w:p>
    <w:p w14:paraId="557B63A4" w14:textId="77777777" w:rsidR="00BC16BF" w:rsidRPr="004676F5" w:rsidRDefault="00BC16BF" w:rsidP="00BC16BF">
      <w:pPr>
        <w:jc w:val="both"/>
        <w:rPr>
          <w:lang w:val="de-DE"/>
        </w:rPr>
      </w:pPr>
    </w:p>
    <w:p w14:paraId="79AA7D5D" w14:textId="4E853F54" w:rsidR="00BC16BF" w:rsidRPr="004676F5" w:rsidRDefault="00BC16BF" w:rsidP="00BC16BF">
      <w:pPr>
        <w:jc w:val="both"/>
        <w:rPr>
          <w:lang w:val="de-DE"/>
        </w:rPr>
      </w:pPr>
      <w:r w:rsidRPr="004676F5">
        <w:rPr>
          <w:lang w:val="de-DE"/>
        </w:rPr>
        <w:tab/>
        <w:t>Sie haben die gleichen Befugnisse, wenn die Staatsanwaltschaft davon absieht, den Urheber eines in Artikel XV.2 § 1 erwähnten Verstoßes zu verfolgen.]</w:t>
      </w:r>
    </w:p>
    <w:p w14:paraId="13E706E9" w14:textId="77777777" w:rsidR="00B90A6A" w:rsidRPr="004676F5" w:rsidRDefault="00B90A6A" w:rsidP="00BC16BF">
      <w:pPr>
        <w:jc w:val="both"/>
        <w:rPr>
          <w:lang w:val="de-DE"/>
        </w:rPr>
      </w:pPr>
    </w:p>
    <w:p w14:paraId="36CBD120" w14:textId="692A70BC" w:rsidR="00B90A6A" w:rsidRPr="004676F5" w:rsidRDefault="00B90A6A" w:rsidP="00BC16BF">
      <w:pPr>
        <w:jc w:val="both"/>
        <w:rPr>
          <w:lang w:val="de-DE"/>
        </w:rPr>
      </w:pPr>
      <w:r w:rsidRPr="004676F5">
        <w:rPr>
          <w:lang w:val="de-DE"/>
        </w:rPr>
        <w:tab/>
        <w:t>[Bei verspäteter Zahlung des in Artikel XV.61 § 1 erwähnten Vergleichs und wenn die Staatsanwaltschaft gemäß Artikel XV.69/1 darauf verzichtet, eine Strafverfolgung einzuleiten oder einen in Artikel 216</w:t>
      </w:r>
      <w:r w:rsidRPr="004676F5">
        <w:rPr>
          <w:i/>
          <w:iCs/>
          <w:lang w:val="de-DE"/>
        </w:rPr>
        <w:t>bis</w:t>
      </w:r>
      <w:r w:rsidRPr="004676F5">
        <w:rPr>
          <w:lang w:val="de-DE"/>
        </w:rPr>
        <w:t xml:space="preserve"> des Strafprozessgesetzbuches erwähnten Vergleich oder eine in Artikel 216</w:t>
      </w:r>
      <w:r w:rsidRPr="004676F5">
        <w:rPr>
          <w:i/>
          <w:iCs/>
          <w:lang w:val="de-DE"/>
        </w:rPr>
        <w:t>ter</w:t>
      </w:r>
      <w:r w:rsidRPr="004676F5">
        <w:rPr>
          <w:lang w:val="de-DE"/>
        </w:rPr>
        <w:t xml:space="preserve"> desselben Gesetzbuches erwähnte Vermittlung in Strafsachen vorzuschlagen, können die in Artikel XV.60/4 erwähnten zuständigen Bediensteten diese verspätete Zahlung noch annehmen und die administrative Verfolgung einstellen.]</w:t>
      </w:r>
    </w:p>
    <w:p w14:paraId="1C98637B" w14:textId="77777777" w:rsidR="00BC16BF" w:rsidRPr="004676F5" w:rsidRDefault="00BC16BF" w:rsidP="00BC16BF">
      <w:pPr>
        <w:jc w:val="both"/>
        <w:rPr>
          <w:lang w:val="de-DE"/>
        </w:rPr>
      </w:pPr>
    </w:p>
    <w:p w14:paraId="25C75385" w14:textId="1D520DBE" w:rsidR="00BC16BF" w:rsidRPr="004676F5" w:rsidRDefault="00BC16BF" w:rsidP="00BC16BF">
      <w:pPr>
        <w:jc w:val="both"/>
        <w:rPr>
          <w:bCs/>
          <w:i/>
          <w:iCs/>
          <w:lang w:val="de-DE"/>
        </w:rPr>
      </w:pPr>
      <w:r w:rsidRPr="004676F5">
        <w:rPr>
          <w:i/>
          <w:iCs/>
          <w:lang w:val="de-DE"/>
        </w:rPr>
        <w:t>[Art. XV.60/2 eingefügt durch Art. 19</w:t>
      </w:r>
      <w:r w:rsidRPr="004676F5">
        <w:rPr>
          <w:bCs/>
          <w:i/>
          <w:iCs/>
          <w:lang w:val="de-DE"/>
        </w:rPr>
        <w:t xml:space="preserve"> des G. vom 29. September 2020 (B.S. vom 20. November 2020)</w:t>
      </w:r>
      <w:r w:rsidR="00B90A6A" w:rsidRPr="004676F5">
        <w:rPr>
          <w:bCs/>
          <w:i/>
          <w:iCs/>
          <w:lang w:val="de-DE"/>
        </w:rPr>
        <w:t>; Abs. 3 eingefügt durch Art. 47 des G. vom 9. Februar 2024 (B.S. vom 21. März 2024)</w:t>
      </w:r>
      <w:r w:rsidRPr="004676F5">
        <w:rPr>
          <w:bCs/>
          <w:i/>
          <w:iCs/>
          <w:lang w:val="de-DE"/>
        </w:rPr>
        <w:t>]</w:t>
      </w:r>
    </w:p>
    <w:p w14:paraId="1D2D218E" w14:textId="77777777" w:rsidR="00BC16BF" w:rsidRPr="004676F5" w:rsidRDefault="00BC16BF" w:rsidP="00BC16BF">
      <w:pPr>
        <w:jc w:val="both"/>
        <w:rPr>
          <w:lang w:val="de-DE"/>
        </w:rPr>
      </w:pPr>
    </w:p>
    <w:p w14:paraId="5B35E6D1" w14:textId="77777777" w:rsidR="00BC16BF" w:rsidRPr="004676F5" w:rsidRDefault="00BC16BF" w:rsidP="00BC16BF">
      <w:pPr>
        <w:jc w:val="both"/>
        <w:rPr>
          <w:lang w:val="de-DE"/>
        </w:rPr>
      </w:pPr>
    </w:p>
    <w:p w14:paraId="3DE4D81C" w14:textId="56B7B349" w:rsidR="00BC16BF" w:rsidRPr="004676F5" w:rsidRDefault="00BC16BF" w:rsidP="00BC16BF">
      <w:pPr>
        <w:jc w:val="both"/>
        <w:rPr>
          <w:lang w:val="de-DE"/>
        </w:rPr>
      </w:pPr>
      <w:r w:rsidRPr="004676F5">
        <w:rPr>
          <w:lang w:val="de-DE"/>
        </w:rPr>
        <w:lastRenderedPageBreak/>
        <w:tab/>
        <w:t>[</w:t>
      </w:r>
      <w:r w:rsidRPr="004676F5">
        <w:rPr>
          <w:b/>
          <w:bCs/>
          <w:lang w:val="de-DE"/>
        </w:rPr>
        <w:t>Art. XV.60/3</w:t>
      </w:r>
      <w:r w:rsidRPr="004676F5">
        <w:rPr>
          <w:lang w:val="de-DE"/>
        </w:rPr>
        <w:t> </w:t>
      </w:r>
      <w:r w:rsidR="005B7A5C" w:rsidRPr="004676F5">
        <w:rPr>
          <w:lang w:val="de-DE"/>
        </w:rPr>
        <w:t>- </w:t>
      </w:r>
      <w:r w:rsidRPr="004676F5">
        <w:rPr>
          <w:lang w:val="de-DE"/>
        </w:rPr>
        <w:t>Eine Strafverfolgung schließt die Anwendung einer administrativen Geldbuße aus, selbst wenn die Strafverfolgung zu einem Freispruch führt.</w:t>
      </w:r>
    </w:p>
    <w:p w14:paraId="0F439180" w14:textId="77777777" w:rsidR="00BC16BF" w:rsidRPr="004676F5" w:rsidRDefault="00BC16BF" w:rsidP="00BC16BF">
      <w:pPr>
        <w:jc w:val="both"/>
        <w:rPr>
          <w:lang w:val="de-DE"/>
        </w:rPr>
      </w:pPr>
    </w:p>
    <w:p w14:paraId="419AF64F" w14:textId="2E31A17C" w:rsidR="00BC16BF" w:rsidRPr="004676F5" w:rsidRDefault="00BC16BF" w:rsidP="00BC16BF">
      <w:pPr>
        <w:jc w:val="both"/>
        <w:rPr>
          <w:bCs/>
          <w:lang w:val="de-DE"/>
        </w:rPr>
      </w:pPr>
      <w:r w:rsidRPr="004676F5">
        <w:rPr>
          <w:lang w:val="de-DE"/>
        </w:rPr>
        <w:tab/>
        <w:t>Der in Artikel 216</w:t>
      </w:r>
      <w:r w:rsidRPr="004676F5">
        <w:rPr>
          <w:i/>
          <w:lang w:val="de-DE"/>
        </w:rPr>
        <w:t>bis</w:t>
      </w:r>
      <w:r w:rsidRPr="004676F5">
        <w:rPr>
          <w:lang w:val="de-DE"/>
        </w:rPr>
        <w:t xml:space="preserve"> des Strafprozessgesetzbuches erwähnte Vergleich oder die in Artikel 216</w:t>
      </w:r>
      <w:r w:rsidRPr="004676F5">
        <w:rPr>
          <w:i/>
          <w:lang w:val="de-DE"/>
        </w:rPr>
        <w:t>ter</w:t>
      </w:r>
      <w:r w:rsidRPr="004676F5">
        <w:rPr>
          <w:lang w:val="de-DE"/>
        </w:rPr>
        <w:t xml:space="preserve"> desselben Gesetzbuches erwähnte Vermittlung in Strafsachen schließen ebenfalls die Anwendung einer administrativen Geldbuße aus.</w:t>
      </w:r>
      <w:r w:rsidRPr="004676F5">
        <w:rPr>
          <w:bCs/>
          <w:lang w:val="de-DE"/>
        </w:rPr>
        <w:t>]</w:t>
      </w:r>
    </w:p>
    <w:p w14:paraId="67D39237" w14:textId="77777777" w:rsidR="00BC16BF" w:rsidRPr="004676F5" w:rsidRDefault="00BC16BF" w:rsidP="00BC16BF">
      <w:pPr>
        <w:jc w:val="both"/>
        <w:rPr>
          <w:bCs/>
          <w:lang w:val="de-DE"/>
        </w:rPr>
      </w:pPr>
    </w:p>
    <w:p w14:paraId="481DF000" w14:textId="2E0513E7" w:rsidR="00BC16BF" w:rsidRPr="004676F5" w:rsidRDefault="00BC16BF" w:rsidP="00BC16BF">
      <w:pPr>
        <w:jc w:val="both"/>
        <w:rPr>
          <w:i/>
          <w:iCs/>
          <w:lang w:val="de-DE"/>
        </w:rPr>
      </w:pPr>
      <w:r w:rsidRPr="004676F5">
        <w:rPr>
          <w:i/>
          <w:iCs/>
          <w:lang w:val="de-DE"/>
        </w:rPr>
        <w:t>[Art. XV.60/3 eingefügt durch Art. 20</w:t>
      </w:r>
      <w:r w:rsidRPr="004676F5">
        <w:rPr>
          <w:bCs/>
          <w:i/>
          <w:iCs/>
          <w:lang w:val="de-DE"/>
        </w:rPr>
        <w:t xml:space="preserve"> des G. vom 29. September 2020 (B.S. vom 20. November 2020)]</w:t>
      </w:r>
    </w:p>
    <w:p w14:paraId="7C5A50FB" w14:textId="77777777" w:rsidR="00B90A6A" w:rsidRPr="004676F5" w:rsidRDefault="00B90A6A">
      <w:pPr>
        <w:rPr>
          <w:bCs/>
          <w:lang w:val="de-DE"/>
        </w:rPr>
      </w:pPr>
      <w:r w:rsidRPr="004676F5">
        <w:rPr>
          <w:bCs/>
          <w:lang w:val="de-DE"/>
        </w:rPr>
        <w:br w:type="page"/>
      </w:r>
    </w:p>
    <w:p w14:paraId="1B848015" w14:textId="28C3D8A1" w:rsidR="00044712" w:rsidRPr="004676F5" w:rsidRDefault="00044712" w:rsidP="00044712">
      <w:pPr>
        <w:jc w:val="center"/>
        <w:rPr>
          <w:b/>
          <w:lang w:val="de-DE"/>
        </w:rPr>
      </w:pPr>
      <w:r w:rsidRPr="004676F5">
        <w:rPr>
          <w:bCs/>
          <w:lang w:val="de-DE"/>
        </w:rPr>
        <w:lastRenderedPageBreak/>
        <w:t>[</w:t>
      </w:r>
      <w:r w:rsidRPr="004676F5">
        <w:rPr>
          <w:b/>
          <w:lang w:val="de-DE"/>
        </w:rPr>
        <w:t xml:space="preserve">TITEL 1/2 </w:t>
      </w:r>
      <w:r w:rsidR="005B7A5C" w:rsidRPr="004676F5">
        <w:rPr>
          <w:b/>
          <w:lang w:val="de-DE"/>
        </w:rPr>
        <w:t>- </w:t>
      </w:r>
      <w:r w:rsidRPr="004676F5">
        <w:rPr>
          <w:b/>
          <w:i/>
          <w:iCs/>
          <w:lang w:val="de-DE"/>
        </w:rPr>
        <w:t xml:space="preserve">Administrative </w:t>
      </w:r>
      <w:r w:rsidRPr="004676F5">
        <w:rPr>
          <w:b/>
          <w:bCs/>
          <w:i/>
          <w:iCs/>
          <w:lang w:val="de-DE"/>
        </w:rPr>
        <w:t>Verfolgung</w:t>
      </w:r>
      <w:r w:rsidRPr="004676F5">
        <w:rPr>
          <w:lang w:val="de-DE"/>
        </w:rPr>
        <w:t>]</w:t>
      </w:r>
    </w:p>
    <w:p w14:paraId="4532702F" w14:textId="77777777" w:rsidR="00044712" w:rsidRPr="004676F5" w:rsidRDefault="00044712" w:rsidP="00044712">
      <w:pPr>
        <w:jc w:val="center"/>
        <w:rPr>
          <w:b/>
          <w:lang w:val="de-DE"/>
        </w:rPr>
      </w:pPr>
    </w:p>
    <w:p w14:paraId="3B068AA6" w14:textId="25589659" w:rsidR="00044712" w:rsidRPr="004676F5" w:rsidRDefault="00044712" w:rsidP="00044712">
      <w:pPr>
        <w:jc w:val="both"/>
        <w:rPr>
          <w:bCs/>
          <w:i/>
          <w:iCs/>
          <w:lang w:val="de-DE"/>
        </w:rPr>
      </w:pPr>
      <w:r w:rsidRPr="004676F5">
        <w:rPr>
          <w:bCs/>
          <w:i/>
          <w:iCs/>
          <w:lang w:val="de-DE"/>
        </w:rPr>
        <w:t>[Unterteilung Titel 1/2 eingefügt durch Art. 21 des G. vom 29. September 2020 (B.S. vom 20. November 2020)</w:t>
      </w:r>
      <w:r w:rsidR="00B61C9F" w:rsidRPr="004676F5">
        <w:rPr>
          <w:bCs/>
          <w:i/>
          <w:iCs/>
          <w:lang w:val="de-DE"/>
        </w:rPr>
        <w:t>]</w:t>
      </w:r>
    </w:p>
    <w:p w14:paraId="0501D867" w14:textId="77777777" w:rsidR="00044712" w:rsidRPr="004676F5" w:rsidRDefault="00044712" w:rsidP="00044712">
      <w:pPr>
        <w:jc w:val="both"/>
        <w:rPr>
          <w:bCs/>
          <w:lang w:val="de-DE"/>
        </w:rPr>
      </w:pPr>
    </w:p>
    <w:p w14:paraId="3DA7F31A" w14:textId="77777777" w:rsidR="00BC16BF" w:rsidRPr="004676F5" w:rsidRDefault="00BC16BF" w:rsidP="00BC16BF">
      <w:pPr>
        <w:jc w:val="both"/>
        <w:rPr>
          <w:bCs/>
          <w:lang w:val="de-DE"/>
        </w:rPr>
      </w:pPr>
    </w:p>
    <w:p w14:paraId="1DAED916" w14:textId="10A4F8E8" w:rsidR="00BC16BF" w:rsidRPr="004676F5" w:rsidRDefault="00044712" w:rsidP="00BA2266">
      <w:pPr>
        <w:jc w:val="center"/>
        <w:rPr>
          <w:bCs/>
          <w:lang w:val="de-DE"/>
        </w:rPr>
      </w:pPr>
      <w:r w:rsidRPr="004676F5">
        <w:rPr>
          <w:bCs/>
          <w:lang w:val="de-DE"/>
        </w:rPr>
        <w:t>[</w:t>
      </w:r>
      <w:r w:rsidRPr="004676F5">
        <w:rPr>
          <w:lang w:val="de-DE"/>
        </w:rPr>
        <w:t>KAPITEL 1 </w:t>
      </w:r>
      <w:r w:rsidR="005B7A5C" w:rsidRPr="004676F5">
        <w:rPr>
          <w:lang w:val="de-DE"/>
        </w:rPr>
        <w:t>- </w:t>
      </w:r>
      <w:r w:rsidRPr="004676F5">
        <w:rPr>
          <w:i/>
          <w:iCs/>
          <w:lang w:val="de-DE"/>
        </w:rPr>
        <w:t>Allgemeines</w:t>
      </w:r>
      <w:r w:rsidRPr="004676F5">
        <w:rPr>
          <w:bCs/>
          <w:lang w:val="de-DE"/>
        </w:rPr>
        <w:t>]</w:t>
      </w:r>
    </w:p>
    <w:p w14:paraId="24F9FBF0" w14:textId="77777777" w:rsidR="00044712" w:rsidRPr="004676F5" w:rsidRDefault="00044712" w:rsidP="00044712">
      <w:pPr>
        <w:rPr>
          <w:b/>
          <w:lang w:val="de-DE"/>
        </w:rPr>
      </w:pPr>
    </w:p>
    <w:p w14:paraId="64328767" w14:textId="3C3A5841" w:rsidR="00044712" w:rsidRPr="004676F5" w:rsidRDefault="00044712" w:rsidP="00044712">
      <w:pPr>
        <w:jc w:val="both"/>
        <w:rPr>
          <w:bCs/>
          <w:i/>
          <w:iCs/>
          <w:lang w:val="de-DE"/>
        </w:rPr>
      </w:pPr>
      <w:r w:rsidRPr="004676F5">
        <w:rPr>
          <w:bCs/>
          <w:i/>
          <w:iCs/>
          <w:lang w:val="de-DE"/>
        </w:rPr>
        <w:t>[Unterteilung Kapitel 1 eingefügt durch Art. 22 des G. vom 29. September 2020 (B.S. vom 20. November 2020)</w:t>
      </w:r>
      <w:r w:rsidR="00B61C9F" w:rsidRPr="004676F5">
        <w:rPr>
          <w:bCs/>
          <w:i/>
          <w:iCs/>
          <w:lang w:val="de-DE"/>
        </w:rPr>
        <w:t>]</w:t>
      </w:r>
    </w:p>
    <w:p w14:paraId="01816EA3" w14:textId="77777777" w:rsidR="00044712" w:rsidRPr="004676F5" w:rsidRDefault="00044712" w:rsidP="00044712">
      <w:pPr>
        <w:jc w:val="both"/>
        <w:rPr>
          <w:bCs/>
          <w:lang w:val="de-DE"/>
        </w:rPr>
      </w:pPr>
    </w:p>
    <w:p w14:paraId="54E88449" w14:textId="77777777" w:rsidR="00044712" w:rsidRPr="004676F5" w:rsidRDefault="00044712" w:rsidP="00044712">
      <w:pPr>
        <w:jc w:val="both"/>
        <w:rPr>
          <w:lang w:val="de-DE"/>
        </w:rPr>
      </w:pPr>
    </w:p>
    <w:p w14:paraId="67FB9E0C" w14:textId="6E3D654A" w:rsidR="00044712" w:rsidRPr="004676F5" w:rsidRDefault="00044712" w:rsidP="00044712">
      <w:pPr>
        <w:ind w:firstLine="708"/>
        <w:jc w:val="both"/>
        <w:rPr>
          <w:lang w:val="de-DE"/>
        </w:rPr>
      </w:pPr>
      <w:r w:rsidRPr="004676F5">
        <w:rPr>
          <w:lang w:val="de-DE"/>
        </w:rPr>
        <w:t>[</w:t>
      </w:r>
      <w:r w:rsidRPr="004676F5">
        <w:rPr>
          <w:b/>
          <w:bCs/>
          <w:lang w:val="de-DE"/>
        </w:rPr>
        <w:t>Art. XV.60/4</w:t>
      </w:r>
      <w:r w:rsidRPr="004676F5">
        <w:rPr>
          <w:lang w:val="de-DE"/>
        </w:rPr>
        <w:t> </w:t>
      </w:r>
      <w:r w:rsidR="005B7A5C" w:rsidRPr="004676F5">
        <w:rPr>
          <w:lang w:val="de-DE"/>
        </w:rPr>
        <w:t>- </w:t>
      </w:r>
      <w:r w:rsidRPr="004676F5">
        <w:rPr>
          <w:lang w:val="de-DE"/>
        </w:rPr>
        <w:t>Der König bestimmt die Bediensteten der Generaldirektion Wirtschaftsinspektion des Föderalen Öffentlichen Dienstes Wirtschaft, K.M.B., Mittelstand und Energie, die ermächtigt sind, administrative Geldbußen aufzuerlegen.]</w:t>
      </w:r>
    </w:p>
    <w:p w14:paraId="20FC7377" w14:textId="77777777" w:rsidR="00044712" w:rsidRPr="004676F5" w:rsidRDefault="00044712" w:rsidP="00044712">
      <w:pPr>
        <w:ind w:firstLine="708"/>
        <w:jc w:val="both"/>
        <w:rPr>
          <w:lang w:val="de-DE"/>
        </w:rPr>
      </w:pPr>
    </w:p>
    <w:p w14:paraId="292B7F08" w14:textId="2508F11B" w:rsidR="00044712" w:rsidRPr="004676F5" w:rsidRDefault="00044712" w:rsidP="00044712">
      <w:pPr>
        <w:jc w:val="both"/>
        <w:rPr>
          <w:i/>
          <w:iCs/>
          <w:lang w:val="de-DE"/>
        </w:rPr>
      </w:pPr>
      <w:r w:rsidRPr="004676F5">
        <w:rPr>
          <w:i/>
          <w:iCs/>
          <w:lang w:val="de-DE"/>
        </w:rPr>
        <w:t>[Art. XV.60/4 eingefügt durch Art. 23</w:t>
      </w:r>
      <w:r w:rsidRPr="004676F5">
        <w:rPr>
          <w:bCs/>
          <w:i/>
          <w:iCs/>
          <w:lang w:val="de-DE"/>
        </w:rPr>
        <w:t xml:space="preserve"> des G. vom 29. September 2020 (B.S. vom 20. November 2020)]</w:t>
      </w:r>
    </w:p>
    <w:p w14:paraId="16638CB0" w14:textId="77777777" w:rsidR="00044712" w:rsidRPr="004676F5" w:rsidRDefault="00044712" w:rsidP="00044712">
      <w:pPr>
        <w:jc w:val="both"/>
        <w:rPr>
          <w:lang w:val="de-DE"/>
        </w:rPr>
      </w:pPr>
    </w:p>
    <w:p w14:paraId="67FD5E27" w14:textId="77777777" w:rsidR="00044712" w:rsidRPr="004676F5" w:rsidRDefault="00044712" w:rsidP="00044712">
      <w:pPr>
        <w:jc w:val="both"/>
        <w:rPr>
          <w:lang w:val="de-DE"/>
        </w:rPr>
      </w:pPr>
    </w:p>
    <w:p w14:paraId="37642F9B" w14:textId="42EA36AC" w:rsidR="00044712" w:rsidRPr="004676F5" w:rsidRDefault="00044712" w:rsidP="00044712">
      <w:pPr>
        <w:jc w:val="both"/>
        <w:rPr>
          <w:lang w:val="de-DE"/>
        </w:rPr>
      </w:pPr>
      <w:r w:rsidRPr="004676F5">
        <w:rPr>
          <w:lang w:val="de-DE"/>
        </w:rPr>
        <w:tab/>
        <w:t>[</w:t>
      </w:r>
      <w:r w:rsidRPr="004676F5">
        <w:rPr>
          <w:b/>
          <w:bCs/>
          <w:lang w:val="de-DE"/>
        </w:rPr>
        <w:t>Art. XV.60/5</w:t>
      </w:r>
      <w:r w:rsidRPr="004676F5">
        <w:rPr>
          <w:lang w:val="de-DE"/>
        </w:rPr>
        <w:t> </w:t>
      </w:r>
      <w:r w:rsidR="005B7A5C" w:rsidRPr="004676F5">
        <w:rPr>
          <w:lang w:val="de-DE"/>
        </w:rPr>
        <w:t>- </w:t>
      </w:r>
      <w:r w:rsidRPr="004676F5">
        <w:rPr>
          <w:lang w:val="de-DE"/>
        </w:rPr>
        <w:t>Die in Artikel XV.60/4 erwähnten Bediensteten, die bestimmt sind, um die administrativen Geldbußen aufzuerlegen, müssen diese Befugnis unter Bedingungen ausüben, durch die ihre Unabhängigkeit und ihre Unparteilichkeit gewährleistet sind.</w:t>
      </w:r>
    </w:p>
    <w:p w14:paraId="19831697" w14:textId="77777777" w:rsidR="00044712" w:rsidRPr="004676F5" w:rsidRDefault="00044712" w:rsidP="00044712">
      <w:pPr>
        <w:jc w:val="both"/>
        <w:rPr>
          <w:lang w:val="de-DE"/>
        </w:rPr>
      </w:pPr>
    </w:p>
    <w:p w14:paraId="55066B0E" w14:textId="0056A00E" w:rsidR="00044712" w:rsidRPr="004676F5" w:rsidRDefault="00044712" w:rsidP="00044712">
      <w:pPr>
        <w:jc w:val="both"/>
        <w:rPr>
          <w:lang w:val="de-DE"/>
        </w:rPr>
      </w:pPr>
      <w:r w:rsidRPr="004676F5">
        <w:rPr>
          <w:lang w:val="de-DE"/>
        </w:rPr>
        <w:tab/>
        <w:t>Diese Bediensteten dürfen weder eine Entscheidung in einer Akte treffen, in der sie bereits in einer anderen Eigenschaft aufgetreten sind, noch direkte oder indirekte Interessen in den Unternehmen oder Einrichtungen, die vom Verfahren betroffen sind, haben.]</w:t>
      </w:r>
    </w:p>
    <w:p w14:paraId="3B94BA79" w14:textId="77777777" w:rsidR="00044712" w:rsidRPr="004676F5" w:rsidRDefault="00044712" w:rsidP="00044712">
      <w:pPr>
        <w:jc w:val="both"/>
        <w:rPr>
          <w:lang w:val="de-DE"/>
        </w:rPr>
      </w:pPr>
    </w:p>
    <w:p w14:paraId="0A5EACFE" w14:textId="7C7DFE44" w:rsidR="00044712" w:rsidRPr="004676F5" w:rsidRDefault="00044712" w:rsidP="00044712">
      <w:pPr>
        <w:jc w:val="both"/>
        <w:rPr>
          <w:i/>
          <w:iCs/>
          <w:lang w:val="de-DE"/>
        </w:rPr>
      </w:pPr>
      <w:r w:rsidRPr="004676F5">
        <w:rPr>
          <w:i/>
          <w:iCs/>
          <w:lang w:val="de-DE"/>
        </w:rPr>
        <w:t>[Art. XV.60/5 eingefügt durch Art. 24</w:t>
      </w:r>
      <w:r w:rsidRPr="004676F5">
        <w:rPr>
          <w:bCs/>
          <w:i/>
          <w:iCs/>
          <w:lang w:val="de-DE"/>
        </w:rPr>
        <w:t xml:space="preserve"> des G. vom 29. September 2020 (B.S. vom 20. November 2020)]</w:t>
      </w:r>
    </w:p>
    <w:p w14:paraId="6A171928" w14:textId="77777777" w:rsidR="00044712" w:rsidRPr="004676F5" w:rsidRDefault="00044712" w:rsidP="00044712">
      <w:pPr>
        <w:jc w:val="both"/>
        <w:rPr>
          <w:lang w:val="de-DE"/>
        </w:rPr>
      </w:pPr>
    </w:p>
    <w:p w14:paraId="7245EDDF" w14:textId="77777777" w:rsidR="00044712" w:rsidRPr="004676F5" w:rsidRDefault="00044712" w:rsidP="00044712">
      <w:pPr>
        <w:jc w:val="both"/>
        <w:rPr>
          <w:lang w:val="de-DE"/>
        </w:rPr>
      </w:pPr>
    </w:p>
    <w:p w14:paraId="058E2296" w14:textId="70FA2F74" w:rsidR="00044712" w:rsidRPr="004676F5" w:rsidRDefault="00044712" w:rsidP="00044712">
      <w:pPr>
        <w:jc w:val="both"/>
        <w:rPr>
          <w:lang w:val="de-DE"/>
        </w:rPr>
      </w:pPr>
      <w:r w:rsidRPr="004676F5">
        <w:rPr>
          <w:lang w:val="de-DE"/>
        </w:rPr>
        <w:tab/>
        <w:t>[</w:t>
      </w:r>
      <w:r w:rsidRPr="004676F5">
        <w:rPr>
          <w:b/>
          <w:bCs/>
          <w:lang w:val="de-DE"/>
        </w:rPr>
        <w:t>Art. XV.60/6</w:t>
      </w:r>
      <w:r w:rsidRPr="004676F5">
        <w:rPr>
          <w:lang w:val="de-DE"/>
        </w:rPr>
        <w:t> </w:t>
      </w:r>
      <w:r w:rsidR="005B7A5C" w:rsidRPr="004676F5">
        <w:rPr>
          <w:lang w:val="de-DE"/>
        </w:rPr>
        <w:t>- </w:t>
      </w:r>
      <w:r w:rsidRPr="004676F5">
        <w:rPr>
          <w:lang w:val="de-DE"/>
        </w:rPr>
        <w:t>Die in Artikel XV.60/4 erwähnten Bediensteten können von den zuständigen öffentlichen Einrichtungen oder öffentlichen Diensten die administrativen Auskünfte verlangen, die sie brauchen, um über alle Elemente zu verfügen, die es ihnen ermöglichen, in voller Kenntnis der Sachlage eine Entscheidung in Bezug auf die Weiterbearbeitung der bei ihnen in Bearbeitung befindlichen Akte zu treffen.</w:t>
      </w:r>
    </w:p>
    <w:p w14:paraId="38D18F9D" w14:textId="77777777" w:rsidR="00044712" w:rsidRPr="004676F5" w:rsidRDefault="00044712" w:rsidP="00044712">
      <w:pPr>
        <w:jc w:val="both"/>
        <w:rPr>
          <w:lang w:val="de-DE"/>
        </w:rPr>
      </w:pPr>
    </w:p>
    <w:p w14:paraId="5A7F3993" w14:textId="77777777" w:rsidR="00044712" w:rsidRPr="004676F5" w:rsidRDefault="00044712" w:rsidP="00044712">
      <w:pPr>
        <w:jc w:val="both"/>
        <w:rPr>
          <w:lang w:val="de-DE"/>
        </w:rPr>
      </w:pPr>
      <w:r w:rsidRPr="004676F5">
        <w:rPr>
          <w:lang w:val="de-DE"/>
        </w:rPr>
        <w:tab/>
        <w:t>Alle staatlichen Dienste, darin einbegriffen die Staatsanwaltschaften, die Kanzleien der Gerichtshöfe und Gerichte und die Polizei, alle Dienste der Provinzen, Agglomerationen, Gemeindeföderationen, Gemeinden und der Vereinigungen, denen sie angehören, und der öffentlichen Einrichtungen, die ihnen unterstehen, und sämtliche öffentlichen und mitwirkenden Einrichtungen für sozialen Sicherheit gehen auf die Ersuchen der zuständigen Bediensteten ein, ihnen jegliche Auskünfte zu erteilen und ihnen Kopien, in gleich welcher Form, von sämtlichen Datenträgern zu besorgen; Informationen und Unterlagen über Ermittlungen oder Untersuchungen können jedoch nur mit der ausdrücklichen Erlaubnis des zuständigen Generalprokurators oder des Föderalprokurators mitgeteilt werden.</w:t>
      </w:r>
    </w:p>
    <w:p w14:paraId="5DD09770" w14:textId="77777777" w:rsidR="00044712" w:rsidRPr="004676F5" w:rsidRDefault="00044712" w:rsidP="00044712">
      <w:pPr>
        <w:jc w:val="both"/>
        <w:rPr>
          <w:lang w:val="de-DE"/>
        </w:rPr>
      </w:pPr>
    </w:p>
    <w:p w14:paraId="264E9821" w14:textId="77777777" w:rsidR="00044712" w:rsidRPr="004676F5" w:rsidRDefault="00044712" w:rsidP="00044712">
      <w:pPr>
        <w:jc w:val="both"/>
        <w:rPr>
          <w:lang w:val="de-DE"/>
        </w:rPr>
      </w:pPr>
      <w:r w:rsidRPr="004676F5">
        <w:rPr>
          <w:lang w:val="de-DE"/>
        </w:rPr>
        <w:tab/>
        <w:t>Die vorerwähnten Dienste stellen diese Auskünfte und Kopien kostenlos zur Verfügung.</w:t>
      </w:r>
    </w:p>
    <w:p w14:paraId="302EE7CE" w14:textId="77777777" w:rsidR="00044712" w:rsidRPr="004676F5" w:rsidRDefault="00044712" w:rsidP="00044712">
      <w:pPr>
        <w:jc w:val="both"/>
        <w:rPr>
          <w:lang w:val="de-DE"/>
        </w:rPr>
      </w:pPr>
    </w:p>
    <w:p w14:paraId="2653A2F9" w14:textId="76644B1D" w:rsidR="00044712" w:rsidRPr="004676F5" w:rsidRDefault="00044712" w:rsidP="00044712">
      <w:pPr>
        <w:jc w:val="both"/>
        <w:rPr>
          <w:lang w:val="de-DE"/>
        </w:rPr>
      </w:pPr>
      <w:r w:rsidRPr="004676F5">
        <w:rPr>
          <w:lang w:val="de-DE"/>
        </w:rPr>
        <w:lastRenderedPageBreak/>
        <w:tab/>
        <w:t>Auskünfte, die bei der Ausübung der von der Staatsanwaltschaft oder dem Untersuchungsrichter vorgeschriebenen Pflichten gesammelt wurden, dürfen jedoch nur mit ausdrücklicher Erlaubnis der Staatsanwaltschaft beziehungsweise des Untersuchungsrichters mitgeteilt werden.]</w:t>
      </w:r>
    </w:p>
    <w:p w14:paraId="74BBAC69" w14:textId="77777777" w:rsidR="00044712" w:rsidRPr="004676F5" w:rsidRDefault="00044712" w:rsidP="00044712">
      <w:pPr>
        <w:jc w:val="both"/>
        <w:rPr>
          <w:lang w:val="de-DE"/>
        </w:rPr>
      </w:pPr>
    </w:p>
    <w:p w14:paraId="53882C1A" w14:textId="7318F48D" w:rsidR="00044712" w:rsidRPr="004676F5" w:rsidRDefault="00044712" w:rsidP="00044712">
      <w:pPr>
        <w:jc w:val="both"/>
        <w:rPr>
          <w:i/>
          <w:iCs/>
          <w:lang w:val="de-DE"/>
        </w:rPr>
      </w:pPr>
      <w:r w:rsidRPr="004676F5">
        <w:rPr>
          <w:i/>
          <w:iCs/>
          <w:lang w:val="de-DE"/>
        </w:rPr>
        <w:t>[Art. XV.60/6 eingefügt durch Art. 25</w:t>
      </w:r>
      <w:r w:rsidRPr="004676F5">
        <w:rPr>
          <w:bCs/>
          <w:i/>
          <w:iCs/>
          <w:lang w:val="de-DE"/>
        </w:rPr>
        <w:t xml:space="preserve"> des G. vom 29. September 2020 (B.S. vom 20. November 2020)]</w:t>
      </w:r>
    </w:p>
    <w:p w14:paraId="3F364929" w14:textId="77777777" w:rsidR="00044712" w:rsidRPr="004676F5" w:rsidRDefault="00044712" w:rsidP="00044712">
      <w:pPr>
        <w:jc w:val="both"/>
        <w:rPr>
          <w:bCs/>
          <w:lang w:val="de-DE"/>
        </w:rPr>
      </w:pPr>
    </w:p>
    <w:p w14:paraId="21EBB3A1" w14:textId="1F6ABC49" w:rsidR="00044712" w:rsidRPr="004676F5" w:rsidRDefault="00044712">
      <w:pPr>
        <w:rPr>
          <w:bCs/>
          <w:lang w:val="de-DE"/>
        </w:rPr>
      </w:pPr>
      <w:r w:rsidRPr="004676F5">
        <w:rPr>
          <w:bCs/>
          <w:lang w:val="de-DE"/>
        </w:rPr>
        <w:br w:type="page"/>
      </w:r>
    </w:p>
    <w:p w14:paraId="5CC6081F" w14:textId="6DF1CF68" w:rsidR="00044712" w:rsidRPr="004676F5" w:rsidRDefault="00044712" w:rsidP="00044712">
      <w:pPr>
        <w:jc w:val="center"/>
        <w:rPr>
          <w:bCs/>
          <w:lang w:val="de-DE"/>
        </w:rPr>
      </w:pPr>
      <w:r w:rsidRPr="004676F5">
        <w:rPr>
          <w:bCs/>
          <w:lang w:val="de-DE"/>
        </w:rPr>
        <w:lastRenderedPageBreak/>
        <w:t>[</w:t>
      </w:r>
      <w:r w:rsidRPr="004676F5">
        <w:rPr>
          <w:lang w:val="de-DE"/>
        </w:rPr>
        <w:t>KAPITEL 2 </w:t>
      </w:r>
      <w:r w:rsidR="005B7A5C" w:rsidRPr="004676F5">
        <w:rPr>
          <w:lang w:val="de-DE"/>
        </w:rPr>
        <w:t>- </w:t>
      </w:r>
      <w:r w:rsidRPr="004676F5">
        <w:rPr>
          <w:i/>
          <w:iCs/>
          <w:lang w:val="de-DE"/>
        </w:rPr>
        <w:t>Verteidigungsmittel</w:t>
      </w:r>
      <w:r w:rsidRPr="004676F5">
        <w:rPr>
          <w:bCs/>
          <w:lang w:val="de-DE"/>
        </w:rPr>
        <w:t>]</w:t>
      </w:r>
    </w:p>
    <w:p w14:paraId="489D6216" w14:textId="77777777" w:rsidR="00B61C9F" w:rsidRPr="004676F5" w:rsidRDefault="00B61C9F" w:rsidP="00044712">
      <w:pPr>
        <w:jc w:val="center"/>
        <w:rPr>
          <w:bCs/>
          <w:lang w:val="de-DE"/>
        </w:rPr>
      </w:pPr>
    </w:p>
    <w:p w14:paraId="732404FF" w14:textId="1BC3A915" w:rsidR="00B61C9F" w:rsidRPr="004676F5" w:rsidRDefault="00B61C9F" w:rsidP="00B61C9F">
      <w:pPr>
        <w:jc w:val="both"/>
        <w:rPr>
          <w:bCs/>
          <w:i/>
          <w:iCs/>
          <w:lang w:val="de-DE"/>
        </w:rPr>
      </w:pPr>
      <w:r w:rsidRPr="004676F5">
        <w:rPr>
          <w:bCs/>
          <w:i/>
          <w:iCs/>
          <w:lang w:val="de-DE"/>
        </w:rPr>
        <w:t>[Unterteilung Kapitel 2 eingefügt durch Art. 26 des G. vom 29. September 2020 (B.S. vom 20. November 2020)]</w:t>
      </w:r>
    </w:p>
    <w:p w14:paraId="2B7F1D01" w14:textId="77777777" w:rsidR="00B61C9F" w:rsidRPr="004676F5" w:rsidRDefault="00B61C9F" w:rsidP="00B61C9F">
      <w:pPr>
        <w:jc w:val="both"/>
        <w:rPr>
          <w:bCs/>
          <w:lang w:val="de-DE"/>
        </w:rPr>
      </w:pPr>
    </w:p>
    <w:p w14:paraId="7349FEC9" w14:textId="77777777" w:rsidR="00B61C9F" w:rsidRPr="004676F5" w:rsidRDefault="00B61C9F" w:rsidP="00B61C9F">
      <w:pPr>
        <w:jc w:val="both"/>
        <w:rPr>
          <w:bCs/>
          <w:lang w:val="de-DE"/>
        </w:rPr>
      </w:pPr>
    </w:p>
    <w:p w14:paraId="15C2B39C" w14:textId="7900044B" w:rsidR="00B61C9F" w:rsidRPr="004676F5" w:rsidRDefault="00B61C9F" w:rsidP="00B61C9F">
      <w:pPr>
        <w:jc w:val="both"/>
        <w:rPr>
          <w:lang w:val="de-DE"/>
        </w:rPr>
      </w:pPr>
      <w:r w:rsidRPr="004676F5">
        <w:rPr>
          <w:bCs/>
          <w:lang w:val="de-DE"/>
        </w:rPr>
        <w:tab/>
        <w:t>[</w:t>
      </w:r>
      <w:r w:rsidRPr="004676F5">
        <w:rPr>
          <w:b/>
          <w:bCs/>
          <w:lang w:val="de-DE"/>
        </w:rPr>
        <w:t>Art. XV.60/7</w:t>
      </w:r>
      <w:r w:rsidRPr="004676F5">
        <w:rPr>
          <w:lang w:val="de-DE"/>
        </w:rPr>
        <w:t> </w:t>
      </w:r>
      <w:r w:rsidR="005B7A5C" w:rsidRPr="004676F5">
        <w:rPr>
          <w:lang w:val="de-DE"/>
        </w:rPr>
        <w:t>- </w:t>
      </w:r>
      <w:r w:rsidRPr="004676F5">
        <w:rPr>
          <w:lang w:val="de-DE"/>
        </w:rPr>
        <w:t>Der Zuwiderhandelnde wird per Einschreibesendung dazu aufgefordert, seine Verteidigungsmittel vorzubringen. In dieser Sendung werden folgende Informationen angegeben:</w:t>
      </w:r>
    </w:p>
    <w:p w14:paraId="69713119" w14:textId="77777777" w:rsidR="00B61C9F" w:rsidRPr="004676F5" w:rsidRDefault="00B61C9F" w:rsidP="00B61C9F">
      <w:pPr>
        <w:jc w:val="both"/>
        <w:rPr>
          <w:lang w:val="de-DE"/>
        </w:rPr>
      </w:pPr>
    </w:p>
    <w:p w14:paraId="36758C96" w14:textId="77777777" w:rsidR="00B61C9F" w:rsidRPr="004676F5" w:rsidRDefault="00B61C9F" w:rsidP="00B61C9F">
      <w:pPr>
        <w:jc w:val="both"/>
        <w:rPr>
          <w:lang w:val="de-DE"/>
        </w:rPr>
      </w:pPr>
      <w:r w:rsidRPr="004676F5">
        <w:rPr>
          <w:lang w:val="de-DE"/>
        </w:rPr>
        <w:tab/>
        <w:t>1. Referenzangaben des Protokolls, durch das der Verstoß festgestellt wird und in dem die Taten aufgeführt werden, die der Einleitung des Verfahrens zugrunde liegen,</w:t>
      </w:r>
    </w:p>
    <w:p w14:paraId="569F1DAC" w14:textId="77777777" w:rsidR="00B61C9F" w:rsidRPr="004676F5" w:rsidRDefault="00B61C9F" w:rsidP="00B61C9F">
      <w:pPr>
        <w:jc w:val="both"/>
        <w:rPr>
          <w:lang w:val="de-DE"/>
        </w:rPr>
      </w:pPr>
    </w:p>
    <w:p w14:paraId="31423EC1" w14:textId="77777777" w:rsidR="00B61C9F" w:rsidRPr="004676F5" w:rsidRDefault="00B61C9F" w:rsidP="00B61C9F">
      <w:pPr>
        <w:jc w:val="both"/>
        <w:rPr>
          <w:lang w:val="de-DE"/>
        </w:rPr>
      </w:pPr>
      <w:r w:rsidRPr="004676F5">
        <w:rPr>
          <w:lang w:val="de-DE"/>
        </w:rPr>
        <w:tab/>
        <w:t>2. Bestehen des Rechts für den Zuwiderhandelnden, innerhalb einer Frist von dreißig Tagen ab dem Tag der Notifizierung, nämlich ab dem Tag, an dem die Einschreibesendung dem Empfänger vorgelegt worden ist, seine Verteidigungsmittel vorzubringen,</w:t>
      </w:r>
    </w:p>
    <w:p w14:paraId="556E41D6" w14:textId="77777777" w:rsidR="00B61C9F" w:rsidRPr="004676F5" w:rsidRDefault="00B61C9F" w:rsidP="00B61C9F">
      <w:pPr>
        <w:jc w:val="both"/>
        <w:rPr>
          <w:lang w:val="de-DE"/>
        </w:rPr>
      </w:pPr>
    </w:p>
    <w:p w14:paraId="01E092C7" w14:textId="77777777" w:rsidR="00B61C9F" w:rsidRPr="004676F5" w:rsidRDefault="00B61C9F" w:rsidP="00B61C9F">
      <w:pPr>
        <w:jc w:val="both"/>
        <w:rPr>
          <w:lang w:val="de-DE"/>
        </w:rPr>
      </w:pPr>
      <w:r w:rsidRPr="004676F5">
        <w:rPr>
          <w:lang w:val="de-DE"/>
        </w:rPr>
        <w:tab/>
        <w:t>3. Bestehen des Rechts, sich von einem Beistand beistehen zu lassen,</w:t>
      </w:r>
    </w:p>
    <w:p w14:paraId="1F6B7C37" w14:textId="77777777" w:rsidR="00B61C9F" w:rsidRPr="004676F5" w:rsidRDefault="00B61C9F" w:rsidP="00B61C9F">
      <w:pPr>
        <w:jc w:val="both"/>
        <w:rPr>
          <w:lang w:val="de-DE"/>
        </w:rPr>
      </w:pPr>
    </w:p>
    <w:p w14:paraId="79890BFE" w14:textId="77777777" w:rsidR="00B61C9F" w:rsidRPr="004676F5" w:rsidRDefault="00B61C9F" w:rsidP="00B61C9F">
      <w:pPr>
        <w:jc w:val="both"/>
        <w:rPr>
          <w:lang w:val="de-DE"/>
        </w:rPr>
      </w:pPr>
      <w:r w:rsidRPr="004676F5">
        <w:rPr>
          <w:lang w:val="de-DE"/>
        </w:rPr>
        <w:tab/>
        <w:t>4. Adresse des Dienstes, dem die in Artikel XV.60/4 erwähnten zuständigen Bediensteten angehören, wo der Zuwiderhandelnde seine Akte einsehen kann, und Öffnungszeiten, zu denen er sich zu diesem Zweck an die zuständigen Bediensteten wenden kann,</w:t>
      </w:r>
    </w:p>
    <w:p w14:paraId="199E0118" w14:textId="77777777" w:rsidR="00B61C9F" w:rsidRPr="004676F5" w:rsidRDefault="00B61C9F" w:rsidP="00B61C9F">
      <w:pPr>
        <w:jc w:val="both"/>
        <w:rPr>
          <w:lang w:val="de-DE"/>
        </w:rPr>
      </w:pPr>
    </w:p>
    <w:p w14:paraId="5D9CA5E5" w14:textId="77777777" w:rsidR="00B61C9F" w:rsidRPr="004676F5" w:rsidRDefault="00B61C9F" w:rsidP="00B61C9F">
      <w:pPr>
        <w:jc w:val="both"/>
        <w:rPr>
          <w:lang w:val="de-DE"/>
        </w:rPr>
      </w:pPr>
      <w:r w:rsidRPr="004676F5">
        <w:rPr>
          <w:lang w:val="de-DE"/>
        </w:rPr>
        <w:tab/>
        <w:t>5. Bestehen des Rechts für den Zuwiderhandelnden, eine Abschrift der Akte zu erhalten,</w:t>
      </w:r>
    </w:p>
    <w:p w14:paraId="5D953A86" w14:textId="77777777" w:rsidR="00B61C9F" w:rsidRPr="004676F5" w:rsidRDefault="00B61C9F" w:rsidP="00B61C9F">
      <w:pPr>
        <w:jc w:val="both"/>
        <w:rPr>
          <w:lang w:val="de-DE"/>
        </w:rPr>
      </w:pPr>
    </w:p>
    <w:p w14:paraId="40F31BF1" w14:textId="77777777" w:rsidR="00B61C9F" w:rsidRPr="004676F5" w:rsidRDefault="00B61C9F" w:rsidP="00B61C9F">
      <w:pPr>
        <w:jc w:val="both"/>
        <w:rPr>
          <w:lang w:val="de-DE"/>
        </w:rPr>
      </w:pPr>
      <w:r w:rsidRPr="004676F5">
        <w:rPr>
          <w:lang w:val="de-DE"/>
        </w:rPr>
        <w:tab/>
        <w:t>6. Postadresse und E-Mail-Adresse des Dienstes, dem die in Artikel XV.60/4 erwähnten zuständigen Bediensteten angehören, im Hinblick auf das Vorbringen der Verteidigungsmittel.</w:t>
      </w:r>
    </w:p>
    <w:p w14:paraId="4983D0A8" w14:textId="77777777" w:rsidR="00B61C9F" w:rsidRPr="004676F5" w:rsidRDefault="00B61C9F" w:rsidP="00B61C9F">
      <w:pPr>
        <w:jc w:val="both"/>
        <w:rPr>
          <w:lang w:val="de-DE"/>
        </w:rPr>
      </w:pPr>
    </w:p>
    <w:p w14:paraId="60E88A48" w14:textId="77777777" w:rsidR="00B61C9F" w:rsidRPr="004676F5" w:rsidRDefault="00B61C9F" w:rsidP="00B61C9F">
      <w:pPr>
        <w:jc w:val="both"/>
        <w:rPr>
          <w:lang w:val="de-DE"/>
        </w:rPr>
      </w:pPr>
      <w:r w:rsidRPr="004676F5">
        <w:rPr>
          <w:lang w:val="de-DE"/>
        </w:rPr>
        <w:tab/>
        <w:t>Wenn der Zuwiderhandelnde versäumt hat, die Einschreibesendung entgegenzu</w:t>
      </w:r>
      <w:r w:rsidRPr="004676F5">
        <w:rPr>
          <w:lang w:val="de-DE"/>
        </w:rPr>
        <w:softHyphen/>
        <w:t>nehmen, senden die zuständigen Bediensteten ihm durch gewöhnlichen Brief oder elektronisch eine zweite Aufforderung zum Vorbringen seiner Verteidigungsmittel zu.</w:t>
      </w:r>
    </w:p>
    <w:p w14:paraId="540DD069" w14:textId="77777777" w:rsidR="00B61C9F" w:rsidRPr="004676F5" w:rsidRDefault="00B61C9F" w:rsidP="00B61C9F">
      <w:pPr>
        <w:jc w:val="both"/>
        <w:rPr>
          <w:lang w:val="de-DE"/>
        </w:rPr>
      </w:pPr>
    </w:p>
    <w:p w14:paraId="31012755" w14:textId="6F9A48E2" w:rsidR="00B61C9F" w:rsidRPr="004676F5" w:rsidRDefault="00B61C9F" w:rsidP="00B61C9F">
      <w:pPr>
        <w:jc w:val="both"/>
        <w:rPr>
          <w:lang w:val="de-DE"/>
        </w:rPr>
      </w:pPr>
      <w:r w:rsidRPr="004676F5">
        <w:rPr>
          <w:lang w:val="de-DE"/>
        </w:rPr>
        <w:tab/>
        <w:t>Durch diese zweite Aufforderung setzt keine neue Frist von dreißig Tagen für das Vorbringen der Verteidigungsmittel ein.]</w:t>
      </w:r>
    </w:p>
    <w:p w14:paraId="7F86438E" w14:textId="77777777" w:rsidR="00B90A6A" w:rsidRPr="004676F5" w:rsidRDefault="00B90A6A" w:rsidP="00B61C9F">
      <w:pPr>
        <w:jc w:val="both"/>
        <w:rPr>
          <w:lang w:val="de-DE"/>
        </w:rPr>
      </w:pPr>
    </w:p>
    <w:p w14:paraId="475B7BF7" w14:textId="42D57F3E" w:rsidR="00B90A6A" w:rsidRPr="004676F5" w:rsidRDefault="00B90A6A" w:rsidP="00B61C9F">
      <w:pPr>
        <w:jc w:val="both"/>
        <w:rPr>
          <w:lang w:val="de-DE"/>
        </w:rPr>
      </w:pPr>
      <w:r w:rsidRPr="004676F5">
        <w:rPr>
          <w:lang w:val="de-DE"/>
        </w:rPr>
        <w:tab/>
        <w:t>[Die in Artikel XV.60/4 erwähnten zuständigen Bediensteten können eine Verlängerung der in Absatz 1 Nr. 2 erwähnten Frist gewähren, sofern der Zuwiderhandelnde oder sein Beistand zu diesem Zweck einen mit Gründen versehenen Antrag einreicht.]</w:t>
      </w:r>
    </w:p>
    <w:p w14:paraId="2F2CD25C" w14:textId="3874921D" w:rsidR="00B61C9F" w:rsidRPr="004676F5" w:rsidRDefault="00B61C9F" w:rsidP="00B61C9F">
      <w:pPr>
        <w:jc w:val="both"/>
        <w:rPr>
          <w:lang w:val="de-DE"/>
        </w:rPr>
      </w:pPr>
    </w:p>
    <w:p w14:paraId="3276CB76" w14:textId="1B7698C6" w:rsidR="00B61C9F" w:rsidRPr="004676F5" w:rsidRDefault="00B61C9F" w:rsidP="00B61C9F">
      <w:pPr>
        <w:jc w:val="both"/>
        <w:rPr>
          <w:i/>
          <w:iCs/>
          <w:lang w:val="de-DE"/>
        </w:rPr>
      </w:pPr>
      <w:r w:rsidRPr="004676F5">
        <w:rPr>
          <w:i/>
          <w:iCs/>
          <w:lang w:val="de-DE"/>
        </w:rPr>
        <w:t>[Art. XV.60/7 eingefügt durch Art. 27</w:t>
      </w:r>
      <w:r w:rsidRPr="004676F5">
        <w:rPr>
          <w:bCs/>
          <w:i/>
          <w:iCs/>
          <w:lang w:val="de-DE"/>
        </w:rPr>
        <w:t xml:space="preserve"> des G. vom 29. September 2020 (B.S. vom 20. November 2020)</w:t>
      </w:r>
      <w:r w:rsidR="00B90A6A" w:rsidRPr="004676F5">
        <w:rPr>
          <w:bCs/>
          <w:i/>
          <w:iCs/>
          <w:lang w:val="de-DE"/>
        </w:rPr>
        <w:t>; Abs. 4 eingefügt durch Art. 48 des G. vom 9. Februar 2024 (B.S. vom 21. März 2024)</w:t>
      </w:r>
      <w:r w:rsidRPr="004676F5">
        <w:rPr>
          <w:bCs/>
          <w:i/>
          <w:iCs/>
          <w:lang w:val="de-DE"/>
        </w:rPr>
        <w:t>]</w:t>
      </w:r>
    </w:p>
    <w:p w14:paraId="144EC3E5" w14:textId="77777777" w:rsidR="00B61C9F" w:rsidRPr="004676F5" w:rsidRDefault="00B61C9F" w:rsidP="00B61C9F">
      <w:pPr>
        <w:jc w:val="both"/>
        <w:rPr>
          <w:lang w:val="de-DE"/>
        </w:rPr>
      </w:pPr>
    </w:p>
    <w:p w14:paraId="2CBDDDC4" w14:textId="77777777" w:rsidR="00B61C9F" w:rsidRPr="004676F5" w:rsidRDefault="00B61C9F" w:rsidP="00B61C9F">
      <w:pPr>
        <w:jc w:val="both"/>
        <w:rPr>
          <w:lang w:val="de-DE"/>
        </w:rPr>
      </w:pPr>
    </w:p>
    <w:p w14:paraId="77C9E39D" w14:textId="0A256F38" w:rsidR="00B61C9F" w:rsidRPr="004676F5" w:rsidRDefault="00B61C9F" w:rsidP="00B61C9F">
      <w:pPr>
        <w:jc w:val="both"/>
        <w:rPr>
          <w:lang w:val="de-DE"/>
        </w:rPr>
      </w:pPr>
      <w:r w:rsidRPr="004676F5">
        <w:rPr>
          <w:lang w:val="de-DE"/>
        </w:rPr>
        <w:tab/>
        <w:t>[</w:t>
      </w:r>
      <w:r w:rsidRPr="004676F5">
        <w:rPr>
          <w:b/>
          <w:bCs/>
          <w:lang w:val="de-DE"/>
        </w:rPr>
        <w:t>Art. XV.60/8</w:t>
      </w:r>
      <w:r w:rsidRPr="004676F5">
        <w:rPr>
          <w:lang w:val="de-DE"/>
        </w:rPr>
        <w:t> </w:t>
      </w:r>
      <w:r w:rsidR="005B7A5C" w:rsidRPr="004676F5">
        <w:rPr>
          <w:lang w:val="de-DE"/>
        </w:rPr>
        <w:t>- </w:t>
      </w:r>
      <w:r w:rsidRPr="004676F5">
        <w:rPr>
          <w:lang w:val="de-DE"/>
        </w:rPr>
        <w:t>Die Verteidigungsmittel können schriftlich, einschließlich per E-Mail, vorgebracht werden.</w:t>
      </w:r>
    </w:p>
    <w:p w14:paraId="172E00A3" w14:textId="77777777" w:rsidR="00B61C9F" w:rsidRPr="004676F5" w:rsidRDefault="00B61C9F" w:rsidP="00B61C9F">
      <w:pPr>
        <w:jc w:val="both"/>
        <w:rPr>
          <w:lang w:val="de-DE"/>
        </w:rPr>
      </w:pPr>
    </w:p>
    <w:p w14:paraId="00C16B65" w14:textId="77777777" w:rsidR="00B90A6A" w:rsidRPr="004676F5" w:rsidRDefault="00B90A6A">
      <w:pPr>
        <w:rPr>
          <w:lang w:val="de-DE"/>
        </w:rPr>
      </w:pPr>
      <w:r w:rsidRPr="004676F5">
        <w:rPr>
          <w:lang w:val="de-DE"/>
        </w:rPr>
        <w:br w:type="page"/>
      </w:r>
    </w:p>
    <w:p w14:paraId="5ADB37C4" w14:textId="09C25EF4" w:rsidR="00B61C9F" w:rsidRPr="004676F5" w:rsidRDefault="00B61C9F" w:rsidP="00B61C9F">
      <w:pPr>
        <w:jc w:val="both"/>
        <w:rPr>
          <w:lang w:val="de-DE"/>
        </w:rPr>
      </w:pPr>
      <w:r w:rsidRPr="004676F5">
        <w:rPr>
          <w:lang w:val="de-DE"/>
        </w:rPr>
        <w:lastRenderedPageBreak/>
        <w:tab/>
        <w:t>Sie können ebenfalls bei den in Artikel XV.60/4 erwähnten Bediensteten mündlich vorgebracht werden.]</w:t>
      </w:r>
    </w:p>
    <w:p w14:paraId="26F75024" w14:textId="77777777" w:rsidR="00B61C9F" w:rsidRPr="004676F5" w:rsidRDefault="00B61C9F" w:rsidP="00B61C9F">
      <w:pPr>
        <w:jc w:val="both"/>
        <w:rPr>
          <w:lang w:val="de-DE"/>
        </w:rPr>
      </w:pPr>
    </w:p>
    <w:p w14:paraId="043E1739" w14:textId="3ED55A97" w:rsidR="00B61C9F" w:rsidRPr="004676F5" w:rsidRDefault="00B61C9F" w:rsidP="00B61C9F">
      <w:pPr>
        <w:jc w:val="both"/>
        <w:rPr>
          <w:i/>
          <w:iCs/>
          <w:lang w:val="de-DE"/>
        </w:rPr>
      </w:pPr>
      <w:r w:rsidRPr="004676F5">
        <w:rPr>
          <w:i/>
          <w:iCs/>
          <w:lang w:val="de-DE"/>
        </w:rPr>
        <w:t>[Art. XV.60/8 eingefügt durch Art. 28</w:t>
      </w:r>
      <w:r w:rsidRPr="004676F5">
        <w:rPr>
          <w:bCs/>
          <w:i/>
          <w:iCs/>
          <w:lang w:val="de-DE"/>
        </w:rPr>
        <w:t xml:space="preserve"> des G. vom 29. September 2020 (B.S. vom 20. November 2020)]</w:t>
      </w:r>
    </w:p>
    <w:p w14:paraId="7B28A463" w14:textId="77777777" w:rsidR="00B61C9F" w:rsidRPr="004676F5" w:rsidRDefault="00B61C9F" w:rsidP="00B61C9F">
      <w:pPr>
        <w:jc w:val="both"/>
        <w:rPr>
          <w:lang w:val="de-DE"/>
        </w:rPr>
      </w:pPr>
    </w:p>
    <w:p w14:paraId="78CA4B2B" w14:textId="77777777" w:rsidR="00B61C9F" w:rsidRPr="004676F5" w:rsidRDefault="00B61C9F" w:rsidP="00B61C9F">
      <w:pPr>
        <w:jc w:val="both"/>
        <w:rPr>
          <w:lang w:val="de-DE"/>
        </w:rPr>
      </w:pPr>
    </w:p>
    <w:p w14:paraId="2A91B40E" w14:textId="00A4D44C" w:rsidR="00B61C9F" w:rsidRPr="004676F5" w:rsidRDefault="00B61C9F" w:rsidP="00B61C9F">
      <w:pPr>
        <w:jc w:val="both"/>
        <w:rPr>
          <w:lang w:val="de-DE"/>
        </w:rPr>
      </w:pPr>
      <w:r w:rsidRPr="004676F5">
        <w:rPr>
          <w:lang w:val="de-DE"/>
        </w:rPr>
        <w:tab/>
        <w:t>[</w:t>
      </w:r>
      <w:r w:rsidRPr="004676F5">
        <w:rPr>
          <w:b/>
          <w:bCs/>
          <w:lang w:val="de-DE"/>
        </w:rPr>
        <w:t>Art. XV.60/9</w:t>
      </w:r>
      <w:r w:rsidRPr="004676F5">
        <w:rPr>
          <w:lang w:val="de-DE"/>
        </w:rPr>
        <w:t> </w:t>
      </w:r>
      <w:r w:rsidR="005B7A5C" w:rsidRPr="004676F5">
        <w:rPr>
          <w:lang w:val="de-DE"/>
        </w:rPr>
        <w:t>- </w:t>
      </w:r>
      <w:r w:rsidRPr="004676F5">
        <w:rPr>
          <w:lang w:val="de-DE"/>
        </w:rPr>
        <w:t>Die in Artikel XV.60/4 erwähnten zuständigen Bediensteten stellen dem Zuwiderhandelnden oder seinem Beistand die Akte in Bezug auf die Verstöße, die Anlass zur Anwendung der administrativen Geldbuße geben können, zur Verfügung, so dass er sie in den Räumlichkeiten der zuständigen Bediensteten einsehen kann; auf Antrag stellen die zuständigen Bediensteten eine Abschrift der Aktenstücke bereit.</w:t>
      </w:r>
    </w:p>
    <w:p w14:paraId="32B53941" w14:textId="77777777" w:rsidR="00B61C9F" w:rsidRPr="004676F5" w:rsidRDefault="00B61C9F" w:rsidP="00B61C9F">
      <w:pPr>
        <w:jc w:val="both"/>
        <w:rPr>
          <w:lang w:val="de-DE"/>
        </w:rPr>
      </w:pPr>
    </w:p>
    <w:p w14:paraId="061AE2ED" w14:textId="6D6246FB" w:rsidR="00B61C9F" w:rsidRPr="004676F5" w:rsidRDefault="00B61C9F" w:rsidP="00B61C9F">
      <w:pPr>
        <w:jc w:val="both"/>
        <w:rPr>
          <w:bCs/>
          <w:lang w:val="de-DE"/>
        </w:rPr>
      </w:pPr>
      <w:r w:rsidRPr="004676F5">
        <w:rPr>
          <w:lang w:val="de-DE"/>
        </w:rPr>
        <w:tab/>
        <w:t>Artikel 460</w:t>
      </w:r>
      <w:r w:rsidRPr="004676F5">
        <w:rPr>
          <w:i/>
          <w:lang w:val="de-DE"/>
        </w:rPr>
        <w:t>ter</w:t>
      </w:r>
      <w:r w:rsidRPr="004676F5">
        <w:rPr>
          <w:lang w:val="de-DE"/>
        </w:rPr>
        <w:t xml:space="preserve"> des Strafgesetzbuches ist anwendbar auf den Zuwiderhandelnden; dieser wird im Hinblick auf die Anwendung dieser Bestimmung dem Beschuldigten gleichgestellt.</w:t>
      </w:r>
      <w:r w:rsidRPr="004676F5">
        <w:rPr>
          <w:bCs/>
          <w:lang w:val="de-DE"/>
        </w:rPr>
        <w:t>]</w:t>
      </w:r>
    </w:p>
    <w:p w14:paraId="45886FF6" w14:textId="77777777" w:rsidR="00B61C9F" w:rsidRPr="004676F5" w:rsidRDefault="00B61C9F" w:rsidP="00B61C9F">
      <w:pPr>
        <w:jc w:val="both"/>
        <w:rPr>
          <w:bCs/>
          <w:lang w:val="de-DE"/>
        </w:rPr>
      </w:pPr>
    </w:p>
    <w:p w14:paraId="1AB1C5C8" w14:textId="1670A722" w:rsidR="00B61C9F" w:rsidRPr="004676F5" w:rsidRDefault="00B61C9F" w:rsidP="00B61C9F">
      <w:pPr>
        <w:jc w:val="both"/>
        <w:rPr>
          <w:i/>
          <w:iCs/>
          <w:lang w:val="de-DE"/>
        </w:rPr>
      </w:pPr>
      <w:r w:rsidRPr="004676F5">
        <w:rPr>
          <w:i/>
          <w:iCs/>
          <w:lang w:val="de-DE"/>
        </w:rPr>
        <w:t>[Art. XV.60/9 eingefügt durch Art. 29</w:t>
      </w:r>
      <w:r w:rsidRPr="004676F5">
        <w:rPr>
          <w:bCs/>
          <w:i/>
          <w:iCs/>
          <w:lang w:val="de-DE"/>
        </w:rPr>
        <w:t xml:space="preserve"> des G. vom 29. September 2020 (B.S. vom 20. November 2020)]</w:t>
      </w:r>
    </w:p>
    <w:p w14:paraId="0165F929" w14:textId="77777777" w:rsidR="00B61C9F" w:rsidRPr="004676F5" w:rsidRDefault="00B61C9F" w:rsidP="00B61C9F">
      <w:pPr>
        <w:jc w:val="both"/>
        <w:rPr>
          <w:bCs/>
          <w:lang w:val="de-DE"/>
        </w:rPr>
      </w:pPr>
    </w:p>
    <w:p w14:paraId="74E04A50" w14:textId="77777777" w:rsidR="000A263D" w:rsidRPr="004676F5" w:rsidRDefault="000A263D">
      <w:pPr>
        <w:rPr>
          <w:b/>
          <w:lang w:val="de-DE"/>
        </w:rPr>
      </w:pPr>
    </w:p>
    <w:p w14:paraId="616F8C93" w14:textId="319D4692" w:rsidR="000A263D" w:rsidRPr="004676F5" w:rsidRDefault="000A263D" w:rsidP="000A263D">
      <w:pPr>
        <w:jc w:val="both"/>
        <w:rPr>
          <w:iCs/>
          <w:sz w:val="20"/>
          <w:szCs w:val="20"/>
          <w:lang w:val="de-DE"/>
        </w:rPr>
      </w:pPr>
      <w:r w:rsidRPr="004676F5">
        <w:rPr>
          <w:iCs/>
          <w:sz w:val="20"/>
          <w:szCs w:val="20"/>
          <w:lang w:val="de-DE"/>
        </w:rPr>
        <w:t>Ab dem 8. April 2026 (gemäß Art. 119 des G. vom 29. Februar 2024 </w:t>
      </w:r>
      <w:r w:rsidRPr="004676F5">
        <w:rPr>
          <w:i/>
          <w:sz w:val="20"/>
          <w:szCs w:val="20"/>
          <w:lang w:val="de-DE"/>
        </w:rPr>
        <w:t>(II)</w:t>
      </w:r>
      <w:r w:rsidRPr="004676F5">
        <w:rPr>
          <w:iCs/>
          <w:sz w:val="20"/>
          <w:szCs w:val="20"/>
          <w:lang w:val="de-DE"/>
        </w:rPr>
        <w:t xml:space="preserve"> (B.S. vom 8. April 2024)) lautet Art. XV.60/9 wie folgt:</w:t>
      </w:r>
    </w:p>
    <w:p w14:paraId="0F70C87C" w14:textId="77777777" w:rsidR="000A263D" w:rsidRPr="004676F5" w:rsidRDefault="000A263D" w:rsidP="000A263D">
      <w:pPr>
        <w:jc w:val="both"/>
        <w:rPr>
          <w:iCs/>
          <w:sz w:val="20"/>
          <w:szCs w:val="20"/>
          <w:lang w:val="de-DE"/>
        </w:rPr>
      </w:pPr>
    </w:p>
    <w:p w14:paraId="4E169447" w14:textId="195FD796" w:rsidR="000A263D" w:rsidRPr="004676F5" w:rsidRDefault="000A263D" w:rsidP="000A263D">
      <w:pPr>
        <w:jc w:val="both"/>
        <w:rPr>
          <w:iCs/>
          <w:sz w:val="20"/>
          <w:szCs w:val="20"/>
          <w:lang w:val="de-DE"/>
        </w:rPr>
      </w:pPr>
      <w:r w:rsidRPr="004676F5">
        <w:rPr>
          <w:iCs/>
          <w:sz w:val="20"/>
          <w:szCs w:val="20"/>
          <w:lang w:val="de-DE"/>
        </w:rPr>
        <w:t>"[Art. XV.60/9 - Die in Artikel XV.60/4 erwähnten zuständigen Bediensteten stellen dem Zuwiderhandelnden oder seinem Beistand die Akte in Bezug auf die Verstöße, die Anlass zur Anwendung der administrativen Geldbuße geben können, zur Verfügung, so dass er sie in den Räumlichkeiten der zuständigen Bediensteten einsehen kann; auf Antrag stellen die zuständigen Bediensteten eine Abschrift der Aktenstücke bereit.</w:t>
      </w:r>
    </w:p>
    <w:p w14:paraId="534342D4" w14:textId="77777777" w:rsidR="000A263D" w:rsidRPr="004676F5" w:rsidRDefault="000A263D" w:rsidP="000A263D">
      <w:pPr>
        <w:jc w:val="both"/>
        <w:rPr>
          <w:iCs/>
          <w:sz w:val="20"/>
          <w:szCs w:val="20"/>
          <w:lang w:val="de-DE"/>
        </w:rPr>
      </w:pPr>
    </w:p>
    <w:p w14:paraId="5667B374" w14:textId="34455629" w:rsidR="000A263D" w:rsidRPr="004676F5" w:rsidRDefault="007C6C28" w:rsidP="000A263D">
      <w:pPr>
        <w:jc w:val="both"/>
        <w:rPr>
          <w:bCs/>
          <w:iCs/>
          <w:sz w:val="20"/>
          <w:szCs w:val="20"/>
          <w:lang w:val="de-DE"/>
        </w:rPr>
      </w:pPr>
      <w:r w:rsidRPr="004676F5">
        <w:rPr>
          <w:iCs/>
          <w:sz w:val="20"/>
          <w:szCs w:val="20"/>
          <w:lang w:val="de-DE"/>
        </w:rPr>
        <w:t>[</w:t>
      </w:r>
      <w:r w:rsidR="000A263D" w:rsidRPr="004676F5">
        <w:rPr>
          <w:iCs/>
          <w:sz w:val="20"/>
          <w:szCs w:val="20"/>
          <w:lang w:val="de-DE"/>
        </w:rPr>
        <w:t>Artikel </w:t>
      </w:r>
      <w:r w:rsidRPr="004676F5">
        <w:rPr>
          <w:iCs/>
          <w:sz w:val="20"/>
          <w:szCs w:val="20"/>
          <w:lang w:val="de-DE"/>
        </w:rPr>
        <w:t>669</w:t>
      </w:r>
      <w:r w:rsidR="000A263D" w:rsidRPr="004676F5">
        <w:rPr>
          <w:iCs/>
          <w:sz w:val="20"/>
          <w:szCs w:val="20"/>
          <w:lang w:val="de-DE"/>
        </w:rPr>
        <w:t xml:space="preserve"> des Strafgesetzbuches</w:t>
      </w:r>
      <w:r w:rsidRPr="004676F5">
        <w:rPr>
          <w:iCs/>
          <w:sz w:val="20"/>
          <w:szCs w:val="20"/>
          <w:lang w:val="de-DE"/>
        </w:rPr>
        <w:t>]</w:t>
      </w:r>
      <w:r w:rsidR="000A263D" w:rsidRPr="004676F5">
        <w:rPr>
          <w:iCs/>
          <w:sz w:val="20"/>
          <w:szCs w:val="20"/>
          <w:lang w:val="de-DE"/>
        </w:rPr>
        <w:t xml:space="preserve"> ist anwendbar auf den Zuwiderhandelnden; dieser wird im Hinblick auf die Anwendung dieser Bestimmung dem Beschuldigten gleichgestellt.</w:t>
      </w:r>
      <w:r w:rsidR="000A263D" w:rsidRPr="004676F5">
        <w:rPr>
          <w:bCs/>
          <w:iCs/>
          <w:sz w:val="20"/>
          <w:szCs w:val="20"/>
          <w:lang w:val="de-DE"/>
        </w:rPr>
        <w:t>]</w:t>
      </w:r>
    </w:p>
    <w:p w14:paraId="635C4D51" w14:textId="77777777" w:rsidR="000A263D" w:rsidRPr="004676F5" w:rsidRDefault="000A263D" w:rsidP="000A263D">
      <w:pPr>
        <w:jc w:val="both"/>
        <w:rPr>
          <w:bCs/>
          <w:iCs/>
          <w:sz w:val="20"/>
          <w:szCs w:val="20"/>
          <w:lang w:val="de-DE"/>
        </w:rPr>
      </w:pPr>
    </w:p>
    <w:p w14:paraId="670F1702" w14:textId="2DEADE2A" w:rsidR="000A263D" w:rsidRPr="004676F5" w:rsidRDefault="000A263D" w:rsidP="000A263D">
      <w:pPr>
        <w:jc w:val="both"/>
        <w:rPr>
          <w:spacing w:val="2"/>
          <w:sz w:val="20"/>
          <w:szCs w:val="20"/>
          <w:lang w:val="de-DE"/>
        </w:rPr>
      </w:pPr>
      <w:r w:rsidRPr="004676F5">
        <w:rPr>
          <w:i/>
          <w:iCs/>
          <w:spacing w:val="2"/>
          <w:sz w:val="20"/>
          <w:szCs w:val="20"/>
          <w:lang w:val="de-DE"/>
        </w:rPr>
        <w:t>[Art. XV.60/9 eingefügt durch Art. 29</w:t>
      </w:r>
      <w:r w:rsidRPr="004676F5">
        <w:rPr>
          <w:bCs/>
          <w:i/>
          <w:iCs/>
          <w:spacing w:val="2"/>
          <w:sz w:val="20"/>
          <w:szCs w:val="20"/>
          <w:lang w:val="de-DE"/>
        </w:rPr>
        <w:t xml:space="preserve"> des G. vom 29. September 2020 (B.S. vom 20. November 2020)</w:t>
      </w:r>
      <w:r w:rsidR="007C6C28" w:rsidRPr="004676F5">
        <w:rPr>
          <w:bCs/>
          <w:i/>
          <w:iCs/>
          <w:spacing w:val="2"/>
          <w:sz w:val="20"/>
          <w:szCs w:val="20"/>
          <w:lang w:val="de-DE"/>
        </w:rPr>
        <w:t>; Abs. 2 abgeändert durch Art. 108 des G. vom 29. Februar 2024 (II) (B.S. vom 8. April 2024)</w:t>
      </w:r>
      <w:r w:rsidRPr="004676F5">
        <w:rPr>
          <w:bCs/>
          <w:i/>
          <w:iCs/>
          <w:spacing w:val="2"/>
          <w:sz w:val="20"/>
          <w:szCs w:val="20"/>
          <w:lang w:val="de-DE"/>
        </w:rPr>
        <w:t>]</w:t>
      </w:r>
      <w:r w:rsidRPr="004676F5">
        <w:rPr>
          <w:bCs/>
          <w:spacing w:val="2"/>
          <w:sz w:val="20"/>
          <w:szCs w:val="20"/>
          <w:lang w:val="de-DE"/>
        </w:rPr>
        <w:t>"</w:t>
      </w:r>
    </w:p>
    <w:p w14:paraId="129949EE" w14:textId="48F287DC" w:rsidR="00B61C9F" w:rsidRPr="004676F5" w:rsidRDefault="00B61C9F" w:rsidP="000A263D">
      <w:pPr>
        <w:jc w:val="both"/>
        <w:rPr>
          <w:b/>
          <w:lang w:val="de-DE"/>
        </w:rPr>
      </w:pPr>
      <w:r w:rsidRPr="004676F5">
        <w:rPr>
          <w:b/>
          <w:lang w:val="de-DE"/>
        </w:rPr>
        <w:br w:type="page"/>
      </w:r>
    </w:p>
    <w:p w14:paraId="7BA824F7" w14:textId="660EB6CF" w:rsidR="00044712" w:rsidRPr="004676F5" w:rsidRDefault="00B61C9F" w:rsidP="00B61C9F">
      <w:pPr>
        <w:jc w:val="center"/>
        <w:rPr>
          <w:bCs/>
          <w:lang w:val="de-DE"/>
        </w:rPr>
      </w:pPr>
      <w:r w:rsidRPr="004676F5">
        <w:rPr>
          <w:bCs/>
          <w:lang w:val="de-DE"/>
        </w:rPr>
        <w:lastRenderedPageBreak/>
        <w:t>[</w:t>
      </w:r>
      <w:r w:rsidRPr="004676F5">
        <w:rPr>
          <w:lang w:val="de-DE"/>
        </w:rPr>
        <w:t>KAPITEL 3 </w:t>
      </w:r>
      <w:r w:rsidR="005B7A5C" w:rsidRPr="004676F5">
        <w:rPr>
          <w:lang w:val="de-DE"/>
        </w:rPr>
        <w:t>- </w:t>
      </w:r>
      <w:r w:rsidRPr="004676F5">
        <w:rPr>
          <w:i/>
          <w:iCs/>
          <w:lang w:val="de-DE"/>
        </w:rPr>
        <w:t>Entscheidung zur Auferlegung einer administrativen Geldbuße</w:t>
      </w:r>
      <w:r w:rsidRPr="004676F5">
        <w:rPr>
          <w:bCs/>
          <w:lang w:val="de-DE"/>
        </w:rPr>
        <w:t>]</w:t>
      </w:r>
    </w:p>
    <w:p w14:paraId="1D037B86" w14:textId="77777777" w:rsidR="00B61C9F" w:rsidRPr="004676F5" w:rsidRDefault="00B61C9F" w:rsidP="00B61C9F">
      <w:pPr>
        <w:jc w:val="both"/>
        <w:rPr>
          <w:b/>
          <w:lang w:val="de-DE"/>
        </w:rPr>
      </w:pPr>
    </w:p>
    <w:p w14:paraId="587ACC8C" w14:textId="79CCFDD1" w:rsidR="00B61C9F" w:rsidRPr="004676F5" w:rsidRDefault="00B61C9F" w:rsidP="00B61C9F">
      <w:pPr>
        <w:jc w:val="both"/>
        <w:rPr>
          <w:bCs/>
          <w:i/>
          <w:iCs/>
          <w:lang w:val="de-DE"/>
        </w:rPr>
      </w:pPr>
      <w:r w:rsidRPr="004676F5">
        <w:rPr>
          <w:bCs/>
          <w:i/>
          <w:iCs/>
          <w:lang w:val="de-DE"/>
        </w:rPr>
        <w:t>[Unterteilung Kapitel 3 eingefügt durch Art. 30 des G. vom 29. September 2020 (B.S. vom 20. November 2020)]</w:t>
      </w:r>
    </w:p>
    <w:p w14:paraId="4AFC082F" w14:textId="77777777" w:rsidR="00B61C9F" w:rsidRPr="004676F5" w:rsidRDefault="00B61C9F" w:rsidP="00B61C9F">
      <w:pPr>
        <w:jc w:val="both"/>
        <w:rPr>
          <w:bCs/>
          <w:i/>
          <w:iCs/>
          <w:lang w:val="de-DE"/>
        </w:rPr>
      </w:pPr>
    </w:p>
    <w:p w14:paraId="50B28BAB" w14:textId="77777777" w:rsidR="00B61C9F" w:rsidRPr="004676F5" w:rsidRDefault="00B61C9F" w:rsidP="00B61C9F">
      <w:pPr>
        <w:jc w:val="both"/>
        <w:rPr>
          <w:bCs/>
          <w:i/>
          <w:iCs/>
          <w:lang w:val="de-DE"/>
        </w:rPr>
      </w:pPr>
    </w:p>
    <w:p w14:paraId="5E0F3D1B" w14:textId="45C6B183" w:rsidR="00B61C9F" w:rsidRPr="004676F5" w:rsidRDefault="00B61C9F" w:rsidP="00B61C9F">
      <w:pPr>
        <w:jc w:val="both"/>
        <w:rPr>
          <w:lang w:val="de-DE"/>
        </w:rPr>
      </w:pPr>
      <w:r w:rsidRPr="004676F5">
        <w:rPr>
          <w:bCs/>
          <w:lang w:val="de-DE"/>
        </w:rPr>
        <w:tab/>
        <w:t>[</w:t>
      </w:r>
      <w:r w:rsidRPr="004676F5">
        <w:rPr>
          <w:b/>
          <w:bCs/>
          <w:lang w:val="de-DE"/>
        </w:rPr>
        <w:t>Art. XV.60/10</w:t>
      </w:r>
      <w:r w:rsidRPr="004676F5">
        <w:rPr>
          <w:lang w:val="de-DE"/>
        </w:rPr>
        <w:t> </w:t>
      </w:r>
      <w:r w:rsidR="005B7A5C" w:rsidRPr="004676F5">
        <w:rPr>
          <w:lang w:val="de-DE"/>
        </w:rPr>
        <w:t>- </w:t>
      </w:r>
      <w:r w:rsidRPr="004676F5">
        <w:rPr>
          <w:lang w:val="de-DE"/>
        </w:rPr>
        <w:t>Die administrative Geldbuße darf fünf Jahre nach den Taten nicht mehr auferlegt werden.</w:t>
      </w:r>
    </w:p>
    <w:p w14:paraId="09A82D5F" w14:textId="77777777" w:rsidR="00B61C9F" w:rsidRPr="004676F5" w:rsidRDefault="00B61C9F" w:rsidP="00B61C9F">
      <w:pPr>
        <w:jc w:val="both"/>
        <w:rPr>
          <w:lang w:val="de-DE"/>
        </w:rPr>
      </w:pPr>
    </w:p>
    <w:p w14:paraId="13E152F5" w14:textId="4F084A95" w:rsidR="00B61C9F" w:rsidRPr="004676F5" w:rsidRDefault="00B61C9F" w:rsidP="00B61C9F">
      <w:pPr>
        <w:jc w:val="both"/>
        <w:rPr>
          <w:lang w:val="de-DE"/>
        </w:rPr>
      </w:pPr>
      <w:r w:rsidRPr="004676F5">
        <w:rPr>
          <w:lang w:val="de-DE"/>
        </w:rPr>
        <w:tab/>
        <w:t>Diese Frist wird jedoch durch Untersuchungs</w:t>
      </w:r>
      <w:r w:rsidR="005B7A5C" w:rsidRPr="004676F5">
        <w:rPr>
          <w:lang w:val="de-DE"/>
        </w:rPr>
        <w:t>- </w:t>
      </w:r>
      <w:r w:rsidRPr="004676F5">
        <w:rPr>
          <w:lang w:val="de-DE"/>
        </w:rPr>
        <w:t>oder Verfolgungshandlungen, einschließlich der Notifizierungen der Entscheidungen der Staatsanwaltschaft in Bezug auf die Einleitung oder Nicht-Einleitung von Strafverfolgungen und der Aufforderung an den Zuwiderhandelnden, Verteidigungsmittel vorzubringen, die binnen der in Absatz 1 festgelegten Frist erfolgen, unterbrochen. Mit diesen Handlungen beginnt eine neue Frist gleicher Dauer, auch gegenüber Personen, die nicht davon betroffen sind.]</w:t>
      </w:r>
    </w:p>
    <w:p w14:paraId="46383262" w14:textId="77777777" w:rsidR="00B61C9F" w:rsidRPr="004676F5" w:rsidRDefault="00B61C9F" w:rsidP="00B61C9F">
      <w:pPr>
        <w:jc w:val="both"/>
        <w:rPr>
          <w:lang w:val="de-DE"/>
        </w:rPr>
      </w:pPr>
    </w:p>
    <w:p w14:paraId="467A8059" w14:textId="32F5FD9B" w:rsidR="00B61C9F" w:rsidRPr="004676F5" w:rsidRDefault="00B61C9F" w:rsidP="00B61C9F">
      <w:pPr>
        <w:jc w:val="both"/>
        <w:rPr>
          <w:i/>
          <w:iCs/>
          <w:lang w:val="de-DE"/>
        </w:rPr>
      </w:pPr>
      <w:r w:rsidRPr="004676F5">
        <w:rPr>
          <w:i/>
          <w:iCs/>
          <w:lang w:val="de-DE"/>
        </w:rPr>
        <w:t>[Art. XV.60/10 eingefügt durch Art. 31</w:t>
      </w:r>
      <w:r w:rsidRPr="004676F5">
        <w:rPr>
          <w:bCs/>
          <w:i/>
          <w:iCs/>
          <w:lang w:val="de-DE"/>
        </w:rPr>
        <w:t xml:space="preserve"> des G. vom 29. September 2020 (B.S. vom 20. November 2020)]</w:t>
      </w:r>
    </w:p>
    <w:p w14:paraId="74F1A7F9" w14:textId="77777777" w:rsidR="00B61C9F" w:rsidRPr="004676F5" w:rsidRDefault="00B61C9F" w:rsidP="00B61C9F">
      <w:pPr>
        <w:jc w:val="both"/>
        <w:rPr>
          <w:lang w:val="de-DE"/>
        </w:rPr>
      </w:pPr>
    </w:p>
    <w:p w14:paraId="474E9466" w14:textId="77777777" w:rsidR="00B61C9F" w:rsidRPr="004676F5" w:rsidRDefault="00B61C9F" w:rsidP="00B61C9F">
      <w:pPr>
        <w:jc w:val="both"/>
        <w:rPr>
          <w:lang w:val="de-DE"/>
        </w:rPr>
      </w:pPr>
    </w:p>
    <w:p w14:paraId="2C9FF5BB" w14:textId="140A54E7" w:rsidR="00B61C9F" w:rsidRPr="004676F5" w:rsidRDefault="00B61C9F" w:rsidP="00B61C9F">
      <w:pPr>
        <w:jc w:val="both"/>
        <w:rPr>
          <w:lang w:val="de-DE"/>
        </w:rPr>
      </w:pPr>
      <w:r w:rsidRPr="004676F5">
        <w:rPr>
          <w:lang w:val="de-DE"/>
        </w:rPr>
        <w:tab/>
        <w:t>[</w:t>
      </w:r>
      <w:r w:rsidRPr="004676F5">
        <w:rPr>
          <w:b/>
          <w:bCs/>
          <w:lang w:val="de-DE"/>
        </w:rPr>
        <w:t>Art. XV.60/11</w:t>
      </w:r>
      <w:r w:rsidRPr="004676F5">
        <w:rPr>
          <w:lang w:val="de-DE"/>
        </w:rPr>
        <w:t> </w:t>
      </w:r>
      <w:r w:rsidR="005B7A5C" w:rsidRPr="004676F5">
        <w:rPr>
          <w:lang w:val="de-DE"/>
        </w:rPr>
        <w:t>- </w:t>
      </w:r>
      <w:r w:rsidRPr="004676F5">
        <w:rPr>
          <w:lang w:val="de-DE"/>
        </w:rPr>
        <w:t>Die administrative Geldbuße darf nicht vor Ablauf der in Artikel XV.60/7 Absatz 1 Nr. 2 erwähnten Frist oder vor der Verteidigung des Zuwider</w:t>
      </w:r>
      <w:r w:rsidRPr="004676F5">
        <w:rPr>
          <w:lang w:val="de-DE"/>
        </w:rPr>
        <w:softHyphen/>
        <w:t>handelnden, wenn diese vor Ablauf der vorerwähnten Frist vorgebracht wird, auferlegt werden.]</w:t>
      </w:r>
    </w:p>
    <w:p w14:paraId="4C89A4AA" w14:textId="77777777" w:rsidR="00B61C9F" w:rsidRPr="004676F5" w:rsidRDefault="00B61C9F" w:rsidP="00B61C9F">
      <w:pPr>
        <w:jc w:val="both"/>
        <w:rPr>
          <w:lang w:val="de-DE"/>
        </w:rPr>
      </w:pPr>
    </w:p>
    <w:p w14:paraId="2B56AE6C" w14:textId="63A40928" w:rsidR="00B61C9F" w:rsidRPr="004676F5" w:rsidRDefault="00B61C9F" w:rsidP="00B61C9F">
      <w:pPr>
        <w:jc w:val="both"/>
        <w:rPr>
          <w:i/>
          <w:iCs/>
          <w:lang w:val="de-DE"/>
        </w:rPr>
      </w:pPr>
      <w:r w:rsidRPr="004676F5">
        <w:rPr>
          <w:i/>
          <w:iCs/>
          <w:lang w:val="de-DE"/>
        </w:rPr>
        <w:t>[Art. XV.60/11 eingefügt durch Art. 32</w:t>
      </w:r>
      <w:r w:rsidRPr="004676F5">
        <w:rPr>
          <w:bCs/>
          <w:i/>
          <w:iCs/>
          <w:lang w:val="de-DE"/>
        </w:rPr>
        <w:t xml:space="preserve"> des G. vom 29. September 2020 (B.S. vom 20. November 2020)]</w:t>
      </w:r>
    </w:p>
    <w:p w14:paraId="3AE685FD" w14:textId="77777777" w:rsidR="00B61C9F" w:rsidRPr="004676F5" w:rsidRDefault="00B61C9F" w:rsidP="00B61C9F">
      <w:pPr>
        <w:jc w:val="both"/>
        <w:rPr>
          <w:lang w:val="de-DE"/>
        </w:rPr>
      </w:pPr>
    </w:p>
    <w:p w14:paraId="0FA2D743" w14:textId="77777777" w:rsidR="00B61C9F" w:rsidRPr="004676F5" w:rsidRDefault="00B61C9F" w:rsidP="00B61C9F">
      <w:pPr>
        <w:jc w:val="both"/>
        <w:rPr>
          <w:lang w:val="de-DE"/>
        </w:rPr>
      </w:pPr>
    </w:p>
    <w:p w14:paraId="2EB8623A" w14:textId="0C57F400" w:rsidR="00B61C9F" w:rsidRPr="004676F5" w:rsidRDefault="00B61C9F" w:rsidP="00B61C9F">
      <w:pPr>
        <w:jc w:val="both"/>
        <w:rPr>
          <w:lang w:val="de-DE"/>
        </w:rPr>
      </w:pPr>
      <w:r w:rsidRPr="004676F5">
        <w:rPr>
          <w:lang w:val="de-DE"/>
        </w:rPr>
        <w:tab/>
        <w:t>[</w:t>
      </w:r>
      <w:r w:rsidRPr="004676F5">
        <w:rPr>
          <w:b/>
          <w:bCs/>
          <w:lang w:val="de-DE"/>
        </w:rPr>
        <w:t>Art. XV.60/12</w:t>
      </w:r>
      <w:r w:rsidRPr="004676F5">
        <w:rPr>
          <w:lang w:val="de-DE"/>
        </w:rPr>
        <w:t> </w:t>
      </w:r>
      <w:r w:rsidR="005B7A5C" w:rsidRPr="004676F5">
        <w:rPr>
          <w:lang w:val="de-DE"/>
        </w:rPr>
        <w:t>- </w:t>
      </w:r>
      <w:r w:rsidRPr="004676F5">
        <w:rPr>
          <w:lang w:val="de-DE"/>
        </w:rPr>
        <w:t>Die Entscheidung zur Auferlegung einer administrativen Geldbuße enthält insbesondere folgende Angaben:</w:t>
      </w:r>
    </w:p>
    <w:p w14:paraId="729D16F8" w14:textId="77777777" w:rsidR="00B61C9F" w:rsidRPr="004676F5" w:rsidRDefault="00B61C9F" w:rsidP="00B61C9F">
      <w:pPr>
        <w:jc w:val="both"/>
        <w:rPr>
          <w:lang w:val="de-DE"/>
        </w:rPr>
      </w:pPr>
    </w:p>
    <w:p w14:paraId="0F872860" w14:textId="77777777" w:rsidR="00B61C9F" w:rsidRPr="004676F5" w:rsidRDefault="00B61C9F" w:rsidP="00B61C9F">
      <w:pPr>
        <w:jc w:val="both"/>
        <w:rPr>
          <w:lang w:val="de-DE"/>
        </w:rPr>
      </w:pPr>
      <w:r w:rsidRPr="004676F5">
        <w:rPr>
          <w:lang w:val="de-DE"/>
        </w:rPr>
        <w:tab/>
        <w:t>1. Bestimmungen, die die Rechtsgrundlage für die Entscheidung zur Auferlegung einer administrativen Geldbuße bilden,</w:t>
      </w:r>
    </w:p>
    <w:p w14:paraId="4F249D27" w14:textId="77777777" w:rsidR="00B61C9F" w:rsidRPr="004676F5" w:rsidRDefault="00B61C9F" w:rsidP="00B61C9F">
      <w:pPr>
        <w:jc w:val="both"/>
        <w:rPr>
          <w:lang w:val="de-DE"/>
        </w:rPr>
      </w:pPr>
    </w:p>
    <w:p w14:paraId="4AADB670" w14:textId="77777777" w:rsidR="00B61C9F" w:rsidRPr="004676F5" w:rsidRDefault="00B61C9F" w:rsidP="00B61C9F">
      <w:pPr>
        <w:jc w:val="both"/>
        <w:rPr>
          <w:lang w:val="de-DE"/>
        </w:rPr>
      </w:pPr>
      <w:r w:rsidRPr="004676F5">
        <w:rPr>
          <w:lang w:val="de-DE"/>
        </w:rPr>
        <w:tab/>
        <w:t>2. Referenzangaben des Protokolls, durch das der Verstoß festgestellt wird und in dem die Taten aufgeführt werden, die der Einleitung des Verfahrens zur Auferlegung einer administrativen Geldbuße zugrunde liegen,</w:t>
      </w:r>
    </w:p>
    <w:p w14:paraId="053CB54B" w14:textId="77777777" w:rsidR="00B61C9F" w:rsidRPr="004676F5" w:rsidRDefault="00B61C9F" w:rsidP="00B61C9F">
      <w:pPr>
        <w:jc w:val="both"/>
        <w:rPr>
          <w:lang w:val="de-DE"/>
        </w:rPr>
      </w:pPr>
    </w:p>
    <w:p w14:paraId="0503A01E" w14:textId="272D1A6E" w:rsidR="00B61C9F" w:rsidRPr="004676F5" w:rsidRDefault="00B61C9F" w:rsidP="00B61C9F">
      <w:pPr>
        <w:jc w:val="both"/>
        <w:rPr>
          <w:lang w:val="de-DE"/>
        </w:rPr>
      </w:pPr>
      <w:r w:rsidRPr="004676F5">
        <w:rPr>
          <w:lang w:val="de-DE"/>
        </w:rPr>
        <w:tab/>
        <w:t>3. Datum der Notifizierung der Möglichkeit,</w:t>
      </w:r>
      <w:r w:rsidR="0015157C" w:rsidRPr="004676F5">
        <w:rPr>
          <w:lang w:val="de-DE"/>
        </w:rPr>
        <w:t xml:space="preserve"> </w:t>
      </w:r>
      <w:r w:rsidRPr="004676F5">
        <w:rPr>
          <w:lang w:val="de-DE"/>
        </w:rPr>
        <w:t>Verteidigungsmittel vorzubringen,</w:t>
      </w:r>
    </w:p>
    <w:p w14:paraId="77225644" w14:textId="77777777" w:rsidR="00B61C9F" w:rsidRPr="004676F5" w:rsidRDefault="00B61C9F" w:rsidP="00B61C9F">
      <w:pPr>
        <w:jc w:val="both"/>
        <w:rPr>
          <w:lang w:val="de-DE"/>
        </w:rPr>
      </w:pPr>
    </w:p>
    <w:p w14:paraId="7B5477D2" w14:textId="77777777" w:rsidR="00B61C9F" w:rsidRPr="004676F5" w:rsidRDefault="00B61C9F" w:rsidP="00B61C9F">
      <w:pPr>
        <w:jc w:val="both"/>
        <w:rPr>
          <w:lang w:val="de-DE"/>
        </w:rPr>
      </w:pPr>
      <w:r w:rsidRPr="004676F5">
        <w:rPr>
          <w:lang w:val="de-DE"/>
        </w:rPr>
        <w:tab/>
        <w:t>4. gegebenenfalls Datum, an dem die Verteidigungsmittel vorgebracht wurden, Aufstellung der vorgebrachten Verteidigungsmittel und Replik auf diese Verteidigungsmittel,</w:t>
      </w:r>
    </w:p>
    <w:p w14:paraId="72859CB6" w14:textId="77777777" w:rsidR="00B61C9F" w:rsidRPr="004676F5" w:rsidRDefault="00B61C9F" w:rsidP="00B61C9F">
      <w:pPr>
        <w:jc w:val="both"/>
        <w:rPr>
          <w:lang w:val="de-DE"/>
        </w:rPr>
      </w:pPr>
    </w:p>
    <w:p w14:paraId="0AD9E1D7" w14:textId="77777777" w:rsidR="00B61C9F" w:rsidRPr="004676F5" w:rsidRDefault="00B61C9F" w:rsidP="00B61C9F">
      <w:pPr>
        <w:jc w:val="both"/>
        <w:rPr>
          <w:lang w:val="de-DE"/>
        </w:rPr>
      </w:pPr>
      <w:r w:rsidRPr="004676F5">
        <w:rPr>
          <w:lang w:val="de-DE"/>
        </w:rPr>
        <w:tab/>
        <w:t>5. Höhe der administrativen Geldbuße,</w:t>
      </w:r>
    </w:p>
    <w:p w14:paraId="63B9A1FC" w14:textId="77777777" w:rsidR="00B61C9F" w:rsidRPr="004676F5" w:rsidRDefault="00B61C9F" w:rsidP="00B61C9F">
      <w:pPr>
        <w:jc w:val="both"/>
        <w:rPr>
          <w:lang w:val="de-DE"/>
        </w:rPr>
      </w:pPr>
    </w:p>
    <w:p w14:paraId="6388392E" w14:textId="540558AA" w:rsidR="00B61C9F" w:rsidRPr="004676F5" w:rsidRDefault="00B61C9F" w:rsidP="00B61C9F">
      <w:pPr>
        <w:jc w:val="both"/>
        <w:rPr>
          <w:lang w:val="de-DE"/>
        </w:rPr>
      </w:pPr>
      <w:r w:rsidRPr="004676F5">
        <w:rPr>
          <w:lang w:val="de-DE"/>
        </w:rPr>
        <w:tab/>
        <w:t>6. gegebenenfalls wie und in welchem Maße die in Anwendung der Artikel XV.5/1 § 1</w:t>
      </w:r>
      <w:r w:rsidR="00CD1D4A" w:rsidRPr="004676F5">
        <w:rPr>
          <w:lang w:val="de-DE"/>
        </w:rPr>
        <w:t>[, XV.31/2]</w:t>
      </w:r>
      <w:r w:rsidRPr="004676F5">
        <w:rPr>
          <w:lang w:val="de-DE"/>
        </w:rPr>
        <w:t xml:space="preserve"> oder XV.31/2/1 getroffenen Maßnahmen bei der Festlegung der Höhe der administrativen Geldbuße berücksichtigt worden sind,</w:t>
      </w:r>
    </w:p>
    <w:p w14:paraId="7C06847B" w14:textId="77777777" w:rsidR="00B61C9F" w:rsidRPr="004676F5" w:rsidRDefault="00B61C9F" w:rsidP="00B61C9F">
      <w:pPr>
        <w:jc w:val="both"/>
        <w:rPr>
          <w:lang w:val="de-DE"/>
        </w:rPr>
      </w:pPr>
    </w:p>
    <w:p w14:paraId="21155CAB" w14:textId="77777777" w:rsidR="00B61C9F" w:rsidRPr="004676F5" w:rsidRDefault="00B61C9F" w:rsidP="00B61C9F">
      <w:pPr>
        <w:jc w:val="both"/>
        <w:rPr>
          <w:lang w:val="de-DE"/>
        </w:rPr>
      </w:pPr>
      <w:r w:rsidRPr="004676F5">
        <w:rPr>
          <w:lang w:val="de-DE"/>
        </w:rPr>
        <w:lastRenderedPageBreak/>
        <w:tab/>
        <w:t>7. Bestimmungen von Artikel XV.60/17 Absatz 1 und 2 in Bezug auf die Zahlung der Geldbuße,</w:t>
      </w:r>
    </w:p>
    <w:p w14:paraId="4B90DADF" w14:textId="77777777" w:rsidR="00B61C9F" w:rsidRPr="004676F5" w:rsidRDefault="00B61C9F" w:rsidP="00B61C9F">
      <w:pPr>
        <w:jc w:val="both"/>
        <w:rPr>
          <w:lang w:val="de-DE"/>
        </w:rPr>
      </w:pPr>
    </w:p>
    <w:p w14:paraId="0F29732F" w14:textId="4E8857E0" w:rsidR="00B61C9F" w:rsidRPr="004676F5" w:rsidRDefault="00B61C9F" w:rsidP="00B61C9F">
      <w:pPr>
        <w:jc w:val="both"/>
        <w:rPr>
          <w:lang w:val="de-DE"/>
        </w:rPr>
      </w:pPr>
      <w:r w:rsidRPr="004676F5">
        <w:rPr>
          <w:lang w:val="de-DE"/>
        </w:rPr>
        <w:tab/>
        <w:t>8. Bestimmung von Artikel XV.60/15 in Bezug auf die Beschwerde gegen die Entscheidung.]</w:t>
      </w:r>
    </w:p>
    <w:p w14:paraId="44348134" w14:textId="77777777" w:rsidR="00B61C9F" w:rsidRPr="004676F5" w:rsidRDefault="00B61C9F" w:rsidP="00B61C9F">
      <w:pPr>
        <w:jc w:val="both"/>
        <w:rPr>
          <w:lang w:val="de-DE"/>
        </w:rPr>
      </w:pPr>
    </w:p>
    <w:p w14:paraId="43324E58" w14:textId="5B271EDC" w:rsidR="00B61C9F" w:rsidRPr="004676F5" w:rsidRDefault="00B61C9F" w:rsidP="00B61C9F">
      <w:pPr>
        <w:jc w:val="both"/>
        <w:rPr>
          <w:i/>
          <w:iCs/>
          <w:lang w:val="de-DE"/>
        </w:rPr>
      </w:pPr>
      <w:r w:rsidRPr="004676F5">
        <w:rPr>
          <w:i/>
          <w:iCs/>
          <w:lang w:val="de-DE"/>
        </w:rPr>
        <w:t>[Art. XV.60/</w:t>
      </w:r>
      <w:r w:rsidR="0004441E" w:rsidRPr="004676F5">
        <w:rPr>
          <w:i/>
          <w:iCs/>
          <w:lang w:val="de-DE"/>
        </w:rPr>
        <w:t>12</w:t>
      </w:r>
      <w:r w:rsidRPr="004676F5">
        <w:rPr>
          <w:i/>
          <w:iCs/>
          <w:lang w:val="de-DE"/>
        </w:rPr>
        <w:t xml:space="preserve"> eingefügt durch Art. </w:t>
      </w:r>
      <w:r w:rsidR="0004441E" w:rsidRPr="004676F5">
        <w:rPr>
          <w:i/>
          <w:iCs/>
          <w:lang w:val="de-DE"/>
        </w:rPr>
        <w:t>33</w:t>
      </w:r>
      <w:r w:rsidRPr="004676F5">
        <w:rPr>
          <w:bCs/>
          <w:i/>
          <w:iCs/>
          <w:lang w:val="de-DE"/>
        </w:rPr>
        <w:t xml:space="preserve"> des G. vom 29. September 2020 (B.S. vom 20. November 2020)</w:t>
      </w:r>
      <w:r w:rsidR="00CD1D4A" w:rsidRPr="004676F5">
        <w:rPr>
          <w:bCs/>
          <w:i/>
          <w:iCs/>
          <w:lang w:val="de-DE"/>
        </w:rPr>
        <w:t>; einziger Absatz Nr. 6 abgeändert durch Art. 30 des G. vom 5. November 2023</w:t>
      </w:r>
      <w:r w:rsidR="00AA0B2E" w:rsidRPr="004676F5">
        <w:rPr>
          <w:bCs/>
          <w:i/>
          <w:iCs/>
          <w:lang w:val="de-DE"/>
        </w:rPr>
        <w:t> (II)</w:t>
      </w:r>
      <w:r w:rsidR="00CD1D4A" w:rsidRPr="004676F5">
        <w:rPr>
          <w:bCs/>
          <w:i/>
          <w:iCs/>
          <w:lang w:val="de-DE"/>
        </w:rPr>
        <w:t xml:space="preserve"> (B.S. vom 28. November 2023)</w:t>
      </w:r>
      <w:r w:rsidRPr="004676F5">
        <w:rPr>
          <w:bCs/>
          <w:i/>
          <w:iCs/>
          <w:lang w:val="de-DE"/>
        </w:rPr>
        <w:t>]</w:t>
      </w:r>
    </w:p>
    <w:p w14:paraId="18D360E3" w14:textId="77777777" w:rsidR="00B61C9F" w:rsidRPr="004676F5" w:rsidRDefault="00B61C9F" w:rsidP="00B61C9F">
      <w:pPr>
        <w:jc w:val="both"/>
        <w:rPr>
          <w:lang w:val="de-DE"/>
        </w:rPr>
      </w:pPr>
    </w:p>
    <w:p w14:paraId="2D4D8B66" w14:textId="77777777" w:rsidR="00B61C9F" w:rsidRPr="004676F5" w:rsidRDefault="00B61C9F" w:rsidP="00B61C9F">
      <w:pPr>
        <w:jc w:val="both"/>
        <w:rPr>
          <w:lang w:val="de-DE"/>
        </w:rPr>
      </w:pPr>
    </w:p>
    <w:p w14:paraId="20A04669" w14:textId="7F1322E2" w:rsidR="00B61C9F" w:rsidRPr="004676F5" w:rsidRDefault="00B61C9F" w:rsidP="00B61C9F">
      <w:pPr>
        <w:jc w:val="both"/>
        <w:rPr>
          <w:lang w:val="de-DE"/>
        </w:rPr>
      </w:pPr>
      <w:r w:rsidRPr="004676F5">
        <w:rPr>
          <w:lang w:val="de-DE"/>
        </w:rPr>
        <w:tab/>
      </w:r>
      <w:r w:rsidR="0004441E" w:rsidRPr="004676F5">
        <w:rPr>
          <w:lang w:val="de-DE"/>
        </w:rPr>
        <w:t>[</w:t>
      </w:r>
      <w:r w:rsidRPr="004676F5">
        <w:rPr>
          <w:b/>
          <w:bCs/>
          <w:lang w:val="de-DE"/>
        </w:rPr>
        <w:t>Art. XV.60/13</w:t>
      </w:r>
      <w:r w:rsidRPr="004676F5">
        <w:rPr>
          <w:lang w:val="de-DE"/>
        </w:rPr>
        <w:t> </w:t>
      </w:r>
      <w:r w:rsidR="005B7A5C" w:rsidRPr="004676F5">
        <w:rPr>
          <w:lang w:val="de-DE"/>
        </w:rPr>
        <w:t>- </w:t>
      </w:r>
      <w:r w:rsidRPr="004676F5">
        <w:rPr>
          <w:lang w:val="de-DE"/>
        </w:rPr>
        <w:t>Die Entscheidung zur Auferlegung einer administrativen Geldbuße wird per Einschreibesendung notifiziert. Durch die Notifizierung erlischt die Strafverfolgung.</w:t>
      </w:r>
      <w:r w:rsidR="0004441E" w:rsidRPr="004676F5">
        <w:rPr>
          <w:lang w:val="de-DE"/>
        </w:rPr>
        <w:t>]</w:t>
      </w:r>
    </w:p>
    <w:p w14:paraId="4E180C92" w14:textId="77777777" w:rsidR="00B90A6A" w:rsidRPr="004676F5" w:rsidRDefault="00B90A6A" w:rsidP="00B61C9F">
      <w:pPr>
        <w:jc w:val="both"/>
        <w:rPr>
          <w:lang w:val="de-DE"/>
        </w:rPr>
      </w:pPr>
    </w:p>
    <w:p w14:paraId="25158CA7" w14:textId="2A246E9A" w:rsidR="00B90A6A" w:rsidRPr="004676F5" w:rsidRDefault="00B90A6A" w:rsidP="00B61C9F">
      <w:pPr>
        <w:jc w:val="both"/>
        <w:rPr>
          <w:lang w:val="de-DE"/>
        </w:rPr>
      </w:pPr>
      <w:r w:rsidRPr="004676F5">
        <w:rPr>
          <w:lang w:val="de-DE"/>
        </w:rPr>
        <w:tab/>
        <w:t>[Wenn der Zuwiderhandelnde versäumt hat, den Einschreibebrief innerhalb der festgelegten Frist bei der Post abzuholen, können die in Artikel XV.60/4 erwähnten zuständigen Bediensteten ihm durch gewöhnlichen Brief zur Information eine Abschrift der Entscheidung zusenden.]</w:t>
      </w:r>
    </w:p>
    <w:p w14:paraId="4AED8BFE" w14:textId="77777777" w:rsidR="0004441E" w:rsidRPr="004676F5" w:rsidRDefault="0004441E" w:rsidP="00B61C9F">
      <w:pPr>
        <w:jc w:val="both"/>
        <w:rPr>
          <w:lang w:val="de-DE"/>
        </w:rPr>
      </w:pPr>
    </w:p>
    <w:p w14:paraId="586DE127" w14:textId="2637CABD" w:rsidR="0004441E" w:rsidRPr="004676F5" w:rsidRDefault="0004441E" w:rsidP="0004441E">
      <w:pPr>
        <w:jc w:val="both"/>
        <w:rPr>
          <w:i/>
          <w:iCs/>
          <w:lang w:val="de-DE"/>
        </w:rPr>
      </w:pPr>
      <w:r w:rsidRPr="004676F5">
        <w:rPr>
          <w:i/>
          <w:iCs/>
          <w:lang w:val="de-DE"/>
        </w:rPr>
        <w:t>[Art. XV.60/13 eingefügt durch Art. 34</w:t>
      </w:r>
      <w:r w:rsidRPr="004676F5">
        <w:rPr>
          <w:bCs/>
          <w:i/>
          <w:iCs/>
          <w:lang w:val="de-DE"/>
        </w:rPr>
        <w:t xml:space="preserve"> des G. vom 29. September 2020 (B.S. vom 20. November 2020)</w:t>
      </w:r>
      <w:r w:rsidR="00B90A6A" w:rsidRPr="004676F5">
        <w:rPr>
          <w:bCs/>
          <w:i/>
          <w:iCs/>
          <w:lang w:val="de-DE"/>
        </w:rPr>
        <w:t>; Abs. 2 eingefügt durch Art. 49 des G. vom 9. Februar 2024 (B.S. vom 21. März 2024)</w:t>
      </w:r>
      <w:r w:rsidRPr="004676F5">
        <w:rPr>
          <w:bCs/>
          <w:i/>
          <w:iCs/>
          <w:lang w:val="de-DE"/>
        </w:rPr>
        <w:t>]</w:t>
      </w:r>
    </w:p>
    <w:p w14:paraId="767E3768" w14:textId="77777777" w:rsidR="0004441E" w:rsidRPr="004676F5" w:rsidRDefault="0004441E" w:rsidP="00B61C9F">
      <w:pPr>
        <w:jc w:val="both"/>
        <w:rPr>
          <w:lang w:val="de-DE"/>
        </w:rPr>
      </w:pPr>
    </w:p>
    <w:p w14:paraId="2E91AAF4" w14:textId="77777777" w:rsidR="0004441E" w:rsidRPr="004676F5" w:rsidRDefault="0004441E" w:rsidP="00B61C9F">
      <w:pPr>
        <w:jc w:val="both"/>
        <w:rPr>
          <w:lang w:val="de-DE"/>
        </w:rPr>
      </w:pPr>
    </w:p>
    <w:p w14:paraId="111219FB" w14:textId="33E81D72" w:rsidR="00B61C9F" w:rsidRPr="004676F5" w:rsidRDefault="00B61C9F" w:rsidP="00B61C9F">
      <w:pPr>
        <w:jc w:val="both"/>
        <w:rPr>
          <w:bCs/>
          <w:lang w:val="de-DE"/>
        </w:rPr>
      </w:pPr>
      <w:r w:rsidRPr="004676F5">
        <w:rPr>
          <w:lang w:val="de-DE"/>
        </w:rPr>
        <w:tab/>
      </w:r>
      <w:r w:rsidR="0004441E" w:rsidRPr="004676F5">
        <w:rPr>
          <w:lang w:val="de-DE"/>
        </w:rPr>
        <w:t>[</w:t>
      </w:r>
      <w:r w:rsidRPr="004676F5">
        <w:rPr>
          <w:b/>
          <w:bCs/>
          <w:lang w:val="de-DE"/>
        </w:rPr>
        <w:t>Art. XV.60/14</w:t>
      </w:r>
      <w:r w:rsidRPr="004676F5">
        <w:rPr>
          <w:lang w:val="de-DE"/>
        </w:rPr>
        <w:t> </w:t>
      </w:r>
      <w:r w:rsidR="005B7A5C" w:rsidRPr="004676F5">
        <w:rPr>
          <w:lang w:val="de-DE"/>
        </w:rPr>
        <w:t>- </w:t>
      </w:r>
      <w:r w:rsidRPr="004676F5">
        <w:rPr>
          <w:lang w:val="de-DE"/>
        </w:rPr>
        <w:t>Die Entscheidung ist vollstreckbar.</w:t>
      </w:r>
      <w:r w:rsidRPr="004676F5">
        <w:rPr>
          <w:bCs/>
          <w:lang w:val="de-DE"/>
        </w:rPr>
        <w:t>]</w:t>
      </w:r>
    </w:p>
    <w:p w14:paraId="12D65660" w14:textId="77777777" w:rsidR="0004441E" w:rsidRPr="004676F5" w:rsidRDefault="0004441E" w:rsidP="00B61C9F">
      <w:pPr>
        <w:jc w:val="both"/>
        <w:rPr>
          <w:bCs/>
          <w:lang w:val="de-DE"/>
        </w:rPr>
      </w:pPr>
    </w:p>
    <w:p w14:paraId="0E6FF6CA" w14:textId="3C2A3C8D" w:rsidR="0004441E" w:rsidRPr="004676F5" w:rsidRDefault="0004441E" w:rsidP="0004441E">
      <w:pPr>
        <w:jc w:val="both"/>
        <w:rPr>
          <w:bCs/>
          <w:lang w:val="de-DE"/>
        </w:rPr>
      </w:pPr>
      <w:r w:rsidRPr="004676F5">
        <w:rPr>
          <w:i/>
          <w:iCs/>
          <w:lang w:val="de-DE"/>
        </w:rPr>
        <w:t>[Art. XV.60/14 eingefügt durch Art. 35</w:t>
      </w:r>
      <w:r w:rsidRPr="004676F5">
        <w:rPr>
          <w:bCs/>
          <w:i/>
          <w:iCs/>
          <w:lang w:val="de-DE"/>
        </w:rPr>
        <w:t xml:space="preserve"> des G. vom 29. September 2020 (B.S. vom 20. November 2020)]</w:t>
      </w:r>
    </w:p>
    <w:p w14:paraId="25D47707" w14:textId="77777777" w:rsidR="00EB5061" w:rsidRPr="004676F5" w:rsidRDefault="00EB5061" w:rsidP="0004441E">
      <w:pPr>
        <w:jc w:val="both"/>
        <w:rPr>
          <w:bCs/>
          <w:lang w:val="de-DE"/>
        </w:rPr>
      </w:pPr>
    </w:p>
    <w:p w14:paraId="5629B318" w14:textId="77777777" w:rsidR="00EB5061" w:rsidRPr="004676F5" w:rsidRDefault="00EB5061" w:rsidP="0004441E">
      <w:pPr>
        <w:jc w:val="both"/>
        <w:rPr>
          <w:lang w:val="de-DE"/>
        </w:rPr>
      </w:pPr>
    </w:p>
    <w:p w14:paraId="2A41FAC6" w14:textId="2C6D673E" w:rsidR="00EB5061" w:rsidRPr="004676F5" w:rsidRDefault="00EB5061">
      <w:pPr>
        <w:rPr>
          <w:bCs/>
          <w:lang w:val="de-DE"/>
        </w:rPr>
      </w:pPr>
      <w:r w:rsidRPr="004676F5">
        <w:rPr>
          <w:bCs/>
          <w:lang w:val="de-DE"/>
        </w:rPr>
        <w:br w:type="page"/>
      </w:r>
    </w:p>
    <w:p w14:paraId="6D2D6342" w14:textId="77777777" w:rsidR="00EB5061" w:rsidRPr="004676F5" w:rsidRDefault="00EB5061" w:rsidP="00EB5061">
      <w:pPr>
        <w:jc w:val="center"/>
        <w:rPr>
          <w:bCs/>
          <w:lang w:val="de-DE"/>
        </w:rPr>
      </w:pPr>
      <w:r w:rsidRPr="004676F5">
        <w:rPr>
          <w:bCs/>
          <w:lang w:val="de-DE"/>
        </w:rPr>
        <w:lastRenderedPageBreak/>
        <w:t>[</w:t>
      </w:r>
      <w:r w:rsidRPr="004676F5">
        <w:rPr>
          <w:lang w:val="de-DE"/>
        </w:rPr>
        <w:t>KAPITEL 4 - </w:t>
      </w:r>
      <w:r w:rsidRPr="004676F5">
        <w:rPr>
          <w:i/>
          <w:iCs/>
          <w:lang w:val="de-DE"/>
        </w:rPr>
        <w:t>Beschwerde</w:t>
      </w:r>
      <w:r w:rsidRPr="004676F5">
        <w:rPr>
          <w:bCs/>
          <w:lang w:val="de-DE"/>
        </w:rPr>
        <w:t>]</w:t>
      </w:r>
    </w:p>
    <w:p w14:paraId="0145DCFB" w14:textId="77777777" w:rsidR="00EB5061" w:rsidRPr="004676F5" w:rsidRDefault="00EB5061" w:rsidP="00EB5061">
      <w:pPr>
        <w:jc w:val="both"/>
        <w:rPr>
          <w:b/>
          <w:lang w:val="de-DE"/>
        </w:rPr>
      </w:pPr>
    </w:p>
    <w:p w14:paraId="703B425A" w14:textId="77777777" w:rsidR="00EB5061" w:rsidRPr="004676F5" w:rsidRDefault="00EB5061" w:rsidP="00EB5061">
      <w:pPr>
        <w:jc w:val="both"/>
        <w:rPr>
          <w:bCs/>
          <w:i/>
          <w:iCs/>
          <w:lang w:val="de-DE"/>
        </w:rPr>
      </w:pPr>
      <w:r w:rsidRPr="004676F5">
        <w:rPr>
          <w:bCs/>
          <w:i/>
          <w:iCs/>
          <w:lang w:val="de-DE"/>
        </w:rPr>
        <w:t>[Unterteilung Kapitel 4 eingefügt durch Art. 36 des G. vom 29. September 2020 (B.S. vom 20. November 2020)]</w:t>
      </w:r>
    </w:p>
    <w:p w14:paraId="407BEC84" w14:textId="77777777" w:rsidR="00EB5061" w:rsidRPr="004676F5" w:rsidRDefault="00EB5061" w:rsidP="00B61C9F">
      <w:pPr>
        <w:jc w:val="both"/>
        <w:rPr>
          <w:bCs/>
          <w:lang w:val="de-DE"/>
        </w:rPr>
      </w:pPr>
    </w:p>
    <w:p w14:paraId="67151994" w14:textId="77777777" w:rsidR="00FD0E69" w:rsidRPr="004676F5" w:rsidRDefault="00FD0E69" w:rsidP="00B61C9F">
      <w:pPr>
        <w:jc w:val="both"/>
        <w:rPr>
          <w:bCs/>
          <w:lang w:val="de-DE"/>
        </w:rPr>
      </w:pPr>
    </w:p>
    <w:p w14:paraId="116ADFE8" w14:textId="0E0E9B1B" w:rsidR="00FD0E69" w:rsidRPr="004676F5" w:rsidRDefault="00FD0E69" w:rsidP="00FD0E69">
      <w:pPr>
        <w:jc w:val="both"/>
        <w:rPr>
          <w:lang w:val="de-DE"/>
        </w:rPr>
      </w:pPr>
      <w:r w:rsidRPr="004676F5">
        <w:rPr>
          <w:bCs/>
          <w:lang w:val="de-DE"/>
        </w:rPr>
        <w:tab/>
        <w:t>[</w:t>
      </w:r>
      <w:r w:rsidRPr="004676F5">
        <w:rPr>
          <w:b/>
          <w:bCs/>
          <w:lang w:val="de-DE"/>
        </w:rPr>
        <w:t>Art. XV.60/15</w:t>
      </w:r>
      <w:r w:rsidRPr="004676F5">
        <w:rPr>
          <w:lang w:val="de-DE"/>
        </w:rPr>
        <w:t> </w:t>
      </w:r>
      <w:r w:rsidR="005B7A5C" w:rsidRPr="004676F5">
        <w:rPr>
          <w:lang w:val="de-DE"/>
        </w:rPr>
        <w:t>- </w:t>
      </w:r>
      <w:r w:rsidRPr="004676F5">
        <w:rPr>
          <w:lang w:val="de-DE"/>
        </w:rPr>
        <w:t xml:space="preserve">Der Zuwiderhandelnde, der </w:t>
      </w:r>
      <w:r w:rsidR="00653843" w:rsidRPr="004676F5">
        <w:rPr>
          <w:lang w:val="de-DE"/>
        </w:rPr>
        <w:t>[eine Entscheidung zur Auferlegung einer administrativen Geldbuße oder eine Entscheidung zur Schuldigerklärung anfechtet, reicht zur Vermeidung des Ausschlusses innerhalb einer Frist]</w:t>
      </w:r>
      <w:r w:rsidRPr="004676F5">
        <w:rPr>
          <w:lang w:val="de-DE"/>
        </w:rPr>
        <w:t xml:space="preserve"> von sechzig Tagen ab Notifizierung der Entscheidung beim Staatsrat eine Klage in Anwendung von Artikel 14 § 1 Absatz 1 Nr. 1 der am 12. Januar 1973 koordinierten Gesetze über den Staatsrat ein.</w:t>
      </w:r>
    </w:p>
    <w:p w14:paraId="4C1C7EF4" w14:textId="77777777" w:rsidR="00FD0E69" w:rsidRPr="004676F5" w:rsidRDefault="00FD0E69" w:rsidP="00FD0E69">
      <w:pPr>
        <w:jc w:val="both"/>
        <w:rPr>
          <w:lang w:val="de-DE"/>
        </w:rPr>
      </w:pPr>
    </w:p>
    <w:p w14:paraId="564BBCB1" w14:textId="7C3F2EE7" w:rsidR="00FD0E69" w:rsidRPr="004676F5" w:rsidRDefault="00FD0E69" w:rsidP="00FD0E69">
      <w:pPr>
        <w:jc w:val="both"/>
        <w:rPr>
          <w:bCs/>
          <w:lang w:val="de-DE"/>
        </w:rPr>
      </w:pPr>
      <w:r w:rsidRPr="004676F5">
        <w:rPr>
          <w:lang w:val="de-DE"/>
        </w:rPr>
        <w:tab/>
        <w:t>Durch diese Klage wird die Vollstreckung der Entscheidung ausgesetzt.</w:t>
      </w:r>
      <w:r w:rsidRPr="004676F5">
        <w:rPr>
          <w:bCs/>
          <w:lang w:val="de-DE"/>
        </w:rPr>
        <w:t>]</w:t>
      </w:r>
    </w:p>
    <w:p w14:paraId="026435B5" w14:textId="77777777" w:rsidR="00FD0E69" w:rsidRPr="004676F5" w:rsidRDefault="00FD0E69" w:rsidP="00FD0E69">
      <w:pPr>
        <w:jc w:val="both"/>
        <w:rPr>
          <w:bCs/>
          <w:lang w:val="de-DE"/>
        </w:rPr>
      </w:pPr>
    </w:p>
    <w:p w14:paraId="48912E67" w14:textId="2827308B" w:rsidR="00FD0E69" w:rsidRPr="004676F5" w:rsidRDefault="00FD0E69" w:rsidP="00FD0E69">
      <w:pPr>
        <w:jc w:val="both"/>
        <w:rPr>
          <w:bCs/>
          <w:i/>
          <w:iCs/>
          <w:lang w:val="de-DE"/>
        </w:rPr>
      </w:pPr>
      <w:r w:rsidRPr="004676F5">
        <w:rPr>
          <w:bCs/>
          <w:i/>
          <w:iCs/>
          <w:lang w:val="de-DE"/>
        </w:rPr>
        <w:t>[Art. XV.60/15 eingefügt durch Art. 2 des G. vom 4. November 2020 (B.S. vom 20. November 2020)</w:t>
      </w:r>
      <w:r w:rsidR="00653843" w:rsidRPr="004676F5">
        <w:rPr>
          <w:bCs/>
          <w:i/>
          <w:iCs/>
          <w:lang w:val="de-DE"/>
        </w:rPr>
        <w:t>; Abs. 1 abgeändert durch Art. 2 des G. vom 25. Mai 2024 (B.S. vom 18. Juli 2024)</w:t>
      </w:r>
      <w:r w:rsidRPr="004676F5">
        <w:rPr>
          <w:bCs/>
          <w:i/>
          <w:iCs/>
          <w:lang w:val="de-DE"/>
        </w:rPr>
        <w:t>]</w:t>
      </w:r>
    </w:p>
    <w:p w14:paraId="31B11BE4" w14:textId="77777777" w:rsidR="0004441E" w:rsidRPr="004676F5" w:rsidRDefault="0004441E" w:rsidP="00B61C9F">
      <w:pPr>
        <w:jc w:val="both"/>
        <w:rPr>
          <w:bCs/>
          <w:lang w:val="de-DE"/>
        </w:rPr>
      </w:pPr>
    </w:p>
    <w:p w14:paraId="5CFE9941" w14:textId="2E4A2AA8" w:rsidR="0004441E" w:rsidRPr="004676F5" w:rsidRDefault="0004441E">
      <w:pPr>
        <w:rPr>
          <w:bCs/>
          <w:lang w:val="de-DE"/>
        </w:rPr>
      </w:pPr>
      <w:r w:rsidRPr="004676F5">
        <w:rPr>
          <w:bCs/>
          <w:lang w:val="de-DE"/>
        </w:rPr>
        <w:br w:type="page"/>
      </w:r>
    </w:p>
    <w:p w14:paraId="3B8756CE" w14:textId="6D980DF5" w:rsidR="0004441E" w:rsidRPr="004676F5" w:rsidRDefault="0004441E" w:rsidP="0004441E">
      <w:pPr>
        <w:jc w:val="center"/>
        <w:rPr>
          <w:bCs/>
          <w:lang w:val="de-DE"/>
        </w:rPr>
      </w:pPr>
      <w:r w:rsidRPr="004676F5">
        <w:rPr>
          <w:bCs/>
          <w:lang w:val="de-DE"/>
        </w:rPr>
        <w:lastRenderedPageBreak/>
        <w:t>[</w:t>
      </w:r>
      <w:r w:rsidRPr="004676F5">
        <w:rPr>
          <w:lang w:val="de-DE"/>
        </w:rPr>
        <w:t>KAPITEL 5 </w:t>
      </w:r>
      <w:r w:rsidR="005B7A5C" w:rsidRPr="004676F5">
        <w:rPr>
          <w:lang w:val="de-DE"/>
        </w:rPr>
        <w:t>- </w:t>
      </w:r>
      <w:r w:rsidRPr="004676F5">
        <w:rPr>
          <w:i/>
          <w:iCs/>
          <w:lang w:val="de-DE"/>
        </w:rPr>
        <w:t>Zahlung der administrativen Geldbuße</w:t>
      </w:r>
      <w:r w:rsidRPr="004676F5">
        <w:rPr>
          <w:bCs/>
          <w:lang w:val="de-DE"/>
        </w:rPr>
        <w:t>]</w:t>
      </w:r>
    </w:p>
    <w:p w14:paraId="11E681F3" w14:textId="77777777" w:rsidR="0004441E" w:rsidRPr="004676F5" w:rsidRDefault="0004441E" w:rsidP="00B61C9F">
      <w:pPr>
        <w:jc w:val="both"/>
        <w:rPr>
          <w:b/>
          <w:lang w:val="de-DE"/>
        </w:rPr>
      </w:pPr>
    </w:p>
    <w:p w14:paraId="570FD068" w14:textId="684F06F7" w:rsidR="0004441E" w:rsidRPr="004676F5" w:rsidRDefault="0004441E" w:rsidP="0004441E">
      <w:pPr>
        <w:jc w:val="both"/>
        <w:rPr>
          <w:bCs/>
          <w:i/>
          <w:iCs/>
          <w:lang w:val="de-DE"/>
        </w:rPr>
      </w:pPr>
      <w:r w:rsidRPr="004676F5">
        <w:rPr>
          <w:bCs/>
          <w:i/>
          <w:iCs/>
          <w:lang w:val="de-DE"/>
        </w:rPr>
        <w:t>[Unterteilung Kapitel 5 eingefügt durch Art. 37 des G. vom 29. September 2020 (B.S. vom 20. November 2020)]</w:t>
      </w:r>
    </w:p>
    <w:p w14:paraId="613740DA" w14:textId="77777777" w:rsidR="0004441E" w:rsidRPr="004676F5" w:rsidRDefault="0004441E" w:rsidP="00B61C9F">
      <w:pPr>
        <w:jc w:val="both"/>
        <w:rPr>
          <w:bCs/>
          <w:lang w:val="de-DE"/>
        </w:rPr>
      </w:pPr>
    </w:p>
    <w:p w14:paraId="1EF43EC2" w14:textId="77777777" w:rsidR="0004441E" w:rsidRPr="004676F5" w:rsidRDefault="0004441E" w:rsidP="00B61C9F">
      <w:pPr>
        <w:jc w:val="both"/>
        <w:rPr>
          <w:bCs/>
          <w:lang w:val="de-DE"/>
        </w:rPr>
      </w:pPr>
    </w:p>
    <w:p w14:paraId="496F58C1" w14:textId="5A024459" w:rsidR="0004441E" w:rsidRPr="004676F5" w:rsidRDefault="0004441E" w:rsidP="0004441E">
      <w:pPr>
        <w:jc w:val="both"/>
        <w:rPr>
          <w:lang w:val="de-DE"/>
        </w:rPr>
      </w:pPr>
      <w:r w:rsidRPr="004676F5">
        <w:rPr>
          <w:bCs/>
          <w:lang w:val="de-DE"/>
        </w:rPr>
        <w:tab/>
        <w:t>[</w:t>
      </w:r>
      <w:r w:rsidRPr="004676F5">
        <w:rPr>
          <w:b/>
          <w:bCs/>
          <w:lang w:val="de-DE"/>
        </w:rPr>
        <w:t>Art. XV.60/16</w:t>
      </w:r>
      <w:r w:rsidRPr="004676F5">
        <w:rPr>
          <w:lang w:val="de-DE"/>
        </w:rPr>
        <w:t> </w:t>
      </w:r>
      <w:r w:rsidR="005B7A5C" w:rsidRPr="004676F5">
        <w:rPr>
          <w:lang w:val="de-DE"/>
        </w:rPr>
        <w:t>- </w:t>
      </w:r>
      <w:r w:rsidRPr="004676F5">
        <w:rPr>
          <w:lang w:val="de-DE"/>
        </w:rPr>
        <w:t>Die administrative Geldbuße wird vorbehaltlich einer Beschwerde nach Artikel XV.60/15 binnen drei Monaten ab dem Tag der Notifizierung der Entscheidung zur Auferlegung der administrativen Geldbuße gezahlt.</w:t>
      </w:r>
    </w:p>
    <w:p w14:paraId="4FACB496" w14:textId="77777777" w:rsidR="0004441E" w:rsidRPr="004676F5" w:rsidRDefault="0004441E" w:rsidP="0004441E">
      <w:pPr>
        <w:jc w:val="both"/>
        <w:rPr>
          <w:lang w:val="de-DE"/>
        </w:rPr>
      </w:pPr>
    </w:p>
    <w:p w14:paraId="2F98BB7B" w14:textId="77777777" w:rsidR="0004441E" w:rsidRPr="004676F5" w:rsidRDefault="0004441E" w:rsidP="0004441E">
      <w:pPr>
        <w:jc w:val="both"/>
        <w:rPr>
          <w:lang w:val="de-DE"/>
        </w:rPr>
      </w:pPr>
      <w:r w:rsidRPr="004676F5">
        <w:rPr>
          <w:lang w:val="de-DE"/>
        </w:rPr>
        <w:tab/>
        <w:t>Die in Artikel XV.60/4 erwähnten zuständigen Bediensteten können jedoch dem Zuwiderhandelnden auf seinen Antrag hin und falls erforderlich eine längere Frist gewähren, die ein Jahr nicht überschreiten darf.</w:t>
      </w:r>
    </w:p>
    <w:p w14:paraId="115D211F" w14:textId="77777777" w:rsidR="0004441E" w:rsidRPr="004676F5" w:rsidRDefault="0004441E" w:rsidP="0004441E">
      <w:pPr>
        <w:jc w:val="both"/>
        <w:rPr>
          <w:lang w:val="de-DE"/>
        </w:rPr>
      </w:pPr>
    </w:p>
    <w:p w14:paraId="3CCC6805" w14:textId="054092D3" w:rsidR="0004441E" w:rsidRPr="004676F5" w:rsidRDefault="0004441E" w:rsidP="0004441E">
      <w:pPr>
        <w:jc w:val="both"/>
        <w:rPr>
          <w:lang w:val="de-DE"/>
        </w:rPr>
      </w:pPr>
      <w:r w:rsidRPr="004676F5">
        <w:rPr>
          <w:lang w:val="de-DE"/>
        </w:rPr>
        <w:tab/>
        <w:t>Die administrative Geldbuße wird auf die Kontonummer gezahlt, die in der Notifizierung der Entscheidung zur Auferlegung der administrativen Geldbuße angegeben ist.]</w:t>
      </w:r>
    </w:p>
    <w:p w14:paraId="08BF65C8" w14:textId="77777777" w:rsidR="0004441E" w:rsidRPr="004676F5" w:rsidRDefault="0004441E" w:rsidP="0004441E">
      <w:pPr>
        <w:jc w:val="both"/>
        <w:rPr>
          <w:lang w:val="de-DE"/>
        </w:rPr>
      </w:pPr>
    </w:p>
    <w:p w14:paraId="6F4C1B31" w14:textId="5A58549C" w:rsidR="0004441E" w:rsidRPr="004676F5" w:rsidRDefault="0004441E" w:rsidP="0004441E">
      <w:pPr>
        <w:jc w:val="both"/>
        <w:rPr>
          <w:i/>
          <w:iCs/>
          <w:lang w:val="de-DE"/>
        </w:rPr>
      </w:pPr>
      <w:r w:rsidRPr="004676F5">
        <w:rPr>
          <w:i/>
          <w:iCs/>
          <w:lang w:val="de-DE"/>
        </w:rPr>
        <w:t>[Art. XV.60/16 eingefügt durch Art. 38</w:t>
      </w:r>
      <w:r w:rsidRPr="004676F5">
        <w:rPr>
          <w:bCs/>
          <w:i/>
          <w:iCs/>
          <w:lang w:val="de-DE"/>
        </w:rPr>
        <w:t xml:space="preserve"> des G. vom 29. September 2020 (B.S. vom 20. November 2020)]</w:t>
      </w:r>
    </w:p>
    <w:p w14:paraId="46BD5C34" w14:textId="77777777" w:rsidR="0004441E" w:rsidRPr="004676F5" w:rsidRDefault="0004441E" w:rsidP="0004441E">
      <w:pPr>
        <w:jc w:val="both"/>
        <w:rPr>
          <w:lang w:val="de-DE"/>
        </w:rPr>
      </w:pPr>
    </w:p>
    <w:p w14:paraId="31B05497" w14:textId="77777777" w:rsidR="0004441E" w:rsidRPr="004676F5" w:rsidRDefault="0004441E" w:rsidP="0004441E">
      <w:pPr>
        <w:jc w:val="both"/>
        <w:rPr>
          <w:lang w:val="de-DE"/>
        </w:rPr>
      </w:pPr>
    </w:p>
    <w:p w14:paraId="7A6BE625" w14:textId="6C502B08" w:rsidR="0004441E" w:rsidRPr="004676F5" w:rsidRDefault="0004441E" w:rsidP="0004441E">
      <w:pPr>
        <w:jc w:val="both"/>
        <w:rPr>
          <w:lang w:val="de-DE"/>
        </w:rPr>
      </w:pPr>
      <w:r w:rsidRPr="004676F5">
        <w:rPr>
          <w:lang w:val="de-DE"/>
        </w:rPr>
        <w:tab/>
        <w:t>[</w:t>
      </w:r>
      <w:r w:rsidRPr="004676F5">
        <w:rPr>
          <w:b/>
          <w:bCs/>
          <w:lang w:val="de-DE"/>
        </w:rPr>
        <w:t>Art. XV.60/17</w:t>
      </w:r>
      <w:r w:rsidRPr="004676F5">
        <w:rPr>
          <w:lang w:val="de-DE"/>
        </w:rPr>
        <w:t> </w:t>
      </w:r>
      <w:r w:rsidR="005B7A5C" w:rsidRPr="004676F5">
        <w:rPr>
          <w:lang w:val="de-DE"/>
        </w:rPr>
        <w:t>- </w:t>
      </w:r>
      <w:r w:rsidRPr="004676F5">
        <w:rPr>
          <w:lang w:val="de-DE"/>
        </w:rPr>
        <w:t>Wenn der Zuwiderhandelnde versäumt, die administrative Geldbuße binnen der in Artikel XV.60/16 vorgesehenen Frist zu zahlen, übermitteln die in Artikel XV.60/4 erwähnten zuständigen Bediensteten zwecks Beitreibung dieser Geldbuße die Akte an die mit Einnahme und Beitreibung nichtsteuerlicher Forderungen beauftragte Verwaltung des FÖD Finanzen.</w:t>
      </w:r>
    </w:p>
    <w:p w14:paraId="18691D65" w14:textId="77777777" w:rsidR="0004441E" w:rsidRPr="004676F5" w:rsidRDefault="0004441E" w:rsidP="0004441E">
      <w:pPr>
        <w:jc w:val="both"/>
        <w:rPr>
          <w:lang w:val="de-DE"/>
        </w:rPr>
      </w:pPr>
    </w:p>
    <w:p w14:paraId="13995A3A" w14:textId="77777777" w:rsidR="0004441E" w:rsidRPr="004676F5" w:rsidRDefault="0004441E" w:rsidP="0004441E">
      <w:pPr>
        <w:jc w:val="both"/>
        <w:rPr>
          <w:lang w:val="de-DE"/>
        </w:rPr>
      </w:pPr>
      <w:r w:rsidRPr="004676F5">
        <w:rPr>
          <w:lang w:val="de-DE"/>
        </w:rPr>
        <w:tab/>
        <w:t>Zu diesem Zweck übermitteln die in Artikel XV.60/4 erwähnten zuständigen Bediensteten der in Absatz 1 erwähnten Verwaltung eine Abschrift der administrativen Entscheidung.</w:t>
      </w:r>
    </w:p>
    <w:p w14:paraId="7D270ED3" w14:textId="77777777" w:rsidR="0004441E" w:rsidRPr="004676F5" w:rsidRDefault="0004441E" w:rsidP="0004441E">
      <w:pPr>
        <w:jc w:val="both"/>
        <w:rPr>
          <w:lang w:val="de-DE"/>
        </w:rPr>
      </w:pPr>
    </w:p>
    <w:p w14:paraId="5E70B7DA" w14:textId="4EB67317" w:rsidR="0004441E" w:rsidRPr="004676F5" w:rsidRDefault="0004441E" w:rsidP="0004441E">
      <w:pPr>
        <w:jc w:val="both"/>
        <w:rPr>
          <w:lang w:val="de-DE"/>
        </w:rPr>
      </w:pPr>
      <w:r w:rsidRPr="004676F5">
        <w:rPr>
          <w:lang w:val="de-DE"/>
        </w:rPr>
        <w:tab/>
        <w:t>Für Beitreibungen, die die in Absatz 1 erwähnte Verwaltung einleiten muss, gelten die Artikel 3 und 4 des Domanialgesetzes vom 22. Dezember 1949.]</w:t>
      </w:r>
    </w:p>
    <w:p w14:paraId="287AB652" w14:textId="77777777" w:rsidR="0004441E" w:rsidRPr="004676F5" w:rsidRDefault="0004441E" w:rsidP="0004441E">
      <w:pPr>
        <w:jc w:val="both"/>
        <w:rPr>
          <w:lang w:val="de-DE"/>
        </w:rPr>
      </w:pPr>
    </w:p>
    <w:p w14:paraId="6F6495FD" w14:textId="6F59E9E9" w:rsidR="0004441E" w:rsidRPr="004676F5" w:rsidRDefault="0004441E" w:rsidP="0004441E">
      <w:pPr>
        <w:jc w:val="both"/>
        <w:rPr>
          <w:i/>
          <w:iCs/>
          <w:lang w:val="de-DE"/>
        </w:rPr>
      </w:pPr>
      <w:r w:rsidRPr="004676F5">
        <w:rPr>
          <w:i/>
          <w:iCs/>
          <w:lang w:val="de-DE"/>
        </w:rPr>
        <w:t>[Art. XV.60/17 eingefügt durch Art. 39</w:t>
      </w:r>
      <w:r w:rsidRPr="004676F5">
        <w:rPr>
          <w:bCs/>
          <w:i/>
          <w:iCs/>
          <w:lang w:val="de-DE"/>
        </w:rPr>
        <w:t xml:space="preserve"> des G. vom 29. September 2020 (B.S. vom 20. November 2020)]</w:t>
      </w:r>
    </w:p>
    <w:p w14:paraId="56A5EC63" w14:textId="77777777" w:rsidR="0004441E" w:rsidRPr="004676F5" w:rsidRDefault="0004441E" w:rsidP="0004441E">
      <w:pPr>
        <w:jc w:val="both"/>
        <w:rPr>
          <w:lang w:val="de-DE"/>
        </w:rPr>
      </w:pPr>
    </w:p>
    <w:p w14:paraId="254A0222" w14:textId="77777777" w:rsidR="0004441E" w:rsidRPr="004676F5" w:rsidRDefault="0004441E" w:rsidP="0004441E">
      <w:pPr>
        <w:rPr>
          <w:lang w:val="de-DE"/>
        </w:rPr>
      </w:pPr>
    </w:p>
    <w:p w14:paraId="6EF98361" w14:textId="57B92DBB" w:rsidR="0004441E" w:rsidRPr="004676F5" w:rsidRDefault="0004441E" w:rsidP="0004441E">
      <w:pPr>
        <w:jc w:val="both"/>
        <w:rPr>
          <w:lang w:val="de-DE"/>
        </w:rPr>
      </w:pPr>
      <w:r w:rsidRPr="004676F5">
        <w:rPr>
          <w:lang w:val="de-DE"/>
        </w:rPr>
        <w:tab/>
        <w:t>[</w:t>
      </w:r>
      <w:r w:rsidRPr="004676F5">
        <w:rPr>
          <w:b/>
          <w:bCs/>
          <w:lang w:val="de-DE"/>
        </w:rPr>
        <w:t>Art. XV.60/18</w:t>
      </w:r>
      <w:r w:rsidRPr="004676F5">
        <w:rPr>
          <w:lang w:val="de-DE"/>
        </w:rPr>
        <w:t> </w:t>
      </w:r>
      <w:r w:rsidR="005B7A5C" w:rsidRPr="004676F5">
        <w:rPr>
          <w:lang w:val="de-DE"/>
        </w:rPr>
        <w:t>- </w:t>
      </w:r>
      <w:r w:rsidRPr="004676F5">
        <w:rPr>
          <w:lang w:val="de-DE"/>
        </w:rPr>
        <w:t>Die Klage auf Rückforderung der administrativen Geldbuße verjährt in zehn Jahren ab dem Tag, an dem gegen die Entscheidung der in Artikel XV.60/4 erwähnten zuständigen Bediensteten keine Beschwerde mehr eingereicht werden kann.]</w:t>
      </w:r>
    </w:p>
    <w:p w14:paraId="19D409C1" w14:textId="77777777" w:rsidR="0004441E" w:rsidRPr="004676F5" w:rsidRDefault="0004441E" w:rsidP="0004441E">
      <w:pPr>
        <w:jc w:val="both"/>
        <w:rPr>
          <w:lang w:val="de-DE"/>
        </w:rPr>
      </w:pPr>
    </w:p>
    <w:p w14:paraId="1EBAF916" w14:textId="1C51122A" w:rsidR="0004441E" w:rsidRPr="004676F5" w:rsidRDefault="0004441E" w:rsidP="0004441E">
      <w:pPr>
        <w:jc w:val="both"/>
        <w:rPr>
          <w:i/>
          <w:iCs/>
          <w:lang w:val="de-DE"/>
        </w:rPr>
      </w:pPr>
      <w:r w:rsidRPr="004676F5">
        <w:rPr>
          <w:i/>
          <w:iCs/>
          <w:lang w:val="de-DE"/>
        </w:rPr>
        <w:t>[Art. XV.60/18 eingefügt durch Art. 40</w:t>
      </w:r>
      <w:r w:rsidRPr="004676F5">
        <w:rPr>
          <w:bCs/>
          <w:i/>
          <w:iCs/>
          <w:lang w:val="de-DE"/>
        </w:rPr>
        <w:t xml:space="preserve"> des G. vom 29. September 2020 (B.S. vom 20. November 2020)]</w:t>
      </w:r>
    </w:p>
    <w:p w14:paraId="3038A3D0" w14:textId="77777777" w:rsidR="0004441E" w:rsidRPr="004676F5" w:rsidRDefault="0004441E" w:rsidP="0004441E">
      <w:pPr>
        <w:jc w:val="both"/>
        <w:rPr>
          <w:lang w:val="de-DE"/>
        </w:rPr>
      </w:pPr>
    </w:p>
    <w:p w14:paraId="753201B8" w14:textId="77777777" w:rsidR="0004441E" w:rsidRPr="004676F5" w:rsidRDefault="0004441E" w:rsidP="0004441E">
      <w:pPr>
        <w:jc w:val="both"/>
        <w:rPr>
          <w:lang w:val="de-DE"/>
        </w:rPr>
      </w:pPr>
    </w:p>
    <w:p w14:paraId="4220035E" w14:textId="77777777" w:rsidR="0004441E" w:rsidRPr="004676F5" w:rsidRDefault="0004441E">
      <w:pPr>
        <w:rPr>
          <w:lang w:val="de-DE"/>
        </w:rPr>
      </w:pPr>
      <w:r w:rsidRPr="004676F5">
        <w:rPr>
          <w:lang w:val="de-DE"/>
        </w:rPr>
        <w:br w:type="page"/>
      </w:r>
    </w:p>
    <w:p w14:paraId="11F7F558" w14:textId="37278E28" w:rsidR="0004441E" w:rsidRPr="004676F5" w:rsidRDefault="0004441E" w:rsidP="0004441E">
      <w:pPr>
        <w:jc w:val="both"/>
        <w:rPr>
          <w:bCs/>
          <w:lang w:val="de-DE"/>
        </w:rPr>
      </w:pPr>
      <w:r w:rsidRPr="004676F5">
        <w:rPr>
          <w:lang w:val="de-DE"/>
        </w:rPr>
        <w:lastRenderedPageBreak/>
        <w:tab/>
        <w:t>[</w:t>
      </w:r>
      <w:r w:rsidRPr="004676F5">
        <w:rPr>
          <w:b/>
          <w:bCs/>
          <w:lang w:val="de-DE"/>
        </w:rPr>
        <w:t>Art. XV.60/19</w:t>
      </w:r>
      <w:r w:rsidRPr="004676F5">
        <w:rPr>
          <w:lang w:val="de-DE"/>
        </w:rPr>
        <w:t> </w:t>
      </w:r>
      <w:r w:rsidR="005B7A5C" w:rsidRPr="004676F5">
        <w:rPr>
          <w:lang w:val="de-DE"/>
        </w:rPr>
        <w:t>- </w:t>
      </w:r>
      <w:r w:rsidRPr="004676F5">
        <w:rPr>
          <w:lang w:val="de-DE"/>
        </w:rPr>
        <w:t>Durch die Zahlung der Geldbuße erlischt die Klage der in Artikel XV.60/4 erwähnten zuständigen Bediensteten.</w:t>
      </w:r>
      <w:r w:rsidRPr="004676F5">
        <w:rPr>
          <w:bCs/>
          <w:lang w:val="de-DE"/>
        </w:rPr>
        <w:t>]</w:t>
      </w:r>
    </w:p>
    <w:p w14:paraId="4473DC4E" w14:textId="77777777" w:rsidR="0004441E" w:rsidRPr="004676F5" w:rsidRDefault="0004441E" w:rsidP="00B61C9F">
      <w:pPr>
        <w:jc w:val="both"/>
        <w:rPr>
          <w:bCs/>
          <w:lang w:val="de-DE"/>
        </w:rPr>
      </w:pPr>
    </w:p>
    <w:p w14:paraId="491F59B8" w14:textId="51075AE8" w:rsidR="0004441E" w:rsidRPr="004676F5" w:rsidRDefault="0004441E" w:rsidP="0004441E">
      <w:pPr>
        <w:jc w:val="both"/>
        <w:rPr>
          <w:i/>
          <w:iCs/>
          <w:lang w:val="de-DE"/>
        </w:rPr>
      </w:pPr>
      <w:r w:rsidRPr="004676F5">
        <w:rPr>
          <w:i/>
          <w:iCs/>
          <w:lang w:val="de-DE"/>
        </w:rPr>
        <w:t>[Art. XV.60/19 eingefügt durch Art. 41</w:t>
      </w:r>
      <w:r w:rsidRPr="004676F5">
        <w:rPr>
          <w:bCs/>
          <w:i/>
          <w:iCs/>
          <w:lang w:val="de-DE"/>
        </w:rPr>
        <w:t xml:space="preserve"> des G. vom 29. September 2020 (B.S. vom 20. November 2020)]</w:t>
      </w:r>
    </w:p>
    <w:p w14:paraId="5CA93C8B" w14:textId="77777777" w:rsidR="0004441E" w:rsidRPr="004676F5" w:rsidRDefault="0004441E" w:rsidP="00B61C9F">
      <w:pPr>
        <w:jc w:val="both"/>
        <w:rPr>
          <w:bCs/>
          <w:lang w:val="de-DE"/>
        </w:rPr>
      </w:pPr>
    </w:p>
    <w:p w14:paraId="40612BF7" w14:textId="6AE08B7A" w:rsidR="0004441E" w:rsidRPr="004676F5" w:rsidRDefault="0004441E">
      <w:pPr>
        <w:rPr>
          <w:bCs/>
          <w:lang w:val="de-DE"/>
        </w:rPr>
      </w:pPr>
      <w:r w:rsidRPr="004676F5">
        <w:rPr>
          <w:bCs/>
          <w:lang w:val="de-DE"/>
        </w:rPr>
        <w:br w:type="page"/>
      </w:r>
    </w:p>
    <w:p w14:paraId="4353C4FA" w14:textId="3235752F" w:rsidR="0004441E" w:rsidRPr="004676F5" w:rsidRDefault="0004441E" w:rsidP="0004441E">
      <w:pPr>
        <w:jc w:val="center"/>
        <w:rPr>
          <w:bCs/>
          <w:lang w:val="de-DE"/>
        </w:rPr>
      </w:pPr>
      <w:r w:rsidRPr="004676F5">
        <w:rPr>
          <w:bCs/>
          <w:lang w:val="de-DE"/>
        </w:rPr>
        <w:lastRenderedPageBreak/>
        <w:t>[</w:t>
      </w:r>
      <w:r w:rsidRPr="004676F5">
        <w:rPr>
          <w:lang w:val="de-DE"/>
        </w:rPr>
        <w:t>KAPITEL 6 </w:t>
      </w:r>
      <w:r w:rsidR="005B7A5C" w:rsidRPr="004676F5">
        <w:rPr>
          <w:lang w:val="de-DE"/>
        </w:rPr>
        <w:t>- </w:t>
      </w:r>
      <w:r w:rsidRPr="004676F5">
        <w:rPr>
          <w:i/>
          <w:iCs/>
          <w:lang w:val="de-DE"/>
        </w:rPr>
        <w:t>Höhe der administrativen Geldbuße</w:t>
      </w:r>
      <w:r w:rsidRPr="004676F5">
        <w:rPr>
          <w:bCs/>
          <w:lang w:val="de-DE"/>
        </w:rPr>
        <w:t>]</w:t>
      </w:r>
    </w:p>
    <w:p w14:paraId="4AA900FF" w14:textId="77777777" w:rsidR="0004441E" w:rsidRPr="004676F5" w:rsidRDefault="0004441E" w:rsidP="0004441E">
      <w:pPr>
        <w:jc w:val="center"/>
        <w:rPr>
          <w:bCs/>
          <w:lang w:val="de-DE"/>
        </w:rPr>
      </w:pPr>
    </w:p>
    <w:p w14:paraId="7DDC2BB1" w14:textId="5D69C18A" w:rsidR="0004441E" w:rsidRPr="004676F5" w:rsidRDefault="0004441E" w:rsidP="0004441E">
      <w:pPr>
        <w:jc w:val="both"/>
        <w:rPr>
          <w:bCs/>
          <w:i/>
          <w:iCs/>
          <w:lang w:val="de-DE"/>
        </w:rPr>
      </w:pPr>
      <w:r w:rsidRPr="004676F5">
        <w:rPr>
          <w:bCs/>
          <w:i/>
          <w:iCs/>
          <w:lang w:val="de-DE"/>
        </w:rPr>
        <w:t>[Unterteilung Kapitel 6 eingefügt durch Art. 42 des G. vom 29. September 2020 (B.S. vom 20. November 2020)]</w:t>
      </w:r>
    </w:p>
    <w:p w14:paraId="5EACEB10" w14:textId="77777777" w:rsidR="0004441E" w:rsidRPr="004676F5" w:rsidRDefault="0004441E" w:rsidP="0004441E">
      <w:pPr>
        <w:jc w:val="both"/>
        <w:rPr>
          <w:bCs/>
          <w:i/>
          <w:iCs/>
          <w:lang w:val="de-DE"/>
        </w:rPr>
      </w:pPr>
    </w:p>
    <w:p w14:paraId="088C4FFD" w14:textId="77777777" w:rsidR="0004441E" w:rsidRPr="004676F5" w:rsidRDefault="0004441E" w:rsidP="0004441E">
      <w:pPr>
        <w:jc w:val="both"/>
        <w:rPr>
          <w:bCs/>
          <w:lang w:val="de-DE"/>
        </w:rPr>
      </w:pPr>
    </w:p>
    <w:p w14:paraId="1E8FC370" w14:textId="0BBB4837" w:rsidR="0004441E" w:rsidRPr="004676F5" w:rsidRDefault="0004441E" w:rsidP="0004441E">
      <w:pPr>
        <w:jc w:val="both"/>
        <w:rPr>
          <w:lang w:val="de-DE"/>
        </w:rPr>
      </w:pPr>
      <w:r w:rsidRPr="004676F5">
        <w:rPr>
          <w:bCs/>
          <w:lang w:val="de-DE"/>
        </w:rPr>
        <w:tab/>
        <w:t>[</w:t>
      </w:r>
      <w:r w:rsidRPr="004676F5">
        <w:rPr>
          <w:b/>
          <w:bCs/>
          <w:lang w:val="de-DE"/>
        </w:rPr>
        <w:t>Art. XV.60/20</w:t>
      </w:r>
      <w:r w:rsidRPr="004676F5">
        <w:rPr>
          <w:lang w:val="de-DE"/>
        </w:rPr>
        <w:t> </w:t>
      </w:r>
      <w:r w:rsidR="005B7A5C" w:rsidRPr="004676F5">
        <w:rPr>
          <w:lang w:val="de-DE"/>
        </w:rPr>
        <w:t>- </w:t>
      </w:r>
      <w:r w:rsidR="00437C96" w:rsidRPr="004676F5">
        <w:rPr>
          <w:lang w:val="de-DE"/>
        </w:rPr>
        <w:t xml:space="preserve">[§ 1] </w:t>
      </w:r>
      <w:r w:rsidR="005B7A5C" w:rsidRPr="004676F5">
        <w:rPr>
          <w:lang w:val="de-DE"/>
        </w:rPr>
        <w:t>- </w:t>
      </w:r>
      <w:r w:rsidRPr="004676F5">
        <w:rPr>
          <w:lang w:val="de-DE"/>
        </w:rPr>
        <w:t>Die Mindest</w:t>
      </w:r>
      <w:r w:rsidR="005B7A5C" w:rsidRPr="004676F5">
        <w:rPr>
          <w:lang w:val="de-DE"/>
        </w:rPr>
        <w:t>- </w:t>
      </w:r>
      <w:r w:rsidRPr="004676F5">
        <w:rPr>
          <w:lang w:val="de-DE"/>
        </w:rPr>
        <w:t>und Höchstbeträge der administrativen Geldbuße entsprechen den jeweiligen Mindest</w:t>
      </w:r>
      <w:r w:rsidR="005B7A5C" w:rsidRPr="004676F5">
        <w:rPr>
          <w:lang w:val="de-DE"/>
        </w:rPr>
        <w:t>- </w:t>
      </w:r>
      <w:r w:rsidRPr="004676F5">
        <w:rPr>
          <w:lang w:val="de-DE"/>
        </w:rPr>
        <w:t>und Höchstbeträgen der in Titel 3 Kapitel 1 und 2 des vorliegenden Buches festgelegten strafrechtlichen Geldbuße, mit der dieselbe Tat geahndet wird.</w:t>
      </w:r>
    </w:p>
    <w:p w14:paraId="0C496779" w14:textId="77777777" w:rsidR="0004441E" w:rsidRPr="004676F5" w:rsidRDefault="0004441E" w:rsidP="0004441E">
      <w:pPr>
        <w:jc w:val="both"/>
        <w:rPr>
          <w:lang w:val="de-DE"/>
        </w:rPr>
      </w:pPr>
    </w:p>
    <w:p w14:paraId="3DA8935F" w14:textId="771340E1" w:rsidR="0004441E" w:rsidRPr="004676F5" w:rsidRDefault="0004441E" w:rsidP="0004441E">
      <w:pPr>
        <w:jc w:val="both"/>
        <w:rPr>
          <w:bCs/>
          <w:lang w:val="de-DE"/>
        </w:rPr>
      </w:pPr>
      <w:r w:rsidRPr="004676F5">
        <w:rPr>
          <w:lang w:val="de-DE"/>
        </w:rPr>
        <w:tab/>
        <w:t>Die in Artikel 1 Absatz 1 des Gesetzes vom 5. März 1952 über die Zuschlagzehntel auf strafrechtliche Geldbußen erwähnten Zuschlagzehntel sind auch auf die in vorliegendem Gesetzbuch erwähnten administrativen Geldbußen anwendbar.</w:t>
      </w:r>
      <w:r w:rsidRPr="004676F5">
        <w:rPr>
          <w:bCs/>
          <w:lang w:val="de-DE"/>
        </w:rPr>
        <w:t>]</w:t>
      </w:r>
    </w:p>
    <w:p w14:paraId="2CDC59CD" w14:textId="77777777" w:rsidR="00437C96" w:rsidRPr="004676F5" w:rsidRDefault="00437C96" w:rsidP="0004441E">
      <w:pPr>
        <w:jc w:val="both"/>
        <w:rPr>
          <w:bCs/>
          <w:lang w:val="de-DE"/>
        </w:rPr>
      </w:pPr>
    </w:p>
    <w:p w14:paraId="47A34E62" w14:textId="3E82BCE2" w:rsidR="00437C96" w:rsidRPr="004676F5" w:rsidRDefault="00437C96" w:rsidP="00437C96">
      <w:pPr>
        <w:jc w:val="both"/>
        <w:rPr>
          <w:lang w:val="de-DE"/>
        </w:rPr>
      </w:pPr>
      <w:r w:rsidRPr="004676F5">
        <w:rPr>
          <w:bCs/>
          <w:lang w:val="de-DE"/>
        </w:rPr>
        <w:tab/>
        <w:t>[</w:t>
      </w:r>
      <w:r w:rsidRPr="004676F5">
        <w:rPr>
          <w:lang w:val="de-DE"/>
        </w:rPr>
        <w:t>§ 2 </w:t>
      </w:r>
      <w:r w:rsidR="005B7A5C" w:rsidRPr="004676F5">
        <w:rPr>
          <w:lang w:val="de-DE"/>
        </w:rPr>
        <w:t>- </w:t>
      </w:r>
      <w:r w:rsidRPr="004676F5">
        <w:rPr>
          <w:lang w:val="de-DE"/>
        </w:rPr>
        <w:t>Bei der Verhängung der administrativen Geldbuße werden folgende als nicht abschließend zu verstehende und beispielhafte Kriterien berücksichtigt:</w:t>
      </w:r>
    </w:p>
    <w:p w14:paraId="5F02DD57" w14:textId="77777777" w:rsidR="00437C96" w:rsidRPr="004676F5" w:rsidRDefault="00437C96" w:rsidP="00437C96">
      <w:pPr>
        <w:jc w:val="both"/>
        <w:rPr>
          <w:lang w:val="de-DE"/>
        </w:rPr>
      </w:pPr>
    </w:p>
    <w:p w14:paraId="0BF24759" w14:textId="77777777" w:rsidR="00437C96" w:rsidRPr="004676F5" w:rsidRDefault="00437C96" w:rsidP="00437C96">
      <w:pPr>
        <w:jc w:val="both"/>
        <w:rPr>
          <w:lang w:val="de-DE"/>
        </w:rPr>
      </w:pPr>
      <w:r w:rsidRPr="004676F5">
        <w:rPr>
          <w:lang w:val="de-DE"/>
        </w:rPr>
        <w:tab/>
        <w:t>1. Art, Schwere, Umfang und Dauer des Verstoßes,</w:t>
      </w:r>
    </w:p>
    <w:p w14:paraId="68A7D4A8" w14:textId="77777777" w:rsidR="00437C96" w:rsidRPr="004676F5" w:rsidRDefault="00437C96" w:rsidP="00437C96">
      <w:pPr>
        <w:jc w:val="both"/>
        <w:rPr>
          <w:lang w:val="de-DE"/>
        </w:rPr>
      </w:pPr>
    </w:p>
    <w:p w14:paraId="09961B22" w14:textId="77777777" w:rsidR="00437C96" w:rsidRPr="004676F5" w:rsidRDefault="00437C96" w:rsidP="00437C96">
      <w:pPr>
        <w:jc w:val="both"/>
        <w:rPr>
          <w:lang w:val="de-DE"/>
        </w:rPr>
      </w:pPr>
      <w:r w:rsidRPr="004676F5">
        <w:rPr>
          <w:lang w:val="de-DE"/>
        </w:rPr>
        <w:tab/>
        <w:t>2. Maßnahmen des Unternehmens zur Minderung oder Beseitigung des Schadens, der Verbrauchern entstanden ist,</w:t>
      </w:r>
    </w:p>
    <w:p w14:paraId="5E9BA29E" w14:textId="77777777" w:rsidR="00437C96" w:rsidRPr="004676F5" w:rsidRDefault="00437C96" w:rsidP="00437C96">
      <w:pPr>
        <w:jc w:val="both"/>
        <w:rPr>
          <w:lang w:val="de-DE"/>
        </w:rPr>
      </w:pPr>
    </w:p>
    <w:p w14:paraId="13BA7B3E" w14:textId="77777777" w:rsidR="00437C96" w:rsidRPr="004676F5" w:rsidRDefault="00437C96" w:rsidP="00437C96">
      <w:pPr>
        <w:jc w:val="both"/>
        <w:rPr>
          <w:lang w:val="de-DE"/>
        </w:rPr>
      </w:pPr>
      <w:r w:rsidRPr="004676F5">
        <w:rPr>
          <w:lang w:val="de-DE"/>
        </w:rPr>
        <w:tab/>
        <w:t>3. frühere Verstöße des Unternehmens,</w:t>
      </w:r>
    </w:p>
    <w:p w14:paraId="7416A5F4" w14:textId="77777777" w:rsidR="00437C96" w:rsidRPr="004676F5" w:rsidRDefault="00437C96" w:rsidP="00437C96">
      <w:pPr>
        <w:jc w:val="both"/>
        <w:rPr>
          <w:lang w:val="de-DE"/>
        </w:rPr>
      </w:pPr>
    </w:p>
    <w:p w14:paraId="23E976D5" w14:textId="77777777" w:rsidR="00437C96" w:rsidRPr="004676F5" w:rsidRDefault="00437C96" w:rsidP="00437C96">
      <w:pPr>
        <w:jc w:val="both"/>
        <w:rPr>
          <w:lang w:val="de-DE"/>
        </w:rPr>
      </w:pPr>
      <w:r w:rsidRPr="004676F5">
        <w:rPr>
          <w:lang w:val="de-DE"/>
        </w:rPr>
        <w:tab/>
        <w:t>4. vom Unternehmen aufgrund des Verstoßes erlangte finanzielle Vorteile oder vermiedene Verluste, wenn dazu die entsprechenden Daten verfügbar sind,</w:t>
      </w:r>
    </w:p>
    <w:p w14:paraId="4E808027" w14:textId="77777777" w:rsidR="00437C96" w:rsidRPr="004676F5" w:rsidRDefault="00437C96" w:rsidP="00437C96">
      <w:pPr>
        <w:jc w:val="both"/>
        <w:rPr>
          <w:lang w:val="de-DE"/>
        </w:rPr>
      </w:pPr>
    </w:p>
    <w:p w14:paraId="32C1298B" w14:textId="77777777" w:rsidR="00437C96" w:rsidRPr="004676F5" w:rsidRDefault="00437C96" w:rsidP="00437C96">
      <w:pPr>
        <w:jc w:val="both"/>
        <w:rPr>
          <w:lang w:val="de-DE"/>
        </w:rPr>
      </w:pPr>
      <w:r w:rsidRPr="004676F5">
        <w:rPr>
          <w:lang w:val="de-DE"/>
        </w:rPr>
        <w:tab/>
        <w:t>5. Sanktionen, die gegen das Unternehmen für denselben Verstoß in grenzüber</w:t>
      </w:r>
      <w:r w:rsidRPr="004676F5">
        <w:rPr>
          <w:lang w:val="de-DE"/>
        </w:rPr>
        <w:softHyphen/>
        <w:t>schreitenden Fällen in anderen Mitgliedstaaten verhängt wurden, sofern Informationen über solche Sanktionen im Rahmen des aufgrund der Verordnung (EU) 2017/2394 des Europäischen Parlaments und des Rates errichteten Mechanismus verfügbar sind,</w:t>
      </w:r>
    </w:p>
    <w:p w14:paraId="37637703" w14:textId="77777777" w:rsidR="00437C96" w:rsidRPr="004676F5" w:rsidRDefault="00437C96" w:rsidP="00437C96">
      <w:pPr>
        <w:jc w:val="both"/>
        <w:rPr>
          <w:lang w:val="de-DE"/>
        </w:rPr>
      </w:pPr>
    </w:p>
    <w:p w14:paraId="3FC8744E" w14:textId="7DD98CCC" w:rsidR="00437C96" w:rsidRPr="004676F5" w:rsidRDefault="00437C96" w:rsidP="00437C96">
      <w:pPr>
        <w:jc w:val="both"/>
        <w:rPr>
          <w:bCs/>
          <w:lang w:val="de-DE"/>
        </w:rPr>
      </w:pPr>
      <w:r w:rsidRPr="004676F5">
        <w:rPr>
          <w:lang w:val="de-DE"/>
        </w:rPr>
        <w:tab/>
        <w:t>6. andere erschwerende oder mildernde Umstände im jeweiligen Fall.</w:t>
      </w:r>
      <w:r w:rsidRPr="004676F5">
        <w:rPr>
          <w:bCs/>
          <w:lang w:val="de-DE"/>
        </w:rPr>
        <w:t>]</w:t>
      </w:r>
    </w:p>
    <w:p w14:paraId="349ECCD1" w14:textId="77777777" w:rsidR="0004441E" w:rsidRPr="004676F5" w:rsidRDefault="0004441E" w:rsidP="0004441E">
      <w:pPr>
        <w:jc w:val="both"/>
        <w:rPr>
          <w:bCs/>
          <w:lang w:val="de-DE"/>
        </w:rPr>
      </w:pPr>
    </w:p>
    <w:p w14:paraId="1F8F13CE" w14:textId="40915DD1" w:rsidR="0004441E" w:rsidRPr="004676F5" w:rsidRDefault="0004441E" w:rsidP="0004441E">
      <w:pPr>
        <w:jc w:val="both"/>
        <w:rPr>
          <w:i/>
          <w:iCs/>
          <w:lang w:val="de-DE"/>
        </w:rPr>
      </w:pPr>
      <w:r w:rsidRPr="004676F5">
        <w:rPr>
          <w:i/>
          <w:iCs/>
          <w:lang w:val="de-DE"/>
        </w:rPr>
        <w:t>[Art. XV.60/20 eingefügt durch Art. 43</w:t>
      </w:r>
      <w:r w:rsidRPr="004676F5">
        <w:rPr>
          <w:bCs/>
          <w:i/>
          <w:iCs/>
          <w:lang w:val="de-DE"/>
        </w:rPr>
        <w:t xml:space="preserve"> des G. vom 29. September 2020 (B.S. vom 20. November 2020)</w:t>
      </w:r>
      <w:r w:rsidR="00437C96" w:rsidRPr="004676F5">
        <w:rPr>
          <w:bCs/>
          <w:i/>
          <w:iCs/>
          <w:lang w:val="de-DE"/>
        </w:rPr>
        <w:t>; § 1 (frühere Absätze 1 und 2) nummeriert durch Art. 34 des G. vom 8. Mai 2022 (B.S. vom 2. Juni 2022); § 2 eingefügt durch Art. 34 des G. vom 8. Mai 2022 (B.S. vom 2. Juni 2022)</w:t>
      </w:r>
      <w:r w:rsidRPr="004676F5">
        <w:rPr>
          <w:bCs/>
          <w:i/>
          <w:iCs/>
          <w:lang w:val="de-DE"/>
        </w:rPr>
        <w:t>]</w:t>
      </w:r>
    </w:p>
    <w:p w14:paraId="47249B6E" w14:textId="77777777" w:rsidR="0004441E" w:rsidRPr="004676F5" w:rsidRDefault="0004441E" w:rsidP="0004441E">
      <w:pPr>
        <w:jc w:val="both"/>
        <w:rPr>
          <w:bCs/>
          <w:lang w:val="de-DE"/>
        </w:rPr>
      </w:pPr>
    </w:p>
    <w:p w14:paraId="74892C51" w14:textId="57F1F18A" w:rsidR="00901C74" w:rsidRPr="004676F5" w:rsidRDefault="00901C74">
      <w:pPr>
        <w:rPr>
          <w:bCs/>
          <w:lang w:val="de-DE"/>
        </w:rPr>
      </w:pPr>
      <w:r w:rsidRPr="004676F5">
        <w:rPr>
          <w:bCs/>
          <w:lang w:val="de-DE"/>
        </w:rPr>
        <w:br w:type="page"/>
      </w:r>
    </w:p>
    <w:p w14:paraId="77CC1186" w14:textId="49ECED64" w:rsidR="0004441E" w:rsidRPr="004676F5" w:rsidRDefault="00901C74" w:rsidP="0004441E">
      <w:pPr>
        <w:jc w:val="center"/>
        <w:rPr>
          <w:bCs/>
          <w:lang w:val="de-DE"/>
        </w:rPr>
      </w:pPr>
      <w:r w:rsidRPr="004676F5">
        <w:rPr>
          <w:bCs/>
          <w:lang w:val="de-DE"/>
        </w:rPr>
        <w:lastRenderedPageBreak/>
        <w:t>[</w:t>
      </w:r>
      <w:r w:rsidRPr="004676F5">
        <w:rPr>
          <w:lang w:val="de-DE"/>
        </w:rPr>
        <w:t>KAPITEL 7 </w:t>
      </w:r>
      <w:r w:rsidR="005B7A5C" w:rsidRPr="004676F5">
        <w:rPr>
          <w:lang w:val="de-DE"/>
        </w:rPr>
        <w:t>- </w:t>
      </w:r>
      <w:r w:rsidRPr="004676F5">
        <w:rPr>
          <w:lang w:val="de-DE"/>
        </w:rPr>
        <w:t>Bekanntmachung</w:t>
      </w:r>
      <w:r w:rsidRPr="004676F5">
        <w:rPr>
          <w:bCs/>
          <w:lang w:val="de-DE"/>
        </w:rPr>
        <w:t>]</w:t>
      </w:r>
    </w:p>
    <w:p w14:paraId="43E9ACDC" w14:textId="77777777" w:rsidR="00901C74" w:rsidRPr="004676F5" w:rsidRDefault="00901C74" w:rsidP="0004441E">
      <w:pPr>
        <w:jc w:val="center"/>
        <w:rPr>
          <w:bCs/>
          <w:lang w:val="de-DE"/>
        </w:rPr>
      </w:pPr>
    </w:p>
    <w:p w14:paraId="729C5FC2" w14:textId="0CE43A32" w:rsidR="00901C74" w:rsidRPr="004676F5" w:rsidRDefault="00901C74" w:rsidP="00901C74">
      <w:pPr>
        <w:rPr>
          <w:bCs/>
          <w:i/>
          <w:iCs/>
          <w:lang w:val="de-DE"/>
        </w:rPr>
      </w:pPr>
      <w:r w:rsidRPr="004676F5">
        <w:rPr>
          <w:bCs/>
          <w:i/>
          <w:iCs/>
          <w:lang w:val="de-DE"/>
        </w:rPr>
        <w:t>[Unterteilung Kapitel 7 eingefügt durch Art. 13 des G. vom 28. November 2021 (II) (B.S. vom 15. Dezember 2021)]</w:t>
      </w:r>
    </w:p>
    <w:p w14:paraId="7FC8D2DF" w14:textId="77777777" w:rsidR="00901C74" w:rsidRPr="004676F5" w:rsidRDefault="00901C74" w:rsidP="00901C74">
      <w:pPr>
        <w:rPr>
          <w:bCs/>
          <w:i/>
          <w:iCs/>
          <w:lang w:val="de-DE"/>
        </w:rPr>
      </w:pPr>
    </w:p>
    <w:p w14:paraId="24CCEDD4" w14:textId="77777777" w:rsidR="00901C74" w:rsidRPr="004676F5" w:rsidRDefault="00901C74" w:rsidP="00901C74">
      <w:pPr>
        <w:rPr>
          <w:bCs/>
          <w:i/>
          <w:iCs/>
          <w:lang w:val="de-DE"/>
        </w:rPr>
      </w:pPr>
    </w:p>
    <w:p w14:paraId="5B01DE31" w14:textId="36B05348" w:rsidR="007748FE" w:rsidRPr="004676F5" w:rsidRDefault="00901C74" w:rsidP="007748FE">
      <w:pPr>
        <w:jc w:val="both"/>
        <w:rPr>
          <w:lang w:val="de-DE"/>
        </w:rPr>
      </w:pPr>
      <w:r w:rsidRPr="004676F5">
        <w:rPr>
          <w:bCs/>
          <w:lang w:val="de-DE"/>
        </w:rPr>
        <w:tab/>
        <w:t>[</w:t>
      </w:r>
      <w:r w:rsidRPr="004676F5">
        <w:rPr>
          <w:b/>
          <w:bCs/>
          <w:lang w:val="de-DE"/>
        </w:rPr>
        <w:t>Art. XV.60/21</w:t>
      </w:r>
      <w:r w:rsidRPr="004676F5">
        <w:rPr>
          <w:lang w:val="de-DE"/>
        </w:rPr>
        <w:t> </w:t>
      </w:r>
      <w:r w:rsidR="005B7A5C" w:rsidRPr="004676F5">
        <w:rPr>
          <w:lang w:val="de-DE"/>
        </w:rPr>
        <w:t>- </w:t>
      </w:r>
      <w:r w:rsidR="007748FE" w:rsidRPr="004676F5">
        <w:rPr>
          <w:lang w:val="de-DE"/>
        </w:rPr>
        <w:t>[§ 1 ­ Die in Artikel XV.60/4 erwähnten Bediensteten können die Entscheidung zur Auferlegung einer administrativen Geldbuße frühestens nach Ablauf der in Artikel XV.60/15 erwähnten Beschwerdefrist vollständig oder in begrenzter Form auf der Website des Föderalen Öffentlichen Dienstes Wirtschaft, KMB, Mittelstand und Energie öffentlich bekannt geben.</w:t>
      </w:r>
    </w:p>
    <w:p w14:paraId="71B5EC5B" w14:textId="77777777" w:rsidR="007748FE" w:rsidRPr="004676F5" w:rsidRDefault="007748FE" w:rsidP="007748FE">
      <w:pPr>
        <w:jc w:val="both"/>
        <w:rPr>
          <w:lang w:val="de-DE"/>
        </w:rPr>
      </w:pPr>
    </w:p>
    <w:p w14:paraId="6B394C74" w14:textId="77777777" w:rsidR="007748FE" w:rsidRPr="004676F5" w:rsidRDefault="007748FE" w:rsidP="007748FE">
      <w:pPr>
        <w:jc w:val="both"/>
        <w:rPr>
          <w:lang w:val="de-DE"/>
        </w:rPr>
      </w:pPr>
      <w:r w:rsidRPr="004676F5">
        <w:rPr>
          <w:lang w:val="de-DE"/>
        </w:rPr>
        <w:tab/>
        <w:t>§ 2 ­ Die in Artikel XV.60/4 erwähnten Bediensteten können beschließen, die Entscheidung zur Auferlegung einer administrativen Geldbuße unter Angabe des Namens öffentlich bekannt zu geben, um Verbraucher und Unternehmen von den Praktiken des Zuwiderhandelnden in Kenntnis zu setzen oder sie darüber zu informieren oder um künftige Verstöße des Unternehmens zu verhindern.</w:t>
      </w:r>
    </w:p>
    <w:p w14:paraId="1036DF7A" w14:textId="77777777" w:rsidR="007748FE" w:rsidRPr="004676F5" w:rsidRDefault="007748FE" w:rsidP="007748FE">
      <w:pPr>
        <w:jc w:val="both"/>
        <w:rPr>
          <w:lang w:val="de-DE"/>
        </w:rPr>
      </w:pPr>
    </w:p>
    <w:p w14:paraId="2427FD00" w14:textId="77777777" w:rsidR="007748FE" w:rsidRPr="004676F5" w:rsidRDefault="007748FE" w:rsidP="007748FE">
      <w:pPr>
        <w:jc w:val="both"/>
        <w:rPr>
          <w:lang w:val="de-DE"/>
        </w:rPr>
      </w:pPr>
      <w:r w:rsidRPr="004676F5">
        <w:rPr>
          <w:lang w:val="de-DE"/>
        </w:rPr>
        <w:tab/>
        <w:t>Wird die öffentliche Bekanntmachung der Identität juristischer Personen oder personenbezogener Daten natürlicher Personen durch die in Artikel XV.60/4 erwähnten Bediensteten nach einer Einzelfallprüfung der Verhältnismäßigkeit der öffentlichen Bekanntmachung solcher Daten als unverhältnismäßig angesehen oder droht die öffentliche Bekanntmachung eine laufende Untersuchung oder ein laufendes Strafverfahren zu gefährden, so wird eine öffentliche Bekanntmachung ohne Angabe des Namens und/oder in beschränktem Umfang vorgenommen oder wird die Entscheidung nicht öffentlich bekannt gegeben.</w:t>
      </w:r>
    </w:p>
    <w:p w14:paraId="2D21ACE3" w14:textId="77777777" w:rsidR="007748FE" w:rsidRPr="004676F5" w:rsidRDefault="007748FE" w:rsidP="007748FE">
      <w:pPr>
        <w:jc w:val="both"/>
        <w:rPr>
          <w:lang w:val="de-DE"/>
        </w:rPr>
      </w:pPr>
    </w:p>
    <w:p w14:paraId="7FF249AB" w14:textId="4DF41967" w:rsidR="007748FE" w:rsidRPr="004676F5" w:rsidRDefault="007748FE" w:rsidP="007748FE">
      <w:pPr>
        <w:jc w:val="both"/>
        <w:rPr>
          <w:lang w:val="de-DE"/>
        </w:rPr>
      </w:pPr>
      <w:r w:rsidRPr="004676F5">
        <w:rPr>
          <w:lang w:val="de-DE"/>
        </w:rPr>
        <w:tab/>
        <w:t>Bei öffentlicher Bekanntmachung unter Angabe des Namens wird die dahingehende Entscheidung zusammen mit der Entscheidung zur Auferlegung einer administrativen Geldbuße getroffen.</w:t>
      </w:r>
      <w:r w:rsidR="005C3AA4" w:rsidRPr="004676F5">
        <w:rPr>
          <w:lang w:val="de-DE"/>
        </w:rPr>
        <w:t xml:space="preserve"> [Gegen den Beschluss, die Entscheidung zur Auferlegung einer administrativen Geldbuße unter Angabe des Namens öffentlich bekannt zu geben, kann eine Klage wie in Artikel XV.60/15 erwähnt eingereicht werden.]</w:t>
      </w:r>
    </w:p>
    <w:p w14:paraId="0D0110B9" w14:textId="77777777" w:rsidR="007748FE" w:rsidRPr="004676F5" w:rsidRDefault="007748FE" w:rsidP="007748FE">
      <w:pPr>
        <w:jc w:val="both"/>
        <w:rPr>
          <w:lang w:val="de-DE"/>
        </w:rPr>
      </w:pPr>
    </w:p>
    <w:p w14:paraId="7CEB3663" w14:textId="77777777" w:rsidR="007748FE" w:rsidRPr="004676F5" w:rsidRDefault="007748FE" w:rsidP="007748FE">
      <w:pPr>
        <w:jc w:val="both"/>
        <w:rPr>
          <w:lang w:val="de-DE"/>
        </w:rPr>
      </w:pPr>
      <w:r w:rsidRPr="004676F5">
        <w:rPr>
          <w:lang w:val="de-DE"/>
        </w:rPr>
        <w:tab/>
        <w:t>Personenbezogene Daten im Sinne von Artikel 4 Nr. 1 der Verordnung (EU) 2016/679 des Europäischen Parlaments und des Rates vom 27. April 2016 zum Schutz natürlicher Personen bei der Verarbeitung personenbezogener Daten, zum freien Datenverkehr und zur Aufhebung der Richtlinie 95/46/EG (im Nachfolgenden "Datenschutz-Grundverordnung"), die öffentlich bekannt gegeben werden können, sind Identifizierungsdaten des Zuwiderhandelnden und Angaben zu den festgestellten Verstößen, den zugrunde liegenden Praktiken und den zur Begehung dieser Verstöße verwendeten Mitteln. Adressen werden nur öffentlich bekannt gegeben, wenn der Zuwiderhandelnde dort nicht seinen Wohnsitz hat.</w:t>
      </w:r>
    </w:p>
    <w:p w14:paraId="6692621B" w14:textId="77777777" w:rsidR="007748FE" w:rsidRPr="004676F5" w:rsidRDefault="007748FE" w:rsidP="007748FE">
      <w:pPr>
        <w:jc w:val="both"/>
        <w:rPr>
          <w:lang w:val="de-DE"/>
        </w:rPr>
      </w:pPr>
    </w:p>
    <w:p w14:paraId="18CAA69D" w14:textId="77777777" w:rsidR="007748FE" w:rsidRPr="004676F5" w:rsidRDefault="007748FE" w:rsidP="007748FE">
      <w:pPr>
        <w:jc w:val="both"/>
        <w:rPr>
          <w:lang w:val="de-DE"/>
        </w:rPr>
      </w:pPr>
      <w:r w:rsidRPr="004676F5">
        <w:rPr>
          <w:lang w:val="de-DE"/>
        </w:rPr>
        <w:tab/>
        <w:t>§ 3 ­ Wird § 2 nicht angewandt, kann die Entscheidung zur Auferlegung einer administrativen Geldbuße jederzeit ohne Angabe des Namens öffentlich bekannt gegeben werden.</w:t>
      </w:r>
    </w:p>
    <w:p w14:paraId="316691BA" w14:textId="77777777" w:rsidR="007748FE" w:rsidRPr="004676F5" w:rsidRDefault="007748FE" w:rsidP="007748FE">
      <w:pPr>
        <w:jc w:val="both"/>
        <w:rPr>
          <w:lang w:val="de-DE"/>
        </w:rPr>
      </w:pPr>
    </w:p>
    <w:p w14:paraId="7B221C31" w14:textId="77777777" w:rsidR="008A2415" w:rsidRPr="004676F5" w:rsidRDefault="008A2415">
      <w:pPr>
        <w:rPr>
          <w:lang w:val="de-DE"/>
        </w:rPr>
      </w:pPr>
      <w:r w:rsidRPr="004676F5">
        <w:rPr>
          <w:lang w:val="de-DE"/>
        </w:rPr>
        <w:br w:type="page"/>
      </w:r>
    </w:p>
    <w:p w14:paraId="1C06C61F" w14:textId="287A6930" w:rsidR="00901C74" w:rsidRPr="004676F5" w:rsidRDefault="007748FE" w:rsidP="008A2415">
      <w:pPr>
        <w:ind w:firstLine="708"/>
        <w:jc w:val="both"/>
        <w:rPr>
          <w:bCs/>
          <w:lang w:val="de-DE"/>
        </w:rPr>
      </w:pPr>
      <w:r w:rsidRPr="004676F5">
        <w:rPr>
          <w:lang w:val="de-DE"/>
        </w:rPr>
        <w:lastRenderedPageBreak/>
        <w:t>§ 4 ­ Eine Entscheidung, die öffentlich bekannt gegeben wird, erscheint während mindestens fünf Jahren nach der öffentlichen Bekanntmachung auf der Website des Föderalen Öffentlichen Dienstes Wirtschaft, KMB, Mittelstand und Energie und ist dort für jeden Bürger zugänglich. Personenbezogene Daten im Sinne von Artikel 4 Nr. 1 der Datenschutz-Grundverordnung, die in der öffentlichen Bekanntmachung aufgenommen werden, werden jedoch nur so lange auf der Website angegeben, wie dies gemäß den in § 2 Absatz 1 erwähnten Zwecken erforderlich ist, dies für eine maximale Dauer von zehn Jahren.]</w:t>
      </w:r>
      <w:r w:rsidR="00901C74" w:rsidRPr="004676F5">
        <w:rPr>
          <w:bCs/>
          <w:lang w:val="de-DE"/>
        </w:rPr>
        <w:t>]</w:t>
      </w:r>
    </w:p>
    <w:p w14:paraId="216B49A7" w14:textId="77777777" w:rsidR="00901C74" w:rsidRPr="004676F5" w:rsidRDefault="00901C74" w:rsidP="00901C74">
      <w:pPr>
        <w:rPr>
          <w:bCs/>
          <w:lang w:val="de-DE"/>
        </w:rPr>
      </w:pPr>
    </w:p>
    <w:p w14:paraId="323637BD" w14:textId="05B81088" w:rsidR="00901C74" w:rsidRPr="004676F5" w:rsidRDefault="00901C74" w:rsidP="00901C74">
      <w:pPr>
        <w:jc w:val="both"/>
        <w:rPr>
          <w:bCs/>
          <w:i/>
          <w:iCs/>
          <w:lang w:val="de-DE"/>
        </w:rPr>
      </w:pPr>
      <w:r w:rsidRPr="004676F5">
        <w:rPr>
          <w:bCs/>
          <w:i/>
          <w:iCs/>
          <w:lang w:val="de-DE"/>
        </w:rPr>
        <w:t>[Art. XV.60/21 eingefügt durch Art. 14 des G. vom 28. November 2021 (II) (B.S. vom 15. Dezember 2021)</w:t>
      </w:r>
      <w:r w:rsidR="007748FE" w:rsidRPr="004676F5">
        <w:rPr>
          <w:bCs/>
          <w:i/>
          <w:iCs/>
          <w:lang w:val="de-DE"/>
        </w:rPr>
        <w:t xml:space="preserve"> und ersetzt durch Art. 54 des G. vom 5. November 2023</w:t>
      </w:r>
      <w:r w:rsidR="00AA0B2E" w:rsidRPr="004676F5">
        <w:rPr>
          <w:bCs/>
          <w:i/>
          <w:iCs/>
          <w:lang w:val="de-DE"/>
        </w:rPr>
        <w:t> (I)</w:t>
      </w:r>
      <w:r w:rsidR="007748FE" w:rsidRPr="004676F5">
        <w:rPr>
          <w:bCs/>
          <w:i/>
          <w:iCs/>
          <w:lang w:val="de-DE"/>
        </w:rPr>
        <w:t xml:space="preserve"> (B.S. vom 11. Dezember 2023)</w:t>
      </w:r>
      <w:r w:rsidR="005C3AA4" w:rsidRPr="004676F5">
        <w:rPr>
          <w:bCs/>
          <w:i/>
          <w:iCs/>
          <w:lang w:val="de-DE"/>
        </w:rPr>
        <w:t>; § 2 Abs. 3 abgeändert durch Art. 2 des G. vom 21. November 2023 (B.S. vom 14. Dezember 2023)</w:t>
      </w:r>
      <w:r w:rsidRPr="004676F5">
        <w:rPr>
          <w:bCs/>
          <w:i/>
          <w:iCs/>
          <w:lang w:val="de-DE"/>
        </w:rPr>
        <w:t>]</w:t>
      </w:r>
    </w:p>
    <w:p w14:paraId="16E55140" w14:textId="77777777" w:rsidR="007748FE" w:rsidRPr="004676F5" w:rsidRDefault="007748FE" w:rsidP="00901C74">
      <w:pPr>
        <w:jc w:val="both"/>
        <w:rPr>
          <w:bCs/>
          <w:lang w:val="de-DE"/>
        </w:rPr>
      </w:pPr>
    </w:p>
    <w:p w14:paraId="77846753" w14:textId="77777777" w:rsidR="007748FE" w:rsidRPr="004676F5" w:rsidRDefault="007748FE" w:rsidP="00901C74">
      <w:pPr>
        <w:jc w:val="both"/>
        <w:rPr>
          <w:bCs/>
          <w:lang w:val="de-DE"/>
        </w:rPr>
      </w:pPr>
    </w:p>
    <w:p w14:paraId="296E0A04" w14:textId="0A2B3C75" w:rsidR="007748FE" w:rsidRPr="004676F5" w:rsidRDefault="007748FE" w:rsidP="00901C74">
      <w:pPr>
        <w:jc w:val="both"/>
        <w:rPr>
          <w:lang w:val="de-DE"/>
        </w:rPr>
      </w:pPr>
      <w:r w:rsidRPr="004676F5">
        <w:rPr>
          <w:bCs/>
          <w:lang w:val="de-DE"/>
        </w:rPr>
        <w:tab/>
        <w:t>[</w:t>
      </w:r>
      <w:r w:rsidRPr="004676F5">
        <w:rPr>
          <w:b/>
          <w:bCs/>
          <w:lang w:val="de-DE"/>
        </w:rPr>
        <w:t>Art. XV.60/22</w:t>
      </w:r>
      <w:r w:rsidRPr="004676F5">
        <w:rPr>
          <w:lang w:val="de-DE"/>
        </w:rPr>
        <w:t> - Wird aufgrund von Protokollen zur Feststellung eines Verstoßes gegen die Bestimmungen von Titel 3 Kapitel 2 Abschnitt 8 Unterabschnitt 1 eine Entscheidung zur Auferlegung einer administrativen Geldbuße getroffen, unterrichten die in Artikel XV.60/4 erwähnten Bediensteten die in Artikel XV.2 oder XV.25/1 erwähnten Bediensteten, damit diese die geschädigte Partei, sofern bekannt, oder ihren Vertreter von dem Bestehen des Verstoßes in Kenntnis setzen und ihr/ihm die tatsächliche oder geschätzte Menge und die tatsächliche oder vermutete Art der überlassenen Waren mitteilen können, sofern der Zuwiderhandelnde die Waren der Staatskasse überlassen hat und bevor die Entscheidung zur Auferlegung der administrativen Geldbuße gemäß Artikel XV.60/13 dem Zuwiderhandelnden notifiziert wird.]</w:t>
      </w:r>
    </w:p>
    <w:p w14:paraId="1C5F032B" w14:textId="77777777" w:rsidR="007748FE" w:rsidRPr="004676F5" w:rsidRDefault="007748FE" w:rsidP="00901C74">
      <w:pPr>
        <w:jc w:val="both"/>
        <w:rPr>
          <w:lang w:val="de-DE"/>
        </w:rPr>
      </w:pPr>
    </w:p>
    <w:p w14:paraId="757AECE6" w14:textId="375A7673" w:rsidR="007748FE" w:rsidRPr="004676F5" w:rsidRDefault="007748FE" w:rsidP="00901C74">
      <w:pPr>
        <w:jc w:val="both"/>
        <w:rPr>
          <w:bCs/>
          <w:i/>
          <w:iCs/>
          <w:lang w:val="de-DE"/>
        </w:rPr>
      </w:pPr>
      <w:r w:rsidRPr="004676F5">
        <w:rPr>
          <w:i/>
          <w:iCs/>
          <w:lang w:val="de-DE"/>
        </w:rPr>
        <w:t>[Art. XV.60/22 eingefügt durch Art. 55 des G. vom 5. November 2023</w:t>
      </w:r>
      <w:r w:rsidR="00AA0B2E" w:rsidRPr="004676F5">
        <w:rPr>
          <w:i/>
          <w:iCs/>
          <w:lang w:val="de-DE"/>
        </w:rPr>
        <w:t> (I)</w:t>
      </w:r>
      <w:r w:rsidRPr="004676F5">
        <w:rPr>
          <w:i/>
          <w:iCs/>
          <w:lang w:val="de-DE"/>
        </w:rPr>
        <w:t xml:space="preserve"> (B.S. vom 11. Dezember 2023)]</w:t>
      </w:r>
    </w:p>
    <w:p w14:paraId="7CA94769" w14:textId="77777777" w:rsidR="00901C74" w:rsidRPr="004676F5" w:rsidRDefault="00901C74" w:rsidP="00901C74">
      <w:pPr>
        <w:rPr>
          <w:bCs/>
          <w:lang w:val="de-DE"/>
        </w:rPr>
      </w:pPr>
    </w:p>
    <w:p w14:paraId="064A5217" w14:textId="77777777" w:rsidR="0004441E" w:rsidRPr="004676F5" w:rsidRDefault="0004441E" w:rsidP="00B61C9F">
      <w:pPr>
        <w:jc w:val="both"/>
        <w:rPr>
          <w:bCs/>
          <w:lang w:val="de-DE"/>
        </w:rPr>
      </w:pPr>
    </w:p>
    <w:p w14:paraId="3D439E04" w14:textId="77777777" w:rsidR="0004441E" w:rsidRPr="004676F5" w:rsidRDefault="0004441E">
      <w:pPr>
        <w:rPr>
          <w:b/>
          <w:lang w:val="de-DE"/>
        </w:rPr>
      </w:pPr>
      <w:r w:rsidRPr="004676F5">
        <w:rPr>
          <w:b/>
          <w:lang w:val="de-DE"/>
        </w:rPr>
        <w:br w:type="page"/>
      </w:r>
    </w:p>
    <w:p w14:paraId="7EC66746" w14:textId="59B5C527" w:rsidR="00BA2266" w:rsidRPr="004676F5" w:rsidRDefault="00BA2266" w:rsidP="00BA2266">
      <w:pPr>
        <w:jc w:val="center"/>
        <w:rPr>
          <w:b/>
          <w:i/>
          <w:lang w:val="de-DE"/>
        </w:rPr>
      </w:pPr>
      <w:r w:rsidRPr="004676F5">
        <w:rPr>
          <w:b/>
          <w:lang w:val="de-DE"/>
        </w:rPr>
        <w:lastRenderedPageBreak/>
        <w:t>TITEL 2 </w:t>
      </w:r>
      <w:r w:rsidR="005B7A5C" w:rsidRPr="004676F5">
        <w:rPr>
          <w:b/>
          <w:lang w:val="de-DE"/>
        </w:rPr>
        <w:t>- </w:t>
      </w:r>
      <w:r w:rsidRPr="004676F5">
        <w:rPr>
          <w:b/>
          <w:i/>
          <w:lang w:val="de-DE"/>
        </w:rPr>
        <w:t>Administrative Durchsetzung</w:t>
      </w:r>
    </w:p>
    <w:p w14:paraId="1C74E9D5" w14:textId="77777777" w:rsidR="00BA2266" w:rsidRPr="004676F5" w:rsidRDefault="00BA2266" w:rsidP="00BA2266">
      <w:pPr>
        <w:jc w:val="both"/>
        <w:rPr>
          <w:lang w:val="de-DE"/>
        </w:rPr>
      </w:pPr>
    </w:p>
    <w:p w14:paraId="4C3B5E87" w14:textId="77777777" w:rsidR="00664554" w:rsidRPr="004676F5" w:rsidRDefault="00664554" w:rsidP="00BA2266">
      <w:pPr>
        <w:jc w:val="center"/>
        <w:rPr>
          <w:lang w:val="de-DE"/>
        </w:rPr>
      </w:pPr>
    </w:p>
    <w:p w14:paraId="1CA64C31" w14:textId="57A29069" w:rsidR="00BA2266" w:rsidRPr="004676F5" w:rsidRDefault="00BA2266" w:rsidP="00BA2266">
      <w:pPr>
        <w:jc w:val="center"/>
        <w:rPr>
          <w:i/>
          <w:lang w:val="de-DE"/>
        </w:rPr>
      </w:pPr>
      <w:r w:rsidRPr="004676F5">
        <w:rPr>
          <w:lang w:val="de-DE"/>
        </w:rPr>
        <w:t>KAPITEL 1 </w:t>
      </w:r>
      <w:r w:rsidR="005B7A5C" w:rsidRPr="004676F5">
        <w:rPr>
          <w:lang w:val="de-DE"/>
        </w:rPr>
        <w:t>- </w:t>
      </w:r>
      <w:r w:rsidRPr="004676F5">
        <w:rPr>
          <w:i/>
          <w:lang w:val="de-DE"/>
        </w:rPr>
        <w:t>Vergleich</w:t>
      </w:r>
    </w:p>
    <w:p w14:paraId="32C5C3E6" w14:textId="77777777" w:rsidR="00BA2266" w:rsidRPr="004676F5" w:rsidRDefault="00BA2266" w:rsidP="00BA2266">
      <w:pPr>
        <w:jc w:val="both"/>
        <w:rPr>
          <w:lang w:val="de-DE"/>
        </w:rPr>
      </w:pPr>
    </w:p>
    <w:p w14:paraId="67F92F0F" w14:textId="77777777" w:rsidR="002064D4" w:rsidRPr="004676F5" w:rsidRDefault="002064D4" w:rsidP="00BA2266">
      <w:pPr>
        <w:jc w:val="both"/>
        <w:rPr>
          <w:lang w:val="de-DE"/>
        </w:rPr>
      </w:pPr>
    </w:p>
    <w:p w14:paraId="5D8F50DA" w14:textId="772CB4A1" w:rsidR="002064D4" w:rsidRPr="004676F5" w:rsidRDefault="002064D4" w:rsidP="002064D4">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Allgemeine Bestimmungen]</w:t>
      </w:r>
    </w:p>
    <w:p w14:paraId="5E1DA571" w14:textId="77777777" w:rsidR="002064D4" w:rsidRPr="004676F5" w:rsidRDefault="002064D4" w:rsidP="002064D4">
      <w:pPr>
        <w:jc w:val="center"/>
        <w:rPr>
          <w:lang w:val="de-DE"/>
        </w:rPr>
      </w:pPr>
    </w:p>
    <w:p w14:paraId="3260CF9F" w14:textId="2BA0BF61" w:rsidR="002064D4" w:rsidRPr="004676F5" w:rsidRDefault="002064D4" w:rsidP="002064D4">
      <w:pPr>
        <w:jc w:val="both"/>
        <w:rPr>
          <w:i/>
          <w:lang w:val="de-DE"/>
        </w:rPr>
      </w:pPr>
      <w:r w:rsidRPr="004676F5">
        <w:rPr>
          <w:i/>
          <w:lang w:val="de-DE"/>
        </w:rPr>
        <w:t xml:space="preserve">[Unterteilung Abschnitt 1 eingefügt durch </w:t>
      </w:r>
      <w:r w:rsidR="00BE0A56" w:rsidRPr="004676F5">
        <w:rPr>
          <w:i/>
          <w:lang w:val="de-DE"/>
        </w:rPr>
        <w:t>Art. </w:t>
      </w:r>
      <w:r w:rsidRPr="004676F5">
        <w:rPr>
          <w:i/>
          <w:lang w:val="de-DE"/>
        </w:rPr>
        <w:t>12 des G. vom 19. April 2014 (II) (B.S. vom 12. Juni 2014)]</w:t>
      </w:r>
    </w:p>
    <w:p w14:paraId="4709CBFF" w14:textId="77777777" w:rsidR="002064D4" w:rsidRPr="004676F5" w:rsidRDefault="002064D4" w:rsidP="002064D4">
      <w:pPr>
        <w:jc w:val="both"/>
        <w:rPr>
          <w:i/>
          <w:lang w:val="de-DE"/>
        </w:rPr>
      </w:pPr>
    </w:p>
    <w:p w14:paraId="5DE3C92E" w14:textId="77777777" w:rsidR="00664554" w:rsidRPr="004676F5" w:rsidRDefault="00664554" w:rsidP="00BA2266">
      <w:pPr>
        <w:jc w:val="both"/>
        <w:rPr>
          <w:lang w:val="de-DE"/>
        </w:rPr>
      </w:pPr>
    </w:p>
    <w:p w14:paraId="06A9D7DC" w14:textId="3AB9E478" w:rsidR="00BA2266" w:rsidRPr="004676F5" w:rsidRDefault="00BE0A56" w:rsidP="00BA2266">
      <w:pPr>
        <w:ind w:firstLine="708"/>
        <w:jc w:val="both"/>
        <w:rPr>
          <w:lang w:val="de-DE"/>
        </w:rPr>
      </w:pPr>
      <w:r w:rsidRPr="004676F5">
        <w:rPr>
          <w:b/>
          <w:lang w:val="de-DE"/>
        </w:rPr>
        <w:t>Art. </w:t>
      </w:r>
      <w:r w:rsidR="00BA2266" w:rsidRPr="004676F5">
        <w:rPr>
          <w:b/>
          <w:lang w:val="de-DE"/>
        </w:rPr>
        <w:t>XV.61</w:t>
      </w:r>
      <w:r w:rsidR="00BA2266" w:rsidRPr="004676F5">
        <w:rPr>
          <w:lang w:val="de-DE"/>
        </w:rPr>
        <w:t> </w:t>
      </w:r>
      <w:r w:rsidR="005B7A5C" w:rsidRPr="004676F5">
        <w:rPr>
          <w:lang w:val="de-DE"/>
        </w:rPr>
        <w:t>- </w:t>
      </w:r>
      <w:r w:rsidR="00BA2266" w:rsidRPr="004676F5">
        <w:rPr>
          <w:lang w:val="de-DE"/>
        </w:rPr>
        <w:t>§ 1 </w:t>
      </w:r>
      <w:r w:rsidR="005B7A5C" w:rsidRPr="004676F5">
        <w:rPr>
          <w:lang w:val="de-DE"/>
        </w:rPr>
        <w:t>- </w:t>
      </w:r>
      <w:r w:rsidR="00E56C9E" w:rsidRPr="004676F5">
        <w:rPr>
          <w:lang w:val="de-DE"/>
        </w:rPr>
        <w:t>[Wenn die in Artikel XV.2 erwähnten Bediensteten in Artikel XV.2 § 1 erwähnte Verstöße feststellen, können die vom Minister bestellten Bediensteten]</w:t>
      </w:r>
      <w:r w:rsidR="00BA2266" w:rsidRPr="004676F5">
        <w:rPr>
          <w:lang w:val="de-DE"/>
        </w:rPr>
        <w:t xml:space="preserve"> einen Betrag vorschlagen, durch dessen freiwillige Zahlung seitens des Urhebers des Verstoßes die Strafverfolgung erlischt.</w:t>
      </w:r>
    </w:p>
    <w:p w14:paraId="3CCAC6D9" w14:textId="77777777" w:rsidR="00BA2266" w:rsidRPr="004676F5" w:rsidRDefault="00BA2266" w:rsidP="00BA2266">
      <w:pPr>
        <w:jc w:val="both"/>
        <w:rPr>
          <w:lang w:val="de-DE"/>
        </w:rPr>
      </w:pPr>
    </w:p>
    <w:p w14:paraId="4A3B47F3" w14:textId="77777777" w:rsidR="00BA2266" w:rsidRPr="004676F5" w:rsidRDefault="00BA2266" w:rsidP="00BA2266">
      <w:pPr>
        <w:ind w:firstLine="708"/>
        <w:jc w:val="both"/>
        <w:rPr>
          <w:lang w:val="de-DE"/>
        </w:rPr>
      </w:pPr>
      <w:r w:rsidRPr="004676F5">
        <w:rPr>
          <w:lang w:val="de-DE"/>
        </w:rPr>
        <w:t>In diesem Fall bekommt der Zuwiderhandelnde die Möglichkeit, vorher jedes Protokoll zur Feststellung eines Verstoßes, auf den der Vorschlag sich bezieht, einzusehen und sich eine Abschrift davon aushändigen zu lassen.</w:t>
      </w:r>
    </w:p>
    <w:p w14:paraId="5F441C4D" w14:textId="77777777" w:rsidR="00BA2266" w:rsidRPr="004676F5" w:rsidRDefault="00BA2266" w:rsidP="00BA2266">
      <w:pPr>
        <w:jc w:val="both"/>
        <w:rPr>
          <w:lang w:val="de-DE"/>
        </w:rPr>
      </w:pPr>
    </w:p>
    <w:p w14:paraId="52FEACCF" w14:textId="7D4283FC" w:rsidR="00BA2266" w:rsidRPr="004676F5" w:rsidRDefault="00BA2266" w:rsidP="00BA2266">
      <w:pPr>
        <w:ind w:firstLine="708"/>
        <w:jc w:val="both"/>
        <w:rPr>
          <w:lang w:val="de-DE"/>
        </w:rPr>
      </w:pPr>
      <w:r w:rsidRPr="004676F5">
        <w:rPr>
          <w:lang w:val="de-DE"/>
        </w:rPr>
        <w:t>Tarife und Zahlungs</w:t>
      </w:r>
      <w:r w:rsidR="005B7A5C" w:rsidRPr="004676F5">
        <w:rPr>
          <w:lang w:val="de-DE"/>
        </w:rPr>
        <w:t>- </w:t>
      </w:r>
      <w:r w:rsidRPr="004676F5">
        <w:rPr>
          <w:lang w:val="de-DE"/>
        </w:rPr>
        <w:t>und Einziehungsmodalitäten dieses Vergleichs werden vom König festgelegt.</w:t>
      </w:r>
    </w:p>
    <w:p w14:paraId="0F385E30" w14:textId="77777777" w:rsidR="00BA2266" w:rsidRPr="004676F5" w:rsidRDefault="00BA2266" w:rsidP="00BA2266">
      <w:pPr>
        <w:jc w:val="both"/>
        <w:rPr>
          <w:lang w:val="de-DE"/>
        </w:rPr>
      </w:pPr>
    </w:p>
    <w:p w14:paraId="00821AE1" w14:textId="77777777" w:rsidR="00BA2266" w:rsidRPr="004676F5" w:rsidRDefault="00BA2266" w:rsidP="00BA2266">
      <w:pPr>
        <w:ind w:firstLine="708"/>
        <w:jc w:val="both"/>
        <w:rPr>
          <w:lang w:val="de-DE"/>
        </w:rPr>
      </w:pPr>
      <w:r w:rsidRPr="004676F5">
        <w:rPr>
          <w:lang w:val="de-DE"/>
        </w:rPr>
        <w:t>Der in Absatz 1 erwähnte Betrag darf die höchste strafrechtliche Geldbuße zuzüglich Zuschlagszehnteln, die für den festgestellten Verstoß verhängt werden kann, nicht über</w:t>
      </w:r>
      <w:r w:rsidRPr="004676F5">
        <w:rPr>
          <w:lang w:val="de-DE"/>
        </w:rPr>
        <w:softHyphen/>
        <w:t>schreiten.</w:t>
      </w:r>
    </w:p>
    <w:p w14:paraId="1A4DC923" w14:textId="77777777" w:rsidR="00BA2266" w:rsidRPr="004676F5" w:rsidRDefault="00BA2266" w:rsidP="00BA2266">
      <w:pPr>
        <w:jc w:val="both"/>
        <w:rPr>
          <w:lang w:val="de-DE"/>
        </w:rPr>
      </w:pPr>
    </w:p>
    <w:p w14:paraId="3529FB50" w14:textId="372BA189" w:rsidR="00BA2266" w:rsidRPr="004676F5" w:rsidRDefault="00BA2266" w:rsidP="00BA2266">
      <w:pPr>
        <w:ind w:firstLine="708"/>
        <w:jc w:val="both"/>
        <w:rPr>
          <w:lang w:val="de-DE"/>
        </w:rPr>
      </w:pPr>
      <w:r w:rsidRPr="004676F5">
        <w:rPr>
          <w:lang w:val="de-DE"/>
        </w:rPr>
        <w:t>§ 2 </w:t>
      </w:r>
      <w:r w:rsidR="005B7A5C" w:rsidRPr="004676F5">
        <w:rPr>
          <w:lang w:val="de-DE"/>
        </w:rPr>
        <w:t>- </w:t>
      </w:r>
      <w:r w:rsidRPr="004676F5">
        <w:rPr>
          <w:lang w:val="de-DE"/>
        </w:rPr>
        <w:t>Kommt § 1 zur Anwendung, wird das Protokoll dem Prokurator des Königs nur übermittelt, wenn der Zuwiderhandelnde auf den Vergleichsvorschlag nicht eingeht oder den vorgeschlagenen Geldbetrag nicht innerhalb der festgelegten Frist zahlt.</w:t>
      </w:r>
    </w:p>
    <w:p w14:paraId="269B08DD" w14:textId="77777777" w:rsidR="00BA2266" w:rsidRPr="004676F5" w:rsidRDefault="00BA2266" w:rsidP="00BA2266">
      <w:pPr>
        <w:jc w:val="both"/>
        <w:rPr>
          <w:lang w:val="de-DE"/>
        </w:rPr>
      </w:pPr>
    </w:p>
    <w:p w14:paraId="24AFCB7C" w14:textId="0D8CFD98" w:rsidR="00BA2266" w:rsidRPr="004676F5" w:rsidRDefault="00BA2266" w:rsidP="00BA2266">
      <w:pPr>
        <w:ind w:firstLine="708"/>
        <w:jc w:val="both"/>
        <w:rPr>
          <w:lang w:val="de-DE"/>
        </w:rPr>
      </w:pPr>
      <w:r w:rsidRPr="004676F5">
        <w:rPr>
          <w:lang w:val="de-DE"/>
        </w:rPr>
        <w:t>§ 3 </w:t>
      </w:r>
      <w:r w:rsidR="005B7A5C" w:rsidRPr="004676F5">
        <w:rPr>
          <w:lang w:val="de-DE"/>
        </w:rPr>
        <w:t>- </w:t>
      </w:r>
      <w:r w:rsidRPr="004676F5">
        <w:rPr>
          <w:lang w:val="de-DE"/>
        </w:rPr>
        <w:t>Durch die in der angegebenen Frist geleistete Zahlung erlischt die Strafverfolgung, außer wenn zuvor eine Klage beim Prokurator des Königs eingereicht worden ist, der Untersuchungsrichter aufgefordert wurde, eine Untersuchung einzuleiten, oder die Sache beim Gericht anhängig gemacht worden ist. In diesen Fällen werden gezahlte Beträge dem Zuwiderhandelnden erstattet.</w:t>
      </w:r>
    </w:p>
    <w:p w14:paraId="569B7114" w14:textId="77777777" w:rsidR="00901C74" w:rsidRPr="004676F5" w:rsidRDefault="00901C74" w:rsidP="00BA2266">
      <w:pPr>
        <w:ind w:firstLine="708"/>
        <w:jc w:val="both"/>
        <w:rPr>
          <w:lang w:val="de-DE"/>
        </w:rPr>
      </w:pPr>
    </w:p>
    <w:p w14:paraId="5D6A157E" w14:textId="38353A40" w:rsidR="00901C74" w:rsidRPr="004676F5" w:rsidRDefault="00901C74" w:rsidP="00BA2266">
      <w:pPr>
        <w:ind w:firstLine="708"/>
        <w:jc w:val="both"/>
        <w:rPr>
          <w:lang w:val="de-DE"/>
        </w:rPr>
      </w:pPr>
      <w:r w:rsidRPr="004676F5">
        <w:rPr>
          <w:lang w:val="de-DE"/>
        </w:rPr>
        <w:t>[§ 4 </w:t>
      </w:r>
      <w:r w:rsidR="005B7A5C" w:rsidRPr="004676F5">
        <w:rPr>
          <w:lang w:val="de-DE"/>
        </w:rPr>
        <w:t>- </w:t>
      </w:r>
      <w:r w:rsidRPr="004676F5">
        <w:rPr>
          <w:lang w:val="de-DE"/>
        </w:rPr>
        <w:t>Die Entscheidung, einen Betrag wie in § 1 erwähnt vorzuschlagen, kann in Bezug auf die in Artikel XV.83 Nr. 15/1 erwähnten Verstöße öffentlich bekannt gemacht werden. Gegebenenfalls ist die Bekanntmachung nicht namentlich, wenn das Interesse an der Bekanntmachung den Schutz des Privatlebens nicht überwiegt oder wenn die Bekanntmachung laufende strafrechtliche Ermittlungen oder Verfahren gefährden oder den betreffenden Personen oder Unternehmen einen unverhältnismäßigen Schaden zufügen könnte.]</w:t>
      </w:r>
    </w:p>
    <w:p w14:paraId="365F71EC" w14:textId="77777777" w:rsidR="00437C96" w:rsidRPr="004676F5" w:rsidRDefault="00437C96" w:rsidP="00BA2266">
      <w:pPr>
        <w:ind w:firstLine="708"/>
        <w:jc w:val="both"/>
        <w:rPr>
          <w:lang w:val="de-DE"/>
        </w:rPr>
      </w:pPr>
    </w:p>
    <w:p w14:paraId="5D0EABEA" w14:textId="7B01565E" w:rsidR="00437C96" w:rsidRPr="004676F5" w:rsidRDefault="00437C96" w:rsidP="00437C96">
      <w:pPr>
        <w:ind w:firstLine="708"/>
        <w:jc w:val="both"/>
        <w:rPr>
          <w:lang w:val="de-DE"/>
        </w:rPr>
      </w:pPr>
      <w:r w:rsidRPr="004676F5">
        <w:rPr>
          <w:lang w:val="de-DE"/>
        </w:rPr>
        <w:t>[§ 5 </w:t>
      </w:r>
      <w:r w:rsidR="005B7A5C" w:rsidRPr="004676F5">
        <w:rPr>
          <w:lang w:val="de-DE"/>
        </w:rPr>
        <w:t>- </w:t>
      </w:r>
      <w:r w:rsidRPr="004676F5">
        <w:rPr>
          <w:lang w:val="de-DE"/>
        </w:rPr>
        <w:t>Bei der Festlegung des in § 1 erwähnten Betrags werden gegebenenfalls folgende als nicht abschließend zu verstehende und beispielhafte Kriterien berücksichtigt:</w:t>
      </w:r>
    </w:p>
    <w:p w14:paraId="16E60A73" w14:textId="77777777" w:rsidR="00437C96" w:rsidRPr="004676F5" w:rsidRDefault="00437C96" w:rsidP="00437C96">
      <w:pPr>
        <w:jc w:val="both"/>
        <w:rPr>
          <w:lang w:val="de-DE"/>
        </w:rPr>
      </w:pPr>
    </w:p>
    <w:p w14:paraId="122B9A79" w14:textId="77777777" w:rsidR="00437C96" w:rsidRPr="004676F5" w:rsidRDefault="00437C96" w:rsidP="00437C96">
      <w:pPr>
        <w:jc w:val="both"/>
        <w:rPr>
          <w:lang w:val="de-DE"/>
        </w:rPr>
      </w:pPr>
      <w:r w:rsidRPr="004676F5">
        <w:rPr>
          <w:lang w:val="de-DE"/>
        </w:rPr>
        <w:tab/>
        <w:t>1. Art, Schwere, Umfang und Dauer des Verstoßes,</w:t>
      </w:r>
    </w:p>
    <w:p w14:paraId="2DD1CC61" w14:textId="77777777" w:rsidR="00437C96" w:rsidRPr="004676F5" w:rsidRDefault="00437C96" w:rsidP="00437C96">
      <w:pPr>
        <w:jc w:val="both"/>
        <w:rPr>
          <w:lang w:val="de-DE"/>
        </w:rPr>
      </w:pPr>
    </w:p>
    <w:p w14:paraId="649A7675" w14:textId="77777777" w:rsidR="00437C96" w:rsidRPr="004676F5" w:rsidRDefault="00437C96" w:rsidP="00437C96">
      <w:pPr>
        <w:jc w:val="both"/>
        <w:rPr>
          <w:lang w:val="de-DE"/>
        </w:rPr>
      </w:pPr>
      <w:r w:rsidRPr="004676F5">
        <w:rPr>
          <w:lang w:val="de-DE"/>
        </w:rPr>
        <w:lastRenderedPageBreak/>
        <w:tab/>
        <w:t>2. Maßnahmen des Unternehmens zur Minderung oder Beseitigung des Schadens, der Verbrauchern entstanden ist,</w:t>
      </w:r>
    </w:p>
    <w:p w14:paraId="14BF62D0" w14:textId="77777777" w:rsidR="00437C96" w:rsidRPr="004676F5" w:rsidRDefault="00437C96" w:rsidP="00437C96">
      <w:pPr>
        <w:jc w:val="both"/>
        <w:rPr>
          <w:lang w:val="de-DE"/>
        </w:rPr>
      </w:pPr>
    </w:p>
    <w:p w14:paraId="0D3E8627" w14:textId="77777777" w:rsidR="00437C96" w:rsidRPr="004676F5" w:rsidRDefault="00437C96" w:rsidP="00437C96">
      <w:pPr>
        <w:jc w:val="both"/>
        <w:rPr>
          <w:lang w:val="de-DE"/>
        </w:rPr>
      </w:pPr>
      <w:r w:rsidRPr="004676F5">
        <w:rPr>
          <w:lang w:val="de-DE"/>
        </w:rPr>
        <w:tab/>
        <w:t>3. frühere Verstöße des Unternehmens,</w:t>
      </w:r>
    </w:p>
    <w:p w14:paraId="32AD4FAC" w14:textId="77777777" w:rsidR="00437C96" w:rsidRPr="004676F5" w:rsidRDefault="00437C96" w:rsidP="00437C96">
      <w:pPr>
        <w:jc w:val="both"/>
        <w:rPr>
          <w:lang w:val="de-DE"/>
        </w:rPr>
      </w:pPr>
    </w:p>
    <w:p w14:paraId="3DD65A98" w14:textId="77777777" w:rsidR="00437C96" w:rsidRPr="004676F5" w:rsidRDefault="00437C96" w:rsidP="00437C96">
      <w:pPr>
        <w:jc w:val="both"/>
        <w:rPr>
          <w:lang w:val="de-DE"/>
        </w:rPr>
      </w:pPr>
      <w:r w:rsidRPr="004676F5">
        <w:rPr>
          <w:lang w:val="de-DE"/>
        </w:rPr>
        <w:tab/>
        <w:t>4. vom Unternehmen aufgrund des Verstoßes erlangte finanzielle Vorteile oder vermiedene Verluste, wenn dazu die entsprechenden Daten verfügbar sind,</w:t>
      </w:r>
    </w:p>
    <w:p w14:paraId="635E3C47" w14:textId="77777777" w:rsidR="00437C96" w:rsidRPr="004676F5" w:rsidRDefault="00437C96" w:rsidP="00437C96">
      <w:pPr>
        <w:jc w:val="both"/>
        <w:rPr>
          <w:lang w:val="de-DE"/>
        </w:rPr>
      </w:pPr>
    </w:p>
    <w:p w14:paraId="313B5F70" w14:textId="77777777" w:rsidR="00437C96" w:rsidRPr="004676F5" w:rsidRDefault="00437C96" w:rsidP="00437C96">
      <w:pPr>
        <w:jc w:val="both"/>
        <w:rPr>
          <w:lang w:val="de-DE"/>
        </w:rPr>
      </w:pPr>
      <w:r w:rsidRPr="004676F5">
        <w:rPr>
          <w:lang w:val="de-DE"/>
        </w:rPr>
        <w:tab/>
        <w:t>5. Sanktionen, die gegen das Unternehmen für denselben Verstoß in grenzüber</w:t>
      </w:r>
      <w:r w:rsidRPr="004676F5">
        <w:rPr>
          <w:lang w:val="de-DE"/>
        </w:rPr>
        <w:softHyphen/>
        <w:t>schreitenden Fällen in anderen Mitgliedstaaten verhängt wurden, sofern Informationen über solche Sanktionen im Rahmen des aufgrund der Verordnung (EU) 2017/2394 des Europäischen Parlaments und des Rates errichteten Mechanismus verfügbar sind,</w:t>
      </w:r>
    </w:p>
    <w:p w14:paraId="4DC917E4" w14:textId="77777777" w:rsidR="00437C96" w:rsidRPr="004676F5" w:rsidRDefault="00437C96" w:rsidP="00437C96">
      <w:pPr>
        <w:jc w:val="both"/>
        <w:rPr>
          <w:lang w:val="de-DE"/>
        </w:rPr>
      </w:pPr>
    </w:p>
    <w:p w14:paraId="181F84BE" w14:textId="570D47B3" w:rsidR="00437C96" w:rsidRPr="004676F5" w:rsidRDefault="00437C96" w:rsidP="00437C96">
      <w:pPr>
        <w:ind w:firstLine="708"/>
        <w:jc w:val="both"/>
        <w:rPr>
          <w:lang w:val="de-DE"/>
        </w:rPr>
      </w:pPr>
      <w:r w:rsidRPr="004676F5">
        <w:rPr>
          <w:lang w:val="de-DE"/>
        </w:rPr>
        <w:t>6. andere erschwerende oder mildernde Umstände im jeweiligen Fall.]</w:t>
      </w:r>
    </w:p>
    <w:p w14:paraId="7B83EFAF" w14:textId="77777777" w:rsidR="007748FE" w:rsidRPr="004676F5" w:rsidRDefault="007748FE" w:rsidP="00437C96">
      <w:pPr>
        <w:ind w:firstLine="708"/>
        <w:jc w:val="both"/>
        <w:rPr>
          <w:lang w:val="de-DE"/>
        </w:rPr>
      </w:pPr>
    </w:p>
    <w:p w14:paraId="7D320850" w14:textId="0E489E03" w:rsidR="007748FE" w:rsidRPr="004676F5" w:rsidRDefault="007748FE" w:rsidP="00437C96">
      <w:pPr>
        <w:ind w:firstLine="708"/>
        <w:jc w:val="both"/>
        <w:rPr>
          <w:lang w:val="de-DE"/>
        </w:rPr>
      </w:pPr>
      <w:r w:rsidRPr="004676F5">
        <w:rPr>
          <w:lang w:val="de-DE"/>
        </w:rPr>
        <w:t>[§ 6 ­ Bei Anwendung von § 1 auf Protokolle, mit denen ein Verstoß gegen die Bestimmungen von Titel 3 Kapitel 2 Abschnitt 8 Unterabschnitt 1 festgestellt wird, und sofern der Zuwiderhandelnde die Waren der Staatskasse überlassen hat, setzt der in Artikel XV.2 oder XV.25/1 erwähnte Bedienstete die geschädigte Partei, sofern bekannt, oder ihren Vertreter von dem Verstoß in Kenntnis und teilt ihr/ihm die tatsächliche oder geschätzte Menge und die tatsächliche oder vermutete Art der überlassenen Waren mit, bevor dem Zuwiderhandelnden ein Vergleichsvorschlag gemacht wird.]</w:t>
      </w:r>
    </w:p>
    <w:p w14:paraId="071E10EE" w14:textId="77777777" w:rsidR="00BA2266" w:rsidRPr="004676F5" w:rsidRDefault="00BA2266" w:rsidP="00BA2266">
      <w:pPr>
        <w:jc w:val="both"/>
        <w:rPr>
          <w:lang w:val="de-DE"/>
        </w:rPr>
      </w:pPr>
    </w:p>
    <w:p w14:paraId="62754C5C" w14:textId="65E75E38" w:rsidR="009F2B51" w:rsidRPr="004676F5" w:rsidRDefault="009F2B51" w:rsidP="00BA2266">
      <w:pPr>
        <w:jc w:val="both"/>
        <w:rPr>
          <w:lang w:val="de-DE"/>
        </w:rPr>
      </w:pPr>
      <w:r w:rsidRPr="004676F5">
        <w:rPr>
          <w:i/>
          <w:lang w:val="de-DE"/>
        </w:rPr>
        <w:t>[</w:t>
      </w:r>
      <w:r w:rsidR="00BE0A56" w:rsidRPr="004676F5">
        <w:rPr>
          <w:i/>
          <w:lang w:val="de-DE"/>
        </w:rPr>
        <w:t>Art. </w:t>
      </w:r>
      <w:r w:rsidRPr="004676F5">
        <w:rPr>
          <w:i/>
          <w:lang w:val="de-DE"/>
        </w:rPr>
        <w:t xml:space="preserve">XV.61 § 1 Abs. 1 abgeändert durch </w:t>
      </w:r>
      <w:r w:rsidR="00BE0A56" w:rsidRPr="004676F5">
        <w:rPr>
          <w:i/>
          <w:lang w:val="de-DE"/>
        </w:rPr>
        <w:t>Art. </w:t>
      </w:r>
      <w:r w:rsidRPr="004676F5">
        <w:rPr>
          <w:i/>
          <w:lang w:val="de-DE"/>
        </w:rPr>
        <w:t>43 des G. vom 29. Juni 2016 (B.S. vom 6. Juli 2016)</w:t>
      </w:r>
      <w:r w:rsidR="00F712F3" w:rsidRPr="004676F5">
        <w:rPr>
          <w:i/>
          <w:lang w:val="de-DE"/>
        </w:rPr>
        <w:t xml:space="preserve"> und </w:t>
      </w:r>
      <w:r w:rsidR="00BE0A56" w:rsidRPr="004676F5">
        <w:rPr>
          <w:i/>
          <w:lang w:val="de-DE"/>
        </w:rPr>
        <w:t>Art. </w:t>
      </w:r>
      <w:r w:rsidR="00F712F3" w:rsidRPr="004676F5">
        <w:rPr>
          <w:i/>
          <w:lang w:val="de-DE"/>
        </w:rPr>
        <w:t>25 des G. vom 18. April 2017 (B.S. vom 24. April 2017)</w:t>
      </w:r>
      <w:r w:rsidR="00901C74" w:rsidRPr="004676F5">
        <w:rPr>
          <w:i/>
          <w:lang w:val="de-DE"/>
        </w:rPr>
        <w:t>; § 4 eingefügt durch Art. 15</w:t>
      </w:r>
      <w:r w:rsidR="00901C74" w:rsidRPr="004676F5">
        <w:rPr>
          <w:bCs/>
          <w:i/>
          <w:iCs/>
          <w:lang w:val="de-DE"/>
        </w:rPr>
        <w:t xml:space="preserve"> des G. vom 28. November 2021 (II) (B.S. vom 15. Dezember 2021)</w:t>
      </w:r>
      <w:r w:rsidR="00437C96" w:rsidRPr="004676F5">
        <w:rPr>
          <w:bCs/>
          <w:i/>
          <w:iCs/>
          <w:lang w:val="de-DE"/>
        </w:rPr>
        <w:t>; § 5 eingefügt durch Art. 35 des G. vom 8. Mai 2022 (B.S. vom 2. Juni 2022)</w:t>
      </w:r>
      <w:r w:rsidR="007748FE" w:rsidRPr="004676F5">
        <w:rPr>
          <w:bCs/>
          <w:i/>
          <w:iCs/>
          <w:lang w:val="de-DE"/>
        </w:rPr>
        <w:t>; § 6 eingefügt durch Art. 56 des G. vom 5. November 2023</w:t>
      </w:r>
      <w:r w:rsidR="00AA0B2E" w:rsidRPr="004676F5">
        <w:rPr>
          <w:bCs/>
          <w:i/>
          <w:iCs/>
          <w:lang w:val="de-DE"/>
        </w:rPr>
        <w:t> (I)</w:t>
      </w:r>
      <w:r w:rsidR="007748FE" w:rsidRPr="004676F5">
        <w:rPr>
          <w:bCs/>
          <w:i/>
          <w:iCs/>
          <w:lang w:val="de-DE"/>
        </w:rPr>
        <w:t xml:space="preserve"> (B.S. vom 11. Dezember 2023)</w:t>
      </w:r>
      <w:r w:rsidRPr="004676F5">
        <w:rPr>
          <w:i/>
          <w:lang w:val="de-DE"/>
        </w:rPr>
        <w:t>]</w:t>
      </w:r>
    </w:p>
    <w:p w14:paraId="48FF62AA" w14:textId="77777777" w:rsidR="00664554" w:rsidRPr="004676F5" w:rsidRDefault="00664554" w:rsidP="00BA2266">
      <w:pPr>
        <w:ind w:firstLine="708"/>
        <w:jc w:val="both"/>
        <w:rPr>
          <w:lang w:val="de-DE"/>
        </w:rPr>
      </w:pPr>
    </w:p>
    <w:p w14:paraId="0878F1DF" w14:textId="32FDEFBB" w:rsidR="00E85D64" w:rsidRPr="004676F5" w:rsidRDefault="00E85D64">
      <w:pPr>
        <w:rPr>
          <w:lang w:val="de-DE"/>
        </w:rPr>
      </w:pPr>
    </w:p>
    <w:p w14:paraId="22E3B0E2" w14:textId="3477CA2B" w:rsidR="002064D4" w:rsidRPr="004676F5" w:rsidRDefault="002064D4" w:rsidP="002064D4">
      <w:pPr>
        <w:jc w:val="center"/>
        <w:rPr>
          <w:lang w:val="de-DE"/>
        </w:rPr>
      </w:pPr>
      <w:r w:rsidRPr="004676F5">
        <w:rPr>
          <w:lang w:val="de-DE"/>
        </w:rPr>
        <w:t>[</w:t>
      </w:r>
      <w:r w:rsidRPr="004676F5">
        <w:rPr>
          <w:i/>
          <w:lang w:val="de-DE"/>
        </w:rPr>
        <w:t>Abschnitt 2 </w:t>
      </w:r>
      <w:r w:rsidR="005B7A5C" w:rsidRPr="004676F5">
        <w:rPr>
          <w:i/>
          <w:lang w:val="de-DE"/>
        </w:rPr>
        <w:t>- </w:t>
      </w:r>
      <w:r w:rsidRPr="004676F5">
        <w:rPr>
          <w:lang w:val="de-DE"/>
        </w:rPr>
        <w:t>Bestimmungen in Bezug auf Buch XI</w:t>
      </w:r>
    </w:p>
    <w:p w14:paraId="1405A2C6" w14:textId="77777777" w:rsidR="002064D4" w:rsidRPr="004676F5" w:rsidRDefault="002064D4" w:rsidP="002064D4">
      <w:pPr>
        <w:ind w:firstLine="708"/>
        <w:jc w:val="center"/>
        <w:rPr>
          <w:lang w:val="de-DE"/>
        </w:rPr>
      </w:pPr>
    </w:p>
    <w:p w14:paraId="37424326" w14:textId="4A70A50A" w:rsidR="002064D4" w:rsidRPr="004676F5" w:rsidRDefault="002064D4" w:rsidP="00D77F4C">
      <w:pPr>
        <w:jc w:val="both"/>
        <w:rPr>
          <w:i/>
          <w:lang w:val="de-DE"/>
        </w:rPr>
      </w:pPr>
      <w:r w:rsidRPr="004676F5">
        <w:rPr>
          <w:i/>
          <w:lang w:val="de-DE"/>
        </w:rPr>
        <w:t xml:space="preserve">[Abschnitt 2 mit den Artikeln XV.62 und XV.62/1 eingefügt durch </w:t>
      </w:r>
      <w:r w:rsidR="00BE0A56" w:rsidRPr="004676F5">
        <w:rPr>
          <w:i/>
          <w:lang w:val="de-DE"/>
        </w:rPr>
        <w:t>Art. </w:t>
      </w:r>
      <w:r w:rsidRPr="004676F5">
        <w:rPr>
          <w:i/>
          <w:lang w:val="de-DE"/>
        </w:rPr>
        <w:t>13 des G. vom 19. April 2014 (II) (B.S. vom 12. Juni 2014)]</w:t>
      </w:r>
    </w:p>
    <w:p w14:paraId="0416CBA5" w14:textId="77777777" w:rsidR="002064D4" w:rsidRPr="004676F5" w:rsidRDefault="002064D4" w:rsidP="002064D4">
      <w:pPr>
        <w:ind w:firstLine="708"/>
        <w:jc w:val="both"/>
        <w:rPr>
          <w:i/>
          <w:lang w:val="de-DE"/>
        </w:rPr>
      </w:pPr>
    </w:p>
    <w:p w14:paraId="798F2D50" w14:textId="77777777" w:rsidR="002064D4" w:rsidRPr="004676F5" w:rsidRDefault="002064D4" w:rsidP="002064D4">
      <w:pPr>
        <w:ind w:firstLine="708"/>
        <w:jc w:val="both"/>
        <w:rPr>
          <w:i/>
          <w:lang w:val="de-DE"/>
        </w:rPr>
      </w:pPr>
    </w:p>
    <w:p w14:paraId="04CA54FF" w14:textId="22678819" w:rsidR="002064D4" w:rsidRPr="004676F5" w:rsidRDefault="002064D4" w:rsidP="002064D4">
      <w:pPr>
        <w:jc w:val="center"/>
        <w:rPr>
          <w:lang w:val="de-DE"/>
        </w:rPr>
      </w:pPr>
      <w:r w:rsidRPr="004676F5">
        <w:rPr>
          <w:lang w:val="de-DE"/>
        </w:rPr>
        <w:t>Unterabschnitt 1 </w:t>
      </w:r>
      <w:r w:rsidR="005B7A5C" w:rsidRPr="004676F5">
        <w:rPr>
          <w:lang w:val="de-DE"/>
        </w:rPr>
        <w:t>- </w:t>
      </w:r>
      <w:r w:rsidRPr="004676F5">
        <w:rPr>
          <w:lang w:val="de-DE"/>
        </w:rPr>
        <w:t>Bekämpfung der Nachahmung und Piraterie</w:t>
      </w:r>
    </w:p>
    <w:p w14:paraId="612B62B9" w14:textId="77777777" w:rsidR="002064D4" w:rsidRPr="004676F5" w:rsidRDefault="002064D4" w:rsidP="002064D4">
      <w:pPr>
        <w:ind w:firstLine="708"/>
        <w:jc w:val="both"/>
        <w:rPr>
          <w:lang w:val="de-DE"/>
        </w:rPr>
      </w:pPr>
    </w:p>
    <w:p w14:paraId="587733DD" w14:textId="77777777" w:rsidR="002064D4" w:rsidRPr="004676F5" w:rsidRDefault="002064D4" w:rsidP="002064D4">
      <w:pPr>
        <w:ind w:firstLine="708"/>
        <w:jc w:val="both"/>
        <w:rPr>
          <w:lang w:val="de-DE"/>
        </w:rPr>
      </w:pPr>
    </w:p>
    <w:p w14:paraId="724D6DC0" w14:textId="7003F166" w:rsidR="002064D4" w:rsidRPr="004676F5" w:rsidRDefault="00BE0A56" w:rsidP="007748FE">
      <w:pPr>
        <w:ind w:firstLine="708"/>
        <w:jc w:val="both"/>
        <w:rPr>
          <w:lang w:val="de-DE"/>
        </w:rPr>
      </w:pPr>
      <w:r w:rsidRPr="004676F5">
        <w:rPr>
          <w:b/>
          <w:lang w:val="de-DE"/>
        </w:rPr>
        <w:t>Art. </w:t>
      </w:r>
      <w:r w:rsidR="002064D4" w:rsidRPr="004676F5">
        <w:rPr>
          <w:b/>
          <w:lang w:val="de-DE"/>
        </w:rPr>
        <w:t>XV.62</w:t>
      </w:r>
      <w:r w:rsidR="002064D4" w:rsidRPr="004676F5">
        <w:rPr>
          <w:lang w:val="de-DE"/>
        </w:rPr>
        <w:t> </w:t>
      </w:r>
      <w:r w:rsidR="005B7A5C" w:rsidRPr="004676F5">
        <w:rPr>
          <w:lang w:val="de-DE"/>
        </w:rPr>
        <w:t>- </w:t>
      </w:r>
      <w:r w:rsidR="007748FE" w:rsidRPr="004676F5">
        <w:rPr>
          <w:lang w:val="de-DE"/>
        </w:rPr>
        <w:t>[...]</w:t>
      </w:r>
    </w:p>
    <w:p w14:paraId="1F785D9B" w14:textId="4A2F8645" w:rsidR="002064D4" w:rsidRPr="004676F5" w:rsidRDefault="002064D4" w:rsidP="002064D4">
      <w:pPr>
        <w:ind w:firstLine="708"/>
        <w:jc w:val="both"/>
        <w:rPr>
          <w:lang w:val="de-DE"/>
        </w:rPr>
      </w:pPr>
    </w:p>
    <w:p w14:paraId="1C3EEAF9" w14:textId="5C605E4E" w:rsidR="00E13953" w:rsidRPr="004676F5" w:rsidRDefault="00E13953" w:rsidP="00E13953">
      <w:pPr>
        <w:jc w:val="both"/>
        <w:rPr>
          <w:i/>
          <w:lang w:val="de-DE"/>
        </w:rPr>
      </w:pPr>
      <w:r w:rsidRPr="004676F5">
        <w:rPr>
          <w:i/>
          <w:iCs/>
          <w:lang w:val="de-DE"/>
        </w:rPr>
        <w:t xml:space="preserve">[Art. XV.62 </w:t>
      </w:r>
      <w:r w:rsidR="007748FE" w:rsidRPr="004676F5">
        <w:rPr>
          <w:i/>
          <w:iCs/>
          <w:lang w:val="de-DE"/>
        </w:rPr>
        <w:t>aufgehoben durch Art. 57 des G. vom 5. November 2023</w:t>
      </w:r>
      <w:r w:rsidR="00AA0B2E" w:rsidRPr="004676F5">
        <w:rPr>
          <w:i/>
          <w:iCs/>
          <w:lang w:val="de-DE"/>
        </w:rPr>
        <w:t> (I)</w:t>
      </w:r>
      <w:r w:rsidR="007748FE" w:rsidRPr="004676F5">
        <w:rPr>
          <w:i/>
          <w:iCs/>
          <w:lang w:val="de-DE"/>
        </w:rPr>
        <w:t xml:space="preserve"> (B.S. vom 11. Dezember 2023)</w:t>
      </w:r>
      <w:r w:rsidRPr="004676F5">
        <w:rPr>
          <w:i/>
          <w:lang w:val="de-DE"/>
        </w:rPr>
        <w:t>]</w:t>
      </w:r>
    </w:p>
    <w:p w14:paraId="46BEC57F" w14:textId="77777777" w:rsidR="00E13953" w:rsidRPr="004676F5" w:rsidRDefault="00E13953" w:rsidP="00E13953">
      <w:pPr>
        <w:jc w:val="both"/>
        <w:rPr>
          <w:i/>
          <w:iCs/>
          <w:lang w:val="de-DE"/>
        </w:rPr>
      </w:pPr>
    </w:p>
    <w:p w14:paraId="67ABCAB7" w14:textId="77777777" w:rsidR="002064D4" w:rsidRPr="004676F5" w:rsidRDefault="002064D4" w:rsidP="002064D4">
      <w:pPr>
        <w:ind w:firstLine="708"/>
        <w:jc w:val="both"/>
        <w:rPr>
          <w:lang w:val="de-DE"/>
        </w:rPr>
      </w:pPr>
    </w:p>
    <w:p w14:paraId="448CAC4A" w14:textId="1BC77FF1" w:rsidR="002064D4" w:rsidRPr="004676F5" w:rsidRDefault="002064D4" w:rsidP="002064D4">
      <w:pPr>
        <w:jc w:val="center"/>
        <w:rPr>
          <w:lang w:val="de-DE"/>
        </w:rPr>
      </w:pPr>
      <w:r w:rsidRPr="004676F5">
        <w:rPr>
          <w:lang w:val="de-DE"/>
        </w:rPr>
        <w:t>Unterabschnitt 2 </w:t>
      </w:r>
      <w:r w:rsidR="005B7A5C" w:rsidRPr="004676F5">
        <w:rPr>
          <w:lang w:val="de-DE"/>
        </w:rPr>
        <w:t>- </w:t>
      </w:r>
      <w:r w:rsidRPr="004676F5">
        <w:rPr>
          <w:lang w:val="de-DE"/>
        </w:rPr>
        <w:t>Kollektive Wahrnehmung der Urheberrechte und verwandten Schutzrechte</w:t>
      </w:r>
    </w:p>
    <w:p w14:paraId="63BA7C9B" w14:textId="77777777" w:rsidR="002064D4" w:rsidRPr="004676F5" w:rsidRDefault="002064D4" w:rsidP="002064D4">
      <w:pPr>
        <w:ind w:firstLine="708"/>
        <w:jc w:val="both"/>
        <w:rPr>
          <w:lang w:val="de-DE"/>
        </w:rPr>
      </w:pPr>
    </w:p>
    <w:p w14:paraId="044B2B77" w14:textId="77777777" w:rsidR="002064D4" w:rsidRPr="004676F5" w:rsidRDefault="002064D4" w:rsidP="002064D4">
      <w:pPr>
        <w:ind w:firstLine="708"/>
        <w:jc w:val="both"/>
        <w:rPr>
          <w:b/>
          <w:lang w:val="de-DE"/>
        </w:rPr>
      </w:pPr>
    </w:p>
    <w:p w14:paraId="52CF2FF3" w14:textId="16D623F5" w:rsidR="002064D4" w:rsidRPr="004676F5" w:rsidRDefault="00BE0A56" w:rsidP="002064D4">
      <w:pPr>
        <w:ind w:firstLine="708"/>
        <w:jc w:val="both"/>
        <w:rPr>
          <w:lang w:val="de-DE"/>
        </w:rPr>
      </w:pPr>
      <w:r w:rsidRPr="004676F5">
        <w:rPr>
          <w:b/>
          <w:lang w:val="de-DE"/>
        </w:rPr>
        <w:t>Art. </w:t>
      </w:r>
      <w:r w:rsidR="002064D4" w:rsidRPr="004676F5">
        <w:rPr>
          <w:b/>
          <w:lang w:val="de-DE"/>
        </w:rPr>
        <w:t>XV.62/1</w:t>
      </w:r>
      <w:r w:rsidR="002064D4" w:rsidRPr="004676F5">
        <w:rPr>
          <w:lang w:val="de-DE"/>
        </w:rPr>
        <w:t> </w:t>
      </w:r>
      <w:r w:rsidR="005B7A5C" w:rsidRPr="004676F5">
        <w:rPr>
          <w:lang w:val="de-DE"/>
        </w:rPr>
        <w:t>- </w:t>
      </w:r>
      <w:r w:rsidR="002064D4" w:rsidRPr="004676F5">
        <w:rPr>
          <w:lang w:val="de-DE"/>
        </w:rPr>
        <w:t xml:space="preserve">Die vom Minister eigens zu diesem Zweck bestellten Bediensteten können aufgrund der Protokolle zur Feststellung eines Verstoßes gegen die in Artikel XV.112 </w:t>
      </w:r>
      <w:r w:rsidR="002064D4" w:rsidRPr="004676F5">
        <w:rPr>
          <w:lang w:val="de-DE"/>
        </w:rPr>
        <w:lastRenderedPageBreak/>
        <w:t>§§ 1 und 2 erwähnten Bestimmungen den Zuwiderhandelnden einen Betrag vorschlagen, durch dessen Zahlung die Strafverfolgung erlischt.</w:t>
      </w:r>
    </w:p>
    <w:p w14:paraId="716F4E32" w14:textId="77777777" w:rsidR="002064D4" w:rsidRPr="004676F5" w:rsidRDefault="002064D4" w:rsidP="002064D4">
      <w:pPr>
        <w:ind w:firstLine="708"/>
        <w:jc w:val="both"/>
        <w:rPr>
          <w:lang w:val="de-DE"/>
        </w:rPr>
      </w:pPr>
    </w:p>
    <w:p w14:paraId="5617DAF6" w14:textId="73ECC72E" w:rsidR="002064D4" w:rsidRPr="004676F5" w:rsidRDefault="002064D4" w:rsidP="002064D4">
      <w:pPr>
        <w:ind w:firstLine="708"/>
        <w:jc w:val="both"/>
        <w:rPr>
          <w:lang w:val="de-DE"/>
        </w:rPr>
      </w:pPr>
      <w:r w:rsidRPr="004676F5">
        <w:rPr>
          <w:lang w:val="de-DE"/>
        </w:rPr>
        <w:t>Tarife und Zahlungs</w:t>
      </w:r>
      <w:r w:rsidR="005B7A5C" w:rsidRPr="004676F5">
        <w:rPr>
          <w:lang w:val="de-DE"/>
        </w:rPr>
        <w:t>- </w:t>
      </w:r>
      <w:r w:rsidRPr="004676F5">
        <w:rPr>
          <w:lang w:val="de-DE"/>
        </w:rPr>
        <w:t>und Einnahmemodalitäten werden vom König festgelegt.</w:t>
      </w:r>
    </w:p>
    <w:p w14:paraId="6C37E083" w14:textId="77777777" w:rsidR="002064D4" w:rsidRPr="004676F5" w:rsidRDefault="002064D4" w:rsidP="002064D4">
      <w:pPr>
        <w:ind w:firstLine="708"/>
        <w:jc w:val="both"/>
        <w:rPr>
          <w:lang w:val="de-DE"/>
        </w:rPr>
      </w:pPr>
    </w:p>
    <w:p w14:paraId="36ACF6EE" w14:textId="77777777" w:rsidR="002064D4" w:rsidRPr="004676F5" w:rsidRDefault="002064D4" w:rsidP="002064D4">
      <w:pPr>
        <w:ind w:firstLine="708"/>
        <w:jc w:val="both"/>
        <w:rPr>
          <w:lang w:val="de-DE"/>
        </w:rPr>
      </w:pPr>
      <w:r w:rsidRPr="004676F5">
        <w:rPr>
          <w:lang w:val="de-DE"/>
        </w:rPr>
        <w:t>Der in Absatz 1 erwähnte Betrag darf die höchste in Artikel XV.112 vorgesehene Geldbuße zuzüglich Zuschlagzehnteln nicht überschreiten.</w:t>
      </w:r>
    </w:p>
    <w:p w14:paraId="2489CD52" w14:textId="77777777" w:rsidR="002064D4" w:rsidRPr="004676F5" w:rsidRDefault="002064D4" w:rsidP="002064D4">
      <w:pPr>
        <w:ind w:firstLine="708"/>
        <w:jc w:val="both"/>
        <w:rPr>
          <w:lang w:val="de-DE"/>
        </w:rPr>
      </w:pPr>
    </w:p>
    <w:p w14:paraId="559699DB" w14:textId="77777777" w:rsidR="002064D4" w:rsidRPr="004676F5" w:rsidRDefault="002064D4" w:rsidP="002064D4">
      <w:pPr>
        <w:ind w:firstLine="708"/>
        <w:jc w:val="both"/>
        <w:rPr>
          <w:lang w:val="de-DE"/>
        </w:rPr>
      </w:pPr>
      <w:r w:rsidRPr="004676F5">
        <w:rPr>
          <w:lang w:val="de-DE"/>
        </w:rPr>
        <w:t>Durch die in der angegebenen Frist geleistete Zahlung erlischt die Strafverfolgung, außer wenn zuvor eine Klage beim Prokurator des Königs eingereicht worden ist, der Untersuchungsrichter aufgefordert wurde, eine Untersuchung einzuleiten, oder die Sache beim Gericht anhängig gemacht worden ist. In diesem Fall werden gezahlte Beträge dem Zuwiderhandelnden erstattet.]</w:t>
      </w:r>
    </w:p>
    <w:p w14:paraId="57DDABFE" w14:textId="77777777" w:rsidR="0004441E" w:rsidRPr="004676F5" w:rsidRDefault="0004441E" w:rsidP="002064D4">
      <w:pPr>
        <w:ind w:firstLine="708"/>
        <w:jc w:val="both"/>
        <w:rPr>
          <w:lang w:val="de-DE"/>
        </w:rPr>
      </w:pPr>
    </w:p>
    <w:p w14:paraId="45400794" w14:textId="446F8544" w:rsidR="0004441E" w:rsidRPr="004676F5" w:rsidRDefault="0004441E">
      <w:pPr>
        <w:rPr>
          <w:lang w:val="de-DE"/>
        </w:rPr>
      </w:pPr>
      <w:r w:rsidRPr="004676F5">
        <w:rPr>
          <w:lang w:val="de-DE"/>
        </w:rPr>
        <w:br w:type="page"/>
      </w:r>
    </w:p>
    <w:p w14:paraId="05586D01" w14:textId="32F52BAB" w:rsidR="0004441E" w:rsidRPr="004676F5" w:rsidRDefault="0004441E" w:rsidP="0004441E">
      <w:pPr>
        <w:jc w:val="center"/>
        <w:rPr>
          <w:lang w:val="de-DE"/>
        </w:rPr>
      </w:pPr>
      <w:r w:rsidRPr="004676F5">
        <w:rPr>
          <w:lang w:val="de-DE"/>
        </w:rPr>
        <w:lastRenderedPageBreak/>
        <w:t xml:space="preserve">[KAPITEL 1/1 </w:t>
      </w:r>
      <w:r w:rsidR="005B7A5C" w:rsidRPr="004676F5">
        <w:rPr>
          <w:lang w:val="de-DE"/>
        </w:rPr>
        <w:t>- </w:t>
      </w:r>
      <w:r w:rsidRPr="004676F5">
        <w:rPr>
          <w:i/>
          <w:iCs/>
          <w:lang w:val="de-DE"/>
        </w:rPr>
        <w:t>Auf administrative Geldbußen anwendbare Regeln</w:t>
      </w:r>
      <w:r w:rsidRPr="004676F5">
        <w:rPr>
          <w:lang w:val="de-DE"/>
        </w:rPr>
        <w:t>]</w:t>
      </w:r>
    </w:p>
    <w:p w14:paraId="41F38970" w14:textId="77777777" w:rsidR="0004441E" w:rsidRPr="004676F5" w:rsidRDefault="0004441E" w:rsidP="0004441E">
      <w:pPr>
        <w:jc w:val="center"/>
        <w:rPr>
          <w:lang w:val="de-DE"/>
        </w:rPr>
      </w:pPr>
    </w:p>
    <w:p w14:paraId="72606B62" w14:textId="48D0521A" w:rsidR="0004441E" w:rsidRPr="004676F5" w:rsidRDefault="0004441E" w:rsidP="0004441E">
      <w:pPr>
        <w:jc w:val="both"/>
        <w:rPr>
          <w:bCs/>
          <w:i/>
          <w:iCs/>
          <w:lang w:val="de-DE"/>
        </w:rPr>
      </w:pPr>
      <w:r w:rsidRPr="004676F5">
        <w:rPr>
          <w:bCs/>
          <w:i/>
          <w:iCs/>
          <w:lang w:val="de-DE"/>
        </w:rPr>
        <w:t>[Unterteilung Kapitel 1/1 eingefügt durch Art. </w:t>
      </w:r>
      <w:r w:rsidR="00274D5D" w:rsidRPr="004676F5">
        <w:rPr>
          <w:bCs/>
          <w:i/>
          <w:iCs/>
          <w:lang w:val="de-DE"/>
        </w:rPr>
        <w:t>44</w:t>
      </w:r>
      <w:r w:rsidRPr="004676F5">
        <w:rPr>
          <w:bCs/>
          <w:i/>
          <w:iCs/>
          <w:lang w:val="de-DE"/>
        </w:rPr>
        <w:t xml:space="preserve"> des G. vom 29. September 2020 (B.S. vom 20. November 2020)</w:t>
      </w:r>
      <w:r w:rsidR="00274D5D" w:rsidRPr="004676F5">
        <w:rPr>
          <w:bCs/>
          <w:i/>
          <w:iCs/>
          <w:lang w:val="de-DE"/>
        </w:rPr>
        <w:t>]</w:t>
      </w:r>
    </w:p>
    <w:p w14:paraId="11513653" w14:textId="77777777" w:rsidR="00274D5D" w:rsidRPr="004676F5" w:rsidRDefault="00274D5D" w:rsidP="0004441E">
      <w:pPr>
        <w:jc w:val="both"/>
        <w:rPr>
          <w:bCs/>
          <w:i/>
          <w:iCs/>
          <w:lang w:val="de-DE"/>
        </w:rPr>
      </w:pPr>
    </w:p>
    <w:p w14:paraId="09502A2D" w14:textId="77777777" w:rsidR="00274D5D" w:rsidRPr="004676F5" w:rsidRDefault="00274D5D" w:rsidP="0004441E">
      <w:pPr>
        <w:jc w:val="both"/>
        <w:rPr>
          <w:bCs/>
          <w:lang w:val="de-DE"/>
        </w:rPr>
      </w:pPr>
    </w:p>
    <w:p w14:paraId="315448B2" w14:textId="44B4FCEE" w:rsidR="00274D5D" w:rsidRPr="004676F5" w:rsidRDefault="00274D5D" w:rsidP="00274D5D">
      <w:pPr>
        <w:jc w:val="both"/>
        <w:rPr>
          <w:lang w:val="de-DE"/>
        </w:rPr>
      </w:pPr>
      <w:r w:rsidRPr="004676F5">
        <w:rPr>
          <w:bCs/>
          <w:lang w:val="de-DE"/>
        </w:rPr>
        <w:tab/>
        <w:t>[</w:t>
      </w:r>
      <w:r w:rsidRPr="004676F5">
        <w:rPr>
          <w:b/>
          <w:bCs/>
          <w:lang w:val="de-DE"/>
        </w:rPr>
        <w:t>Art. XV.62/2</w:t>
      </w:r>
      <w:r w:rsidRPr="004676F5">
        <w:rPr>
          <w:lang w:val="de-DE"/>
        </w:rPr>
        <w:t> </w:t>
      </w:r>
      <w:r w:rsidR="005B7A5C" w:rsidRPr="004676F5">
        <w:rPr>
          <w:lang w:val="de-DE"/>
        </w:rPr>
        <w:t>- </w:t>
      </w:r>
      <w:r w:rsidRPr="004676F5">
        <w:rPr>
          <w:lang w:val="de-DE"/>
        </w:rPr>
        <w:t xml:space="preserve">Bei Rückfall binnen einer Frist von fünf Jahren nach einer </w:t>
      </w:r>
      <w:r w:rsidR="00B14EE1" w:rsidRPr="004676F5">
        <w:rPr>
          <w:lang w:val="de-DE"/>
        </w:rPr>
        <w:t xml:space="preserve">[endgültigen] </w:t>
      </w:r>
      <w:r w:rsidRPr="004676F5">
        <w:rPr>
          <w:lang w:val="de-DE"/>
        </w:rPr>
        <w:t xml:space="preserve">administrativen Entscheidung zur Schuldigerklärung, einer </w:t>
      </w:r>
      <w:r w:rsidR="00B14EE1" w:rsidRPr="004676F5">
        <w:rPr>
          <w:lang w:val="de-DE"/>
        </w:rPr>
        <w:t xml:space="preserve">[endgültigen] </w:t>
      </w:r>
      <w:r w:rsidRPr="004676F5">
        <w:rPr>
          <w:lang w:val="de-DE"/>
        </w:rPr>
        <w:t>administrativen Entscheidung zur Auferlegung einer administrativen Geldbuße oder einer gerichtlichen Verurteilung zu einer Sanktion kann der Betrag der administrative Geldbuße auf das Doppelte des Höchstbetrags erhöht werden.]</w:t>
      </w:r>
    </w:p>
    <w:p w14:paraId="121E1CA5" w14:textId="77777777" w:rsidR="00274D5D" w:rsidRPr="004676F5" w:rsidRDefault="00274D5D" w:rsidP="00274D5D">
      <w:pPr>
        <w:jc w:val="both"/>
        <w:rPr>
          <w:lang w:val="de-DE"/>
        </w:rPr>
      </w:pPr>
    </w:p>
    <w:p w14:paraId="4F904A76" w14:textId="61939D8A" w:rsidR="00274D5D" w:rsidRPr="004676F5" w:rsidRDefault="00274D5D" w:rsidP="00274D5D">
      <w:pPr>
        <w:jc w:val="both"/>
        <w:rPr>
          <w:i/>
          <w:iCs/>
          <w:lang w:val="de-DE"/>
        </w:rPr>
      </w:pPr>
      <w:r w:rsidRPr="004676F5">
        <w:rPr>
          <w:i/>
          <w:iCs/>
          <w:lang w:val="de-DE"/>
        </w:rPr>
        <w:t>[Art. XV.62/2 eingefügt durch Art. 45</w:t>
      </w:r>
      <w:r w:rsidRPr="004676F5">
        <w:rPr>
          <w:bCs/>
          <w:i/>
          <w:iCs/>
          <w:lang w:val="de-DE"/>
        </w:rPr>
        <w:t xml:space="preserve"> des G. vom 29. September 2020 (B.S. vom 20. November 2020)</w:t>
      </w:r>
      <w:r w:rsidR="00B14EE1" w:rsidRPr="004676F5">
        <w:rPr>
          <w:bCs/>
          <w:i/>
          <w:iCs/>
          <w:lang w:val="de-DE"/>
        </w:rPr>
        <w:t xml:space="preserve"> und abgeändert durch Art. 50 des G. vom 9. Februar 2024 (B.S. vom 21. März 2024)</w:t>
      </w:r>
      <w:r w:rsidRPr="004676F5">
        <w:rPr>
          <w:bCs/>
          <w:i/>
          <w:iCs/>
          <w:lang w:val="de-DE"/>
        </w:rPr>
        <w:t>]</w:t>
      </w:r>
    </w:p>
    <w:p w14:paraId="5EE2C7A7" w14:textId="77777777" w:rsidR="00274D5D" w:rsidRPr="004676F5" w:rsidRDefault="00274D5D" w:rsidP="00274D5D">
      <w:pPr>
        <w:jc w:val="both"/>
        <w:rPr>
          <w:lang w:val="de-DE"/>
        </w:rPr>
      </w:pPr>
    </w:p>
    <w:p w14:paraId="0975994D" w14:textId="77777777" w:rsidR="00274D5D" w:rsidRPr="004676F5" w:rsidRDefault="00274D5D" w:rsidP="00274D5D">
      <w:pPr>
        <w:rPr>
          <w:lang w:val="de-DE"/>
        </w:rPr>
      </w:pPr>
    </w:p>
    <w:p w14:paraId="07755769" w14:textId="388779B6" w:rsidR="00274D5D" w:rsidRPr="004676F5" w:rsidRDefault="00274D5D" w:rsidP="00274D5D">
      <w:pPr>
        <w:jc w:val="both"/>
        <w:rPr>
          <w:lang w:val="de-DE"/>
        </w:rPr>
      </w:pPr>
      <w:r w:rsidRPr="004676F5">
        <w:rPr>
          <w:lang w:val="de-DE"/>
        </w:rPr>
        <w:tab/>
        <w:t>[</w:t>
      </w:r>
      <w:r w:rsidRPr="004676F5">
        <w:rPr>
          <w:b/>
          <w:bCs/>
          <w:lang w:val="de-DE"/>
        </w:rPr>
        <w:t>Art. XV.62/3</w:t>
      </w:r>
      <w:r w:rsidRPr="004676F5">
        <w:rPr>
          <w:lang w:val="de-DE"/>
        </w:rPr>
        <w:t> </w:t>
      </w:r>
      <w:r w:rsidR="005B7A5C" w:rsidRPr="004676F5">
        <w:rPr>
          <w:lang w:val="de-DE"/>
        </w:rPr>
        <w:t>- </w:t>
      </w:r>
      <w:r w:rsidRPr="004676F5">
        <w:rPr>
          <w:lang w:val="de-DE"/>
        </w:rPr>
        <w:t>Bei Zusammentreffen mehrerer Verstöße werden die Beträge der administrativen Geldbußen kumuliert, ohne jedoch das Doppelte des Höchstbetrags der höchsten administrativen Geldbuße überschreiten zu dürfen.]</w:t>
      </w:r>
    </w:p>
    <w:p w14:paraId="02790C49" w14:textId="77777777" w:rsidR="00274D5D" w:rsidRPr="004676F5" w:rsidRDefault="00274D5D" w:rsidP="00274D5D">
      <w:pPr>
        <w:jc w:val="both"/>
        <w:rPr>
          <w:lang w:val="de-DE"/>
        </w:rPr>
      </w:pPr>
    </w:p>
    <w:p w14:paraId="5BF383E2" w14:textId="1BE5C3FD" w:rsidR="00274D5D" w:rsidRPr="004676F5" w:rsidRDefault="00274D5D" w:rsidP="00274D5D">
      <w:pPr>
        <w:jc w:val="both"/>
        <w:rPr>
          <w:i/>
          <w:iCs/>
          <w:lang w:val="de-DE"/>
        </w:rPr>
      </w:pPr>
      <w:r w:rsidRPr="004676F5">
        <w:rPr>
          <w:i/>
          <w:iCs/>
          <w:lang w:val="de-DE"/>
        </w:rPr>
        <w:t>[Art. XV.62/3 eingefügt durch Art. 46</w:t>
      </w:r>
      <w:r w:rsidRPr="004676F5">
        <w:rPr>
          <w:bCs/>
          <w:i/>
          <w:iCs/>
          <w:lang w:val="de-DE"/>
        </w:rPr>
        <w:t xml:space="preserve"> des G. vom 29. September 2020 (B.S. vom 20. November 2020)]</w:t>
      </w:r>
    </w:p>
    <w:p w14:paraId="387164D8" w14:textId="77777777" w:rsidR="00274D5D" w:rsidRPr="004676F5" w:rsidRDefault="00274D5D" w:rsidP="00274D5D">
      <w:pPr>
        <w:jc w:val="both"/>
        <w:rPr>
          <w:lang w:val="de-DE"/>
        </w:rPr>
      </w:pPr>
    </w:p>
    <w:p w14:paraId="3BA6FB8F" w14:textId="77777777" w:rsidR="00274D5D" w:rsidRPr="004676F5" w:rsidRDefault="00274D5D" w:rsidP="00274D5D">
      <w:pPr>
        <w:jc w:val="both"/>
        <w:rPr>
          <w:lang w:val="de-DE"/>
        </w:rPr>
      </w:pPr>
    </w:p>
    <w:p w14:paraId="6010DA69" w14:textId="1C53BE32" w:rsidR="00274D5D" w:rsidRPr="004676F5" w:rsidRDefault="00274D5D" w:rsidP="00274D5D">
      <w:pPr>
        <w:jc w:val="both"/>
        <w:rPr>
          <w:lang w:val="de-DE"/>
        </w:rPr>
      </w:pPr>
      <w:r w:rsidRPr="004676F5">
        <w:rPr>
          <w:lang w:val="de-DE"/>
        </w:rPr>
        <w:tab/>
        <w:t>[</w:t>
      </w:r>
      <w:r w:rsidRPr="004676F5">
        <w:rPr>
          <w:b/>
          <w:bCs/>
          <w:lang w:val="de-DE"/>
        </w:rPr>
        <w:t>Art. XV.62/4</w:t>
      </w:r>
      <w:r w:rsidRPr="004676F5">
        <w:rPr>
          <w:lang w:val="de-DE"/>
        </w:rPr>
        <w:t> </w:t>
      </w:r>
      <w:r w:rsidR="005B7A5C" w:rsidRPr="004676F5">
        <w:rPr>
          <w:lang w:val="de-DE"/>
        </w:rPr>
        <w:t>- </w:t>
      </w:r>
      <w:r w:rsidRPr="004676F5">
        <w:rPr>
          <w:lang w:val="de-DE"/>
        </w:rPr>
        <w:t>Wenn ein und dieselbe Tat mehrere Verstöße darstellt oder wenn unterschiedliche Verstöße, die den in Artikel XV.60/4 erwähnten zuständigen Bediensteten gleichzeitig vorgelegt werden, die aufeinander folgend durchgeführte und fortgesetzte Verwirklichung desselben Straftatsvorsatzes darstellen, wird allein die schwerste administrative Geldbuße auferlegt.</w:t>
      </w:r>
    </w:p>
    <w:p w14:paraId="0197E5E2" w14:textId="77777777" w:rsidR="00274D5D" w:rsidRPr="004676F5" w:rsidRDefault="00274D5D" w:rsidP="00274D5D">
      <w:pPr>
        <w:jc w:val="both"/>
        <w:rPr>
          <w:lang w:val="de-DE"/>
        </w:rPr>
      </w:pPr>
    </w:p>
    <w:p w14:paraId="3B5ACC9E" w14:textId="07C78D59" w:rsidR="00274D5D" w:rsidRPr="004676F5" w:rsidRDefault="00274D5D" w:rsidP="00274D5D">
      <w:pPr>
        <w:jc w:val="both"/>
        <w:rPr>
          <w:lang w:val="de-DE"/>
        </w:rPr>
      </w:pPr>
      <w:r w:rsidRPr="004676F5">
        <w:rPr>
          <w:lang w:val="de-DE"/>
        </w:rPr>
        <w:tab/>
        <w:t xml:space="preserve">Wenn die zuständigen Bediensteten feststellen, dass Verstöße, die bereits Gegenstand einer Entscheidung zur Auferlegung einer endgültigen administrativen Geldbuße waren, zusammen mit anderen bei ihnen anhängigen Taten, die </w:t>
      </w:r>
      <w:r w:rsidR="005B7A5C" w:rsidRPr="004676F5">
        <w:rPr>
          <w:lang w:val="de-DE"/>
        </w:rPr>
        <w:t>- </w:t>
      </w:r>
      <w:r w:rsidRPr="004676F5">
        <w:rPr>
          <w:lang w:val="de-DE"/>
        </w:rPr>
        <w:t>ihr Nachweis vorausgesetzt </w:t>
      </w:r>
      <w:r w:rsidR="005B7A5C" w:rsidRPr="004676F5">
        <w:rPr>
          <w:lang w:val="de-DE"/>
        </w:rPr>
        <w:t>- </w:t>
      </w:r>
      <w:r w:rsidRPr="004676F5">
        <w:rPr>
          <w:lang w:val="de-DE"/>
        </w:rPr>
        <w:t>dieser Entscheidung vorausgehen, die aufeinander folgend durchgeführte und fortgesetzte Verwirklichung desselben Straftatsvorsatzes darstellen, berücksichtigen sie bei der Festlegung der administrativen Geldbuße die bereits auferlegten administrativen Geldbußen. Wenn diese ihnen für eine gerechte Ahndung aller Verstöße ausreichend erscheinen, sprechen sie sich über die Schuldfrage aus und verweisen in ihrer Entscheidung auf die bereits auferlegten administrativen Geldbußen. Die Gesamtheit der in Anwendung des vorliegenden Artikels auferlegten administrativen Geldbußen darf den Höchstbetrag der schwersten administrativen Geldbuße nicht überschreiten.]</w:t>
      </w:r>
    </w:p>
    <w:p w14:paraId="2F673F27" w14:textId="77777777" w:rsidR="00274D5D" w:rsidRPr="004676F5" w:rsidRDefault="00274D5D" w:rsidP="00274D5D">
      <w:pPr>
        <w:jc w:val="both"/>
        <w:rPr>
          <w:lang w:val="de-DE"/>
        </w:rPr>
      </w:pPr>
    </w:p>
    <w:p w14:paraId="4C0A9AB8" w14:textId="0AE9F789" w:rsidR="00274D5D" w:rsidRPr="004676F5" w:rsidRDefault="00274D5D" w:rsidP="00274D5D">
      <w:pPr>
        <w:jc w:val="both"/>
        <w:rPr>
          <w:i/>
          <w:iCs/>
          <w:lang w:val="de-DE"/>
        </w:rPr>
      </w:pPr>
      <w:r w:rsidRPr="004676F5">
        <w:rPr>
          <w:i/>
          <w:iCs/>
          <w:lang w:val="de-DE"/>
        </w:rPr>
        <w:t>[Art. XV.62/4 eingefügt durch Art. 47</w:t>
      </w:r>
      <w:r w:rsidRPr="004676F5">
        <w:rPr>
          <w:bCs/>
          <w:i/>
          <w:iCs/>
          <w:lang w:val="de-DE"/>
        </w:rPr>
        <w:t xml:space="preserve"> des G. vom 29. September 2020 (B.S. vom 20. November 2020)]</w:t>
      </w:r>
    </w:p>
    <w:p w14:paraId="2730DDEC" w14:textId="77777777" w:rsidR="00274D5D" w:rsidRPr="004676F5" w:rsidRDefault="00274D5D" w:rsidP="00274D5D">
      <w:pPr>
        <w:jc w:val="both"/>
        <w:rPr>
          <w:lang w:val="de-DE"/>
        </w:rPr>
      </w:pPr>
    </w:p>
    <w:p w14:paraId="2568A81C" w14:textId="77777777" w:rsidR="00274D5D" w:rsidRPr="004676F5" w:rsidRDefault="00274D5D" w:rsidP="00274D5D">
      <w:pPr>
        <w:jc w:val="both"/>
        <w:rPr>
          <w:lang w:val="de-DE"/>
        </w:rPr>
      </w:pPr>
    </w:p>
    <w:p w14:paraId="1E7ABAAD" w14:textId="77777777" w:rsidR="00274D5D" w:rsidRPr="004676F5" w:rsidRDefault="00274D5D">
      <w:pPr>
        <w:rPr>
          <w:lang w:val="de-DE"/>
        </w:rPr>
      </w:pPr>
      <w:r w:rsidRPr="004676F5">
        <w:rPr>
          <w:lang w:val="de-DE"/>
        </w:rPr>
        <w:br w:type="page"/>
      </w:r>
    </w:p>
    <w:p w14:paraId="2A01BCA8" w14:textId="70BE27E3" w:rsidR="00274D5D" w:rsidRPr="004676F5" w:rsidRDefault="00274D5D" w:rsidP="00274D5D">
      <w:pPr>
        <w:jc w:val="both"/>
        <w:rPr>
          <w:lang w:val="de-DE"/>
        </w:rPr>
      </w:pPr>
      <w:r w:rsidRPr="004676F5">
        <w:rPr>
          <w:lang w:val="de-DE"/>
        </w:rPr>
        <w:lastRenderedPageBreak/>
        <w:tab/>
        <w:t>[</w:t>
      </w:r>
      <w:r w:rsidRPr="004676F5">
        <w:rPr>
          <w:b/>
          <w:bCs/>
          <w:lang w:val="de-DE"/>
        </w:rPr>
        <w:t>Art. XV.62/5</w:t>
      </w:r>
      <w:r w:rsidRPr="004676F5">
        <w:rPr>
          <w:lang w:val="de-DE"/>
        </w:rPr>
        <w:t> </w:t>
      </w:r>
      <w:r w:rsidR="005B7A5C" w:rsidRPr="004676F5">
        <w:rPr>
          <w:lang w:val="de-DE"/>
        </w:rPr>
        <w:t>- </w:t>
      </w:r>
      <w:r w:rsidRPr="004676F5">
        <w:rPr>
          <w:lang w:val="de-DE"/>
        </w:rPr>
        <w:t>Liegen mildernde Umstände vor, kann die administrative Geldbuße auf einen Betrag unter dem gesetzlichen Mindestbetrag herabgesetzt werden.]</w:t>
      </w:r>
    </w:p>
    <w:p w14:paraId="3A443A17" w14:textId="77777777" w:rsidR="00274D5D" w:rsidRPr="004676F5" w:rsidRDefault="00274D5D" w:rsidP="00274D5D">
      <w:pPr>
        <w:jc w:val="both"/>
        <w:rPr>
          <w:lang w:val="de-DE"/>
        </w:rPr>
      </w:pPr>
    </w:p>
    <w:p w14:paraId="4CCB8A3D" w14:textId="38200628" w:rsidR="00274D5D" w:rsidRPr="004676F5" w:rsidRDefault="00274D5D" w:rsidP="00274D5D">
      <w:pPr>
        <w:jc w:val="both"/>
        <w:rPr>
          <w:i/>
          <w:iCs/>
          <w:lang w:val="de-DE"/>
        </w:rPr>
      </w:pPr>
      <w:r w:rsidRPr="004676F5">
        <w:rPr>
          <w:i/>
          <w:iCs/>
          <w:lang w:val="de-DE"/>
        </w:rPr>
        <w:t>[Art. XV.62/5 eingefügt durch Art. 48</w:t>
      </w:r>
      <w:r w:rsidRPr="004676F5">
        <w:rPr>
          <w:bCs/>
          <w:i/>
          <w:iCs/>
          <w:lang w:val="de-DE"/>
        </w:rPr>
        <w:t xml:space="preserve"> des G. vom 29. September 2020 (B.S. vom 20. November 2020)]</w:t>
      </w:r>
    </w:p>
    <w:p w14:paraId="3D70DF8C" w14:textId="77777777" w:rsidR="00274D5D" w:rsidRPr="004676F5" w:rsidRDefault="00274D5D" w:rsidP="00274D5D">
      <w:pPr>
        <w:jc w:val="both"/>
        <w:rPr>
          <w:lang w:val="de-DE"/>
        </w:rPr>
      </w:pPr>
    </w:p>
    <w:p w14:paraId="1FAF54AC" w14:textId="77777777" w:rsidR="00274D5D" w:rsidRPr="004676F5" w:rsidRDefault="00274D5D" w:rsidP="00274D5D">
      <w:pPr>
        <w:jc w:val="both"/>
        <w:rPr>
          <w:lang w:val="de-DE"/>
        </w:rPr>
      </w:pPr>
    </w:p>
    <w:p w14:paraId="5B42E09C" w14:textId="778B7D9F" w:rsidR="00274D5D" w:rsidRPr="004676F5" w:rsidRDefault="00274D5D" w:rsidP="00274D5D">
      <w:pPr>
        <w:jc w:val="both"/>
        <w:rPr>
          <w:lang w:val="de-DE"/>
        </w:rPr>
      </w:pPr>
      <w:r w:rsidRPr="004676F5">
        <w:rPr>
          <w:lang w:val="de-DE"/>
        </w:rPr>
        <w:tab/>
        <w:t>[</w:t>
      </w:r>
      <w:r w:rsidRPr="004676F5">
        <w:rPr>
          <w:b/>
          <w:bCs/>
          <w:lang w:val="de-DE"/>
        </w:rPr>
        <w:t>Art. XV.62/6</w:t>
      </w:r>
      <w:r w:rsidRPr="004676F5">
        <w:rPr>
          <w:lang w:val="de-DE"/>
        </w:rPr>
        <w:t> </w:t>
      </w:r>
      <w:r w:rsidR="005B7A5C" w:rsidRPr="004676F5">
        <w:rPr>
          <w:lang w:val="de-DE"/>
        </w:rPr>
        <w:t>- </w:t>
      </w:r>
      <w:r w:rsidRPr="004676F5">
        <w:rPr>
          <w:lang w:val="de-DE"/>
        </w:rPr>
        <w:t>§ 1 ­ Die in Artikel XV.60/4 erwähnten zuständigen Bediensteten dürfen beschließen, dass die Ausführung der Entscheidung zur Auferlegung einer administrativen Geldbuße ganz oder teilweise aufgeschoben wird, sofern während der fünf Jahre vor dem neuen Verstoß dem Zuwiderhandelnden keine administrative Geldbuße der Stufen 2 bis 6 auferlegt worden ist oder er zu keiner strafrechtlichen Sanktion der Stufen 2 bis 6 verurteilt worden ist.</w:t>
      </w:r>
    </w:p>
    <w:p w14:paraId="2FAFB749" w14:textId="77777777" w:rsidR="00274D5D" w:rsidRPr="004676F5" w:rsidRDefault="00274D5D" w:rsidP="00274D5D">
      <w:pPr>
        <w:jc w:val="both"/>
        <w:rPr>
          <w:lang w:val="de-DE"/>
        </w:rPr>
      </w:pPr>
    </w:p>
    <w:p w14:paraId="0317339B" w14:textId="77777777" w:rsidR="00274D5D" w:rsidRPr="004676F5" w:rsidRDefault="00274D5D" w:rsidP="00274D5D">
      <w:pPr>
        <w:jc w:val="both"/>
        <w:rPr>
          <w:lang w:val="de-DE"/>
        </w:rPr>
      </w:pPr>
      <w:r w:rsidRPr="004676F5">
        <w:rPr>
          <w:lang w:val="de-DE"/>
        </w:rPr>
        <w:tab/>
        <w:t>Eine zu einem früheren Zeitpunkt auferlegte oder verkündete Sanktion der Stufen 1 bis 6 für Taten, die durch ein und denselben Straftatsvorsatz verbunden sind, ist jedoch kein Hindernis für die Gewährung eines Aufschubs.</w:t>
      </w:r>
    </w:p>
    <w:p w14:paraId="2C236ABF" w14:textId="77777777" w:rsidR="00274D5D" w:rsidRPr="004676F5" w:rsidRDefault="00274D5D" w:rsidP="00274D5D">
      <w:pPr>
        <w:jc w:val="both"/>
        <w:rPr>
          <w:lang w:val="de-DE"/>
        </w:rPr>
      </w:pPr>
    </w:p>
    <w:p w14:paraId="65C2E605" w14:textId="0A95B757" w:rsidR="00274D5D" w:rsidRPr="004676F5" w:rsidRDefault="00274D5D" w:rsidP="00274D5D">
      <w:pPr>
        <w:jc w:val="both"/>
        <w:rPr>
          <w:lang w:val="de-DE"/>
        </w:rPr>
      </w:pPr>
      <w:r w:rsidRPr="004676F5">
        <w:rPr>
          <w:lang w:val="de-DE"/>
        </w:rPr>
        <w:tab/>
        <w:t>§ 2 </w:t>
      </w:r>
      <w:r w:rsidR="005B7A5C" w:rsidRPr="004676F5">
        <w:rPr>
          <w:lang w:val="de-DE"/>
        </w:rPr>
        <w:t>- </w:t>
      </w:r>
      <w:r w:rsidRPr="004676F5">
        <w:rPr>
          <w:lang w:val="de-DE"/>
        </w:rPr>
        <w:t>Die in Artikel XV.60/4 erwähnten zuständigen Bediensteten gewähren den Aufschub mit derselben Entscheidung wie derjenigen, mit der sie die Geldbuße verhängen.</w:t>
      </w:r>
    </w:p>
    <w:p w14:paraId="00FF4D59" w14:textId="77777777" w:rsidR="00274D5D" w:rsidRPr="004676F5" w:rsidRDefault="00274D5D" w:rsidP="00274D5D">
      <w:pPr>
        <w:jc w:val="both"/>
        <w:rPr>
          <w:lang w:val="de-DE"/>
        </w:rPr>
      </w:pPr>
    </w:p>
    <w:p w14:paraId="5D4708A7" w14:textId="77777777" w:rsidR="00274D5D" w:rsidRPr="004676F5" w:rsidRDefault="00274D5D" w:rsidP="00274D5D">
      <w:pPr>
        <w:jc w:val="both"/>
        <w:rPr>
          <w:lang w:val="de-DE"/>
        </w:rPr>
      </w:pPr>
      <w:r w:rsidRPr="004676F5">
        <w:rPr>
          <w:lang w:val="de-DE"/>
        </w:rPr>
        <w:tab/>
        <w:t>Die Entscheidung, mit der der Aufschub gewährt oder verweigert wird, muss mit Gründen versehen sein.</w:t>
      </w:r>
    </w:p>
    <w:p w14:paraId="0923C6CA" w14:textId="77777777" w:rsidR="00274D5D" w:rsidRPr="004676F5" w:rsidRDefault="00274D5D" w:rsidP="00274D5D">
      <w:pPr>
        <w:jc w:val="both"/>
        <w:rPr>
          <w:lang w:val="de-DE"/>
        </w:rPr>
      </w:pPr>
    </w:p>
    <w:p w14:paraId="3C8DE356" w14:textId="77777777" w:rsidR="00274D5D" w:rsidRPr="004676F5" w:rsidRDefault="00274D5D" w:rsidP="00274D5D">
      <w:pPr>
        <w:jc w:val="both"/>
        <w:rPr>
          <w:lang w:val="de-DE"/>
        </w:rPr>
      </w:pPr>
      <w:r w:rsidRPr="004676F5">
        <w:rPr>
          <w:lang w:val="de-DE"/>
        </w:rPr>
        <w:tab/>
        <w:t>§ 3 ­ Die Probezeit darf weder weniger als ein Jahr noch mehr als drei Jahre ab dem Datum der Notifizierung der Entscheidung zur Auferlegung der administrativen Geldbuße oder dem Datum des formell rechtskräftig gewordenen Urteils oder Entscheids betragen.</w:t>
      </w:r>
    </w:p>
    <w:p w14:paraId="2A573DAC" w14:textId="77777777" w:rsidR="00274D5D" w:rsidRPr="004676F5" w:rsidRDefault="00274D5D" w:rsidP="00274D5D">
      <w:pPr>
        <w:jc w:val="both"/>
        <w:rPr>
          <w:lang w:val="de-DE"/>
        </w:rPr>
      </w:pPr>
    </w:p>
    <w:p w14:paraId="6FE5CABF" w14:textId="2558F83A" w:rsidR="00274D5D" w:rsidRPr="004676F5" w:rsidRDefault="00274D5D" w:rsidP="00274D5D">
      <w:pPr>
        <w:jc w:val="both"/>
        <w:rPr>
          <w:lang w:val="de-DE"/>
        </w:rPr>
      </w:pPr>
      <w:r w:rsidRPr="004676F5">
        <w:rPr>
          <w:lang w:val="de-DE"/>
        </w:rPr>
        <w:tab/>
        <w:t>§ 4 </w:t>
      </w:r>
      <w:r w:rsidR="005B7A5C" w:rsidRPr="004676F5">
        <w:rPr>
          <w:lang w:val="de-DE"/>
        </w:rPr>
        <w:t>- </w:t>
      </w:r>
      <w:r w:rsidRPr="004676F5">
        <w:rPr>
          <w:lang w:val="de-DE"/>
        </w:rPr>
        <w:t>Der Aufschub kann widerrufen werden, wenn während der Probezeit ein neuer Verstoß begangen wird, der die Anwendung einer administrativen Geldbuße der gleichen oder einer höheren oder tieferen Stufe als derjenigen der administrativen Geldbuße, die zu einem früheren Zeitpunkt Gegenstand eines Aufschubs war, zur Folge hat.</w:t>
      </w:r>
    </w:p>
    <w:p w14:paraId="5D9FE45E" w14:textId="77777777" w:rsidR="00274D5D" w:rsidRPr="004676F5" w:rsidRDefault="00274D5D" w:rsidP="00274D5D">
      <w:pPr>
        <w:jc w:val="both"/>
        <w:rPr>
          <w:lang w:val="de-DE"/>
        </w:rPr>
      </w:pPr>
    </w:p>
    <w:p w14:paraId="5A08C20A" w14:textId="2AFF1E05" w:rsidR="00274D5D" w:rsidRPr="004676F5" w:rsidRDefault="00274D5D" w:rsidP="00274D5D">
      <w:pPr>
        <w:jc w:val="both"/>
        <w:rPr>
          <w:lang w:val="de-DE"/>
        </w:rPr>
      </w:pPr>
      <w:r w:rsidRPr="004676F5">
        <w:rPr>
          <w:lang w:val="de-DE"/>
        </w:rPr>
        <w:tab/>
        <w:t>§ 5 </w:t>
      </w:r>
      <w:r w:rsidR="005B7A5C" w:rsidRPr="004676F5">
        <w:rPr>
          <w:lang w:val="de-DE"/>
        </w:rPr>
        <w:t>- </w:t>
      </w:r>
      <w:r w:rsidRPr="004676F5">
        <w:rPr>
          <w:lang w:val="de-DE"/>
        </w:rPr>
        <w:t>Der Aufschub wird mit derselben Entscheidung wie derjenigen widerrufen, mit der die administrative Geldbuße für den neuen, während der Probezeit begangenen Verstoß auferlegt wird.</w:t>
      </w:r>
    </w:p>
    <w:p w14:paraId="1D08D5F2" w14:textId="77777777" w:rsidR="00274D5D" w:rsidRPr="004676F5" w:rsidRDefault="00274D5D" w:rsidP="00274D5D">
      <w:pPr>
        <w:jc w:val="both"/>
        <w:rPr>
          <w:lang w:val="de-DE"/>
        </w:rPr>
      </w:pPr>
    </w:p>
    <w:p w14:paraId="7704765C" w14:textId="77777777" w:rsidR="00274D5D" w:rsidRPr="004676F5" w:rsidRDefault="00274D5D" w:rsidP="00274D5D">
      <w:pPr>
        <w:jc w:val="both"/>
        <w:rPr>
          <w:lang w:val="de-DE"/>
        </w:rPr>
      </w:pPr>
      <w:r w:rsidRPr="004676F5">
        <w:rPr>
          <w:lang w:val="de-DE"/>
        </w:rPr>
        <w:tab/>
        <w:t>In der Entscheidung wird der Widerruf des Aufschubs sowohl vermerkt, wenn der Widerruf von Rechts wegen erfolgt, als auch wenn er dem Ermessen der zuständigen Bediensteten überlassen bleibt.</w:t>
      </w:r>
    </w:p>
    <w:p w14:paraId="013D9246" w14:textId="77777777" w:rsidR="00274D5D" w:rsidRPr="004676F5" w:rsidRDefault="00274D5D" w:rsidP="00274D5D">
      <w:pPr>
        <w:jc w:val="both"/>
        <w:rPr>
          <w:lang w:val="de-DE"/>
        </w:rPr>
      </w:pPr>
    </w:p>
    <w:p w14:paraId="2A7C65BD" w14:textId="711043E6" w:rsidR="00274D5D" w:rsidRPr="004676F5" w:rsidRDefault="00274D5D" w:rsidP="00274D5D">
      <w:pPr>
        <w:jc w:val="both"/>
        <w:rPr>
          <w:bCs/>
          <w:lang w:val="de-DE"/>
        </w:rPr>
      </w:pPr>
      <w:r w:rsidRPr="004676F5">
        <w:rPr>
          <w:lang w:val="de-DE"/>
        </w:rPr>
        <w:tab/>
        <w:t>§ 6 </w:t>
      </w:r>
      <w:r w:rsidR="005B7A5C" w:rsidRPr="004676F5">
        <w:rPr>
          <w:lang w:val="de-DE"/>
        </w:rPr>
        <w:t>- </w:t>
      </w:r>
      <w:r w:rsidRPr="004676F5">
        <w:rPr>
          <w:lang w:val="de-DE"/>
        </w:rPr>
        <w:t>Die administrative Geldbuße, die infolge des Widerrufs des Aufschubs vollstreckbar wird, wird unbegrenzt mit derjenigen kumuliert, die für den neuen Verstoß auferlegt wird.</w:t>
      </w:r>
      <w:r w:rsidRPr="004676F5">
        <w:rPr>
          <w:bCs/>
          <w:lang w:val="de-DE"/>
        </w:rPr>
        <w:t>]</w:t>
      </w:r>
    </w:p>
    <w:p w14:paraId="2341E74A" w14:textId="77777777" w:rsidR="00274D5D" w:rsidRPr="004676F5" w:rsidRDefault="00274D5D" w:rsidP="00274D5D">
      <w:pPr>
        <w:jc w:val="both"/>
        <w:rPr>
          <w:bCs/>
          <w:lang w:val="de-DE"/>
        </w:rPr>
      </w:pPr>
    </w:p>
    <w:p w14:paraId="0EEF8A94" w14:textId="32346605" w:rsidR="00274D5D" w:rsidRPr="004676F5" w:rsidRDefault="00274D5D" w:rsidP="00274D5D">
      <w:pPr>
        <w:jc w:val="both"/>
        <w:rPr>
          <w:bCs/>
          <w:i/>
          <w:iCs/>
          <w:lang w:val="de-DE"/>
        </w:rPr>
      </w:pPr>
      <w:r w:rsidRPr="004676F5">
        <w:rPr>
          <w:i/>
          <w:iCs/>
          <w:lang w:val="de-DE"/>
        </w:rPr>
        <w:t>[Art. XV.62/6 eingefügt durch Art. 49</w:t>
      </w:r>
      <w:r w:rsidRPr="004676F5">
        <w:rPr>
          <w:bCs/>
          <w:i/>
          <w:iCs/>
          <w:lang w:val="de-DE"/>
        </w:rPr>
        <w:t xml:space="preserve"> des G. vom 29. September 2020 (B.S. vom 20. November 2020)]</w:t>
      </w:r>
    </w:p>
    <w:p w14:paraId="0EA09AC8" w14:textId="77777777" w:rsidR="00CD1D4A" w:rsidRPr="004676F5" w:rsidRDefault="00CD1D4A" w:rsidP="00274D5D">
      <w:pPr>
        <w:jc w:val="both"/>
        <w:rPr>
          <w:bCs/>
          <w:lang w:val="de-DE"/>
        </w:rPr>
      </w:pPr>
    </w:p>
    <w:p w14:paraId="4612CB6D" w14:textId="77777777" w:rsidR="00CD1D4A" w:rsidRPr="004676F5" w:rsidRDefault="00CD1D4A" w:rsidP="00274D5D">
      <w:pPr>
        <w:jc w:val="both"/>
        <w:rPr>
          <w:bCs/>
          <w:lang w:val="de-DE"/>
        </w:rPr>
      </w:pPr>
    </w:p>
    <w:p w14:paraId="515B37F2" w14:textId="77777777" w:rsidR="00CD1D4A" w:rsidRPr="004676F5" w:rsidRDefault="00CD1D4A" w:rsidP="00CD1D4A">
      <w:pPr>
        <w:jc w:val="both"/>
        <w:rPr>
          <w:lang w:val="de-DE"/>
        </w:rPr>
      </w:pPr>
      <w:r w:rsidRPr="004676F5">
        <w:rPr>
          <w:bCs/>
          <w:lang w:val="de-DE"/>
        </w:rPr>
        <w:lastRenderedPageBreak/>
        <w:tab/>
        <w:t>[</w:t>
      </w:r>
      <w:r w:rsidRPr="004676F5">
        <w:rPr>
          <w:b/>
          <w:bCs/>
          <w:lang w:val="de-DE"/>
        </w:rPr>
        <w:t>Art. XV.62/7</w:t>
      </w:r>
      <w:r w:rsidRPr="004676F5">
        <w:rPr>
          <w:lang w:val="de-DE"/>
        </w:rPr>
        <w:t> - § 1 - Wird eine administrative Geldbuße für Verstöße nach den Artikeln XV.99/1 und XV.101/1 verhängt, dürfen die in Artikel XV.60/4 erwähnten zuständigen Bediensteten beschließen, dass die Entscheidung zur Auferlegung einer administrativen Geldbuße nicht oder nur teilweise ausgeführt wird, wenn der Zuwiderhandelnde Korrekturmaßnahmen durchführt, die von den in Artikel XV.60/4 erwähnten Bediensteten festgelegt werden und in der in Artikel XV.60/12 erwähnten Entscheidung angegeben sind.</w:t>
      </w:r>
    </w:p>
    <w:p w14:paraId="337E1E39" w14:textId="77777777" w:rsidR="00CD1D4A" w:rsidRPr="004676F5" w:rsidRDefault="00CD1D4A" w:rsidP="00CD1D4A">
      <w:pPr>
        <w:jc w:val="both"/>
        <w:rPr>
          <w:lang w:val="de-DE"/>
        </w:rPr>
      </w:pPr>
    </w:p>
    <w:p w14:paraId="085A4C59" w14:textId="77777777" w:rsidR="00CD1D4A" w:rsidRPr="004676F5" w:rsidRDefault="00CD1D4A" w:rsidP="00CD1D4A">
      <w:pPr>
        <w:jc w:val="both"/>
        <w:rPr>
          <w:lang w:val="de-DE"/>
        </w:rPr>
      </w:pPr>
      <w:r w:rsidRPr="004676F5">
        <w:rPr>
          <w:lang w:val="de-DE"/>
        </w:rPr>
        <w:tab/>
        <w:t>§ 2 ­ Die in Artikel XV.60/4 erwähnten Bediensteten können die in Artikel XV.2 erwähnten Bediensteten bitten, die Durchführung der in § 1 erwähnten Korrekturmaßnahmen zu überprüfen.</w:t>
      </w:r>
    </w:p>
    <w:p w14:paraId="0B2FAB6E" w14:textId="77777777" w:rsidR="00CD1D4A" w:rsidRPr="004676F5" w:rsidRDefault="00CD1D4A" w:rsidP="00CD1D4A">
      <w:pPr>
        <w:jc w:val="both"/>
        <w:rPr>
          <w:lang w:val="de-DE"/>
        </w:rPr>
      </w:pPr>
    </w:p>
    <w:p w14:paraId="20F38BA6" w14:textId="59A4BA33" w:rsidR="00CD1D4A" w:rsidRPr="004676F5" w:rsidRDefault="00CD1D4A" w:rsidP="00CD1D4A">
      <w:pPr>
        <w:jc w:val="both"/>
        <w:rPr>
          <w:lang w:val="de-DE"/>
        </w:rPr>
      </w:pPr>
      <w:r w:rsidRPr="004676F5">
        <w:rPr>
          <w:lang w:val="de-DE"/>
        </w:rPr>
        <w:tab/>
        <w:t>Die in Artikel XV.2 erwähnten Bediensteten erstellen ein Protokoll über ihre Feststellungen und übermitteln es den in Artikel XV.60/4 erwähnten Bediensteten.]</w:t>
      </w:r>
    </w:p>
    <w:p w14:paraId="41071203" w14:textId="77777777" w:rsidR="00CD1D4A" w:rsidRPr="004676F5" w:rsidRDefault="00CD1D4A" w:rsidP="00CD1D4A">
      <w:pPr>
        <w:jc w:val="both"/>
        <w:rPr>
          <w:lang w:val="de-DE"/>
        </w:rPr>
      </w:pPr>
    </w:p>
    <w:p w14:paraId="687AFC62" w14:textId="017BDE1E" w:rsidR="00CD1D4A" w:rsidRPr="004676F5" w:rsidRDefault="00CD1D4A" w:rsidP="00CD1D4A">
      <w:pPr>
        <w:jc w:val="both"/>
        <w:rPr>
          <w:i/>
          <w:iCs/>
          <w:lang w:val="de-DE"/>
        </w:rPr>
      </w:pPr>
      <w:r w:rsidRPr="004676F5">
        <w:rPr>
          <w:i/>
          <w:iCs/>
          <w:lang w:val="de-DE"/>
        </w:rPr>
        <w:t>[Art. XV.62/7 eingefügt durch Art. 31</w:t>
      </w:r>
      <w:r w:rsidRPr="004676F5">
        <w:rPr>
          <w:bCs/>
          <w:i/>
          <w:iCs/>
          <w:lang w:val="de-DE"/>
        </w:rPr>
        <w:t xml:space="preserve"> des G. vom 5. November 2023</w:t>
      </w:r>
      <w:r w:rsidR="00AA0B2E" w:rsidRPr="004676F5">
        <w:rPr>
          <w:bCs/>
          <w:i/>
          <w:iCs/>
          <w:lang w:val="de-DE"/>
        </w:rPr>
        <w:t> (II)</w:t>
      </w:r>
      <w:r w:rsidRPr="004676F5">
        <w:rPr>
          <w:bCs/>
          <w:i/>
          <w:iCs/>
          <w:lang w:val="de-DE"/>
        </w:rPr>
        <w:t xml:space="preserve"> (B.S. vom 28. November 2023)]</w:t>
      </w:r>
    </w:p>
    <w:p w14:paraId="1A559A78" w14:textId="77777777" w:rsidR="00CD1D4A" w:rsidRPr="004676F5" w:rsidRDefault="00CD1D4A" w:rsidP="00CD1D4A">
      <w:pPr>
        <w:jc w:val="both"/>
        <w:rPr>
          <w:lang w:val="de-DE"/>
        </w:rPr>
      </w:pPr>
    </w:p>
    <w:p w14:paraId="2C43423B" w14:textId="77777777" w:rsidR="00274D5D" w:rsidRPr="004676F5" w:rsidRDefault="00274D5D" w:rsidP="00274D5D">
      <w:pPr>
        <w:jc w:val="both"/>
        <w:rPr>
          <w:bCs/>
          <w:lang w:val="de-DE"/>
        </w:rPr>
      </w:pPr>
    </w:p>
    <w:p w14:paraId="263298E1" w14:textId="77777777" w:rsidR="0004441E" w:rsidRPr="004676F5" w:rsidRDefault="0004441E" w:rsidP="0004441E">
      <w:pPr>
        <w:jc w:val="center"/>
        <w:rPr>
          <w:lang w:val="de-DE"/>
        </w:rPr>
      </w:pPr>
    </w:p>
    <w:p w14:paraId="0D9942F3" w14:textId="77777777" w:rsidR="002064D4" w:rsidRPr="004676F5" w:rsidRDefault="002064D4">
      <w:pPr>
        <w:rPr>
          <w:lang w:val="de-DE"/>
        </w:rPr>
      </w:pPr>
      <w:r w:rsidRPr="004676F5">
        <w:rPr>
          <w:lang w:val="de-DE"/>
        </w:rPr>
        <w:br w:type="page"/>
      </w:r>
    </w:p>
    <w:p w14:paraId="4BAA1654" w14:textId="4A3CA66F" w:rsidR="00BA2266" w:rsidRPr="004676F5" w:rsidRDefault="00BA2266" w:rsidP="00BA2266">
      <w:pPr>
        <w:jc w:val="center"/>
        <w:rPr>
          <w:i/>
          <w:lang w:val="de-DE"/>
        </w:rPr>
      </w:pPr>
      <w:r w:rsidRPr="004676F5">
        <w:rPr>
          <w:lang w:val="de-DE"/>
        </w:rPr>
        <w:lastRenderedPageBreak/>
        <w:t>KAPITEL 2 </w:t>
      </w:r>
      <w:r w:rsidR="005B7A5C" w:rsidRPr="004676F5">
        <w:rPr>
          <w:lang w:val="de-DE"/>
        </w:rPr>
        <w:t>- </w:t>
      </w:r>
      <w:r w:rsidRPr="004676F5">
        <w:rPr>
          <w:i/>
          <w:lang w:val="de-DE"/>
        </w:rPr>
        <w:t>Verwaltungssanktionen</w:t>
      </w:r>
    </w:p>
    <w:p w14:paraId="57277B3E" w14:textId="77777777" w:rsidR="00BA2266" w:rsidRPr="004676F5" w:rsidRDefault="00BA2266" w:rsidP="00BA2266">
      <w:pPr>
        <w:ind w:firstLine="708"/>
        <w:jc w:val="both"/>
        <w:rPr>
          <w:lang w:val="de-DE"/>
        </w:rPr>
      </w:pPr>
    </w:p>
    <w:p w14:paraId="20AFD47D" w14:textId="77777777" w:rsidR="00E57E9E" w:rsidRPr="004676F5" w:rsidRDefault="00E57E9E" w:rsidP="00E57E9E">
      <w:pPr>
        <w:jc w:val="center"/>
        <w:rPr>
          <w:i/>
          <w:lang w:val="de-DE"/>
        </w:rPr>
      </w:pPr>
    </w:p>
    <w:p w14:paraId="14778685" w14:textId="407A1220" w:rsidR="00E57E9E" w:rsidRPr="004676F5" w:rsidRDefault="00E57E9E" w:rsidP="00E57E9E">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Verwaltungssanktionen im Rahmen von Buch III</w:t>
      </w:r>
    </w:p>
    <w:p w14:paraId="48705E41" w14:textId="77777777" w:rsidR="00E57E9E" w:rsidRPr="004676F5" w:rsidRDefault="00E57E9E" w:rsidP="00E57E9E">
      <w:pPr>
        <w:jc w:val="center"/>
        <w:rPr>
          <w:lang w:val="de-DE"/>
        </w:rPr>
      </w:pPr>
    </w:p>
    <w:p w14:paraId="19DCB776" w14:textId="7022FF88" w:rsidR="00DB6D85" w:rsidRPr="004676F5" w:rsidRDefault="00DB6D85" w:rsidP="00DB6D85">
      <w:pPr>
        <w:jc w:val="both"/>
        <w:rPr>
          <w:i/>
          <w:lang w:val="de-DE"/>
        </w:rPr>
      </w:pPr>
      <w:r w:rsidRPr="004676F5">
        <w:rPr>
          <w:i/>
          <w:lang w:val="de-DE"/>
        </w:rPr>
        <w:t xml:space="preserve">[Abschnitt 1 mit den Artikeln XV.63 bis XV.65 eingefügt durch </w:t>
      </w:r>
      <w:r w:rsidR="00BE0A56" w:rsidRPr="004676F5">
        <w:rPr>
          <w:i/>
          <w:lang w:val="de-DE"/>
        </w:rPr>
        <w:t>Art. </w:t>
      </w:r>
      <w:r w:rsidRPr="004676F5">
        <w:rPr>
          <w:i/>
          <w:lang w:val="de-DE"/>
        </w:rPr>
        <w:t>6 des G. vom 17. Juli 2013 (B.S. vom 14. August 2013)]</w:t>
      </w:r>
    </w:p>
    <w:p w14:paraId="4376E729" w14:textId="77777777" w:rsidR="00E57E9E" w:rsidRPr="004676F5" w:rsidRDefault="00E57E9E" w:rsidP="00DB6D85">
      <w:pPr>
        <w:jc w:val="both"/>
        <w:rPr>
          <w:i/>
          <w:lang w:val="de-DE"/>
        </w:rPr>
      </w:pPr>
    </w:p>
    <w:p w14:paraId="438ED9B3" w14:textId="77777777" w:rsidR="00E57E9E" w:rsidRPr="004676F5" w:rsidRDefault="00E57E9E" w:rsidP="00E57E9E">
      <w:pPr>
        <w:jc w:val="both"/>
        <w:rPr>
          <w:lang w:val="de-DE"/>
        </w:rPr>
      </w:pPr>
    </w:p>
    <w:p w14:paraId="5A427EA5" w14:textId="3E30027F" w:rsidR="00E57E9E" w:rsidRPr="004676F5" w:rsidRDefault="00E57E9E" w:rsidP="00E57E9E">
      <w:pPr>
        <w:jc w:val="both"/>
        <w:rPr>
          <w:lang w:val="de-DE"/>
        </w:rPr>
      </w:pPr>
      <w:r w:rsidRPr="004676F5">
        <w:rPr>
          <w:lang w:val="de-DE"/>
        </w:rPr>
        <w:tab/>
      </w:r>
      <w:r w:rsidR="00BE0A56" w:rsidRPr="004676F5">
        <w:rPr>
          <w:b/>
          <w:lang w:val="de-DE"/>
        </w:rPr>
        <w:t>Art. </w:t>
      </w:r>
      <w:r w:rsidRPr="004676F5">
        <w:rPr>
          <w:b/>
          <w:lang w:val="de-DE"/>
        </w:rPr>
        <w:t>XV.63</w:t>
      </w:r>
      <w:r w:rsidRPr="004676F5">
        <w:rPr>
          <w:lang w:val="de-DE"/>
        </w:rPr>
        <w:t> </w:t>
      </w:r>
      <w:r w:rsidR="005B7A5C" w:rsidRPr="004676F5">
        <w:rPr>
          <w:lang w:val="de-DE"/>
        </w:rPr>
        <w:t>- </w:t>
      </w:r>
      <w:r w:rsidRPr="004676F5">
        <w:rPr>
          <w:lang w:val="de-DE"/>
        </w:rPr>
        <w:t>Der Föderale Öffentliche Dienst Wirtschaft, KMB, Mittelstand und Energie ist mit der Überwachung und Kontrolle der Unternehmensschalter beauftragt.</w:t>
      </w:r>
    </w:p>
    <w:p w14:paraId="440158E2" w14:textId="77777777" w:rsidR="00E57E9E" w:rsidRPr="004676F5" w:rsidRDefault="00E57E9E" w:rsidP="00E57E9E">
      <w:pPr>
        <w:jc w:val="both"/>
        <w:rPr>
          <w:lang w:val="de-DE"/>
        </w:rPr>
      </w:pPr>
    </w:p>
    <w:p w14:paraId="02BBA0E2" w14:textId="77777777" w:rsidR="00B76556" w:rsidRPr="004676F5" w:rsidRDefault="00B76556" w:rsidP="00E57E9E">
      <w:pPr>
        <w:jc w:val="both"/>
        <w:rPr>
          <w:lang w:val="de-DE"/>
        </w:rPr>
      </w:pPr>
    </w:p>
    <w:p w14:paraId="7317BC37" w14:textId="14F0983E" w:rsidR="00E57E9E" w:rsidRPr="004676F5" w:rsidRDefault="00E57E9E" w:rsidP="00E57E9E">
      <w:pPr>
        <w:jc w:val="both"/>
        <w:rPr>
          <w:lang w:val="de-DE"/>
        </w:rPr>
      </w:pPr>
      <w:r w:rsidRPr="004676F5">
        <w:rPr>
          <w:lang w:val="de-DE"/>
        </w:rPr>
        <w:tab/>
      </w:r>
      <w:r w:rsidR="00BE0A56" w:rsidRPr="004676F5">
        <w:rPr>
          <w:b/>
          <w:lang w:val="de-DE"/>
        </w:rPr>
        <w:t>Art. </w:t>
      </w:r>
      <w:r w:rsidRPr="004676F5">
        <w:rPr>
          <w:b/>
          <w:lang w:val="de-DE"/>
        </w:rPr>
        <w:t>XV.64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mit der Kontrolle der Unternehmensschalter beauftragte Dienst überprüft, ob die Unternehmensschalter die Aufträge, die ihnen in Ausführung des vorliegenden Gesetzbuches oder anderer Gesetze zugeteilt sind, ordnungsgemäß ausführen.</w:t>
      </w:r>
    </w:p>
    <w:p w14:paraId="709C7A13" w14:textId="77777777" w:rsidR="00E57E9E" w:rsidRPr="004676F5" w:rsidRDefault="00E57E9E" w:rsidP="00E57E9E">
      <w:pPr>
        <w:jc w:val="both"/>
        <w:rPr>
          <w:lang w:val="de-DE"/>
        </w:rPr>
      </w:pPr>
    </w:p>
    <w:p w14:paraId="3E0411A1" w14:textId="2EFD0E40" w:rsidR="00E57E9E" w:rsidRPr="004676F5" w:rsidRDefault="00E57E9E" w:rsidP="00E57E9E">
      <w:pPr>
        <w:jc w:val="both"/>
        <w:rPr>
          <w:lang w:val="de-DE"/>
        </w:rPr>
      </w:pPr>
      <w:r w:rsidRPr="004676F5">
        <w:rPr>
          <w:lang w:val="de-DE"/>
        </w:rPr>
        <w:tab/>
        <w:t>§ 2 </w:t>
      </w:r>
      <w:r w:rsidR="005B7A5C" w:rsidRPr="004676F5">
        <w:rPr>
          <w:lang w:val="de-DE"/>
        </w:rPr>
        <w:t>- </w:t>
      </w:r>
      <w:r w:rsidRPr="004676F5">
        <w:rPr>
          <w:lang w:val="de-DE"/>
        </w:rPr>
        <w:t>Wenn der Dienst feststellt, dass nicht alle Bedingungen vom Unternehmens</w:t>
      </w:r>
      <w:r w:rsidRPr="004676F5">
        <w:rPr>
          <w:lang w:val="de-DE"/>
        </w:rPr>
        <w:softHyphen/>
        <w:t>schalter eingehalten werden, beantragt er beim Verwaltungsdienst in Anwendung von Artikel III.38 die Streichung der Eintragung oder Änderung.</w:t>
      </w:r>
    </w:p>
    <w:p w14:paraId="3D252887" w14:textId="77777777" w:rsidR="00E57E9E" w:rsidRPr="004676F5" w:rsidRDefault="00E57E9E" w:rsidP="00E57E9E">
      <w:pPr>
        <w:jc w:val="both"/>
        <w:rPr>
          <w:lang w:val="de-DE"/>
        </w:rPr>
      </w:pPr>
    </w:p>
    <w:p w14:paraId="5590911E" w14:textId="6FE99BB3" w:rsidR="00E57E9E" w:rsidRPr="004676F5" w:rsidRDefault="00E57E9E" w:rsidP="00E57E9E">
      <w:pPr>
        <w:jc w:val="both"/>
        <w:rPr>
          <w:lang w:val="de-DE"/>
        </w:rPr>
      </w:pPr>
      <w:r w:rsidRPr="004676F5">
        <w:rPr>
          <w:lang w:val="de-DE"/>
        </w:rPr>
        <w:tab/>
        <w:t>§ 3 </w:t>
      </w:r>
      <w:r w:rsidR="005B7A5C" w:rsidRPr="004676F5">
        <w:rPr>
          <w:lang w:val="de-DE"/>
        </w:rPr>
        <w:t>- </w:t>
      </w:r>
      <w:r w:rsidRPr="004676F5">
        <w:rPr>
          <w:lang w:val="de-DE"/>
        </w:rPr>
        <w:t>Dieser Dienst kann gemäß Artikel XV.65 vorschlagen, einem Unternehmens</w:t>
      </w:r>
      <w:r w:rsidRPr="004676F5">
        <w:rPr>
          <w:lang w:val="de-DE"/>
        </w:rPr>
        <w:softHyphen/>
        <w:t>schalter, der nicht alle erforderlichen Bedingungen und Formalitäten eingehalten hat, Sanktionen aufzuerlegen.</w:t>
      </w:r>
    </w:p>
    <w:p w14:paraId="261C1014" w14:textId="77777777" w:rsidR="00E57E9E" w:rsidRPr="004676F5" w:rsidRDefault="00E57E9E" w:rsidP="00E57E9E">
      <w:pPr>
        <w:jc w:val="both"/>
        <w:rPr>
          <w:lang w:val="de-DE"/>
        </w:rPr>
      </w:pPr>
    </w:p>
    <w:p w14:paraId="1DA1A37D" w14:textId="77777777" w:rsidR="00B76556" w:rsidRPr="004676F5" w:rsidRDefault="00B76556" w:rsidP="00E57E9E">
      <w:pPr>
        <w:jc w:val="both"/>
        <w:rPr>
          <w:lang w:val="de-DE"/>
        </w:rPr>
      </w:pPr>
    </w:p>
    <w:p w14:paraId="5D09AC2E" w14:textId="500B963A" w:rsidR="00E57E9E" w:rsidRPr="004676F5" w:rsidRDefault="00E57E9E" w:rsidP="00E57E9E">
      <w:pPr>
        <w:jc w:val="both"/>
        <w:rPr>
          <w:lang w:val="de-DE"/>
        </w:rPr>
      </w:pPr>
      <w:r w:rsidRPr="004676F5">
        <w:rPr>
          <w:lang w:val="de-DE"/>
        </w:rPr>
        <w:tab/>
      </w:r>
      <w:r w:rsidR="00BE0A56" w:rsidRPr="004676F5">
        <w:rPr>
          <w:b/>
          <w:lang w:val="de-DE"/>
        </w:rPr>
        <w:t>Art. </w:t>
      </w:r>
      <w:r w:rsidRPr="004676F5">
        <w:rPr>
          <w:b/>
          <w:lang w:val="de-DE"/>
        </w:rPr>
        <w:t>XV.65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Wenn bei einer Kontrolle festgestellt wird, dass ein Unternehmens</w:t>
      </w:r>
      <w:r w:rsidRPr="004676F5">
        <w:rPr>
          <w:lang w:val="de-DE"/>
        </w:rPr>
        <w:softHyphen/>
        <w:t>schalter seine Aufträge nicht korrekt ausführt, den in den Artikeln III.70 bis 72 erwähnten Verpflichtungen nicht nachkommt oder die Ausführung der in den Artikeln XV.3, XV.63 und XV.64 erwähnten Aufträge behindert, kann der mit der Kontrolle beauftragte Dienst:</w:t>
      </w:r>
    </w:p>
    <w:p w14:paraId="571F3C46" w14:textId="77777777" w:rsidR="00E57E9E" w:rsidRPr="004676F5" w:rsidRDefault="00E57E9E" w:rsidP="00E57E9E">
      <w:pPr>
        <w:jc w:val="both"/>
        <w:rPr>
          <w:lang w:val="de-DE"/>
        </w:rPr>
      </w:pPr>
    </w:p>
    <w:p w14:paraId="645821EB" w14:textId="77777777" w:rsidR="00E57E9E" w:rsidRPr="004676F5" w:rsidRDefault="00E57E9E" w:rsidP="00E57E9E">
      <w:pPr>
        <w:jc w:val="both"/>
        <w:rPr>
          <w:lang w:val="de-DE"/>
        </w:rPr>
      </w:pPr>
      <w:r w:rsidRPr="004676F5">
        <w:rPr>
          <w:lang w:val="de-DE"/>
        </w:rPr>
        <w:tab/>
        <w:t>1. auf die in Artikel XV.31 bestimmte Weise dem Unternehmensschalter per Einschreibesendung eine Verwarnung notifizieren,</w:t>
      </w:r>
    </w:p>
    <w:p w14:paraId="241A2211" w14:textId="77777777" w:rsidR="00E57E9E" w:rsidRPr="004676F5" w:rsidRDefault="00E57E9E" w:rsidP="00E57E9E">
      <w:pPr>
        <w:jc w:val="both"/>
        <w:rPr>
          <w:lang w:val="de-DE"/>
        </w:rPr>
      </w:pPr>
    </w:p>
    <w:p w14:paraId="1999BD05" w14:textId="77777777" w:rsidR="00E57E9E" w:rsidRPr="004676F5" w:rsidRDefault="00E57E9E" w:rsidP="00E57E9E">
      <w:pPr>
        <w:jc w:val="both"/>
        <w:rPr>
          <w:lang w:val="de-DE"/>
        </w:rPr>
      </w:pPr>
      <w:r w:rsidRPr="004676F5">
        <w:rPr>
          <w:lang w:val="de-DE"/>
        </w:rPr>
        <w:tab/>
        <w:t>2. eine administrative Geldbuße von mindestens 100 EUR bis höchstens zum Dreifachen der Vergütungen, die der betreffende Unternehmensschalter im vorigen Kalenderjahr in Anwendung von Artikel III.73 bezogen hat, auferlegen, wenn innerhalb der festgelegten Frist der in Nr. 1 erwähnten Verwarnung nicht Folge geleistet wird,</w:t>
      </w:r>
    </w:p>
    <w:p w14:paraId="39F5304C" w14:textId="77777777" w:rsidR="00E57E9E" w:rsidRPr="004676F5" w:rsidRDefault="00E57E9E" w:rsidP="00E57E9E">
      <w:pPr>
        <w:jc w:val="both"/>
        <w:rPr>
          <w:lang w:val="de-DE"/>
        </w:rPr>
      </w:pPr>
    </w:p>
    <w:p w14:paraId="0E4AB864" w14:textId="77777777" w:rsidR="00E57E9E" w:rsidRPr="004676F5" w:rsidRDefault="00E57E9E" w:rsidP="00E57E9E">
      <w:pPr>
        <w:jc w:val="both"/>
        <w:rPr>
          <w:lang w:val="de-DE"/>
        </w:rPr>
      </w:pPr>
      <w:r w:rsidRPr="004676F5">
        <w:rPr>
          <w:lang w:val="de-DE"/>
        </w:rPr>
        <w:tab/>
        <w:t>3. im Wiederholungsfall oder bei Übertretung mehrerer in § 1 erwähnter Bestimmungen dem für den Mittelstand zuständigen Minister Aussetzung oder Entzug der Zulassung des betreffenden Unternehmensschalters vorschlagen.</w:t>
      </w:r>
    </w:p>
    <w:p w14:paraId="63909391" w14:textId="77777777" w:rsidR="00E57E9E" w:rsidRPr="004676F5" w:rsidRDefault="00E57E9E" w:rsidP="00E57E9E">
      <w:pPr>
        <w:rPr>
          <w:lang w:val="de-DE"/>
        </w:rPr>
      </w:pPr>
    </w:p>
    <w:p w14:paraId="3C7A0734" w14:textId="77161023" w:rsidR="00E57E9E" w:rsidRPr="004676F5" w:rsidRDefault="00E57E9E" w:rsidP="00E57E9E">
      <w:pPr>
        <w:jc w:val="both"/>
        <w:rPr>
          <w:lang w:val="de-DE"/>
        </w:rPr>
      </w:pPr>
      <w:r w:rsidRPr="004676F5">
        <w:rPr>
          <w:lang w:val="de-DE"/>
        </w:rPr>
        <w:tab/>
        <w:t>§ 2 </w:t>
      </w:r>
      <w:r w:rsidR="005B7A5C" w:rsidRPr="004676F5">
        <w:rPr>
          <w:lang w:val="de-DE"/>
        </w:rPr>
        <w:t>- </w:t>
      </w:r>
      <w:r w:rsidRPr="004676F5">
        <w:rPr>
          <w:lang w:val="de-DE"/>
        </w:rPr>
        <w:t xml:space="preserve">Bevor die in § 1 Nr. 2 erwähnte administrative Geldbuße notifiziert wird oder die Aussetzung beziehungsweise der Entzug der Zulassung, die in § 1 Nr. 3 erwähnt werden, vorgeschlagen wird, gibt der mit der Kontrolle beauftragte Dienst dem betreffenden Unternehmensschalter die Möglichkeit angehört zu werden. Zu diesem Zweck schickt der Dienst per Einschreibesendung eine Ladung zu mit Angabe der festgestellten Sachverhalte, der Bestimmungen, gegen die verstoßen wird, der Modalitäten für die Einsichtnahme der Akte und </w:t>
      </w:r>
      <w:r w:rsidRPr="004676F5">
        <w:rPr>
          <w:lang w:val="de-DE"/>
        </w:rPr>
        <w:lastRenderedPageBreak/>
        <w:t>des Datums der Anhörung, die frühestens fünfzehn Tage nach Versendung des Aufrufs festgelegt werden kann.</w:t>
      </w:r>
    </w:p>
    <w:p w14:paraId="30733474" w14:textId="77777777" w:rsidR="00E57E9E" w:rsidRPr="004676F5" w:rsidRDefault="00E57E9E" w:rsidP="00E57E9E">
      <w:pPr>
        <w:jc w:val="both"/>
        <w:rPr>
          <w:lang w:val="de-DE"/>
        </w:rPr>
      </w:pPr>
    </w:p>
    <w:p w14:paraId="4EB00275" w14:textId="617A4FDB" w:rsidR="00664554" w:rsidRPr="004676F5" w:rsidRDefault="00E57E9E" w:rsidP="00E57E9E">
      <w:pPr>
        <w:ind w:firstLine="708"/>
        <w:jc w:val="both"/>
        <w:rPr>
          <w:lang w:val="de-DE"/>
        </w:rPr>
      </w:pPr>
      <w:r w:rsidRPr="004676F5">
        <w:rPr>
          <w:lang w:val="de-DE"/>
        </w:rPr>
        <w:t>§ 3 </w:t>
      </w:r>
      <w:r w:rsidR="005B7A5C" w:rsidRPr="004676F5">
        <w:rPr>
          <w:lang w:val="de-DE"/>
        </w:rPr>
        <w:t>- </w:t>
      </w:r>
      <w:r w:rsidRPr="004676F5">
        <w:rPr>
          <w:lang w:val="de-DE"/>
        </w:rPr>
        <w:t>Gegen die in § 1 Nr. 1 und 2 erwähnten Verwarnungen und Sanktionen kann innerhalb sechzig Tagen ab Notifizierung Widerspruch eingelegt werden, der dem Minister per Einschreibesendung zugesandt wird. Der Minister oder die zu diesem Zweck beauftragten Beamten hören die Interessehabenden an und treffen innerhalb sechzig Tagen ab Einreichung des Widerspruchs eine Entscheidung. Die Entscheidungen werden per Einschreibesendung notifiziert. Der Widerspruch hat aufschiebende Wirkung.</w:t>
      </w:r>
      <w:r w:rsidR="00B76556" w:rsidRPr="004676F5">
        <w:rPr>
          <w:lang w:val="de-DE"/>
        </w:rPr>
        <w:t>]</w:t>
      </w:r>
    </w:p>
    <w:p w14:paraId="515B24CF" w14:textId="77777777" w:rsidR="00B76556" w:rsidRPr="004676F5" w:rsidRDefault="00B76556" w:rsidP="00E57E9E">
      <w:pPr>
        <w:ind w:firstLine="708"/>
        <w:jc w:val="both"/>
        <w:rPr>
          <w:lang w:val="de-DE"/>
        </w:rPr>
      </w:pPr>
    </w:p>
    <w:p w14:paraId="309FFF07" w14:textId="77777777" w:rsidR="00E57E9E" w:rsidRPr="004676F5" w:rsidRDefault="00E57E9E" w:rsidP="00564F20">
      <w:pPr>
        <w:jc w:val="both"/>
        <w:rPr>
          <w:lang w:val="de-DE"/>
        </w:rPr>
      </w:pPr>
    </w:p>
    <w:p w14:paraId="0507839E" w14:textId="0B478003" w:rsidR="00564F20" w:rsidRPr="004676F5" w:rsidRDefault="00564F20" w:rsidP="00564F20">
      <w:pPr>
        <w:jc w:val="center"/>
        <w:rPr>
          <w:lang w:val="de-DE"/>
        </w:rPr>
      </w:pPr>
      <w:r w:rsidRPr="004676F5">
        <w:rPr>
          <w:lang w:val="de-DE"/>
        </w:rPr>
        <w:t xml:space="preserve"> [</w:t>
      </w:r>
      <w:r w:rsidRPr="004676F5">
        <w:rPr>
          <w:i/>
          <w:lang w:val="de-DE"/>
        </w:rPr>
        <w:t>Abschnitt 2 </w:t>
      </w:r>
      <w:r w:rsidR="005B7A5C" w:rsidRPr="004676F5">
        <w:rPr>
          <w:lang w:val="de-DE"/>
        </w:rPr>
        <w:t>- </w:t>
      </w:r>
      <w:r w:rsidRPr="004676F5">
        <w:rPr>
          <w:lang w:val="de-DE"/>
        </w:rPr>
        <w:t>Verwaltungssanktionen im Rahmen von Buch VII]</w:t>
      </w:r>
    </w:p>
    <w:p w14:paraId="0C50F03C" w14:textId="77777777" w:rsidR="00564F20" w:rsidRPr="004676F5" w:rsidRDefault="00564F20" w:rsidP="00564F20">
      <w:pPr>
        <w:jc w:val="center"/>
        <w:rPr>
          <w:lang w:val="de-DE"/>
        </w:rPr>
      </w:pPr>
    </w:p>
    <w:p w14:paraId="181CEB3E" w14:textId="661B2432" w:rsidR="00564F20" w:rsidRPr="004676F5" w:rsidRDefault="00564F20" w:rsidP="00564F20">
      <w:pPr>
        <w:jc w:val="both"/>
        <w:rPr>
          <w:i/>
          <w:lang w:val="de-DE"/>
        </w:rPr>
      </w:pPr>
      <w:r w:rsidRPr="004676F5">
        <w:rPr>
          <w:i/>
          <w:lang w:val="de-DE"/>
        </w:rPr>
        <w:t xml:space="preserve">[Unterteilung Abschnitt 2 eingefügt durch </w:t>
      </w:r>
      <w:r w:rsidR="00BE0A56" w:rsidRPr="004676F5">
        <w:rPr>
          <w:i/>
          <w:lang w:val="de-DE"/>
        </w:rPr>
        <w:t>Art. </w:t>
      </w:r>
      <w:r w:rsidRPr="004676F5">
        <w:rPr>
          <w:i/>
          <w:lang w:val="de-DE"/>
        </w:rPr>
        <w:t>57</w:t>
      </w:r>
      <w:r w:rsidRPr="004676F5">
        <w:rPr>
          <w:i/>
          <w:iCs/>
          <w:lang w:val="de-DE"/>
        </w:rPr>
        <w:t xml:space="preserve"> </w:t>
      </w:r>
      <w:r w:rsidRPr="004676F5">
        <w:rPr>
          <w:i/>
          <w:lang w:val="de-DE"/>
        </w:rPr>
        <w:t>des G. vom 26. Oktober 2015 (B.S. vom 30. Oktober 2015)]</w:t>
      </w:r>
    </w:p>
    <w:p w14:paraId="28795AE7" w14:textId="77777777" w:rsidR="00564F20" w:rsidRPr="004676F5" w:rsidRDefault="00564F20" w:rsidP="00564F20">
      <w:pPr>
        <w:jc w:val="both"/>
        <w:rPr>
          <w:i/>
          <w:lang w:val="de-DE"/>
        </w:rPr>
      </w:pPr>
    </w:p>
    <w:p w14:paraId="52A11E4B" w14:textId="77777777" w:rsidR="00564F20" w:rsidRPr="004676F5" w:rsidRDefault="00564F20" w:rsidP="00564F20">
      <w:pPr>
        <w:jc w:val="center"/>
        <w:rPr>
          <w:lang w:val="de-DE"/>
        </w:rPr>
      </w:pPr>
    </w:p>
    <w:p w14:paraId="0A13FCF0" w14:textId="061A06E5" w:rsidR="008343E5" w:rsidRPr="004676F5" w:rsidRDefault="008343E5" w:rsidP="008343E5">
      <w:pPr>
        <w:ind w:firstLine="708"/>
        <w:jc w:val="both"/>
        <w:rPr>
          <w:lang w:val="de-DE"/>
        </w:rPr>
      </w:pPr>
      <w:r w:rsidRPr="004676F5">
        <w:rPr>
          <w:lang w:val="de-DE"/>
        </w:rPr>
        <w:t>[</w:t>
      </w:r>
      <w:r w:rsidR="00BE0A56" w:rsidRPr="004676F5">
        <w:rPr>
          <w:b/>
          <w:lang w:val="de-DE"/>
        </w:rPr>
        <w:t>Art. </w:t>
      </w:r>
      <w:r w:rsidRPr="004676F5">
        <w:rPr>
          <w:b/>
          <w:lang w:val="de-DE"/>
        </w:rPr>
        <w:t>XV.66</w:t>
      </w:r>
      <w:r w:rsidRPr="004676F5">
        <w:rPr>
          <w:lang w:val="de-DE"/>
        </w:rPr>
        <w:t xml:space="preserve"> </w:t>
      </w:r>
      <w:r w:rsidR="005B7A5C" w:rsidRPr="004676F5">
        <w:rPr>
          <w:lang w:val="de-DE"/>
        </w:rPr>
        <w:t>- </w:t>
      </w:r>
      <w:r w:rsidRPr="004676F5">
        <w:rPr>
          <w:lang w:val="de-DE"/>
        </w:rPr>
        <w:t xml:space="preserve">Unbeschadet der in vorliegendem Buch, in Buch VII Titel 4 Kapitel 4 oder in anderen Gesetzen oder Verordnungen vorgesehene Maßnahmen kann die FSMA, wenn sie einen Verstoß gegen die Bestimmungen </w:t>
      </w:r>
      <w:r w:rsidR="00E13953" w:rsidRPr="004676F5">
        <w:rPr>
          <w:lang w:val="de-DE"/>
        </w:rPr>
        <w:t xml:space="preserve">[von Buch VII Titel 4 Kapitel 4, Artikel VII.183 § 5 Nr. 4 ausgenommen,] </w:t>
      </w:r>
      <w:r w:rsidRPr="004676F5">
        <w:rPr>
          <w:lang w:val="de-DE"/>
        </w:rPr>
        <w:t>oder die in Ausführung dieses Buches ergriffenen Maßnahmen feststellt, einem Kreditgeber eine administrative Geldbuße auferlegen, die sich für denselben Verstoß oder dieselbe Gesamtheit von Verstößen auf mindestens 2.500 EUR und höchstens 50.000 EUR beläuft.</w:t>
      </w:r>
    </w:p>
    <w:p w14:paraId="3BDB46EC" w14:textId="77777777" w:rsidR="008343E5" w:rsidRPr="004676F5" w:rsidRDefault="008343E5" w:rsidP="008343E5">
      <w:pPr>
        <w:ind w:firstLine="708"/>
        <w:jc w:val="both"/>
        <w:rPr>
          <w:lang w:val="de-DE"/>
        </w:rPr>
      </w:pPr>
    </w:p>
    <w:p w14:paraId="663CAD5D" w14:textId="77777777" w:rsidR="008343E5" w:rsidRPr="004676F5" w:rsidRDefault="008343E5" w:rsidP="008343E5">
      <w:pPr>
        <w:ind w:firstLine="708"/>
        <w:jc w:val="both"/>
        <w:rPr>
          <w:lang w:val="de-DE"/>
        </w:rPr>
      </w:pPr>
      <w:r w:rsidRPr="004676F5">
        <w:rPr>
          <w:lang w:val="de-DE"/>
        </w:rPr>
        <w:t>Unter denselben Bedingungen kann sie einem Kreditvermittler eine administrative Geldbuße auferlegen, die sich für denselben Verstoß oder dieselbe Gesamtheit von Verstößen auf mindestens 500 EUR und höchstens 25.000 EUR beläuft.</w:t>
      </w:r>
    </w:p>
    <w:p w14:paraId="40D3BCA0" w14:textId="77777777" w:rsidR="008343E5" w:rsidRPr="004676F5" w:rsidRDefault="008343E5" w:rsidP="008343E5">
      <w:pPr>
        <w:ind w:firstLine="708"/>
        <w:jc w:val="both"/>
        <w:rPr>
          <w:lang w:val="de-DE"/>
        </w:rPr>
      </w:pPr>
    </w:p>
    <w:p w14:paraId="15F818EC" w14:textId="77777777" w:rsidR="008343E5" w:rsidRPr="004676F5" w:rsidRDefault="008343E5" w:rsidP="008343E5">
      <w:pPr>
        <w:ind w:firstLine="708"/>
        <w:jc w:val="both"/>
        <w:rPr>
          <w:lang w:val="de-DE"/>
        </w:rPr>
      </w:pPr>
      <w:r w:rsidRPr="004676F5">
        <w:rPr>
          <w:lang w:val="de-DE"/>
        </w:rPr>
        <w:t>Das in Artikel 70 und folgende des Gesetzes vom 2. August 2002 über die Aufsicht über den Finanzsektor und die Finanzdienstleistungen vorgesehene Verfahren ist anwendbar.</w:t>
      </w:r>
    </w:p>
    <w:p w14:paraId="69E0E48F" w14:textId="77777777" w:rsidR="008343E5" w:rsidRPr="004676F5" w:rsidRDefault="008343E5" w:rsidP="008343E5">
      <w:pPr>
        <w:ind w:firstLine="708"/>
        <w:jc w:val="both"/>
        <w:rPr>
          <w:lang w:val="de-DE"/>
        </w:rPr>
      </w:pPr>
    </w:p>
    <w:p w14:paraId="73AD1F15" w14:textId="77777777" w:rsidR="008343E5" w:rsidRPr="004676F5" w:rsidRDefault="008343E5" w:rsidP="008343E5">
      <w:pPr>
        <w:ind w:firstLine="708"/>
        <w:jc w:val="both"/>
        <w:rPr>
          <w:lang w:val="de-DE"/>
        </w:rPr>
      </w:pPr>
      <w:r w:rsidRPr="004676F5">
        <w:rPr>
          <w:lang w:val="de-DE"/>
        </w:rPr>
        <w:t>Die FSMA bringt dem FÖD Wirtschaft endgültige Sanktionen zur Kenntnis, die gemäß vorhergehendem Absatz getroffen werden.</w:t>
      </w:r>
    </w:p>
    <w:p w14:paraId="538E605D" w14:textId="77777777" w:rsidR="008343E5" w:rsidRPr="004676F5" w:rsidRDefault="008343E5" w:rsidP="008343E5">
      <w:pPr>
        <w:ind w:firstLine="708"/>
        <w:jc w:val="both"/>
        <w:rPr>
          <w:lang w:val="de-DE"/>
        </w:rPr>
      </w:pPr>
    </w:p>
    <w:p w14:paraId="1813B3D1" w14:textId="730860C3" w:rsidR="008343E5" w:rsidRPr="004676F5" w:rsidRDefault="008343E5" w:rsidP="008343E5">
      <w:pPr>
        <w:ind w:firstLine="708"/>
        <w:jc w:val="both"/>
        <w:rPr>
          <w:lang w:val="de-DE"/>
        </w:rPr>
      </w:pPr>
      <w:r w:rsidRPr="004676F5">
        <w:rPr>
          <w:lang w:val="de-DE"/>
        </w:rPr>
        <w:t>In Anwendung des vorliegenden Artikels auferlegte Geldbußen werden von der Kataster-, Registrierungs</w:t>
      </w:r>
      <w:r w:rsidR="005B7A5C" w:rsidRPr="004676F5">
        <w:rPr>
          <w:lang w:val="de-DE"/>
        </w:rPr>
        <w:t>- </w:t>
      </w:r>
      <w:r w:rsidRPr="004676F5">
        <w:rPr>
          <w:lang w:val="de-DE"/>
        </w:rPr>
        <w:t>und Domänenverwaltung zugunsten der Staatskasse einge</w:t>
      </w:r>
      <w:r w:rsidRPr="004676F5">
        <w:rPr>
          <w:lang w:val="de-DE"/>
        </w:rPr>
        <w:softHyphen/>
        <w:t>nommen.]</w:t>
      </w:r>
    </w:p>
    <w:p w14:paraId="46E61F35" w14:textId="77777777" w:rsidR="008343E5" w:rsidRPr="004676F5" w:rsidRDefault="008343E5" w:rsidP="008343E5">
      <w:pPr>
        <w:jc w:val="both"/>
        <w:rPr>
          <w:lang w:val="de-DE"/>
        </w:rPr>
      </w:pPr>
    </w:p>
    <w:p w14:paraId="05481CA2" w14:textId="611D10DD" w:rsidR="008343E5" w:rsidRPr="004676F5" w:rsidRDefault="008343E5" w:rsidP="008343E5">
      <w:pPr>
        <w:jc w:val="both"/>
        <w:rPr>
          <w:i/>
          <w:lang w:val="de-DE"/>
        </w:rPr>
      </w:pPr>
      <w:r w:rsidRPr="004676F5">
        <w:rPr>
          <w:i/>
          <w:lang w:val="de-DE"/>
        </w:rPr>
        <w:t>[</w:t>
      </w:r>
      <w:r w:rsidR="00BE0A56" w:rsidRPr="004676F5">
        <w:rPr>
          <w:i/>
          <w:lang w:val="de-DE"/>
        </w:rPr>
        <w:t>Art. </w:t>
      </w:r>
      <w:r w:rsidRPr="004676F5">
        <w:rPr>
          <w:i/>
          <w:lang w:val="de-DE"/>
        </w:rPr>
        <w:t xml:space="preserve">XV.66 eingefügt durch </w:t>
      </w:r>
      <w:r w:rsidR="00BE0A56" w:rsidRPr="004676F5">
        <w:rPr>
          <w:i/>
          <w:lang w:val="de-DE"/>
        </w:rPr>
        <w:t>Art. </w:t>
      </w:r>
      <w:r w:rsidRPr="004676F5">
        <w:rPr>
          <w:i/>
          <w:lang w:val="de-DE"/>
        </w:rPr>
        <w:t>11 des G. vom 19. April 2014</w:t>
      </w:r>
      <w:r w:rsidR="004808C3" w:rsidRPr="004676F5">
        <w:rPr>
          <w:i/>
          <w:lang w:val="de-DE"/>
        </w:rPr>
        <w:t> (I)</w:t>
      </w:r>
      <w:r w:rsidRPr="004676F5">
        <w:rPr>
          <w:i/>
          <w:lang w:val="de-DE"/>
        </w:rPr>
        <w:t xml:space="preserve"> (B.S. vom 28. Mai 2014)</w:t>
      </w:r>
      <w:r w:rsidR="00E13953" w:rsidRPr="004676F5">
        <w:rPr>
          <w:i/>
          <w:lang w:val="de-DE"/>
        </w:rPr>
        <w:t>; Abs. 1 abgeändert durch Art. 34 des G. vom 30. Juli 2018 (II) (B.S. vom 5. September 2018)</w:t>
      </w:r>
      <w:r w:rsidRPr="004676F5">
        <w:rPr>
          <w:i/>
          <w:lang w:val="de-DE"/>
        </w:rPr>
        <w:t>]</w:t>
      </w:r>
    </w:p>
    <w:p w14:paraId="3A7F274D" w14:textId="77777777" w:rsidR="008343E5" w:rsidRPr="004676F5" w:rsidRDefault="008343E5" w:rsidP="008343E5">
      <w:pPr>
        <w:ind w:firstLine="708"/>
        <w:jc w:val="both"/>
        <w:rPr>
          <w:lang w:val="de-DE"/>
        </w:rPr>
      </w:pPr>
    </w:p>
    <w:p w14:paraId="3B139482" w14:textId="77777777" w:rsidR="00BA2266" w:rsidRPr="004676F5" w:rsidRDefault="00BA2266" w:rsidP="00BA2266">
      <w:pPr>
        <w:jc w:val="both"/>
        <w:rPr>
          <w:lang w:val="de-DE"/>
        </w:rPr>
      </w:pPr>
    </w:p>
    <w:p w14:paraId="7541423F" w14:textId="77777777" w:rsidR="00E13953" w:rsidRPr="004676F5" w:rsidRDefault="00E13953">
      <w:pPr>
        <w:rPr>
          <w:lang w:val="de-DE"/>
        </w:rPr>
      </w:pPr>
      <w:r w:rsidRPr="004676F5">
        <w:rPr>
          <w:lang w:val="de-DE"/>
        </w:rPr>
        <w:br w:type="page"/>
      </w:r>
    </w:p>
    <w:p w14:paraId="79350967" w14:textId="5BA54B77" w:rsidR="004A4FF0" w:rsidRPr="004676F5" w:rsidRDefault="004A4FF0" w:rsidP="004A4FF0">
      <w:pPr>
        <w:jc w:val="center"/>
        <w:rPr>
          <w:lang w:val="de-DE"/>
        </w:rPr>
      </w:pPr>
      <w:r w:rsidRPr="004676F5">
        <w:rPr>
          <w:lang w:val="de-DE"/>
        </w:rPr>
        <w:lastRenderedPageBreak/>
        <w:t>[</w:t>
      </w:r>
      <w:r w:rsidRPr="004676F5">
        <w:rPr>
          <w:i/>
          <w:lang w:val="de-DE"/>
        </w:rPr>
        <w:t>Abschnitt 3 </w:t>
      </w:r>
      <w:r w:rsidR="005B7A5C" w:rsidRPr="004676F5">
        <w:rPr>
          <w:lang w:val="de-DE"/>
        </w:rPr>
        <w:t>- </w:t>
      </w:r>
      <w:r w:rsidRPr="004676F5">
        <w:rPr>
          <w:lang w:val="de-DE"/>
        </w:rPr>
        <w:t>Verwaltungssanktionen im Bereich des Urheberrechts und verwandter Schutzrechte</w:t>
      </w:r>
    </w:p>
    <w:p w14:paraId="02B6ADE1" w14:textId="77777777" w:rsidR="004A4FF0" w:rsidRPr="004676F5" w:rsidRDefault="004A4FF0" w:rsidP="004A4FF0">
      <w:pPr>
        <w:ind w:firstLine="708"/>
        <w:jc w:val="both"/>
        <w:rPr>
          <w:lang w:val="de-DE"/>
        </w:rPr>
      </w:pPr>
    </w:p>
    <w:p w14:paraId="35395526" w14:textId="36E7FE3C" w:rsidR="004A4FF0" w:rsidRPr="004676F5" w:rsidRDefault="004A4FF0" w:rsidP="004A4FF0">
      <w:pPr>
        <w:jc w:val="both"/>
        <w:rPr>
          <w:i/>
          <w:lang w:val="de-DE"/>
        </w:rPr>
      </w:pPr>
      <w:r w:rsidRPr="004676F5">
        <w:rPr>
          <w:i/>
          <w:lang w:val="de-DE"/>
        </w:rPr>
        <w:t xml:space="preserve">[Abschnitt 3 mit den Artikeln XV.66/1 bis XV.66/4 eingefügt durch </w:t>
      </w:r>
      <w:r w:rsidR="00BE0A56" w:rsidRPr="004676F5">
        <w:rPr>
          <w:i/>
          <w:lang w:val="de-DE"/>
        </w:rPr>
        <w:t>Art. </w:t>
      </w:r>
      <w:r w:rsidRPr="004676F5">
        <w:rPr>
          <w:i/>
          <w:lang w:val="de-DE"/>
        </w:rPr>
        <w:t>14 des G. vom 19. April 2014 (II) (B.S. vom 12. Juni 2014)]</w:t>
      </w:r>
    </w:p>
    <w:p w14:paraId="7384666D" w14:textId="77777777" w:rsidR="004A4FF0" w:rsidRPr="004676F5" w:rsidRDefault="004A4FF0" w:rsidP="004A4FF0">
      <w:pPr>
        <w:jc w:val="both"/>
        <w:rPr>
          <w:i/>
          <w:lang w:val="de-DE"/>
        </w:rPr>
      </w:pPr>
    </w:p>
    <w:p w14:paraId="395A495A" w14:textId="77777777" w:rsidR="004A4FF0" w:rsidRPr="004676F5" w:rsidRDefault="004A4FF0" w:rsidP="004A4FF0">
      <w:pPr>
        <w:jc w:val="both"/>
        <w:rPr>
          <w:i/>
          <w:lang w:val="de-DE"/>
        </w:rPr>
      </w:pPr>
    </w:p>
    <w:p w14:paraId="57BCCEF2" w14:textId="063AD60D" w:rsidR="006A29C3" w:rsidRPr="004676F5" w:rsidRDefault="00BE0A56" w:rsidP="006A29C3">
      <w:pPr>
        <w:ind w:firstLine="708"/>
        <w:jc w:val="both"/>
        <w:rPr>
          <w:lang w:val="de-DE"/>
        </w:rPr>
      </w:pPr>
      <w:r w:rsidRPr="004676F5">
        <w:rPr>
          <w:b/>
          <w:lang w:val="de-DE"/>
        </w:rPr>
        <w:t>Art. </w:t>
      </w:r>
      <w:r w:rsidR="004A4FF0" w:rsidRPr="004676F5">
        <w:rPr>
          <w:b/>
          <w:lang w:val="de-DE"/>
        </w:rPr>
        <w:t>XV.66/1</w:t>
      </w:r>
      <w:r w:rsidR="004A4FF0" w:rsidRPr="004676F5">
        <w:rPr>
          <w:lang w:val="de-DE"/>
        </w:rPr>
        <w:t> </w:t>
      </w:r>
      <w:r w:rsidR="005B7A5C" w:rsidRPr="004676F5">
        <w:rPr>
          <w:lang w:val="de-DE"/>
        </w:rPr>
        <w:t>- </w:t>
      </w:r>
      <w:r w:rsidR="006A29C3" w:rsidRPr="004676F5">
        <w:rPr>
          <w:lang w:val="de-DE"/>
        </w:rPr>
        <w:t>[§ 1 </w:t>
      </w:r>
      <w:r w:rsidR="005B7A5C" w:rsidRPr="004676F5">
        <w:rPr>
          <w:lang w:val="de-DE"/>
        </w:rPr>
        <w:t>- </w:t>
      </w:r>
      <w:r w:rsidR="006A29C3" w:rsidRPr="004676F5">
        <w:rPr>
          <w:lang w:val="de-DE"/>
        </w:rPr>
        <w:t>Der Minister kann eine in Artikel XI.273/17 erwähnte Zulassung ganz oder teilweise entziehen, wenn eine Verwertungsgesellschaft die Bedingungen für ihre Erteilung nicht oder nicht mehr erfüllt oder schwere oder wiederholte Verstöße gegen die Bestimmungen von Buch XI Titel 5, seiner Ausführungserlasse oder gegen die Bestimmungen ihrer Satzung oder ihrer Regelungen begeht oder begangen hat oder wenn eine in Artikel XI.246 § 1 Absatz 2 erwähnte Organisation für die kollektive Rechtewahrnehmung schwere oder wiederholte Verstöße gegen die Bestimmungen von Artikel XI.279 § 2 begeht oder begangen hat.</w:t>
      </w:r>
    </w:p>
    <w:p w14:paraId="015BFE2C" w14:textId="77777777" w:rsidR="006A29C3" w:rsidRPr="004676F5" w:rsidRDefault="006A29C3" w:rsidP="006A29C3">
      <w:pPr>
        <w:jc w:val="both"/>
        <w:rPr>
          <w:lang w:val="de-DE"/>
        </w:rPr>
      </w:pPr>
    </w:p>
    <w:p w14:paraId="413292CF" w14:textId="77777777" w:rsidR="006A29C3" w:rsidRPr="004676F5" w:rsidRDefault="006A29C3" w:rsidP="006A29C3">
      <w:pPr>
        <w:jc w:val="both"/>
        <w:rPr>
          <w:lang w:val="de-DE"/>
        </w:rPr>
      </w:pPr>
      <w:r w:rsidRPr="004676F5">
        <w:rPr>
          <w:lang w:val="de-DE"/>
        </w:rPr>
        <w:tab/>
        <w:t>Wird ein Zulassungsentzug in Erwägung gezogen, so notifiziert der Minister der betreffenden Verwertungsgesellschaft oder Organisation für die Rechtewahrnehmung im Voraus seine Gründe für die Anfechtung der Zulassung per Einschreibesendung mit Rückschein. Der Verwertungsgesellschaft oder Organisation wird mitgeteilt, dass sie ab dieser Notifizierung über eine Frist von zwei Monaten verfügt, um die angelegte Akte einzusehen, vom Minister oder von der zu diesem Zweck bestimmten Person angehört zu werden und ihre Mittel geltend zu machen.</w:t>
      </w:r>
    </w:p>
    <w:p w14:paraId="4C36EB36" w14:textId="77777777" w:rsidR="006A29C3" w:rsidRPr="004676F5" w:rsidRDefault="006A29C3" w:rsidP="006A29C3">
      <w:pPr>
        <w:jc w:val="both"/>
        <w:rPr>
          <w:lang w:val="de-DE"/>
        </w:rPr>
      </w:pPr>
    </w:p>
    <w:p w14:paraId="71EA5E04" w14:textId="77777777" w:rsidR="006A29C3" w:rsidRPr="004676F5" w:rsidRDefault="006A29C3" w:rsidP="006A29C3">
      <w:pPr>
        <w:jc w:val="both"/>
        <w:rPr>
          <w:lang w:val="de-DE"/>
        </w:rPr>
      </w:pPr>
      <w:r w:rsidRPr="004676F5">
        <w:rPr>
          <w:lang w:val="de-DE"/>
        </w:rPr>
        <w:tab/>
        <w:t xml:space="preserve">Der Minister bestimmt das Datum, an dem der Entzug in Kraft tritt. Entzüge werden binnen dreißig Tagen nach dem Entziehungsbeschluss im </w:t>
      </w:r>
      <w:r w:rsidRPr="004676F5">
        <w:rPr>
          <w:i/>
          <w:lang w:val="de-DE"/>
        </w:rPr>
        <w:t>Belgischen Staatsblatt</w:t>
      </w:r>
      <w:r w:rsidRPr="004676F5">
        <w:rPr>
          <w:lang w:val="de-DE"/>
        </w:rPr>
        <w:t xml:space="preserve"> veröffentlicht. Zwischen dem Datum der Notifizierung des Entziehungsbeschlusses an die Verwertungs</w:t>
      </w:r>
      <w:r w:rsidRPr="004676F5">
        <w:rPr>
          <w:lang w:val="de-DE"/>
        </w:rPr>
        <w:softHyphen/>
        <w:t>gesellschaft oder Organisation und dem Datum des Inkrafttretens des Entzugs ergreift die Verwertungsgesellschaft oder Organisation unbeschadet des Paragraphen 4 vorsichtige und sorgfältige Maßnahmen zur Einstellung der Verwertungstätigkeiten, für die die Zulassung entzogen wird. Gemäß den vom Minister festgelegten Modalitäten setzt sie insbesondere Rechtsinhaber, die ihr die Wahrnehmung ihrer Rechte anvertraut haben, sofort von dem Entziehungsbeschluss und dem Datum seines Inkrafttretens in Kenntnis.</w:t>
      </w:r>
    </w:p>
    <w:p w14:paraId="4725B2C5" w14:textId="77777777" w:rsidR="006A29C3" w:rsidRPr="004676F5" w:rsidRDefault="006A29C3" w:rsidP="006A29C3">
      <w:pPr>
        <w:jc w:val="both"/>
        <w:rPr>
          <w:lang w:val="de-DE"/>
        </w:rPr>
      </w:pPr>
    </w:p>
    <w:p w14:paraId="0C47F807" w14:textId="77777777" w:rsidR="006A29C3" w:rsidRPr="004676F5" w:rsidRDefault="006A29C3" w:rsidP="006A29C3">
      <w:pPr>
        <w:jc w:val="both"/>
        <w:rPr>
          <w:lang w:val="de-DE"/>
        </w:rPr>
      </w:pPr>
      <w:r w:rsidRPr="004676F5">
        <w:rPr>
          <w:lang w:val="de-DE"/>
        </w:rPr>
        <w:tab/>
        <w:t>Am Datum des Inkrafttretens des Zulassungsentzugs bedeutet dieser die Auflösung der Verträge, durch die die Rechtsinhaber die Wahrnehmung ihrer Rechte der Verwertungsgesell</w:t>
      </w:r>
      <w:r w:rsidRPr="004676F5">
        <w:rPr>
          <w:lang w:val="de-DE"/>
        </w:rPr>
        <w:softHyphen/>
        <w:t>schaft oder Organisation für die kollektive Rechtewahrnehmung anvertrauen. Im Falle eines Teilentzugs werden die Verträge aufgelöst, soweit sie sich auf die Tätigkeit beziehen, für die die Zulassung entzogen worden ist.</w:t>
      </w:r>
    </w:p>
    <w:p w14:paraId="4002CA75" w14:textId="77777777" w:rsidR="006A29C3" w:rsidRPr="004676F5" w:rsidRDefault="006A29C3" w:rsidP="006A29C3">
      <w:pPr>
        <w:jc w:val="both"/>
        <w:rPr>
          <w:lang w:val="de-DE"/>
        </w:rPr>
      </w:pPr>
    </w:p>
    <w:p w14:paraId="461DC0E5" w14:textId="2127B03F" w:rsidR="006A29C3" w:rsidRPr="004676F5" w:rsidRDefault="006A29C3" w:rsidP="006A29C3">
      <w:pPr>
        <w:jc w:val="both"/>
        <w:rPr>
          <w:lang w:val="de-DE"/>
        </w:rPr>
      </w:pPr>
      <w:r w:rsidRPr="004676F5">
        <w:rPr>
          <w:lang w:val="de-DE"/>
        </w:rPr>
        <w:tab/>
        <w:t>§ 2 </w:t>
      </w:r>
      <w:r w:rsidR="005B7A5C" w:rsidRPr="004676F5">
        <w:rPr>
          <w:lang w:val="de-DE"/>
        </w:rPr>
        <w:t>- </w:t>
      </w:r>
      <w:r w:rsidRPr="004676F5">
        <w:rPr>
          <w:lang w:val="de-DE"/>
        </w:rPr>
        <w:t xml:space="preserve">Nach Veröffentlichung des Beschlusses zum Zulassungsentzug im </w:t>
      </w:r>
      <w:r w:rsidRPr="004676F5">
        <w:rPr>
          <w:i/>
          <w:lang w:val="de-DE"/>
        </w:rPr>
        <w:t>Belgischen Staatsblatt</w:t>
      </w:r>
      <w:r w:rsidRPr="004676F5">
        <w:rPr>
          <w:lang w:val="de-DE"/>
        </w:rPr>
        <w:t xml:space="preserve"> werden folgende Vergütungen bei der Hinterlegungs</w:t>
      </w:r>
      <w:r w:rsidR="005B7A5C" w:rsidRPr="004676F5">
        <w:rPr>
          <w:lang w:val="de-DE"/>
        </w:rPr>
        <w:t>- </w:t>
      </w:r>
      <w:r w:rsidRPr="004676F5">
        <w:rPr>
          <w:lang w:val="de-DE"/>
        </w:rPr>
        <w:t>und Konsignationskasse auf ein Konto eingezahlt, das auf Betreiben des oder der in § 4 erwähnten Sonderkommissare eröffnet wird, wobei der Name der Gesellschaft oder Organisation, der die Zulassung entzogen wird, in der Bezeichnung vermerkt wird:</w:t>
      </w:r>
    </w:p>
    <w:p w14:paraId="7E7DFB96" w14:textId="77777777" w:rsidR="006A29C3" w:rsidRPr="004676F5" w:rsidRDefault="006A29C3" w:rsidP="006A29C3">
      <w:pPr>
        <w:jc w:val="both"/>
        <w:rPr>
          <w:lang w:val="de-DE"/>
        </w:rPr>
      </w:pPr>
    </w:p>
    <w:p w14:paraId="4229A6FF" w14:textId="77777777" w:rsidR="006A29C3" w:rsidRPr="004676F5" w:rsidRDefault="006A29C3" w:rsidP="006A29C3">
      <w:pPr>
        <w:jc w:val="both"/>
        <w:rPr>
          <w:lang w:val="de-DE"/>
        </w:rPr>
      </w:pPr>
      <w:r w:rsidRPr="004676F5">
        <w:rPr>
          <w:lang w:val="de-DE"/>
        </w:rPr>
        <w:tab/>
        <w:t>1. Vergütungen, die für den Zeitraum vor dem Datum des Inkrafttretens des Entziehungs</w:t>
      </w:r>
      <w:r w:rsidRPr="004676F5">
        <w:rPr>
          <w:lang w:val="de-DE"/>
        </w:rPr>
        <w:softHyphen/>
        <w:t>beschlusses noch zu entrichten sind,</w:t>
      </w:r>
    </w:p>
    <w:p w14:paraId="52F86811" w14:textId="77777777" w:rsidR="006A29C3" w:rsidRPr="004676F5" w:rsidRDefault="006A29C3" w:rsidP="006A29C3">
      <w:pPr>
        <w:jc w:val="both"/>
        <w:rPr>
          <w:lang w:val="de-DE"/>
        </w:rPr>
      </w:pPr>
    </w:p>
    <w:p w14:paraId="1EBD2F71" w14:textId="77777777" w:rsidR="006A29C3" w:rsidRPr="004676F5" w:rsidRDefault="006A29C3" w:rsidP="006A29C3">
      <w:pPr>
        <w:jc w:val="both"/>
        <w:rPr>
          <w:lang w:val="de-DE"/>
        </w:rPr>
      </w:pPr>
      <w:r w:rsidRPr="004676F5">
        <w:rPr>
          <w:lang w:val="de-DE"/>
        </w:rPr>
        <w:lastRenderedPageBreak/>
        <w:tab/>
        <w:t>2. einer automatischen kollektiven Wahrnehmung unterworfene Vergütungen, die für den Zeitraum nach diesem Inkrafttreten noch geschuldet werden, wenn am Datum des Inkrafttretens des Beschlusses zum Zulassungsentzug keine andere Verwertungsgesellschaft oder Organisation für die kollektive Rechtewahrnehmung ermächtigt ist, diese Rechte für dieselbe Kategorie von Rechtsinhabern wahrzunehmen.</w:t>
      </w:r>
    </w:p>
    <w:p w14:paraId="5AD1BEAB" w14:textId="77777777" w:rsidR="006A29C3" w:rsidRPr="004676F5" w:rsidRDefault="006A29C3" w:rsidP="006A29C3">
      <w:pPr>
        <w:jc w:val="both"/>
        <w:rPr>
          <w:lang w:val="de-DE"/>
        </w:rPr>
      </w:pPr>
    </w:p>
    <w:p w14:paraId="3B8C7DF0" w14:textId="77777777" w:rsidR="006A29C3" w:rsidRPr="004676F5" w:rsidRDefault="006A29C3" w:rsidP="006A29C3">
      <w:pPr>
        <w:jc w:val="both"/>
        <w:rPr>
          <w:lang w:val="de-DE"/>
        </w:rPr>
      </w:pPr>
      <w:r w:rsidRPr="004676F5">
        <w:rPr>
          <w:lang w:val="de-DE"/>
        </w:rPr>
        <w:tab/>
        <w:t>Die Führung des in Absatz 1 erwähnten Kontos obliegt ausschließlich den in § 4 erwähnten Sonderkommissaren.</w:t>
      </w:r>
    </w:p>
    <w:p w14:paraId="17C83589" w14:textId="77777777" w:rsidR="006A29C3" w:rsidRPr="004676F5" w:rsidRDefault="006A29C3" w:rsidP="006A29C3">
      <w:pPr>
        <w:jc w:val="both"/>
        <w:rPr>
          <w:lang w:val="de-DE"/>
        </w:rPr>
      </w:pPr>
    </w:p>
    <w:p w14:paraId="76BA77F9" w14:textId="65C429D6" w:rsidR="006A29C3" w:rsidRPr="004676F5" w:rsidRDefault="006A29C3" w:rsidP="006A29C3">
      <w:pPr>
        <w:jc w:val="both"/>
        <w:rPr>
          <w:lang w:val="de-DE"/>
        </w:rPr>
      </w:pPr>
      <w:r w:rsidRPr="004676F5">
        <w:rPr>
          <w:lang w:val="de-DE"/>
        </w:rPr>
        <w:tab/>
        <w:t>§ 3 </w:t>
      </w:r>
      <w:r w:rsidR="005B7A5C" w:rsidRPr="004676F5">
        <w:rPr>
          <w:lang w:val="de-DE"/>
        </w:rPr>
        <w:t>- </w:t>
      </w:r>
      <w:r w:rsidRPr="004676F5">
        <w:rPr>
          <w:lang w:val="de-DE"/>
        </w:rPr>
        <w:t>Ungeachtet des Entziehungsbeschlusses ausgeführte Handlungen und Beschlüsse der Gesellschaft oder Organisation, der die Zulassung entzogen worden ist, sind nichtig.</w:t>
      </w:r>
    </w:p>
    <w:p w14:paraId="6A9975EE" w14:textId="77777777" w:rsidR="006A29C3" w:rsidRPr="004676F5" w:rsidRDefault="006A29C3" w:rsidP="006A29C3">
      <w:pPr>
        <w:jc w:val="both"/>
        <w:rPr>
          <w:lang w:val="de-DE"/>
        </w:rPr>
      </w:pPr>
    </w:p>
    <w:p w14:paraId="1C4E09A6" w14:textId="784EB6E4" w:rsidR="006A29C3" w:rsidRPr="004676F5" w:rsidRDefault="006A29C3" w:rsidP="006A29C3">
      <w:pPr>
        <w:jc w:val="both"/>
        <w:rPr>
          <w:lang w:val="de-DE"/>
        </w:rPr>
      </w:pPr>
      <w:r w:rsidRPr="004676F5">
        <w:rPr>
          <w:lang w:val="de-DE"/>
        </w:rPr>
        <w:tab/>
        <w:t>§ 4 </w:t>
      </w:r>
      <w:r w:rsidR="005B7A5C" w:rsidRPr="004676F5">
        <w:rPr>
          <w:lang w:val="de-DE"/>
        </w:rPr>
        <w:t>- </w:t>
      </w:r>
      <w:r w:rsidRPr="004676F5">
        <w:rPr>
          <w:lang w:val="de-DE"/>
        </w:rPr>
        <w:t>Im Anschluss an den Beschluss zum vollständigen Entzug oder Teilentzug der Zulassung einer Verwertungsgesellschaft oder Organisation für die kollektive Rechtewahr</w:t>
      </w:r>
      <w:r w:rsidRPr="004676F5">
        <w:rPr>
          <w:lang w:val="de-DE"/>
        </w:rPr>
        <w:softHyphen/>
        <w:t>nehmung kann der Minister für die von ihm festgelegte Dauer einen oder mehrere Sonderkommissare bestimmen, die über die erforderlichen juristischen, finanziellen und buchhalterischen Fachkenntnisse verfügen, um unter Berücksichtigung der Erfordernisse und in den Grenzen der Durchführung der Einstellung der Verwertungstätigkeiten, für die die Zulassung entzogen wird, an die Stelle der zuständigen Organe zu treten. Die Sonderkommissare können sich bei der Ausführung ihres Auftrags von Sachverständigen beistehen lassen.</w:t>
      </w:r>
    </w:p>
    <w:p w14:paraId="78D4E524" w14:textId="77777777" w:rsidR="006A29C3" w:rsidRPr="004676F5" w:rsidRDefault="006A29C3" w:rsidP="006A29C3">
      <w:pPr>
        <w:jc w:val="both"/>
        <w:rPr>
          <w:lang w:val="de-DE"/>
        </w:rPr>
      </w:pPr>
    </w:p>
    <w:p w14:paraId="1A678CFE" w14:textId="77777777" w:rsidR="006A29C3" w:rsidRPr="004676F5" w:rsidRDefault="006A29C3" w:rsidP="006A29C3">
      <w:pPr>
        <w:jc w:val="both"/>
        <w:rPr>
          <w:lang w:val="de-DE"/>
        </w:rPr>
      </w:pPr>
      <w:r w:rsidRPr="004676F5">
        <w:rPr>
          <w:lang w:val="de-DE"/>
        </w:rPr>
        <w:tab/>
        <w:t>Der oder die in Absatz 1 erwähnten Sonderkommissare haben den Auftrag, die Verteilung der in § 2 erwähnten Vergütungen vorzunehmen in Anwendung der Verteilungs</w:t>
      </w:r>
      <w:r w:rsidRPr="004676F5">
        <w:rPr>
          <w:lang w:val="de-DE"/>
        </w:rPr>
        <w:softHyphen/>
        <w:t>regeln der Verwertungsgesellschaft oder Organisation für die kollektive Rechtewahrnehmung oder, falls diese sich als nicht gesetzmäßig oder nicht konform mit der Satzung der Verwertungsgesellschaft oder Organisation für die kollektive Rechtewahrnehmung erweisen, in Anwendung der von ihnen festgelegten Verteilungsregeln. Entwürfe der Verteilungsregeln werden dem Kontrolldienst vor ihrer Festlegung zur Stellungnahme übermittelt. Dieser gibt seine Stellungnahme innerhalb einer Frist von fünfzehn Tagen ab Empfang der Entwürfe ab. Unter Berücksichtigung der Erfordernisse und in den Grenzen der Durchführung der Einstellung der Verwertungstätigkeiten, für die die Zulassung entzogen wird, sind der oder die in Absatz 1 erwähnten Kommissare ermächtigt, Verträge in Bezug auf Einnahme und Verwertung der Vergütungen zu verlängern.</w:t>
      </w:r>
    </w:p>
    <w:p w14:paraId="1198A9F1" w14:textId="77777777" w:rsidR="006A29C3" w:rsidRPr="004676F5" w:rsidRDefault="006A29C3" w:rsidP="006A29C3">
      <w:pPr>
        <w:jc w:val="both"/>
        <w:rPr>
          <w:lang w:val="de-DE"/>
        </w:rPr>
      </w:pPr>
    </w:p>
    <w:p w14:paraId="28BC48D6" w14:textId="77777777" w:rsidR="006A29C3" w:rsidRPr="004676F5" w:rsidRDefault="006A29C3" w:rsidP="006A29C3">
      <w:pPr>
        <w:jc w:val="both"/>
        <w:rPr>
          <w:lang w:val="de-DE"/>
        </w:rPr>
      </w:pPr>
      <w:r w:rsidRPr="004676F5">
        <w:rPr>
          <w:lang w:val="de-DE"/>
        </w:rPr>
        <w:tab/>
        <w:t>Die Entlohnung des oder der Sonderkommissare wird vom Minister gemäß einer vom König festgelegten Gehaltstabelle festgelegt und wird von der Gesellschaft oder Organisation, der die Zulassung entzogen wurde, geschuldet. Sie wird von dem in Anwendung von Artikel XI.287 errichteten Grundlagenfonds vorgestreckt und vom FÖD Wirtschaft zu Lasten der Gesellschaft oder Organisation, der die Zulassung entzogen wurde, zurückgefordert.</w:t>
      </w:r>
    </w:p>
    <w:p w14:paraId="5A42FBC1" w14:textId="77777777" w:rsidR="006A29C3" w:rsidRPr="004676F5" w:rsidRDefault="006A29C3" w:rsidP="006A29C3">
      <w:pPr>
        <w:jc w:val="both"/>
        <w:rPr>
          <w:lang w:val="de-DE"/>
        </w:rPr>
      </w:pPr>
    </w:p>
    <w:p w14:paraId="56C0F5ED" w14:textId="77777777" w:rsidR="006A29C3" w:rsidRPr="004676F5" w:rsidRDefault="006A29C3" w:rsidP="006A29C3">
      <w:pPr>
        <w:jc w:val="both"/>
        <w:rPr>
          <w:lang w:val="de-DE"/>
        </w:rPr>
      </w:pPr>
      <w:r w:rsidRPr="004676F5">
        <w:rPr>
          <w:lang w:val="de-DE"/>
        </w:rPr>
        <w:tab/>
        <w:t>Der oder die Sonderkommissare legen dem Minister mindestens einmal pro Quartal einen schriftlichen Bericht über ihre Tätigkeiten vor.</w:t>
      </w:r>
    </w:p>
    <w:p w14:paraId="43A764A2" w14:textId="77777777" w:rsidR="006A29C3" w:rsidRPr="004676F5" w:rsidRDefault="006A29C3" w:rsidP="006A29C3">
      <w:pPr>
        <w:jc w:val="both"/>
        <w:rPr>
          <w:lang w:val="de-DE"/>
        </w:rPr>
      </w:pPr>
    </w:p>
    <w:p w14:paraId="07CC6509" w14:textId="77777777" w:rsidR="004A4FF0" w:rsidRPr="004676F5" w:rsidRDefault="006A29C3" w:rsidP="006A29C3">
      <w:pPr>
        <w:ind w:firstLine="708"/>
        <w:jc w:val="both"/>
        <w:rPr>
          <w:lang w:val="de-DE"/>
        </w:rPr>
      </w:pPr>
      <w:r w:rsidRPr="004676F5">
        <w:rPr>
          <w:lang w:val="de-DE"/>
        </w:rPr>
        <w:t>Der Auftrag des oder der Sonderkommissare endet auf Beschluss des Ministers.]</w:t>
      </w:r>
    </w:p>
    <w:p w14:paraId="474CB700" w14:textId="77777777" w:rsidR="006A29C3" w:rsidRPr="004676F5" w:rsidRDefault="006A29C3" w:rsidP="006A29C3">
      <w:pPr>
        <w:ind w:firstLine="708"/>
        <w:jc w:val="both"/>
        <w:rPr>
          <w:lang w:val="de-DE"/>
        </w:rPr>
      </w:pPr>
    </w:p>
    <w:p w14:paraId="651565B2" w14:textId="4B1AC4B4" w:rsidR="006A29C3" w:rsidRPr="00B14651" w:rsidRDefault="006A29C3" w:rsidP="006A29C3">
      <w:pPr>
        <w:jc w:val="both"/>
        <w:rPr>
          <w:i/>
          <w:lang w:val="de-DE"/>
        </w:rPr>
      </w:pPr>
      <w:r w:rsidRPr="004676F5">
        <w:rPr>
          <w:i/>
          <w:lang w:val="de-DE"/>
        </w:rPr>
        <w:t>[</w:t>
      </w:r>
      <w:r w:rsidR="00BE0A56" w:rsidRPr="004676F5">
        <w:rPr>
          <w:i/>
          <w:lang w:val="de-DE"/>
        </w:rPr>
        <w:t>Art. </w:t>
      </w:r>
      <w:r w:rsidRPr="004676F5">
        <w:rPr>
          <w:i/>
          <w:lang w:val="de-DE"/>
        </w:rPr>
        <w:t xml:space="preserve">XV.66/1 ersetzt durch </w:t>
      </w:r>
      <w:r w:rsidR="00BE0A56" w:rsidRPr="004676F5">
        <w:rPr>
          <w:i/>
          <w:lang w:val="de-DE"/>
        </w:rPr>
        <w:t>Art. </w:t>
      </w:r>
      <w:r w:rsidRPr="004676F5">
        <w:rPr>
          <w:i/>
          <w:lang w:val="de-DE"/>
        </w:rPr>
        <w:t>115 des G. vom 8. </w:t>
      </w:r>
      <w:r w:rsidRPr="00B14651">
        <w:rPr>
          <w:i/>
          <w:lang w:val="de-DE"/>
        </w:rPr>
        <w:t>Juni 2017 (B.S. vom 27. Juni 2017)]</w:t>
      </w:r>
    </w:p>
    <w:p w14:paraId="00EB50AF" w14:textId="77777777" w:rsidR="004A4FF0" w:rsidRPr="00B14651" w:rsidRDefault="004A4FF0" w:rsidP="004A4FF0">
      <w:pPr>
        <w:ind w:firstLine="708"/>
        <w:jc w:val="both"/>
        <w:rPr>
          <w:lang w:val="de-DE"/>
        </w:rPr>
      </w:pPr>
    </w:p>
    <w:p w14:paraId="5E82F615" w14:textId="77777777" w:rsidR="004A4FF0" w:rsidRPr="00B14651" w:rsidRDefault="004A4FF0" w:rsidP="004A4FF0">
      <w:pPr>
        <w:ind w:firstLine="708"/>
        <w:jc w:val="both"/>
        <w:rPr>
          <w:lang w:val="de-DE"/>
        </w:rPr>
      </w:pPr>
    </w:p>
    <w:p w14:paraId="6127596C" w14:textId="2D2CD175" w:rsidR="006A29C3" w:rsidRPr="004676F5" w:rsidRDefault="00BE0A56" w:rsidP="006A29C3">
      <w:pPr>
        <w:ind w:firstLine="708"/>
        <w:jc w:val="both"/>
        <w:rPr>
          <w:lang w:val="de-DE"/>
        </w:rPr>
      </w:pPr>
      <w:r w:rsidRPr="004676F5">
        <w:rPr>
          <w:b/>
          <w:lang w:val="de-DE"/>
        </w:rPr>
        <w:lastRenderedPageBreak/>
        <w:t>Art. </w:t>
      </w:r>
      <w:r w:rsidR="004A4FF0" w:rsidRPr="004676F5">
        <w:rPr>
          <w:b/>
          <w:lang w:val="de-DE"/>
        </w:rPr>
        <w:t>XV.66/2</w:t>
      </w:r>
      <w:r w:rsidR="004A4FF0" w:rsidRPr="004676F5">
        <w:rPr>
          <w:lang w:val="de-DE"/>
        </w:rPr>
        <w:t> </w:t>
      </w:r>
      <w:r w:rsidR="005B7A5C" w:rsidRPr="004676F5">
        <w:rPr>
          <w:lang w:val="de-DE"/>
        </w:rPr>
        <w:t>- </w:t>
      </w:r>
      <w:r w:rsidR="006A29C3" w:rsidRPr="004676F5">
        <w:rPr>
          <w:lang w:val="de-DE"/>
        </w:rPr>
        <w:t>[§ 1 </w:t>
      </w:r>
      <w:r w:rsidR="005B7A5C" w:rsidRPr="004676F5">
        <w:rPr>
          <w:lang w:val="de-DE"/>
        </w:rPr>
        <w:t>- </w:t>
      </w:r>
      <w:r w:rsidR="006A29C3" w:rsidRPr="004676F5">
        <w:rPr>
          <w:lang w:val="de-DE"/>
        </w:rPr>
        <w:t>Wenn bei Ablauf der in Anwendung von Artikel XV.31/1 festgelegten Frist den festgestellten Missständen nicht abgeholfen worden ist, kann der Minister oder der eigens zu diesem Zweck bestellte Bedienstete unbeschadet anderer durch Gesetz vorgesehener Maßnahmen und insofern die in Artikel XV.31/1 § 1 Absatz 1 erwähnte Verwertungsgesellschaft, unabhängige Verwertungseinrichtung, Organisation für die kollek</w:t>
      </w:r>
      <w:r w:rsidR="006A29C3" w:rsidRPr="004676F5">
        <w:rPr>
          <w:lang w:val="de-DE"/>
        </w:rPr>
        <w:softHyphen/>
        <w:t>tive Rechtewahrnehmung oder Person gemäß § 2 ihre Rechtsmittel hat geltend machen können:</w:t>
      </w:r>
    </w:p>
    <w:p w14:paraId="3D9E68B7" w14:textId="77777777" w:rsidR="006A29C3" w:rsidRPr="004676F5" w:rsidRDefault="006A29C3" w:rsidP="006A29C3">
      <w:pPr>
        <w:jc w:val="both"/>
        <w:rPr>
          <w:lang w:val="de-DE"/>
        </w:rPr>
      </w:pPr>
    </w:p>
    <w:p w14:paraId="0123FE37" w14:textId="77777777" w:rsidR="006A29C3" w:rsidRPr="004676F5" w:rsidRDefault="006A29C3" w:rsidP="006A29C3">
      <w:pPr>
        <w:jc w:val="both"/>
        <w:rPr>
          <w:lang w:val="de-DE"/>
        </w:rPr>
      </w:pPr>
      <w:r w:rsidRPr="004676F5">
        <w:rPr>
          <w:lang w:val="de-DE"/>
        </w:rPr>
        <w:tab/>
        <w:t>1. bekanntmachen, dass die in Artikel XV.31/1 § 1 Absatz 1 erwähnte Verwertungs</w:t>
      </w:r>
      <w:r w:rsidRPr="004676F5">
        <w:rPr>
          <w:lang w:val="de-DE"/>
        </w:rPr>
        <w:softHyphen/>
        <w:t>gesellschaft, unabhängige Verwertungseinrichtung, Organisation für die kollektive Rechtewahrnehmung oder Person ungeachtet der in Anwendung von Artikel XV.31/1 festgelegten Frist die Gesetzesbestimmungen nicht eingehalten hat, deren Übertretung festgestellt worden ist,</w:t>
      </w:r>
    </w:p>
    <w:p w14:paraId="5CDC2D44" w14:textId="77777777" w:rsidR="006A29C3" w:rsidRPr="004676F5" w:rsidRDefault="006A29C3" w:rsidP="006A29C3">
      <w:pPr>
        <w:jc w:val="both"/>
        <w:rPr>
          <w:lang w:val="de-DE"/>
        </w:rPr>
      </w:pPr>
    </w:p>
    <w:p w14:paraId="05C166C5" w14:textId="77777777" w:rsidR="006A29C3" w:rsidRPr="004676F5" w:rsidRDefault="006A29C3" w:rsidP="006A29C3">
      <w:pPr>
        <w:jc w:val="both"/>
        <w:rPr>
          <w:lang w:val="de-DE"/>
        </w:rPr>
      </w:pPr>
      <w:r w:rsidRPr="004676F5">
        <w:rPr>
          <w:lang w:val="de-DE"/>
        </w:rPr>
        <w:tab/>
        <w:t>2. für die Dauer, die er bestimmt, die direkte oder indirekte Ausübung der in Artikel I.16 § 1 Nr. 4 bis 6 erwähnten, ohne Zulassung oder Erklärung ausgeübten Verwertungstätigkeit ganz oder teilweise aussetzen oder verbieten,</w:t>
      </w:r>
    </w:p>
    <w:p w14:paraId="67904312" w14:textId="77777777" w:rsidR="006A29C3" w:rsidRPr="004676F5" w:rsidRDefault="006A29C3" w:rsidP="006A29C3">
      <w:pPr>
        <w:jc w:val="both"/>
        <w:rPr>
          <w:lang w:val="de-DE"/>
        </w:rPr>
      </w:pPr>
    </w:p>
    <w:p w14:paraId="2469E986" w14:textId="77777777" w:rsidR="006A29C3" w:rsidRPr="004676F5" w:rsidRDefault="006A29C3" w:rsidP="006A29C3">
      <w:pPr>
        <w:jc w:val="both"/>
        <w:rPr>
          <w:lang w:val="de-DE"/>
        </w:rPr>
      </w:pPr>
      <w:r w:rsidRPr="004676F5">
        <w:rPr>
          <w:lang w:val="de-DE"/>
        </w:rPr>
        <w:tab/>
        <w:t>3. eine administrative Geldbuße von 100 bis 110.000 EUR auferlegen; dies gilt nicht bei Verstoß gegen die in Artikel XV.112 erwähnten Bestimmungen.</w:t>
      </w:r>
    </w:p>
    <w:p w14:paraId="0E30874F" w14:textId="77777777" w:rsidR="006A29C3" w:rsidRPr="004676F5" w:rsidRDefault="006A29C3" w:rsidP="006A29C3">
      <w:pPr>
        <w:jc w:val="both"/>
        <w:rPr>
          <w:lang w:val="de-DE"/>
        </w:rPr>
      </w:pPr>
    </w:p>
    <w:p w14:paraId="76C39C11" w14:textId="73BCC531" w:rsidR="006A29C3" w:rsidRPr="004676F5" w:rsidRDefault="006A29C3" w:rsidP="006A29C3">
      <w:pPr>
        <w:jc w:val="both"/>
        <w:rPr>
          <w:lang w:val="de-DE"/>
        </w:rPr>
      </w:pPr>
      <w:r w:rsidRPr="004676F5">
        <w:rPr>
          <w:lang w:val="de-DE"/>
        </w:rPr>
        <w:tab/>
        <w:t>§ 2 </w:t>
      </w:r>
      <w:r w:rsidR="005B7A5C" w:rsidRPr="004676F5">
        <w:rPr>
          <w:lang w:val="de-DE"/>
        </w:rPr>
        <w:t>- </w:t>
      </w:r>
      <w:r w:rsidRPr="004676F5">
        <w:rPr>
          <w:lang w:val="de-DE"/>
        </w:rPr>
        <w:t>Wird eine der in § 1 erwähnten Maßnahmen in Erwägung gezogen, so notifiziert der Minister oder der eigens zu diesem Zweck bestellte Bedienstete der betreffenden, in Artikel XV.31/1 § 1 Absatz 1 erwähnten Verwertungsgesellschaft, unabhängigen Verwer</w:t>
      </w:r>
      <w:r w:rsidRPr="004676F5">
        <w:rPr>
          <w:lang w:val="de-DE"/>
        </w:rPr>
        <w:softHyphen/>
        <w:t>tungs</w:t>
      </w:r>
      <w:r w:rsidRPr="004676F5">
        <w:rPr>
          <w:lang w:val="de-DE"/>
        </w:rPr>
        <w:softHyphen/>
        <w:t>ein</w:t>
      </w:r>
      <w:r w:rsidRPr="004676F5">
        <w:rPr>
          <w:lang w:val="de-DE"/>
        </w:rPr>
        <w:softHyphen/>
        <w:t>richtung, Organisation für die kollektive Rechtewahrnehmung oder Person im Voraus per Einschreibesendung mit Rückschein seine Beschwerdegründe.</w:t>
      </w:r>
    </w:p>
    <w:p w14:paraId="4947251F" w14:textId="77777777" w:rsidR="006A29C3" w:rsidRPr="004676F5" w:rsidRDefault="006A29C3" w:rsidP="006A29C3">
      <w:pPr>
        <w:jc w:val="both"/>
        <w:rPr>
          <w:lang w:val="de-DE"/>
        </w:rPr>
      </w:pPr>
    </w:p>
    <w:p w14:paraId="4967F44C" w14:textId="77777777" w:rsidR="006A29C3" w:rsidRPr="004676F5" w:rsidRDefault="006A29C3" w:rsidP="006A29C3">
      <w:pPr>
        <w:jc w:val="both"/>
        <w:rPr>
          <w:lang w:val="de-DE"/>
        </w:rPr>
      </w:pPr>
      <w:r w:rsidRPr="004676F5">
        <w:rPr>
          <w:lang w:val="de-DE"/>
        </w:rPr>
        <w:tab/>
        <w:t>Mit dieser Einschreibesendung bringt er der in Artikel XV.31/1 § 1 Absatz 1 erwähnten Verwertungsgesellschaft, unabhängigen Verwertungseinrichtung, Organisation für die kollek</w:t>
      </w:r>
      <w:r w:rsidRPr="004676F5">
        <w:rPr>
          <w:lang w:val="de-DE"/>
        </w:rPr>
        <w:softHyphen/>
        <w:t>tive Rechtewahrnehmung oder Person Folgendes zur Kenntnis:</w:t>
      </w:r>
    </w:p>
    <w:p w14:paraId="3413DFE0" w14:textId="77777777" w:rsidR="006A29C3" w:rsidRPr="004676F5" w:rsidRDefault="006A29C3" w:rsidP="006A29C3">
      <w:pPr>
        <w:jc w:val="both"/>
        <w:rPr>
          <w:lang w:val="de-DE"/>
        </w:rPr>
      </w:pPr>
    </w:p>
    <w:p w14:paraId="79806D29" w14:textId="77777777" w:rsidR="006A29C3" w:rsidRPr="004676F5" w:rsidRDefault="006A29C3" w:rsidP="006A29C3">
      <w:pPr>
        <w:jc w:val="both"/>
        <w:rPr>
          <w:lang w:val="de-DE"/>
        </w:rPr>
      </w:pPr>
      <w:r w:rsidRPr="004676F5">
        <w:rPr>
          <w:lang w:val="de-DE"/>
        </w:rPr>
        <w:tab/>
        <w:t>1. den Tatbestand, für den das Verfahren eingeleitet wird,</w:t>
      </w:r>
    </w:p>
    <w:p w14:paraId="4EE8C776" w14:textId="77777777" w:rsidR="006A29C3" w:rsidRPr="004676F5" w:rsidRDefault="006A29C3" w:rsidP="006A29C3">
      <w:pPr>
        <w:jc w:val="both"/>
        <w:rPr>
          <w:lang w:val="de-DE"/>
        </w:rPr>
      </w:pPr>
    </w:p>
    <w:p w14:paraId="5338E696" w14:textId="77777777" w:rsidR="006A29C3" w:rsidRPr="004676F5" w:rsidRDefault="006A29C3" w:rsidP="006A29C3">
      <w:pPr>
        <w:jc w:val="both"/>
        <w:rPr>
          <w:lang w:val="de-DE"/>
        </w:rPr>
      </w:pPr>
      <w:r w:rsidRPr="004676F5">
        <w:rPr>
          <w:lang w:val="de-DE"/>
        </w:rPr>
        <w:tab/>
        <w:t>2. dass der Zuwiderhandelnde ab der Notifizierung per Einschreibesendung seitens des Ministers oder des eigens zu diesem Zweck bestellten Bediensteten über eine Frist von zwei Monaten verfügt, um schriftlich per Einschreibesendung seine Verteidigungsmittel geltend zu machen; bei dieser Gelegenheit hat er die Möglichkeit, bei dem Minister oder dem eigens zu diesem Zweck bestellten Bediensteten zu beantragen, seine Verteidigung mündlich vorzubringen,</w:t>
      </w:r>
    </w:p>
    <w:p w14:paraId="48F2F7D6" w14:textId="77777777" w:rsidR="006A29C3" w:rsidRPr="004676F5" w:rsidRDefault="006A29C3" w:rsidP="006A29C3">
      <w:pPr>
        <w:jc w:val="both"/>
        <w:rPr>
          <w:lang w:val="de-DE"/>
        </w:rPr>
      </w:pPr>
    </w:p>
    <w:p w14:paraId="2C1AA370" w14:textId="77777777" w:rsidR="006A29C3" w:rsidRPr="004676F5" w:rsidRDefault="006A29C3" w:rsidP="006A29C3">
      <w:pPr>
        <w:jc w:val="both"/>
        <w:rPr>
          <w:lang w:val="de-DE"/>
        </w:rPr>
      </w:pPr>
      <w:r w:rsidRPr="004676F5">
        <w:rPr>
          <w:lang w:val="de-DE"/>
        </w:rPr>
        <w:tab/>
        <w:t>3. dass der Zuwiderhandelnde das Recht hat, sich von einem Beistand beistehen zu lassen,</w:t>
      </w:r>
    </w:p>
    <w:p w14:paraId="14FCB93C" w14:textId="77777777" w:rsidR="006A29C3" w:rsidRPr="004676F5" w:rsidRDefault="006A29C3" w:rsidP="006A29C3">
      <w:pPr>
        <w:jc w:val="both"/>
        <w:rPr>
          <w:lang w:val="de-DE"/>
        </w:rPr>
      </w:pPr>
    </w:p>
    <w:p w14:paraId="3E5AF974" w14:textId="77777777" w:rsidR="006A29C3" w:rsidRPr="004676F5" w:rsidRDefault="006A29C3" w:rsidP="006A29C3">
      <w:pPr>
        <w:jc w:val="both"/>
        <w:rPr>
          <w:lang w:val="de-DE"/>
        </w:rPr>
      </w:pPr>
      <w:r w:rsidRPr="004676F5">
        <w:rPr>
          <w:lang w:val="de-DE"/>
        </w:rPr>
        <w:tab/>
        <w:t>4. dass der Zuwiderhandelnde das Recht auf Akteneinsicht hat,</w:t>
      </w:r>
    </w:p>
    <w:p w14:paraId="4320BBFF" w14:textId="77777777" w:rsidR="006A29C3" w:rsidRPr="004676F5" w:rsidRDefault="006A29C3" w:rsidP="006A29C3">
      <w:pPr>
        <w:jc w:val="both"/>
        <w:rPr>
          <w:lang w:val="de-DE"/>
        </w:rPr>
      </w:pPr>
    </w:p>
    <w:p w14:paraId="59D8EBD8" w14:textId="77777777" w:rsidR="006A29C3" w:rsidRPr="004676F5" w:rsidRDefault="006A29C3" w:rsidP="006A29C3">
      <w:pPr>
        <w:jc w:val="both"/>
        <w:rPr>
          <w:lang w:val="de-DE"/>
        </w:rPr>
      </w:pPr>
      <w:r w:rsidRPr="004676F5">
        <w:rPr>
          <w:lang w:val="de-DE"/>
        </w:rPr>
        <w:tab/>
        <w:t>5. eine Abschrift der in Artikel XV.31/1 erwähnten Verwarnung.</w:t>
      </w:r>
    </w:p>
    <w:p w14:paraId="71DC9EDF" w14:textId="77777777" w:rsidR="006A29C3" w:rsidRPr="004676F5" w:rsidRDefault="006A29C3" w:rsidP="006A29C3">
      <w:pPr>
        <w:jc w:val="both"/>
        <w:rPr>
          <w:lang w:val="de-DE"/>
        </w:rPr>
      </w:pPr>
    </w:p>
    <w:p w14:paraId="37C7D64F" w14:textId="2CA76E71" w:rsidR="006A29C3" w:rsidRPr="004676F5" w:rsidRDefault="006A29C3" w:rsidP="006A29C3">
      <w:pPr>
        <w:jc w:val="both"/>
        <w:rPr>
          <w:lang w:val="de-DE"/>
        </w:rPr>
      </w:pPr>
      <w:r w:rsidRPr="004676F5">
        <w:rPr>
          <w:lang w:val="de-DE"/>
        </w:rPr>
        <w:tab/>
        <w:t>§ 3 </w:t>
      </w:r>
      <w:r w:rsidR="005B7A5C" w:rsidRPr="004676F5">
        <w:rPr>
          <w:lang w:val="de-DE"/>
        </w:rPr>
        <w:t>- </w:t>
      </w:r>
      <w:r w:rsidRPr="004676F5">
        <w:rPr>
          <w:lang w:val="de-DE"/>
        </w:rPr>
        <w:t>Führt eine Person, die eine Verwertungstätigkeit ohne Zulassung gemäß Artikel XI.273/17 oder ohne Erklärung gemäß Artikel XI.273/18 ausübt, Handlungen aus oder trifft sie Beschlüsse unter Verstoß gegen die Aussetzung oder das Verbot, so haftet sie für den Schaden, der daraus für Dritte entsteht.</w:t>
      </w:r>
    </w:p>
    <w:p w14:paraId="087573F0" w14:textId="77777777" w:rsidR="006A29C3" w:rsidRPr="004676F5" w:rsidRDefault="006A29C3" w:rsidP="006A29C3">
      <w:pPr>
        <w:jc w:val="both"/>
        <w:rPr>
          <w:lang w:val="de-DE"/>
        </w:rPr>
      </w:pPr>
    </w:p>
    <w:p w14:paraId="1CED6C7F" w14:textId="1BDAFF58" w:rsidR="006A29C3" w:rsidRPr="004676F5" w:rsidRDefault="006A29C3" w:rsidP="006A29C3">
      <w:pPr>
        <w:jc w:val="both"/>
        <w:rPr>
          <w:lang w:val="de-DE"/>
        </w:rPr>
      </w:pPr>
      <w:r w:rsidRPr="004676F5">
        <w:rPr>
          <w:lang w:val="de-DE"/>
        </w:rPr>
        <w:tab/>
        <w:t>Ist die in Absatz 1 erwähnte Person eine juristische Person, so haften die Mitglieder der Verwaltungs</w:t>
      </w:r>
      <w:r w:rsidR="005B7A5C" w:rsidRPr="004676F5">
        <w:rPr>
          <w:lang w:val="de-DE"/>
        </w:rPr>
        <w:t>- </w:t>
      </w:r>
      <w:r w:rsidRPr="004676F5">
        <w:rPr>
          <w:lang w:val="de-DE"/>
        </w:rPr>
        <w:t>und Geschäftsführungsorgane und die mit der Geschäftsführung beauftragten Personen, die unter Verstoß gegen die Aussetzung oder das Verbot Handlungen vornehmen oder Beschlüsse fassen, gesamtschuldnerisch für den Schaden, der daraus für Dritte entsteht.</w:t>
      </w:r>
    </w:p>
    <w:p w14:paraId="5B68015A" w14:textId="77777777" w:rsidR="006A29C3" w:rsidRPr="004676F5" w:rsidRDefault="006A29C3" w:rsidP="006A29C3">
      <w:pPr>
        <w:jc w:val="both"/>
        <w:rPr>
          <w:lang w:val="de-DE"/>
        </w:rPr>
      </w:pPr>
    </w:p>
    <w:p w14:paraId="4008C2E5" w14:textId="191938D7" w:rsidR="006A29C3" w:rsidRPr="004676F5" w:rsidRDefault="006A29C3" w:rsidP="006A29C3">
      <w:pPr>
        <w:jc w:val="both"/>
        <w:rPr>
          <w:lang w:val="de-DE"/>
        </w:rPr>
      </w:pPr>
      <w:r w:rsidRPr="004676F5">
        <w:rPr>
          <w:lang w:val="de-DE"/>
        </w:rPr>
        <w:tab/>
        <w:t>Aussetzungs</w:t>
      </w:r>
      <w:r w:rsidR="005B7A5C" w:rsidRPr="004676F5">
        <w:rPr>
          <w:lang w:val="de-DE"/>
        </w:rPr>
        <w:t>- </w:t>
      </w:r>
      <w:r w:rsidRPr="004676F5">
        <w:rPr>
          <w:lang w:val="de-DE"/>
        </w:rPr>
        <w:t xml:space="preserve">oder Verbotsbeschlüsse werden im </w:t>
      </w:r>
      <w:r w:rsidRPr="004676F5">
        <w:rPr>
          <w:i/>
          <w:lang w:val="de-DE"/>
        </w:rPr>
        <w:t>Belgischen Staatsblatt</w:t>
      </w:r>
      <w:r w:rsidRPr="004676F5">
        <w:rPr>
          <w:lang w:val="de-DE"/>
        </w:rPr>
        <w:t xml:space="preserve"> veröffentlicht. Handlungen und Beschlüsse, die unter Verstoß gegen diesen Beschluss vorgenommen beziehungsweise gefasst werden, sind nichtig.</w:t>
      </w:r>
    </w:p>
    <w:p w14:paraId="2B29A5EE" w14:textId="77777777" w:rsidR="006A29C3" w:rsidRPr="004676F5" w:rsidRDefault="006A29C3" w:rsidP="006A29C3">
      <w:pPr>
        <w:jc w:val="both"/>
        <w:rPr>
          <w:lang w:val="de-DE"/>
        </w:rPr>
      </w:pPr>
    </w:p>
    <w:p w14:paraId="77CF7406" w14:textId="4113D5F2" w:rsidR="006A29C3" w:rsidRPr="004676F5" w:rsidRDefault="006A29C3" w:rsidP="006A29C3">
      <w:pPr>
        <w:jc w:val="both"/>
        <w:rPr>
          <w:lang w:val="de-DE"/>
        </w:rPr>
      </w:pPr>
      <w:r w:rsidRPr="004676F5">
        <w:rPr>
          <w:lang w:val="de-DE"/>
        </w:rPr>
        <w:tab/>
        <w:t>§ 4 </w:t>
      </w:r>
      <w:r w:rsidR="005B7A5C" w:rsidRPr="004676F5">
        <w:rPr>
          <w:lang w:val="de-DE"/>
        </w:rPr>
        <w:t>- </w:t>
      </w:r>
      <w:r w:rsidRPr="004676F5">
        <w:rPr>
          <w:lang w:val="de-DE"/>
        </w:rPr>
        <w:t>In § 1 Nr. 1 und 2 erwähnte Beschlüsse des Ministers werden in Bezug auf die in Artikel XV.31/1 § 1 Absatz 1 erwähnte Verwertungsgesellschaft, unabhängige Verwertungs</w:t>
      </w:r>
      <w:r w:rsidRPr="004676F5">
        <w:rPr>
          <w:lang w:val="de-DE"/>
        </w:rPr>
        <w:softHyphen/>
        <w:t xml:space="preserve">einrichtung, Organisation für die kollektive Rechtewahrnehmung oder Person ab dem Datum, an dem sie der Gesellschaft, Einrichtung, Organisation oder Person per Einschreibesendung mit Rückschein notifiziert werden, und in Bezug auf Dritte ab dem Datum ihrer Veröffentlichung im </w:t>
      </w:r>
      <w:r w:rsidRPr="004676F5">
        <w:rPr>
          <w:i/>
          <w:lang w:val="de-DE"/>
        </w:rPr>
        <w:t>Belgischen Staatsblatt</w:t>
      </w:r>
      <w:r w:rsidRPr="004676F5">
        <w:rPr>
          <w:lang w:val="de-DE"/>
        </w:rPr>
        <w:t xml:space="preserve"> gemäß den Bestimmungen von § 1 wirksam.</w:t>
      </w:r>
    </w:p>
    <w:p w14:paraId="6CA2FED7" w14:textId="77777777" w:rsidR="006A29C3" w:rsidRPr="004676F5" w:rsidRDefault="006A29C3" w:rsidP="006A29C3">
      <w:pPr>
        <w:jc w:val="both"/>
        <w:rPr>
          <w:lang w:val="de-DE"/>
        </w:rPr>
      </w:pPr>
    </w:p>
    <w:p w14:paraId="44177744" w14:textId="6FD77020" w:rsidR="006A29C3" w:rsidRPr="004676F5" w:rsidRDefault="006A29C3" w:rsidP="006A29C3">
      <w:pPr>
        <w:jc w:val="both"/>
        <w:rPr>
          <w:lang w:val="de-DE"/>
        </w:rPr>
      </w:pPr>
      <w:r w:rsidRPr="004676F5">
        <w:rPr>
          <w:lang w:val="de-DE"/>
        </w:rPr>
        <w:tab/>
        <w:t>§ 5 </w:t>
      </w:r>
      <w:r w:rsidR="005B7A5C" w:rsidRPr="004676F5">
        <w:rPr>
          <w:lang w:val="de-DE"/>
        </w:rPr>
        <w:t>- </w:t>
      </w:r>
      <w:r w:rsidRPr="004676F5">
        <w:rPr>
          <w:lang w:val="de-DE"/>
        </w:rPr>
        <w:t>Bei Ablauf der in § 2 Absatz 2 Nr. 2 erwähnten Frist oder gegebenenfalls nach der vom Zuwiderhandelnden beziehungsweise seinem Beistand schriftlich oder mündlich vorgebrachten Verteidigung kann der eigens zu diesem Zweck bestellte Bedienstete dem Zuwiderhandelnden aufgrund des Paragraphen 1 eine administrative Geldbuße auferlegen.</w:t>
      </w:r>
    </w:p>
    <w:p w14:paraId="53473A9A" w14:textId="77777777" w:rsidR="006A29C3" w:rsidRPr="004676F5" w:rsidRDefault="006A29C3" w:rsidP="006A29C3">
      <w:pPr>
        <w:jc w:val="both"/>
        <w:rPr>
          <w:lang w:val="de-DE"/>
        </w:rPr>
      </w:pPr>
    </w:p>
    <w:p w14:paraId="6EA00A0C" w14:textId="77777777" w:rsidR="006A29C3" w:rsidRPr="004676F5" w:rsidRDefault="006A29C3" w:rsidP="006A29C3">
      <w:pPr>
        <w:jc w:val="both"/>
        <w:rPr>
          <w:lang w:val="de-DE"/>
        </w:rPr>
      </w:pPr>
      <w:r w:rsidRPr="004676F5">
        <w:rPr>
          <w:lang w:val="de-DE"/>
        </w:rPr>
        <w:tab/>
        <w:t>Der Beschluss zur Auferlegung einer administrativen Geldbuße ist nach Ablauf einer Frist von einem Monat ab dem Tag seiner Notifizierung gemäß § 6 vollstreckbar.</w:t>
      </w:r>
    </w:p>
    <w:p w14:paraId="0CAE61FA" w14:textId="77777777" w:rsidR="006A29C3" w:rsidRPr="004676F5" w:rsidRDefault="006A29C3" w:rsidP="006A29C3">
      <w:pPr>
        <w:jc w:val="both"/>
        <w:rPr>
          <w:lang w:val="de-DE"/>
        </w:rPr>
      </w:pPr>
    </w:p>
    <w:p w14:paraId="18F171CA" w14:textId="00A81C45" w:rsidR="006A29C3" w:rsidRPr="004676F5" w:rsidRDefault="006A29C3" w:rsidP="006A29C3">
      <w:pPr>
        <w:jc w:val="both"/>
        <w:rPr>
          <w:lang w:val="de-DE"/>
        </w:rPr>
      </w:pPr>
      <w:r w:rsidRPr="004676F5">
        <w:rPr>
          <w:lang w:val="de-DE"/>
        </w:rPr>
        <w:tab/>
        <w:t>§ 6 </w:t>
      </w:r>
      <w:r w:rsidR="005B7A5C" w:rsidRPr="004676F5">
        <w:rPr>
          <w:lang w:val="de-DE"/>
        </w:rPr>
        <w:t>- </w:t>
      </w:r>
      <w:r w:rsidRPr="004676F5">
        <w:rPr>
          <w:lang w:val="de-DE"/>
        </w:rPr>
        <w:t>Der Beschluss wird dem Zuwiderhandelnden per Einschreibesendung notifiziert.</w:t>
      </w:r>
    </w:p>
    <w:p w14:paraId="01A70E2E" w14:textId="77777777" w:rsidR="006A29C3" w:rsidRPr="004676F5" w:rsidRDefault="006A29C3" w:rsidP="006A29C3">
      <w:pPr>
        <w:jc w:val="both"/>
        <w:rPr>
          <w:lang w:val="de-DE"/>
        </w:rPr>
      </w:pPr>
    </w:p>
    <w:p w14:paraId="00D7AC3E" w14:textId="61DA2D59" w:rsidR="004A4FF0" w:rsidRPr="004676F5" w:rsidRDefault="006A29C3" w:rsidP="006A29C3">
      <w:pPr>
        <w:ind w:firstLine="708"/>
        <w:jc w:val="both"/>
        <w:rPr>
          <w:lang w:val="de-DE"/>
        </w:rPr>
      </w:pPr>
      <w:r w:rsidRPr="004676F5">
        <w:rPr>
          <w:lang w:val="de-DE"/>
        </w:rPr>
        <w:t>§ 7 </w:t>
      </w:r>
      <w:r w:rsidR="005B7A5C" w:rsidRPr="004676F5">
        <w:rPr>
          <w:lang w:val="de-DE"/>
        </w:rPr>
        <w:t>- </w:t>
      </w:r>
      <w:r w:rsidRPr="004676F5">
        <w:rPr>
          <w:lang w:val="de-DE"/>
        </w:rPr>
        <w:t>Der in § 5 erwähnte Bedienstete kann nach Ablauf einer Frist von fünf Jahren ab dem Tag, an dem eine Handlung begangen wurde, eventuelle Widerspruchsverfahren nicht einbegriffen, keine administrative Geldbuße mehr auferlegen.]</w:t>
      </w:r>
    </w:p>
    <w:p w14:paraId="6CF77C78" w14:textId="77777777" w:rsidR="006A29C3" w:rsidRPr="004676F5" w:rsidRDefault="006A29C3" w:rsidP="006A29C3">
      <w:pPr>
        <w:ind w:firstLine="708"/>
        <w:jc w:val="both"/>
        <w:rPr>
          <w:lang w:val="de-DE"/>
        </w:rPr>
      </w:pPr>
    </w:p>
    <w:p w14:paraId="6D6F0AE7" w14:textId="7AFAD70C" w:rsidR="006A29C3" w:rsidRPr="00B14651" w:rsidRDefault="006A29C3" w:rsidP="006A29C3">
      <w:pPr>
        <w:jc w:val="both"/>
        <w:rPr>
          <w:i/>
          <w:lang w:val="de-DE"/>
        </w:rPr>
      </w:pPr>
      <w:r w:rsidRPr="004676F5">
        <w:rPr>
          <w:i/>
          <w:lang w:val="de-DE"/>
        </w:rPr>
        <w:t>[</w:t>
      </w:r>
      <w:r w:rsidR="00BE0A56" w:rsidRPr="004676F5">
        <w:rPr>
          <w:i/>
          <w:lang w:val="de-DE"/>
        </w:rPr>
        <w:t>Art. </w:t>
      </w:r>
      <w:r w:rsidRPr="004676F5">
        <w:rPr>
          <w:i/>
          <w:lang w:val="de-DE"/>
        </w:rPr>
        <w:t xml:space="preserve">XV.66/2 ersetzt durch </w:t>
      </w:r>
      <w:r w:rsidR="00BE0A56" w:rsidRPr="004676F5">
        <w:rPr>
          <w:i/>
          <w:lang w:val="de-DE"/>
        </w:rPr>
        <w:t>Art. </w:t>
      </w:r>
      <w:r w:rsidRPr="004676F5">
        <w:rPr>
          <w:i/>
          <w:lang w:val="de-DE"/>
        </w:rPr>
        <w:t>116 des G. vom 8. </w:t>
      </w:r>
      <w:r w:rsidRPr="00B14651">
        <w:rPr>
          <w:i/>
          <w:lang w:val="de-DE"/>
        </w:rPr>
        <w:t>Juni 2017 (B.S. vom 27. Juni 2017)]</w:t>
      </w:r>
    </w:p>
    <w:p w14:paraId="58022273" w14:textId="77777777" w:rsidR="004A4FF0" w:rsidRPr="00B14651" w:rsidRDefault="004A4FF0" w:rsidP="004A4FF0">
      <w:pPr>
        <w:ind w:firstLine="708"/>
        <w:jc w:val="both"/>
        <w:rPr>
          <w:lang w:val="de-DE"/>
        </w:rPr>
      </w:pPr>
    </w:p>
    <w:p w14:paraId="64F06A38" w14:textId="77777777" w:rsidR="004A4FF0" w:rsidRPr="00B14651" w:rsidRDefault="004A4FF0" w:rsidP="004A4FF0">
      <w:pPr>
        <w:ind w:firstLine="708"/>
        <w:jc w:val="both"/>
        <w:rPr>
          <w:lang w:val="de-DE"/>
        </w:rPr>
      </w:pPr>
    </w:p>
    <w:p w14:paraId="7627DB61" w14:textId="6A52E85A" w:rsidR="004A4FF0" w:rsidRPr="004676F5" w:rsidRDefault="00BE0A56" w:rsidP="004A4FF0">
      <w:pPr>
        <w:ind w:firstLine="708"/>
        <w:jc w:val="both"/>
        <w:rPr>
          <w:lang w:val="de-DE"/>
        </w:rPr>
      </w:pPr>
      <w:r w:rsidRPr="004676F5">
        <w:rPr>
          <w:b/>
          <w:lang w:val="de-DE"/>
        </w:rPr>
        <w:t>Art. </w:t>
      </w:r>
      <w:r w:rsidR="004A4FF0" w:rsidRPr="004676F5">
        <w:rPr>
          <w:b/>
          <w:lang w:val="de-DE"/>
        </w:rPr>
        <w:t>XV.66/3</w:t>
      </w:r>
      <w:r w:rsidR="004A4FF0" w:rsidRPr="004676F5">
        <w:rPr>
          <w:lang w:val="de-DE"/>
        </w:rPr>
        <w:t> </w:t>
      </w:r>
      <w:r w:rsidR="005B7A5C" w:rsidRPr="004676F5">
        <w:rPr>
          <w:lang w:val="de-DE"/>
        </w:rPr>
        <w:t>- </w:t>
      </w:r>
      <w:r w:rsidR="004A4FF0" w:rsidRPr="004676F5">
        <w:rPr>
          <w:lang w:val="de-DE"/>
        </w:rPr>
        <w:t>§ 1 </w:t>
      </w:r>
      <w:r w:rsidR="005B7A5C" w:rsidRPr="004676F5">
        <w:rPr>
          <w:lang w:val="de-DE"/>
        </w:rPr>
        <w:t>- </w:t>
      </w:r>
      <w:r w:rsidR="004A4FF0" w:rsidRPr="004676F5">
        <w:rPr>
          <w:lang w:val="de-DE"/>
        </w:rPr>
        <w:t>Wenn bei Ablauf der vom König festgelegten Frist Informationen, die in Anwendung von Artikel XI.285 vom FÖD Wirtschaft oder von einem von ihm bestimmten Dritten angefordert wurden, von einer natürlichen Person oder einer juristischen Person des öffentlichen oder privaten Rechts nicht erteilt wurden, kann unbeschadet anderer durch Gesetz vorgesehener Maßnahmen der Minister oder der eigens zu diesem Zweck bestellte Bedienstete eine administrative Geldbuße von 100 bis 110.000 EUR auferlegen.</w:t>
      </w:r>
    </w:p>
    <w:p w14:paraId="72180DCC" w14:textId="77777777" w:rsidR="004A4FF0" w:rsidRPr="004676F5" w:rsidRDefault="004A4FF0" w:rsidP="004A4FF0">
      <w:pPr>
        <w:ind w:firstLine="708"/>
        <w:jc w:val="both"/>
        <w:rPr>
          <w:lang w:val="de-DE"/>
        </w:rPr>
      </w:pPr>
    </w:p>
    <w:p w14:paraId="1FD64B2A" w14:textId="28B392F4" w:rsidR="004A4FF0" w:rsidRPr="004676F5" w:rsidRDefault="004A4FF0" w:rsidP="004A4FF0">
      <w:pPr>
        <w:ind w:firstLine="708"/>
        <w:jc w:val="both"/>
        <w:rPr>
          <w:lang w:val="de-DE"/>
        </w:rPr>
      </w:pPr>
      <w:r w:rsidRPr="004676F5">
        <w:rPr>
          <w:lang w:val="de-DE"/>
        </w:rPr>
        <w:t>§ 2 </w:t>
      </w:r>
      <w:r w:rsidR="005B7A5C" w:rsidRPr="004676F5">
        <w:rPr>
          <w:lang w:val="de-DE"/>
        </w:rPr>
        <w:t>- </w:t>
      </w:r>
      <w:r w:rsidRPr="004676F5">
        <w:rPr>
          <w:lang w:val="de-DE"/>
        </w:rPr>
        <w:t>Wird eine in § 1 erwähnte Geldbuße in Erwägung gezogen, so notifiziert der Minister oder der eigens zu diesem Zweck bestellte Bedienstete der betreffenden Person im Voraus per Einschreiben mit Rückschein seine Beschwerdegründe.</w:t>
      </w:r>
    </w:p>
    <w:p w14:paraId="7B0E4E11" w14:textId="77777777" w:rsidR="004A4FF0" w:rsidRPr="004676F5" w:rsidRDefault="004A4FF0" w:rsidP="004A4FF0">
      <w:pPr>
        <w:ind w:firstLine="708"/>
        <w:jc w:val="both"/>
        <w:rPr>
          <w:lang w:val="de-DE"/>
        </w:rPr>
      </w:pPr>
    </w:p>
    <w:p w14:paraId="6ED5CAC6" w14:textId="77777777" w:rsidR="004A4FF0" w:rsidRPr="004676F5" w:rsidRDefault="004A4FF0" w:rsidP="004A4FF0">
      <w:pPr>
        <w:ind w:firstLine="708"/>
        <w:jc w:val="both"/>
        <w:rPr>
          <w:lang w:val="de-DE"/>
        </w:rPr>
      </w:pPr>
      <w:r w:rsidRPr="004676F5">
        <w:rPr>
          <w:lang w:val="de-DE"/>
        </w:rPr>
        <w:t xml:space="preserve">In diesem Einschreiben bringt er der betreffenden Person zur Kenntnis, dass sie ab der Notifizierung per Einschreiben seitens des Ministers oder des eigens zu diesem Zweck bestellten Bediensteten über eine Frist von zwei Monaten verfügt, um schriftlich per Einschreiben ihre Verteidigungsmittel geltend zu machen; bei dieser Gelegenheit hat sie die </w:t>
      </w:r>
      <w:r w:rsidRPr="004676F5">
        <w:rPr>
          <w:lang w:val="de-DE"/>
        </w:rPr>
        <w:lastRenderedPageBreak/>
        <w:t>Möglichkeit, bei dem Minister oder dem eigens zu diesem Zweck bestellten Bediensteten zu beantragen, ihre Verteidigung mündlich vorzubringen,</w:t>
      </w:r>
    </w:p>
    <w:p w14:paraId="1AD0FDA6" w14:textId="77777777" w:rsidR="004A4FF0" w:rsidRPr="004676F5" w:rsidRDefault="004A4FF0" w:rsidP="004A4FF0">
      <w:pPr>
        <w:ind w:firstLine="708"/>
        <w:jc w:val="both"/>
        <w:rPr>
          <w:lang w:val="de-DE"/>
        </w:rPr>
      </w:pPr>
    </w:p>
    <w:p w14:paraId="5E9F9C8C" w14:textId="47CA2207" w:rsidR="004A4FF0" w:rsidRPr="004676F5" w:rsidRDefault="004A4FF0" w:rsidP="004A4FF0">
      <w:pPr>
        <w:ind w:firstLine="708"/>
        <w:jc w:val="both"/>
        <w:rPr>
          <w:lang w:val="de-DE"/>
        </w:rPr>
      </w:pPr>
      <w:r w:rsidRPr="004676F5">
        <w:rPr>
          <w:lang w:val="de-DE"/>
        </w:rPr>
        <w:t>§ 3 </w:t>
      </w:r>
      <w:r w:rsidR="005B7A5C" w:rsidRPr="004676F5">
        <w:rPr>
          <w:lang w:val="de-DE"/>
        </w:rPr>
        <w:t>- </w:t>
      </w:r>
      <w:r w:rsidRPr="004676F5">
        <w:rPr>
          <w:lang w:val="de-DE"/>
        </w:rPr>
        <w:t xml:space="preserve">Für Beschwerden gegen eine in vorliegendem Artikel erwähnte Geldbuße und gegen administrative Handlungen im Vorfeld der Auferlegung einer solchen Geldbuße ist ausschließlich der </w:t>
      </w:r>
      <w:r w:rsidR="008506A5" w:rsidRPr="004676F5">
        <w:rPr>
          <w:lang w:val="de-DE"/>
        </w:rPr>
        <w:t>[Märktegerichtshof]</w:t>
      </w:r>
      <w:r w:rsidRPr="004676F5">
        <w:rPr>
          <w:lang w:val="de-DE"/>
        </w:rPr>
        <w:t xml:space="preserve"> zuständig.</w:t>
      </w:r>
    </w:p>
    <w:p w14:paraId="2C459F7F" w14:textId="77777777" w:rsidR="004A4FF0" w:rsidRPr="004676F5" w:rsidRDefault="004A4FF0" w:rsidP="004A4FF0">
      <w:pPr>
        <w:ind w:firstLine="708"/>
        <w:jc w:val="both"/>
        <w:rPr>
          <w:lang w:val="de-DE"/>
        </w:rPr>
      </w:pPr>
    </w:p>
    <w:p w14:paraId="06048F8D" w14:textId="77777777" w:rsidR="004A4FF0" w:rsidRPr="004676F5" w:rsidRDefault="004A4FF0" w:rsidP="004A4FF0">
      <w:pPr>
        <w:ind w:firstLine="708"/>
        <w:jc w:val="both"/>
        <w:rPr>
          <w:lang w:val="de-DE"/>
        </w:rPr>
      </w:pPr>
      <w:r w:rsidRPr="004676F5">
        <w:rPr>
          <w:lang w:val="de-DE"/>
        </w:rPr>
        <w:t>Der Beschluss zur Auferlegung einer administrativen Geldbuße ist nach Ablauf einer Frist von einem Monat ab dem Tag seiner Notifizierung gemäß § 2 vollstreckbar.</w:t>
      </w:r>
    </w:p>
    <w:p w14:paraId="7803C17A" w14:textId="77777777" w:rsidR="004A4FF0" w:rsidRPr="004676F5" w:rsidRDefault="004A4FF0" w:rsidP="004A4FF0">
      <w:pPr>
        <w:ind w:firstLine="708"/>
        <w:jc w:val="both"/>
        <w:rPr>
          <w:lang w:val="de-DE"/>
        </w:rPr>
      </w:pPr>
    </w:p>
    <w:p w14:paraId="43225A6F" w14:textId="77777777" w:rsidR="004A4FF0" w:rsidRPr="004676F5" w:rsidRDefault="004A4FF0" w:rsidP="004A4FF0">
      <w:pPr>
        <w:ind w:firstLine="708"/>
        <w:jc w:val="both"/>
        <w:rPr>
          <w:lang w:val="de-DE"/>
        </w:rPr>
      </w:pPr>
      <w:r w:rsidRPr="004676F5">
        <w:rPr>
          <w:lang w:val="de-DE"/>
        </w:rPr>
        <w:t>Die Beschwerde hat aufschiebende Wirkung.</w:t>
      </w:r>
    </w:p>
    <w:p w14:paraId="17F42A92" w14:textId="77777777" w:rsidR="004A4FF0" w:rsidRPr="004676F5" w:rsidRDefault="004A4FF0" w:rsidP="004A4FF0">
      <w:pPr>
        <w:ind w:firstLine="708"/>
        <w:jc w:val="both"/>
        <w:rPr>
          <w:lang w:val="de-DE"/>
        </w:rPr>
      </w:pPr>
    </w:p>
    <w:p w14:paraId="0D11D924" w14:textId="766B3DA6" w:rsidR="004A4FF0" w:rsidRPr="004676F5" w:rsidRDefault="004A4FF0" w:rsidP="004A4FF0">
      <w:pPr>
        <w:ind w:firstLine="708"/>
        <w:jc w:val="both"/>
        <w:rPr>
          <w:lang w:val="de-DE"/>
        </w:rPr>
      </w:pPr>
      <w:r w:rsidRPr="004676F5">
        <w:rPr>
          <w:lang w:val="de-DE"/>
        </w:rPr>
        <w:t>§ 4 </w:t>
      </w:r>
      <w:r w:rsidR="005B7A5C" w:rsidRPr="004676F5">
        <w:rPr>
          <w:lang w:val="de-DE"/>
        </w:rPr>
        <w:t>- </w:t>
      </w:r>
      <w:r w:rsidRPr="004676F5">
        <w:rPr>
          <w:lang w:val="de-DE"/>
        </w:rPr>
        <w:t>Der Beschluss wird dem Zuwiderhandelnden per Einschreiben notifiziert.</w:t>
      </w:r>
    </w:p>
    <w:p w14:paraId="00C3F31A" w14:textId="77777777" w:rsidR="004A4FF0" w:rsidRPr="004676F5" w:rsidRDefault="004A4FF0" w:rsidP="004A4FF0">
      <w:pPr>
        <w:ind w:firstLine="708"/>
        <w:jc w:val="both"/>
        <w:rPr>
          <w:lang w:val="de-DE"/>
        </w:rPr>
      </w:pPr>
    </w:p>
    <w:p w14:paraId="7851E8AF" w14:textId="4041D344" w:rsidR="004A4FF0" w:rsidRPr="004676F5" w:rsidRDefault="004A4FF0" w:rsidP="004A4FF0">
      <w:pPr>
        <w:ind w:firstLine="708"/>
        <w:jc w:val="both"/>
        <w:rPr>
          <w:lang w:val="de-DE"/>
        </w:rPr>
      </w:pPr>
      <w:r w:rsidRPr="004676F5">
        <w:rPr>
          <w:lang w:val="de-DE"/>
        </w:rPr>
        <w:t>§ 5 </w:t>
      </w:r>
      <w:r w:rsidR="005B7A5C" w:rsidRPr="004676F5">
        <w:rPr>
          <w:lang w:val="de-DE"/>
        </w:rPr>
        <w:t>- </w:t>
      </w:r>
      <w:r w:rsidRPr="004676F5">
        <w:rPr>
          <w:lang w:val="de-DE"/>
        </w:rPr>
        <w:t>Nach Ablauf einer Frist von einem Jahr ab dem Tag, an dem angeforderte Auskünfte dem FÖD Wirtschaft oder einem von ihm bestimmten Dritten hätten mitgeteilt werden müssen, eventuelle Widerspruchsverfahren nicht einbegriffen, kann keine administrative Geldbuße mehr auferlegt werden.</w:t>
      </w:r>
    </w:p>
    <w:p w14:paraId="79588346" w14:textId="77777777" w:rsidR="004A4FF0" w:rsidRPr="004676F5" w:rsidRDefault="004A4FF0" w:rsidP="008506A5">
      <w:pPr>
        <w:jc w:val="both"/>
        <w:rPr>
          <w:lang w:val="de-DE"/>
        </w:rPr>
      </w:pPr>
    </w:p>
    <w:p w14:paraId="53B109FE" w14:textId="54507333" w:rsidR="008506A5" w:rsidRPr="004676F5" w:rsidRDefault="008506A5" w:rsidP="008506A5">
      <w:pPr>
        <w:jc w:val="both"/>
        <w:rPr>
          <w:i/>
          <w:lang w:val="de-DE"/>
        </w:rPr>
      </w:pPr>
      <w:r w:rsidRPr="004676F5">
        <w:rPr>
          <w:i/>
          <w:lang w:val="de-DE"/>
        </w:rPr>
        <w:t>[</w:t>
      </w:r>
      <w:r w:rsidR="00BE0A56" w:rsidRPr="004676F5">
        <w:rPr>
          <w:i/>
          <w:lang w:val="de-DE"/>
        </w:rPr>
        <w:t>Art. </w:t>
      </w:r>
      <w:r w:rsidRPr="004676F5">
        <w:rPr>
          <w:i/>
          <w:lang w:val="de-DE"/>
        </w:rPr>
        <w:t xml:space="preserve">XV.66/3 § 3 Abs. 1 abgeändert durch </w:t>
      </w:r>
      <w:r w:rsidR="00BE0A56" w:rsidRPr="004676F5">
        <w:rPr>
          <w:i/>
          <w:lang w:val="de-DE"/>
        </w:rPr>
        <w:t>Art. </w:t>
      </w:r>
      <w:r w:rsidRPr="004676F5">
        <w:rPr>
          <w:i/>
          <w:lang w:val="de-DE"/>
        </w:rPr>
        <w:t>2 des G. vom 20. Februar 2017 (B.S. vom 27. Februar 2017)]</w:t>
      </w:r>
    </w:p>
    <w:p w14:paraId="49D92EF6" w14:textId="77777777" w:rsidR="008506A5" w:rsidRPr="004676F5" w:rsidRDefault="008506A5" w:rsidP="008506A5">
      <w:pPr>
        <w:jc w:val="both"/>
        <w:rPr>
          <w:i/>
          <w:lang w:val="de-DE"/>
        </w:rPr>
      </w:pPr>
    </w:p>
    <w:p w14:paraId="2BEB7D78" w14:textId="77777777" w:rsidR="004A4FF0" w:rsidRPr="004676F5" w:rsidRDefault="004A4FF0" w:rsidP="004A4FF0">
      <w:pPr>
        <w:ind w:firstLine="708"/>
        <w:jc w:val="both"/>
        <w:rPr>
          <w:lang w:val="de-DE"/>
        </w:rPr>
      </w:pPr>
    </w:p>
    <w:p w14:paraId="66F5E050" w14:textId="005374AA" w:rsidR="00C5750E" w:rsidRPr="004676F5" w:rsidRDefault="00BE0A56" w:rsidP="004A4FF0">
      <w:pPr>
        <w:ind w:firstLine="708"/>
        <w:jc w:val="both"/>
        <w:rPr>
          <w:lang w:val="de-DE"/>
        </w:rPr>
      </w:pPr>
      <w:r w:rsidRPr="004676F5">
        <w:rPr>
          <w:b/>
          <w:lang w:val="de-DE"/>
        </w:rPr>
        <w:t>Art. </w:t>
      </w:r>
      <w:r w:rsidR="004A4FF0" w:rsidRPr="004676F5">
        <w:rPr>
          <w:b/>
          <w:lang w:val="de-DE"/>
        </w:rPr>
        <w:t>XV.66/4</w:t>
      </w:r>
      <w:r w:rsidR="004A4FF0" w:rsidRPr="004676F5">
        <w:rPr>
          <w:lang w:val="de-DE"/>
        </w:rPr>
        <w:t> </w:t>
      </w:r>
      <w:r w:rsidR="005B7A5C" w:rsidRPr="004676F5">
        <w:rPr>
          <w:lang w:val="de-DE"/>
        </w:rPr>
        <w:t>- </w:t>
      </w:r>
      <w:r w:rsidR="004A4FF0" w:rsidRPr="004676F5">
        <w:rPr>
          <w:lang w:val="de-DE"/>
        </w:rPr>
        <w:t>Unbeschadet des Rechts, die Angelegenheit beim zuständigen Richter anhängig zu machen, kann die Beitreibung der in den Artikeln XV.66/2 und XV.66/3 erwähnten administrativen Geldbußen auf Betreiben der Mehrwertsteuer-, Registrierungs</w:t>
      </w:r>
      <w:r w:rsidR="005B7A5C" w:rsidRPr="004676F5">
        <w:rPr>
          <w:lang w:val="de-DE"/>
        </w:rPr>
        <w:t>- </w:t>
      </w:r>
      <w:r w:rsidR="004A4FF0" w:rsidRPr="004676F5">
        <w:rPr>
          <w:lang w:val="de-DE"/>
        </w:rPr>
        <w:t>und Domänenverwaltung durch Zwangsmaßnahme erfolgen.]</w:t>
      </w:r>
    </w:p>
    <w:p w14:paraId="2109E638" w14:textId="77777777" w:rsidR="00C5750E" w:rsidRPr="004676F5" w:rsidRDefault="00C5750E" w:rsidP="004A4FF0">
      <w:pPr>
        <w:ind w:firstLine="708"/>
        <w:jc w:val="both"/>
        <w:rPr>
          <w:lang w:val="de-DE"/>
        </w:rPr>
      </w:pPr>
    </w:p>
    <w:p w14:paraId="71CCB8AB" w14:textId="77777777" w:rsidR="00C5750E" w:rsidRPr="004676F5" w:rsidRDefault="00C5750E" w:rsidP="004A4FF0">
      <w:pPr>
        <w:ind w:firstLine="708"/>
        <w:jc w:val="both"/>
        <w:rPr>
          <w:lang w:val="de-DE"/>
        </w:rPr>
      </w:pPr>
    </w:p>
    <w:p w14:paraId="476C4097" w14:textId="0DB51200" w:rsidR="00C5750E" w:rsidRPr="004676F5" w:rsidRDefault="00C5750E" w:rsidP="00C5750E">
      <w:pPr>
        <w:jc w:val="center"/>
        <w:rPr>
          <w:lang w:val="de-DE"/>
        </w:rPr>
      </w:pPr>
      <w:r w:rsidRPr="004676F5">
        <w:rPr>
          <w:lang w:val="de-DE"/>
        </w:rPr>
        <w:t>[</w:t>
      </w:r>
      <w:r w:rsidRPr="004676F5">
        <w:rPr>
          <w:i/>
          <w:iCs/>
          <w:lang w:val="de-DE"/>
        </w:rPr>
        <w:t>Abschnitt 4</w:t>
      </w:r>
      <w:r w:rsidRPr="004676F5">
        <w:rPr>
          <w:lang w:val="de-DE"/>
        </w:rPr>
        <w:t> </w:t>
      </w:r>
      <w:r w:rsidR="005B7A5C" w:rsidRPr="004676F5">
        <w:rPr>
          <w:lang w:val="de-DE"/>
        </w:rPr>
        <w:t>- </w:t>
      </w:r>
      <w:r w:rsidRPr="004676F5">
        <w:rPr>
          <w:lang w:val="de-DE"/>
        </w:rPr>
        <w:t>Verwaltungssanktionen im Rahmen von Buch XIX]</w:t>
      </w:r>
    </w:p>
    <w:p w14:paraId="7C229C49" w14:textId="77777777" w:rsidR="00C5750E" w:rsidRPr="004676F5" w:rsidRDefault="00C5750E" w:rsidP="00C5750E">
      <w:pPr>
        <w:jc w:val="center"/>
        <w:rPr>
          <w:lang w:val="de-DE"/>
        </w:rPr>
      </w:pPr>
    </w:p>
    <w:p w14:paraId="410DD630" w14:textId="77777777" w:rsidR="00C5750E" w:rsidRPr="004676F5" w:rsidRDefault="00C5750E" w:rsidP="00C5750E">
      <w:pPr>
        <w:jc w:val="both"/>
        <w:rPr>
          <w:i/>
          <w:iCs/>
          <w:lang w:val="de-DE"/>
        </w:rPr>
      </w:pPr>
      <w:r w:rsidRPr="004676F5">
        <w:rPr>
          <w:i/>
          <w:iCs/>
          <w:lang w:val="de-DE"/>
        </w:rPr>
        <w:t>[Unterteilung Abschnitt 4 eingefügt durch Art. 7 des G. vom 4. Mai 2023 (B.S. vom 23. Mai 2023)]</w:t>
      </w:r>
    </w:p>
    <w:p w14:paraId="5D3BD8BA" w14:textId="77777777" w:rsidR="00C5750E" w:rsidRPr="004676F5" w:rsidRDefault="00C5750E" w:rsidP="00C5750E">
      <w:pPr>
        <w:jc w:val="both"/>
        <w:rPr>
          <w:i/>
          <w:iCs/>
          <w:lang w:val="de-DE"/>
        </w:rPr>
      </w:pPr>
    </w:p>
    <w:p w14:paraId="0F8A528B" w14:textId="77777777" w:rsidR="00C5750E" w:rsidRPr="004676F5" w:rsidRDefault="00C5750E" w:rsidP="00C5750E">
      <w:pPr>
        <w:jc w:val="both"/>
        <w:rPr>
          <w:i/>
          <w:iCs/>
          <w:lang w:val="de-DE"/>
        </w:rPr>
      </w:pPr>
    </w:p>
    <w:p w14:paraId="01127C74" w14:textId="2ED1F95E" w:rsidR="00C5750E" w:rsidRPr="004676F5" w:rsidRDefault="00C5750E" w:rsidP="00C5750E">
      <w:pPr>
        <w:jc w:val="both"/>
        <w:rPr>
          <w:lang w:val="de-DE"/>
        </w:rPr>
      </w:pPr>
      <w:r w:rsidRPr="004676F5">
        <w:rPr>
          <w:lang w:val="de-DE"/>
        </w:rPr>
        <w:tab/>
        <w:t>[</w:t>
      </w:r>
      <w:r w:rsidRPr="004676F5">
        <w:rPr>
          <w:b/>
          <w:bCs/>
          <w:lang w:val="de-DE"/>
        </w:rPr>
        <w:t>Art. XV.66/5</w:t>
      </w:r>
      <w:r w:rsidRPr="004676F5">
        <w:rPr>
          <w:lang w:val="de-DE"/>
        </w:rPr>
        <w:t> </w:t>
      </w:r>
      <w:r w:rsidR="005B7A5C" w:rsidRPr="004676F5">
        <w:rPr>
          <w:lang w:val="de-DE"/>
        </w:rPr>
        <w:t>- </w:t>
      </w:r>
      <w:r w:rsidRPr="004676F5">
        <w:rPr>
          <w:lang w:val="de-DE"/>
        </w:rPr>
        <w:t>Unbeschadet von Artikel XV.2 § 1 kontrollieren die Bediensteten des FÖD Wirtschaft regelmäßig, ob der Schuldenbeitreiber weiterhin die Bedingungen der ihm gewährten Eintragung erfüllt.</w:t>
      </w:r>
    </w:p>
    <w:p w14:paraId="3D3D2BCF" w14:textId="77777777" w:rsidR="00C5750E" w:rsidRPr="004676F5" w:rsidRDefault="00C5750E" w:rsidP="00C5750E">
      <w:pPr>
        <w:jc w:val="both"/>
        <w:rPr>
          <w:lang w:val="de-DE"/>
        </w:rPr>
      </w:pPr>
    </w:p>
    <w:p w14:paraId="6EC66A7B" w14:textId="77777777" w:rsidR="00C5750E" w:rsidRPr="004676F5" w:rsidRDefault="00C5750E" w:rsidP="00C5750E">
      <w:pPr>
        <w:jc w:val="both"/>
        <w:rPr>
          <w:lang w:val="de-DE"/>
        </w:rPr>
      </w:pPr>
      <w:r w:rsidRPr="004676F5">
        <w:rPr>
          <w:lang w:val="de-DE"/>
        </w:rPr>
        <w:tab/>
        <w:t>Im Rahmen dieser Kontrolle können die in Absatz 1 erwähnten Bediensteten jederzeit zusätzliche Informationen oder Schriftstücke vom Schuldenbeitreiber verlangen.</w:t>
      </w:r>
    </w:p>
    <w:p w14:paraId="4CEFE486" w14:textId="77777777" w:rsidR="00C5750E" w:rsidRPr="004676F5" w:rsidRDefault="00C5750E" w:rsidP="00C5750E">
      <w:pPr>
        <w:jc w:val="both"/>
        <w:rPr>
          <w:lang w:val="de-DE"/>
        </w:rPr>
      </w:pPr>
    </w:p>
    <w:p w14:paraId="2A1EBBA1" w14:textId="33D2311F" w:rsidR="00C5750E" w:rsidRPr="004676F5" w:rsidRDefault="00C5750E" w:rsidP="00C5750E">
      <w:pPr>
        <w:jc w:val="both"/>
        <w:rPr>
          <w:lang w:val="de-DE"/>
        </w:rPr>
      </w:pPr>
      <w:r w:rsidRPr="004676F5">
        <w:rPr>
          <w:lang w:val="de-DE"/>
        </w:rPr>
        <w:tab/>
        <w:t>Der Schuldenbeitreiber informiert die in Artikel XV.2 erwähnten Bediensteten unverzüglich auf elektronischem Wege über Änderungen der in Artikel XIX.6 § 4 erwähnten Informationen, die seinem Eintragungsantrag beigefügt sind.]</w:t>
      </w:r>
    </w:p>
    <w:p w14:paraId="72C0FE0D" w14:textId="77777777" w:rsidR="00C5750E" w:rsidRPr="004676F5" w:rsidRDefault="00C5750E" w:rsidP="00C5750E">
      <w:pPr>
        <w:jc w:val="both"/>
        <w:rPr>
          <w:lang w:val="de-DE"/>
        </w:rPr>
      </w:pPr>
    </w:p>
    <w:p w14:paraId="3C9804DD" w14:textId="6B69900F" w:rsidR="00C5750E" w:rsidRPr="004676F5" w:rsidRDefault="00C5750E" w:rsidP="00C5750E">
      <w:pPr>
        <w:jc w:val="both"/>
        <w:rPr>
          <w:i/>
          <w:iCs/>
          <w:lang w:val="de-DE"/>
        </w:rPr>
      </w:pPr>
      <w:r w:rsidRPr="004676F5">
        <w:rPr>
          <w:i/>
          <w:iCs/>
          <w:lang w:val="de-DE"/>
        </w:rPr>
        <w:t>[Art. XV.66/5 eingefügt durch Art. 8 des G. vom 4. Mai 2023 (B.S. vom 23. Mai 2023)]</w:t>
      </w:r>
    </w:p>
    <w:p w14:paraId="0D0A1A35" w14:textId="77777777" w:rsidR="00C5750E" w:rsidRPr="004676F5" w:rsidRDefault="00C5750E" w:rsidP="00C5750E">
      <w:pPr>
        <w:jc w:val="both"/>
        <w:rPr>
          <w:lang w:val="de-DE"/>
        </w:rPr>
      </w:pPr>
    </w:p>
    <w:p w14:paraId="376F2C90" w14:textId="77777777" w:rsidR="00C5750E" w:rsidRPr="004676F5" w:rsidRDefault="00C5750E" w:rsidP="00C5750E">
      <w:pPr>
        <w:jc w:val="both"/>
        <w:rPr>
          <w:lang w:val="de-DE"/>
        </w:rPr>
      </w:pPr>
    </w:p>
    <w:p w14:paraId="579C14A1" w14:textId="1857906B" w:rsidR="00C5750E" w:rsidRPr="004676F5" w:rsidRDefault="00C5750E" w:rsidP="00C5750E">
      <w:pPr>
        <w:jc w:val="both"/>
        <w:rPr>
          <w:lang w:val="de-DE"/>
        </w:rPr>
      </w:pPr>
      <w:r w:rsidRPr="004676F5">
        <w:rPr>
          <w:lang w:val="de-DE"/>
        </w:rPr>
        <w:lastRenderedPageBreak/>
        <w:tab/>
        <w:t>[</w:t>
      </w:r>
      <w:r w:rsidRPr="004676F5">
        <w:rPr>
          <w:b/>
          <w:bCs/>
          <w:lang w:val="de-DE"/>
        </w:rPr>
        <w:t>Art. XV.66/6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Anwendung der in Artikel XV.60/1 § 1 erwähnten Verfahren und Verfolgungen kann die in Artikel XIX.6 erwähnte Eintragung von den Bediensteten des FÖD Wirtschaft gestrichen werden, wenn der betreffende Schuldenbeitreiber eine der in Buch XIX oder seinen Ausführungserlassen vorgesehenen Bedingungen nicht mehr erfüllt oder wenn er eine der Bestimmungen von Buch VI Titel 3 Kapitel 6 oder Titel 4 Kapitel 1 oder eine der Bestimmungen von Buch XIX oder seinen Ausführungserlassen missachtet.</w:t>
      </w:r>
    </w:p>
    <w:p w14:paraId="19D0593B" w14:textId="77777777" w:rsidR="00C5750E" w:rsidRPr="004676F5" w:rsidRDefault="00C5750E" w:rsidP="00C5750E">
      <w:pPr>
        <w:jc w:val="both"/>
        <w:rPr>
          <w:lang w:val="de-DE"/>
        </w:rPr>
      </w:pPr>
    </w:p>
    <w:p w14:paraId="68FBDFC2" w14:textId="77777777" w:rsidR="00C5750E" w:rsidRPr="004676F5" w:rsidRDefault="00C5750E" w:rsidP="00C5750E">
      <w:pPr>
        <w:jc w:val="both"/>
        <w:rPr>
          <w:lang w:val="de-DE"/>
        </w:rPr>
      </w:pPr>
      <w:r w:rsidRPr="004676F5">
        <w:rPr>
          <w:lang w:val="de-DE"/>
        </w:rPr>
        <w:tab/>
        <w:t>Die in Artikel XIX.6 erwähnte Eintragung kann ebenfalls gestrichen werden, wenn der betreffende Schuldenbeitreiber nicht innerhalb der von den Bediensteten des FÖD Wirtschaft festgelegten Frist die für die in Artikel XV.66/5 erwähnte Kontrolle erforderlichen zusätzlichen Informationen oder Schriftstücke übermittelt.</w:t>
      </w:r>
    </w:p>
    <w:p w14:paraId="21C3FF94" w14:textId="77777777" w:rsidR="00C5750E" w:rsidRPr="004676F5" w:rsidRDefault="00C5750E" w:rsidP="00C5750E">
      <w:pPr>
        <w:jc w:val="both"/>
        <w:rPr>
          <w:lang w:val="de-DE"/>
        </w:rPr>
      </w:pPr>
    </w:p>
    <w:p w14:paraId="77308C08" w14:textId="77777777" w:rsidR="00C5750E" w:rsidRPr="004676F5" w:rsidRDefault="00C5750E" w:rsidP="00C5750E">
      <w:pPr>
        <w:jc w:val="both"/>
        <w:rPr>
          <w:lang w:val="de-DE"/>
        </w:rPr>
      </w:pPr>
      <w:r w:rsidRPr="004676F5">
        <w:rPr>
          <w:lang w:val="de-DE"/>
        </w:rPr>
        <w:tab/>
        <w:t>§ 2 ­ Die Bediensteten des FÖD Wirtschaft notifizieren dem betreffenden Schuldenbeitreiber zuvor auf elektronischem Wege die Beschwerdegründe.</w:t>
      </w:r>
    </w:p>
    <w:p w14:paraId="1C7902BF" w14:textId="77777777" w:rsidR="00C5750E" w:rsidRPr="004676F5" w:rsidRDefault="00C5750E" w:rsidP="00C5750E">
      <w:pPr>
        <w:jc w:val="both"/>
        <w:rPr>
          <w:lang w:val="de-DE"/>
        </w:rPr>
      </w:pPr>
    </w:p>
    <w:p w14:paraId="696B2C55" w14:textId="77777777" w:rsidR="00C5750E" w:rsidRPr="004676F5" w:rsidRDefault="00C5750E" w:rsidP="00C5750E">
      <w:pPr>
        <w:jc w:val="both"/>
        <w:rPr>
          <w:lang w:val="de-DE"/>
        </w:rPr>
      </w:pPr>
      <w:r w:rsidRPr="004676F5">
        <w:rPr>
          <w:lang w:val="de-DE"/>
        </w:rPr>
        <w:tab/>
        <w:t>Der betreffende Schuldenbeitreiber kann seine Akte einsehen und verfügt ab der in Absatz 1 erwähnten Notifizierung über eine Frist von dreißig Kalendertagen, um seine Verteidigung vorzubringen.</w:t>
      </w:r>
    </w:p>
    <w:p w14:paraId="4F9095A4" w14:textId="77777777" w:rsidR="00C5750E" w:rsidRPr="004676F5" w:rsidRDefault="00C5750E" w:rsidP="00C5750E">
      <w:pPr>
        <w:jc w:val="both"/>
        <w:rPr>
          <w:lang w:val="de-DE"/>
        </w:rPr>
      </w:pPr>
    </w:p>
    <w:p w14:paraId="78C98978" w14:textId="77777777" w:rsidR="00C5750E" w:rsidRPr="004676F5" w:rsidRDefault="00C5750E" w:rsidP="00C5750E">
      <w:pPr>
        <w:jc w:val="both"/>
        <w:rPr>
          <w:lang w:val="de-DE"/>
        </w:rPr>
      </w:pPr>
      <w:r w:rsidRPr="004676F5">
        <w:rPr>
          <w:lang w:val="de-DE"/>
        </w:rPr>
        <w:tab/>
        <w:t>Der Beschluss der Bediensteten des FÖD Wirtschaft wird dem betreffenden Schuldenbeitreiber auf elektronischem Wege notifiziert.</w:t>
      </w:r>
    </w:p>
    <w:p w14:paraId="66ABB914" w14:textId="77777777" w:rsidR="00C5750E" w:rsidRPr="004676F5" w:rsidRDefault="00C5750E" w:rsidP="00C5750E">
      <w:pPr>
        <w:jc w:val="both"/>
        <w:rPr>
          <w:lang w:val="de-DE"/>
        </w:rPr>
      </w:pPr>
    </w:p>
    <w:p w14:paraId="64E8111A" w14:textId="77777777" w:rsidR="00C5750E" w:rsidRPr="004676F5" w:rsidRDefault="00C5750E" w:rsidP="00C5750E">
      <w:pPr>
        <w:jc w:val="both"/>
        <w:rPr>
          <w:lang w:val="de-DE"/>
        </w:rPr>
      </w:pPr>
      <w:r w:rsidRPr="004676F5">
        <w:rPr>
          <w:lang w:val="de-DE"/>
        </w:rPr>
        <w:tab/>
        <w:t>§ 3 ­ Wenn die Bediensteten des FÖD Wirtschaft der Ansicht sind, dass die in Artikel XIX.6 erwähnte Eintragung gestrichen werden muss, kann die Dauer dieser Streichung in keinem Fall ein Jahr ab der Notifizierung des Beschlusses überschreiten.</w:t>
      </w:r>
    </w:p>
    <w:p w14:paraId="35E4EE4F" w14:textId="77777777" w:rsidR="00C5750E" w:rsidRPr="004676F5" w:rsidRDefault="00C5750E" w:rsidP="00C5750E">
      <w:pPr>
        <w:jc w:val="both"/>
        <w:rPr>
          <w:lang w:val="de-DE"/>
        </w:rPr>
      </w:pPr>
    </w:p>
    <w:p w14:paraId="2A971AB4" w14:textId="77777777" w:rsidR="00C5750E" w:rsidRPr="004676F5" w:rsidRDefault="00C5750E" w:rsidP="00C5750E">
      <w:pPr>
        <w:jc w:val="both"/>
        <w:rPr>
          <w:lang w:val="de-DE"/>
        </w:rPr>
      </w:pPr>
      <w:r w:rsidRPr="004676F5">
        <w:rPr>
          <w:lang w:val="de-DE"/>
        </w:rPr>
        <w:tab/>
        <w:t>Die Bediensteten des FÖD Wirtschaft können beschließen, dass der betreffende Schuldenbeitreiber während der Dauer der Streichung keinen neuen Eintragungsantrag einreichen darf.</w:t>
      </w:r>
    </w:p>
    <w:p w14:paraId="01E8223E" w14:textId="77777777" w:rsidR="00C5750E" w:rsidRPr="004676F5" w:rsidRDefault="00C5750E" w:rsidP="00C5750E">
      <w:pPr>
        <w:jc w:val="both"/>
        <w:rPr>
          <w:lang w:val="de-DE"/>
        </w:rPr>
      </w:pPr>
    </w:p>
    <w:p w14:paraId="41765680" w14:textId="77777777" w:rsidR="00C5750E" w:rsidRPr="004676F5" w:rsidRDefault="00C5750E" w:rsidP="00C5750E">
      <w:pPr>
        <w:jc w:val="both"/>
        <w:rPr>
          <w:lang w:val="de-DE"/>
        </w:rPr>
      </w:pPr>
      <w:r w:rsidRPr="004676F5">
        <w:rPr>
          <w:lang w:val="de-DE"/>
        </w:rPr>
        <w:tab/>
        <w:t>Nach Ablauf des Zeitraums der Streichung kann gemäß Artikel XIX.6 ein neuer Eintragungsantrag eingereicht werden, um die in Buch XIX erwähnten Tätigkeiten erneut auszuüben.</w:t>
      </w:r>
    </w:p>
    <w:p w14:paraId="73E14C42" w14:textId="77777777" w:rsidR="00C5750E" w:rsidRPr="004676F5" w:rsidRDefault="00C5750E" w:rsidP="00C5750E">
      <w:pPr>
        <w:jc w:val="both"/>
        <w:rPr>
          <w:lang w:val="de-DE"/>
        </w:rPr>
      </w:pPr>
    </w:p>
    <w:p w14:paraId="25377611" w14:textId="77777777" w:rsidR="00C5750E" w:rsidRPr="004676F5" w:rsidRDefault="00C5750E" w:rsidP="00C5750E">
      <w:pPr>
        <w:jc w:val="both"/>
        <w:rPr>
          <w:lang w:val="de-DE"/>
        </w:rPr>
      </w:pPr>
      <w:r w:rsidRPr="004676F5">
        <w:rPr>
          <w:lang w:val="de-DE"/>
        </w:rPr>
        <w:tab/>
        <w:t>§ 4 ­ Personen, gegen die bis zu zwei Mal für jeweils mindestens einen Monat eine Maßnahme der Streichung der Eintragung ergriffen worden sind, kann keine Eintragung mehr gewährt werden.</w:t>
      </w:r>
    </w:p>
    <w:p w14:paraId="5BB927D7" w14:textId="77777777" w:rsidR="00C5750E" w:rsidRPr="004676F5" w:rsidRDefault="00C5750E" w:rsidP="00C5750E">
      <w:pPr>
        <w:jc w:val="both"/>
        <w:rPr>
          <w:lang w:val="de-DE"/>
        </w:rPr>
      </w:pPr>
    </w:p>
    <w:p w14:paraId="693A4FC0" w14:textId="77777777" w:rsidR="00C5750E" w:rsidRPr="004676F5" w:rsidRDefault="00C5750E" w:rsidP="00C5750E">
      <w:pPr>
        <w:jc w:val="both"/>
        <w:rPr>
          <w:lang w:val="de-DE"/>
        </w:rPr>
      </w:pPr>
      <w:r w:rsidRPr="004676F5">
        <w:rPr>
          <w:lang w:val="de-DE"/>
        </w:rPr>
        <w:tab/>
        <w:t>Juristischen Personen, innerhalb deren das Amt eines Verwalters, eines Geschäftsführers, eines Direktors oder eines Bevollmächtigten von einer Person bekleidet ist, gegen die bis zu zwei Mal für jeweils mindestens einen Monat eine Maßnahme der Streichung der Eintragung ergriffen worden ist, kann keine Eintragung gewährt werden.</w:t>
      </w:r>
    </w:p>
    <w:p w14:paraId="7D12611F" w14:textId="77777777" w:rsidR="00C5750E" w:rsidRPr="004676F5" w:rsidRDefault="00C5750E" w:rsidP="00C5750E">
      <w:pPr>
        <w:jc w:val="both"/>
        <w:rPr>
          <w:lang w:val="de-DE"/>
        </w:rPr>
      </w:pPr>
    </w:p>
    <w:p w14:paraId="08033138" w14:textId="77777777" w:rsidR="00C5750E" w:rsidRPr="004676F5" w:rsidRDefault="00C5750E" w:rsidP="00C5750E">
      <w:pPr>
        <w:jc w:val="both"/>
        <w:rPr>
          <w:lang w:val="de-DE"/>
        </w:rPr>
      </w:pPr>
      <w:r w:rsidRPr="004676F5">
        <w:rPr>
          <w:lang w:val="de-DE"/>
        </w:rPr>
        <w:tab/>
        <w:t xml:space="preserve">§ 5 ­ Der König kann zusätzliche Bedingungen und Modalitäten für die Streichung der Eintragung und die Verweigerung der Eintragung festlegen.] </w:t>
      </w:r>
    </w:p>
    <w:p w14:paraId="48725803" w14:textId="77777777" w:rsidR="00C5750E" w:rsidRPr="004676F5" w:rsidRDefault="00C5750E" w:rsidP="00C5750E">
      <w:pPr>
        <w:jc w:val="both"/>
        <w:rPr>
          <w:lang w:val="de-DE"/>
        </w:rPr>
      </w:pPr>
    </w:p>
    <w:p w14:paraId="612FD318" w14:textId="1DE54F59" w:rsidR="00C5750E" w:rsidRDefault="00C5750E" w:rsidP="00C5750E">
      <w:pPr>
        <w:jc w:val="both"/>
        <w:rPr>
          <w:iCs/>
          <w:lang w:val="de-DE"/>
        </w:rPr>
      </w:pPr>
      <w:r w:rsidRPr="004676F5">
        <w:rPr>
          <w:i/>
          <w:iCs/>
          <w:lang w:val="de-DE"/>
        </w:rPr>
        <w:t>[Art. XV.66/6 eingefügt durch Art. 9 des G. vom 4. Mai 2023 (B.S. vom 23. Mai 2023)]</w:t>
      </w:r>
    </w:p>
    <w:p w14:paraId="3F7D9BC1" w14:textId="77777777" w:rsidR="00010B15" w:rsidRDefault="00010B15" w:rsidP="00C5750E">
      <w:pPr>
        <w:jc w:val="both"/>
        <w:rPr>
          <w:iCs/>
          <w:lang w:val="de-DE"/>
        </w:rPr>
      </w:pPr>
    </w:p>
    <w:p w14:paraId="66BAE589" w14:textId="77777777" w:rsidR="00010B15" w:rsidRDefault="00010B15" w:rsidP="00C5750E">
      <w:pPr>
        <w:jc w:val="both"/>
        <w:rPr>
          <w:iCs/>
          <w:lang w:val="de-DE"/>
        </w:rPr>
      </w:pPr>
    </w:p>
    <w:p w14:paraId="32952C58" w14:textId="7E4891A3" w:rsidR="00BA0DA1" w:rsidRDefault="00BA0DA1" w:rsidP="00BA0DA1">
      <w:pPr>
        <w:jc w:val="center"/>
        <w:rPr>
          <w:lang w:val="de-DE"/>
        </w:rPr>
      </w:pPr>
      <w:r>
        <w:rPr>
          <w:iCs/>
          <w:lang w:val="de-DE"/>
        </w:rPr>
        <w:lastRenderedPageBreak/>
        <w:t>[</w:t>
      </w:r>
      <w:r w:rsidRPr="00BA0DA1">
        <w:rPr>
          <w:i/>
          <w:iCs/>
          <w:lang w:val="de-DE"/>
        </w:rPr>
        <w:t>Abschnitt 5</w:t>
      </w:r>
      <w:r w:rsidRPr="00285483">
        <w:rPr>
          <w:lang w:val="de-DE"/>
        </w:rPr>
        <w:t> - Verwaltungssanktionen im Rahmen von Buch XII</w:t>
      </w:r>
      <w:r>
        <w:rPr>
          <w:lang w:val="de-DE"/>
        </w:rPr>
        <w:t>]</w:t>
      </w:r>
    </w:p>
    <w:p w14:paraId="6F2989C5" w14:textId="77777777" w:rsidR="00BA0DA1" w:rsidRDefault="00BA0DA1">
      <w:pPr>
        <w:rPr>
          <w:lang w:val="de-DE"/>
        </w:rPr>
      </w:pPr>
    </w:p>
    <w:p w14:paraId="70FFA60A" w14:textId="1CA3F30E" w:rsidR="00BA0DA1" w:rsidRDefault="00BA0DA1" w:rsidP="00BA0DA1">
      <w:pPr>
        <w:jc w:val="both"/>
        <w:rPr>
          <w:iCs/>
          <w:lang w:val="de-DE"/>
        </w:rPr>
      </w:pPr>
      <w:r>
        <w:rPr>
          <w:i/>
          <w:lang w:val="de-DE"/>
        </w:rPr>
        <w:t>[Unterteilung Abschnitt 5 eingefügt durch Art. 26 des G. vom 15. Mai 2024 (B.S. vom 7. Juni 2024)]</w:t>
      </w:r>
    </w:p>
    <w:p w14:paraId="798EA314" w14:textId="77777777" w:rsidR="00BA0DA1" w:rsidRDefault="00BA0DA1" w:rsidP="00BA0DA1">
      <w:pPr>
        <w:jc w:val="both"/>
        <w:rPr>
          <w:iCs/>
          <w:lang w:val="de-DE"/>
        </w:rPr>
      </w:pPr>
    </w:p>
    <w:p w14:paraId="2D2B9F2F" w14:textId="77777777" w:rsidR="00BA0DA1" w:rsidRDefault="00BA0DA1" w:rsidP="00BA0DA1">
      <w:pPr>
        <w:jc w:val="both"/>
        <w:rPr>
          <w:iCs/>
          <w:lang w:val="de-DE"/>
        </w:rPr>
      </w:pPr>
    </w:p>
    <w:p w14:paraId="6BF4684F" w14:textId="77777777" w:rsidR="00BA0DA1" w:rsidRPr="00285483" w:rsidRDefault="00BA0DA1" w:rsidP="00BA0DA1">
      <w:pPr>
        <w:jc w:val="both"/>
        <w:rPr>
          <w:lang w:val="de-DE"/>
        </w:rPr>
      </w:pPr>
      <w:r>
        <w:rPr>
          <w:iCs/>
          <w:lang w:val="de-DE"/>
        </w:rPr>
        <w:tab/>
        <w:t>[</w:t>
      </w:r>
      <w:r w:rsidRPr="00BA0DA1">
        <w:rPr>
          <w:b/>
          <w:bCs/>
          <w:lang w:val="de-DE"/>
        </w:rPr>
        <w:t>Art. XV.66/7</w:t>
      </w:r>
      <w:r w:rsidRPr="00285483">
        <w:rPr>
          <w:lang w:val="de-DE"/>
        </w:rPr>
        <w:t> - § 1 ­ Wenn das Organ für die Überwachung von Datenvermittlungsdiensten und datenaltruistischen Organisationen feststellt, dass ein Anbieter von Datenvermittlungsdiensten oder eine datenaltruistische Organisation, der/die in Belgien ansässig ist oder einen gesetzlichen Vertreter in Belgien hat, die in den Artikeln XII.40, XII.41 und XII.43 erwähnten Anforderungen nicht erfüllt, erteilt es dem Anbieter beziehungsweise der Organisation unbeschadet der in vorliegendem Buch festgelegten Maßnahmen eine Verwarnung, in der er/sie aufgefordert wird, den Verstoß einzustellen.</w:t>
      </w:r>
    </w:p>
    <w:p w14:paraId="1A5288CD" w14:textId="77777777" w:rsidR="00BA0DA1" w:rsidRPr="00285483" w:rsidRDefault="00BA0DA1" w:rsidP="00BA0DA1">
      <w:pPr>
        <w:jc w:val="both"/>
        <w:rPr>
          <w:lang w:val="de-DE"/>
        </w:rPr>
      </w:pPr>
    </w:p>
    <w:p w14:paraId="6B56DBBD" w14:textId="77777777" w:rsidR="00BA0DA1" w:rsidRPr="00285483" w:rsidRDefault="00BA0DA1" w:rsidP="00BA0DA1">
      <w:pPr>
        <w:jc w:val="both"/>
        <w:rPr>
          <w:lang w:val="de-DE"/>
        </w:rPr>
      </w:pPr>
      <w:r w:rsidRPr="00285483">
        <w:rPr>
          <w:lang w:val="de-DE"/>
        </w:rPr>
        <w:tab/>
        <w:t>Die Verwarnung wird dem Zuwiderhandelnden innerhalb einer Frist von dreißig Tagen ab Feststellung des Sachverhaltes per Einschreibesendung mit Rückschein oder durch Aushändigung einer Abschrift der Verwarnung notifiziert. Die Verwarnung kann auch per elektronische Post mitgeteilt werden. Wird die per elektronische Post versandte Verwarnung nicht beantwortet, wird sie spätestens fünfzehn Tage nach der elektronischen Versendung per Einschreibesendung mit Rückschein versendet.</w:t>
      </w:r>
    </w:p>
    <w:p w14:paraId="7E38D57F" w14:textId="77777777" w:rsidR="00BA0DA1" w:rsidRPr="00285483" w:rsidRDefault="00BA0DA1" w:rsidP="00BA0DA1">
      <w:pPr>
        <w:jc w:val="both"/>
        <w:rPr>
          <w:lang w:val="de-DE"/>
        </w:rPr>
      </w:pPr>
    </w:p>
    <w:p w14:paraId="65636272" w14:textId="77777777" w:rsidR="00BA0DA1" w:rsidRPr="00285483" w:rsidRDefault="00BA0DA1" w:rsidP="00BA0DA1">
      <w:pPr>
        <w:jc w:val="both"/>
        <w:rPr>
          <w:lang w:val="de-DE"/>
        </w:rPr>
      </w:pPr>
      <w:r w:rsidRPr="00285483">
        <w:rPr>
          <w:lang w:val="de-DE"/>
        </w:rPr>
        <w:tab/>
        <w:t>Wenn der Zuwiderhandelnde am Tag der Feststellung des Verstoßes nicht identifiziert werden kann, läuft die in Absatz 2 erwähnte Frist von dreißig Tagen ab dem Tag, an dem das Organ für die Überwachung von Datenvermittlungsdiensten und datenaltruistischen Organisationen den mutmaßlichen Zuwiderhandelnden, dem der Verstoß zugeschrieben werden kann, hat identifizieren können.</w:t>
      </w:r>
    </w:p>
    <w:p w14:paraId="30C48C40" w14:textId="77777777" w:rsidR="00BA0DA1" w:rsidRPr="00285483" w:rsidRDefault="00BA0DA1" w:rsidP="00BA0DA1">
      <w:pPr>
        <w:jc w:val="both"/>
        <w:rPr>
          <w:lang w:val="de-DE"/>
        </w:rPr>
      </w:pPr>
    </w:p>
    <w:p w14:paraId="7F454F1C" w14:textId="77777777" w:rsidR="00BA0DA1" w:rsidRPr="00285483" w:rsidRDefault="00BA0DA1" w:rsidP="00BA0DA1">
      <w:pPr>
        <w:jc w:val="both"/>
        <w:rPr>
          <w:lang w:val="de-DE"/>
        </w:rPr>
      </w:pPr>
      <w:r w:rsidRPr="00285483">
        <w:rPr>
          <w:lang w:val="de-DE"/>
        </w:rPr>
        <w:tab/>
        <w:t>In der Verwarnung werden folgende Angaben vermerkt:</w:t>
      </w:r>
    </w:p>
    <w:p w14:paraId="20F8D98A" w14:textId="77777777" w:rsidR="00BA0DA1" w:rsidRPr="00285483" w:rsidRDefault="00BA0DA1" w:rsidP="00BA0DA1">
      <w:pPr>
        <w:jc w:val="both"/>
        <w:rPr>
          <w:lang w:val="de-DE"/>
        </w:rPr>
      </w:pPr>
    </w:p>
    <w:p w14:paraId="05BE3A0F" w14:textId="77777777" w:rsidR="00BA0DA1" w:rsidRPr="00285483" w:rsidRDefault="00BA0DA1" w:rsidP="00BA0DA1">
      <w:pPr>
        <w:jc w:val="both"/>
        <w:rPr>
          <w:lang w:val="de-DE"/>
        </w:rPr>
      </w:pPr>
      <w:r w:rsidRPr="00285483">
        <w:rPr>
          <w:lang w:val="de-DE"/>
        </w:rPr>
        <w:tab/>
        <w:t>1. der zur Last gelegte Sachverhalt und die Bestimmung(en), gegen die verstoßen wird,</w:t>
      </w:r>
    </w:p>
    <w:p w14:paraId="6DC60A64" w14:textId="77777777" w:rsidR="00BA0DA1" w:rsidRPr="00285483" w:rsidRDefault="00BA0DA1" w:rsidP="00BA0DA1">
      <w:pPr>
        <w:jc w:val="both"/>
        <w:rPr>
          <w:lang w:val="de-DE"/>
        </w:rPr>
      </w:pPr>
    </w:p>
    <w:p w14:paraId="6189A054" w14:textId="77777777" w:rsidR="00BA0DA1" w:rsidRPr="00285483" w:rsidRDefault="00BA0DA1" w:rsidP="00BA0DA1">
      <w:pPr>
        <w:jc w:val="both"/>
        <w:rPr>
          <w:lang w:val="de-DE"/>
        </w:rPr>
      </w:pPr>
      <w:r w:rsidRPr="00285483">
        <w:rPr>
          <w:lang w:val="de-DE"/>
        </w:rPr>
        <w:tab/>
        <w:t>2. dass die vorerwähnten Verstöße eingestellt werden müssen, entweder innerhalb einer angemessenen Frist, die vom Organ für die Überwachung von Datenvermittlungsdiensten und datenaltruistischen Organisationen bestimmt wird, oder sofort im Falle eines schweren Verstoßes,</w:t>
      </w:r>
    </w:p>
    <w:p w14:paraId="77D8960C" w14:textId="77777777" w:rsidR="00BA0DA1" w:rsidRPr="00285483" w:rsidRDefault="00BA0DA1" w:rsidP="00BA0DA1">
      <w:pPr>
        <w:jc w:val="both"/>
        <w:rPr>
          <w:lang w:val="de-DE"/>
        </w:rPr>
      </w:pPr>
    </w:p>
    <w:p w14:paraId="4B013AE7" w14:textId="77777777" w:rsidR="00BA0DA1" w:rsidRPr="00285483" w:rsidRDefault="00BA0DA1" w:rsidP="00BA0DA1">
      <w:pPr>
        <w:jc w:val="both"/>
        <w:rPr>
          <w:lang w:val="de-DE"/>
        </w:rPr>
      </w:pPr>
      <w:r w:rsidRPr="00285483">
        <w:rPr>
          <w:lang w:val="de-DE"/>
        </w:rPr>
        <w:tab/>
        <w:t>3. dass der Zuwiderhandelnde innerhalb einer Frist von dreißig Tagen ab Empfang der Verwarnung oder, falls dies nicht der Fall ist, ab Hinterlegung der Meldung, die ihn über die Einschreibesendung informiert, seine Verteidigungsmittel mündlich oder schriftlich vorbringen kann, sowie das Verfahren, wie er seine Verteidigung geltend machen kann,</w:t>
      </w:r>
    </w:p>
    <w:p w14:paraId="093D832B" w14:textId="77777777" w:rsidR="00BA0DA1" w:rsidRPr="00285483" w:rsidRDefault="00BA0DA1" w:rsidP="00BA0DA1">
      <w:pPr>
        <w:jc w:val="both"/>
        <w:rPr>
          <w:lang w:val="de-DE"/>
        </w:rPr>
      </w:pPr>
    </w:p>
    <w:p w14:paraId="17DDB488" w14:textId="77777777" w:rsidR="00BA0DA1" w:rsidRPr="00285483" w:rsidRDefault="00BA0DA1" w:rsidP="00BA0DA1">
      <w:pPr>
        <w:jc w:val="both"/>
        <w:rPr>
          <w:lang w:val="de-DE"/>
        </w:rPr>
      </w:pPr>
      <w:r w:rsidRPr="00285483">
        <w:rPr>
          <w:lang w:val="de-DE"/>
        </w:rPr>
        <w:tab/>
        <w:t>4. das Bestehen des Rechts des Zuwiderhandelnden, sich von einem Beistand beistehen zu lassen,</w:t>
      </w:r>
    </w:p>
    <w:p w14:paraId="2F6389D1" w14:textId="77777777" w:rsidR="00BA0DA1" w:rsidRPr="00285483" w:rsidRDefault="00BA0DA1" w:rsidP="00BA0DA1">
      <w:pPr>
        <w:jc w:val="both"/>
        <w:rPr>
          <w:lang w:val="de-DE"/>
        </w:rPr>
      </w:pPr>
    </w:p>
    <w:p w14:paraId="18AAEA8C" w14:textId="77777777" w:rsidR="00BA0DA1" w:rsidRPr="00285483" w:rsidRDefault="00BA0DA1" w:rsidP="00BA0DA1">
      <w:pPr>
        <w:jc w:val="both"/>
        <w:rPr>
          <w:lang w:val="de-DE"/>
        </w:rPr>
      </w:pPr>
      <w:r w:rsidRPr="00285483">
        <w:rPr>
          <w:lang w:val="de-DE"/>
        </w:rPr>
        <w:tab/>
        <w:t>5. das Bestehen des Rechts des Zuwiderhandelnden, eine Abschrift der Akte zu erhalten,</w:t>
      </w:r>
    </w:p>
    <w:p w14:paraId="6FF4CB9B" w14:textId="77777777" w:rsidR="00BA0DA1" w:rsidRPr="00285483" w:rsidRDefault="00BA0DA1" w:rsidP="00BA0DA1">
      <w:pPr>
        <w:jc w:val="both"/>
        <w:rPr>
          <w:lang w:val="de-DE"/>
        </w:rPr>
      </w:pPr>
    </w:p>
    <w:p w14:paraId="1D33F5D8" w14:textId="77777777" w:rsidR="00BA0DA1" w:rsidRPr="00285483" w:rsidRDefault="00BA0DA1" w:rsidP="00BA0DA1">
      <w:pPr>
        <w:jc w:val="both"/>
        <w:rPr>
          <w:lang w:val="de-DE"/>
        </w:rPr>
      </w:pPr>
      <w:r w:rsidRPr="00285483">
        <w:rPr>
          <w:lang w:val="de-DE"/>
        </w:rPr>
        <w:tab/>
        <w:t>6. dass, sollte der Verwarnung nicht Folge geleistet werden, ein Verwaltungsverfahren wie in den Artikeln XV.66/8, XV.68/1 und XV.68/2 erwähnt eingeleitet werden kann,</w:t>
      </w:r>
    </w:p>
    <w:p w14:paraId="6D6B0EBF" w14:textId="77777777" w:rsidR="00BA0DA1" w:rsidRPr="00285483" w:rsidRDefault="00BA0DA1" w:rsidP="00BA0DA1">
      <w:pPr>
        <w:jc w:val="both"/>
        <w:rPr>
          <w:lang w:val="de-DE"/>
        </w:rPr>
      </w:pPr>
    </w:p>
    <w:p w14:paraId="3F21A6D4" w14:textId="77777777" w:rsidR="00BA0DA1" w:rsidRPr="00285483" w:rsidRDefault="00BA0DA1" w:rsidP="00BA0DA1">
      <w:pPr>
        <w:jc w:val="both"/>
        <w:rPr>
          <w:lang w:val="de-DE"/>
        </w:rPr>
      </w:pPr>
      <w:r w:rsidRPr="00285483">
        <w:rPr>
          <w:lang w:val="de-DE"/>
        </w:rPr>
        <w:lastRenderedPageBreak/>
        <w:tab/>
        <w:t>7. dass der Zuwiderhandelnde Zusagen zur Einstellung des Verstoßes machen kann und, wo dies relevant ist, zusätzlich Abhilfezusagen anbieten kann, dass eine solche Zusage vom Organ für die Überwachung von Datenvermittlungsdiensten und datenaltruistischen Organisationen akzeptiert werden kann und zur Einstellung des Strafverfahrens führen kann, wodurch aber nicht notwendigerweise andere verwaltungsrechtliche Durchsetzungsmaßnahmen verhindert werden, und dass die Zusage des Zuwiderhandelnden zur Einstellung des Verstoßes oder, wo dies relevant ist, Abhilfezusagen des Zuwiderhandelnden gemäß den in Artikel XV.31/2 § 4 erwähnten Modalitäten öffentlich bekannt gegeben werden können.</w:t>
      </w:r>
    </w:p>
    <w:p w14:paraId="0909ED28" w14:textId="77777777" w:rsidR="00BA0DA1" w:rsidRPr="00285483" w:rsidRDefault="00BA0DA1" w:rsidP="00BA0DA1">
      <w:pPr>
        <w:jc w:val="both"/>
        <w:rPr>
          <w:lang w:val="de-DE"/>
        </w:rPr>
      </w:pPr>
    </w:p>
    <w:p w14:paraId="5CDBDEB6" w14:textId="77777777" w:rsidR="00BA0DA1" w:rsidRPr="00285483" w:rsidRDefault="00BA0DA1" w:rsidP="00BA0DA1">
      <w:pPr>
        <w:jc w:val="both"/>
        <w:rPr>
          <w:lang w:val="de-DE"/>
        </w:rPr>
      </w:pPr>
      <w:r w:rsidRPr="00285483">
        <w:rPr>
          <w:lang w:val="de-DE"/>
        </w:rPr>
        <w:tab/>
        <w:t>§ 2 - Bei der Ausübung der Aufsicht über die Einhaltung der in § 1 Absatz 1 erwähnten Bestimmungen verfügt das Organ für die Überwachung von Datenvermittlungsdiensten und datenaltruistischen Organisationen über die in Titel 1 Kapitel 1 erwähnten Befugnisse.</w:t>
      </w:r>
    </w:p>
    <w:p w14:paraId="79FBDB62" w14:textId="77777777" w:rsidR="00BA0DA1" w:rsidRPr="00285483" w:rsidRDefault="00BA0DA1" w:rsidP="00BA0DA1">
      <w:pPr>
        <w:jc w:val="both"/>
        <w:rPr>
          <w:lang w:val="de-DE"/>
        </w:rPr>
      </w:pPr>
    </w:p>
    <w:p w14:paraId="3251C8C4" w14:textId="4E1C34B0" w:rsidR="00BA0DA1" w:rsidRPr="00BA0DA1" w:rsidRDefault="00BA0DA1" w:rsidP="00BA0DA1">
      <w:pPr>
        <w:jc w:val="both"/>
        <w:rPr>
          <w:iCs/>
          <w:lang w:val="de-DE"/>
        </w:rPr>
      </w:pPr>
      <w:r w:rsidRPr="00285483">
        <w:rPr>
          <w:lang w:val="de-DE"/>
        </w:rPr>
        <w:tab/>
        <w:t>§ 3 - Im Rahmen der in vorliegendem Buch erwähnten Aufträge gewährleistet das Organ für die Überwachung von Datenvermittlungsdiensten und datenaltruistischen Organisationen eine enge Zusammenarbeit insbesondere mit der Datenschutzbehörde, der Belgischen Wettbewerbsbehörde, dem Zentrum für Cybersicherheit Belgien und den nationalen Behörden der anderen Mitgliedstaaten, die für die Anwendung der Verordnung 2022/868 als zuständig benannt worden sind.</w:t>
      </w:r>
      <w:r>
        <w:rPr>
          <w:iCs/>
          <w:lang w:val="de-DE"/>
        </w:rPr>
        <w:t>]</w:t>
      </w:r>
    </w:p>
    <w:p w14:paraId="7A0650BC" w14:textId="77777777" w:rsidR="00BA0DA1" w:rsidRDefault="00BA0DA1" w:rsidP="00BA0DA1">
      <w:pPr>
        <w:jc w:val="both"/>
        <w:rPr>
          <w:iCs/>
          <w:lang w:val="de-DE"/>
        </w:rPr>
      </w:pPr>
    </w:p>
    <w:p w14:paraId="5E0CF675" w14:textId="19900ED0" w:rsidR="00BA0DA1" w:rsidRDefault="00BA0DA1" w:rsidP="00BA0DA1">
      <w:pPr>
        <w:jc w:val="both"/>
        <w:rPr>
          <w:iCs/>
          <w:lang w:val="de-DE"/>
        </w:rPr>
      </w:pPr>
      <w:r>
        <w:rPr>
          <w:i/>
          <w:lang w:val="de-DE"/>
        </w:rPr>
        <w:t>[Art. XV.66/7 eingefügt durch Art. 27 des G. vom 15. Mai 2024 (B.S. vom 7. Juni 2024)]</w:t>
      </w:r>
    </w:p>
    <w:p w14:paraId="6BAE7F4F" w14:textId="77777777" w:rsidR="00BA0DA1" w:rsidRDefault="00BA0DA1" w:rsidP="00BA0DA1">
      <w:pPr>
        <w:jc w:val="both"/>
        <w:rPr>
          <w:iCs/>
          <w:lang w:val="de-DE"/>
        </w:rPr>
      </w:pPr>
    </w:p>
    <w:p w14:paraId="440E610B" w14:textId="77777777" w:rsidR="00BA0DA1" w:rsidRDefault="00BA0DA1" w:rsidP="00BA0DA1">
      <w:pPr>
        <w:jc w:val="both"/>
        <w:rPr>
          <w:iCs/>
          <w:lang w:val="de-DE"/>
        </w:rPr>
      </w:pPr>
    </w:p>
    <w:p w14:paraId="1AC03C2B" w14:textId="77777777" w:rsidR="00BA0DA1" w:rsidRPr="00285483" w:rsidRDefault="00BA0DA1" w:rsidP="00BA0DA1">
      <w:pPr>
        <w:jc w:val="both"/>
        <w:rPr>
          <w:lang w:val="de-DE"/>
        </w:rPr>
      </w:pPr>
      <w:r>
        <w:rPr>
          <w:iCs/>
          <w:lang w:val="de-DE"/>
        </w:rPr>
        <w:tab/>
        <w:t>[</w:t>
      </w:r>
      <w:r w:rsidRPr="00BA0DA1">
        <w:rPr>
          <w:b/>
          <w:bCs/>
          <w:lang w:val="de-DE"/>
        </w:rPr>
        <w:t>Art. XV.66/8</w:t>
      </w:r>
      <w:r w:rsidRPr="00285483">
        <w:rPr>
          <w:lang w:val="de-DE"/>
        </w:rPr>
        <w:t> - § 1 ­ Hat der Anbieter von Datenvermittlungsdiensten oder die datenaltruistische Organisation der in Artikel XV.66/7 erwähnten Verwarnung nicht innerhalb der vom Organ für die Überwachung von Datenvermittlungsdiensten und datenaltruistischen Organisationen vorgegebenen Frist Folge geleistet, erstellt das Organ ein Protokoll, durch das der Verstoß festgestellt wird und in dem die Taten aufgeführt werden.</w:t>
      </w:r>
    </w:p>
    <w:p w14:paraId="5BD0FB10" w14:textId="77777777" w:rsidR="00BA0DA1" w:rsidRPr="00285483" w:rsidRDefault="00BA0DA1" w:rsidP="00BA0DA1">
      <w:pPr>
        <w:jc w:val="both"/>
        <w:rPr>
          <w:lang w:val="de-DE"/>
        </w:rPr>
      </w:pPr>
    </w:p>
    <w:p w14:paraId="7B3C6C8D" w14:textId="77777777" w:rsidR="00BA0DA1" w:rsidRPr="00285483" w:rsidRDefault="00BA0DA1" w:rsidP="00BA0DA1">
      <w:pPr>
        <w:jc w:val="both"/>
        <w:rPr>
          <w:lang w:val="de-DE"/>
        </w:rPr>
      </w:pPr>
      <w:r w:rsidRPr="00285483">
        <w:rPr>
          <w:lang w:val="de-DE"/>
        </w:rPr>
        <w:tab/>
        <w:t>Vom Organ für die Überwachung von Datenvermittlungsdiensten und datenaltruistischen Organisationen erstellte Protokolle haben Beweiskraft bis zum Gegenbeweis. Eine Abschrift des Protokolls wird dem Anbieter von Datenvermittlungsdiensten oder der datenaltruistischen Organisation innerhalb einer Frist von dreißig Tagen ab Feststellung, dass der Verwarnung nicht Folge geleistet worden ist, in einer der in Artikel XV.2 § 2 vorgesehenen Formen per Einschreibesendung mit Rückschein notifiziert oder ihm/ihr persönlich ausgehändigt.</w:t>
      </w:r>
    </w:p>
    <w:p w14:paraId="581D51F6" w14:textId="77777777" w:rsidR="00BA0DA1" w:rsidRPr="00285483" w:rsidRDefault="00BA0DA1" w:rsidP="00BA0DA1">
      <w:pPr>
        <w:jc w:val="both"/>
        <w:rPr>
          <w:lang w:val="de-DE"/>
        </w:rPr>
      </w:pPr>
    </w:p>
    <w:p w14:paraId="77DE2434" w14:textId="77777777" w:rsidR="00BA0DA1" w:rsidRPr="00285483" w:rsidRDefault="00BA0DA1" w:rsidP="00BA0DA1">
      <w:pPr>
        <w:jc w:val="both"/>
        <w:rPr>
          <w:lang w:val="de-DE"/>
        </w:rPr>
      </w:pPr>
      <w:r w:rsidRPr="00285483">
        <w:rPr>
          <w:lang w:val="de-DE"/>
        </w:rPr>
        <w:tab/>
        <w:t>§ 2 - Unbeschadet anderer in Gesetzes- oder Verordnungsbestimmungen vorgesehener Maßnahmen können die in Artikel XV.60/4 erwähnten zuständigen Bediensteten ein Verwaltungsverfahren einleiten, wenn der in Artikel XV.66/7 erwähnten Verwarnung nicht Folge geleistet wird.</w:t>
      </w:r>
    </w:p>
    <w:p w14:paraId="201FD6EE" w14:textId="77777777" w:rsidR="00BA0DA1" w:rsidRPr="00285483" w:rsidRDefault="00BA0DA1" w:rsidP="00BA0DA1">
      <w:pPr>
        <w:jc w:val="both"/>
        <w:rPr>
          <w:lang w:val="de-DE"/>
        </w:rPr>
      </w:pPr>
    </w:p>
    <w:p w14:paraId="00851BA4" w14:textId="77777777" w:rsidR="00BA0DA1" w:rsidRPr="00285483" w:rsidRDefault="00BA0DA1" w:rsidP="00BA0DA1">
      <w:pPr>
        <w:jc w:val="both"/>
        <w:rPr>
          <w:lang w:val="de-DE"/>
        </w:rPr>
      </w:pPr>
      <w:r w:rsidRPr="00285483">
        <w:rPr>
          <w:lang w:val="de-DE"/>
        </w:rPr>
        <w:tab/>
        <w:t>Diese Bediensteten üben diese Befugnis unter Bedingungen aus, durch die ihre Unabhängigkeit und ihre Unparteilichkeit gewährleistet sind. Sie dürfen weder eine Entscheidung in einer Akte treffen, in der sie bereits in einer anderen Eigenschaft aufgetreten sind, noch direkte oder indirekte Interessen in den Unternehmen oder Einrichtungen, die vom Verfahren betroffen sind, haben.</w:t>
      </w:r>
    </w:p>
    <w:p w14:paraId="0D821861" w14:textId="77777777" w:rsidR="00BA0DA1" w:rsidRPr="00285483" w:rsidRDefault="00BA0DA1" w:rsidP="00BA0DA1">
      <w:pPr>
        <w:jc w:val="both"/>
        <w:rPr>
          <w:lang w:val="de-DE"/>
        </w:rPr>
      </w:pPr>
    </w:p>
    <w:p w14:paraId="52EE04C0" w14:textId="77777777" w:rsidR="00BA0DA1" w:rsidRPr="00285483" w:rsidRDefault="00BA0DA1" w:rsidP="00BA0DA1">
      <w:pPr>
        <w:jc w:val="both"/>
        <w:rPr>
          <w:lang w:val="de-DE"/>
        </w:rPr>
      </w:pPr>
      <w:r w:rsidRPr="00285483">
        <w:rPr>
          <w:lang w:val="de-DE"/>
        </w:rPr>
        <w:lastRenderedPageBreak/>
        <w:tab/>
        <w:t>§ 3 - Das Organ für die Überwachung von Datenvermittlungsdiensten und datenaltruistischen Organisationen legt den in § 2 erwähnten zuständigen Bediensteten das Protokoll zusammen mit einer Abschrift der in Artikel XV.66/7 erwähnten Verwarnung und allen anderen sachdienlichen Informationen vor. Nach Beurteilung der Begründetheit und des Inhalts der in Artikel XV.66/7 erwähnten Verwarnung, des in § 1 erwähnten Protokolls und gegebenenfalls der Verteidigungsmittel des Anbieters von Datenvermittlungsdiensten können diese Bediensteten:</w:t>
      </w:r>
    </w:p>
    <w:p w14:paraId="103911FB" w14:textId="77777777" w:rsidR="00BA0DA1" w:rsidRPr="00285483" w:rsidRDefault="00BA0DA1" w:rsidP="00BA0DA1">
      <w:pPr>
        <w:jc w:val="both"/>
        <w:rPr>
          <w:lang w:val="de-DE"/>
        </w:rPr>
      </w:pPr>
    </w:p>
    <w:p w14:paraId="78738C44" w14:textId="77777777" w:rsidR="00BA0DA1" w:rsidRPr="00285483" w:rsidRDefault="00BA0DA1" w:rsidP="00BA0DA1">
      <w:pPr>
        <w:jc w:val="both"/>
        <w:rPr>
          <w:lang w:val="de-DE"/>
        </w:rPr>
      </w:pPr>
      <w:r w:rsidRPr="00285483">
        <w:rPr>
          <w:lang w:val="de-DE"/>
        </w:rPr>
        <w:tab/>
        <w:t>1. die Verschiebung des Beginns oder eine Aussetzung der Ausübung der Datenvermittlungstätigkeit für einen von ihnen bestimmten Zeitraum anordnen,</w:t>
      </w:r>
    </w:p>
    <w:p w14:paraId="03D914DA" w14:textId="77777777" w:rsidR="00BA0DA1" w:rsidRPr="00285483" w:rsidRDefault="00BA0DA1" w:rsidP="00BA0DA1">
      <w:pPr>
        <w:jc w:val="both"/>
        <w:rPr>
          <w:lang w:val="de-DE"/>
        </w:rPr>
      </w:pPr>
    </w:p>
    <w:p w14:paraId="3A01A452" w14:textId="77777777" w:rsidR="00BA0DA1" w:rsidRPr="00285483" w:rsidRDefault="00BA0DA1" w:rsidP="00BA0DA1">
      <w:pPr>
        <w:jc w:val="both"/>
        <w:rPr>
          <w:lang w:val="de-DE"/>
        </w:rPr>
      </w:pPr>
      <w:r w:rsidRPr="00285483">
        <w:rPr>
          <w:lang w:val="de-DE"/>
        </w:rPr>
        <w:tab/>
        <w:t>2. bei schweren oder wiederholten Verstößen die Einstellung der Ausübung der Datenvermittlungstätigkeit für einen von ihnen bestimmten Zeitraum anordnen,</w:t>
      </w:r>
    </w:p>
    <w:p w14:paraId="6C09AF4F" w14:textId="77777777" w:rsidR="00BA0DA1" w:rsidRPr="00285483" w:rsidRDefault="00BA0DA1" w:rsidP="00BA0DA1">
      <w:pPr>
        <w:jc w:val="both"/>
        <w:rPr>
          <w:lang w:val="de-DE"/>
        </w:rPr>
      </w:pPr>
    </w:p>
    <w:p w14:paraId="4A975B84" w14:textId="77777777" w:rsidR="00BA0DA1" w:rsidRPr="00285483" w:rsidRDefault="00BA0DA1" w:rsidP="00BA0DA1">
      <w:pPr>
        <w:jc w:val="both"/>
        <w:rPr>
          <w:lang w:val="de-DE"/>
        </w:rPr>
      </w:pPr>
      <w:r w:rsidRPr="00285483">
        <w:rPr>
          <w:lang w:val="de-DE"/>
        </w:rPr>
        <w:tab/>
        <w:t>3. eine administrative Geldbuße auferlegen von 250 bis 100.000 EUR, erhöht um die in Artikel 1 Absatz 1 des Gesetzes vom 5. März 1952 über die Zuschlagzehntel auf strafrechtliche Geldbußen erwähnten Zuschlagzehntel, oder in Höhe von 6 Prozent des gesamten Jahresumsatzes des letzten abgeschlossenen Geschäftsjahres vor Verhängung der Geldbuße, für das Angaben zur Ermittlung des Jahresumsatzes vorliegen, wenn dieser Betrag höher ist.</w:t>
      </w:r>
    </w:p>
    <w:p w14:paraId="2B9EAD7F" w14:textId="77777777" w:rsidR="00BA0DA1" w:rsidRPr="00285483" w:rsidRDefault="00BA0DA1" w:rsidP="00BA0DA1">
      <w:pPr>
        <w:jc w:val="both"/>
        <w:rPr>
          <w:lang w:val="de-DE"/>
        </w:rPr>
      </w:pPr>
    </w:p>
    <w:p w14:paraId="0172B31D" w14:textId="77777777" w:rsidR="00BA0DA1" w:rsidRPr="00285483" w:rsidRDefault="00BA0DA1" w:rsidP="00BA0DA1">
      <w:pPr>
        <w:jc w:val="both"/>
        <w:rPr>
          <w:lang w:val="de-DE"/>
        </w:rPr>
      </w:pPr>
      <w:r w:rsidRPr="00285483">
        <w:rPr>
          <w:lang w:val="de-DE"/>
        </w:rPr>
        <w:tab/>
        <w:t>Wirtschaftliche Eigentümer wie in Artikel 4 Nr. 27 Absatz 2 Buchstabe </w:t>
      </w:r>
      <w:r w:rsidRPr="00285483">
        <w:rPr>
          <w:i/>
          <w:iCs/>
          <w:lang w:val="de-DE"/>
        </w:rPr>
        <w:t>a)</w:t>
      </w:r>
      <w:r w:rsidRPr="00285483">
        <w:rPr>
          <w:lang w:val="de-DE"/>
        </w:rPr>
        <w:t xml:space="preserve"> und </w:t>
      </w:r>
      <w:r w:rsidRPr="00285483">
        <w:rPr>
          <w:i/>
          <w:iCs/>
          <w:lang w:val="de-DE"/>
        </w:rPr>
        <w:t>c)</w:t>
      </w:r>
      <w:r w:rsidRPr="00285483">
        <w:rPr>
          <w:lang w:val="de-DE"/>
        </w:rPr>
        <w:t xml:space="preserve"> des Gesetzes vom 18. September 2017 zur Verhinderung von Geldwäsche und Terrorismusfinanzierung und zur Beschränkung der Nutzung von Bargeld erwähnt, Geschäftsführer und Verwalter juristischer Personen, die bei Auferlegung der Geldbuße und während des Vorjahrs im Amt sind, können gesamtschuldnerisch für die in § 1 erwähnten Verstöße haftbar gemacht werden.</w:t>
      </w:r>
    </w:p>
    <w:p w14:paraId="284E0813" w14:textId="77777777" w:rsidR="00BA0DA1" w:rsidRPr="00285483" w:rsidRDefault="00BA0DA1" w:rsidP="00BA0DA1">
      <w:pPr>
        <w:jc w:val="both"/>
        <w:rPr>
          <w:lang w:val="de-DE"/>
        </w:rPr>
      </w:pPr>
    </w:p>
    <w:p w14:paraId="54987EA5" w14:textId="77777777" w:rsidR="00BA0DA1" w:rsidRPr="00285483" w:rsidRDefault="00BA0DA1" w:rsidP="00BA0DA1">
      <w:pPr>
        <w:jc w:val="both"/>
        <w:rPr>
          <w:lang w:val="de-DE"/>
        </w:rPr>
      </w:pPr>
      <w:r w:rsidRPr="00285483">
        <w:rPr>
          <w:lang w:val="de-DE"/>
        </w:rPr>
        <w:tab/>
        <w:t>§ 4 - Nach Beurteilung der Begründetheit und des Inhalts der in Artikel XV.66/7 erwähnten Verwarnung und gegebenenfalls der Verteidigungsmittel der datenaltruistischen Organisation entscheiden die in § 2 erwähnten zuständigen Bediensteten:</w:t>
      </w:r>
    </w:p>
    <w:p w14:paraId="793F58B1" w14:textId="77777777" w:rsidR="00BA0DA1" w:rsidRPr="00285483" w:rsidRDefault="00BA0DA1" w:rsidP="00BA0DA1">
      <w:pPr>
        <w:jc w:val="both"/>
        <w:rPr>
          <w:lang w:val="de-DE"/>
        </w:rPr>
      </w:pPr>
    </w:p>
    <w:p w14:paraId="0E3A713F" w14:textId="77777777" w:rsidR="00BA0DA1" w:rsidRPr="00285483" w:rsidRDefault="00BA0DA1" w:rsidP="00BA0DA1">
      <w:pPr>
        <w:jc w:val="both"/>
        <w:rPr>
          <w:lang w:val="de-DE"/>
        </w:rPr>
      </w:pPr>
      <w:r w:rsidRPr="00285483">
        <w:rPr>
          <w:lang w:val="de-DE"/>
        </w:rPr>
        <w:tab/>
        <w:t>1. die Verwendung der Bezeichnung "in der Union anerkannte datenaltruistische Organisation" bei der schriftlichen und mündlichen Kommunikation zu verbieten. Diese Entscheidung wird von den zuständigen Bediensteten gemäß den in § 6 vorgesehenen Modalitäten bekannt gegeben,</w:t>
      </w:r>
    </w:p>
    <w:p w14:paraId="73172393" w14:textId="77777777" w:rsidR="00BA0DA1" w:rsidRPr="00285483" w:rsidRDefault="00BA0DA1" w:rsidP="00BA0DA1">
      <w:pPr>
        <w:jc w:val="both"/>
        <w:rPr>
          <w:lang w:val="de-DE"/>
        </w:rPr>
      </w:pPr>
    </w:p>
    <w:p w14:paraId="59BCA640" w14:textId="77777777" w:rsidR="00BA0DA1" w:rsidRPr="00285483" w:rsidRDefault="00BA0DA1" w:rsidP="00BA0DA1">
      <w:pPr>
        <w:jc w:val="both"/>
        <w:rPr>
          <w:lang w:val="de-DE"/>
        </w:rPr>
      </w:pPr>
      <w:r w:rsidRPr="00285483">
        <w:rPr>
          <w:lang w:val="de-DE"/>
        </w:rPr>
        <w:tab/>
        <w:t>2. die Streichung aus dem öffentlichen nationalen Register der anerkannten datenaltruistischen Organisationen und dem öffentlichen Register der in der Europäischen Union anerkannten datenaltruistischen Organisationen vorzunehmen.</w:t>
      </w:r>
    </w:p>
    <w:p w14:paraId="3542DC2A" w14:textId="77777777" w:rsidR="00BA0DA1" w:rsidRPr="00285483" w:rsidRDefault="00BA0DA1" w:rsidP="00BA0DA1">
      <w:pPr>
        <w:jc w:val="both"/>
        <w:rPr>
          <w:lang w:val="de-DE"/>
        </w:rPr>
      </w:pPr>
    </w:p>
    <w:p w14:paraId="6104F4D9" w14:textId="77777777" w:rsidR="00BA0DA1" w:rsidRPr="00285483" w:rsidRDefault="00BA0DA1" w:rsidP="00BA0DA1">
      <w:pPr>
        <w:jc w:val="both"/>
        <w:rPr>
          <w:lang w:val="de-DE"/>
        </w:rPr>
      </w:pPr>
      <w:r w:rsidRPr="00285483">
        <w:rPr>
          <w:lang w:val="de-DE"/>
        </w:rPr>
        <w:tab/>
        <w:t>§ 5 - Die in § 2 erwähnten zuständigen Bediensteten können entscheiden, die in § 3 Absatz 1 Nr. 3 erwähnte administrative Geldbuße mit dem Befehl zu verbinden, den vom Organ für die Überwachung von Datenvermittlungsdiensten und datenaltruistischen Organisationen festgestellten Verstoß innerhalb einer bestimmten Frist zur Vermeidung eines Zwangsgeldes, dessen Gesamtbetrag 800.000 EUR nicht übersteigen darf, einzustellen.</w:t>
      </w:r>
    </w:p>
    <w:p w14:paraId="16320E83" w14:textId="77777777" w:rsidR="00BA0DA1" w:rsidRPr="00285483" w:rsidRDefault="00BA0DA1" w:rsidP="00BA0DA1">
      <w:pPr>
        <w:jc w:val="both"/>
        <w:rPr>
          <w:lang w:val="de-DE"/>
        </w:rPr>
      </w:pPr>
    </w:p>
    <w:p w14:paraId="19637DBA" w14:textId="77777777" w:rsidR="00BA0DA1" w:rsidRPr="00285483" w:rsidRDefault="00BA0DA1" w:rsidP="00BA0DA1">
      <w:pPr>
        <w:jc w:val="both"/>
        <w:rPr>
          <w:lang w:val="de-DE"/>
        </w:rPr>
      </w:pPr>
      <w:r w:rsidRPr="00285483">
        <w:rPr>
          <w:lang w:val="de-DE"/>
        </w:rPr>
        <w:tab/>
        <w:t>Das Zwangsgeld wird von den in § 2 erwähnten zuständigen Beamten angeordnet und festgesetzt. Das Zwangsgeld kann entweder auf einen einmaligen Betrag oder einen bestimmten Betrag pro Zeiteinheit oder pro Verstoß festgelegt werden. In den beiden letzten Fällen kann zudem ein Betrag bestimmt werden, über den hinaus kein Zwangsgeld mehr verwirkt wird.</w:t>
      </w:r>
    </w:p>
    <w:p w14:paraId="18DAFCA6" w14:textId="77777777" w:rsidR="00BA0DA1" w:rsidRPr="00285483" w:rsidRDefault="00BA0DA1" w:rsidP="00BA0DA1">
      <w:pPr>
        <w:jc w:val="both"/>
        <w:rPr>
          <w:lang w:val="de-DE"/>
        </w:rPr>
      </w:pPr>
    </w:p>
    <w:p w14:paraId="241B2900" w14:textId="77777777" w:rsidR="00BA0DA1" w:rsidRPr="00285483" w:rsidRDefault="00BA0DA1" w:rsidP="00BA0DA1">
      <w:pPr>
        <w:jc w:val="both"/>
        <w:rPr>
          <w:lang w:val="de-DE"/>
        </w:rPr>
      </w:pPr>
      <w:r w:rsidRPr="00285483">
        <w:rPr>
          <w:lang w:val="de-DE"/>
        </w:rPr>
        <w:tab/>
        <w:t>Auf Antrag des Anbieters von Datenvermittlungsdiensten, der den Befehl erhalten hat, den Verstoß innerhalb einer bestimmten Frist zur Vermeidung eines Zwangsgeldes einzustellen, kann das Zwangsgeld aufgehoben werden, kann seine Laufzeit während einer bestimmten Zeit ausgesetzt werden oder kann seine Höhe verringert werden, wenn es ihm endgültig oder zeitweilig, völlig oder teilweise unmöglich ist, dem Befehl nachzukommen. Die Aufhebung des Befehls, den Verstoß einzustellen, führt automatisch zur Aufhebung des Zwangsgeldes.</w:t>
      </w:r>
    </w:p>
    <w:p w14:paraId="41009D6C" w14:textId="77777777" w:rsidR="00BA0DA1" w:rsidRPr="00285483" w:rsidRDefault="00BA0DA1" w:rsidP="00BA0DA1">
      <w:pPr>
        <w:jc w:val="both"/>
        <w:rPr>
          <w:lang w:val="de-DE"/>
        </w:rPr>
      </w:pPr>
    </w:p>
    <w:p w14:paraId="4FA40975" w14:textId="77777777" w:rsidR="00BA0DA1" w:rsidRPr="00285483" w:rsidRDefault="00BA0DA1" w:rsidP="00BA0DA1">
      <w:pPr>
        <w:jc w:val="both"/>
        <w:rPr>
          <w:lang w:val="de-DE"/>
        </w:rPr>
      </w:pPr>
      <w:r w:rsidRPr="00285483">
        <w:rPr>
          <w:lang w:val="de-DE"/>
        </w:rPr>
        <w:tab/>
        <w:t>Das Zwangsgeld ist bei Ablauf der im Befehl zur Einstellung des Verstoßes vorgesehenen Frist von Rechts wegen einforderbar.</w:t>
      </w:r>
    </w:p>
    <w:p w14:paraId="630BA372" w14:textId="77777777" w:rsidR="00BA0DA1" w:rsidRPr="00285483" w:rsidRDefault="00BA0DA1" w:rsidP="00BA0DA1">
      <w:pPr>
        <w:jc w:val="both"/>
        <w:rPr>
          <w:lang w:val="de-DE"/>
        </w:rPr>
      </w:pPr>
    </w:p>
    <w:p w14:paraId="508A335D" w14:textId="77777777" w:rsidR="00BA0DA1" w:rsidRPr="00285483" w:rsidRDefault="00BA0DA1" w:rsidP="00BA0DA1">
      <w:pPr>
        <w:jc w:val="both"/>
        <w:rPr>
          <w:lang w:val="de-DE"/>
        </w:rPr>
      </w:pPr>
      <w:r w:rsidRPr="00285483">
        <w:rPr>
          <w:lang w:val="de-DE"/>
        </w:rPr>
        <w:tab/>
        <w:t>Das Zwangsgeld verjährt nach Ablauf einer Frist von einem Jahr ab dem Datum, an dem es verwirkt worden ist.</w:t>
      </w:r>
    </w:p>
    <w:p w14:paraId="60E166A7" w14:textId="77777777" w:rsidR="00BA0DA1" w:rsidRPr="00285483" w:rsidRDefault="00BA0DA1" w:rsidP="00BA0DA1">
      <w:pPr>
        <w:jc w:val="both"/>
        <w:rPr>
          <w:lang w:val="de-DE"/>
        </w:rPr>
      </w:pPr>
    </w:p>
    <w:p w14:paraId="422BF5C6" w14:textId="77777777" w:rsidR="00BA0DA1" w:rsidRPr="00285483" w:rsidRDefault="00BA0DA1" w:rsidP="00BA0DA1">
      <w:pPr>
        <w:jc w:val="both"/>
        <w:rPr>
          <w:lang w:val="de-DE"/>
        </w:rPr>
      </w:pPr>
      <w:r w:rsidRPr="00285483">
        <w:rPr>
          <w:lang w:val="de-DE"/>
        </w:rPr>
        <w:tab/>
        <w:t>§ 6 - Unbeschadet der anderen in vorliegendem Gesetzbuch vorgeschriebenen Maßnahmen kann die auf der Grundlage von § 4 Nr. 1 getroffene Entscheidung von den in § 2 erwähnten Bediensteten öffentlich bekannt gegeben werden, um Verbraucher und Unternehmen von dem der datenaltruistischen Organisation auferlegten Verbot, die Bezeichnung "in der Union anerkannte datenaltruistische Organisation" bei der schriftlichen und mündlichen Kommunikation zu verwenden, in Kenntnis zu setzen oder sie darüber zu informieren. In diesem Rahmen können die in § 2 erwähnten Bediensteten auch Identifizierungsdaten des Zuwiderhandelnden und Angaben zu den festgestellten Verstößen, den zugrunde liegenden Praktiken, den zur Begehung dieser Verstöße verwendeten Mitteln und der Entscheidung in Bezug auf die auferlegte Verwaltungssanktion öffentlich bekannt geben. Adressen dürfen nur öffentlich bekannt gegeben werden, wenn der Zuwiderhandelnde dort nicht seinen Wohnsitz hat.</w:t>
      </w:r>
    </w:p>
    <w:p w14:paraId="2B80965B" w14:textId="77777777" w:rsidR="00BA0DA1" w:rsidRPr="00285483" w:rsidRDefault="00BA0DA1" w:rsidP="00BA0DA1">
      <w:pPr>
        <w:jc w:val="both"/>
        <w:rPr>
          <w:lang w:val="de-DE"/>
        </w:rPr>
      </w:pPr>
    </w:p>
    <w:p w14:paraId="7F14EA56" w14:textId="77777777" w:rsidR="00BA0DA1" w:rsidRPr="00285483" w:rsidRDefault="00BA0DA1" w:rsidP="00BA0DA1">
      <w:pPr>
        <w:jc w:val="both"/>
        <w:rPr>
          <w:lang w:val="de-DE"/>
        </w:rPr>
      </w:pPr>
      <w:r w:rsidRPr="00285483">
        <w:rPr>
          <w:lang w:val="de-DE"/>
        </w:rPr>
        <w:tab/>
        <w:t>Die Entscheidung, die Bekanntmachung vorzunehmen, ist in der auf der Grundlage von § 4 Nr. 1 getroffenen Entscheidung enthalten; gegen die Entscheidung kann Beschwerde wie in Artikel XV.66/10 erwähnt eingelegt werden. Die Bekanntmachung erfolgt erst nach Ablauf der in demselben Artikel erwähnten Beschwerdefrist oder gegebenenfalls nach Ablauf der in Artikel XV.60/15 erwähnten Beschwerdefrist.</w:t>
      </w:r>
    </w:p>
    <w:p w14:paraId="606ED7CE" w14:textId="77777777" w:rsidR="00BA0DA1" w:rsidRPr="00285483" w:rsidRDefault="00BA0DA1" w:rsidP="00BA0DA1">
      <w:pPr>
        <w:jc w:val="both"/>
        <w:rPr>
          <w:lang w:val="de-DE"/>
        </w:rPr>
      </w:pPr>
    </w:p>
    <w:p w14:paraId="3D4010A5" w14:textId="1759EFB3" w:rsidR="00BA0DA1" w:rsidRDefault="00BA0DA1" w:rsidP="00BA0DA1">
      <w:pPr>
        <w:jc w:val="both"/>
        <w:rPr>
          <w:iCs/>
          <w:lang w:val="de-DE"/>
        </w:rPr>
      </w:pPr>
      <w:r w:rsidRPr="00285483">
        <w:rPr>
          <w:lang w:val="de-DE"/>
        </w:rPr>
        <w:tab/>
        <w:t>Die Bekanntmachung erfolgt auf der Website des Föderalen Öffentlichen Dienstes Wirtschaft, KMB, Mittelstand und Energie, die für jeden Bürger zugänglich ist. Die Bekanntmachung wird entfernt, sobald das Unternehmen den Beweis erbringt, dass es den Verstoß behoben hat, und eine Entscheidung getroffen wird, die es dem Unternehmen wieder erlaubt, die Bezeichnung "in der Union anerkannte datenaltruistische Organisation" bei der schriftlichen und mündlichen Kommunikation zu verwenden.</w:t>
      </w:r>
      <w:r>
        <w:rPr>
          <w:iCs/>
          <w:lang w:val="de-DE"/>
        </w:rPr>
        <w:t>]</w:t>
      </w:r>
    </w:p>
    <w:p w14:paraId="5CE522A8" w14:textId="77777777" w:rsidR="00BA0DA1" w:rsidRDefault="00BA0DA1" w:rsidP="00BA0DA1">
      <w:pPr>
        <w:jc w:val="both"/>
        <w:rPr>
          <w:iCs/>
          <w:lang w:val="de-DE"/>
        </w:rPr>
      </w:pPr>
    </w:p>
    <w:p w14:paraId="7228FECF" w14:textId="48609EF3" w:rsidR="00BA0DA1" w:rsidRDefault="00BA0DA1" w:rsidP="00BA0DA1">
      <w:pPr>
        <w:jc w:val="both"/>
        <w:rPr>
          <w:iCs/>
          <w:lang w:val="de-DE"/>
        </w:rPr>
      </w:pPr>
      <w:r>
        <w:rPr>
          <w:i/>
          <w:lang w:val="de-DE"/>
        </w:rPr>
        <w:t>[Art. XV.66/8 eingefügt durch Art. 28 des G. vom 15. Mai 2024 (B.S. vom 7. Juni 2024)]</w:t>
      </w:r>
    </w:p>
    <w:p w14:paraId="14D5BD55" w14:textId="77777777" w:rsidR="00BA0DA1" w:rsidRDefault="00BA0DA1" w:rsidP="00BA0DA1">
      <w:pPr>
        <w:jc w:val="both"/>
        <w:rPr>
          <w:iCs/>
          <w:lang w:val="de-DE"/>
        </w:rPr>
      </w:pPr>
    </w:p>
    <w:p w14:paraId="6857C6F1" w14:textId="77777777" w:rsidR="00BA0DA1" w:rsidRDefault="00BA0DA1" w:rsidP="00BA0DA1">
      <w:pPr>
        <w:jc w:val="both"/>
        <w:rPr>
          <w:iCs/>
          <w:lang w:val="de-DE"/>
        </w:rPr>
      </w:pPr>
    </w:p>
    <w:p w14:paraId="2513315B" w14:textId="77777777" w:rsidR="00BA0DA1" w:rsidRPr="00285483" w:rsidRDefault="00BA0DA1" w:rsidP="00BA0DA1">
      <w:pPr>
        <w:jc w:val="both"/>
        <w:rPr>
          <w:lang w:val="de-DE"/>
        </w:rPr>
      </w:pPr>
      <w:r>
        <w:rPr>
          <w:iCs/>
          <w:lang w:val="de-DE"/>
        </w:rPr>
        <w:tab/>
        <w:t>[</w:t>
      </w:r>
      <w:r w:rsidRPr="00BA0DA1">
        <w:rPr>
          <w:b/>
          <w:bCs/>
          <w:lang w:val="de-DE"/>
        </w:rPr>
        <w:t>Art. XV.66/9</w:t>
      </w:r>
      <w:r w:rsidRPr="00285483">
        <w:rPr>
          <w:lang w:val="de-DE"/>
        </w:rPr>
        <w:t> - § 1 ­ Die aufgrund von Artikel XV.66/8 § 3 oder § 4 auferlegte Verwaltungssanktion darf fünf Jahre nach den Taten nicht mehr auferlegt werden.</w:t>
      </w:r>
    </w:p>
    <w:p w14:paraId="6C593F08" w14:textId="77777777" w:rsidR="00BA0DA1" w:rsidRPr="00285483" w:rsidRDefault="00BA0DA1" w:rsidP="00BA0DA1">
      <w:pPr>
        <w:jc w:val="both"/>
        <w:rPr>
          <w:lang w:val="de-DE"/>
        </w:rPr>
      </w:pPr>
    </w:p>
    <w:p w14:paraId="36D400FB" w14:textId="77777777" w:rsidR="00BA0DA1" w:rsidRPr="00285483" w:rsidRDefault="00BA0DA1" w:rsidP="00BA0DA1">
      <w:pPr>
        <w:jc w:val="both"/>
        <w:rPr>
          <w:lang w:val="de-DE"/>
        </w:rPr>
      </w:pPr>
      <w:r w:rsidRPr="00285483">
        <w:rPr>
          <w:lang w:val="de-DE"/>
        </w:rPr>
        <w:tab/>
        <w:t xml:space="preserve">Diese Frist wird jedoch durch Untersuchungs- oder Verfolgungshandlungen, einschließlich der in der Verwarnung enthaltenen Aufforderung an den Anbieter von Datenvermittlungsdiensten oder die datenaltruistische Organisation, Verteidigungsmittel </w:t>
      </w:r>
      <w:r w:rsidRPr="00285483">
        <w:rPr>
          <w:lang w:val="de-DE"/>
        </w:rPr>
        <w:lastRenderedPageBreak/>
        <w:t>vorzubringen, die binnen der in Absatz 1 festgelegten Frist erfolgen, unterbrochen. Mit diesen Handlungen beginnt eine neue Frist von gleicher Dauer, auch gegenüber Personen, die nicht davon betroffen waren.</w:t>
      </w:r>
    </w:p>
    <w:p w14:paraId="7E366663" w14:textId="77777777" w:rsidR="00BA0DA1" w:rsidRPr="00285483" w:rsidRDefault="00BA0DA1" w:rsidP="00BA0DA1">
      <w:pPr>
        <w:jc w:val="both"/>
        <w:rPr>
          <w:lang w:val="de-DE"/>
        </w:rPr>
      </w:pPr>
    </w:p>
    <w:p w14:paraId="0802CF91" w14:textId="77777777" w:rsidR="00BA0DA1" w:rsidRPr="00285483" w:rsidRDefault="00BA0DA1" w:rsidP="00BA0DA1">
      <w:pPr>
        <w:jc w:val="both"/>
        <w:rPr>
          <w:lang w:val="de-DE"/>
        </w:rPr>
      </w:pPr>
      <w:r w:rsidRPr="00285483">
        <w:rPr>
          <w:lang w:val="de-DE"/>
        </w:rPr>
        <w:tab/>
        <w:t>§ 2 - Die in Artikel XV.66/8 §§ 3 und 4 erwähnte Entscheidung zur Auferlegung einer Verwaltungssanktion enthält folgende Angaben:</w:t>
      </w:r>
    </w:p>
    <w:p w14:paraId="6EE19ADB" w14:textId="77777777" w:rsidR="00BA0DA1" w:rsidRPr="00285483" w:rsidRDefault="00BA0DA1" w:rsidP="00BA0DA1">
      <w:pPr>
        <w:jc w:val="both"/>
        <w:rPr>
          <w:lang w:val="de-DE"/>
        </w:rPr>
      </w:pPr>
    </w:p>
    <w:p w14:paraId="5FFEB1B4" w14:textId="77777777" w:rsidR="00BA0DA1" w:rsidRPr="00285483" w:rsidRDefault="00BA0DA1" w:rsidP="00BA0DA1">
      <w:pPr>
        <w:jc w:val="both"/>
        <w:rPr>
          <w:lang w:val="de-DE"/>
        </w:rPr>
      </w:pPr>
      <w:r w:rsidRPr="00285483">
        <w:rPr>
          <w:lang w:val="de-DE"/>
        </w:rPr>
        <w:tab/>
        <w:t>1. Bestimmungen, die die Rechtsgrundlage für die Entscheidung zur Auferlegung einer Verwaltungssanktion bilden,</w:t>
      </w:r>
    </w:p>
    <w:p w14:paraId="48F420D4" w14:textId="77777777" w:rsidR="00BA0DA1" w:rsidRPr="00285483" w:rsidRDefault="00BA0DA1" w:rsidP="00BA0DA1">
      <w:pPr>
        <w:jc w:val="both"/>
        <w:rPr>
          <w:lang w:val="de-DE"/>
        </w:rPr>
      </w:pPr>
    </w:p>
    <w:p w14:paraId="589C4812" w14:textId="77777777" w:rsidR="00BA0DA1" w:rsidRPr="00285483" w:rsidRDefault="00BA0DA1" w:rsidP="00BA0DA1">
      <w:pPr>
        <w:jc w:val="both"/>
        <w:rPr>
          <w:lang w:val="de-DE"/>
        </w:rPr>
      </w:pPr>
      <w:r w:rsidRPr="00285483">
        <w:rPr>
          <w:lang w:val="de-DE"/>
        </w:rPr>
        <w:tab/>
        <w:t>2. Referenzangaben der Verwarnung und des Protokolls, durch das der Verstoß festgestellt wird und in dem die Taten aufgeführt werden, die der Einleitung des Verfahrens zur Auferlegung einer Verwaltungssanktion zugrunde liegen,</w:t>
      </w:r>
    </w:p>
    <w:p w14:paraId="7E85B952" w14:textId="77777777" w:rsidR="00BA0DA1" w:rsidRPr="00285483" w:rsidRDefault="00BA0DA1" w:rsidP="00BA0DA1">
      <w:pPr>
        <w:jc w:val="both"/>
        <w:rPr>
          <w:lang w:val="de-DE"/>
        </w:rPr>
      </w:pPr>
    </w:p>
    <w:p w14:paraId="6B23765F" w14:textId="77777777" w:rsidR="00BA0DA1" w:rsidRPr="00285483" w:rsidRDefault="00BA0DA1" w:rsidP="00BA0DA1">
      <w:pPr>
        <w:jc w:val="both"/>
        <w:rPr>
          <w:lang w:val="de-DE"/>
        </w:rPr>
      </w:pPr>
      <w:r w:rsidRPr="00285483">
        <w:rPr>
          <w:lang w:val="de-DE"/>
        </w:rPr>
        <w:tab/>
        <w:t>3. gegebenenfalls Datum, an dem die Verteidigungsmittel vorgebracht wurden, Aufstellung der vorgebrachten Verteidigungsmittel und Replik auf diese Verteidigungsmittel oder Begründung der Sanktion in Ermangelung von Verteidigungsmitteln,</w:t>
      </w:r>
    </w:p>
    <w:p w14:paraId="4A8116D1" w14:textId="77777777" w:rsidR="00BA0DA1" w:rsidRPr="00285483" w:rsidRDefault="00BA0DA1" w:rsidP="00BA0DA1">
      <w:pPr>
        <w:jc w:val="both"/>
        <w:rPr>
          <w:lang w:val="de-DE"/>
        </w:rPr>
      </w:pPr>
    </w:p>
    <w:p w14:paraId="555536F4" w14:textId="77777777" w:rsidR="00BA0DA1" w:rsidRPr="00285483" w:rsidRDefault="00BA0DA1" w:rsidP="00BA0DA1">
      <w:pPr>
        <w:jc w:val="both"/>
        <w:rPr>
          <w:lang w:val="de-DE"/>
        </w:rPr>
      </w:pPr>
      <w:r w:rsidRPr="00285483">
        <w:rPr>
          <w:lang w:val="de-DE"/>
        </w:rPr>
        <w:tab/>
        <w:t>4. Maßnahmen, die der Anbieter von Datenvermittlungsdiensten oder die datenaltruistische Organisation ergreifen muss, um den festgestellten Verstößen abzuhelfen,</w:t>
      </w:r>
    </w:p>
    <w:p w14:paraId="4129FF1D" w14:textId="77777777" w:rsidR="00BA0DA1" w:rsidRPr="00285483" w:rsidRDefault="00BA0DA1" w:rsidP="00BA0DA1">
      <w:pPr>
        <w:jc w:val="both"/>
        <w:rPr>
          <w:lang w:val="de-DE"/>
        </w:rPr>
      </w:pPr>
    </w:p>
    <w:p w14:paraId="032CD886" w14:textId="77777777" w:rsidR="00BA0DA1" w:rsidRPr="00285483" w:rsidRDefault="00BA0DA1" w:rsidP="00BA0DA1">
      <w:pPr>
        <w:jc w:val="both"/>
        <w:rPr>
          <w:lang w:val="de-DE"/>
        </w:rPr>
      </w:pPr>
      <w:r w:rsidRPr="00285483">
        <w:rPr>
          <w:lang w:val="de-DE"/>
        </w:rPr>
        <w:tab/>
        <w:t>5. Frist, die dem betreffenden Anbieter von Datenvermittlungsdiensten oder der betreffenden datenaltruistischen Organisation auferlegt wird, um diesen Maßnahmen nachzukommen. Diese Frist darf dreißig Tage nicht überschreiten,</w:t>
      </w:r>
    </w:p>
    <w:p w14:paraId="6A7B501D" w14:textId="77777777" w:rsidR="00BA0DA1" w:rsidRPr="00285483" w:rsidRDefault="00BA0DA1" w:rsidP="00BA0DA1">
      <w:pPr>
        <w:jc w:val="both"/>
        <w:rPr>
          <w:lang w:val="de-DE"/>
        </w:rPr>
      </w:pPr>
    </w:p>
    <w:p w14:paraId="17BD54A9" w14:textId="77777777" w:rsidR="00BA0DA1" w:rsidRPr="00285483" w:rsidRDefault="00BA0DA1" w:rsidP="00BA0DA1">
      <w:pPr>
        <w:jc w:val="both"/>
        <w:rPr>
          <w:lang w:val="de-DE"/>
        </w:rPr>
      </w:pPr>
      <w:r w:rsidRPr="00285483">
        <w:rPr>
          <w:lang w:val="de-DE"/>
        </w:rPr>
        <w:tab/>
        <w:t>6. gegebenenfalls Höhe der administrativen Geldbuße und des eventuellen Zwangsgeldes,</w:t>
      </w:r>
    </w:p>
    <w:p w14:paraId="5565A5FE" w14:textId="77777777" w:rsidR="00BA0DA1" w:rsidRPr="00285483" w:rsidRDefault="00BA0DA1" w:rsidP="00BA0DA1">
      <w:pPr>
        <w:jc w:val="both"/>
        <w:rPr>
          <w:lang w:val="de-DE"/>
        </w:rPr>
      </w:pPr>
    </w:p>
    <w:p w14:paraId="379DEFDE" w14:textId="77777777" w:rsidR="00BA0DA1" w:rsidRPr="00285483" w:rsidRDefault="00BA0DA1" w:rsidP="00BA0DA1">
      <w:pPr>
        <w:jc w:val="both"/>
        <w:rPr>
          <w:lang w:val="de-DE"/>
        </w:rPr>
      </w:pPr>
      <w:r w:rsidRPr="00285483">
        <w:rPr>
          <w:lang w:val="de-DE"/>
        </w:rPr>
        <w:tab/>
        <w:t>7. gegebenenfalls Bestimmungen von Artikel XV.60/17 Absatz 1 und 2 in Bezug auf die Zahlung der Geldbuße,</w:t>
      </w:r>
    </w:p>
    <w:p w14:paraId="4107F562" w14:textId="77777777" w:rsidR="00BA0DA1" w:rsidRPr="00285483" w:rsidRDefault="00BA0DA1" w:rsidP="00BA0DA1">
      <w:pPr>
        <w:jc w:val="both"/>
        <w:rPr>
          <w:lang w:val="de-DE"/>
        </w:rPr>
      </w:pPr>
    </w:p>
    <w:p w14:paraId="695D935B" w14:textId="77777777" w:rsidR="00BA0DA1" w:rsidRPr="00285483" w:rsidRDefault="00BA0DA1" w:rsidP="00BA0DA1">
      <w:pPr>
        <w:jc w:val="both"/>
        <w:rPr>
          <w:lang w:val="de-DE"/>
        </w:rPr>
      </w:pPr>
      <w:r w:rsidRPr="00285483">
        <w:rPr>
          <w:lang w:val="de-DE"/>
        </w:rPr>
        <w:tab/>
        <w:t>8. Bestimmungen von Artikel XV.66/10 in Bezug auf die Beschwerde gegen die Entscheidung bei den in Artikel XV.66/8 § 2 erwähnten Bediensteten sowie Verfahren, das bei der Einlegung der Beschwerde zu befolgen ist.</w:t>
      </w:r>
    </w:p>
    <w:p w14:paraId="45EAF355" w14:textId="77777777" w:rsidR="00BA0DA1" w:rsidRPr="00285483" w:rsidRDefault="00BA0DA1" w:rsidP="00BA0DA1">
      <w:pPr>
        <w:jc w:val="both"/>
        <w:rPr>
          <w:lang w:val="de-DE"/>
        </w:rPr>
      </w:pPr>
    </w:p>
    <w:p w14:paraId="6185E595" w14:textId="77777777" w:rsidR="00BA0DA1" w:rsidRPr="00285483" w:rsidRDefault="00BA0DA1" w:rsidP="00BA0DA1">
      <w:pPr>
        <w:jc w:val="both"/>
        <w:rPr>
          <w:lang w:val="de-DE"/>
        </w:rPr>
      </w:pPr>
      <w:r w:rsidRPr="00285483">
        <w:rPr>
          <w:lang w:val="de-DE"/>
        </w:rPr>
        <w:tab/>
        <w:t>§ 3 - Bei der in Artikel XV.66/8 §§ 3 und 4 erwähnten Entscheidung zur Auferlegung einer Verwaltungssanktion werden folgende als nicht abschließend zu verstehende und beispielhafte Kriterien berücksichtigt, wenn dazu die entsprechenden Daten verfügbar sind:</w:t>
      </w:r>
    </w:p>
    <w:p w14:paraId="68C57FEF" w14:textId="77777777" w:rsidR="00BA0DA1" w:rsidRPr="00285483" w:rsidRDefault="00BA0DA1" w:rsidP="00BA0DA1">
      <w:pPr>
        <w:jc w:val="both"/>
        <w:rPr>
          <w:lang w:val="de-DE"/>
        </w:rPr>
      </w:pPr>
    </w:p>
    <w:p w14:paraId="7BC9E8DC" w14:textId="77777777" w:rsidR="00BA0DA1" w:rsidRPr="00285483" w:rsidRDefault="00BA0DA1" w:rsidP="00BA0DA1">
      <w:pPr>
        <w:jc w:val="both"/>
        <w:rPr>
          <w:lang w:val="de-DE"/>
        </w:rPr>
      </w:pPr>
      <w:r w:rsidRPr="00285483">
        <w:rPr>
          <w:lang w:val="de-DE"/>
        </w:rPr>
        <w:tab/>
        <w:t>1. Art, Schwere, Umfang und Dauer des Verstoßes,</w:t>
      </w:r>
    </w:p>
    <w:p w14:paraId="0BF7357D" w14:textId="77777777" w:rsidR="00BA0DA1" w:rsidRPr="00285483" w:rsidRDefault="00BA0DA1" w:rsidP="00BA0DA1">
      <w:pPr>
        <w:jc w:val="both"/>
        <w:rPr>
          <w:lang w:val="de-DE"/>
        </w:rPr>
      </w:pPr>
    </w:p>
    <w:p w14:paraId="25CBAFBD" w14:textId="77777777" w:rsidR="00BA0DA1" w:rsidRPr="00285483" w:rsidRDefault="00BA0DA1" w:rsidP="00BA0DA1">
      <w:pPr>
        <w:jc w:val="both"/>
        <w:rPr>
          <w:lang w:val="de-DE"/>
        </w:rPr>
      </w:pPr>
      <w:r w:rsidRPr="00285483">
        <w:rPr>
          <w:lang w:val="de-DE"/>
        </w:rPr>
        <w:tab/>
        <w:t>2. Maßnahmen des Unternehmens zur Minderung oder Beseitigung des Schadens, der betroffenen Personen entstanden ist,</w:t>
      </w:r>
    </w:p>
    <w:p w14:paraId="1221A966" w14:textId="77777777" w:rsidR="00BA0DA1" w:rsidRPr="00285483" w:rsidRDefault="00BA0DA1" w:rsidP="00BA0DA1">
      <w:pPr>
        <w:jc w:val="both"/>
        <w:rPr>
          <w:lang w:val="de-DE"/>
        </w:rPr>
      </w:pPr>
    </w:p>
    <w:p w14:paraId="306C6953" w14:textId="77777777" w:rsidR="00BA0DA1" w:rsidRPr="00285483" w:rsidRDefault="00BA0DA1" w:rsidP="00BA0DA1">
      <w:pPr>
        <w:jc w:val="both"/>
        <w:rPr>
          <w:lang w:val="de-DE"/>
        </w:rPr>
      </w:pPr>
      <w:r w:rsidRPr="00285483">
        <w:rPr>
          <w:lang w:val="de-DE"/>
        </w:rPr>
        <w:tab/>
        <w:t>3. frühere Verstöße des Unternehmens,</w:t>
      </w:r>
    </w:p>
    <w:p w14:paraId="4A1162A1" w14:textId="77777777" w:rsidR="00BA0DA1" w:rsidRPr="00285483" w:rsidRDefault="00BA0DA1" w:rsidP="00BA0DA1">
      <w:pPr>
        <w:jc w:val="both"/>
        <w:rPr>
          <w:lang w:val="de-DE"/>
        </w:rPr>
      </w:pPr>
    </w:p>
    <w:p w14:paraId="18018D49" w14:textId="77777777" w:rsidR="00BA0DA1" w:rsidRPr="00285483" w:rsidRDefault="00BA0DA1" w:rsidP="00BA0DA1">
      <w:pPr>
        <w:jc w:val="both"/>
        <w:rPr>
          <w:lang w:val="de-DE"/>
        </w:rPr>
      </w:pPr>
      <w:r w:rsidRPr="00285483">
        <w:rPr>
          <w:lang w:val="de-DE"/>
        </w:rPr>
        <w:tab/>
        <w:t>4. vom Unternehmen aufgrund des Verstoßes erlangte finanzielle Vorteile oder vermiedene Verluste,</w:t>
      </w:r>
    </w:p>
    <w:p w14:paraId="0E95F859" w14:textId="77777777" w:rsidR="00BA0DA1" w:rsidRPr="00285483" w:rsidRDefault="00BA0DA1" w:rsidP="00BA0DA1">
      <w:pPr>
        <w:jc w:val="both"/>
        <w:rPr>
          <w:lang w:val="de-DE"/>
        </w:rPr>
      </w:pPr>
    </w:p>
    <w:p w14:paraId="2A65251B" w14:textId="77777777" w:rsidR="00BA0DA1" w:rsidRPr="00285483" w:rsidRDefault="00BA0DA1" w:rsidP="00BA0DA1">
      <w:pPr>
        <w:jc w:val="both"/>
        <w:rPr>
          <w:lang w:val="de-DE"/>
        </w:rPr>
      </w:pPr>
      <w:r w:rsidRPr="00285483">
        <w:rPr>
          <w:lang w:val="de-DE"/>
        </w:rPr>
        <w:tab/>
        <w:t>5. andere erschwerende oder mildernde Umstände im jeweiligen Fall.</w:t>
      </w:r>
    </w:p>
    <w:p w14:paraId="054D4E2F" w14:textId="77777777" w:rsidR="00BA0DA1" w:rsidRPr="00285483" w:rsidRDefault="00BA0DA1" w:rsidP="00BA0DA1">
      <w:pPr>
        <w:jc w:val="both"/>
        <w:rPr>
          <w:lang w:val="de-DE"/>
        </w:rPr>
      </w:pPr>
    </w:p>
    <w:p w14:paraId="571B0C5D" w14:textId="01BD1E98" w:rsidR="00BA0DA1" w:rsidRDefault="00BA0DA1" w:rsidP="00BA0DA1">
      <w:pPr>
        <w:jc w:val="both"/>
        <w:rPr>
          <w:iCs/>
          <w:lang w:val="de-DE"/>
        </w:rPr>
      </w:pPr>
      <w:r w:rsidRPr="00285483">
        <w:rPr>
          <w:lang w:val="de-DE"/>
        </w:rPr>
        <w:tab/>
        <w:t>§ 4 - Die in § 2 erwähnte Entscheidung wird dem Anbieter von Datenvermittlungsdiensten oder der datenaltruistischen Organisation per Einschreibesendung notifiziert. Die Entscheidung wird vollstreckbar nach Ablauf der in Artikel XV.66/10 Absatz 1 erwähnten Beschwerdefrist oder gegebenenfalls nach Ablauf der in Artikel XV.60/15 erwähnten Beschwerdefrist.</w:t>
      </w:r>
      <w:r>
        <w:rPr>
          <w:iCs/>
          <w:lang w:val="de-DE"/>
        </w:rPr>
        <w:t>]</w:t>
      </w:r>
    </w:p>
    <w:p w14:paraId="3CD707EB" w14:textId="77777777" w:rsidR="00BA0DA1" w:rsidRDefault="00BA0DA1" w:rsidP="00BA0DA1">
      <w:pPr>
        <w:jc w:val="both"/>
        <w:rPr>
          <w:iCs/>
          <w:lang w:val="de-DE"/>
        </w:rPr>
      </w:pPr>
    </w:p>
    <w:p w14:paraId="7FC884F0" w14:textId="45E58079" w:rsidR="00BA0DA1" w:rsidRDefault="00BA0DA1" w:rsidP="00BA0DA1">
      <w:pPr>
        <w:jc w:val="both"/>
        <w:rPr>
          <w:iCs/>
          <w:lang w:val="de-DE"/>
        </w:rPr>
      </w:pPr>
      <w:r>
        <w:rPr>
          <w:i/>
          <w:lang w:val="de-DE"/>
        </w:rPr>
        <w:t>[Art. XV.66/9 eingefügt durch Art. 29 des G. vom 15. Mai 2024 (B.S. vom 7. Juni 2024)]</w:t>
      </w:r>
    </w:p>
    <w:p w14:paraId="7EC4C5C5" w14:textId="77777777" w:rsidR="00BA0DA1" w:rsidRDefault="00BA0DA1" w:rsidP="00BA0DA1">
      <w:pPr>
        <w:jc w:val="both"/>
        <w:rPr>
          <w:iCs/>
          <w:lang w:val="de-DE"/>
        </w:rPr>
      </w:pPr>
    </w:p>
    <w:p w14:paraId="12A930F9" w14:textId="77777777" w:rsidR="00BA0DA1" w:rsidRDefault="00BA0DA1" w:rsidP="00BA0DA1">
      <w:pPr>
        <w:jc w:val="both"/>
        <w:rPr>
          <w:iCs/>
          <w:lang w:val="de-DE"/>
        </w:rPr>
      </w:pPr>
    </w:p>
    <w:p w14:paraId="29872ED2" w14:textId="77777777" w:rsidR="00BA0DA1" w:rsidRPr="00285483" w:rsidRDefault="00BA0DA1" w:rsidP="00BA0DA1">
      <w:pPr>
        <w:jc w:val="both"/>
        <w:rPr>
          <w:lang w:val="de-DE"/>
        </w:rPr>
      </w:pPr>
      <w:r>
        <w:rPr>
          <w:iCs/>
          <w:lang w:val="de-DE"/>
        </w:rPr>
        <w:tab/>
        <w:t>[</w:t>
      </w:r>
      <w:r w:rsidRPr="00BA0DA1">
        <w:rPr>
          <w:b/>
          <w:bCs/>
          <w:lang w:val="de-DE"/>
        </w:rPr>
        <w:t>Art. XV.66/10</w:t>
      </w:r>
      <w:r w:rsidRPr="00285483">
        <w:rPr>
          <w:lang w:val="de-DE"/>
        </w:rPr>
        <w:t> - Anbieter von Datenvermittlungsdiensten oder datenaltruistische Organisationen, die mit einer in Artikel XV.66/8 §§ 3 und/oder 4 erwähnten Verwaltungssanktion bestraft worden sind, können bei den in Artikel XV.66/8 § 2 erwähnten zuständigen Bediensteten Beschwerde einlegen. Die Beschwerde wird zur Vermeidung des Ausschlusses innerhalb dreißig Tagen nach Notifizierung der Entscheidung per Einschreibesendung an die betreffenden Bediensteten eingereicht.</w:t>
      </w:r>
    </w:p>
    <w:p w14:paraId="421BE729" w14:textId="77777777" w:rsidR="00BA0DA1" w:rsidRPr="00285483" w:rsidRDefault="00BA0DA1" w:rsidP="00BA0DA1">
      <w:pPr>
        <w:jc w:val="both"/>
        <w:rPr>
          <w:lang w:val="de-DE"/>
        </w:rPr>
      </w:pPr>
    </w:p>
    <w:p w14:paraId="437FE490" w14:textId="77777777" w:rsidR="00BA0DA1" w:rsidRPr="00285483" w:rsidRDefault="00BA0DA1" w:rsidP="00BA0DA1">
      <w:pPr>
        <w:jc w:val="both"/>
        <w:rPr>
          <w:lang w:val="de-DE"/>
        </w:rPr>
      </w:pPr>
      <w:r w:rsidRPr="00285483">
        <w:rPr>
          <w:lang w:val="de-DE"/>
        </w:rPr>
        <w:tab/>
        <w:t>Die zuständigen Beamten hören auf Ersuchen den Beschwerdeführer oder seinen Beistand an.</w:t>
      </w:r>
    </w:p>
    <w:p w14:paraId="1C704BE5" w14:textId="77777777" w:rsidR="00BA0DA1" w:rsidRPr="00285483" w:rsidRDefault="00BA0DA1" w:rsidP="00BA0DA1">
      <w:pPr>
        <w:jc w:val="both"/>
        <w:rPr>
          <w:lang w:val="de-DE"/>
        </w:rPr>
      </w:pPr>
    </w:p>
    <w:p w14:paraId="1B1C5308" w14:textId="77777777" w:rsidR="00BA0DA1" w:rsidRPr="00285483" w:rsidRDefault="00BA0DA1" w:rsidP="00BA0DA1">
      <w:pPr>
        <w:jc w:val="both"/>
        <w:rPr>
          <w:lang w:val="de-DE"/>
        </w:rPr>
      </w:pPr>
      <w:r w:rsidRPr="00285483">
        <w:rPr>
          <w:lang w:val="de-DE"/>
        </w:rPr>
        <w:tab/>
        <w:t>Die zuständigen Beamten bestätigen die erstinstanzlich getroffene Entscheidung oder ändern sie ab und notifizieren die Entscheidung innerhalb zweier Monate nach Versendung der Beschwerde. Diese Frist wird um einen Monat verlängert ab dem Tag, an dem die Parteien angehört worden sind, wenn die Parteien um eine Anhörung ersuchen.</w:t>
      </w:r>
    </w:p>
    <w:p w14:paraId="28AA0E48" w14:textId="77777777" w:rsidR="00BA0DA1" w:rsidRPr="00285483" w:rsidRDefault="00BA0DA1" w:rsidP="00BA0DA1">
      <w:pPr>
        <w:jc w:val="both"/>
        <w:rPr>
          <w:lang w:val="de-DE"/>
        </w:rPr>
      </w:pPr>
    </w:p>
    <w:p w14:paraId="1EF2B8B9" w14:textId="77777777" w:rsidR="00BA0DA1" w:rsidRPr="00285483" w:rsidRDefault="00BA0DA1" w:rsidP="00BA0DA1">
      <w:pPr>
        <w:jc w:val="both"/>
        <w:rPr>
          <w:lang w:val="de-DE"/>
        </w:rPr>
      </w:pPr>
      <w:r w:rsidRPr="00285483">
        <w:rPr>
          <w:lang w:val="de-DE"/>
        </w:rPr>
        <w:tab/>
        <w:t>Treffen die zuständigen Bediensteten eine Entscheidung, enthält diese die in Artikel XV.66/9 § 2 aufgeführten Angaben, mit Ausnahme von Nr. 8, die durch die Bestimmungen von Artikel XV.60/15 in Bezug auf die Klage gegen die Entscheidung beim Staatsrat ersetzt wird.</w:t>
      </w:r>
    </w:p>
    <w:p w14:paraId="60A55F81" w14:textId="77777777" w:rsidR="00BA0DA1" w:rsidRPr="00285483" w:rsidRDefault="00BA0DA1" w:rsidP="00BA0DA1">
      <w:pPr>
        <w:jc w:val="both"/>
        <w:rPr>
          <w:lang w:val="de-DE"/>
        </w:rPr>
      </w:pPr>
    </w:p>
    <w:p w14:paraId="5D5E0649" w14:textId="434DD0F3" w:rsidR="00BA0DA1" w:rsidRDefault="00BA0DA1" w:rsidP="00BA0DA1">
      <w:pPr>
        <w:jc w:val="both"/>
        <w:rPr>
          <w:iCs/>
          <w:lang w:val="de-DE"/>
        </w:rPr>
      </w:pPr>
      <w:r w:rsidRPr="00285483">
        <w:rPr>
          <w:lang w:val="de-DE"/>
        </w:rPr>
        <w:tab/>
        <w:t>In Ermangelung einer Entscheidung über die Beschwerde innerhalb der in Absatz 3 vorgeschriebenen Frist wird davon ausgegangen, dass die Entscheidung, gegen die Beschwerde eingelegt worden ist, nie bestanden hat.</w:t>
      </w:r>
      <w:r>
        <w:rPr>
          <w:iCs/>
          <w:lang w:val="de-DE"/>
        </w:rPr>
        <w:t>]</w:t>
      </w:r>
    </w:p>
    <w:p w14:paraId="5DCAC504" w14:textId="77777777" w:rsidR="00BA0DA1" w:rsidRDefault="00BA0DA1" w:rsidP="00BA0DA1">
      <w:pPr>
        <w:jc w:val="both"/>
        <w:rPr>
          <w:iCs/>
          <w:lang w:val="de-DE"/>
        </w:rPr>
      </w:pPr>
    </w:p>
    <w:p w14:paraId="4178D9FF" w14:textId="6E080A8D" w:rsidR="00BA0DA1" w:rsidRDefault="00BA0DA1" w:rsidP="00BA0DA1">
      <w:pPr>
        <w:jc w:val="both"/>
        <w:rPr>
          <w:iCs/>
          <w:lang w:val="de-DE"/>
        </w:rPr>
      </w:pPr>
      <w:r>
        <w:rPr>
          <w:i/>
          <w:lang w:val="de-DE"/>
        </w:rPr>
        <w:t>[Art. XV.66/10 eingefügt durch Art. 30 des G. vom 15. Mai 2024 (B.S. vom 7. Juni 2024)]</w:t>
      </w:r>
    </w:p>
    <w:p w14:paraId="15B3870F" w14:textId="77777777" w:rsidR="00BA0DA1" w:rsidRDefault="00BA0DA1" w:rsidP="00BA0DA1">
      <w:pPr>
        <w:jc w:val="both"/>
        <w:rPr>
          <w:iCs/>
          <w:lang w:val="de-DE"/>
        </w:rPr>
      </w:pPr>
    </w:p>
    <w:p w14:paraId="76E20AFB" w14:textId="77777777" w:rsidR="00BA0DA1" w:rsidRDefault="00BA0DA1" w:rsidP="00BA0DA1">
      <w:pPr>
        <w:jc w:val="both"/>
        <w:rPr>
          <w:iCs/>
          <w:lang w:val="de-DE"/>
        </w:rPr>
      </w:pPr>
    </w:p>
    <w:p w14:paraId="39B00CDA" w14:textId="77777777" w:rsidR="00BA0DA1" w:rsidRPr="00285483" w:rsidRDefault="00BA0DA1" w:rsidP="00BA0DA1">
      <w:pPr>
        <w:jc w:val="both"/>
        <w:rPr>
          <w:lang w:val="de-DE"/>
        </w:rPr>
      </w:pPr>
      <w:r>
        <w:rPr>
          <w:iCs/>
          <w:lang w:val="de-DE"/>
        </w:rPr>
        <w:tab/>
        <w:t>[</w:t>
      </w:r>
      <w:r w:rsidRPr="00BA0DA1">
        <w:rPr>
          <w:b/>
          <w:bCs/>
          <w:lang w:val="de-DE"/>
        </w:rPr>
        <w:t>Art. XV.66/11</w:t>
      </w:r>
      <w:r w:rsidRPr="00285483">
        <w:rPr>
          <w:lang w:val="de-DE"/>
        </w:rPr>
        <w:t> - Die Bestimmungen der Artikel XV.60/16 bis XV.60/19 und des Buches XV Titel 2 Kapitel 1/1 sind auf administrative Geldbußen anwendbar, die aufgrund von Artikel XV.66/8 § 3 Absatz 1 Nr. 3 auferlegt werden.</w:t>
      </w:r>
    </w:p>
    <w:p w14:paraId="31E9D62C" w14:textId="77777777" w:rsidR="00BA0DA1" w:rsidRPr="00285483" w:rsidRDefault="00BA0DA1" w:rsidP="00BA0DA1">
      <w:pPr>
        <w:jc w:val="both"/>
        <w:rPr>
          <w:lang w:val="de-DE"/>
        </w:rPr>
      </w:pPr>
    </w:p>
    <w:p w14:paraId="51DD05A7" w14:textId="72CA1AB1" w:rsidR="00BA0DA1" w:rsidRDefault="00BA0DA1" w:rsidP="00BA0DA1">
      <w:pPr>
        <w:jc w:val="both"/>
        <w:rPr>
          <w:iCs/>
          <w:lang w:val="de-DE"/>
        </w:rPr>
      </w:pPr>
      <w:r w:rsidRPr="00285483">
        <w:rPr>
          <w:lang w:val="de-DE"/>
        </w:rPr>
        <w:tab/>
        <w:t>Tarife und Zahlungs- und Einnahmemodalitäten des in Artikel XV.66/8 § 5 erwähnten Zwangsgeldes werden vom König festgelegt.</w:t>
      </w:r>
      <w:r>
        <w:rPr>
          <w:iCs/>
          <w:lang w:val="de-DE"/>
        </w:rPr>
        <w:t>]</w:t>
      </w:r>
    </w:p>
    <w:p w14:paraId="456AF940" w14:textId="77777777" w:rsidR="00BA0DA1" w:rsidRDefault="00BA0DA1" w:rsidP="00BA0DA1">
      <w:pPr>
        <w:jc w:val="both"/>
        <w:rPr>
          <w:iCs/>
          <w:lang w:val="de-DE"/>
        </w:rPr>
      </w:pPr>
    </w:p>
    <w:p w14:paraId="0B67D428" w14:textId="68492BB4" w:rsidR="00BA0DA1" w:rsidRDefault="00BA0DA1" w:rsidP="00BA0DA1">
      <w:pPr>
        <w:jc w:val="both"/>
        <w:rPr>
          <w:iCs/>
          <w:lang w:val="de-DE"/>
        </w:rPr>
      </w:pPr>
      <w:r>
        <w:rPr>
          <w:i/>
          <w:lang w:val="de-DE"/>
        </w:rPr>
        <w:t>[Art. XV.66/11 eingefügt durch Art. 31 des G. vom 15. Mai 2024 (B.S. vom 7. Juni 2024)]</w:t>
      </w:r>
    </w:p>
    <w:p w14:paraId="004D10E5" w14:textId="77777777" w:rsidR="00BA0DA1" w:rsidRDefault="00BA0DA1" w:rsidP="00BA0DA1">
      <w:pPr>
        <w:jc w:val="both"/>
        <w:rPr>
          <w:iCs/>
          <w:lang w:val="de-DE"/>
        </w:rPr>
      </w:pPr>
    </w:p>
    <w:p w14:paraId="03DA3BB1" w14:textId="77777777" w:rsidR="00BA0DA1" w:rsidRDefault="00BA0DA1" w:rsidP="00BA0DA1">
      <w:pPr>
        <w:jc w:val="both"/>
        <w:rPr>
          <w:iCs/>
          <w:lang w:val="de-DE"/>
        </w:rPr>
      </w:pPr>
    </w:p>
    <w:p w14:paraId="6080A715" w14:textId="4296ADD7" w:rsidR="00BA0DA1" w:rsidRDefault="00BA0DA1">
      <w:pPr>
        <w:rPr>
          <w:iCs/>
          <w:lang w:val="de-DE"/>
        </w:rPr>
      </w:pPr>
      <w:r>
        <w:rPr>
          <w:iCs/>
          <w:lang w:val="de-DE"/>
        </w:rPr>
        <w:br w:type="page"/>
      </w:r>
    </w:p>
    <w:p w14:paraId="1E882EC3" w14:textId="6982AF83" w:rsidR="008343E5" w:rsidRPr="004676F5" w:rsidRDefault="008343E5" w:rsidP="008343E5">
      <w:pPr>
        <w:jc w:val="center"/>
        <w:rPr>
          <w:i/>
          <w:lang w:val="de-DE"/>
        </w:rPr>
      </w:pPr>
      <w:r w:rsidRPr="004676F5">
        <w:rPr>
          <w:lang w:val="de-DE"/>
        </w:rPr>
        <w:lastRenderedPageBreak/>
        <w:t>[KAPITEL 3 </w:t>
      </w:r>
      <w:r w:rsidR="005B7A5C" w:rsidRPr="004676F5">
        <w:rPr>
          <w:lang w:val="de-DE"/>
        </w:rPr>
        <w:t>- </w:t>
      </w:r>
      <w:r w:rsidRPr="004676F5">
        <w:rPr>
          <w:i/>
          <w:lang w:val="de-DE"/>
        </w:rPr>
        <w:t>Streichungen und andere Abhilfemaßnahmen im Rahmen von Buch VII Titel 4 Kapitel 4</w:t>
      </w:r>
    </w:p>
    <w:p w14:paraId="6976C1A2" w14:textId="77777777" w:rsidR="008343E5" w:rsidRPr="004676F5" w:rsidRDefault="008343E5" w:rsidP="008343E5">
      <w:pPr>
        <w:jc w:val="both"/>
        <w:rPr>
          <w:lang w:val="de-DE"/>
        </w:rPr>
      </w:pPr>
    </w:p>
    <w:p w14:paraId="0BEF590B" w14:textId="0FAAD76F" w:rsidR="00E25F90" w:rsidRPr="004676F5" w:rsidRDefault="00E25F90" w:rsidP="008343E5">
      <w:pPr>
        <w:jc w:val="both"/>
        <w:rPr>
          <w:i/>
          <w:lang w:val="de-DE"/>
        </w:rPr>
      </w:pPr>
      <w:r w:rsidRPr="004676F5">
        <w:rPr>
          <w:i/>
          <w:lang w:val="de-DE"/>
        </w:rPr>
        <w:t xml:space="preserve">[Kapitel 3 mit den Artikeln XV.67 bis XV.68 eingefügt durch </w:t>
      </w:r>
      <w:r w:rsidR="00BE0A56" w:rsidRPr="004676F5">
        <w:rPr>
          <w:i/>
          <w:lang w:val="de-DE"/>
        </w:rPr>
        <w:t>Art. </w:t>
      </w:r>
      <w:r w:rsidRPr="004676F5">
        <w:rPr>
          <w:i/>
          <w:lang w:val="de-DE"/>
        </w:rPr>
        <w:t>12 des G. vom 19. April 2014</w:t>
      </w:r>
      <w:r w:rsidR="004808C3" w:rsidRPr="004676F5">
        <w:rPr>
          <w:i/>
          <w:lang w:val="de-DE"/>
        </w:rPr>
        <w:t> (I)</w:t>
      </w:r>
      <w:r w:rsidRPr="004676F5">
        <w:rPr>
          <w:i/>
          <w:lang w:val="de-DE"/>
        </w:rPr>
        <w:t xml:space="preserve"> (B.S. vom 28. Mai 2014)]</w:t>
      </w:r>
    </w:p>
    <w:p w14:paraId="7837B1C4" w14:textId="77777777" w:rsidR="00E25F90" w:rsidRPr="004676F5" w:rsidRDefault="00E25F90" w:rsidP="008343E5">
      <w:pPr>
        <w:jc w:val="both"/>
        <w:rPr>
          <w:i/>
          <w:lang w:val="de-DE"/>
        </w:rPr>
      </w:pPr>
    </w:p>
    <w:p w14:paraId="0BABA3F1" w14:textId="77777777" w:rsidR="00E25F90" w:rsidRPr="004676F5" w:rsidRDefault="00E25F90" w:rsidP="008343E5">
      <w:pPr>
        <w:jc w:val="both"/>
        <w:rPr>
          <w:i/>
          <w:lang w:val="de-DE"/>
        </w:rPr>
      </w:pPr>
    </w:p>
    <w:p w14:paraId="52BD1237" w14:textId="2F24FF2A" w:rsidR="008343E5" w:rsidRPr="004676F5" w:rsidRDefault="008343E5" w:rsidP="008343E5">
      <w:pPr>
        <w:jc w:val="center"/>
        <w:rPr>
          <w:lang w:val="de-DE"/>
        </w:rPr>
      </w:pPr>
      <w:r w:rsidRPr="004676F5">
        <w:rPr>
          <w:i/>
          <w:lang w:val="de-DE"/>
        </w:rPr>
        <w:t xml:space="preserve">Abschnitt 1 </w:t>
      </w:r>
      <w:r w:rsidR="005B7A5C" w:rsidRPr="004676F5">
        <w:rPr>
          <w:i/>
          <w:lang w:val="de-DE"/>
        </w:rPr>
        <w:t>- </w:t>
      </w:r>
      <w:r w:rsidRPr="004676F5">
        <w:rPr>
          <w:lang w:val="de-DE"/>
        </w:rPr>
        <w:t>Auf Kreditgeber und Kreditvermittler nach belgischem Recht anwendbare Streichungen und andere Abhilfemaßnahmen</w:t>
      </w:r>
    </w:p>
    <w:p w14:paraId="3A70B4A1" w14:textId="77777777" w:rsidR="008343E5" w:rsidRPr="004676F5" w:rsidRDefault="008343E5" w:rsidP="008343E5">
      <w:pPr>
        <w:ind w:firstLine="708"/>
        <w:jc w:val="both"/>
        <w:rPr>
          <w:lang w:val="de-DE"/>
        </w:rPr>
      </w:pPr>
    </w:p>
    <w:p w14:paraId="10CE4681" w14:textId="77777777" w:rsidR="00E25F90" w:rsidRPr="004676F5" w:rsidRDefault="00E25F90" w:rsidP="008343E5">
      <w:pPr>
        <w:ind w:firstLine="708"/>
        <w:jc w:val="both"/>
        <w:rPr>
          <w:lang w:val="de-DE"/>
        </w:rPr>
      </w:pPr>
    </w:p>
    <w:p w14:paraId="54737750" w14:textId="5C11CCED" w:rsidR="008343E5" w:rsidRPr="004676F5" w:rsidRDefault="00BE0A56" w:rsidP="008343E5">
      <w:pPr>
        <w:ind w:firstLine="708"/>
        <w:jc w:val="both"/>
        <w:rPr>
          <w:lang w:val="de-DE"/>
        </w:rPr>
      </w:pPr>
      <w:r w:rsidRPr="004676F5">
        <w:rPr>
          <w:b/>
          <w:lang w:val="de-DE"/>
        </w:rPr>
        <w:t>Art. </w:t>
      </w:r>
      <w:r w:rsidR="008343E5" w:rsidRPr="004676F5">
        <w:rPr>
          <w:b/>
          <w:lang w:val="de-DE"/>
        </w:rPr>
        <w:t>XV.67</w:t>
      </w:r>
      <w:r w:rsidR="008343E5" w:rsidRPr="004676F5">
        <w:rPr>
          <w:lang w:val="de-DE"/>
        </w:rPr>
        <w:t> </w:t>
      </w:r>
      <w:r w:rsidR="005B7A5C" w:rsidRPr="004676F5">
        <w:rPr>
          <w:lang w:val="de-DE"/>
        </w:rPr>
        <w:t>- </w:t>
      </w:r>
      <w:r w:rsidR="008343E5" w:rsidRPr="004676F5">
        <w:rPr>
          <w:lang w:val="de-DE"/>
        </w:rPr>
        <w:t>Durch einen Beschluss, der per Einschreiben oder per Einschreiben mit Rückschein notifiziert wird, entzieht die FSMA die Zulassung von Kreditgebern und streicht die Eintragung von Kreditvermittlern, die die Tätigkeit in Zusammenhang mit der erhaltenen Zulassung beziehungsweise Eintragung nicht binnen sechs Monaten nach Erhalt der Zulassung beziehungsweise Eintragung aufgenommen haben, auf die Zulassung beziehungsweise Eintragung verzichten, über die der Konkurs eröffnet worden ist oder die ihre Tätigkeit eingestellt haben.</w:t>
      </w:r>
    </w:p>
    <w:p w14:paraId="6CB51798" w14:textId="77777777" w:rsidR="008343E5" w:rsidRPr="004676F5" w:rsidRDefault="008343E5" w:rsidP="008343E5">
      <w:pPr>
        <w:ind w:firstLine="708"/>
        <w:jc w:val="both"/>
        <w:rPr>
          <w:lang w:val="de-DE"/>
        </w:rPr>
      </w:pPr>
    </w:p>
    <w:p w14:paraId="00F64A72" w14:textId="77777777" w:rsidR="00E13953" w:rsidRPr="004676F5" w:rsidRDefault="00E13953" w:rsidP="008343E5">
      <w:pPr>
        <w:ind w:firstLine="708"/>
        <w:jc w:val="both"/>
        <w:rPr>
          <w:lang w:val="de-DE"/>
        </w:rPr>
      </w:pPr>
    </w:p>
    <w:p w14:paraId="79779615" w14:textId="13CDCABF" w:rsidR="008343E5" w:rsidRPr="004676F5" w:rsidRDefault="00BE0A56" w:rsidP="008343E5">
      <w:pPr>
        <w:ind w:firstLine="708"/>
        <w:jc w:val="both"/>
        <w:rPr>
          <w:lang w:val="de-DE"/>
        </w:rPr>
      </w:pPr>
      <w:r w:rsidRPr="004676F5">
        <w:rPr>
          <w:b/>
          <w:lang w:val="de-DE"/>
        </w:rPr>
        <w:t>Art. </w:t>
      </w:r>
      <w:r w:rsidR="008343E5" w:rsidRPr="004676F5">
        <w:rPr>
          <w:b/>
          <w:lang w:val="de-DE"/>
        </w:rPr>
        <w:t>XV.67/1</w:t>
      </w:r>
      <w:r w:rsidR="008343E5" w:rsidRPr="004676F5">
        <w:rPr>
          <w:lang w:val="de-DE"/>
        </w:rPr>
        <w:t> </w:t>
      </w:r>
      <w:r w:rsidR="005B7A5C" w:rsidRPr="004676F5">
        <w:rPr>
          <w:lang w:val="de-DE"/>
        </w:rPr>
        <w:t>- </w:t>
      </w:r>
      <w:r w:rsidR="008343E5" w:rsidRPr="004676F5">
        <w:rPr>
          <w:lang w:val="de-DE"/>
        </w:rPr>
        <w:t xml:space="preserve">§ 1 </w:t>
      </w:r>
      <w:r w:rsidR="005B7A5C" w:rsidRPr="004676F5">
        <w:rPr>
          <w:lang w:val="de-DE"/>
        </w:rPr>
        <w:t>- </w:t>
      </w:r>
      <w:r w:rsidR="008343E5" w:rsidRPr="004676F5">
        <w:rPr>
          <w:lang w:val="de-DE"/>
        </w:rPr>
        <w:t>Stellt die FSMA fest, dass ein Kreditgeber nicht gemäß den Bestimmungen von Buch VII Titel 4 Kapitel 4 und seiner Ausführungserlasse und -verord</w:t>
      </w:r>
      <w:r w:rsidR="008343E5" w:rsidRPr="004676F5">
        <w:rPr>
          <w:lang w:val="de-DE"/>
        </w:rPr>
        <w:softHyphen/>
        <w:t>nungen arbeitet, identifiziert sie diese Unzulänglichkeiten und gibt die Frist an, innerhalb deren der festgestellten Lage abgeholfen werden muss.</w:t>
      </w:r>
    </w:p>
    <w:p w14:paraId="7BC59C56" w14:textId="77777777" w:rsidR="008343E5" w:rsidRPr="004676F5" w:rsidRDefault="008343E5" w:rsidP="008343E5">
      <w:pPr>
        <w:ind w:firstLine="708"/>
        <w:jc w:val="both"/>
        <w:rPr>
          <w:lang w:val="de-DE"/>
        </w:rPr>
      </w:pPr>
    </w:p>
    <w:p w14:paraId="670B810E" w14:textId="77777777" w:rsidR="008343E5" w:rsidRPr="004676F5" w:rsidRDefault="008343E5" w:rsidP="008343E5">
      <w:pPr>
        <w:ind w:firstLine="708"/>
        <w:jc w:val="both"/>
        <w:rPr>
          <w:lang w:val="de-DE"/>
        </w:rPr>
      </w:pPr>
      <w:r w:rsidRPr="004676F5">
        <w:rPr>
          <w:lang w:val="de-DE"/>
        </w:rPr>
        <w:t>Ist dieser Lage nach Ablauf dieser Frist nicht abgeholfen worden, so kann die FSMA:</w:t>
      </w:r>
    </w:p>
    <w:p w14:paraId="3F62F2FE" w14:textId="77777777" w:rsidR="008343E5" w:rsidRPr="004676F5" w:rsidRDefault="008343E5" w:rsidP="008343E5">
      <w:pPr>
        <w:ind w:firstLine="708"/>
        <w:jc w:val="both"/>
        <w:rPr>
          <w:lang w:val="de-DE"/>
        </w:rPr>
      </w:pPr>
    </w:p>
    <w:p w14:paraId="5210CC3F" w14:textId="77777777" w:rsidR="008343E5" w:rsidRPr="004676F5" w:rsidRDefault="008343E5" w:rsidP="008343E5">
      <w:pPr>
        <w:ind w:firstLine="708"/>
        <w:jc w:val="both"/>
        <w:rPr>
          <w:lang w:val="de-DE"/>
        </w:rPr>
      </w:pPr>
      <w:r w:rsidRPr="004676F5">
        <w:rPr>
          <w:lang w:val="de-DE"/>
        </w:rPr>
        <w:t>1. einen Sonderkommissar bestellen.</w:t>
      </w:r>
    </w:p>
    <w:p w14:paraId="69785BC9" w14:textId="77777777" w:rsidR="008343E5" w:rsidRPr="004676F5" w:rsidRDefault="008343E5" w:rsidP="008343E5">
      <w:pPr>
        <w:ind w:firstLine="708"/>
        <w:jc w:val="both"/>
        <w:rPr>
          <w:lang w:val="de-DE"/>
        </w:rPr>
      </w:pPr>
    </w:p>
    <w:p w14:paraId="49661220" w14:textId="77777777" w:rsidR="008343E5" w:rsidRPr="004676F5" w:rsidRDefault="008343E5" w:rsidP="008343E5">
      <w:pPr>
        <w:ind w:firstLine="708"/>
        <w:jc w:val="both"/>
        <w:rPr>
          <w:lang w:val="de-DE"/>
        </w:rPr>
      </w:pPr>
      <w:r w:rsidRPr="004676F5">
        <w:rPr>
          <w:lang w:val="de-DE"/>
        </w:rPr>
        <w:t>In diesem Fall ist für alle Handlungen und Beschlüsse der Organe des Kreditgebers einschließlich der Generalversammlung und für diejenigen der mit der Geschäftsführung beauftragten Personen die schriftliche allgemeine oder besondere Erlaubnis des Sonder</w:t>
      </w:r>
      <w:r w:rsidRPr="004676F5">
        <w:rPr>
          <w:lang w:val="de-DE"/>
        </w:rPr>
        <w:softHyphen/>
        <w:t>kommissars erforderlich; die FSMA kann jedoch die der Erlaubnis des Sonderkommissars unterliegenden Geschäfte einschränken.</w:t>
      </w:r>
    </w:p>
    <w:p w14:paraId="6BD222E0" w14:textId="77777777" w:rsidR="008343E5" w:rsidRPr="004676F5" w:rsidRDefault="008343E5" w:rsidP="008343E5">
      <w:pPr>
        <w:ind w:firstLine="708"/>
        <w:jc w:val="both"/>
        <w:rPr>
          <w:lang w:val="de-DE"/>
        </w:rPr>
      </w:pPr>
    </w:p>
    <w:p w14:paraId="7790CFA0" w14:textId="77777777" w:rsidR="008343E5" w:rsidRPr="004676F5" w:rsidRDefault="008343E5" w:rsidP="008343E5">
      <w:pPr>
        <w:ind w:firstLine="708"/>
        <w:jc w:val="both"/>
        <w:rPr>
          <w:lang w:val="de-DE"/>
        </w:rPr>
      </w:pPr>
      <w:r w:rsidRPr="004676F5">
        <w:rPr>
          <w:lang w:val="de-DE"/>
        </w:rPr>
        <w:t>Der Sonderkommissar darf jeden Vorschlag, den er für zweckmäßig erachtet, den Organen des Kreditgebers einschließlich der Generalversammlung vorlegen. Die Entlohnung des Sonderkommissars wird von der FSMA festgelegt und vom betreffenden Kreditgeber getragen.</w:t>
      </w:r>
    </w:p>
    <w:p w14:paraId="097A2ED4" w14:textId="77777777" w:rsidR="008343E5" w:rsidRPr="004676F5" w:rsidRDefault="008343E5" w:rsidP="008343E5">
      <w:pPr>
        <w:ind w:firstLine="708"/>
        <w:jc w:val="both"/>
        <w:rPr>
          <w:lang w:val="de-DE"/>
        </w:rPr>
      </w:pPr>
    </w:p>
    <w:p w14:paraId="2F633EAD" w14:textId="4F53EE74" w:rsidR="008343E5" w:rsidRPr="004676F5" w:rsidRDefault="008343E5" w:rsidP="008343E5">
      <w:pPr>
        <w:ind w:firstLine="708"/>
        <w:jc w:val="both"/>
        <w:rPr>
          <w:lang w:val="de-DE"/>
        </w:rPr>
      </w:pPr>
      <w:r w:rsidRPr="004676F5">
        <w:rPr>
          <w:lang w:val="de-DE"/>
        </w:rPr>
        <w:t>Mitglieder der Verwaltungs</w:t>
      </w:r>
      <w:r w:rsidR="005B7A5C" w:rsidRPr="004676F5">
        <w:rPr>
          <w:lang w:val="de-DE"/>
        </w:rPr>
        <w:t>- </w:t>
      </w:r>
      <w:r w:rsidRPr="004676F5">
        <w:rPr>
          <w:lang w:val="de-DE"/>
        </w:rPr>
        <w:t>und Geschäftsführungsorgane und mit der Geschäfts</w:t>
      </w:r>
      <w:r w:rsidRPr="004676F5">
        <w:rPr>
          <w:lang w:val="de-DE"/>
        </w:rPr>
        <w:softHyphen/>
        <w:t>führung beauftragte Personen, die Handlungen vornehmen oder Beschlüsse fassen, ohne die erforderliche Erlaubnis des Sonderkommissars eingeholt zu haben, haften gesamt</w:t>
      </w:r>
      <w:r w:rsidRPr="004676F5">
        <w:rPr>
          <w:lang w:val="de-DE"/>
        </w:rPr>
        <w:softHyphen/>
        <w:t>schuld</w:t>
      </w:r>
      <w:r w:rsidRPr="004676F5">
        <w:rPr>
          <w:lang w:val="de-DE"/>
        </w:rPr>
        <w:softHyphen/>
        <w:t>nerisch für den Schaden, der dem Kreditgeber oder Dritten daraus entsteht.</w:t>
      </w:r>
    </w:p>
    <w:p w14:paraId="0D684D84" w14:textId="77777777" w:rsidR="008343E5" w:rsidRPr="00820237" w:rsidRDefault="008343E5" w:rsidP="008343E5">
      <w:pPr>
        <w:ind w:firstLine="708"/>
        <w:jc w:val="both"/>
        <w:rPr>
          <w:spacing w:val="-6"/>
          <w:lang w:val="de-DE"/>
        </w:rPr>
      </w:pPr>
    </w:p>
    <w:p w14:paraId="75726C2F" w14:textId="77777777" w:rsidR="008343E5" w:rsidRPr="00820237" w:rsidRDefault="008343E5" w:rsidP="008343E5">
      <w:pPr>
        <w:ind w:firstLine="708"/>
        <w:jc w:val="both"/>
        <w:rPr>
          <w:spacing w:val="-6"/>
          <w:lang w:val="de-DE"/>
        </w:rPr>
      </w:pPr>
      <w:r w:rsidRPr="00820237">
        <w:rPr>
          <w:spacing w:val="-6"/>
          <w:lang w:val="de-DE"/>
        </w:rPr>
        <w:t xml:space="preserve">Wenn die FSMA die Bestellung des Sonderkommissars und die Angabe der seiner Erlaubnis unterliegenden Handlungen und Beschlüsse im </w:t>
      </w:r>
      <w:r w:rsidRPr="00820237">
        <w:rPr>
          <w:i/>
          <w:spacing w:val="-6"/>
          <w:lang w:val="de-DE"/>
        </w:rPr>
        <w:t>Belgischen Staatsblatt</w:t>
      </w:r>
      <w:r w:rsidRPr="00820237">
        <w:rPr>
          <w:spacing w:val="-6"/>
          <w:lang w:val="de-DE"/>
        </w:rPr>
        <w:t xml:space="preserve"> veröffentlicht hat, sind die ohne die erforderliche Erlaubnis vorgenommenen Handlungen und gefassten Beschlüsse nichtig, es sei denn, der Sonderkommissar bestätigt sie. Unter denselben Bedingungen sind die von der </w:t>
      </w:r>
      <w:r w:rsidRPr="00820237">
        <w:rPr>
          <w:spacing w:val="-6"/>
          <w:lang w:val="de-DE"/>
        </w:rPr>
        <w:lastRenderedPageBreak/>
        <w:t>Generalversammlung ohne die erforderliche Erlaubnis des Sonderkommissars gefassten Beschlüsse nichtig, es sei denn, der Sonderkommissar bestätigt diese Beschlüsse.</w:t>
      </w:r>
    </w:p>
    <w:p w14:paraId="41AD3FDC" w14:textId="77777777" w:rsidR="008343E5" w:rsidRPr="004676F5" w:rsidRDefault="008343E5" w:rsidP="008343E5">
      <w:pPr>
        <w:ind w:firstLine="708"/>
        <w:jc w:val="both"/>
        <w:rPr>
          <w:lang w:val="de-DE"/>
        </w:rPr>
      </w:pPr>
    </w:p>
    <w:p w14:paraId="2E77AD45" w14:textId="77777777" w:rsidR="008343E5" w:rsidRPr="004676F5" w:rsidRDefault="008343E5" w:rsidP="008343E5">
      <w:pPr>
        <w:ind w:firstLine="708"/>
        <w:jc w:val="both"/>
        <w:rPr>
          <w:lang w:val="de-DE"/>
        </w:rPr>
      </w:pPr>
      <w:r w:rsidRPr="004676F5">
        <w:rPr>
          <w:lang w:val="de-DE"/>
        </w:rPr>
        <w:t>Die FSMA kann einen stellvertretenden Kommissar bestellen,</w:t>
      </w:r>
    </w:p>
    <w:p w14:paraId="403EFB72" w14:textId="77777777" w:rsidR="008343E5" w:rsidRPr="004676F5" w:rsidRDefault="008343E5" w:rsidP="008343E5">
      <w:pPr>
        <w:ind w:firstLine="708"/>
        <w:jc w:val="both"/>
        <w:rPr>
          <w:lang w:val="de-DE"/>
        </w:rPr>
      </w:pPr>
    </w:p>
    <w:p w14:paraId="4B4113EA" w14:textId="77777777" w:rsidR="008343E5" w:rsidRPr="004676F5" w:rsidRDefault="008343E5" w:rsidP="008343E5">
      <w:pPr>
        <w:ind w:firstLine="708"/>
        <w:jc w:val="both"/>
        <w:rPr>
          <w:lang w:val="de-DE"/>
        </w:rPr>
      </w:pPr>
      <w:r w:rsidRPr="004676F5">
        <w:rPr>
          <w:lang w:val="de-DE"/>
        </w:rPr>
        <w:t>2. für eine von ihr bestimmte Dauer die direkte oder indirekte Ausübung der Tätigkeiten des Kreditgebers ganz oder teilweise aussetzen oder verbieten.</w:t>
      </w:r>
    </w:p>
    <w:p w14:paraId="1AA5C722" w14:textId="77777777" w:rsidR="008343E5" w:rsidRPr="004676F5" w:rsidRDefault="008343E5" w:rsidP="008343E5">
      <w:pPr>
        <w:ind w:firstLine="708"/>
        <w:jc w:val="both"/>
        <w:rPr>
          <w:lang w:val="de-DE"/>
        </w:rPr>
      </w:pPr>
    </w:p>
    <w:p w14:paraId="64D535FF" w14:textId="429A46B8" w:rsidR="008343E5" w:rsidRPr="004676F5" w:rsidRDefault="008343E5" w:rsidP="008343E5">
      <w:pPr>
        <w:ind w:firstLine="708"/>
        <w:jc w:val="both"/>
        <w:rPr>
          <w:lang w:val="de-DE"/>
        </w:rPr>
      </w:pPr>
      <w:r w:rsidRPr="004676F5">
        <w:rPr>
          <w:lang w:val="de-DE"/>
        </w:rPr>
        <w:t>Mitglieder der Verwaltungs</w:t>
      </w:r>
      <w:r w:rsidR="005B7A5C" w:rsidRPr="004676F5">
        <w:rPr>
          <w:lang w:val="de-DE"/>
        </w:rPr>
        <w:t>- </w:t>
      </w:r>
      <w:r w:rsidRPr="004676F5">
        <w:rPr>
          <w:lang w:val="de-DE"/>
        </w:rPr>
        <w:t>und Geschäftsführungsorgane und mit der Geschäfts</w:t>
      </w:r>
      <w:r w:rsidRPr="004676F5">
        <w:rPr>
          <w:lang w:val="de-DE"/>
        </w:rPr>
        <w:softHyphen/>
        <w:t>führung beauftragte Personen, die unter Verstoß gegen die Aussetzung Handlungen vornehmen oder Beschlüsse fassen, haften gesamtschuldnerisch für den Schaden, der dem Kreditgeber oder Dritten daraus entsteht.</w:t>
      </w:r>
    </w:p>
    <w:p w14:paraId="62855EE3" w14:textId="77777777" w:rsidR="008343E5" w:rsidRPr="004676F5" w:rsidRDefault="008343E5" w:rsidP="008343E5">
      <w:pPr>
        <w:ind w:firstLine="708"/>
        <w:jc w:val="both"/>
        <w:rPr>
          <w:lang w:val="de-DE"/>
        </w:rPr>
      </w:pPr>
    </w:p>
    <w:p w14:paraId="31960FD8" w14:textId="77777777" w:rsidR="008343E5" w:rsidRPr="004676F5" w:rsidRDefault="008343E5" w:rsidP="008343E5">
      <w:pPr>
        <w:ind w:firstLine="708"/>
        <w:jc w:val="both"/>
        <w:rPr>
          <w:lang w:val="de-DE"/>
        </w:rPr>
      </w:pPr>
      <w:r w:rsidRPr="004676F5">
        <w:rPr>
          <w:lang w:val="de-DE"/>
        </w:rPr>
        <w:t xml:space="preserve">Hat die FSMA die Aussetzung oder das Verbot im </w:t>
      </w:r>
      <w:r w:rsidRPr="004676F5">
        <w:rPr>
          <w:i/>
          <w:lang w:val="de-DE"/>
        </w:rPr>
        <w:t>Belgischen Staatsblatt</w:t>
      </w:r>
      <w:r w:rsidRPr="004676F5">
        <w:rPr>
          <w:lang w:val="de-DE"/>
        </w:rPr>
        <w:t xml:space="preserve"> veröffent</w:t>
      </w:r>
      <w:r w:rsidRPr="004676F5">
        <w:rPr>
          <w:lang w:val="de-DE"/>
        </w:rPr>
        <w:softHyphen/>
        <w:t>licht, so sind alle zu ihnen im Widerspruch stehenden Handlungen und Beschlüsse nichtig,</w:t>
      </w:r>
    </w:p>
    <w:p w14:paraId="64EAA217" w14:textId="77777777" w:rsidR="008343E5" w:rsidRPr="004676F5" w:rsidRDefault="008343E5" w:rsidP="008343E5">
      <w:pPr>
        <w:ind w:firstLine="708"/>
        <w:jc w:val="both"/>
        <w:rPr>
          <w:lang w:val="de-DE"/>
        </w:rPr>
      </w:pPr>
    </w:p>
    <w:p w14:paraId="18593748" w14:textId="63BE7C78" w:rsidR="008343E5" w:rsidRPr="004676F5" w:rsidRDefault="008343E5" w:rsidP="008343E5">
      <w:pPr>
        <w:ind w:firstLine="708"/>
        <w:jc w:val="both"/>
        <w:rPr>
          <w:lang w:val="de-DE"/>
        </w:rPr>
      </w:pPr>
      <w:r w:rsidRPr="004676F5">
        <w:rPr>
          <w:lang w:val="de-DE"/>
        </w:rPr>
        <w:t>3. die Ersetzung der Verwalter oder Geschäftsführer des Kreditgebers innerhalb einer von ihr festgelegten Frist anordnen und in Ermangelung einer solchen Ersetzung innerhalb dieser Frist die Gesamtheit der Verwaltungs</w:t>
      </w:r>
      <w:r w:rsidR="005B7A5C" w:rsidRPr="004676F5">
        <w:rPr>
          <w:lang w:val="de-DE"/>
        </w:rPr>
        <w:t>- </w:t>
      </w:r>
      <w:r w:rsidRPr="004676F5">
        <w:rPr>
          <w:lang w:val="de-DE"/>
        </w:rPr>
        <w:t xml:space="preserve">und Geschäftsführungsorgane des Kreditgebers durch einen oder mehrere vorläufige Verwalter oder Geschäftsführer ersetzen, die je nach Fall allein oder kollegial über die Befugnisse der ersetzten Personen verfügen. Die FSMA veröffentlicht ihren Beschluss im </w:t>
      </w:r>
      <w:r w:rsidRPr="004676F5">
        <w:rPr>
          <w:i/>
          <w:lang w:val="de-DE"/>
        </w:rPr>
        <w:t>Belgischen Staatsblatt</w:t>
      </w:r>
      <w:r w:rsidRPr="004676F5">
        <w:rPr>
          <w:lang w:val="de-DE"/>
        </w:rPr>
        <w:t>.</w:t>
      </w:r>
    </w:p>
    <w:p w14:paraId="31AA805A" w14:textId="77777777" w:rsidR="008343E5" w:rsidRPr="004676F5" w:rsidRDefault="008343E5" w:rsidP="008343E5">
      <w:pPr>
        <w:ind w:firstLine="708"/>
        <w:jc w:val="both"/>
        <w:rPr>
          <w:lang w:val="de-DE"/>
        </w:rPr>
      </w:pPr>
    </w:p>
    <w:p w14:paraId="750AC333" w14:textId="77777777" w:rsidR="008343E5" w:rsidRPr="004676F5" w:rsidRDefault="008343E5" w:rsidP="008343E5">
      <w:pPr>
        <w:ind w:firstLine="708"/>
        <w:jc w:val="both"/>
        <w:rPr>
          <w:lang w:val="de-DE"/>
        </w:rPr>
      </w:pPr>
      <w:r w:rsidRPr="004676F5">
        <w:rPr>
          <w:lang w:val="de-DE"/>
        </w:rPr>
        <w:t>Die Entlohnung des beziehungsweise der vorläufigen Verwalter oder Geschäftsführer wird von der FSMA festgelegt und vom betreffenden Kreditgeber getragen.</w:t>
      </w:r>
    </w:p>
    <w:p w14:paraId="38EF78CF" w14:textId="77777777" w:rsidR="008343E5" w:rsidRPr="004676F5" w:rsidRDefault="008343E5" w:rsidP="008343E5">
      <w:pPr>
        <w:ind w:firstLine="708"/>
        <w:jc w:val="both"/>
        <w:rPr>
          <w:lang w:val="de-DE"/>
        </w:rPr>
      </w:pPr>
    </w:p>
    <w:p w14:paraId="55FA6BA6" w14:textId="77777777" w:rsidR="008343E5" w:rsidRPr="004676F5" w:rsidRDefault="008343E5" w:rsidP="008343E5">
      <w:pPr>
        <w:ind w:firstLine="708"/>
        <w:jc w:val="both"/>
        <w:rPr>
          <w:lang w:val="de-DE"/>
        </w:rPr>
      </w:pPr>
      <w:r w:rsidRPr="004676F5">
        <w:rPr>
          <w:lang w:val="de-DE"/>
        </w:rPr>
        <w:t>Die FSMA kann den/die vorläufigen Verwalter oder Geschäftsführer jederzeit entweder von Amts wegen oder auf Ersuchen der Mehrheit der Aktionäre oder Gesellschafter ersetzen, wenn diese nachweisen, dass die Geschäftsführung der Betreffenden nicht mehr die nötigen Sicherheiten bietet,</w:t>
      </w:r>
    </w:p>
    <w:p w14:paraId="03009FF7" w14:textId="77777777" w:rsidR="008343E5" w:rsidRPr="004676F5" w:rsidRDefault="008343E5" w:rsidP="008343E5">
      <w:pPr>
        <w:ind w:firstLine="708"/>
        <w:jc w:val="both"/>
        <w:rPr>
          <w:lang w:val="de-DE"/>
        </w:rPr>
      </w:pPr>
    </w:p>
    <w:p w14:paraId="4A058658" w14:textId="77777777" w:rsidR="008343E5" w:rsidRPr="004676F5" w:rsidRDefault="008343E5" w:rsidP="008343E5">
      <w:pPr>
        <w:ind w:firstLine="708"/>
        <w:jc w:val="both"/>
        <w:rPr>
          <w:lang w:val="de-DE"/>
        </w:rPr>
      </w:pPr>
      <w:r w:rsidRPr="004676F5">
        <w:rPr>
          <w:lang w:val="de-DE"/>
        </w:rPr>
        <w:t>4. die Zulassung widerrufen.</w:t>
      </w:r>
    </w:p>
    <w:p w14:paraId="50FFBFFA" w14:textId="77777777" w:rsidR="008343E5" w:rsidRPr="004676F5" w:rsidRDefault="008343E5" w:rsidP="008343E5">
      <w:pPr>
        <w:ind w:firstLine="708"/>
        <w:jc w:val="both"/>
        <w:rPr>
          <w:lang w:val="de-DE"/>
        </w:rPr>
      </w:pPr>
    </w:p>
    <w:p w14:paraId="7E74BAC6" w14:textId="77777777" w:rsidR="008343E5" w:rsidRPr="004676F5" w:rsidRDefault="008343E5" w:rsidP="008343E5">
      <w:pPr>
        <w:ind w:firstLine="708"/>
        <w:jc w:val="both"/>
        <w:rPr>
          <w:lang w:val="de-DE"/>
        </w:rPr>
      </w:pPr>
      <w:r w:rsidRPr="004676F5">
        <w:rPr>
          <w:lang w:val="de-DE"/>
        </w:rPr>
        <w:t>In Fällen äußerster Dringlichkeit kann die FSMA in vorhergehendem Absatz erwähnte Maßnahmen ergreifen, ohne vorab eine Sanierungsfrist aufzuerlegen.</w:t>
      </w:r>
    </w:p>
    <w:p w14:paraId="5F2E3FC7" w14:textId="77777777" w:rsidR="008343E5" w:rsidRPr="004676F5" w:rsidRDefault="008343E5" w:rsidP="008343E5">
      <w:pPr>
        <w:ind w:firstLine="708"/>
        <w:jc w:val="both"/>
        <w:rPr>
          <w:lang w:val="de-DE"/>
        </w:rPr>
      </w:pPr>
    </w:p>
    <w:p w14:paraId="0C51AD42" w14:textId="01041A3D" w:rsidR="008343E5" w:rsidRPr="004676F5" w:rsidRDefault="008343E5" w:rsidP="008343E5">
      <w:pPr>
        <w:ind w:firstLine="708"/>
        <w:jc w:val="both"/>
        <w:rPr>
          <w:lang w:val="de-DE"/>
        </w:rPr>
      </w:pPr>
      <w:r w:rsidRPr="004676F5">
        <w:rPr>
          <w:lang w:val="de-DE"/>
        </w:rPr>
        <w:t>§ 2 </w:t>
      </w:r>
      <w:r w:rsidR="005B7A5C" w:rsidRPr="004676F5">
        <w:rPr>
          <w:lang w:val="de-DE"/>
        </w:rPr>
        <w:t>- </w:t>
      </w:r>
      <w:r w:rsidRPr="004676F5">
        <w:rPr>
          <w:lang w:val="de-DE"/>
        </w:rPr>
        <w:t>In § 1 erwähnte Beschlüsse der FSMA werden in Bezug auf Kreditgeber ab ihrer Notifizierung per Einschreiben oder per Einschreiben mit Rückschein und in Bezug auf Dritte ab ihrer Bekanntmachung gemäß § 1 wirksam.</w:t>
      </w:r>
    </w:p>
    <w:p w14:paraId="34706909" w14:textId="77777777" w:rsidR="008343E5" w:rsidRPr="004676F5" w:rsidRDefault="008343E5" w:rsidP="008343E5">
      <w:pPr>
        <w:ind w:firstLine="708"/>
        <w:jc w:val="both"/>
        <w:rPr>
          <w:lang w:val="de-DE"/>
        </w:rPr>
      </w:pPr>
    </w:p>
    <w:p w14:paraId="577A509D" w14:textId="69E17E74" w:rsidR="008343E5" w:rsidRPr="004676F5" w:rsidRDefault="008343E5" w:rsidP="008343E5">
      <w:pPr>
        <w:ind w:firstLine="708"/>
        <w:jc w:val="both"/>
        <w:rPr>
          <w:lang w:val="de-DE"/>
        </w:rPr>
      </w:pPr>
      <w:r w:rsidRPr="004676F5">
        <w:rPr>
          <w:lang w:val="de-DE"/>
        </w:rPr>
        <w:t xml:space="preserve">§ 3 </w:t>
      </w:r>
      <w:r w:rsidR="005B7A5C" w:rsidRPr="004676F5">
        <w:rPr>
          <w:lang w:val="de-DE"/>
        </w:rPr>
        <w:t>- </w:t>
      </w:r>
      <w:r w:rsidRPr="004676F5">
        <w:rPr>
          <w:lang w:val="de-DE"/>
        </w:rPr>
        <w:t>Paragraph 1 Absatz 1 und § 2 sind nicht anwendbar im Falle des Entzugs der Zulassung eines Kreditgebers, über den der Konkurs eröffnet worden ist.</w:t>
      </w:r>
    </w:p>
    <w:p w14:paraId="0A7388C8" w14:textId="77777777" w:rsidR="008343E5" w:rsidRPr="004676F5" w:rsidRDefault="008343E5" w:rsidP="008343E5">
      <w:pPr>
        <w:ind w:firstLine="708"/>
        <w:jc w:val="both"/>
        <w:rPr>
          <w:lang w:val="de-DE"/>
        </w:rPr>
      </w:pPr>
    </w:p>
    <w:p w14:paraId="0D5309CC" w14:textId="1478687D" w:rsidR="008343E5" w:rsidRPr="004676F5" w:rsidRDefault="008343E5" w:rsidP="008343E5">
      <w:pPr>
        <w:ind w:firstLine="708"/>
        <w:jc w:val="both"/>
        <w:rPr>
          <w:lang w:val="de-DE"/>
        </w:rPr>
      </w:pPr>
      <w:r w:rsidRPr="004676F5">
        <w:rPr>
          <w:lang w:val="de-DE"/>
        </w:rPr>
        <w:t>§ 4 </w:t>
      </w:r>
      <w:r w:rsidR="005B7A5C" w:rsidRPr="004676F5">
        <w:rPr>
          <w:lang w:val="de-DE"/>
        </w:rPr>
        <w:t>- </w:t>
      </w:r>
      <w:r w:rsidRPr="004676F5">
        <w:rPr>
          <w:lang w:val="de-DE"/>
        </w:rPr>
        <w:t xml:space="preserve">Das </w:t>
      </w:r>
      <w:r w:rsidR="00710C79" w:rsidRPr="004676F5">
        <w:rPr>
          <w:lang w:val="de-DE"/>
        </w:rPr>
        <w:t xml:space="preserve">[Unternehmensgericht] </w:t>
      </w:r>
      <w:r w:rsidRPr="004676F5">
        <w:rPr>
          <w:lang w:val="de-DE"/>
        </w:rPr>
        <w:t>spricht auf Antrag eines Interessehabenden die in § 1 Absatz 2 Nr. 1 und 2 erwähnte Nichtigkeit aus.</w:t>
      </w:r>
    </w:p>
    <w:p w14:paraId="45AB7FDF" w14:textId="77777777" w:rsidR="008343E5" w:rsidRPr="004676F5" w:rsidRDefault="008343E5" w:rsidP="008343E5">
      <w:pPr>
        <w:jc w:val="both"/>
        <w:rPr>
          <w:lang w:val="de-DE"/>
        </w:rPr>
      </w:pPr>
    </w:p>
    <w:p w14:paraId="5F5560A8" w14:textId="77777777" w:rsidR="008343E5" w:rsidRPr="004676F5" w:rsidRDefault="008343E5" w:rsidP="008343E5">
      <w:pPr>
        <w:ind w:firstLine="708"/>
        <w:jc w:val="both"/>
        <w:rPr>
          <w:lang w:val="de-DE"/>
        </w:rPr>
      </w:pPr>
      <w:r w:rsidRPr="004676F5">
        <w:rPr>
          <w:lang w:val="de-DE"/>
        </w:rPr>
        <w:t>Die Nichtigkeitsklage wird gegen den Kreditgeber erhoben. Der Nichtigkeitskläger kann die vorläufige Aussetzung der angefochtenen Handlungen oder Beschlüsse im Eil</w:t>
      </w:r>
      <w:r w:rsidRPr="004676F5">
        <w:rPr>
          <w:lang w:val="de-DE"/>
        </w:rPr>
        <w:softHyphen/>
        <w:t>ver</w:t>
      </w:r>
      <w:r w:rsidRPr="004676F5">
        <w:rPr>
          <w:lang w:val="de-DE"/>
        </w:rPr>
        <w:softHyphen/>
        <w:t>fahren beantragen, wenn schwerwiegende Gründe es rechtfertigen. Der Aussetzungs</w:t>
      </w:r>
      <w:r w:rsidRPr="004676F5">
        <w:rPr>
          <w:lang w:val="de-DE"/>
        </w:rPr>
        <w:softHyphen/>
        <w:t xml:space="preserve">beschluss und das Nichtigkeitsurteil sind allen gegenüber wirksam. Falls die ausgesetzte oder für nichtig </w:t>
      </w:r>
      <w:r w:rsidRPr="004676F5">
        <w:rPr>
          <w:lang w:val="de-DE"/>
        </w:rPr>
        <w:lastRenderedPageBreak/>
        <w:t>erklärte Handlung beziehungsweise der ausgesetzte oder für nichtig erklärte Beschluss veröffentlicht worden ist, werden der Aussetzungsbeschluss und das Nichtigkeitsurteil auszugsweise auf dieselbe Weise veröffentlicht.</w:t>
      </w:r>
    </w:p>
    <w:p w14:paraId="6969F448" w14:textId="77777777" w:rsidR="008343E5" w:rsidRPr="004676F5" w:rsidRDefault="008343E5" w:rsidP="008343E5">
      <w:pPr>
        <w:ind w:firstLine="708"/>
        <w:jc w:val="both"/>
        <w:rPr>
          <w:lang w:val="de-DE"/>
        </w:rPr>
      </w:pPr>
    </w:p>
    <w:p w14:paraId="20CD5389" w14:textId="77777777" w:rsidR="008343E5" w:rsidRPr="004676F5" w:rsidRDefault="008343E5" w:rsidP="008343E5">
      <w:pPr>
        <w:ind w:firstLine="708"/>
        <w:jc w:val="both"/>
        <w:rPr>
          <w:lang w:val="de-DE"/>
        </w:rPr>
      </w:pPr>
      <w:r w:rsidRPr="004676F5">
        <w:rPr>
          <w:lang w:val="de-DE"/>
        </w:rPr>
        <w:t>Wenn durch die Nichtigkeit Rechte verletzt werden können, die Dritte dem Kredit</w:t>
      </w:r>
      <w:r w:rsidRPr="004676F5">
        <w:rPr>
          <w:lang w:val="de-DE"/>
        </w:rPr>
        <w:softHyphen/>
        <w:t>geber gegenüber gutgläubig erworben haben, kann das Gericht erklären, dass die Nichtigkeit in Bezug auf diese Rechte nicht wirksam ist, gegebenenfalls unter Vorbehalt eines Anspruchs des Klägers auf Schadenersatz.</w:t>
      </w:r>
    </w:p>
    <w:p w14:paraId="000A7F66" w14:textId="77777777" w:rsidR="008343E5" w:rsidRPr="004676F5" w:rsidRDefault="008343E5" w:rsidP="008343E5">
      <w:pPr>
        <w:ind w:firstLine="708"/>
        <w:jc w:val="both"/>
        <w:rPr>
          <w:lang w:val="de-DE"/>
        </w:rPr>
      </w:pPr>
    </w:p>
    <w:p w14:paraId="2DC60A41" w14:textId="77777777" w:rsidR="008343E5" w:rsidRPr="004676F5" w:rsidRDefault="008343E5" w:rsidP="008343E5">
      <w:pPr>
        <w:ind w:firstLine="708"/>
        <w:jc w:val="both"/>
        <w:rPr>
          <w:lang w:val="de-DE"/>
        </w:rPr>
      </w:pPr>
      <w:r w:rsidRPr="004676F5">
        <w:rPr>
          <w:lang w:val="de-DE"/>
        </w:rPr>
        <w:t>Die Klage auf Nichtigkeitserklärung kann nach Ablauf einer Frist von sechs Monaten ab dem Datum, an dem die vorgenommenen Handlungen oder gefassten Beschlüsse der Person gegenüber wirksam werden, die ihre Nichtigkeit geltend macht beziehungsweise der diese Handlungen oder Beschlüsse bekannt sind, nicht mehr erhoben werden.</w:t>
      </w:r>
    </w:p>
    <w:p w14:paraId="21841ACF" w14:textId="77777777" w:rsidR="008343E5" w:rsidRPr="004676F5" w:rsidRDefault="008343E5" w:rsidP="008343E5">
      <w:pPr>
        <w:ind w:firstLine="708"/>
        <w:jc w:val="both"/>
        <w:rPr>
          <w:lang w:val="de-DE"/>
        </w:rPr>
      </w:pPr>
    </w:p>
    <w:p w14:paraId="64054B58" w14:textId="316D1B0C" w:rsidR="008343E5" w:rsidRPr="00820237" w:rsidRDefault="008343E5" w:rsidP="008343E5">
      <w:pPr>
        <w:ind w:firstLine="708"/>
        <w:jc w:val="both"/>
        <w:rPr>
          <w:spacing w:val="-6"/>
          <w:lang w:val="de-DE"/>
        </w:rPr>
      </w:pPr>
      <w:r w:rsidRPr="00820237">
        <w:rPr>
          <w:spacing w:val="-6"/>
          <w:lang w:val="de-DE"/>
        </w:rPr>
        <w:t>§ 5 </w:t>
      </w:r>
      <w:r w:rsidR="005B7A5C" w:rsidRPr="00820237">
        <w:rPr>
          <w:spacing w:val="-6"/>
          <w:lang w:val="de-DE"/>
        </w:rPr>
        <w:t>- </w:t>
      </w:r>
      <w:r w:rsidRPr="00820237">
        <w:rPr>
          <w:spacing w:val="-6"/>
          <w:lang w:val="de-DE"/>
        </w:rPr>
        <w:t xml:space="preserve">Teilt der FÖD Wirtschaft durch eine mit Gründen versehenen Notifizierung und nachdem er den Betreffenden angehört hat der FSMA mit, dass ein Kreditgeber schwer gegen andere Bestimmungen von Buch VII </w:t>
      </w:r>
      <w:r w:rsidR="00685151" w:rsidRPr="00820237">
        <w:rPr>
          <w:spacing w:val="-6"/>
          <w:lang w:val="de-DE"/>
        </w:rPr>
        <w:t xml:space="preserve">[Titel 1 bis 6] </w:t>
      </w:r>
      <w:r w:rsidRPr="00820237">
        <w:rPr>
          <w:spacing w:val="-6"/>
          <w:lang w:val="de-DE"/>
        </w:rPr>
        <w:t>und seiner Ausführungserlasse und -verordnungen als Titel 4 Kapitel 4 verstoßen hat oder verstößt, streicht die FSMA von Amts wegen ohne weitere Untersuchung der Akte zur Sache die Zulassung des betreffenden Kreditgebers.</w:t>
      </w:r>
    </w:p>
    <w:p w14:paraId="3A284822" w14:textId="77777777" w:rsidR="008343E5" w:rsidRPr="00820237" w:rsidRDefault="008343E5" w:rsidP="008343E5">
      <w:pPr>
        <w:ind w:firstLine="708"/>
        <w:jc w:val="both"/>
        <w:rPr>
          <w:spacing w:val="-6"/>
          <w:lang w:val="de-DE"/>
        </w:rPr>
      </w:pPr>
    </w:p>
    <w:p w14:paraId="36642009" w14:textId="77777777" w:rsidR="008343E5" w:rsidRPr="00820237" w:rsidRDefault="008343E5" w:rsidP="008343E5">
      <w:pPr>
        <w:ind w:firstLine="708"/>
        <w:jc w:val="both"/>
        <w:rPr>
          <w:spacing w:val="-6"/>
          <w:lang w:val="de-DE"/>
        </w:rPr>
      </w:pPr>
      <w:r w:rsidRPr="00820237">
        <w:rPr>
          <w:spacing w:val="-6"/>
          <w:lang w:val="de-DE"/>
        </w:rPr>
        <w:t>Die FSMA bringt dem FÖD Wirtschaft die vorgenommene Streichung unverzüglich zur Kenntnis.</w:t>
      </w:r>
    </w:p>
    <w:p w14:paraId="3A2DD163" w14:textId="77777777" w:rsidR="008343E5" w:rsidRPr="004676F5" w:rsidRDefault="008343E5" w:rsidP="008343E5">
      <w:pPr>
        <w:ind w:firstLine="708"/>
        <w:jc w:val="both"/>
        <w:rPr>
          <w:lang w:val="de-DE"/>
        </w:rPr>
      </w:pPr>
    </w:p>
    <w:p w14:paraId="0AC68DD2" w14:textId="1D7E6D5F" w:rsidR="008343E5" w:rsidRPr="004676F5" w:rsidRDefault="008343E5" w:rsidP="008343E5">
      <w:pPr>
        <w:ind w:firstLine="708"/>
        <w:jc w:val="both"/>
        <w:rPr>
          <w:lang w:val="de-DE"/>
        </w:rPr>
      </w:pPr>
      <w:r w:rsidRPr="004676F5">
        <w:rPr>
          <w:lang w:val="de-DE"/>
        </w:rPr>
        <w:t>§ 6 </w:t>
      </w:r>
      <w:r w:rsidR="005B7A5C" w:rsidRPr="004676F5">
        <w:rPr>
          <w:lang w:val="de-DE"/>
        </w:rPr>
        <w:t>- </w:t>
      </w:r>
      <w:r w:rsidRPr="004676F5">
        <w:rPr>
          <w:lang w:val="de-DE"/>
        </w:rPr>
        <w:t>Ist der Kreditgeber ein Kreditinstitut, ein Versicherungsunternehmen, ein E-Geld-Institut oder ein Zahlungsinstitut, informiert die FSMA die Bank über Beschlüsse, die sie in Anwendung von § 1 Absatz 2 Nr. 1, 2 und 4 trifft.</w:t>
      </w:r>
    </w:p>
    <w:p w14:paraId="7E3B765F" w14:textId="77777777" w:rsidR="008343E5" w:rsidRPr="004676F5" w:rsidRDefault="008343E5" w:rsidP="008343E5">
      <w:pPr>
        <w:ind w:firstLine="708"/>
        <w:jc w:val="both"/>
        <w:rPr>
          <w:lang w:val="de-DE"/>
        </w:rPr>
      </w:pPr>
    </w:p>
    <w:p w14:paraId="4A39067C" w14:textId="77777777" w:rsidR="008343E5" w:rsidRPr="00820237" w:rsidRDefault="008343E5" w:rsidP="008343E5">
      <w:pPr>
        <w:ind w:firstLine="708"/>
        <w:jc w:val="both"/>
        <w:rPr>
          <w:spacing w:val="-6"/>
          <w:lang w:val="de-DE"/>
        </w:rPr>
      </w:pPr>
      <w:r w:rsidRPr="00820237">
        <w:rPr>
          <w:spacing w:val="-6"/>
          <w:lang w:val="de-DE"/>
        </w:rPr>
        <w:t>Zieht die FSMA gegenüber denselben Einrichtungen die in § 1 Absatz 2 Nr. 3 erwähnte Maßnahme in Erwägung, ist das in Artikel 36</w:t>
      </w:r>
      <w:r w:rsidRPr="00820237">
        <w:rPr>
          <w:i/>
          <w:spacing w:val="-6"/>
          <w:lang w:val="de-DE"/>
        </w:rPr>
        <w:t>bis</w:t>
      </w:r>
      <w:r w:rsidRPr="00820237">
        <w:rPr>
          <w:spacing w:val="-6"/>
          <w:lang w:val="de-DE"/>
        </w:rPr>
        <w:t xml:space="preserve"> §§ 3 und 4 des Gesetzes vom 2. August 2002 über die Aufsicht über den Finanzsektor und die Finanzdienstleistungen erwähnte Verfahren anwendbar.</w:t>
      </w:r>
    </w:p>
    <w:p w14:paraId="08BA9326" w14:textId="77777777" w:rsidR="008343E5" w:rsidRPr="004676F5" w:rsidRDefault="008343E5" w:rsidP="008343E5">
      <w:pPr>
        <w:ind w:firstLine="708"/>
        <w:jc w:val="both"/>
        <w:rPr>
          <w:lang w:val="de-DE"/>
        </w:rPr>
      </w:pPr>
    </w:p>
    <w:p w14:paraId="78ABD2F2" w14:textId="49EF2D02" w:rsidR="008343E5" w:rsidRPr="004676F5" w:rsidRDefault="008343E5" w:rsidP="008343E5">
      <w:pPr>
        <w:ind w:firstLine="708"/>
        <w:jc w:val="both"/>
        <w:rPr>
          <w:lang w:val="de-DE"/>
        </w:rPr>
      </w:pPr>
      <w:r w:rsidRPr="004676F5">
        <w:rPr>
          <w:lang w:val="de-DE"/>
        </w:rPr>
        <w:t>§ 7 </w:t>
      </w:r>
      <w:r w:rsidR="005B7A5C" w:rsidRPr="004676F5">
        <w:rPr>
          <w:lang w:val="de-DE"/>
        </w:rPr>
        <w:t>- </w:t>
      </w:r>
      <w:r w:rsidRPr="004676F5">
        <w:rPr>
          <w:lang w:val="de-DE"/>
        </w:rPr>
        <w:t xml:space="preserve">Kreditgeber, deren Zulassung aufgrund der Artikel XV.67 und XV.67/1 gestrichen oder widerrufen worden ist, unterliegen weiter Buch VII </w:t>
      </w:r>
      <w:r w:rsidR="00685151" w:rsidRPr="004676F5">
        <w:rPr>
          <w:lang w:val="de-DE"/>
        </w:rPr>
        <w:t xml:space="preserve">[Titel 1 bis 6] </w:t>
      </w:r>
      <w:r w:rsidRPr="004676F5">
        <w:rPr>
          <w:lang w:val="de-DE"/>
        </w:rPr>
        <w:t>und seinen Ausführungs</w:t>
      </w:r>
      <w:r w:rsidRPr="004676F5">
        <w:rPr>
          <w:lang w:val="de-DE"/>
        </w:rPr>
        <w:softHyphen/>
        <w:t>erlassen und -verordnungen bis zum vollständigen Erlöschen ihrer Verpflichtungen aus Buch VII, es sei denn, die FSMA befreit sie gegebenenfalls auf Stellungnahme des FÖD Wirtschaft von einigen dieser Bestimmungen.</w:t>
      </w:r>
    </w:p>
    <w:p w14:paraId="55FBDC35" w14:textId="3A3BBAB1" w:rsidR="00F317BF" w:rsidRPr="004676F5" w:rsidRDefault="00F317BF" w:rsidP="008343E5">
      <w:pPr>
        <w:ind w:firstLine="708"/>
        <w:jc w:val="both"/>
        <w:rPr>
          <w:lang w:val="de-DE"/>
        </w:rPr>
      </w:pPr>
    </w:p>
    <w:p w14:paraId="2075DF2F" w14:textId="1496C61D" w:rsidR="00F317BF" w:rsidRPr="004676F5" w:rsidRDefault="00F317BF" w:rsidP="008343E5">
      <w:pPr>
        <w:ind w:firstLine="708"/>
        <w:jc w:val="both"/>
        <w:rPr>
          <w:lang w:val="de-DE"/>
        </w:rPr>
      </w:pPr>
      <w:r w:rsidRPr="004676F5">
        <w:rPr>
          <w:lang w:val="de-DE"/>
        </w:rPr>
        <w:t>[Absatz 1 ist ebenfalls anwendbar auf Kreditgeber, deren vorläufige Zulassung von Rechts wegen geendet hat gemäß Artikel 54 § 5 Absatz 2 des Gesetzes vom 19. April 2014 zur Einfügung von Buch VII "Zahlungs</w:t>
      </w:r>
      <w:r w:rsidR="005B7A5C" w:rsidRPr="004676F5">
        <w:rPr>
          <w:lang w:val="de-DE"/>
        </w:rPr>
        <w:t>- </w:t>
      </w:r>
      <w:r w:rsidRPr="004676F5">
        <w:rPr>
          <w:lang w:val="de-DE"/>
        </w:rPr>
        <w:t>und Kreditdienste" in das Wirtschaftsgesetzbuch, zur Einfügung der Buch VII eigenen Begriffsbestimmungen und der Strafen in Bezug auf Verstöße gegen Buch VII in die Bücher I und XV des Wirtschaftsgesetzbuches und zur Festlegung verschiedener anderer Bestimmungen.]</w:t>
      </w:r>
    </w:p>
    <w:p w14:paraId="5376FFF5" w14:textId="174648D3" w:rsidR="00F317BF" w:rsidRPr="004676F5" w:rsidRDefault="00F317BF" w:rsidP="008343E5">
      <w:pPr>
        <w:ind w:firstLine="708"/>
        <w:jc w:val="both"/>
        <w:rPr>
          <w:lang w:val="de-DE"/>
        </w:rPr>
      </w:pPr>
    </w:p>
    <w:p w14:paraId="07FE9B19" w14:textId="77777777" w:rsidR="00820237" w:rsidRDefault="00820237">
      <w:pPr>
        <w:rPr>
          <w:lang w:val="de-DE"/>
        </w:rPr>
      </w:pPr>
      <w:r>
        <w:rPr>
          <w:lang w:val="de-DE"/>
        </w:rPr>
        <w:br w:type="page"/>
      </w:r>
    </w:p>
    <w:p w14:paraId="7E6492ED" w14:textId="0766A618" w:rsidR="00F317BF" w:rsidRPr="004676F5" w:rsidRDefault="00F317BF" w:rsidP="008343E5">
      <w:pPr>
        <w:ind w:firstLine="708"/>
        <w:jc w:val="both"/>
        <w:rPr>
          <w:lang w:val="de-DE"/>
        </w:rPr>
      </w:pPr>
      <w:r w:rsidRPr="004676F5">
        <w:rPr>
          <w:lang w:val="de-DE"/>
        </w:rPr>
        <w:lastRenderedPageBreak/>
        <w:t>[§ 8 </w:t>
      </w:r>
      <w:r w:rsidR="005B7A5C" w:rsidRPr="004676F5">
        <w:rPr>
          <w:lang w:val="de-DE"/>
        </w:rPr>
        <w:t>- </w:t>
      </w:r>
      <w:r w:rsidRPr="004676F5">
        <w:rPr>
          <w:lang w:val="de-DE"/>
        </w:rPr>
        <w:t>Die FSMA kann zu Lasten des Kreditgebers die Veröffentlichung der diesem gegenüber ergriffenen Maßnahmen in den Tageszeitungen und Veröffentlichungen ihrer Wahl oder an den von ihr festgelegten Orten und für die von ihr festgelegte Dauer veranlassen. Sie kann die ergriffenen Maßnahmen ebenfalls auf ihrer Website veröffentlichen.]</w:t>
      </w:r>
    </w:p>
    <w:p w14:paraId="71799932" w14:textId="60F70C52" w:rsidR="00685151" w:rsidRPr="004676F5" w:rsidRDefault="00685151" w:rsidP="008343E5">
      <w:pPr>
        <w:ind w:firstLine="708"/>
        <w:jc w:val="both"/>
        <w:rPr>
          <w:lang w:val="de-DE"/>
        </w:rPr>
      </w:pPr>
    </w:p>
    <w:p w14:paraId="00A09B0E" w14:textId="13675E5E" w:rsidR="00685151" w:rsidRPr="004676F5" w:rsidRDefault="00685151" w:rsidP="00685151">
      <w:pPr>
        <w:jc w:val="both"/>
        <w:rPr>
          <w:i/>
          <w:lang w:val="de-DE"/>
        </w:rPr>
      </w:pPr>
      <w:r w:rsidRPr="004676F5">
        <w:rPr>
          <w:i/>
          <w:lang w:val="de-DE"/>
        </w:rPr>
        <w:t xml:space="preserve">[Art. XV.67/1 </w:t>
      </w:r>
      <w:r w:rsidR="00710C79" w:rsidRPr="004676F5">
        <w:rPr>
          <w:i/>
          <w:lang w:val="de-DE"/>
        </w:rPr>
        <w:t>§ </w:t>
      </w:r>
      <w:r w:rsidR="003F5E25" w:rsidRPr="004676F5">
        <w:rPr>
          <w:i/>
          <w:lang w:val="de-DE"/>
        </w:rPr>
        <w:t>4</w:t>
      </w:r>
      <w:r w:rsidR="00710C79" w:rsidRPr="004676F5">
        <w:rPr>
          <w:i/>
          <w:lang w:val="de-DE"/>
        </w:rPr>
        <w:t xml:space="preserve"> Abs. 1 abgeändert durch Art. 252 des G. vom 15. April 2018 (B.S. vom 27. April 2018); </w:t>
      </w:r>
      <w:r w:rsidRPr="004676F5">
        <w:rPr>
          <w:i/>
          <w:lang w:val="de-DE"/>
        </w:rPr>
        <w:t xml:space="preserve">§ 5 Abs. 1 abgeändert durch Art. 201 Nr. 1 des G. vom 15. April 2018 (B.S. vom 27. April 2018); § 7 </w:t>
      </w:r>
      <w:r w:rsidR="00F317BF" w:rsidRPr="004676F5">
        <w:rPr>
          <w:i/>
          <w:lang w:val="de-DE"/>
        </w:rPr>
        <w:t xml:space="preserve">Abs. 1 (früherer einziger Absatz) </w:t>
      </w:r>
      <w:r w:rsidRPr="004676F5">
        <w:rPr>
          <w:i/>
          <w:lang w:val="de-DE"/>
        </w:rPr>
        <w:t>abgeändert durch Art. 201 Nr. 2 des G. vom 15. April 2018 (B.S. vom 27. April 2018)</w:t>
      </w:r>
      <w:r w:rsidR="00F317BF" w:rsidRPr="004676F5">
        <w:rPr>
          <w:i/>
          <w:lang w:val="de-DE"/>
        </w:rPr>
        <w:t>; § 7 Abs. 2 eingefügt durch Art. 36 Nr. 1 des G. vom 30. Juli 2018 (II) (B.S. vom 5. September 2018); § 8 eingefügt durch Art. 36 Nr. 2 des G. vom 30. Juli 2018 (II) (B.S. vom 5. September 2018)</w:t>
      </w:r>
      <w:r w:rsidRPr="004676F5">
        <w:rPr>
          <w:i/>
          <w:lang w:val="de-DE"/>
        </w:rPr>
        <w:t>]</w:t>
      </w:r>
    </w:p>
    <w:p w14:paraId="72C88C51" w14:textId="77777777" w:rsidR="008343E5" w:rsidRPr="004676F5" w:rsidRDefault="008343E5" w:rsidP="008343E5">
      <w:pPr>
        <w:ind w:firstLine="708"/>
        <w:jc w:val="both"/>
        <w:rPr>
          <w:lang w:val="de-DE"/>
        </w:rPr>
      </w:pPr>
    </w:p>
    <w:p w14:paraId="12BBE9C1" w14:textId="77777777" w:rsidR="00E25F90" w:rsidRPr="004676F5" w:rsidRDefault="00E25F90" w:rsidP="008343E5">
      <w:pPr>
        <w:ind w:firstLine="708"/>
        <w:jc w:val="both"/>
        <w:rPr>
          <w:lang w:val="de-DE"/>
        </w:rPr>
      </w:pPr>
    </w:p>
    <w:p w14:paraId="4E033AFF" w14:textId="116CA70E" w:rsidR="008343E5" w:rsidRPr="004676F5" w:rsidRDefault="00BE0A56" w:rsidP="008343E5">
      <w:pPr>
        <w:ind w:firstLine="708"/>
        <w:jc w:val="both"/>
        <w:rPr>
          <w:lang w:val="de-DE"/>
        </w:rPr>
      </w:pPr>
      <w:r w:rsidRPr="004676F5">
        <w:rPr>
          <w:b/>
          <w:lang w:val="de-DE"/>
        </w:rPr>
        <w:t>Art. </w:t>
      </w:r>
      <w:r w:rsidR="008343E5" w:rsidRPr="004676F5">
        <w:rPr>
          <w:b/>
          <w:lang w:val="de-DE"/>
        </w:rPr>
        <w:t>XV.67/2</w:t>
      </w:r>
      <w:r w:rsidR="008343E5" w:rsidRPr="004676F5">
        <w:rPr>
          <w:lang w:val="de-DE"/>
        </w:rPr>
        <w:t> </w:t>
      </w:r>
      <w:r w:rsidR="005B7A5C" w:rsidRPr="004676F5">
        <w:rPr>
          <w:lang w:val="de-DE"/>
        </w:rPr>
        <w:t>- </w:t>
      </w:r>
      <w:r w:rsidR="008343E5" w:rsidRPr="004676F5">
        <w:rPr>
          <w:lang w:val="de-DE"/>
        </w:rPr>
        <w:t>§ 1 </w:t>
      </w:r>
      <w:r w:rsidR="005B7A5C" w:rsidRPr="004676F5">
        <w:rPr>
          <w:lang w:val="de-DE"/>
        </w:rPr>
        <w:t>- </w:t>
      </w:r>
      <w:r w:rsidR="008343E5" w:rsidRPr="004676F5">
        <w:rPr>
          <w:lang w:val="de-DE"/>
        </w:rPr>
        <w:t>Stellt die FSMA fest, dass ein Kreditvermittler nicht gemäß den Bestimmungen von Buch VII Titel 4 Kapitel 4 und seiner Ausführungserlasse und -verord</w:t>
      </w:r>
      <w:r w:rsidR="008343E5" w:rsidRPr="004676F5">
        <w:rPr>
          <w:lang w:val="de-DE"/>
        </w:rPr>
        <w:softHyphen/>
        <w:t>nungen arbeitet, identifiziert sie diese Unzulänglichkeiten und gibt die Frist an, innerhalb deren der festgestellten Lage abgeholfen werden muss.</w:t>
      </w:r>
    </w:p>
    <w:p w14:paraId="6CFB3714" w14:textId="77777777" w:rsidR="008343E5" w:rsidRPr="004676F5" w:rsidRDefault="008343E5" w:rsidP="008343E5">
      <w:pPr>
        <w:ind w:firstLine="708"/>
        <w:jc w:val="both"/>
        <w:rPr>
          <w:lang w:val="de-DE"/>
        </w:rPr>
      </w:pPr>
    </w:p>
    <w:p w14:paraId="7C7CF06D" w14:textId="7A33CB89" w:rsidR="008343E5" w:rsidRPr="004676F5" w:rsidRDefault="00D81D6B" w:rsidP="008343E5">
      <w:pPr>
        <w:ind w:firstLine="708"/>
        <w:jc w:val="both"/>
        <w:rPr>
          <w:lang w:val="de-DE"/>
        </w:rPr>
      </w:pPr>
      <w:r w:rsidRPr="004676F5">
        <w:rPr>
          <w:lang w:val="de-DE"/>
        </w:rPr>
        <w:t>[Bei dieser Gelegenheit kann die FSMA die Ausübung der Tätigkeit des Kreditvermittlers ganz oder teilweise verbieten und seine Eintragung im Register aussetzen, bis sie feststellt, dass den Unzulänglichkeiten abgeholfen worden ist.]</w:t>
      </w:r>
    </w:p>
    <w:p w14:paraId="602070AB" w14:textId="77777777" w:rsidR="008343E5" w:rsidRPr="004676F5" w:rsidRDefault="008343E5" w:rsidP="008343E5">
      <w:pPr>
        <w:ind w:firstLine="708"/>
        <w:jc w:val="both"/>
        <w:rPr>
          <w:lang w:val="de-DE"/>
        </w:rPr>
      </w:pPr>
    </w:p>
    <w:p w14:paraId="578F3FB0" w14:textId="77777777" w:rsidR="008343E5" w:rsidRPr="004676F5" w:rsidRDefault="008343E5" w:rsidP="008343E5">
      <w:pPr>
        <w:ind w:firstLine="708"/>
        <w:jc w:val="both"/>
        <w:rPr>
          <w:lang w:val="de-DE"/>
        </w:rPr>
      </w:pPr>
      <w:r w:rsidRPr="004676F5">
        <w:rPr>
          <w:lang w:val="de-DE"/>
        </w:rPr>
        <w:t>Stellt die FSMA bei Ablauf dieser Frist fest, dass den Unzulänglichkeiten nicht abgeholfen worden ist, streicht sie die Eintragung des betreffenden Kreditvermittlers.</w:t>
      </w:r>
    </w:p>
    <w:p w14:paraId="2D8B2E89" w14:textId="77777777" w:rsidR="008343E5" w:rsidRPr="004676F5" w:rsidRDefault="008343E5" w:rsidP="008343E5">
      <w:pPr>
        <w:ind w:firstLine="708"/>
        <w:jc w:val="both"/>
        <w:rPr>
          <w:lang w:val="de-DE"/>
        </w:rPr>
      </w:pPr>
    </w:p>
    <w:p w14:paraId="4F851150" w14:textId="77777777" w:rsidR="008343E5" w:rsidRPr="004676F5" w:rsidRDefault="008343E5" w:rsidP="008343E5">
      <w:pPr>
        <w:ind w:firstLine="708"/>
        <w:jc w:val="both"/>
        <w:rPr>
          <w:lang w:val="de-DE"/>
        </w:rPr>
      </w:pPr>
      <w:r w:rsidRPr="004676F5">
        <w:rPr>
          <w:lang w:val="de-DE"/>
        </w:rPr>
        <w:t>Die Streichung hat das Verbot der Ausübung der reglementierten Tätigkeit und der Führung des betreffenden Titels zur Folge.</w:t>
      </w:r>
    </w:p>
    <w:p w14:paraId="3EF61835" w14:textId="77777777" w:rsidR="008343E5" w:rsidRPr="004676F5" w:rsidRDefault="008343E5" w:rsidP="008343E5">
      <w:pPr>
        <w:ind w:firstLine="708"/>
        <w:jc w:val="both"/>
        <w:rPr>
          <w:lang w:val="de-DE"/>
        </w:rPr>
      </w:pPr>
    </w:p>
    <w:p w14:paraId="020B838C" w14:textId="77777777" w:rsidR="008343E5" w:rsidRPr="004676F5" w:rsidRDefault="008343E5" w:rsidP="008343E5">
      <w:pPr>
        <w:ind w:firstLine="708"/>
        <w:jc w:val="both"/>
        <w:rPr>
          <w:lang w:val="de-DE"/>
        </w:rPr>
      </w:pPr>
      <w:r w:rsidRPr="004676F5">
        <w:rPr>
          <w:lang w:val="de-DE"/>
        </w:rPr>
        <w:t xml:space="preserve"> In Fällen äußerster Dringlichkeit kann die FSMA die in vorliegendem Paragraphen erwähnten Maßnahmen ergreifen, ohne vorab eine Sanierungsfrist aufzuerlegen.</w:t>
      </w:r>
    </w:p>
    <w:p w14:paraId="0EC2409E" w14:textId="77777777" w:rsidR="008343E5" w:rsidRPr="004676F5" w:rsidRDefault="008343E5" w:rsidP="008343E5">
      <w:pPr>
        <w:ind w:firstLine="708"/>
        <w:jc w:val="both"/>
        <w:rPr>
          <w:lang w:val="de-DE"/>
        </w:rPr>
      </w:pPr>
    </w:p>
    <w:p w14:paraId="4D35AE10" w14:textId="230B0277" w:rsidR="008343E5" w:rsidRPr="004676F5" w:rsidRDefault="008343E5" w:rsidP="008343E5">
      <w:pPr>
        <w:ind w:firstLine="708"/>
        <w:jc w:val="both"/>
        <w:rPr>
          <w:lang w:val="de-DE"/>
        </w:rPr>
      </w:pPr>
      <w:r w:rsidRPr="004676F5">
        <w:rPr>
          <w:lang w:val="de-DE"/>
        </w:rPr>
        <w:t>§ 2 </w:t>
      </w:r>
      <w:r w:rsidR="005B7A5C" w:rsidRPr="004676F5">
        <w:rPr>
          <w:lang w:val="de-DE"/>
        </w:rPr>
        <w:t>- </w:t>
      </w:r>
      <w:r w:rsidRPr="004676F5">
        <w:rPr>
          <w:lang w:val="de-DE"/>
        </w:rPr>
        <w:t>In § 1 erwähnte Beschlüsse der FSMA werden in Bezug auf Kreditvermittler ab ihrer Notifizierung per Einschreiben oder per Einschreiben mit Rückschein wirksam.</w:t>
      </w:r>
    </w:p>
    <w:p w14:paraId="1F63834A" w14:textId="77777777" w:rsidR="008343E5" w:rsidRPr="004676F5" w:rsidRDefault="008343E5" w:rsidP="008343E5">
      <w:pPr>
        <w:ind w:firstLine="708"/>
        <w:jc w:val="both"/>
        <w:rPr>
          <w:lang w:val="de-DE"/>
        </w:rPr>
      </w:pPr>
    </w:p>
    <w:p w14:paraId="47B081CD" w14:textId="23370145" w:rsidR="008343E5" w:rsidRPr="004676F5" w:rsidRDefault="008343E5" w:rsidP="008343E5">
      <w:pPr>
        <w:ind w:firstLine="708"/>
        <w:jc w:val="both"/>
        <w:rPr>
          <w:lang w:val="de-DE"/>
        </w:rPr>
      </w:pPr>
      <w:r w:rsidRPr="004676F5">
        <w:rPr>
          <w:lang w:val="de-DE"/>
        </w:rPr>
        <w:t>§ 3 </w:t>
      </w:r>
      <w:r w:rsidR="005B7A5C" w:rsidRPr="004676F5">
        <w:rPr>
          <w:lang w:val="de-DE"/>
        </w:rPr>
        <w:t>- </w:t>
      </w:r>
      <w:r w:rsidRPr="004676F5">
        <w:rPr>
          <w:lang w:val="de-DE"/>
        </w:rPr>
        <w:t xml:space="preserve">Teilt der FÖD Wirtschaft durch eine mit Gründen versehene Notifizierung und nachdem er den Betreffenden angehört hat der FSMA mit, dass ein Kreditvermittler schwer gegen andere Bestimmungen von Buch VII </w:t>
      </w:r>
      <w:r w:rsidR="00685151" w:rsidRPr="004676F5">
        <w:rPr>
          <w:lang w:val="de-DE"/>
        </w:rPr>
        <w:t xml:space="preserve">[Titel 1 bis 6] </w:t>
      </w:r>
      <w:r w:rsidRPr="004676F5">
        <w:rPr>
          <w:lang w:val="de-DE"/>
        </w:rPr>
        <w:t>und seiner Ausführungserlasse und -verordnungen als Titel 4 Kapitel 4 verstoßen hat oder verstößt, streicht die FSMA von Amts wegen ohne weitere Untersuchung der Akte zur Sache die Eintragung des betreffenden Kreditvermittlers.</w:t>
      </w:r>
    </w:p>
    <w:p w14:paraId="59708018" w14:textId="77777777" w:rsidR="008343E5" w:rsidRPr="004676F5" w:rsidRDefault="008343E5" w:rsidP="008343E5">
      <w:pPr>
        <w:ind w:firstLine="708"/>
        <w:jc w:val="both"/>
        <w:rPr>
          <w:lang w:val="de-DE"/>
        </w:rPr>
      </w:pPr>
    </w:p>
    <w:p w14:paraId="4BEF04C4" w14:textId="77777777" w:rsidR="008343E5" w:rsidRPr="004676F5" w:rsidRDefault="008343E5" w:rsidP="008343E5">
      <w:pPr>
        <w:ind w:firstLine="708"/>
        <w:jc w:val="both"/>
        <w:rPr>
          <w:lang w:val="de-DE"/>
        </w:rPr>
      </w:pPr>
      <w:r w:rsidRPr="004676F5">
        <w:rPr>
          <w:lang w:val="de-DE"/>
        </w:rPr>
        <w:t>Die FSMA bringt dem FÖD Wirtschaft die vorgenommene Streichung unverzüglich zur Kenntnis.</w:t>
      </w:r>
    </w:p>
    <w:p w14:paraId="2B96AA32" w14:textId="77777777" w:rsidR="008343E5" w:rsidRPr="004676F5" w:rsidRDefault="008343E5" w:rsidP="008343E5">
      <w:pPr>
        <w:ind w:firstLine="708"/>
        <w:jc w:val="both"/>
        <w:rPr>
          <w:lang w:val="de-DE"/>
        </w:rPr>
      </w:pPr>
    </w:p>
    <w:p w14:paraId="4E0C1595" w14:textId="5EBB133C" w:rsidR="008343E5" w:rsidRPr="004676F5" w:rsidRDefault="008343E5" w:rsidP="008343E5">
      <w:pPr>
        <w:ind w:firstLine="708"/>
        <w:jc w:val="both"/>
        <w:rPr>
          <w:lang w:val="de-DE"/>
        </w:rPr>
      </w:pPr>
      <w:r w:rsidRPr="004676F5">
        <w:rPr>
          <w:lang w:val="de-DE"/>
        </w:rPr>
        <w:t>§ 4 </w:t>
      </w:r>
      <w:r w:rsidR="005B7A5C" w:rsidRPr="004676F5">
        <w:rPr>
          <w:lang w:val="de-DE"/>
        </w:rPr>
        <w:t>- </w:t>
      </w:r>
      <w:r w:rsidRPr="004676F5">
        <w:rPr>
          <w:lang w:val="de-DE"/>
        </w:rPr>
        <w:t>Stellt die FSMA fest, dass die Zusammenarbeit zwischen einem Kreditgeber und einem vertraglich gebundenen Vermittler oder einem Kreditvermittler und einem Vermittlungsvertreter beendet wird, streicht sie den betreffenden Vermittler beziehungsweise Vermittlungsvertreter aus dem Register, in dem er eingetragen war, nachdem sie ihn zuvor davon in Kenntnis gesetzt hat.</w:t>
      </w:r>
      <w:r w:rsidR="00D7790D" w:rsidRPr="004676F5">
        <w:rPr>
          <w:lang w:val="de-DE"/>
        </w:rPr>
        <w:t xml:space="preserve"> [</w:t>
      </w:r>
      <w:r w:rsidR="00D7790D" w:rsidRPr="004676F5">
        <w:rPr>
          <w:lang w:val="de-DE" w:bidi="de-DE"/>
        </w:rPr>
        <w:t xml:space="preserve">Stellt die FSMA für vertraglich gebundene Vermittler, die an mehrere einer selben Gruppe angehörende Kreditgeber gebunden sind, fest, dass ein Vermittler </w:t>
      </w:r>
      <w:r w:rsidR="00D7790D" w:rsidRPr="004676F5">
        <w:rPr>
          <w:lang w:val="de-DE" w:bidi="de-DE"/>
        </w:rPr>
        <w:lastRenderedPageBreak/>
        <w:t>an keinen dieser Kreditgeber mehr gebunden ist, streicht sie den betreffenden Vermittler aus dem Register, in dem er eingetragen war, nachdem sie ihn zuvor davon in Kenntnis gesetzt hat.</w:t>
      </w:r>
      <w:r w:rsidR="00D7790D" w:rsidRPr="004676F5">
        <w:rPr>
          <w:lang w:val="de-DE"/>
        </w:rPr>
        <w:t>]</w:t>
      </w:r>
    </w:p>
    <w:p w14:paraId="40A4D1AA" w14:textId="212D2703" w:rsidR="00D7790D" w:rsidRPr="004676F5" w:rsidRDefault="00D7790D" w:rsidP="008343E5">
      <w:pPr>
        <w:ind w:firstLine="708"/>
        <w:jc w:val="both"/>
        <w:rPr>
          <w:lang w:val="de-DE"/>
        </w:rPr>
      </w:pPr>
    </w:p>
    <w:p w14:paraId="5C3E5A55" w14:textId="5EF7D612" w:rsidR="00F317BF" w:rsidRPr="004676F5" w:rsidRDefault="00F317BF" w:rsidP="008343E5">
      <w:pPr>
        <w:ind w:firstLine="708"/>
        <w:jc w:val="both"/>
        <w:rPr>
          <w:lang w:val="de-DE"/>
        </w:rPr>
      </w:pPr>
      <w:r w:rsidRPr="004676F5">
        <w:rPr>
          <w:lang w:val="de-DE"/>
        </w:rPr>
        <w:t>[§ 5 </w:t>
      </w:r>
      <w:r w:rsidR="005B7A5C" w:rsidRPr="004676F5">
        <w:rPr>
          <w:lang w:val="de-DE"/>
        </w:rPr>
        <w:t>- </w:t>
      </w:r>
      <w:r w:rsidRPr="004676F5">
        <w:rPr>
          <w:lang w:val="de-DE"/>
        </w:rPr>
        <w:t>Die FSMA kann zu Lasten des Kreditvermittlers die Veröffentlichung der diesem gegenüber ergriffenen Maßnahmen in den Tageszeitungen und Veröffentlichungen ihrer Wahl oder an den von ihr festgelegten Orten und für die von ihr festgelegte Dauer veranlassen. Sie kann die ergriffenen Maßnahmen ebenfalls auf ihrer Website veröffentlichen.]</w:t>
      </w:r>
    </w:p>
    <w:p w14:paraId="1DA26594" w14:textId="77777777" w:rsidR="00F317BF" w:rsidRPr="004676F5" w:rsidRDefault="00F317BF" w:rsidP="008343E5">
      <w:pPr>
        <w:ind w:firstLine="708"/>
        <w:jc w:val="both"/>
        <w:rPr>
          <w:lang w:val="de-DE"/>
        </w:rPr>
      </w:pPr>
    </w:p>
    <w:p w14:paraId="0E0C4D1D" w14:textId="72F12031" w:rsidR="00D7790D" w:rsidRPr="004676F5" w:rsidRDefault="00D7790D" w:rsidP="00D7790D">
      <w:pPr>
        <w:jc w:val="both"/>
        <w:rPr>
          <w:i/>
          <w:lang w:val="de-DE"/>
        </w:rPr>
      </w:pPr>
      <w:r w:rsidRPr="004676F5">
        <w:rPr>
          <w:i/>
          <w:lang w:val="de-DE"/>
        </w:rPr>
        <w:t>[</w:t>
      </w:r>
      <w:r w:rsidR="00BE0A56" w:rsidRPr="004676F5">
        <w:rPr>
          <w:i/>
          <w:lang w:val="de-DE"/>
        </w:rPr>
        <w:t>Art. </w:t>
      </w:r>
      <w:r w:rsidRPr="004676F5">
        <w:rPr>
          <w:i/>
          <w:lang w:val="de-DE"/>
        </w:rPr>
        <w:t xml:space="preserve">XV.67/2 </w:t>
      </w:r>
      <w:r w:rsidR="00D81D6B" w:rsidRPr="004676F5">
        <w:rPr>
          <w:i/>
          <w:lang w:val="de-DE"/>
        </w:rPr>
        <w:t>§ 1 Abs. 2 ersetzt durch Art. 190 des G. vom 2. Mai 2019</w:t>
      </w:r>
      <w:r w:rsidR="0066077D" w:rsidRPr="004676F5">
        <w:rPr>
          <w:i/>
          <w:lang w:val="de-DE"/>
        </w:rPr>
        <w:t> (VI)</w:t>
      </w:r>
      <w:r w:rsidR="00D81D6B" w:rsidRPr="004676F5">
        <w:rPr>
          <w:i/>
          <w:lang w:val="de-DE"/>
        </w:rPr>
        <w:t xml:space="preserve"> (B.S. vom 21. Mai 2019); </w:t>
      </w:r>
      <w:r w:rsidR="00685151" w:rsidRPr="004676F5">
        <w:rPr>
          <w:i/>
          <w:lang w:val="de-DE"/>
        </w:rPr>
        <w:t xml:space="preserve">§ 3 Abs. 1 abgeändert durch Art. 202 des G. vom 15. April 2018 (B.S. vom 27. April 2018); </w:t>
      </w:r>
      <w:r w:rsidRPr="004676F5">
        <w:rPr>
          <w:i/>
          <w:lang w:val="de-DE"/>
        </w:rPr>
        <w:t xml:space="preserve">§ 4 ergänzt durch </w:t>
      </w:r>
      <w:r w:rsidR="00BE0A56" w:rsidRPr="004676F5">
        <w:rPr>
          <w:i/>
          <w:lang w:val="de-DE"/>
        </w:rPr>
        <w:t>Art. </w:t>
      </w:r>
      <w:r w:rsidRPr="004676F5">
        <w:rPr>
          <w:i/>
          <w:lang w:val="de-DE"/>
        </w:rPr>
        <w:t>44</w:t>
      </w:r>
      <w:r w:rsidRPr="004676F5">
        <w:rPr>
          <w:i/>
          <w:iCs/>
          <w:lang w:val="de-DE"/>
        </w:rPr>
        <w:t xml:space="preserve"> des G. vom 18. Dezember 2015 (</w:t>
      </w:r>
      <w:r w:rsidR="00AC0398" w:rsidRPr="004676F5">
        <w:rPr>
          <w:i/>
          <w:iCs/>
          <w:lang w:val="de-DE"/>
        </w:rPr>
        <w:t>II) (B.S. vom 30. Dezember 2015</w:t>
      </w:r>
      <w:r w:rsidRPr="004676F5">
        <w:rPr>
          <w:i/>
          <w:iCs/>
          <w:lang w:val="de-DE"/>
        </w:rPr>
        <w:t>)</w:t>
      </w:r>
      <w:r w:rsidR="00F317BF" w:rsidRPr="004676F5">
        <w:rPr>
          <w:i/>
          <w:iCs/>
          <w:lang w:val="de-DE"/>
        </w:rPr>
        <w:t>; § 5 eingefügt durch Art. 37</w:t>
      </w:r>
      <w:r w:rsidR="00F317BF" w:rsidRPr="004676F5">
        <w:rPr>
          <w:i/>
          <w:lang w:val="de-DE"/>
        </w:rPr>
        <w:t xml:space="preserve"> des G. vom 30. Juli 2018 (II) (B.S. vom 5. September 2018)</w:t>
      </w:r>
      <w:r w:rsidRPr="004676F5">
        <w:rPr>
          <w:i/>
          <w:iCs/>
          <w:lang w:val="de-DE"/>
        </w:rPr>
        <w:t>]</w:t>
      </w:r>
    </w:p>
    <w:p w14:paraId="08F709A9" w14:textId="77777777" w:rsidR="008343E5" w:rsidRPr="004676F5" w:rsidRDefault="008343E5" w:rsidP="008343E5">
      <w:pPr>
        <w:jc w:val="both"/>
        <w:rPr>
          <w:lang w:val="de-DE"/>
        </w:rPr>
      </w:pPr>
    </w:p>
    <w:p w14:paraId="083A4DBF" w14:textId="77777777" w:rsidR="00E25F90" w:rsidRPr="004676F5" w:rsidRDefault="00E25F90" w:rsidP="008343E5">
      <w:pPr>
        <w:jc w:val="both"/>
        <w:rPr>
          <w:lang w:val="de-DE"/>
        </w:rPr>
      </w:pPr>
    </w:p>
    <w:p w14:paraId="3FC55873" w14:textId="72B3B62F" w:rsidR="008343E5" w:rsidRPr="004676F5" w:rsidRDefault="008343E5" w:rsidP="008343E5">
      <w:pPr>
        <w:jc w:val="center"/>
        <w:rPr>
          <w:lang w:val="de-DE"/>
        </w:rPr>
      </w:pPr>
      <w:r w:rsidRPr="004676F5">
        <w:rPr>
          <w:i/>
          <w:lang w:val="de-DE"/>
        </w:rPr>
        <w:t xml:space="preserve">Abschnitt 2 </w:t>
      </w:r>
      <w:r w:rsidR="005B7A5C" w:rsidRPr="004676F5">
        <w:rPr>
          <w:i/>
          <w:lang w:val="de-DE"/>
        </w:rPr>
        <w:t>- </w:t>
      </w:r>
      <w:r w:rsidRPr="004676F5">
        <w:rPr>
          <w:lang w:val="de-DE"/>
        </w:rPr>
        <w:t>Auf Kreditgeber nach ausländischem Recht anwendbare Streichungen und andere Abhilfemaßnahmen</w:t>
      </w:r>
    </w:p>
    <w:p w14:paraId="10DF193C" w14:textId="77777777" w:rsidR="008343E5" w:rsidRPr="004676F5" w:rsidRDefault="008343E5" w:rsidP="008343E5">
      <w:pPr>
        <w:jc w:val="both"/>
        <w:rPr>
          <w:lang w:val="de-DE"/>
        </w:rPr>
      </w:pPr>
    </w:p>
    <w:p w14:paraId="59D7C406" w14:textId="77777777" w:rsidR="00E25F90" w:rsidRPr="004676F5" w:rsidRDefault="00E25F90" w:rsidP="008343E5">
      <w:pPr>
        <w:jc w:val="both"/>
        <w:rPr>
          <w:lang w:val="de-DE"/>
        </w:rPr>
      </w:pPr>
    </w:p>
    <w:p w14:paraId="458800FB" w14:textId="55E8EDC7" w:rsidR="008343E5" w:rsidRPr="004676F5" w:rsidRDefault="00BE0A56" w:rsidP="008343E5">
      <w:pPr>
        <w:ind w:firstLine="708"/>
        <w:jc w:val="both"/>
        <w:rPr>
          <w:lang w:val="de-DE"/>
        </w:rPr>
      </w:pPr>
      <w:r w:rsidRPr="004676F5">
        <w:rPr>
          <w:b/>
          <w:lang w:val="de-DE"/>
        </w:rPr>
        <w:t>Art. </w:t>
      </w:r>
      <w:r w:rsidR="008343E5" w:rsidRPr="004676F5">
        <w:rPr>
          <w:b/>
          <w:lang w:val="de-DE"/>
        </w:rPr>
        <w:t>XV.67/3</w:t>
      </w:r>
      <w:r w:rsidR="008343E5" w:rsidRPr="004676F5">
        <w:rPr>
          <w:lang w:val="de-DE"/>
        </w:rPr>
        <w:t> </w:t>
      </w:r>
      <w:r w:rsidR="005B7A5C" w:rsidRPr="004676F5">
        <w:rPr>
          <w:lang w:val="de-DE"/>
        </w:rPr>
        <w:t>- </w:t>
      </w:r>
      <w:r w:rsidR="008343E5" w:rsidRPr="004676F5">
        <w:rPr>
          <w:lang w:val="de-DE"/>
        </w:rPr>
        <w:t>§ 1</w:t>
      </w:r>
      <w:r w:rsidR="005B7A5C" w:rsidRPr="004676F5">
        <w:rPr>
          <w:lang w:val="de-DE"/>
        </w:rPr>
        <w:t>- </w:t>
      </w:r>
      <w:r w:rsidR="008343E5" w:rsidRPr="004676F5">
        <w:rPr>
          <w:lang w:val="de-DE"/>
        </w:rPr>
        <w:t xml:space="preserve">Stellt die FSMA unbeschadet </w:t>
      </w:r>
      <w:r w:rsidR="00564F20" w:rsidRPr="004676F5">
        <w:rPr>
          <w:lang w:val="de-DE"/>
        </w:rPr>
        <w:t xml:space="preserve">[des Artikels 329 § 5 des </w:t>
      </w:r>
      <w:r w:rsidR="00807BB5" w:rsidRPr="004676F5">
        <w:rPr>
          <w:lang w:val="de-DE"/>
        </w:rPr>
        <w:t>[Gesetzes vom 25. April 2014 über den Status und die Kontrolle der Kreditinstitute und der Börsengesellschaften]</w:t>
      </w:r>
      <w:r w:rsidR="00564F20" w:rsidRPr="004676F5">
        <w:rPr>
          <w:lang w:val="de-DE"/>
        </w:rPr>
        <w:t>]</w:t>
      </w:r>
      <w:r w:rsidR="008343E5" w:rsidRPr="004676F5">
        <w:rPr>
          <w:lang w:val="de-DE"/>
        </w:rPr>
        <w:t xml:space="preserve"> fest, dass ein gemäß Artikel VII.174 § 4 registrierter Kreditgeber nach ausländischem Recht die auf ihn anwend</w:t>
      </w:r>
      <w:r w:rsidR="008343E5" w:rsidRPr="004676F5">
        <w:rPr>
          <w:lang w:val="de-DE"/>
        </w:rPr>
        <w:softHyphen/>
        <w:t xml:space="preserve">baren Bestimmungen von Buch VII Titel 4 Kapitel 4 nicht einhält, oder teilt der FÖD Wirtschaft durch eine mit Gründen versehene Notifizierung und nachdem er den Betreffenden angehört hat der FSMA mit, dass ein solcher Kreditgeber schwer gegen andere Bestimmungen von Buch VII </w:t>
      </w:r>
      <w:r w:rsidR="00685151" w:rsidRPr="004676F5">
        <w:rPr>
          <w:lang w:val="de-DE"/>
        </w:rPr>
        <w:t xml:space="preserve">[Titel 1 bis 6] </w:t>
      </w:r>
      <w:r w:rsidR="008343E5" w:rsidRPr="004676F5">
        <w:rPr>
          <w:lang w:val="de-DE"/>
        </w:rPr>
        <w:t>und seiner Ausführungserlasse und -verordnungen als Titel 4 Kapitel 4 verstoßen hat oder verstößt, so fordert die FSMA den Kreditgeber auf, innerhalb der Frist, die sie festlegt, der festgestellten Lage abzuhelfen. Sie bringt dies der zuständigen Behörde des Herkunftsmitgliedstaats dieses Kreditgebers zur Kenntnis.</w:t>
      </w:r>
    </w:p>
    <w:p w14:paraId="0D9A7F1E" w14:textId="77777777" w:rsidR="008343E5" w:rsidRPr="004676F5" w:rsidRDefault="008343E5" w:rsidP="008343E5">
      <w:pPr>
        <w:ind w:firstLine="708"/>
        <w:jc w:val="both"/>
        <w:rPr>
          <w:lang w:val="de-DE"/>
        </w:rPr>
      </w:pPr>
    </w:p>
    <w:p w14:paraId="7B0B64E2" w14:textId="77777777" w:rsidR="008343E5" w:rsidRPr="004676F5" w:rsidRDefault="008343E5" w:rsidP="008343E5">
      <w:pPr>
        <w:ind w:firstLine="708"/>
        <w:jc w:val="both"/>
        <w:rPr>
          <w:lang w:val="de-DE"/>
        </w:rPr>
      </w:pPr>
      <w:r w:rsidRPr="004676F5">
        <w:rPr>
          <w:lang w:val="de-DE"/>
        </w:rPr>
        <w:t xml:space="preserve">Bestehen nach Ablauf dieser Frist in Absatz 1 erwähnte Unzulänglichkeiten weiter, kann die FSMA unbeschadet </w:t>
      </w:r>
      <w:r w:rsidR="00564F20" w:rsidRPr="004676F5">
        <w:rPr>
          <w:lang w:val="de-DE"/>
        </w:rPr>
        <w:t xml:space="preserve">[des Artikels 329 § 6 des </w:t>
      </w:r>
      <w:r w:rsidR="00807BB5" w:rsidRPr="004676F5">
        <w:rPr>
          <w:lang w:val="de-DE"/>
        </w:rPr>
        <w:t>[Gesetzes vom 25. April 2014 über den Status und die Kontrolle der Kreditinstitute und der Börsengesellschaften]</w:t>
      </w:r>
      <w:r w:rsidR="00564F20" w:rsidRPr="004676F5">
        <w:rPr>
          <w:lang w:val="de-DE"/>
        </w:rPr>
        <w:t>]</w:t>
      </w:r>
      <w:r w:rsidRPr="004676F5">
        <w:rPr>
          <w:lang w:val="de-DE"/>
        </w:rPr>
        <w:t xml:space="preserve"> und nachdem sie die in Absatz 1 erwähnte Aufsichtsbehörde verständigt hat jegliche geeignete Maßnahme gegenüber diesem Kreditgeber treffen und ihm insbesondere untersagen, in Belgien eine Tätigkeit als Kreditgeber und gegebenenfalls als Kreditvermittler fortzusetzten. Dieser Beschluss wird dem Kreditgeber per Einschreiben notifiziert; eine Abschrift wird der Belgischen Nationalbank und dem FÖD Wirtschaft zugesandt.</w:t>
      </w:r>
    </w:p>
    <w:p w14:paraId="7F2A1AC6" w14:textId="77777777" w:rsidR="008343E5" w:rsidRPr="004676F5" w:rsidRDefault="008343E5" w:rsidP="008343E5">
      <w:pPr>
        <w:ind w:firstLine="708"/>
        <w:jc w:val="both"/>
        <w:rPr>
          <w:lang w:val="de-DE"/>
        </w:rPr>
      </w:pPr>
    </w:p>
    <w:p w14:paraId="0D5214B2" w14:textId="77777777" w:rsidR="008343E5" w:rsidRPr="004676F5" w:rsidRDefault="008343E5" w:rsidP="008343E5">
      <w:pPr>
        <w:ind w:firstLine="708"/>
        <w:jc w:val="both"/>
        <w:rPr>
          <w:lang w:val="de-DE"/>
        </w:rPr>
      </w:pPr>
      <w:r w:rsidRPr="004676F5">
        <w:rPr>
          <w:lang w:val="de-DE"/>
        </w:rPr>
        <w:t>Ist der Kreditgeber ein Kreditinstitut, wird die Europäische Kommission und die Europäische Bankenaufsichtsbehörde unverzüglich von den gemäß vorhergehendem Absatz getroffenen Maßnahmen in Kenntnis gesetzt.</w:t>
      </w:r>
    </w:p>
    <w:p w14:paraId="20F0A065" w14:textId="77777777" w:rsidR="008343E5" w:rsidRPr="004676F5" w:rsidRDefault="008343E5" w:rsidP="008343E5">
      <w:pPr>
        <w:ind w:firstLine="708"/>
        <w:jc w:val="both"/>
        <w:rPr>
          <w:lang w:val="de-DE"/>
        </w:rPr>
      </w:pPr>
    </w:p>
    <w:p w14:paraId="4A461137" w14:textId="0BD8E7D5" w:rsidR="008343E5" w:rsidRPr="004676F5" w:rsidRDefault="008343E5" w:rsidP="008343E5">
      <w:pPr>
        <w:ind w:firstLine="708"/>
        <w:jc w:val="both"/>
        <w:rPr>
          <w:lang w:val="de-DE"/>
        </w:rPr>
      </w:pPr>
      <w:r w:rsidRPr="004676F5">
        <w:rPr>
          <w:lang w:val="de-DE"/>
        </w:rPr>
        <w:t xml:space="preserve">§ 2 </w:t>
      </w:r>
      <w:r w:rsidR="005B7A5C" w:rsidRPr="004676F5">
        <w:rPr>
          <w:lang w:val="de-DE"/>
        </w:rPr>
        <w:t>- </w:t>
      </w:r>
      <w:r w:rsidRPr="004676F5">
        <w:rPr>
          <w:lang w:val="de-DE"/>
        </w:rPr>
        <w:t xml:space="preserve">Wenn unbeschadet </w:t>
      </w:r>
      <w:r w:rsidR="007960CA" w:rsidRPr="004676F5">
        <w:rPr>
          <w:lang w:val="de-DE"/>
        </w:rPr>
        <w:t xml:space="preserve">[des Artikels 329 § 5 des </w:t>
      </w:r>
      <w:r w:rsidR="00807BB5" w:rsidRPr="004676F5">
        <w:rPr>
          <w:lang w:val="de-DE"/>
        </w:rPr>
        <w:t>[Gesetzes vom 25. April 2014 über den Status und die Kontrolle der Kreditinstitute und der Börsengesellschaften]</w:t>
      </w:r>
      <w:r w:rsidR="007960CA" w:rsidRPr="004676F5">
        <w:rPr>
          <w:lang w:val="de-DE"/>
        </w:rPr>
        <w:t>]</w:t>
      </w:r>
      <w:r w:rsidRPr="004676F5">
        <w:rPr>
          <w:lang w:val="de-DE"/>
        </w:rPr>
        <w:t xml:space="preserve"> der FÖD Wirtschaft durch eine mit Gründen versehene Notifizierung und nachdem er den Betreffenden angehört hat der FSMA mitteilt, dass ein gemäß Artikel VII.174 § 4 registrierter Kreditgeber nach ausländischem Recht anderen als in Buch VII </w:t>
      </w:r>
      <w:r w:rsidR="00685151" w:rsidRPr="004676F5">
        <w:rPr>
          <w:lang w:val="de-DE"/>
        </w:rPr>
        <w:t xml:space="preserve">[Titel 1 bis 6] </w:t>
      </w:r>
      <w:r w:rsidRPr="004676F5">
        <w:rPr>
          <w:lang w:val="de-DE"/>
        </w:rPr>
        <w:t xml:space="preserve">enthaltenen Bestimmungen </w:t>
      </w:r>
      <w:r w:rsidRPr="004676F5">
        <w:rPr>
          <w:lang w:val="de-DE"/>
        </w:rPr>
        <w:lastRenderedPageBreak/>
        <w:t>allgemeinen Interesses, die auf ihn anwendbar sind, nicht nachkommt, bringt die FSMA dies der zuständigen Behörde des Herkunftsmitgliedstaats dieses Kreditgebers zur Kenntnis.</w:t>
      </w:r>
    </w:p>
    <w:p w14:paraId="7D0F529A" w14:textId="77777777" w:rsidR="008343E5" w:rsidRPr="004676F5" w:rsidRDefault="008343E5" w:rsidP="008343E5">
      <w:pPr>
        <w:ind w:firstLine="708"/>
        <w:jc w:val="both"/>
        <w:rPr>
          <w:lang w:val="de-DE"/>
        </w:rPr>
      </w:pPr>
    </w:p>
    <w:p w14:paraId="4FE0E62A" w14:textId="77777777" w:rsidR="008343E5" w:rsidRPr="004676F5" w:rsidRDefault="008343E5" w:rsidP="008343E5">
      <w:pPr>
        <w:ind w:firstLine="708"/>
        <w:jc w:val="both"/>
        <w:rPr>
          <w:lang w:val="de-DE"/>
        </w:rPr>
      </w:pPr>
      <w:r w:rsidRPr="004676F5">
        <w:rPr>
          <w:lang w:val="de-DE"/>
        </w:rPr>
        <w:t>Verhält sich der betreffende Kreditgeber trotz der von der zuständigen Behörde des Herkunftsmitgliedstaats getroffenen Maßnahmen oder weil solche Maßnahmen sich als unzureichend erweisen weiterhin auf eine Art und Weise, die den Interessen der Verbraucher in Belgien eindeutig abträglich ist, so kann die FSMA nach Unterrichtung der zuständigen Behörde des Herkunftsmitgliedstaats gegenüber diesem Kreditgeber erforderliche Maß</w:t>
      </w:r>
      <w:r w:rsidRPr="004676F5">
        <w:rPr>
          <w:lang w:val="de-DE"/>
        </w:rPr>
        <w:softHyphen/>
        <w:t>nahmen ergreifen; sie hat insbesondere die Möglichkeit, ihm die Fortführung einer Tätigkeit als Kreditgeber und gegebenenfalls als Kreditvermittler in Belgien zu untersagen. Dieser Beschluss wird dem Kreditgeber per Einschreiben notifiziert; eine Abschrift wird der Belgischen Nationalbank und dem FÖD Wirtschaft zugesandt.</w:t>
      </w:r>
    </w:p>
    <w:p w14:paraId="01EABBCB" w14:textId="77777777" w:rsidR="008343E5" w:rsidRPr="004676F5" w:rsidRDefault="008343E5" w:rsidP="008343E5">
      <w:pPr>
        <w:ind w:firstLine="708"/>
        <w:jc w:val="both"/>
        <w:rPr>
          <w:lang w:val="de-DE"/>
        </w:rPr>
      </w:pPr>
    </w:p>
    <w:p w14:paraId="253308C1" w14:textId="77777777" w:rsidR="008343E5" w:rsidRPr="004676F5" w:rsidRDefault="008343E5" w:rsidP="008343E5">
      <w:pPr>
        <w:ind w:firstLine="708"/>
        <w:jc w:val="both"/>
        <w:rPr>
          <w:lang w:val="de-DE"/>
        </w:rPr>
      </w:pPr>
      <w:r w:rsidRPr="004676F5">
        <w:rPr>
          <w:lang w:val="de-DE"/>
        </w:rPr>
        <w:t>Ist der Kreditgeber ein Kreditinstitut, wird die Europäische Kommission und die Europäische Bankenaufsichtsbehörde unverzüglich von den gemäß vorhergehendem Absatz getroffenen Maßnahmen in Kenntnis gesetzt.</w:t>
      </w:r>
    </w:p>
    <w:p w14:paraId="31E39BD3" w14:textId="77777777" w:rsidR="008343E5" w:rsidRPr="004676F5" w:rsidRDefault="008343E5" w:rsidP="007960CA">
      <w:pPr>
        <w:jc w:val="both"/>
        <w:rPr>
          <w:lang w:val="de-DE"/>
        </w:rPr>
      </w:pPr>
    </w:p>
    <w:p w14:paraId="03DDB19E" w14:textId="5D92E707" w:rsidR="007960CA" w:rsidRPr="004676F5" w:rsidRDefault="007960CA" w:rsidP="007960CA">
      <w:pPr>
        <w:jc w:val="both"/>
        <w:rPr>
          <w:i/>
          <w:lang w:val="de-DE"/>
        </w:rPr>
      </w:pPr>
      <w:r w:rsidRPr="004676F5">
        <w:rPr>
          <w:i/>
          <w:lang w:val="de-DE"/>
        </w:rPr>
        <w:t>[</w:t>
      </w:r>
      <w:r w:rsidR="00BE0A56" w:rsidRPr="004676F5">
        <w:rPr>
          <w:i/>
          <w:lang w:val="de-DE"/>
        </w:rPr>
        <w:t>Art. </w:t>
      </w:r>
      <w:r w:rsidRPr="004676F5">
        <w:rPr>
          <w:i/>
          <w:lang w:val="de-DE"/>
        </w:rPr>
        <w:t xml:space="preserve">XV.67/3 § 1 Abs. 1 abgeändert durch </w:t>
      </w:r>
      <w:r w:rsidR="00BE0A56" w:rsidRPr="004676F5">
        <w:rPr>
          <w:i/>
          <w:lang w:val="de-DE"/>
        </w:rPr>
        <w:t>Art. </w:t>
      </w:r>
      <w:r w:rsidRPr="004676F5">
        <w:rPr>
          <w:i/>
          <w:lang w:val="de-DE"/>
        </w:rPr>
        <w:t>58 Nr. 1</w:t>
      </w:r>
      <w:r w:rsidRPr="004676F5">
        <w:rPr>
          <w:i/>
          <w:iCs/>
          <w:lang w:val="de-DE"/>
        </w:rPr>
        <w:t xml:space="preserve"> </w:t>
      </w:r>
      <w:r w:rsidRPr="004676F5">
        <w:rPr>
          <w:i/>
          <w:lang w:val="de-DE"/>
        </w:rPr>
        <w:t>des G. vom 26. Oktober 2015 (B.S. vom 30. Oktober 2015)</w:t>
      </w:r>
      <w:r w:rsidR="00685151" w:rsidRPr="004676F5">
        <w:rPr>
          <w:i/>
          <w:lang w:val="de-DE"/>
        </w:rPr>
        <w:t>,</w:t>
      </w:r>
      <w:r w:rsidR="00494D9F" w:rsidRPr="004676F5">
        <w:rPr>
          <w:i/>
          <w:lang w:val="de-DE"/>
        </w:rPr>
        <w:t xml:space="preserve"> </w:t>
      </w:r>
      <w:r w:rsidR="00BE0A56" w:rsidRPr="004676F5">
        <w:rPr>
          <w:i/>
          <w:lang w:val="de-DE"/>
        </w:rPr>
        <w:t>Art. </w:t>
      </w:r>
      <w:r w:rsidR="00807BB5" w:rsidRPr="004676F5">
        <w:rPr>
          <w:i/>
          <w:lang w:val="de-DE"/>
        </w:rPr>
        <w:t>168 des G. vom 25. Oktober 2016 (B.S. vom 18. November 2016)</w:t>
      </w:r>
      <w:r w:rsidR="00685151" w:rsidRPr="004676F5">
        <w:rPr>
          <w:i/>
          <w:lang w:val="de-DE"/>
        </w:rPr>
        <w:t xml:space="preserve"> und Art. 203 Nr. 1 des G. vom 15. April 2018 (B.S. vom 27. April 2018)</w:t>
      </w:r>
      <w:r w:rsidRPr="004676F5">
        <w:rPr>
          <w:i/>
          <w:lang w:val="de-DE"/>
        </w:rPr>
        <w:t xml:space="preserve">; § 1 Abs. 2 abgeändert durch </w:t>
      </w:r>
      <w:r w:rsidR="00BE0A56" w:rsidRPr="004676F5">
        <w:rPr>
          <w:i/>
          <w:lang w:val="de-DE"/>
        </w:rPr>
        <w:t>Art. </w:t>
      </w:r>
      <w:r w:rsidRPr="004676F5">
        <w:rPr>
          <w:i/>
          <w:lang w:val="de-DE"/>
        </w:rPr>
        <w:t>58 Nr. 2</w:t>
      </w:r>
      <w:r w:rsidRPr="004676F5">
        <w:rPr>
          <w:i/>
          <w:iCs/>
          <w:lang w:val="de-DE"/>
        </w:rPr>
        <w:t xml:space="preserve"> </w:t>
      </w:r>
      <w:r w:rsidRPr="004676F5">
        <w:rPr>
          <w:i/>
          <w:lang w:val="de-DE"/>
        </w:rPr>
        <w:t>des G. vom 26. Oktober 2015 (B.S. vom 30. Oktober 2015)</w:t>
      </w:r>
      <w:r w:rsidR="00807BB5" w:rsidRPr="004676F5">
        <w:rPr>
          <w:i/>
          <w:lang w:val="de-DE"/>
        </w:rPr>
        <w:t xml:space="preserve"> und </w:t>
      </w:r>
      <w:r w:rsidR="00BE0A56" w:rsidRPr="004676F5">
        <w:rPr>
          <w:i/>
          <w:lang w:val="de-DE"/>
        </w:rPr>
        <w:t>Art. </w:t>
      </w:r>
      <w:r w:rsidR="00807BB5" w:rsidRPr="004676F5">
        <w:rPr>
          <w:i/>
          <w:lang w:val="de-DE"/>
        </w:rPr>
        <w:t>168 des G. vom 25. Oktober 2016 (B.S. vom 18. November 2016)</w:t>
      </w:r>
      <w:r w:rsidRPr="004676F5">
        <w:rPr>
          <w:i/>
          <w:lang w:val="de-DE"/>
        </w:rPr>
        <w:t xml:space="preserve">; § 2 Abs. 1 abgeändert durch </w:t>
      </w:r>
      <w:r w:rsidR="00BE0A56" w:rsidRPr="004676F5">
        <w:rPr>
          <w:i/>
          <w:lang w:val="de-DE"/>
        </w:rPr>
        <w:t>Art. </w:t>
      </w:r>
      <w:r w:rsidRPr="004676F5">
        <w:rPr>
          <w:i/>
          <w:lang w:val="de-DE"/>
        </w:rPr>
        <w:t>58 Nr. 3</w:t>
      </w:r>
      <w:r w:rsidRPr="004676F5">
        <w:rPr>
          <w:i/>
          <w:iCs/>
          <w:lang w:val="de-DE"/>
        </w:rPr>
        <w:t xml:space="preserve"> </w:t>
      </w:r>
      <w:r w:rsidRPr="004676F5">
        <w:rPr>
          <w:i/>
          <w:lang w:val="de-DE"/>
        </w:rPr>
        <w:t>des G. vom 26. Oktober 2015 (B.S. vom 30. Oktober 2015)</w:t>
      </w:r>
      <w:r w:rsidR="00AC5746" w:rsidRPr="004676F5">
        <w:rPr>
          <w:i/>
          <w:lang w:val="de-DE"/>
        </w:rPr>
        <w:t>,</w:t>
      </w:r>
      <w:r w:rsidR="00807BB5" w:rsidRPr="004676F5">
        <w:rPr>
          <w:i/>
          <w:lang w:val="de-DE"/>
        </w:rPr>
        <w:t xml:space="preserve"> </w:t>
      </w:r>
      <w:r w:rsidR="00BE0A56" w:rsidRPr="004676F5">
        <w:rPr>
          <w:i/>
          <w:lang w:val="de-DE"/>
        </w:rPr>
        <w:t>Art. </w:t>
      </w:r>
      <w:r w:rsidR="00807BB5" w:rsidRPr="004676F5">
        <w:rPr>
          <w:i/>
          <w:lang w:val="de-DE"/>
        </w:rPr>
        <w:t>168 des G. vom 25. Oktober 2016 (B.S. vom 18. November 2016)</w:t>
      </w:r>
      <w:r w:rsidR="00AC5746" w:rsidRPr="004676F5">
        <w:rPr>
          <w:i/>
          <w:lang w:val="de-DE"/>
        </w:rPr>
        <w:t xml:space="preserve"> und Art. 203 Nr. 2 des G. vom 15. April 2018 (B.S. vom 27. April 2018)</w:t>
      </w:r>
      <w:r w:rsidRPr="004676F5">
        <w:rPr>
          <w:i/>
          <w:lang w:val="de-DE"/>
        </w:rPr>
        <w:t>]</w:t>
      </w:r>
    </w:p>
    <w:p w14:paraId="6AF3A435" w14:textId="77777777" w:rsidR="007960CA" w:rsidRPr="004676F5" w:rsidRDefault="007960CA" w:rsidP="007960CA">
      <w:pPr>
        <w:jc w:val="both"/>
        <w:rPr>
          <w:i/>
          <w:lang w:val="de-DE"/>
        </w:rPr>
      </w:pPr>
    </w:p>
    <w:p w14:paraId="1FEF6CBB" w14:textId="77777777" w:rsidR="00E25F90" w:rsidRPr="004676F5" w:rsidRDefault="00E25F90" w:rsidP="008343E5">
      <w:pPr>
        <w:ind w:firstLine="708"/>
        <w:jc w:val="both"/>
        <w:rPr>
          <w:lang w:val="de-DE"/>
        </w:rPr>
      </w:pPr>
    </w:p>
    <w:p w14:paraId="3F2B15EE" w14:textId="6084A130" w:rsidR="008343E5" w:rsidRPr="004676F5" w:rsidRDefault="00BE0A56" w:rsidP="008343E5">
      <w:pPr>
        <w:ind w:firstLine="708"/>
        <w:jc w:val="both"/>
        <w:rPr>
          <w:lang w:val="de-DE"/>
        </w:rPr>
      </w:pPr>
      <w:r w:rsidRPr="004676F5">
        <w:rPr>
          <w:b/>
          <w:lang w:val="de-DE"/>
        </w:rPr>
        <w:t>Art. </w:t>
      </w:r>
      <w:r w:rsidR="008343E5" w:rsidRPr="004676F5">
        <w:rPr>
          <w:b/>
          <w:lang w:val="de-DE"/>
        </w:rPr>
        <w:t>XV.67/4</w:t>
      </w:r>
      <w:r w:rsidR="008343E5" w:rsidRPr="004676F5">
        <w:rPr>
          <w:lang w:val="de-DE"/>
        </w:rPr>
        <w:t> </w:t>
      </w:r>
      <w:r w:rsidR="005B7A5C" w:rsidRPr="004676F5">
        <w:rPr>
          <w:lang w:val="de-DE"/>
        </w:rPr>
        <w:t>- </w:t>
      </w:r>
      <w:r w:rsidR="008343E5" w:rsidRPr="004676F5">
        <w:rPr>
          <w:lang w:val="de-DE"/>
        </w:rPr>
        <w:t>Die Artikel XV.67 und XV.67/1 sind auf die in Artikel VII.176 erwähnten anderen Kreditgeber nach ausländischem Recht anwendbar.</w:t>
      </w:r>
    </w:p>
    <w:p w14:paraId="72F516B0" w14:textId="77777777" w:rsidR="008343E5" w:rsidRPr="004676F5" w:rsidRDefault="008343E5" w:rsidP="008343E5">
      <w:pPr>
        <w:ind w:firstLine="708"/>
        <w:jc w:val="both"/>
        <w:rPr>
          <w:lang w:val="de-DE"/>
        </w:rPr>
      </w:pPr>
    </w:p>
    <w:p w14:paraId="3F7445DD" w14:textId="77777777" w:rsidR="00E25F90" w:rsidRPr="004676F5" w:rsidRDefault="00E25F90" w:rsidP="008343E5">
      <w:pPr>
        <w:ind w:firstLine="708"/>
        <w:jc w:val="both"/>
        <w:rPr>
          <w:lang w:val="de-DE"/>
        </w:rPr>
      </w:pPr>
    </w:p>
    <w:p w14:paraId="7173E66F" w14:textId="41258DBE" w:rsidR="008343E5" w:rsidRPr="004676F5" w:rsidRDefault="008343E5" w:rsidP="008343E5">
      <w:pPr>
        <w:jc w:val="center"/>
        <w:rPr>
          <w:lang w:val="de-DE"/>
        </w:rPr>
      </w:pPr>
      <w:r w:rsidRPr="004676F5">
        <w:rPr>
          <w:i/>
          <w:lang w:val="de-DE"/>
        </w:rPr>
        <w:t xml:space="preserve">Abschnitt 3 </w:t>
      </w:r>
      <w:r w:rsidR="005B7A5C" w:rsidRPr="004676F5">
        <w:rPr>
          <w:i/>
          <w:lang w:val="de-DE"/>
        </w:rPr>
        <w:t>- </w:t>
      </w:r>
      <w:r w:rsidRPr="004676F5">
        <w:rPr>
          <w:lang w:val="de-DE"/>
        </w:rPr>
        <w:t>Auf Hypothekarkreditvermittler nach ausländischem Recht anwendbare Streichungen und andere Abhilfemaßnahmen</w:t>
      </w:r>
    </w:p>
    <w:p w14:paraId="065C1A80" w14:textId="77777777" w:rsidR="008343E5" w:rsidRPr="004676F5" w:rsidRDefault="008343E5" w:rsidP="008343E5">
      <w:pPr>
        <w:ind w:firstLine="708"/>
        <w:jc w:val="both"/>
        <w:rPr>
          <w:lang w:val="de-DE"/>
        </w:rPr>
      </w:pPr>
    </w:p>
    <w:p w14:paraId="167162D0" w14:textId="77777777" w:rsidR="00E25F90" w:rsidRPr="004676F5" w:rsidRDefault="00E25F90" w:rsidP="008343E5">
      <w:pPr>
        <w:ind w:firstLine="708"/>
        <w:jc w:val="both"/>
        <w:rPr>
          <w:lang w:val="de-DE"/>
        </w:rPr>
      </w:pPr>
    </w:p>
    <w:p w14:paraId="16E895E3" w14:textId="089EB337" w:rsidR="008343E5" w:rsidRPr="004676F5" w:rsidRDefault="00BE0A56" w:rsidP="008343E5">
      <w:pPr>
        <w:ind w:firstLine="708"/>
        <w:jc w:val="both"/>
        <w:rPr>
          <w:lang w:val="de-DE"/>
        </w:rPr>
      </w:pPr>
      <w:r w:rsidRPr="004676F5">
        <w:rPr>
          <w:b/>
          <w:lang w:val="de-DE"/>
        </w:rPr>
        <w:t>Art. </w:t>
      </w:r>
      <w:r w:rsidR="008343E5" w:rsidRPr="004676F5">
        <w:rPr>
          <w:b/>
          <w:lang w:val="de-DE"/>
        </w:rPr>
        <w:t>XV.68</w:t>
      </w:r>
      <w:r w:rsidR="008343E5" w:rsidRPr="004676F5">
        <w:rPr>
          <w:lang w:val="de-DE"/>
        </w:rPr>
        <w:t> </w:t>
      </w:r>
      <w:r w:rsidR="005B7A5C" w:rsidRPr="004676F5">
        <w:rPr>
          <w:lang w:val="de-DE"/>
        </w:rPr>
        <w:t>- </w:t>
      </w:r>
      <w:r w:rsidR="008343E5" w:rsidRPr="004676F5">
        <w:rPr>
          <w:lang w:val="de-DE"/>
        </w:rPr>
        <w:t>§ 1 </w:t>
      </w:r>
      <w:r w:rsidR="005B7A5C" w:rsidRPr="004676F5">
        <w:rPr>
          <w:lang w:val="de-DE"/>
        </w:rPr>
        <w:t>- </w:t>
      </w:r>
      <w:r w:rsidR="00F317BF" w:rsidRPr="004676F5">
        <w:rPr>
          <w:lang w:val="de-DE"/>
        </w:rPr>
        <w:t>[Wenn die FSMA feststellt, dass ein in Artikel VII.183 § 2 erwähnter Hypothekarkreditvermittler nach ausländischem Recht Artikel VII.183 § 5 Nr. 1 bis 3 nicht nachkommt, oder wenn der FÖD Wirtschaft, durch eine mit Gründen versehene Notifizierung und nachdem er den Betreffenden angehört hat, der FSMA mitteilt, dass ein solcher Kreditvermittler Artikel VII.183 § 5 Nr. 4 nicht nachkommt, so fordert die FSMA diesen Vermittler auf, innerhalb der Frist, die sie festlegt, der festgestellten Lage abzuhelfen.]</w:t>
      </w:r>
    </w:p>
    <w:p w14:paraId="73CAF483" w14:textId="38949638" w:rsidR="008343E5" w:rsidRPr="004676F5" w:rsidRDefault="008343E5" w:rsidP="008343E5">
      <w:pPr>
        <w:ind w:firstLine="708"/>
        <w:jc w:val="both"/>
        <w:rPr>
          <w:lang w:val="de-DE"/>
        </w:rPr>
      </w:pPr>
    </w:p>
    <w:p w14:paraId="3753C5ED" w14:textId="3E56AB5A" w:rsidR="00F317BF" w:rsidRPr="004676F5" w:rsidRDefault="00F317BF" w:rsidP="008343E5">
      <w:pPr>
        <w:ind w:firstLine="708"/>
        <w:jc w:val="both"/>
        <w:rPr>
          <w:lang w:val="de-DE"/>
        </w:rPr>
      </w:pPr>
      <w:r w:rsidRPr="004676F5">
        <w:rPr>
          <w:lang w:val="de-DE"/>
        </w:rPr>
        <w:t>[Wenn der betreffende Vermittler die notwendigen Schritte nicht unternimmt, kann die FSMA alle geeigneten Maßnahmen ergreifen, damit der Vermittler dieser regelwidrigen Situation abhilft. Die Art dieser Maßnahmen wird der zuständigen Behörde des Herkunftsmitgliedstaats dieses Vermittlers zur Kenntnis gebracht.]</w:t>
      </w:r>
    </w:p>
    <w:p w14:paraId="1DF880B3" w14:textId="77777777" w:rsidR="00F317BF" w:rsidRPr="004676F5" w:rsidRDefault="00F317BF" w:rsidP="008343E5">
      <w:pPr>
        <w:ind w:firstLine="708"/>
        <w:jc w:val="both"/>
        <w:rPr>
          <w:lang w:val="de-DE"/>
        </w:rPr>
      </w:pPr>
    </w:p>
    <w:p w14:paraId="4C1337A1" w14:textId="3BD5E665" w:rsidR="008343E5" w:rsidRPr="004676F5" w:rsidRDefault="00F317BF" w:rsidP="008343E5">
      <w:pPr>
        <w:ind w:firstLine="708"/>
        <w:jc w:val="both"/>
        <w:rPr>
          <w:lang w:val="de-DE"/>
        </w:rPr>
      </w:pPr>
      <w:r w:rsidRPr="004676F5">
        <w:rPr>
          <w:lang w:val="de-DE"/>
        </w:rPr>
        <w:t xml:space="preserve">[Bei Fortbestehen der in Absatz 1 erwähnten Unzulänglichkeiten kann die FSMA nach Benachrichtigung der in vorhergehendem Absatz erwähnten Aufsichtsbehörde jegliche geeignete Maßnahme gegenüber diesem Vermittler treffen und ihm insbesondere untersagen, </w:t>
      </w:r>
      <w:r w:rsidRPr="004676F5">
        <w:rPr>
          <w:lang w:val="de-DE"/>
        </w:rPr>
        <w:lastRenderedPageBreak/>
        <w:t>in Belgien eine Tätigkeit als Hypothekarkreditvermittler fortzusetzen.]</w:t>
      </w:r>
      <w:r w:rsidR="008343E5" w:rsidRPr="004676F5">
        <w:rPr>
          <w:lang w:val="de-DE"/>
        </w:rPr>
        <w:t xml:space="preserve"> Dieser Beschluss wird dem Vermittler per Einschreiben notifiziert; eine Abschrift wird dem FÖD Wirtschaft zugesandt. Die Europäische Kommission wird unverzüglich von den gemäß vorliegendem Absatz getroffenen Maßnahmen in Kenntnis gesetzt.</w:t>
      </w:r>
    </w:p>
    <w:p w14:paraId="17F47C26" w14:textId="194B6DE9" w:rsidR="00F317BF" w:rsidRPr="004676F5" w:rsidRDefault="00F317BF" w:rsidP="008343E5">
      <w:pPr>
        <w:ind w:firstLine="708"/>
        <w:jc w:val="both"/>
        <w:rPr>
          <w:lang w:val="de-DE"/>
        </w:rPr>
      </w:pPr>
    </w:p>
    <w:p w14:paraId="7DC44EA5" w14:textId="0A6984DC" w:rsidR="00F317BF" w:rsidRPr="004676F5" w:rsidRDefault="00F317BF" w:rsidP="008343E5">
      <w:pPr>
        <w:ind w:firstLine="708"/>
        <w:jc w:val="both"/>
        <w:rPr>
          <w:lang w:val="de-DE"/>
        </w:rPr>
      </w:pPr>
      <w:r w:rsidRPr="004676F5">
        <w:rPr>
          <w:lang w:val="de-DE"/>
        </w:rPr>
        <w:t>[Wenn ein in Artikel VII.183 § 2 erwähnter Kreditvermittler in Belgien Handlungen vornimmt, die gegen belgische Gesetzes</w:t>
      </w:r>
      <w:r w:rsidR="005B7A5C" w:rsidRPr="004676F5">
        <w:rPr>
          <w:lang w:val="de-DE"/>
        </w:rPr>
        <w:t>- </w:t>
      </w:r>
      <w:r w:rsidRPr="004676F5">
        <w:rPr>
          <w:lang w:val="de-DE"/>
        </w:rPr>
        <w:t>oder Verordnungsbestimmungen allgemeinen Interesses, so wie sie in Artikel VII.183 § 3 erwähnt sind, verstoßen, kann die FSMA aus eigener Initiative für Bestimmungen, die in ihren Zuständigkeitsbereich fallen, oder auf Antrag anderer zuständiger Behörden für Bestimmungen, die in deren Zuständigkeitsbereich fallen, die vorhergehenden Absätze zur Anwendung bringen. Die FSMA setzt den FÖD Wirtschaft davon in Kenntnis.]</w:t>
      </w:r>
    </w:p>
    <w:p w14:paraId="184A0703" w14:textId="77777777" w:rsidR="008343E5" w:rsidRPr="004676F5" w:rsidRDefault="008343E5" w:rsidP="008343E5">
      <w:pPr>
        <w:ind w:firstLine="708"/>
        <w:jc w:val="both"/>
        <w:rPr>
          <w:lang w:val="de-DE"/>
        </w:rPr>
      </w:pPr>
    </w:p>
    <w:p w14:paraId="4D8B42DB" w14:textId="41D03D15" w:rsidR="00F317BF" w:rsidRPr="004676F5" w:rsidRDefault="008343E5" w:rsidP="00F317BF">
      <w:pPr>
        <w:ind w:firstLine="708"/>
        <w:jc w:val="both"/>
        <w:rPr>
          <w:lang w:val="de-DE"/>
        </w:rPr>
      </w:pPr>
      <w:r w:rsidRPr="004676F5">
        <w:rPr>
          <w:lang w:val="de-DE"/>
        </w:rPr>
        <w:t>§ 2 </w:t>
      </w:r>
      <w:r w:rsidR="005B7A5C" w:rsidRPr="004676F5">
        <w:rPr>
          <w:lang w:val="de-DE"/>
        </w:rPr>
        <w:t>- </w:t>
      </w:r>
      <w:r w:rsidR="007960CA" w:rsidRPr="004676F5">
        <w:rPr>
          <w:lang w:val="de-DE"/>
        </w:rPr>
        <w:t>[</w:t>
      </w:r>
      <w:r w:rsidR="00F317BF" w:rsidRPr="004676F5">
        <w:rPr>
          <w:lang w:val="de-DE"/>
        </w:rPr>
        <w:t xml:space="preserve">Wenn die FSMA </w:t>
      </w:r>
      <w:r w:rsidR="005B7A5C" w:rsidRPr="004676F5">
        <w:rPr>
          <w:lang w:val="de-DE"/>
        </w:rPr>
        <w:t>- </w:t>
      </w:r>
      <w:r w:rsidR="00F317BF" w:rsidRPr="004676F5">
        <w:rPr>
          <w:lang w:val="de-DE"/>
        </w:rPr>
        <w:t>gegebenenfalls auf der Grundlage einer mit Gründen versehenen Notifizierung des FÖD Wirtschaft </w:t>
      </w:r>
      <w:r w:rsidR="005B7A5C" w:rsidRPr="004676F5">
        <w:rPr>
          <w:lang w:val="de-DE"/>
        </w:rPr>
        <w:t>- </w:t>
      </w:r>
      <w:r w:rsidR="00F317BF" w:rsidRPr="004676F5">
        <w:rPr>
          <w:lang w:val="de-DE"/>
        </w:rPr>
        <w:t>klare und nachweisbare Gründe für die Annahme hat, dass ein in Artikel VII.183 § 2 erwähnter Hypothekarkreditvermittler nach ausländischem Recht Artikel VII.183 § 5</w:t>
      </w:r>
      <w:r w:rsidR="00F317BF" w:rsidRPr="004676F5">
        <w:rPr>
          <w:i/>
          <w:iCs/>
          <w:lang w:val="de-DE"/>
        </w:rPr>
        <w:t>bis</w:t>
      </w:r>
      <w:r w:rsidR="00F317BF" w:rsidRPr="004676F5">
        <w:rPr>
          <w:lang w:val="de-DE"/>
        </w:rPr>
        <w:t xml:space="preserve"> nicht nachkommt oder Verpflichtungen aus Bestimmungen nicht nachkommt, die in Anwendung der Richtlinie 2014/17/ЕU des Europäischen Parlaments und des Rates vom 4. Februar 2014 über Wohnimmobilien</w:t>
      </w:r>
      <w:r w:rsidR="00F317BF" w:rsidRPr="004676F5">
        <w:rPr>
          <w:lang w:val="de-DE"/>
        </w:rPr>
        <w:softHyphen/>
        <w:t>kreditverträge für Verbraucher und zur Änderung der Richtlinien 2008/48/EG und 2013/36/EU und der Verordnung (EU) Nr. 1093/2010 erlassen wurden, sofern diese Bestimmungen den zuständigen Behörden des Aufnahmemitgliedstaats keine Befugnisse verleihen, bringt die FSMA dies der zuständigen Behörde des Herkunftsmitgliedstaats dieses Vermittlers zur Kenntnis und ersucht sie, angemessene Maßnahmen zu treffen.</w:t>
      </w:r>
    </w:p>
    <w:p w14:paraId="7290A099" w14:textId="77777777" w:rsidR="00F317BF" w:rsidRPr="004676F5" w:rsidRDefault="00F317BF" w:rsidP="00F317BF">
      <w:pPr>
        <w:ind w:firstLine="708"/>
        <w:jc w:val="both"/>
        <w:rPr>
          <w:lang w:val="de-DE"/>
        </w:rPr>
      </w:pPr>
    </w:p>
    <w:p w14:paraId="316E1401" w14:textId="77777777" w:rsidR="00F317BF" w:rsidRPr="004676F5" w:rsidRDefault="00F317BF" w:rsidP="00F317BF">
      <w:pPr>
        <w:ind w:firstLine="708"/>
        <w:jc w:val="both"/>
        <w:rPr>
          <w:lang w:val="de-DE"/>
        </w:rPr>
      </w:pPr>
      <w:r w:rsidRPr="004676F5">
        <w:rPr>
          <w:lang w:val="de-DE"/>
        </w:rPr>
        <w:t>Ergreift die Behörde des Herkunftsmitgliedstaats dieses Vermittlers keine Maßnahmen innerhalb eines Monats ab Erhalt der Mitteilung der FSMA oder verhält sich der betreffende Vermittler trotz der von der Behörde des Herkunftsmitgliedstaats getroffenen Maßnahmen weiterhin auf eine Art und Weise, die den Interessen der Verbraucher in Belgien oder dem ordnungsgemäßen Funktionieren der Märkte eindeutig abträglich ist, so kann die FSMA gegebenenfalls auf Stellungnahme des FÖD Wirtschaft:</w:t>
      </w:r>
    </w:p>
    <w:p w14:paraId="67023F1B" w14:textId="77777777" w:rsidR="00F317BF" w:rsidRPr="004676F5" w:rsidRDefault="00F317BF" w:rsidP="00F317BF">
      <w:pPr>
        <w:ind w:firstLine="708"/>
        <w:jc w:val="both"/>
        <w:rPr>
          <w:lang w:val="de-DE"/>
        </w:rPr>
      </w:pPr>
    </w:p>
    <w:p w14:paraId="5C3BD95B" w14:textId="77777777" w:rsidR="00F317BF" w:rsidRPr="004676F5" w:rsidRDefault="00F317BF" w:rsidP="00F317BF">
      <w:pPr>
        <w:ind w:firstLine="708"/>
        <w:jc w:val="both"/>
        <w:rPr>
          <w:lang w:val="de-DE"/>
        </w:rPr>
      </w:pPr>
      <w:r w:rsidRPr="004676F5">
        <w:rPr>
          <w:lang w:val="de-DE"/>
        </w:rPr>
        <w:t>1. nach Unterrichtung der Behörde des Herkunftsmitgliedstaats angemessene Maßnahmen ergreifen, die für den Schutz der Verbraucher und die Erhaltung eines gut funktionierenden Marktes erforderlich sind; sie hat insbesondere die Möglichkeit, dem betreffenden Kreditvermittler die weitere Ausübung von Tätigkeiten auf belgischem Staatsgebiet zu untersagen. Die Europäische Kommission und die Europäische Bankenaufsichtsbehörde werden unverzüglich von diesen Maßnahmen in Kenntnis gesetzt,</w:t>
      </w:r>
    </w:p>
    <w:p w14:paraId="7F0E5D22" w14:textId="77777777" w:rsidR="00F317BF" w:rsidRPr="004676F5" w:rsidRDefault="00F317BF" w:rsidP="00F317BF">
      <w:pPr>
        <w:ind w:firstLine="708"/>
        <w:jc w:val="both"/>
        <w:rPr>
          <w:lang w:val="de-DE"/>
        </w:rPr>
      </w:pPr>
    </w:p>
    <w:p w14:paraId="6AFBCAAA" w14:textId="6517E2D3" w:rsidR="008343E5" w:rsidRPr="004676F5" w:rsidRDefault="00F317BF" w:rsidP="00F317BF">
      <w:pPr>
        <w:ind w:firstLine="708"/>
        <w:jc w:val="both"/>
        <w:rPr>
          <w:lang w:val="de-DE"/>
        </w:rPr>
      </w:pPr>
      <w:r w:rsidRPr="004676F5">
        <w:rPr>
          <w:lang w:val="de-DE"/>
        </w:rPr>
        <w:t>2. die Sache der Europäischen Bankenaufsichtsbehörde vorlegen und um ihren Beistand ersuchen auf der Grundlage von Artikel 19 der Verordnung (EU) Nr. 1093/2010. In diesem Fall kann die Europäische Bankenaufsichtsbehörde gemäß den Befugnissen handeln, die ihr durch diesen Artikel aufgetragen sind.</w:t>
      </w:r>
      <w:r w:rsidR="007960CA" w:rsidRPr="004676F5">
        <w:rPr>
          <w:lang w:val="de-DE"/>
        </w:rPr>
        <w:t>]</w:t>
      </w:r>
    </w:p>
    <w:p w14:paraId="589ACE06" w14:textId="77777777" w:rsidR="008343E5" w:rsidRPr="004676F5" w:rsidRDefault="008343E5" w:rsidP="008343E5">
      <w:pPr>
        <w:ind w:firstLine="708"/>
        <w:jc w:val="both"/>
        <w:rPr>
          <w:lang w:val="de-DE"/>
        </w:rPr>
      </w:pPr>
    </w:p>
    <w:p w14:paraId="01CA7A86" w14:textId="3DEC62C6" w:rsidR="008343E5" w:rsidRPr="004676F5" w:rsidRDefault="008343E5" w:rsidP="00F317BF">
      <w:pPr>
        <w:ind w:firstLine="708"/>
        <w:jc w:val="both"/>
        <w:rPr>
          <w:lang w:val="de-DE"/>
        </w:rPr>
      </w:pPr>
      <w:r w:rsidRPr="004676F5">
        <w:rPr>
          <w:lang w:val="de-DE"/>
        </w:rPr>
        <w:t>§ 3 </w:t>
      </w:r>
      <w:r w:rsidR="005B7A5C" w:rsidRPr="004676F5">
        <w:rPr>
          <w:lang w:val="de-DE"/>
        </w:rPr>
        <w:t>- </w:t>
      </w:r>
      <w:r w:rsidR="00F317BF" w:rsidRPr="004676F5">
        <w:rPr>
          <w:lang w:val="de-DE"/>
        </w:rPr>
        <w:t>[...</w:t>
      </w:r>
      <w:r w:rsidR="00E25F90" w:rsidRPr="004676F5">
        <w:rPr>
          <w:lang w:val="de-DE"/>
        </w:rPr>
        <w:t>]</w:t>
      </w:r>
    </w:p>
    <w:p w14:paraId="4FCB0972" w14:textId="77777777" w:rsidR="00E25F90" w:rsidRPr="004676F5" w:rsidRDefault="00E25F90" w:rsidP="00E25F90">
      <w:pPr>
        <w:jc w:val="both"/>
        <w:rPr>
          <w:lang w:val="de-DE"/>
        </w:rPr>
      </w:pPr>
    </w:p>
    <w:p w14:paraId="3B364A8B" w14:textId="1E3E4017" w:rsidR="007960CA" w:rsidRPr="004676F5" w:rsidRDefault="007960CA" w:rsidP="00E25F90">
      <w:pPr>
        <w:jc w:val="both"/>
        <w:rPr>
          <w:i/>
          <w:lang w:val="de-DE"/>
        </w:rPr>
      </w:pPr>
      <w:r w:rsidRPr="004676F5">
        <w:rPr>
          <w:i/>
          <w:lang w:val="de-DE"/>
        </w:rPr>
        <w:t>[</w:t>
      </w:r>
      <w:r w:rsidR="00BE0A56" w:rsidRPr="004676F5">
        <w:rPr>
          <w:i/>
          <w:lang w:val="de-DE"/>
        </w:rPr>
        <w:t>Art. </w:t>
      </w:r>
      <w:r w:rsidRPr="004676F5">
        <w:rPr>
          <w:i/>
          <w:lang w:val="de-DE"/>
        </w:rPr>
        <w:t xml:space="preserve">XV.68 </w:t>
      </w:r>
      <w:r w:rsidR="00794B7E" w:rsidRPr="004676F5">
        <w:rPr>
          <w:i/>
          <w:lang w:val="de-DE"/>
        </w:rPr>
        <w:t xml:space="preserve">§ 1 Abs. 1 ersetzt durch Art. 38 Nr. 1 </w:t>
      </w:r>
      <w:r w:rsidR="00E967E0" w:rsidRPr="004676F5">
        <w:rPr>
          <w:i/>
          <w:lang w:val="de-DE"/>
        </w:rPr>
        <w:t xml:space="preserve">erster </w:t>
      </w:r>
      <w:r w:rsidR="00794B7E" w:rsidRPr="004676F5">
        <w:rPr>
          <w:i/>
          <w:lang w:val="de-DE"/>
        </w:rPr>
        <w:t xml:space="preserve">Buchstabe a) des G. vom 30. Juli 2018 (II) (B.S. vom 5. September 2018); § 1 neuer Absatz 2 eingefügt durch Art. 38 Nr. 1 </w:t>
      </w:r>
      <w:r w:rsidR="00E967E0" w:rsidRPr="004676F5">
        <w:rPr>
          <w:i/>
          <w:lang w:val="de-DE"/>
        </w:rPr>
        <w:t xml:space="preserve">zweiter </w:t>
      </w:r>
      <w:r w:rsidR="00794B7E" w:rsidRPr="004676F5">
        <w:rPr>
          <w:i/>
          <w:lang w:val="de-DE"/>
        </w:rPr>
        <w:t>Buchstabe </w:t>
      </w:r>
      <w:r w:rsidR="00E967E0" w:rsidRPr="004676F5">
        <w:rPr>
          <w:i/>
          <w:lang w:val="de-DE"/>
        </w:rPr>
        <w:t>a</w:t>
      </w:r>
      <w:r w:rsidR="00794B7E" w:rsidRPr="004676F5">
        <w:rPr>
          <w:i/>
          <w:lang w:val="de-DE"/>
        </w:rPr>
        <w:t>)</w:t>
      </w:r>
      <w:r w:rsidR="00E967E0" w:rsidRPr="004676F5">
        <w:rPr>
          <w:i/>
          <w:lang w:val="de-DE"/>
        </w:rPr>
        <w:t xml:space="preserve"> des G. vom 30. Juli 2018 (II) (B.S. vom 5. September 2018); § 1 </w:t>
      </w:r>
      <w:r w:rsidR="00615CDD" w:rsidRPr="004676F5">
        <w:rPr>
          <w:i/>
          <w:lang w:val="de-DE"/>
        </w:rPr>
        <w:t xml:space="preserve">Abs. 3 abgeändert durch Art. 38 Nr. 1 erster Buchstabe b) des G. vom 30. Juli 2018 (II) (B.S. </w:t>
      </w:r>
      <w:r w:rsidR="00615CDD" w:rsidRPr="004676F5">
        <w:rPr>
          <w:i/>
          <w:lang w:val="de-DE"/>
        </w:rPr>
        <w:lastRenderedPageBreak/>
        <w:t xml:space="preserve">vom 5. September 2018); § 1 Abs. 4 eingefügt durch Art. 38 Nr. 1 zweiter Buchstabe b) des G. vom 30. Juli 2018 (II) (B.S. vom 5. September 2018); </w:t>
      </w:r>
      <w:r w:rsidRPr="004676F5">
        <w:rPr>
          <w:i/>
          <w:lang w:val="de-DE"/>
        </w:rPr>
        <w:t xml:space="preserve">§ 2 ersetzt durch </w:t>
      </w:r>
      <w:r w:rsidR="00BE0A56" w:rsidRPr="004676F5">
        <w:rPr>
          <w:i/>
          <w:lang w:val="de-DE"/>
        </w:rPr>
        <w:t>Art. </w:t>
      </w:r>
      <w:r w:rsidR="00F317BF" w:rsidRPr="004676F5">
        <w:rPr>
          <w:i/>
          <w:lang w:val="de-DE"/>
        </w:rPr>
        <w:t>38 Nr. 2 des G. vom 30. Juli 2018 (II) (B.S. vom 5. September 2018); § 3 implizit aufgehoben durch Art. 38 Nr. 2 des G. vom 30. Juli 2018 (II) (B.S. vom 5. September 2018)</w:t>
      </w:r>
      <w:r w:rsidRPr="004676F5">
        <w:rPr>
          <w:i/>
          <w:lang w:val="de-DE"/>
        </w:rPr>
        <w:t>]</w:t>
      </w:r>
    </w:p>
    <w:p w14:paraId="2CD685D9" w14:textId="77777777" w:rsidR="00664554" w:rsidRPr="004676F5" w:rsidRDefault="00664554" w:rsidP="00BA2266">
      <w:pPr>
        <w:jc w:val="both"/>
        <w:rPr>
          <w:lang w:val="de-DE"/>
        </w:rPr>
      </w:pPr>
    </w:p>
    <w:p w14:paraId="46767DDF" w14:textId="77777777" w:rsidR="00BA0DA1" w:rsidRDefault="00BA0DA1">
      <w:pPr>
        <w:rPr>
          <w:b/>
          <w:lang w:val="de-DE"/>
        </w:rPr>
      </w:pPr>
      <w:r>
        <w:rPr>
          <w:b/>
          <w:lang w:val="de-DE"/>
        </w:rPr>
        <w:br w:type="page"/>
      </w:r>
    </w:p>
    <w:p w14:paraId="4AC7C06F" w14:textId="77777777" w:rsidR="00BA0DA1" w:rsidRDefault="00BA0DA1" w:rsidP="00BA0DA1">
      <w:pPr>
        <w:jc w:val="center"/>
        <w:rPr>
          <w:iCs/>
          <w:lang w:val="de-DE"/>
        </w:rPr>
      </w:pPr>
      <w:r>
        <w:rPr>
          <w:iCs/>
          <w:lang w:val="de-DE"/>
        </w:rPr>
        <w:lastRenderedPageBreak/>
        <w:t>[</w:t>
      </w:r>
      <w:r>
        <w:rPr>
          <w:lang w:val="de-DE"/>
        </w:rPr>
        <w:t>KAPITEL</w:t>
      </w:r>
      <w:r w:rsidRPr="00285483">
        <w:rPr>
          <w:lang w:val="de-DE"/>
        </w:rPr>
        <w:t xml:space="preserve"> 4 - </w:t>
      </w:r>
      <w:r w:rsidRPr="00BA0DA1">
        <w:rPr>
          <w:i/>
          <w:iCs/>
          <w:lang w:val="de-DE"/>
        </w:rPr>
        <w:t>Streichungen und andere Abhilfemaßnahmen im Rahmen von Buch XII</w:t>
      </w:r>
      <w:r>
        <w:rPr>
          <w:iCs/>
          <w:lang w:val="de-DE"/>
        </w:rPr>
        <w:t>]</w:t>
      </w:r>
    </w:p>
    <w:p w14:paraId="6C2E35CB" w14:textId="77777777" w:rsidR="00BA0DA1" w:rsidRDefault="00BA0DA1" w:rsidP="00BA0DA1">
      <w:pPr>
        <w:jc w:val="both"/>
        <w:rPr>
          <w:iCs/>
          <w:lang w:val="de-DE"/>
        </w:rPr>
      </w:pPr>
    </w:p>
    <w:p w14:paraId="43D293EC" w14:textId="77777777" w:rsidR="00BA0DA1" w:rsidRDefault="00BA0DA1" w:rsidP="00BA0DA1">
      <w:pPr>
        <w:jc w:val="both"/>
        <w:rPr>
          <w:iCs/>
          <w:lang w:val="de-DE"/>
        </w:rPr>
      </w:pPr>
      <w:r>
        <w:rPr>
          <w:i/>
          <w:lang w:val="de-DE"/>
        </w:rPr>
        <w:t>[Unterteilung Kapitel 4 eingefügt durch Art. 32 des G. vom 15. Mai 2024 (B.S. vom 7. Juni 2024)]</w:t>
      </w:r>
    </w:p>
    <w:p w14:paraId="0081A339" w14:textId="77777777" w:rsidR="00BA0DA1" w:rsidRDefault="00BA0DA1" w:rsidP="00BA0DA1">
      <w:pPr>
        <w:jc w:val="both"/>
        <w:rPr>
          <w:iCs/>
          <w:lang w:val="de-DE"/>
        </w:rPr>
      </w:pPr>
    </w:p>
    <w:p w14:paraId="085F770F" w14:textId="77777777" w:rsidR="00BA0DA1" w:rsidRDefault="00BA0DA1" w:rsidP="00BA0DA1">
      <w:pPr>
        <w:jc w:val="both"/>
        <w:rPr>
          <w:iCs/>
          <w:lang w:val="de-DE"/>
        </w:rPr>
      </w:pPr>
    </w:p>
    <w:p w14:paraId="51673A83" w14:textId="77777777" w:rsidR="00BA0DA1" w:rsidRDefault="00BA0DA1" w:rsidP="00BA0DA1">
      <w:pPr>
        <w:jc w:val="center"/>
        <w:rPr>
          <w:iCs/>
          <w:lang w:val="de-DE"/>
        </w:rPr>
      </w:pPr>
      <w:r>
        <w:rPr>
          <w:iCs/>
          <w:lang w:val="de-DE"/>
        </w:rPr>
        <w:t>[</w:t>
      </w:r>
      <w:r w:rsidRPr="00BA0DA1">
        <w:rPr>
          <w:i/>
          <w:iCs/>
          <w:lang w:val="de-DE"/>
        </w:rPr>
        <w:t>Abschnitt 1</w:t>
      </w:r>
      <w:r w:rsidRPr="00285483">
        <w:rPr>
          <w:lang w:val="de-DE"/>
        </w:rPr>
        <w:t> - Streichung aus dem öffentlichen Register der Anbieter von Datenvermittlungsdiensten in der Europäischen Union</w:t>
      </w:r>
      <w:r>
        <w:rPr>
          <w:iCs/>
          <w:lang w:val="de-DE"/>
        </w:rPr>
        <w:t>]</w:t>
      </w:r>
    </w:p>
    <w:p w14:paraId="003CA48C" w14:textId="77777777" w:rsidR="00BA0DA1" w:rsidRDefault="00BA0DA1" w:rsidP="00BA0DA1">
      <w:pPr>
        <w:jc w:val="both"/>
        <w:rPr>
          <w:iCs/>
          <w:lang w:val="de-DE"/>
        </w:rPr>
      </w:pPr>
    </w:p>
    <w:p w14:paraId="31814EB3" w14:textId="77777777" w:rsidR="00BA0DA1" w:rsidRDefault="00BA0DA1" w:rsidP="00BA0DA1">
      <w:pPr>
        <w:jc w:val="both"/>
        <w:rPr>
          <w:iCs/>
          <w:lang w:val="de-DE"/>
        </w:rPr>
      </w:pPr>
      <w:r>
        <w:rPr>
          <w:i/>
          <w:lang w:val="de-DE"/>
        </w:rPr>
        <w:t>[Unterteilung Abschnitt 1 eingefügt durch Art. 33 des G. vom 15. Mai 2024 (B.S. vom 7. Juni 2024)]</w:t>
      </w:r>
    </w:p>
    <w:p w14:paraId="48B4F994" w14:textId="77777777" w:rsidR="00BA0DA1" w:rsidRDefault="00BA0DA1" w:rsidP="00BA0DA1">
      <w:pPr>
        <w:jc w:val="both"/>
        <w:rPr>
          <w:iCs/>
          <w:lang w:val="de-DE"/>
        </w:rPr>
      </w:pPr>
    </w:p>
    <w:p w14:paraId="61D76EBE" w14:textId="77777777" w:rsidR="00BA0DA1" w:rsidRDefault="00BA0DA1" w:rsidP="00BA0DA1">
      <w:pPr>
        <w:jc w:val="both"/>
        <w:rPr>
          <w:iCs/>
          <w:lang w:val="de-DE"/>
        </w:rPr>
      </w:pPr>
    </w:p>
    <w:p w14:paraId="20C04FE8" w14:textId="77777777" w:rsidR="00BA0DA1" w:rsidRPr="00285483" w:rsidRDefault="00BA0DA1" w:rsidP="00BA0DA1">
      <w:pPr>
        <w:jc w:val="both"/>
        <w:rPr>
          <w:lang w:val="de-DE"/>
        </w:rPr>
      </w:pPr>
      <w:r>
        <w:rPr>
          <w:iCs/>
          <w:lang w:val="de-DE"/>
        </w:rPr>
        <w:tab/>
        <w:t>[</w:t>
      </w:r>
      <w:r w:rsidRPr="00BA0DA1">
        <w:rPr>
          <w:b/>
          <w:bCs/>
          <w:lang w:val="de-DE"/>
        </w:rPr>
        <w:t>Art. XV.68/1</w:t>
      </w:r>
      <w:r w:rsidRPr="00285483">
        <w:rPr>
          <w:lang w:val="de-DE"/>
        </w:rPr>
        <w:t> - Wenn die in den Artikeln XII.40 und XII.41 aufgezählten Bedingungen nicht erfüllt sind, können die in Artikel XV.66/8 § 2 erwähnten zuständigen Bediensteten die Streichung aus dem öffentlichen Register der in der Europäischen Union anerkannten Anbieter von Datenvermittlungsdiensten beschließen, sobald sie gemäß Artikel XV.66/8 § 3 Absatz 1 Nr. 2 die Einstellung der Datenvermittlungstätigkeit angeordnet haben. Dieselben Bediensteten setzen das Eintragungsorgan davon in Kenntnis, damit die Information an die Europäische Kommission weitergeleitet werden kann.</w:t>
      </w:r>
    </w:p>
    <w:p w14:paraId="0CC64BCE" w14:textId="77777777" w:rsidR="00BA0DA1" w:rsidRPr="00285483" w:rsidRDefault="00BA0DA1" w:rsidP="00BA0DA1">
      <w:pPr>
        <w:jc w:val="both"/>
        <w:rPr>
          <w:lang w:val="de-DE"/>
        </w:rPr>
      </w:pPr>
    </w:p>
    <w:p w14:paraId="2E56CD1E" w14:textId="77777777" w:rsidR="00BA0DA1" w:rsidRDefault="00BA0DA1" w:rsidP="00BA0DA1">
      <w:pPr>
        <w:jc w:val="both"/>
        <w:rPr>
          <w:iCs/>
          <w:lang w:val="de-DE"/>
        </w:rPr>
      </w:pPr>
      <w:r w:rsidRPr="00285483">
        <w:rPr>
          <w:lang w:val="de-DE"/>
        </w:rPr>
        <w:tab/>
        <w:t>Beseitigt der Anbieter von Datenvermittlungsdiensten die Verstöße, setzt dieser Anbieter von Datenvermittlungsdiensten die in Artikel XV.66/8 § 2 erwähnten zuständigen Bediensteten davon in Kenntnis. Dieselben Bediensteten setzen das Eintragungsorgan davon in Kenntnis, damit die Information an die Europäische Kommission weitergeleitet werden kann.</w:t>
      </w:r>
      <w:r>
        <w:rPr>
          <w:iCs/>
          <w:lang w:val="de-DE"/>
        </w:rPr>
        <w:t>]</w:t>
      </w:r>
    </w:p>
    <w:p w14:paraId="5307C2FA" w14:textId="77777777" w:rsidR="00BA0DA1" w:rsidRDefault="00BA0DA1" w:rsidP="00BA0DA1">
      <w:pPr>
        <w:jc w:val="both"/>
        <w:rPr>
          <w:iCs/>
          <w:lang w:val="de-DE"/>
        </w:rPr>
      </w:pPr>
    </w:p>
    <w:p w14:paraId="6BCFCACF" w14:textId="5489B5F7" w:rsidR="00BA0DA1" w:rsidRDefault="00BA0DA1" w:rsidP="00BA0DA1">
      <w:pPr>
        <w:jc w:val="both"/>
        <w:rPr>
          <w:iCs/>
          <w:lang w:val="de-DE"/>
        </w:rPr>
      </w:pPr>
      <w:r>
        <w:rPr>
          <w:i/>
          <w:lang w:val="de-DE"/>
        </w:rPr>
        <w:t>[Art. XV.6</w:t>
      </w:r>
      <w:r w:rsidR="007B13F4">
        <w:rPr>
          <w:i/>
          <w:lang w:val="de-DE"/>
        </w:rPr>
        <w:t>8</w:t>
      </w:r>
      <w:r>
        <w:rPr>
          <w:i/>
          <w:lang w:val="de-DE"/>
        </w:rPr>
        <w:t>/1 eingefügt durch Art. 3</w:t>
      </w:r>
      <w:r w:rsidR="007B13F4">
        <w:rPr>
          <w:i/>
          <w:lang w:val="de-DE"/>
        </w:rPr>
        <w:t>4</w:t>
      </w:r>
      <w:r>
        <w:rPr>
          <w:i/>
          <w:lang w:val="de-DE"/>
        </w:rPr>
        <w:t xml:space="preserve"> des G. vom 15. Mai 2024 (B.S. vom 7. Juni 2024)]</w:t>
      </w:r>
    </w:p>
    <w:p w14:paraId="78D3D873" w14:textId="77777777" w:rsidR="007B13F4" w:rsidRDefault="007B13F4" w:rsidP="00BA0DA1">
      <w:pPr>
        <w:jc w:val="both"/>
        <w:rPr>
          <w:iCs/>
          <w:lang w:val="de-DE"/>
        </w:rPr>
      </w:pPr>
    </w:p>
    <w:p w14:paraId="5D6F04EE" w14:textId="77777777" w:rsidR="007B13F4" w:rsidRDefault="007B13F4" w:rsidP="00BA0DA1">
      <w:pPr>
        <w:jc w:val="both"/>
        <w:rPr>
          <w:iCs/>
          <w:lang w:val="de-DE"/>
        </w:rPr>
      </w:pPr>
    </w:p>
    <w:p w14:paraId="0111C9BF" w14:textId="573C96AB" w:rsidR="007B13F4" w:rsidRDefault="007B13F4" w:rsidP="007B13F4">
      <w:pPr>
        <w:jc w:val="center"/>
        <w:rPr>
          <w:iCs/>
          <w:lang w:val="de-DE"/>
        </w:rPr>
      </w:pPr>
      <w:r>
        <w:rPr>
          <w:iCs/>
          <w:lang w:val="de-DE"/>
        </w:rPr>
        <w:t>[</w:t>
      </w:r>
      <w:r w:rsidRPr="007B13F4">
        <w:rPr>
          <w:i/>
          <w:iCs/>
          <w:lang w:val="de-DE"/>
        </w:rPr>
        <w:t>Abschnitt 2</w:t>
      </w:r>
      <w:r w:rsidRPr="00285483">
        <w:rPr>
          <w:lang w:val="de-DE"/>
        </w:rPr>
        <w:t> - Streichung aus dem öffentlichen nationalen Register der datenaltruistischen Organisationen</w:t>
      </w:r>
      <w:r>
        <w:rPr>
          <w:iCs/>
          <w:lang w:val="de-DE"/>
        </w:rPr>
        <w:t>]</w:t>
      </w:r>
    </w:p>
    <w:p w14:paraId="0BC6BECE" w14:textId="77777777" w:rsidR="007B13F4" w:rsidRDefault="007B13F4" w:rsidP="00BA0DA1">
      <w:pPr>
        <w:jc w:val="both"/>
        <w:rPr>
          <w:iCs/>
          <w:lang w:val="de-DE"/>
        </w:rPr>
      </w:pPr>
    </w:p>
    <w:p w14:paraId="2E024A20" w14:textId="56341442" w:rsidR="007B13F4" w:rsidRDefault="007B13F4" w:rsidP="00BA0DA1">
      <w:pPr>
        <w:jc w:val="both"/>
        <w:rPr>
          <w:iCs/>
          <w:lang w:val="de-DE"/>
        </w:rPr>
      </w:pPr>
      <w:r>
        <w:rPr>
          <w:i/>
          <w:lang w:val="de-DE"/>
        </w:rPr>
        <w:t>[Unterteilung Abschnitt 2 eingefügt durch Art. 35 des G. vom 15. Mai 2024 (B.S. vom 7. Juni 2024)]</w:t>
      </w:r>
    </w:p>
    <w:p w14:paraId="6CAE96A0" w14:textId="77777777" w:rsidR="007B13F4" w:rsidRDefault="007B13F4" w:rsidP="00BA0DA1">
      <w:pPr>
        <w:jc w:val="both"/>
        <w:rPr>
          <w:iCs/>
          <w:lang w:val="de-DE"/>
        </w:rPr>
      </w:pPr>
    </w:p>
    <w:p w14:paraId="144010B0" w14:textId="77777777" w:rsidR="007B13F4" w:rsidRDefault="007B13F4" w:rsidP="00BA0DA1">
      <w:pPr>
        <w:jc w:val="both"/>
        <w:rPr>
          <w:iCs/>
          <w:lang w:val="de-DE"/>
        </w:rPr>
      </w:pPr>
    </w:p>
    <w:p w14:paraId="3D9F03B3" w14:textId="77777777" w:rsidR="00357639" w:rsidRPr="00285483" w:rsidRDefault="00357639" w:rsidP="00357639">
      <w:pPr>
        <w:jc w:val="both"/>
        <w:rPr>
          <w:lang w:val="de-DE"/>
        </w:rPr>
      </w:pPr>
      <w:r>
        <w:rPr>
          <w:iCs/>
          <w:lang w:val="de-DE"/>
        </w:rPr>
        <w:tab/>
        <w:t>[</w:t>
      </w:r>
      <w:r w:rsidRPr="00357639">
        <w:rPr>
          <w:b/>
          <w:bCs/>
          <w:lang w:val="de-DE"/>
        </w:rPr>
        <w:t>Art. XV.68/2</w:t>
      </w:r>
      <w:r w:rsidRPr="00285483">
        <w:rPr>
          <w:lang w:val="de-DE"/>
        </w:rPr>
        <w:t> - Wenn die in Artikel XII.43 aufgezählten Bedingungen nicht oder nicht mehr erfüllt sind, kann die Registrierung durch die in Artikel XV.66/8 § 2 erwähnten zuständigen Bediensteten gestrichen werden. Diese Bediensteten setzen das Eintragungsorgan davon in Kenntnis, damit die Information an die Europäische Kommission weitergeleitet werden kann.</w:t>
      </w:r>
    </w:p>
    <w:p w14:paraId="185DACF1" w14:textId="77777777" w:rsidR="00357639" w:rsidRPr="00285483" w:rsidRDefault="00357639" w:rsidP="00357639">
      <w:pPr>
        <w:jc w:val="both"/>
        <w:rPr>
          <w:lang w:val="de-DE"/>
        </w:rPr>
      </w:pPr>
    </w:p>
    <w:p w14:paraId="68CCC4B4" w14:textId="5CC054E4" w:rsidR="007B13F4" w:rsidRDefault="00357639" w:rsidP="00357639">
      <w:pPr>
        <w:jc w:val="both"/>
        <w:rPr>
          <w:iCs/>
          <w:lang w:val="de-DE"/>
        </w:rPr>
      </w:pPr>
      <w:r w:rsidRPr="00285483">
        <w:rPr>
          <w:lang w:val="de-DE"/>
        </w:rPr>
        <w:tab/>
        <w:t>Die Streichung aus dem öffentlichen nationalen Register wird ab dem dritten Tag nach der Notifizierung per Einschreibesendung mit Rückschein an den Betreffenden wirksam.</w:t>
      </w:r>
      <w:r>
        <w:rPr>
          <w:iCs/>
          <w:lang w:val="de-DE"/>
        </w:rPr>
        <w:t>]</w:t>
      </w:r>
    </w:p>
    <w:p w14:paraId="5FFDDA20" w14:textId="77777777" w:rsidR="00357639" w:rsidRDefault="00357639" w:rsidP="00BA0DA1">
      <w:pPr>
        <w:jc w:val="both"/>
        <w:rPr>
          <w:iCs/>
          <w:lang w:val="de-DE"/>
        </w:rPr>
      </w:pPr>
    </w:p>
    <w:p w14:paraId="7DBD9C99" w14:textId="44294595" w:rsidR="00357639" w:rsidRDefault="00357639" w:rsidP="00BA0DA1">
      <w:pPr>
        <w:jc w:val="both"/>
        <w:rPr>
          <w:iCs/>
          <w:lang w:val="de-DE"/>
        </w:rPr>
      </w:pPr>
      <w:r>
        <w:rPr>
          <w:i/>
          <w:lang w:val="de-DE"/>
        </w:rPr>
        <w:t>[Art. XV.68/2 eingefügt durch Art. 36 des G. vom 15. Mai 2024 (B.S. vom 7. Juni 2024)]</w:t>
      </w:r>
    </w:p>
    <w:p w14:paraId="640D4163" w14:textId="77777777" w:rsidR="00357639" w:rsidRDefault="00357639" w:rsidP="00BA0DA1">
      <w:pPr>
        <w:jc w:val="both"/>
        <w:rPr>
          <w:iCs/>
          <w:lang w:val="de-DE"/>
        </w:rPr>
      </w:pPr>
    </w:p>
    <w:p w14:paraId="6CE6D36E" w14:textId="77777777" w:rsidR="00DF13B5" w:rsidRDefault="00DF13B5" w:rsidP="00BA0DA1">
      <w:pPr>
        <w:jc w:val="both"/>
        <w:rPr>
          <w:iCs/>
          <w:lang w:val="de-DE"/>
        </w:rPr>
      </w:pPr>
    </w:p>
    <w:p w14:paraId="3CD99705" w14:textId="0B39E0EC" w:rsidR="00664554" w:rsidRPr="004676F5" w:rsidRDefault="00664554">
      <w:pPr>
        <w:rPr>
          <w:b/>
          <w:lang w:val="de-DE"/>
        </w:rPr>
      </w:pPr>
      <w:r w:rsidRPr="004676F5">
        <w:rPr>
          <w:b/>
          <w:lang w:val="de-DE"/>
        </w:rPr>
        <w:br w:type="page"/>
      </w:r>
    </w:p>
    <w:p w14:paraId="028375B5" w14:textId="082B72D0" w:rsidR="00BA2266" w:rsidRPr="004676F5" w:rsidRDefault="00BA2266" w:rsidP="00BA2266">
      <w:pPr>
        <w:jc w:val="center"/>
        <w:rPr>
          <w:b/>
          <w:i/>
          <w:lang w:val="de-DE"/>
        </w:rPr>
      </w:pPr>
      <w:r w:rsidRPr="004676F5">
        <w:rPr>
          <w:b/>
          <w:lang w:val="de-DE"/>
        </w:rPr>
        <w:lastRenderedPageBreak/>
        <w:t>TITEL 3 </w:t>
      </w:r>
      <w:r w:rsidR="005B7A5C" w:rsidRPr="004676F5">
        <w:rPr>
          <w:b/>
          <w:lang w:val="de-DE"/>
        </w:rPr>
        <w:t>- </w:t>
      </w:r>
      <w:r w:rsidRPr="004676F5">
        <w:rPr>
          <w:b/>
          <w:i/>
          <w:lang w:val="de-DE"/>
        </w:rPr>
        <w:t>Strafrechtliche Durchsetzung des vorliegenden Gesetzbuches und seiner Ausführungserlasse</w:t>
      </w:r>
    </w:p>
    <w:p w14:paraId="084760E5" w14:textId="77777777" w:rsidR="00BA2266" w:rsidRPr="004676F5" w:rsidRDefault="00BA2266" w:rsidP="00BA2266">
      <w:pPr>
        <w:jc w:val="both"/>
        <w:rPr>
          <w:lang w:val="de-DE"/>
        </w:rPr>
      </w:pPr>
    </w:p>
    <w:p w14:paraId="355CF741" w14:textId="77777777" w:rsidR="00664554" w:rsidRPr="004676F5" w:rsidRDefault="00664554" w:rsidP="00BA2266">
      <w:pPr>
        <w:jc w:val="both"/>
        <w:rPr>
          <w:lang w:val="de-DE"/>
        </w:rPr>
      </w:pPr>
    </w:p>
    <w:p w14:paraId="4A863CB7" w14:textId="0AA93BED" w:rsidR="00BA2266" w:rsidRPr="004676F5" w:rsidRDefault="00BA2266" w:rsidP="00BA2266">
      <w:pPr>
        <w:jc w:val="center"/>
        <w:rPr>
          <w:lang w:val="de-DE"/>
        </w:rPr>
      </w:pPr>
      <w:r w:rsidRPr="004676F5">
        <w:rPr>
          <w:lang w:val="de-DE"/>
        </w:rPr>
        <w:t>KAPITEL 1 </w:t>
      </w:r>
      <w:r w:rsidR="005B7A5C" w:rsidRPr="004676F5">
        <w:rPr>
          <w:lang w:val="de-DE"/>
        </w:rPr>
        <w:t>- </w:t>
      </w:r>
      <w:r w:rsidRPr="004676F5">
        <w:rPr>
          <w:i/>
          <w:lang w:val="de-DE"/>
        </w:rPr>
        <w:t>Allgemeine Bestimmungen</w:t>
      </w:r>
    </w:p>
    <w:p w14:paraId="1AD40758" w14:textId="77777777" w:rsidR="00BA2266" w:rsidRPr="004676F5" w:rsidRDefault="00BA2266" w:rsidP="00BA2266">
      <w:pPr>
        <w:rPr>
          <w:lang w:val="de-DE"/>
        </w:rPr>
      </w:pPr>
    </w:p>
    <w:p w14:paraId="532A8872" w14:textId="77777777" w:rsidR="00664554" w:rsidRPr="004676F5" w:rsidRDefault="00664554" w:rsidP="00BA2266">
      <w:pPr>
        <w:ind w:firstLine="708"/>
        <w:jc w:val="both"/>
        <w:rPr>
          <w:lang w:val="de-DE"/>
        </w:rPr>
      </w:pPr>
    </w:p>
    <w:p w14:paraId="21C15036" w14:textId="78AC6228" w:rsidR="00BA2266" w:rsidRPr="004676F5" w:rsidRDefault="00BE0A56" w:rsidP="00BA2266">
      <w:pPr>
        <w:ind w:firstLine="708"/>
        <w:jc w:val="both"/>
        <w:rPr>
          <w:lang w:val="de-DE"/>
        </w:rPr>
      </w:pPr>
      <w:r w:rsidRPr="004676F5">
        <w:rPr>
          <w:b/>
          <w:lang w:val="de-DE"/>
        </w:rPr>
        <w:t>Art. </w:t>
      </w:r>
      <w:r w:rsidR="00BA2266" w:rsidRPr="004676F5">
        <w:rPr>
          <w:b/>
          <w:lang w:val="de-DE"/>
        </w:rPr>
        <w:t>XV.69</w:t>
      </w:r>
      <w:r w:rsidR="00BA2266" w:rsidRPr="004676F5">
        <w:rPr>
          <w:lang w:val="de-DE"/>
        </w:rPr>
        <w:t> </w:t>
      </w:r>
      <w:r w:rsidR="005B7A5C" w:rsidRPr="004676F5">
        <w:rPr>
          <w:lang w:val="de-DE"/>
        </w:rPr>
        <w:t>- </w:t>
      </w:r>
      <w:r w:rsidR="00BA2266" w:rsidRPr="004676F5">
        <w:rPr>
          <w:lang w:val="de-DE"/>
        </w:rPr>
        <w:t xml:space="preserve">Die Bestimmungen von Buch I des Strafgesetzbuches </w:t>
      </w:r>
      <w:r w:rsidR="00102782" w:rsidRPr="004676F5">
        <w:rPr>
          <w:lang w:val="de-DE"/>
        </w:rPr>
        <w:t xml:space="preserve">[einschließlich Kapitel VII und Artikel 85] </w:t>
      </w:r>
      <w:r w:rsidR="00BA2266" w:rsidRPr="004676F5">
        <w:rPr>
          <w:lang w:val="de-DE"/>
        </w:rPr>
        <w:t>finden vorbehaltlich der Anwendung der nachfolgenden Sonderbestimmungen Anwendung auf die im vorliegenden Gesetzbuch erwähnten Verstöße.</w:t>
      </w:r>
    </w:p>
    <w:p w14:paraId="102EF672" w14:textId="77777777" w:rsidR="00BA2266" w:rsidRPr="004676F5" w:rsidRDefault="00BA2266" w:rsidP="00BA2266">
      <w:pPr>
        <w:jc w:val="both"/>
        <w:rPr>
          <w:lang w:val="de-DE"/>
        </w:rPr>
      </w:pPr>
    </w:p>
    <w:p w14:paraId="74B12A2F" w14:textId="1FD989DD" w:rsidR="00102782" w:rsidRPr="004676F5" w:rsidRDefault="00102782" w:rsidP="00BA2266">
      <w:pPr>
        <w:jc w:val="both"/>
        <w:rPr>
          <w:i/>
          <w:lang w:val="de-DE"/>
        </w:rPr>
      </w:pPr>
      <w:r w:rsidRPr="004676F5">
        <w:rPr>
          <w:i/>
          <w:lang w:val="de-DE"/>
        </w:rPr>
        <w:t>[</w:t>
      </w:r>
      <w:r w:rsidR="00BE0A56" w:rsidRPr="004676F5">
        <w:rPr>
          <w:i/>
          <w:lang w:val="de-DE"/>
        </w:rPr>
        <w:t>Art. </w:t>
      </w:r>
      <w:r w:rsidRPr="004676F5">
        <w:rPr>
          <w:i/>
          <w:lang w:val="de-DE"/>
        </w:rPr>
        <w:t xml:space="preserve">XV.69 abgeändert durch </w:t>
      </w:r>
      <w:r w:rsidR="00BE0A56" w:rsidRPr="004676F5">
        <w:rPr>
          <w:i/>
          <w:lang w:val="de-DE"/>
        </w:rPr>
        <w:t>Art. </w:t>
      </w:r>
      <w:r w:rsidRPr="004676F5">
        <w:rPr>
          <w:i/>
          <w:lang w:val="de-DE"/>
        </w:rPr>
        <w:t>60</w:t>
      </w:r>
      <w:r w:rsidRPr="004676F5">
        <w:rPr>
          <w:i/>
          <w:iCs/>
          <w:lang w:val="de-DE"/>
        </w:rPr>
        <w:t xml:space="preserve"> </w:t>
      </w:r>
      <w:r w:rsidRPr="004676F5">
        <w:rPr>
          <w:i/>
          <w:lang w:val="de-DE"/>
        </w:rPr>
        <w:t>des G. vom 26. Oktober 2015 (B.S. vom 30. Oktober 2015)]</w:t>
      </w:r>
    </w:p>
    <w:p w14:paraId="4BAC44CF" w14:textId="77777777" w:rsidR="00102782" w:rsidRPr="004676F5" w:rsidRDefault="00102782" w:rsidP="00BA2266">
      <w:pPr>
        <w:jc w:val="both"/>
        <w:rPr>
          <w:iCs/>
          <w:lang w:val="de-DE"/>
        </w:rPr>
      </w:pPr>
    </w:p>
    <w:p w14:paraId="34CD67B8" w14:textId="77777777" w:rsidR="005437EE" w:rsidRPr="004676F5" w:rsidRDefault="005437EE" w:rsidP="00BA2266">
      <w:pPr>
        <w:jc w:val="both"/>
        <w:rPr>
          <w:iCs/>
          <w:lang w:val="de-DE"/>
        </w:rPr>
      </w:pPr>
    </w:p>
    <w:p w14:paraId="1CAA13E9" w14:textId="0E70EBC9" w:rsidR="005437EE" w:rsidRPr="004676F5" w:rsidRDefault="005437EE" w:rsidP="005437EE">
      <w:pPr>
        <w:jc w:val="both"/>
        <w:rPr>
          <w:sz w:val="20"/>
          <w:szCs w:val="20"/>
          <w:lang w:val="de-DE"/>
        </w:rPr>
      </w:pPr>
      <w:r w:rsidRPr="004676F5">
        <w:rPr>
          <w:sz w:val="20"/>
          <w:szCs w:val="20"/>
          <w:lang w:val="de-DE"/>
        </w:rPr>
        <w:t>Ab dem 8. April 2026 (gemäß Art. 38 des G. vom 29. Februar 2024</w:t>
      </w:r>
      <w:r w:rsidR="00CE5BB7" w:rsidRPr="004676F5">
        <w:rPr>
          <w:sz w:val="20"/>
          <w:szCs w:val="20"/>
          <w:lang w:val="de-DE"/>
        </w:rPr>
        <w:t> </w:t>
      </w:r>
      <w:r w:rsidR="00CE5BB7" w:rsidRPr="004676F5">
        <w:rPr>
          <w:i/>
          <w:iCs/>
          <w:sz w:val="20"/>
          <w:szCs w:val="20"/>
          <w:lang w:val="de-DE"/>
        </w:rPr>
        <w:t>(I)</w:t>
      </w:r>
      <w:r w:rsidRPr="004676F5">
        <w:rPr>
          <w:sz w:val="20"/>
          <w:szCs w:val="20"/>
          <w:lang w:val="de-DE"/>
        </w:rPr>
        <w:t xml:space="preserve"> (B.S. vom 8. April 2024)) lautet Art. XV.69 wie folgt:</w:t>
      </w:r>
    </w:p>
    <w:p w14:paraId="43CA81D3" w14:textId="77777777" w:rsidR="005437EE" w:rsidRPr="004676F5" w:rsidRDefault="005437EE" w:rsidP="005437EE">
      <w:pPr>
        <w:rPr>
          <w:sz w:val="20"/>
          <w:szCs w:val="20"/>
          <w:lang w:val="de-DE"/>
        </w:rPr>
      </w:pPr>
    </w:p>
    <w:p w14:paraId="31DE8A06" w14:textId="3EEC3DEB" w:rsidR="005437EE" w:rsidRPr="004676F5" w:rsidRDefault="005437EE" w:rsidP="005437EE">
      <w:pPr>
        <w:jc w:val="both"/>
        <w:rPr>
          <w:sz w:val="20"/>
          <w:szCs w:val="20"/>
          <w:lang w:val="de-DE"/>
        </w:rPr>
      </w:pPr>
      <w:r w:rsidRPr="004676F5">
        <w:rPr>
          <w:sz w:val="20"/>
          <w:szCs w:val="20"/>
          <w:lang w:val="de-DE"/>
        </w:rPr>
        <w:t>"</w:t>
      </w:r>
      <w:r w:rsidRPr="004676F5">
        <w:rPr>
          <w:bCs/>
          <w:sz w:val="20"/>
          <w:szCs w:val="20"/>
          <w:lang w:val="de-DE"/>
        </w:rPr>
        <w:t>Art. XV.69</w:t>
      </w:r>
      <w:r w:rsidRPr="004676F5">
        <w:rPr>
          <w:sz w:val="20"/>
          <w:szCs w:val="20"/>
          <w:lang w:val="de-DE"/>
        </w:rPr>
        <w:t> - Die Bestimmungen von Buch I des Strafgesetzbuches [...] finden vorbehaltlich der Anwendung der nachfolgenden Sonderbestimmungen Anwendung auf die im vorliegenden Gesetzbuch erwähnten Verstöße.</w:t>
      </w:r>
    </w:p>
    <w:p w14:paraId="4161E95D" w14:textId="77777777" w:rsidR="005437EE" w:rsidRPr="004676F5" w:rsidRDefault="005437EE" w:rsidP="005437EE">
      <w:pPr>
        <w:jc w:val="both"/>
        <w:rPr>
          <w:sz w:val="20"/>
          <w:szCs w:val="20"/>
          <w:lang w:val="de-DE"/>
        </w:rPr>
      </w:pPr>
    </w:p>
    <w:p w14:paraId="64425ED0" w14:textId="335C11D6" w:rsidR="005437EE" w:rsidRPr="004676F5" w:rsidRDefault="005437EE" w:rsidP="005437EE">
      <w:pPr>
        <w:jc w:val="both"/>
        <w:rPr>
          <w:iCs/>
          <w:sz w:val="20"/>
          <w:szCs w:val="20"/>
          <w:lang w:val="de-DE"/>
        </w:rPr>
      </w:pPr>
      <w:r w:rsidRPr="004676F5">
        <w:rPr>
          <w:i/>
          <w:sz w:val="20"/>
          <w:szCs w:val="20"/>
          <w:lang w:val="de-DE"/>
        </w:rPr>
        <w:t>[Art. XV.69 abgeändert durch Art. 60</w:t>
      </w:r>
      <w:r w:rsidRPr="004676F5">
        <w:rPr>
          <w:i/>
          <w:iCs/>
          <w:sz w:val="20"/>
          <w:szCs w:val="20"/>
          <w:lang w:val="de-DE"/>
        </w:rPr>
        <w:t xml:space="preserve"> </w:t>
      </w:r>
      <w:r w:rsidRPr="004676F5">
        <w:rPr>
          <w:i/>
          <w:sz w:val="20"/>
          <w:szCs w:val="20"/>
          <w:lang w:val="de-DE"/>
        </w:rPr>
        <w:t>des G. vom 26. Oktober 2015 (B.S. vom 30. Oktober 2015) und Art. 31</w:t>
      </w:r>
      <w:r w:rsidRPr="004676F5">
        <w:rPr>
          <w:i/>
          <w:iCs/>
          <w:sz w:val="20"/>
          <w:szCs w:val="20"/>
          <w:lang w:val="de-DE"/>
        </w:rPr>
        <w:t xml:space="preserve"> des G. vom 29. Februar 2024</w:t>
      </w:r>
      <w:r w:rsidR="00CE5BB7" w:rsidRPr="004676F5">
        <w:rPr>
          <w:i/>
          <w:iCs/>
          <w:sz w:val="20"/>
          <w:szCs w:val="20"/>
          <w:lang w:val="de-DE"/>
        </w:rPr>
        <w:t> (I)</w:t>
      </w:r>
      <w:r w:rsidRPr="004676F5">
        <w:rPr>
          <w:i/>
          <w:iCs/>
          <w:sz w:val="20"/>
          <w:szCs w:val="20"/>
          <w:lang w:val="de-DE"/>
        </w:rPr>
        <w:t xml:space="preserve"> (B.S. vom 8. April 2024)</w:t>
      </w:r>
      <w:r w:rsidRPr="004676F5">
        <w:rPr>
          <w:i/>
          <w:sz w:val="20"/>
          <w:szCs w:val="20"/>
          <w:lang w:val="de-DE"/>
        </w:rPr>
        <w:t>]</w:t>
      </w:r>
      <w:r w:rsidRPr="004676F5">
        <w:rPr>
          <w:iCs/>
          <w:sz w:val="20"/>
          <w:szCs w:val="20"/>
          <w:lang w:val="de-DE"/>
        </w:rPr>
        <w:t>"</w:t>
      </w:r>
    </w:p>
    <w:p w14:paraId="681BB530" w14:textId="613C3D15" w:rsidR="005437EE" w:rsidRPr="004676F5" w:rsidRDefault="005437EE" w:rsidP="005437EE">
      <w:pPr>
        <w:jc w:val="both"/>
        <w:rPr>
          <w:iCs/>
          <w:lang w:val="de-DE"/>
        </w:rPr>
      </w:pPr>
    </w:p>
    <w:p w14:paraId="25A0E7D7" w14:textId="77777777" w:rsidR="00274D5D" w:rsidRPr="004676F5" w:rsidRDefault="00274D5D" w:rsidP="00BA2266">
      <w:pPr>
        <w:jc w:val="both"/>
        <w:rPr>
          <w:iCs/>
          <w:lang w:val="de-DE"/>
        </w:rPr>
      </w:pPr>
    </w:p>
    <w:p w14:paraId="6EC951E9" w14:textId="63EC3C40" w:rsidR="00274D5D" w:rsidRPr="004676F5" w:rsidRDefault="00274D5D" w:rsidP="00274D5D">
      <w:pPr>
        <w:jc w:val="both"/>
        <w:rPr>
          <w:lang w:val="de-DE"/>
        </w:rPr>
      </w:pPr>
      <w:r w:rsidRPr="004676F5">
        <w:rPr>
          <w:iCs/>
          <w:lang w:val="de-DE"/>
        </w:rPr>
        <w:tab/>
        <w:t>[</w:t>
      </w:r>
      <w:r w:rsidRPr="004676F5">
        <w:rPr>
          <w:b/>
          <w:bCs/>
          <w:lang w:val="de-DE"/>
        </w:rPr>
        <w:t>Art. XV.69/1</w:t>
      </w:r>
      <w:r w:rsidRPr="004676F5">
        <w:rPr>
          <w:lang w:val="de-DE"/>
        </w:rPr>
        <w:t> </w:t>
      </w:r>
      <w:r w:rsidR="005B7A5C" w:rsidRPr="004676F5">
        <w:rPr>
          <w:lang w:val="de-DE"/>
        </w:rPr>
        <w:t>- </w:t>
      </w:r>
      <w:r w:rsidRPr="004676F5">
        <w:rPr>
          <w:lang w:val="de-DE"/>
        </w:rPr>
        <w:t>Die Staatsanwaltschaft notifiziert den in Artikel XV.60/4 erwähnten zuständigen Bediensteten ihre Entscheidung, ob sie die Strafverfolgung einleitet oder einen in Artikel 216</w:t>
      </w:r>
      <w:r w:rsidRPr="004676F5">
        <w:rPr>
          <w:i/>
          <w:lang w:val="de-DE"/>
        </w:rPr>
        <w:t>bis</w:t>
      </w:r>
      <w:r w:rsidRPr="004676F5">
        <w:rPr>
          <w:lang w:val="de-DE"/>
        </w:rPr>
        <w:t xml:space="preserve"> des Strafprozessgesetzbuches erwähnten Vergleich oder eine in Artikel 216</w:t>
      </w:r>
      <w:r w:rsidRPr="004676F5">
        <w:rPr>
          <w:i/>
          <w:lang w:val="de-DE"/>
        </w:rPr>
        <w:t>ter</w:t>
      </w:r>
      <w:r w:rsidRPr="004676F5">
        <w:rPr>
          <w:lang w:val="de-DE"/>
        </w:rPr>
        <w:t xml:space="preserve"> desselben Gesetzbuches erwähnte Vermittlung in Strafsachen vorschlägt.</w:t>
      </w:r>
    </w:p>
    <w:p w14:paraId="3C583980" w14:textId="77777777" w:rsidR="00274D5D" w:rsidRPr="004676F5" w:rsidRDefault="00274D5D" w:rsidP="00274D5D">
      <w:pPr>
        <w:jc w:val="both"/>
        <w:rPr>
          <w:lang w:val="de-DE"/>
        </w:rPr>
      </w:pPr>
    </w:p>
    <w:p w14:paraId="1FA2C608" w14:textId="17235C3B" w:rsidR="00274D5D" w:rsidRPr="004676F5" w:rsidRDefault="00274D5D" w:rsidP="00274D5D">
      <w:pPr>
        <w:jc w:val="both"/>
        <w:rPr>
          <w:lang w:val="de-DE"/>
        </w:rPr>
      </w:pPr>
      <w:r w:rsidRPr="004676F5">
        <w:rPr>
          <w:lang w:val="de-DE"/>
        </w:rPr>
        <w:tab/>
        <w:t>Wenn die Staatsanwaltschaft darauf verzichtet, eine Strafverfolgung einzuleiten oder einen in Artikel 216</w:t>
      </w:r>
      <w:r w:rsidRPr="004676F5">
        <w:rPr>
          <w:i/>
          <w:lang w:val="de-DE"/>
        </w:rPr>
        <w:t>bis</w:t>
      </w:r>
      <w:r w:rsidRPr="004676F5">
        <w:rPr>
          <w:lang w:val="de-DE"/>
        </w:rPr>
        <w:t xml:space="preserve"> des Strafprozessgesetzbuches erwähnten Vergleich oder eine in Artikel 216</w:t>
      </w:r>
      <w:r w:rsidRPr="004676F5">
        <w:rPr>
          <w:i/>
          <w:lang w:val="de-DE"/>
        </w:rPr>
        <w:t>ter</w:t>
      </w:r>
      <w:r w:rsidRPr="004676F5">
        <w:rPr>
          <w:lang w:val="de-DE"/>
        </w:rPr>
        <w:t xml:space="preserve"> desselben Gesetzbuches erwähnte Vermittlung in Strafsachen vorzuschlagen, oder wenn die Staatsanwaltschaft binnen einer Frist von drei Monaten ab dem Tag des Erhalts des Protokolls zur Feststellung des Verstoßes keine Entscheidung getroffen hat, entscheiden die in Artikel XV.60/4 erwähnten zuständigen Bediensteten, ob das Verfahren der administrativen Geldbuße einzuleiten ist.]</w:t>
      </w:r>
    </w:p>
    <w:p w14:paraId="125B6A36" w14:textId="77777777" w:rsidR="00274D5D" w:rsidRPr="004676F5" w:rsidRDefault="00274D5D" w:rsidP="00274D5D">
      <w:pPr>
        <w:jc w:val="both"/>
        <w:rPr>
          <w:lang w:val="de-DE"/>
        </w:rPr>
      </w:pPr>
    </w:p>
    <w:p w14:paraId="257CF18F" w14:textId="6FFD7D92" w:rsidR="00274D5D" w:rsidRPr="004676F5" w:rsidRDefault="00274D5D" w:rsidP="00274D5D">
      <w:pPr>
        <w:jc w:val="both"/>
        <w:rPr>
          <w:i/>
          <w:iCs/>
          <w:lang w:val="de-DE"/>
        </w:rPr>
      </w:pPr>
      <w:r w:rsidRPr="004676F5">
        <w:rPr>
          <w:i/>
          <w:iCs/>
          <w:lang w:val="de-DE"/>
        </w:rPr>
        <w:t>[Art. XV.69/1 eingefügt durch Art. 50</w:t>
      </w:r>
      <w:r w:rsidRPr="004676F5">
        <w:rPr>
          <w:bCs/>
          <w:i/>
          <w:iCs/>
          <w:lang w:val="de-DE"/>
        </w:rPr>
        <w:t xml:space="preserve"> des G. vom 29. September 2020 (B.S. vom 20. November 2020)]</w:t>
      </w:r>
    </w:p>
    <w:p w14:paraId="04F0A195" w14:textId="77777777" w:rsidR="00274D5D" w:rsidRPr="004676F5" w:rsidRDefault="00274D5D" w:rsidP="00274D5D">
      <w:pPr>
        <w:jc w:val="both"/>
        <w:rPr>
          <w:lang w:val="de-DE"/>
        </w:rPr>
      </w:pPr>
    </w:p>
    <w:p w14:paraId="4293F547" w14:textId="77777777" w:rsidR="00274D5D" w:rsidRPr="004676F5" w:rsidRDefault="00274D5D" w:rsidP="00274D5D">
      <w:pPr>
        <w:rPr>
          <w:lang w:val="de-DE"/>
        </w:rPr>
      </w:pPr>
    </w:p>
    <w:p w14:paraId="5450C2A3" w14:textId="69A4776D" w:rsidR="00274D5D" w:rsidRPr="004676F5" w:rsidRDefault="00274D5D" w:rsidP="00274D5D">
      <w:pPr>
        <w:jc w:val="both"/>
        <w:rPr>
          <w:iCs/>
          <w:lang w:val="de-DE"/>
        </w:rPr>
      </w:pPr>
      <w:r w:rsidRPr="004676F5">
        <w:rPr>
          <w:lang w:val="de-DE"/>
        </w:rPr>
        <w:tab/>
        <w:t>[</w:t>
      </w:r>
      <w:r w:rsidRPr="004676F5">
        <w:rPr>
          <w:b/>
          <w:bCs/>
          <w:lang w:val="de-DE"/>
        </w:rPr>
        <w:t>Art. XV.69/2</w:t>
      </w:r>
      <w:r w:rsidRPr="004676F5">
        <w:rPr>
          <w:lang w:val="de-DE"/>
        </w:rPr>
        <w:t> </w:t>
      </w:r>
      <w:r w:rsidR="005B7A5C" w:rsidRPr="004676F5">
        <w:rPr>
          <w:lang w:val="de-DE"/>
        </w:rPr>
        <w:t>- </w:t>
      </w:r>
      <w:r w:rsidRPr="004676F5">
        <w:rPr>
          <w:lang w:val="de-DE"/>
        </w:rPr>
        <w:t>Wenn die Staatsanwaltschaft darauf verzichtet, eine Strafverfolgung einzuleiten oder einen in Artikel 216</w:t>
      </w:r>
      <w:r w:rsidRPr="004676F5">
        <w:rPr>
          <w:i/>
          <w:lang w:val="de-DE"/>
        </w:rPr>
        <w:t>bis</w:t>
      </w:r>
      <w:r w:rsidRPr="004676F5">
        <w:rPr>
          <w:lang w:val="de-DE"/>
        </w:rPr>
        <w:t xml:space="preserve"> des Strafprozessgesetzbuches erwähnten Vergleich oder eine in Artikel 216</w:t>
      </w:r>
      <w:r w:rsidRPr="004676F5">
        <w:rPr>
          <w:i/>
          <w:lang w:val="de-DE"/>
        </w:rPr>
        <w:t>ter</w:t>
      </w:r>
      <w:r w:rsidRPr="004676F5">
        <w:rPr>
          <w:lang w:val="de-DE"/>
        </w:rPr>
        <w:t xml:space="preserve"> desselben Gesetzbuches erwähnte Vermittlung in Strafsachen vorzuschlagen, und zusätzliche Ermittlungshandlungen durchgeführt wurden, übermittelt sie den in Artikel XV.60/4 erwähnten zuständigen Bediensteten eine Abschrift der Verfahrens</w:t>
      </w:r>
      <w:r w:rsidRPr="004676F5">
        <w:rPr>
          <w:lang w:val="de-DE"/>
        </w:rPr>
        <w:softHyphen/>
        <w:t>unterlagen in Bezug auf diese zusätzlichen Ermittlungshandlungen.</w:t>
      </w:r>
      <w:r w:rsidRPr="004676F5">
        <w:rPr>
          <w:iCs/>
          <w:lang w:val="de-DE"/>
        </w:rPr>
        <w:t>]</w:t>
      </w:r>
    </w:p>
    <w:p w14:paraId="6F96C387" w14:textId="77777777" w:rsidR="00274D5D" w:rsidRPr="004676F5" w:rsidRDefault="00274D5D" w:rsidP="00274D5D">
      <w:pPr>
        <w:jc w:val="both"/>
        <w:rPr>
          <w:iCs/>
          <w:lang w:val="de-DE"/>
        </w:rPr>
      </w:pPr>
    </w:p>
    <w:p w14:paraId="348BE230" w14:textId="23EF5081" w:rsidR="00274D5D" w:rsidRPr="004676F5" w:rsidRDefault="00274D5D" w:rsidP="00274D5D">
      <w:pPr>
        <w:jc w:val="both"/>
        <w:rPr>
          <w:i/>
          <w:iCs/>
          <w:lang w:val="de-DE"/>
        </w:rPr>
      </w:pPr>
      <w:r w:rsidRPr="004676F5">
        <w:rPr>
          <w:i/>
          <w:iCs/>
          <w:lang w:val="de-DE"/>
        </w:rPr>
        <w:t>[Art. XV.69/2 eingefügt durch Art. 51</w:t>
      </w:r>
      <w:r w:rsidRPr="004676F5">
        <w:rPr>
          <w:bCs/>
          <w:i/>
          <w:iCs/>
          <w:lang w:val="de-DE"/>
        </w:rPr>
        <w:t xml:space="preserve"> des G. vom 29. September 2020 (B.S. vom 20. November 2020)]</w:t>
      </w:r>
    </w:p>
    <w:p w14:paraId="4BE4FC5B" w14:textId="77777777" w:rsidR="00274D5D" w:rsidRPr="004676F5" w:rsidRDefault="00274D5D" w:rsidP="00274D5D">
      <w:pPr>
        <w:jc w:val="both"/>
        <w:rPr>
          <w:iCs/>
          <w:lang w:val="de-DE"/>
        </w:rPr>
      </w:pPr>
    </w:p>
    <w:p w14:paraId="09CC3C33" w14:textId="454B6E40" w:rsidR="00437C96" w:rsidRPr="004676F5" w:rsidRDefault="00437C96">
      <w:pPr>
        <w:rPr>
          <w:b/>
          <w:lang w:val="de-DE"/>
        </w:rPr>
      </w:pPr>
    </w:p>
    <w:p w14:paraId="2D046964" w14:textId="3DA55CF4" w:rsidR="00437C96" w:rsidRPr="004676F5" w:rsidRDefault="00BE0A56" w:rsidP="00437C96">
      <w:pPr>
        <w:ind w:firstLine="708"/>
        <w:jc w:val="both"/>
        <w:rPr>
          <w:lang w:val="de-DE"/>
        </w:rPr>
      </w:pPr>
      <w:r w:rsidRPr="004676F5">
        <w:rPr>
          <w:b/>
          <w:lang w:val="de-DE"/>
        </w:rPr>
        <w:t>Art. </w:t>
      </w:r>
      <w:r w:rsidR="00BA2266" w:rsidRPr="004676F5">
        <w:rPr>
          <w:b/>
          <w:lang w:val="de-DE"/>
        </w:rPr>
        <w:t>XV.70</w:t>
      </w:r>
      <w:r w:rsidR="00BA2266" w:rsidRPr="004676F5">
        <w:rPr>
          <w:lang w:val="de-DE"/>
        </w:rPr>
        <w:t> </w:t>
      </w:r>
      <w:r w:rsidR="005B7A5C" w:rsidRPr="004676F5">
        <w:rPr>
          <w:lang w:val="de-DE"/>
        </w:rPr>
        <w:t>- </w:t>
      </w:r>
      <w:r w:rsidR="00437C96" w:rsidRPr="004676F5">
        <w:rPr>
          <w:lang w:val="de-DE"/>
        </w:rPr>
        <w:t>[§ 1 </w:t>
      </w:r>
      <w:r w:rsidR="005B7A5C" w:rsidRPr="004676F5">
        <w:rPr>
          <w:lang w:val="de-DE"/>
        </w:rPr>
        <w:t>- </w:t>
      </w:r>
      <w:r w:rsidR="00437C96" w:rsidRPr="004676F5">
        <w:rPr>
          <w:lang w:val="de-DE"/>
        </w:rPr>
        <w:t>Verstöße gegen die Bestimmungen des vorliegenden Gesetzbuches, seiner Ausführungserlasse, der Gesetze und Ausführungserlasse, für die in vorliegendem Buch Sanktionen vorgesehen sind, und der Verordnungen der Europäischen Union, für die in vorliegendem Buch Sanktionen vorgesehen sind, werden wie folgt mit einer Sanktion der Stufen 1 bis 6 geahndet:</w:t>
      </w:r>
    </w:p>
    <w:p w14:paraId="1D4BDC00" w14:textId="77777777" w:rsidR="00437C96" w:rsidRPr="004676F5" w:rsidRDefault="00437C96" w:rsidP="00437C96">
      <w:pPr>
        <w:jc w:val="both"/>
        <w:rPr>
          <w:lang w:val="de-DE"/>
        </w:rPr>
      </w:pPr>
    </w:p>
    <w:p w14:paraId="0243A819" w14:textId="77777777" w:rsidR="00437C96" w:rsidRPr="004676F5" w:rsidRDefault="00437C96" w:rsidP="00437C96">
      <w:pPr>
        <w:jc w:val="both"/>
        <w:rPr>
          <w:lang w:val="de-DE"/>
        </w:rPr>
      </w:pPr>
      <w:r w:rsidRPr="004676F5">
        <w:rPr>
          <w:lang w:val="de-DE"/>
        </w:rPr>
        <w:tab/>
        <w:t>1. Die Sanktion der Stufe 1 besteht aus einer strafrechtlichen Geldbuße von mindestens 26 EUR bis zu höchstens 5.000 EUR oder in Höhe von 4 Prozent des gesamten Jahresumsatzes des letzten abgeschlossenen Geschäftsjahres vor Verhängung der Geldbuße, für das Angaben zur Ermittlung des Jahresumsatzes vorliegen, wenn dieser Betrag höher ist.</w:t>
      </w:r>
    </w:p>
    <w:p w14:paraId="78946E1E" w14:textId="77777777" w:rsidR="00437C96" w:rsidRPr="004676F5" w:rsidRDefault="00437C96" w:rsidP="00437C96">
      <w:pPr>
        <w:jc w:val="both"/>
        <w:rPr>
          <w:lang w:val="de-DE"/>
        </w:rPr>
      </w:pPr>
    </w:p>
    <w:p w14:paraId="71516717" w14:textId="77777777" w:rsidR="00437C96" w:rsidRPr="004676F5" w:rsidRDefault="00437C96" w:rsidP="00437C96">
      <w:pPr>
        <w:jc w:val="both"/>
        <w:rPr>
          <w:lang w:val="de-DE"/>
        </w:rPr>
      </w:pPr>
      <w:r w:rsidRPr="004676F5">
        <w:rPr>
          <w:lang w:val="de-DE"/>
        </w:rPr>
        <w:tab/>
        <w:t>2. Die Sanktion der Stufe 2 besteht aus einer strafrechtlichen Geldbuße von mindestens 26 EUR bis zu höchstens 10.000 EUR oder in Höhe von 4 Prozent des gesamten Jahresumsatzes des letzten abgeschlossenen Geschäftsjahres vor Verhängung der Geldbuße, für das Angaben zur Ermittlung des Jahresumsatzes vorliegen, wenn dieser Betrag höher ist.</w:t>
      </w:r>
    </w:p>
    <w:p w14:paraId="5AECC761" w14:textId="77777777" w:rsidR="00437C96" w:rsidRPr="004676F5" w:rsidRDefault="00437C96" w:rsidP="00437C96">
      <w:pPr>
        <w:jc w:val="both"/>
        <w:rPr>
          <w:lang w:val="de-DE"/>
        </w:rPr>
      </w:pPr>
    </w:p>
    <w:p w14:paraId="48A9AEFA" w14:textId="77777777" w:rsidR="00437C96" w:rsidRPr="004676F5" w:rsidRDefault="00437C96" w:rsidP="00437C96">
      <w:pPr>
        <w:jc w:val="both"/>
        <w:rPr>
          <w:lang w:val="de-DE"/>
        </w:rPr>
      </w:pPr>
      <w:r w:rsidRPr="004676F5">
        <w:rPr>
          <w:lang w:val="de-DE"/>
        </w:rPr>
        <w:tab/>
        <w:t>3. Die Sanktion der Stufe 3 besteht aus einer strafrechtlichen Geldbuße von mindestens 26 EUR bis zu höchstens 25.000 EUR oder in Höhe von 6 Prozent des gesamten Jahresumsatzes des letzten abgeschlossenen Geschäftsjahres vor Verhängung der Geldbuße, für das Angaben zur Ermittlung des Jahresumsatzes vorliegen, wenn dieser Betrag höher ist.</w:t>
      </w:r>
    </w:p>
    <w:p w14:paraId="30AA8563" w14:textId="77777777" w:rsidR="00437C96" w:rsidRPr="004676F5" w:rsidRDefault="00437C96" w:rsidP="00437C96">
      <w:pPr>
        <w:jc w:val="both"/>
        <w:rPr>
          <w:lang w:val="de-DE"/>
        </w:rPr>
      </w:pPr>
    </w:p>
    <w:p w14:paraId="18CBF545" w14:textId="77777777" w:rsidR="00437C96" w:rsidRPr="004676F5" w:rsidRDefault="00437C96" w:rsidP="00437C96">
      <w:pPr>
        <w:jc w:val="both"/>
        <w:rPr>
          <w:lang w:val="de-DE"/>
        </w:rPr>
      </w:pPr>
      <w:r w:rsidRPr="004676F5">
        <w:rPr>
          <w:lang w:val="de-DE"/>
        </w:rPr>
        <w:tab/>
        <w:t>4. Die Sanktion der Stufe 4 besteht aus einer strafrechtlichen Geldbuße von mindestens 26 EUR bis zu höchstens 50.000 EUR oder in Höhe von 6 Prozent des gesamten Jahresumsatzes des letzten abgeschlossenen Geschäftsjahres vor Verhängung der Geldbuße, für das Angaben zur Ermittlung des Jahresumsatzes vorliegen, wenn dieser Betrag höher ist.</w:t>
      </w:r>
    </w:p>
    <w:p w14:paraId="638D046C" w14:textId="77777777" w:rsidR="00437C96" w:rsidRPr="004676F5" w:rsidRDefault="00437C96" w:rsidP="00437C96">
      <w:pPr>
        <w:jc w:val="both"/>
        <w:rPr>
          <w:lang w:val="de-DE"/>
        </w:rPr>
      </w:pPr>
    </w:p>
    <w:p w14:paraId="33EF9174" w14:textId="77777777" w:rsidR="00437C96" w:rsidRPr="004676F5" w:rsidRDefault="00437C96" w:rsidP="00437C96">
      <w:pPr>
        <w:jc w:val="both"/>
        <w:rPr>
          <w:lang w:val="de-DE"/>
        </w:rPr>
      </w:pPr>
      <w:r w:rsidRPr="004676F5">
        <w:rPr>
          <w:lang w:val="de-DE"/>
        </w:rPr>
        <w:tab/>
        <w:t>5. Die Sanktion der Stufe 5 besteht aus einer strafrechtlichen Geldbuße von mindestens 250 EUR bis zu höchstens 100.000 EUR oder in Höhe von 6 Prozent des gesamten Jahresumsatzes des letzten abgeschlossenen Geschäftsjahres vor Verhängung der Geldbuße, für das Angaben zur Ermittlung des Jahresumsatzes vorliegen, wenn dieser Betrag höher ist, und einer Gefängnisstrafe von einem Monat bis zu einem Jahr oder aus nur einer dieser Strafen.</w:t>
      </w:r>
    </w:p>
    <w:p w14:paraId="08ABF067" w14:textId="77777777" w:rsidR="00437C96" w:rsidRPr="004676F5" w:rsidRDefault="00437C96" w:rsidP="00437C96">
      <w:pPr>
        <w:jc w:val="both"/>
        <w:rPr>
          <w:lang w:val="de-DE"/>
        </w:rPr>
      </w:pPr>
    </w:p>
    <w:p w14:paraId="47324A0D" w14:textId="77777777" w:rsidR="00437C96" w:rsidRPr="004676F5" w:rsidRDefault="00437C96" w:rsidP="00437C96">
      <w:pPr>
        <w:jc w:val="both"/>
        <w:rPr>
          <w:lang w:val="de-DE"/>
        </w:rPr>
      </w:pPr>
      <w:r w:rsidRPr="004676F5">
        <w:rPr>
          <w:lang w:val="de-DE"/>
        </w:rPr>
        <w:tab/>
        <w:t>6. Die Sanktion der Stufe 6 besteht aus einer strafrechtlichen Geldbuße von mindestens 500 EUR bis zu höchstens 100.000 EUR oder in Höhe von 6 Prozent des gesamten Jahresumsatzes des letzten abgeschlossenen Geschäftsjahres vor Verhängung der Geldbuße, für das Angaben zur Ermittlung des Jahresumsatzes vorliegen, wenn dieser Betrag höher ist, und einer Gefängnisstrafe von einem bis zu fünf Jahren oder aus nur einer dieser Strafen.</w:t>
      </w:r>
    </w:p>
    <w:p w14:paraId="6F4FBC1F" w14:textId="77777777" w:rsidR="00437C96" w:rsidRPr="004676F5" w:rsidRDefault="00437C96" w:rsidP="00437C96">
      <w:pPr>
        <w:jc w:val="both"/>
        <w:rPr>
          <w:lang w:val="de-DE"/>
        </w:rPr>
      </w:pPr>
    </w:p>
    <w:p w14:paraId="60F0E493" w14:textId="6E45C43F" w:rsidR="00437C96" w:rsidRPr="004676F5" w:rsidRDefault="00437C96" w:rsidP="00437C96">
      <w:pPr>
        <w:jc w:val="both"/>
        <w:rPr>
          <w:lang w:val="de-DE"/>
        </w:rPr>
      </w:pPr>
      <w:r w:rsidRPr="004676F5">
        <w:rPr>
          <w:lang w:val="de-DE"/>
        </w:rPr>
        <w:tab/>
        <w:t>§ 2 </w:t>
      </w:r>
      <w:r w:rsidR="005B7A5C" w:rsidRPr="004676F5">
        <w:rPr>
          <w:lang w:val="de-DE"/>
        </w:rPr>
        <w:t>- </w:t>
      </w:r>
      <w:r w:rsidRPr="004676F5">
        <w:rPr>
          <w:lang w:val="de-DE"/>
        </w:rPr>
        <w:t>Wenn keine Informationen über den in § 1 erwähnten gesamten Jahresumsatz verfügbar sind, beläuft sich die Geldbuße auf höchstens 2 Millionen EUR.</w:t>
      </w:r>
    </w:p>
    <w:p w14:paraId="147DCA39" w14:textId="77777777" w:rsidR="00437C96" w:rsidRPr="004676F5" w:rsidRDefault="00437C96" w:rsidP="00437C96">
      <w:pPr>
        <w:jc w:val="both"/>
        <w:rPr>
          <w:lang w:val="de-DE"/>
        </w:rPr>
      </w:pPr>
    </w:p>
    <w:p w14:paraId="38C3B8FC" w14:textId="77777777" w:rsidR="00437C96" w:rsidRPr="004676F5" w:rsidRDefault="00437C96" w:rsidP="00437C96">
      <w:pPr>
        <w:jc w:val="both"/>
        <w:rPr>
          <w:lang w:val="de-DE"/>
        </w:rPr>
      </w:pPr>
      <w:r w:rsidRPr="004676F5">
        <w:rPr>
          <w:lang w:val="de-DE"/>
        </w:rPr>
        <w:tab/>
        <w:t>Bei grenzüberschreitenden Verstößen kann der Umsatz in den anderen Ländern, in denen der Verstoß begangen wurde, für die Bestimmung des Höchstbetrags der in § 1 erwähnten Geldbuße in die Berechnung des Umsatzes einbezogen werden.</w:t>
      </w:r>
    </w:p>
    <w:p w14:paraId="479C71F0" w14:textId="77777777" w:rsidR="00437C96" w:rsidRPr="004676F5" w:rsidRDefault="00437C96" w:rsidP="00437C96">
      <w:pPr>
        <w:jc w:val="both"/>
        <w:rPr>
          <w:lang w:val="de-DE"/>
        </w:rPr>
      </w:pPr>
    </w:p>
    <w:p w14:paraId="57CBEE96" w14:textId="77777777" w:rsidR="00437C96" w:rsidRPr="004676F5" w:rsidRDefault="00437C96" w:rsidP="00437C96">
      <w:pPr>
        <w:jc w:val="both"/>
        <w:rPr>
          <w:lang w:val="de-DE"/>
        </w:rPr>
      </w:pPr>
      <w:r w:rsidRPr="004676F5">
        <w:rPr>
          <w:lang w:val="de-DE"/>
        </w:rPr>
        <w:tab/>
        <w:t xml:space="preserve">Werden Sanktionen gemäß Artikel 21 der Verordnung (EU) 2017/2394 des Europäischen Parlaments und des Rates vom 12. Dezember 2017 über die Zusammenarbeit zwischen den für die Durchsetzung der Verbraucherschutzgesetze zuständigen nationalen Behörden und zur Aufhebung der Verordnung (EG) Nr. 2006/2004 verhängt, so wird der in den </w:t>
      </w:r>
      <w:r w:rsidRPr="004676F5">
        <w:rPr>
          <w:lang w:val="de-DE"/>
        </w:rPr>
        <w:lastRenderedPageBreak/>
        <w:t>betreffenden Mitgliedstaaten erzielte Gesamtumsatz in jedem Fall in die Berechnung des Höchstbetrags der in § 1 erwähnten Geldbuße einbezogen.</w:t>
      </w:r>
    </w:p>
    <w:p w14:paraId="458CC7A2" w14:textId="77777777" w:rsidR="00437C96" w:rsidRPr="004676F5" w:rsidRDefault="00437C96" w:rsidP="00437C96">
      <w:pPr>
        <w:jc w:val="both"/>
        <w:rPr>
          <w:lang w:val="de-DE"/>
        </w:rPr>
      </w:pPr>
    </w:p>
    <w:p w14:paraId="44D37535" w14:textId="77777777" w:rsidR="00437C96" w:rsidRPr="004676F5" w:rsidRDefault="00437C96" w:rsidP="00437C96">
      <w:pPr>
        <w:jc w:val="both"/>
        <w:rPr>
          <w:lang w:val="de-DE"/>
        </w:rPr>
      </w:pPr>
      <w:r w:rsidRPr="004676F5">
        <w:rPr>
          <w:lang w:val="de-DE"/>
        </w:rPr>
        <w:tab/>
        <w:t>§ 3 ­ Bei der Verhängung der Sanktion werden folgende als nicht abschließend zu verstehende und beispielhafte Kriterien berücksichtigt:</w:t>
      </w:r>
    </w:p>
    <w:p w14:paraId="7F44468B" w14:textId="77777777" w:rsidR="00437C96" w:rsidRPr="004676F5" w:rsidRDefault="00437C96" w:rsidP="00437C96">
      <w:pPr>
        <w:jc w:val="both"/>
        <w:rPr>
          <w:lang w:val="de-DE"/>
        </w:rPr>
      </w:pPr>
    </w:p>
    <w:p w14:paraId="79534FF5" w14:textId="77777777" w:rsidR="00437C96" w:rsidRPr="004676F5" w:rsidRDefault="00437C96" w:rsidP="00437C96">
      <w:pPr>
        <w:jc w:val="both"/>
        <w:rPr>
          <w:lang w:val="de-DE"/>
        </w:rPr>
      </w:pPr>
      <w:r w:rsidRPr="004676F5">
        <w:rPr>
          <w:lang w:val="de-DE"/>
        </w:rPr>
        <w:tab/>
        <w:t>1. Art, Schwere, Umfang und Dauer des Verstoßes,</w:t>
      </w:r>
    </w:p>
    <w:p w14:paraId="0C2F67D0" w14:textId="77777777" w:rsidR="00437C96" w:rsidRPr="004676F5" w:rsidRDefault="00437C96" w:rsidP="00437C96">
      <w:pPr>
        <w:jc w:val="both"/>
        <w:rPr>
          <w:lang w:val="de-DE"/>
        </w:rPr>
      </w:pPr>
    </w:p>
    <w:p w14:paraId="11AE4924" w14:textId="77777777" w:rsidR="00437C96" w:rsidRPr="004676F5" w:rsidRDefault="00437C96" w:rsidP="00437C96">
      <w:pPr>
        <w:jc w:val="both"/>
        <w:rPr>
          <w:lang w:val="de-DE"/>
        </w:rPr>
      </w:pPr>
      <w:r w:rsidRPr="004676F5">
        <w:rPr>
          <w:lang w:val="de-DE"/>
        </w:rPr>
        <w:tab/>
        <w:t>2. Maßnahmen des Unternehmens zur Minderung oder Beseitigung des Schadens, der Verbrauchern entstanden ist,</w:t>
      </w:r>
    </w:p>
    <w:p w14:paraId="6638B4DB" w14:textId="77777777" w:rsidR="00437C96" w:rsidRPr="004676F5" w:rsidRDefault="00437C96" w:rsidP="00437C96">
      <w:pPr>
        <w:jc w:val="both"/>
        <w:rPr>
          <w:lang w:val="de-DE"/>
        </w:rPr>
      </w:pPr>
    </w:p>
    <w:p w14:paraId="287F1A0A" w14:textId="77777777" w:rsidR="00437C96" w:rsidRPr="004676F5" w:rsidRDefault="00437C96" w:rsidP="00437C96">
      <w:pPr>
        <w:jc w:val="both"/>
        <w:rPr>
          <w:lang w:val="de-DE"/>
        </w:rPr>
      </w:pPr>
      <w:r w:rsidRPr="004676F5">
        <w:rPr>
          <w:lang w:val="de-DE"/>
        </w:rPr>
        <w:tab/>
        <w:t>3. frühere Verstöße des Unternehmens,</w:t>
      </w:r>
    </w:p>
    <w:p w14:paraId="2F16BB5D" w14:textId="77777777" w:rsidR="00437C96" w:rsidRPr="004676F5" w:rsidRDefault="00437C96" w:rsidP="00437C96">
      <w:pPr>
        <w:jc w:val="both"/>
        <w:rPr>
          <w:lang w:val="de-DE"/>
        </w:rPr>
      </w:pPr>
    </w:p>
    <w:p w14:paraId="161EAE70" w14:textId="77777777" w:rsidR="00437C96" w:rsidRPr="004676F5" w:rsidRDefault="00437C96" w:rsidP="00437C96">
      <w:pPr>
        <w:jc w:val="both"/>
        <w:rPr>
          <w:lang w:val="de-DE"/>
        </w:rPr>
      </w:pPr>
      <w:r w:rsidRPr="004676F5">
        <w:rPr>
          <w:lang w:val="de-DE"/>
        </w:rPr>
        <w:tab/>
        <w:t>4. vom Unternehmen aufgrund des Verstoßes erlangte finanzielle Vorteile oder vermiedene Verluste, wenn dazu die entsprechenden Daten verfügbar sind,</w:t>
      </w:r>
    </w:p>
    <w:p w14:paraId="3216B563" w14:textId="77777777" w:rsidR="00437C96" w:rsidRPr="004676F5" w:rsidRDefault="00437C96" w:rsidP="00437C96">
      <w:pPr>
        <w:jc w:val="both"/>
        <w:rPr>
          <w:lang w:val="de-DE"/>
        </w:rPr>
      </w:pPr>
    </w:p>
    <w:p w14:paraId="2C39615F" w14:textId="77777777" w:rsidR="00437C96" w:rsidRPr="004676F5" w:rsidRDefault="00437C96" w:rsidP="00437C96">
      <w:pPr>
        <w:jc w:val="both"/>
        <w:rPr>
          <w:lang w:val="de-DE"/>
        </w:rPr>
      </w:pPr>
      <w:r w:rsidRPr="004676F5">
        <w:rPr>
          <w:lang w:val="de-DE"/>
        </w:rPr>
        <w:tab/>
        <w:t>5. Sanktionen, die gegen das Unternehmen für denselben Verstoß in grenzüber</w:t>
      </w:r>
      <w:r w:rsidRPr="004676F5">
        <w:rPr>
          <w:lang w:val="de-DE"/>
        </w:rPr>
        <w:softHyphen/>
        <w:t>schreitenden Fällen in anderen Mitgliedstaaten verhängt wurden, sofern Informationen über solche Sanktionen im Rahmen des aufgrund der Verordnung (EU) 2017/2394 des Europäischen Parlaments und des Rates errichteten Mechanismus verfügbar sind,</w:t>
      </w:r>
    </w:p>
    <w:p w14:paraId="30593B26" w14:textId="77777777" w:rsidR="00437C96" w:rsidRPr="004676F5" w:rsidRDefault="00437C96" w:rsidP="00437C96">
      <w:pPr>
        <w:jc w:val="both"/>
        <w:rPr>
          <w:lang w:val="de-DE"/>
        </w:rPr>
      </w:pPr>
    </w:p>
    <w:p w14:paraId="1F3558C1" w14:textId="7B2E25F3" w:rsidR="00BA2266" w:rsidRPr="004676F5" w:rsidRDefault="00437C96" w:rsidP="00437C96">
      <w:pPr>
        <w:ind w:firstLine="708"/>
        <w:jc w:val="both"/>
        <w:rPr>
          <w:lang w:val="de-DE"/>
        </w:rPr>
      </w:pPr>
      <w:r w:rsidRPr="004676F5">
        <w:rPr>
          <w:lang w:val="de-DE"/>
        </w:rPr>
        <w:t>6. andere erschwerende oder mildernde Umstände im jeweiligen Fall.]</w:t>
      </w:r>
    </w:p>
    <w:p w14:paraId="32894FD1" w14:textId="77777777" w:rsidR="00437C96" w:rsidRPr="004676F5" w:rsidRDefault="00437C96" w:rsidP="00437C96">
      <w:pPr>
        <w:ind w:firstLine="708"/>
        <w:jc w:val="both"/>
        <w:rPr>
          <w:lang w:val="de-DE"/>
        </w:rPr>
      </w:pPr>
    </w:p>
    <w:p w14:paraId="0671FA1D" w14:textId="4FAF1521" w:rsidR="00437C96" w:rsidRPr="004676F5" w:rsidRDefault="00437C96" w:rsidP="00437C96">
      <w:pPr>
        <w:jc w:val="both"/>
        <w:rPr>
          <w:i/>
          <w:iCs/>
          <w:lang w:val="de-DE"/>
        </w:rPr>
      </w:pPr>
      <w:r w:rsidRPr="004676F5">
        <w:rPr>
          <w:i/>
          <w:iCs/>
          <w:lang w:val="de-DE"/>
        </w:rPr>
        <w:t>[Art. XV.70 ersetzt durch Art. 36 des G. vom 8. Mai 2022 (B.S. vom 2. Juni 2022)]</w:t>
      </w:r>
    </w:p>
    <w:p w14:paraId="5C9AAE5E" w14:textId="77777777" w:rsidR="00BA2266" w:rsidRPr="004676F5" w:rsidRDefault="00BA2266" w:rsidP="00BA2266">
      <w:pPr>
        <w:jc w:val="both"/>
        <w:rPr>
          <w:lang w:val="de-DE"/>
        </w:rPr>
      </w:pPr>
    </w:p>
    <w:p w14:paraId="35202637" w14:textId="77777777" w:rsidR="00664554" w:rsidRPr="004676F5" w:rsidRDefault="00664554" w:rsidP="00BA2266">
      <w:pPr>
        <w:jc w:val="both"/>
        <w:rPr>
          <w:lang w:val="de-DE"/>
        </w:rPr>
      </w:pPr>
    </w:p>
    <w:p w14:paraId="2D66CC32" w14:textId="1661B898" w:rsidR="00BA2266" w:rsidRPr="004676F5" w:rsidRDefault="00BE0A56" w:rsidP="00BA2266">
      <w:pPr>
        <w:ind w:firstLine="708"/>
        <w:jc w:val="both"/>
        <w:rPr>
          <w:lang w:val="de-DE"/>
        </w:rPr>
      </w:pPr>
      <w:r w:rsidRPr="004676F5">
        <w:rPr>
          <w:b/>
          <w:lang w:val="de-DE"/>
        </w:rPr>
        <w:t>Art. </w:t>
      </w:r>
      <w:r w:rsidR="00BA2266" w:rsidRPr="004676F5">
        <w:rPr>
          <w:b/>
          <w:lang w:val="de-DE"/>
        </w:rPr>
        <w:t>XV.71</w:t>
      </w:r>
      <w:r w:rsidR="00BA2266" w:rsidRPr="004676F5">
        <w:rPr>
          <w:lang w:val="de-DE"/>
        </w:rPr>
        <w:t> </w:t>
      </w:r>
      <w:r w:rsidR="005B7A5C" w:rsidRPr="004676F5">
        <w:rPr>
          <w:lang w:val="de-DE"/>
        </w:rPr>
        <w:t>- </w:t>
      </w:r>
      <w:r w:rsidR="00BA2266" w:rsidRPr="004676F5">
        <w:rPr>
          <w:lang w:val="de-DE"/>
        </w:rPr>
        <w:t>Sind die beim Gericht anhängig gemachten Taten Gegenstand einer Unterlassungsklage, kann über die Strafverfolgung erst entschieden werden, nachdem eine formell rechtskräftige Entscheidung in Bezug auf die Unterlassungsklage ergangen ist.</w:t>
      </w:r>
    </w:p>
    <w:p w14:paraId="5BB46730" w14:textId="77777777" w:rsidR="00BA2266" w:rsidRPr="004676F5" w:rsidRDefault="00BA2266" w:rsidP="00BA2266">
      <w:pPr>
        <w:jc w:val="both"/>
        <w:rPr>
          <w:lang w:val="de-DE"/>
        </w:rPr>
      </w:pPr>
    </w:p>
    <w:p w14:paraId="32E79227" w14:textId="77777777" w:rsidR="00664554" w:rsidRPr="004676F5" w:rsidRDefault="00664554" w:rsidP="00BA2266">
      <w:pPr>
        <w:jc w:val="both"/>
        <w:rPr>
          <w:lang w:val="de-DE"/>
        </w:rPr>
      </w:pPr>
    </w:p>
    <w:p w14:paraId="78DEA35A" w14:textId="6AE3593E" w:rsidR="00BA2266" w:rsidRPr="004676F5" w:rsidRDefault="00BE0A56" w:rsidP="00BA2266">
      <w:pPr>
        <w:ind w:firstLine="708"/>
        <w:jc w:val="both"/>
        <w:rPr>
          <w:lang w:val="de-DE"/>
        </w:rPr>
      </w:pPr>
      <w:r w:rsidRPr="004676F5">
        <w:rPr>
          <w:b/>
          <w:lang w:val="de-DE"/>
        </w:rPr>
        <w:t>Art. </w:t>
      </w:r>
      <w:r w:rsidR="00BA2266" w:rsidRPr="004676F5">
        <w:rPr>
          <w:b/>
          <w:lang w:val="de-DE"/>
        </w:rPr>
        <w:t>XV.72</w:t>
      </w:r>
      <w:r w:rsidR="00BA2266" w:rsidRPr="004676F5">
        <w:rPr>
          <w:lang w:val="de-DE"/>
        </w:rPr>
        <w:t> </w:t>
      </w:r>
      <w:r w:rsidR="005B7A5C" w:rsidRPr="004676F5">
        <w:rPr>
          <w:lang w:val="de-DE"/>
        </w:rPr>
        <w:t>- </w:t>
      </w:r>
      <w:r w:rsidR="00BA2266" w:rsidRPr="004676F5">
        <w:rPr>
          <w:lang w:val="de-DE"/>
        </w:rPr>
        <w:t>Bei Rückfall innerhalb fünf Jahren ab einer formell rechtskräftigen Verurteilung</w:t>
      </w:r>
      <w:r w:rsidR="00B14EE1" w:rsidRPr="004676F5">
        <w:rPr>
          <w:lang w:val="de-DE"/>
        </w:rPr>
        <w:t>[, einer endgültigen administrativen Entscheidung zur Schuldigerklärung oder einer endgültigen administrativen Entscheidung zur Auferlegung einer administrativen Geldbuße]</w:t>
      </w:r>
      <w:r w:rsidR="00BA2266" w:rsidRPr="004676F5">
        <w:rPr>
          <w:lang w:val="de-DE"/>
        </w:rPr>
        <w:t xml:space="preserve"> wegen des gleichen Verstoßes wird das Höchstmaß der Geldbußen und Gefängnisstrafen verdoppelt.</w:t>
      </w:r>
    </w:p>
    <w:p w14:paraId="3F0D563E" w14:textId="77777777" w:rsidR="00B14EE1" w:rsidRPr="004676F5" w:rsidRDefault="00B14EE1" w:rsidP="00B14EE1">
      <w:pPr>
        <w:jc w:val="both"/>
        <w:rPr>
          <w:lang w:val="de-DE"/>
        </w:rPr>
      </w:pPr>
    </w:p>
    <w:p w14:paraId="3C32C0F6" w14:textId="637A3D9D" w:rsidR="00B14EE1" w:rsidRPr="004676F5" w:rsidRDefault="00B14EE1" w:rsidP="00B14EE1">
      <w:pPr>
        <w:jc w:val="both"/>
        <w:rPr>
          <w:i/>
          <w:iCs/>
          <w:lang w:val="de-DE"/>
        </w:rPr>
      </w:pPr>
      <w:r w:rsidRPr="004676F5">
        <w:rPr>
          <w:i/>
          <w:iCs/>
          <w:lang w:val="de-DE"/>
        </w:rPr>
        <w:t>[Art. XV.72 abgeändert durch Art. 51 des G. vom 9. Februar 2024 (B.S. vom 21. März 2024)]</w:t>
      </w:r>
    </w:p>
    <w:p w14:paraId="102DB4F3" w14:textId="77777777" w:rsidR="00BA2266" w:rsidRPr="004676F5" w:rsidRDefault="00BA2266" w:rsidP="00BA2266">
      <w:pPr>
        <w:rPr>
          <w:lang w:val="de-DE"/>
        </w:rPr>
      </w:pPr>
    </w:p>
    <w:p w14:paraId="44838E7E" w14:textId="77777777" w:rsidR="00664554" w:rsidRPr="004676F5" w:rsidRDefault="00664554" w:rsidP="00BA2266">
      <w:pPr>
        <w:ind w:firstLine="708"/>
        <w:jc w:val="both"/>
        <w:rPr>
          <w:lang w:val="de-DE"/>
        </w:rPr>
      </w:pPr>
    </w:p>
    <w:p w14:paraId="05FE44CE" w14:textId="2307D007" w:rsidR="00BA2266" w:rsidRPr="004676F5" w:rsidRDefault="00BE0A56" w:rsidP="00BA2266">
      <w:pPr>
        <w:ind w:firstLine="708"/>
        <w:jc w:val="both"/>
        <w:rPr>
          <w:lang w:val="de-DE"/>
        </w:rPr>
      </w:pPr>
      <w:r w:rsidRPr="004676F5">
        <w:rPr>
          <w:b/>
          <w:lang w:val="de-DE"/>
        </w:rPr>
        <w:t>Art. </w:t>
      </w:r>
      <w:r w:rsidR="00BA2266" w:rsidRPr="004676F5">
        <w:rPr>
          <w:b/>
          <w:lang w:val="de-DE"/>
        </w:rPr>
        <w:t>XV.73</w:t>
      </w:r>
      <w:r w:rsidR="00BA2266" w:rsidRPr="004676F5">
        <w:rPr>
          <w:lang w:val="de-DE"/>
        </w:rPr>
        <w:t> </w:t>
      </w:r>
      <w:r w:rsidR="005B7A5C" w:rsidRPr="004676F5">
        <w:rPr>
          <w:lang w:val="de-DE"/>
        </w:rPr>
        <w:t>- </w:t>
      </w:r>
      <w:r w:rsidR="00BA2266" w:rsidRPr="004676F5">
        <w:rPr>
          <w:lang w:val="de-DE"/>
        </w:rPr>
        <w:t>Gesellschaften und Vereinigungen mit Rechtspersönlichkeit haften zivilrechtlich für Verurteilungen zu Schadenersatz, Geldbußen, Kosten, Einziehungen, Rückgaben und sonstigen finanziellen Sanktionen, die gegen ihre Organe beziehungsweise Angestellten aufgrund von Verstößen gegen die Bestimmungen des vorliegenden Gesetz</w:t>
      </w:r>
      <w:r w:rsidR="00BA2266" w:rsidRPr="004676F5">
        <w:rPr>
          <w:lang w:val="de-DE"/>
        </w:rPr>
        <w:softHyphen/>
        <w:t>buches ausgesprochen werden.</w:t>
      </w:r>
    </w:p>
    <w:p w14:paraId="06A23BD3" w14:textId="77777777" w:rsidR="00BA2266" w:rsidRPr="004676F5" w:rsidRDefault="00BA2266" w:rsidP="00BA2266">
      <w:pPr>
        <w:jc w:val="both"/>
        <w:rPr>
          <w:lang w:val="de-DE"/>
        </w:rPr>
      </w:pPr>
    </w:p>
    <w:p w14:paraId="18DDCED8" w14:textId="77777777" w:rsidR="00BA2266" w:rsidRPr="004676F5" w:rsidRDefault="00BA2266" w:rsidP="00BA2266">
      <w:pPr>
        <w:ind w:firstLine="708"/>
        <w:jc w:val="both"/>
        <w:rPr>
          <w:lang w:val="de-DE"/>
        </w:rPr>
      </w:pPr>
      <w:r w:rsidRPr="004676F5">
        <w:rPr>
          <w:lang w:val="de-DE"/>
        </w:rPr>
        <w:t xml:space="preserve">Gleiches gilt für Mitglieder von Handelsvereinigungen ohne Rechtspersönlichkeit, wenn der Verstoß von einem Gesellschafter, Geschäftsführer oder Angestellten bei einem Geschäft im Rahmen der Tätigkeit der Vereinigung begangen wurde. Der zivilrechtlich </w:t>
      </w:r>
      <w:r w:rsidRPr="004676F5">
        <w:rPr>
          <w:lang w:val="de-DE"/>
        </w:rPr>
        <w:lastRenderedPageBreak/>
        <w:t>haftende Gesellschafter haftet persönlich jedoch nur entsprechend den Beträgen oder Werten, die das Geschäft ihm eingebracht hat.</w:t>
      </w:r>
    </w:p>
    <w:p w14:paraId="1054E8FF" w14:textId="77777777" w:rsidR="00BA2266" w:rsidRPr="004676F5" w:rsidRDefault="00BA2266" w:rsidP="00BA2266">
      <w:pPr>
        <w:jc w:val="both"/>
        <w:rPr>
          <w:lang w:val="de-DE"/>
        </w:rPr>
      </w:pPr>
    </w:p>
    <w:p w14:paraId="247B3EC7" w14:textId="77777777" w:rsidR="00BA2266" w:rsidRPr="004676F5" w:rsidRDefault="00BA2266" w:rsidP="00BA2266">
      <w:pPr>
        <w:ind w:firstLine="708"/>
        <w:jc w:val="both"/>
        <w:rPr>
          <w:lang w:val="de-DE"/>
        </w:rPr>
      </w:pPr>
      <w:r w:rsidRPr="004676F5">
        <w:rPr>
          <w:lang w:val="de-DE"/>
        </w:rPr>
        <w:t>Diese Gesellschaften, Vereinigungen und Mitglieder können von der Staatsanwalt</w:t>
      </w:r>
      <w:r w:rsidRPr="004676F5">
        <w:rPr>
          <w:lang w:val="de-DE"/>
        </w:rPr>
        <w:softHyphen/>
        <w:t>schaft oder der Zivilpartei unmittelbar vor das Strafgericht geladen werden.</w:t>
      </w:r>
    </w:p>
    <w:p w14:paraId="27241E5A" w14:textId="77777777" w:rsidR="00BA2266" w:rsidRPr="004676F5" w:rsidRDefault="00BA2266" w:rsidP="00BA2266">
      <w:pPr>
        <w:jc w:val="both"/>
        <w:rPr>
          <w:lang w:val="de-DE"/>
        </w:rPr>
      </w:pPr>
    </w:p>
    <w:p w14:paraId="2FAD362B" w14:textId="77777777" w:rsidR="00EB6EE0" w:rsidRPr="004676F5" w:rsidRDefault="00EB6EE0" w:rsidP="00BA2266">
      <w:pPr>
        <w:ind w:firstLine="708"/>
        <w:jc w:val="both"/>
        <w:rPr>
          <w:lang w:val="de-DE"/>
        </w:rPr>
      </w:pPr>
    </w:p>
    <w:p w14:paraId="2303D070" w14:textId="73970F70" w:rsidR="00BA2266" w:rsidRPr="004676F5" w:rsidRDefault="00BE0A56" w:rsidP="00BA2266">
      <w:pPr>
        <w:ind w:firstLine="708"/>
        <w:jc w:val="both"/>
        <w:rPr>
          <w:lang w:val="de-DE"/>
        </w:rPr>
      </w:pPr>
      <w:r w:rsidRPr="004676F5">
        <w:rPr>
          <w:b/>
          <w:lang w:val="de-DE"/>
        </w:rPr>
        <w:t>Art. </w:t>
      </w:r>
      <w:r w:rsidR="00BA2266" w:rsidRPr="004676F5">
        <w:rPr>
          <w:b/>
          <w:lang w:val="de-DE"/>
        </w:rPr>
        <w:t>XV.74</w:t>
      </w:r>
      <w:r w:rsidR="00BA2266" w:rsidRPr="004676F5">
        <w:rPr>
          <w:lang w:val="de-DE"/>
        </w:rPr>
        <w:t> </w:t>
      </w:r>
      <w:r w:rsidR="005B7A5C" w:rsidRPr="004676F5">
        <w:rPr>
          <w:lang w:val="de-DE"/>
        </w:rPr>
        <w:t>- </w:t>
      </w:r>
      <w:r w:rsidR="00BA2266" w:rsidRPr="004676F5">
        <w:rPr>
          <w:lang w:val="de-DE"/>
        </w:rPr>
        <w:t>Nach Ablauf einer zehntägigen Frist ab Urteilsverkündung hat der Greffier des Gerichtshofes oder des Gerichts den Minister unentgeltlich per gewöhnlichen Brief oder auf elektronischem Wege über alle Urteile oder Entscheide, die durch eine Bestimmung des vorliegenden Buches anwendbar sind, in Kenntnis zu setzen.</w:t>
      </w:r>
    </w:p>
    <w:p w14:paraId="646010BB" w14:textId="77777777" w:rsidR="00BA2266" w:rsidRPr="004676F5" w:rsidRDefault="00BA2266" w:rsidP="00BA2266">
      <w:pPr>
        <w:jc w:val="both"/>
        <w:rPr>
          <w:lang w:val="de-DE"/>
        </w:rPr>
      </w:pPr>
    </w:p>
    <w:p w14:paraId="3A56572E" w14:textId="77777777" w:rsidR="00C76F75" w:rsidRPr="004676F5" w:rsidRDefault="00C76F75">
      <w:pPr>
        <w:rPr>
          <w:lang w:val="de-DE"/>
        </w:rPr>
      </w:pPr>
      <w:r w:rsidRPr="004676F5">
        <w:rPr>
          <w:lang w:val="de-DE"/>
        </w:rPr>
        <w:br w:type="page"/>
      </w:r>
    </w:p>
    <w:p w14:paraId="1D5B64CB" w14:textId="5605D21D" w:rsidR="00BA2266" w:rsidRPr="004676F5" w:rsidRDefault="00BA2266" w:rsidP="00BA2266">
      <w:pPr>
        <w:jc w:val="center"/>
        <w:rPr>
          <w:lang w:val="de-DE"/>
        </w:rPr>
      </w:pPr>
      <w:r w:rsidRPr="004676F5">
        <w:rPr>
          <w:lang w:val="de-DE"/>
        </w:rPr>
        <w:lastRenderedPageBreak/>
        <w:t>KAPITEL 2 </w:t>
      </w:r>
      <w:r w:rsidR="005B7A5C" w:rsidRPr="004676F5">
        <w:rPr>
          <w:lang w:val="de-DE"/>
        </w:rPr>
        <w:t>- </w:t>
      </w:r>
      <w:r w:rsidRPr="004676F5">
        <w:rPr>
          <w:i/>
          <w:lang w:val="de-DE"/>
        </w:rPr>
        <w:t>Strafrechtlich geahndete Verstöße</w:t>
      </w:r>
    </w:p>
    <w:p w14:paraId="5636747F" w14:textId="77777777" w:rsidR="00BA2266" w:rsidRPr="004676F5" w:rsidRDefault="00BA2266" w:rsidP="00BA2266">
      <w:pPr>
        <w:jc w:val="both"/>
        <w:rPr>
          <w:lang w:val="de-DE"/>
        </w:rPr>
      </w:pPr>
    </w:p>
    <w:p w14:paraId="0220012F" w14:textId="77777777" w:rsidR="00EB6EE0" w:rsidRPr="004676F5" w:rsidRDefault="00EB6EE0" w:rsidP="00BA2266">
      <w:pPr>
        <w:jc w:val="both"/>
        <w:rPr>
          <w:lang w:val="de-DE"/>
        </w:rPr>
      </w:pPr>
    </w:p>
    <w:p w14:paraId="20DA21C5" w14:textId="036D9486" w:rsidR="00A06589" w:rsidRPr="004676F5" w:rsidRDefault="00A06589" w:rsidP="00A06589">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Strafen in Bezug auf Verstöße gegen Buch III</w:t>
      </w:r>
    </w:p>
    <w:p w14:paraId="6B4E5729" w14:textId="77777777" w:rsidR="00A06589" w:rsidRPr="004676F5" w:rsidRDefault="00A06589" w:rsidP="00A06589">
      <w:pPr>
        <w:jc w:val="both"/>
        <w:rPr>
          <w:lang w:val="de-DE"/>
        </w:rPr>
      </w:pPr>
    </w:p>
    <w:p w14:paraId="3772B382" w14:textId="282A5E34" w:rsidR="00A06589" w:rsidRPr="004676F5" w:rsidRDefault="00A06589" w:rsidP="00A06589">
      <w:pPr>
        <w:jc w:val="both"/>
        <w:rPr>
          <w:i/>
          <w:lang w:val="de-DE"/>
        </w:rPr>
      </w:pPr>
      <w:r w:rsidRPr="004676F5">
        <w:rPr>
          <w:i/>
          <w:lang w:val="de-DE"/>
        </w:rPr>
        <w:t xml:space="preserve">[Abschnitt 1 mit den Artikeln XV.75 bis XV.79 eingefügt durch </w:t>
      </w:r>
      <w:r w:rsidR="00BE0A56" w:rsidRPr="004676F5">
        <w:rPr>
          <w:i/>
          <w:lang w:val="de-DE"/>
        </w:rPr>
        <w:t>Art. </w:t>
      </w:r>
      <w:r w:rsidRPr="004676F5">
        <w:rPr>
          <w:i/>
          <w:lang w:val="de-DE"/>
        </w:rPr>
        <w:t>7 des G. vom 17. Juli 2013 (B.S. vom 14. August 2013)]</w:t>
      </w:r>
    </w:p>
    <w:p w14:paraId="465D668E" w14:textId="77777777" w:rsidR="00A06589" w:rsidRPr="004676F5" w:rsidRDefault="00A06589" w:rsidP="00A06589">
      <w:pPr>
        <w:jc w:val="both"/>
        <w:rPr>
          <w:lang w:val="de-DE"/>
        </w:rPr>
      </w:pPr>
    </w:p>
    <w:p w14:paraId="083437BF" w14:textId="77777777" w:rsidR="00A06589" w:rsidRPr="004676F5" w:rsidRDefault="00A06589" w:rsidP="00A06589">
      <w:pPr>
        <w:jc w:val="both"/>
        <w:rPr>
          <w:lang w:val="de-DE"/>
        </w:rPr>
      </w:pPr>
    </w:p>
    <w:p w14:paraId="564B4BEA" w14:textId="56F5CC55" w:rsidR="00A06589" w:rsidRPr="004676F5" w:rsidRDefault="00A06589" w:rsidP="00A06589">
      <w:pPr>
        <w:jc w:val="both"/>
        <w:rPr>
          <w:lang w:val="de-DE"/>
        </w:rPr>
      </w:pPr>
      <w:r w:rsidRPr="004676F5">
        <w:rPr>
          <w:lang w:val="de-DE"/>
        </w:rPr>
        <w:tab/>
      </w:r>
      <w:r w:rsidR="00BE0A56" w:rsidRPr="004676F5">
        <w:rPr>
          <w:b/>
          <w:lang w:val="de-DE"/>
        </w:rPr>
        <w:t>Art. </w:t>
      </w:r>
      <w:r w:rsidRPr="004676F5">
        <w:rPr>
          <w:b/>
          <w:lang w:val="de-DE"/>
        </w:rPr>
        <w:t>XV.75</w:t>
      </w:r>
      <w:r w:rsidRPr="004676F5">
        <w:rPr>
          <w:lang w:val="de-DE"/>
        </w:rPr>
        <w:t> </w:t>
      </w:r>
      <w:r w:rsidR="005B7A5C" w:rsidRPr="004676F5">
        <w:rPr>
          <w:lang w:val="de-DE"/>
        </w:rPr>
        <w:t>- </w:t>
      </w:r>
      <w:r w:rsidRPr="004676F5">
        <w:rPr>
          <w:lang w:val="de-DE"/>
        </w:rPr>
        <w:t>Mit einer Sanktion der Stufe 2 werden bestraft:</w:t>
      </w:r>
    </w:p>
    <w:p w14:paraId="21AC2C52" w14:textId="77777777" w:rsidR="00A06589" w:rsidRPr="004676F5" w:rsidRDefault="00A06589" w:rsidP="00A06589">
      <w:pPr>
        <w:jc w:val="both"/>
        <w:rPr>
          <w:lang w:val="de-DE"/>
        </w:rPr>
      </w:pPr>
    </w:p>
    <w:p w14:paraId="652D173C" w14:textId="6366647A" w:rsidR="00A06589" w:rsidRPr="004676F5" w:rsidRDefault="00A06589" w:rsidP="00A06589">
      <w:pPr>
        <w:jc w:val="both"/>
        <w:rPr>
          <w:lang w:val="de-DE"/>
        </w:rPr>
      </w:pPr>
      <w:r w:rsidRPr="004676F5">
        <w:rPr>
          <w:lang w:val="de-DE"/>
        </w:rPr>
        <w:tab/>
        <w:t>1. </w:t>
      </w:r>
      <w:r w:rsidR="00AC5746" w:rsidRPr="004676F5">
        <w:rPr>
          <w:lang w:val="de-DE"/>
        </w:rPr>
        <w:t>[natürliche Personen, die eine berufliche Tätigkeit als Selbstständige ausüben]</w:t>
      </w:r>
      <w:r w:rsidRPr="004676F5">
        <w:rPr>
          <w:lang w:val="de-DE"/>
        </w:rPr>
        <w:t>, und Verwalter, Geschäftsführer, Direktoren oder Bevollmächtigte juristischer Personen, die wissentlich gegen die Bestimmungen der Artikel III.82 und III.83 Absatz 1 und 3, der Artikel III.84 bis III.89 oder der Erlasse zur Ausführung von Artikel III.84 Absatz 6, Artikel III.87 § 2, Artikel III.89 § 2, Artikel III.90 und Artikel III.91 verstoßen,</w:t>
      </w:r>
    </w:p>
    <w:p w14:paraId="0DE143A6" w14:textId="77777777" w:rsidR="00A06589" w:rsidRPr="004676F5" w:rsidRDefault="00A06589" w:rsidP="00A06589">
      <w:pPr>
        <w:jc w:val="both"/>
        <w:rPr>
          <w:lang w:val="de-DE"/>
        </w:rPr>
      </w:pPr>
    </w:p>
    <w:p w14:paraId="15ECEB88" w14:textId="238B0440" w:rsidR="00A06589" w:rsidRPr="004676F5" w:rsidRDefault="00A06589" w:rsidP="00A06589">
      <w:pPr>
        <w:jc w:val="both"/>
        <w:rPr>
          <w:lang w:val="de-DE"/>
        </w:rPr>
      </w:pPr>
      <w:r w:rsidRPr="004676F5">
        <w:rPr>
          <w:lang w:val="de-DE"/>
        </w:rPr>
        <w:tab/>
        <w:t xml:space="preserve">2. wer in seiner Eigenschaft als Kommissar, Betriebsrevisor oder unabhängiger Sachverständiger Konten, Jahresabschlüsse, Bilanzen und Ergebnisrechnungen oder konsolidierte Abschlüsse </w:t>
      </w:r>
      <w:r w:rsidR="00AC5746" w:rsidRPr="004676F5">
        <w:rPr>
          <w:lang w:val="de-DE"/>
        </w:rPr>
        <w:t>[...]</w:t>
      </w:r>
      <w:r w:rsidRPr="004676F5">
        <w:rPr>
          <w:lang w:val="de-DE"/>
        </w:rPr>
        <w:t xml:space="preserve"> bestätigt oder billigt, obwohl die in Nr. 1 erwähnten Bestimmungen nicht eingehalten worden sind, und dabei entweder davon Kenntnis hatte oder nicht getan hat, was er hätte tun müssen, um sich zu vergewissern, dass diese Bestimmungen eingehalten worden sind.</w:t>
      </w:r>
    </w:p>
    <w:p w14:paraId="3D148B09" w14:textId="77777777" w:rsidR="00A06589" w:rsidRPr="004676F5" w:rsidRDefault="00A06589" w:rsidP="00A06589">
      <w:pPr>
        <w:jc w:val="both"/>
        <w:rPr>
          <w:lang w:val="de-DE"/>
        </w:rPr>
      </w:pPr>
    </w:p>
    <w:p w14:paraId="5826AED0" w14:textId="77777777" w:rsidR="00A06589" w:rsidRPr="004676F5" w:rsidRDefault="00A06589" w:rsidP="00A06589">
      <w:pPr>
        <w:jc w:val="both"/>
        <w:rPr>
          <w:lang w:val="de-DE"/>
        </w:rPr>
      </w:pPr>
      <w:r w:rsidRPr="004676F5">
        <w:rPr>
          <w:lang w:val="de-DE"/>
        </w:rPr>
        <w:tab/>
        <w:t>In den Nummern 1 und 2 erwähnte Personen werden mit einer Sanktion der Stufe 4 bestraft, wenn sie in betrügerischer Absicht gehandelt haben.</w:t>
      </w:r>
    </w:p>
    <w:p w14:paraId="5F0D3388" w14:textId="77777777" w:rsidR="00A06589" w:rsidRPr="004676F5" w:rsidRDefault="00A06589" w:rsidP="00A06589">
      <w:pPr>
        <w:jc w:val="both"/>
        <w:rPr>
          <w:lang w:val="de-DE"/>
        </w:rPr>
      </w:pPr>
    </w:p>
    <w:p w14:paraId="187EDDAC" w14:textId="3A6FD321" w:rsidR="00A06589" w:rsidRPr="004676F5" w:rsidRDefault="00A06589" w:rsidP="00A06589">
      <w:pPr>
        <w:jc w:val="both"/>
        <w:rPr>
          <w:lang w:val="de-DE"/>
        </w:rPr>
      </w:pPr>
      <w:r w:rsidRPr="004676F5">
        <w:rPr>
          <w:lang w:val="de-DE"/>
        </w:rPr>
        <w:tab/>
      </w:r>
      <w:r w:rsidR="00AC5746" w:rsidRPr="004676F5">
        <w:rPr>
          <w:lang w:val="de-DE"/>
        </w:rPr>
        <w:t>[Natürliche Personen, die eine berufliche Tätigkeit als Selbstständige ausüben]</w:t>
      </w:r>
      <w:r w:rsidRPr="004676F5">
        <w:rPr>
          <w:lang w:val="de-DE"/>
        </w:rPr>
        <w:t xml:space="preserve">, auf die Artikel III.85 anwendbar ist, und Geschäftsführer, Direktoren oder Bevollmächtigte von Gesellschaften, auf die derselbe Artikel anwendbar ist, werden jedoch nur mit den in den vorhergehenden Absätzen vorgesehenen Sanktionen bestraft, wenn sie gegen die Bestimmungen der Artikel III.85 und III.89 und der Artikel III.86 bis III.88 und ihrer Ausführungserlasse </w:t>
      </w:r>
      <w:r w:rsidR="005B7A5C" w:rsidRPr="004676F5">
        <w:rPr>
          <w:lang w:val="de-DE"/>
        </w:rPr>
        <w:t>- </w:t>
      </w:r>
      <w:r w:rsidRPr="004676F5">
        <w:rPr>
          <w:lang w:val="de-DE"/>
        </w:rPr>
        <w:t xml:space="preserve">insofern sie die in den Artikeln III.85 und III.89 vorgesehenen Bücher betreffen </w:t>
      </w:r>
      <w:r w:rsidR="005B7A5C" w:rsidRPr="004676F5">
        <w:rPr>
          <w:lang w:val="de-DE"/>
        </w:rPr>
        <w:t>- </w:t>
      </w:r>
      <w:r w:rsidRPr="004676F5">
        <w:rPr>
          <w:lang w:val="de-DE"/>
        </w:rPr>
        <w:t xml:space="preserve">verstoßen haben, </w:t>
      </w:r>
      <w:r w:rsidR="00AC5746" w:rsidRPr="004676F5">
        <w:rPr>
          <w:lang w:val="de-DE"/>
        </w:rPr>
        <w:t>[wenn über das betreffende buchführungspflichtige Unternehmen der Konkurs eröffnet worden ist]</w:t>
      </w:r>
      <w:r w:rsidRPr="004676F5">
        <w:rPr>
          <w:lang w:val="de-DE"/>
        </w:rPr>
        <w:t>.</w:t>
      </w:r>
    </w:p>
    <w:p w14:paraId="560ACD39" w14:textId="7E1C14D7" w:rsidR="00A06589" w:rsidRPr="004676F5" w:rsidRDefault="00A06589" w:rsidP="00A06589">
      <w:pPr>
        <w:rPr>
          <w:lang w:val="de-DE"/>
        </w:rPr>
      </w:pPr>
    </w:p>
    <w:p w14:paraId="55FCBE99" w14:textId="4BBE4EC1" w:rsidR="00AC5746" w:rsidRPr="004676F5" w:rsidRDefault="00AC5746" w:rsidP="00A06589">
      <w:pPr>
        <w:rPr>
          <w:i/>
          <w:lang w:val="de-DE"/>
        </w:rPr>
      </w:pPr>
      <w:r w:rsidRPr="004676F5">
        <w:rPr>
          <w:i/>
          <w:lang w:val="de-DE"/>
        </w:rPr>
        <w:t>[Art. XV.75 Abs. 1 Nr. 1 abgeändert durch Art. 204 Buchstabe a) des G. vom 15. April 2018 (B.S. vom 27. April 2018); Abs. 1 Nr. 2 abgeändert durch Art. 204 Buchstabe b) des G. vom 15. April 2018 (B.S. vom 27. April 2018); Abs. 3 abgeändert durch Art. 204 Buchstabe c) des G. vom 15. April 2018 (B.S. vom 27. April 2018)]</w:t>
      </w:r>
    </w:p>
    <w:p w14:paraId="5EE01F8C" w14:textId="77777777" w:rsidR="00AC5746" w:rsidRPr="004676F5" w:rsidRDefault="00AC5746" w:rsidP="00A06589">
      <w:pPr>
        <w:rPr>
          <w:i/>
          <w:lang w:val="de-DE"/>
        </w:rPr>
      </w:pPr>
    </w:p>
    <w:p w14:paraId="776FF751" w14:textId="77777777" w:rsidR="00A06589" w:rsidRPr="004676F5" w:rsidRDefault="00A06589" w:rsidP="00A06589">
      <w:pPr>
        <w:rPr>
          <w:lang w:val="de-DE"/>
        </w:rPr>
      </w:pPr>
    </w:p>
    <w:p w14:paraId="1D6FE90C" w14:textId="731F57C3" w:rsidR="00A06589" w:rsidRPr="004676F5" w:rsidRDefault="00A06589" w:rsidP="00A06589">
      <w:pPr>
        <w:jc w:val="both"/>
        <w:rPr>
          <w:lang w:val="de-DE"/>
        </w:rPr>
      </w:pPr>
      <w:r w:rsidRPr="004676F5">
        <w:rPr>
          <w:lang w:val="de-DE"/>
        </w:rPr>
        <w:tab/>
      </w:r>
      <w:r w:rsidR="00BE0A56" w:rsidRPr="004676F5">
        <w:rPr>
          <w:b/>
          <w:lang w:val="de-DE"/>
        </w:rPr>
        <w:t>Art. </w:t>
      </w:r>
      <w:r w:rsidRPr="004676F5">
        <w:rPr>
          <w:b/>
          <w:lang w:val="de-DE"/>
        </w:rPr>
        <w:t>XV.76</w:t>
      </w:r>
      <w:r w:rsidRPr="004676F5">
        <w:rPr>
          <w:lang w:val="de-DE"/>
        </w:rPr>
        <w:t> </w:t>
      </w:r>
      <w:r w:rsidR="005B7A5C" w:rsidRPr="004676F5">
        <w:rPr>
          <w:lang w:val="de-DE"/>
        </w:rPr>
        <w:t>- </w:t>
      </w:r>
      <w:r w:rsidRPr="004676F5">
        <w:rPr>
          <w:lang w:val="de-DE"/>
        </w:rPr>
        <w:t>Mit einer Sanktion der Stufe 1 wird bestraft:</w:t>
      </w:r>
    </w:p>
    <w:p w14:paraId="694C2655" w14:textId="77777777" w:rsidR="00A06589" w:rsidRPr="004676F5" w:rsidRDefault="00A06589" w:rsidP="00A06589">
      <w:pPr>
        <w:jc w:val="both"/>
        <w:rPr>
          <w:lang w:val="de-DE"/>
        </w:rPr>
      </w:pPr>
    </w:p>
    <w:p w14:paraId="296774D4" w14:textId="77777777" w:rsidR="00A06589" w:rsidRPr="004676F5" w:rsidRDefault="00A06589" w:rsidP="00A06589">
      <w:pPr>
        <w:jc w:val="both"/>
        <w:rPr>
          <w:lang w:val="de-DE"/>
        </w:rPr>
      </w:pPr>
      <w:r w:rsidRPr="004676F5">
        <w:rPr>
          <w:lang w:val="de-DE"/>
        </w:rPr>
        <w:tab/>
        <w:t>1. wer gegen die Bestimmungen von Artikel III.25 verstößt,</w:t>
      </w:r>
    </w:p>
    <w:p w14:paraId="00F9BCB7" w14:textId="77777777" w:rsidR="00A06589" w:rsidRPr="004676F5" w:rsidRDefault="00A06589" w:rsidP="00A06589">
      <w:pPr>
        <w:jc w:val="both"/>
        <w:rPr>
          <w:lang w:val="de-DE"/>
        </w:rPr>
      </w:pPr>
    </w:p>
    <w:p w14:paraId="07C967D7" w14:textId="77777777" w:rsidR="00A06589" w:rsidRPr="004676F5" w:rsidRDefault="00A06589" w:rsidP="00A06589">
      <w:pPr>
        <w:jc w:val="both"/>
        <w:rPr>
          <w:lang w:val="de-DE"/>
        </w:rPr>
      </w:pPr>
      <w:r w:rsidRPr="004676F5">
        <w:rPr>
          <w:lang w:val="de-DE"/>
        </w:rPr>
        <w:tab/>
        <w:t>2. wer versäumt, die in Artikel III.52 erwähnte Streichung zu beantragen.</w:t>
      </w:r>
    </w:p>
    <w:p w14:paraId="54A14ECA" w14:textId="77777777" w:rsidR="00A06589" w:rsidRPr="004676F5" w:rsidRDefault="00A06589" w:rsidP="00A06589">
      <w:pPr>
        <w:jc w:val="both"/>
        <w:rPr>
          <w:lang w:val="de-DE"/>
        </w:rPr>
      </w:pPr>
    </w:p>
    <w:p w14:paraId="4B587CC0" w14:textId="77777777" w:rsidR="00A06589" w:rsidRPr="004676F5" w:rsidRDefault="00A06589" w:rsidP="00A06589">
      <w:pPr>
        <w:jc w:val="both"/>
        <w:rPr>
          <w:lang w:val="de-DE"/>
        </w:rPr>
      </w:pPr>
    </w:p>
    <w:p w14:paraId="14AD7E35" w14:textId="77777777" w:rsidR="00AC5746" w:rsidRPr="004676F5" w:rsidRDefault="00AC5746">
      <w:pPr>
        <w:rPr>
          <w:lang w:val="de-DE"/>
        </w:rPr>
      </w:pPr>
      <w:r w:rsidRPr="004676F5">
        <w:rPr>
          <w:lang w:val="de-DE"/>
        </w:rPr>
        <w:br w:type="page"/>
      </w:r>
    </w:p>
    <w:p w14:paraId="1CB6C059" w14:textId="2B4497AE" w:rsidR="00A06589" w:rsidRPr="004676F5" w:rsidRDefault="00A06589" w:rsidP="00A06589">
      <w:pPr>
        <w:jc w:val="both"/>
        <w:rPr>
          <w:lang w:val="de-DE"/>
        </w:rPr>
      </w:pPr>
      <w:r w:rsidRPr="004676F5">
        <w:rPr>
          <w:lang w:val="de-DE"/>
        </w:rPr>
        <w:lastRenderedPageBreak/>
        <w:tab/>
      </w:r>
      <w:r w:rsidR="00BE0A56" w:rsidRPr="004676F5">
        <w:rPr>
          <w:b/>
          <w:lang w:val="de-DE"/>
        </w:rPr>
        <w:t>Art. </w:t>
      </w:r>
      <w:r w:rsidRPr="004676F5">
        <w:rPr>
          <w:b/>
          <w:lang w:val="de-DE"/>
        </w:rPr>
        <w:t>XV.77</w:t>
      </w:r>
      <w:r w:rsidRPr="004676F5">
        <w:rPr>
          <w:lang w:val="de-DE"/>
        </w:rPr>
        <w:t> </w:t>
      </w:r>
      <w:r w:rsidR="005B7A5C" w:rsidRPr="004676F5">
        <w:rPr>
          <w:lang w:val="de-DE"/>
        </w:rPr>
        <w:t>- </w:t>
      </w:r>
      <w:r w:rsidRPr="004676F5">
        <w:rPr>
          <w:lang w:val="de-DE"/>
        </w:rPr>
        <w:t>Mit einer Sanktion der Stufe 2 wird bestraft:</w:t>
      </w:r>
    </w:p>
    <w:p w14:paraId="29FDCDB5" w14:textId="77777777" w:rsidR="00A06589" w:rsidRPr="004676F5" w:rsidRDefault="00A06589" w:rsidP="00A06589">
      <w:pPr>
        <w:jc w:val="both"/>
        <w:rPr>
          <w:lang w:val="de-DE"/>
        </w:rPr>
      </w:pPr>
    </w:p>
    <w:p w14:paraId="08C95526" w14:textId="49D731B6" w:rsidR="00A06589" w:rsidRPr="004676F5" w:rsidRDefault="00A06589" w:rsidP="00A06589">
      <w:pPr>
        <w:jc w:val="both"/>
        <w:rPr>
          <w:lang w:val="de-DE"/>
        </w:rPr>
      </w:pPr>
      <w:r w:rsidRPr="004676F5">
        <w:rPr>
          <w:lang w:val="de-DE"/>
        </w:rPr>
        <w:tab/>
        <w:t xml:space="preserve">1. wer Tätigkeiten, für die er </w:t>
      </w:r>
      <w:r w:rsidR="00AC5746" w:rsidRPr="004676F5">
        <w:rPr>
          <w:lang w:val="de-DE"/>
        </w:rPr>
        <w:t xml:space="preserve">[als eintragungspflichtiges Unternehmen] </w:t>
      </w:r>
      <w:r w:rsidRPr="004676F5">
        <w:rPr>
          <w:lang w:val="de-DE"/>
        </w:rPr>
        <w:t>in der Zentralen Datenbank der Unternehmen eingetragen sein muss, ausübt, ohne dafür in dieser Eigenschaft eingetragen zu sein,</w:t>
      </w:r>
    </w:p>
    <w:p w14:paraId="2ED455B8" w14:textId="77777777" w:rsidR="00A06589" w:rsidRPr="004676F5" w:rsidRDefault="00A06589" w:rsidP="00A06589">
      <w:pPr>
        <w:jc w:val="both"/>
        <w:rPr>
          <w:lang w:val="de-DE"/>
        </w:rPr>
      </w:pPr>
    </w:p>
    <w:p w14:paraId="22E92F30" w14:textId="69E9CBA3" w:rsidR="00A06589" w:rsidRPr="004676F5" w:rsidRDefault="00A06589" w:rsidP="00A06589">
      <w:pPr>
        <w:jc w:val="both"/>
        <w:rPr>
          <w:lang w:val="de-DE"/>
        </w:rPr>
      </w:pPr>
      <w:r w:rsidRPr="004676F5">
        <w:rPr>
          <w:lang w:val="de-DE"/>
        </w:rPr>
        <w:tab/>
        <w:t xml:space="preserve">2. wer </w:t>
      </w:r>
      <w:r w:rsidR="00AC5746" w:rsidRPr="004676F5">
        <w:rPr>
          <w:lang w:val="de-DE"/>
        </w:rPr>
        <w:t>[als eintragungspflichtiges Unternehmen]</w:t>
      </w:r>
      <w:r w:rsidRPr="004676F5">
        <w:rPr>
          <w:lang w:val="de-DE"/>
        </w:rPr>
        <w:t xml:space="preserve"> eingetragen ist und Tätigkeiten ausübt beziehungsweise eine Niederlassungseinheit betreibt, die nicht in der Zentralen Datenbank der Unternehmen eingetragen sind,</w:t>
      </w:r>
    </w:p>
    <w:p w14:paraId="66C418E1" w14:textId="77777777" w:rsidR="00A06589" w:rsidRPr="004676F5" w:rsidRDefault="00A06589" w:rsidP="00A06589">
      <w:pPr>
        <w:jc w:val="both"/>
        <w:rPr>
          <w:lang w:val="de-DE"/>
        </w:rPr>
      </w:pPr>
    </w:p>
    <w:p w14:paraId="0BFB64C8" w14:textId="77777777" w:rsidR="00A06589" w:rsidRPr="004676F5" w:rsidRDefault="00A06589" w:rsidP="00A06589">
      <w:pPr>
        <w:jc w:val="both"/>
        <w:rPr>
          <w:lang w:val="de-DE"/>
        </w:rPr>
      </w:pPr>
      <w:r w:rsidRPr="004676F5">
        <w:rPr>
          <w:lang w:val="de-DE"/>
        </w:rPr>
        <w:tab/>
        <w:t>3. wer wissentlich einen fehlerhaften Antrag zur Eintragung, Änderung oder Streichung in der Zentralen Datenbank der Unternehmen einreicht,</w:t>
      </w:r>
    </w:p>
    <w:p w14:paraId="4655F57E" w14:textId="77777777" w:rsidR="00A06589" w:rsidRPr="004676F5" w:rsidRDefault="00A06589" w:rsidP="00A06589">
      <w:pPr>
        <w:jc w:val="both"/>
        <w:rPr>
          <w:lang w:val="de-DE"/>
        </w:rPr>
      </w:pPr>
    </w:p>
    <w:p w14:paraId="6AB7BC63" w14:textId="77777777" w:rsidR="00A06589" w:rsidRPr="004676F5" w:rsidRDefault="00A06589" w:rsidP="00A06589">
      <w:pPr>
        <w:jc w:val="both"/>
        <w:rPr>
          <w:lang w:val="de-DE"/>
        </w:rPr>
      </w:pPr>
      <w:r w:rsidRPr="004676F5">
        <w:rPr>
          <w:lang w:val="de-DE"/>
        </w:rPr>
        <w:tab/>
        <w:t>4. wer gegen die in Artikel III.30 erwähnten Entscheidungen oder Erlasse verstößt,</w:t>
      </w:r>
    </w:p>
    <w:p w14:paraId="25C30519" w14:textId="77777777" w:rsidR="00A06589" w:rsidRPr="004676F5" w:rsidRDefault="00A06589" w:rsidP="00A06589">
      <w:pPr>
        <w:jc w:val="both"/>
        <w:rPr>
          <w:lang w:val="de-DE"/>
        </w:rPr>
      </w:pPr>
    </w:p>
    <w:p w14:paraId="45A74F79" w14:textId="77777777" w:rsidR="00A06589" w:rsidRPr="004676F5" w:rsidRDefault="00A06589" w:rsidP="00A06589">
      <w:pPr>
        <w:jc w:val="both"/>
        <w:rPr>
          <w:lang w:val="de-DE"/>
        </w:rPr>
      </w:pPr>
      <w:r w:rsidRPr="004676F5">
        <w:rPr>
          <w:lang w:val="de-DE"/>
        </w:rPr>
        <w:tab/>
        <w:t>5. wer die Ausübung der Rechte, wie in Artikel III.32 bestimmt, behindert,</w:t>
      </w:r>
    </w:p>
    <w:p w14:paraId="3EA0A20F" w14:textId="77777777" w:rsidR="00A06589" w:rsidRPr="004676F5" w:rsidRDefault="00A06589" w:rsidP="00A06589">
      <w:pPr>
        <w:jc w:val="both"/>
        <w:rPr>
          <w:lang w:val="de-DE"/>
        </w:rPr>
      </w:pPr>
    </w:p>
    <w:p w14:paraId="3375EFC5" w14:textId="70D7485D" w:rsidR="00A06589" w:rsidRPr="004676F5" w:rsidRDefault="00A06589" w:rsidP="00A06589">
      <w:pPr>
        <w:jc w:val="both"/>
        <w:rPr>
          <w:lang w:val="de-DE"/>
        </w:rPr>
      </w:pPr>
      <w:r w:rsidRPr="004676F5">
        <w:rPr>
          <w:lang w:val="de-DE"/>
        </w:rPr>
        <w:tab/>
        <w:t xml:space="preserve">6. wer eine Änderung seiner Eintragung </w:t>
      </w:r>
      <w:r w:rsidR="00AC5746" w:rsidRPr="004676F5">
        <w:rPr>
          <w:lang w:val="de-DE"/>
        </w:rPr>
        <w:t>[als eintragungspflichtiges Unternehmen]</w:t>
      </w:r>
      <w:r w:rsidRPr="004676F5">
        <w:rPr>
          <w:lang w:val="de-DE"/>
        </w:rPr>
        <w:t xml:space="preserve"> nicht innerhalb der in Artikel III.51 erwähnten Frist beantragt,</w:t>
      </w:r>
    </w:p>
    <w:p w14:paraId="4E7C15A2" w14:textId="77777777" w:rsidR="00A06589" w:rsidRPr="004676F5" w:rsidRDefault="00A06589" w:rsidP="00A06589">
      <w:pPr>
        <w:jc w:val="both"/>
        <w:rPr>
          <w:lang w:val="de-DE"/>
        </w:rPr>
      </w:pPr>
    </w:p>
    <w:p w14:paraId="0956C31E" w14:textId="77777777" w:rsidR="00A06589" w:rsidRPr="004676F5" w:rsidRDefault="00A06589" w:rsidP="00A06589">
      <w:pPr>
        <w:jc w:val="both"/>
        <w:rPr>
          <w:lang w:val="de-DE"/>
        </w:rPr>
      </w:pPr>
      <w:r w:rsidRPr="004676F5">
        <w:rPr>
          <w:lang w:val="de-DE"/>
        </w:rPr>
        <w:tab/>
        <w:t>7. wer gegen die Bestimmungen der Artikel III.74 bis III.77 und III.81 verstößt.</w:t>
      </w:r>
    </w:p>
    <w:p w14:paraId="60881284" w14:textId="0DFFFC1E" w:rsidR="00A06589" w:rsidRPr="004676F5" w:rsidRDefault="00A06589" w:rsidP="00A06589">
      <w:pPr>
        <w:jc w:val="both"/>
        <w:rPr>
          <w:lang w:val="de-DE"/>
        </w:rPr>
      </w:pPr>
    </w:p>
    <w:p w14:paraId="3077C6C4" w14:textId="3A08FCC8" w:rsidR="00AC5746" w:rsidRPr="004676F5" w:rsidRDefault="00AC5746" w:rsidP="00A06589">
      <w:pPr>
        <w:jc w:val="both"/>
        <w:rPr>
          <w:i/>
          <w:lang w:val="de-DE"/>
        </w:rPr>
      </w:pPr>
      <w:r w:rsidRPr="004676F5">
        <w:rPr>
          <w:i/>
          <w:lang w:val="de-DE"/>
        </w:rPr>
        <w:t>[Art. XV.77 einziger Absatz Nr. 1 abgeändert durch Art. 205 Buchstabe a) des G. vom 15. April 2018 (B.S. vom 27. April 2018); einziger Absatz Nr. 2 abgeändert durch Art. 205 Buchstabe b) des G. vom 15. April 2018 (B.S. vom 27. April 2018); einziger Absatz Nr. 6 abgeändert durch Art. 205 Buchstabe c) des G. vom 15. April 2018 (B.S. vom 27. April 2018)]</w:t>
      </w:r>
    </w:p>
    <w:p w14:paraId="5F3B29C4" w14:textId="05D6538F" w:rsidR="00A06589" w:rsidRPr="004676F5" w:rsidRDefault="00A06589" w:rsidP="00A06589">
      <w:pPr>
        <w:jc w:val="both"/>
        <w:rPr>
          <w:lang w:val="de-DE"/>
        </w:rPr>
      </w:pPr>
    </w:p>
    <w:p w14:paraId="0A5052B2" w14:textId="77777777" w:rsidR="00AC5746" w:rsidRPr="004676F5" w:rsidRDefault="00AC5746" w:rsidP="00A06589">
      <w:pPr>
        <w:jc w:val="both"/>
        <w:rPr>
          <w:lang w:val="de-DE"/>
        </w:rPr>
      </w:pPr>
    </w:p>
    <w:p w14:paraId="7BBE3FE8" w14:textId="011BB5EA" w:rsidR="00A06589" w:rsidRPr="004676F5" w:rsidRDefault="00A06589" w:rsidP="00A06589">
      <w:pPr>
        <w:jc w:val="both"/>
        <w:rPr>
          <w:lang w:val="de-DE"/>
        </w:rPr>
      </w:pPr>
      <w:r w:rsidRPr="004676F5">
        <w:rPr>
          <w:lang w:val="de-DE"/>
        </w:rPr>
        <w:tab/>
      </w:r>
      <w:r w:rsidR="00BE0A56" w:rsidRPr="004676F5">
        <w:rPr>
          <w:b/>
          <w:lang w:val="de-DE"/>
        </w:rPr>
        <w:t>Art. </w:t>
      </w:r>
      <w:r w:rsidRPr="004676F5">
        <w:rPr>
          <w:b/>
          <w:lang w:val="de-DE"/>
        </w:rPr>
        <w:t>XV.78</w:t>
      </w:r>
      <w:r w:rsidRPr="004676F5">
        <w:rPr>
          <w:lang w:val="de-DE"/>
        </w:rPr>
        <w:t> </w:t>
      </w:r>
      <w:r w:rsidR="005B7A5C" w:rsidRPr="004676F5">
        <w:rPr>
          <w:lang w:val="de-DE"/>
        </w:rPr>
        <w:t>- </w:t>
      </w:r>
      <w:r w:rsidRPr="004676F5">
        <w:rPr>
          <w:lang w:val="de-DE"/>
        </w:rPr>
        <w:t>Mit einer Sanktion der Stufe 3 wird bestraft:</w:t>
      </w:r>
    </w:p>
    <w:p w14:paraId="4CA6A336" w14:textId="77777777" w:rsidR="00A06589" w:rsidRPr="004676F5" w:rsidRDefault="00A06589" w:rsidP="00A06589">
      <w:pPr>
        <w:jc w:val="both"/>
        <w:rPr>
          <w:lang w:val="de-DE"/>
        </w:rPr>
      </w:pPr>
    </w:p>
    <w:p w14:paraId="2FD0393E" w14:textId="433E800D" w:rsidR="00A06589" w:rsidRPr="004676F5" w:rsidRDefault="00A06589" w:rsidP="00A06589">
      <w:pPr>
        <w:jc w:val="both"/>
        <w:rPr>
          <w:lang w:val="de-DE"/>
        </w:rPr>
      </w:pPr>
      <w:r w:rsidRPr="004676F5">
        <w:rPr>
          <w:lang w:val="de-DE"/>
        </w:rPr>
        <w:tab/>
        <w:t xml:space="preserve">1. wer eine wirtschaftliche Tätigkeit ausübt, nachdem ihm die Eintragung </w:t>
      </w:r>
      <w:r w:rsidR="00AC5746" w:rsidRPr="004676F5">
        <w:rPr>
          <w:lang w:val="de-DE"/>
        </w:rPr>
        <w:t>[als eintragungspflichtiges Unternehmen]</w:t>
      </w:r>
      <w:r w:rsidRPr="004676F5">
        <w:rPr>
          <w:lang w:val="de-DE"/>
        </w:rPr>
        <w:t xml:space="preserve"> verweigert oder die Eintragung gestrichen worden ist,</w:t>
      </w:r>
    </w:p>
    <w:p w14:paraId="6230C534" w14:textId="77777777" w:rsidR="00A06589" w:rsidRPr="004676F5" w:rsidRDefault="00A06589" w:rsidP="00A06589">
      <w:pPr>
        <w:jc w:val="both"/>
        <w:rPr>
          <w:lang w:val="de-DE"/>
        </w:rPr>
      </w:pPr>
    </w:p>
    <w:p w14:paraId="040A5940" w14:textId="77777777" w:rsidR="00A06589" w:rsidRPr="004676F5" w:rsidRDefault="00A06589" w:rsidP="00A06589">
      <w:pPr>
        <w:jc w:val="both"/>
        <w:rPr>
          <w:lang w:val="de-DE"/>
        </w:rPr>
      </w:pPr>
      <w:r w:rsidRPr="004676F5">
        <w:rPr>
          <w:lang w:val="de-DE"/>
        </w:rPr>
        <w:tab/>
        <w:t>2. wer drei Tage nach Zustellung eines rechtskräftigen Urteils oder Verurteilungs</w:t>
      </w:r>
      <w:r w:rsidRPr="004676F5">
        <w:rPr>
          <w:lang w:val="de-DE"/>
        </w:rPr>
        <w:softHyphen/>
        <w:t>entscheids die ihm verbotene wirtschaftliche Tätigkeit weiterhin ausübt.</w:t>
      </w:r>
    </w:p>
    <w:p w14:paraId="1C0E9B4F" w14:textId="77777777" w:rsidR="00A06589" w:rsidRPr="004676F5" w:rsidRDefault="00A06589" w:rsidP="00A06589">
      <w:pPr>
        <w:jc w:val="both"/>
        <w:rPr>
          <w:lang w:val="de-DE"/>
        </w:rPr>
      </w:pPr>
    </w:p>
    <w:p w14:paraId="7768DBDF" w14:textId="77777777" w:rsidR="00A06589" w:rsidRPr="004676F5" w:rsidRDefault="00A06589" w:rsidP="00A06589">
      <w:pPr>
        <w:jc w:val="both"/>
        <w:rPr>
          <w:lang w:val="de-DE"/>
        </w:rPr>
      </w:pPr>
      <w:r w:rsidRPr="004676F5">
        <w:rPr>
          <w:lang w:val="de-DE"/>
        </w:rPr>
        <w:tab/>
        <w:t>Die Staatsanwaltschaft lässt zudem die Räumlichkeit, in der die Tätigkeit ausgeübt wird, versiegeln oder trifft andere geeignete Maßnahmen.</w:t>
      </w:r>
    </w:p>
    <w:p w14:paraId="0CC7E05E" w14:textId="4FC34BD0" w:rsidR="00A06589" w:rsidRPr="004676F5" w:rsidRDefault="00A06589" w:rsidP="00A06589">
      <w:pPr>
        <w:jc w:val="both"/>
        <w:rPr>
          <w:lang w:val="de-DE"/>
        </w:rPr>
      </w:pPr>
    </w:p>
    <w:p w14:paraId="12404348" w14:textId="247E7CED" w:rsidR="00AC5746" w:rsidRPr="004676F5" w:rsidRDefault="00AC5746" w:rsidP="00A06589">
      <w:pPr>
        <w:jc w:val="both"/>
        <w:rPr>
          <w:i/>
          <w:lang w:val="de-DE"/>
        </w:rPr>
      </w:pPr>
      <w:r w:rsidRPr="004676F5">
        <w:rPr>
          <w:i/>
          <w:lang w:val="de-DE"/>
        </w:rPr>
        <w:t>[Art. XV.78 Abs. 1 Nr. 1 abgeändert durch Art. 206 des G. vom 15. April 2018 (B.S. vom 27. April 2018)]</w:t>
      </w:r>
    </w:p>
    <w:p w14:paraId="68D42586" w14:textId="77777777" w:rsidR="00AC5746" w:rsidRPr="004676F5" w:rsidRDefault="00AC5746" w:rsidP="00A06589">
      <w:pPr>
        <w:jc w:val="both"/>
        <w:rPr>
          <w:i/>
          <w:lang w:val="de-DE"/>
        </w:rPr>
      </w:pPr>
    </w:p>
    <w:p w14:paraId="6AF72E6B" w14:textId="77777777" w:rsidR="00A06589" w:rsidRPr="004676F5" w:rsidRDefault="00A06589" w:rsidP="00A06589">
      <w:pPr>
        <w:jc w:val="both"/>
        <w:rPr>
          <w:lang w:val="de-DE"/>
        </w:rPr>
      </w:pPr>
    </w:p>
    <w:p w14:paraId="27BCA886" w14:textId="6DE8C643" w:rsidR="00BA2266" w:rsidRPr="004676F5" w:rsidRDefault="00A06589" w:rsidP="00A06589">
      <w:pPr>
        <w:jc w:val="both"/>
        <w:rPr>
          <w:lang w:val="de-DE"/>
        </w:rPr>
      </w:pPr>
      <w:r w:rsidRPr="004676F5">
        <w:rPr>
          <w:lang w:val="de-DE"/>
        </w:rPr>
        <w:tab/>
      </w:r>
      <w:r w:rsidR="00BE0A56" w:rsidRPr="004676F5">
        <w:rPr>
          <w:b/>
          <w:lang w:val="de-DE"/>
        </w:rPr>
        <w:t>Art. </w:t>
      </w:r>
      <w:r w:rsidRPr="004676F5">
        <w:rPr>
          <w:b/>
          <w:lang w:val="de-DE"/>
        </w:rPr>
        <w:t>XV.79</w:t>
      </w:r>
      <w:r w:rsidRPr="004676F5">
        <w:rPr>
          <w:lang w:val="de-DE"/>
        </w:rPr>
        <w:t> </w:t>
      </w:r>
      <w:r w:rsidR="005B7A5C" w:rsidRPr="004676F5">
        <w:rPr>
          <w:lang w:val="de-DE"/>
        </w:rPr>
        <w:t>- </w:t>
      </w:r>
      <w:r w:rsidRPr="004676F5">
        <w:rPr>
          <w:lang w:val="de-DE"/>
        </w:rPr>
        <w:t>Mit einer Sanktion der Stufe 4 wird bestraft, wer gegen die Erlasse zur Ausführung von Artikel III.33 verstößt.]</w:t>
      </w:r>
    </w:p>
    <w:p w14:paraId="0B99D4A8" w14:textId="77777777" w:rsidR="00EB6EE0" w:rsidRPr="004676F5" w:rsidRDefault="00EB6EE0" w:rsidP="00BA2266">
      <w:pPr>
        <w:jc w:val="both"/>
        <w:rPr>
          <w:lang w:val="de-DE"/>
        </w:rPr>
      </w:pPr>
    </w:p>
    <w:p w14:paraId="277FD872" w14:textId="77777777" w:rsidR="00A06589" w:rsidRPr="004676F5" w:rsidRDefault="00A06589" w:rsidP="00BA2266">
      <w:pPr>
        <w:jc w:val="both"/>
        <w:rPr>
          <w:lang w:val="de-DE"/>
        </w:rPr>
      </w:pPr>
    </w:p>
    <w:p w14:paraId="344CA64E" w14:textId="77777777" w:rsidR="00AC5746" w:rsidRPr="004676F5" w:rsidRDefault="00AC5746">
      <w:pPr>
        <w:rPr>
          <w:i/>
          <w:lang w:val="de-DE"/>
        </w:rPr>
      </w:pPr>
      <w:r w:rsidRPr="004676F5">
        <w:rPr>
          <w:i/>
          <w:lang w:val="de-DE"/>
        </w:rPr>
        <w:br w:type="page"/>
      </w:r>
    </w:p>
    <w:p w14:paraId="6E9F55B8" w14:textId="3D3FD61B" w:rsidR="00BA2266" w:rsidRPr="004676F5" w:rsidRDefault="00BA2266" w:rsidP="00BA2266">
      <w:pPr>
        <w:jc w:val="center"/>
        <w:rPr>
          <w:lang w:val="de-DE"/>
        </w:rPr>
      </w:pPr>
      <w:r w:rsidRPr="004676F5">
        <w:rPr>
          <w:i/>
          <w:lang w:val="de-DE"/>
        </w:rPr>
        <w:lastRenderedPageBreak/>
        <w:t>Abschnitt 2</w:t>
      </w:r>
      <w:r w:rsidRPr="004676F5">
        <w:rPr>
          <w:lang w:val="de-DE"/>
        </w:rPr>
        <w:t> </w:t>
      </w:r>
      <w:r w:rsidR="005B7A5C" w:rsidRPr="004676F5">
        <w:rPr>
          <w:lang w:val="de-DE"/>
        </w:rPr>
        <w:t>- </w:t>
      </w:r>
      <w:r w:rsidRPr="004676F5">
        <w:rPr>
          <w:lang w:val="de-DE"/>
        </w:rPr>
        <w:t>Strafen in Bezug auf Verstöße gegen Buch IV</w:t>
      </w:r>
    </w:p>
    <w:p w14:paraId="71A8588B" w14:textId="77777777" w:rsidR="00BA2266" w:rsidRPr="004676F5" w:rsidRDefault="00BA2266" w:rsidP="00BA2266">
      <w:pPr>
        <w:jc w:val="both"/>
        <w:rPr>
          <w:lang w:val="de-DE"/>
        </w:rPr>
      </w:pPr>
    </w:p>
    <w:p w14:paraId="6259D17E" w14:textId="77777777" w:rsidR="00EB6EE0" w:rsidRPr="004676F5" w:rsidRDefault="00EB6EE0" w:rsidP="00BA2266">
      <w:pPr>
        <w:jc w:val="both"/>
        <w:rPr>
          <w:lang w:val="de-DE"/>
        </w:rPr>
      </w:pPr>
    </w:p>
    <w:p w14:paraId="2AC6B880" w14:textId="530258E2" w:rsidR="00BA2266" w:rsidRPr="004676F5" w:rsidRDefault="00BE0A56" w:rsidP="00BA2266">
      <w:pPr>
        <w:ind w:firstLine="708"/>
        <w:jc w:val="both"/>
        <w:rPr>
          <w:lang w:val="de-DE"/>
        </w:rPr>
      </w:pPr>
      <w:r w:rsidRPr="004676F5">
        <w:rPr>
          <w:b/>
          <w:lang w:val="de-DE"/>
        </w:rPr>
        <w:t>Art. </w:t>
      </w:r>
      <w:r w:rsidR="00BA2266" w:rsidRPr="004676F5">
        <w:rPr>
          <w:b/>
          <w:lang w:val="de-DE"/>
        </w:rPr>
        <w:t>XV.80</w:t>
      </w:r>
      <w:r w:rsidR="00BA2266" w:rsidRPr="004676F5">
        <w:rPr>
          <w:lang w:val="de-DE"/>
        </w:rPr>
        <w:t> </w:t>
      </w:r>
      <w:r w:rsidR="005B7A5C" w:rsidRPr="004676F5">
        <w:rPr>
          <w:lang w:val="de-DE"/>
        </w:rPr>
        <w:t>- </w:t>
      </w:r>
      <w:r w:rsidR="00BA2266" w:rsidRPr="004676F5">
        <w:rPr>
          <w:lang w:val="de-DE"/>
        </w:rPr>
        <w:t>Verstöße gegen die Artikel IV.13 und IV.14 werden mit einer Sanktion der Stufe 2 geahndet. Verstöße gegen den in Artikel IV.15 erwähnten Erlass werden mit einer Sanktion der Stufe 5 geahndet.</w:t>
      </w:r>
    </w:p>
    <w:p w14:paraId="24A0C54B" w14:textId="77777777" w:rsidR="00BA2266" w:rsidRPr="004676F5" w:rsidRDefault="00BA2266" w:rsidP="00BA2266">
      <w:pPr>
        <w:jc w:val="both"/>
        <w:rPr>
          <w:lang w:val="de-DE"/>
        </w:rPr>
      </w:pPr>
    </w:p>
    <w:p w14:paraId="46BD89F7" w14:textId="77777777" w:rsidR="00BA2266" w:rsidRPr="004676F5" w:rsidRDefault="00BA2266" w:rsidP="00BA2266">
      <w:pPr>
        <w:ind w:firstLine="708"/>
        <w:jc w:val="both"/>
        <w:rPr>
          <w:lang w:val="de-DE"/>
        </w:rPr>
      </w:pPr>
      <w:r w:rsidRPr="004676F5">
        <w:rPr>
          <w:lang w:val="de-DE"/>
        </w:rPr>
        <w:t>Der Gebrauch beziehungsweise die Bekanntgabe der in Anwendung der Bestimmungen von Buch IV erhaltenen Unterlagen und Auskünfte für andere Zwecke als die Anwendung von Buch IV und der Artikel 101 und 102 AEUV wird mit einer Sanktion der Stufe 5 geahndet.</w:t>
      </w:r>
    </w:p>
    <w:p w14:paraId="706299A7" w14:textId="77777777" w:rsidR="00BA2266" w:rsidRPr="004676F5" w:rsidRDefault="00BA2266" w:rsidP="00BA2266">
      <w:pPr>
        <w:jc w:val="both"/>
        <w:rPr>
          <w:lang w:val="de-DE"/>
        </w:rPr>
      </w:pPr>
    </w:p>
    <w:p w14:paraId="11AD7C1B" w14:textId="2327E088" w:rsidR="00BA2266" w:rsidRPr="004676F5" w:rsidRDefault="008A1473" w:rsidP="00BA2266">
      <w:pPr>
        <w:ind w:firstLine="708"/>
        <w:jc w:val="both"/>
        <w:rPr>
          <w:lang w:val="de-DE"/>
        </w:rPr>
      </w:pPr>
      <w:r w:rsidRPr="004676F5">
        <w:rPr>
          <w:lang w:val="de-DE"/>
        </w:rPr>
        <w:t>[</w:t>
      </w:r>
      <w:r w:rsidRPr="004676F5">
        <w:rPr>
          <w:rFonts w:eastAsia="Calibri"/>
          <w:kern w:val="2"/>
          <w:szCs w:val="22"/>
          <w:lang w:val="de-DE" w:eastAsia="en-US"/>
          <w14:ligatures w14:val="standardContextual"/>
        </w:rPr>
        <w:t>Verstöße gegen die Artikel IV.32 und IV.61 Absatz 2 werden ebenfalls mit einer Sanktion der Stufe 5 geahndet.</w:t>
      </w:r>
      <w:r w:rsidRPr="004676F5">
        <w:rPr>
          <w:lang w:val="de-DE"/>
        </w:rPr>
        <w:t>]</w:t>
      </w:r>
    </w:p>
    <w:p w14:paraId="3A57B39B" w14:textId="77777777" w:rsidR="008A1473" w:rsidRPr="004676F5" w:rsidRDefault="008A1473" w:rsidP="00BA2266">
      <w:pPr>
        <w:ind w:firstLine="708"/>
        <w:jc w:val="both"/>
        <w:rPr>
          <w:lang w:val="de-DE"/>
        </w:rPr>
      </w:pPr>
    </w:p>
    <w:p w14:paraId="6E9841EC" w14:textId="3A993707" w:rsidR="008A1473" w:rsidRPr="004676F5" w:rsidRDefault="008A1473" w:rsidP="008A1473">
      <w:pPr>
        <w:jc w:val="both"/>
        <w:rPr>
          <w:i/>
          <w:iCs/>
          <w:lang w:val="de-DE"/>
        </w:rPr>
      </w:pPr>
      <w:r w:rsidRPr="004676F5">
        <w:rPr>
          <w:i/>
          <w:iCs/>
          <w:lang w:val="de-DE"/>
        </w:rPr>
        <w:t>[Art. XV.80 Abs. 3 e</w:t>
      </w:r>
      <w:r w:rsidR="00402682" w:rsidRPr="004676F5">
        <w:rPr>
          <w:i/>
          <w:iCs/>
          <w:lang w:val="de-DE"/>
        </w:rPr>
        <w:t>rsetz</w:t>
      </w:r>
      <w:r w:rsidRPr="004676F5">
        <w:rPr>
          <w:i/>
          <w:iCs/>
          <w:lang w:val="de-DE"/>
        </w:rPr>
        <w:t>t durch Art. 4 des G. vom 2. Mai 2019 (V) (B.S. vom 24. Mai 2019)]</w:t>
      </w:r>
    </w:p>
    <w:p w14:paraId="477EC298" w14:textId="77777777" w:rsidR="00BA2266" w:rsidRPr="004676F5" w:rsidRDefault="00BA2266" w:rsidP="00BA2266">
      <w:pPr>
        <w:jc w:val="both"/>
        <w:rPr>
          <w:lang w:val="de-DE"/>
        </w:rPr>
      </w:pPr>
    </w:p>
    <w:p w14:paraId="64FC1031" w14:textId="77777777" w:rsidR="00EB6EE0" w:rsidRPr="004676F5" w:rsidRDefault="00EB6EE0" w:rsidP="00BA2266">
      <w:pPr>
        <w:jc w:val="center"/>
        <w:rPr>
          <w:i/>
          <w:lang w:val="de-DE"/>
        </w:rPr>
      </w:pPr>
    </w:p>
    <w:p w14:paraId="350612E0" w14:textId="7B4A94E6" w:rsidR="00BA2266" w:rsidRPr="004676F5" w:rsidRDefault="00BA2266" w:rsidP="00BA2266">
      <w:pPr>
        <w:jc w:val="center"/>
        <w:rPr>
          <w:lang w:val="de-DE"/>
        </w:rPr>
      </w:pPr>
      <w:r w:rsidRPr="004676F5">
        <w:rPr>
          <w:i/>
          <w:lang w:val="de-DE"/>
        </w:rPr>
        <w:t>Abschnitt 3 </w:t>
      </w:r>
      <w:r w:rsidR="005B7A5C" w:rsidRPr="004676F5">
        <w:rPr>
          <w:i/>
          <w:lang w:val="de-DE"/>
        </w:rPr>
        <w:t>- </w:t>
      </w:r>
      <w:r w:rsidRPr="004676F5">
        <w:rPr>
          <w:lang w:val="de-DE"/>
        </w:rPr>
        <w:t>Strafen in Bezug auf Verstöße gegen Buch V</w:t>
      </w:r>
    </w:p>
    <w:p w14:paraId="450EE481" w14:textId="79F1C8A2" w:rsidR="00BA2266" w:rsidRPr="004676F5" w:rsidRDefault="00BA2266" w:rsidP="00BA2266">
      <w:pPr>
        <w:jc w:val="both"/>
        <w:rPr>
          <w:lang w:val="de-DE"/>
        </w:rPr>
      </w:pPr>
    </w:p>
    <w:p w14:paraId="67610D7D" w14:textId="77777777" w:rsidR="00EB6EE0" w:rsidRPr="004676F5" w:rsidRDefault="00EB6EE0" w:rsidP="00BA2266">
      <w:pPr>
        <w:jc w:val="both"/>
        <w:rPr>
          <w:lang w:val="de-DE"/>
        </w:rPr>
      </w:pPr>
    </w:p>
    <w:p w14:paraId="114F7271" w14:textId="4F743831" w:rsidR="00BA2266" w:rsidRPr="004676F5" w:rsidRDefault="00BE0A56" w:rsidP="00BA2266">
      <w:pPr>
        <w:ind w:firstLine="708"/>
        <w:jc w:val="both"/>
        <w:rPr>
          <w:lang w:val="de-DE"/>
        </w:rPr>
      </w:pPr>
      <w:r w:rsidRPr="004676F5">
        <w:rPr>
          <w:b/>
          <w:lang w:val="de-DE"/>
        </w:rPr>
        <w:t>Art. </w:t>
      </w:r>
      <w:r w:rsidR="00BA2266" w:rsidRPr="004676F5">
        <w:rPr>
          <w:b/>
          <w:lang w:val="de-DE"/>
        </w:rPr>
        <w:t>XV.81</w:t>
      </w:r>
      <w:r w:rsidR="00BA2266" w:rsidRPr="004676F5">
        <w:rPr>
          <w:lang w:val="de-DE"/>
        </w:rPr>
        <w:t> </w:t>
      </w:r>
      <w:r w:rsidR="005B7A5C" w:rsidRPr="004676F5">
        <w:rPr>
          <w:lang w:val="de-DE"/>
        </w:rPr>
        <w:t>- </w:t>
      </w:r>
      <w:r w:rsidR="00BA2266" w:rsidRPr="004676F5">
        <w:rPr>
          <w:lang w:val="de-DE"/>
        </w:rPr>
        <w:t>Mit einer Sanktion der Stufe 5 wird bestraft, wer die ihm auferlegte Auskunftspflicht nach Buch V Titel 2 des vorliegenden Gesetzbuches nicht erfüllt.</w:t>
      </w:r>
    </w:p>
    <w:p w14:paraId="2FE62075" w14:textId="77777777" w:rsidR="00BA2266" w:rsidRPr="004676F5" w:rsidRDefault="00BA2266" w:rsidP="00BA2266">
      <w:pPr>
        <w:jc w:val="both"/>
        <w:rPr>
          <w:lang w:val="de-DE"/>
        </w:rPr>
      </w:pPr>
    </w:p>
    <w:p w14:paraId="2A780651" w14:textId="77777777" w:rsidR="00EB6EE0" w:rsidRPr="004676F5" w:rsidRDefault="00EB6EE0" w:rsidP="00BA2266">
      <w:pPr>
        <w:jc w:val="both"/>
        <w:rPr>
          <w:lang w:val="de-DE"/>
        </w:rPr>
      </w:pPr>
    </w:p>
    <w:p w14:paraId="599714C9" w14:textId="69619E5A" w:rsidR="00BA2266" w:rsidRPr="004676F5" w:rsidRDefault="00BE0A56" w:rsidP="00BA2266">
      <w:pPr>
        <w:ind w:firstLine="708"/>
        <w:jc w:val="both"/>
        <w:rPr>
          <w:lang w:val="de-DE"/>
        </w:rPr>
      </w:pPr>
      <w:r w:rsidRPr="004676F5">
        <w:rPr>
          <w:b/>
          <w:lang w:val="de-DE"/>
        </w:rPr>
        <w:t>Art. </w:t>
      </w:r>
      <w:r w:rsidR="00BA2266" w:rsidRPr="004676F5">
        <w:rPr>
          <w:b/>
          <w:lang w:val="de-DE"/>
        </w:rPr>
        <w:t>XV.82</w:t>
      </w:r>
      <w:r w:rsidR="00BA2266" w:rsidRPr="004676F5">
        <w:rPr>
          <w:lang w:val="de-DE"/>
        </w:rPr>
        <w:t> </w:t>
      </w:r>
      <w:r w:rsidR="005B7A5C" w:rsidRPr="004676F5">
        <w:rPr>
          <w:lang w:val="de-DE"/>
        </w:rPr>
        <w:t>- </w:t>
      </w:r>
      <w:r w:rsidR="00BA2266" w:rsidRPr="004676F5">
        <w:rPr>
          <w:lang w:val="de-DE"/>
        </w:rPr>
        <w:t xml:space="preserve">Mit einer Sanktion der Stufe 6 wird bestraft, wer gegen Artikel V.8 verstößt, sich nicht an einen Beschluss in Anwendung der Artikel V.4, V.5, </w:t>
      </w:r>
      <w:r w:rsidR="00E56C9E" w:rsidRPr="004676F5">
        <w:rPr>
          <w:lang w:val="de-DE"/>
        </w:rPr>
        <w:t xml:space="preserve">[V.10,] </w:t>
      </w:r>
      <w:r w:rsidR="00BA2266" w:rsidRPr="004676F5">
        <w:rPr>
          <w:lang w:val="de-DE"/>
        </w:rPr>
        <w:t xml:space="preserve">V.11, V.12 und V.14 </w:t>
      </w:r>
      <w:r w:rsidR="00E56C9E" w:rsidRPr="004676F5">
        <w:rPr>
          <w:lang w:val="de-DE"/>
        </w:rPr>
        <w:t>[...]</w:t>
      </w:r>
      <w:r w:rsidR="00BA2266" w:rsidRPr="004676F5">
        <w:rPr>
          <w:lang w:val="de-DE"/>
        </w:rPr>
        <w:t xml:space="preserve"> des vorliegenden Gesetzbuches </w:t>
      </w:r>
      <w:r w:rsidR="00523416" w:rsidRPr="004676F5">
        <w:rPr>
          <w:lang w:val="de-DE"/>
        </w:rPr>
        <w:t xml:space="preserve">[oder der Erlasse zur Ausführung der Artikel V.10, V.11, V.12 und V.14] </w:t>
      </w:r>
      <w:r w:rsidR="00BA2266" w:rsidRPr="004676F5">
        <w:rPr>
          <w:lang w:val="de-DE"/>
        </w:rPr>
        <w:t>hält beziehungsweise seine Mitarbeit bei der Ausführung eines solchen Beschlusses verweigert.</w:t>
      </w:r>
    </w:p>
    <w:p w14:paraId="1405482D" w14:textId="77777777" w:rsidR="00523416" w:rsidRPr="004676F5" w:rsidRDefault="00523416" w:rsidP="00BA2266">
      <w:pPr>
        <w:ind w:firstLine="708"/>
        <w:jc w:val="both"/>
        <w:rPr>
          <w:lang w:val="de-DE"/>
        </w:rPr>
      </w:pPr>
    </w:p>
    <w:p w14:paraId="29AEA211" w14:textId="7900C8CF" w:rsidR="00523416" w:rsidRPr="004676F5" w:rsidRDefault="00523416" w:rsidP="00523416">
      <w:pPr>
        <w:jc w:val="both"/>
        <w:rPr>
          <w:i/>
          <w:lang w:val="de-DE"/>
        </w:rPr>
      </w:pPr>
      <w:r w:rsidRPr="004676F5">
        <w:rPr>
          <w:i/>
          <w:lang w:val="de-DE"/>
        </w:rPr>
        <w:t>[</w:t>
      </w:r>
      <w:r w:rsidR="00BE0A56" w:rsidRPr="004676F5">
        <w:rPr>
          <w:i/>
          <w:lang w:val="de-DE"/>
        </w:rPr>
        <w:t>Art. </w:t>
      </w:r>
      <w:r w:rsidRPr="004676F5">
        <w:rPr>
          <w:i/>
          <w:lang w:val="de-DE"/>
        </w:rPr>
        <w:t xml:space="preserve">XV.82 abgeändert durch </w:t>
      </w:r>
      <w:r w:rsidR="00BE0A56" w:rsidRPr="004676F5">
        <w:rPr>
          <w:i/>
          <w:lang w:val="de-DE"/>
        </w:rPr>
        <w:t>Art. </w:t>
      </w:r>
      <w:r w:rsidRPr="004676F5">
        <w:rPr>
          <w:i/>
          <w:lang w:val="de-DE"/>
        </w:rPr>
        <w:t>26 Nr. 1 bis 3 des G. vom 18. April 2017 (B.S. vom 24. April 2017)]</w:t>
      </w:r>
    </w:p>
    <w:p w14:paraId="2B8C371A" w14:textId="77777777" w:rsidR="00BA2266" w:rsidRPr="004676F5" w:rsidRDefault="00BA2266" w:rsidP="00BA2266">
      <w:pPr>
        <w:jc w:val="both"/>
        <w:rPr>
          <w:lang w:val="de-DE"/>
        </w:rPr>
      </w:pPr>
    </w:p>
    <w:p w14:paraId="3D2A9A84" w14:textId="77777777" w:rsidR="00DF0C3C" w:rsidRPr="004676F5" w:rsidRDefault="00DF0C3C" w:rsidP="00BA2266">
      <w:pPr>
        <w:jc w:val="both"/>
        <w:rPr>
          <w:lang w:val="de-DE"/>
        </w:rPr>
      </w:pPr>
    </w:p>
    <w:p w14:paraId="26768B07" w14:textId="0E5CDE76" w:rsidR="00DF0C3C" w:rsidRPr="004676F5" w:rsidRDefault="00DF0C3C" w:rsidP="00DF0C3C">
      <w:pPr>
        <w:jc w:val="center"/>
        <w:rPr>
          <w:lang w:val="de-DE"/>
        </w:rPr>
      </w:pPr>
      <w:r w:rsidRPr="004676F5">
        <w:rPr>
          <w:lang w:val="de-DE"/>
        </w:rPr>
        <w:t>[</w:t>
      </w:r>
      <w:r w:rsidRPr="004676F5">
        <w:rPr>
          <w:i/>
          <w:lang w:val="de-DE"/>
        </w:rPr>
        <w:t>Abschnitt 4</w:t>
      </w:r>
      <w:r w:rsidRPr="004676F5">
        <w:rPr>
          <w:lang w:val="de-DE"/>
        </w:rPr>
        <w:t> </w:t>
      </w:r>
      <w:r w:rsidR="005B7A5C" w:rsidRPr="004676F5">
        <w:rPr>
          <w:lang w:val="de-DE"/>
        </w:rPr>
        <w:t>- </w:t>
      </w:r>
      <w:r w:rsidRPr="004676F5">
        <w:rPr>
          <w:lang w:val="de-DE"/>
        </w:rPr>
        <w:t>Strafen in Bezug auf Verstöße gegen Buch VI</w:t>
      </w:r>
    </w:p>
    <w:p w14:paraId="2CC0538D" w14:textId="77777777" w:rsidR="00DF0C3C" w:rsidRPr="004676F5" w:rsidRDefault="00DF0C3C" w:rsidP="00DF0C3C">
      <w:pPr>
        <w:jc w:val="both"/>
        <w:rPr>
          <w:lang w:val="de-DE"/>
        </w:rPr>
      </w:pPr>
    </w:p>
    <w:p w14:paraId="6952110D" w14:textId="4D48BAC1" w:rsidR="00DF0C3C" w:rsidRPr="004676F5" w:rsidRDefault="00DF0C3C" w:rsidP="00DF0C3C">
      <w:pPr>
        <w:jc w:val="both"/>
        <w:rPr>
          <w:i/>
          <w:lang w:val="de-DE"/>
        </w:rPr>
      </w:pPr>
      <w:r w:rsidRPr="004676F5">
        <w:rPr>
          <w:i/>
          <w:lang w:val="de-DE"/>
        </w:rPr>
        <w:t xml:space="preserve">[Abschnitt 4 mit den Artikeln XV.83 bis XV.86 eingefügt durch </w:t>
      </w:r>
      <w:r w:rsidR="00BE0A56" w:rsidRPr="004676F5">
        <w:rPr>
          <w:i/>
          <w:lang w:val="de-DE"/>
        </w:rPr>
        <w:t>Art. </w:t>
      </w:r>
      <w:r w:rsidRPr="004676F5">
        <w:rPr>
          <w:i/>
          <w:lang w:val="de-DE"/>
        </w:rPr>
        <w:t>5 des G. vom 21. Dezember 2013 (B.S. vom 30. Dezember 2013, Err. vom 20. Januar 2014)]</w:t>
      </w:r>
    </w:p>
    <w:p w14:paraId="0C650ED8" w14:textId="77777777" w:rsidR="00DF0C3C" w:rsidRPr="004676F5" w:rsidRDefault="00DF0C3C" w:rsidP="00DF0C3C">
      <w:pPr>
        <w:jc w:val="both"/>
        <w:rPr>
          <w:i/>
          <w:lang w:val="de-DE"/>
        </w:rPr>
      </w:pPr>
    </w:p>
    <w:p w14:paraId="1BF73642" w14:textId="77777777" w:rsidR="00DF0C3C" w:rsidRPr="004676F5" w:rsidRDefault="00DF0C3C" w:rsidP="00DF0C3C">
      <w:pPr>
        <w:jc w:val="both"/>
        <w:rPr>
          <w:iCs/>
          <w:lang w:val="de-DE"/>
        </w:rPr>
      </w:pPr>
    </w:p>
    <w:p w14:paraId="23178EC4" w14:textId="77777777" w:rsidR="00B14EE1" w:rsidRPr="004676F5" w:rsidRDefault="00B14EE1" w:rsidP="00B14EE1">
      <w:pPr>
        <w:jc w:val="both"/>
        <w:rPr>
          <w:lang w:val="de-DE"/>
        </w:rPr>
      </w:pPr>
      <w:r w:rsidRPr="004676F5">
        <w:rPr>
          <w:iCs/>
          <w:lang w:val="de-DE"/>
        </w:rPr>
        <w:tab/>
        <w:t>[</w:t>
      </w:r>
      <w:r w:rsidRPr="004676F5">
        <w:rPr>
          <w:b/>
          <w:bCs/>
          <w:lang w:val="de-DE"/>
        </w:rPr>
        <w:t>Art. XV.82/1</w:t>
      </w:r>
      <w:r w:rsidRPr="004676F5">
        <w:rPr>
          <w:lang w:val="de-DE"/>
        </w:rPr>
        <w:t> - Mit einer Sanktion der Stufe 1 wird bestraft, wer gegen die Bestimmungen von Artikel VI.7/5 in Bezug auf die Pflicht zur Annahme von Barzahlungen verstößt.</w:t>
      </w:r>
    </w:p>
    <w:p w14:paraId="59CCAD8C" w14:textId="77777777" w:rsidR="00B14EE1" w:rsidRPr="004676F5" w:rsidRDefault="00B14EE1" w:rsidP="00B14EE1">
      <w:pPr>
        <w:jc w:val="both"/>
        <w:rPr>
          <w:lang w:val="de-DE"/>
        </w:rPr>
      </w:pPr>
    </w:p>
    <w:p w14:paraId="3B885DF6" w14:textId="1C2AC47B" w:rsidR="00B14EE1" w:rsidRPr="004676F5" w:rsidRDefault="00B14EE1" w:rsidP="00B14EE1">
      <w:pPr>
        <w:jc w:val="both"/>
        <w:rPr>
          <w:iCs/>
          <w:lang w:val="de-DE"/>
        </w:rPr>
      </w:pPr>
      <w:r w:rsidRPr="004676F5">
        <w:rPr>
          <w:lang w:val="de-DE"/>
        </w:rPr>
        <w:tab/>
        <w:t>Die Sanktion darf nur verhängt werden, sofern die Taten, die einen Verstoß darstellen können, von den in Artikel XV.2 erwähnten Bediensteten mindestens zweimal festgestellt worden sind und auf die bei der ersten Feststellung eines Verstoßes erteilte Verwarnung wie in Artikel XV.31 erwähnt nicht angemessen Folge geleistet worden ist.</w:t>
      </w:r>
      <w:r w:rsidRPr="004676F5">
        <w:rPr>
          <w:iCs/>
          <w:lang w:val="de-DE"/>
        </w:rPr>
        <w:t>]</w:t>
      </w:r>
    </w:p>
    <w:p w14:paraId="009891BD" w14:textId="77777777" w:rsidR="00B14EE1" w:rsidRPr="004676F5" w:rsidRDefault="00B14EE1" w:rsidP="00B14EE1">
      <w:pPr>
        <w:jc w:val="both"/>
        <w:rPr>
          <w:iCs/>
          <w:lang w:val="de-DE"/>
        </w:rPr>
      </w:pPr>
    </w:p>
    <w:p w14:paraId="5BC21FB8" w14:textId="5F4DCB5B" w:rsidR="00B14EE1" w:rsidRPr="004676F5" w:rsidRDefault="00B14EE1" w:rsidP="00B14EE1">
      <w:pPr>
        <w:jc w:val="both"/>
        <w:rPr>
          <w:i/>
          <w:lang w:val="de-DE"/>
        </w:rPr>
      </w:pPr>
      <w:r w:rsidRPr="004676F5">
        <w:rPr>
          <w:i/>
          <w:lang w:val="de-DE"/>
        </w:rPr>
        <w:t>[Art. XV.82/1 eingefügt durch Art. 52</w:t>
      </w:r>
      <w:r w:rsidRPr="004676F5">
        <w:rPr>
          <w:i/>
          <w:iCs/>
          <w:lang w:val="de-DE"/>
        </w:rPr>
        <w:t xml:space="preserve"> des G. vom 9. Februar 2024 (B.S. vom 21. März 2024)]</w:t>
      </w:r>
    </w:p>
    <w:p w14:paraId="742FDEF2" w14:textId="77777777" w:rsidR="00B14EE1" w:rsidRPr="004676F5" w:rsidRDefault="00B14EE1" w:rsidP="00DF0C3C">
      <w:pPr>
        <w:jc w:val="both"/>
        <w:rPr>
          <w:iCs/>
          <w:lang w:val="de-DE"/>
        </w:rPr>
      </w:pPr>
    </w:p>
    <w:p w14:paraId="7F002D44" w14:textId="77777777" w:rsidR="00B14EE1" w:rsidRPr="004676F5" w:rsidRDefault="00B14EE1" w:rsidP="00DF0C3C">
      <w:pPr>
        <w:jc w:val="both"/>
        <w:rPr>
          <w:iCs/>
          <w:lang w:val="de-DE"/>
        </w:rPr>
      </w:pPr>
    </w:p>
    <w:p w14:paraId="75E947E2" w14:textId="7193DD39" w:rsidR="00DF0C3C" w:rsidRPr="004676F5" w:rsidRDefault="00DF0C3C" w:rsidP="00DF0C3C">
      <w:pPr>
        <w:jc w:val="both"/>
        <w:rPr>
          <w:lang w:val="de-DE"/>
        </w:rPr>
      </w:pPr>
      <w:r w:rsidRPr="004676F5">
        <w:rPr>
          <w:lang w:val="de-DE"/>
        </w:rPr>
        <w:tab/>
      </w:r>
      <w:r w:rsidR="00BE0A56" w:rsidRPr="004676F5">
        <w:rPr>
          <w:b/>
          <w:lang w:val="de-DE"/>
        </w:rPr>
        <w:t>Art. </w:t>
      </w:r>
      <w:r w:rsidRPr="004676F5">
        <w:rPr>
          <w:b/>
          <w:lang w:val="de-DE"/>
        </w:rPr>
        <w:t>XV.83</w:t>
      </w:r>
      <w:r w:rsidRPr="004676F5">
        <w:rPr>
          <w:lang w:val="de-DE"/>
        </w:rPr>
        <w:t> </w:t>
      </w:r>
      <w:r w:rsidR="005B7A5C" w:rsidRPr="004676F5">
        <w:rPr>
          <w:lang w:val="de-DE"/>
        </w:rPr>
        <w:t>- </w:t>
      </w:r>
      <w:r w:rsidRPr="004676F5">
        <w:rPr>
          <w:lang w:val="de-DE"/>
        </w:rPr>
        <w:t>Mit einer Sanktion der Stufe 2 wird bestraft, wer gegen die Bestimmungen verstößt:</w:t>
      </w:r>
    </w:p>
    <w:p w14:paraId="11779500" w14:textId="77777777" w:rsidR="00DF0C3C" w:rsidRPr="004676F5" w:rsidRDefault="00DF0C3C" w:rsidP="00DF0C3C">
      <w:pPr>
        <w:jc w:val="both"/>
        <w:rPr>
          <w:lang w:val="de-DE"/>
        </w:rPr>
      </w:pPr>
    </w:p>
    <w:p w14:paraId="339BEA0E" w14:textId="77777777" w:rsidR="00DF0C3C" w:rsidRPr="004676F5" w:rsidRDefault="00DF0C3C" w:rsidP="00DF0C3C">
      <w:pPr>
        <w:jc w:val="both"/>
        <w:rPr>
          <w:lang w:val="de-DE"/>
        </w:rPr>
      </w:pPr>
      <w:r w:rsidRPr="004676F5">
        <w:rPr>
          <w:lang w:val="de-DE"/>
        </w:rPr>
        <w:tab/>
        <w:t>1. der Artikel VI.3 bis VI.6 in Bezug auf die Angabe der Preise und der Erlasse zur Ausführung von Artikel VI.7,</w:t>
      </w:r>
    </w:p>
    <w:p w14:paraId="7F6EF8BE" w14:textId="77777777" w:rsidR="00DF0C3C" w:rsidRPr="004676F5" w:rsidRDefault="00DF0C3C" w:rsidP="00DF0C3C">
      <w:pPr>
        <w:jc w:val="both"/>
        <w:rPr>
          <w:lang w:val="de-DE"/>
        </w:rPr>
      </w:pPr>
    </w:p>
    <w:p w14:paraId="5F49932C" w14:textId="39E8812B" w:rsidR="002C4B3F" w:rsidRPr="004676F5" w:rsidRDefault="002C4B3F" w:rsidP="00DF0C3C">
      <w:pPr>
        <w:jc w:val="both"/>
        <w:rPr>
          <w:lang w:val="de-DE"/>
        </w:rPr>
      </w:pPr>
      <w:r w:rsidRPr="004676F5">
        <w:rPr>
          <w:lang w:val="de-DE"/>
        </w:rPr>
        <w:tab/>
        <w:t xml:space="preserve">[1/1. der Artikel VI.7/1 und VI.7/2 und </w:t>
      </w:r>
      <w:r w:rsidR="006475DA" w:rsidRPr="004676F5">
        <w:rPr>
          <w:lang w:val="de-DE"/>
        </w:rPr>
        <w:t>[</w:t>
      </w:r>
      <w:r w:rsidRPr="004676F5">
        <w:rPr>
          <w:lang w:val="de-DE"/>
        </w:rPr>
        <w:t>der Erlasse zur Ausführung von Artikel VI.7/</w:t>
      </w:r>
      <w:r w:rsidR="006475DA" w:rsidRPr="004676F5">
        <w:rPr>
          <w:lang w:val="de-DE"/>
        </w:rPr>
        <w:t>1]</w:t>
      </w:r>
      <w:r w:rsidRPr="004676F5">
        <w:rPr>
          <w:lang w:val="de-DE"/>
        </w:rPr>
        <w:t>,]</w:t>
      </w:r>
    </w:p>
    <w:p w14:paraId="63842440" w14:textId="77777777" w:rsidR="002A7B89" w:rsidRPr="004676F5" w:rsidRDefault="002A7B89" w:rsidP="00DF0C3C">
      <w:pPr>
        <w:jc w:val="both"/>
        <w:rPr>
          <w:lang w:val="de-DE"/>
        </w:rPr>
      </w:pPr>
    </w:p>
    <w:p w14:paraId="57653197" w14:textId="465B36E4" w:rsidR="002A7B89" w:rsidRPr="004676F5" w:rsidRDefault="002A7B89" w:rsidP="00DF0C3C">
      <w:pPr>
        <w:jc w:val="both"/>
        <w:rPr>
          <w:lang w:val="de-DE"/>
        </w:rPr>
      </w:pPr>
      <w:r w:rsidRPr="004676F5">
        <w:rPr>
          <w:lang w:val="de-DE"/>
        </w:rPr>
        <w:tab/>
        <w:t>[1/2. von Artikel VI.7/4 über die Verpflichtung, ein elektronisches Zahlungsmittel zur Verfügung zu stellen,]</w:t>
      </w:r>
    </w:p>
    <w:p w14:paraId="12A3F3DB" w14:textId="77777777" w:rsidR="00437C96" w:rsidRPr="004676F5" w:rsidRDefault="00437C96" w:rsidP="00DF0C3C">
      <w:pPr>
        <w:jc w:val="both"/>
        <w:rPr>
          <w:lang w:val="de-DE"/>
        </w:rPr>
      </w:pPr>
    </w:p>
    <w:p w14:paraId="363429EB" w14:textId="41BA0970" w:rsidR="00437C96" w:rsidRPr="004676F5" w:rsidRDefault="00437C96" w:rsidP="00DF0C3C">
      <w:pPr>
        <w:jc w:val="both"/>
        <w:rPr>
          <w:lang w:val="de-DE"/>
        </w:rPr>
      </w:pPr>
      <w:r w:rsidRPr="004676F5">
        <w:rPr>
          <w:lang w:val="de-DE"/>
        </w:rPr>
        <w:tab/>
        <w:t>[1/3. der Artikel VI.2 und VI.2/1 in Bezug auf die allgemeine Pflicht zur Information der Verbraucher</w:t>
      </w:r>
      <w:r w:rsidR="00204FCB" w:rsidRPr="004676F5">
        <w:rPr>
          <w:lang w:val="de-DE"/>
        </w:rPr>
        <w:t xml:space="preserve"> [und der Erlasse zur Ausführung von Artikel VI.2]</w:t>
      </w:r>
      <w:r w:rsidRPr="004676F5">
        <w:rPr>
          <w:lang w:val="de-DE"/>
        </w:rPr>
        <w:t>,]</w:t>
      </w:r>
    </w:p>
    <w:p w14:paraId="249FEC75" w14:textId="77777777" w:rsidR="002C4B3F" w:rsidRPr="004676F5" w:rsidRDefault="002C4B3F" w:rsidP="00DF0C3C">
      <w:pPr>
        <w:jc w:val="both"/>
        <w:rPr>
          <w:lang w:val="de-DE"/>
        </w:rPr>
      </w:pPr>
    </w:p>
    <w:p w14:paraId="263F0671" w14:textId="77777777" w:rsidR="00DF0C3C" w:rsidRPr="004676F5" w:rsidRDefault="00DF0C3C" w:rsidP="00DF0C3C">
      <w:pPr>
        <w:jc w:val="both"/>
        <w:rPr>
          <w:lang w:val="de-DE"/>
        </w:rPr>
      </w:pPr>
      <w:r w:rsidRPr="004676F5">
        <w:rPr>
          <w:lang w:val="de-DE"/>
        </w:rPr>
        <w:tab/>
        <w:t>2. von Artikel VI.8 in Bezug auf die Bezeichnung, Zusammensetzung und Etikettierung von Produkten und der Erlasse zur Ausführung der Artikel VI.9 und VI.10,</w:t>
      </w:r>
    </w:p>
    <w:p w14:paraId="5AE6F0E5" w14:textId="77777777" w:rsidR="00DF0C3C" w:rsidRPr="004676F5" w:rsidRDefault="00DF0C3C" w:rsidP="00DF0C3C">
      <w:pPr>
        <w:jc w:val="both"/>
        <w:rPr>
          <w:lang w:val="de-DE"/>
        </w:rPr>
      </w:pPr>
    </w:p>
    <w:p w14:paraId="68B464D8" w14:textId="77777777" w:rsidR="00DF0C3C" w:rsidRPr="004676F5" w:rsidRDefault="00DF0C3C" w:rsidP="00DF0C3C">
      <w:pPr>
        <w:jc w:val="both"/>
        <w:rPr>
          <w:lang w:val="de-DE"/>
        </w:rPr>
      </w:pPr>
      <w:r w:rsidRPr="004676F5">
        <w:rPr>
          <w:lang w:val="de-DE"/>
        </w:rPr>
        <w:tab/>
        <w:t>3. der Artikel VI.11 bis VI.15 in Bezug auf die Mengenangabe und der Erlasse zur Ausführung von Artikel VI.16,</w:t>
      </w:r>
    </w:p>
    <w:p w14:paraId="6B8DA2A2" w14:textId="77777777" w:rsidR="00DF0C3C" w:rsidRPr="004676F5" w:rsidRDefault="00DF0C3C" w:rsidP="00DF0C3C">
      <w:pPr>
        <w:jc w:val="both"/>
        <w:rPr>
          <w:lang w:val="de-DE"/>
        </w:rPr>
      </w:pPr>
    </w:p>
    <w:p w14:paraId="33A51DD5" w14:textId="467C2557" w:rsidR="00DF0C3C" w:rsidRPr="004676F5" w:rsidRDefault="00DF0C3C" w:rsidP="00DF0C3C">
      <w:pPr>
        <w:jc w:val="both"/>
        <w:rPr>
          <w:lang w:val="de-DE"/>
        </w:rPr>
      </w:pPr>
      <w:r w:rsidRPr="004676F5">
        <w:rPr>
          <w:lang w:val="de-DE"/>
        </w:rPr>
        <w:tab/>
        <w:t>4. </w:t>
      </w:r>
      <w:r w:rsidR="00102782" w:rsidRPr="004676F5">
        <w:rPr>
          <w:lang w:val="de-DE"/>
        </w:rPr>
        <w:t>[</w:t>
      </w:r>
      <w:r w:rsidR="00437C96" w:rsidRPr="004676F5">
        <w:rPr>
          <w:lang w:val="de-DE"/>
        </w:rPr>
        <w:t>der Artikel VI.18 und VI.19 in Bezug auf den Hinweis auf den vorherigen Preis,</w:t>
      </w:r>
      <w:r w:rsidR="00102782" w:rsidRPr="004676F5">
        <w:rPr>
          <w:lang w:val="de-DE"/>
        </w:rPr>
        <w:t>]</w:t>
      </w:r>
    </w:p>
    <w:p w14:paraId="60764D51" w14:textId="77777777" w:rsidR="00DF0C3C" w:rsidRPr="004676F5" w:rsidRDefault="00DF0C3C" w:rsidP="00DF0C3C">
      <w:pPr>
        <w:jc w:val="both"/>
        <w:rPr>
          <w:lang w:val="de-DE"/>
        </w:rPr>
      </w:pPr>
    </w:p>
    <w:p w14:paraId="35810D92" w14:textId="77777777" w:rsidR="00DF0C3C" w:rsidRPr="004676F5" w:rsidRDefault="00DF0C3C" w:rsidP="00DF0C3C">
      <w:pPr>
        <w:jc w:val="both"/>
        <w:rPr>
          <w:lang w:val="de-DE"/>
        </w:rPr>
      </w:pPr>
      <w:r w:rsidRPr="004676F5">
        <w:rPr>
          <w:lang w:val="de-DE"/>
        </w:rPr>
        <w:tab/>
        <w:t>5. der Artikel VI.22 und VI.23 in Bezug auf Ausverkäufe,</w:t>
      </w:r>
    </w:p>
    <w:p w14:paraId="32F25828" w14:textId="77777777" w:rsidR="00DF0C3C" w:rsidRPr="004676F5" w:rsidRDefault="00DF0C3C" w:rsidP="00DF0C3C">
      <w:pPr>
        <w:jc w:val="both"/>
        <w:rPr>
          <w:lang w:val="de-DE"/>
        </w:rPr>
      </w:pPr>
    </w:p>
    <w:p w14:paraId="162CC043" w14:textId="4E046E7C" w:rsidR="00DF0C3C" w:rsidRPr="004676F5" w:rsidRDefault="00DF0C3C" w:rsidP="00DF0C3C">
      <w:pPr>
        <w:jc w:val="both"/>
        <w:rPr>
          <w:lang w:val="de-DE"/>
        </w:rPr>
      </w:pPr>
      <w:r w:rsidRPr="004676F5">
        <w:rPr>
          <w:lang w:val="de-DE"/>
        </w:rPr>
        <w:tab/>
        <w:t>6. der Artikel VI.25 bis VI.29 in Bezug auf Schlussverkäufe und die Wartezeit</w:t>
      </w:r>
      <w:r w:rsidR="006475DA" w:rsidRPr="004676F5">
        <w:rPr>
          <w:lang w:val="de-DE"/>
        </w:rPr>
        <w:t xml:space="preserve"> [und der Erlasse zur Ausführung von Artikel VI.29]</w:t>
      </w:r>
      <w:r w:rsidRPr="004676F5">
        <w:rPr>
          <w:lang w:val="de-DE"/>
        </w:rPr>
        <w:t>,</w:t>
      </w:r>
    </w:p>
    <w:p w14:paraId="3C024315" w14:textId="77777777" w:rsidR="006475DA" w:rsidRPr="004676F5" w:rsidRDefault="006475DA" w:rsidP="00DF0C3C">
      <w:pPr>
        <w:jc w:val="both"/>
        <w:rPr>
          <w:lang w:val="de-DE"/>
        </w:rPr>
      </w:pPr>
    </w:p>
    <w:p w14:paraId="136B2946" w14:textId="69B03DF6" w:rsidR="006475DA" w:rsidRPr="004676F5" w:rsidRDefault="006475DA" w:rsidP="00DF0C3C">
      <w:pPr>
        <w:jc w:val="both"/>
        <w:rPr>
          <w:lang w:val="de-DE"/>
        </w:rPr>
      </w:pPr>
      <w:r w:rsidRPr="004676F5">
        <w:rPr>
          <w:lang w:val="de-DE"/>
        </w:rPr>
        <w:tab/>
        <w:t>[6/1. von Artikel VI.34 und der Erlasse zur Ausführung von Artikel VI.35,]</w:t>
      </w:r>
    </w:p>
    <w:p w14:paraId="4DD899FD" w14:textId="77777777" w:rsidR="00DF0C3C" w:rsidRPr="004676F5" w:rsidRDefault="00DF0C3C" w:rsidP="00DF0C3C">
      <w:pPr>
        <w:jc w:val="both"/>
        <w:rPr>
          <w:lang w:val="de-DE"/>
        </w:rPr>
      </w:pPr>
    </w:p>
    <w:p w14:paraId="09985BFA" w14:textId="77777777" w:rsidR="00DF0C3C" w:rsidRPr="004676F5" w:rsidRDefault="00DF0C3C" w:rsidP="00DF0C3C">
      <w:pPr>
        <w:jc w:val="both"/>
        <w:rPr>
          <w:lang w:val="de-DE"/>
        </w:rPr>
      </w:pPr>
      <w:r w:rsidRPr="004676F5">
        <w:rPr>
          <w:lang w:val="de-DE"/>
        </w:rPr>
        <w:tab/>
        <w:t>7. von Artikel VI.39 in Bezug auf Wechsel, die dem Verbraucher zur Unterzeichnung vorgelegt werden,</w:t>
      </w:r>
    </w:p>
    <w:p w14:paraId="5BC58022" w14:textId="42D18EAA" w:rsidR="00437C96" w:rsidRPr="004676F5" w:rsidRDefault="00437C96" w:rsidP="00DF0C3C">
      <w:pPr>
        <w:jc w:val="both"/>
        <w:rPr>
          <w:lang w:val="de-DE"/>
        </w:rPr>
      </w:pPr>
      <w:r w:rsidRPr="004676F5">
        <w:rPr>
          <w:lang w:val="de-DE"/>
        </w:rPr>
        <w:tab/>
      </w:r>
    </w:p>
    <w:p w14:paraId="45A990CC" w14:textId="40770B23" w:rsidR="00437C96" w:rsidRPr="004676F5" w:rsidRDefault="00437C96" w:rsidP="00DF0C3C">
      <w:pPr>
        <w:jc w:val="both"/>
        <w:rPr>
          <w:lang w:val="de-DE"/>
        </w:rPr>
      </w:pPr>
      <w:r w:rsidRPr="004676F5">
        <w:rPr>
          <w:lang w:val="de-DE"/>
        </w:rPr>
        <w:tab/>
        <w:t>[7/1. von Artikel VI.40 in Bezug auf fernmündliche Kommunikation,]</w:t>
      </w:r>
    </w:p>
    <w:p w14:paraId="3A4C3AD1" w14:textId="77777777" w:rsidR="00437C96" w:rsidRPr="004676F5" w:rsidRDefault="00437C96" w:rsidP="00DF0C3C">
      <w:pPr>
        <w:jc w:val="both"/>
        <w:rPr>
          <w:lang w:val="de-DE"/>
        </w:rPr>
      </w:pPr>
    </w:p>
    <w:p w14:paraId="59FE7A2E" w14:textId="2A451510" w:rsidR="00437C96" w:rsidRPr="004676F5" w:rsidRDefault="00437C96" w:rsidP="00437C96">
      <w:pPr>
        <w:jc w:val="both"/>
        <w:rPr>
          <w:lang w:val="de-DE"/>
        </w:rPr>
      </w:pPr>
      <w:r w:rsidRPr="004676F5">
        <w:rPr>
          <w:lang w:val="de-DE"/>
        </w:rPr>
        <w:tab/>
        <w:t>[7/2. von Artikel VI.41 in Bezug auf Extrazahlungen,]</w:t>
      </w:r>
    </w:p>
    <w:p w14:paraId="42E7FCF7" w14:textId="77777777" w:rsidR="00437C96" w:rsidRPr="004676F5" w:rsidRDefault="00437C96" w:rsidP="00437C96">
      <w:pPr>
        <w:jc w:val="both"/>
        <w:rPr>
          <w:lang w:val="de-DE"/>
        </w:rPr>
      </w:pPr>
    </w:p>
    <w:p w14:paraId="58E0623A" w14:textId="163AE29D" w:rsidR="00437C96" w:rsidRPr="004676F5" w:rsidRDefault="00437C96" w:rsidP="00437C96">
      <w:pPr>
        <w:ind w:firstLine="708"/>
        <w:jc w:val="both"/>
        <w:rPr>
          <w:lang w:val="de-DE"/>
        </w:rPr>
      </w:pPr>
      <w:r w:rsidRPr="004676F5">
        <w:rPr>
          <w:lang w:val="de-DE"/>
        </w:rPr>
        <w:t>[7/3. von Artikel VI.42 in Bezug auf Entgelte für die Nutzung von Zahlungsmitteln,]</w:t>
      </w:r>
    </w:p>
    <w:p w14:paraId="33252463" w14:textId="77777777" w:rsidR="00437C96" w:rsidRPr="004676F5" w:rsidRDefault="00437C96" w:rsidP="00437C96">
      <w:pPr>
        <w:jc w:val="both"/>
        <w:rPr>
          <w:lang w:val="de-DE"/>
        </w:rPr>
      </w:pPr>
    </w:p>
    <w:p w14:paraId="1BB1CABC" w14:textId="305A75ED" w:rsidR="00437C96" w:rsidRPr="004676F5" w:rsidRDefault="00437C96" w:rsidP="00437C96">
      <w:pPr>
        <w:jc w:val="both"/>
        <w:rPr>
          <w:lang w:val="de-DE"/>
        </w:rPr>
      </w:pPr>
      <w:r w:rsidRPr="004676F5">
        <w:rPr>
          <w:lang w:val="de-DE"/>
        </w:rPr>
        <w:tab/>
        <w:t>[7/4. von Artikel VI.43 in Bezug auf die Lieferung,]</w:t>
      </w:r>
    </w:p>
    <w:p w14:paraId="42331BCF" w14:textId="77777777" w:rsidR="00437C96" w:rsidRPr="004676F5" w:rsidRDefault="00437C96" w:rsidP="00437C96">
      <w:pPr>
        <w:jc w:val="both"/>
        <w:rPr>
          <w:lang w:val="de-DE"/>
        </w:rPr>
      </w:pPr>
    </w:p>
    <w:p w14:paraId="3DBEB143" w14:textId="7200E478" w:rsidR="00437C96" w:rsidRPr="004676F5" w:rsidRDefault="00437C96" w:rsidP="00437C96">
      <w:pPr>
        <w:jc w:val="both"/>
        <w:rPr>
          <w:lang w:val="de-DE"/>
        </w:rPr>
      </w:pPr>
      <w:r w:rsidRPr="004676F5">
        <w:rPr>
          <w:lang w:val="de-DE"/>
        </w:rPr>
        <w:tab/>
        <w:t>[7/5. von Artikel VI.44 in Bezug auf die Risikoübertragung,]</w:t>
      </w:r>
    </w:p>
    <w:p w14:paraId="57A321BE" w14:textId="77777777" w:rsidR="00437C96" w:rsidRPr="004676F5" w:rsidRDefault="00437C96" w:rsidP="00437C96">
      <w:pPr>
        <w:jc w:val="both"/>
        <w:rPr>
          <w:lang w:val="de-DE"/>
        </w:rPr>
      </w:pPr>
    </w:p>
    <w:p w14:paraId="5AFE5CFA" w14:textId="42B7CAAE" w:rsidR="00437C96" w:rsidRPr="004676F5" w:rsidRDefault="00437C96" w:rsidP="00437C96">
      <w:pPr>
        <w:jc w:val="both"/>
        <w:rPr>
          <w:lang w:val="de-DE"/>
        </w:rPr>
      </w:pPr>
      <w:r w:rsidRPr="004676F5">
        <w:rPr>
          <w:lang w:val="de-DE"/>
        </w:rPr>
        <w:tab/>
        <w:t>[7/6. von Artikel VI.44/1 in Bezug auf die Anwendung der Artikel VI.40 bis VI.44 bei Lieferung digitaler Inhalte auf einem nicht körperlichen Datenträger oder digitaler Dienstleistungen, für die der Verbraucher dem Unternehmen personenbezogene Daten bereitstellt oder deren Bereitstellung zusagt,]</w:t>
      </w:r>
    </w:p>
    <w:p w14:paraId="350D29DD" w14:textId="77777777" w:rsidR="00DF0C3C" w:rsidRPr="004676F5" w:rsidRDefault="00DF0C3C" w:rsidP="00DF0C3C">
      <w:pPr>
        <w:jc w:val="both"/>
        <w:rPr>
          <w:lang w:val="de-DE"/>
        </w:rPr>
      </w:pPr>
    </w:p>
    <w:p w14:paraId="550BC4EC" w14:textId="0139F840" w:rsidR="00DF0C3C" w:rsidRPr="004676F5" w:rsidRDefault="00DF0C3C" w:rsidP="00DF0C3C">
      <w:pPr>
        <w:jc w:val="both"/>
        <w:rPr>
          <w:lang w:val="de-DE"/>
        </w:rPr>
      </w:pPr>
      <w:r w:rsidRPr="004676F5">
        <w:rPr>
          <w:lang w:val="de-DE"/>
        </w:rPr>
        <w:lastRenderedPageBreak/>
        <w:tab/>
        <w:t>8. der Artikel VI.45 bis VI.63 in Bezug auf Fernabsatzverträge</w:t>
      </w:r>
      <w:r w:rsidR="006475DA" w:rsidRPr="004676F5">
        <w:rPr>
          <w:lang w:val="de-DE"/>
        </w:rPr>
        <w:t xml:space="preserve"> [und der Erlasse zur Ausführung der Artikel VI.45/1 und VI.46]</w:t>
      </w:r>
      <w:r w:rsidRPr="004676F5">
        <w:rPr>
          <w:lang w:val="de-DE"/>
        </w:rPr>
        <w:t>,</w:t>
      </w:r>
    </w:p>
    <w:p w14:paraId="3F8E7012" w14:textId="77777777" w:rsidR="00DF0C3C" w:rsidRPr="004676F5" w:rsidRDefault="00DF0C3C" w:rsidP="00DF0C3C">
      <w:pPr>
        <w:jc w:val="both"/>
        <w:rPr>
          <w:lang w:val="de-DE"/>
        </w:rPr>
      </w:pPr>
    </w:p>
    <w:p w14:paraId="566E3050" w14:textId="10DA0618" w:rsidR="00DF0C3C" w:rsidRPr="004676F5" w:rsidRDefault="00DF0C3C" w:rsidP="00DF0C3C">
      <w:pPr>
        <w:jc w:val="both"/>
        <w:rPr>
          <w:lang w:val="de-DE"/>
        </w:rPr>
      </w:pPr>
      <w:r w:rsidRPr="004676F5">
        <w:rPr>
          <w:lang w:val="de-DE"/>
        </w:rPr>
        <w:tab/>
        <w:t>9. der Artikel VI.64 bis VI.74 in Bezug auf außerhalb von Geschäftsräumen geschlossene Verträge</w:t>
      </w:r>
      <w:r w:rsidR="006475DA" w:rsidRPr="004676F5">
        <w:rPr>
          <w:lang w:val="de-DE"/>
        </w:rPr>
        <w:t xml:space="preserve"> [und der Erlasse zur Ausführung von Artikel VI.66]</w:t>
      </w:r>
      <w:r w:rsidRPr="004676F5">
        <w:rPr>
          <w:lang w:val="de-DE"/>
        </w:rPr>
        <w:t>,</w:t>
      </w:r>
    </w:p>
    <w:p w14:paraId="5C405BBB" w14:textId="77777777" w:rsidR="00DF0C3C" w:rsidRPr="004676F5" w:rsidRDefault="00DF0C3C" w:rsidP="00DF0C3C">
      <w:pPr>
        <w:jc w:val="both"/>
        <w:rPr>
          <w:lang w:val="de-DE"/>
        </w:rPr>
      </w:pPr>
    </w:p>
    <w:p w14:paraId="2C0BF9A4" w14:textId="5FA5ABD8" w:rsidR="00DF0C3C" w:rsidRPr="004676F5" w:rsidRDefault="00DF0C3C" w:rsidP="00DF0C3C">
      <w:pPr>
        <w:jc w:val="both"/>
        <w:rPr>
          <w:lang w:val="de-DE"/>
        </w:rPr>
      </w:pPr>
      <w:r w:rsidRPr="004676F5">
        <w:rPr>
          <w:lang w:val="de-DE"/>
        </w:rPr>
        <w:tab/>
        <w:t>10. von Artikel VI.79, durch den ministeriellen Amtsträgern, die mit öffentlichen Verkäufen beauftragt sind, die Verpflichtung auferlegt wird, unter bestimmten Umständen ihre Mitarbeit zu verweigern</w:t>
      </w:r>
      <w:r w:rsidR="006475DA" w:rsidRPr="004676F5">
        <w:rPr>
          <w:lang w:val="de-DE"/>
        </w:rPr>
        <w:t xml:space="preserve"> [und der Erlasse zur Ausführung der Artikel VI.75 und VI.77]</w:t>
      </w:r>
      <w:r w:rsidRPr="004676F5">
        <w:rPr>
          <w:lang w:val="de-DE"/>
        </w:rPr>
        <w:t>,</w:t>
      </w:r>
    </w:p>
    <w:p w14:paraId="6274C0D9" w14:textId="77777777" w:rsidR="00DF0C3C" w:rsidRPr="004676F5" w:rsidRDefault="00DF0C3C" w:rsidP="00DF0C3C">
      <w:pPr>
        <w:jc w:val="both"/>
        <w:rPr>
          <w:lang w:val="de-DE"/>
        </w:rPr>
      </w:pPr>
    </w:p>
    <w:p w14:paraId="55371C8C" w14:textId="1E8C7A9A" w:rsidR="00437C96" w:rsidRPr="004676F5" w:rsidRDefault="00437C96" w:rsidP="00DF0C3C">
      <w:pPr>
        <w:jc w:val="both"/>
        <w:rPr>
          <w:lang w:val="de-DE"/>
        </w:rPr>
      </w:pPr>
      <w:r w:rsidRPr="004676F5">
        <w:rPr>
          <w:lang w:val="de-DE"/>
        </w:rPr>
        <w:tab/>
        <w:t>[10/1. </w:t>
      </w:r>
      <w:r w:rsidR="006475DA" w:rsidRPr="004676F5">
        <w:rPr>
          <w:lang w:val="de-DE"/>
        </w:rPr>
        <w:t>[der Erlasse zur Ausführung von Artikel VI.81,]</w:t>
      </w:r>
      <w:r w:rsidRPr="004676F5">
        <w:rPr>
          <w:lang w:val="de-DE"/>
        </w:rPr>
        <w:t>]</w:t>
      </w:r>
    </w:p>
    <w:p w14:paraId="7F62F1A3" w14:textId="77777777" w:rsidR="006475DA" w:rsidRPr="004676F5" w:rsidRDefault="006475DA" w:rsidP="00DF0C3C">
      <w:pPr>
        <w:jc w:val="both"/>
        <w:rPr>
          <w:lang w:val="de-DE"/>
        </w:rPr>
      </w:pPr>
    </w:p>
    <w:p w14:paraId="624C718D" w14:textId="384C5A83" w:rsidR="006475DA" w:rsidRPr="004676F5" w:rsidRDefault="006475DA" w:rsidP="00DF0C3C">
      <w:pPr>
        <w:jc w:val="both"/>
        <w:rPr>
          <w:lang w:val="de-DE"/>
        </w:rPr>
      </w:pPr>
      <w:r w:rsidRPr="004676F5">
        <w:rPr>
          <w:lang w:val="de-DE"/>
        </w:rPr>
        <w:tab/>
        <w:t>[10/2. von Artikel VI.83 in Bezug auf Klauseln, die in Verbraucherverträgen in jedem Fall missbräuchlich sind, und der Erlasse zur Ausführung von Artikel VI.85,]</w:t>
      </w:r>
    </w:p>
    <w:p w14:paraId="1AA8328A" w14:textId="77777777" w:rsidR="00B14EE1" w:rsidRPr="004676F5" w:rsidRDefault="00B14EE1" w:rsidP="00DF0C3C">
      <w:pPr>
        <w:jc w:val="both"/>
        <w:rPr>
          <w:lang w:val="de-DE"/>
        </w:rPr>
      </w:pPr>
    </w:p>
    <w:p w14:paraId="5524E003" w14:textId="47F98DEE" w:rsidR="00B14EE1" w:rsidRPr="004676F5" w:rsidRDefault="00B14EE1" w:rsidP="00DF0C3C">
      <w:pPr>
        <w:jc w:val="both"/>
        <w:rPr>
          <w:lang w:val="de-DE"/>
        </w:rPr>
      </w:pPr>
      <w:r w:rsidRPr="004676F5">
        <w:rPr>
          <w:lang w:val="de-DE"/>
        </w:rPr>
        <w:tab/>
        <w:t>[10/2. von Artikel VI.86 § 4 in Bezug auf die Übermittlung der Klauseln und Bedingungen, die in Kaufangeboten und beim Verkauf von Produkten verwendet werden, an den Besonderen Beratungsausschuss "Missbräuchliche Klauseln",]</w:t>
      </w:r>
    </w:p>
    <w:p w14:paraId="20AF4F48" w14:textId="77777777" w:rsidR="00437C96" w:rsidRPr="004676F5" w:rsidRDefault="00437C96" w:rsidP="00DF0C3C">
      <w:pPr>
        <w:jc w:val="both"/>
        <w:rPr>
          <w:lang w:val="de-DE"/>
        </w:rPr>
      </w:pPr>
    </w:p>
    <w:p w14:paraId="34172E7B" w14:textId="77777777" w:rsidR="00DF0C3C" w:rsidRPr="004676F5" w:rsidRDefault="00DF0C3C" w:rsidP="00DF0C3C">
      <w:pPr>
        <w:jc w:val="both"/>
        <w:rPr>
          <w:lang w:val="de-DE"/>
        </w:rPr>
      </w:pPr>
      <w:r w:rsidRPr="004676F5">
        <w:rPr>
          <w:lang w:val="de-DE"/>
        </w:rPr>
        <w:tab/>
        <w:t>11. der Artikel VI.88 und VI.89 in Bezug auf Bestellscheine und Belege und der Erlasse zur Ausführung der Artikel VI.88 und VI.89,</w:t>
      </w:r>
    </w:p>
    <w:p w14:paraId="785F02DE" w14:textId="77777777" w:rsidR="00DF0C3C" w:rsidRPr="004676F5" w:rsidRDefault="00DF0C3C" w:rsidP="00DF0C3C">
      <w:pPr>
        <w:jc w:val="both"/>
        <w:rPr>
          <w:lang w:val="de-DE"/>
        </w:rPr>
      </w:pPr>
    </w:p>
    <w:p w14:paraId="42D1CFDC" w14:textId="21FB726F" w:rsidR="00B14EE1" w:rsidRPr="004676F5" w:rsidRDefault="00B14EE1" w:rsidP="00DF0C3C">
      <w:pPr>
        <w:jc w:val="both"/>
        <w:rPr>
          <w:lang w:val="de-DE"/>
        </w:rPr>
      </w:pPr>
      <w:r w:rsidRPr="004676F5">
        <w:rPr>
          <w:lang w:val="de-DE"/>
        </w:rPr>
        <w:tab/>
        <w:t xml:space="preserve">[11/1. von Artikel VI.91/8 § 1/1 in Bezug auf die Übermittlung der Vertragsklauseln und </w:t>
      </w:r>
      <w:r w:rsidRPr="004676F5">
        <w:rPr>
          <w:lang w:val="de-DE"/>
        </w:rPr>
        <w:noBreakHyphen/>
        <w:t>bedingungen an den Besonderen Beratungsausschuss "Missbräuchliche Klauseln",]</w:t>
      </w:r>
    </w:p>
    <w:p w14:paraId="2EC0E834" w14:textId="77777777" w:rsidR="00B14EE1" w:rsidRPr="004676F5" w:rsidRDefault="00B14EE1" w:rsidP="00DF0C3C">
      <w:pPr>
        <w:jc w:val="both"/>
        <w:rPr>
          <w:lang w:val="de-DE"/>
        </w:rPr>
      </w:pPr>
    </w:p>
    <w:p w14:paraId="6FFDE4D9" w14:textId="77777777" w:rsidR="00DF0C3C" w:rsidRPr="004676F5" w:rsidRDefault="00DF0C3C" w:rsidP="00DF0C3C">
      <w:pPr>
        <w:jc w:val="both"/>
        <w:rPr>
          <w:lang w:val="de-DE"/>
        </w:rPr>
      </w:pPr>
      <w:r w:rsidRPr="004676F5">
        <w:rPr>
          <w:lang w:val="de-DE"/>
        </w:rPr>
        <w:tab/>
        <w:t>12. der Erlasse zur Ausführung von Artikel VI.118 in Bezug auf kollektive Verbraucherabkommen,</w:t>
      </w:r>
    </w:p>
    <w:p w14:paraId="7D774A53" w14:textId="77777777" w:rsidR="006475DA" w:rsidRPr="004676F5" w:rsidRDefault="006475DA" w:rsidP="00DF0C3C">
      <w:pPr>
        <w:jc w:val="both"/>
        <w:rPr>
          <w:lang w:val="de-DE"/>
        </w:rPr>
      </w:pPr>
    </w:p>
    <w:p w14:paraId="022C96DD" w14:textId="79143ACE" w:rsidR="006475DA" w:rsidRPr="004676F5" w:rsidRDefault="006475DA" w:rsidP="00DF0C3C">
      <w:pPr>
        <w:jc w:val="both"/>
        <w:rPr>
          <w:lang w:val="de-DE"/>
        </w:rPr>
      </w:pPr>
      <w:r w:rsidRPr="004676F5">
        <w:rPr>
          <w:lang w:val="de-DE"/>
        </w:rPr>
        <w:tab/>
        <w:t>[12/1. von Artikel VI.91/4 in Bezug auf Klauseln, die in Verträgen zwischen Unternehmen in jedem Fall missbräuchlich sind, und der Erlasse zur Ergänzung dieses Artikels gemäß Artikel VI.91/7,]</w:t>
      </w:r>
    </w:p>
    <w:p w14:paraId="7A414FBD" w14:textId="77777777" w:rsidR="00DF0C3C" w:rsidRPr="004676F5" w:rsidRDefault="00DF0C3C" w:rsidP="00DF0C3C">
      <w:pPr>
        <w:jc w:val="both"/>
        <w:rPr>
          <w:lang w:val="de-DE"/>
        </w:rPr>
      </w:pPr>
    </w:p>
    <w:p w14:paraId="369D100E" w14:textId="18A3D5B6" w:rsidR="00DF0C3C" w:rsidRPr="004676F5" w:rsidRDefault="00DF0C3C" w:rsidP="00DF0C3C">
      <w:pPr>
        <w:jc w:val="both"/>
        <w:rPr>
          <w:lang w:val="de-DE"/>
        </w:rPr>
      </w:pPr>
      <w:r w:rsidRPr="004676F5">
        <w:rPr>
          <w:lang w:val="de-DE"/>
        </w:rPr>
        <w:tab/>
        <w:t>13. der Artikel </w:t>
      </w:r>
      <w:r w:rsidR="00437C96" w:rsidRPr="004676F5">
        <w:rPr>
          <w:lang w:val="de-DE"/>
        </w:rPr>
        <w:t>[VI.93 bis VI.103]</w:t>
      </w:r>
      <w:r w:rsidRPr="004676F5">
        <w:rPr>
          <w:lang w:val="de-DE"/>
        </w:rPr>
        <w:t xml:space="preserve"> in Bezug auf unlautere Geschäftspraktiken gegenüber Verbrauchern, mit Ausnahme der Artikel </w:t>
      </w:r>
      <w:r w:rsidR="00615CDD" w:rsidRPr="004676F5">
        <w:rPr>
          <w:lang w:val="de-DE"/>
        </w:rPr>
        <w:t xml:space="preserve">[VI.97 Nr. 4,] </w:t>
      </w:r>
      <w:r w:rsidRPr="004676F5">
        <w:rPr>
          <w:lang w:val="de-DE"/>
        </w:rPr>
        <w:t>VI.100 Nr. 12, 14, 16 und 17 und VI.103 Nr. 1, 2 und 8,</w:t>
      </w:r>
    </w:p>
    <w:p w14:paraId="427DAF72" w14:textId="77777777" w:rsidR="00DF0C3C" w:rsidRPr="004676F5" w:rsidRDefault="00DF0C3C" w:rsidP="00DF0C3C">
      <w:pPr>
        <w:jc w:val="both"/>
        <w:rPr>
          <w:lang w:val="de-DE"/>
        </w:rPr>
      </w:pPr>
    </w:p>
    <w:p w14:paraId="60FFB4B1" w14:textId="21037D5A" w:rsidR="00270F53" w:rsidRPr="004676F5" w:rsidRDefault="00270F53" w:rsidP="00DF0C3C">
      <w:pPr>
        <w:jc w:val="both"/>
        <w:rPr>
          <w:lang w:val="de-DE"/>
        </w:rPr>
      </w:pPr>
      <w:r w:rsidRPr="004676F5">
        <w:rPr>
          <w:lang w:val="de-DE"/>
        </w:rPr>
        <w:tab/>
        <w:t>[13/1. von Artikel VI.104/1 Nr. 1 und 2 in Bezug auf unlautere Marktpraktiken zwischen Unternehmen,]</w:t>
      </w:r>
    </w:p>
    <w:p w14:paraId="308AF150" w14:textId="77777777" w:rsidR="00270F53" w:rsidRPr="004676F5" w:rsidRDefault="00270F53" w:rsidP="00DF0C3C">
      <w:pPr>
        <w:jc w:val="both"/>
        <w:rPr>
          <w:lang w:val="de-DE"/>
        </w:rPr>
      </w:pPr>
    </w:p>
    <w:p w14:paraId="6AC07164" w14:textId="77777777" w:rsidR="00DF0C3C" w:rsidRPr="004676F5" w:rsidRDefault="00DF0C3C" w:rsidP="00DF0C3C">
      <w:pPr>
        <w:jc w:val="both"/>
        <w:rPr>
          <w:lang w:val="de-DE"/>
        </w:rPr>
      </w:pPr>
      <w:r w:rsidRPr="004676F5">
        <w:rPr>
          <w:lang w:val="de-DE"/>
        </w:rPr>
        <w:tab/>
        <w:t>14. von Artikel VI.107 über das Verbot unlauterer Marktpraktiken, um Inserenten zu werben,</w:t>
      </w:r>
    </w:p>
    <w:p w14:paraId="73CB0661" w14:textId="77777777" w:rsidR="00DF0C3C" w:rsidRPr="004676F5" w:rsidRDefault="00DF0C3C" w:rsidP="00DF0C3C">
      <w:pPr>
        <w:jc w:val="both"/>
        <w:rPr>
          <w:lang w:val="de-DE"/>
        </w:rPr>
      </w:pPr>
    </w:p>
    <w:p w14:paraId="4EC0BD82" w14:textId="0178F218" w:rsidR="00DF0C3C" w:rsidRPr="004676F5" w:rsidRDefault="00DF0C3C" w:rsidP="00DF0C3C">
      <w:pPr>
        <w:jc w:val="both"/>
        <w:rPr>
          <w:lang w:val="de-DE"/>
        </w:rPr>
      </w:pPr>
      <w:r w:rsidRPr="004676F5">
        <w:rPr>
          <w:lang w:val="de-DE"/>
        </w:rPr>
        <w:tab/>
        <w:t>15. </w:t>
      </w:r>
      <w:r w:rsidR="00270F53" w:rsidRPr="004676F5">
        <w:rPr>
          <w:lang w:val="de-DE"/>
        </w:rPr>
        <w:t>[von Artikel VI.109/3 in Bezug auf Zwangskäufe,]</w:t>
      </w:r>
    </w:p>
    <w:p w14:paraId="5333113F" w14:textId="77777777" w:rsidR="00DF0C3C" w:rsidRPr="004676F5" w:rsidRDefault="00DF0C3C" w:rsidP="00DF0C3C">
      <w:pPr>
        <w:jc w:val="both"/>
        <w:rPr>
          <w:lang w:val="de-DE"/>
        </w:rPr>
      </w:pPr>
    </w:p>
    <w:p w14:paraId="1723433C" w14:textId="6C89502B" w:rsidR="00901C74" w:rsidRPr="004676F5" w:rsidRDefault="00901C74" w:rsidP="00DF0C3C">
      <w:pPr>
        <w:jc w:val="both"/>
        <w:rPr>
          <w:lang w:val="de-DE"/>
        </w:rPr>
      </w:pPr>
      <w:r w:rsidRPr="004676F5">
        <w:rPr>
          <w:lang w:val="de-DE"/>
        </w:rPr>
        <w:tab/>
        <w:t>[15/1. der Artikel VI.109/5 und VI.109/6 über unlautere Handelspraktiken in den Geschäftsbeziehungen zwischen Unternehmen in der Agrar</w:t>
      </w:r>
      <w:r w:rsidR="005B7A5C" w:rsidRPr="004676F5">
        <w:rPr>
          <w:lang w:val="de-DE"/>
        </w:rPr>
        <w:t>- </w:t>
      </w:r>
      <w:r w:rsidRPr="004676F5">
        <w:rPr>
          <w:lang w:val="de-DE"/>
        </w:rPr>
        <w:t>und Lebensmittelversorgungs</w:t>
      </w:r>
      <w:r w:rsidRPr="004676F5">
        <w:rPr>
          <w:lang w:val="de-DE"/>
        </w:rPr>
        <w:softHyphen/>
        <w:t>kette</w:t>
      </w:r>
      <w:r w:rsidR="006475DA" w:rsidRPr="004676F5">
        <w:rPr>
          <w:lang w:val="de-DE"/>
        </w:rPr>
        <w:t xml:space="preserve"> [und der Erlasse zur Ausführung der Artikel VI.109/5 und VI.109/7]</w:t>
      </w:r>
      <w:r w:rsidRPr="004676F5">
        <w:rPr>
          <w:lang w:val="de-DE"/>
        </w:rPr>
        <w:t>,]</w:t>
      </w:r>
    </w:p>
    <w:p w14:paraId="3368A408" w14:textId="77777777" w:rsidR="00901C74" w:rsidRPr="004676F5" w:rsidRDefault="00901C74" w:rsidP="00DF0C3C">
      <w:pPr>
        <w:jc w:val="both"/>
        <w:rPr>
          <w:lang w:val="de-DE"/>
        </w:rPr>
      </w:pPr>
    </w:p>
    <w:p w14:paraId="692982BD" w14:textId="68D442DB" w:rsidR="00DF0C3C" w:rsidRPr="004676F5" w:rsidRDefault="00DF0C3C" w:rsidP="00DF0C3C">
      <w:pPr>
        <w:jc w:val="both"/>
        <w:rPr>
          <w:lang w:val="de-DE"/>
        </w:rPr>
      </w:pPr>
      <w:r w:rsidRPr="004676F5">
        <w:rPr>
          <w:lang w:val="de-DE"/>
        </w:rPr>
        <w:tab/>
        <w:t>16. der Artikel VI.110 bis VI.115 in Bezug auf unerwünschte Mitteilungen</w:t>
      </w:r>
      <w:r w:rsidR="001D5CB7" w:rsidRPr="004676F5">
        <w:rPr>
          <w:lang w:val="de-DE"/>
        </w:rPr>
        <w:t xml:space="preserve"> [und der Erlasse zur Ausführung von Artikel VI.114]</w:t>
      </w:r>
      <w:r w:rsidRPr="004676F5">
        <w:rPr>
          <w:lang w:val="de-DE"/>
        </w:rPr>
        <w:t>,</w:t>
      </w:r>
    </w:p>
    <w:p w14:paraId="7889793A" w14:textId="77777777" w:rsidR="00DF0C3C" w:rsidRPr="004676F5" w:rsidRDefault="00DF0C3C" w:rsidP="00DF0C3C">
      <w:pPr>
        <w:jc w:val="both"/>
        <w:rPr>
          <w:lang w:val="de-DE"/>
        </w:rPr>
      </w:pPr>
    </w:p>
    <w:p w14:paraId="4CFCADD7" w14:textId="77777777" w:rsidR="00DF0C3C" w:rsidRPr="004676F5" w:rsidRDefault="00DF0C3C" w:rsidP="00DF0C3C">
      <w:pPr>
        <w:jc w:val="both"/>
        <w:rPr>
          <w:lang w:val="de-DE"/>
        </w:rPr>
      </w:pPr>
      <w:r w:rsidRPr="004676F5">
        <w:rPr>
          <w:lang w:val="de-DE"/>
        </w:rPr>
        <w:tab/>
        <w:t>17. der Erlasse zur Ausführung von Artikel VI.1 § 2,</w:t>
      </w:r>
    </w:p>
    <w:p w14:paraId="14A5F00B" w14:textId="77777777" w:rsidR="00DF0C3C" w:rsidRPr="004676F5" w:rsidRDefault="00DF0C3C" w:rsidP="00DF0C3C">
      <w:pPr>
        <w:jc w:val="both"/>
        <w:rPr>
          <w:lang w:val="de-DE"/>
        </w:rPr>
      </w:pPr>
    </w:p>
    <w:p w14:paraId="3B4F2E66" w14:textId="77777777" w:rsidR="00901C74" w:rsidRPr="004676F5" w:rsidRDefault="00DF0C3C" w:rsidP="00901C74">
      <w:pPr>
        <w:jc w:val="both"/>
        <w:rPr>
          <w:lang w:val="de-DE"/>
        </w:rPr>
      </w:pPr>
      <w:r w:rsidRPr="004676F5">
        <w:rPr>
          <w:lang w:val="de-DE"/>
        </w:rPr>
        <w:tab/>
        <w:t>18. der Verordnungen der Europäischen Union, die die Bestimmungen von Buch VI oder seiner Ausführungserlasse ersetzen.</w:t>
      </w:r>
    </w:p>
    <w:p w14:paraId="7683DE2B" w14:textId="77777777" w:rsidR="00901C74" w:rsidRPr="004676F5" w:rsidRDefault="00901C74" w:rsidP="00901C74">
      <w:pPr>
        <w:jc w:val="both"/>
        <w:rPr>
          <w:lang w:val="de-DE"/>
        </w:rPr>
      </w:pPr>
    </w:p>
    <w:p w14:paraId="3AB3301E" w14:textId="5F394A2F" w:rsidR="00DF0C3C" w:rsidRPr="004676F5" w:rsidRDefault="00DF0C3C" w:rsidP="00DF0C3C">
      <w:pPr>
        <w:jc w:val="both"/>
        <w:rPr>
          <w:lang w:val="de-DE"/>
        </w:rPr>
      </w:pPr>
      <w:r w:rsidRPr="004676F5">
        <w:rPr>
          <w:lang w:val="de-DE"/>
        </w:rPr>
        <w:tab/>
      </w:r>
      <w:r w:rsidR="006475DA" w:rsidRPr="004676F5">
        <w:rPr>
          <w:lang w:val="de-DE"/>
        </w:rPr>
        <w:t>[</w:t>
      </w:r>
      <w:r w:rsidRPr="004676F5">
        <w:rPr>
          <w:lang w:val="de-DE"/>
        </w:rPr>
        <w:t>Falls ein Verstoß</w:t>
      </w:r>
      <w:r w:rsidR="006475DA" w:rsidRPr="004676F5">
        <w:rPr>
          <w:lang w:val="de-DE"/>
        </w:rPr>
        <w:t>]</w:t>
      </w:r>
      <w:r w:rsidRPr="004676F5">
        <w:rPr>
          <w:lang w:val="de-DE"/>
        </w:rPr>
        <w:t xml:space="preserve"> gegen die in Artikel VI.9 erwähnten Ausführungserlasse ebenfalls einen Verstoß gegen das Gesetz vom 24. Januar 1977 über den Schutz der Gesundheit der Verbraucher im Bereich der Lebensmittel und anderer Waren bildet, so sind allein </w:t>
      </w:r>
      <w:r w:rsidR="006475DA" w:rsidRPr="004676F5">
        <w:rPr>
          <w:lang w:val="de-DE"/>
        </w:rPr>
        <w:t>[die in vorliegendem Gesetzbuch vorgesehenen Strafen]</w:t>
      </w:r>
      <w:r w:rsidRPr="004676F5">
        <w:rPr>
          <w:lang w:val="de-DE"/>
        </w:rPr>
        <w:t xml:space="preserve"> anwendbar.</w:t>
      </w:r>
    </w:p>
    <w:p w14:paraId="0749B15D" w14:textId="77777777" w:rsidR="00DF0C3C" w:rsidRPr="004676F5" w:rsidRDefault="00DF0C3C" w:rsidP="00DF0C3C">
      <w:pPr>
        <w:jc w:val="both"/>
        <w:rPr>
          <w:lang w:val="de-DE"/>
        </w:rPr>
      </w:pPr>
    </w:p>
    <w:p w14:paraId="3125F4AF" w14:textId="5ADA1F64" w:rsidR="002C4B3F" w:rsidRPr="004676F5" w:rsidRDefault="002C4B3F" w:rsidP="00DF0C3C">
      <w:pPr>
        <w:jc w:val="both"/>
        <w:rPr>
          <w:i/>
          <w:lang w:val="de-DE"/>
        </w:rPr>
      </w:pPr>
      <w:r w:rsidRPr="004676F5">
        <w:rPr>
          <w:i/>
          <w:lang w:val="de-DE"/>
        </w:rPr>
        <w:t>[</w:t>
      </w:r>
      <w:r w:rsidR="00BE0A56" w:rsidRPr="004676F5">
        <w:rPr>
          <w:i/>
          <w:lang w:val="de-DE"/>
        </w:rPr>
        <w:t>Art. </w:t>
      </w:r>
      <w:r w:rsidRPr="004676F5">
        <w:rPr>
          <w:i/>
          <w:lang w:val="de-DE"/>
        </w:rPr>
        <w:t xml:space="preserve">XV.83 Abs. 1 Nr. 1/1 eingefügt durch </w:t>
      </w:r>
      <w:r w:rsidR="00BE0A56" w:rsidRPr="004676F5">
        <w:rPr>
          <w:i/>
          <w:lang w:val="de-DE"/>
        </w:rPr>
        <w:t>Art. </w:t>
      </w:r>
      <w:r w:rsidRPr="004676F5">
        <w:rPr>
          <w:i/>
          <w:lang w:val="de-DE"/>
        </w:rPr>
        <w:t xml:space="preserve">51 </w:t>
      </w:r>
      <w:r w:rsidRPr="004676F5">
        <w:rPr>
          <w:i/>
          <w:iCs/>
          <w:lang w:val="de-DE"/>
        </w:rPr>
        <w:t>des G. vom 15.</w:t>
      </w:r>
      <w:r w:rsidR="003042D1" w:rsidRPr="004676F5">
        <w:rPr>
          <w:i/>
          <w:iCs/>
          <w:lang w:val="de-DE"/>
        </w:rPr>
        <w:t> </w:t>
      </w:r>
      <w:r w:rsidRPr="004676F5">
        <w:rPr>
          <w:i/>
          <w:iCs/>
          <w:lang w:val="de-DE"/>
        </w:rPr>
        <w:t>Mai 2014</w:t>
      </w:r>
      <w:r w:rsidR="0094304C" w:rsidRPr="004676F5">
        <w:rPr>
          <w:i/>
          <w:iCs/>
          <w:lang w:val="de-DE"/>
        </w:rPr>
        <w:t> (I)</w:t>
      </w:r>
      <w:r w:rsidRPr="004676F5">
        <w:rPr>
          <w:i/>
          <w:iCs/>
          <w:lang w:val="de-DE"/>
        </w:rPr>
        <w:t xml:space="preserve"> (B.S. vom 22. Mai 2014)</w:t>
      </w:r>
      <w:r w:rsidR="006475DA" w:rsidRPr="004676F5">
        <w:rPr>
          <w:i/>
          <w:iCs/>
          <w:lang w:val="de-DE"/>
        </w:rPr>
        <w:t xml:space="preserve"> und abgeändert durch Art. 58 Buchstabe a) des G. vom 5. November 2023</w:t>
      </w:r>
      <w:r w:rsidR="00AA0B2E" w:rsidRPr="004676F5">
        <w:rPr>
          <w:i/>
          <w:iCs/>
          <w:lang w:val="de-DE"/>
        </w:rPr>
        <w:t> (I)</w:t>
      </w:r>
      <w:r w:rsidR="006475DA" w:rsidRPr="004676F5">
        <w:rPr>
          <w:i/>
          <w:iCs/>
          <w:lang w:val="de-DE"/>
        </w:rPr>
        <w:t xml:space="preserve"> (B.S. vom 11. Dezember 2023)</w:t>
      </w:r>
      <w:r w:rsidR="00102782" w:rsidRPr="004676F5">
        <w:rPr>
          <w:i/>
          <w:iCs/>
          <w:lang w:val="de-DE"/>
        </w:rPr>
        <w:t xml:space="preserve">; </w:t>
      </w:r>
      <w:r w:rsidR="002A7B89" w:rsidRPr="004676F5">
        <w:rPr>
          <w:i/>
          <w:iCs/>
          <w:lang w:val="de-DE"/>
        </w:rPr>
        <w:t>Abs. 1 Nr. </w:t>
      </w:r>
      <w:r w:rsidR="00D77BC1" w:rsidRPr="004676F5">
        <w:rPr>
          <w:i/>
          <w:iCs/>
          <w:lang w:val="de-DE"/>
        </w:rPr>
        <w:t>1/2</w:t>
      </w:r>
      <w:r w:rsidR="002A7B89" w:rsidRPr="004676F5">
        <w:rPr>
          <w:i/>
          <w:iCs/>
          <w:lang w:val="de-DE"/>
        </w:rPr>
        <w:t xml:space="preserve"> eingefügt durch Art. 1</w:t>
      </w:r>
      <w:r w:rsidR="00D77BC1" w:rsidRPr="004676F5">
        <w:rPr>
          <w:i/>
          <w:iCs/>
          <w:lang w:val="de-DE"/>
        </w:rPr>
        <w:t>9</w:t>
      </w:r>
      <w:r w:rsidR="002A7B89" w:rsidRPr="004676F5">
        <w:rPr>
          <w:i/>
          <w:iCs/>
          <w:lang w:val="de-DE"/>
        </w:rPr>
        <w:t xml:space="preserve"> des G. vom 17. März 2022 (B.S. vom 25. März 2022); </w:t>
      </w:r>
      <w:r w:rsidR="004106F5" w:rsidRPr="004676F5">
        <w:rPr>
          <w:i/>
          <w:iCs/>
          <w:lang w:val="de-DE"/>
        </w:rPr>
        <w:t>Abs. 1 Nr. 1/3 eingefügt durch Art. 37 Buchstabe a) des G. vom 8. Mai 2022 (B.S. vom 2. Juni 2022)</w:t>
      </w:r>
      <w:r w:rsidR="00204FCB" w:rsidRPr="004676F5">
        <w:rPr>
          <w:i/>
          <w:iCs/>
          <w:lang w:val="de-DE"/>
        </w:rPr>
        <w:t xml:space="preserve"> und abgeändert durch Art. 33 des G. vom 25. September 2022 (B.S. vom 16. Januar 2023)</w:t>
      </w:r>
      <w:r w:rsidR="004106F5" w:rsidRPr="004676F5">
        <w:rPr>
          <w:i/>
          <w:iCs/>
          <w:lang w:val="de-DE"/>
        </w:rPr>
        <w:t xml:space="preserve">; </w:t>
      </w:r>
      <w:r w:rsidR="00102782" w:rsidRPr="004676F5">
        <w:rPr>
          <w:i/>
          <w:iCs/>
          <w:lang w:val="de-DE"/>
        </w:rPr>
        <w:t xml:space="preserve">Abs. 1 Nr. 4 aufgehoben durch </w:t>
      </w:r>
      <w:r w:rsidR="00BE0A56" w:rsidRPr="004676F5">
        <w:rPr>
          <w:i/>
          <w:iCs/>
          <w:lang w:val="de-DE"/>
        </w:rPr>
        <w:t>Art. </w:t>
      </w:r>
      <w:r w:rsidR="00102782" w:rsidRPr="004676F5">
        <w:rPr>
          <w:i/>
          <w:iCs/>
          <w:lang w:val="de-DE"/>
        </w:rPr>
        <w:t xml:space="preserve">61 </w:t>
      </w:r>
      <w:r w:rsidR="00102782" w:rsidRPr="004676F5">
        <w:rPr>
          <w:i/>
          <w:lang w:val="de-DE"/>
        </w:rPr>
        <w:t>des G. vom 26. Oktober 2015 (B.S. vom 30. Oktober 2015)</w:t>
      </w:r>
      <w:r w:rsidR="004106F5" w:rsidRPr="004676F5">
        <w:rPr>
          <w:i/>
          <w:lang w:val="de-DE"/>
        </w:rPr>
        <w:t xml:space="preserve"> und wieder aufgenommen durch Art. 37 </w:t>
      </w:r>
      <w:r w:rsidR="004106F5" w:rsidRPr="004676F5">
        <w:rPr>
          <w:i/>
          <w:iCs/>
          <w:lang w:val="de-DE"/>
        </w:rPr>
        <w:t>Buchstabe b) des G. vom 8. Mai 2022 (B.S. vom 2. Juni 2022)</w:t>
      </w:r>
      <w:r w:rsidR="00615CDD" w:rsidRPr="004676F5">
        <w:rPr>
          <w:i/>
          <w:lang w:val="de-DE"/>
        </w:rPr>
        <w:t xml:space="preserve">; </w:t>
      </w:r>
      <w:r w:rsidR="006475DA" w:rsidRPr="004676F5">
        <w:rPr>
          <w:i/>
          <w:lang w:val="de-DE"/>
        </w:rPr>
        <w:t>Abs. 1 Nr. 6 abgeändert durch Art. 58 Buchstabe c) des G. vom 5. November 2023</w:t>
      </w:r>
      <w:r w:rsidR="00AA0B2E" w:rsidRPr="004676F5">
        <w:rPr>
          <w:i/>
          <w:lang w:val="de-DE"/>
        </w:rPr>
        <w:t> (I)</w:t>
      </w:r>
      <w:r w:rsidR="006475DA" w:rsidRPr="004676F5">
        <w:rPr>
          <w:i/>
          <w:lang w:val="de-DE"/>
        </w:rPr>
        <w:t xml:space="preserve"> (B.S. vom 11. Dezember 2023); Abs. 1 Nr. 6/1 eingefügt durch Art. 58 Buchstabe d) des G. vom 5. November 2023</w:t>
      </w:r>
      <w:r w:rsidR="00AA0B2E" w:rsidRPr="004676F5">
        <w:rPr>
          <w:i/>
          <w:lang w:val="de-DE"/>
        </w:rPr>
        <w:t> (I)</w:t>
      </w:r>
      <w:r w:rsidR="006475DA" w:rsidRPr="004676F5">
        <w:rPr>
          <w:i/>
          <w:lang w:val="de-DE"/>
        </w:rPr>
        <w:t xml:space="preserve"> (B.S. vom 11. Dezember 2023); </w:t>
      </w:r>
      <w:r w:rsidR="004106F5" w:rsidRPr="004676F5">
        <w:rPr>
          <w:i/>
          <w:lang w:val="de-DE"/>
        </w:rPr>
        <w:t xml:space="preserve">Abs. 1 Nr. 7/1 eingefügt durch Art. 37 </w:t>
      </w:r>
      <w:r w:rsidR="004106F5" w:rsidRPr="004676F5">
        <w:rPr>
          <w:i/>
          <w:iCs/>
          <w:lang w:val="de-DE"/>
        </w:rPr>
        <w:t xml:space="preserve">Buchstabe c) des G. vom 8. Mai 2022 (B.S. vom 2. Juni 2022); </w:t>
      </w:r>
      <w:r w:rsidR="004106F5" w:rsidRPr="004676F5">
        <w:rPr>
          <w:i/>
          <w:lang w:val="de-DE"/>
        </w:rPr>
        <w:t xml:space="preserve">Abs. 1 Nr. 7/2 eingefügt durch Art. 37 </w:t>
      </w:r>
      <w:r w:rsidR="004106F5" w:rsidRPr="004676F5">
        <w:rPr>
          <w:i/>
          <w:iCs/>
          <w:lang w:val="de-DE"/>
        </w:rPr>
        <w:t xml:space="preserve">Buchstabe d) des G. vom 8. Mai 2022 (B.S. vom 2. Juni 2022); </w:t>
      </w:r>
      <w:r w:rsidR="004106F5" w:rsidRPr="004676F5">
        <w:rPr>
          <w:i/>
          <w:lang w:val="de-DE"/>
        </w:rPr>
        <w:t xml:space="preserve">Abs. 1 Nr. 7/3 eingefügt durch Art. 37 </w:t>
      </w:r>
      <w:r w:rsidR="004106F5" w:rsidRPr="004676F5">
        <w:rPr>
          <w:i/>
          <w:iCs/>
          <w:lang w:val="de-DE"/>
        </w:rPr>
        <w:t xml:space="preserve">Buchstabe e) des G. vom 8. Mai 2022 (B.S. vom 2. Juni 2022); </w:t>
      </w:r>
      <w:r w:rsidR="004106F5" w:rsidRPr="004676F5">
        <w:rPr>
          <w:i/>
          <w:lang w:val="de-DE"/>
        </w:rPr>
        <w:t xml:space="preserve">Abs. 1 Nr. 7/4 eingefügt durch Art. 37 </w:t>
      </w:r>
      <w:r w:rsidR="004106F5" w:rsidRPr="004676F5">
        <w:rPr>
          <w:i/>
          <w:iCs/>
          <w:lang w:val="de-DE"/>
        </w:rPr>
        <w:t xml:space="preserve">Buchstabe f) des G. vom 8. Mai 2022 (B.S. vom 2. Juni 2022); </w:t>
      </w:r>
      <w:r w:rsidR="004106F5" w:rsidRPr="004676F5">
        <w:rPr>
          <w:i/>
          <w:lang w:val="de-DE"/>
        </w:rPr>
        <w:t xml:space="preserve">Abs. 1 Nr. 7/5 eingefügt durch Art. 37 </w:t>
      </w:r>
      <w:r w:rsidR="004106F5" w:rsidRPr="004676F5">
        <w:rPr>
          <w:i/>
          <w:iCs/>
          <w:lang w:val="de-DE"/>
        </w:rPr>
        <w:t xml:space="preserve">Buchstabe g) des G. vom 8. Mai 2022 (B.S. vom 2. Juni 2022); </w:t>
      </w:r>
      <w:r w:rsidR="004106F5" w:rsidRPr="004676F5">
        <w:rPr>
          <w:i/>
          <w:lang w:val="de-DE"/>
        </w:rPr>
        <w:t xml:space="preserve">Abs. 1 Nr. 7/6 eingefügt durch Art. 37 </w:t>
      </w:r>
      <w:r w:rsidR="004106F5" w:rsidRPr="004676F5">
        <w:rPr>
          <w:i/>
          <w:iCs/>
          <w:lang w:val="de-DE"/>
        </w:rPr>
        <w:t xml:space="preserve">Buchstabe h) des G. vom 8. Mai 2022 (B.S. vom 2. Juni 2022); </w:t>
      </w:r>
      <w:r w:rsidR="006475DA" w:rsidRPr="004676F5">
        <w:rPr>
          <w:i/>
          <w:iCs/>
          <w:lang w:val="de-DE"/>
        </w:rPr>
        <w:t>Abs. 1 Nr. 8 abgeändert durch Art. 58 Buchstabe e) des G. vom 5. November 2023</w:t>
      </w:r>
      <w:r w:rsidR="00AA0B2E" w:rsidRPr="004676F5">
        <w:rPr>
          <w:i/>
          <w:iCs/>
          <w:lang w:val="de-DE"/>
        </w:rPr>
        <w:t> (I)</w:t>
      </w:r>
      <w:r w:rsidR="006475DA" w:rsidRPr="004676F5">
        <w:rPr>
          <w:i/>
          <w:iCs/>
          <w:lang w:val="de-DE"/>
        </w:rPr>
        <w:t xml:space="preserve"> (B.S. vom 11. Dezember 2023); Abs. 1 Nr. 9 abgeändert durch Art. 58 Buchstabe f) des G. vom 5. November 2023</w:t>
      </w:r>
      <w:r w:rsidR="00AA0B2E" w:rsidRPr="004676F5">
        <w:rPr>
          <w:i/>
          <w:iCs/>
          <w:lang w:val="de-DE"/>
        </w:rPr>
        <w:t> (I)</w:t>
      </w:r>
      <w:r w:rsidR="006475DA" w:rsidRPr="004676F5">
        <w:rPr>
          <w:i/>
          <w:iCs/>
          <w:lang w:val="de-DE"/>
        </w:rPr>
        <w:t xml:space="preserve"> (B.S. vom 11. Dezember 2023); Abs. 1 Nr. 10 abgeändert durch Art. 58 Buchstabe g) des G. vom 5. November 2023</w:t>
      </w:r>
      <w:r w:rsidR="00AA0B2E" w:rsidRPr="004676F5">
        <w:rPr>
          <w:i/>
          <w:iCs/>
          <w:lang w:val="de-DE"/>
        </w:rPr>
        <w:t> (I)</w:t>
      </w:r>
      <w:r w:rsidR="006475DA" w:rsidRPr="004676F5">
        <w:rPr>
          <w:i/>
          <w:iCs/>
          <w:lang w:val="de-DE"/>
        </w:rPr>
        <w:t xml:space="preserve"> (B.S. vom 11. Dezember 2023); </w:t>
      </w:r>
      <w:r w:rsidR="004106F5" w:rsidRPr="004676F5">
        <w:rPr>
          <w:i/>
          <w:lang w:val="de-DE"/>
        </w:rPr>
        <w:t xml:space="preserve">Abs. 1 Nr. 10/1 eingefügt durch Art. 37 </w:t>
      </w:r>
      <w:r w:rsidR="004106F5" w:rsidRPr="004676F5">
        <w:rPr>
          <w:i/>
          <w:iCs/>
          <w:lang w:val="de-DE"/>
        </w:rPr>
        <w:t>Buchstabe i) des G. vom 8. Mai 2022 (B.S. vom 2. Juni 2022)</w:t>
      </w:r>
      <w:r w:rsidR="006475DA" w:rsidRPr="004676F5">
        <w:rPr>
          <w:i/>
          <w:iCs/>
          <w:lang w:val="de-DE"/>
        </w:rPr>
        <w:t xml:space="preserve"> und ersetzt durch Art. 58 Buchstabe h) des G. vom 5. November 2023</w:t>
      </w:r>
      <w:r w:rsidR="00AA0B2E" w:rsidRPr="004676F5">
        <w:rPr>
          <w:i/>
          <w:iCs/>
          <w:lang w:val="de-DE"/>
        </w:rPr>
        <w:t> (I)</w:t>
      </w:r>
      <w:r w:rsidR="006475DA" w:rsidRPr="004676F5">
        <w:rPr>
          <w:i/>
          <w:iCs/>
          <w:lang w:val="de-DE"/>
        </w:rPr>
        <w:t xml:space="preserve"> (B.S. vom 11. Dezember 2023)</w:t>
      </w:r>
      <w:r w:rsidR="004106F5" w:rsidRPr="004676F5">
        <w:rPr>
          <w:i/>
          <w:iCs/>
          <w:lang w:val="de-DE"/>
        </w:rPr>
        <w:t xml:space="preserve">; </w:t>
      </w:r>
      <w:r w:rsidR="006475DA" w:rsidRPr="004676F5">
        <w:rPr>
          <w:i/>
          <w:iCs/>
          <w:lang w:val="de-DE"/>
        </w:rPr>
        <w:t xml:space="preserve">Abs. 1 </w:t>
      </w:r>
      <w:r w:rsidR="00FB40A7" w:rsidRPr="004676F5">
        <w:rPr>
          <w:i/>
          <w:iCs/>
          <w:lang w:val="de-DE"/>
        </w:rPr>
        <w:t>erste Nummer</w:t>
      </w:r>
      <w:r w:rsidR="006475DA" w:rsidRPr="004676F5">
        <w:rPr>
          <w:i/>
          <w:iCs/>
          <w:lang w:val="de-DE"/>
        </w:rPr>
        <w:t> 10/2 eingefügt durch Art. 58 Buchstabe i) des G. vom 5. November 2023</w:t>
      </w:r>
      <w:r w:rsidR="00AA0B2E" w:rsidRPr="004676F5">
        <w:rPr>
          <w:i/>
          <w:iCs/>
          <w:lang w:val="de-DE"/>
        </w:rPr>
        <w:t> (I)</w:t>
      </w:r>
      <w:r w:rsidR="006475DA" w:rsidRPr="004676F5">
        <w:rPr>
          <w:i/>
          <w:iCs/>
          <w:lang w:val="de-DE"/>
        </w:rPr>
        <w:t xml:space="preserve"> (B.S. vom 11. Dezember 2023); </w:t>
      </w:r>
      <w:r w:rsidR="00FB40A7" w:rsidRPr="004676F5">
        <w:rPr>
          <w:i/>
          <w:iCs/>
          <w:lang w:val="de-DE"/>
        </w:rPr>
        <w:t>Abs. 1 zweite Nummer 10/2 eingefügt durch Art. 53 Buchstabe a) des G. vom 9. Februar 2024 (B.S. vom 21. März 2024); Abs. 1 Nr. 11/1 eingefügt durch Art. 53 Buchstabe b) des G. vom 9. Februar 2024 (B.S. vom 21. März 2024); </w:t>
      </w:r>
      <w:r w:rsidR="006475DA" w:rsidRPr="004676F5">
        <w:rPr>
          <w:i/>
          <w:iCs/>
          <w:lang w:val="de-DE"/>
        </w:rPr>
        <w:t>Abs. 1 Nr. 12/1 eingefügt durch Art. 58 Buchstabe j) des G. vom 5. November 2023</w:t>
      </w:r>
      <w:r w:rsidR="00AA0B2E" w:rsidRPr="004676F5">
        <w:rPr>
          <w:i/>
          <w:iCs/>
          <w:lang w:val="de-DE"/>
        </w:rPr>
        <w:t> (I)</w:t>
      </w:r>
      <w:r w:rsidR="006475DA" w:rsidRPr="004676F5">
        <w:rPr>
          <w:i/>
          <w:iCs/>
          <w:lang w:val="de-DE"/>
        </w:rPr>
        <w:t xml:space="preserve"> (B.S. vom 11. Dezember 2023); </w:t>
      </w:r>
      <w:r w:rsidR="00615CDD" w:rsidRPr="004676F5">
        <w:rPr>
          <w:i/>
          <w:lang w:val="de-DE"/>
        </w:rPr>
        <w:t>Abs. 1 Nr. 13 abgeändert durch Art. 39 des G. vom 30. Juli 2018 (II) (B.S. vom 5. September 2018)</w:t>
      </w:r>
      <w:r w:rsidR="004106F5" w:rsidRPr="004676F5">
        <w:rPr>
          <w:i/>
          <w:lang w:val="de-DE"/>
        </w:rPr>
        <w:t xml:space="preserve"> und Art. 37 Buchstabe j)</w:t>
      </w:r>
      <w:r w:rsidR="004106F5" w:rsidRPr="004676F5">
        <w:rPr>
          <w:i/>
          <w:iCs/>
          <w:lang w:val="de-DE"/>
        </w:rPr>
        <w:t xml:space="preserve"> des G. vom 8. Mai 2022 (B.S. vom 2. Juni 2022)</w:t>
      </w:r>
      <w:r w:rsidR="00270F53" w:rsidRPr="004676F5">
        <w:rPr>
          <w:i/>
          <w:lang w:val="de-DE"/>
        </w:rPr>
        <w:t>; Abs. 1 Nr. 13/1 eingefügt durch Art. 35 Buchstabe a)</w:t>
      </w:r>
      <w:r w:rsidR="00270F53" w:rsidRPr="004676F5">
        <w:rPr>
          <w:i/>
          <w:iCs/>
          <w:lang w:val="de-DE"/>
        </w:rPr>
        <w:t xml:space="preserve"> des G. vom 4. April 2019 (B.S. vom 24. Mai 2019); Abs. 1 Nr. 15 ersetzt durch Art. 35 Buchstabe b) des G. vom 4. April 2019 (B.S. vom 24. Mai 2019)</w:t>
      </w:r>
      <w:r w:rsidR="00901C74" w:rsidRPr="004676F5">
        <w:rPr>
          <w:i/>
          <w:iCs/>
          <w:lang w:val="de-DE"/>
        </w:rPr>
        <w:t>; Abs. 1 Nr. 15/1 eingefügt durch Art. 16</w:t>
      </w:r>
      <w:r w:rsidR="00901C74" w:rsidRPr="004676F5">
        <w:rPr>
          <w:bCs/>
          <w:i/>
          <w:iCs/>
          <w:lang w:val="de-DE"/>
        </w:rPr>
        <w:t xml:space="preserve"> des G. vom 28. November 2021 (II) (B.S. vom 15. Dezember 2021)</w:t>
      </w:r>
      <w:r w:rsidR="006475DA" w:rsidRPr="004676F5">
        <w:rPr>
          <w:bCs/>
          <w:i/>
          <w:iCs/>
          <w:lang w:val="de-DE"/>
        </w:rPr>
        <w:t xml:space="preserve"> und abgeändert durch Art. 58 Buchstabe k) des G. vom 5. November 2023</w:t>
      </w:r>
      <w:r w:rsidR="00AA0B2E" w:rsidRPr="004676F5">
        <w:rPr>
          <w:bCs/>
          <w:i/>
          <w:iCs/>
          <w:lang w:val="de-DE"/>
        </w:rPr>
        <w:t xml:space="preserve"> (I) </w:t>
      </w:r>
      <w:r w:rsidR="006475DA" w:rsidRPr="004676F5">
        <w:rPr>
          <w:bCs/>
          <w:i/>
          <w:iCs/>
          <w:lang w:val="de-DE"/>
        </w:rPr>
        <w:t xml:space="preserve">(B.S. vom 11. Dezember 2023); </w:t>
      </w:r>
      <w:r w:rsidR="001D5CB7" w:rsidRPr="004676F5">
        <w:rPr>
          <w:bCs/>
          <w:i/>
          <w:iCs/>
          <w:lang w:val="de-DE"/>
        </w:rPr>
        <w:t xml:space="preserve">Abs. 1 Nr. 16 abgeändert durch Art. 8 des G. vom 8. Februar 2024 (B.S. vom 19. Februar 2024); </w:t>
      </w:r>
      <w:r w:rsidR="006475DA" w:rsidRPr="004676F5">
        <w:rPr>
          <w:bCs/>
          <w:i/>
          <w:iCs/>
          <w:lang w:val="de-DE"/>
        </w:rPr>
        <w:t>Abs. 2 abgeändert durch Art. 58 Buchstabe l) und m) des G. vom 5. November 2023</w:t>
      </w:r>
      <w:r w:rsidR="00AA0B2E" w:rsidRPr="004676F5">
        <w:rPr>
          <w:bCs/>
          <w:i/>
          <w:iCs/>
          <w:lang w:val="de-DE"/>
        </w:rPr>
        <w:t> (I)</w:t>
      </w:r>
      <w:r w:rsidR="006475DA" w:rsidRPr="004676F5">
        <w:rPr>
          <w:bCs/>
          <w:i/>
          <w:iCs/>
          <w:lang w:val="de-DE"/>
        </w:rPr>
        <w:t xml:space="preserve"> (B.S. vom 11. Dezember 2023)</w:t>
      </w:r>
      <w:r w:rsidRPr="004676F5">
        <w:rPr>
          <w:i/>
          <w:lang w:val="de-DE"/>
        </w:rPr>
        <w:t>]</w:t>
      </w:r>
    </w:p>
    <w:p w14:paraId="1828A462" w14:textId="77777777" w:rsidR="002C4B3F" w:rsidRPr="004676F5" w:rsidRDefault="002C4B3F" w:rsidP="00DF0C3C">
      <w:pPr>
        <w:jc w:val="both"/>
        <w:rPr>
          <w:lang w:val="de-DE"/>
        </w:rPr>
      </w:pPr>
    </w:p>
    <w:p w14:paraId="6A371007" w14:textId="77777777" w:rsidR="00DF0C3C" w:rsidRPr="004676F5" w:rsidRDefault="00DF0C3C" w:rsidP="00DF0C3C">
      <w:pPr>
        <w:jc w:val="both"/>
        <w:rPr>
          <w:lang w:val="de-DE"/>
        </w:rPr>
      </w:pPr>
    </w:p>
    <w:p w14:paraId="7CEA0D2A" w14:textId="493EDCE6" w:rsidR="00DF0C3C" w:rsidRPr="004676F5" w:rsidRDefault="00DF0C3C" w:rsidP="00DF0C3C">
      <w:pPr>
        <w:jc w:val="both"/>
        <w:rPr>
          <w:lang w:val="de-DE"/>
        </w:rPr>
      </w:pPr>
      <w:r w:rsidRPr="004676F5">
        <w:rPr>
          <w:lang w:val="de-DE"/>
        </w:rPr>
        <w:tab/>
      </w:r>
      <w:r w:rsidR="00BE0A56" w:rsidRPr="004676F5">
        <w:rPr>
          <w:b/>
          <w:lang w:val="de-DE"/>
        </w:rPr>
        <w:t>Art. </w:t>
      </w:r>
      <w:r w:rsidRPr="004676F5">
        <w:rPr>
          <w:b/>
          <w:lang w:val="de-DE"/>
        </w:rPr>
        <w:t>XV.84</w:t>
      </w:r>
      <w:r w:rsidRPr="004676F5">
        <w:rPr>
          <w:lang w:val="de-DE"/>
        </w:rPr>
        <w:t> </w:t>
      </w:r>
      <w:r w:rsidR="005B7A5C" w:rsidRPr="004676F5">
        <w:rPr>
          <w:lang w:val="de-DE"/>
        </w:rPr>
        <w:t>- </w:t>
      </w:r>
      <w:r w:rsidRPr="004676F5">
        <w:rPr>
          <w:lang w:val="de-DE"/>
        </w:rPr>
        <w:t xml:space="preserve">Mit einer Sanktion der Stufe 3 wird bestraft, wer bösgläubig gegen die Bestimmungen von Buch VI des vorliegenden Gesetzbuches </w:t>
      </w:r>
      <w:r w:rsidR="006475DA" w:rsidRPr="004676F5">
        <w:rPr>
          <w:lang w:val="de-DE"/>
        </w:rPr>
        <w:t xml:space="preserve">[und seiner Ausführungserlasse] </w:t>
      </w:r>
      <w:r w:rsidRPr="004676F5">
        <w:rPr>
          <w:lang w:val="de-DE"/>
        </w:rPr>
        <w:t xml:space="preserve">verstößt, mit Ausnahme der </w:t>
      </w:r>
      <w:r w:rsidR="006475DA" w:rsidRPr="004676F5">
        <w:rPr>
          <w:lang w:val="de-DE"/>
        </w:rPr>
        <w:t>[in den Artikeln XV.85, XV.85/1]</w:t>
      </w:r>
      <w:r w:rsidRPr="004676F5">
        <w:rPr>
          <w:lang w:val="de-DE"/>
        </w:rPr>
        <w:t>, XV.86 und XV.126 erwähnten Bestimmungen und der in Artikel VI.104 erwähnten Verstöße.</w:t>
      </w:r>
    </w:p>
    <w:p w14:paraId="0E449272" w14:textId="77777777" w:rsidR="006475DA" w:rsidRPr="004676F5" w:rsidRDefault="006475DA" w:rsidP="00DF0C3C">
      <w:pPr>
        <w:jc w:val="both"/>
        <w:rPr>
          <w:lang w:val="de-DE"/>
        </w:rPr>
      </w:pPr>
    </w:p>
    <w:p w14:paraId="252E4586" w14:textId="79BA5FFD" w:rsidR="006475DA" w:rsidRPr="004676F5" w:rsidRDefault="006475DA" w:rsidP="00DF0C3C">
      <w:pPr>
        <w:jc w:val="both"/>
        <w:rPr>
          <w:i/>
          <w:iCs/>
          <w:lang w:val="de-DE"/>
        </w:rPr>
      </w:pPr>
      <w:r w:rsidRPr="004676F5">
        <w:rPr>
          <w:i/>
          <w:iCs/>
          <w:lang w:val="de-DE"/>
        </w:rPr>
        <w:t>[Art. XV.84 abgeändert durch Art. 59 des G. vom 5. November 2023</w:t>
      </w:r>
      <w:r w:rsidR="00AA0B2E" w:rsidRPr="004676F5">
        <w:rPr>
          <w:i/>
          <w:iCs/>
          <w:lang w:val="de-DE"/>
        </w:rPr>
        <w:t> (I)</w:t>
      </w:r>
      <w:r w:rsidRPr="004676F5">
        <w:rPr>
          <w:i/>
          <w:iCs/>
          <w:lang w:val="de-DE"/>
        </w:rPr>
        <w:t xml:space="preserve"> (B.S. vom 11. Dezember 2023)]</w:t>
      </w:r>
    </w:p>
    <w:p w14:paraId="1A8BFD81" w14:textId="77777777" w:rsidR="006475DA" w:rsidRPr="004676F5" w:rsidRDefault="006475DA" w:rsidP="00DF0C3C">
      <w:pPr>
        <w:jc w:val="both"/>
        <w:rPr>
          <w:i/>
          <w:iCs/>
          <w:lang w:val="de-DE"/>
        </w:rPr>
      </w:pPr>
    </w:p>
    <w:p w14:paraId="3A080283" w14:textId="77777777" w:rsidR="00DF0C3C" w:rsidRPr="004676F5" w:rsidRDefault="00DF0C3C" w:rsidP="00DF0C3C">
      <w:pPr>
        <w:jc w:val="both"/>
        <w:rPr>
          <w:lang w:val="de-DE"/>
        </w:rPr>
      </w:pPr>
    </w:p>
    <w:p w14:paraId="605537FA" w14:textId="7600B49C" w:rsidR="00DF0C3C" w:rsidRPr="004676F5" w:rsidRDefault="00DF0C3C" w:rsidP="00DF0C3C">
      <w:pPr>
        <w:jc w:val="both"/>
        <w:rPr>
          <w:lang w:val="de-DE"/>
        </w:rPr>
      </w:pPr>
      <w:r w:rsidRPr="004676F5">
        <w:rPr>
          <w:lang w:val="de-DE"/>
        </w:rPr>
        <w:tab/>
      </w:r>
      <w:r w:rsidR="00BE0A56" w:rsidRPr="004676F5">
        <w:rPr>
          <w:b/>
          <w:lang w:val="de-DE"/>
        </w:rPr>
        <w:t>Art. </w:t>
      </w:r>
      <w:r w:rsidRPr="004676F5">
        <w:rPr>
          <w:b/>
          <w:lang w:val="de-DE"/>
        </w:rPr>
        <w:t>XV.85</w:t>
      </w:r>
      <w:r w:rsidRPr="004676F5">
        <w:rPr>
          <w:lang w:val="de-DE"/>
        </w:rPr>
        <w:t> </w:t>
      </w:r>
      <w:r w:rsidR="005B7A5C" w:rsidRPr="004676F5">
        <w:rPr>
          <w:lang w:val="de-DE"/>
        </w:rPr>
        <w:t>- </w:t>
      </w:r>
      <w:r w:rsidRPr="004676F5">
        <w:rPr>
          <w:lang w:val="de-DE"/>
        </w:rPr>
        <w:t>Mit einer Sanktion der Stufe 3 wird bestraft:</w:t>
      </w:r>
    </w:p>
    <w:p w14:paraId="40514A3C" w14:textId="77777777" w:rsidR="00DF0C3C" w:rsidRPr="004676F5" w:rsidRDefault="00DF0C3C" w:rsidP="00DF0C3C">
      <w:pPr>
        <w:jc w:val="both"/>
        <w:rPr>
          <w:lang w:val="de-DE"/>
        </w:rPr>
      </w:pPr>
    </w:p>
    <w:p w14:paraId="0999C687" w14:textId="43DEC333" w:rsidR="00DF0C3C" w:rsidRPr="004676F5" w:rsidRDefault="00DF0C3C" w:rsidP="00DF0C3C">
      <w:pPr>
        <w:jc w:val="both"/>
        <w:rPr>
          <w:lang w:val="de-DE"/>
        </w:rPr>
      </w:pPr>
      <w:r w:rsidRPr="004676F5">
        <w:rPr>
          <w:lang w:val="de-DE"/>
        </w:rPr>
        <w:tab/>
        <w:t>1. wer die Bestimmung eines Urteils oder Entscheids infolge einer in Artikel</w:t>
      </w:r>
      <w:r w:rsidR="000A3BD3" w:rsidRPr="004676F5">
        <w:rPr>
          <w:lang w:val="de-DE"/>
        </w:rPr>
        <w:t> [XVII.1/4]</w:t>
      </w:r>
      <w:r w:rsidRPr="004676F5">
        <w:rPr>
          <w:lang w:val="de-DE"/>
        </w:rPr>
        <w:t xml:space="preserve"> erwähnten Unterlassungsklage nicht einhält,</w:t>
      </w:r>
    </w:p>
    <w:p w14:paraId="6B61DDA4" w14:textId="77777777" w:rsidR="00DF0C3C" w:rsidRPr="004676F5" w:rsidRDefault="00DF0C3C" w:rsidP="00DF0C3C">
      <w:pPr>
        <w:jc w:val="both"/>
        <w:rPr>
          <w:lang w:val="de-DE"/>
        </w:rPr>
      </w:pPr>
    </w:p>
    <w:p w14:paraId="2480CA0D" w14:textId="77777777" w:rsidR="00DF0C3C" w:rsidRPr="004676F5" w:rsidRDefault="00DF0C3C" w:rsidP="00DF0C3C">
      <w:pPr>
        <w:jc w:val="both"/>
        <w:rPr>
          <w:lang w:val="de-DE"/>
        </w:rPr>
      </w:pPr>
      <w:r w:rsidRPr="004676F5">
        <w:rPr>
          <w:lang w:val="de-DE"/>
        </w:rPr>
        <w:tab/>
        <w:t>2. wer selbst oder über eine Mittelsperson absichtlich Anschläge ganz oder teilweise vernichtet, versteckt oder zerreißt, die in Anwendung der Artikel XVII</w:t>
      </w:r>
      <w:r w:rsidR="009F2B51" w:rsidRPr="004676F5">
        <w:rPr>
          <w:lang w:val="de-DE"/>
        </w:rPr>
        <w:t>.5 und XV.131 angebracht werden,</w:t>
      </w:r>
    </w:p>
    <w:p w14:paraId="7BD416BB" w14:textId="77777777" w:rsidR="009F2B51" w:rsidRPr="004676F5" w:rsidRDefault="009F2B51" w:rsidP="00DF0C3C">
      <w:pPr>
        <w:jc w:val="both"/>
        <w:rPr>
          <w:lang w:val="de-DE"/>
        </w:rPr>
      </w:pPr>
    </w:p>
    <w:p w14:paraId="1279051D" w14:textId="38F814CA" w:rsidR="009F2B51" w:rsidRPr="004676F5" w:rsidRDefault="009F2B51" w:rsidP="009F2B51">
      <w:pPr>
        <w:ind w:firstLine="708"/>
        <w:jc w:val="both"/>
        <w:rPr>
          <w:lang w:val="de-DE"/>
        </w:rPr>
      </w:pPr>
      <w:r w:rsidRPr="004676F5">
        <w:rPr>
          <w:lang w:val="de-DE"/>
        </w:rPr>
        <w:t xml:space="preserve">[3. ein Unternehmen, das die </w:t>
      </w:r>
      <w:r w:rsidR="00274D5D" w:rsidRPr="004676F5">
        <w:rPr>
          <w:lang w:val="de-DE"/>
        </w:rPr>
        <w:t>[in Artikel XV.3 Nr. 8]</w:t>
      </w:r>
      <w:r w:rsidRPr="004676F5">
        <w:rPr>
          <w:lang w:val="de-DE"/>
        </w:rPr>
        <w:t xml:space="preserve"> erwähnte Analyse oder Kontrolle durch ein unabhängiges Labor nicht durchführen lässt,</w:t>
      </w:r>
      <w:r w:rsidR="00274D5D" w:rsidRPr="004676F5">
        <w:rPr>
          <w:lang w:val="de-DE"/>
        </w:rPr>
        <w:t>]</w:t>
      </w:r>
    </w:p>
    <w:p w14:paraId="47C5E2B5" w14:textId="77777777" w:rsidR="009F2B51" w:rsidRPr="004676F5" w:rsidRDefault="009F2B51" w:rsidP="009F2B51">
      <w:pPr>
        <w:ind w:firstLine="708"/>
        <w:jc w:val="both"/>
        <w:rPr>
          <w:lang w:val="de-DE"/>
        </w:rPr>
      </w:pPr>
    </w:p>
    <w:p w14:paraId="0D9703F0" w14:textId="20426BB1" w:rsidR="009F2B51" w:rsidRPr="004676F5" w:rsidRDefault="009F2B51" w:rsidP="009F2B51">
      <w:pPr>
        <w:jc w:val="both"/>
        <w:rPr>
          <w:lang w:val="de-DE"/>
        </w:rPr>
      </w:pPr>
      <w:r w:rsidRPr="004676F5">
        <w:rPr>
          <w:lang w:val="de-DE"/>
        </w:rPr>
        <w:tab/>
      </w:r>
      <w:r w:rsidR="00274D5D" w:rsidRPr="004676F5">
        <w:rPr>
          <w:lang w:val="de-DE"/>
        </w:rPr>
        <w:t>[</w:t>
      </w:r>
      <w:r w:rsidRPr="004676F5">
        <w:rPr>
          <w:lang w:val="de-DE"/>
        </w:rPr>
        <w:t>4. ein Unternehmen, das gegen eine in Ausführung von Artikel XV.16/2 getroffene Maßnahme verstößt</w:t>
      </w:r>
      <w:r w:rsidR="00615CDD" w:rsidRPr="004676F5">
        <w:rPr>
          <w:lang w:val="de-DE"/>
        </w:rPr>
        <w:t>,</w:t>
      </w:r>
      <w:r w:rsidRPr="004676F5">
        <w:rPr>
          <w:lang w:val="de-DE"/>
        </w:rPr>
        <w:t>]</w:t>
      </w:r>
    </w:p>
    <w:p w14:paraId="22E13EE8" w14:textId="363707B9" w:rsidR="00615CDD" w:rsidRPr="004676F5" w:rsidRDefault="00615CDD" w:rsidP="009F2B51">
      <w:pPr>
        <w:jc w:val="both"/>
        <w:rPr>
          <w:lang w:val="de-DE"/>
        </w:rPr>
      </w:pPr>
    </w:p>
    <w:p w14:paraId="78301BF2" w14:textId="3455F80F" w:rsidR="00615CDD" w:rsidRPr="004676F5" w:rsidRDefault="00615CDD" w:rsidP="009F2B51">
      <w:pPr>
        <w:jc w:val="both"/>
        <w:rPr>
          <w:lang w:val="de-DE"/>
        </w:rPr>
      </w:pPr>
      <w:r w:rsidRPr="004676F5">
        <w:rPr>
          <w:lang w:val="de-DE"/>
        </w:rPr>
        <w:tab/>
        <w:t>[5. wer gegen die Bestimmungen des Artikels VI.97 Nr. 4 über Irreführung in Bezug auf Preis, Art der Preisberechnung oder Vorhandensein eines besonderen Preisvorteils verstößt.]</w:t>
      </w:r>
    </w:p>
    <w:p w14:paraId="757EBAEB" w14:textId="77777777" w:rsidR="00DF0C3C" w:rsidRPr="004676F5" w:rsidRDefault="00DF0C3C" w:rsidP="00DF0C3C">
      <w:pPr>
        <w:jc w:val="both"/>
        <w:rPr>
          <w:lang w:val="de-DE"/>
        </w:rPr>
      </w:pPr>
    </w:p>
    <w:p w14:paraId="19D5B412" w14:textId="10D610D1" w:rsidR="00DF0C3C" w:rsidRPr="004676F5" w:rsidRDefault="009F2B51" w:rsidP="00DF0C3C">
      <w:pPr>
        <w:jc w:val="both"/>
        <w:rPr>
          <w:i/>
          <w:lang w:val="de-DE"/>
        </w:rPr>
      </w:pPr>
      <w:r w:rsidRPr="004676F5">
        <w:rPr>
          <w:i/>
          <w:lang w:val="de-DE"/>
        </w:rPr>
        <w:t>[</w:t>
      </w:r>
      <w:r w:rsidR="00BE0A56" w:rsidRPr="004676F5">
        <w:rPr>
          <w:i/>
          <w:lang w:val="de-DE"/>
        </w:rPr>
        <w:t>Art. </w:t>
      </w:r>
      <w:r w:rsidRPr="004676F5">
        <w:rPr>
          <w:i/>
          <w:lang w:val="de-DE"/>
        </w:rPr>
        <w:t>XV</w:t>
      </w:r>
      <w:r w:rsidR="000A3BD3" w:rsidRPr="004676F5">
        <w:rPr>
          <w:i/>
          <w:lang w:val="de-DE"/>
        </w:rPr>
        <w:t> </w:t>
      </w:r>
      <w:r w:rsidRPr="004676F5">
        <w:rPr>
          <w:i/>
          <w:lang w:val="de-DE"/>
        </w:rPr>
        <w:t xml:space="preserve">85 </w:t>
      </w:r>
      <w:r w:rsidR="000A3BD3" w:rsidRPr="004676F5">
        <w:rPr>
          <w:i/>
          <w:lang w:val="de-DE"/>
        </w:rPr>
        <w:t xml:space="preserve">einziger Absatz Nr. 1 abgeändert durch Art. 3 Nr. 1 des G. vom 21. April 2024 (II) (B.S. vom 31. Mai 2024); </w:t>
      </w:r>
      <w:r w:rsidRPr="004676F5">
        <w:rPr>
          <w:i/>
          <w:lang w:val="de-DE"/>
        </w:rPr>
        <w:t xml:space="preserve">einziger Absatz Nr. 3 eingefügt durch </w:t>
      </w:r>
      <w:r w:rsidR="00BE0A56" w:rsidRPr="004676F5">
        <w:rPr>
          <w:i/>
          <w:lang w:val="de-DE"/>
        </w:rPr>
        <w:t>Art. </w:t>
      </w:r>
      <w:r w:rsidRPr="004676F5">
        <w:rPr>
          <w:i/>
          <w:lang w:val="de-DE"/>
        </w:rPr>
        <w:t>44 des G. vom 29. Juni 2016 (B.S. vom 6. Juli 2016)</w:t>
      </w:r>
      <w:r w:rsidR="00274D5D" w:rsidRPr="004676F5">
        <w:rPr>
          <w:i/>
          <w:lang w:val="de-DE"/>
        </w:rPr>
        <w:t xml:space="preserve"> und abgeändert durch Art. 52</w:t>
      </w:r>
      <w:r w:rsidR="00274D5D" w:rsidRPr="004676F5">
        <w:rPr>
          <w:bCs/>
          <w:i/>
          <w:iCs/>
          <w:lang w:val="de-DE"/>
        </w:rPr>
        <w:t xml:space="preserve"> des G. vom 29. September 2020 (B.S. vom 20. November 2020)</w:t>
      </w:r>
      <w:r w:rsidR="00615CDD" w:rsidRPr="004676F5">
        <w:rPr>
          <w:i/>
          <w:lang w:val="de-DE"/>
        </w:rPr>
        <w:t xml:space="preserve">; </w:t>
      </w:r>
      <w:r w:rsidR="00274D5D" w:rsidRPr="004676F5">
        <w:rPr>
          <w:i/>
          <w:lang w:val="de-DE"/>
        </w:rPr>
        <w:t xml:space="preserve">einziger Absatz Nr. 4 eingefügt durch Art. 44 des G. vom 29. Juni 2016 (B.S. vom 6. Juli 2016); </w:t>
      </w:r>
      <w:r w:rsidR="00615CDD" w:rsidRPr="004676F5">
        <w:rPr>
          <w:i/>
          <w:lang w:val="de-DE"/>
        </w:rPr>
        <w:t>einziger Absatz Nr. 5 eingefügt durch Art. 40 des G. vom 30. Juli 2018 (II) (B.S. vom 5. September 2018)</w:t>
      </w:r>
      <w:r w:rsidRPr="004676F5">
        <w:rPr>
          <w:i/>
          <w:lang w:val="de-DE"/>
        </w:rPr>
        <w:t>]</w:t>
      </w:r>
    </w:p>
    <w:p w14:paraId="3669E331" w14:textId="3816E41C" w:rsidR="009F2B51" w:rsidRPr="004676F5" w:rsidRDefault="009F2B51" w:rsidP="00DF0C3C">
      <w:pPr>
        <w:jc w:val="both"/>
        <w:rPr>
          <w:lang w:val="de-DE"/>
        </w:rPr>
      </w:pPr>
    </w:p>
    <w:p w14:paraId="05F93E69" w14:textId="2AE55500" w:rsidR="00901C74" w:rsidRPr="004676F5" w:rsidRDefault="00901C74">
      <w:pPr>
        <w:rPr>
          <w:lang w:val="de-DE"/>
        </w:rPr>
      </w:pPr>
    </w:p>
    <w:p w14:paraId="2C3FCF0C" w14:textId="52731570" w:rsidR="00615CDD" w:rsidRPr="004676F5" w:rsidRDefault="00615CDD" w:rsidP="00DF0C3C">
      <w:pPr>
        <w:jc w:val="both"/>
        <w:rPr>
          <w:lang w:val="de-DE"/>
        </w:rPr>
      </w:pPr>
      <w:r w:rsidRPr="004676F5">
        <w:rPr>
          <w:lang w:val="de-DE"/>
        </w:rPr>
        <w:tab/>
        <w:t>[</w:t>
      </w:r>
      <w:r w:rsidRPr="004676F5">
        <w:rPr>
          <w:b/>
          <w:bCs/>
          <w:lang w:val="de-DE"/>
        </w:rPr>
        <w:t>Art. XV.85/1</w:t>
      </w:r>
      <w:r w:rsidRPr="004676F5">
        <w:rPr>
          <w:lang w:val="de-DE"/>
        </w:rPr>
        <w:t> </w:t>
      </w:r>
      <w:r w:rsidR="005B7A5C" w:rsidRPr="004676F5">
        <w:rPr>
          <w:lang w:val="de-DE"/>
        </w:rPr>
        <w:t>- </w:t>
      </w:r>
      <w:r w:rsidRPr="004676F5">
        <w:rPr>
          <w:lang w:val="de-DE"/>
        </w:rPr>
        <w:t>Mit einer Sanktion der Stufe 4 wird bestraft, wer bösgläubig gegen die Bestimmungen des Artikels VI.97 Nr. 4 über die Irreführung in Bezug auf Preis, Art der Preisberechnung oder Vorhandensein eines besonderen Preisvorteils verstößt.]</w:t>
      </w:r>
    </w:p>
    <w:p w14:paraId="1BD930D9" w14:textId="7633C4DA" w:rsidR="00615CDD" w:rsidRPr="004676F5" w:rsidRDefault="00615CDD" w:rsidP="00DF0C3C">
      <w:pPr>
        <w:jc w:val="both"/>
        <w:rPr>
          <w:lang w:val="de-DE"/>
        </w:rPr>
      </w:pPr>
    </w:p>
    <w:p w14:paraId="3B13DF19" w14:textId="499CD622" w:rsidR="00615CDD" w:rsidRPr="004676F5" w:rsidRDefault="00615CDD" w:rsidP="00DF0C3C">
      <w:pPr>
        <w:jc w:val="both"/>
        <w:rPr>
          <w:i/>
          <w:lang w:val="de-DE"/>
        </w:rPr>
      </w:pPr>
      <w:r w:rsidRPr="004676F5">
        <w:rPr>
          <w:i/>
          <w:iCs/>
          <w:lang w:val="de-DE"/>
        </w:rPr>
        <w:t>[Art. </w:t>
      </w:r>
      <w:r w:rsidR="00B14651">
        <w:rPr>
          <w:i/>
          <w:iCs/>
          <w:lang w:val="de-DE"/>
        </w:rPr>
        <w:t>XV.</w:t>
      </w:r>
      <w:r w:rsidRPr="004676F5">
        <w:rPr>
          <w:i/>
          <w:iCs/>
          <w:lang w:val="de-DE"/>
        </w:rPr>
        <w:t>85/1 eingefügt durch Art. 41</w:t>
      </w:r>
      <w:r w:rsidRPr="004676F5">
        <w:rPr>
          <w:i/>
          <w:lang w:val="de-DE"/>
        </w:rPr>
        <w:t xml:space="preserve"> des G. vom 30. Juli 2018 (II) (B.S. vom 5. September 2018)]</w:t>
      </w:r>
    </w:p>
    <w:p w14:paraId="458D49CE" w14:textId="77777777" w:rsidR="00615CDD" w:rsidRPr="004676F5" w:rsidRDefault="00615CDD" w:rsidP="00DF0C3C">
      <w:pPr>
        <w:jc w:val="both"/>
        <w:rPr>
          <w:i/>
          <w:iCs/>
          <w:lang w:val="de-DE"/>
        </w:rPr>
      </w:pPr>
    </w:p>
    <w:p w14:paraId="173DA1AD" w14:textId="77777777" w:rsidR="009F2B51" w:rsidRPr="004676F5" w:rsidRDefault="009F2B51" w:rsidP="00DF0C3C">
      <w:pPr>
        <w:jc w:val="both"/>
        <w:rPr>
          <w:lang w:val="de-DE"/>
        </w:rPr>
      </w:pPr>
    </w:p>
    <w:p w14:paraId="32701947" w14:textId="3A237453" w:rsidR="00DF0C3C" w:rsidRPr="004676F5" w:rsidRDefault="00DF0C3C" w:rsidP="00DF0C3C">
      <w:pPr>
        <w:jc w:val="both"/>
        <w:rPr>
          <w:lang w:val="de-DE"/>
        </w:rPr>
      </w:pPr>
      <w:r w:rsidRPr="004676F5">
        <w:rPr>
          <w:lang w:val="de-DE"/>
        </w:rPr>
        <w:tab/>
      </w:r>
      <w:r w:rsidR="00BE0A56" w:rsidRPr="004676F5">
        <w:rPr>
          <w:b/>
          <w:lang w:val="de-DE"/>
        </w:rPr>
        <w:t>Art. </w:t>
      </w:r>
      <w:r w:rsidRPr="004676F5">
        <w:rPr>
          <w:b/>
          <w:lang w:val="de-DE"/>
        </w:rPr>
        <w:t>XV.86</w:t>
      </w:r>
      <w:r w:rsidRPr="004676F5">
        <w:rPr>
          <w:lang w:val="de-DE"/>
        </w:rPr>
        <w:t> </w:t>
      </w:r>
      <w:r w:rsidR="005B7A5C" w:rsidRPr="004676F5">
        <w:rPr>
          <w:lang w:val="de-DE"/>
        </w:rPr>
        <w:t>- </w:t>
      </w:r>
      <w:r w:rsidRPr="004676F5">
        <w:rPr>
          <w:lang w:val="de-DE"/>
        </w:rPr>
        <w:t>Mit einer Sanktion der Stufe 6 wird bestraft, wer gegen die Artikel VI.100 Nr. 12, 14, 16 und 17 und VI.103 Nr. 1, 2 und 8 in Bezug auf unlautere Geschäftspraktiken und gegen Artikel VI.109 verstößt.]</w:t>
      </w:r>
    </w:p>
    <w:p w14:paraId="118691D0" w14:textId="77777777" w:rsidR="00DF0C3C" w:rsidRPr="004676F5" w:rsidRDefault="00DF0C3C" w:rsidP="00DF0C3C">
      <w:pPr>
        <w:jc w:val="both"/>
        <w:rPr>
          <w:lang w:val="de-DE"/>
        </w:rPr>
      </w:pPr>
    </w:p>
    <w:p w14:paraId="729483F1" w14:textId="77777777" w:rsidR="00EB6EE0" w:rsidRPr="004676F5" w:rsidRDefault="00EB6EE0" w:rsidP="00BA2266">
      <w:pPr>
        <w:jc w:val="both"/>
        <w:rPr>
          <w:lang w:val="de-DE"/>
        </w:rPr>
      </w:pPr>
    </w:p>
    <w:p w14:paraId="178EDBF9" w14:textId="77777777" w:rsidR="00FB40A7" w:rsidRPr="004676F5" w:rsidRDefault="00FB40A7">
      <w:pPr>
        <w:rPr>
          <w:lang w:val="de-DE"/>
        </w:rPr>
      </w:pPr>
      <w:r w:rsidRPr="004676F5">
        <w:rPr>
          <w:lang w:val="de-DE"/>
        </w:rPr>
        <w:lastRenderedPageBreak/>
        <w:br w:type="page"/>
      </w:r>
    </w:p>
    <w:p w14:paraId="4696BB46" w14:textId="7CF32993" w:rsidR="003D32B7" w:rsidRPr="004676F5" w:rsidRDefault="003D32B7" w:rsidP="003D32B7">
      <w:pPr>
        <w:jc w:val="center"/>
        <w:rPr>
          <w:lang w:val="de-DE"/>
        </w:rPr>
      </w:pPr>
      <w:r w:rsidRPr="004676F5">
        <w:rPr>
          <w:lang w:val="de-DE"/>
        </w:rPr>
        <w:lastRenderedPageBreak/>
        <w:t>[</w:t>
      </w:r>
      <w:r w:rsidRPr="004676F5">
        <w:rPr>
          <w:i/>
          <w:lang w:val="de-DE"/>
        </w:rPr>
        <w:t>Abschnitt 5 </w:t>
      </w:r>
      <w:r w:rsidR="005B7A5C" w:rsidRPr="004676F5">
        <w:rPr>
          <w:lang w:val="de-DE"/>
        </w:rPr>
        <w:t>- </w:t>
      </w:r>
      <w:r w:rsidRPr="004676F5">
        <w:rPr>
          <w:lang w:val="de-DE"/>
        </w:rPr>
        <w:t>Strafen in Bezug auf Verstöße gegen Buch VII</w:t>
      </w:r>
    </w:p>
    <w:p w14:paraId="1F9B36B0" w14:textId="77777777" w:rsidR="003D32B7" w:rsidRPr="004676F5" w:rsidRDefault="003D32B7" w:rsidP="003D32B7">
      <w:pPr>
        <w:ind w:firstLine="708"/>
        <w:jc w:val="both"/>
        <w:rPr>
          <w:lang w:val="de-DE"/>
        </w:rPr>
      </w:pPr>
    </w:p>
    <w:p w14:paraId="208DB1A4" w14:textId="12F9CF91" w:rsidR="003D32B7" w:rsidRPr="004676F5" w:rsidRDefault="003D32B7" w:rsidP="003D32B7">
      <w:pPr>
        <w:jc w:val="both"/>
        <w:rPr>
          <w:i/>
          <w:lang w:val="de-DE"/>
        </w:rPr>
      </w:pPr>
      <w:r w:rsidRPr="004676F5">
        <w:rPr>
          <w:i/>
          <w:lang w:val="de-DE"/>
        </w:rPr>
        <w:t xml:space="preserve">[Abschnitt 5 mit den Artikeln XV.87 bis XV.91 eingefügt durch </w:t>
      </w:r>
      <w:r w:rsidR="00BE0A56" w:rsidRPr="004676F5">
        <w:rPr>
          <w:i/>
          <w:lang w:val="de-DE"/>
        </w:rPr>
        <w:t>Art. </w:t>
      </w:r>
      <w:r w:rsidRPr="004676F5">
        <w:rPr>
          <w:i/>
          <w:lang w:val="de-DE"/>
        </w:rPr>
        <w:t>13 des G. vom 19. April 2014</w:t>
      </w:r>
      <w:r w:rsidR="004808C3" w:rsidRPr="004676F5">
        <w:rPr>
          <w:i/>
          <w:lang w:val="de-DE"/>
        </w:rPr>
        <w:t> (I)</w:t>
      </w:r>
      <w:r w:rsidRPr="004676F5">
        <w:rPr>
          <w:i/>
          <w:lang w:val="de-DE"/>
        </w:rPr>
        <w:t xml:space="preserve"> (B.S. vom 28. Mai 2014)]</w:t>
      </w:r>
    </w:p>
    <w:p w14:paraId="76E4A0CA" w14:textId="77777777" w:rsidR="003D32B7" w:rsidRPr="004676F5" w:rsidRDefault="003D32B7" w:rsidP="003D32B7">
      <w:pPr>
        <w:jc w:val="both"/>
        <w:rPr>
          <w:i/>
          <w:lang w:val="de-DE"/>
        </w:rPr>
      </w:pPr>
    </w:p>
    <w:p w14:paraId="3BF958C6" w14:textId="2F1E3A39" w:rsidR="003D32B7" w:rsidRPr="004676F5" w:rsidRDefault="003D32B7" w:rsidP="003D32B7">
      <w:pPr>
        <w:jc w:val="both"/>
        <w:rPr>
          <w:i/>
          <w:lang w:val="de-DE"/>
        </w:rPr>
      </w:pPr>
    </w:p>
    <w:p w14:paraId="35AC73ED" w14:textId="18C196BA" w:rsidR="00615CDD" w:rsidRPr="004676F5" w:rsidRDefault="00615CDD" w:rsidP="003D32B7">
      <w:pPr>
        <w:jc w:val="both"/>
        <w:rPr>
          <w:lang w:val="de-DE"/>
        </w:rPr>
      </w:pPr>
      <w:r w:rsidRPr="004676F5">
        <w:rPr>
          <w:i/>
          <w:lang w:val="de-DE"/>
        </w:rPr>
        <w:tab/>
      </w:r>
      <w:r w:rsidRPr="004676F5">
        <w:rPr>
          <w:iCs/>
          <w:lang w:val="de-DE"/>
        </w:rPr>
        <w:t>[</w:t>
      </w:r>
      <w:r w:rsidRPr="004676F5">
        <w:rPr>
          <w:b/>
          <w:bCs/>
          <w:lang w:val="de-DE"/>
        </w:rPr>
        <w:t>Art. XV.86/1</w:t>
      </w:r>
      <w:r w:rsidRPr="004676F5">
        <w:rPr>
          <w:lang w:val="de-DE"/>
        </w:rPr>
        <w:t> </w:t>
      </w:r>
      <w:r w:rsidR="005B7A5C" w:rsidRPr="004676F5">
        <w:rPr>
          <w:lang w:val="de-DE"/>
        </w:rPr>
        <w:t>- </w:t>
      </w:r>
      <w:r w:rsidRPr="004676F5">
        <w:rPr>
          <w:lang w:val="de-DE"/>
        </w:rPr>
        <w:t>Mit einer Sanktion der Stufe 2 wird bestraft, wer gegen die Bestimmungen der Artikel VII.64</w:t>
      </w:r>
      <w:r w:rsidR="00F0360C" w:rsidRPr="004676F5">
        <w:rPr>
          <w:lang w:val="de-DE"/>
        </w:rPr>
        <w:t>[,</w:t>
      </w:r>
      <w:r w:rsidRPr="004676F5">
        <w:rPr>
          <w:lang w:val="de-DE"/>
        </w:rPr>
        <w:t xml:space="preserve"> VII.6</w:t>
      </w:r>
      <w:r w:rsidR="00F0360C" w:rsidRPr="004676F5">
        <w:rPr>
          <w:lang w:val="de-DE"/>
        </w:rPr>
        <w:t>5]</w:t>
      </w:r>
      <w:r w:rsidRPr="004676F5">
        <w:rPr>
          <w:lang w:val="de-DE"/>
        </w:rPr>
        <w:t>, VII.123 und VII.124 in Bezug auf Werbung verstößt.]</w:t>
      </w:r>
    </w:p>
    <w:p w14:paraId="5A7AD7AA" w14:textId="35B06D53" w:rsidR="00615CDD" w:rsidRPr="004676F5" w:rsidRDefault="00615CDD" w:rsidP="003D32B7">
      <w:pPr>
        <w:jc w:val="both"/>
        <w:rPr>
          <w:lang w:val="de-DE"/>
        </w:rPr>
      </w:pPr>
    </w:p>
    <w:p w14:paraId="6C5A3451" w14:textId="6977407D" w:rsidR="00615CDD" w:rsidRPr="004676F5" w:rsidRDefault="00615CDD" w:rsidP="003D32B7">
      <w:pPr>
        <w:jc w:val="both"/>
        <w:rPr>
          <w:i/>
          <w:lang w:val="de-DE"/>
        </w:rPr>
      </w:pPr>
      <w:r w:rsidRPr="004676F5">
        <w:rPr>
          <w:i/>
          <w:iCs/>
          <w:lang w:val="de-DE"/>
        </w:rPr>
        <w:t>[Art. XI.86/1 eingefügt durch Art. 42</w:t>
      </w:r>
      <w:r w:rsidRPr="004676F5">
        <w:rPr>
          <w:i/>
          <w:lang w:val="de-DE"/>
        </w:rPr>
        <w:t xml:space="preserve"> des G. vom 30. Juli 2018 (II) (B.S. vom 5. September 2018)</w:t>
      </w:r>
      <w:r w:rsidR="00F0360C" w:rsidRPr="004676F5">
        <w:rPr>
          <w:i/>
          <w:lang w:val="de-DE"/>
        </w:rPr>
        <w:t xml:space="preserve"> und abgeändert durch Art. 30 des G. vom 2. Mai 2019 (IV) (B.S. vom 22. Mai 2019)</w:t>
      </w:r>
      <w:r w:rsidRPr="004676F5">
        <w:rPr>
          <w:i/>
          <w:lang w:val="de-DE"/>
        </w:rPr>
        <w:t>]</w:t>
      </w:r>
    </w:p>
    <w:p w14:paraId="245F2C71" w14:textId="77777777" w:rsidR="00615CDD" w:rsidRPr="004676F5" w:rsidRDefault="00615CDD" w:rsidP="003D32B7">
      <w:pPr>
        <w:jc w:val="both"/>
        <w:rPr>
          <w:i/>
          <w:lang w:val="de-DE"/>
        </w:rPr>
      </w:pPr>
    </w:p>
    <w:p w14:paraId="4C5ED774" w14:textId="5B95FEDC" w:rsidR="00615CDD" w:rsidRPr="004676F5" w:rsidRDefault="00615CDD" w:rsidP="003D32B7">
      <w:pPr>
        <w:jc w:val="both"/>
        <w:rPr>
          <w:i/>
          <w:iCs/>
          <w:lang w:val="de-DE"/>
        </w:rPr>
      </w:pPr>
      <w:r w:rsidRPr="004676F5">
        <w:rPr>
          <w:i/>
          <w:iCs/>
          <w:lang w:val="de-DE"/>
        </w:rPr>
        <w:t xml:space="preserve"> </w:t>
      </w:r>
    </w:p>
    <w:p w14:paraId="67CF7347" w14:textId="43B41288" w:rsidR="003D32B7" w:rsidRPr="004676F5" w:rsidRDefault="00BE0A56" w:rsidP="003D32B7">
      <w:pPr>
        <w:ind w:firstLine="708"/>
        <w:jc w:val="both"/>
        <w:rPr>
          <w:lang w:val="de-DE"/>
        </w:rPr>
      </w:pPr>
      <w:r w:rsidRPr="004676F5">
        <w:rPr>
          <w:b/>
          <w:lang w:val="de-DE"/>
        </w:rPr>
        <w:t>Art. </w:t>
      </w:r>
      <w:r w:rsidR="003D32B7" w:rsidRPr="004676F5">
        <w:rPr>
          <w:b/>
          <w:lang w:val="de-DE"/>
        </w:rPr>
        <w:t>XV.87</w:t>
      </w:r>
      <w:r w:rsidR="003D32B7" w:rsidRPr="004676F5">
        <w:rPr>
          <w:lang w:val="de-DE"/>
        </w:rPr>
        <w:t> </w:t>
      </w:r>
      <w:r w:rsidR="005B7A5C" w:rsidRPr="004676F5">
        <w:rPr>
          <w:lang w:val="de-DE"/>
        </w:rPr>
        <w:t>- </w:t>
      </w:r>
      <w:r w:rsidR="003D32B7" w:rsidRPr="004676F5">
        <w:rPr>
          <w:lang w:val="de-DE"/>
        </w:rPr>
        <w:t>Mit einer Sanktion der Stufe 3 wird bestraft, wer bösgläubig gegen die Bestimmungen verstößt:</w:t>
      </w:r>
    </w:p>
    <w:p w14:paraId="1C865259" w14:textId="77777777" w:rsidR="003D32B7" w:rsidRPr="004676F5" w:rsidRDefault="003D32B7" w:rsidP="003D32B7">
      <w:pPr>
        <w:ind w:firstLine="708"/>
        <w:jc w:val="both"/>
        <w:rPr>
          <w:lang w:val="de-DE"/>
        </w:rPr>
      </w:pPr>
    </w:p>
    <w:p w14:paraId="6811D4DB" w14:textId="3B602307" w:rsidR="003D32B7" w:rsidRPr="004676F5" w:rsidRDefault="003D32B7" w:rsidP="003D32B7">
      <w:pPr>
        <w:ind w:firstLine="708"/>
        <w:jc w:val="both"/>
        <w:rPr>
          <w:lang w:val="de-DE"/>
        </w:rPr>
      </w:pPr>
      <w:r w:rsidRPr="004676F5">
        <w:rPr>
          <w:lang w:val="de-DE"/>
        </w:rPr>
        <w:t xml:space="preserve">1. </w:t>
      </w:r>
      <w:r w:rsidR="000867F3" w:rsidRPr="004676F5">
        <w:rPr>
          <w:lang w:val="de-DE"/>
        </w:rPr>
        <w:t>[der Artikel VII.56/1 bis VII.59/1,]</w:t>
      </w:r>
    </w:p>
    <w:p w14:paraId="1A33A821" w14:textId="77777777" w:rsidR="00204FCB" w:rsidRPr="004676F5" w:rsidRDefault="00204FCB" w:rsidP="003D32B7">
      <w:pPr>
        <w:ind w:firstLine="708"/>
        <w:jc w:val="both"/>
        <w:rPr>
          <w:lang w:val="de-DE"/>
        </w:rPr>
      </w:pPr>
    </w:p>
    <w:p w14:paraId="1FCA06CF" w14:textId="1B674BC5" w:rsidR="00204FCB" w:rsidRPr="004676F5" w:rsidRDefault="00204FCB" w:rsidP="003D32B7">
      <w:pPr>
        <w:ind w:firstLine="708"/>
        <w:jc w:val="both"/>
        <w:rPr>
          <w:lang w:val="de-DE"/>
        </w:rPr>
      </w:pPr>
      <w:r w:rsidRPr="004676F5">
        <w:rPr>
          <w:lang w:val="de-DE"/>
        </w:rPr>
        <w:t>[1/1. der Artikel VII.59/4 bis VII.59/6 und ihrer Ausführungserlasse in Bezug auf die Basisbankdienstleistung für Unternehmen,]</w:t>
      </w:r>
    </w:p>
    <w:p w14:paraId="0F1FBC10" w14:textId="77777777" w:rsidR="003D32B7" w:rsidRPr="004676F5" w:rsidRDefault="003D32B7" w:rsidP="003D32B7">
      <w:pPr>
        <w:ind w:firstLine="708"/>
        <w:jc w:val="both"/>
        <w:rPr>
          <w:lang w:val="de-DE"/>
        </w:rPr>
      </w:pPr>
    </w:p>
    <w:p w14:paraId="4F7E77DF" w14:textId="77777777" w:rsidR="003D32B7" w:rsidRPr="004676F5" w:rsidRDefault="003D32B7" w:rsidP="003D32B7">
      <w:pPr>
        <w:ind w:firstLine="708"/>
        <w:jc w:val="both"/>
        <w:rPr>
          <w:lang w:val="de-DE"/>
        </w:rPr>
      </w:pPr>
      <w:r w:rsidRPr="004676F5">
        <w:rPr>
          <w:lang w:val="de-DE"/>
        </w:rPr>
        <w:t>2. </w:t>
      </w:r>
      <w:r w:rsidR="00496AA3" w:rsidRPr="004676F5">
        <w:rPr>
          <w:lang w:val="de-DE"/>
        </w:rPr>
        <w:t>[der Artikel VII.64 bis VII.66 und VII.123 bis VII.124]</w:t>
      </w:r>
      <w:r w:rsidRPr="004676F5">
        <w:rPr>
          <w:lang w:val="de-DE"/>
        </w:rPr>
        <w:t xml:space="preserve"> in Bezug auf Werbung,</w:t>
      </w:r>
    </w:p>
    <w:p w14:paraId="41C9797B" w14:textId="77777777" w:rsidR="003D32B7" w:rsidRPr="004676F5" w:rsidRDefault="003D32B7" w:rsidP="003D32B7">
      <w:pPr>
        <w:ind w:firstLine="708"/>
        <w:jc w:val="both"/>
        <w:rPr>
          <w:lang w:val="de-DE"/>
        </w:rPr>
      </w:pPr>
    </w:p>
    <w:p w14:paraId="69464ADC" w14:textId="7F1D5F65" w:rsidR="003D32B7" w:rsidRPr="004676F5" w:rsidRDefault="003D32B7" w:rsidP="003D32B7">
      <w:pPr>
        <w:ind w:firstLine="708"/>
        <w:jc w:val="both"/>
        <w:rPr>
          <w:lang w:val="de-DE"/>
        </w:rPr>
      </w:pPr>
      <w:r w:rsidRPr="004676F5">
        <w:rPr>
          <w:lang w:val="de-DE"/>
        </w:rPr>
        <w:t>3. </w:t>
      </w:r>
      <w:r w:rsidR="00496AA3" w:rsidRPr="004676F5">
        <w:rPr>
          <w:lang w:val="de-DE"/>
        </w:rPr>
        <w:t>[</w:t>
      </w:r>
      <w:r w:rsidRPr="004676F5">
        <w:rPr>
          <w:lang w:val="de-DE"/>
        </w:rPr>
        <w:t>de</w:t>
      </w:r>
      <w:r w:rsidR="00F0360C" w:rsidRPr="004676F5">
        <w:rPr>
          <w:lang w:val="de-DE"/>
        </w:rPr>
        <w:t>r</w:t>
      </w:r>
      <w:r w:rsidRPr="004676F5">
        <w:rPr>
          <w:lang w:val="de-DE"/>
        </w:rPr>
        <w:t xml:space="preserve"> Artikel VII.12</w:t>
      </w:r>
      <w:r w:rsidR="00496AA3" w:rsidRPr="004676F5">
        <w:rPr>
          <w:lang w:val="de-DE"/>
        </w:rPr>
        <w:t>5</w:t>
      </w:r>
      <w:r w:rsidR="00F0360C" w:rsidRPr="004676F5">
        <w:rPr>
          <w:lang w:val="de-DE"/>
        </w:rPr>
        <w:t xml:space="preserve"> und VII.128</w:t>
      </w:r>
      <w:r w:rsidR="00CE3F7B" w:rsidRPr="004676F5">
        <w:rPr>
          <w:lang w:val="de-DE"/>
        </w:rPr>
        <w:t>.</w:t>
      </w:r>
      <w:r w:rsidR="00496AA3" w:rsidRPr="004676F5">
        <w:rPr>
          <w:lang w:val="de-DE"/>
        </w:rPr>
        <w:t>]</w:t>
      </w:r>
    </w:p>
    <w:p w14:paraId="48B2B855" w14:textId="77777777" w:rsidR="00CE3F7B" w:rsidRPr="004676F5" w:rsidRDefault="00CE3F7B" w:rsidP="00CE3F7B">
      <w:pPr>
        <w:jc w:val="both"/>
        <w:rPr>
          <w:lang w:val="de-DE"/>
        </w:rPr>
      </w:pPr>
    </w:p>
    <w:p w14:paraId="0B5669A0" w14:textId="72CA66CD" w:rsidR="00CE3F7B" w:rsidRPr="004676F5" w:rsidRDefault="00CE3F7B" w:rsidP="00CE3F7B">
      <w:pPr>
        <w:jc w:val="both"/>
        <w:rPr>
          <w:i/>
          <w:lang w:val="de-DE"/>
        </w:rPr>
      </w:pPr>
      <w:r w:rsidRPr="004676F5">
        <w:rPr>
          <w:i/>
          <w:lang w:val="de-DE"/>
        </w:rPr>
        <w:t>[</w:t>
      </w:r>
      <w:r w:rsidR="00BE0A56" w:rsidRPr="004676F5">
        <w:rPr>
          <w:i/>
          <w:lang w:val="de-DE"/>
        </w:rPr>
        <w:t>Art. </w:t>
      </w:r>
      <w:r w:rsidRPr="004676F5">
        <w:rPr>
          <w:i/>
          <w:lang w:val="de-DE"/>
        </w:rPr>
        <w:t>XV.87</w:t>
      </w:r>
      <w:r w:rsidR="000867F3" w:rsidRPr="004676F5">
        <w:rPr>
          <w:i/>
          <w:lang w:val="de-DE"/>
        </w:rPr>
        <w:t xml:space="preserve"> einziger Absatz Nr. 1 ersetzt durch Art. 29 des G. vom 22. Dezember 2017 (B.S. vom 12. Januar 2018);</w:t>
      </w:r>
      <w:r w:rsidR="00204FCB" w:rsidRPr="004676F5">
        <w:rPr>
          <w:i/>
          <w:lang w:val="de-DE"/>
        </w:rPr>
        <w:t xml:space="preserve"> einziger Absatz Nr. 1/1 eingefügt durch Art. 34</w:t>
      </w:r>
      <w:r w:rsidR="00204FCB" w:rsidRPr="004676F5">
        <w:rPr>
          <w:i/>
          <w:iCs/>
          <w:lang w:val="de-DE"/>
        </w:rPr>
        <w:t xml:space="preserve"> des G. vom 25. September 2022 (B.S. vom 16. Januar 2023);</w:t>
      </w:r>
      <w:r w:rsidRPr="004676F5">
        <w:rPr>
          <w:i/>
          <w:lang w:val="de-DE"/>
        </w:rPr>
        <w:t xml:space="preserve"> einziger Absatz Nr. 2 abgeändert durch </w:t>
      </w:r>
      <w:r w:rsidR="00BE0A56" w:rsidRPr="004676F5">
        <w:rPr>
          <w:i/>
          <w:lang w:val="de-DE"/>
        </w:rPr>
        <w:t>Art. </w:t>
      </w:r>
      <w:r w:rsidRPr="004676F5">
        <w:rPr>
          <w:i/>
          <w:lang w:val="de-DE"/>
        </w:rPr>
        <w:t xml:space="preserve">38 Nr. 1 des G. vom 22. April 2016 (B.S. vom 4. Mai 2016); einziger Absatz Nr. 3 ersetzt durch </w:t>
      </w:r>
      <w:r w:rsidR="00BE0A56" w:rsidRPr="004676F5">
        <w:rPr>
          <w:i/>
          <w:lang w:val="de-DE"/>
        </w:rPr>
        <w:t>Art. </w:t>
      </w:r>
      <w:r w:rsidR="00F0360C" w:rsidRPr="004676F5">
        <w:rPr>
          <w:i/>
          <w:lang w:val="de-DE"/>
        </w:rPr>
        <w:t>31 des G. vom 2. Mai 2019 (IV) (B.S. vom 22. Mai 2019)</w:t>
      </w:r>
      <w:r w:rsidRPr="004676F5">
        <w:rPr>
          <w:i/>
          <w:lang w:val="de-DE"/>
        </w:rPr>
        <w:t>]</w:t>
      </w:r>
    </w:p>
    <w:p w14:paraId="0D1EE350" w14:textId="77777777" w:rsidR="003D32B7" w:rsidRPr="004676F5" w:rsidRDefault="003D32B7" w:rsidP="003D32B7">
      <w:pPr>
        <w:rPr>
          <w:lang w:val="de-DE"/>
        </w:rPr>
      </w:pPr>
    </w:p>
    <w:p w14:paraId="750332C6" w14:textId="77777777" w:rsidR="003D32B7" w:rsidRPr="004676F5" w:rsidRDefault="003D32B7" w:rsidP="003D32B7">
      <w:pPr>
        <w:rPr>
          <w:lang w:val="de-DE"/>
        </w:rPr>
      </w:pPr>
    </w:p>
    <w:p w14:paraId="16BFD769" w14:textId="6DD8C512" w:rsidR="003D32B7" w:rsidRPr="004676F5" w:rsidRDefault="003D32B7" w:rsidP="003D32B7">
      <w:pPr>
        <w:rPr>
          <w:lang w:val="de-DE"/>
        </w:rPr>
      </w:pPr>
      <w:r w:rsidRPr="004676F5">
        <w:rPr>
          <w:lang w:val="de-DE"/>
        </w:rPr>
        <w:tab/>
      </w:r>
      <w:r w:rsidR="00BE0A56" w:rsidRPr="004676F5">
        <w:rPr>
          <w:b/>
          <w:lang w:val="de-DE"/>
        </w:rPr>
        <w:t>Art. </w:t>
      </w:r>
      <w:r w:rsidRPr="004676F5">
        <w:rPr>
          <w:b/>
          <w:lang w:val="de-DE"/>
        </w:rPr>
        <w:t>XV.88</w:t>
      </w:r>
      <w:r w:rsidRPr="004676F5">
        <w:rPr>
          <w:lang w:val="de-DE"/>
        </w:rPr>
        <w:t> </w:t>
      </w:r>
      <w:r w:rsidR="005B7A5C" w:rsidRPr="004676F5">
        <w:rPr>
          <w:lang w:val="de-DE"/>
        </w:rPr>
        <w:t>- </w:t>
      </w:r>
      <w:r w:rsidRPr="004676F5">
        <w:rPr>
          <w:lang w:val="de-DE"/>
        </w:rPr>
        <w:t>Mit einer Sanktion der Stufe 4 wird bestraft, wer gegen die Bestim</w:t>
      </w:r>
      <w:r w:rsidRPr="004676F5">
        <w:rPr>
          <w:lang w:val="de-DE"/>
        </w:rPr>
        <w:softHyphen/>
        <w:t>mungen verstößt:</w:t>
      </w:r>
    </w:p>
    <w:p w14:paraId="58B785D3" w14:textId="77777777" w:rsidR="003D32B7" w:rsidRPr="004676F5" w:rsidRDefault="003D32B7" w:rsidP="003D32B7">
      <w:pPr>
        <w:ind w:firstLine="708"/>
        <w:jc w:val="both"/>
        <w:rPr>
          <w:lang w:val="de-DE"/>
        </w:rPr>
      </w:pPr>
    </w:p>
    <w:p w14:paraId="1395CFB7" w14:textId="77777777" w:rsidR="003D32B7" w:rsidRPr="004676F5" w:rsidRDefault="003D32B7" w:rsidP="003D32B7">
      <w:pPr>
        <w:ind w:firstLine="708"/>
        <w:jc w:val="both"/>
        <w:rPr>
          <w:lang w:val="de-DE"/>
        </w:rPr>
      </w:pPr>
      <w:r w:rsidRPr="004676F5">
        <w:rPr>
          <w:lang w:val="de-DE"/>
        </w:rPr>
        <w:t>1. des Artikels VII.149 § 1 in Bezug auf die Verpflichtung zur Abfrage der Zentrale,</w:t>
      </w:r>
    </w:p>
    <w:p w14:paraId="754E4DB5" w14:textId="77777777" w:rsidR="003D32B7" w:rsidRPr="004676F5" w:rsidRDefault="003D32B7" w:rsidP="003D32B7">
      <w:pPr>
        <w:ind w:firstLine="708"/>
        <w:jc w:val="both"/>
        <w:rPr>
          <w:lang w:val="de-DE"/>
        </w:rPr>
      </w:pPr>
    </w:p>
    <w:p w14:paraId="58081BBA" w14:textId="77777777" w:rsidR="003D32B7" w:rsidRPr="004676F5" w:rsidRDefault="003D32B7" w:rsidP="003D32B7">
      <w:pPr>
        <w:ind w:firstLine="708"/>
        <w:jc w:val="both"/>
        <w:rPr>
          <w:lang w:val="de-DE"/>
        </w:rPr>
      </w:pPr>
      <w:r w:rsidRPr="004676F5">
        <w:rPr>
          <w:lang w:val="de-DE"/>
        </w:rPr>
        <w:t>2. des Artikels VII.149 § 2 in Bezug auf die Mitteilung an die Zentrale und der Erlasse zur Ausführung dieses Artikels,</w:t>
      </w:r>
    </w:p>
    <w:p w14:paraId="4A1C9BE4" w14:textId="77777777" w:rsidR="003D32B7" w:rsidRPr="004676F5" w:rsidRDefault="003D32B7" w:rsidP="003D32B7">
      <w:pPr>
        <w:ind w:firstLine="708"/>
        <w:jc w:val="both"/>
        <w:rPr>
          <w:lang w:val="de-DE"/>
        </w:rPr>
      </w:pPr>
    </w:p>
    <w:p w14:paraId="46955431" w14:textId="77777777" w:rsidR="003D32B7" w:rsidRPr="004676F5" w:rsidRDefault="003D32B7" w:rsidP="003D32B7">
      <w:pPr>
        <w:ind w:firstLine="708"/>
        <w:jc w:val="both"/>
        <w:rPr>
          <w:lang w:val="de-DE"/>
        </w:rPr>
      </w:pPr>
      <w:r w:rsidRPr="004676F5">
        <w:rPr>
          <w:lang w:val="de-DE"/>
        </w:rPr>
        <w:t>3. des Artikels VII.153 § 2 in Bezug auf die Verwendung der mitgeteilten Auskünfte,</w:t>
      </w:r>
    </w:p>
    <w:p w14:paraId="69CBB7E3" w14:textId="77777777" w:rsidR="003D32B7" w:rsidRPr="004676F5" w:rsidRDefault="003D32B7" w:rsidP="003D32B7">
      <w:pPr>
        <w:ind w:firstLine="708"/>
        <w:jc w:val="both"/>
        <w:rPr>
          <w:lang w:val="de-DE"/>
        </w:rPr>
      </w:pPr>
    </w:p>
    <w:p w14:paraId="475A625F" w14:textId="77777777" w:rsidR="003D32B7" w:rsidRPr="004676F5" w:rsidRDefault="003D32B7" w:rsidP="003D32B7">
      <w:pPr>
        <w:ind w:firstLine="708"/>
        <w:jc w:val="both"/>
        <w:rPr>
          <w:lang w:val="de-DE"/>
        </w:rPr>
      </w:pPr>
      <w:r w:rsidRPr="004676F5">
        <w:rPr>
          <w:lang w:val="de-DE"/>
        </w:rPr>
        <w:t>4. des Artikels VII.153 § 2 Absatz 3 und 4 in Bezug auf die Daten der Zentrale, die ein Kreditvermittler erhalten darf.</w:t>
      </w:r>
    </w:p>
    <w:p w14:paraId="70571CC1" w14:textId="77777777" w:rsidR="00274D5D" w:rsidRPr="004676F5" w:rsidRDefault="00274D5D">
      <w:pPr>
        <w:rPr>
          <w:b/>
          <w:lang w:val="de-DE"/>
        </w:rPr>
      </w:pPr>
    </w:p>
    <w:p w14:paraId="1A10B150" w14:textId="77777777" w:rsidR="00274D5D" w:rsidRPr="004676F5" w:rsidRDefault="00274D5D">
      <w:pPr>
        <w:rPr>
          <w:b/>
          <w:lang w:val="de-DE"/>
        </w:rPr>
      </w:pPr>
    </w:p>
    <w:p w14:paraId="4752CDB7" w14:textId="77777777" w:rsidR="00FB40A7" w:rsidRPr="004676F5" w:rsidRDefault="00FB40A7">
      <w:pPr>
        <w:rPr>
          <w:b/>
          <w:lang w:val="de-DE"/>
        </w:rPr>
      </w:pPr>
      <w:r w:rsidRPr="004676F5">
        <w:rPr>
          <w:b/>
          <w:lang w:val="de-DE"/>
        </w:rPr>
        <w:br w:type="page"/>
      </w:r>
    </w:p>
    <w:p w14:paraId="0CE9ABB5" w14:textId="5E99A4C4" w:rsidR="00CD36FE" w:rsidRPr="004676F5" w:rsidRDefault="00BE0A56" w:rsidP="00CD36FE">
      <w:pPr>
        <w:ind w:firstLine="708"/>
        <w:jc w:val="both"/>
        <w:rPr>
          <w:lang w:val="de-DE"/>
        </w:rPr>
      </w:pPr>
      <w:r w:rsidRPr="004676F5">
        <w:rPr>
          <w:b/>
          <w:lang w:val="de-DE"/>
        </w:rPr>
        <w:lastRenderedPageBreak/>
        <w:t>Art. </w:t>
      </w:r>
      <w:r w:rsidR="003D32B7" w:rsidRPr="004676F5">
        <w:rPr>
          <w:b/>
          <w:lang w:val="de-DE"/>
        </w:rPr>
        <w:t>XV.89</w:t>
      </w:r>
      <w:r w:rsidR="003D32B7" w:rsidRPr="004676F5">
        <w:rPr>
          <w:lang w:val="de-DE"/>
        </w:rPr>
        <w:t> </w:t>
      </w:r>
      <w:r w:rsidR="005B7A5C" w:rsidRPr="004676F5">
        <w:rPr>
          <w:lang w:val="de-DE"/>
        </w:rPr>
        <w:t>- </w:t>
      </w:r>
      <w:r w:rsidR="00CD36FE" w:rsidRPr="004676F5">
        <w:rPr>
          <w:lang w:val="de-DE"/>
        </w:rPr>
        <w:t>[Mit einer Sanktion der Stufe 5 wird bestraft, wer gegen die Bestimmungen verstößt:</w:t>
      </w:r>
    </w:p>
    <w:p w14:paraId="7B6CFEE4" w14:textId="77777777" w:rsidR="00CD36FE" w:rsidRPr="004676F5" w:rsidRDefault="00CD36FE" w:rsidP="00CD36FE">
      <w:pPr>
        <w:ind w:firstLine="708"/>
        <w:jc w:val="both"/>
        <w:rPr>
          <w:lang w:val="de-DE"/>
        </w:rPr>
      </w:pPr>
    </w:p>
    <w:p w14:paraId="3CC968E3" w14:textId="2A32AF5D" w:rsidR="00F0360C" w:rsidRPr="004676F5" w:rsidRDefault="00F0360C" w:rsidP="00F0360C">
      <w:pPr>
        <w:ind w:firstLine="708"/>
        <w:jc w:val="both"/>
        <w:rPr>
          <w:lang w:val="de-DE"/>
        </w:rPr>
      </w:pPr>
      <w:r w:rsidRPr="004676F5">
        <w:rPr>
          <w:lang w:val="de-DE"/>
        </w:rPr>
        <w:t>[1. der Artikel VII.4/1 bis VII.4/4 in Bezug auf die Vergleichbarkeit der für Zahlungskonten in Rechnung gestellten Entgelte,]</w:t>
      </w:r>
    </w:p>
    <w:p w14:paraId="08C5F98E" w14:textId="77777777" w:rsidR="00F0360C" w:rsidRPr="004676F5" w:rsidRDefault="00F0360C" w:rsidP="00F0360C">
      <w:pPr>
        <w:ind w:firstLine="708"/>
        <w:jc w:val="both"/>
        <w:rPr>
          <w:lang w:val="de-DE"/>
        </w:rPr>
      </w:pPr>
    </w:p>
    <w:p w14:paraId="1F7B5D40" w14:textId="633F8194" w:rsidR="00CD36FE" w:rsidRPr="004676F5" w:rsidRDefault="00F0360C" w:rsidP="00CD36FE">
      <w:pPr>
        <w:ind w:firstLine="708"/>
        <w:jc w:val="both"/>
        <w:rPr>
          <w:lang w:val="de-DE"/>
        </w:rPr>
      </w:pPr>
      <w:r w:rsidRPr="004676F5">
        <w:rPr>
          <w:lang w:val="de-DE"/>
        </w:rPr>
        <w:t>[</w:t>
      </w:r>
      <w:r w:rsidR="00CD36FE" w:rsidRPr="004676F5">
        <w:rPr>
          <w:lang w:val="de-DE"/>
        </w:rPr>
        <w:t>1</w:t>
      </w:r>
      <w:r w:rsidRPr="004676F5">
        <w:rPr>
          <w:lang w:val="de-DE"/>
        </w:rPr>
        <w:t>/1</w:t>
      </w:r>
      <w:r w:rsidR="00CD36FE" w:rsidRPr="004676F5">
        <w:rPr>
          <w:lang w:val="de-DE"/>
        </w:rPr>
        <w:t>.</w:t>
      </w:r>
      <w:r w:rsidRPr="004676F5">
        <w:rPr>
          <w:lang w:val="de-DE"/>
        </w:rPr>
        <w:t>]</w:t>
      </w:r>
      <w:r w:rsidR="00CD36FE" w:rsidRPr="004676F5">
        <w:rPr>
          <w:lang w:val="de-DE"/>
        </w:rPr>
        <w:t> des Artikels VII.6 in Bezug auf die Informationen im Rahmen eines im Fernabsatz geschlossenen Zahlungsdienstvertrags,</w:t>
      </w:r>
    </w:p>
    <w:p w14:paraId="5AB533CB" w14:textId="77777777" w:rsidR="00CD36FE" w:rsidRPr="004676F5" w:rsidRDefault="00CD36FE" w:rsidP="00CD36FE">
      <w:pPr>
        <w:ind w:firstLine="708"/>
        <w:jc w:val="both"/>
        <w:rPr>
          <w:lang w:val="de-DE"/>
        </w:rPr>
      </w:pPr>
    </w:p>
    <w:p w14:paraId="7490E0E3" w14:textId="77777777" w:rsidR="00CD36FE" w:rsidRPr="004676F5" w:rsidRDefault="00CD36FE" w:rsidP="00CD36FE">
      <w:pPr>
        <w:ind w:firstLine="708"/>
        <w:jc w:val="both"/>
        <w:rPr>
          <w:lang w:val="de-DE"/>
        </w:rPr>
      </w:pPr>
      <w:r w:rsidRPr="004676F5">
        <w:rPr>
          <w:lang w:val="de-DE"/>
        </w:rPr>
        <w:t>2. des Artikels VII.7 in Bezug auf Entgelte für die Bereitstellung von Informationen,</w:t>
      </w:r>
    </w:p>
    <w:p w14:paraId="7510651D" w14:textId="77777777" w:rsidR="00CD36FE" w:rsidRPr="004676F5" w:rsidRDefault="00CD36FE" w:rsidP="00CD36FE">
      <w:pPr>
        <w:ind w:firstLine="708"/>
        <w:jc w:val="both"/>
        <w:rPr>
          <w:lang w:val="de-DE"/>
        </w:rPr>
      </w:pPr>
    </w:p>
    <w:p w14:paraId="11040518" w14:textId="77777777" w:rsidR="00CD36FE" w:rsidRPr="004676F5" w:rsidRDefault="00CD36FE" w:rsidP="00CD36FE">
      <w:pPr>
        <w:ind w:firstLine="708"/>
        <w:jc w:val="both"/>
        <w:rPr>
          <w:lang w:val="de-DE"/>
        </w:rPr>
      </w:pPr>
      <w:r w:rsidRPr="004676F5">
        <w:rPr>
          <w:lang w:val="de-DE"/>
        </w:rPr>
        <w:t>3. des Artikels VII.9 in Bezug auf die Informationspflichten bei Zahlungsinstrumenten für geringe Beträge und E-Geld,</w:t>
      </w:r>
    </w:p>
    <w:p w14:paraId="6244316C" w14:textId="77777777" w:rsidR="00CD36FE" w:rsidRPr="004676F5" w:rsidRDefault="00CD36FE" w:rsidP="00CD36FE">
      <w:pPr>
        <w:ind w:firstLine="708"/>
        <w:jc w:val="both"/>
        <w:rPr>
          <w:lang w:val="de-DE"/>
        </w:rPr>
      </w:pPr>
    </w:p>
    <w:p w14:paraId="6D28F5EA" w14:textId="77777777" w:rsidR="00CD36FE" w:rsidRPr="004676F5" w:rsidRDefault="00CD36FE" w:rsidP="00CD36FE">
      <w:pPr>
        <w:ind w:firstLine="708"/>
        <w:jc w:val="both"/>
        <w:rPr>
          <w:lang w:val="de-DE"/>
        </w:rPr>
      </w:pPr>
      <w:r w:rsidRPr="004676F5">
        <w:rPr>
          <w:lang w:val="de-DE"/>
        </w:rPr>
        <w:t>4. des Artikels VII.11 in Bezug auf die Informationspflichten bei zusätzlichen Entgelten oder Ermäßigungen für die Nutzung eines bestimmten Zahlungsinstruments,</w:t>
      </w:r>
    </w:p>
    <w:p w14:paraId="1CECF8ED" w14:textId="77777777" w:rsidR="00741332" w:rsidRPr="004676F5" w:rsidRDefault="00741332" w:rsidP="00CD36FE">
      <w:pPr>
        <w:ind w:firstLine="708"/>
        <w:jc w:val="both"/>
        <w:rPr>
          <w:lang w:val="de-DE"/>
        </w:rPr>
      </w:pPr>
    </w:p>
    <w:p w14:paraId="5DF16FB6" w14:textId="6B73F5A2" w:rsidR="00741332" w:rsidRPr="004676F5" w:rsidRDefault="00741332" w:rsidP="00741332">
      <w:pPr>
        <w:ind w:firstLine="708"/>
        <w:jc w:val="both"/>
        <w:rPr>
          <w:lang w:val="de-DE"/>
        </w:rPr>
      </w:pPr>
      <w:r w:rsidRPr="004676F5">
        <w:rPr>
          <w:lang w:val="de-DE"/>
        </w:rPr>
        <w:t>[4/1. des Artikels VII.11/1 über die Verpflichtung zur Information über die europäische Dokumentation,]</w:t>
      </w:r>
    </w:p>
    <w:p w14:paraId="75258073" w14:textId="77777777" w:rsidR="00741332" w:rsidRPr="004676F5" w:rsidRDefault="00741332" w:rsidP="00741332">
      <w:pPr>
        <w:jc w:val="both"/>
        <w:rPr>
          <w:lang w:val="de-DE"/>
        </w:rPr>
      </w:pPr>
    </w:p>
    <w:p w14:paraId="211FFCA9" w14:textId="0F771DFA" w:rsidR="00741332" w:rsidRPr="004676F5" w:rsidRDefault="00741332" w:rsidP="00741332">
      <w:pPr>
        <w:ind w:firstLine="708"/>
        <w:jc w:val="both"/>
        <w:rPr>
          <w:lang w:val="de-DE"/>
        </w:rPr>
      </w:pPr>
      <w:r w:rsidRPr="004676F5">
        <w:rPr>
          <w:lang w:val="de-DE"/>
        </w:rPr>
        <w:t>[4/2. des Artikels VII.11/2 über die Informationspflicht, die Agenten oder Zweig</w:t>
      </w:r>
      <w:r w:rsidRPr="004676F5">
        <w:rPr>
          <w:lang w:val="de-DE"/>
        </w:rPr>
        <w:softHyphen/>
        <w:t>nieder</w:t>
      </w:r>
      <w:r w:rsidRPr="004676F5">
        <w:rPr>
          <w:lang w:val="de-DE"/>
        </w:rPr>
        <w:softHyphen/>
        <w:t>lassungen, die im Namen von Zahlungsinstituten tätig sind, obliegt,]</w:t>
      </w:r>
    </w:p>
    <w:p w14:paraId="57DD2AB5" w14:textId="77777777" w:rsidR="00741332" w:rsidRPr="004676F5" w:rsidRDefault="00741332" w:rsidP="00CD36FE">
      <w:pPr>
        <w:ind w:firstLine="708"/>
        <w:jc w:val="both"/>
        <w:rPr>
          <w:lang w:val="de-DE"/>
        </w:rPr>
      </w:pPr>
    </w:p>
    <w:p w14:paraId="5B037466" w14:textId="77777777" w:rsidR="00CD36FE" w:rsidRPr="004676F5" w:rsidRDefault="00CD36FE" w:rsidP="00CD36FE">
      <w:pPr>
        <w:ind w:firstLine="708"/>
        <w:jc w:val="both"/>
        <w:rPr>
          <w:lang w:val="de-DE"/>
        </w:rPr>
      </w:pPr>
      <w:r w:rsidRPr="004676F5">
        <w:rPr>
          <w:lang w:val="de-DE"/>
        </w:rPr>
        <w:t>5. der Artikel VII.14, VII.15, VII.16, VII.18 und VII.19 in Bezug auf die Informations</w:t>
      </w:r>
      <w:r w:rsidRPr="004676F5">
        <w:rPr>
          <w:lang w:val="de-DE"/>
        </w:rPr>
        <w:softHyphen/>
        <w:t>pflichten bei Einzelzahlungen,</w:t>
      </w:r>
    </w:p>
    <w:p w14:paraId="2E954805" w14:textId="77777777" w:rsidR="00CD36FE" w:rsidRPr="004676F5" w:rsidRDefault="00CD36FE" w:rsidP="00CD36FE">
      <w:pPr>
        <w:ind w:firstLine="708"/>
        <w:jc w:val="both"/>
        <w:rPr>
          <w:lang w:val="de-DE"/>
        </w:rPr>
      </w:pPr>
    </w:p>
    <w:p w14:paraId="2FF8AEED" w14:textId="77777777" w:rsidR="00CD36FE" w:rsidRPr="004676F5" w:rsidRDefault="00CD36FE" w:rsidP="00CD36FE">
      <w:pPr>
        <w:ind w:firstLine="708"/>
        <w:jc w:val="both"/>
        <w:rPr>
          <w:lang w:val="de-DE"/>
        </w:rPr>
      </w:pPr>
      <w:r w:rsidRPr="004676F5">
        <w:rPr>
          <w:lang w:val="de-DE"/>
        </w:rPr>
        <w:t>6. der Artikel VII.21 und VII.22 in Bezug auf die Informationspflichten bei Rahmenverträgen über Zahlungsdienste und des Artikels VII.24 in Bezug auf den Zugang zu den Informationen und Bedingungen der Rahmenverträge,</w:t>
      </w:r>
    </w:p>
    <w:p w14:paraId="725B7C08" w14:textId="77777777" w:rsidR="00CD36FE" w:rsidRPr="004676F5" w:rsidRDefault="00CD36FE" w:rsidP="00CD36FE">
      <w:pPr>
        <w:ind w:firstLine="708"/>
        <w:jc w:val="both"/>
        <w:rPr>
          <w:lang w:val="de-DE"/>
        </w:rPr>
      </w:pPr>
    </w:p>
    <w:p w14:paraId="3AB2391D" w14:textId="77777777" w:rsidR="00CD36FE" w:rsidRPr="004676F5" w:rsidRDefault="00CD36FE" w:rsidP="00CD36FE">
      <w:pPr>
        <w:ind w:firstLine="708"/>
        <w:jc w:val="both"/>
        <w:rPr>
          <w:lang w:val="de-DE"/>
        </w:rPr>
      </w:pPr>
      <w:r w:rsidRPr="004676F5">
        <w:rPr>
          <w:lang w:val="de-DE"/>
        </w:rPr>
        <w:t>7. des Artikels VII.24 in Bezug auf Änderungen der Bedingungen der Rahmenverträge,</w:t>
      </w:r>
    </w:p>
    <w:p w14:paraId="6245F143" w14:textId="77777777" w:rsidR="00CD36FE" w:rsidRPr="004676F5" w:rsidRDefault="00CD36FE" w:rsidP="00CD36FE">
      <w:pPr>
        <w:ind w:firstLine="708"/>
        <w:jc w:val="both"/>
        <w:rPr>
          <w:lang w:val="de-DE"/>
        </w:rPr>
      </w:pPr>
    </w:p>
    <w:p w14:paraId="30458E7A" w14:textId="77777777" w:rsidR="00CD36FE" w:rsidRPr="004676F5" w:rsidRDefault="00CD36FE" w:rsidP="00CD36FE">
      <w:pPr>
        <w:ind w:firstLine="708"/>
        <w:jc w:val="both"/>
        <w:rPr>
          <w:lang w:val="de-DE"/>
        </w:rPr>
      </w:pPr>
      <w:r w:rsidRPr="004676F5">
        <w:rPr>
          <w:lang w:val="de-DE"/>
        </w:rPr>
        <w:t>8. des Artikels VII.25 in Bezug auf die Kündigung eines Rahmenvertrags und die Folgen einer solchen Kündigung,</w:t>
      </w:r>
    </w:p>
    <w:p w14:paraId="7777B0D0" w14:textId="77777777" w:rsidR="00CD36FE" w:rsidRPr="004676F5" w:rsidRDefault="00CD36FE" w:rsidP="00CD36FE">
      <w:pPr>
        <w:ind w:firstLine="708"/>
        <w:jc w:val="both"/>
        <w:rPr>
          <w:lang w:val="de-DE"/>
        </w:rPr>
      </w:pPr>
    </w:p>
    <w:p w14:paraId="45C71B3E" w14:textId="77777777" w:rsidR="00CD36FE" w:rsidRPr="004676F5" w:rsidRDefault="00CD36FE" w:rsidP="00CD36FE">
      <w:pPr>
        <w:ind w:firstLine="708"/>
        <w:jc w:val="both"/>
        <w:rPr>
          <w:lang w:val="de-DE"/>
        </w:rPr>
      </w:pPr>
      <w:r w:rsidRPr="004676F5">
        <w:rPr>
          <w:lang w:val="de-DE"/>
        </w:rPr>
        <w:t>9. der Artikel VII.26, VII.27 und VII.28 in Bezug auf die Informationspflichten bei einzelnen Zahlungsvorgängen innerhalb eines Rahmenvertrags,</w:t>
      </w:r>
    </w:p>
    <w:p w14:paraId="026CE0C9" w14:textId="77777777" w:rsidR="00CD36FE" w:rsidRPr="004676F5" w:rsidRDefault="00CD36FE" w:rsidP="00CD36FE">
      <w:pPr>
        <w:ind w:firstLine="708"/>
        <w:jc w:val="both"/>
        <w:rPr>
          <w:lang w:val="de-DE"/>
        </w:rPr>
      </w:pPr>
    </w:p>
    <w:p w14:paraId="25F82888" w14:textId="367407C4" w:rsidR="00CD36FE" w:rsidRPr="004676F5" w:rsidRDefault="00CD36FE" w:rsidP="00CD36FE">
      <w:pPr>
        <w:ind w:firstLine="708"/>
        <w:jc w:val="both"/>
        <w:rPr>
          <w:lang w:val="de-DE"/>
        </w:rPr>
      </w:pPr>
      <w:r w:rsidRPr="004676F5">
        <w:rPr>
          <w:lang w:val="de-DE"/>
        </w:rPr>
        <w:t xml:space="preserve">10. des Artikels VII.30 §§ 1 und 2 in Bezug auf die vom Zahlungsdienstleister erhobenen Entgelte, des Artikels VII.30 § 3 in Bezug auf die vom Zahlungsempfänger erhobenen zusätzlichen Entgelte </w:t>
      </w:r>
      <w:r w:rsidR="00F0360C" w:rsidRPr="004676F5">
        <w:rPr>
          <w:lang w:val="de-DE"/>
        </w:rPr>
        <w:t>[...]</w:t>
      </w:r>
      <w:r w:rsidRPr="004676F5">
        <w:rPr>
          <w:lang w:val="de-DE"/>
        </w:rPr>
        <w:t xml:space="preserve"> für die Nutzung eines bestimmten Zahlungsinstruments </w:t>
      </w:r>
      <w:r w:rsidR="00F0360C" w:rsidRPr="004676F5">
        <w:rPr>
          <w:lang w:val="de-DE"/>
        </w:rPr>
        <w:t>[...]</w:t>
      </w:r>
      <w:r w:rsidRPr="004676F5">
        <w:rPr>
          <w:lang w:val="de-DE"/>
        </w:rPr>
        <w:t>,</w:t>
      </w:r>
    </w:p>
    <w:p w14:paraId="3C37B503" w14:textId="77777777" w:rsidR="00CD36FE" w:rsidRPr="004676F5" w:rsidRDefault="00CD36FE" w:rsidP="00CD36FE">
      <w:pPr>
        <w:ind w:firstLine="708"/>
        <w:jc w:val="both"/>
        <w:rPr>
          <w:lang w:val="de-DE"/>
        </w:rPr>
      </w:pPr>
    </w:p>
    <w:p w14:paraId="40280922" w14:textId="77777777" w:rsidR="00CD36FE" w:rsidRPr="004676F5" w:rsidRDefault="00CD36FE" w:rsidP="00CD36FE">
      <w:pPr>
        <w:ind w:firstLine="708"/>
        <w:jc w:val="both"/>
        <w:rPr>
          <w:lang w:val="de-DE"/>
        </w:rPr>
      </w:pPr>
      <w:r w:rsidRPr="004676F5">
        <w:rPr>
          <w:lang w:val="de-DE"/>
        </w:rPr>
        <w:t>11. des Artikels VII.31 in Bezug auf die Pflichten und die Haftung bei Zahlungs</w:t>
      </w:r>
      <w:r w:rsidRPr="004676F5">
        <w:rPr>
          <w:lang w:val="de-DE"/>
        </w:rPr>
        <w:softHyphen/>
        <w:t>instrumenten für geringe Beträge und E-Geld,</w:t>
      </w:r>
    </w:p>
    <w:p w14:paraId="5AF33D69" w14:textId="77777777" w:rsidR="00CD36FE" w:rsidRPr="004676F5" w:rsidRDefault="00CD36FE" w:rsidP="00CD36FE">
      <w:pPr>
        <w:ind w:firstLine="708"/>
        <w:jc w:val="both"/>
        <w:rPr>
          <w:lang w:val="de-DE"/>
        </w:rPr>
      </w:pPr>
    </w:p>
    <w:p w14:paraId="4087B9BD" w14:textId="77777777" w:rsidR="00CD36FE" w:rsidRPr="004676F5" w:rsidRDefault="00CD36FE" w:rsidP="00CD36FE">
      <w:pPr>
        <w:ind w:firstLine="708"/>
        <w:jc w:val="both"/>
        <w:rPr>
          <w:lang w:val="de-DE"/>
        </w:rPr>
      </w:pPr>
      <w:r w:rsidRPr="004676F5">
        <w:rPr>
          <w:lang w:val="de-DE"/>
        </w:rPr>
        <w:t>12. des Artikels VII.32 in Bezug auf die Autorisierung von Zahlungsvorgängen und des Artikels VII.33 in Bezug auf Lastschriftaufträge,</w:t>
      </w:r>
    </w:p>
    <w:p w14:paraId="31ED6446" w14:textId="77777777" w:rsidR="00CD36FE" w:rsidRPr="004676F5" w:rsidRDefault="00CD36FE" w:rsidP="00CD36FE">
      <w:pPr>
        <w:ind w:firstLine="708"/>
        <w:jc w:val="both"/>
        <w:rPr>
          <w:lang w:val="de-DE"/>
        </w:rPr>
      </w:pPr>
    </w:p>
    <w:p w14:paraId="7B2C9862" w14:textId="77777777" w:rsidR="00CD36FE" w:rsidRPr="004676F5" w:rsidRDefault="00CD36FE" w:rsidP="00CD36FE">
      <w:pPr>
        <w:ind w:firstLine="708"/>
        <w:jc w:val="both"/>
        <w:rPr>
          <w:lang w:val="de-DE"/>
        </w:rPr>
      </w:pPr>
      <w:r w:rsidRPr="004676F5">
        <w:rPr>
          <w:lang w:val="de-DE"/>
        </w:rPr>
        <w:lastRenderedPageBreak/>
        <w:t>13. der Artikel VII.35 und VII.36 in Bezug auf die Vorschriften für den Zugang zu Zahlungskonten und zu Zahlungskontoinformationen und für deren Nutzung,</w:t>
      </w:r>
    </w:p>
    <w:p w14:paraId="78DEE853" w14:textId="77777777" w:rsidR="00CD36FE" w:rsidRPr="004676F5" w:rsidRDefault="00CD36FE" w:rsidP="00CD36FE">
      <w:pPr>
        <w:ind w:firstLine="708"/>
        <w:jc w:val="both"/>
        <w:rPr>
          <w:lang w:val="de-DE"/>
        </w:rPr>
      </w:pPr>
    </w:p>
    <w:p w14:paraId="1A83BAC1" w14:textId="77777777" w:rsidR="00CD36FE" w:rsidRPr="004676F5" w:rsidRDefault="00CD36FE" w:rsidP="00CD36FE">
      <w:pPr>
        <w:ind w:firstLine="708"/>
        <w:jc w:val="both"/>
        <w:rPr>
          <w:lang w:val="de-DE"/>
        </w:rPr>
      </w:pPr>
      <w:r w:rsidRPr="004676F5">
        <w:rPr>
          <w:lang w:val="de-DE"/>
        </w:rPr>
        <w:t>14. des Artikels VII.37 in Bezug auf die Begrenzung der Nutzung von Zahlungs</w:t>
      </w:r>
      <w:r w:rsidRPr="004676F5">
        <w:rPr>
          <w:lang w:val="de-DE"/>
        </w:rPr>
        <w:softHyphen/>
        <w:t>instrumenten und des Zugangs von Zahlungsdienstleistern zu Zahlungskonten,</w:t>
      </w:r>
    </w:p>
    <w:p w14:paraId="4AA048AB" w14:textId="77777777" w:rsidR="00CD36FE" w:rsidRPr="004676F5" w:rsidRDefault="00CD36FE" w:rsidP="00CD36FE">
      <w:pPr>
        <w:ind w:firstLine="708"/>
        <w:jc w:val="both"/>
        <w:rPr>
          <w:lang w:val="de-DE"/>
        </w:rPr>
      </w:pPr>
    </w:p>
    <w:p w14:paraId="021097B3" w14:textId="77777777" w:rsidR="00CD36FE" w:rsidRPr="004676F5" w:rsidRDefault="00CD36FE" w:rsidP="00CD36FE">
      <w:pPr>
        <w:ind w:firstLine="708"/>
        <w:jc w:val="both"/>
        <w:rPr>
          <w:lang w:val="de-DE"/>
        </w:rPr>
      </w:pPr>
      <w:r w:rsidRPr="004676F5">
        <w:rPr>
          <w:lang w:val="de-DE"/>
        </w:rPr>
        <w:t>15. des Artikels VII.39 in Bezug auf die Pflichten des Zahlungsdienstleisters im Zusammenhang mit Zahlungsinstrumenten,</w:t>
      </w:r>
    </w:p>
    <w:p w14:paraId="51985DC2" w14:textId="77777777" w:rsidR="00CD36FE" w:rsidRPr="004676F5" w:rsidRDefault="00CD36FE" w:rsidP="00CD36FE">
      <w:pPr>
        <w:ind w:firstLine="708"/>
        <w:jc w:val="both"/>
        <w:rPr>
          <w:lang w:val="de-DE"/>
        </w:rPr>
      </w:pPr>
    </w:p>
    <w:p w14:paraId="5D51AA01" w14:textId="77777777" w:rsidR="00CD36FE" w:rsidRPr="004676F5" w:rsidRDefault="00CD36FE" w:rsidP="00CD36FE">
      <w:pPr>
        <w:ind w:firstLine="708"/>
        <w:jc w:val="both"/>
        <w:rPr>
          <w:lang w:val="de-DE"/>
        </w:rPr>
      </w:pPr>
      <w:r w:rsidRPr="004676F5">
        <w:rPr>
          <w:lang w:val="de-DE"/>
        </w:rPr>
        <w:t>16. des Artikels VII.42 in Bezug auf die Anzeige und Korrektur nicht autorisierter oder fehlerhaft ausgeführter Zahlungsvorgänge,</w:t>
      </w:r>
    </w:p>
    <w:p w14:paraId="20F3C0A2" w14:textId="77777777" w:rsidR="00CD36FE" w:rsidRPr="004676F5" w:rsidRDefault="00CD36FE" w:rsidP="00CD36FE">
      <w:pPr>
        <w:ind w:firstLine="708"/>
        <w:jc w:val="both"/>
        <w:rPr>
          <w:lang w:val="de-DE"/>
        </w:rPr>
      </w:pPr>
    </w:p>
    <w:p w14:paraId="4231B947" w14:textId="77777777" w:rsidR="00CD36FE" w:rsidRPr="004676F5" w:rsidRDefault="00CD36FE" w:rsidP="00CD36FE">
      <w:pPr>
        <w:ind w:firstLine="708"/>
        <w:jc w:val="both"/>
        <w:rPr>
          <w:lang w:val="de-DE"/>
        </w:rPr>
      </w:pPr>
      <w:r w:rsidRPr="004676F5">
        <w:rPr>
          <w:lang w:val="de-DE"/>
        </w:rPr>
        <w:t>17. der Artikel VII.43, VII.44 und VII.45 in Bezug auf die vollständige und geteilte Haftung des Zahlungsdienstleisters für nicht autorisierte Zahlungsvorgänge,</w:t>
      </w:r>
    </w:p>
    <w:p w14:paraId="089DBC00" w14:textId="77777777" w:rsidR="00CD36FE" w:rsidRPr="004676F5" w:rsidRDefault="00CD36FE" w:rsidP="00CD36FE">
      <w:pPr>
        <w:ind w:firstLine="708"/>
        <w:jc w:val="both"/>
        <w:rPr>
          <w:lang w:val="de-DE"/>
        </w:rPr>
      </w:pPr>
    </w:p>
    <w:p w14:paraId="2642125C" w14:textId="77777777" w:rsidR="00CD36FE" w:rsidRPr="004676F5" w:rsidRDefault="00CD36FE" w:rsidP="00CD36FE">
      <w:pPr>
        <w:ind w:firstLine="708"/>
        <w:jc w:val="both"/>
        <w:rPr>
          <w:lang w:val="de-DE"/>
        </w:rPr>
      </w:pPr>
      <w:r w:rsidRPr="004676F5">
        <w:rPr>
          <w:lang w:val="de-DE"/>
        </w:rPr>
        <w:t>18. der Artikel VII.46 § 1 und VII.47 § 1 in Bezug auf Erstattungen der von einem Zahlungsempfänger oder über diesen ausgelösten Zahlungsvorgänge,</w:t>
      </w:r>
    </w:p>
    <w:p w14:paraId="4FC71C67" w14:textId="77777777" w:rsidR="00CD36FE" w:rsidRPr="004676F5" w:rsidRDefault="00CD36FE" w:rsidP="00CD36FE">
      <w:pPr>
        <w:ind w:firstLine="708"/>
        <w:jc w:val="both"/>
        <w:rPr>
          <w:lang w:val="de-DE"/>
        </w:rPr>
      </w:pPr>
    </w:p>
    <w:p w14:paraId="2499721D" w14:textId="77777777" w:rsidR="00CD36FE" w:rsidRPr="004676F5" w:rsidRDefault="00CD36FE" w:rsidP="00CD36FE">
      <w:pPr>
        <w:ind w:firstLine="708"/>
        <w:jc w:val="both"/>
        <w:rPr>
          <w:lang w:val="de-DE"/>
        </w:rPr>
      </w:pPr>
      <w:r w:rsidRPr="004676F5">
        <w:rPr>
          <w:lang w:val="de-DE"/>
        </w:rPr>
        <w:t>19. der Artikel VII.48 und VII.49 in Bezug auf Eingang und Ablehnung von Zahlungsaufträgen beim Zahlungsdienstleister,</w:t>
      </w:r>
    </w:p>
    <w:p w14:paraId="2DBB7C15" w14:textId="77777777" w:rsidR="00CD36FE" w:rsidRPr="004676F5" w:rsidRDefault="00CD36FE" w:rsidP="00CD36FE">
      <w:pPr>
        <w:ind w:firstLine="708"/>
        <w:jc w:val="both"/>
        <w:rPr>
          <w:lang w:val="de-DE"/>
        </w:rPr>
      </w:pPr>
    </w:p>
    <w:p w14:paraId="0C93F84A" w14:textId="77777777" w:rsidR="00CD36FE" w:rsidRPr="004676F5" w:rsidRDefault="00CD36FE" w:rsidP="00CD36FE">
      <w:pPr>
        <w:ind w:firstLine="708"/>
        <w:jc w:val="both"/>
        <w:rPr>
          <w:lang w:val="de-DE"/>
        </w:rPr>
      </w:pPr>
      <w:r w:rsidRPr="004676F5">
        <w:rPr>
          <w:lang w:val="de-DE"/>
        </w:rPr>
        <w:t>20. des Artikels VII.51 in Bezug auf transferierte und erhaltene Beträge und den Abzug von Entgelten,</w:t>
      </w:r>
    </w:p>
    <w:p w14:paraId="23A8ED60" w14:textId="77777777" w:rsidR="00CD36FE" w:rsidRPr="004676F5" w:rsidRDefault="00CD36FE" w:rsidP="00CD36FE">
      <w:pPr>
        <w:ind w:firstLine="708"/>
        <w:jc w:val="both"/>
        <w:rPr>
          <w:lang w:val="de-DE"/>
        </w:rPr>
      </w:pPr>
    </w:p>
    <w:p w14:paraId="22A74216" w14:textId="77777777" w:rsidR="00CD36FE" w:rsidRPr="004676F5" w:rsidRDefault="00CD36FE" w:rsidP="00CD36FE">
      <w:pPr>
        <w:ind w:firstLine="708"/>
        <w:jc w:val="both"/>
        <w:rPr>
          <w:lang w:val="de-DE"/>
        </w:rPr>
      </w:pPr>
      <w:r w:rsidRPr="004676F5">
        <w:rPr>
          <w:lang w:val="de-DE"/>
        </w:rPr>
        <w:t>21. der Artikel VII.53 bis VII.55/1 in Bezug auf Ausführungsfrist und Wertstellungs</w:t>
      </w:r>
      <w:r w:rsidRPr="004676F5">
        <w:rPr>
          <w:lang w:val="de-DE"/>
        </w:rPr>
        <w:softHyphen/>
        <w:t>datum bei Zahlungsvorgängen,</w:t>
      </w:r>
    </w:p>
    <w:p w14:paraId="059F010A" w14:textId="77777777" w:rsidR="00CD36FE" w:rsidRPr="004676F5" w:rsidRDefault="00CD36FE" w:rsidP="00CD36FE">
      <w:pPr>
        <w:ind w:firstLine="708"/>
        <w:jc w:val="both"/>
        <w:rPr>
          <w:lang w:val="de-DE"/>
        </w:rPr>
      </w:pPr>
    </w:p>
    <w:p w14:paraId="3FF79534" w14:textId="77777777" w:rsidR="00CD36FE" w:rsidRPr="004676F5" w:rsidRDefault="00CD36FE" w:rsidP="00CD36FE">
      <w:pPr>
        <w:ind w:firstLine="708"/>
        <w:jc w:val="both"/>
        <w:rPr>
          <w:lang w:val="de-DE"/>
        </w:rPr>
      </w:pPr>
      <w:r w:rsidRPr="004676F5">
        <w:rPr>
          <w:lang w:val="de-DE"/>
        </w:rPr>
        <w:t>22. der Artikel VII.55/3 bis VII.55/6 in Bezug auf die Haftung des Zahlungs</w:t>
      </w:r>
      <w:r w:rsidRPr="004676F5">
        <w:rPr>
          <w:lang w:val="de-DE"/>
        </w:rPr>
        <w:softHyphen/>
        <w:t>dienstleisters bei nicht erfolgter oder fehlerhafter Ausführung von Zahlungsvorgängen,</w:t>
      </w:r>
    </w:p>
    <w:p w14:paraId="1823CB0D" w14:textId="77777777" w:rsidR="00CD36FE" w:rsidRPr="004676F5" w:rsidRDefault="00CD36FE" w:rsidP="00CD36FE">
      <w:pPr>
        <w:ind w:firstLine="708"/>
        <w:jc w:val="both"/>
        <w:rPr>
          <w:lang w:val="de-DE"/>
        </w:rPr>
      </w:pPr>
    </w:p>
    <w:p w14:paraId="26767C8B" w14:textId="595ADBA0" w:rsidR="00741332" w:rsidRPr="004676F5" w:rsidRDefault="00741332" w:rsidP="00CD36FE">
      <w:pPr>
        <w:ind w:firstLine="708"/>
        <w:jc w:val="both"/>
        <w:rPr>
          <w:lang w:val="de-DE"/>
        </w:rPr>
      </w:pPr>
      <w:r w:rsidRPr="004676F5">
        <w:rPr>
          <w:lang w:val="de-DE"/>
        </w:rPr>
        <w:t>[22/1. des Artikels VII.55/10 Absatz 2 über die Informationspflicht, die Zahlungs</w:t>
      </w:r>
      <w:r w:rsidRPr="004676F5">
        <w:rPr>
          <w:lang w:val="de-DE"/>
        </w:rPr>
        <w:softHyphen/>
        <w:t>dienstleistern in Bezug auf die Auswirkungen von Vorfällen obliegt,]</w:t>
      </w:r>
    </w:p>
    <w:p w14:paraId="37EA3C8D" w14:textId="77777777" w:rsidR="00741332" w:rsidRPr="004676F5" w:rsidRDefault="00741332" w:rsidP="00CD36FE">
      <w:pPr>
        <w:ind w:firstLine="708"/>
        <w:jc w:val="both"/>
        <w:rPr>
          <w:lang w:val="de-DE"/>
        </w:rPr>
      </w:pPr>
    </w:p>
    <w:p w14:paraId="30317F6D" w14:textId="77777777" w:rsidR="00CD36FE" w:rsidRPr="004676F5" w:rsidRDefault="00CD36FE" w:rsidP="00CD36FE">
      <w:pPr>
        <w:ind w:firstLine="708"/>
        <w:jc w:val="both"/>
        <w:rPr>
          <w:lang w:val="de-DE"/>
        </w:rPr>
      </w:pPr>
      <w:r w:rsidRPr="004676F5">
        <w:rPr>
          <w:lang w:val="de-DE"/>
        </w:rPr>
        <w:t>23. des Artikels VII.55/12 über den Zugang zu Konten, die bei einem Kreditinstitut geführt werden,</w:t>
      </w:r>
    </w:p>
    <w:p w14:paraId="75F239EF" w14:textId="77777777" w:rsidR="00CD36FE" w:rsidRPr="004676F5" w:rsidRDefault="00CD36FE" w:rsidP="00CD36FE">
      <w:pPr>
        <w:ind w:firstLine="708"/>
        <w:jc w:val="both"/>
        <w:rPr>
          <w:lang w:val="de-DE"/>
        </w:rPr>
      </w:pPr>
    </w:p>
    <w:p w14:paraId="68A56EA6" w14:textId="77777777" w:rsidR="00CD36FE" w:rsidRPr="004676F5" w:rsidRDefault="00CD36FE" w:rsidP="00CD36FE">
      <w:pPr>
        <w:ind w:firstLine="708"/>
        <w:jc w:val="both"/>
        <w:rPr>
          <w:lang w:val="de-DE"/>
        </w:rPr>
      </w:pPr>
      <w:r w:rsidRPr="004676F5">
        <w:rPr>
          <w:lang w:val="de-DE"/>
        </w:rPr>
        <w:t>24. der Artikel VII.55/13 bis VII.56 in Bezug auf Streitbeilegung,</w:t>
      </w:r>
    </w:p>
    <w:p w14:paraId="2D92B4A4" w14:textId="77777777" w:rsidR="00CD36FE" w:rsidRPr="004676F5" w:rsidRDefault="00CD36FE" w:rsidP="00CD36FE">
      <w:pPr>
        <w:ind w:firstLine="708"/>
        <w:jc w:val="both"/>
        <w:rPr>
          <w:lang w:val="de-DE"/>
        </w:rPr>
      </w:pPr>
    </w:p>
    <w:p w14:paraId="7028C55A" w14:textId="16EAD25D" w:rsidR="00CD36FE" w:rsidRPr="004676F5" w:rsidRDefault="00CD36FE" w:rsidP="00CD36FE">
      <w:pPr>
        <w:ind w:firstLine="708"/>
        <w:jc w:val="both"/>
        <w:rPr>
          <w:lang w:val="de-DE"/>
        </w:rPr>
      </w:pPr>
      <w:r w:rsidRPr="004676F5">
        <w:rPr>
          <w:lang w:val="de-DE"/>
        </w:rPr>
        <w:t>25. </w:t>
      </w:r>
      <w:r w:rsidR="007F255A" w:rsidRPr="004676F5">
        <w:rPr>
          <w:lang w:val="de-DE"/>
        </w:rPr>
        <w:t>[der Verordnung (EU) 2021/1230 des Europäischen Parlaments und des Rates vom 14. Juli 2021 über grenzüberschreitende Zahlungen in der Union,]</w:t>
      </w:r>
    </w:p>
    <w:p w14:paraId="6727FC5D" w14:textId="77777777" w:rsidR="00CD36FE" w:rsidRPr="004676F5" w:rsidRDefault="00CD36FE" w:rsidP="00CD36FE">
      <w:pPr>
        <w:ind w:firstLine="708"/>
        <w:jc w:val="both"/>
        <w:rPr>
          <w:lang w:val="de-DE"/>
        </w:rPr>
      </w:pPr>
    </w:p>
    <w:p w14:paraId="04096091" w14:textId="77777777" w:rsidR="00CD36FE" w:rsidRPr="004676F5" w:rsidRDefault="00CD36FE" w:rsidP="00CD36FE">
      <w:pPr>
        <w:ind w:firstLine="708"/>
        <w:jc w:val="both"/>
        <w:rPr>
          <w:lang w:val="de-DE"/>
        </w:rPr>
      </w:pPr>
      <w:r w:rsidRPr="004676F5">
        <w:rPr>
          <w:lang w:val="de-DE"/>
        </w:rPr>
        <w:t>26. der Artikel VII.60 bis VII.62 in Bezug auf die Ausgabe von E-Geld, die Rücktauschbarkeit von E-Geld und das Verbot der Verzinsung,</w:t>
      </w:r>
    </w:p>
    <w:p w14:paraId="76CA59EA" w14:textId="77777777" w:rsidR="00CD36FE" w:rsidRPr="004676F5" w:rsidRDefault="00CD36FE" w:rsidP="00CD36FE">
      <w:pPr>
        <w:ind w:firstLine="708"/>
        <w:jc w:val="both"/>
        <w:rPr>
          <w:lang w:val="de-DE"/>
        </w:rPr>
      </w:pPr>
    </w:p>
    <w:p w14:paraId="5EC406D3" w14:textId="592AB5AB" w:rsidR="00F0360C" w:rsidRPr="004676F5" w:rsidRDefault="00F0360C" w:rsidP="00CD36FE">
      <w:pPr>
        <w:ind w:firstLine="708"/>
        <w:jc w:val="both"/>
        <w:rPr>
          <w:lang w:val="de-DE"/>
        </w:rPr>
      </w:pPr>
      <w:r w:rsidRPr="004676F5">
        <w:rPr>
          <w:lang w:val="de-DE"/>
        </w:rPr>
        <w:t>[26/1. der Artikel VII.62/1 bis VII.62/7 in Bezug auf den Zahlungskontowechsel-Service,]</w:t>
      </w:r>
    </w:p>
    <w:p w14:paraId="6BF2A4D5" w14:textId="77777777" w:rsidR="00F0360C" w:rsidRPr="004676F5" w:rsidRDefault="00F0360C" w:rsidP="00CD36FE">
      <w:pPr>
        <w:ind w:firstLine="708"/>
        <w:jc w:val="both"/>
        <w:rPr>
          <w:lang w:val="de-DE"/>
        </w:rPr>
      </w:pPr>
    </w:p>
    <w:p w14:paraId="4BE84B89" w14:textId="77777777" w:rsidR="00CD36FE" w:rsidRPr="004676F5" w:rsidRDefault="00CD36FE" w:rsidP="00CD36FE">
      <w:pPr>
        <w:ind w:firstLine="708"/>
        <w:jc w:val="both"/>
        <w:rPr>
          <w:lang w:val="de-DE"/>
        </w:rPr>
      </w:pPr>
      <w:r w:rsidRPr="004676F5">
        <w:rPr>
          <w:lang w:val="de-DE"/>
        </w:rPr>
        <w:t xml:space="preserve">27. der Artikel 3 und 5 bis 9 der Verordnung (EU) Nr. 260/2012 des Europäischen Parlaments und des Rates vom 14. März 2012 zur Festlegung der technischen Vorschriften und </w:t>
      </w:r>
      <w:r w:rsidRPr="004676F5">
        <w:rPr>
          <w:lang w:val="de-DE"/>
        </w:rPr>
        <w:lastRenderedPageBreak/>
        <w:t>der Geschäftsanforderungen für Überweisungen und Lastschriften in Euro und zur Änderung der Verordnung (EG) Nr. 924/2009,</w:t>
      </w:r>
    </w:p>
    <w:p w14:paraId="29A6A568" w14:textId="77777777" w:rsidR="00CD36FE" w:rsidRPr="004676F5" w:rsidRDefault="00CD36FE" w:rsidP="00CD36FE">
      <w:pPr>
        <w:ind w:firstLine="708"/>
        <w:jc w:val="both"/>
        <w:rPr>
          <w:lang w:val="de-DE"/>
        </w:rPr>
      </w:pPr>
    </w:p>
    <w:p w14:paraId="79244A10" w14:textId="77777777" w:rsidR="00CD36FE" w:rsidRPr="004676F5" w:rsidRDefault="00CD36FE" w:rsidP="00CD36FE">
      <w:pPr>
        <w:ind w:firstLine="708"/>
        <w:jc w:val="both"/>
        <w:rPr>
          <w:lang w:val="de-DE"/>
        </w:rPr>
      </w:pPr>
      <w:r w:rsidRPr="004676F5">
        <w:rPr>
          <w:lang w:val="de-DE"/>
        </w:rPr>
        <w:t>28. der Verordnung (EU) Nr. 2015/751 des Europäischen Parlaments und des Rates vom 29. April 2015 über Interbankenentgelte für kartengebundene Zahlungsvorgänge, mit Ausnahme ihres Artikels 7,</w:t>
      </w:r>
    </w:p>
    <w:p w14:paraId="003A4C5D" w14:textId="77777777" w:rsidR="00CD36FE" w:rsidRPr="004676F5" w:rsidRDefault="00CD36FE" w:rsidP="00CD36FE">
      <w:pPr>
        <w:ind w:firstLine="708"/>
        <w:jc w:val="both"/>
        <w:rPr>
          <w:lang w:val="de-DE"/>
        </w:rPr>
      </w:pPr>
    </w:p>
    <w:p w14:paraId="57904BB3" w14:textId="77777777" w:rsidR="00CD36FE" w:rsidRPr="004676F5" w:rsidRDefault="00CD36FE" w:rsidP="00CD36FE">
      <w:pPr>
        <w:ind w:firstLine="708"/>
        <w:jc w:val="both"/>
        <w:rPr>
          <w:lang w:val="de-DE"/>
        </w:rPr>
      </w:pPr>
      <w:r w:rsidRPr="004676F5">
        <w:rPr>
          <w:lang w:val="de-DE"/>
        </w:rPr>
        <w:t>29. des Königlichen Erlasses zur Ausführung von Artikel VII.63/1 und Artikel VII.63/2 des vorliegenden Gesetzbuches.</w:t>
      </w:r>
    </w:p>
    <w:p w14:paraId="55B4E98B" w14:textId="77777777" w:rsidR="00CD36FE" w:rsidRPr="004676F5" w:rsidRDefault="00CD36FE" w:rsidP="00CD36FE">
      <w:pPr>
        <w:ind w:firstLine="708"/>
        <w:jc w:val="both"/>
        <w:rPr>
          <w:lang w:val="de-DE"/>
        </w:rPr>
      </w:pPr>
    </w:p>
    <w:p w14:paraId="3AA9F357" w14:textId="5EE4CBC9" w:rsidR="003140C8" w:rsidRPr="004676F5" w:rsidRDefault="00CD36FE" w:rsidP="00CD36FE">
      <w:pPr>
        <w:jc w:val="both"/>
        <w:rPr>
          <w:lang w:val="de-DE"/>
        </w:rPr>
      </w:pPr>
      <w:r w:rsidRPr="004676F5">
        <w:rPr>
          <w:lang w:val="de-DE"/>
        </w:rPr>
        <w:tab/>
        <w:t>Diese Sanktion ist nicht auf Zahlungsdienstnutzer anwendbar, die in der Eigenschaft eines Verbrauchers handeln.]</w:t>
      </w:r>
    </w:p>
    <w:p w14:paraId="61A75A2C" w14:textId="77777777" w:rsidR="00CD36FE" w:rsidRPr="004676F5" w:rsidRDefault="00CD36FE" w:rsidP="00CD36FE">
      <w:pPr>
        <w:jc w:val="both"/>
        <w:rPr>
          <w:lang w:val="de-DE"/>
        </w:rPr>
      </w:pPr>
    </w:p>
    <w:p w14:paraId="24E936A9" w14:textId="0386D4CA" w:rsidR="003140C8" w:rsidRPr="004676F5" w:rsidRDefault="003140C8" w:rsidP="003140C8">
      <w:pPr>
        <w:jc w:val="both"/>
        <w:rPr>
          <w:lang w:val="de-DE"/>
        </w:rPr>
      </w:pPr>
      <w:r w:rsidRPr="004676F5">
        <w:rPr>
          <w:i/>
          <w:lang w:val="de-DE"/>
        </w:rPr>
        <w:t>[</w:t>
      </w:r>
      <w:r w:rsidR="00BE0A56" w:rsidRPr="004676F5">
        <w:rPr>
          <w:i/>
          <w:lang w:val="de-DE"/>
        </w:rPr>
        <w:t>Art. </w:t>
      </w:r>
      <w:r w:rsidRPr="004676F5">
        <w:rPr>
          <w:i/>
          <w:lang w:val="de-DE"/>
        </w:rPr>
        <w:t xml:space="preserve">XV.89 </w:t>
      </w:r>
      <w:r w:rsidR="00CD36FE" w:rsidRPr="004676F5">
        <w:rPr>
          <w:i/>
          <w:lang w:val="de-DE"/>
        </w:rPr>
        <w:t>ersetzt durch Art. 13 des G. vom 19. Juli 2018 (B.S. vom 30. Juli 2018)</w:t>
      </w:r>
      <w:r w:rsidR="00F0360C" w:rsidRPr="004676F5">
        <w:rPr>
          <w:i/>
          <w:lang w:val="de-DE"/>
        </w:rPr>
        <w:t xml:space="preserve">; Abs. 1 </w:t>
      </w:r>
      <w:r w:rsidR="002E11BF" w:rsidRPr="004676F5">
        <w:rPr>
          <w:i/>
          <w:lang w:val="de-DE"/>
        </w:rPr>
        <w:t xml:space="preserve">neue </w:t>
      </w:r>
      <w:r w:rsidR="00F0360C" w:rsidRPr="004676F5">
        <w:rPr>
          <w:i/>
          <w:lang w:val="de-DE"/>
        </w:rPr>
        <w:t>N</w:t>
      </w:r>
      <w:r w:rsidR="002E11BF" w:rsidRPr="004676F5">
        <w:rPr>
          <w:i/>
          <w:lang w:val="de-DE"/>
        </w:rPr>
        <w:t>ummer</w:t>
      </w:r>
      <w:r w:rsidR="00F0360C" w:rsidRPr="004676F5">
        <w:rPr>
          <w:i/>
          <w:lang w:val="de-DE"/>
        </w:rPr>
        <w:t xml:space="preserve"> 1 eingefügt durch Art. 32 Buchstabe b) des G. vom 2. Mai 2019 (IV) (B.S. vom 22. Mai 2019); Abs. 1 frühere Nummer 1 umnummeriert zu Nr. 1/1 durch Art. 32 Buchstabe a) des G. vom 2. Mai 2019 (IV) (B.S. vom 22. Mai 2019); </w:t>
      </w:r>
      <w:r w:rsidR="00741332" w:rsidRPr="004676F5">
        <w:rPr>
          <w:i/>
          <w:lang w:val="de-DE"/>
        </w:rPr>
        <w:t>Abs. 1 Nr. 4/1 eingefügt durch Art. 13 Buchstabe a)</w:t>
      </w:r>
      <w:r w:rsidR="00741332" w:rsidRPr="004676F5">
        <w:rPr>
          <w:rFonts w:eastAsia="Calibri"/>
          <w:i/>
          <w:iCs/>
          <w:kern w:val="2"/>
          <w:lang w:val="de-DE" w:eastAsia="en-US"/>
          <w14:ligatures w14:val="standardContextual"/>
        </w:rPr>
        <w:t xml:space="preserve"> des G. vom 2. Februar 2021 (B.S. vom 11. Februar 2021); </w:t>
      </w:r>
      <w:r w:rsidR="00741332" w:rsidRPr="004676F5">
        <w:rPr>
          <w:i/>
          <w:lang w:val="de-DE"/>
        </w:rPr>
        <w:t>Abs. 1 Nr. 4/2 eingefügt durch Art. 13 Buchstabe b)</w:t>
      </w:r>
      <w:r w:rsidR="00741332" w:rsidRPr="004676F5">
        <w:rPr>
          <w:rFonts w:eastAsia="Calibri"/>
          <w:i/>
          <w:iCs/>
          <w:kern w:val="2"/>
          <w:lang w:val="de-DE" w:eastAsia="en-US"/>
          <w14:ligatures w14:val="standardContextual"/>
        </w:rPr>
        <w:t xml:space="preserve"> des G. vom 2. Februar 2021 (B.S. vom 11. Februar 2021); </w:t>
      </w:r>
      <w:r w:rsidR="00F0360C" w:rsidRPr="004676F5">
        <w:rPr>
          <w:i/>
          <w:lang w:val="de-DE"/>
        </w:rPr>
        <w:t xml:space="preserve">Abs. 1 Nr. 10 abgeändert durch Art. 32 Buchstabe c) des G. vom 2. Mai 2019 (IV) (B.S. vom 22. Mai 2019); </w:t>
      </w:r>
      <w:r w:rsidR="00741332" w:rsidRPr="004676F5">
        <w:rPr>
          <w:i/>
          <w:lang w:val="de-DE"/>
        </w:rPr>
        <w:t>Abs. 1 Nr. 22/1 eingefügt durch Art. 13 Buchstabe c)</w:t>
      </w:r>
      <w:r w:rsidR="00741332" w:rsidRPr="004676F5">
        <w:rPr>
          <w:rFonts w:eastAsia="Calibri"/>
          <w:i/>
          <w:iCs/>
          <w:kern w:val="2"/>
          <w:lang w:val="de-DE" w:eastAsia="en-US"/>
          <w14:ligatures w14:val="standardContextual"/>
        </w:rPr>
        <w:t xml:space="preserve"> des G. vom 2. Februar 2021 (B.S. vom 11. Februar 2021); </w:t>
      </w:r>
      <w:r w:rsidR="007F255A" w:rsidRPr="004676F5">
        <w:rPr>
          <w:rFonts w:eastAsia="Calibri"/>
          <w:i/>
          <w:iCs/>
          <w:kern w:val="2"/>
          <w:lang w:val="de-DE" w:eastAsia="en-US"/>
          <w14:ligatures w14:val="standardContextual"/>
        </w:rPr>
        <w:t>Abs. 1 Nr. 25 ersetzt durch Art.</w:t>
      </w:r>
      <w:r w:rsidR="002A1923" w:rsidRPr="004676F5">
        <w:rPr>
          <w:rFonts w:eastAsia="Calibri"/>
          <w:i/>
          <w:iCs/>
          <w:kern w:val="2"/>
          <w:lang w:val="de-DE" w:eastAsia="en-US"/>
          <w14:ligatures w14:val="standardContextual"/>
        </w:rPr>
        <w:t> </w:t>
      </w:r>
      <w:r w:rsidR="007F255A" w:rsidRPr="004676F5">
        <w:rPr>
          <w:rFonts w:eastAsia="Calibri"/>
          <w:i/>
          <w:iCs/>
          <w:kern w:val="2"/>
          <w:lang w:val="de-DE" w:eastAsia="en-US"/>
          <w14:ligatures w14:val="standardContextual"/>
        </w:rPr>
        <w:t>60 des G. vom 5. November 2023</w:t>
      </w:r>
      <w:r w:rsidR="00AA0B2E" w:rsidRPr="004676F5">
        <w:rPr>
          <w:rFonts w:eastAsia="Calibri"/>
          <w:i/>
          <w:iCs/>
          <w:kern w:val="2"/>
          <w:lang w:val="de-DE" w:eastAsia="en-US"/>
          <w14:ligatures w14:val="standardContextual"/>
        </w:rPr>
        <w:t> (I)</w:t>
      </w:r>
      <w:r w:rsidR="007F255A" w:rsidRPr="004676F5">
        <w:rPr>
          <w:rFonts w:eastAsia="Calibri"/>
          <w:i/>
          <w:iCs/>
          <w:kern w:val="2"/>
          <w:lang w:val="de-DE" w:eastAsia="en-US"/>
          <w14:ligatures w14:val="standardContextual"/>
        </w:rPr>
        <w:t xml:space="preserve"> (B.S. vom 11. Dezember 2023); </w:t>
      </w:r>
      <w:r w:rsidR="00F0360C" w:rsidRPr="004676F5">
        <w:rPr>
          <w:i/>
          <w:lang w:val="de-DE"/>
        </w:rPr>
        <w:t>Abs. 1 Nr. 26/1 eingefügt durch Art. 32 Buchstabe d) des G. vom 2. Mai 2019 (IV) (B.S. vom 22. Mai 2019)</w:t>
      </w:r>
      <w:r w:rsidRPr="004676F5">
        <w:rPr>
          <w:i/>
          <w:lang w:val="de-DE"/>
        </w:rPr>
        <w:t>]</w:t>
      </w:r>
    </w:p>
    <w:p w14:paraId="21E2B402" w14:textId="77777777" w:rsidR="003D32B7" w:rsidRPr="004676F5" w:rsidRDefault="003D32B7" w:rsidP="003140C8">
      <w:pPr>
        <w:jc w:val="both"/>
        <w:rPr>
          <w:lang w:val="de-DE"/>
        </w:rPr>
      </w:pPr>
    </w:p>
    <w:p w14:paraId="11207690" w14:textId="77777777" w:rsidR="003D32B7" w:rsidRPr="004676F5" w:rsidRDefault="003D32B7" w:rsidP="003140C8">
      <w:pPr>
        <w:jc w:val="both"/>
        <w:rPr>
          <w:lang w:val="de-DE"/>
        </w:rPr>
      </w:pPr>
    </w:p>
    <w:p w14:paraId="257130E1" w14:textId="4EE96A34" w:rsidR="003D32B7" w:rsidRPr="004676F5" w:rsidRDefault="00BE0A56" w:rsidP="003D32B7">
      <w:pPr>
        <w:ind w:firstLine="708"/>
        <w:jc w:val="both"/>
        <w:rPr>
          <w:lang w:val="de-DE"/>
        </w:rPr>
      </w:pPr>
      <w:r w:rsidRPr="004676F5">
        <w:rPr>
          <w:b/>
          <w:lang w:val="de-DE"/>
        </w:rPr>
        <w:t>Art. </w:t>
      </w:r>
      <w:r w:rsidR="003D32B7" w:rsidRPr="004676F5">
        <w:rPr>
          <w:b/>
          <w:lang w:val="de-DE"/>
        </w:rPr>
        <w:t>XV.90</w:t>
      </w:r>
      <w:r w:rsidR="003D32B7" w:rsidRPr="004676F5">
        <w:rPr>
          <w:lang w:val="de-DE"/>
        </w:rPr>
        <w:t> </w:t>
      </w:r>
      <w:r w:rsidR="005B7A5C" w:rsidRPr="004676F5">
        <w:rPr>
          <w:lang w:val="de-DE"/>
        </w:rPr>
        <w:t>- </w:t>
      </w:r>
      <w:r w:rsidR="003D32B7" w:rsidRPr="004676F5">
        <w:rPr>
          <w:lang w:val="de-DE"/>
        </w:rPr>
        <w:t>Mit einer Sanktion der Stufe 5 wird bestraft:</w:t>
      </w:r>
    </w:p>
    <w:p w14:paraId="026CF4EB" w14:textId="77777777" w:rsidR="003D32B7" w:rsidRPr="004676F5" w:rsidRDefault="003D32B7" w:rsidP="003D32B7">
      <w:pPr>
        <w:ind w:firstLine="708"/>
        <w:jc w:val="both"/>
        <w:rPr>
          <w:lang w:val="de-DE"/>
        </w:rPr>
      </w:pPr>
    </w:p>
    <w:p w14:paraId="28FC924C" w14:textId="77777777" w:rsidR="003D32B7" w:rsidRPr="004676F5" w:rsidRDefault="003D32B7" w:rsidP="003D32B7">
      <w:pPr>
        <w:ind w:firstLine="708"/>
        <w:jc w:val="both"/>
        <w:rPr>
          <w:lang w:val="de-DE"/>
        </w:rPr>
      </w:pPr>
      <w:r w:rsidRPr="004676F5">
        <w:rPr>
          <w:lang w:val="de-DE"/>
        </w:rPr>
        <w:t xml:space="preserve">1. wer als Kreditgeber gegen die Bestimmungen </w:t>
      </w:r>
      <w:r w:rsidR="00CE3F7B" w:rsidRPr="004676F5">
        <w:rPr>
          <w:lang w:val="de-DE"/>
        </w:rPr>
        <w:t>[von Artikel VII.95 §§ 1, 2 oder 3 oder Artikel VII.147/10 §§ 1, 2 oder 3]</w:t>
      </w:r>
      <w:r w:rsidRPr="004676F5">
        <w:rPr>
          <w:lang w:val="de-DE"/>
        </w:rPr>
        <w:t xml:space="preserve"> verstößt,</w:t>
      </w:r>
    </w:p>
    <w:p w14:paraId="7C85268E" w14:textId="77777777" w:rsidR="003D32B7" w:rsidRPr="004676F5" w:rsidRDefault="003D32B7" w:rsidP="003D32B7">
      <w:pPr>
        <w:ind w:firstLine="708"/>
        <w:jc w:val="both"/>
        <w:rPr>
          <w:lang w:val="de-DE"/>
        </w:rPr>
      </w:pPr>
    </w:p>
    <w:p w14:paraId="1B25083B" w14:textId="77777777" w:rsidR="003D32B7" w:rsidRPr="004676F5" w:rsidRDefault="003D32B7" w:rsidP="003D32B7">
      <w:pPr>
        <w:ind w:firstLine="708"/>
        <w:jc w:val="both"/>
        <w:rPr>
          <w:lang w:val="de-DE"/>
        </w:rPr>
      </w:pPr>
      <w:r w:rsidRPr="004676F5">
        <w:rPr>
          <w:lang w:val="de-DE"/>
        </w:rPr>
        <w:t>2. wer in Buch VII erwähnte Angebote, Kreditanträge oder Kreditverträge blanko unterschreiben lässt oder zurückdatiert,</w:t>
      </w:r>
    </w:p>
    <w:p w14:paraId="76B96F9C" w14:textId="77777777" w:rsidR="003D32B7" w:rsidRPr="004676F5" w:rsidRDefault="003D32B7" w:rsidP="003D32B7">
      <w:pPr>
        <w:ind w:firstLine="708"/>
        <w:jc w:val="both"/>
        <w:rPr>
          <w:lang w:val="de-DE"/>
        </w:rPr>
      </w:pPr>
    </w:p>
    <w:p w14:paraId="42FBAC02" w14:textId="77777777" w:rsidR="003D32B7" w:rsidRPr="004676F5" w:rsidRDefault="003D32B7" w:rsidP="003D32B7">
      <w:pPr>
        <w:ind w:firstLine="708"/>
        <w:jc w:val="both"/>
        <w:rPr>
          <w:lang w:val="de-DE"/>
        </w:rPr>
      </w:pPr>
      <w:r w:rsidRPr="004676F5">
        <w:rPr>
          <w:lang w:val="de-DE"/>
        </w:rPr>
        <w:t xml:space="preserve">3. wer einen effektiven Jahreszins oder einen Sollzinssatz anwendet, der über den </w:t>
      </w:r>
      <w:r w:rsidR="00CE3F7B" w:rsidRPr="004676F5">
        <w:rPr>
          <w:lang w:val="de-DE"/>
        </w:rPr>
        <w:t>[in den Artikeln VII.94 und VII.147/9]</w:t>
      </w:r>
      <w:r w:rsidRPr="004676F5">
        <w:rPr>
          <w:lang w:val="de-DE"/>
        </w:rPr>
        <w:t xml:space="preserve"> erwähnten vom König festgelegten Höchstsätzen liegen,</w:t>
      </w:r>
    </w:p>
    <w:p w14:paraId="4C0297C7" w14:textId="77777777" w:rsidR="003D32B7" w:rsidRPr="004676F5" w:rsidRDefault="003D32B7" w:rsidP="003D32B7">
      <w:pPr>
        <w:ind w:firstLine="708"/>
        <w:jc w:val="both"/>
        <w:rPr>
          <w:lang w:val="de-DE"/>
        </w:rPr>
      </w:pPr>
    </w:p>
    <w:p w14:paraId="1A8578F9" w14:textId="2E39B526" w:rsidR="003D32B7" w:rsidRPr="004676F5" w:rsidRDefault="003D32B7" w:rsidP="003D32B7">
      <w:pPr>
        <w:ind w:firstLine="708"/>
        <w:jc w:val="both"/>
        <w:rPr>
          <w:lang w:val="de-DE"/>
        </w:rPr>
      </w:pPr>
      <w:r w:rsidRPr="004676F5">
        <w:rPr>
          <w:lang w:val="de-DE"/>
        </w:rPr>
        <w:t>4. </w:t>
      </w:r>
      <w:r w:rsidR="00CE3F7B" w:rsidRPr="004676F5">
        <w:rPr>
          <w:lang w:val="de-DE"/>
        </w:rPr>
        <w:t>[</w:t>
      </w:r>
      <w:r w:rsidR="00CB218D" w:rsidRPr="00FE0D0B">
        <w:rPr>
          <w:lang w:val="de-DE"/>
        </w:rPr>
        <w:t>wer eine der in den Artikeln VII.84 bis VII.88, VII.105 § 2, VII.139, VII.140, VII.144 und VII.147/20 §§ 2, 3 und 4 erwähnten missbräuchlichen Klauseln verwendet oder gegen die Artikel VII.105 § 1, VII.108, VII.147/20 § 1 oder VII.147/25 verstößt,</w:t>
      </w:r>
      <w:r w:rsidR="00CE3F7B" w:rsidRPr="004676F5">
        <w:rPr>
          <w:lang w:val="de-DE"/>
        </w:rPr>
        <w:t>]</w:t>
      </w:r>
    </w:p>
    <w:p w14:paraId="0D7EAD78" w14:textId="77777777" w:rsidR="003D32B7" w:rsidRPr="004676F5" w:rsidRDefault="003D32B7" w:rsidP="003D32B7">
      <w:pPr>
        <w:ind w:firstLine="708"/>
        <w:jc w:val="both"/>
        <w:rPr>
          <w:lang w:val="de-DE"/>
        </w:rPr>
      </w:pPr>
    </w:p>
    <w:p w14:paraId="4FD1933C" w14:textId="77777777" w:rsidR="003D32B7" w:rsidRPr="004676F5" w:rsidRDefault="003D32B7" w:rsidP="003D32B7">
      <w:pPr>
        <w:ind w:firstLine="708"/>
        <w:jc w:val="both"/>
        <w:rPr>
          <w:lang w:val="de-DE"/>
        </w:rPr>
      </w:pPr>
      <w:r w:rsidRPr="004676F5">
        <w:rPr>
          <w:lang w:val="de-DE"/>
        </w:rPr>
        <w:t xml:space="preserve">5. wer im Rahmen </w:t>
      </w:r>
      <w:r w:rsidR="00CE3F7B" w:rsidRPr="004676F5">
        <w:rPr>
          <w:lang w:val="de-DE"/>
        </w:rPr>
        <w:t>[eines Kreditvertrags]</w:t>
      </w:r>
      <w:r w:rsidRPr="004676F5">
        <w:rPr>
          <w:lang w:val="de-DE"/>
        </w:rPr>
        <w:t xml:space="preserve"> einen Wechsel oder Eigenwechsel als Bezahlung oder als Sicherheit für den Vertrag unterzeichnen lässt oder einen Scheck als Sicherheit für die Rückzahlung des gesamten oder eines Teils des geschuldeten Betrags annimmt,</w:t>
      </w:r>
    </w:p>
    <w:p w14:paraId="360A38F1" w14:textId="77777777" w:rsidR="003D32B7" w:rsidRPr="004676F5" w:rsidRDefault="003D32B7" w:rsidP="003D32B7">
      <w:pPr>
        <w:ind w:firstLine="708"/>
        <w:jc w:val="both"/>
        <w:rPr>
          <w:lang w:val="de-DE"/>
        </w:rPr>
      </w:pPr>
    </w:p>
    <w:p w14:paraId="41374EB7" w14:textId="77777777" w:rsidR="003D32B7" w:rsidRPr="004676F5" w:rsidRDefault="003D32B7" w:rsidP="003D32B7">
      <w:pPr>
        <w:ind w:firstLine="708"/>
        <w:jc w:val="both"/>
        <w:rPr>
          <w:lang w:val="de-DE"/>
        </w:rPr>
      </w:pPr>
      <w:r w:rsidRPr="004676F5">
        <w:rPr>
          <w:lang w:val="de-DE"/>
        </w:rPr>
        <w:t xml:space="preserve">6. wer den Verbraucher oder eine andere Person eine Abtretung unterzeichnen lässt, die </w:t>
      </w:r>
      <w:r w:rsidR="00CE3F7B" w:rsidRPr="004676F5">
        <w:rPr>
          <w:lang w:val="de-DE"/>
        </w:rPr>
        <w:t>[in den Artikeln VII.89 § 1 und VII.147/2 § 1]</w:t>
      </w:r>
      <w:r w:rsidRPr="004676F5">
        <w:rPr>
          <w:lang w:val="de-DE"/>
        </w:rPr>
        <w:t xml:space="preserve"> oder in den Artikeln 27 bis 35 des Gesetzes vom 12. April 1965 über den Schutz der Entlohnung der Arbeitnehmer erwähnt ist und deren Modalitäten die Bestimmungen dieser Artikel nicht einhalten,</w:t>
      </w:r>
    </w:p>
    <w:p w14:paraId="01D3A22B" w14:textId="77777777" w:rsidR="003D32B7" w:rsidRPr="004676F5" w:rsidRDefault="003D32B7" w:rsidP="003D32B7">
      <w:pPr>
        <w:ind w:firstLine="708"/>
        <w:jc w:val="both"/>
        <w:rPr>
          <w:lang w:val="de-DE"/>
        </w:rPr>
      </w:pPr>
    </w:p>
    <w:p w14:paraId="2F00FD60" w14:textId="77777777" w:rsidR="003D32B7" w:rsidRPr="004676F5" w:rsidRDefault="003D32B7" w:rsidP="003D32B7">
      <w:pPr>
        <w:ind w:firstLine="708"/>
        <w:jc w:val="both"/>
        <w:rPr>
          <w:lang w:val="de-DE"/>
        </w:rPr>
      </w:pPr>
      <w:r w:rsidRPr="004676F5">
        <w:rPr>
          <w:lang w:val="de-DE"/>
        </w:rPr>
        <w:t>7. wer in anderen als den in Buch VII vorgesehenen Fällen irgendeine Zahlung oder Entschädigung fordert,</w:t>
      </w:r>
    </w:p>
    <w:p w14:paraId="540516BB" w14:textId="77777777" w:rsidR="003D32B7" w:rsidRPr="004676F5" w:rsidRDefault="003D32B7" w:rsidP="003D32B7">
      <w:pPr>
        <w:ind w:firstLine="708"/>
        <w:jc w:val="both"/>
        <w:rPr>
          <w:lang w:val="de-DE"/>
        </w:rPr>
      </w:pPr>
    </w:p>
    <w:p w14:paraId="6245E005" w14:textId="77777777" w:rsidR="003D32B7" w:rsidRPr="004676F5" w:rsidRDefault="003D32B7" w:rsidP="003D32B7">
      <w:pPr>
        <w:ind w:firstLine="708"/>
        <w:jc w:val="both"/>
        <w:rPr>
          <w:lang w:val="de-DE"/>
        </w:rPr>
      </w:pPr>
      <w:r w:rsidRPr="004676F5">
        <w:rPr>
          <w:lang w:val="de-DE"/>
        </w:rPr>
        <w:t xml:space="preserve">8. wer als Schuldenvermittler auftritt, soweit dies </w:t>
      </w:r>
      <w:r w:rsidR="00CE3F7B" w:rsidRPr="004676F5">
        <w:rPr>
          <w:lang w:val="de-DE"/>
        </w:rPr>
        <w:t>[durch die Artikel VII.115 und VII.147/31]</w:t>
      </w:r>
      <w:r w:rsidRPr="004676F5">
        <w:rPr>
          <w:lang w:val="de-DE"/>
        </w:rPr>
        <w:t xml:space="preserve"> verboten ist,</w:t>
      </w:r>
    </w:p>
    <w:p w14:paraId="2DB002B9" w14:textId="77777777" w:rsidR="003D32B7" w:rsidRPr="004676F5" w:rsidRDefault="003D32B7" w:rsidP="003D32B7">
      <w:pPr>
        <w:ind w:firstLine="708"/>
        <w:jc w:val="both"/>
        <w:rPr>
          <w:lang w:val="de-DE"/>
        </w:rPr>
      </w:pPr>
    </w:p>
    <w:p w14:paraId="5465440E" w14:textId="77777777" w:rsidR="003D32B7" w:rsidRPr="004676F5" w:rsidRDefault="003D32B7" w:rsidP="003D32B7">
      <w:pPr>
        <w:ind w:firstLine="708"/>
        <w:jc w:val="both"/>
        <w:rPr>
          <w:lang w:val="de-DE"/>
        </w:rPr>
      </w:pPr>
      <w:r w:rsidRPr="004676F5">
        <w:rPr>
          <w:lang w:val="de-DE"/>
        </w:rPr>
        <w:t>9. wer gegen die Bestimmungen von Artikel VII.67 in Bezug auf Haustürgeschäfte verstößt,</w:t>
      </w:r>
    </w:p>
    <w:p w14:paraId="4BF0A68D" w14:textId="77777777" w:rsidR="003D32B7" w:rsidRPr="004676F5" w:rsidRDefault="003D32B7" w:rsidP="003D32B7">
      <w:pPr>
        <w:ind w:firstLine="708"/>
        <w:jc w:val="both"/>
        <w:rPr>
          <w:lang w:val="de-DE"/>
        </w:rPr>
      </w:pPr>
    </w:p>
    <w:p w14:paraId="6A32446A" w14:textId="77777777" w:rsidR="003D32B7" w:rsidRPr="004676F5" w:rsidRDefault="003D32B7" w:rsidP="003D32B7">
      <w:pPr>
        <w:ind w:firstLine="708"/>
        <w:jc w:val="both"/>
        <w:rPr>
          <w:lang w:val="de-DE"/>
        </w:rPr>
      </w:pPr>
      <w:r w:rsidRPr="004676F5">
        <w:rPr>
          <w:lang w:val="de-DE"/>
        </w:rPr>
        <w:t xml:space="preserve">10. wer gegen die Bestimmungen </w:t>
      </w:r>
      <w:r w:rsidR="00CE3F7B" w:rsidRPr="004676F5">
        <w:rPr>
          <w:lang w:val="de-DE"/>
        </w:rPr>
        <w:t>[der Artikel VII.112 § 1 und VII.147/29 § 4 Absatz 1]</w:t>
      </w:r>
      <w:r w:rsidRPr="004676F5">
        <w:rPr>
          <w:lang w:val="de-DE"/>
        </w:rPr>
        <w:t xml:space="preserve"> in Bezug auf die Kredit</w:t>
      </w:r>
      <w:r w:rsidRPr="004676F5">
        <w:rPr>
          <w:lang w:val="de-DE"/>
        </w:rPr>
        <w:softHyphen/>
        <w:t>vermittlung verstößt,</w:t>
      </w:r>
    </w:p>
    <w:p w14:paraId="25778481" w14:textId="77777777" w:rsidR="003D32B7" w:rsidRPr="004676F5" w:rsidRDefault="003D32B7" w:rsidP="003D32B7">
      <w:pPr>
        <w:ind w:firstLine="708"/>
        <w:jc w:val="both"/>
        <w:rPr>
          <w:lang w:val="de-DE"/>
        </w:rPr>
      </w:pPr>
    </w:p>
    <w:p w14:paraId="75231536" w14:textId="77777777" w:rsidR="003D32B7" w:rsidRPr="004676F5" w:rsidRDefault="003D32B7" w:rsidP="003D32B7">
      <w:pPr>
        <w:ind w:firstLine="708"/>
        <w:jc w:val="both"/>
        <w:rPr>
          <w:lang w:val="de-DE"/>
        </w:rPr>
      </w:pPr>
      <w:r w:rsidRPr="004676F5">
        <w:rPr>
          <w:lang w:val="de-DE"/>
        </w:rPr>
        <w:t xml:space="preserve">11. wer unter Verstoß gegen die Bestimmungen </w:t>
      </w:r>
      <w:r w:rsidR="00CE3F7B" w:rsidRPr="004676F5">
        <w:rPr>
          <w:lang w:val="de-DE"/>
        </w:rPr>
        <w:t>[der Artikel VII.69 und VII.126 § 1]</w:t>
      </w:r>
      <w:r w:rsidRPr="004676F5">
        <w:rPr>
          <w:lang w:val="de-DE"/>
        </w:rPr>
        <w:t xml:space="preserve"> als Kreditgeber oder Kreditvermittler wissentlich bei dem Verbraucher oder demjenigen, der eine Sicherheit leistet, unzulässige, falsche oder unvollständige Auskünfte anfragt,</w:t>
      </w:r>
    </w:p>
    <w:p w14:paraId="5DF1BC57" w14:textId="77777777" w:rsidR="003D32B7" w:rsidRPr="004676F5" w:rsidRDefault="003D32B7" w:rsidP="003D32B7">
      <w:pPr>
        <w:ind w:firstLine="708"/>
        <w:jc w:val="both"/>
        <w:rPr>
          <w:lang w:val="de-DE"/>
        </w:rPr>
      </w:pPr>
    </w:p>
    <w:p w14:paraId="1DD33C09" w14:textId="77777777" w:rsidR="003D32B7" w:rsidRPr="004676F5" w:rsidRDefault="003D32B7" w:rsidP="003D32B7">
      <w:pPr>
        <w:ind w:firstLine="708"/>
        <w:jc w:val="both"/>
        <w:rPr>
          <w:lang w:val="de-DE"/>
        </w:rPr>
      </w:pPr>
      <w:r w:rsidRPr="004676F5">
        <w:rPr>
          <w:lang w:val="de-DE"/>
        </w:rPr>
        <w:t>12. wer als Kreditgeber oder Kreditvermittler dem Verbraucher den in den Artikeln VII.70 und VII.71 erwähnten SECCI nicht mitteilt; oder wer wissentlich unter Verstoß gegen die Artikel VII.74 und VII.75 nicht die zutreffendsten Informationen mitteilt beziehungsweise nicht den passendsten Kredit sucht,</w:t>
      </w:r>
    </w:p>
    <w:p w14:paraId="4BB2E45C" w14:textId="77777777" w:rsidR="003D32B7" w:rsidRPr="004676F5" w:rsidRDefault="003D32B7" w:rsidP="003D32B7">
      <w:pPr>
        <w:ind w:firstLine="708"/>
        <w:jc w:val="both"/>
        <w:rPr>
          <w:lang w:val="de-DE"/>
        </w:rPr>
      </w:pPr>
    </w:p>
    <w:p w14:paraId="0CBBA6A5" w14:textId="5A4023A0" w:rsidR="00FB40A7" w:rsidRPr="004676F5" w:rsidRDefault="00FB40A7" w:rsidP="003D32B7">
      <w:pPr>
        <w:ind w:firstLine="708"/>
        <w:jc w:val="both"/>
        <w:rPr>
          <w:lang w:val="de-DE"/>
        </w:rPr>
      </w:pPr>
      <w:r w:rsidRPr="004676F5">
        <w:rPr>
          <w:lang w:val="de-DE"/>
        </w:rPr>
        <w:t>[12/1. wer als Kreditgeber oder Kreditvermittler gegen die Bestimmungen der Artikel VII.70 § 1 Absatz 4 oder VII.130 verstößt,]</w:t>
      </w:r>
    </w:p>
    <w:p w14:paraId="2D0E789E" w14:textId="77777777" w:rsidR="00FB40A7" w:rsidRDefault="00FB40A7" w:rsidP="003D32B7">
      <w:pPr>
        <w:ind w:firstLine="708"/>
        <w:jc w:val="both"/>
        <w:rPr>
          <w:lang w:val="de-DE"/>
        </w:rPr>
      </w:pPr>
    </w:p>
    <w:p w14:paraId="281C3F70" w14:textId="6A897BE0" w:rsidR="00CB218D" w:rsidRDefault="00CB218D" w:rsidP="003D32B7">
      <w:pPr>
        <w:ind w:firstLine="708"/>
        <w:jc w:val="both"/>
        <w:rPr>
          <w:lang w:val="de-DE"/>
        </w:rPr>
      </w:pPr>
      <w:r>
        <w:rPr>
          <w:lang w:val="de-DE"/>
        </w:rPr>
        <w:t>[</w:t>
      </w:r>
      <w:r w:rsidRPr="00FE0D0B">
        <w:rPr>
          <w:lang w:val="de-DE"/>
        </w:rPr>
        <w:t>12/2. wer als Kreditgeber gegen die Bestimmungen von Artikel VII.86 § 7 verstößt,</w:t>
      </w:r>
      <w:r>
        <w:rPr>
          <w:lang w:val="de-DE"/>
        </w:rPr>
        <w:t>]</w:t>
      </w:r>
    </w:p>
    <w:p w14:paraId="2D84EDFC" w14:textId="77777777" w:rsidR="00CB218D" w:rsidRPr="004676F5" w:rsidRDefault="00CB218D" w:rsidP="003D32B7">
      <w:pPr>
        <w:ind w:firstLine="708"/>
        <w:jc w:val="both"/>
        <w:rPr>
          <w:lang w:val="de-DE"/>
        </w:rPr>
      </w:pPr>
    </w:p>
    <w:p w14:paraId="28EF7504" w14:textId="77777777" w:rsidR="003D32B7" w:rsidRPr="004676F5" w:rsidRDefault="003D32B7" w:rsidP="003D32B7">
      <w:pPr>
        <w:ind w:firstLine="708"/>
        <w:jc w:val="both"/>
        <w:rPr>
          <w:lang w:val="de-DE"/>
        </w:rPr>
      </w:pPr>
      <w:r w:rsidRPr="004676F5">
        <w:rPr>
          <w:lang w:val="de-DE"/>
        </w:rPr>
        <w:t>13. wer gegen die Bestimmungen von Artikel VII.68 in Bezug auf Angebote zur Verkaufs</w:t>
      </w:r>
      <w:r w:rsidRPr="004676F5">
        <w:rPr>
          <w:lang w:val="de-DE"/>
        </w:rPr>
        <w:softHyphen/>
        <w:t xml:space="preserve">förderung verstößt, </w:t>
      </w:r>
    </w:p>
    <w:p w14:paraId="0568DAE5" w14:textId="77777777" w:rsidR="003D32B7" w:rsidRPr="004676F5" w:rsidRDefault="003D32B7" w:rsidP="003D32B7">
      <w:pPr>
        <w:ind w:firstLine="708"/>
        <w:jc w:val="both"/>
        <w:rPr>
          <w:lang w:val="de-DE"/>
        </w:rPr>
      </w:pPr>
    </w:p>
    <w:p w14:paraId="22A23EC3" w14:textId="77777777" w:rsidR="003D32B7" w:rsidRPr="004676F5" w:rsidRDefault="003D32B7" w:rsidP="003D32B7">
      <w:pPr>
        <w:ind w:firstLine="708"/>
        <w:jc w:val="both"/>
        <w:rPr>
          <w:lang w:val="de-DE"/>
        </w:rPr>
      </w:pPr>
      <w:r w:rsidRPr="004676F5">
        <w:rPr>
          <w:lang w:val="de-DE"/>
        </w:rPr>
        <w:t xml:space="preserve">14. wer die Verpflichtung, die </w:t>
      </w:r>
      <w:r w:rsidR="00CE3F7B" w:rsidRPr="004676F5">
        <w:rPr>
          <w:lang w:val="de-DE"/>
        </w:rPr>
        <w:t>[in den Artikeln VII.99, VII.106 § 4, VII.147/14 und VII.147/22 § 4]</w:t>
      </w:r>
      <w:r w:rsidRPr="004676F5">
        <w:rPr>
          <w:lang w:val="de-DE"/>
        </w:rPr>
        <w:t xml:space="preserve"> erwähnten Unterlagen auszuhändigen, nicht einhält,</w:t>
      </w:r>
    </w:p>
    <w:p w14:paraId="454E81D3" w14:textId="77777777" w:rsidR="003D32B7" w:rsidRPr="004676F5" w:rsidRDefault="003D32B7" w:rsidP="003D32B7">
      <w:pPr>
        <w:ind w:firstLine="708"/>
        <w:jc w:val="both"/>
        <w:rPr>
          <w:lang w:val="de-DE"/>
        </w:rPr>
      </w:pPr>
    </w:p>
    <w:p w14:paraId="6FD76453" w14:textId="1F745B52" w:rsidR="003D32B7" w:rsidRPr="004676F5" w:rsidRDefault="003D32B7" w:rsidP="003D32B7">
      <w:pPr>
        <w:ind w:firstLine="708"/>
        <w:jc w:val="both"/>
        <w:rPr>
          <w:lang w:val="de-DE"/>
        </w:rPr>
      </w:pPr>
      <w:r w:rsidRPr="004676F5">
        <w:rPr>
          <w:lang w:val="de-DE"/>
        </w:rPr>
        <w:t xml:space="preserve">15. wer als Kreditgeber gegen die Bestimmungen </w:t>
      </w:r>
      <w:r w:rsidR="00CE3F7B" w:rsidRPr="004676F5">
        <w:rPr>
          <w:lang w:val="de-DE"/>
        </w:rPr>
        <w:t xml:space="preserve">[der Artikel VII.78, VII.81, </w:t>
      </w:r>
      <w:r w:rsidR="00FB40A7" w:rsidRPr="004676F5">
        <w:rPr>
          <w:lang w:val="de-DE"/>
        </w:rPr>
        <w:t>[</w:t>
      </w:r>
      <w:r w:rsidR="00CE3F7B" w:rsidRPr="004676F5">
        <w:rPr>
          <w:lang w:val="de-DE"/>
        </w:rPr>
        <w:t>VII.109 §</w:t>
      </w:r>
      <w:r w:rsidR="00FB40A7" w:rsidRPr="004676F5">
        <w:rPr>
          <w:lang w:val="de-DE"/>
        </w:rPr>
        <w:t>§ 1 und</w:t>
      </w:r>
      <w:r w:rsidR="00CE3F7B" w:rsidRPr="004676F5">
        <w:rPr>
          <w:lang w:val="de-DE"/>
        </w:rPr>
        <w:t> 2</w:t>
      </w:r>
      <w:r w:rsidR="00FB40A7" w:rsidRPr="004676F5">
        <w:rPr>
          <w:lang w:val="de-DE"/>
        </w:rPr>
        <w:t>]</w:t>
      </w:r>
      <w:r w:rsidR="00CE3F7B" w:rsidRPr="004676F5">
        <w:rPr>
          <w:lang w:val="de-DE"/>
        </w:rPr>
        <w:t>, VII.126 § 2 und VII.134]</w:t>
      </w:r>
      <w:r w:rsidRPr="004676F5">
        <w:rPr>
          <w:lang w:val="de-DE"/>
        </w:rPr>
        <w:t xml:space="preserve"> verstößt,</w:t>
      </w:r>
    </w:p>
    <w:p w14:paraId="3530BAD7" w14:textId="77777777" w:rsidR="003D32B7" w:rsidRPr="004676F5" w:rsidRDefault="003D32B7" w:rsidP="003D32B7">
      <w:pPr>
        <w:jc w:val="both"/>
        <w:rPr>
          <w:lang w:val="de-DE"/>
        </w:rPr>
      </w:pPr>
    </w:p>
    <w:p w14:paraId="2AF513D4" w14:textId="0C070371" w:rsidR="00FB40A7" w:rsidRPr="004676F5" w:rsidRDefault="00FB40A7" w:rsidP="003D32B7">
      <w:pPr>
        <w:jc w:val="both"/>
        <w:rPr>
          <w:lang w:val="de-DE"/>
        </w:rPr>
      </w:pPr>
      <w:r w:rsidRPr="004676F5">
        <w:rPr>
          <w:lang w:val="de-DE"/>
        </w:rPr>
        <w:tab/>
        <w:t>[15/1. wer als Kreditgeber gegen die Bestimmungen der Artikel VII.77 § 1 oder VII.133 § 1 in Bezug auf die eingehende Prüfung der Kreditwürdigkeit des Verbrauchers und der Zahlungsfähigkeit der Personen, die eine persönliche Sicherheit leisten, verstößt,]</w:t>
      </w:r>
    </w:p>
    <w:p w14:paraId="0DAA6DB5" w14:textId="77777777" w:rsidR="00FB40A7" w:rsidRPr="004676F5" w:rsidRDefault="00FB40A7" w:rsidP="003D32B7">
      <w:pPr>
        <w:jc w:val="both"/>
        <w:rPr>
          <w:lang w:val="de-DE"/>
        </w:rPr>
      </w:pPr>
    </w:p>
    <w:p w14:paraId="297C9928" w14:textId="10A77E29" w:rsidR="003D32B7" w:rsidRPr="004676F5" w:rsidRDefault="003D32B7" w:rsidP="003D32B7">
      <w:pPr>
        <w:ind w:firstLine="708"/>
        <w:jc w:val="both"/>
        <w:rPr>
          <w:lang w:val="de-DE"/>
        </w:rPr>
      </w:pPr>
      <w:r w:rsidRPr="004676F5">
        <w:rPr>
          <w:lang w:val="de-DE"/>
        </w:rPr>
        <w:t xml:space="preserve">16. wer unter Verstoß gegen die Bestimmungen </w:t>
      </w:r>
      <w:r w:rsidR="00CE3F7B" w:rsidRPr="004676F5">
        <w:rPr>
          <w:lang w:val="de-DE"/>
        </w:rPr>
        <w:t xml:space="preserve">[der Artikel VII.77 § 2 </w:t>
      </w:r>
      <w:r w:rsidR="00523416" w:rsidRPr="004676F5">
        <w:rPr>
          <w:lang w:val="de-DE"/>
        </w:rPr>
        <w:t>[...]</w:t>
      </w:r>
      <w:r w:rsidR="00CE3F7B" w:rsidRPr="004676F5">
        <w:rPr>
          <w:lang w:val="de-DE"/>
        </w:rPr>
        <w:t xml:space="preserve"> und VII.133 § 2 </w:t>
      </w:r>
      <w:r w:rsidR="00523416" w:rsidRPr="004676F5">
        <w:rPr>
          <w:lang w:val="de-DE"/>
        </w:rPr>
        <w:t>[...]</w:t>
      </w:r>
      <w:r w:rsidR="00CE3F7B" w:rsidRPr="004676F5">
        <w:rPr>
          <w:lang w:val="de-DE"/>
        </w:rPr>
        <w:t>]</w:t>
      </w:r>
      <w:r w:rsidRPr="004676F5">
        <w:rPr>
          <w:lang w:val="de-DE"/>
        </w:rPr>
        <w:t xml:space="preserve"> als Kreditgeber wissentlich einen Kreditvertrag abschließt, für den er berechtigterweise annehmen muss, dass der Verbraucher nicht in der Lage sein wird, die Verbindlichkeiten aus dem Kreditvertrag zu erfüllen,</w:t>
      </w:r>
    </w:p>
    <w:p w14:paraId="2C0C5F36" w14:textId="77777777" w:rsidR="003D32B7" w:rsidRPr="004676F5" w:rsidRDefault="003D32B7" w:rsidP="003D32B7">
      <w:pPr>
        <w:ind w:firstLine="708"/>
        <w:jc w:val="both"/>
        <w:rPr>
          <w:lang w:val="de-DE"/>
        </w:rPr>
      </w:pPr>
    </w:p>
    <w:p w14:paraId="71AD5FA0" w14:textId="77777777" w:rsidR="003D32B7" w:rsidRPr="004676F5" w:rsidRDefault="003D32B7" w:rsidP="003D32B7">
      <w:pPr>
        <w:ind w:firstLine="708"/>
        <w:jc w:val="both"/>
        <w:rPr>
          <w:lang w:val="de-DE"/>
        </w:rPr>
      </w:pPr>
      <w:r w:rsidRPr="004676F5">
        <w:rPr>
          <w:lang w:val="de-DE"/>
        </w:rPr>
        <w:t xml:space="preserve">17. wer gegen </w:t>
      </w:r>
      <w:r w:rsidR="00CE3F7B" w:rsidRPr="004676F5">
        <w:rPr>
          <w:lang w:val="de-DE"/>
        </w:rPr>
        <w:t>[die Artikel VII.117 bis VII.122 und VII.147/33 bis VII.147/38]</w:t>
      </w:r>
      <w:r w:rsidRPr="004676F5">
        <w:rPr>
          <w:lang w:val="de-DE"/>
        </w:rPr>
        <w:t xml:space="preserve"> verstößt,</w:t>
      </w:r>
    </w:p>
    <w:p w14:paraId="233A6221" w14:textId="77777777" w:rsidR="003D32B7" w:rsidRPr="004676F5" w:rsidRDefault="003D32B7" w:rsidP="003D32B7">
      <w:pPr>
        <w:ind w:firstLine="708"/>
        <w:jc w:val="both"/>
        <w:rPr>
          <w:lang w:val="de-DE"/>
        </w:rPr>
      </w:pPr>
    </w:p>
    <w:p w14:paraId="11D36023" w14:textId="4D1D11F6" w:rsidR="003D32B7" w:rsidRPr="004676F5" w:rsidRDefault="003D32B7" w:rsidP="003D32B7">
      <w:pPr>
        <w:ind w:firstLine="708"/>
        <w:jc w:val="both"/>
        <w:rPr>
          <w:lang w:val="de-DE"/>
        </w:rPr>
      </w:pPr>
      <w:r w:rsidRPr="004676F5">
        <w:rPr>
          <w:lang w:val="de-DE"/>
        </w:rPr>
        <w:t>18. </w:t>
      </w:r>
      <w:r w:rsidR="00CE3F7B" w:rsidRPr="004676F5">
        <w:rPr>
          <w:lang w:val="de-DE"/>
        </w:rPr>
        <w:t xml:space="preserve">[wer gegen die Artikel VII.137, VII.138, VII.143, VII.146, VII.147 und </w:t>
      </w:r>
      <w:r w:rsidR="00FB40A7" w:rsidRPr="004676F5">
        <w:rPr>
          <w:lang w:val="de-DE"/>
        </w:rPr>
        <w:t>[</w:t>
      </w:r>
      <w:r w:rsidR="00CE3F7B" w:rsidRPr="004676F5">
        <w:rPr>
          <w:lang w:val="de-DE"/>
        </w:rPr>
        <w:t>VII.147/26 §</w:t>
      </w:r>
      <w:r w:rsidR="00FB40A7" w:rsidRPr="004676F5">
        <w:rPr>
          <w:lang w:val="de-DE"/>
        </w:rPr>
        <w:t>§</w:t>
      </w:r>
      <w:r w:rsidR="00CE3F7B" w:rsidRPr="004676F5">
        <w:rPr>
          <w:lang w:val="de-DE"/>
        </w:rPr>
        <w:t> 1</w:t>
      </w:r>
      <w:r w:rsidR="00FB40A7" w:rsidRPr="004676F5">
        <w:rPr>
          <w:lang w:val="de-DE"/>
        </w:rPr>
        <w:t xml:space="preserve"> und 2]</w:t>
      </w:r>
      <w:r w:rsidR="00CE3F7B" w:rsidRPr="004676F5">
        <w:rPr>
          <w:lang w:val="de-DE"/>
        </w:rPr>
        <w:t xml:space="preserve"> verstößt,]</w:t>
      </w:r>
    </w:p>
    <w:p w14:paraId="751BD183" w14:textId="77777777" w:rsidR="003D32B7" w:rsidRPr="004676F5" w:rsidRDefault="003D32B7" w:rsidP="003D32B7">
      <w:pPr>
        <w:ind w:firstLine="708"/>
        <w:jc w:val="both"/>
        <w:rPr>
          <w:lang w:val="de-DE"/>
        </w:rPr>
      </w:pPr>
    </w:p>
    <w:p w14:paraId="474194A3" w14:textId="1F7E8309" w:rsidR="003D32B7" w:rsidRPr="004676F5" w:rsidRDefault="003D32B7" w:rsidP="003D32B7">
      <w:pPr>
        <w:ind w:firstLine="708"/>
        <w:jc w:val="both"/>
        <w:rPr>
          <w:lang w:val="de-DE"/>
        </w:rPr>
      </w:pPr>
      <w:r w:rsidRPr="004676F5">
        <w:rPr>
          <w:lang w:val="de-DE"/>
        </w:rPr>
        <w:lastRenderedPageBreak/>
        <w:t>19. </w:t>
      </w:r>
      <w:r w:rsidR="00CE3F7B" w:rsidRPr="004676F5">
        <w:rPr>
          <w:lang w:val="de-DE"/>
        </w:rPr>
        <w:t xml:space="preserve">[wer als Kreditgeber oder Kreditvermittler dem Verbraucher das </w:t>
      </w:r>
      <w:r w:rsidR="00F0360C" w:rsidRPr="004676F5">
        <w:rPr>
          <w:lang w:val="de-DE"/>
        </w:rPr>
        <w:t>[</w:t>
      </w:r>
      <w:r w:rsidR="00CE3F7B" w:rsidRPr="004676F5">
        <w:rPr>
          <w:lang w:val="de-DE"/>
        </w:rPr>
        <w:t>in Artikel VII.127</w:t>
      </w:r>
      <w:r w:rsidR="00F0360C" w:rsidRPr="004676F5">
        <w:rPr>
          <w:lang w:val="de-DE"/>
        </w:rPr>
        <w:t>]</w:t>
      </w:r>
      <w:r w:rsidR="00CE3F7B" w:rsidRPr="004676F5">
        <w:rPr>
          <w:lang w:val="de-DE"/>
        </w:rPr>
        <w:t xml:space="preserve"> erwähnte ESIS-Merkblatt nicht mitteilt oder wer wissentlich unter Verstoß gegen </w:t>
      </w:r>
      <w:r w:rsidR="007F255A" w:rsidRPr="004676F5">
        <w:rPr>
          <w:lang w:val="de-DE"/>
        </w:rPr>
        <w:t xml:space="preserve">[die Artikel VII.129, </w:t>
      </w:r>
      <w:r w:rsidR="00FB40A7" w:rsidRPr="004676F5">
        <w:rPr>
          <w:lang w:val="de-DE"/>
        </w:rPr>
        <w:t>[</w:t>
      </w:r>
      <w:r w:rsidR="007F255A" w:rsidRPr="004676F5">
        <w:rPr>
          <w:lang w:val="de-DE"/>
        </w:rPr>
        <w:t>VII.13</w:t>
      </w:r>
      <w:r w:rsidR="00FB40A7" w:rsidRPr="004676F5">
        <w:rPr>
          <w:lang w:val="de-DE"/>
        </w:rPr>
        <w:t>1]</w:t>
      </w:r>
      <w:r w:rsidR="007F255A" w:rsidRPr="004676F5">
        <w:rPr>
          <w:lang w:val="de-DE"/>
        </w:rPr>
        <w:t xml:space="preserve"> und VII.131]</w:t>
      </w:r>
      <w:r w:rsidR="00CE3F7B" w:rsidRPr="004676F5">
        <w:rPr>
          <w:lang w:val="de-DE"/>
        </w:rPr>
        <w:t xml:space="preserve"> nicht die zutreffendsten Informationen mitteilt beziehungsweise nic</w:t>
      </w:r>
      <w:r w:rsidR="00AC5746" w:rsidRPr="004676F5">
        <w:rPr>
          <w:lang w:val="de-DE"/>
        </w:rPr>
        <w:t>ht den passendsten Kredit sucht,</w:t>
      </w:r>
      <w:r w:rsidR="00CE3F7B" w:rsidRPr="004676F5">
        <w:rPr>
          <w:lang w:val="de-DE"/>
        </w:rPr>
        <w:t>]</w:t>
      </w:r>
    </w:p>
    <w:p w14:paraId="1087DBEC" w14:textId="470C9845" w:rsidR="00AC5746" w:rsidRDefault="00AC5746" w:rsidP="003D32B7">
      <w:pPr>
        <w:ind w:firstLine="708"/>
        <w:jc w:val="both"/>
        <w:rPr>
          <w:lang w:val="de-DE"/>
        </w:rPr>
      </w:pPr>
    </w:p>
    <w:p w14:paraId="489087DC" w14:textId="47E3A45E" w:rsidR="00CB218D" w:rsidRDefault="00CB218D" w:rsidP="003D32B7">
      <w:pPr>
        <w:ind w:firstLine="708"/>
        <w:jc w:val="both"/>
        <w:rPr>
          <w:lang w:val="de-DE"/>
        </w:rPr>
      </w:pPr>
      <w:r>
        <w:rPr>
          <w:lang w:val="de-DE"/>
        </w:rPr>
        <w:t>[</w:t>
      </w:r>
      <w:r w:rsidRPr="00FE0D0B">
        <w:rPr>
          <w:lang w:val="de-DE"/>
        </w:rPr>
        <w:t>19/1. wer als Kreditgeber gegen die Bestimmungen von Artikel VII.143 § 8 verstößt,</w:t>
      </w:r>
      <w:r>
        <w:rPr>
          <w:lang w:val="de-DE"/>
        </w:rPr>
        <w:t>]</w:t>
      </w:r>
    </w:p>
    <w:p w14:paraId="03648B79" w14:textId="77777777" w:rsidR="00CB218D" w:rsidRPr="004676F5" w:rsidRDefault="00CB218D" w:rsidP="003D32B7">
      <w:pPr>
        <w:ind w:firstLine="708"/>
        <w:jc w:val="both"/>
        <w:rPr>
          <w:lang w:val="de-DE"/>
        </w:rPr>
      </w:pPr>
    </w:p>
    <w:p w14:paraId="729C0A34" w14:textId="77777777" w:rsidR="00AC5746" w:rsidRPr="004676F5" w:rsidRDefault="00AC5746" w:rsidP="00AC5746">
      <w:pPr>
        <w:ind w:firstLine="708"/>
        <w:jc w:val="both"/>
        <w:rPr>
          <w:lang w:val="de-DE"/>
        </w:rPr>
      </w:pPr>
      <w:r w:rsidRPr="004676F5">
        <w:rPr>
          <w:lang w:val="de-DE"/>
        </w:rPr>
        <w:t>[20. </w:t>
      </w:r>
      <w:r w:rsidRPr="004676F5">
        <w:rPr>
          <w:i/>
          <w:lang w:val="de-DE"/>
        </w:rPr>
        <w:t>a) </w:t>
      </w:r>
      <w:r w:rsidRPr="004676F5">
        <w:rPr>
          <w:lang w:val="de-DE"/>
        </w:rPr>
        <w:t>wer wissentlich und willentlich einen Scheck oder ein anderes Wertpapier, das nach vorliegendem Gesetzbuch einem Scheck gleichgestellt ist, ohne vorherige, ausreichende und verfügbare Deckung ausstellt, oder</w:t>
      </w:r>
    </w:p>
    <w:p w14:paraId="674055A3" w14:textId="77777777" w:rsidR="00AC5746" w:rsidRPr="004676F5" w:rsidRDefault="00AC5746" w:rsidP="00AC5746">
      <w:pPr>
        <w:ind w:firstLine="708"/>
        <w:jc w:val="both"/>
        <w:rPr>
          <w:lang w:val="de-DE"/>
        </w:rPr>
      </w:pPr>
    </w:p>
    <w:p w14:paraId="2A224C05" w14:textId="77777777" w:rsidR="00AC5746" w:rsidRPr="004676F5" w:rsidRDefault="00AC5746" w:rsidP="00AC5746">
      <w:pPr>
        <w:ind w:firstLine="708"/>
        <w:jc w:val="both"/>
        <w:rPr>
          <w:lang w:val="de-DE"/>
        </w:rPr>
      </w:pPr>
      <w:r w:rsidRPr="004676F5">
        <w:rPr>
          <w:i/>
          <w:lang w:val="de-DE"/>
        </w:rPr>
        <w:t>b)</w:t>
      </w:r>
      <w:r w:rsidRPr="004676F5">
        <w:rPr>
          <w:lang w:val="de-DE"/>
        </w:rPr>
        <w:t> wer ein solches Wertpapier abtritt, wohl wissend, dass die Deckung weder ausreichend noch verfügbar ist, oder</w:t>
      </w:r>
    </w:p>
    <w:p w14:paraId="00CB34AF" w14:textId="77777777" w:rsidR="00AC5746" w:rsidRPr="004676F5" w:rsidRDefault="00AC5746" w:rsidP="00AC5746">
      <w:pPr>
        <w:ind w:firstLine="708"/>
        <w:jc w:val="both"/>
        <w:rPr>
          <w:lang w:val="de-DE"/>
        </w:rPr>
      </w:pPr>
    </w:p>
    <w:p w14:paraId="0EB0E163" w14:textId="77777777" w:rsidR="00AC5746" w:rsidRPr="004676F5" w:rsidRDefault="00AC5746" w:rsidP="00AC5746">
      <w:pPr>
        <w:ind w:firstLine="708"/>
        <w:jc w:val="both"/>
        <w:rPr>
          <w:lang w:val="de-DE"/>
        </w:rPr>
      </w:pPr>
      <w:r w:rsidRPr="004676F5">
        <w:rPr>
          <w:i/>
          <w:lang w:val="de-DE"/>
        </w:rPr>
        <w:t>c) </w:t>
      </w:r>
      <w:r w:rsidRPr="004676F5">
        <w:rPr>
          <w:lang w:val="de-DE"/>
        </w:rPr>
        <w:t>wer als Aussteller während der Vorlegungsfrist wissentlich und willentlich die gesamte oder einen Teil der Deckung für ein solches Wertpapier abzieht oder</w:t>
      </w:r>
    </w:p>
    <w:p w14:paraId="32C35534" w14:textId="77777777" w:rsidR="00AC5746" w:rsidRPr="004676F5" w:rsidRDefault="00AC5746" w:rsidP="00AC5746">
      <w:pPr>
        <w:ind w:firstLine="708"/>
        <w:jc w:val="both"/>
        <w:rPr>
          <w:lang w:val="de-DE"/>
        </w:rPr>
      </w:pPr>
    </w:p>
    <w:p w14:paraId="493A56FF" w14:textId="0AA880C0" w:rsidR="00AC5746" w:rsidRPr="004676F5" w:rsidRDefault="00AC5746" w:rsidP="00AC5746">
      <w:pPr>
        <w:ind w:firstLine="708"/>
        <w:jc w:val="both"/>
        <w:rPr>
          <w:lang w:val="de-DE"/>
        </w:rPr>
      </w:pPr>
      <w:r w:rsidRPr="004676F5">
        <w:rPr>
          <w:i/>
          <w:lang w:val="de-DE"/>
        </w:rPr>
        <w:t>d)</w:t>
      </w:r>
      <w:r w:rsidRPr="004676F5">
        <w:rPr>
          <w:lang w:val="de-DE"/>
        </w:rPr>
        <w:t> wer als Aussteller in betrügerischer Absicht oder mit der Absicht zu schaden ein solches Wertpapier widerruft oder die gesamte oder einen Teil der Deckung nicht verfügbar macht oder nach Ablauf der Vorlegungsfrist die gesamte oder einen Teil der Deckung abzieht.]</w:t>
      </w:r>
    </w:p>
    <w:p w14:paraId="39F00968" w14:textId="77777777" w:rsidR="003D32B7" w:rsidRPr="004676F5" w:rsidRDefault="003D32B7" w:rsidP="003D32B7">
      <w:pPr>
        <w:ind w:firstLine="708"/>
        <w:jc w:val="both"/>
        <w:rPr>
          <w:lang w:val="de-DE"/>
        </w:rPr>
      </w:pPr>
    </w:p>
    <w:p w14:paraId="48A5AC9A" w14:textId="36CE4DDC" w:rsidR="00CE3F7B" w:rsidRPr="004676F5" w:rsidRDefault="00CE3F7B" w:rsidP="00CE3F7B">
      <w:pPr>
        <w:jc w:val="both"/>
        <w:rPr>
          <w:i/>
          <w:lang w:val="de-DE"/>
        </w:rPr>
      </w:pPr>
      <w:r w:rsidRPr="004676F5">
        <w:rPr>
          <w:i/>
          <w:lang w:val="de-DE"/>
        </w:rPr>
        <w:t>[</w:t>
      </w:r>
      <w:r w:rsidR="00BE0A56" w:rsidRPr="004676F5">
        <w:rPr>
          <w:i/>
          <w:lang w:val="de-DE"/>
        </w:rPr>
        <w:t>Art. </w:t>
      </w:r>
      <w:r w:rsidRPr="004676F5">
        <w:rPr>
          <w:i/>
          <w:lang w:val="de-DE"/>
        </w:rPr>
        <w:t xml:space="preserve">XV.90 einziger Absatz Nr. 1 abgeändert durch </w:t>
      </w:r>
      <w:r w:rsidR="00BE0A56" w:rsidRPr="004676F5">
        <w:rPr>
          <w:i/>
          <w:lang w:val="de-DE"/>
        </w:rPr>
        <w:t>Art. </w:t>
      </w:r>
      <w:r w:rsidRPr="004676F5">
        <w:rPr>
          <w:i/>
          <w:lang w:val="de-DE"/>
        </w:rPr>
        <w:t xml:space="preserve">39 Nr. 1 des G. vom 22. April 2016 (B.S. vom 4. Mai 2016); einziger Absatz Nr. 3 abgeändert durch </w:t>
      </w:r>
      <w:r w:rsidR="00BE0A56" w:rsidRPr="004676F5">
        <w:rPr>
          <w:i/>
          <w:lang w:val="de-DE"/>
        </w:rPr>
        <w:t>Art. </w:t>
      </w:r>
      <w:r w:rsidRPr="004676F5">
        <w:rPr>
          <w:i/>
          <w:lang w:val="de-DE"/>
        </w:rPr>
        <w:t xml:space="preserve">39 Nr. 2 des G. vom 22. April 2016 (B.S. vom 4. Mai 2016); einziger Absatz Nr. 4 ersetzt durch </w:t>
      </w:r>
      <w:r w:rsidR="00BE0A56" w:rsidRPr="004676F5">
        <w:rPr>
          <w:i/>
          <w:lang w:val="de-DE"/>
        </w:rPr>
        <w:t>Art. </w:t>
      </w:r>
      <w:r w:rsidR="00CB218D">
        <w:rPr>
          <w:i/>
          <w:lang w:val="de-DE"/>
        </w:rPr>
        <w:t>54 Nr. 1</w:t>
      </w:r>
      <w:r w:rsidR="00CB218D" w:rsidRPr="00CB218D">
        <w:rPr>
          <w:i/>
          <w:lang w:val="de-DE"/>
        </w:rPr>
        <w:t xml:space="preserve"> des G. vom 20. Dezember 2024 (B.S. vom 14. Januar 2025)</w:t>
      </w:r>
      <w:r w:rsidRPr="004676F5">
        <w:rPr>
          <w:i/>
          <w:lang w:val="de-DE"/>
        </w:rPr>
        <w:t xml:space="preserve">; einziger Absatz Nr. 5 abgeändert durch </w:t>
      </w:r>
      <w:r w:rsidR="00BE0A56" w:rsidRPr="004676F5">
        <w:rPr>
          <w:i/>
          <w:lang w:val="de-DE"/>
        </w:rPr>
        <w:t>Art. </w:t>
      </w:r>
      <w:r w:rsidRPr="004676F5">
        <w:rPr>
          <w:i/>
          <w:lang w:val="de-DE"/>
        </w:rPr>
        <w:t xml:space="preserve">39 Nr. 4 des G. vom 22. April 2016 (B.S. vom 4. Mai 2016); einziger Absatz Nr. 6 abgeändert durch </w:t>
      </w:r>
      <w:r w:rsidR="00BE0A56" w:rsidRPr="004676F5">
        <w:rPr>
          <w:i/>
          <w:lang w:val="de-DE"/>
        </w:rPr>
        <w:t>Art. </w:t>
      </w:r>
      <w:r w:rsidRPr="004676F5">
        <w:rPr>
          <w:i/>
          <w:lang w:val="de-DE"/>
        </w:rPr>
        <w:t xml:space="preserve">39 Nr. 5 des G. vom 22. April 2016 (B.S. vom 4. Mai 2016); einziger Absatz Nr. 8 abgeändert durch </w:t>
      </w:r>
      <w:r w:rsidR="00BE0A56" w:rsidRPr="004676F5">
        <w:rPr>
          <w:i/>
          <w:lang w:val="de-DE"/>
        </w:rPr>
        <w:t>Art. </w:t>
      </w:r>
      <w:r w:rsidRPr="004676F5">
        <w:rPr>
          <w:i/>
          <w:lang w:val="de-DE"/>
        </w:rPr>
        <w:t>39 Nr. </w:t>
      </w:r>
      <w:r w:rsidR="001C4D73" w:rsidRPr="004676F5">
        <w:rPr>
          <w:i/>
          <w:lang w:val="de-DE"/>
        </w:rPr>
        <w:t>6</w:t>
      </w:r>
      <w:r w:rsidRPr="004676F5">
        <w:rPr>
          <w:i/>
          <w:lang w:val="de-DE"/>
        </w:rPr>
        <w:t xml:space="preserve"> des G. vom 22. April 2016 (B.S. vom 4. Mai 2016); einziger Absatz Nr. 1</w:t>
      </w:r>
      <w:r w:rsidR="001C4D73" w:rsidRPr="004676F5">
        <w:rPr>
          <w:i/>
          <w:lang w:val="de-DE"/>
        </w:rPr>
        <w:t>0</w:t>
      </w:r>
      <w:r w:rsidRPr="004676F5">
        <w:rPr>
          <w:i/>
          <w:lang w:val="de-DE"/>
        </w:rPr>
        <w:t xml:space="preserve"> abgeändert durch </w:t>
      </w:r>
      <w:r w:rsidR="00BE0A56" w:rsidRPr="004676F5">
        <w:rPr>
          <w:i/>
          <w:lang w:val="de-DE"/>
        </w:rPr>
        <w:t>Art. </w:t>
      </w:r>
      <w:r w:rsidRPr="004676F5">
        <w:rPr>
          <w:i/>
          <w:lang w:val="de-DE"/>
        </w:rPr>
        <w:t>39</w:t>
      </w:r>
      <w:r w:rsidR="001C4D73" w:rsidRPr="004676F5">
        <w:rPr>
          <w:i/>
          <w:lang w:val="de-DE"/>
        </w:rPr>
        <w:t xml:space="preserve"> Nr. 7</w:t>
      </w:r>
      <w:r w:rsidRPr="004676F5">
        <w:rPr>
          <w:i/>
          <w:lang w:val="de-DE"/>
        </w:rPr>
        <w:t xml:space="preserve"> des G. vom 22. April 2016 (B.S. vom 4. Mai 2016); einziger Absatz Nr. </w:t>
      </w:r>
      <w:r w:rsidR="001C4D73" w:rsidRPr="004676F5">
        <w:rPr>
          <w:i/>
          <w:lang w:val="de-DE"/>
        </w:rPr>
        <w:t>1</w:t>
      </w:r>
      <w:r w:rsidRPr="004676F5">
        <w:rPr>
          <w:i/>
          <w:lang w:val="de-DE"/>
        </w:rPr>
        <w:t xml:space="preserve">1 abgeändert durch </w:t>
      </w:r>
      <w:r w:rsidR="00BE0A56" w:rsidRPr="004676F5">
        <w:rPr>
          <w:i/>
          <w:lang w:val="de-DE"/>
        </w:rPr>
        <w:t>Art. </w:t>
      </w:r>
      <w:r w:rsidRPr="004676F5">
        <w:rPr>
          <w:i/>
          <w:lang w:val="de-DE"/>
        </w:rPr>
        <w:t>39</w:t>
      </w:r>
      <w:r w:rsidR="001C4D73" w:rsidRPr="004676F5">
        <w:rPr>
          <w:i/>
          <w:lang w:val="de-DE"/>
        </w:rPr>
        <w:t xml:space="preserve"> Nr. 8</w:t>
      </w:r>
      <w:r w:rsidRPr="004676F5">
        <w:rPr>
          <w:i/>
          <w:lang w:val="de-DE"/>
        </w:rPr>
        <w:t xml:space="preserve"> des G. vom 22. April 2016 (B.S. vom 4. Mai 2016);</w:t>
      </w:r>
      <w:r w:rsidR="00FB40A7" w:rsidRPr="004676F5">
        <w:rPr>
          <w:i/>
          <w:lang w:val="de-DE"/>
        </w:rPr>
        <w:t xml:space="preserve"> einziger Absatz Nr. 12/1 eingefügt durch Art. 54 Nr. 1</w:t>
      </w:r>
      <w:r w:rsidR="00FB40A7" w:rsidRPr="004676F5">
        <w:rPr>
          <w:i/>
          <w:iCs/>
          <w:lang w:val="de-DE"/>
        </w:rPr>
        <w:t xml:space="preserve"> des G. vom 9. Februar 2024 (B.S. vom 21. März 2024);</w:t>
      </w:r>
      <w:r w:rsidRPr="004676F5">
        <w:rPr>
          <w:i/>
          <w:lang w:val="de-DE"/>
        </w:rPr>
        <w:t xml:space="preserve"> </w:t>
      </w:r>
      <w:r w:rsidR="00CB218D">
        <w:rPr>
          <w:i/>
          <w:lang w:val="de-DE"/>
        </w:rPr>
        <w:t>einziger Absatz Nr. 12/2 eingefügt durch Art. 54 Nr. 2</w:t>
      </w:r>
      <w:r w:rsidR="00CB218D" w:rsidRPr="00CB218D">
        <w:rPr>
          <w:i/>
          <w:lang w:val="de-DE"/>
        </w:rPr>
        <w:t xml:space="preserve"> des G. vom 20. Dezember 2024 (B.S. vom 14. Januar 2025)</w:t>
      </w:r>
      <w:r w:rsidR="00CB218D">
        <w:rPr>
          <w:i/>
          <w:lang w:val="de-DE"/>
        </w:rPr>
        <w:t xml:space="preserve">; </w:t>
      </w:r>
      <w:r w:rsidRPr="004676F5">
        <w:rPr>
          <w:i/>
          <w:lang w:val="de-DE"/>
        </w:rPr>
        <w:t>einziger Absatz Nr. 1</w:t>
      </w:r>
      <w:r w:rsidR="001C4D73" w:rsidRPr="004676F5">
        <w:rPr>
          <w:i/>
          <w:lang w:val="de-DE"/>
        </w:rPr>
        <w:t>4</w:t>
      </w:r>
      <w:r w:rsidRPr="004676F5">
        <w:rPr>
          <w:i/>
          <w:lang w:val="de-DE"/>
        </w:rPr>
        <w:t xml:space="preserve"> abgeändert durch </w:t>
      </w:r>
      <w:r w:rsidR="00BE0A56" w:rsidRPr="004676F5">
        <w:rPr>
          <w:i/>
          <w:lang w:val="de-DE"/>
        </w:rPr>
        <w:t>Art. </w:t>
      </w:r>
      <w:r w:rsidRPr="004676F5">
        <w:rPr>
          <w:i/>
          <w:lang w:val="de-DE"/>
        </w:rPr>
        <w:t>39</w:t>
      </w:r>
      <w:r w:rsidR="001C4D73" w:rsidRPr="004676F5">
        <w:rPr>
          <w:i/>
          <w:lang w:val="de-DE"/>
        </w:rPr>
        <w:t xml:space="preserve"> Nr. 9</w:t>
      </w:r>
      <w:r w:rsidRPr="004676F5">
        <w:rPr>
          <w:i/>
          <w:lang w:val="de-DE"/>
        </w:rPr>
        <w:t xml:space="preserve"> des G. vom 22. April 2016 (B.S. vom 4. Mai 2016); einziger Absatz Nr. 1</w:t>
      </w:r>
      <w:r w:rsidR="001C4D73" w:rsidRPr="004676F5">
        <w:rPr>
          <w:i/>
          <w:lang w:val="de-DE"/>
        </w:rPr>
        <w:t xml:space="preserve">5 </w:t>
      </w:r>
      <w:r w:rsidRPr="004676F5">
        <w:rPr>
          <w:i/>
          <w:lang w:val="de-DE"/>
        </w:rPr>
        <w:t xml:space="preserve">abgeändert durch </w:t>
      </w:r>
      <w:r w:rsidR="00BE0A56" w:rsidRPr="004676F5">
        <w:rPr>
          <w:i/>
          <w:lang w:val="de-DE"/>
        </w:rPr>
        <w:t>Art. </w:t>
      </w:r>
      <w:r w:rsidRPr="004676F5">
        <w:rPr>
          <w:i/>
          <w:lang w:val="de-DE"/>
        </w:rPr>
        <w:t>39 Nr. 1</w:t>
      </w:r>
      <w:r w:rsidR="001C4D73" w:rsidRPr="004676F5">
        <w:rPr>
          <w:i/>
          <w:lang w:val="de-DE"/>
        </w:rPr>
        <w:t>0</w:t>
      </w:r>
      <w:r w:rsidRPr="004676F5">
        <w:rPr>
          <w:i/>
          <w:lang w:val="de-DE"/>
        </w:rPr>
        <w:t xml:space="preserve"> des G. vom 22. April 2016 (B.S. vom 4. Mai 2016)</w:t>
      </w:r>
      <w:r w:rsidR="00FB40A7" w:rsidRPr="004676F5">
        <w:rPr>
          <w:i/>
          <w:lang w:val="de-DE"/>
        </w:rPr>
        <w:t xml:space="preserve"> und Art. 54 Nr. 2</w:t>
      </w:r>
      <w:r w:rsidR="00FB40A7" w:rsidRPr="004676F5">
        <w:rPr>
          <w:i/>
          <w:iCs/>
          <w:lang w:val="de-DE"/>
        </w:rPr>
        <w:t xml:space="preserve"> des G. vom 9. Februar 2024 (B.S. vom 21. März 2024)</w:t>
      </w:r>
      <w:r w:rsidRPr="004676F5">
        <w:rPr>
          <w:i/>
          <w:lang w:val="de-DE"/>
        </w:rPr>
        <w:t>;</w:t>
      </w:r>
      <w:r w:rsidR="00FB40A7" w:rsidRPr="004676F5">
        <w:rPr>
          <w:i/>
          <w:lang w:val="de-DE"/>
        </w:rPr>
        <w:t xml:space="preserve"> einziger Absatz Nr. 15/1 eingefügt durch Art. 54 Nr. 3</w:t>
      </w:r>
      <w:r w:rsidR="00FB40A7" w:rsidRPr="004676F5">
        <w:rPr>
          <w:i/>
          <w:iCs/>
          <w:lang w:val="de-DE"/>
        </w:rPr>
        <w:t xml:space="preserve"> des G. vom 9. Februar 2024 (B.S. vom 21. März 2024);</w:t>
      </w:r>
      <w:r w:rsidRPr="004676F5">
        <w:rPr>
          <w:i/>
          <w:lang w:val="de-DE"/>
        </w:rPr>
        <w:t xml:space="preserve"> einziger Absatz Nr. 1</w:t>
      </w:r>
      <w:r w:rsidR="001C4D73" w:rsidRPr="004676F5">
        <w:rPr>
          <w:i/>
          <w:lang w:val="de-DE"/>
        </w:rPr>
        <w:t>6</w:t>
      </w:r>
      <w:r w:rsidRPr="004676F5">
        <w:rPr>
          <w:i/>
          <w:lang w:val="de-DE"/>
        </w:rPr>
        <w:t xml:space="preserve"> abgeändert durch </w:t>
      </w:r>
      <w:r w:rsidR="00BE0A56" w:rsidRPr="004676F5">
        <w:rPr>
          <w:i/>
          <w:lang w:val="de-DE"/>
        </w:rPr>
        <w:t>Art. </w:t>
      </w:r>
      <w:r w:rsidRPr="004676F5">
        <w:rPr>
          <w:i/>
          <w:lang w:val="de-DE"/>
        </w:rPr>
        <w:t>39 Nr. </w:t>
      </w:r>
      <w:r w:rsidR="001C4D73" w:rsidRPr="004676F5">
        <w:rPr>
          <w:i/>
          <w:lang w:val="de-DE"/>
        </w:rPr>
        <w:t>1</w:t>
      </w:r>
      <w:r w:rsidRPr="004676F5">
        <w:rPr>
          <w:i/>
          <w:lang w:val="de-DE"/>
        </w:rPr>
        <w:t>1 des G. vom 22. April 2016 (B.S. vom 4. Mai 2016)</w:t>
      </w:r>
      <w:r w:rsidR="00523416" w:rsidRPr="004676F5">
        <w:rPr>
          <w:i/>
          <w:lang w:val="de-DE"/>
        </w:rPr>
        <w:t xml:space="preserve"> und </w:t>
      </w:r>
      <w:r w:rsidR="00BE0A56" w:rsidRPr="004676F5">
        <w:rPr>
          <w:i/>
          <w:lang w:val="de-DE"/>
        </w:rPr>
        <w:t>Art. </w:t>
      </w:r>
      <w:r w:rsidR="00523416" w:rsidRPr="004676F5">
        <w:rPr>
          <w:i/>
          <w:lang w:val="de-DE"/>
        </w:rPr>
        <w:t>27 des G. vom 18. April 2017 (B.S. vom 24. April 2017)</w:t>
      </w:r>
      <w:r w:rsidRPr="004676F5">
        <w:rPr>
          <w:i/>
          <w:lang w:val="de-DE"/>
        </w:rPr>
        <w:t>; einziger Absatz Nr. 1</w:t>
      </w:r>
      <w:r w:rsidR="001C4D73" w:rsidRPr="004676F5">
        <w:rPr>
          <w:i/>
          <w:lang w:val="de-DE"/>
        </w:rPr>
        <w:t>7</w:t>
      </w:r>
      <w:r w:rsidRPr="004676F5">
        <w:rPr>
          <w:i/>
          <w:lang w:val="de-DE"/>
        </w:rPr>
        <w:t xml:space="preserve"> abgeändert durch </w:t>
      </w:r>
      <w:r w:rsidR="00BE0A56" w:rsidRPr="004676F5">
        <w:rPr>
          <w:i/>
          <w:lang w:val="de-DE"/>
        </w:rPr>
        <w:t>Art. </w:t>
      </w:r>
      <w:r w:rsidRPr="004676F5">
        <w:rPr>
          <w:i/>
          <w:lang w:val="de-DE"/>
        </w:rPr>
        <w:t>39 Nr. 1</w:t>
      </w:r>
      <w:r w:rsidR="001C4D73" w:rsidRPr="004676F5">
        <w:rPr>
          <w:i/>
          <w:lang w:val="de-DE"/>
        </w:rPr>
        <w:t>2</w:t>
      </w:r>
      <w:r w:rsidRPr="004676F5">
        <w:rPr>
          <w:i/>
          <w:lang w:val="de-DE"/>
        </w:rPr>
        <w:t xml:space="preserve"> des G. vom 22. April 2016 (B.S. vom 4. Mai 2016); einziger Absatz Nr. 1</w:t>
      </w:r>
      <w:r w:rsidR="001C4D73" w:rsidRPr="004676F5">
        <w:rPr>
          <w:i/>
          <w:lang w:val="de-DE"/>
        </w:rPr>
        <w:t>8</w:t>
      </w:r>
      <w:r w:rsidRPr="004676F5">
        <w:rPr>
          <w:i/>
          <w:lang w:val="de-DE"/>
        </w:rPr>
        <w:t xml:space="preserve"> er</w:t>
      </w:r>
      <w:r w:rsidR="001C4D73" w:rsidRPr="004676F5">
        <w:rPr>
          <w:i/>
          <w:lang w:val="de-DE"/>
        </w:rPr>
        <w:t>setz</w:t>
      </w:r>
      <w:r w:rsidRPr="004676F5">
        <w:rPr>
          <w:i/>
          <w:lang w:val="de-DE"/>
        </w:rPr>
        <w:t xml:space="preserve">t durch </w:t>
      </w:r>
      <w:r w:rsidR="00BE0A56" w:rsidRPr="004676F5">
        <w:rPr>
          <w:i/>
          <w:lang w:val="de-DE"/>
        </w:rPr>
        <w:t>Art. </w:t>
      </w:r>
      <w:r w:rsidRPr="004676F5">
        <w:rPr>
          <w:i/>
          <w:lang w:val="de-DE"/>
        </w:rPr>
        <w:t>39 Nr. 1</w:t>
      </w:r>
      <w:r w:rsidR="001C4D73" w:rsidRPr="004676F5">
        <w:rPr>
          <w:i/>
          <w:lang w:val="de-DE"/>
        </w:rPr>
        <w:t>3</w:t>
      </w:r>
      <w:r w:rsidRPr="004676F5">
        <w:rPr>
          <w:i/>
          <w:lang w:val="de-DE"/>
        </w:rPr>
        <w:t xml:space="preserve"> des G. vom 22. April 2016 (B.S. vom 4. Mai 2016)</w:t>
      </w:r>
      <w:r w:rsidR="00FB40A7" w:rsidRPr="004676F5">
        <w:rPr>
          <w:i/>
          <w:lang w:val="de-DE"/>
        </w:rPr>
        <w:t xml:space="preserve"> und abgeändert durch Art. 54 Nr. 4</w:t>
      </w:r>
      <w:r w:rsidR="00FB40A7" w:rsidRPr="004676F5">
        <w:rPr>
          <w:i/>
          <w:iCs/>
          <w:lang w:val="de-DE"/>
        </w:rPr>
        <w:t xml:space="preserve"> des G. vom 9. Februar 2024 (B.S. vom 21. März 2024)</w:t>
      </w:r>
      <w:r w:rsidRPr="004676F5">
        <w:rPr>
          <w:i/>
          <w:lang w:val="de-DE"/>
        </w:rPr>
        <w:t>; einziger Absatz Nr. 1</w:t>
      </w:r>
      <w:r w:rsidR="001C4D73" w:rsidRPr="004676F5">
        <w:rPr>
          <w:i/>
          <w:lang w:val="de-DE"/>
        </w:rPr>
        <w:t>9</w:t>
      </w:r>
      <w:r w:rsidRPr="004676F5">
        <w:rPr>
          <w:i/>
          <w:lang w:val="de-DE"/>
        </w:rPr>
        <w:t xml:space="preserve"> </w:t>
      </w:r>
      <w:r w:rsidR="001C4D73" w:rsidRPr="004676F5">
        <w:rPr>
          <w:i/>
          <w:lang w:val="de-DE"/>
        </w:rPr>
        <w:t>ersetzt</w:t>
      </w:r>
      <w:r w:rsidRPr="004676F5">
        <w:rPr>
          <w:i/>
          <w:lang w:val="de-DE"/>
        </w:rPr>
        <w:t xml:space="preserve"> durch </w:t>
      </w:r>
      <w:r w:rsidR="00BE0A56" w:rsidRPr="004676F5">
        <w:rPr>
          <w:i/>
          <w:lang w:val="de-DE"/>
        </w:rPr>
        <w:t>Art. </w:t>
      </w:r>
      <w:r w:rsidRPr="004676F5">
        <w:rPr>
          <w:i/>
          <w:lang w:val="de-DE"/>
        </w:rPr>
        <w:t>39 Nr. 1</w:t>
      </w:r>
      <w:r w:rsidR="001C4D73" w:rsidRPr="004676F5">
        <w:rPr>
          <w:i/>
          <w:lang w:val="de-DE"/>
        </w:rPr>
        <w:t>4</w:t>
      </w:r>
      <w:r w:rsidRPr="004676F5">
        <w:rPr>
          <w:i/>
          <w:lang w:val="de-DE"/>
        </w:rPr>
        <w:t xml:space="preserve"> des G. vom 22. April 2016 (B.S. vom 4. Mai 2016)</w:t>
      </w:r>
      <w:r w:rsidR="00F0360C" w:rsidRPr="004676F5">
        <w:rPr>
          <w:i/>
          <w:lang w:val="de-DE"/>
        </w:rPr>
        <w:t xml:space="preserve"> und abgeändert durch Art. 33 des G. vom 2. Mai 2019 (IV) (B.S. vom 22. Mai 2019)</w:t>
      </w:r>
      <w:r w:rsidR="00746829" w:rsidRPr="004676F5">
        <w:rPr>
          <w:i/>
          <w:lang w:val="de-DE"/>
        </w:rPr>
        <w:t>,</w:t>
      </w:r>
      <w:r w:rsidR="007F255A" w:rsidRPr="004676F5">
        <w:rPr>
          <w:i/>
          <w:lang w:val="de-DE"/>
        </w:rPr>
        <w:t xml:space="preserve"> Art. 61 des G. vom 5. November 2023</w:t>
      </w:r>
      <w:r w:rsidR="00AA0B2E" w:rsidRPr="004676F5">
        <w:rPr>
          <w:i/>
          <w:lang w:val="de-DE"/>
        </w:rPr>
        <w:t> (I)</w:t>
      </w:r>
      <w:r w:rsidR="007F255A" w:rsidRPr="004676F5">
        <w:rPr>
          <w:i/>
          <w:lang w:val="de-DE"/>
        </w:rPr>
        <w:t xml:space="preserve"> (B.S. vom 11. Dezember 2023)</w:t>
      </w:r>
      <w:r w:rsidR="00746829" w:rsidRPr="004676F5">
        <w:rPr>
          <w:i/>
          <w:lang w:val="de-DE"/>
        </w:rPr>
        <w:t xml:space="preserve"> und Art. 54 Nr. 5</w:t>
      </w:r>
      <w:r w:rsidR="00746829" w:rsidRPr="004676F5">
        <w:rPr>
          <w:i/>
          <w:iCs/>
          <w:lang w:val="de-DE"/>
        </w:rPr>
        <w:t xml:space="preserve"> des G. vom 9. Februar 2024 (B.S. vom 21. März 2024)</w:t>
      </w:r>
      <w:r w:rsidR="00AC5746" w:rsidRPr="004676F5">
        <w:rPr>
          <w:i/>
          <w:lang w:val="de-DE"/>
        </w:rPr>
        <w:t xml:space="preserve">; </w:t>
      </w:r>
      <w:r w:rsidR="00CB218D">
        <w:rPr>
          <w:i/>
          <w:lang w:val="de-DE"/>
        </w:rPr>
        <w:t>einziger Absatz Nr. 19/1 eingefügt durch Art. 54 Nr. 3</w:t>
      </w:r>
      <w:r w:rsidR="00CB218D" w:rsidRPr="00CB218D">
        <w:rPr>
          <w:i/>
          <w:lang w:val="de-DE"/>
        </w:rPr>
        <w:t xml:space="preserve"> des G. vom 20. Dezember 2024 (B.S. vom 14. Januar 2025)</w:t>
      </w:r>
      <w:r w:rsidR="00CB218D">
        <w:rPr>
          <w:i/>
          <w:lang w:val="de-DE"/>
        </w:rPr>
        <w:t xml:space="preserve">; </w:t>
      </w:r>
      <w:r w:rsidR="00AC5746" w:rsidRPr="004676F5">
        <w:rPr>
          <w:i/>
          <w:lang w:val="de-DE"/>
        </w:rPr>
        <w:t>einziger Absatz Nr. 20 eingefügt durch Art. 207 des G. vom 15. April 2018 (B.S. vom 27. April 2018)</w:t>
      </w:r>
      <w:r w:rsidRPr="004676F5">
        <w:rPr>
          <w:i/>
          <w:lang w:val="de-DE"/>
        </w:rPr>
        <w:t>]</w:t>
      </w:r>
    </w:p>
    <w:p w14:paraId="16DB7746" w14:textId="77777777" w:rsidR="001C4D73" w:rsidRPr="004676F5" w:rsidRDefault="001C4D73" w:rsidP="00CE3F7B">
      <w:pPr>
        <w:jc w:val="both"/>
        <w:rPr>
          <w:i/>
          <w:lang w:val="de-DE"/>
        </w:rPr>
      </w:pPr>
    </w:p>
    <w:p w14:paraId="7C7B7E69" w14:textId="77777777" w:rsidR="00CE3F7B" w:rsidRPr="004676F5" w:rsidRDefault="00CE3F7B" w:rsidP="00CE3F7B">
      <w:pPr>
        <w:jc w:val="both"/>
        <w:rPr>
          <w:i/>
          <w:lang w:val="de-DE"/>
        </w:rPr>
      </w:pPr>
    </w:p>
    <w:p w14:paraId="28AD7503" w14:textId="3F2DB104" w:rsidR="003D32B7" w:rsidRPr="004676F5" w:rsidRDefault="00BE0A56" w:rsidP="003D32B7">
      <w:pPr>
        <w:ind w:firstLine="708"/>
        <w:jc w:val="both"/>
        <w:rPr>
          <w:lang w:val="de-DE"/>
        </w:rPr>
      </w:pPr>
      <w:r w:rsidRPr="004676F5">
        <w:rPr>
          <w:b/>
          <w:lang w:val="de-DE"/>
        </w:rPr>
        <w:t>Art. </w:t>
      </w:r>
      <w:r w:rsidR="003D32B7" w:rsidRPr="004676F5">
        <w:rPr>
          <w:b/>
          <w:lang w:val="de-DE"/>
        </w:rPr>
        <w:t>XV.91</w:t>
      </w:r>
      <w:r w:rsidR="003D32B7" w:rsidRPr="004676F5">
        <w:rPr>
          <w:lang w:val="de-DE"/>
        </w:rPr>
        <w:t> </w:t>
      </w:r>
      <w:r w:rsidR="005B7A5C" w:rsidRPr="004676F5">
        <w:rPr>
          <w:lang w:val="de-DE"/>
        </w:rPr>
        <w:t>- </w:t>
      </w:r>
      <w:r w:rsidR="003D32B7" w:rsidRPr="004676F5">
        <w:rPr>
          <w:lang w:val="de-DE"/>
        </w:rPr>
        <w:t>Mit einer Sanktion der Stufe 5 wird bestraft:</w:t>
      </w:r>
    </w:p>
    <w:p w14:paraId="216EB91A" w14:textId="77777777" w:rsidR="003D32B7" w:rsidRPr="004676F5" w:rsidRDefault="003D32B7" w:rsidP="003D32B7">
      <w:pPr>
        <w:ind w:firstLine="708"/>
        <w:jc w:val="both"/>
        <w:rPr>
          <w:lang w:val="de-DE"/>
        </w:rPr>
      </w:pPr>
    </w:p>
    <w:p w14:paraId="2FBFD916" w14:textId="77777777" w:rsidR="003D32B7" w:rsidRPr="004676F5" w:rsidRDefault="003D32B7" w:rsidP="003D32B7">
      <w:pPr>
        <w:ind w:firstLine="708"/>
        <w:jc w:val="both"/>
        <w:rPr>
          <w:lang w:val="de-DE"/>
        </w:rPr>
      </w:pPr>
      <w:r w:rsidRPr="004676F5">
        <w:rPr>
          <w:lang w:val="de-DE"/>
        </w:rPr>
        <w:t>1. wer die Tätigkeit eines Kreditgebers ausübt, ohne die in Artikel VII.160 § 6 erwähnte Zulassung oder die in Artikel VII.174 § 4 erwähnte Registrierung erhalten zu haben,</w:t>
      </w:r>
    </w:p>
    <w:p w14:paraId="6DF7F522" w14:textId="77777777" w:rsidR="003D32B7" w:rsidRPr="004676F5" w:rsidRDefault="003D32B7" w:rsidP="003D32B7">
      <w:pPr>
        <w:ind w:firstLine="708"/>
        <w:jc w:val="both"/>
        <w:rPr>
          <w:lang w:val="de-DE"/>
        </w:rPr>
      </w:pPr>
    </w:p>
    <w:p w14:paraId="5C8418E1" w14:textId="77777777" w:rsidR="003D32B7" w:rsidRPr="004676F5" w:rsidRDefault="003D32B7" w:rsidP="003D32B7">
      <w:pPr>
        <w:ind w:firstLine="708"/>
        <w:jc w:val="both"/>
        <w:rPr>
          <w:lang w:val="de-DE"/>
        </w:rPr>
      </w:pPr>
      <w:r w:rsidRPr="004676F5">
        <w:rPr>
          <w:lang w:val="de-DE"/>
        </w:rPr>
        <w:t>2. wer die Tätigkeit eines Kreditvermittlers ausübt, ohne die in den Artikeln VII.180 und VII.184 vorgesehene Eintragung erhalten zu haben beziehungsweise ohne dass für ihn gegebenenfalls eine ordnungsgemäße Anzeige einer zuständigen Behörde des Europäischen Wirtschaftsraums erfolgt ist,</w:t>
      </w:r>
    </w:p>
    <w:p w14:paraId="52BB4F92" w14:textId="77777777" w:rsidR="003D32B7" w:rsidRPr="004676F5" w:rsidRDefault="003D32B7" w:rsidP="003D32B7">
      <w:pPr>
        <w:ind w:firstLine="708"/>
        <w:jc w:val="both"/>
        <w:rPr>
          <w:lang w:val="de-DE"/>
        </w:rPr>
      </w:pPr>
    </w:p>
    <w:p w14:paraId="76E87A17" w14:textId="77777777" w:rsidR="003D32B7" w:rsidRPr="004676F5" w:rsidRDefault="003D32B7" w:rsidP="003D32B7">
      <w:pPr>
        <w:ind w:firstLine="708"/>
        <w:jc w:val="both"/>
        <w:rPr>
          <w:lang w:val="de-DE"/>
        </w:rPr>
      </w:pPr>
      <w:r w:rsidRPr="004676F5">
        <w:rPr>
          <w:lang w:val="de-DE"/>
        </w:rPr>
        <w:t xml:space="preserve">3. wer bei der Ausübung der Tätigkeit als Kreditvermittler unter Verstoß gegen Artikel VII.159 Tätigkeiten mit Kreditgebern verrichtet, die nicht gemäß Artikel VII.160 § 5 </w:t>
      </w:r>
      <w:r w:rsidRPr="004676F5">
        <w:rPr>
          <w:i/>
          <w:lang w:val="de-DE"/>
        </w:rPr>
        <w:t>[sic, zu lesen ist: § 6]</w:t>
      </w:r>
      <w:r w:rsidRPr="004676F5">
        <w:rPr>
          <w:lang w:val="de-DE"/>
        </w:rPr>
        <w:t xml:space="preserve"> zugelassen beziehungsweise gemäß Artikel VII.174 § 4 registriert sind,</w:t>
      </w:r>
    </w:p>
    <w:p w14:paraId="4FA0AD54" w14:textId="77777777" w:rsidR="003D32B7" w:rsidRPr="004676F5" w:rsidRDefault="003D32B7" w:rsidP="003D32B7">
      <w:pPr>
        <w:ind w:firstLine="708"/>
        <w:jc w:val="both"/>
        <w:rPr>
          <w:lang w:val="de-DE"/>
        </w:rPr>
      </w:pPr>
    </w:p>
    <w:p w14:paraId="62265BC9" w14:textId="77777777" w:rsidR="003D32B7" w:rsidRPr="004676F5" w:rsidRDefault="003D32B7" w:rsidP="003D32B7">
      <w:pPr>
        <w:ind w:firstLine="708"/>
        <w:jc w:val="both"/>
        <w:rPr>
          <w:lang w:val="de-DE"/>
        </w:rPr>
      </w:pPr>
      <w:r w:rsidRPr="004676F5">
        <w:rPr>
          <w:lang w:val="de-DE"/>
        </w:rPr>
        <w:t>4. wer sich über eine Aussetzung, ein Verbot, eine Streichung oder einen Widerruf aufgrund der Artikel XV.67, XV.67/1, XV.67/2, XV.67/3 und XV.68 hinwegsetzt,</w:t>
      </w:r>
    </w:p>
    <w:p w14:paraId="749C19EA" w14:textId="77777777" w:rsidR="003D32B7" w:rsidRPr="004676F5" w:rsidRDefault="003D32B7" w:rsidP="003D32B7">
      <w:pPr>
        <w:ind w:firstLine="708"/>
        <w:jc w:val="both"/>
        <w:rPr>
          <w:lang w:val="de-DE"/>
        </w:rPr>
      </w:pPr>
    </w:p>
    <w:p w14:paraId="239B156E" w14:textId="1CBFD020" w:rsidR="003D32B7" w:rsidRPr="004676F5" w:rsidRDefault="003D32B7" w:rsidP="003D32B7">
      <w:pPr>
        <w:ind w:firstLine="708"/>
        <w:jc w:val="both"/>
        <w:rPr>
          <w:lang w:val="de-DE"/>
        </w:rPr>
      </w:pPr>
      <w:r w:rsidRPr="004676F5">
        <w:rPr>
          <w:lang w:val="de-DE"/>
        </w:rPr>
        <w:t>5. wer weiter de jure oder de facto das Amt eines tatsächlichen Leiters bei einem Kreditgeber ausübt, obwohl die FSMA geurteilt hat, dass er nicht über die berufliche Zuverlässigkeit und angemessene Fachkompetenz verfügt, die zur Ausführung seiner Aufgaben erforderlich sind, oder das Amt eines tatsächlichen Leiters bei einem Kredit</w:t>
      </w:r>
      <w:r w:rsidRPr="004676F5">
        <w:rPr>
          <w:lang w:val="de-DE"/>
        </w:rPr>
        <w:softHyphen/>
        <w:t xml:space="preserve">vermittler oder eines Vertriebsbeauftragten bei einem Kreditgeber oder Kreditvermittler, obwohl die FSMA geurteilt hat, dass er nicht die ausreichende </w:t>
      </w:r>
      <w:r w:rsidR="00BE3947" w:rsidRPr="004676F5">
        <w:rPr>
          <w:lang w:val="de-DE"/>
        </w:rPr>
        <w:t xml:space="preserve">[angemessene Fachkompetenz] </w:t>
      </w:r>
      <w:r w:rsidRPr="004676F5">
        <w:rPr>
          <w:lang w:val="de-DE"/>
        </w:rPr>
        <w:t>und berufliche Zuverlässigkeit für die Ausübung seiner Aufgaben aufweist,</w:t>
      </w:r>
    </w:p>
    <w:p w14:paraId="0F91D456" w14:textId="77777777" w:rsidR="003D32B7" w:rsidRPr="004676F5" w:rsidRDefault="003D32B7" w:rsidP="003D32B7">
      <w:pPr>
        <w:ind w:firstLine="708"/>
        <w:jc w:val="both"/>
        <w:rPr>
          <w:lang w:val="de-DE"/>
        </w:rPr>
      </w:pPr>
    </w:p>
    <w:p w14:paraId="688BA3A2" w14:textId="1E894917" w:rsidR="003D32B7" w:rsidRPr="004676F5" w:rsidRDefault="003D32B7" w:rsidP="003D32B7">
      <w:pPr>
        <w:ind w:firstLine="708"/>
        <w:jc w:val="both"/>
        <w:rPr>
          <w:lang w:val="de-DE"/>
        </w:rPr>
      </w:pPr>
      <w:r w:rsidRPr="004676F5">
        <w:rPr>
          <w:lang w:val="de-DE"/>
        </w:rPr>
        <w:t xml:space="preserve">6. ein Kreditgeber oder Kreditvermittler, der einen Angestellten beauftragt, Kreditverträge vorzuschlagen, obwohl dieser die Bedingungen der Artikel VII.180 § 2 Nr. 2 und 3, VII.183 § 5 Nr. 3 und </w:t>
      </w:r>
      <w:r w:rsidR="00F0360C" w:rsidRPr="004676F5">
        <w:rPr>
          <w:lang w:val="de-DE"/>
        </w:rPr>
        <w:t>[</w:t>
      </w:r>
      <w:r w:rsidRPr="004676F5">
        <w:rPr>
          <w:lang w:val="de-DE"/>
        </w:rPr>
        <w:t xml:space="preserve">VII.184 § 1 </w:t>
      </w:r>
      <w:r w:rsidR="00F0360C" w:rsidRPr="004676F5">
        <w:rPr>
          <w:lang w:val="de-DE"/>
        </w:rPr>
        <w:t xml:space="preserve">Absatz 2 </w:t>
      </w:r>
      <w:r w:rsidRPr="004676F5">
        <w:rPr>
          <w:lang w:val="de-DE"/>
        </w:rPr>
        <w:t>Nr. 3</w:t>
      </w:r>
      <w:r w:rsidR="00F0360C" w:rsidRPr="004676F5">
        <w:rPr>
          <w:lang w:val="de-DE"/>
        </w:rPr>
        <w:t>]</w:t>
      </w:r>
      <w:r w:rsidRPr="004676F5">
        <w:rPr>
          <w:lang w:val="de-DE"/>
        </w:rPr>
        <w:t xml:space="preserve"> nicht erfüllt,</w:t>
      </w:r>
    </w:p>
    <w:p w14:paraId="50116720" w14:textId="77777777" w:rsidR="003D32B7" w:rsidRPr="004676F5" w:rsidRDefault="003D32B7" w:rsidP="003D32B7">
      <w:pPr>
        <w:ind w:firstLine="708"/>
        <w:jc w:val="both"/>
        <w:rPr>
          <w:lang w:val="de-DE"/>
        </w:rPr>
      </w:pPr>
    </w:p>
    <w:p w14:paraId="46AE1855" w14:textId="77777777" w:rsidR="003D32B7" w:rsidRPr="004676F5" w:rsidRDefault="003D32B7" w:rsidP="003D32B7">
      <w:pPr>
        <w:ind w:firstLine="708"/>
        <w:jc w:val="both"/>
        <w:rPr>
          <w:lang w:val="de-DE"/>
        </w:rPr>
      </w:pPr>
      <w:r w:rsidRPr="004676F5">
        <w:rPr>
          <w:lang w:val="de-DE"/>
        </w:rPr>
        <w:t>7. ein Kreditgeber, der einen Kreditvertrag akzeptiert, der von einem Kreditvermittler angeboten wird, der nicht gemäß den Artikeln VII.182 § 3 und VII.188 § 3 eingetragen ist,</w:t>
      </w:r>
    </w:p>
    <w:p w14:paraId="1FE84953" w14:textId="77777777" w:rsidR="003D32B7" w:rsidRPr="004676F5" w:rsidRDefault="003D32B7" w:rsidP="003D32B7">
      <w:pPr>
        <w:ind w:firstLine="708"/>
        <w:jc w:val="both"/>
        <w:rPr>
          <w:lang w:val="de-DE"/>
        </w:rPr>
      </w:pPr>
    </w:p>
    <w:p w14:paraId="2D51C3D4" w14:textId="77777777" w:rsidR="003D32B7" w:rsidRPr="004676F5" w:rsidRDefault="003D32B7" w:rsidP="003D32B7">
      <w:pPr>
        <w:ind w:firstLine="708"/>
        <w:jc w:val="both"/>
        <w:rPr>
          <w:lang w:val="de-DE"/>
        </w:rPr>
      </w:pPr>
      <w:r w:rsidRPr="004676F5">
        <w:rPr>
          <w:lang w:val="de-DE"/>
        </w:rPr>
        <w:t>8. ein Kreditgeber, der einen Vertretervertrag einem Kreditvermittler anbietet, der nicht gemäß den Artikeln VII.182 § 3 und VII.188 § 3 eingetragen ist,</w:t>
      </w:r>
    </w:p>
    <w:p w14:paraId="34D26B37" w14:textId="77777777" w:rsidR="003D32B7" w:rsidRPr="004676F5" w:rsidRDefault="003D32B7" w:rsidP="003D32B7">
      <w:pPr>
        <w:ind w:firstLine="708"/>
        <w:jc w:val="both"/>
        <w:rPr>
          <w:lang w:val="de-DE"/>
        </w:rPr>
      </w:pPr>
    </w:p>
    <w:p w14:paraId="7030AFBD" w14:textId="08DA9A3E" w:rsidR="00270F53" w:rsidRPr="004676F5" w:rsidRDefault="003D32B7" w:rsidP="00F0360C">
      <w:pPr>
        <w:jc w:val="both"/>
        <w:rPr>
          <w:lang w:val="de-DE"/>
        </w:rPr>
      </w:pPr>
      <w:r w:rsidRPr="004676F5">
        <w:rPr>
          <w:lang w:val="de-DE"/>
        </w:rPr>
        <w:tab/>
        <w:t>9. wer den Bestimmungen der Artikel VII.159 § 1, VII.180 § 3 und VII.184 § 2 nicht nachkommt.]</w:t>
      </w:r>
    </w:p>
    <w:p w14:paraId="759CA471" w14:textId="77777777" w:rsidR="00F0360C" w:rsidRPr="004676F5" w:rsidRDefault="00F0360C" w:rsidP="00F0360C">
      <w:pPr>
        <w:jc w:val="both"/>
        <w:rPr>
          <w:lang w:val="de-DE"/>
        </w:rPr>
      </w:pPr>
    </w:p>
    <w:p w14:paraId="10469FC1" w14:textId="117ECF45" w:rsidR="00F0360C" w:rsidRPr="004676F5" w:rsidRDefault="00F0360C" w:rsidP="00F0360C">
      <w:pPr>
        <w:jc w:val="both"/>
        <w:rPr>
          <w:i/>
          <w:lang w:val="de-DE"/>
        </w:rPr>
      </w:pPr>
      <w:r w:rsidRPr="004676F5">
        <w:rPr>
          <w:i/>
          <w:iCs/>
          <w:lang w:val="de-DE"/>
        </w:rPr>
        <w:t xml:space="preserve">[Art. XV.91 </w:t>
      </w:r>
      <w:r w:rsidR="00BE3947" w:rsidRPr="004676F5">
        <w:rPr>
          <w:i/>
          <w:iCs/>
          <w:lang w:val="de-DE"/>
        </w:rPr>
        <w:t xml:space="preserve">einziger Absatz Nr. 5 abgeändert durch Art. 18 des G. vom 8. Mai 2022 (B.S. vom 23. Juni 2022); </w:t>
      </w:r>
      <w:r w:rsidRPr="004676F5">
        <w:rPr>
          <w:i/>
          <w:iCs/>
          <w:lang w:val="de-DE"/>
        </w:rPr>
        <w:t>einziger Absatz Nr. 6 abgeändert durch Art. </w:t>
      </w:r>
      <w:r w:rsidR="00885A31" w:rsidRPr="004676F5">
        <w:rPr>
          <w:i/>
          <w:iCs/>
          <w:lang w:val="de-DE"/>
        </w:rPr>
        <w:t>34</w:t>
      </w:r>
      <w:r w:rsidR="00885A31" w:rsidRPr="004676F5">
        <w:rPr>
          <w:i/>
          <w:lang w:val="de-DE"/>
        </w:rPr>
        <w:t xml:space="preserve"> des G. vom 2. Mai 2019 (IV) (B.S. vom 22. Mai 2019)]</w:t>
      </w:r>
    </w:p>
    <w:p w14:paraId="25F4EB89" w14:textId="77777777" w:rsidR="00885A31" w:rsidRPr="004676F5" w:rsidRDefault="00885A31" w:rsidP="00F0360C">
      <w:pPr>
        <w:jc w:val="both"/>
        <w:rPr>
          <w:i/>
          <w:iCs/>
          <w:lang w:val="de-DE"/>
        </w:rPr>
      </w:pPr>
    </w:p>
    <w:p w14:paraId="3DD7B980" w14:textId="77777777" w:rsidR="00F0360C" w:rsidRPr="004676F5" w:rsidRDefault="00F0360C" w:rsidP="00F0360C">
      <w:pPr>
        <w:jc w:val="both"/>
        <w:rPr>
          <w:lang w:val="de-DE"/>
        </w:rPr>
      </w:pPr>
    </w:p>
    <w:p w14:paraId="53B2075B" w14:textId="5115EBE3" w:rsidR="00AC5746" w:rsidRPr="004676F5" w:rsidRDefault="00AC5746" w:rsidP="003D32B7">
      <w:pPr>
        <w:jc w:val="both"/>
        <w:rPr>
          <w:lang w:val="de-DE"/>
        </w:rPr>
      </w:pPr>
      <w:r w:rsidRPr="004676F5">
        <w:rPr>
          <w:lang w:val="de-DE"/>
        </w:rPr>
        <w:tab/>
        <w:t>[</w:t>
      </w:r>
      <w:r w:rsidRPr="004676F5">
        <w:rPr>
          <w:b/>
          <w:lang w:val="de-DE"/>
        </w:rPr>
        <w:t>Art. XV.91/1</w:t>
      </w:r>
      <w:r w:rsidRPr="004676F5">
        <w:rPr>
          <w:lang w:val="de-DE"/>
        </w:rPr>
        <w:t> </w:t>
      </w:r>
      <w:r w:rsidR="005B7A5C" w:rsidRPr="004676F5">
        <w:rPr>
          <w:lang w:val="de-DE"/>
        </w:rPr>
        <w:t>- </w:t>
      </w:r>
      <w:r w:rsidRPr="004676F5">
        <w:rPr>
          <w:lang w:val="de-DE"/>
        </w:rPr>
        <w:t>Mit einer Sanktion der Stufe 2 für jeden Verstoß werden Bankiers bestraft, die bei der Ausgabe eines Scheckbuches mit Formularen für Schecks, die an ihrer Kasse zahlbar sind, auf dem Umschlag jedes Buches nicht den vollständigen Wortlaut von Artikel XV.90 Nr. 20 wiedergeben.]</w:t>
      </w:r>
    </w:p>
    <w:p w14:paraId="28014A62" w14:textId="548F4D9E" w:rsidR="00AC5746" w:rsidRPr="004676F5" w:rsidRDefault="00AC5746" w:rsidP="003D32B7">
      <w:pPr>
        <w:jc w:val="both"/>
        <w:rPr>
          <w:lang w:val="de-DE"/>
        </w:rPr>
      </w:pPr>
    </w:p>
    <w:p w14:paraId="18A19332" w14:textId="1108E7FE" w:rsidR="00AC5746" w:rsidRPr="004676F5" w:rsidRDefault="00AC5746" w:rsidP="003D32B7">
      <w:pPr>
        <w:jc w:val="both"/>
        <w:rPr>
          <w:i/>
          <w:lang w:val="de-DE"/>
        </w:rPr>
      </w:pPr>
      <w:r w:rsidRPr="004676F5">
        <w:rPr>
          <w:i/>
          <w:lang w:val="de-DE"/>
        </w:rPr>
        <w:t>[Art. XV.91/1 eingefügt durch Art. 208 des G. vom 15. April 2018 (B.S. vom 27. April 2018)]</w:t>
      </w:r>
    </w:p>
    <w:p w14:paraId="3A6C0859" w14:textId="77777777" w:rsidR="003D32B7" w:rsidRPr="004676F5" w:rsidRDefault="003D32B7" w:rsidP="00EB6EE0">
      <w:pPr>
        <w:jc w:val="center"/>
        <w:rPr>
          <w:lang w:val="de-DE"/>
        </w:rPr>
      </w:pPr>
    </w:p>
    <w:p w14:paraId="5D892415" w14:textId="77777777" w:rsidR="003D32B7" w:rsidRPr="004676F5" w:rsidRDefault="003D32B7" w:rsidP="00EB6EE0">
      <w:pPr>
        <w:jc w:val="center"/>
        <w:rPr>
          <w:lang w:val="de-DE"/>
        </w:rPr>
      </w:pPr>
    </w:p>
    <w:p w14:paraId="713A2D17" w14:textId="77777777" w:rsidR="00BA2266" w:rsidRPr="004676F5" w:rsidRDefault="00EB6EE0" w:rsidP="00EB6EE0">
      <w:pPr>
        <w:jc w:val="center"/>
        <w:rPr>
          <w:lang w:val="de-DE"/>
        </w:rPr>
      </w:pPr>
      <w:r w:rsidRPr="004676F5">
        <w:rPr>
          <w:lang w:val="de-DE"/>
        </w:rPr>
        <w:t>(...)</w:t>
      </w:r>
    </w:p>
    <w:p w14:paraId="5FE0C809" w14:textId="77777777" w:rsidR="00D55C61" w:rsidRPr="004676F5" w:rsidRDefault="00D55C61" w:rsidP="00D55C61">
      <w:pPr>
        <w:rPr>
          <w:i/>
          <w:lang w:val="de-DE"/>
        </w:rPr>
      </w:pPr>
    </w:p>
    <w:p w14:paraId="4D66E4B3" w14:textId="77777777" w:rsidR="00D55C61" w:rsidRPr="004676F5" w:rsidRDefault="00D55C61" w:rsidP="00D55C61">
      <w:pPr>
        <w:rPr>
          <w:i/>
          <w:lang w:val="de-DE"/>
        </w:rPr>
      </w:pPr>
    </w:p>
    <w:p w14:paraId="7F608249" w14:textId="1620BF18" w:rsidR="00BA2266" w:rsidRPr="004676F5" w:rsidRDefault="00BA2266" w:rsidP="00D55C61">
      <w:pPr>
        <w:jc w:val="center"/>
        <w:rPr>
          <w:lang w:val="de-DE"/>
        </w:rPr>
      </w:pPr>
      <w:r w:rsidRPr="004676F5">
        <w:rPr>
          <w:i/>
          <w:lang w:val="de-DE"/>
        </w:rPr>
        <w:t>Abschnitt 6 </w:t>
      </w:r>
      <w:r w:rsidR="005B7A5C" w:rsidRPr="004676F5">
        <w:rPr>
          <w:i/>
          <w:lang w:val="de-DE"/>
        </w:rPr>
        <w:t>- </w:t>
      </w:r>
      <w:r w:rsidRPr="004676F5">
        <w:rPr>
          <w:lang w:val="de-DE"/>
        </w:rPr>
        <w:t>Strafen in Bezug auf Verstöße gegen Buch VIII</w:t>
      </w:r>
    </w:p>
    <w:p w14:paraId="347333DD" w14:textId="77777777" w:rsidR="00BA2266" w:rsidRPr="004676F5" w:rsidRDefault="00BA2266" w:rsidP="00BA2266">
      <w:pPr>
        <w:jc w:val="both"/>
        <w:rPr>
          <w:lang w:val="de-DE"/>
        </w:rPr>
      </w:pPr>
    </w:p>
    <w:p w14:paraId="42997D2D" w14:textId="77777777" w:rsidR="00EB6EE0" w:rsidRPr="004676F5" w:rsidRDefault="00EB6EE0" w:rsidP="00BA2266">
      <w:pPr>
        <w:jc w:val="both"/>
        <w:rPr>
          <w:lang w:val="de-DE"/>
        </w:rPr>
      </w:pPr>
    </w:p>
    <w:p w14:paraId="156403AA" w14:textId="18408366" w:rsidR="00BA2266" w:rsidRPr="004676F5" w:rsidRDefault="00BE0A56" w:rsidP="00BA2266">
      <w:pPr>
        <w:ind w:firstLine="708"/>
        <w:jc w:val="both"/>
        <w:rPr>
          <w:lang w:val="de-DE"/>
        </w:rPr>
      </w:pPr>
      <w:r w:rsidRPr="004676F5">
        <w:rPr>
          <w:b/>
          <w:lang w:val="de-DE"/>
        </w:rPr>
        <w:t>Art. </w:t>
      </w:r>
      <w:r w:rsidR="00BA2266" w:rsidRPr="004676F5">
        <w:rPr>
          <w:b/>
          <w:lang w:val="de-DE"/>
        </w:rPr>
        <w:t>XV.99</w:t>
      </w:r>
      <w:r w:rsidR="00BA2266" w:rsidRPr="004676F5">
        <w:rPr>
          <w:lang w:val="de-DE"/>
        </w:rPr>
        <w:t> </w:t>
      </w:r>
      <w:r w:rsidR="005B7A5C" w:rsidRPr="004676F5">
        <w:rPr>
          <w:lang w:val="de-DE"/>
        </w:rPr>
        <w:t>- </w:t>
      </w:r>
      <w:r w:rsidR="00BA2266" w:rsidRPr="004676F5">
        <w:rPr>
          <w:lang w:val="de-DE"/>
        </w:rPr>
        <w:t>Mit einer Sanktion der Stufe 2 wird bestraft:</w:t>
      </w:r>
    </w:p>
    <w:p w14:paraId="38ED3BD8" w14:textId="77777777" w:rsidR="00BA2266" w:rsidRPr="004676F5" w:rsidRDefault="00BA2266" w:rsidP="00BA2266">
      <w:pPr>
        <w:jc w:val="both"/>
        <w:rPr>
          <w:lang w:val="de-DE"/>
        </w:rPr>
      </w:pPr>
    </w:p>
    <w:p w14:paraId="001D91F5" w14:textId="77777777" w:rsidR="00BA2266" w:rsidRPr="004676F5" w:rsidRDefault="00BA2266" w:rsidP="00BA2266">
      <w:pPr>
        <w:ind w:firstLine="708"/>
        <w:jc w:val="both"/>
        <w:rPr>
          <w:lang w:val="de-DE"/>
        </w:rPr>
      </w:pPr>
      <w:r w:rsidRPr="004676F5">
        <w:rPr>
          <w:lang w:val="de-DE"/>
        </w:rPr>
        <w:t>1. wer durch betrügerische Machenschaften von einer aufgrund von Buch VIII Titel 2 akkreditierten Stelle eine Urkunde beziehungsweise einen Konformitätsbewertungsbericht erhält oder zu erhalten versucht,</w:t>
      </w:r>
    </w:p>
    <w:p w14:paraId="0975183C" w14:textId="77777777" w:rsidR="00BA2266" w:rsidRPr="004676F5" w:rsidRDefault="00BA2266" w:rsidP="00BA2266">
      <w:pPr>
        <w:jc w:val="both"/>
        <w:rPr>
          <w:lang w:val="de-DE"/>
        </w:rPr>
      </w:pPr>
    </w:p>
    <w:p w14:paraId="6C2F5A10" w14:textId="77777777" w:rsidR="00BA2266" w:rsidRPr="004676F5" w:rsidRDefault="00BA2266" w:rsidP="00BA2266">
      <w:pPr>
        <w:ind w:firstLine="708"/>
        <w:jc w:val="both"/>
        <w:rPr>
          <w:lang w:val="de-DE"/>
        </w:rPr>
      </w:pPr>
      <w:r w:rsidRPr="004676F5">
        <w:rPr>
          <w:lang w:val="de-DE"/>
        </w:rPr>
        <w:t>2. wer unter Verstoß gegen die Bestimmungen von Buch VIII Titel 2 oder seiner Ausführungserlasse eine Urkunde beziehungsweise einen Konformitätsbewertungsbericht ausstellt,</w:t>
      </w:r>
    </w:p>
    <w:p w14:paraId="6F9EFCBB" w14:textId="77777777" w:rsidR="00BA2266" w:rsidRPr="004676F5" w:rsidRDefault="00BA2266" w:rsidP="00BA2266">
      <w:pPr>
        <w:jc w:val="both"/>
        <w:rPr>
          <w:lang w:val="de-DE"/>
        </w:rPr>
      </w:pPr>
    </w:p>
    <w:p w14:paraId="41527643" w14:textId="77777777" w:rsidR="00BA2266" w:rsidRPr="004676F5" w:rsidRDefault="00BA2266" w:rsidP="00BA2266">
      <w:pPr>
        <w:ind w:firstLine="708"/>
        <w:jc w:val="both"/>
        <w:rPr>
          <w:lang w:val="de-DE"/>
        </w:rPr>
      </w:pPr>
      <w:r w:rsidRPr="004676F5">
        <w:rPr>
          <w:lang w:val="de-DE"/>
        </w:rPr>
        <w:t>3. wer unter Verstoß gegen die Bestimmungen von Buch VIII Titel 2 oder seiner Ausführungserlasse eine Urkunde beziehungsweise einen Konformitätsbewertungsbericht verwendet oder zu verwenden versucht,</w:t>
      </w:r>
    </w:p>
    <w:p w14:paraId="138FCA93" w14:textId="77777777" w:rsidR="00BA2266" w:rsidRPr="004676F5" w:rsidRDefault="00BA2266" w:rsidP="00BA2266">
      <w:pPr>
        <w:jc w:val="both"/>
        <w:rPr>
          <w:lang w:val="de-DE"/>
        </w:rPr>
      </w:pPr>
    </w:p>
    <w:p w14:paraId="0E5B21E7" w14:textId="77777777" w:rsidR="00BA2266" w:rsidRPr="004676F5" w:rsidRDefault="00BA2266" w:rsidP="00BA2266">
      <w:pPr>
        <w:ind w:firstLine="708"/>
        <w:jc w:val="both"/>
        <w:rPr>
          <w:lang w:val="de-DE"/>
        </w:rPr>
      </w:pPr>
      <w:r w:rsidRPr="004676F5">
        <w:rPr>
          <w:lang w:val="de-DE"/>
        </w:rPr>
        <w:t>4. wer durch betrügerische Machenschaften, insbesondere durch Vergehen, die zu Verwechslungen führen können, den falschen Eindruck erweckt, dass für ein Produkt, eine Dienstleistung oder ein Verfahren von einer aufgrund von Buch VIII Titel 2 akkreditierten Stelle eine Urkunde oder ein Konformitätsbewertungsbericht ausgestellt worden ist.</w:t>
      </w:r>
    </w:p>
    <w:p w14:paraId="59304CBE" w14:textId="77777777" w:rsidR="00BA2266" w:rsidRPr="004676F5" w:rsidRDefault="00BA2266" w:rsidP="00BA2266">
      <w:pPr>
        <w:jc w:val="both"/>
        <w:rPr>
          <w:lang w:val="de-DE"/>
        </w:rPr>
      </w:pPr>
    </w:p>
    <w:p w14:paraId="7324EF1C" w14:textId="77777777" w:rsidR="00CD1D4A" w:rsidRPr="004676F5" w:rsidRDefault="00CD1D4A" w:rsidP="00BA2266">
      <w:pPr>
        <w:jc w:val="both"/>
        <w:rPr>
          <w:lang w:val="de-DE"/>
        </w:rPr>
      </w:pPr>
    </w:p>
    <w:p w14:paraId="6C41C467" w14:textId="09CFA3A6" w:rsidR="00CD1D4A" w:rsidRPr="004676F5" w:rsidRDefault="00CD1D4A" w:rsidP="00CD1D4A">
      <w:pPr>
        <w:jc w:val="both"/>
        <w:rPr>
          <w:lang w:val="de-DE"/>
        </w:rPr>
      </w:pPr>
      <w:r w:rsidRPr="004676F5">
        <w:rPr>
          <w:lang w:val="de-DE"/>
        </w:rPr>
        <w:tab/>
        <w:t>[</w:t>
      </w:r>
      <w:r w:rsidRPr="004676F5">
        <w:rPr>
          <w:b/>
          <w:bCs/>
          <w:lang w:val="de-DE"/>
        </w:rPr>
        <w:t>Art. XV.99/1</w:t>
      </w:r>
      <w:r w:rsidRPr="004676F5">
        <w:rPr>
          <w:lang w:val="de-DE"/>
        </w:rPr>
        <w:t> - Mit einer Sanktion der Stufe 2 wird bestraft, wer gegen die Erlasse zur Ausführung von Artikel VIII.57 verstößt.</w:t>
      </w:r>
    </w:p>
    <w:p w14:paraId="32189D1A" w14:textId="77777777" w:rsidR="00CD1D4A" w:rsidRPr="004676F5" w:rsidRDefault="00CD1D4A" w:rsidP="00CD1D4A">
      <w:pPr>
        <w:jc w:val="both"/>
        <w:rPr>
          <w:lang w:val="de-DE"/>
        </w:rPr>
      </w:pPr>
    </w:p>
    <w:p w14:paraId="7808AA59" w14:textId="4C53CA4A" w:rsidR="00CD1D4A" w:rsidRPr="004676F5" w:rsidRDefault="00CD1D4A" w:rsidP="00CD1D4A">
      <w:pPr>
        <w:jc w:val="both"/>
        <w:rPr>
          <w:lang w:val="de-DE"/>
        </w:rPr>
      </w:pPr>
      <w:r w:rsidRPr="004676F5">
        <w:rPr>
          <w:lang w:val="de-DE"/>
        </w:rPr>
        <w:tab/>
        <w:t>Mit einer Sanktion der Stufe 3 wird bestraft, wer bösgläubig gegen die Erlasse zur Ausführung von Artikel VIII.57 verstößt.]</w:t>
      </w:r>
    </w:p>
    <w:p w14:paraId="7FF919CA" w14:textId="77777777" w:rsidR="00CD1D4A" w:rsidRPr="004676F5" w:rsidRDefault="00CD1D4A" w:rsidP="00CD1D4A">
      <w:pPr>
        <w:jc w:val="both"/>
        <w:rPr>
          <w:lang w:val="de-DE"/>
        </w:rPr>
      </w:pPr>
    </w:p>
    <w:p w14:paraId="017679D6" w14:textId="0BF957F0" w:rsidR="00CD1D4A" w:rsidRPr="004676F5" w:rsidRDefault="00CD1D4A" w:rsidP="00CD1D4A">
      <w:pPr>
        <w:jc w:val="both"/>
        <w:rPr>
          <w:i/>
          <w:iCs/>
          <w:lang w:val="de-DE"/>
        </w:rPr>
      </w:pPr>
      <w:r w:rsidRPr="004676F5">
        <w:rPr>
          <w:i/>
          <w:iCs/>
          <w:lang w:val="de-DE"/>
        </w:rPr>
        <w:t>[Art. XV.99/1 eingefügt durch Art. 32</w:t>
      </w:r>
      <w:r w:rsidRPr="004676F5">
        <w:rPr>
          <w:bCs/>
          <w:i/>
          <w:iCs/>
          <w:lang w:val="de-DE"/>
        </w:rPr>
        <w:t xml:space="preserve"> des G. vom 5. November 2023</w:t>
      </w:r>
      <w:r w:rsidR="00AA0B2E" w:rsidRPr="004676F5">
        <w:rPr>
          <w:bCs/>
          <w:i/>
          <w:iCs/>
          <w:lang w:val="de-DE"/>
        </w:rPr>
        <w:t> (II)</w:t>
      </w:r>
      <w:r w:rsidRPr="004676F5">
        <w:rPr>
          <w:bCs/>
          <w:i/>
          <w:iCs/>
          <w:lang w:val="de-DE"/>
        </w:rPr>
        <w:t xml:space="preserve"> (B.S. vom 28. November 2023)]</w:t>
      </w:r>
    </w:p>
    <w:p w14:paraId="6F8A7995" w14:textId="77777777" w:rsidR="00CD1D4A" w:rsidRPr="004676F5" w:rsidRDefault="00CD1D4A" w:rsidP="00CD1D4A">
      <w:pPr>
        <w:jc w:val="both"/>
        <w:rPr>
          <w:lang w:val="de-DE"/>
        </w:rPr>
      </w:pPr>
    </w:p>
    <w:p w14:paraId="2CFD0D36" w14:textId="77777777" w:rsidR="00EB6EE0" w:rsidRPr="004676F5" w:rsidRDefault="00EB6EE0" w:rsidP="00BA2266">
      <w:pPr>
        <w:jc w:val="both"/>
        <w:rPr>
          <w:lang w:val="de-DE"/>
        </w:rPr>
      </w:pPr>
    </w:p>
    <w:p w14:paraId="02F09196" w14:textId="328CB9AF" w:rsidR="00BA2266" w:rsidRPr="004676F5" w:rsidRDefault="00BE0A56" w:rsidP="00BA2266">
      <w:pPr>
        <w:ind w:firstLine="708"/>
        <w:jc w:val="both"/>
        <w:rPr>
          <w:lang w:val="de-DE"/>
        </w:rPr>
      </w:pPr>
      <w:r w:rsidRPr="004676F5">
        <w:rPr>
          <w:b/>
          <w:lang w:val="de-DE"/>
        </w:rPr>
        <w:t>Art. </w:t>
      </w:r>
      <w:r w:rsidR="00BA2266" w:rsidRPr="004676F5">
        <w:rPr>
          <w:b/>
          <w:lang w:val="de-DE"/>
        </w:rPr>
        <w:t>XV.100</w:t>
      </w:r>
      <w:r w:rsidR="00BA2266" w:rsidRPr="004676F5">
        <w:rPr>
          <w:lang w:val="de-DE"/>
        </w:rPr>
        <w:t> </w:t>
      </w:r>
      <w:r w:rsidR="005B7A5C" w:rsidRPr="004676F5">
        <w:rPr>
          <w:lang w:val="de-DE"/>
        </w:rPr>
        <w:t>- </w:t>
      </w:r>
      <w:r w:rsidR="00BA2266" w:rsidRPr="004676F5">
        <w:rPr>
          <w:lang w:val="de-DE"/>
        </w:rPr>
        <w:t>Unbeschadet der eventuellen Anwendung der im Strafgesetzbuch vorgesehenen Strafen, unter anderem in Artikel 184 in Bezug auf die Nachahmung von Marken, wird mit einer Sanktion der Stufe 2 bestraft:</w:t>
      </w:r>
    </w:p>
    <w:p w14:paraId="620DC71C" w14:textId="77777777" w:rsidR="00BA2266" w:rsidRPr="004676F5" w:rsidRDefault="00BA2266" w:rsidP="00BA2266">
      <w:pPr>
        <w:jc w:val="both"/>
        <w:rPr>
          <w:lang w:val="de-DE"/>
        </w:rPr>
      </w:pPr>
    </w:p>
    <w:p w14:paraId="459C700A" w14:textId="77777777" w:rsidR="00BA2266" w:rsidRPr="004676F5" w:rsidRDefault="00BA2266" w:rsidP="00BA2266">
      <w:pPr>
        <w:ind w:firstLine="708"/>
        <w:jc w:val="both"/>
        <w:rPr>
          <w:lang w:val="de-DE"/>
        </w:rPr>
      </w:pPr>
      <w:r w:rsidRPr="004676F5">
        <w:rPr>
          <w:lang w:val="de-DE"/>
        </w:rPr>
        <w:t>1. wer gegen die Bestimmungen von Buch VIII Titel 3 oder seiner Ausführungserlasse oder -verordnungen und gegen die Bedingungen, an die die aufgrund von Artikel VIII.56 gewährten Abweichungen gebunden sind, verstößt,</w:t>
      </w:r>
    </w:p>
    <w:p w14:paraId="1D830B92" w14:textId="77777777" w:rsidR="00BA2266" w:rsidRPr="004676F5" w:rsidRDefault="00BA2266" w:rsidP="00BA2266">
      <w:pPr>
        <w:jc w:val="both"/>
        <w:rPr>
          <w:lang w:val="de-DE"/>
        </w:rPr>
      </w:pPr>
    </w:p>
    <w:p w14:paraId="475FB502" w14:textId="77777777" w:rsidR="00BA2266" w:rsidRPr="004676F5" w:rsidRDefault="00BA2266" w:rsidP="00BA2266">
      <w:pPr>
        <w:ind w:firstLine="708"/>
        <w:jc w:val="both"/>
        <w:rPr>
          <w:lang w:val="de-DE"/>
        </w:rPr>
      </w:pPr>
      <w:r w:rsidRPr="004676F5">
        <w:rPr>
          <w:lang w:val="de-DE"/>
        </w:rPr>
        <w:t>2. wer in den in Artikel VIII.45 bestimmten Orten offensichtlich fehlerhafte Mess</w:t>
      </w:r>
      <w:r w:rsidRPr="004676F5">
        <w:rPr>
          <w:lang w:val="de-DE"/>
        </w:rPr>
        <w:softHyphen/>
        <w:t>instrumente besitzt oder verwendet,</w:t>
      </w:r>
    </w:p>
    <w:p w14:paraId="3DAFE6D1" w14:textId="77777777" w:rsidR="00BA2266" w:rsidRPr="004676F5" w:rsidRDefault="00BA2266" w:rsidP="00BA2266">
      <w:pPr>
        <w:jc w:val="both"/>
        <w:rPr>
          <w:lang w:val="de-DE"/>
        </w:rPr>
      </w:pPr>
    </w:p>
    <w:p w14:paraId="2036B8A5" w14:textId="77777777" w:rsidR="00BA2266" w:rsidRPr="004676F5" w:rsidRDefault="00BA2266" w:rsidP="00BA2266">
      <w:pPr>
        <w:ind w:firstLine="708"/>
        <w:jc w:val="both"/>
        <w:rPr>
          <w:lang w:val="de-DE"/>
        </w:rPr>
      </w:pPr>
      <w:r w:rsidRPr="004676F5">
        <w:rPr>
          <w:lang w:val="de-DE"/>
        </w:rPr>
        <w:lastRenderedPageBreak/>
        <w:t>3. wer in seinen Aktivitäten unrechtmäßig auf das in Artikel VIII.55 § 4 Nr. 2 erwähnte Netz verweist.</w:t>
      </w:r>
    </w:p>
    <w:p w14:paraId="6E5647D0" w14:textId="77777777" w:rsidR="00BA2266" w:rsidRPr="004676F5" w:rsidRDefault="00BA2266" w:rsidP="00BA2266">
      <w:pPr>
        <w:jc w:val="both"/>
        <w:rPr>
          <w:lang w:val="de-DE"/>
        </w:rPr>
      </w:pPr>
    </w:p>
    <w:p w14:paraId="7F0DE767" w14:textId="77777777" w:rsidR="00EB6EE0" w:rsidRPr="004676F5" w:rsidRDefault="00EB6EE0" w:rsidP="00BA2266">
      <w:pPr>
        <w:jc w:val="both"/>
        <w:rPr>
          <w:lang w:val="de-DE"/>
        </w:rPr>
      </w:pPr>
    </w:p>
    <w:p w14:paraId="53734989" w14:textId="000AD6CF" w:rsidR="00BA2266" w:rsidRPr="004676F5" w:rsidRDefault="00BA2266" w:rsidP="00BA2266">
      <w:pPr>
        <w:jc w:val="both"/>
        <w:rPr>
          <w:lang w:val="de-DE"/>
        </w:rPr>
      </w:pPr>
      <w:r w:rsidRPr="004676F5">
        <w:rPr>
          <w:lang w:val="de-DE"/>
        </w:rPr>
        <w:tab/>
      </w:r>
      <w:r w:rsidR="00BE0A56" w:rsidRPr="004676F5">
        <w:rPr>
          <w:b/>
          <w:lang w:val="de-DE"/>
        </w:rPr>
        <w:t>Art. </w:t>
      </w:r>
      <w:r w:rsidRPr="004676F5">
        <w:rPr>
          <w:b/>
          <w:lang w:val="de-DE"/>
        </w:rPr>
        <w:t>XV.101</w:t>
      </w:r>
      <w:r w:rsidRPr="004676F5">
        <w:rPr>
          <w:lang w:val="de-DE"/>
        </w:rPr>
        <w:t> </w:t>
      </w:r>
      <w:r w:rsidR="005B7A5C" w:rsidRPr="004676F5">
        <w:rPr>
          <w:lang w:val="de-DE"/>
        </w:rPr>
        <w:t>- </w:t>
      </w:r>
      <w:r w:rsidRPr="004676F5">
        <w:rPr>
          <w:lang w:val="de-DE"/>
        </w:rPr>
        <w:t>Unbeschadet der Anwendung der Regeln mit Bezug auf Sicherstellung und Einziehung dürfen Messinstrumente, deren Besitz oder Gebrauch Verstöße gegen Bestimmungen von Buch VIII Titel 3 oder seiner Ausführungserlasse oder -verordnungen darstellen, zerstört werden.</w:t>
      </w:r>
    </w:p>
    <w:p w14:paraId="08D8F500" w14:textId="77777777" w:rsidR="00BA2266" w:rsidRPr="004676F5" w:rsidRDefault="00BA2266" w:rsidP="00BA2266">
      <w:pPr>
        <w:jc w:val="both"/>
        <w:rPr>
          <w:lang w:val="de-DE"/>
        </w:rPr>
      </w:pPr>
    </w:p>
    <w:p w14:paraId="11457F1C" w14:textId="77777777" w:rsidR="00CD1D4A" w:rsidRPr="004676F5" w:rsidRDefault="00CD1D4A" w:rsidP="00BA2266">
      <w:pPr>
        <w:jc w:val="both"/>
        <w:rPr>
          <w:lang w:val="de-DE"/>
        </w:rPr>
      </w:pPr>
    </w:p>
    <w:p w14:paraId="6EF35ECB" w14:textId="77777777" w:rsidR="00CD1D4A" w:rsidRPr="004676F5" w:rsidRDefault="00CD1D4A" w:rsidP="00CD1D4A">
      <w:pPr>
        <w:jc w:val="both"/>
        <w:rPr>
          <w:lang w:val="de-DE"/>
        </w:rPr>
      </w:pPr>
      <w:r w:rsidRPr="004676F5">
        <w:rPr>
          <w:lang w:val="de-DE"/>
        </w:rPr>
        <w:tab/>
        <w:t>[</w:t>
      </w:r>
      <w:r w:rsidRPr="004676F5">
        <w:rPr>
          <w:b/>
          <w:bCs/>
          <w:lang w:val="de-DE"/>
        </w:rPr>
        <w:t>Art. XV.101/1</w:t>
      </w:r>
      <w:r w:rsidRPr="004676F5">
        <w:rPr>
          <w:lang w:val="de-DE"/>
        </w:rPr>
        <w:t> - Mit einer Sanktion der Stufe 2 wird bestraft, wer gegen die Artikel VIII.59 bis VIII.62 verstößt.</w:t>
      </w:r>
    </w:p>
    <w:p w14:paraId="098890FA" w14:textId="77777777" w:rsidR="00CD1D4A" w:rsidRPr="004676F5" w:rsidRDefault="00CD1D4A" w:rsidP="00CD1D4A">
      <w:pPr>
        <w:jc w:val="both"/>
        <w:rPr>
          <w:lang w:val="de-DE"/>
        </w:rPr>
      </w:pPr>
    </w:p>
    <w:p w14:paraId="133E4719" w14:textId="7491449E" w:rsidR="00CD1D4A" w:rsidRPr="004676F5" w:rsidRDefault="00CD1D4A" w:rsidP="00CD1D4A">
      <w:pPr>
        <w:jc w:val="both"/>
        <w:rPr>
          <w:lang w:val="de-DE"/>
        </w:rPr>
      </w:pPr>
      <w:r w:rsidRPr="004676F5">
        <w:rPr>
          <w:lang w:val="de-DE"/>
        </w:rPr>
        <w:tab/>
        <w:t>Mit einer Sanktion der Stufe 3 wird bestraft, wer bösgläubig gegen die Bestimmungen der Artikel VIII.59 bis VIII.62 verstößt.]</w:t>
      </w:r>
    </w:p>
    <w:p w14:paraId="683C5BBA" w14:textId="77777777" w:rsidR="00CD1D4A" w:rsidRPr="004676F5" w:rsidRDefault="00CD1D4A" w:rsidP="00CD1D4A">
      <w:pPr>
        <w:jc w:val="both"/>
        <w:rPr>
          <w:lang w:val="de-DE"/>
        </w:rPr>
      </w:pPr>
    </w:p>
    <w:p w14:paraId="10A5B6B0" w14:textId="6213AC6B" w:rsidR="00CD1D4A" w:rsidRPr="004676F5" w:rsidRDefault="00CD1D4A" w:rsidP="00CD1D4A">
      <w:pPr>
        <w:jc w:val="both"/>
        <w:rPr>
          <w:i/>
          <w:iCs/>
          <w:lang w:val="de-DE"/>
        </w:rPr>
      </w:pPr>
      <w:r w:rsidRPr="004676F5">
        <w:rPr>
          <w:i/>
          <w:iCs/>
          <w:lang w:val="de-DE"/>
        </w:rPr>
        <w:t>[Art. XV.101/1 eingefügt durch Art. 33</w:t>
      </w:r>
      <w:r w:rsidRPr="004676F5">
        <w:rPr>
          <w:bCs/>
          <w:i/>
          <w:iCs/>
          <w:lang w:val="de-DE"/>
        </w:rPr>
        <w:t xml:space="preserve"> des G. vom 5. November 2023</w:t>
      </w:r>
      <w:r w:rsidR="00AA0B2E" w:rsidRPr="004676F5">
        <w:rPr>
          <w:bCs/>
          <w:i/>
          <w:iCs/>
          <w:lang w:val="de-DE"/>
        </w:rPr>
        <w:t> (II)</w:t>
      </w:r>
      <w:r w:rsidRPr="004676F5">
        <w:rPr>
          <w:bCs/>
          <w:i/>
          <w:iCs/>
          <w:lang w:val="de-DE"/>
        </w:rPr>
        <w:t xml:space="preserve"> (B.S. vom 28. November 2023)]</w:t>
      </w:r>
    </w:p>
    <w:p w14:paraId="506BD041" w14:textId="77777777" w:rsidR="00CD1D4A" w:rsidRPr="004676F5" w:rsidRDefault="00CD1D4A" w:rsidP="00CD1D4A">
      <w:pPr>
        <w:jc w:val="both"/>
        <w:rPr>
          <w:lang w:val="de-DE"/>
        </w:rPr>
      </w:pPr>
    </w:p>
    <w:p w14:paraId="063BA784" w14:textId="77777777" w:rsidR="00EB6EE0" w:rsidRPr="004676F5" w:rsidRDefault="00EB6EE0" w:rsidP="00BA2266">
      <w:pPr>
        <w:jc w:val="both"/>
        <w:rPr>
          <w:lang w:val="de-DE"/>
        </w:rPr>
      </w:pPr>
    </w:p>
    <w:p w14:paraId="3996345E" w14:textId="2A4017DE" w:rsidR="00BA2266" w:rsidRPr="004676F5" w:rsidRDefault="00BA2266" w:rsidP="00BA2266">
      <w:pPr>
        <w:jc w:val="center"/>
        <w:rPr>
          <w:lang w:val="de-DE"/>
        </w:rPr>
      </w:pPr>
      <w:r w:rsidRPr="004676F5">
        <w:rPr>
          <w:i/>
          <w:lang w:val="de-DE"/>
        </w:rPr>
        <w:t>Abschnitt 7 </w:t>
      </w:r>
      <w:r w:rsidR="005B7A5C" w:rsidRPr="004676F5">
        <w:rPr>
          <w:i/>
          <w:lang w:val="de-DE"/>
        </w:rPr>
        <w:t>- </w:t>
      </w:r>
      <w:r w:rsidRPr="004676F5">
        <w:rPr>
          <w:lang w:val="de-DE"/>
        </w:rPr>
        <w:t>Strafen in Bezug auf Verstöße gegen Buch IX</w:t>
      </w:r>
    </w:p>
    <w:p w14:paraId="5263C394" w14:textId="77777777" w:rsidR="00BA2266" w:rsidRPr="004676F5" w:rsidRDefault="00BA2266" w:rsidP="00BA2266">
      <w:pPr>
        <w:jc w:val="both"/>
        <w:rPr>
          <w:lang w:val="de-DE"/>
        </w:rPr>
      </w:pPr>
    </w:p>
    <w:p w14:paraId="5852DEE7" w14:textId="77777777" w:rsidR="00EB6EE0" w:rsidRPr="004676F5" w:rsidRDefault="00EB6EE0" w:rsidP="00BA2266">
      <w:pPr>
        <w:jc w:val="both"/>
        <w:rPr>
          <w:lang w:val="de-DE"/>
        </w:rPr>
      </w:pPr>
    </w:p>
    <w:p w14:paraId="7E3E3176" w14:textId="16A20C85" w:rsidR="00BA2266" w:rsidRPr="004676F5" w:rsidRDefault="00BE0A56" w:rsidP="00BA2266">
      <w:pPr>
        <w:ind w:firstLine="708"/>
        <w:jc w:val="both"/>
        <w:rPr>
          <w:lang w:val="de-DE"/>
        </w:rPr>
      </w:pPr>
      <w:r w:rsidRPr="004676F5">
        <w:rPr>
          <w:b/>
          <w:lang w:val="de-DE"/>
        </w:rPr>
        <w:t>Art. </w:t>
      </w:r>
      <w:r w:rsidR="00BA2266" w:rsidRPr="004676F5">
        <w:rPr>
          <w:b/>
          <w:lang w:val="de-DE"/>
        </w:rPr>
        <w:t>XV.102</w:t>
      </w:r>
      <w:r w:rsidR="00BA2266" w:rsidRPr="004676F5">
        <w:rPr>
          <w:lang w:val="de-DE"/>
        </w:rPr>
        <w:t> </w:t>
      </w:r>
      <w:r w:rsidR="005B7A5C" w:rsidRPr="004676F5">
        <w:rPr>
          <w:lang w:val="de-DE"/>
        </w:rPr>
        <w:t>- </w:t>
      </w:r>
      <w:r w:rsidR="00BA2266" w:rsidRPr="004676F5">
        <w:rPr>
          <w:lang w:val="de-DE"/>
        </w:rPr>
        <w:t>§ 1 </w:t>
      </w:r>
      <w:r w:rsidR="005B7A5C" w:rsidRPr="004676F5">
        <w:rPr>
          <w:lang w:val="de-DE"/>
        </w:rPr>
        <w:t>- </w:t>
      </w:r>
      <w:r w:rsidR="00BA2266" w:rsidRPr="004676F5">
        <w:rPr>
          <w:lang w:val="de-DE"/>
        </w:rPr>
        <w:t>Mit einer Sanktion der Stufe 2 wird bestraft, wer gegen Artikel</w:t>
      </w:r>
      <w:r w:rsidR="00EB6EE0" w:rsidRPr="004676F5">
        <w:rPr>
          <w:lang w:val="de-DE"/>
        </w:rPr>
        <w:t> </w:t>
      </w:r>
      <w:r w:rsidR="00BA2266" w:rsidRPr="004676F5">
        <w:rPr>
          <w:lang w:val="de-DE"/>
        </w:rPr>
        <w:t>IX.9 verstößt.</w:t>
      </w:r>
    </w:p>
    <w:p w14:paraId="32FC6B23" w14:textId="77777777" w:rsidR="00BA2266" w:rsidRPr="004676F5" w:rsidRDefault="00BA2266" w:rsidP="00BA2266">
      <w:pPr>
        <w:jc w:val="both"/>
        <w:rPr>
          <w:lang w:val="de-DE"/>
        </w:rPr>
      </w:pPr>
    </w:p>
    <w:p w14:paraId="18A6ED84" w14:textId="2B2B3919" w:rsidR="00BA2266" w:rsidRPr="004676F5" w:rsidRDefault="00BA2266" w:rsidP="00BA2266">
      <w:pPr>
        <w:ind w:firstLine="708"/>
        <w:jc w:val="both"/>
        <w:rPr>
          <w:lang w:val="de-DE"/>
        </w:rPr>
      </w:pPr>
      <w:r w:rsidRPr="004676F5">
        <w:rPr>
          <w:lang w:val="de-DE"/>
        </w:rPr>
        <w:t>§ 2 </w:t>
      </w:r>
      <w:r w:rsidR="005B7A5C" w:rsidRPr="004676F5">
        <w:rPr>
          <w:lang w:val="de-DE"/>
        </w:rPr>
        <w:t>- </w:t>
      </w:r>
      <w:r w:rsidRPr="004676F5">
        <w:rPr>
          <w:lang w:val="de-DE"/>
        </w:rPr>
        <w:t>Mit einer Sanktion der Stufe 3 wird bestraft:</w:t>
      </w:r>
    </w:p>
    <w:p w14:paraId="56F2A596" w14:textId="77777777" w:rsidR="00BA2266" w:rsidRPr="004676F5" w:rsidRDefault="00BA2266" w:rsidP="00BA2266">
      <w:pPr>
        <w:jc w:val="both"/>
        <w:rPr>
          <w:lang w:val="de-DE"/>
        </w:rPr>
      </w:pPr>
    </w:p>
    <w:p w14:paraId="35C75405" w14:textId="77777777" w:rsidR="00BA2266" w:rsidRPr="004676F5" w:rsidRDefault="00BA2266" w:rsidP="00BA2266">
      <w:pPr>
        <w:ind w:firstLine="708"/>
        <w:jc w:val="both"/>
        <w:rPr>
          <w:lang w:val="de-DE"/>
        </w:rPr>
      </w:pPr>
      <w:r w:rsidRPr="004676F5">
        <w:rPr>
          <w:lang w:val="de-DE"/>
        </w:rPr>
        <w:t>1. wer Produkte auf den Markt bringt, in Bezug auf die er aufgrund der europäischen oder belgischen Normen weiß oder hätte wissen müssen, dass sie die in Artikel IX.2 erwähnten Garantien in Bezug auf Sicherheit und Gesundheitsschutz nicht bieten,</w:t>
      </w:r>
    </w:p>
    <w:p w14:paraId="3AEF0634" w14:textId="77777777" w:rsidR="00BA2266" w:rsidRPr="004676F5" w:rsidRDefault="00BA2266" w:rsidP="00BA2266">
      <w:pPr>
        <w:ind w:firstLine="708"/>
        <w:jc w:val="both"/>
        <w:rPr>
          <w:lang w:val="de-DE"/>
        </w:rPr>
      </w:pPr>
    </w:p>
    <w:p w14:paraId="7ECDD02E" w14:textId="77777777" w:rsidR="00BA2266" w:rsidRPr="004676F5" w:rsidRDefault="00BA2266" w:rsidP="00BA2266">
      <w:pPr>
        <w:ind w:firstLine="708"/>
        <w:jc w:val="both"/>
        <w:rPr>
          <w:lang w:val="de-DE"/>
        </w:rPr>
      </w:pPr>
      <w:r w:rsidRPr="004676F5">
        <w:rPr>
          <w:lang w:val="de-DE"/>
        </w:rPr>
        <w:t>2. wer gegen Artikel IX.8 verstößt,</w:t>
      </w:r>
    </w:p>
    <w:p w14:paraId="38B86601" w14:textId="77777777" w:rsidR="00BA2266" w:rsidRPr="004676F5" w:rsidRDefault="00BA2266" w:rsidP="00BA2266">
      <w:pPr>
        <w:jc w:val="both"/>
        <w:rPr>
          <w:lang w:val="de-DE"/>
        </w:rPr>
      </w:pPr>
    </w:p>
    <w:p w14:paraId="152E006B" w14:textId="77777777" w:rsidR="00BA2266" w:rsidRPr="004676F5" w:rsidRDefault="00BA2266" w:rsidP="00BA2266">
      <w:pPr>
        <w:ind w:firstLine="708"/>
        <w:jc w:val="both"/>
        <w:rPr>
          <w:lang w:val="de-DE"/>
        </w:rPr>
      </w:pPr>
      <w:r w:rsidRPr="004676F5">
        <w:rPr>
          <w:lang w:val="de-DE"/>
        </w:rPr>
        <w:t>3. wer gegen die Artikel IX.4, IX.5, IX.6 und IX.7 oder einen Erlass zur Ausführung der Artikel IX.4 §§ 1 bis 3 und IX.5 §§ 1 und 2 verstößt,</w:t>
      </w:r>
    </w:p>
    <w:p w14:paraId="20D2CA5C" w14:textId="77777777" w:rsidR="00BA2266" w:rsidRPr="004676F5" w:rsidRDefault="00BA2266" w:rsidP="00BA2266">
      <w:pPr>
        <w:jc w:val="both"/>
        <w:rPr>
          <w:lang w:val="de-DE"/>
        </w:rPr>
      </w:pPr>
    </w:p>
    <w:p w14:paraId="51A9FBD2" w14:textId="77777777" w:rsidR="00BA2266" w:rsidRPr="004676F5" w:rsidRDefault="00BA2266" w:rsidP="00BA2266">
      <w:pPr>
        <w:ind w:firstLine="708"/>
        <w:jc w:val="both"/>
        <w:rPr>
          <w:lang w:val="de-DE"/>
        </w:rPr>
      </w:pPr>
      <w:r w:rsidRPr="004676F5">
        <w:rPr>
          <w:lang w:val="de-DE"/>
        </w:rPr>
        <w:t>4. wer den in Artikel XV.31 erwähnten Verwarnungen nicht Folge leistet,</w:t>
      </w:r>
    </w:p>
    <w:p w14:paraId="012E7D50" w14:textId="77777777" w:rsidR="00BA2266" w:rsidRPr="004676F5" w:rsidRDefault="00BA2266" w:rsidP="00BA2266">
      <w:pPr>
        <w:jc w:val="both"/>
        <w:rPr>
          <w:lang w:val="de-DE"/>
        </w:rPr>
      </w:pPr>
    </w:p>
    <w:p w14:paraId="498FC5E7" w14:textId="26FAD08A" w:rsidR="00536484" w:rsidRPr="004676F5" w:rsidRDefault="00BA2266" w:rsidP="00741332">
      <w:pPr>
        <w:ind w:firstLine="708"/>
        <w:jc w:val="both"/>
        <w:rPr>
          <w:lang w:val="de-DE"/>
        </w:rPr>
      </w:pPr>
      <w:r w:rsidRPr="004676F5">
        <w:rPr>
          <w:lang w:val="de-DE"/>
        </w:rPr>
        <w:t>5. wer gegen Verordnungen der Europäischen Union mit Bezug auf Angelegenheiten verstößt, die aufgrund von Buch IX der Verordnungsbefugnis des Königs unterliegen</w:t>
      </w:r>
      <w:r w:rsidR="00204FCB" w:rsidRPr="004676F5">
        <w:rPr>
          <w:lang w:val="de-DE"/>
        </w:rPr>
        <w:t>,</w:t>
      </w:r>
    </w:p>
    <w:p w14:paraId="64411BA6" w14:textId="77777777" w:rsidR="00204FCB" w:rsidRPr="004676F5" w:rsidRDefault="00204FCB" w:rsidP="00741332">
      <w:pPr>
        <w:ind w:firstLine="708"/>
        <w:jc w:val="both"/>
        <w:rPr>
          <w:lang w:val="de-DE"/>
        </w:rPr>
      </w:pPr>
    </w:p>
    <w:p w14:paraId="006A0B5B" w14:textId="09E110E4" w:rsidR="00204FCB" w:rsidRPr="004676F5" w:rsidRDefault="00204FCB" w:rsidP="00741332">
      <w:pPr>
        <w:ind w:firstLine="708"/>
        <w:jc w:val="both"/>
        <w:rPr>
          <w:lang w:val="de-DE"/>
        </w:rPr>
      </w:pPr>
      <w:r w:rsidRPr="004676F5">
        <w:rPr>
          <w:lang w:val="de-DE"/>
        </w:rPr>
        <w:t>[6. eine beteiligte Einrichtung, die die Bestimmungen eines Erlasses zur Ausführung von Artikel IX.11 nicht einhält.]</w:t>
      </w:r>
    </w:p>
    <w:p w14:paraId="48261433" w14:textId="77777777" w:rsidR="00204FCB" w:rsidRPr="004676F5" w:rsidRDefault="00204FCB" w:rsidP="00204FCB">
      <w:pPr>
        <w:jc w:val="both"/>
        <w:rPr>
          <w:lang w:val="de-DE"/>
        </w:rPr>
      </w:pPr>
    </w:p>
    <w:p w14:paraId="2D4046EC" w14:textId="0BE0639F" w:rsidR="00204FCB" w:rsidRPr="004676F5" w:rsidRDefault="00204FCB" w:rsidP="00204FCB">
      <w:pPr>
        <w:jc w:val="both"/>
        <w:rPr>
          <w:i/>
          <w:iCs/>
          <w:lang w:val="de-DE"/>
        </w:rPr>
      </w:pPr>
      <w:r w:rsidRPr="004676F5">
        <w:rPr>
          <w:i/>
          <w:iCs/>
          <w:lang w:val="de-DE"/>
        </w:rPr>
        <w:t>[Art. XV.102 § 2 einziger Absatz Nr. 6 eingefügt durch Art. 35 Buchstabe b) des G. vom 25. September 2022 (B.S. vom 16. Januar 2023)]</w:t>
      </w:r>
    </w:p>
    <w:p w14:paraId="29DF42DD" w14:textId="77777777" w:rsidR="00741332" w:rsidRPr="004676F5" w:rsidRDefault="00741332" w:rsidP="00741332">
      <w:pPr>
        <w:ind w:firstLine="708"/>
        <w:jc w:val="both"/>
        <w:rPr>
          <w:lang w:val="de-DE"/>
        </w:rPr>
      </w:pPr>
    </w:p>
    <w:p w14:paraId="3E73D604" w14:textId="77777777" w:rsidR="00204FCB" w:rsidRPr="004676F5" w:rsidRDefault="00204FCB" w:rsidP="00921168">
      <w:pPr>
        <w:jc w:val="center"/>
        <w:rPr>
          <w:lang w:val="de-DE"/>
        </w:rPr>
      </w:pPr>
    </w:p>
    <w:p w14:paraId="67673741" w14:textId="77777777" w:rsidR="00746829" w:rsidRPr="004676F5" w:rsidRDefault="00746829">
      <w:pPr>
        <w:rPr>
          <w:lang w:val="de-DE"/>
        </w:rPr>
      </w:pPr>
      <w:r w:rsidRPr="004676F5">
        <w:rPr>
          <w:lang w:val="de-DE"/>
        </w:rPr>
        <w:br w:type="page"/>
      </w:r>
    </w:p>
    <w:p w14:paraId="2BA81B7E" w14:textId="77C54EA6" w:rsidR="006C363A" w:rsidRPr="004676F5" w:rsidRDefault="006C363A" w:rsidP="00921168">
      <w:pPr>
        <w:jc w:val="center"/>
        <w:rPr>
          <w:lang w:val="de-DE"/>
        </w:rPr>
      </w:pPr>
      <w:r w:rsidRPr="004676F5">
        <w:rPr>
          <w:lang w:val="de-DE"/>
        </w:rPr>
        <w:lastRenderedPageBreak/>
        <w:t>[</w:t>
      </w:r>
      <w:r w:rsidRPr="004676F5">
        <w:rPr>
          <w:i/>
          <w:lang w:val="de-DE"/>
        </w:rPr>
        <w:t>Abschnitt 8 </w:t>
      </w:r>
      <w:r w:rsidR="005B7A5C" w:rsidRPr="004676F5">
        <w:rPr>
          <w:lang w:val="de-DE"/>
        </w:rPr>
        <w:t>- </w:t>
      </w:r>
      <w:r w:rsidRPr="004676F5">
        <w:rPr>
          <w:lang w:val="de-DE"/>
        </w:rPr>
        <w:t>Strafen in Bezug auf Verstöße gegen Buch XI</w:t>
      </w:r>
    </w:p>
    <w:p w14:paraId="6B3382D1" w14:textId="77777777" w:rsidR="006C363A" w:rsidRPr="004676F5" w:rsidRDefault="006C363A" w:rsidP="006C363A">
      <w:pPr>
        <w:ind w:firstLine="708"/>
        <w:jc w:val="center"/>
        <w:rPr>
          <w:lang w:val="de-DE"/>
        </w:rPr>
      </w:pPr>
    </w:p>
    <w:p w14:paraId="322E8828" w14:textId="5034580C" w:rsidR="006C363A" w:rsidRPr="004676F5" w:rsidRDefault="006C363A" w:rsidP="006C363A">
      <w:pPr>
        <w:jc w:val="both"/>
        <w:rPr>
          <w:i/>
          <w:lang w:val="de-DE"/>
        </w:rPr>
      </w:pPr>
      <w:r w:rsidRPr="004676F5">
        <w:rPr>
          <w:i/>
          <w:lang w:val="de-DE"/>
        </w:rPr>
        <w:t xml:space="preserve">[Abschnitt 8 mit den Artikeln XV.103 bis XV.113 eingefügt durch </w:t>
      </w:r>
      <w:r w:rsidR="00BE0A56" w:rsidRPr="004676F5">
        <w:rPr>
          <w:i/>
          <w:lang w:val="de-DE"/>
        </w:rPr>
        <w:t>Art. </w:t>
      </w:r>
      <w:r w:rsidRPr="004676F5">
        <w:rPr>
          <w:i/>
          <w:lang w:val="de-DE"/>
        </w:rPr>
        <w:t>15 des G. vom 19. April 2014 (II) (B.S. vom 12. Juni 2014)]</w:t>
      </w:r>
    </w:p>
    <w:p w14:paraId="3E2A46AA" w14:textId="77777777" w:rsidR="006C363A" w:rsidRPr="004676F5" w:rsidRDefault="006C363A" w:rsidP="006C363A">
      <w:pPr>
        <w:jc w:val="both"/>
        <w:rPr>
          <w:i/>
          <w:lang w:val="de-DE"/>
        </w:rPr>
      </w:pPr>
    </w:p>
    <w:p w14:paraId="76E5C351" w14:textId="77777777" w:rsidR="006C363A" w:rsidRPr="004676F5" w:rsidRDefault="006C363A" w:rsidP="006C363A">
      <w:pPr>
        <w:jc w:val="both"/>
        <w:rPr>
          <w:i/>
          <w:lang w:val="de-DE"/>
        </w:rPr>
      </w:pPr>
    </w:p>
    <w:p w14:paraId="6782F947" w14:textId="3114E94E" w:rsidR="006C363A" w:rsidRPr="004676F5" w:rsidRDefault="006C363A" w:rsidP="006C363A">
      <w:pPr>
        <w:jc w:val="center"/>
        <w:rPr>
          <w:lang w:val="de-DE"/>
        </w:rPr>
      </w:pPr>
      <w:r w:rsidRPr="004676F5">
        <w:rPr>
          <w:lang w:val="de-DE"/>
        </w:rPr>
        <w:t>Unterabschnitt 1 </w:t>
      </w:r>
      <w:r w:rsidR="005B7A5C" w:rsidRPr="004676F5">
        <w:rPr>
          <w:lang w:val="de-DE"/>
        </w:rPr>
        <w:t>- </w:t>
      </w:r>
      <w:r w:rsidRPr="004676F5">
        <w:rPr>
          <w:lang w:val="de-DE"/>
        </w:rPr>
        <w:t>Bekämpfung der Nachahmung und Piraterie</w:t>
      </w:r>
    </w:p>
    <w:p w14:paraId="26A20691" w14:textId="77777777" w:rsidR="006C363A" w:rsidRPr="004676F5" w:rsidRDefault="006C363A" w:rsidP="006C363A">
      <w:pPr>
        <w:ind w:firstLine="708"/>
        <w:jc w:val="both"/>
        <w:rPr>
          <w:lang w:val="de-DE"/>
        </w:rPr>
      </w:pPr>
    </w:p>
    <w:p w14:paraId="30E2A020" w14:textId="77777777" w:rsidR="006C363A" w:rsidRPr="004676F5" w:rsidRDefault="006C363A" w:rsidP="006C363A">
      <w:pPr>
        <w:ind w:firstLine="708"/>
        <w:jc w:val="both"/>
        <w:rPr>
          <w:lang w:val="de-DE"/>
        </w:rPr>
      </w:pPr>
    </w:p>
    <w:p w14:paraId="0125AEFD" w14:textId="73610DC3" w:rsidR="006C363A" w:rsidRPr="004676F5" w:rsidRDefault="00BE0A56" w:rsidP="006C363A">
      <w:pPr>
        <w:ind w:firstLine="708"/>
        <w:jc w:val="both"/>
        <w:rPr>
          <w:lang w:val="de-DE"/>
        </w:rPr>
      </w:pPr>
      <w:r w:rsidRPr="004676F5">
        <w:rPr>
          <w:b/>
          <w:lang w:val="de-DE"/>
        </w:rPr>
        <w:t>Art. </w:t>
      </w:r>
      <w:r w:rsidR="006C363A" w:rsidRPr="004676F5">
        <w:rPr>
          <w:b/>
          <w:lang w:val="de-DE"/>
        </w:rPr>
        <w:t>XV.103</w:t>
      </w:r>
      <w:r w:rsidR="006C363A" w:rsidRPr="004676F5">
        <w:rPr>
          <w:lang w:val="de-DE"/>
        </w:rPr>
        <w:t> </w:t>
      </w:r>
      <w:r w:rsidR="005B7A5C" w:rsidRPr="004676F5">
        <w:rPr>
          <w:lang w:val="de-DE"/>
        </w:rPr>
        <w:t>- </w:t>
      </w:r>
      <w:r w:rsidR="006C363A" w:rsidRPr="004676F5">
        <w:rPr>
          <w:lang w:val="de-DE"/>
        </w:rPr>
        <w:t>§ 1 </w:t>
      </w:r>
      <w:r w:rsidR="005B7A5C" w:rsidRPr="004676F5">
        <w:rPr>
          <w:lang w:val="de-DE"/>
        </w:rPr>
        <w:t>- </w:t>
      </w:r>
      <w:r w:rsidR="006C363A" w:rsidRPr="004676F5">
        <w:rPr>
          <w:lang w:val="de-DE"/>
        </w:rPr>
        <w:t>Mit einer Sanktion der Stufe 6 wird bestraft, wer im geschäftlichen Verkehr in böswilliger oder betrügerischer Absicht die Rechte des Inhabers eines Warenzeichens oder einer Dienstleistungsmarke, eines Erfindungspatents, eines ergänzenden Schutzzertifikats, eines Sortenschutzrechts oder eines Geschmacksmusterrechts verletzt, so wie diese Rechte bestimmt sind:</w:t>
      </w:r>
    </w:p>
    <w:p w14:paraId="1DB6DEB4" w14:textId="77777777" w:rsidR="006C363A" w:rsidRPr="004676F5" w:rsidRDefault="006C363A" w:rsidP="006C363A">
      <w:pPr>
        <w:ind w:firstLine="708"/>
        <w:jc w:val="both"/>
        <w:rPr>
          <w:lang w:val="de-DE"/>
        </w:rPr>
      </w:pPr>
    </w:p>
    <w:p w14:paraId="0B8A5B1D" w14:textId="77777777" w:rsidR="006C363A" w:rsidRPr="004676F5" w:rsidRDefault="006C363A" w:rsidP="006C363A">
      <w:pPr>
        <w:ind w:firstLine="708"/>
        <w:jc w:val="both"/>
        <w:rPr>
          <w:lang w:val="de-DE"/>
        </w:rPr>
      </w:pPr>
      <w:r w:rsidRPr="004676F5">
        <w:rPr>
          <w:lang w:val="de-DE"/>
        </w:rPr>
        <w:t>1. für Marken:</w:t>
      </w:r>
    </w:p>
    <w:p w14:paraId="55D61D98" w14:textId="77777777" w:rsidR="006C363A" w:rsidRPr="004676F5" w:rsidRDefault="006C363A" w:rsidP="006C363A">
      <w:pPr>
        <w:ind w:firstLine="708"/>
        <w:jc w:val="both"/>
        <w:rPr>
          <w:lang w:val="de-DE"/>
        </w:rPr>
      </w:pPr>
    </w:p>
    <w:p w14:paraId="123A3F4E" w14:textId="77777777" w:rsidR="006C363A" w:rsidRPr="004676F5" w:rsidRDefault="006C363A" w:rsidP="006C363A">
      <w:pPr>
        <w:ind w:firstLine="708"/>
        <w:jc w:val="both"/>
        <w:rPr>
          <w:lang w:val="de-DE"/>
        </w:rPr>
      </w:pPr>
      <w:r w:rsidRPr="004676F5">
        <w:rPr>
          <w:i/>
          <w:lang w:val="de-DE"/>
        </w:rPr>
        <w:t>a)</w:t>
      </w:r>
      <w:r w:rsidRPr="004676F5">
        <w:rPr>
          <w:lang w:val="de-DE"/>
        </w:rPr>
        <w:t> in Artikel 2.20 Absatz 1 Buchstaben </w:t>
      </w:r>
      <w:r w:rsidRPr="004676F5">
        <w:rPr>
          <w:i/>
          <w:lang w:val="de-DE"/>
        </w:rPr>
        <w:t>a)</w:t>
      </w:r>
      <w:r w:rsidRPr="004676F5">
        <w:rPr>
          <w:lang w:val="de-DE"/>
        </w:rPr>
        <w:t xml:space="preserve">, </w:t>
      </w:r>
      <w:r w:rsidRPr="004676F5">
        <w:rPr>
          <w:i/>
          <w:lang w:val="de-DE"/>
        </w:rPr>
        <w:t>b)</w:t>
      </w:r>
      <w:r w:rsidRPr="004676F5">
        <w:rPr>
          <w:lang w:val="de-DE"/>
        </w:rPr>
        <w:t xml:space="preserve"> und </w:t>
      </w:r>
      <w:r w:rsidRPr="004676F5">
        <w:rPr>
          <w:i/>
          <w:lang w:val="de-DE"/>
        </w:rPr>
        <w:t>c)</w:t>
      </w:r>
      <w:r w:rsidRPr="004676F5">
        <w:rPr>
          <w:lang w:val="de-DE"/>
        </w:rPr>
        <w:t xml:space="preserve"> des Benelux-Übereinkommens vom 25. Februar 2005 über Geistiges Eigentum, gebilligt durch das Gesetz vom 22. März 2006,</w:t>
      </w:r>
    </w:p>
    <w:p w14:paraId="5F9B3E7E" w14:textId="77777777" w:rsidR="006C363A" w:rsidRPr="004676F5" w:rsidRDefault="006C363A" w:rsidP="006C363A">
      <w:pPr>
        <w:ind w:firstLine="708"/>
        <w:jc w:val="both"/>
        <w:rPr>
          <w:lang w:val="de-DE"/>
        </w:rPr>
      </w:pPr>
    </w:p>
    <w:p w14:paraId="61B95996" w14:textId="77777777" w:rsidR="006C363A" w:rsidRPr="004676F5" w:rsidRDefault="006C363A" w:rsidP="006C363A">
      <w:pPr>
        <w:ind w:firstLine="708"/>
        <w:jc w:val="both"/>
        <w:rPr>
          <w:lang w:val="de-DE"/>
        </w:rPr>
      </w:pPr>
      <w:r w:rsidRPr="004676F5">
        <w:rPr>
          <w:i/>
          <w:lang w:val="de-DE"/>
        </w:rPr>
        <w:t>b)</w:t>
      </w:r>
      <w:r w:rsidRPr="004676F5">
        <w:rPr>
          <w:lang w:val="de-DE"/>
        </w:rPr>
        <w:t> in Artikel 9 der Verordnung (EG) Nr. 207/2009 des Rates vom 26. Februar 2009 über die Gemeinschaftsmarke,</w:t>
      </w:r>
    </w:p>
    <w:p w14:paraId="1EAECC53" w14:textId="77777777" w:rsidR="006C363A" w:rsidRPr="004676F5" w:rsidRDefault="006C363A" w:rsidP="006C363A">
      <w:pPr>
        <w:ind w:firstLine="708"/>
        <w:jc w:val="both"/>
        <w:rPr>
          <w:lang w:val="de-DE"/>
        </w:rPr>
      </w:pPr>
    </w:p>
    <w:p w14:paraId="32E15728" w14:textId="77777777" w:rsidR="006C363A" w:rsidRPr="004676F5" w:rsidRDefault="006C363A" w:rsidP="006C363A">
      <w:pPr>
        <w:ind w:firstLine="708"/>
        <w:jc w:val="both"/>
        <w:rPr>
          <w:lang w:val="de-DE"/>
        </w:rPr>
      </w:pPr>
      <w:r w:rsidRPr="004676F5">
        <w:rPr>
          <w:lang w:val="de-DE"/>
        </w:rPr>
        <w:t>2. für Patente und ergänzende Schutzzertifikate:</w:t>
      </w:r>
    </w:p>
    <w:p w14:paraId="09D96C8E" w14:textId="77777777" w:rsidR="006C363A" w:rsidRPr="004676F5" w:rsidRDefault="006C363A" w:rsidP="006C363A">
      <w:pPr>
        <w:ind w:firstLine="708"/>
        <w:jc w:val="both"/>
        <w:rPr>
          <w:lang w:val="de-DE"/>
        </w:rPr>
      </w:pPr>
    </w:p>
    <w:p w14:paraId="752640F3" w14:textId="77777777" w:rsidR="006C363A" w:rsidRPr="004676F5" w:rsidRDefault="006C363A" w:rsidP="006C363A">
      <w:pPr>
        <w:ind w:firstLine="708"/>
        <w:jc w:val="both"/>
        <w:rPr>
          <w:lang w:val="de-DE"/>
        </w:rPr>
      </w:pPr>
      <w:r w:rsidRPr="004676F5">
        <w:rPr>
          <w:i/>
          <w:lang w:val="de-DE"/>
        </w:rPr>
        <w:t>a)</w:t>
      </w:r>
      <w:r w:rsidRPr="004676F5">
        <w:rPr>
          <w:lang w:val="de-DE"/>
        </w:rPr>
        <w:t> in Artikel XI.29,</w:t>
      </w:r>
    </w:p>
    <w:p w14:paraId="5796A16A" w14:textId="77777777" w:rsidR="006C363A" w:rsidRPr="004676F5" w:rsidRDefault="006C363A" w:rsidP="006C363A">
      <w:pPr>
        <w:ind w:firstLine="708"/>
        <w:jc w:val="both"/>
        <w:rPr>
          <w:lang w:val="de-DE"/>
        </w:rPr>
      </w:pPr>
    </w:p>
    <w:p w14:paraId="48BB3227" w14:textId="77777777" w:rsidR="006C363A" w:rsidRPr="004676F5" w:rsidRDefault="006C363A" w:rsidP="006C363A">
      <w:pPr>
        <w:ind w:firstLine="708"/>
        <w:jc w:val="both"/>
        <w:rPr>
          <w:lang w:val="de-DE"/>
        </w:rPr>
      </w:pPr>
      <w:r w:rsidRPr="004676F5">
        <w:rPr>
          <w:i/>
          <w:lang w:val="de-DE"/>
        </w:rPr>
        <w:t>b)</w:t>
      </w:r>
      <w:r w:rsidRPr="004676F5">
        <w:rPr>
          <w:lang w:val="de-DE"/>
        </w:rPr>
        <w:t xml:space="preserve"> in Artikel 5 der Verordnung (EG) Nr. 469/2009 des Europäischen Parlaments und des Rates vom 6. Mai 2009 über das ergänzende Schutzzertifikat für Arzneimittel,</w:t>
      </w:r>
    </w:p>
    <w:p w14:paraId="507FE96B" w14:textId="77777777" w:rsidR="006C363A" w:rsidRPr="004676F5" w:rsidRDefault="006C363A" w:rsidP="006C363A">
      <w:pPr>
        <w:ind w:firstLine="708"/>
        <w:jc w:val="both"/>
        <w:rPr>
          <w:lang w:val="de-DE"/>
        </w:rPr>
      </w:pPr>
    </w:p>
    <w:p w14:paraId="562A933F" w14:textId="77777777" w:rsidR="006C363A" w:rsidRPr="004676F5" w:rsidRDefault="006C363A" w:rsidP="006C363A">
      <w:pPr>
        <w:ind w:firstLine="708"/>
        <w:jc w:val="both"/>
        <w:rPr>
          <w:lang w:val="de-DE"/>
        </w:rPr>
      </w:pPr>
      <w:r w:rsidRPr="004676F5">
        <w:rPr>
          <w:i/>
          <w:lang w:val="de-DE"/>
        </w:rPr>
        <w:t>c)</w:t>
      </w:r>
      <w:r w:rsidRPr="004676F5">
        <w:rPr>
          <w:lang w:val="de-DE"/>
        </w:rPr>
        <w:t> in Artikel 5 der Verordnung (EG) Nr. 1610/96 des Europäischen Parlaments und des Rates vom 23. Juli 1996 über die Schaffung eines ergänzenden Schutzzertifikats für Pflanzenschutzmittel,</w:t>
      </w:r>
    </w:p>
    <w:p w14:paraId="3A5FCEE0" w14:textId="77777777" w:rsidR="006C363A" w:rsidRPr="004676F5" w:rsidRDefault="006C363A" w:rsidP="006C363A">
      <w:pPr>
        <w:ind w:firstLine="708"/>
        <w:jc w:val="both"/>
        <w:rPr>
          <w:lang w:val="de-DE"/>
        </w:rPr>
      </w:pPr>
    </w:p>
    <w:p w14:paraId="08902BF0" w14:textId="77777777" w:rsidR="006C363A" w:rsidRPr="004676F5" w:rsidRDefault="006C363A" w:rsidP="006C363A">
      <w:pPr>
        <w:ind w:firstLine="708"/>
        <w:jc w:val="both"/>
        <w:rPr>
          <w:lang w:val="de-DE"/>
        </w:rPr>
      </w:pPr>
      <w:r w:rsidRPr="004676F5">
        <w:rPr>
          <w:lang w:val="de-DE"/>
        </w:rPr>
        <w:t>3. für Sortenschutzrecht:</w:t>
      </w:r>
    </w:p>
    <w:p w14:paraId="1DF25162" w14:textId="77777777" w:rsidR="006C363A" w:rsidRPr="004676F5" w:rsidRDefault="006C363A" w:rsidP="006C363A">
      <w:pPr>
        <w:ind w:firstLine="708"/>
        <w:jc w:val="both"/>
        <w:rPr>
          <w:lang w:val="de-DE"/>
        </w:rPr>
      </w:pPr>
    </w:p>
    <w:p w14:paraId="7428E31B" w14:textId="77777777" w:rsidR="006C363A" w:rsidRPr="004676F5" w:rsidRDefault="006C363A" w:rsidP="006C363A">
      <w:pPr>
        <w:ind w:firstLine="708"/>
        <w:jc w:val="both"/>
        <w:rPr>
          <w:lang w:val="de-DE"/>
        </w:rPr>
      </w:pPr>
      <w:r w:rsidRPr="004676F5">
        <w:rPr>
          <w:i/>
          <w:lang w:val="de-DE"/>
        </w:rPr>
        <w:t>a)</w:t>
      </w:r>
      <w:r w:rsidRPr="004676F5">
        <w:rPr>
          <w:lang w:val="de-DE"/>
        </w:rPr>
        <w:t> in Artikel XI.113,</w:t>
      </w:r>
    </w:p>
    <w:p w14:paraId="5F9D8016" w14:textId="77777777" w:rsidR="006C363A" w:rsidRPr="004676F5" w:rsidRDefault="006C363A" w:rsidP="006C363A">
      <w:pPr>
        <w:ind w:firstLine="708"/>
        <w:jc w:val="both"/>
        <w:rPr>
          <w:lang w:val="de-DE"/>
        </w:rPr>
      </w:pPr>
    </w:p>
    <w:p w14:paraId="3847C0CE" w14:textId="77777777" w:rsidR="006C363A" w:rsidRPr="004676F5" w:rsidRDefault="006C363A" w:rsidP="006C363A">
      <w:pPr>
        <w:ind w:firstLine="708"/>
        <w:jc w:val="both"/>
        <w:rPr>
          <w:lang w:val="de-DE"/>
        </w:rPr>
      </w:pPr>
      <w:r w:rsidRPr="004676F5">
        <w:rPr>
          <w:i/>
          <w:lang w:val="de-DE"/>
        </w:rPr>
        <w:t>b)</w:t>
      </w:r>
      <w:r w:rsidRPr="004676F5">
        <w:rPr>
          <w:lang w:val="de-DE"/>
        </w:rPr>
        <w:t> in Artikel 13 der Verordnung (EG) Nr. 2100/94 des Rates der Europäischen Gemeinschaften vom 27. Juli 1994 über den gemeinschaftlichen Sortenschutz,</w:t>
      </w:r>
    </w:p>
    <w:p w14:paraId="33BC7F7F" w14:textId="77777777" w:rsidR="006C363A" w:rsidRPr="004676F5" w:rsidRDefault="006C363A" w:rsidP="006C363A">
      <w:pPr>
        <w:ind w:firstLine="708"/>
        <w:jc w:val="both"/>
        <w:rPr>
          <w:lang w:val="de-DE"/>
        </w:rPr>
      </w:pPr>
    </w:p>
    <w:p w14:paraId="6173EAC0" w14:textId="77777777" w:rsidR="006C363A" w:rsidRPr="004676F5" w:rsidRDefault="006C363A" w:rsidP="006C363A">
      <w:pPr>
        <w:ind w:firstLine="708"/>
        <w:jc w:val="both"/>
        <w:rPr>
          <w:lang w:val="de-DE"/>
        </w:rPr>
      </w:pPr>
      <w:r w:rsidRPr="004676F5">
        <w:rPr>
          <w:lang w:val="de-DE"/>
        </w:rPr>
        <w:t>4. für Geschmacksmusterrecht:</w:t>
      </w:r>
    </w:p>
    <w:p w14:paraId="3701A9C2" w14:textId="77777777" w:rsidR="006C363A" w:rsidRPr="004676F5" w:rsidRDefault="006C363A" w:rsidP="006C363A">
      <w:pPr>
        <w:ind w:firstLine="708"/>
        <w:jc w:val="both"/>
        <w:rPr>
          <w:lang w:val="de-DE"/>
        </w:rPr>
      </w:pPr>
    </w:p>
    <w:p w14:paraId="55DA416E" w14:textId="77777777" w:rsidR="006C363A" w:rsidRPr="004676F5" w:rsidRDefault="006C363A" w:rsidP="006C363A">
      <w:pPr>
        <w:ind w:firstLine="708"/>
        <w:jc w:val="both"/>
        <w:rPr>
          <w:lang w:val="de-DE"/>
        </w:rPr>
      </w:pPr>
      <w:r w:rsidRPr="004676F5">
        <w:rPr>
          <w:i/>
          <w:lang w:val="de-DE"/>
        </w:rPr>
        <w:t>a) </w:t>
      </w:r>
      <w:r w:rsidRPr="004676F5">
        <w:rPr>
          <w:lang w:val="de-DE"/>
        </w:rPr>
        <w:t>in Artikel 3.16 des Benelux-Übereinkommens vom 25. Februar 2005 über Geistiges Eigentum, gebilligt durch das Gesetz vom 22. März 2006,</w:t>
      </w:r>
    </w:p>
    <w:p w14:paraId="310CFD84" w14:textId="77777777" w:rsidR="006C363A" w:rsidRPr="004676F5" w:rsidRDefault="006C363A" w:rsidP="006C363A">
      <w:pPr>
        <w:ind w:firstLine="708"/>
        <w:jc w:val="both"/>
        <w:rPr>
          <w:lang w:val="de-DE"/>
        </w:rPr>
      </w:pPr>
    </w:p>
    <w:p w14:paraId="5A6681A6" w14:textId="77777777" w:rsidR="006C363A" w:rsidRPr="004676F5" w:rsidRDefault="006C363A" w:rsidP="006C363A">
      <w:pPr>
        <w:ind w:firstLine="708"/>
        <w:jc w:val="both"/>
        <w:rPr>
          <w:lang w:val="de-DE"/>
        </w:rPr>
      </w:pPr>
      <w:r w:rsidRPr="004676F5">
        <w:rPr>
          <w:i/>
          <w:lang w:val="de-DE"/>
        </w:rPr>
        <w:t>b)</w:t>
      </w:r>
      <w:r w:rsidRPr="004676F5">
        <w:rPr>
          <w:lang w:val="de-DE"/>
        </w:rPr>
        <w:t> in Artikel 19 der Verordnung (EG) Nr. 6/2002 des Rates der Europäischen Gemeinschaften vom 12. Dezember 2001 über das Gemeinschaftsgeschmacksmuster.</w:t>
      </w:r>
    </w:p>
    <w:p w14:paraId="2988AF33" w14:textId="77777777" w:rsidR="006C363A" w:rsidRPr="004676F5" w:rsidRDefault="006C363A" w:rsidP="006C363A">
      <w:pPr>
        <w:ind w:firstLine="708"/>
        <w:jc w:val="both"/>
        <w:rPr>
          <w:lang w:val="de-DE"/>
        </w:rPr>
      </w:pPr>
    </w:p>
    <w:p w14:paraId="7BB5EE99" w14:textId="77777777" w:rsidR="006C363A" w:rsidRPr="004676F5" w:rsidRDefault="006C363A" w:rsidP="006C363A">
      <w:pPr>
        <w:ind w:firstLine="708"/>
        <w:jc w:val="both"/>
        <w:rPr>
          <w:lang w:val="de-DE"/>
        </w:rPr>
      </w:pPr>
      <w:r w:rsidRPr="004676F5">
        <w:rPr>
          <w:lang w:val="de-DE"/>
        </w:rPr>
        <w:lastRenderedPageBreak/>
        <w:t>Für die Anwendung der vorhergehenden Absätze muss davon ausgegangen werden, dass eine Verletzung im geschäftlichen Verkehr vorliegt, wenn diese Verletzung im Rahmen einer kommerziellen Tätigkeit, die die Erzielung eines wirtschaftlichen Vorteils bezweckt, begangen wird.</w:t>
      </w:r>
    </w:p>
    <w:p w14:paraId="0D8F50D5" w14:textId="77777777" w:rsidR="006C363A" w:rsidRPr="004676F5" w:rsidRDefault="006C363A" w:rsidP="006C363A">
      <w:pPr>
        <w:ind w:firstLine="708"/>
        <w:jc w:val="both"/>
        <w:rPr>
          <w:lang w:val="de-DE"/>
        </w:rPr>
      </w:pPr>
    </w:p>
    <w:p w14:paraId="4E1CA88F" w14:textId="2C853A51" w:rsidR="006C363A" w:rsidRPr="004676F5" w:rsidRDefault="006C363A" w:rsidP="006C363A">
      <w:pPr>
        <w:ind w:firstLine="708"/>
        <w:jc w:val="both"/>
        <w:rPr>
          <w:lang w:val="de-DE"/>
        </w:rPr>
      </w:pPr>
      <w:r w:rsidRPr="004676F5">
        <w:rPr>
          <w:lang w:val="de-DE"/>
        </w:rPr>
        <w:t>§ 2 </w:t>
      </w:r>
      <w:r w:rsidR="005B7A5C" w:rsidRPr="004676F5">
        <w:rPr>
          <w:lang w:val="de-DE"/>
        </w:rPr>
        <w:t>- </w:t>
      </w:r>
      <w:r w:rsidRPr="004676F5">
        <w:rPr>
          <w:lang w:val="de-DE"/>
        </w:rPr>
        <w:t>Paragraph 1 des vorliegenden Artikels ist insbesondere nicht anwendbar:</w:t>
      </w:r>
    </w:p>
    <w:p w14:paraId="3C7B6418" w14:textId="77777777" w:rsidR="006C363A" w:rsidRPr="004676F5" w:rsidRDefault="006C363A" w:rsidP="006C363A">
      <w:pPr>
        <w:ind w:firstLine="708"/>
        <w:jc w:val="both"/>
        <w:rPr>
          <w:lang w:val="de-DE"/>
        </w:rPr>
      </w:pPr>
    </w:p>
    <w:p w14:paraId="64BBC701" w14:textId="77777777" w:rsidR="006C363A" w:rsidRPr="004676F5" w:rsidRDefault="006C363A" w:rsidP="006C363A">
      <w:pPr>
        <w:ind w:firstLine="708"/>
        <w:jc w:val="both"/>
        <w:rPr>
          <w:lang w:val="de-DE"/>
        </w:rPr>
      </w:pPr>
      <w:r w:rsidRPr="004676F5">
        <w:rPr>
          <w:lang w:val="de-DE"/>
        </w:rPr>
        <w:t>1. für Marken:</w:t>
      </w:r>
    </w:p>
    <w:p w14:paraId="12CE6CD9" w14:textId="77777777" w:rsidR="006C363A" w:rsidRPr="004676F5" w:rsidRDefault="006C363A" w:rsidP="006C363A">
      <w:pPr>
        <w:ind w:firstLine="708"/>
        <w:jc w:val="both"/>
        <w:rPr>
          <w:lang w:val="de-DE"/>
        </w:rPr>
      </w:pPr>
    </w:p>
    <w:p w14:paraId="14328180" w14:textId="77777777" w:rsidR="006C363A" w:rsidRPr="004676F5" w:rsidRDefault="006C363A" w:rsidP="006C363A">
      <w:pPr>
        <w:ind w:firstLine="708"/>
        <w:jc w:val="both"/>
        <w:rPr>
          <w:lang w:val="de-DE"/>
        </w:rPr>
      </w:pPr>
      <w:r w:rsidRPr="004676F5">
        <w:rPr>
          <w:i/>
          <w:lang w:val="de-DE"/>
        </w:rPr>
        <w:t>a)</w:t>
      </w:r>
      <w:r w:rsidRPr="004676F5">
        <w:rPr>
          <w:lang w:val="de-DE"/>
        </w:rPr>
        <w:t> auf Handlungen, die in Artikel 2.23 des Benelux-Übereinkommens vom 25. Fe</w:t>
      </w:r>
      <w:r w:rsidRPr="004676F5">
        <w:rPr>
          <w:lang w:val="de-DE"/>
        </w:rPr>
        <w:softHyphen/>
        <w:t>bruar 2005 über Geistiges Eigentum, gebilligt durch das Gesetz vom 22. März 2006, erwähnt sind,</w:t>
      </w:r>
    </w:p>
    <w:p w14:paraId="709EB59B" w14:textId="77777777" w:rsidR="006C363A" w:rsidRPr="004676F5" w:rsidRDefault="006C363A" w:rsidP="006C363A">
      <w:pPr>
        <w:ind w:firstLine="708"/>
        <w:jc w:val="both"/>
        <w:rPr>
          <w:lang w:val="de-DE"/>
        </w:rPr>
      </w:pPr>
    </w:p>
    <w:p w14:paraId="13A9FEA9" w14:textId="77777777" w:rsidR="006C363A" w:rsidRPr="004676F5" w:rsidRDefault="006C363A" w:rsidP="006C363A">
      <w:pPr>
        <w:ind w:firstLine="708"/>
        <w:jc w:val="both"/>
        <w:rPr>
          <w:lang w:val="de-DE"/>
        </w:rPr>
      </w:pPr>
      <w:r w:rsidRPr="004676F5">
        <w:rPr>
          <w:i/>
          <w:lang w:val="de-DE"/>
        </w:rPr>
        <w:t>b)</w:t>
      </w:r>
      <w:r w:rsidRPr="004676F5">
        <w:rPr>
          <w:lang w:val="de-DE"/>
        </w:rPr>
        <w:t> auf Handlungen, die in den Artikeln 12 und 13 der Verordnung (EG) Nr. 207/2009 des Rates vom 26. Februar 2009 über die Gemeinschaftsmarke erwähnt sind,</w:t>
      </w:r>
    </w:p>
    <w:p w14:paraId="7B9B5CE7" w14:textId="77777777" w:rsidR="00E052E7" w:rsidRPr="004676F5" w:rsidRDefault="00E052E7">
      <w:pPr>
        <w:rPr>
          <w:lang w:val="de-DE"/>
        </w:rPr>
      </w:pPr>
    </w:p>
    <w:p w14:paraId="1247FD03" w14:textId="77777777" w:rsidR="006C363A" w:rsidRPr="004676F5" w:rsidRDefault="006C363A" w:rsidP="006C363A">
      <w:pPr>
        <w:ind w:firstLine="708"/>
        <w:jc w:val="both"/>
        <w:rPr>
          <w:lang w:val="de-DE"/>
        </w:rPr>
      </w:pPr>
      <w:r w:rsidRPr="004676F5">
        <w:rPr>
          <w:lang w:val="de-DE"/>
        </w:rPr>
        <w:t>2. für Patente und ergänzende Schutzzertifikate:</w:t>
      </w:r>
    </w:p>
    <w:p w14:paraId="6EC20F90" w14:textId="77777777" w:rsidR="006C363A" w:rsidRPr="004676F5" w:rsidRDefault="006C363A" w:rsidP="006C363A">
      <w:pPr>
        <w:ind w:firstLine="708"/>
        <w:jc w:val="both"/>
        <w:rPr>
          <w:lang w:val="de-DE"/>
        </w:rPr>
      </w:pPr>
    </w:p>
    <w:p w14:paraId="25DBFF59" w14:textId="77777777" w:rsidR="006C363A" w:rsidRPr="004676F5" w:rsidRDefault="006C363A" w:rsidP="006C363A">
      <w:pPr>
        <w:ind w:firstLine="708"/>
        <w:jc w:val="both"/>
        <w:rPr>
          <w:lang w:val="de-DE"/>
        </w:rPr>
      </w:pPr>
      <w:r w:rsidRPr="004676F5">
        <w:rPr>
          <w:i/>
          <w:lang w:val="de-DE"/>
        </w:rPr>
        <w:t>a)</w:t>
      </w:r>
      <w:r w:rsidRPr="004676F5">
        <w:rPr>
          <w:lang w:val="de-DE"/>
        </w:rPr>
        <w:t xml:space="preserve"> auf Handlungen, die in den Artikeln XI.32, XI.33, XI.34 § 1 und XI.36 erwähnt sind,</w:t>
      </w:r>
    </w:p>
    <w:p w14:paraId="03DFD2E0" w14:textId="77777777" w:rsidR="006C363A" w:rsidRPr="004676F5" w:rsidRDefault="006C363A" w:rsidP="006C363A">
      <w:pPr>
        <w:ind w:firstLine="708"/>
        <w:jc w:val="both"/>
        <w:rPr>
          <w:lang w:val="de-DE"/>
        </w:rPr>
      </w:pPr>
    </w:p>
    <w:p w14:paraId="3CA9912D" w14:textId="77777777" w:rsidR="006C363A" w:rsidRPr="004676F5" w:rsidRDefault="006C363A" w:rsidP="006C363A">
      <w:pPr>
        <w:ind w:firstLine="708"/>
        <w:jc w:val="both"/>
        <w:rPr>
          <w:lang w:val="de-DE"/>
        </w:rPr>
      </w:pPr>
      <w:r w:rsidRPr="004676F5">
        <w:rPr>
          <w:i/>
          <w:lang w:val="de-DE"/>
        </w:rPr>
        <w:t>b) </w:t>
      </w:r>
      <w:r w:rsidRPr="004676F5">
        <w:rPr>
          <w:lang w:val="de-DE"/>
        </w:rPr>
        <w:t>auf Handlungen, die ausschließlich in Verbindung mit erforderlichen Studien, Tests und Versuchen gemäß Artikel 6</w:t>
      </w:r>
      <w:r w:rsidRPr="004676F5">
        <w:rPr>
          <w:i/>
          <w:lang w:val="de-DE"/>
        </w:rPr>
        <w:t>bis</w:t>
      </w:r>
      <w:r w:rsidRPr="004676F5">
        <w:rPr>
          <w:lang w:val="de-DE"/>
        </w:rPr>
        <w:t xml:space="preserve"> § 1 letzter Absatz des Gesetzes vom 25. März 1964 über Arzneimittel ausgeführt werden,</w:t>
      </w:r>
    </w:p>
    <w:p w14:paraId="50332EDB" w14:textId="77777777" w:rsidR="006C363A" w:rsidRPr="004676F5" w:rsidRDefault="006C363A" w:rsidP="006C363A">
      <w:pPr>
        <w:ind w:firstLine="708"/>
        <w:jc w:val="both"/>
        <w:rPr>
          <w:lang w:val="de-DE"/>
        </w:rPr>
      </w:pPr>
    </w:p>
    <w:p w14:paraId="59030C24" w14:textId="77777777" w:rsidR="006C363A" w:rsidRPr="004676F5" w:rsidRDefault="006C363A" w:rsidP="006C363A">
      <w:pPr>
        <w:ind w:firstLine="708"/>
        <w:jc w:val="both"/>
        <w:rPr>
          <w:lang w:val="de-DE"/>
        </w:rPr>
      </w:pPr>
      <w:r w:rsidRPr="004676F5">
        <w:rPr>
          <w:lang w:val="de-DE"/>
        </w:rPr>
        <w:t>3. für Sortenschutzrecht:</w:t>
      </w:r>
    </w:p>
    <w:p w14:paraId="64F5B91C" w14:textId="77777777" w:rsidR="006C363A" w:rsidRPr="004676F5" w:rsidRDefault="006C363A" w:rsidP="006C363A">
      <w:pPr>
        <w:ind w:firstLine="708"/>
        <w:jc w:val="both"/>
        <w:rPr>
          <w:lang w:val="de-DE"/>
        </w:rPr>
      </w:pPr>
    </w:p>
    <w:p w14:paraId="41CB66ED" w14:textId="77777777" w:rsidR="006C363A" w:rsidRPr="004676F5" w:rsidRDefault="006C363A" w:rsidP="006C363A">
      <w:pPr>
        <w:ind w:firstLine="708"/>
        <w:jc w:val="both"/>
        <w:rPr>
          <w:lang w:val="de-DE"/>
        </w:rPr>
      </w:pPr>
      <w:r w:rsidRPr="004676F5">
        <w:rPr>
          <w:i/>
          <w:lang w:val="de-DE"/>
        </w:rPr>
        <w:t>a)</w:t>
      </w:r>
      <w:r w:rsidRPr="004676F5">
        <w:rPr>
          <w:lang w:val="de-DE"/>
        </w:rPr>
        <w:t xml:space="preserve"> auf Handlungen, die in den Artikeln XI.114, XI.115, XI.116 und XI.117 erwähnt sind,</w:t>
      </w:r>
    </w:p>
    <w:p w14:paraId="33386053" w14:textId="77777777" w:rsidR="006C363A" w:rsidRPr="004676F5" w:rsidRDefault="006C363A" w:rsidP="006C363A">
      <w:pPr>
        <w:ind w:firstLine="708"/>
        <w:jc w:val="both"/>
        <w:rPr>
          <w:lang w:val="de-DE"/>
        </w:rPr>
      </w:pPr>
    </w:p>
    <w:p w14:paraId="14D41BE8" w14:textId="77777777" w:rsidR="006C363A" w:rsidRPr="004676F5" w:rsidRDefault="006C363A" w:rsidP="006C363A">
      <w:pPr>
        <w:ind w:firstLine="708"/>
        <w:jc w:val="both"/>
        <w:rPr>
          <w:lang w:val="de-DE"/>
        </w:rPr>
      </w:pPr>
      <w:r w:rsidRPr="004676F5">
        <w:rPr>
          <w:i/>
          <w:lang w:val="de-DE"/>
        </w:rPr>
        <w:t>b)</w:t>
      </w:r>
      <w:r w:rsidRPr="004676F5">
        <w:rPr>
          <w:lang w:val="de-DE"/>
        </w:rPr>
        <w:t> auf Handlungen, die in den Artikeln 14, 15 und 16 der Verordnung (EG) Nr. 2100/94 des Rates der Europäischen Gemeinschaften vom 27. Juli 1994 über den gemeinschaftlichen Sortenschutz erwähnt sind,</w:t>
      </w:r>
    </w:p>
    <w:p w14:paraId="283F5F43" w14:textId="77777777" w:rsidR="006C363A" w:rsidRPr="004676F5" w:rsidRDefault="006C363A" w:rsidP="006C363A">
      <w:pPr>
        <w:ind w:firstLine="708"/>
        <w:jc w:val="both"/>
        <w:rPr>
          <w:lang w:val="de-DE"/>
        </w:rPr>
      </w:pPr>
    </w:p>
    <w:p w14:paraId="223647DC" w14:textId="77777777" w:rsidR="006C363A" w:rsidRPr="004676F5" w:rsidRDefault="006C363A" w:rsidP="006C363A">
      <w:pPr>
        <w:ind w:firstLine="708"/>
        <w:jc w:val="both"/>
        <w:rPr>
          <w:lang w:val="de-DE"/>
        </w:rPr>
      </w:pPr>
      <w:r w:rsidRPr="004676F5">
        <w:rPr>
          <w:lang w:val="de-DE"/>
        </w:rPr>
        <w:t>4. für Geschmacksmusterrecht:</w:t>
      </w:r>
    </w:p>
    <w:p w14:paraId="176F9772" w14:textId="77777777" w:rsidR="006C363A" w:rsidRPr="004676F5" w:rsidRDefault="006C363A" w:rsidP="006C363A">
      <w:pPr>
        <w:ind w:firstLine="708"/>
        <w:jc w:val="both"/>
        <w:rPr>
          <w:lang w:val="de-DE"/>
        </w:rPr>
      </w:pPr>
    </w:p>
    <w:p w14:paraId="2F119FB2" w14:textId="77777777" w:rsidR="006C363A" w:rsidRPr="004676F5" w:rsidRDefault="006C363A" w:rsidP="006C363A">
      <w:pPr>
        <w:ind w:firstLine="708"/>
        <w:jc w:val="both"/>
        <w:rPr>
          <w:lang w:val="de-DE"/>
        </w:rPr>
      </w:pPr>
      <w:r w:rsidRPr="004676F5">
        <w:rPr>
          <w:i/>
          <w:lang w:val="de-DE"/>
        </w:rPr>
        <w:t>a)</w:t>
      </w:r>
      <w:r w:rsidRPr="004676F5">
        <w:rPr>
          <w:lang w:val="de-DE"/>
        </w:rPr>
        <w:t> auf Handlungen, die in den Artikeln 3.19 und 3.20 des Benelux-Übereinkommens vom 25. Februar 2005 über Geistiges Eigentum, gebilligt durch das Gesetz vom 22. März 2006, erwähnt sind,</w:t>
      </w:r>
    </w:p>
    <w:p w14:paraId="52283ABE" w14:textId="77777777" w:rsidR="006C363A" w:rsidRPr="004676F5" w:rsidRDefault="006C363A" w:rsidP="006C363A">
      <w:pPr>
        <w:ind w:firstLine="708"/>
        <w:jc w:val="both"/>
        <w:rPr>
          <w:lang w:val="de-DE"/>
        </w:rPr>
      </w:pPr>
    </w:p>
    <w:p w14:paraId="6C626503" w14:textId="77777777" w:rsidR="006C363A" w:rsidRPr="004676F5" w:rsidRDefault="006C363A" w:rsidP="006C363A">
      <w:pPr>
        <w:ind w:firstLine="708"/>
        <w:jc w:val="both"/>
        <w:rPr>
          <w:lang w:val="de-DE"/>
        </w:rPr>
      </w:pPr>
      <w:r w:rsidRPr="004676F5">
        <w:rPr>
          <w:i/>
          <w:lang w:val="de-DE"/>
        </w:rPr>
        <w:t>b) </w:t>
      </w:r>
      <w:r w:rsidRPr="004676F5">
        <w:rPr>
          <w:lang w:val="de-DE"/>
        </w:rPr>
        <w:t>auf Handlungen, die in den Artikeln 20 bis 23 der Verordnung (EG) Nr. 6/2002 des Rates der Europäischen Gemeinschaften vom 12. Dezember 2001 über das Gemeinschafts</w:t>
      </w:r>
      <w:r w:rsidRPr="004676F5">
        <w:rPr>
          <w:lang w:val="de-DE"/>
        </w:rPr>
        <w:softHyphen/>
        <w:t>geschmacksmuster erwähnt sind.</w:t>
      </w:r>
    </w:p>
    <w:p w14:paraId="15CA03B4" w14:textId="77777777" w:rsidR="006C363A" w:rsidRPr="004676F5" w:rsidRDefault="006C363A" w:rsidP="006C363A">
      <w:pPr>
        <w:ind w:firstLine="708"/>
        <w:jc w:val="both"/>
        <w:rPr>
          <w:lang w:val="de-DE"/>
        </w:rPr>
      </w:pPr>
    </w:p>
    <w:p w14:paraId="01FCBB2E" w14:textId="77777777" w:rsidR="006C363A" w:rsidRPr="004676F5" w:rsidRDefault="006C363A" w:rsidP="006C363A">
      <w:pPr>
        <w:ind w:firstLine="708"/>
        <w:jc w:val="both"/>
        <w:rPr>
          <w:lang w:val="de-DE"/>
        </w:rPr>
      </w:pPr>
    </w:p>
    <w:p w14:paraId="57A57C52" w14:textId="3CBE510D" w:rsidR="006C363A" w:rsidRPr="004676F5" w:rsidRDefault="00BE0A56" w:rsidP="006C363A">
      <w:pPr>
        <w:ind w:firstLine="708"/>
        <w:jc w:val="both"/>
        <w:rPr>
          <w:lang w:val="de-DE"/>
        </w:rPr>
      </w:pPr>
      <w:r w:rsidRPr="004676F5">
        <w:rPr>
          <w:b/>
          <w:lang w:val="de-DE"/>
        </w:rPr>
        <w:t>Art. </w:t>
      </w:r>
      <w:r w:rsidR="006C363A" w:rsidRPr="004676F5">
        <w:rPr>
          <w:b/>
          <w:lang w:val="de-DE"/>
        </w:rPr>
        <w:t>XV.104</w:t>
      </w:r>
      <w:r w:rsidR="006C363A" w:rsidRPr="004676F5">
        <w:rPr>
          <w:lang w:val="de-DE"/>
        </w:rPr>
        <w:t> </w:t>
      </w:r>
      <w:r w:rsidR="005B7A5C" w:rsidRPr="004676F5">
        <w:rPr>
          <w:lang w:val="de-DE"/>
        </w:rPr>
        <w:t>- </w:t>
      </w:r>
      <w:r w:rsidR="006C363A" w:rsidRPr="004676F5">
        <w:rPr>
          <w:lang w:val="de-DE"/>
        </w:rPr>
        <w:t>In den Artikeln XI.291 § 1, XI.292 und XI.293 erwähnte Straftaten werden mit einer Sanktion der Stufe 6 geahndet.</w:t>
      </w:r>
    </w:p>
    <w:p w14:paraId="029F40DE" w14:textId="77777777" w:rsidR="006C363A" w:rsidRPr="004676F5" w:rsidRDefault="006C363A" w:rsidP="006C363A">
      <w:pPr>
        <w:ind w:firstLine="708"/>
        <w:jc w:val="both"/>
        <w:rPr>
          <w:lang w:val="de-DE"/>
        </w:rPr>
      </w:pPr>
    </w:p>
    <w:p w14:paraId="32883E6B" w14:textId="77777777" w:rsidR="000F11AA" w:rsidRPr="004676F5" w:rsidRDefault="000F11AA" w:rsidP="006C363A">
      <w:pPr>
        <w:ind w:firstLine="708"/>
        <w:jc w:val="both"/>
        <w:rPr>
          <w:lang w:val="de-DE"/>
        </w:rPr>
      </w:pPr>
    </w:p>
    <w:p w14:paraId="2FCF6A70" w14:textId="43E29C89" w:rsidR="006C363A" w:rsidRPr="004676F5" w:rsidRDefault="00BE0A56" w:rsidP="006C363A">
      <w:pPr>
        <w:ind w:firstLine="708"/>
        <w:jc w:val="both"/>
        <w:rPr>
          <w:lang w:val="de-DE"/>
        </w:rPr>
      </w:pPr>
      <w:r w:rsidRPr="004676F5">
        <w:rPr>
          <w:b/>
          <w:lang w:val="de-DE"/>
        </w:rPr>
        <w:t>Art. </w:t>
      </w:r>
      <w:r w:rsidR="006C363A" w:rsidRPr="004676F5">
        <w:rPr>
          <w:b/>
          <w:lang w:val="de-DE"/>
        </w:rPr>
        <w:t>XV.105</w:t>
      </w:r>
      <w:r w:rsidR="006C363A" w:rsidRPr="004676F5">
        <w:rPr>
          <w:lang w:val="de-DE"/>
        </w:rPr>
        <w:t> </w:t>
      </w:r>
      <w:r w:rsidR="005B7A5C" w:rsidRPr="004676F5">
        <w:rPr>
          <w:lang w:val="de-DE"/>
        </w:rPr>
        <w:t>- </w:t>
      </w:r>
      <w:r w:rsidR="006C363A" w:rsidRPr="004676F5">
        <w:rPr>
          <w:lang w:val="de-DE"/>
        </w:rPr>
        <w:t>In Artikel XI.304 erwähnte Straftaten werden mit einer Sanktion der Stufe 6 geahndet.</w:t>
      </w:r>
    </w:p>
    <w:p w14:paraId="433313D1" w14:textId="77777777" w:rsidR="006C363A" w:rsidRPr="004676F5" w:rsidRDefault="006C363A" w:rsidP="006C363A">
      <w:pPr>
        <w:ind w:firstLine="708"/>
        <w:jc w:val="both"/>
        <w:rPr>
          <w:lang w:val="de-DE"/>
        </w:rPr>
      </w:pPr>
    </w:p>
    <w:p w14:paraId="198C1D8F" w14:textId="77777777" w:rsidR="000F11AA" w:rsidRPr="004676F5" w:rsidRDefault="000F11AA" w:rsidP="006C363A">
      <w:pPr>
        <w:ind w:firstLine="708"/>
        <w:jc w:val="both"/>
        <w:rPr>
          <w:lang w:val="de-DE"/>
        </w:rPr>
      </w:pPr>
    </w:p>
    <w:p w14:paraId="2F56A841" w14:textId="6A60D8B8" w:rsidR="006C363A" w:rsidRPr="004676F5" w:rsidRDefault="00BE0A56" w:rsidP="006C363A">
      <w:pPr>
        <w:ind w:firstLine="708"/>
        <w:jc w:val="both"/>
        <w:rPr>
          <w:lang w:val="de-DE"/>
        </w:rPr>
      </w:pPr>
      <w:r w:rsidRPr="004676F5">
        <w:rPr>
          <w:b/>
          <w:lang w:val="de-DE"/>
        </w:rPr>
        <w:t>Art. </w:t>
      </w:r>
      <w:r w:rsidR="006C363A" w:rsidRPr="004676F5">
        <w:rPr>
          <w:b/>
          <w:lang w:val="de-DE"/>
        </w:rPr>
        <w:t>XV.106</w:t>
      </w:r>
      <w:r w:rsidR="006C363A" w:rsidRPr="004676F5">
        <w:rPr>
          <w:lang w:val="de-DE"/>
        </w:rPr>
        <w:t> </w:t>
      </w:r>
      <w:r w:rsidR="005B7A5C" w:rsidRPr="004676F5">
        <w:rPr>
          <w:lang w:val="de-DE"/>
        </w:rPr>
        <w:t>- </w:t>
      </w:r>
      <w:r w:rsidR="006C363A" w:rsidRPr="004676F5">
        <w:rPr>
          <w:lang w:val="de-DE"/>
        </w:rPr>
        <w:t>In den Artikeln XI.316 § 1, XI.317 und XI.318 erwähnte Straftaten werden mit einer Sanktion der Stufe 6 geahndet.</w:t>
      </w:r>
    </w:p>
    <w:p w14:paraId="2A818D06" w14:textId="77777777" w:rsidR="006C363A" w:rsidRPr="004676F5" w:rsidRDefault="006C363A" w:rsidP="006C363A">
      <w:pPr>
        <w:ind w:firstLine="708"/>
        <w:jc w:val="both"/>
        <w:rPr>
          <w:lang w:val="de-DE"/>
        </w:rPr>
      </w:pPr>
    </w:p>
    <w:p w14:paraId="470BD6A0" w14:textId="77777777" w:rsidR="000F11AA" w:rsidRPr="004676F5" w:rsidRDefault="000F11AA" w:rsidP="006C363A">
      <w:pPr>
        <w:ind w:firstLine="708"/>
        <w:jc w:val="both"/>
        <w:rPr>
          <w:lang w:val="de-DE"/>
        </w:rPr>
      </w:pPr>
    </w:p>
    <w:p w14:paraId="2C35A1DA" w14:textId="295C7CD9" w:rsidR="006C363A" w:rsidRPr="004676F5" w:rsidRDefault="00BE0A56" w:rsidP="000F11AA">
      <w:pPr>
        <w:ind w:firstLine="708"/>
        <w:jc w:val="both"/>
        <w:rPr>
          <w:lang w:val="de-DE"/>
        </w:rPr>
      </w:pPr>
      <w:r w:rsidRPr="004676F5">
        <w:rPr>
          <w:b/>
          <w:lang w:val="de-DE"/>
        </w:rPr>
        <w:t>Art. </w:t>
      </w:r>
      <w:r w:rsidR="006C363A" w:rsidRPr="004676F5">
        <w:rPr>
          <w:b/>
          <w:lang w:val="de-DE"/>
        </w:rPr>
        <w:t>XV.107</w:t>
      </w:r>
      <w:r w:rsidR="006C363A" w:rsidRPr="004676F5">
        <w:rPr>
          <w:lang w:val="de-DE"/>
        </w:rPr>
        <w:t> </w:t>
      </w:r>
      <w:r w:rsidR="005B7A5C" w:rsidRPr="004676F5">
        <w:rPr>
          <w:lang w:val="de-DE"/>
        </w:rPr>
        <w:t>- </w:t>
      </w:r>
      <w:r w:rsidR="006C363A" w:rsidRPr="004676F5">
        <w:rPr>
          <w:lang w:val="de-DE"/>
        </w:rPr>
        <w:t>Mit einer Sanktion der Stufe 1 wird bestraft, wer im geschäftlichen Verkehr in böswilliger oder betrügerischer Absicht unrechtmäßig die Eigenschaft des Inhabers eines Warenzeichens oder einer Dienstleistungsmarke, eines Erfindungspatents, eines ergänzenden Schutzzertifikats, eines Sortenschutzrechts oder eines Geschmacksmuster</w:t>
      </w:r>
      <w:r w:rsidR="006C363A" w:rsidRPr="004676F5">
        <w:rPr>
          <w:lang w:val="de-DE"/>
        </w:rPr>
        <w:softHyphen/>
        <w:t>rechts beziehungsweise einer Person, die diese beantragt, geltend macht.</w:t>
      </w:r>
    </w:p>
    <w:p w14:paraId="208EE6FD" w14:textId="77777777" w:rsidR="006C363A" w:rsidRPr="004676F5" w:rsidRDefault="006C363A" w:rsidP="006C363A">
      <w:pPr>
        <w:ind w:firstLine="708"/>
        <w:jc w:val="both"/>
        <w:rPr>
          <w:lang w:val="de-DE"/>
        </w:rPr>
      </w:pPr>
    </w:p>
    <w:p w14:paraId="254033A1" w14:textId="77777777" w:rsidR="000F11AA" w:rsidRPr="004676F5" w:rsidRDefault="000F11AA" w:rsidP="006C363A">
      <w:pPr>
        <w:ind w:firstLine="708"/>
        <w:jc w:val="both"/>
        <w:rPr>
          <w:lang w:val="de-DE"/>
        </w:rPr>
      </w:pPr>
    </w:p>
    <w:p w14:paraId="2B09786A" w14:textId="7860C0F3" w:rsidR="006C363A" w:rsidRPr="004676F5" w:rsidRDefault="00BE0A56" w:rsidP="006C363A">
      <w:pPr>
        <w:ind w:firstLine="708"/>
        <w:jc w:val="both"/>
        <w:rPr>
          <w:lang w:val="de-DE"/>
        </w:rPr>
      </w:pPr>
      <w:r w:rsidRPr="004676F5">
        <w:rPr>
          <w:b/>
          <w:lang w:val="de-DE"/>
        </w:rPr>
        <w:t>Art. </w:t>
      </w:r>
      <w:r w:rsidR="006C363A" w:rsidRPr="004676F5">
        <w:rPr>
          <w:b/>
          <w:lang w:val="de-DE"/>
        </w:rPr>
        <w:t>XV.108</w:t>
      </w:r>
      <w:r w:rsidR="006C363A" w:rsidRPr="004676F5">
        <w:rPr>
          <w:lang w:val="de-DE"/>
        </w:rPr>
        <w:t> </w:t>
      </w:r>
      <w:r w:rsidR="005B7A5C" w:rsidRPr="004676F5">
        <w:rPr>
          <w:lang w:val="de-DE"/>
        </w:rPr>
        <w:t>- </w:t>
      </w:r>
      <w:r w:rsidR="006C363A" w:rsidRPr="004676F5">
        <w:rPr>
          <w:lang w:val="de-DE"/>
        </w:rPr>
        <w:t>Mit einer Sanktion der Stufe 5 wird bestraft, wer sich in böswilliger oder betrügerischer Absicht an gleich welchem Ort an natürliche oder juristische Personen wendet, um ihnen vorzuschlagen:</w:t>
      </w:r>
    </w:p>
    <w:p w14:paraId="255D3494" w14:textId="77777777" w:rsidR="006C363A" w:rsidRPr="004676F5" w:rsidRDefault="006C363A" w:rsidP="006C363A">
      <w:pPr>
        <w:ind w:firstLine="708"/>
        <w:jc w:val="both"/>
        <w:rPr>
          <w:lang w:val="de-DE"/>
        </w:rPr>
      </w:pPr>
    </w:p>
    <w:p w14:paraId="03B6E2D8" w14:textId="04C1B435" w:rsidR="006C363A" w:rsidRPr="004676F5" w:rsidRDefault="005B7A5C" w:rsidP="006C363A">
      <w:pPr>
        <w:ind w:firstLine="708"/>
        <w:jc w:val="both"/>
        <w:rPr>
          <w:lang w:val="de-DE"/>
        </w:rPr>
      </w:pPr>
      <w:r w:rsidRPr="004676F5">
        <w:rPr>
          <w:lang w:val="de-DE"/>
        </w:rPr>
        <w:t>- </w:t>
      </w:r>
      <w:r w:rsidR="006C363A" w:rsidRPr="004676F5">
        <w:rPr>
          <w:lang w:val="de-DE"/>
        </w:rPr>
        <w:t>entweder eine Eintragung der in Artikel XV.103 § 1 erwähnten Rechte in nicht amtliche Register oder Veröffentlichungen vorzunehmen, indem er sie glauben lässt, dass diese Eintragung erforderlich ist, damit vorerwähnte Rechte wirksam werden,</w:t>
      </w:r>
    </w:p>
    <w:p w14:paraId="1A291A1D" w14:textId="77777777" w:rsidR="006C363A" w:rsidRPr="004676F5" w:rsidRDefault="006C363A" w:rsidP="006C363A">
      <w:pPr>
        <w:ind w:firstLine="708"/>
        <w:jc w:val="both"/>
        <w:rPr>
          <w:lang w:val="de-DE"/>
        </w:rPr>
      </w:pPr>
    </w:p>
    <w:p w14:paraId="35DB935E" w14:textId="0E030833" w:rsidR="006C363A" w:rsidRPr="004676F5" w:rsidRDefault="005B7A5C" w:rsidP="006C363A">
      <w:pPr>
        <w:ind w:firstLine="708"/>
        <w:jc w:val="both"/>
        <w:rPr>
          <w:lang w:val="de-DE"/>
        </w:rPr>
      </w:pPr>
      <w:r w:rsidRPr="004676F5">
        <w:rPr>
          <w:lang w:val="de-DE"/>
        </w:rPr>
        <w:t>- </w:t>
      </w:r>
      <w:r w:rsidR="006C363A" w:rsidRPr="004676F5">
        <w:rPr>
          <w:lang w:val="de-DE"/>
        </w:rPr>
        <w:t>oder irgendein Dokument zu unterschreiben, durch das angeblich Erfindungen oder Schöpfungen geschützt werden sollen, das aber über keinerlei amtliche, nationale oder internationale Anerkennung oder Sicherheit verfügt, indem er Vertrauen, Unkenntnis oder Leichtgläubigkeit der vorerwähnten Personen missbraucht.</w:t>
      </w:r>
    </w:p>
    <w:p w14:paraId="43B145E7" w14:textId="77777777" w:rsidR="006C363A" w:rsidRPr="004676F5" w:rsidRDefault="006C363A" w:rsidP="006C363A">
      <w:pPr>
        <w:ind w:firstLine="708"/>
        <w:jc w:val="both"/>
        <w:rPr>
          <w:lang w:val="de-DE"/>
        </w:rPr>
      </w:pPr>
    </w:p>
    <w:p w14:paraId="02D39713" w14:textId="77777777" w:rsidR="000F11AA" w:rsidRPr="004676F5" w:rsidRDefault="000F11AA" w:rsidP="006C363A">
      <w:pPr>
        <w:ind w:firstLine="708"/>
        <w:jc w:val="both"/>
        <w:rPr>
          <w:lang w:val="de-DE"/>
        </w:rPr>
      </w:pPr>
    </w:p>
    <w:p w14:paraId="0A575373" w14:textId="1803AC32" w:rsidR="006C363A" w:rsidRPr="004676F5" w:rsidRDefault="00BE0A56" w:rsidP="006C363A">
      <w:pPr>
        <w:ind w:firstLine="708"/>
        <w:jc w:val="both"/>
        <w:rPr>
          <w:lang w:val="de-DE"/>
        </w:rPr>
      </w:pPr>
      <w:r w:rsidRPr="004676F5">
        <w:rPr>
          <w:b/>
          <w:lang w:val="de-DE"/>
        </w:rPr>
        <w:t>Art. </w:t>
      </w:r>
      <w:r w:rsidR="006C363A" w:rsidRPr="004676F5">
        <w:rPr>
          <w:b/>
          <w:lang w:val="de-DE"/>
        </w:rPr>
        <w:t>XV.109</w:t>
      </w:r>
      <w:r w:rsidR="006C363A" w:rsidRPr="004676F5">
        <w:rPr>
          <w:lang w:val="de-DE"/>
        </w:rPr>
        <w:t> </w:t>
      </w:r>
      <w:r w:rsidR="005B7A5C" w:rsidRPr="004676F5">
        <w:rPr>
          <w:lang w:val="de-DE"/>
        </w:rPr>
        <w:t>- </w:t>
      </w:r>
      <w:r w:rsidR="006C363A" w:rsidRPr="004676F5">
        <w:rPr>
          <w:lang w:val="de-DE"/>
        </w:rPr>
        <w:t>Mit einer Sanktion der Stufe 4 wird bestraft, wer die Ausführung des Auftrags nach vorliegendem Gesetzbuch der in den Artikeln XI.43 § 2 und XI.128 § 2 erwähnten Bediensteten ver</w:t>
      </w:r>
      <w:r w:rsidR="005B7A5C" w:rsidRPr="004676F5">
        <w:rPr>
          <w:lang w:val="de-DE"/>
        </w:rPr>
        <w:t>- </w:t>
      </w:r>
      <w:r w:rsidR="006C363A" w:rsidRPr="004676F5">
        <w:rPr>
          <w:lang w:val="de-DE"/>
        </w:rPr>
        <w:t>oder behindert.</w:t>
      </w:r>
    </w:p>
    <w:p w14:paraId="53292850" w14:textId="77777777" w:rsidR="006C363A" w:rsidRPr="004676F5" w:rsidRDefault="006C363A" w:rsidP="006C363A">
      <w:pPr>
        <w:ind w:firstLine="708"/>
        <w:jc w:val="both"/>
        <w:rPr>
          <w:lang w:val="de-DE"/>
        </w:rPr>
      </w:pPr>
    </w:p>
    <w:p w14:paraId="6CFC651C" w14:textId="77777777" w:rsidR="006C363A" w:rsidRPr="004676F5" w:rsidRDefault="006C363A" w:rsidP="006C363A">
      <w:pPr>
        <w:ind w:firstLine="708"/>
        <w:jc w:val="both"/>
        <w:rPr>
          <w:lang w:val="de-DE"/>
        </w:rPr>
      </w:pPr>
      <w:r w:rsidRPr="004676F5">
        <w:rPr>
          <w:lang w:val="de-DE"/>
        </w:rPr>
        <w:t xml:space="preserve">Falsche Erklärungen werden mit denselben Strafen belegt. </w:t>
      </w:r>
    </w:p>
    <w:p w14:paraId="29BFCED8" w14:textId="77777777" w:rsidR="006C363A" w:rsidRPr="004676F5" w:rsidRDefault="006C363A" w:rsidP="006C363A">
      <w:pPr>
        <w:ind w:firstLine="708"/>
        <w:jc w:val="both"/>
        <w:rPr>
          <w:lang w:val="de-DE"/>
        </w:rPr>
      </w:pPr>
    </w:p>
    <w:p w14:paraId="3E6F0F0F" w14:textId="55BEDCD4" w:rsidR="006C363A" w:rsidRPr="004676F5" w:rsidRDefault="006C363A" w:rsidP="006C363A">
      <w:pPr>
        <w:ind w:firstLine="708"/>
        <w:jc w:val="both"/>
        <w:rPr>
          <w:lang w:val="de-DE"/>
        </w:rPr>
      </w:pPr>
      <w:r w:rsidRPr="004676F5">
        <w:rPr>
          <w:lang w:val="de-DE"/>
        </w:rPr>
        <w:t>Als Personen, die die Ausführung des Auftrags vorsätzlich ver</w:t>
      </w:r>
      <w:r w:rsidR="005B7A5C" w:rsidRPr="004676F5">
        <w:rPr>
          <w:lang w:val="de-DE"/>
        </w:rPr>
        <w:t>- </w:t>
      </w:r>
      <w:r w:rsidRPr="004676F5">
        <w:rPr>
          <w:lang w:val="de-DE"/>
        </w:rPr>
        <w:t>oder behindern, werden unter anderem Personen betrachtet:</w:t>
      </w:r>
    </w:p>
    <w:p w14:paraId="45A17D14" w14:textId="77777777" w:rsidR="006C363A" w:rsidRPr="004676F5" w:rsidRDefault="006C363A" w:rsidP="006C363A">
      <w:pPr>
        <w:ind w:firstLine="708"/>
        <w:jc w:val="both"/>
        <w:rPr>
          <w:lang w:val="de-DE"/>
        </w:rPr>
      </w:pPr>
    </w:p>
    <w:p w14:paraId="5F483ECE" w14:textId="77777777" w:rsidR="006C363A" w:rsidRPr="004676F5" w:rsidRDefault="006C363A" w:rsidP="006C363A">
      <w:pPr>
        <w:ind w:firstLine="708"/>
        <w:jc w:val="both"/>
        <w:rPr>
          <w:lang w:val="de-DE"/>
        </w:rPr>
      </w:pPr>
      <w:r w:rsidRPr="004676F5">
        <w:rPr>
          <w:lang w:val="de-DE"/>
        </w:rPr>
        <w:t>1. die sich weigern, beantragte Informationen oder Unterlagen mitzuteilen,</w:t>
      </w:r>
    </w:p>
    <w:p w14:paraId="719E5D2B" w14:textId="77777777" w:rsidR="006C363A" w:rsidRPr="004676F5" w:rsidRDefault="006C363A" w:rsidP="006C363A">
      <w:pPr>
        <w:ind w:firstLine="708"/>
        <w:jc w:val="both"/>
        <w:rPr>
          <w:lang w:val="de-DE"/>
        </w:rPr>
      </w:pPr>
    </w:p>
    <w:p w14:paraId="63692FE2" w14:textId="77777777" w:rsidR="006C363A" w:rsidRPr="004676F5" w:rsidRDefault="006C363A" w:rsidP="006C363A">
      <w:pPr>
        <w:ind w:firstLine="708"/>
        <w:jc w:val="both"/>
        <w:rPr>
          <w:lang w:val="de-DE"/>
        </w:rPr>
      </w:pPr>
      <w:r w:rsidRPr="004676F5">
        <w:rPr>
          <w:lang w:val="de-DE"/>
        </w:rPr>
        <w:t>2. die wissentlich falsche Informationen oder Unterlagen mitteilen.</w:t>
      </w:r>
    </w:p>
    <w:p w14:paraId="555ED548" w14:textId="77777777" w:rsidR="006C363A" w:rsidRPr="004676F5" w:rsidRDefault="006C363A" w:rsidP="006C363A">
      <w:pPr>
        <w:ind w:firstLine="708"/>
        <w:jc w:val="both"/>
        <w:rPr>
          <w:lang w:val="de-DE"/>
        </w:rPr>
      </w:pPr>
    </w:p>
    <w:p w14:paraId="3228FF60" w14:textId="77777777" w:rsidR="000F11AA" w:rsidRPr="004676F5" w:rsidRDefault="000F11AA" w:rsidP="006C363A">
      <w:pPr>
        <w:ind w:firstLine="708"/>
        <w:jc w:val="both"/>
        <w:rPr>
          <w:lang w:val="de-DE"/>
        </w:rPr>
      </w:pPr>
    </w:p>
    <w:p w14:paraId="69D9E601" w14:textId="78013208" w:rsidR="006C363A" w:rsidRPr="004676F5" w:rsidRDefault="00BE0A56" w:rsidP="006C363A">
      <w:pPr>
        <w:ind w:firstLine="708"/>
        <w:jc w:val="both"/>
        <w:rPr>
          <w:lang w:val="de-DE"/>
        </w:rPr>
      </w:pPr>
      <w:r w:rsidRPr="004676F5">
        <w:rPr>
          <w:b/>
          <w:lang w:val="de-DE"/>
        </w:rPr>
        <w:t>Art. </w:t>
      </w:r>
      <w:r w:rsidR="006C363A" w:rsidRPr="004676F5">
        <w:rPr>
          <w:b/>
          <w:lang w:val="de-DE"/>
        </w:rPr>
        <w:t>XV.110</w:t>
      </w:r>
      <w:r w:rsidR="006C363A" w:rsidRPr="004676F5">
        <w:rPr>
          <w:lang w:val="de-DE"/>
        </w:rPr>
        <w:t> </w:t>
      </w:r>
      <w:r w:rsidR="005B7A5C" w:rsidRPr="004676F5">
        <w:rPr>
          <w:lang w:val="de-DE"/>
        </w:rPr>
        <w:t>- </w:t>
      </w:r>
      <w:r w:rsidR="006C363A" w:rsidRPr="004676F5">
        <w:rPr>
          <w:lang w:val="de-DE"/>
        </w:rPr>
        <w:t>Mit einer Sanktion der Stufe 3 werden bestraft:</w:t>
      </w:r>
    </w:p>
    <w:p w14:paraId="6759B649" w14:textId="77777777" w:rsidR="006C363A" w:rsidRPr="004676F5" w:rsidRDefault="006C363A" w:rsidP="006C363A">
      <w:pPr>
        <w:ind w:firstLine="708"/>
        <w:jc w:val="both"/>
        <w:rPr>
          <w:lang w:val="de-DE"/>
        </w:rPr>
      </w:pPr>
    </w:p>
    <w:p w14:paraId="77B30D5F" w14:textId="77777777" w:rsidR="006C363A" w:rsidRPr="004676F5" w:rsidRDefault="006C363A" w:rsidP="006C363A">
      <w:pPr>
        <w:ind w:firstLine="708"/>
        <w:jc w:val="both"/>
        <w:rPr>
          <w:lang w:val="de-DE"/>
        </w:rPr>
      </w:pPr>
      <w:r w:rsidRPr="004676F5">
        <w:rPr>
          <w:lang w:val="de-DE"/>
        </w:rPr>
        <w:t>1. Benutzer, die vorsätzlich einen Verstoß gegen Artikel XI.272 § 2 begehen,</w:t>
      </w:r>
    </w:p>
    <w:p w14:paraId="2B14E335" w14:textId="77777777" w:rsidR="006C363A" w:rsidRPr="004676F5" w:rsidRDefault="006C363A" w:rsidP="006C363A">
      <w:pPr>
        <w:ind w:firstLine="708"/>
        <w:jc w:val="both"/>
        <w:rPr>
          <w:lang w:val="de-DE"/>
        </w:rPr>
      </w:pPr>
    </w:p>
    <w:p w14:paraId="5B5D3F18" w14:textId="717B05F3" w:rsidR="006C363A" w:rsidRPr="004676F5" w:rsidRDefault="006C363A" w:rsidP="006C363A">
      <w:pPr>
        <w:ind w:firstLine="708"/>
        <w:jc w:val="both"/>
        <w:rPr>
          <w:lang w:val="de-DE"/>
        </w:rPr>
      </w:pPr>
      <w:r w:rsidRPr="004676F5">
        <w:rPr>
          <w:lang w:val="de-DE"/>
        </w:rPr>
        <w:t>2. Vertreter des Kunstmarkts, die vorsätzlich die Ausübung des in Artikel XI.178 § 4 erwähnten Informationsrecht ver</w:t>
      </w:r>
      <w:r w:rsidR="005B7A5C" w:rsidRPr="004676F5">
        <w:rPr>
          <w:lang w:val="de-DE"/>
        </w:rPr>
        <w:t>- </w:t>
      </w:r>
      <w:r w:rsidRPr="004676F5">
        <w:rPr>
          <w:lang w:val="de-DE"/>
        </w:rPr>
        <w:t>oder behindern.</w:t>
      </w:r>
    </w:p>
    <w:p w14:paraId="234A6991" w14:textId="77777777" w:rsidR="006C363A" w:rsidRPr="004676F5" w:rsidRDefault="006C363A" w:rsidP="006C363A">
      <w:pPr>
        <w:ind w:firstLine="708"/>
        <w:jc w:val="both"/>
        <w:rPr>
          <w:lang w:val="de-DE"/>
        </w:rPr>
      </w:pPr>
    </w:p>
    <w:p w14:paraId="78C09E17" w14:textId="77777777" w:rsidR="006C363A" w:rsidRPr="004676F5" w:rsidRDefault="006C363A" w:rsidP="006C363A">
      <w:pPr>
        <w:ind w:firstLine="708"/>
        <w:jc w:val="both"/>
        <w:rPr>
          <w:lang w:val="de-DE"/>
        </w:rPr>
      </w:pPr>
      <w:r w:rsidRPr="004676F5">
        <w:rPr>
          <w:lang w:val="de-DE"/>
        </w:rPr>
        <w:t>Falsche Erklärungen werden mit denselben Strafen belegt.</w:t>
      </w:r>
    </w:p>
    <w:p w14:paraId="107DBDF6" w14:textId="77777777" w:rsidR="006C363A" w:rsidRPr="004676F5" w:rsidRDefault="006C363A" w:rsidP="006C363A">
      <w:pPr>
        <w:ind w:firstLine="708"/>
        <w:jc w:val="both"/>
        <w:rPr>
          <w:lang w:val="de-DE"/>
        </w:rPr>
      </w:pPr>
    </w:p>
    <w:p w14:paraId="42ED4588" w14:textId="799249F1" w:rsidR="006C363A" w:rsidRPr="004676F5" w:rsidRDefault="006C363A" w:rsidP="006C363A">
      <w:pPr>
        <w:ind w:firstLine="708"/>
        <w:jc w:val="both"/>
        <w:rPr>
          <w:lang w:val="de-DE"/>
        </w:rPr>
      </w:pPr>
      <w:r w:rsidRPr="004676F5">
        <w:rPr>
          <w:lang w:val="de-DE"/>
        </w:rPr>
        <w:lastRenderedPageBreak/>
        <w:t>Als Personen, die die Ausführung des Auftrags vorsätzlich ver</w:t>
      </w:r>
      <w:r w:rsidR="005B7A5C" w:rsidRPr="004676F5">
        <w:rPr>
          <w:lang w:val="de-DE"/>
        </w:rPr>
        <w:t>- </w:t>
      </w:r>
      <w:r w:rsidRPr="004676F5">
        <w:rPr>
          <w:lang w:val="de-DE"/>
        </w:rPr>
        <w:t>oder behindern, werden unter anderem Personen betrachtet:</w:t>
      </w:r>
    </w:p>
    <w:p w14:paraId="239150F8" w14:textId="77777777" w:rsidR="006C363A" w:rsidRPr="004676F5" w:rsidRDefault="006C363A" w:rsidP="006C363A">
      <w:pPr>
        <w:ind w:firstLine="708"/>
        <w:jc w:val="both"/>
        <w:rPr>
          <w:lang w:val="de-DE"/>
        </w:rPr>
      </w:pPr>
    </w:p>
    <w:p w14:paraId="18DBF66A" w14:textId="77777777" w:rsidR="006C363A" w:rsidRPr="004676F5" w:rsidRDefault="006C363A" w:rsidP="006C363A">
      <w:pPr>
        <w:ind w:firstLine="708"/>
        <w:jc w:val="both"/>
        <w:rPr>
          <w:lang w:val="de-DE"/>
        </w:rPr>
      </w:pPr>
      <w:r w:rsidRPr="004676F5">
        <w:rPr>
          <w:lang w:val="de-DE"/>
        </w:rPr>
        <w:t>1. die sich weigern, beantragte Informationen oder Unterlagen mitzuteilen,</w:t>
      </w:r>
    </w:p>
    <w:p w14:paraId="4988FC73" w14:textId="77777777" w:rsidR="006C363A" w:rsidRPr="004676F5" w:rsidRDefault="006C363A" w:rsidP="006C363A">
      <w:pPr>
        <w:ind w:firstLine="708"/>
        <w:jc w:val="both"/>
        <w:rPr>
          <w:lang w:val="de-DE"/>
        </w:rPr>
      </w:pPr>
    </w:p>
    <w:p w14:paraId="2749AD9B" w14:textId="77777777" w:rsidR="006C363A" w:rsidRPr="004676F5" w:rsidRDefault="006C363A" w:rsidP="006C363A">
      <w:pPr>
        <w:ind w:firstLine="708"/>
        <w:jc w:val="both"/>
        <w:rPr>
          <w:lang w:val="de-DE"/>
        </w:rPr>
      </w:pPr>
      <w:r w:rsidRPr="004676F5">
        <w:rPr>
          <w:lang w:val="de-DE"/>
        </w:rPr>
        <w:t>2. die wissentlich falsche Informationen oder Unterlagen mitteilen.</w:t>
      </w:r>
    </w:p>
    <w:p w14:paraId="5095E761" w14:textId="77777777" w:rsidR="006C363A" w:rsidRPr="004676F5" w:rsidRDefault="006C363A" w:rsidP="006C363A">
      <w:pPr>
        <w:ind w:firstLine="708"/>
        <w:jc w:val="both"/>
        <w:rPr>
          <w:lang w:val="de-DE"/>
        </w:rPr>
      </w:pPr>
    </w:p>
    <w:p w14:paraId="21DA4670" w14:textId="77777777" w:rsidR="000F11AA" w:rsidRPr="004676F5" w:rsidRDefault="000F11AA" w:rsidP="006C363A">
      <w:pPr>
        <w:ind w:firstLine="708"/>
        <w:jc w:val="both"/>
        <w:rPr>
          <w:lang w:val="de-DE"/>
        </w:rPr>
      </w:pPr>
    </w:p>
    <w:p w14:paraId="4DCCF421" w14:textId="23F9F93F" w:rsidR="006C363A" w:rsidRPr="004676F5" w:rsidRDefault="00BE0A56" w:rsidP="006C363A">
      <w:pPr>
        <w:ind w:firstLine="708"/>
        <w:jc w:val="both"/>
        <w:rPr>
          <w:lang w:val="de-DE"/>
        </w:rPr>
      </w:pPr>
      <w:r w:rsidRPr="004676F5">
        <w:rPr>
          <w:b/>
          <w:lang w:val="de-DE"/>
        </w:rPr>
        <w:t>Art. </w:t>
      </w:r>
      <w:r w:rsidR="006C363A" w:rsidRPr="004676F5">
        <w:rPr>
          <w:b/>
          <w:lang w:val="de-DE"/>
        </w:rPr>
        <w:t>XV.111</w:t>
      </w:r>
      <w:r w:rsidR="006C363A" w:rsidRPr="004676F5">
        <w:rPr>
          <w:lang w:val="de-DE"/>
        </w:rPr>
        <w:t> </w:t>
      </w:r>
      <w:r w:rsidR="005B7A5C" w:rsidRPr="004676F5">
        <w:rPr>
          <w:lang w:val="de-DE"/>
        </w:rPr>
        <w:t>- </w:t>
      </w:r>
      <w:r w:rsidR="006C363A" w:rsidRPr="004676F5">
        <w:rPr>
          <w:lang w:val="de-DE"/>
        </w:rPr>
        <w:t>§ 1 </w:t>
      </w:r>
      <w:r w:rsidR="005B7A5C" w:rsidRPr="004676F5">
        <w:rPr>
          <w:lang w:val="de-DE"/>
        </w:rPr>
        <w:t>- </w:t>
      </w:r>
      <w:r w:rsidR="006C363A" w:rsidRPr="004676F5">
        <w:rPr>
          <w:lang w:val="de-DE"/>
        </w:rPr>
        <w:t>Wenn eine Marke, ein Patent, ein ergänzendes Schutzzertifikat, ein Sortenschutzrecht beziehungsweise ein Geschmacksmusterrecht, deren Verletzung geltend gemacht wird, für nichtig erklärt wird, aberkannt wird oder durch eine formell rechtskräftige gerichtliche Entscheidung oder infolge eines administrativen Beschlusses oder des Willens beziehungsweise der Fahrlässigkeit seines Inhabers gestrichen wird, kann keinerlei Strafe für Handlungen ausgesprochen werden, die nach dem Datum des Wirksamwerdens der Nichtigkeit, der Aberkennung oder des Erlöschens des Rechts durchgeführt wurden.</w:t>
      </w:r>
    </w:p>
    <w:p w14:paraId="4ABE6DBB" w14:textId="77777777" w:rsidR="006C363A" w:rsidRPr="004676F5" w:rsidRDefault="006C363A" w:rsidP="006C363A">
      <w:pPr>
        <w:ind w:firstLine="708"/>
        <w:jc w:val="both"/>
        <w:rPr>
          <w:lang w:val="de-DE"/>
        </w:rPr>
      </w:pPr>
    </w:p>
    <w:p w14:paraId="06846D50" w14:textId="4F498E70" w:rsidR="006C363A" w:rsidRPr="004676F5" w:rsidRDefault="006C363A" w:rsidP="006C363A">
      <w:pPr>
        <w:ind w:firstLine="708"/>
        <w:jc w:val="both"/>
        <w:rPr>
          <w:lang w:val="de-DE"/>
        </w:rPr>
      </w:pPr>
      <w:r w:rsidRPr="004676F5">
        <w:rPr>
          <w:lang w:val="de-DE"/>
        </w:rPr>
        <w:t>§ 2 </w:t>
      </w:r>
      <w:r w:rsidR="005B7A5C" w:rsidRPr="004676F5">
        <w:rPr>
          <w:lang w:val="de-DE"/>
        </w:rPr>
        <w:t>- </w:t>
      </w:r>
      <w:r w:rsidRPr="004676F5">
        <w:rPr>
          <w:lang w:val="de-DE"/>
        </w:rPr>
        <w:t>Wenn der Angeklagte eine Einrede geltend macht, die er aus der Ungültigkeit, der Nichtigkeit oder der Aberkennung des geistigen Eigentumsrechts, dessen Verletzung geltend gemacht wird, ableitet, und wenn die Zuständigkeit hinsichtlich der Prüfung dieser Frage durch ein Gesetz oder eine Verordnung der Europäischen Union ausschließlich einer anderen Behörde vorbehalten ist, schiebt das Gericht in Abweichung von Artikel 15 des Strafprozessgesetzbuches die Entscheidung auf und räumt dem Angeklagten eine Frist für die Einreichung einer entsprechenden Klage bei der zuständigen Instanz ein.</w:t>
      </w:r>
    </w:p>
    <w:p w14:paraId="21624964" w14:textId="77777777" w:rsidR="006C363A" w:rsidRPr="004676F5" w:rsidRDefault="006C363A" w:rsidP="006C363A">
      <w:pPr>
        <w:ind w:firstLine="708"/>
        <w:jc w:val="both"/>
        <w:rPr>
          <w:lang w:val="de-DE"/>
        </w:rPr>
      </w:pPr>
    </w:p>
    <w:p w14:paraId="52A64510" w14:textId="77777777" w:rsidR="006C363A" w:rsidRPr="004676F5" w:rsidRDefault="006C363A" w:rsidP="006C363A">
      <w:pPr>
        <w:ind w:firstLine="708"/>
        <w:jc w:val="both"/>
        <w:rPr>
          <w:lang w:val="de-DE"/>
        </w:rPr>
      </w:pPr>
      <w:r w:rsidRPr="004676F5">
        <w:rPr>
          <w:lang w:val="de-DE"/>
        </w:rPr>
        <w:t>Die Verjährung der Strafverfolgung wird ausgesetzt, bis in Bezug auf die in Absatz 1 erwähnte Klage auf Nichtigkeitserklärung oder Aberkennungsklage oder über die in den Artikeln XVII.2 ff. des vorliegenden Gesetzbuches erwähnte Unterlassungsklage ein formell rechtskräftiger Beschluss ergangen ist. Erklärt die zuständige Instanz die Einrede für begründet oder wird die Entscheidung über die Einrede mit der Hauptsache verbunden, wird die Verjährung nicht gehemmt.</w:t>
      </w:r>
    </w:p>
    <w:p w14:paraId="4FB45872" w14:textId="77777777" w:rsidR="006C363A" w:rsidRPr="004676F5" w:rsidRDefault="006C363A" w:rsidP="006C363A">
      <w:pPr>
        <w:ind w:firstLine="708"/>
        <w:jc w:val="both"/>
        <w:rPr>
          <w:lang w:val="de-DE"/>
        </w:rPr>
      </w:pPr>
    </w:p>
    <w:p w14:paraId="54B1DAE4" w14:textId="77777777" w:rsidR="000F11AA" w:rsidRPr="004676F5" w:rsidRDefault="000F11AA" w:rsidP="006C363A">
      <w:pPr>
        <w:ind w:firstLine="708"/>
        <w:jc w:val="both"/>
        <w:rPr>
          <w:lang w:val="de-DE"/>
        </w:rPr>
      </w:pPr>
    </w:p>
    <w:p w14:paraId="46272FA0" w14:textId="5D6A4EFD" w:rsidR="006C363A" w:rsidRPr="004676F5" w:rsidRDefault="006C363A" w:rsidP="006C363A">
      <w:pPr>
        <w:jc w:val="center"/>
        <w:rPr>
          <w:lang w:val="de-DE"/>
        </w:rPr>
      </w:pPr>
      <w:r w:rsidRPr="004676F5">
        <w:rPr>
          <w:lang w:val="de-DE"/>
        </w:rPr>
        <w:t>Unterabschnitt 2 </w:t>
      </w:r>
      <w:r w:rsidR="005B7A5C" w:rsidRPr="004676F5">
        <w:rPr>
          <w:lang w:val="de-DE"/>
        </w:rPr>
        <w:t>- </w:t>
      </w:r>
      <w:r w:rsidRPr="004676F5">
        <w:rPr>
          <w:lang w:val="de-DE"/>
        </w:rPr>
        <w:t>Kollektive Wahrnehmung der Urheberrechte und verwandten Schutzrechte</w:t>
      </w:r>
    </w:p>
    <w:p w14:paraId="685ADBF3" w14:textId="77777777" w:rsidR="006C363A" w:rsidRPr="004676F5" w:rsidRDefault="006C363A" w:rsidP="006C363A">
      <w:pPr>
        <w:ind w:firstLine="708"/>
        <w:jc w:val="both"/>
        <w:rPr>
          <w:lang w:val="de-DE"/>
        </w:rPr>
      </w:pPr>
    </w:p>
    <w:p w14:paraId="00B4D66B" w14:textId="77777777" w:rsidR="000F11AA" w:rsidRPr="004676F5" w:rsidRDefault="000F11AA" w:rsidP="006C363A">
      <w:pPr>
        <w:ind w:firstLine="708"/>
        <w:jc w:val="both"/>
        <w:rPr>
          <w:lang w:val="de-DE"/>
        </w:rPr>
      </w:pPr>
    </w:p>
    <w:p w14:paraId="349271E2" w14:textId="44935644" w:rsidR="006A29C3" w:rsidRPr="004676F5" w:rsidRDefault="00BE0A56" w:rsidP="006A29C3">
      <w:pPr>
        <w:ind w:firstLine="708"/>
        <w:jc w:val="both"/>
        <w:rPr>
          <w:lang w:val="de-DE"/>
        </w:rPr>
      </w:pPr>
      <w:r w:rsidRPr="004676F5">
        <w:rPr>
          <w:b/>
          <w:lang w:val="de-DE"/>
        </w:rPr>
        <w:t>Art. </w:t>
      </w:r>
      <w:r w:rsidR="006C363A" w:rsidRPr="004676F5">
        <w:rPr>
          <w:b/>
          <w:lang w:val="de-DE"/>
        </w:rPr>
        <w:t>XV.112</w:t>
      </w:r>
      <w:r w:rsidR="006C363A" w:rsidRPr="004676F5">
        <w:rPr>
          <w:lang w:val="de-DE"/>
        </w:rPr>
        <w:t> </w:t>
      </w:r>
      <w:r w:rsidR="005B7A5C" w:rsidRPr="004676F5">
        <w:rPr>
          <w:lang w:val="de-DE"/>
        </w:rPr>
        <w:t>- </w:t>
      </w:r>
      <w:r w:rsidR="006C363A" w:rsidRPr="004676F5">
        <w:rPr>
          <w:lang w:val="de-DE"/>
        </w:rPr>
        <w:t>§ 1 </w:t>
      </w:r>
      <w:r w:rsidR="005B7A5C" w:rsidRPr="004676F5">
        <w:rPr>
          <w:lang w:val="de-DE"/>
        </w:rPr>
        <w:t>- </w:t>
      </w:r>
      <w:r w:rsidR="006A29C3" w:rsidRPr="004676F5">
        <w:rPr>
          <w:lang w:val="de-DE"/>
        </w:rPr>
        <w:t>[Mit einer Sanktion der Stufe 4 wird bestraft, wer gegen die Bestimmungen verstößt, die durch oder aufgrund folgender Artikel vorgesehen sind:</w:t>
      </w:r>
    </w:p>
    <w:p w14:paraId="7127A89E" w14:textId="77777777" w:rsidR="006A29C3" w:rsidRPr="004676F5" w:rsidRDefault="006A29C3" w:rsidP="006A29C3">
      <w:pPr>
        <w:jc w:val="both"/>
        <w:rPr>
          <w:lang w:val="de-DE"/>
        </w:rPr>
      </w:pPr>
    </w:p>
    <w:p w14:paraId="197C9F9D" w14:textId="77777777" w:rsidR="006A29C3" w:rsidRPr="00B14651" w:rsidRDefault="006A29C3" w:rsidP="006A29C3">
      <w:pPr>
        <w:jc w:val="both"/>
        <w:rPr>
          <w:lang w:val="de-DE"/>
        </w:rPr>
      </w:pPr>
      <w:r w:rsidRPr="004676F5">
        <w:rPr>
          <w:lang w:val="de-DE"/>
        </w:rPr>
        <w:tab/>
      </w:r>
      <w:r w:rsidRPr="00B14651">
        <w:rPr>
          <w:lang w:val="de-DE"/>
        </w:rPr>
        <w:t>1. XI.247 § 1,</w:t>
      </w:r>
    </w:p>
    <w:p w14:paraId="5D03FC9C" w14:textId="77777777" w:rsidR="006A29C3" w:rsidRPr="00B14651" w:rsidRDefault="006A29C3" w:rsidP="006A29C3">
      <w:pPr>
        <w:jc w:val="both"/>
        <w:rPr>
          <w:lang w:val="de-DE"/>
        </w:rPr>
      </w:pPr>
    </w:p>
    <w:p w14:paraId="7CFEDDCF" w14:textId="77777777" w:rsidR="006A29C3" w:rsidRPr="00B14651" w:rsidRDefault="006A29C3" w:rsidP="006A29C3">
      <w:pPr>
        <w:jc w:val="both"/>
        <w:rPr>
          <w:lang w:val="de-DE"/>
        </w:rPr>
      </w:pPr>
      <w:r w:rsidRPr="00B14651">
        <w:rPr>
          <w:lang w:val="de-DE"/>
        </w:rPr>
        <w:tab/>
        <w:t>2. XI.248/6,</w:t>
      </w:r>
    </w:p>
    <w:p w14:paraId="5890590A" w14:textId="77777777" w:rsidR="006A29C3" w:rsidRPr="00B14651" w:rsidRDefault="006A29C3" w:rsidP="006A29C3">
      <w:pPr>
        <w:jc w:val="both"/>
        <w:rPr>
          <w:lang w:val="de-DE"/>
        </w:rPr>
      </w:pPr>
    </w:p>
    <w:p w14:paraId="34B4C4CD" w14:textId="77777777" w:rsidR="006A29C3" w:rsidRPr="00B14651" w:rsidRDefault="006A29C3" w:rsidP="006A29C3">
      <w:pPr>
        <w:jc w:val="both"/>
        <w:rPr>
          <w:lang w:val="de-DE"/>
        </w:rPr>
      </w:pPr>
      <w:r w:rsidRPr="00B14651">
        <w:rPr>
          <w:lang w:val="de-DE"/>
        </w:rPr>
        <w:tab/>
        <w:t>3. XI.248/7,</w:t>
      </w:r>
    </w:p>
    <w:p w14:paraId="15EEC318" w14:textId="77777777" w:rsidR="006A29C3" w:rsidRPr="00B14651" w:rsidRDefault="006A29C3" w:rsidP="006A29C3">
      <w:pPr>
        <w:jc w:val="both"/>
        <w:rPr>
          <w:lang w:val="de-DE"/>
        </w:rPr>
      </w:pPr>
    </w:p>
    <w:p w14:paraId="03BF224D" w14:textId="77777777" w:rsidR="006A29C3" w:rsidRPr="00B14651" w:rsidRDefault="006A29C3" w:rsidP="006A29C3">
      <w:pPr>
        <w:jc w:val="both"/>
        <w:rPr>
          <w:lang w:val="de-DE"/>
        </w:rPr>
      </w:pPr>
      <w:r w:rsidRPr="00B14651">
        <w:rPr>
          <w:lang w:val="de-DE"/>
        </w:rPr>
        <w:tab/>
        <w:t>4. XI.248/9 § 2,</w:t>
      </w:r>
    </w:p>
    <w:p w14:paraId="56938863" w14:textId="77777777" w:rsidR="006A29C3" w:rsidRPr="00B14651" w:rsidRDefault="006A29C3" w:rsidP="006A29C3">
      <w:pPr>
        <w:jc w:val="both"/>
        <w:rPr>
          <w:lang w:val="de-DE"/>
        </w:rPr>
      </w:pPr>
    </w:p>
    <w:p w14:paraId="74E42271" w14:textId="77777777" w:rsidR="006A29C3" w:rsidRPr="00B14651" w:rsidRDefault="006A29C3" w:rsidP="006A29C3">
      <w:pPr>
        <w:jc w:val="both"/>
        <w:rPr>
          <w:lang w:val="de-DE"/>
        </w:rPr>
      </w:pPr>
      <w:r w:rsidRPr="00B14651">
        <w:rPr>
          <w:lang w:val="de-DE"/>
        </w:rPr>
        <w:tab/>
        <w:t>5. XI.250,</w:t>
      </w:r>
    </w:p>
    <w:p w14:paraId="6F0A3924" w14:textId="77777777" w:rsidR="006A29C3" w:rsidRPr="00B14651" w:rsidRDefault="006A29C3" w:rsidP="006A29C3">
      <w:pPr>
        <w:jc w:val="both"/>
        <w:rPr>
          <w:lang w:val="de-DE"/>
        </w:rPr>
      </w:pPr>
    </w:p>
    <w:p w14:paraId="763F1016" w14:textId="77777777" w:rsidR="006A29C3" w:rsidRPr="004676F5" w:rsidRDefault="006A29C3" w:rsidP="006A29C3">
      <w:pPr>
        <w:jc w:val="both"/>
        <w:rPr>
          <w:lang w:val="de-DE"/>
        </w:rPr>
      </w:pPr>
      <w:r w:rsidRPr="00B14651">
        <w:rPr>
          <w:lang w:val="de-DE"/>
        </w:rPr>
        <w:tab/>
      </w:r>
      <w:r w:rsidRPr="004676F5">
        <w:rPr>
          <w:lang w:val="de-DE"/>
        </w:rPr>
        <w:t>6. XI.257,</w:t>
      </w:r>
    </w:p>
    <w:p w14:paraId="6C591F7D" w14:textId="77777777" w:rsidR="006A29C3" w:rsidRPr="004676F5" w:rsidRDefault="006A29C3" w:rsidP="006A29C3">
      <w:pPr>
        <w:jc w:val="both"/>
        <w:rPr>
          <w:lang w:val="de-DE"/>
        </w:rPr>
      </w:pPr>
    </w:p>
    <w:p w14:paraId="3219F639" w14:textId="77777777" w:rsidR="006A29C3" w:rsidRPr="004676F5" w:rsidRDefault="006A29C3" w:rsidP="006A29C3">
      <w:pPr>
        <w:jc w:val="both"/>
        <w:rPr>
          <w:lang w:val="de-DE"/>
        </w:rPr>
      </w:pPr>
      <w:r w:rsidRPr="004676F5">
        <w:rPr>
          <w:lang w:val="de-DE"/>
        </w:rPr>
        <w:lastRenderedPageBreak/>
        <w:tab/>
        <w:t>7. XI.258,</w:t>
      </w:r>
    </w:p>
    <w:p w14:paraId="2907AD45" w14:textId="77777777" w:rsidR="006A29C3" w:rsidRPr="004676F5" w:rsidRDefault="006A29C3" w:rsidP="006A29C3">
      <w:pPr>
        <w:jc w:val="both"/>
        <w:rPr>
          <w:lang w:val="de-DE"/>
        </w:rPr>
      </w:pPr>
    </w:p>
    <w:p w14:paraId="268EEB43" w14:textId="77777777" w:rsidR="006C363A" w:rsidRPr="004676F5" w:rsidRDefault="006A29C3" w:rsidP="006A29C3">
      <w:pPr>
        <w:ind w:firstLine="708"/>
        <w:jc w:val="both"/>
        <w:rPr>
          <w:lang w:val="de-DE"/>
        </w:rPr>
      </w:pPr>
      <w:r w:rsidRPr="004676F5">
        <w:rPr>
          <w:lang w:val="de-DE"/>
        </w:rPr>
        <w:t>8. XI.273/17 § 1.]</w:t>
      </w:r>
    </w:p>
    <w:p w14:paraId="53E42FD9" w14:textId="77777777" w:rsidR="006A29C3" w:rsidRPr="004676F5" w:rsidRDefault="006A29C3" w:rsidP="006A29C3">
      <w:pPr>
        <w:ind w:firstLine="708"/>
        <w:jc w:val="both"/>
        <w:rPr>
          <w:lang w:val="de-DE"/>
        </w:rPr>
      </w:pPr>
    </w:p>
    <w:p w14:paraId="740C6EBF" w14:textId="23574677" w:rsidR="006C363A" w:rsidRPr="004676F5" w:rsidRDefault="006C363A" w:rsidP="006C363A">
      <w:pPr>
        <w:ind w:firstLine="708"/>
        <w:jc w:val="both"/>
        <w:rPr>
          <w:lang w:val="de-DE"/>
        </w:rPr>
      </w:pPr>
      <w:r w:rsidRPr="004676F5">
        <w:rPr>
          <w:lang w:val="de-DE"/>
        </w:rPr>
        <w:t>§ 2 </w:t>
      </w:r>
      <w:r w:rsidR="005B7A5C" w:rsidRPr="004676F5">
        <w:rPr>
          <w:lang w:val="de-DE"/>
        </w:rPr>
        <w:t>- </w:t>
      </w:r>
      <w:r w:rsidRPr="004676F5">
        <w:rPr>
          <w:lang w:val="de-DE"/>
        </w:rPr>
        <w:t>Mit einer Sanktion der Stufe 4 wird bestraft, wer die Ausführung des Auftrags der in Artikel XV.25/4 angegebenen Personen hinsichtlich Ermittlung und Feststellung der Verstöße gegen oder der Nichteinhaltung der Bestimmungen von § 1 ver</w:t>
      </w:r>
      <w:r w:rsidR="005B7A5C" w:rsidRPr="004676F5">
        <w:rPr>
          <w:lang w:val="de-DE"/>
        </w:rPr>
        <w:t>- </w:t>
      </w:r>
      <w:r w:rsidRPr="004676F5">
        <w:rPr>
          <w:lang w:val="de-DE"/>
        </w:rPr>
        <w:t>oder behindert.</w:t>
      </w:r>
    </w:p>
    <w:p w14:paraId="1C018A34" w14:textId="77777777" w:rsidR="006C363A" w:rsidRPr="004676F5" w:rsidRDefault="006C363A" w:rsidP="006C363A">
      <w:pPr>
        <w:ind w:firstLine="708"/>
        <w:jc w:val="both"/>
        <w:rPr>
          <w:lang w:val="de-DE"/>
        </w:rPr>
      </w:pPr>
    </w:p>
    <w:p w14:paraId="021FA744" w14:textId="6843F129" w:rsidR="006C363A" w:rsidRPr="004676F5" w:rsidRDefault="006C363A" w:rsidP="006C363A">
      <w:pPr>
        <w:ind w:firstLine="708"/>
        <w:jc w:val="both"/>
        <w:rPr>
          <w:lang w:val="de-DE"/>
        </w:rPr>
      </w:pPr>
      <w:r w:rsidRPr="004676F5">
        <w:rPr>
          <w:lang w:val="de-DE"/>
        </w:rPr>
        <w:t>§ 3 </w:t>
      </w:r>
      <w:r w:rsidR="005B7A5C" w:rsidRPr="004676F5">
        <w:rPr>
          <w:lang w:val="de-DE"/>
        </w:rPr>
        <w:t>- </w:t>
      </w:r>
      <w:r w:rsidRPr="004676F5">
        <w:rPr>
          <w:lang w:val="de-DE"/>
        </w:rPr>
        <w:t>Mit einer Sanktion der Stufe 3 wird bestraft, wer als Kommissar oder unabhängiger Sachverständiger Rechnungen, Jahresabschlüsse, Bilanzen, Ergebnisrech</w:t>
      </w:r>
      <w:r w:rsidRPr="004676F5">
        <w:rPr>
          <w:lang w:val="de-DE"/>
        </w:rPr>
        <w:softHyphen/>
        <w:t>nungen oder konsolidierte Abschlüsse, regelmäßige Aufstellungen oder andere Verrichtungen oder Auskünfte bescheinigt, genehmigt oder bestätigt, obwohl die Bestimmungen von Buch XI Titel 5 Kapitel 9 oder seiner Ausführungserlasse nicht eingehalten worden sind und er davon Kenntnis hatte.</w:t>
      </w:r>
    </w:p>
    <w:p w14:paraId="13607BED" w14:textId="77777777" w:rsidR="006C363A" w:rsidRPr="004676F5" w:rsidRDefault="006C363A" w:rsidP="006C363A">
      <w:pPr>
        <w:ind w:firstLine="708"/>
        <w:jc w:val="both"/>
        <w:rPr>
          <w:lang w:val="de-DE"/>
        </w:rPr>
      </w:pPr>
    </w:p>
    <w:p w14:paraId="777EEA9E" w14:textId="1CEDC496" w:rsidR="006C363A" w:rsidRPr="004676F5" w:rsidRDefault="006C363A" w:rsidP="006C363A">
      <w:pPr>
        <w:ind w:firstLine="708"/>
        <w:jc w:val="both"/>
        <w:rPr>
          <w:lang w:val="de-DE"/>
        </w:rPr>
      </w:pPr>
      <w:r w:rsidRPr="004676F5">
        <w:rPr>
          <w:lang w:val="de-DE"/>
        </w:rPr>
        <w:t>§ 4 </w:t>
      </w:r>
      <w:r w:rsidR="005B7A5C" w:rsidRPr="004676F5">
        <w:rPr>
          <w:lang w:val="de-DE"/>
        </w:rPr>
        <w:t>- </w:t>
      </w:r>
      <w:r w:rsidRPr="004676F5">
        <w:rPr>
          <w:lang w:val="de-DE"/>
        </w:rPr>
        <w:t>Mit einer Sanktion der Stufe 3 wird bestraft, wer Beiträge, die dem Grundlagen</w:t>
      </w:r>
      <w:r w:rsidRPr="004676F5">
        <w:rPr>
          <w:lang w:val="de-DE"/>
        </w:rPr>
        <w:softHyphen/>
        <w:t>fonds für die Kontrolle von Verwertungsgesellschaften geschuldet werden, nicht zahlt, diese Beiträge nicht in ihrer Gesamtheit entrichtet oder sie nicht fristgerecht zahlt.</w:t>
      </w:r>
    </w:p>
    <w:p w14:paraId="5AFBB718" w14:textId="77777777" w:rsidR="006C363A" w:rsidRPr="004676F5" w:rsidRDefault="006C363A" w:rsidP="006C363A">
      <w:pPr>
        <w:ind w:firstLine="708"/>
        <w:jc w:val="both"/>
        <w:rPr>
          <w:lang w:val="de-DE"/>
        </w:rPr>
      </w:pPr>
    </w:p>
    <w:p w14:paraId="05ABEBC3" w14:textId="2CEA6EAE" w:rsidR="006C363A" w:rsidRPr="004676F5" w:rsidRDefault="006C363A" w:rsidP="006C363A">
      <w:pPr>
        <w:ind w:firstLine="708"/>
        <w:jc w:val="both"/>
        <w:rPr>
          <w:lang w:val="de-DE"/>
        </w:rPr>
      </w:pPr>
      <w:r w:rsidRPr="004676F5">
        <w:rPr>
          <w:lang w:val="de-DE"/>
        </w:rPr>
        <w:t>§ 5 </w:t>
      </w:r>
      <w:r w:rsidR="005B7A5C" w:rsidRPr="004676F5">
        <w:rPr>
          <w:lang w:val="de-DE"/>
        </w:rPr>
        <w:t>- </w:t>
      </w:r>
      <w:r w:rsidRPr="004676F5">
        <w:rPr>
          <w:lang w:val="de-DE"/>
        </w:rPr>
        <w:t>Sind die beim Gericht anhängig gemachten Taten Gegenstand einer Unter</w:t>
      </w:r>
      <w:r w:rsidRPr="004676F5">
        <w:rPr>
          <w:lang w:val="de-DE"/>
        </w:rPr>
        <w:softHyphen/>
        <w:t>lassungs</w:t>
      </w:r>
      <w:r w:rsidRPr="004676F5">
        <w:rPr>
          <w:lang w:val="de-DE"/>
        </w:rPr>
        <w:softHyphen/>
        <w:t>klage, kann über die Strafverfolgung erst entschieden werden, nachdem eine formell rechtskräftige Entscheidung in Bezug auf die Unterlassungsklage ergangen ist.</w:t>
      </w:r>
    </w:p>
    <w:p w14:paraId="2F805BBA" w14:textId="77777777" w:rsidR="006A29C3" w:rsidRPr="004676F5" w:rsidRDefault="006A29C3" w:rsidP="006C363A">
      <w:pPr>
        <w:ind w:firstLine="708"/>
        <w:jc w:val="both"/>
        <w:rPr>
          <w:lang w:val="de-DE"/>
        </w:rPr>
      </w:pPr>
    </w:p>
    <w:p w14:paraId="6A4BB7C6" w14:textId="6E7BA2B7" w:rsidR="006A29C3" w:rsidRPr="00B14651" w:rsidRDefault="006A29C3" w:rsidP="006A29C3">
      <w:pPr>
        <w:jc w:val="both"/>
        <w:rPr>
          <w:i/>
          <w:lang w:val="de-DE"/>
        </w:rPr>
      </w:pPr>
      <w:r w:rsidRPr="004676F5">
        <w:rPr>
          <w:i/>
          <w:lang w:val="de-DE"/>
        </w:rPr>
        <w:t>[</w:t>
      </w:r>
      <w:r w:rsidR="00BE0A56" w:rsidRPr="004676F5">
        <w:rPr>
          <w:i/>
          <w:lang w:val="de-DE"/>
        </w:rPr>
        <w:t>Art. </w:t>
      </w:r>
      <w:r w:rsidRPr="004676F5">
        <w:rPr>
          <w:i/>
          <w:lang w:val="de-DE"/>
        </w:rPr>
        <w:t xml:space="preserve">XV.112 § 1 ersetzt durch </w:t>
      </w:r>
      <w:r w:rsidR="00BE0A56" w:rsidRPr="004676F5">
        <w:rPr>
          <w:i/>
          <w:lang w:val="de-DE"/>
        </w:rPr>
        <w:t>Art. </w:t>
      </w:r>
      <w:r w:rsidRPr="004676F5">
        <w:rPr>
          <w:i/>
          <w:lang w:val="de-DE"/>
        </w:rPr>
        <w:t>117 des G. vom 8. </w:t>
      </w:r>
      <w:r w:rsidRPr="00B14651">
        <w:rPr>
          <w:i/>
          <w:lang w:val="de-DE"/>
        </w:rPr>
        <w:t>Juni 2017 (B.S. vom 27. Juni 2017)]</w:t>
      </w:r>
    </w:p>
    <w:p w14:paraId="75D61286" w14:textId="77777777" w:rsidR="006C363A" w:rsidRPr="00B14651" w:rsidRDefault="006C363A" w:rsidP="006C363A">
      <w:pPr>
        <w:ind w:firstLine="708"/>
        <w:jc w:val="both"/>
        <w:rPr>
          <w:lang w:val="de-DE"/>
        </w:rPr>
      </w:pPr>
    </w:p>
    <w:p w14:paraId="30919897" w14:textId="77777777" w:rsidR="000F11AA" w:rsidRPr="00B14651" w:rsidRDefault="000F11AA" w:rsidP="006C363A">
      <w:pPr>
        <w:ind w:firstLine="708"/>
        <w:jc w:val="both"/>
        <w:rPr>
          <w:lang w:val="de-DE"/>
        </w:rPr>
      </w:pPr>
    </w:p>
    <w:p w14:paraId="5C97A0B6" w14:textId="26685543" w:rsidR="00BA2266" w:rsidRPr="004676F5" w:rsidRDefault="00BE0A56" w:rsidP="000F11AA">
      <w:pPr>
        <w:ind w:firstLine="708"/>
        <w:jc w:val="both"/>
        <w:rPr>
          <w:lang w:val="de-DE"/>
        </w:rPr>
      </w:pPr>
      <w:r w:rsidRPr="004676F5">
        <w:rPr>
          <w:b/>
          <w:lang w:val="de-DE"/>
        </w:rPr>
        <w:t>Art. </w:t>
      </w:r>
      <w:r w:rsidR="006C363A" w:rsidRPr="004676F5">
        <w:rPr>
          <w:b/>
          <w:lang w:val="de-DE"/>
        </w:rPr>
        <w:t>XV.113</w:t>
      </w:r>
      <w:r w:rsidR="006C363A" w:rsidRPr="004676F5">
        <w:rPr>
          <w:lang w:val="de-DE"/>
        </w:rPr>
        <w:t> </w:t>
      </w:r>
      <w:r w:rsidR="005B7A5C" w:rsidRPr="004676F5">
        <w:rPr>
          <w:lang w:val="de-DE"/>
        </w:rPr>
        <w:t>- </w:t>
      </w:r>
      <w:r w:rsidR="006C363A" w:rsidRPr="004676F5">
        <w:rPr>
          <w:lang w:val="de-DE"/>
        </w:rPr>
        <w:t>Mit einer Sanktion der Stufe 4 wird bestraft, wer das in Artikel XI.281 vorgesehene Berufsgeheimnis verletzt.</w:t>
      </w:r>
      <w:r w:rsidR="000F11AA" w:rsidRPr="004676F5">
        <w:rPr>
          <w:lang w:val="de-DE"/>
        </w:rPr>
        <w:t>]</w:t>
      </w:r>
    </w:p>
    <w:p w14:paraId="3FFD4760" w14:textId="77777777" w:rsidR="00BA2266" w:rsidRPr="004676F5" w:rsidRDefault="00BA2266" w:rsidP="00BA2266">
      <w:pPr>
        <w:jc w:val="both"/>
        <w:rPr>
          <w:lang w:val="de-DE"/>
        </w:rPr>
      </w:pPr>
    </w:p>
    <w:p w14:paraId="72A7FEDF" w14:textId="0066765F" w:rsidR="000F11AA" w:rsidRPr="004676F5" w:rsidRDefault="000F11AA" w:rsidP="00BA2266">
      <w:pPr>
        <w:jc w:val="both"/>
        <w:rPr>
          <w:lang w:val="de-DE"/>
        </w:rPr>
      </w:pPr>
    </w:p>
    <w:p w14:paraId="75D7C3A5" w14:textId="6EE02A4C" w:rsidR="0073667D" w:rsidRPr="004676F5" w:rsidRDefault="0073667D" w:rsidP="0073667D">
      <w:pPr>
        <w:jc w:val="center"/>
        <w:rPr>
          <w:lang w:val="de-DE"/>
        </w:rPr>
      </w:pPr>
      <w:r w:rsidRPr="004676F5">
        <w:rPr>
          <w:lang w:val="de-DE"/>
        </w:rPr>
        <w:t>[Unterabschnitt 3 </w:t>
      </w:r>
      <w:r w:rsidR="005B7A5C" w:rsidRPr="004676F5">
        <w:rPr>
          <w:lang w:val="de-DE"/>
        </w:rPr>
        <w:t>- </w:t>
      </w:r>
      <w:r w:rsidRPr="004676F5">
        <w:rPr>
          <w:lang w:val="de-DE"/>
        </w:rPr>
        <w:t>Missbrauch von Berufsbezeichnungen]</w:t>
      </w:r>
    </w:p>
    <w:p w14:paraId="09F39E3F" w14:textId="620A7DB3" w:rsidR="0073667D" w:rsidRPr="004676F5" w:rsidRDefault="0073667D" w:rsidP="0073667D">
      <w:pPr>
        <w:jc w:val="center"/>
        <w:rPr>
          <w:lang w:val="de-DE"/>
        </w:rPr>
      </w:pPr>
    </w:p>
    <w:p w14:paraId="436B8D14" w14:textId="31BF2669" w:rsidR="0073667D" w:rsidRPr="004676F5" w:rsidRDefault="0073667D" w:rsidP="0073667D">
      <w:pPr>
        <w:jc w:val="both"/>
        <w:rPr>
          <w:i/>
          <w:iCs/>
          <w:lang w:val="de-DE"/>
        </w:rPr>
      </w:pPr>
      <w:r w:rsidRPr="004676F5">
        <w:rPr>
          <w:i/>
          <w:lang w:val="de-DE"/>
        </w:rPr>
        <w:t>[Unterteilung Unterabschnitt 3 eingefügt durch Art. 37</w:t>
      </w:r>
      <w:r w:rsidRPr="004676F5">
        <w:rPr>
          <w:i/>
          <w:iCs/>
          <w:lang w:val="de-DE"/>
        </w:rPr>
        <w:t xml:space="preserve"> des G. vom 8. Juli 2018 (B.S. vom 19. Juli 2018)]</w:t>
      </w:r>
    </w:p>
    <w:p w14:paraId="0D3167BC" w14:textId="3B6545C1" w:rsidR="0073667D" w:rsidRPr="004676F5" w:rsidRDefault="0073667D" w:rsidP="0073667D">
      <w:pPr>
        <w:jc w:val="both"/>
        <w:rPr>
          <w:i/>
          <w:iCs/>
          <w:lang w:val="de-DE"/>
        </w:rPr>
      </w:pPr>
    </w:p>
    <w:p w14:paraId="3731C844" w14:textId="0BDCB9AA" w:rsidR="0073667D" w:rsidRPr="004676F5" w:rsidRDefault="0073667D" w:rsidP="0073667D">
      <w:pPr>
        <w:jc w:val="both"/>
        <w:rPr>
          <w:i/>
          <w:iCs/>
          <w:lang w:val="de-DE"/>
        </w:rPr>
      </w:pPr>
    </w:p>
    <w:p w14:paraId="7DF98807" w14:textId="74B16ED3" w:rsidR="0073667D" w:rsidRPr="004676F5" w:rsidRDefault="0073667D" w:rsidP="0073667D">
      <w:pPr>
        <w:ind w:firstLine="708"/>
        <w:jc w:val="both"/>
        <w:rPr>
          <w:lang w:val="de-DE"/>
        </w:rPr>
      </w:pPr>
      <w:r w:rsidRPr="004676F5">
        <w:rPr>
          <w:iCs/>
          <w:lang w:val="de-DE"/>
        </w:rPr>
        <w:t>[</w:t>
      </w:r>
      <w:r w:rsidRPr="004676F5">
        <w:rPr>
          <w:b/>
          <w:lang w:val="de-DE"/>
        </w:rPr>
        <w:t>Art. XV.114</w:t>
      </w:r>
      <w:r w:rsidRPr="004676F5">
        <w:rPr>
          <w:lang w:val="de-DE"/>
        </w:rPr>
        <w:t> </w:t>
      </w:r>
      <w:r w:rsidR="005B7A5C" w:rsidRPr="004676F5">
        <w:rPr>
          <w:lang w:val="de-DE"/>
        </w:rPr>
        <w:t>- </w:t>
      </w:r>
      <w:r w:rsidRPr="004676F5">
        <w:rPr>
          <w:lang w:val="de-DE"/>
        </w:rPr>
        <w:t>Mit einer Sanktion der Stufe 1 wird bestraft, wer im Wirtschaftskreislauf den Titel "Patentanwalt", "mandataire en brevets" oder "octrooigemachtigde" führt, wenn die in Artikel XI.75/12 erwähnten Umstände nicht gegeben sind.</w:t>
      </w:r>
    </w:p>
    <w:p w14:paraId="68E47977" w14:textId="77777777" w:rsidR="0073667D" w:rsidRPr="004676F5" w:rsidRDefault="0073667D" w:rsidP="0073667D">
      <w:pPr>
        <w:ind w:firstLine="708"/>
        <w:jc w:val="both"/>
        <w:rPr>
          <w:lang w:val="de-DE"/>
        </w:rPr>
      </w:pPr>
    </w:p>
    <w:p w14:paraId="2DCB63E2" w14:textId="544008B1" w:rsidR="0073667D" w:rsidRPr="004676F5" w:rsidRDefault="0073667D" w:rsidP="0073667D">
      <w:pPr>
        <w:jc w:val="both"/>
        <w:rPr>
          <w:vanish/>
          <w:lang w:val="de-DE"/>
          <w:specVanish/>
        </w:rPr>
      </w:pPr>
      <w:r w:rsidRPr="004676F5">
        <w:rPr>
          <w:lang w:val="de-DE"/>
        </w:rPr>
        <w:tab/>
        <w:t>Mit einer Sanktion der Stufe 1 wird auch bestraft, wer im Wirtschaftskreislauf eine Berufsbezeichnung führt, die mit der Ausübung des Berufs des Vertreters für europäische Patente im Sinne von Artikel XI.75/12 verbunden ist, wenn die in diesem Artikel erwähnten Umstände nicht gegeben sind.</w:t>
      </w:r>
    </w:p>
    <w:p w14:paraId="75D673AB" w14:textId="52DDF390" w:rsidR="0073667D" w:rsidRPr="004676F5" w:rsidRDefault="0073667D" w:rsidP="0073667D">
      <w:pPr>
        <w:jc w:val="center"/>
        <w:rPr>
          <w:lang w:val="de-DE"/>
        </w:rPr>
      </w:pPr>
      <w:r w:rsidRPr="004676F5">
        <w:rPr>
          <w:lang w:val="de-DE"/>
        </w:rPr>
        <w:t>]</w:t>
      </w:r>
    </w:p>
    <w:p w14:paraId="27D5CDBB" w14:textId="5042406C" w:rsidR="0073667D" w:rsidRPr="004676F5" w:rsidRDefault="0073667D" w:rsidP="0073667D">
      <w:pPr>
        <w:jc w:val="center"/>
        <w:rPr>
          <w:lang w:val="de-DE"/>
        </w:rPr>
      </w:pPr>
    </w:p>
    <w:p w14:paraId="3C543F03" w14:textId="20A17B5C" w:rsidR="0073667D" w:rsidRPr="004676F5" w:rsidRDefault="0073667D" w:rsidP="0073667D">
      <w:pPr>
        <w:jc w:val="both"/>
        <w:rPr>
          <w:i/>
          <w:lang w:val="de-DE"/>
        </w:rPr>
      </w:pPr>
      <w:r w:rsidRPr="004676F5">
        <w:rPr>
          <w:i/>
          <w:lang w:val="de-DE"/>
        </w:rPr>
        <w:t>[Art. </w:t>
      </w:r>
      <w:r w:rsidR="000279D2" w:rsidRPr="004676F5">
        <w:rPr>
          <w:i/>
          <w:lang w:val="de-DE"/>
        </w:rPr>
        <w:t>XV.114</w:t>
      </w:r>
      <w:r w:rsidRPr="004676F5">
        <w:rPr>
          <w:i/>
          <w:lang w:val="de-DE"/>
        </w:rPr>
        <w:t xml:space="preserve"> eingefügt durch Art. 3</w:t>
      </w:r>
      <w:r w:rsidR="000279D2" w:rsidRPr="004676F5">
        <w:rPr>
          <w:i/>
          <w:lang w:val="de-DE"/>
        </w:rPr>
        <w:t>8</w:t>
      </w:r>
      <w:r w:rsidRPr="004676F5">
        <w:rPr>
          <w:i/>
          <w:iCs/>
          <w:lang w:val="de-DE"/>
        </w:rPr>
        <w:t xml:space="preserve"> des G. vom 8. Juli 2018 (B.S. vom 19. Juli 2018)]</w:t>
      </w:r>
    </w:p>
    <w:p w14:paraId="18AE3FA3" w14:textId="7D0A04CB" w:rsidR="0073667D" w:rsidRPr="004676F5" w:rsidRDefault="0073667D" w:rsidP="0073667D">
      <w:pPr>
        <w:jc w:val="center"/>
        <w:rPr>
          <w:lang w:val="de-DE"/>
        </w:rPr>
      </w:pPr>
    </w:p>
    <w:p w14:paraId="0466D829" w14:textId="77777777" w:rsidR="00E86E64" w:rsidRPr="004676F5" w:rsidRDefault="00E86E64" w:rsidP="0073667D">
      <w:pPr>
        <w:jc w:val="center"/>
        <w:rPr>
          <w:lang w:val="de-DE"/>
        </w:rPr>
      </w:pPr>
    </w:p>
    <w:p w14:paraId="31E9986A" w14:textId="77777777" w:rsidR="000F11AA" w:rsidRPr="004676F5" w:rsidRDefault="000F11AA" w:rsidP="000F11AA">
      <w:pPr>
        <w:jc w:val="center"/>
        <w:rPr>
          <w:lang w:val="de-DE"/>
        </w:rPr>
      </w:pPr>
      <w:r w:rsidRPr="004676F5">
        <w:rPr>
          <w:lang w:val="de-DE"/>
        </w:rPr>
        <w:t>(…)</w:t>
      </w:r>
    </w:p>
    <w:p w14:paraId="6988E775" w14:textId="77777777" w:rsidR="000F11AA" w:rsidRPr="004676F5" w:rsidRDefault="000F11AA" w:rsidP="000F11AA">
      <w:pPr>
        <w:jc w:val="center"/>
        <w:rPr>
          <w:lang w:val="de-DE"/>
        </w:rPr>
      </w:pPr>
    </w:p>
    <w:p w14:paraId="4424623F" w14:textId="77777777" w:rsidR="006C0BE7" w:rsidRPr="004676F5" w:rsidRDefault="006C0BE7" w:rsidP="00BA2266">
      <w:pPr>
        <w:jc w:val="both"/>
        <w:rPr>
          <w:lang w:val="de-DE"/>
        </w:rPr>
      </w:pPr>
    </w:p>
    <w:p w14:paraId="42D9F68F" w14:textId="470F21E4" w:rsidR="006C0BE7" w:rsidRPr="004676F5" w:rsidRDefault="006C0BE7" w:rsidP="006C0BE7">
      <w:pPr>
        <w:jc w:val="center"/>
        <w:rPr>
          <w:lang w:val="de-DE"/>
        </w:rPr>
      </w:pPr>
      <w:r w:rsidRPr="004676F5">
        <w:rPr>
          <w:lang w:val="de-DE"/>
        </w:rPr>
        <w:t>[</w:t>
      </w:r>
      <w:r w:rsidRPr="004676F5">
        <w:rPr>
          <w:i/>
          <w:lang w:val="de-DE"/>
        </w:rPr>
        <w:t>Abschnitt 9</w:t>
      </w:r>
      <w:r w:rsidRPr="004676F5">
        <w:rPr>
          <w:lang w:val="de-DE"/>
        </w:rPr>
        <w:t> </w:t>
      </w:r>
      <w:r w:rsidR="005B7A5C" w:rsidRPr="004676F5">
        <w:rPr>
          <w:lang w:val="de-DE"/>
        </w:rPr>
        <w:t>- </w:t>
      </w:r>
      <w:r w:rsidRPr="004676F5">
        <w:rPr>
          <w:lang w:val="de-DE"/>
        </w:rPr>
        <w:t>Strafen in Bezug auf Verstöße gegen Buch XII</w:t>
      </w:r>
    </w:p>
    <w:p w14:paraId="3ED4A677" w14:textId="77777777" w:rsidR="006C0BE7" w:rsidRPr="004676F5" w:rsidRDefault="006C0BE7" w:rsidP="006C0BE7">
      <w:pPr>
        <w:jc w:val="both"/>
        <w:rPr>
          <w:lang w:val="de-DE"/>
        </w:rPr>
      </w:pPr>
    </w:p>
    <w:p w14:paraId="7F02E6E3" w14:textId="08D3EFB2" w:rsidR="006C0BE7" w:rsidRPr="004676F5" w:rsidRDefault="006C0BE7" w:rsidP="006C0BE7">
      <w:pPr>
        <w:jc w:val="both"/>
        <w:rPr>
          <w:i/>
          <w:lang w:val="de-DE"/>
        </w:rPr>
      </w:pPr>
      <w:r w:rsidRPr="004676F5">
        <w:rPr>
          <w:i/>
          <w:lang w:val="de-DE"/>
        </w:rPr>
        <w:t xml:space="preserve">[Abschnitt 9 mit den Artikeln XV.118 bis </w:t>
      </w:r>
      <w:r w:rsidR="00C11DA1" w:rsidRPr="004676F5">
        <w:rPr>
          <w:i/>
          <w:lang w:val="de-DE"/>
        </w:rPr>
        <w:t xml:space="preserve">XV.122 eingefügt durch </w:t>
      </w:r>
      <w:r w:rsidR="00BE0A56" w:rsidRPr="004676F5">
        <w:rPr>
          <w:i/>
          <w:lang w:val="de-DE"/>
        </w:rPr>
        <w:t>Art. </w:t>
      </w:r>
      <w:r w:rsidR="00C11DA1" w:rsidRPr="004676F5">
        <w:rPr>
          <w:i/>
          <w:lang w:val="de-DE"/>
        </w:rPr>
        <w:t>4 des G. vom 15. Dezember 2013 (I) (B.S. vom 14. Januar 2014)]</w:t>
      </w:r>
    </w:p>
    <w:p w14:paraId="2D60937E" w14:textId="77777777" w:rsidR="00C11DA1" w:rsidRPr="004676F5" w:rsidRDefault="00C11DA1" w:rsidP="006C0BE7">
      <w:pPr>
        <w:jc w:val="both"/>
        <w:rPr>
          <w:i/>
          <w:lang w:val="de-DE"/>
        </w:rPr>
      </w:pPr>
    </w:p>
    <w:p w14:paraId="6D071A85" w14:textId="77777777" w:rsidR="00C11DA1" w:rsidRPr="004676F5" w:rsidRDefault="00C11DA1" w:rsidP="006C0BE7">
      <w:pPr>
        <w:jc w:val="both"/>
        <w:rPr>
          <w:i/>
          <w:lang w:val="de-DE"/>
        </w:rPr>
      </w:pPr>
    </w:p>
    <w:p w14:paraId="449140AD" w14:textId="0D35D618" w:rsidR="006C0BE7" w:rsidRPr="004676F5" w:rsidRDefault="006C0BE7" w:rsidP="006C0BE7">
      <w:pPr>
        <w:jc w:val="both"/>
        <w:rPr>
          <w:lang w:val="de-DE"/>
        </w:rPr>
      </w:pPr>
      <w:r w:rsidRPr="004676F5">
        <w:rPr>
          <w:b/>
          <w:lang w:val="de-DE"/>
        </w:rPr>
        <w:tab/>
      </w:r>
      <w:r w:rsidR="00BE0A56" w:rsidRPr="004676F5">
        <w:rPr>
          <w:b/>
          <w:lang w:val="de-DE"/>
        </w:rPr>
        <w:t>Art. </w:t>
      </w:r>
      <w:r w:rsidRPr="004676F5">
        <w:rPr>
          <w:b/>
          <w:lang w:val="de-DE"/>
        </w:rPr>
        <w:t>XV.118</w:t>
      </w:r>
      <w:r w:rsidRPr="004676F5">
        <w:rPr>
          <w:lang w:val="de-DE"/>
        </w:rPr>
        <w:t> </w:t>
      </w:r>
      <w:r w:rsidR="005B7A5C" w:rsidRPr="004676F5">
        <w:rPr>
          <w:lang w:val="de-DE"/>
        </w:rPr>
        <w:t>- </w:t>
      </w:r>
      <w:r w:rsidRPr="004676F5">
        <w:rPr>
          <w:lang w:val="de-DE"/>
        </w:rPr>
        <w:t>Mit einer Sanktion der Stufe 3 werden bestraft:</w:t>
      </w:r>
    </w:p>
    <w:p w14:paraId="136AF71B" w14:textId="77777777" w:rsidR="006C0BE7" w:rsidRPr="004676F5" w:rsidRDefault="006C0BE7" w:rsidP="006C0BE7">
      <w:pPr>
        <w:jc w:val="both"/>
        <w:rPr>
          <w:lang w:val="de-DE"/>
        </w:rPr>
      </w:pPr>
    </w:p>
    <w:p w14:paraId="09967A83" w14:textId="77777777" w:rsidR="006C0BE7" w:rsidRPr="004676F5" w:rsidRDefault="006C0BE7" w:rsidP="006C0BE7">
      <w:pPr>
        <w:jc w:val="both"/>
        <w:rPr>
          <w:lang w:val="de-DE"/>
        </w:rPr>
      </w:pPr>
      <w:r w:rsidRPr="004676F5">
        <w:rPr>
          <w:lang w:val="de-DE"/>
        </w:rPr>
        <w:tab/>
        <w:t>1. Diensteanbieter, die mit Gründen versehene Beschlüsse im Sinne von Artikel XII.5 § 6 Absatz 1 nicht einhalten,</w:t>
      </w:r>
    </w:p>
    <w:p w14:paraId="6CE6B3CD" w14:textId="77777777" w:rsidR="006C0BE7" w:rsidRPr="004676F5" w:rsidRDefault="006C0BE7" w:rsidP="006C0BE7">
      <w:pPr>
        <w:jc w:val="both"/>
        <w:rPr>
          <w:lang w:val="de-DE"/>
        </w:rPr>
      </w:pPr>
    </w:p>
    <w:p w14:paraId="698CB2DC" w14:textId="24ED65C3" w:rsidR="006C0BE7" w:rsidRPr="004676F5" w:rsidRDefault="006C0BE7" w:rsidP="006C0BE7">
      <w:pPr>
        <w:jc w:val="both"/>
        <w:rPr>
          <w:lang w:val="de-DE"/>
        </w:rPr>
      </w:pPr>
      <w:r w:rsidRPr="004676F5">
        <w:rPr>
          <w:lang w:val="de-DE"/>
        </w:rPr>
        <w:tab/>
        <w:t>2. wer dem Tenor eines infolge einer Unterlassungsklage erlassenen Urteils oder Entscheids aufgrund von Artikel</w:t>
      </w:r>
      <w:r w:rsidR="000A3BD3" w:rsidRPr="004676F5">
        <w:rPr>
          <w:lang w:val="de-DE"/>
        </w:rPr>
        <w:t> [XVII.1/4]</w:t>
      </w:r>
      <w:r w:rsidRPr="004676F5">
        <w:rPr>
          <w:lang w:val="de-DE"/>
        </w:rPr>
        <w:t xml:space="preserve"> nicht entspricht,</w:t>
      </w:r>
    </w:p>
    <w:p w14:paraId="55B697A2" w14:textId="77777777" w:rsidR="006C0BE7" w:rsidRPr="004676F5" w:rsidRDefault="006C0BE7" w:rsidP="006C0BE7">
      <w:pPr>
        <w:jc w:val="both"/>
        <w:rPr>
          <w:lang w:val="de-DE"/>
        </w:rPr>
      </w:pPr>
    </w:p>
    <w:p w14:paraId="58E40967" w14:textId="04C67F71" w:rsidR="006C0BE7" w:rsidRPr="004676F5" w:rsidRDefault="006C0BE7" w:rsidP="006C0BE7">
      <w:pPr>
        <w:jc w:val="both"/>
        <w:rPr>
          <w:lang w:val="de-DE"/>
        </w:rPr>
      </w:pPr>
      <w:r w:rsidRPr="004676F5">
        <w:rPr>
          <w:lang w:val="de-DE"/>
        </w:rPr>
        <w:tab/>
        <w:t>3. </w:t>
      </w:r>
      <w:r w:rsidR="001308C7" w:rsidRPr="004676F5">
        <w:rPr>
          <w:lang w:val="de-DE"/>
        </w:rPr>
        <w:t>[Diensteanbieter, die sich weigern, die auf der Grundlage von Artikel XII.20 § 1 oder Artikel XII.20 § 2 verlangte Zusammenarbeit zu leisten.]</w:t>
      </w:r>
    </w:p>
    <w:p w14:paraId="3F498F4E" w14:textId="77777777" w:rsidR="006C0BE7" w:rsidRPr="004676F5" w:rsidRDefault="006C0BE7" w:rsidP="006C0BE7">
      <w:pPr>
        <w:jc w:val="both"/>
        <w:rPr>
          <w:lang w:val="de-DE"/>
        </w:rPr>
      </w:pPr>
    </w:p>
    <w:p w14:paraId="152D29D7" w14:textId="7F4FD566" w:rsidR="001308C7" w:rsidRPr="004676F5" w:rsidRDefault="001308C7" w:rsidP="006C0BE7">
      <w:pPr>
        <w:jc w:val="both"/>
        <w:rPr>
          <w:i/>
          <w:iCs/>
          <w:lang w:val="de-DE"/>
        </w:rPr>
      </w:pPr>
      <w:r w:rsidRPr="004676F5">
        <w:rPr>
          <w:i/>
          <w:iCs/>
          <w:lang w:val="de-DE"/>
        </w:rPr>
        <w:t>[Art. XV.118</w:t>
      </w:r>
      <w:r w:rsidR="000A3BD3" w:rsidRPr="004676F5">
        <w:rPr>
          <w:i/>
          <w:iCs/>
          <w:lang w:val="de-DE"/>
        </w:rPr>
        <w:t xml:space="preserve"> einziger Absatz Nr. 2 abgeändert durch Art. 3 Nr. 2 des G. vom 21. April 2024 (II) (B.S. vom 31. Mai 2024);</w:t>
      </w:r>
      <w:r w:rsidRPr="004676F5">
        <w:rPr>
          <w:i/>
          <w:iCs/>
          <w:lang w:val="de-DE"/>
        </w:rPr>
        <w:t xml:space="preserve"> einziger Absatz Nr. 3 ersetzt durch Art. 5 des G. vom 21. April 2024</w:t>
      </w:r>
      <w:r w:rsidR="001F23B7" w:rsidRPr="004676F5">
        <w:rPr>
          <w:i/>
          <w:iCs/>
          <w:lang w:val="de-DE"/>
        </w:rPr>
        <w:t> (I)</w:t>
      </w:r>
      <w:r w:rsidRPr="004676F5">
        <w:rPr>
          <w:i/>
          <w:iCs/>
          <w:lang w:val="de-DE"/>
        </w:rPr>
        <w:t xml:space="preserve"> (B.S. vom 15. Mai 2024)]</w:t>
      </w:r>
    </w:p>
    <w:p w14:paraId="339DBAFA" w14:textId="77777777" w:rsidR="001308C7" w:rsidRPr="004676F5" w:rsidRDefault="001308C7" w:rsidP="006C0BE7">
      <w:pPr>
        <w:jc w:val="both"/>
        <w:rPr>
          <w:lang w:val="de-DE"/>
        </w:rPr>
      </w:pPr>
    </w:p>
    <w:p w14:paraId="040B89D8" w14:textId="77777777" w:rsidR="00C11DA1" w:rsidRPr="004676F5" w:rsidRDefault="00C11DA1" w:rsidP="006C0BE7">
      <w:pPr>
        <w:jc w:val="both"/>
        <w:rPr>
          <w:lang w:val="de-DE"/>
        </w:rPr>
      </w:pPr>
    </w:p>
    <w:p w14:paraId="49B3C32A" w14:textId="263FB2AC" w:rsidR="006C0BE7" w:rsidRPr="004676F5" w:rsidRDefault="006C0BE7" w:rsidP="006C0BE7">
      <w:pPr>
        <w:jc w:val="both"/>
        <w:rPr>
          <w:lang w:val="de-DE"/>
        </w:rPr>
      </w:pPr>
      <w:r w:rsidRPr="004676F5">
        <w:rPr>
          <w:lang w:val="de-DE"/>
        </w:rPr>
        <w:tab/>
      </w:r>
      <w:r w:rsidR="00BE0A56" w:rsidRPr="004676F5">
        <w:rPr>
          <w:b/>
          <w:lang w:val="de-DE"/>
        </w:rPr>
        <w:t>Art. </w:t>
      </w:r>
      <w:r w:rsidRPr="004676F5">
        <w:rPr>
          <w:b/>
          <w:lang w:val="de-DE"/>
        </w:rPr>
        <w:t>XV.119</w:t>
      </w:r>
      <w:r w:rsidRPr="004676F5">
        <w:rPr>
          <w:lang w:val="de-DE"/>
        </w:rPr>
        <w:t> </w:t>
      </w:r>
      <w:r w:rsidR="005B7A5C" w:rsidRPr="004676F5">
        <w:rPr>
          <w:lang w:val="de-DE"/>
        </w:rPr>
        <w:t>- </w:t>
      </w:r>
      <w:r w:rsidRPr="004676F5">
        <w:rPr>
          <w:lang w:val="de-DE"/>
        </w:rPr>
        <w:t>Mit einer Sanktion der Stufe 2 wird bestraft, wer gegen die Bestimmungen der Artikel XII.6 bis XII.9 und XII.12 verstößt.</w:t>
      </w:r>
    </w:p>
    <w:p w14:paraId="1052F5BB" w14:textId="77777777" w:rsidR="006C0BE7" w:rsidRPr="004676F5" w:rsidRDefault="006C0BE7" w:rsidP="006C0BE7">
      <w:pPr>
        <w:jc w:val="both"/>
        <w:rPr>
          <w:lang w:val="de-DE"/>
        </w:rPr>
      </w:pPr>
    </w:p>
    <w:p w14:paraId="59A9C7BF" w14:textId="77777777" w:rsidR="00C11DA1" w:rsidRPr="004676F5" w:rsidRDefault="00C11DA1" w:rsidP="006C0BE7">
      <w:pPr>
        <w:jc w:val="both"/>
        <w:rPr>
          <w:lang w:val="de-DE"/>
        </w:rPr>
      </w:pPr>
    </w:p>
    <w:p w14:paraId="6160C8CB" w14:textId="0B20FF72" w:rsidR="006C0BE7" w:rsidRPr="004676F5" w:rsidRDefault="006C0BE7" w:rsidP="006C0BE7">
      <w:pPr>
        <w:jc w:val="both"/>
        <w:rPr>
          <w:lang w:val="de-DE"/>
        </w:rPr>
      </w:pPr>
      <w:r w:rsidRPr="004676F5">
        <w:rPr>
          <w:lang w:val="de-DE"/>
        </w:rPr>
        <w:tab/>
      </w:r>
      <w:r w:rsidR="00BE0A56" w:rsidRPr="004676F5">
        <w:rPr>
          <w:b/>
          <w:lang w:val="de-DE"/>
        </w:rPr>
        <w:t>Art. </w:t>
      </w:r>
      <w:r w:rsidRPr="004676F5">
        <w:rPr>
          <w:b/>
          <w:lang w:val="de-DE"/>
        </w:rPr>
        <w:t>XV.120</w:t>
      </w:r>
      <w:r w:rsidRPr="004676F5">
        <w:rPr>
          <w:lang w:val="de-DE"/>
        </w:rPr>
        <w:t> </w:t>
      </w:r>
      <w:r w:rsidR="005B7A5C" w:rsidRPr="004676F5">
        <w:rPr>
          <w:lang w:val="de-DE"/>
        </w:rPr>
        <w:t>- </w:t>
      </w:r>
      <w:r w:rsidRPr="004676F5">
        <w:rPr>
          <w:lang w:val="de-DE"/>
        </w:rPr>
        <w:t>Mit einer Sanktion der Stufe 3 wird bestraft, wer entgegen den Bestimmungen des Artikels XII.13 Werbung per elektronische Post versendet.</w:t>
      </w:r>
    </w:p>
    <w:p w14:paraId="59040EDA" w14:textId="77777777" w:rsidR="006C0BE7" w:rsidRPr="004676F5" w:rsidRDefault="006C0BE7" w:rsidP="006C0BE7">
      <w:pPr>
        <w:jc w:val="both"/>
        <w:rPr>
          <w:lang w:val="de-DE"/>
        </w:rPr>
      </w:pPr>
    </w:p>
    <w:p w14:paraId="0BBAABBF" w14:textId="77777777" w:rsidR="00C11DA1" w:rsidRPr="004676F5" w:rsidRDefault="00C11DA1" w:rsidP="006C0BE7">
      <w:pPr>
        <w:jc w:val="both"/>
        <w:rPr>
          <w:lang w:val="de-DE"/>
        </w:rPr>
      </w:pPr>
    </w:p>
    <w:p w14:paraId="135B7D1B" w14:textId="3DCCF99E" w:rsidR="006C0BE7" w:rsidRPr="004676F5" w:rsidRDefault="006C0BE7" w:rsidP="006C0BE7">
      <w:pPr>
        <w:jc w:val="both"/>
        <w:rPr>
          <w:lang w:val="de-DE"/>
        </w:rPr>
      </w:pPr>
      <w:r w:rsidRPr="004676F5">
        <w:rPr>
          <w:lang w:val="de-DE"/>
        </w:rPr>
        <w:tab/>
      </w:r>
      <w:r w:rsidR="00BE0A56" w:rsidRPr="004676F5">
        <w:rPr>
          <w:b/>
          <w:lang w:val="de-DE"/>
        </w:rPr>
        <w:t>Art. </w:t>
      </w:r>
      <w:r w:rsidRPr="004676F5">
        <w:rPr>
          <w:b/>
          <w:lang w:val="de-DE"/>
        </w:rPr>
        <w:t>XV.121</w:t>
      </w:r>
      <w:r w:rsidRPr="004676F5">
        <w:rPr>
          <w:lang w:val="de-DE"/>
        </w:rPr>
        <w:t> </w:t>
      </w:r>
      <w:r w:rsidR="005B7A5C" w:rsidRPr="004676F5">
        <w:rPr>
          <w:lang w:val="de-DE"/>
        </w:rPr>
        <w:t>- </w:t>
      </w:r>
      <w:r w:rsidRPr="004676F5">
        <w:rPr>
          <w:lang w:val="de-DE"/>
        </w:rPr>
        <w:t>Mit einer Sanktion der Stufe 4 wird bestraft, wer bösgläubig gegen die Bestimmungen der Artikel XII.6 bis XII.9, XII.12 und XII.13 verstößt.</w:t>
      </w:r>
    </w:p>
    <w:p w14:paraId="37DB298F" w14:textId="77777777" w:rsidR="006C0BE7" w:rsidRPr="004676F5" w:rsidRDefault="006C0BE7" w:rsidP="006C0BE7">
      <w:pPr>
        <w:jc w:val="both"/>
        <w:rPr>
          <w:lang w:val="de-DE"/>
        </w:rPr>
      </w:pPr>
    </w:p>
    <w:p w14:paraId="6DD627FE" w14:textId="77777777" w:rsidR="00C11DA1" w:rsidRPr="004676F5" w:rsidRDefault="00C11DA1" w:rsidP="006C0BE7">
      <w:pPr>
        <w:jc w:val="both"/>
        <w:rPr>
          <w:lang w:val="de-DE"/>
        </w:rPr>
      </w:pPr>
    </w:p>
    <w:p w14:paraId="4BC91B55" w14:textId="03438C2F" w:rsidR="00C11DA1" w:rsidRPr="004676F5" w:rsidRDefault="006C0BE7" w:rsidP="006C0BE7">
      <w:pPr>
        <w:jc w:val="both"/>
        <w:rPr>
          <w:lang w:val="de-DE"/>
        </w:rPr>
      </w:pPr>
      <w:r w:rsidRPr="004676F5">
        <w:rPr>
          <w:lang w:val="de-DE"/>
        </w:rPr>
        <w:tab/>
      </w:r>
      <w:r w:rsidR="00BE0A56" w:rsidRPr="004676F5">
        <w:rPr>
          <w:b/>
          <w:lang w:val="de-DE"/>
        </w:rPr>
        <w:t>Art. </w:t>
      </w:r>
      <w:r w:rsidRPr="004676F5">
        <w:rPr>
          <w:b/>
          <w:lang w:val="de-DE"/>
        </w:rPr>
        <w:t>XV.122</w:t>
      </w:r>
      <w:r w:rsidRPr="004676F5">
        <w:rPr>
          <w:lang w:val="de-DE"/>
        </w:rPr>
        <w:t> </w:t>
      </w:r>
      <w:r w:rsidR="005B7A5C" w:rsidRPr="004676F5">
        <w:rPr>
          <w:lang w:val="de-DE"/>
        </w:rPr>
        <w:t>- </w:t>
      </w:r>
      <w:r w:rsidRPr="004676F5">
        <w:rPr>
          <w:lang w:val="de-DE"/>
        </w:rPr>
        <w:t>Mit einer Sanktion der Stufe 6 wird bestraft, wer gegen die Bestimmungen des Artikels XII.21 verstößt.</w:t>
      </w:r>
      <w:r w:rsidR="00C11DA1" w:rsidRPr="004676F5">
        <w:rPr>
          <w:lang w:val="de-DE"/>
        </w:rPr>
        <w:t>]</w:t>
      </w:r>
    </w:p>
    <w:p w14:paraId="7D2A609F" w14:textId="77777777" w:rsidR="00C11DA1" w:rsidRPr="004676F5" w:rsidRDefault="00C11DA1" w:rsidP="006C0BE7">
      <w:pPr>
        <w:jc w:val="both"/>
        <w:rPr>
          <w:lang w:val="de-DE"/>
        </w:rPr>
      </w:pPr>
    </w:p>
    <w:p w14:paraId="5DC99E4F" w14:textId="77777777" w:rsidR="00DA3B7E" w:rsidRPr="004676F5" w:rsidRDefault="00DA3B7E">
      <w:pPr>
        <w:rPr>
          <w:lang w:val="de-DE"/>
        </w:rPr>
      </w:pPr>
    </w:p>
    <w:p w14:paraId="1ACB21EE" w14:textId="3F858050" w:rsidR="00DA3B7E" w:rsidRPr="004676F5" w:rsidRDefault="00DA3B7E" w:rsidP="006C0BE7">
      <w:pPr>
        <w:jc w:val="both"/>
        <w:rPr>
          <w:lang w:val="de-DE"/>
        </w:rPr>
      </w:pPr>
      <w:r w:rsidRPr="004676F5">
        <w:rPr>
          <w:lang w:val="de-DE"/>
        </w:rPr>
        <w:tab/>
        <w:t>[</w:t>
      </w:r>
      <w:r w:rsidR="00BE0A56" w:rsidRPr="004676F5">
        <w:rPr>
          <w:b/>
          <w:lang w:val="de-DE"/>
        </w:rPr>
        <w:t>Art. </w:t>
      </w:r>
      <w:r w:rsidRPr="004676F5">
        <w:rPr>
          <w:b/>
          <w:lang w:val="de-DE"/>
        </w:rPr>
        <w:t>XV.123</w:t>
      </w:r>
      <w:r w:rsidRPr="004676F5">
        <w:rPr>
          <w:lang w:val="de-DE"/>
        </w:rPr>
        <w:t> </w:t>
      </w:r>
      <w:r w:rsidR="005B7A5C" w:rsidRPr="004676F5">
        <w:rPr>
          <w:lang w:val="de-DE"/>
        </w:rPr>
        <w:t>- </w:t>
      </w:r>
      <w:r w:rsidRPr="004676F5">
        <w:rPr>
          <w:lang w:val="de-DE"/>
        </w:rPr>
        <w:t>Mit einer Sanktion der Stufe 5 wird bestraft, wer sich die Eigenschaft eines qualifizierten Vertrauensdiensteanbieters anmaßt, ohne in der in Artikel 22 der Verordnung 910/2014 erwähnten Vertrauensliste eingetragen zu sein, oder wer unter Verstoß gegen Artikel XII.25 § 9 direkt oder indirekt verstehen lässt, dass er einen qualifizierten Vertrauensdienst erbringt, oder wer unter Verstoß gegen Artikel XII.25 § 10 direkt oder indirekt verstehen lässt, dass sein Dienst ein feststehendes Datum verleiht, oder wer gegen die Bestimmungen von Artikel XII.26 Absatz 2 verstößt.]</w:t>
      </w:r>
    </w:p>
    <w:p w14:paraId="7DE16A25" w14:textId="77777777" w:rsidR="00DA3B7E" w:rsidRPr="004676F5" w:rsidRDefault="00DA3B7E" w:rsidP="006C0BE7">
      <w:pPr>
        <w:jc w:val="both"/>
        <w:rPr>
          <w:lang w:val="de-DE"/>
        </w:rPr>
      </w:pPr>
    </w:p>
    <w:p w14:paraId="4BB2009B" w14:textId="059A22BB" w:rsidR="00DA3B7E" w:rsidRPr="004676F5" w:rsidRDefault="00DA3B7E" w:rsidP="00DA3B7E">
      <w:pPr>
        <w:jc w:val="both"/>
        <w:rPr>
          <w:i/>
          <w:lang w:val="de-DE"/>
        </w:rPr>
      </w:pPr>
      <w:r w:rsidRPr="004676F5">
        <w:rPr>
          <w:i/>
          <w:lang w:val="de-DE"/>
        </w:rPr>
        <w:t>[</w:t>
      </w:r>
      <w:r w:rsidR="00BE0A56" w:rsidRPr="004676F5">
        <w:rPr>
          <w:i/>
          <w:lang w:val="de-DE"/>
        </w:rPr>
        <w:t>Art. </w:t>
      </w:r>
      <w:r w:rsidRPr="004676F5">
        <w:rPr>
          <w:i/>
          <w:lang w:val="de-DE"/>
        </w:rPr>
        <w:t xml:space="preserve">XV.123 eingefügt durch </w:t>
      </w:r>
      <w:r w:rsidR="00BE0A56" w:rsidRPr="004676F5">
        <w:rPr>
          <w:i/>
          <w:lang w:val="de-DE"/>
        </w:rPr>
        <w:t>Art. </w:t>
      </w:r>
      <w:r w:rsidRPr="004676F5">
        <w:rPr>
          <w:i/>
          <w:lang w:val="de-DE"/>
        </w:rPr>
        <w:t>28 des G. vom 21. Juli 2016 (B.S. vom 28. September 2016)]</w:t>
      </w:r>
    </w:p>
    <w:p w14:paraId="06CE1B32" w14:textId="77777777" w:rsidR="00F47198" w:rsidRPr="004676F5" w:rsidRDefault="00F47198">
      <w:pPr>
        <w:rPr>
          <w:lang w:val="de-DE"/>
        </w:rPr>
      </w:pPr>
    </w:p>
    <w:p w14:paraId="13E13FC0" w14:textId="60AD17AB" w:rsidR="00885A31" w:rsidRPr="004676F5" w:rsidRDefault="00885A31">
      <w:pPr>
        <w:rPr>
          <w:lang w:val="de-DE"/>
        </w:rPr>
      </w:pPr>
    </w:p>
    <w:p w14:paraId="16B74E6F" w14:textId="3AC3552D" w:rsidR="00DF2660" w:rsidRPr="004676F5" w:rsidRDefault="00DF2660" w:rsidP="00DF2660">
      <w:pPr>
        <w:jc w:val="center"/>
        <w:rPr>
          <w:lang w:val="de-DE"/>
        </w:rPr>
      </w:pPr>
      <w:r w:rsidRPr="004676F5">
        <w:rPr>
          <w:lang w:val="de-DE"/>
        </w:rPr>
        <w:t>[</w:t>
      </w:r>
      <w:r w:rsidRPr="004676F5">
        <w:rPr>
          <w:i/>
          <w:lang w:val="de-DE"/>
        </w:rPr>
        <w:t>Abschnitt 10</w:t>
      </w:r>
      <w:r w:rsidRPr="004676F5">
        <w:rPr>
          <w:lang w:val="de-DE"/>
        </w:rPr>
        <w:t> </w:t>
      </w:r>
      <w:r w:rsidR="005B7A5C" w:rsidRPr="004676F5">
        <w:rPr>
          <w:lang w:val="de-DE"/>
        </w:rPr>
        <w:t>- </w:t>
      </w:r>
      <w:r w:rsidR="00AC5746" w:rsidRPr="004676F5">
        <w:rPr>
          <w:lang w:val="de-DE"/>
        </w:rPr>
        <w:t>[...]</w:t>
      </w:r>
    </w:p>
    <w:p w14:paraId="1148C368" w14:textId="77777777" w:rsidR="00DF2660" w:rsidRPr="004676F5" w:rsidRDefault="00DF2660" w:rsidP="00DF2660">
      <w:pPr>
        <w:jc w:val="center"/>
        <w:rPr>
          <w:lang w:val="de-DE"/>
        </w:rPr>
      </w:pPr>
    </w:p>
    <w:p w14:paraId="2F7D2068" w14:textId="3BB7EF07" w:rsidR="00DF2660" w:rsidRPr="004676F5" w:rsidRDefault="00DF2660" w:rsidP="00DF2660">
      <w:pPr>
        <w:jc w:val="both"/>
        <w:rPr>
          <w:i/>
          <w:lang w:val="de-DE"/>
        </w:rPr>
      </w:pPr>
      <w:r w:rsidRPr="004676F5">
        <w:rPr>
          <w:i/>
          <w:lang w:val="de-DE"/>
        </w:rPr>
        <w:t xml:space="preserve">[Abschnitt 10 mit den Artikeln XV.124 bis XV.124/3 eingefügt durch </w:t>
      </w:r>
      <w:r w:rsidR="00BE0A56" w:rsidRPr="004676F5">
        <w:rPr>
          <w:i/>
          <w:lang w:val="de-DE"/>
        </w:rPr>
        <w:t>Art. </w:t>
      </w:r>
      <w:r w:rsidRPr="004676F5">
        <w:rPr>
          <w:i/>
          <w:lang w:val="de-DE"/>
        </w:rPr>
        <w:t>5 des G. vom 15. Mai 2014 (II) (B.S. vom 30. Mai 2014)</w:t>
      </w:r>
      <w:r w:rsidR="00201B7E" w:rsidRPr="004676F5">
        <w:rPr>
          <w:i/>
          <w:lang w:val="de-DE"/>
        </w:rPr>
        <w:t xml:space="preserve"> und aufgehoben durch Art. 209 des G. vom 15. April 2018 (B.S. vom 27. April 2018)</w:t>
      </w:r>
      <w:r w:rsidRPr="004676F5">
        <w:rPr>
          <w:i/>
          <w:lang w:val="de-DE"/>
        </w:rPr>
        <w:t>]</w:t>
      </w:r>
    </w:p>
    <w:p w14:paraId="6E511563" w14:textId="77777777" w:rsidR="00DF2660" w:rsidRPr="004676F5" w:rsidRDefault="00DF2660" w:rsidP="00DF2660">
      <w:pPr>
        <w:jc w:val="both"/>
        <w:rPr>
          <w:i/>
          <w:lang w:val="de-DE"/>
        </w:rPr>
      </w:pPr>
    </w:p>
    <w:p w14:paraId="37AE6E7A" w14:textId="77777777" w:rsidR="00DF2660" w:rsidRPr="004676F5" w:rsidRDefault="00DF2660" w:rsidP="00DF2660">
      <w:pPr>
        <w:ind w:firstLine="708"/>
        <w:jc w:val="both"/>
        <w:rPr>
          <w:lang w:val="de-DE"/>
        </w:rPr>
      </w:pPr>
    </w:p>
    <w:p w14:paraId="38AFC5DF" w14:textId="6A6AB6C1" w:rsidR="00DF2660" w:rsidRPr="004676F5" w:rsidRDefault="00BE0A56" w:rsidP="00DF2660">
      <w:pPr>
        <w:ind w:firstLine="708"/>
        <w:jc w:val="both"/>
        <w:rPr>
          <w:lang w:val="de-DE"/>
        </w:rPr>
      </w:pPr>
      <w:r w:rsidRPr="004676F5">
        <w:rPr>
          <w:b/>
          <w:lang w:val="de-DE"/>
        </w:rPr>
        <w:t>Art. </w:t>
      </w:r>
      <w:r w:rsidR="00DF2660" w:rsidRPr="004676F5">
        <w:rPr>
          <w:b/>
          <w:lang w:val="de-DE"/>
        </w:rPr>
        <w:t>XV.124</w:t>
      </w:r>
      <w:r w:rsidR="00DF2660" w:rsidRPr="004676F5">
        <w:rPr>
          <w:lang w:val="de-DE"/>
        </w:rPr>
        <w:t> </w:t>
      </w:r>
      <w:r w:rsidR="005B7A5C" w:rsidRPr="004676F5">
        <w:rPr>
          <w:lang w:val="de-DE"/>
        </w:rPr>
        <w:t>- </w:t>
      </w:r>
      <w:r w:rsidR="00DF2660" w:rsidRPr="004676F5">
        <w:rPr>
          <w:b/>
          <w:lang w:val="de-DE"/>
        </w:rPr>
        <w:t>XV.124/3</w:t>
      </w:r>
      <w:r w:rsidR="00DF2660" w:rsidRPr="004676F5">
        <w:rPr>
          <w:lang w:val="de-DE"/>
        </w:rPr>
        <w:t> </w:t>
      </w:r>
      <w:r w:rsidR="005B7A5C" w:rsidRPr="004676F5">
        <w:rPr>
          <w:lang w:val="de-DE"/>
        </w:rPr>
        <w:t>- </w:t>
      </w:r>
      <w:r w:rsidR="00201B7E" w:rsidRPr="004676F5">
        <w:rPr>
          <w:lang w:val="de-DE"/>
        </w:rPr>
        <w:t>[...]</w:t>
      </w:r>
      <w:r w:rsidR="00DF2660" w:rsidRPr="004676F5">
        <w:rPr>
          <w:lang w:val="de-DE"/>
        </w:rPr>
        <w:t>]</w:t>
      </w:r>
    </w:p>
    <w:p w14:paraId="4A46C30B" w14:textId="77777777" w:rsidR="00DF2660" w:rsidRPr="004676F5" w:rsidRDefault="00DF2660" w:rsidP="00DF2660">
      <w:pPr>
        <w:ind w:firstLine="708"/>
        <w:jc w:val="both"/>
        <w:rPr>
          <w:lang w:val="de-DE"/>
        </w:rPr>
      </w:pPr>
    </w:p>
    <w:p w14:paraId="17B55E55" w14:textId="77777777" w:rsidR="003F1C2F" w:rsidRPr="004676F5" w:rsidRDefault="003F1C2F" w:rsidP="003F1C2F">
      <w:pPr>
        <w:jc w:val="center"/>
        <w:rPr>
          <w:lang w:val="de-DE"/>
        </w:rPr>
      </w:pPr>
    </w:p>
    <w:p w14:paraId="5F7D15F6" w14:textId="4D7AD109" w:rsidR="00372655" w:rsidRPr="004676F5" w:rsidRDefault="00372655" w:rsidP="00372655">
      <w:pPr>
        <w:jc w:val="center"/>
        <w:rPr>
          <w:lang w:val="de-DE"/>
        </w:rPr>
      </w:pPr>
      <w:r w:rsidRPr="004676F5">
        <w:rPr>
          <w:lang w:val="de-DE"/>
        </w:rPr>
        <w:t>[</w:t>
      </w:r>
      <w:r w:rsidRPr="004676F5">
        <w:rPr>
          <w:i/>
          <w:lang w:val="de-DE"/>
        </w:rPr>
        <w:t>Abschnitt 11</w:t>
      </w:r>
      <w:r w:rsidRPr="004676F5">
        <w:rPr>
          <w:lang w:val="de-DE"/>
        </w:rPr>
        <w:t> </w:t>
      </w:r>
      <w:r w:rsidR="005B7A5C" w:rsidRPr="004676F5">
        <w:rPr>
          <w:lang w:val="de-DE"/>
        </w:rPr>
        <w:t>- </w:t>
      </w:r>
      <w:r w:rsidRPr="004676F5">
        <w:rPr>
          <w:lang w:val="de-DE"/>
        </w:rPr>
        <w:t>Strafen in Bezug auf Verstöße gegen Buch XVI</w:t>
      </w:r>
    </w:p>
    <w:p w14:paraId="5CC0720E" w14:textId="77777777" w:rsidR="00372655" w:rsidRPr="004676F5" w:rsidRDefault="00372655" w:rsidP="00372655">
      <w:pPr>
        <w:jc w:val="both"/>
        <w:rPr>
          <w:lang w:val="de-DE"/>
        </w:rPr>
      </w:pPr>
    </w:p>
    <w:p w14:paraId="5DE46E4F" w14:textId="3C1D2EEF" w:rsidR="00372655" w:rsidRPr="004676F5" w:rsidRDefault="00372655" w:rsidP="00372655">
      <w:pPr>
        <w:jc w:val="both"/>
        <w:rPr>
          <w:i/>
          <w:lang w:val="de-DE"/>
        </w:rPr>
      </w:pPr>
      <w:r w:rsidRPr="004676F5">
        <w:rPr>
          <w:i/>
          <w:lang w:val="de-DE"/>
        </w:rPr>
        <w:t xml:space="preserve">[Abschnitt 11 mit früherem Artikel XV.127 eingefügt durch </w:t>
      </w:r>
      <w:r w:rsidR="00BE0A56" w:rsidRPr="004676F5">
        <w:rPr>
          <w:i/>
          <w:lang w:val="de-DE"/>
        </w:rPr>
        <w:t>Art. </w:t>
      </w:r>
      <w:r w:rsidRPr="004676F5">
        <w:rPr>
          <w:i/>
          <w:lang w:val="de-DE"/>
        </w:rPr>
        <w:t>4 des G. vom 4. April 2014 (B.S. vom 12. Mai 2014)]</w:t>
      </w:r>
    </w:p>
    <w:p w14:paraId="1F68A3C5" w14:textId="77777777" w:rsidR="00372655" w:rsidRPr="004676F5" w:rsidRDefault="00372655" w:rsidP="00372655">
      <w:pPr>
        <w:jc w:val="both"/>
        <w:rPr>
          <w:i/>
          <w:lang w:val="de-DE"/>
        </w:rPr>
      </w:pPr>
    </w:p>
    <w:p w14:paraId="0C5F7298" w14:textId="77777777" w:rsidR="00372655" w:rsidRPr="004676F5" w:rsidRDefault="00372655" w:rsidP="00372655">
      <w:pPr>
        <w:jc w:val="both"/>
        <w:rPr>
          <w:i/>
          <w:lang w:val="de-DE"/>
        </w:rPr>
      </w:pPr>
    </w:p>
    <w:p w14:paraId="44BBE345" w14:textId="701BE7FB" w:rsidR="00372655" w:rsidRPr="004676F5" w:rsidRDefault="003F1C2F" w:rsidP="00372655">
      <w:pPr>
        <w:ind w:firstLine="708"/>
        <w:jc w:val="both"/>
        <w:rPr>
          <w:lang w:val="de-DE"/>
        </w:rPr>
      </w:pPr>
      <w:r w:rsidRPr="004676F5">
        <w:rPr>
          <w:lang w:val="de-DE"/>
        </w:rPr>
        <w:t>[</w:t>
      </w:r>
      <w:r w:rsidR="00BE0A56" w:rsidRPr="004676F5">
        <w:rPr>
          <w:b/>
          <w:lang w:val="de-DE"/>
        </w:rPr>
        <w:t>Art. </w:t>
      </w:r>
      <w:r w:rsidR="00372655" w:rsidRPr="004676F5">
        <w:rPr>
          <w:b/>
          <w:lang w:val="de-DE"/>
        </w:rPr>
        <w:t>XV.125</w:t>
      </w:r>
      <w:r w:rsidR="00372655" w:rsidRPr="004676F5">
        <w:rPr>
          <w:lang w:val="de-DE"/>
        </w:rPr>
        <w:t>] </w:t>
      </w:r>
      <w:r w:rsidR="005B7A5C" w:rsidRPr="004676F5">
        <w:rPr>
          <w:lang w:val="de-DE"/>
        </w:rPr>
        <w:t>- </w:t>
      </w:r>
      <w:r w:rsidR="00372655" w:rsidRPr="004676F5">
        <w:rPr>
          <w:lang w:val="de-DE"/>
        </w:rPr>
        <w:t>§ 1 </w:t>
      </w:r>
      <w:r w:rsidR="005B7A5C" w:rsidRPr="004676F5">
        <w:rPr>
          <w:lang w:val="de-DE"/>
        </w:rPr>
        <w:t>- </w:t>
      </w:r>
      <w:r w:rsidR="00372655" w:rsidRPr="004676F5">
        <w:rPr>
          <w:lang w:val="de-DE"/>
        </w:rPr>
        <w:t xml:space="preserve">Mit einer Sanktion der Stufe 2 wird bestraft, wer gegen </w:t>
      </w:r>
      <w:r w:rsidR="00523416" w:rsidRPr="004676F5">
        <w:rPr>
          <w:lang w:val="de-DE"/>
        </w:rPr>
        <w:t>[die Artikel XVI.2 bis XVI.4 §§ 1 bis 3, XVI.17 § 2 letzter Absatz und XVI.27 § 2]</w:t>
      </w:r>
      <w:r w:rsidR="00372655" w:rsidRPr="004676F5">
        <w:rPr>
          <w:lang w:val="de-DE"/>
        </w:rPr>
        <w:t xml:space="preserve"> verstößt.</w:t>
      </w:r>
    </w:p>
    <w:p w14:paraId="770AB4CA" w14:textId="77777777" w:rsidR="00372655" w:rsidRPr="004676F5" w:rsidRDefault="00372655" w:rsidP="00372655">
      <w:pPr>
        <w:ind w:firstLine="708"/>
        <w:jc w:val="both"/>
        <w:rPr>
          <w:lang w:val="de-DE"/>
        </w:rPr>
      </w:pPr>
    </w:p>
    <w:p w14:paraId="70C6AAB5" w14:textId="7554B155" w:rsidR="00372655" w:rsidRPr="004676F5" w:rsidRDefault="00372655" w:rsidP="00372655">
      <w:pPr>
        <w:jc w:val="both"/>
        <w:rPr>
          <w:lang w:val="de-DE"/>
        </w:rPr>
      </w:pPr>
      <w:r w:rsidRPr="004676F5">
        <w:rPr>
          <w:lang w:val="de-DE"/>
        </w:rPr>
        <w:tab/>
        <w:t xml:space="preserve">§ 2 </w:t>
      </w:r>
      <w:r w:rsidR="005B7A5C" w:rsidRPr="004676F5">
        <w:rPr>
          <w:lang w:val="de-DE"/>
        </w:rPr>
        <w:t>- </w:t>
      </w:r>
      <w:r w:rsidRPr="004676F5">
        <w:rPr>
          <w:lang w:val="de-DE"/>
        </w:rPr>
        <w:t xml:space="preserve">Mit einer Sanktion der Stufe 3 wird bestraft, wer bösgläubig gegen </w:t>
      </w:r>
      <w:r w:rsidR="00523416" w:rsidRPr="004676F5">
        <w:rPr>
          <w:lang w:val="de-DE"/>
        </w:rPr>
        <w:t>[die Artikel XVI.2 bis XVI.4 §§ 1 bis 3, XVI.17 § 2 letzter Absatz und XVI.27 § 2]</w:t>
      </w:r>
      <w:r w:rsidRPr="004676F5">
        <w:rPr>
          <w:lang w:val="de-DE"/>
        </w:rPr>
        <w:t xml:space="preserve"> verstößt.]</w:t>
      </w:r>
    </w:p>
    <w:p w14:paraId="108FCF61" w14:textId="77777777" w:rsidR="00372655" w:rsidRPr="004676F5" w:rsidRDefault="00372655" w:rsidP="00372655">
      <w:pPr>
        <w:rPr>
          <w:lang w:val="de-DE"/>
        </w:rPr>
      </w:pPr>
    </w:p>
    <w:p w14:paraId="781365D2" w14:textId="7D3FAFFD" w:rsidR="006A29C3" w:rsidRPr="004676F5" w:rsidRDefault="00372655" w:rsidP="006A29C3">
      <w:pPr>
        <w:jc w:val="both"/>
        <w:rPr>
          <w:i/>
          <w:lang w:val="de-DE"/>
        </w:rPr>
      </w:pPr>
      <w:r w:rsidRPr="004676F5">
        <w:rPr>
          <w:i/>
          <w:lang w:val="de-DE"/>
        </w:rPr>
        <w:t xml:space="preserve">[Früherer Artikel XV.127 umnummeriert zu </w:t>
      </w:r>
      <w:r w:rsidR="00BE0A56" w:rsidRPr="004676F5">
        <w:rPr>
          <w:i/>
          <w:lang w:val="de-DE"/>
        </w:rPr>
        <w:t>Art. </w:t>
      </w:r>
      <w:r w:rsidRPr="004676F5">
        <w:rPr>
          <w:i/>
          <w:lang w:val="de-DE"/>
        </w:rPr>
        <w:t xml:space="preserve">XV.125 durch </w:t>
      </w:r>
      <w:r w:rsidR="00BE0A56" w:rsidRPr="004676F5">
        <w:rPr>
          <w:i/>
          <w:lang w:val="de-DE"/>
        </w:rPr>
        <w:t>Art. </w:t>
      </w:r>
      <w:r w:rsidRPr="004676F5">
        <w:rPr>
          <w:i/>
          <w:lang w:val="de-DE"/>
        </w:rPr>
        <w:t>63 des G. vom 26. Oktober 2015 (B.S. vom 30. Oktober 2015)</w:t>
      </w:r>
      <w:r w:rsidR="00523416" w:rsidRPr="004676F5">
        <w:rPr>
          <w:i/>
          <w:lang w:val="de-DE"/>
        </w:rPr>
        <w:t xml:space="preserve">; § 1 abgeändert durch </w:t>
      </w:r>
      <w:r w:rsidR="00BE0A56" w:rsidRPr="004676F5">
        <w:rPr>
          <w:i/>
          <w:lang w:val="de-DE"/>
        </w:rPr>
        <w:t>Art. </w:t>
      </w:r>
      <w:r w:rsidR="00523416" w:rsidRPr="004676F5">
        <w:rPr>
          <w:i/>
          <w:lang w:val="de-DE"/>
        </w:rPr>
        <w:t xml:space="preserve">28 Nr. 1 des G. vom 18. April 2017 (B.S. vom 24. April 2017); § 2 abgeändert durch </w:t>
      </w:r>
      <w:r w:rsidR="00BE0A56" w:rsidRPr="004676F5">
        <w:rPr>
          <w:i/>
          <w:lang w:val="de-DE"/>
        </w:rPr>
        <w:t>Art. </w:t>
      </w:r>
      <w:r w:rsidR="00523416" w:rsidRPr="004676F5">
        <w:rPr>
          <w:i/>
          <w:lang w:val="de-DE"/>
        </w:rPr>
        <w:t>28 Nr. 2 des G. vom 18. April 2017 (B.S. vom 24. April 2017)</w:t>
      </w:r>
      <w:r w:rsidRPr="004676F5">
        <w:rPr>
          <w:i/>
          <w:lang w:val="de-DE"/>
        </w:rPr>
        <w:t>]</w:t>
      </w:r>
    </w:p>
    <w:p w14:paraId="1B36223A" w14:textId="77777777" w:rsidR="006A29C3" w:rsidRPr="004676F5" w:rsidRDefault="006A29C3" w:rsidP="006A29C3">
      <w:pPr>
        <w:jc w:val="both"/>
        <w:rPr>
          <w:i/>
          <w:lang w:val="de-DE"/>
        </w:rPr>
      </w:pPr>
    </w:p>
    <w:p w14:paraId="06CBC525" w14:textId="77777777" w:rsidR="006A29C3" w:rsidRPr="004676F5" w:rsidRDefault="006A29C3" w:rsidP="006A29C3">
      <w:pPr>
        <w:jc w:val="both"/>
        <w:rPr>
          <w:i/>
          <w:lang w:val="de-DE"/>
        </w:rPr>
      </w:pPr>
    </w:p>
    <w:p w14:paraId="5256C726" w14:textId="7B3912A6" w:rsidR="009F58FD" w:rsidRPr="004676F5" w:rsidRDefault="009F58FD" w:rsidP="009F58FD">
      <w:pPr>
        <w:jc w:val="center"/>
        <w:rPr>
          <w:lang w:val="de-DE"/>
        </w:rPr>
      </w:pPr>
      <w:r w:rsidRPr="004676F5">
        <w:rPr>
          <w:lang w:val="de-DE"/>
        </w:rPr>
        <w:t>[</w:t>
      </w:r>
      <w:r w:rsidRPr="004676F5">
        <w:rPr>
          <w:i/>
          <w:lang w:val="de-DE"/>
        </w:rPr>
        <w:t>Abschnitt</w:t>
      </w:r>
      <w:r w:rsidRPr="004676F5">
        <w:rPr>
          <w:lang w:val="de-DE"/>
        </w:rPr>
        <w:t> </w:t>
      </w:r>
      <w:r w:rsidRPr="004676F5">
        <w:rPr>
          <w:i/>
          <w:lang w:val="de-DE"/>
        </w:rPr>
        <w:t>11/1</w:t>
      </w:r>
      <w:r w:rsidRPr="004676F5">
        <w:rPr>
          <w:lang w:val="de-DE"/>
        </w:rPr>
        <w:t> </w:t>
      </w:r>
      <w:r w:rsidR="005B7A5C" w:rsidRPr="004676F5">
        <w:rPr>
          <w:lang w:val="de-DE"/>
        </w:rPr>
        <w:t>- </w:t>
      </w:r>
      <w:r w:rsidRPr="004676F5">
        <w:rPr>
          <w:lang w:val="de-DE"/>
        </w:rPr>
        <w:t>Strafen in Bezug auf Verstöße gegen Buch XVII</w:t>
      </w:r>
    </w:p>
    <w:p w14:paraId="6622EB2C" w14:textId="77777777" w:rsidR="009F58FD" w:rsidRPr="004676F5" w:rsidRDefault="009F58FD" w:rsidP="009F58FD">
      <w:pPr>
        <w:jc w:val="both"/>
        <w:rPr>
          <w:lang w:val="de-DE"/>
        </w:rPr>
      </w:pPr>
    </w:p>
    <w:p w14:paraId="64A4E62D" w14:textId="57EF4D8A" w:rsidR="00657D4B" w:rsidRPr="004676F5" w:rsidRDefault="00657D4B" w:rsidP="00657D4B">
      <w:pPr>
        <w:jc w:val="both"/>
        <w:rPr>
          <w:i/>
          <w:lang w:val="de-DE"/>
        </w:rPr>
      </w:pPr>
      <w:r w:rsidRPr="004676F5">
        <w:rPr>
          <w:i/>
          <w:lang w:val="de-DE"/>
        </w:rPr>
        <w:t xml:space="preserve">[Abschnitt 11/1 mit </w:t>
      </w:r>
      <w:r w:rsidR="00BE0A56" w:rsidRPr="004676F5">
        <w:rPr>
          <w:i/>
          <w:lang w:val="de-DE"/>
        </w:rPr>
        <w:t>Art. </w:t>
      </w:r>
      <w:r w:rsidRPr="004676F5">
        <w:rPr>
          <w:i/>
          <w:lang w:val="de-DE"/>
        </w:rPr>
        <w:t xml:space="preserve">XV.125/1 eingefügt durch </w:t>
      </w:r>
      <w:r w:rsidR="00BE0A56" w:rsidRPr="004676F5">
        <w:rPr>
          <w:i/>
          <w:lang w:val="de-DE"/>
        </w:rPr>
        <w:t>Art. </w:t>
      </w:r>
      <w:r w:rsidRPr="004676F5">
        <w:rPr>
          <w:i/>
          <w:lang w:val="de-DE"/>
        </w:rPr>
        <w:t>4 des G. vom 26. Dezember 2013 (IV) (B.S. vom 28. Januar 2014)]</w:t>
      </w:r>
    </w:p>
    <w:p w14:paraId="251F3B78" w14:textId="77777777" w:rsidR="009F58FD" w:rsidRPr="004676F5" w:rsidRDefault="009F58FD" w:rsidP="009F58FD">
      <w:pPr>
        <w:jc w:val="both"/>
        <w:rPr>
          <w:lang w:val="de-DE"/>
        </w:rPr>
      </w:pPr>
    </w:p>
    <w:p w14:paraId="3A392C62" w14:textId="77777777" w:rsidR="009F58FD" w:rsidRPr="004676F5" w:rsidRDefault="009F58FD" w:rsidP="009F58FD">
      <w:pPr>
        <w:jc w:val="both"/>
        <w:rPr>
          <w:lang w:val="de-DE"/>
        </w:rPr>
      </w:pPr>
    </w:p>
    <w:p w14:paraId="3E687183" w14:textId="580D2453" w:rsidR="00C11DA1" w:rsidRPr="004676F5" w:rsidRDefault="009F58FD" w:rsidP="009F58FD">
      <w:pPr>
        <w:jc w:val="both"/>
        <w:rPr>
          <w:lang w:val="de-DE"/>
        </w:rPr>
      </w:pPr>
      <w:r w:rsidRPr="004676F5">
        <w:rPr>
          <w:lang w:val="de-DE"/>
        </w:rPr>
        <w:tab/>
      </w:r>
      <w:r w:rsidR="00BE0A56" w:rsidRPr="004676F5">
        <w:rPr>
          <w:b/>
          <w:lang w:val="de-DE"/>
        </w:rPr>
        <w:t>Art. </w:t>
      </w:r>
      <w:r w:rsidRPr="004676F5">
        <w:rPr>
          <w:b/>
          <w:lang w:val="de-DE"/>
        </w:rPr>
        <w:t>XV.125/1</w:t>
      </w:r>
      <w:r w:rsidRPr="004676F5">
        <w:rPr>
          <w:lang w:val="de-DE"/>
        </w:rPr>
        <w:t> </w:t>
      </w:r>
      <w:r w:rsidR="005B7A5C" w:rsidRPr="004676F5">
        <w:rPr>
          <w:lang w:val="de-DE"/>
        </w:rPr>
        <w:t>- </w:t>
      </w:r>
      <w:r w:rsidRPr="004676F5">
        <w:rPr>
          <w:lang w:val="de-DE"/>
        </w:rPr>
        <w:t xml:space="preserve">Mit einer Sanktion der Stufe 3 wird bestraft, wer den </w:t>
      </w:r>
      <w:r w:rsidR="00802794" w:rsidRPr="004676F5">
        <w:rPr>
          <w:lang w:val="de-DE"/>
        </w:rPr>
        <w:t>[in den Artikeln</w:t>
      </w:r>
      <w:r w:rsidR="009A0370">
        <w:rPr>
          <w:lang w:val="de-DE"/>
        </w:rPr>
        <w:t> </w:t>
      </w:r>
      <w:r w:rsidR="00802794" w:rsidRPr="004676F5">
        <w:rPr>
          <w:lang w:val="de-DE"/>
        </w:rPr>
        <w:t>XVII.4 und XVII.6 §</w:t>
      </w:r>
      <w:r w:rsidR="009A0370">
        <w:rPr>
          <w:lang w:val="de-DE"/>
        </w:rPr>
        <w:t> </w:t>
      </w:r>
      <w:r w:rsidR="00802794" w:rsidRPr="004676F5">
        <w:rPr>
          <w:lang w:val="de-DE"/>
        </w:rPr>
        <w:t>2 Absatz</w:t>
      </w:r>
      <w:r w:rsidR="009A0370">
        <w:rPr>
          <w:lang w:val="de-DE"/>
        </w:rPr>
        <w:t> </w:t>
      </w:r>
      <w:r w:rsidR="00802794" w:rsidRPr="004676F5">
        <w:rPr>
          <w:lang w:val="de-DE"/>
        </w:rPr>
        <w:t>2 erwähnten Anordnungen und Maßnahmen]</w:t>
      </w:r>
      <w:r w:rsidRPr="004676F5">
        <w:rPr>
          <w:lang w:val="de-DE"/>
        </w:rPr>
        <w:t xml:space="preserve"> erwähnten Anordnungen nicht nachkommt.</w:t>
      </w:r>
      <w:r w:rsidR="00657D4B" w:rsidRPr="004676F5">
        <w:rPr>
          <w:lang w:val="de-DE"/>
        </w:rPr>
        <w:t>]</w:t>
      </w:r>
    </w:p>
    <w:p w14:paraId="6AFB4362" w14:textId="77777777" w:rsidR="00802794" w:rsidRPr="004676F5" w:rsidRDefault="00802794" w:rsidP="009F58FD">
      <w:pPr>
        <w:jc w:val="both"/>
        <w:rPr>
          <w:lang w:val="de-DE"/>
        </w:rPr>
      </w:pPr>
    </w:p>
    <w:p w14:paraId="0CCD8058" w14:textId="670F2014" w:rsidR="00802794" w:rsidRPr="004676F5" w:rsidRDefault="00802794" w:rsidP="009F58FD">
      <w:pPr>
        <w:jc w:val="both"/>
        <w:rPr>
          <w:i/>
          <w:iCs/>
          <w:lang w:val="de-DE"/>
        </w:rPr>
      </w:pPr>
      <w:r w:rsidRPr="004676F5">
        <w:rPr>
          <w:i/>
          <w:iCs/>
          <w:lang w:val="de-DE"/>
        </w:rPr>
        <w:t>[Art.</w:t>
      </w:r>
      <w:r w:rsidR="009A0370">
        <w:rPr>
          <w:i/>
          <w:iCs/>
          <w:lang w:val="de-DE"/>
        </w:rPr>
        <w:t> </w:t>
      </w:r>
      <w:r w:rsidRPr="004676F5">
        <w:rPr>
          <w:i/>
          <w:iCs/>
          <w:lang w:val="de-DE"/>
        </w:rPr>
        <w:t>XV.125/1 abgeändert durch Art. 6 des G. vom 21. April 2024 (II) (B.S. vom 31. Mai 2024)]</w:t>
      </w:r>
    </w:p>
    <w:p w14:paraId="2F8EB8AE" w14:textId="77777777" w:rsidR="00AD018B" w:rsidRPr="004676F5" w:rsidRDefault="00AD018B" w:rsidP="009F58FD">
      <w:pPr>
        <w:jc w:val="both"/>
        <w:rPr>
          <w:lang w:val="de-DE"/>
        </w:rPr>
      </w:pPr>
    </w:p>
    <w:p w14:paraId="122E6810" w14:textId="77777777" w:rsidR="007F255A" w:rsidRPr="004676F5" w:rsidRDefault="007F255A">
      <w:pPr>
        <w:rPr>
          <w:lang w:val="de-DE"/>
        </w:rPr>
      </w:pPr>
    </w:p>
    <w:p w14:paraId="061961A7" w14:textId="77777777" w:rsidR="00CB218D" w:rsidRDefault="00CB218D">
      <w:pPr>
        <w:rPr>
          <w:lang w:val="de-DE"/>
        </w:rPr>
      </w:pPr>
      <w:r>
        <w:rPr>
          <w:lang w:val="de-DE"/>
        </w:rPr>
        <w:br w:type="page"/>
      </w:r>
    </w:p>
    <w:p w14:paraId="2C993732" w14:textId="0FB3F70D" w:rsidR="00AD018B" w:rsidRPr="004676F5" w:rsidRDefault="00AD018B" w:rsidP="00AD018B">
      <w:pPr>
        <w:jc w:val="center"/>
        <w:rPr>
          <w:lang w:val="de-DE"/>
        </w:rPr>
      </w:pPr>
      <w:r w:rsidRPr="004676F5">
        <w:rPr>
          <w:lang w:val="de-DE"/>
        </w:rPr>
        <w:lastRenderedPageBreak/>
        <w:t>[</w:t>
      </w:r>
      <w:r w:rsidRPr="004676F5">
        <w:rPr>
          <w:i/>
          <w:lang w:val="de-DE"/>
        </w:rPr>
        <w:t>Abschnitt 11/2</w:t>
      </w:r>
      <w:r w:rsidRPr="004676F5">
        <w:rPr>
          <w:lang w:val="de-DE"/>
        </w:rPr>
        <w:t xml:space="preserve"> </w:t>
      </w:r>
      <w:r w:rsidR="005B7A5C" w:rsidRPr="004676F5">
        <w:rPr>
          <w:lang w:val="de-DE"/>
        </w:rPr>
        <w:t>- </w:t>
      </w:r>
      <w:r w:rsidRPr="004676F5">
        <w:rPr>
          <w:lang w:val="de-DE"/>
        </w:rPr>
        <w:t>Strafen in Bezug auf Verstöße gegen Buch XVIII</w:t>
      </w:r>
      <w:r w:rsidR="002E11BF" w:rsidRPr="004676F5">
        <w:rPr>
          <w:lang w:val="de-DE"/>
        </w:rPr>
        <w:t>]</w:t>
      </w:r>
    </w:p>
    <w:p w14:paraId="0CE75122" w14:textId="77777777" w:rsidR="00AD018B" w:rsidRPr="004676F5" w:rsidRDefault="00AD018B" w:rsidP="00AD018B">
      <w:pPr>
        <w:rPr>
          <w:lang w:val="de-DE"/>
        </w:rPr>
      </w:pPr>
    </w:p>
    <w:p w14:paraId="21204245" w14:textId="3E39EE48" w:rsidR="00AD018B" w:rsidRPr="004676F5" w:rsidRDefault="00AD018B" w:rsidP="00AD018B">
      <w:pPr>
        <w:jc w:val="both"/>
        <w:rPr>
          <w:i/>
          <w:lang w:val="de-DE"/>
        </w:rPr>
      </w:pPr>
      <w:r w:rsidRPr="004676F5">
        <w:rPr>
          <w:i/>
          <w:lang w:val="de-DE"/>
        </w:rPr>
        <w:t>[</w:t>
      </w:r>
      <w:r w:rsidR="002E11BF" w:rsidRPr="004676F5">
        <w:rPr>
          <w:i/>
          <w:lang w:val="de-DE"/>
        </w:rPr>
        <w:t xml:space="preserve">Unterteilung </w:t>
      </w:r>
      <w:r w:rsidRPr="004676F5">
        <w:rPr>
          <w:i/>
          <w:lang w:val="de-DE"/>
        </w:rPr>
        <w:t xml:space="preserve">Abschnitt 11/2 eingefügt durch </w:t>
      </w:r>
      <w:r w:rsidR="00BE0A56" w:rsidRPr="004676F5">
        <w:rPr>
          <w:i/>
          <w:lang w:val="de-DE"/>
        </w:rPr>
        <w:t>Art. </w:t>
      </w:r>
      <w:r w:rsidRPr="004676F5">
        <w:rPr>
          <w:i/>
          <w:lang w:val="de-DE"/>
        </w:rPr>
        <w:t xml:space="preserve">4 des G. vom 27. März 2014 (I) (B.S. </w:t>
      </w:r>
      <w:r w:rsidR="00885A31" w:rsidRPr="004676F5">
        <w:rPr>
          <w:i/>
          <w:lang w:val="de-DE"/>
        </w:rPr>
        <w:t>v</w:t>
      </w:r>
      <w:r w:rsidRPr="004676F5">
        <w:rPr>
          <w:i/>
          <w:lang w:val="de-DE"/>
        </w:rPr>
        <w:t>om 29. April 2014)]</w:t>
      </w:r>
    </w:p>
    <w:p w14:paraId="6D9B1E64" w14:textId="77777777" w:rsidR="00AD018B" w:rsidRPr="004676F5" w:rsidRDefault="00AD018B" w:rsidP="00AD018B">
      <w:pPr>
        <w:rPr>
          <w:i/>
          <w:lang w:val="de-DE"/>
        </w:rPr>
      </w:pPr>
    </w:p>
    <w:p w14:paraId="72E9CD8C" w14:textId="77777777" w:rsidR="00AD018B" w:rsidRPr="004676F5" w:rsidRDefault="00AD018B" w:rsidP="00AD018B">
      <w:pPr>
        <w:jc w:val="both"/>
        <w:rPr>
          <w:lang w:val="de-DE"/>
        </w:rPr>
      </w:pPr>
    </w:p>
    <w:p w14:paraId="0E7F715E" w14:textId="4186A7E8" w:rsidR="00AD018B" w:rsidRPr="004676F5" w:rsidRDefault="00AD018B" w:rsidP="00AD018B">
      <w:pPr>
        <w:jc w:val="both"/>
        <w:rPr>
          <w:lang w:val="de-DE"/>
        </w:rPr>
      </w:pPr>
      <w:r w:rsidRPr="004676F5">
        <w:rPr>
          <w:lang w:val="de-DE"/>
        </w:rPr>
        <w:tab/>
      </w:r>
      <w:r w:rsidR="002E11BF" w:rsidRPr="004676F5">
        <w:rPr>
          <w:lang w:val="de-DE"/>
        </w:rPr>
        <w:t>[</w:t>
      </w:r>
      <w:r w:rsidR="00885A31" w:rsidRPr="004676F5">
        <w:rPr>
          <w:lang w:val="de-DE"/>
        </w:rPr>
        <w:t>[</w:t>
      </w:r>
      <w:r w:rsidR="00BE0A56" w:rsidRPr="004676F5">
        <w:rPr>
          <w:b/>
          <w:lang w:val="de-DE"/>
        </w:rPr>
        <w:t>Art. </w:t>
      </w:r>
      <w:r w:rsidRPr="004676F5">
        <w:rPr>
          <w:b/>
          <w:lang w:val="de-DE"/>
        </w:rPr>
        <w:t>XV.125/2</w:t>
      </w:r>
      <w:r w:rsidR="00885A31" w:rsidRPr="004676F5">
        <w:rPr>
          <w:bCs/>
          <w:lang w:val="de-DE"/>
        </w:rPr>
        <w:t>]</w:t>
      </w:r>
      <w:r w:rsidRPr="004676F5">
        <w:rPr>
          <w:lang w:val="de-DE"/>
        </w:rPr>
        <w:t xml:space="preserve"> </w:t>
      </w:r>
      <w:r w:rsidR="005B7A5C" w:rsidRPr="004676F5">
        <w:rPr>
          <w:lang w:val="de-DE"/>
        </w:rPr>
        <w:t>- </w:t>
      </w:r>
      <w:r w:rsidRPr="004676F5">
        <w:rPr>
          <w:lang w:val="de-DE"/>
        </w:rPr>
        <w:t>Mit einer Sanktion der Stufe 3 wird/werden bestraft, wer gegen die Bestimmungen von Buch XVIII und gegen die Erlasse zur Ausführung dieses Buches verstößt und Provinzial</w:t>
      </w:r>
      <w:r w:rsidR="005B7A5C" w:rsidRPr="004676F5">
        <w:rPr>
          <w:lang w:val="de-DE"/>
        </w:rPr>
        <w:t>- </w:t>
      </w:r>
      <w:r w:rsidRPr="004676F5">
        <w:rPr>
          <w:lang w:val="de-DE"/>
        </w:rPr>
        <w:t>und Kommunalbehörden, Staatsbeamte und -bedienstete, Provinzen und Gemeinden und von ihnen abhängende Einrichtungen, die sich weigern, Erlasse oder Anweisungen zur Ausführung der Artikel XVIII.1 und XVIII.2 auszuführen, oder die durch ihren Widerstand oder ihre Nachlässigkeit diese Ausführung behindern.]</w:t>
      </w:r>
    </w:p>
    <w:p w14:paraId="4322CA7E" w14:textId="24C9E313" w:rsidR="00270F53" w:rsidRPr="004676F5" w:rsidRDefault="00270F53">
      <w:pPr>
        <w:rPr>
          <w:lang w:val="de-DE"/>
        </w:rPr>
      </w:pPr>
    </w:p>
    <w:p w14:paraId="6B179B18" w14:textId="694878A3" w:rsidR="00885A31" w:rsidRPr="004676F5" w:rsidRDefault="00885A31" w:rsidP="00885A31">
      <w:pPr>
        <w:jc w:val="both"/>
        <w:rPr>
          <w:i/>
          <w:lang w:val="de-DE"/>
        </w:rPr>
      </w:pPr>
      <w:r w:rsidRPr="004676F5">
        <w:rPr>
          <w:i/>
          <w:iCs/>
          <w:lang w:val="de-DE"/>
        </w:rPr>
        <w:t xml:space="preserve">[Früherer Artikel XV.125/24 </w:t>
      </w:r>
      <w:r w:rsidR="002E11BF" w:rsidRPr="004676F5">
        <w:rPr>
          <w:i/>
          <w:lang w:val="de-DE"/>
        </w:rPr>
        <w:t>eingefügt durch Art. 4 des G. vom 27. März 2014 (I) (B.S. vom 29. April 2014)</w:t>
      </w:r>
      <w:r w:rsidR="009F66EF" w:rsidRPr="004676F5">
        <w:rPr>
          <w:i/>
          <w:lang w:val="de-DE"/>
        </w:rPr>
        <w:t xml:space="preserve">, umgegliedert durch Art. 35 </w:t>
      </w:r>
      <w:r w:rsidR="002E11BF" w:rsidRPr="004676F5">
        <w:rPr>
          <w:i/>
          <w:lang w:val="de-DE"/>
        </w:rPr>
        <w:t xml:space="preserve">und </w:t>
      </w:r>
      <w:r w:rsidRPr="004676F5">
        <w:rPr>
          <w:i/>
          <w:iCs/>
          <w:lang w:val="de-DE"/>
        </w:rPr>
        <w:t>umnummeriert zu Art. XV.125/2 durch Art. 36</w:t>
      </w:r>
      <w:r w:rsidRPr="004676F5">
        <w:rPr>
          <w:i/>
          <w:lang w:val="de-DE"/>
        </w:rPr>
        <w:t xml:space="preserve"> des G. vom 2. Mai 2019 (IV) (B.S. vom 22. Mai 2019)]</w:t>
      </w:r>
    </w:p>
    <w:p w14:paraId="5F40F7C4" w14:textId="77777777" w:rsidR="00885A31" w:rsidRPr="004676F5" w:rsidRDefault="00885A31">
      <w:pPr>
        <w:rPr>
          <w:lang w:val="de-DE"/>
        </w:rPr>
      </w:pPr>
    </w:p>
    <w:p w14:paraId="15DE1C1F" w14:textId="77777777" w:rsidR="00C5750E" w:rsidRPr="004676F5" w:rsidRDefault="00C5750E">
      <w:pPr>
        <w:rPr>
          <w:lang w:val="de-DE"/>
        </w:rPr>
      </w:pPr>
    </w:p>
    <w:p w14:paraId="0E9BAC91" w14:textId="03E40445" w:rsidR="00C5750E" w:rsidRPr="004676F5" w:rsidRDefault="00C5750E" w:rsidP="00C5750E">
      <w:pPr>
        <w:jc w:val="center"/>
        <w:rPr>
          <w:lang w:val="de-DE"/>
        </w:rPr>
      </w:pPr>
      <w:r w:rsidRPr="004676F5">
        <w:rPr>
          <w:lang w:val="de-DE"/>
        </w:rPr>
        <w:t>[</w:t>
      </w:r>
      <w:r w:rsidRPr="004676F5">
        <w:rPr>
          <w:i/>
          <w:iCs/>
          <w:lang w:val="de-DE"/>
        </w:rPr>
        <w:t>Abschnitt 11/2/1</w:t>
      </w:r>
      <w:r w:rsidRPr="004676F5">
        <w:rPr>
          <w:lang w:val="de-DE"/>
        </w:rPr>
        <w:t> </w:t>
      </w:r>
      <w:r w:rsidR="005B7A5C" w:rsidRPr="004676F5">
        <w:rPr>
          <w:lang w:val="de-DE"/>
        </w:rPr>
        <w:t>- </w:t>
      </w:r>
      <w:r w:rsidRPr="004676F5">
        <w:rPr>
          <w:lang w:val="de-DE"/>
        </w:rPr>
        <w:t>Strafen in Bezug auf Verstöße gegen Buch XIX]</w:t>
      </w:r>
    </w:p>
    <w:p w14:paraId="5FBAB9AB" w14:textId="77777777" w:rsidR="00C5750E" w:rsidRPr="004676F5" w:rsidRDefault="00C5750E" w:rsidP="00C5750E">
      <w:pPr>
        <w:jc w:val="center"/>
        <w:rPr>
          <w:lang w:val="de-DE"/>
        </w:rPr>
      </w:pPr>
    </w:p>
    <w:p w14:paraId="39EA3E2F" w14:textId="78A51709" w:rsidR="00C5750E" w:rsidRPr="004676F5" w:rsidRDefault="00C5750E" w:rsidP="00C5750E">
      <w:pPr>
        <w:jc w:val="both"/>
        <w:rPr>
          <w:i/>
          <w:iCs/>
          <w:lang w:val="de-DE"/>
        </w:rPr>
      </w:pPr>
      <w:r w:rsidRPr="004676F5">
        <w:rPr>
          <w:i/>
          <w:iCs/>
          <w:lang w:val="de-DE"/>
        </w:rPr>
        <w:t>[Unterteilung Abschnitt 11/2/1 eingefügt durch Art. 10 des G. vom 4. Mai 2023 (B.S. vom 23. Mai 2023)]</w:t>
      </w:r>
    </w:p>
    <w:p w14:paraId="5450A146" w14:textId="77777777" w:rsidR="00C5750E" w:rsidRPr="004676F5" w:rsidRDefault="00C5750E" w:rsidP="00C5750E">
      <w:pPr>
        <w:jc w:val="both"/>
        <w:rPr>
          <w:i/>
          <w:iCs/>
          <w:lang w:val="de-DE"/>
        </w:rPr>
      </w:pPr>
    </w:p>
    <w:p w14:paraId="435964B8" w14:textId="77777777" w:rsidR="00C5750E" w:rsidRPr="004676F5" w:rsidRDefault="00C5750E" w:rsidP="00C5750E">
      <w:pPr>
        <w:jc w:val="both"/>
        <w:rPr>
          <w:i/>
          <w:iCs/>
          <w:lang w:val="de-DE"/>
        </w:rPr>
      </w:pPr>
    </w:p>
    <w:p w14:paraId="089C6037" w14:textId="40DD3650" w:rsidR="00C5750E" w:rsidRPr="004676F5" w:rsidRDefault="00C5750E" w:rsidP="00C5750E">
      <w:pPr>
        <w:jc w:val="both"/>
        <w:rPr>
          <w:lang w:val="de-DE"/>
        </w:rPr>
      </w:pPr>
      <w:r w:rsidRPr="004676F5">
        <w:rPr>
          <w:lang w:val="de-DE"/>
        </w:rPr>
        <w:tab/>
        <w:t>[</w:t>
      </w:r>
      <w:r w:rsidRPr="004676F5">
        <w:rPr>
          <w:b/>
          <w:bCs/>
          <w:lang w:val="de-DE"/>
        </w:rPr>
        <w:t>Art. XV.125/2/1</w:t>
      </w:r>
      <w:r w:rsidRPr="004676F5">
        <w:rPr>
          <w:lang w:val="de-DE"/>
        </w:rPr>
        <w:t> </w:t>
      </w:r>
      <w:r w:rsidR="005B7A5C" w:rsidRPr="004676F5">
        <w:rPr>
          <w:lang w:val="de-DE"/>
        </w:rPr>
        <w:t>- </w:t>
      </w:r>
      <w:r w:rsidRPr="004676F5">
        <w:rPr>
          <w:lang w:val="de-DE"/>
        </w:rPr>
        <w:t>Mit einer Sanktion der Stufe 2 wird bestraft, wer gegen die Bestimmungen verstößt:</w:t>
      </w:r>
    </w:p>
    <w:p w14:paraId="7223CE9B" w14:textId="77777777" w:rsidR="00C5750E" w:rsidRPr="004676F5" w:rsidRDefault="00C5750E" w:rsidP="00C5750E">
      <w:pPr>
        <w:jc w:val="both"/>
        <w:rPr>
          <w:lang w:val="de-DE"/>
        </w:rPr>
      </w:pPr>
    </w:p>
    <w:p w14:paraId="62BA0C17" w14:textId="77777777" w:rsidR="00C5750E" w:rsidRPr="004676F5" w:rsidRDefault="00C5750E" w:rsidP="00C5750E">
      <w:pPr>
        <w:jc w:val="both"/>
        <w:rPr>
          <w:lang w:val="de-DE"/>
        </w:rPr>
      </w:pPr>
      <w:r w:rsidRPr="004676F5">
        <w:rPr>
          <w:lang w:val="de-DE"/>
        </w:rPr>
        <w:tab/>
        <w:t>1. von Artikel XIX.2 §§ 1 bis 3 in Bezug auf die Verpflichtung zur Versendung einer ersten Erinnerung und die entsprechenden Versendungsbedingungen, die Bedingungen der Unentgeltlichkeit und die Pflichtangaben,</w:t>
      </w:r>
    </w:p>
    <w:p w14:paraId="166EAAE5" w14:textId="77777777" w:rsidR="00C5750E" w:rsidRPr="004676F5" w:rsidRDefault="00C5750E" w:rsidP="00C5750E">
      <w:pPr>
        <w:jc w:val="both"/>
        <w:rPr>
          <w:lang w:val="de-DE"/>
        </w:rPr>
      </w:pPr>
    </w:p>
    <w:p w14:paraId="2E9ED32E" w14:textId="77777777" w:rsidR="00C5750E" w:rsidRPr="004676F5" w:rsidRDefault="00C5750E" w:rsidP="00C5750E">
      <w:pPr>
        <w:jc w:val="both"/>
        <w:rPr>
          <w:lang w:val="de-DE"/>
        </w:rPr>
      </w:pPr>
      <w:r w:rsidRPr="004676F5">
        <w:rPr>
          <w:lang w:val="de-DE"/>
        </w:rPr>
        <w:tab/>
        <w:t>2. von Artikel XIX.3 in Bezug auf die Informationspflicht zu Lasten des Unternehmens,</w:t>
      </w:r>
    </w:p>
    <w:p w14:paraId="1E186A33" w14:textId="77777777" w:rsidR="00C5750E" w:rsidRPr="004676F5" w:rsidRDefault="00C5750E" w:rsidP="00C5750E">
      <w:pPr>
        <w:jc w:val="both"/>
        <w:rPr>
          <w:lang w:val="de-DE"/>
        </w:rPr>
      </w:pPr>
    </w:p>
    <w:p w14:paraId="29AEDBE1" w14:textId="4B2B828A" w:rsidR="00C5750E" w:rsidRPr="004676F5" w:rsidRDefault="00C5750E" w:rsidP="00C5750E">
      <w:pPr>
        <w:jc w:val="both"/>
        <w:rPr>
          <w:lang w:val="de-DE"/>
        </w:rPr>
      </w:pPr>
      <w:r w:rsidRPr="004676F5">
        <w:rPr>
          <w:lang w:val="de-DE"/>
        </w:rPr>
        <w:tab/>
        <w:t>3. von Artikels XIX.4 in Bezug auf die Höchstgrenze für Entschädigungsklauseln und Zahlungen, die beim Verbraucher gefordert werden können.</w:t>
      </w:r>
      <w:r w:rsidR="00F14946" w:rsidRPr="004676F5">
        <w:rPr>
          <w:lang w:val="de-DE"/>
        </w:rPr>
        <w:t>]</w:t>
      </w:r>
    </w:p>
    <w:p w14:paraId="156A3E27" w14:textId="77777777" w:rsidR="00F14946" w:rsidRPr="004676F5" w:rsidRDefault="00F14946" w:rsidP="00C5750E">
      <w:pPr>
        <w:jc w:val="both"/>
        <w:rPr>
          <w:lang w:val="de-DE"/>
        </w:rPr>
      </w:pPr>
    </w:p>
    <w:p w14:paraId="25C3A108" w14:textId="60587895" w:rsidR="00F14946" w:rsidRPr="004676F5" w:rsidRDefault="00F14946" w:rsidP="00F14946">
      <w:pPr>
        <w:jc w:val="both"/>
        <w:rPr>
          <w:i/>
          <w:iCs/>
          <w:lang w:val="de-DE"/>
        </w:rPr>
      </w:pPr>
      <w:r w:rsidRPr="004676F5">
        <w:rPr>
          <w:i/>
          <w:iCs/>
          <w:lang w:val="de-DE"/>
        </w:rPr>
        <w:t>[Art. XV.125/2/1 eingefügt durch Art. 11 des G. vom 4. Mai 2023 (B.S. vom 23. Mai 2023)]</w:t>
      </w:r>
    </w:p>
    <w:p w14:paraId="25A19D04" w14:textId="77777777" w:rsidR="00F14946" w:rsidRPr="004676F5" w:rsidRDefault="00F14946" w:rsidP="00C5750E">
      <w:pPr>
        <w:jc w:val="both"/>
        <w:rPr>
          <w:i/>
          <w:iCs/>
          <w:lang w:val="de-DE"/>
        </w:rPr>
      </w:pPr>
    </w:p>
    <w:p w14:paraId="343606CE" w14:textId="77777777" w:rsidR="00C5750E" w:rsidRPr="004676F5" w:rsidRDefault="00C5750E" w:rsidP="00C5750E">
      <w:pPr>
        <w:jc w:val="both"/>
        <w:rPr>
          <w:lang w:val="de-DE"/>
        </w:rPr>
      </w:pPr>
    </w:p>
    <w:p w14:paraId="5BFF0C97" w14:textId="2A923E96" w:rsidR="00C5750E" w:rsidRPr="004676F5" w:rsidRDefault="00F14946" w:rsidP="00F14946">
      <w:pPr>
        <w:ind w:firstLine="708"/>
        <w:jc w:val="both"/>
        <w:rPr>
          <w:lang w:val="de-DE"/>
        </w:rPr>
      </w:pPr>
      <w:r w:rsidRPr="004676F5">
        <w:rPr>
          <w:lang w:val="de-DE"/>
        </w:rPr>
        <w:t>[</w:t>
      </w:r>
      <w:r w:rsidR="00C5750E" w:rsidRPr="004676F5">
        <w:rPr>
          <w:b/>
          <w:bCs/>
          <w:lang w:val="de-DE"/>
        </w:rPr>
        <w:t>Art. XV.125/2/2</w:t>
      </w:r>
      <w:r w:rsidR="00C5750E" w:rsidRPr="004676F5">
        <w:rPr>
          <w:lang w:val="de-DE"/>
        </w:rPr>
        <w:t> </w:t>
      </w:r>
      <w:r w:rsidR="005B7A5C" w:rsidRPr="004676F5">
        <w:rPr>
          <w:lang w:val="de-DE"/>
        </w:rPr>
        <w:t>- </w:t>
      </w:r>
      <w:r w:rsidR="00C5750E" w:rsidRPr="004676F5">
        <w:rPr>
          <w:lang w:val="de-DE"/>
        </w:rPr>
        <w:t>Mit einer Sanktion der Stufe 4 wird bestraft, wer gegen die Bestimmungen verstößt:</w:t>
      </w:r>
    </w:p>
    <w:p w14:paraId="6292E634" w14:textId="77777777" w:rsidR="00C5750E" w:rsidRPr="004676F5" w:rsidRDefault="00C5750E" w:rsidP="00C5750E">
      <w:pPr>
        <w:jc w:val="both"/>
        <w:rPr>
          <w:lang w:val="de-DE"/>
        </w:rPr>
      </w:pPr>
    </w:p>
    <w:p w14:paraId="38964FF4" w14:textId="77777777" w:rsidR="00C5750E" w:rsidRPr="004676F5" w:rsidRDefault="00C5750E" w:rsidP="00C5750E">
      <w:pPr>
        <w:jc w:val="both"/>
        <w:rPr>
          <w:lang w:val="de-DE"/>
        </w:rPr>
      </w:pPr>
      <w:r w:rsidRPr="004676F5">
        <w:rPr>
          <w:lang w:val="de-DE"/>
        </w:rPr>
        <w:tab/>
        <w:t>1. von Artikel XV.66/6 § 3 in Bezug auf den Zeitraum der Streichung, während dessen keine Tätigkeit der gütlichen Beitreibung ausgeübt werden darf,</w:t>
      </w:r>
    </w:p>
    <w:p w14:paraId="79860F2A" w14:textId="77777777" w:rsidR="00C5750E" w:rsidRPr="004676F5" w:rsidRDefault="00C5750E" w:rsidP="00C5750E">
      <w:pPr>
        <w:jc w:val="both"/>
        <w:rPr>
          <w:lang w:val="de-DE"/>
        </w:rPr>
      </w:pPr>
    </w:p>
    <w:p w14:paraId="2700C20F" w14:textId="77777777" w:rsidR="00C5750E" w:rsidRPr="004676F5" w:rsidRDefault="00C5750E" w:rsidP="00C5750E">
      <w:pPr>
        <w:jc w:val="both"/>
        <w:rPr>
          <w:lang w:val="de-DE"/>
        </w:rPr>
      </w:pPr>
      <w:r w:rsidRPr="004676F5">
        <w:rPr>
          <w:lang w:val="de-DE"/>
        </w:rPr>
        <w:tab/>
        <w:t>2. von Artikel XIX.5 über die verbotenen Praktiken bei einer gütlichen Beitreibung von Verbraucherschulden,</w:t>
      </w:r>
    </w:p>
    <w:p w14:paraId="63218068" w14:textId="77777777" w:rsidR="00C5750E" w:rsidRPr="004676F5" w:rsidRDefault="00C5750E" w:rsidP="00C5750E">
      <w:pPr>
        <w:jc w:val="both"/>
        <w:rPr>
          <w:lang w:val="de-DE"/>
        </w:rPr>
      </w:pPr>
    </w:p>
    <w:p w14:paraId="1747F026" w14:textId="77777777" w:rsidR="00C5750E" w:rsidRPr="004676F5" w:rsidRDefault="00C5750E" w:rsidP="00C5750E">
      <w:pPr>
        <w:jc w:val="both"/>
        <w:rPr>
          <w:lang w:val="de-DE"/>
        </w:rPr>
      </w:pPr>
      <w:r w:rsidRPr="004676F5">
        <w:rPr>
          <w:lang w:val="de-DE"/>
        </w:rPr>
        <w:tab/>
        <w:t>3. von Artikel XIX.6 §§ 1 und 4 Absatz 1 in Bezug auf die Verpflichtung und die Bedingungen der vorherigen Eintragung beim FÖD Wirtschaft,</w:t>
      </w:r>
    </w:p>
    <w:p w14:paraId="3DD49787" w14:textId="77777777" w:rsidR="00C5750E" w:rsidRPr="004676F5" w:rsidRDefault="00C5750E" w:rsidP="00C5750E">
      <w:pPr>
        <w:jc w:val="both"/>
        <w:rPr>
          <w:lang w:val="de-DE"/>
        </w:rPr>
      </w:pPr>
    </w:p>
    <w:p w14:paraId="1FC5F8F3" w14:textId="77777777" w:rsidR="00C5750E" w:rsidRPr="004676F5" w:rsidRDefault="00C5750E" w:rsidP="00C5750E">
      <w:pPr>
        <w:jc w:val="both"/>
        <w:rPr>
          <w:lang w:val="de-DE"/>
        </w:rPr>
      </w:pPr>
      <w:r w:rsidRPr="004676F5">
        <w:rPr>
          <w:lang w:val="de-DE"/>
        </w:rPr>
        <w:tab/>
        <w:t>4. von Artikel XIX.7 § 1 in Bezug auf die Verpflichtung zu einer vorherigen Kontrolle zu Lasten des Schuldenbeitreibers,</w:t>
      </w:r>
    </w:p>
    <w:p w14:paraId="08EC5321" w14:textId="77777777" w:rsidR="00C5750E" w:rsidRPr="004676F5" w:rsidRDefault="00C5750E" w:rsidP="00C5750E">
      <w:pPr>
        <w:jc w:val="both"/>
        <w:rPr>
          <w:lang w:val="de-DE"/>
        </w:rPr>
      </w:pPr>
    </w:p>
    <w:p w14:paraId="6D3DCC16" w14:textId="77777777" w:rsidR="00C5750E" w:rsidRPr="004676F5" w:rsidRDefault="00C5750E" w:rsidP="00C5750E">
      <w:pPr>
        <w:jc w:val="both"/>
        <w:rPr>
          <w:lang w:val="de-DE"/>
        </w:rPr>
      </w:pPr>
      <w:r w:rsidRPr="004676F5">
        <w:rPr>
          <w:lang w:val="de-DE"/>
        </w:rPr>
        <w:tab/>
        <w:t>5. von Artikel XIX.7 § 2 in Bezug auf die Verpflichtung zu einer Inverzugsetzung vor Handlungen oder Maßnahmen zur gütlichen Beitreibung und ihre Pflichtangaben,</w:t>
      </w:r>
    </w:p>
    <w:p w14:paraId="76CB638C" w14:textId="77777777" w:rsidR="00C5750E" w:rsidRPr="004676F5" w:rsidRDefault="00C5750E" w:rsidP="00C5750E">
      <w:pPr>
        <w:jc w:val="both"/>
        <w:rPr>
          <w:lang w:val="de-DE"/>
        </w:rPr>
      </w:pPr>
    </w:p>
    <w:p w14:paraId="73B6DFED" w14:textId="77777777" w:rsidR="00C5750E" w:rsidRPr="004676F5" w:rsidRDefault="00C5750E" w:rsidP="00C5750E">
      <w:pPr>
        <w:jc w:val="both"/>
        <w:rPr>
          <w:lang w:val="de-DE"/>
        </w:rPr>
      </w:pPr>
      <w:r w:rsidRPr="004676F5">
        <w:rPr>
          <w:lang w:val="de-DE"/>
        </w:rPr>
        <w:tab/>
        <w:t>6. von Artikel XIX.8 in Bezug auf die Verpflichtung zur Einhaltung der Frist vor der Forderung der erwähnten Beträge,</w:t>
      </w:r>
    </w:p>
    <w:p w14:paraId="49B980DB" w14:textId="77777777" w:rsidR="00C5750E" w:rsidRPr="004676F5" w:rsidRDefault="00C5750E" w:rsidP="00C5750E">
      <w:pPr>
        <w:jc w:val="both"/>
        <w:rPr>
          <w:lang w:val="de-DE"/>
        </w:rPr>
      </w:pPr>
    </w:p>
    <w:p w14:paraId="6C9131D7" w14:textId="77777777" w:rsidR="00C5750E" w:rsidRPr="004676F5" w:rsidRDefault="00C5750E" w:rsidP="00C5750E">
      <w:pPr>
        <w:jc w:val="both"/>
        <w:rPr>
          <w:lang w:val="de-DE"/>
        </w:rPr>
      </w:pPr>
      <w:r w:rsidRPr="004676F5">
        <w:rPr>
          <w:lang w:val="de-DE"/>
        </w:rPr>
        <w:tab/>
        <w:t>7. von Artikel XIX.9 §§ 1 bis 5 in Bezug auf die Verpflichtung zur Einhaltung der verschiedenen erwähnten Fristen vor anderen Handlungen oder Maßnahmen zur gütlichen Beitreibung und die Folgen derselben Fristen,</w:t>
      </w:r>
    </w:p>
    <w:p w14:paraId="1931EE9B" w14:textId="77777777" w:rsidR="00C5750E" w:rsidRPr="004676F5" w:rsidRDefault="00C5750E" w:rsidP="00C5750E">
      <w:pPr>
        <w:jc w:val="both"/>
        <w:rPr>
          <w:lang w:val="de-DE"/>
        </w:rPr>
      </w:pPr>
    </w:p>
    <w:p w14:paraId="2B9B808F" w14:textId="77777777" w:rsidR="00C5750E" w:rsidRPr="004676F5" w:rsidRDefault="00C5750E" w:rsidP="00C5750E">
      <w:pPr>
        <w:jc w:val="both"/>
        <w:rPr>
          <w:lang w:val="de-DE"/>
        </w:rPr>
      </w:pPr>
      <w:r w:rsidRPr="004676F5">
        <w:rPr>
          <w:lang w:val="de-DE"/>
        </w:rPr>
        <w:tab/>
        <w:t>8. von Artikel XIX.10 in Bezug auf die Bedingungen für einen Hausbesuch beim Verbraucher,</w:t>
      </w:r>
    </w:p>
    <w:p w14:paraId="079FB609" w14:textId="77777777" w:rsidR="00C5750E" w:rsidRPr="004676F5" w:rsidRDefault="00C5750E" w:rsidP="00C5750E">
      <w:pPr>
        <w:jc w:val="both"/>
        <w:rPr>
          <w:lang w:val="de-DE"/>
        </w:rPr>
      </w:pPr>
    </w:p>
    <w:p w14:paraId="151720B5" w14:textId="77777777" w:rsidR="00C5750E" w:rsidRPr="004676F5" w:rsidRDefault="00C5750E" w:rsidP="00C5750E">
      <w:pPr>
        <w:jc w:val="both"/>
        <w:rPr>
          <w:lang w:val="de-DE"/>
        </w:rPr>
      </w:pPr>
      <w:r w:rsidRPr="004676F5">
        <w:rPr>
          <w:lang w:val="de-DE"/>
        </w:rPr>
        <w:tab/>
        <w:t>9. von Artikel XIX.11 in Bezug auf die Bestätigung der vereinbarten Zahlungsmodalitäten und das Verbot von Telefonanrufen an den Verbraucher,</w:t>
      </w:r>
    </w:p>
    <w:p w14:paraId="334E8464" w14:textId="77777777" w:rsidR="00C5750E" w:rsidRPr="004676F5" w:rsidRDefault="00C5750E" w:rsidP="00C5750E">
      <w:pPr>
        <w:jc w:val="both"/>
        <w:rPr>
          <w:lang w:val="de-DE"/>
        </w:rPr>
      </w:pPr>
    </w:p>
    <w:p w14:paraId="6639B27D" w14:textId="77777777" w:rsidR="00C5750E" w:rsidRPr="004676F5" w:rsidRDefault="00C5750E" w:rsidP="00C5750E">
      <w:pPr>
        <w:jc w:val="both"/>
        <w:rPr>
          <w:lang w:val="de-DE"/>
        </w:rPr>
      </w:pPr>
      <w:r w:rsidRPr="004676F5">
        <w:rPr>
          <w:lang w:val="de-DE"/>
        </w:rPr>
        <w:tab/>
        <w:t>10. von Artikel XIX.12 in Bezug auf die Informationspflichten zu Lasten des Schuldenbeitreibers,</w:t>
      </w:r>
    </w:p>
    <w:p w14:paraId="4E814E29" w14:textId="77777777" w:rsidR="00C5750E" w:rsidRPr="004676F5" w:rsidRDefault="00C5750E" w:rsidP="00C5750E">
      <w:pPr>
        <w:jc w:val="both"/>
        <w:rPr>
          <w:lang w:val="de-DE"/>
        </w:rPr>
      </w:pPr>
    </w:p>
    <w:p w14:paraId="76C4B584" w14:textId="51A0522F" w:rsidR="00C5750E" w:rsidRPr="004676F5" w:rsidRDefault="00C5750E" w:rsidP="00C5750E">
      <w:pPr>
        <w:jc w:val="both"/>
        <w:rPr>
          <w:lang w:val="de-DE"/>
        </w:rPr>
      </w:pPr>
      <w:r w:rsidRPr="004676F5">
        <w:rPr>
          <w:lang w:val="de-DE"/>
        </w:rPr>
        <w:tab/>
        <w:t>11. von Artikel XIX.13 in Bezug auf das Verbot für den Schuldenbeitreiber, beim Verbraucher irgendeinen Betrag für sein Eingreifen zu fordern.]</w:t>
      </w:r>
    </w:p>
    <w:p w14:paraId="18C654BD" w14:textId="77777777" w:rsidR="00F14946" w:rsidRPr="004676F5" w:rsidRDefault="00F14946" w:rsidP="00C5750E">
      <w:pPr>
        <w:jc w:val="both"/>
        <w:rPr>
          <w:lang w:val="de-DE"/>
        </w:rPr>
      </w:pPr>
    </w:p>
    <w:p w14:paraId="4CCDA0B5" w14:textId="71839F17" w:rsidR="00F14946" w:rsidRPr="004676F5" w:rsidRDefault="00F14946" w:rsidP="00F14946">
      <w:pPr>
        <w:jc w:val="both"/>
        <w:rPr>
          <w:i/>
          <w:iCs/>
          <w:lang w:val="de-DE"/>
        </w:rPr>
      </w:pPr>
      <w:r w:rsidRPr="004676F5">
        <w:rPr>
          <w:i/>
          <w:iCs/>
          <w:lang w:val="de-DE"/>
        </w:rPr>
        <w:t>[Art. XV.125/2/2 eingefügt durch Art. 12 des G. vom 4. Mai 2023 (B.S. vom 23. Mai 2023)]</w:t>
      </w:r>
    </w:p>
    <w:p w14:paraId="1E061674" w14:textId="77777777" w:rsidR="00F14946" w:rsidRPr="004676F5" w:rsidRDefault="00F14946" w:rsidP="00C5750E">
      <w:pPr>
        <w:jc w:val="both"/>
        <w:rPr>
          <w:lang w:val="de-DE"/>
        </w:rPr>
      </w:pPr>
    </w:p>
    <w:p w14:paraId="1051F079" w14:textId="77777777" w:rsidR="00885A31" w:rsidRPr="004676F5" w:rsidRDefault="00885A31">
      <w:pPr>
        <w:rPr>
          <w:lang w:val="de-DE"/>
        </w:rPr>
      </w:pPr>
    </w:p>
    <w:p w14:paraId="5CC286AE" w14:textId="56EF6661" w:rsidR="00523416" w:rsidRPr="004676F5" w:rsidRDefault="00523416" w:rsidP="00523416">
      <w:pPr>
        <w:jc w:val="center"/>
        <w:rPr>
          <w:lang w:val="de-DE"/>
        </w:rPr>
      </w:pPr>
      <w:r w:rsidRPr="004676F5">
        <w:rPr>
          <w:lang w:val="de-DE"/>
        </w:rPr>
        <w:t>[</w:t>
      </w:r>
      <w:r w:rsidRPr="004676F5">
        <w:rPr>
          <w:i/>
          <w:lang w:val="de-DE"/>
        </w:rPr>
        <w:t>Abschnitt 11/3 </w:t>
      </w:r>
      <w:r w:rsidR="005B7A5C" w:rsidRPr="004676F5">
        <w:rPr>
          <w:lang w:val="de-DE"/>
        </w:rPr>
        <w:t>- </w:t>
      </w:r>
      <w:r w:rsidRPr="004676F5">
        <w:rPr>
          <w:lang w:val="de-DE"/>
        </w:rPr>
        <w:t>Strafen in Bezug auf Verstöße gegen Verordnungen der Europäischen Union]</w:t>
      </w:r>
    </w:p>
    <w:p w14:paraId="2DB5968E" w14:textId="77777777" w:rsidR="00523416" w:rsidRPr="004676F5" w:rsidRDefault="00523416" w:rsidP="00523416">
      <w:pPr>
        <w:jc w:val="center"/>
        <w:rPr>
          <w:lang w:val="de-DE"/>
        </w:rPr>
      </w:pPr>
    </w:p>
    <w:p w14:paraId="2A5D9B28" w14:textId="52F496A3" w:rsidR="00523416" w:rsidRPr="004676F5" w:rsidRDefault="00523416" w:rsidP="00523416">
      <w:pPr>
        <w:jc w:val="both"/>
        <w:rPr>
          <w:i/>
          <w:lang w:val="de-DE"/>
        </w:rPr>
      </w:pPr>
      <w:r w:rsidRPr="004676F5">
        <w:rPr>
          <w:i/>
          <w:lang w:val="de-DE"/>
        </w:rPr>
        <w:t xml:space="preserve">[Unterteilung Abschnitt 11/3 eingefügt durch </w:t>
      </w:r>
      <w:r w:rsidR="00BE0A56" w:rsidRPr="004676F5">
        <w:rPr>
          <w:i/>
          <w:lang w:val="de-DE"/>
        </w:rPr>
        <w:t>Art. </w:t>
      </w:r>
      <w:r w:rsidRPr="004676F5">
        <w:rPr>
          <w:i/>
          <w:lang w:val="de-DE"/>
        </w:rPr>
        <w:t>29 des G. vom 18. April 2017 (B.S. vom 24. April 2017)]</w:t>
      </w:r>
    </w:p>
    <w:p w14:paraId="641611A4" w14:textId="77777777" w:rsidR="00523416" w:rsidRPr="004676F5" w:rsidRDefault="00523416" w:rsidP="009F58FD">
      <w:pPr>
        <w:jc w:val="both"/>
        <w:rPr>
          <w:lang w:val="de-DE"/>
        </w:rPr>
      </w:pPr>
    </w:p>
    <w:p w14:paraId="3DAF9EB0" w14:textId="77777777" w:rsidR="00523416" w:rsidRPr="004676F5" w:rsidRDefault="00523416" w:rsidP="009F58FD">
      <w:pPr>
        <w:jc w:val="both"/>
        <w:rPr>
          <w:lang w:val="de-DE"/>
        </w:rPr>
      </w:pPr>
    </w:p>
    <w:p w14:paraId="1567A52D" w14:textId="1DEE89F8" w:rsidR="00523416" w:rsidRPr="004676F5" w:rsidRDefault="00523416" w:rsidP="00523416">
      <w:pPr>
        <w:ind w:firstLine="708"/>
        <w:jc w:val="both"/>
        <w:rPr>
          <w:lang w:val="de-DE"/>
        </w:rPr>
      </w:pPr>
      <w:r w:rsidRPr="004676F5">
        <w:rPr>
          <w:lang w:val="de-DE"/>
        </w:rPr>
        <w:t>[</w:t>
      </w:r>
      <w:r w:rsidR="00BE0A56" w:rsidRPr="004676F5">
        <w:rPr>
          <w:b/>
          <w:lang w:val="de-DE"/>
        </w:rPr>
        <w:t>Art. </w:t>
      </w:r>
      <w:r w:rsidRPr="004676F5">
        <w:rPr>
          <w:b/>
          <w:lang w:val="de-DE"/>
        </w:rPr>
        <w:t>XV.125/3</w:t>
      </w:r>
      <w:r w:rsidRPr="004676F5">
        <w:rPr>
          <w:lang w:val="de-DE"/>
        </w:rPr>
        <w:t> </w:t>
      </w:r>
      <w:r w:rsidR="005B7A5C" w:rsidRPr="004676F5">
        <w:rPr>
          <w:lang w:val="de-DE"/>
        </w:rPr>
        <w:t>- </w:t>
      </w:r>
      <w:r w:rsidRPr="004676F5">
        <w:rPr>
          <w:lang w:val="de-DE"/>
        </w:rPr>
        <w:t>Mit einer Sanktion der Stufe 2 wird bestraft, wer gegen Artikel 14 der Verordnung (EU) Nr. 524/2013 des Europäischen Parlaments und des Rates vom 21. Mai 2013 über die Online-Beilegung verbraucherrechtlicher Streitigkeiten und zur Änderung der Verordnung (EG) Nr. 2006/2004 und der Richtlinie 2009/22/EG verstößt.]</w:t>
      </w:r>
    </w:p>
    <w:p w14:paraId="44385DA7" w14:textId="77777777" w:rsidR="00523416" w:rsidRPr="004676F5" w:rsidRDefault="00523416" w:rsidP="00523416">
      <w:pPr>
        <w:ind w:firstLine="708"/>
        <w:jc w:val="both"/>
        <w:rPr>
          <w:lang w:val="de-DE"/>
        </w:rPr>
      </w:pPr>
    </w:p>
    <w:p w14:paraId="416DB33F" w14:textId="78AF87DA" w:rsidR="00523416" w:rsidRPr="004676F5" w:rsidRDefault="00523416" w:rsidP="00523416">
      <w:pPr>
        <w:jc w:val="both"/>
        <w:rPr>
          <w:i/>
          <w:lang w:val="de-DE"/>
        </w:rPr>
      </w:pPr>
      <w:r w:rsidRPr="004676F5">
        <w:rPr>
          <w:i/>
          <w:lang w:val="de-DE"/>
        </w:rPr>
        <w:t>[</w:t>
      </w:r>
      <w:r w:rsidR="00BE0A56" w:rsidRPr="004676F5">
        <w:rPr>
          <w:i/>
          <w:lang w:val="de-DE"/>
        </w:rPr>
        <w:t>Art. </w:t>
      </w:r>
      <w:r w:rsidRPr="004676F5">
        <w:rPr>
          <w:i/>
          <w:lang w:val="de-DE"/>
        </w:rPr>
        <w:t xml:space="preserve">XV.125/3 eingefügt durch </w:t>
      </w:r>
      <w:r w:rsidR="00BE0A56" w:rsidRPr="004676F5">
        <w:rPr>
          <w:i/>
          <w:lang w:val="de-DE"/>
        </w:rPr>
        <w:t>Art. </w:t>
      </w:r>
      <w:r w:rsidRPr="004676F5">
        <w:rPr>
          <w:i/>
          <w:lang w:val="de-DE"/>
        </w:rPr>
        <w:t>30 des G. vom 18. April 2017 (B.S. vom 24. April 2017)]</w:t>
      </w:r>
    </w:p>
    <w:p w14:paraId="28826116" w14:textId="77777777" w:rsidR="00523416" w:rsidRPr="004676F5" w:rsidRDefault="00523416" w:rsidP="00523416">
      <w:pPr>
        <w:jc w:val="both"/>
        <w:rPr>
          <w:i/>
          <w:lang w:val="de-DE"/>
        </w:rPr>
      </w:pPr>
    </w:p>
    <w:p w14:paraId="2CD363BB" w14:textId="77777777" w:rsidR="00523416" w:rsidRPr="004676F5" w:rsidRDefault="00523416" w:rsidP="00523416">
      <w:pPr>
        <w:jc w:val="both"/>
        <w:rPr>
          <w:iCs/>
          <w:lang w:val="de-DE"/>
        </w:rPr>
      </w:pPr>
    </w:p>
    <w:p w14:paraId="7DEAFDE7" w14:textId="355CEE22" w:rsidR="00885A31" w:rsidRPr="004676F5" w:rsidRDefault="00885A31" w:rsidP="00523416">
      <w:pPr>
        <w:jc w:val="both"/>
        <w:rPr>
          <w:iCs/>
          <w:lang w:val="de-DE"/>
        </w:rPr>
      </w:pPr>
      <w:r w:rsidRPr="004676F5">
        <w:rPr>
          <w:iCs/>
          <w:lang w:val="de-DE"/>
        </w:rPr>
        <w:tab/>
        <w:t>[</w:t>
      </w:r>
      <w:r w:rsidRPr="004676F5">
        <w:rPr>
          <w:b/>
          <w:bCs/>
          <w:lang w:val="de-DE"/>
        </w:rPr>
        <w:t>Art. XV.125/4</w:t>
      </w:r>
      <w:r w:rsidRPr="004676F5">
        <w:rPr>
          <w:lang w:val="de-DE"/>
        </w:rPr>
        <w:t> </w:t>
      </w:r>
      <w:r w:rsidR="005B7A5C" w:rsidRPr="004676F5">
        <w:rPr>
          <w:lang w:val="de-DE"/>
        </w:rPr>
        <w:t>- </w:t>
      </w:r>
      <w:r w:rsidRPr="004676F5">
        <w:rPr>
          <w:lang w:val="de-DE"/>
        </w:rPr>
        <w:t xml:space="preserve">Mit einer Sanktion der Stufe 2 wird bestraft, wer gegen die Bestimmungen der Verordnung (EU) 2018/302 des Europäischen Parlaments und des Rates vom 28. Februar 2018 über Maßnahmen gegen ungerechtfertigtes Geoblocking und andere Formen der Diskriminierung aufgrund der Staatsangehörigkeit, des Wohnsitzes oder des Ortes der Niederlassung des Kunden innerhalb des Binnenmarkts und zur Änderung der </w:t>
      </w:r>
      <w:r w:rsidRPr="004676F5">
        <w:rPr>
          <w:lang w:val="de-DE"/>
        </w:rPr>
        <w:lastRenderedPageBreak/>
        <w:t>Verordnungen (EG) Nr. 2006/2004 und (EU) 2017/2394 sowie der Richtlinie 2009/22/EG verstößt.</w:t>
      </w:r>
      <w:r w:rsidRPr="004676F5">
        <w:rPr>
          <w:iCs/>
          <w:lang w:val="de-DE"/>
        </w:rPr>
        <w:t>]</w:t>
      </w:r>
    </w:p>
    <w:p w14:paraId="3AC213F4" w14:textId="77777777" w:rsidR="00885A31" w:rsidRPr="004676F5" w:rsidRDefault="00885A31" w:rsidP="00523416">
      <w:pPr>
        <w:jc w:val="both"/>
        <w:rPr>
          <w:iCs/>
          <w:lang w:val="de-DE"/>
        </w:rPr>
      </w:pPr>
    </w:p>
    <w:p w14:paraId="6A72DF21" w14:textId="0380B9F0" w:rsidR="00885A31" w:rsidRPr="004676F5" w:rsidRDefault="00885A31" w:rsidP="00523416">
      <w:pPr>
        <w:jc w:val="both"/>
        <w:rPr>
          <w:i/>
          <w:lang w:val="de-DE"/>
        </w:rPr>
      </w:pPr>
      <w:r w:rsidRPr="004676F5">
        <w:rPr>
          <w:i/>
          <w:lang w:val="de-DE"/>
        </w:rPr>
        <w:t>[Art. XV.125/4 eingefügt durch Art. 37 des G. vom 2. Mai 2019 (IV) (B.S. vom 22. Mai 2019)]</w:t>
      </w:r>
    </w:p>
    <w:p w14:paraId="04F13BC8" w14:textId="77777777" w:rsidR="00885A31" w:rsidRPr="004676F5" w:rsidRDefault="00885A31" w:rsidP="00523416">
      <w:pPr>
        <w:jc w:val="both"/>
        <w:rPr>
          <w:iCs/>
          <w:lang w:val="de-DE"/>
        </w:rPr>
      </w:pPr>
    </w:p>
    <w:p w14:paraId="442B6202" w14:textId="77777777" w:rsidR="00113F59" w:rsidRPr="004676F5" w:rsidRDefault="00113F59" w:rsidP="00523416">
      <w:pPr>
        <w:jc w:val="both"/>
        <w:rPr>
          <w:iCs/>
          <w:lang w:val="de-DE"/>
        </w:rPr>
      </w:pPr>
    </w:p>
    <w:p w14:paraId="47CB13E8" w14:textId="77777777" w:rsidR="00746829" w:rsidRPr="004676F5" w:rsidRDefault="00746829" w:rsidP="00746829">
      <w:pPr>
        <w:jc w:val="both"/>
        <w:rPr>
          <w:lang w:val="de-DE"/>
        </w:rPr>
      </w:pPr>
      <w:r w:rsidRPr="004676F5">
        <w:rPr>
          <w:iCs/>
          <w:lang w:val="de-DE"/>
        </w:rPr>
        <w:tab/>
        <w:t>[</w:t>
      </w:r>
      <w:r w:rsidRPr="004676F5">
        <w:rPr>
          <w:b/>
          <w:bCs/>
          <w:lang w:val="de-DE"/>
        </w:rPr>
        <w:t>Art. XV.125/4/1</w:t>
      </w:r>
      <w:r w:rsidRPr="004676F5">
        <w:rPr>
          <w:lang w:val="de-DE"/>
        </w:rPr>
        <w:t> - Mit einer Sanktion der Stufe 2 wird bestraft, wer gegen die Bestimmungen der Verordnung (EU) 2019/1150 des Europäischen Parlaments und des Rates vom 20. Juni 2019 zur Förderung von Fairness und Transparenz für gewerbliche Nutzer von Online-Vermittlungsdiensten verstößt.]</w:t>
      </w:r>
    </w:p>
    <w:p w14:paraId="54C77D54" w14:textId="77777777" w:rsidR="00746829" w:rsidRPr="004676F5" w:rsidRDefault="00746829" w:rsidP="00746829">
      <w:pPr>
        <w:jc w:val="both"/>
        <w:rPr>
          <w:lang w:val="de-DE"/>
        </w:rPr>
      </w:pPr>
    </w:p>
    <w:p w14:paraId="041FD563" w14:textId="77777777" w:rsidR="00746829" w:rsidRPr="004676F5" w:rsidRDefault="00746829" w:rsidP="00746829">
      <w:pPr>
        <w:jc w:val="both"/>
        <w:rPr>
          <w:i/>
          <w:iCs/>
          <w:lang w:val="de-DE"/>
        </w:rPr>
      </w:pPr>
      <w:r w:rsidRPr="004676F5">
        <w:rPr>
          <w:i/>
          <w:iCs/>
          <w:lang w:val="de-DE"/>
        </w:rPr>
        <w:t>[Zweiter Artikel XV.125/4/1 eingefügt durch Art. 36 des G. vom 25. September 2022 (B.S. vom 16. Januar 2023)]</w:t>
      </w:r>
    </w:p>
    <w:p w14:paraId="07CFF7A2" w14:textId="77777777" w:rsidR="00746829" w:rsidRPr="004676F5" w:rsidRDefault="00746829" w:rsidP="00113F59">
      <w:pPr>
        <w:jc w:val="both"/>
        <w:rPr>
          <w:iCs/>
          <w:lang w:val="de-DE"/>
        </w:rPr>
      </w:pPr>
    </w:p>
    <w:p w14:paraId="6C252835" w14:textId="77777777" w:rsidR="00746829" w:rsidRPr="004676F5" w:rsidRDefault="00746829" w:rsidP="00113F59">
      <w:pPr>
        <w:jc w:val="both"/>
        <w:rPr>
          <w:iCs/>
          <w:lang w:val="de-DE"/>
        </w:rPr>
      </w:pPr>
    </w:p>
    <w:p w14:paraId="59BCE9EE" w14:textId="505BC86F" w:rsidR="00113F59" w:rsidRPr="004676F5" w:rsidRDefault="00113F59" w:rsidP="00113F59">
      <w:pPr>
        <w:jc w:val="both"/>
        <w:rPr>
          <w:iCs/>
          <w:lang w:val="de-DE"/>
        </w:rPr>
      </w:pPr>
      <w:r w:rsidRPr="004676F5">
        <w:rPr>
          <w:iCs/>
          <w:lang w:val="de-DE"/>
        </w:rPr>
        <w:tab/>
        <w:t>[</w:t>
      </w:r>
      <w:r w:rsidRPr="004676F5">
        <w:rPr>
          <w:b/>
          <w:bCs/>
          <w:iCs/>
          <w:lang w:val="de-DE"/>
        </w:rPr>
        <w:t>Art. XV.125/4/1</w:t>
      </w:r>
      <w:r w:rsidR="00746829" w:rsidRPr="004676F5">
        <w:rPr>
          <w:b/>
          <w:bCs/>
          <w:iCs/>
          <w:lang w:val="de-DE"/>
        </w:rPr>
        <w:t>/1</w:t>
      </w:r>
      <w:r w:rsidR="00746829" w:rsidRPr="004676F5">
        <w:rPr>
          <w:iCs/>
          <w:lang w:val="de-DE"/>
        </w:rPr>
        <w:t>]</w:t>
      </w:r>
      <w:r w:rsidRPr="004676F5">
        <w:rPr>
          <w:iCs/>
          <w:lang w:val="de-DE"/>
        </w:rPr>
        <w:t> - Im Rahmen der in Artikel XV.30/4 erwähnten Aufsicht wird mit einer Sanktion der Stufe 2 geahndet:</w:t>
      </w:r>
    </w:p>
    <w:p w14:paraId="3F67433A" w14:textId="77777777" w:rsidR="00113F59" w:rsidRPr="004676F5" w:rsidRDefault="00113F59" w:rsidP="00113F59">
      <w:pPr>
        <w:jc w:val="both"/>
        <w:rPr>
          <w:iCs/>
          <w:lang w:val="de-DE"/>
        </w:rPr>
      </w:pPr>
    </w:p>
    <w:p w14:paraId="778AD3E5" w14:textId="77777777" w:rsidR="00113F59" w:rsidRPr="004676F5" w:rsidRDefault="00113F59" w:rsidP="00113F59">
      <w:pPr>
        <w:ind w:firstLine="708"/>
        <w:jc w:val="both"/>
        <w:rPr>
          <w:iCs/>
          <w:lang w:val="de-DE"/>
        </w:rPr>
      </w:pPr>
      <w:r w:rsidRPr="004676F5">
        <w:rPr>
          <w:iCs/>
          <w:lang w:val="de-DE"/>
        </w:rPr>
        <w:t>1. der Inhaber eines aufgrund des Unionsrechts oder des nationalen Rechts verbindlich vorgeschriebenen Cybersicherheitszertifikats mit der Vertrauenswürdigkeitsstufe "niedrig", der den Verpflichtungen aus dem entsprechenden Schema für die Cybersicherheitszertifizierung nicht nachkommt,</w:t>
      </w:r>
    </w:p>
    <w:p w14:paraId="23EFF181" w14:textId="77777777" w:rsidR="00113F59" w:rsidRPr="004676F5" w:rsidRDefault="00113F59" w:rsidP="00113F59">
      <w:pPr>
        <w:jc w:val="both"/>
        <w:rPr>
          <w:iCs/>
          <w:lang w:val="de-DE"/>
        </w:rPr>
      </w:pPr>
    </w:p>
    <w:p w14:paraId="47109856" w14:textId="2BC90699" w:rsidR="00113F59" w:rsidRPr="004676F5" w:rsidRDefault="00113F59" w:rsidP="00113F59">
      <w:pPr>
        <w:ind w:firstLine="708"/>
        <w:jc w:val="both"/>
        <w:rPr>
          <w:iCs/>
          <w:lang w:val="de-DE"/>
        </w:rPr>
      </w:pPr>
      <w:r w:rsidRPr="004676F5">
        <w:rPr>
          <w:iCs/>
          <w:lang w:val="de-DE"/>
        </w:rPr>
        <w:t>2. wer bei einer Kontrolle nicht mitwirkt, weil er sich weigert, die anlässlich der Kontrolle angeforderten Informationen mitzuteilen, oder wer bei einer Kontrolle auf andere Weise nicht mitwirkt.]</w:t>
      </w:r>
    </w:p>
    <w:p w14:paraId="429F3137" w14:textId="77777777" w:rsidR="00113F59" w:rsidRPr="004676F5" w:rsidRDefault="00113F59" w:rsidP="00113F59">
      <w:pPr>
        <w:jc w:val="both"/>
        <w:rPr>
          <w:iCs/>
          <w:lang w:val="de-DE"/>
        </w:rPr>
      </w:pPr>
    </w:p>
    <w:p w14:paraId="7A80C5E7" w14:textId="0A3D83F4" w:rsidR="00113F59" w:rsidRPr="004676F5" w:rsidRDefault="00113F59" w:rsidP="00113F59">
      <w:pPr>
        <w:jc w:val="both"/>
        <w:rPr>
          <w:i/>
          <w:lang w:val="de-DE"/>
        </w:rPr>
      </w:pPr>
      <w:r w:rsidRPr="004676F5">
        <w:rPr>
          <w:i/>
          <w:lang w:val="de-DE"/>
        </w:rPr>
        <w:t>[</w:t>
      </w:r>
      <w:r w:rsidR="00746829" w:rsidRPr="004676F5">
        <w:rPr>
          <w:i/>
          <w:lang w:val="de-DE"/>
        </w:rPr>
        <w:t xml:space="preserve">Früherer </w:t>
      </w:r>
      <w:r w:rsidRPr="004676F5">
        <w:rPr>
          <w:i/>
          <w:lang w:val="de-DE"/>
        </w:rPr>
        <w:t>Art</w:t>
      </w:r>
      <w:r w:rsidR="00746829" w:rsidRPr="004676F5">
        <w:rPr>
          <w:i/>
          <w:lang w:val="de-DE"/>
        </w:rPr>
        <w:t>ikel</w:t>
      </w:r>
      <w:r w:rsidRPr="004676F5">
        <w:rPr>
          <w:i/>
          <w:lang w:val="de-DE"/>
        </w:rPr>
        <w:t> XV.125/4/1 eingefügt durch Art. 51 des G. vom 20. Juli 2022 (B.S. vom 5. August 2022)</w:t>
      </w:r>
      <w:r w:rsidR="00746829" w:rsidRPr="004676F5">
        <w:rPr>
          <w:i/>
          <w:lang w:val="de-DE"/>
        </w:rPr>
        <w:t xml:space="preserve"> und umgegliedert zu Art. XV.125/4/1/1 durch Art. 55</w:t>
      </w:r>
      <w:r w:rsidR="00746829" w:rsidRPr="004676F5">
        <w:rPr>
          <w:i/>
          <w:iCs/>
          <w:lang w:val="de-DE"/>
        </w:rPr>
        <w:t xml:space="preserve"> des G. vom 9. Februar 2024 (B.S. vom 21. März 2024)</w:t>
      </w:r>
      <w:r w:rsidRPr="004676F5">
        <w:rPr>
          <w:i/>
          <w:lang w:val="de-DE"/>
        </w:rPr>
        <w:t>]</w:t>
      </w:r>
    </w:p>
    <w:p w14:paraId="62B0F71A" w14:textId="77777777" w:rsidR="00113F59" w:rsidRPr="004676F5" w:rsidRDefault="00113F59" w:rsidP="00113F59">
      <w:pPr>
        <w:jc w:val="both"/>
        <w:rPr>
          <w:iCs/>
          <w:lang w:val="de-DE"/>
        </w:rPr>
      </w:pPr>
    </w:p>
    <w:p w14:paraId="3E926B0F" w14:textId="77777777" w:rsidR="00113F59" w:rsidRPr="004676F5" w:rsidRDefault="00113F59" w:rsidP="00113F59">
      <w:pPr>
        <w:jc w:val="both"/>
        <w:rPr>
          <w:iCs/>
          <w:lang w:val="de-DE"/>
        </w:rPr>
      </w:pPr>
    </w:p>
    <w:p w14:paraId="0A20863E" w14:textId="77777777" w:rsidR="00746829" w:rsidRPr="004676F5" w:rsidRDefault="00746829" w:rsidP="00746829">
      <w:pPr>
        <w:jc w:val="both"/>
        <w:rPr>
          <w:lang w:val="de-DE"/>
        </w:rPr>
      </w:pPr>
      <w:r w:rsidRPr="004676F5">
        <w:rPr>
          <w:iCs/>
          <w:lang w:val="de-DE"/>
        </w:rPr>
        <w:tab/>
        <w:t>[</w:t>
      </w:r>
      <w:r w:rsidRPr="004676F5">
        <w:rPr>
          <w:b/>
          <w:bCs/>
          <w:lang w:val="de-DE"/>
        </w:rPr>
        <w:t>Art. XV.125/4/2</w:t>
      </w:r>
      <w:r w:rsidRPr="004676F5">
        <w:rPr>
          <w:lang w:val="de-DE"/>
        </w:rPr>
        <w:t> - Mit einer Sanktion der Stufe 2 wird bestraft, wer gegen Artikel 7 der Verordnung (EU) 2018/644 des Europäischen Parlaments und des Rates vom 18. April 2018 über grenzüberschreitende Paketzustelldienste verstößt.]</w:t>
      </w:r>
    </w:p>
    <w:p w14:paraId="1CCAA9D4" w14:textId="77777777" w:rsidR="00746829" w:rsidRPr="004676F5" w:rsidRDefault="00746829" w:rsidP="00746829">
      <w:pPr>
        <w:jc w:val="both"/>
        <w:rPr>
          <w:lang w:val="de-DE"/>
        </w:rPr>
      </w:pPr>
    </w:p>
    <w:p w14:paraId="25E1F16D" w14:textId="77777777" w:rsidR="00746829" w:rsidRPr="004676F5" w:rsidRDefault="00746829" w:rsidP="00746829">
      <w:pPr>
        <w:jc w:val="both"/>
        <w:rPr>
          <w:i/>
          <w:iCs/>
          <w:lang w:val="de-DE"/>
        </w:rPr>
      </w:pPr>
      <w:r w:rsidRPr="004676F5">
        <w:rPr>
          <w:i/>
          <w:iCs/>
          <w:lang w:val="de-DE"/>
        </w:rPr>
        <w:t>[Zweiter Artikel XV.125/4/2 eingefügt durch Art. 37 des G. vom 25. September 2022 (B.S. vom 16. Januar 2023)]</w:t>
      </w:r>
    </w:p>
    <w:p w14:paraId="67F79A0B" w14:textId="77777777" w:rsidR="00746829" w:rsidRPr="004676F5" w:rsidRDefault="00746829" w:rsidP="00746829">
      <w:pPr>
        <w:jc w:val="both"/>
        <w:rPr>
          <w:iCs/>
          <w:lang w:val="de-DE"/>
        </w:rPr>
      </w:pPr>
    </w:p>
    <w:p w14:paraId="20DD81B9" w14:textId="77777777" w:rsidR="00746829" w:rsidRPr="004676F5" w:rsidRDefault="00746829" w:rsidP="00746829">
      <w:pPr>
        <w:jc w:val="both"/>
        <w:rPr>
          <w:i/>
          <w:lang w:val="de-DE"/>
        </w:rPr>
      </w:pPr>
    </w:p>
    <w:p w14:paraId="3A0494CF" w14:textId="6FDEAB5E" w:rsidR="00113F59" w:rsidRPr="004676F5" w:rsidRDefault="00113F59" w:rsidP="00113F59">
      <w:pPr>
        <w:ind w:firstLine="708"/>
        <w:jc w:val="both"/>
        <w:rPr>
          <w:iCs/>
          <w:lang w:val="de-DE"/>
        </w:rPr>
      </w:pPr>
      <w:r w:rsidRPr="004676F5">
        <w:rPr>
          <w:iCs/>
          <w:lang w:val="de-DE"/>
        </w:rPr>
        <w:t>[</w:t>
      </w:r>
      <w:r w:rsidRPr="004676F5">
        <w:rPr>
          <w:b/>
          <w:bCs/>
          <w:iCs/>
          <w:lang w:val="de-DE"/>
        </w:rPr>
        <w:t>Art. XV.125/4/2</w:t>
      </w:r>
      <w:r w:rsidR="00746829" w:rsidRPr="004676F5">
        <w:rPr>
          <w:b/>
          <w:bCs/>
          <w:iCs/>
          <w:lang w:val="de-DE"/>
        </w:rPr>
        <w:t>/1</w:t>
      </w:r>
      <w:r w:rsidR="00746829" w:rsidRPr="004676F5">
        <w:rPr>
          <w:iCs/>
          <w:lang w:val="de-DE"/>
        </w:rPr>
        <w:t>]</w:t>
      </w:r>
      <w:r w:rsidRPr="004676F5">
        <w:rPr>
          <w:iCs/>
          <w:lang w:val="de-DE"/>
        </w:rPr>
        <w:t> - Im Rahmen der in Artikel XV.30/4 erwähnten Aufsicht wird mit einer Sanktion der Stufe 3 geahndet:</w:t>
      </w:r>
    </w:p>
    <w:p w14:paraId="5CCDA669" w14:textId="77777777" w:rsidR="00113F59" w:rsidRPr="004676F5" w:rsidRDefault="00113F59" w:rsidP="00113F59">
      <w:pPr>
        <w:jc w:val="both"/>
        <w:rPr>
          <w:iCs/>
          <w:lang w:val="de-DE"/>
        </w:rPr>
      </w:pPr>
    </w:p>
    <w:p w14:paraId="5875E27C" w14:textId="77777777" w:rsidR="00113F59" w:rsidRPr="004676F5" w:rsidRDefault="00113F59" w:rsidP="00113F59">
      <w:pPr>
        <w:ind w:firstLine="708"/>
        <w:jc w:val="both"/>
        <w:rPr>
          <w:iCs/>
          <w:lang w:val="de-DE"/>
        </w:rPr>
      </w:pPr>
      <w:r w:rsidRPr="004676F5">
        <w:rPr>
          <w:iCs/>
          <w:lang w:val="de-DE"/>
        </w:rPr>
        <w:t>1. der Inhaber eines aufgrund des Unionsrechts oder des nationalen Rechts verbindlich vorgeschriebenen Cybersicherheitszertifikats mit der Vertrauenswürdigkeitsstufe "mittel" oder "hoch", der den Verpflichtungen aus dem entsprechenden Schema für die Cybersicherheitszertifizierung nicht nachkommt,</w:t>
      </w:r>
    </w:p>
    <w:p w14:paraId="3D7E8ECE" w14:textId="77777777" w:rsidR="00113F59" w:rsidRPr="004676F5" w:rsidRDefault="00113F59" w:rsidP="00113F59">
      <w:pPr>
        <w:jc w:val="both"/>
        <w:rPr>
          <w:iCs/>
          <w:lang w:val="de-DE"/>
        </w:rPr>
      </w:pPr>
    </w:p>
    <w:p w14:paraId="0D423480" w14:textId="3E1F166C" w:rsidR="00113F59" w:rsidRPr="004676F5" w:rsidRDefault="00113F59" w:rsidP="00113F59">
      <w:pPr>
        <w:ind w:firstLine="708"/>
        <w:jc w:val="both"/>
        <w:rPr>
          <w:iCs/>
          <w:lang w:val="de-DE"/>
        </w:rPr>
      </w:pPr>
      <w:r w:rsidRPr="004676F5">
        <w:rPr>
          <w:iCs/>
          <w:lang w:val="de-DE"/>
        </w:rPr>
        <w:lastRenderedPageBreak/>
        <w:t>2. wer wissentlich unrichtige oder unvollständige Informationen übermittelt oder sich einer anderen betrügerischen Handlung oder Unterlassung im Rahmen der Ausführung des Rechtsakts zur Cybersicherheit schuldig macht.]</w:t>
      </w:r>
    </w:p>
    <w:p w14:paraId="56478658" w14:textId="77777777" w:rsidR="00113F59" w:rsidRPr="004676F5" w:rsidRDefault="00113F59" w:rsidP="00113F59">
      <w:pPr>
        <w:jc w:val="both"/>
        <w:rPr>
          <w:iCs/>
          <w:lang w:val="de-DE"/>
        </w:rPr>
      </w:pPr>
    </w:p>
    <w:p w14:paraId="62A22156" w14:textId="50A33005" w:rsidR="00113F59" w:rsidRPr="004676F5" w:rsidRDefault="00113F59" w:rsidP="00113F59">
      <w:pPr>
        <w:jc w:val="both"/>
        <w:rPr>
          <w:i/>
          <w:iCs/>
          <w:lang w:val="de-DE"/>
        </w:rPr>
      </w:pPr>
      <w:r w:rsidRPr="004676F5">
        <w:rPr>
          <w:i/>
          <w:iCs/>
          <w:lang w:val="de-DE"/>
        </w:rPr>
        <w:t>[</w:t>
      </w:r>
      <w:r w:rsidR="00746829" w:rsidRPr="004676F5">
        <w:rPr>
          <w:i/>
          <w:iCs/>
          <w:lang w:val="de-DE"/>
        </w:rPr>
        <w:t xml:space="preserve">Früherer </w:t>
      </w:r>
      <w:r w:rsidRPr="004676F5">
        <w:rPr>
          <w:i/>
          <w:iCs/>
          <w:lang w:val="de-DE"/>
        </w:rPr>
        <w:t>Art</w:t>
      </w:r>
      <w:r w:rsidR="00746829" w:rsidRPr="004676F5">
        <w:rPr>
          <w:i/>
          <w:iCs/>
          <w:lang w:val="de-DE"/>
        </w:rPr>
        <w:t>ikel</w:t>
      </w:r>
      <w:r w:rsidRPr="004676F5">
        <w:rPr>
          <w:i/>
          <w:iCs/>
          <w:lang w:val="de-DE"/>
        </w:rPr>
        <w:t> XV.125/4/2 eingefügt durch Art. 51 des G. vom 20. Juli 2022 (B.S. vom 5. August 2022)</w:t>
      </w:r>
      <w:r w:rsidR="00746829" w:rsidRPr="004676F5">
        <w:rPr>
          <w:i/>
          <w:iCs/>
          <w:lang w:val="de-DE"/>
        </w:rPr>
        <w:t xml:space="preserve"> und </w:t>
      </w:r>
      <w:r w:rsidR="00746829" w:rsidRPr="004676F5">
        <w:rPr>
          <w:i/>
          <w:lang w:val="de-DE"/>
        </w:rPr>
        <w:t>umgegliedert zu Art. XV.125/4/2/1 durch Art. 56</w:t>
      </w:r>
      <w:r w:rsidR="00746829" w:rsidRPr="004676F5">
        <w:rPr>
          <w:i/>
          <w:iCs/>
          <w:lang w:val="de-DE"/>
        </w:rPr>
        <w:t xml:space="preserve"> des G. vom 9. Februar 2024 (B.S. vom 21. März 2024)</w:t>
      </w:r>
      <w:r w:rsidRPr="004676F5">
        <w:rPr>
          <w:i/>
          <w:iCs/>
          <w:lang w:val="de-DE"/>
        </w:rPr>
        <w:t>]</w:t>
      </w:r>
    </w:p>
    <w:p w14:paraId="57F91E45" w14:textId="77777777" w:rsidR="00113F59" w:rsidRPr="004676F5" w:rsidRDefault="00113F59" w:rsidP="00113F59">
      <w:pPr>
        <w:jc w:val="both"/>
        <w:rPr>
          <w:iCs/>
          <w:lang w:val="de-DE"/>
        </w:rPr>
      </w:pPr>
    </w:p>
    <w:p w14:paraId="63FA0488" w14:textId="77777777" w:rsidR="002F3B3B" w:rsidRPr="004676F5" w:rsidRDefault="002F3B3B" w:rsidP="00113F59">
      <w:pPr>
        <w:jc w:val="both"/>
        <w:rPr>
          <w:iCs/>
          <w:lang w:val="de-DE"/>
        </w:rPr>
      </w:pPr>
    </w:p>
    <w:p w14:paraId="73611EAD" w14:textId="2F2C0639" w:rsidR="00DF2DF2" w:rsidRPr="004676F5" w:rsidRDefault="00DF2DF2" w:rsidP="00DF2DF2">
      <w:pPr>
        <w:jc w:val="center"/>
        <w:rPr>
          <w:lang w:val="de-DE"/>
        </w:rPr>
      </w:pPr>
      <w:r w:rsidRPr="004676F5">
        <w:rPr>
          <w:iCs/>
          <w:lang w:val="de-DE"/>
        </w:rPr>
        <w:t>[</w:t>
      </w:r>
      <w:r w:rsidRPr="004676F5">
        <w:rPr>
          <w:i/>
          <w:iCs/>
          <w:lang w:val="de-DE"/>
        </w:rPr>
        <w:t>Abschnitt 11/4 </w:t>
      </w:r>
      <w:r w:rsidR="005B7A5C" w:rsidRPr="004676F5">
        <w:rPr>
          <w:lang w:val="de-DE"/>
        </w:rPr>
        <w:t>- </w:t>
      </w:r>
      <w:r w:rsidRPr="004676F5">
        <w:rPr>
          <w:lang w:val="de-DE"/>
        </w:rPr>
        <w:t>Strafen in Bezug auf Verstöße gegen das frühere Zivilgesetzbuch</w:t>
      </w:r>
    </w:p>
    <w:p w14:paraId="6FE2B633" w14:textId="77777777" w:rsidR="00DF2DF2" w:rsidRPr="004676F5" w:rsidRDefault="00DF2DF2" w:rsidP="00DF2DF2">
      <w:pPr>
        <w:jc w:val="both"/>
        <w:rPr>
          <w:lang w:val="de-DE"/>
        </w:rPr>
      </w:pPr>
    </w:p>
    <w:p w14:paraId="74A49D5A" w14:textId="7BAE374D" w:rsidR="00DF2DF2" w:rsidRPr="004676F5" w:rsidRDefault="00DF2DF2" w:rsidP="00DF2DF2">
      <w:pPr>
        <w:jc w:val="both"/>
        <w:rPr>
          <w:bCs/>
          <w:i/>
          <w:iCs/>
          <w:lang w:val="de-DE"/>
        </w:rPr>
      </w:pPr>
      <w:r w:rsidRPr="004676F5">
        <w:rPr>
          <w:i/>
          <w:iCs/>
          <w:lang w:val="de-DE"/>
        </w:rPr>
        <w:t>[Abschnitt 11/4 mit Art. XV.125/5 eingefügt durch Art. 18</w:t>
      </w:r>
      <w:r w:rsidRPr="004676F5">
        <w:rPr>
          <w:bCs/>
          <w:i/>
          <w:iCs/>
          <w:lang w:val="de-DE"/>
        </w:rPr>
        <w:t xml:space="preserve"> des G. vom 20. März 2022 (B.S. vom 31. März 2022)]</w:t>
      </w:r>
    </w:p>
    <w:p w14:paraId="5848BED7" w14:textId="77777777" w:rsidR="00DF2DF2" w:rsidRPr="004676F5" w:rsidRDefault="00DF2DF2" w:rsidP="00DF2DF2">
      <w:pPr>
        <w:jc w:val="both"/>
        <w:rPr>
          <w:bCs/>
          <w:i/>
          <w:iCs/>
          <w:lang w:val="de-DE"/>
        </w:rPr>
      </w:pPr>
    </w:p>
    <w:p w14:paraId="71C458BB" w14:textId="77777777" w:rsidR="00DF2DF2" w:rsidRPr="004676F5" w:rsidRDefault="00DF2DF2" w:rsidP="00DF2DF2">
      <w:pPr>
        <w:jc w:val="both"/>
        <w:rPr>
          <w:i/>
          <w:iCs/>
          <w:lang w:val="de-DE"/>
        </w:rPr>
      </w:pPr>
    </w:p>
    <w:p w14:paraId="6774BD55" w14:textId="20AFCE33" w:rsidR="00DF2DF2" w:rsidRPr="004676F5" w:rsidRDefault="00DF2DF2" w:rsidP="00DF2DF2">
      <w:pPr>
        <w:jc w:val="both"/>
        <w:rPr>
          <w:lang w:val="de-DE"/>
        </w:rPr>
      </w:pPr>
      <w:r w:rsidRPr="004676F5">
        <w:rPr>
          <w:lang w:val="de-DE"/>
        </w:rPr>
        <w:tab/>
      </w:r>
      <w:r w:rsidRPr="004676F5">
        <w:rPr>
          <w:b/>
          <w:bCs/>
          <w:lang w:val="de-DE"/>
        </w:rPr>
        <w:t>Art. XV.125/5</w:t>
      </w:r>
      <w:r w:rsidRPr="004676F5">
        <w:rPr>
          <w:lang w:val="de-DE"/>
        </w:rPr>
        <w:t> </w:t>
      </w:r>
      <w:r w:rsidR="005B7A5C" w:rsidRPr="004676F5">
        <w:rPr>
          <w:lang w:val="de-DE"/>
        </w:rPr>
        <w:t>- </w:t>
      </w:r>
      <w:r w:rsidRPr="004676F5">
        <w:rPr>
          <w:lang w:val="de-DE"/>
        </w:rPr>
        <w:t>Mit einer Sanktion der Stufe 2 wird bestraft, wer gegen die Artikel 1649</w:t>
      </w:r>
      <w:r w:rsidRPr="004676F5">
        <w:rPr>
          <w:i/>
          <w:iCs/>
          <w:lang w:val="de-DE"/>
        </w:rPr>
        <w:t>bis</w:t>
      </w:r>
      <w:r w:rsidRPr="004676F5">
        <w:rPr>
          <w:lang w:val="de-DE"/>
        </w:rPr>
        <w:t xml:space="preserve"> bis 1649</w:t>
      </w:r>
      <w:r w:rsidRPr="004676F5">
        <w:rPr>
          <w:i/>
          <w:iCs/>
          <w:lang w:val="de-DE"/>
        </w:rPr>
        <w:t>nonies</w:t>
      </w:r>
      <w:r w:rsidRPr="004676F5">
        <w:rPr>
          <w:lang w:val="de-DE"/>
        </w:rPr>
        <w:t xml:space="preserve"> oder 1701/1 bis 1701/19 des früheren Zivilgesetzbuches verstößt.</w:t>
      </w:r>
    </w:p>
    <w:p w14:paraId="04905AFF" w14:textId="77777777" w:rsidR="00DF2DF2" w:rsidRPr="004676F5" w:rsidRDefault="00DF2DF2" w:rsidP="00DF2DF2">
      <w:pPr>
        <w:jc w:val="both"/>
        <w:rPr>
          <w:lang w:val="de-DE"/>
        </w:rPr>
      </w:pPr>
    </w:p>
    <w:p w14:paraId="11BA9BD7" w14:textId="30FF9871" w:rsidR="00DF2DF2" w:rsidRPr="004676F5" w:rsidRDefault="00DF2DF2" w:rsidP="00DF2DF2">
      <w:pPr>
        <w:jc w:val="both"/>
        <w:rPr>
          <w:iCs/>
          <w:lang w:val="de-DE"/>
        </w:rPr>
      </w:pPr>
      <w:r w:rsidRPr="004676F5">
        <w:rPr>
          <w:lang w:val="de-DE"/>
        </w:rPr>
        <w:tab/>
        <w:t>Der in Absatz 1 erwähnte Verstoß ist als jede Handlung oder Unterlassung zu verstehen, mit der gegen einen oder mehrere der in Absatz 1 erwähnten Artikel verstoßen wird und die den kollektiven Verbraucherinteressen geschadet hat, schadet oder schaden kann.</w:t>
      </w:r>
      <w:r w:rsidRPr="004676F5">
        <w:rPr>
          <w:iCs/>
          <w:lang w:val="de-DE"/>
        </w:rPr>
        <w:t>]</w:t>
      </w:r>
    </w:p>
    <w:p w14:paraId="12498B89" w14:textId="77777777" w:rsidR="00DF2DF2" w:rsidRPr="004676F5" w:rsidRDefault="00DF2DF2" w:rsidP="00DF2DF2">
      <w:pPr>
        <w:jc w:val="both"/>
        <w:rPr>
          <w:iCs/>
          <w:lang w:val="de-DE"/>
        </w:rPr>
      </w:pPr>
    </w:p>
    <w:p w14:paraId="4369FBFD" w14:textId="77777777" w:rsidR="00DF2DF2" w:rsidRPr="004676F5" w:rsidRDefault="00DF2DF2" w:rsidP="00DF2DF2">
      <w:pPr>
        <w:jc w:val="center"/>
        <w:rPr>
          <w:iCs/>
          <w:lang w:val="de-DE"/>
        </w:rPr>
      </w:pPr>
    </w:p>
    <w:p w14:paraId="7AA745BB" w14:textId="2157233B" w:rsidR="000B7544" w:rsidRPr="004676F5" w:rsidRDefault="000B7544" w:rsidP="000B7544">
      <w:pPr>
        <w:jc w:val="center"/>
        <w:rPr>
          <w:iCs/>
          <w:lang w:val="de-DE"/>
        </w:rPr>
      </w:pPr>
      <w:r w:rsidRPr="004676F5">
        <w:rPr>
          <w:iCs/>
          <w:lang w:val="de-DE"/>
        </w:rPr>
        <w:t>[</w:t>
      </w:r>
      <w:r w:rsidRPr="004676F5">
        <w:rPr>
          <w:i/>
          <w:iCs/>
          <w:lang w:val="de-DE"/>
        </w:rPr>
        <w:t>Abschnitt 11/5 </w:t>
      </w:r>
      <w:r w:rsidR="005B7A5C" w:rsidRPr="004676F5">
        <w:rPr>
          <w:lang w:val="de-DE"/>
        </w:rPr>
        <w:t>- </w:t>
      </w:r>
      <w:r w:rsidRPr="004676F5">
        <w:rPr>
          <w:lang w:val="de-DE"/>
        </w:rPr>
        <w:t>Strafen in Bezug auf Verstöße gegen andere Gesetze</w:t>
      </w:r>
      <w:r w:rsidRPr="004676F5">
        <w:rPr>
          <w:iCs/>
          <w:lang w:val="de-DE"/>
        </w:rPr>
        <w:t>]</w:t>
      </w:r>
    </w:p>
    <w:p w14:paraId="5125C9CF" w14:textId="77777777" w:rsidR="000B7544" w:rsidRPr="004676F5" w:rsidRDefault="000B7544" w:rsidP="000B7544">
      <w:pPr>
        <w:jc w:val="center"/>
        <w:rPr>
          <w:iCs/>
          <w:lang w:val="de-DE"/>
        </w:rPr>
      </w:pPr>
    </w:p>
    <w:p w14:paraId="0EA9D682" w14:textId="1493F9C2" w:rsidR="000B7544" w:rsidRPr="004676F5" w:rsidRDefault="000B7544" w:rsidP="000B7544">
      <w:pPr>
        <w:jc w:val="both"/>
        <w:rPr>
          <w:i/>
          <w:lang w:val="de-DE"/>
        </w:rPr>
      </w:pPr>
      <w:r w:rsidRPr="004676F5">
        <w:rPr>
          <w:i/>
          <w:lang w:val="de-DE"/>
        </w:rPr>
        <w:t>[Unterteilung Abschnitt 11/5 eingefügt durch Art. 68 des G. vom 3. Oktober 2022 (B.S. vom 10. November 2022)]</w:t>
      </w:r>
    </w:p>
    <w:p w14:paraId="5AB39368" w14:textId="77777777" w:rsidR="000B7544" w:rsidRPr="004676F5" w:rsidRDefault="000B7544" w:rsidP="000B7544">
      <w:pPr>
        <w:jc w:val="both"/>
        <w:rPr>
          <w:i/>
          <w:lang w:val="de-DE"/>
        </w:rPr>
      </w:pPr>
    </w:p>
    <w:p w14:paraId="25D433C9" w14:textId="77777777" w:rsidR="000B7544" w:rsidRPr="004676F5" w:rsidRDefault="000B7544" w:rsidP="000B7544">
      <w:pPr>
        <w:jc w:val="both"/>
        <w:rPr>
          <w:i/>
          <w:lang w:val="de-DE"/>
        </w:rPr>
      </w:pPr>
    </w:p>
    <w:p w14:paraId="5B94444A" w14:textId="463B9CBC" w:rsidR="000B7544" w:rsidRPr="004676F5" w:rsidRDefault="000B7544" w:rsidP="000B7544">
      <w:pPr>
        <w:jc w:val="both"/>
        <w:rPr>
          <w:lang w:val="de-DE"/>
        </w:rPr>
      </w:pPr>
      <w:r w:rsidRPr="004676F5">
        <w:rPr>
          <w:iCs/>
          <w:lang w:val="de-DE"/>
        </w:rPr>
        <w:tab/>
        <w:t>[</w:t>
      </w:r>
      <w:r w:rsidRPr="004676F5">
        <w:rPr>
          <w:b/>
          <w:bCs/>
          <w:lang w:val="de-DE"/>
        </w:rPr>
        <w:t>Art. XV.125/6</w:t>
      </w:r>
      <w:r w:rsidRPr="004676F5">
        <w:rPr>
          <w:lang w:val="de-DE"/>
        </w:rPr>
        <w:t> </w:t>
      </w:r>
      <w:r w:rsidR="005B7A5C" w:rsidRPr="004676F5">
        <w:rPr>
          <w:lang w:val="de-DE"/>
        </w:rPr>
        <w:t>- </w:t>
      </w:r>
      <w:r w:rsidRPr="004676F5">
        <w:rPr>
          <w:lang w:val="de-DE"/>
        </w:rPr>
        <w:t>Mit einer Sanktion der Stufe 2 werden bestraft:</w:t>
      </w:r>
    </w:p>
    <w:p w14:paraId="620CBCEC" w14:textId="77777777" w:rsidR="000B7544" w:rsidRPr="004676F5" w:rsidRDefault="000B7544" w:rsidP="000B7544">
      <w:pPr>
        <w:jc w:val="both"/>
        <w:rPr>
          <w:sz w:val="22"/>
          <w:szCs w:val="22"/>
          <w:lang w:val="de-DE"/>
        </w:rPr>
      </w:pPr>
    </w:p>
    <w:p w14:paraId="1DB8951C" w14:textId="77777777" w:rsidR="000B7544" w:rsidRPr="004676F5" w:rsidRDefault="000B7544" w:rsidP="000B7544">
      <w:pPr>
        <w:jc w:val="both"/>
        <w:rPr>
          <w:lang w:val="de-DE"/>
        </w:rPr>
      </w:pPr>
      <w:r w:rsidRPr="004676F5">
        <w:rPr>
          <w:lang w:val="de-DE"/>
        </w:rPr>
        <w:tab/>
        <w:t>1. Plattformbetreiber wie in Artikel 337/3 § 1 Nr. 3 des Programmgesetzes (I) vom 27. Dezember 2006 erwähnt, die zugunsten von Personen wie in Artikel 337/3 § 1 Nr. 2 des</w:t>
      </w:r>
      <w:r w:rsidRPr="004676F5">
        <w:rPr>
          <w:lang w:val="de-DE"/>
        </w:rPr>
        <w:softHyphen/>
        <w:t>selben Gesetzes erwähnt, die gegen Vergütung über die Plattform arbeiten und deren Arbeits</w:t>
      </w:r>
      <w:r w:rsidRPr="004676F5">
        <w:rPr>
          <w:lang w:val="de-DE"/>
        </w:rPr>
        <w:softHyphen/>
        <w:t>verhältnis wie in Artikel 328 Nr. 5 Buchstabe </w:t>
      </w:r>
      <w:r w:rsidRPr="004676F5">
        <w:rPr>
          <w:i/>
          <w:lang w:val="de-DE"/>
        </w:rPr>
        <w:t>b)</w:t>
      </w:r>
      <w:r w:rsidRPr="004676F5">
        <w:rPr>
          <w:lang w:val="de-DE"/>
        </w:rPr>
        <w:t xml:space="preserve"> desselben Gesetzes erwähnt qualifiziert ist, keine Versicherung zur Deckung von Schäden abschließen, die durch Unfälle verursacht wer</w:t>
      </w:r>
      <w:r w:rsidRPr="004676F5">
        <w:rPr>
          <w:lang w:val="de-DE"/>
        </w:rPr>
        <w:softHyphen/>
        <w:t>den, die sich während der Verrichtung von Tätigkeiten gegen Vergütung über die Plattform oder auf dem Weg von und zu diesen Tätigkeiten ereignen,</w:t>
      </w:r>
    </w:p>
    <w:p w14:paraId="4D3D11D0" w14:textId="77777777" w:rsidR="000B7544" w:rsidRPr="004676F5" w:rsidRDefault="000B7544" w:rsidP="000B7544">
      <w:pPr>
        <w:jc w:val="both"/>
        <w:rPr>
          <w:sz w:val="22"/>
          <w:szCs w:val="22"/>
          <w:lang w:val="de-DE"/>
        </w:rPr>
      </w:pPr>
    </w:p>
    <w:p w14:paraId="3AE12CB5" w14:textId="77777777" w:rsidR="000B7544" w:rsidRPr="004676F5" w:rsidRDefault="000B7544" w:rsidP="000B7544">
      <w:pPr>
        <w:jc w:val="both"/>
        <w:rPr>
          <w:lang w:val="de-DE"/>
        </w:rPr>
      </w:pPr>
      <w:r w:rsidRPr="004676F5">
        <w:rPr>
          <w:lang w:val="de-DE"/>
        </w:rPr>
        <w:tab/>
        <w:t>2. Plattformbetreiber wie in Artikel 337/3 § 1 Nr. 3 des Programmgesetzes (I) vom 27. Dezember 2006 erwähnt, die gegebenenfalls keine Deckung des rechtlichen Beistands wie in Artikel 19 § 3 des Gesetzes vom 3. Oktober 2022 zur Festlegung verschiedener Bestimmun</w:t>
      </w:r>
      <w:r w:rsidRPr="004676F5">
        <w:rPr>
          <w:lang w:val="de-DE"/>
        </w:rPr>
        <w:softHyphen/>
        <w:t>gen in Bezug auf die Arbeit erwähnt abschließen,</w:t>
      </w:r>
    </w:p>
    <w:p w14:paraId="6B7CF4EB" w14:textId="77777777" w:rsidR="000B7544" w:rsidRPr="004676F5" w:rsidRDefault="000B7544" w:rsidP="000B7544">
      <w:pPr>
        <w:jc w:val="both"/>
        <w:rPr>
          <w:sz w:val="22"/>
          <w:szCs w:val="22"/>
          <w:lang w:val="de-DE"/>
        </w:rPr>
      </w:pPr>
    </w:p>
    <w:p w14:paraId="60C44B1C" w14:textId="77777777" w:rsidR="00D52D80" w:rsidRPr="004676F5" w:rsidRDefault="00D52D80">
      <w:pPr>
        <w:rPr>
          <w:lang w:val="de-DE"/>
        </w:rPr>
      </w:pPr>
      <w:r w:rsidRPr="004676F5">
        <w:rPr>
          <w:lang w:val="de-DE"/>
        </w:rPr>
        <w:br w:type="page"/>
      </w:r>
    </w:p>
    <w:p w14:paraId="44CE8D3E" w14:textId="47C4B799" w:rsidR="000B7544" w:rsidRPr="004676F5" w:rsidRDefault="000B7544" w:rsidP="000B7544">
      <w:pPr>
        <w:jc w:val="both"/>
        <w:rPr>
          <w:iCs/>
          <w:lang w:val="de-DE"/>
        </w:rPr>
      </w:pPr>
      <w:r w:rsidRPr="004676F5">
        <w:rPr>
          <w:lang w:val="de-DE"/>
        </w:rPr>
        <w:lastRenderedPageBreak/>
        <w:tab/>
        <w:t>3. Plattformbetreiber wie in Artikel 337/3 § 1 Nr. 3 des Programmgesetzes (I) vom 27. Dezember 2006 erwähnt, die gegebenenfalls die Mindestgarantiebedingungen wie in Arti</w:t>
      </w:r>
      <w:r w:rsidRPr="004676F5">
        <w:rPr>
          <w:lang w:val="de-DE"/>
        </w:rPr>
        <w:softHyphen/>
        <w:t>kel 19 § 4 des Gesetzes vom 3. Oktober 2022 zur Festlegung verschiedener Bestimmungen in Bezug auf die Arbeit nicht einhalten.</w:t>
      </w:r>
      <w:r w:rsidRPr="004676F5">
        <w:rPr>
          <w:iCs/>
          <w:lang w:val="de-DE"/>
        </w:rPr>
        <w:t>]</w:t>
      </w:r>
    </w:p>
    <w:p w14:paraId="716BA81C" w14:textId="77777777" w:rsidR="000B7544" w:rsidRPr="004676F5" w:rsidRDefault="000B7544" w:rsidP="000B7544">
      <w:pPr>
        <w:jc w:val="both"/>
        <w:rPr>
          <w:iCs/>
          <w:lang w:val="de-DE"/>
        </w:rPr>
      </w:pPr>
    </w:p>
    <w:p w14:paraId="2E7606FF" w14:textId="6DD1E1AA" w:rsidR="000B7544" w:rsidRPr="004676F5" w:rsidRDefault="000B7544" w:rsidP="000B7544">
      <w:pPr>
        <w:jc w:val="both"/>
        <w:rPr>
          <w:i/>
          <w:iCs/>
          <w:lang w:val="de-DE"/>
        </w:rPr>
      </w:pPr>
      <w:r w:rsidRPr="004676F5">
        <w:rPr>
          <w:i/>
          <w:lang w:val="de-DE"/>
        </w:rPr>
        <w:t>[</w:t>
      </w:r>
      <w:r w:rsidRPr="004676F5">
        <w:rPr>
          <w:i/>
          <w:iCs/>
          <w:lang w:val="de-DE"/>
        </w:rPr>
        <w:t>Art. XV.125/6 eingefügt durch Art. 69 des G. vom 3. Oktober 2022 (B.S. vom 10. November 2022)]</w:t>
      </w:r>
    </w:p>
    <w:p w14:paraId="3AA945DF" w14:textId="77777777" w:rsidR="000B7544" w:rsidRPr="004676F5" w:rsidRDefault="000B7544" w:rsidP="000B7544">
      <w:pPr>
        <w:jc w:val="both"/>
        <w:rPr>
          <w:i/>
          <w:iCs/>
          <w:lang w:val="de-DE"/>
        </w:rPr>
      </w:pPr>
    </w:p>
    <w:p w14:paraId="4FBA25E2" w14:textId="77777777" w:rsidR="00885A31" w:rsidRPr="004676F5" w:rsidRDefault="00885A31" w:rsidP="00523416">
      <w:pPr>
        <w:jc w:val="both"/>
        <w:rPr>
          <w:iCs/>
          <w:lang w:val="de-DE"/>
        </w:rPr>
      </w:pPr>
    </w:p>
    <w:p w14:paraId="63633916" w14:textId="111B97ED" w:rsidR="0025333A" w:rsidRPr="004676F5" w:rsidRDefault="0025333A" w:rsidP="0025333A">
      <w:pPr>
        <w:ind w:firstLine="708"/>
        <w:jc w:val="both"/>
        <w:rPr>
          <w:lang w:val="de-DE"/>
        </w:rPr>
      </w:pPr>
      <w:r w:rsidRPr="004676F5">
        <w:rPr>
          <w:iCs/>
          <w:lang w:val="de-DE"/>
        </w:rPr>
        <w:t>[</w:t>
      </w:r>
      <w:r w:rsidRPr="004676F5">
        <w:rPr>
          <w:b/>
          <w:bCs/>
          <w:lang w:val="de-DE"/>
        </w:rPr>
        <w:t>Art. XV.125/7</w:t>
      </w:r>
      <w:r w:rsidRPr="004676F5">
        <w:rPr>
          <w:lang w:val="de-DE"/>
        </w:rPr>
        <w:t> - Der in Artikel 2 des Gesetzes vom 26. Januar 2018 über die Postdienste erwähnte Postdiensteanbieter, sein Angestellter oder sein Beauftragter, der die in Artikel 10/1 desselben Gesetzes und seinen Ausführungserlassen vorgesehene Verpflichtung hinsichtlich der Mindestvergütung nicht eingehalten hat, wird mit einer Sanktion der Stufe 2 bestraft.</w:t>
      </w:r>
    </w:p>
    <w:p w14:paraId="7091DAD4" w14:textId="77777777" w:rsidR="0025333A" w:rsidRPr="004676F5" w:rsidRDefault="0025333A" w:rsidP="0025333A">
      <w:pPr>
        <w:ind w:firstLine="708"/>
        <w:jc w:val="both"/>
        <w:rPr>
          <w:lang w:val="de-DE"/>
        </w:rPr>
      </w:pPr>
    </w:p>
    <w:p w14:paraId="24172A70" w14:textId="6AA00D07" w:rsidR="0025333A" w:rsidRPr="004676F5" w:rsidRDefault="0025333A" w:rsidP="0025333A">
      <w:pPr>
        <w:ind w:firstLine="708"/>
        <w:jc w:val="both"/>
        <w:rPr>
          <w:lang w:val="de-DE"/>
        </w:rPr>
      </w:pPr>
      <w:r w:rsidRPr="004676F5">
        <w:rPr>
          <w:lang w:val="de-DE"/>
        </w:rPr>
        <w:t>Mit einer Sanktion der Stufe 3 werden diejenigen bestraft, die bösgläubig die in Artikel 10/1 des Gesetzes vom 26. Januar 2018 über die Postdienste und seinen Ausführungserlassen vorgesehene Verpflichtung hinsichtlich der Mindestvergütung nicht einhalten.]</w:t>
      </w:r>
    </w:p>
    <w:p w14:paraId="158C0D63" w14:textId="77777777" w:rsidR="0025333A" w:rsidRPr="004676F5" w:rsidRDefault="0025333A" w:rsidP="0025333A">
      <w:pPr>
        <w:jc w:val="both"/>
        <w:rPr>
          <w:lang w:val="de-DE"/>
        </w:rPr>
      </w:pPr>
    </w:p>
    <w:p w14:paraId="0DDE5C68" w14:textId="36EBFF88" w:rsidR="0025333A" w:rsidRPr="004676F5" w:rsidRDefault="0025333A" w:rsidP="0025333A">
      <w:pPr>
        <w:jc w:val="both"/>
        <w:rPr>
          <w:i/>
          <w:iCs/>
          <w:lang w:val="de-DE"/>
        </w:rPr>
      </w:pPr>
      <w:r w:rsidRPr="004676F5">
        <w:rPr>
          <w:i/>
          <w:iCs/>
          <w:lang w:val="de-DE"/>
        </w:rPr>
        <w:t>[Art. XV.125/7 eingefügt durch Art. 16 des G. vom 17. Dezember 2023 (B.S. vom 28. Dezember 2023)]</w:t>
      </w:r>
    </w:p>
    <w:p w14:paraId="00172CF6" w14:textId="77777777" w:rsidR="0025333A" w:rsidRPr="004676F5" w:rsidRDefault="0025333A" w:rsidP="0025333A">
      <w:pPr>
        <w:jc w:val="both"/>
        <w:rPr>
          <w:i/>
          <w:iCs/>
          <w:lang w:val="de-DE"/>
        </w:rPr>
      </w:pPr>
    </w:p>
    <w:p w14:paraId="572B23F0" w14:textId="77777777" w:rsidR="0025333A" w:rsidRPr="004676F5" w:rsidRDefault="0025333A" w:rsidP="0025333A">
      <w:pPr>
        <w:jc w:val="both"/>
        <w:rPr>
          <w:i/>
          <w:iCs/>
          <w:lang w:val="de-DE"/>
        </w:rPr>
      </w:pPr>
    </w:p>
    <w:p w14:paraId="44A5D580" w14:textId="1C43C9F7" w:rsidR="00BA2266" w:rsidRPr="004676F5" w:rsidRDefault="00BA2266" w:rsidP="00BA2266">
      <w:pPr>
        <w:ind w:firstLine="708"/>
        <w:jc w:val="center"/>
        <w:rPr>
          <w:lang w:val="de-DE"/>
        </w:rPr>
      </w:pPr>
      <w:r w:rsidRPr="004676F5">
        <w:rPr>
          <w:i/>
          <w:lang w:val="de-DE"/>
        </w:rPr>
        <w:t>Abschnitt 12 </w:t>
      </w:r>
      <w:r w:rsidR="005B7A5C" w:rsidRPr="004676F5">
        <w:rPr>
          <w:i/>
          <w:lang w:val="de-DE"/>
        </w:rPr>
        <w:t>- </w:t>
      </w:r>
      <w:r w:rsidRPr="004676F5">
        <w:rPr>
          <w:lang w:val="de-DE"/>
        </w:rPr>
        <w:t>Beeinträchtigung der Kontrolle</w:t>
      </w:r>
      <w:r w:rsidR="00274D5D" w:rsidRPr="004676F5">
        <w:rPr>
          <w:lang w:val="de-DE"/>
        </w:rPr>
        <w:t xml:space="preserve"> [und Nichteinhaltung der Maßnahmen]</w:t>
      </w:r>
    </w:p>
    <w:p w14:paraId="69637AC8" w14:textId="77777777" w:rsidR="00274D5D" w:rsidRPr="004676F5" w:rsidRDefault="00274D5D" w:rsidP="00BA2266">
      <w:pPr>
        <w:ind w:firstLine="708"/>
        <w:jc w:val="center"/>
        <w:rPr>
          <w:lang w:val="de-DE"/>
        </w:rPr>
      </w:pPr>
    </w:p>
    <w:p w14:paraId="0DA05FE9" w14:textId="01542DD7" w:rsidR="00274D5D" w:rsidRPr="004676F5" w:rsidRDefault="00274D5D" w:rsidP="00274D5D">
      <w:pPr>
        <w:jc w:val="both"/>
        <w:rPr>
          <w:i/>
          <w:iCs/>
          <w:lang w:val="de-DE"/>
        </w:rPr>
      </w:pPr>
      <w:r w:rsidRPr="004676F5">
        <w:rPr>
          <w:i/>
          <w:iCs/>
          <w:lang w:val="de-DE"/>
        </w:rPr>
        <w:t>[Überschrift von Abschnitt 12 abgeändert durch Art. 53</w:t>
      </w:r>
      <w:r w:rsidRPr="004676F5">
        <w:rPr>
          <w:bCs/>
          <w:i/>
          <w:iCs/>
          <w:lang w:val="de-DE"/>
        </w:rPr>
        <w:t xml:space="preserve"> des G. vom 29. September 2020 (B.S. vom 20. November 2020)]</w:t>
      </w:r>
    </w:p>
    <w:p w14:paraId="28FC5DCD" w14:textId="77777777" w:rsidR="00BA2266" w:rsidRPr="004676F5" w:rsidRDefault="00BA2266" w:rsidP="00BA2266">
      <w:pPr>
        <w:jc w:val="both"/>
        <w:rPr>
          <w:lang w:val="de-DE"/>
        </w:rPr>
      </w:pPr>
    </w:p>
    <w:p w14:paraId="74A75431" w14:textId="77777777" w:rsidR="00EB6EE0" w:rsidRPr="004676F5" w:rsidRDefault="00EB6EE0" w:rsidP="00BA2266">
      <w:pPr>
        <w:jc w:val="both"/>
        <w:rPr>
          <w:lang w:val="de-DE"/>
        </w:rPr>
      </w:pPr>
    </w:p>
    <w:p w14:paraId="5255CA05" w14:textId="12EBB7E9" w:rsidR="00BA2266" w:rsidRPr="004676F5" w:rsidRDefault="00BE0A56" w:rsidP="00BA2266">
      <w:pPr>
        <w:ind w:firstLine="708"/>
        <w:jc w:val="both"/>
        <w:rPr>
          <w:lang w:val="de-DE"/>
        </w:rPr>
      </w:pPr>
      <w:r w:rsidRPr="004676F5">
        <w:rPr>
          <w:b/>
          <w:lang w:val="de-DE"/>
        </w:rPr>
        <w:t>Art. </w:t>
      </w:r>
      <w:r w:rsidR="00BA2266" w:rsidRPr="004676F5">
        <w:rPr>
          <w:b/>
          <w:lang w:val="de-DE"/>
        </w:rPr>
        <w:t>XV.126</w:t>
      </w:r>
      <w:r w:rsidR="00BA2266" w:rsidRPr="004676F5">
        <w:rPr>
          <w:lang w:val="de-DE"/>
        </w:rPr>
        <w:t> </w:t>
      </w:r>
      <w:r w:rsidR="005B7A5C" w:rsidRPr="004676F5">
        <w:rPr>
          <w:lang w:val="de-DE"/>
        </w:rPr>
        <w:t>- </w:t>
      </w:r>
      <w:r w:rsidR="00BA2266" w:rsidRPr="004676F5">
        <w:rPr>
          <w:lang w:val="de-DE"/>
        </w:rPr>
        <w:t xml:space="preserve">Eine gewollte Verhinderung oder Beeinträchtigung der Ausübung der Aufgaben der </w:t>
      </w:r>
      <w:r w:rsidR="00D51504" w:rsidRPr="004676F5">
        <w:rPr>
          <w:lang w:val="de-DE"/>
        </w:rPr>
        <w:t>[in den Artikeln XV.2 und XV.30/2]</w:t>
      </w:r>
      <w:r w:rsidR="00BA2266" w:rsidRPr="004676F5">
        <w:rPr>
          <w:lang w:val="de-DE"/>
        </w:rPr>
        <w:t xml:space="preserve"> erwähnten Bediensteten oder Polizeibeamten der lokalen und föderalen Polizei wird in Anwendung der Bestimmungen des vorliegenden Gesetzbuches mit einer Sanktion der Stufe 4 geahndet.</w:t>
      </w:r>
    </w:p>
    <w:p w14:paraId="40340326" w14:textId="77777777" w:rsidR="00BA2266" w:rsidRPr="004676F5" w:rsidRDefault="00BA2266" w:rsidP="00BA2266">
      <w:pPr>
        <w:jc w:val="both"/>
        <w:rPr>
          <w:lang w:val="de-DE"/>
        </w:rPr>
      </w:pPr>
    </w:p>
    <w:p w14:paraId="2669A0C6" w14:textId="47AD753A" w:rsidR="00BA2266" w:rsidRPr="004676F5" w:rsidRDefault="00BA2266" w:rsidP="00BA2266">
      <w:pPr>
        <w:ind w:firstLine="708"/>
        <w:jc w:val="both"/>
        <w:rPr>
          <w:lang w:val="de-DE"/>
        </w:rPr>
      </w:pPr>
      <w:r w:rsidRPr="004676F5">
        <w:rPr>
          <w:lang w:val="de-DE"/>
        </w:rPr>
        <w:t>Ein neuer Verstoß wie in Absatz 1 erwähnt, der vor Ablauf von fünf Jahren ab Verbüßung oder Verjährung der Strafe für den gleichen Verstoß begangen wird, wird mit einer Sanktion der Stufe 5 geahndet.</w:t>
      </w:r>
    </w:p>
    <w:p w14:paraId="3D4988D9" w14:textId="77777777" w:rsidR="00D51504" w:rsidRPr="004676F5" w:rsidRDefault="00D51504" w:rsidP="00BA2266">
      <w:pPr>
        <w:ind w:firstLine="708"/>
        <w:jc w:val="both"/>
        <w:rPr>
          <w:lang w:val="de-DE"/>
        </w:rPr>
      </w:pPr>
    </w:p>
    <w:p w14:paraId="4913BA28" w14:textId="28CEBD21" w:rsidR="00D51504" w:rsidRPr="004676F5" w:rsidRDefault="00D51504" w:rsidP="00D51504">
      <w:pPr>
        <w:jc w:val="both"/>
        <w:rPr>
          <w:i/>
          <w:lang w:val="de-DE"/>
        </w:rPr>
      </w:pPr>
      <w:r w:rsidRPr="004676F5">
        <w:rPr>
          <w:i/>
          <w:lang w:val="de-DE"/>
        </w:rPr>
        <w:t>[</w:t>
      </w:r>
      <w:r w:rsidR="00BE0A56" w:rsidRPr="004676F5">
        <w:rPr>
          <w:i/>
          <w:lang w:val="de-DE"/>
        </w:rPr>
        <w:t>Art. </w:t>
      </w:r>
      <w:r w:rsidRPr="004676F5">
        <w:rPr>
          <w:i/>
          <w:lang w:val="de-DE"/>
        </w:rPr>
        <w:t xml:space="preserve">XV.126 Abs. 1 abgeändert durch </w:t>
      </w:r>
      <w:r w:rsidR="00BE0A56" w:rsidRPr="004676F5">
        <w:rPr>
          <w:i/>
          <w:lang w:val="de-DE"/>
        </w:rPr>
        <w:t>Art. </w:t>
      </w:r>
      <w:r w:rsidRPr="004676F5">
        <w:rPr>
          <w:i/>
          <w:lang w:val="de-DE"/>
        </w:rPr>
        <w:t>31 des G. vom 18. April 2017 (B.S. vom 24. April 2017)]</w:t>
      </w:r>
    </w:p>
    <w:p w14:paraId="14D97BC2" w14:textId="77777777" w:rsidR="00BA2266" w:rsidRPr="004676F5" w:rsidRDefault="00BA2266" w:rsidP="00BA2266">
      <w:pPr>
        <w:jc w:val="both"/>
        <w:rPr>
          <w:lang w:val="de-DE"/>
        </w:rPr>
      </w:pPr>
    </w:p>
    <w:p w14:paraId="766D722D" w14:textId="77777777" w:rsidR="00EB6EE0" w:rsidRPr="004676F5" w:rsidRDefault="00EB6EE0">
      <w:pPr>
        <w:rPr>
          <w:lang w:val="de-DE"/>
        </w:rPr>
      </w:pPr>
    </w:p>
    <w:p w14:paraId="5FC22B19" w14:textId="763C14BA" w:rsidR="008715BD" w:rsidRPr="004676F5" w:rsidRDefault="008715BD" w:rsidP="008715BD">
      <w:pPr>
        <w:ind w:firstLine="708"/>
        <w:jc w:val="both"/>
        <w:rPr>
          <w:lang w:val="de-DE"/>
        </w:rPr>
      </w:pPr>
      <w:r w:rsidRPr="004676F5">
        <w:rPr>
          <w:lang w:val="de-DE"/>
        </w:rPr>
        <w:t>[</w:t>
      </w:r>
      <w:r w:rsidR="00BE0A56" w:rsidRPr="004676F5">
        <w:rPr>
          <w:b/>
          <w:lang w:val="de-DE"/>
        </w:rPr>
        <w:t>Art. </w:t>
      </w:r>
      <w:r w:rsidRPr="004676F5">
        <w:rPr>
          <w:b/>
          <w:lang w:val="de-DE"/>
        </w:rPr>
        <w:t>XV.126/1</w:t>
      </w:r>
      <w:r w:rsidRPr="004676F5">
        <w:rPr>
          <w:lang w:val="de-DE"/>
        </w:rPr>
        <w:t> </w:t>
      </w:r>
      <w:r w:rsidR="005B7A5C" w:rsidRPr="004676F5">
        <w:rPr>
          <w:lang w:val="de-DE"/>
        </w:rPr>
        <w:t>- </w:t>
      </w:r>
      <w:r w:rsidRPr="004676F5">
        <w:rPr>
          <w:lang w:val="de-DE"/>
        </w:rPr>
        <w:t>Mit einer Sanktion der Stufe 4 wird bestraft, wer Überprüfungen, denen er sich in Belgien oder im Ausland aufgrund der Bestimmungen der Artikel XV.18/1 bis XV.18/3 unterwerfen muss, behindert oder wer wissentlich falsche, fehlerhafte oder unvollständige Auskünfte, Unterlagen oder Schriftstücke erteilt beziehungsweise vorlegt.</w:t>
      </w:r>
    </w:p>
    <w:p w14:paraId="36FC3693" w14:textId="77777777" w:rsidR="008715BD" w:rsidRPr="004676F5" w:rsidRDefault="008715BD" w:rsidP="008715BD">
      <w:pPr>
        <w:ind w:firstLine="708"/>
        <w:jc w:val="both"/>
        <w:rPr>
          <w:lang w:val="de-DE"/>
        </w:rPr>
      </w:pPr>
    </w:p>
    <w:p w14:paraId="04C66CBD" w14:textId="77777777" w:rsidR="008715BD" w:rsidRPr="004676F5" w:rsidRDefault="008715BD" w:rsidP="008715BD">
      <w:pPr>
        <w:jc w:val="both"/>
        <w:rPr>
          <w:lang w:val="de-DE"/>
        </w:rPr>
      </w:pPr>
      <w:r w:rsidRPr="004676F5">
        <w:rPr>
          <w:lang w:val="de-DE"/>
        </w:rPr>
        <w:lastRenderedPageBreak/>
        <w:tab/>
        <w:t>Ein neuer Verstoß wie in Absatz 1 erwähnt, der vor Ablauf von fünf Jahren ab Verbüßung oder Verjährung der Strafe für den gleichen Verstoß begangen wird, wird mit einer Sanktion der Stufe 5 geahndet.]</w:t>
      </w:r>
    </w:p>
    <w:p w14:paraId="4B463F23" w14:textId="77777777" w:rsidR="008715BD" w:rsidRPr="004676F5" w:rsidRDefault="008715BD" w:rsidP="008715BD">
      <w:pPr>
        <w:rPr>
          <w:lang w:val="de-DE"/>
        </w:rPr>
      </w:pPr>
    </w:p>
    <w:p w14:paraId="60F10F8F" w14:textId="2DE76B09" w:rsidR="008715BD" w:rsidRPr="004676F5" w:rsidRDefault="008715BD" w:rsidP="008F46A1">
      <w:pPr>
        <w:jc w:val="both"/>
        <w:rPr>
          <w:i/>
          <w:lang w:val="de-DE"/>
        </w:rPr>
      </w:pPr>
      <w:r w:rsidRPr="004676F5">
        <w:rPr>
          <w:i/>
          <w:lang w:val="de-DE"/>
        </w:rPr>
        <w:t>[</w:t>
      </w:r>
      <w:r w:rsidR="00BE0A56" w:rsidRPr="004676F5">
        <w:rPr>
          <w:i/>
          <w:lang w:val="de-DE"/>
        </w:rPr>
        <w:t>Art. </w:t>
      </w:r>
      <w:r w:rsidRPr="004676F5">
        <w:rPr>
          <w:i/>
          <w:lang w:val="de-DE"/>
        </w:rPr>
        <w:t xml:space="preserve">XV.126/1 eingefügt durch </w:t>
      </w:r>
      <w:r w:rsidR="00BE0A56" w:rsidRPr="004676F5">
        <w:rPr>
          <w:i/>
          <w:lang w:val="de-DE"/>
        </w:rPr>
        <w:t>Art. </w:t>
      </w:r>
      <w:r w:rsidRPr="004676F5">
        <w:rPr>
          <w:i/>
          <w:lang w:val="de-DE"/>
        </w:rPr>
        <w:t>14 des G. vom 19. April 2014</w:t>
      </w:r>
      <w:r w:rsidR="004808C3" w:rsidRPr="004676F5">
        <w:rPr>
          <w:i/>
          <w:lang w:val="de-DE"/>
        </w:rPr>
        <w:t> (I)</w:t>
      </w:r>
      <w:r w:rsidRPr="004676F5">
        <w:rPr>
          <w:i/>
          <w:lang w:val="de-DE"/>
        </w:rPr>
        <w:t xml:space="preserve"> (B.S. vom 28. Mai 2014)]</w:t>
      </w:r>
    </w:p>
    <w:p w14:paraId="1AEEC5BB" w14:textId="77777777" w:rsidR="008F46A1" w:rsidRPr="004676F5" w:rsidRDefault="008F46A1" w:rsidP="00BA2266">
      <w:pPr>
        <w:jc w:val="center"/>
        <w:rPr>
          <w:lang w:val="de-DE"/>
        </w:rPr>
      </w:pPr>
    </w:p>
    <w:p w14:paraId="2CC86F27" w14:textId="009D0C96" w:rsidR="008F46A1" w:rsidRPr="004676F5" w:rsidRDefault="008F46A1">
      <w:pPr>
        <w:rPr>
          <w:lang w:val="de-DE"/>
        </w:rPr>
      </w:pPr>
    </w:p>
    <w:p w14:paraId="62047623" w14:textId="2202633C" w:rsidR="00274D5D" w:rsidRPr="004676F5" w:rsidRDefault="00274D5D" w:rsidP="00274D5D">
      <w:pPr>
        <w:jc w:val="both"/>
        <w:rPr>
          <w:lang w:val="de-DE"/>
        </w:rPr>
      </w:pPr>
      <w:r w:rsidRPr="004676F5">
        <w:rPr>
          <w:lang w:val="de-DE"/>
        </w:rPr>
        <w:tab/>
        <w:t>[</w:t>
      </w:r>
      <w:r w:rsidRPr="004676F5">
        <w:rPr>
          <w:b/>
          <w:bCs/>
          <w:lang w:val="de-DE"/>
        </w:rPr>
        <w:t>Art. XV.126/2</w:t>
      </w:r>
      <w:r w:rsidRPr="004676F5">
        <w:rPr>
          <w:lang w:val="de-DE"/>
        </w:rPr>
        <w:t> </w:t>
      </w:r>
      <w:r w:rsidR="005B7A5C" w:rsidRPr="004676F5">
        <w:rPr>
          <w:lang w:val="de-DE"/>
        </w:rPr>
        <w:t>- </w:t>
      </w:r>
      <w:r w:rsidRPr="004676F5">
        <w:rPr>
          <w:lang w:val="de-DE"/>
        </w:rPr>
        <w:t>Unbeschadet der Artikel XV.126 und XV.126/1 wird mit einer Sanktion der Stufe 4 bestraft:</w:t>
      </w:r>
    </w:p>
    <w:p w14:paraId="60350144" w14:textId="77777777" w:rsidR="00274D5D" w:rsidRPr="004676F5" w:rsidRDefault="00274D5D" w:rsidP="00274D5D">
      <w:pPr>
        <w:jc w:val="both"/>
        <w:rPr>
          <w:lang w:val="de-DE"/>
        </w:rPr>
      </w:pPr>
    </w:p>
    <w:p w14:paraId="6C7E84C3" w14:textId="77777777" w:rsidR="00274D5D" w:rsidRPr="004676F5" w:rsidRDefault="00274D5D" w:rsidP="00274D5D">
      <w:pPr>
        <w:jc w:val="both"/>
        <w:rPr>
          <w:lang w:val="de-DE"/>
        </w:rPr>
      </w:pPr>
      <w:r w:rsidRPr="004676F5">
        <w:rPr>
          <w:lang w:val="de-DE"/>
        </w:rPr>
        <w:tab/>
        <w:t>1. wer den in den Artikeln XV.3 Nr. 5/1, 5/2, 8 und 9 und XV.5/1 erwähnten Aufforderungen oder auferlegten Maßnahmen nicht nachkommt,</w:t>
      </w:r>
    </w:p>
    <w:p w14:paraId="4CB81EBB" w14:textId="77777777" w:rsidR="00274D5D" w:rsidRPr="004676F5" w:rsidRDefault="00274D5D" w:rsidP="00274D5D">
      <w:pPr>
        <w:jc w:val="both"/>
        <w:rPr>
          <w:lang w:val="de-DE"/>
        </w:rPr>
      </w:pPr>
    </w:p>
    <w:p w14:paraId="2DA906CA" w14:textId="2496EDBE" w:rsidR="00274D5D" w:rsidRPr="004676F5" w:rsidRDefault="00274D5D" w:rsidP="00274D5D">
      <w:pPr>
        <w:jc w:val="both"/>
        <w:rPr>
          <w:lang w:val="de-DE"/>
        </w:rPr>
      </w:pPr>
      <w:r w:rsidRPr="004676F5">
        <w:rPr>
          <w:lang w:val="de-DE"/>
        </w:rPr>
        <w:tab/>
        <w:t>2. das in Artikel XV.31/2 erwähnte Unternehmen, das Zusagen oder zusätzliche Zusagen nicht erfüllt.]</w:t>
      </w:r>
    </w:p>
    <w:p w14:paraId="27DCAA73" w14:textId="77777777" w:rsidR="00274D5D" w:rsidRPr="004676F5" w:rsidRDefault="00274D5D" w:rsidP="00274D5D">
      <w:pPr>
        <w:jc w:val="both"/>
        <w:rPr>
          <w:lang w:val="de-DE"/>
        </w:rPr>
      </w:pPr>
    </w:p>
    <w:p w14:paraId="2D6D9882" w14:textId="2B1E619C" w:rsidR="00274D5D" w:rsidRPr="004676F5" w:rsidRDefault="00274D5D" w:rsidP="00274D5D">
      <w:pPr>
        <w:jc w:val="both"/>
        <w:rPr>
          <w:i/>
          <w:iCs/>
          <w:lang w:val="de-DE"/>
        </w:rPr>
      </w:pPr>
      <w:r w:rsidRPr="004676F5">
        <w:rPr>
          <w:i/>
          <w:iCs/>
          <w:lang w:val="de-DE"/>
        </w:rPr>
        <w:t>[Art. XV.126/2 eingefügt durch Art. 54</w:t>
      </w:r>
      <w:r w:rsidRPr="004676F5">
        <w:rPr>
          <w:bCs/>
          <w:i/>
          <w:iCs/>
          <w:lang w:val="de-DE"/>
        </w:rPr>
        <w:t xml:space="preserve"> des G. vom 29. September 2020 (B.S. vom 20. November 2020)]</w:t>
      </w:r>
    </w:p>
    <w:p w14:paraId="0E00413B" w14:textId="115802B1" w:rsidR="00201B7E" w:rsidRPr="004676F5" w:rsidRDefault="00201B7E">
      <w:pPr>
        <w:rPr>
          <w:lang w:val="de-DE"/>
        </w:rPr>
      </w:pPr>
    </w:p>
    <w:p w14:paraId="6034ADCF" w14:textId="77777777" w:rsidR="002F3B3B" w:rsidRPr="004676F5" w:rsidRDefault="002F3B3B">
      <w:pPr>
        <w:rPr>
          <w:lang w:val="de-DE"/>
        </w:rPr>
      </w:pPr>
      <w:r w:rsidRPr="004676F5">
        <w:rPr>
          <w:lang w:val="de-DE"/>
        </w:rPr>
        <w:br w:type="page"/>
      </w:r>
    </w:p>
    <w:p w14:paraId="205CE7A3" w14:textId="786BF220" w:rsidR="00BA2266" w:rsidRPr="004676F5" w:rsidRDefault="00BA2266" w:rsidP="008715BD">
      <w:pPr>
        <w:jc w:val="center"/>
        <w:rPr>
          <w:i/>
          <w:lang w:val="de-DE"/>
        </w:rPr>
      </w:pPr>
      <w:r w:rsidRPr="004676F5">
        <w:rPr>
          <w:lang w:val="de-DE"/>
        </w:rPr>
        <w:lastRenderedPageBreak/>
        <w:t>KAPITEL 3 </w:t>
      </w:r>
      <w:r w:rsidR="005B7A5C" w:rsidRPr="004676F5">
        <w:rPr>
          <w:lang w:val="de-DE"/>
        </w:rPr>
        <w:t>- </w:t>
      </w:r>
      <w:r w:rsidRPr="004676F5">
        <w:rPr>
          <w:i/>
          <w:lang w:val="de-DE"/>
        </w:rPr>
        <w:t>Zusätzliche Strafen</w:t>
      </w:r>
    </w:p>
    <w:p w14:paraId="272F2219" w14:textId="77777777" w:rsidR="00BA2266" w:rsidRPr="004676F5" w:rsidRDefault="00BA2266" w:rsidP="00BA2266">
      <w:pPr>
        <w:jc w:val="both"/>
        <w:rPr>
          <w:lang w:val="de-DE"/>
        </w:rPr>
      </w:pPr>
    </w:p>
    <w:p w14:paraId="563BD04E" w14:textId="77777777" w:rsidR="00EB6EE0" w:rsidRPr="004676F5" w:rsidRDefault="00EB6EE0" w:rsidP="00BA2266">
      <w:pPr>
        <w:jc w:val="both"/>
        <w:rPr>
          <w:lang w:val="de-DE"/>
        </w:rPr>
      </w:pPr>
    </w:p>
    <w:p w14:paraId="4FB31527" w14:textId="5F598C90" w:rsidR="008715BD" w:rsidRPr="004676F5" w:rsidRDefault="008715BD" w:rsidP="008715BD">
      <w:pPr>
        <w:jc w:val="center"/>
        <w:rPr>
          <w:lang w:val="de-DE"/>
        </w:rPr>
      </w:pPr>
      <w:r w:rsidRPr="004676F5">
        <w:rPr>
          <w:lang w:val="de-DE"/>
        </w:rPr>
        <w:t>[</w:t>
      </w:r>
      <w:r w:rsidRPr="004676F5">
        <w:rPr>
          <w:i/>
          <w:lang w:val="de-DE"/>
        </w:rPr>
        <w:t>Abschnitt 1</w:t>
      </w:r>
      <w:r w:rsidRPr="004676F5">
        <w:rPr>
          <w:lang w:val="de-DE"/>
        </w:rPr>
        <w:t xml:space="preserve"> </w:t>
      </w:r>
      <w:r w:rsidR="005B7A5C" w:rsidRPr="004676F5">
        <w:rPr>
          <w:lang w:val="de-DE"/>
        </w:rPr>
        <w:t>- </w:t>
      </w:r>
      <w:r w:rsidRPr="004676F5">
        <w:rPr>
          <w:lang w:val="de-DE"/>
        </w:rPr>
        <w:t>Definitives oder zeitweiliges Verbot, reglementierte Geschäfte zu verrichten]</w:t>
      </w:r>
    </w:p>
    <w:p w14:paraId="243F6AB0" w14:textId="77777777" w:rsidR="008715BD" w:rsidRPr="004676F5" w:rsidRDefault="008715BD" w:rsidP="008715BD">
      <w:pPr>
        <w:jc w:val="center"/>
        <w:rPr>
          <w:lang w:val="de-DE"/>
        </w:rPr>
      </w:pPr>
    </w:p>
    <w:p w14:paraId="2FEC9C88" w14:textId="433B9C54" w:rsidR="008715BD" w:rsidRPr="004676F5" w:rsidRDefault="008715BD" w:rsidP="008715BD">
      <w:pPr>
        <w:jc w:val="both"/>
        <w:rPr>
          <w:i/>
          <w:lang w:val="de-DE"/>
        </w:rPr>
      </w:pPr>
      <w:r w:rsidRPr="004676F5">
        <w:rPr>
          <w:i/>
          <w:lang w:val="de-DE"/>
        </w:rPr>
        <w:t xml:space="preserve">[Unterteilung Abschnitt 1 eingefügt durch </w:t>
      </w:r>
      <w:r w:rsidR="00BE0A56" w:rsidRPr="004676F5">
        <w:rPr>
          <w:i/>
          <w:lang w:val="de-DE"/>
        </w:rPr>
        <w:t>Art. </w:t>
      </w:r>
      <w:r w:rsidR="004F7418" w:rsidRPr="004676F5">
        <w:rPr>
          <w:i/>
          <w:lang w:val="de-DE"/>
        </w:rPr>
        <w:t>15 des G. vom 19. April 2014</w:t>
      </w:r>
      <w:r w:rsidR="004808C3" w:rsidRPr="004676F5">
        <w:rPr>
          <w:i/>
          <w:lang w:val="de-DE"/>
        </w:rPr>
        <w:t> (I)</w:t>
      </w:r>
      <w:r w:rsidR="004F7418" w:rsidRPr="004676F5">
        <w:rPr>
          <w:i/>
          <w:lang w:val="de-DE"/>
        </w:rPr>
        <w:t xml:space="preserve"> (B.S. vom 28. Mai 2014)]</w:t>
      </w:r>
    </w:p>
    <w:p w14:paraId="233DE8E5" w14:textId="77777777" w:rsidR="004F7418" w:rsidRPr="004676F5" w:rsidRDefault="004F7418" w:rsidP="008715BD">
      <w:pPr>
        <w:jc w:val="both"/>
        <w:rPr>
          <w:i/>
          <w:lang w:val="de-DE"/>
        </w:rPr>
      </w:pPr>
    </w:p>
    <w:p w14:paraId="191C6AB7" w14:textId="77777777" w:rsidR="004F7418" w:rsidRPr="004676F5" w:rsidRDefault="004F7418" w:rsidP="008715BD">
      <w:pPr>
        <w:jc w:val="both"/>
        <w:rPr>
          <w:i/>
          <w:lang w:val="de-DE"/>
        </w:rPr>
      </w:pPr>
    </w:p>
    <w:p w14:paraId="7236B9EE" w14:textId="03E66590" w:rsidR="004F7418" w:rsidRPr="004676F5" w:rsidRDefault="004F7418" w:rsidP="008715BD">
      <w:pPr>
        <w:jc w:val="both"/>
        <w:rPr>
          <w:lang w:val="de-DE"/>
        </w:rPr>
      </w:pPr>
      <w:r w:rsidRPr="004676F5">
        <w:rPr>
          <w:lang w:val="de-DE"/>
        </w:rPr>
        <w:tab/>
        <w:t>[</w:t>
      </w:r>
      <w:r w:rsidR="00BE0A56" w:rsidRPr="004676F5">
        <w:rPr>
          <w:b/>
          <w:lang w:val="de-DE"/>
        </w:rPr>
        <w:t>Art. </w:t>
      </w:r>
      <w:r w:rsidRPr="004676F5">
        <w:rPr>
          <w:b/>
          <w:lang w:val="de-DE"/>
        </w:rPr>
        <w:t>XV.127</w:t>
      </w:r>
      <w:r w:rsidRPr="004676F5">
        <w:rPr>
          <w:lang w:val="de-DE"/>
        </w:rPr>
        <w:t> </w:t>
      </w:r>
      <w:r w:rsidR="005B7A5C" w:rsidRPr="004676F5">
        <w:rPr>
          <w:lang w:val="de-DE"/>
        </w:rPr>
        <w:t>- </w:t>
      </w:r>
      <w:r w:rsidRPr="004676F5">
        <w:rPr>
          <w:lang w:val="de-DE"/>
        </w:rPr>
        <w:t>Der Richter kann das definitive oder zeitweilige Verbot anordnen, selbst für Rechnung Dritter durch Buch VII Titel 4 Kapitel 1 reglementierte Geschäfte zu verrichten.]</w:t>
      </w:r>
    </w:p>
    <w:p w14:paraId="3887DC4B" w14:textId="77777777" w:rsidR="004F7418" w:rsidRPr="004676F5" w:rsidRDefault="004F7418" w:rsidP="008715BD">
      <w:pPr>
        <w:jc w:val="both"/>
        <w:rPr>
          <w:lang w:val="de-DE"/>
        </w:rPr>
      </w:pPr>
    </w:p>
    <w:p w14:paraId="4F1AF466" w14:textId="7AD6A650" w:rsidR="004F7418" w:rsidRPr="004676F5" w:rsidRDefault="004F7418" w:rsidP="008715BD">
      <w:pPr>
        <w:jc w:val="both"/>
        <w:rPr>
          <w:i/>
          <w:lang w:val="de-DE"/>
        </w:rPr>
      </w:pPr>
      <w:r w:rsidRPr="004676F5">
        <w:rPr>
          <w:i/>
          <w:lang w:val="de-DE"/>
        </w:rPr>
        <w:t>[</w:t>
      </w:r>
      <w:r w:rsidR="00BE0A56" w:rsidRPr="004676F5">
        <w:rPr>
          <w:i/>
          <w:lang w:val="de-DE"/>
        </w:rPr>
        <w:t>Art. </w:t>
      </w:r>
      <w:r w:rsidRPr="004676F5">
        <w:rPr>
          <w:i/>
          <w:lang w:val="de-DE"/>
        </w:rPr>
        <w:t xml:space="preserve">XV.127 eingefügt durch </w:t>
      </w:r>
      <w:r w:rsidR="00BE0A56" w:rsidRPr="004676F5">
        <w:rPr>
          <w:i/>
          <w:lang w:val="de-DE"/>
        </w:rPr>
        <w:t>Art. </w:t>
      </w:r>
      <w:r w:rsidRPr="004676F5">
        <w:rPr>
          <w:i/>
          <w:lang w:val="de-DE"/>
        </w:rPr>
        <w:t>16 des G. vom 19. April 2014</w:t>
      </w:r>
      <w:r w:rsidR="004808C3" w:rsidRPr="004676F5">
        <w:rPr>
          <w:i/>
          <w:lang w:val="de-DE"/>
        </w:rPr>
        <w:t> (I)</w:t>
      </w:r>
      <w:r w:rsidRPr="004676F5">
        <w:rPr>
          <w:i/>
          <w:lang w:val="de-DE"/>
        </w:rPr>
        <w:t xml:space="preserve"> (B.S. vom 28. Mai 2014)]</w:t>
      </w:r>
    </w:p>
    <w:p w14:paraId="581ECE03" w14:textId="77777777" w:rsidR="008715BD" w:rsidRPr="004676F5" w:rsidRDefault="008715BD" w:rsidP="008715BD">
      <w:pPr>
        <w:jc w:val="center"/>
        <w:rPr>
          <w:lang w:val="de-DE"/>
        </w:rPr>
      </w:pPr>
    </w:p>
    <w:p w14:paraId="30D22494" w14:textId="77777777" w:rsidR="004F7418" w:rsidRPr="004676F5" w:rsidRDefault="004F7418" w:rsidP="00EB6EE0">
      <w:pPr>
        <w:jc w:val="center"/>
        <w:rPr>
          <w:lang w:val="de-DE"/>
        </w:rPr>
      </w:pPr>
    </w:p>
    <w:p w14:paraId="08D2134B" w14:textId="77777777" w:rsidR="00BA2266" w:rsidRPr="004676F5" w:rsidRDefault="00EB6EE0" w:rsidP="00EB6EE0">
      <w:pPr>
        <w:jc w:val="center"/>
        <w:rPr>
          <w:lang w:val="de-DE"/>
        </w:rPr>
      </w:pPr>
      <w:r w:rsidRPr="004676F5">
        <w:rPr>
          <w:lang w:val="de-DE"/>
        </w:rPr>
        <w:t>(...)</w:t>
      </w:r>
    </w:p>
    <w:p w14:paraId="7E3AC955" w14:textId="77777777" w:rsidR="00BA2266" w:rsidRPr="004676F5" w:rsidRDefault="00BA2266" w:rsidP="00BA2266">
      <w:pPr>
        <w:jc w:val="both"/>
        <w:rPr>
          <w:lang w:val="de-DE"/>
        </w:rPr>
      </w:pPr>
    </w:p>
    <w:p w14:paraId="304ABEB6" w14:textId="77777777" w:rsidR="00EB6EE0" w:rsidRPr="004676F5" w:rsidRDefault="00EB6EE0" w:rsidP="00BA2266">
      <w:pPr>
        <w:jc w:val="both"/>
        <w:rPr>
          <w:lang w:val="de-DE"/>
        </w:rPr>
      </w:pPr>
    </w:p>
    <w:p w14:paraId="3E831745" w14:textId="11B8E262" w:rsidR="00BA2266" w:rsidRPr="004676F5" w:rsidRDefault="00BA2266" w:rsidP="003138E7">
      <w:pPr>
        <w:jc w:val="center"/>
        <w:rPr>
          <w:lang w:val="de-DE"/>
        </w:rPr>
      </w:pPr>
      <w:r w:rsidRPr="004676F5">
        <w:rPr>
          <w:i/>
          <w:lang w:val="de-DE"/>
        </w:rPr>
        <w:t>Abschnitt 2 </w:t>
      </w:r>
      <w:r w:rsidR="005B7A5C" w:rsidRPr="004676F5">
        <w:rPr>
          <w:i/>
          <w:lang w:val="de-DE"/>
        </w:rPr>
        <w:t>- </w:t>
      </w:r>
      <w:r w:rsidRPr="004676F5">
        <w:rPr>
          <w:lang w:val="de-DE"/>
        </w:rPr>
        <w:t>Einziehung</w:t>
      </w:r>
    </w:p>
    <w:p w14:paraId="46209306" w14:textId="77777777" w:rsidR="00BA2266" w:rsidRPr="004676F5" w:rsidRDefault="00BA2266" w:rsidP="00BA2266">
      <w:pPr>
        <w:jc w:val="both"/>
        <w:rPr>
          <w:lang w:val="de-DE"/>
        </w:rPr>
      </w:pPr>
    </w:p>
    <w:p w14:paraId="6AB528AA" w14:textId="77777777" w:rsidR="00EB6EE0" w:rsidRPr="004676F5" w:rsidRDefault="00EB6EE0" w:rsidP="00BA2266">
      <w:pPr>
        <w:jc w:val="both"/>
        <w:rPr>
          <w:lang w:val="de-DE"/>
        </w:rPr>
      </w:pPr>
    </w:p>
    <w:p w14:paraId="42E5F9A5" w14:textId="0E5E9B6C" w:rsidR="00BA2266" w:rsidRPr="004676F5" w:rsidRDefault="00BE0A56" w:rsidP="00BA2266">
      <w:pPr>
        <w:ind w:firstLine="708"/>
        <w:jc w:val="both"/>
        <w:rPr>
          <w:lang w:val="de-DE"/>
        </w:rPr>
      </w:pPr>
      <w:r w:rsidRPr="004676F5">
        <w:rPr>
          <w:b/>
          <w:lang w:val="de-DE"/>
        </w:rPr>
        <w:t>Art. </w:t>
      </w:r>
      <w:r w:rsidR="00BA2266" w:rsidRPr="004676F5">
        <w:rPr>
          <w:b/>
          <w:lang w:val="de-DE"/>
        </w:rPr>
        <w:t>XV.130</w:t>
      </w:r>
      <w:r w:rsidR="00BA2266" w:rsidRPr="004676F5">
        <w:rPr>
          <w:lang w:val="de-DE"/>
        </w:rPr>
        <w:t> </w:t>
      </w:r>
      <w:r w:rsidR="005B7A5C" w:rsidRPr="004676F5">
        <w:rPr>
          <w:lang w:val="de-DE"/>
        </w:rPr>
        <w:t>- </w:t>
      </w:r>
      <w:r w:rsidR="00BA2266" w:rsidRPr="004676F5">
        <w:rPr>
          <w:lang w:val="de-DE"/>
        </w:rPr>
        <w:t>Unbeschadet der Anwendung der Artikel 42 bis 43</w:t>
      </w:r>
      <w:r w:rsidR="00BA2266" w:rsidRPr="004676F5">
        <w:rPr>
          <w:i/>
          <w:lang w:val="de-DE"/>
        </w:rPr>
        <w:t>quater</w:t>
      </w:r>
      <w:r w:rsidR="00BA2266" w:rsidRPr="004676F5">
        <w:rPr>
          <w:lang w:val="de-DE"/>
        </w:rPr>
        <w:t xml:space="preserve"> einschließlich des Strafgesetzbuches sind die Gerichtshöfe und Gerichte bei Verurteilung wegen Verstoßes gegen </w:t>
      </w:r>
      <w:r w:rsidR="008F46A1" w:rsidRPr="004676F5">
        <w:rPr>
          <w:lang w:val="de-DE"/>
        </w:rPr>
        <w:t xml:space="preserve">[die Artikel XV.103, XV.112, XV.107 bis XV.109 und] </w:t>
      </w:r>
      <w:r w:rsidR="00BA2266" w:rsidRPr="004676F5">
        <w:rPr>
          <w:lang w:val="de-DE"/>
        </w:rPr>
        <w:t>die Bücher </w:t>
      </w:r>
      <w:r w:rsidR="004F7418" w:rsidRPr="004676F5">
        <w:rPr>
          <w:lang w:val="de-DE"/>
        </w:rPr>
        <w:t xml:space="preserve">[VII Titel 4 Kapitel 1,] </w:t>
      </w:r>
      <w:r w:rsidR="00BA2266" w:rsidRPr="004676F5">
        <w:rPr>
          <w:lang w:val="de-DE"/>
        </w:rPr>
        <w:t>VIII und IX befugt, die Einziehung anzuordnen, auch wenn der Eigentümer des Gegenstands des Verstoßes ein Dritter ist.</w:t>
      </w:r>
    </w:p>
    <w:p w14:paraId="0BA6FA66" w14:textId="77777777" w:rsidR="00BA2266" w:rsidRPr="004676F5" w:rsidRDefault="00BA2266" w:rsidP="00BA2266">
      <w:pPr>
        <w:jc w:val="both"/>
        <w:rPr>
          <w:lang w:val="de-DE"/>
        </w:rPr>
      </w:pPr>
    </w:p>
    <w:p w14:paraId="1FE0CB29" w14:textId="01D7FC97" w:rsidR="00BA2266" w:rsidRPr="004676F5" w:rsidRDefault="00BA2266" w:rsidP="00BA2266">
      <w:pPr>
        <w:ind w:firstLine="708"/>
        <w:jc w:val="both"/>
        <w:rPr>
          <w:lang w:val="de-DE"/>
        </w:rPr>
      </w:pPr>
      <w:r w:rsidRPr="004676F5">
        <w:rPr>
          <w:lang w:val="de-DE"/>
        </w:rPr>
        <w:t>Unbeschadet der Anwendung der Artikel 42 bis 43</w:t>
      </w:r>
      <w:r w:rsidRPr="004676F5">
        <w:rPr>
          <w:i/>
          <w:lang w:val="de-DE"/>
        </w:rPr>
        <w:t>quater</w:t>
      </w:r>
      <w:r w:rsidRPr="004676F5">
        <w:rPr>
          <w:lang w:val="de-DE"/>
        </w:rPr>
        <w:t xml:space="preserve"> einschließlich des Strafgesetzbuches sind sie auch befugt, die Einziehung von Produktions-, Verarbeitungs-, Vertriebs</w:t>
      </w:r>
      <w:r w:rsidR="005B7A5C" w:rsidRPr="004676F5">
        <w:rPr>
          <w:lang w:val="de-DE"/>
        </w:rPr>
        <w:t>- </w:t>
      </w:r>
      <w:r w:rsidRPr="004676F5">
        <w:rPr>
          <w:lang w:val="de-DE"/>
        </w:rPr>
        <w:t>und Beförderungsmitteln und irgendwelchen anderen Gegenständen anzuordnen, die dazu bestimmt sind oder dazu gedient haben, Güter, die Gegenstand des Verstoßes sind, und notwendige Mittel für die Erbringung der Dienstleistungen zu produzieren, herzustellen, zu verarbeiten, zu verteilen oder zu befördern, auch wenn ein Dritter Eigentümer ist.</w:t>
      </w:r>
    </w:p>
    <w:p w14:paraId="0DDEAEE7" w14:textId="77777777" w:rsidR="00BA2266" w:rsidRPr="004676F5" w:rsidRDefault="00BA2266" w:rsidP="00BA2266">
      <w:pPr>
        <w:jc w:val="both"/>
        <w:rPr>
          <w:lang w:val="de-DE"/>
        </w:rPr>
      </w:pPr>
    </w:p>
    <w:p w14:paraId="32E88094" w14:textId="77777777" w:rsidR="00BA2266" w:rsidRPr="004676F5" w:rsidRDefault="00BA2266" w:rsidP="00BA2266">
      <w:pPr>
        <w:ind w:firstLine="708"/>
        <w:jc w:val="both"/>
        <w:rPr>
          <w:lang w:val="de-DE"/>
        </w:rPr>
      </w:pPr>
      <w:r w:rsidRPr="004676F5">
        <w:rPr>
          <w:lang w:val="de-DE"/>
        </w:rPr>
        <w:t>Ist der Gegenstand der Einziehungsklage Eigentum eines Dritten, wird seine Heranziehung beantragt und wird die Einziehung nicht angeordnet oder für nichtig erklärt, wenn seine Bösgläubigkeit nicht bewiesen werden kann.</w:t>
      </w:r>
    </w:p>
    <w:p w14:paraId="1C996B22" w14:textId="77777777" w:rsidR="00BA2266" w:rsidRPr="004676F5" w:rsidRDefault="00BA2266" w:rsidP="00BA2266">
      <w:pPr>
        <w:jc w:val="both"/>
        <w:rPr>
          <w:lang w:val="de-DE"/>
        </w:rPr>
      </w:pPr>
    </w:p>
    <w:p w14:paraId="44AFC820" w14:textId="77777777" w:rsidR="00BA2266" w:rsidRPr="004676F5" w:rsidRDefault="00BA2266" w:rsidP="00BA2266">
      <w:pPr>
        <w:ind w:firstLine="708"/>
        <w:jc w:val="both"/>
        <w:rPr>
          <w:lang w:val="de-DE"/>
        </w:rPr>
      </w:pPr>
      <w:r w:rsidRPr="004676F5">
        <w:rPr>
          <w:lang w:val="de-DE"/>
        </w:rPr>
        <w:t>Die Gerichtshöfe und Gerichte können überdies die Einziehung der durch den Verstoß erzielten unerlaubten Gewinne anordnen.</w:t>
      </w:r>
    </w:p>
    <w:p w14:paraId="269D461F" w14:textId="77777777" w:rsidR="004F7418" w:rsidRPr="004676F5" w:rsidRDefault="004F7418" w:rsidP="00BA2266">
      <w:pPr>
        <w:ind w:firstLine="708"/>
        <w:jc w:val="both"/>
        <w:rPr>
          <w:lang w:val="de-DE"/>
        </w:rPr>
      </w:pPr>
    </w:p>
    <w:p w14:paraId="7A97EC93" w14:textId="04CD1D95" w:rsidR="004F7418" w:rsidRPr="004676F5" w:rsidRDefault="004F7418" w:rsidP="004F7418">
      <w:pPr>
        <w:jc w:val="both"/>
        <w:rPr>
          <w:i/>
          <w:lang w:val="de-DE"/>
        </w:rPr>
      </w:pPr>
      <w:r w:rsidRPr="004676F5">
        <w:rPr>
          <w:i/>
          <w:lang w:val="de-DE"/>
        </w:rPr>
        <w:t>[</w:t>
      </w:r>
      <w:r w:rsidR="00BE0A56" w:rsidRPr="004676F5">
        <w:rPr>
          <w:i/>
          <w:lang w:val="de-DE"/>
        </w:rPr>
        <w:t>Art. </w:t>
      </w:r>
      <w:r w:rsidRPr="004676F5">
        <w:rPr>
          <w:i/>
          <w:lang w:val="de-DE"/>
        </w:rPr>
        <w:t xml:space="preserve">XV.130 Abs. 1 abgeändert durch </w:t>
      </w:r>
      <w:r w:rsidR="00BE0A56" w:rsidRPr="004676F5">
        <w:rPr>
          <w:i/>
          <w:lang w:val="de-DE"/>
        </w:rPr>
        <w:t>Art. </w:t>
      </w:r>
      <w:r w:rsidRPr="004676F5">
        <w:rPr>
          <w:i/>
          <w:lang w:val="de-DE"/>
        </w:rPr>
        <w:t>17 des G. vom 19. April 2014</w:t>
      </w:r>
      <w:r w:rsidR="004808C3" w:rsidRPr="004676F5">
        <w:rPr>
          <w:i/>
          <w:lang w:val="de-DE"/>
        </w:rPr>
        <w:t> (I)</w:t>
      </w:r>
      <w:r w:rsidRPr="004676F5">
        <w:rPr>
          <w:i/>
          <w:lang w:val="de-DE"/>
        </w:rPr>
        <w:t xml:space="preserve"> (B.S. vom 28. Mai 2014)</w:t>
      </w:r>
      <w:r w:rsidR="008F46A1" w:rsidRPr="004676F5">
        <w:rPr>
          <w:i/>
          <w:lang w:val="de-DE"/>
        </w:rPr>
        <w:t xml:space="preserve"> und </w:t>
      </w:r>
      <w:r w:rsidR="00BE0A56" w:rsidRPr="004676F5">
        <w:rPr>
          <w:i/>
          <w:lang w:val="de-DE"/>
        </w:rPr>
        <w:t>Art. </w:t>
      </w:r>
      <w:r w:rsidR="008F46A1" w:rsidRPr="004676F5">
        <w:rPr>
          <w:i/>
          <w:lang w:val="de-DE"/>
        </w:rPr>
        <w:t>16 des G. vom 19. April 2014 (II) (B.S. vom 12. Juni 2014)</w:t>
      </w:r>
      <w:r w:rsidRPr="004676F5">
        <w:rPr>
          <w:i/>
          <w:lang w:val="de-DE"/>
        </w:rPr>
        <w:t>]</w:t>
      </w:r>
    </w:p>
    <w:p w14:paraId="315BB106" w14:textId="77777777" w:rsidR="00BA2266" w:rsidRPr="004676F5" w:rsidRDefault="00BA2266" w:rsidP="00BA2266">
      <w:pPr>
        <w:rPr>
          <w:lang w:val="de-DE"/>
        </w:rPr>
      </w:pPr>
    </w:p>
    <w:p w14:paraId="25A30321" w14:textId="77777777" w:rsidR="004808C3" w:rsidRPr="004676F5" w:rsidRDefault="004808C3">
      <w:pPr>
        <w:rPr>
          <w:lang w:val="de-DE"/>
        </w:rPr>
      </w:pPr>
    </w:p>
    <w:p w14:paraId="706CE4EA" w14:textId="044131BF" w:rsidR="00252049" w:rsidRPr="004676F5" w:rsidRDefault="00252049" w:rsidP="00252049">
      <w:pPr>
        <w:jc w:val="both"/>
        <w:rPr>
          <w:sz w:val="20"/>
          <w:szCs w:val="20"/>
          <w:lang w:val="de-DE"/>
        </w:rPr>
      </w:pPr>
      <w:r w:rsidRPr="004676F5">
        <w:rPr>
          <w:sz w:val="20"/>
          <w:szCs w:val="20"/>
          <w:lang w:val="de-DE"/>
        </w:rPr>
        <w:t>Ab dem 8. April 2026 (gemäß Art. 38 des G. vom 29. Februar 2024</w:t>
      </w:r>
      <w:r w:rsidR="00CE5BB7" w:rsidRPr="004676F5">
        <w:rPr>
          <w:sz w:val="20"/>
          <w:szCs w:val="20"/>
          <w:lang w:val="de-DE"/>
        </w:rPr>
        <w:t> </w:t>
      </w:r>
      <w:r w:rsidR="00CE5BB7" w:rsidRPr="004676F5">
        <w:rPr>
          <w:i/>
          <w:iCs/>
          <w:sz w:val="20"/>
          <w:szCs w:val="20"/>
          <w:lang w:val="de-DE"/>
        </w:rPr>
        <w:t>(I)</w:t>
      </w:r>
      <w:r w:rsidRPr="004676F5">
        <w:rPr>
          <w:sz w:val="20"/>
          <w:szCs w:val="20"/>
          <w:lang w:val="de-DE"/>
        </w:rPr>
        <w:t xml:space="preserve"> (B.S. vom 8. April 2024)) lautet Art. XV.130 wie folgt:</w:t>
      </w:r>
    </w:p>
    <w:p w14:paraId="1C96D4BA" w14:textId="77777777" w:rsidR="00252049" w:rsidRPr="004676F5" w:rsidRDefault="00252049" w:rsidP="00252049">
      <w:pPr>
        <w:rPr>
          <w:sz w:val="20"/>
          <w:szCs w:val="20"/>
          <w:lang w:val="de-DE"/>
        </w:rPr>
      </w:pPr>
    </w:p>
    <w:p w14:paraId="1B440048" w14:textId="7721F950" w:rsidR="00252049" w:rsidRPr="004676F5" w:rsidRDefault="00252049" w:rsidP="00252049">
      <w:pPr>
        <w:jc w:val="both"/>
        <w:rPr>
          <w:sz w:val="20"/>
          <w:szCs w:val="20"/>
          <w:lang w:val="de-DE"/>
        </w:rPr>
      </w:pPr>
      <w:r w:rsidRPr="004676F5">
        <w:rPr>
          <w:sz w:val="20"/>
          <w:szCs w:val="20"/>
          <w:lang w:val="de-DE"/>
        </w:rPr>
        <w:t>"</w:t>
      </w:r>
      <w:r w:rsidRPr="004676F5">
        <w:rPr>
          <w:bCs/>
          <w:sz w:val="20"/>
          <w:szCs w:val="20"/>
          <w:lang w:val="de-DE"/>
        </w:rPr>
        <w:t>Art. XV.130</w:t>
      </w:r>
      <w:r w:rsidRPr="004676F5">
        <w:rPr>
          <w:sz w:val="20"/>
          <w:szCs w:val="20"/>
          <w:lang w:val="de-DE"/>
        </w:rPr>
        <w:t xml:space="preserve"> - Unbeschadet der Anwendung [der Artikel 53 und 54] des Strafgesetzbuches sind die Gerichtshöfe und Gerichte bei Verurteilung wegen Verstoßes gegen [die Artikel XV.103, XV.112, XV.107 bis XV.109 und] </w:t>
      </w:r>
      <w:r w:rsidRPr="004676F5">
        <w:rPr>
          <w:sz w:val="20"/>
          <w:szCs w:val="20"/>
          <w:lang w:val="de-DE"/>
        </w:rPr>
        <w:lastRenderedPageBreak/>
        <w:t>die Bücher [VII Titel 4 Kapitel 1,] VIII und IX befugt, die Einziehung anzuordnen, auch wenn der Eigentümer des Gegenstands des Verstoßes ein Dritter ist.</w:t>
      </w:r>
    </w:p>
    <w:p w14:paraId="1ACB978F" w14:textId="77777777" w:rsidR="00252049" w:rsidRPr="004676F5" w:rsidRDefault="00252049" w:rsidP="00252049">
      <w:pPr>
        <w:jc w:val="both"/>
        <w:rPr>
          <w:sz w:val="20"/>
          <w:szCs w:val="20"/>
          <w:lang w:val="de-DE"/>
        </w:rPr>
      </w:pPr>
    </w:p>
    <w:p w14:paraId="0F8214C8" w14:textId="13E050A6" w:rsidR="00252049" w:rsidRPr="004676F5" w:rsidRDefault="00252049" w:rsidP="00252049">
      <w:pPr>
        <w:jc w:val="both"/>
        <w:rPr>
          <w:sz w:val="20"/>
          <w:szCs w:val="20"/>
          <w:lang w:val="de-DE"/>
        </w:rPr>
      </w:pPr>
      <w:r w:rsidRPr="004676F5">
        <w:rPr>
          <w:sz w:val="20"/>
          <w:szCs w:val="20"/>
          <w:lang w:val="de-DE"/>
        </w:rPr>
        <w:t>Unbeschadet der Anwendung [der Artikel 53 und 54] des Strafgesetzbuches sind sie auch befugt, die Einziehung von Produktions-, Verarbeitungs-, Vertriebs- und Beförderungsmitteln und irgendwelchen anderen Gegenständen anzuordnen, die dazu bestimmt sind oder dazu gedient haben, Güter, die Gegenstand des Verstoßes sind, und notwendige Mittel für die Erbringung der Dienstleistungen zu produzieren, herzustellen, zu verarbeiten, zu verteilen oder zu befördern, auch wenn ein Dritter Eigentümer ist.</w:t>
      </w:r>
    </w:p>
    <w:p w14:paraId="0C63E93E" w14:textId="77777777" w:rsidR="00252049" w:rsidRPr="004676F5" w:rsidRDefault="00252049" w:rsidP="00252049">
      <w:pPr>
        <w:jc w:val="both"/>
        <w:rPr>
          <w:sz w:val="20"/>
          <w:szCs w:val="20"/>
          <w:lang w:val="de-DE"/>
        </w:rPr>
      </w:pPr>
    </w:p>
    <w:p w14:paraId="6FF7A5EB" w14:textId="77777777" w:rsidR="00252049" w:rsidRPr="004676F5" w:rsidRDefault="00252049" w:rsidP="00252049">
      <w:pPr>
        <w:jc w:val="both"/>
        <w:rPr>
          <w:sz w:val="20"/>
          <w:szCs w:val="20"/>
          <w:lang w:val="de-DE"/>
        </w:rPr>
      </w:pPr>
      <w:r w:rsidRPr="004676F5">
        <w:rPr>
          <w:sz w:val="20"/>
          <w:szCs w:val="20"/>
          <w:lang w:val="de-DE"/>
        </w:rPr>
        <w:t>Ist der Gegenstand der Einziehungsklage Eigentum eines Dritten, wird seine Heranziehung beantragt und wird die Einziehung nicht angeordnet oder für nichtig erklärt, wenn seine Bösgläubigkeit nicht bewiesen werden kann.</w:t>
      </w:r>
    </w:p>
    <w:p w14:paraId="0AA523A2" w14:textId="77777777" w:rsidR="00252049" w:rsidRPr="004676F5" w:rsidRDefault="00252049" w:rsidP="00252049">
      <w:pPr>
        <w:jc w:val="both"/>
        <w:rPr>
          <w:sz w:val="20"/>
          <w:szCs w:val="20"/>
          <w:lang w:val="de-DE"/>
        </w:rPr>
      </w:pPr>
    </w:p>
    <w:p w14:paraId="7C54A9AE" w14:textId="77777777" w:rsidR="00252049" w:rsidRPr="004676F5" w:rsidRDefault="00252049" w:rsidP="00252049">
      <w:pPr>
        <w:jc w:val="both"/>
        <w:rPr>
          <w:sz w:val="20"/>
          <w:szCs w:val="20"/>
          <w:lang w:val="de-DE"/>
        </w:rPr>
      </w:pPr>
      <w:r w:rsidRPr="004676F5">
        <w:rPr>
          <w:sz w:val="20"/>
          <w:szCs w:val="20"/>
          <w:lang w:val="de-DE"/>
        </w:rPr>
        <w:t>Die Gerichtshöfe und Gerichte können überdies die Einziehung der durch den Verstoß erzielten unerlaubten Gewinne anordnen.</w:t>
      </w:r>
    </w:p>
    <w:p w14:paraId="56FE8261" w14:textId="77777777" w:rsidR="00252049" w:rsidRPr="004676F5" w:rsidRDefault="00252049" w:rsidP="00252049">
      <w:pPr>
        <w:jc w:val="both"/>
        <w:rPr>
          <w:sz w:val="20"/>
          <w:szCs w:val="20"/>
          <w:lang w:val="de-DE"/>
        </w:rPr>
      </w:pPr>
    </w:p>
    <w:p w14:paraId="7CDC9AFA" w14:textId="4BFDF11B" w:rsidR="00252049" w:rsidRPr="004676F5" w:rsidRDefault="00252049" w:rsidP="00252049">
      <w:pPr>
        <w:jc w:val="both"/>
        <w:rPr>
          <w:iCs/>
          <w:sz w:val="20"/>
          <w:szCs w:val="20"/>
          <w:lang w:val="de-DE"/>
        </w:rPr>
      </w:pPr>
      <w:r w:rsidRPr="004676F5">
        <w:rPr>
          <w:i/>
          <w:sz w:val="20"/>
          <w:szCs w:val="20"/>
          <w:lang w:val="de-DE"/>
        </w:rPr>
        <w:t>[Art. XV.130 Abs. 1 abgeändert durch Art. 17 des G. vom 19. April 2014 (I) (B.S. vom 28. Mai 2014)</w:t>
      </w:r>
      <w:r w:rsidR="00E34F02" w:rsidRPr="004676F5">
        <w:rPr>
          <w:i/>
          <w:sz w:val="20"/>
          <w:szCs w:val="20"/>
          <w:lang w:val="de-DE"/>
        </w:rPr>
        <w:t>,</w:t>
      </w:r>
      <w:r w:rsidRPr="004676F5">
        <w:rPr>
          <w:i/>
          <w:sz w:val="20"/>
          <w:szCs w:val="20"/>
          <w:lang w:val="de-DE"/>
        </w:rPr>
        <w:t xml:space="preserve"> Art. 16 des G. vom 19. April 2014 (II) (B.S. vom 12. Juni 2014)</w:t>
      </w:r>
      <w:r w:rsidR="00E34F02" w:rsidRPr="004676F5">
        <w:rPr>
          <w:i/>
          <w:sz w:val="20"/>
          <w:szCs w:val="20"/>
          <w:lang w:val="de-DE"/>
        </w:rPr>
        <w:t xml:space="preserve"> und Art. 32 des G. vom 19. Februar 2024 (B.S. vom 8. April 2024); Abs. 2 abgeändert durch Art. 32 des G. vom 19. Februar 2024 (B.S. vom 8. April 2024)</w:t>
      </w:r>
      <w:r w:rsidRPr="004676F5">
        <w:rPr>
          <w:i/>
          <w:sz w:val="20"/>
          <w:szCs w:val="20"/>
          <w:lang w:val="de-DE"/>
        </w:rPr>
        <w:t>]</w:t>
      </w:r>
      <w:r w:rsidRPr="004676F5">
        <w:rPr>
          <w:iCs/>
          <w:sz w:val="20"/>
          <w:szCs w:val="20"/>
          <w:lang w:val="de-DE"/>
        </w:rPr>
        <w:t>"</w:t>
      </w:r>
    </w:p>
    <w:p w14:paraId="72DF7E57" w14:textId="36325D8F" w:rsidR="00252049" w:rsidRPr="004676F5" w:rsidRDefault="00252049" w:rsidP="00252049">
      <w:pPr>
        <w:rPr>
          <w:lang w:val="de-DE"/>
        </w:rPr>
      </w:pPr>
    </w:p>
    <w:p w14:paraId="0C782836" w14:textId="77777777" w:rsidR="00252049" w:rsidRPr="004676F5" w:rsidRDefault="00252049" w:rsidP="00252049">
      <w:pPr>
        <w:rPr>
          <w:lang w:val="de-DE"/>
        </w:rPr>
      </w:pPr>
    </w:p>
    <w:p w14:paraId="79BBDB8E" w14:textId="416B0402" w:rsidR="008F46A1" w:rsidRPr="004676F5" w:rsidRDefault="008F46A1" w:rsidP="008F46A1">
      <w:pPr>
        <w:ind w:firstLine="708"/>
        <w:jc w:val="both"/>
        <w:rPr>
          <w:lang w:val="de-DE"/>
        </w:rPr>
      </w:pPr>
      <w:r w:rsidRPr="004676F5">
        <w:rPr>
          <w:lang w:val="de-DE"/>
        </w:rPr>
        <w:t>[</w:t>
      </w:r>
      <w:r w:rsidR="00BE0A56" w:rsidRPr="004676F5">
        <w:rPr>
          <w:b/>
          <w:lang w:val="de-DE"/>
        </w:rPr>
        <w:t>Art. </w:t>
      </w:r>
      <w:r w:rsidRPr="004676F5">
        <w:rPr>
          <w:b/>
          <w:lang w:val="de-DE"/>
        </w:rPr>
        <w:t>XV.130/1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Bei Verurteilung wegen einer in Artikel XV.103 § 1 vorge</w:t>
      </w:r>
      <w:r w:rsidRPr="004676F5">
        <w:rPr>
          <w:lang w:val="de-DE"/>
        </w:rPr>
        <w:softHyphen/>
        <w:t>sehenen Verletzung kann das Gericht auf Antrag der Zivilpartei und sofern die Maßnahme im Verhältnis zur Schwere der Verletzung steht, die Übergabe von eingezogenen Werkzeugen, die hauptsächlich zur Begehung der Straftat gedient haben, und von Warenproben, die geistige Eigentumsrechte verletzen, an den Rechtsinhaber anordnen.</w:t>
      </w:r>
    </w:p>
    <w:p w14:paraId="36E2DD3C" w14:textId="77777777" w:rsidR="008F46A1" w:rsidRPr="004676F5" w:rsidRDefault="008F46A1" w:rsidP="008F46A1">
      <w:pPr>
        <w:ind w:firstLine="708"/>
        <w:jc w:val="both"/>
        <w:rPr>
          <w:lang w:val="de-DE"/>
        </w:rPr>
      </w:pPr>
    </w:p>
    <w:p w14:paraId="384E0A02" w14:textId="3ECC66BD" w:rsidR="008F46A1" w:rsidRPr="004676F5" w:rsidRDefault="008F46A1" w:rsidP="008F46A1">
      <w:pPr>
        <w:ind w:firstLine="708"/>
        <w:jc w:val="both"/>
        <w:rPr>
          <w:lang w:val="de-DE"/>
        </w:rPr>
      </w:pPr>
      <w:r w:rsidRPr="004676F5">
        <w:rPr>
          <w:lang w:val="de-DE"/>
        </w:rPr>
        <w:t>§ 2 </w:t>
      </w:r>
      <w:r w:rsidR="005B7A5C" w:rsidRPr="004676F5">
        <w:rPr>
          <w:lang w:val="de-DE"/>
        </w:rPr>
        <w:t>- </w:t>
      </w:r>
      <w:r w:rsidRPr="004676F5">
        <w:rPr>
          <w:lang w:val="de-DE"/>
        </w:rPr>
        <w:t>Bei Verurteilung wegen einer in Artikel XV.103 § 1 vorgesehenen Verletzung und in Anbetracht der Schwere der Verletzung kann das Gericht auf Kosten des Verurteilten ebenfalls die Vernichtung von Waren anordnen, die ein geistiges Eigentumsrecht verletzen und Gegenstand einer Sondereinziehung sind, selbst wenn diese Waren nicht Eigentum des Verurteilten sind.]</w:t>
      </w:r>
    </w:p>
    <w:p w14:paraId="24E2C5F2" w14:textId="77777777" w:rsidR="008F46A1" w:rsidRPr="004676F5" w:rsidRDefault="008F46A1" w:rsidP="008F46A1">
      <w:pPr>
        <w:ind w:firstLine="708"/>
        <w:jc w:val="both"/>
        <w:rPr>
          <w:lang w:val="de-DE"/>
        </w:rPr>
      </w:pPr>
    </w:p>
    <w:p w14:paraId="2AD098E0" w14:textId="759AFCC3" w:rsidR="008F46A1" w:rsidRPr="004676F5" w:rsidRDefault="008F46A1" w:rsidP="008F46A1">
      <w:pPr>
        <w:jc w:val="both"/>
        <w:rPr>
          <w:i/>
          <w:lang w:val="de-DE"/>
        </w:rPr>
      </w:pPr>
      <w:r w:rsidRPr="004676F5">
        <w:rPr>
          <w:i/>
          <w:lang w:val="de-DE"/>
        </w:rPr>
        <w:t>[</w:t>
      </w:r>
      <w:r w:rsidR="00BE0A56" w:rsidRPr="004676F5">
        <w:rPr>
          <w:i/>
          <w:lang w:val="de-DE"/>
        </w:rPr>
        <w:t>Art. </w:t>
      </w:r>
      <w:r w:rsidRPr="004676F5">
        <w:rPr>
          <w:i/>
          <w:lang w:val="de-DE"/>
        </w:rPr>
        <w:t xml:space="preserve">XV.130/1 eingefügt durch </w:t>
      </w:r>
      <w:r w:rsidR="00BE0A56" w:rsidRPr="004676F5">
        <w:rPr>
          <w:i/>
          <w:lang w:val="de-DE"/>
        </w:rPr>
        <w:t>Art. </w:t>
      </w:r>
      <w:r w:rsidRPr="004676F5">
        <w:rPr>
          <w:i/>
          <w:lang w:val="de-DE"/>
        </w:rPr>
        <w:t>17 des G. vom 19. April 2014 (II) (B.S. vom 12. Juni 2014)]</w:t>
      </w:r>
    </w:p>
    <w:p w14:paraId="1F85998D" w14:textId="77777777" w:rsidR="008F46A1" w:rsidRPr="004676F5" w:rsidRDefault="008F46A1" w:rsidP="008F46A1">
      <w:pPr>
        <w:jc w:val="both"/>
        <w:rPr>
          <w:i/>
          <w:lang w:val="de-DE"/>
        </w:rPr>
      </w:pPr>
    </w:p>
    <w:p w14:paraId="63607755" w14:textId="77777777" w:rsidR="008F46A1" w:rsidRPr="004676F5" w:rsidRDefault="008F46A1" w:rsidP="008F46A1">
      <w:pPr>
        <w:jc w:val="both"/>
        <w:rPr>
          <w:i/>
          <w:lang w:val="de-DE"/>
        </w:rPr>
      </w:pPr>
    </w:p>
    <w:p w14:paraId="06CEF22A" w14:textId="632DEBC7" w:rsidR="008F46A1" w:rsidRPr="004676F5" w:rsidRDefault="008F46A1" w:rsidP="008F46A1">
      <w:pPr>
        <w:ind w:firstLine="708"/>
        <w:jc w:val="both"/>
        <w:rPr>
          <w:lang w:val="de-DE"/>
        </w:rPr>
      </w:pPr>
      <w:r w:rsidRPr="004676F5">
        <w:rPr>
          <w:lang w:val="de-DE"/>
        </w:rPr>
        <w:t>[</w:t>
      </w:r>
      <w:r w:rsidR="00BE0A56" w:rsidRPr="004676F5">
        <w:rPr>
          <w:b/>
          <w:lang w:val="de-DE"/>
        </w:rPr>
        <w:t>Art. </w:t>
      </w:r>
      <w:r w:rsidRPr="004676F5">
        <w:rPr>
          <w:b/>
          <w:lang w:val="de-DE"/>
        </w:rPr>
        <w:t>XV.130/2</w:t>
      </w:r>
      <w:r w:rsidRPr="004676F5">
        <w:rPr>
          <w:lang w:val="de-DE"/>
        </w:rPr>
        <w:t> </w:t>
      </w:r>
      <w:r w:rsidR="005B7A5C" w:rsidRPr="004676F5">
        <w:rPr>
          <w:lang w:val="de-DE"/>
        </w:rPr>
        <w:t>- </w:t>
      </w:r>
      <w:r w:rsidRPr="004676F5">
        <w:rPr>
          <w:lang w:val="de-DE"/>
        </w:rPr>
        <w:t>Hinsichtlich der in den Artikeln XV.104 und XV.106 erwähnten Verletzungen können Einnahmen und beschlagnahmte Gegenstände der Zivilpartei zwecks Anrechnung auf den erlittenen Schaden oder in Höhe des erlittenen Schadens zuerkannt werden.]</w:t>
      </w:r>
    </w:p>
    <w:p w14:paraId="4C2CF984" w14:textId="77777777" w:rsidR="008F46A1" w:rsidRPr="004676F5" w:rsidRDefault="008F46A1" w:rsidP="008F46A1">
      <w:pPr>
        <w:ind w:firstLine="708"/>
        <w:jc w:val="both"/>
        <w:rPr>
          <w:lang w:val="de-DE"/>
        </w:rPr>
      </w:pPr>
    </w:p>
    <w:p w14:paraId="746D28FF" w14:textId="6C94402A" w:rsidR="008F46A1" w:rsidRPr="004676F5" w:rsidRDefault="008F46A1" w:rsidP="008F46A1">
      <w:pPr>
        <w:jc w:val="both"/>
        <w:rPr>
          <w:i/>
          <w:lang w:val="de-DE"/>
        </w:rPr>
      </w:pPr>
      <w:r w:rsidRPr="004676F5">
        <w:rPr>
          <w:i/>
          <w:lang w:val="de-DE"/>
        </w:rPr>
        <w:t>[</w:t>
      </w:r>
      <w:r w:rsidR="00BE0A56" w:rsidRPr="004676F5">
        <w:rPr>
          <w:i/>
          <w:lang w:val="de-DE"/>
        </w:rPr>
        <w:t>Art. </w:t>
      </w:r>
      <w:r w:rsidRPr="004676F5">
        <w:rPr>
          <w:i/>
          <w:lang w:val="de-DE"/>
        </w:rPr>
        <w:t xml:space="preserve">XV.130/2 eingefügt durch </w:t>
      </w:r>
      <w:r w:rsidR="00BE0A56" w:rsidRPr="004676F5">
        <w:rPr>
          <w:i/>
          <w:lang w:val="de-DE"/>
        </w:rPr>
        <w:t>Art. </w:t>
      </w:r>
      <w:r w:rsidRPr="004676F5">
        <w:rPr>
          <w:i/>
          <w:lang w:val="de-DE"/>
        </w:rPr>
        <w:t>18 des G. vom 19. April 2014 (II) (B.S. vom 12. Juni 2014)]</w:t>
      </w:r>
    </w:p>
    <w:p w14:paraId="1ACABBFF" w14:textId="77777777" w:rsidR="008F46A1" w:rsidRPr="004676F5" w:rsidRDefault="008F46A1" w:rsidP="008F46A1">
      <w:pPr>
        <w:ind w:firstLine="708"/>
        <w:jc w:val="both"/>
        <w:rPr>
          <w:lang w:val="de-DE"/>
        </w:rPr>
      </w:pPr>
      <w:r w:rsidRPr="004676F5">
        <w:rPr>
          <w:lang w:val="de-DE"/>
        </w:rPr>
        <w:t xml:space="preserve"> </w:t>
      </w:r>
    </w:p>
    <w:p w14:paraId="6E9AD4C4" w14:textId="77777777" w:rsidR="008F46A1" w:rsidRPr="004676F5" w:rsidRDefault="008F46A1" w:rsidP="008F46A1">
      <w:pPr>
        <w:ind w:firstLine="708"/>
        <w:jc w:val="both"/>
        <w:rPr>
          <w:lang w:val="de-DE"/>
        </w:rPr>
      </w:pPr>
    </w:p>
    <w:p w14:paraId="44E146B5" w14:textId="6B2257F3" w:rsidR="008F46A1" w:rsidRPr="004676F5" w:rsidRDefault="008F46A1" w:rsidP="008F46A1">
      <w:pPr>
        <w:ind w:firstLine="708"/>
        <w:jc w:val="both"/>
        <w:rPr>
          <w:lang w:val="de-DE"/>
        </w:rPr>
      </w:pPr>
      <w:r w:rsidRPr="004676F5">
        <w:rPr>
          <w:lang w:val="de-DE"/>
        </w:rPr>
        <w:t>[</w:t>
      </w:r>
      <w:r w:rsidR="00BE0A56" w:rsidRPr="004676F5">
        <w:rPr>
          <w:b/>
          <w:lang w:val="de-DE"/>
        </w:rPr>
        <w:t>Art. </w:t>
      </w:r>
      <w:r w:rsidRPr="004676F5">
        <w:rPr>
          <w:b/>
          <w:lang w:val="de-DE"/>
        </w:rPr>
        <w:t>XV.130/3</w:t>
      </w:r>
      <w:r w:rsidRPr="004676F5">
        <w:rPr>
          <w:lang w:val="de-DE"/>
        </w:rPr>
        <w:t> </w:t>
      </w:r>
      <w:r w:rsidR="005B7A5C" w:rsidRPr="004676F5">
        <w:rPr>
          <w:lang w:val="de-DE"/>
        </w:rPr>
        <w:t>- </w:t>
      </w:r>
      <w:r w:rsidRPr="004676F5">
        <w:rPr>
          <w:lang w:val="de-DE"/>
        </w:rPr>
        <w:t>Bei Verurteilung wegen Verstoß gegen Artikel XV.105 kann der Richter die Einziehung der materiellen Träger, die Gegenstand des Verstoßes sind, anordnen.]</w:t>
      </w:r>
    </w:p>
    <w:p w14:paraId="11626FFD" w14:textId="77777777" w:rsidR="008F46A1" w:rsidRPr="004676F5" w:rsidRDefault="008F46A1" w:rsidP="008F46A1">
      <w:pPr>
        <w:ind w:firstLine="708"/>
        <w:jc w:val="both"/>
        <w:rPr>
          <w:lang w:val="de-DE"/>
        </w:rPr>
      </w:pPr>
    </w:p>
    <w:p w14:paraId="086EF569" w14:textId="763C3947" w:rsidR="008F46A1" w:rsidRPr="004676F5" w:rsidRDefault="008F46A1" w:rsidP="008F46A1">
      <w:pPr>
        <w:jc w:val="both"/>
        <w:rPr>
          <w:i/>
          <w:lang w:val="de-DE"/>
        </w:rPr>
      </w:pPr>
      <w:r w:rsidRPr="004676F5">
        <w:rPr>
          <w:i/>
          <w:lang w:val="de-DE"/>
        </w:rPr>
        <w:t>[</w:t>
      </w:r>
      <w:r w:rsidR="00BE0A56" w:rsidRPr="004676F5">
        <w:rPr>
          <w:i/>
          <w:lang w:val="de-DE"/>
        </w:rPr>
        <w:t>Art. </w:t>
      </w:r>
      <w:r w:rsidRPr="004676F5">
        <w:rPr>
          <w:i/>
          <w:lang w:val="de-DE"/>
        </w:rPr>
        <w:t xml:space="preserve">XV.130/3 eingefügt durch </w:t>
      </w:r>
      <w:r w:rsidR="00BE0A56" w:rsidRPr="004676F5">
        <w:rPr>
          <w:i/>
          <w:lang w:val="de-DE"/>
        </w:rPr>
        <w:t>Art. </w:t>
      </w:r>
      <w:r w:rsidRPr="004676F5">
        <w:rPr>
          <w:i/>
          <w:lang w:val="de-DE"/>
        </w:rPr>
        <w:t>19 des G. vom 19. April 2014 (II) (B.S. vom 12. Juni 2014)]</w:t>
      </w:r>
    </w:p>
    <w:p w14:paraId="23C96EF9" w14:textId="77777777" w:rsidR="008F46A1" w:rsidRPr="004676F5" w:rsidRDefault="008F46A1" w:rsidP="008F46A1">
      <w:pPr>
        <w:jc w:val="both"/>
        <w:rPr>
          <w:lang w:val="de-DE"/>
        </w:rPr>
      </w:pPr>
    </w:p>
    <w:p w14:paraId="01B31848" w14:textId="77777777" w:rsidR="008F46A1" w:rsidRPr="004676F5" w:rsidRDefault="008F46A1" w:rsidP="008F46A1">
      <w:pPr>
        <w:ind w:firstLine="708"/>
        <w:jc w:val="both"/>
        <w:rPr>
          <w:lang w:val="de-DE"/>
        </w:rPr>
      </w:pPr>
    </w:p>
    <w:p w14:paraId="0DEFAFD1" w14:textId="77777777" w:rsidR="00252049" w:rsidRPr="004676F5" w:rsidRDefault="00252049">
      <w:pPr>
        <w:rPr>
          <w:lang w:val="de-DE"/>
        </w:rPr>
      </w:pPr>
      <w:r w:rsidRPr="004676F5">
        <w:rPr>
          <w:lang w:val="de-DE"/>
        </w:rPr>
        <w:br w:type="page"/>
      </w:r>
    </w:p>
    <w:p w14:paraId="4EB7431E" w14:textId="6D667050" w:rsidR="008F46A1" w:rsidRPr="004676F5" w:rsidRDefault="008F46A1" w:rsidP="008F46A1">
      <w:pPr>
        <w:ind w:firstLine="708"/>
        <w:jc w:val="both"/>
        <w:rPr>
          <w:lang w:val="de-DE"/>
        </w:rPr>
      </w:pPr>
      <w:r w:rsidRPr="004676F5">
        <w:rPr>
          <w:lang w:val="de-DE"/>
        </w:rPr>
        <w:lastRenderedPageBreak/>
        <w:t>[</w:t>
      </w:r>
      <w:r w:rsidR="00BE0A56" w:rsidRPr="004676F5">
        <w:rPr>
          <w:b/>
          <w:lang w:val="de-DE"/>
        </w:rPr>
        <w:t>Art. </w:t>
      </w:r>
      <w:r w:rsidRPr="004676F5">
        <w:rPr>
          <w:b/>
          <w:lang w:val="de-DE"/>
        </w:rPr>
        <w:t>XV.130/4 </w:t>
      </w:r>
      <w:r w:rsidR="005B7A5C" w:rsidRPr="004676F5">
        <w:rPr>
          <w:lang w:val="de-DE"/>
        </w:rPr>
        <w:t>- </w:t>
      </w:r>
      <w:r w:rsidRPr="004676F5">
        <w:rPr>
          <w:lang w:val="de-DE"/>
        </w:rPr>
        <w:t>In Abweichung von Artikel 43 des Strafgesetzbuches liegt es im Ermessen des Gerichts, ob bei der Verurteilung aufgrund eines der in Artikel XV.112 erwähnten Verstöße ebenfalls die Sondereinziehung anzuordnen ist. Vorliegende Bestimmung findet keine Anwendung bei Rückfall wie in Artikel XV.72 erwähnt.]</w:t>
      </w:r>
    </w:p>
    <w:p w14:paraId="6796C23F" w14:textId="77777777" w:rsidR="008F46A1" w:rsidRPr="004676F5" w:rsidRDefault="008F46A1" w:rsidP="008F46A1">
      <w:pPr>
        <w:ind w:firstLine="708"/>
        <w:jc w:val="both"/>
        <w:rPr>
          <w:lang w:val="de-DE"/>
        </w:rPr>
      </w:pPr>
    </w:p>
    <w:p w14:paraId="1DA6CE65" w14:textId="3AE459D0" w:rsidR="008F46A1" w:rsidRPr="004676F5" w:rsidRDefault="008F46A1" w:rsidP="008F46A1">
      <w:pPr>
        <w:jc w:val="both"/>
        <w:rPr>
          <w:i/>
          <w:lang w:val="de-DE"/>
        </w:rPr>
      </w:pPr>
      <w:r w:rsidRPr="004676F5">
        <w:rPr>
          <w:i/>
          <w:lang w:val="de-DE"/>
        </w:rPr>
        <w:t>[</w:t>
      </w:r>
      <w:r w:rsidR="00BE0A56" w:rsidRPr="004676F5">
        <w:rPr>
          <w:i/>
          <w:lang w:val="de-DE"/>
        </w:rPr>
        <w:t>Art. </w:t>
      </w:r>
      <w:r w:rsidRPr="004676F5">
        <w:rPr>
          <w:i/>
          <w:lang w:val="de-DE"/>
        </w:rPr>
        <w:t xml:space="preserve">XV.130/4 eingefügt durch </w:t>
      </w:r>
      <w:r w:rsidR="00BE0A56" w:rsidRPr="004676F5">
        <w:rPr>
          <w:i/>
          <w:lang w:val="de-DE"/>
        </w:rPr>
        <w:t>Art. </w:t>
      </w:r>
      <w:r w:rsidRPr="004676F5">
        <w:rPr>
          <w:i/>
          <w:lang w:val="de-DE"/>
        </w:rPr>
        <w:t>20 des G. vom 19. April 2014 (II) (B.S. vom 12. Juni 2014)]</w:t>
      </w:r>
    </w:p>
    <w:p w14:paraId="2348B490" w14:textId="77777777" w:rsidR="008F46A1" w:rsidRPr="004676F5" w:rsidRDefault="008F46A1" w:rsidP="008F46A1">
      <w:pPr>
        <w:jc w:val="both"/>
        <w:rPr>
          <w:lang w:val="de-DE"/>
        </w:rPr>
      </w:pPr>
    </w:p>
    <w:p w14:paraId="7907BB6A" w14:textId="77777777" w:rsidR="00252049" w:rsidRPr="004676F5" w:rsidRDefault="00252049" w:rsidP="008F46A1">
      <w:pPr>
        <w:jc w:val="both"/>
        <w:rPr>
          <w:lang w:val="de-DE"/>
        </w:rPr>
      </w:pPr>
    </w:p>
    <w:p w14:paraId="6090B8DB" w14:textId="0139BE32" w:rsidR="00252049" w:rsidRPr="004676F5" w:rsidRDefault="00252049" w:rsidP="00252049">
      <w:pPr>
        <w:jc w:val="both"/>
        <w:rPr>
          <w:sz w:val="20"/>
          <w:szCs w:val="20"/>
          <w:lang w:val="de-DE"/>
        </w:rPr>
      </w:pPr>
      <w:r w:rsidRPr="004676F5">
        <w:rPr>
          <w:sz w:val="20"/>
          <w:szCs w:val="20"/>
          <w:lang w:val="de-DE"/>
        </w:rPr>
        <w:t>Ab dem 8. April 2026 (gemäß Art. 38 des G. vom 29. Februar 2024</w:t>
      </w:r>
      <w:r w:rsidR="00CE5BB7" w:rsidRPr="004676F5">
        <w:rPr>
          <w:sz w:val="20"/>
          <w:szCs w:val="20"/>
          <w:lang w:val="de-DE"/>
        </w:rPr>
        <w:t> </w:t>
      </w:r>
      <w:r w:rsidR="00CE5BB7" w:rsidRPr="004676F5">
        <w:rPr>
          <w:i/>
          <w:iCs/>
          <w:sz w:val="20"/>
          <w:szCs w:val="20"/>
          <w:lang w:val="de-DE"/>
        </w:rPr>
        <w:t>(I)</w:t>
      </w:r>
      <w:r w:rsidRPr="004676F5">
        <w:rPr>
          <w:sz w:val="20"/>
          <w:szCs w:val="20"/>
          <w:lang w:val="de-DE"/>
        </w:rPr>
        <w:t xml:space="preserve"> (B.S. vom 8. April 2024)) lautet Art. XV.130/4 wie folgt:</w:t>
      </w:r>
    </w:p>
    <w:p w14:paraId="2B10A557" w14:textId="77777777" w:rsidR="00252049" w:rsidRPr="004676F5" w:rsidRDefault="00252049" w:rsidP="00252049">
      <w:pPr>
        <w:rPr>
          <w:sz w:val="20"/>
          <w:szCs w:val="20"/>
          <w:lang w:val="de-DE"/>
        </w:rPr>
      </w:pPr>
    </w:p>
    <w:p w14:paraId="703AD61A" w14:textId="427F5802" w:rsidR="00252049" w:rsidRPr="004676F5" w:rsidRDefault="00252049" w:rsidP="00252049">
      <w:pPr>
        <w:jc w:val="both"/>
        <w:rPr>
          <w:sz w:val="20"/>
          <w:szCs w:val="20"/>
          <w:lang w:val="de-DE"/>
        </w:rPr>
      </w:pPr>
      <w:r w:rsidRPr="004676F5">
        <w:rPr>
          <w:sz w:val="20"/>
          <w:szCs w:val="20"/>
          <w:lang w:val="de-DE"/>
        </w:rPr>
        <w:t>"[</w:t>
      </w:r>
      <w:r w:rsidRPr="004676F5">
        <w:rPr>
          <w:bCs/>
          <w:sz w:val="20"/>
          <w:szCs w:val="20"/>
          <w:lang w:val="de-DE"/>
        </w:rPr>
        <w:t>Art. XV.130/4</w:t>
      </w:r>
      <w:r w:rsidRPr="004676F5">
        <w:rPr>
          <w:b/>
          <w:sz w:val="20"/>
          <w:szCs w:val="20"/>
          <w:lang w:val="de-DE"/>
        </w:rPr>
        <w:t> </w:t>
      </w:r>
      <w:r w:rsidRPr="004676F5">
        <w:rPr>
          <w:sz w:val="20"/>
          <w:szCs w:val="20"/>
          <w:lang w:val="de-DE"/>
        </w:rPr>
        <w:t>- In Abweichung [von Artikel 53 § 1] des Strafgesetzbuches liegt es im Ermessen des Gerichts, ob bei der Verurteilung aufgrund eines der in Artikel XV.112 erwähnten Verstöße ebenfalls die Sondereinziehung anzuordnen ist. Vorliegende Bestimmung findet keine Anwendung bei Rückfall wie in Artikel XV.72 erwähnt.]</w:t>
      </w:r>
    </w:p>
    <w:p w14:paraId="1C34A4B3" w14:textId="77777777" w:rsidR="00252049" w:rsidRPr="004676F5" w:rsidRDefault="00252049" w:rsidP="00252049">
      <w:pPr>
        <w:jc w:val="both"/>
        <w:rPr>
          <w:sz w:val="20"/>
          <w:szCs w:val="20"/>
          <w:lang w:val="de-DE"/>
        </w:rPr>
      </w:pPr>
    </w:p>
    <w:p w14:paraId="7EE00A09" w14:textId="3B06F3C8" w:rsidR="00252049" w:rsidRPr="004676F5" w:rsidRDefault="00252049" w:rsidP="00252049">
      <w:pPr>
        <w:jc w:val="both"/>
        <w:rPr>
          <w:lang w:val="de-DE"/>
        </w:rPr>
      </w:pPr>
      <w:r w:rsidRPr="004676F5">
        <w:rPr>
          <w:i/>
          <w:sz w:val="20"/>
          <w:szCs w:val="20"/>
          <w:lang w:val="de-DE"/>
        </w:rPr>
        <w:t>[Art. XV.130/4 eingefügt durch Art. 20 des G. vom 19. April 2014 (II) (B.S. vom 12. Juni 2014) und abgeändert durch Art. 33</w:t>
      </w:r>
      <w:r w:rsidRPr="004676F5">
        <w:rPr>
          <w:i/>
          <w:iCs/>
          <w:sz w:val="20"/>
          <w:szCs w:val="20"/>
          <w:lang w:val="de-DE"/>
        </w:rPr>
        <w:t xml:space="preserve"> des G. vom 29. Februar 2024</w:t>
      </w:r>
      <w:r w:rsidR="00CE5BB7" w:rsidRPr="004676F5">
        <w:rPr>
          <w:i/>
          <w:iCs/>
          <w:sz w:val="20"/>
          <w:szCs w:val="20"/>
          <w:lang w:val="de-DE"/>
        </w:rPr>
        <w:t> (I)</w:t>
      </w:r>
      <w:r w:rsidRPr="004676F5">
        <w:rPr>
          <w:i/>
          <w:iCs/>
          <w:sz w:val="20"/>
          <w:szCs w:val="20"/>
          <w:lang w:val="de-DE"/>
        </w:rPr>
        <w:t xml:space="preserve"> (B.S. vom 8. April 2024)]</w:t>
      </w:r>
      <w:r w:rsidRPr="004676F5">
        <w:rPr>
          <w:sz w:val="20"/>
          <w:szCs w:val="20"/>
          <w:lang w:val="de-DE"/>
        </w:rPr>
        <w:t>"</w:t>
      </w:r>
    </w:p>
    <w:p w14:paraId="3743B0CF" w14:textId="77777777" w:rsidR="008F46A1" w:rsidRPr="004676F5" w:rsidRDefault="008F46A1">
      <w:pPr>
        <w:rPr>
          <w:i/>
          <w:lang w:val="de-DE"/>
        </w:rPr>
      </w:pPr>
    </w:p>
    <w:p w14:paraId="0A05EC66" w14:textId="77777777" w:rsidR="00252049" w:rsidRPr="004676F5" w:rsidRDefault="00252049" w:rsidP="00F14946">
      <w:pPr>
        <w:jc w:val="both"/>
        <w:rPr>
          <w:i/>
          <w:lang w:val="de-DE"/>
        </w:rPr>
      </w:pPr>
    </w:p>
    <w:p w14:paraId="2CB3163F" w14:textId="6A81A0E2" w:rsidR="00F14946" w:rsidRPr="004676F5" w:rsidRDefault="00F14946" w:rsidP="00F14946">
      <w:pPr>
        <w:jc w:val="both"/>
        <w:rPr>
          <w:lang w:val="de-DE"/>
        </w:rPr>
      </w:pPr>
      <w:r w:rsidRPr="004676F5">
        <w:rPr>
          <w:i/>
          <w:lang w:val="de-DE"/>
        </w:rPr>
        <w:tab/>
      </w:r>
      <w:r w:rsidRPr="004676F5">
        <w:rPr>
          <w:iCs/>
          <w:lang w:val="de-DE"/>
        </w:rPr>
        <w:t>[</w:t>
      </w:r>
      <w:r w:rsidRPr="004676F5">
        <w:rPr>
          <w:b/>
          <w:bCs/>
          <w:lang w:val="de-DE"/>
        </w:rPr>
        <w:t>Art. XV.130/5</w:t>
      </w:r>
      <w:r w:rsidRPr="004676F5">
        <w:rPr>
          <w:lang w:val="de-DE"/>
        </w:rPr>
        <w:t> </w:t>
      </w:r>
      <w:r w:rsidR="005B7A5C" w:rsidRPr="004676F5">
        <w:rPr>
          <w:lang w:val="de-DE"/>
        </w:rPr>
        <w:t>- </w:t>
      </w:r>
      <w:r w:rsidRPr="004676F5">
        <w:rPr>
          <w:lang w:val="de-DE"/>
        </w:rPr>
        <w:t>Bei Verurteilung wegen Verstoß gegen Buch XIX wird die in Artikel 42 Nr. 3 des Strafgesetzbuches erwähnte Sondereinziehung immer ausgesprochen.</w:t>
      </w:r>
      <w:r w:rsidRPr="004676F5">
        <w:rPr>
          <w:iCs/>
          <w:lang w:val="de-DE"/>
        </w:rPr>
        <w:t>]</w:t>
      </w:r>
    </w:p>
    <w:p w14:paraId="3583065C" w14:textId="77777777" w:rsidR="00F14946" w:rsidRPr="004676F5" w:rsidRDefault="00F14946" w:rsidP="00F14946">
      <w:pPr>
        <w:jc w:val="both"/>
        <w:rPr>
          <w:iCs/>
          <w:lang w:val="de-DE"/>
        </w:rPr>
      </w:pPr>
    </w:p>
    <w:p w14:paraId="6E30E277" w14:textId="039981F1" w:rsidR="00F14946" w:rsidRPr="004676F5" w:rsidRDefault="00F14946" w:rsidP="00F14946">
      <w:pPr>
        <w:jc w:val="both"/>
        <w:rPr>
          <w:i/>
          <w:iCs/>
          <w:lang w:val="de-DE"/>
        </w:rPr>
      </w:pPr>
      <w:r w:rsidRPr="004676F5">
        <w:rPr>
          <w:i/>
          <w:iCs/>
          <w:lang w:val="de-DE"/>
        </w:rPr>
        <w:t>[Art. XV.130/5 eingefügt durch Art. 13 des G. vom 4. Mai 2023 (B.S. vom 23. Mai 2023)]</w:t>
      </w:r>
    </w:p>
    <w:p w14:paraId="228E5A24" w14:textId="77777777" w:rsidR="00F14946" w:rsidRPr="004676F5" w:rsidRDefault="00F14946" w:rsidP="00F14946">
      <w:pPr>
        <w:jc w:val="both"/>
        <w:rPr>
          <w:iCs/>
          <w:lang w:val="de-DE"/>
        </w:rPr>
      </w:pPr>
    </w:p>
    <w:p w14:paraId="5FA4FAD3" w14:textId="77777777" w:rsidR="00F14946" w:rsidRPr="004676F5" w:rsidRDefault="00F14946">
      <w:pPr>
        <w:rPr>
          <w:iCs/>
          <w:lang w:val="de-DE"/>
        </w:rPr>
      </w:pPr>
    </w:p>
    <w:p w14:paraId="3AE2CD64" w14:textId="5F3A1C3A" w:rsidR="00BA2266" w:rsidRPr="004676F5" w:rsidRDefault="00BA2266" w:rsidP="00BA2266">
      <w:pPr>
        <w:jc w:val="center"/>
        <w:rPr>
          <w:lang w:val="de-DE"/>
        </w:rPr>
      </w:pPr>
      <w:r w:rsidRPr="004676F5">
        <w:rPr>
          <w:i/>
          <w:lang w:val="de-DE"/>
        </w:rPr>
        <w:t>Abschnitt 3 </w:t>
      </w:r>
      <w:r w:rsidR="005B7A5C" w:rsidRPr="004676F5">
        <w:rPr>
          <w:i/>
          <w:lang w:val="de-DE"/>
        </w:rPr>
        <w:t>- </w:t>
      </w:r>
      <w:r w:rsidRPr="004676F5">
        <w:rPr>
          <w:lang w:val="de-DE"/>
        </w:rPr>
        <w:t>Anschlag des Urteils oder des Entscheids</w:t>
      </w:r>
    </w:p>
    <w:p w14:paraId="29EE4727" w14:textId="77777777" w:rsidR="00BA2266" w:rsidRPr="004676F5" w:rsidRDefault="00BA2266" w:rsidP="00BA2266">
      <w:pPr>
        <w:jc w:val="both"/>
        <w:rPr>
          <w:lang w:val="de-DE"/>
        </w:rPr>
      </w:pPr>
    </w:p>
    <w:p w14:paraId="352C6422" w14:textId="77777777" w:rsidR="00EB6EE0" w:rsidRPr="004676F5" w:rsidRDefault="00EB6EE0" w:rsidP="00BA2266">
      <w:pPr>
        <w:jc w:val="both"/>
        <w:rPr>
          <w:lang w:val="de-DE"/>
        </w:rPr>
      </w:pPr>
    </w:p>
    <w:p w14:paraId="030A3257" w14:textId="338E7D09" w:rsidR="00AD327F" w:rsidRPr="004676F5" w:rsidRDefault="00BE0A56" w:rsidP="00BA2266">
      <w:pPr>
        <w:ind w:firstLine="708"/>
        <w:jc w:val="both"/>
        <w:rPr>
          <w:lang w:val="de-DE"/>
        </w:rPr>
      </w:pPr>
      <w:r w:rsidRPr="004676F5">
        <w:rPr>
          <w:b/>
          <w:lang w:val="de-DE"/>
        </w:rPr>
        <w:t>Art. </w:t>
      </w:r>
      <w:r w:rsidR="00BA2266" w:rsidRPr="004676F5">
        <w:rPr>
          <w:b/>
          <w:lang w:val="de-DE"/>
        </w:rPr>
        <w:t>XV.131</w:t>
      </w:r>
      <w:r w:rsidR="00BA2266" w:rsidRPr="004676F5">
        <w:rPr>
          <w:lang w:val="de-DE"/>
        </w:rPr>
        <w:t> </w:t>
      </w:r>
      <w:r w:rsidR="005B7A5C" w:rsidRPr="004676F5">
        <w:rPr>
          <w:lang w:val="de-DE"/>
        </w:rPr>
        <w:t>- </w:t>
      </w:r>
      <w:r w:rsidR="00BA2266" w:rsidRPr="004676F5">
        <w:rPr>
          <w:lang w:val="de-DE"/>
        </w:rPr>
        <w:t xml:space="preserve">Bei Verurteilung wegen Verstoßes gegen </w:t>
      </w:r>
      <w:r w:rsidR="008F46A1" w:rsidRPr="004676F5">
        <w:rPr>
          <w:lang w:val="de-DE"/>
        </w:rPr>
        <w:t xml:space="preserve">[Titel 3 Kapitel 2 Abschnitt 8 des vorliegenden Buches und] </w:t>
      </w:r>
      <w:r w:rsidR="00BA2266" w:rsidRPr="004676F5">
        <w:rPr>
          <w:lang w:val="de-DE"/>
        </w:rPr>
        <w:t>die Bücher </w:t>
      </w:r>
      <w:r w:rsidR="00492D11" w:rsidRPr="004676F5">
        <w:rPr>
          <w:lang w:val="de-DE"/>
        </w:rPr>
        <w:t xml:space="preserve">[VI,] </w:t>
      </w:r>
      <w:r w:rsidR="009E7AF7" w:rsidRPr="004676F5">
        <w:rPr>
          <w:lang w:val="de-DE"/>
        </w:rPr>
        <w:t xml:space="preserve">[VII Titel 4 Kapitel 1,] </w:t>
      </w:r>
      <w:r w:rsidR="00DF2660" w:rsidRPr="004676F5">
        <w:rPr>
          <w:lang w:val="de-DE"/>
        </w:rPr>
        <w:t>[</w:t>
      </w:r>
      <w:r w:rsidR="00201B7E" w:rsidRPr="004676F5">
        <w:rPr>
          <w:lang w:val="de-DE"/>
        </w:rPr>
        <w:t>...</w:t>
      </w:r>
      <w:r w:rsidR="00DF2660" w:rsidRPr="004676F5">
        <w:rPr>
          <w:lang w:val="de-DE"/>
        </w:rPr>
        <w:t xml:space="preserve">] </w:t>
      </w:r>
      <w:r w:rsidR="00BA2266" w:rsidRPr="004676F5">
        <w:rPr>
          <w:lang w:val="de-DE"/>
        </w:rPr>
        <w:t>VIII und IX können die Gerichtshöfe und Gerichte anordnen, dass auf Kosten des Zuwiderhandelnden das Urteil, der Entscheid oder die von ihnen erstellte Zusammenfassung während des von ihnen festgestellten Zeitraums sowohl außerhalb als auch innerhalb der Niederlassung des Zuwider</w:t>
      </w:r>
      <w:r w:rsidR="008F46A1" w:rsidRPr="004676F5">
        <w:rPr>
          <w:lang w:val="de-DE"/>
        </w:rPr>
        <w:softHyphen/>
      </w:r>
      <w:r w:rsidR="00BA2266" w:rsidRPr="004676F5">
        <w:rPr>
          <w:lang w:val="de-DE"/>
        </w:rPr>
        <w:t>handelnden angeschlagen wird und in Zeitungen oder sonst irgendwie veröffentlicht wird.]</w:t>
      </w:r>
    </w:p>
    <w:p w14:paraId="3939D9BF" w14:textId="77777777" w:rsidR="008F46A1" w:rsidRPr="004676F5" w:rsidRDefault="008F46A1" w:rsidP="00492D11">
      <w:pPr>
        <w:jc w:val="both"/>
        <w:rPr>
          <w:lang w:val="de-DE"/>
        </w:rPr>
      </w:pPr>
    </w:p>
    <w:p w14:paraId="7B633952" w14:textId="67AA4880" w:rsidR="00492D11" w:rsidRPr="004676F5" w:rsidRDefault="008F46A1" w:rsidP="00492D11">
      <w:pPr>
        <w:jc w:val="both"/>
        <w:rPr>
          <w:i/>
          <w:lang w:val="de-DE"/>
        </w:rPr>
      </w:pPr>
      <w:r w:rsidRPr="004676F5">
        <w:rPr>
          <w:i/>
          <w:lang w:val="de-DE"/>
        </w:rPr>
        <w:t>[</w:t>
      </w:r>
      <w:r w:rsidR="00BE0A56" w:rsidRPr="004676F5">
        <w:rPr>
          <w:i/>
          <w:lang w:val="de-DE"/>
        </w:rPr>
        <w:t>Art. </w:t>
      </w:r>
      <w:r w:rsidR="00492D11" w:rsidRPr="004676F5">
        <w:rPr>
          <w:i/>
          <w:lang w:val="de-DE"/>
        </w:rPr>
        <w:t xml:space="preserve">XV.131 abgeändert durch </w:t>
      </w:r>
      <w:r w:rsidR="00BE0A56" w:rsidRPr="004676F5">
        <w:rPr>
          <w:i/>
          <w:lang w:val="de-DE"/>
        </w:rPr>
        <w:t>Art. </w:t>
      </w:r>
      <w:r w:rsidR="00492D11" w:rsidRPr="004676F5">
        <w:rPr>
          <w:i/>
          <w:lang w:val="de-DE"/>
        </w:rPr>
        <w:t>6 des G. vom 21. Dezember 2013 (B.S. vom 30. Dezember 2013, Err. vom 20. Januar 2014)</w:t>
      </w:r>
      <w:r w:rsidRPr="004676F5">
        <w:rPr>
          <w:i/>
          <w:lang w:val="de-DE"/>
        </w:rPr>
        <w:t>,</w:t>
      </w:r>
      <w:r w:rsidR="009E7AF7" w:rsidRPr="004676F5">
        <w:rPr>
          <w:i/>
          <w:lang w:val="de-DE"/>
        </w:rPr>
        <w:t xml:space="preserve"> </w:t>
      </w:r>
      <w:r w:rsidR="00BE0A56" w:rsidRPr="004676F5">
        <w:rPr>
          <w:i/>
          <w:lang w:val="de-DE"/>
        </w:rPr>
        <w:t>Art. </w:t>
      </w:r>
      <w:r w:rsidR="009E7AF7" w:rsidRPr="004676F5">
        <w:rPr>
          <w:i/>
          <w:lang w:val="de-DE"/>
        </w:rPr>
        <w:t>18 des G. vom 19. April 2014</w:t>
      </w:r>
      <w:r w:rsidR="004808C3" w:rsidRPr="004676F5">
        <w:rPr>
          <w:i/>
          <w:lang w:val="de-DE"/>
        </w:rPr>
        <w:t> (I)</w:t>
      </w:r>
      <w:r w:rsidR="009E7AF7" w:rsidRPr="004676F5">
        <w:rPr>
          <w:i/>
          <w:lang w:val="de-DE"/>
        </w:rPr>
        <w:t xml:space="preserve"> (B.S. vom 28. Mai 2014)</w:t>
      </w:r>
      <w:r w:rsidR="00DF2660" w:rsidRPr="004676F5">
        <w:rPr>
          <w:i/>
          <w:lang w:val="de-DE"/>
        </w:rPr>
        <w:t>,</w:t>
      </w:r>
      <w:r w:rsidRPr="004676F5">
        <w:rPr>
          <w:i/>
          <w:lang w:val="de-DE"/>
        </w:rPr>
        <w:t xml:space="preserve"> </w:t>
      </w:r>
      <w:r w:rsidR="00BE0A56" w:rsidRPr="004676F5">
        <w:rPr>
          <w:i/>
          <w:lang w:val="de-DE"/>
        </w:rPr>
        <w:t>Art. </w:t>
      </w:r>
      <w:r w:rsidR="00DF2660" w:rsidRPr="004676F5">
        <w:rPr>
          <w:i/>
          <w:lang w:val="de-DE"/>
        </w:rPr>
        <w:t>6 des G. vom 15. Mai 2014 (II) (B.S. vom 30. Mai 2014)</w:t>
      </w:r>
      <w:r w:rsidR="00201B7E" w:rsidRPr="004676F5">
        <w:rPr>
          <w:i/>
          <w:lang w:val="de-DE"/>
        </w:rPr>
        <w:t>,</w:t>
      </w:r>
      <w:r w:rsidR="00DF2660" w:rsidRPr="004676F5">
        <w:rPr>
          <w:i/>
          <w:lang w:val="de-DE"/>
        </w:rPr>
        <w:t xml:space="preserve"> </w:t>
      </w:r>
      <w:r w:rsidR="00BE0A56" w:rsidRPr="004676F5">
        <w:rPr>
          <w:i/>
          <w:lang w:val="de-DE"/>
        </w:rPr>
        <w:t>Art. </w:t>
      </w:r>
      <w:r w:rsidR="00DF2660" w:rsidRPr="004676F5">
        <w:rPr>
          <w:i/>
          <w:lang w:val="de-DE"/>
        </w:rPr>
        <w:t>21 des G. vom 19. April 2014 (II) (B.S. vom 12. Juni 2014)</w:t>
      </w:r>
      <w:r w:rsidR="00201B7E" w:rsidRPr="004676F5">
        <w:rPr>
          <w:i/>
          <w:lang w:val="de-DE"/>
        </w:rPr>
        <w:t xml:space="preserve"> und Art. 210 des G. vom 15. April 2018 (B.S. vom 27. April 2018)</w:t>
      </w:r>
      <w:r w:rsidR="00492D11" w:rsidRPr="004676F5">
        <w:rPr>
          <w:i/>
          <w:lang w:val="de-DE"/>
        </w:rPr>
        <w:t>]</w:t>
      </w:r>
    </w:p>
    <w:p w14:paraId="289AF3D4" w14:textId="77777777" w:rsidR="006C2834" w:rsidRPr="004676F5" w:rsidRDefault="006C2834" w:rsidP="00473416">
      <w:pPr>
        <w:jc w:val="both"/>
        <w:rPr>
          <w:lang w:val="de-DE"/>
        </w:rPr>
      </w:pPr>
    </w:p>
    <w:p w14:paraId="5B88DB5D" w14:textId="77777777" w:rsidR="009E7AF7" w:rsidRPr="004676F5" w:rsidRDefault="009E7AF7">
      <w:pPr>
        <w:rPr>
          <w:lang w:val="de-DE"/>
        </w:rPr>
      </w:pPr>
    </w:p>
    <w:p w14:paraId="3CE6CC21" w14:textId="769C41E4" w:rsidR="003138E7" w:rsidRPr="004676F5" w:rsidRDefault="003138E7" w:rsidP="003138E7">
      <w:pPr>
        <w:jc w:val="center"/>
        <w:rPr>
          <w:lang w:val="de-DE"/>
        </w:rPr>
      </w:pPr>
      <w:r w:rsidRPr="004676F5">
        <w:rPr>
          <w:lang w:val="de-DE"/>
        </w:rPr>
        <w:t>[</w:t>
      </w:r>
      <w:r w:rsidRPr="004676F5">
        <w:rPr>
          <w:i/>
          <w:lang w:val="de-DE"/>
        </w:rPr>
        <w:t>Abschnitt 4 </w:t>
      </w:r>
      <w:r w:rsidR="005B7A5C" w:rsidRPr="004676F5">
        <w:rPr>
          <w:lang w:val="de-DE"/>
        </w:rPr>
        <w:t>- </w:t>
      </w:r>
      <w:r w:rsidRPr="004676F5">
        <w:rPr>
          <w:lang w:val="de-DE"/>
        </w:rPr>
        <w:t>Endgültige oder zeitweilige Schließung</w:t>
      </w:r>
    </w:p>
    <w:p w14:paraId="7D31F47D" w14:textId="77777777" w:rsidR="003138E7" w:rsidRPr="004676F5" w:rsidRDefault="003138E7" w:rsidP="003138E7">
      <w:pPr>
        <w:ind w:firstLine="708"/>
        <w:jc w:val="both"/>
        <w:rPr>
          <w:lang w:val="de-DE"/>
        </w:rPr>
      </w:pPr>
    </w:p>
    <w:p w14:paraId="007D4BD6" w14:textId="6BF715BD" w:rsidR="003138E7" w:rsidRPr="004676F5" w:rsidRDefault="003138E7" w:rsidP="003138E7">
      <w:pPr>
        <w:jc w:val="both"/>
        <w:rPr>
          <w:i/>
          <w:lang w:val="de-DE"/>
        </w:rPr>
      </w:pPr>
      <w:r w:rsidRPr="004676F5">
        <w:rPr>
          <w:i/>
          <w:lang w:val="de-DE"/>
        </w:rPr>
        <w:t xml:space="preserve">[Abschnitt 4 mit </w:t>
      </w:r>
      <w:r w:rsidR="00BE0A56" w:rsidRPr="004676F5">
        <w:rPr>
          <w:i/>
          <w:lang w:val="de-DE"/>
        </w:rPr>
        <w:t>Art. </w:t>
      </w:r>
      <w:r w:rsidRPr="004676F5">
        <w:rPr>
          <w:i/>
          <w:lang w:val="de-DE"/>
        </w:rPr>
        <w:t xml:space="preserve">XV.131/1 eingefügt durch </w:t>
      </w:r>
      <w:r w:rsidR="00BE0A56" w:rsidRPr="004676F5">
        <w:rPr>
          <w:i/>
          <w:lang w:val="de-DE"/>
        </w:rPr>
        <w:t>Art. </w:t>
      </w:r>
      <w:r w:rsidRPr="004676F5">
        <w:rPr>
          <w:i/>
          <w:lang w:val="de-DE"/>
        </w:rPr>
        <w:t>22 des G. vom 19. April 2014 (II) (B.S. vom 12. Juni 2014)]</w:t>
      </w:r>
    </w:p>
    <w:p w14:paraId="61D2FDEC" w14:textId="77777777" w:rsidR="003138E7" w:rsidRPr="004676F5" w:rsidRDefault="003138E7" w:rsidP="003138E7">
      <w:pPr>
        <w:jc w:val="both"/>
        <w:rPr>
          <w:i/>
          <w:lang w:val="de-DE"/>
        </w:rPr>
      </w:pPr>
    </w:p>
    <w:p w14:paraId="766434E1" w14:textId="77777777" w:rsidR="003138E7" w:rsidRPr="004676F5" w:rsidRDefault="003138E7" w:rsidP="003138E7">
      <w:pPr>
        <w:jc w:val="both"/>
        <w:rPr>
          <w:i/>
          <w:lang w:val="de-DE"/>
        </w:rPr>
      </w:pPr>
    </w:p>
    <w:p w14:paraId="7D4D817D" w14:textId="74BAC99E" w:rsidR="00B22E33" w:rsidRPr="004676F5" w:rsidRDefault="00BE0A56" w:rsidP="003138E7">
      <w:pPr>
        <w:ind w:firstLine="708"/>
        <w:jc w:val="both"/>
        <w:rPr>
          <w:lang w:val="de-DE"/>
        </w:rPr>
      </w:pPr>
      <w:r w:rsidRPr="004676F5">
        <w:rPr>
          <w:b/>
          <w:lang w:val="de-DE"/>
        </w:rPr>
        <w:t>Art. </w:t>
      </w:r>
      <w:r w:rsidR="003138E7" w:rsidRPr="004676F5">
        <w:rPr>
          <w:b/>
          <w:lang w:val="de-DE"/>
        </w:rPr>
        <w:t>XV.131/1</w:t>
      </w:r>
      <w:r w:rsidR="003138E7" w:rsidRPr="004676F5">
        <w:rPr>
          <w:lang w:val="de-DE"/>
        </w:rPr>
        <w:t> </w:t>
      </w:r>
      <w:r w:rsidR="005B7A5C" w:rsidRPr="004676F5">
        <w:rPr>
          <w:lang w:val="de-DE"/>
        </w:rPr>
        <w:t>- </w:t>
      </w:r>
      <w:r w:rsidR="003138E7" w:rsidRPr="004676F5">
        <w:rPr>
          <w:lang w:val="de-DE"/>
        </w:rPr>
        <w:t>Bei Verurteilung wegen Verstoßes gegen Titel 3 Kapitel 2 Abschnitt 8 [oder gegen Artikel XV.91] können die Gerichtshöfe und Gerichte die endgültige oder zeitweilige, voll</w:t>
      </w:r>
      <w:r w:rsidR="003138E7" w:rsidRPr="004676F5">
        <w:rPr>
          <w:lang w:val="de-DE"/>
        </w:rPr>
        <w:softHyphen/>
        <w:t xml:space="preserve">ständige oder teilweise Schließung einer vom Verurteilten betriebenen </w:t>
      </w:r>
      <w:r w:rsidR="003138E7" w:rsidRPr="004676F5">
        <w:rPr>
          <w:lang w:val="de-DE"/>
        </w:rPr>
        <w:lastRenderedPageBreak/>
        <w:t>Niederlassung und ein für den Verurteilten geltendes dauerhaftes oder zeitweiliges Verbot, kommerzielle Tätigkeiten auszuüben, anordnen.]</w:t>
      </w:r>
    </w:p>
    <w:p w14:paraId="216D8C07" w14:textId="77777777" w:rsidR="00B22E33" w:rsidRPr="004676F5" w:rsidRDefault="00B22E33" w:rsidP="00B22E33">
      <w:pPr>
        <w:jc w:val="center"/>
        <w:rPr>
          <w:lang w:val="de-DE"/>
        </w:rPr>
      </w:pPr>
    </w:p>
    <w:p w14:paraId="02A1A683" w14:textId="4A15B8D4" w:rsidR="00A037EB" w:rsidRPr="004676F5" w:rsidRDefault="00B22E33" w:rsidP="004808C3">
      <w:pPr>
        <w:jc w:val="both"/>
        <w:rPr>
          <w:lang w:val="de-DE"/>
        </w:rPr>
      </w:pPr>
      <w:r w:rsidRPr="004676F5">
        <w:rPr>
          <w:i/>
          <w:lang w:val="de-DE"/>
        </w:rPr>
        <w:t>[</w:t>
      </w:r>
      <w:r w:rsidR="00BE0A56" w:rsidRPr="004676F5">
        <w:rPr>
          <w:i/>
          <w:lang w:val="de-DE"/>
        </w:rPr>
        <w:t>Art. </w:t>
      </w:r>
      <w:r w:rsidRPr="004676F5">
        <w:rPr>
          <w:i/>
          <w:lang w:val="de-DE"/>
        </w:rPr>
        <w:t xml:space="preserve">XV.131/1 abgeändert durch </w:t>
      </w:r>
      <w:r w:rsidR="00BE0A56" w:rsidRPr="004676F5">
        <w:rPr>
          <w:i/>
          <w:lang w:val="de-DE"/>
        </w:rPr>
        <w:t>Art. </w:t>
      </w:r>
      <w:r w:rsidRPr="004676F5">
        <w:rPr>
          <w:i/>
          <w:lang w:val="de-DE"/>
        </w:rPr>
        <w:t>19 des G. vom 19. April 2014</w:t>
      </w:r>
      <w:r w:rsidR="004808C3" w:rsidRPr="004676F5">
        <w:rPr>
          <w:i/>
          <w:lang w:val="de-DE"/>
        </w:rPr>
        <w:t> (I)</w:t>
      </w:r>
      <w:r w:rsidRPr="004676F5">
        <w:rPr>
          <w:i/>
          <w:lang w:val="de-DE"/>
        </w:rPr>
        <w:t xml:space="preserve"> (B.S. vom 28. Mai 2014)]</w:t>
      </w:r>
      <w:r w:rsidR="009E7AF7" w:rsidRPr="004676F5">
        <w:rPr>
          <w:lang w:val="de-DE"/>
        </w:rPr>
        <w:t xml:space="preserve"> </w:t>
      </w:r>
    </w:p>
    <w:p w14:paraId="0E7DAB63" w14:textId="77777777" w:rsidR="009E7AF7" w:rsidRPr="004676F5" w:rsidRDefault="009E7AF7" w:rsidP="00A037EB">
      <w:pPr>
        <w:jc w:val="center"/>
        <w:rPr>
          <w:lang w:val="de-DE"/>
        </w:rPr>
      </w:pPr>
    </w:p>
    <w:p w14:paraId="0624A680" w14:textId="77777777" w:rsidR="009E7AF7" w:rsidRPr="004676F5" w:rsidRDefault="009E7AF7" w:rsidP="00A037EB">
      <w:pPr>
        <w:jc w:val="center"/>
        <w:rPr>
          <w:lang w:val="de-DE"/>
        </w:rPr>
      </w:pPr>
    </w:p>
    <w:p w14:paraId="47142317" w14:textId="6E87A060" w:rsidR="003138E7" w:rsidRPr="004676F5" w:rsidRDefault="003138E7" w:rsidP="003138E7">
      <w:pPr>
        <w:jc w:val="center"/>
        <w:rPr>
          <w:lang w:val="de-DE"/>
        </w:rPr>
      </w:pPr>
      <w:r w:rsidRPr="004676F5">
        <w:rPr>
          <w:lang w:val="de-DE"/>
        </w:rPr>
        <w:t>[</w:t>
      </w:r>
      <w:r w:rsidRPr="004676F5">
        <w:rPr>
          <w:i/>
          <w:lang w:val="de-DE"/>
        </w:rPr>
        <w:t>Abschnitt 5 </w:t>
      </w:r>
      <w:r w:rsidR="005B7A5C" w:rsidRPr="004676F5">
        <w:rPr>
          <w:lang w:val="de-DE"/>
        </w:rPr>
        <w:t>- </w:t>
      </w:r>
      <w:r w:rsidRPr="004676F5">
        <w:rPr>
          <w:lang w:val="de-DE"/>
        </w:rPr>
        <w:t>Beschlagnahme der Einnahmen</w:t>
      </w:r>
    </w:p>
    <w:p w14:paraId="6A92F1BC" w14:textId="77777777" w:rsidR="003138E7" w:rsidRPr="004676F5" w:rsidRDefault="003138E7" w:rsidP="003138E7">
      <w:pPr>
        <w:ind w:firstLine="708"/>
        <w:jc w:val="both"/>
        <w:rPr>
          <w:lang w:val="de-DE"/>
        </w:rPr>
      </w:pPr>
    </w:p>
    <w:p w14:paraId="2250A4F9" w14:textId="5B45E046" w:rsidR="003138E7" w:rsidRPr="004676F5" w:rsidRDefault="003138E7" w:rsidP="003138E7">
      <w:pPr>
        <w:jc w:val="both"/>
        <w:rPr>
          <w:i/>
          <w:lang w:val="de-DE"/>
        </w:rPr>
      </w:pPr>
      <w:r w:rsidRPr="004676F5">
        <w:rPr>
          <w:i/>
          <w:lang w:val="de-DE"/>
        </w:rPr>
        <w:t xml:space="preserve">[Abschnitt 5 mit </w:t>
      </w:r>
      <w:r w:rsidR="00BE0A56" w:rsidRPr="004676F5">
        <w:rPr>
          <w:i/>
          <w:lang w:val="de-DE"/>
        </w:rPr>
        <w:t>Art. </w:t>
      </w:r>
      <w:r w:rsidRPr="004676F5">
        <w:rPr>
          <w:i/>
          <w:lang w:val="de-DE"/>
        </w:rPr>
        <w:t xml:space="preserve">XV.131/2 eingefügt durch </w:t>
      </w:r>
      <w:r w:rsidR="00BE0A56" w:rsidRPr="004676F5">
        <w:rPr>
          <w:i/>
          <w:lang w:val="de-DE"/>
        </w:rPr>
        <w:t>Art. </w:t>
      </w:r>
      <w:r w:rsidRPr="004676F5">
        <w:rPr>
          <w:i/>
          <w:lang w:val="de-DE"/>
        </w:rPr>
        <w:t>23 des G. vom 19. April 2014 (II) (B.S. vom 12. Juni 2014)]</w:t>
      </w:r>
    </w:p>
    <w:p w14:paraId="0AD5989C" w14:textId="77777777" w:rsidR="003138E7" w:rsidRPr="004676F5" w:rsidRDefault="003138E7" w:rsidP="003138E7">
      <w:pPr>
        <w:jc w:val="both"/>
        <w:rPr>
          <w:lang w:val="de-DE"/>
        </w:rPr>
      </w:pPr>
    </w:p>
    <w:p w14:paraId="3F4C5C55" w14:textId="77777777" w:rsidR="003138E7" w:rsidRPr="004676F5" w:rsidRDefault="003138E7" w:rsidP="003138E7">
      <w:pPr>
        <w:jc w:val="both"/>
        <w:rPr>
          <w:lang w:val="de-DE"/>
        </w:rPr>
      </w:pPr>
    </w:p>
    <w:p w14:paraId="6F7F038A" w14:textId="4BD624AB" w:rsidR="00B22E33" w:rsidRPr="004676F5" w:rsidRDefault="00BE0A56" w:rsidP="003138E7">
      <w:pPr>
        <w:ind w:firstLine="708"/>
        <w:jc w:val="both"/>
        <w:rPr>
          <w:lang w:val="de-DE"/>
        </w:rPr>
      </w:pPr>
      <w:r w:rsidRPr="004676F5">
        <w:rPr>
          <w:b/>
          <w:lang w:val="de-DE"/>
        </w:rPr>
        <w:t>Art. </w:t>
      </w:r>
      <w:r w:rsidR="003138E7" w:rsidRPr="004676F5">
        <w:rPr>
          <w:b/>
          <w:lang w:val="de-DE"/>
        </w:rPr>
        <w:t>XV.131/2</w:t>
      </w:r>
      <w:r w:rsidR="003138E7" w:rsidRPr="004676F5">
        <w:rPr>
          <w:lang w:val="de-DE"/>
        </w:rPr>
        <w:t> </w:t>
      </w:r>
      <w:r w:rsidR="005B7A5C" w:rsidRPr="004676F5">
        <w:rPr>
          <w:lang w:val="de-DE"/>
        </w:rPr>
        <w:t>- </w:t>
      </w:r>
      <w:r w:rsidR="003138E7" w:rsidRPr="004676F5">
        <w:rPr>
          <w:lang w:val="de-DE"/>
        </w:rPr>
        <w:t>Falls eine Darbietung oder Aufführung das Urheberrecht oder verwandte Schutzrechte verletzt, können die Einnahmen als Gegenstände, die durch die Straftat hervorgebracht worden sind, beschlagnahmt werden. Sie werden dem Beschwerdeführer im Verhältnis zu dem Anteil, den sein Werk oder seine Leistung bei der Darbietung oder Aufführung hatte, zuerkannt und bei der Veranschlagung des Schadenersatzes berücksichtigt.]</w:t>
      </w:r>
    </w:p>
    <w:p w14:paraId="0EF74013" w14:textId="77777777" w:rsidR="00CD1D4A" w:rsidRPr="004676F5" w:rsidRDefault="00CD1D4A">
      <w:pPr>
        <w:rPr>
          <w:lang w:val="de-DE"/>
        </w:rPr>
      </w:pPr>
    </w:p>
    <w:p w14:paraId="4B31FCA8" w14:textId="77777777" w:rsidR="00CD1D4A" w:rsidRPr="004676F5" w:rsidRDefault="00CD1D4A">
      <w:pPr>
        <w:rPr>
          <w:lang w:val="de-DE"/>
        </w:rPr>
      </w:pPr>
    </w:p>
    <w:p w14:paraId="326C8B17" w14:textId="77777777" w:rsidR="00CD1D4A" w:rsidRPr="004676F5" w:rsidRDefault="00CD1D4A" w:rsidP="00CD1D4A">
      <w:pPr>
        <w:jc w:val="center"/>
        <w:rPr>
          <w:lang w:val="de-DE"/>
        </w:rPr>
      </w:pPr>
      <w:r w:rsidRPr="004676F5">
        <w:rPr>
          <w:lang w:val="de-DE"/>
        </w:rPr>
        <w:t>[</w:t>
      </w:r>
      <w:r w:rsidRPr="004676F5">
        <w:rPr>
          <w:i/>
          <w:iCs/>
          <w:lang w:val="de-DE"/>
        </w:rPr>
        <w:t>Abschnitt 6</w:t>
      </w:r>
      <w:r w:rsidRPr="004676F5">
        <w:rPr>
          <w:lang w:val="de-DE"/>
        </w:rPr>
        <w:t xml:space="preserve"> - Korrektur</w:t>
      </w:r>
      <w:r w:rsidRPr="004676F5">
        <w:rPr>
          <w:lang w:val="de-DE"/>
        </w:rPr>
        <w:softHyphen/>
        <w:t>maßnahmen]</w:t>
      </w:r>
    </w:p>
    <w:p w14:paraId="49C412F9" w14:textId="77777777" w:rsidR="00CD1D4A" w:rsidRPr="004676F5" w:rsidRDefault="00CD1D4A" w:rsidP="00CD1D4A">
      <w:pPr>
        <w:jc w:val="center"/>
        <w:rPr>
          <w:lang w:val="de-DE"/>
        </w:rPr>
      </w:pPr>
    </w:p>
    <w:p w14:paraId="617D4862" w14:textId="4FFD3A7C" w:rsidR="00CD1D4A" w:rsidRPr="004676F5" w:rsidRDefault="00CD1D4A" w:rsidP="00CD1D4A">
      <w:pPr>
        <w:jc w:val="both"/>
        <w:rPr>
          <w:bCs/>
          <w:i/>
          <w:iCs/>
          <w:lang w:val="de-DE"/>
        </w:rPr>
      </w:pPr>
      <w:r w:rsidRPr="004676F5">
        <w:rPr>
          <w:i/>
          <w:lang w:val="de-DE"/>
        </w:rPr>
        <w:t>[Unterteilung Abschnitt 6 eingefügt durch Art. 34</w:t>
      </w:r>
      <w:r w:rsidRPr="004676F5">
        <w:rPr>
          <w:bCs/>
          <w:i/>
          <w:iCs/>
          <w:lang w:val="de-DE"/>
        </w:rPr>
        <w:t xml:space="preserve"> des G. vom 5. November 2023</w:t>
      </w:r>
      <w:r w:rsidR="00AA0B2E" w:rsidRPr="004676F5">
        <w:rPr>
          <w:bCs/>
          <w:i/>
          <w:iCs/>
          <w:lang w:val="de-DE"/>
        </w:rPr>
        <w:t> (II)</w:t>
      </w:r>
      <w:r w:rsidRPr="004676F5">
        <w:rPr>
          <w:bCs/>
          <w:i/>
          <w:iCs/>
          <w:lang w:val="de-DE"/>
        </w:rPr>
        <w:t xml:space="preserve"> (B.S. vom 28. November 2023)]</w:t>
      </w:r>
    </w:p>
    <w:p w14:paraId="6EA46457" w14:textId="77777777" w:rsidR="00CD1D4A" w:rsidRPr="004676F5" w:rsidRDefault="00CD1D4A" w:rsidP="00CD1D4A">
      <w:pPr>
        <w:jc w:val="both"/>
        <w:rPr>
          <w:bCs/>
          <w:lang w:val="de-DE"/>
        </w:rPr>
      </w:pPr>
    </w:p>
    <w:p w14:paraId="2A8FD7EE" w14:textId="77777777" w:rsidR="00CD1D4A" w:rsidRPr="004676F5" w:rsidRDefault="00CD1D4A" w:rsidP="00CD1D4A">
      <w:pPr>
        <w:jc w:val="both"/>
        <w:rPr>
          <w:bCs/>
          <w:lang w:val="de-DE"/>
        </w:rPr>
      </w:pPr>
    </w:p>
    <w:p w14:paraId="32299F1B" w14:textId="72AA0C26" w:rsidR="00CD1D4A" w:rsidRPr="004676F5" w:rsidRDefault="00CD1D4A" w:rsidP="00CD1D4A">
      <w:pPr>
        <w:jc w:val="both"/>
        <w:rPr>
          <w:lang w:val="de-DE"/>
        </w:rPr>
      </w:pPr>
      <w:r w:rsidRPr="004676F5">
        <w:rPr>
          <w:bCs/>
          <w:lang w:val="de-DE"/>
        </w:rPr>
        <w:tab/>
        <w:t>[</w:t>
      </w:r>
      <w:r w:rsidRPr="004676F5">
        <w:rPr>
          <w:b/>
          <w:bCs/>
          <w:lang w:val="de-DE"/>
        </w:rPr>
        <w:t>Art. XV.132</w:t>
      </w:r>
      <w:r w:rsidRPr="004676F5">
        <w:rPr>
          <w:lang w:val="de-DE"/>
        </w:rPr>
        <w:t> - In Bezug auf die in den Artikeln XV.99/1 und XV.101/1 erwähnten Verstöße kann der Richter zusätzliche Korrekturmaßnahmen auferlegen.]</w:t>
      </w:r>
    </w:p>
    <w:p w14:paraId="392B27F2" w14:textId="77777777" w:rsidR="00CD1D4A" w:rsidRPr="004676F5" w:rsidRDefault="00CD1D4A" w:rsidP="00CD1D4A">
      <w:pPr>
        <w:jc w:val="both"/>
        <w:rPr>
          <w:lang w:val="de-DE"/>
        </w:rPr>
      </w:pPr>
    </w:p>
    <w:p w14:paraId="5B6CBB3B" w14:textId="398F131A" w:rsidR="00CD1D4A" w:rsidRPr="004676F5" w:rsidRDefault="00CD1D4A" w:rsidP="00CD1D4A">
      <w:pPr>
        <w:jc w:val="both"/>
        <w:rPr>
          <w:bCs/>
          <w:i/>
          <w:iCs/>
          <w:lang w:val="de-DE"/>
        </w:rPr>
      </w:pPr>
      <w:r w:rsidRPr="004676F5">
        <w:rPr>
          <w:bCs/>
          <w:i/>
          <w:iCs/>
          <w:lang w:val="de-DE"/>
        </w:rPr>
        <w:t>[Art. XV.132 eingefügt durch Art. 35 des G. vom 5. November 2023</w:t>
      </w:r>
      <w:r w:rsidR="00AA0B2E" w:rsidRPr="004676F5">
        <w:rPr>
          <w:bCs/>
          <w:i/>
          <w:iCs/>
          <w:lang w:val="de-DE"/>
        </w:rPr>
        <w:t> (II)</w:t>
      </w:r>
      <w:r w:rsidRPr="004676F5">
        <w:rPr>
          <w:bCs/>
          <w:i/>
          <w:iCs/>
          <w:lang w:val="de-DE"/>
        </w:rPr>
        <w:t xml:space="preserve"> (B.S. vom 28. November 2023)]</w:t>
      </w:r>
    </w:p>
    <w:p w14:paraId="1D8BD64C" w14:textId="77777777" w:rsidR="00CD1D4A" w:rsidRPr="004676F5" w:rsidRDefault="00CD1D4A" w:rsidP="00CD1D4A">
      <w:pPr>
        <w:jc w:val="both"/>
        <w:rPr>
          <w:bCs/>
          <w:lang w:val="de-DE"/>
        </w:rPr>
      </w:pPr>
    </w:p>
    <w:p w14:paraId="76B7BD17" w14:textId="0920C8CD" w:rsidR="009E7AF7" w:rsidRPr="004676F5" w:rsidRDefault="009E7AF7" w:rsidP="00CD1D4A">
      <w:pPr>
        <w:jc w:val="both"/>
        <w:rPr>
          <w:lang w:val="de-DE"/>
        </w:rPr>
      </w:pPr>
      <w:r w:rsidRPr="004676F5">
        <w:rPr>
          <w:lang w:val="de-DE"/>
        </w:rPr>
        <w:br w:type="page"/>
      </w:r>
    </w:p>
    <w:p w14:paraId="01DE1438" w14:textId="2E5F01F6" w:rsidR="00A037EB" w:rsidRPr="004676F5" w:rsidRDefault="00A037EB" w:rsidP="00A037EB">
      <w:pPr>
        <w:jc w:val="center"/>
        <w:rPr>
          <w:lang w:val="de-DE"/>
        </w:rPr>
      </w:pPr>
      <w:r w:rsidRPr="004676F5">
        <w:rPr>
          <w:lang w:val="de-DE"/>
        </w:rPr>
        <w:lastRenderedPageBreak/>
        <w:t>[</w:t>
      </w:r>
      <w:r w:rsidRPr="004676F5">
        <w:rPr>
          <w:b/>
          <w:lang w:val="de-DE"/>
        </w:rPr>
        <w:t>BUCH XVI </w:t>
      </w:r>
      <w:r w:rsidR="005B7A5C" w:rsidRPr="004676F5">
        <w:rPr>
          <w:b/>
          <w:lang w:val="de-DE"/>
        </w:rPr>
        <w:t>- </w:t>
      </w:r>
      <w:r w:rsidRPr="004676F5">
        <w:rPr>
          <w:b/>
          <w:lang w:val="de-DE"/>
        </w:rPr>
        <w:t>AUSSERGERICHTLICHE BEILEGUNG VERBRAUCHERRECHTLICHER STREITIGKEITEN</w:t>
      </w:r>
    </w:p>
    <w:p w14:paraId="3FBA5B5F" w14:textId="77777777" w:rsidR="00A037EB" w:rsidRPr="004676F5" w:rsidRDefault="00A037EB" w:rsidP="00A037EB">
      <w:pPr>
        <w:jc w:val="center"/>
        <w:rPr>
          <w:lang w:val="de-DE"/>
        </w:rPr>
      </w:pPr>
    </w:p>
    <w:p w14:paraId="6B5019BD" w14:textId="2EAA0C3A" w:rsidR="00A720C3" w:rsidRPr="004676F5" w:rsidRDefault="00A037EB" w:rsidP="00A037EB">
      <w:pPr>
        <w:jc w:val="both"/>
        <w:rPr>
          <w:i/>
          <w:lang w:val="de-DE"/>
        </w:rPr>
      </w:pPr>
      <w:r w:rsidRPr="004676F5">
        <w:rPr>
          <w:i/>
          <w:lang w:val="de-DE"/>
        </w:rPr>
        <w:t xml:space="preserve">[Buch XVI mit den Artikeln XVI.1 bis XVI.28 eingefügt durch </w:t>
      </w:r>
      <w:r w:rsidR="00BE0A56" w:rsidRPr="004676F5">
        <w:rPr>
          <w:i/>
          <w:lang w:val="de-DE"/>
        </w:rPr>
        <w:t>Art. </w:t>
      </w:r>
      <w:r w:rsidRPr="004676F5">
        <w:rPr>
          <w:i/>
          <w:lang w:val="de-DE"/>
        </w:rPr>
        <w:t>3 des G. vom 4. April 2014 (B.S. vom 12. Mai 2014)</w:t>
      </w:r>
      <w:r w:rsidR="00A720C3" w:rsidRPr="004676F5">
        <w:rPr>
          <w:i/>
          <w:lang w:val="de-DE"/>
        </w:rPr>
        <w:t>]</w:t>
      </w:r>
    </w:p>
    <w:p w14:paraId="7AF84A6A" w14:textId="77777777" w:rsidR="00A720C3" w:rsidRPr="004676F5" w:rsidRDefault="00A720C3" w:rsidP="00A037EB">
      <w:pPr>
        <w:jc w:val="both"/>
        <w:rPr>
          <w:i/>
          <w:lang w:val="de-DE"/>
        </w:rPr>
      </w:pPr>
    </w:p>
    <w:p w14:paraId="224BADEF" w14:textId="77777777" w:rsidR="00A037EB" w:rsidRPr="004676F5" w:rsidRDefault="00A037EB" w:rsidP="00A037EB">
      <w:pPr>
        <w:jc w:val="both"/>
        <w:rPr>
          <w:i/>
          <w:lang w:val="de-DE"/>
        </w:rPr>
      </w:pPr>
      <w:r w:rsidRPr="004676F5">
        <w:rPr>
          <w:i/>
          <w:lang w:val="de-DE"/>
        </w:rPr>
        <w:t xml:space="preserve"> </w:t>
      </w:r>
    </w:p>
    <w:p w14:paraId="4C5C732E" w14:textId="284CCACF" w:rsidR="00A037EB" w:rsidRPr="004676F5" w:rsidRDefault="00A037EB" w:rsidP="00A037EB">
      <w:pPr>
        <w:jc w:val="center"/>
        <w:rPr>
          <w:lang w:val="de-DE"/>
        </w:rPr>
      </w:pPr>
      <w:r w:rsidRPr="004676F5">
        <w:rPr>
          <w:b/>
          <w:lang w:val="de-DE"/>
        </w:rPr>
        <w:t>TITEL 1 </w:t>
      </w:r>
      <w:r w:rsidR="005B7A5C" w:rsidRPr="004676F5">
        <w:rPr>
          <w:b/>
          <w:lang w:val="de-DE"/>
        </w:rPr>
        <w:t>- </w:t>
      </w:r>
      <w:r w:rsidRPr="004676F5">
        <w:rPr>
          <w:b/>
          <w:i/>
          <w:lang w:val="de-DE"/>
        </w:rPr>
        <w:t>Allgemeine Bestimmung</w:t>
      </w:r>
    </w:p>
    <w:p w14:paraId="11BB7EE2" w14:textId="77777777" w:rsidR="00A037EB" w:rsidRPr="004676F5" w:rsidRDefault="00A037EB" w:rsidP="00A037EB">
      <w:pPr>
        <w:jc w:val="both"/>
        <w:rPr>
          <w:lang w:val="de-DE"/>
        </w:rPr>
      </w:pPr>
    </w:p>
    <w:p w14:paraId="60FF6F67" w14:textId="77777777" w:rsidR="00A720C3" w:rsidRPr="004676F5" w:rsidRDefault="00A720C3" w:rsidP="00A037EB">
      <w:pPr>
        <w:jc w:val="both"/>
        <w:rPr>
          <w:lang w:val="de-DE"/>
        </w:rPr>
      </w:pPr>
    </w:p>
    <w:p w14:paraId="4261B150" w14:textId="03FBA28E" w:rsidR="00A037EB" w:rsidRPr="004676F5" w:rsidRDefault="00BE0A56" w:rsidP="00A037EB">
      <w:pPr>
        <w:ind w:firstLine="708"/>
        <w:jc w:val="both"/>
        <w:rPr>
          <w:lang w:val="de-DE"/>
        </w:rPr>
      </w:pPr>
      <w:r w:rsidRPr="004676F5">
        <w:rPr>
          <w:b/>
          <w:lang w:val="de-DE"/>
        </w:rPr>
        <w:t>Art. </w:t>
      </w:r>
      <w:r w:rsidR="00A037EB" w:rsidRPr="004676F5">
        <w:rPr>
          <w:b/>
          <w:lang w:val="de-DE"/>
        </w:rPr>
        <w:t>XVI.1</w:t>
      </w:r>
      <w:r w:rsidR="00A037EB" w:rsidRPr="004676F5">
        <w:rPr>
          <w:lang w:val="de-DE"/>
        </w:rPr>
        <w:t> </w:t>
      </w:r>
      <w:r w:rsidR="005B7A5C" w:rsidRPr="004676F5">
        <w:rPr>
          <w:lang w:val="de-DE"/>
        </w:rPr>
        <w:t>- </w:t>
      </w:r>
      <w:r w:rsidR="00A037EB" w:rsidRPr="004676F5">
        <w:rPr>
          <w:lang w:val="de-DE"/>
        </w:rPr>
        <w:t>Vorliegendes Buch dient der Umsetzung:</w:t>
      </w:r>
    </w:p>
    <w:p w14:paraId="38DC1D4F" w14:textId="77777777" w:rsidR="00A037EB" w:rsidRPr="004676F5" w:rsidRDefault="00A037EB" w:rsidP="00A037EB">
      <w:pPr>
        <w:jc w:val="both"/>
        <w:rPr>
          <w:lang w:val="de-DE"/>
        </w:rPr>
      </w:pPr>
    </w:p>
    <w:p w14:paraId="6F5D31F8" w14:textId="77777777" w:rsidR="00A037EB" w:rsidRPr="004676F5" w:rsidRDefault="00A037EB" w:rsidP="00A037EB">
      <w:pPr>
        <w:ind w:firstLine="708"/>
        <w:jc w:val="both"/>
        <w:rPr>
          <w:lang w:val="de-DE"/>
        </w:rPr>
      </w:pPr>
      <w:r w:rsidRPr="004676F5">
        <w:rPr>
          <w:lang w:val="de-DE"/>
        </w:rPr>
        <w:t>1. der Richtlinie 2013/11/EU des Europäischen Parlaments und des Rates vom 21. Mai 2013 über die alternative Beilegung verbraucherrechtlicher Streitigkeiten und zur Änderung der Verordnung (EG) Nr. 2006/2004 und der Richtlinie 2009/22/EG,</w:t>
      </w:r>
    </w:p>
    <w:p w14:paraId="6552E1DD" w14:textId="77777777" w:rsidR="00A037EB" w:rsidRPr="004676F5" w:rsidRDefault="00A037EB" w:rsidP="00A037EB">
      <w:pPr>
        <w:jc w:val="both"/>
        <w:rPr>
          <w:lang w:val="de-DE"/>
        </w:rPr>
      </w:pPr>
    </w:p>
    <w:p w14:paraId="37AFD558" w14:textId="77777777" w:rsidR="00A037EB" w:rsidRPr="004676F5" w:rsidRDefault="00A037EB" w:rsidP="00A037EB">
      <w:pPr>
        <w:ind w:firstLine="708"/>
        <w:jc w:val="both"/>
        <w:rPr>
          <w:lang w:val="de-DE"/>
        </w:rPr>
      </w:pPr>
      <w:r w:rsidRPr="004676F5">
        <w:rPr>
          <w:lang w:val="de-DE"/>
        </w:rPr>
        <w:t>2. einiger Bestimmungen der Richtlinie 2006/123/EG vom 12. Dezember 2006 über Dienstleistungen im Binnenmarkt.</w:t>
      </w:r>
    </w:p>
    <w:p w14:paraId="6F9866AF" w14:textId="77777777" w:rsidR="00A037EB" w:rsidRPr="004676F5" w:rsidRDefault="00A037EB" w:rsidP="00A037EB">
      <w:pPr>
        <w:ind w:firstLine="708"/>
        <w:jc w:val="both"/>
        <w:rPr>
          <w:lang w:val="de-DE"/>
        </w:rPr>
      </w:pPr>
    </w:p>
    <w:p w14:paraId="44A83FFC" w14:textId="77777777" w:rsidR="00A720C3" w:rsidRPr="004676F5" w:rsidRDefault="00A720C3" w:rsidP="00A037EB">
      <w:pPr>
        <w:ind w:firstLine="708"/>
        <w:jc w:val="both"/>
        <w:rPr>
          <w:lang w:val="de-DE"/>
        </w:rPr>
      </w:pPr>
    </w:p>
    <w:p w14:paraId="05AB7C7E" w14:textId="77777777" w:rsidR="00A720C3" w:rsidRPr="004676F5" w:rsidRDefault="00A720C3">
      <w:pPr>
        <w:rPr>
          <w:b/>
          <w:lang w:val="de-DE"/>
        </w:rPr>
      </w:pPr>
      <w:r w:rsidRPr="004676F5">
        <w:rPr>
          <w:b/>
          <w:lang w:val="de-DE"/>
        </w:rPr>
        <w:br w:type="page"/>
      </w:r>
    </w:p>
    <w:p w14:paraId="1ED3AE5D" w14:textId="490EBEE1" w:rsidR="00A037EB" w:rsidRPr="004676F5" w:rsidRDefault="00A037EB" w:rsidP="00A037EB">
      <w:pPr>
        <w:jc w:val="center"/>
        <w:rPr>
          <w:lang w:val="de-DE"/>
        </w:rPr>
      </w:pPr>
      <w:r w:rsidRPr="004676F5">
        <w:rPr>
          <w:b/>
          <w:lang w:val="de-DE"/>
        </w:rPr>
        <w:lastRenderedPageBreak/>
        <w:t>TITEL 2 </w:t>
      </w:r>
      <w:r w:rsidR="005B7A5C" w:rsidRPr="004676F5">
        <w:rPr>
          <w:b/>
          <w:lang w:val="de-DE"/>
        </w:rPr>
        <w:t>- </w:t>
      </w:r>
      <w:r w:rsidRPr="004676F5">
        <w:rPr>
          <w:b/>
          <w:i/>
          <w:lang w:val="de-DE"/>
        </w:rPr>
        <w:t>Beschwerdenbehandlung durch Unternehmen</w:t>
      </w:r>
    </w:p>
    <w:p w14:paraId="39D4EF4A" w14:textId="77777777" w:rsidR="00A037EB" w:rsidRPr="004676F5" w:rsidRDefault="00A037EB" w:rsidP="00A037EB">
      <w:pPr>
        <w:jc w:val="center"/>
        <w:rPr>
          <w:lang w:val="de-DE"/>
        </w:rPr>
      </w:pPr>
    </w:p>
    <w:p w14:paraId="38ECCAFE" w14:textId="77777777" w:rsidR="00A720C3" w:rsidRPr="004676F5" w:rsidRDefault="00A720C3" w:rsidP="00A037EB">
      <w:pPr>
        <w:jc w:val="center"/>
        <w:rPr>
          <w:lang w:val="de-DE"/>
        </w:rPr>
      </w:pPr>
    </w:p>
    <w:p w14:paraId="6F343555" w14:textId="5A44567E" w:rsidR="00A037EB" w:rsidRPr="004676F5" w:rsidRDefault="00BE0A56" w:rsidP="00A037EB">
      <w:pPr>
        <w:ind w:firstLine="708"/>
        <w:jc w:val="both"/>
        <w:rPr>
          <w:lang w:val="de-DE"/>
        </w:rPr>
      </w:pPr>
      <w:r w:rsidRPr="004676F5">
        <w:rPr>
          <w:b/>
          <w:lang w:val="de-DE"/>
        </w:rPr>
        <w:t>Art. </w:t>
      </w:r>
      <w:r w:rsidR="00A037EB" w:rsidRPr="004676F5">
        <w:rPr>
          <w:b/>
          <w:lang w:val="de-DE"/>
        </w:rPr>
        <w:t>XVI.2</w:t>
      </w:r>
      <w:r w:rsidR="00A037EB" w:rsidRPr="004676F5">
        <w:rPr>
          <w:lang w:val="de-DE"/>
        </w:rPr>
        <w:t> </w:t>
      </w:r>
      <w:r w:rsidR="005B7A5C" w:rsidRPr="004676F5">
        <w:rPr>
          <w:lang w:val="de-DE"/>
        </w:rPr>
        <w:t>- </w:t>
      </w:r>
      <w:r w:rsidR="00A037EB" w:rsidRPr="004676F5">
        <w:rPr>
          <w:lang w:val="de-DE"/>
        </w:rPr>
        <w:t xml:space="preserve">Um es dem Verbraucher zu ermöglichen, unmittelbar beim Unternehmen Beschwerde einzureichen oder Informationen zu der Ausführung eines bereits geschlossenen Vertrags zu erbitten, </w:t>
      </w:r>
      <w:r w:rsidR="00CF7F1C" w:rsidRPr="004676F5">
        <w:rPr>
          <w:lang w:val="de-DE"/>
        </w:rPr>
        <w:t xml:space="preserve">[teilen Unternehmen </w:t>
      </w:r>
      <w:r w:rsidR="005B7A5C" w:rsidRPr="004676F5">
        <w:rPr>
          <w:lang w:val="de-DE"/>
        </w:rPr>
        <w:t>- </w:t>
      </w:r>
      <w:r w:rsidR="00CF7F1C" w:rsidRPr="004676F5">
        <w:rPr>
          <w:lang w:val="de-DE"/>
        </w:rPr>
        <w:t>zusätzlich zu den in Artikel III.74 erwähnten Informationen und sofern es einen Beschwerde</w:t>
      </w:r>
      <w:r w:rsidR="00CF7F1C" w:rsidRPr="004676F5">
        <w:rPr>
          <w:lang w:val="de-DE"/>
        </w:rPr>
        <w:softHyphen/>
        <w:t>dienst gibt </w:t>
      </w:r>
      <w:r w:rsidR="005B7A5C" w:rsidRPr="004676F5">
        <w:rPr>
          <w:lang w:val="de-DE"/>
        </w:rPr>
        <w:t>- </w:t>
      </w:r>
      <w:r w:rsidR="00CF7F1C" w:rsidRPr="004676F5">
        <w:rPr>
          <w:lang w:val="de-DE"/>
        </w:rPr>
        <w:t>Telefonnummer, Faxnummer und E-Mail-Adresse dieses Dienstes mit]</w:t>
      </w:r>
      <w:r w:rsidR="00A037EB" w:rsidRPr="004676F5">
        <w:rPr>
          <w:lang w:val="de-DE"/>
        </w:rPr>
        <w:t>. Dieser Dienst darf in seiner Bezeichnung nicht auf die Begriffe "Ombuds-", "Vermittlung", "Schlichtung", "Schieds-", "qualifizierte Einrichtung" oder "außergerichtliche Streitbeilegung" verweisen.</w:t>
      </w:r>
    </w:p>
    <w:p w14:paraId="40EEED86" w14:textId="77777777" w:rsidR="00CF7F1C" w:rsidRPr="004676F5" w:rsidRDefault="00CF7F1C" w:rsidP="00A037EB">
      <w:pPr>
        <w:ind w:firstLine="708"/>
        <w:jc w:val="both"/>
        <w:rPr>
          <w:lang w:val="de-DE"/>
        </w:rPr>
      </w:pPr>
    </w:p>
    <w:p w14:paraId="291AFA09" w14:textId="63FEE30C" w:rsidR="00CF7F1C" w:rsidRPr="004676F5" w:rsidRDefault="00CF7F1C" w:rsidP="00CF7F1C">
      <w:pPr>
        <w:jc w:val="both"/>
        <w:rPr>
          <w:i/>
          <w:lang w:val="de-DE"/>
        </w:rPr>
      </w:pPr>
      <w:r w:rsidRPr="004676F5">
        <w:rPr>
          <w:i/>
          <w:lang w:val="de-DE"/>
        </w:rPr>
        <w:t>[</w:t>
      </w:r>
      <w:r w:rsidR="00BE0A56" w:rsidRPr="004676F5">
        <w:rPr>
          <w:i/>
          <w:lang w:val="de-DE"/>
        </w:rPr>
        <w:t>Art. </w:t>
      </w:r>
      <w:r w:rsidRPr="004676F5">
        <w:rPr>
          <w:i/>
          <w:lang w:val="de-DE"/>
        </w:rPr>
        <w:t xml:space="preserve">XVI.2 abgeändert durch </w:t>
      </w:r>
      <w:r w:rsidR="00BE0A56" w:rsidRPr="004676F5">
        <w:rPr>
          <w:i/>
          <w:lang w:val="de-DE"/>
        </w:rPr>
        <w:t>Art. </w:t>
      </w:r>
      <w:r w:rsidR="00E01FB8" w:rsidRPr="004676F5">
        <w:rPr>
          <w:i/>
          <w:lang w:val="de-DE"/>
        </w:rPr>
        <w:t>64 Nr. 2</w:t>
      </w:r>
      <w:r w:rsidR="00E01FB8" w:rsidRPr="004676F5">
        <w:rPr>
          <w:i/>
          <w:iCs/>
          <w:lang w:val="de-DE"/>
        </w:rPr>
        <w:t xml:space="preserve"> </w:t>
      </w:r>
      <w:r w:rsidR="00E01FB8" w:rsidRPr="004676F5">
        <w:rPr>
          <w:i/>
          <w:lang w:val="de-DE"/>
        </w:rPr>
        <w:t>des G. vom 26. Oktober 2015 (B.S. vom 30. Oktober 2015)]</w:t>
      </w:r>
    </w:p>
    <w:p w14:paraId="0AF6E245" w14:textId="77777777" w:rsidR="00A037EB" w:rsidRPr="004676F5" w:rsidRDefault="00A037EB" w:rsidP="00A037EB">
      <w:pPr>
        <w:jc w:val="both"/>
        <w:rPr>
          <w:lang w:val="de-DE"/>
        </w:rPr>
      </w:pPr>
    </w:p>
    <w:p w14:paraId="3C5330FB" w14:textId="77777777" w:rsidR="00A720C3" w:rsidRPr="004676F5" w:rsidRDefault="00A720C3" w:rsidP="00A037EB">
      <w:pPr>
        <w:jc w:val="both"/>
        <w:rPr>
          <w:lang w:val="de-DE"/>
        </w:rPr>
      </w:pPr>
    </w:p>
    <w:p w14:paraId="5E8AE4B3" w14:textId="2973039F" w:rsidR="00A037EB" w:rsidRPr="004676F5" w:rsidRDefault="00BE0A56" w:rsidP="00A037EB">
      <w:pPr>
        <w:ind w:firstLine="708"/>
        <w:jc w:val="both"/>
        <w:rPr>
          <w:lang w:val="de-DE"/>
        </w:rPr>
      </w:pPr>
      <w:r w:rsidRPr="004676F5">
        <w:rPr>
          <w:b/>
          <w:lang w:val="de-DE"/>
        </w:rPr>
        <w:t>Art. </w:t>
      </w:r>
      <w:r w:rsidR="00A037EB" w:rsidRPr="004676F5">
        <w:rPr>
          <w:b/>
          <w:lang w:val="de-DE"/>
        </w:rPr>
        <w:t>XVI.3</w:t>
      </w:r>
      <w:r w:rsidR="00A037EB" w:rsidRPr="004676F5">
        <w:rPr>
          <w:lang w:val="de-DE"/>
        </w:rPr>
        <w:t> </w:t>
      </w:r>
      <w:r w:rsidR="005B7A5C" w:rsidRPr="004676F5">
        <w:rPr>
          <w:lang w:val="de-DE"/>
        </w:rPr>
        <w:t>- </w:t>
      </w:r>
      <w:r w:rsidR="00A037EB" w:rsidRPr="004676F5">
        <w:rPr>
          <w:lang w:val="de-DE"/>
        </w:rPr>
        <w:t>Unternehmen beantworten die in Artikel XVI.2 erwähnten Beschwerden so schnell wie möglich und bemühen sich um zufriedenstellende Lösungen.</w:t>
      </w:r>
    </w:p>
    <w:p w14:paraId="117486DD" w14:textId="77777777" w:rsidR="00A037EB" w:rsidRPr="004676F5" w:rsidRDefault="00A037EB" w:rsidP="00A037EB">
      <w:pPr>
        <w:jc w:val="both"/>
        <w:rPr>
          <w:lang w:val="de-DE"/>
        </w:rPr>
      </w:pPr>
    </w:p>
    <w:p w14:paraId="3E668BFA" w14:textId="77777777" w:rsidR="00A720C3" w:rsidRPr="004676F5" w:rsidRDefault="00A720C3" w:rsidP="00A037EB">
      <w:pPr>
        <w:ind w:firstLine="708"/>
        <w:jc w:val="both"/>
        <w:rPr>
          <w:lang w:val="de-DE"/>
        </w:rPr>
      </w:pPr>
    </w:p>
    <w:p w14:paraId="7F14B86E" w14:textId="3CEEBA0E" w:rsidR="00A037EB" w:rsidRPr="004676F5" w:rsidRDefault="00BE0A56" w:rsidP="00A037EB">
      <w:pPr>
        <w:ind w:firstLine="708"/>
        <w:jc w:val="both"/>
        <w:rPr>
          <w:lang w:val="de-DE"/>
        </w:rPr>
      </w:pPr>
      <w:r w:rsidRPr="004676F5">
        <w:rPr>
          <w:b/>
          <w:lang w:val="de-DE"/>
        </w:rPr>
        <w:t>Art. </w:t>
      </w:r>
      <w:r w:rsidR="00A037EB" w:rsidRPr="004676F5">
        <w:rPr>
          <w:b/>
          <w:lang w:val="de-DE"/>
        </w:rPr>
        <w:t>XVI.4</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Muss ein Unternehmen aufgrund eines Gesetzes oder einer Verordnungsbestimmung, eines Verhaltenskodex, auf den es sich infolge seines Beitritts zu einer Handelsvereinigung, einem Berufsverband oder einer Berufsorganisation verpflichtet hat, oder einer von ihm im Rahmen seiner allgemeinen oder besonderen Geschäfts</w:t>
      </w:r>
      <w:r w:rsidR="00A037EB" w:rsidRPr="004676F5">
        <w:rPr>
          <w:lang w:val="de-DE"/>
        </w:rPr>
        <w:softHyphen/>
        <w:t>bedingungen eingegangenen Verpflichtung auf ein Verfahren der außergerichtlichen Beilegung verbraucherrechtlicher Streitigkeiten zurückgreifen, setzt es die Verbraucher auf klare, verständliche und leicht zugängliche Weise davon in Kenntnis.</w:t>
      </w:r>
    </w:p>
    <w:p w14:paraId="58F44028" w14:textId="77777777" w:rsidR="00A037EB" w:rsidRPr="004676F5" w:rsidRDefault="00A037EB" w:rsidP="00A037EB">
      <w:pPr>
        <w:ind w:firstLine="708"/>
        <w:jc w:val="both"/>
        <w:rPr>
          <w:lang w:val="de-DE"/>
        </w:rPr>
      </w:pPr>
    </w:p>
    <w:p w14:paraId="2D4E2376" w14:textId="0440CA4A" w:rsidR="00A037EB" w:rsidRPr="004676F5" w:rsidRDefault="00A037EB" w:rsidP="00A037EB">
      <w:pPr>
        <w:ind w:firstLine="708"/>
        <w:jc w:val="both"/>
        <w:rPr>
          <w:lang w:val="de-DE"/>
        </w:rPr>
      </w:pPr>
      <w:r w:rsidRPr="004676F5">
        <w:rPr>
          <w:lang w:val="de-DE"/>
        </w:rPr>
        <w:t>§ 2 </w:t>
      </w:r>
      <w:r w:rsidR="005B7A5C" w:rsidRPr="004676F5">
        <w:rPr>
          <w:lang w:val="de-DE"/>
        </w:rPr>
        <w:t>- </w:t>
      </w:r>
      <w:r w:rsidRPr="004676F5">
        <w:rPr>
          <w:lang w:val="de-DE"/>
        </w:rPr>
        <w:t>In den in vorhergehendem Paragraphen erwähnten Informationen wird angegeben, wie ausführliche Informationen über dieses außergerichtliche Streitbeilegungs</w:t>
      </w:r>
      <w:r w:rsidRPr="004676F5">
        <w:rPr>
          <w:lang w:val="de-DE"/>
        </w:rPr>
        <w:softHyphen/>
        <w:t>verfahren und die Bedingungen für seine Inanspruchnahme erlangt werden können, und werden Kontaktdaten und Adresse der Website der betreffenden qualifizierten Einrichtung beziehungsweise Einrichtungen vermerkt.</w:t>
      </w:r>
    </w:p>
    <w:p w14:paraId="29B3330C" w14:textId="77777777" w:rsidR="00A037EB" w:rsidRPr="004676F5" w:rsidRDefault="00A037EB" w:rsidP="00A037EB">
      <w:pPr>
        <w:jc w:val="both"/>
        <w:rPr>
          <w:lang w:val="de-DE"/>
        </w:rPr>
      </w:pPr>
    </w:p>
    <w:p w14:paraId="5ABA0A48" w14:textId="77777777" w:rsidR="00A037EB" w:rsidRPr="004676F5" w:rsidRDefault="00A037EB" w:rsidP="00A037EB">
      <w:pPr>
        <w:ind w:firstLine="708"/>
        <w:jc w:val="both"/>
        <w:rPr>
          <w:lang w:val="de-DE"/>
        </w:rPr>
      </w:pPr>
      <w:r w:rsidRPr="004676F5">
        <w:rPr>
          <w:lang w:val="de-DE"/>
        </w:rPr>
        <w:t>Gegebenenfalls sind diese Informationen auf der Website und in den allgemeinen Geschäftsbedingungen des Unternehmens verfügbar.</w:t>
      </w:r>
    </w:p>
    <w:p w14:paraId="2E294B77" w14:textId="77777777" w:rsidR="00A037EB" w:rsidRPr="004676F5" w:rsidRDefault="00A037EB" w:rsidP="00A037EB">
      <w:pPr>
        <w:ind w:firstLine="708"/>
        <w:jc w:val="both"/>
        <w:rPr>
          <w:lang w:val="de-DE"/>
        </w:rPr>
      </w:pPr>
    </w:p>
    <w:p w14:paraId="0140EFDF" w14:textId="5F22BB6B" w:rsidR="00A037EB" w:rsidRPr="004676F5" w:rsidRDefault="00A037EB" w:rsidP="00A037EB">
      <w:pPr>
        <w:ind w:firstLine="708"/>
        <w:jc w:val="both"/>
        <w:rPr>
          <w:lang w:val="de-DE"/>
        </w:rPr>
      </w:pPr>
      <w:r w:rsidRPr="004676F5">
        <w:rPr>
          <w:lang w:val="de-DE"/>
        </w:rPr>
        <w:t>§ 3 </w:t>
      </w:r>
      <w:r w:rsidR="005B7A5C" w:rsidRPr="004676F5">
        <w:rPr>
          <w:lang w:val="de-DE"/>
        </w:rPr>
        <w:t>- </w:t>
      </w:r>
      <w:r w:rsidRPr="004676F5">
        <w:rPr>
          <w:lang w:val="de-DE"/>
        </w:rPr>
        <w:t>Wird für eine verbraucherrechtliche Streitigkeit in annehmbarer Frist keine Lösung in Anwendung von Artikel XVI.3 gefunden, teilt das Unternehmen von sich aus dem Verbraucher die in den Paragraphen 1 und 2 erwähnten Informationen mit und gibt unter Vermerk der Kontaktdaten der zuständigen Einrichtung an, ob es verpflichtet oder bereit ist, auf eine außergerichtliche Beilegung der verbraucherrechtlichen Streitigkeit zurückzugreifen. Auch wird mitgeteilt, ob diese Einrichtung eine qualifizierte Einrichtung ist.</w:t>
      </w:r>
      <w:r w:rsidR="00E01FB8" w:rsidRPr="004676F5">
        <w:rPr>
          <w:lang w:val="de-DE"/>
        </w:rPr>
        <w:t xml:space="preserve"> [Handelt es sich nicht um eine qualifizierte Einrichtung, werden die Kontaktdaten des in Artikel XVI.5 erwähnten Ombudsdienstes für Verbraucher mitgeteilt.] </w:t>
      </w:r>
    </w:p>
    <w:p w14:paraId="333EF71C" w14:textId="77777777" w:rsidR="00A037EB" w:rsidRPr="004676F5" w:rsidRDefault="00A037EB" w:rsidP="00A037EB">
      <w:pPr>
        <w:ind w:firstLine="708"/>
        <w:jc w:val="both"/>
        <w:rPr>
          <w:lang w:val="de-DE"/>
        </w:rPr>
      </w:pPr>
    </w:p>
    <w:p w14:paraId="119AB063" w14:textId="77777777" w:rsidR="00A037EB" w:rsidRPr="004676F5" w:rsidRDefault="00A037EB" w:rsidP="00A037EB">
      <w:pPr>
        <w:ind w:firstLine="708"/>
        <w:jc w:val="both"/>
        <w:rPr>
          <w:lang w:val="de-DE"/>
        </w:rPr>
      </w:pPr>
      <w:r w:rsidRPr="004676F5">
        <w:rPr>
          <w:lang w:val="de-DE"/>
        </w:rPr>
        <w:t>Diese Informationen werden auf Papier oder auf einem anderen dauerhaften Datenträger bereitgestellt.</w:t>
      </w:r>
    </w:p>
    <w:p w14:paraId="766D8251" w14:textId="77777777" w:rsidR="00A037EB" w:rsidRPr="004676F5" w:rsidRDefault="00A037EB" w:rsidP="00A037EB">
      <w:pPr>
        <w:ind w:firstLine="708"/>
        <w:jc w:val="both"/>
        <w:rPr>
          <w:lang w:val="de-DE"/>
        </w:rPr>
      </w:pPr>
    </w:p>
    <w:p w14:paraId="622D5665" w14:textId="198604CB" w:rsidR="00A037EB" w:rsidRPr="004676F5" w:rsidRDefault="00A037EB" w:rsidP="00A037EB">
      <w:pPr>
        <w:ind w:firstLine="708"/>
        <w:jc w:val="both"/>
        <w:rPr>
          <w:lang w:val="de-DE"/>
        </w:rPr>
      </w:pPr>
      <w:r w:rsidRPr="004676F5">
        <w:rPr>
          <w:lang w:val="de-DE"/>
        </w:rPr>
        <w:t>§ 4 </w:t>
      </w:r>
      <w:r w:rsidR="005B7A5C" w:rsidRPr="004676F5">
        <w:rPr>
          <w:lang w:val="de-DE"/>
        </w:rPr>
        <w:t>- </w:t>
      </w:r>
      <w:r w:rsidRPr="004676F5">
        <w:rPr>
          <w:lang w:val="de-DE"/>
        </w:rPr>
        <w:t xml:space="preserve">Das Unternehmen muss die Einhaltung </w:t>
      </w:r>
      <w:r w:rsidR="00D51504" w:rsidRPr="004676F5">
        <w:rPr>
          <w:lang w:val="de-DE"/>
        </w:rPr>
        <w:t xml:space="preserve">[der Anforderungen, die in den Artikeln XVI.2 bis XIV.4 §§ 1 bis 3 und in Artikel 14 der Verordnung (EU) Nr. 524/2013 des </w:t>
      </w:r>
      <w:r w:rsidR="00D51504" w:rsidRPr="004676F5">
        <w:rPr>
          <w:lang w:val="de-DE"/>
        </w:rPr>
        <w:lastRenderedPageBreak/>
        <w:t>Europäischen Parlaments und des Rates vom 21. Mai 2013 über die Online-Beilegung verbraucherrechtlicher Streitigkeiten und zur Änderung der Verordnung (EG) Nr. 2006/2004 und der Richtlinie 2009/22/EG vorgesehen sind,]</w:t>
      </w:r>
      <w:r w:rsidRPr="004676F5">
        <w:rPr>
          <w:lang w:val="de-DE"/>
        </w:rPr>
        <w:t xml:space="preserve"> und die Richtigkeit der erteilten Informationen nachweisen.</w:t>
      </w:r>
    </w:p>
    <w:p w14:paraId="005857C2" w14:textId="77777777" w:rsidR="00A037EB" w:rsidRPr="004676F5" w:rsidRDefault="00A037EB" w:rsidP="00A037EB">
      <w:pPr>
        <w:ind w:firstLine="708"/>
        <w:jc w:val="both"/>
        <w:rPr>
          <w:lang w:val="de-DE"/>
        </w:rPr>
      </w:pPr>
    </w:p>
    <w:p w14:paraId="582B52A4" w14:textId="02EA8C5D" w:rsidR="00A720C3" w:rsidRPr="004676F5" w:rsidRDefault="00E01FB8" w:rsidP="00E01FB8">
      <w:pPr>
        <w:jc w:val="both"/>
        <w:rPr>
          <w:i/>
          <w:lang w:val="de-DE"/>
        </w:rPr>
      </w:pPr>
      <w:r w:rsidRPr="004676F5">
        <w:rPr>
          <w:i/>
          <w:lang w:val="de-DE"/>
        </w:rPr>
        <w:t>[</w:t>
      </w:r>
      <w:r w:rsidR="00BE0A56" w:rsidRPr="004676F5">
        <w:rPr>
          <w:i/>
          <w:lang w:val="de-DE"/>
        </w:rPr>
        <w:t>Art. </w:t>
      </w:r>
      <w:r w:rsidRPr="004676F5">
        <w:rPr>
          <w:i/>
          <w:lang w:val="de-DE"/>
        </w:rPr>
        <w:t xml:space="preserve">XVI.4 § 3 Abs. 1 ergänzt durch </w:t>
      </w:r>
      <w:r w:rsidR="00BE0A56" w:rsidRPr="004676F5">
        <w:rPr>
          <w:i/>
          <w:lang w:val="de-DE"/>
        </w:rPr>
        <w:t>Art. </w:t>
      </w:r>
      <w:r w:rsidRPr="004676F5">
        <w:rPr>
          <w:i/>
          <w:lang w:val="de-DE"/>
        </w:rPr>
        <w:t>65</w:t>
      </w:r>
      <w:r w:rsidRPr="004676F5">
        <w:rPr>
          <w:i/>
          <w:iCs/>
          <w:lang w:val="de-DE"/>
        </w:rPr>
        <w:t xml:space="preserve"> </w:t>
      </w:r>
      <w:r w:rsidRPr="004676F5">
        <w:rPr>
          <w:i/>
          <w:lang w:val="de-DE"/>
        </w:rPr>
        <w:t>des G. vom 26. Oktober 2015 (B.S. vom 30. Oktober 2015)</w:t>
      </w:r>
      <w:r w:rsidR="00D51504" w:rsidRPr="004676F5">
        <w:rPr>
          <w:i/>
          <w:lang w:val="de-DE"/>
        </w:rPr>
        <w:t xml:space="preserve">; § 4 abgeändert durch </w:t>
      </w:r>
      <w:r w:rsidR="00BE0A56" w:rsidRPr="004676F5">
        <w:rPr>
          <w:i/>
          <w:lang w:val="de-DE"/>
        </w:rPr>
        <w:t>Art. </w:t>
      </w:r>
      <w:r w:rsidR="00D51504" w:rsidRPr="004676F5">
        <w:rPr>
          <w:i/>
          <w:lang w:val="de-DE"/>
        </w:rPr>
        <w:t>32 des G. vom 18. April 2017 (B.S. vom 24. April 2017)</w:t>
      </w:r>
      <w:r w:rsidRPr="004676F5">
        <w:rPr>
          <w:i/>
          <w:lang w:val="de-DE"/>
        </w:rPr>
        <w:t>]</w:t>
      </w:r>
    </w:p>
    <w:p w14:paraId="110E3B05" w14:textId="77777777" w:rsidR="00A720C3" w:rsidRPr="004676F5" w:rsidRDefault="00A720C3">
      <w:pPr>
        <w:rPr>
          <w:b/>
          <w:lang w:val="de-DE"/>
        </w:rPr>
      </w:pPr>
      <w:r w:rsidRPr="004676F5">
        <w:rPr>
          <w:b/>
          <w:lang w:val="de-DE"/>
        </w:rPr>
        <w:br w:type="page"/>
      </w:r>
    </w:p>
    <w:p w14:paraId="69FADDB8" w14:textId="57758427" w:rsidR="00A037EB" w:rsidRPr="004676F5" w:rsidRDefault="00A037EB" w:rsidP="00A037EB">
      <w:pPr>
        <w:jc w:val="center"/>
        <w:rPr>
          <w:lang w:val="de-DE"/>
        </w:rPr>
      </w:pPr>
      <w:r w:rsidRPr="004676F5">
        <w:rPr>
          <w:b/>
          <w:lang w:val="de-DE"/>
        </w:rPr>
        <w:lastRenderedPageBreak/>
        <w:t>TITEL 3 </w:t>
      </w:r>
      <w:r w:rsidR="005B7A5C" w:rsidRPr="004676F5">
        <w:rPr>
          <w:b/>
          <w:lang w:val="de-DE"/>
        </w:rPr>
        <w:t>- </w:t>
      </w:r>
      <w:r w:rsidRPr="004676F5">
        <w:rPr>
          <w:b/>
          <w:i/>
          <w:lang w:val="de-DE"/>
        </w:rPr>
        <w:t>Ombudsdienst für Verbraucher</w:t>
      </w:r>
    </w:p>
    <w:p w14:paraId="5818D0CE" w14:textId="77777777" w:rsidR="00A037EB" w:rsidRPr="004676F5" w:rsidRDefault="00A037EB" w:rsidP="00A037EB">
      <w:pPr>
        <w:jc w:val="center"/>
        <w:rPr>
          <w:lang w:val="de-DE"/>
        </w:rPr>
      </w:pPr>
    </w:p>
    <w:p w14:paraId="4B0F5D6E" w14:textId="77777777" w:rsidR="00A720C3" w:rsidRPr="004676F5" w:rsidRDefault="00A720C3" w:rsidP="00A037EB">
      <w:pPr>
        <w:jc w:val="center"/>
        <w:rPr>
          <w:lang w:val="de-DE"/>
        </w:rPr>
      </w:pPr>
    </w:p>
    <w:p w14:paraId="278022B3" w14:textId="249FC280" w:rsidR="00A037EB" w:rsidRPr="004676F5" w:rsidRDefault="00A037EB" w:rsidP="00A037EB">
      <w:pPr>
        <w:jc w:val="center"/>
        <w:rPr>
          <w:lang w:val="de-DE"/>
        </w:rPr>
      </w:pPr>
      <w:r w:rsidRPr="004676F5">
        <w:rPr>
          <w:lang w:val="de-DE"/>
        </w:rPr>
        <w:t>KAPITEL 1 </w:t>
      </w:r>
      <w:r w:rsidR="005B7A5C" w:rsidRPr="004676F5">
        <w:rPr>
          <w:lang w:val="de-DE"/>
        </w:rPr>
        <w:t>- </w:t>
      </w:r>
      <w:r w:rsidRPr="004676F5">
        <w:rPr>
          <w:i/>
          <w:lang w:val="de-DE"/>
        </w:rPr>
        <w:t>Errichtung und Aufträge</w:t>
      </w:r>
    </w:p>
    <w:p w14:paraId="79BFE96B" w14:textId="77777777" w:rsidR="00A037EB" w:rsidRPr="004676F5" w:rsidRDefault="00A037EB" w:rsidP="00A037EB">
      <w:pPr>
        <w:jc w:val="both"/>
        <w:rPr>
          <w:lang w:val="de-DE"/>
        </w:rPr>
      </w:pPr>
    </w:p>
    <w:p w14:paraId="526A9725" w14:textId="77777777" w:rsidR="00A720C3" w:rsidRPr="004676F5" w:rsidRDefault="00A720C3" w:rsidP="00A037EB">
      <w:pPr>
        <w:jc w:val="both"/>
        <w:rPr>
          <w:lang w:val="de-DE"/>
        </w:rPr>
      </w:pPr>
    </w:p>
    <w:p w14:paraId="5E354839" w14:textId="23E48B56" w:rsidR="00A037EB" w:rsidRPr="004676F5" w:rsidRDefault="00BE0A56" w:rsidP="00A037EB">
      <w:pPr>
        <w:ind w:firstLine="708"/>
        <w:jc w:val="both"/>
        <w:rPr>
          <w:lang w:val="de-DE"/>
        </w:rPr>
      </w:pPr>
      <w:r w:rsidRPr="004676F5">
        <w:rPr>
          <w:b/>
          <w:lang w:val="de-DE"/>
        </w:rPr>
        <w:t>Art. </w:t>
      </w:r>
      <w:r w:rsidR="00A037EB" w:rsidRPr="004676F5">
        <w:rPr>
          <w:b/>
          <w:lang w:val="de-DE"/>
        </w:rPr>
        <w:t>XVI.5</w:t>
      </w:r>
      <w:r w:rsidR="00A037EB" w:rsidRPr="004676F5">
        <w:rPr>
          <w:lang w:val="de-DE"/>
        </w:rPr>
        <w:t> </w:t>
      </w:r>
      <w:r w:rsidR="005B7A5C" w:rsidRPr="004676F5">
        <w:rPr>
          <w:lang w:val="de-DE"/>
        </w:rPr>
        <w:t>- </w:t>
      </w:r>
      <w:r w:rsidR="00A037EB" w:rsidRPr="004676F5">
        <w:rPr>
          <w:lang w:val="de-DE"/>
        </w:rPr>
        <w:t>Unter der Bezeichnung "Ombudsdienst für Verbraucher" wird ein autonomer öffentlicher Dienst mit Rechtspersönlichkeit eingesetzt, der eine Kontaktstelle und ein Dienst für außergerichtliche Beilegung verbraucherrechtlicher Streitigkeiten ist.</w:t>
      </w:r>
    </w:p>
    <w:p w14:paraId="3D208E1F" w14:textId="77777777" w:rsidR="00A037EB" w:rsidRPr="004676F5" w:rsidRDefault="00A037EB" w:rsidP="00A037EB">
      <w:pPr>
        <w:jc w:val="both"/>
        <w:rPr>
          <w:lang w:val="de-DE"/>
        </w:rPr>
      </w:pPr>
    </w:p>
    <w:p w14:paraId="24F905D1" w14:textId="77777777" w:rsidR="00A720C3" w:rsidRPr="004676F5" w:rsidRDefault="00A720C3" w:rsidP="00A037EB">
      <w:pPr>
        <w:jc w:val="both"/>
        <w:rPr>
          <w:lang w:val="de-DE"/>
        </w:rPr>
      </w:pPr>
    </w:p>
    <w:p w14:paraId="0060F281" w14:textId="62E6CA8B" w:rsidR="00A037EB" w:rsidRPr="004676F5" w:rsidRDefault="00BE0A56" w:rsidP="00A037EB">
      <w:pPr>
        <w:ind w:firstLine="708"/>
        <w:jc w:val="both"/>
        <w:rPr>
          <w:lang w:val="de-DE"/>
        </w:rPr>
      </w:pPr>
      <w:r w:rsidRPr="004676F5">
        <w:rPr>
          <w:b/>
          <w:lang w:val="de-DE"/>
        </w:rPr>
        <w:t>Art. </w:t>
      </w:r>
      <w:r w:rsidR="00A037EB" w:rsidRPr="004676F5">
        <w:rPr>
          <w:b/>
          <w:lang w:val="de-DE"/>
        </w:rPr>
        <w:t>XVI.6</w:t>
      </w:r>
      <w:r w:rsidR="00A037EB" w:rsidRPr="004676F5">
        <w:rPr>
          <w:lang w:val="de-DE"/>
        </w:rPr>
        <w:t> </w:t>
      </w:r>
      <w:r w:rsidR="005B7A5C" w:rsidRPr="004676F5">
        <w:rPr>
          <w:lang w:val="de-DE"/>
        </w:rPr>
        <w:t>- </w:t>
      </w:r>
      <w:r w:rsidR="00A037EB" w:rsidRPr="004676F5">
        <w:rPr>
          <w:lang w:val="de-DE"/>
        </w:rPr>
        <w:t>Der Ombudsdienst für Verbraucher hat folgende Aufträge:</w:t>
      </w:r>
    </w:p>
    <w:p w14:paraId="2243EE98" w14:textId="77777777" w:rsidR="00A037EB" w:rsidRPr="004676F5" w:rsidRDefault="00A037EB" w:rsidP="00A037EB">
      <w:pPr>
        <w:jc w:val="both"/>
        <w:rPr>
          <w:lang w:val="de-DE"/>
        </w:rPr>
      </w:pPr>
    </w:p>
    <w:p w14:paraId="23250BBF" w14:textId="77777777" w:rsidR="00A037EB" w:rsidRPr="004676F5" w:rsidRDefault="00A037EB" w:rsidP="00A037EB">
      <w:pPr>
        <w:ind w:firstLine="708"/>
        <w:jc w:val="both"/>
        <w:rPr>
          <w:lang w:val="de-DE"/>
        </w:rPr>
      </w:pPr>
      <w:r w:rsidRPr="004676F5">
        <w:rPr>
          <w:lang w:val="de-DE"/>
        </w:rPr>
        <w:t>1. Verbraucher und Unternehmen über ihre Rechte und Verpflichtungen unterrichten, insbesondere über Möglichkeiten der außergerichtlichen Beilegung verbraucherrechtlicher Streitigkeiten,</w:t>
      </w:r>
    </w:p>
    <w:p w14:paraId="5F406E09" w14:textId="77777777" w:rsidR="00A037EB" w:rsidRPr="004676F5" w:rsidRDefault="00A037EB" w:rsidP="00A037EB">
      <w:pPr>
        <w:ind w:firstLine="708"/>
        <w:jc w:val="both"/>
        <w:rPr>
          <w:lang w:val="de-DE"/>
        </w:rPr>
      </w:pPr>
    </w:p>
    <w:p w14:paraId="45CA2C55" w14:textId="77777777" w:rsidR="00A037EB" w:rsidRPr="004676F5" w:rsidRDefault="00A037EB" w:rsidP="00A037EB">
      <w:pPr>
        <w:ind w:firstLine="708"/>
        <w:jc w:val="both"/>
        <w:rPr>
          <w:lang w:val="de-DE"/>
        </w:rPr>
      </w:pPr>
      <w:r w:rsidRPr="004676F5">
        <w:rPr>
          <w:lang w:val="de-DE"/>
        </w:rPr>
        <w:t>2. jegliche Anträge auf außergerichtliche Beilegung einer verbraucherrechtlichen Streitigkeit entgegennehmen und entweder an eine andere diesbezüglich zuständige qualifizierte Einrichtung weiterleiten oder selbst behandeln,</w:t>
      </w:r>
    </w:p>
    <w:p w14:paraId="78138348" w14:textId="77777777" w:rsidR="00A037EB" w:rsidRPr="004676F5" w:rsidRDefault="00A037EB" w:rsidP="00A037EB">
      <w:pPr>
        <w:ind w:firstLine="708"/>
        <w:jc w:val="both"/>
        <w:rPr>
          <w:lang w:val="de-DE"/>
        </w:rPr>
      </w:pPr>
    </w:p>
    <w:p w14:paraId="1FA04929" w14:textId="77777777" w:rsidR="00A037EB" w:rsidRPr="004676F5" w:rsidRDefault="00A037EB" w:rsidP="00A037EB">
      <w:pPr>
        <w:ind w:firstLine="708"/>
        <w:jc w:val="both"/>
        <w:rPr>
          <w:lang w:val="de-DE"/>
        </w:rPr>
      </w:pPr>
      <w:r w:rsidRPr="004676F5">
        <w:rPr>
          <w:lang w:val="de-DE"/>
        </w:rPr>
        <w:t>3. bei Anträgen auf außergerichtliche Beilegung einer verbraucherrechtlichen Streitigkeit, für die keine andere qualifizierte Einrichtung zuständig ist, selbst tätig werden.</w:t>
      </w:r>
    </w:p>
    <w:p w14:paraId="632361DD" w14:textId="77777777" w:rsidR="00A037EB" w:rsidRPr="004676F5" w:rsidRDefault="00A037EB" w:rsidP="00A037EB">
      <w:pPr>
        <w:ind w:firstLine="708"/>
        <w:jc w:val="both"/>
        <w:rPr>
          <w:lang w:val="de-DE"/>
        </w:rPr>
      </w:pPr>
    </w:p>
    <w:p w14:paraId="5F6E4F6C" w14:textId="77777777" w:rsidR="00A720C3" w:rsidRPr="004676F5" w:rsidRDefault="00A720C3" w:rsidP="00A037EB">
      <w:pPr>
        <w:ind w:firstLine="708"/>
        <w:jc w:val="both"/>
        <w:rPr>
          <w:lang w:val="de-DE"/>
        </w:rPr>
      </w:pPr>
    </w:p>
    <w:p w14:paraId="25E9D0E8" w14:textId="368644A8" w:rsidR="00D51504" w:rsidRPr="004676F5" w:rsidRDefault="00BE0A56" w:rsidP="00D51504">
      <w:pPr>
        <w:ind w:firstLine="708"/>
        <w:jc w:val="both"/>
        <w:rPr>
          <w:rFonts w:eastAsiaTheme="minorHAnsi"/>
          <w:lang w:val="de-DE"/>
        </w:rPr>
      </w:pPr>
      <w:r w:rsidRPr="004676F5">
        <w:rPr>
          <w:b/>
          <w:lang w:val="de-DE"/>
        </w:rPr>
        <w:t>Art. </w:t>
      </w:r>
      <w:r w:rsidR="00A037EB" w:rsidRPr="004676F5">
        <w:rPr>
          <w:b/>
          <w:lang w:val="de-DE"/>
        </w:rPr>
        <w:t>XVI.7</w:t>
      </w:r>
      <w:r w:rsidR="00A037EB" w:rsidRPr="004676F5">
        <w:rPr>
          <w:lang w:val="de-DE"/>
        </w:rPr>
        <w:t> </w:t>
      </w:r>
      <w:r w:rsidR="005B7A5C" w:rsidRPr="004676F5">
        <w:rPr>
          <w:lang w:val="de-DE"/>
        </w:rPr>
        <w:t>- </w:t>
      </w:r>
      <w:r w:rsidR="00D51504" w:rsidRPr="004676F5">
        <w:rPr>
          <w:lang w:val="de-DE"/>
        </w:rPr>
        <w:t>[Der Ombudsdienst für Verbraucher erteilt dem Minister auf dessen Antrag hin jegliche Information über seine Arbeit und die Erfüllung seiner Aufträge.</w:t>
      </w:r>
    </w:p>
    <w:p w14:paraId="160012A0" w14:textId="77777777" w:rsidR="00D51504" w:rsidRPr="004676F5" w:rsidRDefault="00D51504" w:rsidP="00D51504">
      <w:pPr>
        <w:jc w:val="both"/>
        <w:rPr>
          <w:rFonts w:eastAsiaTheme="minorHAnsi"/>
          <w:lang w:val="de-DE" w:eastAsia="en-US"/>
        </w:rPr>
      </w:pPr>
    </w:p>
    <w:p w14:paraId="1BD73C66" w14:textId="77777777" w:rsidR="00D51504" w:rsidRPr="004676F5" w:rsidRDefault="00D51504" w:rsidP="00D51504">
      <w:pPr>
        <w:jc w:val="both"/>
        <w:rPr>
          <w:rFonts w:eastAsiaTheme="minorHAnsi"/>
          <w:lang w:val="de-DE"/>
        </w:rPr>
      </w:pPr>
      <w:r w:rsidRPr="004676F5">
        <w:rPr>
          <w:lang w:val="de-DE"/>
        </w:rPr>
        <w:tab/>
        <w:t>Der Ombudsdienst für Verbraucher erteilt dem für Haushalt zuständigen Minister auf dessen Antrag hin jegliche Information über Finanzierung und Verwendung der Funktions</w:t>
      </w:r>
      <w:r w:rsidRPr="004676F5">
        <w:rPr>
          <w:lang w:val="de-DE"/>
        </w:rPr>
        <w:softHyphen/>
        <w:t>mittel.</w:t>
      </w:r>
    </w:p>
    <w:p w14:paraId="2B34D858" w14:textId="77777777" w:rsidR="00D51504" w:rsidRPr="004676F5" w:rsidRDefault="00D51504" w:rsidP="00D51504">
      <w:pPr>
        <w:jc w:val="both"/>
        <w:rPr>
          <w:rFonts w:eastAsiaTheme="minorHAnsi"/>
          <w:lang w:val="de-DE" w:eastAsia="en-US"/>
        </w:rPr>
      </w:pPr>
    </w:p>
    <w:p w14:paraId="255C5FCB" w14:textId="77777777" w:rsidR="00A037EB" w:rsidRPr="004676F5" w:rsidRDefault="00D51504" w:rsidP="00D51504">
      <w:pPr>
        <w:ind w:firstLine="708"/>
        <w:jc w:val="both"/>
        <w:rPr>
          <w:lang w:val="de-DE"/>
        </w:rPr>
      </w:pPr>
      <w:r w:rsidRPr="004676F5">
        <w:rPr>
          <w:lang w:val="de-DE"/>
        </w:rPr>
        <w:t>Der Ombudsdienst für Verbraucher sorgt bei der Erteilung beantragter Informationen für die Wahrung der Vertraulichkeit der Anträge auf außergerichtliche Beilegung einer verbraucherrechtlichen Streitigkeit.]</w:t>
      </w:r>
    </w:p>
    <w:p w14:paraId="63D3AE95" w14:textId="77777777" w:rsidR="00D51504" w:rsidRPr="004676F5" w:rsidRDefault="00D51504" w:rsidP="00D51504">
      <w:pPr>
        <w:ind w:firstLine="708"/>
        <w:jc w:val="both"/>
        <w:rPr>
          <w:lang w:val="de-DE"/>
        </w:rPr>
      </w:pPr>
    </w:p>
    <w:p w14:paraId="4ADD810A" w14:textId="159C19CB" w:rsidR="00D51504" w:rsidRPr="004676F5" w:rsidRDefault="00D51504" w:rsidP="00D51504">
      <w:pPr>
        <w:jc w:val="both"/>
        <w:rPr>
          <w:i/>
          <w:lang w:val="de-DE"/>
        </w:rPr>
      </w:pPr>
      <w:r w:rsidRPr="004676F5">
        <w:rPr>
          <w:i/>
          <w:lang w:val="de-DE"/>
        </w:rPr>
        <w:t>[</w:t>
      </w:r>
      <w:r w:rsidR="00BE0A56" w:rsidRPr="004676F5">
        <w:rPr>
          <w:i/>
          <w:lang w:val="de-DE"/>
        </w:rPr>
        <w:t>Art. </w:t>
      </w:r>
      <w:r w:rsidRPr="004676F5">
        <w:rPr>
          <w:i/>
          <w:lang w:val="de-DE"/>
        </w:rPr>
        <w:t xml:space="preserve">XVI.7 ersetzt durch </w:t>
      </w:r>
      <w:r w:rsidR="00BE0A56" w:rsidRPr="004676F5">
        <w:rPr>
          <w:i/>
          <w:lang w:val="de-DE"/>
        </w:rPr>
        <w:t>Art. </w:t>
      </w:r>
      <w:r w:rsidRPr="004676F5">
        <w:rPr>
          <w:i/>
          <w:lang w:val="de-DE"/>
        </w:rPr>
        <w:t>33 des G. vom 18. April 2017 (B.S. vom 24. April 2017)]</w:t>
      </w:r>
    </w:p>
    <w:p w14:paraId="2EAC4097" w14:textId="77777777" w:rsidR="00A037EB" w:rsidRPr="004676F5" w:rsidRDefault="00A037EB" w:rsidP="00A037EB">
      <w:pPr>
        <w:rPr>
          <w:lang w:val="de-DE"/>
        </w:rPr>
      </w:pPr>
    </w:p>
    <w:p w14:paraId="2136A02C" w14:textId="77777777" w:rsidR="00A720C3" w:rsidRPr="004676F5" w:rsidRDefault="00A720C3">
      <w:pPr>
        <w:rPr>
          <w:lang w:val="de-DE"/>
        </w:rPr>
      </w:pPr>
      <w:r w:rsidRPr="004676F5">
        <w:rPr>
          <w:lang w:val="de-DE"/>
        </w:rPr>
        <w:br w:type="page"/>
      </w:r>
    </w:p>
    <w:p w14:paraId="47AB7E1E" w14:textId="47345DAF" w:rsidR="00A037EB" w:rsidRPr="004676F5" w:rsidRDefault="00A037EB" w:rsidP="00A037EB">
      <w:pPr>
        <w:jc w:val="center"/>
        <w:rPr>
          <w:lang w:val="de-DE"/>
        </w:rPr>
      </w:pPr>
      <w:r w:rsidRPr="004676F5">
        <w:rPr>
          <w:lang w:val="de-DE"/>
        </w:rPr>
        <w:lastRenderedPageBreak/>
        <w:t>KAPITEL 2 </w:t>
      </w:r>
      <w:r w:rsidR="005B7A5C" w:rsidRPr="004676F5">
        <w:rPr>
          <w:lang w:val="de-DE"/>
        </w:rPr>
        <w:t>- </w:t>
      </w:r>
      <w:r w:rsidRPr="004676F5">
        <w:rPr>
          <w:i/>
          <w:lang w:val="de-DE"/>
        </w:rPr>
        <w:t>Arbeitsweise</w:t>
      </w:r>
    </w:p>
    <w:p w14:paraId="19121F57" w14:textId="77777777" w:rsidR="00A037EB" w:rsidRPr="004676F5" w:rsidRDefault="00A037EB" w:rsidP="00A037EB">
      <w:pPr>
        <w:jc w:val="both"/>
        <w:rPr>
          <w:lang w:val="de-DE"/>
        </w:rPr>
      </w:pPr>
    </w:p>
    <w:p w14:paraId="6749094C" w14:textId="77777777" w:rsidR="00A720C3" w:rsidRPr="004676F5" w:rsidRDefault="00A720C3" w:rsidP="00A037EB">
      <w:pPr>
        <w:jc w:val="both"/>
        <w:rPr>
          <w:lang w:val="de-DE"/>
        </w:rPr>
      </w:pPr>
    </w:p>
    <w:p w14:paraId="77F68764" w14:textId="2734684F" w:rsidR="00A037EB" w:rsidRPr="004676F5" w:rsidRDefault="00BE0A56" w:rsidP="00A037EB">
      <w:pPr>
        <w:ind w:firstLine="708"/>
        <w:jc w:val="both"/>
        <w:rPr>
          <w:lang w:val="de-DE"/>
        </w:rPr>
      </w:pPr>
      <w:r w:rsidRPr="004676F5">
        <w:rPr>
          <w:b/>
          <w:lang w:val="de-DE"/>
        </w:rPr>
        <w:t>Art. </w:t>
      </w:r>
      <w:r w:rsidR="00A037EB" w:rsidRPr="004676F5">
        <w:rPr>
          <w:b/>
          <w:lang w:val="de-DE"/>
        </w:rPr>
        <w:t>XVI.8</w:t>
      </w:r>
      <w:r w:rsidR="00A037EB" w:rsidRPr="004676F5">
        <w:rPr>
          <w:lang w:val="de-DE"/>
        </w:rPr>
        <w:t> </w:t>
      </w:r>
      <w:r w:rsidR="005B7A5C" w:rsidRPr="004676F5">
        <w:rPr>
          <w:lang w:val="de-DE"/>
        </w:rPr>
        <w:t>- </w:t>
      </w:r>
      <w:r w:rsidR="00A037EB" w:rsidRPr="004676F5">
        <w:rPr>
          <w:lang w:val="de-DE"/>
        </w:rPr>
        <w:t xml:space="preserve">§ 1 </w:t>
      </w:r>
      <w:r w:rsidR="005B7A5C" w:rsidRPr="004676F5">
        <w:rPr>
          <w:lang w:val="de-DE"/>
        </w:rPr>
        <w:t>- </w:t>
      </w:r>
      <w:r w:rsidR="00A037EB" w:rsidRPr="004676F5">
        <w:rPr>
          <w:lang w:val="de-DE"/>
        </w:rPr>
        <w:t>Der Ombudsdienst für Verbraucher wird von einem Direktionsrat verwaltet und vertreten, der sich aus folgenden zehn Mitgliedern zusammensetzt:</w:t>
      </w:r>
    </w:p>
    <w:p w14:paraId="47B4FEEA" w14:textId="77777777" w:rsidR="00A037EB" w:rsidRPr="004676F5" w:rsidRDefault="00A037EB" w:rsidP="00A037EB">
      <w:pPr>
        <w:ind w:firstLine="708"/>
        <w:jc w:val="both"/>
        <w:rPr>
          <w:lang w:val="de-DE"/>
        </w:rPr>
      </w:pPr>
    </w:p>
    <w:p w14:paraId="05A42CF4" w14:textId="77777777" w:rsidR="00A037EB" w:rsidRPr="004676F5" w:rsidRDefault="00A037EB" w:rsidP="00A037EB">
      <w:pPr>
        <w:ind w:firstLine="708"/>
        <w:jc w:val="both"/>
        <w:rPr>
          <w:lang w:val="de-DE"/>
        </w:rPr>
      </w:pPr>
      <w:r w:rsidRPr="004676F5">
        <w:rPr>
          <w:lang w:val="de-DE"/>
        </w:rPr>
        <w:t>1. den beiden Mitgliedern des "Ombudsdienstes für Telekommunikation" wie in Artikel 43</w:t>
      </w:r>
      <w:r w:rsidRPr="004676F5">
        <w:rPr>
          <w:i/>
          <w:lang w:val="de-DE"/>
        </w:rPr>
        <w:t>bis</w:t>
      </w:r>
      <w:r w:rsidRPr="004676F5">
        <w:rPr>
          <w:lang w:val="de-DE"/>
        </w:rPr>
        <w:t xml:space="preserve"> § 1 des Gesetzes vom 21. März 1991 zur Umstrukturierung bestimmter öffentlicher Wirtschaftsunternehmen erwähnt,</w:t>
      </w:r>
    </w:p>
    <w:p w14:paraId="065D4D3C" w14:textId="77777777" w:rsidR="00A037EB" w:rsidRPr="004676F5" w:rsidRDefault="00A037EB" w:rsidP="00A037EB">
      <w:pPr>
        <w:ind w:firstLine="708"/>
        <w:jc w:val="both"/>
        <w:rPr>
          <w:lang w:val="de-DE"/>
        </w:rPr>
      </w:pPr>
    </w:p>
    <w:p w14:paraId="446899F0" w14:textId="77777777" w:rsidR="00A037EB" w:rsidRPr="004676F5" w:rsidRDefault="00A037EB" w:rsidP="00A037EB">
      <w:pPr>
        <w:ind w:firstLine="708"/>
        <w:jc w:val="both"/>
        <w:rPr>
          <w:lang w:val="de-DE"/>
        </w:rPr>
      </w:pPr>
      <w:r w:rsidRPr="004676F5">
        <w:rPr>
          <w:lang w:val="de-DE"/>
        </w:rPr>
        <w:t>2. den beiden Mitgliedern des "Ombudsdienstes für den Postsektor" wie in Artikel 43</w:t>
      </w:r>
      <w:r w:rsidRPr="004676F5">
        <w:rPr>
          <w:i/>
          <w:lang w:val="de-DE"/>
        </w:rPr>
        <w:t>ter</w:t>
      </w:r>
      <w:r w:rsidRPr="004676F5">
        <w:rPr>
          <w:lang w:val="de-DE"/>
        </w:rPr>
        <w:t xml:space="preserve"> § 1 des vorerwähnten Gesetzes erwähnt,</w:t>
      </w:r>
    </w:p>
    <w:p w14:paraId="7BE66D4B" w14:textId="77777777" w:rsidR="00A037EB" w:rsidRPr="004676F5" w:rsidRDefault="00A037EB" w:rsidP="00A037EB">
      <w:pPr>
        <w:ind w:firstLine="708"/>
        <w:jc w:val="both"/>
        <w:rPr>
          <w:lang w:val="de-DE"/>
        </w:rPr>
      </w:pPr>
    </w:p>
    <w:p w14:paraId="51FBBFAB" w14:textId="77777777" w:rsidR="00A037EB" w:rsidRPr="004676F5" w:rsidRDefault="00A037EB" w:rsidP="00A037EB">
      <w:pPr>
        <w:ind w:firstLine="708"/>
        <w:jc w:val="both"/>
        <w:rPr>
          <w:lang w:val="de-DE"/>
        </w:rPr>
      </w:pPr>
      <w:r w:rsidRPr="004676F5">
        <w:rPr>
          <w:lang w:val="de-DE"/>
        </w:rPr>
        <w:t>3. den beiden Mitgliedern der "Ombudsstelle für Energie" wie in Artikel 27 § 1 des Gesetzes vom 29. April 1999 über die Organisation des Elektrizitätsmarktes erwähnt,</w:t>
      </w:r>
    </w:p>
    <w:p w14:paraId="41F4F2D7" w14:textId="77777777" w:rsidR="00A037EB" w:rsidRPr="004676F5" w:rsidRDefault="00A037EB" w:rsidP="00A037EB">
      <w:pPr>
        <w:ind w:firstLine="708"/>
        <w:jc w:val="both"/>
        <w:rPr>
          <w:lang w:val="de-DE"/>
        </w:rPr>
      </w:pPr>
    </w:p>
    <w:p w14:paraId="6D14F546" w14:textId="77777777" w:rsidR="00A037EB" w:rsidRPr="004676F5" w:rsidRDefault="00A037EB" w:rsidP="00A037EB">
      <w:pPr>
        <w:ind w:firstLine="708"/>
        <w:jc w:val="both"/>
        <w:rPr>
          <w:lang w:val="de-DE"/>
        </w:rPr>
      </w:pPr>
      <w:r w:rsidRPr="004676F5">
        <w:rPr>
          <w:lang w:val="de-DE"/>
        </w:rPr>
        <w:t>4. den beiden Mitgliedern des "Ombudsdienstes für Bahnreisende" wie in Artikel 11 § 1 des Gesetzes vom 28. April 2010 zur Festlegung verschiedener Bestimmungen erwähnt,</w:t>
      </w:r>
    </w:p>
    <w:p w14:paraId="58127018" w14:textId="77777777" w:rsidR="00A037EB" w:rsidRPr="004676F5" w:rsidRDefault="00A037EB" w:rsidP="00A037EB">
      <w:pPr>
        <w:jc w:val="both"/>
        <w:rPr>
          <w:lang w:val="de-DE"/>
        </w:rPr>
      </w:pPr>
    </w:p>
    <w:p w14:paraId="566337B0" w14:textId="77777777" w:rsidR="00A037EB" w:rsidRPr="004676F5" w:rsidRDefault="00A037EB" w:rsidP="00A037EB">
      <w:pPr>
        <w:ind w:firstLine="708"/>
        <w:jc w:val="both"/>
        <w:rPr>
          <w:lang w:val="de-DE"/>
        </w:rPr>
      </w:pPr>
      <w:r w:rsidRPr="004676F5">
        <w:rPr>
          <w:lang w:val="de-DE"/>
        </w:rPr>
        <w:t>5. dem Ombudsmann des "Ombudsdienstes für Finanzdienstleistungen" wie in Artikel VII.216 des Wirtschaftsgesetzbuches erwähnt,</w:t>
      </w:r>
    </w:p>
    <w:p w14:paraId="375C3527" w14:textId="77777777" w:rsidR="00A037EB" w:rsidRPr="004676F5" w:rsidRDefault="00A037EB" w:rsidP="00A037EB">
      <w:pPr>
        <w:ind w:firstLine="708"/>
        <w:jc w:val="both"/>
        <w:rPr>
          <w:lang w:val="de-DE"/>
        </w:rPr>
      </w:pPr>
    </w:p>
    <w:p w14:paraId="676FE751" w14:textId="77777777" w:rsidR="00A037EB" w:rsidRPr="004676F5" w:rsidRDefault="00A037EB" w:rsidP="00A037EB">
      <w:pPr>
        <w:ind w:firstLine="708"/>
        <w:jc w:val="both"/>
        <w:rPr>
          <w:lang w:val="de-DE"/>
        </w:rPr>
      </w:pPr>
      <w:r w:rsidRPr="004676F5">
        <w:rPr>
          <w:lang w:val="de-DE"/>
        </w:rPr>
        <w:t>6. dem Ombudsmann des "Ombudsdienstes für Versicherungen" wie in Artikel 302 des Gesetzes vom 4. April 2014 über die Versicherungen erwähnt.</w:t>
      </w:r>
    </w:p>
    <w:p w14:paraId="4B09F993" w14:textId="77777777" w:rsidR="00A037EB" w:rsidRPr="004676F5" w:rsidRDefault="00A037EB" w:rsidP="00A037EB">
      <w:pPr>
        <w:ind w:firstLine="708"/>
        <w:jc w:val="both"/>
        <w:rPr>
          <w:lang w:val="de-DE"/>
        </w:rPr>
      </w:pPr>
    </w:p>
    <w:p w14:paraId="58B84C80" w14:textId="77777777" w:rsidR="00A037EB" w:rsidRPr="004676F5" w:rsidRDefault="00A037EB" w:rsidP="00A037EB">
      <w:pPr>
        <w:jc w:val="both"/>
        <w:rPr>
          <w:lang w:val="de-DE"/>
        </w:rPr>
      </w:pPr>
      <w:r w:rsidRPr="004676F5">
        <w:rPr>
          <w:lang w:val="de-DE"/>
        </w:rPr>
        <w:t xml:space="preserve"> </w:t>
      </w:r>
      <w:r w:rsidRPr="004676F5">
        <w:rPr>
          <w:lang w:val="de-DE"/>
        </w:rPr>
        <w:tab/>
      </w:r>
      <w:r w:rsidR="00D51504" w:rsidRPr="004676F5">
        <w:rPr>
          <w:lang w:val="de-DE"/>
        </w:rPr>
        <w:t>[Der Minister und der für Haushalt zuständige Minister können jeweils einen Vertreter bestimmen. Diese Vertreter tagen im Direktionsrat mit beratender Stimme für alle Punkte der Tagesordnung, die nicht im Zusammenhang mit Anträgen auf außergerichtliche Beilegung einer verbraucherrechtlichen Streitigkeit stehen.]</w:t>
      </w:r>
    </w:p>
    <w:p w14:paraId="315BAB02" w14:textId="77777777" w:rsidR="00A037EB" w:rsidRPr="004676F5" w:rsidRDefault="00A037EB" w:rsidP="00A037EB">
      <w:pPr>
        <w:jc w:val="both"/>
        <w:rPr>
          <w:lang w:val="de-DE"/>
        </w:rPr>
      </w:pPr>
    </w:p>
    <w:p w14:paraId="24BC43C5" w14:textId="77777777" w:rsidR="00D51504" w:rsidRPr="004676F5" w:rsidRDefault="00D51504" w:rsidP="00A037EB">
      <w:pPr>
        <w:jc w:val="both"/>
        <w:rPr>
          <w:lang w:val="de-DE"/>
        </w:rPr>
      </w:pPr>
      <w:r w:rsidRPr="004676F5">
        <w:rPr>
          <w:lang w:val="de-DE"/>
        </w:rPr>
        <w:tab/>
        <w:t>[Die Vertreter der Minister erhalten alle Unterlagen, die die Mitglieder des Direktions</w:t>
      </w:r>
      <w:r w:rsidRPr="004676F5">
        <w:rPr>
          <w:lang w:val="de-DE"/>
        </w:rPr>
        <w:softHyphen/>
        <w:t>rates erhalten, mit Ausnahme derjenigen, die sich auf Anträge auf außergerichtliche Beilegung einer verbraucherrechtlichen Streitigkeit beziehen.]</w:t>
      </w:r>
    </w:p>
    <w:p w14:paraId="6580A073" w14:textId="77777777" w:rsidR="00D51504" w:rsidRPr="004676F5" w:rsidRDefault="00D51504" w:rsidP="00A037EB">
      <w:pPr>
        <w:jc w:val="both"/>
        <w:rPr>
          <w:lang w:val="de-DE"/>
        </w:rPr>
      </w:pPr>
    </w:p>
    <w:p w14:paraId="12984B59" w14:textId="2B63F79F" w:rsidR="00A037EB" w:rsidRPr="004676F5" w:rsidRDefault="00A037EB" w:rsidP="00A037EB">
      <w:pPr>
        <w:ind w:firstLine="708"/>
        <w:jc w:val="both"/>
        <w:rPr>
          <w:lang w:val="de-DE"/>
        </w:rPr>
      </w:pPr>
      <w:r w:rsidRPr="004676F5">
        <w:rPr>
          <w:lang w:val="de-DE"/>
        </w:rPr>
        <w:t>§ 2 </w:t>
      </w:r>
      <w:r w:rsidR="005B7A5C" w:rsidRPr="004676F5">
        <w:rPr>
          <w:lang w:val="de-DE"/>
        </w:rPr>
        <w:t>- </w:t>
      </w:r>
      <w:r w:rsidR="00D51504" w:rsidRPr="004676F5">
        <w:rPr>
          <w:lang w:val="de-DE"/>
        </w:rPr>
        <w:t>[Der Minister bestimmt nach Stellungnahme des Direktionsrates alle zwei Jahre unter den Mitgliedern des Direktionsrates]</w:t>
      </w:r>
      <w:r w:rsidRPr="004676F5">
        <w:rPr>
          <w:lang w:val="de-DE"/>
        </w:rPr>
        <w:t xml:space="preserve"> einen Präsidenten und einen Vizepräsidenten, der der anderen Sprachrolle angehört.</w:t>
      </w:r>
    </w:p>
    <w:p w14:paraId="778F5A90" w14:textId="77777777" w:rsidR="00A037EB" w:rsidRPr="004676F5" w:rsidRDefault="00A037EB" w:rsidP="00A037EB">
      <w:pPr>
        <w:ind w:firstLine="708"/>
        <w:jc w:val="both"/>
        <w:rPr>
          <w:lang w:val="de-DE"/>
        </w:rPr>
      </w:pPr>
    </w:p>
    <w:p w14:paraId="51924038" w14:textId="77777777" w:rsidR="00A037EB" w:rsidRPr="004676F5" w:rsidRDefault="00A037EB" w:rsidP="00A037EB">
      <w:pPr>
        <w:ind w:firstLine="708"/>
        <w:jc w:val="both"/>
        <w:rPr>
          <w:lang w:val="de-DE"/>
        </w:rPr>
      </w:pPr>
      <w:r w:rsidRPr="004676F5">
        <w:rPr>
          <w:lang w:val="de-DE"/>
        </w:rPr>
        <w:t>Jeder in § 1 erwähnte Ombudsdienst verfügt über zwei Stimmen.</w:t>
      </w:r>
    </w:p>
    <w:p w14:paraId="72B6928F" w14:textId="77777777" w:rsidR="00A037EB" w:rsidRPr="004676F5" w:rsidRDefault="00A037EB" w:rsidP="00A037EB">
      <w:pPr>
        <w:ind w:firstLine="708"/>
        <w:jc w:val="both"/>
        <w:rPr>
          <w:lang w:val="de-DE"/>
        </w:rPr>
      </w:pPr>
    </w:p>
    <w:p w14:paraId="61217F91" w14:textId="77777777" w:rsidR="00A037EB" w:rsidRPr="004676F5" w:rsidRDefault="00D51504" w:rsidP="00A037EB">
      <w:pPr>
        <w:ind w:firstLine="708"/>
        <w:jc w:val="both"/>
        <w:rPr>
          <w:lang w:val="de-DE"/>
        </w:rPr>
      </w:pPr>
      <w:r w:rsidRPr="004676F5">
        <w:rPr>
          <w:lang w:val="de-DE"/>
        </w:rPr>
        <w:t>[...]</w:t>
      </w:r>
      <w:r w:rsidR="00A037EB" w:rsidRPr="004676F5">
        <w:rPr>
          <w:lang w:val="de-DE"/>
        </w:rPr>
        <w:t xml:space="preserve"> Ist der Präsident verhindert, übernimmt der Vizepräsident sein Amt.</w:t>
      </w:r>
    </w:p>
    <w:p w14:paraId="5D27D52F" w14:textId="77777777" w:rsidR="00A037EB" w:rsidRPr="004676F5" w:rsidRDefault="00A037EB" w:rsidP="00A037EB">
      <w:pPr>
        <w:ind w:firstLine="708"/>
        <w:jc w:val="both"/>
        <w:rPr>
          <w:lang w:val="de-DE"/>
        </w:rPr>
      </w:pPr>
    </w:p>
    <w:p w14:paraId="5C2A6169" w14:textId="77167BB7" w:rsidR="00A037EB" w:rsidRPr="004676F5" w:rsidRDefault="00A037EB" w:rsidP="00A037EB">
      <w:pPr>
        <w:ind w:firstLine="708"/>
        <w:jc w:val="both"/>
        <w:rPr>
          <w:lang w:val="de-DE"/>
        </w:rPr>
      </w:pPr>
      <w:r w:rsidRPr="004676F5">
        <w:rPr>
          <w:lang w:val="de-DE"/>
        </w:rPr>
        <w:t>§ 3 </w:t>
      </w:r>
      <w:r w:rsidR="005B7A5C" w:rsidRPr="004676F5">
        <w:rPr>
          <w:lang w:val="de-DE"/>
        </w:rPr>
        <w:t>- </w:t>
      </w:r>
      <w:r w:rsidRPr="004676F5">
        <w:rPr>
          <w:lang w:val="de-DE"/>
        </w:rPr>
        <w:t>Im Rahmen der anwendbaren Gesetzes</w:t>
      </w:r>
      <w:r w:rsidR="005B7A5C" w:rsidRPr="004676F5">
        <w:rPr>
          <w:lang w:val="de-DE"/>
        </w:rPr>
        <w:t>- </w:t>
      </w:r>
      <w:r w:rsidRPr="004676F5">
        <w:rPr>
          <w:lang w:val="de-DE"/>
        </w:rPr>
        <w:t>und Verordnungsbestimmungen ist der Direktionsrat befugt, alle Verfügungs</w:t>
      </w:r>
      <w:r w:rsidR="005B7A5C" w:rsidRPr="004676F5">
        <w:rPr>
          <w:lang w:val="de-DE"/>
        </w:rPr>
        <w:t>- </w:t>
      </w:r>
      <w:r w:rsidRPr="004676F5">
        <w:rPr>
          <w:lang w:val="de-DE"/>
        </w:rPr>
        <w:t>und Verwaltungshandlungen vorzunehmen, die für die Verwaltung des Ombudsdienstes für Verbraucher im Hinblick auf die Erfüllung seiner in Artikel XVI.6 erwähnten Aufträge erforderlich sind.</w:t>
      </w:r>
    </w:p>
    <w:p w14:paraId="60E7E437" w14:textId="77777777" w:rsidR="00A037EB" w:rsidRPr="004676F5" w:rsidRDefault="00A037EB" w:rsidP="00A037EB">
      <w:pPr>
        <w:ind w:firstLine="708"/>
        <w:jc w:val="both"/>
        <w:rPr>
          <w:lang w:val="de-DE"/>
        </w:rPr>
      </w:pPr>
    </w:p>
    <w:p w14:paraId="3B2B0179" w14:textId="77777777" w:rsidR="00A037EB" w:rsidRPr="004676F5" w:rsidRDefault="00A037EB" w:rsidP="00A037EB">
      <w:pPr>
        <w:ind w:firstLine="708"/>
        <w:jc w:val="both"/>
        <w:rPr>
          <w:lang w:val="de-DE"/>
        </w:rPr>
      </w:pPr>
      <w:r w:rsidRPr="004676F5">
        <w:rPr>
          <w:lang w:val="de-DE"/>
        </w:rPr>
        <w:t xml:space="preserve">Zu den Verwaltungshandlungen gehören unter anderem die Billigung des jährlichen Geschäftsführungsplans, die Erstellung des Haushaltsplans und die Kontrolle über seine </w:t>
      </w:r>
      <w:r w:rsidRPr="004676F5">
        <w:rPr>
          <w:lang w:val="de-DE"/>
        </w:rPr>
        <w:lastRenderedPageBreak/>
        <w:t>Ausführung, die Erstellung des Jahresabschlusses der Einnahmen und Ausgaben und die Ausarbeitung des Personalplans.</w:t>
      </w:r>
    </w:p>
    <w:p w14:paraId="7BE46395" w14:textId="77777777" w:rsidR="00A037EB" w:rsidRPr="004676F5" w:rsidRDefault="00A037EB" w:rsidP="00A037EB">
      <w:pPr>
        <w:jc w:val="both"/>
        <w:rPr>
          <w:lang w:val="de-DE"/>
        </w:rPr>
      </w:pPr>
    </w:p>
    <w:p w14:paraId="03CD492A" w14:textId="55B30D26" w:rsidR="00A037EB" w:rsidRPr="004676F5" w:rsidRDefault="00A037EB" w:rsidP="00A037EB">
      <w:pPr>
        <w:ind w:firstLine="708"/>
        <w:jc w:val="both"/>
        <w:rPr>
          <w:lang w:val="de-DE"/>
        </w:rPr>
      </w:pPr>
      <w:r w:rsidRPr="004676F5">
        <w:rPr>
          <w:lang w:val="de-DE"/>
        </w:rPr>
        <w:t xml:space="preserve">§ 4 </w:t>
      </w:r>
      <w:r w:rsidR="005B7A5C" w:rsidRPr="004676F5">
        <w:rPr>
          <w:lang w:val="de-DE"/>
        </w:rPr>
        <w:t>- </w:t>
      </w:r>
      <w:r w:rsidRPr="004676F5">
        <w:rPr>
          <w:lang w:val="de-DE"/>
        </w:rPr>
        <w:t>Der Direktionsrat kann selbst beschließen, die Haushalte der in § 1 aufgezählten Ombudsdienste zu konsolidieren und einen gemeinsamen Geschäftsführungsplan, einen gemeinsamen Jahresabschluss und einen gemeinsamen Personalplan zu erstellen.</w:t>
      </w:r>
    </w:p>
    <w:p w14:paraId="757C7173" w14:textId="77777777" w:rsidR="00A037EB" w:rsidRPr="004676F5" w:rsidRDefault="00A037EB" w:rsidP="00A037EB">
      <w:pPr>
        <w:jc w:val="both"/>
        <w:rPr>
          <w:lang w:val="de-DE"/>
        </w:rPr>
      </w:pPr>
    </w:p>
    <w:p w14:paraId="42193486" w14:textId="5E47E466" w:rsidR="00A037EB" w:rsidRPr="004676F5" w:rsidRDefault="00A037EB" w:rsidP="00A037EB">
      <w:pPr>
        <w:ind w:firstLine="708"/>
        <w:jc w:val="both"/>
        <w:rPr>
          <w:lang w:val="de-DE"/>
        </w:rPr>
      </w:pPr>
      <w:r w:rsidRPr="004676F5">
        <w:rPr>
          <w:lang w:val="de-DE"/>
        </w:rPr>
        <w:t>§ 5 </w:t>
      </w:r>
      <w:r w:rsidR="005B7A5C" w:rsidRPr="004676F5">
        <w:rPr>
          <w:lang w:val="de-DE"/>
        </w:rPr>
        <w:t>- </w:t>
      </w:r>
      <w:r w:rsidRPr="004676F5">
        <w:rPr>
          <w:lang w:val="de-DE"/>
        </w:rPr>
        <w:t>Die Mitglieder des Direktionsrates bilden ein Kollegium. Zur Erfüllung der Aufträge des Ombudsdienstes für Verbraucher kann der Direktionsrat durch kollegiale Entscheidung einem oder mehreren seiner Mitglieder Vollmachten erteilen.</w:t>
      </w:r>
    </w:p>
    <w:p w14:paraId="5C00DA4F" w14:textId="77777777" w:rsidR="00A037EB" w:rsidRPr="004676F5" w:rsidRDefault="00A037EB" w:rsidP="00A037EB">
      <w:pPr>
        <w:jc w:val="both"/>
        <w:rPr>
          <w:lang w:val="de-DE"/>
        </w:rPr>
      </w:pPr>
    </w:p>
    <w:p w14:paraId="27C3FC8A" w14:textId="77777777" w:rsidR="00A037EB" w:rsidRPr="004676F5" w:rsidRDefault="00A037EB" w:rsidP="00A037EB">
      <w:pPr>
        <w:ind w:firstLine="708"/>
        <w:jc w:val="both"/>
        <w:rPr>
          <w:lang w:val="de-DE"/>
        </w:rPr>
      </w:pPr>
      <w:r w:rsidRPr="004676F5">
        <w:rPr>
          <w:lang w:val="de-DE"/>
        </w:rPr>
        <w:t>Wenn ein Ombudsmann, der Mitglied des Direktionsrates ist, sein Amt nicht ausüben kann, oder wenn das Mandat als Ombudsmann aus gleich welchem Grund unbesetzt ist oder endet, sind die anderen Ombudsmänner, die Mitglied des Direktionsrates sind, ermächtigt, seine Befugnisse zeitweilig auszuüben.</w:t>
      </w:r>
    </w:p>
    <w:p w14:paraId="24BC0CEE" w14:textId="77777777" w:rsidR="00D51504" w:rsidRPr="004676F5" w:rsidRDefault="00D51504" w:rsidP="00A037EB">
      <w:pPr>
        <w:ind w:firstLine="708"/>
        <w:jc w:val="both"/>
        <w:rPr>
          <w:lang w:val="de-DE"/>
        </w:rPr>
      </w:pPr>
    </w:p>
    <w:p w14:paraId="5D48D549" w14:textId="36AA87B3" w:rsidR="00D51504" w:rsidRPr="004676F5" w:rsidRDefault="00D51504" w:rsidP="00D51504">
      <w:pPr>
        <w:jc w:val="both"/>
        <w:rPr>
          <w:i/>
          <w:lang w:val="de-DE"/>
        </w:rPr>
      </w:pPr>
      <w:r w:rsidRPr="004676F5">
        <w:rPr>
          <w:i/>
          <w:lang w:val="de-DE"/>
        </w:rPr>
        <w:t>[</w:t>
      </w:r>
      <w:r w:rsidR="00BE0A56" w:rsidRPr="004676F5">
        <w:rPr>
          <w:i/>
          <w:lang w:val="de-DE"/>
        </w:rPr>
        <w:t>Art. </w:t>
      </w:r>
      <w:r w:rsidRPr="004676F5">
        <w:rPr>
          <w:i/>
          <w:lang w:val="de-DE"/>
        </w:rPr>
        <w:t xml:space="preserve">XVI.8 </w:t>
      </w:r>
      <w:r w:rsidR="005523DE" w:rsidRPr="004676F5">
        <w:rPr>
          <w:i/>
          <w:lang w:val="de-DE"/>
        </w:rPr>
        <w:t xml:space="preserve">§ 1 Abs. 2 ersetzt durch </w:t>
      </w:r>
      <w:r w:rsidR="00BE0A56" w:rsidRPr="004676F5">
        <w:rPr>
          <w:i/>
          <w:lang w:val="de-DE"/>
        </w:rPr>
        <w:t>Art. </w:t>
      </w:r>
      <w:r w:rsidR="005523DE" w:rsidRPr="004676F5">
        <w:rPr>
          <w:i/>
          <w:lang w:val="de-DE"/>
        </w:rPr>
        <w:t xml:space="preserve">34 Nr. 1 des G. vom 18. April 2017 (B.S. vom 24. April 2017); § 1 Abs. 3 eingefügt durch </w:t>
      </w:r>
      <w:r w:rsidR="00BE0A56" w:rsidRPr="004676F5">
        <w:rPr>
          <w:i/>
          <w:lang w:val="de-DE"/>
        </w:rPr>
        <w:t>Art. </w:t>
      </w:r>
      <w:r w:rsidR="005523DE" w:rsidRPr="004676F5">
        <w:rPr>
          <w:i/>
          <w:lang w:val="de-DE"/>
        </w:rPr>
        <w:t xml:space="preserve">34 Nr. 2 des G. vom 18. April 2017 (B.S. vom 24. April 2017); § 2 Abs. 1 abgeändert durch </w:t>
      </w:r>
      <w:r w:rsidR="00BE0A56" w:rsidRPr="004676F5">
        <w:rPr>
          <w:i/>
          <w:lang w:val="de-DE"/>
        </w:rPr>
        <w:t>Art. </w:t>
      </w:r>
      <w:r w:rsidR="005523DE" w:rsidRPr="004676F5">
        <w:rPr>
          <w:i/>
          <w:lang w:val="de-DE"/>
        </w:rPr>
        <w:t xml:space="preserve">34 Nr. 3 des G. vom 18. April 2017 (B.S. vom 24. April 2017); § 2 Abs. 3 abgeändert durch </w:t>
      </w:r>
      <w:r w:rsidR="00BE0A56" w:rsidRPr="004676F5">
        <w:rPr>
          <w:i/>
          <w:lang w:val="de-DE"/>
        </w:rPr>
        <w:t>Art. </w:t>
      </w:r>
      <w:r w:rsidR="005523DE" w:rsidRPr="004676F5">
        <w:rPr>
          <w:i/>
          <w:lang w:val="de-DE"/>
        </w:rPr>
        <w:t>34 Nr. 4 des G. vom 18. April 2017 (B.S. vom 24. April 2017)]</w:t>
      </w:r>
    </w:p>
    <w:p w14:paraId="4E2B2EA8" w14:textId="77777777" w:rsidR="005523DE" w:rsidRPr="004676F5" w:rsidRDefault="005523DE" w:rsidP="00D51504">
      <w:pPr>
        <w:jc w:val="both"/>
        <w:rPr>
          <w:i/>
          <w:lang w:val="de-DE"/>
        </w:rPr>
      </w:pPr>
    </w:p>
    <w:p w14:paraId="69A9B467" w14:textId="77777777" w:rsidR="00A037EB" w:rsidRPr="004676F5" w:rsidRDefault="00A037EB" w:rsidP="00A037EB">
      <w:pPr>
        <w:jc w:val="both"/>
        <w:rPr>
          <w:lang w:val="de-DE"/>
        </w:rPr>
      </w:pPr>
    </w:p>
    <w:p w14:paraId="2E7AB74C" w14:textId="5702E352" w:rsidR="00A037EB" w:rsidRPr="004676F5" w:rsidRDefault="00BE0A56" w:rsidP="00A037EB">
      <w:pPr>
        <w:ind w:firstLine="708"/>
        <w:jc w:val="both"/>
        <w:rPr>
          <w:lang w:val="de-DE"/>
        </w:rPr>
      </w:pPr>
      <w:r w:rsidRPr="004676F5">
        <w:rPr>
          <w:b/>
          <w:lang w:val="de-DE"/>
        </w:rPr>
        <w:t>Art. </w:t>
      </w:r>
      <w:r w:rsidR="00A037EB" w:rsidRPr="004676F5">
        <w:rPr>
          <w:b/>
          <w:lang w:val="de-DE"/>
        </w:rPr>
        <w:t>XVI.9</w:t>
      </w:r>
      <w:r w:rsidR="00A037EB" w:rsidRPr="004676F5">
        <w:rPr>
          <w:lang w:val="de-DE"/>
        </w:rPr>
        <w:t> </w:t>
      </w:r>
      <w:r w:rsidR="005B7A5C" w:rsidRPr="004676F5">
        <w:rPr>
          <w:lang w:val="de-DE"/>
        </w:rPr>
        <w:t>- </w:t>
      </w:r>
      <w:r w:rsidR="00A037EB" w:rsidRPr="004676F5">
        <w:rPr>
          <w:lang w:val="de-DE"/>
        </w:rPr>
        <w:t>Die Mitglieder legen dem Direktionsrat unverzüglich alle Umstände offen, die ihre Unabhängigkeit und Unparteilichkeit beeinträchtigen oder Interessenkonflikte mit einer der Parteien eines Verfahrens der außergerichtlichen Beilegung einer verbraucherrechtlichen Streitigkeit, mit dem sie in Anwendung des Artikels XVI.6 Nr. 3 beauftragt sind, entstehen lassen könnten oder diesen Eindruck erwecken könnten.</w:t>
      </w:r>
    </w:p>
    <w:p w14:paraId="34D6BD52" w14:textId="77777777" w:rsidR="00A037EB" w:rsidRPr="004676F5" w:rsidRDefault="00A037EB" w:rsidP="00A037EB">
      <w:pPr>
        <w:jc w:val="both"/>
        <w:rPr>
          <w:lang w:val="de-DE"/>
        </w:rPr>
      </w:pPr>
    </w:p>
    <w:p w14:paraId="2D29BD0B" w14:textId="77777777" w:rsidR="00A037EB" w:rsidRPr="004676F5" w:rsidRDefault="00A037EB" w:rsidP="00A037EB">
      <w:pPr>
        <w:ind w:firstLine="708"/>
        <w:jc w:val="both"/>
        <w:rPr>
          <w:lang w:val="de-DE"/>
        </w:rPr>
      </w:pPr>
      <w:r w:rsidRPr="004676F5">
        <w:rPr>
          <w:lang w:val="de-DE"/>
        </w:rPr>
        <w:t>In diesem Zusammenhang verzichtet das betreffende Mitglied auf die Teilnahme an den Beratungen des Direktionsrates oder der Direktionsrat ersetzt das betreffende Mitglied durch ein anderes Mitglied.</w:t>
      </w:r>
    </w:p>
    <w:p w14:paraId="35462910" w14:textId="77777777" w:rsidR="00A037EB" w:rsidRPr="004676F5" w:rsidRDefault="00A037EB" w:rsidP="00A037EB">
      <w:pPr>
        <w:jc w:val="both"/>
        <w:rPr>
          <w:lang w:val="de-DE"/>
        </w:rPr>
      </w:pPr>
    </w:p>
    <w:p w14:paraId="5FA20B06" w14:textId="77777777" w:rsidR="00A720C3" w:rsidRPr="004676F5" w:rsidRDefault="00A720C3" w:rsidP="00A037EB">
      <w:pPr>
        <w:jc w:val="both"/>
        <w:rPr>
          <w:lang w:val="de-DE"/>
        </w:rPr>
      </w:pPr>
    </w:p>
    <w:p w14:paraId="668DD891" w14:textId="7E7F0237" w:rsidR="00A037EB" w:rsidRPr="004676F5" w:rsidRDefault="00BE0A56" w:rsidP="00A037EB">
      <w:pPr>
        <w:ind w:firstLine="708"/>
        <w:jc w:val="both"/>
        <w:rPr>
          <w:lang w:val="de-DE"/>
        </w:rPr>
      </w:pPr>
      <w:r w:rsidRPr="004676F5">
        <w:rPr>
          <w:b/>
          <w:lang w:val="de-DE"/>
        </w:rPr>
        <w:t>Art. </w:t>
      </w:r>
      <w:r w:rsidR="00A037EB" w:rsidRPr="004676F5">
        <w:rPr>
          <w:b/>
          <w:lang w:val="de-DE"/>
        </w:rPr>
        <w:t>XVI.10</w:t>
      </w:r>
      <w:r w:rsidR="00A037EB" w:rsidRPr="004676F5">
        <w:rPr>
          <w:lang w:val="de-DE"/>
        </w:rPr>
        <w:t> </w:t>
      </w:r>
      <w:r w:rsidR="005B7A5C" w:rsidRPr="004676F5">
        <w:rPr>
          <w:lang w:val="de-DE"/>
        </w:rPr>
        <w:t>- </w:t>
      </w:r>
      <w:r w:rsidR="00A037EB" w:rsidRPr="004676F5">
        <w:rPr>
          <w:lang w:val="de-DE"/>
        </w:rPr>
        <w:t>Der Direktionsrat erstellt eine Geschäftsordnung, die dem Minister zur Billigung vorgelegt wird.</w:t>
      </w:r>
    </w:p>
    <w:p w14:paraId="6ABA2863" w14:textId="77777777" w:rsidR="00A037EB" w:rsidRPr="004676F5" w:rsidRDefault="00A037EB" w:rsidP="00A037EB">
      <w:pPr>
        <w:ind w:firstLine="708"/>
        <w:jc w:val="both"/>
        <w:rPr>
          <w:lang w:val="de-DE"/>
        </w:rPr>
      </w:pPr>
    </w:p>
    <w:p w14:paraId="02AC4585" w14:textId="77777777" w:rsidR="00A720C3" w:rsidRPr="004676F5" w:rsidRDefault="00A720C3" w:rsidP="00A037EB">
      <w:pPr>
        <w:ind w:firstLine="708"/>
        <w:jc w:val="both"/>
        <w:rPr>
          <w:lang w:val="de-DE"/>
        </w:rPr>
      </w:pPr>
    </w:p>
    <w:p w14:paraId="25F3B3D8" w14:textId="06F043A8" w:rsidR="005523DE" w:rsidRPr="004676F5" w:rsidRDefault="00BE0A56" w:rsidP="005523DE">
      <w:pPr>
        <w:ind w:firstLine="708"/>
        <w:jc w:val="both"/>
        <w:rPr>
          <w:rFonts w:eastAsiaTheme="minorHAnsi"/>
          <w:lang w:val="de-DE"/>
        </w:rPr>
      </w:pPr>
      <w:r w:rsidRPr="004676F5">
        <w:rPr>
          <w:b/>
          <w:lang w:val="de-DE"/>
        </w:rPr>
        <w:t>Art. </w:t>
      </w:r>
      <w:r w:rsidR="00A037EB" w:rsidRPr="004676F5">
        <w:rPr>
          <w:b/>
          <w:lang w:val="de-DE"/>
        </w:rPr>
        <w:t>XVI.11</w:t>
      </w:r>
      <w:r w:rsidR="00A037EB" w:rsidRPr="004676F5">
        <w:rPr>
          <w:lang w:val="de-DE"/>
        </w:rPr>
        <w:t xml:space="preserve"> </w:t>
      </w:r>
      <w:r w:rsidR="005B7A5C" w:rsidRPr="004676F5">
        <w:rPr>
          <w:lang w:val="de-DE"/>
        </w:rPr>
        <w:t>- </w:t>
      </w:r>
      <w:r w:rsidR="005523DE" w:rsidRPr="004676F5">
        <w:rPr>
          <w:lang w:val="de-DE"/>
        </w:rPr>
        <w:t>[§ 1 </w:t>
      </w:r>
      <w:r w:rsidR="005B7A5C" w:rsidRPr="004676F5">
        <w:rPr>
          <w:lang w:val="de-DE"/>
        </w:rPr>
        <w:t>- </w:t>
      </w:r>
      <w:r w:rsidR="005523DE" w:rsidRPr="004676F5">
        <w:rPr>
          <w:lang w:val="de-DE"/>
        </w:rPr>
        <w:t>Der Ombudsdienst für Verbraucher wird im Hinblick auf die Erfüllung seiner in Artikel XVI.6 erwähnten Aufträge finanziert durch:</w:t>
      </w:r>
    </w:p>
    <w:p w14:paraId="1147259D" w14:textId="77777777" w:rsidR="005523DE" w:rsidRPr="004676F5" w:rsidRDefault="005523DE" w:rsidP="005523DE">
      <w:pPr>
        <w:jc w:val="both"/>
        <w:rPr>
          <w:rFonts w:eastAsiaTheme="minorHAnsi"/>
          <w:lang w:val="de-DE" w:eastAsia="en-US"/>
        </w:rPr>
      </w:pPr>
    </w:p>
    <w:p w14:paraId="717AAEBB" w14:textId="77777777" w:rsidR="005523DE" w:rsidRPr="004676F5" w:rsidRDefault="005523DE" w:rsidP="005523DE">
      <w:pPr>
        <w:jc w:val="both"/>
        <w:rPr>
          <w:rFonts w:eastAsiaTheme="minorHAnsi"/>
          <w:lang w:val="de-DE"/>
        </w:rPr>
      </w:pPr>
      <w:r w:rsidRPr="004676F5">
        <w:rPr>
          <w:lang w:val="de-DE"/>
        </w:rPr>
        <w:tab/>
        <w:t>1. eine Subvention zu Lasten des allgemeinen Ausgabenhaushaltsplans,</w:t>
      </w:r>
    </w:p>
    <w:p w14:paraId="0A8E2CB4" w14:textId="77777777" w:rsidR="005523DE" w:rsidRPr="004676F5" w:rsidRDefault="005523DE" w:rsidP="005523DE">
      <w:pPr>
        <w:jc w:val="both"/>
        <w:rPr>
          <w:rFonts w:eastAsiaTheme="minorHAnsi"/>
          <w:lang w:val="de-DE" w:eastAsia="en-US"/>
        </w:rPr>
      </w:pPr>
    </w:p>
    <w:p w14:paraId="0B55B71B" w14:textId="77777777" w:rsidR="005523DE" w:rsidRPr="004676F5" w:rsidRDefault="005523DE" w:rsidP="005523DE">
      <w:pPr>
        <w:jc w:val="both"/>
        <w:rPr>
          <w:rFonts w:eastAsiaTheme="minorHAnsi"/>
          <w:lang w:val="de-DE"/>
        </w:rPr>
      </w:pPr>
      <w:r w:rsidRPr="004676F5">
        <w:rPr>
          <w:lang w:val="de-DE"/>
        </w:rPr>
        <w:tab/>
        <w:t>2. Beiträge von Unternehmen, die von der außergerichtlichen Beilegung von verbraucherrechtlichen Streitigkeiten im Sinne von Artikel XVI.6 Nr. 3 betroffen sind, sofern es sich nicht um offensichtlich unbegründete Anträge auf außergerichtliche Beilegung einer verbraucherrechtlichen Streitigkeit handelt,</w:t>
      </w:r>
    </w:p>
    <w:p w14:paraId="725E45BF" w14:textId="77777777" w:rsidR="005523DE" w:rsidRPr="004676F5" w:rsidRDefault="005523DE" w:rsidP="005523DE">
      <w:pPr>
        <w:jc w:val="both"/>
        <w:rPr>
          <w:rFonts w:eastAsiaTheme="minorHAnsi"/>
          <w:lang w:val="de-DE" w:eastAsia="en-US"/>
        </w:rPr>
      </w:pPr>
    </w:p>
    <w:p w14:paraId="25A6A068" w14:textId="77777777" w:rsidR="005523DE" w:rsidRPr="004676F5" w:rsidRDefault="005523DE" w:rsidP="005523DE">
      <w:pPr>
        <w:jc w:val="both"/>
        <w:rPr>
          <w:rFonts w:eastAsiaTheme="minorHAnsi"/>
          <w:lang w:val="de-DE"/>
        </w:rPr>
      </w:pPr>
      <w:r w:rsidRPr="004676F5">
        <w:rPr>
          <w:lang w:val="de-DE"/>
        </w:rPr>
        <w:tab/>
        <w:t>3. einen Teil der "Ombudsbeiträge", die erhoben werden, um die in Artikel XVI.8 § 1 erwähnten Ombudsdienste zu finanzieren.</w:t>
      </w:r>
    </w:p>
    <w:p w14:paraId="04647E8A" w14:textId="77777777" w:rsidR="005523DE" w:rsidRPr="004676F5" w:rsidRDefault="005523DE" w:rsidP="005523DE">
      <w:pPr>
        <w:jc w:val="both"/>
        <w:rPr>
          <w:rFonts w:eastAsiaTheme="minorHAnsi"/>
          <w:lang w:val="de-DE" w:eastAsia="en-US"/>
        </w:rPr>
      </w:pPr>
    </w:p>
    <w:p w14:paraId="1E5735EC" w14:textId="67C2AD75" w:rsidR="00A037EB" w:rsidRPr="004676F5" w:rsidRDefault="005523DE" w:rsidP="005523DE">
      <w:pPr>
        <w:ind w:firstLine="708"/>
        <w:jc w:val="both"/>
        <w:rPr>
          <w:lang w:val="de-DE"/>
        </w:rPr>
      </w:pPr>
      <w:r w:rsidRPr="004676F5">
        <w:rPr>
          <w:lang w:val="de-DE"/>
        </w:rPr>
        <w:t>§ 2 </w:t>
      </w:r>
      <w:r w:rsidR="005B7A5C" w:rsidRPr="004676F5">
        <w:rPr>
          <w:lang w:val="de-DE"/>
        </w:rPr>
        <w:t>- </w:t>
      </w:r>
      <w:r w:rsidRPr="004676F5">
        <w:rPr>
          <w:lang w:val="de-DE"/>
        </w:rPr>
        <w:t>Der König bestimmt durch einen im Ministerrat beratenen Erlass die in § 1 Nr. 2 und 3 erwähnten Beiträge. Für die Festlegung der Höhe der Ombudsbeiträge, die den Ombudsdiensten gemäß § 1 Nr. 3 zukommen, berücksichtigt Er unter anderem die Einsparungen und Synergievorteile, die sie infolge der gemeinsamen Unterbringung und ihrer Zusammenarbeit erzielt haben oder erzielen werden.]</w:t>
      </w:r>
    </w:p>
    <w:p w14:paraId="12BC64A5" w14:textId="77777777" w:rsidR="005523DE" w:rsidRPr="004676F5" w:rsidRDefault="005523DE" w:rsidP="005523DE">
      <w:pPr>
        <w:ind w:firstLine="708"/>
        <w:jc w:val="both"/>
        <w:rPr>
          <w:lang w:val="de-DE"/>
        </w:rPr>
      </w:pPr>
    </w:p>
    <w:p w14:paraId="606DD379" w14:textId="0124DBBB" w:rsidR="005523DE" w:rsidRPr="004676F5" w:rsidRDefault="005523DE" w:rsidP="005523DE">
      <w:pPr>
        <w:jc w:val="both"/>
        <w:rPr>
          <w:i/>
          <w:lang w:val="de-DE"/>
        </w:rPr>
      </w:pPr>
      <w:r w:rsidRPr="004676F5">
        <w:rPr>
          <w:i/>
          <w:lang w:val="de-DE"/>
        </w:rPr>
        <w:t>[</w:t>
      </w:r>
      <w:r w:rsidR="00BE0A56" w:rsidRPr="004676F5">
        <w:rPr>
          <w:i/>
          <w:lang w:val="de-DE"/>
        </w:rPr>
        <w:t>Art. </w:t>
      </w:r>
      <w:r w:rsidRPr="004676F5">
        <w:rPr>
          <w:i/>
          <w:lang w:val="de-DE"/>
        </w:rPr>
        <w:t xml:space="preserve">XVI.11 ersetzt durch </w:t>
      </w:r>
      <w:r w:rsidR="00BE0A56" w:rsidRPr="004676F5">
        <w:rPr>
          <w:i/>
          <w:lang w:val="de-DE"/>
        </w:rPr>
        <w:t>Art. </w:t>
      </w:r>
      <w:r w:rsidRPr="004676F5">
        <w:rPr>
          <w:i/>
          <w:lang w:val="de-DE"/>
        </w:rPr>
        <w:t>35 des G. vom 18. April 2017 (B.S. vom 24. April 2017)]</w:t>
      </w:r>
    </w:p>
    <w:p w14:paraId="7056B85F" w14:textId="77777777" w:rsidR="00A037EB" w:rsidRPr="004676F5" w:rsidRDefault="00A037EB" w:rsidP="00A037EB">
      <w:pPr>
        <w:jc w:val="both"/>
        <w:rPr>
          <w:lang w:val="de-DE"/>
        </w:rPr>
      </w:pPr>
    </w:p>
    <w:p w14:paraId="49EC1889" w14:textId="77777777" w:rsidR="00A720C3" w:rsidRPr="004676F5" w:rsidRDefault="00A720C3" w:rsidP="00A037EB">
      <w:pPr>
        <w:jc w:val="both"/>
        <w:rPr>
          <w:lang w:val="de-DE"/>
        </w:rPr>
      </w:pPr>
    </w:p>
    <w:p w14:paraId="01761BB6" w14:textId="3FC0686C" w:rsidR="00A037EB" w:rsidRPr="004676F5" w:rsidRDefault="00BE0A56" w:rsidP="00A037EB">
      <w:pPr>
        <w:ind w:firstLine="708"/>
        <w:jc w:val="both"/>
        <w:rPr>
          <w:lang w:val="de-DE"/>
        </w:rPr>
      </w:pPr>
      <w:r w:rsidRPr="004676F5">
        <w:rPr>
          <w:b/>
          <w:lang w:val="de-DE"/>
        </w:rPr>
        <w:t>Art. </w:t>
      </w:r>
      <w:r w:rsidR="00A037EB" w:rsidRPr="004676F5">
        <w:rPr>
          <w:b/>
          <w:lang w:val="de-DE"/>
        </w:rPr>
        <w:t>XVI.12</w:t>
      </w:r>
      <w:r w:rsidR="00A037EB" w:rsidRPr="004676F5">
        <w:rPr>
          <w:lang w:val="de-DE"/>
        </w:rPr>
        <w:t> </w:t>
      </w:r>
      <w:r w:rsidR="005B7A5C" w:rsidRPr="004676F5">
        <w:rPr>
          <w:lang w:val="de-DE"/>
        </w:rPr>
        <w:t>- </w:t>
      </w:r>
      <w:r w:rsidR="00A037EB" w:rsidRPr="004676F5">
        <w:rPr>
          <w:lang w:val="de-DE"/>
        </w:rPr>
        <w:t>Der Föderale Öffentliche Dienst Wirtschaft, KMB, Mittelstand und Energie stellt dem Ombudsdienst für Verbraucher logistische und materielle Mittel zur Verfügung. Zu diesem Zweck wird zwischen dem Ombudsdienst für Verbraucher, den betreffenden Sektoren und dem Föderalen Öffentlichen Dienst Wirtschaft ein Dienstleistungsvertrag geschlossen, der vom König ratifiziert wird.</w:t>
      </w:r>
    </w:p>
    <w:p w14:paraId="2B11C3B9" w14:textId="77777777" w:rsidR="00A037EB" w:rsidRPr="004676F5" w:rsidRDefault="00A037EB" w:rsidP="00A037EB">
      <w:pPr>
        <w:jc w:val="both"/>
        <w:rPr>
          <w:lang w:val="de-DE"/>
        </w:rPr>
      </w:pPr>
    </w:p>
    <w:p w14:paraId="638E694C" w14:textId="77777777" w:rsidR="00A720C3" w:rsidRPr="004676F5" w:rsidRDefault="00A720C3">
      <w:pPr>
        <w:rPr>
          <w:lang w:val="de-DE"/>
        </w:rPr>
      </w:pPr>
      <w:r w:rsidRPr="004676F5">
        <w:rPr>
          <w:lang w:val="de-DE"/>
        </w:rPr>
        <w:br w:type="page"/>
      </w:r>
    </w:p>
    <w:p w14:paraId="696A6CD3" w14:textId="74619360" w:rsidR="00A037EB" w:rsidRPr="004676F5" w:rsidRDefault="00A037EB" w:rsidP="00A037EB">
      <w:pPr>
        <w:jc w:val="center"/>
        <w:rPr>
          <w:lang w:val="de-DE"/>
        </w:rPr>
      </w:pPr>
      <w:r w:rsidRPr="004676F5">
        <w:rPr>
          <w:lang w:val="de-DE"/>
        </w:rPr>
        <w:lastRenderedPageBreak/>
        <w:t xml:space="preserve">KAPITEL 3 </w:t>
      </w:r>
      <w:r w:rsidR="005B7A5C" w:rsidRPr="004676F5">
        <w:rPr>
          <w:lang w:val="de-DE"/>
        </w:rPr>
        <w:t>- </w:t>
      </w:r>
      <w:r w:rsidRPr="004676F5">
        <w:rPr>
          <w:i/>
          <w:lang w:val="de-DE"/>
        </w:rPr>
        <w:t>Befugnisse</w:t>
      </w:r>
    </w:p>
    <w:p w14:paraId="32DDC580" w14:textId="77777777" w:rsidR="00A037EB" w:rsidRPr="004676F5" w:rsidRDefault="00A037EB" w:rsidP="00A037EB">
      <w:pPr>
        <w:jc w:val="center"/>
        <w:rPr>
          <w:lang w:val="de-DE"/>
        </w:rPr>
      </w:pPr>
    </w:p>
    <w:p w14:paraId="00EE9A18" w14:textId="77777777" w:rsidR="00A720C3" w:rsidRPr="004676F5" w:rsidRDefault="00A720C3" w:rsidP="00A037EB">
      <w:pPr>
        <w:jc w:val="center"/>
        <w:rPr>
          <w:lang w:val="de-DE"/>
        </w:rPr>
      </w:pPr>
    </w:p>
    <w:p w14:paraId="5C9A2EFC" w14:textId="1C53CD87" w:rsidR="00A037EB" w:rsidRPr="004676F5" w:rsidRDefault="00A037EB" w:rsidP="00A037EB">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Information</w:t>
      </w:r>
    </w:p>
    <w:p w14:paraId="22095018" w14:textId="77777777" w:rsidR="00A037EB" w:rsidRPr="004676F5" w:rsidRDefault="00A037EB" w:rsidP="00A037EB">
      <w:pPr>
        <w:jc w:val="both"/>
        <w:rPr>
          <w:lang w:val="de-DE"/>
        </w:rPr>
      </w:pPr>
    </w:p>
    <w:p w14:paraId="5A525FCA" w14:textId="77777777" w:rsidR="00A720C3" w:rsidRPr="004676F5" w:rsidRDefault="00A720C3" w:rsidP="00A037EB">
      <w:pPr>
        <w:jc w:val="both"/>
        <w:rPr>
          <w:lang w:val="de-DE"/>
        </w:rPr>
      </w:pPr>
    </w:p>
    <w:p w14:paraId="2531B5A1" w14:textId="6CC61A7D" w:rsidR="00A037EB" w:rsidRPr="004676F5" w:rsidRDefault="00BE0A56" w:rsidP="00A037EB">
      <w:pPr>
        <w:ind w:firstLine="708"/>
        <w:jc w:val="both"/>
        <w:rPr>
          <w:lang w:val="de-DE"/>
        </w:rPr>
      </w:pPr>
      <w:r w:rsidRPr="004676F5">
        <w:rPr>
          <w:b/>
          <w:lang w:val="de-DE"/>
        </w:rPr>
        <w:t>Art. </w:t>
      </w:r>
      <w:r w:rsidR="00A037EB" w:rsidRPr="004676F5">
        <w:rPr>
          <w:b/>
          <w:lang w:val="de-DE"/>
        </w:rPr>
        <w:t>XVI.13</w:t>
      </w:r>
      <w:r w:rsidR="00A037EB" w:rsidRPr="004676F5">
        <w:rPr>
          <w:lang w:val="de-DE"/>
        </w:rPr>
        <w:t> </w:t>
      </w:r>
      <w:r w:rsidR="005B7A5C" w:rsidRPr="004676F5">
        <w:rPr>
          <w:lang w:val="de-DE"/>
        </w:rPr>
        <w:t>- </w:t>
      </w:r>
      <w:r w:rsidR="00A037EB" w:rsidRPr="004676F5">
        <w:rPr>
          <w:lang w:val="de-DE"/>
        </w:rPr>
        <w:t>Der Ombudsdienst für Verbraucher richtet eine Kontaktstelle ein für die Information über die gegenseitigen Rechte und Verpflichtungen der Verbraucher und der Unternehmen und insbesondere über bestehende Verfahren der außergerichtlichen Beilegung verbraucherrechtlicher Streitigkeiten.</w:t>
      </w:r>
    </w:p>
    <w:p w14:paraId="7F11B4E1" w14:textId="77777777" w:rsidR="00A037EB" w:rsidRPr="004676F5" w:rsidRDefault="00A037EB" w:rsidP="00A037EB">
      <w:pPr>
        <w:jc w:val="both"/>
        <w:rPr>
          <w:lang w:val="de-DE"/>
        </w:rPr>
      </w:pPr>
    </w:p>
    <w:p w14:paraId="6555224F" w14:textId="77777777" w:rsidR="00A720C3" w:rsidRPr="004676F5" w:rsidRDefault="00A720C3" w:rsidP="00A037EB">
      <w:pPr>
        <w:jc w:val="both"/>
        <w:rPr>
          <w:lang w:val="de-DE"/>
        </w:rPr>
      </w:pPr>
    </w:p>
    <w:p w14:paraId="0E12133C" w14:textId="3877A53C" w:rsidR="00A037EB" w:rsidRPr="004676F5" w:rsidRDefault="00BE0A56" w:rsidP="00A037EB">
      <w:pPr>
        <w:ind w:firstLine="708"/>
        <w:jc w:val="both"/>
        <w:rPr>
          <w:lang w:val="de-DE"/>
        </w:rPr>
      </w:pPr>
      <w:r w:rsidRPr="004676F5">
        <w:rPr>
          <w:b/>
          <w:lang w:val="de-DE"/>
        </w:rPr>
        <w:t>Art. </w:t>
      </w:r>
      <w:r w:rsidR="00A037EB" w:rsidRPr="004676F5">
        <w:rPr>
          <w:b/>
          <w:lang w:val="de-DE"/>
        </w:rPr>
        <w:t>XVI.14</w:t>
      </w:r>
      <w:r w:rsidR="00A037EB" w:rsidRPr="004676F5">
        <w:rPr>
          <w:lang w:val="de-DE"/>
        </w:rPr>
        <w:t> </w:t>
      </w:r>
      <w:r w:rsidR="005B7A5C" w:rsidRPr="004676F5">
        <w:rPr>
          <w:lang w:val="de-DE"/>
        </w:rPr>
        <w:t>- </w:t>
      </w:r>
      <w:r w:rsidR="00A037EB" w:rsidRPr="004676F5">
        <w:rPr>
          <w:lang w:val="de-DE"/>
        </w:rPr>
        <w:t>Der Ombudsdienst für Verbraucher macht seinen Jahresbericht auf seiner Website öffentlich zugänglich</w:t>
      </w:r>
      <w:r w:rsidR="00E01FB8" w:rsidRPr="004676F5">
        <w:rPr>
          <w:lang w:val="de-DE"/>
        </w:rPr>
        <w:t xml:space="preserve"> [und stellt ihn auf Antrag </w:t>
      </w:r>
      <w:r w:rsidR="003658CE" w:rsidRPr="004676F5">
        <w:rPr>
          <w:lang w:val="de-DE"/>
        </w:rPr>
        <w:t xml:space="preserve">[auf dauerhaftem Datenträger] </w:t>
      </w:r>
      <w:r w:rsidR="00E01FB8" w:rsidRPr="004676F5">
        <w:rPr>
          <w:lang w:val="de-DE"/>
        </w:rPr>
        <w:t>zur Verfügung]</w:t>
      </w:r>
      <w:r w:rsidR="00A037EB" w:rsidRPr="004676F5">
        <w:rPr>
          <w:lang w:val="de-DE"/>
        </w:rPr>
        <w:t>.</w:t>
      </w:r>
    </w:p>
    <w:p w14:paraId="667892CD" w14:textId="77777777" w:rsidR="00A037EB" w:rsidRPr="004676F5" w:rsidRDefault="00A037EB" w:rsidP="00A037EB">
      <w:pPr>
        <w:ind w:firstLine="708"/>
        <w:jc w:val="both"/>
        <w:rPr>
          <w:lang w:val="de-DE"/>
        </w:rPr>
      </w:pPr>
    </w:p>
    <w:p w14:paraId="3AA4B08B" w14:textId="01D1F0E6" w:rsidR="00E01FB8" w:rsidRPr="004676F5" w:rsidRDefault="00E01FB8" w:rsidP="00E01FB8">
      <w:pPr>
        <w:jc w:val="both"/>
        <w:rPr>
          <w:i/>
          <w:lang w:val="de-DE"/>
        </w:rPr>
      </w:pPr>
      <w:r w:rsidRPr="004676F5">
        <w:rPr>
          <w:i/>
          <w:lang w:val="de-DE"/>
        </w:rPr>
        <w:t>[</w:t>
      </w:r>
      <w:r w:rsidR="00BE0A56" w:rsidRPr="004676F5">
        <w:rPr>
          <w:i/>
          <w:lang w:val="de-DE"/>
        </w:rPr>
        <w:t>Art. </w:t>
      </w:r>
      <w:r w:rsidRPr="004676F5">
        <w:rPr>
          <w:i/>
          <w:lang w:val="de-DE"/>
        </w:rPr>
        <w:t xml:space="preserve">XVI.14 </w:t>
      </w:r>
      <w:r w:rsidR="003658CE" w:rsidRPr="004676F5">
        <w:rPr>
          <w:i/>
          <w:lang w:val="de-DE"/>
        </w:rPr>
        <w:t>abgeändert</w:t>
      </w:r>
      <w:r w:rsidRPr="004676F5">
        <w:rPr>
          <w:i/>
          <w:lang w:val="de-DE"/>
        </w:rPr>
        <w:t xml:space="preserve"> durch </w:t>
      </w:r>
      <w:r w:rsidR="00BE0A56" w:rsidRPr="004676F5">
        <w:rPr>
          <w:i/>
          <w:lang w:val="de-DE"/>
        </w:rPr>
        <w:t>Art. </w:t>
      </w:r>
      <w:r w:rsidRPr="004676F5">
        <w:rPr>
          <w:i/>
          <w:lang w:val="de-DE"/>
        </w:rPr>
        <w:t>66</w:t>
      </w:r>
      <w:r w:rsidRPr="004676F5">
        <w:rPr>
          <w:i/>
          <w:iCs/>
          <w:lang w:val="de-DE"/>
        </w:rPr>
        <w:t xml:space="preserve"> </w:t>
      </w:r>
      <w:r w:rsidRPr="004676F5">
        <w:rPr>
          <w:i/>
          <w:lang w:val="de-DE"/>
        </w:rPr>
        <w:t>des G. vom 26. Oktober 2015 (B.S. vom 30. Oktober 2015)</w:t>
      </w:r>
      <w:r w:rsidR="003658CE" w:rsidRPr="004676F5">
        <w:rPr>
          <w:i/>
          <w:lang w:val="de-DE"/>
        </w:rPr>
        <w:t xml:space="preserve"> und Art. 12</w:t>
      </w:r>
      <w:r w:rsidR="003658CE" w:rsidRPr="004676F5">
        <w:rPr>
          <w:i/>
          <w:iCs/>
          <w:lang w:val="de-DE"/>
        </w:rPr>
        <w:t xml:space="preserve"> des G. vom 20. September 2018 (B.S. vom 10. Oktober 2018)</w:t>
      </w:r>
      <w:r w:rsidRPr="004676F5">
        <w:rPr>
          <w:i/>
          <w:lang w:val="de-DE"/>
        </w:rPr>
        <w:t>]</w:t>
      </w:r>
    </w:p>
    <w:p w14:paraId="5B1597D1" w14:textId="77777777" w:rsidR="00E01FB8" w:rsidRPr="004676F5" w:rsidRDefault="00E01FB8" w:rsidP="00E01FB8">
      <w:pPr>
        <w:jc w:val="both"/>
        <w:rPr>
          <w:i/>
          <w:lang w:val="de-DE"/>
        </w:rPr>
      </w:pPr>
    </w:p>
    <w:p w14:paraId="666E062A" w14:textId="77777777" w:rsidR="00A720C3" w:rsidRPr="004676F5" w:rsidRDefault="00A720C3" w:rsidP="00A037EB">
      <w:pPr>
        <w:ind w:firstLine="708"/>
        <w:jc w:val="both"/>
        <w:rPr>
          <w:lang w:val="de-DE"/>
        </w:rPr>
      </w:pPr>
    </w:p>
    <w:p w14:paraId="25EF5FE9" w14:textId="76F3790C" w:rsidR="00A037EB" w:rsidRPr="004676F5" w:rsidRDefault="00A037EB" w:rsidP="00A037EB">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Außergerichtliche Beilegung verbraucherrechtlicher Streitigkeiten</w:t>
      </w:r>
    </w:p>
    <w:p w14:paraId="6B3F41A3" w14:textId="77777777" w:rsidR="00A037EB" w:rsidRPr="004676F5" w:rsidRDefault="00A037EB" w:rsidP="00A037EB">
      <w:pPr>
        <w:jc w:val="both"/>
        <w:rPr>
          <w:lang w:val="de-DE"/>
        </w:rPr>
      </w:pPr>
    </w:p>
    <w:p w14:paraId="74C5FBCE" w14:textId="77777777" w:rsidR="00A720C3" w:rsidRPr="004676F5" w:rsidRDefault="00A720C3" w:rsidP="00A037EB">
      <w:pPr>
        <w:jc w:val="both"/>
        <w:rPr>
          <w:lang w:val="de-DE"/>
        </w:rPr>
      </w:pPr>
    </w:p>
    <w:p w14:paraId="6A59F5C2" w14:textId="0B61047C" w:rsidR="00A037EB" w:rsidRPr="004676F5" w:rsidRDefault="00A037EB" w:rsidP="00A037EB">
      <w:pPr>
        <w:jc w:val="center"/>
        <w:rPr>
          <w:lang w:val="de-DE"/>
        </w:rPr>
      </w:pPr>
      <w:r w:rsidRPr="004676F5">
        <w:rPr>
          <w:lang w:val="de-DE"/>
        </w:rPr>
        <w:t>Unterabschnitt 1 </w:t>
      </w:r>
      <w:r w:rsidR="005B7A5C" w:rsidRPr="004676F5">
        <w:rPr>
          <w:lang w:val="de-DE"/>
        </w:rPr>
        <w:t>- </w:t>
      </w:r>
      <w:r w:rsidRPr="004676F5">
        <w:rPr>
          <w:lang w:val="de-DE"/>
        </w:rPr>
        <w:t>Eingang der Anträge</w:t>
      </w:r>
    </w:p>
    <w:p w14:paraId="18361149" w14:textId="77777777" w:rsidR="00A037EB" w:rsidRPr="004676F5" w:rsidRDefault="00A037EB" w:rsidP="00A037EB">
      <w:pPr>
        <w:jc w:val="both"/>
        <w:rPr>
          <w:lang w:val="de-DE"/>
        </w:rPr>
      </w:pPr>
    </w:p>
    <w:p w14:paraId="6D41D005" w14:textId="77777777" w:rsidR="00A720C3" w:rsidRPr="004676F5" w:rsidRDefault="00A720C3" w:rsidP="00A037EB">
      <w:pPr>
        <w:jc w:val="both"/>
        <w:rPr>
          <w:lang w:val="de-DE"/>
        </w:rPr>
      </w:pPr>
    </w:p>
    <w:p w14:paraId="10D639FE" w14:textId="731686C0" w:rsidR="00A037EB" w:rsidRPr="004676F5" w:rsidRDefault="00BE0A56" w:rsidP="00A037EB">
      <w:pPr>
        <w:ind w:firstLine="708"/>
        <w:jc w:val="both"/>
        <w:rPr>
          <w:lang w:val="de-DE"/>
        </w:rPr>
      </w:pPr>
      <w:r w:rsidRPr="004676F5">
        <w:rPr>
          <w:b/>
          <w:lang w:val="de-DE"/>
        </w:rPr>
        <w:t>Art. </w:t>
      </w:r>
      <w:r w:rsidR="00A037EB" w:rsidRPr="004676F5">
        <w:rPr>
          <w:b/>
          <w:lang w:val="de-DE"/>
        </w:rPr>
        <w:t>XVI.15</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Der Ombudsdienst für Verbraucher nimmt jegliche Anträge auf außergerichtliche Beilegung verbraucherrechtlicher Streitigkeiten entgegen.</w:t>
      </w:r>
    </w:p>
    <w:p w14:paraId="057B8797" w14:textId="77777777" w:rsidR="00A037EB" w:rsidRPr="004676F5" w:rsidRDefault="00A037EB" w:rsidP="00A037EB">
      <w:pPr>
        <w:jc w:val="both"/>
        <w:rPr>
          <w:lang w:val="de-DE"/>
        </w:rPr>
      </w:pPr>
    </w:p>
    <w:p w14:paraId="6F0D55D0" w14:textId="77777777" w:rsidR="00A037EB" w:rsidRPr="004676F5" w:rsidRDefault="00A037EB" w:rsidP="00A037EB">
      <w:pPr>
        <w:ind w:firstLine="708"/>
        <w:jc w:val="both"/>
        <w:rPr>
          <w:lang w:val="de-DE"/>
        </w:rPr>
      </w:pPr>
      <w:r w:rsidRPr="004676F5">
        <w:rPr>
          <w:lang w:val="de-DE"/>
        </w:rPr>
        <w:t>Ein Antrag auf außergerichtliche Beilegung einer verbraucherrechtlichen Streitigkeit kann beim Ombudsdienst für Verbraucher per Brief, Fax, elektronische Post oder vor Ort eingereicht werden.</w:t>
      </w:r>
    </w:p>
    <w:p w14:paraId="6DA201F9" w14:textId="77777777" w:rsidR="00A037EB" w:rsidRPr="004676F5" w:rsidRDefault="00A037EB" w:rsidP="00A037EB">
      <w:pPr>
        <w:jc w:val="both"/>
        <w:rPr>
          <w:lang w:val="de-DE"/>
        </w:rPr>
      </w:pPr>
    </w:p>
    <w:p w14:paraId="7B329F92" w14:textId="2108CE1E" w:rsidR="00A037EB" w:rsidRPr="004676F5" w:rsidRDefault="00A037EB" w:rsidP="00A037EB">
      <w:pPr>
        <w:ind w:firstLine="708"/>
        <w:jc w:val="both"/>
        <w:rPr>
          <w:lang w:val="de-DE"/>
        </w:rPr>
      </w:pPr>
      <w:r w:rsidRPr="004676F5">
        <w:rPr>
          <w:lang w:val="de-DE"/>
        </w:rPr>
        <w:t>§ 2 </w:t>
      </w:r>
      <w:r w:rsidR="005B7A5C" w:rsidRPr="004676F5">
        <w:rPr>
          <w:lang w:val="de-DE"/>
        </w:rPr>
        <w:t>- </w:t>
      </w:r>
      <w:r w:rsidRPr="004676F5">
        <w:rPr>
          <w:lang w:val="de-DE"/>
        </w:rPr>
        <w:t>Betrifft ein Antrag eine verbraucherrechtliche Streitigkeit, für die eine qualifizierte Einrichtung zuständig ist, übermittelt der Ombudsdienst für Verbraucher ihr unverzüglich den Antrag.</w:t>
      </w:r>
    </w:p>
    <w:p w14:paraId="60209674" w14:textId="77777777" w:rsidR="00A037EB" w:rsidRPr="004676F5" w:rsidRDefault="00A037EB" w:rsidP="00A037EB">
      <w:pPr>
        <w:ind w:firstLine="708"/>
        <w:jc w:val="both"/>
        <w:rPr>
          <w:lang w:val="de-DE"/>
        </w:rPr>
      </w:pPr>
    </w:p>
    <w:p w14:paraId="5D38C811" w14:textId="77777777" w:rsidR="00A037EB" w:rsidRPr="004676F5" w:rsidRDefault="00A037EB" w:rsidP="00A037EB">
      <w:pPr>
        <w:ind w:firstLine="708"/>
        <w:jc w:val="both"/>
        <w:rPr>
          <w:lang w:val="de-DE"/>
        </w:rPr>
      </w:pPr>
      <w:r w:rsidRPr="004676F5">
        <w:rPr>
          <w:lang w:val="de-DE"/>
        </w:rPr>
        <w:t>Er teilt dies dem Antragsteller mit und übermittelt ihm die Kontaktdaten der zuständigen qualifizierten Einrichtung. Er gibt ebenfalls an, dass die Weiterleitung keine Aussage über die Zulässigkeit des Antrags darstellt.</w:t>
      </w:r>
    </w:p>
    <w:p w14:paraId="66600B8A" w14:textId="77777777" w:rsidR="00A037EB" w:rsidRPr="004676F5" w:rsidRDefault="00A037EB" w:rsidP="00A037EB">
      <w:pPr>
        <w:ind w:firstLine="708"/>
        <w:jc w:val="both"/>
        <w:rPr>
          <w:lang w:val="de-DE"/>
        </w:rPr>
      </w:pPr>
    </w:p>
    <w:p w14:paraId="0DA7A565" w14:textId="23AB8FAC" w:rsidR="00A037EB" w:rsidRPr="004676F5" w:rsidRDefault="00A037EB" w:rsidP="00A037EB">
      <w:pPr>
        <w:ind w:firstLine="708"/>
        <w:jc w:val="both"/>
        <w:rPr>
          <w:lang w:val="de-DE"/>
        </w:rPr>
      </w:pPr>
      <w:r w:rsidRPr="004676F5">
        <w:rPr>
          <w:lang w:val="de-DE"/>
        </w:rPr>
        <w:t>§ 3 </w:t>
      </w:r>
      <w:r w:rsidR="005B7A5C" w:rsidRPr="004676F5">
        <w:rPr>
          <w:lang w:val="de-DE"/>
        </w:rPr>
        <w:t>- </w:t>
      </w:r>
      <w:r w:rsidRPr="004676F5">
        <w:rPr>
          <w:lang w:val="de-DE"/>
        </w:rPr>
        <w:t>Betrifft ein Antrag eine verbraucherrechtliche Streitigkeit, für die keine qualifizierte Einrichtung zuständig ist, behandelt der Ombudsdienst für Verbraucher den Antrag selbst.</w:t>
      </w:r>
    </w:p>
    <w:p w14:paraId="7380DB9F" w14:textId="77777777" w:rsidR="00A037EB" w:rsidRPr="004676F5" w:rsidRDefault="00A037EB" w:rsidP="00A037EB">
      <w:pPr>
        <w:ind w:firstLine="708"/>
        <w:jc w:val="both"/>
        <w:rPr>
          <w:lang w:val="de-DE"/>
        </w:rPr>
      </w:pPr>
    </w:p>
    <w:p w14:paraId="31764AFD" w14:textId="77777777" w:rsidR="00A720C3" w:rsidRPr="004676F5" w:rsidRDefault="00A720C3" w:rsidP="00A037EB">
      <w:pPr>
        <w:ind w:firstLine="708"/>
        <w:jc w:val="both"/>
        <w:rPr>
          <w:lang w:val="de-DE"/>
        </w:rPr>
      </w:pPr>
    </w:p>
    <w:p w14:paraId="222798DD" w14:textId="77777777" w:rsidR="00E01FB8" w:rsidRPr="004676F5" w:rsidRDefault="00E01FB8">
      <w:pPr>
        <w:rPr>
          <w:lang w:val="de-DE"/>
        </w:rPr>
      </w:pPr>
      <w:r w:rsidRPr="004676F5">
        <w:rPr>
          <w:lang w:val="de-DE"/>
        </w:rPr>
        <w:br w:type="page"/>
      </w:r>
    </w:p>
    <w:p w14:paraId="64201EAA" w14:textId="0D811BD7" w:rsidR="00A037EB" w:rsidRPr="004676F5" w:rsidRDefault="00A037EB" w:rsidP="00A037EB">
      <w:pPr>
        <w:jc w:val="center"/>
        <w:rPr>
          <w:lang w:val="de-DE"/>
        </w:rPr>
      </w:pPr>
      <w:r w:rsidRPr="004676F5">
        <w:rPr>
          <w:lang w:val="de-DE"/>
        </w:rPr>
        <w:lastRenderedPageBreak/>
        <w:t>Unterabschnitt 2 </w:t>
      </w:r>
      <w:r w:rsidR="005B7A5C" w:rsidRPr="004676F5">
        <w:rPr>
          <w:lang w:val="de-DE"/>
        </w:rPr>
        <w:t>- </w:t>
      </w:r>
      <w:r w:rsidRPr="004676F5">
        <w:rPr>
          <w:lang w:val="de-DE"/>
        </w:rPr>
        <w:t>Behandlung verbraucherrechtlicher Streitigkeiten</w:t>
      </w:r>
    </w:p>
    <w:p w14:paraId="3F454B6E" w14:textId="77777777" w:rsidR="00A037EB" w:rsidRPr="004676F5" w:rsidRDefault="00A037EB" w:rsidP="00A037EB">
      <w:pPr>
        <w:jc w:val="both"/>
        <w:rPr>
          <w:lang w:val="de-DE"/>
        </w:rPr>
      </w:pPr>
    </w:p>
    <w:p w14:paraId="606B9579" w14:textId="77777777" w:rsidR="00A720C3" w:rsidRPr="004676F5" w:rsidRDefault="00A720C3" w:rsidP="00A037EB">
      <w:pPr>
        <w:jc w:val="both"/>
        <w:rPr>
          <w:lang w:val="de-DE"/>
        </w:rPr>
      </w:pPr>
    </w:p>
    <w:p w14:paraId="1A522CFC" w14:textId="017DE19A" w:rsidR="00A037EB" w:rsidRPr="004676F5" w:rsidRDefault="00BE0A56" w:rsidP="00A037EB">
      <w:pPr>
        <w:ind w:firstLine="708"/>
        <w:jc w:val="both"/>
        <w:rPr>
          <w:lang w:val="de-DE"/>
        </w:rPr>
      </w:pPr>
      <w:r w:rsidRPr="004676F5">
        <w:rPr>
          <w:b/>
          <w:lang w:val="de-DE"/>
        </w:rPr>
        <w:t>Art. </w:t>
      </w:r>
      <w:r w:rsidR="00A037EB" w:rsidRPr="004676F5">
        <w:rPr>
          <w:b/>
          <w:lang w:val="de-DE"/>
        </w:rPr>
        <w:t>XVI.16</w:t>
      </w:r>
      <w:r w:rsidR="00A037EB" w:rsidRPr="004676F5">
        <w:rPr>
          <w:lang w:val="de-DE"/>
        </w:rPr>
        <w:t> </w:t>
      </w:r>
      <w:r w:rsidR="005B7A5C" w:rsidRPr="004676F5">
        <w:rPr>
          <w:lang w:val="de-DE"/>
        </w:rPr>
        <w:t>- </w:t>
      </w:r>
      <w:r w:rsidR="00A037EB" w:rsidRPr="004676F5">
        <w:rPr>
          <w:lang w:val="de-DE"/>
        </w:rPr>
        <w:t xml:space="preserve">§ 1 </w:t>
      </w:r>
      <w:r w:rsidR="005B7A5C" w:rsidRPr="004676F5">
        <w:rPr>
          <w:lang w:val="de-DE"/>
        </w:rPr>
        <w:t>- </w:t>
      </w:r>
      <w:r w:rsidR="00A037EB" w:rsidRPr="004676F5">
        <w:rPr>
          <w:lang w:val="de-DE"/>
        </w:rPr>
        <w:t>Sobald der Ombudsdienst für Verbraucher über alle Unterlagen verfügt, die für die Prüfung eines in Artikel XVI.15 § 3 erwähnten Antrags erforderlich sind, setzt er die Parteien vom Eingang des vollständigen Antrags und vom Empfangsdatum in Kenntnis.</w:t>
      </w:r>
    </w:p>
    <w:p w14:paraId="5D9473D8" w14:textId="77777777" w:rsidR="00A037EB" w:rsidRPr="004676F5" w:rsidRDefault="00A037EB" w:rsidP="00A037EB">
      <w:pPr>
        <w:jc w:val="both"/>
        <w:rPr>
          <w:lang w:val="de-DE"/>
        </w:rPr>
      </w:pPr>
    </w:p>
    <w:p w14:paraId="232D1D6E" w14:textId="40A19485" w:rsidR="00A037EB" w:rsidRPr="004676F5" w:rsidRDefault="00A037EB" w:rsidP="00A037EB">
      <w:pPr>
        <w:ind w:firstLine="708"/>
        <w:jc w:val="both"/>
        <w:rPr>
          <w:lang w:val="de-DE"/>
        </w:rPr>
      </w:pPr>
      <w:r w:rsidRPr="004676F5">
        <w:rPr>
          <w:lang w:val="de-DE"/>
        </w:rPr>
        <w:t>§ 2 </w:t>
      </w:r>
      <w:r w:rsidR="005B7A5C" w:rsidRPr="004676F5">
        <w:rPr>
          <w:lang w:val="de-DE"/>
        </w:rPr>
        <w:t>- </w:t>
      </w:r>
      <w:r w:rsidRPr="004676F5">
        <w:rPr>
          <w:lang w:val="de-DE"/>
        </w:rPr>
        <w:t>Der Ombudsdienst für Verbraucher lehnt die Behandlung eines in § 1 erwähnten Antrags ab, wenn:</w:t>
      </w:r>
    </w:p>
    <w:p w14:paraId="14CED763" w14:textId="77777777" w:rsidR="00A037EB" w:rsidRPr="004676F5" w:rsidRDefault="00A037EB" w:rsidP="00A037EB">
      <w:pPr>
        <w:ind w:firstLine="708"/>
        <w:jc w:val="both"/>
        <w:rPr>
          <w:lang w:val="de-DE"/>
        </w:rPr>
      </w:pPr>
    </w:p>
    <w:p w14:paraId="5E299CF2" w14:textId="77777777" w:rsidR="00A037EB" w:rsidRPr="004676F5" w:rsidRDefault="00A037EB" w:rsidP="00A037EB">
      <w:pPr>
        <w:ind w:firstLine="708"/>
        <w:jc w:val="both"/>
        <w:rPr>
          <w:lang w:val="de-DE"/>
        </w:rPr>
      </w:pPr>
      <w:r w:rsidRPr="004676F5">
        <w:rPr>
          <w:lang w:val="de-DE"/>
        </w:rPr>
        <w:t>1. die Beschwerde erfunden, schikanös oder diffamierend ist,</w:t>
      </w:r>
    </w:p>
    <w:p w14:paraId="7D76E1A7" w14:textId="77777777" w:rsidR="00A037EB" w:rsidRPr="004676F5" w:rsidRDefault="00A037EB" w:rsidP="00A037EB">
      <w:pPr>
        <w:jc w:val="both"/>
        <w:rPr>
          <w:lang w:val="de-DE"/>
        </w:rPr>
      </w:pPr>
    </w:p>
    <w:p w14:paraId="54BBB987" w14:textId="77777777" w:rsidR="00A037EB" w:rsidRPr="004676F5" w:rsidRDefault="00A037EB" w:rsidP="00A037EB">
      <w:pPr>
        <w:ind w:firstLine="708"/>
        <w:jc w:val="both"/>
        <w:rPr>
          <w:lang w:val="de-DE"/>
        </w:rPr>
      </w:pPr>
      <w:r w:rsidRPr="004676F5">
        <w:rPr>
          <w:lang w:val="de-DE"/>
        </w:rPr>
        <w:t>2. die Beschwerde anonym eingereicht wird oder die Gegenpartei nicht genannt wird oder nicht ermittelbar ist,</w:t>
      </w:r>
    </w:p>
    <w:p w14:paraId="40C9659B" w14:textId="77777777" w:rsidR="00A037EB" w:rsidRPr="004676F5" w:rsidRDefault="00A037EB" w:rsidP="00A037EB">
      <w:pPr>
        <w:jc w:val="both"/>
        <w:rPr>
          <w:lang w:val="de-DE"/>
        </w:rPr>
      </w:pPr>
    </w:p>
    <w:p w14:paraId="094BC4ED" w14:textId="77777777" w:rsidR="00A037EB" w:rsidRPr="004676F5" w:rsidRDefault="00A037EB" w:rsidP="00A037EB">
      <w:pPr>
        <w:ind w:firstLine="708"/>
        <w:jc w:val="both"/>
        <w:rPr>
          <w:lang w:val="de-DE"/>
        </w:rPr>
      </w:pPr>
      <w:r w:rsidRPr="004676F5">
        <w:rPr>
          <w:lang w:val="de-DE"/>
        </w:rPr>
        <w:t xml:space="preserve">3. die Beschwerde bereits von einer anderen qualifizierten Einrichtung behandelt worden ist; dies gilt auch, wenn diese Einrichtung die Behandlung der Beschwerde aus einem der in Artikel XVI.25 § 1 Nr. 7 erwähnten Gründen abgelehnt hat, Buchstabe </w:t>
      </w:r>
      <w:r w:rsidRPr="004676F5">
        <w:rPr>
          <w:i/>
          <w:lang w:val="de-DE"/>
        </w:rPr>
        <w:t>e)</w:t>
      </w:r>
      <w:r w:rsidRPr="004676F5">
        <w:rPr>
          <w:lang w:val="de-DE"/>
        </w:rPr>
        <w:t xml:space="preserve"> ausge</w:t>
      </w:r>
      <w:r w:rsidRPr="004676F5">
        <w:rPr>
          <w:lang w:val="de-DE"/>
        </w:rPr>
        <w:softHyphen/>
        <w:t>nommen,</w:t>
      </w:r>
    </w:p>
    <w:p w14:paraId="3ACE74DD" w14:textId="77777777" w:rsidR="00A037EB" w:rsidRPr="004676F5" w:rsidRDefault="00A037EB" w:rsidP="00A037EB">
      <w:pPr>
        <w:ind w:firstLine="708"/>
        <w:jc w:val="both"/>
        <w:rPr>
          <w:lang w:val="de-DE"/>
        </w:rPr>
      </w:pPr>
    </w:p>
    <w:p w14:paraId="1D66280A" w14:textId="77777777" w:rsidR="00A037EB" w:rsidRPr="004676F5" w:rsidRDefault="00A037EB" w:rsidP="00A037EB">
      <w:pPr>
        <w:ind w:firstLine="708"/>
        <w:jc w:val="both"/>
        <w:rPr>
          <w:lang w:val="de-DE"/>
        </w:rPr>
      </w:pPr>
      <w:r w:rsidRPr="004676F5">
        <w:rPr>
          <w:lang w:val="de-DE"/>
        </w:rPr>
        <w:t>4. die Beschwerde die Beilegung einer Streitigkeit bezweckt, die bereits Gegenstand einer Rechtsklage war oder ist.</w:t>
      </w:r>
    </w:p>
    <w:p w14:paraId="731AD4BB" w14:textId="77777777" w:rsidR="00A037EB" w:rsidRPr="004676F5" w:rsidRDefault="00A037EB" w:rsidP="00A037EB">
      <w:pPr>
        <w:jc w:val="both"/>
        <w:rPr>
          <w:lang w:val="de-DE"/>
        </w:rPr>
      </w:pPr>
    </w:p>
    <w:p w14:paraId="6760069D" w14:textId="4898EE88" w:rsidR="00A037EB" w:rsidRPr="004676F5" w:rsidRDefault="00A037EB" w:rsidP="00A037EB">
      <w:pPr>
        <w:ind w:firstLine="708"/>
        <w:jc w:val="both"/>
        <w:rPr>
          <w:lang w:val="de-DE"/>
        </w:rPr>
      </w:pPr>
      <w:r w:rsidRPr="004676F5">
        <w:rPr>
          <w:lang w:val="de-DE"/>
        </w:rPr>
        <w:t xml:space="preserve">§ 3 </w:t>
      </w:r>
      <w:r w:rsidR="005B7A5C" w:rsidRPr="004676F5">
        <w:rPr>
          <w:lang w:val="de-DE"/>
        </w:rPr>
        <w:t>- </w:t>
      </w:r>
      <w:r w:rsidRPr="004676F5">
        <w:rPr>
          <w:lang w:val="de-DE"/>
        </w:rPr>
        <w:t>Der Ombudsdienst für Verbraucher kann die Behandlung eines in § 1 erwähnten Antrags ablehnen, wenn:</w:t>
      </w:r>
    </w:p>
    <w:p w14:paraId="69EA9876" w14:textId="77777777" w:rsidR="00A037EB" w:rsidRPr="004676F5" w:rsidRDefault="00A037EB" w:rsidP="00A037EB">
      <w:pPr>
        <w:jc w:val="both"/>
        <w:rPr>
          <w:lang w:val="de-DE"/>
        </w:rPr>
      </w:pPr>
    </w:p>
    <w:p w14:paraId="67E7E87E" w14:textId="77777777" w:rsidR="00A037EB" w:rsidRPr="004676F5" w:rsidRDefault="00A037EB" w:rsidP="00A037EB">
      <w:pPr>
        <w:ind w:firstLine="708"/>
        <w:jc w:val="both"/>
        <w:rPr>
          <w:lang w:val="de-DE"/>
        </w:rPr>
      </w:pPr>
      <w:r w:rsidRPr="004676F5">
        <w:rPr>
          <w:lang w:val="de-DE"/>
        </w:rPr>
        <w:t>1. die betreffende Beschwerde nicht zuerst bei dem betreffenden Unternehmen eingereicht worden ist,</w:t>
      </w:r>
    </w:p>
    <w:p w14:paraId="46CF0CC1" w14:textId="77777777" w:rsidR="00A037EB" w:rsidRPr="004676F5" w:rsidRDefault="00A037EB" w:rsidP="00A037EB">
      <w:pPr>
        <w:ind w:firstLine="708"/>
        <w:jc w:val="both"/>
        <w:rPr>
          <w:lang w:val="de-DE"/>
        </w:rPr>
      </w:pPr>
    </w:p>
    <w:p w14:paraId="10291FEF" w14:textId="77777777" w:rsidR="00A037EB" w:rsidRPr="004676F5" w:rsidRDefault="00A037EB" w:rsidP="00A037EB">
      <w:pPr>
        <w:ind w:firstLine="708"/>
        <w:jc w:val="both"/>
        <w:rPr>
          <w:lang w:val="de-DE"/>
        </w:rPr>
      </w:pPr>
      <w:r w:rsidRPr="004676F5">
        <w:rPr>
          <w:lang w:val="de-DE"/>
        </w:rPr>
        <w:t>2. die betreffende Beschwerde seit mehr als einem Jahr bei dem betreffenden Unternehmen eingereicht worden ist,</w:t>
      </w:r>
    </w:p>
    <w:p w14:paraId="14BAC2CF" w14:textId="77777777" w:rsidR="00A037EB" w:rsidRPr="004676F5" w:rsidRDefault="00A037EB" w:rsidP="00A037EB">
      <w:pPr>
        <w:jc w:val="both"/>
        <w:rPr>
          <w:lang w:val="de-DE"/>
        </w:rPr>
      </w:pPr>
    </w:p>
    <w:p w14:paraId="5BD02E67" w14:textId="77777777" w:rsidR="00A037EB" w:rsidRPr="004676F5" w:rsidRDefault="00A037EB" w:rsidP="00A037EB">
      <w:pPr>
        <w:ind w:firstLine="708"/>
        <w:jc w:val="both"/>
        <w:rPr>
          <w:lang w:val="de-DE"/>
        </w:rPr>
      </w:pPr>
      <w:r w:rsidRPr="004676F5">
        <w:rPr>
          <w:lang w:val="de-DE"/>
        </w:rPr>
        <w:t>3. die Behandlung der Streitigkeit den effektiven Betrieb des Ombudsdienstes für Verbraucher ernsthaft beeinträchtigen würde.</w:t>
      </w:r>
    </w:p>
    <w:p w14:paraId="5C910FE4" w14:textId="77777777" w:rsidR="00A037EB" w:rsidRPr="004676F5" w:rsidRDefault="00A037EB" w:rsidP="00A037EB">
      <w:pPr>
        <w:jc w:val="both"/>
        <w:rPr>
          <w:lang w:val="de-DE"/>
        </w:rPr>
      </w:pPr>
    </w:p>
    <w:p w14:paraId="441B7BF0" w14:textId="5E4094BB" w:rsidR="00A037EB" w:rsidRPr="004676F5" w:rsidRDefault="00A037EB" w:rsidP="00A037EB">
      <w:pPr>
        <w:ind w:firstLine="708"/>
        <w:jc w:val="both"/>
        <w:rPr>
          <w:lang w:val="de-DE"/>
        </w:rPr>
      </w:pPr>
      <w:r w:rsidRPr="004676F5">
        <w:rPr>
          <w:lang w:val="de-DE"/>
        </w:rPr>
        <w:t>§ 4 </w:t>
      </w:r>
      <w:r w:rsidR="005B7A5C" w:rsidRPr="004676F5">
        <w:rPr>
          <w:lang w:val="de-DE"/>
        </w:rPr>
        <w:t>- </w:t>
      </w:r>
      <w:r w:rsidRPr="004676F5">
        <w:rPr>
          <w:lang w:val="de-DE"/>
        </w:rPr>
        <w:t>Binnen drei Wochen ab Eingang des vollständigen Antrags setzt der Ombudsdienst für Verbraucher die Parteien von seinem Beschluss in Kenntnis, die Behandlung des Antrags fortzusetzen oder abzulehnen. Ein Ablehnungsbeschluss wird begründet.</w:t>
      </w:r>
    </w:p>
    <w:p w14:paraId="6D6E856B" w14:textId="77777777" w:rsidR="00A037EB" w:rsidRPr="004676F5" w:rsidRDefault="00A037EB" w:rsidP="00A037EB">
      <w:pPr>
        <w:jc w:val="both"/>
        <w:rPr>
          <w:lang w:val="de-DE"/>
        </w:rPr>
      </w:pPr>
    </w:p>
    <w:p w14:paraId="440154E7" w14:textId="77777777" w:rsidR="00A720C3" w:rsidRPr="004676F5" w:rsidRDefault="00A720C3" w:rsidP="00A037EB">
      <w:pPr>
        <w:jc w:val="both"/>
        <w:rPr>
          <w:lang w:val="de-DE"/>
        </w:rPr>
      </w:pPr>
    </w:p>
    <w:p w14:paraId="022305A7" w14:textId="54C8DC12" w:rsidR="00A037EB" w:rsidRPr="004676F5" w:rsidRDefault="00BE0A56" w:rsidP="00A037EB">
      <w:pPr>
        <w:ind w:firstLine="708"/>
        <w:jc w:val="both"/>
        <w:rPr>
          <w:lang w:val="de-DE"/>
        </w:rPr>
      </w:pPr>
      <w:r w:rsidRPr="004676F5">
        <w:rPr>
          <w:b/>
          <w:lang w:val="de-DE"/>
        </w:rPr>
        <w:t>Art. </w:t>
      </w:r>
      <w:r w:rsidR="00A037EB" w:rsidRPr="004676F5">
        <w:rPr>
          <w:b/>
          <w:lang w:val="de-DE"/>
        </w:rPr>
        <w:t>XVI.17</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Binnen neunzig Kalendertagen ab Eingang des vollständigen Antrags teilt der Ombudsdienst für Verbraucher den Parteien das Ergebnis der Streitbeilegung mit.</w:t>
      </w:r>
    </w:p>
    <w:p w14:paraId="149C8215" w14:textId="77777777" w:rsidR="00A037EB" w:rsidRPr="004676F5" w:rsidRDefault="00A037EB" w:rsidP="00A037EB">
      <w:pPr>
        <w:jc w:val="both"/>
        <w:rPr>
          <w:lang w:val="de-DE"/>
        </w:rPr>
      </w:pPr>
    </w:p>
    <w:p w14:paraId="53370BC3" w14:textId="77777777" w:rsidR="00A037EB" w:rsidRPr="004676F5" w:rsidRDefault="00A037EB" w:rsidP="00A037EB">
      <w:pPr>
        <w:ind w:firstLine="708"/>
        <w:jc w:val="both"/>
        <w:rPr>
          <w:lang w:val="de-DE"/>
        </w:rPr>
      </w:pPr>
      <w:r w:rsidRPr="004676F5">
        <w:rPr>
          <w:lang w:val="de-DE"/>
        </w:rPr>
        <w:t>In außerordentlichen Fällen kann diese Frist ein einziges Mal um eine selbe Frist verlängert werden, sofern die Parteien vor Ablauf der ursprünglichen Frist davon in Kenntnis gesetzt werden und diese Verlängerung durch die Komplexität der Streitigkeit begründet wird.</w:t>
      </w:r>
    </w:p>
    <w:p w14:paraId="01CB2829" w14:textId="77777777" w:rsidR="00A037EB" w:rsidRPr="004676F5" w:rsidRDefault="00A037EB" w:rsidP="00A037EB">
      <w:pPr>
        <w:jc w:val="both"/>
        <w:rPr>
          <w:lang w:val="de-DE"/>
        </w:rPr>
      </w:pPr>
    </w:p>
    <w:p w14:paraId="69D06B15" w14:textId="3FFD23A6" w:rsidR="00A037EB" w:rsidRPr="004676F5" w:rsidRDefault="00A037EB" w:rsidP="00A037EB">
      <w:pPr>
        <w:ind w:firstLine="708"/>
        <w:jc w:val="both"/>
        <w:rPr>
          <w:lang w:val="de-DE"/>
        </w:rPr>
      </w:pPr>
      <w:r w:rsidRPr="004676F5">
        <w:rPr>
          <w:lang w:val="de-DE"/>
        </w:rPr>
        <w:lastRenderedPageBreak/>
        <w:t>§ 2 </w:t>
      </w:r>
      <w:r w:rsidR="005B7A5C" w:rsidRPr="004676F5">
        <w:rPr>
          <w:lang w:val="de-DE"/>
        </w:rPr>
        <w:t>- </w:t>
      </w:r>
      <w:r w:rsidRPr="004676F5">
        <w:rPr>
          <w:lang w:val="de-DE"/>
        </w:rPr>
        <w:t xml:space="preserve">Hat der Ombudsdienst für Verbraucher eine gütliche Streitbeilegung erzielt, schließt er die Akte ab und sendet den Parteien </w:t>
      </w:r>
      <w:r w:rsidR="00E00F54" w:rsidRPr="004676F5">
        <w:rPr>
          <w:lang w:val="de-DE"/>
        </w:rPr>
        <w:t>[</w:t>
      </w:r>
      <w:r w:rsidR="00E00F54" w:rsidRPr="004676F5">
        <w:rPr>
          <w:rFonts w:eastAsia="Calibri"/>
          <w:szCs w:val="22"/>
          <w:lang w:val="de-DE" w:eastAsia="en-US"/>
        </w:rPr>
        <w:t>auf einem dauerhaften Datenträger</w:t>
      </w:r>
      <w:r w:rsidR="00E00F54" w:rsidRPr="004676F5">
        <w:rPr>
          <w:lang w:val="de-DE"/>
        </w:rPr>
        <w:t>]</w:t>
      </w:r>
      <w:r w:rsidRPr="004676F5">
        <w:rPr>
          <w:lang w:val="de-DE"/>
        </w:rPr>
        <w:t xml:space="preserve"> eine schriftliche Bestätigung zu.</w:t>
      </w:r>
    </w:p>
    <w:p w14:paraId="7BA8FBB0" w14:textId="77777777" w:rsidR="00A037EB" w:rsidRPr="004676F5" w:rsidRDefault="00A037EB" w:rsidP="00A037EB">
      <w:pPr>
        <w:jc w:val="both"/>
        <w:rPr>
          <w:lang w:val="de-DE"/>
        </w:rPr>
      </w:pPr>
    </w:p>
    <w:p w14:paraId="1CCC97D5" w14:textId="14203067" w:rsidR="00A037EB" w:rsidRPr="004676F5" w:rsidRDefault="00A037EB" w:rsidP="00A037EB">
      <w:pPr>
        <w:ind w:firstLine="708"/>
        <w:jc w:val="both"/>
        <w:rPr>
          <w:lang w:val="de-DE"/>
        </w:rPr>
      </w:pPr>
      <w:r w:rsidRPr="004676F5">
        <w:rPr>
          <w:lang w:val="de-DE"/>
        </w:rPr>
        <w:t xml:space="preserve">Kann keine gütliche Beilegung erzielt werden, setzt der Ombudsdienst für Verbraucher die Parteien </w:t>
      </w:r>
      <w:r w:rsidR="00E00F54" w:rsidRPr="004676F5">
        <w:rPr>
          <w:lang w:val="de-DE"/>
        </w:rPr>
        <w:t>[</w:t>
      </w:r>
      <w:r w:rsidR="00E00F54" w:rsidRPr="004676F5">
        <w:rPr>
          <w:rFonts w:eastAsia="Calibri"/>
          <w:szCs w:val="22"/>
          <w:lang w:val="de-DE" w:eastAsia="en-US"/>
        </w:rPr>
        <w:t>auf einem dauerhaften Datenträger]</w:t>
      </w:r>
      <w:r w:rsidRPr="004676F5">
        <w:rPr>
          <w:lang w:val="de-DE"/>
        </w:rPr>
        <w:t xml:space="preserve"> davon in Kenntnis; gleichzeitig kann er dem betreffenden Unternehmen eine Empfehlung übermitteln, mit Kopie an den Antragsteller.</w:t>
      </w:r>
    </w:p>
    <w:p w14:paraId="6FE99AD2" w14:textId="77777777" w:rsidR="00A037EB" w:rsidRPr="004676F5" w:rsidRDefault="00A037EB" w:rsidP="00A037EB">
      <w:pPr>
        <w:jc w:val="both"/>
        <w:rPr>
          <w:lang w:val="de-DE"/>
        </w:rPr>
      </w:pPr>
    </w:p>
    <w:p w14:paraId="6FE55F53" w14:textId="77777777" w:rsidR="00A037EB" w:rsidRPr="004676F5" w:rsidRDefault="00A037EB" w:rsidP="00A037EB">
      <w:pPr>
        <w:ind w:firstLine="708"/>
        <w:jc w:val="both"/>
        <w:rPr>
          <w:lang w:val="de-DE"/>
        </w:rPr>
      </w:pPr>
      <w:r w:rsidRPr="004676F5">
        <w:rPr>
          <w:lang w:val="de-DE"/>
        </w:rPr>
        <w:t>Leistet das betreffende Unternehmen der Empfehlung nicht Folge, verfügt es über eine Frist von dreißig Kalendertagen, um dem Ombudsdienst für Verbraucher und dem Antragsteller seinen mit Gründen versehenen Standpunkt mitzuteilen.</w:t>
      </w:r>
    </w:p>
    <w:p w14:paraId="4D86E8DD" w14:textId="77777777" w:rsidR="00A037EB" w:rsidRPr="004676F5" w:rsidRDefault="00A037EB" w:rsidP="00A037EB">
      <w:pPr>
        <w:jc w:val="both"/>
        <w:rPr>
          <w:lang w:val="de-DE"/>
        </w:rPr>
      </w:pPr>
    </w:p>
    <w:p w14:paraId="04934811" w14:textId="433CCC9D" w:rsidR="00E00F54" w:rsidRPr="004676F5" w:rsidRDefault="00E00F54" w:rsidP="00A037EB">
      <w:pPr>
        <w:jc w:val="both"/>
        <w:rPr>
          <w:i/>
          <w:iCs/>
          <w:lang w:val="de-DE"/>
        </w:rPr>
      </w:pPr>
      <w:r w:rsidRPr="004676F5">
        <w:rPr>
          <w:i/>
          <w:iCs/>
          <w:lang w:val="de-DE"/>
        </w:rPr>
        <w:t>[Art. XVI.17 § </w:t>
      </w:r>
      <w:r w:rsidR="0053393E" w:rsidRPr="004676F5">
        <w:rPr>
          <w:i/>
          <w:iCs/>
          <w:lang w:val="de-DE"/>
        </w:rPr>
        <w:t>2</w:t>
      </w:r>
      <w:r w:rsidRPr="004676F5">
        <w:rPr>
          <w:i/>
          <w:iCs/>
          <w:lang w:val="de-DE"/>
        </w:rPr>
        <w:t xml:space="preserve"> Abs. 1 und 2 abgeändert durch Art. 10 des G. vom 20. September 2018 (B.S. vom 10. Oktober 2018)]</w:t>
      </w:r>
    </w:p>
    <w:p w14:paraId="68BB234B" w14:textId="77777777" w:rsidR="00E00F54" w:rsidRPr="004676F5" w:rsidRDefault="00E00F54" w:rsidP="00A037EB">
      <w:pPr>
        <w:jc w:val="both"/>
        <w:rPr>
          <w:i/>
          <w:iCs/>
          <w:lang w:val="de-DE"/>
        </w:rPr>
      </w:pPr>
    </w:p>
    <w:p w14:paraId="4BA04DE9" w14:textId="77777777" w:rsidR="00A720C3" w:rsidRPr="004676F5" w:rsidRDefault="00A720C3" w:rsidP="00A037EB">
      <w:pPr>
        <w:jc w:val="both"/>
        <w:rPr>
          <w:lang w:val="de-DE"/>
        </w:rPr>
      </w:pPr>
    </w:p>
    <w:p w14:paraId="5FD9C580" w14:textId="064C3983" w:rsidR="00A037EB" w:rsidRPr="004676F5" w:rsidRDefault="00BE0A56" w:rsidP="00A037EB">
      <w:pPr>
        <w:ind w:firstLine="708"/>
        <w:jc w:val="both"/>
        <w:rPr>
          <w:lang w:val="de-DE"/>
        </w:rPr>
      </w:pPr>
      <w:r w:rsidRPr="004676F5">
        <w:rPr>
          <w:b/>
          <w:lang w:val="de-DE"/>
        </w:rPr>
        <w:t>Art. </w:t>
      </w:r>
      <w:r w:rsidR="00A037EB" w:rsidRPr="004676F5">
        <w:rPr>
          <w:b/>
          <w:lang w:val="de-DE"/>
        </w:rPr>
        <w:t>XVI.18</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Die gemeinrechtlichen Verjährungsfristen werden ab dem Datum des Eingangs des vollständigen Antrags wie in Artikel XVI.16 § 1 erwähnt ausgesetzt.</w:t>
      </w:r>
    </w:p>
    <w:p w14:paraId="407AA1E2" w14:textId="77777777" w:rsidR="00A037EB" w:rsidRPr="004676F5" w:rsidRDefault="00A037EB" w:rsidP="00A037EB">
      <w:pPr>
        <w:ind w:firstLine="708"/>
        <w:jc w:val="both"/>
        <w:rPr>
          <w:lang w:val="de-DE"/>
        </w:rPr>
      </w:pPr>
    </w:p>
    <w:p w14:paraId="3BA12189" w14:textId="77777777" w:rsidR="00A037EB" w:rsidRPr="004676F5" w:rsidRDefault="00A037EB" w:rsidP="00A037EB">
      <w:pPr>
        <w:ind w:firstLine="708"/>
        <w:jc w:val="both"/>
        <w:rPr>
          <w:lang w:val="de-DE"/>
        </w:rPr>
      </w:pPr>
      <w:r w:rsidRPr="004676F5">
        <w:rPr>
          <w:lang w:val="de-DE"/>
        </w:rPr>
        <w:t>Die Aussetzung läuft bis zu dem Tag, an dem der Ombudsdienst für Verbraucher den Parteien mitteilt:</w:t>
      </w:r>
    </w:p>
    <w:p w14:paraId="2F9054B8" w14:textId="77777777" w:rsidR="00A037EB" w:rsidRPr="004676F5" w:rsidRDefault="00A037EB" w:rsidP="00A037EB">
      <w:pPr>
        <w:jc w:val="both"/>
        <w:rPr>
          <w:lang w:val="de-DE"/>
        </w:rPr>
      </w:pPr>
    </w:p>
    <w:p w14:paraId="4F0EE96A" w14:textId="7FCD51B1" w:rsidR="00A037EB" w:rsidRPr="004676F5" w:rsidRDefault="005B7A5C" w:rsidP="00A037EB">
      <w:pPr>
        <w:ind w:firstLine="708"/>
        <w:jc w:val="both"/>
        <w:rPr>
          <w:lang w:val="de-DE"/>
        </w:rPr>
      </w:pPr>
      <w:r w:rsidRPr="004676F5">
        <w:rPr>
          <w:lang w:val="de-DE"/>
        </w:rPr>
        <w:t>- </w:t>
      </w:r>
      <w:r w:rsidR="00A037EB" w:rsidRPr="004676F5">
        <w:rPr>
          <w:lang w:val="de-DE"/>
        </w:rPr>
        <w:t>dass die Behandlung des Antrags in Anwendung von Artikel XVI.16 § 3 abgelehnt wird</w:t>
      </w:r>
    </w:p>
    <w:p w14:paraId="0A1D67CB" w14:textId="77777777" w:rsidR="00A037EB" w:rsidRPr="004676F5" w:rsidRDefault="00A037EB" w:rsidP="00A037EB">
      <w:pPr>
        <w:jc w:val="both"/>
        <w:rPr>
          <w:lang w:val="de-DE"/>
        </w:rPr>
      </w:pPr>
    </w:p>
    <w:p w14:paraId="252399E2" w14:textId="314D7A07" w:rsidR="00A037EB" w:rsidRPr="004676F5" w:rsidRDefault="005B7A5C" w:rsidP="00A037EB">
      <w:pPr>
        <w:ind w:firstLine="708"/>
        <w:jc w:val="both"/>
        <w:rPr>
          <w:lang w:val="de-DE"/>
        </w:rPr>
      </w:pPr>
      <w:r w:rsidRPr="004676F5">
        <w:rPr>
          <w:lang w:val="de-DE"/>
        </w:rPr>
        <w:t>- </w:t>
      </w:r>
      <w:r w:rsidR="00A037EB" w:rsidRPr="004676F5">
        <w:rPr>
          <w:lang w:val="de-DE"/>
        </w:rPr>
        <w:t>oder welches das Ergebnis der gütlichen Streitbeilegung ist, in Anwendung von Artikel XVI.17 § 2.</w:t>
      </w:r>
    </w:p>
    <w:p w14:paraId="61D34359" w14:textId="77777777" w:rsidR="00A037EB" w:rsidRPr="004676F5" w:rsidRDefault="00A037EB" w:rsidP="00A037EB">
      <w:pPr>
        <w:ind w:firstLine="708"/>
        <w:jc w:val="both"/>
        <w:rPr>
          <w:lang w:val="de-DE"/>
        </w:rPr>
      </w:pPr>
    </w:p>
    <w:p w14:paraId="00CB9BC8" w14:textId="6B39328C" w:rsidR="00A037EB" w:rsidRPr="004676F5" w:rsidRDefault="00A037EB" w:rsidP="00A037EB">
      <w:pPr>
        <w:ind w:firstLine="708"/>
        <w:jc w:val="both"/>
        <w:rPr>
          <w:lang w:val="de-DE"/>
        </w:rPr>
      </w:pPr>
      <w:r w:rsidRPr="004676F5">
        <w:rPr>
          <w:lang w:val="de-DE"/>
        </w:rPr>
        <w:t>§ 2 </w:t>
      </w:r>
      <w:r w:rsidR="005B7A5C" w:rsidRPr="004676F5">
        <w:rPr>
          <w:lang w:val="de-DE"/>
        </w:rPr>
        <w:t>- </w:t>
      </w:r>
      <w:r w:rsidRPr="004676F5">
        <w:rPr>
          <w:lang w:val="de-DE"/>
        </w:rPr>
        <w:t>Sobald das Unternehmen vom Eingang beim Ombudsdienst für Verbraucher des vollständigen Antrags wie in Artikel XVI.16 § 1 erwähnt in Kenntnis gesetzt wird, setzt es bis zu dem in § 1 Absatz 2 erwähnten Tag jegliches Beitreibungsverfahren aus.</w:t>
      </w:r>
    </w:p>
    <w:p w14:paraId="1E23F118" w14:textId="77777777" w:rsidR="00A037EB" w:rsidRPr="004676F5" w:rsidRDefault="00A037EB" w:rsidP="00A037EB">
      <w:pPr>
        <w:jc w:val="both"/>
        <w:rPr>
          <w:lang w:val="de-DE"/>
        </w:rPr>
      </w:pPr>
    </w:p>
    <w:p w14:paraId="63E4EA5A" w14:textId="77777777" w:rsidR="00A720C3" w:rsidRPr="004676F5" w:rsidRDefault="00A720C3" w:rsidP="00A037EB">
      <w:pPr>
        <w:jc w:val="both"/>
        <w:rPr>
          <w:lang w:val="de-DE"/>
        </w:rPr>
      </w:pPr>
    </w:p>
    <w:p w14:paraId="5FFF72B8" w14:textId="2C048DB3" w:rsidR="00A037EB" w:rsidRPr="004676F5" w:rsidRDefault="00BE0A56" w:rsidP="00A037EB">
      <w:pPr>
        <w:ind w:firstLine="708"/>
        <w:jc w:val="both"/>
        <w:rPr>
          <w:lang w:val="de-DE"/>
        </w:rPr>
      </w:pPr>
      <w:r w:rsidRPr="004676F5">
        <w:rPr>
          <w:b/>
          <w:lang w:val="de-DE"/>
        </w:rPr>
        <w:t>Art. </w:t>
      </w:r>
      <w:r w:rsidR="00A037EB" w:rsidRPr="004676F5">
        <w:rPr>
          <w:b/>
          <w:lang w:val="de-DE"/>
        </w:rPr>
        <w:t>XVI.19</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Der Ombudsdienst für Verbraucher kann im Rahmen eines bei ihm eingereichten Antrags vor Ort Bücher, Korrespondenz, Berichte und allgemein alle Unterlagen und Schriftstücke des betreffenden Unternehmens, die sich direkt auf den Gegenstand des Antrags beziehen, einsehen. Er kann von Verwaltern, Bediensteten und Beauftragten des Unternehmens alle nützlichen Erläuterungen und Informationen verlangen und alle Überprüfungen vornehmen, die für seine Untersuchung nützlich sind.</w:t>
      </w:r>
    </w:p>
    <w:p w14:paraId="65E0F447" w14:textId="77777777" w:rsidR="00A037EB" w:rsidRPr="004676F5" w:rsidRDefault="00A037EB" w:rsidP="00A037EB">
      <w:pPr>
        <w:jc w:val="both"/>
        <w:rPr>
          <w:lang w:val="de-DE"/>
        </w:rPr>
      </w:pPr>
    </w:p>
    <w:p w14:paraId="0208362B" w14:textId="771F519B" w:rsidR="00A037EB" w:rsidRPr="004676F5" w:rsidRDefault="00A037EB" w:rsidP="00A037EB">
      <w:pPr>
        <w:ind w:firstLine="708"/>
        <w:jc w:val="both"/>
        <w:rPr>
          <w:lang w:val="de-DE"/>
        </w:rPr>
      </w:pPr>
      <w:r w:rsidRPr="004676F5">
        <w:rPr>
          <w:lang w:val="de-DE"/>
        </w:rPr>
        <w:t xml:space="preserve">§ 2 </w:t>
      </w:r>
      <w:r w:rsidR="005B7A5C" w:rsidRPr="004676F5">
        <w:rPr>
          <w:lang w:val="de-DE"/>
        </w:rPr>
        <w:t>- </w:t>
      </w:r>
      <w:r w:rsidRPr="004676F5">
        <w:rPr>
          <w:lang w:val="de-DE"/>
        </w:rPr>
        <w:t>Der Ombudsdienst für Verbraucher darf sich von Sachverständigen beistehen lassen.</w:t>
      </w:r>
    </w:p>
    <w:p w14:paraId="1012B217" w14:textId="77777777" w:rsidR="00A037EB" w:rsidRPr="004676F5" w:rsidRDefault="00A037EB" w:rsidP="00A037EB">
      <w:pPr>
        <w:ind w:firstLine="708"/>
        <w:jc w:val="both"/>
        <w:rPr>
          <w:lang w:val="de-DE"/>
        </w:rPr>
      </w:pPr>
    </w:p>
    <w:p w14:paraId="3846E51D" w14:textId="77777777" w:rsidR="00A720C3" w:rsidRPr="004676F5" w:rsidRDefault="00A720C3" w:rsidP="00A037EB">
      <w:pPr>
        <w:ind w:firstLine="708"/>
        <w:jc w:val="both"/>
        <w:rPr>
          <w:lang w:val="de-DE"/>
        </w:rPr>
      </w:pPr>
    </w:p>
    <w:p w14:paraId="12D06254" w14:textId="6DF2B6C7" w:rsidR="00A037EB" w:rsidRPr="004676F5" w:rsidRDefault="00BE0A56" w:rsidP="00A037EB">
      <w:pPr>
        <w:ind w:firstLine="708"/>
        <w:jc w:val="both"/>
        <w:rPr>
          <w:lang w:val="de-DE"/>
        </w:rPr>
      </w:pPr>
      <w:r w:rsidRPr="004676F5">
        <w:rPr>
          <w:b/>
          <w:lang w:val="de-DE"/>
        </w:rPr>
        <w:t>Art. </w:t>
      </w:r>
      <w:r w:rsidR="00A037EB" w:rsidRPr="004676F5">
        <w:rPr>
          <w:b/>
          <w:lang w:val="de-DE"/>
        </w:rPr>
        <w:t>XVI.20</w:t>
      </w:r>
      <w:r w:rsidR="00A037EB" w:rsidRPr="004676F5">
        <w:rPr>
          <w:lang w:val="de-DE"/>
        </w:rPr>
        <w:t> </w:t>
      </w:r>
      <w:r w:rsidR="005B7A5C" w:rsidRPr="004676F5">
        <w:rPr>
          <w:lang w:val="de-DE"/>
        </w:rPr>
        <w:t>- </w:t>
      </w:r>
      <w:r w:rsidR="00A037EB" w:rsidRPr="004676F5">
        <w:rPr>
          <w:lang w:val="de-DE"/>
        </w:rPr>
        <w:t>Auskünfte, die der Ombudsdienst für Verbraucher im Rahmen einer außergerichtlichen Beilegung einer verbraucherrechtlichen Streitigkeit erhält, werden vertraulich behandelt.</w:t>
      </w:r>
    </w:p>
    <w:p w14:paraId="5F58ED5B" w14:textId="77777777" w:rsidR="00A037EB" w:rsidRPr="004676F5" w:rsidRDefault="00A037EB" w:rsidP="00A037EB">
      <w:pPr>
        <w:jc w:val="both"/>
        <w:rPr>
          <w:lang w:val="de-DE"/>
        </w:rPr>
      </w:pPr>
    </w:p>
    <w:p w14:paraId="7196A8C7" w14:textId="77777777" w:rsidR="00A037EB" w:rsidRPr="004676F5" w:rsidRDefault="00A037EB" w:rsidP="00A037EB">
      <w:pPr>
        <w:ind w:firstLine="708"/>
        <w:jc w:val="both"/>
        <w:rPr>
          <w:lang w:val="de-DE"/>
        </w:rPr>
      </w:pPr>
      <w:r w:rsidRPr="004676F5">
        <w:rPr>
          <w:lang w:val="de-DE"/>
        </w:rPr>
        <w:t>Sie dürfen nur im Rahmen der außergerichtlichen Streitbeilegung verwendet werden, mit Ausnahme ihrer Verarbeitung im Hinblick auf den Jahresbericht.</w:t>
      </w:r>
    </w:p>
    <w:p w14:paraId="3BD5C9A3" w14:textId="77777777" w:rsidR="00A037EB" w:rsidRPr="004676F5" w:rsidRDefault="00A037EB" w:rsidP="00A037EB">
      <w:pPr>
        <w:ind w:firstLine="708"/>
        <w:jc w:val="both"/>
        <w:rPr>
          <w:lang w:val="de-DE"/>
        </w:rPr>
      </w:pPr>
    </w:p>
    <w:p w14:paraId="13A5490F" w14:textId="77777777" w:rsidR="00A720C3" w:rsidRPr="004676F5" w:rsidRDefault="00A720C3" w:rsidP="00A037EB">
      <w:pPr>
        <w:ind w:firstLine="708"/>
        <w:jc w:val="both"/>
        <w:rPr>
          <w:lang w:val="de-DE"/>
        </w:rPr>
      </w:pPr>
    </w:p>
    <w:p w14:paraId="46F08BEE" w14:textId="22DD290E" w:rsidR="00A037EB" w:rsidRPr="004676F5" w:rsidRDefault="00BE0A56" w:rsidP="00A037EB">
      <w:pPr>
        <w:ind w:firstLine="708"/>
        <w:jc w:val="both"/>
        <w:rPr>
          <w:lang w:val="de-DE"/>
        </w:rPr>
      </w:pPr>
      <w:r w:rsidRPr="004676F5">
        <w:rPr>
          <w:b/>
          <w:lang w:val="de-DE"/>
        </w:rPr>
        <w:t>Art. </w:t>
      </w:r>
      <w:r w:rsidR="00A037EB" w:rsidRPr="004676F5">
        <w:rPr>
          <w:b/>
          <w:lang w:val="de-DE"/>
        </w:rPr>
        <w:t>XVI.21</w:t>
      </w:r>
      <w:r w:rsidR="00A037EB" w:rsidRPr="004676F5">
        <w:rPr>
          <w:lang w:val="de-DE"/>
        </w:rPr>
        <w:t> </w:t>
      </w:r>
      <w:r w:rsidR="005B7A5C" w:rsidRPr="004676F5">
        <w:rPr>
          <w:lang w:val="de-DE"/>
        </w:rPr>
        <w:t>- </w:t>
      </w:r>
      <w:r w:rsidR="00A037EB" w:rsidRPr="004676F5">
        <w:rPr>
          <w:lang w:val="de-DE"/>
        </w:rPr>
        <w:t>Die Behandlung eines Antrags auf außergerichtliche Beilegung einer verbraucherrechtlichen Streitigkeit durch den Ombudsdienst für Verbraucher ist kostenlos.</w:t>
      </w:r>
    </w:p>
    <w:p w14:paraId="15350E3E" w14:textId="77777777" w:rsidR="00A037EB" w:rsidRPr="004676F5" w:rsidRDefault="00A037EB" w:rsidP="00A037EB">
      <w:pPr>
        <w:jc w:val="both"/>
        <w:rPr>
          <w:lang w:val="de-DE"/>
        </w:rPr>
      </w:pPr>
    </w:p>
    <w:p w14:paraId="2F701FC4" w14:textId="6E45D414" w:rsidR="00A720C3" w:rsidRPr="004676F5" w:rsidRDefault="00A720C3">
      <w:pPr>
        <w:rPr>
          <w:lang w:val="de-DE"/>
        </w:rPr>
      </w:pPr>
    </w:p>
    <w:p w14:paraId="1A34B18E" w14:textId="77777777" w:rsidR="00E00F54" w:rsidRPr="004676F5" w:rsidRDefault="00E00F54">
      <w:pPr>
        <w:rPr>
          <w:lang w:val="de-DE"/>
        </w:rPr>
      </w:pPr>
      <w:r w:rsidRPr="004676F5">
        <w:rPr>
          <w:lang w:val="de-DE"/>
        </w:rPr>
        <w:br w:type="page"/>
      </w:r>
    </w:p>
    <w:p w14:paraId="7B7F615D" w14:textId="63272B48" w:rsidR="00A037EB" w:rsidRPr="004676F5" w:rsidRDefault="00A037EB" w:rsidP="00A037EB">
      <w:pPr>
        <w:jc w:val="center"/>
        <w:rPr>
          <w:lang w:val="de-DE"/>
        </w:rPr>
      </w:pPr>
      <w:r w:rsidRPr="004676F5">
        <w:rPr>
          <w:lang w:val="de-DE"/>
        </w:rPr>
        <w:lastRenderedPageBreak/>
        <w:t>KAPITEL 4 </w:t>
      </w:r>
      <w:r w:rsidR="005B7A5C" w:rsidRPr="004676F5">
        <w:rPr>
          <w:lang w:val="de-DE"/>
        </w:rPr>
        <w:t>- </w:t>
      </w:r>
      <w:r w:rsidRPr="004676F5">
        <w:rPr>
          <w:i/>
          <w:lang w:val="de-DE"/>
        </w:rPr>
        <w:t>Personalmitglieder des Ombudsdienstes für Verbraucher</w:t>
      </w:r>
    </w:p>
    <w:p w14:paraId="60C731B5" w14:textId="77777777" w:rsidR="00A037EB" w:rsidRPr="004676F5" w:rsidRDefault="00A037EB" w:rsidP="00A037EB">
      <w:pPr>
        <w:jc w:val="both"/>
        <w:rPr>
          <w:lang w:val="de-DE"/>
        </w:rPr>
      </w:pPr>
    </w:p>
    <w:p w14:paraId="54CACF95" w14:textId="77777777" w:rsidR="00A720C3" w:rsidRPr="004676F5" w:rsidRDefault="00A720C3" w:rsidP="00A037EB">
      <w:pPr>
        <w:jc w:val="both"/>
        <w:rPr>
          <w:lang w:val="de-DE"/>
        </w:rPr>
      </w:pPr>
    </w:p>
    <w:p w14:paraId="038A7760" w14:textId="4E8961A9" w:rsidR="00A037EB" w:rsidRPr="004676F5" w:rsidRDefault="00BE0A56" w:rsidP="00A037EB">
      <w:pPr>
        <w:ind w:firstLine="708"/>
        <w:jc w:val="both"/>
        <w:rPr>
          <w:lang w:val="de-DE"/>
        </w:rPr>
      </w:pPr>
      <w:r w:rsidRPr="004676F5">
        <w:rPr>
          <w:b/>
          <w:lang w:val="de-DE"/>
        </w:rPr>
        <w:t>Art. </w:t>
      </w:r>
      <w:r w:rsidR="00A037EB" w:rsidRPr="004676F5">
        <w:rPr>
          <w:b/>
          <w:lang w:val="de-DE"/>
        </w:rPr>
        <w:t>XVI.22</w:t>
      </w:r>
      <w:r w:rsidR="00A037EB" w:rsidRPr="004676F5">
        <w:rPr>
          <w:lang w:val="de-DE"/>
        </w:rPr>
        <w:t xml:space="preserve"> </w:t>
      </w:r>
      <w:r w:rsidR="005B7A5C" w:rsidRPr="004676F5">
        <w:rPr>
          <w:lang w:val="de-DE"/>
        </w:rPr>
        <w:t>- </w:t>
      </w:r>
      <w:r w:rsidR="00A037EB" w:rsidRPr="004676F5">
        <w:rPr>
          <w:lang w:val="de-DE"/>
        </w:rPr>
        <w:t>Der König kann durch einen im Ministerrat beratenen Königlichen Erlass dem Ombudsdienst für Verbraucher Personalmitglieder übertragen, die von den in Artikel XVI.8 erwähnten Ombudsdiensten beschäftigt werden, und diesbezügliche Modalitäten festlegen.</w:t>
      </w:r>
    </w:p>
    <w:p w14:paraId="72125518" w14:textId="77777777" w:rsidR="00A037EB" w:rsidRPr="004676F5" w:rsidRDefault="00A037EB" w:rsidP="00A037EB">
      <w:pPr>
        <w:jc w:val="both"/>
        <w:rPr>
          <w:lang w:val="de-DE"/>
        </w:rPr>
      </w:pPr>
    </w:p>
    <w:p w14:paraId="445774E7" w14:textId="77777777" w:rsidR="00A037EB" w:rsidRPr="004676F5" w:rsidRDefault="00A037EB" w:rsidP="00A037EB">
      <w:pPr>
        <w:ind w:firstLine="708"/>
        <w:jc w:val="both"/>
        <w:rPr>
          <w:lang w:val="de-DE"/>
        </w:rPr>
      </w:pPr>
      <w:r w:rsidRPr="004676F5">
        <w:rPr>
          <w:lang w:val="de-DE"/>
        </w:rPr>
        <w:t>Diese Übertragung erfolgt unter integraler Beibehaltung ihrer Rechte und ihres administrativen und finanziellen Dienstalters.</w:t>
      </w:r>
    </w:p>
    <w:p w14:paraId="6A2C8D12" w14:textId="77777777" w:rsidR="00A037EB" w:rsidRPr="004676F5" w:rsidRDefault="00A037EB" w:rsidP="00A037EB">
      <w:pPr>
        <w:ind w:firstLine="708"/>
        <w:jc w:val="both"/>
        <w:rPr>
          <w:lang w:val="de-DE"/>
        </w:rPr>
      </w:pPr>
    </w:p>
    <w:p w14:paraId="4A2CCC7F" w14:textId="77777777" w:rsidR="00A720C3" w:rsidRPr="004676F5" w:rsidRDefault="00A720C3" w:rsidP="00A037EB">
      <w:pPr>
        <w:ind w:firstLine="708"/>
        <w:jc w:val="both"/>
        <w:rPr>
          <w:lang w:val="de-DE"/>
        </w:rPr>
      </w:pPr>
    </w:p>
    <w:p w14:paraId="33ADFFA0" w14:textId="4B0EDDD0" w:rsidR="00A037EB" w:rsidRPr="004676F5" w:rsidRDefault="00BE0A56" w:rsidP="00A037EB">
      <w:pPr>
        <w:ind w:firstLine="708"/>
        <w:jc w:val="both"/>
        <w:rPr>
          <w:lang w:val="de-DE"/>
        </w:rPr>
      </w:pPr>
      <w:r w:rsidRPr="004676F5">
        <w:rPr>
          <w:b/>
          <w:lang w:val="de-DE"/>
        </w:rPr>
        <w:t>Art. </w:t>
      </w:r>
      <w:r w:rsidR="00A037EB" w:rsidRPr="004676F5">
        <w:rPr>
          <w:b/>
          <w:lang w:val="de-DE"/>
        </w:rPr>
        <w:t>XVI.23</w:t>
      </w:r>
      <w:r w:rsidR="00A037EB" w:rsidRPr="004676F5">
        <w:rPr>
          <w:lang w:val="de-DE"/>
        </w:rPr>
        <w:t xml:space="preserve"> </w:t>
      </w:r>
      <w:r w:rsidR="005B7A5C" w:rsidRPr="004676F5">
        <w:rPr>
          <w:lang w:val="de-DE"/>
        </w:rPr>
        <w:t>- </w:t>
      </w:r>
      <w:r w:rsidR="00A037EB" w:rsidRPr="004676F5">
        <w:rPr>
          <w:lang w:val="de-DE"/>
        </w:rPr>
        <w:t>§ 1 </w:t>
      </w:r>
      <w:r w:rsidR="005B7A5C" w:rsidRPr="004676F5">
        <w:rPr>
          <w:lang w:val="de-DE"/>
        </w:rPr>
        <w:t>- </w:t>
      </w:r>
      <w:r w:rsidR="00A037EB" w:rsidRPr="004676F5">
        <w:rPr>
          <w:lang w:val="de-DE"/>
        </w:rPr>
        <w:t>Personalmitglieder, die an Verfahren der außergerichtlichen Beilegung verbraucherrechtlicher Streitigkeiten in Anwendung von Artikel XVI.6 Nr. 2 und 3 beteiligt sind, verfügen über ausreichendes Wissen im Bereich der Beilegung verbraucher</w:t>
      </w:r>
      <w:r w:rsidR="00A037EB" w:rsidRPr="004676F5">
        <w:rPr>
          <w:lang w:val="de-DE"/>
        </w:rPr>
        <w:softHyphen/>
        <w:t>rechtlicher Streitigkeiten.</w:t>
      </w:r>
    </w:p>
    <w:p w14:paraId="35346EA6" w14:textId="77777777" w:rsidR="00A037EB" w:rsidRPr="004676F5" w:rsidRDefault="00A037EB" w:rsidP="00A037EB">
      <w:pPr>
        <w:ind w:firstLine="708"/>
        <w:jc w:val="both"/>
        <w:rPr>
          <w:lang w:val="de-DE"/>
        </w:rPr>
      </w:pPr>
    </w:p>
    <w:p w14:paraId="3785A1C2" w14:textId="77777777" w:rsidR="00A037EB" w:rsidRPr="004676F5" w:rsidRDefault="00A037EB" w:rsidP="00A037EB">
      <w:pPr>
        <w:ind w:firstLine="708"/>
        <w:jc w:val="both"/>
        <w:rPr>
          <w:lang w:val="de-DE"/>
        </w:rPr>
      </w:pPr>
      <w:r w:rsidRPr="004676F5">
        <w:rPr>
          <w:lang w:val="de-DE"/>
        </w:rPr>
        <w:t>Der König kann nähere Regeln für die Anwendung des vorhergehenden Absatzes festlegen.</w:t>
      </w:r>
    </w:p>
    <w:p w14:paraId="1C9B65F2" w14:textId="77777777" w:rsidR="00A037EB" w:rsidRPr="004676F5" w:rsidRDefault="00A037EB" w:rsidP="00A037EB">
      <w:pPr>
        <w:jc w:val="both"/>
        <w:rPr>
          <w:lang w:val="de-DE"/>
        </w:rPr>
      </w:pPr>
    </w:p>
    <w:p w14:paraId="10A2BFEC" w14:textId="4F9B0C4F" w:rsidR="00A037EB" w:rsidRPr="004676F5" w:rsidRDefault="00A037EB" w:rsidP="00A037EB">
      <w:pPr>
        <w:ind w:firstLine="708"/>
        <w:jc w:val="both"/>
        <w:rPr>
          <w:lang w:val="de-DE"/>
        </w:rPr>
      </w:pPr>
      <w:r w:rsidRPr="004676F5">
        <w:rPr>
          <w:lang w:val="de-DE"/>
        </w:rPr>
        <w:t>§ 2 </w:t>
      </w:r>
      <w:r w:rsidR="005B7A5C" w:rsidRPr="004676F5">
        <w:rPr>
          <w:lang w:val="de-DE"/>
        </w:rPr>
        <w:t>- </w:t>
      </w:r>
      <w:r w:rsidRPr="004676F5">
        <w:rPr>
          <w:lang w:val="de-DE"/>
        </w:rPr>
        <w:t>In § 1 erwähnte Personalmitglieder legen dem in Artikel XVI.8 § 1 erwähnten Direktionsrat unverzüglich alle Umstände offen, die ihre Unabhängigkeit und Unparteilichkeit beeinträchtigen oder Interessenkonflikte mit einer der Parteien eines Verfahrens der außergerichtlichen Beilegung einer verbraucherrechtlichen Streitigkeit, an dem sie beteiligt sind, entstehen lassen könnten oder diesen Eindruck erwecken könnten.</w:t>
      </w:r>
    </w:p>
    <w:p w14:paraId="4EA96D64" w14:textId="77777777" w:rsidR="00A037EB" w:rsidRPr="004676F5" w:rsidRDefault="00A037EB" w:rsidP="00A037EB">
      <w:pPr>
        <w:ind w:firstLine="708"/>
        <w:jc w:val="both"/>
        <w:rPr>
          <w:lang w:val="de-DE"/>
        </w:rPr>
      </w:pPr>
    </w:p>
    <w:p w14:paraId="54D6790F" w14:textId="77777777" w:rsidR="00A720C3" w:rsidRPr="004676F5" w:rsidRDefault="00A720C3">
      <w:pPr>
        <w:rPr>
          <w:b/>
          <w:lang w:val="de-DE"/>
        </w:rPr>
      </w:pPr>
      <w:r w:rsidRPr="004676F5">
        <w:rPr>
          <w:b/>
          <w:lang w:val="de-DE"/>
        </w:rPr>
        <w:br w:type="page"/>
      </w:r>
    </w:p>
    <w:p w14:paraId="42EF0539" w14:textId="0B8F67C3" w:rsidR="00A037EB" w:rsidRPr="004676F5" w:rsidRDefault="00A037EB" w:rsidP="00A037EB">
      <w:pPr>
        <w:jc w:val="center"/>
        <w:rPr>
          <w:lang w:val="de-DE"/>
        </w:rPr>
      </w:pPr>
      <w:r w:rsidRPr="004676F5">
        <w:rPr>
          <w:b/>
          <w:lang w:val="de-DE"/>
        </w:rPr>
        <w:lastRenderedPageBreak/>
        <w:t>TITEL 4 </w:t>
      </w:r>
      <w:r w:rsidR="005B7A5C" w:rsidRPr="004676F5">
        <w:rPr>
          <w:b/>
          <w:lang w:val="de-DE"/>
        </w:rPr>
        <w:t>- </w:t>
      </w:r>
      <w:r w:rsidRPr="004676F5">
        <w:rPr>
          <w:b/>
          <w:i/>
          <w:lang w:val="de-DE"/>
        </w:rPr>
        <w:t>Qualifizierte Einrichtungen für außergerichtliche Beilegung verbraucherrechtlicher Streitigkeiten</w:t>
      </w:r>
    </w:p>
    <w:p w14:paraId="66A82E33" w14:textId="77777777" w:rsidR="00A037EB" w:rsidRPr="004676F5" w:rsidRDefault="00A037EB" w:rsidP="00A037EB">
      <w:pPr>
        <w:jc w:val="both"/>
        <w:rPr>
          <w:lang w:val="de-DE"/>
        </w:rPr>
      </w:pPr>
    </w:p>
    <w:p w14:paraId="5D015A34" w14:textId="77777777" w:rsidR="00A720C3" w:rsidRPr="004676F5" w:rsidRDefault="00A720C3" w:rsidP="00A037EB">
      <w:pPr>
        <w:jc w:val="both"/>
        <w:rPr>
          <w:lang w:val="de-DE"/>
        </w:rPr>
      </w:pPr>
    </w:p>
    <w:p w14:paraId="17EE6A83" w14:textId="6E776B68" w:rsidR="00A037EB" w:rsidRPr="004676F5" w:rsidRDefault="00BE0A56" w:rsidP="00A037EB">
      <w:pPr>
        <w:ind w:firstLine="708"/>
        <w:jc w:val="both"/>
        <w:rPr>
          <w:lang w:val="de-DE"/>
        </w:rPr>
      </w:pPr>
      <w:r w:rsidRPr="004676F5">
        <w:rPr>
          <w:b/>
          <w:lang w:val="de-DE"/>
        </w:rPr>
        <w:t>Art. </w:t>
      </w:r>
      <w:r w:rsidR="00A037EB" w:rsidRPr="004676F5">
        <w:rPr>
          <w:b/>
          <w:lang w:val="de-DE"/>
        </w:rPr>
        <w:t>XVI.24</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Der Föderale Öffentliche Dienst Wirtschaft, KMB, Mittelstand und Energie erstellt das Verzeichnis der Einrichtungen, die außergerichtlich verbraucherrechtliche Streitigkeiten beilegen und die in Artikel XVI.25 erwähnten Bedingungen erfüllen, und veröffentlicht es auf seiner Website.</w:t>
      </w:r>
    </w:p>
    <w:p w14:paraId="3078F377" w14:textId="77777777" w:rsidR="00A037EB" w:rsidRPr="004676F5" w:rsidRDefault="00A037EB" w:rsidP="00A037EB">
      <w:pPr>
        <w:ind w:firstLine="708"/>
        <w:jc w:val="both"/>
        <w:rPr>
          <w:lang w:val="de-DE"/>
        </w:rPr>
      </w:pPr>
    </w:p>
    <w:p w14:paraId="2B20E7D6" w14:textId="77777777" w:rsidR="00A037EB" w:rsidRPr="004676F5" w:rsidRDefault="00A037EB" w:rsidP="00A037EB">
      <w:pPr>
        <w:ind w:firstLine="708"/>
        <w:jc w:val="both"/>
        <w:rPr>
          <w:lang w:val="de-DE"/>
        </w:rPr>
      </w:pPr>
      <w:r w:rsidRPr="004676F5">
        <w:rPr>
          <w:lang w:val="de-DE"/>
        </w:rPr>
        <w:t>Dieses Verzeichnis wird der Europäischen Kommission übermittelt.</w:t>
      </w:r>
    </w:p>
    <w:p w14:paraId="286ABAC9" w14:textId="77777777" w:rsidR="00A037EB" w:rsidRPr="004676F5" w:rsidRDefault="00A037EB" w:rsidP="00A037EB">
      <w:pPr>
        <w:jc w:val="both"/>
        <w:rPr>
          <w:lang w:val="de-DE"/>
        </w:rPr>
      </w:pPr>
    </w:p>
    <w:p w14:paraId="218C73C8" w14:textId="6E1E51BC" w:rsidR="00A037EB" w:rsidRPr="004676F5" w:rsidRDefault="00A037EB" w:rsidP="00A037EB">
      <w:pPr>
        <w:ind w:firstLine="708"/>
        <w:jc w:val="both"/>
        <w:rPr>
          <w:lang w:val="de-DE"/>
        </w:rPr>
      </w:pPr>
      <w:r w:rsidRPr="004676F5">
        <w:rPr>
          <w:lang w:val="de-DE"/>
        </w:rPr>
        <w:t>§ 2 </w:t>
      </w:r>
      <w:r w:rsidR="005B7A5C" w:rsidRPr="004676F5">
        <w:rPr>
          <w:lang w:val="de-DE"/>
        </w:rPr>
        <w:t>- </w:t>
      </w:r>
      <w:r w:rsidRPr="004676F5">
        <w:rPr>
          <w:lang w:val="de-DE"/>
        </w:rPr>
        <w:t>Eine Einrichtung, die in das in § 1 erwähnte Verzeichnis aufgenommen werden möchte, richtet einen Antrag an den Föderalen Öffentlichen Dienst Wirtschaft, KMB, Mittelstand und Energie. Dieser Antrag enthält alle Angaben, die erforderlich sind, um nachzuweisen, dass die in Artikel XVI.25 § 1 aufgezählten Bedingungen erfüllt sind.</w:t>
      </w:r>
    </w:p>
    <w:p w14:paraId="2442936E" w14:textId="77777777" w:rsidR="00A037EB" w:rsidRPr="004676F5" w:rsidRDefault="00A037EB" w:rsidP="00A037EB">
      <w:pPr>
        <w:jc w:val="both"/>
        <w:rPr>
          <w:lang w:val="de-DE"/>
        </w:rPr>
      </w:pPr>
    </w:p>
    <w:p w14:paraId="291E9949" w14:textId="5C4E9436" w:rsidR="00A037EB" w:rsidRPr="004676F5" w:rsidRDefault="00A037EB" w:rsidP="00A037EB">
      <w:pPr>
        <w:ind w:firstLine="708"/>
        <w:jc w:val="both"/>
        <w:rPr>
          <w:lang w:val="de-DE"/>
        </w:rPr>
      </w:pPr>
      <w:r w:rsidRPr="004676F5">
        <w:rPr>
          <w:lang w:val="de-DE"/>
        </w:rPr>
        <w:t xml:space="preserve">§ 3 </w:t>
      </w:r>
      <w:r w:rsidR="005B7A5C" w:rsidRPr="004676F5">
        <w:rPr>
          <w:lang w:val="de-DE"/>
        </w:rPr>
        <w:t>- </w:t>
      </w:r>
      <w:r w:rsidRPr="004676F5">
        <w:rPr>
          <w:lang w:val="de-DE"/>
        </w:rPr>
        <w:t>Erfüllt eine in dem Verzeichnis nach § 1 aufgenommene Einrichtung nicht mehr die Bedingungen des vorliegenden Titels, wird sie aus dem Verzeichnis gestrichen. Die betreffende Einrichtung wird angehört, bevor sie gegebenenfalls aus dem Verzeichnis gestrichen wird.</w:t>
      </w:r>
    </w:p>
    <w:p w14:paraId="15EB5373" w14:textId="77777777" w:rsidR="00A037EB" w:rsidRPr="004676F5" w:rsidRDefault="00A037EB" w:rsidP="00A037EB">
      <w:pPr>
        <w:ind w:firstLine="708"/>
        <w:jc w:val="both"/>
        <w:rPr>
          <w:lang w:val="de-DE"/>
        </w:rPr>
      </w:pPr>
    </w:p>
    <w:p w14:paraId="7FED12A7" w14:textId="77777777" w:rsidR="00A16897" w:rsidRPr="004676F5" w:rsidRDefault="00A16897" w:rsidP="00A037EB">
      <w:pPr>
        <w:ind w:firstLine="708"/>
        <w:jc w:val="both"/>
        <w:rPr>
          <w:lang w:val="de-DE"/>
        </w:rPr>
      </w:pPr>
    </w:p>
    <w:p w14:paraId="44F1937E" w14:textId="3FC0FF20" w:rsidR="00A037EB" w:rsidRPr="004676F5" w:rsidRDefault="00BE0A56" w:rsidP="00A037EB">
      <w:pPr>
        <w:ind w:firstLine="708"/>
        <w:jc w:val="both"/>
        <w:rPr>
          <w:lang w:val="de-DE"/>
        </w:rPr>
      </w:pPr>
      <w:r w:rsidRPr="004676F5">
        <w:rPr>
          <w:b/>
          <w:lang w:val="de-DE"/>
        </w:rPr>
        <w:t>Art. </w:t>
      </w:r>
      <w:r w:rsidR="00A037EB" w:rsidRPr="004676F5">
        <w:rPr>
          <w:b/>
          <w:lang w:val="de-DE"/>
        </w:rPr>
        <w:t>XVI.25</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Eine qualifizierte Einrichtung erfüllt folgende Bedingungen:</w:t>
      </w:r>
    </w:p>
    <w:p w14:paraId="02B42850" w14:textId="77777777" w:rsidR="00A037EB" w:rsidRPr="004676F5" w:rsidRDefault="00A037EB" w:rsidP="00A037EB">
      <w:pPr>
        <w:jc w:val="both"/>
        <w:rPr>
          <w:lang w:val="de-DE"/>
        </w:rPr>
      </w:pPr>
    </w:p>
    <w:p w14:paraId="547B28E1" w14:textId="77777777" w:rsidR="00A037EB" w:rsidRPr="004676F5" w:rsidRDefault="00A037EB" w:rsidP="00A037EB">
      <w:pPr>
        <w:ind w:firstLine="708"/>
        <w:jc w:val="both"/>
        <w:rPr>
          <w:lang w:val="de-DE"/>
        </w:rPr>
      </w:pPr>
      <w:r w:rsidRPr="004676F5">
        <w:rPr>
          <w:lang w:val="de-DE"/>
        </w:rPr>
        <w:t>1. Die Einrichtung ist unabhängig und unparteiisch.</w:t>
      </w:r>
    </w:p>
    <w:p w14:paraId="13DC12D7" w14:textId="77777777" w:rsidR="00A037EB" w:rsidRPr="004676F5" w:rsidRDefault="00A037EB" w:rsidP="00A037EB">
      <w:pPr>
        <w:jc w:val="both"/>
        <w:rPr>
          <w:lang w:val="de-DE"/>
        </w:rPr>
      </w:pPr>
    </w:p>
    <w:p w14:paraId="7CCB7714" w14:textId="77777777" w:rsidR="00A037EB" w:rsidRPr="004676F5" w:rsidRDefault="00A037EB" w:rsidP="00A037EB">
      <w:pPr>
        <w:ind w:firstLine="708"/>
        <w:jc w:val="both"/>
        <w:rPr>
          <w:lang w:val="de-DE"/>
        </w:rPr>
      </w:pPr>
      <w:r w:rsidRPr="004676F5">
        <w:rPr>
          <w:lang w:val="de-DE"/>
        </w:rPr>
        <w:t>2. Natürliche Personen, die bei der Einrichtung mit der außergerichtlichen Beilegung verbraucherrechtlicher Streitigkeiten beauftragt sind, verfügen über das erforderliche Fachwissen.</w:t>
      </w:r>
    </w:p>
    <w:p w14:paraId="24A42437" w14:textId="77777777" w:rsidR="00A037EB" w:rsidRPr="004676F5" w:rsidRDefault="00A037EB" w:rsidP="00A037EB">
      <w:pPr>
        <w:ind w:firstLine="708"/>
        <w:jc w:val="both"/>
        <w:rPr>
          <w:lang w:val="de-DE"/>
        </w:rPr>
      </w:pPr>
    </w:p>
    <w:p w14:paraId="480E25D3" w14:textId="77777777" w:rsidR="00A037EB" w:rsidRPr="004676F5" w:rsidRDefault="00A037EB" w:rsidP="00A037EB">
      <w:pPr>
        <w:ind w:firstLine="708"/>
        <w:jc w:val="both"/>
        <w:rPr>
          <w:lang w:val="de-DE"/>
        </w:rPr>
      </w:pPr>
      <w:r w:rsidRPr="004676F5">
        <w:rPr>
          <w:lang w:val="de-DE"/>
        </w:rPr>
        <w:t>3. Die Einrichtung ist transparent hinsichtlich ihrer Zusammensetzung, ihrer Verfahrensordnung, ihrer Finanzierung und ihrer Tätigkeiten.</w:t>
      </w:r>
    </w:p>
    <w:p w14:paraId="61CDF34E" w14:textId="77777777" w:rsidR="00A037EB" w:rsidRPr="004676F5" w:rsidRDefault="00A037EB" w:rsidP="00A037EB">
      <w:pPr>
        <w:jc w:val="both"/>
        <w:rPr>
          <w:lang w:val="de-DE"/>
        </w:rPr>
      </w:pPr>
    </w:p>
    <w:p w14:paraId="34FBE781" w14:textId="77777777" w:rsidR="00A037EB" w:rsidRPr="004676F5" w:rsidRDefault="00A037EB" w:rsidP="00A037EB">
      <w:pPr>
        <w:ind w:firstLine="708"/>
        <w:jc w:val="both"/>
        <w:rPr>
          <w:lang w:val="de-DE"/>
        </w:rPr>
      </w:pPr>
      <w:r w:rsidRPr="004676F5">
        <w:rPr>
          <w:lang w:val="de-DE"/>
        </w:rPr>
        <w:t>4. Die Einrichtung ist für die Parteien sowohl online als auch offline leicht zugänglich, und zwar unabhängig davon, wo sie sind, und ohne dass sie auf einen gesetzlichen Vertreter zurückgreifen müssen.</w:t>
      </w:r>
    </w:p>
    <w:p w14:paraId="3EED167B" w14:textId="77777777" w:rsidR="00A037EB" w:rsidRPr="004676F5" w:rsidRDefault="00A037EB" w:rsidP="00A037EB">
      <w:pPr>
        <w:ind w:firstLine="708"/>
        <w:jc w:val="both"/>
        <w:rPr>
          <w:lang w:val="de-DE"/>
        </w:rPr>
      </w:pPr>
    </w:p>
    <w:p w14:paraId="288445A0" w14:textId="77777777" w:rsidR="00A037EB" w:rsidRPr="004676F5" w:rsidRDefault="00A037EB" w:rsidP="00A037EB">
      <w:pPr>
        <w:ind w:firstLine="708"/>
        <w:jc w:val="both"/>
        <w:rPr>
          <w:lang w:val="de-DE"/>
        </w:rPr>
      </w:pPr>
      <w:r w:rsidRPr="004676F5">
        <w:rPr>
          <w:lang w:val="de-DE"/>
        </w:rPr>
        <w:t>5. Verfahren sind für Verbraucher entweder kostenlos oder gegen eine Schutzgebühr zugänglich.</w:t>
      </w:r>
    </w:p>
    <w:p w14:paraId="756FD5E7" w14:textId="77777777" w:rsidR="00A037EB" w:rsidRPr="004676F5" w:rsidRDefault="00A037EB" w:rsidP="00A037EB">
      <w:pPr>
        <w:jc w:val="both"/>
        <w:rPr>
          <w:lang w:val="de-DE"/>
        </w:rPr>
      </w:pPr>
    </w:p>
    <w:p w14:paraId="5E6DE365" w14:textId="77777777" w:rsidR="00A037EB" w:rsidRPr="004676F5" w:rsidRDefault="00A037EB" w:rsidP="00A037EB">
      <w:pPr>
        <w:ind w:firstLine="708"/>
        <w:jc w:val="both"/>
        <w:rPr>
          <w:lang w:val="de-DE"/>
        </w:rPr>
      </w:pPr>
      <w:r w:rsidRPr="004676F5">
        <w:rPr>
          <w:lang w:val="de-DE"/>
        </w:rPr>
        <w:t>6. In der Verfahrensordnung wird in ausreichend deutlicher Weise festgelegt, wann die Einrichtung einen Antrag als vollständig erachtet.</w:t>
      </w:r>
    </w:p>
    <w:p w14:paraId="38B989DC" w14:textId="77777777" w:rsidR="00A037EB" w:rsidRPr="004676F5" w:rsidRDefault="00A037EB" w:rsidP="00A037EB">
      <w:pPr>
        <w:ind w:firstLine="708"/>
        <w:jc w:val="both"/>
        <w:rPr>
          <w:lang w:val="de-DE"/>
        </w:rPr>
      </w:pPr>
    </w:p>
    <w:p w14:paraId="40EA938A" w14:textId="77777777" w:rsidR="00A037EB" w:rsidRPr="004676F5" w:rsidRDefault="00A037EB" w:rsidP="00A037EB">
      <w:pPr>
        <w:ind w:firstLine="708"/>
        <w:jc w:val="both"/>
        <w:rPr>
          <w:lang w:val="de-DE"/>
        </w:rPr>
      </w:pPr>
      <w:r w:rsidRPr="004676F5">
        <w:rPr>
          <w:lang w:val="de-DE"/>
        </w:rPr>
        <w:t>7. In der Verfahrensordnung werden auf vollständige Weise die Gründe festgelegt, aus denen die Behandlung eines Antrags auf außergerichtliche Beilegung einer verbraucher</w:t>
      </w:r>
      <w:r w:rsidRPr="004676F5">
        <w:rPr>
          <w:lang w:val="de-DE"/>
        </w:rPr>
        <w:softHyphen/>
        <w:t>rechtlichen Streitigkeit abgelehnt werden darf. Diese Gründe können auf Folgendes gestützt sein:</w:t>
      </w:r>
    </w:p>
    <w:p w14:paraId="022AEE14" w14:textId="77777777" w:rsidR="00A037EB" w:rsidRPr="004676F5" w:rsidRDefault="00A037EB" w:rsidP="00A037EB">
      <w:pPr>
        <w:jc w:val="both"/>
        <w:rPr>
          <w:lang w:val="de-DE"/>
        </w:rPr>
      </w:pPr>
    </w:p>
    <w:p w14:paraId="43FC19AE" w14:textId="77777777" w:rsidR="00A037EB" w:rsidRPr="004676F5" w:rsidRDefault="00A037EB" w:rsidP="00A037EB">
      <w:pPr>
        <w:ind w:firstLine="708"/>
        <w:jc w:val="both"/>
        <w:rPr>
          <w:lang w:val="de-DE"/>
        </w:rPr>
      </w:pPr>
      <w:r w:rsidRPr="004676F5">
        <w:rPr>
          <w:i/>
          <w:lang w:val="de-DE"/>
        </w:rPr>
        <w:t>a)</w:t>
      </w:r>
      <w:r w:rsidRPr="004676F5">
        <w:rPr>
          <w:lang w:val="de-DE"/>
        </w:rPr>
        <w:t> Keinerlei Beschwerde ist zuerst bei dem betreffenden Unternehmen eingereicht worden.</w:t>
      </w:r>
    </w:p>
    <w:p w14:paraId="39720CB1" w14:textId="77777777" w:rsidR="00A037EB" w:rsidRPr="004676F5" w:rsidRDefault="00A037EB" w:rsidP="00A037EB">
      <w:pPr>
        <w:jc w:val="both"/>
        <w:rPr>
          <w:lang w:val="de-DE"/>
        </w:rPr>
      </w:pPr>
    </w:p>
    <w:p w14:paraId="675DC308" w14:textId="77777777" w:rsidR="00A037EB" w:rsidRPr="004676F5" w:rsidRDefault="00A037EB" w:rsidP="00A037EB">
      <w:pPr>
        <w:ind w:firstLine="708"/>
        <w:jc w:val="both"/>
        <w:rPr>
          <w:lang w:val="de-DE"/>
        </w:rPr>
      </w:pPr>
      <w:r w:rsidRPr="004676F5">
        <w:rPr>
          <w:i/>
          <w:lang w:val="de-DE"/>
        </w:rPr>
        <w:t>b)</w:t>
      </w:r>
      <w:r w:rsidRPr="004676F5">
        <w:rPr>
          <w:lang w:val="de-DE"/>
        </w:rPr>
        <w:t xml:space="preserve"> Der Antrag wird anonym eingereicht oder die Gegenpartei wird nicht genannt oder ist nicht ermittelbar.</w:t>
      </w:r>
    </w:p>
    <w:p w14:paraId="130FF6DB" w14:textId="77777777" w:rsidR="00A037EB" w:rsidRPr="004676F5" w:rsidRDefault="00A037EB" w:rsidP="00A037EB">
      <w:pPr>
        <w:jc w:val="both"/>
        <w:rPr>
          <w:lang w:val="de-DE"/>
        </w:rPr>
      </w:pPr>
    </w:p>
    <w:p w14:paraId="667DE714" w14:textId="77777777" w:rsidR="00A037EB" w:rsidRPr="004676F5" w:rsidRDefault="00A037EB" w:rsidP="00A037EB">
      <w:pPr>
        <w:ind w:firstLine="708"/>
        <w:jc w:val="both"/>
        <w:rPr>
          <w:lang w:val="de-DE"/>
        </w:rPr>
      </w:pPr>
      <w:r w:rsidRPr="004676F5">
        <w:rPr>
          <w:i/>
          <w:lang w:val="de-DE"/>
        </w:rPr>
        <w:t>c)</w:t>
      </w:r>
      <w:r w:rsidRPr="004676F5">
        <w:rPr>
          <w:lang w:val="de-DE"/>
        </w:rPr>
        <w:t xml:space="preserve"> Der Antrag wird nach Ablauf der in der Verfahrensordnung der Einrichtung festgelegten Frist eingereicht; diese Frist beträgt mindestens ein Jahr ab dem Zeitpunkt, zu dem die Streitigkeit dem betreffenden Unternehmen vorgelegt worden ist.</w:t>
      </w:r>
    </w:p>
    <w:p w14:paraId="0716DAF6" w14:textId="77777777" w:rsidR="00A037EB" w:rsidRPr="004676F5" w:rsidRDefault="00A037EB" w:rsidP="00A037EB">
      <w:pPr>
        <w:jc w:val="both"/>
        <w:rPr>
          <w:lang w:val="de-DE"/>
        </w:rPr>
      </w:pPr>
    </w:p>
    <w:p w14:paraId="12DACA0A" w14:textId="77777777" w:rsidR="00A037EB" w:rsidRPr="004676F5" w:rsidRDefault="00A037EB" w:rsidP="00A037EB">
      <w:pPr>
        <w:ind w:firstLine="708"/>
        <w:jc w:val="both"/>
        <w:rPr>
          <w:lang w:val="de-DE"/>
        </w:rPr>
      </w:pPr>
      <w:r w:rsidRPr="004676F5">
        <w:rPr>
          <w:i/>
          <w:lang w:val="de-DE"/>
        </w:rPr>
        <w:t>d)</w:t>
      </w:r>
      <w:r w:rsidRPr="004676F5">
        <w:rPr>
          <w:lang w:val="de-DE"/>
        </w:rPr>
        <w:t xml:space="preserve"> Der Antrag ist erfunden, schikanös oder diffamierend.</w:t>
      </w:r>
    </w:p>
    <w:p w14:paraId="6E859DB9" w14:textId="77777777" w:rsidR="00A037EB" w:rsidRPr="004676F5" w:rsidRDefault="00A037EB" w:rsidP="00A037EB">
      <w:pPr>
        <w:ind w:firstLine="708"/>
        <w:jc w:val="both"/>
        <w:rPr>
          <w:lang w:val="de-DE"/>
        </w:rPr>
      </w:pPr>
    </w:p>
    <w:p w14:paraId="1700B5F9" w14:textId="77777777" w:rsidR="00A037EB" w:rsidRPr="004676F5" w:rsidRDefault="00A037EB" w:rsidP="00A037EB">
      <w:pPr>
        <w:ind w:firstLine="708"/>
        <w:jc w:val="both"/>
        <w:rPr>
          <w:lang w:val="de-DE"/>
        </w:rPr>
      </w:pPr>
      <w:r w:rsidRPr="004676F5">
        <w:rPr>
          <w:i/>
          <w:lang w:val="de-DE"/>
        </w:rPr>
        <w:t>e)</w:t>
      </w:r>
      <w:r w:rsidRPr="004676F5">
        <w:rPr>
          <w:lang w:val="de-DE"/>
        </w:rPr>
        <w:t xml:space="preserve"> Der Antrag fällt nicht unter die verbraucherrechtlichen Streitigkeiten, für die die Einrichtung zuständig ist.</w:t>
      </w:r>
    </w:p>
    <w:p w14:paraId="1151DD5D" w14:textId="77777777" w:rsidR="00A037EB" w:rsidRPr="004676F5" w:rsidRDefault="00A037EB" w:rsidP="00A037EB">
      <w:pPr>
        <w:ind w:firstLine="708"/>
        <w:jc w:val="both"/>
        <w:rPr>
          <w:lang w:val="de-DE"/>
        </w:rPr>
      </w:pPr>
    </w:p>
    <w:p w14:paraId="0CA5EC57" w14:textId="77777777" w:rsidR="00A037EB" w:rsidRPr="004676F5" w:rsidRDefault="00A037EB" w:rsidP="00A037EB">
      <w:pPr>
        <w:ind w:firstLine="708"/>
        <w:jc w:val="both"/>
        <w:rPr>
          <w:lang w:val="de-DE"/>
        </w:rPr>
      </w:pPr>
      <w:r w:rsidRPr="004676F5">
        <w:rPr>
          <w:i/>
          <w:lang w:val="de-DE"/>
        </w:rPr>
        <w:t>f)</w:t>
      </w:r>
      <w:r w:rsidRPr="004676F5">
        <w:rPr>
          <w:lang w:val="de-DE"/>
        </w:rPr>
        <w:t xml:space="preserve"> Obwohl der Antrag unter die verbraucherrechtlichen Streitigkeiten fällt, für die die Einrichtung zuständig ist, liegt der Streitwert oder der geschätzte Streitwert des Antrags unter oder über den in der Verfahrensordnung der Einrichtung festgelegten Schwellenwerten.</w:t>
      </w:r>
    </w:p>
    <w:p w14:paraId="546877E2" w14:textId="77777777" w:rsidR="00A037EB" w:rsidRPr="004676F5" w:rsidRDefault="00A037EB" w:rsidP="00A037EB">
      <w:pPr>
        <w:jc w:val="both"/>
        <w:rPr>
          <w:lang w:val="de-DE"/>
        </w:rPr>
      </w:pPr>
    </w:p>
    <w:p w14:paraId="46CBEE5F" w14:textId="77777777" w:rsidR="00A037EB" w:rsidRPr="004676F5" w:rsidRDefault="00A037EB" w:rsidP="00A037EB">
      <w:pPr>
        <w:ind w:firstLine="708"/>
        <w:jc w:val="both"/>
        <w:rPr>
          <w:lang w:val="de-DE"/>
        </w:rPr>
      </w:pPr>
      <w:r w:rsidRPr="004676F5">
        <w:rPr>
          <w:i/>
          <w:lang w:val="de-DE"/>
        </w:rPr>
        <w:t>g)</w:t>
      </w:r>
      <w:r w:rsidRPr="004676F5">
        <w:rPr>
          <w:lang w:val="de-DE"/>
        </w:rPr>
        <w:t xml:space="preserve"> Der Antrag bezweckt die Beilegung einer Streitigkeit, die bereits Gegenstand einer Rechtsklage war oder ist.</w:t>
      </w:r>
    </w:p>
    <w:p w14:paraId="1884811D" w14:textId="77777777" w:rsidR="00A037EB" w:rsidRPr="004676F5" w:rsidRDefault="00A037EB" w:rsidP="00A037EB">
      <w:pPr>
        <w:jc w:val="both"/>
        <w:rPr>
          <w:lang w:val="de-DE"/>
        </w:rPr>
      </w:pPr>
    </w:p>
    <w:p w14:paraId="2E59FDC4" w14:textId="77777777" w:rsidR="00A037EB" w:rsidRPr="004676F5" w:rsidRDefault="00A037EB" w:rsidP="00A037EB">
      <w:pPr>
        <w:ind w:firstLine="708"/>
        <w:jc w:val="both"/>
        <w:rPr>
          <w:lang w:val="de-DE"/>
        </w:rPr>
      </w:pPr>
      <w:r w:rsidRPr="004676F5">
        <w:rPr>
          <w:i/>
          <w:lang w:val="de-DE"/>
        </w:rPr>
        <w:t>h)</w:t>
      </w:r>
      <w:r w:rsidRPr="004676F5">
        <w:rPr>
          <w:lang w:val="de-DE"/>
        </w:rPr>
        <w:t> Die Behandlung der Streitigkeit würde den effektiven Betrieb der qualifizierten Einrichtung ernsthaft beeinträchtigen.</w:t>
      </w:r>
    </w:p>
    <w:p w14:paraId="4D6925F0" w14:textId="77777777" w:rsidR="00A037EB" w:rsidRPr="004676F5" w:rsidRDefault="00A037EB" w:rsidP="00A037EB">
      <w:pPr>
        <w:jc w:val="both"/>
        <w:rPr>
          <w:lang w:val="de-DE"/>
        </w:rPr>
      </w:pPr>
    </w:p>
    <w:p w14:paraId="55E14AF1" w14:textId="77777777" w:rsidR="00A037EB" w:rsidRPr="004676F5" w:rsidRDefault="00A037EB" w:rsidP="00A037EB">
      <w:pPr>
        <w:ind w:firstLine="708"/>
        <w:jc w:val="both"/>
        <w:rPr>
          <w:lang w:val="de-DE"/>
        </w:rPr>
      </w:pPr>
      <w:r w:rsidRPr="004676F5">
        <w:rPr>
          <w:lang w:val="de-DE"/>
        </w:rPr>
        <w:t>8. In der Verfahrensordnung wird festgelegt, dass die Einrichtung binnen drei Wochen ab Eingang des vollständigen Antrags die Parteien von ihrem Beschluss in Kenntnis setzt, die Behandlung des Antrags fortzusetzen oder abzulehnen; ein Ablehnungsbeschluss wird begründet.</w:t>
      </w:r>
    </w:p>
    <w:p w14:paraId="3F04E8D3" w14:textId="77777777" w:rsidR="00A037EB" w:rsidRPr="004676F5" w:rsidRDefault="00A037EB" w:rsidP="00A037EB">
      <w:pPr>
        <w:jc w:val="both"/>
        <w:rPr>
          <w:lang w:val="de-DE"/>
        </w:rPr>
      </w:pPr>
    </w:p>
    <w:p w14:paraId="3A64C85C" w14:textId="77777777" w:rsidR="00A037EB" w:rsidRPr="004676F5" w:rsidRDefault="00A037EB" w:rsidP="00A037EB">
      <w:pPr>
        <w:ind w:firstLine="708"/>
        <w:jc w:val="both"/>
        <w:rPr>
          <w:lang w:val="de-DE"/>
        </w:rPr>
      </w:pPr>
      <w:r w:rsidRPr="004676F5">
        <w:rPr>
          <w:lang w:val="de-DE"/>
        </w:rPr>
        <w:t>9. In der Verfahrensordnung wird festgelegt, dass die Streitbeilegung binnen neunzig Kalendertagen ab Eingang des vollständigen Antrags erfolgt; in außerordentlichen Fällen kann diese Frist ein einziges Mal um eine selbe Frist verlängert werden, sofern die Parteien vor Ablauf der ursprünglichen Frist davon in Kenntnis gesetzt werden und diese Verlängerung durch die Komplexität der Streitigkeit begründet wird.</w:t>
      </w:r>
    </w:p>
    <w:p w14:paraId="476745DE" w14:textId="77777777" w:rsidR="00A037EB" w:rsidRPr="004676F5" w:rsidRDefault="00A037EB" w:rsidP="00A037EB">
      <w:pPr>
        <w:jc w:val="both"/>
        <w:rPr>
          <w:lang w:val="de-DE"/>
        </w:rPr>
      </w:pPr>
    </w:p>
    <w:p w14:paraId="5FF02452" w14:textId="77777777" w:rsidR="00A037EB" w:rsidRPr="004676F5" w:rsidRDefault="00A037EB" w:rsidP="00A037EB">
      <w:pPr>
        <w:ind w:firstLine="708"/>
        <w:jc w:val="both"/>
        <w:rPr>
          <w:lang w:val="de-DE"/>
        </w:rPr>
      </w:pPr>
      <w:r w:rsidRPr="004676F5">
        <w:rPr>
          <w:lang w:val="de-DE"/>
        </w:rPr>
        <w:t xml:space="preserve">10. Ein eventueller Schwellenwert wie in Nr. 7 Buchstabe </w:t>
      </w:r>
      <w:r w:rsidRPr="004676F5">
        <w:rPr>
          <w:i/>
          <w:lang w:val="de-DE"/>
        </w:rPr>
        <w:t>f)</w:t>
      </w:r>
      <w:r w:rsidRPr="004676F5">
        <w:rPr>
          <w:lang w:val="de-DE"/>
        </w:rPr>
        <w:t xml:space="preserve"> erwähnt darf nicht in einer Höhe festgesetzt werden, durch die eine unverhältnismäßig hohe Anzahl verbraucherrechtliche Streitigkeiten ausgeschlossen wird.</w:t>
      </w:r>
    </w:p>
    <w:p w14:paraId="1AAE535B" w14:textId="77777777" w:rsidR="00A037EB" w:rsidRPr="004676F5" w:rsidRDefault="00A037EB" w:rsidP="00A037EB">
      <w:pPr>
        <w:ind w:firstLine="708"/>
        <w:jc w:val="both"/>
        <w:rPr>
          <w:lang w:val="de-DE"/>
        </w:rPr>
      </w:pPr>
    </w:p>
    <w:p w14:paraId="2CC07D50" w14:textId="77777777" w:rsidR="00A037EB" w:rsidRPr="004676F5" w:rsidRDefault="00A037EB" w:rsidP="00A037EB">
      <w:pPr>
        <w:ind w:firstLine="708"/>
        <w:jc w:val="both"/>
        <w:rPr>
          <w:lang w:val="de-DE"/>
        </w:rPr>
      </w:pPr>
      <w:r w:rsidRPr="004676F5">
        <w:rPr>
          <w:lang w:val="de-DE"/>
        </w:rPr>
        <w:t>11. Das Verfahren bietet jeder Partei die Möglichkeit, ihre Meinung zu äußern und vorgebrachte Argumente und Fakten zur Kenntnis zu nehmen.</w:t>
      </w:r>
    </w:p>
    <w:p w14:paraId="6F9422D4" w14:textId="77777777" w:rsidR="00A037EB" w:rsidRPr="004676F5" w:rsidRDefault="00A037EB" w:rsidP="00A037EB">
      <w:pPr>
        <w:jc w:val="both"/>
        <w:rPr>
          <w:lang w:val="de-DE"/>
        </w:rPr>
      </w:pPr>
    </w:p>
    <w:p w14:paraId="210904C5" w14:textId="77777777" w:rsidR="00A037EB" w:rsidRPr="004676F5" w:rsidRDefault="00A037EB" w:rsidP="00A037EB">
      <w:pPr>
        <w:ind w:firstLine="708"/>
        <w:jc w:val="both"/>
        <w:rPr>
          <w:lang w:val="de-DE"/>
        </w:rPr>
      </w:pPr>
      <w:r w:rsidRPr="004676F5">
        <w:rPr>
          <w:lang w:val="de-DE"/>
        </w:rPr>
        <w:t>12. Die Einrichtung gewährleistet die Vertraulichkeit der von den Parteien übermittelten Auskünfte.</w:t>
      </w:r>
    </w:p>
    <w:p w14:paraId="7208C6D1" w14:textId="77777777" w:rsidR="00A037EB" w:rsidRPr="004676F5" w:rsidRDefault="00A037EB" w:rsidP="00A037EB">
      <w:pPr>
        <w:ind w:firstLine="708"/>
        <w:jc w:val="both"/>
        <w:rPr>
          <w:lang w:val="de-DE"/>
        </w:rPr>
      </w:pPr>
    </w:p>
    <w:p w14:paraId="55C0242E" w14:textId="30286A6F" w:rsidR="00A037EB" w:rsidRPr="004676F5" w:rsidRDefault="00A037EB" w:rsidP="00A037EB">
      <w:pPr>
        <w:ind w:firstLine="708"/>
        <w:jc w:val="both"/>
        <w:rPr>
          <w:lang w:val="de-DE"/>
        </w:rPr>
      </w:pPr>
      <w:r w:rsidRPr="004676F5">
        <w:rPr>
          <w:lang w:val="de-DE"/>
        </w:rPr>
        <w:t xml:space="preserve">13. Jede Partei wird </w:t>
      </w:r>
      <w:r w:rsidR="00E00F54" w:rsidRPr="004676F5">
        <w:rPr>
          <w:lang w:val="de-DE"/>
        </w:rPr>
        <w:t>[</w:t>
      </w:r>
      <w:r w:rsidR="00E00F54" w:rsidRPr="004676F5">
        <w:rPr>
          <w:rFonts w:eastAsia="Calibri"/>
          <w:szCs w:val="22"/>
          <w:lang w:val="de-DE" w:eastAsia="en-US"/>
        </w:rPr>
        <w:t>auf einem dauerhaften Datenträger]</w:t>
      </w:r>
      <w:r w:rsidRPr="004676F5">
        <w:rPr>
          <w:lang w:val="de-DE"/>
        </w:rPr>
        <w:t xml:space="preserve"> vom Ergebnis des Verfahrens in Kenntnis gesetzt, wobei die Gründe angegeben werden.</w:t>
      </w:r>
    </w:p>
    <w:p w14:paraId="4738D40C" w14:textId="77777777" w:rsidR="00A037EB" w:rsidRPr="004676F5" w:rsidRDefault="00A037EB" w:rsidP="00A037EB">
      <w:pPr>
        <w:ind w:firstLine="708"/>
        <w:jc w:val="both"/>
        <w:rPr>
          <w:lang w:val="de-DE"/>
        </w:rPr>
      </w:pPr>
    </w:p>
    <w:p w14:paraId="6A2BBA4E" w14:textId="5B076C72" w:rsidR="00A037EB" w:rsidRPr="004676F5" w:rsidRDefault="00A037EB" w:rsidP="00A037EB">
      <w:pPr>
        <w:ind w:firstLine="708"/>
        <w:jc w:val="both"/>
        <w:rPr>
          <w:lang w:val="de-DE"/>
        </w:rPr>
      </w:pPr>
      <w:r w:rsidRPr="004676F5">
        <w:rPr>
          <w:lang w:val="de-DE"/>
        </w:rPr>
        <w:t xml:space="preserve">§ 2 </w:t>
      </w:r>
      <w:r w:rsidR="005B7A5C" w:rsidRPr="004676F5">
        <w:rPr>
          <w:lang w:val="de-DE"/>
        </w:rPr>
        <w:t>- </w:t>
      </w:r>
      <w:r w:rsidRPr="004676F5">
        <w:rPr>
          <w:lang w:val="de-DE"/>
        </w:rPr>
        <w:t>Neben den in § 1 erwähnten Bedingungen halten qualifizierte Einrichtungen die in den Artikeln 1676 bis 1723 des Gerichtsgesetzbuches erwähnten Bestimmungen ein, wenn sie ein Schiedsverfahren anwenden.</w:t>
      </w:r>
    </w:p>
    <w:p w14:paraId="2A973C65" w14:textId="77777777" w:rsidR="00A037EB" w:rsidRPr="004676F5" w:rsidRDefault="00A037EB" w:rsidP="00A037EB">
      <w:pPr>
        <w:jc w:val="both"/>
        <w:rPr>
          <w:lang w:val="de-DE"/>
        </w:rPr>
      </w:pPr>
    </w:p>
    <w:p w14:paraId="06F4C46A" w14:textId="6DB291C6" w:rsidR="00A037EB" w:rsidRPr="004676F5" w:rsidRDefault="00A037EB" w:rsidP="00A037EB">
      <w:pPr>
        <w:ind w:firstLine="708"/>
        <w:jc w:val="both"/>
        <w:rPr>
          <w:lang w:val="de-DE"/>
        </w:rPr>
      </w:pPr>
      <w:r w:rsidRPr="004676F5">
        <w:rPr>
          <w:lang w:val="de-DE"/>
        </w:rPr>
        <w:t xml:space="preserve">§ 3 </w:t>
      </w:r>
      <w:r w:rsidR="005B7A5C" w:rsidRPr="004676F5">
        <w:rPr>
          <w:lang w:val="de-DE"/>
        </w:rPr>
        <w:t>- </w:t>
      </w:r>
      <w:r w:rsidR="00FB392B" w:rsidRPr="004676F5">
        <w:rPr>
          <w:lang w:val="de-DE"/>
        </w:rPr>
        <w:t>[Der König kann die in § 1 aufgezählten Bedingungen verdeutlichen, um Zugänglichkeit, Fachwissen, Unabhängigkeit, Unparteilichkeit, Transparenz, Effektivität und Billigkeit auf Ebene der qualifizierten Einrichtungen, Handlungsfreiheit der Parteien und Gesetzmäßigkeit der Beschlüsse einer qualifizierten Einrichtung, die den Parteien auferlegt werden, zu gewährleisten.]</w:t>
      </w:r>
    </w:p>
    <w:p w14:paraId="771FC230" w14:textId="77777777" w:rsidR="00A037EB" w:rsidRPr="004676F5" w:rsidRDefault="00A037EB" w:rsidP="00A037EB">
      <w:pPr>
        <w:jc w:val="both"/>
        <w:rPr>
          <w:lang w:val="de-DE"/>
        </w:rPr>
      </w:pPr>
    </w:p>
    <w:p w14:paraId="1869A7AC" w14:textId="1D5D06FB" w:rsidR="00A720C3" w:rsidRPr="004676F5" w:rsidRDefault="00FB392B" w:rsidP="00A037EB">
      <w:pPr>
        <w:jc w:val="both"/>
        <w:rPr>
          <w:i/>
          <w:lang w:val="de-DE"/>
        </w:rPr>
      </w:pPr>
      <w:r w:rsidRPr="004676F5">
        <w:rPr>
          <w:i/>
          <w:lang w:val="de-DE"/>
        </w:rPr>
        <w:t>[</w:t>
      </w:r>
      <w:r w:rsidR="00BE0A56" w:rsidRPr="004676F5">
        <w:rPr>
          <w:i/>
          <w:lang w:val="de-DE"/>
        </w:rPr>
        <w:t>Art. </w:t>
      </w:r>
      <w:r w:rsidRPr="004676F5">
        <w:rPr>
          <w:i/>
          <w:lang w:val="de-DE"/>
        </w:rPr>
        <w:t xml:space="preserve">XVI.25 </w:t>
      </w:r>
      <w:r w:rsidR="00E00F54" w:rsidRPr="004676F5">
        <w:rPr>
          <w:i/>
          <w:lang w:val="de-DE"/>
        </w:rPr>
        <w:t>§ 1 einziger Absatz Nr. 13 abgeändert durch Art. 11</w:t>
      </w:r>
      <w:r w:rsidR="00E00F54" w:rsidRPr="004676F5">
        <w:rPr>
          <w:i/>
          <w:iCs/>
          <w:lang w:val="de-DE"/>
        </w:rPr>
        <w:t xml:space="preserve"> des G. vom 20. September 2018 (B.S. vom 10. Oktober 2018)</w:t>
      </w:r>
      <w:r w:rsidR="00E00F54" w:rsidRPr="004676F5">
        <w:rPr>
          <w:i/>
          <w:lang w:val="de-DE"/>
        </w:rPr>
        <w:t xml:space="preserve">; </w:t>
      </w:r>
      <w:r w:rsidRPr="004676F5">
        <w:rPr>
          <w:i/>
          <w:lang w:val="de-DE"/>
        </w:rPr>
        <w:t xml:space="preserve">§ 3 ersetzt durch </w:t>
      </w:r>
      <w:r w:rsidR="00BE0A56" w:rsidRPr="004676F5">
        <w:rPr>
          <w:i/>
          <w:lang w:val="de-DE"/>
        </w:rPr>
        <w:t>Art. </w:t>
      </w:r>
      <w:r w:rsidRPr="004676F5">
        <w:rPr>
          <w:i/>
          <w:lang w:val="de-DE"/>
        </w:rPr>
        <w:t>67</w:t>
      </w:r>
      <w:r w:rsidRPr="004676F5">
        <w:rPr>
          <w:i/>
          <w:iCs/>
          <w:lang w:val="de-DE"/>
        </w:rPr>
        <w:t xml:space="preserve"> </w:t>
      </w:r>
      <w:r w:rsidRPr="004676F5">
        <w:rPr>
          <w:i/>
          <w:lang w:val="de-DE"/>
        </w:rPr>
        <w:t>des G. vom 26. Oktober 2015 (B.S. vom 30. Oktober 2015)]</w:t>
      </w:r>
    </w:p>
    <w:p w14:paraId="28522B42" w14:textId="77777777" w:rsidR="00FB392B" w:rsidRPr="004676F5" w:rsidRDefault="00FB392B" w:rsidP="00A037EB">
      <w:pPr>
        <w:jc w:val="both"/>
        <w:rPr>
          <w:i/>
          <w:lang w:val="de-DE"/>
        </w:rPr>
      </w:pPr>
    </w:p>
    <w:p w14:paraId="7352382C" w14:textId="77777777" w:rsidR="00FB392B" w:rsidRPr="004676F5" w:rsidRDefault="00FB392B" w:rsidP="00A037EB">
      <w:pPr>
        <w:jc w:val="both"/>
        <w:rPr>
          <w:i/>
          <w:lang w:val="de-DE"/>
        </w:rPr>
      </w:pPr>
    </w:p>
    <w:p w14:paraId="3441EED7" w14:textId="73B7668B" w:rsidR="00A037EB" w:rsidRPr="004676F5" w:rsidRDefault="00BE0A56" w:rsidP="00A037EB">
      <w:pPr>
        <w:ind w:firstLine="708"/>
        <w:jc w:val="both"/>
        <w:rPr>
          <w:lang w:val="de-DE"/>
        </w:rPr>
      </w:pPr>
      <w:r w:rsidRPr="004676F5">
        <w:rPr>
          <w:b/>
          <w:lang w:val="de-DE"/>
        </w:rPr>
        <w:t>Art. </w:t>
      </w:r>
      <w:r w:rsidR="00A037EB" w:rsidRPr="004676F5">
        <w:rPr>
          <w:b/>
          <w:lang w:val="de-DE"/>
        </w:rPr>
        <w:t>XVI.26</w:t>
      </w:r>
      <w:r w:rsidR="00A037EB" w:rsidRPr="004676F5">
        <w:rPr>
          <w:lang w:val="de-DE"/>
        </w:rPr>
        <w:t> </w:t>
      </w:r>
      <w:r w:rsidR="005B7A5C" w:rsidRPr="004676F5">
        <w:rPr>
          <w:lang w:val="de-DE"/>
        </w:rPr>
        <w:t>- </w:t>
      </w:r>
      <w:r w:rsidR="00A037EB" w:rsidRPr="004676F5">
        <w:rPr>
          <w:lang w:val="de-DE"/>
        </w:rPr>
        <w:t>Personen, die mit einem Verfahren der außergerichtlichen Beilegung einer verbraucherrechtlichen Streitigkeit beauftragt sind, legen der qualifizierten Einrichtung und/oder den betreffenden Parteien unverzüglich alle Umstände offen, die ihre Unabhängigkeit und Unparteilichkeit beeinträchtigen oder Interessenkonflikte mit einer der Parteien entstehen lassen könnten oder diesen Eindruck erwecken könnten.</w:t>
      </w:r>
    </w:p>
    <w:p w14:paraId="60747583" w14:textId="77777777" w:rsidR="00A037EB" w:rsidRPr="004676F5" w:rsidRDefault="00A037EB" w:rsidP="00A037EB">
      <w:pPr>
        <w:jc w:val="both"/>
        <w:rPr>
          <w:lang w:val="de-DE"/>
        </w:rPr>
      </w:pPr>
    </w:p>
    <w:p w14:paraId="6ECD0066" w14:textId="77777777" w:rsidR="00A037EB" w:rsidRPr="004676F5" w:rsidRDefault="00A037EB" w:rsidP="00A037EB">
      <w:pPr>
        <w:ind w:firstLine="708"/>
        <w:jc w:val="both"/>
        <w:rPr>
          <w:lang w:val="de-DE"/>
        </w:rPr>
      </w:pPr>
      <w:r w:rsidRPr="004676F5">
        <w:rPr>
          <w:lang w:val="de-DE"/>
        </w:rPr>
        <w:t>Der König legt nähere Regeln für die Anwendung des vorhergehenden Absatzes fest.</w:t>
      </w:r>
    </w:p>
    <w:p w14:paraId="499532C7" w14:textId="77777777" w:rsidR="00A16897" w:rsidRPr="004676F5" w:rsidRDefault="00A16897" w:rsidP="00A037EB">
      <w:pPr>
        <w:ind w:firstLine="708"/>
        <w:jc w:val="both"/>
        <w:rPr>
          <w:lang w:val="de-DE"/>
        </w:rPr>
      </w:pPr>
    </w:p>
    <w:p w14:paraId="7BC9E185" w14:textId="77777777" w:rsidR="00A16897" w:rsidRPr="004676F5" w:rsidRDefault="00A16897" w:rsidP="00FB392B">
      <w:pPr>
        <w:jc w:val="both"/>
        <w:rPr>
          <w:lang w:val="de-DE"/>
        </w:rPr>
      </w:pPr>
    </w:p>
    <w:p w14:paraId="0ADD945F" w14:textId="5434616F" w:rsidR="00FB392B" w:rsidRPr="004676F5" w:rsidRDefault="00FB392B" w:rsidP="00FB392B">
      <w:pPr>
        <w:ind w:firstLine="708"/>
        <w:jc w:val="both"/>
        <w:rPr>
          <w:lang w:val="de-DE"/>
        </w:rPr>
      </w:pPr>
      <w:r w:rsidRPr="004676F5">
        <w:rPr>
          <w:lang w:val="de-DE"/>
        </w:rPr>
        <w:t>[</w:t>
      </w:r>
      <w:r w:rsidR="00BE0A56" w:rsidRPr="004676F5">
        <w:rPr>
          <w:b/>
          <w:lang w:val="de-DE"/>
        </w:rPr>
        <w:t>Art. </w:t>
      </w:r>
      <w:r w:rsidRPr="004676F5">
        <w:rPr>
          <w:b/>
          <w:lang w:val="de-DE"/>
        </w:rPr>
        <w:t>XVI.26/1</w:t>
      </w:r>
      <w:r w:rsidRPr="004676F5">
        <w:rPr>
          <w:lang w:val="de-DE"/>
        </w:rPr>
        <w:t> </w:t>
      </w:r>
      <w:r w:rsidR="005B7A5C" w:rsidRPr="004676F5">
        <w:rPr>
          <w:lang w:val="de-DE"/>
        </w:rPr>
        <w:t>- </w:t>
      </w:r>
      <w:r w:rsidRPr="004676F5">
        <w:rPr>
          <w:lang w:val="de-DE"/>
        </w:rPr>
        <w:t>Bietet eine qualifizierte Einrichtung ein Streitbeilegungsverfahren an, bei dem es eine Lösung vorschlägt oder zwischen den Parteien vermittelt, damit diese eine Lösung finden, können die Parteien in jedem Stadium das Verfahren abbrechen, wenn sie die Durchführung oder den Ablauf des Verfahrens für unbefriedigend erachten.</w:t>
      </w:r>
    </w:p>
    <w:p w14:paraId="7191A719" w14:textId="77777777" w:rsidR="00FB392B" w:rsidRPr="004676F5" w:rsidRDefault="00FB392B" w:rsidP="00FB392B">
      <w:pPr>
        <w:ind w:firstLine="708"/>
        <w:jc w:val="both"/>
        <w:rPr>
          <w:lang w:val="de-DE"/>
        </w:rPr>
      </w:pPr>
    </w:p>
    <w:p w14:paraId="7BC458D3" w14:textId="77777777" w:rsidR="00FB392B" w:rsidRPr="004676F5" w:rsidRDefault="00FB392B" w:rsidP="00FB392B">
      <w:pPr>
        <w:ind w:firstLine="708"/>
        <w:jc w:val="both"/>
        <w:rPr>
          <w:lang w:val="de-DE"/>
        </w:rPr>
      </w:pPr>
      <w:r w:rsidRPr="004676F5">
        <w:rPr>
          <w:lang w:val="de-DE"/>
        </w:rPr>
        <w:t>Ist die Teilnahme des Unternehmens vorgeschrieben, gilt die in Absatz 1 vorgesehene Möglichkeit zum Verfahrensabbruch ausschließlich für den Verbraucher.]</w:t>
      </w:r>
    </w:p>
    <w:p w14:paraId="3690827A" w14:textId="77777777" w:rsidR="00FB392B" w:rsidRPr="004676F5" w:rsidRDefault="00FB392B" w:rsidP="00FB392B">
      <w:pPr>
        <w:ind w:firstLine="708"/>
        <w:jc w:val="both"/>
        <w:rPr>
          <w:lang w:val="de-DE"/>
        </w:rPr>
      </w:pPr>
    </w:p>
    <w:p w14:paraId="60EA447B" w14:textId="71CDCE52" w:rsidR="00FB392B" w:rsidRPr="004676F5" w:rsidRDefault="00FB392B" w:rsidP="00FB392B">
      <w:pPr>
        <w:jc w:val="both"/>
        <w:rPr>
          <w:i/>
          <w:lang w:val="de-DE"/>
        </w:rPr>
      </w:pPr>
      <w:r w:rsidRPr="004676F5">
        <w:rPr>
          <w:i/>
          <w:lang w:val="de-DE"/>
        </w:rPr>
        <w:t>[</w:t>
      </w:r>
      <w:r w:rsidR="00BE0A56" w:rsidRPr="004676F5">
        <w:rPr>
          <w:i/>
          <w:lang w:val="de-DE"/>
        </w:rPr>
        <w:t>Art. </w:t>
      </w:r>
      <w:r w:rsidRPr="004676F5">
        <w:rPr>
          <w:i/>
          <w:lang w:val="de-DE"/>
        </w:rPr>
        <w:t xml:space="preserve">XVI.26/1 eingefügt durch </w:t>
      </w:r>
      <w:r w:rsidR="00BE0A56" w:rsidRPr="004676F5">
        <w:rPr>
          <w:i/>
          <w:lang w:val="de-DE"/>
        </w:rPr>
        <w:t>Art. </w:t>
      </w:r>
      <w:r w:rsidRPr="004676F5">
        <w:rPr>
          <w:i/>
          <w:lang w:val="de-DE"/>
        </w:rPr>
        <w:t>68</w:t>
      </w:r>
      <w:r w:rsidRPr="004676F5">
        <w:rPr>
          <w:i/>
          <w:iCs/>
          <w:lang w:val="de-DE"/>
        </w:rPr>
        <w:t xml:space="preserve"> </w:t>
      </w:r>
      <w:r w:rsidRPr="004676F5">
        <w:rPr>
          <w:i/>
          <w:lang w:val="de-DE"/>
        </w:rPr>
        <w:t>des G. vom 26. Oktober 2015 (B.S. vom 30. Oktober 2015)]</w:t>
      </w:r>
    </w:p>
    <w:p w14:paraId="16520B70" w14:textId="77777777" w:rsidR="00FB392B" w:rsidRPr="004676F5" w:rsidRDefault="00FB392B" w:rsidP="00FB392B">
      <w:pPr>
        <w:jc w:val="both"/>
        <w:rPr>
          <w:i/>
          <w:lang w:val="de-DE"/>
        </w:rPr>
      </w:pPr>
    </w:p>
    <w:p w14:paraId="648D789D" w14:textId="77777777" w:rsidR="00FB392B" w:rsidRPr="004676F5" w:rsidRDefault="00FB392B" w:rsidP="00FB392B">
      <w:pPr>
        <w:ind w:firstLine="708"/>
        <w:jc w:val="both"/>
        <w:rPr>
          <w:lang w:val="de-DE"/>
        </w:rPr>
      </w:pPr>
    </w:p>
    <w:p w14:paraId="22591054" w14:textId="7CB1F4A4" w:rsidR="00FB392B" w:rsidRPr="004676F5" w:rsidRDefault="00FB392B" w:rsidP="00FB392B">
      <w:pPr>
        <w:ind w:firstLine="708"/>
        <w:jc w:val="both"/>
        <w:rPr>
          <w:lang w:val="de-DE"/>
        </w:rPr>
      </w:pPr>
      <w:r w:rsidRPr="004676F5">
        <w:rPr>
          <w:lang w:val="de-DE"/>
        </w:rPr>
        <w:t>[</w:t>
      </w:r>
      <w:r w:rsidR="00BE0A56" w:rsidRPr="004676F5">
        <w:rPr>
          <w:b/>
          <w:lang w:val="de-DE"/>
        </w:rPr>
        <w:t>Art. </w:t>
      </w:r>
      <w:r w:rsidRPr="004676F5">
        <w:rPr>
          <w:b/>
          <w:lang w:val="de-DE"/>
        </w:rPr>
        <w:t>XVI.26/2</w:t>
      </w:r>
      <w:r w:rsidRPr="004676F5">
        <w:rPr>
          <w:lang w:val="de-DE"/>
        </w:rPr>
        <w:t> </w:t>
      </w:r>
      <w:r w:rsidR="005B7A5C" w:rsidRPr="004676F5">
        <w:rPr>
          <w:lang w:val="de-DE"/>
        </w:rPr>
        <w:t>- </w:t>
      </w:r>
      <w:r w:rsidRPr="004676F5">
        <w:rPr>
          <w:lang w:val="de-DE"/>
        </w:rPr>
        <w:t>Bietet eine qualifizierte Einrichtung ein Streitbeilegungsverfahren an, bei dem den Parteien eine verbindliche Lösung auferlegt wird:</w:t>
      </w:r>
    </w:p>
    <w:p w14:paraId="4DD43291" w14:textId="77777777" w:rsidR="00FB392B" w:rsidRPr="004676F5" w:rsidRDefault="00FB392B" w:rsidP="00FB392B">
      <w:pPr>
        <w:ind w:firstLine="708"/>
        <w:jc w:val="both"/>
        <w:rPr>
          <w:lang w:val="de-DE"/>
        </w:rPr>
      </w:pPr>
    </w:p>
    <w:p w14:paraId="60A4CC86" w14:textId="77777777" w:rsidR="00FB392B" w:rsidRPr="004676F5" w:rsidRDefault="00FB392B" w:rsidP="00FB392B">
      <w:pPr>
        <w:ind w:firstLine="708"/>
        <w:jc w:val="both"/>
        <w:rPr>
          <w:lang w:val="de-DE"/>
        </w:rPr>
      </w:pPr>
      <w:r w:rsidRPr="004676F5">
        <w:rPr>
          <w:lang w:val="de-DE"/>
        </w:rPr>
        <w:t>1. ist die auferlegte Lösung nur dann den Parteien gegenüber wirksam, wenn die Parteien vorher individuell über den verbindlichen Charakter der Lösung informiert wurden und sie dies ausdrücklich akzeptiert haben. Die ausdrückliche Zustimmung des Unternehmens ist nicht erforderlich, wenn im Gesetz oder in den vertraglichen Verpflichtungen bestimmt ist, dass die Lösungen für die Unternehmen verbindlich sind,</w:t>
      </w:r>
    </w:p>
    <w:p w14:paraId="2D472771" w14:textId="77777777" w:rsidR="00FB392B" w:rsidRPr="004676F5" w:rsidRDefault="00FB392B" w:rsidP="00FB392B">
      <w:pPr>
        <w:ind w:firstLine="708"/>
        <w:jc w:val="both"/>
        <w:rPr>
          <w:lang w:val="de-DE"/>
        </w:rPr>
      </w:pPr>
    </w:p>
    <w:p w14:paraId="1DC0F012" w14:textId="77777777" w:rsidR="00FB392B" w:rsidRPr="004676F5" w:rsidRDefault="00FB392B" w:rsidP="00FB392B">
      <w:pPr>
        <w:ind w:firstLine="708"/>
        <w:jc w:val="both"/>
        <w:rPr>
          <w:lang w:val="de-DE"/>
        </w:rPr>
      </w:pPr>
      <w:r w:rsidRPr="004676F5">
        <w:rPr>
          <w:lang w:val="de-DE"/>
        </w:rPr>
        <w:t>2. kann dem Verbraucher keine verbindliche Lösung auferlegt werden aufgrund einer Streitbeilegungsvereinbarung zwischen dem Verbraucher und dem Unternehmen, wenn diese Vereinbarung vor Entstehen der Streitigkeit getroffen wurde und wenn sie dazu führt, dass dem Verbraucher das Recht entzogen wird, vor Gericht Beschwerde einzulegen,</w:t>
      </w:r>
    </w:p>
    <w:p w14:paraId="0DC6AA19" w14:textId="77777777" w:rsidR="00FB392B" w:rsidRPr="004676F5" w:rsidRDefault="00FB392B" w:rsidP="00FB392B">
      <w:pPr>
        <w:ind w:firstLine="708"/>
        <w:jc w:val="both"/>
        <w:rPr>
          <w:lang w:val="de-DE"/>
        </w:rPr>
      </w:pPr>
    </w:p>
    <w:p w14:paraId="19784678" w14:textId="77777777" w:rsidR="00FB392B" w:rsidRPr="004676F5" w:rsidRDefault="00FB392B" w:rsidP="00FB392B">
      <w:pPr>
        <w:ind w:firstLine="708"/>
        <w:jc w:val="both"/>
        <w:rPr>
          <w:lang w:val="de-DE"/>
        </w:rPr>
      </w:pPr>
      <w:r w:rsidRPr="004676F5">
        <w:rPr>
          <w:lang w:val="de-DE"/>
        </w:rPr>
        <w:t>3. darf die auferlegte Lösung nicht dazu führen, dass der Verbraucher den Schutz verliert, der ihm durch bindende Bestimmungen zum Schutz seiner Rechte in Anwendung des belgischen Rechts gewährt wird,</w:t>
      </w:r>
    </w:p>
    <w:p w14:paraId="363424B7" w14:textId="77777777" w:rsidR="00FB392B" w:rsidRPr="004676F5" w:rsidRDefault="00FB392B" w:rsidP="00FB392B">
      <w:pPr>
        <w:ind w:firstLine="708"/>
        <w:jc w:val="both"/>
        <w:rPr>
          <w:lang w:val="de-DE"/>
        </w:rPr>
      </w:pPr>
    </w:p>
    <w:p w14:paraId="09714006" w14:textId="02333EBF" w:rsidR="00FB392B" w:rsidRPr="004676F5" w:rsidRDefault="00FB392B" w:rsidP="00FB392B">
      <w:pPr>
        <w:ind w:firstLine="708"/>
        <w:jc w:val="both"/>
        <w:rPr>
          <w:lang w:val="de-DE"/>
        </w:rPr>
      </w:pPr>
      <w:r w:rsidRPr="004676F5">
        <w:rPr>
          <w:lang w:val="de-DE"/>
        </w:rPr>
        <w:t xml:space="preserve">4. darf die auferlegte Lösung </w:t>
      </w:r>
      <w:r w:rsidR="005B7A5C" w:rsidRPr="004676F5">
        <w:rPr>
          <w:lang w:val="de-DE"/>
        </w:rPr>
        <w:t>- </w:t>
      </w:r>
      <w:r w:rsidRPr="004676F5">
        <w:rPr>
          <w:lang w:val="de-DE"/>
        </w:rPr>
        <w:t>sofern eine Rechtskollision vorliegt, bei der das Recht, das für den Kauf</w:t>
      </w:r>
      <w:r w:rsidR="005B7A5C" w:rsidRPr="004676F5">
        <w:rPr>
          <w:lang w:val="de-DE"/>
        </w:rPr>
        <w:t>- </w:t>
      </w:r>
      <w:r w:rsidRPr="004676F5">
        <w:rPr>
          <w:lang w:val="de-DE"/>
        </w:rPr>
        <w:t>oder Dienstleistungsvertrag gilt, auf den sich der Antrag auf außergerichtliche Streitbeilegung bezieht, gemäß Artikel 6 Absätze 1 und 2 der Verordnung (EG) Nr. 593/2008 bestimmt wird </w:t>
      </w:r>
      <w:r w:rsidR="005B7A5C" w:rsidRPr="004676F5">
        <w:rPr>
          <w:lang w:val="de-DE"/>
        </w:rPr>
        <w:t>- </w:t>
      </w:r>
      <w:r w:rsidRPr="004676F5">
        <w:rPr>
          <w:lang w:val="de-DE"/>
        </w:rPr>
        <w:t>nicht dazu führen, dass der Verbraucher den Schutz verliert, der ihm durch die Bestimmungen gewährt wird, von denen gemäß dem Recht des Mitgliedstaats der Europäischen Union, in dem er seinen gewöhnlichen Wohnort hat, nicht durch Vereinbarung abgewichen werden darf,</w:t>
      </w:r>
    </w:p>
    <w:p w14:paraId="58B1DADA" w14:textId="77777777" w:rsidR="00FB392B" w:rsidRPr="004676F5" w:rsidRDefault="00FB392B" w:rsidP="00FB392B">
      <w:pPr>
        <w:ind w:firstLine="708"/>
        <w:jc w:val="both"/>
        <w:rPr>
          <w:lang w:val="de-DE"/>
        </w:rPr>
      </w:pPr>
    </w:p>
    <w:p w14:paraId="3A25D1A2" w14:textId="1ED2B984" w:rsidR="00FB392B" w:rsidRPr="004676F5" w:rsidRDefault="00FB392B" w:rsidP="00FB392B">
      <w:pPr>
        <w:ind w:firstLine="708"/>
        <w:jc w:val="both"/>
        <w:rPr>
          <w:lang w:val="de-DE"/>
        </w:rPr>
      </w:pPr>
      <w:r w:rsidRPr="004676F5">
        <w:rPr>
          <w:lang w:val="de-DE"/>
        </w:rPr>
        <w:t xml:space="preserve">5. darf die von einer AS-Stelle auferlegte Lösung </w:t>
      </w:r>
      <w:r w:rsidR="005B7A5C" w:rsidRPr="004676F5">
        <w:rPr>
          <w:lang w:val="de-DE"/>
        </w:rPr>
        <w:t>- </w:t>
      </w:r>
      <w:r w:rsidRPr="004676F5">
        <w:rPr>
          <w:lang w:val="de-DE"/>
        </w:rPr>
        <w:t>sofern eine Rechtskollision vorliegt, bei der das Recht, das für den Kauf</w:t>
      </w:r>
      <w:r w:rsidR="005B7A5C" w:rsidRPr="004676F5">
        <w:rPr>
          <w:lang w:val="de-DE"/>
        </w:rPr>
        <w:t>- </w:t>
      </w:r>
      <w:r w:rsidRPr="004676F5">
        <w:rPr>
          <w:lang w:val="de-DE"/>
        </w:rPr>
        <w:t>oder Dienstleistungsvertrag gilt, auf den sich der Antrag auf außergerichtliche Streitbeilegung bezieht, gemäß Artikel 5 Absätze 1 bis 3 des Übereinkommens von Rom vom 19. Juni 1980 über das auf vertragliche Schuldverhältnisse anzuwendende Recht bestimmt wird </w:t>
      </w:r>
      <w:r w:rsidR="005B7A5C" w:rsidRPr="004676F5">
        <w:rPr>
          <w:lang w:val="de-DE"/>
        </w:rPr>
        <w:t>- </w:t>
      </w:r>
      <w:r w:rsidRPr="004676F5">
        <w:rPr>
          <w:lang w:val="de-DE"/>
        </w:rPr>
        <w:t>nicht dazu führen, dass der Verbraucher den Schutz verliert, der ihm durch bindende Vorschriften des Rechts des Mitgliedstaats, in dem er seinen gewöhnlichen Wohnort hat, gewährt wird.]</w:t>
      </w:r>
    </w:p>
    <w:p w14:paraId="57E81808" w14:textId="77777777" w:rsidR="00FB392B" w:rsidRPr="004676F5" w:rsidRDefault="00FB392B" w:rsidP="00FB392B">
      <w:pPr>
        <w:ind w:firstLine="708"/>
        <w:jc w:val="both"/>
        <w:rPr>
          <w:lang w:val="de-DE"/>
        </w:rPr>
      </w:pPr>
    </w:p>
    <w:p w14:paraId="7DEEBF1F" w14:textId="626FEBE1" w:rsidR="00FB392B" w:rsidRPr="004676F5" w:rsidRDefault="00FB392B" w:rsidP="00FB392B">
      <w:pPr>
        <w:jc w:val="both"/>
        <w:rPr>
          <w:i/>
          <w:lang w:val="de-DE"/>
        </w:rPr>
      </w:pPr>
      <w:r w:rsidRPr="004676F5">
        <w:rPr>
          <w:i/>
          <w:lang w:val="de-DE"/>
        </w:rPr>
        <w:t>[</w:t>
      </w:r>
      <w:r w:rsidR="00BE0A56" w:rsidRPr="004676F5">
        <w:rPr>
          <w:i/>
          <w:lang w:val="de-DE"/>
        </w:rPr>
        <w:t>Art. </w:t>
      </w:r>
      <w:r w:rsidRPr="004676F5">
        <w:rPr>
          <w:i/>
          <w:lang w:val="de-DE"/>
        </w:rPr>
        <w:t xml:space="preserve">XVI.26/2 eingefügt durch </w:t>
      </w:r>
      <w:r w:rsidR="00BE0A56" w:rsidRPr="004676F5">
        <w:rPr>
          <w:i/>
          <w:lang w:val="de-DE"/>
        </w:rPr>
        <w:t>Art. </w:t>
      </w:r>
      <w:r w:rsidRPr="004676F5">
        <w:rPr>
          <w:i/>
          <w:lang w:val="de-DE"/>
        </w:rPr>
        <w:t>69</w:t>
      </w:r>
      <w:r w:rsidRPr="004676F5">
        <w:rPr>
          <w:i/>
          <w:iCs/>
          <w:lang w:val="de-DE"/>
        </w:rPr>
        <w:t xml:space="preserve"> </w:t>
      </w:r>
      <w:r w:rsidRPr="004676F5">
        <w:rPr>
          <w:i/>
          <w:lang w:val="de-DE"/>
        </w:rPr>
        <w:t>des G. vom 26. Oktober 2015 (B.S. vom 30. Oktober 2015)]</w:t>
      </w:r>
    </w:p>
    <w:p w14:paraId="4B270EC2" w14:textId="77777777" w:rsidR="00FB392B" w:rsidRPr="004676F5" w:rsidRDefault="00FB392B" w:rsidP="00FB392B">
      <w:pPr>
        <w:ind w:firstLine="708"/>
        <w:jc w:val="both"/>
        <w:rPr>
          <w:b/>
          <w:lang w:val="de-DE"/>
        </w:rPr>
      </w:pPr>
    </w:p>
    <w:p w14:paraId="346E041D" w14:textId="77777777" w:rsidR="00FB392B" w:rsidRPr="004676F5" w:rsidRDefault="00FB392B" w:rsidP="00FB392B">
      <w:pPr>
        <w:ind w:firstLine="708"/>
        <w:jc w:val="both"/>
        <w:rPr>
          <w:lang w:val="de-DE"/>
        </w:rPr>
      </w:pPr>
    </w:p>
    <w:p w14:paraId="7BA0ABFE" w14:textId="15201E8A" w:rsidR="00FB392B" w:rsidRPr="004676F5" w:rsidRDefault="00FB392B" w:rsidP="00FB392B">
      <w:pPr>
        <w:jc w:val="both"/>
        <w:rPr>
          <w:lang w:val="de-DE"/>
        </w:rPr>
      </w:pPr>
      <w:r w:rsidRPr="004676F5">
        <w:rPr>
          <w:lang w:val="de-DE"/>
        </w:rPr>
        <w:tab/>
        <w:t>[</w:t>
      </w:r>
      <w:r w:rsidR="00BE0A56" w:rsidRPr="004676F5">
        <w:rPr>
          <w:b/>
          <w:lang w:val="de-DE"/>
        </w:rPr>
        <w:t>Art. </w:t>
      </w:r>
      <w:r w:rsidRPr="004676F5">
        <w:rPr>
          <w:b/>
          <w:lang w:val="de-DE"/>
        </w:rPr>
        <w:t>XVI.26/3</w:t>
      </w:r>
      <w:r w:rsidRPr="004676F5">
        <w:rPr>
          <w:lang w:val="de-DE"/>
        </w:rPr>
        <w:t> </w:t>
      </w:r>
      <w:r w:rsidR="005B7A5C" w:rsidRPr="004676F5">
        <w:rPr>
          <w:lang w:val="de-DE"/>
        </w:rPr>
        <w:t>- </w:t>
      </w:r>
      <w:r w:rsidRPr="004676F5">
        <w:rPr>
          <w:lang w:val="de-DE"/>
        </w:rPr>
        <w:t>Qualifizierte Einrichtungen ergreifen die erforderlichen Maßnahmen, um zu gewährleisten, dass bei der Verarbeitung personenbezogener Daten das Gesetz vom 8. Dezember 1992 über den Schutz des Privatlebens hinsichtlich der Verarbeitung personenbezogener Daten eingehalten wird.]</w:t>
      </w:r>
    </w:p>
    <w:p w14:paraId="5DF318D9" w14:textId="77777777" w:rsidR="00FB392B" w:rsidRPr="004676F5" w:rsidRDefault="00FB392B" w:rsidP="00FB392B">
      <w:pPr>
        <w:jc w:val="both"/>
        <w:rPr>
          <w:lang w:val="de-DE"/>
        </w:rPr>
      </w:pPr>
    </w:p>
    <w:p w14:paraId="520D141F" w14:textId="37A99D26" w:rsidR="00FB392B" w:rsidRPr="004676F5" w:rsidRDefault="00FB392B" w:rsidP="00FB392B">
      <w:pPr>
        <w:jc w:val="both"/>
        <w:rPr>
          <w:i/>
          <w:lang w:val="de-DE"/>
        </w:rPr>
      </w:pPr>
      <w:r w:rsidRPr="004676F5">
        <w:rPr>
          <w:i/>
          <w:lang w:val="de-DE"/>
        </w:rPr>
        <w:t>[</w:t>
      </w:r>
      <w:r w:rsidR="00BE0A56" w:rsidRPr="004676F5">
        <w:rPr>
          <w:i/>
          <w:lang w:val="de-DE"/>
        </w:rPr>
        <w:t>Art. </w:t>
      </w:r>
      <w:r w:rsidRPr="004676F5">
        <w:rPr>
          <w:i/>
          <w:lang w:val="de-DE"/>
        </w:rPr>
        <w:t xml:space="preserve">XVI.26/3 eingefügt durch </w:t>
      </w:r>
      <w:r w:rsidR="00BE0A56" w:rsidRPr="004676F5">
        <w:rPr>
          <w:i/>
          <w:lang w:val="de-DE"/>
        </w:rPr>
        <w:t>Art. </w:t>
      </w:r>
      <w:r w:rsidRPr="004676F5">
        <w:rPr>
          <w:i/>
          <w:lang w:val="de-DE"/>
        </w:rPr>
        <w:t>70</w:t>
      </w:r>
      <w:r w:rsidRPr="004676F5">
        <w:rPr>
          <w:i/>
          <w:iCs/>
          <w:lang w:val="de-DE"/>
        </w:rPr>
        <w:t xml:space="preserve"> </w:t>
      </w:r>
      <w:r w:rsidRPr="004676F5">
        <w:rPr>
          <w:i/>
          <w:lang w:val="de-DE"/>
        </w:rPr>
        <w:t>des G. vom 26. Oktober 2015 (B.S. vom 30. Oktober 2015)]</w:t>
      </w:r>
    </w:p>
    <w:p w14:paraId="5AC9DA8D" w14:textId="77777777" w:rsidR="00FB392B" w:rsidRPr="004676F5" w:rsidRDefault="00FB392B" w:rsidP="00FB392B">
      <w:pPr>
        <w:jc w:val="both"/>
        <w:rPr>
          <w:i/>
          <w:lang w:val="de-DE"/>
        </w:rPr>
      </w:pPr>
    </w:p>
    <w:p w14:paraId="0CD245A4" w14:textId="77777777" w:rsidR="00FB392B" w:rsidRPr="004676F5" w:rsidRDefault="00FB392B" w:rsidP="00FB392B">
      <w:pPr>
        <w:jc w:val="both"/>
        <w:rPr>
          <w:lang w:val="de-DE"/>
        </w:rPr>
      </w:pPr>
    </w:p>
    <w:p w14:paraId="79C66610" w14:textId="02EF3E80" w:rsidR="00A037EB" w:rsidRPr="004676F5" w:rsidRDefault="00BE0A56" w:rsidP="00A037EB">
      <w:pPr>
        <w:ind w:firstLine="708"/>
        <w:jc w:val="both"/>
        <w:rPr>
          <w:lang w:val="de-DE"/>
        </w:rPr>
      </w:pPr>
      <w:r w:rsidRPr="004676F5">
        <w:rPr>
          <w:b/>
          <w:lang w:val="de-DE"/>
        </w:rPr>
        <w:t>Art. </w:t>
      </w:r>
      <w:r w:rsidR="00A037EB" w:rsidRPr="004676F5">
        <w:rPr>
          <w:b/>
          <w:lang w:val="de-DE"/>
        </w:rPr>
        <w:t>XVI.27</w:t>
      </w:r>
      <w:r w:rsidR="00A037EB" w:rsidRPr="004676F5">
        <w:rPr>
          <w:lang w:val="de-DE"/>
        </w:rPr>
        <w:t> </w:t>
      </w:r>
      <w:r w:rsidR="005B7A5C" w:rsidRPr="004676F5">
        <w:rPr>
          <w:lang w:val="de-DE"/>
        </w:rPr>
        <w:t>- </w:t>
      </w:r>
      <w:r w:rsidR="00A037EB" w:rsidRPr="004676F5">
        <w:rPr>
          <w:lang w:val="de-DE"/>
        </w:rPr>
        <w:t>§ 1 </w:t>
      </w:r>
      <w:r w:rsidR="005B7A5C" w:rsidRPr="004676F5">
        <w:rPr>
          <w:lang w:val="de-DE"/>
        </w:rPr>
        <w:t>- </w:t>
      </w:r>
      <w:r w:rsidR="00A037EB" w:rsidRPr="004676F5">
        <w:rPr>
          <w:lang w:val="de-DE"/>
        </w:rPr>
        <w:t>Sobald eine qualifizierte Einrichtung einen vollständigen Antrag auf außergerichtliche Streitbeilegung erhalten hat, werden die gemeinrechtlichen Verjährungsfristen ausgesetzt.</w:t>
      </w:r>
    </w:p>
    <w:p w14:paraId="4B466A93" w14:textId="77777777" w:rsidR="00A037EB" w:rsidRPr="004676F5" w:rsidRDefault="00A037EB" w:rsidP="00A037EB">
      <w:pPr>
        <w:jc w:val="both"/>
        <w:rPr>
          <w:lang w:val="de-DE"/>
        </w:rPr>
      </w:pPr>
    </w:p>
    <w:p w14:paraId="67735F7E" w14:textId="77777777" w:rsidR="00A037EB" w:rsidRPr="004676F5" w:rsidRDefault="00A037EB" w:rsidP="00A037EB">
      <w:pPr>
        <w:ind w:firstLine="708"/>
        <w:jc w:val="both"/>
        <w:rPr>
          <w:lang w:val="de-DE"/>
        </w:rPr>
      </w:pPr>
      <w:r w:rsidRPr="004676F5">
        <w:rPr>
          <w:lang w:val="de-DE"/>
        </w:rPr>
        <w:t>Die Aussetzung läuft bis zu dem Tag, an dem die qualifizierte Einrichtung den Parteien mitteilt:</w:t>
      </w:r>
    </w:p>
    <w:p w14:paraId="502359A9" w14:textId="77777777" w:rsidR="00A037EB" w:rsidRPr="004676F5" w:rsidRDefault="00A037EB" w:rsidP="00A037EB">
      <w:pPr>
        <w:jc w:val="both"/>
        <w:rPr>
          <w:lang w:val="de-DE"/>
        </w:rPr>
      </w:pPr>
    </w:p>
    <w:p w14:paraId="77339004" w14:textId="60E1DDF8" w:rsidR="00A037EB" w:rsidRPr="004676F5" w:rsidRDefault="005B7A5C" w:rsidP="00A037EB">
      <w:pPr>
        <w:ind w:firstLine="708"/>
        <w:jc w:val="both"/>
        <w:rPr>
          <w:lang w:val="de-DE"/>
        </w:rPr>
      </w:pPr>
      <w:r w:rsidRPr="004676F5">
        <w:rPr>
          <w:lang w:val="de-DE"/>
        </w:rPr>
        <w:t>- </w:t>
      </w:r>
      <w:r w:rsidR="00A037EB" w:rsidRPr="004676F5">
        <w:rPr>
          <w:lang w:val="de-DE"/>
        </w:rPr>
        <w:t>dass die Behandlung des Antrags in Anwendung von Artikel XVI.25 § 1 Nr. 8 abgelehnt wird</w:t>
      </w:r>
    </w:p>
    <w:p w14:paraId="1028F1AD" w14:textId="77777777" w:rsidR="00A037EB" w:rsidRPr="004676F5" w:rsidRDefault="00A037EB" w:rsidP="00A037EB">
      <w:pPr>
        <w:jc w:val="both"/>
        <w:rPr>
          <w:lang w:val="de-DE"/>
        </w:rPr>
      </w:pPr>
    </w:p>
    <w:p w14:paraId="0DCC3605" w14:textId="1EF6AB5C" w:rsidR="00A037EB" w:rsidRPr="004676F5" w:rsidRDefault="005B7A5C" w:rsidP="00A037EB">
      <w:pPr>
        <w:ind w:firstLine="708"/>
        <w:jc w:val="both"/>
        <w:rPr>
          <w:lang w:val="de-DE"/>
        </w:rPr>
      </w:pPr>
      <w:r w:rsidRPr="004676F5">
        <w:rPr>
          <w:lang w:val="de-DE"/>
        </w:rPr>
        <w:t>- </w:t>
      </w:r>
      <w:r w:rsidR="00A037EB" w:rsidRPr="004676F5">
        <w:rPr>
          <w:lang w:val="de-DE"/>
        </w:rPr>
        <w:t>oder welches das Ergebnis der gütlichen Streitbeilegung ist, in Anwendung von Artikel XVI.25 § 1 Nr. 13.</w:t>
      </w:r>
    </w:p>
    <w:p w14:paraId="6E410BD2" w14:textId="77777777" w:rsidR="00A037EB" w:rsidRPr="004676F5" w:rsidRDefault="00A037EB" w:rsidP="00A037EB">
      <w:pPr>
        <w:ind w:firstLine="708"/>
        <w:jc w:val="both"/>
        <w:rPr>
          <w:lang w:val="de-DE"/>
        </w:rPr>
      </w:pPr>
    </w:p>
    <w:p w14:paraId="506F655C" w14:textId="63A5D247" w:rsidR="00A037EB" w:rsidRPr="004676F5" w:rsidRDefault="00A037EB" w:rsidP="00A037EB">
      <w:pPr>
        <w:ind w:firstLine="708"/>
        <w:jc w:val="both"/>
        <w:rPr>
          <w:lang w:val="de-DE"/>
        </w:rPr>
      </w:pPr>
      <w:r w:rsidRPr="004676F5">
        <w:rPr>
          <w:lang w:val="de-DE"/>
        </w:rPr>
        <w:t xml:space="preserve">§ 2 </w:t>
      </w:r>
      <w:r w:rsidR="005B7A5C" w:rsidRPr="004676F5">
        <w:rPr>
          <w:lang w:val="de-DE"/>
        </w:rPr>
        <w:t>- </w:t>
      </w:r>
      <w:r w:rsidRPr="004676F5">
        <w:rPr>
          <w:lang w:val="de-DE"/>
        </w:rPr>
        <w:t>Sobald das Unternehmen vom Eingang bei der qualifizierten Einrichtung eines vollständigen Antrags auf außergerichtliche Streitbeilegung in Kenntnis gesetzt wird, wird ein von dem betreffenden Unternehmen eingeleitetes Beitreibungsverfahren bis zu dem in § 1 Absatz 2 erwähnten Tag ausgesetzt.</w:t>
      </w:r>
    </w:p>
    <w:p w14:paraId="5C904DD1" w14:textId="77777777" w:rsidR="00A037EB" w:rsidRPr="004676F5" w:rsidRDefault="00A037EB" w:rsidP="00A037EB">
      <w:pPr>
        <w:ind w:firstLine="708"/>
        <w:jc w:val="both"/>
        <w:rPr>
          <w:lang w:val="de-DE"/>
        </w:rPr>
      </w:pPr>
    </w:p>
    <w:p w14:paraId="27062B23" w14:textId="77777777" w:rsidR="00A16897" w:rsidRPr="004676F5" w:rsidRDefault="00A16897" w:rsidP="00A037EB">
      <w:pPr>
        <w:ind w:firstLine="708"/>
        <w:jc w:val="both"/>
        <w:rPr>
          <w:lang w:val="de-DE"/>
        </w:rPr>
      </w:pPr>
    </w:p>
    <w:p w14:paraId="32B199E2" w14:textId="46BC606B" w:rsidR="00A037EB" w:rsidRPr="004676F5" w:rsidRDefault="00BE0A56" w:rsidP="00A037EB">
      <w:pPr>
        <w:ind w:firstLine="708"/>
        <w:jc w:val="both"/>
        <w:rPr>
          <w:lang w:val="de-DE"/>
        </w:rPr>
      </w:pPr>
      <w:r w:rsidRPr="004676F5">
        <w:rPr>
          <w:b/>
          <w:lang w:val="de-DE"/>
        </w:rPr>
        <w:lastRenderedPageBreak/>
        <w:t>Art. </w:t>
      </w:r>
      <w:r w:rsidR="00A037EB" w:rsidRPr="004676F5">
        <w:rPr>
          <w:b/>
          <w:lang w:val="de-DE"/>
        </w:rPr>
        <w:t>XVI.28</w:t>
      </w:r>
      <w:r w:rsidR="00A037EB" w:rsidRPr="004676F5">
        <w:rPr>
          <w:lang w:val="de-DE"/>
        </w:rPr>
        <w:t> </w:t>
      </w:r>
      <w:r w:rsidR="005B7A5C" w:rsidRPr="004676F5">
        <w:rPr>
          <w:lang w:val="de-DE"/>
        </w:rPr>
        <w:t>- </w:t>
      </w:r>
      <w:r w:rsidR="00A037EB" w:rsidRPr="004676F5">
        <w:rPr>
          <w:lang w:val="de-DE"/>
        </w:rPr>
        <w:t>Zur Gewährleistung einer effizienten und transparenten Behandlung von Anträgen auf außergerichtliche Beilegung verbraucherrechtlicher Streitigkeiten kann der König Maßnahmen ergreifen:</w:t>
      </w:r>
    </w:p>
    <w:p w14:paraId="62694778" w14:textId="77777777" w:rsidR="00A037EB" w:rsidRPr="004676F5" w:rsidRDefault="00A037EB" w:rsidP="00A037EB">
      <w:pPr>
        <w:jc w:val="both"/>
        <w:rPr>
          <w:lang w:val="de-DE"/>
        </w:rPr>
      </w:pPr>
    </w:p>
    <w:p w14:paraId="7BE7B4A9" w14:textId="7D5AF65E" w:rsidR="00A037EB" w:rsidRPr="004676F5" w:rsidRDefault="005B7A5C" w:rsidP="00A037EB">
      <w:pPr>
        <w:ind w:firstLine="708"/>
        <w:jc w:val="both"/>
        <w:rPr>
          <w:lang w:val="de-DE"/>
        </w:rPr>
      </w:pPr>
      <w:r w:rsidRPr="004676F5">
        <w:rPr>
          <w:lang w:val="de-DE"/>
        </w:rPr>
        <w:t>- </w:t>
      </w:r>
      <w:r w:rsidR="00A037EB" w:rsidRPr="004676F5">
        <w:rPr>
          <w:lang w:val="de-DE"/>
        </w:rPr>
        <w:t>zur Koordinierung und Unterstützung qualifizierter Einrichtungen,</w:t>
      </w:r>
    </w:p>
    <w:p w14:paraId="030AB115" w14:textId="77777777" w:rsidR="00A037EB" w:rsidRPr="004676F5" w:rsidRDefault="00A037EB" w:rsidP="00A037EB">
      <w:pPr>
        <w:jc w:val="both"/>
        <w:rPr>
          <w:lang w:val="de-DE"/>
        </w:rPr>
      </w:pPr>
    </w:p>
    <w:p w14:paraId="4C382581" w14:textId="187AA438" w:rsidR="006C2834" w:rsidRPr="004676F5" w:rsidRDefault="00A037EB" w:rsidP="00A037EB">
      <w:pPr>
        <w:rPr>
          <w:lang w:val="de-DE"/>
        </w:rPr>
      </w:pPr>
      <w:r w:rsidRPr="004676F5">
        <w:rPr>
          <w:lang w:val="de-DE"/>
        </w:rPr>
        <w:tab/>
      </w:r>
      <w:r w:rsidR="005B7A5C" w:rsidRPr="004676F5">
        <w:rPr>
          <w:lang w:val="de-DE"/>
        </w:rPr>
        <w:t>- </w:t>
      </w:r>
      <w:r w:rsidRPr="004676F5">
        <w:rPr>
          <w:lang w:val="de-DE"/>
        </w:rPr>
        <w:t>zur Schaffung qualifizierter Einrichtungen.]</w:t>
      </w:r>
      <w:r w:rsidR="006C2834" w:rsidRPr="004676F5">
        <w:rPr>
          <w:lang w:val="de-DE"/>
        </w:rPr>
        <w:br w:type="page"/>
      </w:r>
    </w:p>
    <w:p w14:paraId="2103AC85" w14:textId="34A6B18E" w:rsidR="00340EAC" w:rsidRPr="004676F5" w:rsidRDefault="00C95D7A" w:rsidP="00340EAC">
      <w:pPr>
        <w:jc w:val="center"/>
        <w:rPr>
          <w:lang w:val="de-DE"/>
        </w:rPr>
      </w:pPr>
      <w:r w:rsidRPr="004676F5">
        <w:rPr>
          <w:lang w:val="de-DE"/>
        </w:rPr>
        <w:lastRenderedPageBreak/>
        <w:t>[</w:t>
      </w:r>
      <w:r w:rsidR="00340EAC" w:rsidRPr="004676F5">
        <w:rPr>
          <w:b/>
          <w:lang w:val="de-DE"/>
        </w:rPr>
        <w:t>BUCH XVII </w:t>
      </w:r>
      <w:r w:rsidR="005B7A5C" w:rsidRPr="004676F5">
        <w:rPr>
          <w:b/>
          <w:lang w:val="de-DE"/>
        </w:rPr>
        <w:t>- </w:t>
      </w:r>
      <w:r w:rsidR="00340EAC" w:rsidRPr="004676F5">
        <w:rPr>
          <w:b/>
          <w:lang w:val="de-DE"/>
        </w:rPr>
        <w:t>BESONDERE GERICHTSVERFAHREN</w:t>
      </w:r>
    </w:p>
    <w:p w14:paraId="24FE2EF4" w14:textId="77777777" w:rsidR="00C95D7A" w:rsidRPr="004676F5" w:rsidRDefault="00C95D7A" w:rsidP="00340EAC">
      <w:pPr>
        <w:jc w:val="center"/>
        <w:rPr>
          <w:lang w:val="de-DE"/>
        </w:rPr>
      </w:pPr>
    </w:p>
    <w:p w14:paraId="465C08CD" w14:textId="34436811" w:rsidR="00C95D7A" w:rsidRPr="004676F5" w:rsidRDefault="00C95D7A" w:rsidP="00C95D7A">
      <w:pPr>
        <w:jc w:val="both"/>
        <w:rPr>
          <w:i/>
          <w:lang w:val="de-DE"/>
        </w:rPr>
      </w:pPr>
      <w:r w:rsidRPr="004676F5">
        <w:rPr>
          <w:i/>
          <w:lang w:val="de-DE"/>
        </w:rPr>
        <w:t>[Buch</w:t>
      </w:r>
      <w:r w:rsidR="00A1199C">
        <w:rPr>
          <w:i/>
          <w:lang w:val="de-DE"/>
        </w:rPr>
        <w:t> </w:t>
      </w:r>
      <w:r w:rsidRPr="004676F5">
        <w:rPr>
          <w:i/>
          <w:lang w:val="de-DE"/>
        </w:rPr>
        <w:t xml:space="preserve">XVII </w:t>
      </w:r>
      <w:r w:rsidR="00AF484A" w:rsidRPr="004676F5">
        <w:rPr>
          <w:i/>
          <w:lang w:val="de-DE"/>
        </w:rPr>
        <w:t>mit den Artikeln</w:t>
      </w:r>
      <w:r w:rsidR="00A1199C">
        <w:rPr>
          <w:i/>
          <w:lang w:val="de-DE"/>
        </w:rPr>
        <w:t> </w:t>
      </w:r>
      <w:r w:rsidR="00AF484A" w:rsidRPr="004676F5">
        <w:rPr>
          <w:i/>
          <w:lang w:val="de-DE"/>
        </w:rPr>
        <w:t>XVII.5 bis XVII.8, XVII.10</w:t>
      </w:r>
      <w:r w:rsidR="00636459" w:rsidRPr="004676F5">
        <w:rPr>
          <w:i/>
          <w:lang w:val="de-DE"/>
        </w:rPr>
        <w:t xml:space="preserve"> bis XVII.13, XVII.25 bis XVII.28, XVII.31, XVII.32 und XVII.34 </w:t>
      </w:r>
      <w:r w:rsidRPr="004676F5">
        <w:rPr>
          <w:i/>
          <w:lang w:val="de-DE"/>
        </w:rPr>
        <w:t xml:space="preserve">eingefügt durch </w:t>
      </w:r>
      <w:r w:rsidR="00BE0A56" w:rsidRPr="004676F5">
        <w:rPr>
          <w:i/>
          <w:lang w:val="de-DE"/>
        </w:rPr>
        <w:t>Art. </w:t>
      </w:r>
      <w:r w:rsidRPr="004676F5">
        <w:rPr>
          <w:i/>
          <w:lang w:val="de-DE"/>
        </w:rPr>
        <w:t>3</w:t>
      </w:r>
      <w:r w:rsidR="002B2B70" w:rsidRPr="004676F5">
        <w:rPr>
          <w:i/>
          <w:lang w:val="de-DE"/>
        </w:rPr>
        <w:t xml:space="preserve"> des G. vom 26. Dezember 2013 (</w:t>
      </w:r>
      <w:r w:rsidRPr="004676F5">
        <w:rPr>
          <w:i/>
          <w:lang w:val="de-DE"/>
        </w:rPr>
        <w:t>IV) (B.S. vom 28. Januar 2014)]</w:t>
      </w:r>
    </w:p>
    <w:p w14:paraId="53CA8939" w14:textId="77777777" w:rsidR="00340EAC" w:rsidRPr="004676F5" w:rsidRDefault="00340EAC" w:rsidP="00340EAC">
      <w:pPr>
        <w:jc w:val="both"/>
        <w:rPr>
          <w:lang w:val="de-DE"/>
        </w:rPr>
      </w:pPr>
    </w:p>
    <w:p w14:paraId="24C74D06" w14:textId="77777777" w:rsidR="00C055A4" w:rsidRPr="004676F5" w:rsidRDefault="00C055A4" w:rsidP="00340EAC">
      <w:pPr>
        <w:jc w:val="both"/>
        <w:rPr>
          <w:lang w:val="de-DE"/>
        </w:rPr>
      </w:pPr>
    </w:p>
    <w:p w14:paraId="70B2C88E" w14:textId="1207E97A" w:rsidR="00C055A4" w:rsidRPr="004676F5" w:rsidRDefault="00C055A4" w:rsidP="00C055A4">
      <w:pPr>
        <w:jc w:val="center"/>
        <w:rPr>
          <w:lang w:val="de-DE"/>
        </w:rPr>
      </w:pPr>
      <w:r w:rsidRPr="004676F5">
        <w:rPr>
          <w:caps/>
          <w:lang w:val="de-DE"/>
        </w:rPr>
        <w:t>[</w:t>
      </w:r>
      <w:r w:rsidRPr="004676F5">
        <w:rPr>
          <w:b/>
          <w:bCs/>
          <w:caps/>
          <w:lang w:val="de-DE"/>
        </w:rPr>
        <w:t>Einleitender Titel</w:t>
      </w:r>
      <w:r w:rsidRPr="004676F5">
        <w:rPr>
          <w:lang w:val="de-DE"/>
        </w:rPr>
        <w:t xml:space="preserve"> </w:t>
      </w:r>
      <w:r w:rsidRPr="004676F5">
        <w:rPr>
          <w:b/>
          <w:bCs/>
          <w:i/>
          <w:iCs/>
          <w:lang w:val="de-DE"/>
        </w:rPr>
        <w:t>- Gemeinsame Bestimmungen für Titel</w:t>
      </w:r>
      <w:r w:rsidR="00A1199C">
        <w:rPr>
          <w:b/>
          <w:bCs/>
          <w:i/>
          <w:iCs/>
          <w:lang w:val="de-DE"/>
        </w:rPr>
        <w:t> </w:t>
      </w:r>
      <w:r w:rsidRPr="004676F5">
        <w:rPr>
          <w:b/>
          <w:bCs/>
          <w:i/>
          <w:iCs/>
          <w:lang w:val="de-DE"/>
        </w:rPr>
        <w:t>1 und Titel</w:t>
      </w:r>
      <w:r w:rsidR="00A1199C">
        <w:rPr>
          <w:b/>
          <w:bCs/>
          <w:i/>
          <w:iCs/>
          <w:lang w:val="de-DE"/>
        </w:rPr>
        <w:t> </w:t>
      </w:r>
      <w:r w:rsidRPr="004676F5">
        <w:rPr>
          <w:b/>
          <w:bCs/>
          <w:i/>
          <w:iCs/>
          <w:lang w:val="de-DE"/>
        </w:rPr>
        <w:t>2</w:t>
      </w:r>
      <w:r w:rsidRPr="004676F5">
        <w:rPr>
          <w:lang w:val="de-DE"/>
        </w:rPr>
        <w:t>]</w:t>
      </w:r>
    </w:p>
    <w:p w14:paraId="3D80BD87" w14:textId="77777777" w:rsidR="00C055A4" w:rsidRPr="004676F5" w:rsidRDefault="00C055A4" w:rsidP="00340EAC">
      <w:pPr>
        <w:jc w:val="both"/>
        <w:rPr>
          <w:lang w:val="de-DE"/>
        </w:rPr>
      </w:pPr>
    </w:p>
    <w:p w14:paraId="3BB6BE28" w14:textId="1AB10628" w:rsidR="00C055A4" w:rsidRPr="004676F5" w:rsidRDefault="00C055A4" w:rsidP="00340EAC">
      <w:pPr>
        <w:jc w:val="both"/>
        <w:rPr>
          <w:i/>
          <w:iCs/>
          <w:lang w:val="de-DE"/>
        </w:rPr>
      </w:pPr>
      <w:r w:rsidRPr="004676F5">
        <w:rPr>
          <w:i/>
          <w:iCs/>
          <w:lang w:val="de-DE"/>
        </w:rPr>
        <w:t xml:space="preserve">[Unterteilung </w:t>
      </w:r>
      <w:r w:rsidR="009A0370">
        <w:rPr>
          <w:i/>
          <w:iCs/>
          <w:lang w:val="de-DE"/>
        </w:rPr>
        <w:t>e</w:t>
      </w:r>
      <w:r w:rsidRPr="004676F5">
        <w:rPr>
          <w:i/>
          <w:iCs/>
          <w:lang w:val="de-DE"/>
        </w:rPr>
        <w:t>inleitender Titel eingefügt durch Art. 7 des G. vom 21. April 2024 (II) (B.S. vom 31. Mai 2024)]</w:t>
      </w:r>
    </w:p>
    <w:p w14:paraId="05F724EE" w14:textId="77777777" w:rsidR="00C055A4" w:rsidRPr="004676F5" w:rsidRDefault="00C055A4" w:rsidP="00340EAC">
      <w:pPr>
        <w:jc w:val="both"/>
        <w:rPr>
          <w:lang w:val="de-DE"/>
        </w:rPr>
      </w:pPr>
    </w:p>
    <w:p w14:paraId="4EC1C052" w14:textId="77777777" w:rsidR="00C055A4" w:rsidRPr="004676F5" w:rsidRDefault="00C055A4" w:rsidP="00340EAC">
      <w:pPr>
        <w:jc w:val="both"/>
        <w:rPr>
          <w:lang w:val="de-DE"/>
        </w:rPr>
      </w:pPr>
    </w:p>
    <w:p w14:paraId="00F05DD0" w14:textId="030D8ED9" w:rsidR="00C055A4" w:rsidRPr="004676F5" w:rsidRDefault="00C055A4" w:rsidP="00C055A4">
      <w:pPr>
        <w:jc w:val="both"/>
        <w:rPr>
          <w:lang w:val="de-DE"/>
        </w:rPr>
      </w:pPr>
      <w:r w:rsidRPr="004676F5">
        <w:rPr>
          <w:lang w:val="de-DE"/>
        </w:rPr>
        <w:tab/>
        <w:t>[</w:t>
      </w:r>
      <w:r w:rsidRPr="004676F5">
        <w:rPr>
          <w:b/>
          <w:bCs/>
          <w:lang w:val="de-DE"/>
        </w:rPr>
        <w:t>Art. XVII.1</w:t>
      </w:r>
      <w:r w:rsidRPr="004676F5">
        <w:rPr>
          <w:lang w:val="de-DE"/>
        </w:rPr>
        <w:t xml:space="preserve"> - § 1 - Eine qualifizierte Verbrauchereinrichtung ist eine juristische Person, die auf ihren Antrag hin vom Minister zugelassen worden ist. Der Minister gibt dem Antrag einer juristischen Person auf Zulassung als qualifizierte Einrichtung statt, sofern der Antrag auf die vom König festgelegte Art und Weise gestellt wird und darin nachgewiesen wird, dass die juristische Person sämtliche nachstehenden Kriterien einhält:</w:t>
      </w:r>
    </w:p>
    <w:p w14:paraId="204BA80A" w14:textId="77777777" w:rsidR="00C055A4" w:rsidRPr="004676F5" w:rsidRDefault="00C055A4" w:rsidP="00C055A4">
      <w:pPr>
        <w:jc w:val="both"/>
        <w:rPr>
          <w:lang w:val="de-DE"/>
        </w:rPr>
      </w:pPr>
    </w:p>
    <w:p w14:paraId="117A594F" w14:textId="77777777" w:rsidR="00C055A4" w:rsidRPr="004676F5" w:rsidRDefault="00C055A4" w:rsidP="00C055A4">
      <w:pPr>
        <w:jc w:val="both"/>
        <w:rPr>
          <w:lang w:val="de-DE"/>
        </w:rPr>
      </w:pPr>
      <w:r w:rsidRPr="004676F5">
        <w:rPr>
          <w:lang w:val="de-DE"/>
        </w:rPr>
        <w:tab/>
        <w:t>1. Sie ist eine nach belgischem Recht gegründete juristische Person, die vor ihrem Zulassungsantrag nachweislich tatsächlich zwölf Monate zum Schutz von Verbraucherinteressen öffentlich tätig gewesen ist.</w:t>
      </w:r>
    </w:p>
    <w:p w14:paraId="1DC0EA3B" w14:textId="77777777" w:rsidR="00C055A4" w:rsidRPr="004676F5" w:rsidRDefault="00C055A4" w:rsidP="00C055A4">
      <w:pPr>
        <w:jc w:val="both"/>
        <w:rPr>
          <w:lang w:val="de-DE"/>
        </w:rPr>
      </w:pPr>
    </w:p>
    <w:p w14:paraId="0CE68FF3" w14:textId="36A5F710" w:rsidR="00C055A4" w:rsidRPr="004676F5" w:rsidRDefault="00C055A4" w:rsidP="00C055A4">
      <w:pPr>
        <w:jc w:val="both"/>
        <w:rPr>
          <w:lang w:val="de-DE"/>
        </w:rPr>
      </w:pPr>
      <w:r w:rsidRPr="004676F5">
        <w:rPr>
          <w:lang w:val="de-DE"/>
        </w:rPr>
        <w:tab/>
        <w:t>2. Aus ihrem satzungsmäßigen Zweck ergibt sich, dass sie ein legitimes Interesse am Schutz der Verbraucherinteressen gemäß europäischen Richtlinien und Verordnungen, auf die in Artikel</w:t>
      </w:r>
      <w:r w:rsidR="00A1199C">
        <w:rPr>
          <w:lang w:val="de-DE"/>
        </w:rPr>
        <w:t> </w:t>
      </w:r>
      <w:r w:rsidRPr="004676F5">
        <w:rPr>
          <w:lang w:val="de-DE"/>
        </w:rPr>
        <w:t>XVII.37 Nr.</w:t>
      </w:r>
      <w:r w:rsidR="00A1199C">
        <w:rPr>
          <w:lang w:val="de-DE"/>
        </w:rPr>
        <w:t> </w:t>
      </w:r>
      <w:r w:rsidRPr="004676F5">
        <w:rPr>
          <w:lang w:val="de-DE"/>
        </w:rPr>
        <w:t>34 verwiesen wird, hat.</w:t>
      </w:r>
    </w:p>
    <w:p w14:paraId="042D0315" w14:textId="77777777" w:rsidR="00C055A4" w:rsidRPr="004676F5" w:rsidRDefault="00C055A4" w:rsidP="00C055A4">
      <w:pPr>
        <w:jc w:val="both"/>
        <w:rPr>
          <w:lang w:val="de-DE"/>
        </w:rPr>
      </w:pPr>
    </w:p>
    <w:p w14:paraId="4DDBF563" w14:textId="77777777" w:rsidR="00C055A4" w:rsidRPr="004676F5" w:rsidRDefault="00C055A4" w:rsidP="00C055A4">
      <w:pPr>
        <w:jc w:val="both"/>
        <w:rPr>
          <w:lang w:val="de-DE"/>
        </w:rPr>
      </w:pPr>
      <w:r w:rsidRPr="004676F5">
        <w:rPr>
          <w:lang w:val="de-DE"/>
        </w:rPr>
        <w:tab/>
        <w:t>3. Sie verfolgt keine Gewinnerzielungsabsicht.</w:t>
      </w:r>
    </w:p>
    <w:p w14:paraId="0A61B45E" w14:textId="77777777" w:rsidR="00C055A4" w:rsidRPr="004676F5" w:rsidRDefault="00C055A4" w:rsidP="00C055A4">
      <w:pPr>
        <w:jc w:val="both"/>
        <w:rPr>
          <w:lang w:val="de-DE"/>
        </w:rPr>
      </w:pPr>
    </w:p>
    <w:p w14:paraId="61512A67" w14:textId="77777777" w:rsidR="00C055A4" w:rsidRPr="004676F5" w:rsidRDefault="00C055A4" w:rsidP="00C055A4">
      <w:pPr>
        <w:jc w:val="both"/>
        <w:rPr>
          <w:lang w:val="de-DE"/>
        </w:rPr>
      </w:pPr>
      <w:r w:rsidRPr="004676F5">
        <w:rPr>
          <w:lang w:val="de-DE"/>
        </w:rPr>
        <w:tab/>
        <w:t>4. Über sie ist kein Insolvenzverfahren eröffnet und sie ist nicht für insolvent erklärt worden.</w:t>
      </w:r>
    </w:p>
    <w:p w14:paraId="01D48A5D" w14:textId="77777777" w:rsidR="00C055A4" w:rsidRPr="004676F5" w:rsidRDefault="00C055A4" w:rsidP="00C055A4">
      <w:pPr>
        <w:jc w:val="both"/>
        <w:rPr>
          <w:lang w:val="de-DE"/>
        </w:rPr>
      </w:pPr>
    </w:p>
    <w:p w14:paraId="51CCB633" w14:textId="784A9C07" w:rsidR="00C055A4" w:rsidRPr="004676F5" w:rsidRDefault="00C055A4" w:rsidP="00C055A4">
      <w:pPr>
        <w:jc w:val="both"/>
        <w:rPr>
          <w:lang w:val="de-DE"/>
        </w:rPr>
      </w:pPr>
      <w:r w:rsidRPr="004676F5">
        <w:rPr>
          <w:lang w:val="de-DE"/>
        </w:rPr>
        <w:tab/>
        <w:t>5. Sie ist unabhängig und steht - Verbraucher ausgenommen - nicht unter dem Einfluss von Personen, insbesondere Unternehmen, die ein wirtschaftliches Interesse an der Erhebung einer kollektiven Unterlassungsklage gemäß Titel</w:t>
      </w:r>
      <w:r w:rsidR="00A1199C">
        <w:rPr>
          <w:lang w:val="de-DE"/>
        </w:rPr>
        <w:t> </w:t>
      </w:r>
      <w:r w:rsidRPr="004676F5">
        <w:rPr>
          <w:lang w:val="de-DE"/>
        </w:rPr>
        <w:t>1 und/oder einer kollektiven Schadenersatzklage gemäß Titel</w:t>
      </w:r>
      <w:r w:rsidR="00A1199C">
        <w:rPr>
          <w:lang w:val="de-DE"/>
        </w:rPr>
        <w:t> </w:t>
      </w:r>
      <w:r w:rsidRPr="004676F5">
        <w:rPr>
          <w:lang w:val="de-DE"/>
        </w:rPr>
        <w:t>2 haben, einschließlich im Falle einer Finanzierung durch Dritte. Sie verfügt zu diesem Zweck über Verfahren, die eine solche Einflussnahme sowie Interessenkonflikte zwischen ihren eigenen Interessen, den Interessen ihrer Finanzierer und den Verbraucherinteressen verhindern.</w:t>
      </w:r>
    </w:p>
    <w:p w14:paraId="3576A702" w14:textId="77777777" w:rsidR="00C055A4" w:rsidRPr="004676F5" w:rsidRDefault="00C055A4" w:rsidP="00C055A4">
      <w:pPr>
        <w:jc w:val="both"/>
        <w:rPr>
          <w:lang w:val="de-DE"/>
        </w:rPr>
      </w:pPr>
    </w:p>
    <w:p w14:paraId="23F1D876" w14:textId="71C93DC0" w:rsidR="00C055A4" w:rsidRPr="004676F5" w:rsidRDefault="00C055A4" w:rsidP="00C055A4">
      <w:pPr>
        <w:jc w:val="both"/>
        <w:rPr>
          <w:lang w:val="de-DE"/>
        </w:rPr>
      </w:pPr>
      <w:r w:rsidRPr="004676F5">
        <w:rPr>
          <w:lang w:val="de-DE"/>
        </w:rPr>
        <w:tab/>
        <w:t>6. Sie macht auf geeignete Weise - insbesondere auf ihrer Website - in klarer und verständlicher Sprache Angaben öffentlich zugänglich, die die Einhaltung der Kriterien der Nummern</w:t>
      </w:r>
      <w:r w:rsidR="00A1199C">
        <w:rPr>
          <w:lang w:val="de-DE"/>
        </w:rPr>
        <w:t> </w:t>
      </w:r>
      <w:r w:rsidRPr="004676F5">
        <w:rPr>
          <w:lang w:val="de-DE"/>
        </w:rPr>
        <w:t>1 bis 5 durch die Einrichtung belegen, sowie Angaben zu den Quellen ihrer Finanzierung im Allgemeinen, ihrer Organisations-, Management- und Mitgliederstruktur, ihrem satzungsmäßigen Zweck und ihren Tätigkeiten.</w:t>
      </w:r>
    </w:p>
    <w:p w14:paraId="1009ED74" w14:textId="77777777" w:rsidR="00C055A4" w:rsidRPr="004676F5" w:rsidRDefault="00C055A4" w:rsidP="00C055A4">
      <w:pPr>
        <w:jc w:val="both"/>
        <w:rPr>
          <w:lang w:val="de-DE"/>
        </w:rPr>
      </w:pPr>
    </w:p>
    <w:p w14:paraId="67E732A9" w14:textId="0A1FA093" w:rsidR="00C055A4" w:rsidRPr="004676F5" w:rsidRDefault="00C055A4" w:rsidP="00C055A4">
      <w:pPr>
        <w:jc w:val="both"/>
        <w:rPr>
          <w:lang w:val="de-DE"/>
        </w:rPr>
      </w:pPr>
      <w:r w:rsidRPr="004676F5">
        <w:rPr>
          <w:lang w:val="de-DE"/>
        </w:rPr>
        <w:tab/>
        <w:t>§ 2 - Eine qualifizierte Verbrauchereinrichtung ist auch eine Organisation oder öffentliche Behörde, die die Kollektivinteressen der Verbraucher vertritt und von einem anderen Mitgliedstaat der Europäischen Union oder des Europäischen Wirtschaftsraums als qualifizierte Einrichtung zugelassen worden ist.</w:t>
      </w:r>
    </w:p>
    <w:p w14:paraId="2B8F6E17" w14:textId="77777777" w:rsidR="00C055A4" w:rsidRPr="004676F5" w:rsidRDefault="00C055A4" w:rsidP="00C055A4">
      <w:pPr>
        <w:jc w:val="both"/>
        <w:rPr>
          <w:lang w:val="de-DE"/>
        </w:rPr>
      </w:pPr>
    </w:p>
    <w:p w14:paraId="387F2306" w14:textId="48FC94F7" w:rsidR="00C055A4" w:rsidRPr="004676F5" w:rsidRDefault="00C055A4" w:rsidP="00C055A4">
      <w:pPr>
        <w:jc w:val="both"/>
        <w:rPr>
          <w:lang w:val="de-DE"/>
        </w:rPr>
      </w:pPr>
      <w:r w:rsidRPr="004676F5">
        <w:rPr>
          <w:lang w:val="de-DE"/>
        </w:rPr>
        <w:tab/>
        <w:t>Der Nachweis einer solchen Zulassung, um für eine Verbrauchergruppe zu handeln, kann nur durch Vorlage des von der Europäischen Kommission gemäß Artikel</w:t>
      </w:r>
      <w:r w:rsidR="00A1199C">
        <w:rPr>
          <w:lang w:val="de-DE"/>
        </w:rPr>
        <w:t> </w:t>
      </w:r>
      <w:r w:rsidRPr="004676F5">
        <w:rPr>
          <w:lang w:val="de-DE"/>
        </w:rPr>
        <w:t>5 Absatz</w:t>
      </w:r>
      <w:r w:rsidR="00A1199C">
        <w:rPr>
          <w:lang w:val="de-DE"/>
        </w:rPr>
        <w:t> </w:t>
      </w:r>
      <w:r w:rsidRPr="004676F5">
        <w:rPr>
          <w:lang w:val="de-DE"/>
        </w:rPr>
        <w:t>1 der Richtlinie</w:t>
      </w:r>
      <w:r w:rsidR="00A1199C">
        <w:rPr>
          <w:lang w:val="de-DE"/>
        </w:rPr>
        <w:t> </w:t>
      </w:r>
      <w:r w:rsidRPr="004676F5">
        <w:rPr>
          <w:lang w:val="de-DE"/>
        </w:rPr>
        <w:t>(EU)</w:t>
      </w:r>
      <w:r w:rsidR="00A1199C">
        <w:rPr>
          <w:lang w:val="de-DE"/>
        </w:rPr>
        <w:t> </w:t>
      </w:r>
      <w:r w:rsidRPr="004676F5">
        <w:rPr>
          <w:lang w:val="de-DE"/>
        </w:rPr>
        <w:t>2020/1828 des Europäischen Parlaments und des Rates vom 25.</w:t>
      </w:r>
      <w:r w:rsidR="00A1199C">
        <w:rPr>
          <w:lang w:val="de-DE"/>
        </w:rPr>
        <w:t> </w:t>
      </w:r>
      <w:r w:rsidRPr="004676F5">
        <w:rPr>
          <w:lang w:val="de-DE"/>
        </w:rPr>
        <w:t>November</w:t>
      </w:r>
      <w:r w:rsidR="00A1199C">
        <w:rPr>
          <w:lang w:val="de-DE"/>
        </w:rPr>
        <w:t> </w:t>
      </w:r>
      <w:r w:rsidRPr="004676F5">
        <w:rPr>
          <w:lang w:val="de-DE"/>
        </w:rPr>
        <w:t>2020 über Verbandsklagen zum Schutz der Kollektivinteressen der Verbraucher und zur Aufhebung der Richtlinie</w:t>
      </w:r>
      <w:r w:rsidR="00A1199C">
        <w:rPr>
          <w:lang w:val="de-DE"/>
        </w:rPr>
        <w:t> </w:t>
      </w:r>
      <w:r w:rsidRPr="004676F5">
        <w:rPr>
          <w:lang w:val="de-DE"/>
        </w:rPr>
        <w:t>2009/22/EG veröffentlichten Verzeichnisses der für grenzüberschreitende Verbandsklagen qualifizierten Einrichtungen erbracht werden.</w:t>
      </w:r>
    </w:p>
    <w:p w14:paraId="006F7FA4" w14:textId="77777777" w:rsidR="00C055A4" w:rsidRPr="004676F5" w:rsidRDefault="00C055A4" w:rsidP="00C055A4">
      <w:pPr>
        <w:jc w:val="both"/>
        <w:rPr>
          <w:lang w:val="de-DE"/>
        </w:rPr>
      </w:pPr>
    </w:p>
    <w:p w14:paraId="50805D9D" w14:textId="146069B5" w:rsidR="00C055A4" w:rsidRPr="004676F5" w:rsidRDefault="00C055A4" w:rsidP="00C055A4">
      <w:pPr>
        <w:jc w:val="both"/>
        <w:rPr>
          <w:lang w:val="de-DE"/>
        </w:rPr>
      </w:pPr>
      <w:r w:rsidRPr="004676F5">
        <w:rPr>
          <w:lang w:val="de-DE"/>
        </w:rPr>
        <w:tab/>
        <w:t>§ 3 - Eine juristische Person kann für eine bestimmte Klage, die sie vor belgischen Gerichten erhebt, als qualifizierte Verbrauchereinrichtung betrachtet werden. In diesem Fall prüft der Präsident des für die kollektive Unterlassungsklage zuständigen Gerichts oder das für die kollektive Schadenersatzklage zuständige Gericht die Einhaltung der in §</w:t>
      </w:r>
      <w:r w:rsidR="00A1199C">
        <w:rPr>
          <w:lang w:val="de-DE"/>
        </w:rPr>
        <w:t> </w:t>
      </w:r>
      <w:r w:rsidRPr="004676F5">
        <w:rPr>
          <w:lang w:val="de-DE"/>
        </w:rPr>
        <w:t>1 erwähnten Zulassungskriterien im Hinblick auf die Spezifitäten der betreffenden Klage.</w:t>
      </w:r>
    </w:p>
    <w:p w14:paraId="6794423A" w14:textId="77777777" w:rsidR="00C055A4" w:rsidRPr="004676F5" w:rsidRDefault="00C055A4" w:rsidP="00C055A4">
      <w:pPr>
        <w:jc w:val="both"/>
        <w:rPr>
          <w:lang w:val="de-DE"/>
        </w:rPr>
      </w:pPr>
    </w:p>
    <w:p w14:paraId="3DBD897B" w14:textId="4BB774B9" w:rsidR="00C055A4" w:rsidRPr="004676F5" w:rsidRDefault="00C055A4" w:rsidP="00C055A4">
      <w:pPr>
        <w:jc w:val="both"/>
        <w:rPr>
          <w:lang w:val="de-DE"/>
        </w:rPr>
      </w:pPr>
      <w:r w:rsidRPr="004676F5">
        <w:rPr>
          <w:lang w:val="de-DE"/>
        </w:rPr>
        <w:tab/>
        <w:t>§ 4 - Eine qualifizierte KMU-Einrichtung ist eine juristische Person, deren satzungsmäßiger Zweck die Verteidigung der Kollektivinteressen von KMU ist und die auf ihren Antrag hin von dem für Mittelstand zuständigen Minister zugelassen worden ist. Der für Mittelstand zuständige Minister gibt dem Antrag einer juristischen Person auf Zulassung statt, sofern der Antrag die etwaigen vom König festgelegten Anforderungen erfüllt und darin nachgewiesen wird, dass sie sämtliche nachstehenden Kriterien einhält:</w:t>
      </w:r>
    </w:p>
    <w:p w14:paraId="2B50086E" w14:textId="77777777" w:rsidR="00C055A4" w:rsidRPr="004676F5" w:rsidRDefault="00C055A4" w:rsidP="00C055A4">
      <w:pPr>
        <w:jc w:val="both"/>
        <w:rPr>
          <w:lang w:val="de-DE"/>
        </w:rPr>
      </w:pPr>
    </w:p>
    <w:p w14:paraId="38602825" w14:textId="77777777" w:rsidR="00C055A4" w:rsidRPr="004676F5" w:rsidRDefault="00C055A4" w:rsidP="00C055A4">
      <w:pPr>
        <w:jc w:val="both"/>
        <w:rPr>
          <w:lang w:val="de-DE"/>
        </w:rPr>
      </w:pPr>
      <w:r w:rsidRPr="004676F5">
        <w:rPr>
          <w:lang w:val="de-DE"/>
        </w:rPr>
        <w:tab/>
        <w:t>1. Sie ist eine nach belgischem Recht gegründete juristische Person, die vor ihrem Zulassungsantrag nachweislich tatsächlich zwölf Monate zum Schutz von Interessen von KMU öffentlich tätig gewesen ist.</w:t>
      </w:r>
    </w:p>
    <w:p w14:paraId="5BF0F885" w14:textId="77777777" w:rsidR="00C055A4" w:rsidRPr="004676F5" w:rsidRDefault="00C055A4" w:rsidP="00C055A4">
      <w:pPr>
        <w:jc w:val="both"/>
        <w:rPr>
          <w:lang w:val="de-DE"/>
        </w:rPr>
      </w:pPr>
    </w:p>
    <w:p w14:paraId="467AE16E" w14:textId="77777777" w:rsidR="00C055A4" w:rsidRPr="004676F5" w:rsidRDefault="00C055A4" w:rsidP="00C055A4">
      <w:pPr>
        <w:jc w:val="both"/>
        <w:rPr>
          <w:lang w:val="de-DE"/>
        </w:rPr>
      </w:pPr>
      <w:r w:rsidRPr="004676F5">
        <w:rPr>
          <w:lang w:val="de-DE"/>
        </w:rPr>
        <w:tab/>
        <w:t>2. Aus ihrem satzungsmäßigen Zweck ergibt sich, dass sie ein legitimes Interesse am Schutz der Interessen von KMU hat.</w:t>
      </w:r>
    </w:p>
    <w:p w14:paraId="73270E00" w14:textId="77777777" w:rsidR="00C055A4" w:rsidRPr="004676F5" w:rsidRDefault="00C055A4" w:rsidP="00C055A4">
      <w:pPr>
        <w:jc w:val="both"/>
        <w:rPr>
          <w:lang w:val="de-DE"/>
        </w:rPr>
      </w:pPr>
    </w:p>
    <w:p w14:paraId="3C511C6C" w14:textId="77777777" w:rsidR="00C055A4" w:rsidRPr="004676F5" w:rsidRDefault="00C055A4" w:rsidP="00C055A4">
      <w:pPr>
        <w:jc w:val="both"/>
        <w:rPr>
          <w:lang w:val="de-DE"/>
        </w:rPr>
      </w:pPr>
      <w:r w:rsidRPr="004676F5">
        <w:rPr>
          <w:lang w:val="de-DE"/>
        </w:rPr>
        <w:tab/>
        <w:t>3. Sie verfolgt keine Gewinnerzielungsabsicht.</w:t>
      </w:r>
    </w:p>
    <w:p w14:paraId="0EBC2FFB" w14:textId="77777777" w:rsidR="00C055A4" w:rsidRPr="004676F5" w:rsidRDefault="00C055A4" w:rsidP="00C055A4">
      <w:pPr>
        <w:jc w:val="both"/>
        <w:rPr>
          <w:lang w:val="de-DE"/>
        </w:rPr>
      </w:pPr>
    </w:p>
    <w:p w14:paraId="6489745E" w14:textId="77777777" w:rsidR="00C055A4" w:rsidRPr="004676F5" w:rsidRDefault="00C055A4" w:rsidP="00C055A4">
      <w:pPr>
        <w:jc w:val="both"/>
        <w:rPr>
          <w:lang w:val="de-DE"/>
        </w:rPr>
      </w:pPr>
      <w:r w:rsidRPr="004676F5">
        <w:rPr>
          <w:lang w:val="de-DE"/>
        </w:rPr>
        <w:tab/>
        <w:t>4. Über sie ist kein Insolvenzverfahren eröffnet und sie ist nicht für insolvent erklärt worden.</w:t>
      </w:r>
    </w:p>
    <w:p w14:paraId="08421F3B" w14:textId="77777777" w:rsidR="00C055A4" w:rsidRPr="004676F5" w:rsidRDefault="00C055A4" w:rsidP="00C055A4">
      <w:pPr>
        <w:jc w:val="both"/>
        <w:rPr>
          <w:lang w:val="de-DE"/>
        </w:rPr>
      </w:pPr>
    </w:p>
    <w:p w14:paraId="6BB4CF2E" w14:textId="391938FA" w:rsidR="00C055A4" w:rsidRPr="004676F5" w:rsidRDefault="00C055A4" w:rsidP="00C055A4">
      <w:pPr>
        <w:jc w:val="both"/>
        <w:rPr>
          <w:lang w:val="de-DE"/>
        </w:rPr>
      </w:pPr>
      <w:r w:rsidRPr="004676F5">
        <w:rPr>
          <w:lang w:val="de-DE"/>
        </w:rPr>
        <w:tab/>
        <w:t>5. Sie ist unabhängig und steht - mögliche Gruppenmitglieder ausgenommen - nicht unter dem Einfluss von Personen, die ein wirtschaftliches Interesse an der Erhebung einer kollektiven Unterlassungsklage gemäß Titel</w:t>
      </w:r>
      <w:r w:rsidR="00A1199C">
        <w:rPr>
          <w:lang w:val="de-DE"/>
        </w:rPr>
        <w:t> </w:t>
      </w:r>
      <w:r w:rsidRPr="004676F5">
        <w:rPr>
          <w:lang w:val="de-DE"/>
        </w:rPr>
        <w:t>1 und/oder einer kollektiven Schadenersatzklage gemäß Titel</w:t>
      </w:r>
      <w:r w:rsidR="00A1199C">
        <w:rPr>
          <w:lang w:val="de-DE"/>
        </w:rPr>
        <w:t> </w:t>
      </w:r>
      <w:r w:rsidRPr="004676F5">
        <w:rPr>
          <w:lang w:val="de-DE"/>
        </w:rPr>
        <w:t>2 haben, einschließlich im Falle einer Finanzierung durch Dritte, und sie verfügt zu diesem Zweck über Verfahren, die eine solche Einflussnahme sowie Interessenkonflikte zwischen ihren eigenen Interessen, den Interessen ihrer Finanzierer und den Interessen der möglichen Gruppenmitglieder verhindern.</w:t>
      </w:r>
    </w:p>
    <w:p w14:paraId="127D131F" w14:textId="77777777" w:rsidR="00C055A4" w:rsidRPr="004676F5" w:rsidRDefault="00C055A4" w:rsidP="00C055A4">
      <w:pPr>
        <w:jc w:val="both"/>
        <w:rPr>
          <w:lang w:val="de-DE"/>
        </w:rPr>
      </w:pPr>
    </w:p>
    <w:p w14:paraId="63534608" w14:textId="2BD1CDD8" w:rsidR="00C055A4" w:rsidRPr="004676F5" w:rsidRDefault="00C055A4" w:rsidP="00C055A4">
      <w:pPr>
        <w:jc w:val="both"/>
        <w:rPr>
          <w:lang w:val="de-DE"/>
        </w:rPr>
      </w:pPr>
      <w:r w:rsidRPr="004676F5">
        <w:rPr>
          <w:lang w:val="de-DE"/>
        </w:rPr>
        <w:tab/>
        <w:t>6. Sie macht auf geeignete Weise - insbesondere auf ihrer Website - in klarer und verständlicher Sprache Angaben öffentlich zugänglich, die die Einhaltung der Kriterien der Nummern</w:t>
      </w:r>
      <w:r w:rsidR="00A1199C">
        <w:rPr>
          <w:lang w:val="de-DE"/>
        </w:rPr>
        <w:t> </w:t>
      </w:r>
      <w:r w:rsidRPr="004676F5">
        <w:rPr>
          <w:lang w:val="de-DE"/>
        </w:rPr>
        <w:t>1 bis 5 durch die Einrichtung belegen, sowie Angaben zu den Quellen ihrer Finanzierung im Allgemeinen, ihrer Organisations-, Management- und Mitgliederstruktur, ihrem satzungsmäßigen Zweck und ihren Tätigkeiten.</w:t>
      </w:r>
    </w:p>
    <w:p w14:paraId="0CB27C79" w14:textId="77777777" w:rsidR="00C055A4" w:rsidRPr="004676F5" w:rsidRDefault="00C055A4" w:rsidP="00C055A4">
      <w:pPr>
        <w:jc w:val="both"/>
        <w:rPr>
          <w:lang w:val="de-DE"/>
        </w:rPr>
      </w:pPr>
    </w:p>
    <w:p w14:paraId="365DE016" w14:textId="6CBE59D7" w:rsidR="00C055A4" w:rsidRPr="004676F5" w:rsidRDefault="00C055A4" w:rsidP="00C055A4">
      <w:pPr>
        <w:jc w:val="both"/>
        <w:rPr>
          <w:lang w:val="de-DE"/>
        </w:rPr>
      </w:pPr>
      <w:r w:rsidRPr="004676F5">
        <w:rPr>
          <w:lang w:val="de-DE"/>
        </w:rPr>
        <w:tab/>
        <w:t xml:space="preserve">§ 5 - Eine juristische Person, deren satzungsmäßiger Zweck die Verteidigung der Kollektivinteressen von KMU ist und die nicht von dem für Mittelstand zuständigen Minister zugelassen ist, kann für eine bestimmte Klage, die sie vor belgischen Gerichten erhebt, als </w:t>
      </w:r>
      <w:r w:rsidRPr="004676F5">
        <w:rPr>
          <w:lang w:val="de-DE"/>
        </w:rPr>
        <w:lastRenderedPageBreak/>
        <w:t>qualifizierte KMU-Einrichtung betrachtet werden. In diesem Fall prüft der Präsident des für die kollektive Unterlassungsklage zuständigen Gerichts oder das für die kollektive Schadenersatzklage zuständige Gericht die Einhaltung der in §</w:t>
      </w:r>
      <w:r w:rsidR="00A1199C">
        <w:rPr>
          <w:lang w:val="de-DE"/>
        </w:rPr>
        <w:t> </w:t>
      </w:r>
      <w:r w:rsidRPr="004676F5">
        <w:rPr>
          <w:lang w:val="de-DE"/>
        </w:rPr>
        <w:t>4 festgelegten Zulassungskriterien im Hinblick auf die Spezifitäten der betreffenden Klage.</w:t>
      </w:r>
    </w:p>
    <w:p w14:paraId="4A6A7353" w14:textId="77777777" w:rsidR="00C055A4" w:rsidRPr="004676F5" w:rsidRDefault="00C055A4" w:rsidP="00C055A4">
      <w:pPr>
        <w:jc w:val="both"/>
        <w:rPr>
          <w:lang w:val="de-DE"/>
        </w:rPr>
      </w:pPr>
    </w:p>
    <w:p w14:paraId="70D70DFE" w14:textId="2BA04A73" w:rsidR="00C055A4" w:rsidRPr="004676F5" w:rsidRDefault="00C055A4" w:rsidP="00C055A4">
      <w:pPr>
        <w:jc w:val="both"/>
        <w:rPr>
          <w:lang w:val="de-DE"/>
        </w:rPr>
      </w:pPr>
      <w:r w:rsidRPr="004676F5">
        <w:rPr>
          <w:lang w:val="de-DE"/>
        </w:rPr>
        <w:tab/>
        <w:t>§ 6 - Eine qualifizierte KMU-Einrichtung ist auch ein berufsübergreifender Verband zur Verteidigung von Interessen von KMU mit Rechtspersönlichkeit, der im Hohen Rat für Selbständige und KMB sitzt.</w:t>
      </w:r>
    </w:p>
    <w:p w14:paraId="0540B71F" w14:textId="77777777" w:rsidR="00C055A4" w:rsidRPr="004676F5" w:rsidRDefault="00C055A4" w:rsidP="00C055A4">
      <w:pPr>
        <w:jc w:val="both"/>
        <w:rPr>
          <w:lang w:val="de-DE"/>
        </w:rPr>
      </w:pPr>
    </w:p>
    <w:p w14:paraId="530A1E9C" w14:textId="7CDD1109" w:rsidR="00C055A4" w:rsidRPr="004676F5" w:rsidRDefault="00C055A4" w:rsidP="00C055A4">
      <w:pPr>
        <w:jc w:val="both"/>
        <w:rPr>
          <w:lang w:val="de-DE"/>
        </w:rPr>
      </w:pPr>
      <w:r w:rsidRPr="004676F5">
        <w:rPr>
          <w:lang w:val="de-DE"/>
        </w:rPr>
        <w:tab/>
        <w:t>§ 7 - Eine qualifizierte KMU-Einrichtung ist auch eine juristische Person, deren satzungsmäßiger Zweck die Verteidigung der Kollektivinteressen von KMU ist, die zu diesem Zweck in einem anderen Mitgliedstaat der Europäischen Union oder des Europäischen Wirtschaftsraums zugelassen worden ist und die die in §</w:t>
      </w:r>
      <w:r w:rsidR="00A1199C">
        <w:rPr>
          <w:lang w:val="de-DE"/>
        </w:rPr>
        <w:t> </w:t>
      </w:r>
      <w:r w:rsidRPr="004676F5">
        <w:rPr>
          <w:lang w:val="de-DE"/>
        </w:rPr>
        <w:t>4 erwähnten Kriterien einhält.]</w:t>
      </w:r>
    </w:p>
    <w:p w14:paraId="09EA8D17" w14:textId="77777777" w:rsidR="00C055A4" w:rsidRPr="004676F5" w:rsidRDefault="00C055A4" w:rsidP="00C055A4">
      <w:pPr>
        <w:jc w:val="both"/>
        <w:rPr>
          <w:lang w:val="de-DE"/>
        </w:rPr>
      </w:pPr>
    </w:p>
    <w:p w14:paraId="5E7930A7" w14:textId="70A69802" w:rsidR="00C055A4" w:rsidRPr="004676F5" w:rsidRDefault="00C055A4" w:rsidP="00C055A4">
      <w:pPr>
        <w:jc w:val="both"/>
        <w:rPr>
          <w:i/>
          <w:iCs/>
          <w:lang w:val="de-DE"/>
        </w:rPr>
      </w:pPr>
      <w:r w:rsidRPr="004676F5">
        <w:rPr>
          <w:i/>
          <w:iCs/>
          <w:lang w:val="de-DE"/>
        </w:rPr>
        <w:t>[</w:t>
      </w:r>
      <w:r w:rsidR="0058595D">
        <w:rPr>
          <w:i/>
          <w:iCs/>
          <w:lang w:val="de-DE"/>
        </w:rPr>
        <w:t>Neuer Artikel </w:t>
      </w:r>
      <w:r w:rsidRPr="004676F5">
        <w:rPr>
          <w:i/>
          <w:iCs/>
          <w:lang w:val="de-DE"/>
        </w:rPr>
        <w:t>XVII.1 eingefügt durch Art. 8 des G. vom 21. April 2024 (II) (B.S. vom 31. Mai 2024)]</w:t>
      </w:r>
    </w:p>
    <w:p w14:paraId="68C63B45" w14:textId="77777777" w:rsidR="00C055A4" w:rsidRPr="004676F5" w:rsidRDefault="00C055A4" w:rsidP="00340EAC">
      <w:pPr>
        <w:jc w:val="both"/>
        <w:rPr>
          <w:lang w:val="de-DE"/>
        </w:rPr>
      </w:pPr>
    </w:p>
    <w:p w14:paraId="572F000B" w14:textId="77777777" w:rsidR="00C055A4" w:rsidRPr="004676F5" w:rsidRDefault="00C055A4" w:rsidP="00340EAC">
      <w:pPr>
        <w:jc w:val="both"/>
        <w:rPr>
          <w:lang w:val="de-DE"/>
        </w:rPr>
      </w:pPr>
    </w:p>
    <w:p w14:paraId="69A19C99" w14:textId="3AA66225" w:rsidR="00C055A4" w:rsidRPr="004676F5" w:rsidRDefault="00C055A4" w:rsidP="00C055A4">
      <w:pPr>
        <w:jc w:val="both"/>
        <w:rPr>
          <w:lang w:val="de-DE"/>
        </w:rPr>
      </w:pPr>
      <w:r w:rsidRPr="004676F5">
        <w:rPr>
          <w:lang w:val="de-DE"/>
        </w:rPr>
        <w:tab/>
        <w:t>[</w:t>
      </w:r>
      <w:r w:rsidRPr="004676F5">
        <w:rPr>
          <w:b/>
          <w:bCs/>
          <w:lang w:val="de-DE"/>
        </w:rPr>
        <w:t>Art. XVII.1/1</w:t>
      </w:r>
      <w:r w:rsidRPr="004676F5">
        <w:rPr>
          <w:lang w:val="de-DE"/>
        </w:rPr>
        <w:t xml:space="preserve"> - § 1 - Die in Artikel</w:t>
      </w:r>
      <w:r w:rsidR="00A1199C">
        <w:rPr>
          <w:lang w:val="de-DE"/>
        </w:rPr>
        <w:t> </w:t>
      </w:r>
      <w:r w:rsidRPr="004676F5">
        <w:rPr>
          <w:lang w:val="de-DE"/>
        </w:rPr>
        <w:t>XVII.1 §</w:t>
      </w:r>
      <w:r w:rsidR="00A1199C">
        <w:rPr>
          <w:lang w:val="de-DE"/>
        </w:rPr>
        <w:t> </w:t>
      </w:r>
      <w:r w:rsidRPr="004676F5">
        <w:rPr>
          <w:lang w:val="de-DE"/>
        </w:rPr>
        <w:t>1 erwähnte Zulassung bleibt zeitlich unbegrenzt gültig. Sie kann jedoch vom Minister entzogen werden. Der Minister kann jederzeit überprüfen, ob die qualifizierte Einrichtung die in Artikel</w:t>
      </w:r>
      <w:r w:rsidR="00A1199C">
        <w:rPr>
          <w:lang w:val="de-DE"/>
        </w:rPr>
        <w:t> </w:t>
      </w:r>
      <w:r w:rsidRPr="004676F5">
        <w:rPr>
          <w:lang w:val="de-DE"/>
        </w:rPr>
        <w:t>XVII.1 §</w:t>
      </w:r>
      <w:r w:rsidR="00A1199C">
        <w:rPr>
          <w:lang w:val="de-DE"/>
        </w:rPr>
        <w:t> </w:t>
      </w:r>
      <w:r w:rsidRPr="004676F5">
        <w:rPr>
          <w:lang w:val="de-DE"/>
        </w:rPr>
        <w:t>1 erwähnten Kriterien noch einhält, und er tut dies zumindest in folgenden Fällen:</w:t>
      </w:r>
    </w:p>
    <w:p w14:paraId="78018B65" w14:textId="77777777" w:rsidR="00C055A4" w:rsidRPr="004676F5" w:rsidRDefault="00C055A4" w:rsidP="00C055A4">
      <w:pPr>
        <w:jc w:val="both"/>
        <w:rPr>
          <w:lang w:val="de-DE"/>
        </w:rPr>
      </w:pPr>
    </w:p>
    <w:p w14:paraId="6E4D9E85" w14:textId="42C751E8" w:rsidR="00C055A4" w:rsidRPr="004676F5" w:rsidRDefault="00C055A4" w:rsidP="00C055A4">
      <w:pPr>
        <w:jc w:val="both"/>
        <w:rPr>
          <w:lang w:val="de-DE"/>
        </w:rPr>
      </w:pPr>
      <w:r w:rsidRPr="004676F5">
        <w:rPr>
          <w:lang w:val="de-DE"/>
        </w:rPr>
        <w:tab/>
        <w:t>1. wenn der Richter, nachdem der Beklagte Bedenken hinsichtlich der Einhaltung dieser Kriterien geäußert hat, im Laufe des Verfahrens feststellt, dass die qualifizierte Einrichtung die in Artikel</w:t>
      </w:r>
      <w:r w:rsidR="00A1199C">
        <w:rPr>
          <w:lang w:val="de-DE"/>
        </w:rPr>
        <w:t> </w:t>
      </w:r>
      <w:r w:rsidRPr="004676F5">
        <w:rPr>
          <w:lang w:val="de-DE"/>
        </w:rPr>
        <w:t>XVII.1 §</w:t>
      </w:r>
      <w:r w:rsidR="00A1199C">
        <w:rPr>
          <w:lang w:val="de-DE"/>
        </w:rPr>
        <w:t> </w:t>
      </w:r>
      <w:r w:rsidRPr="004676F5">
        <w:rPr>
          <w:lang w:val="de-DE"/>
        </w:rPr>
        <w:t>1 erwähnten Kriterien nicht mehr einhält; in diesem Fall übermittelt die Kanzlei dem Minister eine Kopie,</w:t>
      </w:r>
    </w:p>
    <w:p w14:paraId="32C745D5" w14:textId="77777777" w:rsidR="00C055A4" w:rsidRPr="004676F5" w:rsidRDefault="00C055A4" w:rsidP="00C055A4">
      <w:pPr>
        <w:jc w:val="both"/>
        <w:rPr>
          <w:lang w:val="de-DE"/>
        </w:rPr>
      </w:pPr>
    </w:p>
    <w:p w14:paraId="21CEDD6A" w14:textId="4D5D9590" w:rsidR="00C055A4" w:rsidRPr="004676F5" w:rsidRDefault="00C055A4" w:rsidP="00C055A4">
      <w:pPr>
        <w:jc w:val="both"/>
        <w:rPr>
          <w:lang w:val="de-DE"/>
        </w:rPr>
      </w:pPr>
      <w:r w:rsidRPr="004676F5">
        <w:rPr>
          <w:lang w:val="de-DE"/>
        </w:rPr>
        <w:tab/>
        <w:t>2. wenn der Minister eine Mitteilung der Europäischen Kommission oder eines Mitgliedstaates der Europäischen Union oder des Europäischen Wirtschaftsraums erhält, in der Bedenken erhoben werden, ob die betreffende qualifizierte Einrichtung die in Artikel</w:t>
      </w:r>
      <w:r w:rsidR="00A1199C">
        <w:rPr>
          <w:lang w:val="de-DE"/>
        </w:rPr>
        <w:t> </w:t>
      </w:r>
      <w:r w:rsidRPr="004676F5">
        <w:rPr>
          <w:lang w:val="de-DE"/>
        </w:rPr>
        <w:t>XVII.1 §</w:t>
      </w:r>
      <w:r w:rsidR="00A1199C">
        <w:rPr>
          <w:lang w:val="de-DE"/>
        </w:rPr>
        <w:t> </w:t>
      </w:r>
      <w:r w:rsidRPr="004676F5">
        <w:rPr>
          <w:lang w:val="de-DE"/>
        </w:rPr>
        <w:t>1 erwähnten Kriterien einhält, und</w:t>
      </w:r>
    </w:p>
    <w:p w14:paraId="1810E79A" w14:textId="77777777" w:rsidR="00C055A4" w:rsidRPr="004676F5" w:rsidRDefault="00C055A4" w:rsidP="00C055A4">
      <w:pPr>
        <w:jc w:val="both"/>
        <w:rPr>
          <w:lang w:val="de-DE"/>
        </w:rPr>
      </w:pPr>
    </w:p>
    <w:p w14:paraId="5B91CC58" w14:textId="77777777" w:rsidR="00C055A4" w:rsidRPr="004676F5" w:rsidRDefault="00C055A4" w:rsidP="00C055A4">
      <w:pPr>
        <w:jc w:val="both"/>
        <w:rPr>
          <w:lang w:val="de-DE"/>
        </w:rPr>
      </w:pPr>
      <w:r w:rsidRPr="004676F5">
        <w:rPr>
          <w:lang w:val="de-DE"/>
        </w:rPr>
        <w:tab/>
        <w:t>3. in jedem Fall vor Ablauf eines Zeitraums von fünf Jahren ab dem Datum, an dem die Zulassung erteilt worden ist, oder ab dem letzten Datum, an dem eine solche Überprüfung stattgefunden hat.</w:t>
      </w:r>
    </w:p>
    <w:p w14:paraId="03593E2A" w14:textId="77777777" w:rsidR="00C055A4" w:rsidRPr="004676F5" w:rsidRDefault="00C055A4" w:rsidP="00C055A4">
      <w:pPr>
        <w:jc w:val="both"/>
        <w:rPr>
          <w:lang w:val="de-DE"/>
        </w:rPr>
      </w:pPr>
    </w:p>
    <w:p w14:paraId="11B27DD8" w14:textId="13FD3D5B" w:rsidR="00C055A4" w:rsidRPr="004676F5" w:rsidRDefault="00C055A4" w:rsidP="00C055A4">
      <w:pPr>
        <w:jc w:val="both"/>
        <w:rPr>
          <w:lang w:val="de-DE"/>
        </w:rPr>
      </w:pPr>
      <w:r w:rsidRPr="004676F5">
        <w:rPr>
          <w:lang w:val="de-DE"/>
        </w:rPr>
        <w:tab/>
        <w:t>Bei Entzug der Zulassung kann die qualifizierte Einrichtung einen neuen Antrag auf Zulassung beim Minister stellen, dem stattgegeben wird, wenn sie die in Artikel</w:t>
      </w:r>
      <w:r w:rsidR="00A1199C">
        <w:rPr>
          <w:lang w:val="de-DE"/>
        </w:rPr>
        <w:t> </w:t>
      </w:r>
      <w:r w:rsidRPr="004676F5">
        <w:rPr>
          <w:lang w:val="de-DE"/>
        </w:rPr>
        <w:t>XVII.1 §</w:t>
      </w:r>
      <w:r w:rsidR="00A1199C">
        <w:rPr>
          <w:lang w:val="de-DE"/>
        </w:rPr>
        <w:t> </w:t>
      </w:r>
      <w:r w:rsidRPr="004676F5">
        <w:rPr>
          <w:lang w:val="de-DE"/>
        </w:rPr>
        <w:t>1 erwähnten Kriterien einhält.</w:t>
      </w:r>
    </w:p>
    <w:p w14:paraId="07927DDF" w14:textId="77777777" w:rsidR="00C055A4" w:rsidRPr="004676F5" w:rsidRDefault="00C055A4" w:rsidP="00C055A4">
      <w:pPr>
        <w:jc w:val="both"/>
        <w:rPr>
          <w:lang w:val="de-DE"/>
        </w:rPr>
      </w:pPr>
    </w:p>
    <w:p w14:paraId="19F3828B" w14:textId="3DD0FA47" w:rsidR="00C055A4" w:rsidRPr="004676F5" w:rsidRDefault="00C055A4" w:rsidP="00C055A4">
      <w:pPr>
        <w:jc w:val="both"/>
        <w:rPr>
          <w:lang w:val="de-DE"/>
        </w:rPr>
      </w:pPr>
      <w:r w:rsidRPr="004676F5">
        <w:rPr>
          <w:lang w:val="de-DE"/>
        </w:rPr>
        <w:tab/>
        <w:t>§ 2 - Die in Artikel</w:t>
      </w:r>
      <w:r w:rsidR="00A1199C">
        <w:rPr>
          <w:lang w:val="de-DE"/>
        </w:rPr>
        <w:t> </w:t>
      </w:r>
      <w:r w:rsidRPr="004676F5">
        <w:rPr>
          <w:lang w:val="de-DE"/>
        </w:rPr>
        <w:t>XVII.1 §</w:t>
      </w:r>
      <w:r w:rsidR="00A1199C">
        <w:rPr>
          <w:lang w:val="de-DE"/>
        </w:rPr>
        <w:t> </w:t>
      </w:r>
      <w:r w:rsidRPr="004676F5">
        <w:rPr>
          <w:lang w:val="de-DE"/>
        </w:rPr>
        <w:t>4 erwähnte Zulassung bleibt zeitlich unbegrenzt gültig. Sie kann jedoch von dem für Mittelstand zuständigen Minister entzogen werden. Der für Mittelstand zuständige Minister kann jederzeit überprüfen, ob die juristische Person, deren satzungsmäßiger Zweck die Verteidigung der Kollektivinteressen von KMU ist, die in Artikel</w:t>
      </w:r>
      <w:r w:rsidR="00A1199C">
        <w:rPr>
          <w:lang w:val="de-DE"/>
        </w:rPr>
        <w:t> </w:t>
      </w:r>
      <w:r w:rsidRPr="004676F5">
        <w:rPr>
          <w:lang w:val="de-DE"/>
        </w:rPr>
        <w:t>XVII.1</w:t>
      </w:r>
      <w:r w:rsidR="00A1199C">
        <w:rPr>
          <w:lang w:val="de-DE"/>
        </w:rPr>
        <w:t> </w:t>
      </w:r>
      <w:r w:rsidRPr="004676F5">
        <w:rPr>
          <w:lang w:val="de-DE"/>
        </w:rPr>
        <w:t>§</w:t>
      </w:r>
      <w:r w:rsidR="00A1199C">
        <w:rPr>
          <w:lang w:val="de-DE"/>
        </w:rPr>
        <w:t> </w:t>
      </w:r>
      <w:r w:rsidRPr="004676F5">
        <w:rPr>
          <w:lang w:val="de-DE"/>
        </w:rPr>
        <w:t>4 erwähnten Kriterien noch einhält, und er tut dies zumindest in folgenden Fällen:</w:t>
      </w:r>
    </w:p>
    <w:p w14:paraId="2DE3E09E" w14:textId="77777777" w:rsidR="00C055A4" w:rsidRPr="004676F5" w:rsidRDefault="00C055A4" w:rsidP="00C055A4">
      <w:pPr>
        <w:jc w:val="both"/>
        <w:rPr>
          <w:lang w:val="de-DE"/>
        </w:rPr>
      </w:pPr>
    </w:p>
    <w:p w14:paraId="1A2CEA3D" w14:textId="41CEA43C" w:rsidR="00C055A4" w:rsidRPr="004676F5" w:rsidRDefault="00C055A4" w:rsidP="00C055A4">
      <w:pPr>
        <w:jc w:val="both"/>
        <w:rPr>
          <w:lang w:val="de-DE"/>
        </w:rPr>
      </w:pPr>
      <w:r w:rsidRPr="004676F5">
        <w:rPr>
          <w:lang w:val="de-DE"/>
        </w:rPr>
        <w:tab/>
        <w:t xml:space="preserve">1. wenn der Richter, nachdem der Beklagte Bedenken hinsichtlich der Einhaltung dieser Kriterien geäußert hat, im Laufe des Verfahrens feststellt, dass die juristische Person, deren </w:t>
      </w:r>
      <w:r w:rsidRPr="004676F5">
        <w:rPr>
          <w:lang w:val="de-DE"/>
        </w:rPr>
        <w:lastRenderedPageBreak/>
        <w:t>satzungsmäßiger Zweck die Verteidigung der Kollektivinteressen von KMU ist, die in Artikel</w:t>
      </w:r>
      <w:r w:rsidR="00A1199C">
        <w:rPr>
          <w:lang w:val="de-DE"/>
        </w:rPr>
        <w:t> </w:t>
      </w:r>
      <w:r w:rsidRPr="004676F5">
        <w:rPr>
          <w:lang w:val="de-DE"/>
        </w:rPr>
        <w:t>XVII.1 §</w:t>
      </w:r>
      <w:r w:rsidR="00A1199C">
        <w:rPr>
          <w:lang w:val="de-DE"/>
        </w:rPr>
        <w:t> </w:t>
      </w:r>
      <w:r w:rsidRPr="004676F5">
        <w:rPr>
          <w:lang w:val="de-DE"/>
        </w:rPr>
        <w:t>4 erwähnten Kriterien nicht mehr einhält; in diesem Fall übermittelt die Kanzlei dem für Mittelstand zuständigen Minister eine Kopie,</w:t>
      </w:r>
    </w:p>
    <w:p w14:paraId="4822DBA9" w14:textId="77777777" w:rsidR="00C055A4" w:rsidRPr="004676F5" w:rsidRDefault="00C055A4" w:rsidP="00C055A4">
      <w:pPr>
        <w:jc w:val="both"/>
        <w:rPr>
          <w:lang w:val="de-DE"/>
        </w:rPr>
      </w:pPr>
    </w:p>
    <w:p w14:paraId="7C51B064" w14:textId="77777777" w:rsidR="00C055A4" w:rsidRPr="004676F5" w:rsidRDefault="00C055A4" w:rsidP="00C055A4">
      <w:pPr>
        <w:jc w:val="both"/>
        <w:rPr>
          <w:lang w:val="de-DE"/>
        </w:rPr>
      </w:pPr>
      <w:r w:rsidRPr="004676F5">
        <w:rPr>
          <w:lang w:val="de-DE"/>
        </w:rPr>
        <w:tab/>
        <w:t>2. in jedem Fall vor Ablauf eines Zeitraums von fünf Jahren ab dem Datum, an dem die Zulassung erteilt worden ist, oder ab dem letzten Datum, an dem eine solche Überprüfung stattgefunden hat.</w:t>
      </w:r>
    </w:p>
    <w:p w14:paraId="64E8EFE6" w14:textId="77777777" w:rsidR="00C055A4" w:rsidRPr="004676F5" w:rsidRDefault="00C055A4" w:rsidP="00C055A4">
      <w:pPr>
        <w:jc w:val="both"/>
        <w:rPr>
          <w:lang w:val="de-DE"/>
        </w:rPr>
      </w:pPr>
    </w:p>
    <w:p w14:paraId="3D4BE540" w14:textId="4AD55FFF" w:rsidR="00C055A4" w:rsidRPr="004676F5" w:rsidRDefault="00C055A4" w:rsidP="00C055A4">
      <w:pPr>
        <w:jc w:val="both"/>
        <w:rPr>
          <w:lang w:val="de-DE"/>
        </w:rPr>
      </w:pPr>
      <w:r w:rsidRPr="004676F5">
        <w:rPr>
          <w:lang w:val="de-DE"/>
        </w:rPr>
        <w:tab/>
        <w:t>Bei Entzug der Zulassung kann die juristische Person, deren satzungsmäßiger Zweck die Verteidigung der Kollektivinteressen von KMU ist, einen neuen Antrag auf Zulassung bei dem für Mittelstand zuständigen Minister stellen, dem stattgegeben wird, wenn sie die in Artikel</w:t>
      </w:r>
      <w:r w:rsidR="00A1199C">
        <w:rPr>
          <w:lang w:val="de-DE"/>
        </w:rPr>
        <w:t> </w:t>
      </w:r>
      <w:r w:rsidRPr="004676F5">
        <w:rPr>
          <w:lang w:val="de-DE"/>
        </w:rPr>
        <w:t>XVII.1 §</w:t>
      </w:r>
      <w:r w:rsidR="00A1199C">
        <w:rPr>
          <w:lang w:val="de-DE"/>
        </w:rPr>
        <w:t> </w:t>
      </w:r>
      <w:r w:rsidRPr="004676F5">
        <w:rPr>
          <w:lang w:val="de-DE"/>
        </w:rPr>
        <w:t>4 erwähnten Kriterien einhält.]</w:t>
      </w:r>
    </w:p>
    <w:p w14:paraId="402D81D4" w14:textId="77777777" w:rsidR="00C055A4" w:rsidRPr="004676F5" w:rsidRDefault="00C055A4" w:rsidP="00340EAC">
      <w:pPr>
        <w:jc w:val="both"/>
        <w:rPr>
          <w:lang w:val="de-DE"/>
        </w:rPr>
      </w:pPr>
    </w:p>
    <w:p w14:paraId="7DB840D3" w14:textId="23C0570E" w:rsidR="00C055A4" w:rsidRPr="004676F5" w:rsidRDefault="00C055A4" w:rsidP="00C055A4">
      <w:pPr>
        <w:jc w:val="both"/>
        <w:rPr>
          <w:i/>
          <w:iCs/>
          <w:lang w:val="de-DE"/>
        </w:rPr>
      </w:pPr>
      <w:r w:rsidRPr="004676F5">
        <w:rPr>
          <w:i/>
          <w:iCs/>
          <w:lang w:val="de-DE"/>
        </w:rPr>
        <w:t>[Art. XVII.1/1 eingefügt durch Art. </w:t>
      </w:r>
      <w:r w:rsidR="00DB20D6" w:rsidRPr="004676F5">
        <w:rPr>
          <w:i/>
          <w:iCs/>
          <w:lang w:val="de-DE"/>
        </w:rPr>
        <w:t>9</w:t>
      </w:r>
      <w:r w:rsidRPr="004676F5">
        <w:rPr>
          <w:i/>
          <w:iCs/>
          <w:lang w:val="de-DE"/>
        </w:rPr>
        <w:t xml:space="preserve"> des G. vom 21. April 2024 (II) (B.S. vom 31. Mai 2024)]</w:t>
      </w:r>
    </w:p>
    <w:p w14:paraId="6C18E343" w14:textId="37767BBC" w:rsidR="00C055A4" w:rsidRPr="004676F5" w:rsidRDefault="00C055A4" w:rsidP="00340EAC">
      <w:pPr>
        <w:jc w:val="both"/>
        <w:rPr>
          <w:i/>
          <w:iCs/>
          <w:lang w:val="de-DE"/>
        </w:rPr>
      </w:pPr>
    </w:p>
    <w:p w14:paraId="1F4B96FE" w14:textId="77777777" w:rsidR="00DB20D6" w:rsidRPr="004676F5" w:rsidRDefault="00DB20D6" w:rsidP="00340EAC">
      <w:pPr>
        <w:jc w:val="both"/>
        <w:rPr>
          <w:i/>
          <w:iCs/>
          <w:lang w:val="de-DE"/>
        </w:rPr>
      </w:pPr>
    </w:p>
    <w:p w14:paraId="074A20CB" w14:textId="34AD76E9" w:rsidR="00DB20D6" w:rsidRPr="004676F5" w:rsidRDefault="00DB20D6" w:rsidP="00DB20D6">
      <w:pPr>
        <w:jc w:val="both"/>
        <w:rPr>
          <w:lang w:val="de-DE"/>
        </w:rPr>
      </w:pPr>
      <w:r w:rsidRPr="004676F5">
        <w:rPr>
          <w:lang w:val="de-DE"/>
        </w:rPr>
        <w:tab/>
        <w:t>[</w:t>
      </w:r>
      <w:r w:rsidRPr="004676F5">
        <w:rPr>
          <w:b/>
          <w:bCs/>
          <w:lang w:val="de-DE"/>
        </w:rPr>
        <w:t>Art. XVII.1/2</w:t>
      </w:r>
      <w:r w:rsidRPr="004676F5">
        <w:rPr>
          <w:lang w:val="de-DE"/>
        </w:rPr>
        <w:t xml:space="preserve"> - Der FÖD Wirtschaft erstellt ein Verzeichnis aller qualifizierten Einrichtungen, die in Belgien aufgrund von Artikel XVII.1 zugelassen sind, und veröffentlicht es auf seiner Website, wobei er zwischen qualifizierten Verbrauchereinrichtungen und qualifizierten KMU-Einrichtungen unterscheidet.</w:t>
      </w:r>
    </w:p>
    <w:p w14:paraId="41D8B87A" w14:textId="77777777" w:rsidR="00DB20D6" w:rsidRPr="004676F5" w:rsidRDefault="00DB20D6" w:rsidP="00DB20D6">
      <w:pPr>
        <w:jc w:val="both"/>
        <w:rPr>
          <w:lang w:val="de-DE"/>
        </w:rPr>
      </w:pPr>
    </w:p>
    <w:p w14:paraId="51EABA2B" w14:textId="4D54BCB3" w:rsidR="00DB20D6" w:rsidRPr="00463FA9" w:rsidRDefault="00DB20D6" w:rsidP="00DB20D6">
      <w:pPr>
        <w:jc w:val="both"/>
        <w:rPr>
          <w:spacing w:val="-4"/>
          <w:lang w:val="de-DE"/>
        </w:rPr>
      </w:pPr>
      <w:r w:rsidRPr="00463FA9">
        <w:rPr>
          <w:spacing w:val="-4"/>
          <w:lang w:val="de-DE"/>
        </w:rPr>
        <w:tab/>
        <w:t>Der Minister übermittelt der Europäischen Kommission das Verzeichnis der aufgrund von Artikel XVII.1 § 1 zugelassenen qualifizierten Verbrauchereinrichtungen, einschließlich ihres Namens und ihres satzungsmäßigen Zwecks, sowie eine aktualisierte Fassung des Verzeichnisses, wenn Änderungen vorgenommen werden. Das Verzeichnis enthält auch den Namen und die Kontaktdaten des Ministers, dem die Europäische Kommission oder ein anderer Mitgliedstaat der Europäischen Union oder des Europäischen Wirtschaftsraums Bedenken hinsichtlich der Einhaltung der in Artikel XVII.1 § 1 erwähnten Zulassungskriterien mitteilen kann.]</w:t>
      </w:r>
    </w:p>
    <w:p w14:paraId="296ABE94" w14:textId="77777777" w:rsidR="00DB20D6" w:rsidRPr="004676F5" w:rsidRDefault="00DB20D6" w:rsidP="00340EAC">
      <w:pPr>
        <w:jc w:val="both"/>
        <w:rPr>
          <w:lang w:val="de-DE"/>
        </w:rPr>
      </w:pPr>
    </w:p>
    <w:p w14:paraId="128BEE28" w14:textId="50CA6F73" w:rsidR="00DB20D6" w:rsidRPr="004676F5" w:rsidRDefault="00DB20D6" w:rsidP="00DB20D6">
      <w:pPr>
        <w:jc w:val="both"/>
        <w:rPr>
          <w:i/>
          <w:iCs/>
          <w:lang w:val="de-DE"/>
        </w:rPr>
      </w:pPr>
      <w:r w:rsidRPr="004676F5">
        <w:rPr>
          <w:i/>
          <w:iCs/>
          <w:lang w:val="de-DE"/>
        </w:rPr>
        <w:t>[Art. XVII.1/2 eingefügt durch Art. 10 des G. vom 21. April 2024 (II) (B.S. vom 31. Mai 2024)]</w:t>
      </w:r>
    </w:p>
    <w:p w14:paraId="3AEC33CC" w14:textId="77777777" w:rsidR="00DB20D6" w:rsidRPr="004676F5" w:rsidRDefault="00DB20D6" w:rsidP="00340EAC">
      <w:pPr>
        <w:jc w:val="both"/>
        <w:rPr>
          <w:lang w:val="de-DE"/>
        </w:rPr>
      </w:pPr>
    </w:p>
    <w:p w14:paraId="762FD70A" w14:textId="77777777" w:rsidR="00DB20D6" w:rsidRPr="004676F5" w:rsidRDefault="00DB20D6" w:rsidP="00340EAC">
      <w:pPr>
        <w:jc w:val="both"/>
        <w:rPr>
          <w:lang w:val="de-DE"/>
        </w:rPr>
      </w:pPr>
    </w:p>
    <w:p w14:paraId="25E17769" w14:textId="74E29E4C" w:rsidR="00DB20D6" w:rsidRPr="004676F5" w:rsidRDefault="00DB20D6" w:rsidP="00DB20D6">
      <w:pPr>
        <w:jc w:val="both"/>
        <w:rPr>
          <w:lang w:val="de-DE"/>
        </w:rPr>
      </w:pPr>
      <w:r w:rsidRPr="004676F5">
        <w:rPr>
          <w:lang w:val="de-DE"/>
        </w:rPr>
        <w:tab/>
        <w:t>[</w:t>
      </w:r>
      <w:r w:rsidRPr="004676F5">
        <w:rPr>
          <w:b/>
          <w:bCs/>
          <w:lang w:val="de-DE"/>
        </w:rPr>
        <w:t xml:space="preserve">Art. XVII.1/3 </w:t>
      </w:r>
      <w:r w:rsidRPr="004676F5">
        <w:rPr>
          <w:lang w:val="de-DE"/>
        </w:rPr>
        <w:t>- In Artikel XVII.1 §§ 1 und 3 erwähnte qualifizierte Verbrauchereinrichtungen und in Artikel XVII.1 §§ 4 bis 6 erwähnte qualifizierte KMU-Einrichtungen machen auf ihrer Website in einer für alle leicht zugänglichen Weise klare, vollständige und verständliche Angaben über:</w:t>
      </w:r>
    </w:p>
    <w:p w14:paraId="55AEC3B8" w14:textId="77777777" w:rsidR="00DB20D6" w:rsidRPr="004676F5" w:rsidRDefault="00DB20D6" w:rsidP="00DB20D6">
      <w:pPr>
        <w:jc w:val="both"/>
        <w:rPr>
          <w:lang w:val="de-DE"/>
        </w:rPr>
      </w:pPr>
    </w:p>
    <w:p w14:paraId="2C975C1C" w14:textId="39FE8945" w:rsidR="00DB20D6" w:rsidRPr="004676F5" w:rsidRDefault="00DB20D6" w:rsidP="00DB20D6">
      <w:pPr>
        <w:jc w:val="both"/>
        <w:rPr>
          <w:lang w:val="de-DE"/>
        </w:rPr>
      </w:pPr>
      <w:r w:rsidRPr="004676F5">
        <w:rPr>
          <w:lang w:val="de-DE"/>
        </w:rPr>
        <w:tab/>
        <w:t>1. die in den Titeln</w:t>
      </w:r>
      <w:r w:rsidR="00A1199C">
        <w:rPr>
          <w:lang w:val="de-DE"/>
        </w:rPr>
        <w:t> </w:t>
      </w:r>
      <w:r w:rsidRPr="004676F5">
        <w:rPr>
          <w:lang w:val="de-DE"/>
        </w:rPr>
        <w:t>1 und 2 erwähnten Klagen, die sie bei belgischen Gerichten und ausländischen Gerichten und Behörden erhoben haben,</w:t>
      </w:r>
    </w:p>
    <w:p w14:paraId="45B57816" w14:textId="77777777" w:rsidR="00DB20D6" w:rsidRPr="004676F5" w:rsidRDefault="00DB20D6" w:rsidP="00DB20D6">
      <w:pPr>
        <w:jc w:val="both"/>
        <w:rPr>
          <w:lang w:val="de-DE"/>
        </w:rPr>
      </w:pPr>
    </w:p>
    <w:p w14:paraId="5DCCBCA2" w14:textId="77777777" w:rsidR="00DB20D6" w:rsidRPr="004676F5" w:rsidRDefault="00DB20D6" w:rsidP="00DB20D6">
      <w:pPr>
        <w:jc w:val="both"/>
        <w:rPr>
          <w:lang w:val="de-DE"/>
        </w:rPr>
      </w:pPr>
      <w:r w:rsidRPr="004676F5">
        <w:rPr>
          <w:lang w:val="de-DE"/>
        </w:rPr>
        <w:tab/>
        <w:t>2. den Stand der bereits erhobenen Klagen und</w:t>
      </w:r>
    </w:p>
    <w:p w14:paraId="126D6820" w14:textId="77777777" w:rsidR="00DB20D6" w:rsidRPr="004676F5" w:rsidRDefault="00DB20D6" w:rsidP="00DB20D6">
      <w:pPr>
        <w:jc w:val="both"/>
        <w:rPr>
          <w:lang w:val="de-DE"/>
        </w:rPr>
      </w:pPr>
    </w:p>
    <w:p w14:paraId="0A403BDD" w14:textId="77777777" w:rsidR="00DB20D6" w:rsidRPr="004676F5" w:rsidRDefault="00DB20D6" w:rsidP="00DB20D6">
      <w:pPr>
        <w:jc w:val="both"/>
        <w:rPr>
          <w:lang w:val="de-DE"/>
        </w:rPr>
      </w:pPr>
      <w:r w:rsidRPr="004676F5">
        <w:rPr>
          <w:lang w:val="de-DE"/>
        </w:rPr>
        <w:tab/>
        <w:t>3. die Ergebnisse der in Nr. 1 erwähnten Klagen.</w:t>
      </w:r>
    </w:p>
    <w:p w14:paraId="5D455584" w14:textId="77777777" w:rsidR="00DB20D6" w:rsidRPr="004676F5" w:rsidRDefault="00DB20D6" w:rsidP="00DB20D6">
      <w:pPr>
        <w:jc w:val="both"/>
        <w:rPr>
          <w:lang w:val="de-DE"/>
        </w:rPr>
      </w:pPr>
    </w:p>
    <w:p w14:paraId="218FB600" w14:textId="2CBBBB16" w:rsidR="00DB20D6" w:rsidRPr="004676F5" w:rsidRDefault="00DB20D6" w:rsidP="00DB20D6">
      <w:pPr>
        <w:jc w:val="both"/>
        <w:rPr>
          <w:lang w:val="de-DE"/>
        </w:rPr>
      </w:pPr>
      <w:r w:rsidRPr="004676F5">
        <w:rPr>
          <w:lang w:val="de-DE"/>
        </w:rPr>
        <w:tab/>
        <w:t>In Artikel XVII.1</w:t>
      </w:r>
      <w:r w:rsidR="00A1199C">
        <w:rPr>
          <w:lang w:val="de-DE"/>
        </w:rPr>
        <w:t> </w:t>
      </w:r>
      <w:r w:rsidRPr="004676F5">
        <w:rPr>
          <w:lang w:val="de-DE"/>
        </w:rPr>
        <w:t>§§ 1 und 3 erwähnte qualifizierte Verbrauchereinrichtungen und in Artikel XVII.1</w:t>
      </w:r>
      <w:r w:rsidR="00A1199C">
        <w:rPr>
          <w:lang w:val="de-DE"/>
        </w:rPr>
        <w:t> </w:t>
      </w:r>
      <w:r w:rsidRPr="004676F5">
        <w:rPr>
          <w:lang w:val="de-DE"/>
        </w:rPr>
        <w:t>§§ 4 bis 6 erwähnte qualifizierte KMU-Einrichtungen sorgen dafür, dass diese Angaben auf ihrer Website mindestens fünf Jahre nach Abschluss des betreffenden Gerichtsverfahrens für alle zugänglich bleiben.]</w:t>
      </w:r>
    </w:p>
    <w:p w14:paraId="13281CF5" w14:textId="77777777" w:rsidR="00DB20D6" w:rsidRPr="004676F5" w:rsidRDefault="00DB20D6" w:rsidP="00340EAC">
      <w:pPr>
        <w:jc w:val="both"/>
        <w:rPr>
          <w:lang w:val="de-DE"/>
        </w:rPr>
      </w:pPr>
    </w:p>
    <w:p w14:paraId="6A067A14" w14:textId="77777777" w:rsidR="006A1338" w:rsidRDefault="00DB20D6" w:rsidP="006A1338">
      <w:pPr>
        <w:jc w:val="both"/>
        <w:rPr>
          <w:i/>
          <w:iCs/>
          <w:lang w:val="de-DE"/>
        </w:rPr>
      </w:pPr>
      <w:r w:rsidRPr="004676F5">
        <w:rPr>
          <w:i/>
          <w:iCs/>
          <w:lang w:val="de-DE"/>
        </w:rPr>
        <w:t>[Art. XVII.1/3 eingefügt durch Art. 11 des G. vom 21. April 2024 (II) (B.S. vom 31. Mai 2024)]</w:t>
      </w:r>
    </w:p>
    <w:p w14:paraId="2687F5EE" w14:textId="15863779" w:rsidR="00340EAC" w:rsidRPr="006A1338" w:rsidRDefault="00340EAC" w:rsidP="006A1338">
      <w:pPr>
        <w:jc w:val="center"/>
        <w:rPr>
          <w:i/>
          <w:iCs/>
          <w:lang w:val="de-DE"/>
        </w:rPr>
      </w:pPr>
      <w:r w:rsidRPr="004676F5">
        <w:rPr>
          <w:b/>
          <w:lang w:val="de-DE"/>
        </w:rPr>
        <w:lastRenderedPageBreak/>
        <w:t>TITEL 1 </w:t>
      </w:r>
      <w:r w:rsidR="005B7A5C" w:rsidRPr="004676F5">
        <w:rPr>
          <w:b/>
          <w:lang w:val="de-DE"/>
        </w:rPr>
        <w:t>- </w:t>
      </w:r>
      <w:r w:rsidRPr="004676F5">
        <w:rPr>
          <w:b/>
          <w:i/>
          <w:lang w:val="de-DE"/>
        </w:rPr>
        <w:t>Unterlassungsklage</w:t>
      </w:r>
    </w:p>
    <w:p w14:paraId="48F27783" w14:textId="77777777" w:rsidR="00E80E03" w:rsidRPr="004676F5" w:rsidRDefault="00E80E03" w:rsidP="00340EAC">
      <w:pPr>
        <w:jc w:val="both"/>
        <w:rPr>
          <w:lang w:val="de-DE"/>
        </w:rPr>
      </w:pPr>
    </w:p>
    <w:p w14:paraId="18DFC471" w14:textId="77777777" w:rsidR="00E80E03" w:rsidRPr="004676F5" w:rsidRDefault="00E80E03" w:rsidP="00340EAC">
      <w:pPr>
        <w:jc w:val="both"/>
        <w:rPr>
          <w:lang w:val="de-DE"/>
        </w:rPr>
      </w:pPr>
    </w:p>
    <w:p w14:paraId="5B7FF373" w14:textId="5DA76C6E" w:rsidR="00340EAC" w:rsidRPr="004676F5" w:rsidRDefault="00340EAC" w:rsidP="00340EAC">
      <w:pPr>
        <w:jc w:val="center"/>
        <w:rPr>
          <w:lang w:val="de-DE"/>
        </w:rPr>
      </w:pPr>
      <w:r w:rsidRPr="004676F5">
        <w:rPr>
          <w:lang w:val="de-DE"/>
        </w:rPr>
        <w:t>KAPITEL 1 </w:t>
      </w:r>
      <w:r w:rsidR="005B7A5C" w:rsidRPr="004676F5">
        <w:rPr>
          <w:lang w:val="de-DE"/>
        </w:rPr>
        <w:t>- </w:t>
      </w:r>
      <w:r w:rsidRPr="004676F5">
        <w:rPr>
          <w:i/>
          <w:lang w:val="de-DE"/>
        </w:rPr>
        <w:t>Allgemeine Bestimmungen</w:t>
      </w:r>
    </w:p>
    <w:p w14:paraId="56AB58CB" w14:textId="77777777" w:rsidR="0060660F" w:rsidRPr="004676F5" w:rsidRDefault="0060660F" w:rsidP="0060660F">
      <w:pPr>
        <w:jc w:val="both"/>
        <w:rPr>
          <w:lang w:val="de-DE"/>
        </w:rPr>
      </w:pPr>
    </w:p>
    <w:p w14:paraId="067A51AB" w14:textId="77777777" w:rsidR="00E80E03" w:rsidRPr="004676F5" w:rsidRDefault="00E80E03" w:rsidP="0060660F">
      <w:pPr>
        <w:jc w:val="both"/>
        <w:rPr>
          <w:lang w:val="de-DE"/>
        </w:rPr>
      </w:pPr>
    </w:p>
    <w:p w14:paraId="353395DF" w14:textId="4123714B" w:rsidR="00547C54" w:rsidRPr="004676F5" w:rsidRDefault="00D252ED" w:rsidP="00515C51">
      <w:pPr>
        <w:jc w:val="both"/>
        <w:rPr>
          <w:lang w:val="de-DE"/>
        </w:rPr>
      </w:pPr>
      <w:r w:rsidRPr="004676F5">
        <w:rPr>
          <w:lang w:val="de-DE"/>
        </w:rPr>
        <w:tab/>
      </w:r>
      <w:r w:rsidR="0060660F" w:rsidRPr="004676F5">
        <w:rPr>
          <w:lang w:val="de-DE"/>
        </w:rPr>
        <w:t>[</w:t>
      </w:r>
      <w:r w:rsidR="004E7883" w:rsidRPr="004676F5">
        <w:rPr>
          <w:lang w:val="de-DE"/>
        </w:rPr>
        <w:t>[</w:t>
      </w:r>
      <w:r w:rsidR="004E7883" w:rsidRPr="004676F5">
        <w:rPr>
          <w:b/>
          <w:bCs/>
          <w:lang w:val="de-DE"/>
        </w:rPr>
        <w:t>XVII.1/4</w:t>
      </w:r>
      <w:r w:rsidR="004E7883" w:rsidRPr="004676F5">
        <w:rPr>
          <w:bCs/>
          <w:lang w:val="de-DE"/>
        </w:rPr>
        <w:t>]</w:t>
      </w:r>
      <w:r w:rsidR="0060660F" w:rsidRPr="004676F5">
        <w:rPr>
          <w:lang w:val="de-DE"/>
        </w:rPr>
        <w:t> </w:t>
      </w:r>
      <w:r w:rsidR="005B7A5C" w:rsidRPr="004676F5">
        <w:rPr>
          <w:lang w:val="de-DE"/>
        </w:rPr>
        <w:t>- </w:t>
      </w:r>
      <w:r w:rsidR="00515C51" w:rsidRPr="004676F5">
        <w:rPr>
          <w:lang w:val="de-DE"/>
        </w:rPr>
        <w:t>[Vorbehaltlich der den Büchern VI, XI und XII eigenen Sonderbestim</w:t>
      </w:r>
      <w:r w:rsidR="00515C51" w:rsidRPr="004676F5">
        <w:rPr>
          <w:lang w:val="de-DE"/>
        </w:rPr>
        <w:softHyphen/>
        <w:t>mungen, die in den Kapiteln 3, 4 und 5 des vorliegenden Titels erwähnt sind, stellt der Präsident des Unternehmensgerichts das Bestehen einer selbst strafrechtlich geahndeten Handlung fest und ordnet ihre Unterlassung an, wenn sie gegen die Bestimmungen des vorliegenden Gesetzbuches</w:t>
      </w:r>
      <w:r w:rsidR="00885A31" w:rsidRPr="004676F5">
        <w:rPr>
          <w:lang w:val="de-DE"/>
        </w:rPr>
        <w:t>[, seiner Ausführungserlasse und der Verordnungen der Europäischen Union, für die im vorliegenden Gesetzbuch Sanktionen vorgesehen sind,]</w:t>
      </w:r>
      <w:r w:rsidR="00515C51" w:rsidRPr="004676F5">
        <w:rPr>
          <w:lang w:val="de-DE"/>
        </w:rPr>
        <w:t xml:space="preserve"> verstößt.]</w:t>
      </w:r>
      <w:r w:rsidR="00AF631D" w:rsidRPr="004676F5">
        <w:rPr>
          <w:lang w:val="de-DE"/>
        </w:rPr>
        <w:t>]</w:t>
      </w:r>
    </w:p>
    <w:p w14:paraId="12B68CED" w14:textId="77777777" w:rsidR="00C94CBB" w:rsidRPr="004676F5" w:rsidRDefault="00C94CBB" w:rsidP="00515C51">
      <w:pPr>
        <w:jc w:val="both"/>
        <w:rPr>
          <w:lang w:val="de-DE"/>
        </w:rPr>
      </w:pPr>
    </w:p>
    <w:p w14:paraId="13D1C473" w14:textId="77777777" w:rsidR="00C94CBB" w:rsidRPr="004676F5" w:rsidRDefault="00C94CBB" w:rsidP="00C94CBB">
      <w:pPr>
        <w:jc w:val="both"/>
        <w:rPr>
          <w:lang w:val="de-DE"/>
        </w:rPr>
      </w:pPr>
      <w:r w:rsidRPr="004676F5">
        <w:rPr>
          <w:lang w:val="de-DE"/>
        </w:rPr>
        <w:tab/>
        <w:t>[Der Präsident des Unternehmensgerichts erkennt auch über nationale Unterlassungsklagen zum Schutz der Kollektivinteressen von Verbrauchern oder KMU. Er stellt das Bestehen einer Handlung fest und ordnet ihre Unterlassung an, wenn sie gegen die in Artikel XVII.37 erwähnten Bestimmungen verstößt.</w:t>
      </w:r>
    </w:p>
    <w:p w14:paraId="716A2D5E" w14:textId="77777777" w:rsidR="00C94CBB" w:rsidRPr="004676F5" w:rsidRDefault="00C94CBB" w:rsidP="00C94CBB">
      <w:pPr>
        <w:jc w:val="both"/>
        <w:rPr>
          <w:lang w:val="de-DE"/>
        </w:rPr>
      </w:pPr>
    </w:p>
    <w:p w14:paraId="0D334F14" w14:textId="115B54D4" w:rsidR="00C94CBB" w:rsidRPr="004676F5" w:rsidRDefault="00C94CBB" w:rsidP="00C94CBB">
      <w:pPr>
        <w:jc w:val="both"/>
        <w:rPr>
          <w:lang w:val="de-DE"/>
        </w:rPr>
      </w:pPr>
      <w:r w:rsidRPr="004676F5">
        <w:rPr>
          <w:lang w:val="de-DE"/>
        </w:rPr>
        <w:tab/>
        <w:t>Der Präsident des Unternehmensgerichts von Brüssel ist zuständig, um über grenzüberschreitende Unterlassungsklagen zum Schutz der Kollektivinteressen von Verbrauchern oder KMU zu erkennen. Er stellt das Bestehen einer Handlung fest und ordnet ihre Unterlassung an, wenn sie gegen die in Absatz 2 erwähnten Bestimmungen verstößt.]</w:t>
      </w:r>
    </w:p>
    <w:p w14:paraId="1709670D" w14:textId="77777777" w:rsidR="00D252ED" w:rsidRPr="004676F5" w:rsidRDefault="00D252ED" w:rsidP="0060660F">
      <w:pPr>
        <w:jc w:val="both"/>
        <w:rPr>
          <w:lang w:val="de-DE"/>
        </w:rPr>
      </w:pPr>
    </w:p>
    <w:p w14:paraId="5EC32BCC" w14:textId="729A4E79" w:rsidR="00D252ED" w:rsidRPr="004676F5" w:rsidRDefault="00D252ED" w:rsidP="0060660F">
      <w:pPr>
        <w:jc w:val="both"/>
        <w:rPr>
          <w:lang w:val="de-DE"/>
        </w:rPr>
      </w:pPr>
      <w:r w:rsidRPr="004676F5">
        <w:rPr>
          <w:i/>
          <w:lang w:val="de-DE"/>
        </w:rPr>
        <w:t>[</w:t>
      </w:r>
      <w:r w:rsidR="00C94CBB" w:rsidRPr="004676F5">
        <w:rPr>
          <w:i/>
          <w:lang w:val="de-DE"/>
        </w:rPr>
        <w:t>Früherer Artikel </w:t>
      </w:r>
      <w:r w:rsidRPr="004676F5">
        <w:rPr>
          <w:i/>
          <w:lang w:val="de-DE"/>
        </w:rPr>
        <w:t xml:space="preserve">XVII.1 eingefügt durch </w:t>
      </w:r>
      <w:r w:rsidR="00BE0A56" w:rsidRPr="004676F5">
        <w:rPr>
          <w:i/>
          <w:lang w:val="de-DE"/>
        </w:rPr>
        <w:t>Art. </w:t>
      </w:r>
      <w:r w:rsidRPr="004676F5">
        <w:rPr>
          <w:i/>
          <w:lang w:val="de-DE"/>
        </w:rPr>
        <w:t>2 des G</w:t>
      </w:r>
      <w:r w:rsidR="002B2B70" w:rsidRPr="004676F5">
        <w:rPr>
          <w:i/>
          <w:lang w:val="de-DE"/>
        </w:rPr>
        <w:t>. vom 26. Dezember 2013 </w:t>
      </w:r>
      <w:r w:rsidRPr="004676F5">
        <w:rPr>
          <w:i/>
          <w:lang w:val="de-DE"/>
        </w:rPr>
        <w:t>(III) (B.S. vom 28. Januar 2014</w:t>
      </w:r>
      <w:r w:rsidR="00547C54" w:rsidRPr="004676F5">
        <w:rPr>
          <w:i/>
          <w:lang w:val="de-DE"/>
        </w:rPr>
        <w:t>)</w:t>
      </w:r>
      <w:r w:rsidR="00885A31" w:rsidRPr="004676F5">
        <w:rPr>
          <w:i/>
          <w:lang w:val="de-DE"/>
        </w:rPr>
        <w:t>,</w:t>
      </w:r>
      <w:r w:rsidR="00515C51" w:rsidRPr="004676F5">
        <w:rPr>
          <w:i/>
          <w:lang w:val="de-DE"/>
        </w:rPr>
        <w:t xml:space="preserve"> ersetzt durch Art. 211 des G. vom 15. April 2018 (B.S. vom 27. April 2018)</w:t>
      </w:r>
      <w:r w:rsidR="0058595D">
        <w:rPr>
          <w:i/>
          <w:lang w:val="de-DE"/>
        </w:rPr>
        <w:t xml:space="preserve"> </w:t>
      </w:r>
      <w:r w:rsidR="00C94CBB" w:rsidRPr="004676F5">
        <w:rPr>
          <w:i/>
          <w:lang w:val="de-DE"/>
        </w:rPr>
        <w:t xml:space="preserve">und umnummeriert zu Art. XVII.1/4 </w:t>
      </w:r>
      <w:r w:rsidR="00C94CBB" w:rsidRPr="004676F5">
        <w:rPr>
          <w:i/>
          <w:iCs/>
          <w:lang w:val="de-DE"/>
        </w:rPr>
        <w:t xml:space="preserve">durch Art. 12 Nr. 1 des G. vom 21. April 2024 (II) (B.S. vom 31. Mai 2024); </w:t>
      </w:r>
      <w:r w:rsidR="0058595D">
        <w:rPr>
          <w:i/>
          <w:iCs/>
          <w:lang w:val="de-DE"/>
        </w:rPr>
        <w:t xml:space="preserve">Abs. 1 </w:t>
      </w:r>
      <w:r w:rsidR="0058595D" w:rsidRPr="004676F5">
        <w:rPr>
          <w:i/>
          <w:lang w:val="de-DE"/>
        </w:rPr>
        <w:t>abgeändert durch Art. 38 des G. vom 2. Mai 2019 (IV) (B.S. vom 22. Mai 2019)</w:t>
      </w:r>
      <w:r w:rsidR="0058595D">
        <w:rPr>
          <w:i/>
          <w:lang w:val="de-DE"/>
        </w:rPr>
        <w:t xml:space="preserve">; </w:t>
      </w:r>
      <w:r w:rsidR="00C94CBB" w:rsidRPr="004676F5">
        <w:rPr>
          <w:i/>
          <w:iCs/>
          <w:lang w:val="de-DE"/>
        </w:rPr>
        <w:t>Abs. 2 und 3 eingefügt durch Art. 12 Nr. 2 des G. vom 21. April 2024 (II) (B.S. vom 31. Mai 2024)</w:t>
      </w:r>
      <w:r w:rsidRPr="004676F5">
        <w:rPr>
          <w:i/>
          <w:lang w:val="de-DE"/>
        </w:rPr>
        <w:t>]</w:t>
      </w:r>
    </w:p>
    <w:p w14:paraId="0074154B" w14:textId="77777777" w:rsidR="00B6155A" w:rsidRPr="004676F5" w:rsidRDefault="00B6155A" w:rsidP="0060660F">
      <w:pPr>
        <w:jc w:val="both"/>
        <w:rPr>
          <w:lang w:val="de-DE"/>
        </w:rPr>
      </w:pPr>
    </w:p>
    <w:p w14:paraId="00618C1B" w14:textId="77777777" w:rsidR="00B6155A" w:rsidRPr="004676F5" w:rsidRDefault="00B6155A" w:rsidP="0060660F">
      <w:pPr>
        <w:jc w:val="both"/>
        <w:rPr>
          <w:lang w:val="de-DE"/>
        </w:rPr>
      </w:pPr>
    </w:p>
    <w:p w14:paraId="3948A195" w14:textId="1080766A" w:rsidR="00B6155A" w:rsidRPr="004676F5" w:rsidRDefault="00B6155A" w:rsidP="00B6155A">
      <w:pPr>
        <w:jc w:val="both"/>
        <w:rPr>
          <w:lang w:val="de-DE"/>
        </w:rPr>
      </w:pPr>
      <w:r w:rsidRPr="004676F5">
        <w:rPr>
          <w:lang w:val="de-DE"/>
        </w:rPr>
        <w:tab/>
        <w:t>[</w:t>
      </w:r>
      <w:r w:rsidR="00BE0A56" w:rsidRPr="004676F5">
        <w:rPr>
          <w:b/>
          <w:lang w:val="de-DE"/>
        </w:rPr>
        <w:t>Art. </w:t>
      </w:r>
      <w:r w:rsidRPr="004676F5">
        <w:rPr>
          <w:b/>
          <w:lang w:val="de-DE"/>
        </w:rPr>
        <w:t>XVII.2</w:t>
      </w:r>
      <w:r w:rsidRPr="004676F5">
        <w:rPr>
          <w:lang w:val="de-DE"/>
        </w:rPr>
        <w:t> </w:t>
      </w:r>
      <w:r w:rsidR="005B7A5C" w:rsidRPr="004676F5">
        <w:rPr>
          <w:lang w:val="de-DE"/>
        </w:rPr>
        <w:t>- </w:t>
      </w:r>
      <w:r w:rsidRPr="004676F5">
        <w:rPr>
          <w:lang w:val="de-DE"/>
        </w:rPr>
        <w:t xml:space="preserve">Der Präsident des </w:t>
      </w:r>
      <w:r w:rsidR="003F5E25" w:rsidRPr="004676F5">
        <w:rPr>
          <w:lang w:val="de-DE"/>
        </w:rPr>
        <w:t xml:space="preserve">[Unternehmensgerichts] </w:t>
      </w:r>
      <w:r w:rsidRPr="004676F5">
        <w:rPr>
          <w:lang w:val="de-DE"/>
        </w:rPr>
        <w:t>stellt ebenfalls das Bestehen der weiter unten erwähnten Verstöße fest und ordnet ebenfalls ihre Unterlassung an:</w:t>
      </w:r>
    </w:p>
    <w:p w14:paraId="326B91D4" w14:textId="77777777" w:rsidR="00B6155A" w:rsidRPr="004676F5" w:rsidRDefault="00B6155A" w:rsidP="00B6155A">
      <w:pPr>
        <w:jc w:val="both"/>
        <w:rPr>
          <w:lang w:val="de-DE"/>
        </w:rPr>
      </w:pPr>
    </w:p>
    <w:p w14:paraId="63C64509" w14:textId="77777777" w:rsidR="00B6155A" w:rsidRPr="004676F5" w:rsidRDefault="00B6155A" w:rsidP="00B6155A">
      <w:pPr>
        <w:jc w:val="both"/>
        <w:rPr>
          <w:lang w:val="de-DE"/>
        </w:rPr>
      </w:pPr>
      <w:r w:rsidRPr="004676F5">
        <w:rPr>
          <w:lang w:val="de-DE"/>
        </w:rPr>
        <w:tab/>
        <w:t>1. Ausübung einer Tätigkeit unter Verkennung der Bestimmungen von Buch III des vorliegenden Gesetzbuches,</w:t>
      </w:r>
    </w:p>
    <w:p w14:paraId="48534E00" w14:textId="77777777" w:rsidR="00B6155A" w:rsidRPr="004676F5" w:rsidRDefault="00B6155A" w:rsidP="00B6155A">
      <w:pPr>
        <w:jc w:val="both"/>
        <w:rPr>
          <w:lang w:val="de-DE"/>
        </w:rPr>
      </w:pPr>
    </w:p>
    <w:p w14:paraId="3EE426C6" w14:textId="08D59A69" w:rsidR="00B6155A" w:rsidRPr="004676F5" w:rsidRDefault="00B6155A" w:rsidP="00B6155A">
      <w:pPr>
        <w:jc w:val="both"/>
        <w:rPr>
          <w:lang w:val="de-DE"/>
        </w:rPr>
      </w:pPr>
      <w:r w:rsidRPr="004676F5">
        <w:rPr>
          <w:lang w:val="de-DE"/>
        </w:rPr>
        <w:tab/>
        <w:t>2. Nichteinhaltung der Gesetzes</w:t>
      </w:r>
      <w:r w:rsidR="005B7A5C" w:rsidRPr="004676F5">
        <w:rPr>
          <w:lang w:val="de-DE"/>
        </w:rPr>
        <w:t>- </w:t>
      </w:r>
      <w:r w:rsidRPr="004676F5">
        <w:rPr>
          <w:lang w:val="de-DE"/>
        </w:rPr>
        <w:t>und Verordnungsbestimmungen über die Führung der Sozialdokumente und die Anwendung der Mehrwertsteuer,</w:t>
      </w:r>
    </w:p>
    <w:p w14:paraId="51B04C6D" w14:textId="77777777" w:rsidR="00B6155A" w:rsidRPr="004676F5" w:rsidRDefault="00B6155A" w:rsidP="00B6155A">
      <w:pPr>
        <w:jc w:val="both"/>
        <w:rPr>
          <w:lang w:val="de-DE"/>
        </w:rPr>
      </w:pPr>
    </w:p>
    <w:p w14:paraId="7370CAE9" w14:textId="77777777" w:rsidR="00B6155A" w:rsidRPr="004676F5" w:rsidRDefault="00B6155A" w:rsidP="00B6155A">
      <w:pPr>
        <w:jc w:val="both"/>
        <w:rPr>
          <w:lang w:val="de-DE"/>
        </w:rPr>
      </w:pPr>
      <w:r w:rsidRPr="004676F5">
        <w:rPr>
          <w:lang w:val="de-DE"/>
        </w:rPr>
        <w:tab/>
        <w:t>3. Beschäftigung von Arbeitnehmern, ohne beim Landesamt für soziale Sicherheit eingetragen zu sein, ohne die erforderlichen Erklärungen eingereicht zu haben oder ohne die Beiträge, Beitragszuschläge oder Aufschubzinsen zu zahlen,</w:t>
      </w:r>
    </w:p>
    <w:p w14:paraId="49253A44" w14:textId="77777777" w:rsidR="00B6155A" w:rsidRPr="004676F5" w:rsidRDefault="00B6155A" w:rsidP="00B6155A">
      <w:pPr>
        <w:jc w:val="both"/>
        <w:rPr>
          <w:lang w:val="de-DE"/>
        </w:rPr>
      </w:pPr>
    </w:p>
    <w:p w14:paraId="343912A7" w14:textId="77777777" w:rsidR="00B6155A" w:rsidRPr="004676F5" w:rsidRDefault="00B6155A" w:rsidP="00B6155A">
      <w:pPr>
        <w:jc w:val="both"/>
        <w:rPr>
          <w:lang w:val="de-DE"/>
        </w:rPr>
      </w:pPr>
      <w:r w:rsidRPr="004676F5">
        <w:rPr>
          <w:lang w:val="de-DE"/>
        </w:rPr>
        <w:tab/>
        <w:t>4. Beschäftigung von Arbeitnehmern und Einsatz von Arbeitnehmern unter Verstoß gegen die Vorschriften über zeitweilige Arbeit, Zeitarbeit und Arbeitnehmerüberlassung,</w:t>
      </w:r>
    </w:p>
    <w:p w14:paraId="0C8D633E" w14:textId="77777777" w:rsidR="00B6155A" w:rsidRPr="004676F5" w:rsidRDefault="00B6155A" w:rsidP="00B6155A">
      <w:pPr>
        <w:jc w:val="both"/>
        <w:rPr>
          <w:lang w:val="de-DE"/>
        </w:rPr>
      </w:pPr>
    </w:p>
    <w:p w14:paraId="2724FB72" w14:textId="77777777" w:rsidR="00B6155A" w:rsidRPr="004676F5" w:rsidRDefault="00B6155A" w:rsidP="00B6155A">
      <w:pPr>
        <w:jc w:val="both"/>
        <w:rPr>
          <w:lang w:val="de-DE"/>
        </w:rPr>
      </w:pPr>
      <w:r w:rsidRPr="004676F5">
        <w:rPr>
          <w:lang w:val="de-DE"/>
        </w:rPr>
        <w:tab/>
        <w:t>5. Nichteinhaltung der für allgemein verbindlich erklärten kollektiven Arbeits</w:t>
      </w:r>
      <w:r w:rsidRPr="004676F5">
        <w:rPr>
          <w:lang w:val="de-DE"/>
        </w:rPr>
        <w:softHyphen/>
        <w:t>abkommen,</w:t>
      </w:r>
    </w:p>
    <w:p w14:paraId="50CF078D" w14:textId="77777777" w:rsidR="00B6155A" w:rsidRPr="004676F5" w:rsidRDefault="00B6155A" w:rsidP="00B6155A">
      <w:pPr>
        <w:jc w:val="both"/>
        <w:rPr>
          <w:lang w:val="de-DE"/>
        </w:rPr>
      </w:pPr>
    </w:p>
    <w:p w14:paraId="31617C79" w14:textId="77777777" w:rsidR="00B6155A" w:rsidRPr="004676F5" w:rsidRDefault="00B6155A" w:rsidP="00B6155A">
      <w:pPr>
        <w:jc w:val="both"/>
        <w:rPr>
          <w:lang w:val="de-DE"/>
        </w:rPr>
      </w:pPr>
      <w:r w:rsidRPr="004676F5">
        <w:rPr>
          <w:lang w:val="de-DE"/>
        </w:rPr>
        <w:lastRenderedPageBreak/>
        <w:tab/>
        <w:t>6. Behinderung der Überwachung, die aufgrund der Bestimmungen von Buch III des vorliegenden Gesetzbuches und aufgrund der Gesetze über die Führung der Sozialdokumente ausgeübt wird,</w:t>
      </w:r>
    </w:p>
    <w:p w14:paraId="03F0F60B" w14:textId="77777777" w:rsidR="00B6155A" w:rsidRPr="004676F5" w:rsidRDefault="00B6155A" w:rsidP="00B6155A">
      <w:pPr>
        <w:jc w:val="both"/>
        <w:rPr>
          <w:lang w:val="de-DE"/>
        </w:rPr>
      </w:pPr>
    </w:p>
    <w:p w14:paraId="4E1BAD6E" w14:textId="3823C25D" w:rsidR="00B6155A" w:rsidRPr="004676F5" w:rsidRDefault="00B6155A" w:rsidP="00B6155A">
      <w:pPr>
        <w:jc w:val="both"/>
        <w:rPr>
          <w:lang w:val="de-DE"/>
        </w:rPr>
      </w:pPr>
      <w:r w:rsidRPr="004676F5">
        <w:rPr>
          <w:lang w:val="de-DE"/>
        </w:rPr>
        <w:tab/>
        <w:t>7. Nichteinhaltung der Gesetzes-, Dekrets</w:t>
      </w:r>
      <w:r w:rsidR="005B7A5C" w:rsidRPr="004676F5">
        <w:rPr>
          <w:lang w:val="de-DE"/>
        </w:rPr>
        <w:t>- </w:t>
      </w:r>
      <w:r w:rsidRPr="004676F5">
        <w:rPr>
          <w:lang w:val="de-DE"/>
        </w:rPr>
        <w:t>und Verordnungsbestimmungen in Sachen Werbung mit Ausnahme der in Buch VI des vorliegenden Gesetzbuches und in seinen Ausführungserlassen vorgesehenen Bestimmungen,</w:t>
      </w:r>
    </w:p>
    <w:p w14:paraId="16D93FF6" w14:textId="77777777" w:rsidR="00B6155A" w:rsidRPr="004676F5" w:rsidRDefault="00B6155A" w:rsidP="00B6155A">
      <w:pPr>
        <w:jc w:val="both"/>
        <w:rPr>
          <w:lang w:val="de-DE"/>
        </w:rPr>
      </w:pPr>
    </w:p>
    <w:p w14:paraId="27778288" w14:textId="77777777" w:rsidR="00B6155A" w:rsidRPr="004676F5" w:rsidRDefault="00B6155A" w:rsidP="00B6155A">
      <w:pPr>
        <w:jc w:val="both"/>
        <w:rPr>
          <w:lang w:val="de-DE"/>
        </w:rPr>
      </w:pPr>
      <w:r w:rsidRPr="004676F5">
        <w:rPr>
          <w:lang w:val="de-DE"/>
        </w:rPr>
        <w:tab/>
        <w:t>8. Beschäftigung einer Person durch einen Arbeitgeber, der sich eines in Artikel 12 Nr. 1 Buchstabe </w:t>
      </w:r>
      <w:r w:rsidRPr="004676F5">
        <w:rPr>
          <w:i/>
          <w:lang w:val="de-DE"/>
        </w:rPr>
        <w:t>a)</w:t>
      </w:r>
      <w:r w:rsidRPr="004676F5">
        <w:rPr>
          <w:lang w:val="de-DE"/>
        </w:rPr>
        <w:t xml:space="preserve"> des Gesetzes vom 30. April 1999 über die Beschäftigung ausländischer Arbeitnehmer erwähnten Verstoßes schuldig macht,</w:t>
      </w:r>
    </w:p>
    <w:p w14:paraId="2ED75DCB" w14:textId="77777777" w:rsidR="00B6155A" w:rsidRPr="004676F5" w:rsidRDefault="00B6155A" w:rsidP="00B6155A">
      <w:pPr>
        <w:jc w:val="both"/>
        <w:rPr>
          <w:lang w:val="de-DE"/>
        </w:rPr>
      </w:pPr>
    </w:p>
    <w:p w14:paraId="17360C0A" w14:textId="22430DFE" w:rsidR="00B6155A" w:rsidRPr="004676F5" w:rsidRDefault="00B6155A" w:rsidP="00B6155A">
      <w:pPr>
        <w:jc w:val="both"/>
        <w:rPr>
          <w:lang w:val="de-DE"/>
        </w:rPr>
      </w:pPr>
      <w:r w:rsidRPr="004676F5">
        <w:rPr>
          <w:lang w:val="de-DE"/>
        </w:rPr>
        <w:tab/>
        <w:t>9. Nichteinhaltung der Gesetzes</w:t>
      </w:r>
      <w:r w:rsidR="005B7A5C" w:rsidRPr="004676F5">
        <w:rPr>
          <w:lang w:val="de-DE"/>
        </w:rPr>
        <w:t>- </w:t>
      </w:r>
      <w:r w:rsidRPr="004676F5">
        <w:rPr>
          <w:lang w:val="de-DE"/>
        </w:rPr>
        <w:t>und Verordnungsbestimmungen in Sachen Umweltzeichen,</w:t>
      </w:r>
    </w:p>
    <w:p w14:paraId="0F78A690" w14:textId="77777777" w:rsidR="00B6155A" w:rsidRPr="004676F5" w:rsidRDefault="00B6155A" w:rsidP="00B6155A">
      <w:pPr>
        <w:jc w:val="both"/>
        <w:rPr>
          <w:lang w:val="de-DE"/>
        </w:rPr>
      </w:pPr>
    </w:p>
    <w:p w14:paraId="229AAE5E" w14:textId="77777777" w:rsidR="00B6155A" w:rsidRPr="004676F5" w:rsidRDefault="00B6155A" w:rsidP="00B6155A">
      <w:pPr>
        <w:jc w:val="both"/>
        <w:rPr>
          <w:lang w:val="de-DE"/>
        </w:rPr>
      </w:pPr>
      <w:r w:rsidRPr="004676F5">
        <w:rPr>
          <w:lang w:val="de-DE"/>
        </w:rPr>
        <w:tab/>
        <w:t>10. Ausübung einer beruflichen Tätigkeit, ohne über die in Anwendung des Programmgesetzes vom 10. Februar 1998 zur Förderung des selbständigen Unternehmertums erforderliche Bescheinigung zu verfügen,</w:t>
      </w:r>
    </w:p>
    <w:p w14:paraId="23200DA3" w14:textId="77777777" w:rsidR="00B6155A" w:rsidRPr="004676F5" w:rsidRDefault="00B6155A" w:rsidP="00B6155A">
      <w:pPr>
        <w:jc w:val="both"/>
        <w:rPr>
          <w:lang w:val="de-DE"/>
        </w:rPr>
      </w:pPr>
    </w:p>
    <w:p w14:paraId="1FB7F69D" w14:textId="77777777" w:rsidR="00B6155A" w:rsidRPr="004676F5" w:rsidRDefault="00B6155A" w:rsidP="00B6155A">
      <w:pPr>
        <w:jc w:val="both"/>
        <w:rPr>
          <w:lang w:val="de-DE"/>
        </w:rPr>
      </w:pPr>
      <w:r w:rsidRPr="004676F5">
        <w:rPr>
          <w:lang w:val="de-DE"/>
        </w:rPr>
        <w:tab/>
        <w:t>11. Nichteinhaltung der Bestimmungen des Gesetzes vom 10. November 2006 über die Öffnungszeiten in Handel, Handwerk und im Dienstleistungsbereich,</w:t>
      </w:r>
    </w:p>
    <w:p w14:paraId="6F7CBB0D" w14:textId="77777777" w:rsidR="00B6155A" w:rsidRPr="004676F5" w:rsidRDefault="00B6155A" w:rsidP="00B6155A">
      <w:pPr>
        <w:jc w:val="both"/>
        <w:rPr>
          <w:lang w:val="de-DE"/>
        </w:rPr>
      </w:pPr>
    </w:p>
    <w:p w14:paraId="1F20CFA5" w14:textId="24C6EA01" w:rsidR="00B6155A" w:rsidRPr="004676F5" w:rsidRDefault="00B6155A" w:rsidP="00B6155A">
      <w:pPr>
        <w:jc w:val="both"/>
        <w:rPr>
          <w:lang w:val="de-DE"/>
        </w:rPr>
      </w:pPr>
      <w:r w:rsidRPr="004676F5">
        <w:rPr>
          <w:lang w:val="de-DE"/>
        </w:rPr>
        <w:tab/>
        <w:t>12. Ausübung des Berufs des Güter</w:t>
      </w:r>
      <w:r w:rsidR="005B7A5C" w:rsidRPr="004676F5">
        <w:rPr>
          <w:lang w:val="de-DE"/>
        </w:rPr>
        <w:t>- </w:t>
      </w:r>
      <w:r w:rsidRPr="004676F5">
        <w:rPr>
          <w:lang w:val="de-DE"/>
        </w:rPr>
        <w:t>oder Personenkraftverkehrsunternehmers, ohne Inhaber der erforderlichen Verkehrslizenzen und Transportgenehmigungen zu sein,</w:t>
      </w:r>
    </w:p>
    <w:p w14:paraId="48CAB266" w14:textId="77777777" w:rsidR="00B6155A" w:rsidRPr="004676F5" w:rsidRDefault="00B6155A" w:rsidP="00B6155A">
      <w:pPr>
        <w:jc w:val="both"/>
        <w:rPr>
          <w:lang w:val="de-DE"/>
        </w:rPr>
      </w:pPr>
    </w:p>
    <w:p w14:paraId="232ADB82" w14:textId="29ACD0E2" w:rsidR="00B6155A" w:rsidRPr="004676F5" w:rsidRDefault="00B6155A" w:rsidP="00B6155A">
      <w:pPr>
        <w:jc w:val="both"/>
        <w:rPr>
          <w:lang w:val="de-DE"/>
        </w:rPr>
      </w:pPr>
      <w:r w:rsidRPr="004676F5">
        <w:rPr>
          <w:lang w:val="de-DE"/>
        </w:rPr>
        <w:tab/>
        <w:t>13. Nichteinhaltung der Vorschriften in Bezug auf die Lenk</w:t>
      </w:r>
      <w:r w:rsidR="005B7A5C" w:rsidRPr="004676F5">
        <w:rPr>
          <w:lang w:val="de-DE"/>
        </w:rPr>
        <w:t>- </w:t>
      </w:r>
      <w:r w:rsidRPr="004676F5">
        <w:rPr>
          <w:lang w:val="de-DE"/>
        </w:rPr>
        <w:t>und Ruhezeiten der Fahrzeugführer,</w:t>
      </w:r>
    </w:p>
    <w:p w14:paraId="3E33C5A5" w14:textId="77777777" w:rsidR="00B6155A" w:rsidRPr="004676F5" w:rsidRDefault="00B6155A" w:rsidP="00B6155A">
      <w:pPr>
        <w:jc w:val="both"/>
        <w:rPr>
          <w:lang w:val="de-DE"/>
        </w:rPr>
      </w:pPr>
    </w:p>
    <w:p w14:paraId="6332265A" w14:textId="6DECDE41" w:rsidR="00B6155A" w:rsidRPr="004676F5" w:rsidRDefault="00B6155A" w:rsidP="00B6155A">
      <w:pPr>
        <w:jc w:val="both"/>
        <w:rPr>
          <w:spacing w:val="-2"/>
          <w:lang w:val="de-DE"/>
        </w:rPr>
      </w:pPr>
      <w:r w:rsidRPr="004676F5">
        <w:rPr>
          <w:spacing w:val="-2"/>
          <w:lang w:val="de-DE"/>
        </w:rPr>
        <w:tab/>
        <w:t>14. Nichteinhaltung der Bestimmungen des Gesetzes vom 15. Mai 2007 über den Schutz der Verbraucher hinsichtlich der Rundfunk</w:t>
      </w:r>
      <w:r w:rsidR="005B7A5C" w:rsidRPr="004676F5">
        <w:rPr>
          <w:spacing w:val="-2"/>
          <w:lang w:val="de-DE"/>
        </w:rPr>
        <w:t>- </w:t>
      </w:r>
      <w:r w:rsidRPr="004676F5">
        <w:rPr>
          <w:spacing w:val="-2"/>
          <w:lang w:val="de-DE"/>
        </w:rPr>
        <w:t>und Fernsehübertragungs</w:t>
      </w:r>
      <w:r w:rsidR="005B7A5C" w:rsidRPr="004676F5">
        <w:rPr>
          <w:spacing w:val="-2"/>
          <w:lang w:val="de-DE"/>
        </w:rPr>
        <w:t>- </w:t>
      </w:r>
      <w:r w:rsidRPr="004676F5">
        <w:rPr>
          <w:spacing w:val="-2"/>
          <w:lang w:val="de-DE"/>
        </w:rPr>
        <w:t>und -verteilungs</w:t>
      </w:r>
      <w:r w:rsidR="00B12711" w:rsidRPr="004676F5">
        <w:rPr>
          <w:spacing w:val="-2"/>
          <w:lang w:val="de-DE"/>
        </w:rPr>
        <w:softHyphen/>
      </w:r>
      <w:r w:rsidRPr="004676F5">
        <w:rPr>
          <w:spacing w:val="-2"/>
          <w:lang w:val="de-DE"/>
        </w:rPr>
        <w:t>dienste,</w:t>
      </w:r>
    </w:p>
    <w:p w14:paraId="15F63B9D" w14:textId="77777777" w:rsidR="00B6155A" w:rsidRPr="004676F5" w:rsidRDefault="00B6155A" w:rsidP="00B6155A">
      <w:pPr>
        <w:jc w:val="both"/>
        <w:rPr>
          <w:lang w:val="de-DE"/>
        </w:rPr>
      </w:pPr>
    </w:p>
    <w:p w14:paraId="2259C59C" w14:textId="77777777" w:rsidR="00B6155A" w:rsidRPr="004676F5" w:rsidRDefault="00B6155A" w:rsidP="00B6155A">
      <w:pPr>
        <w:jc w:val="both"/>
        <w:rPr>
          <w:lang w:val="de-DE"/>
        </w:rPr>
      </w:pPr>
      <w:r w:rsidRPr="004676F5">
        <w:rPr>
          <w:lang w:val="de-DE"/>
        </w:rPr>
        <w:tab/>
        <w:t>15. Nichteinhaltung der Bestimmungen der Verordnungen der Europäischen Union, die in Buch VI erwähnte Angelegenheiten betreffen,</w:t>
      </w:r>
    </w:p>
    <w:p w14:paraId="68FEC7C3" w14:textId="77777777" w:rsidR="00B6155A" w:rsidRPr="004676F5" w:rsidRDefault="00B6155A" w:rsidP="00B6155A">
      <w:pPr>
        <w:jc w:val="both"/>
        <w:rPr>
          <w:lang w:val="de-DE"/>
        </w:rPr>
      </w:pPr>
    </w:p>
    <w:p w14:paraId="114278BB" w14:textId="2CFDC67C" w:rsidR="00B6155A" w:rsidRPr="004676F5" w:rsidRDefault="00B6155A" w:rsidP="00B6155A">
      <w:pPr>
        <w:jc w:val="both"/>
        <w:rPr>
          <w:lang w:val="de-DE"/>
        </w:rPr>
      </w:pPr>
      <w:r w:rsidRPr="004676F5">
        <w:rPr>
          <w:lang w:val="de-DE"/>
        </w:rPr>
        <w:tab/>
        <w:t xml:space="preserve">16. Nichteinhaltung der Bestimmungen </w:t>
      </w:r>
      <w:r w:rsidR="007F255A" w:rsidRPr="004676F5">
        <w:rPr>
          <w:lang w:val="de-DE"/>
        </w:rPr>
        <w:t>[von Artikel 18 §§ 2/1 bis 2/3/1 und §§ 5 bis 5/2]</w:t>
      </w:r>
      <w:r w:rsidRPr="004676F5">
        <w:rPr>
          <w:lang w:val="de-DE"/>
        </w:rPr>
        <w:t xml:space="preserve"> des Gesetzes vom 29. April 1999 über die Organisation des Elektrizitätsmarktes, eingefügt durch das Gesetz vom 25. August 2012, und von Artikel 15/5</w:t>
      </w:r>
      <w:r w:rsidRPr="004676F5">
        <w:rPr>
          <w:i/>
          <w:lang w:val="de-DE"/>
        </w:rPr>
        <w:t>bis</w:t>
      </w:r>
      <w:r w:rsidRPr="004676F5">
        <w:rPr>
          <w:lang w:val="de-DE"/>
        </w:rPr>
        <w:t xml:space="preserve"> §§ 11/1 bis 11/3 des Gesetzes vom 12. April 1965 über den Transport gasförmiger und anderer Produkte durch Leitungen, eingefügt durch das Gesetz vom 25. August 2012</w:t>
      </w:r>
      <w:r w:rsidR="00DF2DF2" w:rsidRPr="004676F5">
        <w:rPr>
          <w:lang w:val="de-DE"/>
        </w:rPr>
        <w:t>,</w:t>
      </w:r>
      <w:r w:rsidRPr="004676F5">
        <w:rPr>
          <w:lang w:val="de-DE"/>
        </w:rPr>
        <w:t>]</w:t>
      </w:r>
    </w:p>
    <w:p w14:paraId="0CF99C8A" w14:textId="77777777" w:rsidR="00DF2DF2" w:rsidRPr="004676F5" w:rsidRDefault="00DF2DF2" w:rsidP="00B6155A">
      <w:pPr>
        <w:jc w:val="both"/>
        <w:rPr>
          <w:lang w:val="de-DE"/>
        </w:rPr>
      </w:pPr>
    </w:p>
    <w:p w14:paraId="477B83B7" w14:textId="4BDB91C0" w:rsidR="00DF2DF2" w:rsidRPr="004676F5" w:rsidRDefault="00DF2DF2" w:rsidP="00B6155A">
      <w:pPr>
        <w:jc w:val="both"/>
        <w:rPr>
          <w:lang w:val="de-DE"/>
        </w:rPr>
      </w:pPr>
      <w:r w:rsidRPr="004676F5">
        <w:rPr>
          <w:lang w:val="de-DE"/>
        </w:rPr>
        <w:tab/>
        <w:t>[17. Handlungen oder Unterlassungen, mit denen gegen die Artikel 1649</w:t>
      </w:r>
      <w:r w:rsidRPr="004676F5">
        <w:rPr>
          <w:i/>
          <w:iCs/>
          <w:lang w:val="de-DE"/>
        </w:rPr>
        <w:t>bis</w:t>
      </w:r>
      <w:r w:rsidRPr="004676F5">
        <w:rPr>
          <w:lang w:val="de-DE"/>
        </w:rPr>
        <w:t xml:space="preserve"> bis 1649</w:t>
      </w:r>
      <w:r w:rsidRPr="004676F5">
        <w:rPr>
          <w:i/>
          <w:iCs/>
          <w:lang w:val="de-DE"/>
        </w:rPr>
        <w:t>nonies</w:t>
      </w:r>
      <w:r w:rsidRPr="004676F5">
        <w:rPr>
          <w:lang w:val="de-DE"/>
        </w:rPr>
        <w:t xml:space="preserve"> und 1701/1 bis 1701/19 des früheren Zivilgesetzbuches verstoßen wird und die den kollektiven Verbraucherinteressen geschadet haben, schaden oder schaden können</w:t>
      </w:r>
      <w:r w:rsidR="0025333A" w:rsidRPr="004676F5">
        <w:rPr>
          <w:lang w:val="de-DE"/>
        </w:rPr>
        <w:t>,</w:t>
      </w:r>
      <w:r w:rsidRPr="004676F5">
        <w:rPr>
          <w:lang w:val="de-DE"/>
        </w:rPr>
        <w:t>]</w:t>
      </w:r>
    </w:p>
    <w:p w14:paraId="02506BDF" w14:textId="77777777" w:rsidR="0025333A" w:rsidRPr="004676F5" w:rsidRDefault="0025333A" w:rsidP="00B6155A">
      <w:pPr>
        <w:jc w:val="both"/>
        <w:rPr>
          <w:lang w:val="de-DE"/>
        </w:rPr>
      </w:pPr>
    </w:p>
    <w:p w14:paraId="599CA8E4" w14:textId="57726AFD" w:rsidR="0025333A" w:rsidRPr="004676F5" w:rsidRDefault="0025333A" w:rsidP="00B6155A">
      <w:pPr>
        <w:jc w:val="both"/>
        <w:rPr>
          <w:lang w:val="de-DE"/>
        </w:rPr>
      </w:pPr>
      <w:r w:rsidRPr="004676F5">
        <w:rPr>
          <w:lang w:val="de-DE"/>
        </w:rPr>
        <w:tab/>
        <w:t>[18. Nichteinhaltung der Bestimmungen der Artikel 3, 6/1 und 10/1 des Gesetzes vom 26. Januar 2018 über die Postdienste</w:t>
      </w:r>
      <w:r w:rsidR="00D52D80" w:rsidRPr="004676F5">
        <w:rPr>
          <w:lang w:val="de-DE"/>
        </w:rPr>
        <w:t>,</w:t>
      </w:r>
      <w:r w:rsidRPr="004676F5">
        <w:rPr>
          <w:lang w:val="de-DE"/>
        </w:rPr>
        <w:t>]</w:t>
      </w:r>
    </w:p>
    <w:p w14:paraId="3BA993AC" w14:textId="77777777" w:rsidR="00D52D80" w:rsidRPr="004676F5" w:rsidRDefault="00D52D80" w:rsidP="00B6155A">
      <w:pPr>
        <w:jc w:val="both"/>
        <w:rPr>
          <w:lang w:val="de-DE"/>
        </w:rPr>
      </w:pPr>
    </w:p>
    <w:p w14:paraId="57D30B06" w14:textId="77777777" w:rsidR="006A1338" w:rsidRDefault="006A1338">
      <w:pPr>
        <w:rPr>
          <w:lang w:val="de-DE"/>
        </w:rPr>
      </w:pPr>
      <w:r>
        <w:rPr>
          <w:lang w:val="de-DE"/>
        </w:rPr>
        <w:br w:type="page"/>
      </w:r>
    </w:p>
    <w:p w14:paraId="6C7856B5" w14:textId="18E65838" w:rsidR="00D52D80" w:rsidRPr="004676F5" w:rsidRDefault="00D52D80" w:rsidP="00B6155A">
      <w:pPr>
        <w:jc w:val="both"/>
        <w:rPr>
          <w:lang w:val="de-DE"/>
        </w:rPr>
      </w:pPr>
      <w:r w:rsidRPr="004676F5">
        <w:rPr>
          <w:lang w:val="de-DE"/>
        </w:rPr>
        <w:lastRenderedPageBreak/>
        <w:tab/>
        <w:t>[18. Nichteinhaltung der Bestimmungen des Gesetzes vom 11. Juni 2004 über die Informationspflicht beim Verkauf von Gebrauchtfahrzeugen.]</w:t>
      </w:r>
    </w:p>
    <w:p w14:paraId="3E1E5F32" w14:textId="77777777" w:rsidR="00B6155A" w:rsidRPr="004676F5" w:rsidRDefault="00B6155A" w:rsidP="00B6155A">
      <w:pPr>
        <w:jc w:val="both"/>
        <w:rPr>
          <w:lang w:val="de-DE"/>
        </w:rPr>
      </w:pPr>
    </w:p>
    <w:p w14:paraId="7F932391" w14:textId="47BD50C9" w:rsidR="00B12711" w:rsidRPr="004676F5" w:rsidRDefault="00B6155A" w:rsidP="00B6155A">
      <w:pPr>
        <w:jc w:val="both"/>
        <w:rPr>
          <w:lang w:val="de-DE"/>
        </w:rPr>
      </w:pPr>
      <w:r w:rsidRPr="004676F5">
        <w:rPr>
          <w:i/>
          <w:lang w:val="de-DE"/>
        </w:rPr>
        <w:t>[</w:t>
      </w:r>
      <w:r w:rsidR="00BE0A56" w:rsidRPr="004676F5">
        <w:rPr>
          <w:i/>
          <w:lang w:val="de-DE"/>
        </w:rPr>
        <w:t>Art. </w:t>
      </w:r>
      <w:r w:rsidRPr="004676F5">
        <w:rPr>
          <w:i/>
          <w:lang w:val="de-DE"/>
        </w:rPr>
        <w:t xml:space="preserve">XVII.2 eingefügt durch </w:t>
      </w:r>
      <w:r w:rsidR="00BE0A56" w:rsidRPr="004676F5">
        <w:rPr>
          <w:i/>
          <w:lang w:val="de-DE"/>
        </w:rPr>
        <w:t>Art. </w:t>
      </w:r>
      <w:r w:rsidRPr="004676F5">
        <w:rPr>
          <w:i/>
          <w:lang w:val="de-DE"/>
        </w:rPr>
        <w:t>3</w:t>
      </w:r>
      <w:r w:rsidR="002B2B70" w:rsidRPr="004676F5">
        <w:rPr>
          <w:i/>
          <w:lang w:val="de-DE"/>
        </w:rPr>
        <w:t xml:space="preserve"> des G. vom 26. Dezember 2013 </w:t>
      </w:r>
      <w:r w:rsidRPr="004676F5">
        <w:rPr>
          <w:i/>
          <w:lang w:val="de-DE"/>
        </w:rPr>
        <w:t>(III) (B.S. vom 28. Januar 2014)</w:t>
      </w:r>
      <w:r w:rsidR="003F5E25" w:rsidRPr="004676F5">
        <w:rPr>
          <w:i/>
          <w:lang w:val="de-DE"/>
        </w:rPr>
        <w:t>; einziger Absatz einleitende Bestimmung abgeändert durch Art. 252 des G. vom 15. April 2018 (B.S. vom 27. April 2018)</w:t>
      </w:r>
      <w:r w:rsidR="00DF2DF2" w:rsidRPr="004676F5">
        <w:rPr>
          <w:i/>
          <w:lang w:val="de-DE"/>
        </w:rPr>
        <w:t xml:space="preserve">; </w:t>
      </w:r>
      <w:r w:rsidR="007F255A" w:rsidRPr="004676F5">
        <w:rPr>
          <w:i/>
          <w:lang w:val="de-DE"/>
        </w:rPr>
        <w:t>einziger Absatz Nr. 16 abgeändert durch Art. 62 des G. vom 5. November 2023</w:t>
      </w:r>
      <w:r w:rsidR="00AA0B2E" w:rsidRPr="004676F5">
        <w:rPr>
          <w:i/>
          <w:lang w:val="de-DE"/>
        </w:rPr>
        <w:t> (I)</w:t>
      </w:r>
      <w:r w:rsidR="007F255A" w:rsidRPr="004676F5">
        <w:rPr>
          <w:i/>
          <w:lang w:val="de-DE"/>
        </w:rPr>
        <w:t xml:space="preserve"> (B.S. vom 11. Dezember 2023); </w:t>
      </w:r>
      <w:r w:rsidR="00DF2DF2" w:rsidRPr="004676F5">
        <w:rPr>
          <w:i/>
          <w:lang w:val="de-DE"/>
        </w:rPr>
        <w:t>einziger Absatz Nr. 17 eingefügt durch Art. 19</w:t>
      </w:r>
      <w:r w:rsidR="00DF2DF2" w:rsidRPr="004676F5">
        <w:rPr>
          <w:bCs/>
          <w:i/>
          <w:iCs/>
          <w:lang w:val="de-DE"/>
        </w:rPr>
        <w:t xml:space="preserve"> des G. vom 20. März 2022 (B.S. vom 31. März 2022)</w:t>
      </w:r>
      <w:r w:rsidR="0025333A" w:rsidRPr="004676F5">
        <w:rPr>
          <w:bCs/>
          <w:i/>
          <w:iCs/>
          <w:lang w:val="de-DE"/>
        </w:rPr>
        <w:t xml:space="preserve">; einziger Absatz </w:t>
      </w:r>
      <w:r w:rsidR="00D52D80" w:rsidRPr="004676F5">
        <w:rPr>
          <w:bCs/>
          <w:i/>
          <w:iCs/>
          <w:lang w:val="de-DE"/>
        </w:rPr>
        <w:t>erste Nummer</w:t>
      </w:r>
      <w:r w:rsidR="0025333A" w:rsidRPr="004676F5">
        <w:rPr>
          <w:bCs/>
          <w:i/>
          <w:iCs/>
          <w:lang w:val="de-DE"/>
        </w:rPr>
        <w:t> 18 eingefügt durch Art. 17 des G. vom 17. Dezember 2023 (B.S. vom 28. Dezember 2023)</w:t>
      </w:r>
      <w:r w:rsidR="00D52D80" w:rsidRPr="004676F5">
        <w:rPr>
          <w:bCs/>
          <w:i/>
          <w:iCs/>
          <w:lang w:val="de-DE"/>
        </w:rPr>
        <w:t>; einziger Absatz zweite Nummer 18 eingefügt durch Art. 57 des G. vom 9. Februar 2024 (B.S. vom 21. März 2024)</w:t>
      </w:r>
      <w:r w:rsidRPr="004676F5">
        <w:rPr>
          <w:i/>
          <w:lang w:val="de-DE"/>
        </w:rPr>
        <w:t>]</w:t>
      </w:r>
    </w:p>
    <w:p w14:paraId="5CEB4FD3" w14:textId="15245F1B" w:rsidR="00BA5F18" w:rsidRPr="004676F5" w:rsidRDefault="00BA5F18">
      <w:pPr>
        <w:rPr>
          <w:lang w:val="de-DE"/>
        </w:rPr>
      </w:pPr>
    </w:p>
    <w:p w14:paraId="0C4256FB" w14:textId="77777777" w:rsidR="0025333A" w:rsidRPr="004676F5" w:rsidRDefault="0025333A">
      <w:pPr>
        <w:rPr>
          <w:lang w:val="de-DE"/>
        </w:rPr>
      </w:pPr>
    </w:p>
    <w:p w14:paraId="0710D052" w14:textId="20943ABF" w:rsidR="00B6155A" w:rsidRPr="004676F5" w:rsidRDefault="00B6155A" w:rsidP="00B6155A">
      <w:pPr>
        <w:jc w:val="both"/>
        <w:rPr>
          <w:lang w:val="de-DE"/>
        </w:rPr>
      </w:pPr>
      <w:r w:rsidRPr="004676F5">
        <w:rPr>
          <w:lang w:val="de-DE"/>
        </w:rPr>
        <w:tab/>
        <w:t>[</w:t>
      </w:r>
      <w:r w:rsidR="00BE0A56" w:rsidRPr="004676F5">
        <w:rPr>
          <w:b/>
          <w:lang w:val="de-DE"/>
        </w:rPr>
        <w:t>Art. </w:t>
      </w:r>
      <w:r w:rsidRPr="004676F5">
        <w:rPr>
          <w:b/>
          <w:lang w:val="de-DE"/>
        </w:rPr>
        <w:t>XVII.3</w:t>
      </w:r>
      <w:r w:rsidRPr="004676F5">
        <w:rPr>
          <w:lang w:val="de-DE"/>
        </w:rPr>
        <w:t> </w:t>
      </w:r>
      <w:r w:rsidR="005B7A5C" w:rsidRPr="004676F5">
        <w:rPr>
          <w:lang w:val="de-DE"/>
        </w:rPr>
        <w:t>- </w:t>
      </w:r>
      <w:r w:rsidRPr="004676F5">
        <w:rPr>
          <w:lang w:val="de-DE"/>
        </w:rPr>
        <w:t xml:space="preserve">Der Präsident des </w:t>
      </w:r>
      <w:r w:rsidR="003F5E25" w:rsidRPr="004676F5">
        <w:rPr>
          <w:lang w:val="de-DE"/>
        </w:rPr>
        <w:t xml:space="preserve">[Unternehmensgerichts] </w:t>
      </w:r>
      <w:r w:rsidRPr="004676F5">
        <w:rPr>
          <w:lang w:val="de-DE"/>
        </w:rPr>
        <w:t>kann dem Zuwiderhandelnden eine Frist gewähren, damit dieser dem Verstoß ein Ende setzt, wenn die Art des Verstoßes dies erforderlich macht. Er kann die Aufhebung der Einstellungsanordnung gewähren, wenn dem Verstoß ein Ende gesetzt worden ist.]</w:t>
      </w:r>
    </w:p>
    <w:p w14:paraId="2B148600" w14:textId="77777777" w:rsidR="00B6155A" w:rsidRPr="004676F5" w:rsidRDefault="00B6155A" w:rsidP="00B6155A">
      <w:pPr>
        <w:jc w:val="both"/>
        <w:rPr>
          <w:lang w:val="de-DE"/>
        </w:rPr>
      </w:pPr>
    </w:p>
    <w:p w14:paraId="4D6567EB" w14:textId="6481AE62" w:rsidR="00B6155A" w:rsidRPr="004676F5" w:rsidRDefault="00B6155A" w:rsidP="00B6155A">
      <w:pPr>
        <w:jc w:val="both"/>
        <w:rPr>
          <w:i/>
          <w:lang w:val="de-DE"/>
        </w:rPr>
      </w:pPr>
      <w:r w:rsidRPr="004676F5">
        <w:rPr>
          <w:i/>
          <w:lang w:val="de-DE"/>
        </w:rPr>
        <w:t>[</w:t>
      </w:r>
      <w:r w:rsidR="00BE0A56" w:rsidRPr="004676F5">
        <w:rPr>
          <w:i/>
          <w:lang w:val="de-DE"/>
        </w:rPr>
        <w:t>Art. </w:t>
      </w:r>
      <w:r w:rsidRPr="004676F5">
        <w:rPr>
          <w:i/>
          <w:lang w:val="de-DE"/>
        </w:rPr>
        <w:t xml:space="preserve">XVII.3 eingefügt durch </w:t>
      </w:r>
      <w:r w:rsidR="00BE0A56" w:rsidRPr="004676F5">
        <w:rPr>
          <w:i/>
          <w:lang w:val="de-DE"/>
        </w:rPr>
        <w:t>Art. </w:t>
      </w:r>
      <w:r w:rsidRPr="004676F5">
        <w:rPr>
          <w:i/>
          <w:lang w:val="de-DE"/>
        </w:rPr>
        <w:t>4 des G. vom 26. </w:t>
      </w:r>
      <w:r w:rsidR="002B2B70" w:rsidRPr="004676F5">
        <w:rPr>
          <w:i/>
          <w:lang w:val="de-DE"/>
        </w:rPr>
        <w:t>Dezember 2013 </w:t>
      </w:r>
      <w:r w:rsidRPr="004676F5">
        <w:rPr>
          <w:i/>
          <w:lang w:val="de-DE"/>
        </w:rPr>
        <w:t>(III) (B.S. vom 28. Januar 2014)</w:t>
      </w:r>
      <w:r w:rsidR="003F5E25" w:rsidRPr="004676F5">
        <w:rPr>
          <w:i/>
          <w:lang w:val="de-DE"/>
        </w:rPr>
        <w:t xml:space="preserve"> und abgeändert durch Art. 252 des G. vom 15. April 2018 (B.S. vom 27. April 2018)</w:t>
      </w:r>
      <w:r w:rsidRPr="004676F5">
        <w:rPr>
          <w:i/>
          <w:lang w:val="de-DE"/>
        </w:rPr>
        <w:t>]</w:t>
      </w:r>
    </w:p>
    <w:p w14:paraId="46508BDF" w14:textId="77777777" w:rsidR="00B6155A" w:rsidRPr="004676F5" w:rsidRDefault="00B6155A" w:rsidP="00B6155A">
      <w:pPr>
        <w:jc w:val="both"/>
        <w:rPr>
          <w:lang w:val="de-DE"/>
        </w:rPr>
      </w:pPr>
    </w:p>
    <w:p w14:paraId="1B12BA43" w14:textId="77777777" w:rsidR="00B6155A" w:rsidRPr="004676F5" w:rsidRDefault="00B6155A" w:rsidP="00B6155A">
      <w:pPr>
        <w:jc w:val="both"/>
        <w:rPr>
          <w:lang w:val="de-DE"/>
        </w:rPr>
      </w:pPr>
    </w:p>
    <w:p w14:paraId="3880646C" w14:textId="69392E49" w:rsidR="00B6155A" w:rsidRPr="004676F5" w:rsidRDefault="00B6155A" w:rsidP="00B6155A">
      <w:pPr>
        <w:jc w:val="both"/>
        <w:rPr>
          <w:lang w:val="de-DE"/>
        </w:rPr>
      </w:pPr>
      <w:r w:rsidRPr="004676F5">
        <w:rPr>
          <w:lang w:val="de-DE"/>
        </w:rPr>
        <w:tab/>
        <w:t>[</w:t>
      </w:r>
      <w:r w:rsidR="00BE0A56" w:rsidRPr="004676F5">
        <w:rPr>
          <w:b/>
          <w:lang w:val="de-DE"/>
        </w:rPr>
        <w:t>Art. </w:t>
      </w:r>
      <w:r w:rsidRPr="004676F5">
        <w:rPr>
          <w:b/>
          <w:lang w:val="de-DE"/>
        </w:rPr>
        <w:t>XVII.4</w:t>
      </w:r>
      <w:r w:rsidRPr="004676F5">
        <w:rPr>
          <w:lang w:val="de-DE"/>
        </w:rPr>
        <w:t> </w:t>
      </w:r>
      <w:r w:rsidR="005B7A5C" w:rsidRPr="004676F5">
        <w:rPr>
          <w:lang w:val="de-DE"/>
        </w:rPr>
        <w:t>- </w:t>
      </w:r>
      <w:r w:rsidRPr="004676F5">
        <w:rPr>
          <w:lang w:val="de-DE"/>
        </w:rPr>
        <w:t xml:space="preserve">Der Präsident des </w:t>
      </w:r>
      <w:r w:rsidR="003F5E25" w:rsidRPr="004676F5">
        <w:rPr>
          <w:lang w:val="de-DE"/>
        </w:rPr>
        <w:t xml:space="preserve">[Unternehmensgerichts] </w:t>
      </w:r>
      <w:r w:rsidRPr="004676F5">
        <w:rPr>
          <w:lang w:val="de-DE"/>
        </w:rPr>
        <w:t>kann erlauben, dass auf Kosten des Zuwiderhandelnden seine Entscheidung oder die von ihm erstellte Zusammenfassung während des von ihm festgelegten Zeitraums sowohl außerhalb als auch innerhalb der Niederlassungen des Zuwiderhandelnden angeschlagen wird und sein Urteil oder dessen Zusammenfassung in Zeitungen oder sonst irgendwie veröffentlicht wird.</w:t>
      </w:r>
    </w:p>
    <w:p w14:paraId="30995309" w14:textId="77777777" w:rsidR="00B6155A" w:rsidRPr="004676F5" w:rsidRDefault="00B6155A" w:rsidP="00B6155A">
      <w:pPr>
        <w:jc w:val="both"/>
        <w:rPr>
          <w:lang w:val="de-DE"/>
        </w:rPr>
      </w:pPr>
    </w:p>
    <w:p w14:paraId="23D7E934" w14:textId="5CA3DFCF" w:rsidR="00C94CBB" w:rsidRPr="004676F5" w:rsidRDefault="00C94CBB" w:rsidP="00B6155A">
      <w:pPr>
        <w:jc w:val="both"/>
        <w:rPr>
          <w:lang w:val="de-DE"/>
        </w:rPr>
      </w:pPr>
      <w:r w:rsidRPr="004676F5">
        <w:rPr>
          <w:lang w:val="de-DE"/>
        </w:rPr>
        <w:tab/>
        <w:t>[Er kann ebenfalls unter denselben Bedingungen die Veröffentlichung einer Berichtigung anordnen.]</w:t>
      </w:r>
    </w:p>
    <w:p w14:paraId="62B111F1" w14:textId="77777777" w:rsidR="00C94CBB" w:rsidRPr="004676F5" w:rsidRDefault="00C94CBB" w:rsidP="00B6155A">
      <w:pPr>
        <w:jc w:val="both"/>
        <w:rPr>
          <w:lang w:val="de-DE"/>
        </w:rPr>
      </w:pPr>
    </w:p>
    <w:p w14:paraId="051344E8" w14:textId="77777777" w:rsidR="00B6155A" w:rsidRPr="004676F5" w:rsidRDefault="00B6155A" w:rsidP="00B6155A">
      <w:pPr>
        <w:jc w:val="both"/>
        <w:rPr>
          <w:lang w:val="de-DE"/>
        </w:rPr>
      </w:pPr>
      <w:r w:rsidRPr="004676F5">
        <w:rPr>
          <w:lang w:val="de-DE"/>
        </w:rPr>
        <w:tab/>
        <w:t>Diese Maßnahmen der öffentlichen Bekanntmachung dürfen jedoch nur erlaubt werden, wenn sie dazu beitragen können, dass die beanstandete Handlung eingestellt beziehungsweise deren Auswirkungen Einhalt geboten wird.</w:t>
      </w:r>
    </w:p>
    <w:p w14:paraId="4F473A71" w14:textId="77777777" w:rsidR="00B6155A" w:rsidRPr="004676F5" w:rsidRDefault="00B6155A" w:rsidP="00B6155A">
      <w:pPr>
        <w:jc w:val="both"/>
        <w:rPr>
          <w:lang w:val="de-DE"/>
        </w:rPr>
      </w:pPr>
    </w:p>
    <w:p w14:paraId="7A99E9CC" w14:textId="4DC292C1" w:rsidR="00B6155A" w:rsidRPr="004676F5" w:rsidRDefault="00B6155A" w:rsidP="00B6155A">
      <w:pPr>
        <w:jc w:val="both"/>
        <w:rPr>
          <w:lang w:val="de-DE"/>
        </w:rPr>
      </w:pPr>
      <w:r w:rsidRPr="004676F5">
        <w:rPr>
          <w:lang w:val="de-DE"/>
        </w:rPr>
        <w:tab/>
        <w:t xml:space="preserve">Der Präsident des </w:t>
      </w:r>
      <w:r w:rsidR="003F5E25" w:rsidRPr="004676F5">
        <w:rPr>
          <w:lang w:val="de-DE"/>
        </w:rPr>
        <w:t xml:space="preserve">[Unternehmensgerichts] </w:t>
      </w:r>
      <w:r w:rsidRPr="004676F5">
        <w:rPr>
          <w:lang w:val="de-DE"/>
        </w:rPr>
        <w:t>legt den Betrag fest, den die Partei, der gemäß Absatz 1 eine Maßnahme der öffentlichen Bekanntmachung erlaubt worden ist und die die Maßnahme trotz einer rechtzeitig eingereichten Beschwerde gegen das Urteil ausgeführt hat, der Partei zahlen muss, zu deren Nachteil die Maßnahme der öffentlichen Bekanntmachung ausgesprochen wurde, wenn diese Maßnahme in der Berufung aufgehoben wird.]</w:t>
      </w:r>
    </w:p>
    <w:p w14:paraId="7DAB34C3" w14:textId="77777777" w:rsidR="00B6155A" w:rsidRPr="004676F5" w:rsidRDefault="00B6155A" w:rsidP="00B6155A">
      <w:pPr>
        <w:jc w:val="both"/>
        <w:rPr>
          <w:lang w:val="de-DE"/>
        </w:rPr>
      </w:pPr>
    </w:p>
    <w:p w14:paraId="2C140E35" w14:textId="50CAFE5F" w:rsidR="00B6155A" w:rsidRPr="004676F5" w:rsidRDefault="00B6155A" w:rsidP="00B6155A">
      <w:pPr>
        <w:jc w:val="both"/>
        <w:rPr>
          <w:i/>
          <w:lang w:val="de-DE"/>
        </w:rPr>
      </w:pPr>
      <w:r w:rsidRPr="004676F5">
        <w:rPr>
          <w:i/>
          <w:lang w:val="de-DE"/>
        </w:rPr>
        <w:t>[</w:t>
      </w:r>
      <w:r w:rsidR="00BE0A56" w:rsidRPr="004676F5">
        <w:rPr>
          <w:i/>
          <w:lang w:val="de-DE"/>
        </w:rPr>
        <w:t>Art. </w:t>
      </w:r>
      <w:r w:rsidRPr="004676F5">
        <w:rPr>
          <w:i/>
          <w:lang w:val="de-DE"/>
        </w:rPr>
        <w:t xml:space="preserve">XVII.4 eingefügt durch </w:t>
      </w:r>
      <w:r w:rsidR="00BE0A56" w:rsidRPr="004676F5">
        <w:rPr>
          <w:i/>
          <w:lang w:val="de-DE"/>
        </w:rPr>
        <w:t>Art. </w:t>
      </w:r>
      <w:r w:rsidRPr="004676F5">
        <w:rPr>
          <w:i/>
          <w:lang w:val="de-DE"/>
        </w:rPr>
        <w:t>5</w:t>
      </w:r>
      <w:r w:rsidR="002B2B70" w:rsidRPr="004676F5">
        <w:rPr>
          <w:i/>
          <w:lang w:val="de-DE"/>
        </w:rPr>
        <w:t xml:space="preserve"> des G. vom 26. Dezember 2013 </w:t>
      </w:r>
      <w:r w:rsidRPr="004676F5">
        <w:rPr>
          <w:i/>
          <w:lang w:val="de-DE"/>
        </w:rPr>
        <w:t>(III) (B.S. vom 28. Januar 2014)</w:t>
      </w:r>
      <w:r w:rsidR="003F5E25" w:rsidRPr="004676F5">
        <w:rPr>
          <w:i/>
          <w:lang w:val="de-DE"/>
        </w:rPr>
        <w:t xml:space="preserve">; Abs. 1 </w:t>
      </w:r>
      <w:r w:rsidR="00C94CBB" w:rsidRPr="004676F5">
        <w:rPr>
          <w:i/>
          <w:lang w:val="de-DE"/>
        </w:rPr>
        <w:t>abgeändert durch Art.</w:t>
      </w:r>
      <w:r w:rsidR="00DA16D4">
        <w:rPr>
          <w:i/>
          <w:lang w:val="de-DE"/>
        </w:rPr>
        <w:t> </w:t>
      </w:r>
      <w:r w:rsidR="00C94CBB" w:rsidRPr="004676F5">
        <w:rPr>
          <w:i/>
          <w:lang w:val="de-DE"/>
        </w:rPr>
        <w:t>252 des G. vom 15.</w:t>
      </w:r>
      <w:r w:rsidR="00DA16D4">
        <w:rPr>
          <w:i/>
          <w:lang w:val="de-DE"/>
        </w:rPr>
        <w:t> </w:t>
      </w:r>
      <w:r w:rsidR="00C94CBB" w:rsidRPr="004676F5">
        <w:rPr>
          <w:i/>
          <w:lang w:val="de-DE"/>
        </w:rPr>
        <w:t xml:space="preserve">April 2018 (B.S. vom 27. April 2018); neuer Absatz 2 </w:t>
      </w:r>
      <w:r w:rsidR="00C94CBB" w:rsidRPr="004676F5">
        <w:rPr>
          <w:i/>
          <w:iCs/>
          <w:lang w:val="de-DE"/>
        </w:rPr>
        <w:t xml:space="preserve">eingefügt durch Art. 14 des G. vom 21. April 2024 (II) (B.S. vom 31. Mai 2024); </w:t>
      </w:r>
      <w:r w:rsidR="00C94CBB" w:rsidRPr="004676F5">
        <w:rPr>
          <w:i/>
          <w:lang w:val="de-DE"/>
        </w:rPr>
        <w:t>Abs.</w:t>
      </w:r>
      <w:r w:rsidR="00DA16D4">
        <w:rPr>
          <w:i/>
          <w:lang w:val="de-DE"/>
        </w:rPr>
        <w:t> </w:t>
      </w:r>
      <w:r w:rsidR="00C94CBB" w:rsidRPr="004676F5">
        <w:rPr>
          <w:i/>
          <w:lang w:val="de-DE"/>
        </w:rPr>
        <w:t>4 (früherer Absatz 3)</w:t>
      </w:r>
      <w:r w:rsidR="003F5E25" w:rsidRPr="004676F5">
        <w:rPr>
          <w:i/>
          <w:lang w:val="de-DE"/>
        </w:rPr>
        <w:t xml:space="preserve"> abgeändert durch Art.</w:t>
      </w:r>
      <w:r w:rsidR="00DA16D4">
        <w:rPr>
          <w:i/>
          <w:lang w:val="de-DE"/>
        </w:rPr>
        <w:t> </w:t>
      </w:r>
      <w:r w:rsidR="003F5E25" w:rsidRPr="004676F5">
        <w:rPr>
          <w:i/>
          <w:lang w:val="de-DE"/>
        </w:rPr>
        <w:t>252 des G. vom 15.</w:t>
      </w:r>
      <w:r w:rsidR="00C94CBB" w:rsidRPr="004676F5">
        <w:rPr>
          <w:i/>
          <w:lang w:val="de-DE"/>
        </w:rPr>
        <w:t> </w:t>
      </w:r>
      <w:r w:rsidR="003F5E25" w:rsidRPr="004676F5">
        <w:rPr>
          <w:i/>
          <w:lang w:val="de-DE"/>
        </w:rPr>
        <w:t>April</w:t>
      </w:r>
      <w:r w:rsidR="00C94CBB" w:rsidRPr="004676F5">
        <w:rPr>
          <w:i/>
          <w:lang w:val="de-DE"/>
        </w:rPr>
        <w:t> </w:t>
      </w:r>
      <w:r w:rsidR="003F5E25" w:rsidRPr="004676F5">
        <w:rPr>
          <w:i/>
          <w:lang w:val="de-DE"/>
        </w:rPr>
        <w:t>2018 (B.S. vom 27.</w:t>
      </w:r>
      <w:r w:rsidR="00C94CBB" w:rsidRPr="004676F5">
        <w:rPr>
          <w:i/>
          <w:lang w:val="de-DE"/>
        </w:rPr>
        <w:t> </w:t>
      </w:r>
      <w:r w:rsidR="003F5E25" w:rsidRPr="004676F5">
        <w:rPr>
          <w:i/>
          <w:lang w:val="de-DE"/>
        </w:rPr>
        <w:t>April</w:t>
      </w:r>
      <w:r w:rsidR="00C94CBB" w:rsidRPr="004676F5">
        <w:rPr>
          <w:i/>
          <w:lang w:val="de-DE"/>
        </w:rPr>
        <w:t> </w:t>
      </w:r>
      <w:r w:rsidR="003F5E25" w:rsidRPr="004676F5">
        <w:rPr>
          <w:i/>
          <w:lang w:val="de-DE"/>
        </w:rPr>
        <w:t>2018)</w:t>
      </w:r>
      <w:r w:rsidRPr="004676F5">
        <w:rPr>
          <w:i/>
          <w:lang w:val="de-DE"/>
        </w:rPr>
        <w:t>]</w:t>
      </w:r>
    </w:p>
    <w:p w14:paraId="1871DA5A" w14:textId="77777777" w:rsidR="00B6155A" w:rsidRPr="004676F5" w:rsidRDefault="00B6155A" w:rsidP="00B6155A">
      <w:pPr>
        <w:jc w:val="both"/>
        <w:rPr>
          <w:lang w:val="de-DE"/>
        </w:rPr>
      </w:pPr>
    </w:p>
    <w:p w14:paraId="62D27307" w14:textId="77777777" w:rsidR="00B6155A" w:rsidRPr="004676F5" w:rsidRDefault="00B6155A" w:rsidP="00B6155A">
      <w:pPr>
        <w:jc w:val="both"/>
        <w:rPr>
          <w:lang w:val="de-DE"/>
        </w:rPr>
      </w:pPr>
    </w:p>
    <w:p w14:paraId="3E93C68F" w14:textId="2004823E" w:rsidR="008303C5" w:rsidRPr="004676F5" w:rsidRDefault="00B6155A" w:rsidP="009F1F7C">
      <w:pPr>
        <w:jc w:val="both"/>
        <w:rPr>
          <w:i/>
          <w:lang w:val="de-DE"/>
        </w:rPr>
      </w:pPr>
      <w:r w:rsidRPr="004676F5">
        <w:rPr>
          <w:lang w:val="de-DE"/>
        </w:rPr>
        <w:lastRenderedPageBreak/>
        <w:tab/>
      </w:r>
      <w:r w:rsidR="00BE0A56" w:rsidRPr="004676F5">
        <w:rPr>
          <w:b/>
          <w:lang w:val="de-DE"/>
        </w:rPr>
        <w:t>Art. </w:t>
      </w:r>
      <w:r w:rsidR="008303C5" w:rsidRPr="004676F5">
        <w:rPr>
          <w:b/>
          <w:lang w:val="de-DE"/>
        </w:rPr>
        <w:t>XVII.5</w:t>
      </w:r>
      <w:r w:rsidR="008303C5" w:rsidRPr="004676F5">
        <w:rPr>
          <w:lang w:val="de-DE"/>
        </w:rPr>
        <w:t> </w:t>
      </w:r>
      <w:r w:rsidR="005B7A5C" w:rsidRPr="004676F5">
        <w:rPr>
          <w:lang w:val="de-DE"/>
        </w:rPr>
        <w:t>- </w:t>
      </w:r>
      <w:r w:rsidR="008303C5" w:rsidRPr="004676F5">
        <w:rPr>
          <w:lang w:val="de-DE"/>
        </w:rPr>
        <w:t>Die in den Artikeln</w:t>
      </w:r>
      <w:r w:rsidR="000A3BD3" w:rsidRPr="004676F5">
        <w:rPr>
          <w:lang w:val="de-DE"/>
        </w:rPr>
        <w:t xml:space="preserve"> [XVII.1/4] </w:t>
      </w:r>
      <w:r w:rsidR="008303C5" w:rsidRPr="004676F5">
        <w:rPr>
          <w:lang w:val="de-DE"/>
        </w:rPr>
        <w:t>und XVII.2 erwähnte Klage kann ein Jahr nach Ende der Handlungen, auf die sich berufen wird, nicht mehr erhoben werden</w:t>
      </w:r>
      <w:r w:rsidR="009F1F7C" w:rsidRPr="004676F5">
        <w:rPr>
          <w:lang w:val="de-DE"/>
        </w:rPr>
        <w:t>.</w:t>
      </w:r>
    </w:p>
    <w:p w14:paraId="46352ED2" w14:textId="77777777" w:rsidR="008303C5" w:rsidRPr="004676F5" w:rsidRDefault="008303C5" w:rsidP="008303C5">
      <w:pPr>
        <w:jc w:val="both"/>
        <w:rPr>
          <w:i/>
          <w:lang w:val="de-DE"/>
        </w:rPr>
      </w:pPr>
    </w:p>
    <w:p w14:paraId="098E3441" w14:textId="72BB270D" w:rsidR="000A3BD3" w:rsidRPr="004676F5" w:rsidRDefault="000A3BD3" w:rsidP="008303C5">
      <w:pPr>
        <w:jc w:val="both"/>
        <w:rPr>
          <w:i/>
          <w:lang w:val="de-DE"/>
        </w:rPr>
      </w:pPr>
      <w:r w:rsidRPr="004676F5">
        <w:rPr>
          <w:i/>
          <w:lang w:val="de-DE"/>
        </w:rPr>
        <w:t>[Art. XVII.5 abgeändert durch Art. 3 Nr. 3 des G. vom 21. April 2024 (II) (B.S. vom 31. Mai 2024)]</w:t>
      </w:r>
    </w:p>
    <w:p w14:paraId="01520416" w14:textId="77777777" w:rsidR="008303C5" w:rsidRPr="004676F5" w:rsidRDefault="008303C5" w:rsidP="008303C5">
      <w:pPr>
        <w:jc w:val="both"/>
        <w:rPr>
          <w:lang w:val="de-DE"/>
        </w:rPr>
      </w:pPr>
    </w:p>
    <w:p w14:paraId="300212F8" w14:textId="77777777" w:rsidR="000A3BD3" w:rsidRPr="004676F5" w:rsidRDefault="000A3BD3" w:rsidP="008303C5">
      <w:pPr>
        <w:jc w:val="both"/>
        <w:rPr>
          <w:lang w:val="de-DE"/>
        </w:rPr>
      </w:pPr>
    </w:p>
    <w:p w14:paraId="427372A5" w14:textId="0662E30F" w:rsidR="008303C5" w:rsidRPr="004676F5" w:rsidRDefault="008303C5" w:rsidP="008303C5">
      <w:pPr>
        <w:jc w:val="both"/>
        <w:rPr>
          <w:lang w:val="de-DE"/>
        </w:rPr>
      </w:pPr>
      <w:r w:rsidRPr="004676F5">
        <w:rPr>
          <w:lang w:val="de-DE"/>
        </w:rPr>
        <w:tab/>
      </w:r>
      <w:r w:rsidR="00BE0A56" w:rsidRPr="004676F5">
        <w:rPr>
          <w:b/>
          <w:lang w:val="de-DE"/>
        </w:rPr>
        <w:t>Art. </w:t>
      </w:r>
      <w:r w:rsidRPr="004676F5">
        <w:rPr>
          <w:b/>
          <w:lang w:val="de-DE"/>
        </w:rPr>
        <w:t>XVII.6</w:t>
      </w:r>
      <w:r w:rsidRPr="004676F5">
        <w:rPr>
          <w:lang w:val="de-DE"/>
        </w:rPr>
        <w:t> </w:t>
      </w:r>
      <w:r w:rsidR="00C94CBB" w:rsidRPr="004676F5">
        <w:rPr>
          <w:lang w:val="de-DE"/>
        </w:rPr>
        <w:t>-</w:t>
      </w:r>
      <w:r w:rsidR="005B7A5C" w:rsidRPr="004676F5">
        <w:rPr>
          <w:lang w:val="de-DE"/>
        </w:rPr>
        <w:t> </w:t>
      </w:r>
      <w:r w:rsidR="00C94CBB" w:rsidRPr="004676F5">
        <w:rPr>
          <w:lang w:val="de-DE"/>
        </w:rPr>
        <w:t xml:space="preserve">[§ 1] - </w:t>
      </w:r>
      <w:r w:rsidRPr="004676F5">
        <w:rPr>
          <w:lang w:val="de-DE"/>
        </w:rPr>
        <w:t>Die Klage wird im Eilverfahren eingeleitet und untersucht.</w:t>
      </w:r>
    </w:p>
    <w:p w14:paraId="6201F5B0" w14:textId="77777777" w:rsidR="008303C5" w:rsidRPr="004676F5" w:rsidRDefault="008303C5" w:rsidP="008303C5">
      <w:pPr>
        <w:jc w:val="both"/>
        <w:rPr>
          <w:lang w:val="de-DE"/>
        </w:rPr>
      </w:pPr>
    </w:p>
    <w:p w14:paraId="003B4CC3" w14:textId="77777777" w:rsidR="008303C5" w:rsidRPr="004676F5" w:rsidRDefault="008303C5" w:rsidP="008303C5">
      <w:pPr>
        <w:jc w:val="both"/>
        <w:rPr>
          <w:lang w:val="de-DE"/>
        </w:rPr>
      </w:pPr>
      <w:r w:rsidRPr="004676F5">
        <w:rPr>
          <w:lang w:val="de-DE"/>
        </w:rPr>
        <w:tab/>
        <w:t>Sie kann gemäß den Artikeln 1034</w:t>
      </w:r>
      <w:r w:rsidRPr="004676F5">
        <w:rPr>
          <w:i/>
          <w:lang w:val="de-DE"/>
        </w:rPr>
        <w:t>ter</w:t>
      </w:r>
      <w:r w:rsidRPr="004676F5">
        <w:rPr>
          <w:lang w:val="de-DE"/>
        </w:rPr>
        <w:t xml:space="preserve"> bis 1034</w:t>
      </w:r>
      <w:r w:rsidRPr="004676F5">
        <w:rPr>
          <w:i/>
          <w:lang w:val="de-DE"/>
        </w:rPr>
        <w:t>sexies</w:t>
      </w:r>
      <w:r w:rsidRPr="004676F5">
        <w:rPr>
          <w:lang w:val="de-DE"/>
        </w:rPr>
        <w:t xml:space="preserve"> des Gerichtsgesetzbuches durch eine kontradiktorische Antragschrift eingereicht werden.</w:t>
      </w:r>
    </w:p>
    <w:p w14:paraId="7DFC96EC" w14:textId="77777777" w:rsidR="008303C5" w:rsidRPr="004676F5" w:rsidRDefault="008303C5" w:rsidP="008303C5">
      <w:pPr>
        <w:jc w:val="both"/>
        <w:rPr>
          <w:lang w:val="de-DE"/>
        </w:rPr>
      </w:pPr>
    </w:p>
    <w:p w14:paraId="5E36E3E1" w14:textId="77777777" w:rsidR="008303C5" w:rsidRPr="004676F5" w:rsidRDefault="008303C5" w:rsidP="008303C5">
      <w:pPr>
        <w:jc w:val="both"/>
        <w:rPr>
          <w:lang w:val="de-DE"/>
        </w:rPr>
      </w:pPr>
      <w:r w:rsidRPr="004676F5">
        <w:rPr>
          <w:lang w:val="de-DE"/>
        </w:rPr>
        <w:tab/>
        <w:t>Das Urteil ist vorläufig vollstreckbar ungeachtet irgendeines Rechtsmittels und ohne Sicherheitsleistung.</w:t>
      </w:r>
    </w:p>
    <w:p w14:paraId="7AD1189C" w14:textId="77777777" w:rsidR="008303C5" w:rsidRPr="004676F5" w:rsidRDefault="008303C5" w:rsidP="008303C5">
      <w:pPr>
        <w:jc w:val="both"/>
        <w:rPr>
          <w:lang w:val="de-DE"/>
        </w:rPr>
      </w:pPr>
    </w:p>
    <w:p w14:paraId="42AA0BC3" w14:textId="2E662FFD" w:rsidR="008303C5" w:rsidRPr="004676F5" w:rsidRDefault="008303C5" w:rsidP="008303C5">
      <w:pPr>
        <w:jc w:val="both"/>
        <w:rPr>
          <w:lang w:val="de-DE"/>
        </w:rPr>
      </w:pPr>
      <w:r w:rsidRPr="004676F5">
        <w:rPr>
          <w:lang w:val="de-DE"/>
        </w:rPr>
        <w:tab/>
        <w:t>Jede Entscheidung infolge einer auf den Artikeln</w:t>
      </w:r>
      <w:r w:rsidR="000A3BD3" w:rsidRPr="004676F5">
        <w:rPr>
          <w:lang w:val="de-DE"/>
        </w:rPr>
        <w:t> [XVII.1/4]</w:t>
      </w:r>
      <w:r w:rsidRPr="004676F5">
        <w:rPr>
          <w:lang w:val="de-DE"/>
        </w:rPr>
        <w:t xml:space="preserve"> und XVII.2 beruhenden Klage wird auf Betreiben des Greffiers des zuständigen Gerichts dem Minister innerhalb acht Tagen mitgeteilt, außer wenn die Entscheidung infolge einer von ihm eingereichten Klage ergangen ist.</w:t>
      </w:r>
    </w:p>
    <w:p w14:paraId="109211AF" w14:textId="77777777" w:rsidR="008303C5" w:rsidRPr="004676F5" w:rsidRDefault="008303C5" w:rsidP="008303C5">
      <w:pPr>
        <w:jc w:val="both"/>
        <w:rPr>
          <w:lang w:val="de-DE"/>
        </w:rPr>
      </w:pPr>
    </w:p>
    <w:p w14:paraId="4EBD11E2" w14:textId="419A4AF0" w:rsidR="008303C5" w:rsidRPr="004676F5" w:rsidRDefault="008303C5" w:rsidP="008303C5">
      <w:pPr>
        <w:jc w:val="both"/>
        <w:rPr>
          <w:lang w:val="de-DE"/>
        </w:rPr>
      </w:pPr>
      <w:r w:rsidRPr="004676F5">
        <w:rPr>
          <w:lang w:val="de-DE"/>
        </w:rPr>
        <w:tab/>
        <w:t>Außerdem muss der Greffier den Minister unverzüglich über eine Beschwerde, die gegen eine in Anwendung der Artikel</w:t>
      </w:r>
      <w:r w:rsidR="000A3BD3" w:rsidRPr="004676F5">
        <w:rPr>
          <w:lang w:val="de-DE"/>
        </w:rPr>
        <w:t> [XVII.1/4]</w:t>
      </w:r>
      <w:r w:rsidRPr="004676F5">
        <w:rPr>
          <w:lang w:val="de-DE"/>
        </w:rPr>
        <w:t xml:space="preserve"> und XVII.2 ergangene Entscheidung eingereicht wird, informieren.</w:t>
      </w:r>
    </w:p>
    <w:p w14:paraId="4663E47E" w14:textId="77777777" w:rsidR="008303C5" w:rsidRPr="004676F5" w:rsidRDefault="008303C5" w:rsidP="008303C5">
      <w:pPr>
        <w:jc w:val="both"/>
        <w:rPr>
          <w:lang w:val="de-DE"/>
        </w:rPr>
      </w:pPr>
    </w:p>
    <w:p w14:paraId="4971BFC1" w14:textId="7807FD9E" w:rsidR="008303C5" w:rsidRPr="004676F5" w:rsidRDefault="008303C5" w:rsidP="008303C5">
      <w:pPr>
        <w:jc w:val="both"/>
        <w:rPr>
          <w:lang w:val="de-DE"/>
        </w:rPr>
      </w:pPr>
      <w:r w:rsidRPr="004676F5">
        <w:rPr>
          <w:lang w:val="de-DE"/>
        </w:rPr>
        <w:tab/>
        <w:t>Bezieht sich die Entscheidung auf einen Zuwiderhandelnden, der einen regle</w:t>
      </w:r>
      <w:r w:rsidRPr="004676F5">
        <w:rPr>
          <w:lang w:val="de-DE"/>
        </w:rPr>
        <w:softHyphen/>
        <w:t>mentierten Beruf ausübt, der einer Berufsbehörde untersteht, wird sie außerdem der zuständigen Berufsbehörde mitgeteilt. Ebenso muss der Greffier des Gerichts, vor dem eine Beschwerde gegen eine solche Entscheidung eingereicht wird, die zuständige Berufsbehörde unverzüglich über die Einreichung der Beschwerde informieren</w:t>
      </w:r>
      <w:r w:rsidR="009F1F7C" w:rsidRPr="004676F5">
        <w:rPr>
          <w:lang w:val="de-DE"/>
        </w:rPr>
        <w:t>.</w:t>
      </w:r>
    </w:p>
    <w:p w14:paraId="50CCB956" w14:textId="77777777" w:rsidR="00F26D7D" w:rsidRPr="004676F5" w:rsidRDefault="00F26D7D" w:rsidP="008303C5">
      <w:pPr>
        <w:jc w:val="both"/>
        <w:rPr>
          <w:lang w:val="de-DE"/>
        </w:rPr>
      </w:pPr>
    </w:p>
    <w:p w14:paraId="24CF333B" w14:textId="309EA79C" w:rsidR="00F26D7D" w:rsidRPr="004676F5" w:rsidRDefault="00F26D7D" w:rsidP="00F26D7D">
      <w:pPr>
        <w:jc w:val="both"/>
        <w:rPr>
          <w:lang w:val="de-DE"/>
        </w:rPr>
      </w:pPr>
      <w:r w:rsidRPr="004676F5">
        <w:rPr>
          <w:lang w:val="de-DE"/>
        </w:rPr>
        <w:tab/>
        <w:t>[§ 2 - Bei Klagen wie in Artikel XVII.1/4 Absatz 2 oder 3 erwähnt wird die Verjährungsfrist für Einzelklagen der von einer solchen Unterlassungsklage betroffenen Verbraucher oder KMU für den Zeitraum zwischen dem Tag der Erhebung der Unterlassungsklage und dem Tag der Entscheidung über diese Unterlassungsklage ausgesetzt.</w:t>
      </w:r>
    </w:p>
    <w:p w14:paraId="3BED31FB" w14:textId="77777777" w:rsidR="00F26D7D" w:rsidRPr="004676F5" w:rsidRDefault="00F26D7D" w:rsidP="00F26D7D">
      <w:pPr>
        <w:jc w:val="both"/>
        <w:rPr>
          <w:lang w:val="de-DE"/>
        </w:rPr>
      </w:pPr>
    </w:p>
    <w:p w14:paraId="65A3D4F1" w14:textId="7C6518D0" w:rsidR="00F26D7D" w:rsidRPr="004676F5" w:rsidRDefault="00F26D7D" w:rsidP="00F26D7D">
      <w:pPr>
        <w:jc w:val="both"/>
        <w:rPr>
          <w:lang w:val="de-DE"/>
        </w:rPr>
      </w:pPr>
      <w:r w:rsidRPr="004676F5">
        <w:rPr>
          <w:lang w:val="de-DE"/>
        </w:rPr>
        <w:tab/>
        <w:t>Bei der Entscheidung über eine Klage wie in Artikel XVII.1/4 Absatz 2 oder 3 erwähnt kann der Richter auf Antrag der qualifizierten Einrichtung und unter der Voraussetzung, dass die betroffenen Verbraucher oder KMU individualisiert werden können, verlangen, dass der Zuwiderhandelnde die betroffenen Verbraucher oder KMU auf seine Kosten von der Endentscheidung, die die Unterlassungsmaßnahme vorsieht, unterrichtet. Der Richter lehnt einen solchen Antrag ab, wenn die betroffenen Verbraucher oder KMU auf andere Weise von der Entscheidung unterrichtet werden.]</w:t>
      </w:r>
    </w:p>
    <w:p w14:paraId="2BD61B18" w14:textId="77777777" w:rsidR="002125E5" w:rsidRPr="004676F5" w:rsidRDefault="002125E5">
      <w:pPr>
        <w:rPr>
          <w:lang w:val="de-DE"/>
        </w:rPr>
      </w:pPr>
    </w:p>
    <w:p w14:paraId="7A5232BA" w14:textId="1C422E7E" w:rsidR="000A3BD3" w:rsidRPr="004676F5" w:rsidRDefault="000A3BD3" w:rsidP="00C94CBB">
      <w:pPr>
        <w:jc w:val="both"/>
        <w:rPr>
          <w:i/>
          <w:iCs/>
          <w:lang w:val="de-DE"/>
        </w:rPr>
      </w:pPr>
      <w:r w:rsidRPr="004676F5">
        <w:rPr>
          <w:i/>
          <w:iCs/>
          <w:lang w:val="de-DE"/>
        </w:rPr>
        <w:t>[Art.</w:t>
      </w:r>
      <w:r w:rsidR="00755C88">
        <w:rPr>
          <w:i/>
          <w:iCs/>
          <w:lang w:val="de-DE"/>
        </w:rPr>
        <w:t> </w:t>
      </w:r>
      <w:r w:rsidRPr="004676F5">
        <w:rPr>
          <w:i/>
          <w:iCs/>
          <w:lang w:val="de-DE"/>
        </w:rPr>
        <w:t xml:space="preserve">XVII.6 </w:t>
      </w:r>
      <w:r w:rsidR="00C94CBB" w:rsidRPr="004676F5">
        <w:rPr>
          <w:i/>
          <w:iCs/>
          <w:lang w:val="de-DE"/>
        </w:rPr>
        <w:t xml:space="preserve">§ 1 nummeriert durch Art. 15 des G. vom 21. April 2024 (II) (B.S. vom 31. Mai 2024); § 1 </w:t>
      </w:r>
      <w:r w:rsidRPr="004676F5">
        <w:rPr>
          <w:i/>
          <w:iCs/>
          <w:lang w:val="de-DE"/>
        </w:rPr>
        <w:t>Abs. 4 und 5 abgeändert durch Art. 3 Nr. 4 des G. vom 21. April 2024 (II) (B.S. vom 31. Mai 2024)</w:t>
      </w:r>
      <w:r w:rsidR="00F26D7D" w:rsidRPr="004676F5">
        <w:rPr>
          <w:i/>
          <w:iCs/>
          <w:lang w:val="de-DE"/>
        </w:rPr>
        <w:t>; § 2 eingefügt durch Art. 15 des G. vom 21. April 2024 (II) (B.S. vom 31. Mai 2024)</w:t>
      </w:r>
      <w:r w:rsidRPr="004676F5">
        <w:rPr>
          <w:i/>
          <w:iCs/>
          <w:lang w:val="de-DE"/>
        </w:rPr>
        <w:t>]</w:t>
      </w:r>
    </w:p>
    <w:p w14:paraId="4008986E" w14:textId="77777777" w:rsidR="00F26D7D" w:rsidRPr="004676F5" w:rsidRDefault="00F26D7D" w:rsidP="00C94CBB">
      <w:pPr>
        <w:jc w:val="both"/>
        <w:rPr>
          <w:i/>
          <w:iCs/>
          <w:lang w:val="de-DE"/>
        </w:rPr>
      </w:pPr>
    </w:p>
    <w:p w14:paraId="5803D0A6" w14:textId="77777777" w:rsidR="00F26D7D" w:rsidRPr="004676F5" w:rsidRDefault="00F26D7D" w:rsidP="00C94CBB">
      <w:pPr>
        <w:jc w:val="both"/>
        <w:rPr>
          <w:i/>
          <w:iCs/>
          <w:lang w:val="de-DE"/>
        </w:rPr>
      </w:pPr>
    </w:p>
    <w:p w14:paraId="308BF59A" w14:textId="6A12CD68" w:rsidR="00F26D7D" w:rsidRPr="004676F5" w:rsidRDefault="00F26D7D" w:rsidP="00C94CBB">
      <w:pPr>
        <w:jc w:val="both"/>
        <w:rPr>
          <w:lang w:val="de-DE"/>
        </w:rPr>
      </w:pPr>
      <w:r w:rsidRPr="004676F5">
        <w:rPr>
          <w:lang w:val="de-DE"/>
        </w:rPr>
        <w:lastRenderedPageBreak/>
        <w:tab/>
        <w:t>[</w:t>
      </w:r>
      <w:r w:rsidRPr="004676F5">
        <w:rPr>
          <w:b/>
          <w:bCs/>
          <w:lang w:val="de-DE"/>
        </w:rPr>
        <w:t>Art. XVII.6/1</w:t>
      </w:r>
      <w:r w:rsidRPr="004676F5">
        <w:rPr>
          <w:lang w:val="de-DE"/>
        </w:rPr>
        <w:t> - Wenn Handlungen Gegenstand einer Unterlassungsklage sind, kann über die Strafverfolgung erst entschieden werden, nachdem eine formell rechtskräftige Entscheidung in Bezug auf die Unterlassungsklage ergangen ist.]</w:t>
      </w:r>
    </w:p>
    <w:p w14:paraId="20E2E137" w14:textId="77777777" w:rsidR="00F26D7D" w:rsidRPr="004676F5" w:rsidRDefault="00F26D7D" w:rsidP="00C94CBB">
      <w:pPr>
        <w:jc w:val="both"/>
        <w:rPr>
          <w:lang w:val="de-DE"/>
        </w:rPr>
      </w:pPr>
    </w:p>
    <w:p w14:paraId="3E8BD281" w14:textId="1997B6EC" w:rsidR="00F26D7D" w:rsidRPr="004676F5" w:rsidRDefault="00F26D7D" w:rsidP="00C94CBB">
      <w:pPr>
        <w:jc w:val="both"/>
        <w:rPr>
          <w:i/>
          <w:iCs/>
          <w:lang w:val="de-DE"/>
        </w:rPr>
      </w:pPr>
      <w:r w:rsidRPr="004676F5">
        <w:rPr>
          <w:i/>
          <w:iCs/>
          <w:lang w:val="de-DE"/>
        </w:rPr>
        <w:t>[Art. XVII.6/1 eingefügt durch Art. 16 des G. vom 21. April 2024 (II) (B.S. vom 31. Mai 2024)]</w:t>
      </w:r>
    </w:p>
    <w:p w14:paraId="13E2B1C8" w14:textId="2F6148BB" w:rsidR="00BA5F18" w:rsidRPr="004676F5" w:rsidRDefault="00BA5F18">
      <w:pPr>
        <w:rPr>
          <w:lang w:val="de-DE"/>
        </w:rPr>
      </w:pPr>
    </w:p>
    <w:p w14:paraId="623B982D" w14:textId="77777777" w:rsidR="00F26D7D" w:rsidRPr="004676F5" w:rsidRDefault="00F26D7D">
      <w:pPr>
        <w:rPr>
          <w:lang w:val="de-DE"/>
        </w:rPr>
      </w:pPr>
    </w:p>
    <w:p w14:paraId="44400FCA" w14:textId="35EEEAD8" w:rsidR="00F26D7D" w:rsidRPr="004676F5" w:rsidRDefault="00F26D7D" w:rsidP="00F26D7D">
      <w:pPr>
        <w:jc w:val="both"/>
        <w:rPr>
          <w:lang w:val="de-DE"/>
        </w:rPr>
      </w:pPr>
      <w:r w:rsidRPr="004676F5">
        <w:rPr>
          <w:lang w:val="de-DE"/>
        </w:rPr>
        <w:tab/>
        <w:t>[</w:t>
      </w:r>
      <w:r w:rsidRPr="004676F5">
        <w:rPr>
          <w:rFonts w:eastAsia="Aptos"/>
          <w:b/>
          <w:bCs/>
          <w:kern w:val="2"/>
          <w:lang w:val="de-DE" w:eastAsia="en-US"/>
          <w14:ligatures w14:val="standardContextual"/>
        </w:rPr>
        <w:t>Art. XVII.6/2</w:t>
      </w:r>
      <w:r w:rsidRPr="004676F5">
        <w:rPr>
          <w:rFonts w:eastAsia="Aptos"/>
          <w:kern w:val="2"/>
          <w:lang w:val="de-DE" w:eastAsia="en-US"/>
          <w14:ligatures w14:val="standardContextual"/>
        </w:rPr>
        <w:t> - Bei Erhebung einer Klage, die auf Artikel XVII.1/4 Absatz 2 oder 3 beruht, macht die qualifizierte Verbrauchereinrichtung beziehungsweise die qualifizierte KMU-Einrichtung dem Gericht gegenüber hinreichende Angaben zu den von der Unterlassungsklage betroffenen Verbrauchern oder KMU.</w:t>
      </w:r>
      <w:r w:rsidRPr="004676F5">
        <w:rPr>
          <w:lang w:val="de-DE"/>
        </w:rPr>
        <w:t>]</w:t>
      </w:r>
    </w:p>
    <w:p w14:paraId="49637CE8" w14:textId="77777777" w:rsidR="00F26D7D" w:rsidRPr="004676F5" w:rsidRDefault="00F26D7D">
      <w:pPr>
        <w:rPr>
          <w:lang w:val="de-DE"/>
        </w:rPr>
      </w:pPr>
    </w:p>
    <w:p w14:paraId="069C3A09" w14:textId="107326DF" w:rsidR="00F26D7D" w:rsidRPr="004676F5" w:rsidRDefault="00F26D7D" w:rsidP="00F26D7D">
      <w:pPr>
        <w:jc w:val="both"/>
        <w:rPr>
          <w:i/>
          <w:iCs/>
          <w:lang w:val="de-DE"/>
        </w:rPr>
      </w:pPr>
      <w:r w:rsidRPr="004676F5">
        <w:rPr>
          <w:i/>
          <w:iCs/>
          <w:lang w:val="de-DE"/>
        </w:rPr>
        <w:t>[Art. XVII.6/2 eingefügt durch Art. 17 des G. vom 21. April 2024 (II) (B.S. vom 31. Mai 2024)]</w:t>
      </w:r>
    </w:p>
    <w:p w14:paraId="2423A5CC" w14:textId="77777777" w:rsidR="00F26D7D" w:rsidRPr="004676F5" w:rsidRDefault="00F26D7D">
      <w:pPr>
        <w:rPr>
          <w:lang w:val="de-DE"/>
        </w:rPr>
      </w:pPr>
    </w:p>
    <w:p w14:paraId="29B427CD" w14:textId="7F67BA50" w:rsidR="00F26D7D" w:rsidRPr="004676F5" w:rsidRDefault="00F26D7D">
      <w:pPr>
        <w:rPr>
          <w:lang w:val="de-DE"/>
        </w:rPr>
      </w:pPr>
      <w:r w:rsidRPr="004676F5">
        <w:rPr>
          <w:lang w:val="de-DE"/>
        </w:rPr>
        <w:br w:type="page"/>
      </w:r>
    </w:p>
    <w:p w14:paraId="00181EE6" w14:textId="422FF112" w:rsidR="008303C5" w:rsidRPr="004676F5" w:rsidRDefault="008303C5" w:rsidP="009F1F7C">
      <w:pPr>
        <w:jc w:val="center"/>
        <w:rPr>
          <w:i/>
          <w:lang w:val="de-DE"/>
        </w:rPr>
      </w:pPr>
      <w:r w:rsidRPr="004676F5">
        <w:rPr>
          <w:lang w:val="de-DE"/>
        </w:rPr>
        <w:lastRenderedPageBreak/>
        <w:t>KAPITEL 2 </w:t>
      </w:r>
      <w:r w:rsidR="005B7A5C" w:rsidRPr="004676F5">
        <w:rPr>
          <w:lang w:val="de-DE"/>
        </w:rPr>
        <w:t>- </w:t>
      </w:r>
      <w:r w:rsidRPr="004676F5">
        <w:rPr>
          <w:i/>
          <w:lang w:val="de-DE"/>
        </w:rPr>
        <w:t>Berechtigte zur Erhebung der Unterlassungsklage</w:t>
      </w:r>
    </w:p>
    <w:p w14:paraId="3865FC20" w14:textId="77777777" w:rsidR="008303C5" w:rsidRPr="004676F5" w:rsidRDefault="008303C5" w:rsidP="008303C5">
      <w:pPr>
        <w:jc w:val="center"/>
        <w:rPr>
          <w:lang w:val="de-DE"/>
        </w:rPr>
      </w:pPr>
    </w:p>
    <w:p w14:paraId="3B8635A9" w14:textId="77777777" w:rsidR="008303C5" w:rsidRPr="004676F5" w:rsidRDefault="008303C5" w:rsidP="008303C5">
      <w:pPr>
        <w:jc w:val="both"/>
        <w:rPr>
          <w:lang w:val="de-DE"/>
        </w:rPr>
      </w:pPr>
    </w:p>
    <w:p w14:paraId="26C57A4D" w14:textId="2335AB57" w:rsidR="008303C5" w:rsidRPr="004676F5" w:rsidRDefault="008303C5" w:rsidP="008303C5">
      <w:pPr>
        <w:jc w:val="both"/>
        <w:rPr>
          <w:lang w:val="de-DE"/>
        </w:rPr>
      </w:pPr>
      <w:r w:rsidRPr="004676F5">
        <w:rPr>
          <w:lang w:val="de-DE"/>
        </w:rPr>
        <w:tab/>
      </w:r>
      <w:r w:rsidR="00BE0A56" w:rsidRPr="004676F5">
        <w:rPr>
          <w:b/>
          <w:lang w:val="de-DE"/>
        </w:rPr>
        <w:t>Art. </w:t>
      </w:r>
      <w:r w:rsidRPr="004676F5">
        <w:rPr>
          <w:b/>
          <w:lang w:val="de-DE"/>
        </w:rPr>
        <w:t>XVII.7</w:t>
      </w:r>
      <w:r w:rsidRPr="004676F5">
        <w:rPr>
          <w:lang w:val="de-DE"/>
        </w:rPr>
        <w:t> </w:t>
      </w:r>
      <w:r w:rsidR="00F26D7D" w:rsidRPr="004676F5">
        <w:rPr>
          <w:lang w:val="de-DE"/>
        </w:rPr>
        <w:t>-</w:t>
      </w:r>
      <w:r w:rsidR="005B7A5C" w:rsidRPr="004676F5">
        <w:rPr>
          <w:lang w:val="de-DE"/>
        </w:rPr>
        <w:t> </w:t>
      </w:r>
      <w:r w:rsidR="00F26D7D" w:rsidRPr="004676F5">
        <w:rPr>
          <w:lang w:val="de-DE"/>
        </w:rPr>
        <w:t xml:space="preserve">[§ 1] - </w:t>
      </w:r>
      <w:r w:rsidRPr="004676F5">
        <w:rPr>
          <w:lang w:val="de-DE"/>
        </w:rPr>
        <w:t>Die Klage, die auf Artikel</w:t>
      </w:r>
      <w:r w:rsidR="007A0138" w:rsidRPr="004676F5">
        <w:rPr>
          <w:lang w:val="de-DE"/>
        </w:rPr>
        <w:t> [XVII.1/4]</w:t>
      </w:r>
      <w:r w:rsidRPr="004676F5">
        <w:rPr>
          <w:lang w:val="de-DE"/>
        </w:rPr>
        <w:t xml:space="preserve"> beruht, wird eingereicht auf Antrag:</w:t>
      </w:r>
    </w:p>
    <w:p w14:paraId="00F190A7" w14:textId="77777777" w:rsidR="008303C5" w:rsidRPr="004676F5" w:rsidRDefault="008303C5" w:rsidP="008303C5">
      <w:pPr>
        <w:jc w:val="both"/>
        <w:rPr>
          <w:lang w:val="de-DE"/>
        </w:rPr>
      </w:pPr>
    </w:p>
    <w:p w14:paraId="4E46FE61" w14:textId="77777777" w:rsidR="008303C5" w:rsidRPr="004676F5" w:rsidRDefault="008303C5" w:rsidP="008303C5">
      <w:pPr>
        <w:jc w:val="both"/>
        <w:rPr>
          <w:lang w:val="de-DE"/>
        </w:rPr>
      </w:pPr>
      <w:r w:rsidRPr="004676F5">
        <w:rPr>
          <w:lang w:val="de-DE"/>
        </w:rPr>
        <w:tab/>
        <w:t>1. der Interessehabenden,</w:t>
      </w:r>
    </w:p>
    <w:p w14:paraId="1499B36C" w14:textId="77777777" w:rsidR="008303C5" w:rsidRPr="004676F5" w:rsidRDefault="008303C5" w:rsidP="008303C5">
      <w:pPr>
        <w:jc w:val="both"/>
        <w:rPr>
          <w:lang w:val="de-DE"/>
        </w:rPr>
      </w:pPr>
    </w:p>
    <w:p w14:paraId="6784EF8D" w14:textId="74F06494" w:rsidR="008303C5" w:rsidRPr="004676F5" w:rsidRDefault="008303C5" w:rsidP="008303C5">
      <w:pPr>
        <w:jc w:val="both"/>
        <w:rPr>
          <w:lang w:val="de-DE"/>
        </w:rPr>
      </w:pPr>
      <w:r w:rsidRPr="004676F5">
        <w:rPr>
          <w:lang w:val="de-DE"/>
        </w:rPr>
        <w:tab/>
        <w:t xml:space="preserve">2. des für die betreffende Angelegenheit zuständigen Ministers oder </w:t>
      </w:r>
      <w:r w:rsidR="00270F53" w:rsidRPr="004676F5">
        <w:rPr>
          <w:lang w:val="de-DE"/>
        </w:rPr>
        <w:t>[des Generaldirektors der Generaldirektion Wirtschafts</w:t>
      </w:r>
      <w:r w:rsidR="00270F53" w:rsidRPr="004676F5">
        <w:rPr>
          <w:lang w:val="de-DE"/>
        </w:rPr>
        <w:softHyphen/>
        <w:t>inspektion]</w:t>
      </w:r>
      <w:r w:rsidRPr="004676F5">
        <w:rPr>
          <w:lang w:val="de-DE"/>
        </w:rPr>
        <w:t xml:space="preserve"> des Föderalen Öffentlichen Dienstes Wirtschaft, KMB, Mittelstand und Energie, es sei denn, der Antrag bezieht sich auf eine in Artikel VI.104 erwähnte Handlung,</w:t>
      </w:r>
    </w:p>
    <w:p w14:paraId="71E6F2B3" w14:textId="77777777" w:rsidR="008303C5" w:rsidRPr="004676F5" w:rsidRDefault="008303C5" w:rsidP="008303C5">
      <w:pPr>
        <w:jc w:val="both"/>
        <w:rPr>
          <w:lang w:val="de-DE"/>
        </w:rPr>
      </w:pPr>
    </w:p>
    <w:p w14:paraId="7B260C72" w14:textId="22710DF1" w:rsidR="00270F53" w:rsidRPr="004676F5" w:rsidRDefault="00270F53" w:rsidP="00270F53">
      <w:pPr>
        <w:ind w:firstLine="708"/>
        <w:rPr>
          <w:lang w:val="de-DE"/>
        </w:rPr>
      </w:pPr>
      <w:r w:rsidRPr="004676F5">
        <w:rPr>
          <w:lang w:val="de-DE"/>
        </w:rPr>
        <w:t>[2/1. der für Wirtschaft und für Mittelstand zuständigen Minister, gemeinsam, wenn der Antrag eine in den Artikeln VI.91/2 bis VI.91/6 erwähnte Handlung betrifft,]</w:t>
      </w:r>
    </w:p>
    <w:p w14:paraId="7DB862ED" w14:textId="77777777" w:rsidR="00270F53" w:rsidRPr="004676F5" w:rsidRDefault="00270F53" w:rsidP="00270F53">
      <w:pPr>
        <w:jc w:val="both"/>
        <w:rPr>
          <w:lang w:val="de-DE"/>
        </w:rPr>
      </w:pPr>
    </w:p>
    <w:p w14:paraId="1D6F33DC" w14:textId="7D3FCCC8" w:rsidR="00270F53" w:rsidRPr="004676F5" w:rsidRDefault="00270F53" w:rsidP="00270F53">
      <w:pPr>
        <w:jc w:val="both"/>
        <w:rPr>
          <w:lang w:val="de-DE"/>
        </w:rPr>
      </w:pPr>
      <w:r w:rsidRPr="004676F5">
        <w:rPr>
          <w:lang w:val="de-DE"/>
        </w:rPr>
        <w:tab/>
        <w:t>[2/2. der für Wirtschaft und für Mittelstand zuständigen Minister, gemeinsam, wenn der Antrag eine in Artikel VI.104/1 Nr. 1 und 2 erwähnte Handlung betrifft,]</w:t>
      </w:r>
    </w:p>
    <w:p w14:paraId="3FD71A5F" w14:textId="77777777" w:rsidR="00270F53" w:rsidRPr="004676F5" w:rsidRDefault="00270F53" w:rsidP="00270F53">
      <w:pPr>
        <w:jc w:val="both"/>
        <w:rPr>
          <w:lang w:val="de-DE"/>
        </w:rPr>
      </w:pPr>
    </w:p>
    <w:p w14:paraId="43F9AE3E" w14:textId="77777777" w:rsidR="008303C5" w:rsidRPr="004676F5" w:rsidRDefault="008303C5" w:rsidP="008303C5">
      <w:pPr>
        <w:jc w:val="both"/>
        <w:rPr>
          <w:lang w:val="de-DE"/>
        </w:rPr>
      </w:pPr>
      <w:r w:rsidRPr="004676F5">
        <w:rPr>
          <w:lang w:val="de-DE"/>
        </w:rPr>
        <w:tab/>
        <w:t>3. einer Berufsbehörde, eines Berufsverbandes oder überberuflichen Verbandes mit Rechtspersönlichkeit,</w:t>
      </w:r>
    </w:p>
    <w:p w14:paraId="5C9E6C0B" w14:textId="77777777" w:rsidR="008303C5" w:rsidRPr="004676F5" w:rsidRDefault="008303C5" w:rsidP="008303C5">
      <w:pPr>
        <w:jc w:val="both"/>
        <w:rPr>
          <w:lang w:val="de-DE"/>
        </w:rPr>
      </w:pPr>
    </w:p>
    <w:p w14:paraId="44A3D4F0" w14:textId="77777777" w:rsidR="008303C5" w:rsidRPr="004676F5" w:rsidRDefault="008303C5" w:rsidP="008303C5">
      <w:pPr>
        <w:jc w:val="both"/>
        <w:rPr>
          <w:lang w:val="de-DE"/>
        </w:rPr>
      </w:pPr>
      <w:r w:rsidRPr="004676F5">
        <w:rPr>
          <w:lang w:val="de-DE"/>
        </w:rPr>
        <w:tab/>
        <w:t>4. einer Vereinigung mit Rechtspersönlichkeit zur Verteidigung der Verbraucher</w:t>
      </w:r>
      <w:r w:rsidRPr="004676F5">
        <w:rPr>
          <w:lang w:val="de-DE"/>
        </w:rPr>
        <w:softHyphen/>
        <w:t>interessen, sofern sie im Verbraucherrat vertreten ist oder vom Minister gemäß Kriterien zugelassen ist, die durch einen im Ministerrat beratenen Königlichen Erlass festgelegt worden sind, es sei denn, der Antrag bezieht sich auf eine in Artikel VI.104 erwähnte Handlung.</w:t>
      </w:r>
    </w:p>
    <w:p w14:paraId="5C2CC717" w14:textId="77777777" w:rsidR="008303C5" w:rsidRPr="004676F5" w:rsidRDefault="008303C5" w:rsidP="008303C5">
      <w:pPr>
        <w:jc w:val="both"/>
        <w:rPr>
          <w:lang w:val="de-DE"/>
        </w:rPr>
      </w:pPr>
    </w:p>
    <w:p w14:paraId="3CDE9745" w14:textId="35F607C1" w:rsidR="008303C5" w:rsidRPr="004676F5" w:rsidRDefault="008303C5" w:rsidP="009F1F7C">
      <w:pPr>
        <w:jc w:val="both"/>
        <w:rPr>
          <w:lang w:val="de-DE"/>
        </w:rPr>
      </w:pPr>
      <w:r w:rsidRPr="004676F5">
        <w:rPr>
          <w:lang w:val="de-DE"/>
        </w:rPr>
        <w:tab/>
      </w:r>
      <w:r w:rsidR="00D84929" w:rsidRPr="004676F5">
        <w:rPr>
          <w:lang w:val="de-DE"/>
        </w:rPr>
        <w:t>[Die in Absatz 1 Nr. 3 und 4 erwähnten Vereinigungen und Verbände können]</w:t>
      </w:r>
      <w:r w:rsidRPr="004676F5">
        <w:rPr>
          <w:lang w:val="de-DE"/>
        </w:rPr>
        <w:t xml:space="preserve"> zur Verteidigung ihrer in der Satzung definierten kollektiven Interessen vor Gericht treten.</w:t>
      </w:r>
    </w:p>
    <w:p w14:paraId="425E0AB5" w14:textId="77777777" w:rsidR="004B4A47" w:rsidRPr="004676F5" w:rsidRDefault="004B4A47" w:rsidP="009F1F7C">
      <w:pPr>
        <w:jc w:val="both"/>
        <w:rPr>
          <w:lang w:val="de-DE"/>
        </w:rPr>
      </w:pPr>
    </w:p>
    <w:p w14:paraId="2CCD9706" w14:textId="77777777" w:rsidR="004B4A47" w:rsidRDefault="004B4A47" w:rsidP="009F1F7C">
      <w:pPr>
        <w:jc w:val="both"/>
        <w:rPr>
          <w:lang w:val="de-DE"/>
        </w:rPr>
      </w:pPr>
      <w:r w:rsidRPr="004676F5">
        <w:rPr>
          <w:lang w:val="de-DE"/>
        </w:rPr>
        <w:tab/>
        <w:t>[Gegen Freiberufler kann die in Absatz 1 erwähnte Unterlassungsklage ebenfalls auf Antrag einer Krankenkasse oder eines Krankenkassenlandesverbandes eingereicht werden. Absatz 2 ist anwendbar.]</w:t>
      </w:r>
    </w:p>
    <w:p w14:paraId="66BDE3FB" w14:textId="77777777" w:rsidR="008E4279" w:rsidRDefault="008E4279" w:rsidP="009F1F7C">
      <w:pPr>
        <w:jc w:val="both"/>
        <w:rPr>
          <w:lang w:val="de-DE"/>
        </w:rPr>
      </w:pPr>
    </w:p>
    <w:p w14:paraId="5100DA85" w14:textId="0E2A3244" w:rsidR="008E4279" w:rsidRPr="008E4279" w:rsidRDefault="008E4279" w:rsidP="008E4279">
      <w:pPr>
        <w:jc w:val="both"/>
        <w:rPr>
          <w:lang w:val="de-DE"/>
        </w:rPr>
      </w:pPr>
      <w:r>
        <w:rPr>
          <w:lang w:val="de-DE"/>
        </w:rPr>
        <w:tab/>
        <w:t>[</w:t>
      </w:r>
      <w:r w:rsidRPr="008E4279">
        <w:rPr>
          <w:lang w:val="de-DE"/>
        </w:rPr>
        <w:t>§</w:t>
      </w:r>
      <w:r>
        <w:rPr>
          <w:lang w:val="de-DE"/>
        </w:rPr>
        <w:t> </w:t>
      </w:r>
      <w:r w:rsidRPr="008E4279">
        <w:rPr>
          <w:lang w:val="de-DE"/>
        </w:rPr>
        <w:t>2 - Die Klage, die auf Artikel</w:t>
      </w:r>
      <w:r>
        <w:rPr>
          <w:lang w:val="de-DE"/>
        </w:rPr>
        <w:t> </w:t>
      </w:r>
      <w:r w:rsidRPr="008E4279">
        <w:rPr>
          <w:lang w:val="de-DE"/>
        </w:rPr>
        <w:t>XVII.1/4 Absatz</w:t>
      </w:r>
      <w:r>
        <w:rPr>
          <w:lang w:val="de-DE"/>
        </w:rPr>
        <w:t> </w:t>
      </w:r>
      <w:r w:rsidRPr="008E4279">
        <w:rPr>
          <w:lang w:val="de-DE"/>
        </w:rPr>
        <w:t>2 beruht, wird eingereicht auf Antrag:</w:t>
      </w:r>
    </w:p>
    <w:p w14:paraId="28CC088B" w14:textId="77777777" w:rsidR="008E4279" w:rsidRPr="008E4279" w:rsidRDefault="008E4279" w:rsidP="008E4279">
      <w:pPr>
        <w:jc w:val="both"/>
        <w:rPr>
          <w:lang w:val="de-DE"/>
        </w:rPr>
      </w:pPr>
    </w:p>
    <w:p w14:paraId="36708960" w14:textId="753ACA45" w:rsidR="008E4279" w:rsidRPr="008E4279" w:rsidRDefault="008E4279" w:rsidP="008E4279">
      <w:pPr>
        <w:jc w:val="both"/>
        <w:rPr>
          <w:lang w:val="de-DE"/>
        </w:rPr>
      </w:pPr>
      <w:r w:rsidRPr="008E4279">
        <w:rPr>
          <w:lang w:val="de-DE"/>
        </w:rPr>
        <w:tab/>
        <w:t>1. einer qualifizierten Verbrauchereinrichtung wie in Artikel</w:t>
      </w:r>
      <w:r>
        <w:rPr>
          <w:lang w:val="de-DE"/>
        </w:rPr>
        <w:t> </w:t>
      </w:r>
      <w:r w:rsidRPr="008E4279">
        <w:rPr>
          <w:lang w:val="de-DE"/>
        </w:rPr>
        <w:t>XVII.1 §</w:t>
      </w:r>
      <w:r>
        <w:rPr>
          <w:lang w:val="de-DE"/>
        </w:rPr>
        <w:t> </w:t>
      </w:r>
      <w:r w:rsidRPr="008E4279">
        <w:rPr>
          <w:lang w:val="de-DE"/>
        </w:rPr>
        <w:t>1 oder Artikel</w:t>
      </w:r>
      <w:r>
        <w:rPr>
          <w:lang w:val="de-DE"/>
        </w:rPr>
        <w:t> </w:t>
      </w:r>
      <w:r w:rsidRPr="008E4279">
        <w:rPr>
          <w:lang w:val="de-DE"/>
        </w:rPr>
        <w:t>XVII.1 §</w:t>
      </w:r>
      <w:r>
        <w:rPr>
          <w:lang w:val="de-DE"/>
        </w:rPr>
        <w:t> </w:t>
      </w:r>
      <w:r w:rsidRPr="008E4279">
        <w:rPr>
          <w:lang w:val="de-DE"/>
        </w:rPr>
        <w:t>3 erwähnt oder</w:t>
      </w:r>
    </w:p>
    <w:p w14:paraId="1652E94A" w14:textId="77777777" w:rsidR="008E4279" w:rsidRPr="008E4279" w:rsidRDefault="008E4279" w:rsidP="008E4279">
      <w:pPr>
        <w:jc w:val="both"/>
        <w:rPr>
          <w:lang w:val="de-DE"/>
        </w:rPr>
      </w:pPr>
    </w:p>
    <w:p w14:paraId="05CC8551" w14:textId="77777777" w:rsidR="008E4279" w:rsidRPr="008E4279" w:rsidRDefault="008E4279" w:rsidP="008E4279">
      <w:pPr>
        <w:jc w:val="both"/>
        <w:rPr>
          <w:lang w:val="de-DE"/>
        </w:rPr>
      </w:pPr>
      <w:r w:rsidRPr="008E4279">
        <w:rPr>
          <w:lang w:val="de-DE"/>
        </w:rPr>
        <w:tab/>
        <w:t>2. des Ministers oder des Generaldirektors der Generaldirektion Wirtschaftsinspektion des FÖD Wirtschaft oder</w:t>
      </w:r>
    </w:p>
    <w:p w14:paraId="12232834" w14:textId="77777777" w:rsidR="008E4279" w:rsidRPr="008E4279" w:rsidRDefault="008E4279" w:rsidP="008E4279">
      <w:pPr>
        <w:jc w:val="both"/>
        <w:rPr>
          <w:lang w:val="de-DE"/>
        </w:rPr>
      </w:pPr>
    </w:p>
    <w:p w14:paraId="69CA1A12" w14:textId="0B0657D7" w:rsidR="008E4279" w:rsidRPr="008E4279" w:rsidRDefault="008E4279" w:rsidP="008E4279">
      <w:pPr>
        <w:jc w:val="both"/>
        <w:rPr>
          <w:lang w:val="de-DE"/>
        </w:rPr>
      </w:pPr>
      <w:r w:rsidRPr="008E4279">
        <w:rPr>
          <w:lang w:val="de-DE"/>
        </w:rPr>
        <w:tab/>
        <w:t>3. einer qualifizierten KMU-Einrichtung wie in Artikel</w:t>
      </w:r>
      <w:r>
        <w:rPr>
          <w:lang w:val="de-DE"/>
        </w:rPr>
        <w:t> </w:t>
      </w:r>
      <w:r w:rsidRPr="008E4279">
        <w:rPr>
          <w:lang w:val="de-DE"/>
        </w:rPr>
        <w:t>XVII.1 §§</w:t>
      </w:r>
      <w:r>
        <w:rPr>
          <w:lang w:val="de-DE"/>
        </w:rPr>
        <w:t> </w:t>
      </w:r>
      <w:r w:rsidRPr="008E4279">
        <w:rPr>
          <w:lang w:val="de-DE"/>
        </w:rPr>
        <w:t>4 bis 6 erwähnt.</w:t>
      </w:r>
    </w:p>
    <w:p w14:paraId="095713D0" w14:textId="77777777" w:rsidR="008E4279" w:rsidRPr="008E4279" w:rsidRDefault="008E4279" w:rsidP="008E4279">
      <w:pPr>
        <w:jc w:val="both"/>
        <w:rPr>
          <w:lang w:val="de-DE"/>
        </w:rPr>
      </w:pPr>
    </w:p>
    <w:p w14:paraId="6C9FBBEC" w14:textId="4E6BB2AB" w:rsidR="008E4279" w:rsidRPr="008E4279" w:rsidRDefault="008E4279" w:rsidP="008E4279">
      <w:pPr>
        <w:jc w:val="both"/>
        <w:rPr>
          <w:lang w:val="de-DE"/>
        </w:rPr>
      </w:pPr>
      <w:r w:rsidRPr="008E4279">
        <w:rPr>
          <w:lang w:val="de-DE"/>
        </w:rPr>
        <w:tab/>
        <w:t>§</w:t>
      </w:r>
      <w:r>
        <w:rPr>
          <w:lang w:val="de-DE"/>
        </w:rPr>
        <w:t> </w:t>
      </w:r>
      <w:r w:rsidRPr="008E4279">
        <w:rPr>
          <w:lang w:val="de-DE"/>
        </w:rPr>
        <w:t>3 - Die Klage, die auf Artikel</w:t>
      </w:r>
      <w:r>
        <w:rPr>
          <w:lang w:val="de-DE"/>
        </w:rPr>
        <w:t> </w:t>
      </w:r>
      <w:r w:rsidRPr="008E4279">
        <w:rPr>
          <w:lang w:val="de-DE"/>
        </w:rPr>
        <w:t>XVII.1/4 Absatz</w:t>
      </w:r>
      <w:r>
        <w:rPr>
          <w:lang w:val="de-DE"/>
        </w:rPr>
        <w:t> </w:t>
      </w:r>
      <w:r w:rsidRPr="008E4279">
        <w:rPr>
          <w:lang w:val="de-DE"/>
        </w:rPr>
        <w:t>3 beruht, wird auf Antrag einer qualifizierten Einrichtung wie in Artikel</w:t>
      </w:r>
      <w:r>
        <w:rPr>
          <w:lang w:val="de-DE"/>
        </w:rPr>
        <w:t> </w:t>
      </w:r>
      <w:r w:rsidRPr="008E4279">
        <w:rPr>
          <w:lang w:val="de-DE"/>
        </w:rPr>
        <w:t>XVII.1 §</w:t>
      </w:r>
      <w:r>
        <w:rPr>
          <w:lang w:val="de-DE"/>
        </w:rPr>
        <w:t> </w:t>
      </w:r>
      <w:r w:rsidRPr="008E4279">
        <w:rPr>
          <w:lang w:val="de-DE"/>
        </w:rPr>
        <w:t>2 erwähnt eingereicht.</w:t>
      </w:r>
    </w:p>
    <w:p w14:paraId="46F930C3" w14:textId="77777777" w:rsidR="008E4279" w:rsidRPr="008E4279" w:rsidRDefault="008E4279" w:rsidP="008E4279">
      <w:pPr>
        <w:jc w:val="both"/>
        <w:rPr>
          <w:lang w:val="de-DE"/>
        </w:rPr>
      </w:pPr>
    </w:p>
    <w:p w14:paraId="60D0958F" w14:textId="399A6C2F" w:rsidR="008E4279" w:rsidRPr="008E4279" w:rsidRDefault="008E4279" w:rsidP="008E4279">
      <w:pPr>
        <w:jc w:val="both"/>
        <w:rPr>
          <w:lang w:val="de-DE"/>
        </w:rPr>
      </w:pPr>
      <w:r w:rsidRPr="008E4279">
        <w:rPr>
          <w:lang w:val="de-DE"/>
        </w:rPr>
        <w:tab/>
        <w:t>Wenn der mutmaßliche Verstoß gegen Unionsrecht Verbraucher aus verschiedenen Mitgliedstaaten beeinträchtigt oder zu beeinträchtigen droht, kann die Klage wie in Artikel</w:t>
      </w:r>
      <w:r>
        <w:rPr>
          <w:lang w:val="de-DE"/>
        </w:rPr>
        <w:t> </w:t>
      </w:r>
      <w:r w:rsidRPr="008E4279">
        <w:rPr>
          <w:lang w:val="de-DE"/>
        </w:rPr>
        <w:t>XVII.1/4 Absatz</w:t>
      </w:r>
      <w:r>
        <w:rPr>
          <w:lang w:val="de-DE"/>
        </w:rPr>
        <w:t> </w:t>
      </w:r>
      <w:r w:rsidRPr="008E4279">
        <w:rPr>
          <w:lang w:val="de-DE"/>
        </w:rPr>
        <w:t xml:space="preserve">3 erwähnt durch mehrere qualifizierte Verbrauchereinrichtungen aus </w:t>
      </w:r>
      <w:r w:rsidRPr="008E4279">
        <w:rPr>
          <w:lang w:val="de-DE"/>
        </w:rPr>
        <w:lastRenderedPageBreak/>
        <w:t>verschiedenen Mitgliedstaaten zum Schutz der Kollektivinteressen von Verbrauchern aus verschiedenen Mitgliedstaaten erhoben werden.</w:t>
      </w:r>
    </w:p>
    <w:p w14:paraId="3D067E4B" w14:textId="77777777" w:rsidR="008E4279" w:rsidRPr="008E4279" w:rsidRDefault="008E4279" w:rsidP="008E4279">
      <w:pPr>
        <w:jc w:val="both"/>
        <w:rPr>
          <w:lang w:val="de-DE"/>
        </w:rPr>
      </w:pPr>
    </w:p>
    <w:p w14:paraId="3D27D9F0" w14:textId="7E69C378" w:rsidR="008E4279" w:rsidRPr="008E4279" w:rsidRDefault="008E4279" w:rsidP="008E4279">
      <w:pPr>
        <w:jc w:val="both"/>
        <w:rPr>
          <w:lang w:val="de-DE"/>
        </w:rPr>
      </w:pPr>
      <w:r w:rsidRPr="008E4279">
        <w:rPr>
          <w:lang w:val="de-DE"/>
        </w:rPr>
        <w:tab/>
        <w:t>Der Präsident des Unternehmensgerichts von Brüssel akzeptiert das in Artikel</w:t>
      </w:r>
      <w:r>
        <w:rPr>
          <w:lang w:val="de-DE"/>
        </w:rPr>
        <w:t> </w:t>
      </w:r>
      <w:r w:rsidRPr="008E4279">
        <w:rPr>
          <w:lang w:val="de-DE"/>
        </w:rPr>
        <w:t>XVII.1 §</w:t>
      </w:r>
      <w:r>
        <w:rPr>
          <w:lang w:val="de-DE"/>
        </w:rPr>
        <w:t> </w:t>
      </w:r>
      <w:r w:rsidRPr="008E4279">
        <w:rPr>
          <w:lang w:val="de-DE"/>
        </w:rPr>
        <w:t>2 Absatz</w:t>
      </w:r>
      <w:r>
        <w:rPr>
          <w:lang w:val="de-DE"/>
        </w:rPr>
        <w:t> </w:t>
      </w:r>
      <w:r w:rsidRPr="008E4279">
        <w:rPr>
          <w:lang w:val="de-DE"/>
        </w:rPr>
        <w:t>2 erwähnte Verzeichnis der qualifizierten Einrichtungen als Nachweis der Berechtigung der qualifizierten Einrichtung zur Klageerhebung unbeschadet seines Rechts zu prüfen, ob der Zweck der qualifizierten Einrichtung deren Klageerhebung in einem speziellen Fall rechtfertigt.</w:t>
      </w:r>
    </w:p>
    <w:p w14:paraId="3CE0AC19" w14:textId="77777777" w:rsidR="008E4279" w:rsidRPr="008E4279" w:rsidRDefault="008E4279" w:rsidP="008E4279">
      <w:pPr>
        <w:jc w:val="both"/>
        <w:rPr>
          <w:lang w:val="de-DE"/>
        </w:rPr>
      </w:pPr>
    </w:p>
    <w:p w14:paraId="123701BE" w14:textId="199BA540" w:rsidR="008E4279" w:rsidRPr="008E4279" w:rsidRDefault="008E4279" w:rsidP="008E4279">
      <w:pPr>
        <w:jc w:val="both"/>
        <w:rPr>
          <w:lang w:val="de-DE"/>
        </w:rPr>
      </w:pPr>
      <w:r w:rsidRPr="008E4279">
        <w:rPr>
          <w:lang w:val="de-DE"/>
        </w:rPr>
        <w:tab/>
        <w:t>Eine Klage, die auf Artikel</w:t>
      </w:r>
      <w:r>
        <w:rPr>
          <w:lang w:val="de-DE"/>
        </w:rPr>
        <w:t> </w:t>
      </w:r>
      <w:r w:rsidRPr="008E4279">
        <w:rPr>
          <w:lang w:val="de-DE"/>
        </w:rPr>
        <w:t>XVII.1/4 Absatz</w:t>
      </w:r>
      <w:r>
        <w:rPr>
          <w:lang w:val="de-DE"/>
        </w:rPr>
        <w:t> </w:t>
      </w:r>
      <w:r w:rsidRPr="008E4279">
        <w:rPr>
          <w:lang w:val="de-DE"/>
        </w:rPr>
        <w:t>3 beruht, kann auch von einer qualifizierten KMU-Einrichtung wie in Artikel</w:t>
      </w:r>
      <w:r>
        <w:rPr>
          <w:lang w:val="de-DE"/>
        </w:rPr>
        <w:t> </w:t>
      </w:r>
      <w:r w:rsidRPr="008E4279">
        <w:rPr>
          <w:lang w:val="de-DE"/>
        </w:rPr>
        <w:t>XVII.1 §</w:t>
      </w:r>
      <w:r>
        <w:rPr>
          <w:lang w:val="de-DE"/>
        </w:rPr>
        <w:t> </w:t>
      </w:r>
      <w:r w:rsidRPr="008E4279">
        <w:rPr>
          <w:lang w:val="de-DE"/>
        </w:rPr>
        <w:t>7 erwähnt eingereicht werden.</w:t>
      </w:r>
    </w:p>
    <w:p w14:paraId="634A9483" w14:textId="77777777" w:rsidR="008E4279" w:rsidRPr="008E4279" w:rsidRDefault="008E4279" w:rsidP="008E4279">
      <w:pPr>
        <w:jc w:val="both"/>
        <w:rPr>
          <w:lang w:val="de-DE"/>
        </w:rPr>
      </w:pPr>
    </w:p>
    <w:p w14:paraId="3F305229" w14:textId="134082B2" w:rsidR="008E4279" w:rsidRPr="008E4279" w:rsidRDefault="008E4279" w:rsidP="008E4279">
      <w:pPr>
        <w:jc w:val="both"/>
        <w:rPr>
          <w:lang w:val="de-DE"/>
        </w:rPr>
      </w:pPr>
      <w:r w:rsidRPr="008E4279">
        <w:rPr>
          <w:lang w:val="de-DE"/>
        </w:rPr>
        <w:tab/>
        <w:t>Wenn der mutmaßliche Verstoß KMU aus verschiedenen Mitgliedstaaten beeinträchtigt oder zu beeinträchtigen droht, kann die Klage wie in Artikel</w:t>
      </w:r>
      <w:r>
        <w:rPr>
          <w:lang w:val="de-DE"/>
        </w:rPr>
        <w:t> </w:t>
      </w:r>
      <w:r w:rsidRPr="008E4279">
        <w:rPr>
          <w:lang w:val="de-DE"/>
        </w:rPr>
        <w:t>XVII.1/4 Absatz</w:t>
      </w:r>
      <w:r>
        <w:rPr>
          <w:lang w:val="de-DE"/>
        </w:rPr>
        <w:t> </w:t>
      </w:r>
      <w:r w:rsidRPr="008E4279">
        <w:rPr>
          <w:lang w:val="de-DE"/>
        </w:rPr>
        <w:t>3 erwähnt durch mehrere qualifizierte KMU-Einrichtungen aus verschiedenen Mitgliedstaaten zum Schutz der Kollektivinteressen von KMU aus verschiedenen Mitgliedstaaten erhoben werden.</w:t>
      </w:r>
    </w:p>
    <w:p w14:paraId="3BCCD04D" w14:textId="77777777" w:rsidR="008E4279" w:rsidRPr="008E4279" w:rsidRDefault="008E4279" w:rsidP="008E4279">
      <w:pPr>
        <w:jc w:val="both"/>
        <w:rPr>
          <w:lang w:val="de-DE"/>
        </w:rPr>
      </w:pPr>
    </w:p>
    <w:p w14:paraId="35FFA838" w14:textId="578FD531" w:rsidR="008E4279" w:rsidRPr="004676F5" w:rsidRDefault="008E4279" w:rsidP="008E4279">
      <w:pPr>
        <w:jc w:val="both"/>
        <w:rPr>
          <w:lang w:val="de-DE"/>
        </w:rPr>
      </w:pPr>
      <w:r w:rsidRPr="008E4279">
        <w:rPr>
          <w:lang w:val="de-DE"/>
        </w:rPr>
        <w:tab/>
        <w:t>§</w:t>
      </w:r>
      <w:r>
        <w:rPr>
          <w:lang w:val="de-DE"/>
        </w:rPr>
        <w:t> </w:t>
      </w:r>
      <w:r w:rsidRPr="008E4279">
        <w:rPr>
          <w:lang w:val="de-DE"/>
        </w:rPr>
        <w:t>4 - In Artikel</w:t>
      </w:r>
      <w:r>
        <w:rPr>
          <w:lang w:val="de-DE"/>
        </w:rPr>
        <w:t> </w:t>
      </w:r>
      <w:r w:rsidRPr="008E4279">
        <w:rPr>
          <w:lang w:val="de-DE"/>
        </w:rPr>
        <w:t>XVII.1 §</w:t>
      </w:r>
      <w:r>
        <w:rPr>
          <w:lang w:val="de-DE"/>
        </w:rPr>
        <w:t> </w:t>
      </w:r>
      <w:r w:rsidRPr="008E4279">
        <w:rPr>
          <w:lang w:val="de-DE"/>
        </w:rPr>
        <w:t>1 erwähnte qualifizierte Verbrauchereinrichtungen, der Minister oder der Generaldirektor der Generaldirektion Wirtschaftsinspektion des FÖD Wirtschaft sind befugt, eine grenzüberschreitende Unterlassungsklage zum Schutz der Kollektivinteressen von Verbrauchern in einem anderen Mitgliedstaat zu erheben.</w:t>
      </w:r>
      <w:r>
        <w:rPr>
          <w:lang w:val="de-DE"/>
        </w:rPr>
        <w:t>]</w:t>
      </w:r>
    </w:p>
    <w:p w14:paraId="66278FC7" w14:textId="77777777" w:rsidR="004B4A47" w:rsidRPr="004676F5" w:rsidRDefault="004B4A47" w:rsidP="009F1F7C">
      <w:pPr>
        <w:jc w:val="both"/>
        <w:rPr>
          <w:lang w:val="de-DE"/>
        </w:rPr>
      </w:pPr>
    </w:p>
    <w:p w14:paraId="16C3B3E4" w14:textId="1D62DF94" w:rsidR="004B4A47" w:rsidRPr="004676F5" w:rsidRDefault="004B4A47" w:rsidP="009F1F7C">
      <w:pPr>
        <w:jc w:val="both"/>
        <w:rPr>
          <w:i/>
          <w:lang w:val="de-DE"/>
        </w:rPr>
      </w:pPr>
      <w:r w:rsidRPr="004676F5">
        <w:rPr>
          <w:i/>
          <w:lang w:val="de-DE"/>
        </w:rPr>
        <w:t>[</w:t>
      </w:r>
      <w:r w:rsidR="00BE0A56" w:rsidRPr="004676F5">
        <w:rPr>
          <w:i/>
          <w:lang w:val="de-DE"/>
        </w:rPr>
        <w:t>Art. </w:t>
      </w:r>
      <w:r w:rsidRPr="004676F5">
        <w:rPr>
          <w:i/>
          <w:lang w:val="de-DE"/>
        </w:rPr>
        <w:t>XVII.7</w:t>
      </w:r>
      <w:r w:rsidR="007A0138" w:rsidRPr="004676F5">
        <w:rPr>
          <w:i/>
          <w:lang w:val="de-DE"/>
        </w:rPr>
        <w:t xml:space="preserve"> </w:t>
      </w:r>
      <w:r w:rsidR="00F26D7D" w:rsidRPr="004676F5">
        <w:rPr>
          <w:i/>
          <w:lang w:val="de-DE"/>
        </w:rPr>
        <w:t>§ 1 nummeriert durch</w:t>
      </w:r>
      <w:r w:rsidR="00F26D7D" w:rsidRPr="004676F5">
        <w:rPr>
          <w:i/>
          <w:iCs/>
          <w:lang w:val="de-DE"/>
        </w:rPr>
        <w:t xml:space="preserve"> Art. 18 des G. vom 21. April 2024 (II) (B.S. vom 31. Mai 2024); § 1 </w:t>
      </w:r>
      <w:r w:rsidR="007A0138" w:rsidRPr="004676F5">
        <w:rPr>
          <w:i/>
          <w:lang w:val="de-DE"/>
        </w:rPr>
        <w:t xml:space="preserve">Abs. 1 einleitende Bestimmung </w:t>
      </w:r>
      <w:r w:rsidR="007A0138" w:rsidRPr="004676F5">
        <w:rPr>
          <w:i/>
          <w:iCs/>
          <w:lang w:val="de-DE"/>
        </w:rPr>
        <w:t>abgeändert durch Art. 3 Nr. 5 des G. vom 21. April 2024 (II) (B.S. vom 31. Mai 2024)</w:t>
      </w:r>
      <w:r w:rsidR="007A0138" w:rsidRPr="004676F5">
        <w:rPr>
          <w:i/>
          <w:lang w:val="de-DE"/>
        </w:rPr>
        <w:t xml:space="preserve">; </w:t>
      </w:r>
      <w:r w:rsidR="00F26D7D" w:rsidRPr="004676F5">
        <w:rPr>
          <w:i/>
          <w:lang w:val="de-DE"/>
        </w:rPr>
        <w:t xml:space="preserve">§ 1 </w:t>
      </w:r>
      <w:r w:rsidR="00270F53" w:rsidRPr="004676F5">
        <w:rPr>
          <w:i/>
          <w:lang w:val="de-DE"/>
        </w:rPr>
        <w:t>Abs. 1 Nr. 2 abgeändert durch Art. 36 Buchstabe a)</w:t>
      </w:r>
      <w:r w:rsidR="00270F53" w:rsidRPr="004676F5">
        <w:rPr>
          <w:i/>
          <w:iCs/>
          <w:lang w:val="de-DE"/>
        </w:rPr>
        <w:t xml:space="preserve"> des G. vom 4. April 2019 (B.S. vom 24. Mai 2019); </w:t>
      </w:r>
      <w:r w:rsidR="00F26D7D" w:rsidRPr="004676F5">
        <w:rPr>
          <w:i/>
          <w:iCs/>
          <w:lang w:val="de-DE"/>
        </w:rPr>
        <w:t xml:space="preserve">§ 1 </w:t>
      </w:r>
      <w:r w:rsidR="00270F53" w:rsidRPr="004676F5">
        <w:rPr>
          <w:i/>
          <w:iCs/>
          <w:lang w:val="de-DE"/>
        </w:rPr>
        <w:t>Abs. 1 Nr. 2/1 eingefügt durch Art. 36 Buchstabe b) des G. vom 4. April 2019 (B.S. vom 24. Mai 2019);</w:t>
      </w:r>
      <w:r w:rsidR="00F26D7D" w:rsidRPr="004676F5">
        <w:rPr>
          <w:i/>
          <w:iCs/>
          <w:lang w:val="de-DE"/>
        </w:rPr>
        <w:t xml:space="preserve"> § 1</w:t>
      </w:r>
      <w:r w:rsidR="00270F53" w:rsidRPr="004676F5">
        <w:rPr>
          <w:i/>
          <w:iCs/>
          <w:lang w:val="de-DE"/>
        </w:rPr>
        <w:t xml:space="preserve"> Abs. 1 Nr. 2/2 eingefügt durch Art. 36 Buchstabe c) des G. vom 4. April 2019 (B.S. vom 24. Mai 2019); </w:t>
      </w:r>
      <w:r w:rsidR="00F26D7D" w:rsidRPr="004676F5">
        <w:rPr>
          <w:i/>
          <w:iCs/>
          <w:lang w:val="de-DE"/>
        </w:rPr>
        <w:t xml:space="preserve">§ 1 </w:t>
      </w:r>
      <w:r w:rsidR="00D84929" w:rsidRPr="004676F5">
        <w:rPr>
          <w:i/>
          <w:lang w:val="de-DE"/>
        </w:rPr>
        <w:t xml:space="preserve">Abs. 2 abgeändert durch </w:t>
      </w:r>
      <w:r w:rsidR="00BE0A56" w:rsidRPr="004676F5">
        <w:rPr>
          <w:i/>
          <w:lang w:val="de-DE"/>
        </w:rPr>
        <w:t>Art. </w:t>
      </w:r>
      <w:r w:rsidR="00D84929" w:rsidRPr="004676F5">
        <w:rPr>
          <w:i/>
          <w:lang w:val="de-DE"/>
        </w:rPr>
        <w:t>155</w:t>
      </w:r>
      <w:r w:rsidR="00D84929" w:rsidRPr="004676F5">
        <w:rPr>
          <w:i/>
          <w:iCs/>
          <w:lang w:val="de-DE"/>
        </w:rPr>
        <w:t xml:space="preserve"> des G. vom 21. Dezember 2018 (B.S. vom 31. Dezember 2018)</w:t>
      </w:r>
      <w:r w:rsidR="00D84929" w:rsidRPr="004676F5">
        <w:rPr>
          <w:i/>
          <w:lang w:val="de-DE"/>
        </w:rPr>
        <w:t>;</w:t>
      </w:r>
      <w:r w:rsidR="00F26D7D" w:rsidRPr="004676F5">
        <w:rPr>
          <w:i/>
          <w:lang w:val="de-DE"/>
        </w:rPr>
        <w:t xml:space="preserve"> § 1</w:t>
      </w:r>
      <w:r w:rsidR="00D84929" w:rsidRPr="004676F5">
        <w:rPr>
          <w:i/>
          <w:lang w:val="de-DE"/>
        </w:rPr>
        <w:t xml:space="preserve"> </w:t>
      </w:r>
      <w:r w:rsidRPr="004676F5">
        <w:rPr>
          <w:i/>
          <w:lang w:val="de-DE"/>
        </w:rPr>
        <w:t xml:space="preserve">Abs. 3 eingefügt durch </w:t>
      </w:r>
      <w:r w:rsidR="00BE0A56" w:rsidRPr="004676F5">
        <w:rPr>
          <w:i/>
          <w:lang w:val="de-DE"/>
        </w:rPr>
        <w:t>Art. </w:t>
      </w:r>
      <w:r w:rsidRPr="004676F5">
        <w:rPr>
          <w:i/>
          <w:lang w:val="de-DE"/>
        </w:rPr>
        <w:t>2 des G. vom 15. Mai 2014 (IV) (B.S. vom 28. Mai 2014)</w:t>
      </w:r>
      <w:r w:rsidR="00F26D7D" w:rsidRPr="004676F5">
        <w:rPr>
          <w:i/>
          <w:lang w:val="de-DE"/>
        </w:rPr>
        <w:t xml:space="preserve">; §§ 2 bis 4 </w:t>
      </w:r>
      <w:r w:rsidR="00F26D7D" w:rsidRPr="004676F5">
        <w:rPr>
          <w:i/>
          <w:iCs/>
          <w:lang w:val="de-DE"/>
        </w:rPr>
        <w:t>eingefügt durch Art. 18 des G. vom 21. April 2024 (II) (B.S. vom 31. Mai 2024)</w:t>
      </w:r>
      <w:r w:rsidRPr="004676F5">
        <w:rPr>
          <w:i/>
          <w:lang w:val="de-DE"/>
        </w:rPr>
        <w:t>]</w:t>
      </w:r>
    </w:p>
    <w:p w14:paraId="6CD8E933" w14:textId="77777777" w:rsidR="008303C5" w:rsidRPr="004676F5" w:rsidRDefault="008303C5" w:rsidP="008303C5">
      <w:pPr>
        <w:jc w:val="both"/>
        <w:rPr>
          <w:lang w:val="de-DE"/>
        </w:rPr>
      </w:pPr>
    </w:p>
    <w:p w14:paraId="58772C48" w14:textId="77777777" w:rsidR="008303C5" w:rsidRPr="004676F5" w:rsidRDefault="008303C5" w:rsidP="008303C5">
      <w:pPr>
        <w:jc w:val="both"/>
        <w:rPr>
          <w:lang w:val="de-DE"/>
        </w:rPr>
      </w:pPr>
    </w:p>
    <w:p w14:paraId="6EEAAF94" w14:textId="736D11C7" w:rsidR="008303C5" w:rsidRPr="004676F5" w:rsidRDefault="008303C5" w:rsidP="008303C5">
      <w:pPr>
        <w:jc w:val="both"/>
        <w:rPr>
          <w:lang w:val="de-DE"/>
        </w:rPr>
      </w:pPr>
      <w:r w:rsidRPr="004676F5">
        <w:rPr>
          <w:lang w:val="de-DE"/>
        </w:rPr>
        <w:tab/>
      </w:r>
      <w:r w:rsidR="00BE0A56" w:rsidRPr="004676F5">
        <w:rPr>
          <w:b/>
          <w:lang w:val="de-DE"/>
        </w:rPr>
        <w:t>Art. </w:t>
      </w:r>
      <w:r w:rsidRPr="004676F5">
        <w:rPr>
          <w:b/>
          <w:lang w:val="de-DE"/>
        </w:rPr>
        <w:t>XVII.8</w:t>
      </w:r>
      <w:r w:rsidRPr="004676F5">
        <w:rPr>
          <w:lang w:val="de-DE"/>
        </w:rPr>
        <w:t> </w:t>
      </w:r>
      <w:r w:rsidR="005B7A5C" w:rsidRPr="004676F5">
        <w:rPr>
          <w:lang w:val="de-DE"/>
        </w:rPr>
        <w:t>- </w:t>
      </w:r>
      <w:r w:rsidRPr="004676F5">
        <w:rPr>
          <w:lang w:val="de-DE"/>
        </w:rPr>
        <w:t xml:space="preserve">Unbeschadet der eventuellen Anwendung der Artikel VI.104 und </w:t>
      </w:r>
      <w:r w:rsidR="007A0138" w:rsidRPr="004676F5">
        <w:rPr>
          <w:lang w:val="de-DE"/>
        </w:rPr>
        <w:t>[XVII.1/4]</w:t>
      </w:r>
      <w:r w:rsidRPr="004676F5">
        <w:rPr>
          <w:lang w:val="de-DE"/>
        </w:rPr>
        <w:t xml:space="preserve"> auf die dort erwähnten Handlungen wird die Klage wegen Verstoß gegen Artikel XVII.2 ausschließlich auf Veranlassung des für die betreffende Angelegenheit zuständigen Ministers eingereicht.</w:t>
      </w:r>
    </w:p>
    <w:p w14:paraId="3C5EB069" w14:textId="77777777" w:rsidR="008303C5" w:rsidRPr="004676F5" w:rsidRDefault="008303C5" w:rsidP="008303C5">
      <w:pPr>
        <w:jc w:val="both"/>
        <w:rPr>
          <w:lang w:val="de-DE"/>
        </w:rPr>
      </w:pPr>
    </w:p>
    <w:p w14:paraId="17A27880" w14:textId="77777777" w:rsidR="008303C5" w:rsidRPr="004676F5" w:rsidRDefault="008303C5" w:rsidP="008303C5">
      <w:pPr>
        <w:jc w:val="both"/>
        <w:rPr>
          <w:lang w:val="de-DE"/>
        </w:rPr>
      </w:pPr>
      <w:r w:rsidRPr="004676F5">
        <w:rPr>
          <w:lang w:val="de-DE"/>
        </w:rPr>
        <w:tab/>
        <w:t>Die Klage, die auf Artikel XVII.2 Nr. 9 beruht, wird auf Veranlassung des für Umwelt zuständigen Ministers eingereicht. Der durch das Gesetz vom 14. Juli 1994 zur Schaffung eines Ausschusses für die Vergabe des europäischen Umweltzeichens geschaffene Ausschuss kann dem Minister vorschlagen, eine solche Klage einzureichen.</w:t>
      </w:r>
    </w:p>
    <w:p w14:paraId="4EF57D7F" w14:textId="77777777" w:rsidR="008303C5" w:rsidRPr="004676F5" w:rsidRDefault="008303C5" w:rsidP="008303C5">
      <w:pPr>
        <w:jc w:val="both"/>
        <w:rPr>
          <w:lang w:val="de-DE"/>
        </w:rPr>
      </w:pPr>
    </w:p>
    <w:p w14:paraId="734D89C0" w14:textId="77777777" w:rsidR="006A1338" w:rsidRDefault="006A1338">
      <w:pPr>
        <w:rPr>
          <w:lang w:val="de-DE"/>
        </w:rPr>
      </w:pPr>
      <w:r>
        <w:rPr>
          <w:lang w:val="de-DE"/>
        </w:rPr>
        <w:br w:type="page"/>
      </w:r>
    </w:p>
    <w:p w14:paraId="3ADC576A" w14:textId="565AC53D" w:rsidR="008303C5" w:rsidRPr="004676F5" w:rsidRDefault="008303C5" w:rsidP="009F1F7C">
      <w:pPr>
        <w:jc w:val="both"/>
        <w:rPr>
          <w:i/>
          <w:lang w:val="de-DE"/>
        </w:rPr>
      </w:pPr>
      <w:r w:rsidRPr="004676F5">
        <w:rPr>
          <w:lang w:val="de-DE"/>
        </w:rPr>
        <w:lastRenderedPageBreak/>
        <w:tab/>
        <w:t>Die Klage, die auf Artikel XVII.2 Nr. 2 bis 6 beruht und sich auf die Behinderung der Überwachung bezieht, die aufgrund der Gesetze über die Führung der Sozialdokumente ausgeübt wird, und die Klage, die auf Artikel XVII.2 Nr. 8 und 13 beruht, werden auf Veranlassung des Ministers oder des in Artikel 17 des Sozialstrafgesetzbuches erwähnten leitenden Beamten des zuständigen Inspektionsdienstes eingereicht.</w:t>
      </w:r>
    </w:p>
    <w:p w14:paraId="32125506" w14:textId="21BAE2FF" w:rsidR="002125E5" w:rsidRPr="004676F5" w:rsidRDefault="002125E5">
      <w:pPr>
        <w:rPr>
          <w:lang w:val="de-DE"/>
        </w:rPr>
      </w:pPr>
    </w:p>
    <w:p w14:paraId="21D8508F" w14:textId="391C5B6D" w:rsidR="00270F53" w:rsidRPr="004676F5" w:rsidRDefault="007A0138" w:rsidP="007A0138">
      <w:pPr>
        <w:jc w:val="both"/>
        <w:rPr>
          <w:i/>
          <w:iCs/>
          <w:lang w:val="de-DE"/>
        </w:rPr>
      </w:pPr>
      <w:r w:rsidRPr="004676F5">
        <w:rPr>
          <w:i/>
          <w:iCs/>
          <w:lang w:val="de-DE"/>
        </w:rPr>
        <w:t>[Art.</w:t>
      </w:r>
      <w:r w:rsidR="004661C1">
        <w:rPr>
          <w:i/>
          <w:iCs/>
          <w:lang w:val="de-DE"/>
        </w:rPr>
        <w:t> </w:t>
      </w:r>
      <w:r w:rsidRPr="004676F5">
        <w:rPr>
          <w:i/>
          <w:iCs/>
          <w:lang w:val="de-DE"/>
        </w:rPr>
        <w:t>XVII.8 Abs. 1 abgeändert durch Art. 3 Nr. 6 des G. vom 21. April 2024 (II) (B.S. vom 31. Mai 2024)]</w:t>
      </w:r>
      <w:r w:rsidR="00270F53" w:rsidRPr="004676F5">
        <w:rPr>
          <w:i/>
          <w:iCs/>
          <w:lang w:val="de-DE"/>
        </w:rPr>
        <w:br w:type="page"/>
      </w:r>
    </w:p>
    <w:p w14:paraId="0454A704" w14:textId="7371696D" w:rsidR="008303C5" w:rsidRPr="004676F5" w:rsidRDefault="008303C5" w:rsidP="006C21A8">
      <w:pPr>
        <w:jc w:val="center"/>
        <w:rPr>
          <w:i/>
          <w:lang w:val="de-DE"/>
        </w:rPr>
      </w:pPr>
      <w:r w:rsidRPr="004676F5">
        <w:rPr>
          <w:lang w:val="de-DE"/>
        </w:rPr>
        <w:lastRenderedPageBreak/>
        <w:t>KAPITEL 3 </w:t>
      </w:r>
      <w:r w:rsidR="005B7A5C" w:rsidRPr="004676F5">
        <w:rPr>
          <w:lang w:val="de-DE"/>
        </w:rPr>
        <w:t>- </w:t>
      </w:r>
      <w:r w:rsidRPr="004676F5">
        <w:rPr>
          <w:i/>
          <w:lang w:val="de-DE"/>
        </w:rPr>
        <w:t>Sonderbestimmungen Buch VI</w:t>
      </w:r>
    </w:p>
    <w:p w14:paraId="3E980425" w14:textId="77777777" w:rsidR="008303C5" w:rsidRPr="004676F5" w:rsidRDefault="008303C5" w:rsidP="00B6155A">
      <w:pPr>
        <w:jc w:val="both"/>
        <w:rPr>
          <w:lang w:val="de-DE"/>
        </w:rPr>
      </w:pPr>
    </w:p>
    <w:p w14:paraId="68E3C20D" w14:textId="77777777" w:rsidR="008303C5" w:rsidRPr="004676F5" w:rsidRDefault="008303C5" w:rsidP="00B6155A">
      <w:pPr>
        <w:jc w:val="both"/>
        <w:rPr>
          <w:lang w:val="de-DE"/>
        </w:rPr>
      </w:pPr>
    </w:p>
    <w:p w14:paraId="049858EC" w14:textId="031092AC" w:rsidR="00C309D5" w:rsidRPr="004676F5" w:rsidRDefault="00C309D5" w:rsidP="006C21A8">
      <w:pPr>
        <w:jc w:val="both"/>
        <w:rPr>
          <w:lang w:val="de-DE"/>
        </w:rPr>
      </w:pPr>
      <w:r w:rsidRPr="004676F5">
        <w:rPr>
          <w:lang w:val="de-DE"/>
        </w:rPr>
        <w:tab/>
      </w:r>
      <w:r w:rsidR="00192F42" w:rsidRPr="004676F5">
        <w:rPr>
          <w:lang w:val="de-DE"/>
        </w:rPr>
        <w:t>[</w:t>
      </w:r>
      <w:r w:rsidR="00BE0A56" w:rsidRPr="004676F5">
        <w:rPr>
          <w:b/>
          <w:lang w:val="de-DE"/>
        </w:rPr>
        <w:t>Art. </w:t>
      </w:r>
      <w:r w:rsidRPr="004676F5">
        <w:rPr>
          <w:b/>
          <w:lang w:val="de-DE"/>
        </w:rPr>
        <w:t>XVII.9</w:t>
      </w:r>
      <w:r w:rsidRPr="004676F5">
        <w:rPr>
          <w:lang w:val="de-DE"/>
        </w:rPr>
        <w:t> </w:t>
      </w:r>
      <w:r w:rsidR="005B7A5C" w:rsidRPr="004676F5">
        <w:rPr>
          <w:lang w:val="de-DE"/>
        </w:rPr>
        <w:t>- </w:t>
      </w:r>
      <w:r w:rsidRPr="004676F5">
        <w:rPr>
          <w:lang w:val="de-DE"/>
        </w:rPr>
        <w:t xml:space="preserve">Der Präsident des </w:t>
      </w:r>
      <w:r w:rsidR="003F5E25" w:rsidRPr="004676F5">
        <w:rPr>
          <w:lang w:val="de-DE"/>
        </w:rPr>
        <w:t xml:space="preserve">[Unternehmensgerichts] </w:t>
      </w:r>
      <w:r w:rsidRPr="004676F5">
        <w:rPr>
          <w:lang w:val="de-DE"/>
        </w:rPr>
        <w:t>kann die in den Artikeln VI.92 bis VI.109 des vorliegenden Gesetzbuches erwähnten Marktpraktiken verbieten, wenn sie noch nicht begonnen haben, aber unmittelbar bevorstehen</w:t>
      </w:r>
      <w:r w:rsidR="006C21A8" w:rsidRPr="004676F5">
        <w:rPr>
          <w:lang w:val="de-DE"/>
        </w:rPr>
        <w:t>.</w:t>
      </w:r>
      <w:r w:rsidR="00192F42" w:rsidRPr="004676F5">
        <w:rPr>
          <w:lang w:val="de-DE"/>
        </w:rPr>
        <w:t>]</w:t>
      </w:r>
    </w:p>
    <w:p w14:paraId="6398144C" w14:textId="77777777" w:rsidR="00192F42" w:rsidRPr="004676F5" w:rsidRDefault="00192F42" w:rsidP="006C21A8">
      <w:pPr>
        <w:jc w:val="both"/>
        <w:rPr>
          <w:lang w:val="de-DE"/>
        </w:rPr>
      </w:pPr>
    </w:p>
    <w:p w14:paraId="5C4F9B26" w14:textId="61446BAF" w:rsidR="00192F42" w:rsidRPr="004676F5" w:rsidRDefault="00192F42" w:rsidP="006C21A8">
      <w:pPr>
        <w:jc w:val="both"/>
        <w:rPr>
          <w:i/>
          <w:lang w:val="de-DE"/>
        </w:rPr>
      </w:pPr>
      <w:r w:rsidRPr="004676F5">
        <w:rPr>
          <w:i/>
          <w:lang w:val="de-DE"/>
        </w:rPr>
        <w:t>[</w:t>
      </w:r>
      <w:r w:rsidR="00BE0A56" w:rsidRPr="004676F5">
        <w:rPr>
          <w:i/>
          <w:lang w:val="de-DE"/>
        </w:rPr>
        <w:t>Art. </w:t>
      </w:r>
      <w:r w:rsidRPr="004676F5">
        <w:rPr>
          <w:i/>
          <w:lang w:val="de-DE"/>
        </w:rPr>
        <w:t xml:space="preserve">XVII.9 eingefügt durch </w:t>
      </w:r>
      <w:r w:rsidR="00BE0A56" w:rsidRPr="004676F5">
        <w:rPr>
          <w:i/>
          <w:lang w:val="de-DE"/>
        </w:rPr>
        <w:t>Art. </w:t>
      </w:r>
      <w:r w:rsidRPr="004676F5">
        <w:rPr>
          <w:i/>
          <w:lang w:val="de-DE"/>
        </w:rPr>
        <w:t>6 des G. vom 26. Dezember 2013 (III) (B.S. vom 28. Januar 2014)</w:t>
      </w:r>
      <w:r w:rsidR="003F5E25" w:rsidRPr="004676F5">
        <w:rPr>
          <w:i/>
          <w:lang w:val="de-DE"/>
        </w:rPr>
        <w:t xml:space="preserve"> und abgeändert durch Art. 252 des G. vom 15. April 2018 (B.S. vom 27. April 2018)</w:t>
      </w:r>
      <w:r w:rsidRPr="004676F5">
        <w:rPr>
          <w:i/>
          <w:lang w:val="de-DE"/>
        </w:rPr>
        <w:t>]</w:t>
      </w:r>
    </w:p>
    <w:p w14:paraId="74FFDE16" w14:textId="77777777" w:rsidR="00C309D5" w:rsidRPr="004676F5" w:rsidRDefault="00C309D5" w:rsidP="00B6155A">
      <w:pPr>
        <w:jc w:val="both"/>
        <w:rPr>
          <w:lang w:val="de-DE"/>
        </w:rPr>
      </w:pPr>
    </w:p>
    <w:p w14:paraId="16F7F7AB" w14:textId="77777777" w:rsidR="00C309D5" w:rsidRPr="004676F5" w:rsidRDefault="00C309D5" w:rsidP="00B6155A">
      <w:pPr>
        <w:jc w:val="both"/>
        <w:rPr>
          <w:lang w:val="de-DE"/>
        </w:rPr>
      </w:pPr>
    </w:p>
    <w:p w14:paraId="41E51065" w14:textId="3F8F6A4F" w:rsidR="00A56EB7" w:rsidRPr="004676F5" w:rsidRDefault="001F7D08" w:rsidP="00A56EB7">
      <w:pPr>
        <w:jc w:val="both"/>
        <w:rPr>
          <w:lang w:val="de-DE"/>
        </w:rPr>
      </w:pPr>
      <w:r w:rsidRPr="004676F5">
        <w:rPr>
          <w:lang w:val="de-DE"/>
        </w:rPr>
        <w:tab/>
      </w:r>
      <w:r w:rsidR="00BE0A56" w:rsidRPr="004676F5">
        <w:rPr>
          <w:b/>
          <w:lang w:val="de-DE"/>
        </w:rPr>
        <w:t>Art. </w:t>
      </w:r>
      <w:r w:rsidR="00A56EB7" w:rsidRPr="004676F5">
        <w:rPr>
          <w:b/>
          <w:lang w:val="de-DE"/>
        </w:rPr>
        <w:t>XVII.10</w:t>
      </w:r>
      <w:r w:rsidR="00A56EB7" w:rsidRPr="004676F5">
        <w:rPr>
          <w:lang w:val="de-DE"/>
        </w:rPr>
        <w:t> </w:t>
      </w:r>
      <w:r w:rsidR="005B7A5C" w:rsidRPr="004676F5">
        <w:rPr>
          <w:lang w:val="de-DE"/>
        </w:rPr>
        <w:t>- </w:t>
      </w:r>
      <w:r w:rsidR="00A56EB7" w:rsidRPr="004676F5">
        <w:rPr>
          <w:lang w:val="de-DE"/>
        </w:rPr>
        <w:t>Wenn ein Verstoß eine Werbung betrifft, kann die Unterlassungsklage wegen Nichteinhaltung der Bestimmungen der Artikel VI.17, VI.93 bis VI.95, VI.105 und VI.106 des vorliegenden Gesetzbuches nur gegen den Auftraggeber der beanstandeten Werbung erhoben werden.</w:t>
      </w:r>
    </w:p>
    <w:p w14:paraId="0BB2D227" w14:textId="77777777" w:rsidR="00A56EB7" w:rsidRPr="004676F5" w:rsidRDefault="00A56EB7" w:rsidP="00A56EB7">
      <w:pPr>
        <w:jc w:val="both"/>
        <w:rPr>
          <w:lang w:val="de-DE"/>
        </w:rPr>
      </w:pPr>
    </w:p>
    <w:p w14:paraId="6634E560" w14:textId="77777777" w:rsidR="00A56EB7" w:rsidRPr="004676F5" w:rsidRDefault="00A56EB7" w:rsidP="00A56EB7">
      <w:pPr>
        <w:jc w:val="both"/>
        <w:rPr>
          <w:lang w:val="de-DE"/>
        </w:rPr>
      </w:pPr>
      <w:r w:rsidRPr="004676F5">
        <w:rPr>
          <w:lang w:val="de-DE"/>
        </w:rPr>
        <w:tab/>
        <w:t>Falls Letzterer seinen Wohnsitz nicht in Belgien hat und keinen Verantwortlichen mit Wohnsitz in Belgien bestimmt hat, kann die Unterlassungsklage jedoch ebenfalls erhoben werden gegen:</w:t>
      </w:r>
    </w:p>
    <w:p w14:paraId="16509175" w14:textId="77777777" w:rsidR="00A56EB7" w:rsidRPr="004676F5" w:rsidRDefault="00A56EB7" w:rsidP="00A56EB7">
      <w:pPr>
        <w:jc w:val="both"/>
        <w:rPr>
          <w:lang w:val="de-DE"/>
        </w:rPr>
      </w:pPr>
    </w:p>
    <w:p w14:paraId="2BE8F977" w14:textId="7CD92102" w:rsidR="00A56EB7" w:rsidRPr="004676F5" w:rsidRDefault="00A56EB7" w:rsidP="00A56EB7">
      <w:pPr>
        <w:jc w:val="both"/>
        <w:rPr>
          <w:lang w:val="de-DE"/>
        </w:rPr>
      </w:pPr>
      <w:r w:rsidRPr="004676F5">
        <w:rPr>
          <w:lang w:val="de-DE"/>
        </w:rPr>
        <w:tab/>
      </w:r>
      <w:r w:rsidR="005B7A5C" w:rsidRPr="004676F5">
        <w:rPr>
          <w:lang w:val="de-DE"/>
        </w:rPr>
        <w:t>- </w:t>
      </w:r>
      <w:r w:rsidRPr="004676F5">
        <w:rPr>
          <w:lang w:val="de-DE"/>
        </w:rPr>
        <w:t>den Herausgeber der schriftlichen Werbung oder den Produzenten der audiovisuellen Werbung,</w:t>
      </w:r>
    </w:p>
    <w:p w14:paraId="23B71A68" w14:textId="77777777" w:rsidR="00A56EB7" w:rsidRPr="004676F5" w:rsidRDefault="00A56EB7" w:rsidP="00A56EB7">
      <w:pPr>
        <w:jc w:val="both"/>
        <w:rPr>
          <w:lang w:val="de-DE"/>
        </w:rPr>
      </w:pPr>
    </w:p>
    <w:p w14:paraId="427CC8E5" w14:textId="595915E6" w:rsidR="00A56EB7" w:rsidRPr="004676F5" w:rsidRDefault="00A56EB7" w:rsidP="00A56EB7">
      <w:pPr>
        <w:jc w:val="both"/>
        <w:rPr>
          <w:lang w:val="de-DE"/>
        </w:rPr>
      </w:pPr>
      <w:r w:rsidRPr="004676F5">
        <w:rPr>
          <w:lang w:val="de-DE"/>
        </w:rPr>
        <w:tab/>
      </w:r>
      <w:r w:rsidR="005B7A5C" w:rsidRPr="004676F5">
        <w:rPr>
          <w:lang w:val="de-DE"/>
        </w:rPr>
        <w:t>- </w:t>
      </w:r>
      <w:r w:rsidRPr="004676F5">
        <w:rPr>
          <w:lang w:val="de-DE"/>
        </w:rPr>
        <w:t>den Drucker oder den Regisseur, falls der Herausgeber beziehungsweise der Produzent seinen Wohnsitz nicht in Belgien hat und keinen Verantwortlichen mit Wohnsitz in Belgien bestimmt hat,</w:t>
      </w:r>
    </w:p>
    <w:p w14:paraId="4833CD1C" w14:textId="77777777" w:rsidR="00A56EB7" w:rsidRPr="004676F5" w:rsidRDefault="00A56EB7" w:rsidP="00A56EB7">
      <w:pPr>
        <w:jc w:val="both"/>
        <w:rPr>
          <w:lang w:val="de-DE"/>
        </w:rPr>
      </w:pPr>
    </w:p>
    <w:p w14:paraId="065095CC" w14:textId="19D2E6B3" w:rsidR="00A56EB7" w:rsidRPr="004676F5" w:rsidRDefault="00A56EB7" w:rsidP="006C21A8">
      <w:pPr>
        <w:jc w:val="both"/>
        <w:rPr>
          <w:i/>
          <w:lang w:val="de-DE"/>
        </w:rPr>
      </w:pPr>
      <w:r w:rsidRPr="004676F5">
        <w:rPr>
          <w:lang w:val="de-DE"/>
        </w:rPr>
        <w:tab/>
      </w:r>
      <w:r w:rsidR="005B7A5C" w:rsidRPr="004676F5">
        <w:rPr>
          <w:lang w:val="de-DE"/>
        </w:rPr>
        <w:t>- </w:t>
      </w:r>
      <w:r w:rsidRPr="004676F5">
        <w:rPr>
          <w:lang w:val="de-DE"/>
        </w:rPr>
        <w:t>den Verteiler und jede Person, die wissentlich dazu beiträgt, dass die Werbung ihre Auswirkung hat, falls der Drucker oder der Regisseur seinen Wohnsitz nicht in Belgien hat und keinen Verantwortlichen mit Wohnsitz in Belgien bestimmt hat.</w:t>
      </w:r>
    </w:p>
    <w:p w14:paraId="5C8F78CB" w14:textId="77777777" w:rsidR="00A56EB7" w:rsidRPr="004676F5" w:rsidRDefault="00A56EB7" w:rsidP="00A56EB7">
      <w:pPr>
        <w:jc w:val="both"/>
        <w:rPr>
          <w:lang w:val="de-DE"/>
        </w:rPr>
      </w:pPr>
    </w:p>
    <w:p w14:paraId="0719DABE" w14:textId="77777777" w:rsidR="00A56EB7" w:rsidRPr="004676F5" w:rsidRDefault="00A56EB7" w:rsidP="00A56EB7">
      <w:pPr>
        <w:jc w:val="both"/>
        <w:rPr>
          <w:lang w:val="de-DE"/>
        </w:rPr>
      </w:pPr>
    </w:p>
    <w:p w14:paraId="05E95A15" w14:textId="6CAA34AD" w:rsidR="00A56EB7" w:rsidRPr="004676F5" w:rsidRDefault="00A56EB7" w:rsidP="006C21A8">
      <w:pPr>
        <w:jc w:val="both"/>
        <w:rPr>
          <w:i/>
          <w:lang w:val="de-DE"/>
        </w:rPr>
      </w:pPr>
      <w:r w:rsidRPr="004676F5">
        <w:rPr>
          <w:lang w:val="de-DE"/>
        </w:rPr>
        <w:tab/>
      </w:r>
      <w:r w:rsidR="00BE0A56" w:rsidRPr="004676F5">
        <w:rPr>
          <w:b/>
          <w:lang w:val="de-DE"/>
        </w:rPr>
        <w:t>Art. </w:t>
      </w:r>
      <w:r w:rsidRPr="004676F5">
        <w:rPr>
          <w:b/>
          <w:lang w:val="de-DE"/>
        </w:rPr>
        <w:t>XVII.11</w:t>
      </w:r>
      <w:r w:rsidRPr="004676F5">
        <w:rPr>
          <w:lang w:val="de-DE"/>
        </w:rPr>
        <w:t> </w:t>
      </w:r>
      <w:r w:rsidR="005B7A5C" w:rsidRPr="004676F5">
        <w:rPr>
          <w:lang w:val="de-DE"/>
        </w:rPr>
        <w:t>- </w:t>
      </w:r>
      <w:r w:rsidRPr="004676F5">
        <w:rPr>
          <w:lang w:val="de-DE"/>
        </w:rPr>
        <w:t>Die Unterlassungsklage kann gegen ein Unternehmen wegen Geschäftspraktiken, die sein Vertreter außerhalb der Räumlichkeiten dieses Vertreters verwendet, erhoben werden, wenn der Vertreter seine Identität nicht klar und ausdrücklich offen gelegt hat und seine Identität demjenigen, der die Unterlassungsklage erhebt, vernünftigerweise nicht bekannt sein konnte.</w:t>
      </w:r>
    </w:p>
    <w:p w14:paraId="64318DCD" w14:textId="77777777" w:rsidR="00A56EB7" w:rsidRPr="004676F5" w:rsidRDefault="00A56EB7" w:rsidP="00A56EB7">
      <w:pPr>
        <w:jc w:val="both"/>
        <w:rPr>
          <w:lang w:val="de-DE"/>
        </w:rPr>
      </w:pPr>
    </w:p>
    <w:p w14:paraId="5C19D7D3" w14:textId="77777777" w:rsidR="00A56EB7" w:rsidRPr="004676F5" w:rsidRDefault="00A56EB7" w:rsidP="00A56EB7">
      <w:pPr>
        <w:jc w:val="both"/>
        <w:rPr>
          <w:lang w:val="de-DE"/>
        </w:rPr>
      </w:pPr>
    </w:p>
    <w:p w14:paraId="66799823" w14:textId="04735C8A" w:rsidR="00A56EB7" w:rsidRPr="004676F5" w:rsidRDefault="00A56EB7" w:rsidP="006C21A8">
      <w:pPr>
        <w:jc w:val="both"/>
        <w:rPr>
          <w:lang w:val="de-DE"/>
        </w:rPr>
      </w:pPr>
      <w:r w:rsidRPr="004676F5">
        <w:rPr>
          <w:lang w:val="de-DE"/>
        </w:rPr>
        <w:tab/>
      </w:r>
      <w:r w:rsidR="00BE0A56" w:rsidRPr="004676F5">
        <w:rPr>
          <w:b/>
          <w:lang w:val="de-DE"/>
        </w:rPr>
        <w:t>Art. </w:t>
      </w:r>
      <w:r w:rsidRPr="004676F5">
        <w:rPr>
          <w:b/>
          <w:lang w:val="de-DE"/>
        </w:rPr>
        <w:t>XVII.12</w:t>
      </w:r>
      <w:r w:rsidRPr="004676F5">
        <w:rPr>
          <w:lang w:val="de-DE"/>
        </w:rPr>
        <w:t> </w:t>
      </w:r>
      <w:r w:rsidR="005B7A5C" w:rsidRPr="004676F5">
        <w:rPr>
          <w:lang w:val="de-DE"/>
        </w:rPr>
        <w:t>- </w:t>
      </w:r>
      <w:r w:rsidRPr="004676F5">
        <w:rPr>
          <w:lang w:val="de-DE"/>
        </w:rPr>
        <w:t xml:space="preserve">Die Unterlassungsklage in Bezug auf die </w:t>
      </w:r>
      <w:r w:rsidR="00270F53" w:rsidRPr="004676F5">
        <w:rPr>
          <w:lang w:val="de-DE"/>
        </w:rPr>
        <w:t>[</w:t>
      </w:r>
      <w:r w:rsidRPr="004676F5">
        <w:rPr>
          <w:lang w:val="de-DE"/>
        </w:rPr>
        <w:t xml:space="preserve">durch </w:t>
      </w:r>
      <w:r w:rsidR="00270F53" w:rsidRPr="004676F5">
        <w:rPr>
          <w:lang w:val="de-DE"/>
        </w:rPr>
        <w:t xml:space="preserve">die </w:t>
      </w:r>
      <w:r w:rsidRPr="004676F5">
        <w:rPr>
          <w:lang w:val="de-DE"/>
        </w:rPr>
        <w:t>Artikel VI.84</w:t>
      </w:r>
      <w:r w:rsidR="00270F53" w:rsidRPr="004676F5">
        <w:rPr>
          <w:lang w:val="de-DE"/>
        </w:rPr>
        <w:t xml:space="preserve"> und VI.91/6]</w:t>
      </w:r>
      <w:r w:rsidRPr="004676F5">
        <w:rPr>
          <w:lang w:val="de-DE"/>
        </w:rPr>
        <w:t xml:space="preserve"> verbotenen Handlungen kann getrennt oder gemeinsam gegen mehrere Unternehmen desselben Wirtschaftssektors oder gegen ihre Verbände gerichtet werden, die dieselben allgemeinen Vertragsklauseln oder ähnliche allgemeine Vertragsklauseln verwenden oder deren Verwendung empfehlen.</w:t>
      </w:r>
    </w:p>
    <w:p w14:paraId="3E4B84F2" w14:textId="77777777" w:rsidR="00B4603F" w:rsidRPr="004676F5" w:rsidRDefault="00B4603F" w:rsidP="006C21A8">
      <w:pPr>
        <w:jc w:val="both"/>
        <w:rPr>
          <w:lang w:val="de-DE"/>
        </w:rPr>
      </w:pPr>
    </w:p>
    <w:p w14:paraId="68CC504A" w14:textId="73A3E085" w:rsidR="00B4603F" w:rsidRPr="004676F5" w:rsidRDefault="00B4603F" w:rsidP="006C21A8">
      <w:pPr>
        <w:jc w:val="both"/>
        <w:rPr>
          <w:lang w:val="de-DE"/>
        </w:rPr>
      </w:pPr>
      <w:r w:rsidRPr="004676F5">
        <w:rPr>
          <w:i/>
          <w:iCs/>
          <w:lang w:val="de-DE"/>
        </w:rPr>
        <w:t>[Art. XVII.12 abgeändert durch Art. 37 des G. vom 4. April 2019 (B.S. vom 24. Mai 2019)]</w:t>
      </w:r>
    </w:p>
    <w:p w14:paraId="61CE526D" w14:textId="77777777" w:rsidR="00A56EB7" w:rsidRPr="004676F5" w:rsidRDefault="00A56EB7" w:rsidP="00A56EB7">
      <w:pPr>
        <w:jc w:val="both"/>
        <w:rPr>
          <w:lang w:val="de-DE"/>
        </w:rPr>
      </w:pPr>
    </w:p>
    <w:p w14:paraId="433D0606" w14:textId="77777777" w:rsidR="00A56EB7" w:rsidRPr="004676F5" w:rsidRDefault="00A56EB7" w:rsidP="00A56EB7">
      <w:pPr>
        <w:jc w:val="both"/>
        <w:rPr>
          <w:lang w:val="de-DE"/>
        </w:rPr>
      </w:pPr>
    </w:p>
    <w:p w14:paraId="171CF9A3" w14:textId="77777777" w:rsidR="00192F42" w:rsidRPr="004676F5" w:rsidRDefault="00192F42">
      <w:pPr>
        <w:rPr>
          <w:lang w:val="de-DE"/>
        </w:rPr>
      </w:pPr>
      <w:r w:rsidRPr="004676F5">
        <w:rPr>
          <w:lang w:val="de-DE"/>
        </w:rPr>
        <w:br w:type="page"/>
      </w:r>
    </w:p>
    <w:p w14:paraId="4DA19371" w14:textId="3AEFAB67" w:rsidR="00A56EB7" w:rsidRPr="004676F5" w:rsidRDefault="00A56EB7" w:rsidP="00A56EB7">
      <w:pPr>
        <w:jc w:val="both"/>
        <w:rPr>
          <w:lang w:val="de-DE"/>
        </w:rPr>
      </w:pPr>
      <w:r w:rsidRPr="004676F5">
        <w:rPr>
          <w:lang w:val="de-DE"/>
        </w:rPr>
        <w:lastRenderedPageBreak/>
        <w:tab/>
      </w:r>
      <w:r w:rsidR="00BE0A56" w:rsidRPr="004676F5">
        <w:rPr>
          <w:b/>
          <w:lang w:val="de-DE"/>
        </w:rPr>
        <w:t>Art. </w:t>
      </w:r>
      <w:r w:rsidRPr="004676F5">
        <w:rPr>
          <w:b/>
          <w:lang w:val="de-DE"/>
        </w:rPr>
        <w:t>XVII.13</w:t>
      </w:r>
      <w:r w:rsidRPr="004676F5">
        <w:rPr>
          <w:lang w:val="de-DE"/>
        </w:rPr>
        <w:t> </w:t>
      </w:r>
      <w:r w:rsidR="005B7A5C" w:rsidRPr="004676F5">
        <w:rPr>
          <w:lang w:val="de-DE"/>
        </w:rPr>
        <w:t>- </w:t>
      </w:r>
      <w:r w:rsidRPr="004676F5">
        <w:rPr>
          <w:lang w:val="de-DE"/>
        </w:rPr>
        <w:t>Das Unternehmen ist ebenfalls verpflichtet, innerhalb einer Frist von höchstens einem Monat Beweise für die Richtigkeit der im Rahmen einer Geschäftspraxis mitgeteilten Tatsachenbehauptungen zu erbringen, falls eine Unterlassungsklage erhoben wird:</w:t>
      </w:r>
    </w:p>
    <w:p w14:paraId="4AA23CDA" w14:textId="77777777" w:rsidR="00A56EB7" w:rsidRPr="004676F5" w:rsidRDefault="00A56EB7" w:rsidP="00A56EB7">
      <w:pPr>
        <w:jc w:val="both"/>
        <w:rPr>
          <w:lang w:val="de-DE"/>
        </w:rPr>
      </w:pPr>
    </w:p>
    <w:p w14:paraId="4D055920" w14:textId="77777777" w:rsidR="00A56EB7" w:rsidRPr="004676F5" w:rsidRDefault="00A56EB7" w:rsidP="00A56EB7">
      <w:pPr>
        <w:jc w:val="both"/>
        <w:rPr>
          <w:lang w:val="de-DE"/>
        </w:rPr>
      </w:pPr>
      <w:r w:rsidRPr="004676F5">
        <w:rPr>
          <w:lang w:val="de-DE"/>
        </w:rPr>
        <w:tab/>
        <w:t>1. vom Minister und gegebenenfalls von dem in Artikel XVII.8 erwähnten zuständigen Minister,</w:t>
      </w:r>
    </w:p>
    <w:p w14:paraId="613909F9" w14:textId="77777777" w:rsidR="00A56EB7" w:rsidRPr="004676F5" w:rsidRDefault="00A56EB7" w:rsidP="00A56EB7">
      <w:pPr>
        <w:jc w:val="both"/>
        <w:rPr>
          <w:lang w:val="de-DE"/>
        </w:rPr>
      </w:pPr>
    </w:p>
    <w:p w14:paraId="64407E21" w14:textId="3A21C6B2" w:rsidR="00A56EB7" w:rsidRPr="004676F5" w:rsidRDefault="00A56EB7" w:rsidP="00A56EB7">
      <w:pPr>
        <w:jc w:val="both"/>
        <w:rPr>
          <w:lang w:val="de-DE"/>
        </w:rPr>
      </w:pPr>
      <w:r w:rsidRPr="004676F5">
        <w:rPr>
          <w:lang w:val="de-DE"/>
        </w:rPr>
        <w:tab/>
        <w:t xml:space="preserve">2. von den anderen in Artikel XVII.7 erwähnten Personen, sofern der Präsident des </w:t>
      </w:r>
      <w:r w:rsidR="003F5E25" w:rsidRPr="004676F5">
        <w:rPr>
          <w:lang w:val="de-DE"/>
        </w:rPr>
        <w:t xml:space="preserve">[Unternehmensgerichts] </w:t>
      </w:r>
      <w:r w:rsidRPr="004676F5">
        <w:rPr>
          <w:lang w:val="de-DE"/>
        </w:rPr>
        <w:t>unter Berücksichtigung der berechtigten Interessen des Unternehmens und jeder anderen Partei des Verfahrens der Ansicht ist, dass eine derartige Forderung aufgrund der Umstände des konkreten Falls angebracht ist.</w:t>
      </w:r>
    </w:p>
    <w:p w14:paraId="1933AEAD" w14:textId="77777777" w:rsidR="00A56EB7" w:rsidRPr="004676F5" w:rsidRDefault="00A56EB7" w:rsidP="00A56EB7">
      <w:pPr>
        <w:jc w:val="both"/>
        <w:rPr>
          <w:lang w:val="de-DE"/>
        </w:rPr>
      </w:pPr>
    </w:p>
    <w:p w14:paraId="6EC0F1E5" w14:textId="6537CD35" w:rsidR="002125E5" w:rsidRPr="004676F5" w:rsidRDefault="00A56EB7" w:rsidP="006C21A8">
      <w:pPr>
        <w:jc w:val="both"/>
        <w:rPr>
          <w:lang w:val="de-DE"/>
        </w:rPr>
      </w:pPr>
      <w:r w:rsidRPr="004676F5">
        <w:rPr>
          <w:lang w:val="de-DE"/>
        </w:rPr>
        <w:tab/>
        <w:t xml:space="preserve">Falls die aufgrund von Absatz 1 verlangten Beweise nicht erbracht oder für unzureichend erachtet werden, kann der Präsident des </w:t>
      </w:r>
      <w:r w:rsidR="003F5E25" w:rsidRPr="004676F5">
        <w:rPr>
          <w:lang w:val="de-DE"/>
        </w:rPr>
        <w:t xml:space="preserve">[Unternehmensgerichts] </w:t>
      </w:r>
      <w:r w:rsidRPr="004676F5">
        <w:rPr>
          <w:lang w:val="de-DE"/>
        </w:rPr>
        <w:t>die Tatsachen</w:t>
      </w:r>
      <w:r w:rsidRPr="004676F5">
        <w:rPr>
          <w:lang w:val="de-DE"/>
        </w:rPr>
        <w:softHyphen/>
        <w:t>behauptungen als unrichtig ansehen.</w:t>
      </w:r>
    </w:p>
    <w:p w14:paraId="28C85A0C" w14:textId="29335880" w:rsidR="003F5E25" w:rsidRPr="004676F5" w:rsidRDefault="003F5E25" w:rsidP="006C21A8">
      <w:pPr>
        <w:jc w:val="both"/>
        <w:rPr>
          <w:lang w:val="de-DE"/>
        </w:rPr>
      </w:pPr>
    </w:p>
    <w:p w14:paraId="31D6EDAF" w14:textId="3D737DD8" w:rsidR="003F5E25" w:rsidRPr="004676F5" w:rsidRDefault="003F5E25" w:rsidP="006C21A8">
      <w:pPr>
        <w:jc w:val="both"/>
        <w:rPr>
          <w:i/>
          <w:lang w:val="de-DE"/>
        </w:rPr>
      </w:pPr>
      <w:r w:rsidRPr="004676F5">
        <w:rPr>
          <w:i/>
          <w:lang w:val="de-DE"/>
        </w:rPr>
        <w:t>[Art. XVII.13 Abs. 1 Nr. 2 und Abs. 2 abgeändert durch Art. 252 des G. vom 15. April 2018 (B.S. vom 27. April 2018)]</w:t>
      </w:r>
    </w:p>
    <w:p w14:paraId="7B0CD03B" w14:textId="77777777" w:rsidR="002125E5" w:rsidRPr="004676F5" w:rsidRDefault="002125E5" w:rsidP="00A56EB7">
      <w:pPr>
        <w:jc w:val="both"/>
        <w:rPr>
          <w:lang w:val="de-DE"/>
        </w:rPr>
      </w:pPr>
    </w:p>
    <w:p w14:paraId="359D52F5" w14:textId="77777777" w:rsidR="00A56EB7" w:rsidRPr="004676F5" w:rsidRDefault="00A56EB7" w:rsidP="00A56EB7">
      <w:pPr>
        <w:jc w:val="both"/>
        <w:rPr>
          <w:lang w:val="de-DE"/>
        </w:rPr>
      </w:pPr>
    </w:p>
    <w:p w14:paraId="6F844DA7" w14:textId="77777777" w:rsidR="002125E5" w:rsidRPr="004676F5" w:rsidRDefault="002125E5">
      <w:pPr>
        <w:rPr>
          <w:lang w:val="de-DE"/>
        </w:rPr>
      </w:pPr>
      <w:r w:rsidRPr="004676F5">
        <w:rPr>
          <w:lang w:val="de-DE"/>
        </w:rPr>
        <w:br w:type="page"/>
      </w:r>
    </w:p>
    <w:p w14:paraId="41A3F8E7" w14:textId="707D81BA" w:rsidR="002125E5" w:rsidRPr="004676F5" w:rsidRDefault="009F76FD" w:rsidP="006C21A8">
      <w:pPr>
        <w:jc w:val="center"/>
        <w:rPr>
          <w:lang w:val="de-DE"/>
        </w:rPr>
      </w:pPr>
      <w:r w:rsidRPr="004676F5">
        <w:rPr>
          <w:lang w:val="de-DE"/>
        </w:rPr>
        <w:lastRenderedPageBreak/>
        <w:t>[</w:t>
      </w:r>
      <w:r w:rsidR="00A56EB7" w:rsidRPr="004676F5">
        <w:rPr>
          <w:lang w:val="de-DE"/>
        </w:rPr>
        <w:t>KAPITEL 4 </w:t>
      </w:r>
      <w:r w:rsidR="005B7A5C" w:rsidRPr="004676F5">
        <w:rPr>
          <w:lang w:val="de-DE"/>
        </w:rPr>
        <w:t>- </w:t>
      </w:r>
      <w:r w:rsidR="00A56EB7" w:rsidRPr="004676F5">
        <w:rPr>
          <w:i/>
          <w:lang w:val="de-DE"/>
        </w:rPr>
        <w:t>Sonderbestimmungen Buch XI</w:t>
      </w:r>
      <w:r w:rsidRPr="004676F5">
        <w:rPr>
          <w:lang w:val="de-DE"/>
        </w:rPr>
        <w:t>]</w:t>
      </w:r>
    </w:p>
    <w:p w14:paraId="4A908BDC" w14:textId="77777777" w:rsidR="002125E5" w:rsidRPr="004676F5" w:rsidRDefault="002125E5" w:rsidP="002125E5">
      <w:pPr>
        <w:jc w:val="both"/>
        <w:rPr>
          <w:lang w:val="de-DE"/>
        </w:rPr>
      </w:pPr>
    </w:p>
    <w:p w14:paraId="26525DE0" w14:textId="5A2F425B" w:rsidR="009F76FD" w:rsidRPr="004676F5" w:rsidRDefault="009F76FD" w:rsidP="002125E5">
      <w:pPr>
        <w:jc w:val="both"/>
        <w:rPr>
          <w:i/>
          <w:lang w:val="de-DE"/>
        </w:rPr>
      </w:pPr>
      <w:r w:rsidRPr="004676F5">
        <w:rPr>
          <w:i/>
          <w:lang w:val="de-DE"/>
        </w:rPr>
        <w:t xml:space="preserve">[Unterteilung Kapitel 4 eingefügt durch </w:t>
      </w:r>
      <w:r w:rsidR="00BE0A56" w:rsidRPr="004676F5">
        <w:rPr>
          <w:i/>
          <w:lang w:val="de-DE"/>
        </w:rPr>
        <w:t>Art. </w:t>
      </w:r>
      <w:r w:rsidRPr="004676F5">
        <w:rPr>
          <w:i/>
          <w:lang w:val="de-DE"/>
        </w:rPr>
        <w:t>24 des G. vom 19. April 2014 (II) (B.S. vom 12. Juni 2014)]</w:t>
      </w:r>
    </w:p>
    <w:p w14:paraId="40E823E1" w14:textId="77777777" w:rsidR="00C309D5" w:rsidRPr="004676F5" w:rsidRDefault="00C309D5" w:rsidP="00B6155A">
      <w:pPr>
        <w:jc w:val="both"/>
        <w:rPr>
          <w:lang w:val="de-DE"/>
        </w:rPr>
      </w:pPr>
    </w:p>
    <w:p w14:paraId="24B54FD9" w14:textId="77777777" w:rsidR="009F76FD" w:rsidRPr="004676F5" w:rsidRDefault="009F76FD" w:rsidP="00B6155A">
      <w:pPr>
        <w:jc w:val="both"/>
        <w:rPr>
          <w:lang w:val="de-DE"/>
        </w:rPr>
      </w:pPr>
    </w:p>
    <w:p w14:paraId="5AC4FAE4" w14:textId="43A86C78" w:rsidR="00285C12" w:rsidRPr="004676F5" w:rsidRDefault="009F76FD" w:rsidP="00285C12">
      <w:pPr>
        <w:jc w:val="center"/>
        <w:rPr>
          <w:lang w:val="de-DE"/>
        </w:rPr>
      </w:pPr>
      <w:r w:rsidRPr="004676F5">
        <w:rPr>
          <w:lang w:val="de-DE"/>
        </w:rPr>
        <w:t>[</w:t>
      </w:r>
      <w:r w:rsidR="00285C12" w:rsidRPr="004676F5">
        <w:rPr>
          <w:i/>
          <w:lang w:val="de-DE"/>
        </w:rPr>
        <w:t>Abschnitt 1</w:t>
      </w:r>
      <w:r w:rsidR="00285C12" w:rsidRPr="004676F5">
        <w:rPr>
          <w:lang w:val="de-DE"/>
        </w:rPr>
        <w:t xml:space="preserve"> </w:t>
      </w:r>
      <w:r w:rsidR="005B7A5C" w:rsidRPr="004676F5">
        <w:rPr>
          <w:lang w:val="de-DE"/>
        </w:rPr>
        <w:t>- </w:t>
      </w:r>
      <w:r w:rsidRPr="004676F5">
        <w:rPr>
          <w:lang w:val="de-DE"/>
        </w:rPr>
        <w:t>Unterlassungsklage bei Verletzung eines geistigen Eigentumsrechts]</w:t>
      </w:r>
    </w:p>
    <w:p w14:paraId="51D9EC78" w14:textId="77777777" w:rsidR="00285C12" w:rsidRPr="004676F5" w:rsidRDefault="00285C12" w:rsidP="002125E5">
      <w:pPr>
        <w:jc w:val="both"/>
        <w:rPr>
          <w:lang w:val="de-DE"/>
        </w:rPr>
      </w:pPr>
    </w:p>
    <w:p w14:paraId="3051AA29" w14:textId="566F402B" w:rsidR="009F76FD" w:rsidRPr="004676F5" w:rsidRDefault="009F76FD" w:rsidP="009F76FD">
      <w:pPr>
        <w:jc w:val="both"/>
        <w:rPr>
          <w:i/>
          <w:lang w:val="de-DE"/>
        </w:rPr>
      </w:pPr>
      <w:r w:rsidRPr="004676F5">
        <w:rPr>
          <w:i/>
          <w:lang w:val="de-DE"/>
        </w:rPr>
        <w:t xml:space="preserve">[Unterteilung Abschnitt 1 eingefügt durch </w:t>
      </w:r>
      <w:r w:rsidR="00BE0A56" w:rsidRPr="004676F5">
        <w:rPr>
          <w:i/>
          <w:lang w:val="de-DE"/>
        </w:rPr>
        <w:t>Art. </w:t>
      </w:r>
      <w:r w:rsidRPr="004676F5">
        <w:rPr>
          <w:i/>
          <w:lang w:val="de-DE"/>
        </w:rPr>
        <w:t>24 des G. vom 19. April 2014 (II) (B.S. vom 12. Juni 2014)]</w:t>
      </w:r>
    </w:p>
    <w:p w14:paraId="47F9B652" w14:textId="77777777" w:rsidR="009F76FD" w:rsidRPr="004676F5" w:rsidRDefault="009F76FD" w:rsidP="002125E5">
      <w:pPr>
        <w:jc w:val="both"/>
        <w:rPr>
          <w:lang w:val="de-DE"/>
        </w:rPr>
      </w:pPr>
    </w:p>
    <w:p w14:paraId="51D42FF2" w14:textId="77777777" w:rsidR="00285C12" w:rsidRPr="004676F5" w:rsidRDefault="00285C12" w:rsidP="002125E5">
      <w:pPr>
        <w:jc w:val="both"/>
        <w:rPr>
          <w:lang w:val="de-DE"/>
        </w:rPr>
      </w:pPr>
    </w:p>
    <w:p w14:paraId="54402DAE" w14:textId="7C0C5202" w:rsidR="00285C12" w:rsidRPr="004676F5" w:rsidRDefault="00285C12" w:rsidP="00285C12">
      <w:pPr>
        <w:ind w:firstLine="708"/>
        <w:jc w:val="both"/>
        <w:rPr>
          <w:lang w:val="de-DE"/>
        </w:rPr>
      </w:pPr>
      <w:r w:rsidRPr="004676F5">
        <w:rPr>
          <w:lang w:val="de-DE"/>
        </w:rPr>
        <w:t>[</w:t>
      </w:r>
      <w:r w:rsidR="00BE0A56" w:rsidRPr="004676F5">
        <w:rPr>
          <w:b/>
          <w:lang w:val="de-DE"/>
        </w:rPr>
        <w:t>Art. </w:t>
      </w:r>
      <w:r w:rsidRPr="004676F5">
        <w:rPr>
          <w:b/>
          <w:lang w:val="de-DE"/>
        </w:rPr>
        <w:t>XVII.14</w:t>
      </w:r>
      <w:r w:rsidRPr="004676F5">
        <w:rPr>
          <w:lang w:val="de-DE"/>
        </w:rPr>
        <w:t xml:space="preserve"> </w:t>
      </w:r>
      <w:r w:rsidR="005B7A5C" w:rsidRPr="004676F5">
        <w:rPr>
          <w:lang w:val="de-DE"/>
        </w:rPr>
        <w:t>- </w:t>
      </w:r>
      <w:r w:rsidRPr="004676F5">
        <w:rPr>
          <w:lang w:val="de-DE"/>
        </w:rPr>
        <w:t xml:space="preserve">§ 1 </w:t>
      </w:r>
      <w:r w:rsidR="005B7A5C" w:rsidRPr="004676F5">
        <w:rPr>
          <w:lang w:val="de-DE"/>
        </w:rPr>
        <w:t>- </w:t>
      </w:r>
      <w:r w:rsidRPr="004676F5">
        <w:rPr>
          <w:lang w:val="de-DE"/>
        </w:rPr>
        <w:t xml:space="preserve">Der Präsident des </w:t>
      </w:r>
      <w:r w:rsidR="003F5E25" w:rsidRPr="004676F5">
        <w:rPr>
          <w:lang w:val="de-DE"/>
        </w:rPr>
        <w:t xml:space="preserve">[Unternehmensgerichts] </w:t>
      </w:r>
      <w:r w:rsidRPr="004676F5">
        <w:rPr>
          <w:lang w:val="de-DE"/>
        </w:rPr>
        <w:t>stellt das Bestehen einer Verletzung des geistigen Eigentumsrechts fest und ordnet ihre Unterlassung an, mit Ausnahme des Patentrechts einschließlich des Rechts in Bezug auf ergänzende Schutzzertifikate, des Urheberrechts, der ähnlichen Rechte und der Rechte der Hersteller von Datenbanken.</w:t>
      </w:r>
    </w:p>
    <w:p w14:paraId="3D255317" w14:textId="77777777" w:rsidR="00285C12" w:rsidRPr="004676F5" w:rsidRDefault="00285C12" w:rsidP="00285C12">
      <w:pPr>
        <w:jc w:val="both"/>
        <w:rPr>
          <w:lang w:val="de-DE"/>
        </w:rPr>
      </w:pPr>
    </w:p>
    <w:p w14:paraId="5BF15BE4" w14:textId="14FF14B9" w:rsidR="00285C12" w:rsidRPr="004676F5" w:rsidRDefault="00285C12" w:rsidP="00285C12">
      <w:pPr>
        <w:ind w:firstLine="708"/>
        <w:jc w:val="both"/>
        <w:rPr>
          <w:lang w:val="de-DE"/>
        </w:rPr>
      </w:pPr>
      <w:r w:rsidRPr="004676F5">
        <w:rPr>
          <w:lang w:val="de-DE"/>
        </w:rPr>
        <w:t>§ 2 </w:t>
      </w:r>
      <w:r w:rsidR="005B7A5C" w:rsidRPr="004676F5">
        <w:rPr>
          <w:lang w:val="de-DE"/>
        </w:rPr>
        <w:t>- </w:t>
      </w:r>
      <w:r w:rsidRPr="004676F5">
        <w:rPr>
          <w:lang w:val="de-DE"/>
        </w:rPr>
        <w:t xml:space="preserve">Der Präsident des </w:t>
      </w:r>
      <w:r w:rsidR="003F5E25" w:rsidRPr="004676F5">
        <w:rPr>
          <w:lang w:val="de-DE"/>
        </w:rPr>
        <w:t xml:space="preserve">[Unternehmensgerichts] </w:t>
      </w:r>
      <w:r w:rsidRPr="004676F5">
        <w:rPr>
          <w:lang w:val="de-DE"/>
        </w:rPr>
        <w:t>von Brüssel stellt das Bestehen einer Verletzung des Patentrechts einschließlich des Rechts in Bezug auf ergänzende Schutzzertifikate fest und ordnet ihre Unterlassung an.</w:t>
      </w:r>
    </w:p>
    <w:p w14:paraId="555F1F0E" w14:textId="77777777" w:rsidR="00285C12" w:rsidRPr="004676F5" w:rsidRDefault="00285C12" w:rsidP="00285C12">
      <w:pPr>
        <w:jc w:val="both"/>
        <w:rPr>
          <w:lang w:val="de-DE"/>
        </w:rPr>
      </w:pPr>
    </w:p>
    <w:p w14:paraId="3D374523" w14:textId="3721CA9F" w:rsidR="00285C12" w:rsidRPr="004676F5" w:rsidRDefault="00285C12" w:rsidP="00285C12">
      <w:pPr>
        <w:ind w:firstLine="708"/>
        <w:jc w:val="both"/>
        <w:rPr>
          <w:lang w:val="de-DE"/>
        </w:rPr>
      </w:pPr>
      <w:r w:rsidRPr="004676F5">
        <w:rPr>
          <w:lang w:val="de-DE"/>
        </w:rPr>
        <w:t xml:space="preserve">§ 3 </w:t>
      </w:r>
      <w:r w:rsidR="005B7A5C" w:rsidRPr="004676F5">
        <w:rPr>
          <w:lang w:val="de-DE"/>
        </w:rPr>
        <w:t>- </w:t>
      </w:r>
      <w:r w:rsidRPr="004676F5">
        <w:rPr>
          <w:lang w:val="de-DE"/>
        </w:rPr>
        <w:t xml:space="preserve">Der Präsident des Gerichts Erster Instanz und der Präsident des </w:t>
      </w:r>
      <w:r w:rsidR="003F5E25" w:rsidRPr="004676F5">
        <w:rPr>
          <w:lang w:val="de-DE"/>
        </w:rPr>
        <w:t xml:space="preserve">[Unternehmensgerichts] </w:t>
      </w:r>
      <w:r w:rsidRPr="004676F5">
        <w:rPr>
          <w:lang w:val="de-DE"/>
        </w:rPr>
        <w:t>stellen in Angelegenheiten, die zum jeweiligen Zuständigkeitsbereich dieser Gerichte gehören, das Bestehen einer Verletzung des Urheberrechts, eines ähnlichen Rechts oder des Rechts eines Herstellers von Datenbanken fest und ordnen ihre Unterlassung an.</w:t>
      </w:r>
    </w:p>
    <w:p w14:paraId="0C641C85" w14:textId="77777777" w:rsidR="00285C12" w:rsidRPr="004676F5" w:rsidRDefault="00285C12" w:rsidP="00285C12">
      <w:pPr>
        <w:ind w:firstLine="708"/>
        <w:jc w:val="both"/>
        <w:rPr>
          <w:lang w:val="de-DE"/>
        </w:rPr>
      </w:pPr>
    </w:p>
    <w:p w14:paraId="77A6D4C2" w14:textId="587E3342" w:rsidR="00285C12" w:rsidRPr="004676F5" w:rsidRDefault="00285C12" w:rsidP="00285C12">
      <w:pPr>
        <w:jc w:val="both"/>
        <w:rPr>
          <w:lang w:val="de-DE"/>
        </w:rPr>
      </w:pPr>
      <w:r w:rsidRPr="004676F5">
        <w:rPr>
          <w:lang w:val="de-DE"/>
        </w:rPr>
        <w:tab/>
        <w:t xml:space="preserve">§ 4 </w:t>
      </w:r>
      <w:r w:rsidR="005B7A5C" w:rsidRPr="004676F5">
        <w:rPr>
          <w:lang w:val="de-DE"/>
        </w:rPr>
        <w:t>- </w:t>
      </w:r>
      <w:r w:rsidRPr="004676F5">
        <w:rPr>
          <w:lang w:val="de-DE"/>
        </w:rPr>
        <w:t>Der Präsident kann ebenfalls eine Anordnung zur Beendigung der Verletzung gegen Mittelspersonen erlassen, deren Dienste von einem Dritten zwecks Verletzung eines in den Paragraphen 1 bis 3 erwähnten Rechte in Anspruch genommen werden.]</w:t>
      </w:r>
    </w:p>
    <w:p w14:paraId="563D0A64" w14:textId="77777777" w:rsidR="00285C12" w:rsidRPr="004676F5" w:rsidRDefault="00285C12" w:rsidP="00285C12">
      <w:pPr>
        <w:jc w:val="both"/>
        <w:rPr>
          <w:lang w:val="de-DE"/>
        </w:rPr>
      </w:pPr>
    </w:p>
    <w:p w14:paraId="7EC4782A" w14:textId="48CADCAE" w:rsidR="00285C12" w:rsidRPr="004676F5" w:rsidRDefault="00285C12" w:rsidP="00285C12">
      <w:pPr>
        <w:jc w:val="both"/>
        <w:rPr>
          <w:i/>
          <w:lang w:val="de-DE"/>
        </w:rPr>
      </w:pPr>
      <w:r w:rsidRPr="004676F5">
        <w:rPr>
          <w:i/>
          <w:lang w:val="de-DE"/>
        </w:rPr>
        <w:t>[</w:t>
      </w:r>
      <w:r w:rsidR="00BE0A56" w:rsidRPr="004676F5">
        <w:rPr>
          <w:i/>
          <w:lang w:val="de-DE"/>
        </w:rPr>
        <w:t>Art. </w:t>
      </w:r>
      <w:r w:rsidRPr="004676F5">
        <w:rPr>
          <w:i/>
          <w:lang w:val="de-DE"/>
        </w:rPr>
        <w:t xml:space="preserve">XVII.14 eingefügt durch </w:t>
      </w:r>
      <w:r w:rsidR="00BE0A56" w:rsidRPr="004676F5">
        <w:rPr>
          <w:i/>
          <w:lang w:val="de-DE"/>
        </w:rPr>
        <w:t>Art. </w:t>
      </w:r>
      <w:r w:rsidRPr="004676F5">
        <w:rPr>
          <w:i/>
          <w:lang w:val="de-DE"/>
        </w:rPr>
        <w:t>6 des G. vom 10. April 2014 (B.S. vom 12. Juni 2014, Err. vom 27. Juni 2014)</w:t>
      </w:r>
      <w:r w:rsidR="003F5E25" w:rsidRPr="004676F5">
        <w:rPr>
          <w:i/>
          <w:lang w:val="de-DE"/>
        </w:rPr>
        <w:t>; §§ 1 bis 3 abgeändert durch Art. 252 des G. vom 15. April 2018 (B.S. vom 27. April 2018)</w:t>
      </w:r>
      <w:r w:rsidRPr="004676F5">
        <w:rPr>
          <w:i/>
          <w:lang w:val="de-DE"/>
        </w:rPr>
        <w:t>]</w:t>
      </w:r>
    </w:p>
    <w:p w14:paraId="5242DB4B" w14:textId="77777777" w:rsidR="00285C12" w:rsidRPr="004676F5" w:rsidRDefault="00285C12" w:rsidP="00285C12">
      <w:pPr>
        <w:jc w:val="both"/>
        <w:rPr>
          <w:lang w:val="de-DE"/>
        </w:rPr>
      </w:pPr>
    </w:p>
    <w:p w14:paraId="69E3A5C8" w14:textId="77777777" w:rsidR="00285C12" w:rsidRPr="004676F5" w:rsidRDefault="00285C12" w:rsidP="002125E5">
      <w:pPr>
        <w:jc w:val="both"/>
        <w:rPr>
          <w:lang w:val="de-DE"/>
        </w:rPr>
      </w:pPr>
    </w:p>
    <w:p w14:paraId="5D5BEC2E" w14:textId="2A35B987" w:rsidR="009F76FD" w:rsidRPr="004676F5" w:rsidRDefault="009F76FD" w:rsidP="009F76FD">
      <w:pPr>
        <w:ind w:firstLine="708"/>
        <w:jc w:val="both"/>
        <w:rPr>
          <w:lang w:val="de-DE"/>
        </w:rPr>
      </w:pPr>
      <w:r w:rsidRPr="004676F5">
        <w:rPr>
          <w:lang w:val="de-DE"/>
        </w:rPr>
        <w:t>[</w:t>
      </w:r>
      <w:r w:rsidR="00BE0A56" w:rsidRPr="004676F5">
        <w:rPr>
          <w:b/>
          <w:lang w:val="de-DE"/>
        </w:rPr>
        <w:t>Art. </w:t>
      </w:r>
      <w:r w:rsidRPr="004676F5">
        <w:rPr>
          <w:b/>
          <w:lang w:val="de-DE"/>
        </w:rPr>
        <w:t>XVII.15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Eine in Artikel XVII.14 § 1 erwähnte Unterlassungsklage in Bezug auf die Verletzung eines geistigen Eigentumsrecht, mit Ausnahme des Patentrechts einschließlich des Rechts in Bezug auf ergänzende Schutzzertifikate, des Urheberrechts, der verwandten Schutzrechte und der Rechte der Hersteller von Datenbanken, die sich ebenfalls auf die Unterlassung einer in Artikel</w:t>
      </w:r>
      <w:r w:rsidR="007A0138" w:rsidRPr="004676F5">
        <w:rPr>
          <w:lang w:val="de-DE"/>
        </w:rPr>
        <w:t> [XVII.1/4]</w:t>
      </w:r>
      <w:r w:rsidRPr="004676F5">
        <w:rPr>
          <w:lang w:val="de-DE"/>
        </w:rPr>
        <w:t xml:space="preserve"> oder in Artikel 18 des Gesetzes vom 2. August 2002 über irreführende Werbung, vergleichende Werbung, missbräuchliche Klauseln und Vertragsabschlüsse im Fernabsatz hinsichtlich der freien Berufe bezieht, wird ausschließlich vor den Präsidenten des Gerichts gebracht, das aufgrund des Artikels XVII.14 § 1 zuständig ist.</w:t>
      </w:r>
    </w:p>
    <w:p w14:paraId="2A808A96" w14:textId="77777777" w:rsidR="009F76FD" w:rsidRPr="004676F5" w:rsidRDefault="009F76FD" w:rsidP="009F76FD">
      <w:pPr>
        <w:ind w:firstLine="708"/>
        <w:jc w:val="both"/>
        <w:rPr>
          <w:lang w:val="de-DE"/>
        </w:rPr>
      </w:pPr>
    </w:p>
    <w:p w14:paraId="20516939" w14:textId="2F5901E6" w:rsidR="009F76FD" w:rsidRPr="004676F5" w:rsidRDefault="009F76FD" w:rsidP="009F76FD">
      <w:pPr>
        <w:ind w:firstLine="708"/>
        <w:jc w:val="both"/>
        <w:rPr>
          <w:lang w:val="de-DE"/>
        </w:rPr>
      </w:pPr>
      <w:r w:rsidRPr="004676F5">
        <w:rPr>
          <w:lang w:val="de-DE"/>
        </w:rPr>
        <w:t>§ 2 </w:t>
      </w:r>
      <w:r w:rsidR="005B7A5C" w:rsidRPr="004676F5">
        <w:rPr>
          <w:lang w:val="de-DE"/>
        </w:rPr>
        <w:t>- </w:t>
      </w:r>
      <w:r w:rsidRPr="004676F5">
        <w:rPr>
          <w:lang w:val="de-DE"/>
        </w:rPr>
        <w:t>Eine in Artikel XVII.14 § 2 erwähnte Unterlassungsklage in Bezug auf die Verletzung eines Patentrechts einschließlich des Rechts in Bezug auf ergänzende Schutzzertifikate, die sich ebenfalls auf die Unterlassung einer in Artikel</w:t>
      </w:r>
      <w:r w:rsidR="007A0138" w:rsidRPr="004676F5">
        <w:rPr>
          <w:lang w:val="de-DE"/>
        </w:rPr>
        <w:t> [XVII.1/4]</w:t>
      </w:r>
      <w:r w:rsidRPr="004676F5">
        <w:rPr>
          <w:lang w:val="de-DE"/>
        </w:rPr>
        <w:t xml:space="preserve"> oder in </w:t>
      </w:r>
      <w:r w:rsidRPr="004676F5">
        <w:rPr>
          <w:lang w:val="de-DE"/>
        </w:rPr>
        <w:lastRenderedPageBreak/>
        <w:t>Artikel 18 des Gesetzes vom 2. August 2002 über irreführende Werbung, vergleichende Werbung, missbräuchliche Klauseln und Vertragsabschlüsse im Fernabsatz hinsichtlich der freien Berufe bezieht, wird ausschließlich vor den Präsidenten des Gerichts gebracht, das aufgrund des Artikels XVII.14 § 2 zuständig ist.</w:t>
      </w:r>
    </w:p>
    <w:p w14:paraId="6E3E632E" w14:textId="77777777" w:rsidR="009F76FD" w:rsidRPr="004676F5" w:rsidRDefault="009F76FD" w:rsidP="009F76FD">
      <w:pPr>
        <w:ind w:firstLine="708"/>
        <w:jc w:val="both"/>
        <w:rPr>
          <w:lang w:val="de-DE"/>
        </w:rPr>
      </w:pPr>
    </w:p>
    <w:p w14:paraId="6A6FD3BE" w14:textId="2B73CE7E" w:rsidR="009F76FD" w:rsidRPr="004676F5" w:rsidRDefault="009F76FD" w:rsidP="009F76FD">
      <w:pPr>
        <w:ind w:firstLine="708"/>
        <w:jc w:val="both"/>
        <w:rPr>
          <w:lang w:val="de-DE"/>
        </w:rPr>
      </w:pPr>
      <w:r w:rsidRPr="004676F5">
        <w:rPr>
          <w:lang w:val="de-DE"/>
        </w:rPr>
        <w:t>§ 3 </w:t>
      </w:r>
      <w:r w:rsidR="005B7A5C" w:rsidRPr="004676F5">
        <w:rPr>
          <w:lang w:val="de-DE"/>
        </w:rPr>
        <w:t>- </w:t>
      </w:r>
      <w:r w:rsidRPr="004676F5">
        <w:rPr>
          <w:lang w:val="de-DE"/>
        </w:rPr>
        <w:t>Eine in Artikel XVII.14 § 3 erwähnte Unterlassungsklage in Bezug auf die Verletzung eines Urheberrechts, eines verwandten Schutzrechtes oder des Rechts eines Herstellers von Datenbanken, die sich ebenfalls auf die Unterlassung einer in Artikel</w:t>
      </w:r>
      <w:r w:rsidR="007A0138" w:rsidRPr="004676F5">
        <w:rPr>
          <w:lang w:val="de-DE"/>
        </w:rPr>
        <w:t> [XVII.1/4]</w:t>
      </w:r>
      <w:r w:rsidRPr="004676F5">
        <w:rPr>
          <w:lang w:val="de-DE"/>
        </w:rPr>
        <w:t xml:space="preserve"> oder in Artikel 18 des Gesetzes vom 2. August 2002 über irreführende Werbung, vergleichende Werbung, missbräuchliche Klauseln und Vertragsabschlüsse im Fernabsatz hinsichtlich der freien Berufe bezieht, wird ausschließlich vor den Präsidenten des Gerichts gebracht, das aufgrund des Artikels XVII.14 § 3 zuständig ist.</w:t>
      </w:r>
    </w:p>
    <w:p w14:paraId="5F1B1FED" w14:textId="77777777" w:rsidR="009F76FD" w:rsidRPr="004676F5" w:rsidRDefault="009F76FD" w:rsidP="009F76FD">
      <w:pPr>
        <w:ind w:firstLine="708"/>
        <w:jc w:val="both"/>
        <w:rPr>
          <w:lang w:val="de-DE"/>
        </w:rPr>
      </w:pPr>
    </w:p>
    <w:p w14:paraId="2EA4A343" w14:textId="4F0B0FB5" w:rsidR="009F76FD" w:rsidRPr="004676F5" w:rsidRDefault="009F76FD" w:rsidP="009F76FD">
      <w:pPr>
        <w:ind w:firstLine="708"/>
        <w:jc w:val="both"/>
        <w:rPr>
          <w:lang w:val="de-DE"/>
        </w:rPr>
      </w:pPr>
      <w:r w:rsidRPr="004676F5">
        <w:rPr>
          <w:lang w:val="de-DE"/>
        </w:rPr>
        <w:t>§ 4 </w:t>
      </w:r>
      <w:r w:rsidR="005B7A5C" w:rsidRPr="004676F5">
        <w:rPr>
          <w:lang w:val="de-DE"/>
        </w:rPr>
        <w:t>- </w:t>
      </w:r>
      <w:r w:rsidRPr="004676F5">
        <w:rPr>
          <w:lang w:val="de-DE"/>
        </w:rPr>
        <w:t>Eine in Artikel XI.336 § 1 erwähnte Klage in Bezug auf die Anwendung von technischen Schutzmaßnahmen im Rahmen des Urheberrechts, der verwandten Schutzrechte und des Rechts der Hersteller von Datenbanken, die sich ebenfalls auf die Unterlassung einer in Artikel</w:t>
      </w:r>
      <w:r w:rsidR="007A0138" w:rsidRPr="004676F5">
        <w:rPr>
          <w:lang w:val="de-DE"/>
        </w:rPr>
        <w:t> [XVII.1/4]</w:t>
      </w:r>
      <w:r w:rsidRPr="004676F5">
        <w:rPr>
          <w:lang w:val="de-DE"/>
        </w:rPr>
        <w:t xml:space="preserve"> oder in Artikel 18 des Gesetzes vom 2. August 2002 über irreführende Werbung, vergleichende Werbung, missbräuchliche Klauseln und Vertragsabschlüsse im Fernabsatz hinsichtlich der freien Berufe bezieht, wird ausschließlich vor den Präsidenten des Gerichts gebracht, das aufgrund des Artikels XI.336 § 1 zuständig ist.]</w:t>
      </w:r>
    </w:p>
    <w:p w14:paraId="7D1804D9" w14:textId="77777777" w:rsidR="009F76FD" w:rsidRPr="004676F5" w:rsidRDefault="009F76FD" w:rsidP="009F76FD">
      <w:pPr>
        <w:ind w:firstLine="708"/>
        <w:jc w:val="both"/>
        <w:rPr>
          <w:lang w:val="de-DE"/>
        </w:rPr>
      </w:pPr>
    </w:p>
    <w:p w14:paraId="1D7EEBED" w14:textId="01E4708C" w:rsidR="009F76FD" w:rsidRPr="004676F5" w:rsidRDefault="009F76FD" w:rsidP="009F76FD">
      <w:pPr>
        <w:jc w:val="both"/>
        <w:rPr>
          <w:i/>
          <w:lang w:val="de-DE"/>
        </w:rPr>
      </w:pPr>
      <w:r w:rsidRPr="004676F5">
        <w:rPr>
          <w:i/>
          <w:lang w:val="de-DE"/>
        </w:rPr>
        <w:t>[</w:t>
      </w:r>
      <w:r w:rsidR="00BE0A56" w:rsidRPr="004676F5">
        <w:rPr>
          <w:i/>
          <w:lang w:val="de-DE"/>
        </w:rPr>
        <w:t>Art. </w:t>
      </w:r>
      <w:r w:rsidRPr="004676F5">
        <w:rPr>
          <w:i/>
          <w:lang w:val="de-DE"/>
        </w:rPr>
        <w:t xml:space="preserve">XVII.15 eingefügt durch </w:t>
      </w:r>
      <w:r w:rsidR="00BE0A56" w:rsidRPr="004676F5">
        <w:rPr>
          <w:i/>
          <w:lang w:val="de-DE"/>
        </w:rPr>
        <w:t>Art. </w:t>
      </w:r>
      <w:r w:rsidRPr="004676F5">
        <w:rPr>
          <w:i/>
          <w:lang w:val="de-DE"/>
        </w:rPr>
        <w:t>24 des G. vom 19. April 2014 (II) (B.S. vom 12. Juni 2014)</w:t>
      </w:r>
      <w:r w:rsidR="00791FCC" w:rsidRPr="004676F5">
        <w:rPr>
          <w:i/>
          <w:lang w:val="de-DE"/>
        </w:rPr>
        <w:t xml:space="preserve">; §§ 1 bis 4 </w:t>
      </w:r>
      <w:r w:rsidR="00791FCC" w:rsidRPr="004676F5">
        <w:rPr>
          <w:i/>
          <w:iCs/>
          <w:lang w:val="de-DE"/>
        </w:rPr>
        <w:t>abgeändert durch Art. 3 Nr. 7 des G. vom 21. April 2024 (II) (B.S. vom 31. Mai 2024)</w:t>
      </w:r>
      <w:r w:rsidRPr="004676F5">
        <w:rPr>
          <w:i/>
          <w:lang w:val="de-DE"/>
        </w:rPr>
        <w:t>]</w:t>
      </w:r>
    </w:p>
    <w:p w14:paraId="292D9693" w14:textId="77777777" w:rsidR="009F76FD" w:rsidRPr="004676F5" w:rsidRDefault="009F76FD" w:rsidP="009F76FD">
      <w:pPr>
        <w:jc w:val="both"/>
        <w:rPr>
          <w:i/>
          <w:lang w:val="de-DE"/>
        </w:rPr>
      </w:pPr>
    </w:p>
    <w:p w14:paraId="54F65713" w14:textId="77777777" w:rsidR="009F76FD" w:rsidRPr="004676F5" w:rsidRDefault="009F76FD" w:rsidP="009F76FD">
      <w:pPr>
        <w:ind w:firstLine="708"/>
        <w:jc w:val="both"/>
        <w:rPr>
          <w:lang w:val="de-DE"/>
        </w:rPr>
      </w:pPr>
    </w:p>
    <w:p w14:paraId="09774D4C" w14:textId="1B364A70" w:rsidR="009F76FD" w:rsidRPr="004676F5" w:rsidRDefault="009F76FD" w:rsidP="009F76FD">
      <w:pPr>
        <w:ind w:firstLine="708"/>
        <w:jc w:val="both"/>
        <w:rPr>
          <w:lang w:val="de-DE"/>
        </w:rPr>
      </w:pPr>
      <w:r w:rsidRPr="004676F5">
        <w:rPr>
          <w:lang w:val="de-DE"/>
        </w:rPr>
        <w:t>[</w:t>
      </w:r>
      <w:r w:rsidR="00BE0A56" w:rsidRPr="004676F5">
        <w:rPr>
          <w:b/>
          <w:lang w:val="de-DE"/>
        </w:rPr>
        <w:t>Art. </w:t>
      </w:r>
      <w:r w:rsidRPr="004676F5">
        <w:rPr>
          <w:b/>
          <w:lang w:val="de-DE"/>
        </w:rPr>
        <w:t>XVII.16</w:t>
      </w:r>
      <w:r w:rsidRPr="004676F5">
        <w:rPr>
          <w:lang w:val="de-DE"/>
        </w:rPr>
        <w:t> </w:t>
      </w:r>
      <w:r w:rsidR="005B7A5C" w:rsidRPr="004676F5">
        <w:rPr>
          <w:lang w:val="de-DE"/>
        </w:rPr>
        <w:t>- </w:t>
      </w:r>
      <w:r w:rsidRPr="004676F5">
        <w:rPr>
          <w:lang w:val="de-DE"/>
        </w:rPr>
        <w:t>Wenn der Präsident die Unterlassung anordnet, kann er je nach betreffendem Recht die in Artikel XI.334 §§ 2 bis 4 oder durch das Benelux-Übereinkommen über Geistiges Eigentum vorgesehenen Maßnahmen anordnen, insofern sie zur Beendigung der festgestellten Verletzung oder deren Auswirkungen beitragen können, mit Ausnahme der Maßnahmen zum Ersatz von Schäden, die durch diese Verletzung verursacht worden sind.]</w:t>
      </w:r>
    </w:p>
    <w:p w14:paraId="40DD0479" w14:textId="77777777" w:rsidR="009F76FD" w:rsidRPr="004676F5" w:rsidRDefault="009F76FD" w:rsidP="009F76FD">
      <w:pPr>
        <w:ind w:firstLine="708"/>
        <w:jc w:val="both"/>
        <w:rPr>
          <w:lang w:val="de-DE"/>
        </w:rPr>
      </w:pPr>
    </w:p>
    <w:p w14:paraId="7A0161B5" w14:textId="66086388" w:rsidR="009F76FD" w:rsidRPr="004676F5" w:rsidRDefault="009F76FD" w:rsidP="009F76FD">
      <w:pPr>
        <w:jc w:val="both"/>
        <w:rPr>
          <w:i/>
          <w:lang w:val="de-DE"/>
        </w:rPr>
      </w:pPr>
      <w:r w:rsidRPr="004676F5">
        <w:rPr>
          <w:i/>
          <w:lang w:val="de-DE"/>
        </w:rPr>
        <w:t>[</w:t>
      </w:r>
      <w:r w:rsidR="00BE0A56" w:rsidRPr="004676F5">
        <w:rPr>
          <w:i/>
          <w:lang w:val="de-DE"/>
        </w:rPr>
        <w:t>Art. </w:t>
      </w:r>
      <w:r w:rsidRPr="004676F5">
        <w:rPr>
          <w:i/>
          <w:lang w:val="de-DE"/>
        </w:rPr>
        <w:t xml:space="preserve">XVII.16 eingefügt durch </w:t>
      </w:r>
      <w:r w:rsidR="00BE0A56" w:rsidRPr="004676F5">
        <w:rPr>
          <w:i/>
          <w:lang w:val="de-DE"/>
        </w:rPr>
        <w:t>Art. </w:t>
      </w:r>
      <w:r w:rsidRPr="004676F5">
        <w:rPr>
          <w:i/>
          <w:lang w:val="de-DE"/>
        </w:rPr>
        <w:t>24 des G. vom 19. April 2014 (II) (B.S. vom 12. Juni 2014)]</w:t>
      </w:r>
    </w:p>
    <w:p w14:paraId="220E4F19" w14:textId="77777777" w:rsidR="009F76FD" w:rsidRPr="004676F5" w:rsidRDefault="009F76FD" w:rsidP="009F76FD">
      <w:pPr>
        <w:jc w:val="both"/>
        <w:rPr>
          <w:lang w:val="de-DE"/>
        </w:rPr>
      </w:pPr>
    </w:p>
    <w:p w14:paraId="19FD2CC1" w14:textId="77777777" w:rsidR="009F76FD" w:rsidRPr="004676F5" w:rsidRDefault="009F76FD" w:rsidP="009F76FD">
      <w:pPr>
        <w:ind w:firstLine="708"/>
        <w:jc w:val="both"/>
        <w:rPr>
          <w:lang w:val="de-DE"/>
        </w:rPr>
      </w:pPr>
    </w:p>
    <w:p w14:paraId="20AAA435" w14:textId="7FF44616" w:rsidR="009F76FD" w:rsidRPr="004676F5" w:rsidRDefault="009F76FD" w:rsidP="009F76FD">
      <w:pPr>
        <w:ind w:firstLine="708"/>
        <w:jc w:val="both"/>
        <w:rPr>
          <w:lang w:val="de-DE"/>
        </w:rPr>
      </w:pPr>
      <w:r w:rsidRPr="004676F5">
        <w:rPr>
          <w:lang w:val="de-DE"/>
        </w:rPr>
        <w:t>[</w:t>
      </w:r>
      <w:r w:rsidR="00BE0A56" w:rsidRPr="004676F5">
        <w:rPr>
          <w:b/>
          <w:lang w:val="de-DE"/>
        </w:rPr>
        <w:t>Art. </w:t>
      </w:r>
      <w:r w:rsidRPr="004676F5">
        <w:rPr>
          <w:b/>
          <w:lang w:val="de-DE"/>
        </w:rPr>
        <w:t>XVII.17</w:t>
      </w:r>
      <w:r w:rsidRPr="004676F5">
        <w:rPr>
          <w:lang w:val="de-DE"/>
        </w:rPr>
        <w:t> </w:t>
      </w:r>
      <w:r w:rsidR="005B7A5C" w:rsidRPr="004676F5">
        <w:rPr>
          <w:lang w:val="de-DE"/>
        </w:rPr>
        <w:t>- </w:t>
      </w:r>
      <w:r w:rsidRPr="004676F5">
        <w:rPr>
          <w:lang w:val="de-DE"/>
        </w:rPr>
        <w:t>Wenn das Bestehen eines geistigen Eigentumsrechts, das in Belgien durch Anmeldung oder Eintragung geschützt ist, zur Unterstützung einer auf Artikel XVII.14 §§ 1 und 2 beruhenden Klage oder der Verteidigung gegen eine solche Klage geltend gemacht wird und wenn der Gerichtspräsident feststellt, dass dieses Recht, diese Anmeldung oder diese Eintragung nichtig oder verfallen ist, verkündet er diese Nichtigkeit oder diesen Verfall und ordnet die Streichung der Anmeldung oder der Eintragung in den betreffenden Registern an gemäß den Bestimmungen in Bezug auf das betreffende geistige Eigentumsrecht.</w:t>
      </w:r>
    </w:p>
    <w:p w14:paraId="4D6A52A8" w14:textId="77777777" w:rsidR="009F76FD" w:rsidRPr="004676F5" w:rsidRDefault="009F76FD" w:rsidP="009F76FD">
      <w:pPr>
        <w:ind w:firstLine="708"/>
        <w:jc w:val="both"/>
        <w:rPr>
          <w:lang w:val="de-DE"/>
        </w:rPr>
      </w:pPr>
    </w:p>
    <w:p w14:paraId="02F1C2DD" w14:textId="63F1BFA3" w:rsidR="009F76FD" w:rsidRPr="004676F5" w:rsidRDefault="009F76FD" w:rsidP="009F76FD">
      <w:pPr>
        <w:ind w:firstLine="708"/>
        <w:jc w:val="both"/>
        <w:rPr>
          <w:lang w:val="de-DE"/>
        </w:rPr>
      </w:pPr>
      <w:r w:rsidRPr="004676F5">
        <w:rPr>
          <w:lang w:val="de-DE"/>
        </w:rPr>
        <w:t>In Abweichung von Artikel XVII.18 Absatz 3 wird die Vollstreckbarkeit des in Absatz 1 erwähnten Nichtigkeits</w:t>
      </w:r>
      <w:r w:rsidR="005B7A5C" w:rsidRPr="004676F5">
        <w:rPr>
          <w:lang w:val="de-DE"/>
        </w:rPr>
        <w:t>- </w:t>
      </w:r>
      <w:r w:rsidRPr="004676F5">
        <w:rPr>
          <w:lang w:val="de-DE"/>
        </w:rPr>
        <w:t>oder Verfallsbeschlusses gemäß den Bestimmungen in Bezug auf das betreffende geistige Eigentumsrecht geregelt.]</w:t>
      </w:r>
    </w:p>
    <w:p w14:paraId="0FCD44DF" w14:textId="77777777" w:rsidR="009F76FD" w:rsidRPr="004676F5" w:rsidRDefault="009F76FD" w:rsidP="009F76FD">
      <w:pPr>
        <w:ind w:firstLine="708"/>
        <w:jc w:val="both"/>
        <w:rPr>
          <w:lang w:val="de-DE"/>
        </w:rPr>
      </w:pPr>
    </w:p>
    <w:p w14:paraId="50D7D569" w14:textId="11AFC65F" w:rsidR="009F76FD" w:rsidRPr="004676F5" w:rsidRDefault="009F76FD" w:rsidP="009F76FD">
      <w:pPr>
        <w:jc w:val="both"/>
        <w:rPr>
          <w:i/>
          <w:lang w:val="de-DE"/>
        </w:rPr>
      </w:pPr>
      <w:r w:rsidRPr="004676F5">
        <w:rPr>
          <w:i/>
          <w:lang w:val="de-DE"/>
        </w:rPr>
        <w:t>[</w:t>
      </w:r>
      <w:r w:rsidR="00BE0A56" w:rsidRPr="004676F5">
        <w:rPr>
          <w:i/>
          <w:lang w:val="de-DE"/>
        </w:rPr>
        <w:t>Art. </w:t>
      </w:r>
      <w:r w:rsidRPr="004676F5">
        <w:rPr>
          <w:i/>
          <w:lang w:val="de-DE"/>
        </w:rPr>
        <w:t xml:space="preserve">XVII.17 eingefügt durch </w:t>
      </w:r>
      <w:r w:rsidR="00BE0A56" w:rsidRPr="004676F5">
        <w:rPr>
          <w:i/>
          <w:lang w:val="de-DE"/>
        </w:rPr>
        <w:t>Art. </w:t>
      </w:r>
      <w:r w:rsidRPr="004676F5">
        <w:rPr>
          <w:i/>
          <w:lang w:val="de-DE"/>
        </w:rPr>
        <w:t>24 des G. vom 19. April 2014 (II) (B.S. vom 12. Juni 2014)]</w:t>
      </w:r>
    </w:p>
    <w:p w14:paraId="0323090C" w14:textId="77777777" w:rsidR="009F76FD" w:rsidRPr="004676F5" w:rsidRDefault="009F76FD" w:rsidP="009F76FD">
      <w:pPr>
        <w:jc w:val="both"/>
        <w:rPr>
          <w:lang w:val="de-DE"/>
        </w:rPr>
      </w:pPr>
    </w:p>
    <w:p w14:paraId="721EB40C" w14:textId="77777777" w:rsidR="00186F2F" w:rsidRPr="004676F5" w:rsidRDefault="00186F2F">
      <w:pPr>
        <w:rPr>
          <w:lang w:val="de-DE"/>
        </w:rPr>
      </w:pPr>
      <w:r w:rsidRPr="004676F5">
        <w:rPr>
          <w:lang w:val="de-DE"/>
        </w:rPr>
        <w:br w:type="page"/>
      </w:r>
    </w:p>
    <w:p w14:paraId="1EEE3463" w14:textId="74E44205" w:rsidR="009F76FD" w:rsidRPr="004676F5" w:rsidRDefault="009F76FD" w:rsidP="009F76FD">
      <w:pPr>
        <w:ind w:firstLine="708"/>
        <w:jc w:val="both"/>
        <w:rPr>
          <w:lang w:val="de-DE"/>
        </w:rPr>
      </w:pPr>
      <w:r w:rsidRPr="004676F5">
        <w:rPr>
          <w:lang w:val="de-DE"/>
        </w:rPr>
        <w:lastRenderedPageBreak/>
        <w:t>[</w:t>
      </w:r>
      <w:r w:rsidR="00BE0A56" w:rsidRPr="004676F5">
        <w:rPr>
          <w:b/>
          <w:lang w:val="de-DE"/>
        </w:rPr>
        <w:t>Art. </w:t>
      </w:r>
      <w:r w:rsidRPr="004676F5">
        <w:rPr>
          <w:b/>
          <w:lang w:val="de-DE"/>
        </w:rPr>
        <w:t>XVII.18</w:t>
      </w:r>
      <w:r w:rsidRPr="004676F5">
        <w:rPr>
          <w:lang w:val="de-DE"/>
        </w:rPr>
        <w:t> </w:t>
      </w:r>
      <w:r w:rsidR="005B7A5C" w:rsidRPr="004676F5">
        <w:rPr>
          <w:lang w:val="de-DE"/>
        </w:rPr>
        <w:t>- </w:t>
      </w:r>
      <w:r w:rsidRPr="004676F5">
        <w:rPr>
          <w:lang w:val="de-DE"/>
        </w:rPr>
        <w:t>Die Klage wird im Eilverfahren eingeleitet und untersucht.</w:t>
      </w:r>
    </w:p>
    <w:p w14:paraId="335C8678" w14:textId="77777777" w:rsidR="009F76FD" w:rsidRPr="004676F5" w:rsidRDefault="009F76FD" w:rsidP="009F76FD">
      <w:pPr>
        <w:ind w:firstLine="708"/>
        <w:jc w:val="both"/>
        <w:rPr>
          <w:lang w:val="de-DE"/>
        </w:rPr>
      </w:pPr>
    </w:p>
    <w:p w14:paraId="7F9F6E86" w14:textId="77777777" w:rsidR="009F76FD" w:rsidRPr="004676F5" w:rsidRDefault="009F76FD" w:rsidP="009F76FD">
      <w:pPr>
        <w:ind w:firstLine="708"/>
        <w:jc w:val="both"/>
        <w:rPr>
          <w:lang w:val="de-DE"/>
        </w:rPr>
      </w:pPr>
      <w:r w:rsidRPr="004676F5">
        <w:rPr>
          <w:lang w:val="de-DE"/>
        </w:rPr>
        <w:t>Über die Klage wird ungeachtet der Verfolgung aufgrund derselben Taten vor einem Strafgericht entschieden.</w:t>
      </w:r>
    </w:p>
    <w:p w14:paraId="22600F15" w14:textId="77777777" w:rsidR="009F76FD" w:rsidRPr="004676F5" w:rsidRDefault="009F76FD" w:rsidP="009F76FD">
      <w:pPr>
        <w:ind w:firstLine="708"/>
        <w:jc w:val="both"/>
        <w:rPr>
          <w:lang w:val="de-DE"/>
        </w:rPr>
      </w:pPr>
    </w:p>
    <w:p w14:paraId="5A2F4A9B" w14:textId="77777777" w:rsidR="009F76FD" w:rsidRPr="004676F5" w:rsidRDefault="009F76FD" w:rsidP="009F76FD">
      <w:pPr>
        <w:ind w:firstLine="708"/>
        <w:jc w:val="both"/>
        <w:rPr>
          <w:lang w:val="de-DE"/>
        </w:rPr>
      </w:pPr>
      <w:r w:rsidRPr="004676F5">
        <w:rPr>
          <w:lang w:val="de-DE"/>
        </w:rPr>
        <w:t>Das Urteil ist einstweilen vollstreckbar ungeachtet irgendeines Rechtsmittels und ohne Sicherheitsleistung, es sei denn, der Richter hat eine Sicherheitsleistung angeordnet.]</w:t>
      </w:r>
    </w:p>
    <w:p w14:paraId="634DFC11" w14:textId="77777777" w:rsidR="009F76FD" w:rsidRPr="004676F5" w:rsidRDefault="009F76FD" w:rsidP="009F76FD">
      <w:pPr>
        <w:ind w:firstLine="708"/>
        <w:jc w:val="both"/>
        <w:rPr>
          <w:lang w:val="de-DE"/>
        </w:rPr>
      </w:pPr>
    </w:p>
    <w:p w14:paraId="41CBF743" w14:textId="7001DBD3" w:rsidR="009F76FD" w:rsidRPr="004676F5" w:rsidRDefault="009F76FD" w:rsidP="009F76FD">
      <w:pPr>
        <w:jc w:val="both"/>
        <w:rPr>
          <w:i/>
          <w:lang w:val="de-DE"/>
        </w:rPr>
      </w:pPr>
      <w:r w:rsidRPr="004676F5">
        <w:rPr>
          <w:i/>
          <w:lang w:val="de-DE"/>
        </w:rPr>
        <w:t>[</w:t>
      </w:r>
      <w:r w:rsidR="00BE0A56" w:rsidRPr="004676F5">
        <w:rPr>
          <w:i/>
          <w:lang w:val="de-DE"/>
        </w:rPr>
        <w:t>Art. </w:t>
      </w:r>
      <w:r w:rsidRPr="004676F5">
        <w:rPr>
          <w:i/>
          <w:lang w:val="de-DE"/>
        </w:rPr>
        <w:t xml:space="preserve">XVII.18 eingefügt durch </w:t>
      </w:r>
      <w:r w:rsidR="00BE0A56" w:rsidRPr="004676F5">
        <w:rPr>
          <w:i/>
          <w:lang w:val="de-DE"/>
        </w:rPr>
        <w:t>Art. </w:t>
      </w:r>
      <w:r w:rsidRPr="004676F5">
        <w:rPr>
          <w:i/>
          <w:lang w:val="de-DE"/>
        </w:rPr>
        <w:t>24 des G. vom 19. April 2014 (II) (B.S. vom 12. Juni 2014)]</w:t>
      </w:r>
    </w:p>
    <w:p w14:paraId="48D98C12" w14:textId="77777777" w:rsidR="009F76FD" w:rsidRPr="004676F5" w:rsidRDefault="009F76FD" w:rsidP="009F76FD">
      <w:pPr>
        <w:jc w:val="both"/>
        <w:rPr>
          <w:lang w:val="de-DE"/>
        </w:rPr>
      </w:pPr>
    </w:p>
    <w:p w14:paraId="5CDF7A5C" w14:textId="77777777" w:rsidR="009F76FD" w:rsidRPr="004676F5" w:rsidRDefault="009F76FD" w:rsidP="009F76FD">
      <w:pPr>
        <w:ind w:firstLine="708"/>
        <w:jc w:val="both"/>
        <w:rPr>
          <w:lang w:val="de-DE"/>
        </w:rPr>
      </w:pPr>
    </w:p>
    <w:p w14:paraId="046603E0" w14:textId="1A873D13" w:rsidR="009F76FD" w:rsidRPr="004676F5" w:rsidRDefault="009F76FD" w:rsidP="009F76FD">
      <w:pPr>
        <w:ind w:firstLine="708"/>
        <w:jc w:val="both"/>
        <w:rPr>
          <w:lang w:val="de-DE"/>
        </w:rPr>
      </w:pPr>
      <w:r w:rsidRPr="004676F5">
        <w:rPr>
          <w:lang w:val="de-DE"/>
        </w:rPr>
        <w:t>[</w:t>
      </w:r>
      <w:r w:rsidR="00BE0A56" w:rsidRPr="004676F5">
        <w:rPr>
          <w:b/>
          <w:lang w:val="de-DE"/>
        </w:rPr>
        <w:t>Art. </w:t>
      </w:r>
      <w:r w:rsidRPr="004676F5">
        <w:rPr>
          <w:b/>
          <w:lang w:val="de-DE"/>
        </w:rPr>
        <w:t>XVII.19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auf Artikel XVII.14 §§ 1 und 2 beruhende Klage wird auf Veranlassung von Personen eingereicht, die aufgrund der Bestimmungen in Bezug auf das betreffende geistige Eigentumsrecht befugt sind, eine Klage wegen Verletzung eines solchen Rechts einzuleiten.</w:t>
      </w:r>
    </w:p>
    <w:p w14:paraId="58AF63CB" w14:textId="77777777" w:rsidR="009F76FD" w:rsidRPr="004676F5" w:rsidRDefault="009F76FD" w:rsidP="009F76FD">
      <w:pPr>
        <w:ind w:firstLine="708"/>
        <w:jc w:val="both"/>
        <w:rPr>
          <w:lang w:val="de-DE"/>
        </w:rPr>
      </w:pPr>
    </w:p>
    <w:p w14:paraId="5B943E28" w14:textId="6E7ED35F" w:rsidR="009F76FD" w:rsidRPr="004676F5" w:rsidRDefault="009F76FD" w:rsidP="009F76FD">
      <w:pPr>
        <w:ind w:firstLine="708"/>
        <w:jc w:val="both"/>
        <w:rPr>
          <w:lang w:val="de-DE"/>
        </w:rPr>
      </w:pPr>
      <w:r w:rsidRPr="004676F5">
        <w:rPr>
          <w:lang w:val="de-DE"/>
        </w:rPr>
        <w:t>§ 2 </w:t>
      </w:r>
      <w:r w:rsidR="005B7A5C" w:rsidRPr="004676F5">
        <w:rPr>
          <w:lang w:val="de-DE"/>
        </w:rPr>
        <w:t>- </w:t>
      </w:r>
      <w:r w:rsidR="009F7ABB" w:rsidRPr="004676F5">
        <w:rPr>
          <w:lang w:val="de-DE"/>
        </w:rPr>
        <w:t>[Bei Verletzung eines Urheberrechts oder eines verwandten Schutzrechts wird die auf Artikel XVII.14 § 3 beruhende Klage auf Veranlassung eines Interessehabenden, einer Verwertungsgesellschaft oder Organisation für die kollektive Rechtewahrnehmung oder eines Berufsverbands oder überberuflichen Verbands mit Rechtspersönlichkeit eingereicht.]</w:t>
      </w:r>
    </w:p>
    <w:p w14:paraId="61217572" w14:textId="77777777" w:rsidR="009F76FD" w:rsidRPr="004676F5" w:rsidRDefault="009F76FD" w:rsidP="009F76FD">
      <w:pPr>
        <w:ind w:firstLine="708"/>
        <w:jc w:val="both"/>
        <w:rPr>
          <w:lang w:val="de-DE"/>
        </w:rPr>
      </w:pPr>
    </w:p>
    <w:p w14:paraId="5BA38C5A" w14:textId="77777777" w:rsidR="009F76FD" w:rsidRPr="004676F5" w:rsidRDefault="009F76FD" w:rsidP="009F76FD">
      <w:pPr>
        <w:ind w:firstLine="708"/>
        <w:jc w:val="both"/>
        <w:rPr>
          <w:lang w:val="de-DE"/>
        </w:rPr>
      </w:pPr>
      <w:r w:rsidRPr="004676F5">
        <w:rPr>
          <w:lang w:val="de-DE"/>
        </w:rPr>
        <w:t>Bei Verletzung des Rechts eines Herstellers von Datenbanken wird die auf Artikel XVII.14 § 3 beruhende Klage auf Veranlassung von Personen eingereicht, die aufgrund der Bestimmungen in Bezug auf das Recht der Hersteller von Datenbanken befugt sind, eine Klage wegen Verletzung eines solchen Rechts einzuleiten.]</w:t>
      </w:r>
    </w:p>
    <w:p w14:paraId="2C4C2ECA" w14:textId="77777777" w:rsidR="009F76FD" w:rsidRPr="004676F5" w:rsidRDefault="009F76FD" w:rsidP="009F76FD">
      <w:pPr>
        <w:ind w:firstLine="708"/>
        <w:jc w:val="both"/>
        <w:rPr>
          <w:lang w:val="de-DE"/>
        </w:rPr>
      </w:pPr>
    </w:p>
    <w:p w14:paraId="01ABC9E9" w14:textId="0DCE98C2" w:rsidR="009F76FD" w:rsidRPr="004676F5" w:rsidRDefault="009F76FD" w:rsidP="009F76FD">
      <w:pPr>
        <w:jc w:val="both"/>
        <w:rPr>
          <w:i/>
          <w:lang w:val="de-DE"/>
        </w:rPr>
      </w:pPr>
      <w:r w:rsidRPr="004676F5">
        <w:rPr>
          <w:i/>
          <w:lang w:val="de-DE"/>
        </w:rPr>
        <w:t>[</w:t>
      </w:r>
      <w:r w:rsidR="00BE0A56" w:rsidRPr="004676F5">
        <w:rPr>
          <w:i/>
          <w:lang w:val="de-DE"/>
        </w:rPr>
        <w:t>Art. </w:t>
      </w:r>
      <w:r w:rsidRPr="004676F5">
        <w:rPr>
          <w:i/>
          <w:lang w:val="de-DE"/>
        </w:rPr>
        <w:t xml:space="preserve">XVII.19 eingefügt durch </w:t>
      </w:r>
      <w:r w:rsidR="00BE0A56" w:rsidRPr="004676F5">
        <w:rPr>
          <w:i/>
          <w:lang w:val="de-DE"/>
        </w:rPr>
        <w:t>Art. </w:t>
      </w:r>
      <w:r w:rsidRPr="004676F5">
        <w:rPr>
          <w:i/>
          <w:lang w:val="de-DE"/>
        </w:rPr>
        <w:t>24 des G. vom 19. April 2014 (II) (B.S. vom 12. Juni 2014)</w:t>
      </w:r>
      <w:r w:rsidR="009F7ABB" w:rsidRPr="004676F5">
        <w:rPr>
          <w:i/>
          <w:lang w:val="de-DE"/>
        </w:rPr>
        <w:t>; § 2 Abs. 1 ersetzt durch Art. 87</w:t>
      </w:r>
      <w:r w:rsidR="009F7ABB" w:rsidRPr="004676F5">
        <w:rPr>
          <w:i/>
          <w:iCs/>
          <w:lang w:val="de-DE"/>
        </w:rPr>
        <w:t xml:space="preserve"> des G. vom 19. Juni 2022 (B.S. vom 1. August 2022)</w:t>
      </w:r>
      <w:r w:rsidRPr="004676F5">
        <w:rPr>
          <w:i/>
          <w:lang w:val="de-DE"/>
        </w:rPr>
        <w:t>]</w:t>
      </w:r>
    </w:p>
    <w:p w14:paraId="366DB0E8" w14:textId="77777777" w:rsidR="009F76FD" w:rsidRPr="004676F5" w:rsidRDefault="009F76FD" w:rsidP="009F76FD">
      <w:pPr>
        <w:jc w:val="both"/>
        <w:rPr>
          <w:lang w:val="de-DE"/>
        </w:rPr>
      </w:pPr>
    </w:p>
    <w:p w14:paraId="29289624" w14:textId="77777777" w:rsidR="009F76FD" w:rsidRPr="004676F5" w:rsidRDefault="009F76FD" w:rsidP="009F76FD">
      <w:pPr>
        <w:ind w:firstLine="708"/>
        <w:jc w:val="both"/>
        <w:rPr>
          <w:lang w:val="de-DE"/>
        </w:rPr>
      </w:pPr>
    </w:p>
    <w:p w14:paraId="1514B61A" w14:textId="232EC586" w:rsidR="009F76FD" w:rsidRPr="004676F5" w:rsidRDefault="009F76FD" w:rsidP="00E823FB">
      <w:pPr>
        <w:ind w:firstLine="708"/>
        <w:jc w:val="both"/>
        <w:rPr>
          <w:lang w:val="de-DE"/>
        </w:rPr>
      </w:pPr>
      <w:r w:rsidRPr="004676F5">
        <w:rPr>
          <w:lang w:val="de-DE"/>
        </w:rPr>
        <w:t>[</w:t>
      </w:r>
      <w:r w:rsidR="00BE0A56" w:rsidRPr="004676F5">
        <w:rPr>
          <w:b/>
          <w:lang w:val="de-DE"/>
        </w:rPr>
        <w:t>Art. </w:t>
      </w:r>
      <w:r w:rsidRPr="004676F5">
        <w:rPr>
          <w:b/>
          <w:lang w:val="de-DE"/>
        </w:rPr>
        <w:t>XVII.20</w:t>
      </w:r>
      <w:r w:rsidRPr="004676F5">
        <w:rPr>
          <w:lang w:val="de-DE"/>
        </w:rPr>
        <w:t> </w:t>
      </w:r>
      <w:r w:rsidR="005B7A5C" w:rsidRPr="004676F5">
        <w:rPr>
          <w:lang w:val="de-DE"/>
        </w:rPr>
        <w:t>- </w:t>
      </w:r>
      <w:r w:rsidRPr="004676F5">
        <w:rPr>
          <w:lang w:val="de-DE"/>
        </w:rPr>
        <w:t>§ 1 </w:t>
      </w:r>
      <w:r w:rsidR="005B7A5C" w:rsidRPr="004676F5">
        <w:rPr>
          <w:lang w:val="de-DE"/>
        </w:rPr>
        <w:t>- </w:t>
      </w:r>
      <w:r w:rsidR="00E823FB" w:rsidRPr="004676F5">
        <w:rPr>
          <w:lang w:val="de-DE"/>
        </w:rPr>
        <w:t>[…]</w:t>
      </w:r>
    </w:p>
    <w:p w14:paraId="569AC0CF" w14:textId="77777777" w:rsidR="009F76FD" w:rsidRPr="004676F5" w:rsidRDefault="009F76FD" w:rsidP="009F76FD">
      <w:pPr>
        <w:ind w:firstLine="708"/>
        <w:jc w:val="both"/>
        <w:rPr>
          <w:lang w:val="de-DE"/>
        </w:rPr>
      </w:pPr>
    </w:p>
    <w:p w14:paraId="09E3BC57" w14:textId="783969A7" w:rsidR="009F76FD" w:rsidRPr="004676F5" w:rsidRDefault="009F76FD" w:rsidP="009F76FD">
      <w:pPr>
        <w:ind w:firstLine="708"/>
        <w:jc w:val="both"/>
        <w:rPr>
          <w:lang w:val="de-DE"/>
        </w:rPr>
      </w:pPr>
      <w:r w:rsidRPr="004676F5">
        <w:rPr>
          <w:lang w:val="de-DE"/>
        </w:rPr>
        <w:t>§ 2 </w:t>
      </w:r>
      <w:r w:rsidR="005B7A5C" w:rsidRPr="004676F5">
        <w:rPr>
          <w:lang w:val="de-DE"/>
        </w:rPr>
        <w:t>- </w:t>
      </w:r>
      <w:r w:rsidRPr="004676F5">
        <w:rPr>
          <w:lang w:val="de-DE"/>
        </w:rPr>
        <w:t>Der Gerichtspräsident kann erlauben, dass auf Kosten des Verletzers sein Beschluss oder die von ihm erstellte Zusammenfassung während des von ihm festgelegten Zeitraums sowohl außerhalb als auch innerhalb der Niederlassungen des Verletzers angeschlagen wird und dass sein Urteil oder dessen Zusammenfassung in Zeitungen oder sonst irgendwie veröffentlicht wird.</w:t>
      </w:r>
    </w:p>
    <w:p w14:paraId="00BD01BE" w14:textId="77777777" w:rsidR="009F76FD" w:rsidRPr="004676F5" w:rsidRDefault="009F76FD" w:rsidP="009F76FD">
      <w:pPr>
        <w:ind w:firstLine="708"/>
        <w:jc w:val="both"/>
        <w:rPr>
          <w:lang w:val="de-DE"/>
        </w:rPr>
      </w:pPr>
    </w:p>
    <w:p w14:paraId="6DF888F9" w14:textId="77777777" w:rsidR="009F76FD" w:rsidRPr="004676F5" w:rsidRDefault="009F76FD" w:rsidP="009F76FD">
      <w:pPr>
        <w:ind w:firstLine="708"/>
        <w:jc w:val="both"/>
        <w:rPr>
          <w:lang w:val="de-DE"/>
        </w:rPr>
      </w:pPr>
      <w:r w:rsidRPr="004676F5">
        <w:rPr>
          <w:lang w:val="de-DE"/>
        </w:rPr>
        <w:t>Diese Maßnahmen der öffentlichen Bekanntmachung dürfen jedoch nur erlaubt werden, wenn sie dazu beitragen können, dass die beanstandete Handlung eingestellt beziehungsweise deren Auswirkungen Einhalt geboten wird.</w:t>
      </w:r>
    </w:p>
    <w:p w14:paraId="3E0F28C1" w14:textId="77777777" w:rsidR="00186F2F" w:rsidRPr="004676F5" w:rsidRDefault="00186F2F">
      <w:pPr>
        <w:rPr>
          <w:lang w:val="de-DE"/>
        </w:rPr>
      </w:pPr>
    </w:p>
    <w:p w14:paraId="669B45B5" w14:textId="77777777" w:rsidR="009F76FD" w:rsidRPr="004676F5" w:rsidRDefault="009F76FD" w:rsidP="009F76FD">
      <w:pPr>
        <w:ind w:firstLine="708"/>
        <w:jc w:val="both"/>
        <w:rPr>
          <w:lang w:val="de-DE"/>
        </w:rPr>
      </w:pPr>
      <w:r w:rsidRPr="004676F5">
        <w:rPr>
          <w:lang w:val="de-DE"/>
        </w:rPr>
        <w:t>Der Gerichtspräsident legt den Betrag fest, den die Partei, der gemäß Absatz 1 eine Maßnahme der öffentlichen Bekanntmachung erlaubt worden ist und die die Maßnahme trotz einer rechtzeitig eingereichten Beschwerde gegen das Urteil ausgeführt hat, der Partei zahlen muss, zu deren Nachteil die Maßnahme der öffentlichen Bekanntmachung ausgesprochen wurde, wenn diese Maßnahme in der Berufung aufgehoben wird.]</w:t>
      </w:r>
    </w:p>
    <w:p w14:paraId="6DCE2989" w14:textId="77777777" w:rsidR="009F76FD" w:rsidRPr="004676F5" w:rsidRDefault="009F76FD" w:rsidP="009F76FD">
      <w:pPr>
        <w:ind w:firstLine="708"/>
        <w:jc w:val="both"/>
        <w:rPr>
          <w:lang w:val="de-DE"/>
        </w:rPr>
      </w:pPr>
    </w:p>
    <w:p w14:paraId="191C657B" w14:textId="13CC4B04" w:rsidR="009F76FD" w:rsidRPr="004676F5" w:rsidRDefault="009F76FD" w:rsidP="009F76FD">
      <w:pPr>
        <w:jc w:val="both"/>
        <w:rPr>
          <w:i/>
          <w:lang w:val="de-DE"/>
        </w:rPr>
      </w:pPr>
      <w:r w:rsidRPr="004676F5">
        <w:rPr>
          <w:i/>
          <w:lang w:val="de-DE"/>
        </w:rPr>
        <w:t>[</w:t>
      </w:r>
      <w:r w:rsidR="00BE0A56" w:rsidRPr="004676F5">
        <w:rPr>
          <w:i/>
          <w:lang w:val="de-DE"/>
        </w:rPr>
        <w:t>Art. </w:t>
      </w:r>
      <w:r w:rsidRPr="004676F5">
        <w:rPr>
          <w:i/>
          <w:lang w:val="de-DE"/>
        </w:rPr>
        <w:t xml:space="preserve">XVII.20 eingefügt durch </w:t>
      </w:r>
      <w:r w:rsidR="00BE0A56" w:rsidRPr="004676F5">
        <w:rPr>
          <w:i/>
          <w:lang w:val="de-DE"/>
        </w:rPr>
        <w:t>Art. </w:t>
      </w:r>
      <w:r w:rsidRPr="004676F5">
        <w:rPr>
          <w:i/>
          <w:lang w:val="de-DE"/>
        </w:rPr>
        <w:t>24 des G. vom 19. April 2014 (II) (B.S. vom 12.</w:t>
      </w:r>
      <w:r w:rsidR="00A22CF1" w:rsidRPr="004676F5">
        <w:rPr>
          <w:i/>
          <w:lang w:val="de-DE"/>
        </w:rPr>
        <w:t> </w:t>
      </w:r>
      <w:r w:rsidRPr="004676F5">
        <w:rPr>
          <w:i/>
          <w:lang w:val="de-DE"/>
        </w:rPr>
        <w:t>Juni</w:t>
      </w:r>
      <w:r w:rsidR="00A22CF1" w:rsidRPr="004676F5">
        <w:rPr>
          <w:i/>
          <w:lang w:val="de-DE"/>
        </w:rPr>
        <w:t> </w:t>
      </w:r>
      <w:r w:rsidRPr="004676F5">
        <w:rPr>
          <w:i/>
          <w:lang w:val="de-DE"/>
        </w:rPr>
        <w:t>2014)</w:t>
      </w:r>
      <w:r w:rsidR="00E823FB" w:rsidRPr="004676F5">
        <w:rPr>
          <w:i/>
          <w:lang w:val="de-DE"/>
        </w:rPr>
        <w:t xml:space="preserve">; § 1 aufgehoben durch </w:t>
      </w:r>
      <w:r w:rsidR="00BE0A56" w:rsidRPr="004676F5">
        <w:rPr>
          <w:i/>
          <w:lang w:val="de-DE"/>
        </w:rPr>
        <w:t>Art. </w:t>
      </w:r>
      <w:r w:rsidR="00A22CF1" w:rsidRPr="004676F5">
        <w:rPr>
          <w:i/>
          <w:lang w:val="de-DE"/>
        </w:rPr>
        <w:t>45</w:t>
      </w:r>
      <w:r w:rsidR="005349E2" w:rsidRPr="004676F5">
        <w:rPr>
          <w:i/>
          <w:lang w:val="de-DE"/>
        </w:rPr>
        <w:t xml:space="preserve"> des G. vom 29. Juni 2016 (B.S. vom 6. Juli 2016)</w:t>
      </w:r>
      <w:r w:rsidRPr="004676F5">
        <w:rPr>
          <w:i/>
          <w:lang w:val="de-DE"/>
        </w:rPr>
        <w:t>]</w:t>
      </w:r>
    </w:p>
    <w:p w14:paraId="716DEB22" w14:textId="77777777" w:rsidR="009F76FD" w:rsidRPr="004676F5" w:rsidRDefault="009F76FD" w:rsidP="009F76FD">
      <w:pPr>
        <w:jc w:val="both"/>
        <w:rPr>
          <w:lang w:val="de-DE"/>
        </w:rPr>
      </w:pPr>
    </w:p>
    <w:p w14:paraId="20E2742F" w14:textId="77777777" w:rsidR="009F76FD" w:rsidRPr="004676F5" w:rsidRDefault="009F76FD" w:rsidP="009F76FD">
      <w:pPr>
        <w:jc w:val="both"/>
        <w:rPr>
          <w:lang w:val="de-DE"/>
        </w:rPr>
      </w:pPr>
    </w:p>
    <w:p w14:paraId="2A8FFA3B" w14:textId="3C18F4B9" w:rsidR="009F76FD" w:rsidRPr="004676F5" w:rsidRDefault="009F76FD" w:rsidP="009F76FD">
      <w:pPr>
        <w:jc w:val="center"/>
        <w:rPr>
          <w:lang w:val="de-DE"/>
        </w:rPr>
      </w:pPr>
      <w:r w:rsidRPr="004676F5">
        <w:rPr>
          <w:lang w:val="de-DE"/>
        </w:rPr>
        <w:t>[</w:t>
      </w:r>
      <w:r w:rsidRPr="004676F5">
        <w:rPr>
          <w:i/>
          <w:lang w:val="de-DE"/>
        </w:rPr>
        <w:t>Abschnitt 2 </w:t>
      </w:r>
      <w:r w:rsidR="005B7A5C" w:rsidRPr="004676F5">
        <w:rPr>
          <w:i/>
          <w:lang w:val="de-DE"/>
        </w:rPr>
        <w:t>- </w:t>
      </w:r>
      <w:r w:rsidRPr="004676F5">
        <w:rPr>
          <w:lang w:val="de-DE"/>
        </w:rPr>
        <w:t>Unterlassungsklage im Rahmen der Kontrolle der Verwertungsgesellschaften für Urheberrechte und verwandte Schutzrechte</w:t>
      </w:r>
    </w:p>
    <w:p w14:paraId="707F6406" w14:textId="77777777" w:rsidR="009F76FD" w:rsidRPr="004676F5" w:rsidRDefault="009F76FD" w:rsidP="009F76FD">
      <w:pPr>
        <w:ind w:firstLine="708"/>
        <w:jc w:val="both"/>
        <w:rPr>
          <w:lang w:val="de-DE"/>
        </w:rPr>
      </w:pPr>
    </w:p>
    <w:p w14:paraId="622D3C07" w14:textId="675694A1" w:rsidR="009F76FD" w:rsidRPr="004676F5" w:rsidRDefault="009F76FD" w:rsidP="009F76FD">
      <w:pPr>
        <w:jc w:val="both"/>
        <w:rPr>
          <w:i/>
          <w:lang w:val="de-DE"/>
        </w:rPr>
      </w:pPr>
      <w:r w:rsidRPr="004676F5">
        <w:rPr>
          <w:i/>
          <w:lang w:val="de-DE"/>
        </w:rPr>
        <w:t xml:space="preserve">[Abschnitt 2 mit </w:t>
      </w:r>
      <w:r w:rsidR="00BE0A56" w:rsidRPr="004676F5">
        <w:rPr>
          <w:i/>
          <w:lang w:val="de-DE"/>
        </w:rPr>
        <w:t>Art. </w:t>
      </w:r>
      <w:r w:rsidRPr="004676F5">
        <w:rPr>
          <w:i/>
          <w:lang w:val="de-DE"/>
        </w:rPr>
        <w:t xml:space="preserve">XVII.21 eingefügt durch </w:t>
      </w:r>
      <w:r w:rsidR="00BE0A56" w:rsidRPr="004676F5">
        <w:rPr>
          <w:i/>
          <w:lang w:val="de-DE"/>
        </w:rPr>
        <w:t>Art. </w:t>
      </w:r>
      <w:r w:rsidRPr="004676F5">
        <w:rPr>
          <w:i/>
          <w:lang w:val="de-DE"/>
        </w:rPr>
        <w:t>24 des G. vom 19. April 2014 (II) (B.S. vom 12. Juni 2014)]</w:t>
      </w:r>
    </w:p>
    <w:p w14:paraId="7C64D080" w14:textId="77777777" w:rsidR="009F76FD" w:rsidRPr="004676F5" w:rsidRDefault="009F76FD" w:rsidP="009F76FD">
      <w:pPr>
        <w:jc w:val="both"/>
        <w:rPr>
          <w:i/>
          <w:lang w:val="de-DE"/>
        </w:rPr>
      </w:pPr>
    </w:p>
    <w:p w14:paraId="429FB749" w14:textId="77777777" w:rsidR="009F76FD" w:rsidRPr="004676F5" w:rsidRDefault="009F76FD" w:rsidP="009F76FD">
      <w:pPr>
        <w:jc w:val="both"/>
        <w:rPr>
          <w:i/>
          <w:lang w:val="de-DE"/>
        </w:rPr>
      </w:pPr>
    </w:p>
    <w:p w14:paraId="04473DDF" w14:textId="4253650C" w:rsidR="006A29C3" w:rsidRPr="004676F5" w:rsidRDefault="00BE0A56" w:rsidP="006A29C3">
      <w:pPr>
        <w:ind w:firstLine="708"/>
        <w:jc w:val="both"/>
        <w:rPr>
          <w:lang w:val="de-DE"/>
        </w:rPr>
      </w:pPr>
      <w:r w:rsidRPr="004676F5">
        <w:rPr>
          <w:b/>
          <w:lang w:val="de-DE"/>
        </w:rPr>
        <w:t>Art. </w:t>
      </w:r>
      <w:r w:rsidR="009F76FD" w:rsidRPr="004676F5">
        <w:rPr>
          <w:b/>
          <w:lang w:val="de-DE"/>
        </w:rPr>
        <w:t>XVII.21</w:t>
      </w:r>
      <w:r w:rsidR="009F76FD" w:rsidRPr="004676F5">
        <w:rPr>
          <w:lang w:val="de-DE"/>
        </w:rPr>
        <w:t> </w:t>
      </w:r>
      <w:r w:rsidR="005B7A5C" w:rsidRPr="004676F5">
        <w:rPr>
          <w:lang w:val="de-DE"/>
        </w:rPr>
        <w:t>- </w:t>
      </w:r>
      <w:r w:rsidR="006A29C3" w:rsidRPr="004676F5">
        <w:rPr>
          <w:lang w:val="de-DE"/>
        </w:rPr>
        <w:t>[§ 1 </w:t>
      </w:r>
      <w:r w:rsidR="005B7A5C" w:rsidRPr="004676F5">
        <w:rPr>
          <w:lang w:val="de-DE"/>
        </w:rPr>
        <w:t>- </w:t>
      </w:r>
      <w:r w:rsidR="006A29C3" w:rsidRPr="004676F5">
        <w:rPr>
          <w:lang w:val="de-DE"/>
        </w:rPr>
        <w:t xml:space="preserve">Wenn bei Ablauf der in Artikel XV.31/1 erwähnten Frist den festgestellten Missständen nicht abgeholfen worden ist, kann der Minister unbeschadet anderer durch das Gesetz vorgesehener Maßnahmen den Präsidenten des Gerichts Erster Instanz von Brüssel oder, wenn der Beklagte </w:t>
      </w:r>
      <w:r w:rsidR="00BC5AAC" w:rsidRPr="004676F5">
        <w:rPr>
          <w:lang w:val="de-DE"/>
        </w:rPr>
        <w:t>[</w:t>
      </w:r>
      <w:r w:rsidR="006A29C3" w:rsidRPr="004676F5">
        <w:rPr>
          <w:lang w:val="de-DE"/>
        </w:rPr>
        <w:t xml:space="preserve">ein </w:t>
      </w:r>
      <w:r w:rsidR="00BC5AAC" w:rsidRPr="004676F5">
        <w:rPr>
          <w:lang w:val="de-DE"/>
        </w:rPr>
        <w:t>Unternehmen]</w:t>
      </w:r>
      <w:r w:rsidR="006A29C3" w:rsidRPr="004676F5">
        <w:rPr>
          <w:lang w:val="de-DE"/>
        </w:rPr>
        <w:t xml:space="preserve"> ist, nach Wahl des Ministers den Präsidenten </w:t>
      </w:r>
      <w:r w:rsidR="00BC5AAC" w:rsidRPr="004676F5">
        <w:rPr>
          <w:lang w:val="de-DE"/>
        </w:rPr>
        <w:t>[</w:t>
      </w:r>
      <w:r w:rsidR="006A29C3" w:rsidRPr="004676F5">
        <w:rPr>
          <w:lang w:val="de-DE"/>
        </w:rPr>
        <w:t xml:space="preserve">des </w:t>
      </w:r>
      <w:r w:rsidR="00BC5AAC" w:rsidRPr="004676F5">
        <w:rPr>
          <w:lang w:val="de-DE"/>
        </w:rPr>
        <w:t>Unternehmen</w:t>
      </w:r>
      <w:r w:rsidR="006A29C3" w:rsidRPr="004676F5">
        <w:rPr>
          <w:lang w:val="de-DE"/>
        </w:rPr>
        <w:t>sgerichts</w:t>
      </w:r>
      <w:r w:rsidR="00BC5AAC" w:rsidRPr="004676F5">
        <w:rPr>
          <w:lang w:val="de-DE"/>
        </w:rPr>
        <w:t>]</w:t>
      </w:r>
      <w:r w:rsidR="006A29C3" w:rsidRPr="004676F5">
        <w:rPr>
          <w:lang w:val="de-DE"/>
        </w:rPr>
        <w:t xml:space="preserve"> von Brüssel oder den Präsidenten des Gerichts Erster Instanz von Brüssel ersuchen:</w:t>
      </w:r>
    </w:p>
    <w:p w14:paraId="3C1D3907" w14:textId="77777777" w:rsidR="006A29C3" w:rsidRPr="004676F5" w:rsidRDefault="006A29C3" w:rsidP="006A29C3">
      <w:pPr>
        <w:jc w:val="both"/>
        <w:rPr>
          <w:lang w:val="de-DE"/>
        </w:rPr>
      </w:pPr>
    </w:p>
    <w:p w14:paraId="4821910B" w14:textId="77777777" w:rsidR="006A29C3" w:rsidRPr="004676F5" w:rsidRDefault="006A29C3" w:rsidP="006A29C3">
      <w:pPr>
        <w:jc w:val="both"/>
        <w:rPr>
          <w:lang w:val="de-DE"/>
        </w:rPr>
      </w:pPr>
      <w:r w:rsidRPr="004676F5">
        <w:rPr>
          <w:lang w:val="de-DE"/>
        </w:rPr>
        <w:tab/>
        <w:t>1. das Bestehen und die Behebung der Missstände anzuordnen, die in der in Artikel XV.31/1 erwähnten Verwarnung festgestellt wurden,</w:t>
      </w:r>
    </w:p>
    <w:p w14:paraId="4AC6221F" w14:textId="77777777" w:rsidR="006A29C3" w:rsidRPr="004676F5" w:rsidRDefault="006A29C3" w:rsidP="006A29C3">
      <w:pPr>
        <w:jc w:val="both"/>
        <w:rPr>
          <w:lang w:val="de-DE"/>
        </w:rPr>
      </w:pPr>
    </w:p>
    <w:p w14:paraId="2E17D1E9" w14:textId="1AE83EC8" w:rsidR="006A29C3" w:rsidRPr="004676F5" w:rsidRDefault="006A29C3" w:rsidP="006A29C3">
      <w:pPr>
        <w:jc w:val="both"/>
        <w:rPr>
          <w:lang w:val="de-DE"/>
        </w:rPr>
      </w:pPr>
      <w:r w:rsidRPr="004676F5">
        <w:rPr>
          <w:lang w:val="de-DE"/>
        </w:rPr>
        <w:tab/>
        <w:t>2. wenn die Nichtübereinstimmung mit den gesetzlichen Verpflichtungen seitens der Verwertungsgesellschaft einen ernsthaften und unmittelbaren Nachteil in Bezug auf die Belange der Rechtsinhaber verursachen könnte, die Verwaltungs</w:t>
      </w:r>
      <w:r w:rsidR="005B7A5C" w:rsidRPr="004676F5">
        <w:rPr>
          <w:lang w:val="de-DE"/>
        </w:rPr>
        <w:t>- </w:t>
      </w:r>
      <w:r w:rsidRPr="004676F5">
        <w:rPr>
          <w:lang w:val="de-DE"/>
        </w:rPr>
        <w:t>und Geschäftsführungs</w:t>
      </w:r>
      <w:r w:rsidRPr="004676F5">
        <w:rPr>
          <w:lang w:val="de-DE"/>
        </w:rPr>
        <w:softHyphen/>
        <w:t>organe der Gesellschaft durch einen oder mehrere vorläufige Verwalter oder Geschäftsführer zu ersetzen, die je nach Fall allein oder kollegial über die Befugnisse der ersetzten Personen verfügen. Der Gerichtspräsident legt die Dauer des Auftrags der vorläufigen Verwalter oder Geschäftsführer fest.</w:t>
      </w:r>
    </w:p>
    <w:p w14:paraId="62DC9888" w14:textId="77777777" w:rsidR="006A29C3" w:rsidRPr="004676F5" w:rsidRDefault="006A29C3" w:rsidP="006A29C3">
      <w:pPr>
        <w:jc w:val="both"/>
        <w:rPr>
          <w:lang w:val="de-DE"/>
        </w:rPr>
      </w:pPr>
    </w:p>
    <w:p w14:paraId="43D47EC9" w14:textId="28C2E24F" w:rsidR="006A29C3" w:rsidRPr="004676F5" w:rsidRDefault="006A29C3" w:rsidP="006A29C3">
      <w:pPr>
        <w:jc w:val="both"/>
        <w:rPr>
          <w:lang w:val="de-DE"/>
        </w:rPr>
      </w:pPr>
      <w:r w:rsidRPr="004676F5">
        <w:rPr>
          <w:lang w:val="de-DE"/>
        </w:rPr>
        <w:tab/>
        <w:t>§ 2 </w:t>
      </w:r>
      <w:r w:rsidR="005B7A5C" w:rsidRPr="004676F5">
        <w:rPr>
          <w:lang w:val="de-DE"/>
        </w:rPr>
        <w:t>- </w:t>
      </w:r>
      <w:r w:rsidRPr="004676F5">
        <w:rPr>
          <w:lang w:val="de-DE"/>
        </w:rPr>
        <w:t>In § 1 erwähnte Klagen werden im Eilverfahren eingeleitet und untersucht.</w:t>
      </w:r>
    </w:p>
    <w:p w14:paraId="4A10B5A4" w14:textId="77777777" w:rsidR="006A29C3" w:rsidRPr="004676F5" w:rsidRDefault="006A29C3" w:rsidP="006A29C3">
      <w:pPr>
        <w:jc w:val="both"/>
        <w:rPr>
          <w:lang w:val="de-DE"/>
        </w:rPr>
      </w:pPr>
    </w:p>
    <w:p w14:paraId="7E153F7F" w14:textId="77777777" w:rsidR="006A29C3" w:rsidRPr="004676F5" w:rsidRDefault="006A29C3" w:rsidP="006A29C3">
      <w:pPr>
        <w:jc w:val="both"/>
        <w:rPr>
          <w:lang w:val="de-DE"/>
        </w:rPr>
      </w:pPr>
      <w:r w:rsidRPr="004676F5">
        <w:rPr>
          <w:lang w:val="de-DE"/>
        </w:rPr>
        <w:tab/>
        <w:t>Sie können gemäß den Artikeln 1034</w:t>
      </w:r>
      <w:r w:rsidRPr="004676F5">
        <w:rPr>
          <w:i/>
          <w:lang w:val="de-DE"/>
        </w:rPr>
        <w:t>ter</w:t>
      </w:r>
      <w:r w:rsidRPr="004676F5">
        <w:rPr>
          <w:lang w:val="de-DE"/>
        </w:rPr>
        <w:t xml:space="preserve"> bis 1034</w:t>
      </w:r>
      <w:r w:rsidRPr="004676F5">
        <w:rPr>
          <w:i/>
          <w:lang w:val="de-DE"/>
        </w:rPr>
        <w:t>sexies</w:t>
      </w:r>
      <w:r w:rsidRPr="004676F5">
        <w:rPr>
          <w:lang w:val="de-DE"/>
        </w:rPr>
        <w:t xml:space="preserve"> des Gerichtsgesetzbuches durch eine kontradiktorische Antragschrift eingereicht werden.</w:t>
      </w:r>
    </w:p>
    <w:p w14:paraId="1031F30F" w14:textId="77777777" w:rsidR="006A29C3" w:rsidRPr="004676F5" w:rsidRDefault="006A29C3" w:rsidP="006A29C3">
      <w:pPr>
        <w:jc w:val="both"/>
        <w:rPr>
          <w:lang w:val="de-DE"/>
        </w:rPr>
      </w:pPr>
    </w:p>
    <w:p w14:paraId="67464D1B" w14:textId="77777777" w:rsidR="006A29C3" w:rsidRPr="004676F5" w:rsidRDefault="006A29C3" w:rsidP="006A29C3">
      <w:pPr>
        <w:jc w:val="both"/>
        <w:rPr>
          <w:lang w:val="de-DE"/>
        </w:rPr>
      </w:pPr>
      <w:r w:rsidRPr="004676F5">
        <w:rPr>
          <w:lang w:val="de-DE"/>
        </w:rPr>
        <w:tab/>
        <w:t>Über die Klage wird ungeachtet der Verfolgung aufgrund derselben Taten vor einem Strafgericht entschieden.</w:t>
      </w:r>
    </w:p>
    <w:p w14:paraId="0F08E9AA" w14:textId="77777777" w:rsidR="006A29C3" w:rsidRPr="004676F5" w:rsidRDefault="006A29C3" w:rsidP="006A29C3">
      <w:pPr>
        <w:jc w:val="both"/>
        <w:rPr>
          <w:lang w:val="de-DE"/>
        </w:rPr>
      </w:pPr>
    </w:p>
    <w:p w14:paraId="63F8E4F7" w14:textId="77777777" w:rsidR="006A29C3" w:rsidRPr="004676F5" w:rsidRDefault="006A29C3" w:rsidP="006A29C3">
      <w:pPr>
        <w:jc w:val="both"/>
        <w:rPr>
          <w:lang w:val="de-DE"/>
        </w:rPr>
      </w:pPr>
      <w:r w:rsidRPr="004676F5">
        <w:rPr>
          <w:lang w:val="de-DE"/>
        </w:rPr>
        <w:tab/>
        <w:t>Der Präsident des zuständigen Gerichts kann anordnen, dass auf Kosten des Beklagten das Urteil oder die von ihm erstellte Zusammenfassung während des von ihm festgelegten Zeitraums sowohl innerhalb als auch außerhalb der Niederlassungen des Beklagten angeschlagen wird und in einer oder mehreren Zeitungen oder sonst irgendwie veröffentlicht wird.</w:t>
      </w:r>
    </w:p>
    <w:p w14:paraId="5E74B923" w14:textId="77777777" w:rsidR="006A29C3" w:rsidRPr="004676F5" w:rsidRDefault="006A29C3" w:rsidP="006A29C3">
      <w:pPr>
        <w:jc w:val="both"/>
        <w:rPr>
          <w:lang w:val="de-DE"/>
        </w:rPr>
      </w:pPr>
    </w:p>
    <w:p w14:paraId="3EEF52A6" w14:textId="77777777" w:rsidR="009F76FD" w:rsidRPr="004676F5" w:rsidRDefault="006A29C3" w:rsidP="006A29C3">
      <w:pPr>
        <w:ind w:firstLine="708"/>
        <w:jc w:val="both"/>
        <w:rPr>
          <w:lang w:val="de-DE"/>
        </w:rPr>
      </w:pPr>
      <w:r w:rsidRPr="004676F5">
        <w:rPr>
          <w:lang w:val="de-DE"/>
        </w:rPr>
        <w:t>Das Urteil ist vorläufig vollstreckbar ungeachtet irgendeines Rechtsmittels und ohne Sicherheitsleistung.</w:t>
      </w:r>
      <w:r w:rsidR="009F76FD" w:rsidRPr="004676F5">
        <w:rPr>
          <w:lang w:val="de-DE"/>
        </w:rPr>
        <w:t>]</w:t>
      </w:r>
    </w:p>
    <w:p w14:paraId="7E428976" w14:textId="77777777" w:rsidR="003F1424" w:rsidRPr="004676F5" w:rsidRDefault="003F1424" w:rsidP="009F76FD">
      <w:pPr>
        <w:ind w:firstLine="708"/>
        <w:jc w:val="both"/>
        <w:rPr>
          <w:lang w:val="de-DE"/>
        </w:rPr>
      </w:pPr>
    </w:p>
    <w:p w14:paraId="59A067EE" w14:textId="7A9C46C9" w:rsidR="003F1424" w:rsidRPr="004676F5" w:rsidRDefault="00DA4E29" w:rsidP="003F1424">
      <w:pPr>
        <w:jc w:val="both"/>
        <w:rPr>
          <w:i/>
          <w:lang w:val="de-DE"/>
        </w:rPr>
      </w:pPr>
      <w:r w:rsidRPr="004676F5">
        <w:rPr>
          <w:i/>
          <w:lang w:val="de-DE"/>
        </w:rPr>
        <w:t>[</w:t>
      </w:r>
      <w:r w:rsidR="00BE0A56" w:rsidRPr="004676F5">
        <w:rPr>
          <w:i/>
          <w:lang w:val="de-DE"/>
        </w:rPr>
        <w:t>Art. </w:t>
      </w:r>
      <w:r w:rsidRPr="004676F5">
        <w:rPr>
          <w:i/>
          <w:lang w:val="de-DE"/>
        </w:rPr>
        <w:t>X</w:t>
      </w:r>
      <w:r w:rsidR="003F1424" w:rsidRPr="004676F5">
        <w:rPr>
          <w:i/>
          <w:lang w:val="de-DE"/>
        </w:rPr>
        <w:t xml:space="preserve">VII.21 </w:t>
      </w:r>
      <w:r w:rsidR="006A29C3" w:rsidRPr="004676F5">
        <w:rPr>
          <w:i/>
          <w:lang w:val="de-DE"/>
        </w:rPr>
        <w:t xml:space="preserve">ersetzt durch </w:t>
      </w:r>
      <w:r w:rsidR="00BE0A56" w:rsidRPr="004676F5">
        <w:rPr>
          <w:i/>
          <w:lang w:val="de-DE"/>
        </w:rPr>
        <w:t>Art. </w:t>
      </w:r>
      <w:r w:rsidR="006A29C3" w:rsidRPr="004676F5">
        <w:rPr>
          <w:i/>
          <w:lang w:val="de-DE"/>
        </w:rPr>
        <w:t>118 des G. vom 8. Juni 2017 (B.S. vom 27. Juni 2017)</w:t>
      </w:r>
      <w:r w:rsidR="00BC5AAC" w:rsidRPr="004676F5">
        <w:rPr>
          <w:i/>
          <w:lang w:val="de-DE"/>
        </w:rPr>
        <w:t>; § 1 einziger Absatz einleitende Bestimmung abgeändert durch Art. 212 des G. vom 15. April 2018 (B.S. vom 27. April 2018)</w:t>
      </w:r>
      <w:r w:rsidR="003F1424" w:rsidRPr="004676F5">
        <w:rPr>
          <w:i/>
          <w:lang w:val="de-DE"/>
        </w:rPr>
        <w:t>]</w:t>
      </w:r>
    </w:p>
    <w:p w14:paraId="585484AE" w14:textId="3D72E433" w:rsidR="00BF1930" w:rsidRPr="004676F5" w:rsidRDefault="00BF1930" w:rsidP="003F1424">
      <w:pPr>
        <w:jc w:val="both"/>
        <w:rPr>
          <w:iCs/>
          <w:lang w:val="de-DE"/>
        </w:rPr>
      </w:pPr>
    </w:p>
    <w:p w14:paraId="7BA93BF6" w14:textId="266E387E" w:rsidR="00BF1930" w:rsidRPr="004676F5" w:rsidRDefault="00BF1930" w:rsidP="003F1424">
      <w:pPr>
        <w:jc w:val="both"/>
        <w:rPr>
          <w:iCs/>
          <w:lang w:val="de-DE"/>
        </w:rPr>
      </w:pPr>
    </w:p>
    <w:p w14:paraId="6D79F171" w14:textId="7A307AAD" w:rsidR="00BF1930" w:rsidRPr="004676F5" w:rsidRDefault="00BF1930">
      <w:pPr>
        <w:rPr>
          <w:iCs/>
          <w:lang w:val="de-DE"/>
        </w:rPr>
      </w:pPr>
      <w:r w:rsidRPr="004676F5">
        <w:rPr>
          <w:iCs/>
          <w:lang w:val="de-DE"/>
        </w:rPr>
        <w:br w:type="page"/>
      </w:r>
    </w:p>
    <w:p w14:paraId="30DF3E27" w14:textId="18E6B20C" w:rsidR="00BF1930" w:rsidRPr="004676F5" w:rsidRDefault="00BF1930" w:rsidP="00BF1930">
      <w:pPr>
        <w:jc w:val="center"/>
        <w:rPr>
          <w:iCs/>
          <w:lang w:val="de-DE"/>
        </w:rPr>
      </w:pPr>
      <w:r w:rsidRPr="004676F5">
        <w:rPr>
          <w:iCs/>
          <w:lang w:val="de-DE"/>
        </w:rPr>
        <w:lastRenderedPageBreak/>
        <w:t>[</w:t>
      </w:r>
      <w:r w:rsidRPr="004676F5">
        <w:rPr>
          <w:i/>
          <w:lang w:val="de-DE"/>
        </w:rPr>
        <w:t>Abschnitt 3</w:t>
      </w:r>
      <w:r w:rsidRPr="004676F5">
        <w:rPr>
          <w:iCs/>
          <w:lang w:val="de-DE"/>
        </w:rPr>
        <w:t> </w:t>
      </w:r>
      <w:r w:rsidR="005B7A5C" w:rsidRPr="004676F5">
        <w:rPr>
          <w:lang w:val="de-DE"/>
        </w:rPr>
        <w:t>- </w:t>
      </w:r>
      <w:r w:rsidRPr="004676F5">
        <w:rPr>
          <w:lang w:val="de-DE"/>
        </w:rPr>
        <w:t>Unterlassungsklage bei rechtswidrigem Erwerb oder rechtswidriger Nutzung oder Offenlegung eines Geschäftsgeheimnisses</w:t>
      </w:r>
      <w:r w:rsidRPr="004676F5">
        <w:rPr>
          <w:iCs/>
          <w:lang w:val="de-DE"/>
        </w:rPr>
        <w:t>]</w:t>
      </w:r>
    </w:p>
    <w:p w14:paraId="61600BFF" w14:textId="3CB92E59" w:rsidR="00BF1930" w:rsidRPr="004676F5" w:rsidRDefault="00BF1930" w:rsidP="00BF1930">
      <w:pPr>
        <w:jc w:val="center"/>
        <w:rPr>
          <w:iCs/>
          <w:lang w:val="de-DE"/>
        </w:rPr>
      </w:pPr>
    </w:p>
    <w:p w14:paraId="7CF7F881" w14:textId="0DB8E7CC" w:rsidR="00BF1930" w:rsidRPr="004676F5" w:rsidRDefault="00BF1930" w:rsidP="00BF1930">
      <w:pPr>
        <w:jc w:val="both"/>
        <w:rPr>
          <w:i/>
          <w:iCs/>
          <w:lang w:val="de-DE"/>
        </w:rPr>
      </w:pPr>
      <w:r w:rsidRPr="004676F5">
        <w:rPr>
          <w:i/>
          <w:iCs/>
          <w:lang w:val="de-DE"/>
        </w:rPr>
        <w:t>[Unterteilung Abschnitt 3 eingefügt durch Art. 24</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r w:rsidRPr="004676F5">
        <w:rPr>
          <w:i/>
          <w:iCs/>
          <w:lang w:val="de-DE"/>
        </w:rPr>
        <w:t>]</w:t>
      </w:r>
    </w:p>
    <w:p w14:paraId="21B1B001" w14:textId="38B9CC2A" w:rsidR="00BF1930" w:rsidRPr="004676F5" w:rsidRDefault="00BF1930" w:rsidP="00BF1930">
      <w:pPr>
        <w:jc w:val="both"/>
        <w:rPr>
          <w:lang w:val="de-DE"/>
        </w:rPr>
      </w:pPr>
    </w:p>
    <w:p w14:paraId="4ADA2AC5" w14:textId="2EA7944B" w:rsidR="00BF1930" w:rsidRPr="004676F5" w:rsidRDefault="00BF1930" w:rsidP="00BF1930">
      <w:pPr>
        <w:jc w:val="both"/>
        <w:rPr>
          <w:lang w:val="de-DE"/>
        </w:rPr>
      </w:pPr>
    </w:p>
    <w:p w14:paraId="7A42D6A6" w14:textId="5C5152A9" w:rsidR="00BF1930" w:rsidRPr="004676F5" w:rsidRDefault="00BF1930" w:rsidP="00BF1930">
      <w:pPr>
        <w:ind w:firstLine="708"/>
        <w:jc w:val="both"/>
        <w:rPr>
          <w:lang w:val="de-DE"/>
        </w:rPr>
      </w:pPr>
      <w:r w:rsidRPr="004676F5">
        <w:rPr>
          <w:lang w:val="de-DE"/>
        </w:rPr>
        <w:t>[</w:t>
      </w:r>
      <w:r w:rsidRPr="004676F5">
        <w:rPr>
          <w:b/>
          <w:bCs/>
          <w:lang w:val="de-DE"/>
        </w:rPr>
        <w:t>Art. XVII.21/1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Zuständigkeiten des Arbeitsgerichts stellt der Präsident des Handelsgerichts das Bestehen eines rechtswidrigen Erwerbs oder einer rechtswidrigen Nutzung oder Offenlegung eines Geschäftsgeheimnisses im Sinne von Artikel XI.332/4 fest und ordnet ihre Unterlassung an oder verbietet gegebenenfalls die rechtswidrige Nutzung oder Offenlegung des Geschäftsgeheimnisses im Sinne dieses Artikels.</w:t>
      </w:r>
    </w:p>
    <w:p w14:paraId="713198F6" w14:textId="77777777" w:rsidR="00BF1930" w:rsidRPr="004676F5" w:rsidRDefault="00BF1930" w:rsidP="00BF1930">
      <w:pPr>
        <w:ind w:firstLine="708"/>
        <w:jc w:val="both"/>
        <w:rPr>
          <w:lang w:val="de-DE"/>
        </w:rPr>
      </w:pPr>
    </w:p>
    <w:p w14:paraId="16C5FC8C" w14:textId="55DA6C68" w:rsidR="00BF1930" w:rsidRPr="004676F5" w:rsidRDefault="00BF1930" w:rsidP="00BF1930">
      <w:pPr>
        <w:ind w:firstLine="708"/>
        <w:jc w:val="both"/>
        <w:rPr>
          <w:lang w:val="de-DE"/>
        </w:rPr>
      </w:pPr>
      <w:r w:rsidRPr="004676F5">
        <w:rPr>
          <w:lang w:val="de-DE"/>
        </w:rPr>
        <w:t>§ 2 </w:t>
      </w:r>
      <w:r w:rsidR="005B7A5C" w:rsidRPr="004676F5">
        <w:rPr>
          <w:lang w:val="de-DE"/>
        </w:rPr>
        <w:t>- </w:t>
      </w:r>
      <w:r w:rsidRPr="004676F5">
        <w:rPr>
          <w:lang w:val="de-DE"/>
        </w:rPr>
        <w:t>Alleine zuständig, um über eine in § 1 erwähnte Klage zu erkennen, ist:</w:t>
      </w:r>
    </w:p>
    <w:p w14:paraId="44763EFB" w14:textId="77777777" w:rsidR="00BF1930" w:rsidRPr="004676F5" w:rsidRDefault="00BF1930" w:rsidP="00BF1930">
      <w:pPr>
        <w:jc w:val="both"/>
        <w:rPr>
          <w:lang w:val="de-DE"/>
        </w:rPr>
      </w:pPr>
    </w:p>
    <w:p w14:paraId="075AFEE6" w14:textId="77777777" w:rsidR="00BF1930" w:rsidRPr="004676F5" w:rsidRDefault="00BF1930" w:rsidP="00BF1930">
      <w:pPr>
        <w:ind w:firstLine="708"/>
        <w:jc w:val="both"/>
        <w:rPr>
          <w:lang w:val="de-DE"/>
        </w:rPr>
      </w:pPr>
      <w:r w:rsidRPr="004676F5">
        <w:rPr>
          <w:lang w:val="de-DE"/>
        </w:rPr>
        <w:t>1. der Präsident des am Sitz des Appellationshofes ansässigen Gerichts, in dessen Bereich der rechtswidrige Erwerb oder die rechtswidrige Nutzung oder Offenlegung des Geschäftsgeheimnisses begangen worden ist, oder, nach Wahl des Klägers, der Präsident des am Sitz des Appellationshofes ansässigen Gerichts, in dessen Bereich der Beklagte oder einer der Beklagten seinen Wohnsitz oder seinen Wohnort hat,</w:t>
      </w:r>
    </w:p>
    <w:p w14:paraId="48F17D9E" w14:textId="77777777" w:rsidR="00BF1930" w:rsidRPr="004676F5" w:rsidRDefault="00BF1930" w:rsidP="00BF1930">
      <w:pPr>
        <w:ind w:firstLine="708"/>
        <w:jc w:val="both"/>
        <w:rPr>
          <w:lang w:val="de-DE"/>
        </w:rPr>
      </w:pPr>
    </w:p>
    <w:p w14:paraId="736CFBD9" w14:textId="77777777" w:rsidR="00BF1930" w:rsidRPr="004676F5" w:rsidRDefault="00BF1930" w:rsidP="00BF1930">
      <w:pPr>
        <w:ind w:firstLine="708"/>
        <w:jc w:val="both"/>
        <w:rPr>
          <w:lang w:val="de-DE"/>
        </w:rPr>
      </w:pPr>
      <w:r w:rsidRPr="004676F5">
        <w:rPr>
          <w:lang w:val="de-DE"/>
        </w:rPr>
        <w:t>2. der Präsident des am Sitz des Appellationshofes ansässigen Gerichts, in dessen Bereich der Kläger seinen Wohnsitz oder seinen Wohnort hat, wenn der Beklagte oder einer der Beklagten keinen Wohnsitz oder Wohnort im Königreich hat.</w:t>
      </w:r>
    </w:p>
    <w:p w14:paraId="3706B1CA" w14:textId="77777777" w:rsidR="00BF1930" w:rsidRPr="004676F5" w:rsidRDefault="00BF1930" w:rsidP="00BF1930">
      <w:pPr>
        <w:ind w:firstLine="708"/>
        <w:jc w:val="both"/>
        <w:rPr>
          <w:lang w:val="de-DE"/>
        </w:rPr>
      </w:pPr>
    </w:p>
    <w:p w14:paraId="16DF52E6" w14:textId="3847143D" w:rsidR="00BF1930" w:rsidRPr="004676F5" w:rsidRDefault="00BF1930" w:rsidP="00BF1930">
      <w:pPr>
        <w:ind w:firstLine="708"/>
        <w:jc w:val="both"/>
        <w:rPr>
          <w:lang w:val="de-DE"/>
        </w:rPr>
      </w:pPr>
      <w:r w:rsidRPr="004676F5">
        <w:rPr>
          <w:lang w:val="de-DE"/>
        </w:rPr>
        <w:t>§ 3 </w:t>
      </w:r>
      <w:r w:rsidR="005B7A5C" w:rsidRPr="004676F5">
        <w:rPr>
          <w:lang w:val="de-DE"/>
        </w:rPr>
        <w:t>- </w:t>
      </w:r>
      <w:r w:rsidRPr="004676F5">
        <w:rPr>
          <w:lang w:val="de-DE"/>
        </w:rPr>
        <w:t>Eine in § 1 erwähnte Klage auf Unterlassung des rechtswidrigen Erwerbs oder der rechtswidrigen Nutzung oder Offenlegung eines Geschäftsgeheimnisses, die auch die Unterlassung einer in Artikel</w:t>
      </w:r>
      <w:r w:rsidR="00791FCC" w:rsidRPr="004676F5">
        <w:rPr>
          <w:lang w:val="de-DE"/>
        </w:rPr>
        <w:t> [XVII.1/4]</w:t>
      </w:r>
      <w:r w:rsidRPr="004676F5">
        <w:rPr>
          <w:lang w:val="de-DE"/>
        </w:rPr>
        <w:t xml:space="preserve"> erwähnten Handlung zum Gegenstand hat, ist ausschließlich bei dem Präsidenten des aufgrund der Paragraphen 1 und 2 zuständigen Gerichts anhängig zu machen.]</w:t>
      </w:r>
    </w:p>
    <w:p w14:paraId="79DFF99F" w14:textId="20782F0B" w:rsidR="00BF1930" w:rsidRPr="004676F5" w:rsidRDefault="00BF1930" w:rsidP="00BF1930">
      <w:pPr>
        <w:ind w:firstLine="708"/>
        <w:jc w:val="both"/>
        <w:rPr>
          <w:lang w:val="de-DE"/>
        </w:rPr>
      </w:pPr>
    </w:p>
    <w:p w14:paraId="7BA126A3" w14:textId="0C9D29A3" w:rsidR="00BF1930" w:rsidRPr="004676F5" w:rsidRDefault="00BF1930" w:rsidP="00BF1930">
      <w:pPr>
        <w:jc w:val="both"/>
        <w:rPr>
          <w:i/>
          <w:iCs/>
          <w:lang w:val="de-DE"/>
        </w:rPr>
      </w:pPr>
      <w:r w:rsidRPr="004676F5">
        <w:rPr>
          <w:i/>
          <w:iCs/>
          <w:lang w:val="de-DE"/>
        </w:rPr>
        <w:t>[Art. XVII.21/1 eingefügt durch Art. 25</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r w:rsidR="00791FCC" w:rsidRPr="004676F5">
        <w:rPr>
          <w:i/>
          <w:lang w:val="de-DE"/>
        </w:rPr>
        <w:t xml:space="preserve">; § 3 </w:t>
      </w:r>
      <w:r w:rsidR="00791FCC" w:rsidRPr="004676F5">
        <w:rPr>
          <w:i/>
          <w:iCs/>
          <w:lang w:val="de-DE"/>
        </w:rPr>
        <w:t>abgeändert durch Art. 3 Nr. 8 des G. vom 21. April 2024 (II) (B.S. vom 31. Mai 2024)</w:t>
      </w:r>
      <w:r w:rsidRPr="004676F5">
        <w:rPr>
          <w:i/>
          <w:lang w:val="de-DE"/>
        </w:rPr>
        <w:t>]</w:t>
      </w:r>
    </w:p>
    <w:p w14:paraId="3DB16A39" w14:textId="77777777" w:rsidR="00BF1930" w:rsidRPr="004676F5" w:rsidRDefault="00BF1930" w:rsidP="00BF1930">
      <w:pPr>
        <w:ind w:firstLine="708"/>
        <w:jc w:val="both"/>
        <w:rPr>
          <w:lang w:val="de-DE"/>
        </w:rPr>
      </w:pPr>
    </w:p>
    <w:p w14:paraId="107C0418" w14:textId="77777777" w:rsidR="00BF1930" w:rsidRPr="004676F5" w:rsidRDefault="00BF1930" w:rsidP="00BF1930">
      <w:pPr>
        <w:jc w:val="both"/>
        <w:rPr>
          <w:lang w:val="de-DE"/>
        </w:rPr>
      </w:pPr>
    </w:p>
    <w:p w14:paraId="0E66B6DD" w14:textId="7646FBF4" w:rsidR="00BF1930" w:rsidRPr="004676F5" w:rsidRDefault="00BF1930" w:rsidP="00BF1930">
      <w:pPr>
        <w:ind w:firstLine="708"/>
        <w:jc w:val="both"/>
        <w:rPr>
          <w:lang w:val="de-DE"/>
        </w:rPr>
      </w:pPr>
      <w:r w:rsidRPr="004676F5">
        <w:rPr>
          <w:lang w:val="de-DE"/>
        </w:rPr>
        <w:t>[</w:t>
      </w:r>
      <w:r w:rsidRPr="004676F5">
        <w:rPr>
          <w:b/>
          <w:bCs/>
          <w:lang w:val="de-DE"/>
        </w:rPr>
        <w:t>Art. XVII.21/2</w:t>
      </w:r>
      <w:r w:rsidRPr="004676F5">
        <w:rPr>
          <w:lang w:val="de-DE"/>
        </w:rPr>
        <w:t> </w:t>
      </w:r>
      <w:r w:rsidR="005B7A5C" w:rsidRPr="004676F5">
        <w:rPr>
          <w:lang w:val="de-DE"/>
        </w:rPr>
        <w:t>- </w:t>
      </w:r>
      <w:r w:rsidRPr="004676F5">
        <w:rPr>
          <w:lang w:val="de-DE"/>
        </w:rPr>
        <w:t>Bei der Anordnung der Unterlassung kann der Präsident die in Artikel XI.336/3 § 1 Nr. 2 bis 6 und §§ 2 und 3 vorgesehenen Maßnahmen anordnen, sofern diese Maßnahmen geeignet sind, zur Unterlassung der rechtswidrigen Nutzung oder Offenlegung des Geschäftsgeheimnisses oder ihrer Folgen beizutragen, unter Ausschluss von Maßnahmen zum Ersatz des durch diese Verletzung verursachten Schadens.</w:t>
      </w:r>
    </w:p>
    <w:p w14:paraId="158201E5" w14:textId="77777777" w:rsidR="00BF1930" w:rsidRPr="004676F5" w:rsidRDefault="00BF1930" w:rsidP="00BF1930">
      <w:pPr>
        <w:ind w:firstLine="708"/>
        <w:jc w:val="both"/>
        <w:rPr>
          <w:lang w:val="de-DE"/>
        </w:rPr>
      </w:pPr>
    </w:p>
    <w:p w14:paraId="378F7E37" w14:textId="75A7803E" w:rsidR="00BF1930" w:rsidRPr="004676F5" w:rsidRDefault="00BF1930" w:rsidP="00BF1930">
      <w:pPr>
        <w:ind w:firstLine="708"/>
        <w:jc w:val="both"/>
        <w:rPr>
          <w:lang w:val="de-DE"/>
        </w:rPr>
      </w:pPr>
      <w:r w:rsidRPr="004676F5">
        <w:rPr>
          <w:lang w:val="de-DE"/>
        </w:rPr>
        <w:t>Artikel X1.336/4 §§ 1 und 2 ist entsprechend anwendbar.]</w:t>
      </w:r>
    </w:p>
    <w:p w14:paraId="35EFCDA6" w14:textId="4BB12E59" w:rsidR="00BF1930" w:rsidRPr="004676F5" w:rsidRDefault="00BF1930" w:rsidP="00BF1930">
      <w:pPr>
        <w:ind w:firstLine="708"/>
        <w:jc w:val="both"/>
        <w:rPr>
          <w:lang w:val="de-DE"/>
        </w:rPr>
      </w:pPr>
    </w:p>
    <w:p w14:paraId="79DC4F1A" w14:textId="5EC0B65B" w:rsidR="00BF1930" w:rsidRPr="004676F5" w:rsidRDefault="00BF1930" w:rsidP="00BF1930">
      <w:pPr>
        <w:jc w:val="both"/>
        <w:rPr>
          <w:i/>
          <w:iCs/>
          <w:lang w:val="de-DE"/>
        </w:rPr>
      </w:pPr>
      <w:r w:rsidRPr="004676F5">
        <w:rPr>
          <w:i/>
          <w:iCs/>
          <w:lang w:val="de-DE"/>
        </w:rPr>
        <w:t>[Art. XVII.21/2 eingefügt durch Art. 26</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674BEC63" w14:textId="77777777" w:rsidR="00BF1930" w:rsidRPr="004676F5" w:rsidRDefault="00BF1930" w:rsidP="00BF1930">
      <w:pPr>
        <w:ind w:firstLine="708"/>
        <w:jc w:val="both"/>
        <w:rPr>
          <w:lang w:val="de-DE"/>
        </w:rPr>
      </w:pPr>
    </w:p>
    <w:p w14:paraId="1CEF5FE5" w14:textId="77777777" w:rsidR="00BF1930" w:rsidRPr="004676F5" w:rsidRDefault="00BF1930" w:rsidP="00BF1930">
      <w:pPr>
        <w:ind w:firstLine="708"/>
        <w:jc w:val="both"/>
        <w:rPr>
          <w:lang w:val="de-DE"/>
        </w:rPr>
      </w:pPr>
    </w:p>
    <w:p w14:paraId="263E87AB" w14:textId="5E70D7A1" w:rsidR="00BF1930" w:rsidRPr="004676F5" w:rsidRDefault="00BF1930" w:rsidP="00BF1930">
      <w:pPr>
        <w:ind w:firstLine="708"/>
        <w:jc w:val="both"/>
        <w:rPr>
          <w:lang w:val="de-DE"/>
        </w:rPr>
      </w:pPr>
      <w:r w:rsidRPr="004676F5">
        <w:rPr>
          <w:lang w:val="de-DE"/>
        </w:rPr>
        <w:t>[</w:t>
      </w:r>
      <w:r w:rsidRPr="004676F5">
        <w:rPr>
          <w:b/>
          <w:bCs/>
          <w:lang w:val="de-DE"/>
        </w:rPr>
        <w:t>Art. XVII.21/3</w:t>
      </w:r>
      <w:r w:rsidRPr="004676F5">
        <w:rPr>
          <w:lang w:val="de-DE"/>
        </w:rPr>
        <w:t> </w:t>
      </w:r>
      <w:r w:rsidR="005B7A5C" w:rsidRPr="004676F5">
        <w:rPr>
          <w:lang w:val="de-DE"/>
        </w:rPr>
        <w:t>- </w:t>
      </w:r>
      <w:r w:rsidRPr="004676F5">
        <w:rPr>
          <w:lang w:val="de-DE"/>
        </w:rPr>
        <w:t>Die Klage wird im Eilverfahren eingeleitet und untersucht.</w:t>
      </w:r>
    </w:p>
    <w:p w14:paraId="47E77CCB" w14:textId="77777777" w:rsidR="00BF1930" w:rsidRPr="004676F5" w:rsidRDefault="00BF1930" w:rsidP="00BF1930">
      <w:pPr>
        <w:ind w:firstLine="708"/>
        <w:jc w:val="both"/>
        <w:rPr>
          <w:lang w:val="de-DE"/>
        </w:rPr>
      </w:pPr>
    </w:p>
    <w:p w14:paraId="16AB5123" w14:textId="77777777" w:rsidR="00BF1930" w:rsidRPr="004676F5" w:rsidRDefault="00BF1930" w:rsidP="00BF1930">
      <w:pPr>
        <w:ind w:firstLine="708"/>
        <w:jc w:val="both"/>
        <w:rPr>
          <w:lang w:val="de-DE"/>
        </w:rPr>
      </w:pPr>
      <w:r w:rsidRPr="004676F5">
        <w:rPr>
          <w:lang w:val="de-DE"/>
        </w:rPr>
        <w:lastRenderedPageBreak/>
        <w:t>Über die Klage wird ungeachtet der Verfolgung aufgrund derselben Taten vor einem Strafgericht entschieden.</w:t>
      </w:r>
    </w:p>
    <w:p w14:paraId="455479F1" w14:textId="77777777" w:rsidR="00BF1930" w:rsidRPr="004676F5" w:rsidRDefault="00BF1930" w:rsidP="00BF1930">
      <w:pPr>
        <w:ind w:firstLine="708"/>
        <w:jc w:val="both"/>
        <w:rPr>
          <w:lang w:val="de-DE"/>
        </w:rPr>
      </w:pPr>
    </w:p>
    <w:p w14:paraId="54D6DE4D" w14:textId="7B4036B7" w:rsidR="00BF1930" w:rsidRPr="004676F5" w:rsidRDefault="00BF1930" w:rsidP="00BF1930">
      <w:pPr>
        <w:ind w:firstLine="708"/>
        <w:jc w:val="both"/>
        <w:rPr>
          <w:lang w:val="de-DE"/>
        </w:rPr>
      </w:pPr>
      <w:r w:rsidRPr="004676F5">
        <w:rPr>
          <w:lang w:val="de-DE"/>
        </w:rPr>
        <w:t>Das Urteil ist einstweilen vollstreckbar ungeachtet irgendeines Rechtsmittels und ohne Sicherheitsleistung, es sei denn, der Präsident hat eine Sicherheitsleistung angeordnet.]</w:t>
      </w:r>
    </w:p>
    <w:p w14:paraId="6980171E" w14:textId="7203D7DA" w:rsidR="00BF1930" w:rsidRPr="004676F5" w:rsidRDefault="00BF1930" w:rsidP="00BF1930">
      <w:pPr>
        <w:ind w:firstLine="708"/>
        <w:jc w:val="both"/>
        <w:rPr>
          <w:lang w:val="de-DE"/>
        </w:rPr>
      </w:pPr>
    </w:p>
    <w:p w14:paraId="0E29D048" w14:textId="003ECD90" w:rsidR="00BF1930" w:rsidRPr="004676F5" w:rsidRDefault="00BF1930" w:rsidP="00BF1930">
      <w:pPr>
        <w:jc w:val="both"/>
        <w:rPr>
          <w:i/>
          <w:iCs/>
          <w:lang w:val="de-DE"/>
        </w:rPr>
      </w:pPr>
      <w:r w:rsidRPr="004676F5">
        <w:rPr>
          <w:i/>
          <w:iCs/>
          <w:lang w:val="de-DE"/>
        </w:rPr>
        <w:t>[Art. XVII.21/3 eingefügt durch Art. 27</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187CAD00" w14:textId="77777777" w:rsidR="00BF1930" w:rsidRPr="004676F5" w:rsidRDefault="00BF1930" w:rsidP="00BF1930">
      <w:pPr>
        <w:ind w:firstLine="708"/>
        <w:jc w:val="both"/>
        <w:rPr>
          <w:lang w:val="de-DE"/>
        </w:rPr>
      </w:pPr>
    </w:p>
    <w:p w14:paraId="521B2250" w14:textId="77777777" w:rsidR="00BF1930" w:rsidRPr="004676F5" w:rsidRDefault="00BF1930" w:rsidP="00BF1930">
      <w:pPr>
        <w:ind w:firstLine="708"/>
        <w:jc w:val="both"/>
        <w:rPr>
          <w:lang w:val="de-DE"/>
        </w:rPr>
      </w:pPr>
    </w:p>
    <w:p w14:paraId="22CD1B2D" w14:textId="560E859F" w:rsidR="00BF1930" w:rsidRPr="004676F5" w:rsidRDefault="00BF1930" w:rsidP="00BF1930">
      <w:pPr>
        <w:ind w:firstLine="708"/>
        <w:jc w:val="both"/>
        <w:rPr>
          <w:lang w:val="de-DE"/>
        </w:rPr>
      </w:pPr>
      <w:r w:rsidRPr="004676F5">
        <w:rPr>
          <w:lang w:val="de-DE"/>
        </w:rPr>
        <w:t>[</w:t>
      </w:r>
      <w:r w:rsidRPr="004676F5">
        <w:rPr>
          <w:b/>
          <w:bCs/>
          <w:lang w:val="de-DE"/>
        </w:rPr>
        <w:t>Art. XVII.21/4</w:t>
      </w:r>
      <w:r w:rsidRPr="004676F5">
        <w:rPr>
          <w:lang w:val="de-DE"/>
        </w:rPr>
        <w:t> </w:t>
      </w:r>
      <w:r w:rsidR="005B7A5C" w:rsidRPr="004676F5">
        <w:rPr>
          <w:lang w:val="de-DE"/>
        </w:rPr>
        <w:t>- </w:t>
      </w:r>
      <w:r w:rsidRPr="004676F5">
        <w:rPr>
          <w:lang w:val="de-DE"/>
        </w:rPr>
        <w:t>Die auf Artikel XVII.21/1 § 1 gestützte Klage wird auf Antrag der Personen erhoben, die gemäß Artikel XI.336/2 berechtigt sind, gegen den rechtswidrigen Erwerb oder die rechtswidrige Nutzung oder Offenlegung eines Geschäftsgeheimnisses vorzugehen.]</w:t>
      </w:r>
    </w:p>
    <w:p w14:paraId="2277968E" w14:textId="60D792FC" w:rsidR="00BF1930" w:rsidRPr="004676F5" w:rsidRDefault="00BF1930" w:rsidP="00BF1930">
      <w:pPr>
        <w:ind w:firstLine="708"/>
        <w:jc w:val="both"/>
        <w:rPr>
          <w:lang w:val="de-DE"/>
        </w:rPr>
      </w:pPr>
    </w:p>
    <w:p w14:paraId="5528CEBA" w14:textId="0DFE41E2" w:rsidR="00BF1930" w:rsidRPr="004676F5" w:rsidRDefault="00BF1930" w:rsidP="00BF1930">
      <w:pPr>
        <w:jc w:val="both"/>
        <w:rPr>
          <w:i/>
          <w:iCs/>
          <w:lang w:val="de-DE"/>
        </w:rPr>
      </w:pPr>
      <w:r w:rsidRPr="004676F5">
        <w:rPr>
          <w:i/>
          <w:iCs/>
          <w:lang w:val="de-DE"/>
        </w:rPr>
        <w:t>[Art. XVII.21/4 eingefügt durch Art. 28</w:t>
      </w:r>
      <w:r w:rsidRPr="004676F5">
        <w:rPr>
          <w:i/>
          <w:lang w:val="de-DE"/>
        </w:rPr>
        <w:t xml:space="preserve"> des G. vom 30. Juli 2018</w:t>
      </w:r>
      <w:r w:rsidR="004F314D" w:rsidRPr="004676F5">
        <w:rPr>
          <w:bCs/>
          <w:lang w:val="de-DE"/>
        </w:rPr>
        <w:t> </w:t>
      </w:r>
      <w:r w:rsidR="004F314D" w:rsidRPr="004676F5">
        <w:rPr>
          <w:bCs/>
          <w:i/>
          <w:iCs/>
          <w:lang w:val="de-DE"/>
        </w:rPr>
        <w:t>(I)</w:t>
      </w:r>
      <w:r w:rsidRPr="004676F5">
        <w:rPr>
          <w:i/>
          <w:lang w:val="de-DE"/>
        </w:rPr>
        <w:t xml:space="preserve"> (B.S. vom 14. August 2018)]</w:t>
      </w:r>
    </w:p>
    <w:p w14:paraId="492EBFBD" w14:textId="77777777" w:rsidR="00BF1930" w:rsidRPr="004676F5" w:rsidRDefault="00BF1930" w:rsidP="00BF1930">
      <w:pPr>
        <w:ind w:firstLine="708"/>
        <w:jc w:val="both"/>
        <w:rPr>
          <w:lang w:val="de-DE"/>
        </w:rPr>
      </w:pPr>
    </w:p>
    <w:p w14:paraId="31984C7A" w14:textId="77777777" w:rsidR="00BF1930" w:rsidRPr="004676F5" w:rsidRDefault="00BF1930" w:rsidP="00BF1930">
      <w:pPr>
        <w:ind w:firstLine="708"/>
        <w:jc w:val="both"/>
        <w:rPr>
          <w:lang w:val="de-DE"/>
        </w:rPr>
      </w:pPr>
    </w:p>
    <w:p w14:paraId="324A61C6" w14:textId="704E6E00" w:rsidR="00BF1930" w:rsidRPr="004676F5" w:rsidRDefault="00BF1930" w:rsidP="00BF1930">
      <w:pPr>
        <w:ind w:firstLine="708"/>
        <w:jc w:val="both"/>
        <w:rPr>
          <w:lang w:val="de-DE"/>
        </w:rPr>
      </w:pPr>
      <w:r w:rsidRPr="004676F5">
        <w:rPr>
          <w:lang w:val="de-DE"/>
        </w:rPr>
        <w:t>[</w:t>
      </w:r>
      <w:r w:rsidRPr="004676F5">
        <w:rPr>
          <w:b/>
          <w:bCs/>
          <w:lang w:val="de-DE"/>
        </w:rPr>
        <w:t>Art. XVII.21/5</w:t>
      </w:r>
      <w:r w:rsidRPr="004676F5">
        <w:rPr>
          <w:lang w:val="de-DE"/>
        </w:rPr>
        <w:t> </w:t>
      </w:r>
      <w:r w:rsidR="005B7A5C" w:rsidRPr="004676F5">
        <w:rPr>
          <w:lang w:val="de-DE"/>
        </w:rPr>
        <w:t>- </w:t>
      </w:r>
      <w:r w:rsidRPr="004676F5">
        <w:rPr>
          <w:lang w:val="de-DE"/>
        </w:rPr>
        <w:t>Unbeschadet der Anwendung von Artikel XI.342/3 dürfen Maßnahmen der öffentlichen Bekanntmachung jedoch nur erlaubt werden, wenn sie dazu beitragen können, dass die beanstandete Handlung eingestellt beziehungsweise deren Auswirkungen Einhalt geboten wird.</w:t>
      </w:r>
    </w:p>
    <w:p w14:paraId="6A95C53D" w14:textId="77777777" w:rsidR="00BF1930" w:rsidRPr="004676F5" w:rsidRDefault="00BF1930" w:rsidP="00BF1930">
      <w:pPr>
        <w:jc w:val="both"/>
        <w:rPr>
          <w:lang w:val="de-DE"/>
        </w:rPr>
      </w:pPr>
    </w:p>
    <w:p w14:paraId="6DF0DB15" w14:textId="5DD532CF" w:rsidR="00BF1930" w:rsidRPr="004676F5" w:rsidRDefault="00BF1930" w:rsidP="00BF1930">
      <w:pPr>
        <w:jc w:val="both"/>
        <w:rPr>
          <w:lang w:val="de-DE"/>
        </w:rPr>
      </w:pPr>
      <w:r w:rsidRPr="004676F5">
        <w:rPr>
          <w:lang w:val="de-DE"/>
        </w:rPr>
        <w:tab/>
        <w:t>Der Präsident legt den Betrag fest, den die Partei, der gemäß Absatz 1 eine Maßnahme der öffentlichen Bekanntmachung erlaubt worden ist und die die Maßnahme trotz einer rechtzeitig eingereichten Beschwerde gegen das Urteil ausgeführt hat, der Partei zahlen muss, zu deren Nachteil die Maßnahme der öffentlichen Bekanntmachung ausgesprochen wurde, wenn diese Maßnahme infolge dieser Beschwerde aufgehoben wird.]</w:t>
      </w:r>
    </w:p>
    <w:p w14:paraId="570B0F55" w14:textId="5E580B71" w:rsidR="00BF1930" w:rsidRPr="004676F5" w:rsidRDefault="00BF1930" w:rsidP="00BF1930">
      <w:pPr>
        <w:jc w:val="both"/>
        <w:rPr>
          <w:lang w:val="de-DE"/>
        </w:rPr>
      </w:pPr>
    </w:p>
    <w:p w14:paraId="7DA22149" w14:textId="1D094917" w:rsidR="00BF1930" w:rsidRPr="004676F5" w:rsidRDefault="00BF1930" w:rsidP="00BF1930">
      <w:pPr>
        <w:jc w:val="both"/>
        <w:rPr>
          <w:i/>
          <w:iCs/>
          <w:lang w:val="de-DE"/>
        </w:rPr>
      </w:pPr>
      <w:r w:rsidRPr="004676F5">
        <w:rPr>
          <w:i/>
          <w:iCs/>
          <w:lang w:val="de-DE"/>
        </w:rPr>
        <w:t>[Art. XVII.21/5 eingefügt durch Art. 29</w:t>
      </w:r>
      <w:r w:rsidRPr="004676F5">
        <w:rPr>
          <w:i/>
          <w:lang w:val="de-DE"/>
        </w:rPr>
        <w:t xml:space="preserve"> des G. vom 30. Juli 2018</w:t>
      </w:r>
      <w:r w:rsidR="0022045D" w:rsidRPr="004676F5">
        <w:rPr>
          <w:bCs/>
          <w:lang w:val="de-DE"/>
        </w:rPr>
        <w:t> </w:t>
      </w:r>
      <w:r w:rsidR="0022045D" w:rsidRPr="004676F5">
        <w:rPr>
          <w:bCs/>
          <w:i/>
          <w:iCs/>
          <w:lang w:val="de-DE"/>
        </w:rPr>
        <w:t>(I)</w:t>
      </w:r>
      <w:r w:rsidRPr="004676F5">
        <w:rPr>
          <w:i/>
          <w:lang w:val="de-DE"/>
        </w:rPr>
        <w:t xml:space="preserve"> (B.S. vom 14. August 2018)]</w:t>
      </w:r>
    </w:p>
    <w:p w14:paraId="72BBC68A" w14:textId="77777777" w:rsidR="00BF1930" w:rsidRPr="004676F5" w:rsidRDefault="00BF1930" w:rsidP="00BF1930">
      <w:pPr>
        <w:jc w:val="both"/>
        <w:rPr>
          <w:lang w:val="de-DE"/>
        </w:rPr>
      </w:pPr>
    </w:p>
    <w:p w14:paraId="2733D7B6" w14:textId="77777777" w:rsidR="00BF1930" w:rsidRPr="004676F5" w:rsidRDefault="00BF1930" w:rsidP="00BF1930">
      <w:pPr>
        <w:jc w:val="center"/>
        <w:rPr>
          <w:iCs/>
          <w:lang w:val="de-DE"/>
        </w:rPr>
      </w:pPr>
    </w:p>
    <w:p w14:paraId="79BFFD3C" w14:textId="00144332" w:rsidR="00BA746B" w:rsidRPr="004676F5" w:rsidRDefault="002125E5" w:rsidP="006C21A8">
      <w:pPr>
        <w:jc w:val="center"/>
        <w:rPr>
          <w:i/>
          <w:lang w:val="de-DE"/>
        </w:rPr>
      </w:pPr>
      <w:r w:rsidRPr="004676F5">
        <w:rPr>
          <w:lang w:val="de-DE"/>
        </w:rPr>
        <w:br w:type="page"/>
      </w:r>
      <w:r w:rsidR="006C21A8" w:rsidRPr="004676F5">
        <w:rPr>
          <w:lang w:val="de-DE"/>
        </w:rPr>
        <w:lastRenderedPageBreak/>
        <w:t>K</w:t>
      </w:r>
      <w:r w:rsidR="00BA746B" w:rsidRPr="004676F5">
        <w:rPr>
          <w:lang w:val="de-DE"/>
        </w:rPr>
        <w:t>APITEL 5 </w:t>
      </w:r>
      <w:r w:rsidR="005B7A5C" w:rsidRPr="004676F5">
        <w:rPr>
          <w:lang w:val="de-DE"/>
        </w:rPr>
        <w:t>- </w:t>
      </w:r>
      <w:r w:rsidR="00BA746B" w:rsidRPr="004676F5">
        <w:rPr>
          <w:i/>
          <w:lang w:val="de-DE"/>
        </w:rPr>
        <w:t>Sonderbestimmungen Buch XII</w:t>
      </w:r>
    </w:p>
    <w:p w14:paraId="5562D697" w14:textId="77777777" w:rsidR="00BA746B" w:rsidRPr="004676F5" w:rsidRDefault="00BA746B" w:rsidP="00BA746B">
      <w:pPr>
        <w:jc w:val="center"/>
        <w:rPr>
          <w:lang w:val="de-DE"/>
        </w:rPr>
      </w:pPr>
    </w:p>
    <w:p w14:paraId="4BCF38FE" w14:textId="77777777" w:rsidR="00BA746B" w:rsidRPr="004676F5" w:rsidRDefault="00BA746B" w:rsidP="00BA746B">
      <w:pPr>
        <w:jc w:val="both"/>
        <w:rPr>
          <w:lang w:val="de-DE"/>
        </w:rPr>
      </w:pPr>
    </w:p>
    <w:p w14:paraId="67CA55D1" w14:textId="2DBFCE70" w:rsidR="00BA746B" w:rsidRPr="004676F5" w:rsidRDefault="00BA746B" w:rsidP="00BA746B">
      <w:pPr>
        <w:jc w:val="both"/>
        <w:rPr>
          <w:lang w:val="de-DE"/>
        </w:rPr>
      </w:pPr>
      <w:r w:rsidRPr="004676F5">
        <w:rPr>
          <w:lang w:val="de-DE"/>
        </w:rPr>
        <w:tab/>
        <w:t>[</w:t>
      </w:r>
      <w:r w:rsidR="00BE0A56" w:rsidRPr="004676F5">
        <w:rPr>
          <w:b/>
          <w:lang w:val="de-DE"/>
        </w:rPr>
        <w:t>Art. </w:t>
      </w:r>
      <w:r w:rsidRPr="004676F5">
        <w:rPr>
          <w:b/>
          <w:lang w:val="de-DE"/>
        </w:rPr>
        <w:t>XVII.22</w:t>
      </w:r>
      <w:r w:rsidRPr="004676F5">
        <w:rPr>
          <w:lang w:val="de-DE"/>
        </w:rPr>
        <w:t xml:space="preserve"> </w:t>
      </w:r>
      <w:r w:rsidR="005B7A5C" w:rsidRPr="004676F5">
        <w:rPr>
          <w:lang w:val="de-DE"/>
        </w:rPr>
        <w:t>- </w:t>
      </w:r>
      <w:r w:rsidR="004D4805" w:rsidRPr="004676F5">
        <w:rPr>
          <w:lang w:val="de-DE"/>
        </w:rPr>
        <w:t>[Eine auf Artikel</w:t>
      </w:r>
      <w:r w:rsidR="00791FCC" w:rsidRPr="004676F5">
        <w:rPr>
          <w:lang w:val="de-DE"/>
        </w:rPr>
        <w:t> [XVII.1/4]</w:t>
      </w:r>
      <w:r w:rsidR="004D4805" w:rsidRPr="004676F5">
        <w:rPr>
          <w:lang w:val="de-DE"/>
        </w:rPr>
        <w:t xml:space="preserve"> beruhende Klage kann ebenfalls auf Veranlas</w:t>
      </w:r>
      <w:r w:rsidR="004D4805" w:rsidRPr="004676F5">
        <w:rPr>
          <w:lang w:val="de-DE"/>
        </w:rPr>
        <w:softHyphen/>
        <w:t>sung der in Artikel I.18 Nr. 16 erwähnten Aufsichtsstelle eingereicht werden.]</w:t>
      </w:r>
      <w:r w:rsidRPr="004676F5">
        <w:rPr>
          <w:lang w:val="de-DE"/>
        </w:rPr>
        <w:t>]</w:t>
      </w:r>
    </w:p>
    <w:p w14:paraId="584B2231" w14:textId="77777777" w:rsidR="002125E5" w:rsidRPr="004676F5" w:rsidRDefault="002125E5">
      <w:pPr>
        <w:rPr>
          <w:lang w:val="de-DE"/>
        </w:rPr>
      </w:pPr>
    </w:p>
    <w:p w14:paraId="556BA7E3" w14:textId="65DFC4B9" w:rsidR="00BA746B" w:rsidRPr="004676F5" w:rsidRDefault="00BA746B" w:rsidP="00BA746B">
      <w:pPr>
        <w:jc w:val="both"/>
        <w:rPr>
          <w:i/>
          <w:lang w:val="de-DE"/>
        </w:rPr>
      </w:pPr>
      <w:r w:rsidRPr="004676F5">
        <w:rPr>
          <w:i/>
          <w:lang w:val="de-DE"/>
        </w:rPr>
        <w:t>[</w:t>
      </w:r>
      <w:r w:rsidR="00BE0A56" w:rsidRPr="004676F5">
        <w:rPr>
          <w:i/>
          <w:lang w:val="de-DE"/>
        </w:rPr>
        <w:t>Art. </w:t>
      </w:r>
      <w:r w:rsidRPr="004676F5">
        <w:rPr>
          <w:i/>
          <w:lang w:val="de-DE"/>
        </w:rPr>
        <w:t xml:space="preserve">XVII.22 eingefügt durch </w:t>
      </w:r>
      <w:r w:rsidR="00BE0A56" w:rsidRPr="004676F5">
        <w:rPr>
          <w:i/>
          <w:lang w:val="de-DE"/>
        </w:rPr>
        <w:t>Art. </w:t>
      </w:r>
      <w:r w:rsidRPr="004676F5">
        <w:rPr>
          <w:i/>
          <w:lang w:val="de-DE"/>
        </w:rPr>
        <w:t>7</w:t>
      </w:r>
      <w:r w:rsidR="0039070E" w:rsidRPr="004676F5">
        <w:rPr>
          <w:i/>
          <w:lang w:val="de-DE"/>
        </w:rPr>
        <w:t xml:space="preserve"> des G. vom 26. Dezember 2013 </w:t>
      </w:r>
      <w:r w:rsidRPr="004676F5">
        <w:rPr>
          <w:i/>
          <w:lang w:val="de-DE"/>
        </w:rPr>
        <w:t>(III) (B.S. vom 28. Januar 2014)</w:t>
      </w:r>
      <w:r w:rsidR="00791FCC" w:rsidRPr="004676F5">
        <w:rPr>
          <w:i/>
          <w:lang w:val="de-DE"/>
        </w:rPr>
        <w:t xml:space="preserve">, </w:t>
      </w:r>
      <w:r w:rsidR="004D4805" w:rsidRPr="004676F5">
        <w:rPr>
          <w:i/>
          <w:lang w:val="de-DE"/>
        </w:rPr>
        <w:t xml:space="preserve">ersetzt durch </w:t>
      </w:r>
      <w:r w:rsidR="00BE0A56" w:rsidRPr="004676F5">
        <w:rPr>
          <w:i/>
          <w:lang w:val="de-DE"/>
        </w:rPr>
        <w:t>Art. </w:t>
      </w:r>
      <w:r w:rsidR="004D4805" w:rsidRPr="004676F5">
        <w:rPr>
          <w:i/>
          <w:lang w:val="de-DE"/>
        </w:rPr>
        <w:t>31 des G. vom 21. Juli 2016 (B.S. vom 28. September 2016)</w:t>
      </w:r>
      <w:r w:rsidR="00791FCC" w:rsidRPr="004676F5">
        <w:rPr>
          <w:i/>
          <w:lang w:val="de-DE"/>
        </w:rPr>
        <w:t xml:space="preserve"> und </w:t>
      </w:r>
      <w:r w:rsidR="00791FCC" w:rsidRPr="004676F5">
        <w:rPr>
          <w:i/>
          <w:iCs/>
          <w:lang w:val="de-DE"/>
        </w:rPr>
        <w:t>abgeändert durch Art. 3 Nr. 9 des G. vom 21. April 2024 (II) (B.S. vom 31. Mai 2024)</w:t>
      </w:r>
      <w:r w:rsidRPr="004676F5">
        <w:rPr>
          <w:i/>
          <w:lang w:val="de-DE"/>
        </w:rPr>
        <w:t>]</w:t>
      </w:r>
    </w:p>
    <w:p w14:paraId="1E14937F" w14:textId="77777777" w:rsidR="002125E5" w:rsidRPr="004676F5" w:rsidRDefault="002125E5" w:rsidP="00B6155A">
      <w:pPr>
        <w:jc w:val="both"/>
        <w:rPr>
          <w:lang w:val="de-DE"/>
        </w:rPr>
      </w:pPr>
    </w:p>
    <w:p w14:paraId="166B356C" w14:textId="77777777" w:rsidR="00BA746B" w:rsidRPr="004676F5" w:rsidRDefault="00BA746B" w:rsidP="00B6155A">
      <w:pPr>
        <w:jc w:val="both"/>
        <w:rPr>
          <w:lang w:val="de-DE"/>
        </w:rPr>
      </w:pPr>
    </w:p>
    <w:p w14:paraId="29ED323F" w14:textId="740157BB" w:rsidR="00BA746B" w:rsidRPr="004676F5" w:rsidRDefault="00BA746B" w:rsidP="00BA746B">
      <w:pPr>
        <w:jc w:val="both"/>
        <w:rPr>
          <w:lang w:val="de-DE"/>
        </w:rPr>
      </w:pPr>
      <w:r w:rsidRPr="004676F5">
        <w:rPr>
          <w:lang w:val="de-DE"/>
        </w:rPr>
        <w:tab/>
      </w:r>
      <w:r w:rsidR="00BE0A56" w:rsidRPr="004676F5">
        <w:rPr>
          <w:b/>
          <w:lang w:val="de-DE"/>
        </w:rPr>
        <w:t>Art. </w:t>
      </w:r>
      <w:r w:rsidRPr="004676F5">
        <w:rPr>
          <w:b/>
          <w:lang w:val="de-DE"/>
        </w:rPr>
        <w:t>XVII.23</w:t>
      </w:r>
      <w:r w:rsidRPr="004676F5">
        <w:rPr>
          <w:lang w:val="de-DE"/>
        </w:rPr>
        <w:t> </w:t>
      </w:r>
      <w:r w:rsidR="005B7A5C" w:rsidRPr="004676F5">
        <w:rPr>
          <w:lang w:val="de-DE"/>
        </w:rPr>
        <w:t>- </w:t>
      </w:r>
      <w:r w:rsidR="008F4750" w:rsidRPr="004676F5">
        <w:rPr>
          <w:lang w:val="de-DE"/>
        </w:rPr>
        <w:t>[</w:t>
      </w:r>
      <w:r w:rsidRPr="004676F5">
        <w:rPr>
          <w:lang w:val="de-DE"/>
        </w:rPr>
        <w:t>§ 1 </w:t>
      </w:r>
      <w:r w:rsidR="005B7A5C" w:rsidRPr="004676F5">
        <w:rPr>
          <w:lang w:val="de-DE"/>
        </w:rPr>
        <w:t>- </w:t>
      </w:r>
      <w:r w:rsidRPr="004676F5">
        <w:rPr>
          <w:lang w:val="de-DE"/>
        </w:rPr>
        <w:t>In Abweichung von den Bestimmungen des vorliegenden Titels finden nur die folgenden Paragraphen auf einen Verstoß gegen Artikel XII.22 Anwendung.</w:t>
      </w:r>
      <w:r w:rsidR="003F5E25" w:rsidRPr="004676F5">
        <w:rPr>
          <w:lang w:val="de-DE"/>
        </w:rPr>
        <w:t>]</w:t>
      </w:r>
    </w:p>
    <w:p w14:paraId="0BAD75B4" w14:textId="77777777" w:rsidR="00BA746B" w:rsidRPr="004676F5" w:rsidRDefault="00BA746B" w:rsidP="00BA746B">
      <w:pPr>
        <w:jc w:val="both"/>
        <w:rPr>
          <w:lang w:val="de-DE"/>
        </w:rPr>
      </w:pPr>
    </w:p>
    <w:p w14:paraId="18893390" w14:textId="0A597693" w:rsidR="00BA746B" w:rsidRPr="004676F5" w:rsidRDefault="00BA746B" w:rsidP="00BA746B">
      <w:pPr>
        <w:jc w:val="both"/>
        <w:rPr>
          <w:lang w:val="de-DE"/>
        </w:rPr>
      </w:pPr>
      <w:r w:rsidRPr="004676F5">
        <w:rPr>
          <w:lang w:val="de-DE"/>
        </w:rPr>
        <w:tab/>
      </w:r>
      <w:r w:rsidR="003F5E25" w:rsidRPr="004676F5">
        <w:rPr>
          <w:lang w:val="de-DE"/>
        </w:rPr>
        <w:t>[</w:t>
      </w:r>
      <w:r w:rsidRPr="004676F5">
        <w:rPr>
          <w:lang w:val="de-DE"/>
        </w:rPr>
        <w:t>§ 2 </w:t>
      </w:r>
      <w:r w:rsidR="005B7A5C" w:rsidRPr="004676F5">
        <w:rPr>
          <w:lang w:val="de-DE"/>
        </w:rPr>
        <w:t>- </w:t>
      </w:r>
      <w:r w:rsidRPr="004676F5">
        <w:rPr>
          <w:lang w:val="de-DE"/>
        </w:rPr>
        <w:t xml:space="preserve">Der Präsident des Gerichts Erster Instanz oder gegebenenfalls der Präsident des </w:t>
      </w:r>
      <w:r w:rsidR="003F5E25" w:rsidRPr="004676F5">
        <w:rPr>
          <w:lang w:val="de-DE"/>
        </w:rPr>
        <w:t xml:space="preserve">[Unternehmensgerichts] </w:t>
      </w:r>
      <w:r w:rsidRPr="004676F5">
        <w:rPr>
          <w:lang w:val="de-DE"/>
        </w:rPr>
        <w:t>stellt das Bestehen einer Registrierung eines Domainnamens durch eine Person, die in Belgien ihren Wohnsitz oder ihre Niederlassung hat, und einer Registrierung eines unter der BE-Domain registrierten Domainnamens, die einen Verstoß gegen Arti</w:t>
      </w:r>
      <w:r w:rsidRPr="004676F5">
        <w:rPr>
          <w:lang w:val="de-DE"/>
        </w:rPr>
        <w:softHyphen/>
        <w:t>kel XII.22 darstellen, fest und ordnet ihre Einstellung an.</w:t>
      </w:r>
      <w:r w:rsidR="003F5E25" w:rsidRPr="004676F5">
        <w:rPr>
          <w:lang w:val="de-DE"/>
        </w:rPr>
        <w:t>]</w:t>
      </w:r>
    </w:p>
    <w:p w14:paraId="628BE57D" w14:textId="77777777" w:rsidR="00BA746B" w:rsidRPr="004676F5" w:rsidRDefault="00BA746B" w:rsidP="00BA746B">
      <w:pPr>
        <w:jc w:val="both"/>
        <w:rPr>
          <w:lang w:val="de-DE"/>
        </w:rPr>
      </w:pPr>
    </w:p>
    <w:p w14:paraId="2BEFE5DF" w14:textId="52905AC2" w:rsidR="00BA746B" w:rsidRPr="004676F5" w:rsidRDefault="00BA746B" w:rsidP="00BA746B">
      <w:pPr>
        <w:jc w:val="both"/>
        <w:rPr>
          <w:lang w:val="de-DE"/>
        </w:rPr>
      </w:pPr>
      <w:r w:rsidRPr="004676F5">
        <w:rPr>
          <w:lang w:val="de-DE"/>
        </w:rPr>
        <w:tab/>
      </w:r>
      <w:r w:rsidR="003F5E25" w:rsidRPr="004676F5">
        <w:rPr>
          <w:lang w:val="de-DE"/>
        </w:rPr>
        <w:t>[</w:t>
      </w:r>
      <w:r w:rsidRPr="004676F5">
        <w:rPr>
          <w:lang w:val="de-DE"/>
        </w:rPr>
        <w:t>§ 3 </w:t>
      </w:r>
      <w:r w:rsidR="005B7A5C" w:rsidRPr="004676F5">
        <w:rPr>
          <w:lang w:val="de-DE"/>
        </w:rPr>
        <w:t>- </w:t>
      </w:r>
      <w:r w:rsidRPr="004676F5">
        <w:rPr>
          <w:lang w:val="de-DE"/>
        </w:rPr>
        <w:t>Der Gerichtspräsident kann anordnen, dass der Inhaber des betreffenden Domainnamens diesen Namen streicht oder streichen lässt oder den Domainnamen der von ihm bestimmten Person überträgt oder übertragen lässt.</w:t>
      </w:r>
      <w:r w:rsidR="008F4750" w:rsidRPr="004676F5">
        <w:rPr>
          <w:lang w:val="de-DE"/>
        </w:rPr>
        <w:t>]</w:t>
      </w:r>
    </w:p>
    <w:p w14:paraId="2D526059" w14:textId="77777777" w:rsidR="00BA746B" w:rsidRPr="004676F5" w:rsidRDefault="00BA746B" w:rsidP="00BA746B">
      <w:pPr>
        <w:jc w:val="both"/>
        <w:rPr>
          <w:lang w:val="de-DE"/>
        </w:rPr>
      </w:pPr>
    </w:p>
    <w:p w14:paraId="4C4702FC" w14:textId="3E639841" w:rsidR="008F4750" w:rsidRPr="004676F5" w:rsidRDefault="00BA746B" w:rsidP="00BA746B">
      <w:pPr>
        <w:jc w:val="both"/>
        <w:rPr>
          <w:lang w:val="de-DE"/>
        </w:rPr>
      </w:pPr>
      <w:r w:rsidRPr="004676F5">
        <w:rPr>
          <w:lang w:val="de-DE"/>
        </w:rPr>
        <w:tab/>
        <w:t>§ 4 </w:t>
      </w:r>
      <w:r w:rsidR="005B7A5C" w:rsidRPr="004676F5">
        <w:rPr>
          <w:lang w:val="de-DE"/>
        </w:rPr>
        <w:t>- </w:t>
      </w:r>
      <w:r w:rsidR="0039070E" w:rsidRPr="004676F5">
        <w:rPr>
          <w:lang w:val="de-DE"/>
        </w:rPr>
        <w:t xml:space="preserve">Die Klage wird auf Antrag von Personen eingereicht, die ein rechtmäßiges Interesse an dem betreffenden Domainnamen nachweisen können und die ein Recht auf eines der </w:t>
      </w:r>
      <w:r w:rsidR="008861C4" w:rsidRPr="004676F5">
        <w:rPr>
          <w:lang w:val="de-DE"/>
        </w:rPr>
        <w:t>[</w:t>
      </w:r>
      <w:r w:rsidR="0039070E" w:rsidRPr="004676F5">
        <w:rPr>
          <w:lang w:val="de-DE"/>
        </w:rPr>
        <w:t>in Artikel XII.2</w:t>
      </w:r>
      <w:r w:rsidR="008861C4" w:rsidRPr="004676F5">
        <w:rPr>
          <w:lang w:val="de-DE"/>
        </w:rPr>
        <w:t>2]</w:t>
      </w:r>
      <w:r w:rsidR="0039070E" w:rsidRPr="004676F5">
        <w:rPr>
          <w:lang w:val="de-DE"/>
        </w:rPr>
        <w:t xml:space="preserve"> erwähnten Zeichen geltend machen können.</w:t>
      </w:r>
    </w:p>
    <w:p w14:paraId="5B4A506B" w14:textId="77777777" w:rsidR="00BA746B" w:rsidRPr="004676F5" w:rsidRDefault="00BA746B" w:rsidP="00BA746B">
      <w:pPr>
        <w:jc w:val="both"/>
        <w:rPr>
          <w:lang w:val="de-DE"/>
        </w:rPr>
      </w:pPr>
    </w:p>
    <w:p w14:paraId="4CFBEEAA" w14:textId="35FF7FA5" w:rsidR="00BA746B" w:rsidRPr="004676F5" w:rsidRDefault="00BA746B" w:rsidP="00BA746B">
      <w:pPr>
        <w:jc w:val="both"/>
        <w:rPr>
          <w:lang w:val="de-DE"/>
        </w:rPr>
      </w:pPr>
      <w:r w:rsidRPr="004676F5">
        <w:rPr>
          <w:lang w:val="de-DE"/>
        </w:rPr>
        <w:tab/>
      </w:r>
      <w:r w:rsidR="008F4750" w:rsidRPr="004676F5">
        <w:rPr>
          <w:lang w:val="de-DE"/>
        </w:rPr>
        <w:t>[</w:t>
      </w:r>
      <w:r w:rsidRPr="004676F5">
        <w:rPr>
          <w:lang w:val="de-DE"/>
        </w:rPr>
        <w:t>§ 5 </w:t>
      </w:r>
      <w:r w:rsidR="005B7A5C" w:rsidRPr="004676F5">
        <w:rPr>
          <w:lang w:val="de-DE"/>
        </w:rPr>
        <w:t>- </w:t>
      </w:r>
      <w:r w:rsidRPr="004676F5">
        <w:rPr>
          <w:lang w:val="de-DE"/>
        </w:rPr>
        <w:t>Der Gerichtspräsident kann ebenfalls anordnen, dass auf Kosten des in der Sache unterliegenden Inhabers des Domainnamens das Urteil ganz oder auszugsweise in Zeitungen oder sonst irgendwie veröffentlicht wird.</w:t>
      </w:r>
    </w:p>
    <w:p w14:paraId="77FFC8C5" w14:textId="77777777" w:rsidR="00BA746B" w:rsidRPr="004676F5" w:rsidRDefault="00BA746B" w:rsidP="00BA746B">
      <w:pPr>
        <w:jc w:val="both"/>
        <w:rPr>
          <w:lang w:val="de-DE"/>
        </w:rPr>
      </w:pPr>
    </w:p>
    <w:p w14:paraId="2AC625AE" w14:textId="77777777" w:rsidR="00BA746B" w:rsidRPr="004676F5" w:rsidRDefault="00BA746B" w:rsidP="00BA746B">
      <w:pPr>
        <w:jc w:val="both"/>
        <w:rPr>
          <w:lang w:val="de-DE"/>
        </w:rPr>
      </w:pPr>
      <w:r w:rsidRPr="004676F5">
        <w:rPr>
          <w:lang w:val="de-DE"/>
        </w:rPr>
        <w:tab/>
        <w:t>Diese Maßnahmen der öffentlichen Bekanntmachung dürfen jedoch nur angeordnet werden, wenn sie dazu beitragen können, dass die Registrierung eingestellt beziehungsweise deren Auswirkungen Einhalt geboten wird.</w:t>
      </w:r>
      <w:r w:rsidR="008F4750" w:rsidRPr="004676F5">
        <w:rPr>
          <w:lang w:val="de-DE"/>
        </w:rPr>
        <w:t>]</w:t>
      </w:r>
    </w:p>
    <w:p w14:paraId="0EA03E49" w14:textId="77777777" w:rsidR="00BA746B" w:rsidRPr="004676F5" w:rsidRDefault="00BA746B" w:rsidP="00BA746B">
      <w:pPr>
        <w:jc w:val="both"/>
        <w:rPr>
          <w:lang w:val="de-DE"/>
        </w:rPr>
      </w:pPr>
    </w:p>
    <w:p w14:paraId="3482213B" w14:textId="50C7C1EF" w:rsidR="0039070E" w:rsidRPr="004676F5" w:rsidRDefault="00BA746B" w:rsidP="0039070E">
      <w:pPr>
        <w:jc w:val="both"/>
        <w:rPr>
          <w:lang w:val="de-DE"/>
        </w:rPr>
      </w:pPr>
      <w:r w:rsidRPr="004676F5">
        <w:rPr>
          <w:lang w:val="de-DE"/>
        </w:rPr>
        <w:tab/>
        <w:t>§ 6 </w:t>
      </w:r>
      <w:r w:rsidR="005B7A5C" w:rsidRPr="004676F5">
        <w:rPr>
          <w:lang w:val="de-DE"/>
        </w:rPr>
        <w:t>- </w:t>
      </w:r>
      <w:r w:rsidR="0039070E" w:rsidRPr="004676F5">
        <w:rPr>
          <w:lang w:val="de-DE"/>
        </w:rPr>
        <w:t>Die Klage wird im Eilverfahren eingeleitet und untersucht.</w:t>
      </w:r>
    </w:p>
    <w:p w14:paraId="7F419C70" w14:textId="77777777" w:rsidR="0039070E" w:rsidRPr="004676F5" w:rsidRDefault="0039070E" w:rsidP="0039070E">
      <w:pPr>
        <w:jc w:val="both"/>
        <w:rPr>
          <w:lang w:val="de-DE"/>
        </w:rPr>
      </w:pPr>
    </w:p>
    <w:p w14:paraId="131B63E2" w14:textId="77777777" w:rsidR="0039070E" w:rsidRPr="004676F5" w:rsidRDefault="0039070E" w:rsidP="0039070E">
      <w:pPr>
        <w:jc w:val="both"/>
        <w:rPr>
          <w:lang w:val="de-DE"/>
        </w:rPr>
      </w:pPr>
      <w:r w:rsidRPr="004676F5">
        <w:rPr>
          <w:lang w:val="de-DE"/>
        </w:rPr>
        <w:tab/>
        <w:t>Sie kann durch eine kontradiktorische Antragschrift eingereicht werden. Diese Antragschrift wird in vier Ausfertigungen bei der Kanzlei des Gerichts hinterlegt oder dieser Kanzlei per Einschreiben übermittelt.</w:t>
      </w:r>
    </w:p>
    <w:p w14:paraId="1CD39DDC" w14:textId="77777777" w:rsidR="0039070E" w:rsidRPr="004676F5" w:rsidRDefault="0039070E" w:rsidP="0039070E">
      <w:pPr>
        <w:jc w:val="both"/>
        <w:rPr>
          <w:lang w:val="de-DE"/>
        </w:rPr>
      </w:pPr>
    </w:p>
    <w:p w14:paraId="7D5BC2B5" w14:textId="77777777" w:rsidR="0039070E" w:rsidRPr="008E796B" w:rsidRDefault="0039070E" w:rsidP="0039070E">
      <w:pPr>
        <w:jc w:val="both"/>
        <w:rPr>
          <w:spacing w:val="-6"/>
          <w:lang w:val="de-DE"/>
        </w:rPr>
      </w:pPr>
      <w:r w:rsidRPr="008E796B">
        <w:rPr>
          <w:spacing w:val="-6"/>
          <w:lang w:val="de-DE"/>
        </w:rPr>
        <w:tab/>
        <w:t>Der Greffier des Gerichts verständigt unverzüglich die Gegenpartei per Gerichtsbrief und fordert sie auf, frühestens drei Tage und spätestens acht Tage nach Versendung des Gerichtsbriefs, dem ein Exemplar der verfahrenseinleitenden Antragschrift beigefügt ist, zu erscheinen.</w:t>
      </w:r>
    </w:p>
    <w:p w14:paraId="44498606" w14:textId="77777777" w:rsidR="0039070E" w:rsidRPr="004676F5" w:rsidRDefault="0039070E">
      <w:pPr>
        <w:rPr>
          <w:lang w:val="de-DE"/>
        </w:rPr>
      </w:pPr>
    </w:p>
    <w:p w14:paraId="53A78027" w14:textId="77777777" w:rsidR="0039070E" w:rsidRPr="004676F5" w:rsidRDefault="0039070E" w:rsidP="0039070E">
      <w:pPr>
        <w:jc w:val="both"/>
        <w:rPr>
          <w:lang w:val="de-DE"/>
        </w:rPr>
      </w:pPr>
      <w:r w:rsidRPr="004676F5">
        <w:rPr>
          <w:lang w:val="de-DE"/>
        </w:rPr>
        <w:tab/>
        <w:t>Zur Vermeidung der Nichtigkeit enthält die Antragschrift folgende Angaben:</w:t>
      </w:r>
    </w:p>
    <w:p w14:paraId="5BEC2831" w14:textId="77777777" w:rsidR="0039070E" w:rsidRPr="004676F5" w:rsidRDefault="0039070E" w:rsidP="0039070E">
      <w:pPr>
        <w:jc w:val="both"/>
        <w:rPr>
          <w:lang w:val="de-DE"/>
        </w:rPr>
      </w:pPr>
    </w:p>
    <w:p w14:paraId="0DCEB958" w14:textId="77777777" w:rsidR="0039070E" w:rsidRPr="004676F5" w:rsidRDefault="0039070E" w:rsidP="0039070E">
      <w:pPr>
        <w:jc w:val="both"/>
        <w:rPr>
          <w:lang w:val="de-DE"/>
        </w:rPr>
      </w:pPr>
      <w:r w:rsidRPr="004676F5">
        <w:rPr>
          <w:lang w:val="de-DE"/>
        </w:rPr>
        <w:tab/>
        <w:t>1. Tag, Monat und Jahr,</w:t>
      </w:r>
    </w:p>
    <w:p w14:paraId="4EA91AC4" w14:textId="77777777" w:rsidR="0039070E" w:rsidRPr="004676F5" w:rsidRDefault="0039070E" w:rsidP="0039070E">
      <w:pPr>
        <w:jc w:val="both"/>
        <w:rPr>
          <w:lang w:val="de-DE"/>
        </w:rPr>
      </w:pPr>
    </w:p>
    <w:p w14:paraId="4874BB14" w14:textId="77777777" w:rsidR="0039070E" w:rsidRPr="004676F5" w:rsidRDefault="0039070E" w:rsidP="0039070E">
      <w:pPr>
        <w:jc w:val="both"/>
        <w:rPr>
          <w:lang w:val="de-DE"/>
        </w:rPr>
      </w:pPr>
      <w:r w:rsidRPr="004676F5">
        <w:rPr>
          <w:lang w:val="de-DE"/>
        </w:rPr>
        <w:tab/>
        <w:t>2. Namen, Vornamen, Beruf und Wohnsitz des Antragstellers,</w:t>
      </w:r>
    </w:p>
    <w:p w14:paraId="4139BAFE" w14:textId="77777777" w:rsidR="0039070E" w:rsidRPr="004676F5" w:rsidRDefault="0039070E" w:rsidP="0039070E">
      <w:pPr>
        <w:jc w:val="both"/>
        <w:rPr>
          <w:lang w:val="de-DE"/>
        </w:rPr>
      </w:pPr>
    </w:p>
    <w:p w14:paraId="5EC77C1C" w14:textId="77777777" w:rsidR="0039070E" w:rsidRPr="004676F5" w:rsidRDefault="0039070E" w:rsidP="0039070E">
      <w:pPr>
        <w:jc w:val="both"/>
        <w:rPr>
          <w:lang w:val="de-DE"/>
        </w:rPr>
      </w:pPr>
      <w:r w:rsidRPr="004676F5">
        <w:rPr>
          <w:lang w:val="de-DE"/>
        </w:rPr>
        <w:tab/>
        <w:t>3. Namen und Adresse der natürlichen oder juristischen Person, gegen die die Klage eingereicht wird,</w:t>
      </w:r>
    </w:p>
    <w:p w14:paraId="25F13635" w14:textId="77777777" w:rsidR="0039070E" w:rsidRPr="004676F5" w:rsidRDefault="0039070E" w:rsidP="0039070E">
      <w:pPr>
        <w:jc w:val="both"/>
        <w:rPr>
          <w:lang w:val="de-DE"/>
        </w:rPr>
      </w:pPr>
    </w:p>
    <w:p w14:paraId="31B968A5" w14:textId="77777777" w:rsidR="0039070E" w:rsidRPr="004676F5" w:rsidRDefault="0039070E" w:rsidP="0039070E">
      <w:pPr>
        <w:jc w:val="both"/>
        <w:rPr>
          <w:lang w:val="de-DE"/>
        </w:rPr>
      </w:pPr>
      <w:r w:rsidRPr="004676F5">
        <w:rPr>
          <w:lang w:val="de-DE"/>
        </w:rPr>
        <w:tab/>
        <w:t>4. Gegenstand der Klage und Darlegung der Klagegründe,</w:t>
      </w:r>
    </w:p>
    <w:p w14:paraId="30F0502B" w14:textId="77777777" w:rsidR="0039070E" w:rsidRPr="004676F5" w:rsidRDefault="0039070E" w:rsidP="0039070E">
      <w:pPr>
        <w:jc w:val="both"/>
        <w:rPr>
          <w:lang w:val="de-DE"/>
        </w:rPr>
      </w:pPr>
    </w:p>
    <w:p w14:paraId="0E404D61" w14:textId="77777777" w:rsidR="0039070E" w:rsidRPr="004676F5" w:rsidRDefault="0039070E" w:rsidP="0039070E">
      <w:pPr>
        <w:jc w:val="both"/>
        <w:rPr>
          <w:lang w:val="de-DE"/>
        </w:rPr>
      </w:pPr>
      <w:r w:rsidRPr="004676F5">
        <w:rPr>
          <w:lang w:val="de-DE"/>
        </w:rPr>
        <w:tab/>
        <w:t>5. Unterschrift des Antragstellers oder seines Rechtsanwalts.</w:t>
      </w:r>
    </w:p>
    <w:p w14:paraId="53E527DA" w14:textId="77777777" w:rsidR="0039070E" w:rsidRPr="004676F5" w:rsidRDefault="0039070E" w:rsidP="0039070E">
      <w:pPr>
        <w:jc w:val="both"/>
        <w:rPr>
          <w:lang w:val="de-DE"/>
        </w:rPr>
      </w:pPr>
    </w:p>
    <w:p w14:paraId="1936B715" w14:textId="77777777" w:rsidR="0039070E" w:rsidRPr="004676F5" w:rsidRDefault="0039070E" w:rsidP="0039070E">
      <w:pPr>
        <w:jc w:val="both"/>
        <w:rPr>
          <w:lang w:val="de-DE"/>
        </w:rPr>
      </w:pPr>
      <w:r w:rsidRPr="004676F5">
        <w:rPr>
          <w:lang w:val="de-DE"/>
        </w:rPr>
        <w:tab/>
        <w:t>Das Urteil ist vorläufig vollstreckbar ungeachtet irgendeines Rechtsmittels und ohne Sicherheitsleistung.</w:t>
      </w:r>
    </w:p>
    <w:p w14:paraId="631A4EC8" w14:textId="77777777" w:rsidR="0039070E" w:rsidRPr="004676F5" w:rsidRDefault="0039070E" w:rsidP="0039070E">
      <w:pPr>
        <w:jc w:val="both"/>
        <w:rPr>
          <w:lang w:val="de-DE"/>
        </w:rPr>
      </w:pPr>
    </w:p>
    <w:p w14:paraId="034D4AAB" w14:textId="77777777" w:rsidR="0039070E" w:rsidRPr="004676F5" w:rsidRDefault="0039070E" w:rsidP="0039070E">
      <w:pPr>
        <w:jc w:val="both"/>
        <w:rPr>
          <w:lang w:val="de-DE"/>
        </w:rPr>
      </w:pPr>
      <w:r w:rsidRPr="004676F5">
        <w:rPr>
          <w:lang w:val="de-DE"/>
        </w:rPr>
        <w:tab/>
        <w:t>Jede Entscheidung infolge einer auf vorliegender Bestimmung beruhenden Klage wird auf Betreiben des Greffiers des zuständigen Gerichts dem Minister innerhalb acht Tagen mitgeteilt.</w:t>
      </w:r>
    </w:p>
    <w:p w14:paraId="473626D6" w14:textId="77777777" w:rsidR="0039070E" w:rsidRPr="004676F5" w:rsidRDefault="0039070E" w:rsidP="0039070E">
      <w:pPr>
        <w:jc w:val="both"/>
        <w:rPr>
          <w:lang w:val="de-DE"/>
        </w:rPr>
      </w:pPr>
    </w:p>
    <w:p w14:paraId="037CB9BD" w14:textId="77777777" w:rsidR="00BA746B" w:rsidRPr="004676F5" w:rsidRDefault="0039070E" w:rsidP="0039070E">
      <w:pPr>
        <w:jc w:val="both"/>
        <w:rPr>
          <w:lang w:val="de-DE"/>
        </w:rPr>
      </w:pPr>
      <w:r w:rsidRPr="004676F5">
        <w:rPr>
          <w:lang w:val="de-DE"/>
        </w:rPr>
        <w:tab/>
        <w:t>Außerdem muss der Greffier den Minister unverzüglich über eine Beschwerde, die gegen eine in Anwendung der vorliegenden Bestimmung ergangene Entscheidung eingereicht wird, informieren.</w:t>
      </w:r>
    </w:p>
    <w:p w14:paraId="62EE318B" w14:textId="77777777" w:rsidR="00BA746B" w:rsidRPr="004676F5" w:rsidRDefault="00BA746B" w:rsidP="00BA746B">
      <w:pPr>
        <w:jc w:val="both"/>
        <w:rPr>
          <w:lang w:val="de-DE"/>
        </w:rPr>
      </w:pPr>
    </w:p>
    <w:p w14:paraId="66EF8FF0" w14:textId="06FD4B84" w:rsidR="002B2B70" w:rsidRPr="004676F5" w:rsidRDefault="00BA746B" w:rsidP="002B2B70">
      <w:pPr>
        <w:jc w:val="both"/>
        <w:rPr>
          <w:i/>
          <w:lang w:val="de-DE"/>
        </w:rPr>
      </w:pPr>
      <w:r w:rsidRPr="004676F5">
        <w:rPr>
          <w:i/>
          <w:lang w:val="de-DE"/>
        </w:rPr>
        <w:t>[</w:t>
      </w:r>
      <w:r w:rsidR="00BE0A56" w:rsidRPr="004676F5">
        <w:rPr>
          <w:i/>
          <w:lang w:val="de-DE"/>
        </w:rPr>
        <w:t>Art. </w:t>
      </w:r>
      <w:r w:rsidR="003F5E25" w:rsidRPr="004676F5">
        <w:rPr>
          <w:i/>
          <w:lang w:val="de-DE"/>
        </w:rPr>
        <w:t>XVII.23 §</w:t>
      </w:r>
      <w:r w:rsidRPr="004676F5">
        <w:rPr>
          <w:i/>
          <w:lang w:val="de-DE"/>
        </w:rPr>
        <w:t xml:space="preserve"> </w:t>
      </w:r>
      <w:r w:rsidR="008F4750" w:rsidRPr="004676F5">
        <w:rPr>
          <w:i/>
          <w:lang w:val="de-DE"/>
        </w:rPr>
        <w:t>1</w:t>
      </w:r>
      <w:r w:rsidR="003F5E25" w:rsidRPr="004676F5">
        <w:rPr>
          <w:i/>
          <w:lang w:val="de-DE"/>
        </w:rPr>
        <w:t xml:space="preserve"> </w:t>
      </w:r>
      <w:r w:rsidRPr="004676F5">
        <w:rPr>
          <w:i/>
          <w:lang w:val="de-DE"/>
        </w:rPr>
        <w:t xml:space="preserve">eingefügt durch </w:t>
      </w:r>
      <w:r w:rsidR="00BE0A56" w:rsidRPr="004676F5">
        <w:rPr>
          <w:i/>
          <w:lang w:val="de-DE"/>
        </w:rPr>
        <w:t>Art. </w:t>
      </w:r>
      <w:r w:rsidR="002B2B70" w:rsidRPr="004676F5">
        <w:rPr>
          <w:i/>
          <w:lang w:val="de-DE"/>
        </w:rPr>
        <w:t>8</w:t>
      </w:r>
      <w:r w:rsidRPr="004676F5">
        <w:rPr>
          <w:i/>
          <w:lang w:val="de-DE"/>
        </w:rPr>
        <w:t xml:space="preserve"> des G. vom 26. Dezember 2013 (III) (B.S. vom 28. Januar 2014)</w:t>
      </w:r>
      <w:r w:rsidR="00391238" w:rsidRPr="004676F5">
        <w:rPr>
          <w:i/>
          <w:lang w:val="de-DE"/>
        </w:rPr>
        <w:t xml:space="preserve">; </w:t>
      </w:r>
      <w:r w:rsidR="003F5E25" w:rsidRPr="004676F5">
        <w:rPr>
          <w:i/>
          <w:lang w:val="de-DE"/>
        </w:rPr>
        <w:t>§ 2 eingefügt durch Art. 8 des G. vom 26. Dezember 2013 (III) (B.S. vom 28. Januar 2014) und abgeändert durch Art. 252 des G. v</w:t>
      </w:r>
      <w:r w:rsidR="00763745" w:rsidRPr="004676F5">
        <w:rPr>
          <w:i/>
          <w:lang w:val="de-DE"/>
        </w:rPr>
        <w:t>om 15. April 2018 (B.S. vom 27. April </w:t>
      </w:r>
      <w:r w:rsidR="003F5E25" w:rsidRPr="004676F5">
        <w:rPr>
          <w:i/>
          <w:lang w:val="de-DE"/>
        </w:rPr>
        <w:t xml:space="preserve">2018); § 3 eingefügt durch Art. 8 des G. vom 26. Dezember 2013 (III) (B.S. vom 28. Januar 2014); </w:t>
      </w:r>
      <w:r w:rsidR="00391238" w:rsidRPr="004676F5">
        <w:rPr>
          <w:i/>
          <w:lang w:val="de-DE"/>
        </w:rPr>
        <w:t xml:space="preserve">§ 4 eingefügt durch </w:t>
      </w:r>
      <w:r w:rsidR="00BE0A56" w:rsidRPr="004676F5">
        <w:rPr>
          <w:i/>
          <w:lang w:val="de-DE"/>
        </w:rPr>
        <w:t>Art. </w:t>
      </w:r>
      <w:r w:rsidR="00391238" w:rsidRPr="004676F5">
        <w:rPr>
          <w:i/>
          <w:lang w:val="de-DE"/>
        </w:rPr>
        <w:t>3 des G. vom 26. Dezember 2013 (IV) (B.S. vom 28. Januar 2014)</w:t>
      </w:r>
      <w:r w:rsidR="008861C4" w:rsidRPr="004676F5">
        <w:rPr>
          <w:i/>
          <w:lang w:val="de-DE"/>
        </w:rPr>
        <w:t xml:space="preserve"> und abgeändert durch </w:t>
      </w:r>
      <w:r w:rsidR="00BE0A56" w:rsidRPr="004676F5">
        <w:rPr>
          <w:i/>
          <w:lang w:val="de-DE"/>
        </w:rPr>
        <w:t>Art. </w:t>
      </w:r>
      <w:r w:rsidR="008861C4" w:rsidRPr="004676F5">
        <w:rPr>
          <w:i/>
          <w:lang w:val="de-DE"/>
        </w:rPr>
        <w:t>4 des G. vom 15. Mai 2014 (IV) (B.S. vom 28. Mai 2014)</w:t>
      </w:r>
      <w:r w:rsidR="00391238" w:rsidRPr="004676F5">
        <w:rPr>
          <w:i/>
          <w:lang w:val="de-DE"/>
        </w:rPr>
        <w:t xml:space="preserve">; § 5 eingefügt durch </w:t>
      </w:r>
      <w:r w:rsidR="00BE0A56" w:rsidRPr="004676F5">
        <w:rPr>
          <w:i/>
          <w:lang w:val="de-DE"/>
        </w:rPr>
        <w:t>Art. </w:t>
      </w:r>
      <w:r w:rsidR="00391238" w:rsidRPr="004676F5">
        <w:rPr>
          <w:i/>
          <w:lang w:val="de-DE"/>
        </w:rPr>
        <w:t xml:space="preserve">8 des G. vom 26. Dezember 2013 (III) (B.S. vom 28. Januar 2014); § 6 eingefügt durch </w:t>
      </w:r>
      <w:r w:rsidR="00BE0A56" w:rsidRPr="004676F5">
        <w:rPr>
          <w:i/>
          <w:lang w:val="de-DE"/>
        </w:rPr>
        <w:t>Art. </w:t>
      </w:r>
      <w:r w:rsidR="00391238" w:rsidRPr="004676F5">
        <w:rPr>
          <w:i/>
          <w:lang w:val="de-DE"/>
        </w:rPr>
        <w:t>3 des G. vom 26. Dezember 2013 (IV) (B.S. vom 28. Januar 2014)</w:t>
      </w:r>
      <w:r w:rsidR="002B2B70" w:rsidRPr="004676F5">
        <w:rPr>
          <w:i/>
          <w:lang w:val="de-DE"/>
        </w:rPr>
        <w:t>]</w:t>
      </w:r>
    </w:p>
    <w:p w14:paraId="0F71E05A" w14:textId="77777777" w:rsidR="00BA746B" w:rsidRPr="004676F5" w:rsidRDefault="00BA746B" w:rsidP="0039070E">
      <w:pPr>
        <w:tabs>
          <w:tab w:val="left" w:pos="840"/>
        </w:tabs>
        <w:jc w:val="both"/>
        <w:rPr>
          <w:lang w:val="de-DE"/>
        </w:rPr>
      </w:pPr>
    </w:p>
    <w:p w14:paraId="1EB8A155" w14:textId="77777777" w:rsidR="0039070E" w:rsidRPr="004676F5" w:rsidRDefault="0039070E" w:rsidP="0039070E">
      <w:pPr>
        <w:tabs>
          <w:tab w:val="left" w:pos="840"/>
        </w:tabs>
        <w:jc w:val="both"/>
        <w:rPr>
          <w:lang w:val="de-DE"/>
        </w:rPr>
      </w:pPr>
    </w:p>
    <w:p w14:paraId="2C11FC0B" w14:textId="1BDF055C" w:rsidR="0039070E" w:rsidRPr="004676F5" w:rsidRDefault="0039070E" w:rsidP="0039070E">
      <w:pPr>
        <w:tabs>
          <w:tab w:val="left" w:pos="840"/>
        </w:tabs>
        <w:jc w:val="both"/>
        <w:rPr>
          <w:lang w:val="de-DE"/>
        </w:rPr>
      </w:pPr>
      <w:r w:rsidRPr="004676F5">
        <w:rPr>
          <w:lang w:val="de-DE"/>
        </w:rPr>
        <w:tab/>
        <w:t>[</w:t>
      </w:r>
      <w:r w:rsidR="00BE0A56" w:rsidRPr="004676F5">
        <w:rPr>
          <w:b/>
          <w:lang w:val="de-DE"/>
        </w:rPr>
        <w:t>Art. </w:t>
      </w:r>
      <w:r w:rsidRPr="004676F5">
        <w:rPr>
          <w:b/>
          <w:lang w:val="de-DE"/>
        </w:rPr>
        <w:t>XVII.24</w:t>
      </w:r>
      <w:r w:rsidRPr="004676F5">
        <w:rPr>
          <w:lang w:val="de-DE"/>
        </w:rPr>
        <w:t> </w:t>
      </w:r>
      <w:r w:rsidR="005B7A5C" w:rsidRPr="004676F5">
        <w:rPr>
          <w:lang w:val="de-DE"/>
        </w:rPr>
        <w:t>- </w:t>
      </w:r>
      <w:r w:rsidRPr="004676F5">
        <w:rPr>
          <w:lang w:val="de-DE"/>
        </w:rPr>
        <w:t xml:space="preserve">Der Präsident des </w:t>
      </w:r>
      <w:r w:rsidR="00763745" w:rsidRPr="004676F5">
        <w:rPr>
          <w:lang w:val="de-DE"/>
        </w:rPr>
        <w:t xml:space="preserve">[Unternehmensgerichts] </w:t>
      </w:r>
      <w:r w:rsidRPr="004676F5">
        <w:rPr>
          <w:lang w:val="de-DE"/>
        </w:rPr>
        <w:t>kann das Verbot der in Arti</w:t>
      </w:r>
      <w:r w:rsidRPr="004676F5">
        <w:rPr>
          <w:lang w:val="de-DE"/>
        </w:rPr>
        <w:softHyphen/>
        <w:t>kel XII.21 Nr. 3 erwähnten Werbung anordnen, sofern sie noch nicht veröffentlicht ist, die Veröffentlichung aber bevorsteht.]</w:t>
      </w:r>
    </w:p>
    <w:p w14:paraId="48FEF462" w14:textId="77777777" w:rsidR="0039070E" w:rsidRPr="004676F5" w:rsidRDefault="0039070E" w:rsidP="0039070E">
      <w:pPr>
        <w:tabs>
          <w:tab w:val="left" w:pos="840"/>
        </w:tabs>
        <w:jc w:val="both"/>
        <w:rPr>
          <w:lang w:val="de-DE"/>
        </w:rPr>
      </w:pPr>
    </w:p>
    <w:p w14:paraId="77F22AE4" w14:textId="3805B1C2" w:rsidR="0039070E" w:rsidRPr="004676F5" w:rsidRDefault="0039070E" w:rsidP="0039070E">
      <w:pPr>
        <w:jc w:val="both"/>
        <w:rPr>
          <w:lang w:val="de-DE"/>
        </w:rPr>
      </w:pPr>
      <w:r w:rsidRPr="004676F5">
        <w:rPr>
          <w:i/>
          <w:lang w:val="de-DE"/>
        </w:rPr>
        <w:t>[</w:t>
      </w:r>
      <w:r w:rsidR="00BE0A56" w:rsidRPr="004676F5">
        <w:rPr>
          <w:i/>
          <w:lang w:val="de-DE"/>
        </w:rPr>
        <w:t>Art. </w:t>
      </w:r>
      <w:r w:rsidRPr="004676F5">
        <w:rPr>
          <w:i/>
          <w:lang w:val="de-DE"/>
        </w:rPr>
        <w:t xml:space="preserve">XVII.24 eingefügt durch </w:t>
      </w:r>
      <w:r w:rsidR="00BE0A56" w:rsidRPr="004676F5">
        <w:rPr>
          <w:i/>
          <w:lang w:val="de-DE"/>
        </w:rPr>
        <w:t>Art. </w:t>
      </w:r>
      <w:r w:rsidRPr="004676F5">
        <w:rPr>
          <w:i/>
          <w:lang w:val="de-DE"/>
        </w:rPr>
        <w:t>9 des G. vom 26. Dezember 2013 (III) (B.S. vom 28. Januar 2014)</w:t>
      </w:r>
      <w:r w:rsidR="00763745" w:rsidRPr="004676F5">
        <w:rPr>
          <w:i/>
          <w:lang w:val="de-DE"/>
        </w:rPr>
        <w:t xml:space="preserve"> und abgeändert durch Art. 252 des G. vom 15. April 2018 (B.S. vom 27. April 2018)</w:t>
      </w:r>
      <w:r w:rsidRPr="004676F5">
        <w:rPr>
          <w:i/>
          <w:lang w:val="de-DE"/>
        </w:rPr>
        <w:t>]</w:t>
      </w:r>
    </w:p>
    <w:p w14:paraId="20645E1F" w14:textId="77777777" w:rsidR="0039070E" w:rsidRPr="004676F5" w:rsidRDefault="0039070E" w:rsidP="0039070E">
      <w:pPr>
        <w:tabs>
          <w:tab w:val="left" w:pos="840"/>
        </w:tabs>
        <w:jc w:val="both"/>
        <w:rPr>
          <w:lang w:val="de-DE"/>
        </w:rPr>
      </w:pPr>
    </w:p>
    <w:p w14:paraId="457B9750" w14:textId="77777777" w:rsidR="00BA746B" w:rsidRPr="004676F5" w:rsidRDefault="00BA746B" w:rsidP="00BA746B">
      <w:pPr>
        <w:jc w:val="both"/>
        <w:rPr>
          <w:lang w:val="de-DE"/>
        </w:rPr>
      </w:pPr>
    </w:p>
    <w:p w14:paraId="3168BFEA" w14:textId="7A9DD2C5" w:rsidR="002F72DB" w:rsidRPr="004676F5" w:rsidRDefault="0039070E" w:rsidP="008F4750">
      <w:pPr>
        <w:jc w:val="both"/>
        <w:rPr>
          <w:lang w:val="de-DE"/>
        </w:rPr>
      </w:pPr>
      <w:r w:rsidRPr="004676F5">
        <w:rPr>
          <w:lang w:val="de-DE"/>
        </w:rPr>
        <w:tab/>
      </w:r>
      <w:r w:rsidR="00BE0A56" w:rsidRPr="004676F5">
        <w:rPr>
          <w:b/>
          <w:lang w:val="de-DE"/>
        </w:rPr>
        <w:t>Art. </w:t>
      </w:r>
      <w:r w:rsidRPr="004676F5">
        <w:rPr>
          <w:b/>
          <w:lang w:val="de-DE"/>
        </w:rPr>
        <w:t>XVII.25</w:t>
      </w:r>
      <w:r w:rsidRPr="004676F5">
        <w:rPr>
          <w:lang w:val="de-DE"/>
        </w:rPr>
        <w:t> </w:t>
      </w:r>
      <w:r w:rsidR="005B7A5C" w:rsidRPr="004676F5">
        <w:rPr>
          <w:lang w:val="de-DE"/>
        </w:rPr>
        <w:t>- </w:t>
      </w:r>
      <w:r w:rsidRPr="004676F5">
        <w:rPr>
          <w:lang w:val="de-DE"/>
        </w:rPr>
        <w:t>Für die Anwendung der Artikel</w:t>
      </w:r>
      <w:r w:rsidR="007632F6" w:rsidRPr="004676F5">
        <w:rPr>
          <w:lang w:val="de-DE"/>
        </w:rPr>
        <w:t> [X</w:t>
      </w:r>
      <w:r w:rsidR="00FE62BF">
        <w:rPr>
          <w:lang w:val="de-DE"/>
        </w:rPr>
        <w:t>I</w:t>
      </w:r>
      <w:r w:rsidR="007632F6" w:rsidRPr="004676F5">
        <w:rPr>
          <w:lang w:val="de-DE"/>
        </w:rPr>
        <w:t>I.1]</w:t>
      </w:r>
      <w:r w:rsidRPr="004676F5">
        <w:rPr>
          <w:lang w:val="de-DE"/>
        </w:rPr>
        <w:t xml:space="preserve"> bis XII.20 kann die in Artikel </w:t>
      </w:r>
      <w:r w:rsidR="00FE62BF">
        <w:rPr>
          <w:lang w:val="de-DE"/>
        </w:rPr>
        <w:t>[XVII.1/4]</w:t>
      </w:r>
      <w:r w:rsidRPr="004676F5">
        <w:rPr>
          <w:lang w:val="de-DE"/>
        </w:rPr>
        <w:t xml:space="preserve"> erwähnte Unterlassungsklage ebenfalls auf Antrag einer Krankenkasse oder eines Krankenkassenlandesverbandes eingereicht werden.</w:t>
      </w:r>
    </w:p>
    <w:p w14:paraId="458E758A" w14:textId="77777777" w:rsidR="007632F6" w:rsidRPr="004676F5" w:rsidRDefault="007632F6" w:rsidP="008F4750">
      <w:pPr>
        <w:jc w:val="both"/>
        <w:rPr>
          <w:lang w:val="de-DE"/>
        </w:rPr>
      </w:pPr>
    </w:p>
    <w:p w14:paraId="03D33393" w14:textId="1C9A5FA3" w:rsidR="007632F6" w:rsidRPr="004676F5" w:rsidRDefault="007632F6" w:rsidP="008F4750">
      <w:pPr>
        <w:jc w:val="both"/>
        <w:rPr>
          <w:i/>
          <w:iCs/>
          <w:lang w:val="de-DE"/>
        </w:rPr>
      </w:pPr>
      <w:r w:rsidRPr="004676F5">
        <w:rPr>
          <w:i/>
          <w:iCs/>
          <w:lang w:val="de-DE"/>
        </w:rPr>
        <w:t>[Art.</w:t>
      </w:r>
      <w:r w:rsidR="009A0370">
        <w:rPr>
          <w:i/>
          <w:iCs/>
          <w:lang w:val="de-DE"/>
        </w:rPr>
        <w:t> </w:t>
      </w:r>
      <w:r w:rsidRPr="004676F5">
        <w:rPr>
          <w:i/>
          <w:iCs/>
          <w:lang w:val="de-DE"/>
        </w:rPr>
        <w:t>XVII.25 abgeändert durch Art. 3 Nr. 10 des G. vom 21. April 2024 (II) (B.S. vom 31. Mai 2024)]</w:t>
      </w:r>
    </w:p>
    <w:p w14:paraId="38281FCD" w14:textId="77777777" w:rsidR="002F72DB" w:rsidRPr="004676F5" w:rsidRDefault="002F72DB" w:rsidP="00BA746B">
      <w:pPr>
        <w:jc w:val="both"/>
        <w:rPr>
          <w:lang w:val="de-DE"/>
        </w:rPr>
      </w:pPr>
    </w:p>
    <w:p w14:paraId="7658C307" w14:textId="77777777" w:rsidR="00547C54" w:rsidRPr="004676F5" w:rsidRDefault="00547C54">
      <w:pPr>
        <w:rPr>
          <w:lang w:val="de-DE"/>
        </w:rPr>
      </w:pPr>
      <w:r w:rsidRPr="004676F5">
        <w:rPr>
          <w:lang w:val="de-DE"/>
        </w:rPr>
        <w:br w:type="page"/>
      </w:r>
    </w:p>
    <w:p w14:paraId="463ECF4A" w14:textId="3A57250A" w:rsidR="00547C54" w:rsidRPr="004676F5" w:rsidRDefault="004B4A47" w:rsidP="004B4A47">
      <w:pPr>
        <w:jc w:val="center"/>
        <w:rPr>
          <w:lang w:val="de-DE"/>
        </w:rPr>
      </w:pPr>
      <w:r w:rsidRPr="004676F5">
        <w:rPr>
          <w:lang w:val="de-DE"/>
        </w:rPr>
        <w:lastRenderedPageBreak/>
        <w:t>[KAPITEL 5/1 </w:t>
      </w:r>
      <w:r w:rsidR="005B7A5C" w:rsidRPr="004676F5">
        <w:rPr>
          <w:lang w:val="de-DE"/>
        </w:rPr>
        <w:t>- </w:t>
      </w:r>
      <w:r w:rsidR="00BC5AAC" w:rsidRPr="004676F5">
        <w:rPr>
          <w:lang w:val="de-DE"/>
        </w:rPr>
        <w:t>[...]</w:t>
      </w:r>
      <w:r w:rsidRPr="004676F5">
        <w:rPr>
          <w:lang w:val="de-DE"/>
        </w:rPr>
        <w:t>]</w:t>
      </w:r>
    </w:p>
    <w:p w14:paraId="72A32B83" w14:textId="77777777" w:rsidR="00547C54" w:rsidRPr="004676F5" w:rsidRDefault="00547C54" w:rsidP="00BA746B">
      <w:pPr>
        <w:jc w:val="both"/>
        <w:rPr>
          <w:lang w:val="de-DE"/>
        </w:rPr>
      </w:pPr>
    </w:p>
    <w:p w14:paraId="78C9346D" w14:textId="3B5745F4" w:rsidR="00547C54" w:rsidRPr="004676F5" w:rsidRDefault="004B4A47" w:rsidP="00BA746B">
      <w:pPr>
        <w:jc w:val="both"/>
        <w:rPr>
          <w:i/>
          <w:lang w:val="de-DE"/>
        </w:rPr>
      </w:pPr>
      <w:r w:rsidRPr="004676F5">
        <w:rPr>
          <w:i/>
          <w:lang w:val="de-DE"/>
        </w:rPr>
        <w:t xml:space="preserve">[Unterteilung Kapitel 5/1 eingefügt durch </w:t>
      </w:r>
      <w:r w:rsidR="00BE0A56" w:rsidRPr="004676F5">
        <w:rPr>
          <w:i/>
          <w:lang w:val="de-DE"/>
        </w:rPr>
        <w:t>Art. </w:t>
      </w:r>
      <w:r w:rsidRPr="004676F5">
        <w:rPr>
          <w:i/>
          <w:lang w:val="de-DE"/>
        </w:rPr>
        <w:t>3 des G. vom 15. Mai 2014 (IV) (B.S. vom 28. Mai 2014)</w:t>
      </w:r>
      <w:r w:rsidR="00BC5AAC" w:rsidRPr="004676F5">
        <w:rPr>
          <w:i/>
          <w:lang w:val="de-DE"/>
        </w:rPr>
        <w:t xml:space="preserve"> und aufgehoben durch Art. 213 des G. vom 15. April 2018 (B.S. vom 27. April 2018)</w:t>
      </w:r>
      <w:r w:rsidRPr="004676F5">
        <w:rPr>
          <w:i/>
          <w:lang w:val="de-DE"/>
        </w:rPr>
        <w:t>]</w:t>
      </w:r>
    </w:p>
    <w:p w14:paraId="59ED32E8" w14:textId="77777777" w:rsidR="004B4A47" w:rsidRPr="004676F5" w:rsidRDefault="004B4A47" w:rsidP="00BA746B">
      <w:pPr>
        <w:jc w:val="both"/>
        <w:rPr>
          <w:i/>
          <w:lang w:val="de-DE"/>
        </w:rPr>
      </w:pPr>
    </w:p>
    <w:p w14:paraId="7BC6CB1D" w14:textId="77777777" w:rsidR="004B4A47" w:rsidRPr="004676F5" w:rsidRDefault="004B4A47" w:rsidP="00BA746B">
      <w:pPr>
        <w:jc w:val="both"/>
        <w:rPr>
          <w:i/>
          <w:lang w:val="de-DE"/>
        </w:rPr>
      </w:pPr>
    </w:p>
    <w:p w14:paraId="146B19C3" w14:textId="4E262E33" w:rsidR="00547C54" w:rsidRPr="004676F5" w:rsidRDefault="00547C54" w:rsidP="00BA746B">
      <w:pPr>
        <w:jc w:val="both"/>
        <w:rPr>
          <w:lang w:val="de-DE"/>
        </w:rPr>
      </w:pPr>
      <w:r w:rsidRPr="004676F5">
        <w:rPr>
          <w:lang w:val="de-DE"/>
        </w:rPr>
        <w:tab/>
        <w:t>[</w:t>
      </w:r>
      <w:r w:rsidR="00BE0A56" w:rsidRPr="004676F5">
        <w:rPr>
          <w:b/>
          <w:lang w:val="de-DE"/>
        </w:rPr>
        <w:t>Art. </w:t>
      </w:r>
      <w:r w:rsidRPr="004676F5">
        <w:rPr>
          <w:b/>
          <w:lang w:val="de-DE"/>
        </w:rPr>
        <w:t>XVII.25/1</w:t>
      </w:r>
      <w:r w:rsidRPr="004676F5">
        <w:rPr>
          <w:lang w:val="de-DE"/>
        </w:rPr>
        <w:t> </w:t>
      </w:r>
      <w:r w:rsidR="005B7A5C" w:rsidRPr="004676F5">
        <w:rPr>
          <w:lang w:val="de-DE"/>
        </w:rPr>
        <w:t>- </w:t>
      </w:r>
      <w:r w:rsidR="00BC5AAC" w:rsidRPr="004676F5">
        <w:rPr>
          <w:lang w:val="de-DE"/>
        </w:rPr>
        <w:t>[...]</w:t>
      </w:r>
      <w:r w:rsidRPr="004676F5">
        <w:rPr>
          <w:lang w:val="de-DE"/>
        </w:rPr>
        <w:t>]</w:t>
      </w:r>
    </w:p>
    <w:p w14:paraId="6BC81BFD" w14:textId="77777777" w:rsidR="00547C54" w:rsidRPr="004676F5" w:rsidRDefault="00547C54" w:rsidP="00BA746B">
      <w:pPr>
        <w:jc w:val="both"/>
        <w:rPr>
          <w:lang w:val="de-DE"/>
        </w:rPr>
      </w:pPr>
    </w:p>
    <w:p w14:paraId="76E6A40E" w14:textId="5CC48AD8" w:rsidR="00547C54" w:rsidRPr="004676F5" w:rsidRDefault="00547C54" w:rsidP="00BA746B">
      <w:pPr>
        <w:jc w:val="both"/>
        <w:rPr>
          <w:lang w:val="de-DE"/>
        </w:rPr>
      </w:pPr>
      <w:r w:rsidRPr="004676F5">
        <w:rPr>
          <w:i/>
          <w:lang w:val="de-DE"/>
        </w:rPr>
        <w:t>[</w:t>
      </w:r>
      <w:r w:rsidR="00BE0A56" w:rsidRPr="004676F5">
        <w:rPr>
          <w:i/>
          <w:lang w:val="de-DE"/>
        </w:rPr>
        <w:t>Art. </w:t>
      </w:r>
      <w:r w:rsidRPr="004676F5">
        <w:rPr>
          <w:i/>
          <w:lang w:val="de-DE"/>
        </w:rPr>
        <w:t xml:space="preserve">XVII.25/1 eingefügt durch </w:t>
      </w:r>
      <w:r w:rsidR="00BE0A56" w:rsidRPr="004676F5">
        <w:rPr>
          <w:i/>
          <w:lang w:val="de-DE"/>
        </w:rPr>
        <w:t>Art. </w:t>
      </w:r>
      <w:r w:rsidRPr="004676F5">
        <w:rPr>
          <w:i/>
          <w:lang w:val="de-DE"/>
        </w:rPr>
        <w:t>4 des G. vom 15. Mai 2014 (III) (B.S. vom 28. Mai 2014)</w:t>
      </w:r>
      <w:r w:rsidR="00BC5AAC" w:rsidRPr="004676F5">
        <w:rPr>
          <w:i/>
          <w:lang w:val="de-DE"/>
        </w:rPr>
        <w:t xml:space="preserve"> und aufgehoben durch Art. 213 des G. vom 15. April 2018 (B.S. vom 27. April 2018)</w:t>
      </w:r>
      <w:r w:rsidRPr="004676F5">
        <w:rPr>
          <w:i/>
          <w:lang w:val="de-DE"/>
        </w:rPr>
        <w:t>]</w:t>
      </w:r>
    </w:p>
    <w:p w14:paraId="0930A3B3" w14:textId="77777777" w:rsidR="004B4A47" w:rsidRPr="004676F5" w:rsidRDefault="004B4A47" w:rsidP="00BA746B">
      <w:pPr>
        <w:jc w:val="both"/>
        <w:rPr>
          <w:lang w:val="de-DE"/>
        </w:rPr>
      </w:pPr>
    </w:p>
    <w:p w14:paraId="2A04D22F" w14:textId="77777777" w:rsidR="004B4A47" w:rsidRPr="004676F5" w:rsidRDefault="004B4A47" w:rsidP="00BA746B">
      <w:pPr>
        <w:jc w:val="both"/>
        <w:rPr>
          <w:lang w:val="de-DE"/>
        </w:rPr>
      </w:pPr>
    </w:p>
    <w:p w14:paraId="47CE9782" w14:textId="7A449ACC" w:rsidR="004B4A47" w:rsidRPr="004676F5" w:rsidRDefault="004B4A47" w:rsidP="00BC5AAC">
      <w:pPr>
        <w:ind w:firstLine="708"/>
        <w:jc w:val="both"/>
        <w:rPr>
          <w:lang w:val="de-DE"/>
        </w:rPr>
      </w:pPr>
      <w:r w:rsidRPr="004676F5">
        <w:rPr>
          <w:lang w:val="de-DE"/>
        </w:rPr>
        <w:t>[</w:t>
      </w:r>
      <w:r w:rsidR="00BE0A56" w:rsidRPr="004676F5">
        <w:rPr>
          <w:b/>
          <w:lang w:val="de-DE"/>
        </w:rPr>
        <w:t>Art. </w:t>
      </w:r>
      <w:r w:rsidRPr="004676F5">
        <w:rPr>
          <w:b/>
          <w:lang w:val="de-DE"/>
        </w:rPr>
        <w:t>XVII.25/2</w:t>
      </w:r>
      <w:r w:rsidRPr="004676F5">
        <w:rPr>
          <w:lang w:val="de-DE"/>
        </w:rPr>
        <w:t> </w:t>
      </w:r>
      <w:r w:rsidR="005B7A5C" w:rsidRPr="004676F5">
        <w:rPr>
          <w:lang w:val="de-DE"/>
        </w:rPr>
        <w:t>- </w:t>
      </w:r>
      <w:r w:rsidRPr="004676F5">
        <w:rPr>
          <w:b/>
          <w:lang w:val="de-DE"/>
        </w:rPr>
        <w:t>XVII.25/5</w:t>
      </w:r>
      <w:r w:rsidRPr="004676F5">
        <w:rPr>
          <w:lang w:val="de-DE"/>
        </w:rPr>
        <w:t> </w:t>
      </w:r>
      <w:r w:rsidR="005B7A5C" w:rsidRPr="004676F5">
        <w:rPr>
          <w:lang w:val="de-DE"/>
        </w:rPr>
        <w:t>- </w:t>
      </w:r>
      <w:r w:rsidR="00BC5AAC" w:rsidRPr="004676F5">
        <w:rPr>
          <w:lang w:val="de-DE"/>
        </w:rPr>
        <w:t>[...]</w:t>
      </w:r>
      <w:r w:rsidRPr="004676F5">
        <w:rPr>
          <w:lang w:val="de-DE"/>
        </w:rPr>
        <w:t>]</w:t>
      </w:r>
    </w:p>
    <w:p w14:paraId="5B973D54" w14:textId="77777777" w:rsidR="00547C54" w:rsidRPr="004676F5" w:rsidRDefault="00547C54" w:rsidP="00BA746B">
      <w:pPr>
        <w:jc w:val="both"/>
        <w:rPr>
          <w:i/>
          <w:lang w:val="de-DE"/>
        </w:rPr>
      </w:pPr>
    </w:p>
    <w:p w14:paraId="5418ADF6" w14:textId="60D2EBCC" w:rsidR="004B4A47" w:rsidRPr="004676F5" w:rsidRDefault="004B4A47" w:rsidP="004B4A47">
      <w:pPr>
        <w:jc w:val="both"/>
        <w:rPr>
          <w:i/>
          <w:lang w:val="de-DE"/>
        </w:rPr>
      </w:pPr>
      <w:r w:rsidRPr="004676F5">
        <w:rPr>
          <w:i/>
          <w:lang w:val="de-DE"/>
        </w:rPr>
        <w:t>[</w:t>
      </w:r>
      <w:r w:rsidR="00BE0A56" w:rsidRPr="004676F5">
        <w:rPr>
          <w:i/>
          <w:lang w:val="de-DE"/>
        </w:rPr>
        <w:t>Art. </w:t>
      </w:r>
      <w:r w:rsidRPr="004676F5">
        <w:rPr>
          <w:i/>
          <w:lang w:val="de-DE"/>
        </w:rPr>
        <w:t xml:space="preserve">XVII.25/5 eingefügt durch </w:t>
      </w:r>
      <w:r w:rsidR="00BE0A56" w:rsidRPr="004676F5">
        <w:rPr>
          <w:i/>
          <w:lang w:val="de-DE"/>
        </w:rPr>
        <w:t>Art. </w:t>
      </w:r>
      <w:r w:rsidRPr="004676F5">
        <w:rPr>
          <w:i/>
          <w:lang w:val="de-DE"/>
        </w:rPr>
        <w:t>3 des G. vom 15. Mai 2014 (IV) (B.S. vom 28. Mai 2014)</w:t>
      </w:r>
      <w:r w:rsidR="00BC5AAC" w:rsidRPr="004676F5">
        <w:rPr>
          <w:i/>
          <w:lang w:val="de-DE"/>
        </w:rPr>
        <w:t xml:space="preserve"> und aufgehoben durch Art. 213 des G. vom 15. April 2018 (B.S. vom 27. April 2018)</w:t>
      </w:r>
      <w:r w:rsidRPr="004676F5">
        <w:rPr>
          <w:i/>
          <w:lang w:val="de-DE"/>
        </w:rPr>
        <w:t>]</w:t>
      </w:r>
    </w:p>
    <w:p w14:paraId="51D6862A" w14:textId="77777777" w:rsidR="00547C54" w:rsidRPr="004676F5" w:rsidRDefault="00547C54" w:rsidP="00BA746B">
      <w:pPr>
        <w:jc w:val="both"/>
        <w:rPr>
          <w:i/>
          <w:lang w:val="de-DE"/>
        </w:rPr>
      </w:pPr>
    </w:p>
    <w:p w14:paraId="2DE5E442" w14:textId="77777777" w:rsidR="002F72DB" w:rsidRPr="004676F5" w:rsidRDefault="002F72DB" w:rsidP="002F72DB">
      <w:pPr>
        <w:jc w:val="center"/>
        <w:rPr>
          <w:lang w:val="de-DE"/>
        </w:rPr>
      </w:pPr>
      <w:r w:rsidRPr="004676F5">
        <w:rPr>
          <w:lang w:val="de-DE"/>
        </w:rPr>
        <w:tab/>
      </w:r>
    </w:p>
    <w:p w14:paraId="67727A23" w14:textId="77777777" w:rsidR="002F72DB" w:rsidRPr="004676F5" w:rsidRDefault="002F72DB">
      <w:pPr>
        <w:rPr>
          <w:lang w:val="de-DE"/>
        </w:rPr>
      </w:pPr>
      <w:r w:rsidRPr="004676F5">
        <w:rPr>
          <w:lang w:val="de-DE"/>
        </w:rPr>
        <w:br w:type="page"/>
      </w:r>
    </w:p>
    <w:p w14:paraId="2DC47977" w14:textId="6C5DFF4C" w:rsidR="002F72DB" w:rsidRPr="004676F5" w:rsidRDefault="00F26D7D" w:rsidP="002F72DB">
      <w:pPr>
        <w:jc w:val="center"/>
        <w:rPr>
          <w:lang w:val="de-DE"/>
        </w:rPr>
      </w:pPr>
      <w:r w:rsidRPr="004676F5">
        <w:rPr>
          <w:lang w:val="de-DE"/>
        </w:rPr>
        <w:lastRenderedPageBreak/>
        <w:t>[</w:t>
      </w:r>
      <w:r w:rsidR="002F72DB" w:rsidRPr="004676F5">
        <w:rPr>
          <w:lang w:val="de-DE"/>
        </w:rPr>
        <w:t>KAPITEL 6 </w:t>
      </w:r>
      <w:r w:rsidRPr="004676F5">
        <w:rPr>
          <w:lang w:val="de-DE"/>
        </w:rPr>
        <w:t>-</w:t>
      </w:r>
      <w:r w:rsidR="005B7A5C" w:rsidRPr="004676F5">
        <w:rPr>
          <w:lang w:val="de-DE"/>
        </w:rPr>
        <w:t> </w:t>
      </w:r>
      <w:r w:rsidRPr="004676F5">
        <w:rPr>
          <w:lang w:val="de-DE"/>
        </w:rPr>
        <w:t>[</w:t>
      </w:r>
      <w:r w:rsidRPr="004676F5">
        <w:rPr>
          <w:i/>
          <w:lang w:val="de-DE"/>
        </w:rPr>
        <w:t>...</w:t>
      </w:r>
      <w:r w:rsidRPr="004676F5">
        <w:rPr>
          <w:iCs/>
          <w:lang w:val="de-DE"/>
        </w:rPr>
        <w:t>]</w:t>
      </w:r>
    </w:p>
    <w:p w14:paraId="6574A185" w14:textId="77777777" w:rsidR="002F72DB" w:rsidRPr="004676F5" w:rsidRDefault="002F72DB" w:rsidP="002F72DB">
      <w:pPr>
        <w:jc w:val="center"/>
        <w:rPr>
          <w:lang w:val="de-DE"/>
        </w:rPr>
      </w:pPr>
    </w:p>
    <w:p w14:paraId="4C011FCC" w14:textId="09567897" w:rsidR="00F26D7D" w:rsidRPr="004676F5" w:rsidRDefault="00F26D7D" w:rsidP="00F26D7D">
      <w:pPr>
        <w:jc w:val="both"/>
        <w:rPr>
          <w:i/>
          <w:iCs/>
          <w:lang w:val="de-DE"/>
        </w:rPr>
      </w:pPr>
      <w:r w:rsidRPr="004676F5">
        <w:rPr>
          <w:i/>
          <w:iCs/>
          <w:lang w:val="de-DE"/>
        </w:rPr>
        <w:t>[Kapitel 6 mit den Artikeln XVII.26 bis XVII.34 aufgehoben durch Art. 19 des G. vom 21. April 2024 (II) (B.S. vom 31. Mai 2024)]</w:t>
      </w:r>
    </w:p>
    <w:p w14:paraId="46655C9C" w14:textId="77777777" w:rsidR="002F72DB" w:rsidRPr="004676F5" w:rsidRDefault="002F72DB" w:rsidP="002F72DB">
      <w:pPr>
        <w:jc w:val="both"/>
        <w:rPr>
          <w:lang w:val="de-DE"/>
        </w:rPr>
      </w:pPr>
    </w:p>
    <w:p w14:paraId="41A94C28" w14:textId="77777777" w:rsidR="00F26D7D" w:rsidRPr="004676F5" w:rsidRDefault="00F26D7D" w:rsidP="002F72DB">
      <w:pPr>
        <w:jc w:val="both"/>
        <w:rPr>
          <w:lang w:val="de-DE"/>
        </w:rPr>
      </w:pPr>
    </w:p>
    <w:p w14:paraId="24495F83" w14:textId="00B83384" w:rsidR="00C82F78" w:rsidRPr="004676F5" w:rsidRDefault="002F72DB" w:rsidP="00C82F78">
      <w:pPr>
        <w:jc w:val="both"/>
        <w:rPr>
          <w:lang w:val="de-DE"/>
        </w:rPr>
      </w:pPr>
      <w:r w:rsidRPr="004676F5">
        <w:rPr>
          <w:lang w:val="de-DE"/>
        </w:rPr>
        <w:tab/>
      </w:r>
      <w:r w:rsidR="00BE0A56" w:rsidRPr="004676F5">
        <w:rPr>
          <w:b/>
          <w:lang w:val="de-DE"/>
        </w:rPr>
        <w:t>Art. </w:t>
      </w:r>
      <w:r w:rsidRPr="004676F5">
        <w:rPr>
          <w:b/>
          <w:lang w:val="de-DE"/>
        </w:rPr>
        <w:t>XVII.26</w:t>
      </w:r>
      <w:r w:rsidRPr="004676F5">
        <w:rPr>
          <w:lang w:val="de-DE"/>
        </w:rPr>
        <w:t> </w:t>
      </w:r>
      <w:r w:rsidR="005B7A5C" w:rsidRPr="004676F5">
        <w:rPr>
          <w:lang w:val="de-DE"/>
        </w:rPr>
        <w:t>- </w:t>
      </w:r>
      <w:r w:rsidR="00DC5DCA" w:rsidRPr="004676F5">
        <w:rPr>
          <w:b/>
          <w:lang w:val="de-DE"/>
        </w:rPr>
        <w:t>XVII.34</w:t>
      </w:r>
      <w:r w:rsidR="00DC5DCA" w:rsidRPr="004676F5">
        <w:rPr>
          <w:lang w:val="de-DE"/>
        </w:rPr>
        <w:t> </w:t>
      </w:r>
      <w:r w:rsidR="00F26D7D" w:rsidRPr="004676F5">
        <w:rPr>
          <w:lang w:val="de-DE"/>
        </w:rPr>
        <w:t>-</w:t>
      </w:r>
      <w:r w:rsidR="005B7A5C" w:rsidRPr="004676F5">
        <w:rPr>
          <w:lang w:val="de-DE"/>
        </w:rPr>
        <w:t> </w:t>
      </w:r>
      <w:r w:rsidR="00F26D7D" w:rsidRPr="004676F5">
        <w:rPr>
          <w:lang w:val="de-DE"/>
        </w:rPr>
        <w:t>[...]</w:t>
      </w:r>
      <w:r w:rsidR="00DC5DCA" w:rsidRPr="004676F5">
        <w:rPr>
          <w:lang w:val="de-DE"/>
        </w:rPr>
        <w:t>]</w:t>
      </w:r>
    </w:p>
    <w:p w14:paraId="2DE1DF8F" w14:textId="77777777" w:rsidR="00DC5DCA" w:rsidRPr="004676F5" w:rsidRDefault="00DC5DCA" w:rsidP="00C82F78">
      <w:pPr>
        <w:jc w:val="both"/>
        <w:rPr>
          <w:lang w:val="de-DE"/>
        </w:rPr>
      </w:pPr>
    </w:p>
    <w:p w14:paraId="2E69C040" w14:textId="616339F7" w:rsidR="00D87F07" w:rsidRPr="004676F5" w:rsidRDefault="00D87F07" w:rsidP="00B62F51">
      <w:pPr>
        <w:jc w:val="both"/>
        <w:rPr>
          <w:lang w:val="de-DE"/>
        </w:rPr>
      </w:pPr>
      <w:r w:rsidRPr="004676F5">
        <w:rPr>
          <w:lang w:val="de-DE"/>
        </w:rPr>
        <w:br w:type="page"/>
      </w:r>
      <w:r w:rsidR="009F7ABB" w:rsidRPr="004676F5">
        <w:rPr>
          <w:lang w:val="de-DE"/>
        </w:rPr>
        <w:lastRenderedPageBreak/>
        <w:t>[</w:t>
      </w:r>
      <w:r w:rsidR="009F7ABB" w:rsidRPr="004676F5">
        <w:rPr>
          <w:b/>
          <w:bCs/>
          <w:lang w:val="de-DE"/>
        </w:rPr>
        <w:t>TITEL 1/1 </w:t>
      </w:r>
      <w:r w:rsidR="005B7A5C" w:rsidRPr="004676F5">
        <w:rPr>
          <w:b/>
          <w:bCs/>
          <w:lang w:val="de-DE"/>
        </w:rPr>
        <w:t>- </w:t>
      </w:r>
      <w:r w:rsidR="00B62F51" w:rsidRPr="004676F5">
        <w:rPr>
          <w:lang w:val="de-DE"/>
        </w:rPr>
        <w:t>[</w:t>
      </w:r>
      <w:r w:rsidR="00B62F51" w:rsidRPr="004676F5">
        <w:rPr>
          <w:b/>
          <w:bCs/>
          <w:i/>
          <w:iCs/>
          <w:lang w:val="de-DE"/>
        </w:rPr>
        <w:t>Vorläufige Maßnahmen bei einer Online-Verletzung des Urheberrechts, eines verwandten Schutzrechts oder des Rechts eines Herstellers von Datenbanken oder bei illegalem Betrieb eines Online-Glücksspiels</w:t>
      </w:r>
      <w:r w:rsidR="00B62F51" w:rsidRPr="004676F5">
        <w:rPr>
          <w:lang w:val="de-DE"/>
        </w:rPr>
        <w:t>]</w:t>
      </w:r>
      <w:r w:rsidR="009F7ABB" w:rsidRPr="004676F5">
        <w:rPr>
          <w:lang w:val="de-DE"/>
        </w:rPr>
        <w:t>]</w:t>
      </w:r>
    </w:p>
    <w:p w14:paraId="3067D82A" w14:textId="77777777" w:rsidR="009F7ABB" w:rsidRPr="004676F5" w:rsidRDefault="009F7ABB" w:rsidP="009F7ABB">
      <w:pPr>
        <w:jc w:val="center"/>
        <w:rPr>
          <w:lang w:val="de-DE"/>
        </w:rPr>
      </w:pPr>
    </w:p>
    <w:p w14:paraId="1A41D3C0" w14:textId="46E1C842" w:rsidR="009F7ABB" w:rsidRPr="004676F5" w:rsidRDefault="009F7ABB" w:rsidP="009F7ABB">
      <w:pPr>
        <w:jc w:val="both"/>
        <w:rPr>
          <w:i/>
          <w:iCs/>
          <w:lang w:val="de-DE"/>
        </w:rPr>
      </w:pPr>
      <w:r w:rsidRPr="004676F5">
        <w:rPr>
          <w:i/>
          <w:iCs/>
          <w:lang w:val="de-DE"/>
        </w:rPr>
        <w:t>[Unterteilung Titel 1/1 eingefügt durch Art. 88 des G. vom 19. Juni 2022 (B.S. vom 1. August 2022)</w:t>
      </w:r>
      <w:r w:rsidR="00B62F51" w:rsidRPr="004676F5">
        <w:rPr>
          <w:i/>
          <w:iCs/>
          <w:lang w:val="de-DE"/>
        </w:rPr>
        <w:t>; Überschrift von Titel 1/1 ersetzt durch Art. 83 des G. vom 22. Dezember 2023 (B.S. vom 29. Dezember 2023)</w:t>
      </w:r>
      <w:r w:rsidRPr="004676F5">
        <w:rPr>
          <w:i/>
          <w:iCs/>
          <w:lang w:val="de-DE"/>
        </w:rPr>
        <w:t>]</w:t>
      </w:r>
    </w:p>
    <w:p w14:paraId="565ADE60" w14:textId="77777777" w:rsidR="009F7ABB" w:rsidRPr="004676F5" w:rsidRDefault="009F7ABB" w:rsidP="009F7ABB">
      <w:pPr>
        <w:jc w:val="both"/>
        <w:rPr>
          <w:i/>
          <w:iCs/>
          <w:lang w:val="de-DE"/>
        </w:rPr>
      </w:pPr>
    </w:p>
    <w:p w14:paraId="046FB571" w14:textId="77777777" w:rsidR="009F7ABB" w:rsidRPr="004676F5" w:rsidRDefault="009F7ABB" w:rsidP="009F7ABB">
      <w:pPr>
        <w:jc w:val="both"/>
        <w:rPr>
          <w:lang w:val="de-DE"/>
        </w:rPr>
      </w:pPr>
    </w:p>
    <w:p w14:paraId="41A5B865" w14:textId="56542B3B" w:rsidR="00FE32FD" w:rsidRPr="004676F5" w:rsidRDefault="009F7ABB" w:rsidP="00FE32FD">
      <w:pPr>
        <w:jc w:val="both"/>
        <w:rPr>
          <w:lang w:val="de-DE"/>
        </w:rPr>
      </w:pPr>
      <w:r w:rsidRPr="004676F5">
        <w:rPr>
          <w:lang w:val="de-DE"/>
        </w:rPr>
        <w:tab/>
        <w:t>[</w:t>
      </w:r>
      <w:r w:rsidR="00FE32FD" w:rsidRPr="004676F5">
        <w:rPr>
          <w:b/>
          <w:bCs/>
          <w:lang w:val="de-DE"/>
        </w:rPr>
        <w:t>Art. XVII.34/1</w:t>
      </w:r>
      <w:r w:rsidR="00FE32FD" w:rsidRPr="004676F5">
        <w:rPr>
          <w:lang w:val="de-DE"/>
        </w:rPr>
        <w:t> </w:t>
      </w:r>
      <w:r w:rsidR="005B7A5C" w:rsidRPr="004676F5">
        <w:rPr>
          <w:lang w:val="de-DE"/>
        </w:rPr>
        <w:t>- </w:t>
      </w:r>
      <w:r w:rsidR="00FE32FD" w:rsidRPr="004676F5">
        <w:rPr>
          <w:lang w:val="de-DE"/>
        </w:rPr>
        <w:t xml:space="preserve">§ 1 ­ Im Falle einer offensichtlichen und erheblichen Online-Verletzung eines Urheberrechts, eines verwandten Schutzrechts oder des Rechts eines Herstellers von Datenbanken </w:t>
      </w:r>
      <w:r w:rsidR="00C67179" w:rsidRPr="004676F5">
        <w:rPr>
          <w:lang w:val="de-DE"/>
        </w:rPr>
        <w:t xml:space="preserve">[oder eines illegalen Betriebs eines Online-Glücksspiels] </w:t>
      </w:r>
      <w:r w:rsidR="00FE32FD" w:rsidRPr="004676F5">
        <w:rPr>
          <w:lang w:val="de-DE"/>
        </w:rPr>
        <w:t>kann der Präsident des Unternehmensgerichts Brüssel gegen den mutmaßlichen Zuwiderhandelnden und gegen Zwischenpersonen, deren Dienste in Anspruch genommen werden, einen Eilverfahrensbeschluss erlassen, um den mutmaßlichen Verstoß zu beenden.</w:t>
      </w:r>
    </w:p>
    <w:p w14:paraId="0D9FC9D2" w14:textId="77777777" w:rsidR="00FE32FD" w:rsidRPr="004676F5" w:rsidRDefault="00FE32FD" w:rsidP="00FE32FD">
      <w:pPr>
        <w:jc w:val="both"/>
        <w:rPr>
          <w:lang w:val="de-DE"/>
        </w:rPr>
      </w:pPr>
    </w:p>
    <w:p w14:paraId="460E2992" w14:textId="77777777" w:rsidR="00FE32FD" w:rsidRPr="004676F5" w:rsidRDefault="00FE32FD" w:rsidP="00FE32FD">
      <w:pPr>
        <w:jc w:val="both"/>
        <w:rPr>
          <w:lang w:val="de-DE"/>
        </w:rPr>
      </w:pPr>
      <w:r w:rsidRPr="004676F5">
        <w:rPr>
          <w:lang w:val="de-DE"/>
        </w:rPr>
        <w:tab/>
        <w:t>§ 2 ­ Bei Verletzung eines Urheberrechts oder eines verwandten Schutzrechts wird die Klage auf Veranlassung eines Interessehabenden, einer Verwertungsgesellschaft oder Organisation für die kollektive Rechtewahrnehmung oder eines Berufsverbands oder überberuflichen Verbands mit Rechtspersönlichkeit eingereicht.</w:t>
      </w:r>
    </w:p>
    <w:p w14:paraId="285DAD4B" w14:textId="77777777" w:rsidR="00FE32FD" w:rsidRPr="004676F5" w:rsidRDefault="00FE32FD" w:rsidP="00FE32FD">
      <w:pPr>
        <w:jc w:val="both"/>
        <w:rPr>
          <w:lang w:val="de-DE"/>
        </w:rPr>
      </w:pPr>
    </w:p>
    <w:p w14:paraId="2CCDD543" w14:textId="77777777" w:rsidR="00FE32FD" w:rsidRPr="004676F5" w:rsidRDefault="00FE32FD" w:rsidP="00FE32FD">
      <w:pPr>
        <w:jc w:val="both"/>
        <w:rPr>
          <w:lang w:val="de-DE"/>
        </w:rPr>
      </w:pPr>
      <w:r w:rsidRPr="004676F5">
        <w:rPr>
          <w:lang w:val="de-DE"/>
        </w:rPr>
        <w:tab/>
        <w:t>Bei Verletzung des Rechts eines Herstellers von Datenbanken wird die Klage auf Veranlassung von Personen eingereicht, die aufgrund der Bestimmungen in Bezug auf das Recht der Hersteller von Datenbanken befugt sind, eine Klage wegen Verletzung eines solchen Rechts einzuleiten.</w:t>
      </w:r>
    </w:p>
    <w:p w14:paraId="0C538BF4" w14:textId="77777777" w:rsidR="00C67179" w:rsidRPr="004676F5" w:rsidRDefault="00C67179" w:rsidP="00FE32FD">
      <w:pPr>
        <w:jc w:val="both"/>
        <w:rPr>
          <w:lang w:val="de-DE"/>
        </w:rPr>
      </w:pPr>
    </w:p>
    <w:p w14:paraId="5CA2236E" w14:textId="29949439" w:rsidR="00C67179" w:rsidRPr="004676F5" w:rsidRDefault="00C67179" w:rsidP="00FE32FD">
      <w:pPr>
        <w:jc w:val="both"/>
        <w:rPr>
          <w:lang w:val="de-DE"/>
        </w:rPr>
      </w:pPr>
      <w:r w:rsidRPr="004676F5">
        <w:rPr>
          <w:lang w:val="de-DE"/>
        </w:rPr>
        <w:tab/>
        <w:t>[Bei illegalem Betrieb eines Online-Glücksspiels wird die Klage auf Veranlassung eines Interessehabenden eingereicht]</w:t>
      </w:r>
    </w:p>
    <w:p w14:paraId="6F7B3BF6" w14:textId="77777777" w:rsidR="00FE32FD" w:rsidRPr="004676F5" w:rsidRDefault="00FE32FD" w:rsidP="00FE32FD">
      <w:pPr>
        <w:jc w:val="both"/>
        <w:rPr>
          <w:lang w:val="de-DE"/>
        </w:rPr>
      </w:pPr>
    </w:p>
    <w:p w14:paraId="65B8374A" w14:textId="77777777" w:rsidR="00FE32FD" w:rsidRPr="004676F5" w:rsidRDefault="00FE32FD" w:rsidP="00FE32FD">
      <w:pPr>
        <w:jc w:val="both"/>
        <w:rPr>
          <w:lang w:val="de-DE"/>
        </w:rPr>
      </w:pPr>
      <w:r w:rsidRPr="004676F5">
        <w:rPr>
          <w:lang w:val="de-DE"/>
        </w:rPr>
        <w:tab/>
        <w:t>§ 3 ­ Die in § 2 erwähnte Klage wird durch einseitigen Antrag oder durch Ladung eingereicht.</w:t>
      </w:r>
    </w:p>
    <w:p w14:paraId="672DF383" w14:textId="77777777" w:rsidR="00FE32FD" w:rsidRPr="004676F5" w:rsidRDefault="00FE32FD" w:rsidP="00FE32FD">
      <w:pPr>
        <w:jc w:val="both"/>
        <w:rPr>
          <w:lang w:val="de-DE"/>
        </w:rPr>
      </w:pPr>
    </w:p>
    <w:p w14:paraId="68E3DC6D" w14:textId="1405113A" w:rsidR="00FE32FD" w:rsidRPr="004676F5" w:rsidRDefault="00FE32FD" w:rsidP="00FE32FD">
      <w:pPr>
        <w:jc w:val="both"/>
        <w:rPr>
          <w:lang w:val="de-DE"/>
        </w:rPr>
      </w:pPr>
      <w:r w:rsidRPr="004676F5">
        <w:rPr>
          <w:lang w:val="de-DE"/>
        </w:rPr>
        <w:tab/>
        <w:t>§ 4 </w:t>
      </w:r>
      <w:r w:rsidR="005B7A5C" w:rsidRPr="004676F5">
        <w:rPr>
          <w:lang w:val="de-DE"/>
        </w:rPr>
        <w:t>- </w:t>
      </w:r>
      <w:r w:rsidRPr="004676F5">
        <w:rPr>
          <w:lang w:val="de-DE"/>
        </w:rPr>
        <w:t>Sofern keine besonderen Umstände vorliegen, entscheidet der Präsident des Unternehmensgerichts in kürzester Zeit nach Eintragung des Antrags oder der Ladung in die Liste. Diese Frist beträgt höchstens acht Werktage ab der Eintragung des Antrags oder der Ladung in die Liste.</w:t>
      </w:r>
    </w:p>
    <w:p w14:paraId="088C3AC3" w14:textId="77777777" w:rsidR="00FE32FD" w:rsidRPr="004676F5" w:rsidRDefault="00FE32FD" w:rsidP="00FE32FD">
      <w:pPr>
        <w:jc w:val="both"/>
        <w:rPr>
          <w:lang w:val="de-DE"/>
        </w:rPr>
      </w:pPr>
    </w:p>
    <w:p w14:paraId="06B6F34E" w14:textId="452683EF" w:rsidR="00FE32FD" w:rsidRPr="004676F5" w:rsidRDefault="00FE32FD" w:rsidP="00FE32FD">
      <w:pPr>
        <w:jc w:val="both"/>
        <w:rPr>
          <w:lang w:val="de-DE"/>
        </w:rPr>
      </w:pPr>
      <w:r w:rsidRPr="004676F5">
        <w:rPr>
          <w:lang w:val="de-DE"/>
        </w:rPr>
        <w:tab/>
        <w:t>§ 5 </w:t>
      </w:r>
      <w:r w:rsidR="005B7A5C" w:rsidRPr="004676F5">
        <w:rPr>
          <w:lang w:val="de-DE"/>
        </w:rPr>
        <w:t>- </w:t>
      </w:r>
      <w:r w:rsidRPr="004676F5">
        <w:rPr>
          <w:lang w:val="de-DE"/>
        </w:rPr>
        <w:t>Bevor der Präsident des Unternehmensgerichts über die Klage auf vorläufige Maßnahmen entscheidet, kann er in der Ratskammer den mutmaßlichen Zuwiderhandelnden oder andere von diesen Maßnahmen betroffene Personen in Anwesenheit des Klägers anhören, dies auch dann, wenn es sich um ein kontradiktorisches Verfahren handelt.</w:t>
      </w:r>
    </w:p>
    <w:p w14:paraId="33A0AE1C" w14:textId="77777777" w:rsidR="00FE32FD" w:rsidRPr="004676F5" w:rsidRDefault="00FE32FD" w:rsidP="00FE32FD">
      <w:pPr>
        <w:jc w:val="both"/>
        <w:rPr>
          <w:lang w:val="de-DE"/>
        </w:rPr>
      </w:pPr>
    </w:p>
    <w:p w14:paraId="3644398B" w14:textId="77777777" w:rsidR="00FE32FD" w:rsidRPr="004676F5" w:rsidRDefault="00FE32FD" w:rsidP="00FE32FD">
      <w:pPr>
        <w:jc w:val="both"/>
        <w:rPr>
          <w:lang w:val="de-DE"/>
        </w:rPr>
      </w:pPr>
      <w:r w:rsidRPr="004676F5">
        <w:rPr>
          <w:lang w:val="de-DE"/>
        </w:rPr>
        <w:tab/>
        <w:t>Personen, die der Richter anhören möchte, werden durch Gerichtsbrief oder per E-Mail, dem/der eine Abschrift der Antragschrift oder der Ladung beigefügt wird, vorgeladen. Diese Personen gelten dadurch nicht als Parteien des Rechtsstreits oder beitretende Parteien. Die Parteien des Rechtsstreits haben das Recht, Schriftsätze einzureichen, nachdem sie Kenntnis von der Anhörung der vom Präsidenten des Unternehmensgerichts vorgeladenen Personen erhalten haben.</w:t>
      </w:r>
    </w:p>
    <w:p w14:paraId="72606D5F" w14:textId="77777777" w:rsidR="00FE32FD" w:rsidRPr="004676F5" w:rsidRDefault="00FE32FD" w:rsidP="00FE32FD">
      <w:pPr>
        <w:jc w:val="both"/>
        <w:rPr>
          <w:lang w:val="de-DE"/>
        </w:rPr>
      </w:pPr>
    </w:p>
    <w:p w14:paraId="7850DA95" w14:textId="77777777" w:rsidR="00FE32FD" w:rsidRPr="004676F5" w:rsidRDefault="00FE32FD" w:rsidP="00FE32FD">
      <w:pPr>
        <w:jc w:val="both"/>
        <w:rPr>
          <w:lang w:val="de-DE"/>
        </w:rPr>
      </w:pPr>
      <w:r w:rsidRPr="004676F5">
        <w:rPr>
          <w:lang w:val="de-DE"/>
        </w:rPr>
        <w:tab/>
        <w:t>Der Kläger oder sein Beistand wird durch einfachen Brief oder per E-Mail vorgeladen.</w:t>
      </w:r>
    </w:p>
    <w:p w14:paraId="50DE76BF" w14:textId="77777777" w:rsidR="00FE32FD" w:rsidRPr="004676F5" w:rsidRDefault="00FE32FD" w:rsidP="00FE32FD">
      <w:pPr>
        <w:jc w:val="both"/>
        <w:rPr>
          <w:lang w:val="de-DE"/>
        </w:rPr>
      </w:pPr>
    </w:p>
    <w:p w14:paraId="017E5788" w14:textId="2C4BC533" w:rsidR="00FE32FD" w:rsidRPr="004676F5" w:rsidRDefault="00FE32FD" w:rsidP="00FE32FD">
      <w:pPr>
        <w:jc w:val="both"/>
        <w:rPr>
          <w:lang w:val="de-DE"/>
        </w:rPr>
      </w:pPr>
      <w:r w:rsidRPr="004676F5">
        <w:rPr>
          <w:lang w:val="de-DE"/>
        </w:rPr>
        <w:tab/>
        <w:t>§ 6 </w:t>
      </w:r>
      <w:r w:rsidR="005B7A5C" w:rsidRPr="004676F5">
        <w:rPr>
          <w:lang w:val="de-DE"/>
        </w:rPr>
        <w:t>- </w:t>
      </w:r>
      <w:r w:rsidRPr="004676F5">
        <w:rPr>
          <w:lang w:val="de-DE"/>
        </w:rPr>
        <w:t>Der Präsident des Unternehmensgerichts gibt der Klage statt, wenn:</w:t>
      </w:r>
    </w:p>
    <w:p w14:paraId="66F09D39" w14:textId="77777777" w:rsidR="00FE32FD" w:rsidRPr="004676F5" w:rsidRDefault="00FE32FD" w:rsidP="00FE32FD">
      <w:pPr>
        <w:jc w:val="both"/>
        <w:rPr>
          <w:lang w:val="de-DE"/>
        </w:rPr>
      </w:pPr>
    </w:p>
    <w:p w14:paraId="37CC82FA" w14:textId="77777777" w:rsidR="00FE32FD" w:rsidRPr="004676F5" w:rsidRDefault="00FE32FD" w:rsidP="00FE32FD">
      <w:pPr>
        <w:jc w:val="both"/>
        <w:rPr>
          <w:lang w:val="de-DE"/>
        </w:rPr>
      </w:pPr>
      <w:r w:rsidRPr="004676F5">
        <w:rPr>
          <w:lang w:val="de-DE"/>
        </w:rPr>
        <w:tab/>
        <w:t>1. das Urheberrecht, das verwandte Schutzrecht oder das Recht des Herstellers von Datenbanken, dessen Schutz geltend gemacht wird, allem Anschein nach gültig ist,</w:t>
      </w:r>
    </w:p>
    <w:p w14:paraId="3BC98C02" w14:textId="77777777" w:rsidR="00FE32FD" w:rsidRPr="004676F5" w:rsidRDefault="00FE32FD" w:rsidP="00FE32FD">
      <w:pPr>
        <w:jc w:val="both"/>
        <w:rPr>
          <w:lang w:val="de-DE"/>
        </w:rPr>
      </w:pPr>
    </w:p>
    <w:p w14:paraId="3E0D04BD" w14:textId="77777777" w:rsidR="00FE32FD" w:rsidRPr="004676F5" w:rsidRDefault="00FE32FD" w:rsidP="00FE32FD">
      <w:pPr>
        <w:jc w:val="both"/>
        <w:rPr>
          <w:lang w:val="de-DE"/>
        </w:rPr>
      </w:pPr>
      <w:r w:rsidRPr="004676F5">
        <w:rPr>
          <w:lang w:val="de-DE"/>
        </w:rPr>
        <w:tab/>
        <w:t>2. die Verletzung offensichtlich und erheblich scheint,</w:t>
      </w:r>
    </w:p>
    <w:p w14:paraId="147BA29A" w14:textId="77777777" w:rsidR="00FE32FD" w:rsidRPr="004676F5" w:rsidRDefault="00FE32FD" w:rsidP="00FE32FD">
      <w:pPr>
        <w:jc w:val="both"/>
        <w:rPr>
          <w:lang w:val="de-DE"/>
        </w:rPr>
      </w:pPr>
    </w:p>
    <w:p w14:paraId="66199C8C" w14:textId="77777777" w:rsidR="00FE32FD" w:rsidRPr="004676F5" w:rsidRDefault="00FE32FD" w:rsidP="00FE32FD">
      <w:pPr>
        <w:jc w:val="both"/>
        <w:rPr>
          <w:lang w:val="de-DE"/>
        </w:rPr>
      </w:pPr>
      <w:r w:rsidRPr="004676F5">
        <w:rPr>
          <w:lang w:val="de-DE"/>
        </w:rPr>
        <w:tab/>
        <w:t>3. nachdem er eine Abwägung der Interessen, Rechte und Freiheiten der Parteien, darunter das Allgemeininteresse, vorgenommen hat, der Tatbestand und gegebenenfalls die Aktenstücke, auf die der Kläger sich stützt, die vorläufigen Maßnahmen nach vernünftigem Ermessen rechtfertigen.</w:t>
      </w:r>
    </w:p>
    <w:p w14:paraId="7F97A64F" w14:textId="77777777" w:rsidR="00FE32FD" w:rsidRPr="004676F5" w:rsidRDefault="00FE32FD" w:rsidP="00FE32FD">
      <w:pPr>
        <w:jc w:val="both"/>
        <w:rPr>
          <w:lang w:val="de-DE"/>
        </w:rPr>
      </w:pPr>
    </w:p>
    <w:p w14:paraId="77D423C6" w14:textId="77777777" w:rsidR="00FE32FD" w:rsidRPr="004676F5" w:rsidRDefault="00FE32FD" w:rsidP="00FE32FD">
      <w:pPr>
        <w:jc w:val="both"/>
        <w:rPr>
          <w:lang w:val="de-DE"/>
        </w:rPr>
      </w:pPr>
      <w:r w:rsidRPr="004676F5">
        <w:rPr>
          <w:lang w:val="de-DE"/>
        </w:rPr>
        <w:tab/>
        <w:t>Der Präsident beurteilt insbesondere die Auswirkungen, die die beantragten Maßnahmen auf den Zugang der Öffentlichkeit zu Informationen oder anderen Inhalten haben könnten, die das vom Kläger geltend gemachte Recht nicht verletzen.</w:t>
      </w:r>
    </w:p>
    <w:p w14:paraId="206D6588" w14:textId="77777777" w:rsidR="00FE32FD" w:rsidRPr="004676F5" w:rsidRDefault="00FE32FD" w:rsidP="00FE32FD">
      <w:pPr>
        <w:jc w:val="both"/>
        <w:rPr>
          <w:lang w:val="de-DE"/>
        </w:rPr>
      </w:pPr>
    </w:p>
    <w:p w14:paraId="1FDCDCF6" w14:textId="77777777" w:rsidR="00FE32FD" w:rsidRPr="004676F5" w:rsidRDefault="00FE32FD" w:rsidP="00FE32FD">
      <w:pPr>
        <w:jc w:val="both"/>
        <w:rPr>
          <w:lang w:val="de-DE"/>
        </w:rPr>
      </w:pPr>
      <w:r w:rsidRPr="004676F5">
        <w:rPr>
          <w:lang w:val="de-DE"/>
        </w:rPr>
        <w:tab/>
        <w:t>Wenn eine Klage durch einseitigen Antrag eingereicht wird, gilt die Vermutung der in Artikel 584 Absatz 1 des Gerichtsgesetzbuches erwähnten Dringlichkeit oder der in Artikel 584 Absatz 4 des Gerichtsgesetzbuches erwähnten absoluten Notwendigkeit.</w:t>
      </w:r>
    </w:p>
    <w:p w14:paraId="59A7F0C0" w14:textId="77777777" w:rsidR="00C67179" w:rsidRPr="004676F5" w:rsidRDefault="00C67179" w:rsidP="00FE32FD">
      <w:pPr>
        <w:jc w:val="both"/>
        <w:rPr>
          <w:lang w:val="de-DE"/>
        </w:rPr>
      </w:pPr>
    </w:p>
    <w:p w14:paraId="1F6BA915" w14:textId="65C0E5B0" w:rsidR="00C67179" w:rsidRPr="004676F5" w:rsidRDefault="00C67179" w:rsidP="00C67179">
      <w:pPr>
        <w:jc w:val="both"/>
        <w:rPr>
          <w:lang w:val="de-DE"/>
        </w:rPr>
      </w:pPr>
      <w:r w:rsidRPr="004676F5">
        <w:rPr>
          <w:lang w:val="de-DE"/>
        </w:rPr>
        <w:tab/>
        <w:t>[§ 6/1 - Der Präsident des Unternehmensgerichts gibt der Klage statt, wenn er feststellt, dass ein illegaler Betrieb eines Online-Glücksspiels vorliegt.</w:t>
      </w:r>
    </w:p>
    <w:p w14:paraId="004256D6" w14:textId="77777777" w:rsidR="00C67179" w:rsidRPr="004676F5" w:rsidRDefault="00C67179" w:rsidP="00C67179">
      <w:pPr>
        <w:jc w:val="both"/>
        <w:rPr>
          <w:lang w:val="de-DE"/>
        </w:rPr>
      </w:pPr>
    </w:p>
    <w:p w14:paraId="1746ACC6" w14:textId="0C09F8CE" w:rsidR="00C67179" w:rsidRPr="004676F5" w:rsidRDefault="00C67179" w:rsidP="00C67179">
      <w:pPr>
        <w:jc w:val="both"/>
        <w:rPr>
          <w:lang w:val="de-DE"/>
        </w:rPr>
      </w:pPr>
      <w:r w:rsidRPr="004676F5">
        <w:rPr>
          <w:lang w:val="de-DE"/>
        </w:rPr>
        <w:tab/>
        <w:t>Wenn eine Klage durch einseitigen Antrag eingereicht wird, gilt die Vermutung der in Artikel 584 Absatz 1 des Gerichtsgesetzbuches erwähnten Dringlichkeit oder der in Artikel 584 Absatz 4 des Gerichtsgesetzbuches erwähnten absoluten Notwendigkeit.]</w:t>
      </w:r>
    </w:p>
    <w:p w14:paraId="771598F0" w14:textId="77777777" w:rsidR="00FE32FD" w:rsidRPr="004676F5" w:rsidRDefault="00FE32FD" w:rsidP="00FE32FD">
      <w:pPr>
        <w:jc w:val="both"/>
        <w:rPr>
          <w:lang w:val="de-DE"/>
        </w:rPr>
      </w:pPr>
    </w:p>
    <w:p w14:paraId="12992BA6" w14:textId="2B3008DD" w:rsidR="00FE32FD" w:rsidRPr="004676F5" w:rsidRDefault="00FE32FD" w:rsidP="00FE32FD">
      <w:pPr>
        <w:jc w:val="both"/>
        <w:rPr>
          <w:lang w:val="de-DE"/>
        </w:rPr>
      </w:pPr>
      <w:r w:rsidRPr="004676F5">
        <w:rPr>
          <w:lang w:val="de-DE"/>
        </w:rPr>
        <w:tab/>
        <w:t>§ 7 </w:t>
      </w:r>
      <w:r w:rsidR="005B7A5C" w:rsidRPr="004676F5">
        <w:rPr>
          <w:lang w:val="de-DE"/>
        </w:rPr>
        <w:t>- </w:t>
      </w:r>
      <w:r w:rsidRPr="004676F5">
        <w:rPr>
          <w:lang w:val="de-DE"/>
        </w:rPr>
        <w:t>Der Präsident des Unternehmensgerichts kann die vorläufigen Maßnahmen von der Leistung einer angemessenen Kaution oder einer entsprechenden gleichwertigen Sicherheit durch den Kläger abhängig machen, um die eventuelle Entschädigung des Schadens, der durch den mutmaßlichen Zuwiderhandelnden, die betreffenden Zwischenpersonen und anderen von den vorläufigen Maßnahmen betroffenen Personen erlitten wird, zu gewährleisten.</w:t>
      </w:r>
    </w:p>
    <w:p w14:paraId="192C278B" w14:textId="77777777" w:rsidR="00FE32FD" w:rsidRPr="004676F5" w:rsidRDefault="00FE32FD" w:rsidP="00FE32FD">
      <w:pPr>
        <w:jc w:val="both"/>
        <w:rPr>
          <w:lang w:val="de-DE"/>
        </w:rPr>
      </w:pPr>
    </w:p>
    <w:p w14:paraId="4DF5C7BA" w14:textId="1FCC2FFF" w:rsidR="00FE32FD" w:rsidRPr="004676F5" w:rsidRDefault="00FE32FD" w:rsidP="00FE32FD">
      <w:pPr>
        <w:jc w:val="both"/>
        <w:rPr>
          <w:lang w:val="de-DE"/>
        </w:rPr>
      </w:pPr>
      <w:r w:rsidRPr="004676F5">
        <w:rPr>
          <w:lang w:val="de-DE"/>
        </w:rPr>
        <w:tab/>
        <w:t>§ 8 </w:t>
      </w:r>
      <w:r w:rsidR="005B7A5C" w:rsidRPr="004676F5">
        <w:rPr>
          <w:lang w:val="de-DE"/>
        </w:rPr>
        <w:t>- </w:t>
      </w:r>
      <w:r w:rsidRPr="004676F5">
        <w:rPr>
          <w:lang w:val="de-DE"/>
        </w:rPr>
        <w:t>Der Präsident des Unternehmensgerichts kann spezifische Maßnahmen festlegen, die von dem/den Adressaten seines Beschlusses zu ergreifen sind, um die beanstandete Verletzung zu beenden oder ihre Folgen zu begrenzen.</w:t>
      </w:r>
    </w:p>
    <w:p w14:paraId="68FC084E" w14:textId="77777777" w:rsidR="00FE32FD" w:rsidRPr="004676F5" w:rsidRDefault="00FE32FD" w:rsidP="00FE32FD">
      <w:pPr>
        <w:jc w:val="both"/>
        <w:rPr>
          <w:lang w:val="de-DE"/>
        </w:rPr>
      </w:pPr>
    </w:p>
    <w:p w14:paraId="27D77B18" w14:textId="77777777" w:rsidR="00FE32FD" w:rsidRPr="004676F5" w:rsidRDefault="00FE32FD" w:rsidP="00FE32FD">
      <w:pPr>
        <w:jc w:val="both"/>
        <w:rPr>
          <w:lang w:val="de-DE"/>
        </w:rPr>
      </w:pPr>
      <w:r w:rsidRPr="004676F5">
        <w:rPr>
          <w:lang w:val="de-DE"/>
        </w:rPr>
        <w:tab/>
        <w:t>Der Präsident des Unternehmensgerichts kann insbesondere beschließen, die vorläufigen Maßnahmen auf eine Website oder einen Teil einer Website, die die im Beschluss identifizierte Website, die Gegenstand der vorläufigen Maßnahmen ist, nachbildet, oder auf jede Adresse, die direkten Zugang zu dieser Website ermöglicht, auszudehnen.</w:t>
      </w:r>
    </w:p>
    <w:p w14:paraId="109A0AA2" w14:textId="77777777" w:rsidR="00FE32FD" w:rsidRPr="004676F5" w:rsidRDefault="00FE32FD" w:rsidP="00FE32FD">
      <w:pPr>
        <w:jc w:val="both"/>
        <w:rPr>
          <w:lang w:val="de-DE"/>
        </w:rPr>
      </w:pPr>
    </w:p>
    <w:p w14:paraId="0096A433" w14:textId="77777777" w:rsidR="00FE32FD" w:rsidRPr="004676F5" w:rsidRDefault="00FE32FD" w:rsidP="00FE32FD">
      <w:pPr>
        <w:jc w:val="both"/>
        <w:rPr>
          <w:lang w:val="de-DE"/>
        </w:rPr>
      </w:pPr>
      <w:r w:rsidRPr="004676F5">
        <w:rPr>
          <w:lang w:val="de-DE"/>
        </w:rPr>
        <w:tab/>
        <w:t>Der Präsident des Unternehmensgerichts kann den in Artikel XVII.34/3 erwähnten Dienst beauftragen, die in Absatz 2 erwähnten Websites zu ermitteln und dem/den Adressaten der Maßnahmen eine aktualisierte Liste dieser Websites zu übermitteln.</w:t>
      </w:r>
    </w:p>
    <w:p w14:paraId="2E25E69C" w14:textId="77777777" w:rsidR="00FE32FD" w:rsidRPr="004676F5" w:rsidRDefault="00FE32FD" w:rsidP="00FE32FD">
      <w:pPr>
        <w:jc w:val="both"/>
        <w:rPr>
          <w:lang w:val="de-DE"/>
        </w:rPr>
      </w:pPr>
    </w:p>
    <w:p w14:paraId="7F0CBD58" w14:textId="52E58C7B" w:rsidR="00FE32FD" w:rsidRPr="004676F5" w:rsidRDefault="00FE32FD" w:rsidP="00FE32FD">
      <w:pPr>
        <w:jc w:val="both"/>
        <w:rPr>
          <w:lang w:val="de-DE"/>
        </w:rPr>
      </w:pPr>
      <w:r w:rsidRPr="004676F5">
        <w:rPr>
          <w:lang w:val="de-DE"/>
        </w:rPr>
        <w:tab/>
        <w:t>§ 9 </w:t>
      </w:r>
      <w:r w:rsidR="005B7A5C" w:rsidRPr="004676F5">
        <w:rPr>
          <w:lang w:val="de-DE"/>
        </w:rPr>
        <w:t>- </w:t>
      </w:r>
      <w:r w:rsidRPr="004676F5">
        <w:rPr>
          <w:lang w:val="de-DE"/>
        </w:rPr>
        <w:t xml:space="preserve">Der Präsident des Unternehmensgerichts kann den in Artikel XVII.34/3 erwähnten Dienst ermächtigen, die vorläufigen Maßnahmen durchzuführen, um ihre Wirksamkeit zu </w:t>
      </w:r>
      <w:r w:rsidRPr="004676F5">
        <w:rPr>
          <w:lang w:val="de-DE"/>
        </w:rPr>
        <w:lastRenderedPageBreak/>
        <w:t>gewährleisten gemäß Artikel XVII.34/3. Der Dienst darf die Tragweite des Beschlusses nicht erweitern, einschränken oder ändern.</w:t>
      </w:r>
    </w:p>
    <w:p w14:paraId="26C8DA09" w14:textId="77777777" w:rsidR="00FE32FD" w:rsidRPr="004676F5" w:rsidRDefault="00FE32FD" w:rsidP="00FE32FD">
      <w:pPr>
        <w:jc w:val="both"/>
        <w:rPr>
          <w:lang w:val="de-DE"/>
        </w:rPr>
      </w:pPr>
    </w:p>
    <w:p w14:paraId="02614D49" w14:textId="77777777" w:rsidR="00FE32FD" w:rsidRPr="004676F5" w:rsidRDefault="00FE32FD" w:rsidP="00FE32FD">
      <w:pPr>
        <w:jc w:val="both"/>
        <w:rPr>
          <w:lang w:val="de-DE"/>
        </w:rPr>
      </w:pPr>
      <w:r w:rsidRPr="004676F5">
        <w:rPr>
          <w:lang w:val="de-DE"/>
        </w:rPr>
        <w:tab/>
        <w:t>Vorbehaltlich besonderer Umstände und vorbehaltlich der Anwendung von Artikel XVII.34/3 § 2 Absatz 3 legt der Dienst innerhalb einer Frist von höchstens drei Werktagen nach Erhalt des Beschlusses die Anwendungsmodalitäten fest.</w:t>
      </w:r>
    </w:p>
    <w:p w14:paraId="69DE9DF8" w14:textId="77777777" w:rsidR="00FE32FD" w:rsidRPr="004676F5" w:rsidRDefault="00FE32FD" w:rsidP="00FE32FD">
      <w:pPr>
        <w:jc w:val="both"/>
        <w:rPr>
          <w:lang w:val="de-DE"/>
        </w:rPr>
      </w:pPr>
    </w:p>
    <w:p w14:paraId="1C5F12A2" w14:textId="77777777" w:rsidR="00FE32FD" w:rsidRPr="004676F5" w:rsidRDefault="00FE32FD" w:rsidP="00FE32FD">
      <w:pPr>
        <w:jc w:val="both"/>
        <w:rPr>
          <w:lang w:val="de-DE"/>
        </w:rPr>
      </w:pPr>
      <w:r w:rsidRPr="004676F5">
        <w:rPr>
          <w:lang w:val="de-DE"/>
        </w:rPr>
        <w:tab/>
        <w:t>Die Modalitäten der Anwendung der vorläufigen Maßnahmen, die vom Dienst näher bestimmt und gegebenenfalls angepasst werden, um ihre Wirksamkeit zu gewährleisten, sind Bestandteil dieser Maßnahmen; die Verletzung der Anwendungsmodalitäten führt, sofern die Entscheidung des Dienstes dem/den Adressaten zugestellt wurde, zu denselben Sanktionen wie die Verletzung der vorläufigen Maßnahmen, insbesondere zu den möglichen Zwangsgeldern, mit denen diese Maßnahmen verbunden sind und deren Fälligkeit der Präsident des Unternehmensgerichts unter Berücksichtigung der vom Dienst näher zu bestimmenden Anwendungsmodalitäten festgelegt hat.</w:t>
      </w:r>
    </w:p>
    <w:p w14:paraId="065A8BAD" w14:textId="77777777" w:rsidR="00FE32FD" w:rsidRPr="004676F5" w:rsidRDefault="00FE32FD" w:rsidP="00FE32FD">
      <w:pPr>
        <w:jc w:val="both"/>
        <w:rPr>
          <w:lang w:val="de-DE"/>
        </w:rPr>
      </w:pPr>
    </w:p>
    <w:p w14:paraId="5AAD0F83" w14:textId="1F1ADF74" w:rsidR="00FE32FD" w:rsidRPr="004676F5" w:rsidRDefault="00FE32FD" w:rsidP="00FE32FD">
      <w:pPr>
        <w:jc w:val="both"/>
        <w:rPr>
          <w:lang w:val="de-DE"/>
        </w:rPr>
      </w:pPr>
      <w:r w:rsidRPr="004676F5">
        <w:rPr>
          <w:lang w:val="de-DE"/>
        </w:rPr>
        <w:tab/>
        <w:t>§ 10 </w:t>
      </w:r>
      <w:r w:rsidR="005B7A5C" w:rsidRPr="004676F5">
        <w:rPr>
          <w:lang w:val="de-DE"/>
        </w:rPr>
        <w:t>- </w:t>
      </w:r>
      <w:r w:rsidRPr="004676F5">
        <w:rPr>
          <w:lang w:val="de-DE"/>
        </w:rPr>
        <w:t>Der Beschluss wird dem in Artikel XVII.34/3 erwähnten Dienst auf Veranlassung des Greffiers des zuständigen Gerichts binnen zwei Werktagen per E-Mail notifiziert. Die in Artikel 1030 des Gerichtsgesetzbuches erwähnte Notifizierung an den Kläger und an etwaige beitretende Parteien und gegebenenfalls an die betroffenen Personen, die in der Ratskammer angehört wurden, erfolgt innerhalb derselben Frist. Mit dieser Notifizierung setzt die Beschwerdefrist noch nicht ein. Sie erfolgt auf elektronischem Wege an die berufliche elektronische Adresse des Rechtsanwalts oder, wenn es sich um eine Partei handelt, die ohne Rechtsanwalt erschienen ist, an die gerichtliche elektronische Adresse dieser Partei oder in deren Ermangelung an die letzte elektronische Adresse, die diese Partei im Rahmen des Verfahrens mitgeteilt hat. Ist dem Greffier keine elektronische Adresse bekannt oder ist die Notifizierung an die elektronische Adresse offensichtlich fehlgeschlagen, erfolgt die Notifizierung per gewöhnlichen Brief.</w:t>
      </w:r>
    </w:p>
    <w:p w14:paraId="3C39001D" w14:textId="77777777" w:rsidR="00FE32FD" w:rsidRPr="004676F5" w:rsidRDefault="00FE32FD" w:rsidP="00FE32FD">
      <w:pPr>
        <w:jc w:val="both"/>
        <w:rPr>
          <w:lang w:val="de-DE"/>
        </w:rPr>
      </w:pPr>
    </w:p>
    <w:p w14:paraId="71C6251C" w14:textId="13A0CC65" w:rsidR="00FE32FD" w:rsidRPr="004676F5" w:rsidRDefault="00FE32FD" w:rsidP="00FE32FD">
      <w:pPr>
        <w:jc w:val="both"/>
        <w:rPr>
          <w:lang w:val="de-DE"/>
        </w:rPr>
      </w:pPr>
      <w:r w:rsidRPr="004676F5">
        <w:rPr>
          <w:lang w:val="de-DE"/>
        </w:rPr>
        <w:tab/>
        <w:t>§ 11 </w:t>
      </w:r>
      <w:r w:rsidR="005B7A5C" w:rsidRPr="004676F5">
        <w:rPr>
          <w:lang w:val="de-DE"/>
        </w:rPr>
        <w:t>- </w:t>
      </w:r>
      <w:r w:rsidRPr="004676F5">
        <w:rPr>
          <w:lang w:val="de-DE"/>
        </w:rPr>
        <w:t>Der Präsident des Unternehmensgerichts kann anordnen, dass sein Beschluss, eine Zusammenfassung davon oder eine Bekanntmachung während des von ihm festgelegten Zeitraums im Internet veröffentlicht wird.</w:t>
      </w:r>
    </w:p>
    <w:p w14:paraId="598A9570" w14:textId="77777777" w:rsidR="00FE32FD" w:rsidRPr="004676F5" w:rsidRDefault="00FE32FD" w:rsidP="00FE32FD">
      <w:pPr>
        <w:jc w:val="both"/>
        <w:rPr>
          <w:lang w:val="de-DE"/>
        </w:rPr>
      </w:pPr>
    </w:p>
    <w:p w14:paraId="3493C3AD" w14:textId="77777777" w:rsidR="00FE32FD" w:rsidRPr="004676F5" w:rsidRDefault="00FE32FD" w:rsidP="00FE32FD">
      <w:pPr>
        <w:jc w:val="both"/>
        <w:rPr>
          <w:lang w:val="de-DE"/>
        </w:rPr>
      </w:pPr>
      <w:r w:rsidRPr="004676F5">
        <w:rPr>
          <w:lang w:val="de-DE"/>
        </w:rPr>
        <w:tab/>
        <w:t>Der Präsident des Unternehmensgerichts legt in seinem Beschluss fest, wer die Kosten für diese Bekanntmachungsmaßnahme trägt.</w:t>
      </w:r>
    </w:p>
    <w:p w14:paraId="23C6A375" w14:textId="77777777" w:rsidR="00FE32FD" w:rsidRPr="004676F5" w:rsidRDefault="00FE32FD" w:rsidP="00FE32FD">
      <w:pPr>
        <w:jc w:val="both"/>
        <w:rPr>
          <w:lang w:val="de-DE"/>
        </w:rPr>
      </w:pPr>
    </w:p>
    <w:p w14:paraId="167990A7" w14:textId="6CE98999" w:rsidR="00FE32FD" w:rsidRPr="004676F5" w:rsidRDefault="00FE32FD" w:rsidP="00FE32FD">
      <w:pPr>
        <w:jc w:val="both"/>
        <w:rPr>
          <w:lang w:val="de-DE"/>
        </w:rPr>
      </w:pPr>
      <w:r w:rsidRPr="004676F5">
        <w:rPr>
          <w:lang w:val="de-DE"/>
        </w:rPr>
        <w:tab/>
        <w:t>§ 12 </w:t>
      </w:r>
      <w:r w:rsidR="005B7A5C" w:rsidRPr="004676F5">
        <w:rPr>
          <w:lang w:val="de-DE"/>
        </w:rPr>
        <w:t>- </w:t>
      </w:r>
      <w:r w:rsidRPr="004676F5">
        <w:rPr>
          <w:lang w:val="de-DE"/>
        </w:rPr>
        <w:t>Vorliegender Artikel ist anwendbar unbeschadet des Artikels XV.5.]</w:t>
      </w:r>
    </w:p>
    <w:p w14:paraId="75856873" w14:textId="77777777" w:rsidR="00FE32FD" w:rsidRPr="004676F5" w:rsidRDefault="00FE32FD" w:rsidP="00FE32FD">
      <w:pPr>
        <w:jc w:val="both"/>
        <w:rPr>
          <w:lang w:val="de-DE"/>
        </w:rPr>
      </w:pPr>
    </w:p>
    <w:p w14:paraId="1082CF98" w14:textId="0470DB65" w:rsidR="00FE32FD" w:rsidRPr="004676F5" w:rsidRDefault="00FE32FD" w:rsidP="00FE32FD">
      <w:pPr>
        <w:jc w:val="both"/>
        <w:rPr>
          <w:i/>
          <w:iCs/>
          <w:lang w:val="de-DE"/>
        </w:rPr>
      </w:pPr>
      <w:r w:rsidRPr="004676F5">
        <w:rPr>
          <w:i/>
          <w:iCs/>
          <w:lang w:val="de-DE"/>
        </w:rPr>
        <w:t>[Art. XVII</w:t>
      </w:r>
      <w:r w:rsidR="00C94E46" w:rsidRPr="004676F5">
        <w:rPr>
          <w:i/>
          <w:iCs/>
          <w:lang w:val="de-DE"/>
        </w:rPr>
        <w:t>.</w:t>
      </w:r>
      <w:r w:rsidRPr="004676F5">
        <w:rPr>
          <w:i/>
          <w:iCs/>
          <w:lang w:val="de-DE"/>
        </w:rPr>
        <w:t>34/1 eingefügt durch Art. 89 des G. vom 19. Juni 2022 (B.S. vom 1. August 2022)</w:t>
      </w:r>
      <w:r w:rsidR="00C67179" w:rsidRPr="004676F5">
        <w:rPr>
          <w:i/>
          <w:iCs/>
          <w:lang w:val="de-DE"/>
        </w:rPr>
        <w:t>; § 1 abgeändert durch Art. 84 Nr. 1 des G. vom 22. Dezember 2023 (B.S. vom 29. Dezember 2023); § 2 Abs. 3 eingefügt durch Art. 84 Nr. 2 des G. vom 22. Dezember 2023 (B.S. vom 29. Dezember 2023); § 6/1 eingefügt durch Art. 84 Nr. 3 des G. vom 22. Dezember 2023 (B.S. vom 29. Dezember 2023)</w:t>
      </w:r>
      <w:r w:rsidRPr="004676F5">
        <w:rPr>
          <w:i/>
          <w:iCs/>
          <w:lang w:val="de-DE"/>
        </w:rPr>
        <w:t>]</w:t>
      </w:r>
    </w:p>
    <w:p w14:paraId="4C0C563A" w14:textId="77777777" w:rsidR="00FE32FD" w:rsidRPr="004676F5" w:rsidRDefault="00FE32FD" w:rsidP="00FE32FD">
      <w:pPr>
        <w:jc w:val="both"/>
        <w:rPr>
          <w:i/>
          <w:iCs/>
          <w:lang w:val="de-DE"/>
        </w:rPr>
      </w:pPr>
    </w:p>
    <w:p w14:paraId="7C6B50BC" w14:textId="77777777" w:rsidR="00FE32FD" w:rsidRPr="004676F5" w:rsidRDefault="00FE32FD" w:rsidP="00FE32FD">
      <w:pPr>
        <w:jc w:val="both"/>
        <w:rPr>
          <w:lang w:val="de-DE"/>
        </w:rPr>
      </w:pPr>
    </w:p>
    <w:p w14:paraId="3C053A54" w14:textId="6D1C067A" w:rsidR="00FE32FD" w:rsidRPr="004676F5" w:rsidRDefault="00FE32FD" w:rsidP="00FE32FD">
      <w:pPr>
        <w:jc w:val="both"/>
        <w:rPr>
          <w:lang w:val="de-DE"/>
        </w:rPr>
      </w:pPr>
      <w:r w:rsidRPr="004676F5">
        <w:rPr>
          <w:lang w:val="de-DE"/>
        </w:rPr>
        <w:tab/>
        <w:t>[</w:t>
      </w:r>
      <w:r w:rsidRPr="004676F5">
        <w:rPr>
          <w:b/>
          <w:bCs/>
          <w:lang w:val="de-DE"/>
        </w:rPr>
        <w:t>Art. XVII.34/2</w:t>
      </w:r>
      <w:r w:rsidRPr="004676F5">
        <w:rPr>
          <w:lang w:val="de-DE"/>
        </w:rPr>
        <w:t> </w:t>
      </w:r>
      <w:r w:rsidR="005B7A5C" w:rsidRPr="004676F5">
        <w:rPr>
          <w:lang w:val="de-DE"/>
        </w:rPr>
        <w:t>- </w:t>
      </w:r>
      <w:r w:rsidRPr="004676F5">
        <w:rPr>
          <w:lang w:val="de-DE"/>
        </w:rPr>
        <w:t xml:space="preserve">§ 1 ­ Wenn der Beschluss nach Artikel XVII.34/1 auf einseitigen Antrag ergangen ist, kann er gemäß den Artikeln 1122 und folgenden des Gerichtsgesetzbuches von Interessehabenden, von einer in Artikel 17 Absatz 2 des Gerichtsgesetzbuches erwähnten juristischen Person und von einer öffentlichen Einrichtung, die die gleichen Zwecke wie die in Artikel 17 Absatz 2 des Gerichtsgesetzbuches erwähnten juristischen Personen verfolgt, durch </w:t>
      </w:r>
      <w:r w:rsidRPr="004676F5">
        <w:rPr>
          <w:lang w:val="de-DE"/>
        </w:rPr>
        <w:lastRenderedPageBreak/>
        <w:t>Dritteinspruch angefochten werden, sofern der Interessehabende, die in Artikel 17 Absatz 2 des Gerichtsgesetzbuches erwähnte juristische Person oder die öffentliche Einrichtung nicht Partei des Rechtsstreits war. Der mit dem Dritteinspruch befasste Richter kann auf Antrag einer Partei, der gemäß Artikel 19 Absatz 3 des Gerichtsgesetzbuches eingereicht wird, durch Zwischenentscheidung die Ausführung der angefochtenen Entscheidung ganz oder teilweise vorläufig aussetzen.</w:t>
      </w:r>
    </w:p>
    <w:p w14:paraId="2F9B7013" w14:textId="77777777" w:rsidR="00FE32FD" w:rsidRPr="004676F5" w:rsidRDefault="00FE32FD" w:rsidP="00FE32FD">
      <w:pPr>
        <w:jc w:val="both"/>
        <w:rPr>
          <w:lang w:val="de-DE"/>
        </w:rPr>
      </w:pPr>
    </w:p>
    <w:p w14:paraId="79274E48" w14:textId="15504FBC" w:rsidR="00FE32FD" w:rsidRPr="004676F5" w:rsidRDefault="00FE32FD" w:rsidP="00FE32FD">
      <w:pPr>
        <w:jc w:val="both"/>
        <w:rPr>
          <w:lang w:val="de-DE"/>
        </w:rPr>
      </w:pPr>
      <w:r w:rsidRPr="004676F5">
        <w:rPr>
          <w:lang w:val="de-DE"/>
        </w:rPr>
        <w:tab/>
        <w:t>§ 2 ­ Ein Interessehabender kann auch die Art und Weise anfechten, wie die in Anwendung von Artikel XVII.34/1 angeordneten vorläufigen Maßnahmen von ihren Adressaten umgesetzt worden sind, unter anderem wegen der übermäßigen Beeinträchtigung von Grundrechten und -freiheiten. Diese Anfechtung kann auch von einer in Artikel 17 Absatz 2 des Gerichtsgesetzbuches erwähnten juristischen Person und von einer öffentlichen Einrichtung, die die gleichen Zwecke wie die in Artikel 17 Absatz 2 des Gerichtsgesetzbuches erwähnten juristischen Personen verfolgt, eingereicht werden. Die Anfechtung wird durch Vorladung der Adressaten, deren Maßnahmen angefochten werden, und des Rechtsinhabers, der die ursprüngliche Klage eingereicht hatte, vor den Richter gebracht, der die betreffende Entscheidung erlassen hat. Der Präsident des Unternehmensgerichts kann den in Artikel XVII.34/3 erwähnten Dienst auffordern, im Rahmen dieses Verfahrens eine mit Gründen versehene Stellungnahme abzugeben.]</w:t>
      </w:r>
    </w:p>
    <w:p w14:paraId="00CF2F7F" w14:textId="77777777" w:rsidR="00FE32FD" w:rsidRPr="004676F5" w:rsidRDefault="00FE32FD" w:rsidP="00FE32FD">
      <w:pPr>
        <w:jc w:val="both"/>
        <w:rPr>
          <w:lang w:val="de-DE"/>
        </w:rPr>
      </w:pPr>
    </w:p>
    <w:p w14:paraId="225D15B6" w14:textId="3C62A936" w:rsidR="00FE32FD" w:rsidRPr="004676F5" w:rsidRDefault="00FE32FD" w:rsidP="00FE32FD">
      <w:pPr>
        <w:jc w:val="both"/>
        <w:rPr>
          <w:i/>
          <w:iCs/>
          <w:lang w:val="de-DE"/>
        </w:rPr>
      </w:pPr>
      <w:r w:rsidRPr="004676F5">
        <w:rPr>
          <w:i/>
          <w:iCs/>
          <w:lang w:val="de-DE"/>
        </w:rPr>
        <w:t>[Art. XVII</w:t>
      </w:r>
      <w:r w:rsidR="00C94E46" w:rsidRPr="004676F5">
        <w:rPr>
          <w:i/>
          <w:iCs/>
          <w:lang w:val="de-DE"/>
        </w:rPr>
        <w:t>.</w:t>
      </w:r>
      <w:r w:rsidRPr="004676F5">
        <w:rPr>
          <w:i/>
          <w:iCs/>
          <w:lang w:val="de-DE"/>
        </w:rPr>
        <w:t>34/2 eingefügt durch Art. 90 des G. vom 19. Juni 2022 (B.S. vom 1. August 2022)]</w:t>
      </w:r>
    </w:p>
    <w:p w14:paraId="3931E44B" w14:textId="77777777" w:rsidR="00FE32FD" w:rsidRPr="004676F5" w:rsidRDefault="00FE32FD" w:rsidP="00FE32FD">
      <w:pPr>
        <w:jc w:val="both"/>
        <w:rPr>
          <w:lang w:val="de-DE"/>
        </w:rPr>
      </w:pPr>
    </w:p>
    <w:p w14:paraId="5F5E80CD" w14:textId="77777777" w:rsidR="00FE32FD" w:rsidRPr="004676F5" w:rsidRDefault="00FE32FD" w:rsidP="00FE32FD">
      <w:pPr>
        <w:jc w:val="both"/>
        <w:rPr>
          <w:lang w:val="de-DE"/>
        </w:rPr>
      </w:pPr>
    </w:p>
    <w:p w14:paraId="45B9FBD7" w14:textId="3683CADA" w:rsidR="00FE32FD" w:rsidRPr="004676F5" w:rsidRDefault="00FE32FD" w:rsidP="00FE32FD">
      <w:pPr>
        <w:jc w:val="both"/>
        <w:rPr>
          <w:lang w:val="de-DE"/>
        </w:rPr>
      </w:pPr>
      <w:r w:rsidRPr="004676F5">
        <w:rPr>
          <w:lang w:val="de-DE"/>
        </w:rPr>
        <w:tab/>
        <w:t>[</w:t>
      </w:r>
      <w:r w:rsidRPr="004676F5">
        <w:rPr>
          <w:b/>
          <w:bCs/>
          <w:lang w:val="de-DE"/>
        </w:rPr>
        <w:t>Art. XVII.34/3</w:t>
      </w:r>
      <w:r w:rsidRPr="004676F5">
        <w:rPr>
          <w:lang w:val="de-DE"/>
        </w:rPr>
        <w:t> </w:t>
      </w:r>
      <w:r w:rsidR="005B7A5C" w:rsidRPr="004676F5">
        <w:rPr>
          <w:lang w:val="de-DE"/>
        </w:rPr>
        <w:t>- </w:t>
      </w:r>
      <w:r w:rsidRPr="004676F5">
        <w:rPr>
          <w:lang w:val="de-DE"/>
        </w:rPr>
        <w:t xml:space="preserve">§ 1 ­ Der König wird beauftragt, einen Dienst zur Bekämpfung von Online-Verletzungen des Urheberrechts und verwandter Schutzrechte </w:t>
      </w:r>
      <w:r w:rsidR="00C67179" w:rsidRPr="004676F5">
        <w:rPr>
          <w:lang w:val="de-DE"/>
        </w:rPr>
        <w:t xml:space="preserve">[und zur Bekämpfung des illegalen Betriebs von Online-Glücksspielen] </w:t>
      </w:r>
      <w:r w:rsidRPr="004676F5">
        <w:rPr>
          <w:lang w:val="de-DE"/>
        </w:rPr>
        <w:t>einzurichten. Er bestimmt seine Arbeitsweise und Organisation.</w:t>
      </w:r>
    </w:p>
    <w:p w14:paraId="0AFF478B" w14:textId="77777777" w:rsidR="00FE32FD" w:rsidRPr="004676F5" w:rsidRDefault="00FE32FD" w:rsidP="00FE32FD">
      <w:pPr>
        <w:jc w:val="both"/>
        <w:rPr>
          <w:lang w:val="de-DE"/>
        </w:rPr>
      </w:pPr>
    </w:p>
    <w:p w14:paraId="7E684A34" w14:textId="77777777" w:rsidR="00FE32FD" w:rsidRPr="004676F5" w:rsidRDefault="00FE32FD" w:rsidP="00FE32FD">
      <w:pPr>
        <w:jc w:val="both"/>
        <w:rPr>
          <w:lang w:val="de-DE"/>
        </w:rPr>
      </w:pPr>
      <w:r w:rsidRPr="004676F5">
        <w:rPr>
          <w:lang w:val="de-DE"/>
        </w:rPr>
        <w:tab/>
        <w:t>§ 2 ­ Gemäß Artikel XVII.34/1 § 9 kann der in § 1 erwähnte Dienst vom Präsidenten des Unternehmensgerichts ermächtigt werden, die Modalitäten der Anwendung der vorläufigen Maßnahmen festzulegen.</w:t>
      </w:r>
    </w:p>
    <w:p w14:paraId="01F39B44" w14:textId="77777777" w:rsidR="00FE32FD" w:rsidRPr="004676F5" w:rsidRDefault="00FE32FD" w:rsidP="00FE32FD">
      <w:pPr>
        <w:jc w:val="both"/>
        <w:rPr>
          <w:lang w:val="de-DE"/>
        </w:rPr>
      </w:pPr>
    </w:p>
    <w:p w14:paraId="7998223E" w14:textId="77777777" w:rsidR="00FE32FD" w:rsidRPr="004676F5" w:rsidRDefault="00FE32FD" w:rsidP="00FE32FD">
      <w:pPr>
        <w:jc w:val="both"/>
        <w:rPr>
          <w:lang w:val="de-DE"/>
        </w:rPr>
      </w:pPr>
      <w:r w:rsidRPr="004676F5">
        <w:rPr>
          <w:lang w:val="de-DE"/>
        </w:rPr>
        <w:tab/>
        <w:t>Bevor der Dienst die Anwendungsmodalitäten festlegt, kann er eine Anhörung der von den vorläufigen Maßnahmen betroffenen Parteien organisieren.</w:t>
      </w:r>
    </w:p>
    <w:p w14:paraId="5C669A9D" w14:textId="77777777" w:rsidR="00FE32FD" w:rsidRPr="004676F5" w:rsidRDefault="00FE32FD" w:rsidP="00FE32FD">
      <w:pPr>
        <w:jc w:val="both"/>
        <w:rPr>
          <w:lang w:val="de-DE"/>
        </w:rPr>
      </w:pPr>
    </w:p>
    <w:p w14:paraId="67464DC7" w14:textId="77777777" w:rsidR="00FE32FD" w:rsidRPr="004676F5" w:rsidRDefault="00FE32FD" w:rsidP="00FE32FD">
      <w:pPr>
        <w:jc w:val="both"/>
        <w:rPr>
          <w:lang w:val="de-DE"/>
        </w:rPr>
      </w:pPr>
      <w:r w:rsidRPr="004676F5">
        <w:rPr>
          <w:lang w:val="de-DE"/>
        </w:rPr>
        <w:tab/>
        <w:t>Binnen drei Werktagen, gerechnet ab dem Tag, an dem der Dienst von dem Beschluss Kenntnis erhalten hat, kann er den betroffenen Parteien gegebenenfalls per E-Mail einen Entwurf der Anwendungsmodalitäten übermitteln. Wenn sie es für notwendig erachten, können die betroffenen Parteien dem Dienst binnen drei Werktagen, gerechnet ab dem Tag, an dem der Dienst den Entwurf der Anwendungsmodalitäten übermittelt hat, per E-Mail ihre Anmerkungen zu dem Entwurf mitteilen. Vorbehaltlich außergewöhnlicher Umstände teilt der Dienst den von den vorläufigen Maßnahmen betroffenen Parteien innerhalb einer Frist von höchstens drei Werktagen ab dem Tag, an dem ihm die Anmerkungen der betroffenen Parteien übermittelt wurden, oder mangels Anmerkungen ab Ablauf der Frist, die den betroffenen Parteien eingeräumt wurde, um sich zu äußern, die endgültigen Anwendungsmodalitäten mit.</w:t>
      </w:r>
    </w:p>
    <w:p w14:paraId="0F22B5D8" w14:textId="77777777" w:rsidR="00FE32FD" w:rsidRPr="004676F5" w:rsidRDefault="00FE32FD" w:rsidP="00FE32FD">
      <w:pPr>
        <w:jc w:val="both"/>
        <w:rPr>
          <w:lang w:val="de-DE"/>
        </w:rPr>
      </w:pPr>
    </w:p>
    <w:p w14:paraId="41A6DE2F" w14:textId="77777777" w:rsidR="00FE32FD" w:rsidRPr="004676F5" w:rsidRDefault="00FE32FD" w:rsidP="00FE32FD">
      <w:pPr>
        <w:jc w:val="both"/>
        <w:rPr>
          <w:lang w:val="de-DE"/>
        </w:rPr>
      </w:pPr>
      <w:r w:rsidRPr="004676F5">
        <w:rPr>
          <w:lang w:val="de-DE"/>
        </w:rPr>
        <w:tab/>
        <w:t>Wenn der Dienst die Modalitäten der Anwendung der vorläufigen Maßnahmen festlegt, die von den Adressaten des Beschlusses umzusetzen sind, berücksichtigt er die Grundrechte und -freiheiten des/der Adressaten und anderer Personen, die von den vorläufigen Maßnahmen betroffen sein können.</w:t>
      </w:r>
    </w:p>
    <w:p w14:paraId="39A68C30" w14:textId="77777777" w:rsidR="00FE32FD" w:rsidRPr="004676F5" w:rsidRDefault="00FE32FD" w:rsidP="00FE32FD">
      <w:pPr>
        <w:jc w:val="both"/>
        <w:rPr>
          <w:lang w:val="de-DE"/>
        </w:rPr>
      </w:pPr>
    </w:p>
    <w:p w14:paraId="455CE27B" w14:textId="77777777" w:rsidR="00FE32FD" w:rsidRPr="004676F5" w:rsidRDefault="00FE32FD" w:rsidP="00FE32FD">
      <w:pPr>
        <w:jc w:val="both"/>
        <w:rPr>
          <w:lang w:val="de-DE"/>
        </w:rPr>
      </w:pPr>
      <w:r w:rsidRPr="004676F5">
        <w:rPr>
          <w:lang w:val="de-DE"/>
        </w:rPr>
        <w:tab/>
        <w:t>Die in Anwendung der Absätze 1 bis 4 getroffenen Entscheidungen des Dienstes werden innerhalb einer Frist von fünf Werktagen ab dem Datum der Entscheidung auf der Website des FÖD Wirtschaft bekanntgemacht. Entscheidungen werden ebenfalls innerhalb derselben Frist an den/die Adressaten weitergeleitet, wenn möglich per E-Mail.</w:t>
      </w:r>
    </w:p>
    <w:p w14:paraId="176968BF" w14:textId="77777777" w:rsidR="00FE32FD" w:rsidRPr="004676F5" w:rsidRDefault="00FE32FD" w:rsidP="00FE32FD">
      <w:pPr>
        <w:jc w:val="both"/>
        <w:rPr>
          <w:lang w:val="de-DE"/>
        </w:rPr>
      </w:pPr>
    </w:p>
    <w:p w14:paraId="41E4159E" w14:textId="77777777" w:rsidR="00FE32FD" w:rsidRPr="004676F5" w:rsidRDefault="00FE32FD" w:rsidP="00FE32FD">
      <w:pPr>
        <w:jc w:val="both"/>
        <w:rPr>
          <w:lang w:val="de-DE"/>
        </w:rPr>
      </w:pPr>
      <w:r w:rsidRPr="004676F5">
        <w:rPr>
          <w:lang w:val="de-DE"/>
        </w:rPr>
        <w:tab/>
        <w:t xml:space="preserve">Innerhalb dreißig Tagen ab der in Absatz 5 erwähnten Bekanntmachung kann ein Interessehabender, eine in Artikel 17 Absatz 2 des Gerichtsgesetzbuches erwähnte juristische Person und eine öffentliche Einrichtung, die die gleichen Zwecke wie die in Artikel 17 Absatz 2 des Gerichtsgesetzbuches erwähnten juristischen Personen verfolgt, die Entscheidung des Dienstes anfechten. Die Anfechtung wird durch Vorladung der juristischen Person, der der Dienst untersteht, und des Rechtsinhabers, der die ursprüngliche Klage eingereicht hatte, ausschließlich vor den Richter gebracht, der den Beschluss mit den vorläufigen Maßnahmen erlassen hat, deren Anwendungsmodalitäten der Dienst näher bestimmt oder angepasst hat. </w:t>
      </w:r>
    </w:p>
    <w:p w14:paraId="661E2B02" w14:textId="77777777" w:rsidR="00FE32FD" w:rsidRPr="004676F5" w:rsidRDefault="00FE32FD" w:rsidP="00FE32FD">
      <w:pPr>
        <w:jc w:val="both"/>
        <w:rPr>
          <w:lang w:val="de-DE"/>
        </w:rPr>
      </w:pPr>
    </w:p>
    <w:p w14:paraId="2E64D90C" w14:textId="282A22D3" w:rsidR="00FE32FD" w:rsidRPr="004676F5" w:rsidRDefault="00FE32FD" w:rsidP="00FE32FD">
      <w:pPr>
        <w:jc w:val="both"/>
        <w:rPr>
          <w:lang w:val="de-DE"/>
        </w:rPr>
      </w:pPr>
      <w:r w:rsidRPr="004676F5">
        <w:rPr>
          <w:lang w:val="de-DE"/>
        </w:rPr>
        <w:tab/>
        <w:t xml:space="preserve">§ 3 ­ Ein Interessehabender, eine in Artikel 17 Absatz 2 des Gerichtsgesetzbuches erwähnte juristische Person und eine öffentliche Einrichtung, die die gleichen Zwecke wie die in Artikel 17 Absatz 2 des Gerichtsgesetzbuches erwähnten juristischen Personen verfolgt, kann beim Dienst eine Änderung der Umsetzung des Beschlusses mit den vorläufigen Maßnahmen beantragen </w:t>
      </w:r>
      <w:r w:rsidR="005B7A5C" w:rsidRPr="004676F5">
        <w:rPr>
          <w:lang w:val="de-DE"/>
        </w:rPr>
        <w:t>- </w:t>
      </w:r>
      <w:r w:rsidRPr="004676F5">
        <w:rPr>
          <w:lang w:val="de-DE"/>
        </w:rPr>
        <w:t>unter anderem wenn er/sie der Ansicht ist, dass die Anwendungs</w:t>
      </w:r>
      <w:r w:rsidRPr="004676F5">
        <w:rPr>
          <w:lang w:val="de-DE"/>
        </w:rPr>
        <w:softHyphen/>
        <w:t>modalitäten Grundrechte und -freiheiten ungebührlich verletzen </w:t>
      </w:r>
      <w:r w:rsidR="005B7A5C" w:rsidRPr="004676F5">
        <w:rPr>
          <w:lang w:val="de-DE"/>
        </w:rPr>
        <w:t>- </w:t>
      </w:r>
      <w:r w:rsidRPr="004676F5">
        <w:rPr>
          <w:lang w:val="de-DE"/>
        </w:rPr>
        <w:t>oder ihre Anpassung, um ihre Wirksamkeit zu gewährleisten. Mit Gründen versehene Anträge werden per Einschreibesendung an den Dienst gerichtet.</w:t>
      </w:r>
    </w:p>
    <w:p w14:paraId="6DE77BB8" w14:textId="77777777" w:rsidR="00FE32FD" w:rsidRPr="004676F5" w:rsidRDefault="00FE32FD" w:rsidP="00FE32FD">
      <w:pPr>
        <w:jc w:val="both"/>
        <w:rPr>
          <w:lang w:val="de-DE"/>
        </w:rPr>
      </w:pPr>
    </w:p>
    <w:p w14:paraId="6482444B" w14:textId="77777777" w:rsidR="00FE32FD" w:rsidRPr="004676F5" w:rsidRDefault="00FE32FD" w:rsidP="00FE32FD">
      <w:pPr>
        <w:jc w:val="both"/>
        <w:rPr>
          <w:lang w:val="de-DE"/>
        </w:rPr>
      </w:pPr>
      <w:r w:rsidRPr="004676F5">
        <w:rPr>
          <w:lang w:val="de-DE"/>
        </w:rPr>
        <w:tab/>
        <w:t>Im Falle eines Antrags wie in Absatz 1 erwähnt wird das in § 2 Absatz 6 erwähnte Verfahren ausgesetzt, sofern beide Verfahren denselben Gegenstand haben. Der Dienst setzt die Kanzlei des Präsidenten des Unternehmensgerichts per E-Mail von den in Absatz 1 erwähnten Anträgen in Kenntnis.</w:t>
      </w:r>
    </w:p>
    <w:p w14:paraId="7482D439" w14:textId="77777777" w:rsidR="00FE32FD" w:rsidRPr="004676F5" w:rsidRDefault="00FE32FD" w:rsidP="00FE32FD">
      <w:pPr>
        <w:jc w:val="both"/>
        <w:rPr>
          <w:lang w:val="de-DE"/>
        </w:rPr>
      </w:pPr>
    </w:p>
    <w:p w14:paraId="5A148CE3" w14:textId="117AA02C" w:rsidR="00FE32FD" w:rsidRPr="004676F5" w:rsidRDefault="00FE32FD" w:rsidP="00FE32FD">
      <w:pPr>
        <w:jc w:val="both"/>
        <w:rPr>
          <w:lang w:val="de-DE"/>
        </w:rPr>
      </w:pPr>
      <w:r w:rsidRPr="004676F5">
        <w:rPr>
          <w:lang w:val="de-DE"/>
        </w:rPr>
        <w:tab/>
        <w:t>§ 4 </w:t>
      </w:r>
      <w:r w:rsidR="005B7A5C" w:rsidRPr="004676F5">
        <w:rPr>
          <w:lang w:val="de-DE"/>
        </w:rPr>
        <w:t>- </w:t>
      </w:r>
      <w:r w:rsidRPr="004676F5">
        <w:rPr>
          <w:lang w:val="de-DE"/>
        </w:rPr>
        <w:t>Gemäß Artikel XVII.34/1 § 8 Absatz 3 kann der in § 1 erwähnte Dienst vom Präsidenten des Unternehmensgerichts beauftragt werden, die in Artikel XVII.34/1 § 8 Absatz 2 erwähnten Websites zu ermitteln und dem/den Adressaten der Maßnahmen eine aktualisierte Liste dieser Websites zu übermitteln.</w:t>
      </w:r>
    </w:p>
    <w:p w14:paraId="616DB5CE" w14:textId="77777777" w:rsidR="00FE32FD" w:rsidRPr="004676F5" w:rsidRDefault="00FE32FD" w:rsidP="00FE32FD">
      <w:pPr>
        <w:jc w:val="both"/>
        <w:rPr>
          <w:lang w:val="de-DE"/>
        </w:rPr>
      </w:pPr>
    </w:p>
    <w:p w14:paraId="48E49BC4" w14:textId="710ECF80" w:rsidR="00FE32FD" w:rsidRPr="004676F5" w:rsidRDefault="00FE32FD" w:rsidP="00FE32FD">
      <w:pPr>
        <w:jc w:val="both"/>
        <w:rPr>
          <w:lang w:val="de-DE"/>
        </w:rPr>
      </w:pPr>
      <w:r w:rsidRPr="004676F5">
        <w:rPr>
          <w:lang w:val="de-DE"/>
        </w:rPr>
        <w:tab/>
        <w:t>§ 5 </w:t>
      </w:r>
      <w:r w:rsidR="005B7A5C" w:rsidRPr="004676F5">
        <w:rPr>
          <w:lang w:val="de-DE"/>
        </w:rPr>
        <w:t>- </w:t>
      </w:r>
      <w:r w:rsidRPr="004676F5">
        <w:rPr>
          <w:lang w:val="de-DE"/>
        </w:rPr>
        <w:t>Hält der in § 1 erwähnte Dienst Ausführungsmaßnahmen, die von Adressaten eines gemäß Artikel XVII.34/1 ergangenen Beschlusses getroffen werden, für unzureichend, übertrieben oder überholt, so ruft er gemäß dieser Bestimmung den Präsidenten des Unternehmensgerichts an, um den Beschluss oder Maßnahmen zur Umsetzung dieses Beschlusses zurückzunehmen oder zu ändern.</w:t>
      </w:r>
    </w:p>
    <w:p w14:paraId="053898AE" w14:textId="77777777" w:rsidR="00FE32FD" w:rsidRPr="004676F5" w:rsidRDefault="00FE32FD" w:rsidP="00FE32FD">
      <w:pPr>
        <w:jc w:val="both"/>
        <w:rPr>
          <w:lang w:val="de-DE"/>
        </w:rPr>
      </w:pPr>
    </w:p>
    <w:p w14:paraId="674602F5" w14:textId="11A6575F" w:rsidR="00FE32FD" w:rsidRPr="004676F5" w:rsidRDefault="00FE32FD" w:rsidP="00FE32FD">
      <w:pPr>
        <w:jc w:val="both"/>
        <w:rPr>
          <w:lang w:val="de-DE"/>
        </w:rPr>
      </w:pPr>
      <w:r w:rsidRPr="004676F5">
        <w:rPr>
          <w:lang w:val="de-DE"/>
        </w:rPr>
        <w:tab/>
        <w:t>§ 6 </w:t>
      </w:r>
      <w:r w:rsidR="005B7A5C" w:rsidRPr="004676F5">
        <w:rPr>
          <w:lang w:val="de-DE"/>
        </w:rPr>
        <w:t>- </w:t>
      </w:r>
      <w:r w:rsidRPr="004676F5">
        <w:rPr>
          <w:lang w:val="de-DE"/>
        </w:rPr>
        <w:t>Der in § 1 erwähnte Dienst erstellt eine Liste der Websites und sonstigen digitalen Inhalte, die Gegenstand vorläufiger Maßnahmen gemäß Artikel XVII.34/1 sind</w:t>
      </w:r>
      <w:r w:rsidR="00C67179" w:rsidRPr="004676F5">
        <w:rPr>
          <w:lang w:val="de-DE"/>
        </w:rPr>
        <w:t>[, die auf einer Online-Verletzung des Urheberrechts, eines verwandten Schutzrechts oder des Rechts eines Herstellers von Daten-banken beruhen]</w:t>
      </w:r>
      <w:r w:rsidRPr="004676F5">
        <w:rPr>
          <w:lang w:val="de-DE"/>
        </w:rPr>
        <w:t>.</w:t>
      </w:r>
    </w:p>
    <w:p w14:paraId="03EC503E" w14:textId="77777777" w:rsidR="00FE32FD" w:rsidRPr="004676F5" w:rsidRDefault="00FE32FD" w:rsidP="00FE32FD">
      <w:pPr>
        <w:jc w:val="both"/>
        <w:rPr>
          <w:lang w:val="de-DE"/>
        </w:rPr>
      </w:pPr>
    </w:p>
    <w:p w14:paraId="1BCF08D5" w14:textId="77777777" w:rsidR="00FE32FD" w:rsidRPr="004676F5" w:rsidRDefault="00FE32FD" w:rsidP="00FE32FD">
      <w:pPr>
        <w:jc w:val="both"/>
        <w:rPr>
          <w:lang w:val="de-DE"/>
        </w:rPr>
      </w:pPr>
      <w:r w:rsidRPr="004676F5">
        <w:rPr>
          <w:lang w:val="de-DE"/>
        </w:rPr>
        <w:tab/>
        <w:t>Er macht diese Liste durch Zurverfügungstellung auf der Website des FÖD Wirtschaft bekannt und aktualisiert sie innerhalb einer Frist von höchstens acht Werktagen ab Erhalt einer in Anwendung von Artikel XVII.34/1 ergangenen Entscheidung.</w:t>
      </w:r>
    </w:p>
    <w:p w14:paraId="70929098" w14:textId="77777777" w:rsidR="00FE32FD" w:rsidRPr="004676F5" w:rsidRDefault="00FE32FD" w:rsidP="00FE32FD">
      <w:pPr>
        <w:jc w:val="both"/>
        <w:rPr>
          <w:lang w:val="de-DE"/>
        </w:rPr>
      </w:pPr>
    </w:p>
    <w:p w14:paraId="41C2006B" w14:textId="509FEB89" w:rsidR="00FE32FD" w:rsidRPr="004676F5" w:rsidRDefault="00FE32FD" w:rsidP="00FE32FD">
      <w:pPr>
        <w:jc w:val="both"/>
        <w:rPr>
          <w:lang w:val="de-DE"/>
        </w:rPr>
      </w:pPr>
      <w:r w:rsidRPr="004676F5">
        <w:rPr>
          <w:lang w:val="de-DE"/>
        </w:rPr>
        <w:lastRenderedPageBreak/>
        <w:tab/>
        <w:t>§ 7 </w:t>
      </w:r>
      <w:r w:rsidR="005B7A5C" w:rsidRPr="004676F5">
        <w:rPr>
          <w:lang w:val="de-DE"/>
        </w:rPr>
        <w:t>- </w:t>
      </w:r>
      <w:r w:rsidRPr="004676F5">
        <w:rPr>
          <w:lang w:val="de-DE"/>
        </w:rPr>
        <w:t>Der in § 1 erwähnte Dienst kann eine indikative Liste von Websites erstellen, die geschützte Werke und Leistungen rechtmäßig der Öffentlichkeit zugänglich machen. Für Beschwerden gegen Entscheidungen des Dienstes, die im Rahmen des vorliegenden Paragraphen getroffen werden, ist ausschließlich der Präsident des Unternehmensgerichts zuständig.</w:t>
      </w:r>
    </w:p>
    <w:p w14:paraId="4A96E39C" w14:textId="77777777" w:rsidR="00FE32FD" w:rsidRPr="004676F5" w:rsidRDefault="00FE32FD" w:rsidP="00FE32FD">
      <w:pPr>
        <w:jc w:val="both"/>
        <w:rPr>
          <w:lang w:val="de-DE"/>
        </w:rPr>
      </w:pPr>
    </w:p>
    <w:p w14:paraId="19A6B03D" w14:textId="44E3DBE5" w:rsidR="00FE32FD" w:rsidRPr="004676F5" w:rsidRDefault="00FE32FD" w:rsidP="00FE32FD">
      <w:pPr>
        <w:jc w:val="both"/>
        <w:rPr>
          <w:lang w:val="de-DE"/>
        </w:rPr>
      </w:pPr>
      <w:r w:rsidRPr="004676F5">
        <w:rPr>
          <w:lang w:val="de-DE"/>
        </w:rPr>
        <w:tab/>
        <w:t>§ 8 </w:t>
      </w:r>
      <w:r w:rsidR="005B7A5C" w:rsidRPr="004676F5">
        <w:rPr>
          <w:lang w:val="de-DE"/>
        </w:rPr>
        <w:t>- </w:t>
      </w:r>
      <w:r w:rsidRPr="004676F5">
        <w:rPr>
          <w:lang w:val="de-DE"/>
        </w:rPr>
        <w:t>Außerhalb der in § 2 Absatz 1 erwähnten Ermächtigung kann der in § 1 erwähnte Dienst auf Antrag des Präsidenten des Unternehmensgerichts, des/der Adressaten der vorläufigen Maßnahmen oder einer Interesse habenden Partei eine Stellungnahme zu den Ausführungsmaßnahmen abgeben, die von dem/den Adressaten eines Beschlusses ergriffen werden sollten, um eine Online-Verletzung eines Urheberrechts oder verwandten Schutzrechts</w:t>
      </w:r>
      <w:r w:rsidR="00C67179" w:rsidRPr="004676F5">
        <w:rPr>
          <w:lang w:val="de-DE"/>
        </w:rPr>
        <w:t xml:space="preserve"> [oder den illegalen Betrieb von Online-Glücksspielen wie vom Präsidenten des Unternehmensgerichts in Anwendung von Artikel XVII.34/1 festgestellt]</w:t>
      </w:r>
      <w:r w:rsidRPr="004676F5">
        <w:rPr>
          <w:lang w:val="de-DE"/>
        </w:rPr>
        <w:t>, zu beenden oder zu verhindern.</w:t>
      </w:r>
    </w:p>
    <w:p w14:paraId="2FFA98A6" w14:textId="77777777" w:rsidR="00C67179" w:rsidRPr="004676F5" w:rsidRDefault="00C67179" w:rsidP="00FE32FD">
      <w:pPr>
        <w:jc w:val="both"/>
        <w:rPr>
          <w:lang w:val="de-DE"/>
        </w:rPr>
      </w:pPr>
    </w:p>
    <w:p w14:paraId="25B2DA41" w14:textId="47C37CD2" w:rsidR="00C67179" w:rsidRPr="004676F5" w:rsidRDefault="00C67179" w:rsidP="00FE32FD">
      <w:pPr>
        <w:jc w:val="both"/>
        <w:rPr>
          <w:lang w:val="de-DE"/>
        </w:rPr>
      </w:pPr>
      <w:r w:rsidRPr="004676F5">
        <w:rPr>
          <w:lang w:val="de-DE"/>
        </w:rPr>
        <w:tab/>
        <w:t>[Der in § 1 erwähnte Dienst kann hinsichtlich des illegalen Betriebs von Online-Glücksspielen die Stellungnahme der durch Artikel 9 des Gesetzes vom 7. Mai 1999 über die Glücksspiele, die Wetten, die Glücksspieleinrichtungen und den Schutz der Spieler eingesetzten Kommission für Glücksspiele einholen, die innerhalb fünfzehn Tagen nach Eingang des Antrags antwortet.]</w:t>
      </w:r>
    </w:p>
    <w:p w14:paraId="2AC3E276" w14:textId="77777777" w:rsidR="00FE32FD" w:rsidRPr="004676F5" w:rsidRDefault="00FE32FD" w:rsidP="00FE32FD">
      <w:pPr>
        <w:jc w:val="both"/>
        <w:rPr>
          <w:lang w:val="de-DE"/>
        </w:rPr>
      </w:pPr>
    </w:p>
    <w:p w14:paraId="37D39B97" w14:textId="62A1A866" w:rsidR="00FE32FD" w:rsidRPr="004676F5" w:rsidRDefault="00FE32FD" w:rsidP="00FE32FD">
      <w:pPr>
        <w:jc w:val="both"/>
        <w:rPr>
          <w:lang w:val="de-DE"/>
        </w:rPr>
      </w:pPr>
      <w:r w:rsidRPr="004676F5">
        <w:rPr>
          <w:lang w:val="de-DE"/>
        </w:rPr>
        <w:tab/>
        <w:t>§ 9 </w:t>
      </w:r>
      <w:r w:rsidR="005B7A5C" w:rsidRPr="004676F5">
        <w:rPr>
          <w:lang w:val="de-DE"/>
        </w:rPr>
        <w:t>- </w:t>
      </w:r>
      <w:r w:rsidRPr="004676F5">
        <w:rPr>
          <w:lang w:val="de-DE"/>
        </w:rPr>
        <w:t>Der in § 1 erwähnte Dienst kann die Selbstregulierung fördern, indem er ein Diskussionsforum für die verschiedenen beteiligten Parteien bietet, die bei der Bekämpfung von Verletzungen des Urheberrechts, der verwandten Schutzrechte und des Rechts der Hersteller von Datenbanken behilflich sein können, einschließlich der Anbieter von Diensten der Informationsgesellschaft und der Vertreter der Inhaber von Urheberrechten und verwandten Schutzrechten.</w:t>
      </w:r>
    </w:p>
    <w:p w14:paraId="4C04B7B6" w14:textId="6C810395" w:rsidR="00FE32FD" w:rsidRPr="004676F5" w:rsidRDefault="00FE32FD" w:rsidP="00FE32FD">
      <w:pPr>
        <w:jc w:val="both"/>
        <w:rPr>
          <w:lang w:val="de-DE"/>
        </w:rPr>
      </w:pPr>
    </w:p>
    <w:p w14:paraId="6C08A25F" w14:textId="77777777" w:rsidR="00FE32FD" w:rsidRPr="004676F5" w:rsidRDefault="00FE32FD" w:rsidP="00FE32FD">
      <w:pPr>
        <w:jc w:val="both"/>
        <w:rPr>
          <w:lang w:val="de-DE"/>
        </w:rPr>
      </w:pPr>
      <w:r w:rsidRPr="004676F5">
        <w:rPr>
          <w:lang w:val="de-DE"/>
        </w:rPr>
        <w:tab/>
        <w:t>Zu diesem Zweck kann der Dienst:</w:t>
      </w:r>
    </w:p>
    <w:p w14:paraId="224A0DE0" w14:textId="77777777" w:rsidR="00FE32FD" w:rsidRPr="004676F5" w:rsidRDefault="00FE32FD" w:rsidP="00FE32FD">
      <w:pPr>
        <w:jc w:val="both"/>
        <w:rPr>
          <w:lang w:val="de-DE"/>
        </w:rPr>
      </w:pPr>
    </w:p>
    <w:p w14:paraId="0E030B7E" w14:textId="77777777" w:rsidR="00FE32FD" w:rsidRPr="004676F5" w:rsidRDefault="00FE32FD" w:rsidP="00FE32FD">
      <w:pPr>
        <w:jc w:val="both"/>
        <w:rPr>
          <w:lang w:val="de-DE"/>
        </w:rPr>
      </w:pPr>
      <w:r w:rsidRPr="004676F5">
        <w:rPr>
          <w:lang w:val="de-DE"/>
        </w:rPr>
        <w:tab/>
        <w:t>1. die beteiligten Parteien dazu bringen, sich zu beraten, um einen Aktionsplan zu beschließen und/oder Vereinbarungen untereinander zu treffen, um Online-Verletzungen des Urheberrechts und verwandter Schutzrechte zu bekämpfen. An diesem Konzertierungs</w:t>
      </w:r>
      <w:r w:rsidRPr="004676F5">
        <w:rPr>
          <w:lang w:val="de-DE"/>
        </w:rPr>
        <w:softHyphen/>
        <w:t>verfahren nehmen zumindest Vertreter der Behörden, der Rechtsinhaber, der Anbieter von Diensten der Informationsgesellschaft und der Adressaten der betreffenden Dienste teil,</w:t>
      </w:r>
    </w:p>
    <w:p w14:paraId="25DC8E55" w14:textId="77777777" w:rsidR="00FE32FD" w:rsidRPr="004676F5" w:rsidRDefault="00FE32FD" w:rsidP="00FE32FD">
      <w:pPr>
        <w:jc w:val="both"/>
        <w:rPr>
          <w:lang w:val="de-DE"/>
        </w:rPr>
      </w:pPr>
    </w:p>
    <w:p w14:paraId="194D1724" w14:textId="77777777" w:rsidR="00FE32FD" w:rsidRPr="004676F5" w:rsidRDefault="00FE32FD" w:rsidP="00FE32FD">
      <w:pPr>
        <w:jc w:val="both"/>
        <w:rPr>
          <w:lang w:val="de-DE"/>
        </w:rPr>
      </w:pPr>
      <w:r w:rsidRPr="004676F5">
        <w:rPr>
          <w:lang w:val="de-DE"/>
        </w:rPr>
        <w:tab/>
        <w:t>2. gemäß einem vom König festgelegten Verfahren Vereinbarungen darüber treffen, wie Online-Verletzungen des Urheberrechts und verwandter Schutzrechte am besten bekämpft werden können.</w:t>
      </w:r>
    </w:p>
    <w:p w14:paraId="3D7D85C3" w14:textId="77777777" w:rsidR="00FE32FD" w:rsidRPr="004676F5" w:rsidRDefault="00FE32FD" w:rsidP="00FE32FD">
      <w:pPr>
        <w:jc w:val="both"/>
        <w:rPr>
          <w:lang w:val="de-DE"/>
        </w:rPr>
      </w:pPr>
    </w:p>
    <w:p w14:paraId="138160D6" w14:textId="77777777" w:rsidR="00FE32FD" w:rsidRPr="004676F5" w:rsidRDefault="00FE32FD" w:rsidP="00FE32FD">
      <w:pPr>
        <w:jc w:val="both"/>
        <w:rPr>
          <w:lang w:val="de-DE"/>
        </w:rPr>
      </w:pPr>
      <w:r w:rsidRPr="004676F5">
        <w:rPr>
          <w:lang w:val="de-DE"/>
        </w:rPr>
        <w:tab/>
        <w:t>In den Nummern 1 und 2 erwähnte Vereinbarungen können durch Königlichen Erlass Dritten gegenüber für verbindlich erklärt werden.</w:t>
      </w:r>
    </w:p>
    <w:p w14:paraId="656CA0CC" w14:textId="77777777" w:rsidR="00FE32FD" w:rsidRPr="004676F5" w:rsidRDefault="00FE32FD" w:rsidP="00FE32FD">
      <w:pPr>
        <w:jc w:val="both"/>
        <w:rPr>
          <w:lang w:val="de-DE"/>
        </w:rPr>
      </w:pPr>
    </w:p>
    <w:p w14:paraId="13618EA6" w14:textId="4343068B" w:rsidR="00FE32FD" w:rsidRPr="004676F5" w:rsidRDefault="00FE32FD" w:rsidP="00FE32FD">
      <w:pPr>
        <w:jc w:val="both"/>
        <w:rPr>
          <w:lang w:val="de-DE"/>
        </w:rPr>
      </w:pPr>
      <w:r w:rsidRPr="004676F5">
        <w:rPr>
          <w:lang w:val="de-DE"/>
        </w:rPr>
        <w:tab/>
        <w:t>§ 10 </w:t>
      </w:r>
      <w:r w:rsidR="005B7A5C" w:rsidRPr="004676F5">
        <w:rPr>
          <w:lang w:val="de-DE"/>
        </w:rPr>
        <w:t>- </w:t>
      </w:r>
      <w:r w:rsidRPr="004676F5">
        <w:rPr>
          <w:lang w:val="de-DE"/>
        </w:rPr>
        <w:t>Der in § 1 erwähnte Dienst gewährleistet die Vertraulichkeit der Angaben, die die Parteien ihm im Rahmen seiner Aufträge übermitteln.</w:t>
      </w:r>
    </w:p>
    <w:p w14:paraId="20AA364C" w14:textId="77777777" w:rsidR="00FE32FD" w:rsidRPr="004676F5" w:rsidRDefault="00FE32FD" w:rsidP="00FE32FD">
      <w:pPr>
        <w:jc w:val="both"/>
        <w:rPr>
          <w:lang w:val="de-DE"/>
        </w:rPr>
      </w:pPr>
    </w:p>
    <w:p w14:paraId="3CF1B9BB" w14:textId="77777777" w:rsidR="00FE32FD" w:rsidRPr="004676F5" w:rsidRDefault="00FE32FD" w:rsidP="00FE32FD">
      <w:pPr>
        <w:jc w:val="both"/>
        <w:rPr>
          <w:lang w:val="de-DE"/>
        </w:rPr>
      </w:pPr>
      <w:r w:rsidRPr="004676F5">
        <w:rPr>
          <w:lang w:val="de-DE"/>
        </w:rPr>
        <w:tab/>
        <w:t>Diese Angaben dürfen nur zum Zweck der Erfüllung dieser Aufträge verarbeitet werden.</w:t>
      </w:r>
    </w:p>
    <w:p w14:paraId="206F16A6" w14:textId="77777777" w:rsidR="00FE32FD" w:rsidRPr="004676F5" w:rsidRDefault="00FE32FD" w:rsidP="00FE32FD">
      <w:pPr>
        <w:jc w:val="both"/>
        <w:rPr>
          <w:lang w:val="de-DE"/>
        </w:rPr>
      </w:pPr>
    </w:p>
    <w:p w14:paraId="60C49E5E" w14:textId="3D70C74F" w:rsidR="00FE32FD" w:rsidRPr="004676F5" w:rsidRDefault="00FE32FD" w:rsidP="00FE32FD">
      <w:pPr>
        <w:jc w:val="both"/>
        <w:rPr>
          <w:lang w:val="de-DE"/>
        </w:rPr>
      </w:pPr>
      <w:r w:rsidRPr="004676F5">
        <w:rPr>
          <w:lang w:val="de-DE"/>
        </w:rPr>
        <w:lastRenderedPageBreak/>
        <w:tab/>
        <w:t>§ 11 </w:t>
      </w:r>
      <w:r w:rsidR="005B7A5C" w:rsidRPr="004676F5">
        <w:rPr>
          <w:lang w:val="de-DE"/>
        </w:rPr>
        <w:t>- </w:t>
      </w:r>
      <w:r w:rsidRPr="004676F5">
        <w:rPr>
          <w:lang w:val="de-DE"/>
        </w:rPr>
        <w:t>Bei der Wahrnehmung ihrer Aufgaben handeln die Mitglieder des in § 1 erwähnten Dienstes vollkommen unabhängig und unparteiisch.]</w:t>
      </w:r>
    </w:p>
    <w:p w14:paraId="247B27A7" w14:textId="77777777" w:rsidR="00FE32FD" w:rsidRPr="004676F5" w:rsidRDefault="00FE32FD" w:rsidP="00FE32FD">
      <w:pPr>
        <w:jc w:val="both"/>
        <w:rPr>
          <w:lang w:val="de-DE"/>
        </w:rPr>
      </w:pPr>
    </w:p>
    <w:p w14:paraId="1ACFDE61" w14:textId="57F1B4E4" w:rsidR="00FE32FD" w:rsidRPr="004676F5" w:rsidRDefault="00FE32FD" w:rsidP="00FE32FD">
      <w:pPr>
        <w:jc w:val="both"/>
        <w:rPr>
          <w:i/>
          <w:iCs/>
          <w:lang w:val="de-DE"/>
        </w:rPr>
      </w:pPr>
      <w:r w:rsidRPr="004676F5">
        <w:rPr>
          <w:i/>
          <w:iCs/>
          <w:lang w:val="de-DE"/>
        </w:rPr>
        <w:t>[Art. XVII</w:t>
      </w:r>
      <w:r w:rsidR="00C94E46" w:rsidRPr="004676F5">
        <w:rPr>
          <w:i/>
          <w:iCs/>
          <w:lang w:val="de-DE"/>
        </w:rPr>
        <w:t>.</w:t>
      </w:r>
      <w:r w:rsidRPr="004676F5">
        <w:rPr>
          <w:i/>
          <w:iCs/>
          <w:lang w:val="de-DE"/>
        </w:rPr>
        <w:t>34/3 eingefügt durch Art. 91 des G. vom 19. Juni 2022 (B.S. vom 1. August 2022)</w:t>
      </w:r>
      <w:r w:rsidR="00C67179" w:rsidRPr="004676F5">
        <w:rPr>
          <w:i/>
          <w:iCs/>
          <w:lang w:val="de-DE"/>
        </w:rPr>
        <w:t>; § 1 abgeändert durch Art. 85 Nr. 1 des G. vom 22. Dezember 2023 (B.S. vom 29. Dezember 2023); § 6 Abs. 1 abgeändert durch Art. 85 Nr. 2 des G. vom 22. Dezember 2023 (B.S. vom 29. Dezember 2023); § 8 Abs. 1 abgeändert durch Art. 85 Nr. 3 des G. vom 22. Dezember 2023 (B.S. vom 29. Dezember 2023); § 8 Abs. 2 eingefügt durch Art. 85 Nr. 4 des G. vom 22. Dezember 2023 (B.S. vom 29. Dezember 2023)</w:t>
      </w:r>
      <w:r w:rsidRPr="004676F5">
        <w:rPr>
          <w:i/>
          <w:iCs/>
          <w:lang w:val="de-DE"/>
        </w:rPr>
        <w:t>]</w:t>
      </w:r>
    </w:p>
    <w:p w14:paraId="3EA282CA" w14:textId="77777777" w:rsidR="00FE32FD" w:rsidRPr="004676F5" w:rsidRDefault="00FE32FD" w:rsidP="00FE32FD">
      <w:pPr>
        <w:jc w:val="both"/>
        <w:rPr>
          <w:lang w:val="de-DE"/>
        </w:rPr>
      </w:pPr>
    </w:p>
    <w:p w14:paraId="6E0700EA" w14:textId="77777777" w:rsidR="00FE32FD" w:rsidRPr="004676F5" w:rsidRDefault="00FE32FD" w:rsidP="00FE32FD">
      <w:pPr>
        <w:jc w:val="both"/>
        <w:rPr>
          <w:lang w:val="de-DE"/>
        </w:rPr>
      </w:pPr>
    </w:p>
    <w:p w14:paraId="1DBAFD48" w14:textId="102B30D9" w:rsidR="00FE32FD" w:rsidRPr="004676F5" w:rsidRDefault="00FE32FD" w:rsidP="00FE32FD">
      <w:pPr>
        <w:jc w:val="both"/>
        <w:rPr>
          <w:lang w:val="de-DE"/>
        </w:rPr>
      </w:pPr>
      <w:r w:rsidRPr="004676F5">
        <w:rPr>
          <w:lang w:val="de-DE"/>
        </w:rPr>
        <w:tab/>
        <w:t>[</w:t>
      </w:r>
      <w:r w:rsidRPr="004676F5">
        <w:rPr>
          <w:b/>
          <w:bCs/>
          <w:lang w:val="de-DE"/>
        </w:rPr>
        <w:t>Art. XVII.34/4</w:t>
      </w:r>
      <w:r w:rsidRPr="004676F5">
        <w:rPr>
          <w:lang w:val="de-DE"/>
        </w:rPr>
        <w:t> </w:t>
      </w:r>
      <w:r w:rsidR="005B7A5C" w:rsidRPr="004676F5">
        <w:rPr>
          <w:lang w:val="de-DE"/>
        </w:rPr>
        <w:t>- </w:t>
      </w:r>
      <w:r w:rsidRPr="004676F5">
        <w:rPr>
          <w:lang w:val="de-DE"/>
        </w:rPr>
        <w:t xml:space="preserve">Die in Ausführung von Artikel XVII.34/1 angeordneten vorläufigen Maßnahmen </w:t>
      </w:r>
      <w:r w:rsidR="00DD7A85" w:rsidRPr="004676F5">
        <w:rPr>
          <w:lang w:val="de-DE"/>
        </w:rPr>
        <w:t xml:space="preserve">werden </w:t>
      </w:r>
      <w:r w:rsidR="007B2756" w:rsidRPr="004676F5">
        <w:rPr>
          <w:lang w:val="de-DE"/>
        </w:rPr>
        <w:t>[</w:t>
      </w:r>
      <w:r w:rsidR="005F2D46" w:rsidRPr="004676F5">
        <w:rPr>
          <w:lang w:val="de-DE"/>
        </w:rPr>
        <w:t>bei einer Verletzung des Urheberrechts, eines verwandten Schutzrechts oder des Rechts eines Herstellers von Datenbanken</w:t>
      </w:r>
      <w:r w:rsidR="007B2756" w:rsidRPr="004676F5">
        <w:rPr>
          <w:lang w:val="de-DE"/>
        </w:rPr>
        <w:t xml:space="preserve">] </w:t>
      </w:r>
      <w:r w:rsidRPr="004676F5">
        <w:rPr>
          <w:lang w:val="de-DE"/>
        </w:rPr>
        <w:t>auf Antrag einer Person, der der Beschluss zur Vollstreckung zugestellt worden ist, widerrufen, wenn der Kläger nicht binnen einer annehmbaren Frist ein Verfahren einleitet, das zu einer Entscheidung zur Sache vor einem zuständigen Gericht führt. Die Klage auf Widerruf wird vor dem Präsidenten des Unternehmensgerichts gestellt, der die vorläufigen Maßnahmen angeordnet hat.</w:t>
      </w:r>
    </w:p>
    <w:p w14:paraId="299378C4" w14:textId="77777777" w:rsidR="00FE32FD" w:rsidRPr="004676F5" w:rsidRDefault="00FE32FD" w:rsidP="00FE32FD">
      <w:pPr>
        <w:jc w:val="both"/>
        <w:rPr>
          <w:lang w:val="de-DE"/>
        </w:rPr>
      </w:pPr>
    </w:p>
    <w:p w14:paraId="198CC73B" w14:textId="04844DF9" w:rsidR="00FE32FD" w:rsidRPr="004676F5" w:rsidRDefault="00FE32FD" w:rsidP="00FE32FD">
      <w:pPr>
        <w:jc w:val="both"/>
        <w:rPr>
          <w:lang w:val="de-DE"/>
        </w:rPr>
      </w:pPr>
      <w:r w:rsidRPr="004676F5">
        <w:rPr>
          <w:lang w:val="de-DE"/>
        </w:rPr>
        <w:tab/>
        <w:t>Vorbehaltlich anderslautender Entscheidung des Präsidenten des Unternehmens</w:t>
      </w:r>
      <w:r w:rsidRPr="004676F5">
        <w:rPr>
          <w:lang w:val="de-DE"/>
        </w:rPr>
        <w:softHyphen/>
        <w:t>gerichts beträgt die in Absatz 1 erwähnte Frist nicht mehr als zwanzig Werktage oder einunddreißig Kalendertage, je nachdem, welche Frist länger ist, zu rechnen ab der Zustellung des Beschlusses oder der Entscheidung des in Artikel XVII.34/3 erwähnten Dienstes zur Festlegung der Modalitäten der Anwendung der vorläufigen Maßnahmen.]</w:t>
      </w:r>
    </w:p>
    <w:p w14:paraId="1279262A" w14:textId="77777777" w:rsidR="00FE32FD" w:rsidRPr="004676F5" w:rsidRDefault="00FE32FD" w:rsidP="00FE32FD">
      <w:pPr>
        <w:jc w:val="both"/>
        <w:rPr>
          <w:lang w:val="de-DE"/>
        </w:rPr>
      </w:pPr>
    </w:p>
    <w:p w14:paraId="5F53A219" w14:textId="11D8F37F" w:rsidR="00FE32FD" w:rsidRPr="004676F5" w:rsidRDefault="00FE32FD" w:rsidP="00FE32FD">
      <w:pPr>
        <w:jc w:val="both"/>
        <w:rPr>
          <w:i/>
          <w:iCs/>
          <w:lang w:val="de-DE"/>
        </w:rPr>
      </w:pPr>
      <w:r w:rsidRPr="004676F5">
        <w:rPr>
          <w:i/>
          <w:iCs/>
          <w:lang w:val="de-DE"/>
        </w:rPr>
        <w:t>[Art. XVII</w:t>
      </w:r>
      <w:r w:rsidR="00C94E46" w:rsidRPr="004676F5">
        <w:rPr>
          <w:i/>
          <w:iCs/>
          <w:lang w:val="de-DE"/>
        </w:rPr>
        <w:t>.</w:t>
      </w:r>
      <w:r w:rsidRPr="004676F5">
        <w:rPr>
          <w:i/>
          <w:iCs/>
          <w:lang w:val="de-DE"/>
        </w:rPr>
        <w:t>34/4 eingefügt durch Art. 92 des G. vom 19. Juni 2022 (B.S. vom 1. August 2022)</w:t>
      </w:r>
      <w:r w:rsidR="005F2D46" w:rsidRPr="004676F5">
        <w:rPr>
          <w:i/>
          <w:iCs/>
          <w:lang w:val="de-DE"/>
        </w:rPr>
        <w:t>; Abs. 1 abgeändert durch Art. 86 des G. vom 22. Dezember 2023 (B.S. vom 29. Dezember 2023)</w:t>
      </w:r>
      <w:r w:rsidRPr="004676F5">
        <w:rPr>
          <w:i/>
          <w:iCs/>
          <w:lang w:val="de-DE"/>
        </w:rPr>
        <w:t>]</w:t>
      </w:r>
    </w:p>
    <w:p w14:paraId="12A78F2A" w14:textId="77777777" w:rsidR="00FE32FD" w:rsidRPr="004676F5" w:rsidRDefault="00FE32FD" w:rsidP="00FE32FD">
      <w:pPr>
        <w:jc w:val="both"/>
        <w:rPr>
          <w:lang w:val="de-DE"/>
        </w:rPr>
      </w:pPr>
    </w:p>
    <w:p w14:paraId="3C30B3FB" w14:textId="77777777" w:rsidR="00FE32FD" w:rsidRPr="004676F5" w:rsidRDefault="00FE32FD" w:rsidP="00FE32FD">
      <w:pPr>
        <w:jc w:val="both"/>
        <w:rPr>
          <w:lang w:val="de-DE"/>
        </w:rPr>
      </w:pPr>
    </w:p>
    <w:p w14:paraId="58C0154D" w14:textId="2F88D819" w:rsidR="009F7ABB" w:rsidRPr="004676F5" w:rsidRDefault="00FE32FD" w:rsidP="00FE32FD">
      <w:pPr>
        <w:jc w:val="both"/>
        <w:rPr>
          <w:lang w:val="de-DE"/>
        </w:rPr>
      </w:pPr>
      <w:r w:rsidRPr="004676F5">
        <w:rPr>
          <w:lang w:val="de-DE"/>
        </w:rPr>
        <w:tab/>
        <w:t>[</w:t>
      </w:r>
      <w:r w:rsidRPr="004676F5">
        <w:rPr>
          <w:b/>
          <w:bCs/>
          <w:lang w:val="de-DE"/>
        </w:rPr>
        <w:t>Art. XVII.34/5</w:t>
      </w:r>
      <w:r w:rsidRPr="004676F5">
        <w:rPr>
          <w:lang w:val="de-DE"/>
        </w:rPr>
        <w:t> </w:t>
      </w:r>
      <w:r w:rsidR="005B7A5C" w:rsidRPr="004676F5">
        <w:rPr>
          <w:lang w:val="de-DE"/>
        </w:rPr>
        <w:t>- </w:t>
      </w:r>
      <w:r w:rsidRPr="004676F5">
        <w:rPr>
          <w:lang w:val="de-DE"/>
        </w:rPr>
        <w:t>Wenn die vorläufigen Maßnahmen auf der Grundlage von Artikel XVII.34/4 widerrufen werden, wegen einer Handlung oder eines Versäumnisses des Klägers unwirksam werden oder wenn später festgestellt wird, dass keine Verletzung des Urheberrechts, eines verwandten Schutzrechts oder des Rechts eines Herstellers von Datenbanken vorlag, auf die sich die Partei, die diese vorläufigen Maßnahmen erhalten hat, berufen hat, kann der befasste Tatsachenrichter auf Antrag des ursprünglichen Beklagten oder eines geschädigten Dritten diese Partei für jeglichen durch diese vorläufigen Maßnahmen verursachten Schaden zur Zahlung einer angemessenen Entschädigung an den ursprünglichen Beklagten oder den geschädigten Dritten verurteilen.</w:t>
      </w:r>
      <w:r w:rsidR="002A27D8" w:rsidRPr="004676F5">
        <w:rPr>
          <w:lang w:val="de-DE"/>
        </w:rPr>
        <w:t>]</w:t>
      </w:r>
    </w:p>
    <w:p w14:paraId="060563F5" w14:textId="77777777" w:rsidR="002A27D8" w:rsidRPr="004676F5" w:rsidRDefault="002A27D8" w:rsidP="00FE32FD">
      <w:pPr>
        <w:jc w:val="both"/>
        <w:rPr>
          <w:lang w:val="de-DE"/>
        </w:rPr>
      </w:pPr>
    </w:p>
    <w:p w14:paraId="2FFADA6B" w14:textId="7ED3C879" w:rsidR="002A27D8" w:rsidRPr="004676F5" w:rsidRDefault="002A27D8" w:rsidP="002A27D8">
      <w:pPr>
        <w:jc w:val="both"/>
        <w:rPr>
          <w:i/>
          <w:iCs/>
          <w:lang w:val="de-DE"/>
        </w:rPr>
      </w:pPr>
      <w:r w:rsidRPr="004676F5">
        <w:rPr>
          <w:i/>
          <w:iCs/>
          <w:lang w:val="de-DE"/>
        </w:rPr>
        <w:t>[Art. XVII</w:t>
      </w:r>
      <w:r w:rsidR="00C94E46" w:rsidRPr="004676F5">
        <w:rPr>
          <w:i/>
          <w:iCs/>
          <w:lang w:val="de-DE"/>
        </w:rPr>
        <w:t>.</w:t>
      </w:r>
      <w:r w:rsidRPr="004676F5">
        <w:rPr>
          <w:i/>
          <w:iCs/>
          <w:lang w:val="de-DE"/>
        </w:rPr>
        <w:t>34/5 eingefügt durch Art. 93 des G. vom 19. Juni 2022 (B.S. vom 1. August 2022)]</w:t>
      </w:r>
    </w:p>
    <w:p w14:paraId="6587A1AD" w14:textId="77777777" w:rsidR="002A27D8" w:rsidRPr="004676F5" w:rsidRDefault="002A27D8" w:rsidP="00FE32FD">
      <w:pPr>
        <w:jc w:val="both"/>
        <w:rPr>
          <w:lang w:val="de-DE"/>
        </w:rPr>
      </w:pPr>
    </w:p>
    <w:p w14:paraId="07B45456" w14:textId="77777777" w:rsidR="009F7ABB" w:rsidRPr="004676F5" w:rsidRDefault="009F7ABB">
      <w:pPr>
        <w:rPr>
          <w:lang w:val="de-DE"/>
        </w:rPr>
      </w:pPr>
      <w:r w:rsidRPr="004676F5">
        <w:rPr>
          <w:lang w:val="de-DE"/>
        </w:rPr>
        <w:br w:type="page"/>
      </w:r>
    </w:p>
    <w:p w14:paraId="35DC1C4A" w14:textId="67D6893C" w:rsidR="00D87F07" w:rsidRPr="004676F5" w:rsidRDefault="00D87F07" w:rsidP="00D87F07">
      <w:pPr>
        <w:jc w:val="center"/>
        <w:rPr>
          <w:b/>
          <w:lang w:val="de-DE"/>
        </w:rPr>
      </w:pPr>
      <w:r w:rsidRPr="004676F5">
        <w:rPr>
          <w:lang w:val="de-DE"/>
        </w:rPr>
        <w:lastRenderedPageBreak/>
        <w:t>[</w:t>
      </w:r>
      <w:r w:rsidRPr="004676F5">
        <w:rPr>
          <w:b/>
          <w:lang w:val="de-DE"/>
        </w:rPr>
        <w:t>TITEL 2 </w:t>
      </w:r>
      <w:r w:rsidR="005B7A5C" w:rsidRPr="004676F5">
        <w:rPr>
          <w:b/>
          <w:lang w:val="de-DE"/>
        </w:rPr>
        <w:t>- </w:t>
      </w:r>
      <w:r w:rsidRPr="004676F5">
        <w:rPr>
          <w:b/>
          <w:i/>
          <w:lang w:val="de-DE"/>
        </w:rPr>
        <w:t>Kollektive Schadenersatzklage</w:t>
      </w:r>
    </w:p>
    <w:p w14:paraId="58361035" w14:textId="77777777" w:rsidR="00D87F07" w:rsidRPr="004676F5" w:rsidRDefault="00D87F07" w:rsidP="00D87F07">
      <w:pPr>
        <w:jc w:val="both"/>
        <w:rPr>
          <w:lang w:val="de-DE"/>
        </w:rPr>
      </w:pPr>
    </w:p>
    <w:p w14:paraId="2D18AC7A" w14:textId="210427FD" w:rsidR="00D87F07" w:rsidRPr="004676F5" w:rsidRDefault="00D87F07" w:rsidP="00D87F07">
      <w:pPr>
        <w:jc w:val="both"/>
        <w:rPr>
          <w:i/>
          <w:lang w:val="de-DE"/>
        </w:rPr>
      </w:pPr>
      <w:r w:rsidRPr="004676F5">
        <w:rPr>
          <w:i/>
          <w:lang w:val="de-DE"/>
        </w:rPr>
        <w:t xml:space="preserve">[Titel 2 mit </w:t>
      </w:r>
      <w:r w:rsidR="00F310CC" w:rsidRPr="004676F5">
        <w:rPr>
          <w:i/>
          <w:lang w:val="de-DE"/>
        </w:rPr>
        <w:t xml:space="preserve">den Kapiteln 1 bis 3 und </w:t>
      </w:r>
      <w:r w:rsidRPr="004676F5">
        <w:rPr>
          <w:i/>
          <w:lang w:val="de-DE"/>
        </w:rPr>
        <w:t xml:space="preserve">den Artikeln XVII.36 bis XVII.69 eingefügt durch </w:t>
      </w:r>
      <w:r w:rsidR="00BE0A56" w:rsidRPr="004676F5">
        <w:rPr>
          <w:i/>
          <w:lang w:val="de-DE"/>
        </w:rPr>
        <w:t>Art. </w:t>
      </w:r>
      <w:r w:rsidRPr="004676F5">
        <w:rPr>
          <w:i/>
          <w:lang w:val="de-DE"/>
        </w:rPr>
        <w:t>3 des G. vom 28. März 2014 (B.S. vom 29. April 2014)]</w:t>
      </w:r>
    </w:p>
    <w:p w14:paraId="269D9B64" w14:textId="77777777" w:rsidR="00D87F07" w:rsidRPr="004676F5" w:rsidRDefault="00D87F07" w:rsidP="00D87F07">
      <w:pPr>
        <w:jc w:val="both"/>
        <w:rPr>
          <w:i/>
          <w:lang w:val="de-DE"/>
        </w:rPr>
      </w:pPr>
    </w:p>
    <w:p w14:paraId="075F015B" w14:textId="77777777" w:rsidR="00D87F07" w:rsidRPr="004676F5" w:rsidRDefault="00D87F07" w:rsidP="00D87F07">
      <w:pPr>
        <w:jc w:val="both"/>
        <w:rPr>
          <w:i/>
          <w:lang w:val="de-DE"/>
        </w:rPr>
      </w:pPr>
    </w:p>
    <w:p w14:paraId="62C3B21C" w14:textId="527520CC" w:rsidR="00D87F07" w:rsidRPr="004676F5" w:rsidRDefault="00D87F07" w:rsidP="00D87F07">
      <w:pPr>
        <w:jc w:val="center"/>
        <w:rPr>
          <w:lang w:val="de-DE"/>
        </w:rPr>
      </w:pPr>
      <w:r w:rsidRPr="004676F5">
        <w:rPr>
          <w:lang w:val="de-DE"/>
        </w:rPr>
        <w:t>KAPITEL 1 </w:t>
      </w:r>
      <w:r w:rsidR="005B7A5C" w:rsidRPr="004676F5">
        <w:rPr>
          <w:lang w:val="de-DE"/>
        </w:rPr>
        <w:t>- </w:t>
      </w:r>
      <w:r w:rsidRPr="004676F5">
        <w:rPr>
          <w:i/>
          <w:lang w:val="de-DE"/>
        </w:rPr>
        <w:t>Allgemeine Bestimmungen</w:t>
      </w:r>
    </w:p>
    <w:p w14:paraId="0894C2E7" w14:textId="77777777" w:rsidR="00D87F07" w:rsidRPr="004676F5" w:rsidRDefault="00D87F07" w:rsidP="00D87F07">
      <w:pPr>
        <w:jc w:val="both"/>
        <w:rPr>
          <w:lang w:val="de-DE"/>
        </w:rPr>
      </w:pPr>
    </w:p>
    <w:p w14:paraId="4E05CC84" w14:textId="77777777" w:rsidR="00D87F07" w:rsidRPr="004676F5" w:rsidRDefault="00D87F07" w:rsidP="00D87F07">
      <w:pPr>
        <w:jc w:val="both"/>
        <w:rPr>
          <w:lang w:val="de-DE"/>
        </w:rPr>
      </w:pPr>
    </w:p>
    <w:p w14:paraId="4F83D16C" w14:textId="05F0129A" w:rsidR="00D87F07" w:rsidRPr="004676F5" w:rsidRDefault="00D87F07" w:rsidP="00D87F07">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Zuständigkeit der Gerichtshöfe und Gerichte von Brüssel</w:t>
      </w:r>
    </w:p>
    <w:p w14:paraId="0F06048A" w14:textId="77777777" w:rsidR="00632675" w:rsidRPr="004676F5" w:rsidRDefault="00632675" w:rsidP="00D87F07">
      <w:pPr>
        <w:jc w:val="center"/>
        <w:rPr>
          <w:lang w:val="de-DE"/>
        </w:rPr>
      </w:pPr>
    </w:p>
    <w:p w14:paraId="74E8CF9D" w14:textId="77777777" w:rsidR="00D87F07" w:rsidRPr="004676F5" w:rsidRDefault="00D87F07" w:rsidP="00D87F07">
      <w:pPr>
        <w:jc w:val="center"/>
        <w:rPr>
          <w:lang w:val="de-DE"/>
        </w:rPr>
      </w:pPr>
    </w:p>
    <w:p w14:paraId="22719DB1" w14:textId="1E2BCE5A" w:rsidR="00DC5DCA" w:rsidRPr="004676F5" w:rsidRDefault="00632675" w:rsidP="00C82F78">
      <w:pPr>
        <w:jc w:val="both"/>
        <w:rPr>
          <w:lang w:val="de-DE"/>
        </w:rPr>
      </w:pPr>
      <w:r w:rsidRPr="004676F5">
        <w:rPr>
          <w:lang w:val="de-DE"/>
        </w:rPr>
        <w:tab/>
        <w:t>[</w:t>
      </w:r>
      <w:r w:rsidR="00BE0A56" w:rsidRPr="004676F5">
        <w:rPr>
          <w:b/>
          <w:lang w:val="de-DE"/>
        </w:rPr>
        <w:t>Art. </w:t>
      </w:r>
      <w:r w:rsidRPr="004676F5">
        <w:rPr>
          <w:b/>
          <w:lang w:val="de-DE"/>
        </w:rPr>
        <w:t>XVII.35</w:t>
      </w:r>
      <w:r w:rsidRPr="004676F5">
        <w:rPr>
          <w:lang w:val="de-DE"/>
        </w:rPr>
        <w:t xml:space="preserve"> </w:t>
      </w:r>
      <w:r w:rsidR="005B7A5C" w:rsidRPr="004676F5">
        <w:rPr>
          <w:lang w:val="de-DE"/>
        </w:rPr>
        <w:t>- </w:t>
      </w:r>
      <w:r w:rsidRPr="004676F5">
        <w:rPr>
          <w:lang w:val="de-DE"/>
        </w:rPr>
        <w:t>Die Gerichtshöfe und Gerichte von Brüssel sind zuständig, über kollektive Schadenersatzklagen zu erkennen.]</w:t>
      </w:r>
    </w:p>
    <w:p w14:paraId="7BBB5940" w14:textId="77777777" w:rsidR="00632675" w:rsidRPr="004676F5" w:rsidRDefault="00632675">
      <w:pPr>
        <w:rPr>
          <w:lang w:val="de-DE"/>
        </w:rPr>
      </w:pPr>
    </w:p>
    <w:p w14:paraId="5D5BF72A" w14:textId="1B6122F3" w:rsidR="00325552" w:rsidRPr="004676F5" w:rsidRDefault="00632675">
      <w:pPr>
        <w:rPr>
          <w:lang w:val="de-DE"/>
        </w:rPr>
      </w:pPr>
      <w:r w:rsidRPr="004676F5">
        <w:rPr>
          <w:i/>
          <w:lang w:val="de-DE"/>
        </w:rPr>
        <w:t>[</w:t>
      </w:r>
      <w:r w:rsidR="00BE0A56" w:rsidRPr="004676F5">
        <w:rPr>
          <w:i/>
          <w:lang w:val="de-DE"/>
        </w:rPr>
        <w:t>Art. </w:t>
      </w:r>
      <w:r w:rsidRPr="004676F5">
        <w:rPr>
          <w:i/>
          <w:lang w:val="de-DE"/>
        </w:rPr>
        <w:t xml:space="preserve">XVII.35 eingefügt durch </w:t>
      </w:r>
      <w:r w:rsidR="00BE0A56" w:rsidRPr="004676F5">
        <w:rPr>
          <w:i/>
          <w:lang w:val="de-DE"/>
        </w:rPr>
        <w:t>Art. </w:t>
      </w:r>
      <w:r w:rsidRPr="004676F5">
        <w:rPr>
          <w:i/>
          <w:lang w:val="de-DE"/>
        </w:rPr>
        <w:t>2 des G. vom 27. März 2014 (II) (B.S. vom 29. April 2014)]</w:t>
      </w:r>
      <w:r w:rsidRPr="004676F5">
        <w:rPr>
          <w:lang w:val="de-DE"/>
        </w:rPr>
        <w:t xml:space="preserve"> </w:t>
      </w:r>
    </w:p>
    <w:p w14:paraId="2C25FD78" w14:textId="77777777" w:rsidR="00325552" w:rsidRPr="004676F5" w:rsidRDefault="00325552">
      <w:pPr>
        <w:rPr>
          <w:lang w:val="de-DE"/>
        </w:rPr>
      </w:pPr>
    </w:p>
    <w:p w14:paraId="4879BE0F" w14:textId="77777777" w:rsidR="00325552" w:rsidRPr="004676F5" w:rsidRDefault="00325552">
      <w:pPr>
        <w:rPr>
          <w:lang w:val="de-DE"/>
        </w:rPr>
      </w:pPr>
    </w:p>
    <w:p w14:paraId="017D1AA6" w14:textId="14A9A430" w:rsidR="00325552" w:rsidRPr="004676F5" w:rsidRDefault="00325552" w:rsidP="00325552">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Zulässigkeitsbedingungen</w:t>
      </w:r>
    </w:p>
    <w:p w14:paraId="3773F393" w14:textId="77777777" w:rsidR="00325552" w:rsidRPr="004676F5" w:rsidRDefault="00325552" w:rsidP="00325552">
      <w:pPr>
        <w:jc w:val="both"/>
        <w:rPr>
          <w:lang w:val="de-DE"/>
        </w:rPr>
      </w:pPr>
    </w:p>
    <w:p w14:paraId="76541AC1" w14:textId="77777777" w:rsidR="00325552" w:rsidRPr="004676F5" w:rsidRDefault="00325552" w:rsidP="00325552">
      <w:pPr>
        <w:jc w:val="both"/>
        <w:rPr>
          <w:lang w:val="de-DE"/>
        </w:rPr>
      </w:pPr>
    </w:p>
    <w:p w14:paraId="139346F1" w14:textId="39E06B29"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XVII.36</w:t>
      </w:r>
      <w:r w:rsidRPr="004676F5">
        <w:rPr>
          <w:lang w:val="de-DE"/>
        </w:rPr>
        <w:t> </w:t>
      </w:r>
      <w:r w:rsidR="005B7A5C" w:rsidRPr="004676F5">
        <w:rPr>
          <w:lang w:val="de-DE"/>
        </w:rPr>
        <w:t>- </w:t>
      </w:r>
      <w:r w:rsidRPr="004676F5">
        <w:rPr>
          <w:lang w:val="de-DE"/>
        </w:rPr>
        <w:t>In Abweichung von den Artikeln 17 und 18 des Gerichtsgesetzbuches ist eine kollektive Schadenersatzklage zulässig, wenn jede der folgenden Bedingungen erfüllt ist:</w:t>
      </w:r>
    </w:p>
    <w:p w14:paraId="14154386" w14:textId="77777777" w:rsidR="00325552" w:rsidRPr="004676F5" w:rsidRDefault="00325552" w:rsidP="00325552">
      <w:pPr>
        <w:jc w:val="both"/>
        <w:rPr>
          <w:lang w:val="de-DE"/>
        </w:rPr>
      </w:pPr>
    </w:p>
    <w:p w14:paraId="0ECC3975" w14:textId="77777777" w:rsidR="00325552" w:rsidRPr="004676F5" w:rsidRDefault="00325552" w:rsidP="00325552">
      <w:pPr>
        <w:jc w:val="both"/>
        <w:rPr>
          <w:lang w:val="de-DE"/>
        </w:rPr>
      </w:pPr>
      <w:r w:rsidRPr="004676F5">
        <w:rPr>
          <w:lang w:val="de-DE"/>
        </w:rPr>
        <w:tab/>
        <w:t>1. Die geltend gemachte Ursache stellt einen möglichen Verstoß durch das Unternehmen gegen eine seiner vertraglichen Verpflichtungen, eine der europäischen Verordnungen, eines der in Artikel XVII.37 erwähnten Gesetze oder einen ihrer Ausführungserlasse dar.</w:t>
      </w:r>
    </w:p>
    <w:p w14:paraId="4BC505CF" w14:textId="77777777" w:rsidR="00325552" w:rsidRPr="004676F5" w:rsidRDefault="00325552" w:rsidP="00325552">
      <w:pPr>
        <w:jc w:val="both"/>
        <w:rPr>
          <w:lang w:val="de-DE"/>
        </w:rPr>
      </w:pPr>
    </w:p>
    <w:p w14:paraId="607CBAE7" w14:textId="39C19483" w:rsidR="00325552" w:rsidRPr="004676F5" w:rsidRDefault="00325552" w:rsidP="00325552">
      <w:pPr>
        <w:jc w:val="both"/>
        <w:rPr>
          <w:lang w:val="de-DE"/>
        </w:rPr>
      </w:pPr>
      <w:r w:rsidRPr="004676F5">
        <w:rPr>
          <w:lang w:val="de-DE"/>
        </w:rPr>
        <w:tab/>
        <w:t xml:space="preserve">2. Die Klage wird von einem Kläger eingereicht, der die in Artikel XVII.39 erwähnten Anforderungen erfüllt </w:t>
      </w:r>
      <w:r w:rsidR="00A1562E" w:rsidRPr="004676F5">
        <w:rPr>
          <w:lang w:val="de-DE"/>
        </w:rPr>
        <w:t>[und dessen satzungsmäßiger Zweck in direktem Zusammenhang mit dem Gegenstand der kollektiven Schadenersatzklage steht]</w:t>
      </w:r>
      <w:r w:rsidRPr="004676F5">
        <w:rPr>
          <w:lang w:val="de-DE"/>
        </w:rPr>
        <w:t>.</w:t>
      </w:r>
    </w:p>
    <w:p w14:paraId="2C1B0E8E" w14:textId="77777777" w:rsidR="00325552" w:rsidRPr="004676F5" w:rsidRDefault="00325552" w:rsidP="00325552">
      <w:pPr>
        <w:jc w:val="both"/>
        <w:rPr>
          <w:lang w:val="de-DE"/>
        </w:rPr>
      </w:pPr>
    </w:p>
    <w:p w14:paraId="250A20E0" w14:textId="77777777" w:rsidR="00325552" w:rsidRPr="004676F5" w:rsidRDefault="00325552" w:rsidP="00325552">
      <w:pPr>
        <w:jc w:val="both"/>
        <w:rPr>
          <w:lang w:val="de-DE"/>
        </w:rPr>
      </w:pPr>
      <w:r w:rsidRPr="004676F5">
        <w:rPr>
          <w:lang w:val="de-DE"/>
        </w:rPr>
        <w:tab/>
        <w:t>3. Die Inanspruchnahme einer kollektiven Schadenersatzklage scheint effizienter als eine gemeinrechtliche Klage.</w:t>
      </w:r>
    </w:p>
    <w:p w14:paraId="109BE933" w14:textId="77777777" w:rsidR="00325552" w:rsidRPr="004676F5" w:rsidRDefault="00325552" w:rsidP="00325552">
      <w:pPr>
        <w:jc w:val="both"/>
        <w:rPr>
          <w:lang w:val="de-DE"/>
        </w:rPr>
      </w:pPr>
    </w:p>
    <w:p w14:paraId="75E64238" w14:textId="5DB2F61D" w:rsidR="00A1562E" w:rsidRPr="004676F5" w:rsidRDefault="00A1562E" w:rsidP="00325552">
      <w:pPr>
        <w:jc w:val="both"/>
        <w:rPr>
          <w:i/>
          <w:iCs/>
          <w:lang w:val="de-DE"/>
        </w:rPr>
      </w:pPr>
      <w:r w:rsidRPr="004676F5">
        <w:rPr>
          <w:i/>
          <w:iCs/>
          <w:lang w:val="de-DE"/>
        </w:rPr>
        <w:t>[Art.</w:t>
      </w:r>
      <w:r w:rsidR="00866C9B">
        <w:rPr>
          <w:i/>
          <w:iCs/>
          <w:lang w:val="de-DE"/>
        </w:rPr>
        <w:t> </w:t>
      </w:r>
      <w:r w:rsidRPr="004676F5">
        <w:rPr>
          <w:i/>
          <w:iCs/>
          <w:lang w:val="de-DE"/>
        </w:rPr>
        <w:t>XVII.36 einziger Absatz Nr. 2 abgeändert durch Art. 20 des G. vom 21. April 2024 (II) (B.S. vom 31. Mai 2024)]</w:t>
      </w:r>
    </w:p>
    <w:p w14:paraId="484E095E" w14:textId="77777777" w:rsidR="00325552" w:rsidRPr="004676F5" w:rsidRDefault="00325552" w:rsidP="00325552">
      <w:pPr>
        <w:jc w:val="both"/>
        <w:rPr>
          <w:lang w:val="de-DE"/>
        </w:rPr>
      </w:pPr>
    </w:p>
    <w:p w14:paraId="6FF15474" w14:textId="77777777" w:rsidR="00A1562E" w:rsidRPr="004676F5" w:rsidRDefault="00A1562E" w:rsidP="00325552">
      <w:pPr>
        <w:jc w:val="both"/>
        <w:rPr>
          <w:lang w:val="de-DE"/>
        </w:rPr>
      </w:pPr>
    </w:p>
    <w:p w14:paraId="74CA2BB2" w14:textId="38860081"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XVII.37</w:t>
      </w:r>
      <w:r w:rsidRPr="004676F5">
        <w:rPr>
          <w:lang w:val="de-DE"/>
        </w:rPr>
        <w:t> </w:t>
      </w:r>
      <w:r w:rsidR="005B7A5C" w:rsidRPr="004676F5">
        <w:rPr>
          <w:lang w:val="de-DE"/>
        </w:rPr>
        <w:t>- </w:t>
      </w:r>
      <w:r w:rsidRPr="004676F5">
        <w:rPr>
          <w:lang w:val="de-DE"/>
        </w:rPr>
        <w:t>Die in Artikel XVII.36 Nr. 1 erwähnten europäischen Verordnungen und Rechtsvorschriften sind die Folgenden:</w:t>
      </w:r>
    </w:p>
    <w:p w14:paraId="0AFB2F9F" w14:textId="77777777" w:rsidR="00325552" w:rsidRPr="004676F5" w:rsidRDefault="00325552" w:rsidP="00325552">
      <w:pPr>
        <w:jc w:val="both"/>
        <w:rPr>
          <w:lang w:val="de-DE"/>
        </w:rPr>
      </w:pPr>
    </w:p>
    <w:p w14:paraId="615EA639" w14:textId="77777777" w:rsidR="00325552" w:rsidRPr="004676F5" w:rsidRDefault="00325552" w:rsidP="00325552">
      <w:pPr>
        <w:jc w:val="both"/>
        <w:rPr>
          <w:lang w:val="de-DE"/>
        </w:rPr>
      </w:pPr>
      <w:r w:rsidRPr="004676F5">
        <w:rPr>
          <w:lang w:val="de-DE"/>
        </w:rPr>
        <w:tab/>
        <w:t>1. folgende Bücher des vorliegenden Gesetzbuches:</w:t>
      </w:r>
    </w:p>
    <w:p w14:paraId="071BD325" w14:textId="77777777" w:rsidR="00325552" w:rsidRPr="004676F5" w:rsidRDefault="00325552" w:rsidP="00325552">
      <w:pPr>
        <w:jc w:val="both"/>
        <w:rPr>
          <w:lang w:val="de-DE"/>
        </w:rPr>
      </w:pPr>
    </w:p>
    <w:p w14:paraId="517FDE46" w14:textId="09AF1A6A" w:rsidR="00325552" w:rsidRPr="004676F5" w:rsidRDefault="00325552" w:rsidP="00325552">
      <w:pPr>
        <w:jc w:val="both"/>
        <w:rPr>
          <w:lang w:val="de-DE"/>
        </w:rPr>
      </w:pPr>
      <w:r w:rsidRPr="004676F5">
        <w:rPr>
          <w:lang w:val="de-DE"/>
        </w:rPr>
        <w:tab/>
      </w:r>
      <w:r w:rsidRPr="004676F5">
        <w:rPr>
          <w:i/>
          <w:lang w:val="de-DE"/>
        </w:rPr>
        <w:t>a)</w:t>
      </w:r>
      <w:r w:rsidRPr="004676F5">
        <w:rPr>
          <w:lang w:val="de-DE"/>
        </w:rPr>
        <w:t> Buch IV </w:t>
      </w:r>
      <w:r w:rsidR="005B7A5C" w:rsidRPr="004676F5">
        <w:rPr>
          <w:lang w:val="de-DE"/>
        </w:rPr>
        <w:t>- </w:t>
      </w:r>
      <w:r w:rsidRPr="004676F5">
        <w:rPr>
          <w:lang w:val="de-DE"/>
        </w:rPr>
        <w:t>Schutz des Wettbewerbs,</w:t>
      </w:r>
    </w:p>
    <w:p w14:paraId="317F073C" w14:textId="77777777" w:rsidR="00325552" w:rsidRPr="004676F5" w:rsidRDefault="00325552" w:rsidP="00325552">
      <w:pPr>
        <w:jc w:val="both"/>
        <w:rPr>
          <w:lang w:val="de-DE"/>
        </w:rPr>
      </w:pPr>
    </w:p>
    <w:p w14:paraId="71456089" w14:textId="799F5D5F" w:rsidR="00325552" w:rsidRPr="004676F5" w:rsidRDefault="00325552" w:rsidP="00325552">
      <w:pPr>
        <w:jc w:val="both"/>
        <w:rPr>
          <w:lang w:val="de-DE"/>
        </w:rPr>
      </w:pPr>
      <w:r w:rsidRPr="004676F5">
        <w:rPr>
          <w:lang w:val="de-DE"/>
        </w:rPr>
        <w:tab/>
      </w:r>
      <w:r w:rsidRPr="004676F5">
        <w:rPr>
          <w:i/>
          <w:lang w:val="de-DE"/>
        </w:rPr>
        <w:t>b)</w:t>
      </w:r>
      <w:r w:rsidRPr="004676F5">
        <w:rPr>
          <w:lang w:val="de-DE"/>
        </w:rPr>
        <w:t> Buch V </w:t>
      </w:r>
      <w:r w:rsidR="005B7A5C" w:rsidRPr="004676F5">
        <w:rPr>
          <w:lang w:val="de-DE"/>
        </w:rPr>
        <w:t>- </w:t>
      </w:r>
      <w:r w:rsidRPr="004676F5">
        <w:rPr>
          <w:lang w:val="de-DE"/>
        </w:rPr>
        <w:t>Wettbewerb und Preisentwicklungen,</w:t>
      </w:r>
    </w:p>
    <w:p w14:paraId="0D955C83" w14:textId="77777777" w:rsidR="00325552" w:rsidRPr="004676F5" w:rsidRDefault="00325552" w:rsidP="00325552">
      <w:pPr>
        <w:jc w:val="both"/>
        <w:rPr>
          <w:lang w:val="de-DE"/>
        </w:rPr>
      </w:pPr>
    </w:p>
    <w:p w14:paraId="360AC111" w14:textId="05962810" w:rsidR="00325552" w:rsidRPr="004676F5" w:rsidRDefault="00325552" w:rsidP="00325552">
      <w:pPr>
        <w:jc w:val="both"/>
        <w:rPr>
          <w:lang w:val="de-DE"/>
        </w:rPr>
      </w:pPr>
      <w:r w:rsidRPr="004676F5">
        <w:rPr>
          <w:lang w:val="de-DE"/>
        </w:rPr>
        <w:lastRenderedPageBreak/>
        <w:tab/>
      </w:r>
      <w:r w:rsidRPr="004676F5">
        <w:rPr>
          <w:i/>
          <w:lang w:val="de-DE"/>
        </w:rPr>
        <w:t>c)</w:t>
      </w:r>
      <w:r w:rsidRPr="004676F5">
        <w:rPr>
          <w:lang w:val="de-DE"/>
        </w:rPr>
        <w:t> Buch VI </w:t>
      </w:r>
      <w:r w:rsidR="005B7A5C" w:rsidRPr="004676F5">
        <w:rPr>
          <w:lang w:val="de-DE"/>
        </w:rPr>
        <w:t>- </w:t>
      </w:r>
      <w:r w:rsidRPr="004676F5">
        <w:rPr>
          <w:lang w:val="de-DE"/>
        </w:rPr>
        <w:t>Marktpraktiken und Verbraucherschutz,</w:t>
      </w:r>
    </w:p>
    <w:p w14:paraId="559D7AD9" w14:textId="77777777" w:rsidR="00325552" w:rsidRPr="004676F5" w:rsidRDefault="00325552" w:rsidP="00325552">
      <w:pPr>
        <w:jc w:val="both"/>
        <w:rPr>
          <w:lang w:val="de-DE"/>
        </w:rPr>
      </w:pPr>
    </w:p>
    <w:p w14:paraId="157EB039" w14:textId="1BEC5CB4" w:rsidR="00325552" w:rsidRPr="004676F5" w:rsidRDefault="00325552" w:rsidP="00325552">
      <w:pPr>
        <w:jc w:val="both"/>
        <w:rPr>
          <w:lang w:val="de-DE"/>
        </w:rPr>
      </w:pPr>
      <w:r w:rsidRPr="004676F5">
        <w:rPr>
          <w:lang w:val="de-DE"/>
        </w:rPr>
        <w:tab/>
      </w:r>
      <w:r w:rsidRPr="004676F5">
        <w:rPr>
          <w:i/>
          <w:lang w:val="de-DE"/>
        </w:rPr>
        <w:t>d)</w:t>
      </w:r>
      <w:r w:rsidRPr="004676F5">
        <w:rPr>
          <w:lang w:val="de-DE"/>
        </w:rPr>
        <w:t> Buch VII </w:t>
      </w:r>
      <w:r w:rsidR="005B7A5C" w:rsidRPr="004676F5">
        <w:rPr>
          <w:lang w:val="de-DE"/>
        </w:rPr>
        <w:t>- </w:t>
      </w:r>
      <w:r w:rsidRPr="004676F5">
        <w:rPr>
          <w:lang w:val="de-DE"/>
        </w:rPr>
        <w:t>Zahlungs</w:t>
      </w:r>
      <w:r w:rsidR="005B7A5C" w:rsidRPr="004676F5">
        <w:rPr>
          <w:lang w:val="de-DE"/>
        </w:rPr>
        <w:t>- </w:t>
      </w:r>
      <w:r w:rsidRPr="004676F5">
        <w:rPr>
          <w:lang w:val="de-DE"/>
        </w:rPr>
        <w:t>und Kreditdienste,</w:t>
      </w:r>
    </w:p>
    <w:p w14:paraId="383B48EF" w14:textId="77777777" w:rsidR="00325552" w:rsidRPr="004676F5" w:rsidRDefault="00325552" w:rsidP="00325552">
      <w:pPr>
        <w:jc w:val="both"/>
        <w:rPr>
          <w:lang w:val="de-DE"/>
        </w:rPr>
      </w:pPr>
    </w:p>
    <w:p w14:paraId="5569C493" w14:textId="6C6C10A5" w:rsidR="00325552" w:rsidRPr="004676F5" w:rsidRDefault="00325552" w:rsidP="00325552">
      <w:pPr>
        <w:jc w:val="both"/>
        <w:rPr>
          <w:lang w:val="de-DE"/>
        </w:rPr>
      </w:pPr>
      <w:r w:rsidRPr="004676F5">
        <w:rPr>
          <w:lang w:val="de-DE"/>
        </w:rPr>
        <w:tab/>
      </w:r>
      <w:r w:rsidRPr="004676F5">
        <w:rPr>
          <w:i/>
          <w:lang w:val="de-DE"/>
        </w:rPr>
        <w:t>e)</w:t>
      </w:r>
      <w:r w:rsidRPr="004676F5">
        <w:rPr>
          <w:lang w:val="de-DE"/>
        </w:rPr>
        <w:t> Buch IX </w:t>
      </w:r>
      <w:r w:rsidR="005B7A5C" w:rsidRPr="004676F5">
        <w:rPr>
          <w:lang w:val="de-DE"/>
        </w:rPr>
        <w:t>- </w:t>
      </w:r>
      <w:r w:rsidRPr="004676F5">
        <w:rPr>
          <w:lang w:val="de-DE"/>
        </w:rPr>
        <w:t>Sicherheit von Produkten und Diensten,</w:t>
      </w:r>
    </w:p>
    <w:p w14:paraId="55A72DBE" w14:textId="77777777" w:rsidR="00325552" w:rsidRPr="004676F5" w:rsidRDefault="00325552" w:rsidP="00325552">
      <w:pPr>
        <w:jc w:val="both"/>
        <w:rPr>
          <w:lang w:val="de-DE"/>
        </w:rPr>
      </w:pPr>
    </w:p>
    <w:p w14:paraId="01B3E20D" w14:textId="3AF58CE1" w:rsidR="00A1562E" w:rsidRPr="004676F5" w:rsidRDefault="00A1562E" w:rsidP="00325552">
      <w:pPr>
        <w:jc w:val="both"/>
        <w:rPr>
          <w:lang w:val="de-DE"/>
        </w:rPr>
      </w:pPr>
      <w:r w:rsidRPr="004676F5">
        <w:rPr>
          <w:lang w:val="de-DE"/>
        </w:rPr>
        <w:tab/>
        <w:t>[</w:t>
      </w:r>
      <w:r w:rsidRPr="004676F5">
        <w:rPr>
          <w:i/>
          <w:iCs/>
          <w:lang w:val="de-DE"/>
        </w:rPr>
        <w:t>e/1)</w:t>
      </w:r>
      <w:r w:rsidRPr="004676F5">
        <w:rPr>
          <w:lang w:val="de-DE"/>
        </w:rPr>
        <w:t xml:space="preserve"> Buch</w:t>
      </w:r>
      <w:r w:rsidR="00866C9B">
        <w:rPr>
          <w:lang w:val="de-DE"/>
        </w:rPr>
        <w:t> </w:t>
      </w:r>
      <w:r w:rsidRPr="004676F5">
        <w:rPr>
          <w:lang w:val="de-DE"/>
        </w:rPr>
        <w:t>X - Handelsvertreterverträge, Vereinbarungen über Handelspartnerschaften, Vertriebsverträge und Beförderungsverträge,]</w:t>
      </w:r>
    </w:p>
    <w:p w14:paraId="609999C0" w14:textId="77777777" w:rsidR="00A1562E" w:rsidRPr="004676F5" w:rsidRDefault="00A1562E" w:rsidP="00325552">
      <w:pPr>
        <w:jc w:val="both"/>
        <w:rPr>
          <w:lang w:val="de-DE"/>
        </w:rPr>
      </w:pPr>
    </w:p>
    <w:p w14:paraId="0992B2E9" w14:textId="6998845C" w:rsidR="00325552" w:rsidRPr="004676F5" w:rsidRDefault="00325552" w:rsidP="00325552">
      <w:pPr>
        <w:jc w:val="both"/>
        <w:rPr>
          <w:lang w:val="de-DE"/>
        </w:rPr>
      </w:pPr>
      <w:r w:rsidRPr="004676F5">
        <w:rPr>
          <w:lang w:val="de-DE"/>
        </w:rPr>
        <w:tab/>
      </w:r>
      <w:r w:rsidRPr="004676F5">
        <w:rPr>
          <w:i/>
          <w:lang w:val="de-DE"/>
        </w:rPr>
        <w:t>f)</w:t>
      </w:r>
      <w:r w:rsidRPr="004676F5">
        <w:rPr>
          <w:lang w:val="de-DE"/>
        </w:rPr>
        <w:t> Buch XI </w:t>
      </w:r>
      <w:r w:rsidR="005B7A5C" w:rsidRPr="004676F5">
        <w:rPr>
          <w:lang w:val="de-DE"/>
        </w:rPr>
        <w:t>- </w:t>
      </w:r>
      <w:r w:rsidRPr="004676F5">
        <w:rPr>
          <w:lang w:val="de-DE"/>
        </w:rPr>
        <w:t>Geistiges Eigentum,</w:t>
      </w:r>
    </w:p>
    <w:p w14:paraId="5BE642CD" w14:textId="77777777" w:rsidR="00325552" w:rsidRPr="004676F5" w:rsidRDefault="00325552" w:rsidP="00325552">
      <w:pPr>
        <w:jc w:val="both"/>
        <w:rPr>
          <w:lang w:val="de-DE"/>
        </w:rPr>
      </w:pPr>
    </w:p>
    <w:p w14:paraId="2B9D881E" w14:textId="68D8B81A" w:rsidR="00325552" w:rsidRPr="004676F5" w:rsidRDefault="00325552" w:rsidP="00325552">
      <w:pPr>
        <w:jc w:val="both"/>
        <w:rPr>
          <w:lang w:val="de-DE"/>
        </w:rPr>
      </w:pPr>
      <w:r w:rsidRPr="004676F5">
        <w:rPr>
          <w:lang w:val="de-DE"/>
        </w:rPr>
        <w:tab/>
      </w:r>
      <w:r w:rsidRPr="004676F5">
        <w:rPr>
          <w:i/>
          <w:lang w:val="de-DE"/>
        </w:rPr>
        <w:t>g)</w:t>
      </w:r>
      <w:r w:rsidRPr="004676F5">
        <w:rPr>
          <w:lang w:val="de-DE"/>
        </w:rPr>
        <w:t> Buch XII </w:t>
      </w:r>
      <w:r w:rsidR="005B7A5C" w:rsidRPr="004676F5">
        <w:rPr>
          <w:lang w:val="de-DE"/>
        </w:rPr>
        <w:t>- </w:t>
      </w:r>
      <w:r w:rsidRPr="004676F5">
        <w:rPr>
          <w:lang w:val="de-DE"/>
        </w:rPr>
        <w:t>Recht der elektronischen Wirtschaft,</w:t>
      </w:r>
    </w:p>
    <w:p w14:paraId="557BB1FA" w14:textId="77777777" w:rsidR="00325552" w:rsidRPr="004676F5" w:rsidRDefault="00325552" w:rsidP="00325552">
      <w:pPr>
        <w:jc w:val="both"/>
        <w:rPr>
          <w:lang w:val="de-DE"/>
        </w:rPr>
      </w:pPr>
    </w:p>
    <w:p w14:paraId="05679DD0" w14:textId="61C4B52A" w:rsidR="00325552" w:rsidRPr="004676F5" w:rsidRDefault="00325552" w:rsidP="00325552">
      <w:pPr>
        <w:jc w:val="both"/>
        <w:rPr>
          <w:lang w:val="de-DE"/>
        </w:rPr>
      </w:pPr>
      <w:r w:rsidRPr="004676F5">
        <w:rPr>
          <w:lang w:val="de-DE"/>
        </w:rPr>
        <w:tab/>
      </w:r>
      <w:r w:rsidRPr="004676F5">
        <w:rPr>
          <w:i/>
          <w:lang w:val="de-DE"/>
        </w:rPr>
        <w:t>h)</w:t>
      </w:r>
      <w:r w:rsidRPr="004676F5">
        <w:rPr>
          <w:lang w:val="de-DE"/>
        </w:rPr>
        <w:t> </w:t>
      </w:r>
      <w:r w:rsidR="00BC5AAC" w:rsidRPr="004676F5">
        <w:rPr>
          <w:lang w:val="de-DE"/>
        </w:rPr>
        <w:t>[</w:t>
      </w:r>
      <w:r w:rsidR="00A1562E" w:rsidRPr="004676F5">
        <w:rPr>
          <w:lang w:val="de-DE"/>
        </w:rPr>
        <w:t xml:space="preserve"> Buch XIX </w:t>
      </w:r>
      <w:r w:rsidR="007925C8">
        <w:rPr>
          <w:lang w:val="de-DE"/>
        </w:rPr>
        <w:t>-</w:t>
      </w:r>
      <w:r w:rsidR="00A1562E" w:rsidRPr="004676F5">
        <w:rPr>
          <w:lang w:val="de-DE"/>
        </w:rPr>
        <w:t xml:space="preserve"> Verbraucherschulden</w:t>
      </w:r>
      <w:r w:rsidR="00866C9B">
        <w:rPr>
          <w:lang w:val="de-DE"/>
        </w:rPr>
        <w:t>,]</w:t>
      </w:r>
    </w:p>
    <w:p w14:paraId="4B19A876" w14:textId="77777777" w:rsidR="00CD1D4A" w:rsidRPr="004676F5" w:rsidRDefault="00CD1D4A" w:rsidP="00325552">
      <w:pPr>
        <w:jc w:val="both"/>
        <w:rPr>
          <w:lang w:val="de-DE"/>
        </w:rPr>
      </w:pPr>
    </w:p>
    <w:p w14:paraId="3CFE288A" w14:textId="02F3EA61" w:rsidR="00CD1D4A" w:rsidRPr="004676F5" w:rsidRDefault="00CD1D4A" w:rsidP="00325552">
      <w:pPr>
        <w:jc w:val="both"/>
        <w:rPr>
          <w:lang w:val="de-DE"/>
        </w:rPr>
      </w:pPr>
      <w:r w:rsidRPr="004676F5">
        <w:rPr>
          <w:lang w:val="de-DE"/>
        </w:rPr>
        <w:tab/>
        <w:t>[</w:t>
      </w:r>
      <w:r w:rsidRPr="004676F5">
        <w:rPr>
          <w:i/>
          <w:lang w:val="de-DE"/>
        </w:rPr>
        <w:t>i) </w:t>
      </w:r>
      <w:r w:rsidRPr="004676F5">
        <w:rPr>
          <w:lang w:val="de-DE"/>
        </w:rPr>
        <w:t>Buch VIII Titel 4 und 5 - Qualität von Produkten und Dienstleistungen,]</w:t>
      </w:r>
    </w:p>
    <w:p w14:paraId="731DEDCE" w14:textId="77777777" w:rsidR="00325552" w:rsidRPr="004676F5" w:rsidRDefault="00325552" w:rsidP="00325552">
      <w:pPr>
        <w:jc w:val="both"/>
        <w:rPr>
          <w:lang w:val="de-DE"/>
        </w:rPr>
      </w:pPr>
    </w:p>
    <w:p w14:paraId="5E38EF58" w14:textId="77777777" w:rsidR="00325552" w:rsidRPr="004676F5" w:rsidRDefault="00325552" w:rsidP="00325552">
      <w:pPr>
        <w:jc w:val="both"/>
        <w:rPr>
          <w:lang w:val="de-DE"/>
        </w:rPr>
      </w:pPr>
      <w:r w:rsidRPr="004676F5">
        <w:rPr>
          <w:lang w:val="de-DE"/>
        </w:rPr>
        <w:tab/>
        <w:t>2. Gesetz vom 25. März 1964 über Arzneimittel,</w:t>
      </w:r>
    </w:p>
    <w:p w14:paraId="4942F862" w14:textId="77777777" w:rsidR="00325552" w:rsidRPr="004676F5" w:rsidRDefault="00325552" w:rsidP="00325552">
      <w:pPr>
        <w:jc w:val="both"/>
        <w:rPr>
          <w:lang w:val="de-DE"/>
        </w:rPr>
      </w:pPr>
    </w:p>
    <w:p w14:paraId="293F9348" w14:textId="77777777" w:rsidR="00325552" w:rsidRPr="004676F5" w:rsidRDefault="00325552" w:rsidP="00325552">
      <w:pPr>
        <w:jc w:val="both"/>
        <w:rPr>
          <w:lang w:val="de-DE"/>
        </w:rPr>
      </w:pPr>
      <w:r w:rsidRPr="004676F5">
        <w:rPr>
          <w:lang w:val="de-DE"/>
        </w:rPr>
        <w:tab/>
        <w:t>3. Gesetz vom 12. April 1965 über den Transport gasförmiger und anderer Produkte durch Leitungen,</w:t>
      </w:r>
    </w:p>
    <w:p w14:paraId="0701F62B" w14:textId="77777777" w:rsidR="00325552" w:rsidRPr="004676F5" w:rsidRDefault="00325552" w:rsidP="00325552">
      <w:pPr>
        <w:jc w:val="both"/>
        <w:rPr>
          <w:lang w:val="de-DE"/>
        </w:rPr>
      </w:pPr>
    </w:p>
    <w:p w14:paraId="714D8E42" w14:textId="77777777" w:rsidR="00325552" w:rsidRPr="004676F5" w:rsidRDefault="00325552" w:rsidP="00325552">
      <w:pPr>
        <w:jc w:val="both"/>
        <w:rPr>
          <w:lang w:val="de-DE"/>
        </w:rPr>
      </w:pPr>
      <w:r w:rsidRPr="004676F5">
        <w:rPr>
          <w:lang w:val="de-DE"/>
        </w:rPr>
        <w:tab/>
        <w:t>4. Gesetz vom 9. Juli 1971 zur Regelung des Wohnungsbaus und des Verkaufs von zu bauenden oder im Bau befindlichen Wohnungen,</w:t>
      </w:r>
    </w:p>
    <w:p w14:paraId="4757747C" w14:textId="77777777" w:rsidR="00325552" w:rsidRPr="004676F5" w:rsidRDefault="00325552" w:rsidP="00325552">
      <w:pPr>
        <w:jc w:val="both"/>
        <w:rPr>
          <w:lang w:val="de-DE"/>
        </w:rPr>
      </w:pPr>
    </w:p>
    <w:p w14:paraId="011C924A" w14:textId="77777777" w:rsidR="00325552" w:rsidRPr="004676F5" w:rsidRDefault="00325552" w:rsidP="00325552">
      <w:pPr>
        <w:jc w:val="both"/>
        <w:rPr>
          <w:lang w:val="de-DE"/>
        </w:rPr>
      </w:pPr>
      <w:r w:rsidRPr="004676F5">
        <w:rPr>
          <w:lang w:val="de-DE"/>
        </w:rPr>
        <w:tab/>
        <w:t>5. Gesetz vom 24. Januar 1977 über den Schutz der Gesundheit der Verbraucher im Bereich der Lebensmittel und anderer Waren,</w:t>
      </w:r>
    </w:p>
    <w:p w14:paraId="4024E12C" w14:textId="77777777" w:rsidR="00325552" w:rsidRPr="004676F5" w:rsidRDefault="00325552" w:rsidP="00325552">
      <w:pPr>
        <w:jc w:val="both"/>
        <w:rPr>
          <w:lang w:val="de-DE"/>
        </w:rPr>
      </w:pPr>
    </w:p>
    <w:p w14:paraId="61DF28FA" w14:textId="77777777" w:rsidR="00325552" w:rsidRPr="004676F5" w:rsidRDefault="00325552" w:rsidP="00325552">
      <w:pPr>
        <w:jc w:val="both"/>
        <w:rPr>
          <w:lang w:val="de-DE"/>
        </w:rPr>
      </w:pPr>
      <w:r w:rsidRPr="004676F5">
        <w:rPr>
          <w:lang w:val="de-DE"/>
        </w:rPr>
        <w:tab/>
        <w:t>6. Gesetz vom 21. November 1989 über die Haftpflichtversicherung in Bezug auf Kraftfahrzeuge</w:t>
      </w:r>
      <w:r w:rsidRPr="004676F5">
        <w:rPr>
          <w:i/>
          <w:lang w:val="de-DE"/>
        </w:rPr>
        <w:t>,</w:t>
      </w:r>
    </w:p>
    <w:p w14:paraId="4933FBE0" w14:textId="77777777" w:rsidR="00325552" w:rsidRPr="004676F5" w:rsidRDefault="00325552" w:rsidP="00325552">
      <w:pPr>
        <w:jc w:val="both"/>
        <w:rPr>
          <w:lang w:val="de-DE"/>
        </w:rPr>
      </w:pPr>
    </w:p>
    <w:p w14:paraId="6A52A048" w14:textId="77777777" w:rsidR="00325552" w:rsidRPr="004676F5" w:rsidRDefault="00325552" w:rsidP="00325552">
      <w:pPr>
        <w:jc w:val="both"/>
        <w:rPr>
          <w:lang w:val="de-DE"/>
        </w:rPr>
      </w:pPr>
      <w:r w:rsidRPr="004676F5">
        <w:rPr>
          <w:lang w:val="de-DE"/>
        </w:rPr>
        <w:tab/>
        <w:t>7. Gesetz vom 25. Februar 1991 über die Haftung für mangelhafte Produkte,</w:t>
      </w:r>
    </w:p>
    <w:p w14:paraId="7EDBD72C" w14:textId="77777777" w:rsidR="00325552" w:rsidRPr="004676F5" w:rsidRDefault="00325552" w:rsidP="00325552">
      <w:pPr>
        <w:jc w:val="both"/>
        <w:rPr>
          <w:lang w:val="de-DE"/>
        </w:rPr>
      </w:pPr>
    </w:p>
    <w:p w14:paraId="52DABE33" w14:textId="77777777" w:rsidR="00325552" w:rsidRPr="004676F5" w:rsidRDefault="00325552" w:rsidP="00325552">
      <w:pPr>
        <w:jc w:val="both"/>
        <w:rPr>
          <w:lang w:val="de-DE"/>
        </w:rPr>
      </w:pPr>
      <w:r w:rsidRPr="004676F5">
        <w:rPr>
          <w:lang w:val="de-DE"/>
        </w:rPr>
        <w:tab/>
        <w:t>8. </w:t>
      </w:r>
      <w:r w:rsidR="00921020" w:rsidRPr="004676F5">
        <w:rPr>
          <w:lang w:val="de-DE"/>
        </w:rPr>
        <w:t>[Teil 4 des Gesetzes vom 4. April 2014 über die Versicherungen,]</w:t>
      </w:r>
    </w:p>
    <w:p w14:paraId="2CBF9740" w14:textId="77777777" w:rsidR="00325552" w:rsidRPr="004676F5" w:rsidRDefault="00325552" w:rsidP="00325552">
      <w:pPr>
        <w:jc w:val="both"/>
        <w:rPr>
          <w:lang w:val="de-DE"/>
        </w:rPr>
      </w:pPr>
    </w:p>
    <w:p w14:paraId="4D1A3B3B" w14:textId="77777777" w:rsidR="00325552" w:rsidRPr="004676F5" w:rsidRDefault="00325552" w:rsidP="00325552">
      <w:pPr>
        <w:jc w:val="both"/>
        <w:rPr>
          <w:lang w:val="de-DE"/>
        </w:rPr>
      </w:pPr>
      <w:r w:rsidRPr="004676F5">
        <w:rPr>
          <w:lang w:val="de-DE"/>
        </w:rPr>
        <w:tab/>
        <w:t>9. Gesetz vom 9. März 1993 zur Regelung und Kontrolle der Tätigkeiten von Heiratsvermittlungsstellen,</w:t>
      </w:r>
    </w:p>
    <w:p w14:paraId="025F1D21" w14:textId="77777777" w:rsidR="00325552" w:rsidRPr="004676F5" w:rsidRDefault="00325552" w:rsidP="00325552">
      <w:pPr>
        <w:jc w:val="both"/>
        <w:rPr>
          <w:lang w:val="de-DE"/>
        </w:rPr>
      </w:pPr>
    </w:p>
    <w:p w14:paraId="15ED3489" w14:textId="4C2F5BC4" w:rsidR="00325552" w:rsidRPr="004676F5" w:rsidRDefault="00325552" w:rsidP="00325552">
      <w:pPr>
        <w:jc w:val="both"/>
        <w:rPr>
          <w:lang w:val="de-DE"/>
        </w:rPr>
      </w:pPr>
      <w:r w:rsidRPr="004676F5">
        <w:rPr>
          <w:lang w:val="de-DE"/>
        </w:rPr>
        <w:tab/>
        <w:t>10. Gesetz vom 8. Dezember 1992 über den Schutz des Privatlebens hinsichtlich der Verarbeitung personenbezogener Daten,</w:t>
      </w:r>
    </w:p>
    <w:p w14:paraId="4FE04AE4" w14:textId="6AA5DAC0" w:rsidR="00E86E64" w:rsidRPr="004676F5" w:rsidRDefault="00E86E64" w:rsidP="00325552">
      <w:pPr>
        <w:jc w:val="both"/>
        <w:rPr>
          <w:lang w:val="de-DE"/>
        </w:rPr>
      </w:pPr>
    </w:p>
    <w:p w14:paraId="77C5F45A" w14:textId="468692B7" w:rsidR="00E86E64" w:rsidRPr="004676F5" w:rsidRDefault="00E86E64" w:rsidP="00325552">
      <w:pPr>
        <w:jc w:val="both"/>
        <w:rPr>
          <w:lang w:val="de-DE"/>
        </w:rPr>
      </w:pPr>
      <w:r w:rsidRPr="004676F5">
        <w:rPr>
          <w:lang w:val="de-DE"/>
        </w:rPr>
        <w:tab/>
        <w:t>[10/1. Verordnung (EU) 2016/679 des Europäischen Parlaments und des Rates vom 27. April 2016 zum Schutz natürlicher Personen bei der Verarbeitung personenbezogener Daten, zum freien Datenverkehr und zur Aufhebung der Richtlinie 95/46/EG,]</w:t>
      </w:r>
    </w:p>
    <w:p w14:paraId="4805326E" w14:textId="77777777" w:rsidR="00325552" w:rsidRPr="004676F5" w:rsidRDefault="00325552" w:rsidP="00325552">
      <w:pPr>
        <w:jc w:val="both"/>
        <w:rPr>
          <w:lang w:val="de-DE"/>
        </w:rPr>
      </w:pPr>
    </w:p>
    <w:p w14:paraId="0A6C7B75" w14:textId="77777777" w:rsidR="00325552" w:rsidRPr="004676F5" w:rsidRDefault="00325552" w:rsidP="00325552">
      <w:pPr>
        <w:jc w:val="both"/>
        <w:rPr>
          <w:lang w:val="de-DE"/>
        </w:rPr>
      </w:pPr>
      <w:r w:rsidRPr="004676F5">
        <w:rPr>
          <w:lang w:val="de-DE"/>
        </w:rPr>
        <w:tab/>
        <w:t>11. Artikel 21 Nr. 5 des Einkommensteuergesetzbuches,</w:t>
      </w:r>
    </w:p>
    <w:p w14:paraId="7EC8F4A4" w14:textId="77777777" w:rsidR="00325552" w:rsidRPr="004676F5" w:rsidRDefault="00325552" w:rsidP="00325552">
      <w:pPr>
        <w:jc w:val="both"/>
        <w:rPr>
          <w:lang w:val="de-DE"/>
        </w:rPr>
      </w:pPr>
    </w:p>
    <w:p w14:paraId="7E5E402B" w14:textId="08566860" w:rsidR="00325552" w:rsidRPr="004676F5" w:rsidRDefault="00325552" w:rsidP="00325552">
      <w:pPr>
        <w:jc w:val="both"/>
        <w:rPr>
          <w:lang w:val="de-DE"/>
        </w:rPr>
      </w:pPr>
      <w:r w:rsidRPr="004676F5">
        <w:rPr>
          <w:lang w:val="de-DE"/>
        </w:rPr>
        <w:tab/>
        <w:t>12. Gesetz vom 25. Juni 1993 über die Ausübung und die Organisation des Wander</w:t>
      </w:r>
      <w:r w:rsidR="005B7A5C" w:rsidRPr="004676F5">
        <w:rPr>
          <w:lang w:val="de-DE"/>
        </w:rPr>
        <w:t>- </w:t>
      </w:r>
      <w:r w:rsidRPr="004676F5">
        <w:rPr>
          <w:lang w:val="de-DE"/>
        </w:rPr>
        <w:t>und Kirmesgewerbes,</w:t>
      </w:r>
    </w:p>
    <w:p w14:paraId="00D0B6EC" w14:textId="77777777" w:rsidR="00325552" w:rsidRPr="004676F5" w:rsidRDefault="00325552" w:rsidP="00325552">
      <w:pPr>
        <w:jc w:val="both"/>
        <w:rPr>
          <w:lang w:val="de-DE"/>
        </w:rPr>
      </w:pPr>
    </w:p>
    <w:p w14:paraId="6206349A" w14:textId="18F55291" w:rsidR="00325552" w:rsidRPr="004676F5" w:rsidRDefault="00325552" w:rsidP="00325552">
      <w:pPr>
        <w:jc w:val="both"/>
        <w:rPr>
          <w:lang w:val="de-DE"/>
        </w:rPr>
      </w:pPr>
      <w:r w:rsidRPr="004676F5">
        <w:rPr>
          <w:lang w:val="de-DE"/>
        </w:rPr>
        <w:lastRenderedPageBreak/>
        <w:tab/>
        <w:t>13. </w:t>
      </w:r>
      <w:r w:rsidR="00A1562E" w:rsidRPr="004676F5">
        <w:rPr>
          <w:lang w:val="de-DE"/>
        </w:rPr>
        <w:t>[Gesetz vom 21. November 2017 über den Verkauf von Pauschalreisen, verbundenen Reiseleistungen und Reiseleistungen,]</w:t>
      </w:r>
    </w:p>
    <w:p w14:paraId="183B465D" w14:textId="35071E00" w:rsidR="00E86E64" w:rsidRPr="004676F5" w:rsidRDefault="00E86E64" w:rsidP="00325552">
      <w:pPr>
        <w:jc w:val="both"/>
        <w:rPr>
          <w:lang w:val="de-DE"/>
        </w:rPr>
      </w:pPr>
    </w:p>
    <w:p w14:paraId="6D16B306" w14:textId="62C2D8BE" w:rsidR="00E86E64" w:rsidRPr="004676F5" w:rsidRDefault="00E86E64" w:rsidP="00325552">
      <w:pPr>
        <w:jc w:val="both"/>
        <w:rPr>
          <w:lang w:val="de-DE"/>
        </w:rPr>
      </w:pPr>
      <w:r w:rsidRPr="004676F5">
        <w:rPr>
          <w:lang w:val="de-DE"/>
        </w:rPr>
        <w:tab/>
        <w:t>[13/1. </w:t>
      </w:r>
      <w:r w:rsidR="00A1562E" w:rsidRPr="004676F5">
        <w:rPr>
          <w:lang w:val="de-DE"/>
        </w:rPr>
        <w:t>[...]</w:t>
      </w:r>
      <w:r w:rsidRPr="004676F5">
        <w:rPr>
          <w:lang w:val="de-DE"/>
        </w:rPr>
        <w:t>]</w:t>
      </w:r>
    </w:p>
    <w:p w14:paraId="231CF2FB" w14:textId="77777777" w:rsidR="00325552" w:rsidRPr="004676F5" w:rsidRDefault="00325552" w:rsidP="00325552">
      <w:pPr>
        <w:jc w:val="both"/>
        <w:rPr>
          <w:lang w:val="de-DE"/>
        </w:rPr>
      </w:pPr>
    </w:p>
    <w:p w14:paraId="28A24FDE" w14:textId="77777777" w:rsidR="00325552" w:rsidRPr="004676F5" w:rsidRDefault="00325552" w:rsidP="00325552">
      <w:pPr>
        <w:jc w:val="both"/>
        <w:rPr>
          <w:lang w:val="de-DE"/>
        </w:rPr>
      </w:pPr>
      <w:r w:rsidRPr="004676F5">
        <w:rPr>
          <w:lang w:val="de-DE"/>
        </w:rPr>
        <w:tab/>
        <w:t>14. Verordnung (EG) Nr. 2027/97 des Rates vom 9. Oktober 1997 über die Haftung von Luftfahrtunternehmen bei Unfällen,</w:t>
      </w:r>
    </w:p>
    <w:p w14:paraId="75DEB277" w14:textId="77777777" w:rsidR="00325552" w:rsidRPr="004676F5" w:rsidRDefault="00325552" w:rsidP="00325552">
      <w:pPr>
        <w:jc w:val="both"/>
        <w:rPr>
          <w:lang w:val="de-DE"/>
        </w:rPr>
      </w:pPr>
    </w:p>
    <w:p w14:paraId="7B716F9F" w14:textId="77777777" w:rsidR="00325552" w:rsidRPr="004676F5" w:rsidRDefault="00325552" w:rsidP="00325552">
      <w:pPr>
        <w:jc w:val="both"/>
        <w:rPr>
          <w:lang w:val="de-DE"/>
        </w:rPr>
      </w:pPr>
      <w:r w:rsidRPr="004676F5">
        <w:rPr>
          <w:lang w:val="de-DE"/>
        </w:rPr>
        <w:tab/>
        <w:t xml:space="preserve">15. Gesetz vom 29. April 1999 über die Organisation des Elektrizitätsmarktes, </w:t>
      </w:r>
    </w:p>
    <w:p w14:paraId="49D41249" w14:textId="77777777" w:rsidR="00325552" w:rsidRPr="004676F5" w:rsidRDefault="00325552" w:rsidP="00325552">
      <w:pPr>
        <w:jc w:val="both"/>
        <w:rPr>
          <w:lang w:val="de-DE"/>
        </w:rPr>
      </w:pPr>
    </w:p>
    <w:p w14:paraId="67CE472B" w14:textId="77777777" w:rsidR="00325552" w:rsidRPr="004676F5" w:rsidRDefault="00325552" w:rsidP="00325552">
      <w:pPr>
        <w:jc w:val="both"/>
        <w:rPr>
          <w:lang w:val="de-DE"/>
        </w:rPr>
      </w:pPr>
      <w:r w:rsidRPr="004676F5">
        <w:rPr>
          <w:lang w:val="de-DE"/>
        </w:rPr>
        <w:tab/>
        <w:t>16. Gesetz vom 29. April 1999 über die Organisation des Gasmarktes und den steuerrechtlichen Status der Stromerzeuger,</w:t>
      </w:r>
    </w:p>
    <w:p w14:paraId="6F8D35DA" w14:textId="77777777" w:rsidR="00325552" w:rsidRPr="004676F5" w:rsidRDefault="00325552" w:rsidP="00325552">
      <w:pPr>
        <w:jc w:val="both"/>
        <w:rPr>
          <w:lang w:val="de-DE"/>
        </w:rPr>
      </w:pPr>
    </w:p>
    <w:p w14:paraId="1757E85B" w14:textId="77777777" w:rsidR="00325552" w:rsidRPr="004676F5" w:rsidRDefault="00325552" w:rsidP="00325552">
      <w:pPr>
        <w:jc w:val="both"/>
        <w:rPr>
          <w:lang w:val="de-DE"/>
        </w:rPr>
      </w:pPr>
      <w:r w:rsidRPr="004676F5">
        <w:rPr>
          <w:lang w:val="de-DE"/>
        </w:rPr>
        <w:tab/>
        <w:t>17. Artikel 25 § 5, 27 §§ 2 und 3, 28t</w:t>
      </w:r>
      <w:r w:rsidRPr="004676F5">
        <w:rPr>
          <w:i/>
          <w:lang w:val="de-DE"/>
        </w:rPr>
        <w:t>er</w:t>
      </w:r>
      <w:r w:rsidRPr="004676F5">
        <w:rPr>
          <w:lang w:val="de-DE"/>
        </w:rPr>
        <w:t>, 30</w:t>
      </w:r>
      <w:r w:rsidRPr="004676F5">
        <w:rPr>
          <w:i/>
          <w:lang w:val="de-DE"/>
        </w:rPr>
        <w:t>bis</w:t>
      </w:r>
      <w:r w:rsidRPr="004676F5">
        <w:rPr>
          <w:lang w:val="de-DE"/>
        </w:rPr>
        <w:t xml:space="preserve"> und 39 § 3 des Gesetzes vom 2. August 2002 über die Aufsicht über den Finanzsektor und die Finanzdienstleistungen und in Artikel 86</w:t>
      </w:r>
      <w:r w:rsidRPr="004676F5">
        <w:rPr>
          <w:i/>
          <w:lang w:val="de-DE"/>
        </w:rPr>
        <w:t>bis</w:t>
      </w:r>
      <w:r w:rsidRPr="004676F5">
        <w:rPr>
          <w:lang w:val="de-DE"/>
        </w:rPr>
        <w:t xml:space="preserve"> desselben Gesetzes erwähnte Verstöße,</w:t>
      </w:r>
    </w:p>
    <w:p w14:paraId="22799DCA" w14:textId="77777777" w:rsidR="00325552" w:rsidRPr="004676F5" w:rsidRDefault="00325552" w:rsidP="00325552">
      <w:pPr>
        <w:jc w:val="both"/>
        <w:rPr>
          <w:lang w:val="de-DE"/>
        </w:rPr>
      </w:pPr>
    </w:p>
    <w:p w14:paraId="2EA700BC" w14:textId="77777777" w:rsidR="00325552" w:rsidRPr="004676F5" w:rsidRDefault="00325552" w:rsidP="00325552">
      <w:pPr>
        <w:jc w:val="both"/>
        <w:rPr>
          <w:lang w:val="de-DE"/>
        </w:rPr>
      </w:pPr>
      <w:r w:rsidRPr="004676F5">
        <w:rPr>
          <w:lang w:val="de-DE"/>
        </w:rPr>
        <w:tab/>
        <w:t>18. Gesetz vom 20. Dezember 2002 über die gütliche Eintreibung von Verbraucher</w:t>
      </w:r>
      <w:r w:rsidRPr="004676F5">
        <w:rPr>
          <w:lang w:val="de-DE"/>
        </w:rPr>
        <w:softHyphen/>
        <w:t>schulden,</w:t>
      </w:r>
    </w:p>
    <w:p w14:paraId="57D40888" w14:textId="77777777" w:rsidR="00325552" w:rsidRPr="004676F5" w:rsidRDefault="00325552" w:rsidP="00325552">
      <w:pPr>
        <w:jc w:val="both"/>
        <w:rPr>
          <w:lang w:val="de-DE"/>
        </w:rPr>
      </w:pPr>
    </w:p>
    <w:p w14:paraId="7C583A3F" w14:textId="6611A8AB" w:rsidR="00325552" w:rsidRPr="004676F5" w:rsidRDefault="00325552" w:rsidP="00325552">
      <w:pPr>
        <w:jc w:val="both"/>
        <w:rPr>
          <w:lang w:val="de-DE"/>
        </w:rPr>
      </w:pPr>
      <w:r w:rsidRPr="004676F5">
        <w:rPr>
          <w:lang w:val="de-DE"/>
        </w:rPr>
        <w:tab/>
        <w:t>19. Verordnung (EG) Nr. 261/2004 des Europäischen Parlaments und des Rates vom 11. Februar 2004 über eine gemeinsame Regelung für Ausgleichs</w:t>
      </w:r>
      <w:r w:rsidR="005B7A5C" w:rsidRPr="004676F5">
        <w:rPr>
          <w:lang w:val="de-DE"/>
        </w:rPr>
        <w:t>- </w:t>
      </w:r>
      <w:r w:rsidRPr="004676F5">
        <w:rPr>
          <w:lang w:val="de-DE"/>
        </w:rPr>
        <w:t>und Unterstützungsleistungen für Fluggäste im Fall der Nichtbeförderung und bei Annullierung oder großer Verspätung von Flügen und zur Aufhebung der Verordnung (EWG) Nr. 295/91,</w:t>
      </w:r>
    </w:p>
    <w:p w14:paraId="5FBF71DB" w14:textId="77777777" w:rsidR="00325552" w:rsidRPr="004676F5" w:rsidRDefault="00325552" w:rsidP="00325552">
      <w:pPr>
        <w:jc w:val="both"/>
        <w:rPr>
          <w:lang w:val="de-DE"/>
        </w:rPr>
      </w:pPr>
    </w:p>
    <w:p w14:paraId="4E7FB8D9" w14:textId="77777777" w:rsidR="00325552" w:rsidRPr="004676F5" w:rsidRDefault="00325552" w:rsidP="00325552">
      <w:pPr>
        <w:jc w:val="both"/>
        <w:rPr>
          <w:lang w:val="de-DE"/>
        </w:rPr>
      </w:pPr>
      <w:r w:rsidRPr="004676F5">
        <w:rPr>
          <w:lang w:val="de-DE"/>
        </w:rPr>
        <w:tab/>
        <w:t>20. Gesetz vom 11. Juni 2004 zur Unterdrückung von Betrugshandlungen mit dem Kilometerstand von Fahrzeugen,</w:t>
      </w:r>
    </w:p>
    <w:p w14:paraId="14E331F4" w14:textId="77777777" w:rsidR="00325552" w:rsidRPr="004676F5" w:rsidRDefault="00325552" w:rsidP="00325552">
      <w:pPr>
        <w:jc w:val="both"/>
        <w:rPr>
          <w:lang w:val="de-DE"/>
        </w:rPr>
      </w:pPr>
    </w:p>
    <w:p w14:paraId="6B001E4D" w14:textId="3E09E01B" w:rsidR="00325552" w:rsidRPr="004676F5" w:rsidRDefault="00325552" w:rsidP="00325552">
      <w:pPr>
        <w:jc w:val="both"/>
        <w:rPr>
          <w:lang w:val="de-DE"/>
        </w:rPr>
      </w:pPr>
      <w:r w:rsidRPr="004676F5">
        <w:rPr>
          <w:lang w:val="de-DE"/>
        </w:rPr>
        <w:tab/>
        <w:t>21. </w:t>
      </w:r>
      <w:r w:rsidR="00BA5F18" w:rsidRPr="004676F5">
        <w:rPr>
          <w:lang w:val="de-DE"/>
        </w:rPr>
        <w:t>[Gesetz vom 20. März 2022 zur Abänderung der Bestimmungen des früheren Zivilgesetzbuches über den Verkauf an Verbraucher, zur Einfügung eines neuen Titels 6</w:t>
      </w:r>
      <w:r w:rsidR="00BA5F18" w:rsidRPr="004676F5">
        <w:rPr>
          <w:i/>
          <w:iCs/>
          <w:lang w:val="de-DE"/>
        </w:rPr>
        <w:t>bis</w:t>
      </w:r>
      <w:r w:rsidR="00BA5F18" w:rsidRPr="004676F5">
        <w:rPr>
          <w:lang w:val="de-DE"/>
        </w:rPr>
        <w:t xml:space="preserve"> in Buch 3 des früheren Zivilgesetzbuches und zur Abänderung des Wirtschaftsgesetzbuches,]</w:t>
      </w:r>
    </w:p>
    <w:p w14:paraId="7E9766CE" w14:textId="77777777" w:rsidR="00325552" w:rsidRPr="004676F5" w:rsidRDefault="00325552" w:rsidP="00325552">
      <w:pPr>
        <w:jc w:val="both"/>
        <w:rPr>
          <w:lang w:val="de-DE"/>
        </w:rPr>
      </w:pPr>
    </w:p>
    <w:p w14:paraId="114FF057" w14:textId="77777777" w:rsidR="00325552" w:rsidRPr="004676F5" w:rsidRDefault="00325552" w:rsidP="00325552">
      <w:pPr>
        <w:jc w:val="both"/>
        <w:rPr>
          <w:lang w:val="de-DE"/>
        </w:rPr>
      </w:pPr>
      <w:r w:rsidRPr="004676F5">
        <w:rPr>
          <w:lang w:val="de-DE"/>
        </w:rPr>
        <w:tab/>
        <w:t>22. Gesetz vom 13. Juni 2005 über die elektronische Kommunikation,</w:t>
      </w:r>
    </w:p>
    <w:p w14:paraId="42C3E4B0" w14:textId="77777777" w:rsidR="00325552" w:rsidRPr="004676F5" w:rsidRDefault="00325552" w:rsidP="00325552">
      <w:pPr>
        <w:jc w:val="both"/>
        <w:rPr>
          <w:lang w:val="de-DE"/>
        </w:rPr>
      </w:pPr>
    </w:p>
    <w:p w14:paraId="70291EC8" w14:textId="77777777" w:rsidR="00325552" w:rsidRPr="004676F5" w:rsidRDefault="00325552" w:rsidP="00325552">
      <w:pPr>
        <w:jc w:val="both"/>
        <w:rPr>
          <w:lang w:val="de-DE"/>
        </w:rPr>
      </w:pPr>
      <w:r w:rsidRPr="004676F5">
        <w:rPr>
          <w:lang w:val="de-DE"/>
        </w:rPr>
        <w:tab/>
        <w:t xml:space="preserve">23. Verordnung (EG) Nr. 2111/2005 des Europäischen Parlaments und des Rates vom 14. Dezember 2005 über die Erstellung einer gemeinschaftlichen Liste der Luftfahrtunternehmen, gegen die in der Gemeinschaft eine Betriebsuntersagung ergangen ist, sowie über die Unterrichtung von Fluggästen über die Identität des ausführenden Luftfahrtunternehmens und zur Aufhebung des Artikels 9 der Richtlinie 2004/36/EG, </w:t>
      </w:r>
    </w:p>
    <w:p w14:paraId="748EDF9B" w14:textId="77777777" w:rsidR="00325552" w:rsidRPr="004676F5" w:rsidRDefault="00325552" w:rsidP="00325552">
      <w:pPr>
        <w:jc w:val="both"/>
        <w:rPr>
          <w:lang w:val="de-DE"/>
        </w:rPr>
      </w:pPr>
    </w:p>
    <w:p w14:paraId="28252E61" w14:textId="77777777" w:rsidR="00325552" w:rsidRPr="004676F5" w:rsidRDefault="00325552" w:rsidP="00325552">
      <w:pPr>
        <w:jc w:val="both"/>
        <w:rPr>
          <w:lang w:val="de-DE"/>
        </w:rPr>
      </w:pPr>
      <w:r w:rsidRPr="004676F5">
        <w:rPr>
          <w:lang w:val="de-DE"/>
        </w:rPr>
        <w:tab/>
        <w:t>24. Verordnung (EG) Nr. 1107/2006 des Europäischen Parlaments und des Rates vom 5. Juli 2006 über die Rechte von behinderten Flugreisenden und Flugreisenden mit eingeschränkter Mobilität,</w:t>
      </w:r>
    </w:p>
    <w:p w14:paraId="3570F676" w14:textId="77777777" w:rsidR="00325552" w:rsidRPr="004676F5" w:rsidRDefault="00325552" w:rsidP="00325552">
      <w:pPr>
        <w:jc w:val="both"/>
        <w:rPr>
          <w:lang w:val="de-DE"/>
        </w:rPr>
      </w:pPr>
    </w:p>
    <w:p w14:paraId="49ABE1B0" w14:textId="0E8B2E38" w:rsidR="00325552" w:rsidRPr="004676F5" w:rsidRDefault="00325552" w:rsidP="00325552">
      <w:pPr>
        <w:jc w:val="both"/>
        <w:rPr>
          <w:lang w:val="de-DE"/>
        </w:rPr>
      </w:pPr>
      <w:r w:rsidRPr="004676F5">
        <w:rPr>
          <w:lang w:val="de-DE"/>
        </w:rPr>
        <w:tab/>
        <w:t>25. Gesetz vom 15. Mai 2007 über den Schutz der Verbraucher hinsichtlich der Rundfunk</w:t>
      </w:r>
      <w:r w:rsidR="005B7A5C" w:rsidRPr="004676F5">
        <w:rPr>
          <w:lang w:val="de-DE"/>
        </w:rPr>
        <w:t>- </w:t>
      </w:r>
      <w:r w:rsidRPr="004676F5">
        <w:rPr>
          <w:lang w:val="de-DE"/>
        </w:rPr>
        <w:t>und Fernsehübertragungs</w:t>
      </w:r>
      <w:r w:rsidR="005B7A5C" w:rsidRPr="004676F5">
        <w:rPr>
          <w:lang w:val="de-DE"/>
        </w:rPr>
        <w:t>- </w:t>
      </w:r>
      <w:r w:rsidRPr="004676F5">
        <w:rPr>
          <w:lang w:val="de-DE"/>
        </w:rPr>
        <w:t>und -verteilungsdienste,</w:t>
      </w:r>
    </w:p>
    <w:p w14:paraId="61FDE817" w14:textId="77777777" w:rsidR="00325552" w:rsidRPr="004676F5" w:rsidRDefault="00325552" w:rsidP="00325552">
      <w:pPr>
        <w:jc w:val="both"/>
        <w:rPr>
          <w:lang w:val="de-DE"/>
        </w:rPr>
      </w:pPr>
    </w:p>
    <w:p w14:paraId="64BD9B50" w14:textId="77777777" w:rsidR="00325552" w:rsidRPr="004676F5" w:rsidRDefault="00325552" w:rsidP="00325552">
      <w:pPr>
        <w:jc w:val="both"/>
        <w:rPr>
          <w:lang w:val="de-DE"/>
        </w:rPr>
      </w:pPr>
      <w:r w:rsidRPr="004676F5">
        <w:rPr>
          <w:lang w:val="de-DE"/>
        </w:rPr>
        <w:tab/>
        <w:t>26. Gesetz vom 3. Juni 2007 über die unentgeltliche Bürgschaft,</w:t>
      </w:r>
    </w:p>
    <w:p w14:paraId="58FC278C" w14:textId="77777777" w:rsidR="00325552" w:rsidRPr="004676F5" w:rsidRDefault="00325552" w:rsidP="00325552">
      <w:pPr>
        <w:jc w:val="both"/>
        <w:rPr>
          <w:lang w:val="de-DE"/>
        </w:rPr>
      </w:pPr>
    </w:p>
    <w:p w14:paraId="5C861DBE" w14:textId="77777777" w:rsidR="00325552" w:rsidRPr="004676F5" w:rsidRDefault="00325552" w:rsidP="00325552">
      <w:pPr>
        <w:jc w:val="both"/>
        <w:rPr>
          <w:lang w:val="de-DE"/>
        </w:rPr>
      </w:pPr>
      <w:r w:rsidRPr="004676F5">
        <w:rPr>
          <w:lang w:val="de-DE"/>
        </w:rPr>
        <w:lastRenderedPageBreak/>
        <w:tab/>
        <w:t>27. Verordnung (EG) Nr. 1371/2007 des Europäischen Parlaments und des Rates vom 23. Oktober 2007 über die Rechte und Pflichten der Fahrgäste im Eisenbahnverkehr,</w:t>
      </w:r>
    </w:p>
    <w:p w14:paraId="202FF3D7" w14:textId="77777777" w:rsidR="00325552" w:rsidRPr="004676F5" w:rsidRDefault="00325552" w:rsidP="00325552">
      <w:pPr>
        <w:jc w:val="both"/>
        <w:rPr>
          <w:lang w:val="de-DE"/>
        </w:rPr>
      </w:pPr>
    </w:p>
    <w:p w14:paraId="6AAA5592" w14:textId="77777777" w:rsidR="00325552" w:rsidRPr="004676F5" w:rsidRDefault="00325552" w:rsidP="00325552">
      <w:pPr>
        <w:jc w:val="both"/>
        <w:rPr>
          <w:lang w:val="de-DE"/>
        </w:rPr>
      </w:pPr>
      <w:r w:rsidRPr="004676F5">
        <w:rPr>
          <w:lang w:val="de-DE"/>
        </w:rPr>
        <w:tab/>
        <w:t>28. Artikel 23 bis 52 des Gesetzes vom 24. Juli 2008 zur Festlegung verschiedener Bestimmungen,</w:t>
      </w:r>
    </w:p>
    <w:p w14:paraId="23A1B368" w14:textId="77777777" w:rsidR="00325552" w:rsidRPr="004676F5" w:rsidRDefault="00325552" w:rsidP="00325552">
      <w:pPr>
        <w:jc w:val="both"/>
        <w:rPr>
          <w:lang w:val="de-DE"/>
        </w:rPr>
      </w:pPr>
    </w:p>
    <w:p w14:paraId="0D6C6FCE" w14:textId="13EF66C5" w:rsidR="00325552" w:rsidRPr="004676F5" w:rsidRDefault="00325552" w:rsidP="00325552">
      <w:pPr>
        <w:jc w:val="both"/>
        <w:rPr>
          <w:lang w:val="de-DE"/>
        </w:rPr>
      </w:pPr>
      <w:r w:rsidRPr="004676F5">
        <w:rPr>
          <w:lang w:val="de-DE"/>
        </w:rPr>
        <w:tab/>
        <w:t>29. Verordnung (EU) Nr. 1177/2010 des Europäischen Parlaments und des Rates vom 24. November 2010 über die Fahrgastrechte im See</w:t>
      </w:r>
      <w:r w:rsidR="005B7A5C" w:rsidRPr="004676F5">
        <w:rPr>
          <w:lang w:val="de-DE"/>
        </w:rPr>
        <w:t>- </w:t>
      </w:r>
      <w:r w:rsidRPr="004676F5">
        <w:rPr>
          <w:lang w:val="de-DE"/>
        </w:rPr>
        <w:t>und Binnenschiffsverkehr und zur Änderung der Verordnung (EG) Nr. 2006/2004,</w:t>
      </w:r>
    </w:p>
    <w:p w14:paraId="1409EF35" w14:textId="77777777" w:rsidR="00325552" w:rsidRPr="004676F5" w:rsidRDefault="00325552" w:rsidP="00325552">
      <w:pPr>
        <w:jc w:val="both"/>
        <w:rPr>
          <w:lang w:val="de-DE"/>
        </w:rPr>
      </w:pPr>
    </w:p>
    <w:p w14:paraId="5C2A6EA9" w14:textId="77777777" w:rsidR="00325552" w:rsidRPr="004676F5" w:rsidRDefault="00325552" w:rsidP="00325552">
      <w:pPr>
        <w:jc w:val="both"/>
        <w:rPr>
          <w:lang w:val="de-DE"/>
        </w:rPr>
      </w:pPr>
      <w:r w:rsidRPr="004676F5">
        <w:rPr>
          <w:lang w:val="de-DE"/>
        </w:rPr>
        <w:tab/>
        <w:t>30. Verordnung (EU) Nr. 181/2011 des Europäischen Parlaments und des Rates vom 16. Februar 2011 über die Fahrgastrechte im Kraftomnibusverkehr und zur Änderung der Verordnung (EG) Nr. 2006/2004,</w:t>
      </w:r>
    </w:p>
    <w:p w14:paraId="62E44241" w14:textId="77777777" w:rsidR="00325552" w:rsidRPr="004676F5" w:rsidRDefault="00325552" w:rsidP="00325552">
      <w:pPr>
        <w:jc w:val="both"/>
        <w:rPr>
          <w:lang w:val="de-DE"/>
        </w:rPr>
      </w:pPr>
    </w:p>
    <w:p w14:paraId="69CE90ED" w14:textId="77777777" w:rsidR="00921020" w:rsidRPr="004676F5" w:rsidRDefault="00325552" w:rsidP="00325552">
      <w:pPr>
        <w:jc w:val="both"/>
        <w:rPr>
          <w:lang w:val="de-DE"/>
        </w:rPr>
      </w:pPr>
      <w:r w:rsidRPr="004676F5">
        <w:rPr>
          <w:lang w:val="de-DE"/>
        </w:rPr>
        <w:tab/>
        <w:t>31. Gesetz vom 30. Juli 2013 über den Weiterverkauf von Eint</w:t>
      </w:r>
      <w:r w:rsidR="00921020" w:rsidRPr="004676F5">
        <w:rPr>
          <w:lang w:val="de-DE"/>
        </w:rPr>
        <w:t>rittskarten für Veranstaltungen,</w:t>
      </w:r>
    </w:p>
    <w:p w14:paraId="349AC1B8" w14:textId="77777777" w:rsidR="00921020" w:rsidRPr="004676F5" w:rsidRDefault="00921020" w:rsidP="00325552">
      <w:pPr>
        <w:jc w:val="both"/>
        <w:rPr>
          <w:lang w:val="de-DE"/>
        </w:rPr>
      </w:pPr>
    </w:p>
    <w:p w14:paraId="30067FB8" w14:textId="40679CE8" w:rsidR="00325552" w:rsidRPr="004676F5" w:rsidRDefault="00921020" w:rsidP="00325552">
      <w:pPr>
        <w:jc w:val="both"/>
        <w:rPr>
          <w:lang w:val="de-DE"/>
        </w:rPr>
      </w:pPr>
      <w:r w:rsidRPr="004676F5">
        <w:rPr>
          <w:lang w:val="de-DE"/>
        </w:rPr>
        <w:tab/>
        <w:t>[32. Gesetz vom 28. August 2011 über den Schutz der Verbraucher im Hinblick auf Teilzeitnutzungsverträge, Verträge über langfristige Urlaubsprodukte sowie Wiederverkaufs</w:t>
      </w:r>
      <w:r w:rsidR="005B7A5C" w:rsidRPr="004676F5">
        <w:rPr>
          <w:lang w:val="de-DE"/>
        </w:rPr>
        <w:t>- </w:t>
      </w:r>
      <w:r w:rsidR="002F21FF" w:rsidRPr="004676F5">
        <w:rPr>
          <w:lang w:val="de-DE"/>
        </w:rPr>
        <w:t>und Tauschverträge,</w:t>
      </w:r>
      <w:r w:rsidRPr="004676F5">
        <w:rPr>
          <w:lang w:val="de-DE"/>
        </w:rPr>
        <w:t>]</w:t>
      </w:r>
    </w:p>
    <w:p w14:paraId="045E8173" w14:textId="77777777" w:rsidR="002F21FF" w:rsidRPr="004676F5" w:rsidRDefault="002F21FF" w:rsidP="00325552">
      <w:pPr>
        <w:jc w:val="both"/>
        <w:rPr>
          <w:lang w:val="de-DE"/>
        </w:rPr>
      </w:pPr>
    </w:p>
    <w:p w14:paraId="3898D6D2" w14:textId="4A150253" w:rsidR="002F21FF" w:rsidRPr="004676F5" w:rsidRDefault="002F21FF" w:rsidP="00325552">
      <w:pPr>
        <w:jc w:val="both"/>
        <w:rPr>
          <w:lang w:val="de-DE"/>
        </w:rPr>
      </w:pPr>
      <w:r w:rsidRPr="004676F5">
        <w:rPr>
          <w:lang w:val="de-DE"/>
        </w:rPr>
        <w:tab/>
        <w:t>[33. Artikel 101 und/oder 102 AEUV</w:t>
      </w:r>
      <w:r w:rsidR="00A1562E" w:rsidRPr="004676F5">
        <w:rPr>
          <w:lang w:val="de-DE"/>
        </w:rPr>
        <w:t>,</w:t>
      </w:r>
      <w:r w:rsidRPr="004676F5">
        <w:rPr>
          <w:lang w:val="de-DE"/>
        </w:rPr>
        <w:t>]</w:t>
      </w:r>
    </w:p>
    <w:p w14:paraId="625B9479" w14:textId="77777777" w:rsidR="00A1562E" w:rsidRPr="004676F5" w:rsidRDefault="00A1562E" w:rsidP="00325552">
      <w:pPr>
        <w:jc w:val="both"/>
        <w:rPr>
          <w:lang w:val="de-DE"/>
        </w:rPr>
      </w:pPr>
    </w:p>
    <w:p w14:paraId="0C2AACBE" w14:textId="5DC56850" w:rsidR="00A1562E" w:rsidRPr="004676F5" w:rsidRDefault="00A1562E" w:rsidP="00A1562E">
      <w:pPr>
        <w:jc w:val="both"/>
        <w:rPr>
          <w:lang w:val="de-DE"/>
        </w:rPr>
      </w:pPr>
      <w:r w:rsidRPr="004676F5">
        <w:rPr>
          <w:lang w:val="de-DE"/>
        </w:rPr>
        <w:tab/>
        <w:t>[34. Bestimmungen des europäischen Rechts wie in Anhang I der Richtlinie (EU) 2020/1828 des Europäischen Parlaments und des Rates vom 25. November 2020 über Verbandsklagen zum Schutz der Kollektivinteressen der Verbraucher und zur Aufhebung der Richtlinie 2009/22/EG erwähnt sowie gegebenenfalls Bestimmungen des belgischen Rechts, mit denen diese Bestimmungen umgesetzt werden,</w:t>
      </w:r>
    </w:p>
    <w:p w14:paraId="5C31B53C" w14:textId="77777777" w:rsidR="00A1562E" w:rsidRPr="004676F5" w:rsidRDefault="00A1562E" w:rsidP="00A1562E">
      <w:pPr>
        <w:jc w:val="both"/>
        <w:rPr>
          <w:lang w:val="de-DE"/>
        </w:rPr>
      </w:pPr>
    </w:p>
    <w:p w14:paraId="54D918BE" w14:textId="3A21C60A" w:rsidR="00A1562E" w:rsidRPr="004676F5" w:rsidRDefault="00A1562E" w:rsidP="00A1562E">
      <w:pPr>
        <w:jc w:val="both"/>
        <w:rPr>
          <w:lang w:val="de-DE"/>
        </w:rPr>
      </w:pPr>
      <w:r w:rsidRPr="004676F5">
        <w:rPr>
          <w:lang w:val="de-DE"/>
        </w:rPr>
        <w:tab/>
        <w:t>35. Gesetz vom 2. August 2002 zur Bekämpfung von Zahlungsverzug im Geschäftsverkehr.]</w:t>
      </w:r>
    </w:p>
    <w:p w14:paraId="5A75F90D" w14:textId="77777777" w:rsidR="00921020" w:rsidRPr="004676F5" w:rsidRDefault="00921020" w:rsidP="00325552">
      <w:pPr>
        <w:jc w:val="both"/>
        <w:rPr>
          <w:lang w:val="de-DE"/>
        </w:rPr>
      </w:pPr>
    </w:p>
    <w:p w14:paraId="7AE03B7D" w14:textId="4B714565" w:rsidR="00921020" w:rsidRPr="004676F5" w:rsidRDefault="00921020" w:rsidP="00325552">
      <w:pPr>
        <w:jc w:val="both"/>
        <w:rPr>
          <w:i/>
          <w:lang w:val="de-DE"/>
        </w:rPr>
      </w:pPr>
      <w:r w:rsidRPr="004676F5">
        <w:rPr>
          <w:i/>
          <w:lang w:val="de-DE"/>
        </w:rPr>
        <w:t>[</w:t>
      </w:r>
      <w:r w:rsidR="00BE0A56" w:rsidRPr="004676F5">
        <w:rPr>
          <w:i/>
          <w:lang w:val="de-DE"/>
        </w:rPr>
        <w:t>Art. </w:t>
      </w:r>
      <w:r w:rsidRPr="004676F5">
        <w:rPr>
          <w:i/>
          <w:lang w:val="de-DE"/>
        </w:rPr>
        <w:t xml:space="preserve">XVII.37 </w:t>
      </w:r>
      <w:r w:rsidR="00A1562E" w:rsidRPr="004676F5">
        <w:rPr>
          <w:i/>
          <w:lang w:val="de-DE"/>
        </w:rPr>
        <w:t xml:space="preserve">einziger Absatz Nr. 1 einziger Absatz Buchstabe e/1) </w:t>
      </w:r>
      <w:r w:rsidR="00A1562E" w:rsidRPr="004676F5">
        <w:rPr>
          <w:i/>
          <w:iCs/>
          <w:lang w:val="de-DE"/>
        </w:rPr>
        <w:t>eingefügt durch Art. 21 Buchstabe a) des G. vom 21. April 2024 (II) (B.S. vom 31. Mai 2024)</w:t>
      </w:r>
      <w:r w:rsidR="00A1562E" w:rsidRPr="004676F5">
        <w:rPr>
          <w:i/>
          <w:lang w:val="de-DE"/>
        </w:rPr>
        <w:t xml:space="preserve">; </w:t>
      </w:r>
      <w:r w:rsidR="00BC5AAC" w:rsidRPr="004676F5">
        <w:rPr>
          <w:i/>
          <w:lang w:val="de-DE"/>
        </w:rPr>
        <w:t>einziger Absatz Nr. 1 einziger Absatz Buchstabe h) aufgehoben durch Art. 214 des G. vom 15. April 2018 (B.S. vom 27. April 2018)</w:t>
      </w:r>
      <w:r w:rsidR="00A1562E" w:rsidRPr="004676F5">
        <w:rPr>
          <w:i/>
          <w:lang w:val="de-DE"/>
        </w:rPr>
        <w:t xml:space="preserve"> und wieder aufgenommen </w:t>
      </w:r>
      <w:r w:rsidR="00A1562E" w:rsidRPr="004676F5">
        <w:rPr>
          <w:i/>
          <w:iCs/>
          <w:lang w:val="de-DE"/>
        </w:rPr>
        <w:t>durch Art. 21 Buchstabe b) des G. vom 21. April 2024 (II) (B.S. vom 31. Mai 2024)</w:t>
      </w:r>
      <w:r w:rsidR="00BC5AAC" w:rsidRPr="004676F5">
        <w:rPr>
          <w:i/>
          <w:lang w:val="de-DE"/>
        </w:rPr>
        <w:t>;</w:t>
      </w:r>
      <w:r w:rsidR="00CD1D4A" w:rsidRPr="004676F5">
        <w:rPr>
          <w:i/>
          <w:lang w:val="de-DE"/>
        </w:rPr>
        <w:t xml:space="preserve"> einziger Absatz Nr. 1 einziger Absatz Buchstabe i) eingefügt durch Art. 36</w:t>
      </w:r>
      <w:r w:rsidR="00CD1D4A" w:rsidRPr="004676F5">
        <w:rPr>
          <w:bCs/>
          <w:i/>
          <w:iCs/>
          <w:lang w:val="de-DE"/>
        </w:rPr>
        <w:t xml:space="preserve"> des G. vom 5. November 2023</w:t>
      </w:r>
      <w:r w:rsidR="00AA0B2E" w:rsidRPr="004676F5">
        <w:rPr>
          <w:bCs/>
          <w:i/>
          <w:iCs/>
          <w:lang w:val="de-DE"/>
        </w:rPr>
        <w:t> (II)</w:t>
      </w:r>
      <w:r w:rsidR="00CD1D4A" w:rsidRPr="004676F5">
        <w:rPr>
          <w:bCs/>
          <w:i/>
          <w:iCs/>
          <w:lang w:val="de-DE"/>
        </w:rPr>
        <w:t xml:space="preserve"> (B.S. vom 28. November 2023);</w:t>
      </w:r>
      <w:r w:rsidR="00BC5AAC" w:rsidRPr="004676F5">
        <w:rPr>
          <w:i/>
          <w:lang w:val="de-DE"/>
        </w:rPr>
        <w:t xml:space="preserve"> </w:t>
      </w:r>
      <w:r w:rsidRPr="004676F5">
        <w:rPr>
          <w:i/>
          <w:lang w:val="de-DE"/>
        </w:rPr>
        <w:t xml:space="preserve">einziger Absatz Nr. 8 ersetzt durch </w:t>
      </w:r>
      <w:r w:rsidR="00BE0A56" w:rsidRPr="004676F5">
        <w:rPr>
          <w:i/>
          <w:lang w:val="de-DE"/>
        </w:rPr>
        <w:t>Art. </w:t>
      </w:r>
      <w:r w:rsidRPr="004676F5">
        <w:rPr>
          <w:i/>
          <w:lang w:val="de-DE"/>
        </w:rPr>
        <w:t>71 Nr. 1</w:t>
      </w:r>
      <w:r w:rsidRPr="004676F5">
        <w:rPr>
          <w:i/>
          <w:iCs/>
          <w:lang w:val="de-DE"/>
        </w:rPr>
        <w:t xml:space="preserve"> </w:t>
      </w:r>
      <w:r w:rsidRPr="004676F5">
        <w:rPr>
          <w:i/>
          <w:lang w:val="de-DE"/>
        </w:rPr>
        <w:t xml:space="preserve">des G. vom 26. Oktober 2015 (B.S. vom 30. Oktober 2015); </w:t>
      </w:r>
      <w:r w:rsidR="00E86E64" w:rsidRPr="004676F5">
        <w:rPr>
          <w:i/>
          <w:lang w:val="de-DE"/>
        </w:rPr>
        <w:t xml:space="preserve">einziger Absatz Nr. 10/1 eingefügt durch Art. 43 Buchstabe a) des G. vom 30. Juli 2018 (II) (B.S. vom 5. September 2018); </w:t>
      </w:r>
      <w:r w:rsidR="00A1562E" w:rsidRPr="004676F5">
        <w:rPr>
          <w:i/>
          <w:lang w:val="de-DE"/>
        </w:rPr>
        <w:t>einziger Absatz Nr. </w:t>
      </w:r>
      <w:r w:rsidR="00866C9B">
        <w:rPr>
          <w:i/>
          <w:lang w:val="de-DE"/>
        </w:rPr>
        <w:t>1</w:t>
      </w:r>
      <w:r w:rsidR="00A1562E" w:rsidRPr="004676F5">
        <w:rPr>
          <w:i/>
          <w:lang w:val="de-DE"/>
        </w:rPr>
        <w:t xml:space="preserve">3 ersetzt </w:t>
      </w:r>
      <w:r w:rsidR="00A1562E" w:rsidRPr="004676F5">
        <w:rPr>
          <w:i/>
          <w:iCs/>
          <w:lang w:val="de-DE"/>
        </w:rPr>
        <w:t xml:space="preserve">durch Art. 21 Buchstabe c) des G. vom 21. April 2024 (II) (B.S. vom 31. Mai 2024); </w:t>
      </w:r>
      <w:r w:rsidR="00E86E64" w:rsidRPr="004676F5">
        <w:rPr>
          <w:i/>
          <w:lang w:val="de-DE"/>
        </w:rPr>
        <w:t>einziger Absatz Nr. 13/1 eingefügt durch Art. 43 Buchstabe b) des G. vom 30. Juli 2018 (II) (B.S. vom 5. September 2018)</w:t>
      </w:r>
      <w:r w:rsidR="00A1562E" w:rsidRPr="004676F5">
        <w:rPr>
          <w:i/>
          <w:lang w:val="de-DE"/>
        </w:rPr>
        <w:t xml:space="preserve"> und aufgehoben </w:t>
      </w:r>
      <w:r w:rsidR="00A1562E" w:rsidRPr="004676F5">
        <w:rPr>
          <w:i/>
          <w:iCs/>
          <w:lang w:val="de-DE"/>
        </w:rPr>
        <w:t>durch Art. 21 Buchstabe d) des G. vom 21. April 2024 (II) (B.S. vom 31. Mai 2024)</w:t>
      </w:r>
      <w:r w:rsidR="00E86E64" w:rsidRPr="004676F5">
        <w:rPr>
          <w:i/>
          <w:lang w:val="de-DE"/>
        </w:rPr>
        <w:t xml:space="preserve">; </w:t>
      </w:r>
      <w:r w:rsidR="00BA5F18" w:rsidRPr="004676F5">
        <w:rPr>
          <w:i/>
          <w:lang w:val="de-DE"/>
        </w:rPr>
        <w:t>einziger Absatz Nr. 21 ersetzt durch Art. 21</w:t>
      </w:r>
      <w:r w:rsidR="00BA5F18" w:rsidRPr="004676F5">
        <w:rPr>
          <w:bCs/>
          <w:i/>
          <w:iCs/>
          <w:lang w:val="de-DE"/>
        </w:rPr>
        <w:t xml:space="preserve"> des G. vom 20. März 2022 (B.S. vom 31. März 2022); </w:t>
      </w:r>
      <w:r w:rsidRPr="004676F5">
        <w:rPr>
          <w:i/>
          <w:lang w:val="de-DE"/>
        </w:rPr>
        <w:t xml:space="preserve">einziger Absatz Nr. 32 eingefügt durch </w:t>
      </w:r>
      <w:r w:rsidR="00BE0A56" w:rsidRPr="004676F5">
        <w:rPr>
          <w:i/>
          <w:lang w:val="de-DE"/>
        </w:rPr>
        <w:t>Art. </w:t>
      </w:r>
      <w:r w:rsidRPr="004676F5">
        <w:rPr>
          <w:i/>
          <w:lang w:val="de-DE"/>
        </w:rPr>
        <w:t>71 Nr. 2</w:t>
      </w:r>
      <w:r w:rsidRPr="004676F5">
        <w:rPr>
          <w:i/>
          <w:iCs/>
          <w:lang w:val="de-DE"/>
        </w:rPr>
        <w:t xml:space="preserve"> </w:t>
      </w:r>
      <w:r w:rsidRPr="004676F5">
        <w:rPr>
          <w:i/>
          <w:lang w:val="de-DE"/>
        </w:rPr>
        <w:t>des G. vom 26. Oktober 2015 (B.S. vom 30. Oktober 2015)</w:t>
      </w:r>
      <w:r w:rsidR="00660735" w:rsidRPr="004676F5">
        <w:rPr>
          <w:i/>
          <w:lang w:val="de-DE"/>
        </w:rPr>
        <w:t xml:space="preserve">; einziger Absatz Nr. 33 eingefügt durch </w:t>
      </w:r>
      <w:r w:rsidR="00BE0A56" w:rsidRPr="004676F5">
        <w:rPr>
          <w:i/>
          <w:lang w:val="de-DE"/>
        </w:rPr>
        <w:t>Art. </w:t>
      </w:r>
      <w:r w:rsidR="00660735" w:rsidRPr="004676F5">
        <w:rPr>
          <w:i/>
          <w:lang w:val="de-DE"/>
        </w:rPr>
        <w:t>9 des G. vom 6. Juni 2017 (B.S. vom 12. Juni 2017)</w:t>
      </w:r>
      <w:r w:rsidR="00A1562E" w:rsidRPr="004676F5">
        <w:rPr>
          <w:i/>
          <w:lang w:val="de-DE"/>
        </w:rPr>
        <w:t xml:space="preserve"> ); einziger Absatz Nr. 34 und 35 eingefügt </w:t>
      </w:r>
      <w:r w:rsidR="00A1562E" w:rsidRPr="004676F5">
        <w:rPr>
          <w:i/>
          <w:iCs/>
          <w:lang w:val="de-DE"/>
        </w:rPr>
        <w:t>durch Art. 21 Buchstabe e) des G. vom 21. April 2024 (II) (B.S. vom 31. Mai 2024)</w:t>
      </w:r>
      <w:r w:rsidRPr="004676F5">
        <w:rPr>
          <w:i/>
          <w:lang w:val="de-DE"/>
        </w:rPr>
        <w:t>]</w:t>
      </w:r>
    </w:p>
    <w:p w14:paraId="07572D77" w14:textId="77777777" w:rsidR="00921020" w:rsidRPr="004676F5" w:rsidRDefault="00921020" w:rsidP="00325552">
      <w:pPr>
        <w:jc w:val="both"/>
        <w:rPr>
          <w:i/>
          <w:lang w:val="de-DE"/>
        </w:rPr>
      </w:pPr>
    </w:p>
    <w:p w14:paraId="3677D5DE" w14:textId="77777777" w:rsidR="00325552" w:rsidRPr="004676F5" w:rsidRDefault="00325552" w:rsidP="00325552">
      <w:pPr>
        <w:jc w:val="both"/>
        <w:rPr>
          <w:lang w:val="de-DE"/>
        </w:rPr>
      </w:pPr>
    </w:p>
    <w:p w14:paraId="2E5482DC" w14:textId="3C5816F5" w:rsidR="00325552" w:rsidRPr="004676F5" w:rsidRDefault="004437B9" w:rsidP="00325552">
      <w:pPr>
        <w:jc w:val="center"/>
        <w:rPr>
          <w:lang w:val="de-DE"/>
        </w:rPr>
      </w:pPr>
      <w:r w:rsidRPr="004676F5">
        <w:rPr>
          <w:iCs/>
          <w:lang w:val="de-DE"/>
        </w:rPr>
        <w:t>[</w:t>
      </w:r>
      <w:r w:rsidR="00325552" w:rsidRPr="004676F5">
        <w:rPr>
          <w:i/>
          <w:lang w:val="de-DE"/>
        </w:rPr>
        <w:t>Abschnitt 3</w:t>
      </w:r>
      <w:r w:rsidR="00325552" w:rsidRPr="004676F5">
        <w:rPr>
          <w:lang w:val="de-DE"/>
        </w:rPr>
        <w:t> </w:t>
      </w:r>
      <w:r w:rsidRPr="004676F5">
        <w:rPr>
          <w:lang w:val="de-DE"/>
        </w:rPr>
        <w:t>-</w:t>
      </w:r>
      <w:r w:rsidR="005B7A5C" w:rsidRPr="004676F5">
        <w:rPr>
          <w:lang w:val="de-DE"/>
        </w:rPr>
        <w:t> </w:t>
      </w:r>
      <w:r w:rsidRPr="004676F5">
        <w:rPr>
          <w:lang w:val="de-DE"/>
        </w:rPr>
        <w:t>[...]</w:t>
      </w:r>
    </w:p>
    <w:p w14:paraId="6EB584EE" w14:textId="77777777" w:rsidR="004437B9" w:rsidRPr="004676F5" w:rsidRDefault="004437B9" w:rsidP="00325552">
      <w:pPr>
        <w:jc w:val="both"/>
        <w:rPr>
          <w:i/>
          <w:iCs/>
          <w:lang w:val="de-DE"/>
        </w:rPr>
      </w:pPr>
    </w:p>
    <w:p w14:paraId="7B2D0A42" w14:textId="24C16E45" w:rsidR="00325552" w:rsidRPr="004676F5" w:rsidRDefault="004437B9" w:rsidP="00325552">
      <w:pPr>
        <w:jc w:val="both"/>
        <w:rPr>
          <w:i/>
          <w:iCs/>
          <w:lang w:val="de-DE"/>
        </w:rPr>
      </w:pPr>
      <w:r w:rsidRPr="004676F5">
        <w:rPr>
          <w:i/>
          <w:iCs/>
          <w:lang w:val="de-DE"/>
        </w:rPr>
        <w:t>[Abschnitt 3 mit Art.</w:t>
      </w:r>
      <w:r w:rsidRPr="004676F5">
        <w:rPr>
          <w:lang w:val="de-DE"/>
        </w:rPr>
        <w:t> </w:t>
      </w:r>
      <w:r w:rsidRPr="004676F5">
        <w:rPr>
          <w:i/>
          <w:iCs/>
          <w:lang w:val="de-DE"/>
        </w:rPr>
        <w:t>XVII.38 aufgehoben durch Art. 22 des G. vom 21. April 2024 (II) (B.S. vom 31. Mai 2024)]</w:t>
      </w:r>
    </w:p>
    <w:p w14:paraId="09EF8C1A" w14:textId="77777777" w:rsidR="00325552" w:rsidRPr="004676F5" w:rsidRDefault="00325552" w:rsidP="00325552">
      <w:pPr>
        <w:jc w:val="both"/>
        <w:rPr>
          <w:lang w:val="de-DE"/>
        </w:rPr>
      </w:pPr>
    </w:p>
    <w:p w14:paraId="572A9D77" w14:textId="77777777" w:rsidR="004437B9" w:rsidRPr="004676F5" w:rsidRDefault="004437B9" w:rsidP="00325552">
      <w:pPr>
        <w:jc w:val="both"/>
        <w:rPr>
          <w:lang w:val="de-DE"/>
        </w:rPr>
      </w:pPr>
    </w:p>
    <w:p w14:paraId="7B27C8C3" w14:textId="727FD67C" w:rsidR="00820491" w:rsidRPr="004676F5" w:rsidRDefault="00325552" w:rsidP="004437B9">
      <w:pPr>
        <w:jc w:val="both"/>
        <w:rPr>
          <w:lang w:val="de-DE"/>
        </w:rPr>
      </w:pPr>
      <w:r w:rsidRPr="004676F5">
        <w:rPr>
          <w:lang w:val="de-DE"/>
        </w:rPr>
        <w:tab/>
      </w:r>
      <w:r w:rsidR="00BE0A56" w:rsidRPr="004676F5">
        <w:rPr>
          <w:b/>
          <w:lang w:val="de-DE"/>
        </w:rPr>
        <w:t>Art. </w:t>
      </w:r>
      <w:r w:rsidRPr="004676F5">
        <w:rPr>
          <w:b/>
          <w:lang w:val="de-DE"/>
        </w:rPr>
        <w:t>XVII.38</w:t>
      </w:r>
      <w:r w:rsidRPr="004676F5">
        <w:rPr>
          <w:lang w:val="de-DE"/>
        </w:rPr>
        <w:t> </w:t>
      </w:r>
      <w:r w:rsidR="004437B9" w:rsidRPr="004676F5">
        <w:rPr>
          <w:lang w:val="de-DE"/>
        </w:rPr>
        <w:t>-</w:t>
      </w:r>
      <w:r w:rsidR="005B7A5C" w:rsidRPr="004676F5">
        <w:rPr>
          <w:lang w:val="de-DE"/>
        </w:rPr>
        <w:t> </w:t>
      </w:r>
      <w:r w:rsidR="004437B9" w:rsidRPr="004676F5">
        <w:rPr>
          <w:lang w:val="de-DE"/>
        </w:rPr>
        <w:t>[...]]</w:t>
      </w:r>
    </w:p>
    <w:p w14:paraId="128703FD" w14:textId="77777777" w:rsidR="004437B9" w:rsidRPr="004676F5" w:rsidRDefault="004437B9" w:rsidP="004437B9">
      <w:pPr>
        <w:jc w:val="both"/>
        <w:rPr>
          <w:i/>
          <w:lang w:val="de-DE"/>
        </w:rPr>
      </w:pPr>
    </w:p>
    <w:p w14:paraId="0C22A7C7" w14:textId="5AD0A174" w:rsidR="000B2F2E" w:rsidRPr="004676F5" w:rsidRDefault="000B2F2E">
      <w:pPr>
        <w:rPr>
          <w:i/>
          <w:lang w:val="de-DE"/>
        </w:rPr>
      </w:pPr>
    </w:p>
    <w:p w14:paraId="288B41C7" w14:textId="05B4C75C" w:rsidR="00325552" w:rsidRPr="004676F5" w:rsidRDefault="00325552" w:rsidP="000B2F2E">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Gruppenvertreter</w:t>
      </w:r>
    </w:p>
    <w:p w14:paraId="016749E3" w14:textId="77777777" w:rsidR="00325552" w:rsidRPr="004676F5" w:rsidRDefault="00325552" w:rsidP="00325552">
      <w:pPr>
        <w:jc w:val="both"/>
        <w:rPr>
          <w:lang w:val="de-DE"/>
        </w:rPr>
      </w:pPr>
    </w:p>
    <w:p w14:paraId="728A2DBA" w14:textId="77777777" w:rsidR="00325552" w:rsidRPr="004676F5" w:rsidRDefault="00325552" w:rsidP="00325552">
      <w:pPr>
        <w:jc w:val="both"/>
        <w:rPr>
          <w:lang w:val="de-DE"/>
        </w:rPr>
      </w:pPr>
    </w:p>
    <w:p w14:paraId="6724518D" w14:textId="2BE62DD3" w:rsidR="004437B9" w:rsidRPr="004676F5" w:rsidRDefault="00325552" w:rsidP="004437B9">
      <w:pPr>
        <w:jc w:val="both"/>
        <w:rPr>
          <w:lang w:val="de-DE"/>
        </w:rPr>
      </w:pPr>
      <w:r w:rsidRPr="004676F5">
        <w:rPr>
          <w:lang w:val="de-DE"/>
        </w:rPr>
        <w:tab/>
      </w:r>
      <w:r w:rsidR="008D38A8" w:rsidRPr="004676F5">
        <w:rPr>
          <w:lang w:val="de-DE"/>
        </w:rPr>
        <w:t>[</w:t>
      </w:r>
      <w:r w:rsidR="00BE0A56" w:rsidRPr="004676F5">
        <w:rPr>
          <w:b/>
          <w:lang w:val="de-DE"/>
        </w:rPr>
        <w:t>Art. </w:t>
      </w:r>
      <w:r w:rsidRPr="004676F5">
        <w:rPr>
          <w:b/>
          <w:lang w:val="de-DE"/>
        </w:rPr>
        <w:t>XVII.39</w:t>
      </w:r>
      <w:r w:rsidRPr="004676F5">
        <w:rPr>
          <w:lang w:val="de-DE"/>
        </w:rPr>
        <w:t> </w:t>
      </w:r>
      <w:r w:rsidR="004437B9" w:rsidRPr="004676F5">
        <w:rPr>
          <w:lang w:val="de-DE"/>
        </w:rPr>
        <w:t>-</w:t>
      </w:r>
      <w:r w:rsidR="005B7A5C" w:rsidRPr="004676F5">
        <w:rPr>
          <w:lang w:val="de-DE"/>
        </w:rPr>
        <w:t> </w:t>
      </w:r>
      <w:r w:rsidR="004437B9" w:rsidRPr="004676F5">
        <w:rPr>
          <w:lang w:val="de-DE"/>
        </w:rPr>
        <w:t>[§</w:t>
      </w:r>
      <w:r w:rsidR="00F432DC">
        <w:rPr>
          <w:lang w:val="de-DE"/>
        </w:rPr>
        <w:t> </w:t>
      </w:r>
      <w:r w:rsidR="004437B9" w:rsidRPr="004676F5">
        <w:rPr>
          <w:lang w:val="de-DE"/>
        </w:rPr>
        <w:t>1 - Als Gruppenvertreter für eine Gruppe von Verbrauchern können vor belgischen Gerichten auftreten:</w:t>
      </w:r>
    </w:p>
    <w:p w14:paraId="77597146" w14:textId="77777777" w:rsidR="004437B9" w:rsidRPr="004676F5" w:rsidRDefault="004437B9" w:rsidP="004437B9">
      <w:pPr>
        <w:jc w:val="both"/>
        <w:rPr>
          <w:lang w:val="de-DE"/>
        </w:rPr>
      </w:pPr>
    </w:p>
    <w:p w14:paraId="3D5B8F94" w14:textId="0A3FFE25" w:rsidR="004437B9" w:rsidRPr="004676F5" w:rsidRDefault="004437B9" w:rsidP="004437B9">
      <w:pPr>
        <w:jc w:val="both"/>
        <w:rPr>
          <w:lang w:val="de-DE"/>
        </w:rPr>
      </w:pPr>
      <w:r w:rsidRPr="004676F5">
        <w:rPr>
          <w:lang w:val="de-DE"/>
        </w:rPr>
        <w:tab/>
        <w:t>1. qualifizierte Verbrauchereinrichtungen wie in Artikel</w:t>
      </w:r>
      <w:r w:rsidR="00F432DC">
        <w:rPr>
          <w:lang w:val="de-DE"/>
        </w:rPr>
        <w:t> </w:t>
      </w:r>
      <w:r w:rsidRPr="004676F5">
        <w:rPr>
          <w:lang w:val="de-DE"/>
        </w:rPr>
        <w:t>XVII.1 §§</w:t>
      </w:r>
      <w:r w:rsidR="00F432DC">
        <w:rPr>
          <w:lang w:val="de-DE"/>
        </w:rPr>
        <w:t> </w:t>
      </w:r>
      <w:r w:rsidRPr="004676F5">
        <w:rPr>
          <w:lang w:val="de-DE"/>
        </w:rPr>
        <w:t>1 bis 3 erwähnt,</w:t>
      </w:r>
    </w:p>
    <w:p w14:paraId="7C9FF20F" w14:textId="77777777" w:rsidR="004437B9" w:rsidRPr="004676F5" w:rsidRDefault="004437B9" w:rsidP="004437B9">
      <w:pPr>
        <w:jc w:val="both"/>
        <w:rPr>
          <w:lang w:val="de-DE"/>
        </w:rPr>
      </w:pPr>
    </w:p>
    <w:p w14:paraId="1F162CBA" w14:textId="2A83F1D0" w:rsidR="004437B9" w:rsidRPr="004676F5" w:rsidRDefault="004437B9" w:rsidP="004437B9">
      <w:pPr>
        <w:jc w:val="both"/>
        <w:rPr>
          <w:lang w:val="de-DE"/>
        </w:rPr>
      </w:pPr>
      <w:r w:rsidRPr="004676F5">
        <w:rPr>
          <w:lang w:val="de-DE"/>
        </w:rPr>
        <w:tab/>
        <w:t>2. der in Artikel</w:t>
      </w:r>
      <w:r w:rsidR="00F432DC">
        <w:rPr>
          <w:lang w:val="de-DE"/>
        </w:rPr>
        <w:t> </w:t>
      </w:r>
      <w:r w:rsidRPr="004676F5">
        <w:rPr>
          <w:lang w:val="de-DE"/>
        </w:rPr>
        <w:t>XVI.5 erwähnte autonome öffentliche Dienst, nur um die Gruppe in der Phase der Verhandlung einer kollektiven Schadenersatzvereinbarung gemäß den Artikeln</w:t>
      </w:r>
      <w:r w:rsidR="00F432DC">
        <w:rPr>
          <w:lang w:val="de-DE"/>
        </w:rPr>
        <w:t> </w:t>
      </w:r>
      <w:r w:rsidRPr="004676F5">
        <w:rPr>
          <w:lang w:val="de-DE"/>
        </w:rPr>
        <w:t>XVII.45 bis XVII.51 zu vertreten.</w:t>
      </w:r>
    </w:p>
    <w:p w14:paraId="30BE980A" w14:textId="77777777" w:rsidR="004437B9" w:rsidRPr="004676F5" w:rsidRDefault="004437B9" w:rsidP="004437B9">
      <w:pPr>
        <w:jc w:val="both"/>
        <w:rPr>
          <w:lang w:val="de-DE"/>
        </w:rPr>
      </w:pPr>
    </w:p>
    <w:p w14:paraId="1ADB8184" w14:textId="1B51F71F" w:rsidR="004437B9" w:rsidRPr="004676F5" w:rsidRDefault="004437B9" w:rsidP="004437B9">
      <w:pPr>
        <w:jc w:val="both"/>
        <w:rPr>
          <w:lang w:val="de-DE"/>
        </w:rPr>
      </w:pPr>
      <w:r w:rsidRPr="004676F5">
        <w:rPr>
          <w:lang w:val="de-DE"/>
        </w:rPr>
        <w:tab/>
        <w:t>§ 2 - Als Gruppenvertreter für eine Gruppe von KMU können vor belgischen Gerichten qualifizierte KMU-Einrichtungen wie in Artikel XVII.1 §§</w:t>
      </w:r>
      <w:r w:rsidR="00F432DC">
        <w:rPr>
          <w:lang w:val="de-DE"/>
        </w:rPr>
        <w:t> </w:t>
      </w:r>
      <w:r w:rsidRPr="004676F5">
        <w:rPr>
          <w:lang w:val="de-DE"/>
        </w:rPr>
        <w:t>4 bis 7 erwähnt auftreten.</w:t>
      </w:r>
    </w:p>
    <w:p w14:paraId="72045C2C" w14:textId="77777777" w:rsidR="004437B9" w:rsidRPr="004676F5" w:rsidRDefault="004437B9" w:rsidP="004437B9">
      <w:pPr>
        <w:jc w:val="both"/>
        <w:rPr>
          <w:lang w:val="de-DE"/>
        </w:rPr>
      </w:pPr>
    </w:p>
    <w:p w14:paraId="2C50FF2B" w14:textId="77777777" w:rsidR="004437B9" w:rsidRPr="004676F5" w:rsidRDefault="004437B9" w:rsidP="004437B9">
      <w:pPr>
        <w:jc w:val="both"/>
        <w:rPr>
          <w:lang w:val="de-DE"/>
        </w:rPr>
      </w:pPr>
      <w:r w:rsidRPr="004676F5">
        <w:rPr>
          <w:lang w:val="de-DE"/>
        </w:rPr>
        <w:tab/>
        <w:t>§ 3 - Als Gruppenvertreter für eine Gruppe von Verbrauchern können vor Gerichten eines anderen Mitgliedstaates der Europäischen Union oder des Europäischen Wirtschaftsraums auftreten:</w:t>
      </w:r>
    </w:p>
    <w:p w14:paraId="3A59DFC6" w14:textId="77777777" w:rsidR="004437B9" w:rsidRPr="004676F5" w:rsidRDefault="004437B9" w:rsidP="004437B9">
      <w:pPr>
        <w:jc w:val="both"/>
        <w:rPr>
          <w:lang w:val="de-DE"/>
        </w:rPr>
      </w:pPr>
    </w:p>
    <w:p w14:paraId="24EA8FE4" w14:textId="6EA2D40F" w:rsidR="004437B9" w:rsidRPr="004676F5" w:rsidRDefault="004437B9" w:rsidP="004437B9">
      <w:pPr>
        <w:jc w:val="both"/>
        <w:rPr>
          <w:lang w:val="de-DE"/>
        </w:rPr>
      </w:pPr>
      <w:r w:rsidRPr="004676F5">
        <w:rPr>
          <w:lang w:val="de-DE"/>
        </w:rPr>
        <w:tab/>
        <w:t>1. qualifizierte Verbrauchereinrichtungen wie in Artikel</w:t>
      </w:r>
      <w:r w:rsidR="00F432DC">
        <w:rPr>
          <w:lang w:val="de-DE"/>
        </w:rPr>
        <w:t> </w:t>
      </w:r>
      <w:r w:rsidRPr="004676F5">
        <w:rPr>
          <w:lang w:val="de-DE"/>
        </w:rPr>
        <w:t>XVII.1 §</w:t>
      </w:r>
      <w:r w:rsidR="00F432DC">
        <w:rPr>
          <w:lang w:val="de-DE"/>
        </w:rPr>
        <w:t> </w:t>
      </w:r>
      <w:r w:rsidRPr="004676F5">
        <w:rPr>
          <w:lang w:val="de-DE"/>
        </w:rPr>
        <w:t>1 erwähnt,</w:t>
      </w:r>
    </w:p>
    <w:p w14:paraId="559ED2F4" w14:textId="77777777" w:rsidR="004437B9" w:rsidRPr="004676F5" w:rsidRDefault="004437B9" w:rsidP="004437B9">
      <w:pPr>
        <w:jc w:val="both"/>
        <w:rPr>
          <w:lang w:val="de-DE"/>
        </w:rPr>
      </w:pPr>
    </w:p>
    <w:p w14:paraId="528B3949" w14:textId="71582701" w:rsidR="00820491" w:rsidRPr="004676F5" w:rsidRDefault="004437B9" w:rsidP="00820491">
      <w:pPr>
        <w:jc w:val="both"/>
        <w:rPr>
          <w:lang w:val="de-DE"/>
        </w:rPr>
      </w:pPr>
      <w:r w:rsidRPr="004676F5">
        <w:rPr>
          <w:lang w:val="de-DE"/>
        </w:rPr>
        <w:tab/>
        <w:t>2. der in Artikel</w:t>
      </w:r>
      <w:r w:rsidR="00F432DC">
        <w:rPr>
          <w:lang w:val="de-DE"/>
        </w:rPr>
        <w:t> </w:t>
      </w:r>
      <w:r w:rsidRPr="004676F5">
        <w:rPr>
          <w:lang w:val="de-DE"/>
        </w:rPr>
        <w:t>XVI.5 erwähnte autonome öffentliche Dienst, nur um die Gruppe in der Phase der Verhandlung einer kollektiven Schadenersatzvereinbarung zu vertreten.</w:t>
      </w:r>
      <w:r w:rsidR="00820491" w:rsidRPr="004676F5">
        <w:rPr>
          <w:lang w:val="de-DE"/>
        </w:rPr>
        <w:t>]</w:t>
      </w:r>
    </w:p>
    <w:p w14:paraId="684CB12F" w14:textId="77777777" w:rsidR="00796D21" w:rsidRPr="004676F5" w:rsidRDefault="00796D21" w:rsidP="00325552">
      <w:pPr>
        <w:jc w:val="both"/>
        <w:rPr>
          <w:lang w:val="de-DE"/>
        </w:rPr>
      </w:pPr>
    </w:p>
    <w:p w14:paraId="6136579A" w14:textId="65FAD08C" w:rsidR="00796D21" w:rsidRPr="004676F5" w:rsidRDefault="00796D21" w:rsidP="00325552">
      <w:pPr>
        <w:jc w:val="both"/>
        <w:rPr>
          <w:i/>
          <w:lang w:val="de-DE"/>
        </w:rPr>
      </w:pPr>
      <w:r w:rsidRPr="004676F5">
        <w:rPr>
          <w:i/>
          <w:lang w:val="de-DE"/>
        </w:rPr>
        <w:t>[</w:t>
      </w:r>
      <w:r w:rsidR="00BE0A56" w:rsidRPr="004676F5">
        <w:rPr>
          <w:i/>
          <w:lang w:val="de-DE"/>
        </w:rPr>
        <w:t>Art. </w:t>
      </w:r>
      <w:r w:rsidR="005523DE" w:rsidRPr="004676F5">
        <w:rPr>
          <w:i/>
          <w:lang w:val="de-DE"/>
        </w:rPr>
        <w:t xml:space="preserve">XVII.39 für nichtig erklärt durch </w:t>
      </w:r>
      <w:r w:rsidRPr="004676F5">
        <w:rPr>
          <w:i/>
          <w:lang w:val="de-DE"/>
        </w:rPr>
        <w:t>Entscheid Nr. 41/2016 des Verfassungsgerichtshofes vom 17. März 2016 (B.S. vom 2. Juni 2016)</w:t>
      </w:r>
      <w:r w:rsidR="004437B9" w:rsidRPr="004676F5">
        <w:rPr>
          <w:i/>
          <w:lang w:val="de-DE"/>
        </w:rPr>
        <w:t xml:space="preserve">, </w:t>
      </w:r>
      <w:r w:rsidR="008D38A8" w:rsidRPr="004676F5">
        <w:rPr>
          <w:i/>
          <w:lang w:val="de-DE"/>
        </w:rPr>
        <w:t>erneut eingefügt</w:t>
      </w:r>
      <w:r w:rsidR="005523DE" w:rsidRPr="004676F5">
        <w:rPr>
          <w:i/>
          <w:lang w:val="de-DE"/>
        </w:rPr>
        <w:t xml:space="preserve"> durch </w:t>
      </w:r>
      <w:r w:rsidR="00BE0A56" w:rsidRPr="004676F5">
        <w:rPr>
          <w:i/>
          <w:lang w:val="de-DE"/>
        </w:rPr>
        <w:t>Art. </w:t>
      </w:r>
      <w:r w:rsidR="005523DE" w:rsidRPr="004676F5">
        <w:rPr>
          <w:i/>
          <w:lang w:val="de-DE"/>
        </w:rPr>
        <w:t>36 des G. vom 18. April 2017 (B.S. vom 24. April 2017)</w:t>
      </w:r>
      <w:r w:rsidR="004437B9" w:rsidRPr="004676F5">
        <w:rPr>
          <w:i/>
          <w:lang w:val="de-DE"/>
        </w:rPr>
        <w:t xml:space="preserve"> und ersetzt </w:t>
      </w:r>
      <w:r w:rsidR="004437B9" w:rsidRPr="004676F5">
        <w:rPr>
          <w:i/>
          <w:iCs/>
          <w:lang w:val="de-DE"/>
        </w:rPr>
        <w:t>durch Art. 23 des G. vom 21. April 2024 (II) (B.S. vom 31. Mai 2024)</w:t>
      </w:r>
      <w:r w:rsidRPr="004676F5">
        <w:rPr>
          <w:i/>
          <w:lang w:val="de-DE"/>
        </w:rPr>
        <w:t>]</w:t>
      </w:r>
    </w:p>
    <w:p w14:paraId="7CCB8EA0" w14:textId="77777777" w:rsidR="00325552" w:rsidRPr="004676F5" w:rsidRDefault="00325552" w:rsidP="00325552">
      <w:pPr>
        <w:jc w:val="both"/>
        <w:rPr>
          <w:lang w:val="de-DE"/>
        </w:rPr>
      </w:pPr>
    </w:p>
    <w:p w14:paraId="282B8E9B" w14:textId="77777777" w:rsidR="00325552" w:rsidRPr="004676F5" w:rsidRDefault="00325552" w:rsidP="00325552">
      <w:pPr>
        <w:jc w:val="both"/>
        <w:rPr>
          <w:lang w:val="de-DE"/>
        </w:rPr>
      </w:pPr>
    </w:p>
    <w:p w14:paraId="2A0A9B2A" w14:textId="603D6686"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XVII.40</w:t>
      </w:r>
      <w:r w:rsidRPr="004676F5">
        <w:rPr>
          <w:lang w:val="de-DE"/>
        </w:rPr>
        <w:t> </w:t>
      </w:r>
      <w:r w:rsidR="004437B9" w:rsidRPr="004676F5">
        <w:rPr>
          <w:lang w:val="de-DE"/>
        </w:rPr>
        <w:t>-</w:t>
      </w:r>
      <w:r w:rsidR="005B7A5C" w:rsidRPr="004676F5">
        <w:rPr>
          <w:lang w:val="de-DE"/>
        </w:rPr>
        <w:t> </w:t>
      </w:r>
      <w:r w:rsidR="004437B9" w:rsidRPr="004676F5">
        <w:rPr>
          <w:lang w:val="de-DE"/>
        </w:rPr>
        <w:t xml:space="preserve">[§ 1] - </w:t>
      </w:r>
      <w:r w:rsidRPr="004676F5">
        <w:rPr>
          <w:lang w:val="de-DE"/>
        </w:rPr>
        <w:t>Der Gruppenvertreter erfüllt während des gesamten Schadenersatz</w:t>
      </w:r>
      <w:r w:rsidRPr="004676F5">
        <w:rPr>
          <w:lang w:val="de-DE"/>
        </w:rPr>
        <w:softHyphen/>
        <w:t>verfahrens die in Artikel XVII.39 erwähnten Bedingungen.</w:t>
      </w:r>
    </w:p>
    <w:p w14:paraId="73EF5F57" w14:textId="77777777" w:rsidR="00325552" w:rsidRPr="004676F5" w:rsidRDefault="00325552" w:rsidP="00325552">
      <w:pPr>
        <w:jc w:val="both"/>
        <w:rPr>
          <w:lang w:val="de-DE"/>
        </w:rPr>
      </w:pPr>
    </w:p>
    <w:p w14:paraId="41297894" w14:textId="77777777" w:rsidR="00325552" w:rsidRPr="004676F5" w:rsidRDefault="00325552" w:rsidP="00325552">
      <w:pPr>
        <w:jc w:val="both"/>
        <w:rPr>
          <w:lang w:val="de-DE"/>
        </w:rPr>
      </w:pPr>
      <w:r w:rsidRPr="004676F5">
        <w:rPr>
          <w:lang w:val="de-DE"/>
        </w:rPr>
        <w:tab/>
        <w:t>Falls während des Verfahrens eine dieser Bedingungen nicht mehr erfüllt sein sollte, verliert der Kläger seine Eigenschaft als Gruppenvertreter und der Richter bestimmt einen anderen Gruppenvertreter, mit dessen ausdrücklicher Zustimmung.</w:t>
      </w:r>
    </w:p>
    <w:p w14:paraId="6F0395DD" w14:textId="77777777" w:rsidR="00325552" w:rsidRPr="004676F5" w:rsidRDefault="00325552" w:rsidP="00325552">
      <w:pPr>
        <w:jc w:val="both"/>
        <w:rPr>
          <w:lang w:val="de-DE"/>
        </w:rPr>
      </w:pPr>
    </w:p>
    <w:p w14:paraId="77991FCA" w14:textId="77777777" w:rsidR="00325552" w:rsidRPr="004676F5" w:rsidRDefault="00325552" w:rsidP="00325552">
      <w:pPr>
        <w:jc w:val="both"/>
        <w:rPr>
          <w:lang w:val="de-DE"/>
        </w:rPr>
      </w:pPr>
      <w:r w:rsidRPr="004676F5">
        <w:rPr>
          <w:lang w:val="de-DE"/>
        </w:rPr>
        <w:tab/>
        <w:t>Falls kein anderer Bewerber um die Vertretung die in Artikel XVII.39 erwähnten Bedingungen erfüllt oder die Eigenschaft als Gruppenvertreter annimmt, stellt der Richter den Abschluss des kollektiven Schadenersatzverfahrens fest.</w:t>
      </w:r>
    </w:p>
    <w:p w14:paraId="486586C9" w14:textId="77777777" w:rsidR="00325552" w:rsidRPr="004676F5" w:rsidRDefault="00325552" w:rsidP="00325552">
      <w:pPr>
        <w:jc w:val="both"/>
        <w:rPr>
          <w:lang w:val="de-DE"/>
        </w:rPr>
      </w:pPr>
    </w:p>
    <w:p w14:paraId="79F0B757" w14:textId="77777777" w:rsidR="00325552" w:rsidRPr="004676F5" w:rsidRDefault="00325552" w:rsidP="00325552">
      <w:pPr>
        <w:jc w:val="both"/>
        <w:rPr>
          <w:lang w:val="de-DE"/>
        </w:rPr>
      </w:pPr>
      <w:r w:rsidRPr="004676F5">
        <w:rPr>
          <w:lang w:val="de-DE"/>
        </w:rPr>
        <w:tab/>
        <w:t>Eine Abschrift der in den Absätzen 2 und 3 erwähnten gerichtlichen Entscheidung wird dem FÖD Wirtschaft, KMB, Mittelstand und Energie übermittelt, der diese Entscheidung vollständig auf seiner Website veröffentlicht.</w:t>
      </w:r>
    </w:p>
    <w:p w14:paraId="22B67B25" w14:textId="77777777" w:rsidR="00325552" w:rsidRPr="004676F5" w:rsidRDefault="00325552" w:rsidP="00325552">
      <w:pPr>
        <w:jc w:val="both"/>
        <w:rPr>
          <w:lang w:val="de-DE"/>
        </w:rPr>
      </w:pPr>
    </w:p>
    <w:p w14:paraId="4D9EFBB4" w14:textId="77777777" w:rsidR="00325552" w:rsidRPr="004676F5" w:rsidRDefault="00325552" w:rsidP="00325552">
      <w:pPr>
        <w:jc w:val="both"/>
        <w:rPr>
          <w:lang w:val="de-DE"/>
        </w:rPr>
      </w:pPr>
      <w:r w:rsidRPr="004676F5">
        <w:rPr>
          <w:lang w:val="de-DE"/>
        </w:rPr>
        <w:tab/>
        <w:t>Die Absätze 2 und 3 sind ebenfalls anwendbar, wenn die kollektive Schadenersatz</w:t>
      </w:r>
      <w:r w:rsidRPr="004676F5">
        <w:rPr>
          <w:lang w:val="de-DE"/>
        </w:rPr>
        <w:softHyphen/>
        <w:t>klage von dem in Artikel XVI.5 des vorliegenden Gesetzbuches erwähnten autonomen öffentlichen Dienst eingereicht worden ist und die Verhandlungsphase in Ermangelung einer homologierten Vereinbarung beendet ist.</w:t>
      </w:r>
    </w:p>
    <w:p w14:paraId="3F2C706D" w14:textId="77777777" w:rsidR="004437B9" w:rsidRPr="004676F5" w:rsidRDefault="004437B9" w:rsidP="00325552">
      <w:pPr>
        <w:jc w:val="both"/>
        <w:rPr>
          <w:lang w:val="de-DE"/>
        </w:rPr>
      </w:pPr>
    </w:p>
    <w:p w14:paraId="6A97FC89" w14:textId="7C2ECFF0" w:rsidR="004437B9" w:rsidRPr="004676F5" w:rsidRDefault="004437B9" w:rsidP="004437B9">
      <w:pPr>
        <w:jc w:val="both"/>
        <w:rPr>
          <w:lang w:val="de-DE"/>
        </w:rPr>
      </w:pPr>
      <w:r w:rsidRPr="004676F5">
        <w:rPr>
          <w:lang w:val="de-DE"/>
        </w:rPr>
        <w:tab/>
        <w:t>[§ 2 - Jede Gruppe von Verbrauchern oder KMU kann nur von einem einzigen Gruppenvertreter vertreten werden, wobei jedoch in ein und derselben kollektiven Schadenersatzklage mehrere Vertreter auftreten können, vorausgesetzt, dass jeder Vertreter für eine geographisch unterschiedliche Gruppe von Verbrauchern oder KMU auftritt.</w:t>
      </w:r>
    </w:p>
    <w:p w14:paraId="63C00B47" w14:textId="77777777" w:rsidR="004437B9" w:rsidRPr="004676F5" w:rsidRDefault="004437B9" w:rsidP="004437B9">
      <w:pPr>
        <w:jc w:val="both"/>
        <w:rPr>
          <w:lang w:val="de-DE"/>
        </w:rPr>
      </w:pPr>
    </w:p>
    <w:p w14:paraId="4151485A" w14:textId="42C0FD74" w:rsidR="004437B9" w:rsidRPr="004676F5" w:rsidRDefault="004437B9" w:rsidP="004437B9">
      <w:pPr>
        <w:jc w:val="both"/>
        <w:rPr>
          <w:lang w:val="de-DE"/>
        </w:rPr>
      </w:pPr>
      <w:r w:rsidRPr="004676F5">
        <w:rPr>
          <w:lang w:val="de-DE"/>
        </w:rPr>
        <w:tab/>
        <w:t>Beabsichtigen mehrere Gruppenvertreter, dieselbe Gruppe in derselben kollektiven Schadenersatzklage zu vertreten, so bestimmt der Richter in der in Artikel XVII.43 erwähnten Entscheidung den geeignetsten von ihnen als einzigen Gruppenvertreter.]</w:t>
      </w:r>
    </w:p>
    <w:p w14:paraId="58F10059" w14:textId="77777777" w:rsidR="004437B9" w:rsidRPr="004676F5" w:rsidRDefault="004437B9" w:rsidP="00325552">
      <w:pPr>
        <w:jc w:val="both"/>
        <w:rPr>
          <w:lang w:val="de-DE"/>
        </w:rPr>
      </w:pPr>
    </w:p>
    <w:p w14:paraId="1AC74473" w14:textId="0C8990B4" w:rsidR="004437B9" w:rsidRPr="004676F5" w:rsidRDefault="004437B9" w:rsidP="00325552">
      <w:pPr>
        <w:jc w:val="both"/>
        <w:rPr>
          <w:i/>
          <w:iCs/>
          <w:lang w:val="de-DE"/>
        </w:rPr>
      </w:pPr>
      <w:r w:rsidRPr="004676F5">
        <w:rPr>
          <w:i/>
          <w:iCs/>
          <w:lang w:val="de-DE"/>
        </w:rPr>
        <w:t>[Art.</w:t>
      </w:r>
      <w:r w:rsidR="00F432DC">
        <w:rPr>
          <w:i/>
          <w:iCs/>
          <w:lang w:val="de-DE"/>
        </w:rPr>
        <w:t> </w:t>
      </w:r>
      <w:r w:rsidRPr="004676F5">
        <w:rPr>
          <w:i/>
          <w:iCs/>
          <w:lang w:val="de-DE"/>
        </w:rPr>
        <w:t>XVII.40 § 1 nummeriert durch Art. 24 des G. vom 21. April 2024 (II) (B.S. vom 31. Mai 2024); § 2 eingefügt durch Art. 24 des G. vom 21. April 2024 (II) (B.S. vom 31. Mai 2024)]</w:t>
      </w:r>
    </w:p>
    <w:p w14:paraId="672B0A3F" w14:textId="77777777" w:rsidR="00325552" w:rsidRPr="004676F5" w:rsidRDefault="00325552" w:rsidP="00325552">
      <w:pPr>
        <w:jc w:val="both"/>
        <w:rPr>
          <w:lang w:val="de-DE"/>
        </w:rPr>
      </w:pPr>
    </w:p>
    <w:p w14:paraId="7934F544" w14:textId="77777777" w:rsidR="00325552" w:rsidRPr="004676F5" w:rsidRDefault="00325552" w:rsidP="00325552">
      <w:pPr>
        <w:jc w:val="both"/>
        <w:rPr>
          <w:lang w:val="de-DE"/>
        </w:rPr>
      </w:pPr>
    </w:p>
    <w:p w14:paraId="7FB21E7F" w14:textId="7F4E8583"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XVII.41</w:t>
      </w:r>
      <w:r w:rsidRPr="004676F5">
        <w:rPr>
          <w:lang w:val="de-DE"/>
        </w:rPr>
        <w:t> </w:t>
      </w:r>
      <w:r w:rsidR="005B7A5C" w:rsidRPr="004676F5">
        <w:rPr>
          <w:lang w:val="de-DE"/>
        </w:rPr>
        <w:t>- </w:t>
      </w:r>
      <w:r w:rsidRPr="004676F5">
        <w:rPr>
          <w:lang w:val="de-DE"/>
        </w:rPr>
        <w:t>Außer in dem in Artikel XVII.40 erwähnten Fall endet die Vertretung durch den Gruppenvertreter, wenn:</w:t>
      </w:r>
    </w:p>
    <w:p w14:paraId="6F48E472" w14:textId="77777777" w:rsidR="00325552" w:rsidRPr="004676F5" w:rsidRDefault="00325552" w:rsidP="00325552">
      <w:pPr>
        <w:jc w:val="both"/>
        <w:rPr>
          <w:lang w:val="de-DE"/>
        </w:rPr>
      </w:pPr>
    </w:p>
    <w:p w14:paraId="5A70E26C" w14:textId="72988BF6"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der Richter in der in Artikel XVII.61 § 2 erwähnten Sitzung feststellt, dass der kollektive Schaden gemäß der homologierten kollektiven Schadenersatzvereinbarung oder, in deren Ermangelung, der Entscheidung zur Sache vollständig ersetzt worden ist,</w:t>
      </w:r>
    </w:p>
    <w:p w14:paraId="37AB3090" w14:textId="77777777" w:rsidR="00325552" w:rsidRPr="004676F5" w:rsidRDefault="00325552" w:rsidP="00325552">
      <w:pPr>
        <w:jc w:val="both"/>
        <w:rPr>
          <w:lang w:val="de-DE"/>
        </w:rPr>
      </w:pPr>
    </w:p>
    <w:p w14:paraId="3D72CA4C" w14:textId="2D5BB95B"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der Richter in Anwendung von Artikel XVII.65 der Verfahrensrücknahme zustimmt.</w:t>
      </w:r>
    </w:p>
    <w:p w14:paraId="77C7921C" w14:textId="77777777" w:rsidR="00325552" w:rsidRPr="004676F5" w:rsidRDefault="00325552">
      <w:pPr>
        <w:rPr>
          <w:lang w:val="de-DE"/>
        </w:rPr>
      </w:pPr>
    </w:p>
    <w:p w14:paraId="3E3D2778" w14:textId="5CE0FE00" w:rsidR="00C34EF9" w:rsidRPr="004676F5" w:rsidRDefault="00C34EF9">
      <w:pPr>
        <w:rPr>
          <w:lang w:val="de-DE"/>
        </w:rPr>
      </w:pPr>
    </w:p>
    <w:p w14:paraId="6146CC42" w14:textId="14462F74" w:rsidR="00820491" w:rsidRPr="004676F5" w:rsidRDefault="00820491">
      <w:pPr>
        <w:rPr>
          <w:lang w:val="de-DE"/>
        </w:rPr>
      </w:pPr>
    </w:p>
    <w:p w14:paraId="3C598067" w14:textId="77777777" w:rsidR="00E86E64" w:rsidRPr="004676F5" w:rsidRDefault="00E86E64">
      <w:pPr>
        <w:rPr>
          <w:lang w:val="de-DE"/>
        </w:rPr>
      </w:pPr>
      <w:r w:rsidRPr="004676F5">
        <w:rPr>
          <w:lang w:val="de-DE"/>
        </w:rPr>
        <w:br w:type="page"/>
      </w:r>
    </w:p>
    <w:p w14:paraId="4B2004A1" w14:textId="3ACA5904" w:rsidR="00325552" w:rsidRPr="004676F5" w:rsidRDefault="00325552" w:rsidP="00325552">
      <w:pPr>
        <w:jc w:val="center"/>
        <w:rPr>
          <w:lang w:val="de-DE"/>
        </w:rPr>
      </w:pPr>
      <w:r w:rsidRPr="004676F5">
        <w:rPr>
          <w:lang w:val="de-DE"/>
        </w:rPr>
        <w:lastRenderedPageBreak/>
        <w:t>KAPITEL 2 </w:t>
      </w:r>
      <w:r w:rsidR="005B7A5C" w:rsidRPr="004676F5">
        <w:rPr>
          <w:lang w:val="de-DE"/>
        </w:rPr>
        <w:t>- </w:t>
      </w:r>
      <w:r w:rsidRPr="004676F5">
        <w:rPr>
          <w:i/>
          <w:lang w:val="de-DE"/>
        </w:rPr>
        <w:t>Verfahren</w:t>
      </w:r>
    </w:p>
    <w:p w14:paraId="265E6CC1" w14:textId="77777777" w:rsidR="00325552" w:rsidRPr="004676F5" w:rsidRDefault="00325552" w:rsidP="00325552">
      <w:pPr>
        <w:jc w:val="both"/>
        <w:rPr>
          <w:lang w:val="de-DE"/>
        </w:rPr>
      </w:pPr>
    </w:p>
    <w:p w14:paraId="0F7F00E8" w14:textId="77777777" w:rsidR="00325552" w:rsidRPr="004676F5" w:rsidRDefault="00325552" w:rsidP="00325552">
      <w:pPr>
        <w:jc w:val="both"/>
        <w:rPr>
          <w:lang w:val="de-DE"/>
        </w:rPr>
      </w:pPr>
    </w:p>
    <w:p w14:paraId="16528120" w14:textId="60F81E8C" w:rsidR="00325552" w:rsidRPr="004676F5" w:rsidRDefault="00325552" w:rsidP="00325552">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Zulässigkeitsphase</w:t>
      </w:r>
    </w:p>
    <w:p w14:paraId="76306EFB" w14:textId="77777777" w:rsidR="00325552" w:rsidRPr="004676F5" w:rsidRDefault="00325552" w:rsidP="00325552">
      <w:pPr>
        <w:jc w:val="both"/>
        <w:rPr>
          <w:lang w:val="de-DE"/>
        </w:rPr>
      </w:pPr>
    </w:p>
    <w:p w14:paraId="3B1E8287" w14:textId="77777777" w:rsidR="00325552" w:rsidRPr="004676F5" w:rsidRDefault="00325552" w:rsidP="00325552">
      <w:pPr>
        <w:jc w:val="both"/>
        <w:rPr>
          <w:lang w:val="de-DE"/>
        </w:rPr>
      </w:pPr>
    </w:p>
    <w:p w14:paraId="1C824BE3" w14:textId="68425B29"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Anwendung der Artikel 1034</w:t>
      </w:r>
      <w:r w:rsidRPr="004676F5">
        <w:rPr>
          <w:i/>
          <w:lang w:val="de-DE"/>
        </w:rPr>
        <w:t>bis</w:t>
      </w:r>
      <w:r w:rsidRPr="004676F5">
        <w:rPr>
          <w:lang w:val="de-DE"/>
        </w:rPr>
        <w:t xml:space="preserve"> und folgenden des Gerichtsgesetzbuches wird eine Antragschrift, die einen kollektiven Schadenersatz zum Gegenstand hat, an die Kanzlei des </w:t>
      </w:r>
      <w:r w:rsidR="00820491" w:rsidRPr="004676F5">
        <w:rPr>
          <w:lang w:val="de-DE"/>
        </w:rPr>
        <w:t>[...]</w:t>
      </w:r>
      <w:r w:rsidRPr="004676F5">
        <w:rPr>
          <w:lang w:val="de-DE"/>
        </w:rPr>
        <w:t xml:space="preserve"> </w:t>
      </w:r>
      <w:r w:rsidR="00763745" w:rsidRPr="004676F5">
        <w:rPr>
          <w:lang w:val="de-DE"/>
        </w:rPr>
        <w:t xml:space="preserve">[Unternehmensgerichts] </w:t>
      </w:r>
      <w:r w:rsidRPr="004676F5">
        <w:rPr>
          <w:lang w:val="de-DE"/>
        </w:rPr>
        <w:t>gesandt oder dort hinterlegt und enthält folgende Angaben:</w:t>
      </w:r>
    </w:p>
    <w:p w14:paraId="4DA60AF2" w14:textId="77777777" w:rsidR="00325552" w:rsidRPr="004676F5" w:rsidRDefault="00325552" w:rsidP="00325552">
      <w:pPr>
        <w:jc w:val="both"/>
        <w:rPr>
          <w:lang w:val="de-DE"/>
        </w:rPr>
      </w:pPr>
    </w:p>
    <w:p w14:paraId="75FECAB1" w14:textId="77777777" w:rsidR="00325552" w:rsidRPr="008E796B" w:rsidRDefault="00325552" w:rsidP="00325552">
      <w:pPr>
        <w:jc w:val="both"/>
        <w:rPr>
          <w:spacing w:val="-6"/>
          <w:lang w:val="de-DE"/>
        </w:rPr>
      </w:pPr>
      <w:r w:rsidRPr="004676F5">
        <w:rPr>
          <w:lang w:val="de-DE"/>
        </w:rPr>
        <w:tab/>
      </w:r>
      <w:r w:rsidRPr="008E796B">
        <w:rPr>
          <w:spacing w:val="-6"/>
          <w:lang w:val="de-DE"/>
        </w:rPr>
        <w:t>1. Nachweis, dass die in Artikel XVII.36 erwähnten Zulässigkeitsbedingungen erfüllt sind,</w:t>
      </w:r>
    </w:p>
    <w:p w14:paraId="4AB2CDE7" w14:textId="77777777" w:rsidR="00325552" w:rsidRPr="004676F5" w:rsidRDefault="00325552" w:rsidP="00325552">
      <w:pPr>
        <w:jc w:val="both"/>
        <w:rPr>
          <w:lang w:val="de-DE"/>
        </w:rPr>
      </w:pPr>
    </w:p>
    <w:p w14:paraId="4891FC72" w14:textId="77777777" w:rsidR="00325552" w:rsidRPr="004676F5" w:rsidRDefault="00325552" w:rsidP="00325552">
      <w:pPr>
        <w:jc w:val="both"/>
        <w:rPr>
          <w:lang w:val="de-DE"/>
        </w:rPr>
      </w:pPr>
      <w:r w:rsidRPr="004676F5">
        <w:rPr>
          <w:lang w:val="de-DE"/>
        </w:rPr>
        <w:tab/>
        <w:t>2. Beschreibung des kollektiven Schadens, der Gegenstand der kollektiven Schaden</w:t>
      </w:r>
      <w:r w:rsidRPr="004676F5">
        <w:rPr>
          <w:lang w:val="de-DE"/>
        </w:rPr>
        <w:softHyphen/>
        <w:t>ersatzklage ist,</w:t>
      </w:r>
    </w:p>
    <w:p w14:paraId="238E7FFA" w14:textId="77777777" w:rsidR="00325552" w:rsidRPr="004676F5" w:rsidRDefault="00325552" w:rsidP="00325552">
      <w:pPr>
        <w:jc w:val="both"/>
        <w:rPr>
          <w:lang w:val="de-DE"/>
        </w:rPr>
      </w:pPr>
    </w:p>
    <w:p w14:paraId="2CD05624" w14:textId="3466A44F" w:rsidR="00325552" w:rsidRPr="004676F5" w:rsidRDefault="00325552" w:rsidP="00325552">
      <w:pPr>
        <w:jc w:val="both"/>
        <w:rPr>
          <w:lang w:val="de-DE"/>
        </w:rPr>
      </w:pPr>
      <w:r w:rsidRPr="004676F5">
        <w:rPr>
          <w:lang w:val="de-DE"/>
        </w:rPr>
        <w:tab/>
        <w:t>3. </w:t>
      </w:r>
      <w:r w:rsidR="000464BD" w:rsidRPr="004676F5">
        <w:rPr>
          <w:lang w:val="de-DE"/>
        </w:rPr>
        <w:t>[...]</w:t>
      </w:r>
    </w:p>
    <w:p w14:paraId="4F855F05" w14:textId="77777777" w:rsidR="00325552" w:rsidRPr="004676F5" w:rsidRDefault="00325552" w:rsidP="00325552">
      <w:pPr>
        <w:jc w:val="both"/>
        <w:rPr>
          <w:lang w:val="de-DE"/>
        </w:rPr>
      </w:pPr>
    </w:p>
    <w:p w14:paraId="4A9B28A5" w14:textId="435D0655" w:rsidR="00325552" w:rsidRPr="004676F5" w:rsidRDefault="00325552" w:rsidP="00325552">
      <w:pPr>
        <w:jc w:val="both"/>
        <w:rPr>
          <w:lang w:val="de-DE"/>
        </w:rPr>
      </w:pPr>
      <w:r w:rsidRPr="004676F5">
        <w:rPr>
          <w:lang w:val="de-DE"/>
        </w:rPr>
        <w:tab/>
        <w:t>4. Beschreibung der Gruppe, für die der Gruppenvertreter aufzutreten beabsichtigt, mit einer möglichst genauen Schätzung der Anzahl geschädigter Personen; enthält die Gruppe Unterkategorien, werden diese Informationen pro Unterkategorie angegeben</w:t>
      </w:r>
      <w:r w:rsidR="000464BD" w:rsidRPr="004676F5">
        <w:rPr>
          <w:lang w:val="de-DE"/>
        </w:rPr>
        <w:t>,</w:t>
      </w:r>
    </w:p>
    <w:p w14:paraId="48277B6F" w14:textId="77777777" w:rsidR="000464BD" w:rsidRPr="004676F5" w:rsidRDefault="000464BD" w:rsidP="00325552">
      <w:pPr>
        <w:jc w:val="both"/>
        <w:rPr>
          <w:lang w:val="de-DE"/>
        </w:rPr>
      </w:pPr>
    </w:p>
    <w:p w14:paraId="5AC76F84" w14:textId="77777777" w:rsidR="000464BD" w:rsidRPr="004676F5" w:rsidRDefault="000464BD" w:rsidP="000464BD">
      <w:pPr>
        <w:jc w:val="both"/>
        <w:rPr>
          <w:lang w:val="de-DE"/>
        </w:rPr>
      </w:pPr>
      <w:r w:rsidRPr="004676F5">
        <w:rPr>
          <w:lang w:val="de-DE"/>
        </w:rPr>
        <w:tab/>
        <w:t>[5. beantragte Abhilfeentscheidung für die Mitglieder der Gruppe oder für die Mitglieder der verschiedenen Unterkategorien der Gruppe,</w:t>
      </w:r>
    </w:p>
    <w:p w14:paraId="300DEE80" w14:textId="77777777" w:rsidR="000464BD" w:rsidRPr="004676F5" w:rsidRDefault="000464BD" w:rsidP="000464BD">
      <w:pPr>
        <w:jc w:val="both"/>
        <w:rPr>
          <w:lang w:val="de-DE"/>
        </w:rPr>
      </w:pPr>
    </w:p>
    <w:p w14:paraId="66F43C72" w14:textId="21836C49" w:rsidR="000464BD" w:rsidRPr="004676F5" w:rsidRDefault="000464BD" w:rsidP="000464BD">
      <w:pPr>
        <w:jc w:val="both"/>
        <w:rPr>
          <w:lang w:val="de-DE"/>
        </w:rPr>
      </w:pPr>
      <w:r w:rsidRPr="004676F5">
        <w:rPr>
          <w:lang w:val="de-DE"/>
        </w:rPr>
        <w:tab/>
        <w:t>6. Angabe, ob die kollektive Schadenersatzklage durch Dritte finanziert wird oder nicht. Ist dies der Fall, identifiziert der Vertreter die Drittfinanzierer sowie die finanzierten Beträge.]</w:t>
      </w:r>
    </w:p>
    <w:p w14:paraId="3D731603" w14:textId="77777777" w:rsidR="00325552" w:rsidRPr="004676F5" w:rsidRDefault="00325552" w:rsidP="00325552">
      <w:pPr>
        <w:jc w:val="both"/>
        <w:rPr>
          <w:lang w:val="de-DE"/>
        </w:rPr>
      </w:pPr>
    </w:p>
    <w:p w14:paraId="0320434A" w14:textId="02422901"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Die Parteien einer kollektiven Schadenersatzvereinbarung können den Richter durch gemeinsame Antragschrift mit der Sache befassen, um die Homologierung der Vereinbarung zu erhalten.</w:t>
      </w:r>
    </w:p>
    <w:p w14:paraId="07C22B54" w14:textId="77777777" w:rsidR="00325552" w:rsidRPr="004676F5" w:rsidRDefault="00325552" w:rsidP="00325552">
      <w:pPr>
        <w:jc w:val="both"/>
        <w:rPr>
          <w:lang w:val="de-DE"/>
        </w:rPr>
      </w:pPr>
    </w:p>
    <w:p w14:paraId="3F04E6E5" w14:textId="77777777" w:rsidR="00325552" w:rsidRPr="004676F5" w:rsidRDefault="00325552" w:rsidP="00325552">
      <w:pPr>
        <w:jc w:val="both"/>
        <w:rPr>
          <w:lang w:val="de-DE"/>
        </w:rPr>
      </w:pPr>
      <w:r w:rsidRPr="004676F5">
        <w:rPr>
          <w:lang w:val="de-DE"/>
        </w:rPr>
        <w:tab/>
        <w:t>Unbeschadet der Artikel 1034</w:t>
      </w:r>
      <w:r w:rsidRPr="004676F5">
        <w:rPr>
          <w:i/>
          <w:lang w:val="de-DE"/>
        </w:rPr>
        <w:t>bis</w:t>
      </w:r>
      <w:r w:rsidRPr="004676F5">
        <w:rPr>
          <w:lang w:val="de-DE"/>
        </w:rPr>
        <w:t xml:space="preserve"> und folgenden des Gerichtsgesetzbuches enthält die Antragschrift den Nachweis, dass die in Artikel XVII.36 erwähnten Zulässigkeitsbedingungen erfüllt sind.</w:t>
      </w:r>
    </w:p>
    <w:p w14:paraId="3A1AC490" w14:textId="77777777" w:rsidR="00325552" w:rsidRPr="004676F5" w:rsidRDefault="00325552" w:rsidP="00325552">
      <w:pPr>
        <w:jc w:val="both"/>
        <w:rPr>
          <w:lang w:val="de-DE"/>
        </w:rPr>
      </w:pPr>
    </w:p>
    <w:p w14:paraId="2FF389A7" w14:textId="0636BE21" w:rsidR="00325552" w:rsidRPr="004676F5" w:rsidRDefault="00325552" w:rsidP="00325552">
      <w:pPr>
        <w:jc w:val="both"/>
        <w:rPr>
          <w:lang w:val="de-DE"/>
        </w:rPr>
      </w:pPr>
      <w:r w:rsidRPr="004676F5">
        <w:rPr>
          <w:lang w:val="de-DE"/>
        </w:rPr>
        <w:tab/>
        <w:t xml:space="preserve">Die kollektive Schadenersatzvereinbarung, die der Antragschrift beigefügt ist, enthält die in Artikel XVII.45 § 3 Nr. 2 bis 13 erwähnten Angaben </w:t>
      </w:r>
      <w:r w:rsidR="000464BD" w:rsidRPr="004676F5">
        <w:rPr>
          <w:lang w:val="de-DE"/>
        </w:rPr>
        <w:t>[...]</w:t>
      </w:r>
      <w:r w:rsidRPr="004676F5">
        <w:rPr>
          <w:lang w:val="de-DE"/>
        </w:rPr>
        <w:t>.</w:t>
      </w:r>
    </w:p>
    <w:p w14:paraId="2CF48E21" w14:textId="77777777" w:rsidR="00325552" w:rsidRPr="004676F5" w:rsidRDefault="00325552" w:rsidP="00325552">
      <w:pPr>
        <w:jc w:val="both"/>
        <w:rPr>
          <w:lang w:val="de-DE"/>
        </w:rPr>
      </w:pPr>
    </w:p>
    <w:p w14:paraId="3CFD6640" w14:textId="0E7E362D" w:rsidR="00325552" w:rsidRPr="004676F5" w:rsidRDefault="00325552" w:rsidP="00325552">
      <w:pPr>
        <w:jc w:val="both"/>
        <w:rPr>
          <w:lang w:val="de-DE"/>
        </w:rPr>
      </w:pPr>
      <w:r w:rsidRPr="004676F5">
        <w:rPr>
          <w:lang w:val="de-DE"/>
        </w:rPr>
        <w:tab/>
        <w:t>§ 3 </w:t>
      </w:r>
      <w:r w:rsidR="005B7A5C" w:rsidRPr="004676F5">
        <w:rPr>
          <w:lang w:val="de-DE"/>
        </w:rPr>
        <w:t>- </w:t>
      </w:r>
      <w:r w:rsidRPr="004676F5">
        <w:rPr>
          <w:lang w:val="de-DE"/>
        </w:rPr>
        <w:t>Ist die Antragschrift unvollständig, fordert die Kanzlei den Antragsteller auf, sie binnen acht Tagen zu vervollständigen.</w:t>
      </w:r>
    </w:p>
    <w:p w14:paraId="60486C0E" w14:textId="77777777" w:rsidR="00325552" w:rsidRPr="004676F5" w:rsidRDefault="00325552" w:rsidP="00325552">
      <w:pPr>
        <w:jc w:val="both"/>
        <w:rPr>
          <w:lang w:val="de-DE"/>
        </w:rPr>
      </w:pPr>
    </w:p>
    <w:p w14:paraId="556647E0" w14:textId="77777777" w:rsidR="00325552" w:rsidRPr="004676F5" w:rsidRDefault="00325552" w:rsidP="00325552">
      <w:pPr>
        <w:jc w:val="both"/>
        <w:rPr>
          <w:lang w:val="de-DE"/>
        </w:rPr>
      </w:pPr>
      <w:r w:rsidRPr="004676F5">
        <w:rPr>
          <w:lang w:val="de-DE"/>
        </w:rPr>
        <w:tab/>
        <w:t>Für den Antragsteller, der seine Antragschrift binnen acht Tagen ab Erhalt der in Absatz 1 erwähnten Aufforderung vervollständigt, gilt das Datum der ersten Hinterlegung der Antragschrift als Hinterlegungsdatum.</w:t>
      </w:r>
    </w:p>
    <w:p w14:paraId="4FE040B4" w14:textId="77777777" w:rsidR="00325552" w:rsidRPr="004676F5" w:rsidRDefault="00325552" w:rsidP="00325552">
      <w:pPr>
        <w:jc w:val="both"/>
        <w:rPr>
          <w:lang w:val="de-DE"/>
        </w:rPr>
      </w:pPr>
    </w:p>
    <w:p w14:paraId="638BE82B" w14:textId="77777777" w:rsidR="008E796B" w:rsidRDefault="008E796B">
      <w:pPr>
        <w:rPr>
          <w:lang w:val="de-DE"/>
        </w:rPr>
      </w:pPr>
      <w:r>
        <w:rPr>
          <w:lang w:val="de-DE"/>
        </w:rPr>
        <w:br w:type="page"/>
      </w:r>
    </w:p>
    <w:p w14:paraId="691F1B8B" w14:textId="007354E1" w:rsidR="00325552" w:rsidRPr="004676F5" w:rsidRDefault="00325552" w:rsidP="00325552">
      <w:pPr>
        <w:jc w:val="both"/>
        <w:rPr>
          <w:lang w:val="de-DE"/>
        </w:rPr>
      </w:pPr>
      <w:r w:rsidRPr="004676F5">
        <w:rPr>
          <w:lang w:val="de-DE"/>
        </w:rPr>
        <w:lastRenderedPageBreak/>
        <w:tab/>
        <w:t>Antragschriften, die nicht oder unzureichend beziehungsweise zu spät vervollständigt werden, gelten als nicht eingereicht.</w:t>
      </w:r>
    </w:p>
    <w:p w14:paraId="5890757A" w14:textId="38F7B046" w:rsidR="00820491" w:rsidRPr="004676F5" w:rsidRDefault="00820491" w:rsidP="00325552">
      <w:pPr>
        <w:jc w:val="both"/>
        <w:rPr>
          <w:lang w:val="de-DE"/>
        </w:rPr>
      </w:pPr>
    </w:p>
    <w:p w14:paraId="113236F0" w14:textId="7BF0F8B0" w:rsidR="00820491" w:rsidRPr="004676F5" w:rsidRDefault="00820491" w:rsidP="00325552">
      <w:pPr>
        <w:jc w:val="both"/>
        <w:rPr>
          <w:i/>
          <w:lang w:val="de-DE"/>
        </w:rPr>
      </w:pPr>
      <w:r w:rsidRPr="004676F5">
        <w:rPr>
          <w:i/>
          <w:lang w:val="de-DE"/>
        </w:rPr>
        <w:t xml:space="preserve">[Art. XVII.42 § 1 </w:t>
      </w:r>
      <w:r w:rsidR="00837758" w:rsidRPr="004676F5">
        <w:rPr>
          <w:i/>
          <w:lang w:val="de-DE"/>
        </w:rPr>
        <w:t xml:space="preserve">einziger Absatz </w:t>
      </w:r>
      <w:r w:rsidRPr="004676F5">
        <w:rPr>
          <w:i/>
          <w:lang w:val="de-DE"/>
        </w:rPr>
        <w:t>einleitende Bestimmung abgeändert durch Art. 5 Nr. 1 des G. vom 30. März 2018 (B.S. vom 22. Mai 2018)</w:t>
      </w:r>
      <w:r w:rsidR="00763745" w:rsidRPr="004676F5">
        <w:rPr>
          <w:i/>
          <w:lang w:val="de-DE"/>
        </w:rPr>
        <w:t xml:space="preserve"> und Art. 252 des G. vom 15. April 2018 (B.S. vom 27. April 2018)</w:t>
      </w:r>
      <w:r w:rsidRPr="004676F5">
        <w:rPr>
          <w:i/>
          <w:lang w:val="de-DE"/>
        </w:rPr>
        <w:t xml:space="preserve">; </w:t>
      </w:r>
      <w:r w:rsidR="000464BD" w:rsidRPr="004676F5">
        <w:rPr>
          <w:i/>
          <w:lang w:val="de-DE"/>
        </w:rPr>
        <w:t xml:space="preserve">§ 1 einziger Absatz Nr. 3 aufgehoben </w:t>
      </w:r>
      <w:r w:rsidR="000464BD" w:rsidRPr="004676F5">
        <w:rPr>
          <w:i/>
          <w:iCs/>
          <w:lang w:val="de-DE"/>
        </w:rPr>
        <w:t xml:space="preserve">durch Art. 25 Buchstabe a) des G. vom 21. April 2024 (II) (B.S. vom 31. Mai 2024); § 1 einziger Absatz Nr. 5 und 6 eingefügt durch Art. 25 Buchstabe b) des G. vom 21. April 2024 (II) (B.S. vom 31. Mai 2024); </w:t>
      </w:r>
      <w:r w:rsidRPr="004676F5">
        <w:rPr>
          <w:i/>
          <w:lang w:val="de-DE"/>
        </w:rPr>
        <w:t>§ 2 Abs. 3 abgeändert durch Art. 5 Nr. 2 des G. vom 30. März 2018 (B.S. vom 22. Mai 2018)</w:t>
      </w:r>
      <w:r w:rsidR="000464BD" w:rsidRPr="004676F5">
        <w:rPr>
          <w:i/>
          <w:lang w:val="de-DE"/>
        </w:rPr>
        <w:t xml:space="preserve"> und </w:t>
      </w:r>
      <w:r w:rsidR="000464BD" w:rsidRPr="004676F5">
        <w:rPr>
          <w:i/>
          <w:iCs/>
          <w:lang w:val="de-DE"/>
        </w:rPr>
        <w:t>Art. 25 Buchstabe c) des G. vom 21. April 2024 (II) (B.S. vom 31. Mai 2024)</w:t>
      </w:r>
      <w:r w:rsidRPr="004676F5">
        <w:rPr>
          <w:i/>
          <w:lang w:val="de-DE"/>
        </w:rPr>
        <w:t>]</w:t>
      </w:r>
    </w:p>
    <w:p w14:paraId="6970A1C0" w14:textId="77777777" w:rsidR="00325552" w:rsidRPr="004676F5" w:rsidRDefault="00325552" w:rsidP="00325552">
      <w:pPr>
        <w:jc w:val="both"/>
        <w:rPr>
          <w:lang w:val="de-DE"/>
        </w:rPr>
      </w:pPr>
    </w:p>
    <w:p w14:paraId="20FA1F10" w14:textId="77777777" w:rsidR="00325552" w:rsidRPr="004676F5" w:rsidRDefault="00325552" w:rsidP="00325552">
      <w:pPr>
        <w:jc w:val="both"/>
        <w:rPr>
          <w:lang w:val="de-DE"/>
        </w:rPr>
      </w:pPr>
    </w:p>
    <w:p w14:paraId="6879F3AD" w14:textId="7D6C1867" w:rsidR="000464BD" w:rsidRPr="004676F5" w:rsidRDefault="00325552" w:rsidP="000464BD">
      <w:pPr>
        <w:jc w:val="both"/>
        <w:rPr>
          <w:lang w:val="de-DE"/>
        </w:rPr>
      </w:pPr>
      <w:r w:rsidRPr="004676F5">
        <w:rPr>
          <w:lang w:val="de-DE"/>
        </w:rPr>
        <w:tab/>
      </w:r>
      <w:r w:rsidR="00BE0A56" w:rsidRPr="004676F5">
        <w:rPr>
          <w:b/>
          <w:lang w:val="de-DE"/>
        </w:rPr>
        <w:t>Art. </w:t>
      </w:r>
      <w:r w:rsidRPr="004676F5">
        <w:rPr>
          <w:b/>
          <w:lang w:val="de-DE"/>
        </w:rPr>
        <w:t>XVII.43</w:t>
      </w:r>
      <w:r w:rsidRPr="004676F5">
        <w:rPr>
          <w:lang w:val="de-DE"/>
        </w:rPr>
        <w:t> </w:t>
      </w:r>
      <w:r w:rsidR="005B7A5C" w:rsidRPr="004676F5">
        <w:rPr>
          <w:lang w:val="de-DE"/>
        </w:rPr>
        <w:t>- </w:t>
      </w:r>
      <w:r w:rsidRPr="004676F5">
        <w:rPr>
          <w:lang w:val="de-DE"/>
        </w:rPr>
        <w:t>§ 1 </w:t>
      </w:r>
      <w:r w:rsidR="000464BD" w:rsidRPr="004676F5">
        <w:rPr>
          <w:lang w:val="de-DE"/>
        </w:rPr>
        <w:t>-</w:t>
      </w:r>
      <w:r w:rsidR="005B7A5C" w:rsidRPr="004676F5">
        <w:rPr>
          <w:lang w:val="de-DE"/>
        </w:rPr>
        <w:t> </w:t>
      </w:r>
      <w:r w:rsidR="000464BD" w:rsidRPr="004676F5">
        <w:rPr>
          <w:lang w:val="de-DE"/>
        </w:rPr>
        <w:t>[Vorbehaltlich des Einverständnisses der Parteien wird die Zulässigkeit der kollektiven Schadenersatzklage vom Richter gemäß dem für eine kurze Verhandlung vorgesehenen Verfahren wie in Artikel 735 des Gerichtsgesetzbuches erwähnt behandelt.</w:t>
      </w:r>
    </w:p>
    <w:p w14:paraId="29862285" w14:textId="77777777" w:rsidR="000464BD" w:rsidRPr="004676F5" w:rsidRDefault="000464BD" w:rsidP="000464BD">
      <w:pPr>
        <w:jc w:val="both"/>
        <w:rPr>
          <w:lang w:val="de-DE"/>
        </w:rPr>
      </w:pPr>
    </w:p>
    <w:p w14:paraId="36867A43" w14:textId="19E706A9" w:rsidR="00325552" w:rsidRPr="004676F5" w:rsidRDefault="000464BD" w:rsidP="000464BD">
      <w:pPr>
        <w:jc w:val="both"/>
        <w:rPr>
          <w:lang w:val="de-DE"/>
        </w:rPr>
      </w:pPr>
      <w:r w:rsidRPr="004676F5">
        <w:rPr>
          <w:lang w:val="de-DE"/>
        </w:rPr>
        <w:tab/>
        <w:t>Wird die Zulässigkeit der kollektiven Schadenersatzklage nicht gemäß dem Verfahren für eine kurze Verhandlung behandelt, nimmt der Richter die Instandsetzung der Sache gemäß Artikel 747 § 2 des Gerichtsgesetzbuches vor und entscheidet er binnen sechs Monaten ab Hinterlegung der Antragschrift über die Zulässigkeit der kollektiven Schadenersatzklage.]</w:t>
      </w:r>
    </w:p>
    <w:p w14:paraId="600D20D3" w14:textId="77777777" w:rsidR="00325552" w:rsidRPr="004676F5" w:rsidRDefault="00325552" w:rsidP="00325552">
      <w:pPr>
        <w:jc w:val="both"/>
        <w:rPr>
          <w:lang w:val="de-DE"/>
        </w:rPr>
      </w:pPr>
    </w:p>
    <w:p w14:paraId="72B1193D" w14:textId="43AD2918"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Der Richter stimmt der kollektiven Schadenersatzklage zu, wenn die in Artikel XVII.36 erwähnten Zulässigkeitsbedingungen erfüllt sind, und vermerkt in seiner Zulässigkeitsentscheidung folgende Angaben:</w:t>
      </w:r>
    </w:p>
    <w:p w14:paraId="0F222A28" w14:textId="77777777" w:rsidR="00325552" w:rsidRPr="004676F5" w:rsidRDefault="00325552" w:rsidP="00325552">
      <w:pPr>
        <w:jc w:val="both"/>
        <w:rPr>
          <w:lang w:val="de-DE"/>
        </w:rPr>
      </w:pPr>
    </w:p>
    <w:p w14:paraId="2CB7F0B6" w14:textId="77777777" w:rsidR="00325552" w:rsidRPr="004676F5" w:rsidRDefault="00325552" w:rsidP="00325552">
      <w:pPr>
        <w:jc w:val="both"/>
        <w:rPr>
          <w:lang w:val="de-DE"/>
        </w:rPr>
      </w:pPr>
      <w:r w:rsidRPr="004676F5">
        <w:rPr>
          <w:lang w:val="de-DE"/>
        </w:rPr>
        <w:tab/>
        <w:t>1. Beschreibung des kollektiven Schadens, der Gegenstand der Klage ist,</w:t>
      </w:r>
    </w:p>
    <w:p w14:paraId="279A4817" w14:textId="77777777" w:rsidR="00325552" w:rsidRPr="004676F5" w:rsidRDefault="00325552" w:rsidP="00325552">
      <w:pPr>
        <w:jc w:val="both"/>
        <w:rPr>
          <w:lang w:val="de-DE"/>
        </w:rPr>
      </w:pPr>
    </w:p>
    <w:p w14:paraId="64CC6941" w14:textId="77777777" w:rsidR="00325552" w:rsidRPr="004676F5" w:rsidRDefault="00325552" w:rsidP="00325552">
      <w:pPr>
        <w:jc w:val="both"/>
        <w:rPr>
          <w:lang w:val="de-DE"/>
        </w:rPr>
      </w:pPr>
      <w:r w:rsidRPr="004676F5">
        <w:rPr>
          <w:lang w:val="de-DE"/>
        </w:rPr>
        <w:tab/>
        <w:t>2. für den kollektiven Schaden geltend gemachte Ursache,</w:t>
      </w:r>
    </w:p>
    <w:p w14:paraId="10EEC6B8" w14:textId="77777777" w:rsidR="00325552" w:rsidRPr="004676F5" w:rsidRDefault="00325552" w:rsidP="00325552">
      <w:pPr>
        <w:jc w:val="both"/>
        <w:rPr>
          <w:lang w:val="de-DE"/>
        </w:rPr>
      </w:pPr>
    </w:p>
    <w:p w14:paraId="334A4E19" w14:textId="169B954E" w:rsidR="00325552" w:rsidRPr="004676F5" w:rsidRDefault="00325552" w:rsidP="00325552">
      <w:pPr>
        <w:jc w:val="both"/>
        <w:rPr>
          <w:lang w:val="de-DE"/>
        </w:rPr>
      </w:pPr>
      <w:r w:rsidRPr="004676F5">
        <w:rPr>
          <w:lang w:val="de-DE"/>
        </w:rPr>
        <w:tab/>
        <w:t>3. </w:t>
      </w:r>
      <w:r w:rsidR="000464BD" w:rsidRPr="004676F5">
        <w:rPr>
          <w:lang w:val="de-DE"/>
        </w:rPr>
        <w:t>[...]</w:t>
      </w:r>
    </w:p>
    <w:p w14:paraId="44A2D2F9" w14:textId="77777777" w:rsidR="00325552" w:rsidRPr="004676F5" w:rsidRDefault="00325552" w:rsidP="00325552">
      <w:pPr>
        <w:jc w:val="both"/>
        <w:rPr>
          <w:lang w:val="de-DE"/>
        </w:rPr>
      </w:pPr>
    </w:p>
    <w:p w14:paraId="358475A5" w14:textId="77777777" w:rsidR="00325552" w:rsidRPr="004676F5" w:rsidRDefault="00325552" w:rsidP="00325552">
      <w:pPr>
        <w:jc w:val="both"/>
        <w:rPr>
          <w:lang w:val="de-DE"/>
        </w:rPr>
      </w:pPr>
      <w:r w:rsidRPr="004676F5">
        <w:rPr>
          <w:lang w:val="de-DE"/>
        </w:rPr>
        <w:tab/>
        <w:t>4. Beschreibung der Gruppe, mit einer möglichst genauen Schätzung der Anzahl geschädigter Personen; enthält die Gruppe Unterkategorien, werden diese Informationen pro Unterkategorie angegeben,</w:t>
      </w:r>
    </w:p>
    <w:p w14:paraId="35A216F4" w14:textId="77777777" w:rsidR="00325552" w:rsidRPr="004676F5" w:rsidRDefault="00325552" w:rsidP="00325552">
      <w:pPr>
        <w:jc w:val="both"/>
        <w:rPr>
          <w:lang w:val="de-DE"/>
        </w:rPr>
      </w:pPr>
    </w:p>
    <w:p w14:paraId="26576A94" w14:textId="5FED2529" w:rsidR="00325552" w:rsidRPr="004676F5" w:rsidRDefault="00325552" w:rsidP="00325552">
      <w:pPr>
        <w:jc w:val="both"/>
        <w:rPr>
          <w:lang w:val="de-DE"/>
        </w:rPr>
      </w:pPr>
      <w:r w:rsidRPr="004676F5">
        <w:rPr>
          <w:lang w:val="de-DE"/>
        </w:rPr>
        <w:tab/>
        <w:t>5. </w:t>
      </w:r>
      <w:r w:rsidR="000464BD" w:rsidRPr="004676F5">
        <w:rPr>
          <w:lang w:val="de-DE"/>
        </w:rPr>
        <w:t>[Bezeichnung der Gruppenvertreter, ihre Adresse, gegebenenfalls ihre Unternehmensnummer, und Namen und Eigenschaft der Personen, die in ihrem Namen unterzeichnen, sowie Unterkategorie der Gruppe, für die sie auftreten werden,]</w:t>
      </w:r>
    </w:p>
    <w:p w14:paraId="02A084BD" w14:textId="77777777" w:rsidR="00325552" w:rsidRPr="004676F5" w:rsidRDefault="00325552" w:rsidP="00325552">
      <w:pPr>
        <w:jc w:val="both"/>
        <w:rPr>
          <w:lang w:val="de-DE"/>
        </w:rPr>
      </w:pPr>
    </w:p>
    <w:p w14:paraId="6310F963" w14:textId="77777777" w:rsidR="00325552" w:rsidRPr="004676F5" w:rsidRDefault="00325552" w:rsidP="00325552">
      <w:pPr>
        <w:jc w:val="both"/>
        <w:rPr>
          <w:lang w:val="de-DE"/>
        </w:rPr>
      </w:pPr>
      <w:r w:rsidRPr="004676F5">
        <w:rPr>
          <w:lang w:val="de-DE"/>
        </w:rPr>
        <w:tab/>
        <w:t>6. Bezeichnung oder Namen und Vornamen des Beklagten, seine Adresse und Unter</w:t>
      </w:r>
      <w:r w:rsidRPr="004676F5">
        <w:rPr>
          <w:lang w:val="de-DE"/>
        </w:rPr>
        <w:softHyphen/>
        <w:t>nehmensnummer,</w:t>
      </w:r>
    </w:p>
    <w:p w14:paraId="1D3C23AF" w14:textId="77777777" w:rsidR="00325552" w:rsidRPr="004676F5" w:rsidRDefault="00325552" w:rsidP="00325552">
      <w:pPr>
        <w:jc w:val="both"/>
        <w:rPr>
          <w:lang w:val="de-DE"/>
        </w:rPr>
      </w:pPr>
    </w:p>
    <w:p w14:paraId="2731BD74" w14:textId="730E02E2" w:rsidR="00325552" w:rsidRPr="004676F5" w:rsidRDefault="00325552" w:rsidP="00325552">
      <w:pPr>
        <w:jc w:val="both"/>
        <w:rPr>
          <w:lang w:val="de-DE"/>
        </w:rPr>
      </w:pPr>
      <w:r w:rsidRPr="004676F5">
        <w:rPr>
          <w:lang w:val="de-DE"/>
        </w:rPr>
        <w:tab/>
        <w:t>7. </w:t>
      </w:r>
      <w:r w:rsidR="000464BD" w:rsidRPr="004676F5">
        <w:rPr>
          <w:lang w:val="de-DE"/>
        </w:rPr>
        <w:t>[...]</w:t>
      </w:r>
    </w:p>
    <w:p w14:paraId="3A3DCC8E" w14:textId="77777777" w:rsidR="00325552" w:rsidRPr="004676F5" w:rsidRDefault="00325552" w:rsidP="00325552">
      <w:pPr>
        <w:jc w:val="both"/>
        <w:rPr>
          <w:lang w:val="de-DE"/>
        </w:rPr>
      </w:pPr>
    </w:p>
    <w:p w14:paraId="6FDD2D03" w14:textId="6F665181" w:rsidR="00325552" w:rsidRPr="004676F5" w:rsidRDefault="00325552" w:rsidP="00325552">
      <w:pPr>
        <w:jc w:val="both"/>
        <w:rPr>
          <w:lang w:val="de-DE"/>
        </w:rPr>
      </w:pPr>
      <w:r w:rsidRPr="004676F5">
        <w:rPr>
          <w:lang w:val="de-DE"/>
        </w:rPr>
        <w:tab/>
        <w:t xml:space="preserve">8. Frist, die den Parteien eingeräumt wird, um eine Vereinbarung über den Ersatz des kollektiven Schadens zu verhandeln; diese Frist, die erst </w:t>
      </w:r>
      <w:r w:rsidR="000464BD" w:rsidRPr="004676F5">
        <w:rPr>
          <w:lang w:val="de-DE"/>
        </w:rPr>
        <w:t xml:space="preserve">[am Tag nach der Veröffentlichung der Zulässigkeitsentscheidung im </w:t>
      </w:r>
      <w:r w:rsidR="000464BD" w:rsidRPr="00F5332A">
        <w:rPr>
          <w:i/>
          <w:iCs/>
          <w:lang w:val="de-DE"/>
        </w:rPr>
        <w:t>Belgischen Staatsblatt</w:t>
      </w:r>
      <w:r w:rsidR="000464BD" w:rsidRPr="004676F5">
        <w:rPr>
          <w:lang w:val="de-DE"/>
        </w:rPr>
        <w:t xml:space="preserve"> beginnt,]</w:t>
      </w:r>
      <w:r w:rsidRPr="004676F5">
        <w:rPr>
          <w:lang w:val="de-DE"/>
        </w:rPr>
        <w:t xml:space="preserve"> darf weder unter drei Monaten noch über sechs Monaten liegen,</w:t>
      </w:r>
    </w:p>
    <w:p w14:paraId="1314CC98" w14:textId="77777777" w:rsidR="00325552" w:rsidRPr="004676F5" w:rsidRDefault="00325552" w:rsidP="00325552">
      <w:pPr>
        <w:jc w:val="both"/>
        <w:rPr>
          <w:lang w:val="de-DE"/>
        </w:rPr>
      </w:pPr>
    </w:p>
    <w:p w14:paraId="1FF9AA7A" w14:textId="0BD66FEC" w:rsidR="00325552" w:rsidRPr="004676F5" w:rsidRDefault="00325552" w:rsidP="00325552">
      <w:pPr>
        <w:jc w:val="both"/>
        <w:rPr>
          <w:lang w:val="de-DE"/>
        </w:rPr>
      </w:pPr>
      <w:r w:rsidRPr="004676F5">
        <w:rPr>
          <w:lang w:val="de-DE"/>
        </w:rPr>
        <w:lastRenderedPageBreak/>
        <w:tab/>
        <w:t>9. gegebenenfalls zusätzliche Maßnahmen für die Veröffentlichung der Zulässigkeitsentscheidung, wenn der Richter urteilt, dass die in § 3 erwähnten Maßnahmen unzureichend sind</w:t>
      </w:r>
      <w:r w:rsidR="000464BD" w:rsidRPr="004676F5">
        <w:rPr>
          <w:lang w:val="de-DE"/>
        </w:rPr>
        <w:t>,</w:t>
      </w:r>
    </w:p>
    <w:p w14:paraId="0B58722C" w14:textId="77777777" w:rsidR="000464BD" w:rsidRPr="004676F5" w:rsidRDefault="000464BD" w:rsidP="00325552">
      <w:pPr>
        <w:jc w:val="both"/>
        <w:rPr>
          <w:lang w:val="de-DE"/>
        </w:rPr>
      </w:pPr>
    </w:p>
    <w:p w14:paraId="0F6E5219" w14:textId="7A507796" w:rsidR="000464BD" w:rsidRPr="004676F5" w:rsidRDefault="000464BD" w:rsidP="00325552">
      <w:pPr>
        <w:jc w:val="both"/>
        <w:rPr>
          <w:lang w:val="de-DE"/>
        </w:rPr>
      </w:pPr>
      <w:r w:rsidRPr="004676F5">
        <w:rPr>
          <w:lang w:val="de-DE"/>
        </w:rPr>
        <w:tab/>
        <w:t>[10. beantragte Abhilfeentscheidung für die Mitglieder der Gruppe oder für die Mitglieder der verschiedenen Unterkategorien der Gruppe.]</w:t>
      </w:r>
    </w:p>
    <w:p w14:paraId="480DDA32" w14:textId="77777777" w:rsidR="00325552" w:rsidRPr="004676F5" w:rsidRDefault="00325552" w:rsidP="00325552">
      <w:pPr>
        <w:jc w:val="both"/>
        <w:rPr>
          <w:lang w:val="de-DE"/>
        </w:rPr>
      </w:pPr>
    </w:p>
    <w:p w14:paraId="56787BC4" w14:textId="7313BCA4" w:rsidR="00325552" w:rsidRPr="008E796B" w:rsidRDefault="00325552" w:rsidP="00325552">
      <w:pPr>
        <w:jc w:val="both"/>
        <w:rPr>
          <w:spacing w:val="-6"/>
          <w:lang w:val="de-DE"/>
        </w:rPr>
      </w:pPr>
      <w:r w:rsidRPr="008E796B">
        <w:rPr>
          <w:spacing w:val="-6"/>
          <w:lang w:val="de-DE"/>
        </w:rPr>
        <w:tab/>
        <w:t>§ 3 </w:t>
      </w:r>
      <w:r w:rsidR="005B7A5C" w:rsidRPr="008E796B">
        <w:rPr>
          <w:spacing w:val="-6"/>
          <w:lang w:val="de-DE"/>
        </w:rPr>
        <w:t>- </w:t>
      </w:r>
      <w:r w:rsidR="00741332" w:rsidRPr="008E796B">
        <w:rPr>
          <w:spacing w:val="-6"/>
          <w:lang w:val="de-DE"/>
        </w:rPr>
        <w:t>[Die Kanzlei übermittelt unverzüglich, gegebenenfalls nach Ablauf der Beschwerde</w:t>
      </w:r>
      <w:r w:rsidR="00741332" w:rsidRPr="008E796B">
        <w:rPr>
          <w:spacing w:val="-6"/>
          <w:lang w:val="de-DE"/>
        </w:rPr>
        <w:softHyphen/>
        <w:t xml:space="preserve">frist, die Zulässigkeitsentscheidung in elektronischer Form dem FÖD Wirtschaft, KMB, Mittelstand und Energie, der sie unverzüglich vollständig auf seiner Website veröffentlicht und eine Bekanntmachung im </w:t>
      </w:r>
      <w:r w:rsidR="00741332" w:rsidRPr="008E796B">
        <w:rPr>
          <w:i/>
          <w:spacing w:val="-6"/>
          <w:lang w:val="de-DE"/>
        </w:rPr>
        <w:t>Belgischen Staatsblatt</w:t>
      </w:r>
      <w:r w:rsidR="00741332" w:rsidRPr="008E796B">
        <w:rPr>
          <w:spacing w:val="-6"/>
          <w:lang w:val="de-DE"/>
        </w:rPr>
        <w:t xml:space="preserve"> veranlasst, in der das Bezugszeichen der Entscheidung und der Link zu der Seite der Website mit der Veröffentlichung des vollständigen Textes der Entscheidung angegeben sind. Das </w:t>
      </w:r>
      <w:r w:rsidR="00741332" w:rsidRPr="008E796B">
        <w:rPr>
          <w:i/>
          <w:spacing w:val="-6"/>
          <w:lang w:val="de-DE"/>
        </w:rPr>
        <w:t>Belgische Staatsblatt</w:t>
      </w:r>
      <w:r w:rsidR="00741332" w:rsidRPr="008E796B">
        <w:rPr>
          <w:spacing w:val="-6"/>
          <w:lang w:val="de-DE"/>
        </w:rPr>
        <w:t xml:space="preserve"> sorgt für die Veröffentlichung dieser Bekanntmachung innerhalb einer Frist von zehn Tagen.]</w:t>
      </w:r>
    </w:p>
    <w:p w14:paraId="6730F29B" w14:textId="77777777" w:rsidR="00325552" w:rsidRPr="004676F5" w:rsidRDefault="00325552" w:rsidP="00325552">
      <w:pPr>
        <w:jc w:val="both"/>
        <w:rPr>
          <w:lang w:val="de-DE"/>
        </w:rPr>
      </w:pPr>
    </w:p>
    <w:p w14:paraId="5BD80D6E" w14:textId="77777777" w:rsidR="00325552" w:rsidRPr="004676F5" w:rsidRDefault="00325552" w:rsidP="00325552">
      <w:pPr>
        <w:jc w:val="both"/>
        <w:rPr>
          <w:lang w:val="de-DE"/>
        </w:rPr>
      </w:pPr>
      <w:r w:rsidRPr="004676F5">
        <w:rPr>
          <w:lang w:val="de-DE"/>
        </w:rPr>
        <w:tab/>
        <w:t>Der König kann genauere Regeln für Inhalt und Form der in Absatz 1 erwähnten Veröffentlichungsmaßnahmen festlegen.</w:t>
      </w:r>
    </w:p>
    <w:p w14:paraId="0A882F19" w14:textId="77777777" w:rsidR="00325552" w:rsidRPr="004676F5" w:rsidRDefault="00325552" w:rsidP="00325552">
      <w:pPr>
        <w:jc w:val="both"/>
        <w:rPr>
          <w:lang w:val="de-DE"/>
        </w:rPr>
      </w:pPr>
    </w:p>
    <w:p w14:paraId="25838868" w14:textId="219010B7" w:rsidR="00325552" w:rsidRPr="004676F5" w:rsidRDefault="00325552" w:rsidP="00325552">
      <w:pPr>
        <w:jc w:val="both"/>
        <w:rPr>
          <w:lang w:val="de-DE"/>
        </w:rPr>
      </w:pPr>
      <w:r w:rsidRPr="004676F5">
        <w:rPr>
          <w:lang w:val="de-DE"/>
        </w:rPr>
        <w:tab/>
        <w:t>§ 4 </w:t>
      </w:r>
      <w:r w:rsidR="000464BD" w:rsidRPr="004676F5">
        <w:rPr>
          <w:lang w:val="de-DE"/>
        </w:rPr>
        <w:t>-</w:t>
      </w:r>
      <w:r w:rsidR="005B7A5C" w:rsidRPr="004676F5">
        <w:rPr>
          <w:lang w:val="de-DE"/>
        </w:rPr>
        <w:t> </w:t>
      </w:r>
      <w:r w:rsidR="000464BD" w:rsidRPr="004676F5">
        <w:rPr>
          <w:lang w:val="de-DE"/>
        </w:rPr>
        <w:t>[...]</w:t>
      </w:r>
    </w:p>
    <w:p w14:paraId="4214CBB5" w14:textId="181AB73C" w:rsidR="00325552" w:rsidRPr="004676F5" w:rsidRDefault="00325552" w:rsidP="00325552">
      <w:pPr>
        <w:jc w:val="both"/>
        <w:rPr>
          <w:lang w:val="de-DE"/>
        </w:rPr>
      </w:pPr>
    </w:p>
    <w:p w14:paraId="5C0F3B9C" w14:textId="19AF99AF" w:rsidR="00741332" w:rsidRPr="004676F5" w:rsidRDefault="00741332" w:rsidP="00325552">
      <w:pPr>
        <w:jc w:val="both"/>
        <w:rPr>
          <w:rFonts w:eastAsia="Calibri"/>
          <w:i/>
          <w:iCs/>
          <w:kern w:val="2"/>
          <w:lang w:val="de-DE" w:eastAsia="en-US"/>
          <w14:ligatures w14:val="standardContextual"/>
        </w:rPr>
      </w:pPr>
      <w:r w:rsidRPr="004676F5">
        <w:rPr>
          <w:i/>
          <w:iCs/>
          <w:lang w:val="de-DE"/>
        </w:rPr>
        <w:t>[Art. XVII.43</w:t>
      </w:r>
      <w:r w:rsidR="000464BD" w:rsidRPr="004676F5">
        <w:rPr>
          <w:i/>
          <w:iCs/>
          <w:lang w:val="de-DE"/>
        </w:rPr>
        <w:t xml:space="preserve"> § 1 ersetzt durch Art. 26 Buchstabe a) des G. vom 21. April 2024 (II) (B.S. vom 31. Mai 2024); § 2 einziger Absatz Nr. 3 aufgehoben durch Art. 26 Buchstabe b) des G. vom 21. April 2024 (II) (B.S. vom 31. Mai 2024); § 2 einziger Absatz Nr. 5 ersetzt durch Art. 26 Buchstabe c) des G. vom 21. April 2024 (II) (B.S. vom 31. Mai 2024); § 2 einziger Absatz Nr. 7 aufgehoben durch Art. 26 Buchstabe d) des G. vom 21. April 2024 (II) (B.S. vom 31. Mai 2024); § 2 einziger Absatz Nr. 8 abgeändert durch Art. 26 Buchstabe e) des G. vom 21. April 2024 (II) (B.S. vom 31. Mai 2024); § 2 einziger Absatz Nr. 10 eingefügt durch Art. 26 Buchstabe g) des G. vom 21. April 2024 (II) (B.S. vom 31. Mai 2024);</w:t>
      </w:r>
      <w:r w:rsidR="00F432DC">
        <w:rPr>
          <w:i/>
          <w:iCs/>
          <w:lang w:val="de-DE"/>
        </w:rPr>
        <w:t xml:space="preserve"> </w:t>
      </w:r>
      <w:r w:rsidRPr="004676F5">
        <w:rPr>
          <w:i/>
          <w:iCs/>
          <w:lang w:val="de-DE"/>
        </w:rPr>
        <w:t>§ 3 Abs. 1 ersetzt durch Art. 14</w:t>
      </w:r>
      <w:r w:rsidRPr="004676F5">
        <w:rPr>
          <w:rFonts w:eastAsia="Calibri"/>
          <w:i/>
          <w:iCs/>
          <w:kern w:val="2"/>
          <w:lang w:val="de-DE" w:eastAsia="en-US"/>
          <w14:ligatures w14:val="standardContextual"/>
        </w:rPr>
        <w:t xml:space="preserve"> des G. vom 2. Februar 2021 (B.S. vom 11. Februar 2021)</w:t>
      </w:r>
      <w:r w:rsidR="00F432DC">
        <w:rPr>
          <w:rFonts w:eastAsia="Calibri"/>
          <w:i/>
          <w:iCs/>
          <w:kern w:val="2"/>
          <w:lang w:val="de-DE" w:eastAsia="en-US"/>
          <w14:ligatures w14:val="standardContextual"/>
        </w:rPr>
        <w:t xml:space="preserve">; </w:t>
      </w:r>
      <w:r w:rsidR="00F432DC" w:rsidRPr="004676F5">
        <w:rPr>
          <w:i/>
          <w:iCs/>
          <w:lang w:val="de-DE"/>
        </w:rPr>
        <w:t>§ 4 aufgehoben durch Art. 26 Buchstabe h) des G. vom 21. April 2024 (II) (B.S. vom 31. Mai 2024)</w:t>
      </w:r>
      <w:r w:rsidRPr="004676F5">
        <w:rPr>
          <w:rFonts w:eastAsia="Calibri"/>
          <w:i/>
          <w:iCs/>
          <w:kern w:val="2"/>
          <w:lang w:val="de-DE" w:eastAsia="en-US"/>
          <w14:ligatures w14:val="standardContextual"/>
        </w:rPr>
        <w:t>]</w:t>
      </w:r>
    </w:p>
    <w:p w14:paraId="05EF5AC3" w14:textId="77777777" w:rsidR="00741332" w:rsidRPr="004676F5" w:rsidRDefault="00741332" w:rsidP="00325552">
      <w:pPr>
        <w:jc w:val="both"/>
        <w:rPr>
          <w:lang w:val="de-DE"/>
        </w:rPr>
      </w:pPr>
    </w:p>
    <w:p w14:paraId="7CB29B73" w14:textId="77777777" w:rsidR="000464BD" w:rsidRPr="004676F5" w:rsidRDefault="000464BD" w:rsidP="00325552">
      <w:pPr>
        <w:jc w:val="both"/>
        <w:rPr>
          <w:lang w:val="de-DE"/>
        </w:rPr>
      </w:pPr>
    </w:p>
    <w:p w14:paraId="3E11F134" w14:textId="3454C87C" w:rsidR="000464BD" w:rsidRPr="004676F5" w:rsidRDefault="000464BD" w:rsidP="000464BD">
      <w:pPr>
        <w:jc w:val="both"/>
        <w:rPr>
          <w:lang w:val="de-DE"/>
        </w:rPr>
      </w:pPr>
      <w:r w:rsidRPr="004676F5">
        <w:rPr>
          <w:lang w:val="de-DE"/>
        </w:rPr>
        <w:tab/>
        <w:t>[</w:t>
      </w:r>
      <w:r w:rsidRPr="004676F5">
        <w:rPr>
          <w:b/>
          <w:bCs/>
          <w:lang w:val="de-DE"/>
        </w:rPr>
        <w:t>Art. XVII.43/1</w:t>
      </w:r>
      <w:r w:rsidRPr="004676F5">
        <w:rPr>
          <w:lang w:val="de-DE"/>
        </w:rPr>
        <w:t xml:space="preserve"> - Vorbehaltlich des Einverständnisses der Parteien wird die Zulässigkeit der kollektiven Schadenersatzklage vom Berufungsrichter gemäß dem für eine kurze Verhandlung vorgesehenen Verfahren wie in Artikel</w:t>
      </w:r>
      <w:r w:rsidR="00F432DC">
        <w:rPr>
          <w:lang w:val="de-DE"/>
        </w:rPr>
        <w:t> </w:t>
      </w:r>
      <w:r w:rsidRPr="004676F5">
        <w:rPr>
          <w:lang w:val="de-DE"/>
        </w:rPr>
        <w:t>1066 des Gerichtsgesetzbuches erwähnt behandelt.</w:t>
      </w:r>
    </w:p>
    <w:p w14:paraId="515F3028" w14:textId="77777777" w:rsidR="000464BD" w:rsidRPr="004676F5" w:rsidRDefault="000464BD" w:rsidP="000464BD">
      <w:pPr>
        <w:jc w:val="both"/>
        <w:rPr>
          <w:lang w:val="de-DE"/>
        </w:rPr>
      </w:pPr>
    </w:p>
    <w:p w14:paraId="4BC74752" w14:textId="0F51A74F" w:rsidR="000464BD" w:rsidRPr="004676F5" w:rsidRDefault="000464BD" w:rsidP="000464BD">
      <w:pPr>
        <w:jc w:val="both"/>
        <w:rPr>
          <w:lang w:val="de-DE"/>
        </w:rPr>
      </w:pPr>
      <w:r w:rsidRPr="004676F5">
        <w:rPr>
          <w:lang w:val="de-DE"/>
        </w:rPr>
        <w:tab/>
        <w:t>Wird die Zulässigkeit der kollektiven Schadenersatzklage nicht gemäß dem Verfahren für eine kurze Verhandlung behandelt, nimmt der Berufungsrichter die Instandsetzung der Sache gemäß Artikel 747 § 2 des Gerichtsgesetzbuches vor und entscheidet er binnen sechs Monaten ab Hinterlegung der Antragschrift über die Zulässigkeit der kollektiven Schadenersatzklage.</w:t>
      </w:r>
    </w:p>
    <w:p w14:paraId="3707F7FF" w14:textId="77777777" w:rsidR="000464BD" w:rsidRPr="004676F5" w:rsidRDefault="000464BD" w:rsidP="000464BD">
      <w:pPr>
        <w:jc w:val="both"/>
        <w:rPr>
          <w:lang w:val="de-DE"/>
        </w:rPr>
      </w:pPr>
    </w:p>
    <w:p w14:paraId="5A897D24" w14:textId="26B262FF" w:rsidR="000464BD" w:rsidRPr="004676F5" w:rsidRDefault="000464BD" w:rsidP="000464BD">
      <w:pPr>
        <w:jc w:val="both"/>
        <w:rPr>
          <w:lang w:val="de-DE"/>
        </w:rPr>
      </w:pPr>
      <w:r w:rsidRPr="004676F5">
        <w:rPr>
          <w:lang w:val="de-DE"/>
        </w:rPr>
        <w:tab/>
        <w:t>In Abweichung von Artikel 1068 Absatz 1 des Gerichtsgesetzbuches verweist der Berufungsrichter die Sache an den Vorderrichter, wenn er die vom Vorderrichter ausgesprochene Zulässigkeitsentscheidung, sei es auch nur teilweise, bestätigt oder wenn er eine Zulässigkeitsentscheidung ausspricht.]</w:t>
      </w:r>
    </w:p>
    <w:p w14:paraId="3F250DA7" w14:textId="77777777" w:rsidR="000464BD" w:rsidRPr="004676F5" w:rsidRDefault="000464BD" w:rsidP="000464BD">
      <w:pPr>
        <w:jc w:val="both"/>
        <w:rPr>
          <w:lang w:val="de-DE"/>
        </w:rPr>
      </w:pPr>
    </w:p>
    <w:p w14:paraId="3A31921F" w14:textId="2BB01FB7" w:rsidR="000464BD" w:rsidRPr="004676F5" w:rsidRDefault="000464BD" w:rsidP="000464BD">
      <w:pPr>
        <w:jc w:val="both"/>
        <w:rPr>
          <w:i/>
          <w:iCs/>
          <w:lang w:val="de-DE"/>
        </w:rPr>
      </w:pPr>
      <w:r w:rsidRPr="004676F5">
        <w:rPr>
          <w:i/>
          <w:iCs/>
          <w:lang w:val="de-DE"/>
        </w:rPr>
        <w:t>[Art.</w:t>
      </w:r>
      <w:r w:rsidR="00F432DC">
        <w:rPr>
          <w:i/>
          <w:iCs/>
          <w:lang w:val="de-DE"/>
        </w:rPr>
        <w:t> </w:t>
      </w:r>
      <w:r w:rsidRPr="004676F5">
        <w:rPr>
          <w:i/>
          <w:iCs/>
          <w:lang w:val="de-DE"/>
        </w:rPr>
        <w:t>XVII.43/1 eingefügt durch Art. 27 des G. vom 21. April 2024 (II) (B.S. vom 31. Mai 2024)]</w:t>
      </w:r>
    </w:p>
    <w:p w14:paraId="32D7B4FF" w14:textId="77777777" w:rsidR="006367D3" w:rsidRPr="004676F5" w:rsidRDefault="006367D3" w:rsidP="00325552">
      <w:pPr>
        <w:jc w:val="both"/>
        <w:rPr>
          <w:lang w:val="de-DE"/>
        </w:rPr>
      </w:pPr>
    </w:p>
    <w:p w14:paraId="71926CF0" w14:textId="77777777" w:rsidR="000464BD" w:rsidRPr="004676F5" w:rsidRDefault="000464BD" w:rsidP="00325552">
      <w:pPr>
        <w:jc w:val="both"/>
        <w:rPr>
          <w:lang w:val="de-DE"/>
        </w:rPr>
      </w:pPr>
    </w:p>
    <w:p w14:paraId="1847771A" w14:textId="3D227B86"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Binnen zwei Monaten ab Hinterlegung der in Artikel XVII.42 § 2 erwähnten vollständigen oder vervollständigten Antragschrift entscheidet der Richter über den Antrag auf Homologierung der kollektiven Schadenersatzvereinbarung, um ihre Übereinstimmung mit den Artikeln XVII.36 und XVII.45 § 3 Nr. 2 bis 13 zu überprüfen.</w:t>
      </w:r>
    </w:p>
    <w:p w14:paraId="08B0D978" w14:textId="77777777" w:rsidR="00325552" w:rsidRPr="004676F5" w:rsidRDefault="00325552" w:rsidP="00325552">
      <w:pPr>
        <w:jc w:val="both"/>
        <w:rPr>
          <w:lang w:val="de-DE"/>
        </w:rPr>
      </w:pPr>
    </w:p>
    <w:p w14:paraId="03938CD7" w14:textId="13C8636E"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Der Richter verweigert die Homologierung, wenn die Zulässigkeitsbedingungen von Artikel XVII.36 nicht erfüllt sind.</w:t>
      </w:r>
    </w:p>
    <w:p w14:paraId="4E8EC914" w14:textId="77777777" w:rsidR="00325552" w:rsidRPr="004676F5" w:rsidRDefault="00325552" w:rsidP="00325552">
      <w:pPr>
        <w:jc w:val="both"/>
        <w:rPr>
          <w:lang w:val="de-DE"/>
        </w:rPr>
      </w:pPr>
    </w:p>
    <w:p w14:paraId="56C4EE37" w14:textId="22408FCA" w:rsidR="00325552" w:rsidRPr="004676F5" w:rsidRDefault="00325552" w:rsidP="00325552">
      <w:pPr>
        <w:jc w:val="both"/>
        <w:rPr>
          <w:lang w:val="de-DE"/>
        </w:rPr>
      </w:pPr>
      <w:r w:rsidRPr="004676F5">
        <w:rPr>
          <w:lang w:val="de-DE"/>
        </w:rPr>
        <w:tab/>
        <w:t>§ 3 </w:t>
      </w:r>
      <w:r w:rsidR="005B7A5C" w:rsidRPr="004676F5">
        <w:rPr>
          <w:lang w:val="de-DE"/>
        </w:rPr>
        <w:t>- </w:t>
      </w:r>
      <w:r w:rsidRPr="004676F5">
        <w:rPr>
          <w:lang w:val="de-DE"/>
        </w:rPr>
        <w:t>Die Artikel XVII.49 bis XVII.51 sind entsprechend auf den weiteren Verlauf des Homologierungsverfahrens anwendbar.</w:t>
      </w:r>
    </w:p>
    <w:p w14:paraId="5BF387AD" w14:textId="77777777" w:rsidR="00325552" w:rsidRPr="004676F5" w:rsidRDefault="00325552" w:rsidP="00325552">
      <w:pPr>
        <w:jc w:val="both"/>
        <w:rPr>
          <w:lang w:val="de-DE"/>
        </w:rPr>
      </w:pPr>
    </w:p>
    <w:p w14:paraId="28A8CD91" w14:textId="77777777" w:rsidR="006367D3" w:rsidRPr="004676F5" w:rsidRDefault="006367D3" w:rsidP="00325552">
      <w:pPr>
        <w:jc w:val="both"/>
        <w:rPr>
          <w:lang w:val="de-DE"/>
        </w:rPr>
      </w:pPr>
    </w:p>
    <w:p w14:paraId="6EE305B8" w14:textId="1D300251" w:rsidR="00325552" w:rsidRPr="004676F5" w:rsidRDefault="00325552" w:rsidP="00325552">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Verhandlung einer kollektiven Schadenersatzvereinbarung</w:t>
      </w:r>
    </w:p>
    <w:p w14:paraId="165F6014" w14:textId="77777777" w:rsidR="00325552" w:rsidRPr="004676F5" w:rsidRDefault="00325552" w:rsidP="00325552">
      <w:pPr>
        <w:jc w:val="both"/>
        <w:rPr>
          <w:lang w:val="de-DE"/>
        </w:rPr>
      </w:pPr>
    </w:p>
    <w:p w14:paraId="63F59909" w14:textId="77777777" w:rsidR="006367D3" w:rsidRPr="004676F5" w:rsidRDefault="006367D3" w:rsidP="00325552">
      <w:pPr>
        <w:jc w:val="both"/>
        <w:rPr>
          <w:lang w:val="de-DE"/>
        </w:rPr>
      </w:pPr>
    </w:p>
    <w:p w14:paraId="5FFCC9D5" w14:textId="62293C0E"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Während der vom Richter festgelegten Frist verhandeln der Gruppenvertreter und der Beklagte eine Vereinbarung über den Ersatz des kollektiven Schadens.</w:t>
      </w:r>
    </w:p>
    <w:p w14:paraId="7FD7C8DE" w14:textId="77777777" w:rsidR="00325552" w:rsidRPr="004676F5" w:rsidRDefault="00325552" w:rsidP="00325552">
      <w:pPr>
        <w:jc w:val="both"/>
        <w:rPr>
          <w:lang w:val="de-DE"/>
        </w:rPr>
      </w:pPr>
    </w:p>
    <w:p w14:paraId="1441DA59" w14:textId="77777777" w:rsidR="00325552" w:rsidRPr="004676F5" w:rsidRDefault="00325552" w:rsidP="00325552">
      <w:pPr>
        <w:jc w:val="both"/>
        <w:rPr>
          <w:lang w:val="de-DE"/>
        </w:rPr>
      </w:pPr>
      <w:r w:rsidRPr="004676F5">
        <w:rPr>
          <w:lang w:val="de-DE"/>
        </w:rPr>
        <w:tab/>
        <w:t>Auf gemeinsamen Antrag der Parteien kann der Richter die in vorhergehendem Absatz erwähnte Frist einmal für eine Höchstdauer von sechs Monaten verlängern.</w:t>
      </w:r>
    </w:p>
    <w:p w14:paraId="3D6238D0" w14:textId="77777777" w:rsidR="00325552" w:rsidRPr="004676F5" w:rsidRDefault="00325552" w:rsidP="00325552">
      <w:pPr>
        <w:jc w:val="both"/>
        <w:rPr>
          <w:lang w:val="de-DE"/>
        </w:rPr>
      </w:pPr>
    </w:p>
    <w:p w14:paraId="7C2A4B0A" w14:textId="73EAC594"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Auf gemeinsamen Antrag der Parteien oder auf eigene Initiative, aber mit Zustimmung der Parteien kann der Richter unter denselben Bedingungen wie in Artikel 1734 des Gerichtsgesetzbuches einen zugelassenen Vermittler bestellen, um die Verhandlung der Vereinbarung zu fördern.</w:t>
      </w:r>
    </w:p>
    <w:p w14:paraId="7D8DC9C5" w14:textId="77777777" w:rsidR="00325552" w:rsidRPr="004676F5" w:rsidRDefault="00325552" w:rsidP="00325552">
      <w:pPr>
        <w:jc w:val="both"/>
        <w:rPr>
          <w:lang w:val="de-DE"/>
        </w:rPr>
      </w:pPr>
    </w:p>
    <w:p w14:paraId="4382969C" w14:textId="014D6331" w:rsidR="00325552" w:rsidRPr="004676F5" w:rsidRDefault="00325552" w:rsidP="00325552">
      <w:pPr>
        <w:jc w:val="both"/>
        <w:rPr>
          <w:lang w:val="de-DE"/>
        </w:rPr>
      </w:pPr>
      <w:r w:rsidRPr="004676F5">
        <w:rPr>
          <w:lang w:val="de-DE"/>
        </w:rPr>
        <w:tab/>
        <w:t>§ 3 </w:t>
      </w:r>
      <w:r w:rsidR="005B7A5C" w:rsidRPr="004676F5">
        <w:rPr>
          <w:lang w:val="de-DE"/>
        </w:rPr>
        <w:t>- </w:t>
      </w:r>
      <w:r w:rsidRPr="004676F5">
        <w:rPr>
          <w:lang w:val="de-DE"/>
        </w:rPr>
        <w:t>Die kollektive Schadenersatzvereinbarung enthält mindestens folgende Angaben:</w:t>
      </w:r>
    </w:p>
    <w:p w14:paraId="03D8A4E2" w14:textId="77777777" w:rsidR="00325552" w:rsidRPr="004676F5" w:rsidRDefault="00325552" w:rsidP="00325552">
      <w:pPr>
        <w:jc w:val="both"/>
        <w:rPr>
          <w:lang w:val="de-DE"/>
        </w:rPr>
      </w:pPr>
    </w:p>
    <w:p w14:paraId="293A2D26" w14:textId="77777777" w:rsidR="00325552" w:rsidRPr="004676F5" w:rsidRDefault="00325552" w:rsidP="00325552">
      <w:pPr>
        <w:jc w:val="both"/>
        <w:rPr>
          <w:lang w:val="de-DE"/>
        </w:rPr>
      </w:pPr>
      <w:r w:rsidRPr="004676F5">
        <w:rPr>
          <w:lang w:val="de-DE"/>
        </w:rPr>
        <w:tab/>
        <w:t>1. Verweis auf die in Artikel XVII.43 erwähnte Zulässigkeitsentscheidung,</w:t>
      </w:r>
    </w:p>
    <w:p w14:paraId="37E2C360" w14:textId="77777777" w:rsidR="00325552" w:rsidRPr="004676F5" w:rsidRDefault="00325552" w:rsidP="00325552">
      <w:pPr>
        <w:jc w:val="both"/>
        <w:rPr>
          <w:lang w:val="de-DE"/>
        </w:rPr>
      </w:pPr>
    </w:p>
    <w:p w14:paraId="116E1909" w14:textId="77777777" w:rsidR="00325552" w:rsidRPr="004676F5" w:rsidRDefault="00325552" w:rsidP="00325552">
      <w:pPr>
        <w:jc w:val="both"/>
        <w:rPr>
          <w:lang w:val="de-DE"/>
        </w:rPr>
      </w:pPr>
      <w:r w:rsidRPr="004676F5">
        <w:rPr>
          <w:lang w:val="de-DE"/>
        </w:rPr>
        <w:tab/>
        <w:t>2. ausführliche Beschreibung des kollektiven Schadens, der Gegenstand der Verein</w:t>
      </w:r>
      <w:r w:rsidRPr="004676F5">
        <w:rPr>
          <w:lang w:val="de-DE"/>
        </w:rPr>
        <w:softHyphen/>
        <w:t>barung ist,</w:t>
      </w:r>
    </w:p>
    <w:p w14:paraId="47C33BF8" w14:textId="77777777" w:rsidR="00325552" w:rsidRPr="004676F5" w:rsidRDefault="00325552" w:rsidP="00325552">
      <w:pPr>
        <w:jc w:val="both"/>
        <w:rPr>
          <w:lang w:val="de-DE"/>
        </w:rPr>
      </w:pPr>
    </w:p>
    <w:p w14:paraId="27E080CC" w14:textId="77777777" w:rsidR="00325552" w:rsidRPr="004676F5" w:rsidRDefault="00325552" w:rsidP="00325552">
      <w:pPr>
        <w:jc w:val="both"/>
        <w:rPr>
          <w:lang w:val="de-DE"/>
        </w:rPr>
      </w:pPr>
      <w:r w:rsidRPr="004676F5">
        <w:rPr>
          <w:lang w:val="de-DE"/>
        </w:rPr>
        <w:tab/>
        <w:t>3. Beschreibung der Gruppe und gegebenenfalls ihrer verschiedenen Unterkategorien und Angabe oder möglichst genaue Schätzung der Anzahl betroffener Verbraucher,</w:t>
      </w:r>
    </w:p>
    <w:p w14:paraId="6AB9D492" w14:textId="77777777" w:rsidR="00325552" w:rsidRPr="004676F5" w:rsidRDefault="00325552" w:rsidP="00325552">
      <w:pPr>
        <w:jc w:val="both"/>
        <w:rPr>
          <w:lang w:val="de-DE"/>
        </w:rPr>
      </w:pPr>
    </w:p>
    <w:p w14:paraId="761CC34C" w14:textId="77777777" w:rsidR="00325552" w:rsidRPr="004676F5" w:rsidRDefault="00325552" w:rsidP="00325552">
      <w:pPr>
        <w:jc w:val="both"/>
        <w:rPr>
          <w:lang w:val="de-DE"/>
        </w:rPr>
      </w:pPr>
      <w:r w:rsidRPr="004676F5">
        <w:rPr>
          <w:lang w:val="de-DE"/>
        </w:rPr>
        <w:tab/>
        <w:t>4. Bezeichnung des Gruppenvertreters, seine Adresse, gegebenenfalls seine Unter</w:t>
      </w:r>
      <w:r w:rsidRPr="004676F5">
        <w:rPr>
          <w:lang w:val="de-DE"/>
        </w:rPr>
        <w:softHyphen/>
        <w:t>nehmensnummer, und Namen und Eigenschaft der Person beziehungsweise der Personen, die in seinem Namen unterzeichnen,</w:t>
      </w:r>
    </w:p>
    <w:p w14:paraId="487D27C8" w14:textId="77777777" w:rsidR="00325552" w:rsidRPr="004676F5" w:rsidRDefault="00325552" w:rsidP="00325552">
      <w:pPr>
        <w:jc w:val="both"/>
        <w:rPr>
          <w:lang w:val="de-DE"/>
        </w:rPr>
      </w:pPr>
    </w:p>
    <w:p w14:paraId="046BF029" w14:textId="77777777" w:rsidR="00325552" w:rsidRPr="004676F5" w:rsidRDefault="00325552" w:rsidP="00325552">
      <w:pPr>
        <w:jc w:val="both"/>
        <w:rPr>
          <w:lang w:val="de-DE"/>
        </w:rPr>
      </w:pPr>
      <w:r w:rsidRPr="004676F5">
        <w:rPr>
          <w:lang w:val="de-DE"/>
        </w:rPr>
        <w:tab/>
        <w:t>5. Bezeichnung oder Namen und Vornamen des Beklagten, seine Adresse und Unternehmensnummer,</w:t>
      </w:r>
    </w:p>
    <w:p w14:paraId="3BE919D4" w14:textId="77777777" w:rsidR="00325552" w:rsidRPr="004676F5" w:rsidRDefault="00325552" w:rsidP="00325552">
      <w:pPr>
        <w:jc w:val="both"/>
        <w:rPr>
          <w:lang w:val="de-DE"/>
        </w:rPr>
      </w:pPr>
    </w:p>
    <w:p w14:paraId="7890B80C" w14:textId="77777777" w:rsidR="00325552" w:rsidRPr="004676F5" w:rsidRDefault="00325552" w:rsidP="00325552">
      <w:pPr>
        <w:jc w:val="both"/>
        <w:rPr>
          <w:lang w:val="de-DE"/>
        </w:rPr>
      </w:pPr>
      <w:r w:rsidRPr="004676F5">
        <w:rPr>
          <w:lang w:val="de-DE"/>
        </w:rPr>
        <w:tab/>
        <w:t>6. Modalitäten und Inhalt des Schadenersatzes; wird der Schaden durch Äquivalent ersetzt, darf der Entschädigungsbetrag auf individueller oder globaler Basis für sämtliche oder bestimmte Kategorien der Gruppe berechnet werden,</w:t>
      </w:r>
    </w:p>
    <w:p w14:paraId="62F1A2FD" w14:textId="77777777" w:rsidR="00325552" w:rsidRPr="004676F5" w:rsidRDefault="00325552" w:rsidP="00325552">
      <w:pPr>
        <w:jc w:val="both"/>
        <w:rPr>
          <w:lang w:val="de-DE"/>
        </w:rPr>
      </w:pPr>
    </w:p>
    <w:p w14:paraId="77BC21F8" w14:textId="7C9E7309" w:rsidR="00325552" w:rsidRPr="004676F5" w:rsidRDefault="00325552" w:rsidP="00325552">
      <w:pPr>
        <w:jc w:val="both"/>
        <w:rPr>
          <w:lang w:val="de-DE"/>
        </w:rPr>
      </w:pPr>
      <w:r w:rsidRPr="004676F5">
        <w:rPr>
          <w:lang w:val="de-DE"/>
        </w:rPr>
        <w:lastRenderedPageBreak/>
        <w:tab/>
        <w:t>7. </w:t>
      </w:r>
      <w:r w:rsidR="00DE4A49" w:rsidRPr="004676F5">
        <w:rPr>
          <w:lang w:val="de-DE"/>
        </w:rPr>
        <w:t>[auf die Gruppe und gegebenenfalls ihre verschiedenen Unterkategorien anwendbares Optionssystem sowie Modalitäten und den Verbrauchern und/oder den KMU eingeräumte Frist für die Ausübung ihres Optionsrechtes bei der Kanzlei, einschließlich des Zeitpunkts, zu dem diese Frist zu laufen beginnt. Für Verbraucher, die ihren gewöhnlichen Aufenthaltsort nicht in Belgien haben, und für KMU, die ihre Hauptniederlassung nicht in Belgien haben, ist das Opt-in-System anwendbar. Hat die Klage zum Ziel, einen körperlichen oder moralischen kollektiven Schaden zu ersetzen, ist nur das Opt-in-System anwendbar,]</w:t>
      </w:r>
    </w:p>
    <w:p w14:paraId="30285BB9" w14:textId="77777777" w:rsidR="00DE4A49" w:rsidRPr="004676F5" w:rsidRDefault="00DE4A49" w:rsidP="00325552">
      <w:pPr>
        <w:jc w:val="both"/>
        <w:rPr>
          <w:lang w:val="de-DE"/>
        </w:rPr>
      </w:pPr>
    </w:p>
    <w:p w14:paraId="07703217" w14:textId="77777777" w:rsidR="00325552" w:rsidRPr="004676F5" w:rsidRDefault="00325552" w:rsidP="00325552">
      <w:pPr>
        <w:jc w:val="both"/>
        <w:rPr>
          <w:lang w:val="de-DE"/>
        </w:rPr>
      </w:pPr>
      <w:r w:rsidRPr="004676F5">
        <w:rPr>
          <w:lang w:val="de-DE"/>
        </w:rPr>
        <w:tab/>
        <w:t>8. Betrag der Entschädigung, die der Beklagte dem Gruppenvertreter schuldet; dieser Betrag darf nicht über den tatsächlichen Kosten liegen, die der Vertreter getragen hat,</w:t>
      </w:r>
    </w:p>
    <w:p w14:paraId="763E4DBB" w14:textId="77777777" w:rsidR="00325552" w:rsidRPr="004676F5" w:rsidRDefault="00325552" w:rsidP="00325552">
      <w:pPr>
        <w:jc w:val="both"/>
        <w:rPr>
          <w:lang w:val="de-DE"/>
        </w:rPr>
      </w:pPr>
    </w:p>
    <w:p w14:paraId="4F38F3AC" w14:textId="6CC28156" w:rsidR="00325552" w:rsidRPr="004676F5" w:rsidRDefault="00325552" w:rsidP="00325552">
      <w:pPr>
        <w:jc w:val="both"/>
        <w:rPr>
          <w:lang w:val="de-DE"/>
        </w:rPr>
      </w:pPr>
      <w:r w:rsidRPr="004676F5">
        <w:rPr>
          <w:lang w:val="de-DE"/>
        </w:rPr>
        <w:tab/>
        <w:t>9. Übernahme durch die Parteien der Kosten, die mit den in den Artikeln XVII.43 § 2 Nr. 9</w:t>
      </w:r>
      <w:r w:rsidR="00C75FB6">
        <w:rPr>
          <w:lang w:val="de-DE"/>
        </w:rPr>
        <w:t xml:space="preserve"> </w:t>
      </w:r>
      <w:r w:rsidRPr="004676F5">
        <w:rPr>
          <w:lang w:val="de-DE"/>
        </w:rPr>
        <w:t>und § 3</w:t>
      </w:r>
      <w:r w:rsidR="00C75FB6" w:rsidRPr="004676F5">
        <w:rPr>
          <w:lang w:val="de-DE"/>
        </w:rPr>
        <w:t xml:space="preserve">[, XVII.45 § 2 Nr. 12] </w:t>
      </w:r>
      <w:r w:rsidRPr="004676F5">
        <w:rPr>
          <w:lang w:val="de-DE"/>
        </w:rPr>
        <w:t>und XVII.50 erwähnten Veröffentlichungsmaßnahmen verbunden sind,</w:t>
      </w:r>
    </w:p>
    <w:p w14:paraId="56E8E753" w14:textId="77777777" w:rsidR="00325552" w:rsidRPr="004676F5" w:rsidRDefault="00325552" w:rsidP="00325552">
      <w:pPr>
        <w:jc w:val="both"/>
        <w:rPr>
          <w:lang w:val="de-DE"/>
        </w:rPr>
      </w:pPr>
    </w:p>
    <w:p w14:paraId="3FFF2CD3" w14:textId="77777777" w:rsidR="00325552" w:rsidRPr="004676F5" w:rsidRDefault="00325552" w:rsidP="00325552">
      <w:pPr>
        <w:jc w:val="both"/>
        <w:rPr>
          <w:lang w:val="de-DE"/>
        </w:rPr>
      </w:pPr>
      <w:r w:rsidRPr="004676F5">
        <w:rPr>
          <w:lang w:val="de-DE"/>
        </w:rPr>
        <w:tab/>
        <w:t>10. gegebenenfalls vom Beklagten zu stellende Sicherheiten,</w:t>
      </w:r>
    </w:p>
    <w:p w14:paraId="3B67740B" w14:textId="77777777" w:rsidR="00325552" w:rsidRPr="004676F5" w:rsidRDefault="00325552" w:rsidP="00325552">
      <w:pPr>
        <w:jc w:val="both"/>
        <w:rPr>
          <w:lang w:val="de-DE"/>
        </w:rPr>
      </w:pPr>
    </w:p>
    <w:p w14:paraId="0ADB983A" w14:textId="77777777" w:rsidR="00325552" w:rsidRPr="004676F5" w:rsidRDefault="00325552" w:rsidP="00325552">
      <w:pPr>
        <w:jc w:val="both"/>
        <w:rPr>
          <w:lang w:val="de-DE"/>
        </w:rPr>
      </w:pPr>
      <w:r w:rsidRPr="004676F5">
        <w:rPr>
          <w:lang w:val="de-DE"/>
        </w:rPr>
        <w:tab/>
        <w:t>11. gegebenenfalls Verfahren zur Revision der kollektiven Schadenersatzvereinbarung bei Eintritt voraussehbarer oder nicht voraussehbarer Schäden nach ihrer Homologierung; ist kein Verfahren bestimmt, bindet die Vereinbarung die Mitglieder der Gruppe nicht für neue Schäden oder nicht voraussehbare Verschlimmerungen von Schäden, die nach Abschluss der Vereinbarung eintreten,</w:t>
      </w:r>
    </w:p>
    <w:p w14:paraId="256B8E76" w14:textId="77777777" w:rsidR="00325552" w:rsidRPr="004676F5" w:rsidRDefault="00325552" w:rsidP="00325552">
      <w:pPr>
        <w:jc w:val="both"/>
        <w:rPr>
          <w:lang w:val="de-DE"/>
        </w:rPr>
      </w:pPr>
    </w:p>
    <w:p w14:paraId="2A4510D9" w14:textId="334F8AE7" w:rsidR="00325552" w:rsidRPr="004676F5" w:rsidRDefault="00325552" w:rsidP="00325552">
      <w:pPr>
        <w:jc w:val="both"/>
        <w:rPr>
          <w:lang w:val="de-DE"/>
        </w:rPr>
      </w:pPr>
      <w:r w:rsidRPr="004676F5">
        <w:rPr>
          <w:lang w:val="de-DE"/>
        </w:rPr>
        <w:tab/>
        <w:t>12. wenn die in Artikel XVII.50 erwähnten Maßnahmen für unzureichend erachtet werden, zusätzliche Maßnahmen für die Veröffentlichung der homologierten kollektiven Schadenersatzvereinbarung</w:t>
      </w:r>
      <w:r w:rsidR="00DE4A49" w:rsidRPr="004676F5">
        <w:rPr>
          <w:lang w:val="de-DE"/>
        </w:rPr>
        <w:t>[; wenn der Beklagte die Identität der Geschädigten kennt oder leicht in Erfahrung bringen kann, Verpflichtung des Beklagten, die betroffenen Geschädigten einzeln und auf eigene Kosten über die Vereinbarung zu informieren]</w:t>
      </w:r>
      <w:r w:rsidRPr="004676F5">
        <w:rPr>
          <w:lang w:val="de-DE"/>
        </w:rPr>
        <w:t>,</w:t>
      </w:r>
    </w:p>
    <w:p w14:paraId="36A40F5A" w14:textId="77777777" w:rsidR="00325552" w:rsidRPr="004676F5" w:rsidRDefault="00325552" w:rsidP="00325552">
      <w:pPr>
        <w:jc w:val="both"/>
        <w:rPr>
          <w:lang w:val="de-DE"/>
        </w:rPr>
      </w:pPr>
    </w:p>
    <w:p w14:paraId="4EEDC437" w14:textId="77777777" w:rsidR="00325552" w:rsidRPr="004676F5" w:rsidRDefault="00325552" w:rsidP="00325552">
      <w:pPr>
        <w:jc w:val="both"/>
        <w:rPr>
          <w:lang w:val="de-DE"/>
        </w:rPr>
      </w:pPr>
      <w:r w:rsidRPr="004676F5">
        <w:rPr>
          <w:lang w:val="de-DE"/>
        </w:rPr>
        <w:tab/>
        <w:t>13. gegebenenfalls Text der Vereinbarung, der in Anwendung von Artikel XVII.50 veröffentlicht wird,</w:t>
      </w:r>
    </w:p>
    <w:p w14:paraId="128D47A0" w14:textId="77777777" w:rsidR="00325552" w:rsidRPr="004676F5" w:rsidRDefault="00325552" w:rsidP="00325552">
      <w:pPr>
        <w:jc w:val="both"/>
        <w:rPr>
          <w:lang w:val="de-DE"/>
        </w:rPr>
      </w:pPr>
    </w:p>
    <w:p w14:paraId="51019034" w14:textId="77777777" w:rsidR="00325552" w:rsidRPr="004676F5" w:rsidRDefault="00325552" w:rsidP="00325552">
      <w:pPr>
        <w:jc w:val="both"/>
        <w:rPr>
          <w:lang w:val="de-DE"/>
        </w:rPr>
      </w:pPr>
      <w:r w:rsidRPr="004676F5">
        <w:rPr>
          <w:lang w:val="de-DE"/>
        </w:rPr>
        <w:tab/>
        <w:t>14. Datum der Vereinbarung und Unterschrift der Parteien.</w:t>
      </w:r>
    </w:p>
    <w:p w14:paraId="3762EC59" w14:textId="77777777" w:rsidR="00DE4A49" w:rsidRPr="004676F5" w:rsidRDefault="00DE4A49" w:rsidP="00325552">
      <w:pPr>
        <w:jc w:val="both"/>
        <w:rPr>
          <w:lang w:val="de-DE"/>
        </w:rPr>
      </w:pPr>
    </w:p>
    <w:p w14:paraId="5959785C" w14:textId="26420D1D" w:rsidR="00DE4A49" w:rsidRPr="004676F5" w:rsidRDefault="00DE4A49" w:rsidP="00DE4A49">
      <w:pPr>
        <w:jc w:val="both"/>
        <w:rPr>
          <w:lang w:val="de-DE"/>
        </w:rPr>
      </w:pPr>
      <w:r w:rsidRPr="004676F5">
        <w:rPr>
          <w:lang w:val="de-DE"/>
        </w:rPr>
        <w:tab/>
        <w:t>[</w:t>
      </w:r>
      <w:r w:rsidR="00C75FB6">
        <w:rPr>
          <w:lang w:val="de-DE"/>
        </w:rPr>
        <w:t xml:space="preserve">§ 4 - </w:t>
      </w:r>
      <w:r w:rsidRPr="004676F5">
        <w:rPr>
          <w:lang w:val="de-DE"/>
        </w:rPr>
        <w:t>Der Richter bleibt während der Verhandlungen mit der Sache befasst. Er kann auf Antrag einer der Parteien die Verhandlungen vor Ablauf der gemäß Artikel XVII.43 § 2 Nr. 8 festgelegten Frist beenden, wenn die andere Partei während eines Zeitraums von dreißig Werktagen passiv geblieben ist.</w:t>
      </w:r>
    </w:p>
    <w:p w14:paraId="586B42AD" w14:textId="77777777" w:rsidR="00DE4A49" w:rsidRPr="004676F5" w:rsidRDefault="00DE4A49" w:rsidP="00DE4A49">
      <w:pPr>
        <w:jc w:val="both"/>
        <w:rPr>
          <w:lang w:val="de-DE"/>
        </w:rPr>
      </w:pPr>
    </w:p>
    <w:p w14:paraId="25E9DE36" w14:textId="77777777" w:rsidR="00DE4A49" w:rsidRPr="004676F5" w:rsidRDefault="00DE4A49" w:rsidP="00DE4A49">
      <w:pPr>
        <w:jc w:val="both"/>
        <w:rPr>
          <w:lang w:val="de-DE"/>
        </w:rPr>
      </w:pPr>
      <w:r w:rsidRPr="004676F5">
        <w:rPr>
          <w:lang w:val="de-DE"/>
        </w:rPr>
        <w:tab/>
        <w:t>Die Sache kann anhand einer einfachen schriftlichen Erklärung, die von einer der Parteien bei der Kanzlei hinterlegt oder an sie gerichtet wird, erneut vor den Richter gebracht werden. Die Sache wird binnen einem Monat nach Einreichen des Antrags anberaumt.</w:t>
      </w:r>
    </w:p>
    <w:p w14:paraId="17FE7EA8" w14:textId="77777777" w:rsidR="00DE4A49" w:rsidRPr="004676F5" w:rsidRDefault="00DE4A49" w:rsidP="00DE4A49">
      <w:pPr>
        <w:jc w:val="both"/>
        <w:rPr>
          <w:lang w:val="de-DE"/>
        </w:rPr>
      </w:pPr>
    </w:p>
    <w:p w14:paraId="194DBFFC" w14:textId="77777777" w:rsidR="00DE4A49" w:rsidRPr="004676F5" w:rsidRDefault="00DE4A49" w:rsidP="00DE4A49">
      <w:pPr>
        <w:jc w:val="both"/>
        <w:rPr>
          <w:lang w:val="de-DE"/>
        </w:rPr>
      </w:pPr>
      <w:r w:rsidRPr="004676F5">
        <w:rPr>
          <w:lang w:val="de-DE"/>
        </w:rPr>
        <w:tab/>
        <w:t>Der Greffier lädt die Parteien per Gerichtsbrief und, gegebenenfalls, ihren Beistand per einfachen Brief vor.</w:t>
      </w:r>
    </w:p>
    <w:p w14:paraId="56CAEEED" w14:textId="77777777" w:rsidR="00DE4A49" w:rsidRPr="004676F5" w:rsidRDefault="00DE4A49" w:rsidP="00DE4A49">
      <w:pPr>
        <w:jc w:val="both"/>
        <w:rPr>
          <w:lang w:val="de-DE"/>
        </w:rPr>
      </w:pPr>
    </w:p>
    <w:p w14:paraId="423CE5C5" w14:textId="77777777" w:rsidR="00DE4A49" w:rsidRPr="004676F5" w:rsidRDefault="00DE4A49" w:rsidP="00DE4A49">
      <w:pPr>
        <w:jc w:val="both"/>
        <w:rPr>
          <w:lang w:val="de-DE"/>
        </w:rPr>
      </w:pPr>
      <w:r w:rsidRPr="004676F5">
        <w:rPr>
          <w:lang w:val="de-DE"/>
        </w:rPr>
        <w:tab/>
        <w:t>Bei dieser Sitzung legt der Richter, nachdem er festgestellt hat, dass eine Partei nicht verhandlungswillig ist, die Fristen für die Untersuchung und die Entscheidung in der Sache fest. Die Untersuchung der kollektiven Schadenersatzklage wird dann gemäß den Artikeln XVII.54 bis XVII.56 fortgesetzt.</w:t>
      </w:r>
    </w:p>
    <w:p w14:paraId="35479115" w14:textId="77777777" w:rsidR="00DE4A49" w:rsidRPr="004676F5" w:rsidRDefault="00DE4A49" w:rsidP="00DE4A49">
      <w:pPr>
        <w:jc w:val="both"/>
        <w:rPr>
          <w:lang w:val="de-DE"/>
        </w:rPr>
      </w:pPr>
    </w:p>
    <w:p w14:paraId="70B2193D" w14:textId="1595964B" w:rsidR="00DE4A49" w:rsidRPr="004676F5" w:rsidRDefault="00DE4A49" w:rsidP="00DE4A49">
      <w:pPr>
        <w:jc w:val="both"/>
        <w:rPr>
          <w:lang w:val="de-DE"/>
        </w:rPr>
      </w:pPr>
      <w:r w:rsidRPr="004676F5">
        <w:rPr>
          <w:lang w:val="de-DE"/>
        </w:rPr>
        <w:tab/>
        <w:t>Gegen die in Anwendung des vorliegenden Paragraphen angeordneten Maßnahmen kann keine Berufung eingelegt werden.]</w:t>
      </w:r>
    </w:p>
    <w:p w14:paraId="4405F4E1" w14:textId="77777777" w:rsidR="00325552" w:rsidRPr="004676F5" w:rsidRDefault="00325552" w:rsidP="00325552">
      <w:pPr>
        <w:jc w:val="both"/>
        <w:rPr>
          <w:lang w:val="de-DE"/>
        </w:rPr>
      </w:pPr>
    </w:p>
    <w:p w14:paraId="7D826347" w14:textId="7E249494" w:rsidR="00DE4A49" w:rsidRPr="004676F5" w:rsidRDefault="00DE4A49" w:rsidP="00325552">
      <w:pPr>
        <w:jc w:val="both"/>
        <w:rPr>
          <w:i/>
          <w:iCs/>
          <w:lang w:val="de-DE"/>
        </w:rPr>
      </w:pPr>
      <w:r w:rsidRPr="004676F5">
        <w:rPr>
          <w:i/>
          <w:iCs/>
          <w:lang w:val="de-DE"/>
        </w:rPr>
        <w:t>[Art.</w:t>
      </w:r>
      <w:r w:rsidR="00C75FB6">
        <w:rPr>
          <w:i/>
          <w:iCs/>
          <w:lang w:val="de-DE"/>
        </w:rPr>
        <w:t> </w:t>
      </w:r>
      <w:r w:rsidRPr="004676F5">
        <w:rPr>
          <w:i/>
          <w:iCs/>
          <w:lang w:val="de-DE"/>
        </w:rPr>
        <w:t>XVII.45 § 3 einziger Absatz Nr. 7 ersetzt durch Art. 28 Buchstabe a) des G. vom 21. April 2024 (II) (B.S. vom 31. Mai 2024); § 3 einziger Absatz Nr. 9 abgeändert durch Art. 28 Buchstabe b) des G. vom 21. April 2024 (II) (B.S. vom 31. Mai 2024); § 3 einziger Absatz Nr. 12 abgeändert durch Art. 28 Buchstabe c) des G. vom 21. April 2024 (II) (B.S. vom 31. Mai 2024); § 4 eingefügt durch Art. 28 Buchstabe d) des G. vom 21. April 2024 (II) (B.S. vom 31. Mai 2024)]</w:t>
      </w:r>
    </w:p>
    <w:p w14:paraId="33903B59" w14:textId="77777777" w:rsidR="006367D3" w:rsidRPr="004676F5" w:rsidRDefault="006367D3" w:rsidP="00325552">
      <w:pPr>
        <w:jc w:val="both"/>
        <w:rPr>
          <w:lang w:val="de-DE"/>
        </w:rPr>
      </w:pPr>
    </w:p>
    <w:p w14:paraId="52BDE109" w14:textId="77777777" w:rsidR="00DE4A49" w:rsidRPr="004676F5" w:rsidRDefault="00DE4A49" w:rsidP="00325552">
      <w:pPr>
        <w:jc w:val="both"/>
        <w:rPr>
          <w:lang w:val="de-DE"/>
        </w:rPr>
      </w:pPr>
    </w:p>
    <w:p w14:paraId="3F41967B" w14:textId="70D54436"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XVII.46</w:t>
      </w:r>
      <w:r w:rsidRPr="004676F5">
        <w:rPr>
          <w:lang w:val="de-DE"/>
        </w:rPr>
        <w:t> </w:t>
      </w:r>
      <w:r w:rsidR="005B7A5C" w:rsidRPr="004676F5">
        <w:rPr>
          <w:lang w:val="de-DE"/>
        </w:rPr>
        <w:t>- </w:t>
      </w:r>
      <w:r w:rsidRPr="004676F5">
        <w:rPr>
          <w:lang w:val="de-DE"/>
        </w:rPr>
        <w:t>Der Abschluss einer kollektiven Schadenersatzvereinbarung stellt keine Anerkennung der Haftung oder Schuld des Beklagten dar.</w:t>
      </w:r>
    </w:p>
    <w:p w14:paraId="5236BBA8" w14:textId="77777777" w:rsidR="00325552" w:rsidRPr="004676F5" w:rsidRDefault="00325552" w:rsidP="00325552">
      <w:pPr>
        <w:jc w:val="both"/>
        <w:rPr>
          <w:lang w:val="de-DE"/>
        </w:rPr>
      </w:pPr>
    </w:p>
    <w:p w14:paraId="18CA071B" w14:textId="77777777" w:rsidR="006367D3" w:rsidRPr="004676F5" w:rsidRDefault="006367D3" w:rsidP="00325552">
      <w:pPr>
        <w:jc w:val="both"/>
        <w:rPr>
          <w:lang w:val="de-DE"/>
        </w:rPr>
      </w:pPr>
    </w:p>
    <w:p w14:paraId="197F5FF1" w14:textId="59913CD0"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XVII.47</w:t>
      </w:r>
      <w:r w:rsidRPr="004676F5">
        <w:rPr>
          <w:lang w:val="de-DE"/>
        </w:rPr>
        <w:t> </w:t>
      </w:r>
      <w:r w:rsidR="005B7A5C" w:rsidRPr="004676F5">
        <w:rPr>
          <w:lang w:val="de-DE"/>
        </w:rPr>
        <w:t>- </w:t>
      </w:r>
      <w:r w:rsidRPr="004676F5">
        <w:rPr>
          <w:lang w:val="de-DE"/>
        </w:rPr>
        <w:t>Die zuerst handelnde Partei legt dem Richter die kollektive Schadenersatzvereinbarung zur Homologierung vor. Sie setzt die andere Partei unverzüglich unter Angabe des genauen Datums davon in Kenntnis.</w:t>
      </w:r>
    </w:p>
    <w:p w14:paraId="46905ED1" w14:textId="77777777" w:rsidR="00325552" w:rsidRPr="004676F5" w:rsidRDefault="00325552" w:rsidP="00325552">
      <w:pPr>
        <w:jc w:val="both"/>
        <w:rPr>
          <w:lang w:val="de-DE"/>
        </w:rPr>
      </w:pPr>
    </w:p>
    <w:p w14:paraId="2B924F98" w14:textId="77777777" w:rsidR="006367D3" w:rsidRPr="004676F5" w:rsidRDefault="006367D3" w:rsidP="00325552">
      <w:pPr>
        <w:jc w:val="both"/>
        <w:rPr>
          <w:lang w:val="de-DE"/>
        </w:rPr>
      </w:pPr>
    </w:p>
    <w:p w14:paraId="270441A1" w14:textId="54993DAA"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XVII.48</w:t>
      </w:r>
      <w:r w:rsidRPr="004676F5">
        <w:rPr>
          <w:lang w:val="de-DE"/>
        </w:rPr>
        <w:t> </w:t>
      </w:r>
      <w:r w:rsidR="005B7A5C" w:rsidRPr="004676F5">
        <w:rPr>
          <w:lang w:val="de-DE"/>
        </w:rPr>
        <w:t>- </w:t>
      </w:r>
      <w:r w:rsidRPr="004676F5">
        <w:rPr>
          <w:lang w:val="de-DE"/>
        </w:rPr>
        <w:t>Ist es dem Gruppenvertreter und dem Beklagten nicht gelungen, vor Ablauf der vom Richter festgelegten Frist eine kollektive Schadenersatzvereinbarung abzuschließen, setzt der Gruppenvertreter den Richter unverzüglich davon in Kenntnis. Er setzt ebenfalls den Beklagten unverzüglich vom Datum dieser Mitteilung an den Richter in Kenntnis.</w:t>
      </w:r>
    </w:p>
    <w:p w14:paraId="39872945" w14:textId="77777777" w:rsidR="00741332" w:rsidRPr="004676F5" w:rsidRDefault="00741332" w:rsidP="00325552">
      <w:pPr>
        <w:jc w:val="both"/>
        <w:rPr>
          <w:lang w:val="de-DE"/>
        </w:rPr>
      </w:pPr>
    </w:p>
    <w:p w14:paraId="3DD90B54" w14:textId="4A3F46ED" w:rsidR="00763745" w:rsidRPr="004676F5" w:rsidRDefault="00763745">
      <w:pPr>
        <w:rPr>
          <w:i/>
          <w:lang w:val="de-DE"/>
        </w:rPr>
      </w:pPr>
    </w:p>
    <w:p w14:paraId="4BF68603" w14:textId="3BB8945D" w:rsidR="00325552" w:rsidRPr="004676F5" w:rsidRDefault="00325552" w:rsidP="00325552">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Homologierung der kollektiven Schadenersatzvereinbarung</w:t>
      </w:r>
    </w:p>
    <w:p w14:paraId="4B80032C" w14:textId="77777777" w:rsidR="00325552" w:rsidRPr="004676F5" w:rsidRDefault="00325552" w:rsidP="00325552">
      <w:pPr>
        <w:jc w:val="both"/>
        <w:rPr>
          <w:lang w:val="de-DE"/>
        </w:rPr>
      </w:pPr>
    </w:p>
    <w:p w14:paraId="09067FE9" w14:textId="77777777" w:rsidR="006367D3" w:rsidRPr="004676F5" w:rsidRDefault="006367D3" w:rsidP="00325552">
      <w:pPr>
        <w:jc w:val="both"/>
        <w:rPr>
          <w:lang w:val="de-DE"/>
        </w:rPr>
      </w:pPr>
    </w:p>
    <w:p w14:paraId="5965C7B6" w14:textId="5474ED17"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XVII.49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Richter untersucht die bei der Kanzlei hinterlegte kollektive Schadenersatzvereinbarung, um ihre Übereinstimmung mit Artikel XVII.45 § 3 zu überprüfen.</w:t>
      </w:r>
    </w:p>
    <w:p w14:paraId="30AB888E" w14:textId="77777777" w:rsidR="00325552" w:rsidRPr="004676F5" w:rsidRDefault="00325552" w:rsidP="00325552">
      <w:pPr>
        <w:jc w:val="both"/>
        <w:rPr>
          <w:lang w:val="de-DE"/>
        </w:rPr>
      </w:pPr>
    </w:p>
    <w:p w14:paraId="3FA27798" w14:textId="77777777" w:rsidR="00325552" w:rsidRPr="004676F5" w:rsidRDefault="00325552" w:rsidP="00325552">
      <w:pPr>
        <w:jc w:val="both"/>
        <w:rPr>
          <w:lang w:val="de-DE"/>
        </w:rPr>
      </w:pPr>
      <w:r w:rsidRPr="004676F5">
        <w:rPr>
          <w:lang w:val="de-DE"/>
        </w:rPr>
        <w:tab/>
        <w:t>Bei Nichtübereinstimmung mit Artikel XVII.45 § 3 sendet der Richter die Vereinbarung an die Parteien zurück, wobei er sie dazu auffordert, sie in der Frist, die er festlegt, zu vervollständigen, und die auszufüllenden Angaben vermerkt.</w:t>
      </w:r>
    </w:p>
    <w:p w14:paraId="56D2CB0C" w14:textId="77777777" w:rsidR="00325552" w:rsidRPr="004676F5" w:rsidRDefault="00325552" w:rsidP="00325552">
      <w:pPr>
        <w:jc w:val="both"/>
        <w:rPr>
          <w:lang w:val="de-DE"/>
        </w:rPr>
      </w:pPr>
    </w:p>
    <w:p w14:paraId="6FC47A7A" w14:textId="5381A4A4"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Wenn die Vereinbarung vollständig oder vervollständigt ist, homologiert der Richter sie, außer wenn:</w:t>
      </w:r>
    </w:p>
    <w:p w14:paraId="5F9B8278" w14:textId="77777777" w:rsidR="00325552" w:rsidRPr="004676F5" w:rsidRDefault="00325552" w:rsidP="00325552">
      <w:pPr>
        <w:jc w:val="both"/>
        <w:rPr>
          <w:lang w:val="de-DE"/>
        </w:rPr>
      </w:pPr>
    </w:p>
    <w:p w14:paraId="6BE92203" w14:textId="2C0891C8"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der für die Gruppe oder eine Unterkategorie vereinbarte Schadenersatz offensichtlich unangemessen ist,</w:t>
      </w:r>
    </w:p>
    <w:p w14:paraId="69CAC6EC" w14:textId="77777777" w:rsidR="00325552" w:rsidRPr="004676F5" w:rsidRDefault="00325552" w:rsidP="00325552">
      <w:pPr>
        <w:jc w:val="both"/>
        <w:rPr>
          <w:lang w:val="de-DE"/>
        </w:rPr>
      </w:pPr>
    </w:p>
    <w:p w14:paraId="233E3310" w14:textId="677355E5"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die in Artikel XVII.45 § 3 Nr. 7 erwähnte Frist offensichtlich unangemessen ist,</w:t>
      </w:r>
    </w:p>
    <w:p w14:paraId="2439B2CC" w14:textId="77777777" w:rsidR="00325552" w:rsidRPr="004676F5" w:rsidRDefault="00325552" w:rsidP="00325552">
      <w:pPr>
        <w:jc w:val="both"/>
        <w:rPr>
          <w:lang w:val="de-DE"/>
        </w:rPr>
      </w:pPr>
    </w:p>
    <w:p w14:paraId="548D089C" w14:textId="5B4287C4"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die in Artikel </w:t>
      </w:r>
      <w:r w:rsidR="006F3D4B" w:rsidRPr="004676F5">
        <w:rPr>
          <w:lang w:val="de-DE"/>
        </w:rPr>
        <w:t>[XVII.45 § 3 Nr. 12]</w:t>
      </w:r>
      <w:r w:rsidRPr="004676F5">
        <w:rPr>
          <w:lang w:val="de-DE"/>
        </w:rPr>
        <w:t xml:space="preserve"> erwähnten zusätzlichen Veröffentlichungs</w:t>
      </w:r>
      <w:r w:rsidR="006F3D4B" w:rsidRPr="004676F5">
        <w:rPr>
          <w:lang w:val="de-DE"/>
        </w:rPr>
        <w:softHyphen/>
      </w:r>
      <w:r w:rsidRPr="004676F5">
        <w:rPr>
          <w:lang w:val="de-DE"/>
        </w:rPr>
        <w:t>maßnahmen offensichtlich unangemessen sind,</w:t>
      </w:r>
    </w:p>
    <w:p w14:paraId="419033F8" w14:textId="77777777" w:rsidR="00325552" w:rsidRPr="004676F5" w:rsidRDefault="00325552" w:rsidP="00325552">
      <w:pPr>
        <w:jc w:val="both"/>
        <w:rPr>
          <w:lang w:val="de-DE"/>
        </w:rPr>
      </w:pPr>
    </w:p>
    <w:p w14:paraId="54268F21" w14:textId="7D9C7A7E"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die in Artikel XVII.45 § 3 Nr. 8 vorgesehene Entschädigung über die vom Gruppenvertreter tatsächlich getragenen Kosten liegt</w:t>
      </w:r>
      <w:r w:rsidR="006F3D4B" w:rsidRPr="004676F5">
        <w:rPr>
          <w:lang w:val="de-DE"/>
        </w:rPr>
        <w:t>,</w:t>
      </w:r>
    </w:p>
    <w:p w14:paraId="5D5FCC76" w14:textId="77777777" w:rsidR="006F3D4B" w:rsidRPr="004676F5" w:rsidRDefault="006F3D4B" w:rsidP="00325552">
      <w:pPr>
        <w:jc w:val="both"/>
        <w:rPr>
          <w:lang w:val="de-DE"/>
        </w:rPr>
      </w:pPr>
    </w:p>
    <w:p w14:paraId="3EAC5E1C" w14:textId="7632524B" w:rsidR="006F3D4B" w:rsidRPr="004676F5" w:rsidRDefault="006F3D4B" w:rsidP="00325552">
      <w:pPr>
        <w:jc w:val="both"/>
        <w:rPr>
          <w:lang w:val="de-DE"/>
        </w:rPr>
      </w:pPr>
      <w:r w:rsidRPr="004676F5">
        <w:rPr>
          <w:lang w:val="de-DE"/>
        </w:rPr>
        <w:tab/>
        <w:t>[- eine oder mehrere Bestimmungen der Vereinbarung oder die Vereinbarung als Ganzes gegen die öffentliche Ordnung oder bindende Rechtsbestimmungen verstoßen oder Bedingungen enthalten, die nicht erfüllt werden können.]</w:t>
      </w:r>
    </w:p>
    <w:p w14:paraId="664DBD40" w14:textId="77777777" w:rsidR="00325552" w:rsidRPr="004676F5" w:rsidRDefault="00325552" w:rsidP="00325552">
      <w:pPr>
        <w:jc w:val="both"/>
        <w:rPr>
          <w:lang w:val="de-DE"/>
        </w:rPr>
      </w:pPr>
    </w:p>
    <w:p w14:paraId="4F623F67" w14:textId="77777777" w:rsidR="00325552" w:rsidRPr="004676F5" w:rsidRDefault="00325552" w:rsidP="00325552">
      <w:pPr>
        <w:jc w:val="both"/>
        <w:rPr>
          <w:lang w:val="de-DE"/>
        </w:rPr>
      </w:pPr>
      <w:r w:rsidRPr="004676F5">
        <w:rPr>
          <w:lang w:val="de-DE"/>
        </w:rPr>
        <w:tab/>
        <w:t>Ist der Richter der Ansicht, auf der Grundlage eines der in Absatz 1 erwähnten Gründe die Homologierung der Vereinbarung verweigern zu müssen, kann er die Parteien auffordern, in einer Frist, die er festlegt, ihre Vereinbarung diesbezüglich zu revidieren.</w:t>
      </w:r>
    </w:p>
    <w:p w14:paraId="072735A0" w14:textId="77777777" w:rsidR="00325552" w:rsidRPr="004676F5" w:rsidRDefault="00325552" w:rsidP="00325552">
      <w:pPr>
        <w:jc w:val="both"/>
        <w:rPr>
          <w:lang w:val="de-DE"/>
        </w:rPr>
      </w:pPr>
    </w:p>
    <w:p w14:paraId="0641017D" w14:textId="54C2C8BE" w:rsidR="00325552" w:rsidRPr="004676F5" w:rsidRDefault="00325552" w:rsidP="00325552">
      <w:pPr>
        <w:jc w:val="both"/>
        <w:rPr>
          <w:lang w:val="de-DE"/>
        </w:rPr>
      </w:pPr>
      <w:r w:rsidRPr="004676F5">
        <w:rPr>
          <w:lang w:val="de-DE"/>
        </w:rPr>
        <w:tab/>
        <w:t>§ 3 </w:t>
      </w:r>
      <w:r w:rsidR="005B7A5C" w:rsidRPr="004676F5">
        <w:rPr>
          <w:lang w:val="de-DE"/>
        </w:rPr>
        <w:t>- </w:t>
      </w:r>
      <w:r w:rsidRPr="004676F5">
        <w:rPr>
          <w:lang w:val="de-DE"/>
        </w:rPr>
        <w:t>In seinem Homologierungsbeschluss bestimmt der Richter unter den Personen, die in der in Anwendung von Artikel XVII.57 erstellten Liste stehen, einen Schaden</w:t>
      </w:r>
      <w:r w:rsidRPr="004676F5">
        <w:rPr>
          <w:lang w:val="de-DE"/>
        </w:rPr>
        <w:softHyphen/>
        <w:t>regulierer.</w:t>
      </w:r>
    </w:p>
    <w:p w14:paraId="06E2BB08" w14:textId="77777777" w:rsidR="00325552" w:rsidRPr="004676F5" w:rsidRDefault="00325552" w:rsidP="00325552">
      <w:pPr>
        <w:jc w:val="both"/>
        <w:rPr>
          <w:lang w:val="de-DE"/>
        </w:rPr>
      </w:pPr>
    </w:p>
    <w:p w14:paraId="432DD23C" w14:textId="4CE4CFD1" w:rsidR="00325552" w:rsidRPr="004676F5" w:rsidRDefault="00325552" w:rsidP="00325552">
      <w:pPr>
        <w:jc w:val="both"/>
        <w:rPr>
          <w:lang w:val="de-DE"/>
        </w:rPr>
      </w:pPr>
      <w:r w:rsidRPr="004676F5">
        <w:rPr>
          <w:lang w:val="de-DE"/>
        </w:rPr>
        <w:tab/>
        <w:t>§ 4 </w:t>
      </w:r>
      <w:r w:rsidR="005B7A5C" w:rsidRPr="004676F5">
        <w:rPr>
          <w:lang w:val="de-DE"/>
        </w:rPr>
        <w:t>- </w:t>
      </w:r>
      <w:r w:rsidRPr="004676F5">
        <w:rPr>
          <w:lang w:val="de-DE"/>
        </w:rPr>
        <w:t xml:space="preserve">Der Homologierungsbeschluss hat die Wirksamkeit eines Urteils im Sinne von Artikel 1043 des Gerichtsgesetzbuches. Er bindet alle Mitglieder der Gruppe </w:t>
      </w:r>
      <w:r w:rsidR="006F3D4B" w:rsidRPr="004676F5">
        <w:rPr>
          <w:lang w:val="de-DE"/>
        </w:rPr>
        <w:t>[infolge der Ausübung ihres Optionsrechtes]</w:t>
      </w:r>
      <w:r w:rsidRPr="004676F5">
        <w:rPr>
          <w:lang w:val="de-DE"/>
        </w:rPr>
        <w:t>.</w:t>
      </w:r>
    </w:p>
    <w:p w14:paraId="4FE727B4" w14:textId="6B276782" w:rsidR="00325552" w:rsidRPr="004676F5" w:rsidRDefault="00325552" w:rsidP="00325552">
      <w:pPr>
        <w:jc w:val="both"/>
        <w:rPr>
          <w:lang w:val="de-DE"/>
        </w:rPr>
      </w:pPr>
    </w:p>
    <w:p w14:paraId="61BAD7AB" w14:textId="4CE987C9" w:rsidR="00820491" w:rsidRPr="004676F5" w:rsidRDefault="00820491" w:rsidP="00325552">
      <w:pPr>
        <w:jc w:val="both"/>
        <w:rPr>
          <w:i/>
          <w:lang w:val="de-DE"/>
        </w:rPr>
      </w:pPr>
      <w:r w:rsidRPr="004676F5">
        <w:rPr>
          <w:i/>
          <w:lang w:val="de-DE"/>
        </w:rPr>
        <w:t>[Art. XVII.49</w:t>
      </w:r>
      <w:r w:rsidR="006F3D4B" w:rsidRPr="004676F5">
        <w:rPr>
          <w:i/>
          <w:lang w:val="de-DE"/>
        </w:rPr>
        <w:t xml:space="preserve"> § 2 Abs. 1 dritter Gedankenstrich abgeändert </w:t>
      </w:r>
      <w:r w:rsidR="006F3D4B" w:rsidRPr="004676F5">
        <w:rPr>
          <w:i/>
          <w:iCs/>
          <w:lang w:val="de-DE"/>
        </w:rPr>
        <w:t>durch Art. 29 Nr. 1 des G. vom 21. April 2024 (II) (B.S. vom 31. Mai 2024)</w:t>
      </w:r>
      <w:r w:rsidR="006F3D4B" w:rsidRPr="004676F5">
        <w:rPr>
          <w:i/>
          <w:lang w:val="de-DE"/>
        </w:rPr>
        <w:t xml:space="preserve">; § 2 Abs. 1 fünfter Gedankenstrich eingefügt </w:t>
      </w:r>
      <w:r w:rsidR="006F3D4B" w:rsidRPr="004676F5">
        <w:rPr>
          <w:i/>
          <w:iCs/>
          <w:lang w:val="de-DE"/>
        </w:rPr>
        <w:t>durch Art. 29 Nr. 2 des G. vom 21. April 2024 (II) (B.S. vom 31. Mai 2024);</w:t>
      </w:r>
      <w:r w:rsidR="006F3D4B" w:rsidRPr="004676F5">
        <w:rPr>
          <w:i/>
          <w:lang w:val="de-DE"/>
        </w:rPr>
        <w:t xml:space="preserve"> </w:t>
      </w:r>
      <w:r w:rsidRPr="004676F5">
        <w:rPr>
          <w:i/>
          <w:lang w:val="de-DE"/>
        </w:rPr>
        <w:t>§ 4 abgeändert durch Art. 6 des G. vom 30. März 2018 (B.S. vom 22. Mai 2018)</w:t>
      </w:r>
      <w:r w:rsidR="006F3D4B" w:rsidRPr="004676F5">
        <w:rPr>
          <w:i/>
          <w:lang w:val="de-DE"/>
        </w:rPr>
        <w:t xml:space="preserve"> und </w:t>
      </w:r>
      <w:r w:rsidR="006F3D4B" w:rsidRPr="004676F5">
        <w:rPr>
          <w:i/>
          <w:iCs/>
          <w:lang w:val="de-DE"/>
        </w:rPr>
        <w:t>Art. 29 Nr. 3 des G. vom 21. April 2024 (II) (B.S. vom 31. Mai 2024)</w:t>
      </w:r>
      <w:r w:rsidRPr="004676F5">
        <w:rPr>
          <w:i/>
          <w:lang w:val="de-DE"/>
        </w:rPr>
        <w:t>]</w:t>
      </w:r>
    </w:p>
    <w:p w14:paraId="6B3C3F45" w14:textId="77777777" w:rsidR="00820491" w:rsidRPr="004676F5" w:rsidRDefault="00820491" w:rsidP="00325552">
      <w:pPr>
        <w:jc w:val="both"/>
        <w:rPr>
          <w:i/>
          <w:lang w:val="de-DE"/>
        </w:rPr>
      </w:pPr>
    </w:p>
    <w:p w14:paraId="71EB1169" w14:textId="77777777" w:rsidR="006367D3" w:rsidRPr="004676F5" w:rsidRDefault="006367D3" w:rsidP="00325552">
      <w:pPr>
        <w:jc w:val="both"/>
        <w:rPr>
          <w:lang w:val="de-DE"/>
        </w:rPr>
      </w:pPr>
    </w:p>
    <w:p w14:paraId="5FCDDE86" w14:textId="79CB5D16" w:rsidR="006F3D4B"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XVII.50</w:t>
      </w:r>
      <w:r w:rsidRPr="004676F5">
        <w:rPr>
          <w:lang w:val="de-DE"/>
        </w:rPr>
        <w:t> </w:t>
      </w:r>
      <w:r w:rsidR="006F3D4B" w:rsidRPr="004676F5">
        <w:rPr>
          <w:lang w:val="de-DE"/>
        </w:rPr>
        <w:t>- [Binnen zehn Tagen nach Verkündung des Homologierungsbeschlusses übermittelt die Kanzlei dem Beklagten und dem Gruppenvertreter per Gerichtsbrief eine Abschrift dieses Beschlusses. In Abweichung von Artikel 1051 des Gerichtsgesetzbuches beginnt die Frist für die Einreichung einer Beschwerde gegen den Homologierungsbeschluss mit dieser Notifizierung per Gerichtsbrief.]</w:t>
      </w:r>
    </w:p>
    <w:p w14:paraId="7E50462D" w14:textId="77777777" w:rsidR="006F3D4B" w:rsidRPr="004676F5" w:rsidRDefault="006F3D4B" w:rsidP="00325552">
      <w:pPr>
        <w:jc w:val="both"/>
        <w:rPr>
          <w:lang w:val="de-DE"/>
        </w:rPr>
      </w:pPr>
    </w:p>
    <w:p w14:paraId="6207CDFF" w14:textId="0A03314D" w:rsidR="00325552" w:rsidRPr="004676F5" w:rsidRDefault="006F3D4B" w:rsidP="00325552">
      <w:pPr>
        <w:jc w:val="both"/>
        <w:rPr>
          <w:lang w:val="de-DE"/>
        </w:rPr>
      </w:pPr>
      <w:r w:rsidRPr="004676F5">
        <w:rPr>
          <w:lang w:val="de-DE"/>
        </w:rPr>
        <w:tab/>
      </w:r>
      <w:r w:rsidR="009C6CEC" w:rsidRPr="004676F5">
        <w:rPr>
          <w:lang w:val="de-DE"/>
        </w:rPr>
        <w:t>[Die Kanzlei übermittelt unverzüglich, gegebenenfalls nach Ablauf der Beschwerde</w:t>
      </w:r>
      <w:r w:rsidR="009C6CEC" w:rsidRPr="004676F5">
        <w:rPr>
          <w:lang w:val="de-DE"/>
        </w:rPr>
        <w:softHyphen/>
        <w:t xml:space="preserve">frist, den Beschluss zur Homologierung der kollektiven Schadenersatzvereinbarung zusammen mit dem Text dieser Vereinbarung in elektronischer Form dem FÖD Wirtschaft, KMB, Mittelstand und Energie, der sie unverzüglich vollständig auf seiner Website veröffentlicht und eine Bekanntmachung im </w:t>
      </w:r>
      <w:r w:rsidR="009C6CEC" w:rsidRPr="004676F5">
        <w:rPr>
          <w:i/>
          <w:lang w:val="de-DE"/>
        </w:rPr>
        <w:t>Belgischen Staatsblatt</w:t>
      </w:r>
      <w:r w:rsidR="009C6CEC" w:rsidRPr="004676F5">
        <w:rPr>
          <w:lang w:val="de-DE"/>
        </w:rPr>
        <w:t xml:space="preserve"> veranlasst, in der das Bezugszeichen des Beschlusses und der Link zu der Seite der Website mit der Veröffentlichung des vollständigen Textes des Beschlusses und der Vereinbarung angegeben sind. Das </w:t>
      </w:r>
      <w:r w:rsidR="009C6CEC" w:rsidRPr="004676F5">
        <w:rPr>
          <w:i/>
          <w:lang w:val="de-DE"/>
        </w:rPr>
        <w:t>Belgische Staatsblatt</w:t>
      </w:r>
      <w:r w:rsidR="009C6CEC" w:rsidRPr="004676F5">
        <w:rPr>
          <w:lang w:val="de-DE"/>
        </w:rPr>
        <w:t xml:space="preserve"> sorgt für die Veröffentlichung dieser Bekanntmachung innerhalb einer Frist von zehn Tagen.]</w:t>
      </w:r>
    </w:p>
    <w:p w14:paraId="60769C5B" w14:textId="77777777" w:rsidR="00325552" w:rsidRPr="004676F5" w:rsidRDefault="00325552" w:rsidP="00325552">
      <w:pPr>
        <w:jc w:val="both"/>
        <w:rPr>
          <w:lang w:val="de-DE"/>
        </w:rPr>
      </w:pPr>
    </w:p>
    <w:p w14:paraId="41593E67" w14:textId="559C9FA4" w:rsidR="00325552" w:rsidRPr="004676F5" w:rsidRDefault="00325552" w:rsidP="00325552">
      <w:pPr>
        <w:jc w:val="both"/>
        <w:rPr>
          <w:lang w:val="de-DE"/>
        </w:rPr>
      </w:pPr>
      <w:r w:rsidRPr="004676F5">
        <w:rPr>
          <w:lang w:val="de-DE"/>
        </w:rPr>
        <w:tab/>
      </w:r>
      <w:r w:rsidR="00F97E05" w:rsidRPr="004676F5">
        <w:rPr>
          <w:lang w:val="de-DE"/>
        </w:rPr>
        <w:t>[...]</w:t>
      </w:r>
    </w:p>
    <w:p w14:paraId="17BBCC1D" w14:textId="77777777" w:rsidR="00325552" w:rsidRPr="004676F5" w:rsidRDefault="00325552" w:rsidP="00325552">
      <w:pPr>
        <w:jc w:val="both"/>
        <w:rPr>
          <w:lang w:val="de-DE"/>
        </w:rPr>
      </w:pPr>
    </w:p>
    <w:p w14:paraId="4D04D0BB" w14:textId="66B379BC" w:rsidR="009C6CEC" w:rsidRPr="004676F5" w:rsidRDefault="009C6CEC" w:rsidP="00325552">
      <w:pPr>
        <w:jc w:val="both"/>
        <w:rPr>
          <w:rFonts w:eastAsia="Calibri"/>
          <w:i/>
          <w:iCs/>
          <w:kern w:val="2"/>
          <w:lang w:val="de-DE" w:eastAsia="en-US"/>
          <w14:ligatures w14:val="standardContextual"/>
        </w:rPr>
      </w:pPr>
      <w:r w:rsidRPr="004676F5">
        <w:rPr>
          <w:i/>
          <w:iCs/>
          <w:lang w:val="de-DE"/>
        </w:rPr>
        <w:t xml:space="preserve">[Art. XVII.50 </w:t>
      </w:r>
      <w:r w:rsidR="006F3D4B" w:rsidRPr="004676F5">
        <w:rPr>
          <w:i/>
          <w:iCs/>
          <w:lang w:val="de-DE"/>
        </w:rPr>
        <w:t>neuer Absatz 1 eingefügt durch Art. 30 Nr. 1 des G. vom 21. April 2024 (II) (B.S. vom 31. Mai 2024)</w:t>
      </w:r>
      <w:r w:rsidR="00F97E05" w:rsidRPr="004676F5">
        <w:rPr>
          <w:i/>
          <w:iCs/>
          <w:lang w:val="de-DE"/>
        </w:rPr>
        <w:t xml:space="preserve">; </w:t>
      </w:r>
      <w:r w:rsidRPr="004676F5">
        <w:rPr>
          <w:i/>
          <w:iCs/>
          <w:lang w:val="de-DE"/>
        </w:rPr>
        <w:t>Abs. </w:t>
      </w:r>
      <w:r w:rsidR="00F97E05" w:rsidRPr="004676F5">
        <w:rPr>
          <w:i/>
          <w:iCs/>
          <w:lang w:val="de-DE"/>
        </w:rPr>
        <w:t>2 (früherer Absatz 1)</w:t>
      </w:r>
      <w:r w:rsidRPr="004676F5">
        <w:rPr>
          <w:i/>
          <w:iCs/>
          <w:lang w:val="de-DE"/>
        </w:rPr>
        <w:t xml:space="preserve"> ersetzt durch Art. 15</w:t>
      </w:r>
      <w:r w:rsidRPr="004676F5">
        <w:rPr>
          <w:rFonts w:eastAsia="Calibri"/>
          <w:i/>
          <w:iCs/>
          <w:kern w:val="2"/>
          <w:lang w:val="de-DE" w:eastAsia="en-US"/>
          <w14:ligatures w14:val="standardContextual"/>
        </w:rPr>
        <w:t xml:space="preserve"> des G. vom 2. Februar 2021 (B.S. vom 11. Februar 2021)</w:t>
      </w:r>
      <w:r w:rsidR="00F97E05" w:rsidRPr="004676F5">
        <w:rPr>
          <w:rFonts w:eastAsia="Calibri"/>
          <w:i/>
          <w:iCs/>
          <w:kern w:val="2"/>
          <w:lang w:val="de-DE" w:eastAsia="en-US"/>
          <w14:ligatures w14:val="standardContextual"/>
        </w:rPr>
        <w:t xml:space="preserve">; Abs. 3 aufgehoben </w:t>
      </w:r>
      <w:r w:rsidR="00F97E05" w:rsidRPr="004676F5">
        <w:rPr>
          <w:i/>
          <w:iCs/>
          <w:lang w:val="de-DE"/>
        </w:rPr>
        <w:t>durch Art. 30 Nr. 2 des G. vom 21. April 2024 (II) (B.S. vom 31. Mai 2024)</w:t>
      </w:r>
      <w:r w:rsidRPr="004676F5">
        <w:rPr>
          <w:rFonts w:eastAsia="Calibri"/>
          <w:i/>
          <w:iCs/>
          <w:kern w:val="2"/>
          <w:lang w:val="de-DE" w:eastAsia="en-US"/>
          <w14:ligatures w14:val="standardContextual"/>
        </w:rPr>
        <w:t>]</w:t>
      </w:r>
    </w:p>
    <w:p w14:paraId="3EE3DED0" w14:textId="77777777" w:rsidR="009C6CEC" w:rsidRPr="004676F5" w:rsidRDefault="009C6CEC" w:rsidP="00325552">
      <w:pPr>
        <w:jc w:val="both"/>
        <w:rPr>
          <w:lang w:val="de-DE"/>
        </w:rPr>
      </w:pPr>
    </w:p>
    <w:p w14:paraId="1A922E15" w14:textId="77777777" w:rsidR="006367D3" w:rsidRPr="004676F5" w:rsidRDefault="006367D3" w:rsidP="00325552">
      <w:pPr>
        <w:jc w:val="both"/>
        <w:rPr>
          <w:lang w:val="de-DE"/>
        </w:rPr>
      </w:pPr>
    </w:p>
    <w:p w14:paraId="30E0A209" w14:textId="77777777" w:rsidR="00835127" w:rsidRDefault="00835127">
      <w:pPr>
        <w:rPr>
          <w:lang w:val="de-DE"/>
        </w:rPr>
      </w:pPr>
      <w:r>
        <w:rPr>
          <w:lang w:val="de-DE"/>
        </w:rPr>
        <w:br w:type="page"/>
      </w:r>
    </w:p>
    <w:p w14:paraId="74FEA249" w14:textId="16C8D002" w:rsidR="00325552" w:rsidRPr="004676F5" w:rsidRDefault="00325552" w:rsidP="00325552">
      <w:pPr>
        <w:jc w:val="both"/>
        <w:rPr>
          <w:lang w:val="de-DE"/>
        </w:rPr>
      </w:pPr>
      <w:r w:rsidRPr="004676F5">
        <w:rPr>
          <w:lang w:val="de-DE"/>
        </w:rPr>
        <w:lastRenderedPageBreak/>
        <w:tab/>
      </w:r>
      <w:r w:rsidR="00BE0A56" w:rsidRPr="004676F5">
        <w:rPr>
          <w:b/>
          <w:lang w:val="de-DE"/>
        </w:rPr>
        <w:t>Art. </w:t>
      </w:r>
      <w:r w:rsidRPr="004676F5">
        <w:rPr>
          <w:b/>
          <w:lang w:val="de-DE"/>
        </w:rPr>
        <w:t>XVII.51</w:t>
      </w:r>
      <w:r w:rsidRPr="004676F5">
        <w:rPr>
          <w:lang w:val="de-DE"/>
        </w:rPr>
        <w:t> </w:t>
      </w:r>
      <w:r w:rsidR="005B7A5C" w:rsidRPr="004676F5">
        <w:rPr>
          <w:lang w:val="de-DE"/>
        </w:rPr>
        <w:t>- </w:t>
      </w:r>
      <w:r w:rsidRPr="004676F5">
        <w:rPr>
          <w:lang w:val="de-DE"/>
        </w:rPr>
        <w:t>Die Homologierung einer kollektiven Schadenersatzvereinbarung stellt keine Anerkennung der Haftung oder Schuld des Beklagten dar.</w:t>
      </w:r>
    </w:p>
    <w:p w14:paraId="67A4AF5F" w14:textId="77777777" w:rsidR="00325552" w:rsidRPr="004676F5" w:rsidRDefault="00325552" w:rsidP="00325552">
      <w:pPr>
        <w:jc w:val="both"/>
        <w:rPr>
          <w:lang w:val="de-DE"/>
        </w:rPr>
      </w:pPr>
    </w:p>
    <w:p w14:paraId="33E8BC3C" w14:textId="77777777" w:rsidR="006367D3" w:rsidRPr="004676F5" w:rsidRDefault="006367D3" w:rsidP="00325552">
      <w:pPr>
        <w:jc w:val="both"/>
        <w:rPr>
          <w:lang w:val="de-DE"/>
        </w:rPr>
      </w:pPr>
    </w:p>
    <w:p w14:paraId="05FF32FD" w14:textId="59E52663" w:rsidR="00325552" w:rsidRPr="004676F5" w:rsidRDefault="00325552" w:rsidP="00325552">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Entscheidung zur Sache</w:t>
      </w:r>
    </w:p>
    <w:p w14:paraId="2A53CD76" w14:textId="77777777" w:rsidR="00325552" w:rsidRPr="004676F5" w:rsidRDefault="00325552" w:rsidP="00325552">
      <w:pPr>
        <w:jc w:val="both"/>
        <w:rPr>
          <w:lang w:val="de-DE"/>
        </w:rPr>
      </w:pPr>
    </w:p>
    <w:p w14:paraId="6BFDDF27" w14:textId="77777777" w:rsidR="006367D3" w:rsidRPr="004676F5" w:rsidRDefault="006367D3" w:rsidP="00325552">
      <w:pPr>
        <w:jc w:val="both"/>
        <w:rPr>
          <w:lang w:val="de-DE"/>
        </w:rPr>
      </w:pPr>
    </w:p>
    <w:p w14:paraId="0566CE13" w14:textId="2D43ECF7"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XVII.52</w:t>
      </w:r>
      <w:r w:rsidRPr="004676F5">
        <w:rPr>
          <w:lang w:val="de-DE"/>
        </w:rPr>
        <w:t> </w:t>
      </w:r>
      <w:r w:rsidR="005B7A5C" w:rsidRPr="004676F5">
        <w:rPr>
          <w:lang w:val="de-DE"/>
        </w:rPr>
        <w:t>- </w:t>
      </w:r>
      <w:r w:rsidRPr="004676F5">
        <w:rPr>
          <w:lang w:val="de-DE"/>
        </w:rPr>
        <w:t>Die Untersuchung der kollektiven Schadenersatzklage, die gemäß Artikel XVII.42 § 1 eingeleitet wird, wird vom Richter fortgesetzt, wenn:</w:t>
      </w:r>
    </w:p>
    <w:p w14:paraId="53FC642D" w14:textId="77777777" w:rsidR="00325552" w:rsidRPr="004676F5" w:rsidRDefault="00325552" w:rsidP="00325552">
      <w:pPr>
        <w:jc w:val="both"/>
        <w:rPr>
          <w:lang w:val="de-DE"/>
        </w:rPr>
      </w:pPr>
    </w:p>
    <w:p w14:paraId="149BF1CF" w14:textId="2423044B"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der Gruppenvertreter und der Beklagte in der Frist, die der Richter in Anwendung von Artikel XVII.43 § 2 Nr. 8 in seiner Zulässigkeitsentscheidung festgelegt hat, gegebenen</w:t>
      </w:r>
      <w:r w:rsidRPr="004676F5">
        <w:rPr>
          <w:lang w:val="de-DE"/>
        </w:rPr>
        <w:softHyphen/>
        <w:t>falls in Anwendung von Artikel XVII.45 § 1 verlängert, keine kollektive Schadenersatzvereinbarung abgeschlossen haben,</w:t>
      </w:r>
    </w:p>
    <w:p w14:paraId="3D985569" w14:textId="77777777" w:rsidR="00325552" w:rsidRPr="004676F5" w:rsidRDefault="00325552" w:rsidP="00325552">
      <w:pPr>
        <w:jc w:val="both"/>
        <w:rPr>
          <w:lang w:val="de-DE"/>
        </w:rPr>
      </w:pPr>
    </w:p>
    <w:p w14:paraId="1811745D" w14:textId="3A1D0EA4"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der Gruppenvertreter und der Beklagte der Aufforderung des Richters, in der gemäß Artikel XVII.49 § 1 Absatz 2 festgelegten Frist die Vereinbarung zu vervollständigen, keine Folge geleistet haben,</w:t>
      </w:r>
    </w:p>
    <w:p w14:paraId="70A9D7BE" w14:textId="77777777" w:rsidR="00325552" w:rsidRPr="004676F5" w:rsidRDefault="00325552" w:rsidP="00325552">
      <w:pPr>
        <w:jc w:val="both"/>
        <w:rPr>
          <w:lang w:val="de-DE"/>
        </w:rPr>
      </w:pPr>
    </w:p>
    <w:p w14:paraId="3EC68A8F" w14:textId="13F7A1C3"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der Richter in Anwendung von Artikel XVII.49 § 2 die Homologierung der Vereinbarung verweigert hat</w:t>
      </w:r>
      <w:r w:rsidR="00F97E05" w:rsidRPr="004676F5">
        <w:rPr>
          <w:lang w:val="de-DE"/>
        </w:rPr>
        <w:t>,</w:t>
      </w:r>
    </w:p>
    <w:p w14:paraId="51DC8C21" w14:textId="77777777" w:rsidR="00F97E05" w:rsidRPr="004676F5" w:rsidRDefault="00F97E05" w:rsidP="00325552">
      <w:pPr>
        <w:jc w:val="both"/>
        <w:rPr>
          <w:lang w:val="de-DE"/>
        </w:rPr>
      </w:pPr>
    </w:p>
    <w:p w14:paraId="24846815" w14:textId="3D48809A" w:rsidR="00F97E05" w:rsidRPr="004676F5" w:rsidRDefault="00F97E05" w:rsidP="00325552">
      <w:pPr>
        <w:jc w:val="both"/>
        <w:rPr>
          <w:lang w:val="de-DE"/>
        </w:rPr>
      </w:pPr>
      <w:r w:rsidRPr="004676F5">
        <w:rPr>
          <w:lang w:val="de-DE"/>
        </w:rPr>
        <w:tab/>
        <w:t>[- der Gruppenvertreter und der Beklagte wegen der Passivität einer der Parteien gemäß Artikel XVII.45 § 4 keine kollektive Schadenersatzvereinbarung abgeschlossen haben.]</w:t>
      </w:r>
    </w:p>
    <w:p w14:paraId="61BE7793" w14:textId="77777777" w:rsidR="00325552" w:rsidRPr="004676F5" w:rsidRDefault="00325552" w:rsidP="00325552">
      <w:pPr>
        <w:jc w:val="both"/>
        <w:rPr>
          <w:lang w:val="de-DE"/>
        </w:rPr>
      </w:pPr>
    </w:p>
    <w:p w14:paraId="7267D774" w14:textId="00CFE9EF" w:rsidR="00F97E05" w:rsidRPr="004676F5" w:rsidRDefault="00F97E05" w:rsidP="00325552">
      <w:pPr>
        <w:jc w:val="both"/>
        <w:rPr>
          <w:i/>
          <w:iCs/>
          <w:lang w:val="de-DE"/>
        </w:rPr>
      </w:pPr>
      <w:r w:rsidRPr="004676F5">
        <w:rPr>
          <w:i/>
          <w:iCs/>
          <w:lang w:val="de-DE"/>
        </w:rPr>
        <w:t>[Art.</w:t>
      </w:r>
      <w:r w:rsidR="006628EB">
        <w:rPr>
          <w:i/>
          <w:iCs/>
          <w:lang w:val="de-DE"/>
        </w:rPr>
        <w:t> </w:t>
      </w:r>
      <w:r w:rsidRPr="004676F5">
        <w:rPr>
          <w:i/>
          <w:iCs/>
          <w:lang w:val="de-DE"/>
        </w:rPr>
        <w:t xml:space="preserve">XVII.52 </w:t>
      </w:r>
      <w:r w:rsidR="005711CD">
        <w:rPr>
          <w:i/>
          <w:iCs/>
          <w:lang w:val="de-DE"/>
        </w:rPr>
        <w:t>einziger Absatz </w:t>
      </w:r>
      <w:r w:rsidRPr="004676F5">
        <w:rPr>
          <w:i/>
          <w:iCs/>
          <w:lang w:val="de-DE"/>
        </w:rPr>
        <w:t>vierter Gedankenstrich eingefügt durch Art. 31 des G. vom 21. April 2024 (II) (B.S. vom 31. Mai 2024)]</w:t>
      </w:r>
    </w:p>
    <w:p w14:paraId="62FE2442" w14:textId="77777777" w:rsidR="006367D3" w:rsidRPr="004676F5" w:rsidRDefault="006367D3" w:rsidP="00325552">
      <w:pPr>
        <w:jc w:val="both"/>
        <w:rPr>
          <w:lang w:val="de-DE"/>
        </w:rPr>
      </w:pPr>
    </w:p>
    <w:p w14:paraId="28D0E1AE" w14:textId="77777777" w:rsidR="00F97E05" w:rsidRPr="004676F5" w:rsidRDefault="00F97E05" w:rsidP="00325552">
      <w:pPr>
        <w:jc w:val="both"/>
        <w:rPr>
          <w:lang w:val="de-DE"/>
        </w:rPr>
      </w:pPr>
    </w:p>
    <w:p w14:paraId="4AC1DA5B" w14:textId="2D02DC95"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XVII.53</w:t>
      </w:r>
      <w:r w:rsidRPr="004676F5">
        <w:rPr>
          <w:lang w:val="de-DE"/>
        </w:rPr>
        <w:t> </w:t>
      </w:r>
      <w:r w:rsidR="005B7A5C" w:rsidRPr="004676F5">
        <w:rPr>
          <w:lang w:val="de-DE"/>
        </w:rPr>
        <w:t>- </w:t>
      </w:r>
      <w:r w:rsidRPr="004676F5">
        <w:rPr>
          <w:lang w:val="de-DE"/>
        </w:rPr>
        <w:t>Innerhalb eines Monats lädt die Kanzlei per Gerichtsbrief den Gruppenvertreter und den Beklagten vor, zu der vom Richter anberaumten Sitzung zu erscheinen.</w:t>
      </w:r>
    </w:p>
    <w:p w14:paraId="09E2C1DC" w14:textId="77777777" w:rsidR="00325552" w:rsidRPr="004676F5" w:rsidRDefault="00325552" w:rsidP="00325552">
      <w:pPr>
        <w:jc w:val="both"/>
        <w:rPr>
          <w:lang w:val="de-DE"/>
        </w:rPr>
      </w:pPr>
    </w:p>
    <w:p w14:paraId="5B33BE81" w14:textId="77777777" w:rsidR="00325552" w:rsidRPr="004676F5" w:rsidRDefault="00325552" w:rsidP="00325552">
      <w:pPr>
        <w:jc w:val="both"/>
        <w:rPr>
          <w:lang w:val="de-DE"/>
        </w:rPr>
      </w:pPr>
      <w:r w:rsidRPr="004676F5">
        <w:rPr>
          <w:lang w:val="de-DE"/>
        </w:rPr>
        <w:tab/>
        <w:t>Die einmonatige Frist beginnt am Tag nach:</w:t>
      </w:r>
    </w:p>
    <w:p w14:paraId="6B2053CC" w14:textId="77777777" w:rsidR="00325552" w:rsidRPr="004676F5" w:rsidRDefault="00325552" w:rsidP="00325552">
      <w:pPr>
        <w:jc w:val="both"/>
        <w:rPr>
          <w:lang w:val="de-DE"/>
        </w:rPr>
      </w:pPr>
    </w:p>
    <w:p w14:paraId="523B9964" w14:textId="4352BECE"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dem Tag, an dem der Gruppenvertreter gemäß Artikel XVII.48 den Richter davon in Kenntnis gesetzt hat, dass keine Vereinbarung abgeschlossen wurde,</w:t>
      </w:r>
    </w:p>
    <w:p w14:paraId="53787AE7" w14:textId="77777777" w:rsidR="00325552" w:rsidRPr="004676F5" w:rsidRDefault="00325552" w:rsidP="00325552">
      <w:pPr>
        <w:jc w:val="both"/>
        <w:rPr>
          <w:lang w:val="de-DE"/>
        </w:rPr>
      </w:pPr>
    </w:p>
    <w:p w14:paraId="500FC722" w14:textId="2CE8F543"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dem Tag, an dem die Frist, die der Richter in Anwendung von Artikel XVII.43 § 2 Nr. 8 in seiner Zulässigkeitsentscheidung festgelegt hat, gegebenenfalls in Anwendung von Artikel XVII.45 § 1 verlängert, abgelaufen ist,</w:t>
      </w:r>
    </w:p>
    <w:p w14:paraId="08574DAE" w14:textId="77777777" w:rsidR="00325552" w:rsidRPr="004676F5" w:rsidRDefault="00325552" w:rsidP="00325552">
      <w:pPr>
        <w:jc w:val="both"/>
        <w:rPr>
          <w:lang w:val="de-DE"/>
        </w:rPr>
      </w:pPr>
    </w:p>
    <w:p w14:paraId="184BB606" w14:textId="5F1214E7"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 xml:space="preserve">dem Tag, an dem die Kanzlei gemäß Artikel 792 des Gerichtsgesetzbuches die Entscheidung des Richters, in Anwendung von Artikel XVII.49 § 2 die kollektive Schadenersatzvereinbarung nicht zu homologieren, notifiziert hat. </w:t>
      </w:r>
    </w:p>
    <w:p w14:paraId="2B92C54B" w14:textId="77777777" w:rsidR="00325552" w:rsidRPr="004676F5" w:rsidRDefault="00325552" w:rsidP="00325552">
      <w:pPr>
        <w:jc w:val="both"/>
        <w:rPr>
          <w:lang w:val="de-DE"/>
        </w:rPr>
      </w:pPr>
    </w:p>
    <w:p w14:paraId="38A7A22B" w14:textId="77777777" w:rsidR="00325552" w:rsidRPr="004676F5" w:rsidRDefault="00325552" w:rsidP="00325552">
      <w:pPr>
        <w:jc w:val="both"/>
        <w:rPr>
          <w:lang w:val="de-DE"/>
        </w:rPr>
      </w:pPr>
      <w:r w:rsidRPr="004676F5">
        <w:rPr>
          <w:lang w:val="de-DE"/>
        </w:rPr>
        <w:tab/>
        <w:t>In dieser Sitzung legt der Richter die Fristen für die Untersuchung und die Entscheidung in der Sache fest.</w:t>
      </w:r>
    </w:p>
    <w:p w14:paraId="12050FE2" w14:textId="77777777" w:rsidR="00325552" w:rsidRPr="004676F5" w:rsidRDefault="00325552" w:rsidP="00325552">
      <w:pPr>
        <w:jc w:val="both"/>
        <w:rPr>
          <w:lang w:val="de-DE"/>
        </w:rPr>
      </w:pPr>
    </w:p>
    <w:p w14:paraId="673F16C8" w14:textId="77777777" w:rsidR="006367D3" w:rsidRPr="004676F5" w:rsidRDefault="006367D3" w:rsidP="00325552">
      <w:pPr>
        <w:jc w:val="both"/>
        <w:rPr>
          <w:lang w:val="de-DE"/>
        </w:rPr>
      </w:pPr>
    </w:p>
    <w:p w14:paraId="7A59F402" w14:textId="52A631B3" w:rsidR="00325552" w:rsidRPr="004676F5" w:rsidRDefault="00325552" w:rsidP="00325552">
      <w:pPr>
        <w:jc w:val="both"/>
        <w:rPr>
          <w:lang w:val="de-DE"/>
        </w:rPr>
      </w:pPr>
      <w:r w:rsidRPr="004676F5">
        <w:rPr>
          <w:lang w:val="de-DE"/>
        </w:rPr>
        <w:lastRenderedPageBreak/>
        <w:tab/>
      </w:r>
      <w:r w:rsidR="00BE0A56" w:rsidRPr="004676F5">
        <w:rPr>
          <w:b/>
          <w:lang w:val="de-DE"/>
        </w:rPr>
        <w:t>Art. </w:t>
      </w:r>
      <w:r w:rsidRPr="004676F5">
        <w:rPr>
          <w:b/>
          <w:lang w:val="de-DE"/>
        </w:rPr>
        <w:t>XVII.54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Entscheidung des Richters zur Sache, mit der dem Beklagten eine Verpflichtung zum kollektiven Schadenersatz auferlegt wird, enthält mindestens folgende Angaben:</w:t>
      </w:r>
    </w:p>
    <w:p w14:paraId="67F2EC82" w14:textId="77777777" w:rsidR="00325552" w:rsidRPr="004676F5" w:rsidRDefault="00325552" w:rsidP="00325552">
      <w:pPr>
        <w:jc w:val="both"/>
        <w:rPr>
          <w:lang w:val="de-DE"/>
        </w:rPr>
      </w:pPr>
    </w:p>
    <w:p w14:paraId="6D6813C3" w14:textId="77777777" w:rsidR="00325552" w:rsidRPr="004676F5" w:rsidRDefault="00325552" w:rsidP="00325552">
      <w:pPr>
        <w:jc w:val="both"/>
        <w:rPr>
          <w:lang w:val="de-DE"/>
        </w:rPr>
      </w:pPr>
      <w:r w:rsidRPr="004676F5">
        <w:rPr>
          <w:lang w:val="de-DE"/>
        </w:rPr>
        <w:tab/>
        <w:t>1. Verweis auf die in Artikel XVII.43 erwähnte Zulässigkeitsentscheidung,</w:t>
      </w:r>
    </w:p>
    <w:p w14:paraId="4CCB0631" w14:textId="77777777" w:rsidR="00325552" w:rsidRPr="004676F5" w:rsidRDefault="00325552" w:rsidP="00325552">
      <w:pPr>
        <w:jc w:val="both"/>
        <w:rPr>
          <w:lang w:val="de-DE"/>
        </w:rPr>
      </w:pPr>
    </w:p>
    <w:p w14:paraId="23B96470" w14:textId="77777777" w:rsidR="00325552" w:rsidRPr="004676F5" w:rsidRDefault="00325552" w:rsidP="00325552">
      <w:pPr>
        <w:jc w:val="both"/>
        <w:rPr>
          <w:lang w:val="de-DE"/>
        </w:rPr>
      </w:pPr>
      <w:r w:rsidRPr="004676F5">
        <w:rPr>
          <w:lang w:val="de-DE"/>
        </w:rPr>
        <w:tab/>
        <w:t>2. ausführliche Beschreibung des kollektiven Schadens,</w:t>
      </w:r>
    </w:p>
    <w:p w14:paraId="1A4EDFFA" w14:textId="77777777" w:rsidR="00325552" w:rsidRPr="004676F5" w:rsidRDefault="00325552" w:rsidP="00325552">
      <w:pPr>
        <w:jc w:val="both"/>
        <w:rPr>
          <w:lang w:val="de-DE"/>
        </w:rPr>
      </w:pPr>
    </w:p>
    <w:p w14:paraId="5EF331A4" w14:textId="77777777" w:rsidR="00325552" w:rsidRPr="004676F5" w:rsidRDefault="00325552" w:rsidP="00325552">
      <w:pPr>
        <w:jc w:val="both"/>
        <w:rPr>
          <w:lang w:val="de-DE"/>
        </w:rPr>
      </w:pPr>
      <w:r w:rsidRPr="004676F5">
        <w:rPr>
          <w:lang w:val="de-DE"/>
        </w:rPr>
        <w:tab/>
        <w:t>3. Beschreibung der Gruppe und gegebenenfalls ihrer verschiedenen Unterkategorien und Angabe oder möglichst genaue Schätzung der Anzahl betroffener Verbraucher,</w:t>
      </w:r>
    </w:p>
    <w:p w14:paraId="32C446C8" w14:textId="77777777" w:rsidR="00325552" w:rsidRPr="004676F5" w:rsidRDefault="00325552" w:rsidP="00325552">
      <w:pPr>
        <w:jc w:val="both"/>
        <w:rPr>
          <w:lang w:val="de-DE"/>
        </w:rPr>
      </w:pPr>
    </w:p>
    <w:p w14:paraId="2EDC3735" w14:textId="3A08FD01" w:rsidR="00325552" w:rsidRPr="004676F5" w:rsidRDefault="00325552" w:rsidP="00325552">
      <w:pPr>
        <w:jc w:val="both"/>
        <w:rPr>
          <w:lang w:val="de-DE"/>
        </w:rPr>
      </w:pPr>
      <w:r w:rsidRPr="004676F5">
        <w:rPr>
          <w:lang w:val="de-DE"/>
        </w:rPr>
        <w:tab/>
        <w:t>4. </w:t>
      </w:r>
      <w:r w:rsidR="00F97E05" w:rsidRPr="004676F5">
        <w:rPr>
          <w:lang w:val="de-DE"/>
        </w:rPr>
        <w:t>[für jeden Gruppenvertreter, der in der Sache auftritt, seinen Gesellschaftsnamen, seinen Gesellschaftssitz, gegebenenfalls seine Unternehmensnummer, und Namen und Eigenschaft der Personen, die in seinem Namen unterzeichnen, sowie Gruppe oder Unterkategorie der Gruppe, für die er auftritt,]</w:t>
      </w:r>
    </w:p>
    <w:p w14:paraId="513EA9D8" w14:textId="77777777" w:rsidR="00325552" w:rsidRPr="004676F5" w:rsidRDefault="00325552" w:rsidP="00325552">
      <w:pPr>
        <w:jc w:val="both"/>
        <w:rPr>
          <w:lang w:val="de-DE"/>
        </w:rPr>
      </w:pPr>
    </w:p>
    <w:p w14:paraId="6C06A925" w14:textId="77777777" w:rsidR="00325552" w:rsidRPr="004676F5" w:rsidRDefault="00325552" w:rsidP="00325552">
      <w:pPr>
        <w:jc w:val="both"/>
        <w:rPr>
          <w:lang w:val="de-DE"/>
        </w:rPr>
      </w:pPr>
      <w:r w:rsidRPr="004676F5">
        <w:rPr>
          <w:lang w:val="de-DE"/>
        </w:rPr>
        <w:tab/>
        <w:t>5. Bezeichnung oder Namen und Vornamen des Beklagten, seine Adresse und Unternehmensnummer,</w:t>
      </w:r>
    </w:p>
    <w:p w14:paraId="5693DCF0" w14:textId="77777777" w:rsidR="00325552" w:rsidRPr="004676F5" w:rsidRDefault="00325552" w:rsidP="00325552">
      <w:pPr>
        <w:jc w:val="both"/>
        <w:rPr>
          <w:lang w:val="de-DE"/>
        </w:rPr>
      </w:pPr>
    </w:p>
    <w:p w14:paraId="018FBDA1" w14:textId="24C9732F" w:rsidR="00325552" w:rsidRPr="004676F5" w:rsidRDefault="00325552" w:rsidP="00325552">
      <w:pPr>
        <w:jc w:val="both"/>
        <w:rPr>
          <w:lang w:val="de-DE"/>
        </w:rPr>
      </w:pPr>
      <w:r w:rsidRPr="004676F5">
        <w:rPr>
          <w:lang w:val="de-DE"/>
        </w:rPr>
        <w:tab/>
        <w:t>6. gegebenenfalls zusätzliche Maßnahmen für die Veröffentlichung der Entscheidung zur Sache, wenn der Richter urteilt, dass die in Artikel XVII.55 erwähnten Maßnahmen unzureichend sind</w:t>
      </w:r>
      <w:r w:rsidR="00F97E05" w:rsidRPr="004676F5">
        <w:rPr>
          <w:lang w:val="de-DE"/>
        </w:rPr>
        <w:t>[; wenn der Beklagte die Identität der Geschädigten kennt oder leicht in Erfahrung bringen kann, verurteilt der Richter den Beklagten dazu, die betroffenen Geschädigten einzeln und auf eigene Kosten über die Entscheidung zur Sache zu informieren]</w:t>
      </w:r>
      <w:r w:rsidRPr="004676F5">
        <w:rPr>
          <w:lang w:val="de-DE"/>
        </w:rPr>
        <w:t>,</w:t>
      </w:r>
    </w:p>
    <w:p w14:paraId="026A862F" w14:textId="77777777" w:rsidR="00325552" w:rsidRPr="004676F5" w:rsidRDefault="00325552" w:rsidP="00325552">
      <w:pPr>
        <w:jc w:val="both"/>
        <w:rPr>
          <w:lang w:val="de-DE"/>
        </w:rPr>
      </w:pPr>
    </w:p>
    <w:p w14:paraId="4BAA717F" w14:textId="0D0C5369" w:rsidR="00325552" w:rsidRPr="004676F5" w:rsidRDefault="00325552" w:rsidP="00325552">
      <w:pPr>
        <w:jc w:val="both"/>
        <w:rPr>
          <w:lang w:val="de-DE"/>
        </w:rPr>
      </w:pPr>
      <w:r w:rsidRPr="004676F5">
        <w:rPr>
          <w:lang w:val="de-DE"/>
        </w:rPr>
        <w:tab/>
        <w:t>7. Modalitäten und Betrag des Schadenersatzes; wird der Schaden durch Äquivalent ersetzt, urteilt der Richter je nach den Umständen des Falls, ob es zweckmäßig ist, einen globalen Entschädigungsbetrag, gegebenenfalls pro Unterkategorie, festzulegen, der unter die Mitglieder der Gruppe zu verteilen ist, oder aber einen individualisierten Betrag, der allen Verbrauchern</w:t>
      </w:r>
      <w:r w:rsidR="00820491" w:rsidRPr="004676F5">
        <w:rPr>
          <w:lang w:val="de-DE"/>
        </w:rPr>
        <w:t xml:space="preserve"> [und/oder allen KMU]</w:t>
      </w:r>
      <w:r w:rsidRPr="004676F5">
        <w:rPr>
          <w:lang w:val="de-DE"/>
        </w:rPr>
        <w:t>, die sich melden, zu zahlen ist. Die Modalitäten für den Schadenersatz können je nach den eventuellen Unterkategorien der Gruppe variieren,</w:t>
      </w:r>
    </w:p>
    <w:p w14:paraId="64D0F1DB" w14:textId="77777777" w:rsidR="00325552" w:rsidRPr="004676F5" w:rsidRDefault="00325552" w:rsidP="00325552">
      <w:pPr>
        <w:jc w:val="both"/>
        <w:rPr>
          <w:lang w:val="de-DE"/>
        </w:rPr>
      </w:pPr>
    </w:p>
    <w:p w14:paraId="3EDB528C" w14:textId="66D89AA0" w:rsidR="00325552" w:rsidRPr="004676F5" w:rsidRDefault="00325552" w:rsidP="00325552">
      <w:pPr>
        <w:jc w:val="both"/>
        <w:rPr>
          <w:lang w:val="de-DE"/>
        </w:rPr>
      </w:pPr>
      <w:r w:rsidRPr="004676F5">
        <w:rPr>
          <w:lang w:val="de-DE"/>
        </w:rPr>
        <w:tab/>
        <w:t>8. </w:t>
      </w:r>
      <w:r w:rsidR="00F97E05" w:rsidRPr="004676F5">
        <w:rPr>
          <w:lang w:val="de-DE"/>
        </w:rPr>
        <w:t>[Verweis auf die viermonatige Frist, in der sich betroffene Verbraucher und/oder betroffene KMU an die Kanzlei wenden können, um sich der Gruppe gemäß Artikel XVII.55/1 anzuschließen, sowie dabei zu befolgende Modalitäten,]</w:t>
      </w:r>
    </w:p>
    <w:p w14:paraId="7EFAA597" w14:textId="77777777" w:rsidR="00325552" w:rsidRPr="004676F5" w:rsidRDefault="00325552" w:rsidP="00325552">
      <w:pPr>
        <w:jc w:val="both"/>
        <w:rPr>
          <w:lang w:val="de-DE"/>
        </w:rPr>
      </w:pPr>
    </w:p>
    <w:p w14:paraId="70AF7ECC" w14:textId="77777777" w:rsidR="00325552" w:rsidRPr="004676F5" w:rsidRDefault="00325552" w:rsidP="00325552">
      <w:pPr>
        <w:jc w:val="both"/>
        <w:rPr>
          <w:lang w:val="de-DE"/>
        </w:rPr>
      </w:pPr>
      <w:r w:rsidRPr="004676F5">
        <w:rPr>
          <w:lang w:val="de-DE"/>
        </w:rPr>
        <w:tab/>
        <w:t>9. gegebenenfalls vom Beklagten zu stellende Sicherheiten,</w:t>
      </w:r>
    </w:p>
    <w:p w14:paraId="17A05C83" w14:textId="77777777" w:rsidR="00325552" w:rsidRPr="004676F5" w:rsidRDefault="00325552" w:rsidP="00325552">
      <w:pPr>
        <w:jc w:val="both"/>
        <w:rPr>
          <w:lang w:val="de-DE"/>
        </w:rPr>
      </w:pPr>
    </w:p>
    <w:p w14:paraId="7E09BF90" w14:textId="77777777" w:rsidR="00325552" w:rsidRPr="004676F5" w:rsidRDefault="00325552" w:rsidP="00325552">
      <w:pPr>
        <w:jc w:val="both"/>
        <w:rPr>
          <w:lang w:val="de-DE"/>
        </w:rPr>
      </w:pPr>
      <w:r w:rsidRPr="004676F5">
        <w:rPr>
          <w:lang w:val="de-DE"/>
        </w:rPr>
        <w:tab/>
        <w:t>10. Verfahren zur Revision der kollektiven Schadenersatzentscheidung bei Eintritt voraussehbarer oder nicht voraussehbarer Schäden nach der Entscheidung.</w:t>
      </w:r>
    </w:p>
    <w:p w14:paraId="5706FD6F" w14:textId="77777777" w:rsidR="00325552" w:rsidRPr="004676F5" w:rsidRDefault="00325552" w:rsidP="00325552">
      <w:pPr>
        <w:jc w:val="both"/>
        <w:rPr>
          <w:lang w:val="de-DE"/>
        </w:rPr>
      </w:pPr>
    </w:p>
    <w:p w14:paraId="42356A8F" w14:textId="0189CE2B"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In seiner Entscheidung zur Sache bestimmt der Richter unter den Personen, die in der in Anwendung von Artikel XVII.57 erstellten Liste stehen, einen Schadenregulierer.</w:t>
      </w:r>
    </w:p>
    <w:p w14:paraId="1645C49F" w14:textId="77777777" w:rsidR="00325552" w:rsidRPr="004676F5" w:rsidRDefault="00325552" w:rsidP="00325552">
      <w:pPr>
        <w:jc w:val="both"/>
        <w:rPr>
          <w:lang w:val="de-DE"/>
        </w:rPr>
      </w:pPr>
    </w:p>
    <w:p w14:paraId="0D94C4FB" w14:textId="6ED12879" w:rsidR="00325552" w:rsidRPr="004676F5" w:rsidRDefault="00325552" w:rsidP="00325552">
      <w:pPr>
        <w:jc w:val="both"/>
        <w:rPr>
          <w:lang w:val="de-DE"/>
        </w:rPr>
      </w:pPr>
      <w:r w:rsidRPr="004676F5">
        <w:rPr>
          <w:lang w:val="de-DE"/>
        </w:rPr>
        <w:tab/>
        <w:t>§ 3 </w:t>
      </w:r>
      <w:r w:rsidR="005B7A5C" w:rsidRPr="004676F5">
        <w:rPr>
          <w:lang w:val="de-DE"/>
        </w:rPr>
        <w:t>- </w:t>
      </w:r>
      <w:r w:rsidRPr="004676F5">
        <w:rPr>
          <w:lang w:val="de-DE"/>
        </w:rPr>
        <w:t>Die Entscheidung des Richters zur Sache, mit der der kollektive Schadenersatz durch den Beklagten abgewiesen wird, verweist auf die in Artikel XVII.43 erwähnte Zulässigkeitsentscheidung.</w:t>
      </w:r>
    </w:p>
    <w:p w14:paraId="1F559406" w14:textId="77777777" w:rsidR="00325552" w:rsidRPr="004676F5" w:rsidRDefault="00325552" w:rsidP="00325552">
      <w:pPr>
        <w:jc w:val="both"/>
        <w:rPr>
          <w:lang w:val="de-DE"/>
        </w:rPr>
      </w:pPr>
    </w:p>
    <w:p w14:paraId="311C5E8E" w14:textId="58E84BD9" w:rsidR="00325552" w:rsidRPr="004676F5" w:rsidRDefault="00325552" w:rsidP="00325552">
      <w:pPr>
        <w:jc w:val="both"/>
        <w:rPr>
          <w:lang w:val="de-DE"/>
        </w:rPr>
      </w:pPr>
      <w:r w:rsidRPr="004676F5">
        <w:rPr>
          <w:lang w:val="de-DE"/>
        </w:rPr>
        <w:lastRenderedPageBreak/>
        <w:tab/>
        <w:t>§ 4 </w:t>
      </w:r>
      <w:r w:rsidR="005B7A5C" w:rsidRPr="004676F5">
        <w:rPr>
          <w:lang w:val="de-DE"/>
        </w:rPr>
        <w:t>- </w:t>
      </w:r>
      <w:r w:rsidRPr="004676F5">
        <w:rPr>
          <w:lang w:val="de-DE"/>
        </w:rPr>
        <w:t>Kosten, die mit den in Artikel XVII.43 § 2 Nr. 9 und § 3, Artikel XVII.55 und § 1 Nr. 6 des vorliegenden Artikels erwähnten Veröffentlichungsmaßnahmen verbunden sind, gehen zu Lasten der Partei, die in der Sache unterliegt.</w:t>
      </w:r>
    </w:p>
    <w:p w14:paraId="28644627" w14:textId="77777777" w:rsidR="00325552" w:rsidRPr="004676F5" w:rsidRDefault="00325552" w:rsidP="00325552">
      <w:pPr>
        <w:jc w:val="both"/>
        <w:rPr>
          <w:lang w:val="de-DE"/>
        </w:rPr>
      </w:pPr>
    </w:p>
    <w:p w14:paraId="29E41478" w14:textId="5ED32F71" w:rsidR="00325552" w:rsidRPr="004676F5" w:rsidRDefault="00325552" w:rsidP="00325552">
      <w:pPr>
        <w:jc w:val="both"/>
        <w:rPr>
          <w:lang w:val="de-DE"/>
        </w:rPr>
      </w:pPr>
      <w:r w:rsidRPr="004676F5">
        <w:rPr>
          <w:lang w:val="de-DE"/>
        </w:rPr>
        <w:tab/>
        <w:t>§ 5 </w:t>
      </w:r>
      <w:r w:rsidR="00F97E05" w:rsidRPr="004676F5">
        <w:rPr>
          <w:lang w:val="de-DE"/>
        </w:rPr>
        <w:t>-</w:t>
      </w:r>
      <w:r w:rsidR="005B7A5C" w:rsidRPr="004676F5">
        <w:rPr>
          <w:lang w:val="de-DE"/>
        </w:rPr>
        <w:t> </w:t>
      </w:r>
      <w:r w:rsidR="00F97E05" w:rsidRPr="004676F5">
        <w:rPr>
          <w:lang w:val="de-DE"/>
        </w:rPr>
        <w:t>[...]</w:t>
      </w:r>
    </w:p>
    <w:p w14:paraId="2DF21251" w14:textId="651E5C55" w:rsidR="00325552" w:rsidRPr="004676F5" w:rsidRDefault="00325552" w:rsidP="00325552">
      <w:pPr>
        <w:jc w:val="both"/>
        <w:rPr>
          <w:lang w:val="de-DE"/>
        </w:rPr>
      </w:pPr>
    </w:p>
    <w:p w14:paraId="58C92722" w14:textId="74DF0898" w:rsidR="00820491" w:rsidRPr="004676F5" w:rsidRDefault="00820491" w:rsidP="00325552">
      <w:pPr>
        <w:jc w:val="both"/>
        <w:rPr>
          <w:i/>
          <w:lang w:val="de-DE"/>
        </w:rPr>
      </w:pPr>
      <w:r w:rsidRPr="004676F5">
        <w:rPr>
          <w:i/>
          <w:lang w:val="de-DE"/>
        </w:rPr>
        <w:t>[Art. XVII.54</w:t>
      </w:r>
      <w:r w:rsidR="00F97E05" w:rsidRPr="004676F5">
        <w:rPr>
          <w:i/>
          <w:lang w:val="de-DE"/>
        </w:rPr>
        <w:t xml:space="preserve"> § 1 einziger Absatz Nr. 4 ersetzt durch </w:t>
      </w:r>
      <w:r w:rsidR="00F97E05" w:rsidRPr="004676F5">
        <w:rPr>
          <w:i/>
          <w:iCs/>
          <w:lang w:val="de-DE"/>
        </w:rPr>
        <w:t>Art. 32 Buchstabe a) des G. vom 21. April 2024 (II) (B.S. vom 31. Mai 2024)</w:t>
      </w:r>
      <w:r w:rsidR="00F97E05" w:rsidRPr="004676F5">
        <w:rPr>
          <w:i/>
          <w:lang w:val="de-DE"/>
        </w:rPr>
        <w:t xml:space="preserve">; § 1 einziger Absatz Nr. 6 abgeändert durch </w:t>
      </w:r>
      <w:r w:rsidR="00F97E05" w:rsidRPr="004676F5">
        <w:rPr>
          <w:i/>
          <w:iCs/>
          <w:lang w:val="de-DE"/>
        </w:rPr>
        <w:t>Art. 32 Buchstabe b) des G. vom 21. April 2024 (II) (B.S. vom 31. Mai 2024);</w:t>
      </w:r>
      <w:r w:rsidR="00F97E05" w:rsidRPr="004676F5">
        <w:rPr>
          <w:i/>
          <w:lang w:val="de-DE"/>
        </w:rPr>
        <w:t xml:space="preserve"> </w:t>
      </w:r>
      <w:r w:rsidRPr="004676F5">
        <w:rPr>
          <w:i/>
          <w:lang w:val="de-DE"/>
        </w:rPr>
        <w:t>§ 1 einziger Absatz Nr. 7 abgeändert durch Art. 7 Nr. 1 des G. vom 30.</w:t>
      </w:r>
      <w:r w:rsidR="00EF2332">
        <w:rPr>
          <w:i/>
          <w:lang w:val="de-DE"/>
        </w:rPr>
        <w:t> </w:t>
      </w:r>
      <w:r w:rsidRPr="004676F5">
        <w:rPr>
          <w:i/>
          <w:lang w:val="de-DE"/>
        </w:rPr>
        <w:t>März</w:t>
      </w:r>
      <w:r w:rsidR="00EF2332">
        <w:rPr>
          <w:i/>
          <w:lang w:val="de-DE"/>
        </w:rPr>
        <w:t> </w:t>
      </w:r>
      <w:r w:rsidRPr="004676F5">
        <w:rPr>
          <w:i/>
          <w:lang w:val="de-DE"/>
        </w:rPr>
        <w:t>2018 (B.S. vom 22.</w:t>
      </w:r>
      <w:r w:rsidR="00EF2332">
        <w:rPr>
          <w:i/>
          <w:lang w:val="de-DE"/>
        </w:rPr>
        <w:t> </w:t>
      </w:r>
      <w:r w:rsidRPr="004676F5">
        <w:rPr>
          <w:i/>
          <w:lang w:val="de-DE"/>
        </w:rPr>
        <w:t>Mai</w:t>
      </w:r>
      <w:r w:rsidR="00EF2332">
        <w:rPr>
          <w:i/>
          <w:lang w:val="de-DE"/>
        </w:rPr>
        <w:t> </w:t>
      </w:r>
      <w:r w:rsidRPr="004676F5">
        <w:rPr>
          <w:i/>
          <w:lang w:val="de-DE"/>
        </w:rPr>
        <w:t xml:space="preserve">2018); </w:t>
      </w:r>
      <w:r w:rsidR="00F97E05" w:rsidRPr="004676F5">
        <w:rPr>
          <w:i/>
          <w:lang w:val="de-DE"/>
        </w:rPr>
        <w:t xml:space="preserve">§ 1 einziger Absatz Nr. 8 ersetzt durch </w:t>
      </w:r>
      <w:r w:rsidR="00F97E05" w:rsidRPr="004676F5">
        <w:rPr>
          <w:i/>
          <w:iCs/>
          <w:lang w:val="de-DE"/>
        </w:rPr>
        <w:t xml:space="preserve">Art. 32 Buchstabe c) des G. vom 21. April 2024 (II) (B.S. vom 31. Mai 2024); </w:t>
      </w:r>
      <w:r w:rsidRPr="004676F5">
        <w:rPr>
          <w:i/>
          <w:lang w:val="de-DE"/>
        </w:rPr>
        <w:t xml:space="preserve">§ 5 </w:t>
      </w:r>
      <w:r w:rsidR="00F97E05" w:rsidRPr="004676F5">
        <w:rPr>
          <w:i/>
          <w:lang w:val="de-DE"/>
        </w:rPr>
        <w:t xml:space="preserve">aufgehoben </w:t>
      </w:r>
      <w:r w:rsidR="00F97E05" w:rsidRPr="004676F5">
        <w:rPr>
          <w:i/>
          <w:iCs/>
          <w:lang w:val="de-DE"/>
        </w:rPr>
        <w:t>durch Art. 32 Buchstabe d) des G. vom 21. April 2024 (II) (B.S. vom 31. Mai 2024)</w:t>
      </w:r>
      <w:r w:rsidRPr="004676F5">
        <w:rPr>
          <w:i/>
          <w:lang w:val="de-DE"/>
        </w:rPr>
        <w:t>]</w:t>
      </w:r>
    </w:p>
    <w:p w14:paraId="37F698DD" w14:textId="77777777" w:rsidR="00820491" w:rsidRPr="004676F5" w:rsidRDefault="00820491" w:rsidP="00325552">
      <w:pPr>
        <w:jc w:val="both"/>
        <w:rPr>
          <w:i/>
          <w:lang w:val="de-DE"/>
        </w:rPr>
      </w:pPr>
    </w:p>
    <w:p w14:paraId="3AB57548" w14:textId="77777777" w:rsidR="006367D3" w:rsidRPr="004676F5" w:rsidRDefault="006367D3" w:rsidP="00325552">
      <w:pPr>
        <w:jc w:val="both"/>
        <w:rPr>
          <w:lang w:val="de-DE"/>
        </w:rPr>
      </w:pPr>
    </w:p>
    <w:p w14:paraId="5E612C69" w14:textId="1E3774F6"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XVII.55</w:t>
      </w:r>
      <w:r w:rsidRPr="004676F5">
        <w:rPr>
          <w:lang w:val="de-DE"/>
        </w:rPr>
        <w:t> </w:t>
      </w:r>
      <w:r w:rsidR="005B7A5C" w:rsidRPr="004676F5">
        <w:rPr>
          <w:lang w:val="de-DE"/>
        </w:rPr>
        <w:t>- </w:t>
      </w:r>
      <w:r w:rsidR="009C6CEC" w:rsidRPr="004676F5">
        <w:rPr>
          <w:lang w:val="de-DE"/>
        </w:rPr>
        <w:t>[Die Kanzlei übermittelt unverzüglich, gegebenenfalls nach Ablauf der Beschwerde</w:t>
      </w:r>
      <w:r w:rsidR="009C6CEC" w:rsidRPr="004676F5">
        <w:rPr>
          <w:lang w:val="de-DE"/>
        </w:rPr>
        <w:softHyphen/>
        <w:t xml:space="preserve">frist, die Entscheidung des Richters zur Sache in elektronischer Form dem FÖD Wirtschaft, KMB, Mittelstand und Energie, der sie unverzüglich vollständig auf seiner Website veröffentlicht und eine Bekanntmachung im </w:t>
      </w:r>
      <w:r w:rsidR="009C6CEC" w:rsidRPr="004676F5">
        <w:rPr>
          <w:i/>
          <w:lang w:val="de-DE"/>
        </w:rPr>
        <w:t>Belgischen Staatsblatt</w:t>
      </w:r>
      <w:r w:rsidR="009C6CEC" w:rsidRPr="004676F5">
        <w:rPr>
          <w:lang w:val="de-DE"/>
        </w:rPr>
        <w:t xml:space="preserve"> veranlasst, in der das Bezugszeichen der Entscheidung und der Link zu der Seite der Website mit der Veröffentlichung des vollständigen Textes der Entscheidung angegeben sind. Das </w:t>
      </w:r>
      <w:r w:rsidR="009C6CEC" w:rsidRPr="004676F5">
        <w:rPr>
          <w:i/>
          <w:lang w:val="de-DE"/>
        </w:rPr>
        <w:t>Belgische Staatsblatt</w:t>
      </w:r>
      <w:r w:rsidR="009C6CEC" w:rsidRPr="004676F5">
        <w:rPr>
          <w:lang w:val="de-DE"/>
        </w:rPr>
        <w:t xml:space="preserve"> sorgt für die Veröffentlichung dieser Bekanntmachung innerhalb einer Frist von zehn Tagen.]</w:t>
      </w:r>
    </w:p>
    <w:p w14:paraId="50F1AF81" w14:textId="77777777" w:rsidR="00325552" w:rsidRPr="004676F5" w:rsidRDefault="00325552" w:rsidP="00325552">
      <w:pPr>
        <w:jc w:val="both"/>
        <w:rPr>
          <w:lang w:val="de-DE"/>
        </w:rPr>
      </w:pPr>
    </w:p>
    <w:p w14:paraId="62E6CF43" w14:textId="6713825B" w:rsidR="00325552" w:rsidRPr="004676F5" w:rsidRDefault="00325552" w:rsidP="00325552">
      <w:pPr>
        <w:jc w:val="both"/>
        <w:rPr>
          <w:lang w:val="de-DE"/>
        </w:rPr>
      </w:pPr>
      <w:r w:rsidRPr="004676F5">
        <w:rPr>
          <w:lang w:val="de-DE"/>
        </w:rPr>
        <w:tab/>
      </w:r>
      <w:r w:rsidR="00F97E05" w:rsidRPr="004676F5">
        <w:rPr>
          <w:lang w:val="de-DE"/>
        </w:rPr>
        <w:t>[...]</w:t>
      </w:r>
    </w:p>
    <w:p w14:paraId="4BAA30A7" w14:textId="77777777" w:rsidR="00325552" w:rsidRPr="004676F5" w:rsidRDefault="00325552" w:rsidP="00325552">
      <w:pPr>
        <w:jc w:val="both"/>
        <w:rPr>
          <w:lang w:val="de-DE"/>
        </w:rPr>
      </w:pPr>
    </w:p>
    <w:p w14:paraId="5B196569" w14:textId="46D3AE3F" w:rsidR="006367D3" w:rsidRPr="004676F5" w:rsidRDefault="009C6CEC" w:rsidP="00325552">
      <w:pPr>
        <w:jc w:val="both"/>
        <w:rPr>
          <w:rFonts w:eastAsia="Calibri"/>
          <w:i/>
          <w:iCs/>
          <w:kern w:val="2"/>
          <w:lang w:val="de-DE" w:eastAsia="en-US"/>
          <w14:ligatures w14:val="standardContextual"/>
        </w:rPr>
      </w:pPr>
      <w:r w:rsidRPr="004676F5">
        <w:rPr>
          <w:i/>
          <w:iCs/>
          <w:lang w:val="de-DE"/>
        </w:rPr>
        <w:t>[Art. XVII.55 ersetzt durch Art. 16</w:t>
      </w:r>
      <w:r w:rsidRPr="004676F5">
        <w:rPr>
          <w:rFonts w:eastAsia="Calibri"/>
          <w:i/>
          <w:iCs/>
          <w:kern w:val="2"/>
          <w:lang w:val="de-DE" w:eastAsia="en-US"/>
          <w14:ligatures w14:val="standardContextual"/>
        </w:rPr>
        <w:t xml:space="preserve"> des G. vom 2. Februar 2021 (B.S. vom 11. Februar 2021)</w:t>
      </w:r>
      <w:r w:rsidR="00F97E05" w:rsidRPr="004676F5">
        <w:rPr>
          <w:rFonts w:eastAsia="Calibri"/>
          <w:i/>
          <w:iCs/>
          <w:kern w:val="2"/>
          <w:lang w:val="de-DE" w:eastAsia="en-US"/>
          <w14:ligatures w14:val="standardContextual"/>
        </w:rPr>
        <w:t>; früherer Absatz 2 aufgehoben durch Art. 3</w:t>
      </w:r>
      <w:r w:rsidR="00EF2332">
        <w:rPr>
          <w:rFonts w:eastAsia="Calibri"/>
          <w:i/>
          <w:iCs/>
          <w:kern w:val="2"/>
          <w:lang w:val="de-DE" w:eastAsia="en-US"/>
          <w14:ligatures w14:val="standardContextual"/>
        </w:rPr>
        <w:t>3</w:t>
      </w:r>
      <w:r w:rsidR="00F97E05" w:rsidRPr="004676F5">
        <w:rPr>
          <w:rFonts w:eastAsia="Calibri"/>
          <w:i/>
          <w:iCs/>
          <w:kern w:val="2"/>
          <w:lang w:val="de-DE" w:eastAsia="en-US"/>
          <w14:ligatures w14:val="standardContextual"/>
        </w:rPr>
        <w:t xml:space="preserve"> des G. vom 21. April 2024 (II) (B.S. vom 31. Mai 2024)</w:t>
      </w:r>
      <w:r w:rsidRPr="004676F5">
        <w:rPr>
          <w:rFonts w:eastAsia="Calibri"/>
          <w:i/>
          <w:iCs/>
          <w:kern w:val="2"/>
          <w:lang w:val="de-DE" w:eastAsia="en-US"/>
          <w14:ligatures w14:val="standardContextual"/>
        </w:rPr>
        <w:t>]</w:t>
      </w:r>
    </w:p>
    <w:p w14:paraId="5B05D241" w14:textId="77777777" w:rsidR="009C6CEC" w:rsidRPr="004676F5" w:rsidRDefault="009C6CEC" w:rsidP="00325552">
      <w:pPr>
        <w:jc w:val="both"/>
        <w:rPr>
          <w:rFonts w:eastAsia="Calibri"/>
          <w:i/>
          <w:iCs/>
          <w:kern w:val="2"/>
          <w:lang w:val="de-DE" w:eastAsia="en-US"/>
          <w14:ligatures w14:val="standardContextual"/>
        </w:rPr>
      </w:pPr>
    </w:p>
    <w:p w14:paraId="7F959F47" w14:textId="77777777" w:rsidR="00F97E05" w:rsidRPr="004676F5" w:rsidRDefault="00F97E05" w:rsidP="00325552">
      <w:pPr>
        <w:jc w:val="both"/>
        <w:rPr>
          <w:rFonts w:eastAsia="Calibri"/>
          <w:i/>
          <w:iCs/>
          <w:kern w:val="2"/>
          <w:lang w:val="de-DE" w:eastAsia="en-US"/>
          <w14:ligatures w14:val="standardContextual"/>
        </w:rPr>
      </w:pPr>
    </w:p>
    <w:p w14:paraId="5796FC6D" w14:textId="389C07AA" w:rsidR="00F97E05" w:rsidRPr="004676F5" w:rsidRDefault="00F97E05" w:rsidP="00F97E05">
      <w:pPr>
        <w:jc w:val="both"/>
        <w:rPr>
          <w:rFonts w:eastAsia="Calibri"/>
          <w:kern w:val="2"/>
          <w:lang w:val="de-DE" w:eastAsia="en-US"/>
          <w14:ligatures w14:val="standardContextual"/>
        </w:rPr>
      </w:pPr>
      <w:r w:rsidRPr="004676F5">
        <w:rPr>
          <w:rFonts w:eastAsia="Calibri"/>
          <w:kern w:val="2"/>
          <w:lang w:val="de-DE" w:eastAsia="en-US"/>
          <w14:ligatures w14:val="standardContextual"/>
        </w:rPr>
        <w:tab/>
        <w:t>[</w:t>
      </w:r>
      <w:r w:rsidRPr="004676F5">
        <w:rPr>
          <w:rFonts w:eastAsia="Calibri"/>
          <w:b/>
          <w:bCs/>
          <w:kern w:val="2"/>
          <w:lang w:val="de-DE" w:eastAsia="en-US"/>
          <w14:ligatures w14:val="standardContextual"/>
        </w:rPr>
        <w:t>Art. XVII.55/1</w:t>
      </w:r>
      <w:r w:rsidRPr="004676F5">
        <w:rPr>
          <w:rFonts w:eastAsia="Calibri"/>
          <w:kern w:val="2"/>
          <w:lang w:val="de-DE" w:eastAsia="en-US"/>
          <w14:ligatures w14:val="standardContextual"/>
        </w:rPr>
        <w:t xml:space="preserve"> - § 1 - Betroffene Geschädigte, Verbraucher und/oder KMU, die die Entscheidung des Richters zur Sache geltend machen möchten, mit der dem Beklagten eine Verpflichtung zum Schadenersatz auferlegt wird, verfügen über eine Frist von vier Monaten, um sich bei der Kanzlei im Hinblick auf den Anschluss an die Gruppe zu melden.</w:t>
      </w:r>
    </w:p>
    <w:p w14:paraId="565EBC7C" w14:textId="77777777" w:rsidR="00F97E05" w:rsidRPr="004676F5" w:rsidRDefault="00F97E05" w:rsidP="00F97E05">
      <w:pPr>
        <w:jc w:val="both"/>
        <w:rPr>
          <w:rFonts w:eastAsia="Calibri"/>
          <w:kern w:val="2"/>
          <w:lang w:val="de-DE" w:eastAsia="en-US"/>
          <w14:ligatures w14:val="standardContextual"/>
        </w:rPr>
      </w:pPr>
    </w:p>
    <w:p w14:paraId="0B71C78D" w14:textId="77777777" w:rsidR="00F97E05" w:rsidRPr="004676F5" w:rsidRDefault="00F97E05" w:rsidP="00F97E05">
      <w:pPr>
        <w:jc w:val="both"/>
        <w:rPr>
          <w:rFonts w:eastAsia="Calibri"/>
          <w:kern w:val="2"/>
          <w:lang w:val="de-DE" w:eastAsia="en-US"/>
          <w14:ligatures w14:val="standardContextual"/>
        </w:rPr>
      </w:pPr>
      <w:r w:rsidRPr="004676F5">
        <w:rPr>
          <w:rFonts w:eastAsia="Calibri"/>
          <w:kern w:val="2"/>
          <w:lang w:val="de-DE" w:eastAsia="en-US"/>
          <w14:ligatures w14:val="standardContextual"/>
        </w:rPr>
        <w:tab/>
        <w:t>Der König kann bestimmen, auf welche Weise Verbraucher und/oder KMU der Kanzlei ihre Option mitteilen können.</w:t>
      </w:r>
    </w:p>
    <w:p w14:paraId="27013248" w14:textId="77777777" w:rsidR="00F97E05" w:rsidRPr="004676F5" w:rsidRDefault="00F97E05" w:rsidP="00F97E05">
      <w:pPr>
        <w:jc w:val="both"/>
        <w:rPr>
          <w:rFonts w:eastAsia="Calibri"/>
          <w:kern w:val="2"/>
          <w:lang w:val="de-DE" w:eastAsia="en-US"/>
          <w14:ligatures w14:val="standardContextual"/>
        </w:rPr>
      </w:pPr>
    </w:p>
    <w:p w14:paraId="73F2C7A0" w14:textId="77777777" w:rsidR="00F97E05" w:rsidRPr="004676F5" w:rsidRDefault="00F97E05" w:rsidP="00F97E05">
      <w:pPr>
        <w:jc w:val="both"/>
        <w:rPr>
          <w:rFonts w:eastAsia="Calibri"/>
          <w:kern w:val="2"/>
          <w:lang w:val="de-DE" w:eastAsia="en-US"/>
          <w14:ligatures w14:val="standardContextual"/>
        </w:rPr>
      </w:pPr>
      <w:r w:rsidRPr="004676F5">
        <w:rPr>
          <w:rFonts w:eastAsia="Calibri"/>
          <w:kern w:val="2"/>
          <w:lang w:val="de-DE" w:eastAsia="en-US"/>
          <w14:ligatures w14:val="standardContextual"/>
        </w:rPr>
        <w:tab/>
        <w:t>Die Mitglieder der Gruppe sind infolge der Ausübung ihres Optionsrechtes an die Entscheidung zur Sache gebunden.</w:t>
      </w:r>
    </w:p>
    <w:p w14:paraId="43E12C4D" w14:textId="77777777" w:rsidR="00F97E05" w:rsidRPr="004676F5" w:rsidRDefault="00F97E05" w:rsidP="00F97E05">
      <w:pPr>
        <w:jc w:val="both"/>
        <w:rPr>
          <w:rFonts w:eastAsia="Calibri"/>
          <w:kern w:val="2"/>
          <w:lang w:val="de-DE" w:eastAsia="en-US"/>
          <w14:ligatures w14:val="standardContextual"/>
        </w:rPr>
      </w:pPr>
    </w:p>
    <w:p w14:paraId="306D6475" w14:textId="77777777" w:rsidR="00F97E05" w:rsidRPr="004676F5" w:rsidRDefault="00F97E05" w:rsidP="00F97E05">
      <w:pPr>
        <w:jc w:val="both"/>
        <w:rPr>
          <w:rFonts w:eastAsia="Calibri"/>
          <w:kern w:val="2"/>
          <w:lang w:val="de-DE" w:eastAsia="en-US"/>
          <w14:ligatures w14:val="standardContextual"/>
        </w:rPr>
      </w:pPr>
      <w:r w:rsidRPr="004676F5">
        <w:rPr>
          <w:rFonts w:eastAsia="Calibri"/>
          <w:kern w:val="2"/>
          <w:lang w:val="de-DE" w:eastAsia="en-US"/>
          <w14:ligatures w14:val="standardContextual"/>
        </w:rPr>
        <w:tab/>
        <w:t>Die Ausübung des Optionsrechtes durch den Verbraucher und/oder das KMU ist unwiderruflich.</w:t>
      </w:r>
    </w:p>
    <w:p w14:paraId="6FB3B837" w14:textId="77777777" w:rsidR="00F97E05" w:rsidRPr="004676F5" w:rsidRDefault="00F97E05" w:rsidP="00F97E05">
      <w:pPr>
        <w:jc w:val="both"/>
        <w:rPr>
          <w:rFonts w:eastAsia="Calibri"/>
          <w:kern w:val="2"/>
          <w:lang w:val="de-DE" w:eastAsia="en-US"/>
          <w14:ligatures w14:val="standardContextual"/>
        </w:rPr>
      </w:pPr>
    </w:p>
    <w:p w14:paraId="5CAEFC68" w14:textId="77777777" w:rsidR="00F97E05" w:rsidRPr="004676F5" w:rsidRDefault="00F97E05" w:rsidP="00F97E05">
      <w:pPr>
        <w:jc w:val="both"/>
        <w:rPr>
          <w:rFonts w:eastAsia="Calibri"/>
          <w:kern w:val="2"/>
          <w:lang w:val="de-DE" w:eastAsia="en-US"/>
          <w14:ligatures w14:val="standardContextual"/>
        </w:rPr>
      </w:pPr>
      <w:r w:rsidRPr="004676F5">
        <w:rPr>
          <w:rFonts w:eastAsia="Calibri"/>
          <w:kern w:val="2"/>
          <w:lang w:val="de-DE" w:eastAsia="en-US"/>
          <w14:ligatures w14:val="standardContextual"/>
        </w:rPr>
        <w:tab/>
        <w:t xml:space="preserve">Die in Absatz 1 erwähnte Frist von vier Monaten läuft ab dem Tag nach der gemäß Artikel XVII.55 erfolgten Veröffentlichung der Entscheidung des Richters zur Sache, mit der dem Beklagten eine Verpflichtung zum kollektiven Schadenersatz auferlegt wird, im </w:t>
      </w:r>
      <w:r w:rsidRPr="004676F5">
        <w:rPr>
          <w:rFonts w:eastAsia="Calibri"/>
          <w:i/>
          <w:iCs/>
          <w:kern w:val="2"/>
          <w:lang w:val="de-DE" w:eastAsia="en-US"/>
          <w14:ligatures w14:val="standardContextual"/>
        </w:rPr>
        <w:t>Belgischen Staatsblatt</w:t>
      </w:r>
      <w:r w:rsidRPr="004676F5">
        <w:rPr>
          <w:rFonts w:eastAsia="Calibri"/>
          <w:kern w:val="2"/>
          <w:lang w:val="de-DE" w:eastAsia="en-US"/>
          <w14:ligatures w14:val="standardContextual"/>
        </w:rPr>
        <w:t>.</w:t>
      </w:r>
    </w:p>
    <w:p w14:paraId="4016074F" w14:textId="77777777" w:rsidR="00F97E05" w:rsidRPr="004676F5" w:rsidRDefault="00F97E05" w:rsidP="00F97E05">
      <w:pPr>
        <w:jc w:val="both"/>
        <w:rPr>
          <w:rFonts w:eastAsia="Calibri"/>
          <w:kern w:val="2"/>
          <w:lang w:val="de-DE" w:eastAsia="en-US"/>
          <w14:ligatures w14:val="standardContextual"/>
        </w:rPr>
      </w:pPr>
    </w:p>
    <w:p w14:paraId="28234043" w14:textId="77777777" w:rsidR="00F97E05" w:rsidRPr="004676F5" w:rsidRDefault="00F97E05" w:rsidP="00F97E05">
      <w:pPr>
        <w:jc w:val="both"/>
        <w:rPr>
          <w:rFonts w:eastAsia="Calibri"/>
          <w:kern w:val="2"/>
          <w:lang w:val="de-DE" w:eastAsia="en-US"/>
          <w14:ligatures w14:val="standardContextual"/>
        </w:rPr>
      </w:pPr>
      <w:r w:rsidRPr="004676F5">
        <w:rPr>
          <w:rFonts w:eastAsia="Calibri"/>
          <w:kern w:val="2"/>
          <w:lang w:val="de-DE" w:eastAsia="en-US"/>
          <w14:ligatures w14:val="standardContextual"/>
        </w:rPr>
        <w:lastRenderedPageBreak/>
        <w:tab/>
        <w:t>Nach Ablauf der in Absatz 1 erwähnten Frist findet Artikel XVII.58 Anwendung.</w:t>
      </w:r>
    </w:p>
    <w:p w14:paraId="6B6506A8" w14:textId="77777777" w:rsidR="00F97E05" w:rsidRPr="004676F5" w:rsidRDefault="00F97E05" w:rsidP="00F97E05">
      <w:pPr>
        <w:jc w:val="both"/>
        <w:rPr>
          <w:rFonts w:eastAsia="Calibri"/>
          <w:kern w:val="2"/>
          <w:lang w:val="de-DE" w:eastAsia="en-US"/>
          <w14:ligatures w14:val="standardContextual"/>
        </w:rPr>
      </w:pPr>
    </w:p>
    <w:p w14:paraId="3A3C8659" w14:textId="1DBD3D57" w:rsidR="00F97E05" w:rsidRPr="004676F5" w:rsidRDefault="00F97E05" w:rsidP="00F97E05">
      <w:pPr>
        <w:jc w:val="both"/>
        <w:rPr>
          <w:rFonts w:eastAsia="Calibri"/>
          <w:kern w:val="2"/>
          <w:lang w:val="de-DE" w:eastAsia="en-US"/>
          <w14:ligatures w14:val="standardContextual"/>
        </w:rPr>
      </w:pPr>
      <w:r w:rsidRPr="004676F5">
        <w:rPr>
          <w:rFonts w:eastAsia="Calibri"/>
          <w:kern w:val="2"/>
          <w:lang w:val="de-DE" w:eastAsia="en-US"/>
          <w14:ligatures w14:val="standardContextual"/>
        </w:rPr>
        <w:tab/>
        <w:t>§ 2 - Im Hinblick auf den kollektiven Schadenersatz kann die Gruppe in Unterkategorien unterteilt werden.]</w:t>
      </w:r>
    </w:p>
    <w:p w14:paraId="384CB99D" w14:textId="77777777" w:rsidR="00F97E05" w:rsidRPr="004676F5" w:rsidRDefault="00F97E05" w:rsidP="00325552">
      <w:pPr>
        <w:jc w:val="both"/>
        <w:rPr>
          <w:rFonts w:eastAsia="Calibri"/>
          <w:i/>
          <w:iCs/>
          <w:kern w:val="2"/>
          <w:lang w:val="de-DE" w:eastAsia="en-US"/>
          <w14:ligatures w14:val="standardContextual"/>
        </w:rPr>
      </w:pPr>
    </w:p>
    <w:p w14:paraId="3EF5D2D9" w14:textId="7D6F191A" w:rsidR="00F97E05" w:rsidRPr="004676F5" w:rsidRDefault="00F97E05" w:rsidP="0032555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w:t>
      </w:r>
      <w:r w:rsidR="004932B6" w:rsidRPr="004676F5">
        <w:rPr>
          <w:rFonts w:eastAsia="Calibri"/>
          <w:i/>
          <w:iCs/>
          <w:kern w:val="2"/>
          <w:lang w:val="de-DE" w:eastAsia="en-US"/>
          <w14:ligatures w14:val="standardContextual"/>
        </w:rPr>
        <w:t> </w:t>
      </w:r>
      <w:r w:rsidRPr="004676F5">
        <w:rPr>
          <w:rFonts w:eastAsia="Calibri"/>
          <w:i/>
          <w:iCs/>
          <w:kern w:val="2"/>
          <w:lang w:val="de-DE" w:eastAsia="en-US"/>
          <w14:ligatures w14:val="standardContextual"/>
        </w:rPr>
        <w:t>XVII.55/1 eingefügt durch Art. 34 des G. vom 21. April 2024 (II) (B.S. vom 31. Mai 2024)]</w:t>
      </w:r>
    </w:p>
    <w:p w14:paraId="404D1A4F" w14:textId="77777777" w:rsidR="009C6CEC" w:rsidRPr="004676F5" w:rsidRDefault="009C6CEC" w:rsidP="00325552">
      <w:pPr>
        <w:jc w:val="both"/>
        <w:rPr>
          <w:i/>
          <w:iCs/>
          <w:lang w:val="de-DE"/>
        </w:rPr>
      </w:pPr>
    </w:p>
    <w:p w14:paraId="68E94F97" w14:textId="77777777" w:rsidR="00F97E05" w:rsidRPr="004676F5" w:rsidRDefault="00F97E05" w:rsidP="00325552">
      <w:pPr>
        <w:jc w:val="both"/>
        <w:rPr>
          <w:i/>
          <w:iCs/>
          <w:lang w:val="de-DE"/>
        </w:rPr>
      </w:pPr>
    </w:p>
    <w:p w14:paraId="785458D0" w14:textId="0DFEBCAC"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XVII.56</w:t>
      </w:r>
      <w:r w:rsidRPr="004676F5">
        <w:rPr>
          <w:lang w:val="de-DE"/>
        </w:rPr>
        <w:t> </w:t>
      </w:r>
      <w:r w:rsidR="005B7A5C" w:rsidRPr="004676F5">
        <w:rPr>
          <w:lang w:val="de-DE"/>
        </w:rPr>
        <w:t>- </w:t>
      </w:r>
      <w:r w:rsidRPr="004676F5">
        <w:rPr>
          <w:lang w:val="de-DE"/>
        </w:rPr>
        <w:t xml:space="preserve">Jederzeit während des in den Artikeln XVII.51 </w:t>
      </w:r>
      <w:r w:rsidRPr="004676F5">
        <w:rPr>
          <w:i/>
          <w:lang w:val="de-DE"/>
        </w:rPr>
        <w:t>[sic, zu lesen ist: Artikel XVII.52]</w:t>
      </w:r>
      <w:r w:rsidRPr="004676F5">
        <w:rPr>
          <w:lang w:val="de-DE"/>
        </w:rPr>
        <w:t xml:space="preserve"> bis XVII.54 erwähnten Verfahrens zur Sache und solange der Richter die in </w:t>
      </w:r>
      <w:r w:rsidR="00F14498" w:rsidRPr="004676F5">
        <w:rPr>
          <w:lang w:val="de-DE"/>
        </w:rPr>
        <w:t>[</w:t>
      </w:r>
      <w:r w:rsidRPr="004676F5">
        <w:rPr>
          <w:lang w:val="de-DE"/>
        </w:rPr>
        <w:t>Artikel XVII.5</w:t>
      </w:r>
      <w:r w:rsidR="00F14498" w:rsidRPr="004676F5">
        <w:rPr>
          <w:lang w:val="de-DE"/>
        </w:rPr>
        <w:t>4]</w:t>
      </w:r>
      <w:r w:rsidRPr="004676F5">
        <w:rPr>
          <w:lang w:val="de-DE"/>
        </w:rPr>
        <w:t xml:space="preserve"> § 1 erwähnte Entscheidung nicht getroffen hat, können die Parteien eine kollektive Schadenersatzvereinbarung abschließen und sie dem Richter im Hinblick auf ihre Homologierung vorlegen. Diese verläuft gemäß den Artikeln XVII.49 bis XVII.51.</w:t>
      </w:r>
    </w:p>
    <w:p w14:paraId="3BBC85D9" w14:textId="4A679B24" w:rsidR="00F14498" w:rsidRPr="004676F5" w:rsidRDefault="00F14498" w:rsidP="00325552">
      <w:pPr>
        <w:jc w:val="both"/>
        <w:rPr>
          <w:lang w:val="de-DE"/>
        </w:rPr>
      </w:pPr>
    </w:p>
    <w:p w14:paraId="03B78E98" w14:textId="3412A460" w:rsidR="00F14498" w:rsidRPr="004676F5" w:rsidRDefault="00F14498" w:rsidP="00325552">
      <w:pPr>
        <w:jc w:val="both"/>
        <w:rPr>
          <w:i/>
          <w:lang w:val="de-DE"/>
        </w:rPr>
      </w:pPr>
      <w:r w:rsidRPr="004676F5">
        <w:rPr>
          <w:i/>
          <w:lang w:val="de-DE"/>
        </w:rPr>
        <w:t>[Art. XVII.56 abgeändert durch Art. 8 des G. vom 30. März 2018 (B.S. vom 22. Mai 2018)]</w:t>
      </w:r>
    </w:p>
    <w:p w14:paraId="56E02470" w14:textId="77777777" w:rsidR="00325552" w:rsidRPr="004676F5" w:rsidRDefault="00325552" w:rsidP="00325552">
      <w:pPr>
        <w:jc w:val="both"/>
        <w:rPr>
          <w:lang w:val="de-DE"/>
        </w:rPr>
      </w:pPr>
    </w:p>
    <w:p w14:paraId="6FE2C6B5" w14:textId="77777777" w:rsidR="006367D3" w:rsidRPr="004676F5" w:rsidRDefault="006367D3" w:rsidP="00325552">
      <w:pPr>
        <w:jc w:val="both"/>
        <w:rPr>
          <w:lang w:val="de-DE"/>
        </w:rPr>
      </w:pPr>
    </w:p>
    <w:p w14:paraId="69EE0EC7" w14:textId="7F5CA6A2" w:rsidR="00325552" w:rsidRPr="004676F5" w:rsidRDefault="00325552" w:rsidP="00325552">
      <w:pPr>
        <w:jc w:val="center"/>
        <w:rPr>
          <w:lang w:val="de-DE"/>
        </w:rPr>
      </w:pPr>
      <w:r w:rsidRPr="004676F5">
        <w:rPr>
          <w:i/>
          <w:lang w:val="de-DE"/>
        </w:rPr>
        <w:t>Abschnitt 5</w:t>
      </w:r>
      <w:r w:rsidRPr="004676F5">
        <w:rPr>
          <w:lang w:val="de-DE"/>
        </w:rPr>
        <w:t> </w:t>
      </w:r>
      <w:r w:rsidR="005B7A5C" w:rsidRPr="004676F5">
        <w:rPr>
          <w:lang w:val="de-DE"/>
        </w:rPr>
        <w:t>- </w:t>
      </w:r>
      <w:r w:rsidRPr="004676F5">
        <w:rPr>
          <w:lang w:val="de-DE"/>
        </w:rPr>
        <w:t>Ausführung der homologierten Vereinbarung oder der Entscheidung zur Sache</w:t>
      </w:r>
    </w:p>
    <w:p w14:paraId="6CB9E067" w14:textId="77777777" w:rsidR="00325552" w:rsidRPr="004676F5" w:rsidRDefault="00325552" w:rsidP="00325552">
      <w:pPr>
        <w:jc w:val="both"/>
        <w:rPr>
          <w:lang w:val="de-DE"/>
        </w:rPr>
      </w:pPr>
    </w:p>
    <w:p w14:paraId="31E2AFC7" w14:textId="77777777" w:rsidR="006367D3" w:rsidRPr="004676F5" w:rsidRDefault="006367D3" w:rsidP="00325552">
      <w:pPr>
        <w:jc w:val="both"/>
        <w:rPr>
          <w:lang w:val="de-DE"/>
        </w:rPr>
      </w:pPr>
    </w:p>
    <w:p w14:paraId="607E2F8C" w14:textId="095C40AF"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Unter den Personen, die in der Liste stehen, die von der Generalversammlung des Gerichts erstellt wird, das zuständig ist, über eine kollektive Schadenersatzklage zu erkennen, wird ein Schadenregulierer ausgewählt.</w:t>
      </w:r>
    </w:p>
    <w:p w14:paraId="63F2E7EC" w14:textId="77777777" w:rsidR="00325552" w:rsidRPr="004676F5" w:rsidRDefault="00325552" w:rsidP="00325552">
      <w:pPr>
        <w:jc w:val="both"/>
        <w:rPr>
          <w:lang w:val="de-DE"/>
        </w:rPr>
      </w:pPr>
    </w:p>
    <w:p w14:paraId="78B82F4F" w14:textId="77777777" w:rsidR="00325552" w:rsidRPr="004676F5" w:rsidRDefault="00325552" w:rsidP="00325552">
      <w:pPr>
        <w:jc w:val="both"/>
        <w:rPr>
          <w:lang w:val="de-DE"/>
        </w:rPr>
      </w:pPr>
      <w:r w:rsidRPr="004676F5">
        <w:rPr>
          <w:lang w:val="de-DE"/>
        </w:rPr>
        <w:tab/>
        <w:t>In die in Absatz 1 erwähnte Liste dürfen nur Rechtsanwälte, ministerielle Amtsträger oder gerichtliche Mandatsträger in Ausübung ihres Berufs oder ihres Amtes, die Kompetenzgarantien auf dem Gebiet der Schadenregulierung bieten, aufgenommen werden.</w:t>
      </w:r>
    </w:p>
    <w:p w14:paraId="4CFBDD17" w14:textId="77777777" w:rsidR="00325552" w:rsidRPr="004676F5" w:rsidRDefault="00325552" w:rsidP="00325552">
      <w:pPr>
        <w:jc w:val="both"/>
        <w:rPr>
          <w:lang w:val="de-DE"/>
        </w:rPr>
      </w:pPr>
    </w:p>
    <w:p w14:paraId="755D8AB4" w14:textId="75317054"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Der Schadenregulierer gewährleistet die korrekte Ausführung der in Artikel XVII.49 § 2 erwähnten homologierten Vereinbarung oder der in Artikel XVII.54 § 1 erwähnten Entscheidung zur Sache.</w:t>
      </w:r>
    </w:p>
    <w:p w14:paraId="209F02F2" w14:textId="77777777" w:rsidR="00325552" w:rsidRPr="004676F5" w:rsidRDefault="00325552" w:rsidP="00325552">
      <w:pPr>
        <w:jc w:val="both"/>
        <w:rPr>
          <w:lang w:val="de-DE"/>
        </w:rPr>
      </w:pPr>
    </w:p>
    <w:p w14:paraId="0F40B298" w14:textId="77777777" w:rsidR="006367D3" w:rsidRPr="004676F5" w:rsidRDefault="006367D3" w:rsidP="00325552">
      <w:pPr>
        <w:jc w:val="both"/>
        <w:rPr>
          <w:lang w:val="de-DE"/>
        </w:rPr>
      </w:pPr>
    </w:p>
    <w:p w14:paraId="401018EE" w14:textId="0D386F60"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einer angemessenen Frist erstellt der Schadenregulierer auf der Grundlage der Angaben, die die Kanzlei ihm übermittelt, eine vorläufige Liste der Mitglieder der Gruppe, die Schadenersatz erhalten möchten, gegebenenfalls pro Unterkategorie. Diese vorläufige Liste enthält die Angaben der Mitglieder der Gruppe, die sich ausdrücklich gemeldet haben.</w:t>
      </w:r>
    </w:p>
    <w:p w14:paraId="449946A4" w14:textId="77777777" w:rsidR="00325552" w:rsidRPr="004676F5" w:rsidRDefault="00325552" w:rsidP="00325552">
      <w:pPr>
        <w:jc w:val="both"/>
        <w:rPr>
          <w:lang w:val="de-DE"/>
        </w:rPr>
      </w:pPr>
    </w:p>
    <w:p w14:paraId="4737D5CC" w14:textId="77777777" w:rsidR="00325552" w:rsidRPr="004676F5" w:rsidRDefault="00325552" w:rsidP="00325552">
      <w:pPr>
        <w:jc w:val="both"/>
        <w:rPr>
          <w:lang w:val="de-DE"/>
        </w:rPr>
      </w:pPr>
      <w:r w:rsidRPr="004676F5">
        <w:rPr>
          <w:lang w:val="de-DE"/>
        </w:rPr>
        <w:tab/>
        <w:t>Ist der Schadenregulierer der Ansicht, dass ein Mitglied der Gruppe, das sich gemeldet hat, der Beschreibung der Gruppe oder gegebenenfalls einer Unterkategorie oder den vorgeschriebenen Modalitäten nicht entspricht, vermerkt er auf der vorläufigen Liste unter Angabe der Gründe die Beanstandung seiner Eintragung.</w:t>
      </w:r>
    </w:p>
    <w:p w14:paraId="4411D33E" w14:textId="77777777" w:rsidR="00325552" w:rsidRPr="004676F5" w:rsidRDefault="00325552" w:rsidP="00325552">
      <w:pPr>
        <w:jc w:val="both"/>
        <w:rPr>
          <w:lang w:val="de-DE"/>
        </w:rPr>
      </w:pPr>
    </w:p>
    <w:p w14:paraId="7AE1CD15" w14:textId="563DCA71"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Sobald die vorläufige Liste erstellt ist, übermittelt der Schadenregulierer sie dem Richter, dem Gruppenvertreter und dem Beklagten. Gleichzeitig setzt er die Mitglieder der Gruppe, deren Ausschluss er vorschlägt, unter Angabe der Gründe für ihren Ausschluss davon in Kenntnis. Die Liste kann bei der Kanzlei eingesehen werden.</w:t>
      </w:r>
    </w:p>
    <w:p w14:paraId="43859D7C" w14:textId="77777777" w:rsidR="00325552" w:rsidRPr="004676F5" w:rsidRDefault="00325552" w:rsidP="00325552">
      <w:pPr>
        <w:jc w:val="both"/>
        <w:rPr>
          <w:lang w:val="de-DE"/>
        </w:rPr>
      </w:pPr>
    </w:p>
    <w:p w14:paraId="77F76573" w14:textId="6EA63859" w:rsidR="00325552" w:rsidRPr="004676F5" w:rsidRDefault="00325552" w:rsidP="00325552">
      <w:pPr>
        <w:jc w:val="both"/>
        <w:rPr>
          <w:lang w:val="de-DE"/>
        </w:rPr>
      </w:pPr>
      <w:r w:rsidRPr="004676F5">
        <w:rPr>
          <w:lang w:val="de-DE"/>
        </w:rPr>
        <w:lastRenderedPageBreak/>
        <w:tab/>
        <w:t>§ 3 </w:t>
      </w:r>
      <w:r w:rsidR="005B7A5C" w:rsidRPr="004676F5">
        <w:rPr>
          <w:lang w:val="de-DE"/>
        </w:rPr>
        <w:t>- </w:t>
      </w:r>
      <w:r w:rsidRPr="004676F5">
        <w:rPr>
          <w:lang w:val="de-DE"/>
        </w:rPr>
        <w:t>Binnen einer Frist von dreißig Tagen ab Notifizierung der vorläufigen Liste, die auf Antrag des Schadenregulierers oder einer der Parteien vom Richter verlängerbar ist, können der Gruppenvertreter und der Beklagte bei der Kanzlei unter Angabe der Gründe die Eintragung eines Mitglieds der Gruppe in die vorläufige Liste oder seinen Ausschluss aus dieser Liste beanstanden.</w:t>
      </w:r>
    </w:p>
    <w:p w14:paraId="68FBF0F3" w14:textId="77777777" w:rsidR="00325552" w:rsidRPr="004676F5" w:rsidRDefault="00325552" w:rsidP="00325552">
      <w:pPr>
        <w:jc w:val="both"/>
        <w:rPr>
          <w:lang w:val="de-DE"/>
        </w:rPr>
      </w:pPr>
    </w:p>
    <w:p w14:paraId="24578401" w14:textId="77777777" w:rsidR="00325552" w:rsidRPr="004676F5" w:rsidRDefault="00325552" w:rsidP="00325552">
      <w:pPr>
        <w:jc w:val="both"/>
        <w:rPr>
          <w:lang w:val="de-DE"/>
        </w:rPr>
      </w:pPr>
      <w:r w:rsidRPr="004676F5">
        <w:rPr>
          <w:lang w:val="de-DE"/>
        </w:rPr>
        <w:tab/>
        <w:t>Spätestens vierzehn Tage nach Ablauf der in Absatz 1 vorgesehenen Frist setzt die Kanzlei das betroffene Mitglied der Gruppe und den Schadenregulierer unter Angabe der geltend gemachten Gründe davon in Kenntnis.</w:t>
      </w:r>
    </w:p>
    <w:p w14:paraId="4C6FD927" w14:textId="77777777" w:rsidR="00325552" w:rsidRPr="004676F5" w:rsidRDefault="00325552" w:rsidP="00325552">
      <w:pPr>
        <w:jc w:val="both"/>
        <w:rPr>
          <w:lang w:val="de-DE"/>
        </w:rPr>
      </w:pPr>
    </w:p>
    <w:p w14:paraId="79EA8F3F" w14:textId="77777777" w:rsidR="00325552" w:rsidRPr="004676F5" w:rsidRDefault="00325552" w:rsidP="00325552">
      <w:pPr>
        <w:jc w:val="both"/>
        <w:rPr>
          <w:lang w:val="de-DE"/>
        </w:rPr>
      </w:pPr>
      <w:r w:rsidRPr="004676F5">
        <w:rPr>
          <w:lang w:val="de-DE"/>
        </w:rPr>
        <w:tab/>
        <w:t>Binnen einer Frist von vierzehn Tagen können der Gruppenvertreter, der Beklagte, die Mitglieder der Gruppe, deren Eintragung in die vorläufige Liste beanstandet wird, und der Schadenregulierer der Kanzlei ihren Standpunkt mitteilen.</w:t>
      </w:r>
    </w:p>
    <w:p w14:paraId="36865B2C" w14:textId="77777777" w:rsidR="00325552" w:rsidRPr="004676F5" w:rsidRDefault="00325552" w:rsidP="00325552">
      <w:pPr>
        <w:jc w:val="both"/>
        <w:rPr>
          <w:lang w:val="de-DE"/>
        </w:rPr>
      </w:pPr>
    </w:p>
    <w:p w14:paraId="5B64876A" w14:textId="38489DDF" w:rsidR="00325552" w:rsidRPr="004676F5" w:rsidRDefault="00325552" w:rsidP="00325552">
      <w:pPr>
        <w:jc w:val="both"/>
        <w:rPr>
          <w:lang w:val="de-DE"/>
        </w:rPr>
      </w:pPr>
      <w:r w:rsidRPr="004676F5">
        <w:rPr>
          <w:lang w:val="de-DE"/>
        </w:rPr>
        <w:tab/>
        <w:t>§ 4 </w:t>
      </w:r>
      <w:r w:rsidR="005B7A5C" w:rsidRPr="004676F5">
        <w:rPr>
          <w:lang w:val="de-DE"/>
        </w:rPr>
        <w:t>- </w:t>
      </w:r>
      <w:r w:rsidRPr="004676F5">
        <w:rPr>
          <w:lang w:val="de-DE"/>
        </w:rPr>
        <w:t>Binnen dreißig Tagen ab Ablauf der in § 3 vorgesehenen Fristen lädt der Richter den Schadenregulierer, den Beklagten und den Gruppenvertreter und die Mitglieder der Gruppe, deren Eintragung in die vorläufige Liste beanstandet wird, vor, um über die definitive Liste zu entscheiden.</w:t>
      </w:r>
    </w:p>
    <w:p w14:paraId="3AABE4F2" w14:textId="77777777" w:rsidR="00325552" w:rsidRPr="004676F5" w:rsidRDefault="00325552" w:rsidP="00325552">
      <w:pPr>
        <w:jc w:val="both"/>
        <w:rPr>
          <w:lang w:val="de-DE"/>
        </w:rPr>
      </w:pPr>
    </w:p>
    <w:p w14:paraId="6F7ADFEB" w14:textId="77777777" w:rsidR="00325552" w:rsidRPr="004676F5" w:rsidRDefault="00325552" w:rsidP="00325552">
      <w:pPr>
        <w:jc w:val="both"/>
        <w:rPr>
          <w:lang w:val="de-DE"/>
        </w:rPr>
      </w:pPr>
      <w:r w:rsidRPr="004676F5">
        <w:rPr>
          <w:lang w:val="de-DE"/>
        </w:rPr>
        <w:tab/>
        <w:t>In der in Absatz 1 erwähnten Sitzung hört der Richter den Schadenregulierer, den Gruppenvertreter und die Mitglieder der Gruppe, deren Eintragung beanstandet wird, an.</w:t>
      </w:r>
    </w:p>
    <w:p w14:paraId="57ED2990" w14:textId="77777777" w:rsidR="00325552" w:rsidRPr="004676F5" w:rsidRDefault="00325552" w:rsidP="00325552">
      <w:pPr>
        <w:jc w:val="both"/>
        <w:rPr>
          <w:lang w:val="de-DE"/>
        </w:rPr>
      </w:pPr>
    </w:p>
    <w:p w14:paraId="4060686E" w14:textId="4671135A" w:rsidR="00325552" w:rsidRPr="004676F5" w:rsidRDefault="00325552" w:rsidP="00325552">
      <w:pPr>
        <w:jc w:val="both"/>
        <w:rPr>
          <w:lang w:val="de-DE"/>
        </w:rPr>
      </w:pPr>
      <w:r w:rsidRPr="004676F5">
        <w:rPr>
          <w:lang w:val="de-DE"/>
        </w:rPr>
        <w:tab/>
        <w:t>§ 5 </w:t>
      </w:r>
      <w:r w:rsidR="005B7A5C" w:rsidRPr="004676F5">
        <w:rPr>
          <w:lang w:val="de-DE"/>
        </w:rPr>
        <w:t>- </w:t>
      </w:r>
      <w:r w:rsidRPr="004676F5">
        <w:rPr>
          <w:lang w:val="de-DE"/>
        </w:rPr>
        <w:t>Die definitive Liste der Mitglieder der Gruppe, die Anspruch auf Schadenersatz haben, wird am Ende der in § 4 erwähnten Sitzung erstellt.</w:t>
      </w:r>
    </w:p>
    <w:p w14:paraId="4D932C1C" w14:textId="77777777" w:rsidR="00325552" w:rsidRPr="004676F5" w:rsidRDefault="00325552" w:rsidP="00325552">
      <w:pPr>
        <w:jc w:val="both"/>
        <w:rPr>
          <w:lang w:val="de-DE"/>
        </w:rPr>
      </w:pPr>
    </w:p>
    <w:p w14:paraId="22101A72" w14:textId="77777777" w:rsidR="00325552" w:rsidRPr="004676F5" w:rsidRDefault="00325552" w:rsidP="00325552">
      <w:pPr>
        <w:jc w:val="both"/>
        <w:rPr>
          <w:lang w:val="de-DE"/>
        </w:rPr>
      </w:pPr>
      <w:r w:rsidRPr="004676F5">
        <w:rPr>
          <w:lang w:val="de-DE"/>
        </w:rPr>
        <w:tab/>
        <w:t>Die Kanzlei teilt dem Schadenregulierer, dem Gruppenvertreter und dem Beklagten die definitive Liste mit. Sie setzt die Mitglieder der Gruppe, deren Eintragung in die definitive Liste vom Richter verweigert worden ist, unverzüglich davon in Kenntnis.</w:t>
      </w:r>
    </w:p>
    <w:p w14:paraId="5ED34CF2" w14:textId="77777777" w:rsidR="00325552" w:rsidRPr="004676F5" w:rsidRDefault="00325552" w:rsidP="00325552">
      <w:pPr>
        <w:jc w:val="both"/>
        <w:rPr>
          <w:lang w:val="de-DE"/>
        </w:rPr>
      </w:pPr>
    </w:p>
    <w:p w14:paraId="6B3BCF55" w14:textId="77777777" w:rsidR="006367D3" w:rsidRPr="004676F5" w:rsidRDefault="006367D3" w:rsidP="00325552">
      <w:pPr>
        <w:jc w:val="both"/>
        <w:rPr>
          <w:lang w:val="de-DE"/>
        </w:rPr>
      </w:pPr>
    </w:p>
    <w:p w14:paraId="708DCD89" w14:textId="3C818928"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XVII.59</w:t>
      </w:r>
      <w:r w:rsidRPr="004676F5">
        <w:rPr>
          <w:lang w:val="de-DE"/>
        </w:rPr>
        <w:t> </w:t>
      </w:r>
      <w:r w:rsidR="005B7A5C" w:rsidRPr="004676F5">
        <w:rPr>
          <w:lang w:val="de-DE"/>
        </w:rPr>
        <w:t>- </w:t>
      </w:r>
      <w:r w:rsidRPr="004676F5">
        <w:rPr>
          <w:lang w:val="de-DE"/>
        </w:rPr>
        <w:t>§ 1 </w:t>
      </w:r>
      <w:r w:rsidR="005B7A5C" w:rsidRPr="004676F5">
        <w:rPr>
          <w:lang w:val="de-DE"/>
        </w:rPr>
        <w:t>- </w:t>
      </w:r>
      <w:r w:rsidR="00E86E64" w:rsidRPr="004676F5">
        <w:rPr>
          <w:lang w:val="de-DE"/>
        </w:rPr>
        <w:t>[...]</w:t>
      </w:r>
    </w:p>
    <w:p w14:paraId="0B130313" w14:textId="77777777" w:rsidR="00325552" w:rsidRPr="004676F5" w:rsidRDefault="00325552" w:rsidP="00325552">
      <w:pPr>
        <w:jc w:val="both"/>
        <w:rPr>
          <w:lang w:val="de-DE"/>
        </w:rPr>
      </w:pPr>
    </w:p>
    <w:p w14:paraId="73699E94" w14:textId="1827D3D3"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Der Beklagte kommt unter Aufsicht des Schadenregulierers seiner Verpflichtung zum Schadenersatz in natura nach und zahlt bei Schadenersatz durch Äquivalent die Entschädigung, die gemäß den Bestimmungen der gemäß Artikel XVII.45 § 3 Nr. 6 homologierten Vereinbarung oder vom Richter gemäß Artikel XVII.54 § 1 Nr. 7 festgelegt worden ist.</w:t>
      </w:r>
    </w:p>
    <w:p w14:paraId="540FABEB" w14:textId="78432C3C" w:rsidR="00E86E64" w:rsidRPr="004676F5" w:rsidRDefault="00E86E64" w:rsidP="00325552">
      <w:pPr>
        <w:jc w:val="both"/>
        <w:rPr>
          <w:lang w:val="de-DE"/>
        </w:rPr>
      </w:pPr>
    </w:p>
    <w:p w14:paraId="44050025" w14:textId="00F5DD18" w:rsidR="00E86E64" w:rsidRPr="004676F5" w:rsidRDefault="00E86E64" w:rsidP="00325552">
      <w:pPr>
        <w:jc w:val="both"/>
        <w:rPr>
          <w:i/>
          <w:iCs/>
          <w:lang w:val="de-DE"/>
        </w:rPr>
      </w:pPr>
      <w:r w:rsidRPr="004676F5">
        <w:rPr>
          <w:i/>
          <w:iCs/>
          <w:lang w:val="de-DE"/>
        </w:rPr>
        <w:t>[Art. XVII.59 § 1 aufgehoben durch Art. 44</w:t>
      </w:r>
      <w:r w:rsidRPr="004676F5">
        <w:rPr>
          <w:i/>
          <w:lang w:val="de-DE"/>
        </w:rPr>
        <w:t xml:space="preserve"> des G. vom 30. Juli 2018 (II) (B.S. vom 5. September 2018)]</w:t>
      </w:r>
    </w:p>
    <w:p w14:paraId="35F59A30" w14:textId="77777777" w:rsidR="00325552" w:rsidRPr="004676F5" w:rsidRDefault="00325552" w:rsidP="00325552">
      <w:pPr>
        <w:jc w:val="both"/>
        <w:rPr>
          <w:lang w:val="de-DE"/>
        </w:rPr>
      </w:pPr>
    </w:p>
    <w:p w14:paraId="2A28F82F" w14:textId="77777777" w:rsidR="006367D3" w:rsidRPr="004676F5" w:rsidRDefault="006367D3" w:rsidP="00325552">
      <w:pPr>
        <w:jc w:val="both"/>
        <w:rPr>
          <w:lang w:val="de-DE"/>
        </w:rPr>
      </w:pPr>
    </w:p>
    <w:p w14:paraId="00C5E743" w14:textId="5A82ABBA"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XVII.60</w:t>
      </w:r>
      <w:r w:rsidRPr="004676F5">
        <w:rPr>
          <w:lang w:val="de-DE"/>
        </w:rPr>
        <w:t> </w:t>
      </w:r>
      <w:r w:rsidR="005B7A5C" w:rsidRPr="004676F5">
        <w:rPr>
          <w:lang w:val="de-DE"/>
        </w:rPr>
        <w:t>- </w:t>
      </w:r>
      <w:r w:rsidRPr="004676F5">
        <w:rPr>
          <w:lang w:val="de-DE"/>
        </w:rPr>
        <w:t>Der Richter bleibt mit der Sache befasst, bis der in der homologierten Vereinbarung oder in der Entscheidung zur Sache vorgesehene Schadenersatz zugunsten aller Mitglieder der Gruppe, die in der in Anwendung von Artikel XVII.58 § 5 erstellten definitiven Liste stehen, vollständig geleistet ist.</w:t>
      </w:r>
    </w:p>
    <w:p w14:paraId="4345B40E" w14:textId="77777777" w:rsidR="00325552" w:rsidRPr="004676F5" w:rsidRDefault="00325552" w:rsidP="00325552">
      <w:pPr>
        <w:jc w:val="both"/>
        <w:rPr>
          <w:lang w:val="de-DE"/>
        </w:rPr>
      </w:pPr>
    </w:p>
    <w:p w14:paraId="64195833" w14:textId="77777777" w:rsidR="006367D3" w:rsidRPr="004676F5" w:rsidRDefault="006367D3" w:rsidP="00325552">
      <w:pPr>
        <w:jc w:val="both"/>
        <w:rPr>
          <w:lang w:val="de-DE"/>
        </w:rPr>
      </w:pPr>
    </w:p>
    <w:p w14:paraId="4FD62EF7" w14:textId="6367F733" w:rsidR="00E86E64" w:rsidRPr="004676F5" w:rsidRDefault="00BE0A56" w:rsidP="00E86E64">
      <w:pPr>
        <w:ind w:firstLine="708"/>
        <w:jc w:val="both"/>
        <w:rPr>
          <w:lang w:val="de-DE"/>
        </w:rPr>
      </w:pPr>
      <w:r w:rsidRPr="004676F5">
        <w:rPr>
          <w:b/>
          <w:lang w:val="de-DE"/>
        </w:rPr>
        <w:lastRenderedPageBreak/>
        <w:t>Art. </w:t>
      </w:r>
      <w:r w:rsidR="00325552" w:rsidRPr="004676F5">
        <w:rPr>
          <w:b/>
          <w:lang w:val="de-DE"/>
        </w:rPr>
        <w:t>XVII.61</w:t>
      </w:r>
      <w:r w:rsidR="00325552" w:rsidRPr="004676F5">
        <w:rPr>
          <w:lang w:val="de-DE"/>
        </w:rPr>
        <w:t> </w:t>
      </w:r>
      <w:r w:rsidR="005B7A5C" w:rsidRPr="004676F5">
        <w:rPr>
          <w:lang w:val="de-DE"/>
        </w:rPr>
        <w:t>- </w:t>
      </w:r>
      <w:r w:rsidR="009F2F37" w:rsidRPr="004676F5">
        <w:rPr>
          <w:lang w:val="de-DE"/>
        </w:rPr>
        <w:t>[</w:t>
      </w:r>
      <w:r w:rsidR="00E86E64" w:rsidRPr="004676F5">
        <w:rPr>
          <w:lang w:val="de-DE"/>
        </w:rPr>
        <w:t>§ 1 </w:t>
      </w:r>
      <w:r w:rsidR="005B7A5C" w:rsidRPr="004676F5">
        <w:rPr>
          <w:lang w:val="de-DE"/>
        </w:rPr>
        <w:t>- </w:t>
      </w:r>
      <w:r w:rsidR="00E86E64" w:rsidRPr="004676F5">
        <w:rPr>
          <w:lang w:val="de-DE"/>
        </w:rPr>
        <w:t>Der Schadenregulierer übermittelt dem Richter einen ausführlichen Quartalsbericht über die Ausführung seines Auftrags. Dieser Bericht wird zur Information ebenfalls dem Gruppenvertreter und dem Beklagten übermittelt.</w:t>
      </w:r>
    </w:p>
    <w:p w14:paraId="66D48C99" w14:textId="77777777" w:rsidR="00E86E64" w:rsidRPr="004676F5" w:rsidRDefault="00E86E64" w:rsidP="00E86E64">
      <w:pPr>
        <w:ind w:firstLine="708"/>
        <w:jc w:val="both"/>
        <w:rPr>
          <w:lang w:val="de-DE"/>
        </w:rPr>
      </w:pPr>
    </w:p>
    <w:p w14:paraId="0322C5BE" w14:textId="77777777" w:rsidR="00E86E64" w:rsidRPr="004676F5" w:rsidRDefault="00E86E64" w:rsidP="00E86E64">
      <w:pPr>
        <w:ind w:firstLine="708"/>
        <w:jc w:val="both"/>
        <w:rPr>
          <w:lang w:val="de-DE"/>
        </w:rPr>
      </w:pPr>
      <w:r w:rsidRPr="004676F5">
        <w:rPr>
          <w:lang w:val="de-DE"/>
        </w:rPr>
        <w:t>Der Quartalsbericht enthält alle relevanten Informationen über den Stand der Ausführung der homologierten Vereinbarung oder der Entscheidung des Richters zur Sache und eine ausführliche Aufstellung der Kosten und der Angaben, auf deren Grundlage die Entschädigung des Schadenregulierers festgelegt werden kann.</w:t>
      </w:r>
    </w:p>
    <w:p w14:paraId="6808BCAC" w14:textId="77777777" w:rsidR="00E86E64" w:rsidRPr="004676F5" w:rsidRDefault="00E86E64" w:rsidP="00E86E64">
      <w:pPr>
        <w:ind w:firstLine="708"/>
        <w:jc w:val="both"/>
        <w:rPr>
          <w:lang w:val="de-DE"/>
        </w:rPr>
      </w:pPr>
    </w:p>
    <w:p w14:paraId="10CFCCB1" w14:textId="705B016B" w:rsidR="00E86E64" w:rsidRPr="004676F5" w:rsidRDefault="00E86E64" w:rsidP="00E86E64">
      <w:pPr>
        <w:jc w:val="both"/>
        <w:rPr>
          <w:lang w:val="de-DE"/>
        </w:rPr>
      </w:pPr>
      <w:r w:rsidRPr="004676F5">
        <w:rPr>
          <w:lang w:val="de-DE"/>
        </w:rPr>
        <w:tab/>
        <w:t>Der Richter entscheidet über den Quartalsbericht. Die Billigung des Quartalsberichts durch den Richter gilt als Vollstreckungstitel, aufgrund dessen der Schadenregulierer die Zahlung seiner Kosten und Leistungen vom Beklagten einfordern kann.]</w:t>
      </w:r>
    </w:p>
    <w:p w14:paraId="1F2FDC1A" w14:textId="77777777" w:rsidR="00E86E64" w:rsidRPr="004676F5" w:rsidRDefault="00E86E64" w:rsidP="00325552">
      <w:pPr>
        <w:jc w:val="both"/>
        <w:rPr>
          <w:lang w:val="de-DE"/>
        </w:rPr>
      </w:pPr>
    </w:p>
    <w:p w14:paraId="3B597D09" w14:textId="139E586D" w:rsidR="00325552" w:rsidRPr="004676F5" w:rsidRDefault="00E86E64" w:rsidP="00325552">
      <w:pPr>
        <w:jc w:val="both"/>
        <w:rPr>
          <w:lang w:val="de-DE"/>
        </w:rPr>
      </w:pPr>
      <w:r w:rsidRPr="004676F5">
        <w:rPr>
          <w:lang w:val="de-DE"/>
        </w:rPr>
        <w:tab/>
        <w:t>[</w:t>
      </w:r>
      <w:r w:rsidR="00325552" w:rsidRPr="004676F5">
        <w:rPr>
          <w:lang w:val="de-DE"/>
        </w:rPr>
        <w:t>§ 1</w:t>
      </w:r>
      <w:r w:rsidRPr="004676F5">
        <w:rPr>
          <w:lang w:val="de-DE"/>
        </w:rPr>
        <w:t>/1]</w:t>
      </w:r>
      <w:r w:rsidR="00325552" w:rsidRPr="004676F5">
        <w:rPr>
          <w:lang w:val="de-DE"/>
        </w:rPr>
        <w:t> </w:t>
      </w:r>
      <w:r w:rsidR="005B7A5C" w:rsidRPr="004676F5">
        <w:rPr>
          <w:lang w:val="de-DE"/>
        </w:rPr>
        <w:t>- </w:t>
      </w:r>
      <w:r w:rsidR="00325552" w:rsidRPr="004676F5">
        <w:rPr>
          <w:lang w:val="de-DE"/>
        </w:rPr>
        <w:t>Wenn die homologierte Vereinbarung oder die Entscheidung des Richters zur Sache vollständig ausgeführt ist, übermittelt der Schadenregulierer dem Richter einen Schlussbericht. Dieser Bericht wird zur Information ebenfalls dem Gruppenvertreter und dem Beklagten übermittelt.</w:t>
      </w:r>
    </w:p>
    <w:p w14:paraId="731E9A4F" w14:textId="77777777" w:rsidR="00325552" w:rsidRPr="004676F5" w:rsidRDefault="00325552" w:rsidP="00325552">
      <w:pPr>
        <w:jc w:val="both"/>
        <w:rPr>
          <w:lang w:val="de-DE"/>
        </w:rPr>
      </w:pPr>
    </w:p>
    <w:p w14:paraId="7812B2F2" w14:textId="3E2671BD" w:rsidR="00325552" w:rsidRPr="004676F5" w:rsidRDefault="00325552" w:rsidP="00325552">
      <w:pPr>
        <w:jc w:val="both"/>
        <w:rPr>
          <w:lang w:val="de-DE"/>
        </w:rPr>
      </w:pPr>
      <w:r w:rsidRPr="004676F5">
        <w:rPr>
          <w:lang w:val="de-DE"/>
        </w:rPr>
        <w:tab/>
        <w:t xml:space="preserve">Dieser Schlussbericht enthält alle Informationen, die notwendig sind, um es dem Richter zu ermöglichen, eine Entscheidung über den endgültigen Abschluss der kollektiven Schadenersatzklage zu treffen. Gegebenenfalls wird im Schlussbericht die Höhe des Restbetrags, der </w:t>
      </w:r>
      <w:r w:rsidR="00F14498" w:rsidRPr="004676F5">
        <w:rPr>
          <w:lang w:val="de-DE"/>
        </w:rPr>
        <w:t xml:space="preserve">[den KMU und/oder] </w:t>
      </w:r>
      <w:r w:rsidRPr="004676F5">
        <w:rPr>
          <w:lang w:val="de-DE"/>
        </w:rPr>
        <w:t>den Verbrauchern nicht zurückgezahlt worden ist, angegeben.</w:t>
      </w:r>
    </w:p>
    <w:p w14:paraId="0067DDA3" w14:textId="77777777" w:rsidR="00325552" w:rsidRPr="004676F5" w:rsidRDefault="00325552" w:rsidP="00325552">
      <w:pPr>
        <w:jc w:val="both"/>
        <w:rPr>
          <w:lang w:val="de-DE"/>
        </w:rPr>
      </w:pPr>
    </w:p>
    <w:p w14:paraId="2BAE6319" w14:textId="7ED88290" w:rsidR="00325552" w:rsidRPr="004676F5" w:rsidRDefault="00325552" w:rsidP="00325552">
      <w:pPr>
        <w:jc w:val="both"/>
        <w:rPr>
          <w:lang w:val="de-DE"/>
        </w:rPr>
      </w:pPr>
      <w:r w:rsidRPr="004676F5">
        <w:rPr>
          <w:lang w:val="de-DE"/>
        </w:rPr>
        <w:tab/>
        <w:t xml:space="preserve">Dieser Schlussbericht enthält ebenfalls eine ausführliche Aufstellung der Kosten und der Entschädigung des Schadenregulierers. </w:t>
      </w:r>
      <w:r w:rsidR="00E86E64" w:rsidRPr="004676F5">
        <w:rPr>
          <w:lang w:val="de-DE"/>
        </w:rPr>
        <w:t>[...]</w:t>
      </w:r>
    </w:p>
    <w:p w14:paraId="5C1C885A" w14:textId="77777777" w:rsidR="00325552" w:rsidRPr="004676F5" w:rsidRDefault="00325552" w:rsidP="00325552">
      <w:pPr>
        <w:jc w:val="both"/>
        <w:rPr>
          <w:lang w:val="de-DE"/>
        </w:rPr>
      </w:pPr>
    </w:p>
    <w:p w14:paraId="4DA7DDDB" w14:textId="3C2B7155" w:rsidR="00325552" w:rsidRPr="004676F5" w:rsidRDefault="00325552" w:rsidP="00325552">
      <w:pPr>
        <w:jc w:val="both"/>
        <w:rPr>
          <w:lang w:val="de-DE"/>
        </w:rPr>
      </w:pPr>
      <w:r w:rsidRPr="004676F5">
        <w:rPr>
          <w:lang w:val="de-DE"/>
        </w:rPr>
        <w:tab/>
        <w:t>§ 2 </w:t>
      </w:r>
      <w:r w:rsidR="005B7A5C" w:rsidRPr="004676F5">
        <w:rPr>
          <w:lang w:val="de-DE"/>
        </w:rPr>
        <w:t>- </w:t>
      </w:r>
      <w:r w:rsidRPr="004676F5">
        <w:rPr>
          <w:lang w:val="de-DE"/>
        </w:rPr>
        <w:t xml:space="preserve">Der Richter entscheidet über den Schlussbericht. Er bestimmt, wie der Beklagte den in </w:t>
      </w:r>
      <w:r w:rsidR="00E86E64" w:rsidRPr="004676F5">
        <w:rPr>
          <w:lang w:val="de-DE"/>
        </w:rPr>
        <w:t>[</w:t>
      </w:r>
      <w:r w:rsidRPr="004676F5">
        <w:rPr>
          <w:lang w:val="de-DE"/>
        </w:rPr>
        <w:t>§ 1</w:t>
      </w:r>
      <w:r w:rsidR="00E86E64" w:rsidRPr="004676F5">
        <w:rPr>
          <w:lang w:val="de-DE"/>
        </w:rPr>
        <w:t>/1</w:t>
      </w:r>
      <w:r w:rsidRPr="004676F5">
        <w:rPr>
          <w:lang w:val="de-DE"/>
        </w:rPr>
        <w:t xml:space="preserve"> Absatz 2</w:t>
      </w:r>
      <w:r w:rsidR="00E86E64" w:rsidRPr="004676F5">
        <w:rPr>
          <w:lang w:val="de-DE"/>
        </w:rPr>
        <w:t>]</w:t>
      </w:r>
      <w:r w:rsidRPr="004676F5">
        <w:rPr>
          <w:lang w:val="de-DE"/>
        </w:rPr>
        <w:t xml:space="preserve"> erwähnten eventuellen Restbetrag verwenden muss. Durch Billigung des Berichts beendet der Richter endgültig das vom Schadenregulierer geführte Ausführungs</w:t>
      </w:r>
      <w:r w:rsidRPr="004676F5">
        <w:rPr>
          <w:lang w:val="de-DE"/>
        </w:rPr>
        <w:softHyphen/>
        <w:t>verfahren.</w:t>
      </w:r>
    </w:p>
    <w:p w14:paraId="7ADBEC1B" w14:textId="77777777" w:rsidR="00E86E64" w:rsidRPr="004676F5" w:rsidRDefault="00E86E64" w:rsidP="00325552">
      <w:pPr>
        <w:jc w:val="both"/>
        <w:rPr>
          <w:lang w:val="de-DE"/>
        </w:rPr>
      </w:pPr>
    </w:p>
    <w:p w14:paraId="0A6431BE" w14:textId="61FDD13A" w:rsidR="00325552" w:rsidRPr="004676F5" w:rsidRDefault="00325552" w:rsidP="00325552">
      <w:pPr>
        <w:jc w:val="both"/>
        <w:rPr>
          <w:lang w:val="de-DE"/>
        </w:rPr>
      </w:pPr>
      <w:r w:rsidRPr="004676F5">
        <w:rPr>
          <w:lang w:val="de-DE"/>
        </w:rPr>
        <w:tab/>
        <w:t>Die Billigung des Schlussberichts durch den Richter gilt als Vollstreckungstitel, aufgrund dessen der Schadenregulierer die Zahlung seiner Kosten und Leistungen vom Beklagten einfordern kann.</w:t>
      </w:r>
    </w:p>
    <w:p w14:paraId="61507D01" w14:textId="67D86E85" w:rsidR="00E86E64" w:rsidRPr="004676F5" w:rsidRDefault="00E86E64" w:rsidP="00325552">
      <w:pPr>
        <w:jc w:val="both"/>
        <w:rPr>
          <w:lang w:val="de-DE"/>
        </w:rPr>
      </w:pPr>
    </w:p>
    <w:p w14:paraId="7514D861" w14:textId="5C71FBD8" w:rsidR="00E86E64" w:rsidRPr="004676F5" w:rsidRDefault="00E86E64" w:rsidP="00325552">
      <w:pPr>
        <w:jc w:val="both"/>
        <w:rPr>
          <w:lang w:val="de-DE"/>
        </w:rPr>
      </w:pPr>
      <w:r w:rsidRPr="004676F5">
        <w:rPr>
          <w:lang w:val="de-DE"/>
        </w:rPr>
        <w:tab/>
        <w:t>[§ 3 </w:t>
      </w:r>
      <w:r w:rsidR="005B7A5C" w:rsidRPr="004676F5">
        <w:rPr>
          <w:lang w:val="de-DE"/>
        </w:rPr>
        <w:t>- </w:t>
      </w:r>
      <w:r w:rsidRPr="004676F5">
        <w:rPr>
          <w:lang w:val="de-DE"/>
        </w:rPr>
        <w:t>Die in § 1 Absatz 2 und § 1/1 Absatz 3 erwähnte Entschädigung des Schadenregulierers wird gemäß den vom König festgelegten Regeln berechnet.]</w:t>
      </w:r>
    </w:p>
    <w:p w14:paraId="3E93EB22" w14:textId="77777777" w:rsidR="004932B6" w:rsidRPr="004676F5" w:rsidRDefault="004932B6" w:rsidP="00325552">
      <w:pPr>
        <w:jc w:val="both"/>
        <w:rPr>
          <w:lang w:val="de-DE"/>
        </w:rPr>
      </w:pPr>
    </w:p>
    <w:p w14:paraId="4846DE08" w14:textId="727E9820" w:rsidR="004932B6" w:rsidRPr="004676F5" w:rsidRDefault="004932B6" w:rsidP="00325552">
      <w:pPr>
        <w:jc w:val="both"/>
        <w:rPr>
          <w:lang w:val="de-DE"/>
        </w:rPr>
      </w:pPr>
      <w:r w:rsidRPr="004676F5">
        <w:rPr>
          <w:lang w:val="de-DE"/>
        </w:rPr>
        <w:tab/>
        <w:t>[§ 4 - In Ausnahmefällen und nachdem das betreffende Mitglied der Gruppe vom Beklagten oder vom Gruppenvertreter zum Beitritt geladen worden ist, kann der Richter ein Mitglied der Gruppe zur Zahlung der Verfahrenskosten, einschließlich der Verfahrensentschädigung, verurteilen, die aufgrund seines vorsätzlichen oder fahrlässigen Verhaltens entstanden sind.]</w:t>
      </w:r>
    </w:p>
    <w:p w14:paraId="13E22209" w14:textId="65406A31" w:rsidR="00F14498" w:rsidRPr="004676F5" w:rsidRDefault="00F14498" w:rsidP="00325552">
      <w:pPr>
        <w:jc w:val="both"/>
        <w:rPr>
          <w:lang w:val="de-DE"/>
        </w:rPr>
      </w:pPr>
    </w:p>
    <w:p w14:paraId="7336B91B" w14:textId="2A2301FE" w:rsidR="00F14498" w:rsidRPr="004676F5" w:rsidRDefault="00F14498" w:rsidP="00325552">
      <w:pPr>
        <w:jc w:val="both"/>
        <w:rPr>
          <w:i/>
          <w:lang w:val="de-DE"/>
        </w:rPr>
      </w:pPr>
      <w:r w:rsidRPr="004676F5">
        <w:rPr>
          <w:i/>
          <w:lang w:val="de-DE"/>
        </w:rPr>
        <w:t>[Art. XVII.61</w:t>
      </w:r>
      <w:r w:rsidR="00E86E64" w:rsidRPr="004676F5">
        <w:rPr>
          <w:i/>
          <w:lang w:val="de-DE"/>
        </w:rPr>
        <w:t xml:space="preserve"> neuer Paragraph 1 eingefügt durch Art. 45 Nr. 2 des G. vom 30. Juli 2018 (II) (B.S. vom 5. September 2018); früherer Paragraph 1 nummeriert zu § 1/1 durch Art. 45 Nr. 1 des G. vom 30. Juli 2018 (II) (B.S. vom 5. September 2018); § 1/1</w:t>
      </w:r>
      <w:r w:rsidRPr="004676F5">
        <w:rPr>
          <w:i/>
          <w:lang w:val="de-DE"/>
        </w:rPr>
        <w:t xml:space="preserve"> Abs. 2 abgeändert durch Art. 9 des G. vom 30. März 2018 (B.S. vom 22. Mai 2018)</w:t>
      </w:r>
      <w:r w:rsidR="00E86E64" w:rsidRPr="004676F5">
        <w:rPr>
          <w:i/>
          <w:lang w:val="de-DE"/>
        </w:rPr>
        <w:t xml:space="preserve">; § 1/1 Abs. 3 abgeändert durch Art. 45 Nr. 3 des G. vom 30. Juli 2018 (II) (B.S. vom 5. September 2018); § 2 Abs. 1 abgeändert </w:t>
      </w:r>
      <w:r w:rsidR="00E86E64" w:rsidRPr="004676F5">
        <w:rPr>
          <w:i/>
          <w:lang w:val="de-DE"/>
        </w:rPr>
        <w:lastRenderedPageBreak/>
        <w:t>durch Art. 45 Nr. 4 des G. vom 30. Juli 2018 (II) (B.S. vom 5. September 2018); § 3 eingefügt durch Art. 45 Nr. 5 des G. vom 30. Juli 2018 (II) (B.S. vom 5. September 2018)</w:t>
      </w:r>
      <w:r w:rsidR="004932B6" w:rsidRPr="004676F5">
        <w:rPr>
          <w:i/>
          <w:lang w:val="de-DE"/>
        </w:rPr>
        <w:t xml:space="preserve">; § 4 eingefügt </w:t>
      </w:r>
      <w:r w:rsidR="004932B6" w:rsidRPr="004676F5">
        <w:rPr>
          <w:i/>
          <w:iCs/>
          <w:lang w:val="de-DE"/>
        </w:rPr>
        <w:t>durch Art. 35 des G. vom 21. April 2024 (II) (B.S. vom 31. Mai 2024)</w:t>
      </w:r>
      <w:r w:rsidRPr="004676F5">
        <w:rPr>
          <w:i/>
          <w:lang w:val="de-DE"/>
        </w:rPr>
        <w:t>]</w:t>
      </w:r>
    </w:p>
    <w:p w14:paraId="40D4F108" w14:textId="77777777" w:rsidR="00325552" w:rsidRPr="004676F5" w:rsidRDefault="00325552" w:rsidP="00325552">
      <w:pPr>
        <w:jc w:val="both"/>
        <w:rPr>
          <w:lang w:val="de-DE"/>
        </w:rPr>
      </w:pPr>
    </w:p>
    <w:p w14:paraId="442FA3C9" w14:textId="77777777" w:rsidR="006367D3" w:rsidRPr="004676F5" w:rsidRDefault="006367D3" w:rsidP="00325552">
      <w:pPr>
        <w:jc w:val="both"/>
        <w:rPr>
          <w:lang w:val="de-DE"/>
        </w:rPr>
      </w:pPr>
    </w:p>
    <w:p w14:paraId="72AB34BA" w14:textId="367CDB81"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XVII.62</w:t>
      </w:r>
      <w:r w:rsidRPr="004676F5">
        <w:rPr>
          <w:lang w:val="de-DE"/>
        </w:rPr>
        <w:t> </w:t>
      </w:r>
      <w:r w:rsidR="005B7A5C" w:rsidRPr="004676F5">
        <w:rPr>
          <w:lang w:val="de-DE"/>
        </w:rPr>
        <w:t>- </w:t>
      </w:r>
      <w:r w:rsidR="009C6CEC" w:rsidRPr="004676F5">
        <w:rPr>
          <w:lang w:val="de-DE"/>
        </w:rPr>
        <w:t>[Die Kanzlei übermittelt unverzüglich, gegebenenfalls nach Ablauf der Beschwerde</w:t>
      </w:r>
      <w:r w:rsidR="009C6CEC" w:rsidRPr="004676F5">
        <w:rPr>
          <w:lang w:val="de-DE"/>
        </w:rPr>
        <w:softHyphen/>
        <w:t xml:space="preserve">frist, die in Artikel XVII.61 § 2 erwähnte Entscheidung in elektronischer Form dem FÖD Wirtschaft, KMB, Mittelstand und Energie, der sie unverzüglich vollständig auf seiner Website veröffentlicht und eine Bekanntmachung im </w:t>
      </w:r>
      <w:r w:rsidR="009C6CEC" w:rsidRPr="004676F5">
        <w:rPr>
          <w:i/>
          <w:lang w:val="de-DE"/>
        </w:rPr>
        <w:t>Belgischen Staatsblatt</w:t>
      </w:r>
      <w:r w:rsidR="009C6CEC" w:rsidRPr="004676F5">
        <w:rPr>
          <w:lang w:val="de-DE"/>
        </w:rPr>
        <w:t xml:space="preserve"> veranlasst, in der das Bezugszeichen der Entscheidung und der Link zu der Seite der Website mit der Veröffentlichung des vollständigen Textes der Entscheidung angegeben sind. Das </w:t>
      </w:r>
      <w:r w:rsidR="009C6CEC" w:rsidRPr="004676F5">
        <w:rPr>
          <w:i/>
          <w:lang w:val="de-DE"/>
        </w:rPr>
        <w:t>Belgische Staatsblatt</w:t>
      </w:r>
      <w:r w:rsidR="009C6CEC" w:rsidRPr="004676F5">
        <w:rPr>
          <w:lang w:val="de-DE"/>
        </w:rPr>
        <w:t xml:space="preserve"> sorgt für die Veröffentlichung dieser Bekanntmachung innerhalb einer Frist von zehn Tagen.]</w:t>
      </w:r>
    </w:p>
    <w:p w14:paraId="2D12B430" w14:textId="77777777" w:rsidR="00325552" w:rsidRPr="004676F5" w:rsidRDefault="00325552" w:rsidP="00325552">
      <w:pPr>
        <w:jc w:val="both"/>
        <w:rPr>
          <w:lang w:val="de-DE"/>
        </w:rPr>
      </w:pPr>
    </w:p>
    <w:p w14:paraId="41976F94" w14:textId="77777777" w:rsidR="00325552" w:rsidRPr="004676F5" w:rsidRDefault="00325552" w:rsidP="00325552">
      <w:pPr>
        <w:jc w:val="both"/>
        <w:rPr>
          <w:lang w:val="de-DE"/>
        </w:rPr>
      </w:pPr>
      <w:r w:rsidRPr="004676F5">
        <w:rPr>
          <w:lang w:val="de-DE"/>
        </w:rPr>
        <w:tab/>
        <w:t xml:space="preserve">Durch die Veröffentlichung im </w:t>
      </w:r>
      <w:r w:rsidRPr="004676F5">
        <w:rPr>
          <w:i/>
          <w:lang w:val="de-DE"/>
        </w:rPr>
        <w:t>Belgischen Staatsblatt</w:t>
      </w:r>
      <w:r w:rsidRPr="004676F5">
        <w:rPr>
          <w:lang w:val="de-DE"/>
        </w:rPr>
        <w:t xml:space="preserve"> setzt die Frist für die Verjährung der Haftpflichtklage des Gruppenvertreters und des Schadenregulierers ein.</w:t>
      </w:r>
    </w:p>
    <w:p w14:paraId="6C729992" w14:textId="77777777" w:rsidR="009C6CEC" w:rsidRPr="004676F5" w:rsidRDefault="009C6CEC" w:rsidP="00325552">
      <w:pPr>
        <w:jc w:val="both"/>
        <w:rPr>
          <w:lang w:val="de-DE"/>
        </w:rPr>
      </w:pPr>
    </w:p>
    <w:p w14:paraId="08A1A21B" w14:textId="0F009FD7" w:rsidR="009C6CEC" w:rsidRPr="004676F5" w:rsidRDefault="009C6CEC" w:rsidP="00325552">
      <w:pPr>
        <w:jc w:val="both"/>
        <w:rPr>
          <w:i/>
          <w:iCs/>
          <w:lang w:val="de-DE"/>
        </w:rPr>
      </w:pPr>
      <w:r w:rsidRPr="004676F5">
        <w:rPr>
          <w:i/>
          <w:iCs/>
          <w:lang w:val="de-DE"/>
        </w:rPr>
        <w:t>[Art. XVII.62 Abs. 1 ersetzt durch Art. 17</w:t>
      </w:r>
      <w:r w:rsidRPr="004676F5">
        <w:rPr>
          <w:rFonts w:eastAsia="Calibri"/>
          <w:i/>
          <w:iCs/>
          <w:kern w:val="2"/>
          <w:lang w:val="de-DE" w:eastAsia="en-US"/>
          <w14:ligatures w14:val="standardContextual"/>
        </w:rPr>
        <w:t xml:space="preserve"> des G. vom 2. Februar 2021 (B.S. vom 11. Februar 2021)]</w:t>
      </w:r>
    </w:p>
    <w:p w14:paraId="69A047F2" w14:textId="77777777" w:rsidR="00325552" w:rsidRPr="004676F5" w:rsidRDefault="00325552" w:rsidP="00325552">
      <w:pPr>
        <w:jc w:val="center"/>
        <w:rPr>
          <w:lang w:val="de-DE"/>
        </w:rPr>
      </w:pPr>
    </w:p>
    <w:p w14:paraId="44F4FE2F" w14:textId="77777777" w:rsidR="006367D3" w:rsidRPr="004676F5" w:rsidRDefault="006367D3">
      <w:pPr>
        <w:rPr>
          <w:lang w:val="de-DE"/>
        </w:rPr>
      </w:pPr>
      <w:r w:rsidRPr="004676F5">
        <w:rPr>
          <w:lang w:val="de-DE"/>
        </w:rPr>
        <w:br w:type="page"/>
      </w:r>
    </w:p>
    <w:p w14:paraId="05C820CD" w14:textId="14FC4FBE" w:rsidR="00325552" w:rsidRPr="004676F5" w:rsidRDefault="00325552" w:rsidP="00325552">
      <w:pPr>
        <w:jc w:val="center"/>
        <w:rPr>
          <w:i/>
          <w:lang w:val="de-DE"/>
        </w:rPr>
      </w:pPr>
      <w:r w:rsidRPr="004676F5">
        <w:rPr>
          <w:lang w:val="de-DE"/>
        </w:rPr>
        <w:lastRenderedPageBreak/>
        <w:t>KAPITEL 3 </w:t>
      </w:r>
      <w:r w:rsidR="005B7A5C" w:rsidRPr="004676F5">
        <w:rPr>
          <w:lang w:val="de-DE"/>
        </w:rPr>
        <w:t>- </w:t>
      </w:r>
      <w:r w:rsidRPr="004676F5">
        <w:rPr>
          <w:i/>
          <w:lang w:val="de-DE"/>
        </w:rPr>
        <w:t>Verjährung, Zwischenstreite und Zusammenhang mit anderen Verfahren</w:t>
      </w:r>
    </w:p>
    <w:p w14:paraId="699F1623" w14:textId="77777777" w:rsidR="00325552" w:rsidRPr="004676F5" w:rsidRDefault="00325552" w:rsidP="00325552">
      <w:pPr>
        <w:jc w:val="both"/>
        <w:rPr>
          <w:lang w:val="de-DE"/>
        </w:rPr>
      </w:pPr>
    </w:p>
    <w:p w14:paraId="1721295D" w14:textId="77777777" w:rsidR="006367D3" w:rsidRPr="004676F5" w:rsidRDefault="006367D3" w:rsidP="00325552">
      <w:pPr>
        <w:jc w:val="center"/>
        <w:rPr>
          <w:i/>
          <w:lang w:val="de-DE"/>
        </w:rPr>
      </w:pPr>
    </w:p>
    <w:p w14:paraId="6E3C96CB" w14:textId="46E784B9" w:rsidR="00325552" w:rsidRPr="004676F5" w:rsidRDefault="00325552" w:rsidP="00325552">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Verjährung</w:t>
      </w:r>
    </w:p>
    <w:p w14:paraId="2571EAED" w14:textId="77777777" w:rsidR="00325552" w:rsidRPr="004676F5" w:rsidRDefault="00325552" w:rsidP="00325552">
      <w:pPr>
        <w:jc w:val="both"/>
        <w:rPr>
          <w:lang w:val="de-DE"/>
        </w:rPr>
      </w:pPr>
    </w:p>
    <w:p w14:paraId="1E4E3F45" w14:textId="77777777" w:rsidR="006367D3" w:rsidRPr="004676F5" w:rsidRDefault="006367D3" w:rsidP="00325552">
      <w:pPr>
        <w:jc w:val="both"/>
        <w:rPr>
          <w:lang w:val="de-DE"/>
        </w:rPr>
      </w:pPr>
    </w:p>
    <w:p w14:paraId="32C2B8AF" w14:textId="139522C3" w:rsidR="004932B6" w:rsidRPr="004676F5" w:rsidRDefault="00325552" w:rsidP="004932B6">
      <w:pPr>
        <w:jc w:val="both"/>
        <w:rPr>
          <w:lang w:val="de-DE"/>
        </w:rPr>
      </w:pPr>
      <w:r w:rsidRPr="004676F5">
        <w:rPr>
          <w:lang w:val="de-DE"/>
        </w:rPr>
        <w:tab/>
      </w:r>
      <w:r w:rsidR="00BE0A56" w:rsidRPr="004676F5">
        <w:rPr>
          <w:b/>
          <w:lang w:val="de-DE"/>
        </w:rPr>
        <w:t>Art. </w:t>
      </w:r>
      <w:r w:rsidRPr="004676F5">
        <w:rPr>
          <w:b/>
          <w:lang w:val="de-DE"/>
        </w:rPr>
        <w:t>XVII.63</w:t>
      </w:r>
      <w:r w:rsidRPr="004676F5">
        <w:rPr>
          <w:lang w:val="de-DE"/>
        </w:rPr>
        <w:t> </w:t>
      </w:r>
      <w:r w:rsidR="004932B6" w:rsidRPr="004676F5">
        <w:rPr>
          <w:lang w:val="de-DE"/>
        </w:rPr>
        <w:t>- [Die Verjährungsfrist für die Einzelklage des KMU und/oder des Verbrauchers, das/der unter die Beschreibung der Gruppe fällt, wie sie in der Antragschrift in Bezug auf kollektiven Schadenersatz angegeben ist, wird ab Hinterlegung der Antragschrift in Bezug auf kollektiven Schadenersatz oder der Antragschrift in Bezug auf den freiwilligen Beitritt zu einer kollektiven Schadenersatzklage bei der Kanzlei ausgesetzt:</w:t>
      </w:r>
    </w:p>
    <w:p w14:paraId="7333E86A" w14:textId="77777777" w:rsidR="004932B6" w:rsidRPr="004676F5" w:rsidRDefault="004932B6" w:rsidP="004932B6">
      <w:pPr>
        <w:jc w:val="both"/>
        <w:rPr>
          <w:lang w:val="de-DE"/>
        </w:rPr>
      </w:pPr>
    </w:p>
    <w:p w14:paraId="2968185B" w14:textId="77777777" w:rsidR="004932B6" w:rsidRPr="004676F5" w:rsidRDefault="004932B6" w:rsidP="004932B6">
      <w:pPr>
        <w:jc w:val="both"/>
        <w:rPr>
          <w:lang w:val="de-DE"/>
        </w:rPr>
      </w:pPr>
      <w:r w:rsidRPr="004676F5">
        <w:rPr>
          <w:lang w:val="de-DE"/>
        </w:rPr>
        <w:tab/>
        <w:t xml:space="preserve">1. bis zur Veröffentlichung der Zulässigkeitsentscheidung im </w:t>
      </w:r>
      <w:r w:rsidRPr="004676F5">
        <w:rPr>
          <w:i/>
          <w:iCs/>
          <w:lang w:val="de-DE"/>
        </w:rPr>
        <w:t>Belgischen Staatsblatt</w:t>
      </w:r>
      <w:r w:rsidRPr="004676F5">
        <w:rPr>
          <w:lang w:val="de-DE"/>
        </w:rPr>
        <w:t>, in der der Richter die kollektive Schadenersatzklage für unzulässig erklärt,</w:t>
      </w:r>
    </w:p>
    <w:p w14:paraId="197B19A0" w14:textId="77777777" w:rsidR="004932B6" w:rsidRPr="004676F5" w:rsidRDefault="004932B6" w:rsidP="004932B6">
      <w:pPr>
        <w:jc w:val="both"/>
        <w:rPr>
          <w:lang w:val="de-DE"/>
        </w:rPr>
      </w:pPr>
    </w:p>
    <w:p w14:paraId="2292DC4E" w14:textId="77777777" w:rsidR="004932B6" w:rsidRPr="004676F5" w:rsidRDefault="004932B6" w:rsidP="004932B6">
      <w:pPr>
        <w:jc w:val="both"/>
        <w:rPr>
          <w:lang w:val="de-DE"/>
        </w:rPr>
      </w:pPr>
      <w:r w:rsidRPr="004676F5">
        <w:rPr>
          <w:lang w:val="de-DE"/>
        </w:rPr>
        <w:tab/>
        <w:t xml:space="preserve">2. bis zur Veröffentlichung der Zulässigkeitsentscheidung im </w:t>
      </w:r>
      <w:r w:rsidRPr="004676F5">
        <w:rPr>
          <w:i/>
          <w:iCs/>
          <w:lang w:val="de-DE"/>
        </w:rPr>
        <w:t>Belgischen Staatsblatt</w:t>
      </w:r>
      <w:r w:rsidRPr="004676F5">
        <w:rPr>
          <w:lang w:val="de-DE"/>
        </w:rPr>
        <w:t>, in der der Richter die kollektive Schadenersatzklage für zulässig erklärt, die Gruppe jedoch in einer Weise definiert, die das KMU und/oder den Verbraucher ausschließt,</w:t>
      </w:r>
    </w:p>
    <w:p w14:paraId="771A5341" w14:textId="77777777" w:rsidR="004932B6" w:rsidRPr="004676F5" w:rsidRDefault="004932B6" w:rsidP="004932B6">
      <w:pPr>
        <w:jc w:val="both"/>
        <w:rPr>
          <w:lang w:val="de-DE"/>
        </w:rPr>
      </w:pPr>
    </w:p>
    <w:p w14:paraId="47F8EA49" w14:textId="77777777" w:rsidR="004932B6" w:rsidRPr="004676F5" w:rsidRDefault="004932B6" w:rsidP="004932B6">
      <w:pPr>
        <w:jc w:val="both"/>
        <w:rPr>
          <w:lang w:val="de-DE"/>
        </w:rPr>
      </w:pPr>
      <w:r w:rsidRPr="004676F5">
        <w:rPr>
          <w:lang w:val="de-DE"/>
        </w:rPr>
        <w:tab/>
        <w:t>3. im Falle einer kollektiven Schadenersatzvereinbarung:</w:t>
      </w:r>
    </w:p>
    <w:p w14:paraId="3340CE28" w14:textId="77777777" w:rsidR="004932B6" w:rsidRPr="004676F5" w:rsidRDefault="004932B6" w:rsidP="004932B6">
      <w:pPr>
        <w:jc w:val="both"/>
        <w:rPr>
          <w:lang w:val="de-DE"/>
        </w:rPr>
      </w:pPr>
    </w:p>
    <w:p w14:paraId="5831B3FD" w14:textId="6F3C58FF" w:rsidR="004932B6" w:rsidRPr="004676F5" w:rsidRDefault="004932B6" w:rsidP="004932B6">
      <w:pPr>
        <w:jc w:val="both"/>
        <w:rPr>
          <w:lang w:val="de-DE"/>
        </w:rPr>
      </w:pPr>
      <w:r w:rsidRPr="004676F5">
        <w:rPr>
          <w:lang w:val="de-DE"/>
        </w:rPr>
        <w:tab/>
        <w:t>a) bis zur Mitteilung an die Kanzlei durch das KMU und/oder den Verbraucher während der von den Parteien aufgrund des Artikels</w:t>
      </w:r>
      <w:r w:rsidR="0030197B">
        <w:rPr>
          <w:lang w:val="de-DE"/>
        </w:rPr>
        <w:t> </w:t>
      </w:r>
      <w:r w:rsidRPr="004676F5">
        <w:rPr>
          <w:lang w:val="de-DE"/>
        </w:rPr>
        <w:t>XVII.45 § 3 Nr. 7 festgelegten Frist, dass es/er bei Anwendung des Opt-out-Systems nicht der Gruppe angehören möchte, oder</w:t>
      </w:r>
    </w:p>
    <w:p w14:paraId="05D2DA7D" w14:textId="77777777" w:rsidR="004932B6" w:rsidRPr="004676F5" w:rsidRDefault="004932B6" w:rsidP="004932B6">
      <w:pPr>
        <w:jc w:val="both"/>
        <w:rPr>
          <w:lang w:val="de-DE"/>
        </w:rPr>
      </w:pPr>
    </w:p>
    <w:p w14:paraId="05149E44" w14:textId="673B0A57" w:rsidR="004932B6" w:rsidRPr="004676F5" w:rsidRDefault="004932B6" w:rsidP="004932B6">
      <w:pPr>
        <w:jc w:val="both"/>
        <w:rPr>
          <w:lang w:val="de-DE"/>
        </w:rPr>
      </w:pPr>
      <w:r w:rsidRPr="004676F5">
        <w:rPr>
          <w:lang w:val="de-DE"/>
        </w:rPr>
        <w:tab/>
        <w:t>b) bis zum Ablauf der von den Parteien aufgrund des Artikels XVII.45 § 3 Nr. 7 festgelegten Frist, wenn das KMU und/oder der Verbraucher der Kanzlei nicht mitgeteilt hat, dass es/er bei Anwendung des Opt-in-Systems der Gruppe angehören möchte,</w:t>
      </w:r>
    </w:p>
    <w:p w14:paraId="03085AAB" w14:textId="77777777" w:rsidR="004932B6" w:rsidRPr="004676F5" w:rsidRDefault="004932B6" w:rsidP="004932B6">
      <w:pPr>
        <w:jc w:val="both"/>
        <w:rPr>
          <w:lang w:val="de-DE"/>
        </w:rPr>
      </w:pPr>
    </w:p>
    <w:p w14:paraId="728AFBEE" w14:textId="29B304C2" w:rsidR="004932B6" w:rsidRPr="004676F5" w:rsidRDefault="004932B6" w:rsidP="004932B6">
      <w:pPr>
        <w:jc w:val="both"/>
        <w:rPr>
          <w:lang w:val="de-DE"/>
        </w:rPr>
      </w:pPr>
      <w:r w:rsidRPr="004676F5">
        <w:rPr>
          <w:lang w:val="de-DE"/>
        </w:rPr>
        <w:tab/>
        <w:t>4. im Falle einer Entscheidung des Richters zur Sache, mit der dem Beklagten eine Verpflichtung zum kollektiven Schadenersatz auferlegt wird: bis zum Ablauf der in Artikel XVII.55/1 § 1 Absatz 1 erwähnten Frist, wenn der Verbraucher und/oder das KMU der Kanzlei nicht mitgeteilt hat, dass er/es der Gruppe angehören möchte,</w:t>
      </w:r>
    </w:p>
    <w:p w14:paraId="58EFC0F0" w14:textId="77777777" w:rsidR="004932B6" w:rsidRPr="004676F5" w:rsidRDefault="004932B6" w:rsidP="004932B6">
      <w:pPr>
        <w:jc w:val="both"/>
        <w:rPr>
          <w:lang w:val="de-DE"/>
        </w:rPr>
      </w:pPr>
    </w:p>
    <w:p w14:paraId="00C9A21D" w14:textId="77777777" w:rsidR="004932B6" w:rsidRPr="004676F5" w:rsidRDefault="004932B6" w:rsidP="004932B6">
      <w:pPr>
        <w:jc w:val="both"/>
        <w:rPr>
          <w:lang w:val="de-DE"/>
        </w:rPr>
      </w:pPr>
      <w:r w:rsidRPr="004676F5">
        <w:rPr>
          <w:lang w:val="de-DE"/>
        </w:rPr>
        <w:tab/>
        <w:t xml:space="preserve">5. bis zur Veröffentlichung der Entscheidung im </w:t>
      </w:r>
      <w:r w:rsidRPr="004676F5">
        <w:rPr>
          <w:i/>
          <w:iCs/>
          <w:lang w:val="de-DE"/>
        </w:rPr>
        <w:t>Belgischen Staatsblatt</w:t>
      </w:r>
      <w:r w:rsidRPr="004676F5">
        <w:rPr>
          <w:lang w:val="de-DE"/>
        </w:rPr>
        <w:t>, in der der Richter das Ende des Gerichtsverfahrens feststellt, oder</w:t>
      </w:r>
    </w:p>
    <w:p w14:paraId="525CEDBA" w14:textId="77777777" w:rsidR="004932B6" w:rsidRPr="004676F5" w:rsidRDefault="004932B6" w:rsidP="004932B6">
      <w:pPr>
        <w:jc w:val="both"/>
        <w:rPr>
          <w:lang w:val="de-DE"/>
        </w:rPr>
      </w:pPr>
    </w:p>
    <w:p w14:paraId="515512FC" w14:textId="61DDFE68" w:rsidR="00325552" w:rsidRPr="004676F5" w:rsidRDefault="004932B6" w:rsidP="004932B6">
      <w:pPr>
        <w:jc w:val="both"/>
        <w:rPr>
          <w:lang w:val="de-DE"/>
        </w:rPr>
      </w:pPr>
      <w:r w:rsidRPr="004676F5">
        <w:rPr>
          <w:lang w:val="de-DE"/>
        </w:rPr>
        <w:tab/>
        <w:t>6. bis zur Mitteilung an das KMU und/oder den Verbraucher gemäß Artikel</w:t>
      </w:r>
      <w:r w:rsidR="0030197B">
        <w:rPr>
          <w:lang w:val="de-DE"/>
        </w:rPr>
        <w:t> </w:t>
      </w:r>
      <w:r w:rsidRPr="004676F5">
        <w:rPr>
          <w:lang w:val="de-DE"/>
        </w:rPr>
        <w:t>XVII.58</w:t>
      </w:r>
      <w:r w:rsidR="0030197B">
        <w:rPr>
          <w:lang w:val="de-DE"/>
        </w:rPr>
        <w:t> </w:t>
      </w:r>
      <w:r w:rsidRPr="004676F5">
        <w:rPr>
          <w:lang w:val="de-DE"/>
        </w:rPr>
        <w:t>§</w:t>
      </w:r>
      <w:r w:rsidR="0030197B">
        <w:rPr>
          <w:lang w:val="de-DE"/>
        </w:rPr>
        <w:t> </w:t>
      </w:r>
      <w:r w:rsidRPr="004676F5">
        <w:rPr>
          <w:lang w:val="de-DE"/>
        </w:rPr>
        <w:t>5, dass seine Eintragung in die definitive Liste vom Richter verweigert worden ist.]</w:t>
      </w:r>
    </w:p>
    <w:p w14:paraId="4BD31AF9" w14:textId="7CBEA3EF" w:rsidR="00F14498" w:rsidRPr="004676F5" w:rsidRDefault="00F14498" w:rsidP="00325552">
      <w:pPr>
        <w:jc w:val="both"/>
        <w:rPr>
          <w:lang w:val="de-DE"/>
        </w:rPr>
      </w:pPr>
    </w:p>
    <w:p w14:paraId="38A41417" w14:textId="1C103761" w:rsidR="00F14498" w:rsidRPr="004676F5" w:rsidRDefault="00F14498" w:rsidP="00325552">
      <w:pPr>
        <w:jc w:val="both"/>
        <w:rPr>
          <w:i/>
          <w:lang w:val="de-DE"/>
        </w:rPr>
      </w:pPr>
      <w:r w:rsidRPr="004676F5">
        <w:rPr>
          <w:i/>
          <w:lang w:val="de-DE"/>
        </w:rPr>
        <w:t xml:space="preserve">[Art. XVII.63 </w:t>
      </w:r>
      <w:r w:rsidR="004932B6" w:rsidRPr="004676F5">
        <w:rPr>
          <w:i/>
          <w:lang w:val="de-DE"/>
        </w:rPr>
        <w:t xml:space="preserve">ersetzt </w:t>
      </w:r>
      <w:r w:rsidR="004932B6" w:rsidRPr="004676F5">
        <w:rPr>
          <w:i/>
          <w:iCs/>
          <w:lang w:val="de-DE"/>
        </w:rPr>
        <w:t>durch Art. 36 des G. vom 21. April 2024 (II) (B.S. vom 31. Mai 2024)</w:t>
      </w:r>
      <w:r w:rsidRPr="004676F5">
        <w:rPr>
          <w:i/>
          <w:lang w:val="de-DE"/>
        </w:rPr>
        <w:t>]</w:t>
      </w:r>
    </w:p>
    <w:p w14:paraId="47C62357" w14:textId="77777777" w:rsidR="00325552" w:rsidRPr="004676F5" w:rsidRDefault="00325552" w:rsidP="00325552">
      <w:pPr>
        <w:jc w:val="both"/>
        <w:rPr>
          <w:lang w:val="de-DE"/>
        </w:rPr>
      </w:pPr>
    </w:p>
    <w:p w14:paraId="174699A0" w14:textId="77777777" w:rsidR="006367D3" w:rsidRPr="004676F5" w:rsidRDefault="006367D3" w:rsidP="00325552">
      <w:pPr>
        <w:jc w:val="both"/>
        <w:rPr>
          <w:lang w:val="de-DE"/>
        </w:rPr>
      </w:pPr>
    </w:p>
    <w:p w14:paraId="0A803A83" w14:textId="69EDD10B" w:rsidR="00325552" w:rsidRPr="004676F5" w:rsidRDefault="00325552" w:rsidP="00325552">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Zwischenstreite</w:t>
      </w:r>
    </w:p>
    <w:p w14:paraId="74516D95" w14:textId="77777777" w:rsidR="00325552" w:rsidRPr="004676F5" w:rsidRDefault="00325552" w:rsidP="00325552">
      <w:pPr>
        <w:jc w:val="both"/>
        <w:rPr>
          <w:lang w:val="de-DE"/>
        </w:rPr>
      </w:pPr>
    </w:p>
    <w:p w14:paraId="72E5DD98" w14:textId="77777777" w:rsidR="006367D3" w:rsidRPr="004676F5" w:rsidRDefault="006367D3" w:rsidP="00325552">
      <w:pPr>
        <w:jc w:val="both"/>
        <w:rPr>
          <w:lang w:val="de-DE"/>
        </w:rPr>
      </w:pPr>
    </w:p>
    <w:p w14:paraId="777302C8" w14:textId="46C25353"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XVII.64</w:t>
      </w:r>
      <w:r w:rsidRPr="004676F5">
        <w:rPr>
          <w:lang w:val="de-DE"/>
        </w:rPr>
        <w:t> </w:t>
      </w:r>
      <w:r w:rsidR="005B7A5C" w:rsidRPr="004676F5">
        <w:rPr>
          <w:lang w:val="de-DE"/>
        </w:rPr>
        <w:t>- </w:t>
      </w:r>
      <w:r w:rsidRPr="004676F5">
        <w:rPr>
          <w:lang w:val="de-DE"/>
        </w:rPr>
        <w:t>In Abweichung von Artikel 807 des Gerichtsgesetzbuches darf der Gruppenvertreter eine kollektive Schadenersatzklage nicht mehr ändern oder ausdehnen.</w:t>
      </w:r>
    </w:p>
    <w:p w14:paraId="123EA886" w14:textId="77777777" w:rsidR="00325552" w:rsidRPr="004676F5" w:rsidRDefault="00325552" w:rsidP="00325552">
      <w:pPr>
        <w:jc w:val="both"/>
        <w:rPr>
          <w:lang w:val="de-DE"/>
        </w:rPr>
      </w:pPr>
    </w:p>
    <w:p w14:paraId="08D3C585" w14:textId="77777777" w:rsidR="006367D3" w:rsidRPr="004676F5" w:rsidRDefault="006367D3" w:rsidP="00325552">
      <w:pPr>
        <w:jc w:val="both"/>
        <w:rPr>
          <w:lang w:val="de-DE"/>
        </w:rPr>
      </w:pPr>
    </w:p>
    <w:p w14:paraId="3F4D3291" w14:textId="256EE4D4"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XVII.65</w:t>
      </w:r>
      <w:r w:rsidRPr="004676F5">
        <w:rPr>
          <w:lang w:val="de-DE"/>
        </w:rPr>
        <w:t> </w:t>
      </w:r>
      <w:r w:rsidR="005B7A5C" w:rsidRPr="004676F5">
        <w:rPr>
          <w:lang w:val="de-DE"/>
        </w:rPr>
        <w:t>- </w:t>
      </w:r>
      <w:r w:rsidRPr="004676F5">
        <w:rPr>
          <w:lang w:val="de-DE"/>
        </w:rPr>
        <w:t>In Abweichung von Artikel 820 des Gerichtsgesetzbuches kann der Gruppenvertreter das Verfahren nur mit Zustimmung des Richters zurücknehmen.</w:t>
      </w:r>
    </w:p>
    <w:p w14:paraId="0F99C7CF" w14:textId="77777777" w:rsidR="00325552" w:rsidRPr="004676F5" w:rsidRDefault="00325552" w:rsidP="00325552">
      <w:pPr>
        <w:jc w:val="both"/>
        <w:rPr>
          <w:lang w:val="de-DE"/>
        </w:rPr>
      </w:pPr>
    </w:p>
    <w:p w14:paraId="19930F97" w14:textId="044B5A8A" w:rsidR="00325552" w:rsidRPr="004676F5" w:rsidRDefault="00325552" w:rsidP="00325552">
      <w:pPr>
        <w:jc w:val="both"/>
        <w:rPr>
          <w:lang w:val="de-DE"/>
        </w:rPr>
      </w:pPr>
      <w:r w:rsidRPr="004676F5">
        <w:rPr>
          <w:lang w:val="de-DE"/>
        </w:rPr>
        <w:tab/>
      </w:r>
      <w:r w:rsidR="004932B6" w:rsidRPr="004676F5">
        <w:rPr>
          <w:lang w:val="de-DE"/>
        </w:rPr>
        <w:t>[Die Kanzlei übermittelt die Verkündung der Verfahrensrücknahme unverzüglich in elektronischer Form an den FÖD Wirtschaft, der sie in ihrer Gesamtheit auf seiner Website veröffentlicht.]</w:t>
      </w:r>
    </w:p>
    <w:p w14:paraId="39C9E0F5" w14:textId="77777777" w:rsidR="00325552" w:rsidRPr="004676F5" w:rsidRDefault="00325552" w:rsidP="00325552">
      <w:pPr>
        <w:jc w:val="both"/>
        <w:rPr>
          <w:lang w:val="de-DE"/>
        </w:rPr>
      </w:pPr>
    </w:p>
    <w:p w14:paraId="10C7ED53" w14:textId="77777777" w:rsidR="00325552" w:rsidRPr="004676F5" w:rsidRDefault="00325552" w:rsidP="00325552">
      <w:pPr>
        <w:jc w:val="both"/>
        <w:rPr>
          <w:lang w:val="de-DE"/>
        </w:rPr>
      </w:pPr>
      <w:r w:rsidRPr="004676F5">
        <w:rPr>
          <w:lang w:val="de-DE"/>
        </w:rPr>
        <w:tab/>
        <w:t>In Abweichung von Artikel 821 des Gerichtsgesetzbuches kann der Gruppenvertreter die Klage nicht zurücknehmen.</w:t>
      </w:r>
    </w:p>
    <w:p w14:paraId="60E84638" w14:textId="77777777" w:rsidR="00325552" w:rsidRPr="004676F5" w:rsidRDefault="00325552" w:rsidP="00325552">
      <w:pPr>
        <w:jc w:val="both"/>
        <w:rPr>
          <w:lang w:val="de-DE"/>
        </w:rPr>
      </w:pPr>
    </w:p>
    <w:p w14:paraId="122C0F00" w14:textId="47C95286" w:rsidR="004932B6" w:rsidRPr="004676F5" w:rsidRDefault="004932B6" w:rsidP="00325552">
      <w:pPr>
        <w:jc w:val="both"/>
        <w:rPr>
          <w:i/>
          <w:iCs/>
          <w:lang w:val="de-DE"/>
        </w:rPr>
      </w:pPr>
      <w:r w:rsidRPr="004676F5">
        <w:rPr>
          <w:i/>
          <w:iCs/>
          <w:lang w:val="de-DE"/>
        </w:rPr>
        <w:t>[Art.</w:t>
      </w:r>
      <w:r w:rsidR="002F277C">
        <w:rPr>
          <w:i/>
          <w:iCs/>
          <w:lang w:val="de-DE"/>
        </w:rPr>
        <w:t> </w:t>
      </w:r>
      <w:r w:rsidRPr="004676F5">
        <w:rPr>
          <w:i/>
          <w:iCs/>
          <w:lang w:val="de-DE"/>
        </w:rPr>
        <w:t>XVII.65 Abs. 2 ersetzt durch Art. 37 des G. vom 21. April 2024 (II) (B.S. vom 31. Mai 2024)]</w:t>
      </w:r>
    </w:p>
    <w:p w14:paraId="49DAAD9B" w14:textId="77777777" w:rsidR="006367D3" w:rsidRPr="004676F5" w:rsidRDefault="006367D3" w:rsidP="00325552">
      <w:pPr>
        <w:jc w:val="both"/>
        <w:rPr>
          <w:lang w:val="de-DE"/>
        </w:rPr>
      </w:pPr>
    </w:p>
    <w:p w14:paraId="3105F721" w14:textId="77777777" w:rsidR="004932B6" w:rsidRPr="004676F5" w:rsidRDefault="004932B6" w:rsidP="00325552">
      <w:pPr>
        <w:jc w:val="both"/>
        <w:rPr>
          <w:lang w:val="de-DE"/>
        </w:rPr>
      </w:pPr>
    </w:p>
    <w:p w14:paraId="6542F649" w14:textId="235AAF78"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XVII.66</w:t>
      </w:r>
      <w:r w:rsidRPr="004676F5">
        <w:rPr>
          <w:lang w:val="de-DE"/>
        </w:rPr>
        <w:t> </w:t>
      </w:r>
      <w:r w:rsidR="004932B6" w:rsidRPr="004676F5">
        <w:rPr>
          <w:lang w:val="de-DE"/>
        </w:rPr>
        <w:t>-</w:t>
      </w:r>
      <w:r w:rsidR="005B7A5C" w:rsidRPr="004676F5">
        <w:rPr>
          <w:lang w:val="de-DE"/>
        </w:rPr>
        <w:t> </w:t>
      </w:r>
      <w:r w:rsidR="004932B6" w:rsidRPr="004676F5">
        <w:rPr>
          <w:lang w:val="de-DE"/>
        </w:rPr>
        <w:t xml:space="preserve">[§ 1] - </w:t>
      </w:r>
      <w:r w:rsidRPr="004676F5">
        <w:rPr>
          <w:lang w:val="de-DE"/>
        </w:rPr>
        <w:t>In Abweichung von den Artikeln 566 und 856 Absatz 2 des Gerichtsgesetzbuches dürfen eine kollektive Schadenersatzklage und eine individuelle Schadenersatzklage nicht wegen Konnexität miteinander verbunden werden.</w:t>
      </w:r>
    </w:p>
    <w:p w14:paraId="17CEEBFA" w14:textId="77777777" w:rsidR="004932B6" w:rsidRPr="004676F5" w:rsidRDefault="004932B6" w:rsidP="00325552">
      <w:pPr>
        <w:jc w:val="both"/>
        <w:rPr>
          <w:lang w:val="de-DE"/>
        </w:rPr>
      </w:pPr>
    </w:p>
    <w:p w14:paraId="3AD8DF62" w14:textId="1715B3A3" w:rsidR="004932B6" w:rsidRPr="004676F5" w:rsidRDefault="004932B6" w:rsidP="00325552">
      <w:pPr>
        <w:jc w:val="both"/>
        <w:rPr>
          <w:lang w:val="de-DE"/>
        </w:rPr>
      </w:pPr>
      <w:r w:rsidRPr="004676F5">
        <w:rPr>
          <w:lang w:val="de-DE"/>
        </w:rPr>
        <w:tab/>
        <w:t>[Ebenfalls in Abweichung von den Artikeln</w:t>
      </w:r>
      <w:r w:rsidR="002F277C">
        <w:rPr>
          <w:lang w:val="de-DE"/>
        </w:rPr>
        <w:t> </w:t>
      </w:r>
      <w:r w:rsidRPr="004676F5">
        <w:rPr>
          <w:lang w:val="de-DE"/>
        </w:rPr>
        <w:t>566 und 856 Absatz</w:t>
      </w:r>
      <w:r w:rsidR="002F277C">
        <w:rPr>
          <w:lang w:val="de-DE"/>
        </w:rPr>
        <w:t> </w:t>
      </w:r>
      <w:r w:rsidRPr="004676F5">
        <w:rPr>
          <w:lang w:val="de-DE"/>
        </w:rPr>
        <w:t>2 des Gerichtsgesetzbuches dürfen zwei oder mehr kollektive Schadenersatzklagen nur miteinander verbunden werden, solange keine Zulässigkeitsentscheidung im Sinne von Artikel XVII.43 in Bezug auf eine dieser Klagen ergangen ist.]</w:t>
      </w:r>
    </w:p>
    <w:p w14:paraId="17B9127A" w14:textId="77777777" w:rsidR="004932B6" w:rsidRPr="004676F5" w:rsidRDefault="004932B6" w:rsidP="00325552">
      <w:pPr>
        <w:jc w:val="both"/>
        <w:rPr>
          <w:lang w:val="de-DE"/>
        </w:rPr>
      </w:pPr>
    </w:p>
    <w:p w14:paraId="095267BE" w14:textId="3933D743" w:rsidR="004932B6" w:rsidRPr="004676F5" w:rsidRDefault="004932B6" w:rsidP="004932B6">
      <w:pPr>
        <w:jc w:val="both"/>
        <w:rPr>
          <w:lang w:val="de-DE"/>
        </w:rPr>
      </w:pPr>
      <w:r w:rsidRPr="004676F5">
        <w:rPr>
          <w:lang w:val="de-DE"/>
        </w:rPr>
        <w:tab/>
        <w:t>[§ 2 - In Abweichung von den Artikeln 811 bis 814 des Gerichtsgesetzbuches ist eine Klage auf freiwilligen oder erzwungenen Beitritt zu einem Verfahren in Bezug auf kollektiven Schadenersatz nur in den folgenden Fällen zulässig:</w:t>
      </w:r>
    </w:p>
    <w:p w14:paraId="39629CF8" w14:textId="77777777" w:rsidR="004932B6" w:rsidRPr="004676F5" w:rsidRDefault="004932B6" w:rsidP="004932B6">
      <w:pPr>
        <w:jc w:val="both"/>
        <w:rPr>
          <w:lang w:val="de-DE"/>
        </w:rPr>
      </w:pPr>
    </w:p>
    <w:p w14:paraId="172CB1BC" w14:textId="6EF66D0A" w:rsidR="004932B6" w:rsidRPr="004676F5" w:rsidRDefault="004932B6" w:rsidP="004932B6">
      <w:pPr>
        <w:jc w:val="both"/>
        <w:rPr>
          <w:lang w:val="de-DE"/>
        </w:rPr>
      </w:pPr>
      <w:r w:rsidRPr="004676F5">
        <w:rPr>
          <w:lang w:val="de-DE"/>
        </w:rPr>
        <w:tab/>
        <w:t>1. wenn die Klage auf erzwungenen Beitritt vom Gruppenvertreter eingereicht wird, sie auf die Erhebung einer damit zusammenhängenden kollektiven Schadenersatzklage gegen einen anderen Beklagten abzielt und sie vor der Zulässigkeitsentscheidung des Richters wie in Artikel XVII.43 erwähnt erhoben wird,</w:t>
      </w:r>
    </w:p>
    <w:p w14:paraId="28AB3265" w14:textId="77777777" w:rsidR="004932B6" w:rsidRPr="004676F5" w:rsidRDefault="004932B6" w:rsidP="004932B6">
      <w:pPr>
        <w:jc w:val="both"/>
        <w:rPr>
          <w:lang w:val="de-DE"/>
        </w:rPr>
      </w:pPr>
    </w:p>
    <w:p w14:paraId="4AB90FE7" w14:textId="77777777" w:rsidR="004932B6" w:rsidRPr="004676F5" w:rsidRDefault="004932B6" w:rsidP="004932B6">
      <w:pPr>
        <w:jc w:val="both"/>
        <w:rPr>
          <w:lang w:val="de-DE"/>
        </w:rPr>
      </w:pPr>
      <w:r w:rsidRPr="004676F5">
        <w:rPr>
          <w:lang w:val="de-DE"/>
        </w:rPr>
        <w:tab/>
        <w:t>2. wenn die Klage auf erzwungenen Beitritt vom Beklagten eingereicht wird und sie nur auf eine Streitverkündung in Bezug auf eine mögliche Entscheidung zur Sache für die beitretende Partei abzielt,</w:t>
      </w:r>
    </w:p>
    <w:p w14:paraId="38A3E823" w14:textId="77777777" w:rsidR="004932B6" w:rsidRPr="004676F5" w:rsidRDefault="004932B6" w:rsidP="004932B6">
      <w:pPr>
        <w:jc w:val="both"/>
        <w:rPr>
          <w:lang w:val="de-DE"/>
        </w:rPr>
      </w:pPr>
    </w:p>
    <w:p w14:paraId="030D4AAE" w14:textId="5FB48AA5" w:rsidR="004932B6" w:rsidRPr="004676F5" w:rsidRDefault="004932B6" w:rsidP="004932B6">
      <w:pPr>
        <w:jc w:val="both"/>
        <w:rPr>
          <w:lang w:val="de-DE"/>
        </w:rPr>
      </w:pPr>
      <w:r w:rsidRPr="004676F5">
        <w:rPr>
          <w:lang w:val="de-DE"/>
        </w:rPr>
        <w:tab/>
        <w:t>3. wenn die Klage auf freiwilligen Beitritt von einem zugelassenen Gruppenvertreter im Sinne von Artikel XVII.39 eingereicht wird, sie auf die Erhebung einer damit zusammenhängenden kollektiven Schadenersatzklage gegen den Beklagten abzielt und sie vor der Zulässigkeitsentscheidung des Richters wie in Artikel XVII.43 erwähnt erhoben wird und</w:t>
      </w:r>
    </w:p>
    <w:p w14:paraId="2FF69F06" w14:textId="77777777" w:rsidR="004932B6" w:rsidRPr="004676F5" w:rsidRDefault="004932B6" w:rsidP="004932B6">
      <w:pPr>
        <w:jc w:val="both"/>
        <w:rPr>
          <w:lang w:val="de-DE"/>
        </w:rPr>
      </w:pPr>
    </w:p>
    <w:p w14:paraId="433B8742" w14:textId="75223354" w:rsidR="004932B6" w:rsidRPr="004676F5" w:rsidRDefault="004932B6" w:rsidP="004932B6">
      <w:pPr>
        <w:jc w:val="both"/>
        <w:rPr>
          <w:lang w:val="de-DE"/>
        </w:rPr>
      </w:pPr>
      <w:r w:rsidRPr="004676F5">
        <w:rPr>
          <w:lang w:val="de-DE"/>
        </w:rPr>
        <w:tab/>
        <w:t>4. wenn die Klage auf erzwungenen Beitritt von einem Gruppenvertreter oder einem Beklagten eingereicht wird und sie auf die Verurteilung eines Mitglieds der Gruppe zur Zahlung der Verfahrenskosten abzielt, die aufgrund seines vorsätzlichen oder fahrlässigen Verhaltens entstanden sind, wie in Artikel XVII.61 § 4 erwähnt.]</w:t>
      </w:r>
    </w:p>
    <w:p w14:paraId="54EF4CB3" w14:textId="77777777" w:rsidR="00325552" w:rsidRPr="004676F5" w:rsidRDefault="00325552" w:rsidP="00325552">
      <w:pPr>
        <w:jc w:val="both"/>
        <w:rPr>
          <w:lang w:val="de-DE"/>
        </w:rPr>
      </w:pPr>
    </w:p>
    <w:p w14:paraId="419F99D8" w14:textId="6C57D453" w:rsidR="004932B6" w:rsidRPr="004676F5" w:rsidRDefault="004932B6" w:rsidP="00325552">
      <w:pPr>
        <w:jc w:val="both"/>
        <w:rPr>
          <w:i/>
          <w:iCs/>
          <w:lang w:val="de-DE"/>
        </w:rPr>
      </w:pPr>
      <w:r w:rsidRPr="004676F5">
        <w:rPr>
          <w:i/>
          <w:iCs/>
          <w:lang w:val="de-DE"/>
        </w:rPr>
        <w:t xml:space="preserve">[Art. XVII.66 § 1 nummeriert durch Art. 38 Nr. 2 des G. vom 21. April 2024 (II) (B.S. vom 31. Mai 2024); § 1 Abs. 2 eingefügt durch Art. 38 Nr. 1 des G. vom 21. April 2024 (II) (B.S. </w:t>
      </w:r>
      <w:r w:rsidRPr="004676F5">
        <w:rPr>
          <w:i/>
          <w:iCs/>
          <w:lang w:val="de-DE"/>
        </w:rPr>
        <w:lastRenderedPageBreak/>
        <w:t>vom 31. Mai 2024); § 2 eingefügt durch Art. 38 Nr. </w:t>
      </w:r>
      <w:r w:rsidR="0030197B">
        <w:rPr>
          <w:i/>
          <w:iCs/>
          <w:lang w:val="de-DE"/>
        </w:rPr>
        <w:t>2</w:t>
      </w:r>
      <w:r w:rsidRPr="004676F5">
        <w:rPr>
          <w:i/>
          <w:iCs/>
          <w:lang w:val="de-DE"/>
        </w:rPr>
        <w:t xml:space="preserve"> des G. vom 21. April 2024 (II) (B.S. vom 31. Mai 2024)]</w:t>
      </w:r>
    </w:p>
    <w:p w14:paraId="7B5E445E" w14:textId="77777777" w:rsidR="006367D3" w:rsidRPr="004676F5" w:rsidRDefault="006367D3" w:rsidP="00325552">
      <w:pPr>
        <w:jc w:val="both"/>
        <w:rPr>
          <w:lang w:val="de-DE"/>
        </w:rPr>
      </w:pPr>
    </w:p>
    <w:p w14:paraId="1ECDAD30" w14:textId="77777777" w:rsidR="004932B6" w:rsidRPr="004676F5" w:rsidRDefault="004932B6" w:rsidP="00325552">
      <w:pPr>
        <w:jc w:val="both"/>
        <w:rPr>
          <w:lang w:val="de-DE"/>
        </w:rPr>
      </w:pPr>
    </w:p>
    <w:p w14:paraId="6A71C614" w14:textId="6FD7EFE3" w:rsidR="00325552" w:rsidRPr="004676F5" w:rsidRDefault="00325552" w:rsidP="00325552">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Zusammenhang mit anderen Verfahren</w:t>
      </w:r>
    </w:p>
    <w:p w14:paraId="29C8D7E4" w14:textId="77777777" w:rsidR="00325552" w:rsidRPr="004676F5" w:rsidRDefault="00325552" w:rsidP="00325552">
      <w:pPr>
        <w:jc w:val="both"/>
        <w:rPr>
          <w:lang w:val="de-DE"/>
        </w:rPr>
      </w:pPr>
    </w:p>
    <w:p w14:paraId="190F0B84" w14:textId="77777777" w:rsidR="006367D3" w:rsidRPr="004676F5" w:rsidRDefault="006367D3" w:rsidP="00325552">
      <w:pPr>
        <w:jc w:val="both"/>
        <w:rPr>
          <w:lang w:val="de-DE"/>
        </w:rPr>
      </w:pPr>
    </w:p>
    <w:p w14:paraId="71397794" w14:textId="7E6C9F5B"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XVII.67</w:t>
      </w:r>
      <w:r w:rsidRPr="004676F5">
        <w:rPr>
          <w:lang w:val="de-DE"/>
        </w:rPr>
        <w:t> </w:t>
      </w:r>
      <w:r w:rsidR="005B7A5C" w:rsidRPr="004676F5">
        <w:rPr>
          <w:lang w:val="de-DE"/>
        </w:rPr>
        <w:t>- </w:t>
      </w:r>
      <w:r w:rsidRPr="004676F5">
        <w:rPr>
          <w:lang w:val="de-DE"/>
        </w:rPr>
        <w:t>Der Richter entscheidet ungeachtet jeglicher Verfolgung wegen derselben Taten vor einem Strafgericht über die Zulässigkeit einer kollektiven Schadenersatz</w:t>
      </w:r>
      <w:r w:rsidRPr="004676F5">
        <w:rPr>
          <w:lang w:val="de-DE"/>
        </w:rPr>
        <w:softHyphen/>
        <w:t>klage, über die Homologierung einer kollektiven Schadenersatzvereinbarung oder zur Sache.</w:t>
      </w:r>
    </w:p>
    <w:p w14:paraId="44AD648C" w14:textId="77777777" w:rsidR="00325552" w:rsidRPr="004676F5" w:rsidRDefault="00325552" w:rsidP="00325552">
      <w:pPr>
        <w:jc w:val="both"/>
        <w:rPr>
          <w:lang w:val="de-DE"/>
        </w:rPr>
      </w:pPr>
    </w:p>
    <w:p w14:paraId="4AF72B65" w14:textId="6387F766" w:rsidR="00325552" w:rsidRPr="004676F5" w:rsidRDefault="00325552" w:rsidP="00325552">
      <w:pPr>
        <w:jc w:val="both"/>
        <w:rPr>
          <w:lang w:val="de-DE"/>
        </w:rPr>
      </w:pPr>
      <w:r w:rsidRPr="004676F5">
        <w:rPr>
          <w:lang w:val="de-DE"/>
        </w:rPr>
        <w:tab/>
        <w:t>Verbraucher</w:t>
      </w:r>
      <w:r w:rsidR="00F14498" w:rsidRPr="004676F5">
        <w:rPr>
          <w:lang w:val="de-DE"/>
        </w:rPr>
        <w:t xml:space="preserve"> [oder KMU]</w:t>
      </w:r>
      <w:r w:rsidRPr="004676F5">
        <w:rPr>
          <w:lang w:val="de-DE"/>
        </w:rPr>
        <w:t xml:space="preserve">, die als Zivilpartei vor einem Strafgericht auftreten, sind nicht Mitglied der Gruppe und können die kollektive Schadenersatzklage nicht in Anspruch nehmen, es sei denn, sie nehmen ihre Zivilklage </w:t>
      </w:r>
      <w:r w:rsidR="00A84B30" w:rsidRPr="004676F5">
        <w:rPr>
          <w:lang w:val="de-DE"/>
        </w:rPr>
        <w:t>[im Falle einer kollektiven Schadenersatzvereinbarung vor Ablauf der in Artikel XVII.45 § 3 Nr. 7 erwähnten Optionsfrist und im Falle einer Entscheidung des Richters zur Sache, mit der dem Beklagten eine Verpflichtung zum kollektiven Schadenersatz auferlegt wird, vor Ablauf der in Artikel XVII.55/1 § 1 Absatz 1 erwähnten Optionsfrist]</w:t>
      </w:r>
      <w:r w:rsidRPr="004676F5">
        <w:rPr>
          <w:lang w:val="de-DE"/>
        </w:rPr>
        <w:t xml:space="preserve"> zurück.</w:t>
      </w:r>
    </w:p>
    <w:p w14:paraId="0748A80C" w14:textId="77777777" w:rsidR="00325552" w:rsidRPr="004676F5" w:rsidRDefault="00325552" w:rsidP="00325552">
      <w:pPr>
        <w:jc w:val="both"/>
        <w:rPr>
          <w:lang w:val="de-DE"/>
        </w:rPr>
      </w:pPr>
    </w:p>
    <w:p w14:paraId="09638C7C" w14:textId="2ADBE1C4" w:rsidR="006367D3" w:rsidRPr="004676F5" w:rsidRDefault="00F14498" w:rsidP="00325552">
      <w:pPr>
        <w:jc w:val="both"/>
        <w:rPr>
          <w:i/>
          <w:lang w:val="de-DE"/>
        </w:rPr>
      </w:pPr>
      <w:r w:rsidRPr="004676F5">
        <w:rPr>
          <w:i/>
          <w:lang w:val="de-DE"/>
        </w:rPr>
        <w:t>[Art. XVII.67 Abs. 2 abgeändert durch Art. 11 des G. vom 30. März 2018 (B.S. vom 22. Mai 2018)</w:t>
      </w:r>
      <w:r w:rsidR="00A84B30" w:rsidRPr="004676F5">
        <w:rPr>
          <w:i/>
          <w:lang w:val="de-DE"/>
        </w:rPr>
        <w:t xml:space="preserve"> und </w:t>
      </w:r>
      <w:r w:rsidR="00A84B30" w:rsidRPr="004676F5">
        <w:rPr>
          <w:i/>
          <w:iCs/>
          <w:lang w:val="de-DE"/>
        </w:rPr>
        <w:t>Art. 39 des G. vom 21. April 2024 (II) (B.S. vom 31. Mai 2024)</w:t>
      </w:r>
      <w:r w:rsidRPr="004676F5">
        <w:rPr>
          <w:i/>
          <w:lang w:val="de-DE"/>
        </w:rPr>
        <w:t>]</w:t>
      </w:r>
    </w:p>
    <w:p w14:paraId="09CABD3D" w14:textId="66A973B3" w:rsidR="00F14498" w:rsidRPr="004676F5" w:rsidRDefault="00F14498" w:rsidP="00325552">
      <w:pPr>
        <w:jc w:val="both"/>
        <w:rPr>
          <w:i/>
          <w:lang w:val="de-DE"/>
        </w:rPr>
      </w:pPr>
    </w:p>
    <w:p w14:paraId="0DC88C26" w14:textId="77777777" w:rsidR="00F14498" w:rsidRPr="004676F5" w:rsidRDefault="00F14498" w:rsidP="00325552">
      <w:pPr>
        <w:jc w:val="both"/>
        <w:rPr>
          <w:i/>
          <w:lang w:val="de-DE"/>
        </w:rPr>
      </w:pPr>
    </w:p>
    <w:p w14:paraId="4B112665" w14:textId="7D938ACE"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XVII.68</w:t>
      </w:r>
      <w:r w:rsidRPr="004676F5">
        <w:rPr>
          <w:lang w:val="de-DE"/>
        </w:rPr>
        <w:t> </w:t>
      </w:r>
      <w:r w:rsidR="005B7A5C" w:rsidRPr="004676F5">
        <w:rPr>
          <w:lang w:val="de-DE"/>
        </w:rPr>
        <w:t>- </w:t>
      </w:r>
      <w:r w:rsidRPr="004676F5">
        <w:rPr>
          <w:lang w:val="de-DE"/>
        </w:rPr>
        <w:t xml:space="preserve">Die kollektive Schadenersatzklage steht der Teilnahme eines Mitglieds der Gruppe und des Beklagten wegen einer selben Ursache an der außergerichtlichen Beilegung eines Rechtsstreits nicht entgegen. Führt eine solche Beilegung zu einer Lösung des Rechtsstreits, verliert der Verbraucher </w:t>
      </w:r>
      <w:r w:rsidR="00F14498" w:rsidRPr="004676F5">
        <w:rPr>
          <w:lang w:val="de-DE"/>
        </w:rPr>
        <w:t xml:space="preserve">[oder das KMU] </w:t>
      </w:r>
      <w:r w:rsidRPr="004676F5">
        <w:rPr>
          <w:lang w:val="de-DE"/>
        </w:rPr>
        <w:t>seine Eigenschaft als Mitglied der Gruppe und der Beklagte setzt die Kanzlei davon in Kenntnis.</w:t>
      </w:r>
    </w:p>
    <w:p w14:paraId="6BFAD71E" w14:textId="59823152" w:rsidR="00325552" w:rsidRPr="004676F5" w:rsidRDefault="00325552" w:rsidP="00325552">
      <w:pPr>
        <w:jc w:val="both"/>
        <w:rPr>
          <w:lang w:val="de-DE"/>
        </w:rPr>
      </w:pPr>
    </w:p>
    <w:p w14:paraId="72AB0E12" w14:textId="790297C0" w:rsidR="00F14498" w:rsidRPr="004676F5" w:rsidRDefault="00F14498" w:rsidP="00325552">
      <w:pPr>
        <w:jc w:val="both"/>
        <w:rPr>
          <w:i/>
          <w:lang w:val="de-DE"/>
        </w:rPr>
      </w:pPr>
      <w:r w:rsidRPr="004676F5">
        <w:rPr>
          <w:i/>
          <w:lang w:val="de-DE"/>
        </w:rPr>
        <w:t>[Art. XVII.68 abgeändert durch Art. 12 des G. vom 30. März 2018 (B.S. vom 22. Mai 2018)]</w:t>
      </w:r>
    </w:p>
    <w:p w14:paraId="7384957C" w14:textId="77777777" w:rsidR="00F14498" w:rsidRPr="004676F5" w:rsidRDefault="00F14498" w:rsidP="00325552">
      <w:pPr>
        <w:jc w:val="both"/>
        <w:rPr>
          <w:i/>
          <w:lang w:val="de-DE"/>
        </w:rPr>
      </w:pPr>
    </w:p>
    <w:p w14:paraId="111B7F5B" w14:textId="77777777" w:rsidR="0031470F" w:rsidRPr="004676F5" w:rsidRDefault="0031470F" w:rsidP="00325552">
      <w:pPr>
        <w:jc w:val="both"/>
        <w:rPr>
          <w:lang w:val="de-DE"/>
        </w:rPr>
      </w:pPr>
    </w:p>
    <w:p w14:paraId="66F1776F" w14:textId="66D8A89C" w:rsidR="00325552" w:rsidRPr="004676F5" w:rsidRDefault="00325552" w:rsidP="00325552">
      <w:pPr>
        <w:jc w:val="both"/>
        <w:rPr>
          <w:lang w:val="de-DE"/>
        </w:rPr>
      </w:pPr>
      <w:r w:rsidRPr="004676F5">
        <w:rPr>
          <w:lang w:val="de-DE"/>
        </w:rPr>
        <w:tab/>
      </w:r>
      <w:r w:rsidR="00BE0A56" w:rsidRPr="004676F5">
        <w:rPr>
          <w:b/>
          <w:lang w:val="de-DE"/>
        </w:rPr>
        <w:t>Art. </w:t>
      </w:r>
      <w:r w:rsidRPr="004676F5">
        <w:rPr>
          <w:b/>
          <w:lang w:val="de-DE"/>
        </w:rPr>
        <w:t>XVII.69</w:t>
      </w:r>
      <w:r w:rsidRPr="004676F5">
        <w:rPr>
          <w:lang w:val="de-DE"/>
        </w:rPr>
        <w:t> </w:t>
      </w:r>
      <w:r w:rsidR="005B7A5C" w:rsidRPr="004676F5">
        <w:rPr>
          <w:lang w:val="de-DE"/>
        </w:rPr>
        <w:t>- </w:t>
      </w:r>
      <w:r w:rsidRPr="004676F5">
        <w:rPr>
          <w:lang w:val="de-DE"/>
        </w:rPr>
        <w:t xml:space="preserve">Sobald </w:t>
      </w:r>
      <w:r w:rsidR="00A84B30" w:rsidRPr="004676F5">
        <w:rPr>
          <w:lang w:val="de-DE"/>
        </w:rPr>
        <w:t>[der Geschädigte gemäß Artikel XVII.45 § 3 Nr. 7 oder Artikel XVII.55/1 Mitglied der Gruppe wird]</w:t>
      </w:r>
      <w:r w:rsidRPr="004676F5">
        <w:rPr>
          <w:lang w:val="de-DE"/>
        </w:rPr>
        <w:t>:</w:t>
      </w:r>
    </w:p>
    <w:p w14:paraId="587FD210" w14:textId="77777777" w:rsidR="00325552" w:rsidRPr="004676F5" w:rsidRDefault="00325552" w:rsidP="00325552">
      <w:pPr>
        <w:jc w:val="both"/>
        <w:rPr>
          <w:lang w:val="de-DE"/>
        </w:rPr>
      </w:pPr>
    </w:p>
    <w:p w14:paraId="3AAA8981" w14:textId="0945C3D7"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 xml:space="preserve">erlöschen individuelle Verfahren, die bereits mit demselben Gegenstand und wegen derselben Ursache </w:t>
      </w:r>
      <w:r w:rsidR="00A84B30" w:rsidRPr="004676F5">
        <w:rPr>
          <w:lang w:val="de-DE"/>
        </w:rPr>
        <w:t>[von dieser Person]</w:t>
      </w:r>
      <w:r w:rsidRPr="004676F5">
        <w:rPr>
          <w:lang w:val="de-DE"/>
        </w:rPr>
        <w:t xml:space="preserve"> gegen denselben Beklagten eingeleitet worden sind,</w:t>
      </w:r>
    </w:p>
    <w:p w14:paraId="3B69DD99" w14:textId="77777777" w:rsidR="00325552" w:rsidRPr="004676F5" w:rsidRDefault="00325552" w:rsidP="00325552">
      <w:pPr>
        <w:jc w:val="both"/>
        <w:rPr>
          <w:lang w:val="de-DE"/>
        </w:rPr>
      </w:pPr>
    </w:p>
    <w:p w14:paraId="67671836" w14:textId="0CB18D39" w:rsidR="00325552" w:rsidRPr="004676F5" w:rsidRDefault="00325552" w:rsidP="00325552">
      <w:pPr>
        <w:jc w:val="both"/>
        <w:rPr>
          <w:lang w:val="de-DE"/>
        </w:rPr>
      </w:pPr>
      <w:r w:rsidRPr="004676F5">
        <w:rPr>
          <w:lang w:val="de-DE"/>
        </w:rPr>
        <w:tab/>
      </w:r>
      <w:r w:rsidR="005B7A5C" w:rsidRPr="004676F5">
        <w:rPr>
          <w:lang w:val="de-DE"/>
        </w:rPr>
        <w:t>- </w:t>
      </w:r>
      <w:r w:rsidRPr="004676F5">
        <w:rPr>
          <w:lang w:val="de-DE"/>
        </w:rPr>
        <w:t xml:space="preserve">sind neue individuelle Verfahren, die mit demselben Gegenstand und wegen derselben Ursache </w:t>
      </w:r>
      <w:r w:rsidR="00A84B30" w:rsidRPr="004676F5">
        <w:rPr>
          <w:lang w:val="de-DE"/>
        </w:rPr>
        <w:t>[von dieser Person]</w:t>
      </w:r>
      <w:r w:rsidRPr="004676F5">
        <w:rPr>
          <w:lang w:val="de-DE"/>
        </w:rPr>
        <w:t xml:space="preserve"> gegen denselben Beklagten eingeleitet werden, unzulässig.</w:t>
      </w:r>
      <w:r w:rsidR="0031470F" w:rsidRPr="004676F5">
        <w:rPr>
          <w:lang w:val="de-DE"/>
        </w:rPr>
        <w:t>]</w:t>
      </w:r>
    </w:p>
    <w:p w14:paraId="7918C374" w14:textId="77777777" w:rsidR="002F21FF" w:rsidRPr="004676F5" w:rsidRDefault="002F21FF" w:rsidP="00325552">
      <w:pPr>
        <w:jc w:val="both"/>
        <w:rPr>
          <w:lang w:val="de-DE"/>
        </w:rPr>
      </w:pPr>
    </w:p>
    <w:p w14:paraId="68FFF419" w14:textId="4C0D2711" w:rsidR="00A84B30" w:rsidRPr="004676F5" w:rsidRDefault="00A84B30" w:rsidP="00325552">
      <w:pPr>
        <w:jc w:val="both"/>
        <w:rPr>
          <w:i/>
          <w:iCs/>
          <w:lang w:val="de-DE"/>
        </w:rPr>
      </w:pPr>
      <w:r w:rsidRPr="004676F5">
        <w:rPr>
          <w:i/>
          <w:iCs/>
          <w:lang w:val="de-DE"/>
        </w:rPr>
        <w:t>[Art.</w:t>
      </w:r>
      <w:r w:rsidR="002F277C">
        <w:rPr>
          <w:i/>
          <w:iCs/>
          <w:lang w:val="de-DE"/>
        </w:rPr>
        <w:t> </w:t>
      </w:r>
      <w:r w:rsidRPr="004676F5">
        <w:rPr>
          <w:i/>
          <w:iCs/>
          <w:lang w:val="de-DE"/>
        </w:rPr>
        <w:t>XVII.69 einziger Absatz einleitende Bestimmung abgeändert durch Art. 40 Nr. 1 des G. vom 21. April 2024 (II) (B.S. vom 31. Mai 2024); einziger Absatz erster und zweiter Gedankenstrich abgeändert durch Art. 40 Nr. </w:t>
      </w:r>
      <w:r w:rsidR="002F277C">
        <w:rPr>
          <w:i/>
          <w:iCs/>
          <w:lang w:val="de-DE"/>
        </w:rPr>
        <w:t>2</w:t>
      </w:r>
      <w:r w:rsidRPr="004676F5">
        <w:rPr>
          <w:i/>
          <w:iCs/>
          <w:lang w:val="de-DE"/>
        </w:rPr>
        <w:t xml:space="preserve"> des G. vom 21. April 2024 (II) (B.S. vom 31. Mai 2024)]</w:t>
      </w:r>
    </w:p>
    <w:p w14:paraId="5DCD59C8" w14:textId="77777777" w:rsidR="00A84B30" w:rsidRPr="004676F5" w:rsidRDefault="00A84B30" w:rsidP="00325552">
      <w:pPr>
        <w:jc w:val="both"/>
        <w:rPr>
          <w:lang w:val="de-DE"/>
        </w:rPr>
      </w:pPr>
    </w:p>
    <w:p w14:paraId="460F324D" w14:textId="77777777" w:rsidR="002F21FF" w:rsidRPr="004676F5" w:rsidRDefault="002F21FF" w:rsidP="00325552">
      <w:pPr>
        <w:jc w:val="both"/>
        <w:rPr>
          <w:lang w:val="de-DE"/>
        </w:rPr>
      </w:pPr>
      <w:r w:rsidRPr="004676F5">
        <w:rPr>
          <w:lang w:val="de-DE"/>
        </w:rPr>
        <w:tab/>
      </w:r>
    </w:p>
    <w:p w14:paraId="402F9DDF" w14:textId="77777777" w:rsidR="002F277C" w:rsidRDefault="002F277C">
      <w:pPr>
        <w:rPr>
          <w:lang w:val="de-DE"/>
        </w:rPr>
      </w:pPr>
      <w:r>
        <w:rPr>
          <w:lang w:val="de-DE"/>
        </w:rPr>
        <w:br w:type="page"/>
      </w:r>
    </w:p>
    <w:p w14:paraId="500982DF" w14:textId="2FA0A03A" w:rsidR="002F21FF" w:rsidRPr="004676F5" w:rsidRDefault="002F21FF" w:rsidP="00325552">
      <w:pPr>
        <w:jc w:val="both"/>
        <w:rPr>
          <w:lang w:val="de-DE"/>
        </w:rPr>
      </w:pPr>
      <w:r w:rsidRPr="004676F5">
        <w:rPr>
          <w:lang w:val="de-DE"/>
        </w:rPr>
        <w:lastRenderedPageBreak/>
        <w:tab/>
        <w:t>[</w:t>
      </w:r>
      <w:r w:rsidR="00BE0A56" w:rsidRPr="004676F5">
        <w:rPr>
          <w:b/>
          <w:lang w:val="de-DE"/>
        </w:rPr>
        <w:t>Art. </w:t>
      </w:r>
      <w:r w:rsidRPr="004676F5">
        <w:rPr>
          <w:b/>
          <w:lang w:val="de-DE"/>
        </w:rPr>
        <w:t>XVII.70</w:t>
      </w:r>
      <w:r w:rsidRPr="004676F5">
        <w:rPr>
          <w:lang w:val="de-DE"/>
        </w:rPr>
        <w:t> </w:t>
      </w:r>
      <w:r w:rsidR="005B7A5C" w:rsidRPr="004676F5">
        <w:rPr>
          <w:lang w:val="de-DE"/>
        </w:rPr>
        <w:t>- </w:t>
      </w:r>
      <w:r w:rsidRPr="004676F5">
        <w:rPr>
          <w:lang w:val="de-DE"/>
        </w:rPr>
        <w:t xml:space="preserve">Unbeschadet der Bestimmungen des vorliegenden Titels sind die Bestimmungen von Buch XVII Titel 3 auf kollektive Schadenersatzklagen wegen Zuwiderhandlungen gegen das Wettbewerbsrecht anwendbar, die durch vorliegenden Titel eingeführt worden sind, </w:t>
      </w:r>
      <w:r w:rsidR="00885A31" w:rsidRPr="004676F5">
        <w:rPr>
          <w:lang w:val="de-DE"/>
        </w:rPr>
        <w:t>[</w:t>
      </w:r>
      <w:r w:rsidRPr="004676F5">
        <w:rPr>
          <w:lang w:val="de-DE"/>
        </w:rPr>
        <w:t>Artikel XVII.89 ausgenommen</w:t>
      </w:r>
      <w:r w:rsidR="00885A31" w:rsidRPr="004676F5">
        <w:rPr>
          <w:lang w:val="de-DE"/>
        </w:rPr>
        <w:t>]</w:t>
      </w:r>
      <w:r w:rsidRPr="004676F5">
        <w:rPr>
          <w:lang w:val="de-DE"/>
        </w:rPr>
        <w:t>.]</w:t>
      </w:r>
    </w:p>
    <w:p w14:paraId="17EE891E" w14:textId="77777777" w:rsidR="005E209B" w:rsidRPr="004676F5" w:rsidRDefault="005E209B" w:rsidP="00325552">
      <w:pPr>
        <w:jc w:val="both"/>
        <w:rPr>
          <w:lang w:val="de-DE"/>
        </w:rPr>
      </w:pPr>
    </w:p>
    <w:p w14:paraId="2A74F1A3" w14:textId="6DD5D285" w:rsidR="005E209B" w:rsidRPr="004676F5" w:rsidRDefault="005E209B" w:rsidP="00885A31">
      <w:pPr>
        <w:jc w:val="both"/>
        <w:rPr>
          <w:lang w:val="de-DE"/>
        </w:rPr>
      </w:pPr>
      <w:r w:rsidRPr="004676F5">
        <w:rPr>
          <w:i/>
          <w:lang w:val="de-DE"/>
        </w:rPr>
        <w:t>[</w:t>
      </w:r>
      <w:r w:rsidR="00BE0A56" w:rsidRPr="004676F5">
        <w:rPr>
          <w:i/>
          <w:lang w:val="de-DE"/>
        </w:rPr>
        <w:t>Art. </w:t>
      </w:r>
      <w:r w:rsidRPr="004676F5">
        <w:rPr>
          <w:i/>
          <w:lang w:val="de-DE"/>
        </w:rPr>
        <w:t xml:space="preserve">XVII.70 eingefügt durch </w:t>
      </w:r>
      <w:r w:rsidR="00BE0A56" w:rsidRPr="004676F5">
        <w:rPr>
          <w:i/>
          <w:lang w:val="de-DE"/>
        </w:rPr>
        <w:t>Art. </w:t>
      </w:r>
      <w:r w:rsidRPr="004676F5">
        <w:rPr>
          <w:i/>
          <w:lang w:val="de-DE"/>
        </w:rPr>
        <w:t>10 des G. vom 6. Juni 2017 (B.S. vom 12. Juni 2017)</w:t>
      </w:r>
      <w:r w:rsidR="00885A31" w:rsidRPr="004676F5">
        <w:rPr>
          <w:i/>
          <w:lang w:val="de-DE"/>
        </w:rPr>
        <w:t xml:space="preserve"> und abgeändert durch Art. 39 des G. vom 2. Mai 2019 (IV) (B.S. vom 22. Mai 2019)</w:t>
      </w:r>
      <w:r w:rsidRPr="004676F5">
        <w:rPr>
          <w:i/>
          <w:lang w:val="de-DE"/>
        </w:rPr>
        <w:t>]</w:t>
      </w:r>
      <w:r w:rsidRPr="004676F5">
        <w:rPr>
          <w:lang w:val="de-DE"/>
        </w:rPr>
        <w:br w:type="page"/>
      </w:r>
    </w:p>
    <w:p w14:paraId="6366D63A" w14:textId="408272AF" w:rsidR="005E209B" w:rsidRPr="004676F5" w:rsidRDefault="005E209B" w:rsidP="005E209B">
      <w:pPr>
        <w:jc w:val="center"/>
        <w:rPr>
          <w:b/>
          <w:lang w:val="de-DE"/>
        </w:rPr>
      </w:pPr>
      <w:r w:rsidRPr="004676F5">
        <w:rPr>
          <w:lang w:val="de-DE"/>
        </w:rPr>
        <w:lastRenderedPageBreak/>
        <w:t>[</w:t>
      </w:r>
      <w:r w:rsidRPr="004676F5">
        <w:rPr>
          <w:b/>
          <w:lang w:val="de-DE"/>
        </w:rPr>
        <w:t>TITEL 3 </w:t>
      </w:r>
      <w:r w:rsidR="005B7A5C" w:rsidRPr="004676F5">
        <w:rPr>
          <w:b/>
          <w:lang w:val="de-DE"/>
        </w:rPr>
        <w:t>- </w:t>
      </w:r>
      <w:r w:rsidR="002F0EBE" w:rsidRPr="004676F5">
        <w:rPr>
          <w:b/>
          <w:i/>
          <w:lang w:val="de-DE"/>
        </w:rPr>
        <w:t>Schadenersatzklagen wegen Zuwiderhandlungen gegen das Wettbewerbsrecht</w:t>
      </w:r>
      <w:r w:rsidR="002F0EBE" w:rsidRPr="004676F5">
        <w:rPr>
          <w:lang w:val="de-DE"/>
        </w:rPr>
        <w:t>]</w:t>
      </w:r>
      <w:r w:rsidR="002F0EBE" w:rsidRPr="004676F5">
        <w:rPr>
          <w:b/>
          <w:i/>
          <w:lang w:val="de-DE"/>
        </w:rPr>
        <w:t xml:space="preserve"> </w:t>
      </w:r>
    </w:p>
    <w:p w14:paraId="7B354B01" w14:textId="77777777" w:rsidR="005E209B" w:rsidRPr="004676F5" w:rsidRDefault="005E209B" w:rsidP="005E209B">
      <w:pPr>
        <w:jc w:val="both"/>
        <w:rPr>
          <w:lang w:val="de-DE"/>
        </w:rPr>
      </w:pPr>
    </w:p>
    <w:p w14:paraId="468B60B2" w14:textId="24BDBA1C" w:rsidR="005E209B" w:rsidRPr="00B14651" w:rsidRDefault="005E209B" w:rsidP="005E209B">
      <w:pPr>
        <w:jc w:val="both"/>
        <w:rPr>
          <w:i/>
          <w:lang w:val="de-DE"/>
        </w:rPr>
      </w:pPr>
      <w:r w:rsidRPr="004676F5">
        <w:rPr>
          <w:i/>
          <w:lang w:val="de-DE"/>
        </w:rPr>
        <w:t>[</w:t>
      </w:r>
      <w:r w:rsidR="002F0EBE" w:rsidRPr="004676F5">
        <w:rPr>
          <w:i/>
          <w:lang w:val="de-DE"/>
        </w:rPr>
        <w:t xml:space="preserve">Unterteilung </w:t>
      </w:r>
      <w:r w:rsidRPr="004676F5">
        <w:rPr>
          <w:i/>
          <w:lang w:val="de-DE"/>
        </w:rPr>
        <w:t>Titel </w:t>
      </w:r>
      <w:r w:rsidR="002F0EBE" w:rsidRPr="004676F5">
        <w:rPr>
          <w:i/>
          <w:lang w:val="de-DE"/>
        </w:rPr>
        <w:t>3</w:t>
      </w:r>
      <w:r w:rsidRPr="004676F5">
        <w:rPr>
          <w:i/>
          <w:lang w:val="de-DE"/>
        </w:rPr>
        <w:t xml:space="preserve"> eingefügt durch </w:t>
      </w:r>
      <w:r w:rsidR="00BE0A56" w:rsidRPr="004676F5">
        <w:rPr>
          <w:i/>
          <w:lang w:val="de-DE"/>
        </w:rPr>
        <w:t>Art. </w:t>
      </w:r>
      <w:r w:rsidR="002F0EBE" w:rsidRPr="004676F5">
        <w:rPr>
          <w:i/>
          <w:lang w:val="de-DE"/>
        </w:rPr>
        <w:t>11 des G. vom 6. </w:t>
      </w:r>
      <w:r w:rsidR="002F0EBE" w:rsidRPr="00B14651">
        <w:rPr>
          <w:i/>
          <w:lang w:val="de-DE"/>
        </w:rPr>
        <w:t>Juni 2017 (B.S. vom 12. Juni 2017)</w:t>
      </w:r>
      <w:r w:rsidRPr="00B14651">
        <w:rPr>
          <w:i/>
          <w:lang w:val="de-DE"/>
        </w:rPr>
        <w:t>]</w:t>
      </w:r>
    </w:p>
    <w:p w14:paraId="6C0965E7" w14:textId="77777777" w:rsidR="002F0EBE" w:rsidRPr="00B14651" w:rsidRDefault="002F0EBE" w:rsidP="005E209B">
      <w:pPr>
        <w:jc w:val="both"/>
        <w:rPr>
          <w:lang w:val="de-DE"/>
        </w:rPr>
      </w:pPr>
    </w:p>
    <w:p w14:paraId="3F973592" w14:textId="77777777" w:rsidR="002F0EBE" w:rsidRPr="00B14651" w:rsidRDefault="002F0EBE" w:rsidP="005E209B">
      <w:pPr>
        <w:jc w:val="both"/>
        <w:rPr>
          <w:lang w:val="de-DE"/>
        </w:rPr>
      </w:pPr>
    </w:p>
    <w:p w14:paraId="26EEF62F" w14:textId="486B3508" w:rsidR="002F0EBE" w:rsidRPr="004676F5" w:rsidRDefault="002F0EBE" w:rsidP="002F0EBE">
      <w:pPr>
        <w:jc w:val="center"/>
        <w:rPr>
          <w:lang w:val="de-DE"/>
        </w:rPr>
      </w:pPr>
      <w:r w:rsidRPr="004676F5">
        <w:rPr>
          <w:lang w:val="de-DE"/>
        </w:rPr>
        <w:t>[KAPITEL 1 </w:t>
      </w:r>
      <w:r w:rsidR="005B7A5C" w:rsidRPr="004676F5">
        <w:rPr>
          <w:lang w:val="de-DE"/>
        </w:rPr>
        <w:t>- </w:t>
      </w:r>
      <w:r w:rsidRPr="004676F5">
        <w:rPr>
          <w:i/>
          <w:lang w:val="de-DE"/>
        </w:rPr>
        <w:t>Anwendungsbereich</w:t>
      </w:r>
      <w:r w:rsidRPr="004676F5">
        <w:rPr>
          <w:lang w:val="de-DE"/>
        </w:rPr>
        <w:t>]</w:t>
      </w:r>
    </w:p>
    <w:p w14:paraId="3867423D" w14:textId="77777777" w:rsidR="002F0EBE" w:rsidRPr="004676F5" w:rsidRDefault="002F0EBE" w:rsidP="002F0EBE">
      <w:pPr>
        <w:jc w:val="center"/>
        <w:rPr>
          <w:lang w:val="de-DE"/>
        </w:rPr>
      </w:pPr>
    </w:p>
    <w:p w14:paraId="6C64FDD7" w14:textId="273BF9B1" w:rsidR="002F0EBE" w:rsidRPr="00B14651" w:rsidRDefault="002F0EBE" w:rsidP="002F0EBE">
      <w:pPr>
        <w:jc w:val="both"/>
        <w:rPr>
          <w:i/>
          <w:lang w:val="de-DE"/>
        </w:rPr>
      </w:pPr>
      <w:r w:rsidRPr="004676F5">
        <w:rPr>
          <w:i/>
          <w:lang w:val="de-DE"/>
        </w:rPr>
        <w:t xml:space="preserve">[Unterteilung Kapitel 1 eingefügt durch </w:t>
      </w:r>
      <w:r w:rsidR="00BE0A56" w:rsidRPr="004676F5">
        <w:rPr>
          <w:i/>
          <w:lang w:val="de-DE"/>
        </w:rPr>
        <w:t>Art. </w:t>
      </w:r>
      <w:r w:rsidRPr="004676F5">
        <w:rPr>
          <w:i/>
          <w:lang w:val="de-DE"/>
        </w:rPr>
        <w:t>12 des G. vom 6. </w:t>
      </w:r>
      <w:r w:rsidRPr="00B14651">
        <w:rPr>
          <w:i/>
          <w:lang w:val="de-DE"/>
        </w:rPr>
        <w:t>Juni 2017 (B.S. vom 12. Juni 2017)]</w:t>
      </w:r>
    </w:p>
    <w:p w14:paraId="796B1F95" w14:textId="77777777" w:rsidR="002F0EBE" w:rsidRPr="00B14651" w:rsidRDefault="002F0EBE" w:rsidP="002F0EBE">
      <w:pPr>
        <w:jc w:val="both"/>
        <w:rPr>
          <w:lang w:val="de-DE"/>
        </w:rPr>
      </w:pPr>
    </w:p>
    <w:p w14:paraId="1DA78859" w14:textId="77777777" w:rsidR="002F0EBE" w:rsidRPr="00B14651" w:rsidRDefault="002F0EBE" w:rsidP="002F0EBE">
      <w:pPr>
        <w:jc w:val="both"/>
        <w:rPr>
          <w:lang w:val="de-DE"/>
        </w:rPr>
      </w:pPr>
    </w:p>
    <w:p w14:paraId="3F26837E" w14:textId="235E5F3F" w:rsidR="002F0EBE" w:rsidRPr="004676F5" w:rsidRDefault="002F0EBE" w:rsidP="002F0EB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XVII.71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Vorliegender Artikel ist auf Schadenersatzklagen wegen Zuwiderhandlungen gegen das Wettbewerbsrecht anwendbar.</w:t>
      </w:r>
    </w:p>
    <w:p w14:paraId="438F455A" w14:textId="77777777" w:rsidR="002F0EBE" w:rsidRPr="004676F5" w:rsidRDefault="002F0EBE" w:rsidP="002F0EBE">
      <w:pPr>
        <w:jc w:val="both"/>
        <w:rPr>
          <w:lang w:val="de-DE"/>
        </w:rPr>
      </w:pPr>
    </w:p>
    <w:p w14:paraId="6A645998" w14:textId="0F37BB43"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Vorliegender Titel legt Regeln fest, die unbeschadet des für Schadenersatzklagen geltenden allgemeinen Rechts anwendbar sind. Bei Kollision mit dem allgemeinen Recht haben die Regeln, die durch die Bestimmungen des vorliegenden Gesetzes festgelegt werden, Vorrang.]</w:t>
      </w:r>
    </w:p>
    <w:p w14:paraId="26CE1C7F" w14:textId="77777777" w:rsidR="002F0EBE" w:rsidRPr="004676F5" w:rsidRDefault="002F0EBE" w:rsidP="002F0EBE">
      <w:pPr>
        <w:jc w:val="both"/>
        <w:rPr>
          <w:lang w:val="de-DE"/>
        </w:rPr>
      </w:pPr>
    </w:p>
    <w:p w14:paraId="4C280CC7" w14:textId="075B894D" w:rsidR="002F0EBE" w:rsidRPr="00B14651" w:rsidRDefault="002F0EBE" w:rsidP="002F0EBE">
      <w:pPr>
        <w:jc w:val="both"/>
        <w:rPr>
          <w:i/>
          <w:lang w:val="de-DE"/>
        </w:rPr>
      </w:pPr>
      <w:r w:rsidRPr="004676F5">
        <w:rPr>
          <w:i/>
          <w:lang w:val="de-DE"/>
        </w:rPr>
        <w:t>[</w:t>
      </w:r>
      <w:r w:rsidR="00BE0A56" w:rsidRPr="004676F5">
        <w:rPr>
          <w:i/>
          <w:lang w:val="de-DE"/>
        </w:rPr>
        <w:t>Art. </w:t>
      </w:r>
      <w:r w:rsidRPr="004676F5">
        <w:rPr>
          <w:i/>
          <w:lang w:val="de-DE"/>
        </w:rPr>
        <w:t xml:space="preserve">XVII.71 eingefügt durch </w:t>
      </w:r>
      <w:r w:rsidR="00BE0A56" w:rsidRPr="004676F5">
        <w:rPr>
          <w:i/>
          <w:lang w:val="de-DE"/>
        </w:rPr>
        <w:t>Art. </w:t>
      </w:r>
      <w:r w:rsidRPr="004676F5">
        <w:rPr>
          <w:i/>
          <w:lang w:val="de-DE"/>
        </w:rPr>
        <w:t>13 des G. vom 6. </w:t>
      </w:r>
      <w:r w:rsidRPr="00B14651">
        <w:rPr>
          <w:i/>
          <w:lang w:val="de-DE"/>
        </w:rPr>
        <w:t>Juni 2017 (B.S. vom 12. Juni 2017)]</w:t>
      </w:r>
    </w:p>
    <w:p w14:paraId="377F0390" w14:textId="77777777" w:rsidR="002F0EBE" w:rsidRPr="00B14651" w:rsidRDefault="002F0EBE" w:rsidP="002F0EBE">
      <w:pPr>
        <w:jc w:val="both"/>
        <w:rPr>
          <w:i/>
          <w:lang w:val="de-DE"/>
        </w:rPr>
      </w:pPr>
    </w:p>
    <w:p w14:paraId="1EB879EA" w14:textId="77777777" w:rsidR="002F0EBE" w:rsidRPr="00B14651" w:rsidRDefault="002F0EBE" w:rsidP="002F0EBE">
      <w:pPr>
        <w:jc w:val="both"/>
        <w:rPr>
          <w:i/>
          <w:lang w:val="de-DE"/>
        </w:rPr>
      </w:pPr>
    </w:p>
    <w:p w14:paraId="5CDA828E" w14:textId="77777777" w:rsidR="00A16B06" w:rsidRPr="00B14651" w:rsidRDefault="00A16B06">
      <w:pPr>
        <w:rPr>
          <w:lang w:val="de-DE"/>
        </w:rPr>
      </w:pPr>
      <w:r w:rsidRPr="00B14651">
        <w:rPr>
          <w:lang w:val="de-DE"/>
        </w:rPr>
        <w:br w:type="page"/>
      </w:r>
    </w:p>
    <w:p w14:paraId="2629CE3E" w14:textId="6D98B341" w:rsidR="002F0EBE" w:rsidRPr="004676F5" w:rsidRDefault="002F0EBE" w:rsidP="002F0EBE">
      <w:pPr>
        <w:jc w:val="center"/>
        <w:rPr>
          <w:lang w:val="de-DE"/>
        </w:rPr>
      </w:pPr>
      <w:r w:rsidRPr="004676F5">
        <w:rPr>
          <w:lang w:val="de-DE"/>
        </w:rPr>
        <w:lastRenderedPageBreak/>
        <w:t>[KAPITEL 2 </w:t>
      </w:r>
      <w:r w:rsidR="005B7A5C" w:rsidRPr="004676F5">
        <w:rPr>
          <w:lang w:val="de-DE"/>
        </w:rPr>
        <w:t>- </w:t>
      </w:r>
      <w:r w:rsidRPr="004676F5">
        <w:rPr>
          <w:i/>
          <w:lang w:val="de-DE"/>
        </w:rPr>
        <w:t>Recht auf vollständigen Schadenersatz</w:t>
      </w:r>
      <w:r w:rsidRPr="004676F5">
        <w:rPr>
          <w:lang w:val="de-DE"/>
        </w:rPr>
        <w:t>]</w:t>
      </w:r>
    </w:p>
    <w:p w14:paraId="2CD9D7E6" w14:textId="77777777" w:rsidR="002F0EBE" w:rsidRPr="004676F5" w:rsidRDefault="002F0EBE" w:rsidP="002F0EBE">
      <w:pPr>
        <w:jc w:val="center"/>
        <w:rPr>
          <w:lang w:val="de-DE"/>
        </w:rPr>
      </w:pPr>
    </w:p>
    <w:p w14:paraId="3C3C4EF3" w14:textId="1CE41420" w:rsidR="002F0EBE" w:rsidRPr="00B14651" w:rsidRDefault="002F0EBE" w:rsidP="002F0EBE">
      <w:pPr>
        <w:jc w:val="both"/>
        <w:rPr>
          <w:i/>
          <w:lang w:val="de-DE"/>
        </w:rPr>
      </w:pPr>
      <w:r w:rsidRPr="004676F5">
        <w:rPr>
          <w:i/>
          <w:lang w:val="de-DE"/>
        </w:rPr>
        <w:t xml:space="preserve">[Unterteilung Kapitel 2 eingefügt durch </w:t>
      </w:r>
      <w:r w:rsidR="00BE0A56" w:rsidRPr="004676F5">
        <w:rPr>
          <w:i/>
          <w:lang w:val="de-DE"/>
        </w:rPr>
        <w:t>Art. </w:t>
      </w:r>
      <w:r w:rsidRPr="004676F5">
        <w:rPr>
          <w:i/>
          <w:lang w:val="de-DE"/>
        </w:rPr>
        <w:t>14 des G. vom 6. </w:t>
      </w:r>
      <w:r w:rsidRPr="00B14651">
        <w:rPr>
          <w:i/>
          <w:lang w:val="de-DE"/>
        </w:rPr>
        <w:t>Juni 2017 (B.S. vom 12. Juni 2017)]</w:t>
      </w:r>
    </w:p>
    <w:p w14:paraId="70AD8330" w14:textId="77777777" w:rsidR="002F0EBE" w:rsidRPr="00B14651" w:rsidRDefault="002F0EBE" w:rsidP="002F0EBE">
      <w:pPr>
        <w:jc w:val="both"/>
        <w:rPr>
          <w:lang w:val="de-DE"/>
        </w:rPr>
      </w:pPr>
    </w:p>
    <w:p w14:paraId="4B8EAA25" w14:textId="77777777" w:rsidR="002F0EBE" w:rsidRPr="00B14651" w:rsidRDefault="002F0EBE" w:rsidP="002F0EBE">
      <w:pPr>
        <w:jc w:val="both"/>
        <w:rPr>
          <w:lang w:val="de-DE"/>
        </w:rPr>
      </w:pPr>
    </w:p>
    <w:p w14:paraId="3B2221E3" w14:textId="249A44F0" w:rsidR="002F0EBE" w:rsidRPr="004676F5" w:rsidRDefault="002F0EBE" w:rsidP="002F0EB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XVII.72</w:t>
      </w:r>
      <w:r w:rsidRPr="004676F5">
        <w:rPr>
          <w:lang w:val="de-DE"/>
        </w:rPr>
        <w:t> </w:t>
      </w:r>
      <w:r w:rsidR="005B7A5C" w:rsidRPr="004676F5">
        <w:rPr>
          <w:lang w:val="de-DE"/>
        </w:rPr>
        <w:t>- </w:t>
      </w:r>
      <w:r w:rsidRPr="004676F5">
        <w:rPr>
          <w:lang w:val="de-DE"/>
        </w:rPr>
        <w:t>Natürliche oder juristische Personen, die einen durch eine Zuwider</w:t>
      </w:r>
      <w:r w:rsidRPr="004676F5">
        <w:rPr>
          <w:lang w:val="de-DE"/>
        </w:rPr>
        <w:softHyphen/>
        <w:t>handlung gegen das Wettbewerbsrecht verursachten Schaden erlitten haben, haben das Recht, gemäß dem allgemeinen Recht den vollständigen Ersatz dieses Schadens zu verlangen und zu erwirken.]</w:t>
      </w:r>
    </w:p>
    <w:p w14:paraId="277AD024" w14:textId="77777777" w:rsidR="002F0EBE" w:rsidRPr="004676F5" w:rsidRDefault="002F0EBE" w:rsidP="002F0EBE">
      <w:pPr>
        <w:jc w:val="both"/>
        <w:rPr>
          <w:lang w:val="de-DE"/>
        </w:rPr>
      </w:pPr>
    </w:p>
    <w:p w14:paraId="2D8FC447" w14:textId="7A254BC7" w:rsidR="002F0EBE" w:rsidRPr="00B14651" w:rsidRDefault="002F0EBE" w:rsidP="002F0EBE">
      <w:pPr>
        <w:jc w:val="both"/>
        <w:rPr>
          <w:i/>
          <w:lang w:val="de-DE"/>
        </w:rPr>
      </w:pPr>
      <w:r w:rsidRPr="004676F5">
        <w:rPr>
          <w:i/>
          <w:lang w:val="de-DE"/>
        </w:rPr>
        <w:t>[</w:t>
      </w:r>
      <w:r w:rsidR="00BE0A56" w:rsidRPr="004676F5">
        <w:rPr>
          <w:i/>
          <w:lang w:val="de-DE"/>
        </w:rPr>
        <w:t>Art. </w:t>
      </w:r>
      <w:r w:rsidRPr="004676F5">
        <w:rPr>
          <w:i/>
          <w:lang w:val="de-DE"/>
        </w:rPr>
        <w:t xml:space="preserve">XVII.72 eingefügt durch </w:t>
      </w:r>
      <w:r w:rsidR="00BE0A56" w:rsidRPr="004676F5">
        <w:rPr>
          <w:i/>
          <w:lang w:val="de-DE"/>
        </w:rPr>
        <w:t>Art. </w:t>
      </w:r>
      <w:r w:rsidRPr="004676F5">
        <w:rPr>
          <w:i/>
          <w:lang w:val="de-DE"/>
        </w:rPr>
        <w:t>15 des G. vom 6. </w:t>
      </w:r>
      <w:r w:rsidRPr="00B14651">
        <w:rPr>
          <w:i/>
          <w:lang w:val="de-DE"/>
        </w:rPr>
        <w:t>Juni 2017 (B.S. vom 12. Juni 2017)]</w:t>
      </w:r>
    </w:p>
    <w:p w14:paraId="7F69B167" w14:textId="77777777" w:rsidR="002F0EBE" w:rsidRPr="00B14651" w:rsidRDefault="002F0EBE" w:rsidP="002F0EBE">
      <w:pPr>
        <w:jc w:val="both"/>
        <w:rPr>
          <w:lang w:val="de-DE"/>
        </w:rPr>
      </w:pPr>
    </w:p>
    <w:p w14:paraId="14C7C5EA" w14:textId="77777777" w:rsidR="002F0EBE" w:rsidRPr="00B14651" w:rsidRDefault="002F0EBE" w:rsidP="002F0EBE">
      <w:pPr>
        <w:jc w:val="both"/>
        <w:rPr>
          <w:lang w:val="de-DE"/>
        </w:rPr>
      </w:pPr>
    </w:p>
    <w:p w14:paraId="4F006179" w14:textId="16CD1E9C" w:rsidR="002F0EBE" w:rsidRPr="004676F5" w:rsidRDefault="002F0EBE" w:rsidP="002F0EBE">
      <w:pPr>
        <w:ind w:firstLine="708"/>
        <w:jc w:val="both"/>
        <w:rPr>
          <w:lang w:val="de-DE"/>
        </w:rPr>
      </w:pPr>
      <w:r w:rsidRPr="004676F5">
        <w:rPr>
          <w:lang w:val="de-DE"/>
        </w:rPr>
        <w:t>[</w:t>
      </w:r>
      <w:r w:rsidR="00BE0A56" w:rsidRPr="004676F5">
        <w:rPr>
          <w:b/>
          <w:lang w:val="de-DE"/>
        </w:rPr>
        <w:t>Art. </w:t>
      </w:r>
      <w:r w:rsidRPr="004676F5">
        <w:rPr>
          <w:b/>
          <w:lang w:val="de-DE"/>
        </w:rPr>
        <w:t>XVII.73</w:t>
      </w:r>
      <w:r w:rsidRPr="004676F5">
        <w:rPr>
          <w:lang w:val="de-DE"/>
        </w:rPr>
        <w:t> </w:t>
      </w:r>
      <w:r w:rsidR="005B7A5C" w:rsidRPr="004676F5">
        <w:rPr>
          <w:lang w:val="de-DE"/>
        </w:rPr>
        <w:t>- </w:t>
      </w:r>
      <w:r w:rsidRPr="004676F5">
        <w:rPr>
          <w:lang w:val="de-DE"/>
        </w:rPr>
        <w:t>Es wird vermutet, dass Zuwiderhandlungen in Form von Kartellen einen Schaden verursachen. Der Rechtsverletzer hat das Recht, diese Vermutung zu widerlegen.]</w:t>
      </w:r>
    </w:p>
    <w:p w14:paraId="5CA83306" w14:textId="77777777" w:rsidR="002F0EBE" w:rsidRPr="004676F5" w:rsidRDefault="002F0EBE" w:rsidP="002F0EBE">
      <w:pPr>
        <w:ind w:firstLine="708"/>
        <w:jc w:val="both"/>
        <w:rPr>
          <w:lang w:val="de-DE"/>
        </w:rPr>
      </w:pPr>
    </w:p>
    <w:p w14:paraId="3BBA65BD" w14:textId="29BEA030" w:rsidR="002F0EBE" w:rsidRPr="00B14651" w:rsidRDefault="002F0EBE" w:rsidP="002F0EBE">
      <w:pPr>
        <w:jc w:val="both"/>
        <w:rPr>
          <w:i/>
          <w:lang w:val="de-DE"/>
        </w:rPr>
      </w:pPr>
      <w:r w:rsidRPr="004676F5">
        <w:rPr>
          <w:i/>
          <w:lang w:val="de-DE"/>
        </w:rPr>
        <w:t>[</w:t>
      </w:r>
      <w:r w:rsidR="00BE0A56" w:rsidRPr="004676F5">
        <w:rPr>
          <w:i/>
          <w:lang w:val="de-DE"/>
        </w:rPr>
        <w:t>Art. </w:t>
      </w:r>
      <w:r w:rsidRPr="004676F5">
        <w:rPr>
          <w:i/>
          <w:lang w:val="de-DE"/>
        </w:rPr>
        <w:t xml:space="preserve">XVII.73 eingefügt durch </w:t>
      </w:r>
      <w:r w:rsidR="00BE0A56" w:rsidRPr="004676F5">
        <w:rPr>
          <w:i/>
          <w:lang w:val="de-DE"/>
        </w:rPr>
        <w:t>Art. </w:t>
      </w:r>
      <w:r w:rsidRPr="004676F5">
        <w:rPr>
          <w:i/>
          <w:lang w:val="de-DE"/>
        </w:rPr>
        <w:t>16 des G. vom 6. </w:t>
      </w:r>
      <w:r w:rsidRPr="00B14651">
        <w:rPr>
          <w:i/>
          <w:lang w:val="de-DE"/>
        </w:rPr>
        <w:t>Juni 2017 (B.S. vom 12. Juni 2017)]</w:t>
      </w:r>
    </w:p>
    <w:p w14:paraId="78DDE776" w14:textId="77777777" w:rsidR="002F0EBE" w:rsidRPr="00B14651" w:rsidRDefault="002F0EBE" w:rsidP="002F0EBE">
      <w:pPr>
        <w:ind w:firstLine="708"/>
        <w:jc w:val="both"/>
        <w:rPr>
          <w:lang w:val="de-DE"/>
        </w:rPr>
      </w:pPr>
    </w:p>
    <w:p w14:paraId="740597F8" w14:textId="77777777" w:rsidR="002F0EBE" w:rsidRPr="00B14651" w:rsidRDefault="002F0EBE" w:rsidP="002F0EBE">
      <w:pPr>
        <w:ind w:firstLine="708"/>
        <w:jc w:val="both"/>
        <w:rPr>
          <w:lang w:val="de-DE"/>
        </w:rPr>
      </w:pPr>
    </w:p>
    <w:p w14:paraId="15A3F9E9" w14:textId="77777777" w:rsidR="002F0EBE" w:rsidRPr="00B14651" w:rsidRDefault="002F0EBE">
      <w:pPr>
        <w:rPr>
          <w:lang w:val="de-DE"/>
        </w:rPr>
      </w:pPr>
      <w:r w:rsidRPr="00B14651">
        <w:rPr>
          <w:lang w:val="de-DE"/>
        </w:rPr>
        <w:br w:type="page"/>
      </w:r>
    </w:p>
    <w:p w14:paraId="4EB71A03" w14:textId="0908049D" w:rsidR="002F0EBE" w:rsidRPr="004676F5" w:rsidRDefault="002F0EBE" w:rsidP="002F0EBE">
      <w:pPr>
        <w:jc w:val="center"/>
        <w:rPr>
          <w:lang w:val="de-DE"/>
        </w:rPr>
      </w:pPr>
      <w:r w:rsidRPr="004676F5">
        <w:rPr>
          <w:lang w:val="de-DE"/>
        </w:rPr>
        <w:lastRenderedPageBreak/>
        <w:t>[KAPITEL 3 </w:t>
      </w:r>
      <w:r w:rsidR="005B7A5C" w:rsidRPr="004676F5">
        <w:rPr>
          <w:lang w:val="de-DE"/>
        </w:rPr>
        <w:t>- </w:t>
      </w:r>
      <w:r w:rsidRPr="004676F5">
        <w:rPr>
          <w:i/>
          <w:lang w:val="de-DE"/>
        </w:rPr>
        <w:t>Beweismittel</w:t>
      </w:r>
      <w:r w:rsidRPr="004676F5">
        <w:rPr>
          <w:lang w:val="de-DE"/>
        </w:rPr>
        <w:t>]</w:t>
      </w:r>
    </w:p>
    <w:p w14:paraId="616DD209" w14:textId="77777777" w:rsidR="002F0EBE" w:rsidRPr="004676F5" w:rsidRDefault="002F0EBE" w:rsidP="002F0EBE">
      <w:pPr>
        <w:jc w:val="center"/>
        <w:rPr>
          <w:lang w:val="de-DE"/>
        </w:rPr>
      </w:pPr>
    </w:p>
    <w:p w14:paraId="4D1F8127" w14:textId="4D4BD149" w:rsidR="002F0EBE" w:rsidRPr="00B14651" w:rsidRDefault="002F0EBE" w:rsidP="002F0EBE">
      <w:pPr>
        <w:jc w:val="both"/>
        <w:rPr>
          <w:i/>
          <w:lang w:val="de-DE"/>
        </w:rPr>
      </w:pPr>
      <w:r w:rsidRPr="004676F5">
        <w:rPr>
          <w:i/>
          <w:lang w:val="de-DE"/>
        </w:rPr>
        <w:t xml:space="preserve">[Unterteilung Kapitel 3 eingefügt durch </w:t>
      </w:r>
      <w:r w:rsidR="00BE0A56" w:rsidRPr="004676F5">
        <w:rPr>
          <w:i/>
          <w:lang w:val="de-DE"/>
        </w:rPr>
        <w:t>Art. </w:t>
      </w:r>
      <w:r w:rsidRPr="004676F5">
        <w:rPr>
          <w:i/>
          <w:lang w:val="de-DE"/>
        </w:rPr>
        <w:t>17 des G. vom 6. </w:t>
      </w:r>
      <w:r w:rsidRPr="00B14651">
        <w:rPr>
          <w:i/>
          <w:lang w:val="de-DE"/>
        </w:rPr>
        <w:t>Juni 2017 (B.S. vom 12. Juni 2017)]</w:t>
      </w:r>
    </w:p>
    <w:p w14:paraId="4CAAA5DC" w14:textId="77777777" w:rsidR="002F0EBE" w:rsidRPr="00B14651" w:rsidRDefault="002F0EBE" w:rsidP="002F0EBE">
      <w:pPr>
        <w:jc w:val="both"/>
        <w:rPr>
          <w:lang w:val="de-DE"/>
        </w:rPr>
      </w:pPr>
    </w:p>
    <w:p w14:paraId="49A9C9F4" w14:textId="77777777" w:rsidR="002F0EBE" w:rsidRPr="00B14651" w:rsidRDefault="002F0EBE" w:rsidP="002F0EBE">
      <w:pPr>
        <w:jc w:val="both"/>
        <w:rPr>
          <w:lang w:val="de-DE"/>
        </w:rPr>
      </w:pPr>
    </w:p>
    <w:p w14:paraId="11B57819" w14:textId="5398269E" w:rsidR="002F0EBE" w:rsidRPr="004676F5" w:rsidRDefault="002F0EBE" w:rsidP="002F0EBE">
      <w:pPr>
        <w:jc w:val="center"/>
        <w:rPr>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Offenlegung von Beweismitteln]</w:t>
      </w:r>
    </w:p>
    <w:p w14:paraId="79CD247B" w14:textId="77777777" w:rsidR="002F0EBE" w:rsidRPr="004676F5" w:rsidRDefault="002F0EBE" w:rsidP="002F0EBE">
      <w:pPr>
        <w:jc w:val="center"/>
        <w:rPr>
          <w:lang w:val="de-DE"/>
        </w:rPr>
      </w:pPr>
    </w:p>
    <w:p w14:paraId="4DFD74E0" w14:textId="16ED6F4C" w:rsidR="002F0EBE" w:rsidRPr="00B14651" w:rsidRDefault="002F0EBE" w:rsidP="002F0EBE">
      <w:pPr>
        <w:jc w:val="both"/>
        <w:rPr>
          <w:i/>
          <w:lang w:val="de-DE"/>
        </w:rPr>
      </w:pPr>
      <w:r w:rsidRPr="004676F5">
        <w:rPr>
          <w:i/>
          <w:lang w:val="de-DE"/>
        </w:rPr>
        <w:t xml:space="preserve">[Unterteilung Abschnitt 1 eingefügt durch </w:t>
      </w:r>
      <w:r w:rsidR="00BE0A56" w:rsidRPr="004676F5">
        <w:rPr>
          <w:i/>
          <w:lang w:val="de-DE"/>
        </w:rPr>
        <w:t>Art. </w:t>
      </w:r>
      <w:r w:rsidRPr="004676F5">
        <w:rPr>
          <w:i/>
          <w:lang w:val="de-DE"/>
        </w:rPr>
        <w:t>18 des G. vom 6. </w:t>
      </w:r>
      <w:r w:rsidRPr="00B14651">
        <w:rPr>
          <w:i/>
          <w:lang w:val="de-DE"/>
        </w:rPr>
        <w:t>Juni 2017 (B.S. vom 12. Juni 2017)]</w:t>
      </w:r>
    </w:p>
    <w:p w14:paraId="0F798853" w14:textId="77777777" w:rsidR="002F0EBE" w:rsidRPr="00B14651" w:rsidRDefault="002F0EBE" w:rsidP="002F0EBE">
      <w:pPr>
        <w:jc w:val="both"/>
        <w:rPr>
          <w:lang w:val="de-DE"/>
        </w:rPr>
      </w:pPr>
    </w:p>
    <w:p w14:paraId="446F8E8D" w14:textId="77777777" w:rsidR="002F0EBE" w:rsidRPr="00B14651" w:rsidRDefault="002F0EBE" w:rsidP="002F0EBE">
      <w:pPr>
        <w:jc w:val="both"/>
        <w:rPr>
          <w:lang w:val="de-DE"/>
        </w:rPr>
      </w:pPr>
    </w:p>
    <w:p w14:paraId="06BC8C1F" w14:textId="360DDE22" w:rsidR="002F0EBE" w:rsidRPr="004676F5" w:rsidRDefault="002F0EBE" w:rsidP="002F0EBE">
      <w:pPr>
        <w:jc w:val="center"/>
        <w:rPr>
          <w:lang w:val="de-DE"/>
        </w:rPr>
      </w:pPr>
      <w:r w:rsidRPr="004676F5">
        <w:rPr>
          <w:lang w:val="de-DE"/>
        </w:rPr>
        <w:t>[Unterabschnitt 1 </w:t>
      </w:r>
      <w:r w:rsidR="005B7A5C" w:rsidRPr="004676F5">
        <w:rPr>
          <w:lang w:val="de-DE"/>
        </w:rPr>
        <w:t>- </w:t>
      </w:r>
      <w:r w:rsidRPr="004676F5">
        <w:rPr>
          <w:lang w:val="de-DE"/>
        </w:rPr>
        <w:t>Allgemeine Grundsätze]</w:t>
      </w:r>
    </w:p>
    <w:p w14:paraId="0A582D06" w14:textId="77777777" w:rsidR="002F0EBE" w:rsidRPr="004676F5" w:rsidRDefault="002F0EBE" w:rsidP="002F0EBE">
      <w:pPr>
        <w:jc w:val="center"/>
        <w:rPr>
          <w:lang w:val="de-DE"/>
        </w:rPr>
      </w:pPr>
    </w:p>
    <w:p w14:paraId="73C3F5A6" w14:textId="27006CF8" w:rsidR="002F0EBE" w:rsidRPr="004676F5" w:rsidRDefault="002F0EBE" w:rsidP="002F0EBE">
      <w:pPr>
        <w:jc w:val="both"/>
        <w:rPr>
          <w:i/>
          <w:lang w:val="de-DE"/>
        </w:rPr>
      </w:pPr>
      <w:r w:rsidRPr="004676F5">
        <w:rPr>
          <w:i/>
          <w:lang w:val="de-DE"/>
        </w:rPr>
        <w:t xml:space="preserve">[Unterteilung Unterabschnitt 1 eingefügt durch </w:t>
      </w:r>
      <w:r w:rsidR="00BE0A56" w:rsidRPr="004676F5">
        <w:rPr>
          <w:i/>
          <w:lang w:val="de-DE"/>
        </w:rPr>
        <w:t>Art. </w:t>
      </w:r>
      <w:r w:rsidRPr="004676F5">
        <w:rPr>
          <w:i/>
          <w:lang w:val="de-DE"/>
        </w:rPr>
        <w:t>19 des G. vom 6. Juni 2017 (B.S. vom 12. Juni 2017)]</w:t>
      </w:r>
    </w:p>
    <w:p w14:paraId="3FB3E388" w14:textId="77777777" w:rsidR="002F0EBE" w:rsidRPr="004676F5" w:rsidRDefault="002F0EBE" w:rsidP="002F0EBE">
      <w:pPr>
        <w:jc w:val="both"/>
        <w:rPr>
          <w:lang w:val="de-DE"/>
        </w:rPr>
      </w:pPr>
    </w:p>
    <w:p w14:paraId="732CA68E" w14:textId="77777777" w:rsidR="002F0EBE" w:rsidRPr="004676F5" w:rsidRDefault="002F0EBE" w:rsidP="002F0EBE">
      <w:pPr>
        <w:jc w:val="both"/>
        <w:rPr>
          <w:lang w:val="de-DE"/>
        </w:rPr>
      </w:pPr>
    </w:p>
    <w:p w14:paraId="12FE80BD" w14:textId="44FB959C" w:rsidR="002F0EBE" w:rsidRPr="004676F5" w:rsidRDefault="002F0EBE" w:rsidP="002F0EBE">
      <w:pPr>
        <w:jc w:val="both"/>
        <w:rPr>
          <w:lang w:val="de-DE"/>
        </w:rPr>
      </w:pPr>
      <w:r w:rsidRPr="004676F5">
        <w:rPr>
          <w:lang w:val="de-DE"/>
        </w:rPr>
        <w:tab/>
        <w:t>[</w:t>
      </w:r>
      <w:r w:rsidR="00BE0A56" w:rsidRPr="004676F5">
        <w:rPr>
          <w:b/>
          <w:lang w:val="de-DE"/>
        </w:rPr>
        <w:t>Art. </w:t>
      </w:r>
      <w:r w:rsidRPr="004676F5">
        <w:rPr>
          <w:b/>
          <w:lang w:val="de-DE"/>
        </w:rPr>
        <w:t>XVII.74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Auf Antrag jeder der Parteien eines Rechtsstreits, die eine substantiierte Begründung vorgelegt hat, die mit zumutbarem Aufwand zugängliche Tatsachen und Beweismittel enthält, die die Plausibilität ihres Antrags ausreichend stützen, kann der Richter die Offenlegung von bestimmten relevanten Beweismitteln oder relevanten Kategorien von Beweismitteln durch die andere Partei oder einen Dritten, die sich in deren Verfügungsgewalt befinden, anordnen. Diese müssen so genau und so präzise wie möglich abgegrenzt werden.</w:t>
      </w:r>
    </w:p>
    <w:p w14:paraId="489D7C8B" w14:textId="77777777" w:rsidR="002F0EBE" w:rsidRPr="004676F5" w:rsidRDefault="002F0EBE" w:rsidP="002F0EBE">
      <w:pPr>
        <w:jc w:val="both"/>
        <w:rPr>
          <w:lang w:val="de-DE"/>
        </w:rPr>
      </w:pPr>
    </w:p>
    <w:p w14:paraId="5CBFCEF0" w14:textId="669D02B8"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Der Richter beschränkt die Offenlegung von Beweismitteln auf das, was verhältnismäßig ist. Dabei berücksichtigt der Richter die berechtigten Interessen aller Parteien und betroffenen Dritten. Insbesondere berücksichtigt er:</w:t>
      </w:r>
    </w:p>
    <w:p w14:paraId="4572C359" w14:textId="77777777" w:rsidR="002F0EBE" w:rsidRPr="004676F5" w:rsidRDefault="002F0EBE" w:rsidP="002F0EBE">
      <w:pPr>
        <w:jc w:val="both"/>
        <w:rPr>
          <w:lang w:val="de-DE"/>
        </w:rPr>
      </w:pPr>
    </w:p>
    <w:p w14:paraId="5EBD1854" w14:textId="77777777" w:rsidR="002F0EBE" w:rsidRPr="004676F5" w:rsidRDefault="002F0EBE" w:rsidP="002F0EBE">
      <w:pPr>
        <w:jc w:val="both"/>
        <w:rPr>
          <w:lang w:val="de-DE"/>
        </w:rPr>
      </w:pPr>
      <w:r w:rsidRPr="004676F5">
        <w:rPr>
          <w:lang w:val="de-DE"/>
        </w:rPr>
        <w:tab/>
        <w:t>1. inwieweit der Antrag auf Offenlegung von Beweismitteln durch zugängliche Tatsachen und Beweismittel gestützt wird, die den Antrag rechtfertigen,</w:t>
      </w:r>
    </w:p>
    <w:p w14:paraId="175B370B" w14:textId="77777777" w:rsidR="002F0EBE" w:rsidRPr="004676F5" w:rsidRDefault="002F0EBE" w:rsidP="002F0EBE">
      <w:pPr>
        <w:jc w:val="both"/>
        <w:rPr>
          <w:lang w:val="de-DE"/>
        </w:rPr>
      </w:pPr>
    </w:p>
    <w:p w14:paraId="215B6362" w14:textId="77777777" w:rsidR="002F0EBE" w:rsidRPr="004676F5" w:rsidRDefault="002F0EBE" w:rsidP="002F0EBE">
      <w:pPr>
        <w:jc w:val="both"/>
        <w:rPr>
          <w:lang w:val="de-DE"/>
        </w:rPr>
      </w:pPr>
      <w:r w:rsidRPr="004676F5">
        <w:rPr>
          <w:lang w:val="de-DE"/>
        </w:rPr>
        <w:tab/>
        <w:t>2. Umfang und Kosten der Offenlegung von Beweismitteln, insbesondere für eventuell betroffene Dritte, einschließlich zur Verhinderung einer nicht gezielten Suche nach Informationen, die für die Verfahrensbeteiligten wahrscheinlich nicht relevant sind,</w:t>
      </w:r>
    </w:p>
    <w:p w14:paraId="4A007DE5" w14:textId="77777777" w:rsidR="002F0EBE" w:rsidRPr="004676F5" w:rsidRDefault="002F0EBE" w:rsidP="002F0EBE">
      <w:pPr>
        <w:jc w:val="both"/>
        <w:rPr>
          <w:lang w:val="de-DE"/>
        </w:rPr>
      </w:pPr>
    </w:p>
    <w:p w14:paraId="0FEA851F" w14:textId="71B74445" w:rsidR="002F0EBE" w:rsidRPr="004676F5" w:rsidRDefault="002F0EBE" w:rsidP="002F0EBE">
      <w:pPr>
        <w:jc w:val="both"/>
        <w:rPr>
          <w:lang w:val="de-DE"/>
        </w:rPr>
      </w:pPr>
      <w:r w:rsidRPr="004676F5">
        <w:rPr>
          <w:lang w:val="de-DE"/>
        </w:rPr>
        <w:tab/>
        <w:t xml:space="preserve">3. ob die offenzulegenden Beweismittel vertrauliche Informationen </w:t>
      </w:r>
      <w:r w:rsidR="005B7A5C" w:rsidRPr="004676F5">
        <w:rPr>
          <w:lang w:val="de-DE"/>
        </w:rPr>
        <w:t>- </w:t>
      </w:r>
      <w:r w:rsidRPr="004676F5">
        <w:rPr>
          <w:lang w:val="de-DE"/>
        </w:rPr>
        <w:t>insbesondere Dritte betreffende Informationen </w:t>
      </w:r>
      <w:r w:rsidR="005B7A5C" w:rsidRPr="004676F5">
        <w:rPr>
          <w:lang w:val="de-DE"/>
        </w:rPr>
        <w:t>- </w:t>
      </w:r>
      <w:r w:rsidRPr="004676F5">
        <w:rPr>
          <w:lang w:val="de-DE"/>
        </w:rPr>
        <w:t>enthalten und welche Vorkehrungen gemäß Artikel XVII.75 zum Schutz dieser vertraulichen Informationen bestehen.]</w:t>
      </w:r>
    </w:p>
    <w:p w14:paraId="3301C251" w14:textId="77777777" w:rsidR="002F0EBE" w:rsidRPr="004676F5" w:rsidRDefault="002F0EBE" w:rsidP="002F0EBE">
      <w:pPr>
        <w:jc w:val="both"/>
        <w:rPr>
          <w:lang w:val="de-DE"/>
        </w:rPr>
      </w:pPr>
    </w:p>
    <w:p w14:paraId="65885EE9" w14:textId="494BDEF5" w:rsidR="002F0EBE" w:rsidRPr="00B14651" w:rsidRDefault="002F0EBE" w:rsidP="002F0EBE">
      <w:pPr>
        <w:jc w:val="both"/>
        <w:rPr>
          <w:i/>
          <w:lang w:val="de-DE"/>
        </w:rPr>
      </w:pPr>
      <w:r w:rsidRPr="004676F5">
        <w:rPr>
          <w:i/>
          <w:lang w:val="de-DE"/>
        </w:rPr>
        <w:t>[</w:t>
      </w:r>
      <w:r w:rsidR="00BE0A56" w:rsidRPr="004676F5">
        <w:rPr>
          <w:i/>
          <w:lang w:val="de-DE"/>
        </w:rPr>
        <w:t>Art. </w:t>
      </w:r>
      <w:r w:rsidRPr="004676F5">
        <w:rPr>
          <w:i/>
          <w:lang w:val="de-DE"/>
        </w:rPr>
        <w:t xml:space="preserve">XVII.74 eingefügt durch </w:t>
      </w:r>
      <w:r w:rsidR="00BE0A56" w:rsidRPr="004676F5">
        <w:rPr>
          <w:i/>
          <w:lang w:val="de-DE"/>
        </w:rPr>
        <w:t>Art. </w:t>
      </w:r>
      <w:r w:rsidRPr="004676F5">
        <w:rPr>
          <w:i/>
          <w:lang w:val="de-DE"/>
        </w:rPr>
        <w:t>20 des G. vom 6. </w:t>
      </w:r>
      <w:r w:rsidRPr="00B14651">
        <w:rPr>
          <w:i/>
          <w:lang w:val="de-DE"/>
        </w:rPr>
        <w:t>Juni 2017 (B.S. vom 12. Juni 2017)]</w:t>
      </w:r>
    </w:p>
    <w:p w14:paraId="3BAE0768" w14:textId="77777777" w:rsidR="002F0EBE" w:rsidRPr="00B14651" w:rsidRDefault="002F0EBE" w:rsidP="002F0EBE">
      <w:pPr>
        <w:jc w:val="both"/>
        <w:rPr>
          <w:lang w:val="de-DE"/>
        </w:rPr>
      </w:pPr>
    </w:p>
    <w:p w14:paraId="1E5EF6CD" w14:textId="77777777" w:rsidR="002F0EBE" w:rsidRPr="00B14651" w:rsidRDefault="002F0EBE" w:rsidP="002F0EBE">
      <w:pPr>
        <w:jc w:val="both"/>
        <w:rPr>
          <w:lang w:val="de-DE"/>
        </w:rPr>
      </w:pPr>
    </w:p>
    <w:p w14:paraId="3C2EDE08" w14:textId="3C3240C7" w:rsidR="002F0EBE" w:rsidRPr="004676F5" w:rsidRDefault="002F0EBE" w:rsidP="002F0EB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XVII.75</w:t>
      </w:r>
      <w:r w:rsidRPr="004676F5">
        <w:rPr>
          <w:lang w:val="de-DE"/>
        </w:rPr>
        <w:t> </w:t>
      </w:r>
      <w:r w:rsidR="005B7A5C" w:rsidRPr="004676F5">
        <w:rPr>
          <w:lang w:val="de-DE"/>
        </w:rPr>
        <w:t>- </w:t>
      </w:r>
      <w:r w:rsidRPr="004676F5">
        <w:rPr>
          <w:lang w:val="de-DE"/>
        </w:rPr>
        <w:t>Der Richter darf die Offenlegung von Beweismitteln, die vertrauliche Informationen enthalten, anordnen, wenn er diese als sachdienlich für die Schadenersatzklage erachtet.</w:t>
      </w:r>
    </w:p>
    <w:p w14:paraId="6D089E4A" w14:textId="77777777" w:rsidR="002F0EBE" w:rsidRPr="004676F5" w:rsidRDefault="002F0EBE" w:rsidP="002F0EBE">
      <w:pPr>
        <w:jc w:val="both"/>
        <w:rPr>
          <w:lang w:val="de-DE"/>
        </w:rPr>
      </w:pPr>
    </w:p>
    <w:p w14:paraId="7EAD5E5C" w14:textId="77777777" w:rsidR="002F0EBE" w:rsidRPr="004676F5" w:rsidRDefault="002F0EBE" w:rsidP="002F0EBE">
      <w:pPr>
        <w:jc w:val="both"/>
        <w:rPr>
          <w:lang w:val="de-DE"/>
        </w:rPr>
      </w:pPr>
      <w:r w:rsidRPr="004676F5">
        <w:rPr>
          <w:lang w:val="de-DE"/>
        </w:rPr>
        <w:tab/>
        <w:t xml:space="preserve">Bei der Anordnung der Offenlegung von vertraulichen Informationen trifft der Richter wirksame Maßnahmen für deren Schutz. Zu diesen Mitteln zählen unter anderem die </w:t>
      </w:r>
      <w:r w:rsidRPr="004676F5">
        <w:rPr>
          <w:lang w:val="de-DE"/>
        </w:rPr>
        <w:lastRenderedPageBreak/>
        <w:t>Unkenntlichmachung sensibler Passagen von Dokumenten, indem von Beweisinhabern die Offenlegung nicht vertraulicher Fassungen verlangt wird, die Anweisung an Sachverständige, eine Zusammenfassung der Informationen in aggregierter oder sonstiger nicht vertraulicher Form vorzulegen, die Führung von Sitzungen unter Ausschluss der Öffentlichkeit oder die Beschränkung des zur Kenntnisnahme der Beweismittel berechtigten Personenkreises.]</w:t>
      </w:r>
    </w:p>
    <w:p w14:paraId="5C09FBC3" w14:textId="77777777" w:rsidR="002F0EBE" w:rsidRPr="004676F5" w:rsidRDefault="002F0EBE" w:rsidP="002F0EBE">
      <w:pPr>
        <w:jc w:val="both"/>
        <w:rPr>
          <w:lang w:val="de-DE"/>
        </w:rPr>
      </w:pPr>
    </w:p>
    <w:p w14:paraId="060C49ED" w14:textId="6B76E239" w:rsidR="002F0EBE" w:rsidRPr="00B14651" w:rsidRDefault="002F0EBE" w:rsidP="002F0EBE">
      <w:pPr>
        <w:jc w:val="both"/>
        <w:rPr>
          <w:i/>
          <w:lang w:val="de-DE"/>
        </w:rPr>
      </w:pPr>
      <w:r w:rsidRPr="004676F5">
        <w:rPr>
          <w:i/>
          <w:lang w:val="de-DE"/>
        </w:rPr>
        <w:t>[</w:t>
      </w:r>
      <w:r w:rsidR="00BE0A56" w:rsidRPr="004676F5">
        <w:rPr>
          <w:i/>
          <w:lang w:val="de-DE"/>
        </w:rPr>
        <w:t>Art. </w:t>
      </w:r>
      <w:r w:rsidRPr="004676F5">
        <w:rPr>
          <w:i/>
          <w:lang w:val="de-DE"/>
        </w:rPr>
        <w:t xml:space="preserve">XVII.75 eingefügt durch </w:t>
      </w:r>
      <w:r w:rsidR="00BE0A56" w:rsidRPr="004676F5">
        <w:rPr>
          <w:i/>
          <w:lang w:val="de-DE"/>
        </w:rPr>
        <w:t>Art. </w:t>
      </w:r>
      <w:r w:rsidRPr="004676F5">
        <w:rPr>
          <w:i/>
          <w:lang w:val="de-DE"/>
        </w:rPr>
        <w:t>21 des G. vom 6. </w:t>
      </w:r>
      <w:r w:rsidRPr="00B14651">
        <w:rPr>
          <w:i/>
          <w:lang w:val="de-DE"/>
        </w:rPr>
        <w:t>Juni 2017 (B.S. vom 12. Juni 2017)]</w:t>
      </w:r>
    </w:p>
    <w:p w14:paraId="207CB3A9" w14:textId="77777777" w:rsidR="002F0EBE" w:rsidRPr="00B14651" w:rsidRDefault="002F0EBE" w:rsidP="002F0EBE">
      <w:pPr>
        <w:jc w:val="both"/>
        <w:rPr>
          <w:lang w:val="de-DE"/>
        </w:rPr>
      </w:pPr>
    </w:p>
    <w:p w14:paraId="6B051476" w14:textId="77777777" w:rsidR="002F0EBE" w:rsidRPr="00B14651" w:rsidRDefault="002F0EBE" w:rsidP="002F0EBE">
      <w:pPr>
        <w:jc w:val="both"/>
        <w:rPr>
          <w:lang w:val="de-DE"/>
        </w:rPr>
      </w:pPr>
    </w:p>
    <w:p w14:paraId="3CEEEA4E" w14:textId="689B6AE1" w:rsidR="002F0EBE" w:rsidRPr="004676F5" w:rsidRDefault="002F0EBE" w:rsidP="002F0EBE">
      <w:pPr>
        <w:jc w:val="both"/>
        <w:rPr>
          <w:lang w:val="de-DE"/>
        </w:rPr>
      </w:pPr>
      <w:r w:rsidRPr="00B14651">
        <w:rPr>
          <w:lang w:val="de-DE"/>
        </w:rPr>
        <w:tab/>
      </w:r>
      <w:r w:rsidRPr="004676F5">
        <w:rPr>
          <w:lang w:val="de-DE"/>
        </w:rPr>
        <w:t>[</w:t>
      </w:r>
      <w:r w:rsidR="00BE0A56" w:rsidRPr="004676F5">
        <w:rPr>
          <w:b/>
          <w:lang w:val="de-DE"/>
        </w:rPr>
        <w:t>Art. </w:t>
      </w:r>
      <w:r w:rsidRPr="004676F5">
        <w:rPr>
          <w:b/>
          <w:lang w:val="de-DE"/>
        </w:rPr>
        <w:t>XVII.76</w:t>
      </w:r>
      <w:r w:rsidRPr="004676F5">
        <w:rPr>
          <w:lang w:val="de-DE"/>
        </w:rPr>
        <w:t> </w:t>
      </w:r>
      <w:r w:rsidR="005B7A5C" w:rsidRPr="004676F5">
        <w:rPr>
          <w:lang w:val="de-DE"/>
        </w:rPr>
        <w:t>- </w:t>
      </w:r>
      <w:r w:rsidRPr="004676F5">
        <w:rPr>
          <w:lang w:val="de-DE"/>
        </w:rPr>
        <w:t>Bevor der Richter in Anwendung der Artikel XVII.74 und XVII.75 die Offenlegung von Beweismitteln anordnet, fordert er die Person, die von der Offenlegung von Beweismitteln betroffen ist, auf, gemäß Modalitäten und in einer Frist, die er festlegt, eine schriftliche Stellungnahme abzugeben. Sie kann auch angehört werden, wenn der Richter ihr dies erlaubt.]</w:t>
      </w:r>
    </w:p>
    <w:p w14:paraId="349F7A7E" w14:textId="77777777" w:rsidR="002F0EBE" w:rsidRPr="004676F5" w:rsidRDefault="002F0EBE" w:rsidP="002F0EBE">
      <w:pPr>
        <w:jc w:val="both"/>
        <w:rPr>
          <w:lang w:val="de-DE"/>
        </w:rPr>
      </w:pPr>
    </w:p>
    <w:p w14:paraId="652B0A8A" w14:textId="218E2C62" w:rsidR="002F0EBE" w:rsidRPr="00B14651" w:rsidRDefault="002F0EBE" w:rsidP="002F0EBE">
      <w:pPr>
        <w:jc w:val="both"/>
        <w:rPr>
          <w:i/>
          <w:lang w:val="de-DE"/>
        </w:rPr>
      </w:pPr>
      <w:r w:rsidRPr="004676F5">
        <w:rPr>
          <w:i/>
          <w:lang w:val="de-DE"/>
        </w:rPr>
        <w:t>[</w:t>
      </w:r>
      <w:r w:rsidR="00BE0A56" w:rsidRPr="004676F5">
        <w:rPr>
          <w:i/>
          <w:lang w:val="de-DE"/>
        </w:rPr>
        <w:t>Art. </w:t>
      </w:r>
      <w:r w:rsidRPr="004676F5">
        <w:rPr>
          <w:i/>
          <w:lang w:val="de-DE"/>
        </w:rPr>
        <w:t xml:space="preserve">XVII.76 eingefügt durch </w:t>
      </w:r>
      <w:r w:rsidR="00BE0A56" w:rsidRPr="004676F5">
        <w:rPr>
          <w:i/>
          <w:lang w:val="de-DE"/>
        </w:rPr>
        <w:t>Art. </w:t>
      </w:r>
      <w:r w:rsidRPr="004676F5">
        <w:rPr>
          <w:i/>
          <w:lang w:val="de-DE"/>
        </w:rPr>
        <w:t>22 des G. vom 6. </w:t>
      </w:r>
      <w:r w:rsidRPr="00B14651">
        <w:rPr>
          <w:i/>
          <w:lang w:val="de-DE"/>
        </w:rPr>
        <w:t>Juni 2017 (B.S. vom 12. Juni 2017)]</w:t>
      </w:r>
    </w:p>
    <w:p w14:paraId="3F403702" w14:textId="77777777" w:rsidR="002F0EBE" w:rsidRPr="00B14651" w:rsidRDefault="002F0EBE" w:rsidP="002F0EBE">
      <w:pPr>
        <w:jc w:val="both"/>
        <w:rPr>
          <w:lang w:val="de-DE"/>
        </w:rPr>
      </w:pPr>
    </w:p>
    <w:p w14:paraId="1D8B30A1" w14:textId="77777777" w:rsidR="002F0EBE" w:rsidRPr="00B14651" w:rsidRDefault="002F0EBE" w:rsidP="002F0EBE">
      <w:pPr>
        <w:jc w:val="both"/>
        <w:rPr>
          <w:lang w:val="de-DE"/>
        </w:rPr>
      </w:pPr>
    </w:p>
    <w:p w14:paraId="7FD54F59" w14:textId="5D56FE58" w:rsidR="002F0EBE" w:rsidRPr="004676F5" w:rsidRDefault="002F0EBE" w:rsidP="002F0EBE">
      <w:pPr>
        <w:jc w:val="center"/>
        <w:rPr>
          <w:lang w:val="de-DE"/>
        </w:rPr>
      </w:pPr>
      <w:r w:rsidRPr="004676F5">
        <w:rPr>
          <w:lang w:val="de-DE"/>
        </w:rPr>
        <w:t>[Unterabschnitt 2 </w:t>
      </w:r>
      <w:r w:rsidR="005B7A5C" w:rsidRPr="004676F5">
        <w:rPr>
          <w:lang w:val="de-DE"/>
        </w:rPr>
        <w:t>- </w:t>
      </w:r>
      <w:r w:rsidRPr="004676F5">
        <w:rPr>
          <w:lang w:val="de-DE"/>
        </w:rPr>
        <w:t>Offenlegung von Beweismitteln, die in den Akten einer Wettbe</w:t>
      </w:r>
      <w:r w:rsidRPr="004676F5">
        <w:rPr>
          <w:lang w:val="de-DE"/>
        </w:rPr>
        <w:softHyphen/>
        <w:t>werbs</w:t>
      </w:r>
      <w:r w:rsidRPr="004676F5">
        <w:rPr>
          <w:lang w:val="de-DE"/>
        </w:rPr>
        <w:softHyphen/>
        <w:t>behörde enthalten sind]</w:t>
      </w:r>
    </w:p>
    <w:p w14:paraId="355218BF" w14:textId="77777777" w:rsidR="002F0EBE" w:rsidRPr="004676F5" w:rsidRDefault="002F0EBE" w:rsidP="002F0EBE">
      <w:pPr>
        <w:jc w:val="center"/>
        <w:rPr>
          <w:lang w:val="de-DE"/>
        </w:rPr>
      </w:pPr>
    </w:p>
    <w:p w14:paraId="298C2457" w14:textId="2BDC2562" w:rsidR="002F0EBE" w:rsidRPr="004676F5" w:rsidRDefault="002F0EBE" w:rsidP="002F0EBE">
      <w:pPr>
        <w:jc w:val="both"/>
        <w:rPr>
          <w:i/>
          <w:lang w:val="de-DE"/>
        </w:rPr>
      </w:pPr>
      <w:r w:rsidRPr="004676F5">
        <w:rPr>
          <w:i/>
          <w:lang w:val="de-DE"/>
        </w:rPr>
        <w:t xml:space="preserve">[Unterteilung Unterabschnitt 2 eingefügt durch </w:t>
      </w:r>
      <w:r w:rsidR="00BE0A56" w:rsidRPr="004676F5">
        <w:rPr>
          <w:i/>
          <w:lang w:val="de-DE"/>
        </w:rPr>
        <w:t>Art. </w:t>
      </w:r>
      <w:r w:rsidRPr="004676F5">
        <w:rPr>
          <w:i/>
          <w:lang w:val="de-DE"/>
        </w:rPr>
        <w:t>23 des G. vom 6. Juni 2017 (B.S. vom 12. Juni 2017)]</w:t>
      </w:r>
    </w:p>
    <w:p w14:paraId="005AE5FE" w14:textId="77777777" w:rsidR="002F0EBE" w:rsidRPr="004676F5" w:rsidRDefault="002F0EBE" w:rsidP="002F0EBE">
      <w:pPr>
        <w:jc w:val="center"/>
        <w:rPr>
          <w:lang w:val="de-DE"/>
        </w:rPr>
      </w:pPr>
    </w:p>
    <w:p w14:paraId="3A35E038" w14:textId="77777777" w:rsidR="002F0EBE" w:rsidRPr="004676F5" w:rsidRDefault="002F0EBE" w:rsidP="002F0EBE">
      <w:pPr>
        <w:jc w:val="both"/>
        <w:rPr>
          <w:b/>
          <w:lang w:val="de-DE"/>
        </w:rPr>
      </w:pPr>
    </w:p>
    <w:p w14:paraId="3FE79EDC" w14:textId="7C2189C1" w:rsidR="002F0EBE" w:rsidRPr="004676F5" w:rsidRDefault="002F0EBE" w:rsidP="002F0EBE">
      <w:pPr>
        <w:jc w:val="both"/>
        <w:rPr>
          <w:lang w:val="de-DE"/>
        </w:rPr>
      </w:pPr>
      <w:r w:rsidRPr="004676F5">
        <w:rPr>
          <w:lang w:val="de-DE"/>
        </w:rPr>
        <w:tab/>
        <w:t>[</w:t>
      </w:r>
      <w:r w:rsidR="00BE0A56" w:rsidRPr="004676F5">
        <w:rPr>
          <w:b/>
          <w:lang w:val="de-DE"/>
        </w:rPr>
        <w:t>Art. </w:t>
      </w:r>
      <w:r w:rsidRPr="004676F5">
        <w:rPr>
          <w:b/>
          <w:lang w:val="de-DE"/>
        </w:rPr>
        <w:t>XVII.77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Bestimmungen des vorliegenden Unterabschnitts gelten unbeschadet der Artikel XVII.74 bis XVII.76 und der nach dem Recht der Europäischen Union, Buch IV oder dem Wettbewerbsrecht der anderen Mitgliedstaaten geltenden Vorschriften oder Anwendungspraktiken im Bereich des Schutzes der internen Unterlagen von Wettbewerbs</w:t>
      </w:r>
      <w:r w:rsidRPr="004676F5">
        <w:rPr>
          <w:lang w:val="de-DE"/>
        </w:rPr>
        <w:softHyphen/>
        <w:t>behörden und des Schriftverkehrs zwischen Wettbewerbsbehörden.</w:t>
      </w:r>
    </w:p>
    <w:p w14:paraId="33C62FF8" w14:textId="77777777" w:rsidR="002F0EBE" w:rsidRPr="004676F5" w:rsidRDefault="002F0EBE" w:rsidP="002F0EBE">
      <w:pPr>
        <w:jc w:val="both"/>
        <w:rPr>
          <w:lang w:val="de-DE"/>
        </w:rPr>
      </w:pPr>
    </w:p>
    <w:p w14:paraId="552B12F6" w14:textId="22763AEF"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Der Richter kann die Offenlegung von Beweismitteln, die in den Akten der Wettbewerbsbehörde enthalten sind, nur dann bei der Wettbewerbsbehörde beantragen, wenn die Beweismittel nicht mit zumutbarem Aufwand von einer anderen Partei oder von Dritten erlangt werden können.]</w:t>
      </w:r>
    </w:p>
    <w:p w14:paraId="70834759" w14:textId="77777777" w:rsidR="002F0EBE" w:rsidRPr="004676F5" w:rsidRDefault="002F0EBE" w:rsidP="002F0EBE">
      <w:pPr>
        <w:jc w:val="both"/>
        <w:rPr>
          <w:lang w:val="de-DE"/>
        </w:rPr>
      </w:pPr>
    </w:p>
    <w:p w14:paraId="77551551" w14:textId="2E575271" w:rsidR="002F0EBE" w:rsidRPr="00B14651" w:rsidRDefault="002F0EBE" w:rsidP="002F0EBE">
      <w:pPr>
        <w:jc w:val="both"/>
        <w:rPr>
          <w:i/>
          <w:lang w:val="de-DE"/>
        </w:rPr>
      </w:pPr>
      <w:r w:rsidRPr="004676F5">
        <w:rPr>
          <w:i/>
          <w:lang w:val="de-DE"/>
        </w:rPr>
        <w:t>[</w:t>
      </w:r>
      <w:r w:rsidR="00BE0A56" w:rsidRPr="004676F5">
        <w:rPr>
          <w:i/>
          <w:lang w:val="de-DE"/>
        </w:rPr>
        <w:t>Art. </w:t>
      </w:r>
      <w:r w:rsidRPr="004676F5">
        <w:rPr>
          <w:i/>
          <w:lang w:val="de-DE"/>
        </w:rPr>
        <w:t xml:space="preserve">XVII.77 eingefügt durch </w:t>
      </w:r>
      <w:r w:rsidR="00BE0A56" w:rsidRPr="004676F5">
        <w:rPr>
          <w:i/>
          <w:lang w:val="de-DE"/>
        </w:rPr>
        <w:t>Art. </w:t>
      </w:r>
      <w:r w:rsidR="005E4833" w:rsidRPr="004676F5">
        <w:rPr>
          <w:i/>
          <w:lang w:val="de-DE"/>
        </w:rPr>
        <w:t>24</w:t>
      </w:r>
      <w:r w:rsidRPr="004676F5">
        <w:rPr>
          <w:i/>
          <w:lang w:val="de-DE"/>
        </w:rPr>
        <w:t xml:space="preserve"> des G. vom 6. </w:t>
      </w:r>
      <w:r w:rsidRPr="00B14651">
        <w:rPr>
          <w:i/>
          <w:lang w:val="de-DE"/>
        </w:rPr>
        <w:t>Juni 2017 (B.S. vom 12. Juni 2017)]</w:t>
      </w:r>
    </w:p>
    <w:p w14:paraId="161FCB86" w14:textId="77777777" w:rsidR="002F0EBE" w:rsidRPr="00B14651" w:rsidRDefault="002F0EBE" w:rsidP="002F0EBE">
      <w:pPr>
        <w:jc w:val="both"/>
        <w:rPr>
          <w:lang w:val="de-DE"/>
        </w:rPr>
      </w:pPr>
    </w:p>
    <w:p w14:paraId="5CCF9A56" w14:textId="77777777" w:rsidR="002F0EBE" w:rsidRPr="00B14651" w:rsidRDefault="002F0EBE" w:rsidP="002F0EBE">
      <w:pPr>
        <w:jc w:val="both"/>
        <w:rPr>
          <w:lang w:val="de-DE"/>
        </w:rPr>
      </w:pPr>
    </w:p>
    <w:p w14:paraId="2360BA19" w14:textId="655B131F" w:rsidR="002F0EBE" w:rsidRPr="004676F5" w:rsidRDefault="005E4833" w:rsidP="005E4833">
      <w:pPr>
        <w:ind w:firstLine="708"/>
        <w:jc w:val="both"/>
        <w:rPr>
          <w:lang w:val="de-DE"/>
        </w:rPr>
      </w:pPr>
      <w:r w:rsidRPr="004676F5">
        <w:rPr>
          <w:lang w:val="de-DE"/>
        </w:rPr>
        <w:t>[</w:t>
      </w:r>
      <w:r w:rsidR="00BE0A56" w:rsidRPr="004676F5">
        <w:rPr>
          <w:b/>
          <w:lang w:val="de-DE"/>
        </w:rPr>
        <w:t>Art. </w:t>
      </w:r>
      <w:r w:rsidR="002F0EBE" w:rsidRPr="004676F5">
        <w:rPr>
          <w:b/>
          <w:lang w:val="de-DE"/>
        </w:rPr>
        <w:t>XVII.78</w:t>
      </w:r>
      <w:r w:rsidR="002F0EBE" w:rsidRPr="004676F5">
        <w:rPr>
          <w:lang w:val="de-DE"/>
        </w:rPr>
        <w:t> </w:t>
      </w:r>
      <w:r w:rsidR="005B7A5C" w:rsidRPr="004676F5">
        <w:rPr>
          <w:lang w:val="de-DE"/>
        </w:rPr>
        <w:t>- </w:t>
      </w:r>
      <w:r w:rsidR="002F0EBE" w:rsidRPr="004676F5">
        <w:rPr>
          <w:lang w:val="de-DE"/>
        </w:rPr>
        <w:t>§ 1 </w:t>
      </w:r>
      <w:r w:rsidR="005B7A5C" w:rsidRPr="004676F5">
        <w:rPr>
          <w:lang w:val="de-DE"/>
        </w:rPr>
        <w:t>- </w:t>
      </w:r>
      <w:r w:rsidR="002F0EBE" w:rsidRPr="004676F5">
        <w:rPr>
          <w:lang w:val="de-DE"/>
        </w:rPr>
        <w:t>Bei der Beurteilung gemäß Artikel XVII.74 § 2 der Verhältnis</w:t>
      </w:r>
      <w:r w:rsidR="002F0EBE" w:rsidRPr="004676F5">
        <w:rPr>
          <w:lang w:val="de-DE"/>
        </w:rPr>
        <w:softHyphen/>
        <w:t>mäßigkeit einer Anordnung zur Offenlegung von Beweismitteln, die in den Akten der Wettbewerbsbehörde enthalten sind, berücksichtigt der Richter zusätzlich:</w:t>
      </w:r>
    </w:p>
    <w:p w14:paraId="50D0174A" w14:textId="77777777" w:rsidR="002F0EBE" w:rsidRPr="004676F5" w:rsidRDefault="002F0EBE" w:rsidP="002F0EBE">
      <w:pPr>
        <w:jc w:val="both"/>
        <w:rPr>
          <w:lang w:val="de-DE"/>
        </w:rPr>
      </w:pPr>
    </w:p>
    <w:p w14:paraId="5A1A534A" w14:textId="77777777" w:rsidR="002F0EBE" w:rsidRPr="004676F5" w:rsidRDefault="002F0EBE" w:rsidP="002F0EBE">
      <w:pPr>
        <w:jc w:val="both"/>
        <w:rPr>
          <w:lang w:val="de-DE"/>
        </w:rPr>
      </w:pPr>
      <w:r w:rsidRPr="004676F5">
        <w:rPr>
          <w:lang w:val="de-DE"/>
        </w:rPr>
        <w:tab/>
        <w:t>1. ob der Antrag zur Offenlegung von Beweismitteln eigens hinsichtlich Art, Gegenstand oder Inhalt der der Wettbewerbsbehörde übermittelten oder in deren Akten enthaltenen Unterlagen formuliert wurde,</w:t>
      </w:r>
    </w:p>
    <w:p w14:paraId="3EFA1CD1" w14:textId="77777777" w:rsidR="002F0EBE" w:rsidRPr="004676F5" w:rsidRDefault="002F0EBE" w:rsidP="002F0EBE">
      <w:pPr>
        <w:jc w:val="both"/>
        <w:rPr>
          <w:lang w:val="de-DE"/>
        </w:rPr>
      </w:pPr>
    </w:p>
    <w:p w14:paraId="1C305D16" w14:textId="77777777" w:rsidR="002F0EBE" w:rsidRPr="004676F5" w:rsidRDefault="002F0EBE" w:rsidP="002F0EBE">
      <w:pPr>
        <w:jc w:val="both"/>
        <w:rPr>
          <w:lang w:val="de-DE"/>
        </w:rPr>
      </w:pPr>
      <w:r w:rsidRPr="004676F5">
        <w:rPr>
          <w:lang w:val="de-DE"/>
        </w:rPr>
        <w:tab/>
        <w:t>2. ob die Partei, die die Offenlegung von Beweismitteln beantragt, diesen Antrag im Rahmen einer Schadenersatzklage stellt und</w:t>
      </w:r>
    </w:p>
    <w:p w14:paraId="066FE2B2" w14:textId="77777777" w:rsidR="002F0EBE" w:rsidRPr="004676F5" w:rsidRDefault="002F0EBE" w:rsidP="002F0EBE">
      <w:pPr>
        <w:jc w:val="both"/>
        <w:rPr>
          <w:lang w:val="de-DE"/>
        </w:rPr>
      </w:pPr>
    </w:p>
    <w:p w14:paraId="0D588801" w14:textId="77777777" w:rsidR="002F0EBE" w:rsidRPr="004676F5" w:rsidRDefault="002F0EBE" w:rsidP="002F0EBE">
      <w:pPr>
        <w:jc w:val="both"/>
        <w:rPr>
          <w:lang w:val="de-DE"/>
        </w:rPr>
      </w:pPr>
      <w:r w:rsidRPr="004676F5">
        <w:rPr>
          <w:lang w:val="de-DE"/>
        </w:rPr>
        <w:lastRenderedPageBreak/>
        <w:tab/>
        <w:t>3. im Zusammenhang mit den Artikeln XVII.77 § 2 und XVII.79 § 1 oder auf Antrag einer Wettbewerbsbehörde nach § 2 des vorliegenden Artikels die Notwendigkeit, die Wirksamkeit der Durchsetzung des Wettbewerbsrechts seitens einer Wettbewerbsbehörde oder einer Rechtsmittelinstanz zu wahren.</w:t>
      </w:r>
    </w:p>
    <w:p w14:paraId="186650D4" w14:textId="77777777" w:rsidR="002F0EBE" w:rsidRPr="004676F5" w:rsidRDefault="002F0EBE" w:rsidP="002F0EBE">
      <w:pPr>
        <w:jc w:val="both"/>
        <w:rPr>
          <w:lang w:val="de-DE"/>
        </w:rPr>
      </w:pPr>
    </w:p>
    <w:p w14:paraId="28378CEA" w14:textId="09FF4BE7"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Der Richter fordert die Wettbewerbsbehörde, die von einem Antrag auf Offenlegung von Beweismitteln betroffen ist, auf, gemäß Modalitäten und in einer Frist, die er festlegt, eine schriftliche Stellungnahme über die Verhältnismäßigkeit dieses Antrags abzugeben. Sie kann auch angehört werden, wen</w:t>
      </w:r>
      <w:r w:rsidR="005E4833" w:rsidRPr="004676F5">
        <w:rPr>
          <w:lang w:val="de-DE"/>
        </w:rPr>
        <w:t>n der Richter ihr dies erlaubt.]</w:t>
      </w:r>
    </w:p>
    <w:p w14:paraId="7625B3D0" w14:textId="77777777" w:rsidR="005E4833" w:rsidRPr="004676F5" w:rsidRDefault="005E4833" w:rsidP="002F0EBE">
      <w:pPr>
        <w:jc w:val="both"/>
        <w:rPr>
          <w:lang w:val="de-DE"/>
        </w:rPr>
      </w:pPr>
    </w:p>
    <w:p w14:paraId="1F70255B" w14:textId="6D626BCA"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XVII.78 eingefügt durch </w:t>
      </w:r>
      <w:r w:rsidR="00BE0A56" w:rsidRPr="004676F5">
        <w:rPr>
          <w:i/>
          <w:lang w:val="de-DE"/>
        </w:rPr>
        <w:t>Art. </w:t>
      </w:r>
      <w:r w:rsidRPr="004676F5">
        <w:rPr>
          <w:i/>
          <w:lang w:val="de-DE"/>
        </w:rPr>
        <w:t>25 des G. vom 6. </w:t>
      </w:r>
      <w:r w:rsidRPr="00B14651">
        <w:rPr>
          <w:i/>
          <w:lang w:val="de-DE"/>
        </w:rPr>
        <w:t>Juni 2017 (B.S. vom 12. Juni 2017)]</w:t>
      </w:r>
    </w:p>
    <w:p w14:paraId="2C55D207" w14:textId="77777777" w:rsidR="005E4833" w:rsidRPr="00B14651" w:rsidRDefault="005E4833" w:rsidP="002F0EBE">
      <w:pPr>
        <w:jc w:val="both"/>
        <w:rPr>
          <w:lang w:val="de-DE"/>
        </w:rPr>
      </w:pPr>
    </w:p>
    <w:p w14:paraId="73671255" w14:textId="77777777" w:rsidR="002F0EBE" w:rsidRPr="00B14651" w:rsidRDefault="002F0EBE" w:rsidP="002F0EBE">
      <w:pPr>
        <w:jc w:val="both"/>
        <w:rPr>
          <w:lang w:val="de-DE"/>
        </w:rPr>
      </w:pPr>
    </w:p>
    <w:p w14:paraId="54374522" w14:textId="3117DA09"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XVII.79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Richter darf die Offenlegung der folgenden Kategorien von Beweismitteln erst dann anordnen, wenn die Wettbewerbsbehörde ihr Verfahren durch Erlass einer Entscheidung oder in anderer Weise beendet hat:</w:t>
      </w:r>
    </w:p>
    <w:p w14:paraId="676405BC" w14:textId="77777777" w:rsidR="002F0EBE" w:rsidRPr="004676F5" w:rsidRDefault="002F0EBE" w:rsidP="002F0EBE">
      <w:pPr>
        <w:jc w:val="both"/>
        <w:rPr>
          <w:lang w:val="de-DE"/>
        </w:rPr>
      </w:pPr>
    </w:p>
    <w:p w14:paraId="033CFC14" w14:textId="77777777" w:rsidR="002F0EBE" w:rsidRPr="004676F5" w:rsidRDefault="002F0EBE" w:rsidP="002F0EBE">
      <w:pPr>
        <w:jc w:val="both"/>
        <w:rPr>
          <w:lang w:val="de-DE"/>
        </w:rPr>
      </w:pPr>
      <w:r w:rsidRPr="004676F5">
        <w:rPr>
          <w:lang w:val="de-DE"/>
        </w:rPr>
        <w:tab/>
        <w:t>1. Informationen, die von einer natürlichen oder juristischen Person eigens für das wettbewerbsbehördliche Verfahren erstellt wurden,</w:t>
      </w:r>
    </w:p>
    <w:p w14:paraId="559F4BA1" w14:textId="77777777" w:rsidR="002F0EBE" w:rsidRPr="004676F5" w:rsidRDefault="002F0EBE" w:rsidP="002F0EBE">
      <w:pPr>
        <w:jc w:val="both"/>
        <w:rPr>
          <w:lang w:val="de-DE"/>
        </w:rPr>
      </w:pPr>
    </w:p>
    <w:p w14:paraId="5B253A74" w14:textId="77777777" w:rsidR="002F0EBE" w:rsidRPr="004676F5" w:rsidRDefault="002F0EBE" w:rsidP="002F0EBE">
      <w:pPr>
        <w:jc w:val="both"/>
        <w:rPr>
          <w:lang w:val="de-DE"/>
        </w:rPr>
      </w:pPr>
      <w:r w:rsidRPr="004676F5">
        <w:rPr>
          <w:lang w:val="de-DE"/>
        </w:rPr>
        <w:tab/>
        <w:t>2. Informationen, die die Wettbewerbsbehörde im Laufe ihres Verfahrens erstellt und den Parteien übermittelt hat, und</w:t>
      </w:r>
    </w:p>
    <w:p w14:paraId="3E405240" w14:textId="77777777" w:rsidR="002F0EBE" w:rsidRPr="004676F5" w:rsidRDefault="002F0EBE" w:rsidP="002F0EBE">
      <w:pPr>
        <w:jc w:val="both"/>
        <w:rPr>
          <w:lang w:val="de-DE"/>
        </w:rPr>
      </w:pPr>
    </w:p>
    <w:p w14:paraId="44A0407C" w14:textId="77777777" w:rsidR="002F0EBE" w:rsidRPr="004676F5" w:rsidRDefault="002F0EBE" w:rsidP="002F0EBE">
      <w:pPr>
        <w:jc w:val="both"/>
        <w:rPr>
          <w:lang w:val="de-DE"/>
        </w:rPr>
      </w:pPr>
      <w:r w:rsidRPr="004676F5">
        <w:rPr>
          <w:lang w:val="de-DE"/>
        </w:rPr>
        <w:tab/>
        <w:t>3. Vergleichsausführungen, die zurückgezogen wurden.</w:t>
      </w:r>
    </w:p>
    <w:p w14:paraId="52D6A9B7" w14:textId="77777777" w:rsidR="002F0EBE" w:rsidRPr="004676F5" w:rsidRDefault="002F0EBE" w:rsidP="002F0EBE">
      <w:pPr>
        <w:jc w:val="both"/>
        <w:rPr>
          <w:lang w:val="de-DE"/>
        </w:rPr>
      </w:pPr>
    </w:p>
    <w:p w14:paraId="1039B510" w14:textId="563E8E73"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Der Richter darf zu keinem Zeitpunkt die Offenlegung der folgenden Kategorien von Beweismitteln durch eine Partei oder einen Dritten anordnen:</w:t>
      </w:r>
    </w:p>
    <w:p w14:paraId="10E3E9A7" w14:textId="77777777" w:rsidR="002F0EBE" w:rsidRPr="004676F5" w:rsidRDefault="002F0EBE" w:rsidP="002F0EBE">
      <w:pPr>
        <w:jc w:val="both"/>
        <w:rPr>
          <w:lang w:val="de-DE"/>
        </w:rPr>
      </w:pPr>
    </w:p>
    <w:p w14:paraId="1287600C" w14:textId="77777777" w:rsidR="002F0EBE" w:rsidRPr="004676F5" w:rsidRDefault="002F0EBE" w:rsidP="002F0EBE">
      <w:pPr>
        <w:jc w:val="both"/>
        <w:rPr>
          <w:lang w:val="de-DE"/>
        </w:rPr>
      </w:pPr>
      <w:r w:rsidRPr="004676F5">
        <w:rPr>
          <w:lang w:val="de-DE"/>
        </w:rPr>
        <w:tab/>
        <w:t>1. Kronzeugenerklärungen und</w:t>
      </w:r>
    </w:p>
    <w:p w14:paraId="6E7C5E8F" w14:textId="77777777" w:rsidR="002F0EBE" w:rsidRPr="004676F5" w:rsidRDefault="002F0EBE" w:rsidP="002F0EBE">
      <w:pPr>
        <w:jc w:val="both"/>
        <w:rPr>
          <w:lang w:val="de-DE"/>
        </w:rPr>
      </w:pPr>
    </w:p>
    <w:p w14:paraId="3444889D" w14:textId="77777777" w:rsidR="002F0EBE" w:rsidRPr="004676F5" w:rsidRDefault="002F0EBE" w:rsidP="002F0EBE">
      <w:pPr>
        <w:jc w:val="both"/>
        <w:rPr>
          <w:lang w:val="de-DE"/>
        </w:rPr>
      </w:pPr>
      <w:r w:rsidRPr="004676F5">
        <w:rPr>
          <w:lang w:val="de-DE"/>
        </w:rPr>
        <w:tab/>
        <w:t>2. Vergleichsausführungen.</w:t>
      </w:r>
    </w:p>
    <w:p w14:paraId="4439C1D5" w14:textId="77777777" w:rsidR="002F0EBE" w:rsidRPr="004676F5" w:rsidRDefault="002F0EBE" w:rsidP="002F0EBE">
      <w:pPr>
        <w:jc w:val="both"/>
        <w:rPr>
          <w:lang w:val="de-DE"/>
        </w:rPr>
      </w:pPr>
    </w:p>
    <w:p w14:paraId="76CDD733" w14:textId="459F0D00" w:rsidR="002F0EBE" w:rsidRPr="004676F5" w:rsidRDefault="002F0EBE" w:rsidP="002F0EBE">
      <w:pPr>
        <w:jc w:val="both"/>
        <w:rPr>
          <w:lang w:val="de-DE"/>
        </w:rPr>
      </w:pPr>
      <w:r w:rsidRPr="004676F5">
        <w:rPr>
          <w:lang w:val="de-DE"/>
        </w:rPr>
        <w:tab/>
        <w:t>§ 3 </w:t>
      </w:r>
      <w:r w:rsidR="005B7A5C" w:rsidRPr="004676F5">
        <w:rPr>
          <w:lang w:val="de-DE"/>
        </w:rPr>
        <w:t>- </w:t>
      </w:r>
      <w:r w:rsidRPr="004676F5">
        <w:rPr>
          <w:lang w:val="de-DE"/>
        </w:rPr>
        <w:t>Der Richter darf auf mit Gründen versehenen Antrag eines Klägers die in § 2 erwähnten Beweismittel nur einsehen, um sich zu überzeugen, dass der Inhalt der Unterlagen den in Artikel I.22 Nr. 14 und 16 enthaltenen Begriffsbestimmungen entspricht.</w:t>
      </w:r>
    </w:p>
    <w:p w14:paraId="51C5C307" w14:textId="77777777" w:rsidR="002F0EBE" w:rsidRPr="004676F5" w:rsidRDefault="002F0EBE" w:rsidP="002F0EBE">
      <w:pPr>
        <w:jc w:val="both"/>
        <w:rPr>
          <w:lang w:val="de-DE"/>
        </w:rPr>
      </w:pPr>
    </w:p>
    <w:p w14:paraId="2AD7B4FE" w14:textId="77777777" w:rsidR="002F0EBE" w:rsidRPr="004676F5" w:rsidRDefault="002F0EBE" w:rsidP="002F0EBE">
      <w:pPr>
        <w:jc w:val="both"/>
        <w:rPr>
          <w:lang w:val="de-DE"/>
        </w:rPr>
      </w:pPr>
      <w:r w:rsidRPr="004676F5">
        <w:rPr>
          <w:lang w:val="de-DE"/>
        </w:rPr>
        <w:tab/>
        <w:t>Bei der in Absatz 1 erwähnten Beurteilung fordert der Richter den Verfasser der betreffenden Beweismittel auf, gemäß Modalitäten und in einer Frist, die er festlegt, eine schriftliche Stellungnahme abzugeben. Er kann auch angehört werden, wenn der Richter ihm dies erlaubt.</w:t>
      </w:r>
    </w:p>
    <w:p w14:paraId="304738C2" w14:textId="77777777" w:rsidR="002F0EBE" w:rsidRPr="004676F5" w:rsidRDefault="002F0EBE" w:rsidP="002F0EBE">
      <w:pPr>
        <w:jc w:val="both"/>
        <w:rPr>
          <w:lang w:val="de-DE"/>
        </w:rPr>
      </w:pPr>
    </w:p>
    <w:p w14:paraId="37594511" w14:textId="77777777" w:rsidR="002F0EBE" w:rsidRPr="004676F5" w:rsidRDefault="002F0EBE" w:rsidP="002F0EBE">
      <w:pPr>
        <w:jc w:val="both"/>
        <w:rPr>
          <w:lang w:val="de-DE"/>
        </w:rPr>
      </w:pPr>
      <w:r w:rsidRPr="004676F5">
        <w:rPr>
          <w:lang w:val="de-DE"/>
        </w:rPr>
        <w:tab/>
        <w:t>Der Richter kann auch die zuständige Wettbewerbsbehörde um Unterstützung bitten, die gemäß Modalitäten und in einer Frist zu gewähren ist, die er festlegt.</w:t>
      </w:r>
    </w:p>
    <w:p w14:paraId="76BB67CD" w14:textId="77777777" w:rsidR="002F0EBE" w:rsidRPr="004676F5" w:rsidRDefault="002F0EBE" w:rsidP="002F0EBE">
      <w:pPr>
        <w:jc w:val="both"/>
        <w:rPr>
          <w:lang w:val="de-DE"/>
        </w:rPr>
      </w:pPr>
    </w:p>
    <w:p w14:paraId="0E8A2062" w14:textId="77777777" w:rsidR="002F0EBE" w:rsidRPr="004676F5" w:rsidRDefault="002F0EBE" w:rsidP="002F0EBE">
      <w:pPr>
        <w:jc w:val="both"/>
        <w:rPr>
          <w:lang w:val="de-DE"/>
        </w:rPr>
      </w:pPr>
      <w:r w:rsidRPr="004676F5">
        <w:rPr>
          <w:lang w:val="de-DE"/>
        </w:rPr>
        <w:tab/>
        <w:t>Der Richter darf auf keinen Fall anderen Parteien oder Dritten Zugang zu diesen Beweismitteln gewähren.</w:t>
      </w:r>
    </w:p>
    <w:p w14:paraId="6408FB48" w14:textId="77777777" w:rsidR="002F0EBE" w:rsidRPr="004676F5" w:rsidRDefault="002F0EBE" w:rsidP="002F0EBE">
      <w:pPr>
        <w:jc w:val="both"/>
        <w:rPr>
          <w:lang w:val="de-DE"/>
        </w:rPr>
      </w:pPr>
    </w:p>
    <w:p w14:paraId="479CF563" w14:textId="1F6E6074" w:rsidR="002F0EBE" w:rsidRPr="004676F5" w:rsidRDefault="002F0EBE" w:rsidP="002F0EBE">
      <w:pPr>
        <w:jc w:val="both"/>
        <w:rPr>
          <w:lang w:val="de-DE"/>
        </w:rPr>
      </w:pPr>
      <w:r w:rsidRPr="004676F5">
        <w:rPr>
          <w:lang w:val="de-DE"/>
        </w:rPr>
        <w:tab/>
        <w:t>§ 4 </w:t>
      </w:r>
      <w:r w:rsidR="005B7A5C" w:rsidRPr="004676F5">
        <w:rPr>
          <w:lang w:val="de-DE"/>
        </w:rPr>
        <w:t>- </w:t>
      </w:r>
      <w:r w:rsidRPr="004676F5">
        <w:rPr>
          <w:lang w:val="de-DE"/>
        </w:rPr>
        <w:t>Soweit nur Teile der angeforderten Beweismittel unter § 2 fallen, werden die übrigen Teile je nach Kategorie gemäß den Artikeln XVII.77 und XVII.78 und vorliegendem Artikel freigegeben.</w:t>
      </w:r>
    </w:p>
    <w:p w14:paraId="6B7EB6F2" w14:textId="77777777" w:rsidR="002F0EBE" w:rsidRPr="004676F5" w:rsidRDefault="002F0EBE" w:rsidP="002F0EBE">
      <w:pPr>
        <w:jc w:val="both"/>
        <w:rPr>
          <w:lang w:val="de-DE"/>
        </w:rPr>
      </w:pPr>
    </w:p>
    <w:p w14:paraId="773D55E6" w14:textId="39B074EF" w:rsidR="002F0EBE" w:rsidRPr="004676F5" w:rsidRDefault="002F0EBE" w:rsidP="002F0EBE">
      <w:pPr>
        <w:jc w:val="both"/>
        <w:rPr>
          <w:lang w:val="de-DE"/>
        </w:rPr>
      </w:pPr>
      <w:r w:rsidRPr="004676F5">
        <w:rPr>
          <w:lang w:val="de-DE"/>
        </w:rPr>
        <w:tab/>
        <w:t>§ 5 </w:t>
      </w:r>
      <w:r w:rsidR="005B7A5C" w:rsidRPr="004676F5">
        <w:rPr>
          <w:lang w:val="de-DE"/>
        </w:rPr>
        <w:t>- </w:t>
      </w:r>
      <w:r w:rsidRPr="004676F5">
        <w:rPr>
          <w:lang w:val="de-DE"/>
        </w:rPr>
        <w:t>Der Richter kann jederzeit die Offenlegung von Beweismitteln aus den Akten der Wettbewerbsbehörde, die nicht unter eine der in den Paragraphen 1 und 2 aufgeführt</w:t>
      </w:r>
      <w:r w:rsidR="005E4833" w:rsidRPr="004676F5">
        <w:rPr>
          <w:lang w:val="de-DE"/>
        </w:rPr>
        <w:t>en Kategorien fallen, anordnen.]</w:t>
      </w:r>
    </w:p>
    <w:p w14:paraId="07155FA7" w14:textId="77777777" w:rsidR="005E4833" w:rsidRPr="004676F5" w:rsidRDefault="005E4833" w:rsidP="002F0EBE">
      <w:pPr>
        <w:jc w:val="both"/>
        <w:rPr>
          <w:lang w:val="de-DE"/>
        </w:rPr>
      </w:pPr>
    </w:p>
    <w:p w14:paraId="5A035053" w14:textId="608F2089"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XVII.79 eingefügt durch </w:t>
      </w:r>
      <w:r w:rsidR="00BE0A56" w:rsidRPr="004676F5">
        <w:rPr>
          <w:i/>
          <w:lang w:val="de-DE"/>
        </w:rPr>
        <w:t>Art. </w:t>
      </w:r>
      <w:r w:rsidRPr="004676F5">
        <w:rPr>
          <w:i/>
          <w:lang w:val="de-DE"/>
        </w:rPr>
        <w:t>26 des G. vom 6. </w:t>
      </w:r>
      <w:r w:rsidRPr="00B14651">
        <w:rPr>
          <w:i/>
          <w:lang w:val="de-DE"/>
        </w:rPr>
        <w:t>Juni 2017 (B.S. vom 12. Juni 2017)]</w:t>
      </w:r>
    </w:p>
    <w:p w14:paraId="4C2D6501" w14:textId="77777777" w:rsidR="005E4833" w:rsidRPr="00B14651" w:rsidRDefault="005E4833" w:rsidP="002F0EBE">
      <w:pPr>
        <w:jc w:val="both"/>
        <w:rPr>
          <w:lang w:val="de-DE"/>
        </w:rPr>
      </w:pPr>
    </w:p>
    <w:p w14:paraId="0488C3F0" w14:textId="77777777" w:rsidR="002F0EBE" w:rsidRPr="00B14651" w:rsidRDefault="002F0EBE" w:rsidP="002F0EBE">
      <w:pPr>
        <w:jc w:val="both"/>
        <w:rPr>
          <w:lang w:val="de-DE"/>
        </w:rPr>
      </w:pPr>
    </w:p>
    <w:p w14:paraId="0DD1893C" w14:textId="1B98A5DD"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Beweismittel, die unter eine der in Artikel XVII.79 § 2 aufge</w:t>
      </w:r>
      <w:r w:rsidRPr="004676F5">
        <w:rPr>
          <w:lang w:val="de-DE"/>
        </w:rPr>
        <w:softHyphen/>
        <w:t>führten Kategorien fallen und von einer natürlichen oder juristischen Person allein durch Einsicht in die Akten einer Wettbewerbsbehörde erlangt wurden, dürfen nicht zu der Verfahrensakte gelegt werden. Werden solche Beweismittel dennoch zu der Verfahrensakte gelegt, sind sie unzulässig und werden sie von Amts wegen aus der Verhandlung ausgeschlossen.</w:t>
      </w:r>
    </w:p>
    <w:p w14:paraId="3A8A7B5E" w14:textId="77777777" w:rsidR="002F0EBE" w:rsidRPr="004676F5" w:rsidRDefault="002F0EBE" w:rsidP="002F0EBE">
      <w:pPr>
        <w:jc w:val="both"/>
        <w:rPr>
          <w:lang w:val="de-DE"/>
        </w:rPr>
      </w:pPr>
    </w:p>
    <w:p w14:paraId="6DABA44E" w14:textId="408AD87C"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Bis eine Wettbewerbsbehörde ihr Verfahren durch Erlass einer Entscheidung oder in anderer Weise beendet hat, dürfen Beweismittel, die unter eine der in Artikel XVII.79 § 1 aufgeführten Kategorien fallen und von einer natürlichen oder juristischen Person allein durch Einsicht in die Akten einer Wettbewerbsbehörde erlangt wurden, nicht zu der Verfahrensakte gelegt werden. Werden solche Beweismittel dennoch zu der Verfahrensakte gelegt, sind sie unzulässig und werden sie von Amts wegen aus der Verhandlung ausgeschlossen.</w:t>
      </w:r>
    </w:p>
    <w:p w14:paraId="6CCB3866" w14:textId="77777777" w:rsidR="002F0EBE" w:rsidRPr="004676F5" w:rsidRDefault="002F0EBE" w:rsidP="002F0EBE">
      <w:pPr>
        <w:jc w:val="both"/>
        <w:rPr>
          <w:lang w:val="de-DE"/>
        </w:rPr>
      </w:pPr>
    </w:p>
    <w:p w14:paraId="4B3F88D4" w14:textId="76668443" w:rsidR="002F0EBE" w:rsidRPr="004676F5" w:rsidRDefault="002F0EBE" w:rsidP="002F0EBE">
      <w:pPr>
        <w:jc w:val="both"/>
        <w:rPr>
          <w:lang w:val="de-DE"/>
        </w:rPr>
      </w:pPr>
      <w:r w:rsidRPr="004676F5">
        <w:rPr>
          <w:lang w:val="de-DE"/>
        </w:rPr>
        <w:tab/>
        <w:t>§ 3 </w:t>
      </w:r>
      <w:r w:rsidR="005B7A5C" w:rsidRPr="004676F5">
        <w:rPr>
          <w:lang w:val="de-DE"/>
        </w:rPr>
        <w:t>- </w:t>
      </w:r>
      <w:r w:rsidRPr="004676F5">
        <w:rPr>
          <w:lang w:val="de-DE"/>
        </w:rPr>
        <w:t>Beweismittel, die von einer natürlichen oder juristischen Person allein durch Einsicht in die Akten einer Wettbewerbsbehörde erlangt wurden und die nicht unter § 1 oder 2 fallen, dürfen im Rahmen einer Schadenersatzklage nur von dieser Person oder von einer natürlichen oder juristischen Person verwendet werden, die in ihre Rechte eingetreten ist, einschließlich einer Person, die den Anspr</w:t>
      </w:r>
      <w:r w:rsidR="005E4833" w:rsidRPr="004676F5">
        <w:rPr>
          <w:lang w:val="de-DE"/>
        </w:rPr>
        <w:t>uch dieser Person erworben hat.]</w:t>
      </w:r>
    </w:p>
    <w:p w14:paraId="5F711CE2" w14:textId="77777777" w:rsidR="005E4833" w:rsidRPr="004676F5" w:rsidRDefault="005E4833" w:rsidP="002F0EBE">
      <w:pPr>
        <w:jc w:val="both"/>
        <w:rPr>
          <w:lang w:val="de-DE"/>
        </w:rPr>
      </w:pPr>
    </w:p>
    <w:p w14:paraId="116DEB36" w14:textId="062B9BD9"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XVII.80 eingefügt durch </w:t>
      </w:r>
      <w:r w:rsidR="00BE0A56" w:rsidRPr="004676F5">
        <w:rPr>
          <w:i/>
          <w:lang w:val="de-DE"/>
        </w:rPr>
        <w:t>Art. </w:t>
      </w:r>
      <w:r w:rsidRPr="004676F5">
        <w:rPr>
          <w:i/>
          <w:lang w:val="de-DE"/>
        </w:rPr>
        <w:t>27 des G. vom 6. </w:t>
      </w:r>
      <w:r w:rsidRPr="00B14651">
        <w:rPr>
          <w:i/>
          <w:lang w:val="de-DE"/>
        </w:rPr>
        <w:t>Juni 2017 (B.S. vom 12. Juni 2017)]</w:t>
      </w:r>
    </w:p>
    <w:p w14:paraId="40E539AE" w14:textId="77777777" w:rsidR="005E4833" w:rsidRPr="00B14651" w:rsidRDefault="005E4833" w:rsidP="002F0EBE">
      <w:pPr>
        <w:jc w:val="both"/>
        <w:rPr>
          <w:lang w:val="de-DE"/>
        </w:rPr>
      </w:pPr>
    </w:p>
    <w:p w14:paraId="34E2917E" w14:textId="77777777" w:rsidR="002F0EBE" w:rsidRPr="00B14651" w:rsidRDefault="002F0EBE" w:rsidP="002F0EBE">
      <w:pPr>
        <w:jc w:val="both"/>
        <w:rPr>
          <w:lang w:val="de-DE"/>
        </w:rPr>
      </w:pPr>
    </w:p>
    <w:p w14:paraId="72F45AF9" w14:textId="007AC5D6" w:rsidR="002F0EBE" w:rsidRPr="004676F5" w:rsidRDefault="00002C1A" w:rsidP="005E4833">
      <w:pPr>
        <w:jc w:val="center"/>
        <w:rPr>
          <w:lang w:val="de-DE"/>
        </w:rPr>
      </w:pPr>
      <w:r w:rsidRPr="004676F5">
        <w:rPr>
          <w:lang w:val="de-DE"/>
        </w:rPr>
        <w:t>[Unterabschnitt 3 </w:t>
      </w:r>
      <w:r w:rsidR="005B7A5C" w:rsidRPr="004676F5">
        <w:rPr>
          <w:lang w:val="de-DE"/>
        </w:rPr>
        <w:t>- </w:t>
      </w:r>
      <w:r w:rsidR="005E4833" w:rsidRPr="004676F5">
        <w:rPr>
          <w:lang w:val="de-DE"/>
        </w:rPr>
        <w:t>Sanktionen]</w:t>
      </w:r>
    </w:p>
    <w:p w14:paraId="2352F83F" w14:textId="77777777" w:rsidR="005E4833" w:rsidRPr="004676F5" w:rsidRDefault="005E4833" w:rsidP="005E4833">
      <w:pPr>
        <w:jc w:val="center"/>
        <w:rPr>
          <w:lang w:val="de-DE"/>
        </w:rPr>
      </w:pPr>
    </w:p>
    <w:p w14:paraId="410A510B" w14:textId="60424AB4" w:rsidR="005E4833" w:rsidRPr="004676F5" w:rsidRDefault="005E4833" w:rsidP="005E4833">
      <w:pPr>
        <w:jc w:val="both"/>
        <w:rPr>
          <w:i/>
          <w:lang w:val="de-DE"/>
        </w:rPr>
      </w:pPr>
      <w:r w:rsidRPr="004676F5">
        <w:rPr>
          <w:i/>
          <w:lang w:val="de-DE"/>
        </w:rPr>
        <w:t xml:space="preserve">[Unterteilung Unterabschnitt 3 eingefügt durch </w:t>
      </w:r>
      <w:r w:rsidR="00BE0A56" w:rsidRPr="004676F5">
        <w:rPr>
          <w:i/>
          <w:lang w:val="de-DE"/>
        </w:rPr>
        <w:t>Art. </w:t>
      </w:r>
      <w:r w:rsidRPr="004676F5">
        <w:rPr>
          <w:i/>
          <w:lang w:val="de-DE"/>
        </w:rPr>
        <w:t>28 des G. vom 6. Juni 2017 (B.S. vom 12. Juni 2017)]</w:t>
      </w:r>
    </w:p>
    <w:p w14:paraId="43D3E9C3" w14:textId="77777777" w:rsidR="005E4833" w:rsidRPr="004676F5" w:rsidRDefault="005E4833" w:rsidP="005E4833">
      <w:pPr>
        <w:jc w:val="center"/>
        <w:rPr>
          <w:lang w:val="de-DE"/>
        </w:rPr>
      </w:pPr>
    </w:p>
    <w:p w14:paraId="33BBC4B8" w14:textId="77777777" w:rsidR="005E4833" w:rsidRPr="004676F5" w:rsidRDefault="005E4833" w:rsidP="002F0EBE">
      <w:pPr>
        <w:jc w:val="both"/>
        <w:rPr>
          <w:b/>
          <w:lang w:val="de-DE"/>
        </w:rPr>
      </w:pPr>
    </w:p>
    <w:p w14:paraId="45768961" w14:textId="1CD72641" w:rsidR="002F0EBE" w:rsidRPr="004676F5" w:rsidRDefault="002F0EBE" w:rsidP="002F0EBE">
      <w:pPr>
        <w:jc w:val="both"/>
        <w:rPr>
          <w:lang w:val="de-DE"/>
        </w:rPr>
      </w:pPr>
      <w:r w:rsidRPr="004676F5">
        <w:rPr>
          <w:lang w:val="de-DE"/>
        </w:rPr>
        <w:tab/>
      </w:r>
      <w:r w:rsidR="005E4833" w:rsidRPr="004676F5">
        <w:rPr>
          <w:lang w:val="de-DE"/>
        </w:rPr>
        <w:t>[</w:t>
      </w:r>
      <w:r w:rsidR="00BE0A56" w:rsidRPr="004676F5">
        <w:rPr>
          <w:b/>
          <w:lang w:val="de-DE"/>
        </w:rPr>
        <w:t>Art. </w:t>
      </w:r>
      <w:r w:rsidRPr="004676F5">
        <w:rPr>
          <w:b/>
          <w:lang w:val="de-DE"/>
        </w:rPr>
        <w:t>XVII.81</w:t>
      </w:r>
      <w:r w:rsidRPr="004676F5">
        <w:rPr>
          <w:lang w:val="de-DE"/>
        </w:rPr>
        <w:t> </w:t>
      </w:r>
      <w:r w:rsidR="005B7A5C" w:rsidRPr="004676F5">
        <w:rPr>
          <w:lang w:val="de-DE"/>
        </w:rPr>
        <w:t>- </w:t>
      </w:r>
      <w:r w:rsidRPr="004676F5">
        <w:rPr>
          <w:lang w:val="de-DE"/>
        </w:rPr>
        <w:t>Unbeschadet des Artikels 1385</w:t>
      </w:r>
      <w:r w:rsidRPr="004676F5">
        <w:rPr>
          <w:i/>
          <w:lang w:val="de-DE"/>
        </w:rPr>
        <w:t>bis</w:t>
      </w:r>
      <w:r w:rsidRPr="004676F5">
        <w:rPr>
          <w:lang w:val="de-DE"/>
        </w:rPr>
        <w:t xml:space="preserve"> des Gerichtsgesetzbuches kann der Richter Parteien, Dritten und ihren rechtlichen Vertretern eine Geldbuße von 1.000 bis 10.000.000 EUR auferlegen, unbeschadet eines eventuell geforderten Schadenersatzes, wenn diese:</w:t>
      </w:r>
    </w:p>
    <w:p w14:paraId="6F813377" w14:textId="77777777" w:rsidR="002F0EBE" w:rsidRPr="004676F5" w:rsidRDefault="002F0EBE" w:rsidP="002F0EBE">
      <w:pPr>
        <w:jc w:val="both"/>
        <w:rPr>
          <w:lang w:val="de-DE"/>
        </w:rPr>
      </w:pPr>
    </w:p>
    <w:p w14:paraId="4AA04548" w14:textId="77777777" w:rsidR="002F0EBE" w:rsidRPr="004676F5" w:rsidRDefault="002F0EBE" w:rsidP="002F0EBE">
      <w:pPr>
        <w:jc w:val="both"/>
        <w:rPr>
          <w:lang w:val="de-DE"/>
        </w:rPr>
      </w:pPr>
      <w:r w:rsidRPr="004676F5">
        <w:rPr>
          <w:lang w:val="de-DE"/>
        </w:rPr>
        <w:tab/>
        <w:t>1. die Anordnung zur Offenlegung von Beweismitteln des Richters nicht befolgen oder ihre Befolgung verweigern,</w:t>
      </w:r>
    </w:p>
    <w:p w14:paraId="018EA81D" w14:textId="77777777" w:rsidR="002F0EBE" w:rsidRPr="004676F5" w:rsidRDefault="002F0EBE" w:rsidP="002F0EBE">
      <w:pPr>
        <w:jc w:val="both"/>
        <w:rPr>
          <w:lang w:val="de-DE"/>
        </w:rPr>
      </w:pPr>
    </w:p>
    <w:p w14:paraId="58D4028D" w14:textId="77777777" w:rsidR="002F0EBE" w:rsidRPr="004676F5" w:rsidRDefault="002F0EBE" w:rsidP="002F0EBE">
      <w:pPr>
        <w:jc w:val="both"/>
        <w:rPr>
          <w:lang w:val="de-DE"/>
        </w:rPr>
      </w:pPr>
      <w:r w:rsidRPr="004676F5">
        <w:rPr>
          <w:lang w:val="de-DE"/>
        </w:rPr>
        <w:tab/>
        <w:t>2. relevante Beweismittel vernichten,</w:t>
      </w:r>
    </w:p>
    <w:p w14:paraId="5872C6E5" w14:textId="77777777" w:rsidR="002F0EBE" w:rsidRPr="004676F5" w:rsidRDefault="002F0EBE" w:rsidP="002F0EBE">
      <w:pPr>
        <w:jc w:val="both"/>
        <w:rPr>
          <w:lang w:val="de-DE"/>
        </w:rPr>
      </w:pPr>
    </w:p>
    <w:p w14:paraId="4645252B" w14:textId="77777777" w:rsidR="002F0EBE" w:rsidRPr="004676F5" w:rsidRDefault="002F0EBE" w:rsidP="002F0EBE">
      <w:pPr>
        <w:jc w:val="both"/>
        <w:rPr>
          <w:lang w:val="de-DE"/>
        </w:rPr>
      </w:pPr>
      <w:r w:rsidRPr="004676F5">
        <w:rPr>
          <w:lang w:val="de-DE"/>
        </w:rPr>
        <w:tab/>
        <w:t>3. die Erfüllung der mit einer Anordnung des Richters zum Schutz vertraulicher Informationen auferlegten Verpflichtungen unterlassen oder verweigern oder</w:t>
      </w:r>
    </w:p>
    <w:p w14:paraId="65AFC4A0" w14:textId="77777777" w:rsidR="002F0EBE" w:rsidRPr="004676F5" w:rsidRDefault="002F0EBE" w:rsidP="002F0EBE">
      <w:pPr>
        <w:jc w:val="both"/>
        <w:rPr>
          <w:lang w:val="de-DE"/>
        </w:rPr>
      </w:pPr>
    </w:p>
    <w:p w14:paraId="23171E72" w14:textId="77777777" w:rsidR="002F0EBE" w:rsidRPr="004676F5" w:rsidRDefault="002F0EBE" w:rsidP="002F0EBE">
      <w:pPr>
        <w:jc w:val="both"/>
        <w:rPr>
          <w:lang w:val="de-DE"/>
        </w:rPr>
      </w:pPr>
      <w:r w:rsidRPr="004676F5">
        <w:rPr>
          <w:lang w:val="de-DE"/>
        </w:rPr>
        <w:lastRenderedPageBreak/>
        <w:tab/>
        <w:t>4. gegen die in vorliegendem Kapitel vorgesehenen Beschränkungen der Beweisver</w:t>
      </w:r>
      <w:r w:rsidRPr="004676F5">
        <w:rPr>
          <w:lang w:val="de-DE"/>
        </w:rPr>
        <w:softHyphen/>
        <w:t>wertung verstoßen.</w:t>
      </w:r>
    </w:p>
    <w:p w14:paraId="48F7B99B" w14:textId="77777777" w:rsidR="002F0EBE" w:rsidRPr="004676F5" w:rsidRDefault="002F0EBE" w:rsidP="002F0EBE">
      <w:pPr>
        <w:jc w:val="both"/>
        <w:rPr>
          <w:lang w:val="de-DE"/>
        </w:rPr>
      </w:pPr>
    </w:p>
    <w:p w14:paraId="62984001" w14:textId="77777777" w:rsidR="002F0EBE" w:rsidRPr="004676F5" w:rsidRDefault="002F0EBE" w:rsidP="002F0EBE">
      <w:pPr>
        <w:jc w:val="both"/>
        <w:rPr>
          <w:lang w:val="de-DE"/>
        </w:rPr>
      </w:pPr>
      <w:r w:rsidRPr="004676F5">
        <w:rPr>
          <w:lang w:val="de-DE"/>
        </w:rPr>
        <w:tab/>
        <w:t>Die Geldbuße muss wirksam, verhältnismäßig und abschreckend sein unter Berücksich</w:t>
      </w:r>
      <w:r w:rsidRPr="004676F5">
        <w:rPr>
          <w:lang w:val="de-DE"/>
        </w:rPr>
        <w:softHyphen/>
        <w:t>tigung des Unternehmens oder der Person, dem/der sie auferlegt wird, und der konkreten Umstände des betreffenden Falls wie der Höhe des geforderten Schadenersatzes, des entscheidenden Charakters des Beweismittels, dessen Offenlegung vom Richter angeordnet wird, seiner Beweiskraft, der Schwere des Verfahrensverstoßes und gegebenenfalls der Absicht der betreffenden Partei, eines Dritten oder ihres rechtlichen Vertreters, den Verstoß zu begehen.</w:t>
      </w:r>
    </w:p>
    <w:p w14:paraId="05DC5842" w14:textId="77777777" w:rsidR="002F0EBE" w:rsidRPr="004676F5" w:rsidRDefault="002F0EBE" w:rsidP="002F0EBE">
      <w:pPr>
        <w:jc w:val="both"/>
        <w:rPr>
          <w:lang w:val="de-DE"/>
        </w:rPr>
      </w:pPr>
    </w:p>
    <w:p w14:paraId="7132930C" w14:textId="1F77A340" w:rsidR="002F0EBE" w:rsidRPr="004676F5" w:rsidRDefault="002F0EBE" w:rsidP="002F0EBE">
      <w:pPr>
        <w:jc w:val="both"/>
        <w:rPr>
          <w:lang w:val="de-DE"/>
        </w:rPr>
      </w:pPr>
      <w:r w:rsidRPr="004676F5">
        <w:rPr>
          <w:lang w:val="de-DE"/>
        </w:rPr>
        <w:tab/>
        <w:t>Die Geldbuße wird auf Betreiben der Registrierungs</w:t>
      </w:r>
      <w:r w:rsidR="005B7A5C" w:rsidRPr="004676F5">
        <w:rPr>
          <w:lang w:val="de-DE"/>
        </w:rPr>
        <w:t>- </w:t>
      </w:r>
      <w:r w:rsidRPr="004676F5">
        <w:rPr>
          <w:lang w:val="de-DE"/>
        </w:rPr>
        <w:t>und Domänenverwaltung mit allen rechtlichen Mitteln beigetrieben.</w:t>
      </w:r>
    </w:p>
    <w:p w14:paraId="3C40209B" w14:textId="77777777" w:rsidR="002F0EBE" w:rsidRPr="004676F5" w:rsidRDefault="002F0EBE" w:rsidP="002F0EBE">
      <w:pPr>
        <w:jc w:val="both"/>
        <w:rPr>
          <w:lang w:val="de-DE"/>
        </w:rPr>
      </w:pPr>
    </w:p>
    <w:p w14:paraId="032FADDC" w14:textId="77777777" w:rsidR="002F0EBE" w:rsidRPr="004676F5" w:rsidRDefault="002F0EBE" w:rsidP="002F0EBE">
      <w:pPr>
        <w:jc w:val="both"/>
        <w:rPr>
          <w:lang w:val="de-DE"/>
        </w:rPr>
      </w:pPr>
      <w:r w:rsidRPr="004676F5">
        <w:rPr>
          <w:lang w:val="de-DE"/>
        </w:rPr>
        <w:tab/>
        <w:t xml:space="preserve">Wenn einer der in Absatz 1 erwähnten Fälle auf das Verhalten einer Partei zurückzuführen ist, kann der Richter außerdem für diese Partei nachteilige Schlussfolgerungen ziehen, die er für angemessen erachtet, wie beispielsweise den betreffenden Beweis als erbracht ansehen oder Klagen oder Verteidigungsmittel ganz oder teilweise zurückweisen. Er kann auch die Verurteilung in </w:t>
      </w:r>
      <w:r w:rsidR="005E4833" w:rsidRPr="004676F5">
        <w:rPr>
          <w:lang w:val="de-DE"/>
        </w:rPr>
        <w:t>die Verfahrenskosten verkünden.]</w:t>
      </w:r>
    </w:p>
    <w:p w14:paraId="572D7257" w14:textId="77777777" w:rsidR="005E4833" w:rsidRPr="004676F5" w:rsidRDefault="005E4833" w:rsidP="002F0EBE">
      <w:pPr>
        <w:jc w:val="both"/>
        <w:rPr>
          <w:lang w:val="de-DE"/>
        </w:rPr>
      </w:pPr>
    </w:p>
    <w:p w14:paraId="05884DE6" w14:textId="0BD7C99C"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XVII.81 eingefügt durch </w:t>
      </w:r>
      <w:r w:rsidR="00BE0A56" w:rsidRPr="004676F5">
        <w:rPr>
          <w:i/>
          <w:lang w:val="de-DE"/>
        </w:rPr>
        <w:t>Art. </w:t>
      </w:r>
      <w:r w:rsidRPr="004676F5">
        <w:rPr>
          <w:i/>
          <w:lang w:val="de-DE"/>
        </w:rPr>
        <w:t>29 des G. vom 6. </w:t>
      </w:r>
      <w:r w:rsidRPr="00B14651">
        <w:rPr>
          <w:i/>
          <w:lang w:val="de-DE"/>
        </w:rPr>
        <w:t>Juni 2017 (B.S. vom 12. Juni 2017)]</w:t>
      </w:r>
    </w:p>
    <w:p w14:paraId="59213650" w14:textId="77777777" w:rsidR="005E4833" w:rsidRPr="00B14651" w:rsidRDefault="005E4833" w:rsidP="002F0EBE">
      <w:pPr>
        <w:jc w:val="both"/>
        <w:rPr>
          <w:lang w:val="de-DE"/>
        </w:rPr>
      </w:pPr>
    </w:p>
    <w:p w14:paraId="6A2D7905" w14:textId="77777777" w:rsidR="002F0EBE" w:rsidRPr="00B14651" w:rsidRDefault="002F0EBE" w:rsidP="002F0EBE">
      <w:pPr>
        <w:jc w:val="both"/>
        <w:rPr>
          <w:lang w:val="de-DE"/>
        </w:rPr>
      </w:pPr>
    </w:p>
    <w:p w14:paraId="6D88AC79" w14:textId="6B3F27BB" w:rsidR="002F0EBE" w:rsidRPr="004676F5" w:rsidRDefault="005E4833" w:rsidP="005E4833">
      <w:pPr>
        <w:jc w:val="center"/>
        <w:rPr>
          <w:lang w:val="de-DE"/>
        </w:rPr>
      </w:pPr>
      <w:r w:rsidRPr="004676F5">
        <w:rPr>
          <w:lang w:val="de-DE"/>
        </w:rPr>
        <w:t>[</w:t>
      </w:r>
      <w:r w:rsidR="002F0EBE" w:rsidRPr="004676F5">
        <w:rPr>
          <w:i/>
          <w:lang w:val="de-DE"/>
        </w:rPr>
        <w:t>Abschnitt 2 </w:t>
      </w:r>
      <w:r w:rsidR="005B7A5C" w:rsidRPr="004676F5">
        <w:rPr>
          <w:lang w:val="de-DE"/>
        </w:rPr>
        <w:t>- </w:t>
      </w:r>
      <w:r w:rsidR="002F0EBE" w:rsidRPr="004676F5">
        <w:rPr>
          <w:lang w:val="de-DE"/>
        </w:rPr>
        <w:t>Wirkung von nationalen Entscheidungen zur Feststellung einer Zuwider</w:t>
      </w:r>
      <w:r w:rsidR="002F0EBE" w:rsidRPr="004676F5">
        <w:rPr>
          <w:lang w:val="de-DE"/>
        </w:rPr>
        <w:softHyphen/>
        <w:t>handl</w:t>
      </w:r>
      <w:r w:rsidRPr="004676F5">
        <w:rPr>
          <w:lang w:val="de-DE"/>
        </w:rPr>
        <w:t>ung gegen das Wettbewerbsrecht]</w:t>
      </w:r>
    </w:p>
    <w:p w14:paraId="2F4DA13C" w14:textId="77777777" w:rsidR="002F0EBE" w:rsidRPr="004676F5" w:rsidRDefault="002F0EBE" w:rsidP="002F0EBE">
      <w:pPr>
        <w:jc w:val="both"/>
        <w:rPr>
          <w:lang w:val="de-DE"/>
        </w:rPr>
      </w:pPr>
    </w:p>
    <w:p w14:paraId="502F3743" w14:textId="641D224E" w:rsidR="005E4833" w:rsidRPr="00B14651" w:rsidRDefault="005E4833" w:rsidP="005E4833">
      <w:pPr>
        <w:jc w:val="both"/>
        <w:rPr>
          <w:i/>
          <w:lang w:val="de-DE"/>
        </w:rPr>
      </w:pPr>
      <w:r w:rsidRPr="004676F5">
        <w:rPr>
          <w:i/>
          <w:lang w:val="de-DE"/>
        </w:rPr>
        <w:t xml:space="preserve">[Unterteilung Abschnitt 2 eingefügt durch </w:t>
      </w:r>
      <w:r w:rsidR="00BE0A56" w:rsidRPr="004676F5">
        <w:rPr>
          <w:i/>
          <w:lang w:val="de-DE"/>
        </w:rPr>
        <w:t>Art. </w:t>
      </w:r>
      <w:r w:rsidRPr="004676F5">
        <w:rPr>
          <w:i/>
          <w:lang w:val="de-DE"/>
        </w:rPr>
        <w:t>30 des G. vom 6. </w:t>
      </w:r>
      <w:r w:rsidRPr="00B14651">
        <w:rPr>
          <w:i/>
          <w:lang w:val="de-DE"/>
        </w:rPr>
        <w:t>Juni 2017 (B.S. vom 12. Juni 2017)]</w:t>
      </w:r>
    </w:p>
    <w:p w14:paraId="3E67F595" w14:textId="77777777" w:rsidR="005E4833" w:rsidRPr="00B14651" w:rsidRDefault="005E4833" w:rsidP="002F0EBE">
      <w:pPr>
        <w:jc w:val="both"/>
        <w:rPr>
          <w:lang w:val="de-DE"/>
        </w:rPr>
      </w:pPr>
    </w:p>
    <w:p w14:paraId="354532B7" w14:textId="77777777" w:rsidR="005E4833" w:rsidRPr="00B14651" w:rsidRDefault="005E4833" w:rsidP="002F0EBE">
      <w:pPr>
        <w:jc w:val="both"/>
        <w:rPr>
          <w:b/>
          <w:lang w:val="de-DE"/>
        </w:rPr>
      </w:pPr>
    </w:p>
    <w:p w14:paraId="3AB76B4D" w14:textId="19B35AE5"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Eine Zuwiderhandlung gegen das Wettbewerbsrecht, die festge</w:t>
      </w:r>
      <w:r w:rsidRPr="004676F5">
        <w:rPr>
          <w:lang w:val="de-DE"/>
        </w:rPr>
        <w:softHyphen/>
        <w:t>stellt wird in einer bestandskräftigen Zuwiderhandlungsentscheidung der Belgischen Wettbe</w:t>
      </w:r>
      <w:r w:rsidRPr="004676F5">
        <w:rPr>
          <w:lang w:val="de-DE"/>
        </w:rPr>
        <w:softHyphen/>
        <w:t>werbs</w:t>
      </w:r>
      <w:r w:rsidRPr="004676F5">
        <w:rPr>
          <w:lang w:val="de-DE"/>
        </w:rPr>
        <w:softHyphen/>
        <w:t xml:space="preserve">behörde oder gegebenenfalls in einem Entscheid </w:t>
      </w:r>
      <w:r w:rsidR="00D24B30" w:rsidRPr="004676F5">
        <w:rPr>
          <w:lang w:val="de-DE"/>
        </w:rPr>
        <w:t>[des Märktegerichtshofes]</w:t>
      </w:r>
      <w:r w:rsidRPr="004676F5">
        <w:rPr>
          <w:lang w:val="de-DE"/>
        </w:rPr>
        <w:t>, der formell rechtskräftig ist und in dem über eine Beschwerde gegen eine Entscheidung der Belgischen Wettbewerbsbehörde gemäß Artikel IV.79 entschieden wird, gilt für die Zwecke einer Schadenersatzklage wegen einer Zuwiderhandlung gegen das Wettbewerbsrecht als unwiderlegbar festgestellt.</w:t>
      </w:r>
    </w:p>
    <w:p w14:paraId="299C3421" w14:textId="77777777" w:rsidR="002F0EBE" w:rsidRPr="004676F5" w:rsidRDefault="002F0EBE" w:rsidP="002F0EBE">
      <w:pPr>
        <w:jc w:val="both"/>
        <w:rPr>
          <w:lang w:val="de-DE"/>
        </w:rPr>
      </w:pPr>
    </w:p>
    <w:p w14:paraId="68889094" w14:textId="3289B622"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Eine bestandskräftige Zuwiderhandlungsentscheidung, die in einem anderen Mitgliedstaat der Europäischen Union von einer nationalen Wettbewerbsbehörde oder der Rechtsmittelinstanz getroffen worden ist, wird zumindest als Anscheinsbeweis dafür angenommen, dass eine Zuwiderhandlung gegen das Wettbewerbsrecht begangen wurde, und kann zusammen mit allen anderen von den Parteien vorgelegte</w:t>
      </w:r>
      <w:r w:rsidR="005E4833" w:rsidRPr="004676F5">
        <w:rPr>
          <w:lang w:val="de-DE"/>
        </w:rPr>
        <w:t>n Beweismitteln geprüft werden.]</w:t>
      </w:r>
    </w:p>
    <w:p w14:paraId="5A1F7F9D" w14:textId="77777777" w:rsidR="005E4833" w:rsidRPr="004676F5" w:rsidRDefault="005E4833" w:rsidP="002F0EBE">
      <w:pPr>
        <w:jc w:val="both"/>
        <w:rPr>
          <w:lang w:val="de-DE"/>
        </w:rPr>
      </w:pPr>
    </w:p>
    <w:p w14:paraId="056FA1ED" w14:textId="5410FDD9" w:rsidR="005E4833" w:rsidRPr="004676F5"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XVII.82 eingefügt durch </w:t>
      </w:r>
      <w:r w:rsidR="00BE0A56" w:rsidRPr="004676F5">
        <w:rPr>
          <w:i/>
          <w:lang w:val="de-DE"/>
        </w:rPr>
        <w:t>Art. </w:t>
      </w:r>
      <w:r w:rsidRPr="004676F5">
        <w:rPr>
          <w:i/>
          <w:lang w:val="de-DE"/>
        </w:rPr>
        <w:t>31 des G. vom 6. Juni 2017 (B.S. vom 12. Juni 2017)</w:t>
      </w:r>
      <w:r w:rsidR="00D24B30" w:rsidRPr="004676F5">
        <w:rPr>
          <w:i/>
          <w:lang w:val="de-DE"/>
        </w:rPr>
        <w:t>; § 1 abgeändert durch Art. 47 des G. vom 30. Juli 2018 (II) (B.S. vom 5. September 2018)</w:t>
      </w:r>
      <w:r w:rsidRPr="004676F5">
        <w:rPr>
          <w:i/>
          <w:lang w:val="de-DE"/>
        </w:rPr>
        <w:t>]</w:t>
      </w:r>
    </w:p>
    <w:p w14:paraId="26A3A630" w14:textId="77777777" w:rsidR="005E4833" w:rsidRPr="004676F5" w:rsidRDefault="005E4833" w:rsidP="002F0EBE">
      <w:pPr>
        <w:jc w:val="both"/>
        <w:rPr>
          <w:lang w:val="de-DE"/>
        </w:rPr>
      </w:pPr>
    </w:p>
    <w:p w14:paraId="6F2B55E7" w14:textId="77777777" w:rsidR="002F0EBE" w:rsidRPr="004676F5" w:rsidRDefault="002F0EBE" w:rsidP="002F0EBE">
      <w:pPr>
        <w:jc w:val="both"/>
        <w:rPr>
          <w:lang w:val="de-DE"/>
        </w:rPr>
      </w:pPr>
    </w:p>
    <w:p w14:paraId="6C8B7048" w14:textId="77777777" w:rsidR="005E4833" w:rsidRPr="004676F5" w:rsidRDefault="005E4833">
      <w:pPr>
        <w:rPr>
          <w:lang w:val="de-DE"/>
        </w:rPr>
      </w:pPr>
      <w:r w:rsidRPr="004676F5">
        <w:rPr>
          <w:lang w:val="de-DE"/>
        </w:rPr>
        <w:br w:type="page"/>
      </w:r>
    </w:p>
    <w:p w14:paraId="3C5F739E" w14:textId="39B60B01" w:rsidR="002F0EBE" w:rsidRPr="004676F5" w:rsidRDefault="005E4833" w:rsidP="005E4833">
      <w:pPr>
        <w:jc w:val="center"/>
        <w:rPr>
          <w:lang w:val="de-DE"/>
        </w:rPr>
      </w:pPr>
      <w:r w:rsidRPr="004676F5">
        <w:rPr>
          <w:lang w:val="de-DE"/>
        </w:rPr>
        <w:lastRenderedPageBreak/>
        <w:t>[</w:t>
      </w:r>
      <w:r w:rsidR="002F0EBE" w:rsidRPr="004676F5">
        <w:rPr>
          <w:i/>
          <w:lang w:val="de-DE"/>
        </w:rPr>
        <w:t>Abschnitt 3 </w:t>
      </w:r>
      <w:r w:rsidR="005B7A5C" w:rsidRPr="004676F5">
        <w:rPr>
          <w:lang w:val="de-DE"/>
        </w:rPr>
        <w:t>- </w:t>
      </w:r>
      <w:r w:rsidRPr="004676F5">
        <w:rPr>
          <w:lang w:val="de-DE"/>
        </w:rPr>
        <w:t>Abwälzung des Preisaufschlags]</w:t>
      </w:r>
    </w:p>
    <w:p w14:paraId="34E338CF" w14:textId="77777777" w:rsidR="002F0EBE" w:rsidRPr="004676F5" w:rsidRDefault="002F0EBE" w:rsidP="002F0EBE">
      <w:pPr>
        <w:jc w:val="both"/>
        <w:rPr>
          <w:lang w:val="de-DE"/>
        </w:rPr>
      </w:pPr>
    </w:p>
    <w:p w14:paraId="0C0730D3" w14:textId="430591B0" w:rsidR="005E4833" w:rsidRPr="00B14651" w:rsidRDefault="005E4833" w:rsidP="005E4833">
      <w:pPr>
        <w:jc w:val="both"/>
        <w:rPr>
          <w:i/>
          <w:lang w:val="de-DE"/>
        </w:rPr>
      </w:pPr>
      <w:r w:rsidRPr="004676F5">
        <w:rPr>
          <w:i/>
          <w:lang w:val="de-DE"/>
        </w:rPr>
        <w:t xml:space="preserve">[Unterteilung Abschnitt 3 eingefügt durch </w:t>
      </w:r>
      <w:r w:rsidR="00BE0A56" w:rsidRPr="004676F5">
        <w:rPr>
          <w:i/>
          <w:lang w:val="de-DE"/>
        </w:rPr>
        <w:t>Art. </w:t>
      </w:r>
      <w:r w:rsidRPr="004676F5">
        <w:rPr>
          <w:i/>
          <w:lang w:val="de-DE"/>
        </w:rPr>
        <w:t>32 des G. vom 6. </w:t>
      </w:r>
      <w:r w:rsidRPr="00B14651">
        <w:rPr>
          <w:i/>
          <w:lang w:val="de-DE"/>
        </w:rPr>
        <w:t>Juni 2017 (B.S. vom 12. Juni 2017)]</w:t>
      </w:r>
    </w:p>
    <w:p w14:paraId="0AE8B70B" w14:textId="77777777" w:rsidR="005E4833" w:rsidRPr="00B14651" w:rsidRDefault="005E4833" w:rsidP="002F0EBE">
      <w:pPr>
        <w:jc w:val="both"/>
        <w:rPr>
          <w:lang w:val="de-DE"/>
        </w:rPr>
      </w:pPr>
    </w:p>
    <w:p w14:paraId="1CC2D0CE" w14:textId="77777777" w:rsidR="005E4833" w:rsidRPr="00B14651" w:rsidRDefault="005E4833" w:rsidP="002F0EBE">
      <w:pPr>
        <w:jc w:val="both"/>
        <w:rPr>
          <w:b/>
          <w:lang w:val="de-DE"/>
        </w:rPr>
      </w:pPr>
    </w:p>
    <w:p w14:paraId="78D11DF6" w14:textId="489BD6E6"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XVII.83</w:t>
      </w:r>
      <w:r w:rsidRPr="004676F5">
        <w:rPr>
          <w:lang w:val="de-DE"/>
        </w:rPr>
        <w:t> </w:t>
      </w:r>
      <w:r w:rsidR="005B7A5C" w:rsidRPr="004676F5">
        <w:rPr>
          <w:lang w:val="de-DE"/>
        </w:rPr>
        <w:t>- </w:t>
      </w:r>
      <w:r w:rsidRPr="004676F5">
        <w:rPr>
          <w:lang w:val="de-DE"/>
        </w:rPr>
        <w:t>Der Beklagte in einer Schadenersatzklage kann als Verteidigungsmittel gegen einen Schadenersatzanspruch geltend machen, dass der Kläger den sich aus der Zuwiderhandlung gegen das Wettbewerbsrecht ergebenden Preisaufschlag ganz oder teilweise weitergegeben hat. Die Beweislast für die Weitergabe des Preisaufschlags trägt der Beklagte, der in angemessener Weise gemäß den Artikeln des vorliegenden Kapitels vom Kläger und/oder von Dritten Offenlegung von Beweisen verlangen kann.</w:t>
      </w:r>
    </w:p>
    <w:p w14:paraId="0977703D" w14:textId="77777777" w:rsidR="002F0EBE" w:rsidRPr="004676F5" w:rsidRDefault="002F0EBE" w:rsidP="002F0EBE">
      <w:pPr>
        <w:jc w:val="both"/>
        <w:rPr>
          <w:lang w:val="de-DE"/>
        </w:rPr>
      </w:pPr>
    </w:p>
    <w:p w14:paraId="46199007" w14:textId="77777777" w:rsidR="002F0EBE" w:rsidRPr="004676F5" w:rsidRDefault="002F0EBE" w:rsidP="002F0EBE">
      <w:pPr>
        <w:jc w:val="both"/>
        <w:rPr>
          <w:lang w:val="de-DE"/>
        </w:rPr>
      </w:pPr>
      <w:r w:rsidRPr="004676F5">
        <w:rPr>
          <w:lang w:val="de-DE"/>
        </w:rPr>
        <w:tab/>
        <w:t>Absatz 1 lässt das Recht des Geschädigten unberührt, Ersatz für den infolge einer vollständigen oder teilweisen Abwälzung des Preisaufschlags entgangenen Gewi</w:t>
      </w:r>
      <w:r w:rsidR="005E4833" w:rsidRPr="004676F5">
        <w:rPr>
          <w:lang w:val="de-DE"/>
        </w:rPr>
        <w:t>nn zu verlangen und zu erwirken.]</w:t>
      </w:r>
    </w:p>
    <w:p w14:paraId="5DB73B67" w14:textId="77777777" w:rsidR="002F0EBE" w:rsidRPr="004676F5" w:rsidRDefault="002F0EBE" w:rsidP="002F0EBE">
      <w:pPr>
        <w:jc w:val="both"/>
        <w:rPr>
          <w:lang w:val="de-DE"/>
        </w:rPr>
      </w:pPr>
    </w:p>
    <w:p w14:paraId="596EB69B" w14:textId="2F5D455C"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XVII.83 eingefügt durch </w:t>
      </w:r>
      <w:r w:rsidR="00BE0A56" w:rsidRPr="004676F5">
        <w:rPr>
          <w:i/>
          <w:lang w:val="de-DE"/>
        </w:rPr>
        <w:t>Art. </w:t>
      </w:r>
      <w:r w:rsidRPr="004676F5">
        <w:rPr>
          <w:i/>
          <w:lang w:val="de-DE"/>
        </w:rPr>
        <w:t>33 des G. vom 6. </w:t>
      </w:r>
      <w:r w:rsidRPr="00B14651">
        <w:rPr>
          <w:i/>
          <w:lang w:val="de-DE"/>
        </w:rPr>
        <w:t>Juni 2017 (B.S. vom 12. Juni 2017)]</w:t>
      </w:r>
    </w:p>
    <w:p w14:paraId="0760507F" w14:textId="77777777" w:rsidR="005E4833" w:rsidRPr="00B14651" w:rsidRDefault="005E4833" w:rsidP="002F0EBE">
      <w:pPr>
        <w:jc w:val="both"/>
        <w:rPr>
          <w:lang w:val="de-DE"/>
        </w:rPr>
      </w:pPr>
    </w:p>
    <w:p w14:paraId="14FCD91A" w14:textId="77777777" w:rsidR="002F0EBE" w:rsidRPr="00B14651" w:rsidRDefault="002F0EBE" w:rsidP="002F0EBE">
      <w:pPr>
        <w:jc w:val="both"/>
        <w:rPr>
          <w:lang w:val="de-DE"/>
        </w:rPr>
      </w:pPr>
    </w:p>
    <w:p w14:paraId="4321806E" w14:textId="5FF06A85"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XVII.84</w:t>
      </w:r>
      <w:r w:rsidRPr="004676F5">
        <w:rPr>
          <w:lang w:val="de-DE"/>
        </w:rPr>
        <w:t> </w:t>
      </w:r>
      <w:r w:rsidR="005B7A5C" w:rsidRPr="004676F5">
        <w:rPr>
          <w:lang w:val="de-DE"/>
        </w:rPr>
        <w:t>- </w:t>
      </w:r>
      <w:r w:rsidRPr="004676F5">
        <w:rPr>
          <w:lang w:val="de-DE"/>
        </w:rPr>
        <w:t xml:space="preserve">Wenn das Bestehen eines Schadenersatzanspruchs oder die Höhe des zuzuerkennenden Schadenersatzes davon abhängt, ob </w:t>
      </w:r>
      <w:r w:rsidR="005B7A5C" w:rsidRPr="004676F5">
        <w:rPr>
          <w:lang w:val="de-DE"/>
        </w:rPr>
        <w:t>- </w:t>
      </w:r>
      <w:r w:rsidRPr="004676F5">
        <w:rPr>
          <w:lang w:val="de-DE"/>
        </w:rPr>
        <w:t>oder inwieweit </w:t>
      </w:r>
      <w:r w:rsidR="005B7A5C" w:rsidRPr="004676F5">
        <w:rPr>
          <w:lang w:val="de-DE"/>
        </w:rPr>
        <w:t>- </w:t>
      </w:r>
      <w:r w:rsidRPr="004676F5">
        <w:rPr>
          <w:lang w:val="de-DE"/>
        </w:rPr>
        <w:t>ein Preisaufschlag an den Kläger weitergegeben wurde, liegt die Beweislast für das Vorliegen und den Umfang einer solchen Abwälzung des Preisaufschlags beim Kläger. Zu diesem Zweck kann er in angemessener Weise gemäß den Artikeln des vorliegenden Kapitels vom Beklagten oder von Dritten Offenlegung von Beweisen verlangen.</w:t>
      </w:r>
    </w:p>
    <w:p w14:paraId="7748C876" w14:textId="77777777" w:rsidR="002F0EBE" w:rsidRPr="004676F5" w:rsidRDefault="002F0EBE" w:rsidP="002F0EBE">
      <w:pPr>
        <w:jc w:val="both"/>
        <w:rPr>
          <w:lang w:val="de-DE"/>
        </w:rPr>
      </w:pPr>
    </w:p>
    <w:p w14:paraId="3E3F422A" w14:textId="77777777" w:rsidR="002F0EBE" w:rsidRPr="004676F5" w:rsidRDefault="002F0EBE" w:rsidP="002F0EBE">
      <w:pPr>
        <w:jc w:val="both"/>
        <w:rPr>
          <w:lang w:val="de-DE"/>
        </w:rPr>
      </w:pPr>
      <w:r w:rsidRPr="004676F5">
        <w:rPr>
          <w:lang w:val="de-DE"/>
        </w:rPr>
        <w:tab/>
        <w:t>Ist der Kläger jedoch ein mittelbarer Abnehmer, wird davon ausgegangen, dass er den Beweis dafür, dass eine Abwälzung auf ihn stattgefunden hat, erbracht hat, wenn er nachgewiesen hat, dass</w:t>
      </w:r>
    </w:p>
    <w:p w14:paraId="1BDA234C" w14:textId="77777777" w:rsidR="002F0EBE" w:rsidRPr="004676F5" w:rsidRDefault="002F0EBE" w:rsidP="002F0EBE">
      <w:pPr>
        <w:jc w:val="both"/>
        <w:rPr>
          <w:lang w:val="de-DE"/>
        </w:rPr>
      </w:pPr>
    </w:p>
    <w:p w14:paraId="1A88CC84" w14:textId="77777777" w:rsidR="002F0EBE" w:rsidRPr="004676F5" w:rsidRDefault="002F0EBE" w:rsidP="002F0EBE">
      <w:pPr>
        <w:jc w:val="both"/>
        <w:rPr>
          <w:lang w:val="de-DE"/>
        </w:rPr>
      </w:pPr>
      <w:r w:rsidRPr="004676F5">
        <w:rPr>
          <w:lang w:val="de-DE"/>
        </w:rPr>
        <w:tab/>
        <w:t>1. der Beklagte eine Zuwiderhandlung gegen das Wettbewerbsrecht begangen hat,</w:t>
      </w:r>
    </w:p>
    <w:p w14:paraId="0D1A9662" w14:textId="77777777" w:rsidR="002F0EBE" w:rsidRPr="004676F5" w:rsidRDefault="002F0EBE" w:rsidP="002F0EBE">
      <w:pPr>
        <w:jc w:val="both"/>
        <w:rPr>
          <w:lang w:val="de-DE"/>
        </w:rPr>
      </w:pPr>
    </w:p>
    <w:p w14:paraId="5007EA71" w14:textId="77777777" w:rsidR="002F0EBE" w:rsidRPr="004676F5" w:rsidRDefault="002F0EBE" w:rsidP="002F0EBE">
      <w:pPr>
        <w:jc w:val="both"/>
        <w:rPr>
          <w:lang w:val="de-DE"/>
        </w:rPr>
      </w:pPr>
      <w:r w:rsidRPr="004676F5">
        <w:rPr>
          <w:lang w:val="de-DE"/>
        </w:rPr>
        <w:tab/>
        <w:t>2. die Zuwiderhandlung gegen das Wettbewerbsrecht einen Preisaufschlag für den unmittelbaren Abnehmer des Beklagten zur Folge hatte und</w:t>
      </w:r>
    </w:p>
    <w:p w14:paraId="5AB9DDC5" w14:textId="77777777" w:rsidR="002F0EBE" w:rsidRPr="004676F5" w:rsidRDefault="002F0EBE" w:rsidP="002F0EBE">
      <w:pPr>
        <w:jc w:val="both"/>
        <w:rPr>
          <w:lang w:val="de-DE"/>
        </w:rPr>
      </w:pPr>
    </w:p>
    <w:p w14:paraId="277DBDE9" w14:textId="77777777" w:rsidR="002F0EBE" w:rsidRPr="004676F5" w:rsidRDefault="002F0EBE" w:rsidP="002F0EBE">
      <w:pPr>
        <w:jc w:val="both"/>
        <w:rPr>
          <w:lang w:val="de-DE"/>
        </w:rPr>
      </w:pPr>
      <w:r w:rsidRPr="004676F5">
        <w:rPr>
          <w:lang w:val="de-DE"/>
        </w:rPr>
        <w:tab/>
        <w:t>3. der mittelbare Abnehmer Waren oder Dienstleistungen erworben hat, die Gegenstand der Zuwiderhandlung gegen das Wettbewerbsrecht waren oder aus solchen Waren oder Dienstleistungen hervorgingen oder sie enthielten.</w:t>
      </w:r>
    </w:p>
    <w:p w14:paraId="1DEB6A57" w14:textId="77777777" w:rsidR="002F0EBE" w:rsidRPr="004676F5" w:rsidRDefault="002F0EBE" w:rsidP="002F0EBE">
      <w:pPr>
        <w:jc w:val="both"/>
        <w:rPr>
          <w:lang w:val="de-DE"/>
        </w:rPr>
      </w:pPr>
    </w:p>
    <w:p w14:paraId="6B5B4526" w14:textId="77777777" w:rsidR="002F0EBE" w:rsidRPr="004676F5" w:rsidRDefault="002F0EBE" w:rsidP="002F0EBE">
      <w:pPr>
        <w:jc w:val="both"/>
        <w:rPr>
          <w:lang w:val="de-DE"/>
        </w:rPr>
      </w:pPr>
      <w:r w:rsidRPr="004676F5">
        <w:rPr>
          <w:lang w:val="de-DE"/>
        </w:rPr>
        <w:tab/>
        <w:t>Absatz 2 findet jedoch keine Anwendung, wenn der Richter der Ansicht ist, dass der Beklagte glaubhaft machen konnte, dass der Preisaufschlag nicht oder nicht vollständig an den mittelbare</w:t>
      </w:r>
      <w:r w:rsidR="005E4833" w:rsidRPr="004676F5">
        <w:rPr>
          <w:lang w:val="de-DE"/>
        </w:rPr>
        <w:t>n Abnehmer weitergegeben wurde.]</w:t>
      </w:r>
    </w:p>
    <w:p w14:paraId="2778AFD4" w14:textId="77777777" w:rsidR="005E4833" w:rsidRPr="004676F5" w:rsidRDefault="005E4833" w:rsidP="002F0EBE">
      <w:pPr>
        <w:jc w:val="both"/>
        <w:rPr>
          <w:lang w:val="de-DE"/>
        </w:rPr>
      </w:pPr>
    </w:p>
    <w:p w14:paraId="5BFE1694" w14:textId="7E0E71FA"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XVII.84 eingefügt durch </w:t>
      </w:r>
      <w:r w:rsidR="00BE0A56" w:rsidRPr="004676F5">
        <w:rPr>
          <w:i/>
          <w:lang w:val="de-DE"/>
        </w:rPr>
        <w:t>Art. </w:t>
      </w:r>
      <w:r w:rsidRPr="004676F5">
        <w:rPr>
          <w:i/>
          <w:lang w:val="de-DE"/>
        </w:rPr>
        <w:t>34 des G. vom 6. </w:t>
      </w:r>
      <w:r w:rsidRPr="00B14651">
        <w:rPr>
          <w:i/>
          <w:lang w:val="de-DE"/>
        </w:rPr>
        <w:t>Juni 2017 (B.S. vom 12. Juni 2017)]</w:t>
      </w:r>
    </w:p>
    <w:p w14:paraId="3DB51F4E" w14:textId="77777777" w:rsidR="005E4833" w:rsidRPr="00B14651" w:rsidRDefault="005E4833" w:rsidP="002F0EBE">
      <w:pPr>
        <w:jc w:val="both"/>
        <w:rPr>
          <w:lang w:val="de-DE"/>
        </w:rPr>
      </w:pPr>
    </w:p>
    <w:p w14:paraId="687ED09F" w14:textId="77777777" w:rsidR="002F0EBE" w:rsidRPr="00B14651" w:rsidRDefault="002F0EBE" w:rsidP="002F0EBE">
      <w:pPr>
        <w:jc w:val="both"/>
        <w:rPr>
          <w:lang w:val="de-DE"/>
        </w:rPr>
      </w:pPr>
    </w:p>
    <w:p w14:paraId="64164312" w14:textId="3D2D9108"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XVII.85</w:t>
      </w:r>
      <w:r w:rsidRPr="004676F5">
        <w:rPr>
          <w:lang w:val="de-DE"/>
        </w:rPr>
        <w:t> </w:t>
      </w:r>
      <w:r w:rsidR="005B7A5C" w:rsidRPr="004676F5">
        <w:rPr>
          <w:lang w:val="de-DE"/>
        </w:rPr>
        <w:t>- </w:t>
      </w:r>
      <w:r w:rsidRPr="004676F5">
        <w:rPr>
          <w:lang w:val="de-DE"/>
        </w:rPr>
        <w:t>Um zu verhindern, dass Schadenersatzklagen von Klägern verschie</w:t>
      </w:r>
      <w:r w:rsidRPr="004676F5">
        <w:rPr>
          <w:lang w:val="de-DE"/>
        </w:rPr>
        <w:softHyphen/>
        <w:t>dener Vertriebsstufen zu einer mehrfachen Haftung oder fehlenden Haftung des Rechtsver</w:t>
      </w:r>
      <w:r w:rsidRPr="004676F5">
        <w:rPr>
          <w:lang w:val="de-DE"/>
        </w:rPr>
        <w:softHyphen/>
        <w:t xml:space="preserve">letzers führen, kann der mit einer Schadenersatzklage befasste Richter bei der Prüfung, ob die </w:t>
      </w:r>
      <w:r w:rsidRPr="004676F5">
        <w:rPr>
          <w:lang w:val="de-DE"/>
        </w:rPr>
        <w:lastRenderedPageBreak/>
        <w:t>sich aus der Anwendung der Artikel XVII.83 Absatz 1 und XVII.84 ergebende Beweislastverteilung beachtet ist, mit nach dem Recht der Europäischen Union oder dem belgischen Recht zur Verfügung stehenden Mitteln Folgendes gebührend berücksichtigen:</w:t>
      </w:r>
    </w:p>
    <w:p w14:paraId="4517E52D" w14:textId="77777777" w:rsidR="002F0EBE" w:rsidRPr="004676F5" w:rsidRDefault="002F0EBE" w:rsidP="002F0EBE">
      <w:pPr>
        <w:jc w:val="both"/>
        <w:rPr>
          <w:lang w:val="de-DE"/>
        </w:rPr>
      </w:pPr>
    </w:p>
    <w:p w14:paraId="40BFCECE" w14:textId="77777777" w:rsidR="002F0EBE" w:rsidRPr="004676F5" w:rsidRDefault="002F0EBE" w:rsidP="002F0EBE">
      <w:pPr>
        <w:jc w:val="both"/>
        <w:rPr>
          <w:lang w:val="de-DE"/>
        </w:rPr>
      </w:pPr>
      <w:r w:rsidRPr="004676F5">
        <w:rPr>
          <w:lang w:val="de-DE"/>
        </w:rPr>
        <w:tab/>
      </w:r>
      <w:r w:rsidRPr="004676F5">
        <w:rPr>
          <w:i/>
          <w:lang w:val="de-DE"/>
        </w:rPr>
        <w:t>a)</w:t>
      </w:r>
      <w:r w:rsidRPr="004676F5">
        <w:rPr>
          <w:lang w:val="de-DE"/>
        </w:rPr>
        <w:t> Schadenersatzklagen, die dieselbe Zuwiderhandlung gegen das Wettbewerbsrecht betreffen, aber von Klägern auf anderen Vertriebsstufen erhoben wurden,</w:t>
      </w:r>
    </w:p>
    <w:p w14:paraId="196D9E6A" w14:textId="77777777" w:rsidR="002F0EBE" w:rsidRPr="004676F5" w:rsidRDefault="002F0EBE" w:rsidP="002F0EBE">
      <w:pPr>
        <w:jc w:val="both"/>
        <w:rPr>
          <w:lang w:val="de-DE"/>
        </w:rPr>
      </w:pPr>
    </w:p>
    <w:p w14:paraId="1D62F95D" w14:textId="77777777" w:rsidR="002F0EBE" w:rsidRPr="004676F5" w:rsidRDefault="002F0EBE" w:rsidP="002F0EBE">
      <w:pPr>
        <w:jc w:val="both"/>
        <w:rPr>
          <w:lang w:val="de-DE"/>
        </w:rPr>
      </w:pPr>
      <w:r w:rsidRPr="004676F5">
        <w:rPr>
          <w:lang w:val="de-DE"/>
        </w:rPr>
        <w:tab/>
      </w:r>
      <w:r w:rsidRPr="004676F5">
        <w:rPr>
          <w:i/>
          <w:lang w:val="de-DE"/>
        </w:rPr>
        <w:t>b)</w:t>
      </w:r>
      <w:r w:rsidRPr="004676F5">
        <w:rPr>
          <w:lang w:val="de-DE"/>
        </w:rPr>
        <w:t> Urteile, mit denen über Schadenersatzklagen nach Buchstabe </w:t>
      </w:r>
      <w:r w:rsidRPr="004676F5">
        <w:rPr>
          <w:i/>
          <w:lang w:val="de-DE"/>
        </w:rPr>
        <w:t>a)</w:t>
      </w:r>
      <w:r w:rsidRPr="004676F5">
        <w:rPr>
          <w:lang w:val="de-DE"/>
        </w:rPr>
        <w:t xml:space="preserve"> entschieden wird,</w:t>
      </w:r>
    </w:p>
    <w:p w14:paraId="790528BE" w14:textId="77777777" w:rsidR="002F0EBE" w:rsidRPr="004676F5" w:rsidRDefault="002F0EBE" w:rsidP="002F0EBE">
      <w:pPr>
        <w:jc w:val="both"/>
        <w:rPr>
          <w:lang w:val="de-DE"/>
        </w:rPr>
      </w:pPr>
    </w:p>
    <w:p w14:paraId="55F8F78F" w14:textId="77777777" w:rsidR="002F0EBE" w:rsidRPr="004676F5" w:rsidRDefault="002F0EBE" w:rsidP="002F0EBE">
      <w:pPr>
        <w:jc w:val="both"/>
        <w:rPr>
          <w:lang w:val="de-DE"/>
        </w:rPr>
      </w:pPr>
      <w:r w:rsidRPr="004676F5">
        <w:rPr>
          <w:lang w:val="de-DE"/>
        </w:rPr>
        <w:tab/>
      </w:r>
      <w:r w:rsidRPr="004676F5">
        <w:rPr>
          <w:i/>
          <w:lang w:val="de-DE"/>
        </w:rPr>
        <w:t>c)</w:t>
      </w:r>
      <w:r w:rsidRPr="004676F5">
        <w:rPr>
          <w:lang w:val="de-DE"/>
        </w:rPr>
        <w:t> relevante Informationen, die infolge der Durchsetzung von Wettbewerbsrecht durch eine Wettbewerbsbehörde oder eine Rechtsmittelinst</w:t>
      </w:r>
      <w:r w:rsidR="005E4833" w:rsidRPr="004676F5">
        <w:rPr>
          <w:lang w:val="de-DE"/>
        </w:rPr>
        <w:t>anz öffentlich zugänglich sind.]</w:t>
      </w:r>
    </w:p>
    <w:p w14:paraId="4B3E1093" w14:textId="77777777" w:rsidR="005E4833" w:rsidRPr="004676F5" w:rsidRDefault="005E4833" w:rsidP="002F0EBE">
      <w:pPr>
        <w:jc w:val="both"/>
        <w:rPr>
          <w:lang w:val="de-DE"/>
        </w:rPr>
      </w:pPr>
    </w:p>
    <w:p w14:paraId="270EB943" w14:textId="4EAC359E"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XVII.85 eingefügt durch </w:t>
      </w:r>
      <w:r w:rsidR="00BE0A56" w:rsidRPr="004676F5">
        <w:rPr>
          <w:i/>
          <w:lang w:val="de-DE"/>
        </w:rPr>
        <w:t>Art. </w:t>
      </w:r>
      <w:r w:rsidRPr="004676F5">
        <w:rPr>
          <w:i/>
          <w:lang w:val="de-DE"/>
        </w:rPr>
        <w:t>35 des G. vom 6. </w:t>
      </w:r>
      <w:r w:rsidRPr="00B14651">
        <w:rPr>
          <w:i/>
          <w:lang w:val="de-DE"/>
        </w:rPr>
        <w:t>Juni 2017 (B.S. vom 12. Juni 2017)]</w:t>
      </w:r>
    </w:p>
    <w:p w14:paraId="7AE5FB5B" w14:textId="77777777" w:rsidR="005E4833" w:rsidRPr="00B14651" w:rsidRDefault="005E4833" w:rsidP="002F0EBE">
      <w:pPr>
        <w:jc w:val="both"/>
        <w:rPr>
          <w:lang w:val="de-DE"/>
        </w:rPr>
      </w:pPr>
    </w:p>
    <w:p w14:paraId="63E8BEDA" w14:textId="77777777" w:rsidR="005E4833" w:rsidRPr="00B14651" w:rsidRDefault="005E4833" w:rsidP="002F0EBE">
      <w:pPr>
        <w:jc w:val="both"/>
        <w:rPr>
          <w:b/>
          <w:lang w:val="de-DE"/>
        </w:rPr>
      </w:pPr>
    </w:p>
    <w:p w14:paraId="403807A8" w14:textId="77777777" w:rsidR="00A16B06" w:rsidRPr="00B14651" w:rsidRDefault="00A16B06">
      <w:pPr>
        <w:rPr>
          <w:lang w:val="de-DE"/>
        </w:rPr>
      </w:pPr>
      <w:r w:rsidRPr="00B14651">
        <w:rPr>
          <w:lang w:val="de-DE"/>
        </w:rPr>
        <w:br w:type="page"/>
      </w:r>
    </w:p>
    <w:p w14:paraId="72EEA781" w14:textId="5EF13C4D" w:rsidR="002F0EBE" w:rsidRPr="004676F5" w:rsidRDefault="005E4833" w:rsidP="005E4833">
      <w:pPr>
        <w:jc w:val="center"/>
        <w:rPr>
          <w:lang w:val="de-DE"/>
        </w:rPr>
      </w:pPr>
      <w:r w:rsidRPr="004676F5">
        <w:rPr>
          <w:lang w:val="de-DE"/>
        </w:rPr>
        <w:lastRenderedPageBreak/>
        <w:t>[</w:t>
      </w:r>
      <w:r w:rsidR="002F0EBE" w:rsidRPr="004676F5">
        <w:rPr>
          <w:lang w:val="de-DE"/>
        </w:rPr>
        <w:t>KAPITEL 4 </w:t>
      </w:r>
      <w:r w:rsidR="005B7A5C" w:rsidRPr="004676F5">
        <w:rPr>
          <w:lang w:val="de-DE"/>
        </w:rPr>
        <w:t>- </w:t>
      </w:r>
      <w:r w:rsidR="002F0EBE" w:rsidRPr="004676F5">
        <w:rPr>
          <w:i/>
          <w:lang w:val="de-DE"/>
        </w:rPr>
        <w:t>Gesamtschuldnerische Haftung</w:t>
      </w:r>
      <w:r w:rsidRPr="004676F5">
        <w:rPr>
          <w:lang w:val="de-DE"/>
        </w:rPr>
        <w:t>]</w:t>
      </w:r>
    </w:p>
    <w:p w14:paraId="489CF8CC" w14:textId="77777777" w:rsidR="002F0EBE" w:rsidRPr="004676F5" w:rsidRDefault="002F0EBE" w:rsidP="002F0EBE">
      <w:pPr>
        <w:jc w:val="both"/>
        <w:rPr>
          <w:lang w:val="de-DE"/>
        </w:rPr>
      </w:pPr>
    </w:p>
    <w:p w14:paraId="49018A8B" w14:textId="571A7990" w:rsidR="005E4833" w:rsidRPr="00B14651" w:rsidRDefault="005E4833" w:rsidP="005E4833">
      <w:pPr>
        <w:jc w:val="both"/>
        <w:rPr>
          <w:i/>
          <w:lang w:val="de-DE"/>
        </w:rPr>
      </w:pPr>
      <w:r w:rsidRPr="004676F5">
        <w:rPr>
          <w:i/>
          <w:lang w:val="de-DE"/>
        </w:rPr>
        <w:t xml:space="preserve">[Unterteilung Kapitel 4 eingefügt durch </w:t>
      </w:r>
      <w:r w:rsidR="00BE0A56" w:rsidRPr="004676F5">
        <w:rPr>
          <w:i/>
          <w:lang w:val="de-DE"/>
        </w:rPr>
        <w:t>Art. </w:t>
      </w:r>
      <w:r w:rsidRPr="004676F5">
        <w:rPr>
          <w:i/>
          <w:lang w:val="de-DE"/>
        </w:rPr>
        <w:t>36 des G. vom 6. </w:t>
      </w:r>
      <w:r w:rsidRPr="00B14651">
        <w:rPr>
          <w:i/>
          <w:lang w:val="de-DE"/>
        </w:rPr>
        <w:t>Juni 2017 (B.S. vom 12. Juni 2017)]</w:t>
      </w:r>
    </w:p>
    <w:p w14:paraId="5B2CC791" w14:textId="77777777" w:rsidR="005E4833" w:rsidRPr="00B14651" w:rsidRDefault="005E4833" w:rsidP="002F0EBE">
      <w:pPr>
        <w:jc w:val="both"/>
        <w:rPr>
          <w:lang w:val="de-DE"/>
        </w:rPr>
      </w:pPr>
    </w:p>
    <w:p w14:paraId="5FF0F40B" w14:textId="77777777" w:rsidR="002F0EBE" w:rsidRPr="00B14651" w:rsidRDefault="002F0EBE" w:rsidP="002F0EBE">
      <w:pPr>
        <w:jc w:val="both"/>
        <w:rPr>
          <w:lang w:val="de-DE"/>
        </w:rPr>
      </w:pPr>
    </w:p>
    <w:p w14:paraId="39CF3931" w14:textId="131A3B00"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Unternehmen und/oder Unternehmensvereinigungen, die durch gemeinschaftliches Handeln gegen das Wettbewerbsrecht verstoßen haben, haften gesamt</w:t>
      </w:r>
      <w:r w:rsidRPr="004676F5">
        <w:rPr>
          <w:lang w:val="de-DE"/>
        </w:rPr>
        <w:softHyphen/>
        <w:t>schuldnerisch für den durch diese Zuwiderhandlung verursachten Schaden.</w:t>
      </w:r>
    </w:p>
    <w:p w14:paraId="5DD1D58E" w14:textId="77777777" w:rsidR="002F0EBE" w:rsidRPr="004676F5" w:rsidRDefault="002F0EBE" w:rsidP="002F0EBE">
      <w:pPr>
        <w:jc w:val="both"/>
        <w:rPr>
          <w:lang w:val="de-DE"/>
        </w:rPr>
      </w:pPr>
    </w:p>
    <w:p w14:paraId="55FA90BC" w14:textId="33477610"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Wenn es sich bei dem Rechtsverletzer um ein kleines oder mittleres Unternehmen (KMU) im Sinne der Empfehlung 2003/361/EG der Europäischen Kommission betreffend die Definition der Kleinstunternehmen sowie der kleinen und mittleren Unternehmen handelt, haftet dieser abweichend von § 1 gesamtschuldnerisch:</w:t>
      </w:r>
    </w:p>
    <w:p w14:paraId="088F6892" w14:textId="77777777" w:rsidR="002F0EBE" w:rsidRPr="004676F5" w:rsidRDefault="002F0EBE" w:rsidP="002F0EBE">
      <w:pPr>
        <w:jc w:val="both"/>
        <w:rPr>
          <w:lang w:val="de-DE"/>
        </w:rPr>
      </w:pPr>
    </w:p>
    <w:p w14:paraId="00AB6E94" w14:textId="77777777" w:rsidR="002F0EBE" w:rsidRPr="004676F5" w:rsidRDefault="002F0EBE" w:rsidP="002F0EBE">
      <w:pPr>
        <w:jc w:val="both"/>
        <w:rPr>
          <w:lang w:val="de-DE"/>
        </w:rPr>
      </w:pPr>
      <w:r w:rsidRPr="004676F5">
        <w:rPr>
          <w:lang w:val="de-DE"/>
        </w:rPr>
        <w:tab/>
        <w:t>1. nur gegenüber seinen unmittelbaren oder mittelbaren Abnehmern oder Lieferanten und</w:t>
      </w:r>
    </w:p>
    <w:p w14:paraId="4BBDC675" w14:textId="77777777" w:rsidR="002F0EBE" w:rsidRPr="004676F5" w:rsidRDefault="002F0EBE" w:rsidP="002F0EBE">
      <w:pPr>
        <w:jc w:val="both"/>
        <w:rPr>
          <w:lang w:val="de-DE"/>
        </w:rPr>
      </w:pPr>
    </w:p>
    <w:p w14:paraId="4A73542A" w14:textId="77777777" w:rsidR="002F0EBE" w:rsidRPr="004676F5" w:rsidRDefault="002F0EBE" w:rsidP="002F0EBE">
      <w:pPr>
        <w:jc w:val="both"/>
        <w:rPr>
          <w:lang w:val="de-DE"/>
        </w:rPr>
      </w:pPr>
      <w:r w:rsidRPr="004676F5">
        <w:rPr>
          <w:lang w:val="de-DE"/>
        </w:rPr>
        <w:tab/>
        <w:t>2. gegenüber anderen Geschädigten nur dann, wenn von den anderen Unternehmen, die an derselben Zuwiderhandlung gegen das Wettbewerbsrecht beteiligt waren, kein vollständiger Schadenersatz erlangt werden kann.</w:t>
      </w:r>
    </w:p>
    <w:p w14:paraId="4570B682" w14:textId="77777777" w:rsidR="002F0EBE" w:rsidRPr="004676F5" w:rsidRDefault="002F0EBE" w:rsidP="002F0EBE">
      <w:pPr>
        <w:jc w:val="both"/>
        <w:rPr>
          <w:lang w:val="de-DE"/>
        </w:rPr>
      </w:pPr>
    </w:p>
    <w:p w14:paraId="10167E9C" w14:textId="77777777" w:rsidR="002F0EBE" w:rsidRPr="004676F5" w:rsidRDefault="002F0EBE" w:rsidP="002F0EBE">
      <w:pPr>
        <w:jc w:val="both"/>
        <w:rPr>
          <w:lang w:val="de-DE"/>
        </w:rPr>
      </w:pPr>
      <w:r w:rsidRPr="004676F5">
        <w:rPr>
          <w:lang w:val="de-DE"/>
        </w:rPr>
        <w:tab/>
        <w:t>Damit die in Absatz 1 vorgesehene Abweichung zur Anwendung kommen kann, muss das betreffende KMU folgende Bedingungen erfüllen:</w:t>
      </w:r>
    </w:p>
    <w:p w14:paraId="4A03D0EE" w14:textId="77777777" w:rsidR="002F0EBE" w:rsidRPr="004676F5" w:rsidRDefault="002F0EBE" w:rsidP="002F0EBE">
      <w:pPr>
        <w:jc w:val="both"/>
        <w:rPr>
          <w:lang w:val="de-DE"/>
        </w:rPr>
      </w:pPr>
    </w:p>
    <w:p w14:paraId="0F732563" w14:textId="77777777" w:rsidR="002F0EBE" w:rsidRPr="004676F5" w:rsidRDefault="002F0EBE" w:rsidP="002F0EBE">
      <w:pPr>
        <w:jc w:val="both"/>
        <w:rPr>
          <w:lang w:val="de-DE"/>
        </w:rPr>
      </w:pPr>
      <w:r w:rsidRPr="004676F5">
        <w:rPr>
          <w:lang w:val="de-DE"/>
        </w:rPr>
        <w:tab/>
        <w:t>1. Sein Anteil an dem relevanten Markt in der Zeit der Zuwiderhandlung gegen das Wettbewerbsrecht muss stets weniger als fünf Prozent betragen und</w:t>
      </w:r>
    </w:p>
    <w:p w14:paraId="4F6E0228" w14:textId="77777777" w:rsidR="002F0EBE" w:rsidRPr="004676F5" w:rsidRDefault="002F0EBE" w:rsidP="002F0EBE">
      <w:pPr>
        <w:jc w:val="both"/>
        <w:rPr>
          <w:lang w:val="de-DE"/>
        </w:rPr>
      </w:pPr>
    </w:p>
    <w:p w14:paraId="4A55A567" w14:textId="77777777" w:rsidR="002F0EBE" w:rsidRPr="004676F5" w:rsidRDefault="002F0EBE" w:rsidP="002F0EBE">
      <w:pPr>
        <w:jc w:val="both"/>
        <w:rPr>
          <w:lang w:val="de-DE"/>
        </w:rPr>
      </w:pPr>
      <w:r w:rsidRPr="004676F5">
        <w:rPr>
          <w:lang w:val="de-DE"/>
        </w:rPr>
        <w:tab/>
        <w:t>2. die Anwendung der normalen Regeln der gesamtschuldnerischen Haftung würde seine wirtschaftliche Lebensfähigkeit unwiederbringlich gefährden und seine Aktiva jeglichen Werts berauben.</w:t>
      </w:r>
    </w:p>
    <w:p w14:paraId="52B73755" w14:textId="77777777" w:rsidR="002F0EBE" w:rsidRPr="004676F5" w:rsidRDefault="002F0EBE" w:rsidP="002F0EBE">
      <w:pPr>
        <w:jc w:val="both"/>
        <w:rPr>
          <w:lang w:val="de-DE"/>
        </w:rPr>
      </w:pPr>
    </w:p>
    <w:p w14:paraId="0237E2F6" w14:textId="77777777" w:rsidR="002F0EBE" w:rsidRPr="004676F5" w:rsidRDefault="002F0EBE" w:rsidP="002F0EBE">
      <w:pPr>
        <w:jc w:val="both"/>
        <w:rPr>
          <w:lang w:val="de-DE"/>
        </w:rPr>
      </w:pPr>
      <w:r w:rsidRPr="004676F5">
        <w:rPr>
          <w:lang w:val="de-DE"/>
        </w:rPr>
        <w:tab/>
        <w:t>Die Ausnahme nach Absatz 1 gilt jedoch nicht, wenn:</w:t>
      </w:r>
    </w:p>
    <w:p w14:paraId="350AB6FB" w14:textId="77777777" w:rsidR="002F0EBE" w:rsidRPr="004676F5" w:rsidRDefault="002F0EBE" w:rsidP="002F0EBE">
      <w:pPr>
        <w:jc w:val="both"/>
        <w:rPr>
          <w:lang w:val="de-DE"/>
        </w:rPr>
      </w:pPr>
    </w:p>
    <w:p w14:paraId="771A9D30" w14:textId="77777777" w:rsidR="002F0EBE" w:rsidRPr="004676F5" w:rsidRDefault="002F0EBE" w:rsidP="002F0EBE">
      <w:pPr>
        <w:jc w:val="both"/>
        <w:rPr>
          <w:lang w:val="de-DE"/>
        </w:rPr>
      </w:pPr>
      <w:r w:rsidRPr="004676F5">
        <w:rPr>
          <w:lang w:val="de-DE"/>
        </w:rPr>
        <w:tab/>
        <w:t>1. das KMU die Zuwiderhandlung gegen das Wettbewerbsrecht organisiert oder andere Unternehmen gezwungen hat, sich an der Zuwiderhandlung zu beteiligen, oder</w:t>
      </w:r>
    </w:p>
    <w:p w14:paraId="530D41C2" w14:textId="77777777" w:rsidR="002F0EBE" w:rsidRPr="004676F5" w:rsidRDefault="002F0EBE" w:rsidP="002F0EBE">
      <w:pPr>
        <w:jc w:val="both"/>
        <w:rPr>
          <w:lang w:val="de-DE"/>
        </w:rPr>
      </w:pPr>
    </w:p>
    <w:p w14:paraId="3EA08B1D" w14:textId="77777777" w:rsidR="002F0EBE" w:rsidRPr="004676F5" w:rsidRDefault="002F0EBE" w:rsidP="002F0EBE">
      <w:pPr>
        <w:jc w:val="both"/>
        <w:rPr>
          <w:lang w:val="de-DE"/>
        </w:rPr>
      </w:pPr>
      <w:r w:rsidRPr="004676F5">
        <w:rPr>
          <w:lang w:val="de-DE"/>
        </w:rPr>
        <w:tab/>
        <w:t>2. das KMU bereits früher wegen einer Zuwiderhandlung gegen das Wettbewerbsrecht verurteilt worden ist.</w:t>
      </w:r>
    </w:p>
    <w:p w14:paraId="3005B6FF" w14:textId="77777777" w:rsidR="002F0EBE" w:rsidRPr="004676F5" w:rsidRDefault="002F0EBE" w:rsidP="002F0EBE">
      <w:pPr>
        <w:jc w:val="both"/>
        <w:rPr>
          <w:lang w:val="de-DE"/>
        </w:rPr>
      </w:pPr>
    </w:p>
    <w:p w14:paraId="664A17D8" w14:textId="4099F47B" w:rsidR="002F0EBE" w:rsidRPr="004676F5" w:rsidRDefault="002F0EBE" w:rsidP="002F0EBE">
      <w:pPr>
        <w:jc w:val="both"/>
        <w:rPr>
          <w:lang w:val="de-DE"/>
        </w:rPr>
      </w:pPr>
      <w:r w:rsidRPr="004676F5">
        <w:rPr>
          <w:lang w:val="de-DE"/>
        </w:rPr>
        <w:tab/>
        <w:t>§ 3 </w:t>
      </w:r>
      <w:r w:rsidR="005B7A5C" w:rsidRPr="004676F5">
        <w:rPr>
          <w:lang w:val="de-DE"/>
        </w:rPr>
        <w:t>- </w:t>
      </w:r>
      <w:r w:rsidRPr="004676F5">
        <w:rPr>
          <w:lang w:val="de-DE"/>
        </w:rPr>
        <w:t>Begünstigte eines Erlasses von Geldbußen haften abweichend von § 1 gesamt</w:t>
      </w:r>
      <w:r w:rsidRPr="004676F5">
        <w:rPr>
          <w:lang w:val="de-DE"/>
        </w:rPr>
        <w:softHyphen/>
        <w:t>schuldnerisch:</w:t>
      </w:r>
    </w:p>
    <w:p w14:paraId="4381B70C" w14:textId="77777777" w:rsidR="002F0EBE" w:rsidRPr="004676F5" w:rsidRDefault="002F0EBE" w:rsidP="002F0EBE">
      <w:pPr>
        <w:jc w:val="both"/>
        <w:rPr>
          <w:lang w:val="de-DE"/>
        </w:rPr>
      </w:pPr>
    </w:p>
    <w:p w14:paraId="625831AE" w14:textId="77777777" w:rsidR="002F0EBE" w:rsidRPr="004676F5" w:rsidRDefault="002F0EBE" w:rsidP="002F0EBE">
      <w:pPr>
        <w:jc w:val="both"/>
        <w:rPr>
          <w:lang w:val="de-DE"/>
        </w:rPr>
      </w:pPr>
      <w:r w:rsidRPr="004676F5">
        <w:rPr>
          <w:lang w:val="de-DE"/>
        </w:rPr>
        <w:tab/>
        <w:t>1. nur gegenüber ihren unmittelbaren oder mittelbaren Abnehmern oder Lieferanten und</w:t>
      </w:r>
    </w:p>
    <w:p w14:paraId="6C76D6BF" w14:textId="77777777" w:rsidR="002F0EBE" w:rsidRPr="004676F5" w:rsidRDefault="002F0EBE" w:rsidP="002F0EBE">
      <w:pPr>
        <w:jc w:val="both"/>
        <w:rPr>
          <w:lang w:val="de-DE"/>
        </w:rPr>
      </w:pPr>
    </w:p>
    <w:p w14:paraId="261944DD" w14:textId="77777777" w:rsidR="002F0EBE" w:rsidRPr="004676F5" w:rsidRDefault="002F0EBE" w:rsidP="002F0EBE">
      <w:pPr>
        <w:jc w:val="both"/>
        <w:rPr>
          <w:lang w:val="de-DE"/>
        </w:rPr>
      </w:pPr>
      <w:r w:rsidRPr="004676F5">
        <w:rPr>
          <w:lang w:val="de-DE"/>
        </w:rPr>
        <w:tab/>
        <w:t>2. gegenüber anderen Geschädigten nur dann, wenn von den anderen Unternehmen, die an derselben Zuwiderhandlung gegen das Wettbewerbsrecht beteiligt waren, kein vollständiger Sch</w:t>
      </w:r>
      <w:r w:rsidR="005E4833" w:rsidRPr="004676F5">
        <w:rPr>
          <w:lang w:val="de-DE"/>
        </w:rPr>
        <w:t>adenersatz erlangt werden kann.]</w:t>
      </w:r>
    </w:p>
    <w:p w14:paraId="3273A648" w14:textId="77777777" w:rsidR="005E4833" w:rsidRPr="004676F5" w:rsidRDefault="005E4833" w:rsidP="002F0EBE">
      <w:pPr>
        <w:jc w:val="both"/>
        <w:rPr>
          <w:lang w:val="de-DE"/>
        </w:rPr>
      </w:pPr>
    </w:p>
    <w:p w14:paraId="19BEE363" w14:textId="1E35B7E0"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XVII.86 eingefügt durch </w:t>
      </w:r>
      <w:r w:rsidR="00BE0A56" w:rsidRPr="004676F5">
        <w:rPr>
          <w:i/>
          <w:lang w:val="de-DE"/>
        </w:rPr>
        <w:t>Art. </w:t>
      </w:r>
      <w:r w:rsidRPr="004676F5">
        <w:rPr>
          <w:i/>
          <w:lang w:val="de-DE"/>
        </w:rPr>
        <w:t>37 des G. vom 6. </w:t>
      </w:r>
      <w:r w:rsidRPr="00B14651">
        <w:rPr>
          <w:i/>
          <w:lang w:val="de-DE"/>
        </w:rPr>
        <w:t>Juni 2017 (B.S. vom 12. Juni 2017)]</w:t>
      </w:r>
    </w:p>
    <w:p w14:paraId="4B260E87" w14:textId="77777777" w:rsidR="005E4833" w:rsidRPr="00B14651" w:rsidRDefault="005E4833" w:rsidP="002F0EBE">
      <w:pPr>
        <w:jc w:val="both"/>
        <w:rPr>
          <w:lang w:val="de-DE"/>
        </w:rPr>
      </w:pPr>
    </w:p>
    <w:p w14:paraId="0E08286A" w14:textId="77777777" w:rsidR="002F0EBE" w:rsidRPr="00B14651" w:rsidRDefault="002F0EBE" w:rsidP="002F0EBE">
      <w:pPr>
        <w:jc w:val="both"/>
        <w:rPr>
          <w:lang w:val="de-DE"/>
        </w:rPr>
      </w:pPr>
    </w:p>
    <w:p w14:paraId="6A03160A" w14:textId="4C765E75"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Rechtsverletzer, der einen Schadenersatz vollständig oder teilweise geleistet hat, kann von anderen Rechtsverletzern einen Ausgleichsbetrag verlangen, dessen Höhe anhand ihrer relativen Verantwortung für den durch diese Zuwiderhandlung gegen das Wettbewerbsrecht verursachten Schaden bestimmt wird.</w:t>
      </w:r>
    </w:p>
    <w:p w14:paraId="13716BEE" w14:textId="77777777" w:rsidR="002F0EBE" w:rsidRPr="004676F5" w:rsidRDefault="002F0EBE" w:rsidP="002F0EBE">
      <w:pPr>
        <w:jc w:val="both"/>
        <w:rPr>
          <w:lang w:val="de-DE"/>
        </w:rPr>
      </w:pPr>
    </w:p>
    <w:p w14:paraId="01464B54" w14:textId="05C62C7D"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Abweichend von § 1 darf der Ausgleichsbetrag eines Rechtsverletzers, dem Erlass der Geldbuße zuerkannt wurde, nicht höher sein als der Schaden, den er seinen eigenen unmittelbaren oder mittelbaren Abnehmern oder Lieferanten verursacht hat.</w:t>
      </w:r>
    </w:p>
    <w:p w14:paraId="00C47C08" w14:textId="77777777" w:rsidR="002F0EBE" w:rsidRPr="004676F5" w:rsidRDefault="002F0EBE" w:rsidP="002F0EBE">
      <w:pPr>
        <w:jc w:val="both"/>
        <w:rPr>
          <w:lang w:val="de-DE"/>
        </w:rPr>
      </w:pPr>
    </w:p>
    <w:p w14:paraId="0CD70053" w14:textId="77777777" w:rsidR="002F0EBE" w:rsidRPr="004676F5" w:rsidRDefault="002F0EBE" w:rsidP="002F0EBE">
      <w:pPr>
        <w:jc w:val="both"/>
        <w:rPr>
          <w:lang w:val="de-DE"/>
        </w:rPr>
      </w:pPr>
      <w:r w:rsidRPr="004676F5">
        <w:rPr>
          <w:lang w:val="de-DE"/>
        </w:rPr>
        <w:tab/>
        <w:t>Soweit durch die Zuwiderhandlung gegen das Wettbewerbsrecht anderen Geschädigten als den unmittelbaren oder mittelbaren Abnehmern oder Lieferanten der Rechtsverletzer ein Schaden entstanden ist, darf der Ausgleichsbetrag eines Rechtsverletzers, dem Erlass der Geldbuße zuerkannt wurde, nicht höher sein als der Betrag, der seiner relativen Verantwortung für den durch die Zuwiderhandlung v</w:t>
      </w:r>
      <w:r w:rsidR="005E4833" w:rsidRPr="004676F5">
        <w:rPr>
          <w:lang w:val="de-DE"/>
        </w:rPr>
        <w:t>erursachten Schaden entspricht.]</w:t>
      </w:r>
    </w:p>
    <w:p w14:paraId="2F341EB8" w14:textId="77777777" w:rsidR="002F0EBE" w:rsidRPr="004676F5" w:rsidRDefault="002F0EBE" w:rsidP="002F0EBE">
      <w:pPr>
        <w:jc w:val="both"/>
        <w:rPr>
          <w:lang w:val="de-DE"/>
        </w:rPr>
      </w:pPr>
    </w:p>
    <w:p w14:paraId="7D8B4AA2" w14:textId="11967803"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XVII.87 eingefügt durch </w:t>
      </w:r>
      <w:r w:rsidR="00BE0A56" w:rsidRPr="004676F5">
        <w:rPr>
          <w:i/>
          <w:lang w:val="de-DE"/>
        </w:rPr>
        <w:t>Art. </w:t>
      </w:r>
      <w:r w:rsidRPr="004676F5">
        <w:rPr>
          <w:i/>
          <w:lang w:val="de-DE"/>
        </w:rPr>
        <w:t>38 des G. vom 6. </w:t>
      </w:r>
      <w:r w:rsidRPr="00B14651">
        <w:rPr>
          <w:i/>
          <w:lang w:val="de-DE"/>
        </w:rPr>
        <w:t>Juni 2017 (B.S. vom 12. Juni 2017)]</w:t>
      </w:r>
    </w:p>
    <w:p w14:paraId="63BB2F1F" w14:textId="77777777" w:rsidR="002F0EBE" w:rsidRPr="00B14651" w:rsidRDefault="002F0EBE" w:rsidP="002F0EBE">
      <w:pPr>
        <w:jc w:val="both"/>
        <w:rPr>
          <w:lang w:val="de-DE"/>
        </w:rPr>
      </w:pPr>
    </w:p>
    <w:p w14:paraId="1F0BA549" w14:textId="77777777" w:rsidR="002F0EBE" w:rsidRPr="00B14651" w:rsidRDefault="002F0EBE" w:rsidP="002F0EBE">
      <w:pPr>
        <w:jc w:val="both"/>
        <w:rPr>
          <w:lang w:val="de-DE"/>
        </w:rPr>
      </w:pPr>
    </w:p>
    <w:p w14:paraId="1CD0A003" w14:textId="39AB0E88"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Hat ein Geschädigter einen Vergleich mit einem Rechtsverletzer abgeschlossen, wird der Schadenersatzanspruch des sich vergleichenden Geschädigten um den Anteil des sich vergleichenden Rechtsverletzers an dem Schaden, der dem Geschädigten durch die Zuwiderhandlung gegen das Wettbewerbsrecht entstanden ist, verringert.</w:t>
      </w:r>
    </w:p>
    <w:p w14:paraId="0A97594D" w14:textId="77777777" w:rsidR="002F0EBE" w:rsidRPr="004676F5" w:rsidRDefault="002F0EBE" w:rsidP="002F0EBE">
      <w:pPr>
        <w:jc w:val="both"/>
        <w:rPr>
          <w:lang w:val="de-DE"/>
        </w:rPr>
      </w:pPr>
    </w:p>
    <w:p w14:paraId="6B499A04" w14:textId="77777777" w:rsidR="002F0EBE" w:rsidRPr="004676F5" w:rsidRDefault="002F0EBE" w:rsidP="002F0EBE">
      <w:pPr>
        <w:jc w:val="both"/>
        <w:rPr>
          <w:lang w:val="de-DE"/>
        </w:rPr>
      </w:pPr>
      <w:r w:rsidRPr="004676F5">
        <w:rPr>
          <w:lang w:val="de-DE"/>
        </w:rPr>
        <w:tab/>
        <w:t>Der verbleibende Anspruch des sich vergleichenden Geschädigten darf nur gegenüber nicht am Vergleich beteiligten Rechtsverletzern geltend gemacht werden. Nicht am Vergleich beteiligte Rechtsverletzer dürfen von dem sich vergleichenden Rechtsverletzer keinen Ausgleichs</w:t>
      </w:r>
      <w:r w:rsidRPr="004676F5">
        <w:rPr>
          <w:lang w:val="de-DE"/>
        </w:rPr>
        <w:softHyphen/>
        <w:t>betrag für den verbleibenden Anspruch verlangen.</w:t>
      </w:r>
    </w:p>
    <w:p w14:paraId="01A66A64" w14:textId="77777777" w:rsidR="002F0EBE" w:rsidRPr="004676F5" w:rsidRDefault="002F0EBE" w:rsidP="002F0EBE">
      <w:pPr>
        <w:jc w:val="both"/>
        <w:rPr>
          <w:lang w:val="de-DE"/>
        </w:rPr>
      </w:pPr>
    </w:p>
    <w:p w14:paraId="684C3732" w14:textId="682FA850"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 xml:space="preserve">Abweichend von § 1 </w:t>
      </w:r>
      <w:r w:rsidR="00D24B30" w:rsidRPr="004676F5">
        <w:rPr>
          <w:lang w:val="de-DE"/>
        </w:rPr>
        <w:t>[</w:t>
      </w:r>
      <w:r w:rsidRPr="004676F5">
        <w:rPr>
          <w:lang w:val="de-DE"/>
        </w:rPr>
        <w:t>Absatz </w:t>
      </w:r>
      <w:r w:rsidR="00D24B30" w:rsidRPr="004676F5">
        <w:rPr>
          <w:lang w:val="de-DE"/>
        </w:rPr>
        <w:t>2]</w:t>
      </w:r>
      <w:r w:rsidRPr="004676F5">
        <w:rPr>
          <w:lang w:val="de-DE"/>
        </w:rPr>
        <w:t xml:space="preserve"> kann der sich vergleichende Geschädigte für den Fall, dass die nicht am Vergleich beteiligten Rechtsverletzer den Schadenersatz, der dem verbleibenden Anspruch des sich vergleichenden Geschädigten entspricht, nicht leisten können, den verbleibenden Anspruch gegenüber dem sich vergleichenden Rechtsverletzer geltend machen.</w:t>
      </w:r>
    </w:p>
    <w:p w14:paraId="4EEE7432" w14:textId="77777777" w:rsidR="002F0EBE" w:rsidRPr="004676F5" w:rsidRDefault="002F0EBE" w:rsidP="002F0EBE">
      <w:pPr>
        <w:jc w:val="both"/>
        <w:rPr>
          <w:lang w:val="de-DE"/>
        </w:rPr>
      </w:pPr>
    </w:p>
    <w:p w14:paraId="2CEC9136" w14:textId="77777777" w:rsidR="002F0EBE" w:rsidRPr="004676F5" w:rsidRDefault="002F0EBE" w:rsidP="002F0EBE">
      <w:pPr>
        <w:jc w:val="both"/>
        <w:rPr>
          <w:lang w:val="de-DE"/>
        </w:rPr>
      </w:pPr>
      <w:r w:rsidRPr="004676F5">
        <w:rPr>
          <w:lang w:val="de-DE"/>
        </w:rPr>
        <w:tab/>
        <w:t>Die Abweichung nach Absatz 1 kann im Vergleich ausdrücklich ausgeschlossen werden.</w:t>
      </w:r>
    </w:p>
    <w:p w14:paraId="0A8B7F71" w14:textId="77777777" w:rsidR="002F0EBE" w:rsidRPr="004676F5" w:rsidRDefault="002F0EBE" w:rsidP="002F0EBE">
      <w:pPr>
        <w:jc w:val="both"/>
        <w:rPr>
          <w:lang w:val="de-DE"/>
        </w:rPr>
      </w:pPr>
    </w:p>
    <w:p w14:paraId="24A4B5B8" w14:textId="7D0954EC" w:rsidR="002F0EBE" w:rsidRPr="004676F5" w:rsidRDefault="002F0EBE" w:rsidP="002F0EBE">
      <w:pPr>
        <w:jc w:val="both"/>
        <w:rPr>
          <w:lang w:val="de-DE"/>
        </w:rPr>
      </w:pPr>
      <w:r w:rsidRPr="004676F5">
        <w:rPr>
          <w:lang w:val="de-DE"/>
        </w:rPr>
        <w:tab/>
        <w:t>§ 3 </w:t>
      </w:r>
      <w:r w:rsidR="005B7A5C" w:rsidRPr="004676F5">
        <w:rPr>
          <w:lang w:val="de-DE"/>
        </w:rPr>
        <w:t>- </w:t>
      </w:r>
      <w:r w:rsidRPr="004676F5">
        <w:rPr>
          <w:lang w:val="de-DE"/>
        </w:rPr>
        <w:t>Bei der Festlegung des Ausgleichsbetrags, den ein Rechtsverletzer von einem anderen Rechtsverletzer entsprechend seiner relativen Verantwortung für den durch die Zuwiderhandlung gegen das Wettbewerbsrecht verursachten Schaden verlangen kann, trägt der Richter Entschädigungszahlungen gebührend Rechnung, die aufgrund früherer Vergleiche, an denen der betreffende Rechtsverletzer b</w:t>
      </w:r>
      <w:r w:rsidR="005E4833" w:rsidRPr="004676F5">
        <w:rPr>
          <w:lang w:val="de-DE"/>
        </w:rPr>
        <w:t>eteiligt war, geleistet wurden.]</w:t>
      </w:r>
    </w:p>
    <w:p w14:paraId="5DDC1900" w14:textId="77777777" w:rsidR="005E4833" w:rsidRPr="004676F5" w:rsidRDefault="005E4833" w:rsidP="002F0EBE">
      <w:pPr>
        <w:jc w:val="both"/>
        <w:rPr>
          <w:lang w:val="de-DE"/>
        </w:rPr>
      </w:pPr>
    </w:p>
    <w:p w14:paraId="5FB807F0" w14:textId="3A56BCAF" w:rsidR="005E4833" w:rsidRPr="004676F5"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XVII.88 eingefügt durch </w:t>
      </w:r>
      <w:r w:rsidR="00BE0A56" w:rsidRPr="004676F5">
        <w:rPr>
          <w:i/>
          <w:lang w:val="de-DE"/>
        </w:rPr>
        <w:t>Art. </w:t>
      </w:r>
      <w:r w:rsidRPr="004676F5">
        <w:rPr>
          <w:i/>
          <w:lang w:val="de-DE"/>
        </w:rPr>
        <w:t>39 des G. vom 6. Juni 2017 (B.S. vom 12. Juni 2017</w:t>
      </w:r>
      <w:r w:rsidR="00D24B30" w:rsidRPr="004676F5">
        <w:rPr>
          <w:i/>
          <w:lang w:val="de-DE"/>
        </w:rPr>
        <w:t>); § 2 Abs. 1 abgeändert durch Art. 48 des G. vom 30. Juli 2018 (II) (B.S. vom 5. September 2018)</w:t>
      </w:r>
      <w:r w:rsidRPr="004676F5">
        <w:rPr>
          <w:i/>
          <w:lang w:val="de-DE"/>
        </w:rPr>
        <w:t>]</w:t>
      </w:r>
    </w:p>
    <w:p w14:paraId="32157474" w14:textId="77777777" w:rsidR="005E4833" w:rsidRPr="004676F5" w:rsidRDefault="005E4833" w:rsidP="002F0EBE">
      <w:pPr>
        <w:jc w:val="both"/>
        <w:rPr>
          <w:lang w:val="de-DE"/>
        </w:rPr>
      </w:pPr>
    </w:p>
    <w:p w14:paraId="7C21600D" w14:textId="77777777" w:rsidR="002F0EBE" w:rsidRPr="004676F5" w:rsidRDefault="002F0EBE" w:rsidP="002F0EBE">
      <w:pPr>
        <w:jc w:val="both"/>
        <w:rPr>
          <w:lang w:val="de-DE"/>
        </w:rPr>
      </w:pPr>
    </w:p>
    <w:p w14:paraId="5585DE62" w14:textId="77777777" w:rsidR="00A16B06" w:rsidRPr="004676F5" w:rsidRDefault="00A16B06">
      <w:pPr>
        <w:rPr>
          <w:lang w:val="de-DE"/>
        </w:rPr>
      </w:pPr>
      <w:r w:rsidRPr="004676F5">
        <w:rPr>
          <w:lang w:val="de-DE"/>
        </w:rPr>
        <w:br w:type="page"/>
      </w:r>
    </w:p>
    <w:p w14:paraId="276ED1BA" w14:textId="667FB391" w:rsidR="002F0EBE" w:rsidRPr="004676F5" w:rsidRDefault="005E4833" w:rsidP="005E4833">
      <w:pPr>
        <w:jc w:val="center"/>
        <w:rPr>
          <w:lang w:val="de-DE"/>
        </w:rPr>
      </w:pPr>
      <w:r w:rsidRPr="004676F5">
        <w:rPr>
          <w:lang w:val="de-DE"/>
        </w:rPr>
        <w:lastRenderedPageBreak/>
        <w:t>[</w:t>
      </w:r>
      <w:r w:rsidR="002F0EBE" w:rsidRPr="004676F5">
        <w:rPr>
          <w:lang w:val="de-DE"/>
        </w:rPr>
        <w:t>KAPITEL 5 </w:t>
      </w:r>
      <w:r w:rsidR="005B7A5C" w:rsidRPr="004676F5">
        <w:rPr>
          <w:lang w:val="de-DE"/>
        </w:rPr>
        <w:t>- </w:t>
      </w:r>
      <w:r w:rsidR="002F0EBE" w:rsidRPr="004676F5">
        <w:rPr>
          <w:i/>
          <w:lang w:val="de-DE"/>
        </w:rPr>
        <w:t>Aufschiebende Wirkung der einvernehmlichen Streitbeilegung</w:t>
      </w:r>
      <w:r w:rsidRPr="004676F5">
        <w:rPr>
          <w:lang w:val="de-DE"/>
        </w:rPr>
        <w:t>]</w:t>
      </w:r>
    </w:p>
    <w:p w14:paraId="6170A1E9" w14:textId="77777777" w:rsidR="002F0EBE" w:rsidRPr="004676F5" w:rsidRDefault="002F0EBE" w:rsidP="002F0EBE">
      <w:pPr>
        <w:jc w:val="both"/>
        <w:rPr>
          <w:lang w:val="de-DE"/>
        </w:rPr>
      </w:pPr>
    </w:p>
    <w:p w14:paraId="39006394" w14:textId="5051A64C" w:rsidR="005E4833" w:rsidRPr="00B14651" w:rsidRDefault="005E4833" w:rsidP="005E4833">
      <w:pPr>
        <w:jc w:val="both"/>
        <w:rPr>
          <w:i/>
          <w:lang w:val="de-DE"/>
        </w:rPr>
      </w:pPr>
      <w:r w:rsidRPr="004676F5">
        <w:rPr>
          <w:i/>
          <w:lang w:val="de-DE"/>
        </w:rPr>
        <w:t xml:space="preserve">[Unterteilung Kapitel 5 eingefügt durch </w:t>
      </w:r>
      <w:r w:rsidR="00BE0A56" w:rsidRPr="004676F5">
        <w:rPr>
          <w:i/>
          <w:lang w:val="de-DE"/>
        </w:rPr>
        <w:t>Art. </w:t>
      </w:r>
      <w:r w:rsidRPr="004676F5">
        <w:rPr>
          <w:i/>
          <w:lang w:val="de-DE"/>
        </w:rPr>
        <w:t>40 des G. vom 6. </w:t>
      </w:r>
      <w:r w:rsidRPr="00B14651">
        <w:rPr>
          <w:i/>
          <w:lang w:val="de-DE"/>
        </w:rPr>
        <w:t>Juni 2017 (B.S. vom 12. Juni 2017)]</w:t>
      </w:r>
    </w:p>
    <w:p w14:paraId="5EF8E8E0" w14:textId="77777777" w:rsidR="005E4833" w:rsidRPr="00B14651" w:rsidRDefault="005E4833" w:rsidP="002F0EBE">
      <w:pPr>
        <w:jc w:val="both"/>
        <w:rPr>
          <w:lang w:val="de-DE"/>
        </w:rPr>
      </w:pPr>
    </w:p>
    <w:p w14:paraId="0E0AB77D" w14:textId="77777777" w:rsidR="002F0EBE" w:rsidRPr="00B14651" w:rsidRDefault="002F0EBE" w:rsidP="002F0EBE">
      <w:pPr>
        <w:jc w:val="both"/>
        <w:rPr>
          <w:lang w:val="de-DE"/>
        </w:rPr>
      </w:pPr>
    </w:p>
    <w:p w14:paraId="4C2DEF48" w14:textId="6C570BF8"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XVII.89</w:t>
      </w:r>
      <w:r w:rsidRPr="004676F5">
        <w:rPr>
          <w:lang w:val="de-DE"/>
        </w:rPr>
        <w:t> </w:t>
      </w:r>
      <w:r w:rsidR="005B7A5C" w:rsidRPr="004676F5">
        <w:rPr>
          <w:lang w:val="de-DE"/>
        </w:rPr>
        <w:t>- </w:t>
      </w:r>
      <w:r w:rsidRPr="004676F5">
        <w:rPr>
          <w:lang w:val="de-DE"/>
        </w:rPr>
        <w:t>Unbeschadet des Artikels 1682 des Gerichtsgesetzbuches kann der mit einer Schadenersatzklage befasste Richter das Verfahren bis zu einer nicht verlängerbaren Dauer von zwei Jahre aussetzen, wenn die Prozessparteien an einer einvernehmlichen Streitbeilegung in Bezug auf den mit der Schadenersatzklage geltend gem</w:t>
      </w:r>
      <w:r w:rsidR="005E4833" w:rsidRPr="004676F5">
        <w:rPr>
          <w:lang w:val="de-DE"/>
        </w:rPr>
        <w:t>achten Anspruch beteiligt sind.]</w:t>
      </w:r>
    </w:p>
    <w:p w14:paraId="194171D4" w14:textId="77777777" w:rsidR="005E4833" w:rsidRPr="004676F5" w:rsidRDefault="005E4833" w:rsidP="002F0EBE">
      <w:pPr>
        <w:jc w:val="both"/>
        <w:rPr>
          <w:lang w:val="de-DE"/>
        </w:rPr>
      </w:pPr>
    </w:p>
    <w:p w14:paraId="7EB88F3B" w14:textId="7836E201"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XVII.89 eingefügt durch </w:t>
      </w:r>
      <w:r w:rsidR="00BE0A56" w:rsidRPr="004676F5">
        <w:rPr>
          <w:i/>
          <w:lang w:val="de-DE"/>
        </w:rPr>
        <w:t>Art. </w:t>
      </w:r>
      <w:r w:rsidRPr="004676F5">
        <w:rPr>
          <w:i/>
          <w:lang w:val="de-DE"/>
        </w:rPr>
        <w:t>41 des G. vom 6. </w:t>
      </w:r>
      <w:r w:rsidRPr="00B14651">
        <w:rPr>
          <w:i/>
          <w:lang w:val="de-DE"/>
        </w:rPr>
        <w:t>Juni 2017 (B.S. vom 12. Juni 2017)]</w:t>
      </w:r>
    </w:p>
    <w:p w14:paraId="095BB3A3" w14:textId="77777777" w:rsidR="005E4833" w:rsidRPr="00B14651" w:rsidRDefault="005E4833" w:rsidP="002F0EBE">
      <w:pPr>
        <w:jc w:val="both"/>
        <w:rPr>
          <w:lang w:val="de-DE"/>
        </w:rPr>
      </w:pPr>
    </w:p>
    <w:p w14:paraId="1E072898" w14:textId="77777777" w:rsidR="005E4833" w:rsidRPr="00B14651" w:rsidRDefault="005E4833" w:rsidP="002F0EBE">
      <w:pPr>
        <w:jc w:val="both"/>
        <w:rPr>
          <w:b/>
          <w:lang w:val="de-DE"/>
        </w:rPr>
      </w:pPr>
    </w:p>
    <w:p w14:paraId="27255758" w14:textId="77777777" w:rsidR="00A16B06" w:rsidRPr="00B14651" w:rsidRDefault="00A16B06">
      <w:pPr>
        <w:rPr>
          <w:lang w:val="de-DE"/>
        </w:rPr>
      </w:pPr>
      <w:r w:rsidRPr="00B14651">
        <w:rPr>
          <w:lang w:val="de-DE"/>
        </w:rPr>
        <w:br w:type="page"/>
      </w:r>
    </w:p>
    <w:p w14:paraId="13AD016C" w14:textId="74C2546C" w:rsidR="002F0EBE" w:rsidRPr="004676F5" w:rsidRDefault="005E4833" w:rsidP="005E4833">
      <w:pPr>
        <w:jc w:val="center"/>
        <w:rPr>
          <w:lang w:val="de-DE"/>
        </w:rPr>
      </w:pPr>
      <w:r w:rsidRPr="004676F5">
        <w:rPr>
          <w:lang w:val="de-DE"/>
        </w:rPr>
        <w:lastRenderedPageBreak/>
        <w:t>[</w:t>
      </w:r>
      <w:r w:rsidR="002F0EBE" w:rsidRPr="004676F5">
        <w:rPr>
          <w:lang w:val="de-DE"/>
        </w:rPr>
        <w:t>KAPITEL 6 </w:t>
      </w:r>
      <w:r w:rsidR="005B7A5C" w:rsidRPr="004676F5">
        <w:rPr>
          <w:lang w:val="de-DE"/>
        </w:rPr>
        <w:t>- </w:t>
      </w:r>
      <w:r w:rsidR="002F0EBE" w:rsidRPr="004676F5">
        <w:rPr>
          <w:i/>
          <w:lang w:val="de-DE"/>
        </w:rPr>
        <w:t>Verjährung</w:t>
      </w:r>
      <w:r w:rsidRPr="004676F5">
        <w:rPr>
          <w:lang w:val="de-DE"/>
        </w:rPr>
        <w:t>]</w:t>
      </w:r>
    </w:p>
    <w:p w14:paraId="6F1C5A88" w14:textId="77777777" w:rsidR="005E4833" w:rsidRPr="004676F5" w:rsidRDefault="005E4833" w:rsidP="005E4833">
      <w:pPr>
        <w:jc w:val="center"/>
        <w:rPr>
          <w:lang w:val="de-DE"/>
        </w:rPr>
      </w:pPr>
    </w:p>
    <w:p w14:paraId="2DCA0C7E" w14:textId="677EF801" w:rsidR="005E4833" w:rsidRPr="00B14651" w:rsidRDefault="005E4833" w:rsidP="005E4833">
      <w:pPr>
        <w:jc w:val="both"/>
        <w:rPr>
          <w:i/>
          <w:lang w:val="de-DE"/>
        </w:rPr>
      </w:pPr>
      <w:r w:rsidRPr="004676F5">
        <w:rPr>
          <w:i/>
          <w:lang w:val="de-DE"/>
        </w:rPr>
        <w:t xml:space="preserve">[Unterteilung Kapitel 6 eingefügt durch </w:t>
      </w:r>
      <w:r w:rsidR="00BE0A56" w:rsidRPr="004676F5">
        <w:rPr>
          <w:i/>
          <w:lang w:val="de-DE"/>
        </w:rPr>
        <w:t>Art. </w:t>
      </w:r>
      <w:r w:rsidRPr="004676F5">
        <w:rPr>
          <w:i/>
          <w:lang w:val="de-DE"/>
        </w:rPr>
        <w:t>42 des G. vom 6. </w:t>
      </w:r>
      <w:r w:rsidRPr="00B14651">
        <w:rPr>
          <w:i/>
          <w:lang w:val="de-DE"/>
        </w:rPr>
        <w:t>Juni 2017 (B.S. vom 12. Juni 2017)]</w:t>
      </w:r>
    </w:p>
    <w:p w14:paraId="3B4E05A1" w14:textId="77777777" w:rsidR="005E4833" w:rsidRPr="00B14651" w:rsidRDefault="005E4833" w:rsidP="005E4833">
      <w:pPr>
        <w:jc w:val="center"/>
        <w:rPr>
          <w:lang w:val="de-DE"/>
        </w:rPr>
      </w:pPr>
    </w:p>
    <w:p w14:paraId="3B3AD2BF" w14:textId="77777777" w:rsidR="002F0EBE" w:rsidRPr="00B14651" w:rsidRDefault="002F0EBE" w:rsidP="002F0EBE">
      <w:pPr>
        <w:jc w:val="both"/>
        <w:rPr>
          <w:lang w:val="de-DE"/>
        </w:rPr>
      </w:pPr>
    </w:p>
    <w:p w14:paraId="5AB3BA62" w14:textId="0378FAB1"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XVII.90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gemeinrechtlichen Verjährungsfristen für die Erhebung von Schadenersatzklagen wegen Zuwiderhandlungen gegen das Wettbewerbsrecht laufen ab dem Tag nach dem Tag, an dem die Zuwiderhandlung gegen das Wettbewerbsrecht beendet wurde und der Kläger von Folgendem Kenntnis erlangt hat oder nach vernünftigem Ermessen Kenntnis hätte erlangen müssen:</w:t>
      </w:r>
    </w:p>
    <w:p w14:paraId="3C022901" w14:textId="77777777" w:rsidR="002F0EBE" w:rsidRPr="004676F5" w:rsidRDefault="002F0EBE" w:rsidP="002F0EBE">
      <w:pPr>
        <w:jc w:val="both"/>
        <w:rPr>
          <w:lang w:val="de-DE"/>
        </w:rPr>
      </w:pPr>
    </w:p>
    <w:p w14:paraId="39EBD851" w14:textId="77777777" w:rsidR="002F0EBE" w:rsidRPr="004676F5" w:rsidRDefault="002F0EBE" w:rsidP="002F0EBE">
      <w:pPr>
        <w:jc w:val="both"/>
        <w:rPr>
          <w:lang w:val="de-DE"/>
        </w:rPr>
      </w:pPr>
      <w:r w:rsidRPr="004676F5">
        <w:rPr>
          <w:lang w:val="de-DE"/>
        </w:rPr>
        <w:tab/>
        <w:t>1. dem Verhalten und der Tatsache, dass dieses eine Zuwiderhandlung gegen das Wettbewerbsrecht darstellt,</w:t>
      </w:r>
    </w:p>
    <w:p w14:paraId="27D663CF" w14:textId="77777777" w:rsidR="002F0EBE" w:rsidRPr="004676F5" w:rsidRDefault="002F0EBE" w:rsidP="002F0EBE">
      <w:pPr>
        <w:jc w:val="both"/>
        <w:rPr>
          <w:lang w:val="de-DE"/>
        </w:rPr>
      </w:pPr>
    </w:p>
    <w:p w14:paraId="66BFC181" w14:textId="77777777" w:rsidR="002F0EBE" w:rsidRPr="004676F5" w:rsidRDefault="002F0EBE" w:rsidP="002F0EBE">
      <w:pPr>
        <w:jc w:val="both"/>
        <w:rPr>
          <w:lang w:val="de-DE"/>
        </w:rPr>
      </w:pPr>
      <w:r w:rsidRPr="004676F5">
        <w:rPr>
          <w:lang w:val="de-DE"/>
        </w:rPr>
        <w:tab/>
        <w:t>2. der Tatsache, dass ihm durch die Zuwiderhandlung gegen das Wettbewerbsrecht ein Schaden entstanden ist, und</w:t>
      </w:r>
    </w:p>
    <w:p w14:paraId="656F72BD" w14:textId="77777777" w:rsidR="002F0EBE" w:rsidRPr="004676F5" w:rsidRDefault="002F0EBE" w:rsidP="002F0EBE">
      <w:pPr>
        <w:jc w:val="both"/>
        <w:rPr>
          <w:lang w:val="de-DE"/>
        </w:rPr>
      </w:pPr>
    </w:p>
    <w:p w14:paraId="7F91A6AE" w14:textId="77777777" w:rsidR="002F0EBE" w:rsidRPr="004676F5" w:rsidRDefault="002F0EBE" w:rsidP="002F0EBE">
      <w:pPr>
        <w:jc w:val="both"/>
        <w:rPr>
          <w:lang w:val="de-DE"/>
        </w:rPr>
      </w:pPr>
      <w:r w:rsidRPr="004676F5">
        <w:rPr>
          <w:lang w:val="de-DE"/>
        </w:rPr>
        <w:tab/>
        <w:t>3. der Identität des Rechtsverletzers.</w:t>
      </w:r>
    </w:p>
    <w:p w14:paraId="11B4623E" w14:textId="77777777" w:rsidR="002F0EBE" w:rsidRPr="004676F5" w:rsidRDefault="002F0EBE" w:rsidP="002F0EBE">
      <w:pPr>
        <w:jc w:val="both"/>
        <w:rPr>
          <w:lang w:val="de-DE"/>
        </w:rPr>
      </w:pPr>
    </w:p>
    <w:p w14:paraId="50298FE8" w14:textId="77777777" w:rsidR="002F0EBE" w:rsidRPr="004676F5" w:rsidRDefault="002F0EBE" w:rsidP="002F0EBE">
      <w:pPr>
        <w:jc w:val="both"/>
        <w:rPr>
          <w:lang w:val="de-DE"/>
        </w:rPr>
      </w:pPr>
      <w:r w:rsidRPr="004676F5">
        <w:rPr>
          <w:lang w:val="de-DE"/>
        </w:rPr>
        <w:tab/>
        <w:t>Bei dauernden oder fortgesetzten Zuwiderhandlungen gilt, dass die Zuwiderhandlung mit dem Tag beendet wurde, an dem die letzte Zuwiderhandlung geendet hat.</w:t>
      </w:r>
    </w:p>
    <w:p w14:paraId="658297A3" w14:textId="77777777" w:rsidR="002F0EBE" w:rsidRPr="004676F5" w:rsidRDefault="002F0EBE" w:rsidP="002F0EBE">
      <w:pPr>
        <w:jc w:val="both"/>
        <w:rPr>
          <w:lang w:val="de-DE"/>
        </w:rPr>
      </w:pPr>
    </w:p>
    <w:p w14:paraId="5E0038AE" w14:textId="5D3D6E24" w:rsidR="002F0EBE" w:rsidRPr="004676F5" w:rsidRDefault="002F0EBE" w:rsidP="002F0EBE">
      <w:pPr>
        <w:jc w:val="both"/>
        <w:rPr>
          <w:lang w:val="de-DE"/>
        </w:rPr>
      </w:pPr>
      <w:r w:rsidRPr="004676F5">
        <w:rPr>
          <w:lang w:val="de-DE"/>
        </w:rPr>
        <w:tab/>
        <w:t>§ 2 </w:t>
      </w:r>
      <w:r w:rsidR="005B7A5C" w:rsidRPr="004676F5">
        <w:rPr>
          <w:lang w:val="de-DE"/>
        </w:rPr>
        <w:t>- </w:t>
      </w:r>
      <w:r w:rsidRPr="004676F5">
        <w:rPr>
          <w:lang w:val="de-DE"/>
        </w:rPr>
        <w:t>In § 1 erwähnte Verjährungsfristen werden unterbrochen, wenn eine Wettbewerbs</w:t>
      </w:r>
      <w:r w:rsidRPr="004676F5">
        <w:rPr>
          <w:lang w:val="de-DE"/>
        </w:rPr>
        <w:softHyphen/>
        <w:t>behörde Maßnahmen im Hinblick auf eine Untersuchung oder Verfolgung einer Zuwiderhandlung gegen das Wettbewerbsrecht trifft, auf die sich die Schadenersatzklage bezieht. Diese Unterbrechung endet am Tag nach dem Tag, an dem die Zuwiderhandlungs</w:t>
      </w:r>
      <w:r w:rsidRPr="004676F5">
        <w:rPr>
          <w:lang w:val="de-DE"/>
        </w:rPr>
        <w:softHyphen/>
        <w:t>entscheidung bestandskräftig wird oder das Verfahren</w:t>
      </w:r>
      <w:r w:rsidR="005E4833" w:rsidRPr="004676F5">
        <w:rPr>
          <w:lang w:val="de-DE"/>
        </w:rPr>
        <w:t xml:space="preserve"> auf andere Weise beendet wird.]</w:t>
      </w:r>
    </w:p>
    <w:p w14:paraId="498B5DB3" w14:textId="77777777" w:rsidR="005E4833" w:rsidRPr="004676F5" w:rsidRDefault="005E4833" w:rsidP="002F0EBE">
      <w:pPr>
        <w:jc w:val="both"/>
        <w:rPr>
          <w:lang w:val="de-DE"/>
        </w:rPr>
      </w:pPr>
    </w:p>
    <w:p w14:paraId="02968ADA" w14:textId="43BBDD5C"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XVII.90 eingefügt durch </w:t>
      </w:r>
      <w:r w:rsidR="00BE0A56" w:rsidRPr="004676F5">
        <w:rPr>
          <w:i/>
          <w:lang w:val="de-DE"/>
        </w:rPr>
        <w:t>Art. </w:t>
      </w:r>
      <w:r w:rsidRPr="004676F5">
        <w:rPr>
          <w:i/>
          <w:lang w:val="de-DE"/>
        </w:rPr>
        <w:t>43 des G. vom 6. </w:t>
      </w:r>
      <w:r w:rsidRPr="00B14651">
        <w:rPr>
          <w:i/>
          <w:lang w:val="de-DE"/>
        </w:rPr>
        <w:t>Juni 2017 (B.S. vom 12. Juni 2017)]</w:t>
      </w:r>
    </w:p>
    <w:p w14:paraId="6459731B" w14:textId="77777777" w:rsidR="005E4833" w:rsidRPr="00B14651" w:rsidRDefault="005E4833" w:rsidP="002F0EBE">
      <w:pPr>
        <w:jc w:val="both"/>
        <w:rPr>
          <w:lang w:val="de-DE"/>
        </w:rPr>
      </w:pPr>
    </w:p>
    <w:p w14:paraId="56A1CF91" w14:textId="77777777" w:rsidR="002F0EBE" w:rsidRPr="00B14651" w:rsidRDefault="002F0EBE" w:rsidP="002F0EBE">
      <w:pPr>
        <w:jc w:val="both"/>
        <w:rPr>
          <w:lang w:val="de-DE"/>
        </w:rPr>
      </w:pPr>
    </w:p>
    <w:p w14:paraId="18A4C8B7" w14:textId="4B725F22" w:rsidR="002F0EBE" w:rsidRPr="004676F5" w:rsidRDefault="002F0EBE" w:rsidP="002F0EBE">
      <w:pPr>
        <w:jc w:val="both"/>
        <w:rPr>
          <w:lang w:val="de-DE"/>
        </w:rPr>
      </w:pPr>
      <w:r w:rsidRPr="00B14651">
        <w:rPr>
          <w:lang w:val="de-DE"/>
        </w:rPr>
        <w:tab/>
      </w:r>
      <w:r w:rsidR="005E4833" w:rsidRPr="004676F5">
        <w:rPr>
          <w:lang w:val="de-DE"/>
        </w:rPr>
        <w:t>[</w:t>
      </w:r>
      <w:r w:rsidR="00BE0A56" w:rsidRPr="004676F5">
        <w:rPr>
          <w:b/>
          <w:lang w:val="de-DE"/>
        </w:rPr>
        <w:t>Art. </w:t>
      </w:r>
      <w:r w:rsidRPr="004676F5">
        <w:rPr>
          <w:b/>
          <w:lang w:val="de-DE"/>
        </w:rPr>
        <w:t>XVII.91</w:t>
      </w:r>
      <w:r w:rsidRPr="004676F5">
        <w:rPr>
          <w:lang w:val="de-DE"/>
        </w:rPr>
        <w:t> </w:t>
      </w:r>
      <w:r w:rsidR="005B7A5C" w:rsidRPr="004676F5">
        <w:rPr>
          <w:lang w:val="de-DE"/>
        </w:rPr>
        <w:t>- </w:t>
      </w:r>
      <w:r w:rsidRPr="004676F5">
        <w:rPr>
          <w:lang w:val="de-DE"/>
        </w:rPr>
        <w:t>Eine einvernehmliche Streitbeilegung, Schiedsverfahren ausgenom</w:t>
      </w:r>
      <w:r w:rsidRPr="004676F5">
        <w:rPr>
          <w:lang w:val="de-DE"/>
        </w:rPr>
        <w:softHyphen/>
        <w:t>men, unterbricht die Verjährungsfristen für die Erhebung von Schadenersatzklagen für die Dauer des einvernehmlichen Streitbeilegungsverfahrens. Diese Unterbrechung gilt nur für Parteien, die an der einvernehmlichen Streitbeilegung beteiligt oder d</w:t>
      </w:r>
      <w:r w:rsidR="005E4833" w:rsidRPr="004676F5">
        <w:rPr>
          <w:lang w:val="de-DE"/>
        </w:rPr>
        <w:t>abei vertreten sind oder waren.]</w:t>
      </w:r>
    </w:p>
    <w:p w14:paraId="04B4E28F" w14:textId="77777777" w:rsidR="005E4833" w:rsidRPr="004676F5" w:rsidRDefault="005E4833" w:rsidP="002F0EBE">
      <w:pPr>
        <w:jc w:val="both"/>
        <w:rPr>
          <w:lang w:val="de-DE"/>
        </w:rPr>
      </w:pPr>
    </w:p>
    <w:p w14:paraId="2A6445C4" w14:textId="288D975A" w:rsidR="005E4833" w:rsidRPr="00B14651" w:rsidRDefault="005E4833" w:rsidP="005E4833">
      <w:pPr>
        <w:jc w:val="both"/>
        <w:rPr>
          <w:i/>
          <w:lang w:val="de-DE"/>
        </w:rPr>
      </w:pPr>
      <w:r w:rsidRPr="004676F5">
        <w:rPr>
          <w:i/>
          <w:lang w:val="de-DE"/>
        </w:rPr>
        <w:t>[</w:t>
      </w:r>
      <w:r w:rsidR="00BE0A56" w:rsidRPr="004676F5">
        <w:rPr>
          <w:i/>
          <w:lang w:val="de-DE"/>
        </w:rPr>
        <w:t>Art. </w:t>
      </w:r>
      <w:r w:rsidRPr="004676F5">
        <w:rPr>
          <w:i/>
          <w:lang w:val="de-DE"/>
        </w:rPr>
        <w:t xml:space="preserve">XVII.91 eingefügt durch </w:t>
      </w:r>
      <w:r w:rsidR="00BE0A56" w:rsidRPr="004676F5">
        <w:rPr>
          <w:i/>
          <w:lang w:val="de-DE"/>
        </w:rPr>
        <w:t>Art. </w:t>
      </w:r>
      <w:r w:rsidRPr="004676F5">
        <w:rPr>
          <w:i/>
          <w:lang w:val="de-DE"/>
        </w:rPr>
        <w:t>44 des G. vom 6. </w:t>
      </w:r>
      <w:r w:rsidRPr="00B14651">
        <w:rPr>
          <w:i/>
          <w:lang w:val="de-DE"/>
        </w:rPr>
        <w:t>Juni 2017 (B.S. vom 12. Juni 2017)]</w:t>
      </w:r>
    </w:p>
    <w:p w14:paraId="63D5446C" w14:textId="77777777" w:rsidR="005E4833" w:rsidRPr="00B14651" w:rsidRDefault="005E4833" w:rsidP="002F0EBE">
      <w:pPr>
        <w:jc w:val="both"/>
        <w:rPr>
          <w:lang w:val="de-DE"/>
        </w:rPr>
      </w:pPr>
    </w:p>
    <w:p w14:paraId="07AEC35F" w14:textId="77777777" w:rsidR="002F0EBE" w:rsidRPr="00B14651" w:rsidRDefault="002F0EBE" w:rsidP="002F0EBE">
      <w:pPr>
        <w:jc w:val="both"/>
        <w:rPr>
          <w:lang w:val="de-DE"/>
        </w:rPr>
      </w:pPr>
    </w:p>
    <w:p w14:paraId="5689C8B6" w14:textId="77777777" w:rsidR="002F0EBE" w:rsidRPr="00B14651" w:rsidRDefault="002F0EBE" w:rsidP="002F0EBE">
      <w:pPr>
        <w:jc w:val="center"/>
        <w:rPr>
          <w:lang w:val="de-DE"/>
        </w:rPr>
      </w:pPr>
    </w:p>
    <w:p w14:paraId="7EE5C69B" w14:textId="77777777" w:rsidR="002F0EBE" w:rsidRPr="00B14651" w:rsidRDefault="002F0EBE" w:rsidP="002F0EBE">
      <w:pPr>
        <w:jc w:val="center"/>
        <w:rPr>
          <w:lang w:val="de-DE"/>
        </w:rPr>
      </w:pPr>
    </w:p>
    <w:p w14:paraId="50011601" w14:textId="77777777" w:rsidR="002F0EBE" w:rsidRPr="00B14651" w:rsidRDefault="002F0EBE" w:rsidP="002F0EBE">
      <w:pPr>
        <w:jc w:val="center"/>
        <w:rPr>
          <w:smallCaps/>
          <w:lang w:val="de-DE"/>
        </w:rPr>
      </w:pPr>
    </w:p>
    <w:p w14:paraId="54B5FB34" w14:textId="77777777" w:rsidR="00325552" w:rsidRPr="00B14651" w:rsidRDefault="00325552">
      <w:pPr>
        <w:rPr>
          <w:lang w:val="de-DE"/>
        </w:rPr>
      </w:pPr>
      <w:r w:rsidRPr="00B14651">
        <w:rPr>
          <w:lang w:val="de-DE"/>
        </w:rPr>
        <w:br w:type="page"/>
      </w:r>
    </w:p>
    <w:p w14:paraId="6472E7BC" w14:textId="279D142D" w:rsidR="00657AA4" w:rsidRPr="004676F5" w:rsidRDefault="00657AA4" w:rsidP="00657AA4">
      <w:pPr>
        <w:jc w:val="center"/>
        <w:rPr>
          <w:b/>
          <w:lang w:val="de-DE"/>
        </w:rPr>
      </w:pPr>
      <w:r w:rsidRPr="004676F5">
        <w:rPr>
          <w:lang w:val="de-DE"/>
        </w:rPr>
        <w:lastRenderedPageBreak/>
        <w:t>[</w:t>
      </w:r>
      <w:r w:rsidRPr="004676F5">
        <w:rPr>
          <w:b/>
          <w:lang w:val="de-DE"/>
        </w:rPr>
        <w:t>BUCH XVIII </w:t>
      </w:r>
      <w:r w:rsidR="005B7A5C" w:rsidRPr="004676F5">
        <w:rPr>
          <w:b/>
          <w:lang w:val="de-DE"/>
        </w:rPr>
        <w:t>- </w:t>
      </w:r>
      <w:r w:rsidRPr="004676F5">
        <w:rPr>
          <w:b/>
          <w:lang w:val="de-DE"/>
        </w:rPr>
        <w:t>MASSNAHMEN ZUR KRISENBEWÄLTIGUNG</w:t>
      </w:r>
    </w:p>
    <w:p w14:paraId="2730FC14" w14:textId="77777777" w:rsidR="00657AA4" w:rsidRPr="004676F5" w:rsidRDefault="00657AA4" w:rsidP="00657AA4">
      <w:pPr>
        <w:ind w:firstLine="708"/>
        <w:rPr>
          <w:lang w:val="de-DE"/>
        </w:rPr>
      </w:pPr>
    </w:p>
    <w:p w14:paraId="1D434A82" w14:textId="5637F02F" w:rsidR="00657AA4" w:rsidRPr="004676F5" w:rsidRDefault="00657AA4" w:rsidP="00EC0F9E">
      <w:pPr>
        <w:jc w:val="both"/>
        <w:rPr>
          <w:i/>
          <w:lang w:val="de-DE"/>
        </w:rPr>
      </w:pPr>
      <w:r w:rsidRPr="004676F5">
        <w:rPr>
          <w:i/>
          <w:lang w:val="de-DE"/>
        </w:rPr>
        <w:t>[Buch</w:t>
      </w:r>
      <w:r w:rsidR="008E796B">
        <w:rPr>
          <w:i/>
          <w:lang w:val="de-DE"/>
        </w:rPr>
        <w:t> </w:t>
      </w:r>
      <w:r w:rsidRPr="004676F5">
        <w:rPr>
          <w:i/>
          <w:lang w:val="de-DE"/>
        </w:rPr>
        <w:t>XVIII mit den Artikeln</w:t>
      </w:r>
      <w:r w:rsidR="008E796B">
        <w:rPr>
          <w:i/>
          <w:lang w:val="de-DE"/>
        </w:rPr>
        <w:t> </w:t>
      </w:r>
      <w:r w:rsidRPr="004676F5">
        <w:rPr>
          <w:i/>
          <w:lang w:val="de-DE"/>
        </w:rPr>
        <w:t xml:space="preserve">XVIII.1 bis XVIII.4 eingefügt durch </w:t>
      </w:r>
      <w:r w:rsidR="00BE0A56" w:rsidRPr="004676F5">
        <w:rPr>
          <w:i/>
          <w:lang w:val="de-DE"/>
        </w:rPr>
        <w:t>Art. </w:t>
      </w:r>
      <w:r w:rsidRPr="004676F5">
        <w:rPr>
          <w:i/>
          <w:lang w:val="de-DE"/>
        </w:rPr>
        <w:t>2 des G.</w:t>
      </w:r>
      <w:r w:rsidR="004B3E3C" w:rsidRPr="004676F5">
        <w:rPr>
          <w:i/>
          <w:lang w:val="de-DE"/>
        </w:rPr>
        <w:t xml:space="preserve"> vom 27. März 2014</w:t>
      </w:r>
      <w:r w:rsidR="0034154F" w:rsidRPr="004676F5">
        <w:rPr>
          <w:i/>
          <w:lang w:val="de-DE"/>
        </w:rPr>
        <w:t> (I)</w:t>
      </w:r>
      <w:r w:rsidR="004B3E3C" w:rsidRPr="004676F5">
        <w:rPr>
          <w:i/>
          <w:lang w:val="de-DE"/>
        </w:rPr>
        <w:t xml:space="preserve"> (B.S. vom 29. April 2014)]</w:t>
      </w:r>
    </w:p>
    <w:p w14:paraId="398E1C64" w14:textId="77777777" w:rsidR="004B3E3C" w:rsidRPr="004676F5" w:rsidRDefault="004B3E3C" w:rsidP="00657AA4">
      <w:pPr>
        <w:rPr>
          <w:i/>
          <w:lang w:val="de-DE"/>
        </w:rPr>
      </w:pPr>
    </w:p>
    <w:p w14:paraId="1BE406E4" w14:textId="77777777" w:rsidR="004B3E3C" w:rsidRPr="004676F5" w:rsidRDefault="004B3E3C" w:rsidP="00657AA4">
      <w:pPr>
        <w:rPr>
          <w:i/>
          <w:lang w:val="de-DE"/>
        </w:rPr>
      </w:pPr>
    </w:p>
    <w:p w14:paraId="15E91526" w14:textId="52602E38" w:rsidR="00657AA4" w:rsidRPr="004676F5" w:rsidRDefault="00657AA4" w:rsidP="00657AA4">
      <w:pPr>
        <w:jc w:val="center"/>
        <w:rPr>
          <w:b/>
          <w:i/>
          <w:lang w:val="de-DE"/>
        </w:rPr>
      </w:pPr>
      <w:r w:rsidRPr="004676F5">
        <w:rPr>
          <w:b/>
          <w:lang w:val="de-DE"/>
        </w:rPr>
        <w:t>TITEL 1 </w:t>
      </w:r>
      <w:r w:rsidR="005B7A5C" w:rsidRPr="004676F5">
        <w:rPr>
          <w:b/>
          <w:lang w:val="de-DE"/>
        </w:rPr>
        <w:t>- </w:t>
      </w:r>
      <w:r w:rsidRPr="004676F5">
        <w:rPr>
          <w:b/>
          <w:i/>
          <w:lang w:val="de-DE"/>
        </w:rPr>
        <w:t>Regelung in Krisenzeiten</w:t>
      </w:r>
    </w:p>
    <w:p w14:paraId="29DD0EC0" w14:textId="77777777" w:rsidR="00657AA4" w:rsidRPr="004676F5" w:rsidRDefault="00657AA4" w:rsidP="00657AA4">
      <w:pPr>
        <w:rPr>
          <w:lang w:val="de-DE"/>
        </w:rPr>
      </w:pPr>
    </w:p>
    <w:p w14:paraId="208B9B37" w14:textId="77777777" w:rsidR="004B3E3C" w:rsidRPr="004676F5" w:rsidRDefault="004B3E3C" w:rsidP="00657AA4">
      <w:pPr>
        <w:rPr>
          <w:lang w:val="de-DE"/>
        </w:rPr>
      </w:pPr>
    </w:p>
    <w:p w14:paraId="26CE610D" w14:textId="528A8319" w:rsidR="00657AA4" w:rsidRPr="004676F5" w:rsidRDefault="00BE0A56" w:rsidP="00657AA4">
      <w:pPr>
        <w:ind w:firstLine="708"/>
        <w:jc w:val="both"/>
        <w:rPr>
          <w:lang w:val="de-DE"/>
        </w:rPr>
      </w:pPr>
      <w:r w:rsidRPr="004676F5">
        <w:rPr>
          <w:b/>
          <w:lang w:val="de-DE"/>
        </w:rPr>
        <w:t>Art. </w:t>
      </w:r>
      <w:r w:rsidR="00657AA4" w:rsidRPr="004676F5">
        <w:rPr>
          <w:b/>
          <w:lang w:val="de-DE"/>
        </w:rPr>
        <w:t>XVIII.1</w:t>
      </w:r>
      <w:r w:rsidR="00657AA4" w:rsidRPr="004676F5">
        <w:rPr>
          <w:lang w:val="de-DE"/>
        </w:rPr>
        <w:t xml:space="preserve"> </w:t>
      </w:r>
      <w:r w:rsidR="005B7A5C" w:rsidRPr="004676F5">
        <w:rPr>
          <w:lang w:val="de-DE"/>
        </w:rPr>
        <w:t>- </w:t>
      </w:r>
      <w:r w:rsidR="00657AA4" w:rsidRPr="004676F5">
        <w:rPr>
          <w:lang w:val="de-DE"/>
        </w:rPr>
        <w:t>§ 1 </w:t>
      </w:r>
      <w:r w:rsidR="005B7A5C" w:rsidRPr="004676F5">
        <w:rPr>
          <w:lang w:val="de-DE"/>
        </w:rPr>
        <w:t>- </w:t>
      </w:r>
      <w:r w:rsidR="00657AA4" w:rsidRPr="004676F5">
        <w:rPr>
          <w:lang w:val="de-DE"/>
        </w:rPr>
        <w:t>Wenn außergewöhnliche Umstände oder Ereignisse das reibungs</w:t>
      </w:r>
      <w:r w:rsidR="00657AA4" w:rsidRPr="004676F5">
        <w:rPr>
          <w:lang w:val="de-DE"/>
        </w:rPr>
        <w:softHyphen/>
        <w:t>lose Funktionieren der Wirtschaft ganz oder teilweise gefährden oder gefährden können, kann der Minister Angebot und Dienstleistung, Einfuhr, Produktion, Herstellung, Aufbereitung, Besitz, Verarbeitung, Gebrauch, Vertrieb, Kauf, Verkauf, Ausstellen, Vorführung, Anbieten zum Kauf, Lieferung und Beförderung von Produkten, die er bestimmt, verbieten, reglementieren oder kontrollieren.</w:t>
      </w:r>
    </w:p>
    <w:p w14:paraId="566E01EB" w14:textId="77777777" w:rsidR="00657AA4" w:rsidRPr="004676F5" w:rsidRDefault="00657AA4" w:rsidP="00657AA4">
      <w:pPr>
        <w:ind w:firstLine="708"/>
        <w:jc w:val="both"/>
        <w:rPr>
          <w:lang w:val="de-DE"/>
        </w:rPr>
      </w:pPr>
    </w:p>
    <w:p w14:paraId="554C782D" w14:textId="77777777" w:rsidR="00657AA4" w:rsidRPr="004676F5" w:rsidRDefault="00657AA4" w:rsidP="00657AA4">
      <w:pPr>
        <w:ind w:firstLine="708"/>
        <w:jc w:val="both"/>
        <w:rPr>
          <w:lang w:val="de-DE"/>
        </w:rPr>
      </w:pPr>
      <w:r w:rsidRPr="004676F5">
        <w:rPr>
          <w:lang w:val="de-DE"/>
        </w:rPr>
        <w:t>Er kann die Ausübung dieser Tätigkeiten Personen oder Unternehmen vorbehalten, die er bestimmt, oder Niederlassungen schließen, deren Tätigkeit ihm unnötig oder schädlich erscheint.</w:t>
      </w:r>
    </w:p>
    <w:p w14:paraId="71AB2E16" w14:textId="77777777" w:rsidR="00657AA4" w:rsidRPr="004676F5" w:rsidRDefault="00657AA4" w:rsidP="00657AA4">
      <w:pPr>
        <w:rPr>
          <w:lang w:val="de-DE"/>
        </w:rPr>
      </w:pPr>
    </w:p>
    <w:p w14:paraId="4F13F6BB" w14:textId="77777777" w:rsidR="00657AA4" w:rsidRPr="004676F5" w:rsidRDefault="00657AA4" w:rsidP="00657AA4">
      <w:pPr>
        <w:ind w:firstLine="708"/>
        <w:jc w:val="both"/>
        <w:rPr>
          <w:lang w:val="de-DE"/>
        </w:rPr>
      </w:pPr>
      <w:r w:rsidRPr="004676F5">
        <w:rPr>
          <w:lang w:val="de-DE"/>
        </w:rPr>
        <w:t>Er darf die Bevorratung aller Personen oder Unternehmen, die einer aufgrund von Absatz 1 reglementierten und kontrollierten Tätigkeit nachgehen, herabsetzen oder aussetzen, wenn sie sich weigern, an sie gerichtete Anweisungen auszuführen, oder wenn sie aufgrund ihres Widerstands, ihrer Nachlässigkeit oder aus jedem anderen Grund das reibungslose Funktionieren der Wirtschaft ganz oder teilweise gefährden.</w:t>
      </w:r>
    </w:p>
    <w:p w14:paraId="4BED3DC6" w14:textId="77777777" w:rsidR="00657AA4" w:rsidRPr="004676F5" w:rsidRDefault="00657AA4" w:rsidP="00657AA4">
      <w:pPr>
        <w:ind w:firstLine="708"/>
        <w:jc w:val="both"/>
        <w:rPr>
          <w:lang w:val="de-DE"/>
        </w:rPr>
      </w:pPr>
    </w:p>
    <w:p w14:paraId="6767A699" w14:textId="77777777" w:rsidR="00657AA4" w:rsidRPr="004676F5" w:rsidRDefault="00657AA4" w:rsidP="00657AA4">
      <w:pPr>
        <w:ind w:firstLine="708"/>
        <w:jc w:val="both"/>
        <w:rPr>
          <w:lang w:val="de-DE"/>
        </w:rPr>
      </w:pPr>
      <w:r w:rsidRPr="004676F5">
        <w:rPr>
          <w:lang w:val="de-DE"/>
        </w:rPr>
        <w:t>In den vorherigen Absätzen erwähnte Maßnahmen begrenzen sich auf unbedingt notwendige Maßnahmen, damit die wirtschaftlichen Schwierigkeiten, die durch die außergewöhnlichen Umstände oder Ereignisse hervorgerufen werden oder werden können, beseitigt oder verhindert werden. Sie sind zeitlich begrenzt und dürfen nicht länger dauern, als die vorerwähnten Umstände oder Ereignisse es verlangen.</w:t>
      </w:r>
    </w:p>
    <w:p w14:paraId="0E6F3B57" w14:textId="77777777" w:rsidR="00657AA4" w:rsidRPr="004676F5" w:rsidRDefault="00657AA4" w:rsidP="00657AA4">
      <w:pPr>
        <w:ind w:firstLine="708"/>
        <w:rPr>
          <w:lang w:val="de-DE"/>
        </w:rPr>
      </w:pPr>
    </w:p>
    <w:p w14:paraId="5C442077" w14:textId="374A6ADF" w:rsidR="00657AA4" w:rsidRPr="004676F5" w:rsidRDefault="00657AA4" w:rsidP="00657AA4">
      <w:pPr>
        <w:ind w:firstLine="708"/>
        <w:jc w:val="both"/>
        <w:rPr>
          <w:lang w:val="de-DE"/>
        </w:rPr>
      </w:pPr>
      <w:r w:rsidRPr="004676F5">
        <w:rPr>
          <w:lang w:val="de-DE"/>
        </w:rPr>
        <w:t>§ 2 </w:t>
      </w:r>
      <w:r w:rsidR="005B7A5C" w:rsidRPr="004676F5">
        <w:rPr>
          <w:lang w:val="de-DE"/>
        </w:rPr>
        <w:t>- </w:t>
      </w:r>
      <w:r w:rsidRPr="004676F5">
        <w:rPr>
          <w:lang w:val="de-DE"/>
        </w:rPr>
        <w:t>Ein auf der Grundlage des vorhergehenden Paragraphen getroffener Ministerieller Erlass wird so schnell wie möglich durch einen im Ministerrat beratenen Königlichen Erlass bestätigt.</w:t>
      </w:r>
    </w:p>
    <w:p w14:paraId="3C9E6759" w14:textId="77777777" w:rsidR="00657AA4" w:rsidRPr="004676F5" w:rsidRDefault="00657AA4" w:rsidP="00657AA4">
      <w:pPr>
        <w:ind w:firstLine="708"/>
        <w:rPr>
          <w:lang w:val="de-DE"/>
        </w:rPr>
      </w:pPr>
    </w:p>
    <w:p w14:paraId="23EF8D50" w14:textId="77777777" w:rsidR="00657AA4" w:rsidRPr="004676F5" w:rsidRDefault="00657AA4" w:rsidP="00657AA4">
      <w:pPr>
        <w:ind w:firstLine="708"/>
        <w:jc w:val="both"/>
        <w:rPr>
          <w:lang w:val="de-DE"/>
        </w:rPr>
      </w:pPr>
      <w:r w:rsidRPr="004676F5">
        <w:rPr>
          <w:lang w:val="de-DE"/>
        </w:rPr>
        <w:t>Wenn dieser Ministerielle Erlass nicht vom König bestätigt wird, wird davon ausgegangen, dass er nie wirksam geworden ist.</w:t>
      </w:r>
    </w:p>
    <w:p w14:paraId="380CF095" w14:textId="77777777" w:rsidR="00657AA4" w:rsidRPr="004676F5" w:rsidRDefault="00657AA4" w:rsidP="00657AA4">
      <w:pPr>
        <w:rPr>
          <w:lang w:val="de-DE"/>
        </w:rPr>
      </w:pPr>
    </w:p>
    <w:p w14:paraId="637658A5" w14:textId="77777777" w:rsidR="004B3E3C" w:rsidRPr="004676F5" w:rsidRDefault="004B3E3C" w:rsidP="00657AA4">
      <w:pPr>
        <w:rPr>
          <w:lang w:val="de-DE"/>
        </w:rPr>
      </w:pPr>
    </w:p>
    <w:p w14:paraId="4E33ADF2" w14:textId="77777777" w:rsidR="004B3E3C" w:rsidRPr="004676F5" w:rsidRDefault="004B3E3C">
      <w:pPr>
        <w:rPr>
          <w:b/>
          <w:lang w:val="de-DE"/>
        </w:rPr>
      </w:pPr>
      <w:r w:rsidRPr="004676F5">
        <w:rPr>
          <w:b/>
          <w:lang w:val="de-DE"/>
        </w:rPr>
        <w:br w:type="page"/>
      </w:r>
    </w:p>
    <w:p w14:paraId="2FA50E5B" w14:textId="4587901D" w:rsidR="00657AA4" w:rsidRPr="004676F5" w:rsidRDefault="00657AA4" w:rsidP="00657AA4">
      <w:pPr>
        <w:jc w:val="center"/>
        <w:rPr>
          <w:b/>
          <w:i/>
          <w:lang w:val="de-DE"/>
        </w:rPr>
      </w:pPr>
      <w:r w:rsidRPr="004676F5">
        <w:rPr>
          <w:b/>
          <w:lang w:val="de-DE"/>
        </w:rPr>
        <w:lastRenderedPageBreak/>
        <w:t>TITEL 2 </w:t>
      </w:r>
      <w:r w:rsidR="005B7A5C" w:rsidRPr="004676F5">
        <w:rPr>
          <w:b/>
          <w:lang w:val="de-DE"/>
        </w:rPr>
        <w:t>- </w:t>
      </w:r>
      <w:r w:rsidRPr="004676F5">
        <w:rPr>
          <w:b/>
          <w:i/>
          <w:lang w:val="de-DE"/>
        </w:rPr>
        <w:t>Requirierung in Krisenzeiten</w:t>
      </w:r>
    </w:p>
    <w:p w14:paraId="6A24930C" w14:textId="77777777" w:rsidR="00657AA4" w:rsidRPr="004676F5" w:rsidRDefault="00657AA4" w:rsidP="00657AA4">
      <w:pPr>
        <w:rPr>
          <w:lang w:val="de-DE"/>
        </w:rPr>
      </w:pPr>
    </w:p>
    <w:p w14:paraId="182A12F8" w14:textId="77777777" w:rsidR="004B3E3C" w:rsidRPr="004676F5" w:rsidRDefault="004B3E3C" w:rsidP="00657AA4">
      <w:pPr>
        <w:rPr>
          <w:lang w:val="de-DE"/>
        </w:rPr>
      </w:pPr>
    </w:p>
    <w:p w14:paraId="2126853E" w14:textId="2346DFC6" w:rsidR="00657AA4" w:rsidRPr="004676F5" w:rsidRDefault="00BE0A56" w:rsidP="00657AA4">
      <w:pPr>
        <w:ind w:firstLine="708"/>
        <w:jc w:val="both"/>
        <w:rPr>
          <w:lang w:val="de-DE"/>
        </w:rPr>
      </w:pPr>
      <w:r w:rsidRPr="004676F5">
        <w:rPr>
          <w:b/>
          <w:lang w:val="de-DE"/>
        </w:rPr>
        <w:t>Art. </w:t>
      </w:r>
      <w:r w:rsidR="00657AA4" w:rsidRPr="004676F5">
        <w:rPr>
          <w:b/>
          <w:lang w:val="de-DE"/>
        </w:rPr>
        <w:t>XVIII.2</w:t>
      </w:r>
      <w:r w:rsidR="00657AA4" w:rsidRPr="004676F5">
        <w:rPr>
          <w:lang w:val="de-DE"/>
        </w:rPr>
        <w:t xml:space="preserve"> </w:t>
      </w:r>
      <w:r w:rsidR="005B7A5C" w:rsidRPr="004676F5">
        <w:rPr>
          <w:lang w:val="de-DE"/>
        </w:rPr>
        <w:t>- </w:t>
      </w:r>
      <w:r w:rsidR="00657AA4" w:rsidRPr="004676F5">
        <w:rPr>
          <w:lang w:val="de-DE"/>
        </w:rPr>
        <w:t>§ 1 </w:t>
      </w:r>
      <w:r w:rsidR="005B7A5C" w:rsidRPr="004676F5">
        <w:rPr>
          <w:lang w:val="de-DE"/>
        </w:rPr>
        <w:t>- </w:t>
      </w:r>
      <w:r w:rsidR="00657AA4" w:rsidRPr="004676F5">
        <w:rPr>
          <w:lang w:val="de-DE"/>
        </w:rPr>
        <w:t>Wenn unvorhergesehene Umstände oder Ereignisse das reibungs</w:t>
      </w:r>
      <w:r w:rsidR="00657AA4" w:rsidRPr="004676F5">
        <w:rPr>
          <w:lang w:val="de-DE"/>
        </w:rPr>
        <w:softHyphen/>
        <w:t>lose Funktionieren der Wirtschaft ganz oder teilweise gefährden oder gefährden können, kann der Minister aus einer dringenden kollektiven Notwendigkeit heraus und in Ermangelung anderer ihm zur Verfügung stehender annehmbarer Mittel in angemessener Frist die Requirierung von Produkten gegen Zahlung vornehmen oder vornehmen lassen, um sie entweder dem Staat, öffentlichen Behörden und Diensten oder Privatpersonen oder privaten Niederlassungen zur Verfügung zu stellen.</w:t>
      </w:r>
    </w:p>
    <w:p w14:paraId="5DD26A7F" w14:textId="77777777" w:rsidR="00657AA4" w:rsidRPr="004676F5" w:rsidRDefault="00657AA4" w:rsidP="00657AA4">
      <w:pPr>
        <w:ind w:firstLine="708"/>
        <w:rPr>
          <w:lang w:val="de-DE"/>
        </w:rPr>
      </w:pPr>
    </w:p>
    <w:p w14:paraId="6C4C7535" w14:textId="77777777" w:rsidR="00657AA4" w:rsidRPr="004676F5" w:rsidRDefault="00657AA4" w:rsidP="00657AA4">
      <w:pPr>
        <w:ind w:firstLine="708"/>
        <w:jc w:val="both"/>
        <w:rPr>
          <w:lang w:val="de-DE"/>
        </w:rPr>
      </w:pPr>
      <w:r w:rsidRPr="004676F5">
        <w:rPr>
          <w:lang w:val="de-DE"/>
        </w:rPr>
        <w:t>Der Minister darf gegen Vergütung alle notwendigen Verpflichtungen zur Ausführung dieser Requirierungen auferlegen.</w:t>
      </w:r>
    </w:p>
    <w:p w14:paraId="4C3961BF" w14:textId="77777777" w:rsidR="00657AA4" w:rsidRPr="004676F5" w:rsidRDefault="00657AA4" w:rsidP="00657AA4">
      <w:pPr>
        <w:ind w:firstLine="708"/>
        <w:jc w:val="both"/>
        <w:rPr>
          <w:lang w:val="de-DE"/>
        </w:rPr>
      </w:pPr>
    </w:p>
    <w:p w14:paraId="5067C104" w14:textId="2A953970" w:rsidR="00657AA4" w:rsidRPr="004676F5" w:rsidRDefault="00657AA4" w:rsidP="00657AA4">
      <w:pPr>
        <w:ind w:firstLine="708"/>
        <w:jc w:val="both"/>
        <w:rPr>
          <w:lang w:val="de-DE"/>
        </w:rPr>
      </w:pPr>
      <w:r w:rsidRPr="004676F5">
        <w:rPr>
          <w:lang w:val="de-DE"/>
        </w:rPr>
        <w:t>§ 2 </w:t>
      </w:r>
      <w:r w:rsidR="005B7A5C" w:rsidRPr="004676F5">
        <w:rPr>
          <w:lang w:val="de-DE"/>
        </w:rPr>
        <w:t>- </w:t>
      </w:r>
      <w:r w:rsidRPr="004676F5">
        <w:rPr>
          <w:lang w:val="de-DE"/>
        </w:rPr>
        <w:t>Die in Paragraph 1 erwähnte Requirierung von Gütern darf sich entweder auf die Gegenstände selbst beziehen oder auf die Niederlassung oder das Material, die dazu dienen, sie zu produzieren, zu verarbeiten, zu befördern, zum Verkauf anzubieten oder in Besitz zu halten.</w:t>
      </w:r>
    </w:p>
    <w:p w14:paraId="37648E1F" w14:textId="77777777" w:rsidR="00657AA4" w:rsidRPr="004676F5" w:rsidRDefault="00657AA4" w:rsidP="00657AA4">
      <w:pPr>
        <w:ind w:firstLine="708"/>
        <w:rPr>
          <w:lang w:val="de-DE"/>
        </w:rPr>
      </w:pPr>
    </w:p>
    <w:p w14:paraId="27AD02AC" w14:textId="7852D433" w:rsidR="00657AA4" w:rsidRPr="004676F5" w:rsidRDefault="00657AA4" w:rsidP="00657AA4">
      <w:pPr>
        <w:ind w:firstLine="708"/>
        <w:jc w:val="both"/>
        <w:rPr>
          <w:lang w:val="de-DE"/>
        </w:rPr>
      </w:pPr>
      <w:r w:rsidRPr="004676F5">
        <w:rPr>
          <w:lang w:val="de-DE"/>
        </w:rPr>
        <w:t>§ 3 </w:t>
      </w:r>
      <w:r w:rsidR="005B7A5C" w:rsidRPr="004676F5">
        <w:rPr>
          <w:lang w:val="de-DE"/>
        </w:rPr>
        <w:t>- </w:t>
      </w:r>
      <w:r w:rsidRPr="004676F5">
        <w:rPr>
          <w:lang w:val="de-DE"/>
        </w:rPr>
        <w:t>Zur Vermeidung der Nichtigkeit wird der Requirierungsbefehl schriftlich verfasst und vom Minister oder seinem Beauftragten unterzeichnet.</w:t>
      </w:r>
    </w:p>
    <w:p w14:paraId="334C37EF" w14:textId="77777777" w:rsidR="00657AA4" w:rsidRPr="004676F5" w:rsidRDefault="00657AA4" w:rsidP="00657AA4">
      <w:pPr>
        <w:ind w:firstLine="708"/>
        <w:rPr>
          <w:lang w:val="de-DE"/>
        </w:rPr>
      </w:pPr>
    </w:p>
    <w:p w14:paraId="0E0A8F30" w14:textId="77777777" w:rsidR="00657AA4" w:rsidRPr="004676F5" w:rsidRDefault="00657AA4" w:rsidP="00657AA4">
      <w:pPr>
        <w:ind w:firstLine="708"/>
        <w:jc w:val="both"/>
        <w:rPr>
          <w:lang w:val="de-DE"/>
        </w:rPr>
      </w:pPr>
      <w:r w:rsidRPr="004676F5">
        <w:rPr>
          <w:lang w:val="de-DE"/>
        </w:rPr>
        <w:t>In dem Befehl sind Art und Dauer der Requirierung, Bedingungen, unter denen die Requirierung ausgeführt werden muss, und gegebenenfalls die Menge der betreffenden Produkte vermerkt.</w:t>
      </w:r>
    </w:p>
    <w:p w14:paraId="4623E33A" w14:textId="77777777" w:rsidR="00657AA4" w:rsidRPr="004676F5" w:rsidRDefault="00657AA4" w:rsidP="00657AA4">
      <w:pPr>
        <w:ind w:firstLine="708"/>
        <w:rPr>
          <w:lang w:val="de-DE"/>
        </w:rPr>
      </w:pPr>
    </w:p>
    <w:p w14:paraId="69D10A26" w14:textId="77777777" w:rsidR="00657AA4" w:rsidRPr="004676F5" w:rsidRDefault="00657AA4" w:rsidP="00657AA4">
      <w:pPr>
        <w:ind w:firstLine="708"/>
        <w:jc w:val="both"/>
        <w:rPr>
          <w:lang w:val="de-DE"/>
        </w:rPr>
      </w:pPr>
      <w:r w:rsidRPr="004676F5">
        <w:rPr>
          <w:lang w:val="de-DE"/>
        </w:rPr>
        <w:t>Der Requirierungsbefehl wird der natürlichen oder juristischen Person oder dem Besitzer in gleich welcher Eigenschaft der requirierten Güter von den in Artikel XV.2 erwähnten Bediensteten per Einschreiben notifiziert.</w:t>
      </w:r>
    </w:p>
    <w:p w14:paraId="137F4B18" w14:textId="77777777" w:rsidR="00657AA4" w:rsidRPr="004676F5" w:rsidRDefault="00657AA4" w:rsidP="00657AA4">
      <w:pPr>
        <w:ind w:firstLine="708"/>
        <w:rPr>
          <w:lang w:val="de-DE"/>
        </w:rPr>
      </w:pPr>
    </w:p>
    <w:p w14:paraId="157091CB" w14:textId="77777777" w:rsidR="00657AA4" w:rsidRPr="004676F5" w:rsidRDefault="00657AA4" w:rsidP="00657AA4">
      <w:pPr>
        <w:ind w:firstLine="708"/>
        <w:jc w:val="both"/>
        <w:rPr>
          <w:lang w:val="de-DE"/>
        </w:rPr>
      </w:pPr>
      <w:r w:rsidRPr="004676F5">
        <w:rPr>
          <w:lang w:val="de-DE"/>
        </w:rPr>
        <w:t>Im Notfall darf der Requirierungsbefehl mündlich erfolgen und wird zu einem späteren Zeitpunkt vom Minister gemäß Absatz 1 bestätigt.</w:t>
      </w:r>
    </w:p>
    <w:p w14:paraId="1A95C375" w14:textId="77777777" w:rsidR="00657AA4" w:rsidRPr="004676F5" w:rsidRDefault="00657AA4" w:rsidP="00657AA4">
      <w:pPr>
        <w:ind w:firstLine="708"/>
        <w:jc w:val="both"/>
        <w:rPr>
          <w:lang w:val="de-DE"/>
        </w:rPr>
      </w:pPr>
    </w:p>
    <w:p w14:paraId="7E782782" w14:textId="4D36A38F" w:rsidR="00657AA4" w:rsidRPr="004676F5" w:rsidRDefault="00657AA4" w:rsidP="00657AA4">
      <w:pPr>
        <w:ind w:firstLine="708"/>
        <w:jc w:val="both"/>
        <w:rPr>
          <w:lang w:val="de-DE"/>
        </w:rPr>
      </w:pPr>
      <w:r w:rsidRPr="004676F5">
        <w:rPr>
          <w:lang w:val="de-DE"/>
        </w:rPr>
        <w:t>§ 4 </w:t>
      </w:r>
      <w:r w:rsidR="005B7A5C" w:rsidRPr="004676F5">
        <w:rPr>
          <w:lang w:val="de-DE"/>
        </w:rPr>
        <w:t>- </w:t>
      </w:r>
      <w:r w:rsidRPr="004676F5">
        <w:rPr>
          <w:lang w:val="de-DE"/>
        </w:rPr>
        <w:t>Ein Ministerieller Erlass, durch den der Minister die in den vorhergehenden Paragraphen erwähnten Requirierungen vornimmt oder vornehmen lässt, wird so schnell wie möglich durch einen im Ministerrat beratenen Königlichen Erlass bestätigt.</w:t>
      </w:r>
    </w:p>
    <w:p w14:paraId="6290956B" w14:textId="77777777" w:rsidR="00657AA4" w:rsidRPr="004676F5" w:rsidRDefault="00657AA4" w:rsidP="00657AA4">
      <w:pPr>
        <w:ind w:firstLine="708"/>
        <w:jc w:val="both"/>
        <w:rPr>
          <w:lang w:val="de-DE"/>
        </w:rPr>
      </w:pPr>
    </w:p>
    <w:p w14:paraId="5FC118FD" w14:textId="77777777" w:rsidR="00657AA4" w:rsidRPr="004676F5" w:rsidRDefault="00657AA4" w:rsidP="00657AA4">
      <w:pPr>
        <w:ind w:firstLine="708"/>
        <w:jc w:val="both"/>
        <w:rPr>
          <w:lang w:val="de-DE"/>
        </w:rPr>
      </w:pPr>
      <w:r w:rsidRPr="004676F5">
        <w:rPr>
          <w:lang w:val="de-DE"/>
        </w:rPr>
        <w:t>Wenn dieser Ministerielle Erlass nicht vom König bestätigt wird, wird davon ausgegangen, dass er nie wirksam geworden ist.</w:t>
      </w:r>
    </w:p>
    <w:p w14:paraId="0DE88A10" w14:textId="77777777" w:rsidR="00657AA4" w:rsidRPr="004676F5" w:rsidRDefault="00657AA4" w:rsidP="00657AA4">
      <w:pPr>
        <w:ind w:firstLine="708"/>
        <w:rPr>
          <w:lang w:val="de-DE"/>
        </w:rPr>
      </w:pPr>
    </w:p>
    <w:p w14:paraId="2D054DB9" w14:textId="22A7A310" w:rsidR="00657AA4" w:rsidRPr="004676F5" w:rsidRDefault="00657AA4" w:rsidP="00657AA4">
      <w:pPr>
        <w:ind w:firstLine="708"/>
        <w:jc w:val="both"/>
        <w:rPr>
          <w:lang w:val="de-DE"/>
        </w:rPr>
      </w:pPr>
      <w:r w:rsidRPr="004676F5">
        <w:rPr>
          <w:lang w:val="de-DE"/>
        </w:rPr>
        <w:t>§ 5 </w:t>
      </w:r>
      <w:r w:rsidR="005B7A5C" w:rsidRPr="004676F5">
        <w:rPr>
          <w:lang w:val="de-DE"/>
        </w:rPr>
        <w:t>- </w:t>
      </w:r>
      <w:r w:rsidRPr="004676F5">
        <w:rPr>
          <w:lang w:val="de-DE"/>
        </w:rPr>
        <w:t>In vorliegendem Titel erwähnte Requirierungen sind weder dem Gesetz vom 5. März 1935 über die Bürger, die den Betrieb von öffentlichen Diensten in Kriegszeiten entweder durch freiwillige Verpflichtung oder durch Requirierung gewährleisten, noch den aufgrund dieses Gesetzes erlassenen Verordnungen unterworfen.</w:t>
      </w:r>
    </w:p>
    <w:p w14:paraId="3F8377BE" w14:textId="77777777" w:rsidR="00657AA4" w:rsidRPr="004676F5" w:rsidRDefault="00657AA4" w:rsidP="00657AA4">
      <w:pPr>
        <w:ind w:firstLine="708"/>
        <w:rPr>
          <w:lang w:val="de-DE"/>
        </w:rPr>
      </w:pPr>
    </w:p>
    <w:p w14:paraId="31957D14" w14:textId="77777777" w:rsidR="004B3E3C" w:rsidRPr="004676F5" w:rsidRDefault="004B3E3C">
      <w:pPr>
        <w:rPr>
          <w:b/>
          <w:lang w:val="de-DE"/>
        </w:rPr>
      </w:pPr>
      <w:r w:rsidRPr="004676F5">
        <w:rPr>
          <w:b/>
          <w:lang w:val="de-DE"/>
        </w:rPr>
        <w:br w:type="page"/>
      </w:r>
    </w:p>
    <w:p w14:paraId="4EEC45ED" w14:textId="45877E4D" w:rsidR="00657AA4" w:rsidRPr="004676F5" w:rsidRDefault="00657AA4" w:rsidP="00657AA4">
      <w:pPr>
        <w:jc w:val="center"/>
        <w:rPr>
          <w:b/>
          <w:lang w:val="de-DE"/>
        </w:rPr>
      </w:pPr>
      <w:r w:rsidRPr="004676F5">
        <w:rPr>
          <w:b/>
          <w:lang w:val="de-DE"/>
        </w:rPr>
        <w:lastRenderedPageBreak/>
        <w:t>TITEL 3 </w:t>
      </w:r>
      <w:r w:rsidR="005B7A5C" w:rsidRPr="004676F5">
        <w:rPr>
          <w:b/>
          <w:lang w:val="de-DE"/>
        </w:rPr>
        <w:t>- </w:t>
      </w:r>
      <w:r w:rsidRPr="004676F5">
        <w:rPr>
          <w:b/>
          <w:i/>
          <w:lang w:val="de-DE"/>
        </w:rPr>
        <w:t>Gemeinsame Bestimmungen</w:t>
      </w:r>
    </w:p>
    <w:p w14:paraId="594370E2" w14:textId="77777777" w:rsidR="00657AA4" w:rsidRPr="004676F5" w:rsidRDefault="00657AA4" w:rsidP="00657AA4">
      <w:pPr>
        <w:rPr>
          <w:lang w:val="de-DE"/>
        </w:rPr>
      </w:pPr>
    </w:p>
    <w:p w14:paraId="0B4E7B80" w14:textId="77777777" w:rsidR="004B3E3C" w:rsidRPr="004676F5" w:rsidRDefault="004B3E3C" w:rsidP="00657AA4">
      <w:pPr>
        <w:rPr>
          <w:lang w:val="de-DE"/>
        </w:rPr>
      </w:pPr>
    </w:p>
    <w:p w14:paraId="5CE49878" w14:textId="342D3635" w:rsidR="00657AA4" w:rsidRPr="004676F5" w:rsidRDefault="00BE0A56" w:rsidP="00657AA4">
      <w:pPr>
        <w:ind w:firstLine="708"/>
        <w:jc w:val="both"/>
        <w:rPr>
          <w:lang w:val="de-DE"/>
        </w:rPr>
      </w:pPr>
      <w:r w:rsidRPr="004676F5">
        <w:rPr>
          <w:b/>
          <w:lang w:val="de-DE"/>
        </w:rPr>
        <w:t>Art. </w:t>
      </w:r>
      <w:r w:rsidR="00657AA4" w:rsidRPr="004676F5">
        <w:rPr>
          <w:b/>
          <w:lang w:val="de-DE"/>
        </w:rPr>
        <w:t>XVIII.3</w:t>
      </w:r>
      <w:r w:rsidR="00657AA4" w:rsidRPr="004676F5">
        <w:rPr>
          <w:lang w:val="de-DE"/>
        </w:rPr>
        <w:t xml:space="preserve"> </w:t>
      </w:r>
      <w:r w:rsidR="005B7A5C" w:rsidRPr="004676F5">
        <w:rPr>
          <w:lang w:val="de-DE"/>
        </w:rPr>
        <w:t>- </w:t>
      </w:r>
      <w:r w:rsidR="00657AA4" w:rsidRPr="004676F5">
        <w:rPr>
          <w:lang w:val="de-DE"/>
        </w:rPr>
        <w:t>Der Minister darf alle Maßnahmen der öffentlichen Bekanntmachung über die aufgrund der Artikel XVIII.1 und XVIII.2 auferlegten Verpflichtungen oder über die Ausführung dieser Verpflichtungen anordnen.</w:t>
      </w:r>
    </w:p>
    <w:p w14:paraId="48BA0B8F" w14:textId="77777777" w:rsidR="00657AA4" w:rsidRPr="004676F5" w:rsidRDefault="00657AA4" w:rsidP="00657AA4">
      <w:pPr>
        <w:ind w:firstLine="708"/>
        <w:jc w:val="both"/>
        <w:rPr>
          <w:lang w:val="de-DE"/>
        </w:rPr>
      </w:pPr>
    </w:p>
    <w:p w14:paraId="245A503B" w14:textId="77777777" w:rsidR="00657AA4" w:rsidRPr="004676F5" w:rsidRDefault="00657AA4" w:rsidP="00657AA4">
      <w:pPr>
        <w:ind w:firstLine="708"/>
        <w:jc w:val="both"/>
        <w:rPr>
          <w:lang w:val="de-DE"/>
        </w:rPr>
      </w:pPr>
      <w:r w:rsidRPr="004676F5">
        <w:rPr>
          <w:lang w:val="de-DE"/>
        </w:rPr>
        <w:t>In Artikel XV.2 erwähnte Bedienstete können mit der Ausführung der aufgrund des vorliegenden Titels getroffenen Entscheidungen beauftragt werden.</w:t>
      </w:r>
    </w:p>
    <w:p w14:paraId="37C4B4C3" w14:textId="77777777" w:rsidR="00657AA4" w:rsidRPr="004676F5" w:rsidRDefault="00657AA4" w:rsidP="00657AA4">
      <w:pPr>
        <w:ind w:firstLine="708"/>
        <w:jc w:val="both"/>
        <w:rPr>
          <w:lang w:val="de-DE"/>
        </w:rPr>
      </w:pPr>
    </w:p>
    <w:p w14:paraId="105761B4" w14:textId="77777777" w:rsidR="004B3E3C" w:rsidRPr="004676F5" w:rsidRDefault="004B3E3C" w:rsidP="00657AA4">
      <w:pPr>
        <w:jc w:val="both"/>
        <w:rPr>
          <w:lang w:val="de-DE"/>
        </w:rPr>
      </w:pPr>
    </w:p>
    <w:p w14:paraId="034BE719" w14:textId="2A1D8F64" w:rsidR="00C82F78" w:rsidRPr="004676F5" w:rsidRDefault="004B3E3C" w:rsidP="00657AA4">
      <w:pPr>
        <w:jc w:val="both"/>
        <w:rPr>
          <w:lang w:val="de-DE"/>
        </w:rPr>
      </w:pPr>
      <w:r w:rsidRPr="004676F5">
        <w:rPr>
          <w:lang w:val="de-DE"/>
        </w:rPr>
        <w:tab/>
      </w:r>
      <w:r w:rsidR="00BE0A56" w:rsidRPr="004676F5">
        <w:rPr>
          <w:b/>
          <w:lang w:val="de-DE"/>
        </w:rPr>
        <w:t>Art. </w:t>
      </w:r>
      <w:r w:rsidR="00657AA4" w:rsidRPr="004676F5">
        <w:rPr>
          <w:b/>
          <w:lang w:val="de-DE"/>
        </w:rPr>
        <w:t>XVIII.4</w:t>
      </w:r>
      <w:r w:rsidR="00657AA4" w:rsidRPr="004676F5">
        <w:rPr>
          <w:lang w:val="de-DE"/>
        </w:rPr>
        <w:t xml:space="preserve"> </w:t>
      </w:r>
      <w:r w:rsidR="005B7A5C" w:rsidRPr="004676F5">
        <w:rPr>
          <w:lang w:val="de-DE"/>
        </w:rPr>
        <w:t>- </w:t>
      </w:r>
      <w:r w:rsidR="00657AA4" w:rsidRPr="004676F5">
        <w:rPr>
          <w:lang w:val="de-DE"/>
        </w:rPr>
        <w:t>Bei der Anwendung der Bestimmungen des vorliegenden Buches können Erzeuger und Vertreiber sich nicht weigern, im Rahmen ihrer Möglichkeiten und unter Bedingungen, die den Handelsbräuchen entsprechen, der Nachfrage der Vertreiber oder Verbraucher nach Waren oder Dienstleistungen nachzukommen, wenn diese Nachfrage in keiner Weise anormal ist.]</w:t>
      </w:r>
    </w:p>
    <w:p w14:paraId="11ED601C" w14:textId="77777777" w:rsidR="008E7024" w:rsidRPr="004676F5" w:rsidRDefault="008E7024" w:rsidP="00657AA4">
      <w:pPr>
        <w:jc w:val="both"/>
        <w:rPr>
          <w:lang w:val="de-DE"/>
        </w:rPr>
      </w:pPr>
    </w:p>
    <w:p w14:paraId="5A8CC43A" w14:textId="77777777" w:rsidR="008E7024" w:rsidRPr="004676F5" w:rsidRDefault="008E7024" w:rsidP="00657AA4">
      <w:pPr>
        <w:jc w:val="both"/>
        <w:rPr>
          <w:lang w:val="de-DE"/>
        </w:rPr>
      </w:pPr>
    </w:p>
    <w:p w14:paraId="6559E695" w14:textId="514A9F37" w:rsidR="00C64D38" w:rsidRPr="004676F5" w:rsidRDefault="00C64D38">
      <w:pPr>
        <w:rPr>
          <w:lang w:val="de-DE"/>
        </w:rPr>
      </w:pPr>
      <w:r w:rsidRPr="004676F5">
        <w:rPr>
          <w:lang w:val="de-DE"/>
        </w:rPr>
        <w:br w:type="page"/>
      </w:r>
    </w:p>
    <w:p w14:paraId="6B5F7134" w14:textId="2AAB0912" w:rsidR="00C64D38" w:rsidRPr="004676F5" w:rsidRDefault="00C64D38" w:rsidP="00C64D38">
      <w:pPr>
        <w:jc w:val="center"/>
        <w:rPr>
          <w:b/>
          <w:bCs/>
          <w:lang w:val="de-DE"/>
        </w:rPr>
      </w:pPr>
      <w:r w:rsidRPr="004676F5">
        <w:rPr>
          <w:lang w:val="de-DE"/>
        </w:rPr>
        <w:lastRenderedPageBreak/>
        <w:t>[</w:t>
      </w:r>
      <w:r w:rsidRPr="004676F5">
        <w:rPr>
          <w:b/>
          <w:lang w:val="de-DE"/>
        </w:rPr>
        <w:t>BUCH XIX </w:t>
      </w:r>
      <w:r w:rsidR="005B7A5C" w:rsidRPr="004676F5">
        <w:rPr>
          <w:b/>
          <w:lang w:val="de-DE"/>
        </w:rPr>
        <w:t>- </w:t>
      </w:r>
      <w:r w:rsidRPr="004676F5">
        <w:rPr>
          <w:b/>
          <w:lang w:val="de-DE"/>
        </w:rPr>
        <w:t>VERBRAUCHERSCHULDEN</w:t>
      </w:r>
    </w:p>
    <w:p w14:paraId="4786C283" w14:textId="77777777" w:rsidR="00C64D38" w:rsidRPr="004676F5" w:rsidRDefault="00C64D38" w:rsidP="00C64D38">
      <w:pPr>
        <w:jc w:val="center"/>
        <w:rPr>
          <w:b/>
          <w:bCs/>
          <w:lang w:val="de-DE"/>
        </w:rPr>
      </w:pPr>
    </w:p>
    <w:p w14:paraId="787007A0" w14:textId="51233481" w:rsidR="00C64D38" w:rsidRPr="004676F5" w:rsidRDefault="00C64D38" w:rsidP="00C64D38">
      <w:pPr>
        <w:jc w:val="both"/>
        <w:rPr>
          <w:i/>
          <w:iCs/>
          <w:lang w:val="de-DE"/>
        </w:rPr>
      </w:pPr>
      <w:r w:rsidRPr="004676F5">
        <w:rPr>
          <w:i/>
          <w:iCs/>
          <w:lang w:val="de-DE"/>
        </w:rPr>
        <w:t>[Buch XIX mit den Artikeln XIX.1 bis XIX.15 eingefügt durch Art. 4 des G. vom 4. Mai 2023 (B.S. vom 23. Mai 2023)]</w:t>
      </w:r>
    </w:p>
    <w:p w14:paraId="39F0DDDB" w14:textId="77777777" w:rsidR="00C64D38" w:rsidRPr="004676F5" w:rsidRDefault="00C64D38" w:rsidP="00C64D38">
      <w:pPr>
        <w:jc w:val="both"/>
        <w:rPr>
          <w:i/>
          <w:iCs/>
          <w:lang w:val="de-DE"/>
        </w:rPr>
      </w:pPr>
    </w:p>
    <w:p w14:paraId="780AEB53" w14:textId="77777777" w:rsidR="00C64D38" w:rsidRPr="004676F5" w:rsidRDefault="00C64D38" w:rsidP="00C64D38">
      <w:pPr>
        <w:jc w:val="both"/>
        <w:rPr>
          <w:i/>
          <w:iCs/>
          <w:lang w:val="de-DE"/>
        </w:rPr>
      </w:pPr>
    </w:p>
    <w:p w14:paraId="17E107B7" w14:textId="395BE039" w:rsidR="00C64D38" w:rsidRPr="004676F5" w:rsidRDefault="00C64D38" w:rsidP="00C64D38">
      <w:pPr>
        <w:jc w:val="center"/>
        <w:rPr>
          <w:b/>
          <w:bCs/>
          <w:lang w:val="de-DE"/>
        </w:rPr>
      </w:pPr>
      <w:r w:rsidRPr="004676F5">
        <w:rPr>
          <w:b/>
          <w:lang w:val="de-DE"/>
        </w:rPr>
        <w:t>TITEL 1 </w:t>
      </w:r>
      <w:r w:rsidR="005B7A5C" w:rsidRPr="004676F5">
        <w:rPr>
          <w:b/>
          <w:lang w:val="de-DE"/>
        </w:rPr>
        <w:t>- </w:t>
      </w:r>
      <w:r w:rsidRPr="004676F5">
        <w:rPr>
          <w:b/>
          <w:i/>
          <w:lang w:val="de-DE"/>
        </w:rPr>
        <w:t>Zahlung von Schulden durch Verbraucher an Unternehmen</w:t>
      </w:r>
    </w:p>
    <w:p w14:paraId="2EF1AF14" w14:textId="77777777" w:rsidR="00C64D38" w:rsidRPr="004676F5" w:rsidRDefault="00C64D38" w:rsidP="00C64D38">
      <w:pPr>
        <w:jc w:val="center"/>
        <w:rPr>
          <w:lang w:val="de-DE"/>
        </w:rPr>
      </w:pPr>
    </w:p>
    <w:p w14:paraId="5E51B015" w14:textId="77777777" w:rsidR="00C64D38" w:rsidRPr="004676F5" w:rsidRDefault="00C64D38" w:rsidP="00C64D38">
      <w:pPr>
        <w:jc w:val="center"/>
        <w:rPr>
          <w:lang w:val="de-DE"/>
        </w:rPr>
      </w:pPr>
    </w:p>
    <w:p w14:paraId="08D66391" w14:textId="1D55F41E" w:rsidR="00C64D38" w:rsidRPr="004676F5" w:rsidRDefault="00C64D38" w:rsidP="00C64D38">
      <w:pPr>
        <w:jc w:val="center"/>
        <w:rPr>
          <w:lang w:val="de-DE"/>
        </w:rPr>
      </w:pPr>
      <w:r w:rsidRPr="004676F5">
        <w:rPr>
          <w:lang w:val="de-DE"/>
        </w:rPr>
        <w:t>KAPITEL 1 </w:t>
      </w:r>
      <w:r w:rsidR="005B7A5C" w:rsidRPr="004676F5">
        <w:rPr>
          <w:lang w:val="de-DE"/>
        </w:rPr>
        <w:t>- </w:t>
      </w:r>
      <w:r w:rsidRPr="004676F5">
        <w:rPr>
          <w:i/>
          <w:lang w:val="de-DE"/>
        </w:rPr>
        <w:t>Anwendungsbereich</w:t>
      </w:r>
    </w:p>
    <w:p w14:paraId="23B6683A" w14:textId="77777777" w:rsidR="00C64D38" w:rsidRPr="004676F5" w:rsidRDefault="00C64D38" w:rsidP="00C64D38">
      <w:pPr>
        <w:jc w:val="both"/>
        <w:rPr>
          <w:lang w:val="de-DE"/>
        </w:rPr>
      </w:pPr>
    </w:p>
    <w:p w14:paraId="7D1DBD4A" w14:textId="77777777" w:rsidR="00C64D38" w:rsidRPr="004676F5" w:rsidRDefault="00C64D38" w:rsidP="00C64D38">
      <w:pPr>
        <w:jc w:val="both"/>
        <w:rPr>
          <w:lang w:val="de-DE"/>
        </w:rPr>
      </w:pPr>
    </w:p>
    <w:p w14:paraId="27C9358A" w14:textId="0B4985CE" w:rsidR="00C64D38" w:rsidRPr="004676F5" w:rsidRDefault="00C64D38" w:rsidP="00C64D38">
      <w:pPr>
        <w:jc w:val="both"/>
        <w:rPr>
          <w:lang w:val="de-DE"/>
        </w:rPr>
      </w:pPr>
      <w:r w:rsidRPr="004676F5">
        <w:rPr>
          <w:lang w:val="de-DE"/>
        </w:rPr>
        <w:tab/>
      </w:r>
      <w:r w:rsidRPr="004676F5">
        <w:rPr>
          <w:b/>
          <w:bCs/>
          <w:lang w:val="de-DE"/>
        </w:rPr>
        <w:t>Art. XIX.1</w:t>
      </w:r>
      <w:r w:rsidRPr="004676F5">
        <w:rPr>
          <w:lang w:val="de-DE"/>
        </w:rPr>
        <w:t> </w:t>
      </w:r>
      <w:r w:rsidR="005B7A5C" w:rsidRPr="004676F5">
        <w:rPr>
          <w:lang w:val="de-DE"/>
        </w:rPr>
        <w:t>- </w:t>
      </w:r>
      <w:r w:rsidRPr="004676F5">
        <w:rPr>
          <w:lang w:val="de-DE"/>
        </w:rPr>
        <w:t>Vorliegender Titel findet Anwendung auf jeden Verzug bei der Zahlung einer Schuld eines Verbrauchers an ein Unternehmen.</w:t>
      </w:r>
    </w:p>
    <w:p w14:paraId="6D17B902" w14:textId="77777777" w:rsidR="00C64D38" w:rsidRPr="004676F5" w:rsidRDefault="00C64D38" w:rsidP="00C64D38">
      <w:pPr>
        <w:jc w:val="both"/>
        <w:rPr>
          <w:lang w:val="de-DE"/>
        </w:rPr>
      </w:pPr>
    </w:p>
    <w:p w14:paraId="3759BD8E" w14:textId="77777777" w:rsidR="00C64D38" w:rsidRPr="004676F5" w:rsidRDefault="00C64D38" w:rsidP="00C64D38">
      <w:pPr>
        <w:jc w:val="both"/>
        <w:rPr>
          <w:lang w:val="de-DE"/>
        </w:rPr>
      </w:pPr>
    </w:p>
    <w:p w14:paraId="422185AD" w14:textId="77777777" w:rsidR="00C64D38" w:rsidRPr="004676F5" w:rsidRDefault="00C64D38" w:rsidP="00C64D38">
      <w:pPr>
        <w:jc w:val="center"/>
        <w:rPr>
          <w:lang w:val="de-DE"/>
        </w:rPr>
      </w:pPr>
      <w:r w:rsidRPr="004676F5">
        <w:rPr>
          <w:lang w:val="de-DE"/>
        </w:rPr>
        <w:t xml:space="preserve">KAPITEL 2 ­ </w:t>
      </w:r>
      <w:r w:rsidRPr="004676F5">
        <w:rPr>
          <w:i/>
          <w:lang w:val="de-DE"/>
        </w:rPr>
        <w:t>Zahlungsverzug</w:t>
      </w:r>
    </w:p>
    <w:p w14:paraId="1B1212BE" w14:textId="77777777" w:rsidR="00C64D38" w:rsidRPr="004676F5" w:rsidRDefault="00C64D38" w:rsidP="00C64D38">
      <w:pPr>
        <w:jc w:val="both"/>
        <w:rPr>
          <w:lang w:val="de-DE"/>
        </w:rPr>
      </w:pPr>
    </w:p>
    <w:p w14:paraId="3E1763E9" w14:textId="77777777" w:rsidR="00C64D38" w:rsidRPr="004676F5" w:rsidRDefault="00C64D38" w:rsidP="00C64D38">
      <w:pPr>
        <w:jc w:val="both"/>
        <w:rPr>
          <w:lang w:val="de-DE"/>
        </w:rPr>
      </w:pPr>
    </w:p>
    <w:p w14:paraId="1F65D526" w14:textId="7C615981" w:rsidR="00C64D38" w:rsidRPr="004676F5" w:rsidRDefault="00C64D38" w:rsidP="00C64D38">
      <w:pPr>
        <w:jc w:val="both"/>
        <w:rPr>
          <w:lang w:val="de-DE"/>
        </w:rPr>
      </w:pPr>
      <w:r w:rsidRPr="004676F5">
        <w:rPr>
          <w:lang w:val="de-DE"/>
        </w:rPr>
        <w:tab/>
      </w:r>
      <w:r w:rsidRPr="004676F5">
        <w:rPr>
          <w:b/>
          <w:bCs/>
          <w:lang w:val="de-DE"/>
        </w:rPr>
        <w:t>Art. XIX.2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Wenn der Verbraucher seine Schuld bei Fälligkeit nicht gezahlt hat und eine Entschädigungsklausel anwendbar ist, kann diese Klausel erst nach Versendung einer Inverzugsetzung in Form einer ersten Erinnerung und nach Ablauf einer Frist von mindestens vierzehn Kalendertagen angewandt werden, die am dritten Werktag nach dem Tag beginnt, an dem die Erinnerung an den Verbraucher versandt worden ist.</w:t>
      </w:r>
    </w:p>
    <w:p w14:paraId="20AEC948" w14:textId="77777777" w:rsidR="00C64D38" w:rsidRPr="004676F5" w:rsidRDefault="00C64D38" w:rsidP="00C64D38">
      <w:pPr>
        <w:jc w:val="both"/>
        <w:rPr>
          <w:lang w:val="de-DE"/>
        </w:rPr>
      </w:pPr>
    </w:p>
    <w:p w14:paraId="6C6C84A7" w14:textId="77777777" w:rsidR="00C64D38" w:rsidRPr="004676F5" w:rsidRDefault="00C64D38" w:rsidP="00C64D38">
      <w:pPr>
        <w:jc w:val="both"/>
        <w:rPr>
          <w:lang w:val="de-DE"/>
        </w:rPr>
      </w:pPr>
      <w:r w:rsidRPr="004676F5">
        <w:rPr>
          <w:lang w:val="de-DE"/>
        </w:rPr>
        <w:tab/>
        <w:t>Wird die Erinnerung auf elektronischem Wege versandt, beginnt die Frist von vierzehn Kalendertagen am Kalendertag nach dem Tag, an dem die Erinnerung an den Verbraucher versandt worden ist.</w:t>
      </w:r>
    </w:p>
    <w:p w14:paraId="1A29EF09" w14:textId="77777777" w:rsidR="00C64D38" w:rsidRPr="004676F5" w:rsidRDefault="00C64D38" w:rsidP="00C64D38">
      <w:pPr>
        <w:jc w:val="both"/>
        <w:rPr>
          <w:lang w:val="de-DE"/>
        </w:rPr>
      </w:pPr>
    </w:p>
    <w:p w14:paraId="55C3E331" w14:textId="77777777" w:rsidR="00C64D38" w:rsidRPr="004676F5" w:rsidRDefault="00C64D38" w:rsidP="00C64D38">
      <w:pPr>
        <w:jc w:val="both"/>
        <w:rPr>
          <w:lang w:val="de-DE"/>
        </w:rPr>
      </w:pPr>
      <w:r w:rsidRPr="004676F5">
        <w:rPr>
          <w:lang w:val="de-DE"/>
        </w:rPr>
        <w:tab/>
        <w:t>§ 2 ­ Dem Verbraucher dürfen keine Kosten für die erste Erinnerung im Zusammenhang mit der Nichtzahlung eines fälligen Betrags in Rechnung gestellt werden.</w:t>
      </w:r>
    </w:p>
    <w:p w14:paraId="56EFAE1C" w14:textId="77777777" w:rsidR="00C64D38" w:rsidRPr="004676F5" w:rsidRDefault="00C64D38" w:rsidP="00C64D38">
      <w:pPr>
        <w:jc w:val="both"/>
        <w:rPr>
          <w:lang w:val="de-DE"/>
        </w:rPr>
      </w:pPr>
    </w:p>
    <w:p w14:paraId="43F743CF" w14:textId="77777777" w:rsidR="00C64D38" w:rsidRPr="004676F5" w:rsidRDefault="00C64D38" w:rsidP="00C64D38">
      <w:pPr>
        <w:jc w:val="both"/>
        <w:rPr>
          <w:lang w:val="de-DE"/>
        </w:rPr>
      </w:pPr>
      <w:r w:rsidRPr="004676F5">
        <w:rPr>
          <w:lang w:val="de-DE"/>
        </w:rPr>
        <w:tab/>
        <w:t>In Abweichung von Absatz 1 dürfen dem Verbraucher bei Verträgen zur regelmäßigen Lieferung von Waren oder Dienstleistungen pro Kalenderjahr keine Kosten für Erinnerungen im Zusammenhang mit der Nichtzahlung dreier fälliger Beträge in Rechnung gestellt werden. Kosten für zusätzliche Erinnerungen dürfen nicht über 7,50 EUR zuzüglich der zum Zeitpunkt der Versendung gültigen Portokosten liegen.</w:t>
      </w:r>
    </w:p>
    <w:p w14:paraId="7FF13BA7" w14:textId="77777777" w:rsidR="00C64D38" w:rsidRPr="004676F5" w:rsidRDefault="00C64D38" w:rsidP="00C64D38">
      <w:pPr>
        <w:jc w:val="both"/>
        <w:rPr>
          <w:lang w:val="de-DE"/>
        </w:rPr>
      </w:pPr>
    </w:p>
    <w:p w14:paraId="648A859A" w14:textId="77777777" w:rsidR="00C64D38" w:rsidRPr="004676F5" w:rsidRDefault="00C64D38" w:rsidP="00C64D38">
      <w:pPr>
        <w:jc w:val="both"/>
        <w:rPr>
          <w:lang w:val="de-DE"/>
        </w:rPr>
      </w:pPr>
      <w:r w:rsidRPr="004676F5">
        <w:rPr>
          <w:lang w:val="de-DE"/>
        </w:rPr>
        <w:tab/>
        <w:t>Erinnerungen werden auf einem dauerhaften Träger versandt.</w:t>
      </w:r>
    </w:p>
    <w:p w14:paraId="3134629A" w14:textId="77777777" w:rsidR="00C64D38" w:rsidRPr="004676F5" w:rsidRDefault="00C64D38" w:rsidP="00C64D38">
      <w:pPr>
        <w:jc w:val="both"/>
        <w:rPr>
          <w:lang w:val="de-DE"/>
        </w:rPr>
      </w:pPr>
    </w:p>
    <w:p w14:paraId="41B778E0" w14:textId="77777777" w:rsidR="00C64D38" w:rsidRPr="004676F5" w:rsidRDefault="00C64D38" w:rsidP="00C64D38">
      <w:pPr>
        <w:jc w:val="both"/>
        <w:rPr>
          <w:lang w:val="de-DE"/>
        </w:rPr>
      </w:pPr>
      <w:r w:rsidRPr="004676F5">
        <w:rPr>
          <w:lang w:val="de-DE"/>
        </w:rPr>
        <w:tab/>
        <w:t>§ 3 ­ Die erste Erinnerung enthält mindestens folgende Angaben:</w:t>
      </w:r>
    </w:p>
    <w:p w14:paraId="36A4F56E" w14:textId="77777777" w:rsidR="00C64D38" w:rsidRPr="004676F5" w:rsidRDefault="00C64D38" w:rsidP="00C64D38">
      <w:pPr>
        <w:jc w:val="both"/>
        <w:rPr>
          <w:lang w:val="de-DE"/>
        </w:rPr>
      </w:pPr>
    </w:p>
    <w:p w14:paraId="71683E72" w14:textId="77777777" w:rsidR="00C64D38" w:rsidRPr="004676F5" w:rsidRDefault="00C64D38" w:rsidP="00C64D38">
      <w:pPr>
        <w:jc w:val="both"/>
        <w:rPr>
          <w:lang w:val="de-DE"/>
        </w:rPr>
      </w:pPr>
      <w:r w:rsidRPr="004676F5">
        <w:rPr>
          <w:lang w:val="de-DE"/>
        </w:rPr>
        <w:tab/>
        <w:t>1. den noch geschuldeten Betrag und den Betrag der in der Klausel vorgesehenen Entschädigung, die bei Nichtzahlung innerhalb der in § 1 erwähnten Frist von vierzehn Kalendertagen gefordert wird,</w:t>
      </w:r>
    </w:p>
    <w:p w14:paraId="4730922D" w14:textId="77777777" w:rsidR="00C64D38" w:rsidRPr="004676F5" w:rsidRDefault="00C64D38" w:rsidP="00C64D38">
      <w:pPr>
        <w:jc w:val="both"/>
        <w:rPr>
          <w:lang w:val="de-DE"/>
        </w:rPr>
      </w:pPr>
    </w:p>
    <w:p w14:paraId="2D649E71" w14:textId="77777777" w:rsidR="00C64D38" w:rsidRPr="004676F5" w:rsidRDefault="00C64D38" w:rsidP="00C64D38">
      <w:pPr>
        <w:jc w:val="both"/>
        <w:rPr>
          <w:lang w:val="de-DE"/>
        </w:rPr>
      </w:pPr>
      <w:r w:rsidRPr="004676F5">
        <w:rPr>
          <w:lang w:val="de-DE"/>
        </w:rPr>
        <w:tab/>
        <w:t>2. den Namen oder die Bezeichnung und die Unternehmensnummer des Gläubigerunternehmens,</w:t>
      </w:r>
    </w:p>
    <w:p w14:paraId="081F2394" w14:textId="77777777" w:rsidR="00C64D38" w:rsidRPr="004676F5" w:rsidRDefault="00C64D38" w:rsidP="00C64D38">
      <w:pPr>
        <w:jc w:val="both"/>
        <w:rPr>
          <w:lang w:val="de-DE"/>
        </w:rPr>
      </w:pPr>
    </w:p>
    <w:p w14:paraId="2DA4A608" w14:textId="77777777" w:rsidR="00C64D38" w:rsidRPr="004676F5" w:rsidRDefault="00C64D38" w:rsidP="00C64D38">
      <w:pPr>
        <w:jc w:val="both"/>
        <w:rPr>
          <w:lang w:val="de-DE"/>
        </w:rPr>
      </w:pPr>
      <w:r w:rsidRPr="004676F5">
        <w:rPr>
          <w:lang w:val="de-DE"/>
        </w:rPr>
        <w:lastRenderedPageBreak/>
        <w:tab/>
        <w:t>3. eine Beschreibung des Produkts, durch das die Schuld entstanden ist, und das Datum der Einforderbarkeit dieser Schuld,</w:t>
      </w:r>
    </w:p>
    <w:p w14:paraId="20823C67" w14:textId="77777777" w:rsidR="00C64D38" w:rsidRPr="004676F5" w:rsidRDefault="00C64D38" w:rsidP="00C64D38">
      <w:pPr>
        <w:jc w:val="both"/>
        <w:rPr>
          <w:lang w:val="de-DE"/>
        </w:rPr>
      </w:pPr>
    </w:p>
    <w:p w14:paraId="3F53F770" w14:textId="77777777" w:rsidR="00C64D38" w:rsidRPr="004676F5" w:rsidRDefault="00C64D38" w:rsidP="00C64D38">
      <w:pPr>
        <w:jc w:val="both"/>
        <w:rPr>
          <w:lang w:val="de-DE"/>
        </w:rPr>
      </w:pPr>
      <w:r w:rsidRPr="004676F5">
        <w:rPr>
          <w:lang w:val="de-DE"/>
        </w:rPr>
        <w:tab/>
        <w:t>4. die in § 1 erwähnte Frist, innerhalb deren die Schuld gezahlt werden muss, bevor in Artikel XIX.4 erwähnte Kosten, Zinsen und Entschädigungen gefordert werden dürfen.</w:t>
      </w:r>
    </w:p>
    <w:p w14:paraId="13484A20" w14:textId="77777777" w:rsidR="00C64D38" w:rsidRPr="004676F5" w:rsidRDefault="00C64D38" w:rsidP="00C64D38">
      <w:pPr>
        <w:jc w:val="both"/>
        <w:rPr>
          <w:lang w:val="de-DE"/>
        </w:rPr>
      </w:pPr>
    </w:p>
    <w:p w14:paraId="57505736" w14:textId="77777777" w:rsidR="00C64D38" w:rsidRPr="004676F5" w:rsidRDefault="00C64D38" w:rsidP="00C64D38">
      <w:pPr>
        <w:jc w:val="both"/>
        <w:rPr>
          <w:lang w:val="de-DE"/>
        </w:rPr>
      </w:pPr>
      <w:r w:rsidRPr="004676F5">
        <w:rPr>
          <w:lang w:val="de-DE"/>
        </w:rPr>
        <w:tab/>
        <w:t>§ 4 ­ Wenn der Verbraucher seine Schuld bei Ablauf der in § 1 erwähnten Frist von vierzehn Kalendertagen nicht gezahlt hat und eine Entschädigungsklausel anwendbar ist, die Verzugszinsen wie in Artikel XIX.4 Absatz 1 Nr. 1 erwähnt vorsieht, kann das Unternehmen, das ein KMB ist, beschließen, die Verzugszinsen ab dem Kalendertag nach dem Tag, an dem die Erinnerung an den Verbraucher versandt worden ist, laufen zu lassen.</w:t>
      </w:r>
    </w:p>
    <w:p w14:paraId="402E8530" w14:textId="77777777" w:rsidR="00C64D38" w:rsidRPr="004676F5" w:rsidRDefault="00C64D38" w:rsidP="00C64D38">
      <w:pPr>
        <w:jc w:val="both"/>
        <w:rPr>
          <w:lang w:val="de-DE"/>
        </w:rPr>
      </w:pPr>
    </w:p>
    <w:p w14:paraId="53B862B8" w14:textId="77777777" w:rsidR="00C64D38" w:rsidRPr="004676F5" w:rsidRDefault="00C64D38" w:rsidP="00C64D38">
      <w:pPr>
        <w:jc w:val="both"/>
        <w:rPr>
          <w:lang w:val="de-DE"/>
        </w:rPr>
      </w:pPr>
      <w:r w:rsidRPr="004676F5">
        <w:rPr>
          <w:lang w:val="de-DE"/>
        </w:rPr>
        <w:tab/>
        <w:t>Ein KMB ist jedes Unternehmen, das zum Zeitpunkt der Anwendung des vorliegenden Artikels die in Artikel 1:24 § 1 des Gesetzbuches der Gesellschaften und Vereinigungen festgelegten Kriterien erfüllt.</w:t>
      </w:r>
    </w:p>
    <w:p w14:paraId="63B01657" w14:textId="77777777" w:rsidR="00C64D38" w:rsidRPr="004676F5" w:rsidRDefault="00C64D38" w:rsidP="00C64D38">
      <w:pPr>
        <w:jc w:val="both"/>
        <w:rPr>
          <w:lang w:val="de-DE"/>
        </w:rPr>
      </w:pPr>
    </w:p>
    <w:p w14:paraId="7555FE37" w14:textId="77777777" w:rsidR="00C64D38" w:rsidRPr="004676F5" w:rsidRDefault="00C64D38" w:rsidP="00C64D38">
      <w:pPr>
        <w:jc w:val="both"/>
        <w:rPr>
          <w:lang w:val="de-DE"/>
        </w:rPr>
      </w:pPr>
      <w:r w:rsidRPr="004676F5">
        <w:rPr>
          <w:lang w:val="de-DE"/>
        </w:rPr>
        <w:tab/>
        <w:t>§ 5 ­ Die Beweislast für die Erfüllung der in vorliegendem Artikel erwähnten Verpflichtungen obliegt dem Unternehmen.</w:t>
      </w:r>
    </w:p>
    <w:p w14:paraId="7F06726C" w14:textId="77777777" w:rsidR="00C64D38" w:rsidRPr="004676F5" w:rsidRDefault="00C64D38" w:rsidP="00C64D38">
      <w:pPr>
        <w:jc w:val="both"/>
        <w:rPr>
          <w:lang w:val="de-DE"/>
        </w:rPr>
      </w:pPr>
    </w:p>
    <w:p w14:paraId="35608F8C" w14:textId="77777777" w:rsidR="00C64D38" w:rsidRPr="004676F5" w:rsidRDefault="00C64D38" w:rsidP="00C64D38">
      <w:pPr>
        <w:jc w:val="both"/>
        <w:rPr>
          <w:lang w:val="de-DE"/>
        </w:rPr>
      </w:pPr>
      <w:r w:rsidRPr="004676F5">
        <w:rPr>
          <w:lang w:val="de-DE"/>
        </w:rPr>
        <w:tab/>
        <w:t>§ 6 ­ Klauseln, die von der Erfüllung der in vorliegendem Artikel erwähnten vorherigen Formvorschriften befreien, sind verboten und nichtig.</w:t>
      </w:r>
    </w:p>
    <w:p w14:paraId="546FC081" w14:textId="77777777" w:rsidR="00C64D38" w:rsidRPr="004676F5" w:rsidRDefault="00C64D38" w:rsidP="00C64D38">
      <w:pPr>
        <w:jc w:val="both"/>
        <w:rPr>
          <w:lang w:val="de-DE"/>
        </w:rPr>
      </w:pPr>
    </w:p>
    <w:p w14:paraId="5E38FC1D" w14:textId="31031AC0" w:rsidR="00C64D38" w:rsidRPr="004676F5" w:rsidRDefault="00C64D38" w:rsidP="00C64D38">
      <w:pPr>
        <w:jc w:val="both"/>
        <w:rPr>
          <w:lang w:val="de-DE"/>
        </w:rPr>
      </w:pPr>
      <w:r w:rsidRPr="004676F5">
        <w:rPr>
          <w:lang w:val="de-DE"/>
        </w:rPr>
        <w:tab/>
      </w:r>
      <w:r w:rsidRPr="004676F5">
        <w:rPr>
          <w:b/>
          <w:bCs/>
          <w:lang w:val="de-DE"/>
        </w:rPr>
        <w:t>Art. XIX.3</w:t>
      </w:r>
      <w:r w:rsidRPr="004676F5">
        <w:rPr>
          <w:lang w:val="de-DE"/>
        </w:rPr>
        <w:t> </w:t>
      </w:r>
      <w:r w:rsidR="005B7A5C" w:rsidRPr="004676F5">
        <w:rPr>
          <w:lang w:val="de-DE"/>
        </w:rPr>
        <w:t>- </w:t>
      </w:r>
      <w:r w:rsidRPr="004676F5">
        <w:rPr>
          <w:lang w:val="de-DE"/>
        </w:rPr>
        <w:t>Auf Ersuchen des Verbrauchers stellt das Unternehmen unverzüglich auf einem dauerhaften Träger alle Belege für die Schuld und alle Informationen darüber, wie die Schuld bestritten werden kann, zur Verfügung.</w:t>
      </w:r>
    </w:p>
    <w:p w14:paraId="4B2CC9EA" w14:textId="77777777" w:rsidR="00C64D38" w:rsidRPr="004676F5" w:rsidRDefault="00C64D38" w:rsidP="00C64D38">
      <w:pPr>
        <w:jc w:val="both"/>
        <w:rPr>
          <w:lang w:val="de-DE"/>
        </w:rPr>
      </w:pPr>
    </w:p>
    <w:p w14:paraId="74B1CDF5" w14:textId="77777777" w:rsidR="00C64D38" w:rsidRPr="004676F5" w:rsidRDefault="00C64D38" w:rsidP="00C64D38">
      <w:pPr>
        <w:jc w:val="both"/>
        <w:rPr>
          <w:lang w:val="de-DE"/>
        </w:rPr>
      </w:pPr>
    </w:p>
    <w:p w14:paraId="104AE6A2" w14:textId="77777777" w:rsidR="00C64D38" w:rsidRPr="004676F5" w:rsidRDefault="00C64D38" w:rsidP="00C64D38">
      <w:pPr>
        <w:jc w:val="center"/>
        <w:rPr>
          <w:lang w:val="de-DE"/>
        </w:rPr>
      </w:pPr>
      <w:r w:rsidRPr="004676F5">
        <w:rPr>
          <w:lang w:val="de-DE"/>
        </w:rPr>
        <w:t xml:space="preserve">KAPITEL 3 ­ </w:t>
      </w:r>
      <w:r w:rsidRPr="004676F5">
        <w:rPr>
          <w:i/>
          <w:lang w:val="de-DE"/>
        </w:rPr>
        <w:t>Entschädigungsklauseln</w:t>
      </w:r>
    </w:p>
    <w:p w14:paraId="247E996A" w14:textId="77777777" w:rsidR="00C64D38" w:rsidRPr="004676F5" w:rsidRDefault="00C64D38" w:rsidP="00C64D38">
      <w:pPr>
        <w:jc w:val="both"/>
        <w:rPr>
          <w:lang w:val="de-DE"/>
        </w:rPr>
      </w:pPr>
    </w:p>
    <w:p w14:paraId="31A09144" w14:textId="77777777" w:rsidR="00C64D38" w:rsidRPr="004676F5" w:rsidRDefault="00C64D38" w:rsidP="00C64D38">
      <w:pPr>
        <w:jc w:val="both"/>
        <w:rPr>
          <w:lang w:val="de-DE"/>
        </w:rPr>
      </w:pPr>
    </w:p>
    <w:p w14:paraId="27D032B4" w14:textId="51C2C7EF" w:rsidR="00C64D38" w:rsidRPr="004676F5" w:rsidRDefault="00C64D38" w:rsidP="00C64D38">
      <w:pPr>
        <w:jc w:val="both"/>
        <w:rPr>
          <w:lang w:val="de-DE"/>
        </w:rPr>
      </w:pPr>
      <w:r w:rsidRPr="004676F5">
        <w:rPr>
          <w:lang w:val="de-DE"/>
        </w:rPr>
        <w:tab/>
      </w:r>
      <w:r w:rsidRPr="004676F5">
        <w:rPr>
          <w:b/>
          <w:bCs/>
          <w:lang w:val="de-DE"/>
        </w:rPr>
        <w:t>Art. XIX.4</w:t>
      </w:r>
      <w:r w:rsidRPr="004676F5">
        <w:rPr>
          <w:lang w:val="de-DE"/>
        </w:rPr>
        <w:t> </w:t>
      </w:r>
      <w:r w:rsidR="005B7A5C" w:rsidRPr="004676F5">
        <w:rPr>
          <w:lang w:val="de-DE"/>
        </w:rPr>
        <w:t>- </w:t>
      </w:r>
      <w:r w:rsidRPr="004676F5">
        <w:rPr>
          <w:lang w:val="de-DE"/>
        </w:rPr>
        <w:t>Bei vollständiger oder teilweiser Nichtzahlung der Schuld bei Ablauf der in Artikel XIX.2 § 1 erwähnten Frist können beim Verbraucher keine anderen als die nachstehenden Zahlungen gefordert werden:</w:t>
      </w:r>
    </w:p>
    <w:p w14:paraId="7935E9E5" w14:textId="77777777" w:rsidR="00C64D38" w:rsidRPr="004676F5" w:rsidRDefault="00C64D38" w:rsidP="00C64D38">
      <w:pPr>
        <w:jc w:val="both"/>
        <w:rPr>
          <w:lang w:val="de-DE"/>
        </w:rPr>
      </w:pPr>
    </w:p>
    <w:p w14:paraId="245AF379" w14:textId="77777777" w:rsidR="00C64D38" w:rsidRPr="004676F5" w:rsidRDefault="00C64D38" w:rsidP="00C64D38">
      <w:pPr>
        <w:jc w:val="both"/>
        <w:rPr>
          <w:lang w:val="de-DE"/>
        </w:rPr>
      </w:pPr>
      <w:r w:rsidRPr="004676F5">
        <w:rPr>
          <w:lang w:val="de-DE"/>
        </w:rPr>
        <w:tab/>
        <w:t>1. Verzugszinsen, die die in Artikel 5 Absatz 2 des Gesetzes vom 2. August 2002 zur Bekämpfung von Zahlungsverzug im Geschäftsverkehr erwähnten Zinsen zum Bezugszinssatz zuzüglich acht Prozentpunkten nicht übersteigen dürfen. Diese Zinsen werden auf den noch zu zahlenden Betrag berechnet; und/oder</w:t>
      </w:r>
    </w:p>
    <w:p w14:paraId="503B3768" w14:textId="77777777" w:rsidR="00C64D38" w:rsidRPr="004676F5" w:rsidRDefault="00C64D38" w:rsidP="00C64D38">
      <w:pPr>
        <w:jc w:val="both"/>
        <w:rPr>
          <w:lang w:val="de-DE"/>
        </w:rPr>
      </w:pPr>
    </w:p>
    <w:p w14:paraId="0AC97171" w14:textId="77777777" w:rsidR="00C64D38" w:rsidRPr="004676F5" w:rsidRDefault="00C64D38" w:rsidP="00C64D38">
      <w:pPr>
        <w:jc w:val="both"/>
        <w:rPr>
          <w:lang w:val="de-DE"/>
        </w:rPr>
      </w:pPr>
      <w:r w:rsidRPr="004676F5">
        <w:rPr>
          <w:lang w:val="de-DE"/>
        </w:rPr>
        <w:tab/>
        <w:t>2. eine pauschale Entschädigung, sofern sie ausdrücklich vorgesehen ist, mit einem Höchstbetrag von:</w:t>
      </w:r>
    </w:p>
    <w:p w14:paraId="6D11BBAA" w14:textId="77777777" w:rsidR="00C64D38" w:rsidRPr="004676F5" w:rsidRDefault="00C64D38" w:rsidP="00C64D38">
      <w:pPr>
        <w:jc w:val="both"/>
        <w:rPr>
          <w:lang w:val="de-DE"/>
        </w:rPr>
      </w:pPr>
    </w:p>
    <w:p w14:paraId="5C594AC3" w14:textId="77777777" w:rsidR="00C64D38" w:rsidRPr="004676F5" w:rsidRDefault="00C64D38" w:rsidP="00C64D38">
      <w:pPr>
        <w:jc w:val="both"/>
        <w:rPr>
          <w:lang w:val="de-DE"/>
        </w:rPr>
      </w:pPr>
      <w:r w:rsidRPr="004676F5">
        <w:rPr>
          <w:lang w:val="de-DE"/>
        </w:rPr>
        <w:tab/>
      </w:r>
      <w:r w:rsidRPr="004676F5">
        <w:rPr>
          <w:i/>
          <w:lang w:val="de-DE"/>
        </w:rPr>
        <w:t>a)</w:t>
      </w:r>
      <w:r w:rsidRPr="004676F5">
        <w:rPr>
          <w:lang w:val="de-DE"/>
        </w:rPr>
        <w:t xml:space="preserve"> 20 EUR, wenn der noch geschuldete Betrag 150 EUR entspricht oder darunter liegt,</w:t>
      </w:r>
    </w:p>
    <w:p w14:paraId="68960B28" w14:textId="77777777" w:rsidR="00C64D38" w:rsidRPr="004676F5" w:rsidRDefault="00C64D38" w:rsidP="00C64D38">
      <w:pPr>
        <w:jc w:val="both"/>
        <w:rPr>
          <w:lang w:val="de-DE"/>
        </w:rPr>
      </w:pPr>
    </w:p>
    <w:p w14:paraId="5F36E215" w14:textId="77777777" w:rsidR="00C64D38" w:rsidRPr="004676F5" w:rsidRDefault="00C64D38" w:rsidP="00C64D38">
      <w:pPr>
        <w:jc w:val="both"/>
        <w:rPr>
          <w:lang w:val="de-DE"/>
        </w:rPr>
      </w:pPr>
      <w:r w:rsidRPr="004676F5">
        <w:rPr>
          <w:lang w:val="de-DE"/>
        </w:rPr>
        <w:tab/>
      </w:r>
      <w:r w:rsidRPr="004676F5">
        <w:rPr>
          <w:i/>
          <w:lang w:val="de-DE"/>
        </w:rPr>
        <w:t>b)</w:t>
      </w:r>
      <w:r w:rsidRPr="004676F5">
        <w:rPr>
          <w:lang w:val="de-DE"/>
        </w:rPr>
        <w:t xml:space="preserve"> 30 EUR zuzüglich 10 Prozent des geschuldeten Betrags in einer Spanne von 150,01 bis 500 EUR, wenn sich der noch geschuldete Betrag auf mindestens 150,01 und höchstens 500 EUR beläuft,</w:t>
      </w:r>
    </w:p>
    <w:p w14:paraId="578C36B0" w14:textId="77777777" w:rsidR="00C64D38" w:rsidRPr="004676F5" w:rsidRDefault="00C64D38" w:rsidP="00C64D38">
      <w:pPr>
        <w:jc w:val="both"/>
        <w:rPr>
          <w:lang w:val="de-DE"/>
        </w:rPr>
      </w:pPr>
    </w:p>
    <w:p w14:paraId="391AEFD4" w14:textId="77777777" w:rsidR="00C64D38" w:rsidRPr="004676F5" w:rsidRDefault="00C64D38" w:rsidP="00C64D38">
      <w:pPr>
        <w:jc w:val="both"/>
        <w:rPr>
          <w:lang w:val="de-DE"/>
        </w:rPr>
      </w:pPr>
      <w:r w:rsidRPr="004676F5">
        <w:rPr>
          <w:lang w:val="de-DE"/>
        </w:rPr>
        <w:lastRenderedPageBreak/>
        <w:tab/>
      </w:r>
      <w:r w:rsidRPr="004676F5">
        <w:rPr>
          <w:i/>
          <w:lang w:val="de-DE"/>
        </w:rPr>
        <w:t>c)</w:t>
      </w:r>
      <w:r w:rsidRPr="004676F5">
        <w:rPr>
          <w:lang w:val="de-DE"/>
        </w:rPr>
        <w:t xml:space="preserve"> 65 EUR zuzüglich 5 Prozent des geschuldeten Betrags in einer Spanne über 500 EUR bis zu einem Höchstbetrag von 2000 EUR, wenn der noch geschuldete Betrag über 500 EUR liegt.</w:t>
      </w:r>
    </w:p>
    <w:p w14:paraId="596F7573" w14:textId="77777777" w:rsidR="00C64D38" w:rsidRPr="004676F5" w:rsidRDefault="00C64D38" w:rsidP="00C64D38">
      <w:pPr>
        <w:jc w:val="both"/>
        <w:rPr>
          <w:lang w:val="de-DE"/>
        </w:rPr>
      </w:pPr>
    </w:p>
    <w:p w14:paraId="23F9AA06" w14:textId="77777777" w:rsidR="00C64D38" w:rsidRPr="004676F5" w:rsidRDefault="00C64D38" w:rsidP="00C64D38">
      <w:pPr>
        <w:jc w:val="both"/>
        <w:rPr>
          <w:lang w:val="de-DE"/>
        </w:rPr>
      </w:pPr>
      <w:r w:rsidRPr="004676F5">
        <w:rPr>
          <w:lang w:val="de-DE"/>
        </w:rPr>
        <w:tab/>
        <w:t>Die in Absatz 1 erwähnten Beträge sind dazu bestimmt, einerseits die Verzugszinsen in Bezug auf die Schuld und andererseits alle Kosten der gütlichen Beitreibung der nicht beglichenen Schuld pauschal zu decken.</w:t>
      </w:r>
    </w:p>
    <w:p w14:paraId="3BFC7B93" w14:textId="77777777" w:rsidR="00C64D38" w:rsidRPr="004676F5" w:rsidRDefault="00C64D38" w:rsidP="00C64D38">
      <w:pPr>
        <w:jc w:val="both"/>
        <w:rPr>
          <w:lang w:val="de-DE"/>
        </w:rPr>
      </w:pPr>
    </w:p>
    <w:p w14:paraId="601D969C" w14:textId="77777777" w:rsidR="00C64D38" w:rsidRPr="004676F5" w:rsidRDefault="00C64D38" w:rsidP="00C64D38">
      <w:pPr>
        <w:jc w:val="both"/>
        <w:rPr>
          <w:lang w:val="de-DE"/>
        </w:rPr>
      </w:pPr>
      <w:r w:rsidRPr="004676F5">
        <w:rPr>
          <w:lang w:val="de-DE"/>
        </w:rPr>
        <w:tab/>
        <w:t>Entschädigungsklauseln mit Beträgen, die nicht in Absatz 1 vorgesehen sind, sind nichtig und gelten als ungeschrieben.</w:t>
      </w:r>
    </w:p>
    <w:p w14:paraId="6A27C133" w14:textId="77777777" w:rsidR="00C64D38" w:rsidRPr="004676F5" w:rsidRDefault="00C64D38" w:rsidP="00C64D38">
      <w:pPr>
        <w:jc w:val="both"/>
        <w:rPr>
          <w:lang w:val="de-DE"/>
        </w:rPr>
      </w:pPr>
    </w:p>
    <w:p w14:paraId="122BBC43" w14:textId="77777777" w:rsidR="00C64D38" w:rsidRPr="004676F5" w:rsidRDefault="00C64D38" w:rsidP="00C64D38">
      <w:pPr>
        <w:jc w:val="both"/>
        <w:rPr>
          <w:lang w:val="de-DE"/>
        </w:rPr>
      </w:pPr>
      <w:r w:rsidRPr="004676F5">
        <w:rPr>
          <w:lang w:val="de-DE"/>
        </w:rPr>
        <w:tab/>
        <w:t>Vorliegender Artikel ist anwendbar unbeschadet von Artikel VI.83 Nr. 24.</w:t>
      </w:r>
    </w:p>
    <w:p w14:paraId="32E21E0C" w14:textId="77777777" w:rsidR="00C64D38" w:rsidRPr="004676F5" w:rsidRDefault="00C64D38" w:rsidP="00C64D38">
      <w:pPr>
        <w:jc w:val="both"/>
        <w:rPr>
          <w:lang w:val="de-DE"/>
        </w:rPr>
      </w:pPr>
    </w:p>
    <w:p w14:paraId="0B1EAF15" w14:textId="77777777" w:rsidR="00C64D38" w:rsidRPr="004676F5" w:rsidRDefault="00C64D38" w:rsidP="00C64D38">
      <w:pPr>
        <w:jc w:val="both"/>
        <w:rPr>
          <w:lang w:val="de-DE"/>
        </w:rPr>
      </w:pPr>
    </w:p>
    <w:p w14:paraId="3E0B1134" w14:textId="77777777" w:rsidR="00C64D38" w:rsidRPr="004676F5" w:rsidRDefault="00C64D38">
      <w:pPr>
        <w:rPr>
          <w:b/>
          <w:lang w:val="de-DE"/>
        </w:rPr>
      </w:pPr>
      <w:r w:rsidRPr="004676F5">
        <w:rPr>
          <w:b/>
          <w:lang w:val="de-DE"/>
        </w:rPr>
        <w:br w:type="page"/>
      </w:r>
    </w:p>
    <w:p w14:paraId="27A785AE" w14:textId="2CBE2E5F" w:rsidR="00C64D38" w:rsidRPr="004676F5" w:rsidRDefault="00C64D38" w:rsidP="00C64D38">
      <w:pPr>
        <w:jc w:val="center"/>
        <w:rPr>
          <w:b/>
          <w:bCs/>
          <w:i/>
          <w:iCs/>
          <w:lang w:val="de-DE"/>
        </w:rPr>
      </w:pPr>
      <w:r w:rsidRPr="004676F5">
        <w:rPr>
          <w:b/>
          <w:lang w:val="de-DE"/>
        </w:rPr>
        <w:lastRenderedPageBreak/>
        <w:t>TITEL 2</w:t>
      </w:r>
      <w:r w:rsidRPr="004676F5">
        <w:rPr>
          <w:b/>
          <w:bCs/>
          <w:lang w:val="de-DE"/>
        </w:rPr>
        <w:t> </w:t>
      </w:r>
      <w:r w:rsidR="005B7A5C" w:rsidRPr="004676F5">
        <w:rPr>
          <w:b/>
          <w:bCs/>
          <w:lang w:val="de-DE"/>
        </w:rPr>
        <w:t>- </w:t>
      </w:r>
      <w:r w:rsidRPr="004676F5">
        <w:rPr>
          <w:b/>
          <w:i/>
          <w:lang w:val="de-DE"/>
        </w:rPr>
        <w:t>Gütliche Beitreibung von Verbraucherschulden</w:t>
      </w:r>
    </w:p>
    <w:p w14:paraId="60C03D73" w14:textId="77777777" w:rsidR="00C64D38" w:rsidRPr="004676F5" w:rsidRDefault="00C64D38" w:rsidP="00C64D38">
      <w:pPr>
        <w:jc w:val="center"/>
        <w:rPr>
          <w:lang w:val="de-DE"/>
        </w:rPr>
      </w:pPr>
    </w:p>
    <w:p w14:paraId="78D247E1" w14:textId="7BECCAEB" w:rsidR="00C64D38" w:rsidRPr="004676F5" w:rsidRDefault="00C64D38" w:rsidP="00C64D38">
      <w:pPr>
        <w:jc w:val="both"/>
        <w:rPr>
          <w:i/>
          <w:iCs/>
          <w:lang w:val="de-DE"/>
        </w:rPr>
      </w:pPr>
    </w:p>
    <w:p w14:paraId="4A024B6E" w14:textId="523024E1" w:rsidR="00C64D38" w:rsidRPr="004676F5" w:rsidRDefault="00C64D38" w:rsidP="00C64D38">
      <w:pPr>
        <w:jc w:val="center"/>
        <w:rPr>
          <w:i/>
          <w:iCs/>
          <w:lang w:val="de-DE"/>
        </w:rPr>
      </w:pPr>
      <w:r w:rsidRPr="004676F5">
        <w:rPr>
          <w:lang w:val="de-DE"/>
        </w:rPr>
        <w:t>KAPITEL 1 </w:t>
      </w:r>
      <w:r w:rsidR="005B7A5C" w:rsidRPr="004676F5">
        <w:rPr>
          <w:lang w:val="de-DE"/>
        </w:rPr>
        <w:t>- </w:t>
      </w:r>
      <w:r w:rsidRPr="004676F5">
        <w:rPr>
          <w:i/>
          <w:lang w:val="de-DE"/>
        </w:rPr>
        <w:t>Gütliche Beitreibung von Verbraucherschulden</w:t>
      </w:r>
    </w:p>
    <w:p w14:paraId="55148EF4" w14:textId="77777777" w:rsidR="00C64D38" w:rsidRPr="004676F5" w:rsidRDefault="00C64D38" w:rsidP="00C64D38">
      <w:pPr>
        <w:jc w:val="both"/>
        <w:rPr>
          <w:lang w:val="de-DE"/>
        </w:rPr>
      </w:pPr>
    </w:p>
    <w:p w14:paraId="13E47D1C" w14:textId="77777777" w:rsidR="00C64D38" w:rsidRPr="004676F5" w:rsidRDefault="00C64D38" w:rsidP="00C64D38">
      <w:pPr>
        <w:jc w:val="both"/>
        <w:rPr>
          <w:lang w:val="de-DE"/>
        </w:rPr>
      </w:pPr>
    </w:p>
    <w:p w14:paraId="10BD183C" w14:textId="53024FCA" w:rsidR="00C64D38" w:rsidRPr="004676F5" w:rsidRDefault="00C64D38" w:rsidP="00C64D38">
      <w:pPr>
        <w:jc w:val="both"/>
        <w:rPr>
          <w:lang w:val="de-DE"/>
        </w:rPr>
      </w:pPr>
      <w:r w:rsidRPr="004676F5">
        <w:rPr>
          <w:lang w:val="de-DE"/>
        </w:rPr>
        <w:tab/>
      </w:r>
      <w:r w:rsidRPr="004676F5">
        <w:rPr>
          <w:b/>
          <w:bCs/>
          <w:lang w:val="de-DE"/>
        </w:rPr>
        <w:t>Art. XIX.5</w:t>
      </w:r>
      <w:r w:rsidRPr="004676F5">
        <w:rPr>
          <w:lang w:val="de-DE"/>
        </w:rPr>
        <w:t> </w:t>
      </w:r>
      <w:r w:rsidR="005B7A5C" w:rsidRPr="004676F5">
        <w:rPr>
          <w:lang w:val="de-DE"/>
        </w:rPr>
        <w:t>- </w:t>
      </w:r>
      <w:r w:rsidRPr="004676F5">
        <w:rPr>
          <w:lang w:val="de-DE"/>
        </w:rPr>
        <w:t>Unbeschadet der Artikel VI.92 bis VI.103 ist die gütliche Beitreibung von Schulden durch ein Unternehmen bei einer Person, die nicht der Schuldner ist, verboten.</w:t>
      </w:r>
    </w:p>
    <w:p w14:paraId="4157775C" w14:textId="77777777" w:rsidR="00C64D38" w:rsidRPr="004676F5" w:rsidRDefault="00C64D38" w:rsidP="00C64D38">
      <w:pPr>
        <w:jc w:val="center"/>
        <w:rPr>
          <w:lang w:val="de-DE"/>
        </w:rPr>
      </w:pPr>
    </w:p>
    <w:p w14:paraId="02919804" w14:textId="77777777" w:rsidR="00C64D38" w:rsidRPr="004676F5" w:rsidRDefault="00C64D38" w:rsidP="00C64D38">
      <w:pPr>
        <w:jc w:val="center"/>
        <w:rPr>
          <w:lang w:val="de-DE"/>
        </w:rPr>
      </w:pPr>
    </w:p>
    <w:p w14:paraId="538ADBCA" w14:textId="77777777" w:rsidR="00C64D38" w:rsidRPr="004676F5" w:rsidRDefault="00C64D38" w:rsidP="00C64D38">
      <w:pPr>
        <w:jc w:val="center"/>
        <w:rPr>
          <w:lang w:val="de-DE"/>
        </w:rPr>
      </w:pPr>
      <w:r w:rsidRPr="004676F5">
        <w:rPr>
          <w:lang w:val="de-DE"/>
        </w:rPr>
        <w:t xml:space="preserve">KAPITEL 2 ­ </w:t>
      </w:r>
      <w:r w:rsidRPr="004676F5">
        <w:rPr>
          <w:i/>
          <w:lang w:val="de-DE"/>
        </w:rPr>
        <w:t>Tätigkeit der gütlichen Beitreibung von Schulden</w:t>
      </w:r>
    </w:p>
    <w:p w14:paraId="111EA648" w14:textId="77777777" w:rsidR="00C64D38" w:rsidRPr="004676F5" w:rsidRDefault="00C64D38" w:rsidP="00C64D38">
      <w:pPr>
        <w:jc w:val="center"/>
        <w:rPr>
          <w:lang w:val="de-DE"/>
        </w:rPr>
      </w:pPr>
    </w:p>
    <w:p w14:paraId="539B9BB3" w14:textId="77777777" w:rsidR="00C64D38" w:rsidRPr="004676F5" w:rsidRDefault="00C64D38" w:rsidP="00C64D38">
      <w:pPr>
        <w:jc w:val="center"/>
        <w:rPr>
          <w:lang w:val="de-DE"/>
        </w:rPr>
      </w:pPr>
    </w:p>
    <w:p w14:paraId="5FDDE016" w14:textId="3514A881" w:rsidR="00C64D38" w:rsidRPr="004676F5" w:rsidRDefault="00C64D38" w:rsidP="00C64D38">
      <w:pPr>
        <w:jc w:val="center"/>
        <w:rPr>
          <w:lang w:val="de-DE"/>
        </w:rPr>
      </w:pPr>
      <w:r w:rsidRPr="004676F5">
        <w:rPr>
          <w:i/>
          <w:iCs/>
          <w:lang w:val="de-DE"/>
        </w:rPr>
        <w:t>Abschnitt 1</w:t>
      </w:r>
      <w:r w:rsidRPr="004676F5">
        <w:rPr>
          <w:lang w:val="de-DE"/>
        </w:rPr>
        <w:t> </w:t>
      </w:r>
      <w:r w:rsidR="005B7A5C" w:rsidRPr="004676F5">
        <w:rPr>
          <w:lang w:val="de-DE"/>
        </w:rPr>
        <w:t>- </w:t>
      </w:r>
      <w:r w:rsidRPr="004676F5">
        <w:rPr>
          <w:lang w:val="de-DE"/>
        </w:rPr>
        <w:t>Vorherige Eintragung</w:t>
      </w:r>
    </w:p>
    <w:p w14:paraId="5DEA9437" w14:textId="77777777" w:rsidR="00C64D38" w:rsidRPr="004676F5" w:rsidRDefault="00C64D38" w:rsidP="00C64D38">
      <w:pPr>
        <w:jc w:val="both"/>
        <w:rPr>
          <w:lang w:val="de-DE"/>
        </w:rPr>
      </w:pPr>
    </w:p>
    <w:p w14:paraId="0B44BC96" w14:textId="77777777" w:rsidR="00C64D38" w:rsidRPr="004676F5" w:rsidRDefault="00C64D38" w:rsidP="00C64D38">
      <w:pPr>
        <w:jc w:val="both"/>
        <w:rPr>
          <w:lang w:val="de-DE"/>
        </w:rPr>
      </w:pPr>
    </w:p>
    <w:p w14:paraId="0B44F539" w14:textId="3BA6AF09" w:rsidR="00C64D38" w:rsidRPr="004676F5" w:rsidRDefault="00C64D38" w:rsidP="00C64D38">
      <w:pPr>
        <w:jc w:val="both"/>
        <w:rPr>
          <w:lang w:val="de-DE"/>
        </w:rPr>
      </w:pPr>
      <w:r w:rsidRPr="004676F5">
        <w:rPr>
          <w:lang w:val="de-DE"/>
        </w:rPr>
        <w:tab/>
      </w:r>
      <w:r w:rsidRPr="004676F5">
        <w:rPr>
          <w:b/>
          <w:bCs/>
          <w:lang w:val="de-DE"/>
        </w:rPr>
        <w:t>Art. XIX.6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Keine Tätigkeit der gütlichen Beitreibung von Schulden darf ohne vorherige Eintragung beim FÖD Wirtschaft ausgeübt werden.</w:t>
      </w:r>
    </w:p>
    <w:p w14:paraId="6F804D1E" w14:textId="77777777" w:rsidR="00C64D38" w:rsidRPr="004676F5" w:rsidRDefault="00C64D38" w:rsidP="00C64D38">
      <w:pPr>
        <w:jc w:val="both"/>
        <w:rPr>
          <w:lang w:val="de-DE"/>
        </w:rPr>
      </w:pPr>
    </w:p>
    <w:p w14:paraId="281B67B1" w14:textId="77777777" w:rsidR="00C64D38" w:rsidRPr="004676F5" w:rsidRDefault="00C64D38" w:rsidP="00C64D38">
      <w:pPr>
        <w:jc w:val="both"/>
        <w:rPr>
          <w:lang w:val="de-DE"/>
        </w:rPr>
      </w:pPr>
      <w:r w:rsidRPr="004676F5">
        <w:rPr>
          <w:lang w:val="de-DE"/>
        </w:rPr>
        <w:tab/>
        <w:t>Rechtsanwälte, ministerielle Amtsträger oder gerichtliche Bevollmächtigte in Ausübung ihres Berufs oder ihres Amtes sind von dieser vorherigen Eintragung befreit.</w:t>
      </w:r>
    </w:p>
    <w:p w14:paraId="3E65CB71" w14:textId="77777777" w:rsidR="00C64D38" w:rsidRPr="004676F5" w:rsidRDefault="00C64D38" w:rsidP="00C64D38">
      <w:pPr>
        <w:jc w:val="both"/>
        <w:rPr>
          <w:lang w:val="de-DE"/>
        </w:rPr>
      </w:pPr>
    </w:p>
    <w:p w14:paraId="623A753B" w14:textId="77777777" w:rsidR="00C64D38" w:rsidRPr="004676F5" w:rsidRDefault="00C64D38" w:rsidP="00C64D38">
      <w:pPr>
        <w:jc w:val="both"/>
        <w:rPr>
          <w:lang w:val="de-DE"/>
        </w:rPr>
      </w:pPr>
      <w:r w:rsidRPr="004676F5">
        <w:rPr>
          <w:lang w:val="de-DE"/>
        </w:rPr>
        <w:tab/>
        <w:t>§ 2 ­ Der FÖD Wirtschaft sorgt als für die Verarbeitung Verantwortlicher dafür, dass die vorherige Eintragung so erfolgt, dass Vertraulichkeit, Integrität und Verfügbarkeit der durchgeführten Verarbeitungen gewährleistet sind.</w:t>
      </w:r>
    </w:p>
    <w:p w14:paraId="77B047B3" w14:textId="77777777" w:rsidR="00C64D38" w:rsidRPr="004676F5" w:rsidRDefault="00C64D38" w:rsidP="00C64D38">
      <w:pPr>
        <w:jc w:val="both"/>
        <w:rPr>
          <w:lang w:val="de-DE"/>
        </w:rPr>
      </w:pPr>
    </w:p>
    <w:p w14:paraId="40BB941D" w14:textId="77777777" w:rsidR="00C64D38" w:rsidRPr="004676F5" w:rsidRDefault="00C64D38" w:rsidP="00C64D38">
      <w:pPr>
        <w:jc w:val="both"/>
        <w:rPr>
          <w:lang w:val="de-DE"/>
        </w:rPr>
      </w:pPr>
      <w:r w:rsidRPr="004676F5">
        <w:rPr>
          <w:lang w:val="de-DE"/>
        </w:rPr>
        <w:tab/>
        <w:t>Im Rahmen des Antrags auf vorherige Eintragung verarbeitet der FÖD Wirtschaft folgende Kategorien von personenbezogenen Daten:</w:t>
      </w:r>
    </w:p>
    <w:p w14:paraId="772E0090" w14:textId="77777777" w:rsidR="00C64D38" w:rsidRPr="004676F5" w:rsidRDefault="00C64D38" w:rsidP="00C64D38">
      <w:pPr>
        <w:jc w:val="both"/>
        <w:rPr>
          <w:lang w:val="de-DE"/>
        </w:rPr>
      </w:pPr>
    </w:p>
    <w:p w14:paraId="3AD880F6" w14:textId="77777777" w:rsidR="00C64D38" w:rsidRPr="004676F5" w:rsidRDefault="00C64D38" w:rsidP="00C64D38">
      <w:pPr>
        <w:jc w:val="both"/>
        <w:rPr>
          <w:lang w:val="de-DE"/>
        </w:rPr>
      </w:pPr>
      <w:r w:rsidRPr="004676F5">
        <w:rPr>
          <w:lang w:val="de-DE"/>
        </w:rPr>
        <w:tab/>
        <w:t>1. gegebenenfalls die Erkennungsdaten von natürlichen Personen,</w:t>
      </w:r>
    </w:p>
    <w:p w14:paraId="1ED81F88" w14:textId="77777777" w:rsidR="00C64D38" w:rsidRPr="004676F5" w:rsidRDefault="00C64D38" w:rsidP="00C64D38">
      <w:pPr>
        <w:jc w:val="both"/>
        <w:rPr>
          <w:lang w:val="de-DE"/>
        </w:rPr>
      </w:pPr>
    </w:p>
    <w:p w14:paraId="643E66CA" w14:textId="77777777" w:rsidR="00C64D38" w:rsidRPr="004676F5" w:rsidRDefault="00C64D38" w:rsidP="00C64D38">
      <w:pPr>
        <w:jc w:val="both"/>
        <w:rPr>
          <w:lang w:val="de-DE"/>
        </w:rPr>
      </w:pPr>
      <w:r w:rsidRPr="004676F5">
        <w:rPr>
          <w:lang w:val="de-DE"/>
        </w:rPr>
        <w:tab/>
        <w:t>2. gegebenenfalls die zu Berufszwecken benutzte Telefonnummer und E-Mail-Adresse von natürlichen Personen,</w:t>
      </w:r>
    </w:p>
    <w:p w14:paraId="48FA510A" w14:textId="77777777" w:rsidR="00C64D38" w:rsidRPr="004676F5" w:rsidRDefault="00C64D38" w:rsidP="00C64D38">
      <w:pPr>
        <w:jc w:val="both"/>
        <w:rPr>
          <w:lang w:val="de-DE"/>
        </w:rPr>
      </w:pPr>
    </w:p>
    <w:p w14:paraId="4603B790" w14:textId="77777777" w:rsidR="00C64D38" w:rsidRPr="004676F5" w:rsidRDefault="00C64D38" w:rsidP="00C64D38">
      <w:pPr>
        <w:jc w:val="both"/>
        <w:rPr>
          <w:lang w:val="de-DE"/>
        </w:rPr>
      </w:pPr>
      <w:r w:rsidRPr="004676F5">
        <w:rPr>
          <w:lang w:val="de-DE"/>
        </w:rPr>
        <w:tab/>
        <w:t>3. einen gemäß Artikel 596 Absatz 1 des Strafprozessgesetzbuches ausgestellten Auszug aus dem Strafregister aller Verwalter, Geschäftsführer, Direktoren oder Bevollmächtigten des Unternehmens, anhand dessen überprüft werden kann, ob alle Verwalter, Geschäftsführer, Direktoren oder Bevollmächtigten des Unternehmens fähig sind, eine Tätigkeit der gütlichen Beitreibung von Schulden auszuüben, das heißt:</w:t>
      </w:r>
    </w:p>
    <w:p w14:paraId="17A5DB5E" w14:textId="77777777" w:rsidR="00C64D38" w:rsidRPr="004676F5" w:rsidRDefault="00C64D38" w:rsidP="00C64D38">
      <w:pPr>
        <w:jc w:val="both"/>
        <w:rPr>
          <w:lang w:val="de-DE"/>
        </w:rPr>
      </w:pPr>
    </w:p>
    <w:p w14:paraId="50DD66A3" w14:textId="77777777" w:rsidR="00C64D38" w:rsidRPr="004676F5" w:rsidRDefault="00C64D38" w:rsidP="00C64D38">
      <w:pPr>
        <w:jc w:val="both"/>
        <w:rPr>
          <w:lang w:val="de-DE"/>
        </w:rPr>
      </w:pPr>
      <w:r w:rsidRPr="004676F5">
        <w:rPr>
          <w:lang w:val="de-DE"/>
        </w:rPr>
        <w:tab/>
      </w:r>
      <w:r w:rsidRPr="004676F5">
        <w:rPr>
          <w:i/>
          <w:lang w:val="de-DE"/>
        </w:rPr>
        <w:t>a)</w:t>
      </w:r>
      <w:r w:rsidRPr="004676F5">
        <w:rPr>
          <w:lang w:val="de-DE"/>
        </w:rPr>
        <w:t xml:space="preserve"> Ihnen dürfen die zivilen und politischen Rechte nicht aberkannt sein oder aberkannt worden sein.</w:t>
      </w:r>
    </w:p>
    <w:p w14:paraId="58B74B9D" w14:textId="77777777" w:rsidR="00C64D38" w:rsidRPr="004676F5" w:rsidRDefault="00C64D38" w:rsidP="00C64D38">
      <w:pPr>
        <w:jc w:val="both"/>
        <w:rPr>
          <w:lang w:val="de-DE"/>
        </w:rPr>
      </w:pPr>
    </w:p>
    <w:p w14:paraId="0ADC9C0E" w14:textId="77777777" w:rsidR="00C64D38" w:rsidRPr="004676F5" w:rsidRDefault="00C64D38" w:rsidP="00C64D38">
      <w:pPr>
        <w:jc w:val="both"/>
        <w:rPr>
          <w:lang w:val="de-DE"/>
        </w:rPr>
      </w:pPr>
      <w:r w:rsidRPr="004676F5">
        <w:rPr>
          <w:lang w:val="de-DE"/>
        </w:rPr>
        <w:tab/>
      </w:r>
      <w:r w:rsidRPr="004676F5">
        <w:rPr>
          <w:i/>
          <w:lang w:val="de-DE"/>
        </w:rPr>
        <w:t>b)</w:t>
      </w:r>
      <w:r w:rsidRPr="004676F5">
        <w:rPr>
          <w:lang w:val="de-DE"/>
        </w:rPr>
        <w:t xml:space="preserve"> Sie dürfen sich nicht im Konkurs befinden und über sie darf nicht der Konkurs eröffnet worden sein, ohne dass sie rehabilitiert worden wären.</w:t>
      </w:r>
    </w:p>
    <w:p w14:paraId="4C5B8CA4" w14:textId="76EF3D8D" w:rsidR="008E796B" w:rsidRDefault="008E796B">
      <w:pPr>
        <w:rPr>
          <w:lang w:val="de-DE"/>
        </w:rPr>
      </w:pPr>
      <w:r>
        <w:rPr>
          <w:lang w:val="de-DE"/>
        </w:rPr>
        <w:br w:type="page"/>
      </w:r>
    </w:p>
    <w:p w14:paraId="531943D5" w14:textId="77777777" w:rsidR="00C64D38" w:rsidRPr="004676F5" w:rsidRDefault="00C64D38" w:rsidP="00C64D38">
      <w:pPr>
        <w:rPr>
          <w:lang w:val="de-DE"/>
        </w:rPr>
      </w:pPr>
    </w:p>
    <w:p w14:paraId="6F2F5B53" w14:textId="3D18C57C" w:rsidR="00C64D38" w:rsidRPr="004676F5" w:rsidRDefault="00C64D38" w:rsidP="00C64D38">
      <w:pPr>
        <w:jc w:val="both"/>
        <w:rPr>
          <w:lang w:val="de-DE"/>
        </w:rPr>
      </w:pPr>
      <w:r w:rsidRPr="004676F5">
        <w:rPr>
          <w:lang w:val="de-DE"/>
        </w:rPr>
        <w:tab/>
      </w:r>
      <w:r w:rsidRPr="004676F5">
        <w:rPr>
          <w:i/>
          <w:lang w:val="de-DE"/>
        </w:rPr>
        <w:t>c)</w:t>
      </w:r>
      <w:r w:rsidRPr="004676F5">
        <w:rPr>
          <w:lang w:val="de-DE"/>
        </w:rPr>
        <w:t xml:space="preserve"> Sie dürfen nicht zu einer </w:t>
      </w:r>
      <w:r w:rsidR="005B7A5C" w:rsidRPr="004676F5">
        <w:rPr>
          <w:lang w:val="de-DE"/>
        </w:rPr>
        <w:t>- </w:t>
      </w:r>
      <w:r w:rsidRPr="004676F5">
        <w:rPr>
          <w:lang w:val="de-DE"/>
        </w:rPr>
        <w:t xml:space="preserve">auch nur bedingten </w:t>
      </w:r>
      <w:r w:rsidR="005B7A5C" w:rsidRPr="004676F5">
        <w:rPr>
          <w:lang w:val="de-DE"/>
        </w:rPr>
        <w:t>- </w:t>
      </w:r>
      <w:r w:rsidRPr="004676F5">
        <w:rPr>
          <w:lang w:val="de-DE"/>
        </w:rPr>
        <w:t>Gefängnisstrafe von mindestens drei Monaten verurteilt worden sein auf der Grundlage folgender belgischer Vorschriften oder ausländischer Bestimmungen mit demselben Gegenstand:</w:t>
      </w:r>
    </w:p>
    <w:p w14:paraId="06CF60A3" w14:textId="77777777" w:rsidR="00C64D38" w:rsidRPr="004676F5" w:rsidRDefault="00C64D38" w:rsidP="00C64D38">
      <w:pPr>
        <w:jc w:val="both"/>
        <w:rPr>
          <w:lang w:val="de-DE"/>
        </w:rPr>
      </w:pPr>
    </w:p>
    <w:p w14:paraId="5CBB0CD4" w14:textId="77777777" w:rsidR="00C64D38" w:rsidRPr="004676F5" w:rsidRDefault="00C64D38" w:rsidP="00C64D38">
      <w:pPr>
        <w:jc w:val="both"/>
        <w:rPr>
          <w:lang w:val="de-DE"/>
        </w:rPr>
      </w:pPr>
      <w:r w:rsidRPr="004676F5">
        <w:rPr>
          <w:lang w:val="de-DE"/>
        </w:rPr>
        <w:tab/>
        <w:t>i. wegen eines Verstoßes gegen das Wirtschaftsgesetzbuch und seine Ausführungs</w:t>
      </w:r>
      <w:r w:rsidRPr="004676F5">
        <w:rPr>
          <w:lang w:val="de-DE"/>
        </w:rPr>
        <w:softHyphen/>
        <w:t>erlasse,</w:t>
      </w:r>
    </w:p>
    <w:p w14:paraId="0EE80306" w14:textId="77777777" w:rsidR="00C64D38" w:rsidRPr="004676F5" w:rsidRDefault="00C64D38" w:rsidP="00C64D38">
      <w:pPr>
        <w:jc w:val="both"/>
        <w:rPr>
          <w:lang w:val="de-DE"/>
        </w:rPr>
      </w:pPr>
    </w:p>
    <w:p w14:paraId="75C8C722" w14:textId="77777777" w:rsidR="00C64D38" w:rsidRPr="004676F5" w:rsidRDefault="00C64D38" w:rsidP="00C64D38">
      <w:pPr>
        <w:jc w:val="both"/>
        <w:rPr>
          <w:lang w:val="de-DE"/>
        </w:rPr>
      </w:pPr>
      <w:r w:rsidRPr="004676F5">
        <w:rPr>
          <w:lang w:val="de-DE"/>
        </w:rPr>
        <w:tab/>
        <w:t>ii. wegen eines Verstoßes gegen die steuerrechtlichen Vorschriften.</w:t>
      </w:r>
    </w:p>
    <w:p w14:paraId="328C47E8" w14:textId="77777777" w:rsidR="00C64D38" w:rsidRPr="004676F5" w:rsidRDefault="00C64D38" w:rsidP="00C64D38">
      <w:pPr>
        <w:jc w:val="both"/>
        <w:rPr>
          <w:lang w:val="de-DE"/>
        </w:rPr>
      </w:pPr>
    </w:p>
    <w:p w14:paraId="4AAF6021" w14:textId="77777777" w:rsidR="00C64D38" w:rsidRPr="004676F5" w:rsidRDefault="00C64D38" w:rsidP="00C64D38">
      <w:pPr>
        <w:jc w:val="both"/>
        <w:rPr>
          <w:lang w:val="de-DE"/>
        </w:rPr>
      </w:pPr>
      <w:r w:rsidRPr="004676F5">
        <w:rPr>
          <w:lang w:val="de-DE"/>
        </w:rPr>
        <w:tab/>
      </w:r>
      <w:r w:rsidRPr="004676F5">
        <w:rPr>
          <w:i/>
          <w:lang w:val="de-DE"/>
        </w:rPr>
        <w:t>d)</w:t>
      </w:r>
      <w:r w:rsidRPr="004676F5">
        <w:rPr>
          <w:lang w:val="de-DE"/>
        </w:rPr>
        <w:t xml:space="preserve"> Sie dürfen nicht zu einer Kriminalstrafe verurteilt worden sein.</w:t>
      </w:r>
    </w:p>
    <w:p w14:paraId="4507AB74" w14:textId="77777777" w:rsidR="00C64D38" w:rsidRPr="004676F5" w:rsidRDefault="00C64D38" w:rsidP="00C64D38">
      <w:pPr>
        <w:jc w:val="both"/>
        <w:rPr>
          <w:lang w:val="de-DE"/>
        </w:rPr>
      </w:pPr>
    </w:p>
    <w:p w14:paraId="52495655" w14:textId="77777777" w:rsidR="00C64D38" w:rsidRPr="004676F5" w:rsidRDefault="00C64D38" w:rsidP="00C64D38">
      <w:pPr>
        <w:jc w:val="both"/>
        <w:rPr>
          <w:lang w:val="de-DE"/>
        </w:rPr>
      </w:pPr>
      <w:r w:rsidRPr="004676F5">
        <w:rPr>
          <w:lang w:val="de-DE"/>
        </w:rPr>
        <w:tab/>
      </w:r>
      <w:r w:rsidRPr="004676F5">
        <w:rPr>
          <w:i/>
          <w:lang w:val="de-DE"/>
        </w:rPr>
        <w:t>e)</w:t>
      </w:r>
      <w:r w:rsidRPr="004676F5">
        <w:rPr>
          <w:lang w:val="de-DE"/>
        </w:rPr>
        <w:t xml:space="preserve"> Sie dürfen nicht wegen eines Verstoßes gegen die Artikel 140, 140</w:t>
      </w:r>
      <w:r w:rsidRPr="004676F5">
        <w:rPr>
          <w:i/>
          <w:iCs/>
          <w:lang w:val="de-DE"/>
        </w:rPr>
        <w:t>septies</w:t>
      </w:r>
      <w:r w:rsidRPr="004676F5">
        <w:rPr>
          <w:lang w:val="de-DE"/>
        </w:rPr>
        <w:t>, 141 oder 505 Absatz 1 Nr. 2, 3 und 4 des Strafgesetzbuches oder ausländische Bestimmungen mit demselben Gegenstand verurteilt worden sein.</w:t>
      </w:r>
    </w:p>
    <w:p w14:paraId="6281E8DF" w14:textId="77777777" w:rsidR="00C64D38" w:rsidRPr="004676F5" w:rsidRDefault="00C64D38" w:rsidP="00C64D38">
      <w:pPr>
        <w:jc w:val="both"/>
        <w:rPr>
          <w:lang w:val="de-DE"/>
        </w:rPr>
      </w:pPr>
    </w:p>
    <w:p w14:paraId="2CCFA5BA" w14:textId="77777777" w:rsidR="00C64D38" w:rsidRPr="004676F5" w:rsidRDefault="00C64D38" w:rsidP="00C64D38">
      <w:pPr>
        <w:jc w:val="both"/>
        <w:rPr>
          <w:lang w:val="de-DE"/>
        </w:rPr>
      </w:pPr>
      <w:r w:rsidRPr="004676F5">
        <w:rPr>
          <w:lang w:val="de-DE"/>
        </w:rPr>
        <w:tab/>
      </w:r>
      <w:r w:rsidRPr="004676F5">
        <w:rPr>
          <w:i/>
          <w:iCs/>
          <w:lang w:val="de-DE"/>
        </w:rPr>
        <w:t>f)</w:t>
      </w:r>
      <w:r w:rsidRPr="004676F5">
        <w:rPr>
          <w:lang w:val="de-DE"/>
        </w:rPr>
        <w:t xml:space="preserve"> Sie dürfen nicht zu einer strafrechtlichen Geldbuße wegen eines Verstoßes gegen das Gesetz vom 18. September 2017 zur Verhinderung von Geldwäsche und Terrorismus</w:t>
      </w:r>
      <w:r w:rsidRPr="004676F5">
        <w:rPr>
          <w:lang w:val="de-DE"/>
        </w:rPr>
        <w:softHyphen/>
        <w:t>finanzierung und zur Beschränkung der Nutzung von Bargeld und seine Ausführungserlasse oder ausländische Bestimmungen mit demselben Gegenstand verurteilt worden sein.</w:t>
      </w:r>
    </w:p>
    <w:p w14:paraId="3515ADEF" w14:textId="77777777" w:rsidR="00C64D38" w:rsidRPr="004676F5" w:rsidRDefault="00C64D38" w:rsidP="00C64D38">
      <w:pPr>
        <w:jc w:val="both"/>
        <w:rPr>
          <w:lang w:val="de-DE"/>
        </w:rPr>
      </w:pPr>
    </w:p>
    <w:p w14:paraId="1BBE69BE" w14:textId="77777777" w:rsidR="00C64D38" w:rsidRPr="004676F5" w:rsidRDefault="00C64D38" w:rsidP="00C64D38">
      <w:pPr>
        <w:jc w:val="both"/>
        <w:rPr>
          <w:lang w:val="de-DE"/>
        </w:rPr>
      </w:pPr>
      <w:r w:rsidRPr="004676F5">
        <w:rPr>
          <w:lang w:val="de-DE"/>
        </w:rPr>
        <w:tab/>
        <w:t>Personenbezogene Daten über strafrechtliche Verurteilungen dürfen nur unter der Kontrolle der öffentlichen Behörde und unter Berücksichtigung geeigneter Garantien für die Rechte und Freiheiten der betroffenen Personen verarbeitet werden. Darüber hinaus dürfen personenbezogene Daten nur im Rahmen der vorherigen Eintragung im Hinblick auf die Ausübung einer Tätigkeit der gütlichen Beitreibung von Schulden und der Streichung dieser Eintragung verarbeitet werden. Diese Daten werden Dritten nicht mitgeteilt.</w:t>
      </w:r>
    </w:p>
    <w:p w14:paraId="72EB4F2C" w14:textId="77777777" w:rsidR="00C64D38" w:rsidRPr="004676F5" w:rsidRDefault="00C64D38" w:rsidP="00C64D38">
      <w:pPr>
        <w:jc w:val="both"/>
        <w:rPr>
          <w:lang w:val="de-DE"/>
        </w:rPr>
      </w:pPr>
    </w:p>
    <w:p w14:paraId="4849512E" w14:textId="77777777" w:rsidR="00C64D38" w:rsidRPr="004676F5" w:rsidRDefault="00C64D38" w:rsidP="00C64D38">
      <w:pPr>
        <w:jc w:val="both"/>
        <w:rPr>
          <w:lang w:val="de-DE"/>
        </w:rPr>
      </w:pPr>
      <w:r w:rsidRPr="004676F5">
        <w:rPr>
          <w:lang w:val="de-DE"/>
        </w:rPr>
        <w:tab/>
        <w:t>Die Daten werden vom FÖD Wirtschaft im Hinblick auf die Erfüllung einer gesetzlichen Verpflichtung zu folgenden Zwecken verarbeitet:</w:t>
      </w:r>
    </w:p>
    <w:p w14:paraId="3FBC37D7" w14:textId="77777777" w:rsidR="00C64D38" w:rsidRPr="004676F5" w:rsidRDefault="00C64D38" w:rsidP="00C64D38">
      <w:pPr>
        <w:jc w:val="both"/>
        <w:rPr>
          <w:lang w:val="de-DE"/>
        </w:rPr>
      </w:pPr>
    </w:p>
    <w:p w14:paraId="32B6FCB0" w14:textId="77777777" w:rsidR="00C64D38" w:rsidRPr="004676F5" w:rsidRDefault="00C64D38" w:rsidP="00C64D38">
      <w:pPr>
        <w:jc w:val="both"/>
        <w:rPr>
          <w:lang w:val="de-DE"/>
        </w:rPr>
      </w:pPr>
      <w:r w:rsidRPr="004676F5">
        <w:rPr>
          <w:lang w:val="de-DE"/>
        </w:rPr>
        <w:tab/>
        <w:t>1. Identifizierung natürlicher und juristischer Personen, die eine Tätigkeit der gütlichen Beitreibung von Schulden ausüben möchten,</w:t>
      </w:r>
    </w:p>
    <w:p w14:paraId="3108ADA7" w14:textId="77777777" w:rsidR="00C64D38" w:rsidRPr="004676F5" w:rsidRDefault="00C64D38" w:rsidP="00C64D38">
      <w:pPr>
        <w:jc w:val="both"/>
        <w:rPr>
          <w:lang w:val="de-DE"/>
        </w:rPr>
      </w:pPr>
    </w:p>
    <w:p w14:paraId="34FA9E9C" w14:textId="77777777" w:rsidR="00C64D38" w:rsidRPr="004676F5" w:rsidRDefault="00C64D38" w:rsidP="00C64D38">
      <w:pPr>
        <w:jc w:val="both"/>
        <w:rPr>
          <w:lang w:val="de-DE"/>
        </w:rPr>
      </w:pPr>
      <w:r w:rsidRPr="004676F5">
        <w:rPr>
          <w:lang w:val="de-DE"/>
        </w:rPr>
        <w:tab/>
        <w:t>2. Überprüfung, ob diese natürlichen und juristischen Personen über die notwendigen Fähigkeiten verfügen, um eine Tätigkeit der gütlichen Beitreibung von Schulden ausüben zu können,</w:t>
      </w:r>
    </w:p>
    <w:p w14:paraId="0DA39054" w14:textId="77777777" w:rsidR="00C64D38" w:rsidRPr="004676F5" w:rsidRDefault="00C64D38" w:rsidP="00C64D38">
      <w:pPr>
        <w:jc w:val="both"/>
        <w:rPr>
          <w:lang w:val="de-DE"/>
        </w:rPr>
      </w:pPr>
    </w:p>
    <w:p w14:paraId="56E4AF32" w14:textId="77777777" w:rsidR="00C64D38" w:rsidRPr="004676F5" w:rsidRDefault="00C64D38" w:rsidP="00C64D38">
      <w:pPr>
        <w:jc w:val="both"/>
        <w:rPr>
          <w:lang w:val="de-DE"/>
        </w:rPr>
      </w:pPr>
      <w:r w:rsidRPr="004676F5">
        <w:rPr>
          <w:lang w:val="de-DE"/>
        </w:rPr>
        <w:tab/>
        <w:t>3. Bearbeitung des Antrags auf vorherige Eintragung und der Streichung dieser Eintragung.</w:t>
      </w:r>
    </w:p>
    <w:p w14:paraId="1E21F259" w14:textId="77777777" w:rsidR="00C64D38" w:rsidRPr="004676F5" w:rsidRDefault="00C64D38" w:rsidP="00C64D38">
      <w:pPr>
        <w:jc w:val="both"/>
        <w:rPr>
          <w:lang w:val="de-DE"/>
        </w:rPr>
      </w:pPr>
    </w:p>
    <w:p w14:paraId="175B0A5D" w14:textId="77777777" w:rsidR="00C64D38" w:rsidRPr="004676F5" w:rsidRDefault="00C64D38" w:rsidP="00C64D38">
      <w:pPr>
        <w:jc w:val="both"/>
        <w:rPr>
          <w:lang w:val="de-DE"/>
        </w:rPr>
      </w:pPr>
      <w:r w:rsidRPr="004676F5">
        <w:rPr>
          <w:lang w:val="de-DE"/>
        </w:rPr>
        <w:tab/>
        <w:t>§ 3 ­ Die vom FÖD Wirtschaft verarbeiteten personenbezogenen Daten werden so lange aufbewahrt, wie es für die Erfüllung der Zwecke durch oder aufgrund des vorliegenden Buches erforderlich ist, und höchstens drei Jahre ab der Streichung der Eintragung.</w:t>
      </w:r>
    </w:p>
    <w:p w14:paraId="1AA956F2" w14:textId="77777777" w:rsidR="00C64D38" w:rsidRPr="004676F5" w:rsidRDefault="00C64D38" w:rsidP="00C64D38">
      <w:pPr>
        <w:jc w:val="both"/>
        <w:rPr>
          <w:lang w:val="de-DE"/>
        </w:rPr>
      </w:pPr>
    </w:p>
    <w:p w14:paraId="6D794E7D" w14:textId="77777777" w:rsidR="00C64D38" w:rsidRPr="004676F5" w:rsidRDefault="00C64D38" w:rsidP="00C64D38">
      <w:pPr>
        <w:jc w:val="both"/>
        <w:rPr>
          <w:lang w:val="de-DE"/>
        </w:rPr>
      </w:pPr>
      <w:r w:rsidRPr="004676F5">
        <w:rPr>
          <w:lang w:val="de-DE"/>
        </w:rPr>
        <w:tab/>
        <w:t xml:space="preserve">In Abweichung von Absatz 1 werden personenbezogene Daten des Auszugs aus dem Strafregister von Verwaltern, Geschäftsführern, Direktoren oder Bevollmächtigten des Unternehmens höchstens drei Jahre ab der Sammlung dieser Daten aufbewahrt. Wenn der FÖD Wirtschaft es für notwendig erachtet, kann alle drei Jahre ein neuer Auszug aus dem Strafregister der Verwalter, Geschäftsführer, Direktoren oder Bevollmächtigten des </w:t>
      </w:r>
      <w:r w:rsidRPr="004676F5">
        <w:rPr>
          <w:lang w:val="de-DE"/>
        </w:rPr>
        <w:lastRenderedPageBreak/>
        <w:t>Unternehmens, dessen Eintragung im Rahmen der gütlichen Beitreibung von Schulden aufrechterhalten wird, gefordert werden.</w:t>
      </w:r>
    </w:p>
    <w:p w14:paraId="61C503AD" w14:textId="77777777" w:rsidR="00C64D38" w:rsidRPr="004676F5" w:rsidRDefault="00C64D38" w:rsidP="00C64D38">
      <w:pPr>
        <w:jc w:val="both"/>
        <w:rPr>
          <w:lang w:val="de-DE"/>
        </w:rPr>
      </w:pPr>
    </w:p>
    <w:p w14:paraId="5E2ADDD6" w14:textId="77777777" w:rsidR="00C64D38" w:rsidRPr="004676F5" w:rsidRDefault="00C64D38" w:rsidP="00C64D38">
      <w:pPr>
        <w:jc w:val="both"/>
        <w:rPr>
          <w:lang w:val="de-DE"/>
        </w:rPr>
      </w:pPr>
      <w:r w:rsidRPr="004676F5">
        <w:rPr>
          <w:lang w:val="de-DE"/>
        </w:rPr>
        <w:tab/>
        <w:t>§ 4 ­ Das Unternehmen, das eine Tätigkeit der gütlichen Beitreibung von Schulden ausüben möchte, reicht beim FÖD Wirtschaft gemäß den vom König festgelegten Bedingungen und Modalitäten einen Eintragungsantrag auf elektronischem Wege ein und fügt seinem Antrag eine Akte mit mindestens folgenden Informationen und Unterlagen bei:</w:t>
      </w:r>
    </w:p>
    <w:p w14:paraId="2D8D3A5A" w14:textId="77777777" w:rsidR="00C64D38" w:rsidRPr="004676F5" w:rsidRDefault="00C64D38" w:rsidP="00C64D38">
      <w:pPr>
        <w:jc w:val="both"/>
        <w:rPr>
          <w:lang w:val="de-DE"/>
        </w:rPr>
      </w:pPr>
    </w:p>
    <w:p w14:paraId="1E045FD8" w14:textId="77777777" w:rsidR="00C64D38" w:rsidRPr="004676F5" w:rsidRDefault="00C64D38" w:rsidP="00C64D38">
      <w:pPr>
        <w:jc w:val="both"/>
        <w:rPr>
          <w:lang w:val="de-DE"/>
        </w:rPr>
      </w:pPr>
      <w:r w:rsidRPr="004676F5">
        <w:rPr>
          <w:lang w:val="de-DE"/>
        </w:rPr>
        <w:tab/>
        <w:t>1. seine Erkennungsdaten und seine Unternehmensnummer,</w:t>
      </w:r>
    </w:p>
    <w:p w14:paraId="28DDB072" w14:textId="77777777" w:rsidR="00C64D38" w:rsidRPr="004676F5" w:rsidRDefault="00C64D38" w:rsidP="00C64D38">
      <w:pPr>
        <w:jc w:val="both"/>
        <w:rPr>
          <w:lang w:val="de-DE"/>
        </w:rPr>
      </w:pPr>
    </w:p>
    <w:p w14:paraId="5BC6CA1F" w14:textId="77777777" w:rsidR="00C64D38" w:rsidRPr="004676F5" w:rsidRDefault="00C64D38" w:rsidP="00C64D38">
      <w:pPr>
        <w:jc w:val="both"/>
        <w:rPr>
          <w:lang w:val="de-DE"/>
        </w:rPr>
      </w:pPr>
      <w:r w:rsidRPr="004676F5">
        <w:rPr>
          <w:lang w:val="de-DE"/>
        </w:rPr>
        <w:tab/>
        <w:t>2. seine zu beruflichen Zwecken benutzte Telefonnummer und eine zu beruflichen Zwecken benutzte E-Mail-Adresse, an die die Bediensteten des FÖD Wirtschaft all ihre Mitteilungen richten können,</w:t>
      </w:r>
    </w:p>
    <w:p w14:paraId="7444F6C1" w14:textId="77777777" w:rsidR="00C64D38" w:rsidRPr="004676F5" w:rsidRDefault="00C64D38" w:rsidP="00C64D38">
      <w:pPr>
        <w:jc w:val="both"/>
        <w:rPr>
          <w:lang w:val="de-DE"/>
        </w:rPr>
      </w:pPr>
    </w:p>
    <w:p w14:paraId="14BB2EBF" w14:textId="77777777" w:rsidR="00C64D38" w:rsidRPr="004676F5" w:rsidRDefault="00C64D38" w:rsidP="00C64D38">
      <w:pPr>
        <w:jc w:val="both"/>
        <w:rPr>
          <w:lang w:val="de-DE"/>
        </w:rPr>
      </w:pPr>
      <w:r w:rsidRPr="004676F5">
        <w:rPr>
          <w:lang w:val="de-DE"/>
        </w:rPr>
        <w:tab/>
        <w:t>3. den Nachweis, dass das Unternehmen in der Zentralen Datenbank der Unternehmen oder, wenn es in einem anderen Mitgliedstaat der Europäischen Union ansässig ist, in einem vergleichbaren Register eingetragen ist, das die Identifizierung des Schuldenbeitreibers und der natürlichen und juristischen Personen, die für das Unternehmen handeln können, ermöglicht,</w:t>
      </w:r>
    </w:p>
    <w:p w14:paraId="6BFD06C3" w14:textId="77777777" w:rsidR="00C64D38" w:rsidRPr="004676F5" w:rsidRDefault="00C64D38" w:rsidP="00C64D38">
      <w:pPr>
        <w:jc w:val="both"/>
        <w:rPr>
          <w:lang w:val="de-DE"/>
        </w:rPr>
      </w:pPr>
    </w:p>
    <w:p w14:paraId="64F95B94" w14:textId="77777777" w:rsidR="00C64D38" w:rsidRPr="004676F5" w:rsidRDefault="00C64D38" w:rsidP="00C64D38">
      <w:pPr>
        <w:jc w:val="both"/>
        <w:rPr>
          <w:lang w:val="de-DE"/>
        </w:rPr>
      </w:pPr>
      <w:r w:rsidRPr="004676F5">
        <w:rPr>
          <w:lang w:val="de-DE"/>
        </w:rPr>
        <w:tab/>
        <w:t>4. einen gemäß Artikel 596 Absatz 1 des Strafprozessgesetzbuches ausgestellten, für eine öffentliche Verwaltung bestimmten Auszug aus dem Strafregister aller Verwalter, Geschäftsführer, Direktoren oder Bevollmächtigten des Unternehmens oder ein gleichwertiges im Ausland ausgestelltes Dokument, das nicht älter als drei Monate ist,</w:t>
      </w:r>
    </w:p>
    <w:p w14:paraId="4D3B169B" w14:textId="77777777" w:rsidR="00C64D38" w:rsidRPr="004676F5" w:rsidRDefault="00C64D38" w:rsidP="00C64D38">
      <w:pPr>
        <w:jc w:val="both"/>
        <w:rPr>
          <w:lang w:val="de-DE"/>
        </w:rPr>
      </w:pPr>
    </w:p>
    <w:p w14:paraId="6EDF09FA" w14:textId="77777777" w:rsidR="00C64D38" w:rsidRPr="004676F5" w:rsidRDefault="00C64D38" w:rsidP="00C64D38">
      <w:pPr>
        <w:jc w:val="both"/>
        <w:rPr>
          <w:lang w:val="de-DE"/>
        </w:rPr>
      </w:pPr>
      <w:r w:rsidRPr="004676F5">
        <w:rPr>
          <w:lang w:val="de-DE"/>
        </w:rPr>
        <w:tab/>
        <w:t>5. eine von einem Versicherungsunternehmen ausgestellte Bescheinigung, mit der nachgewiesen wird, dass das Unternehmen einen Versicherungsvertrag abgeschlossen hat, der seine Berufshaftpflicht gemäß den vom König festgelegten Bedingungen deckt. In dieser Bescheinigung, die in einer der Landessprachen Belgiens oder in Englisch erstellt ist, sind insbesondere Unternehmensnummer und Name des Versicherungsunternehmens, Nummer des Versicherungsvertrags und Datum des Beginns und des Endes des Versicherungsschutzes angegeben.</w:t>
      </w:r>
    </w:p>
    <w:p w14:paraId="7D8EBB92" w14:textId="77777777" w:rsidR="00C64D38" w:rsidRPr="004676F5" w:rsidRDefault="00C64D38" w:rsidP="00C64D38">
      <w:pPr>
        <w:jc w:val="both"/>
        <w:rPr>
          <w:lang w:val="de-DE"/>
        </w:rPr>
      </w:pPr>
    </w:p>
    <w:p w14:paraId="67BEC4B3" w14:textId="77777777" w:rsidR="00C64D38" w:rsidRPr="004676F5" w:rsidRDefault="00C64D38" w:rsidP="00C64D38">
      <w:pPr>
        <w:jc w:val="both"/>
        <w:rPr>
          <w:lang w:val="de-DE"/>
        </w:rPr>
      </w:pPr>
      <w:r w:rsidRPr="004676F5">
        <w:rPr>
          <w:lang w:val="de-DE"/>
        </w:rPr>
        <w:tab/>
        <w:t>Der FÖD Wirtschaft erstellt die Liste der eingetragenen Unternehmen, die die in vorliegendem Artikel erwähnten Bedingungen erfüllen, und veröffentlicht diese Liste auf seiner Website.</w:t>
      </w:r>
    </w:p>
    <w:p w14:paraId="1C8D0030" w14:textId="77777777" w:rsidR="00C64D38" w:rsidRPr="004676F5" w:rsidRDefault="00C64D38" w:rsidP="00C64D38">
      <w:pPr>
        <w:jc w:val="both"/>
        <w:rPr>
          <w:lang w:val="de-DE"/>
        </w:rPr>
      </w:pPr>
    </w:p>
    <w:p w14:paraId="684D0043" w14:textId="77777777" w:rsidR="00C64D38" w:rsidRPr="004676F5" w:rsidRDefault="00C64D38" w:rsidP="00C64D38">
      <w:pPr>
        <w:jc w:val="both"/>
        <w:rPr>
          <w:lang w:val="de-DE"/>
        </w:rPr>
      </w:pPr>
      <w:r w:rsidRPr="004676F5">
        <w:rPr>
          <w:lang w:val="de-DE"/>
        </w:rPr>
        <w:tab/>
        <w:t>Der König legt zusätzliche Bedingungen und Modalitäten für die vorherige Eintragung beim FÖD Wirtschaft fest.</w:t>
      </w:r>
    </w:p>
    <w:p w14:paraId="6D0FE779" w14:textId="77777777" w:rsidR="00C64D38" w:rsidRPr="004676F5" w:rsidRDefault="00C64D38" w:rsidP="00C64D38">
      <w:pPr>
        <w:jc w:val="both"/>
        <w:rPr>
          <w:lang w:val="de-DE"/>
        </w:rPr>
      </w:pPr>
    </w:p>
    <w:p w14:paraId="163004B2" w14:textId="77777777" w:rsidR="00C64D38" w:rsidRPr="004676F5" w:rsidRDefault="00C64D38" w:rsidP="00C64D38">
      <w:pPr>
        <w:jc w:val="both"/>
        <w:rPr>
          <w:lang w:val="de-DE"/>
        </w:rPr>
      </w:pPr>
      <w:r w:rsidRPr="004676F5">
        <w:rPr>
          <w:lang w:val="de-DE"/>
        </w:rPr>
        <w:tab/>
        <w:t>Der König kann ebenfalls zusätzliche Bedingungen und Modalitäten für die vorherige Eintragung von Unternehmen, die in einem Drittland ansässig sind, festlegen.</w:t>
      </w:r>
    </w:p>
    <w:p w14:paraId="4B30DE54" w14:textId="77777777" w:rsidR="00C64D38" w:rsidRPr="004676F5" w:rsidRDefault="00C64D38" w:rsidP="00C64D38">
      <w:pPr>
        <w:jc w:val="both"/>
        <w:rPr>
          <w:lang w:val="de-DE"/>
        </w:rPr>
      </w:pPr>
    </w:p>
    <w:p w14:paraId="0C4846D0" w14:textId="77777777" w:rsidR="00C64D38" w:rsidRPr="004676F5" w:rsidRDefault="00C64D38" w:rsidP="00C64D38">
      <w:pPr>
        <w:jc w:val="both"/>
        <w:rPr>
          <w:lang w:val="de-DE"/>
        </w:rPr>
      </w:pPr>
    </w:p>
    <w:p w14:paraId="2CCE292A" w14:textId="5D167608" w:rsidR="00C64D38" w:rsidRPr="004676F5" w:rsidRDefault="00C64D38" w:rsidP="00C64D38">
      <w:pPr>
        <w:jc w:val="center"/>
        <w:rPr>
          <w:lang w:val="de-DE"/>
        </w:rPr>
      </w:pPr>
      <w:r w:rsidRPr="004676F5">
        <w:rPr>
          <w:i/>
          <w:iCs/>
          <w:lang w:val="de-DE"/>
        </w:rPr>
        <w:t>Abschnitt 2</w:t>
      </w:r>
      <w:r w:rsidRPr="004676F5">
        <w:rPr>
          <w:lang w:val="de-DE"/>
        </w:rPr>
        <w:t> </w:t>
      </w:r>
      <w:r w:rsidR="005B7A5C" w:rsidRPr="004676F5">
        <w:rPr>
          <w:lang w:val="de-DE"/>
        </w:rPr>
        <w:t>- </w:t>
      </w:r>
      <w:r w:rsidRPr="004676F5">
        <w:rPr>
          <w:lang w:val="de-DE"/>
        </w:rPr>
        <w:t>Modalitäten für die Ausübung der Tätigkeit der gütlichen Beitreibung von Schulden</w:t>
      </w:r>
    </w:p>
    <w:p w14:paraId="7C0DF244" w14:textId="77777777" w:rsidR="00C64D38" w:rsidRPr="004676F5" w:rsidRDefault="00C64D38" w:rsidP="00C64D38">
      <w:pPr>
        <w:jc w:val="both"/>
        <w:rPr>
          <w:lang w:val="de-DE"/>
        </w:rPr>
      </w:pPr>
    </w:p>
    <w:p w14:paraId="35E47D0F" w14:textId="77777777" w:rsidR="00C64D38" w:rsidRPr="004676F5" w:rsidRDefault="00C64D38" w:rsidP="00C64D38">
      <w:pPr>
        <w:jc w:val="both"/>
        <w:rPr>
          <w:lang w:val="de-DE"/>
        </w:rPr>
      </w:pPr>
    </w:p>
    <w:p w14:paraId="3E141BE1" w14:textId="50D87451" w:rsidR="00C64D38" w:rsidRPr="004676F5" w:rsidRDefault="00C64D38" w:rsidP="00C64D38">
      <w:pPr>
        <w:jc w:val="both"/>
        <w:rPr>
          <w:lang w:val="de-DE"/>
        </w:rPr>
      </w:pPr>
      <w:r w:rsidRPr="004676F5">
        <w:rPr>
          <w:lang w:val="de-DE"/>
        </w:rPr>
        <w:tab/>
      </w:r>
      <w:r w:rsidRPr="004676F5">
        <w:rPr>
          <w:b/>
          <w:bCs/>
          <w:lang w:val="de-DE"/>
        </w:rPr>
        <w:t>Art. XIX.7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Jede Tätigkeit der gütlichen Beitreibung von Schulden beginnt damit, dass der Schuldenbeitreiber die Einhaltung von Artikel XIX.4 in Bezug auf die beim Verbraucher geforderten Beträge kontrolliert.</w:t>
      </w:r>
    </w:p>
    <w:p w14:paraId="247E6646" w14:textId="77777777" w:rsidR="00C64D38" w:rsidRPr="004676F5" w:rsidRDefault="00C64D38" w:rsidP="00C64D38">
      <w:pPr>
        <w:jc w:val="both"/>
        <w:rPr>
          <w:lang w:val="de-DE"/>
        </w:rPr>
      </w:pPr>
    </w:p>
    <w:p w14:paraId="2026559C" w14:textId="77777777" w:rsidR="00C64D38" w:rsidRPr="004676F5" w:rsidRDefault="00C64D38" w:rsidP="00C64D38">
      <w:pPr>
        <w:jc w:val="both"/>
        <w:rPr>
          <w:lang w:val="de-DE"/>
        </w:rPr>
      </w:pPr>
      <w:r w:rsidRPr="004676F5">
        <w:rPr>
          <w:lang w:val="de-DE"/>
        </w:rPr>
        <w:tab/>
        <w:t>Keine Inverzugsetzung darf an den Verbraucher gerichtet werden, wenn der Schuldenbeitreiber feststellt, dass Artikel XIX.4 nicht eingehalten worden ist.</w:t>
      </w:r>
    </w:p>
    <w:p w14:paraId="79AF14C4" w14:textId="77777777" w:rsidR="00C64D38" w:rsidRPr="004676F5" w:rsidRDefault="00C64D38" w:rsidP="00C64D38">
      <w:pPr>
        <w:jc w:val="both"/>
        <w:rPr>
          <w:lang w:val="de-DE"/>
        </w:rPr>
      </w:pPr>
    </w:p>
    <w:p w14:paraId="4CBC8DE7" w14:textId="77777777" w:rsidR="00C64D38" w:rsidRPr="004676F5" w:rsidRDefault="00C64D38" w:rsidP="00C64D38">
      <w:pPr>
        <w:jc w:val="both"/>
        <w:rPr>
          <w:lang w:val="de-DE"/>
        </w:rPr>
      </w:pPr>
      <w:r w:rsidRPr="004676F5">
        <w:rPr>
          <w:lang w:val="de-DE"/>
        </w:rPr>
        <w:tab/>
        <w:t>§ 2 ­ Unbeschadet der Artikel XIX.8 und XIX.9 dürfen keine Maßnahmen oder Handlungen zur gütlichen Beitreibung vorgenommen werden, bevor der Verbraucher in Verzug gesetzt worden ist.</w:t>
      </w:r>
    </w:p>
    <w:p w14:paraId="789CA391" w14:textId="77777777" w:rsidR="00C64D38" w:rsidRPr="004676F5" w:rsidRDefault="00C64D38" w:rsidP="00C64D38">
      <w:pPr>
        <w:jc w:val="both"/>
        <w:rPr>
          <w:lang w:val="de-DE"/>
        </w:rPr>
      </w:pPr>
    </w:p>
    <w:p w14:paraId="2C3BEAE9" w14:textId="77777777" w:rsidR="00C64D38" w:rsidRPr="004676F5" w:rsidRDefault="00C64D38" w:rsidP="00C64D38">
      <w:pPr>
        <w:jc w:val="both"/>
        <w:rPr>
          <w:lang w:val="de-DE"/>
        </w:rPr>
      </w:pPr>
      <w:r w:rsidRPr="004676F5">
        <w:rPr>
          <w:lang w:val="de-DE"/>
        </w:rPr>
        <w:tab/>
        <w:t>Die Inverzugsetzung, die an den Verbraucher auf einem dauerhaften Träger gerichtet wird und klar und verständlich abgefasst ist, enthält mindestens folgende Angaben:</w:t>
      </w:r>
    </w:p>
    <w:p w14:paraId="11AFC297" w14:textId="77777777" w:rsidR="00C64D38" w:rsidRPr="004676F5" w:rsidRDefault="00C64D38" w:rsidP="00C64D38">
      <w:pPr>
        <w:jc w:val="both"/>
        <w:rPr>
          <w:lang w:val="de-DE"/>
        </w:rPr>
      </w:pPr>
    </w:p>
    <w:p w14:paraId="1EC8DB72" w14:textId="77777777" w:rsidR="00C64D38" w:rsidRPr="004676F5" w:rsidRDefault="00C64D38" w:rsidP="00C64D38">
      <w:pPr>
        <w:jc w:val="both"/>
        <w:rPr>
          <w:lang w:val="de-DE"/>
        </w:rPr>
      </w:pPr>
      <w:r w:rsidRPr="004676F5">
        <w:rPr>
          <w:lang w:val="de-DE"/>
        </w:rPr>
        <w:tab/>
        <w:t>1. Identität, Unternehmensnummer, Adresse, Telefonnummer, Eigenschaft und mögliche E-Mail-Adresse des ursprünglichen Gläubigers. Bei einer Forderungsabtretung werden ebenfalls die Kontaktdaten des neuen Gläubigers angegeben,</w:t>
      </w:r>
    </w:p>
    <w:p w14:paraId="1A976DEC" w14:textId="77777777" w:rsidR="00C64D38" w:rsidRPr="004676F5" w:rsidRDefault="00C64D38" w:rsidP="00C64D38">
      <w:pPr>
        <w:jc w:val="both"/>
        <w:rPr>
          <w:lang w:val="de-DE"/>
        </w:rPr>
      </w:pPr>
    </w:p>
    <w:p w14:paraId="3E60B17B" w14:textId="77777777" w:rsidR="00C64D38" w:rsidRPr="004676F5" w:rsidRDefault="00C64D38" w:rsidP="00C64D38">
      <w:pPr>
        <w:jc w:val="both"/>
        <w:rPr>
          <w:lang w:val="de-DE"/>
        </w:rPr>
      </w:pPr>
      <w:r w:rsidRPr="004676F5">
        <w:rPr>
          <w:lang w:val="de-DE"/>
        </w:rPr>
        <w:tab/>
        <w:t>2. Name oder Bezeichnung, Adresse, Unternehmensnummer und Kontaktdaten des Unternehmens, das die gütliche Beitreibung von Schulden durchführt, und Kontaktdaten der zuständigen Aufsichtsbehörde beim FÖD Wirtschaft,</w:t>
      </w:r>
    </w:p>
    <w:p w14:paraId="1E857EBF" w14:textId="77777777" w:rsidR="00C64D38" w:rsidRPr="004676F5" w:rsidRDefault="00C64D38" w:rsidP="00C64D38">
      <w:pPr>
        <w:jc w:val="both"/>
        <w:rPr>
          <w:lang w:val="de-DE"/>
        </w:rPr>
      </w:pPr>
    </w:p>
    <w:p w14:paraId="025C2EAC" w14:textId="77777777" w:rsidR="00C64D38" w:rsidRPr="004676F5" w:rsidRDefault="00C64D38" w:rsidP="00C64D38">
      <w:pPr>
        <w:jc w:val="both"/>
        <w:rPr>
          <w:lang w:val="de-DE"/>
        </w:rPr>
      </w:pPr>
      <w:r w:rsidRPr="004676F5">
        <w:rPr>
          <w:lang w:val="de-DE"/>
        </w:rPr>
        <w:tab/>
        <w:t>3. genaue Beschreibung des Produkts, durch das die Schuld entstanden ist, und Datum der Einforderbarkeit dieser Schuld,</w:t>
      </w:r>
    </w:p>
    <w:p w14:paraId="25772253" w14:textId="77777777" w:rsidR="00C64D38" w:rsidRPr="004676F5" w:rsidRDefault="00C64D38" w:rsidP="00C64D38">
      <w:pPr>
        <w:jc w:val="both"/>
        <w:rPr>
          <w:lang w:val="de-DE"/>
        </w:rPr>
      </w:pPr>
    </w:p>
    <w:p w14:paraId="666C9994" w14:textId="77777777" w:rsidR="00C64D38" w:rsidRPr="004676F5" w:rsidRDefault="00C64D38" w:rsidP="00C64D38">
      <w:pPr>
        <w:jc w:val="both"/>
        <w:rPr>
          <w:lang w:val="de-DE"/>
        </w:rPr>
      </w:pPr>
      <w:r w:rsidRPr="004676F5">
        <w:rPr>
          <w:lang w:val="de-DE"/>
        </w:rPr>
        <w:tab/>
        <w:t>4. genaue und detaillierte Beschreibung der Beträge, die gemäß den Artikeln XIX.4 und XIX.8 beim Schuldner gefordert werden,</w:t>
      </w:r>
    </w:p>
    <w:p w14:paraId="6F4CA1EC" w14:textId="77777777" w:rsidR="00C64D38" w:rsidRPr="004676F5" w:rsidRDefault="00C64D38" w:rsidP="00C64D38">
      <w:pPr>
        <w:jc w:val="both"/>
        <w:rPr>
          <w:lang w:val="de-DE"/>
        </w:rPr>
      </w:pPr>
    </w:p>
    <w:p w14:paraId="69ECCECC" w14:textId="77777777" w:rsidR="00C64D38" w:rsidRPr="004676F5" w:rsidRDefault="00C64D38" w:rsidP="00C64D38">
      <w:pPr>
        <w:jc w:val="both"/>
        <w:rPr>
          <w:lang w:val="de-DE"/>
        </w:rPr>
      </w:pPr>
      <w:r w:rsidRPr="004676F5">
        <w:rPr>
          <w:lang w:val="de-DE"/>
        </w:rPr>
        <w:tab/>
        <w:t>5. bei einer Beitreibung durch einen Rechtsanwalt, ministeriellen Amtsträger oder gerichtlichen Bevollmächtigten, folgenden Text in einem getrennten Absatz, fettgedruckt und in einer anderen Schriftart:</w:t>
      </w:r>
    </w:p>
    <w:p w14:paraId="3CC64FE3" w14:textId="77777777" w:rsidR="00C64D38" w:rsidRPr="004676F5" w:rsidRDefault="00C64D38" w:rsidP="00C64D38">
      <w:pPr>
        <w:jc w:val="both"/>
        <w:rPr>
          <w:lang w:val="de-DE"/>
        </w:rPr>
      </w:pPr>
    </w:p>
    <w:p w14:paraId="1EF380E6" w14:textId="77777777" w:rsidR="00C64D38" w:rsidRPr="004676F5" w:rsidRDefault="00C64D38" w:rsidP="00C64D38">
      <w:pPr>
        <w:jc w:val="both"/>
        <w:rPr>
          <w:lang w:val="de-DE"/>
        </w:rPr>
      </w:pPr>
      <w:r w:rsidRPr="004676F5">
        <w:rPr>
          <w:lang w:val="de-DE"/>
        </w:rPr>
        <w:tab/>
        <w:t>"Dieses Schreiben betrifft KEINE Ladung vor Gericht oder Sicherstellung. Es handelt sich nicht um ein Verfahren der gerichtlichen Beitreibung.",</w:t>
      </w:r>
    </w:p>
    <w:p w14:paraId="7EA4AB54" w14:textId="77777777" w:rsidR="00C64D38" w:rsidRPr="004676F5" w:rsidRDefault="00C64D38" w:rsidP="00C64D38">
      <w:pPr>
        <w:jc w:val="both"/>
        <w:rPr>
          <w:lang w:val="de-DE"/>
        </w:rPr>
      </w:pPr>
    </w:p>
    <w:p w14:paraId="0E4DA310" w14:textId="77777777" w:rsidR="00C64D38" w:rsidRPr="004676F5" w:rsidRDefault="00C64D38" w:rsidP="00C64D38">
      <w:pPr>
        <w:jc w:val="both"/>
        <w:rPr>
          <w:lang w:val="de-DE"/>
        </w:rPr>
      </w:pPr>
      <w:r w:rsidRPr="004676F5">
        <w:rPr>
          <w:lang w:val="de-DE"/>
        </w:rPr>
        <w:tab/>
        <w:t>6. Vermerk, dass der Verbraucher auf sein Ersuchen hin alle Belege für die Schuld erhalten kann,</w:t>
      </w:r>
    </w:p>
    <w:p w14:paraId="537565DE" w14:textId="77777777" w:rsidR="00C64D38" w:rsidRPr="004676F5" w:rsidRDefault="00C64D38" w:rsidP="00C64D38">
      <w:pPr>
        <w:jc w:val="both"/>
        <w:rPr>
          <w:lang w:val="de-DE"/>
        </w:rPr>
      </w:pPr>
    </w:p>
    <w:p w14:paraId="59D1D34F" w14:textId="77777777" w:rsidR="00C64D38" w:rsidRPr="004676F5" w:rsidRDefault="00C64D38" w:rsidP="00C64D38">
      <w:pPr>
        <w:jc w:val="both"/>
        <w:rPr>
          <w:lang w:val="de-DE"/>
        </w:rPr>
      </w:pPr>
      <w:r w:rsidRPr="004676F5">
        <w:rPr>
          <w:lang w:val="de-DE"/>
        </w:rPr>
        <w:tab/>
        <w:t>7. Angabe des Verfahrens, das zu befolgen ist, wenn der Verbraucher die Schuld bestreitet,</w:t>
      </w:r>
    </w:p>
    <w:p w14:paraId="61A4597C" w14:textId="77777777" w:rsidR="00C64D38" w:rsidRPr="004676F5" w:rsidRDefault="00C64D38" w:rsidP="00C64D38">
      <w:pPr>
        <w:jc w:val="both"/>
        <w:rPr>
          <w:lang w:val="de-DE"/>
        </w:rPr>
      </w:pPr>
    </w:p>
    <w:p w14:paraId="7909D770" w14:textId="77777777" w:rsidR="00C64D38" w:rsidRPr="004676F5" w:rsidRDefault="00C64D38" w:rsidP="00C64D38">
      <w:pPr>
        <w:jc w:val="both"/>
        <w:rPr>
          <w:lang w:val="de-DE"/>
        </w:rPr>
      </w:pPr>
      <w:r w:rsidRPr="004676F5">
        <w:rPr>
          <w:lang w:val="de-DE"/>
        </w:rPr>
        <w:tab/>
        <w:t>8. Vermerk, dass der Verbraucher Zahlungserleichterungen beantragen kann, wenn er nicht in der Lage ist, den geschuldeten Betrag in einem Mal zu zahlen,</w:t>
      </w:r>
    </w:p>
    <w:p w14:paraId="099AEB63" w14:textId="77777777" w:rsidR="00C64D38" w:rsidRPr="004676F5" w:rsidRDefault="00C64D38" w:rsidP="00C64D38">
      <w:pPr>
        <w:jc w:val="both"/>
        <w:rPr>
          <w:lang w:val="de-DE"/>
        </w:rPr>
      </w:pPr>
    </w:p>
    <w:p w14:paraId="1744E6A5" w14:textId="77777777" w:rsidR="00C64D38" w:rsidRPr="004676F5" w:rsidRDefault="00C64D38" w:rsidP="00C64D38">
      <w:pPr>
        <w:jc w:val="both"/>
        <w:rPr>
          <w:lang w:val="de-DE"/>
        </w:rPr>
      </w:pPr>
      <w:r w:rsidRPr="004676F5">
        <w:rPr>
          <w:lang w:val="de-DE"/>
        </w:rPr>
        <w:tab/>
        <w:t>9. Vermerk, dass bei fehlender Reaktion innerhalb der in Artikel XIX.9 § 1 festgelegten Frist andere Maßnahmen oder Handlungen zur gütlichen Beitreibung vorgenommen werden können.</w:t>
      </w:r>
    </w:p>
    <w:p w14:paraId="49510BD4" w14:textId="77777777" w:rsidR="00C64D38" w:rsidRPr="004676F5" w:rsidRDefault="00C64D38" w:rsidP="00C64D38">
      <w:pPr>
        <w:jc w:val="both"/>
        <w:rPr>
          <w:lang w:val="de-DE"/>
        </w:rPr>
      </w:pPr>
    </w:p>
    <w:p w14:paraId="6E781F64" w14:textId="77777777" w:rsidR="00C64D38" w:rsidRPr="004676F5" w:rsidRDefault="00C64D38" w:rsidP="00C64D38">
      <w:pPr>
        <w:jc w:val="both"/>
        <w:rPr>
          <w:lang w:val="de-DE"/>
        </w:rPr>
      </w:pPr>
    </w:p>
    <w:p w14:paraId="453F8D38" w14:textId="7D4CF3FE" w:rsidR="00C64D38" w:rsidRPr="004676F5" w:rsidRDefault="00C64D38" w:rsidP="00C64D38">
      <w:pPr>
        <w:jc w:val="both"/>
        <w:rPr>
          <w:lang w:val="de-DE"/>
        </w:rPr>
      </w:pPr>
      <w:r w:rsidRPr="004676F5">
        <w:rPr>
          <w:lang w:val="de-DE"/>
        </w:rPr>
        <w:tab/>
      </w:r>
      <w:r w:rsidRPr="004676F5">
        <w:rPr>
          <w:b/>
          <w:bCs/>
          <w:lang w:val="de-DE"/>
        </w:rPr>
        <w:t>Art. XIX.8</w:t>
      </w:r>
      <w:r w:rsidRPr="004676F5">
        <w:rPr>
          <w:lang w:val="de-DE"/>
        </w:rPr>
        <w:t> </w:t>
      </w:r>
      <w:r w:rsidR="005B7A5C" w:rsidRPr="004676F5">
        <w:rPr>
          <w:lang w:val="de-DE"/>
        </w:rPr>
        <w:t>- </w:t>
      </w:r>
      <w:r w:rsidRPr="004676F5">
        <w:rPr>
          <w:lang w:val="de-DE"/>
        </w:rPr>
        <w:t>Wenn keine Erinnerung gemäß Artikel XIX.2 erfolgt ist, können die in Artikel XIX.4 erwähnten Beträge erst nach Ablauf einer Frist von mindestens vierzehn Kalendertagen, die am dritten Werktag nach dem Tag beginnt, an dem die Erinnerung an den Verbraucher versandt worden ist, beim Verbraucher gefordert werden.</w:t>
      </w:r>
    </w:p>
    <w:p w14:paraId="321988F1" w14:textId="77777777" w:rsidR="00C64D38" w:rsidRPr="004676F5" w:rsidRDefault="00C64D38" w:rsidP="00C64D38">
      <w:pPr>
        <w:jc w:val="both"/>
        <w:rPr>
          <w:lang w:val="de-DE"/>
        </w:rPr>
      </w:pPr>
    </w:p>
    <w:p w14:paraId="18A75919" w14:textId="77777777" w:rsidR="00C64D38" w:rsidRPr="004676F5" w:rsidRDefault="00C64D38" w:rsidP="00C64D38">
      <w:pPr>
        <w:jc w:val="both"/>
        <w:rPr>
          <w:lang w:val="de-DE"/>
        </w:rPr>
      </w:pPr>
      <w:r w:rsidRPr="004676F5">
        <w:rPr>
          <w:lang w:val="de-DE"/>
        </w:rPr>
        <w:tab/>
        <w:t>Wird die Erinnerung auf elektronischem Wege versandt, beginnt die Frist von vierzehn Kalendertagen am Kalendertag nach dem Tag, an dem die Erinnerung an den Verbraucher versandt worden ist.</w:t>
      </w:r>
    </w:p>
    <w:p w14:paraId="6711DBDC" w14:textId="77777777" w:rsidR="00C64D38" w:rsidRPr="004676F5" w:rsidRDefault="00C64D38" w:rsidP="00C64D38">
      <w:pPr>
        <w:jc w:val="both"/>
        <w:rPr>
          <w:lang w:val="de-DE"/>
        </w:rPr>
      </w:pPr>
    </w:p>
    <w:p w14:paraId="332C8793" w14:textId="77777777" w:rsidR="00C64D38" w:rsidRPr="004676F5" w:rsidRDefault="00C64D38" w:rsidP="00C64D38">
      <w:pPr>
        <w:jc w:val="both"/>
        <w:rPr>
          <w:lang w:val="de-DE"/>
        </w:rPr>
      </w:pPr>
      <w:r w:rsidRPr="004676F5">
        <w:rPr>
          <w:lang w:val="de-DE"/>
        </w:rPr>
        <w:tab/>
        <w:t>Bei Nichtzahlung innerhalb der in Absatz 1 erwähnten Frist versendet der Schuldenbeitreiber die in Artikel XIX.7 § 2 erwähnte Inverzugsetzung.</w:t>
      </w:r>
    </w:p>
    <w:p w14:paraId="4E59E785" w14:textId="77777777" w:rsidR="00C64D38" w:rsidRPr="004676F5" w:rsidRDefault="00C64D38" w:rsidP="00C64D38">
      <w:pPr>
        <w:jc w:val="both"/>
        <w:rPr>
          <w:lang w:val="de-DE"/>
        </w:rPr>
      </w:pPr>
    </w:p>
    <w:p w14:paraId="2793B9FB" w14:textId="77777777" w:rsidR="00C64D38" w:rsidRPr="004676F5" w:rsidRDefault="00C64D38" w:rsidP="00C64D38">
      <w:pPr>
        <w:jc w:val="both"/>
        <w:rPr>
          <w:lang w:val="de-DE"/>
        </w:rPr>
      </w:pPr>
    </w:p>
    <w:p w14:paraId="6A13C057" w14:textId="0E851A9E" w:rsidR="00C64D38" w:rsidRPr="004676F5" w:rsidRDefault="00C64D38" w:rsidP="00C64D38">
      <w:pPr>
        <w:jc w:val="both"/>
        <w:rPr>
          <w:lang w:val="de-DE"/>
        </w:rPr>
      </w:pPr>
      <w:r w:rsidRPr="004676F5">
        <w:rPr>
          <w:lang w:val="de-DE"/>
        </w:rPr>
        <w:tab/>
      </w:r>
      <w:r w:rsidRPr="004676F5">
        <w:rPr>
          <w:b/>
          <w:bCs/>
          <w:lang w:val="de-DE"/>
        </w:rPr>
        <w:t>Art. XIX.9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Andere Maßnahmen oder Handlungen zur gütlichen Beitreibung dürfen erst nach Ablauf einer Frist von vierzehn Kalendertagen vorgenommen werden, die am dritten Werktag nach dem Tag beginnt, an dem die in Artikel XIX.7 § 2 erwähnte Inverzugsetzung an den Verbraucher versandt worden ist.</w:t>
      </w:r>
    </w:p>
    <w:p w14:paraId="12C6C072" w14:textId="77777777" w:rsidR="00C64D38" w:rsidRPr="004676F5" w:rsidRDefault="00C64D38" w:rsidP="00C64D38">
      <w:pPr>
        <w:jc w:val="both"/>
        <w:rPr>
          <w:lang w:val="de-DE"/>
        </w:rPr>
      </w:pPr>
    </w:p>
    <w:p w14:paraId="6DD18C09" w14:textId="77777777" w:rsidR="00C64D38" w:rsidRPr="004676F5" w:rsidRDefault="00C64D38" w:rsidP="00C64D38">
      <w:pPr>
        <w:jc w:val="both"/>
        <w:rPr>
          <w:lang w:val="de-DE"/>
        </w:rPr>
      </w:pPr>
      <w:r w:rsidRPr="004676F5">
        <w:rPr>
          <w:lang w:val="de-DE"/>
        </w:rPr>
        <w:tab/>
        <w:t>§ 2 ­ Hat der Verbraucher innerhalb der in § 1 erwähnten Frist einen Begleichungsplan beantragt, dürfen keine anderen Maßnahmen oder Handlungen zur gütlichen Beitreibung vorgenommen werden, bevor ein Beschluss über diesen Antrag gefasst worden ist.</w:t>
      </w:r>
    </w:p>
    <w:p w14:paraId="1AF61F12" w14:textId="77777777" w:rsidR="00C64D38" w:rsidRPr="004676F5" w:rsidRDefault="00C64D38" w:rsidP="00C64D38">
      <w:pPr>
        <w:jc w:val="both"/>
        <w:rPr>
          <w:lang w:val="de-DE"/>
        </w:rPr>
      </w:pPr>
    </w:p>
    <w:p w14:paraId="6F12BB4B" w14:textId="77777777" w:rsidR="00C64D38" w:rsidRPr="004676F5" w:rsidRDefault="00C64D38" w:rsidP="00C64D38">
      <w:pPr>
        <w:jc w:val="both"/>
        <w:rPr>
          <w:lang w:val="de-DE"/>
        </w:rPr>
      </w:pPr>
      <w:r w:rsidRPr="004676F5">
        <w:rPr>
          <w:lang w:val="de-DE"/>
        </w:rPr>
        <w:tab/>
        <w:t>Ist der in Absatz 1 erwähnte Beschluss nicht innerhalb einer Frist von dreißig Kalendertagen gefasst, die am ersten Werktag nach der Beantragung eines Begleichungsplans beginnt, hören die in der Entschädigungsklausel vorgesehenen Verzugszinsen bis zur Beschlussfassung auf zu laufen.</w:t>
      </w:r>
    </w:p>
    <w:p w14:paraId="3CA83092" w14:textId="77777777" w:rsidR="00C64D38" w:rsidRPr="004676F5" w:rsidRDefault="00C64D38" w:rsidP="00C64D38">
      <w:pPr>
        <w:jc w:val="both"/>
        <w:rPr>
          <w:lang w:val="de-DE"/>
        </w:rPr>
      </w:pPr>
    </w:p>
    <w:p w14:paraId="1B5C227D" w14:textId="77777777" w:rsidR="00C64D38" w:rsidRPr="004676F5" w:rsidRDefault="00C64D38" w:rsidP="00C64D38">
      <w:pPr>
        <w:jc w:val="both"/>
        <w:rPr>
          <w:lang w:val="de-DE"/>
        </w:rPr>
      </w:pPr>
      <w:r w:rsidRPr="004676F5">
        <w:rPr>
          <w:lang w:val="de-DE"/>
        </w:rPr>
        <w:tab/>
        <w:t>§ 3 ­ Hat der Verbraucher innerhalb der in § 1 erwähnten Frist einen Antrag auf Schuldenvermittlung bei einem gütlichen Schuldenvermittler eingeleitet oder ein Ersuchen um ein Verfahren der kollektiven Schuldenregelung durch eine Antragschrift eingeleitet, dürfen keine weiteren Maßnahmen oder Handlungen zur gütlichen Beitreibung vorgenommen werden, bevor ein Beschluss über seinen Antrag gefasst worden ist oder fünfundvierzig Kalendertage seit dem Antrag vergangen sind.</w:t>
      </w:r>
    </w:p>
    <w:p w14:paraId="38A3D9E5" w14:textId="77777777" w:rsidR="00C64D38" w:rsidRPr="004676F5" w:rsidRDefault="00C64D38" w:rsidP="00C64D38">
      <w:pPr>
        <w:jc w:val="both"/>
        <w:rPr>
          <w:lang w:val="de-DE"/>
        </w:rPr>
      </w:pPr>
    </w:p>
    <w:p w14:paraId="00EB00C9" w14:textId="77777777" w:rsidR="00C64D38" w:rsidRPr="004676F5" w:rsidRDefault="00C64D38" w:rsidP="00C64D38">
      <w:pPr>
        <w:jc w:val="both"/>
        <w:rPr>
          <w:lang w:val="de-DE"/>
        </w:rPr>
      </w:pPr>
      <w:r w:rsidRPr="004676F5">
        <w:rPr>
          <w:lang w:val="de-DE"/>
        </w:rPr>
        <w:tab/>
        <w:t>Die in Absatz 1 erwähnte Frist beginnt am ersten Werktag nach dem Datum der Einreichung des Antrags bei einem gütlichen Schuldenvermittler oder dem Datum der Hinterlegung einer Antragschrift gemäß Artikel 1675/4 des Gerichtsgesetzbuches.</w:t>
      </w:r>
    </w:p>
    <w:p w14:paraId="5289C349" w14:textId="77777777" w:rsidR="00C64D38" w:rsidRPr="004676F5" w:rsidRDefault="00C64D38" w:rsidP="00C64D38">
      <w:pPr>
        <w:jc w:val="both"/>
        <w:rPr>
          <w:lang w:val="de-DE"/>
        </w:rPr>
      </w:pPr>
    </w:p>
    <w:p w14:paraId="0A159E11" w14:textId="77777777" w:rsidR="00C64D38" w:rsidRPr="004676F5" w:rsidRDefault="00C64D38" w:rsidP="00C64D38">
      <w:pPr>
        <w:jc w:val="both"/>
        <w:rPr>
          <w:lang w:val="de-DE"/>
        </w:rPr>
      </w:pPr>
      <w:r w:rsidRPr="004676F5">
        <w:rPr>
          <w:lang w:val="de-DE"/>
        </w:rPr>
        <w:tab/>
        <w:t>Der Verbraucher informiert den Schuldenbeitreiber unverzüglich über das Datum seines Antrags auf gütliche Schuldenvermittlung oder seiner in Artikel 1675/4 des Gerichtsgesetzbuches erwähnten Antragschrift, über die Kontaktdaten des angerufenen Vermittlers und über den gefassten Beschluss, damit die Maßnahmen und Handlungen zur gütlichen Beitreibung gemäß Absatz 1 ausgesetzt werden können.</w:t>
      </w:r>
    </w:p>
    <w:p w14:paraId="7A5DA93F" w14:textId="77777777" w:rsidR="00C64D38" w:rsidRPr="004676F5" w:rsidRDefault="00C64D38" w:rsidP="00C64D38">
      <w:pPr>
        <w:jc w:val="both"/>
        <w:rPr>
          <w:lang w:val="de-DE"/>
        </w:rPr>
      </w:pPr>
    </w:p>
    <w:p w14:paraId="7632C321" w14:textId="77777777" w:rsidR="00C64D38" w:rsidRPr="004676F5" w:rsidRDefault="00C64D38" w:rsidP="00C64D38">
      <w:pPr>
        <w:jc w:val="both"/>
        <w:rPr>
          <w:lang w:val="de-DE"/>
        </w:rPr>
      </w:pPr>
      <w:r w:rsidRPr="004676F5">
        <w:rPr>
          <w:lang w:val="de-DE"/>
        </w:rPr>
        <w:tab/>
        <w:t>§ 4 ­ Bestreitet der Verbraucher seine Schuld auf mit Gründen versehene Weise gemäß Artikel XIX.7 § 2 Absatz 2 Nr. 7, dürfen keine anderen Maßnahmen oder Handlungen zur gütlichen Beitreibung vorgenommen werden, bevor ein Beschluss über diese Beanstandung gefasst worden ist.</w:t>
      </w:r>
    </w:p>
    <w:p w14:paraId="1474C2E6" w14:textId="77777777" w:rsidR="00C64D38" w:rsidRPr="004676F5" w:rsidRDefault="00C64D38" w:rsidP="00C64D38">
      <w:pPr>
        <w:jc w:val="both"/>
        <w:rPr>
          <w:lang w:val="de-DE"/>
        </w:rPr>
      </w:pPr>
    </w:p>
    <w:p w14:paraId="5E65B969" w14:textId="77777777" w:rsidR="00C64D38" w:rsidRPr="004676F5" w:rsidRDefault="00C64D38" w:rsidP="00C64D38">
      <w:pPr>
        <w:jc w:val="both"/>
        <w:rPr>
          <w:lang w:val="de-DE"/>
        </w:rPr>
      </w:pPr>
      <w:r w:rsidRPr="004676F5">
        <w:rPr>
          <w:lang w:val="de-DE"/>
        </w:rPr>
        <w:tab/>
        <w:t>Ist der in Absatz 1 erwähnte Beschluss nicht innerhalb einer Frist von dreißig Kalendertagen gefasst, die am ersten Werktag nach der Beanstandung beginnt, hören die in der Entschädigungsklausel vorgesehenen Verzugszinsen bis zur Beschlussfassung auf zu laufen.</w:t>
      </w:r>
    </w:p>
    <w:p w14:paraId="7F86D266" w14:textId="77777777" w:rsidR="00C64D38" w:rsidRPr="004676F5" w:rsidRDefault="00C64D38" w:rsidP="00C64D38">
      <w:pPr>
        <w:jc w:val="both"/>
        <w:rPr>
          <w:lang w:val="de-DE"/>
        </w:rPr>
      </w:pPr>
    </w:p>
    <w:p w14:paraId="72428A6A" w14:textId="77777777" w:rsidR="00C64D38" w:rsidRPr="004676F5" w:rsidRDefault="00C64D38" w:rsidP="00C64D38">
      <w:pPr>
        <w:jc w:val="both"/>
        <w:rPr>
          <w:lang w:val="de-DE"/>
        </w:rPr>
      </w:pPr>
      <w:r w:rsidRPr="004676F5">
        <w:rPr>
          <w:lang w:val="de-DE"/>
        </w:rPr>
        <w:lastRenderedPageBreak/>
        <w:tab/>
        <w:t>§ 5 ­ Wenn es mehrere Gründe für die Aussetzung der Maßnahmen und Handlungen zur gütlichen Beitreibung gemäß den Paragraphen 1 bis 4 gibt, darf die Aussetzung insgesamt eine Frist von höchstens fünfundvierzig Kalendertagen nicht überschreiten, die bei Ablauf der in § 1 vorgesehenen Frist beginnt.</w:t>
      </w:r>
    </w:p>
    <w:p w14:paraId="7DC4EBFB" w14:textId="77777777" w:rsidR="00C64D38" w:rsidRPr="004676F5" w:rsidRDefault="00C64D38" w:rsidP="00C64D38">
      <w:pPr>
        <w:jc w:val="both"/>
        <w:rPr>
          <w:lang w:val="de-DE"/>
        </w:rPr>
      </w:pPr>
    </w:p>
    <w:p w14:paraId="069DF68C" w14:textId="77777777" w:rsidR="00C64D38" w:rsidRPr="004676F5" w:rsidRDefault="00C64D38" w:rsidP="00C64D38">
      <w:pPr>
        <w:jc w:val="both"/>
        <w:rPr>
          <w:lang w:val="de-DE"/>
        </w:rPr>
      </w:pPr>
      <w:r w:rsidRPr="004676F5">
        <w:rPr>
          <w:lang w:val="de-DE"/>
        </w:rPr>
        <w:tab/>
        <w:t>§ 6 ­ Der König kann die Modalitäten für die Mitteilung der in den Paragraphen 1 bis 4 erwähnten Informationen und Beschlüsse festlegen.</w:t>
      </w:r>
    </w:p>
    <w:p w14:paraId="7507FDCC" w14:textId="77777777" w:rsidR="00C64D38" w:rsidRPr="004676F5" w:rsidRDefault="00C64D38" w:rsidP="00C64D38">
      <w:pPr>
        <w:jc w:val="both"/>
        <w:rPr>
          <w:lang w:val="de-DE"/>
        </w:rPr>
      </w:pPr>
    </w:p>
    <w:p w14:paraId="208D7729" w14:textId="77777777" w:rsidR="00C64D38" w:rsidRPr="004676F5" w:rsidRDefault="00C64D38" w:rsidP="00C64D38">
      <w:pPr>
        <w:jc w:val="both"/>
        <w:rPr>
          <w:lang w:val="de-DE"/>
        </w:rPr>
      </w:pPr>
    </w:p>
    <w:p w14:paraId="4EA06A01" w14:textId="0624FCE0" w:rsidR="00C64D38" w:rsidRPr="004676F5" w:rsidRDefault="00C64D38" w:rsidP="00C64D38">
      <w:pPr>
        <w:jc w:val="both"/>
        <w:rPr>
          <w:lang w:val="de-DE"/>
        </w:rPr>
      </w:pPr>
      <w:r w:rsidRPr="004676F5">
        <w:rPr>
          <w:lang w:val="de-DE"/>
        </w:rPr>
        <w:tab/>
      </w:r>
      <w:r w:rsidRPr="004676F5">
        <w:rPr>
          <w:b/>
          <w:bCs/>
          <w:lang w:val="de-DE"/>
        </w:rPr>
        <w:t>Art. XIX.10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Zu Beginn jedes Hausbesuchs bei einem Verbraucher im Rahmen einer Tätigkeit der gütlichen Beitreibung von Schulden:</w:t>
      </w:r>
    </w:p>
    <w:p w14:paraId="7B0F7B9B" w14:textId="77777777" w:rsidR="00C64D38" w:rsidRPr="004676F5" w:rsidRDefault="00C64D38" w:rsidP="00C64D38">
      <w:pPr>
        <w:jc w:val="both"/>
        <w:rPr>
          <w:lang w:val="de-DE"/>
        </w:rPr>
      </w:pPr>
    </w:p>
    <w:p w14:paraId="1C05E1F2" w14:textId="77777777" w:rsidR="00C64D38" w:rsidRPr="004676F5" w:rsidRDefault="00C64D38" w:rsidP="00C64D38">
      <w:pPr>
        <w:jc w:val="both"/>
        <w:rPr>
          <w:lang w:val="de-DE"/>
        </w:rPr>
      </w:pPr>
      <w:r w:rsidRPr="004676F5">
        <w:rPr>
          <w:lang w:val="de-DE"/>
        </w:rPr>
        <w:tab/>
        <w:t>1. identifiziert sich die Person, die den Besuch macht, und sagt sie, welchen Schuldenbeitreiber sie vertritt und für welchen Gläubiger sie handelt,</w:t>
      </w:r>
    </w:p>
    <w:p w14:paraId="28B9C57A" w14:textId="77777777" w:rsidR="00C64D38" w:rsidRPr="004676F5" w:rsidRDefault="00C64D38" w:rsidP="00C64D38">
      <w:pPr>
        <w:jc w:val="both"/>
        <w:rPr>
          <w:lang w:val="de-DE"/>
        </w:rPr>
      </w:pPr>
    </w:p>
    <w:p w14:paraId="79D99483" w14:textId="77777777" w:rsidR="00C64D38" w:rsidRPr="004676F5" w:rsidRDefault="00C64D38" w:rsidP="00C64D38">
      <w:pPr>
        <w:jc w:val="both"/>
        <w:rPr>
          <w:lang w:val="de-DE"/>
        </w:rPr>
      </w:pPr>
      <w:r w:rsidRPr="004676F5">
        <w:rPr>
          <w:lang w:val="de-DE"/>
        </w:rPr>
        <w:tab/>
        <w:t>2. händigt die in Nr. 1 erwähnte Person eine Unterlage mit allen in Artikel XIX.7 § 2 Absatz 2 Nr. 1 bis 9 erwähnten Angaben aus,</w:t>
      </w:r>
    </w:p>
    <w:p w14:paraId="2B235276" w14:textId="77777777" w:rsidR="00C64D38" w:rsidRPr="004676F5" w:rsidRDefault="00C64D38" w:rsidP="00C64D38">
      <w:pPr>
        <w:jc w:val="both"/>
        <w:rPr>
          <w:lang w:val="de-DE"/>
        </w:rPr>
      </w:pPr>
    </w:p>
    <w:p w14:paraId="051F4FDD" w14:textId="77777777" w:rsidR="00C64D38" w:rsidRPr="004676F5" w:rsidRDefault="00C64D38" w:rsidP="00C64D38">
      <w:pPr>
        <w:jc w:val="both"/>
        <w:rPr>
          <w:lang w:val="de-DE"/>
        </w:rPr>
      </w:pPr>
      <w:r w:rsidRPr="004676F5">
        <w:rPr>
          <w:lang w:val="de-DE"/>
        </w:rPr>
        <w:tab/>
        <w:t>3. legt die in Nr. 1 erwähnte Person dem Verbraucher, der angibt, dass er Zahlungsschwierigkeiten hat, die Möglichkeiten zur Beantragung von Zahlungserleichterungen und/oder einer Schuldenvermittlung dar.</w:t>
      </w:r>
    </w:p>
    <w:p w14:paraId="1D478058" w14:textId="77777777" w:rsidR="00C64D38" w:rsidRPr="004676F5" w:rsidRDefault="00C64D38" w:rsidP="00C64D38">
      <w:pPr>
        <w:jc w:val="both"/>
        <w:rPr>
          <w:lang w:val="de-DE"/>
        </w:rPr>
      </w:pPr>
    </w:p>
    <w:p w14:paraId="5B136624" w14:textId="77777777" w:rsidR="00C64D38" w:rsidRPr="004676F5" w:rsidRDefault="00C64D38" w:rsidP="00C64D38">
      <w:pPr>
        <w:jc w:val="both"/>
        <w:rPr>
          <w:lang w:val="de-DE"/>
        </w:rPr>
      </w:pPr>
      <w:r w:rsidRPr="004676F5">
        <w:rPr>
          <w:lang w:val="de-DE"/>
        </w:rPr>
        <w:tab/>
        <w:t>Die in Absatz 1 Nr. 2 erwähnte Unterlage enthält einen klaren Hinweis darauf, dass es sich um eine gütliche und keine gerichtliche Beitreibung handelt und dass der Verbraucher nicht verpflichtet ist, sich dem Hausbesuch zu unterziehen, und ihn jederzeit beenden kann. Zu diesem Zweck steht der Text am Anfang der Unterlage, getrennt vom übrigen Text, in einem getrennten Rahmen, fettgedruckt und mindestens in einer größeren Schriftart.</w:t>
      </w:r>
    </w:p>
    <w:p w14:paraId="1242596F" w14:textId="77777777" w:rsidR="00C64D38" w:rsidRPr="004676F5" w:rsidRDefault="00C64D38" w:rsidP="00C64D38">
      <w:pPr>
        <w:jc w:val="both"/>
        <w:rPr>
          <w:lang w:val="de-DE"/>
        </w:rPr>
      </w:pPr>
    </w:p>
    <w:p w14:paraId="166DAF73" w14:textId="77777777" w:rsidR="00C64D38" w:rsidRPr="004676F5" w:rsidRDefault="00C64D38" w:rsidP="00C64D38">
      <w:pPr>
        <w:jc w:val="both"/>
        <w:rPr>
          <w:lang w:val="de-DE"/>
        </w:rPr>
      </w:pPr>
      <w:r w:rsidRPr="004676F5">
        <w:rPr>
          <w:lang w:val="de-DE"/>
        </w:rPr>
        <w:tab/>
        <w:t>§ 2 ­ Bei jeder vollständigen oder teilweisen Zahlung einer Schuld anlässlich eines Hausbesuchs wird eine Quittung ausgestellt, auf der der erhaltene Betrag und die betreffende Schuld angegeben sind.</w:t>
      </w:r>
    </w:p>
    <w:p w14:paraId="08F08421" w14:textId="77777777" w:rsidR="00C64D38" w:rsidRPr="004676F5" w:rsidRDefault="00C64D38" w:rsidP="00C64D38">
      <w:pPr>
        <w:jc w:val="both"/>
        <w:rPr>
          <w:lang w:val="de-DE"/>
        </w:rPr>
      </w:pPr>
    </w:p>
    <w:p w14:paraId="0E09A60E" w14:textId="77777777" w:rsidR="00C64D38" w:rsidRPr="004676F5" w:rsidRDefault="00C64D38" w:rsidP="00C64D38">
      <w:pPr>
        <w:jc w:val="both"/>
        <w:rPr>
          <w:lang w:val="de-DE"/>
        </w:rPr>
      </w:pPr>
      <w:r w:rsidRPr="004676F5">
        <w:rPr>
          <w:lang w:val="de-DE"/>
        </w:rPr>
        <w:tab/>
        <w:t>§ 3 ­ Zwischen zweiundzwanzig und acht Uhr dürfen keine Hausbesuche bei Verbrauchern durchgeführt werden.</w:t>
      </w:r>
    </w:p>
    <w:p w14:paraId="2334262D" w14:textId="77777777" w:rsidR="00C64D38" w:rsidRPr="004676F5" w:rsidRDefault="00C64D38" w:rsidP="00C64D38">
      <w:pPr>
        <w:jc w:val="both"/>
        <w:rPr>
          <w:lang w:val="de-DE"/>
        </w:rPr>
      </w:pPr>
    </w:p>
    <w:p w14:paraId="07BFC05E" w14:textId="77777777" w:rsidR="00C64D38" w:rsidRPr="004676F5" w:rsidRDefault="00C64D38" w:rsidP="00C64D38">
      <w:pPr>
        <w:jc w:val="both"/>
        <w:rPr>
          <w:lang w:val="de-DE"/>
        </w:rPr>
      </w:pPr>
    </w:p>
    <w:p w14:paraId="22A963F1" w14:textId="7BD427C3" w:rsidR="00C64D38" w:rsidRPr="004676F5" w:rsidRDefault="00C64D38" w:rsidP="00C64D38">
      <w:pPr>
        <w:jc w:val="both"/>
        <w:rPr>
          <w:lang w:val="de-DE"/>
        </w:rPr>
      </w:pPr>
      <w:r w:rsidRPr="004676F5">
        <w:rPr>
          <w:lang w:val="de-DE"/>
        </w:rPr>
        <w:tab/>
      </w:r>
      <w:r w:rsidRPr="004676F5">
        <w:rPr>
          <w:b/>
          <w:bCs/>
          <w:lang w:val="de-DE"/>
        </w:rPr>
        <w:t>Art. XIX.11</w:t>
      </w:r>
      <w:r w:rsidRPr="004676F5">
        <w:rPr>
          <w:lang w:val="de-DE"/>
        </w:rPr>
        <w:t> </w:t>
      </w:r>
      <w:r w:rsidR="005B7A5C" w:rsidRPr="004676F5">
        <w:rPr>
          <w:lang w:val="de-DE"/>
        </w:rPr>
        <w:t>- </w:t>
      </w:r>
      <w:r w:rsidRPr="004676F5">
        <w:rPr>
          <w:lang w:val="de-DE"/>
        </w:rPr>
        <w:t>Der Schuldenbeitreiber bestätigt unverzüglich auf einem dauerhaften Träger alle mit dem Verbraucher vereinbarten Zahlungsmodalitäten.</w:t>
      </w:r>
    </w:p>
    <w:p w14:paraId="576BD4FD" w14:textId="77777777" w:rsidR="00C64D38" w:rsidRPr="004676F5" w:rsidRDefault="00C64D38" w:rsidP="00C64D38">
      <w:pPr>
        <w:jc w:val="both"/>
        <w:rPr>
          <w:lang w:val="de-DE"/>
        </w:rPr>
      </w:pPr>
    </w:p>
    <w:p w14:paraId="5ED6CFD7" w14:textId="77777777" w:rsidR="00C64D38" w:rsidRPr="004676F5" w:rsidRDefault="00C64D38" w:rsidP="00C64D38">
      <w:pPr>
        <w:jc w:val="both"/>
        <w:rPr>
          <w:lang w:val="de-DE"/>
        </w:rPr>
      </w:pPr>
      <w:r w:rsidRPr="004676F5">
        <w:rPr>
          <w:lang w:val="de-DE"/>
        </w:rPr>
        <w:tab/>
        <w:t>Zwischen zweiundzwanzig und acht Uhr dürfen keine Telefonanrufe an Verbraucher getätigt werden.</w:t>
      </w:r>
    </w:p>
    <w:p w14:paraId="71F05474" w14:textId="77777777" w:rsidR="00C64D38" w:rsidRPr="004676F5" w:rsidRDefault="00C64D38" w:rsidP="00C64D38">
      <w:pPr>
        <w:jc w:val="both"/>
        <w:rPr>
          <w:lang w:val="de-DE"/>
        </w:rPr>
      </w:pPr>
    </w:p>
    <w:p w14:paraId="524324F9" w14:textId="77777777" w:rsidR="00C64D38" w:rsidRPr="004676F5" w:rsidRDefault="00C64D38" w:rsidP="00C64D38">
      <w:pPr>
        <w:jc w:val="both"/>
        <w:rPr>
          <w:lang w:val="de-DE"/>
        </w:rPr>
      </w:pPr>
    </w:p>
    <w:p w14:paraId="2BE4CED1" w14:textId="332175C2" w:rsidR="00C64D38" w:rsidRPr="004676F5" w:rsidRDefault="00C64D38" w:rsidP="00C64D38">
      <w:pPr>
        <w:jc w:val="both"/>
        <w:rPr>
          <w:lang w:val="de-DE"/>
        </w:rPr>
      </w:pPr>
      <w:r w:rsidRPr="004676F5">
        <w:rPr>
          <w:lang w:val="de-DE"/>
        </w:rPr>
        <w:tab/>
      </w:r>
      <w:r w:rsidRPr="004676F5">
        <w:rPr>
          <w:b/>
          <w:bCs/>
          <w:lang w:val="de-DE"/>
        </w:rPr>
        <w:t>Art. XIX.12</w:t>
      </w:r>
      <w:r w:rsidRPr="004676F5">
        <w:rPr>
          <w:lang w:val="de-DE"/>
        </w:rPr>
        <w:t> </w:t>
      </w:r>
      <w:r w:rsidR="005B7A5C" w:rsidRPr="004676F5">
        <w:rPr>
          <w:lang w:val="de-DE"/>
        </w:rPr>
        <w:t>- </w:t>
      </w:r>
      <w:r w:rsidRPr="004676F5">
        <w:rPr>
          <w:lang w:val="de-DE"/>
        </w:rPr>
        <w:t>Betrifft die Beitreibung eine Schuld, für die ein Begleichungsplan vereinbart worden ist, sendet der Schuldenbeitreiber dem Verbraucher mindestens einmal jährlich auf einem dauerhaften Träger eine Aufstellung der bereits gezahlten Beträge und des noch geschuldeten Restbetrags zu.</w:t>
      </w:r>
    </w:p>
    <w:p w14:paraId="03DEF854" w14:textId="77777777" w:rsidR="00C64D38" w:rsidRPr="004676F5" w:rsidRDefault="00C64D38" w:rsidP="00C64D38">
      <w:pPr>
        <w:jc w:val="both"/>
        <w:rPr>
          <w:lang w:val="de-DE"/>
        </w:rPr>
      </w:pPr>
    </w:p>
    <w:p w14:paraId="1BE95E2C" w14:textId="77777777" w:rsidR="00C64D38" w:rsidRPr="004676F5" w:rsidRDefault="00C64D38" w:rsidP="00C64D38">
      <w:pPr>
        <w:jc w:val="both"/>
        <w:rPr>
          <w:lang w:val="de-DE"/>
        </w:rPr>
      </w:pPr>
      <w:r w:rsidRPr="004676F5">
        <w:rPr>
          <w:lang w:val="de-DE"/>
        </w:rPr>
        <w:tab/>
        <w:t>Wenn die Schuld erloschen ist, teilt er dies dem Verbraucher unverzüglich mit.</w:t>
      </w:r>
    </w:p>
    <w:p w14:paraId="62CE858A" w14:textId="77777777" w:rsidR="00C64D38" w:rsidRPr="004676F5" w:rsidRDefault="00C64D38" w:rsidP="00C64D38">
      <w:pPr>
        <w:jc w:val="both"/>
        <w:rPr>
          <w:lang w:val="de-DE"/>
        </w:rPr>
      </w:pPr>
    </w:p>
    <w:p w14:paraId="71630C17" w14:textId="77777777" w:rsidR="00C64D38" w:rsidRPr="004676F5" w:rsidRDefault="00C64D38" w:rsidP="00C64D38">
      <w:pPr>
        <w:jc w:val="both"/>
        <w:rPr>
          <w:lang w:val="de-DE"/>
        </w:rPr>
      </w:pPr>
    </w:p>
    <w:p w14:paraId="3A709B38" w14:textId="557A742D" w:rsidR="00C64D38" w:rsidRPr="004676F5" w:rsidRDefault="00C64D38" w:rsidP="00C64D38">
      <w:pPr>
        <w:jc w:val="both"/>
        <w:rPr>
          <w:lang w:val="de-DE"/>
        </w:rPr>
      </w:pPr>
      <w:r w:rsidRPr="004676F5">
        <w:rPr>
          <w:lang w:val="de-DE"/>
        </w:rPr>
        <w:tab/>
      </w:r>
      <w:r w:rsidRPr="004676F5">
        <w:rPr>
          <w:b/>
          <w:bCs/>
          <w:lang w:val="de-DE"/>
        </w:rPr>
        <w:t>Art. XIX.13</w:t>
      </w:r>
      <w:r w:rsidRPr="004676F5">
        <w:rPr>
          <w:lang w:val="de-DE"/>
        </w:rPr>
        <w:t> </w:t>
      </w:r>
      <w:r w:rsidR="005B7A5C" w:rsidRPr="004676F5">
        <w:rPr>
          <w:lang w:val="de-DE"/>
        </w:rPr>
        <w:t>- </w:t>
      </w:r>
      <w:r w:rsidRPr="004676F5">
        <w:rPr>
          <w:lang w:val="de-DE"/>
        </w:rPr>
        <w:t>Dem Schuldenbeitreiber ist es verboten, beim Verbraucher irgendeine Entschädigung, irgendeine Vergütung oder irgendwelche Kosten für sein Eingreifen zu fordern.</w:t>
      </w:r>
    </w:p>
    <w:p w14:paraId="61AEC15C" w14:textId="77777777" w:rsidR="00C64D38" w:rsidRPr="004676F5" w:rsidRDefault="00C64D38" w:rsidP="00C64D38">
      <w:pPr>
        <w:jc w:val="both"/>
        <w:rPr>
          <w:lang w:val="de-DE"/>
        </w:rPr>
      </w:pPr>
    </w:p>
    <w:p w14:paraId="22F27F1A" w14:textId="77777777" w:rsidR="00C64D38" w:rsidRPr="004676F5" w:rsidRDefault="00C64D38" w:rsidP="00C64D38">
      <w:pPr>
        <w:jc w:val="both"/>
        <w:rPr>
          <w:lang w:val="de-DE"/>
        </w:rPr>
      </w:pPr>
    </w:p>
    <w:p w14:paraId="0CFF9940" w14:textId="77777777" w:rsidR="00C64D38" w:rsidRPr="004676F5" w:rsidRDefault="00C64D38" w:rsidP="00C64D38">
      <w:pPr>
        <w:jc w:val="center"/>
        <w:rPr>
          <w:lang w:val="de-DE"/>
        </w:rPr>
      </w:pPr>
      <w:r w:rsidRPr="004676F5">
        <w:rPr>
          <w:lang w:val="de-DE"/>
        </w:rPr>
        <w:t xml:space="preserve">KAPITEL 3 ­ </w:t>
      </w:r>
      <w:r w:rsidRPr="004676F5">
        <w:rPr>
          <w:i/>
          <w:lang w:val="de-DE"/>
        </w:rPr>
        <w:t>Zivilrechtliche Sanktionen</w:t>
      </w:r>
    </w:p>
    <w:p w14:paraId="44A6E0ED" w14:textId="77777777" w:rsidR="00C64D38" w:rsidRPr="004676F5" w:rsidRDefault="00C64D38" w:rsidP="00C64D38">
      <w:pPr>
        <w:jc w:val="both"/>
        <w:rPr>
          <w:lang w:val="de-DE"/>
        </w:rPr>
      </w:pPr>
    </w:p>
    <w:p w14:paraId="2231E46A" w14:textId="77777777" w:rsidR="00C64D38" w:rsidRPr="004676F5" w:rsidRDefault="00C64D38" w:rsidP="00C64D38">
      <w:pPr>
        <w:jc w:val="both"/>
        <w:rPr>
          <w:lang w:val="de-DE"/>
        </w:rPr>
      </w:pPr>
    </w:p>
    <w:p w14:paraId="510FB22C" w14:textId="6AC1ECA6" w:rsidR="00C64D38" w:rsidRPr="004676F5" w:rsidRDefault="00C64D38" w:rsidP="00C64D38">
      <w:pPr>
        <w:jc w:val="both"/>
        <w:rPr>
          <w:lang w:val="de-DE"/>
        </w:rPr>
      </w:pPr>
      <w:r w:rsidRPr="004676F5">
        <w:rPr>
          <w:lang w:val="de-DE"/>
        </w:rPr>
        <w:tab/>
      </w:r>
      <w:r w:rsidRPr="004676F5">
        <w:rPr>
          <w:b/>
          <w:bCs/>
          <w:lang w:val="de-DE"/>
        </w:rPr>
        <w:t>Art. XIX.14</w:t>
      </w:r>
      <w:r w:rsidRPr="004676F5">
        <w:rPr>
          <w:lang w:val="de-DE"/>
        </w:rPr>
        <w:t> </w:t>
      </w:r>
      <w:r w:rsidR="005B7A5C" w:rsidRPr="004676F5">
        <w:rPr>
          <w:lang w:val="de-DE"/>
        </w:rPr>
        <w:t>- </w:t>
      </w:r>
      <w:r w:rsidRPr="004676F5">
        <w:rPr>
          <w:lang w:val="de-DE"/>
        </w:rPr>
        <w:t>Das Gericht kann unbeschadet der gemeinrechtlichen Sanktionen anordnen, dass jede Zahlung, die unter Verstoß gegen die Bestimmungen der Artikel XIX.2, XIX.4 bis XIX.8 und XIX.10 erwirkt worden ist, als vom Verbraucher gegenüber dem Gläubiger rechtsgültig getätigt betrachtet wird und dass sie dem Verbraucher vom Zahlungsempfänger erstattet werden muss.</w:t>
      </w:r>
    </w:p>
    <w:p w14:paraId="62332629" w14:textId="77777777" w:rsidR="00C64D38" w:rsidRPr="004676F5" w:rsidRDefault="00C64D38" w:rsidP="00C64D38">
      <w:pPr>
        <w:jc w:val="both"/>
        <w:rPr>
          <w:lang w:val="de-DE"/>
        </w:rPr>
      </w:pPr>
    </w:p>
    <w:p w14:paraId="5F4BED7A" w14:textId="77777777" w:rsidR="00C64D38" w:rsidRPr="004676F5" w:rsidRDefault="00C64D38" w:rsidP="00C64D38">
      <w:pPr>
        <w:jc w:val="both"/>
        <w:rPr>
          <w:lang w:val="de-DE"/>
        </w:rPr>
      </w:pPr>
      <w:r w:rsidRPr="004676F5">
        <w:rPr>
          <w:lang w:val="de-DE"/>
        </w:rPr>
        <w:tab/>
        <w:t>Betrifft die gütliche Beitreibung einer Schuld einen ganz oder teilweise nicht geschuldeten Betrag, insbesondere durch Anwendung von Artikel XIX.13, kann das Gericht unbeschadet der gemeinrechtlichen Sanktionen anordnen, dass der Zahlungsempfänger verpflichtet ist, dem Verbraucher den Betrag zuzüglich der Verzugszinsen ab dem Tag der Zahlung zu erstatten.</w:t>
      </w:r>
    </w:p>
    <w:p w14:paraId="7EE24173" w14:textId="77777777" w:rsidR="00C64D38" w:rsidRPr="004676F5" w:rsidRDefault="00C64D38" w:rsidP="00C64D38">
      <w:pPr>
        <w:jc w:val="both"/>
        <w:rPr>
          <w:lang w:val="de-DE"/>
        </w:rPr>
      </w:pPr>
    </w:p>
    <w:p w14:paraId="7F7A3FF6" w14:textId="77777777" w:rsidR="00C64D38" w:rsidRPr="004676F5" w:rsidRDefault="00C64D38" w:rsidP="00C64D38">
      <w:pPr>
        <w:jc w:val="both"/>
        <w:rPr>
          <w:lang w:val="de-DE"/>
        </w:rPr>
      </w:pPr>
    </w:p>
    <w:p w14:paraId="48F5DAB4" w14:textId="28535C64" w:rsidR="00C64D38" w:rsidRPr="004676F5" w:rsidRDefault="00C64D38" w:rsidP="00C64D38">
      <w:pPr>
        <w:jc w:val="both"/>
        <w:rPr>
          <w:lang w:val="de-DE"/>
        </w:rPr>
      </w:pPr>
      <w:r w:rsidRPr="004676F5">
        <w:rPr>
          <w:lang w:val="de-DE"/>
        </w:rPr>
        <w:tab/>
      </w:r>
      <w:r w:rsidRPr="004676F5">
        <w:rPr>
          <w:b/>
          <w:bCs/>
          <w:lang w:val="de-DE"/>
        </w:rPr>
        <w:t>Art. XIX.15</w:t>
      </w:r>
      <w:r w:rsidRPr="004676F5">
        <w:rPr>
          <w:lang w:val="de-DE"/>
        </w:rPr>
        <w:t> </w:t>
      </w:r>
      <w:r w:rsidR="005B7A5C" w:rsidRPr="004676F5">
        <w:rPr>
          <w:lang w:val="de-DE"/>
        </w:rPr>
        <w:t>- </w:t>
      </w:r>
      <w:r w:rsidRPr="004676F5">
        <w:rPr>
          <w:lang w:val="de-DE"/>
        </w:rPr>
        <w:t>Kommt ein Unternehmen seinen Verpflichtungen nach den Artikeln XIX.2, XIX.4 und XIX.5 nicht nach, ist der Verbraucher unbeschadet gemeinrechtlicher Sanktionen von Rechts wegen von der Zahlung der in der Klausel vorgesehenen Entschädigung befreit.</w:t>
      </w:r>
    </w:p>
    <w:p w14:paraId="1AD40409" w14:textId="77777777" w:rsidR="00C64D38" w:rsidRPr="004676F5" w:rsidRDefault="00C64D38" w:rsidP="00C64D38">
      <w:pPr>
        <w:jc w:val="both"/>
        <w:rPr>
          <w:lang w:val="de-DE"/>
        </w:rPr>
      </w:pPr>
    </w:p>
    <w:p w14:paraId="36CAEB28" w14:textId="52AB7C2D" w:rsidR="008E7024" w:rsidRPr="004676F5" w:rsidRDefault="00C64D38" w:rsidP="00C64D38">
      <w:pPr>
        <w:jc w:val="both"/>
        <w:rPr>
          <w:lang w:val="de-DE"/>
        </w:rPr>
      </w:pPr>
      <w:r w:rsidRPr="004676F5">
        <w:rPr>
          <w:lang w:val="de-DE"/>
        </w:rPr>
        <w:tab/>
        <w:t>Absatz 1 findet keine Anwendung auf Artikel XIX.2 § 3 Nr. 1 bis 4.]</w:t>
      </w:r>
    </w:p>
    <w:p w14:paraId="44EFD06C" w14:textId="77777777" w:rsidR="008E7024" w:rsidRPr="004676F5" w:rsidRDefault="008E7024">
      <w:pPr>
        <w:rPr>
          <w:lang w:val="de-DE"/>
        </w:rPr>
      </w:pPr>
      <w:r w:rsidRPr="004676F5">
        <w:rPr>
          <w:lang w:val="de-DE"/>
        </w:rPr>
        <w:br w:type="page"/>
      </w:r>
    </w:p>
    <w:p w14:paraId="3F1BA776" w14:textId="6DAF64A9" w:rsidR="008E7024" w:rsidRPr="004676F5" w:rsidRDefault="008E7024" w:rsidP="008E7024">
      <w:pPr>
        <w:jc w:val="center"/>
        <w:rPr>
          <w:lang w:val="de-DE"/>
        </w:rPr>
      </w:pPr>
      <w:r w:rsidRPr="004676F5">
        <w:rPr>
          <w:lang w:val="de-DE"/>
        </w:rPr>
        <w:lastRenderedPageBreak/>
        <w:t>[</w:t>
      </w:r>
      <w:r w:rsidR="00454231" w:rsidRPr="004676F5">
        <w:rPr>
          <w:b/>
          <w:lang w:val="de-DE"/>
        </w:rPr>
        <w:t xml:space="preserve">BUCH XX </w:t>
      </w:r>
      <w:r w:rsidR="005B7A5C" w:rsidRPr="004676F5">
        <w:rPr>
          <w:b/>
          <w:lang w:val="de-DE"/>
        </w:rPr>
        <w:t>- </w:t>
      </w:r>
      <w:r w:rsidR="00454231" w:rsidRPr="004676F5">
        <w:rPr>
          <w:b/>
          <w:lang w:val="de-DE"/>
        </w:rPr>
        <w:t>INSOLVENZ VON UNTERNEHMEN</w:t>
      </w:r>
    </w:p>
    <w:p w14:paraId="22F426BF" w14:textId="77777777" w:rsidR="00454231" w:rsidRPr="004676F5" w:rsidRDefault="00454231" w:rsidP="008E7024">
      <w:pPr>
        <w:jc w:val="center"/>
        <w:rPr>
          <w:lang w:val="de-DE"/>
        </w:rPr>
      </w:pPr>
    </w:p>
    <w:p w14:paraId="0B7F2ECD" w14:textId="5723254C" w:rsidR="00454231" w:rsidRPr="004676F5" w:rsidRDefault="00454231" w:rsidP="00454231">
      <w:pPr>
        <w:jc w:val="both"/>
        <w:rPr>
          <w:i/>
          <w:lang w:val="de-DE"/>
        </w:rPr>
      </w:pPr>
      <w:r w:rsidRPr="004676F5">
        <w:rPr>
          <w:i/>
          <w:lang w:val="de-DE"/>
        </w:rPr>
        <w:t xml:space="preserve">[Buch XX mit den Artikeln XX.I bis XX.243 eingefügt durch </w:t>
      </w:r>
      <w:r w:rsidR="00BE0A56" w:rsidRPr="004676F5">
        <w:rPr>
          <w:i/>
          <w:lang w:val="de-DE"/>
        </w:rPr>
        <w:t>Art. </w:t>
      </w:r>
      <w:r w:rsidRPr="004676F5">
        <w:rPr>
          <w:i/>
          <w:lang w:val="de-DE"/>
        </w:rPr>
        <w:t>3 des G. vom 11. August 2017 (B.S. vom 11. September 2017)]</w:t>
      </w:r>
    </w:p>
    <w:p w14:paraId="293337E7" w14:textId="77777777" w:rsidR="00EE35E2" w:rsidRPr="004676F5" w:rsidRDefault="00EE35E2" w:rsidP="00454231">
      <w:pPr>
        <w:jc w:val="both"/>
        <w:rPr>
          <w:lang w:val="de-DE"/>
        </w:rPr>
      </w:pPr>
    </w:p>
    <w:p w14:paraId="2CF4730F" w14:textId="77777777" w:rsidR="00EE35E2" w:rsidRPr="004676F5" w:rsidRDefault="00EE35E2" w:rsidP="00454231">
      <w:pPr>
        <w:jc w:val="both"/>
        <w:rPr>
          <w:lang w:val="de-DE"/>
        </w:rPr>
      </w:pPr>
    </w:p>
    <w:p w14:paraId="38EECDA2" w14:textId="1BD7BC30" w:rsidR="00EE35E2" w:rsidRPr="004676F5" w:rsidRDefault="00EE35E2" w:rsidP="00EE35E2">
      <w:pPr>
        <w:jc w:val="center"/>
        <w:rPr>
          <w:bCs/>
          <w:iCs/>
          <w:lang w:val="de-DE"/>
        </w:rPr>
      </w:pPr>
      <w:r w:rsidRPr="004676F5">
        <w:rPr>
          <w:lang w:val="de-DE"/>
        </w:rPr>
        <w:tab/>
      </w:r>
      <w:r w:rsidRPr="004676F5">
        <w:rPr>
          <w:b/>
          <w:lang w:val="de-DE"/>
        </w:rPr>
        <w:t>TITEL 1 </w:t>
      </w:r>
      <w:r w:rsidR="005B7A5C" w:rsidRPr="004676F5">
        <w:rPr>
          <w:b/>
          <w:lang w:val="de-DE"/>
        </w:rPr>
        <w:t>- </w:t>
      </w:r>
      <w:r w:rsidR="00692DC7" w:rsidRPr="004676F5">
        <w:rPr>
          <w:bCs/>
          <w:lang w:val="de-DE"/>
        </w:rPr>
        <w:t>[</w:t>
      </w:r>
      <w:r w:rsidR="00692DC7" w:rsidRPr="004676F5">
        <w:rPr>
          <w:b/>
          <w:i/>
          <w:lang w:val="de-DE"/>
        </w:rPr>
        <w:t>Auf Buch XX anwendbare al</w:t>
      </w:r>
      <w:r w:rsidRPr="004676F5">
        <w:rPr>
          <w:b/>
          <w:i/>
          <w:lang w:val="de-DE"/>
        </w:rPr>
        <w:t>lgemeine Grundsätze</w:t>
      </w:r>
      <w:r w:rsidR="00692DC7" w:rsidRPr="004676F5">
        <w:rPr>
          <w:bCs/>
          <w:iCs/>
          <w:lang w:val="de-DE"/>
        </w:rPr>
        <w:t>]</w:t>
      </w:r>
    </w:p>
    <w:p w14:paraId="3C5388C2" w14:textId="77777777" w:rsidR="00EE35E2" w:rsidRPr="004676F5" w:rsidRDefault="00EE35E2" w:rsidP="00EE35E2">
      <w:pPr>
        <w:jc w:val="center"/>
        <w:rPr>
          <w:lang w:val="de-DE"/>
        </w:rPr>
      </w:pPr>
    </w:p>
    <w:p w14:paraId="503E9B54" w14:textId="4595F6D8" w:rsidR="00692DC7" w:rsidRPr="004676F5" w:rsidRDefault="00692DC7" w:rsidP="00692DC7">
      <w:pPr>
        <w:jc w:val="both"/>
        <w:rPr>
          <w:i/>
          <w:lang w:val="de-DE"/>
        </w:rPr>
      </w:pPr>
      <w:r w:rsidRPr="004676F5">
        <w:rPr>
          <w:i/>
          <w:iCs/>
          <w:lang w:val="de-DE"/>
        </w:rPr>
        <w:t>[Überschrift von Titel 1 ersetzt durch Art. 4</w:t>
      </w:r>
      <w:r w:rsidRPr="004676F5">
        <w:rPr>
          <w:i/>
          <w:lang w:val="de-DE"/>
        </w:rPr>
        <w:t xml:space="preserve"> des G. vom 7. Juni 2023 (B.S. vom 7. Juli 2023)]</w:t>
      </w:r>
    </w:p>
    <w:p w14:paraId="144EE515" w14:textId="77777777" w:rsidR="00692DC7" w:rsidRPr="004676F5" w:rsidRDefault="00692DC7" w:rsidP="00692DC7">
      <w:pPr>
        <w:jc w:val="both"/>
        <w:rPr>
          <w:i/>
          <w:iCs/>
          <w:lang w:val="de-DE"/>
        </w:rPr>
      </w:pPr>
    </w:p>
    <w:p w14:paraId="6BB24A33" w14:textId="77777777" w:rsidR="00EE35E2" w:rsidRPr="004676F5" w:rsidRDefault="00EE35E2" w:rsidP="00EE35E2">
      <w:pPr>
        <w:jc w:val="center"/>
        <w:rPr>
          <w:lang w:val="de-DE"/>
        </w:rPr>
      </w:pPr>
    </w:p>
    <w:p w14:paraId="31D56A8F" w14:textId="3BC4C504" w:rsidR="00EE35E2" w:rsidRPr="004676F5" w:rsidRDefault="00EE35E2" w:rsidP="00EE35E2">
      <w:pPr>
        <w:jc w:val="center"/>
        <w:rPr>
          <w:lang w:val="de-DE"/>
        </w:rPr>
      </w:pPr>
      <w:r w:rsidRPr="004676F5">
        <w:rPr>
          <w:lang w:val="de-DE"/>
        </w:rPr>
        <w:t>KAPITEL 1 </w:t>
      </w:r>
      <w:r w:rsidR="005B7A5C" w:rsidRPr="004676F5">
        <w:rPr>
          <w:lang w:val="de-DE"/>
        </w:rPr>
        <w:t>- </w:t>
      </w:r>
      <w:r w:rsidRPr="004676F5">
        <w:rPr>
          <w:i/>
          <w:lang w:val="de-DE"/>
        </w:rPr>
        <w:t>Anwendungsbereich</w:t>
      </w:r>
    </w:p>
    <w:p w14:paraId="6365B64E" w14:textId="77777777" w:rsidR="00EE35E2" w:rsidRPr="004676F5" w:rsidRDefault="00EE35E2" w:rsidP="00EE35E2">
      <w:pPr>
        <w:jc w:val="both"/>
        <w:rPr>
          <w:lang w:val="de-DE"/>
        </w:rPr>
      </w:pPr>
    </w:p>
    <w:p w14:paraId="500FBDAE" w14:textId="77777777" w:rsidR="00EE35E2" w:rsidRPr="004676F5" w:rsidRDefault="00EE35E2" w:rsidP="00EE35E2">
      <w:pPr>
        <w:jc w:val="both"/>
        <w:rPr>
          <w:lang w:val="de-DE"/>
        </w:rPr>
      </w:pPr>
    </w:p>
    <w:p w14:paraId="37E1983E" w14:textId="768B87E2" w:rsidR="00BC5AAC" w:rsidRPr="004676F5" w:rsidRDefault="00BE0A56" w:rsidP="00BC5AAC">
      <w:pPr>
        <w:ind w:firstLine="708"/>
        <w:jc w:val="both"/>
        <w:rPr>
          <w:lang w:val="de-DE"/>
        </w:rPr>
      </w:pPr>
      <w:r w:rsidRPr="004676F5">
        <w:rPr>
          <w:b/>
          <w:lang w:val="de-DE"/>
        </w:rPr>
        <w:t>Art. </w:t>
      </w:r>
      <w:r w:rsidR="00EE35E2" w:rsidRPr="004676F5">
        <w:rPr>
          <w:b/>
          <w:lang w:val="de-DE"/>
        </w:rPr>
        <w:t>XX.1</w:t>
      </w:r>
      <w:r w:rsidR="00EE35E2" w:rsidRPr="004676F5">
        <w:rPr>
          <w:lang w:val="de-DE"/>
        </w:rPr>
        <w:t> </w:t>
      </w:r>
      <w:r w:rsidR="005B7A5C" w:rsidRPr="004676F5">
        <w:rPr>
          <w:lang w:val="de-DE"/>
        </w:rPr>
        <w:t>- </w:t>
      </w:r>
      <w:r w:rsidR="00BC5AAC" w:rsidRPr="004676F5">
        <w:rPr>
          <w:lang w:val="de-DE"/>
        </w:rPr>
        <w:t>[§ 1 </w:t>
      </w:r>
      <w:r w:rsidR="005B7A5C" w:rsidRPr="004676F5">
        <w:rPr>
          <w:lang w:val="de-DE"/>
        </w:rPr>
        <w:t>- </w:t>
      </w:r>
      <w:r w:rsidR="00BC5AAC" w:rsidRPr="004676F5">
        <w:rPr>
          <w:lang w:val="de-DE"/>
        </w:rPr>
        <w:t>Die Bestimmungen des vorliegenden Buches sind anwendbar unbeschadet des besonderen Rechts, dem geregelte freie Berufe, ministerielle Amtsträger und Notare unterliegen, einschließlich des Zugangs zum Beruf, der Einschränkungen in Bezug auf die Verwaltung und Übertragung des Vermögens und der Wahrung des Berufsgeheimnisses.</w:t>
      </w:r>
    </w:p>
    <w:p w14:paraId="649A60A2" w14:textId="77777777" w:rsidR="00BC5AAC" w:rsidRPr="004676F5" w:rsidRDefault="00BC5AAC" w:rsidP="00BC5AAC">
      <w:pPr>
        <w:ind w:firstLine="708"/>
        <w:jc w:val="both"/>
        <w:rPr>
          <w:lang w:val="de-DE"/>
        </w:rPr>
      </w:pPr>
    </w:p>
    <w:p w14:paraId="117A0617" w14:textId="77777777" w:rsidR="00BC5AAC" w:rsidRPr="004676F5" w:rsidRDefault="00BC5AAC" w:rsidP="00BC5AAC">
      <w:pPr>
        <w:ind w:firstLine="708"/>
        <w:jc w:val="both"/>
        <w:rPr>
          <w:lang w:val="de-DE"/>
        </w:rPr>
      </w:pPr>
      <w:r w:rsidRPr="004676F5">
        <w:rPr>
          <w:lang w:val="de-DE"/>
        </w:rPr>
        <w:t>Die Regeln des vorliegenden Buches dürfen nicht dahingehend ausgelegt werden, dass sie die Verpflichtung zur Wahrung des Berufsgeheimnisses einschränken oder die freie Wahl des Patienten oder des Kunden des Freiberuflers beeinträchtigen.</w:t>
      </w:r>
    </w:p>
    <w:p w14:paraId="11484EAA" w14:textId="77777777" w:rsidR="00BC5AAC" w:rsidRPr="004676F5" w:rsidRDefault="00BC5AAC" w:rsidP="00BC5AAC">
      <w:pPr>
        <w:ind w:firstLine="708"/>
        <w:jc w:val="both"/>
        <w:rPr>
          <w:lang w:val="de-DE"/>
        </w:rPr>
      </w:pPr>
    </w:p>
    <w:p w14:paraId="1DFE8CFA" w14:textId="77777777" w:rsidR="00BC5AAC" w:rsidRPr="004676F5" w:rsidRDefault="00BC5AAC" w:rsidP="00BC5AAC">
      <w:pPr>
        <w:ind w:firstLine="708"/>
        <w:jc w:val="both"/>
        <w:rPr>
          <w:lang w:val="de-DE"/>
        </w:rPr>
      </w:pPr>
      <w:r w:rsidRPr="004676F5">
        <w:rPr>
          <w:lang w:val="de-DE"/>
        </w:rPr>
        <w:t>Der König bestimmt die Modalitäten der Anwendung des vorliegenden Buches auf Freiberufler und ihre Vereinigungen.</w:t>
      </w:r>
    </w:p>
    <w:p w14:paraId="497315A8" w14:textId="77777777" w:rsidR="00BC5AAC" w:rsidRPr="004676F5" w:rsidRDefault="00BC5AAC" w:rsidP="00BC5AAC">
      <w:pPr>
        <w:ind w:firstLine="708"/>
        <w:jc w:val="both"/>
        <w:rPr>
          <w:lang w:val="de-DE"/>
        </w:rPr>
      </w:pPr>
    </w:p>
    <w:p w14:paraId="5F12A8C5" w14:textId="35099FA1" w:rsidR="00BC5AAC" w:rsidRPr="004676F5" w:rsidRDefault="00BC5AAC" w:rsidP="00BC5AAC">
      <w:pPr>
        <w:ind w:firstLine="708"/>
        <w:jc w:val="both"/>
        <w:rPr>
          <w:lang w:val="de-DE"/>
        </w:rPr>
      </w:pPr>
      <w:r w:rsidRPr="004676F5">
        <w:rPr>
          <w:lang w:val="de-DE"/>
        </w:rPr>
        <w:t>§ 2 </w:t>
      </w:r>
      <w:r w:rsidR="005B7A5C" w:rsidRPr="004676F5">
        <w:rPr>
          <w:lang w:val="de-DE"/>
        </w:rPr>
        <w:t>- </w:t>
      </w:r>
      <w:r w:rsidR="00E30CBE" w:rsidRPr="004676F5">
        <w:rPr>
          <w:lang w:val="de-DE"/>
        </w:rPr>
        <w:t xml:space="preserve">[Die Bestimmungen der Titel 2, 3, 4 und 5 des vorliegenden Buches gelten nicht für Kreditinstitute, Versicherungsunternehmen, Rückversicherungsunternehmen, </w:t>
      </w:r>
      <w:r w:rsidR="00692DC7" w:rsidRPr="004676F5">
        <w:rPr>
          <w:lang w:val="de-DE"/>
        </w:rPr>
        <w:t>[Investmentgesellschaften oder Organismen für gemeinsame Anlagen im Sinne von Artikel 1.2 Buchstabe </w:t>
      </w:r>
      <w:r w:rsidR="00692DC7" w:rsidRPr="004676F5">
        <w:rPr>
          <w:i/>
          <w:lang w:val="de-DE"/>
        </w:rPr>
        <w:t>c)</w:t>
      </w:r>
      <w:r w:rsidR="00692DC7" w:rsidRPr="004676F5">
        <w:rPr>
          <w:lang w:val="de-DE"/>
        </w:rPr>
        <w:t xml:space="preserve"> der Richtlinie (EU) 2019/1023]</w:t>
      </w:r>
      <w:r w:rsidR="00E30CBE" w:rsidRPr="004676F5">
        <w:rPr>
          <w:lang w:val="de-DE"/>
        </w:rPr>
        <w:t>, Einrichtungen der betrieblichen Altersversorgung, zentrale Gegenparteien, Liquidationseinrichtungen, Zentralverwahrer, Unterstützungseinrichtungen von Zentralverwahrern, Depotbanken, Finanzholdinggesellschaften und gemischte Finanzholdinggesellschaften.]</w:t>
      </w:r>
    </w:p>
    <w:p w14:paraId="69E16621" w14:textId="77777777" w:rsidR="00BC5AAC" w:rsidRPr="004676F5" w:rsidRDefault="00BC5AAC" w:rsidP="00BC5AAC">
      <w:pPr>
        <w:ind w:firstLine="708"/>
        <w:jc w:val="both"/>
        <w:rPr>
          <w:lang w:val="de-DE"/>
        </w:rPr>
      </w:pPr>
    </w:p>
    <w:p w14:paraId="304CD0EF" w14:textId="7AABC2C2" w:rsidR="00EE35E2" w:rsidRPr="004676F5" w:rsidRDefault="00BC5AAC" w:rsidP="00BC5AAC">
      <w:pPr>
        <w:ind w:firstLine="708"/>
        <w:jc w:val="both"/>
        <w:rPr>
          <w:lang w:val="de-DE"/>
        </w:rPr>
      </w:pPr>
      <w:r w:rsidRPr="004676F5">
        <w:rPr>
          <w:lang w:val="de-DE"/>
        </w:rPr>
        <w:t>§ 3 </w:t>
      </w:r>
      <w:r w:rsidR="005B7A5C" w:rsidRPr="004676F5">
        <w:rPr>
          <w:lang w:val="de-DE"/>
        </w:rPr>
        <w:t>- </w:t>
      </w:r>
      <w:r w:rsidRPr="004676F5">
        <w:rPr>
          <w:lang w:val="de-DE"/>
        </w:rPr>
        <w:t>Bei Zweifeln über die Vereinbarkeit einer Bestimmung des vorliegenden Buches und einer Verpflichtung aus dem gesetzlichen Statut eines der in § 1 erwähnten Unternehmen kann das Gericht, der beauftragte Richter oder der Konkursrichter aus eigener Initiative oder auf Antrag einer der Parteien des Insolvenzverfahrens die Kammern oder Institute, denen der Freiberufler untersteht, um ihre Stellungnahme bitten. Eine solche Stellungnahme wird binnen acht Kalendertagen ab Erhalt des betreffenden Antrags auf Stellungnahme abgegeben.]</w:t>
      </w:r>
    </w:p>
    <w:p w14:paraId="63042D2F" w14:textId="32464555" w:rsidR="00BC5AAC" w:rsidRPr="004676F5" w:rsidRDefault="00BC5AAC" w:rsidP="00BC5AAC">
      <w:pPr>
        <w:ind w:firstLine="708"/>
        <w:jc w:val="both"/>
        <w:rPr>
          <w:lang w:val="de-DE"/>
        </w:rPr>
      </w:pPr>
    </w:p>
    <w:p w14:paraId="4CDE9EE0" w14:textId="74005109" w:rsidR="00BC5AAC" w:rsidRPr="004676F5" w:rsidRDefault="00BC5AAC" w:rsidP="00BC5AAC">
      <w:pPr>
        <w:jc w:val="both"/>
        <w:rPr>
          <w:i/>
          <w:lang w:val="de-DE"/>
        </w:rPr>
      </w:pPr>
      <w:r w:rsidRPr="004676F5">
        <w:rPr>
          <w:i/>
          <w:lang w:val="de-DE"/>
        </w:rPr>
        <w:t>[Art. XX.1 ersetzt durch Art. 215 des G. vom 15. April 2018 (B.S. vom 27. April 2018)</w:t>
      </w:r>
      <w:r w:rsidR="00D24B30" w:rsidRPr="004676F5">
        <w:rPr>
          <w:i/>
          <w:lang w:val="de-DE"/>
        </w:rPr>
        <w:t xml:space="preserve">; § 2 </w:t>
      </w:r>
      <w:r w:rsidR="00E30CBE" w:rsidRPr="004676F5">
        <w:rPr>
          <w:i/>
          <w:lang w:val="de-DE"/>
        </w:rPr>
        <w:t>ersetzt durch Art. 121 des G. vom 2. Mai 2019 (VI) (B.S. vom 21. Mai 2019)</w:t>
      </w:r>
      <w:r w:rsidR="00692DC7" w:rsidRPr="004676F5">
        <w:rPr>
          <w:i/>
          <w:lang w:val="de-DE"/>
        </w:rPr>
        <w:t xml:space="preserve"> und abgeändert durch Art. 5 Nr. 1 des G. vom 7. Juni 2023 (B.S. vom 7. Juli 2023)</w:t>
      </w:r>
      <w:r w:rsidRPr="004676F5">
        <w:rPr>
          <w:i/>
          <w:lang w:val="de-DE"/>
        </w:rPr>
        <w:t>]</w:t>
      </w:r>
    </w:p>
    <w:p w14:paraId="0DF81E7E" w14:textId="77777777" w:rsidR="00EE35E2" w:rsidRPr="004676F5" w:rsidRDefault="00EE35E2" w:rsidP="00EE35E2">
      <w:pPr>
        <w:jc w:val="both"/>
        <w:rPr>
          <w:lang w:val="de-DE"/>
        </w:rPr>
      </w:pPr>
    </w:p>
    <w:p w14:paraId="02B68E0F" w14:textId="77777777" w:rsidR="00DF5BE5" w:rsidRPr="004676F5" w:rsidRDefault="00DF5BE5" w:rsidP="00EE35E2">
      <w:pPr>
        <w:jc w:val="both"/>
        <w:rPr>
          <w:lang w:val="de-DE"/>
        </w:rPr>
      </w:pPr>
    </w:p>
    <w:p w14:paraId="30749776" w14:textId="7880EF63" w:rsidR="00DF5BE5" w:rsidRPr="004676F5" w:rsidRDefault="00DF5BE5">
      <w:pPr>
        <w:rPr>
          <w:lang w:val="de-DE"/>
        </w:rPr>
      </w:pPr>
      <w:r w:rsidRPr="004676F5">
        <w:rPr>
          <w:lang w:val="de-DE"/>
        </w:rPr>
        <w:br w:type="page"/>
      </w:r>
    </w:p>
    <w:p w14:paraId="03E364B0" w14:textId="137334EE" w:rsidR="00EE35E2" w:rsidRPr="004676F5" w:rsidRDefault="00EE35E2" w:rsidP="00EE35E2">
      <w:pPr>
        <w:jc w:val="center"/>
        <w:rPr>
          <w:lang w:val="de-DE"/>
        </w:rPr>
      </w:pPr>
      <w:r w:rsidRPr="004676F5">
        <w:rPr>
          <w:lang w:val="de-DE"/>
        </w:rPr>
        <w:lastRenderedPageBreak/>
        <w:t>KAPITEL 2 </w:t>
      </w:r>
      <w:r w:rsidR="005B7A5C" w:rsidRPr="004676F5">
        <w:rPr>
          <w:lang w:val="de-DE"/>
        </w:rPr>
        <w:t>- </w:t>
      </w:r>
      <w:r w:rsidRPr="004676F5">
        <w:rPr>
          <w:lang w:val="de-DE"/>
        </w:rPr>
        <w:t>Verfahrensregeln</w:t>
      </w:r>
    </w:p>
    <w:p w14:paraId="459A5DBF" w14:textId="77777777" w:rsidR="00EE35E2" w:rsidRPr="004676F5" w:rsidRDefault="00EE35E2" w:rsidP="00EE35E2">
      <w:pPr>
        <w:jc w:val="both"/>
        <w:rPr>
          <w:lang w:val="de-DE"/>
        </w:rPr>
      </w:pPr>
    </w:p>
    <w:p w14:paraId="4E0B4FDD" w14:textId="77777777" w:rsidR="00DF5BE5" w:rsidRPr="004676F5" w:rsidRDefault="00DF5BE5" w:rsidP="00EE35E2">
      <w:pPr>
        <w:jc w:val="both"/>
        <w:rPr>
          <w:lang w:val="de-DE"/>
        </w:rPr>
      </w:pPr>
    </w:p>
    <w:p w14:paraId="2303A535" w14:textId="4C145B92" w:rsidR="00EE35E2" w:rsidRPr="004676F5" w:rsidRDefault="00BE0A56" w:rsidP="00EE35E2">
      <w:pPr>
        <w:ind w:firstLine="708"/>
        <w:jc w:val="both"/>
        <w:rPr>
          <w:lang w:val="de-DE"/>
        </w:rPr>
      </w:pPr>
      <w:r w:rsidRPr="004676F5">
        <w:rPr>
          <w:b/>
          <w:lang w:val="de-DE"/>
        </w:rPr>
        <w:t>Art. </w:t>
      </w:r>
      <w:r w:rsidR="00EE35E2" w:rsidRPr="004676F5">
        <w:rPr>
          <w:b/>
          <w:lang w:val="de-DE"/>
        </w:rPr>
        <w:t>XX.2</w:t>
      </w:r>
      <w:r w:rsidR="00EE35E2" w:rsidRPr="004676F5">
        <w:rPr>
          <w:lang w:val="de-DE"/>
        </w:rPr>
        <w:t> </w:t>
      </w:r>
      <w:r w:rsidR="005B7A5C" w:rsidRPr="004676F5">
        <w:rPr>
          <w:lang w:val="de-DE"/>
        </w:rPr>
        <w:t>- </w:t>
      </w:r>
      <w:r w:rsidR="00EE35E2" w:rsidRPr="004676F5">
        <w:rPr>
          <w:lang w:val="de-DE"/>
        </w:rPr>
        <w:t>Es kann weder Einspruch noch Berufung eingelegt werden gegen:</w:t>
      </w:r>
    </w:p>
    <w:p w14:paraId="5DE5A683" w14:textId="77777777" w:rsidR="00EE35E2" w:rsidRPr="004676F5" w:rsidRDefault="00EE35E2" w:rsidP="00EE35E2">
      <w:pPr>
        <w:ind w:firstLine="708"/>
        <w:jc w:val="both"/>
        <w:rPr>
          <w:lang w:val="de-DE"/>
        </w:rPr>
      </w:pPr>
    </w:p>
    <w:p w14:paraId="4E31DBA3" w14:textId="77777777" w:rsidR="00EE35E2" w:rsidRPr="004676F5" w:rsidRDefault="00EE35E2" w:rsidP="00EE35E2">
      <w:pPr>
        <w:ind w:firstLine="708"/>
        <w:jc w:val="both"/>
        <w:rPr>
          <w:lang w:val="de-DE"/>
        </w:rPr>
      </w:pPr>
      <w:r w:rsidRPr="004676F5">
        <w:rPr>
          <w:lang w:val="de-DE"/>
        </w:rPr>
        <w:t>1. Entscheidungen der in Artikel XX.29 erwähnten Kammern für Unternehmen in Schwierigkeiten,</w:t>
      </w:r>
    </w:p>
    <w:p w14:paraId="69C3D334" w14:textId="77777777" w:rsidR="00EE35E2" w:rsidRPr="004676F5" w:rsidRDefault="00EE35E2" w:rsidP="00EE35E2">
      <w:pPr>
        <w:ind w:firstLine="708"/>
        <w:jc w:val="both"/>
        <w:rPr>
          <w:lang w:val="de-DE"/>
        </w:rPr>
      </w:pPr>
    </w:p>
    <w:p w14:paraId="188A6DAD" w14:textId="463F6A79" w:rsidR="00EE35E2" w:rsidRPr="004676F5" w:rsidRDefault="00EE35E2" w:rsidP="00EE35E2">
      <w:pPr>
        <w:ind w:firstLine="708"/>
        <w:jc w:val="both"/>
        <w:rPr>
          <w:lang w:val="de-DE"/>
        </w:rPr>
      </w:pPr>
      <w:r w:rsidRPr="004676F5">
        <w:rPr>
          <w:lang w:val="de-DE"/>
        </w:rPr>
        <w:t>2. Entscheidungen zur Bestellung oder Ersetzung eines beauftragten Richters, Konkurs</w:t>
      </w:r>
      <w:r w:rsidRPr="004676F5">
        <w:rPr>
          <w:lang w:val="de-DE"/>
        </w:rPr>
        <w:softHyphen/>
        <w:t xml:space="preserve">richters oder </w:t>
      </w:r>
      <w:r w:rsidR="00692DC7" w:rsidRPr="004676F5">
        <w:rPr>
          <w:lang w:val="de-DE"/>
        </w:rPr>
        <w:t>[gerichtlichen Bevollmächtigten]</w:t>
      </w:r>
      <w:r w:rsidRPr="004676F5">
        <w:rPr>
          <w:lang w:val="de-DE"/>
        </w:rPr>
        <w:t>,</w:t>
      </w:r>
      <w:r w:rsidR="00692DC7" w:rsidRPr="004676F5">
        <w:rPr>
          <w:lang w:val="de-DE"/>
        </w:rPr>
        <w:t xml:space="preserve"> [ausgenommen gegen die in den Artikeln XX.35 und XX.83/22 erwähnten Beschlüsse,]</w:t>
      </w:r>
    </w:p>
    <w:p w14:paraId="119E3C06" w14:textId="77777777" w:rsidR="00EE35E2" w:rsidRPr="004676F5" w:rsidRDefault="00EE35E2" w:rsidP="00EE35E2">
      <w:pPr>
        <w:ind w:firstLine="708"/>
        <w:jc w:val="both"/>
        <w:rPr>
          <w:lang w:val="de-DE"/>
        </w:rPr>
      </w:pPr>
    </w:p>
    <w:p w14:paraId="7E71722A" w14:textId="77777777" w:rsidR="00EE35E2" w:rsidRPr="004676F5" w:rsidRDefault="00EE35E2" w:rsidP="00EE35E2">
      <w:pPr>
        <w:ind w:firstLine="708"/>
        <w:jc w:val="both"/>
        <w:rPr>
          <w:lang w:val="de-DE"/>
        </w:rPr>
      </w:pPr>
      <w:r w:rsidRPr="004676F5">
        <w:rPr>
          <w:lang w:val="de-DE"/>
        </w:rPr>
        <w:t xml:space="preserve">3. Entscheidungen des Konkursrichters, durch die gemäß Artikel XX.122 </w:t>
      </w:r>
      <w:r w:rsidRPr="004676F5">
        <w:rPr>
          <w:i/>
          <w:lang w:val="de-DE"/>
        </w:rPr>
        <w:t>[sic, zu lesen ist: Artikel XX.120]</w:t>
      </w:r>
      <w:r w:rsidRPr="004676F5">
        <w:rPr>
          <w:lang w:val="de-DE"/>
        </w:rPr>
        <w:t xml:space="preserve"> Vertagung oder Absetzung des Verkaufs gepfändeter Gegenstände erlaubt wird,</w:t>
      </w:r>
    </w:p>
    <w:p w14:paraId="6135BA1B" w14:textId="77777777" w:rsidR="00EE35E2" w:rsidRPr="004676F5" w:rsidRDefault="00EE35E2" w:rsidP="00EE35E2">
      <w:pPr>
        <w:ind w:firstLine="708"/>
        <w:jc w:val="both"/>
        <w:rPr>
          <w:lang w:val="de-DE"/>
        </w:rPr>
      </w:pPr>
    </w:p>
    <w:p w14:paraId="65317998" w14:textId="77777777" w:rsidR="00EE35E2" w:rsidRPr="004676F5" w:rsidRDefault="00EE35E2" w:rsidP="00EE35E2">
      <w:pPr>
        <w:ind w:firstLine="708"/>
        <w:jc w:val="both"/>
        <w:rPr>
          <w:lang w:val="de-DE"/>
        </w:rPr>
      </w:pPr>
      <w:r w:rsidRPr="004676F5">
        <w:rPr>
          <w:lang w:val="de-DE"/>
        </w:rPr>
        <w:t>4. Entscheidungen des Konkursrichters, durch die der Verkauf von Sachen oder Waren, die zum Konkurs gehören, erlaubt wird,</w:t>
      </w:r>
    </w:p>
    <w:p w14:paraId="3612A99D" w14:textId="77777777" w:rsidR="00EE35E2" w:rsidRPr="004676F5" w:rsidRDefault="00EE35E2" w:rsidP="00EE35E2">
      <w:pPr>
        <w:ind w:firstLine="708"/>
        <w:jc w:val="both"/>
        <w:rPr>
          <w:lang w:val="de-DE"/>
        </w:rPr>
      </w:pPr>
    </w:p>
    <w:p w14:paraId="0501CD5F" w14:textId="77777777" w:rsidR="00EE35E2" w:rsidRPr="004676F5" w:rsidRDefault="00EE35E2" w:rsidP="00EE35E2">
      <w:pPr>
        <w:ind w:firstLine="708"/>
        <w:jc w:val="both"/>
        <w:rPr>
          <w:lang w:val="de-DE"/>
        </w:rPr>
      </w:pPr>
      <w:r w:rsidRPr="004676F5">
        <w:rPr>
          <w:lang w:val="de-DE"/>
        </w:rPr>
        <w:t>5. Urteile, durch die über Streitfälle in Bezug auf Abgabe von Hausrat und Sachen, die für den Eigenverbrauch notwendig sind, an den Konkursschuldner, der eine natürliche Person ist, und an seine Familie sowie auf Gewährung von Lebensunterhalt an den Konkursschuldner, der eine natürliche Person ist, und an seine Familie befunden wird,</w:t>
      </w:r>
    </w:p>
    <w:p w14:paraId="3130671E" w14:textId="77777777" w:rsidR="00EE35E2" w:rsidRPr="004676F5" w:rsidRDefault="00EE35E2" w:rsidP="00EE35E2">
      <w:pPr>
        <w:ind w:firstLine="708"/>
        <w:jc w:val="both"/>
        <w:rPr>
          <w:lang w:val="de-DE"/>
        </w:rPr>
      </w:pPr>
    </w:p>
    <w:p w14:paraId="28F0A6D1" w14:textId="77777777" w:rsidR="00EE35E2" w:rsidRPr="004676F5" w:rsidRDefault="00EE35E2" w:rsidP="00EE35E2">
      <w:pPr>
        <w:ind w:firstLine="708"/>
        <w:jc w:val="both"/>
        <w:rPr>
          <w:lang w:val="de-DE"/>
        </w:rPr>
      </w:pPr>
      <w:r w:rsidRPr="004676F5">
        <w:rPr>
          <w:lang w:val="de-DE"/>
        </w:rPr>
        <w:t>6. Urteile, durch die über Beschwerden befunden wird, die gegen Entscheidungen eingelegt werden, die vom Konkursrichter oder beauftragten Richter im Rahmen der Erfüllung seines Auftrags getroffen werden.</w:t>
      </w:r>
    </w:p>
    <w:p w14:paraId="1E44C693" w14:textId="77777777" w:rsidR="00692DC7" w:rsidRPr="004676F5" w:rsidRDefault="00692DC7" w:rsidP="00692DC7">
      <w:pPr>
        <w:jc w:val="both"/>
        <w:rPr>
          <w:lang w:val="de-DE"/>
        </w:rPr>
      </w:pPr>
    </w:p>
    <w:p w14:paraId="675E1A51" w14:textId="21A97A6E" w:rsidR="00692DC7" w:rsidRPr="004676F5" w:rsidRDefault="00692DC7" w:rsidP="00692DC7">
      <w:pPr>
        <w:jc w:val="both"/>
        <w:rPr>
          <w:i/>
          <w:iCs/>
          <w:lang w:val="de-DE"/>
        </w:rPr>
      </w:pPr>
      <w:r w:rsidRPr="004676F5">
        <w:rPr>
          <w:i/>
          <w:iCs/>
          <w:lang w:val="de-DE"/>
        </w:rPr>
        <w:t xml:space="preserve">[Art. XX.2 einziger Absatz Nr. 2 abgeändert durch </w:t>
      </w:r>
      <w:r w:rsidR="00F7432B" w:rsidRPr="004676F5">
        <w:rPr>
          <w:i/>
          <w:iCs/>
          <w:lang w:val="de-DE"/>
        </w:rPr>
        <w:t xml:space="preserve">Art. 2 des G. vom 21. März 2021 (B.S. vom 26. März 2021), selbst aufgehoben durch Art. 271 des G. vom 7. Juni 2023 (B.S. vom 7. Juli 2023), und durch </w:t>
      </w:r>
      <w:r w:rsidRPr="004676F5">
        <w:rPr>
          <w:i/>
          <w:iCs/>
          <w:lang w:val="de-DE"/>
        </w:rPr>
        <w:t>Art. 6 Nr. 1 und 2</w:t>
      </w:r>
      <w:r w:rsidRPr="004676F5">
        <w:rPr>
          <w:i/>
          <w:lang w:val="de-DE"/>
        </w:rPr>
        <w:t xml:space="preserve"> des G. vom 7. Juni 2023 (B.S. vom 7. Juli 2023)]</w:t>
      </w:r>
    </w:p>
    <w:p w14:paraId="333C6D41" w14:textId="77777777" w:rsidR="00EE35E2" w:rsidRPr="004676F5" w:rsidRDefault="00EE35E2" w:rsidP="00EE35E2">
      <w:pPr>
        <w:ind w:firstLine="708"/>
        <w:jc w:val="both"/>
        <w:rPr>
          <w:lang w:val="de-DE"/>
        </w:rPr>
      </w:pPr>
    </w:p>
    <w:p w14:paraId="30381B79" w14:textId="77777777" w:rsidR="00DF5BE5" w:rsidRPr="004676F5" w:rsidRDefault="00DF5BE5" w:rsidP="00EE35E2">
      <w:pPr>
        <w:ind w:firstLine="708"/>
        <w:jc w:val="both"/>
        <w:rPr>
          <w:lang w:val="de-DE"/>
        </w:rPr>
      </w:pPr>
    </w:p>
    <w:p w14:paraId="7382C805" w14:textId="45C67798" w:rsidR="00EE35E2" w:rsidRPr="004676F5" w:rsidRDefault="00BE0A56" w:rsidP="00EE35E2">
      <w:pPr>
        <w:ind w:firstLine="708"/>
        <w:jc w:val="both"/>
        <w:rPr>
          <w:lang w:val="de-DE"/>
        </w:rPr>
      </w:pPr>
      <w:r w:rsidRPr="004676F5">
        <w:rPr>
          <w:b/>
          <w:lang w:val="de-DE"/>
        </w:rPr>
        <w:t>Art. </w:t>
      </w:r>
      <w:r w:rsidR="00EE35E2" w:rsidRPr="004676F5">
        <w:rPr>
          <w:b/>
          <w:lang w:val="de-DE"/>
        </w:rPr>
        <w:t>XX.3</w:t>
      </w:r>
      <w:r w:rsidR="00EE35E2" w:rsidRPr="004676F5">
        <w:rPr>
          <w:lang w:val="de-DE"/>
        </w:rPr>
        <w:t> </w:t>
      </w:r>
      <w:r w:rsidR="005B7A5C" w:rsidRPr="004676F5">
        <w:rPr>
          <w:lang w:val="de-DE"/>
        </w:rPr>
        <w:t>- </w:t>
      </w:r>
      <w:r w:rsidR="00EE35E2" w:rsidRPr="004676F5">
        <w:rPr>
          <w:lang w:val="de-DE"/>
        </w:rPr>
        <w:t>Wenn vorliegendes Buch bestimmt, dass Daten oder Schriftstücke im Register hinterlegt werden, setzen die Fristen unbeschadet der Auswirkungen, die das Gerichtsgesetzbuch Zustellungen beimisst, ab dem Tag nach der Hinterlegung ein.</w:t>
      </w:r>
    </w:p>
    <w:p w14:paraId="7B406A90" w14:textId="77777777" w:rsidR="00EE35E2" w:rsidRPr="004676F5" w:rsidRDefault="00EE35E2" w:rsidP="00EE35E2">
      <w:pPr>
        <w:ind w:firstLine="708"/>
        <w:jc w:val="both"/>
        <w:rPr>
          <w:lang w:val="de-DE"/>
        </w:rPr>
      </w:pPr>
    </w:p>
    <w:p w14:paraId="7145152A" w14:textId="77777777" w:rsidR="00EE35E2" w:rsidRPr="004676F5" w:rsidRDefault="00EE35E2" w:rsidP="00EE35E2">
      <w:pPr>
        <w:ind w:firstLine="708"/>
        <w:jc w:val="both"/>
        <w:rPr>
          <w:lang w:val="de-DE"/>
        </w:rPr>
      </w:pPr>
      <w:r w:rsidRPr="004676F5">
        <w:rPr>
          <w:lang w:val="de-DE"/>
        </w:rPr>
        <w:t>Die Artikel 50 Absatz 2, 55 und 56 des Gerichtsgesetzbuches sind nicht anwendbar auf die in vorliegendem Buch erwähnten Klagen und Zustellungen.</w:t>
      </w:r>
    </w:p>
    <w:p w14:paraId="0249DA08" w14:textId="77777777" w:rsidR="00EE35E2" w:rsidRPr="004676F5" w:rsidRDefault="00EE35E2" w:rsidP="00EE35E2">
      <w:pPr>
        <w:ind w:firstLine="708"/>
        <w:jc w:val="both"/>
        <w:rPr>
          <w:lang w:val="de-DE"/>
        </w:rPr>
      </w:pPr>
    </w:p>
    <w:p w14:paraId="663E1C6D" w14:textId="77777777" w:rsidR="00DF5BE5" w:rsidRPr="004676F5" w:rsidRDefault="00DF5BE5" w:rsidP="00EE35E2">
      <w:pPr>
        <w:ind w:firstLine="708"/>
        <w:jc w:val="both"/>
        <w:rPr>
          <w:lang w:val="de-DE"/>
        </w:rPr>
      </w:pPr>
    </w:p>
    <w:p w14:paraId="77D5724A" w14:textId="565EB699" w:rsidR="00EE35E2" w:rsidRPr="004676F5" w:rsidRDefault="00BE0A56" w:rsidP="00EE35E2">
      <w:pPr>
        <w:ind w:firstLine="708"/>
        <w:jc w:val="both"/>
        <w:rPr>
          <w:lang w:val="de-DE"/>
        </w:rPr>
      </w:pPr>
      <w:r w:rsidRPr="004676F5">
        <w:rPr>
          <w:b/>
          <w:lang w:val="de-DE"/>
        </w:rPr>
        <w:t>Art. </w:t>
      </w:r>
      <w:r w:rsidR="00EE35E2" w:rsidRPr="004676F5">
        <w:rPr>
          <w:b/>
          <w:lang w:val="de-DE"/>
        </w:rPr>
        <w:t>XX.4</w:t>
      </w:r>
      <w:r w:rsidR="00EE35E2" w:rsidRPr="004676F5">
        <w:rPr>
          <w:lang w:val="de-DE"/>
        </w:rPr>
        <w:t> </w:t>
      </w:r>
      <w:r w:rsidR="005B7A5C" w:rsidRPr="004676F5">
        <w:rPr>
          <w:lang w:val="de-DE"/>
        </w:rPr>
        <w:t>- </w:t>
      </w:r>
      <w:r w:rsidR="00EE35E2" w:rsidRPr="004676F5">
        <w:rPr>
          <w:lang w:val="de-DE"/>
        </w:rPr>
        <w:t>In Ermangelung eines Beitritts wie in Artikel 813 des Gerichtsgesetzbuches vorgesehen erhält derjenige, der aus eigener Initiative oder auf Initiative des Gerichts vernommen wird oder ein Schriftstück hinterlegt, um seine Bemerkungen geltend zu machen, einen Antrag zu stellen oder Gründe anzuführen, allein aufgrund dieser Tatsache nicht die Eigenschaft einer Partei.</w:t>
      </w:r>
    </w:p>
    <w:p w14:paraId="528E78EB" w14:textId="77777777" w:rsidR="00EE35E2" w:rsidRPr="004676F5" w:rsidRDefault="00EE35E2" w:rsidP="00EE35E2">
      <w:pPr>
        <w:ind w:firstLine="708"/>
        <w:jc w:val="both"/>
        <w:rPr>
          <w:lang w:val="de-DE"/>
        </w:rPr>
      </w:pPr>
    </w:p>
    <w:p w14:paraId="3EC1A8E9" w14:textId="77777777" w:rsidR="00EE35E2" w:rsidRPr="004676F5" w:rsidRDefault="00EE35E2" w:rsidP="00EE35E2">
      <w:pPr>
        <w:ind w:firstLine="708"/>
        <w:jc w:val="both"/>
        <w:rPr>
          <w:lang w:val="de-DE"/>
        </w:rPr>
      </w:pPr>
      <w:r w:rsidRPr="004676F5">
        <w:rPr>
          <w:lang w:val="de-DE"/>
        </w:rPr>
        <w:t>Eine Klage in Bezug auf einen Konkurs ist ebenfalls gegen den Konkursverwalter gerichtet.</w:t>
      </w:r>
    </w:p>
    <w:p w14:paraId="2679CECF" w14:textId="77777777" w:rsidR="00EE35E2" w:rsidRPr="004676F5" w:rsidRDefault="00EE35E2" w:rsidP="00EE35E2">
      <w:pPr>
        <w:ind w:firstLine="708"/>
        <w:jc w:val="both"/>
        <w:rPr>
          <w:lang w:val="de-DE"/>
        </w:rPr>
      </w:pPr>
    </w:p>
    <w:p w14:paraId="29FF9EB6" w14:textId="77777777" w:rsidR="00DF5BE5" w:rsidRPr="004676F5" w:rsidRDefault="00DF5BE5" w:rsidP="00EE35E2">
      <w:pPr>
        <w:ind w:firstLine="708"/>
        <w:jc w:val="both"/>
        <w:rPr>
          <w:lang w:val="de-DE"/>
        </w:rPr>
      </w:pPr>
    </w:p>
    <w:p w14:paraId="4E7878D8" w14:textId="4E3E87F3" w:rsidR="00EE35E2" w:rsidRPr="004676F5" w:rsidRDefault="00BE0A56" w:rsidP="00EE35E2">
      <w:pPr>
        <w:ind w:firstLine="708"/>
        <w:jc w:val="both"/>
        <w:rPr>
          <w:lang w:val="de-DE"/>
        </w:rPr>
      </w:pPr>
      <w:r w:rsidRPr="004676F5">
        <w:rPr>
          <w:b/>
          <w:lang w:val="de-DE"/>
        </w:rPr>
        <w:t>Art. </w:t>
      </w:r>
      <w:r w:rsidR="00EE35E2" w:rsidRPr="004676F5">
        <w:rPr>
          <w:b/>
          <w:lang w:val="de-DE"/>
        </w:rPr>
        <w:t>XX.5</w:t>
      </w:r>
      <w:r w:rsidR="00EE35E2" w:rsidRPr="004676F5">
        <w:rPr>
          <w:lang w:val="de-DE"/>
        </w:rPr>
        <w:t> </w:t>
      </w:r>
      <w:r w:rsidR="005B7A5C" w:rsidRPr="004676F5">
        <w:rPr>
          <w:lang w:val="de-DE"/>
        </w:rPr>
        <w:t>- </w:t>
      </w:r>
      <w:r w:rsidR="00EE35E2" w:rsidRPr="004676F5">
        <w:rPr>
          <w:lang w:val="de-DE"/>
        </w:rPr>
        <w:t>In Abweichung von den Artikeln 1027 und 1029 des Gerichtsgesetzbuches können in Titel 5 des vorliegenden Buches erwähnte einseitige Antragschriften vom Schuldner allein oder von seinem Rechtsanwalt unterzeichnet werden und werden diesbezügliche Entscheidungen des Gerichts in öffentlicher Sitzung verkündet.</w:t>
      </w:r>
    </w:p>
    <w:p w14:paraId="7EC0D04E" w14:textId="77777777" w:rsidR="00EE35E2" w:rsidRPr="004676F5" w:rsidRDefault="00EE35E2" w:rsidP="00EE35E2">
      <w:pPr>
        <w:ind w:firstLine="708"/>
        <w:jc w:val="both"/>
        <w:rPr>
          <w:lang w:val="de-DE"/>
        </w:rPr>
      </w:pPr>
    </w:p>
    <w:p w14:paraId="4604385F" w14:textId="77777777" w:rsidR="00DF5BE5" w:rsidRPr="004676F5" w:rsidRDefault="00DF5BE5" w:rsidP="00EE35E2">
      <w:pPr>
        <w:ind w:firstLine="708"/>
        <w:jc w:val="both"/>
        <w:rPr>
          <w:lang w:val="de-DE"/>
        </w:rPr>
      </w:pPr>
    </w:p>
    <w:p w14:paraId="2AF36E0D" w14:textId="1C313653" w:rsidR="00EE35E2" w:rsidRPr="004676F5" w:rsidRDefault="00BE0A56" w:rsidP="00EE35E2">
      <w:pPr>
        <w:ind w:firstLine="708"/>
        <w:jc w:val="both"/>
        <w:rPr>
          <w:lang w:val="de-DE"/>
        </w:rPr>
      </w:pPr>
      <w:r w:rsidRPr="004676F5">
        <w:rPr>
          <w:b/>
          <w:lang w:val="de-DE"/>
        </w:rPr>
        <w:t>Art. </w:t>
      </w:r>
      <w:r w:rsidR="00EE35E2" w:rsidRPr="004676F5">
        <w:rPr>
          <w:b/>
          <w:lang w:val="de-DE"/>
        </w:rPr>
        <w:t>XX.6</w:t>
      </w:r>
      <w:r w:rsidR="00EE35E2" w:rsidRPr="004676F5">
        <w:rPr>
          <w:lang w:val="de-DE"/>
        </w:rPr>
        <w:t> </w:t>
      </w:r>
      <w:r w:rsidR="005B7A5C" w:rsidRPr="004676F5">
        <w:rPr>
          <w:lang w:val="de-DE"/>
        </w:rPr>
        <w:t>- </w:t>
      </w:r>
      <w:r w:rsidR="00EE35E2" w:rsidRPr="004676F5">
        <w:rPr>
          <w:lang w:val="de-DE"/>
        </w:rPr>
        <w:t xml:space="preserve">Bestehen </w:t>
      </w:r>
      <w:r w:rsidR="003C1E5F" w:rsidRPr="004676F5">
        <w:rPr>
          <w:lang w:val="de-DE"/>
        </w:rPr>
        <w:t>[ernsthafte und genaue Indizien]</w:t>
      </w:r>
      <w:r w:rsidR="00EE35E2" w:rsidRPr="004676F5">
        <w:rPr>
          <w:lang w:val="de-DE"/>
        </w:rPr>
        <w:t xml:space="preserve"> dafür, dass der Antragsteller oder ein Dritter im Besitz eines Dokuments ist, dass eine Zahlungseinstellung oder die Erfüllung der Bedingungen für die Verlegung des Datums der Zahlungseinstellung oder die Eröffnung eines Verfahrens der gerichtlichen Reorganisation nachweist, oder eines sachdienlichen Dokuments für andere Entscheidungen, die unbeschadet der Anwendung durch das Gericht des Artikels 877 des Gerichtsgesetzbuches im Laufe des Insolvenzverfahrens getroffen werden können, kann der beauftragte Richter oder der Konkursrichter gemäß Artikel 877 und folgende des Gerichtsgesetzbuches auf Antrag eines Interessehabenden anordnen, dass dieses Dokument oder eine beglaubigte Abschrift davon der Insolvenzakte beigefügt wird.</w:t>
      </w:r>
    </w:p>
    <w:p w14:paraId="2B8EDF80" w14:textId="77777777" w:rsidR="003C1E5F" w:rsidRPr="004676F5" w:rsidRDefault="003C1E5F" w:rsidP="00EE35E2">
      <w:pPr>
        <w:ind w:firstLine="708"/>
        <w:jc w:val="both"/>
        <w:rPr>
          <w:lang w:val="de-DE"/>
        </w:rPr>
      </w:pPr>
    </w:p>
    <w:p w14:paraId="2320FA68" w14:textId="32552DF9" w:rsidR="003C1E5F" w:rsidRPr="004676F5" w:rsidRDefault="003C1E5F" w:rsidP="003C1E5F">
      <w:pPr>
        <w:jc w:val="both"/>
        <w:rPr>
          <w:i/>
          <w:lang w:val="de-DE"/>
        </w:rPr>
      </w:pPr>
      <w:r w:rsidRPr="004676F5">
        <w:rPr>
          <w:i/>
          <w:lang w:val="de-DE"/>
        </w:rPr>
        <w:t>[Art. XX.6 abgeändert durch Art. 39</w:t>
      </w:r>
      <w:r w:rsidRPr="004676F5">
        <w:rPr>
          <w:bCs/>
          <w:i/>
          <w:lang w:val="de-DE"/>
        </w:rPr>
        <w:t xml:space="preserve"> des G. vom 13. April 2019 (B.S. vom 14. Mai 2019)]</w:t>
      </w:r>
    </w:p>
    <w:p w14:paraId="57D1C4E2" w14:textId="77777777" w:rsidR="00EE35E2" w:rsidRPr="004676F5" w:rsidRDefault="00EE35E2" w:rsidP="00EE35E2">
      <w:pPr>
        <w:ind w:firstLine="708"/>
        <w:jc w:val="both"/>
        <w:rPr>
          <w:lang w:val="de-DE"/>
        </w:rPr>
      </w:pPr>
    </w:p>
    <w:p w14:paraId="257AFBFA" w14:textId="77777777" w:rsidR="00DF5BE5" w:rsidRPr="004676F5" w:rsidRDefault="00DF5BE5" w:rsidP="00EE35E2">
      <w:pPr>
        <w:ind w:firstLine="708"/>
        <w:jc w:val="both"/>
        <w:rPr>
          <w:lang w:val="de-DE"/>
        </w:rPr>
      </w:pPr>
    </w:p>
    <w:p w14:paraId="7A21728B" w14:textId="7338C9C8" w:rsidR="00EE35E2" w:rsidRPr="004676F5" w:rsidRDefault="00BE0A56" w:rsidP="00EE35E2">
      <w:pPr>
        <w:ind w:firstLine="708"/>
        <w:jc w:val="both"/>
        <w:rPr>
          <w:lang w:val="de-DE"/>
        </w:rPr>
      </w:pPr>
      <w:r w:rsidRPr="004676F5">
        <w:rPr>
          <w:b/>
          <w:lang w:val="de-DE"/>
        </w:rPr>
        <w:t>Art. </w:t>
      </w:r>
      <w:r w:rsidR="00EE35E2" w:rsidRPr="004676F5">
        <w:rPr>
          <w:b/>
          <w:lang w:val="de-DE"/>
        </w:rPr>
        <w:t>XX.7</w:t>
      </w:r>
      <w:r w:rsidR="00EE35E2" w:rsidRPr="004676F5">
        <w:rPr>
          <w:lang w:val="de-DE"/>
        </w:rPr>
        <w:t> </w:t>
      </w:r>
      <w:r w:rsidR="005B7A5C" w:rsidRPr="004676F5">
        <w:rPr>
          <w:lang w:val="de-DE"/>
        </w:rPr>
        <w:t>- </w:t>
      </w:r>
      <w:r w:rsidR="00EE35E2" w:rsidRPr="004676F5">
        <w:rPr>
          <w:lang w:val="de-DE"/>
        </w:rPr>
        <w:t>Das Gericht untersucht von Amts wegen alle Umstände, die für das Insolvenzverfahren sachdienlich sind, und ordnet von Amts wegen nützliche Unter</w:t>
      </w:r>
      <w:r w:rsidR="00EE35E2" w:rsidRPr="004676F5">
        <w:rPr>
          <w:lang w:val="de-DE"/>
        </w:rPr>
        <w:softHyphen/>
        <w:t xml:space="preserve">suchungsmaßnahmen an. Zu diesem Zweck kann es Zeugen vernehmen und Sachverständige bestellen. Im Rahmen dieser Untersuchungsmaßnahmen berücksichtigt das Gericht die spezifischen Regeln für Unternehmen, die in Artikel I.1 Nr. 14 erwähnt sind, und wendet es gegebenenfalls </w:t>
      </w:r>
      <w:r w:rsidR="00BC5AAC" w:rsidRPr="004676F5">
        <w:rPr>
          <w:lang w:val="de-DE"/>
        </w:rPr>
        <w:t>[</w:t>
      </w:r>
      <w:r w:rsidR="00EE35E2" w:rsidRPr="004676F5">
        <w:rPr>
          <w:lang w:val="de-DE"/>
        </w:rPr>
        <w:t>Artikel XX.1 § </w:t>
      </w:r>
      <w:r w:rsidR="00BC5AAC" w:rsidRPr="004676F5">
        <w:rPr>
          <w:lang w:val="de-DE"/>
        </w:rPr>
        <w:t>3]</w:t>
      </w:r>
      <w:r w:rsidR="00EE35E2" w:rsidRPr="004676F5">
        <w:rPr>
          <w:lang w:val="de-DE"/>
        </w:rPr>
        <w:t xml:space="preserve"> an.</w:t>
      </w:r>
    </w:p>
    <w:p w14:paraId="70343EB2" w14:textId="77777777" w:rsidR="00EE35E2" w:rsidRPr="004676F5" w:rsidRDefault="00EE35E2" w:rsidP="00EE35E2">
      <w:pPr>
        <w:ind w:firstLine="708"/>
        <w:jc w:val="both"/>
        <w:rPr>
          <w:lang w:val="de-DE"/>
        </w:rPr>
      </w:pPr>
    </w:p>
    <w:p w14:paraId="1F562AC7" w14:textId="77777777" w:rsidR="00EE35E2" w:rsidRPr="004676F5" w:rsidRDefault="00EE35E2" w:rsidP="00EE35E2">
      <w:pPr>
        <w:ind w:firstLine="708"/>
        <w:jc w:val="both"/>
        <w:rPr>
          <w:lang w:val="de-DE"/>
        </w:rPr>
      </w:pPr>
      <w:r w:rsidRPr="004676F5">
        <w:rPr>
          <w:lang w:val="de-DE"/>
        </w:rPr>
        <w:t>Der Richter kann in den in vorliegendem Buch erwähnten Verfahren von Amts wegen das Datum der Verhandlung festlegen, ohne durch Vereinbarungen zwischen den Parteien gebunden zu sein.</w:t>
      </w:r>
    </w:p>
    <w:p w14:paraId="47B3CE5D" w14:textId="77777777" w:rsidR="00EE35E2" w:rsidRPr="004676F5" w:rsidRDefault="00EE35E2" w:rsidP="00EE35E2">
      <w:pPr>
        <w:ind w:firstLine="708"/>
        <w:jc w:val="both"/>
        <w:rPr>
          <w:lang w:val="de-DE"/>
        </w:rPr>
      </w:pPr>
    </w:p>
    <w:p w14:paraId="580096DB" w14:textId="77777777" w:rsidR="00EE35E2" w:rsidRPr="004676F5" w:rsidRDefault="00EE35E2" w:rsidP="00EE35E2">
      <w:pPr>
        <w:ind w:firstLine="708"/>
        <w:jc w:val="both"/>
        <w:rPr>
          <w:lang w:val="de-DE"/>
        </w:rPr>
      </w:pPr>
      <w:r w:rsidRPr="004676F5">
        <w:rPr>
          <w:lang w:val="de-DE"/>
        </w:rPr>
        <w:t>Gegen diese Maßnahme kann kein Rechtsmittel eingelegt werden.</w:t>
      </w:r>
    </w:p>
    <w:p w14:paraId="29A83DEE" w14:textId="22ABC34D" w:rsidR="00EE35E2" w:rsidRPr="004676F5" w:rsidRDefault="00EE35E2" w:rsidP="00EE35E2">
      <w:pPr>
        <w:ind w:firstLine="708"/>
        <w:jc w:val="both"/>
        <w:rPr>
          <w:lang w:val="de-DE"/>
        </w:rPr>
      </w:pPr>
    </w:p>
    <w:p w14:paraId="32701F9D" w14:textId="15586791" w:rsidR="00BC5AAC" w:rsidRPr="004676F5" w:rsidRDefault="00BC5AAC" w:rsidP="00BC5AAC">
      <w:pPr>
        <w:jc w:val="both"/>
        <w:rPr>
          <w:i/>
          <w:lang w:val="de-DE"/>
        </w:rPr>
      </w:pPr>
      <w:r w:rsidRPr="004676F5">
        <w:rPr>
          <w:i/>
          <w:lang w:val="de-DE"/>
        </w:rPr>
        <w:t>[Art. XX.7 Abs. 1 abgeändert durch Art. 216 des G. vom 15. April 2018 (B.S. vom 27. April 2018)]</w:t>
      </w:r>
    </w:p>
    <w:p w14:paraId="7B89E9DB" w14:textId="77777777" w:rsidR="00BC5AAC" w:rsidRPr="004676F5" w:rsidRDefault="00BC5AAC" w:rsidP="00BC5AAC">
      <w:pPr>
        <w:jc w:val="both"/>
        <w:rPr>
          <w:i/>
          <w:lang w:val="de-DE"/>
        </w:rPr>
      </w:pPr>
    </w:p>
    <w:p w14:paraId="365C9C4B" w14:textId="77777777" w:rsidR="00DF5BE5" w:rsidRPr="004676F5" w:rsidRDefault="00DF5BE5" w:rsidP="00EE35E2">
      <w:pPr>
        <w:ind w:firstLine="708"/>
        <w:jc w:val="both"/>
        <w:rPr>
          <w:lang w:val="de-DE"/>
        </w:rPr>
      </w:pPr>
    </w:p>
    <w:p w14:paraId="19E4B201" w14:textId="51192FDA" w:rsidR="00EE35E2" w:rsidRPr="004676F5" w:rsidRDefault="00BE0A56" w:rsidP="00EE35E2">
      <w:pPr>
        <w:ind w:firstLine="708"/>
        <w:jc w:val="both"/>
        <w:rPr>
          <w:lang w:val="de-DE"/>
        </w:rPr>
      </w:pPr>
      <w:r w:rsidRPr="004676F5">
        <w:rPr>
          <w:b/>
          <w:lang w:val="de-DE"/>
        </w:rPr>
        <w:t>Art. </w:t>
      </w:r>
      <w:r w:rsidR="00EE35E2" w:rsidRPr="004676F5">
        <w:rPr>
          <w:b/>
          <w:lang w:val="de-DE"/>
        </w:rPr>
        <w:t>XX.8</w:t>
      </w:r>
      <w:r w:rsidR="00EE35E2" w:rsidRPr="004676F5">
        <w:rPr>
          <w:lang w:val="de-DE"/>
        </w:rPr>
        <w:t> </w:t>
      </w:r>
      <w:r w:rsidR="005B7A5C" w:rsidRPr="004676F5">
        <w:rPr>
          <w:lang w:val="de-DE"/>
        </w:rPr>
        <w:t>- </w:t>
      </w:r>
      <w:r w:rsidR="00EE35E2" w:rsidRPr="004676F5">
        <w:rPr>
          <w:lang w:val="de-DE"/>
        </w:rPr>
        <w:t xml:space="preserve">Natürliche Personen, denen kein Beistand beisteht, oder juristische Personen, deren </w:t>
      </w:r>
      <w:r w:rsidR="00191722" w:rsidRPr="004676F5">
        <w:rPr>
          <w:lang w:val="de-DE"/>
        </w:rPr>
        <w:t>[S</w:t>
      </w:r>
      <w:r w:rsidR="00EE35E2" w:rsidRPr="004676F5">
        <w:rPr>
          <w:lang w:val="de-DE"/>
        </w:rPr>
        <w:t>itz</w:t>
      </w:r>
      <w:r w:rsidR="00191722" w:rsidRPr="004676F5">
        <w:rPr>
          <w:lang w:val="de-DE"/>
        </w:rPr>
        <w:t>]</w:t>
      </w:r>
      <w:r w:rsidR="00EE35E2" w:rsidRPr="004676F5">
        <w:rPr>
          <w:lang w:val="de-DE"/>
        </w:rPr>
        <w:t xml:space="preserve"> im Ausland gelegen ist, können ihre Akten jederzeit auf Papier bei der Kanzlei oder bei Konkurs beim Konkursverwalter hinterlegen.</w:t>
      </w:r>
    </w:p>
    <w:p w14:paraId="758D9226" w14:textId="77777777" w:rsidR="00EE35E2" w:rsidRPr="004676F5" w:rsidRDefault="00EE35E2" w:rsidP="00EE35E2">
      <w:pPr>
        <w:ind w:firstLine="708"/>
        <w:jc w:val="both"/>
        <w:rPr>
          <w:lang w:val="de-DE"/>
        </w:rPr>
      </w:pPr>
    </w:p>
    <w:p w14:paraId="532CA813" w14:textId="77777777" w:rsidR="00EE35E2" w:rsidRPr="004676F5" w:rsidRDefault="00EE35E2" w:rsidP="00EE35E2">
      <w:pPr>
        <w:ind w:firstLine="708"/>
        <w:jc w:val="both"/>
        <w:rPr>
          <w:lang w:val="de-DE"/>
        </w:rPr>
      </w:pPr>
      <w:r w:rsidRPr="004676F5">
        <w:rPr>
          <w:lang w:val="de-DE"/>
        </w:rPr>
        <w:t>Die Hinterlegung auf Papier bei der Kanzlei oder bei Konkurs beim Konkursverwalter ist bei zeitweiligem Ausfall des Registers erlaubt.</w:t>
      </w:r>
    </w:p>
    <w:p w14:paraId="7338CCDF" w14:textId="77777777" w:rsidR="00EE35E2" w:rsidRPr="004676F5" w:rsidRDefault="00EE35E2" w:rsidP="00EE35E2">
      <w:pPr>
        <w:ind w:firstLine="708"/>
        <w:jc w:val="both"/>
        <w:rPr>
          <w:lang w:val="de-DE"/>
        </w:rPr>
      </w:pPr>
    </w:p>
    <w:p w14:paraId="65187D65" w14:textId="77777777" w:rsidR="00EE35E2" w:rsidRPr="004676F5" w:rsidRDefault="00EE35E2" w:rsidP="00EE35E2">
      <w:pPr>
        <w:ind w:firstLine="708"/>
        <w:jc w:val="both"/>
        <w:rPr>
          <w:lang w:val="de-DE"/>
        </w:rPr>
      </w:pPr>
      <w:r w:rsidRPr="004676F5">
        <w:rPr>
          <w:lang w:val="de-DE"/>
        </w:rPr>
        <w:t>Die Umwandlung von Aktenstücken, die auf materiellem Träger erstellt oder hinterlegt werden, in eine elektronische Akte erfolgt durch Registrierung in der elektronischen Akte durch elektronisches Einlesen und durch eine Bestätigung der Übereinstimmung mit dem elektronischen Dokument, die der Greffier oder gegebenenfalls der Konkursrichter vornimmt.</w:t>
      </w:r>
    </w:p>
    <w:p w14:paraId="0152D319" w14:textId="77777777" w:rsidR="00191722" w:rsidRPr="004676F5" w:rsidRDefault="00191722">
      <w:pPr>
        <w:rPr>
          <w:lang w:val="de-DE"/>
        </w:rPr>
      </w:pPr>
      <w:r w:rsidRPr="004676F5">
        <w:rPr>
          <w:lang w:val="de-DE"/>
        </w:rPr>
        <w:br w:type="page"/>
      </w:r>
    </w:p>
    <w:p w14:paraId="58EB2261" w14:textId="038430DA" w:rsidR="00EE35E2" w:rsidRPr="004676F5" w:rsidRDefault="00EE35E2" w:rsidP="00EE35E2">
      <w:pPr>
        <w:ind w:firstLine="708"/>
        <w:jc w:val="both"/>
        <w:rPr>
          <w:lang w:val="de-DE"/>
        </w:rPr>
      </w:pPr>
      <w:r w:rsidRPr="004676F5">
        <w:rPr>
          <w:lang w:val="de-DE"/>
        </w:rPr>
        <w:lastRenderedPageBreak/>
        <w:t>Bei Bedarf stellt der Greffier eine Abschrift auf Papier der elektronischen Daten aus.</w:t>
      </w:r>
    </w:p>
    <w:p w14:paraId="15383BA1" w14:textId="77777777" w:rsidR="00191722" w:rsidRPr="004676F5" w:rsidRDefault="00191722" w:rsidP="00191722">
      <w:pPr>
        <w:jc w:val="both"/>
        <w:rPr>
          <w:lang w:val="de-DE"/>
        </w:rPr>
      </w:pPr>
    </w:p>
    <w:p w14:paraId="2282796B" w14:textId="329B1BBF" w:rsidR="00191722" w:rsidRPr="004676F5" w:rsidRDefault="00191722" w:rsidP="00191722">
      <w:pPr>
        <w:jc w:val="both"/>
        <w:rPr>
          <w:i/>
          <w:iCs/>
          <w:lang w:val="de-DE"/>
        </w:rPr>
      </w:pPr>
      <w:r w:rsidRPr="004676F5">
        <w:rPr>
          <w:i/>
          <w:iCs/>
          <w:lang w:val="de-DE"/>
        </w:rPr>
        <w:t>[Art. XX.8 Abs. 1 abgeändert durch Art. 7</w:t>
      </w:r>
      <w:r w:rsidRPr="004676F5">
        <w:rPr>
          <w:i/>
          <w:lang w:val="de-DE"/>
        </w:rPr>
        <w:t xml:space="preserve"> des G. vom 7. Juni 2023 (B.S. vom 7. Juli 2023)]</w:t>
      </w:r>
    </w:p>
    <w:p w14:paraId="4F92CD43" w14:textId="77777777" w:rsidR="00EE35E2" w:rsidRPr="004676F5" w:rsidRDefault="00EE35E2" w:rsidP="00EE35E2">
      <w:pPr>
        <w:ind w:firstLine="708"/>
        <w:jc w:val="both"/>
        <w:rPr>
          <w:lang w:val="de-DE"/>
        </w:rPr>
      </w:pPr>
    </w:p>
    <w:p w14:paraId="4DD95E01" w14:textId="77777777" w:rsidR="00DF5BE5" w:rsidRPr="004676F5" w:rsidRDefault="00DF5BE5" w:rsidP="00EE35E2">
      <w:pPr>
        <w:ind w:firstLine="708"/>
        <w:jc w:val="both"/>
        <w:rPr>
          <w:lang w:val="de-DE"/>
        </w:rPr>
      </w:pPr>
    </w:p>
    <w:p w14:paraId="26F81DF6" w14:textId="27A71CFC" w:rsidR="00EE35E2" w:rsidRPr="004676F5" w:rsidRDefault="00BE0A56" w:rsidP="00EE35E2">
      <w:pPr>
        <w:ind w:firstLine="708"/>
        <w:jc w:val="both"/>
        <w:rPr>
          <w:lang w:val="de-DE"/>
        </w:rPr>
      </w:pPr>
      <w:r w:rsidRPr="004676F5">
        <w:rPr>
          <w:b/>
          <w:lang w:val="de-DE"/>
        </w:rPr>
        <w:t>Art. </w:t>
      </w:r>
      <w:r w:rsidR="00EE35E2" w:rsidRPr="004676F5">
        <w:rPr>
          <w:b/>
          <w:lang w:val="de-DE"/>
        </w:rPr>
        <w:t>XX.9</w:t>
      </w:r>
      <w:r w:rsidR="00EE35E2" w:rsidRPr="004676F5">
        <w:rPr>
          <w:lang w:val="de-DE"/>
        </w:rPr>
        <w:t> </w:t>
      </w:r>
      <w:r w:rsidR="005B7A5C" w:rsidRPr="004676F5">
        <w:rPr>
          <w:lang w:val="de-DE"/>
        </w:rPr>
        <w:t>- </w:t>
      </w:r>
      <w:r w:rsidR="00EE35E2" w:rsidRPr="004676F5">
        <w:rPr>
          <w:lang w:val="de-DE"/>
        </w:rPr>
        <w:t>Unbeschadet des Artikels 32</w:t>
      </w:r>
      <w:r w:rsidR="00EE35E2" w:rsidRPr="004676F5">
        <w:rPr>
          <w:i/>
          <w:lang w:val="de-DE"/>
        </w:rPr>
        <w:t>ter</w:t>
      </w:r>
      <w:r w:rsidR="00EE35E2" w:rsidRPr="004676F5">
        <w:rPr>
          <w:lang w:val="de-DE"/>
        </w:rPr>
        <w:t xml:space="preserve"> des Gerichtsgesetzbuches erfolgen durch vorliegendes Buch vorgesehene Notifizierungen, Mitteilungen</w:t>
      </w:r>
      <w:r w:rsidR="00191722" w:rsidRPr="004676F5">
        <w:rPr>
          <w:lang w:val="de-DE"/>
        </w:rPr>
        <w:t>[, einschließlich Meldungen und Vorladungen,]</w:t>
      </w:r>
      <w:r w:rsidR="00EE35E2" w:rsidRPr="004676F5">
        <w:rPr>
          <w:lang w:val="de-DE"/>
        </w:rPr>
        <w:t xml:space="preserve"> oder Hinterlegungen an einen, bei einem beziehungsweise von einem </w:t>
      </w:r>
      <w:r w:rsidR="00E156F3" w:rsidRPr="004676F5">
        <w:rPr>
          <w:lang w:val="de-DE"/>
        </w:rPr>
        <w:t>[Gericht, gerichtlichen Bevollmächtigten]</w:t>
      </w:r>
      <w:r w:rsidR="00EE35E2" w:rsidRPr="004676F5">
        <w:rPr>
          <w:lang w:val="de-DE"/>
        </w:rPr>
        <w:t>, beauftragten Richter oder Konkursrichter über das Register.</w:t>
      </w:r>
    </w:p>
    <w:p w14:paraId="17A238CB" w14:textId="77777777" w:rsidR="00EE35E2" w:rsidRPr="004676F5" w:rsidRDefault="00EE35E2" w:rsidP="00EE35E2">
      <w:pPr>
        <w:ind w:firstLine="708"/>
        <w:jc w:val="both"/>
        <w:rPr>
          <w:lang w:val="de-DE"/>
        </w:rPr>
      </w:pPr>
    </w:p>
    <w:p w14:paraId="45696FBB" w14:textId="77777777" w:rsidR="00EE35E2" w:rsidRPr="004676F5" w:rsidRDefault="00EE35E2" w:rsidP="00EE35E2">
      <w:pPr>
        <w:ind w:firstLine="708"/>
        <w:jc w:val="both"/>
        <w:rPr>
          <w:lang w:val="de-DE"/>
        </w:rPr>
      </w:pPr>
      <w:r w:rsidRPr="004676F5">
        <w:rPr>
          <w:lang w:val="de-DE"/>
        </w:rPr>
        <w:t>Schreibt vorliegendes Buch eine Mitteilung oder Notifizierung vor oder erlegt es sie auf, gilt die Hinterlegung der Mitteilung im Register als Notifizierung oder Mitteilung, sofern eine elektronische Nachricht an den Betreffenden damit einhergeht.</w:t>
      </w:r>
    </w:p>
    <w:p w14:paraId="78F0244F" w14:textId="77777777" w:rsidR="00EE35E2" w:rsidRPr="004676F5" w:rsidRDefault="00EE35E2" w:rsidP="00EE35E2">
      <w:pPr>
        <w:ind w:firstLine="708"/>
        <w:jc w:val="both"/>
        <w:rPr>
          <w:lang w:val="de-DE"/>
        </w:rPr>
      </w:pPr>
    </w:p>
    <w:p w14:paraId="2FADE090" w14:textId="395C1C78" w:rsidR="00EE35E2" w:rsidRPr="004676F5" w:rsidRDefault="00EE35E2" w:rsidP="00EE35E2">
      <w:pPr>
        <w:ind w:firstLine="708"/>
        <w:jc w:val="both"/>
        <w:rPr>
          <w:lang w:val="de-DE"/>
        </w:rPr>
      </w:pPr>
      <w:r w:rsidRPr="004676F5">
        <w:rPr>
          <w:lang w:val="de-DE"/>
        </w:rPr>
        <w:t>Das Hinterlegungs-, Notifizierungs</w:t>
      </w:r>
      <w:r w:rsidR="005B7A5C" w:rsidRPr="004676F5">
        <w:rPr>
          <w:lang w:val="de-DE"/>
        </w:rPr>
        <w:t>- </w:t>
      </w:r>
      <w:r w:rsidRPr="004676F5">
        <w:rPr>
          <w:lang w:val="de-DE"/>
        </w:rPr>
        <w:t xml:space="preserve">oder Mitteilungsdatum wird durch das Register festgestellt. </w:t>
      </w:r>
      <w:r w:rsidR="00E156F3" w:rsidRPr="004676F5">
        <w:rPr>
          <w:lang w:val="de-DE"/>
        </w:rPr>
        <w:t>[</w:t>
      </w:r>
      <w:r w:rsidR="00B30591" w:rsidRPr="004676F5">
        <w:rPr>
          <w:lang w:val="de-DE"/>
        </w:rPr>
        <w:t>...</w:t>
      </w:r>
      <w:r w:rsidR="00E156F3" w:rsidRPr="004676F5">
        <w:rPr>
          <w:lang w:val="de-DE"/>
        </w:rPr>
        <w:t>]</w:t>
      </w:r>
      <w:r w:rsidRPr="004676F5">
        <w:rPr>
          <w:lang w:val="de-DE"/>
        </w:rPr>
        <w:t xml:space="preserve"> Der Endempfänger stellt eine Empfangsbestätigung aus.</w:t>
      </w:r>
    </w:p>
    <w:p w14:paraId="3C8CC383" w14:textId="77777777" w:rsidR="00EE35E2" w:rsidRPr="004676F5" w:rsidRDefault="00EE35E2" w:rsidP="00EE35E2">
      <w:pPr>
        <w:ind w:firstLine="708"/>
        <w:jc w:val="both"/>
        <w:rPr>
          <w:lang w:val="de-DE"/>
        </w:rPr>
      </w:pPr>
    </w:p>
    <w:p w14:paraId="29797F2F" w14:textId="77777777" w:rsidR="00E156F3" w:rsidRPr="004676F5" w:rsidRDefault="00E156F3" w:rsidP="00E156F3">
      <w:pPr>
        <w:ind w:firstLine="708"/>
        <w:jc w:val="both"/>
        <w:rPr>
          <w:lang w:val="de-DE"/>
        </w:rPr>
      </w:pPr>
      <w:r w:rsidRPr="004676F5">
        <w:rPr>
          <w:lang w:val="de-DE"/>
        </w:rPr>
        <w:t>[Bei Sendungen in Papierform ist das Datum des Empfangs das Datum, an dem die Akte vom Empfänger in Empfang genommen wird.</w:t>
      </w:r>
    </w:p>
    <w:p w14:paraId="3510E72C" w14:textId="77777777" w:rsidR="00E156F3" w:rsidRPr="004676F5" w:rsidRDefault="00E156F3" w:rsidP="00E156F3">
      <w:pPr>
        <w:jc w:val="both"/>
        <w:rPr>
          <w:lang w:val="de-DE"/>
        </w:rPr>
      </w:pPr>
    </w:p>
    <w:p w14:paraId="5FB623B8" w14:textId="4EBEF9EE" w:rsidR="00E156F3" w:rsidRPr="004676F5" w:rsidRDefault="00E156F3" w:rsidP="00E156F3">
      <w:pPr>
        <w:ind w:firstLine="708"/>
        <w:jc w:val="both"/>
        <w:rPr>
          <w:lang w:val="de-DE"/>
        </w:rPr>
      </w:pPr>
      <w:r w:rsidRPr="004676F5">
        <w:rPr>
          <w:lang w:val="de-DE"/>
        </w:rPr>
        <w:t>Der Endempfänger stellt eine Empfangsbestätigung aus; anderenfalls beginnt die Frist ihm gegenüber nicht zu laufen.]</w:t>
      </w:r>
    </w:p>
    <w:p w14:paraId="4702DD0F" w14:textId="77777777" w:rsidR="00E156F3" w:rsidRPr="004676F5" w:rsidRDefault="00E156F3" w:rsidP="00E156F3">
      <w:pPr>
        <w:jc w:val="both"/>
        <w:rPr>
          <w:lang w:val="de-DE"/>
        </w:rPr>
      </w:pPr>
    </w:p>
    <w:p w14:paraId="2065E5CB" w14:textId="6FD82E29" w:rsidR="00E156F3" w:rsidRPr="004676F5" w:rsidRDefault="00E156F3" w:rsidP="00E156F3">
      <w:pPr>
        <w:jc w:val="both"/>
        <w:rPr>
          <w:i/>
          <w:iCs/>
          <w:lang w:val="de-DE"/>
        </w:rPr>
      </w:pPr>
      <w:r w:rsidRPr="004676F5">
        <w:rPr>
          <w:i/>
          <w:iCs/>
          <w:lang w:val="de-DE"/>
        </w:rPr>
        <w:t>[Art. XX.9 Abs. 1 abgeändert durch Art. 8 Nr. 1 des G. vom 7. Juni 2023 (B.S. vom 7. Juli 2023); Abs. 3 abgeändert durch Art. 8 Nr. 2 des G. vom 7. Juni 2023 (B.S. vom 7. Juli 2023); Abs. 4 und 5 eingefügt durch Art. 8 Nr. 2 des G. vom 7. Juni 2023 (B.S. vom 7. Juli 2023)]</w:t>
      </w:r>
    </w:p>
    <w:p w14:paraId="01F0A564" w14:textId="77777777" w:rsidR="00E156F3" w:rsidRPr="004676F5" w:rsidRDefault="00E156F3" w:rsidP="00E156F3">
      <w:pPr>
        <w:jc w:val="both"/>
        <w:rPr>
          <w:i/>
          <w:iCs/>
          <w:lang w:val="de-DE"/>
        </w:rPr>
      </w:pPr>
    </w:p>
    <w:p w14:paraId="706D2EA3" w14:textId="77777777" w:rsidR="00E156F3" w:rsidRPr="004676F5" w:rsidRDefault="00E156F3" w:rsidP="00E156F3">
      <w:pPr>
        <w:jc w:val="both"/>
        <w:rPr>
          <w:lang w:val="de-DE"/>
        </w:rPr>
      </w:pPr>
    </w:p>
    <w:p w14:paraId="3B9F7805" w14:textId="6A3C6AC6" w:rsidR="00EE35E2" w:rsidRPr="004676F5" w:rsidRDefault="00BE0A56" w:rsidP="00EE35E2">
      <w:pPr>
        <w:ind w:firstLine="708"/>
        <w:jc w:val="both"/>
        <w:rPr>
          <w:lang w:val="de-DE"/>
        </w:rPr>
      </w:pPr>
      <w:r w:rsidRPr="004676F5">
        <w:rPr>
          <w:b/>
          <w:lang w:val="de-DE"/>
        </w:rPr>
        <w:t>Art. </w:t>
      </w:r>
      <w:r w:rsidR="00EE35E2" w:rsidRPr="004676F5">
        <w:rPr>
          <w:b/>
          <w:lang w:val="de-DE"/>
        </w:rPr>
        <w:t>XX.10</w:t>
      </w:r>
      <w:r w:rsidR="00EE35E2" w:rsidRPr="004676F5">
        <w:rPr>
          <w:lang w:val="de-DE"/>
        </w:rPr>
        <w:t> </w:t>
      </w:r>
      <w:r w:rsidR="005B7A5C" w:rsidRPr="004676F5">
        <w:rPr>
          <w:lang w:val="de-DE"/>
        </w:rPr>
        <w:t>- </w:t>
      </w:r>
      <w:r w:rsidR="00EE35E2" w:rsidRPr="004676F5">
        <w:rPr>
          <w:lang w:val="de-DE"/>
        </w:rPr>
        <w:t xml:space="preserve">Ungeachtet jeglicher anderweitig erfolgter Notifizierung oder Zustellung werden Veröffentlichungen, die aufgrund der Bestimmungen des vorliegenden Buches angeordnet werden, im </w:t>
      </w:r>
      <w:r w:rsidR="00EE35E2" w:rsidRPr="004676F5">
        <w:rPr>
          <w:i/>
          <w:lang w:val="de-DE"/>
        </w:rPr>
        <w:t>Belgischen Staatsblatt</w:t>
      </w:r>
      <w:r w:rsidR="00EE35E2" w:rsidRPr="004676F5">
        <w:rPr>
          <w:lang w:val="de-DE"/>
        </w:rPr>
        <w:t xml:space="preserve"> vorgenommen.</w:t>
      </w:r>
    </w:p>
    <w:p w14:paraId="6FCC3DA4" w14:textId="77777777" w:rsidR="00EE35E2" w:rsidRPr="004676F5" w:rsidRDefault="00EE35E2" w:rsidP="00EE35E2">
      <w:pPr>
        <w:ind w:firstLine="708"/>
        <w:jc w:val="both"/>
        <w:rPr>
          <w:lang w:val="de-DE"/>
        </w:rPr>
      </w:pPr>
    </w:p>
    <w:p w14:paraId="0965B704" w14:textId="77777777" w:rsidR="00DF5BE5" w:rsidRPr="004676F5" w:rsidRDefault="00DF5BE5" w:rsidP="00EE35E2">
      <w:pPr>
        <w:ind w:firstLine="708"/>
        <w:jc w:val="both"/>
        <w:rPr>
          <w:lang w:val="de-DE"/>
        </w:rPr>
      </w:pPr>
    </w:p>
    <w:p w14:paraId="1E2AC070" w14:textId="686FA429" w:rsidR="00EE35E2" w:rsidRPr="004676F5" w:rsidRDefault="00BE0A56" w:rsidP="00EE35E2">
      <w:pPr>
        <w:ind w:firstLine="708"/>
        <w:jc w:val="both"/>
        <w:rPr>
          <w:lang w:val="de-DE"/>
        </w:rPr>
      </w:pPr>
      <w:r w:rsidRPr="004676F5">
        <w:rPr>
          <w:b/>
          <w:lang w:val="de-DE"/>
        </w:rPr>
        <w:t>Art. </w:t>
      </w:r>
      <w:r w:rsidR="00EE35E2" w:rsidRPr="004676F5">
        <w:rPr>
          <w:b/>
          <w:lang w:val="de-DE"/>
        </w:rPr>
        <w:t>XX.11</w:t>
      </w:r>
      <w:r w:rsidR="00EE35E2" w:rsidRPr="004676F5">
        <w:rPr>
          <w:lang w:val="de-DE"/>
        </w:rPr>
        <w:t> </w:t>
      </w:r>
      <w:r w:rsidR="005B7A5C" w:rsidRPr="004676F5">
        <w:rPr>
          <w:lang w:val="de-DE"/>
        </w:rPr>
        <w:t>- </w:t>
      </w:r>
      <w:r w:rsidR="00EE35E2" w:rsidRPr="004676F5">
        <w:rPr>
          <w:lang w:val="de-DE"/>
        </w:rPr>
        <w:t>Wenn in Bestimmungen des vorliegenden Buches vorgesehen ist, dass eine Handlung schriftlich vorgenommen wird, wird dieser Anforderung genügt, wenn das betreffende Schriftstück elektronisch von einer authentisierten Person über das Register hinterlegt wird und mit einer elektronischen Signatur versehen ist.</w:t>
      </w:r>
    </w:p>
    <w:p w14:paraId="69255410" w14:textId="77777777" w:rsidR="00EE35E2" w:rsidRPr="004676F5" w:rsidRDefault="00EE35E2" w:rsidP="00EE35E2">
      <w:pPr>
        <w:ind w:firstLine="708"/>
        <w:jc w:val="both"/>
        <w:rPr>
          <w:lang w:val="de-DE"/>
        </w:rPr>
      </w:pPr>
    </w:p>
    <w:p w14:paraId="49523CB0" w14:textId="77777777" w:rsidR="000807D3" w:rsidRPr="004676F5" w:rsidRDefault="000807D3" w:rsidP="00EE35E2">
      <w:pPr>
        <w:ind w:firstLine="708"/>
        <w:jc w:val="both"/>
        <w:rPr>
          <w:lang w:val="de-DE"/>
        </w:rPr>
      </w:pPr>
    </w:p>
    <w:p w14:paraId="5802465A" w14:textId="3DA3F74C" w:rsidR="000807D3" w:rsidRPr="004676F5" w:rsidRDefault="000807D3" w:rsidP="00EE35E2">
      <w:pPr>
        <w:ind w:firstLine="708"/>
        <w:jc w:val="both"/>
        <w:rPr>
          <w:lang w:val="de-DE"/>
        </w:rPr>
      </w:pPr>
      <w:r w:rsidRPr="004676F5">
        <w:rPr>
          <w:lang w:val="de-DE"/>
        </w:rPr>
        <w:t>[</w:t>
      </w:r>
      <w:r w:rsidRPr="004676F5">
        <w:rPr>
          <w:b/>
          <w:bCs/>
          <w:lang w:val="de-DE"/>
        </w:rPr>
        <w:t>Art. XX.11/1</w:t>
      </w:r>
      <w:r w:rsidRPr="004676F5">
        <w:rPr>
          <w:lang w:val="de-DE"/>
        </w:rPr>
        <w:t> - Wenn die Bestimmungen des vorliegenden Buches einen Bericht des Konkursrichters oder beauftragten Richters vorsehen, kann der Bericht auch schriftlich erfolgen, vorausgesetzt, dass er mindestens zwei Werktage vor dem für diesen Bericht vorgesehenen Datum im Register hinterlegt wird.]</w:t>
      </w:r>
    </w:p>
    <w:p w14:paraId="19C51F45" w14:textId="77777777" w:rsidR="000807D3" w:rsidRPr="004676F5" w:rsidRDefault="000807D3" w:rsidP="000807D3">
      <w:pPr>
        <w:jc w:val="both"/>
        <w:rPr>
          <w:lang w:val="de-DE"/>
        </w:rPr>
      </w:pPr>
    </w:p>
    <w:p w14:paraId="42991FAF" w14:textId="5D1830A5" w:rsidR="000807D3" w:rsidRPr="004676F5" w:rsidRDefault="000807D3" w:rsidP="000807D3">
      <w:pPr>
        <w:jc w:val="both"/>
        <w:rPr>
          <w:i/>
          <w:iCs/>
          <w:lang w:val="de-DE"/>
        </w:rPr>
      </w:pPr>
      <w:r w:rsidRPr="004676F5">
        <w:rPr>
          <w:i/>
          <w:iCs/>
          <w:lang w:val="de-DE"/>
        </w:rPr>
        <w:t>[Art. XX.11/1 eingefügt durch Art. </w:t>
      </w:r>
      <w:r w:rsidR="00F7432B" w:rsidRPr="004676F5">
        <w:rPr>
          <w:i/>
          <w:iCs/>
          <w:lang w:val="de-DE"/>
        </w:rPr>
        <w:t xml:space="preserve">3 des G. vom 21. März 2021 (B.S. vom 26. März 2021), selbst aufgehoben durch Art. 271 des G. vom 7. Juni 2023 (B.S. vom 7. Juli 2023), und erneut eingefügt durch Art. </w:t>
      </w:r>
      <w:r w:rsidRPr="004676F5">
        <w:rPr>
          <w:i/>
          <w:iCs/>
          <w:lang w:val="de-DE"/>
        </w:rPr>
        <w:t>9 des G. vom 7. Juni 2023 (B.S. vom 7. Juli 2023)]</w:t>
      </w:r>
    </w:p>
    <w:p w14:paraId="5816DFAC" w14:textId="77777777" w:rsidR="00DF5BE5" w:rsidRPr="004676F5" w:rsidRDefault="00DF5BE5" w:rsidP="00EE35E2">
      <w:pPr>
        <w:ind w:firstLine="708"/>
        <w:jc w:val="both"/>
        <w:rPr>
          <w:lang w:val="de-DE"/>
        </w:rPr>
      </w:pPr>
    </w:p>
    <w:p w14:paraId="59D3AAF9" w14:textId="77777777" w:rsidR="000807D3" w:rsidRPr="004676F5" w:rsidRDefault="000807D3" w:rsidP="00EE35E2">
      <w:pPr>
        <w:ind w:firstLine="708"/>
        <w:jc w:val="both"/>
        <w:rPr>
          <w:lang w:val="de-DE"/>
        </w:rPr>
      </w:pPr>
    </w:p>
    <w:p w14:paraId="008FBEFA" w14:textId="76A04579"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XX.12</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Für die Eröffnung eines Insolvenzverfahrens ist ausschließlich das Insolvenzgericht zuständig, in dessen Bereich der Schuldner zum Zeitpunkt der Befassung des Gerichts den Mittelpunkt seiner hauptsächlichen Interessen hat.</w:t>
      </w:r>
    </w:p>
    <w:p w14:paraId="259E291B" w14:textId="77777777" w:rsidR="00EE35E2" w:rsidRPr="004676F5" w:rsidRDefault="00EE35E2" w:rsidP="00EE35E2">
      <w:pPr>
        <w:ind w:firstLine="708"/>
        <w:jc w:val="both"/>
        <w:rPr>
          <w:lang w:val="de-DE"/>
        </w:rPr>
      </w:pPr>
    </w:p>
    <w:p w14:paraId="3F9BB1B3" w14:textId="77777777" w:rsidR="00EE35E2" w:rsidRPr="004676F5" w:rsidRDefault="00EE35E2" w:rsidP="00EE35E2">
      <w:pPr>
        <w:ind w:firstLine="708"/>
        <w:jc w:val="both"/>
        <w:rPr>
          <w:lang w:val="de-DE"/>
        </w:rPr>
      </w:pPr>
      <w:r w:rsidRPr="004676F5">
        <w:rPr>
          <w:lang w:val="de-DE"/>
        </w:rPr>
        <w:t>Bei Gesellschaften oder juristischen Personen wird bis zum Gegenbeweis vermutet, dass der Mittelpunkt ihrer hauptsächlichen Interessen der Ort ihres Sitzes ist. Diese Vermutung gilt nur, wenn der Sitz nicht in einem Zeitraum von drei Monaten vor dem Antrag auf Eröffnung des Insolvenzverfahrens in einen anderen Gerichtsbereich verlegt wurde.</w:t>
      </w:r>
    </w:p>
    <w:p w14:paraId="52FCEA8B" w14:textId="77777777" w:rsidR="00EE35E2" w:rsidRPr="004676F5" w:rsidRDefault="00EE35E2" w:rsidP="00EE35E2">
      <w:pPr>
        <w:ind w:firstLine="708"/>
        <w:jc w:val="both"/>
        <w:rPr>
          <w:lang w:val="de-DE"/>
        </w:rPr>
      </w:pPr>
    </w:p>
    <w:p w14:paraId="4BBEB5CE" w14:textId="77777777" w:rsidR="00EE35E2" w:rsidRPr="004676F5" w:rsidRDefault="00EE35E2" w:rsidP="00EE35E2">
      <w:pPr>
        <w:ind w:firstLine="708"/>
        <w:jc w:val="both"/>
        <w:rPr>
          <w:lang w:val="de-DE"/>
        </w:rPr>
      </w:pPr>
      <w:r w:rsidRPr="004676F5">
        <w:rPr>
          <w:lang w:val="de-DE"/>
        </w:rPr>
        <w:t>Bei einer natürlichen Person, die eine freiberufliche Tätigkeit oder eine andere selbständige gewerbliche Tätigkeit ausübt, wird bis zum Gegenbeweis vermutet, dass der Mittelpunkt ihrer hauptsächlichen Interessen ihre Hauptniederlassung ist oder bei einem eintragungspflichtigen Freiberufler der Hauptort, an dem er eingetragen ist. Diese Vermutung gilt nur, wenn die Hauptniederlassung nicht in einem Zeitraum von drei Monaten vor dem Antrag auf Eröffnung des Insolvenzverfahrens in einen anderen Gerichtsbereich verlegt wurde.</w:t>
      </w:r>
    </w:p>
    <w:p w14:paraId="6E517B79" w14:textId="77777777" w:rsidR="00EE35E2" w:rsidRPr="004676F5" w:rsidRDefault="00EE35E2" w:rsidP="00EE35E2">
      <w:pPr>
        <w:ind w:firstLine="708"/>
        <w:jc w:val="both"/>
        <w:rPr>
          <w:lang w:val="de-DE"/>
        </w:rPr>
      </w:pPr>
    </w:p>
    <w:p w14:paraId="46FAB06A" w14:textId="0407D6BC"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Jede Abteilung eines Gerichts ist zuständig, um in einem Insolvenzverfahren zu erkennen, unbeschadet der Möglichkeit für jedes Gericht, in Anwendung von Artikel 186 des Gerichtsgesetzbuches in seiner Geschäftsordnung die Zuständigkeit jeder Abteilung zu bestimmen.</w:t>
      </w:r>
    </w:p>
    <w:p w14:paraId="1A4EBC3C" w14:textId="77777777" w:rsidR="00EE35E2" w:rsidRPr="004676F5" w:rsidRDefault="00EE35E2" w:rsidP="00EE35E2">
      <w:pPr>
        <w:ind w:firstLine="708"/>
        <w:jc w:val="both"/>
        <w:rPr>
          <w:lang w:val="de-DE"/>
        </w:rPr>
      </w:pPr>
    </w:p>
    <w:p w14:paraId="59980896" w14:textId="2753C5D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Die Abteilung der ersten Befassung wird einer später befassten Abteilung vorgezogen.</w:t>
      </w:r>
    </w:p>
    <w:p w14:paraId="388E4493" w14:textId="77777777" w:rsidR="00EE35E2" w:rsidRPr="004676F5" w:rsidRDefault="00EE35E2" w:rsidP="00EE35E2">
      <w:pPr>
        <w:ind w:firstLine="708"/>
        <w:jc w:val="both"/>
        <w:rPr>
          <w:lang w:val="de-DE"/>
        </w:rPr>
      </w:pPr>
    </w:p>
    <w:p w14:paraId="44E98C53" w14:textId="4A47E1AF"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Paragraph 1 ist auf das in Artikel XX.32 vorgesehene Verfahren anwendbar. Das Gericht, das den Entzug der Verwaltung der Güter angeordnet hat, ist einzig zuständig, um den Konkurs des Schuldners binnen der in Artikel XX.32 § 5 Absatz 4 bestimmten Frist auszusprechen.</w:t>
      </w:r>
    </w:p>
    <w:p w14:paraId="4EB92C96" w14:textId="77777777" w:rsidR="00EE35E2" w:rsidRPr="004676F5" w:rsidRDefault="00EE35E2" w:rsidP="00EE35E2">
      <w:pPr>
        <w:ind w:firstLine="708"/>
        <w:jc w:val="both"/>
        <w:rPr>
          <w:lang w:val="de-DE"/>
        </w:rPr>
      </w:pPr>
    </w:p>
    <w:p w14:paraId="30F04791" w14:textId="77777777" w:rsidR="00DF5BE5" w:rsidRPr="004676F5" w:rsidRDefault="00DF5BE5" w:rsidP="00EE35E2">
      <w:pPr>
        <w:ind w:firstLine="708"/>
        <w:jc w:val="both"/>
        <w:rPr>
          <w:lang w:val="de-DE"/>
        </w:rPr>
      </w:pPr>
    </w:p>
    <w:p w14:paraId="0CF64DAF" w14:textId="249E567E" w:rsidR="00EE35E2" w:rsidRPr="004676F5" w:rsidRDefault="00BE0A56" w:rsidP="00DF5BE5">
      <w:pPr>
        <w:ind w:firstLine="708"/>
        <w:jc w:val="both"/>
        <w:rPr>
          <w:lang w:val="de-DE"/>
        </w:rPr>
      </w:pPr>
      <w:r w:rsidRPr="004676F5">
        <w:rPr>
          <w:b/>
          <w:lang w:val="de-DE"/>
        </w:rPr>
        <w:t>Art. </w:t>
      </w:r>
      <w:r w:rsidR="00EE35E2" w:rsidRPr="004676F5">
        <w:rPr>
          <w:b/>
          <w:lang w:val="de-DE"/>
        </w:rPr>
        <w:t>XX.13</w:t>
      </w:r>
      <w:r w:rsidR="00EE35E2" w:rsidRPr="004676F5">
        <w:rPr>
          <w:lang w:val="de-DE"/>
        </w:rPr>
        <w:t> </w:t>
      </w:r>
      <w:r w:rsidR="005B7A5C" w:rsidRPr="004676F5">
        <w:rPr>
          <w:lang w:val="de-DE"/>
        </w:rPr>
        <w:t>- </w:t>
      </w:r>
      <w:r w:rsidR="00EE35E2" w:rsidRPr="004676F5">
        <w:rPr>
          <w:lang w:val="de-DE"/>
        </w:rPr>
        <w:t xml:space="preserve">Das Gericht, das zuständig ist, in einem Insolvenzverfahren gegen ein Unternehmen zu erkennen, ist befugt, in einem Insolvenzverfahren in Bezug auf ein mit diesem Unternehmen verbundenen Unternehmen zu erkennen. Es kann für alle Verfahren einen gemeinsamen </w:t>
      </w:r>
      <w:r w:rsidR="000807D3" w:rsidRPr="004676F5">
        <w:rPr>
          <w:lang w:val="de-DE"/>
        </w:rPr>
        <w:t>[gerichtlichen Bevollmächtigten]</w:t>
      </w:r>
      <w:r w:rsidR="00EE35E2" w:rsidRPr="004676F5">
        <w:rPr>
          <w:lang w:val="de-DE"/>
        </w:rPr>
        <w:t xml:space="preserve"> bestellen.</w:t>
      </w:r>
    </w:p>
    <w:p w14:paraId="600EFB67" w14:textId="77777777" w:rsidR="00EE35E2" w:rsidRPr="004676F5" w:rsidRDefault="00EE35E2" w:rsidP="000807D3">
      <w:pPr>
        <w:jc w:val="both"/>
        <w:rPr>
          <w:lang w:val="de-DE"/>
        </w:rPr>
      </w:pPr>
    </w:p>
    <w:p w14:paraId="365F7025" w14:textId="33507914" w:rsidR="000807D3" w:rsidRPr="004676F5" w:rsidRDefault="000807D3" w:rsidP="000807D3">
      <w:pPr>
        <w:jc w:val="both"/>
        <w:rPr>
          <w:i/>
          <w:iCs/>
          <w:lang w:val="de-DE"/>
        </w:rPr>
      </w:pPr>
      <w:r w:rsidRPr="004676F5">
        <w:rPr>
          <w:i/>
          <w:iCs/>
          <w:lang w:val="de-DE"/>
        </w:rPr>
        <w:t>[Art. XX.13 abgeändert durch Art. 11 des G. vom 7. Juni 2023 (B.S. vom 7. Juli 2023)]</w:t>
      </w:r>
    </w:p>
    <w:p w14:paraId="42594CD4" w14:textId="77777777" w:rsidR="000807D3" w:rsidRPr="004676F5" w:rsidRDefault="000807D3" w:rsidP="000807D3">
      <w:pPr>
        <w:jc w:val="both"/>
        <w:rPr>
          <w:i/>
          <w:iCs/>
          <w:lang w:val="de-DE"/>
        </w:rPr>
      </w:pPr>
    </w:p>
    <w:p w14:paraId="39CF8D8A" w14:textId="77777777" w:rsidR="00DF5BE5" w:rsidRPr="004676F5" w:rsidRDefault="00DF5BE5" w:rsidP="00EE35E2">
      <w:pPr>
        <w:ind w:firstLine="708"/>
        <w:jc w:val="both"/>
        <w:rPr>
          <w:lang w:val="de-DE"/>
        </w:rPr>
      </w:pPr>
    </w:p>
    <w:p w14:paraId="6A75A8EB" w14:textId="728F4F66" w:rsidR="00EE35E2" w:rsidRPr="004676F5" w:rsidRDefault="00BE0A56" w:rsidP="00EE35E2">
      <w:pPr>
        <w:ind w:firstLine="708"/>
        <w:jc w:val="both"/>
        <w:rPr>
          <w:lang w:val="de-DE"/>
        </w:rPr>
      </w:pPr>
      <w:r w:rsidRPr="004676F5">
        <w:rPr>
          <w:b/>
          <w:lang w:val="de-DE"/>
        </w:rPr>
        <w:t>Art. </w:t>
      </w:r>
      <w:r w:rsidR="00EE35E2" w:rsidRPr="004676F5">
        <w:rPr>
          <w:b/>
          <w:lang w:val="de-DE"/>
        </w:rPr>
        <w:t>XX.14</w:t>
      </w:r>
      <w:r w:rsidR="00EE35E2" w:rsidRPr="004676F5">
        <w:rPr>
          <w:lang w:val="de-DE"/>
        </w:rPr>
        <w:t> </w:t>
      </w:r>
      <w:r w:rsidR="005B7A5C" w:rsidRPr="004676F5">
        <w:rPr>
          <w:lang w:val="de-DE"/>
        </w:rPr>
        <w:t>- </w:t>
      </w:r>
      <w:r w:rsidR="00EE35E2" w:rsidRPr="004676F5">
        <w:rPr>
          <w:lang w:val="de-DE"/>
        </w:rPr>
        <w:t xml:space="preserve">Das Gericht, das zuständig ist, in einem Insolvenzverfahren gegen ein </w:t>
      </w:r>
      <w:r w:rsidR="00320BC4" w:rsidRPr="004676F5">
        <w:rPr>
          <w:lang w:val="de-DE"/>
        </w:rPr>
        <w:t>[in Artikel I.I Nr. 1 Absatz 1 Buchstabe </w:t>
      </w:r>
      <w:r w:rsidR="00320BC4" w:rsidRPr="004676F5">
        <w:rPr>
          <w:i/>
          <w:lang w:val="de-DE"/>
        </w:rPr>
        <w:t>(c)</w:t>
      </w:r>
      <w:r w:rsidR="00320BC4" w:rsidRPr="004676F5">
        <w:rPr>
          <w:lang w:val="de-DE"/>
        </w:rPr>
        <w:t xml:space="preserve">] </w:t>
      </w:r>
      <w:r w:rsidR="00EE35E2" w:rsidRPr="004676F5">
        <w:rPr>
          <w:lang w:val="de-DE"/>
        </w:rPr>
        <w:t xml:space="preserve">erwähntes Unternehmen oder eine juristische Person, deren Gesellschafter unbeschränkt haften, zu erkennen, ist befugt, in einem Insolvenzverfahren in Bezug auf die Gesellschafter dieses Unternehmen zu erkennen. Es kann für alle Verfahren einen gemeinsamen </w:t>
      </w:r>
      <w:r w:rsidR="000807D3" w:rsidRPr="004676F5">
        <w:rPr>
          <w:lang w:val="de-DE"/>
        </w:rPr>
        <w:t xml:space="preserve">[gerichtlichen Bevollmächtigten] </w:t>
      </w:r>
      <w:r w:rsidR="00EE35E2" w:rsidRPr="004676F5">
        <w:rPr>
          <w:lang w:val="de-DE"/>
        </w:rPr>
        <w:t>bestellen.</w:t>
      </w:r>
    </w:p>
    <w:p w14:paraId="3EDE2BA5" w14:textId="352F6A77" w:rsidR="00EE35E2" w:rsidRPr="004676F5" w:rsidRDefault="00EE35E2" w:rsidP="00EE35E2">
      <w:pPr>
        <w:jc w:val="both"/>
        <w:rPr>
          <w:lang w:val="de-DE"/>
        </w:rPr>
      </w:pPr>
    </w:p>
    <w:p w14:paraId="646F760D" w14:textId="77777777" w:rsidR="00F7432B" w:rsidRPr="004676F5" w:rsidRDefault="00F7432B">
      <w:pPr>
        <w:rPr>
          <w:lang w:val="de-DE"/>
        </w:rPr>
      </w:pPr>
      <w:r w:rsidRPr="004676F5">
        <w:rPr>
          <w:lang w:val="de-DE"/>
        </w:rPr>
        <w:br w:type="page"/>
      </w:r>
    </w:p>
    <w:p w14:paraId="77141FD5" w14:textId="525D6819" w:rsidR="00320BC4" w:rsidRPr="004676F5" w:rsidRDefault="00320BC4" w:rsidP="00EE35E2">
      <w:pPr>
        <w:jc w:val="both"/>
        <w:rPr>
          <w:lang w:val="de-DE"/>
        </w:rPr>
      </w:pPr>
      <w:r w:rsidRPr="004676F5">
        <w:rPr>
          <w:lang w:val="de-DE"/>
        </w:rPr>
        <w:lastRenderedPageBreak/>
        <w:tab/>
        <w:t>[Die Eröffnung eines Insolvenzverfahrens gegen ein Unternehmen, dessen Gesellschafter unbeschränkt haften, bedeutet nicht notwendigerweise, dass ein Insolvenzverfahren gegen diese Gesellschafter eröffnet wird.]</w:t>
      </w:r>
    </w:p>
    <w:p w14:paraId="34F05B65" w14:textId="03EF04DE" w:rsidR="00320BC4" w:rsidRPr="004676F5" w:rsidRDefault="00320BC4" w:rsidP="00EE35E2">
      <w:pPr>
        <w:jc w:val="both"/>
        <w:rPr>
          <w:lang w:val="de-DE"/>
        </w:rPr>
      </w:pPr>
    </w:p>
    <w:p w14:paraId="039A5D98" w14:textId="5A5368BA" w:rsidR="00320BC4" w:rsidRPr="004676F5" w:rsidRDefault="00320BC4" w:rsidP="00EE35E2">
      <w:pPr>
        <w:jc w:val="both"/>
        <w:rPr>
          <w:i/>
          <w:lang w:val="de-DE"/>
        </w:rPr>
      </w:pPr>
      <w:r w:rsidRPr="004676F5">
        <w:rPr>
          <w:i/>
          <w:lang w:val="de-DE"/>
        </w:rPr>
        <w:t>[Art. XX.14 Abs. 1 abgeändert durch Art. 217 Nr. 1 des G. vom 15. April 2018 (B.S. vom 27. April 2018)</w:t>
      </w:r>
      <w:r w:rsidR="000807D3" w:rsidRPr="004676F5">
        <w:rPr>
          <w:i/>
          <w:lang w:val="de-DE"/>
        </w:rPr>
        <w:t xml:space="preserve"> und Art. 12 des G. vom 7. Juni 2023 (B.S. vom 7. Juli 2023)</w:t>
      </w:r>
      <w:r w:rsidRPr="004676F5">
        <w:rPr>
          <w:i/>
          <w:lang w:val="de-DE"/>
        </w:rPr>
        <w:t>; Abs. 2 eingefügt durch Art. 217 Nr. 2 des G. vom 15. April 2018 (B.S. vom 27. April 2018)]</w:t>
      </w:r>
    </w:p>
    <w:p w14:paraId="559C9471" w14:textId="77777777" w:rsidR="000E09CA" w:rsidRPr="004676F5" w:rsidRDefault="000E09CA">
      <w:pPr>
        <w:rPr>
          <w:lang w:val="de-DE"/>
        </w:rPr>
      </w:pPr>
    </w:p>
    <w:p w14:paraId="2120B342" w14:textId="77777777" w:rsidR="000E09CA" w:rsidRPr="004676F5" w:rsidRDefault="000E09CA">
      <w:pPr>
        <w:rPr>
          <w:lang w:val="de-DE"/>
        </w:rPr>
      </w:pPr>
    </w:p>
    <w:p w14:paraId="1ADD92D1" w14:textId="3C74AA6E" w:rsidR="000E09CA" w:rsidRPr="004676F5" w:rsidRDefault="000E09CA" w:rsidP="000807D3">
      <w:pPr>
        <w:ind w:firstLine="708"/>
        <w:jc w:val="both"/>
        <w:rPr>
          <w:lang w:val="de-DE"/>
        </w:rPr>
      </w:pPr>
      <w:r w:rsidRPr="004676F5">
        <w:rPr>
          <w:lang w:val="de-DE"/>
        </w:rPr>
        <w:t>[</w:t>
      </w:r>
      <w:r w:rsidRPr="004676F5">
        <w:rPr>
          <w:b/>
          <w:bCs/>
          <w:lang w:val="de-DE"/>
        </w:rPr>
        <w:t>Art. XX.14/1</w:t>
      </w:r>
      <w:r w:rsidRPr="004676F5">
        <w:rPr>
          <w:lang w:val="de-DE"/>
        </w:rPr>
        <w:t> </w:t>
      </w:r>
      <w:r w:rsidR="005B7A5C" w:rsidRPr="004676F5">
        <w:rPr>
          <w:lang w:val="de-DE"/>
        </w:rPr>
        <w:t>- </w:t>
      </w:r>
      <w:r w:rsidR="000807D3" w:rsidRPr="004676F5">
        <w:rPr>
          <w:lang w:val="de-DE"/>
        </w:rPr>
        <w:t>[</w:t>
      </w:r>
      <w:r w:rsidR="00B30591" w:rsidRPr="004676F5">
        <w:rPr>
          <w:lang w:val="de-DE"/>
        </w:rPr>
        <w:t>...</w:t>
      </w:r>
      <w:r w:rsidR="000807D3" w:rsidRPr="004676F5">
        <w:rPr>
          <w:lang w:val="de-DE"/>
        </w:rPr>
        <w:t>]</w:t>
      </w:r>
      <w:r w:rsidRPr="004676F5">
        <w:rPr>
          <w:lang w:val="de-DE"/>
        </w:rPr>
        <w:t>]</w:t>
      </w:r>
    </w:p>
    <w:p w14:paraId="1E406C97" w14:textId="77777777" w:rsidR="000E09CA" w:rsidRPr="004676F5" w:rsidRDefault="000E09CA" w:rsidP="000E09CA">
      <w:pPr>
        <w:ind w:firstLine="708"/>
        <w:jc w:val="both"/>
        <w:rPr>
          <w:lang w:val="de-DE"/>
        </w:rPr>
      </w:pPr>
    </w:p>
    <w:p w14:paraId="6C3D1E79" w14:textId="0F8A0D7A" w:rsidR="00DF5BE5" w:rsidRPr="004676F5" w:rsidRDefault="000E09CA" w:rsidP="000E09CA">
      <w:pPr>
        <w:jc w:val="both"/>
        <w:rPr>
          <w:lang w:val="de-DE"/>
        </w:rPr>
      </w:pPr>
      <w:r w:rsidRPr="004676F5">
        <w:rPr>
          <w:i/>
          <w:iCs/>
          <w:lang w:val="de-DE"/>
        </w:rPr>
        <w:t>[Art. XX.14/1 eingefügt durch Art. 138</w:t>
      </w:r>
      <w:r w:rsidRPr="004676F5">
        <w:rPr>
          <w:i/>
          <w:lang w:val="de-DE"/>
        </w:rPr>
        <w:t xml:space="preserve"> des G. vom 28. November 2021</w:t>
      </w:r>
      <w:r w:rsidR="00B30591" w:rsidRPr="004676F5">
        <w:rPr>
          <w:i/>
          <w:lang w:val="de-DE"/>
        </w:rPr>
        <w:t> </w:t>
      </w:r>
      <w:r w:rsidR="00E70517" w:rsidRPr="004676F5">
        <w:rPr>
          <w:i/>
          <w:lang w:val="de-DE"/>
        </w:rPr>
        <w:t>(I)</w:t>
      </w:r>
      <w:r w:rsidRPr="004676F5">
        <w:rPr>
          <w:i/>
          <w:lang w:val="de-DE"/>
        </w:rPr>
        <w:t xml:space="preserve"> (B.S. vom 30. November 2021)</w:t>
      </w:r>
      <w:r w:rsidR="000807D3" w:rsidRPr="004676F5">
        <w:rPr>
          <w:i/>
          <w:lang w:val="de-DE"/>
        </w:rPr>
        <w:t xml:space="preserve"> und aufgehoben durch Art. 13 des G. vom 7. Juni 2023 (B.S. vom 7. Juli 2023)</w:t>
      </w:r>
      <w:r w:rsidRPr="004676F5">
        <w:rPr>
          <w:i/>
          <w:lang w:val="de-DE"/>
        </w:rPr>
        <w:t>]</w:t>
      </w:r>
      <w:r w:rsidR="00DF5BE5" w:rsidRPr="004676F5">
        <w:rPr>
          <w:lang w:val="de-DE"/>
        </w:rPr>
        <w:br w:type="page"/>
      </w:r>
    </w:p>
    <w:p w14:paraId="7FC6F75F" w14:textId="4EE59466" w:rsidR="00EE35E2" w:rsidRPr="004676F5" w:rsidRDefault="00EE35E2" w:rsidP="00EE35E2">
      <w:pPr>
        <w:jc w:val="center"/>
        <w:rPr>
          <w:lang w:val="de-DE"/>
        </w:rPr>
      </w:pPr>
      <w:r w:rsidRPr="004676F5">
        <w:rPr>
          <w:lang w:val="de-DE"/>
        </w:rPr>
        <w:lastRenderedPageBreak/>
        <w:t>KAPITEL 3 </w:t>
      </w:r>
      <w:r w:rsidR="005B7A5C" w:rsidRPr="004676F5">
        <w:rPr>
          <w:lang w:val="de-DE"/>
        </w:rPr>
        <w:t>- </w:t>
      </w:r>
      <w:r w:rsidRPr="004676F5">
        <w:rPr>
          <w:lang w:val="de-DE"/>
        </w:rPr>
        <w:t>Register</w:t>
      </w:r>
    </w:p>
    <w:p w14:paraId="0F0CFB9D" w14:textId="77777777" w:rsidR="00EE35E2" w:rsidRPr="004676F5" w:rsidRDefault="00EE35E2" w:rsidP="00EE35E2">
      <w:pPr>
        <w:jc w:val="both"/>
        <w:rPr>
          <w:lang w:val="de-DE"/>
        </w:rPr>
      </w:pPr>
    </w:p>
    <w:p w14:paraId="001D7282" w14:textId="77777777" w:rsidR="00DF5BE5" w:rsidRPr="004676F5" w:rsidRDefault="00DF5BE5" w:rsidP="00EE35E2">
      <w:pPr>
        <w:jc w:val="both"/>
        <w:rPr>
          <w:lang w:val="de-DE"/>
        </w:rPr>
      </w:pPr>
    </w:p>
    <w:p w14:paraId="04BE88BF" w14:textId="01850800" w:rsidR="00EE35E2" w:rsidRPr="004676F5" w:rsidRDefault="00BE0A56" w:rsidP="00EE35E2">
      <w:pPr>
        <w:ind w:firstLine="708"/>
        <w:jc w:val="both"/>
        <w:rPr>
          <w:lang w:val="de-DE"/>
        </w:rPr>
      </w:pPr>
      <w:r w:rsidRPr="004676F5">
        <w:rPr>
          <w:b/>
          <w:lang w:val="de-DE"/>
        </w:rPr>
        <w:t>Art. </w:t>
      </w:r>
      <w:r w:rsidR="00EE35E2" w:rsidRPr="004676F5">
        <w:rPr>
          <w:b/>
          <w:lang w:val="de-DE"/>
        </w:rPr>
        <w:t>XX.15</w:t>
      </w:r>
      <w:r w:rsidR="00EE35E2" w:rsidRPr="004676F5">
        <w:rPr>
          <w:lang w:val="de-DE"/>
        </w:rPr>
        <w:t> </w:t>
      </w:r>
      <w:r w:rsidR="005B7A5C" w:rsidRPr="004676F5">
        <w:rPr>
          <w:lang w:val="de-DE"/>
        </w:rPr>
        <w:t>- </w:t>
      </w:r>
      <w:r w:rsidR="00EE35E2" w:rsidRPr="004676F5">
        <w:rPr>
          <w:lang w:val="de-DE"/>
        </w:rPr>
        <w:t>Das Register enthält alle Daten und Schriftstücke, deren Hinterlegung durch vorliegendes Buch vorgesehen ist.</w:t>
      </w:r>
    </w:p>
    <w:p w14:paraId="1C90BE9D" w14:textId="77777777" w:rsidR="00EE35E2" w:rsidRPr="004676F5" w:rsidRDefault="00EE35E2" w:rsidP="00EE35E2">
      <w:pPr>
        <w:ind w:firstLine="708"/>
        <w:jc w:val="both"/>
        <w:rPr>
          <w:lang w:val="de-DE"/>
        </w:rPr>
      </w:pPr>
    </w:p>
    <w:p w14:paraId="77ED49DC" w14:textId="77777777" w:rsidR="00EE35E2" w:rsidRPr="004676F5" w:rsidRDefault="00EE35E2" w:rsidP="00EE35E2">
      <w:pPr>
        <w:ind w:firstLine="708"/>
        <w:jc w:val="both"/>
        <w:rPr>
          <w:lang w:val="de-DE"/>
        </w:rPr>
      </w:pPr>
      <w:r w:rsidRPr="004676F5">
        <w:rPr>
          <w:lang w:val="de-DE"/>
        </w:rPr>
        <w:t>Das Register gilt als authentische Quelle für alle Akten und Daten, die darin aufgenommen sind.</w:t>
      </w:r>
    </w:p>
    <w:p w14:paraId="6537791D" w14:textId="77777777" w:rsidR="00EE35E2" w:rsidRPr="004676F5" w:rsidRDefault="00EE35E2" w:rsidP="00EE35E2">
      <w:pPr>
        <w:ind w:firstLine="708"/>
        <w:jc w:val="both"/>
        <w:rPr>
          <w:lang w:val="de-DE"/>
        </w:rPr>
      </w:pPr>
    </w:p>
    <w:p w14:paraId="1C2E3D41" w14:textId="77777777" w:rsidR="00DF5BE5" w:rsidRPr="004676F5" w:rsidRDefault="00DF5BE5" w:rsidP="00EE35E2">
      <w:pPr>
        <w:ind w:firstLine="708"/>
        <w:jc w:val="both"/>
        <w:rPr>
          <w:lang w:val="de-DE"/>
        </w:rPr>
      </w:pPr>
    </w:p>
    <w:p w14:paraId="34F0B9C9" w14:textId="2BF8DD0F" w:rsidR="00EE35E2" w:rsidRPr="004676F5" w:rsidRDefault="00BE0A56" w:rsidP="00EE35E2">
      <w:pPr>
        <w:ind w:firstLine="708"/>
        <w:jc w:val="both"/>
        <w:rPr>
          <w:lang w:val="de-DE"/>
        </w:rPr>
      </w:pPr>
      <w:r w:rsidRPr="004676F5">
        <w:rPr>
          <w:b/>
          <w:lang w:val="de-DE"/>
        </w:rPr>
        <w:t>Art. </w:t>
      </w:r>
      <w:r w:rsidR="00EE35E2" w:rsidRPr="004676F5">
        <w:rPr>
          <w:b/>
          <w:lang w:val="de-DE"/>
        </w:rPr>
        <w:t>XX.16</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Die Kammer der französischsprachigen und deutschsprachigen Rechtsanwaltschaften und die Kammer der flämischen Rechtsanwaltschaften, die in Artikel 488 des Gerichtsgesetzbuches erwähnt sind, nachstehend </w:t>
      </w:r>
      <w:r w:rsidR="00B30591" w:rsidRPr="004676F5">
        <w:rPr>
          <w:lang w:val="de-DE"/>
        </w:rPr>
        <w:t>"</w:t>
      </w:r>
      <w:r w:rsidR="00EE35E2" w:rsidRPr="004676F5">
        <w:rPr>
          <w:lang w:val="de-DE"/>
        </w:rPr>
        <w:t>Verwalter</w:t>
      </w:r>
      <w:r w:rsidR="00B30591" w:rsidRPr="004676F5">
        <w:rPr>
          <w:lang w:val="de-DE"/>
        </w:rPr>
        <w:t>"</w:t>
      </w:r>
      <w:r w:rsidR="00EE35E2" w:rsidRPr="004676F5">
        <w:rPr>
          <w:lang w:val="de-DE"/>
        </w:rPr>
        <w:t xml:space="preserve"> genannt, bauen das Register gemeinsam auf und verwalten es gemeinsam.</w:t>
      </w:r>
    </w:p>
    <w:p w14:paraId="12141F53" w14:textId="77777777" w:rsidR="00EE35E2" w:rsidRPr="004676F5" w:rsidRDefault="00EE35E2" w:rsidP="00EE35E2">
      <w:pPr>
        <w:ind w:firstLine="708"/>
        <w:jc w:val="both"/>
        <w:rPr>
          <w:lang w:val="de-DE"/>
        </w:rPr>
      </w:pPr>
    </w:p>
    <w:p w14:paraId="29027BAF" w14:textId="48BB2C11"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Die Aufbewahrungsfrist für die in Artikel XX.15 erwähnten Daten beträgt dreißig Jahre ab dem Urteil, mit dem das Verfahren abgeschlossen wird. Nach Ablauf dieser Frist werden die Daten ins Staatsarchiv überführt.</w:t>
      </w:r>
    </w:p>
    <w:p w14:paraId="5F4FBBD1" w14:textId="77777777" w:rsidR="00EE35E2" w:rsidRPr="004676F5" w:rsidRDefault="00EE35E2" w:rsidP="00EE35E2">
      <w:pPr>
        <w:ind w:firstLine="708"/>
        <w:jc w:val="both"/>
        <w:rPr>
          <w:lang w:val="de-DE"/>
        </w:rPr>
      </w:pPr>
    </w:p>
    <w:p w14:paraId="10E53990" w14:textId="424856B5"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 xml:space="preserve">Nach Einholung der Stellungnahme des Verwalters </w:t>
      </w:r>
      <w:r w:rsidR="000807D3" w:rsidRPr="004676F5">
        <w:rPr>
          <w:lang w:val="de-DE"/>
        </w:rPr>
        <w:t>[</w:t>
      </w:r>
      <w:r w:rsidR="00B30591" w:rsidRPr="004676F5">
        <w:rPr>
          <w:lang w:val="de-DE"/>
        </w:rPr>
        <w:t>...</w:t>
      </w:r>
      <w:r w:rsidR="000807D3" w:rsidRPr="004676F5">
        <w:rPr>
          <w:lang w:val="de-DE"/>
        </w:rPr>
        <w:t>]</w:t>
      </w:r>
      <w:r w:rsidRPr="004676F5">
        <w:rPr>
          <w:lang w:val="de-DE"/>
        </w:rPr>
        <w:t xml:space="preserve"> bestimmt der König:</w:t>
      </w:r>
    </w:p>
    <w:p w14:paraId="44DE0DB9" w14:textId="77777777" w:rsidR="00EE35E2" w:rsidRPr="004676F5" w:rsidRDefault="00EE35E2" w:rsidP="00EE35E2">
      <w:pPr>
        <w:ind w:firstLine="708"/>
        <w:jc w:val="both"/>
        <w:rPr>
          <w:lang w:val="de-DE"/>
        </w:rPr>
      </w:pPr>
    </w:p>
    <w:p w14:paraId="15C145D4" w14:textId="77777777" w:rsidR="00EE35E2" w:rsidRPr="004676F5" w:rsidRDefault="00EE35E2" w:rsidP="00EE35E2">
      <w:pPr>
        <w:ind w:firstLine="708"/>
        <w:jc w:val="both"/>
        <w:rPr>
          <w:lang w:val="de-DE"/>
        </w:rPr>
      </w:pPr>
      <w:r w:rsidRPr="004676F5">
        <w:rPr>
          <w:lang w:val="de-DE"/>
        </w:rPr>
        <w:t>1. Form und Modalitäten der Speicherung von Daten im Register,</w:t>
      </w:r>
    </w:p>
    <w:p w14:paraId="32A0A4C4" w14:textId="77777777" w:rsidR="00EE35E2" w:rsidRPr="004676F5" w:rsidRDefault="00EE35E2" w:rsidP="00EE35E2">
      <w:pPr>
        <w:ind w:firstLine="708"/>
        <w:jc w:val="both"/>
        <w:rPr>
          <w:lang w:val="de-DE"/>
        </w:rPr>
      </w:pPr>
    </w:p>
    <w:p w14:paraId="57DDC95F" w14:textId="77777777" w:rsidR="00EE35E2" w:rsidRPr="004676F5" w:rsidRDefault="00EE35E2" w:rsidP="00EE35E2">
      <w:pPr>
        <w:ind w:firstLine="708"/>
        <w:jc w:val="both"/>
        <w:rPr>
          <w:lang w:val="de-DE"/>
        </w:rPr>
      </w:pPr>
      <w:r w:rsidRPr="004676F5">
        <w:rPr>
          <w:lang w:val="de-DE"/>
        </w:rPr>
        <w:t>2. Modalitäten in Bezug auf den Zugang zum Register,</w:t>
      </w:r>
    </w:p>
    <w:p w14:paraId="72831701" w14:textId="77777777" w:rsidR="00EE35E2" w:rsidRPr="004676F5" w:rsidRDefault="00EE35E2" w:rsidP="00EE35E2">
      <w:pPr>
        <w:ind w:firstLine="708"/>
        <w:jc w:val="both"/>
        <w:rPr>
          <w:lang w:val="de-DE"/>
        </w:rPr>
      </w:pPr>
    </w:p>
    <w:p w14:paraId="2A1664DF" w14:textId="77777777" w:rsidR="00EE35E2" w:rsidRPr="004676F5" w:rsidRDefault="00EE35E2" w:rsidP="00EE35E2">
      <w:pPr>
        <w:ind w:firstLine="708"/>
        <w:jc w:val="both"/>
        <w:rPr>
          <w:lang w:val="de-DE"/>
        </w:rPr>
      </w:pPr>
      <w:r w:rsidRPr="004676F5">
        <w:rPr>
          <w:lang w:val="de-DE"/>
        </w:rPr>
        <w:t>3. Modalitäten in Bezug auf Aufbau und Betrieb des Registers und im Register aufzunehmende Daten.</w:t>
      </w:r>
    </w:p>
    <w:p w14:paraId="38287AE1" w14:textId="77777777" w:rsidR="00EE35E2" w:rsidRPr="004676F5" w:rsidRDefault="00EE35E2" w:rsidP="00EE35E2">
      <w:pPr>
        <w:rPr>
          <w:lang w:val="de-DE"/>
        </w:rPr>
      </w:pPr>
    </w:p>
    <w:p w14:paraId="03FEE89A" w14:textId="4DCBC515" w:rsidR="00EE35E2" w:rsidRPr="004676F5" w:rsidRDefault="00EE35E2" w:rsidP="000807D3">
      <w:pPr>
        <w:ind w:firstLine="708"/>
        <w:jc w:val="both"/>
        <w:rPr>
          <w:lang w:val="de-DE"/>
        </w:rPr>
      </w:pPr>
      <w:r w:rsidRPr="004676F5">
        <w:rPr>
          <w:lang w:val="de-DE"/>
        </w:rPr>
        <w:t xml:space="preserve">Was Schuldner, Gläubiger, </w:t>
      </w:r>
      <w:r w:rsidR="00655187" w:rsidRPr="004676F5">
        <w:rPr>
          <w:lang w:val="de-DE"/>
        </w:rPr>
        <w:t>[gerichtliche Bevollmächtigte]</w:t>
      </w:r>
      <w:r w:rsidRPr="004676F5">
        <w:rPr>
          <w:lang w:val="de-DE"/>
        </w:rPr>
        <w:t>, beauftragte Richter und Konkursrichter betrifft, werden folgende Kategorien personenbezogener Daten im Register verarbeitet:</w:t>
      </w:r>
    </w:p>
    <w:p w14:paraId="652E0DC5" w14:textId="77777777" w:rsidR="00EE35E2" w:rsidRPr="004676F5" w:rsidRDefault="00EE35E2" w:rsidP="00EE35E2">
      <w:pPr>
        <w:ind w:firstLine="708"/>
        <w:jc w:val="both"/>
        <w:rPr>
          <w:lang w:val="de-DE"/>
        </w:rPr>
      </w:pPr>
    </w:p>
    <w:p w14:paraId="32D336C1" w14:textId="50E1402C" w:rsidR="00EE35E2" w:rsidRPr="004676F5" w:rsidRDefault="00EE35E2" w:rsidP="00EE35E2">
      <w:pPr>
        <w:ind w:firstLine="708"/>
        <w:jc w:val="both"/>
        <w:rPr>
          <w:lang w:val="de-DE"/>
        </w:rPr>
      </w:pPr>
      <w:r w:rsidRPr="004676F5">
        <w:rPr>
          <w:lang w:val="de-DE"/>
        </w:rPr>
        <w:t xml:space="preserve">1. Identifizierungsdaten, das heißt Daten, die es ermöglichen, Schuldner, Gläubiger, </w:t>
      </w:r>
      <w:r w:rsidR="00655187" w:rsidRPr="004676F5">
        <w:rPr>
          <w:lang w:val="de-DE"/>
        </w:rPr>
        <w:t>[gerichtliche Bevollmächtigte]</w:t>
      </w:r>
      <w:r w:rsidRPr="004676F5">
        <w:rPr>
          <w:lang w:val="de-DE"/>
        </w:rPr>
        <w:t xml:space="preserve">, beauftragte Richter und Konkursrichter zweifelsfrei zu identifizieren, unter anderem: </w:t>
      </w:r>
    </w:p>
    <w:p w14:paraId="6BE84B13" w14:textId="77777777" w:rsidR="00EE35E2" w:rsidRPr="004676F5" w:rsidRDefault="00EE35E2" w:rsidP="00EE35E2">
      <w:pPr>
        <w:ind w:firstLine="708"/>
        <w:jc w:val="both"/>
        <w:rPr>
          <w:lang w:val="de-DE"/>
        </w:rPr>
      </w:pPr>
    </w:p>
    <w:p w14:paraId="49950440" w14:textId="119899E2" w:rsidR="00EE35E2" w:rsidRPr="004676F5" w:rsidRDefault="005B7A5C" w:rsidP="00EE35E2">
      <w:pPr>
        <w:ind w:firstLine="708"/>
        <w:jc w:val="both"/>
        <w:rPr>
          <w:lang w:val="de-DE"/>
        </w:rPr>
      </w:pPr>
      <w:r w:rsidRPr="004676F5">
        <w:rPr>
          <w:lang w:val="de-DE"/>
        </w:rPr>
        <w:t>- </w:t>
      </w:r>
      <w:r w:rsidR="00EE35E2" w:rsidRPr="004676F5">
        <w:rPr>
          <w:lang w:val="de-DE"/>
        </w:rPr>
        <w:t>Name, Vornamen oder Bezeichnung des Schuldners,</w:t>
      </w:r>
    </w:p>
    <w:p w14:paraId="74D0D7E6" w14:textId="77777777" w:rsidR="00EE35E2" w:rsidRPr="004676F5" w:rsidRDefault="00EE35E2" w:rsidP="00EE35E2">
      <w:pPr>
        <w:ind w:firstLine="708"/>
        <w:jc w:val="both"/>
        <w:rPr>
          <w:lang w:val="de-DE"/>
        </w:rPr>
      </w:pPr>
    </w:p>
    <w:p w14:paraId="0AF78BCB" w14:textId="07FF45EC" w:rsidR="00EE35E2" w:rsidRPr="004676F5" w:rsidRDefault="005B7A5C" w:rsidP="00EE35E2">
      <w:pPr>
        <w:ind w:firstLine="708"/>
        <w:jc w:val="both"/>
        <w:rPr>
          <w:lang w:val="de-DE"/>
        </w:rPr>
      </w:pPr>
      <w:r w:rsidRPr="004676F5">
        <w:rPr>
          <w:lang w:val="de-DE"/>
        </w:rPr>
        <w:t>- </w:t>
      </w:r>
      <w:r w:rsidR="00EE35E2" w:rsidRPr="004676F5">
        <w:rPr>
          <w:lang w:val="de-DE"/>
        </w:rPr>
        <w:t>Staatsangehörigkeit,</w:t>
      </w:r>
    </w:p>
    <w:p w14:paraId="55BA9A53" w14:textId="77777777" w:rsidR="00EE35E2" w:rsidRPr="004676F5" w:rsidRDefault="00EE35E2" w:rsidP="00EE35E2">
      <w:pPr>
        <w:ind w:firstLine="708"/>
        <w:jc w:val="both"/>
        <w:rPr>
          <w:lang w:val="de-DE"/>
        </w:rPr>
      </w:pPr>
    </w:p>
    <w:p w14:paraId="72BF491A" w14:textId="58BC88C7" w:rsidR="00EE35E2" w:rsidRPr="004676F5" w:rsidRDefault="005B7A5C" w:rsidP="00EE35E2">
      <w:pPr>
        <w:ind w:firstLine="708"/>
        <w:jc w:val="both"/>
        <w:rPr>
          <w:lang w:val="de-DE"/>
        </w:rPr>
      </w:pPr>
      <w:r w:rsidRPr="004676F5">
        <w:rPr>
          <w:lang w:val="de-DE"/>
        </w:rPr>
        <w:t>- </w:t>
      </w:r>
      <w:r w:rsidR="00EE35E2" w:rsidRPr="004676F5">
        <w:rPr>
          <w:lang w:val="de-DE"/>
        </w:rPr>
        <w:t>Beruf,</w:t>
      </w:r>
    </w:p>
    <w:p w14:paraId="2F645A51" w14:textId="77777777" w:rsidR="00EE35E2" w:rsidRPr="004676F5" w:rsidRDefault="00EE35E2" w:rsidP="00EE35E2">
      <w:pPr>
        <w:ind w:firstLine="708"/>
        <w:jc w:val="both"/>
        <w:rPr>
          <w:lang w:val="de-DE"/>
        </w:rPr>
      </w:pPr>
    </w:p>
    <w:p w14:paraId="37E9903F" w14:textId="23585039" w:rsidR="00EE35E2" w:rsidRPr="004676F5" w:rsidRDefault="00EE35E2" w:rsidP="00EE35E2">
      <w:pPr>
        <w:ind w:firstLine="708"/>
        <w:jc w:val="both"/>
        <w:rPr>
          <w:lang w:val="de-DE"/>
        </w:rPr>
      </w:pPr>
      <w:r w:rsidRPr="004676F5">
        <w:rPr>
          <w:lang w:val="de-DE"/>
        </w:rPr>
        <w:t xml:space="preserve"> </w:t>
      </w:r>
      <w:r w:rsidR="005B7A5C" w:rsidRPr="004676F5">
        <w:rPr>
          <w:lang w:val="de-DE"/>
        </w:rPr>
        <w:t>- </w:t>
      </w:r>
      <w:r w:rsidRPr="004676F5">
        <w:rPr>
          <w:lang w:val="de-DE"/>
        </w:rPr>
        <w:t>Nummer des Nationalregisters und Erkennungsnummer der Zentralen Datenbank der Unternehmen,</w:t>
      </w:r>
    </w:p>
    <w:p w14:paraId="164F8AEB" w14:textId="77777777" w:rsidR="00EE35E2" w:rsidRPr="004676F5" w:rsidRDefault="00EE35E2" w:rsidP="00EE35E2">
      <w:pPr>
        <w:ind w:firstLine="708"/>
        <w:jc w:val="both"/>
        <w:rPr>
          <w:lang w:val="de-DE"/>
        </w:rPr>
      </w:pPr>
    </w:p>
    <w:p w14:paraId="04911E89" w14:textId="4E0B088E" w:rsidR="00EE35E2" w:rsidRPr="004676F5" w:rsidRDefault="005B7A5C" w:rsidP="00EE35E2">
      <w:pPr>
        <w:ind w:firstLine="708"/>
        <w:jc w:val="both"/>
        <w:rPr>
          <w:lang w:val="de-DE"/>
        </w:rPr>
      </w:pPr>
      <w:r w:rsidRPr="004676F5">
        <w:rPr>
          <w:lang w:val="de-DE"/>
        </w:rPr>
        <w:t>- </w:t>
      </w:r>
      <w:r w:rsidR="00EE35E2" w:rsidRPr="004676F5">
        <w:rPr>
          <w:lang w:val="de-DE"/>
        </w:rPr>
        <w:t xml:space="preserve">Adresse der Eintragung im Bevölkerungsregister oder </w:t>
      </w:r>
      <w:r w:rsidR="00655187" w:rsidRPr="004676F5">
        <w:rPr>
          <w:lang w:val="de-DE"/>
        </w:rPr>
        <w:t>[S</w:t>
      </w:r>
      <w:r w:rsidR="00EE35E2" w:rsidRPr="004676F5">
        <w:rPr>
          <w:lang w:val="de-DE"/>
        </w:rPr>
        <w:t>itz</w:t>
      </w:r>
      <w:r w:rsidR="00655187" w:rsidRPr="004676F5">
        <w:rPr>
          <w:lang w:val="de-DE"/>
        </w:rPr>
        <w:t>]</w:t>
      </w:r>
      <w:r w:rsidR="00EE35E2" w:rsidRPr="004676F5">
        <w:rPr>
          <w:lang w:val="de-DE"/>
        </w:rPr>
        <w:t>,</w:t>
      </w:r>
    </w:p>
    <w:p w14:paraId="4E4D13FB" w14:textId="77777777" w:rsidR="00EE35E2" w:rsidRPr="004676F5" w:rsidRDefault="00EE35E2" w:rsidP="00EE35E2">
      <w:pPr>
        <w:jc w:val="both"/>
        <w:rPr>
          <w:lang w:val="de-DE"/>
        </w:rPr>
      </w:pPr>
    </w:p>
    <w:p w14:paraId="7E047672" w14:textId="77777777" w:rsidR="00DF5BE5" w:rsidRPr="004676F5" w:rsidRDefault="00DF5BE5">
      <w:pPr>
        <w:rPr>
          <w:lang w:val="de-DE"/>
        </w:rPr>
      </w:pPr>
      <w:r w:rsidRPr="004676F5">
        <w:rPr>
          <w:lang w:val="de-DE"/>
        </w:rPr>
        <w:br w:type="page"/>
      </w:r>
    </w:p>
    <w:p w14:paraId="0C40F3B2" w14:textId="77777777" w:rsidR="00EE35E2" w:rsidRPr="004676F5" w:rsidRDefault="00EE35E2" w:rsidP="00EE35E2">
      <w:pPr>
        <w:ind w:firstLine="708"/>
        <w:jc w:val="both"/>
        <w:rPr>
          <w:lang w:val="de-DE"/>
        </w:rPr>
      </w:pPr>
      <w:r w:rsidRPr="004676F5">
        <w:rPr>
          <w:lang w:val="de-DE"/>
        </w:rPr>
        <w:lastRenderedPageBreak/>
        <w:t>2. gerichtliche Daten, das heißt Daten in Bezug auf die Akte der gerichtlichen Reorganisation oder die Konkursakte, unter anderem:</w:t>
      </w:r>
    </w:p>
    <w:p w14:paraId="32D1A5F1" w14:textId="77777777" w:rsidR="00EE35E2" w:rsidRPr="004676F5" w:rsidRDefault="00EE35E2" w:rsidP="00EE35E2">
      <w:pPr>
        <w:ind w:firstLine="708"/>
        <w:jc w:val="both"/>
        <w:rPr>
          <w:lang w:val="de-DE"/>
        </w:rPr>
      </w:pPr>
    </w:p>
    <w:p w14:paraId="2FD7E3D2" w14:textId="2D811F13" w:rsidR="00EE35E2" w:rsidRPr="004676F5" w:rsidRDefault="005B7A5C" w:rsidP="00EE35E2">
      <w:pPr>
        <w:ind w:firstLine="708"/>
        <w:jc w:val="both"/>
        <w:rPr>
          <w:lang w:val="de-DE"/>
        </w:rPr>
      </w:pPr>
      <w:r w:rsidRPr="004676F5">
        <w:rPr>
          <w:lang w:val="de-DE"/>
        </w:rPr>
        <w:t>- </w:t>
      </w:r>
      <w:r w:rsidR="00EE35E2" w:rsidRPr="004676F5">
        <w:rPr>
          <w:lang w:val="de-DE"/>
        </w:rPr>
        <w:t>Gericht, wo das Verfahren anhängig ist.</w:t>
      </w:r>
    </w:p>
    <w:p w14:paraId="084BBDE4" w14:textId="77777777" w:rsidR="00EE35E2" w:rsidRPr="004676F5" w:rsidRDefault="00EE35E2" w:rsidP="00655187">
      <w:pPr>
        <w:jc w:val="both"/>
        <w:rPr>
          <w:lang w:val="de-DE"/>
        </w:rPr>
      </w:pPr>
    </w:p>
    <w:p w14:paraId="6AC6AE98" w14:textId="3883D753" w:rsidR="00655187" w:rsidRPr="004676F5" w:rsidRDefault="00655187" w:rsidP="00655187">
      <w:pPr>
        <w:jc w:val="both"/>
        <w:rPr>
          <w:i/>
          <w:iCs/>
          <w:lang w:val="de-DE"/>
        </w:rPr>
      </w:pPr>
      <w:r w:rsidRPr="004676F5">
        <w:rPr>
          <w:i/>
          <w:iCs/>
          <w:lang w:val="de-DE"/>
        </w:rPr>
        <w:t>[Art. XX.16 § 3 Abs. 1 einleitende Bestimmung abgeändert durch Art. 14 Nr. 1 des G. vom 7. Juni 2023 (B.S. vom 7. Juli 2023); § 3 Abs. 2 einleitende Bestimmung abgeändert durch Art. 14 Nr. 2 des G. vom 7. Juni 2023 (B.S. vom 7. Juli 2023); § 3 Abs. 2 Nr. 1 einziger Absatz einleitende Bestimmung abgeändert durch Art. 14 Nr. 3 des G. vom 7. Juni 2023 (B.S. vom 7. Juli 2023); § 3 Abs. 2 Nr. 1 einziger Absatz fünfter Gedankenstrich abgeändert durch Art. 14 Nr. 4 des G. vom 7. Juni 2023 (B.S. vom 7. Juli 2023)]</w:t>
      </w:r>
    </w:p>
    <w:p w14:paraId="36AEA66B" w14:textId="77777777" w:rsidR="00655187" w:rsidRPr="004676F5" w:rsidRDefault="00655187" w:rsidP="00655187">
      <w:pPr>
        <w:jc w:val="both"/>
        <w:rPr>
          <w:i/>
          <w:iCs/>
          <w:lang w:val="de-DE"/>
        </w:rPr>
      </w:pPr>
    </w:p>
    <w:p w14:paraId="5CC09C0F" w14:textId="77777777" w:rsidR="00DF5BE5" w:rsidRPr="004676F5" w:rsidRDefault="00DF5BE5" w:rsidP="00EE35E2">
      <w:pPr>
        <w:ind w:firstLine="708"/>
        <w:jc w:val="both"/>
        <w:rPr>
          <w:lang w:val="de-DE"/>
        </w:rPr>
      </w:pPr>
    </w:p>
    <w:p w14:paraId="642FC92F" w14:textId="2DB3C763" w:rsidR="00EE35E2" w:rsidRPr="004676F5" w:rsidRDefault="00BE0A56" w:rsidP="00EE35E2">
      <w:pPr>
        <w:ind w:firstLine="708"/>
        <w:jc w:val="both"/>
        <w:rPr>
          <w:lang w:val="de-DE"/>
        </w:rPr>
      </w:pPr>
      <w:r w:rsidRPr="004676F5">
        <w:rPr>
          <w:b/>
          <w:lang w:val="de-DE"/>
        </w:rPr>
        <w:t>Art. </w:t>
      </w:r>
      <w:r w:rsidR="00EE35E2" w:rsidRPr="004676F5">
        <w:rPr>
          <w:b/>
          <w:lang w:val="de-DE"/>
        </w:rPr>
        <w:t>XX.17</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Der Verwalter wird in Bezug auf das in Artikel XX.15 erwähnte Register als für die Verarbeitung Verantwortlicher im Sinne von </w:t>
      </w:r>
      <w:r w:rsidR="00655187" w:rsidRPr="004676F5">
        <w:rPr>
          <w:lang w:val="de-DE"/>
        </w:rPr>
        <w:t>[Artikel 26 Nr. 8 des Gesetzes vom 30. Juli 2018 über den Schutz natürlicher Personen hinsichtlich der Verarbeitung personenbezogener Daten oder der Verordnung (EU) 2016/679 des Europäischen Parlaments und des Rates vom 27. April 2016 zum Schutz natürlicher Personen bei der Verarbeitung personenbezogener Daten, zum freien Datenverkehr und zur Aufhebung der Richtlinie 95/46/EG]</w:t>
      </w:r>
      <w:r w:rsidR="00EE35E2" w:rsidRPr="004676F5">
        <w:rPr>
          <w:lang w:val="de-DE"/>
        </w:rPr>
        <w:t xml:space="preserve"> angesehen.</w:t>
      </w:r>
    </w:p>
    <w:p w14:paraId="1845F2D5" w14:textId="77777777" w:rsidR="00EE35E2" w:rsidRPr="004676F5" w:rsidRDefault="00EE35E2" w:rsidP="00EE35E2">
      <w:pPr>
        <w:ind w:firstLine="708"/>
        <w:jc w:val="both"/>
        <w:rPr>
          <w:lang w:val="de-DE"/>
        </w:rPr>
      </w:pPr>
    </w:p>
    <w:p w14:paraId="4E81984A" w14:textId="636F2F85"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Der Verwalter bestimmt einen Datenschutzbeauftragten.</w:t>
      </w:r>
    </w:p>
    <w:p w14:paraId="5CBC3096" w14:textId="77777777" w:rsidR="00EE35E2" w:rsidRPr="004676F5" w:rsidRDefault="00EE35E2" w:rsidP="00EE35E2">
      <w:pPr>
        <w:ind w:firstLine="708"/>
        <w:jc w:val="both"/>
        <w:rPr>
          <w:lang w:val="de-DE"/>
        </w:rPr>
      </w:pPr>
    </w:p>
    <w:p w14:paraId="3AA0E54D" w14:textId="77777777" w:rsidR="00EE35E2" w:rsidRPr="004676F5" w:rsidRDefault="00EE35E2" w:rsidP="00EE35E2">
      <w:pPr>
        <w:ind w:firstLine="708"/>
        <w:jc w:val="both"/>
        <w:rPr>
          <w:lang w:val="de-DE"/>
        </w:rPr>
      </w:pPr>
      <w:r w:rsidRPr="004676F5">
        <w:rPr>
          <w:lang w:val="de-DE"/>
        </w:rPr>
        <w:t>Dieser ist insbesondere damit beauftragt:</w:t>
      </w:r>
    </w:p>
    <w:p w14:paraId="498989A6" w14:textId="77777777" w:rsidR="00EE35E2" w:rsidRPr="004676F5" w:rsidRDefault="00EE35E2" w:rsidP="00EE35E2">
      <w:pPr>
        <w:ind w:firstLine="708"/>
        <w:jc w:val="both"/>
        <w:rPr>
          <w:lang w:val="de-DE"/>
        </w:rPr>
      </w:pPr>
    </w:p>
    <w:p w14:paraId="3C727481" w14:textId="77777777" w:rsidR="00EE35E2" w:rsidRPr="004676F5" w:rsidRDefault="00EE35E2" w:rsidP="00EE35E2">
      <w:pPr>
        <w:ind w:firstLine="708"/>
        <w:jc w:val="both"/>
        <w:rPr>
          <w:lang w:val="de-DE"/>
        </w:rPr>
      </w:pPr>
      <w:r w:rsidRPr="004676F5">
        <w:rPr>
          <w:lang w:val="de-DE"/>
        </w:rPr>
        <w:t>1. fachkundige Stellungnahmen in Bezug auf Schutz des Privatlebens, auf Sicherung von personenbezogenen Daten und Informationen und auf ihre Verarbeitung abzugeben,</w:t>
      </w:r>
    </w:p>
    <w:p w14:paraId="0DEC527B" w14:textId="77777777" w:rsidR="00EE35E2" w:rsidRPr="004676F5" w:rsidRDefault="00EE35E2" w:rsidP="00EE35E2">
      <w:pPr>
        <w:ind w:firstLine="708"/>
        <w:jc w:val="both"/>
        <w:rPr>
          <w:lang w:val="de-DE"/>
        </w:rPr>
      </w:pPr>
    </w:p>
    <w:p w14:paraId="3E24F573" w14:textId="77777777" w:rsidR="00EE35E2" w:rsidRPr="004676F5" w:rsidRDefault="00EE35E2" w:rsidP="00EE35E2">
      <w:pPr>
        <w:ind w:firstLine="708"/>
        <w:jc w:val="both"/>
        <w:rPr>
          <w:lang w:val="de-DE"/>
        </w:rPr>
      </w:pPr>
      <w:r w:rsidRPr="004676F5">
        <w:rPr>
          <w:lang w:val="de-DE"/>
        </w:rPr>
        <w:t>2. den Verwalter, der die personenbezogenen Daten verarbeitet, über seine Verpflichtungen aufgrund des vorliegenden Buches und über den allgemeinen Rahmen im Bereich Datenschutz und Schutz des Privatlebens zu informieren und zu beraten,</w:t>
      </w:r>
    </w:p>
    <w:p w14:paraId="2AE92288" w14:textId="77777777" w:rsidR="00EE35E2" w:rsidRPr="004676F5" w:rsidRDefault="00EE35E2" w:rsidP="00EE35E2">
      <w:pPr>
        <w:ind w:firstLine="708"/>
        <w:jc w:val="both"/>
        <w:rPr>
          <w:lang w:val="de-DE"/>
        </w:rPr>
      </w:pPr>
    </w:p>
    <w:p w14:paraId="4CDE8882" w14:textId="77777777" w:rsidR="00EE35E2" w:rsidRPr="004676F5" w:rsidRDefault="00EE35E2" w:rsidP="00EE35E2">
      <w:pPr>
        <w:ind w:firstLine="708"/>
        <w:jc w:val="both"/>
        <w:rPr>
          <w:lang w:val="de-DE"/>
        </w:rPr>
      </w:pPr>
      <w:r w:rsidRPr="004676F5">
        <w:rPr>
          <w:lang w:val="de-DE"/>
        </w:rPr>
        <w:t>3. eine Politik im Bereich Sicherung und Schutz des Privatlebens zu erstellen, umzusetzen, zu aktualisieren und zu kontrollieren,</w:t>
      </w:r>
    </w:p>
    <w:p w14:paraId="1027B98C" w14:textId="77777777" w:rsidR="00EE35E2" w:rsidRPr="004676F5" w:rsidRDefault="00EE35E2" w:rsidP="00EE35E2">
      <w:pPr>
        <w:ind w:firstLine="708"/>
        <w:jc w:val="both"/>
        <w:rPr>
          <w:lang w:val="de-DE"/>
        </w:rPr>
      </w:pPr>
    </w:p>
    <w:p w14:paraId="5F05ECED" w14:textId="18873325" w:rsidR="00EE35E2" w:rsidRPr="004676F5" w:rsidRDefault="00EE35E2" w:rsidP="00EE35E2">
      <w:pPr>
        <w:ind w:firstLine="708"/>
        <w:jc w:val="both"/>
        <w:rPr>
          <w:lang w:val="de-DE"/>
        </w:rPr>
      </w:pPr>
      <w:r w:rsidRPr="004676F5">
        <w:rPr>
          <w:lang w:val="de-DE"/>
        </w:rPr>
        <w:t xml:space="preserve">4. Kontaktstelle für </w:t>
      </w:r>
      <w:r w:rsidR="00655187" w:rsidRPr="004676F5">
        <w:rPr>
          <w:lang w:val="de-DE"/>
        </w:rPr>
        <w:t>[die Datenschutzbehörde]</w:t>
      </w:r>
      <w:r w:rsidRPr="004676F5">
        <w:rPr>
          <w:lang w:val="de-DE"/>
        </w:rPr>
        <w:t xml:space="preserve"> zu sein,</w:t>
      </w:r>
    </w:p>
    <w:p w14:paraId="015F1B5D" w14:textId="77777777" w:rsidR="00EE35E2" w:rsidRPr="004676F5" w:rsidRDefault="00EE35E2" w:rsidP="00EE35E2">
      <w:pPr>
        <w:ind w:firstLine="708"/>
        <w:jc w:val="both"/>
        <w:rPr>
          <w:lang w:val="de-DE"/>
        </w:rPr>
      </w:pPr>
    </w:p>
    <w:p w14:paraId="38A97B67" w14:textId="77777777" w:rsidR="00EE35E2" w:rsidRPr="004676F5" w:rsidRDefault="00EE35E2" w:rsidP="00EE35E2">
      <w:pPr>
        <w:ind w:firstLine="708"/>
        <w:jc w:val="both"/>
        <w:rPr>
          <w:lang w:val="de-DE"/>
        </w:rPr>
      </w:pPr>
      <w:r w:rsidRPr="004676F5">
        <w:rPr>
          <w:lang w:val="de-DE"/>
        </w:rPr>
        <w:t>5. dem Verwalter eine Stellungnahme abzugeben in Bezug auf geeignete Methoden zur sachgerechten Wahrung des Berufsgeheimnisses von Freiberuflern, die durch ein Insolvenzverfahren betroffen sind,</w:t>
      </w:r>
    </w:p>
    <w:p w14:paraId="58EFF63C" w14:textId="77777777" w:rsidR="00EE35E2" w:rsidRPr="004676F5" w:rsidRDefault="00EE35E2" w:rsidP="00EE35E2">
      <w:pPr>
        <w:ind w:firstLine="708"/>
        <w:jc w:val="both"/>
        <w:rPr>
          <w:lang w:val="de-DE"/>
        </w:rPr>
      </w:pPr>
    </w:p>
    <w:p w14:paraId="08C63C9C" w14:textId="2AD2C841" w:rsidR="00EE35E2" w:rsidRPr="004676F5" w:rsidRDefault="00EE35E2" w:rsidP="00EE35E2">
      <w:pPr>
        <w:ind w:firstLine="708"/>
        <w:jc w:val="both"/>
        <w:rPr>
          <w:lang w:val="de-DE"/>
        </w:rPr>
      </w:pPr>
      <w:r w:rsidRPr="004676F5">
        <w:rPr>
          <w:lang w:val="de-DE"/>
        </w:rPr>
        <w:t xml:space="preserve">6. andere Aufträge im Bereich Schutz des Privatlebens und Datensicherung, die vom König </w:t>
      </w:r>
      <w:r w:rsidR="00655187" w:rsidRPr="004676F5">
        <w:rPr>
          <w:lang w:val="de-DE"/>
        </w:rPr>
        <w:t>[</w:t>
      </w:r>
      <w:r w:rsidR="00B30591" w:rsidRPr="004676F5">
        <w:rPr>
          <w:lang w:val="de-DE"/>
        </w:rPr>
        <w:t>...</w:t>
      </w:r>
      <w:r w:rsidR="00655187" w:rsidRPr="004676F5">
        <w:rPr>
          <w:lang w:val="de-DE"/>
        </w:rPr>
        <w:t>]</w:t>
      </w:r>
      <w:r w:rsidRPr="004676F5">
        <w:rPr>
          <w:lang w:val="de-DE"/>
        </w:rPr>
        <w:t xml:space="preserve"> festgelegt werden, auszuführen.</w:t>
      </w:r>
    </w:p>
    <w:p w14:paraId="380FD3DC" w14:textId="77777777" w:rsidR="00EE35E2" w:rsidRPr="004676F5" w:rsidRDefault="00EE35E2" w:rsidP="00EE35E2">
      <w:pPr>
        <w:ind w:firstLine="708"/>
        <w:jc w:val="both"/>
        <w:rPr>
          <w:lang w:val="de-DE"/>
        </w:rPr>
      </w:pPr>
    </w:p>
    <w:p w14:paraId="523F78AF" w14:textId="77777777" w:rsidR="00EE35E2" w:rsidRPr="004676F5" w:rsidRDefault="00EE35E2" w:rsidP="00EE35E2">
      <w:pPr>
        <w:ind w:firstLine="708"/>
        <w:jc w:val="both"/>
        <w:rPr>
          <w:lang w:val="de-DE"/>
        </w:rPr>
      </w:pPr>
      <w:r w:rsidRPr="004676F5">
        <w:rPr>
          <w:lang w:val="de-DE"/>
        </w:rPr>
        <w:t>Bei der Ausführung seiner Aufträge handelt der Datenschutzbeauftragte vollkommen unabhängig und berichtet unmittelbar dem Verwalter.</w:t>
      </w:r>
    </w:p>
    <w:p w14:paraId="6805C2A4" w14:textId="77777777" w:rsidR="00EE35E2" w:rsidRPr="004676F5" w:rsidRDefault="00EE35E2" w:rsidP="00EE35E2">
      <w:pPr>
        <w:ind w:firstLine="708"/>
        <w:jc w:val="both"/>
        <w:rPr>
          <w:lang w:val="de-DE"/>
        </w:rPr>
      </w:pPr>
    </w:p>
    <w:p w14:paraId="4008EB17" w14:textId="1315613D" w:rsidR="00EE35E2" w:rsidRPr="004676F5" w:rsidRDefault="00EE35E2" w:rsidP="00EE35E2">
      <w:pPr>
        <w:ind w:firstLine="708"/>
        <w:jc w:val="both"/>
        <w:rPr>
          <w:lang w:val="de-DE"/>
        </w:rPr>
      </w:pPr>
      <w:r w:rsidRPr="004676F5">
        <w:rPr>
          <w:lang w:val="de-DE"/>
        </w:rPr>
        <w:t xml:space="preserve">Der König legt nach Stellungnahme </w:t>
      </w:r>
      <w:r w:rsidR="00655187" w:rsidRPr="004676F5">
        <w:rPr>
          <w:lang w:val="de-DE"/>
        </w:rPr>
        <w:t>[</w:t>
      </w:r>
      <w:r w:rsidR="00B30591" w:rsidRPr="004676F5">
        <w:rPr>
          <w:lang w:val="de-DE"/>
        </w:rPr>
        <w:t>...</w:t>
      </w:r>
      <w:r w:rsidR="00655187" w:rsidRPr="004676F5">
        <w:rPr>
          <w:lang w:val="de-DE"/>
        </w:rPr>
        <w:t>]</w:t>
      </w:r>
      <w:r w:rsidRPr="004676F5">
        <w:rPr>
          <w:lang w:val="de-DE"/>
        </w:rPr>
        <w:t xml:space="preserve"> des Verwalters nähere Regeln fest, gemäß denen der Datenschutzbeauftragte seine Aufträge ausführt.</w:t>
      </w:r>
    </w:p>
    <w:p w14:paraId="312F9F35" w14:textId="77777777" w:rsidR="00EE35E2" w:rsidRPr="004676F5" w:rsidRDefault="00EE35E2" w:rsidP="00EE35E2">
      <w:pPr>
        <w:ind w:firstLine="708"/>
        <w:jc w:val="both"/>
        <w:rPr>
          <w:lang w:val="de-DE"/>
        </w:rPr>
      </w:pPr>
    </w:p>
    <w:p w14:paraId="0AFB8388" w14:textId="12087864" w:rsidR="00EE35E2" w:rsidRPr="004676F5" w:rsidRDefault="00EE35E2" w:rsidP="00EE35E2">
      <w:pPr>
        <w:ind w:firstLine="708"/>
        <w:jc w:val="both"/>
        <w:rPr>
          <w:lang w:val="de-DE"/>
        </w:rPr>
      </w:pPr>
      <w:r w:rsidRPr="004676F5">
        <w:rPr>
          <w:lang w:val="de-DE"/>
        </w:rPr>
        <w:lastRenderedPageBreak/>
        <w:t>§ 3 </w:t>
      </w:r>
      <w:r w:rsidR="005B7A5C" w:rsidRPr="004676F5">
        <w:rPr>
          <w:lang w:val="de-DE"/>
        </w:rPr>
        <w:t>- </w:t>
      </w:r>
      <w:r w:rsidRPr="004676F5">
        <w:rPr>
          <w:lang w:val="de-DE"/>
        </w:rPr>
        <w:t>Der Verwalter gewährleistet die Kontrolle über Betrieb und Nutzung des Registers.</w:t>
      </w:r>
    </w:p>
    <w:p w14:paraId="6DF1B2A0" w14:textId="77777777" w:rsidR="00EE35E2" w:rsidRPr="004676F5" w:rsidRDefault="00EE35E2" w:rsidP="00EE35E2">
      <w:pPr>
        <w:ind w:firstLine="708"/>
        <w:jc w:val="both"/>
        <w:rPr>
          <w:lang w:val="de-DE"/>
        </w:rPr>
      </w:pPr>
    </w:p>
    <w:p w14:paraId="00D9957C" w14:textId="2590B436" w:rsidR="00EE35E2" w:rsidRPr="004676F5" w:rsidRDefault="00EE35E2" w:rsidP="00EE35E2">
      <w:pPr>
        <w:ind w:firstLine="708"/>
        <w:jc w:val="both"/>
        <w:rPr>
          <w:lang w:val="de-DE"/>
        </w:rPr>
      </w:pPr>
      <w:r w:rsidRPr="004676F5">
        <w:rPr>
          <w:lang w:val="de-DE"/>
        </w:rPr>
        <w:t xml:space="preserve">Gemäß </w:t>
      </w:r>
      <w:r w:rsidR="00655187" w:rsidRPr="004676F5">
        <w:rPr>
          <w:lang w:val="de-DE"/>
        </w:rPr>
        <w:t>[den Artikeln 36 bis 39 des Gesetzes vom 30. Juli 2018 über den Schutz natürlicher Personen hinsichtlich der Verarbeitung personenbezogener Daten]</w:t>
      </w:r>
      <w:r w:rsidRPr="004676F5">
        <w:rPr>
          <w:lang w:val="de-DE"/>
        </w:rPr>
        <w:t xml:space="preserve"> informiert der Verwalter gemäß den vom König </w:t>
      </w:r>
      <w:r w:rsidR="00655187" w:rsidRPr="004676F5">
        <w:rPr>
          <w:lang w:val="de-DE"/>
        </w:rPr>
        <w:t>[</w:t>
      </w:r>
      <w:r w:rsidR="00B30591" w:rsidRPr="004676F5">
        <w:rPr>
          <w:lang w:val="de-DE"/>
        </w:rPr>
        <w:t>...</w:t>
      </w:r>
      <w:r w:rsidR="00655187" w:rsidRPr="004676F5">
        <w:rPr>
          <w:lang w:val="de-DE"/>
        </w:rPr>
        <w:t>]</w:t>
      </w:r>
      <w:r w:rsidRPr="004676F5">
        <w:rPr>
          <w:lang w:val="de-DE"/>
        </w:rPr>
        <w:t xml:space="preserve"> festgelegten Modalitäten interessehabende Parteien über:</w:t>
      </w:r>
    </w:p>
    <w:p w14:paraId="36485957" w14:textId="77777777" w:rsidR="00EE35E2" w:rsidRPr="004676F5" w:rsidRDefault="00EE35E2" w:rsidP="00EE35E2">
      <w:pPr>
        <w:ind w:firstLine="708"/>
        <w:jc w:val="both"/>
        <w:rPr>
          <w:lang w:val="de-DE"/>
        </w:rPr>
      </w:pPr>
    </w:p>
    <w:p w14:paraId="1098274A" w14:textId="77777777" w:rsidR="00EE35E2" w:rsidRPr="004676F5" w:rsidRDefault="00EE35E2" w:rsidP="00EE35E2">
      <w:pPr>
        <w:ind w:firstLine="708"/>
        <w:jc w:val="both"/>
        <w:rPr>
          <w:lang w:val="de-DE"/>
        </w:rPr>
      </w:pPr>
      <w:r w:rsidRPr="004676F5">
        <w:rPr>
          <w:lang w:val="de-DE"/>
        </w:rPr>
        <w:t>1. die in Artikel XX.15 Absatz 2 erwähnten sie betreffenden Daten,</w:t>
      </w:r>
    </w:p>
    <w:p w14:paraId="3828082B" w14:textId="77777777" w:rsidR="00EE35E2" w:rsidRPr="004676F5" w:rsidRDefault="00EE35E2" w:rsidP="00EE35E2">
      <w:pPr>
        <w:ind w:firstLine="708"/>
        <w:jc w:val="both"/>
        <w:rPr>
          <w:lang w:val="de-DE"/>
        </w:rPr>
      </w:pPr>
    </w:p>
    <w:p w14:paraId="72CE1BA1" w14:textId="77777777" w:rsidR="00EE35E2" w:rsidRPr="004676F5" w:rsidRDefault="00EE35E2" w:rsidP="00EE35E2">
      <w:pPr>
        <w:ind w:firstLine="708"/>
        <w:jc w:val="both"/>
        <w:rPr>
          <w:lang w:val="de-DE"/>
        </w:rPr>
      </w:pPr>
      <w:r w:rsidRPr="004676F5">
        <w:rPr>
          <w:lang w:val="de-DE"/>
        </w:rPr>
        <w:t>2. die Kategorien der Personen, die Zugang zu den in Nr. 1 erwähnten Daten haben,</w:t>
      </w:r>
    </w:p>
    <w:p w14:paraId="6806F0AA" w14:textId="77777777" w:rsidR="00EE35E2" w:rsidRPr="004676F5" w:rsidRDefault="00EE35E2" w:rsidP="00EE35E2">
      <w:pPr>
        <w:ind w:firstLine="708"/>
        <w:jc w:val="both"/>
        <w:rPr>
          <w:lang w:val="de-DE"/>
        </w:rPr>
      </w:pPr>
    </w:p>
    <w:p w14:paraId="6D4B894A" w14:textId="77777777" w:rsidR="00EE35E2" w:rsidRPr="004676F5" w:rsidRDefault="00EE35E2" w:rsidP="00EE35E2">
      <w:pPr>
        <w:ind w:firstLine="708"/>
        <w:jc w:val="both"/>
        <w:rPr>
          <w:lang w:val="de-DE"/>
        </w:rPr>
      </w:pPr>
      <w:r w:rsidRPr="004676F5">
        <w:rPr>
          <w:lang w:val="de-DE"/>
        </w:rPr>
        <w:t>3. die Aufbewahrungsfrist für die in Nr. 1 erwähnten Daten,</w:t>
      </w:r>
    </w:p>
    <w:p w14:paraId="05DECC6E" w14:textId="77777777" w:rsidR="00EE35E2" w:rsidRPr="004676F5" w:rsidRDefault="00EE35E2" w:rsidP="00EE35E2">
      <w:pPr>
        <w:ind w:firstLine="708"/>
        <w:jc w:val="both"/>
        <w:rPr>
          <w:lang w:val="de-DE"/>
        </w:rPr>
      </w:pPr>
    </w:p>
    <w:p w14:paraId="4F5544D8" w14:textId="77777777" w:rsidR="00EE35E2" w:rsidRPr="004676F5" w:rsidRDefault="00EE35E2" w:rsidP="00EE35E2">
      <w:pPr>
        <w:ind w:firstLine="708"/>
        <w:jc w:val="both"/>
        <w:rPr>
          <w:lang w:val="de-DE"/>
        </w:rPr>
      </w:pPr>
      <w:r w:rsidRPr="004676F5">
        <w:rPr>
          <w:lang w:val="de-DE"/>
        </w:rPr>
        <w:t>4. den in § 2 des vorliegenden Artikels erwähnten für die Verarbeitung Verant</w:t>
      </w:r>
      <w:r w:rsidRPr="004676F5">
        <w:rPr>
          <w:lang w:val="de-DE"/>
        </w:rPr>
        <w:softHyphen/>
        <w:t>wort</w:t>
      </w:r>
      <w:r w:rsidRPr="004676F5">
        <w:rPr>
          <w:lang w:val="de-DE"/>
        </w:rPr>
        <w:softHyphen/>
        <w:t>lichen,</w:t>
      </w:r>
    </w:p>
    <w:p w14:paraId="153EE4BE" w14:textId="77777777" w:rsidR="00EE35E2" w:rsidRPr="004676F5" w:rsidRDefault="00EE35E2" w:rsidP="00EE35E2">
      <w:pPr>
        <w:ind w:firstLine="708"/>
        <w:jc w:val="both"/>
        <w:rPr>
          <w:lang w:val="de-DE"/>
        </w:rPr>
      </w:pPr>
    </w:p>
    <w:p w14:paraId="28DA116F" w14:textId="77777777" w:rsidR="00EE35E2" w:rsidRPr="004676F5" w:rsidRDefault="00EE35E2" w:rsidP="00EE35E2">
      <w:pPr>
        <w:ind w:firstLine="708"/>
        <w:jc w:val="both"/>
        <w:rPr>
          <w:lang w:val="de-DE"/>
        </w:rPr>
      </w:pPr>
      <w:r w:rsidRPr="004676F5">
        <w:rPr>
          <w:lang w:val="de-DE"/>
        </w:rPr>
        <w:t>5. die Weise, wie man Zugang zu den in Nr. 1 erwähnten Daten erhalten kann.</w:t>
      </w:r>
    </w:p>
    <w:p w14:paraId="5D6FEA30" w14:textId="77777777" w:rsidR="00655187" w:rsidRPr="004676F5" w:rsidRDefault="00655187" w:rsidP="00655187">
      <w:pPr>
        <w:jc w:val="both"/>
        <w:rPr>
          <w:lang w:val="de-DE"/>
        </w:rPr>
      </w:pPr>
    </w:p>
    <w:p w14:paraId="7E68858A" w14:textId="7FF312DA" w:rsidR="00655187" w:rsidRPr="004676F5" w:rsidRDefault="00655187" w:rsidP="00655187">
      <w:pPr>
        <w:jc w:val="both"/>
        <w:rPr>
          <w:i/>
          <w:iCs/>
          <w:lang w:val="de-DE"/>
        </w:rPr>
      </w:pPr>
      <w:r w:rsidRPr="004676F5">
        <w:rPr>
          <w:i/>
          <w:iCs/>
          <w:lang w:val="de-DE"/>
        </w:rPr>
        <w:t>[Art. XX.17 § 1 abgeändert durch Art. 15 Nr. 1 des G. vom 7. Juni 2023 (B.S. vom 7. Juli 2023); § 2 Abs. 2 Nr. 4 abgeändert durch Art. 15 Nr. 2 des G. vom 7. Juni 2023 (B.S. vom 7. Juli 2023); § 2 Abs. 2 Nr. 6 abgeändert durch Art. 15 Nr. 3 des G. vom 7. Juni 2023 (B.S. vom 7. Juli 2023); § 2 Abs. 4 abgeändert durch Art. 15 Nr. 4 des G. vom 7. Juni 2023 (B.S. vom 7. Juli 2023); § 3 Abs. 2 einleitende Bestimmung abgeändert durch Art. 15 Nr. 5 des G. vom 7. Juni 2023 (B.S. vom 7. Juli 2023)]</w:t>
      </w:r>
    </w:p>
    <w:p w14:paraId="50DBA2F2" w14:textId="77777777" w:rsidR="00EE35E2" w:rsidRPr="004676F5" w:rsidRDefault="00EE35E2" w:rsidP="00EE35E2">
      <w:pPr>
        <w:ind w:firstLine="708"/>
        <w:jc w:val="both"/>
        <w:rPr>
          <w:lang w:val="de-DE"/>
        </w:rPr>
      </w:pPr>
    </w:p>
    <w:p w14:paraId="1506ECAB" w14:textId="77777777" w:rsidR="00DF5BE5" w:rsidRPr="004676F5" w:rsidRDefault="00DF5BE5" w:rsidP="00EE35E2">
      <w:pPr>
        <w:ind w:firstLine="708"/>
        <w:jc w:val="both"/>
        <w:rPr>
          <w:lang w:val="de-DE"/>
        </w:rPr>
      </w:pPr>
    </w:p>
    <w:p w14:paraId="45B20BED" w14:textId="6F044620" w:rsidR="00EE35E2" w:rsidRPr="004676F5" w:rsidRDefault="00BE0A56" w:rsidP="00EE35E2">
      <w:pPr>
        <w:ind w:firstLine="708"/>
        <w:jc w:val="both"/>
        <w:rPr>
          <w:lang w:val="de-DE"/>
        </w:rPr>
      </w:pPr>
      <w:r w:rsidRPr="004676F5">
        <w:rPr>
          <w:b/>
          <w:lang w:val="de-DE"/>
        </w:rPr>
        <w:t>Art. </w:t>
      </w:r>
      <w:r w:rsidR="00EE35E2" w:rsidRPr="004676F5">
        <w:rPr>
          <w:b/>
          <w:lang w:val="de-DE"/>
        </w:rPr>
        <w:t>XX.18</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Im Rahmen der Erfüllung ihrer gesetzlichen Aufträge haben Magistrate einschließlich der Magistrate der Staatsanwaltschaft, Greffiers, Sekretäre bei der Staatsanwaltschaft, Konkursrichter, beauftragte Richter, </w:t>
      </w:r>
      <w:r w:rsidR="002D3444" w:rsidRPr="004676F5">
        <w:rPr>
          <w:lang w:val="de-DE"/>
        </w:rPr>
        <w:t>[gerichtliche Bevollmächtigte]</w:t>
      </w:r>
      <w:r w:rsidR="00EE35E2" w:rsidRPr="004676F5">
        <w:rPr>
          <w:lang w:val="de-DE"/>
        </w:rPr>
        <w:t>, Schuldner und Konkursschuldner wie in vorliegendem Buch erwähnt, wie auch Gläubiger und Dritte, die gewerbsmäßig rechtlichen Beistand leisten, in der Regel Zugang zu den in Artikel XX.15 erwähnten Daten, die für sie sachdienlich sind, unbeschadet der Regeln in Bezug auf das Berufsgeheimnis, das Geschäftsgeheimnis und das Beratungsgeheimnis.</w:t>
      </w:r>
    </w:p>
    <w:p w14:paraId="5A805897" w14:textId="77777777" w:rsidR="00EE35E2" w:rsidRPr="004676F5" w:rsidRDefault="00EE35E2" w:rsidP="00EE35E2">
      <w:pPr>
        <w:ind w:firstLine="708"/>
        <w:jc w:val="both"/>
        <w:rPr>
          <w:lang w:val="de-DE"/>
        </w:rPr>
      </w:pPr>
    </w:p>
    <w:p w14:paraId="08D37C5D" w14:textId="123D2721" w:rsidR="00EE35E2" w:rsidRPr="004676F5" w:rsidRDefault="00EE35E2" w:rsidP="00EE35E2">
      <w:pPr>
        <w:ind w:firstLine="708"/>
        <w:jc w:val="both"/>
        <w:rPr>
          <w:lang w:val="de-DE"/>
        </w:rPr>
      </w:pPr>
      <w:r w:rsidRPr="004676F5">
        <w:rPr>
          <w:lang w:val="de-DE"/>
        </w:rPr>
        <w:t xml:space="preserve">Der König legt </w:t>
      </w:r>
      <w:r w:rsidR="002D3444" w:rsidRPr="004676F5">
        <w:rPr>
          <w:lang w:val="de-DE"/>
        </w:rPr>
        <w:t>[</w:t>
      </w:r>
      <w:r w:rsidR="00B30591" w:rsidRPr="004676F5">
        <w:rPr>
          <w:lang w:val="de-DE"/>
        </w:rPr>
        <w:t>...</w:t>
      </w:r>
      <w:r w:rsidR="002D3444" w:rsidRPr="004676F5">
        <w:rPr>
          <w:lang w:val="de-DE"/>
        </w:rPr>
        <w:t>]</w:t>
      </w:r>
      <w:r w:rsidRPr="004676F5">
        <w:rPr>
          <w:lang w:val="de-DE"/>
        </w:rPr>
        <w:t xml:space="preserve"> nähere Regeln für den Zugang zum Register fest, wobei Er auch die besondere Art bestimmter Daten berücksichtigt, die aufgrund des Berufsgeheimnisses oder des Geschäftsgeheimnisses geschützt werden müssen.</w:t>
      </w:r>
    </w:p>
    <w:p w14:paraId="3456B7A7" w14:textId="77777777" w:rsidR="00EE35E2" w:rsidRPr="004676F5" w:rsidRDefault="00EE35E2" w:rsidP="00EE35E2">
      <w:pPr>
        <w:ind w:firstLine="708"/>
        <w:jc w:val="both"/>
        <w:rPr>
          <w:lang w:val="de-DE"/>
        </w:rPr>
      </w:pPr>
    </w:p>
    <w:p w14:paraId="7DD06086" w14:textId="77777777" w:rsidR="00EE35E2" w:rsidRPr="004676F5" w:rsidRDefault="00EE35E2" w:rsidP="00EE35E2">
      <w:pPr>
        <w:ind w:firstLine="708"/>
        <w:jc w:val="both"/>
        <w:rPr>
          <w:lang w:val="de-DE"/>
        </w:rPr>
      </w:pPr>
      <w:r w:rsidRPr="004676F5">
        <w:rPr>
          <w:lang w:val="de-DE"/>
        </w:rPr>
        <w:t>Ein Interesse habender Dritter kann beim Konkursrichter oder beauftragten Richter Zugang zu einem Teil oder der gesamten Akte beantragen. Der Gerichtspräsident, der Kammervorsitzende, der Konkursrichter oder der beauftragte Richter kann ebenfalls von Fall zu Fall entscheiden, dass bestimmte Daten aufgrund ihres vertraulichen Charakters nur begrenzt zugänglich sind. Sie teilen ihre Entscheidung dem Verwalter des Registers mit.</w:t>
      </w:r>
    </w:p>
    <w:p w14:paraId="3E13F33C" w14:textId="77777777" w:rsidR="00EE35E2" w:rsidRPr="004676F5" w:rsidRDefault="00EE35E2" w:rsidP="00EE35E2">
      <w:pPr>
        <w:ind w:firstLine="708"/>
        <w:jc w:val="both"/>
        <w:rPr>
          <w:lang w:val="de-DE"/>
        </w:rPr>
      </w:pPr>
    </w:p>
    <w:p w14:paraId="1E6716B2" w14:textId="2AB58927" w:rsidR="00EE35E2" w:rsidRPr="004676F5" w:rsidRDefault="00EE35E2" w:rsidP="00EE35E2">
      <w:pPr>
        <w:ind w:firstLine="708"/>
        <w:jc w:val="both"/>
        <w:rPr>
          <w:lang w:val="de-DE"/>
        </w:rPr>
      </w:pPr>
      <w:r w:rsidRPr="004676F5">
        <w:rPr>
          <w:lang w:val="de-DE"/>
        </w:rPr>
        <w:t xml:space="preserve">Der König kann </w:t>
      </w:r>
      <w:r w:rsidR="002D3444" w:rsidRPr="004676F5">
        <w:rPr>
          <w:lang w:val="de-DE"/>
        </w:rPr>
        <w:t>[</w:t>
      </w:r>
      <w:r w:rsidR="00B30591" w:rsidRPr="004676F5">
        <w:rPr>
          <w:lang w:val="de-DE"/>
        </w:rPr>
        <w:t>...</w:t>
      </w:r>
      <w:r w:rsidR="002D3444" w:rsidRPr="004676F5">
        <w:rPr>
          <w:lang w:val="de-DE"/>
        </w:rPr>
        <w:t>]</w:t>
      </w:r>
      <w:r w:rsidRPr="004676F5">
        <w:rPr>
          <w:lang w:val="de-DE"/>
        </w:rPr>
        <w:t xml:space="preserve"> anderen Kategorien von Personen erlauben, diese Daten unter Bedingungen, die Er festlegt, einzusehen.</w:t>
      </w:r>
    </w:p>
    <w:p w14:paraId="73DE7298" w14:textId="77777777" w:rsidR="00EE35E2" w:rsidRPr="004676F5" w:rsidRDefault="00EE35E2" w:rsidP="00EE35E2">
      <w:pPr>
        <w:ind w:firstLine="708"/>
        <w:jc w:val="both"/>
        <w:rPr>
          <w:lang w:val="de-DE"/>
        </w:rPr>
      </w:pPr>
    </w:p>
    <w:p w14:paraId="37DF1972" w14:textId="1E20D05A"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Dem Verwalter ist nicht gestattet, in Artikel XX.15 erwähnte Daten anderen als den in § 1 erwähnten Personen zu übermitteln.</w:t>
      </w:r>
    </w:p>
    <w:p w14:paraId="04DFF75F" w14:textId="77777777" w:rsidR="00EE35E2" w:rsidRPr="004676F5" w:rsidRDefault="00EE35E2" w:rsidP="00EE35E2">
      <w:pPr>
        <w:ind w:firstLine="708"/>
        <w:jc w:val="both"/>
        <w:rPr>
          <w:lang w:val="de-DE"/>
        </w:rPr>
      </w:pPr>
    </w:p>
    <w:p w14:paraId="1F219988" w14:textId="69B95641" w:rsidR="00EE35E2" w:rsidRPr="004676F5" w:rsidRDefault="00EE35E2" w:rsidP="00EE35E2">
      <w:pPr>
        <w:ind w:firstLine="708"/>
        <w:jc w:val="both"/>
        <w:rPr>
          <w:lang w:val="de-DE"/>
        </w:rPr>
      </w:pPr>
      <w:r w:rsidRPr="004676F5">
        <w:rPr>
          <w:lang w:val="de-DE"/>
        </w:rPr>
        <w:lastRenderedPageBreak/>
        <w:t>§ 3 </w:t>
      </w:r>
      <w:r w:rsidR="005B7A5C" w:rsidRPr="004676F5">
        <w:rPr>
          <w:lang w:val="de-DE"/>
        </w:rPr>
        <w:t>- </w:t>
      </w:r>
      <w:r w:rsidRPr="004676F5">
        <w:rPr>
          <w:lang w:val="de-DE"/>
        </w:rPr>
        <w:t>Wer in gleich welcher Eigenschaft an der Sammlung, Verarbeitung oder Übermittlung der Artikel XX.15 erwähnten Daten teilnimmt oder Kenntnis dieser Daten hat, ist verpflichtet, deren Vertraulichkeit zu wahren.</w:t>
      </w:r>
    </w:p>
    <w:p w14:paraId="670BBBB6" w14:textId="77777777" w:rsidR="00EE35E2" w:rsidRPr="004676F5" w:rsidRDefault="00EE35E2" w:rsidP="00EE35E2">
      <w:pPr>
        <w:ind w:firstLine="708"/>
        <w:jc w:val="both"/>
        <w:rPr>
          <w:lang w:val="de-DE"/>
        </w:rPr>
      </w:pPr>
    </w:p>
    <w:p w14:paraId="482D35FE" w14:textId="77777777" w:rsidR="00EE35E2" w:rsidRPr="004676F5" w:rsidRDefault="00EE35E2" w:rsidP="00EE35E2">
      <w:pPr>
        <w:ind w:firstLine="708"/>
        <w:jc w:val="both"/>
        <w:rPr>
          <w:lang w:val="de-DE"/>
        </w:rPr>
      </w:pPr>
      <w:r w:rsidRPr="004676F5">
        <w:rPr>
          <w:lang w:val="de-DE"/>
        </w:rPr>
        <w:t>Artikel 458 des Strafgesetzbuches ist auf sie anwendbar.</w:t>
      </w:r>
    </w:p>
    <w:p w14:paraId="0EE3B0B0" w14:textId="77777777" w:rsidR="002D3444" w:rsidRPr="004676F5" w:rsidRDefault="002D3444" w:rsidP="002D3444">
      <w:pPr>
        <w:jc w:val="both"/>
        <w:rPr>
          <w:lang w:val="de-DE"/>
        </w:rPr>
      </w:pPr>
    </w:p>
    <w:p w14:paraId="5BE0933B" w14:textId="4DF5283B" w:rsidR="002D3444" w:rsidRPr="004676F5" w:rsidRDefault="002D3444" w:rsidP="002D3444">
      <w:pPr>
        <w:jc w:val="both"/>
        <w:rPr>
          <w:i/>
          <w:iCs/>
          <w:lang w:val="de-DE"/>
        </w:rPr>
      </w:pPr>
      <w:r w:rsidRPr="004676F5">
        <w:rPr>
          <w:i/>
          <w:iCs/>
          <w:lang w:val="de-DE"/>
        </w:rPr>
        <w:t>[Art. XX.18 § 1 Abs. 1 abgeändert durch Art. 16 Nr. 1 des G. vom 7. Juni 2023 (B.S. vom 7. Juli 2023); § 1 Abs. 2 abgeändert durch Art. 16 Nr. 2 des G. vom 7. Juni 2023 (B.S. vom 7. Juli 2023); § 1 Abs. 4 abgeändert durch Art. 16 Nr. 3 des G. vom 7. Juni 2023 (B.S. vom 7. Juli 2023)]</w:t>
      </w:r>
    </w:p>
    <w:p w14:paraId="603A3B24" w14:textId="28979FF7" w:rsidR="002D3444" w:rsidRPr="004676F5" w:rsidRDefault="002D3444" w:rsidP="002D3444">
      <w:pPr>
        <w:jc w:val="both"/>
        <w:rPr>
          <w:lang w:val="de-DE"/>
        </w:rPr>
      </w:pPr>
      <w:r w:rsidRPr="004676F5">
        <w:rPr>
          <w:i/>
          <w:iCs/>
          <w:lang w:val="de-DE"/>
        </w:rPr>
        <w:t xml:space="preserve"> </w:t>
      </w:r>
    </w:p>
    <w:p w14:paraId="3BA4374F" w14:textId="77777777" w:rsidR="007C6C28" w:rsidRPr="004676F5" w:rsidRDefault="007C6C28" w:rsidP="002D3444">
      <w:pPr>
        <w:jc w:val="both"/>
        <w:rPr>
          <w:lang w:val="de-DE"/>
        </w:rPr>
      </w:pPr>
    </w:p>
    <w:p w14:paraId="5E210EB8" w14:textId="3836C9F4" w:rsidR="007C6C28" w:rsidRPr="004676F5" w:rsidRDefault="007C6C28" w:rsidP="007C6C28">
      <w:pPr>
        <w:jc w:val="both"/>
        <w:rPr>
          <w:iCs/>
          <w:sz w:val="20"/>
          <w:szCs w:val="20"/>
          <w:lang w:val="de-DE"/>
        </w:rPr>
      </w:pPr>
      <w:r w:rsidRPr="004676F5">
        <w:rPr>
          <w:iCs/>
          <w:sz w:val="20"/>
          <w:szCs w:val="20"/>
          <w:lang w:val="de-DE"/>
        </w:rPr>
        <w:t>Ab dem 8. April 2026 (gemäß Art. 119 des G. vom 29. Februar 2024 </w:t>
      </w:r>
      <w:r w:rsidRPr="004676F5">
        <w:rPr>
          <w:i/>
          <w:sz w:val="20"/>
          <w:szCs w:val="20"/>
          <w:lang w:val="de-DE"/>
        </w:rPr>
        <w:t>(II)</w:t>
      </w:r>
      <w:r w:rsidRPr="004676F5">
        <w:rPr>
          <w:iCs/>
          <w:sz w:val="20"/>
          <w:szCs w:val="20"/>
          <w:lang w:val="de-DE"/>
        </w:rPr>
        <w:t xml:space="preserve"> (B.S. vom 8. April 2024)) lautet Art. XX.18 wie folgt:</w:t>
      </w:r>
    </w:p>
    <w:p w14:paraId="353E7EA3" w14:textId="77777777" w:rsidR="007C6C28" w:rsidRPr="004676F5" w:rsidRDefault="007C6C28" w:rsidP="007C6C28">
      <w:pPr>
        <w:jc w:val="both"/>
        <w:rPr>
          <w:iCs/>
          <w:sz w:val="20"/>
          <w:szCs w:val="20"/>
          <w:lang w:val="de-DE"/>
        </w:rPr>
      </w:pPr>
    </w:p>
    <w:p w14:paraId="5C32C521" w14:textId="16B5ACBD" w:rsidR="007C6C28" w:rsidRPr="004676F5" w:rsidRDefault="007C6C28" w:rsidP="007C6C28">
      <w:pPr>
        <w:jc w:val="both"/>
        <w:rPr>
          <w:iCs/>
          <w:sz w:val="20"/>
          <w:szCs w:val="20"/>
          <w:lang w:val="de-DE"/>
        </w:rPr>
      </w:pPr>
      <w:r w:rsidRPr="004676F5">
        <w:rPr>
          <w:iCs/>
          <w:sz w:val="20"/>
          <w:szCs w:val="20"/>
          <w:lang w:val="de-DE"/>
        </w:rPr>
        <w:t>"</w:t>
      </w:r>
      <w:r w:rsidRPr="004676F5">
        <w:rPr>
          <w:bCs/>
          <w:iCs/>
          <w:sz w:val="20"/>
          <w:szCs w:val="20"/>
          <w:lang w:val="de-DE"/>
        </w:rPr>
        <w:t>Art. XX.18</w:t>
      </w:r>
      <w:r w:rsidRPr="004676F5">
        <w:rPr>
          <w:iCs/>
          <w:sz w:val="20"/>
          <w:szCs w:val="20"/>
          <w:lang w:val="de-DE"/>
        </w:rPr>
        <w:t> - § 1 - Im Rahmen der Erfüllung ihrer gesetzlichen Aufträge haben Magistrate einschließlich der Magistrate der Staatsanwaltschaft, Greffiers, Sekretäre bei der Staatsanwaltschaft, Konkursrichter, beauftragte Richter, [gerichtliche Bevollmächtigte], Schuldner und Konkursschuldner wie in vorliegendem Buch erwähnt, wie auch Gläubiger und Dritte, die gewerbsmäßig rechtlichen Beistand leisten, in der Regel Zugang zu den in Artikel XX.15 erwähnten Daten, die für sie sachdienlich sind, unbeschadet der Regeln in Bezug auf das Berufsgeheimnis, das Geschäftsgeheimnis und das Beratungsgeheimnis.</w:t>
      </w:r>
    </w:p>
    <w:p w14:paraId="22C17734" w14:textId="77777777" w:rsidR="007C6C28" w:rsidRPr="004676F5" w:rsidRDefault="007C6C28" w:rsidP="007C6C28">
      <w:pPr>
        <w:jc w:val="both"/>
        <w:rPr>
          <w:iCs/>
          <w:sz w:val="20"/>
          <w:szCs w:val="20"/>
          <w:lang w:val="de-DE"/>
        </w:rPr>
      </w:pPr>
    </w:p>
    <w:p w14:paraId="7306D529" w14:textId="77777777" w:rsidR="007C6C28" w:rsidRPr="004676F5" w:rsidRDefault="007C6C28" w:rsidP="007C6C28">
      <w:pPr>
        <w:jc w:val="both"/>
        <w:rPr>
          <w:iCs/>
          <w:sz w:val="20"/>
          <w:szCs w:val="20"/>
          <w:lang w:val="de-DE"/>
        </w:rPr>
      </w:pPr>
      <w:r w:rsidRPr="004676F5">
        <w:rPr>
          <w:iCs/>
          <w:sz w:val="20"/>
          <w:szCs w:val="20"/>
          <w:lang w:val="de-DE"/>
        </w:rPr>
        <w:t>Der König legt [...] nähere Regeln für den Zugang zum Register fest, wobei Er auch die besondere Art bestimmter Daten berücksichtigt, die aufgrund des Berufsgeheimnisses oder des Geschäftsgeheimnisses geschützt werden müssen.</w:t>
      </w:r>
    </w:p>
    <w:p w14:paraId="682C8CD7" w14:textId="77777777" w:rsidR="007C6C28" w:rsidRPr="004676F5" w:rsidRDefault="007C6C28" w:rsidP="007C6C28">
      <w:pPr>
        <w:jc w:val="both"/>
        <w:rPr>
          <w:iCs/>
          <w:sz w:val="20"/>
          <w:szCs w:val="20"/>
          <w:lang w:val="de-DE"/>
        </w:rPr>
      </w:pPr>
    </w:p>
    <w:p w14:paraId="1023F331" w14:textId="77777777" w:rsidR="007C6C28" w:rsidRPr="004676F5" w:rsidRDefault="007C6C28" w:rsidP="007C6C28">
      <w:pPr>
        <w:jc w:val="both"/>
        <w:rPr>
          <w:iCs/>
          <w:sz w:val="20"/>
          <w:szCs w:val="20"/>
          <w:lang w:val="de-DE"/>
        </w:rPr>
      </w:pPr>
      <w:r w:rsidRPr="004676F5">
        <w:rPr>
          <w:iCs/>
          <w:sz w:val="20"/>
          <w:szCs w:val="20"/>
          <w:lang w:val="de-DE"/>
        </w:rPr>
        <w:t>Ein Interesse habender Dritter kann beim Konkursrichter oder beauftragten Richter Zugang zu einem Teil oder der gesamten Akte beantragen. Der Gerichtspräsident, der Kammervorsitzende, der Konkursrichter oder der beauftragte Richter kann ebenfalls von Fall zu Fall entscheiden, dass bestimmte Daten aufgrund ihres vertraulichen Charakters nur begrenzt zugänglich sind. Sie teilen ihre Entscheidung dem Verwalter des Registers mit.</w:t>
      </w:r>
    </w:p>
    <w:p w14:paraId="4E356588" w14:textId="77777777" w:rsidR="007C6C28" w:rsidRPr="004676F5" w:rsidRDefault="007C6C28" w:rsidP="007C6C28">
      <w:pPr>
        <w:jc w:val="both"/>
        <w:rPr>
          <w:iCs/>
          <w:sz w:val="20"/>
          <w:szCs w:val="20"/>
          <w:lang w:val="de-DE"/>
        </w:rPr>
      </w:pPr>
    </w:p>
    <w:p w14:paraId="7184FE3A" w14:textId="77777777" w:rsidR="007C6C28" w:rsidRPr="004676F5" w:rsidRDefault="007C6C28" w:rsidP="007C6C28">
      <w:pPr>
        <w:jc w:val="both"/>
        <w:rPr>
          <w:iCs/>
          <w:sz w:val="20"/>
          <w:szCs w:val="20"/>
          <w:lang w:val="de-DE"/>
        </w:rPr>
      </w:pPr>
      <w:r w:rsidRPr="004676F5">
        <w:rPr>
          <w:iCs/>
          <w:sz w:val="20"/>
          <w:szCs w:val="20"/>
          <w:lang w:val="de-DE"/>
        </w:rPr>
        <w:t>Der König kann [...] anderen Kategorien von Personen erlauben, diese Daten unter Bedingungen, die Er festlegt, einzusehen.</w:t>
      </w:r>
    </w:p>
    <w:p w14:paraId="1619DF86" w14:textId="77777777" w:rsidR="007C6C28" w:rsidRPr="004676F5" w:rsidRDefault="007C6C28" w:rsidP="007C6C28">
      <w:pPr>
        <w:jc w:val="both"/>
        <w:rPr>
          <w:iCs/>
          <w:sz w:val="20"/>
          <w:szCs w:val="20"/>
          <w:lang w:val="de-DE"/>
        </w:rPr>
      </w:pPr>
    </w:p>
    <w:p w14:paraId="79A0D33F" w14:textId="77777777" w:rsidR="007C6C28" w:rsidRPr="004676F5" w:rsidRDefault="007C6C28" w:rsidP="007C6C28">
      <w:pPr>
        <w:jc w:val="both"/>
        <w:rPr>
          <w:iCs/>
          <w:sz w:val="20"/>
          <w:szCs w:val="20"/>
          <w:lang w:val="de-DE"/>
        </w:rPr>
      </w:pPr>
      <w:r w:rsidRPr="004676F5">
        <w:rPr>
          <w:iCs/>
          <w:sz w:val="20"/>
          <w:szCs w:val="20"/>
          <w:lang w:val="de-DE"/>
        </w:rPr>
        <w:t>§ 2 - Dem Verwalter ist nicht gestattet, in Artikel XX.15 erwähnte Daten anderen als den in § 1 erwähnten Personen zu übermitteln.</w:t>
      </w:r>
    </w:p>
    <w:p w14:paraId="29D5013D" w14:textId="77777777" w:rsidR="007C6C28" w:rsidRPr="004676F5" w:rsidRDefault="007C6C28" w:rsidP="007C6C28">
      <w:pPr>
        <w:jc w:val="both"/>
        <w:rPr>
          <w:iCs/>
          <w:sz w:val="20"/>
          <w:szCs w:val="20"/>
          <w:lang w:val="de-DE"/>
        </w:rPr>
      </w:pPr>
    </w:p>
    <w:p w14:paraId="6B9D439F" w14:textId="77777777" w:rsidR="007C6C28" w:rsidRPr="004676F5" w:rsidRDefault="007C6C28" w:rsidP="007C6C28">
      <w:pPr>
        <w:jc w:val="both"/>
        <w:rPr>
          <w:iCs/>
          <w:sz w:val="20"/>
          <w:szCs w:val="20"/>
          <w:lang w:val="de-DE"/>
        </w:rPr>
      </w:pPr>
      <w:r w:rsidRPr="004676F5">
        <w:rPr>
          <w:iCs/>
          <w:sz w:val="20"/>
          <w:szCs w:val="20"/>
          <w:lang w:val="de-DE"/>
        </w:rPr>
        <w:t>§ 3 - Wer in gleich welcher Eigenschaft an der Sammlung, Verarbeitung oder Übermittlung der Artikel XX.15 erwähnten Daten teilnimmt oder Kenntnis dieser Daten hat, ist verpflichtet, deren Vertraulichkeit zu wahren.</w:t>
      </w:r>
    </w:p>
    <w:p w14:paraId="0B380906" w14:textId="77777777" w:rsidR="007C6C28" w:rsidRPr="004676F5" w:rsidRDefault="007C6C28" w:rsidP="007C6C28">
      <w:pPr>
        <w:jc w:val="both"/>
        <w:rPr>
          <w:iCs/>
          <w:sz w:val="20"/>
          <w:szCs w:val="20"/>
          <w:lang w:val="de-DE"/>
        </w:rPr>
      </w:pPr>
    </w:p>
    <w:p w14:paraId="7FBEF222" w14:textId="391D5520" w:rsidR="007C6C28" w:rsidRPr="004676F5" w:rsidRDefault="007C6C28" w:rsidP="007C6C28">
      <w:pPr>
        <w:jc w:val="both"/>
        <w:rPr>
          <w:iCs/>
          <w:sz w:val="20"/>
          <w:szCs w:val="20"/>
          <w:lang w:val="de-DE"/>
        </w:rPr>
      </w:pPr>
      <w:r w:rsidRPr="004676F5">
        <w:rPr>
          <w:iCs/>
          <w:sz w:val="20"/>
          <w:szCs w:val="20"/>
          <w:lang w:val="de-DE"/>
        </w:rPr>
        <w:t>[Artikel 352 des Strafgesetzbuches] ist auf sie anwendbar.</w:t>
      </w:r>
    </w:p>
    <w:p w14:paraId="5B5C0314" w14:textId="77777777" w:rsidR="007C6C28" w:rsidRPr="004676F5" w:rsidRDefault="007C6C28" w:rsidP="007C6C28">
      <w:pPr>
        <w:jc w:val="both"/>
        <w:rPr>
          <w:iCs/>
          <w:sz w:val="20"/>
          <w:szCs w:val="20"/>
          <w:lang w:val="de-DE"/>
        </w:rPr>
      </w:pPr>
    </w:p>
    <w:p w14:paraId="73EEF280" w14:textId="7F314A2D" w:rsidR="007C6C28" w:rsidRPr="004676F5" w:rsidRDefault="007C6C28" w:rsidP="007C6C28">
      <w:pPr>
        <w:jc w:val="both"/>
        <w:rPr>
          <w:sz w:val="20"/>
          <w:szCs w:val="20"/>
          <w:lang w:val="de-DE"/>
        </w:rPr>
      </w:pPr>
      <w:r w:rsidRPr="004676F5">
        <w:rPr>
          <w:i/>
          <w:iCs/>
          <w:sz w:val="20"/>
          <w:szCs w:val="20"/>
          <w:lang w:val="de-DE"/>
        </w:rPr>
        <w:t>[Art. XX.18 § 1 Abs. 1 abgeändert durch Art. 16 Nr. 1 des G. vom 7. Juni 2023 (B.S. vom 7. Juli 2023); § 1 Abs. 2 abgeändert durch Art. 16 Nr. 2 des G. vom 7. Juni 2023 (B.S. vom 7. Juli 2023); § 1 Abs. 4 abgeändert durch Art. 16 Nr. 3 des G. vom 7. Juni 2023 (B.S. vom 7. Juli 2023); § 3 Abs. 2 abgeändert durch Art. 109 des G. vom 29. Februar 2024 (II) (B.S. vom 8. April 2024)]</w:t>
      </w:r>
      <w:r w:rsidRPr="004676F5">
        <w:rPr>
          <w:sz w:val="20"/>
          <w:szCs w:val="20"/>
          <w:lang w:val="de-DE"/>
        </w:rPr>
        <w:t>"</w:t>
      </w:r>
    </w:p>
    <w:p w14:paraId="36D7BDE6" w14:textId="30DA0958" w:rsidR="007C6C28" w:rsidRPr="004676F5" w:rsidRDefault="007C6C28" w:rsidP="007C6C28">
      <w:pPr>
        <w:jc w:val="both"/>
        <w:rPr>
          <w:lang w:val="de-DE"/>
        </w:rPr>
      </w:pPr>
    </w:p>
    <w:p w14:paraId="2458AD46" w14:textId="77777777" w:rsidR="00DF5BE5" w:rsidRPr="004676F5" w:rsidRDefault="00DF5BE5" w:rsidP="00EE35E2">
      <w:pPr>
        <w:ind w:firstLine="708"/>
        <w:jc w:val="both"/>
        <w:rPr>
          <w:lang w:val="de-DE"/>
        </w:rPr>
      </w:pPr>
    </w:p>
    <w:p w14:paraId="78FC2806" w14:textId="300261B5" w:rsidR="00EE35E2" w:rsidRPr="004676F5" w:rsidRDefault="00BE0A56" w:rsidP="00EE35E2">
      <w:pPr>
        <w:ind w:firstLine="708"/>
        <w:jc w:val="both"/>
        <w:rPr>
          <w:lang w:val="de-DE"/>
        </w:rPr>
      </w:pPr>
      <w:r w:rsidRPr="004676F5">
        <w:rPr>
          <w:b/>
          <w:lang w:val="de-DE"/>
        </w:rPr>
        <w:t>Art. </w:t>
      </w:r>
      <w:r w:rsidR="00EE35E2" w:rsidRPr="004676F5">
        <w:rPr>
          <w:b/>
          <w:lang w:val="de-DE"/>
        </w:rPr>
        <w:t>XX.19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Um die Kosten zu decken, die durch die Verwaltung des Registers verursacht werden, kann für Registrierung, Einsicht, Änderung, Erneuerung und Streichung von Daten im Register und Führung der Insolvenzakte eine Gebühr erhoben werden.</w:t>
      </w:r>
    </w:p>
    <w:p w14:paraId="7C9866F6" w14:textId="77777777" w:rsidR="00EE35E2" w:rsidRPr="004676F5" w:rsidRDefault="00EE35E2" w:rsidP="00EE35E2">
      <w:pPr>
        <w:ind w:firstLine="708"/>
        <w:jc w:val="both"/>
        <w:rPr>
          <w:lang w:val="de-DE"/>
        </w:rPr>
      </w:pPr>
    </w:p>
    <w:p w14:paraId="7DB2E413" w14:textId="77777777" w:rsidR="00EE35E2" w:rsidRPr="004676F5" w:rsidRDefault="00EE35E2" w:rsidP="00EE35E2">
      <w:pPr>
        <w:ind w:firstLine="708"/>
        <w:jc w:val="both"/>
        <w:rPr>
          <w:lang w:val="de-DE"/>
        </w:rPr>
      </w:pPr>
      <w:r w:rsidRPr="004676F5">
        <w:rPr>
          <w:lang w:val="de-DE"/>
        </w:rPr>
        <w:t>Der Betrag der in Absatz 1 erwähnten Gebühren kann je nach Eigenschaft der Partei, die das Register benutzt, und je nach Registrierungsart verschieden sein.</w:t>
      </w:r>
    </w:p>
    <w:p w14:paraId="52E49EB8" w14:textId="77777777" w:rsidR="00EE35E2" w:rsidRPr="004676F5" w:rsidRDefault="00EE35E2" w:rsidP="00EE35E2">
      <w:pPr>
        <w:ind w:firstLine="708"/>
        <w:jc w:val="both"/>
        <w:rPr>
          <w:lang w:val="de-DE"/>
        </w:rPr>
      </w:pPr>
    </w:p>
    <w:p w14:paraId="27A9CF63" w14:textId="79151978" w:rsidR="00EE35E2" w:rsidRPr="004676F5" w:rsidRDefault="00EE35E2" w:rsidP="00EE35E2">
      <w:pPr>
        <w:ind w:firstLine="708"/>
        <w:jc w:val="both"/>
        <w:rPr>
          <w:lang w:val="de-DE"/>
        </w:rPr>
      </w:pPr>
      <w:r w:rsidRPr="004676F5">
        <w:rPr>
          <w:lang w:val="de-DE"/>
        </w:rPr>
        <w:lastRenderedPageBreak/>
        <w:t>§ 2 </w:t>
      </w:r>
      <w:r w:rsidR="005B7A5C" w:rsidRPr="004676F5">
        <w:rPr>
          <w:lang w:val="de-DE"/>
        </w:rPr>
        <w:t>- </w:t>
      </w:r>
      <w:r w:rsidRPr="004676F5">
        <w:rPr>
          <w:lang w:val="de-DE"/>
        </w:rPr>
        <w:t>Der König legt auf Stellungnahme des Geschäftsführungs</w:t>
      </w:r>
      <w:r w:rsidR="005B7A5C" w:rsidRPr="004676F5">
        <w:rPr>
          <w:lang w:val="de-DE"/>
        </w:rPr>
        <w:t>- </w:t>
      </w:r>
      <w:r w:rsidRPr="004676F5">
        <w:rPr>
          <w:lang w:val="de-DE"/>
        </w:rPr>
        <w:t>und Kontrollaus</w:t>
      </w:r>
      <w:r w:rsidRPr="004676F5">
        <w:rPr>
          <w:lang w:val="de-DE"/>
        </w:rPr>
        <w:softHyphen/>
        <w:t>schusses, der Kammer der französischsprachigen und deutschsprachigen Rechtsanwaltschaften und der Kammer der flämischen Rechtsanwaltschaften Höhe, Bedingungen und Einnahme</w:t>
      </w:r>
      <w:r w:rsidRPr="004676F5">
        <w:rPr>
          <w:lang w:val="de-DE"/>
        </w:rPr>
        <w:softHyphen/>
        <w:t>modalitäten der Gebühr fest.</w:t>
      </w:r>
    </w:p>
    <w:p w14:paraId="3885DAF0" w14:textId="77777777" w:rsidR="00EE35E2" w:rsidRPr="004676F5" w:rsidRDefault="00EE35E2" w:rsidP="00EE35E2">
      <w:pPr>
        <w:ind w:firstLine="708"/>
        <w:jc w:val="both"/>
        <w:rPr>
          <w:lang w:val="de-DE"/>
        </w:rPr>
      </w:pPr>
    </w:p>
    <w:p w14:paraId="022CF817" w14:textId="77777777" w:rsidR="00EE35E2" w:rsidRPr="004676F5" w:rsidRDefault="00EE35E2" w:rsidP="00EE35E2">
      <w:pPr>
        <w:ind w:firstLine="708"/>
        <w:jc w:val="both"/>
        <w:rPr>
          <w:lang w:val="de-DE"/>
        </w:rPr>
      </w:pPr>
      <w:r w:rsidRPr="004676F5">
        <w:rPr>
          <w:lang w:val="de-DE"/>
        </w:rPr>
        <w:t>Der König legt Fälle der Befreiung von der Gebühr fest, wenn dies erforderlich ist, um Bestimmungen des Rechts der Europäischen Union zu erfüllen oder sozialen Bedürfnissen betreffender Personen entgegenzukommen.</w:t>
      </w:r>
    </w:p>
    <w:p w14:paraId="12364819" w14:textId="77777777" w:rsidR="00EE35E2" w:rsidRPr="004676F5" w:rsidRDefault="00EE35E2" w:rsidP="00EE35E2">
      <w:pPr>
        <w:ind w:firstLine="708"/>
        <w:jc w:val="both"/>
        <w:rPr>
          <w:lang w:val="de-DE"/>
        </w:rPr>
      </w:pPr>
    </w:p>
    <w:p w14:paraId="4778B456" w14:textId="77777777" w:rsidR="00EE35E2" w:rsidRPr="004676F5" w:rsidRDefault="00EE35E2" w:rsidP="00EE35E2">
      <w:pPr>
        <w:ind w:firstLine="708"/>
        <w:jc w:val="both"/>
        <w:rPr>
          <w:lang w:val="de-DE"/>
        </w:rPr>
      </w:pPr>
      <w:r w:rsidRPr="004676F5">
        <w:rPr>
          <w:lang w:val="de-DE"/>
        </w:rPr>
        <w:t>Die Gebühren sind an den Verwalter zu entrichten und werden von diesem eingenom</w:t>
      </w:r>
      <w:r w:rsidRPr="004676F5">
        <w:rPr>
          <w:lang w:val="de-DE"/>
        </w:rPr>
        <w:softHyphen/>
        <w:t>men.</w:t>
      </w:r>
    </w:p>
    <w:p w14:paraId="7CAB1C22" w14:textId="77777777" w:rsidR="00EE35E2" w:rsidRPr="004676F5" w:rsidRDefault="00EE35E2" w:rsidP="00EE35E2">
      <w:pPr>
        <w:ind w:firstLine="708"/>
        <w:jc w:val="both"/>
        <w:rPr>
          <w:lang w:val="de-DE"/>
        </w:rPr>
      </w:pPr>
    </w:p>
    <w:p w14:paraId="4B633CD6" w14:textId="77777777" w:rsidR="00EE35E2" w:rsidRPr="004676F5" w:rsidRDefault="00EE35E2" w:rsidP="00EE35E2">
      <w:pPr>
        <w:ind w:firstLine="708"/>
        <w:jc w:val="both"/>
        <w:rPr>
          <w:lang w:val="de-DE"/>
        </w:rPr>
      </w:pPr>
      <w:r w:rsidRPr="004676F5">
        <w:rPr>
          <w:lang w:val="de-DE"/>
        </w:rPr>
        <w:t>Öffentliche Einrichtungen sind im Rahmen der Erfüllung ihrer gesetzlichen Aufträge nicht zur Zahlung der in vorliegendem Artikel erwähnten Gebühren verpflichtet.</w:t>
      </w:r>
    </w:p>
    <w:p w14:paraId="3921BA94" w14:textId="77777777" w:rsidR="00EE35E2" w:rsidRPr="004676F5" w:rsidRDefault="00EE35E2" w:rsidP="00EE35E2">
      <w:pPr>
        <w:ind w:firstLine="708"/>
        <w:jc w:val="both"/>
        <w:rPr>
          <w:lang w:val="de-DE"/>
        </w:rPr>
      </w:pPr>
    </w:p>
    <w:p w14:paraId="5DFF9BA0" w14:textId="595B4360"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Der Betrag der in § 2 erwähnten Gebühr wird am 1. Januar jeden Jahres von Rechts wegen aufgrund folgender Formel an die Entwicklung des Verbraucherpreisindexes angepasst: Der neue Betrag entspricht dem mit dem neuen Index multiplizierten und durch den Anfangsindex geteilten Basisbetrag.</w:t>
      </w:r>
    </w:p>
    <w:p w14:paraId="32023D7D" w14:textId="77777777" w:rsidR="00EE35E2" w:rsidRPr="004676F5" w:rsidRDefault="00EE35E2" w:rsidP="00EE35E2">
      <w:pPr>
        <w:ind w:firstLine="708"/>
        <w:jc w:val="both"/>
        <w:rPr>
          <w:lang w:val="de-DE"/>
        </w:rPr>
      </w:pPr>
    </w:p>
    <w:p w14:paraId="1AFDC1A0" w14:textId="77777777" w:rsidR="00EE35E2" w:rsidRPr="004676F5" w:rsidRDefault="00EE35E2" w:rsidP="00EE35E2">
      <w:pPr>
        <w:ind w:firstLine="708"/>
        <w:jc w:val="both"/>
        <w:rPr>
          <w:lang w:val="de-DE"/>
        </w:rPr>
      </w:pPr>
      <w:r w:rsidRPr="004676F5">
        <w:rPr>
          <w:lang w:val="de-DE"/>
        </w:rPr>
        <w:t>Der Anfangsindex ist der Index des Monats Dezember des Jahres, in dem der Betrag der Gebühr festgelegt wird. Der neue Index ist der Index des Monats Dezember des Jahres vor dem 1. Januar des Jahres, in dem die Anpassung erfolgt.</w:t>
      </w:r>
    </w:p>
    <w:p w14:paraId="13F9C91B" w14:textId="77777777" w:rsidR="00EE35E2" w:rsidRPr="004676F5" w:rsidRDefault="00EE35E2" w:rsidP="00EE35E2">
      <w:pPr>
        <w:ind w:firstLine="708"/>
        <w:jc w:val="both"/>
        <w:rPr>
          <w:lang w:val="de-DE"/>
        </w:rPr>
      </w:pPr>
    </w:p>
    <w:p w14:paraId="70A4CA33" w14:textId="77777777" w:rsidR="00EE35E2" w:rsidRPr="004676F5" w:rsidRDefault="00EE35E2" w:rsidP="00EE35E2">
      <w:pPr>
        <w:ind w:firstLine="708"/>
        <w:jc w:val="both"/>
        <w:rPr>
          <w:lang w:val="de-DE"/>
        </w:rPr>
      </w:pPr>
      <w:r w:rsidRPr="004676F5">
        <w:rPr>
          <w:lang w:val="de-DE"/>
        </w:rPr>
        <w:t>Das Ergebnis wird auf den nächsthöheren Einer aufgerundet.</w:t>
      </w:r>
    </w:p>
    <w:p w14:paraId="7CEE0BF9" w14:textId="77777777" w:rsidR="00EE35E2" w:rsidRPr="004676F5" w:rsidRDefault="00EE35E2" w:rsidP="00EE35E2">
      <w:pPr>
        <w:jc w:val="both"/>
        <w:rPr>
          <w:lang w:val="de-DE"/>
        </w:rPr>
      </w:pPr>
    </w:p>
    <w:p w14:paraId="534E3CA0" w14:textId="77777777" w:rsidR="00DF5BE5" w:rsidRPr="004676F5" w:rsidRDefault="00DF5BE5" w:rsidP="00EE35E2">
      <w:pPr>
        <w:jc w:val="center"/>
        <w:rPr>
          <w:lang w:val="de-DE"/>
        </w:rPr>
      </w:pPr>
    </w:p>
    <w:p w14:paraId="1A368412" w14:textId="3ABC5DB7" w:rsidR="00320BC4" w:rsidRPr="004676F5" w:rsidRDefault="00320BC4">
      <w:pPr>
        <w:rPr>
          <w:lang w:val="de-DE"/>
        </w:rPr>
      </w:pPr>
    </w:p>
    <w:p w14:paraId="04001639" w14:textId="77777777" w:rsidR="007C6C28" w:rsidRPr="004676F5" w:rsidRDefault="007C6C28">
      <w:pPr>
        <w:rPr>
          <w:lang w:val="de-DE"/>
        </w:rPr>
      </w:pPr>
      <w:r w:rsidRPr="004676F5">
        <w:rPr>
          <w:lang w:val="de-DE"/>
        </w:rPr>
        <w:br w:type="page"/>
      </w:r>
    </w:p>
    <w:p w14:paraId="615DAD35" w14:textId="67640AD2" w:rsidR="00EE35E2" w:rsidRPr="004676F5" w:rsidRDefault="00EE35E2" w:rsidP="00EE35E2">
      <w:pPr>
        <w:jc w:val="center"/>
        <w:rPr>
          <w:lang w:val="de-DE"/>
        </w:rPr>
      </w:pPr>
      <w:r w:rsidRPr="004676F5">
        <w:rPr>
          <w:lang w:val="de-DE"/>
        </w:rPr>
        <w:lastRenderedPageBreak/>
        <w:t>KAPITEL 4 </w:t>
      </w:r>
      <w:r w:rsidR="005B7A5C" w:rsidRPr="004676F5">
        <w:rPr>
          <w:lang w:val="de-DE"/>
        </w:rPr>
        <w:t>- </w:t>
      </w:r>
      <w:r w:rsidR="002D3444" w:rsidRPr="004676F5">
        <w:rPr>
          <w:lang w:val="de-DE"/>
        </w:rPr>
        <w:t>[</w:t>
      </w:r>
      <w:r w:rsidR="002D3444" w:rsidRPr="004676F5">
        <w:rPr>
          <w:i/>
          <w:iCs/>
          <w:lang w:val="de-DE"/>
        </w:rPr>
        <w:t>Liquidationsbearbeiter und Reorganisationsbearbeiter</w:t>
      </w:r>
      <w:r w:rsidR="002D3444" w:rsidRPr="004676F5">
        <w:rPr>
          <w:lang w:val="de-DE"/>
        </w:rPr>
        <w:t>]</w:t>
      </w:r>
    </w:p>
    <w:p w14:paraId="61CAA84A" w14:textId="77777777" w:rsidR="00EE35E2" w:rsidRPr="004676F5" w:rsidRDefault="00EE35E2" w:rsidP="00EE35E2">
      <w:pPr>
        <w:jc w:val="both"/>
        <w:rPr>
          <w:lang w:val="de-DE"/>
        </w:rPr>
      </w:pPr>
    </w:p>
    <w:p w14:paraId="33062947" w14:textId="291C4583" w:rsidR="002D3444" w:rsidRPr="004676F5" w:rsidRDefault="002D3444" w:rsidP="00EE35E2">
      <w:pPr>
        <w:jc w:val="both"/>
        <w:rPr>
          <w:i/>
          <w:iCs/>
          <w:lang w:val="de-DE"/>
        </w:rPr>
      </w:pPr>
      <w:r w:rsidRPr="004676F5">
        <w:rPr>
          <w:i/>
          <w:iCs/>
          <w:lang w:val="de-DE"/>
        </w:rPr>
        <w:t>[Überschrift von Kapitel 4 ersetzt durch Art. 17 des G. vom 7. Juni 2023 (B.S. vom 7. Juli 2023)]</w:t>
      </w:r>
    </w:p>
    <w:p w14:paraId="684F5524" w14:textId="77777777" w:rsidR="002D3444" w:rsidRPr="004676F5" w:rsidRDefault="002D3444" w:rsidP="00EE35E2">
      <w:pPr>
        <w:jc w:val="both"/>
        <w:rPr>
          <w:lang w:val="de-DE"/>
        </w:rPr>
      </w:pPr>
    </w:p>
    <w:p w14:paraId="7CC18241" w14:textId="77777777" w:rsidR="002D3444" w:rsidRPr="004676F5" w:rsidRDefault="002D3444" w:rsidP="00EE35E2">
      <w:pPr>
        <w:jc w:val="both"/>
        <w:rPr>
          <w:lang w:val="de-DE"/>
        </w:rPr>
      </w:pPr>
    </w:p>
    <w:p w14:paraId="22C1AEF4" w14:textId="37E8B541" w:rsidR="002D3444" w:rsidRPr="004676F5" w:rsidRDefault="002D3444" w:rsidP="002D3444">
      <w:pPr>
        <w:jc w:val="center"/>
        <w:rPr>
          <w:lang w:val="de-DE"/>
        </w:rPr>
      </w:pPr>
      <w:r w:rsidRPr="004676F5">
        <w:rPr>
          <w:lang w:val="de-DE"/>
        </w:rPr>
        <w:t>[</w:t>
      </w:r>
      <w:r w:rsidRPr="004676F5">
        <w:rPr>
          <w:i/>
          <w:iCs/>
          <w:lang w:val="de-DE"/>
        </w:rPr>
        <w:t>Abschnitt 1</w:t>
      </w:r>
      <w:r w:rsidRPr="004676F5">
        <w:rPr>
          <w:lang w:val="de-DE"/>
        </w:rPr>
        <w:t> - Liquidationsbearbeiter]</w:t>
      </w:r>
    </w:p>
    <w:p w14:paraId="09BB3B56" w14:textId="77777777" w:rsidR="002D3444" w:rsidRPr="004676F5" w:rsidRDefault="002D3444" w:rsidP="002D3444">
      <w:pPr>
        <w:jc w:val="center"/>
        <w:rPr>
          <w:lang w:val="de-DE"/>
        </w:rPr>
      </w:pPr>
    </w:p>
    <w:p w14:paraId="229BBD47" w14:textId="05537939" w:rsidR="002D3444" w:rsidRPr="004676F5" w:rsidRDefault="002D3444" w:rsidP="002D3444">
      <w:pPr>
        <w:jc w:val="both"/>
        <w:rPr>
          <w:i/>
          <w:iCs/>
          <w:lang w:val="de-DE"/>
        </w:rPr>
      </w:pPr>
      <w:r w:rsidRPr="004676F5">
        <w:rPr>
          <w:i/>
          <w:iCs/>
          <w:lang w:val="de-DE"/>
        </w:rPr>
        <w:t>[Unterteilung Abschnitt 1 eingefügt durch Art. 18 des G. vom 7. Juni 2023 (B.S. vom 7. Juli 2023)]</w:t>
      </w:r>
    </w:p>
    <w:p w14:paraId="30B5CE8A" w14:textId="77777777" w:rsidR="002D3444" w:rsidRPr="004676F5" w:rsidRDefault="002D3444" w:rsidP="002D3444">
      <w:pPr>
        <w:jc w:val="both"/>
        <w:rPr>
          <w:i/>
          <w:iCs/>
          <w:lang w:val="de-DE"/>
        </w:rPr>
      </w:pPr>
    </w:p>
    <w:p w14:paraId="36A6F726" w14:textId="77777777" w:rsidR="00DF5BE5" w:rsidRPr="004676F5" w:rsidRDefault="00DF5BE5" w:rsidP="00EE35E2">
      <w:pPr>
        <w:jc w:val="both"/>
        <w:rPr>
          <w:lang w:val="de-DE"/>
        </w:rPr>
      </w:pPr>
    </w:p>
    <w:p w14:paraId="3E644598" w14:textId="168F8346" w:rsidR="00EE35E2" w:rsidRPr="004676F5" w:rsidRDefault="00BE0A56" w:rsidP="00EE35E2">
      <w:pPr>
        <w:ind w:firstLine="708"/>
        <w:jc w:val="both"/>
        <w:rPr>
          <w:lang w:val="de-DE"/>
        </w:rPr>
      </w:pPr>
      <w:r w:rsidRPr="004676F5">
        <w:rPr>
          <w:b/>
          <w:lang w:val="de-DE"/>
        </w:rPr>
        <w:t>Art. </w:t>
      </w:r>
      <w:r w:rsidR="00EE35E2" w:rsidRPr="004676F5">
        <w:rPr>
          <w:b/>
          <w:lang w:val="de-DE"/>
        </w:rPr>
        <w:t>XX.20</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Unbeschadet der Bestimmungen von Artikel XX.122 werden aufgrund des vorliegenden Gesetzes </w:t>
      </w:r>
      <w:r w:rsidR="00EE35E2" w:rsidRPr="004676F5">
        <w:rPr>
          <w:i/>
          <w:lang w:val="de-DE"/>
        </w:rPr>
        <w:t>[sic, zu lesen ist: Titels]</w:t>
      </w:r>
      <w:r w:rsidR="00EE35E2" w:rsidRPr="004676F5">
        <w:rPr>
          <w:lang w:val="de-DE"/>
        </w:rPr>
        <w:t xml:space="preserve"> bestellte </w:t>
      </w:r>
      <w:r w:rsidR="002D3444" w:rsidRPr="004676F5">
        <w:rPr>
          <w:lang w:val="de-DE"/>
        </w:rPr>
        <w:t>[Liquidations</w:t>
      </w:r>
      <w:r w:rsidR="00EE35E2" w:rsidRPr="004676F5">
        <w:rPr>
          <w:lang w:val="de-DE"/>
        </w:rPr>
        <w:t>bearbeiter</w:t>
      </w:r>
      <w:r w:rsidR="002D3444" w:rsidRPr="004676F5">
        <w:rPr>
          <w:lang w:val="de-DE"/>
        </w:rPr>
        <w:t>]</w:t>
      </w:r>
      <w:r w:rsidR="00EE35E2" w:rsidRPr="004676F5">
        <w:rPr>
          <w:lang w:val="de-DE"/>
        </w:rPr>
        <w:t xml:space="preserve"> aufgrund ihrer Fähigkeiten und gemäß den in der Sache erforderlichen Sachkenntnissen ausgewählt.</w:t>
      </w:r>
    </w:p>
    <w:p w14:paraId="27CEBB6D" w14:textId="77777777" w:rsidR="00EE35E2" w:rsidRPr="004676F5" w:rsidRDefault="00EE35E2" w:rsidP="00EE35E2">
      <w:pPr>
        <w:ind w:firstLine="708"/>
        <w:jc w:val="both"/>
        <w:rPr>
          <w:lang w:val="de-DE"/>
        </w:rPr>
      </w:pPr>
    </w:p>
    <w:p w14:paraId="40F90AF5" w14:textId="77777777" w:rsidR="00EE35E2" w:rsidRPr="004676F5" w:rsidRDefault="00EE35E2" w:rsidP="00EE35E2">
      <w:pPr>
        <w:ind w:firstLine="708"/>
        <w:jc w:val="both"/>
        <w:rPr>
          <w:lang w:val="de-DE"/>
        </w:rPr>
      </w:pPr>
      <w:r w:rsidRPr="004676F5">
        <w:rPr>
          <w:lang w:val="de-DE"/>
        </w:rPr>
        <w:t>Sie müssen Garantien hinsichtlich Fachkenntnis, Erfahrung, Unabhängigkeit und Unparteilichkeit bieten.</w:t>
      </w:r>
    </w:p>
    <w:p w14:paraId="2D2621FC" w14:textId="77777777" w:rsidR="00EE35E2" w:rsidRPr="004676F5" w:rsidRDefault="00EE35E2" w:rsidP="00EE35E2">
      <w:pPr>
        <w:ind w:firstLine="708"/>
        <w:jc w:val="both"/>
        <w:rPr>
          <w:lang w:val="de-DE"/>
        </w:rPr>
      </w:pPr>
    </w:p>
    <w:p w14:paraId="2AF2973E" w14:textId="5F9D9BB4" w:rsidR="00EE35E2" w:rsidRPr="004676F5" w:rsidRDefault="00EE35E2" w:rsidP="00EE35E2">
      <w:pPr>
        <w:ind w:firstLine="708"/>
        <w:jc w:val="both"/>
        <w:rPr>
          <w:lang w:val="de-DE"/>
        </w:rPr>
      </w:pPr>
      <w:r w:rsidRPr="004676F5">
        <w:rPr>
          <w:lang w:val="de-DE"/>
        </w:rPr>
        <w:t>Ihre Berufshaftpflicht muss versichert sein, außer wenn sie Organe einer Behörde oder öffentlichen Einrichtung sind</w:t>
      </w:r>
      <w:r w:rsidR="002D3444" w:rsidRPr="004676F5">
        <w:rPr>
          <w:lang w:val="de-DE"/>
        </w:rPr>
        <w:t xml:space="preserve"> [oder wenn sie gemäß Absatz 4 von den Kammern oder Instituten bestellt werden]</w:t>
      </w:r>
      <w:r w:rsidRPr="004676F5">
        <w:rPr>
          <w:lang w:val="de-DE"/>
        </w:rPr>
        <w:t>.</w:t>
      </w:r>
    </w:p>
    <w:p w14:paraId="37A0DF12" w14:textId="77777777" w:rsidR="00EE35E2" w:rsidRPr="004676F5" w:rsidRDefault="00EE35E2" w:rsidP="00EE35E2">
      <w:pPr>
        <w:ind w:firstLine="708"/>
        <w:jc w:val="both"/>
        <w:rPr>
          <w:lang w:val="de-DE"/>
        </w:rPr>
      </w:pPr>
    </w:p>
    <w:p w14:paraId="319A7C33" w14:textId="526CB0B4" w:rsidR="00EE35E2" w:rsidRPr="004676F5" w:rsidRDefault="00EE35E2" w:rsidP="00EE35E2">
      <w:pPr>
        <w:ind w:firstLine="708"/>
        <w:jc w:val="both"/>
        <w:rPr>
          <w:lang w:val="de-DE"/>
        </w:rPr>
      </w:pPr>
      <w:r w:rsidRPr="004676F5">
        <w:rPr>
          <w:lang w:val="de-DE"/>
        </w:rPr>
        <w:t xml:space="preserve">Die Kammern, die Institute von Freiberuflern </w:t>
      </w:r>
      <w:r w:rsidR="00320BC4" w:rsidRPr="004676F5">
        <w:rPr>
          <w:lang w:val="de-DE"/>
        </w:rPr>
        <w:t>[...]</w:t>
      </w:r>
      <w:r w:rsidRPr="004676F5">
        <w:rPr>
          <w:lang w:val="de-DE"/>
        </w:rPr>
        <w:t xml:space="preserve"> erstellen eine Liste von Personen, die unbeschadet der Bestimmung von § 2 vom Gericht als </w:t>
      </w:r>
      <w:r w:rsidR="00543F81" w:rsidRPr="004676F5">
        <w:rPr>
          <w:lang w:val="de-DE"/>
        </w:rPr>
        <w:t xml:space="preserve">[Liquidationsbearbeiter] </w:t>
      </w:r>
      <w:r w:rsidRPr="004676F5">
        <w:rPr>
          <w:lang w:val="de-DE"/>
        </w:rPr>
        <w:t xml:space="preserve">bestellt werden können. Diese Listen werden jährlich fortgeschrieben und </w:t>
      </w:r>
      <w:r w:rsidR="00320BC4" w:rsidRPr="004676F5">
        <w:rPr>
          <w:lang w:val="de-DE"/>
        </w:rPr>
        <w:t>[</w:t>
      </w:r>
      <w:r w:rsidRPr="004676F5">
        <w:rPr>
          <w:lang w:val="de-DE"/>
        </w:rPr>
        <w:t>im</w:t>
      </w:r>
      <w:r w:rsidR="00320BC4" w:rsidRPr="004676F5">
        <w:rPr>
          <w:lang w:val="de-DE"/>
        </w:rPr>
        <w:t xml:space="preserve"> Register]</w:t>
      </w:r>
      <w:r w:rsidRPr="004676F5">
        <w:rPr>
          <w:lang w:val="de-DE"/>
        </w:rPr>
        <w:t xml:space="preserve"> veröffentlicht.</w:t>
      </w:r>
    </w:p>
    <w:p w14:paraId="0E9B6F05" w14:textId="77777777" w:rsidR="00EE35E2" w:rsidRPr="004676F5" w:rsidRDefault="00EE35E2" w:rsidP="00EE35E2">
      <w:pPr>
        <w:ind w:firstLine="708"/>
        <w:jc w:val="both"/>
        <w:rPr>
          <w:lang w:val="de-DE"/>
        </w:rPr>
      </w:pPr>
    </w:p>
    <w:p w14:paraId="7BFED905" w14:textId="3A3BB509"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Konkursverwalter werden nach den in Artikel XX.122 festgelegten Modalitäten bestellt.</w:t>
      </w:r>
    </w:p>
    <w:p w14:paraId="7AD89C95" w14:textId="77777777" w:rsidR="00EE35E2" w:rsidRPr="004676F5" w:rsidRDefault="00EE35E2" w:rsidP="00EE35E2">
      <w:pPr>
        <w:ind w:firstLine="708"/>
        <w:jc w:val="both"/>
        <w:rPr>
          <w:lang w:val="de-DE"/>
        </w:rPr>
      </w:pPr>
    </w:p>
    <w:p w14:paraId="62FC056D" w14:textId="6139DFC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Kosten und Honorare der Konkursverwalter werden je nach Umfang und Schwierigkeit ihres Auftrags in der Form einer Vergütung bestimmt, die im Verhältnis zu den verwerteten Aktiva steht, wobei gegebenenfalls der für die Erfüllung ihrer Leistungen erforderliche Zeitaufwand berücksichtigt wird.</w:t>
      </w:r>
    </w:p>
    <w:p w14:paraId="796905D4" w14:textId="77777777" w:rsidR="00EE35E2" w:rsidRPr="004676F5" w:rsidRDefault="00EE35E2" w:rsidP="00EE35E2">
      <w:pPr>
        <w:ind w:firstLine="708"/>
        <w:jc w:val="both"/>
        <w:rPr>
          <w:lang w:val="de-DE"/>
        </w:rPr>
      </w:pPr>
    </w:p>
    <w:p w14:paraId="4D11910C" w14:textId="1B1A8057" w:rsidR="00EE35E2" w:rsidRPr="004676F5" w:rsidRDefault="00EE35E2" w:rsidP="00EE35E2">
      <w:pPr>
        <w:ind w:firstLine="708"/>
        <w:jc w:val="both"/>
        <w:rPr>
          <w:lang w:val="de-DE"/>
        </w:rPr>
      </w:pPr>
      <w:r w:rsidRPr="004676F5">
        <w:rPr>
          <w:lang w:val="de-DE"/>
        </w:rPr>
        <w:t xml:space="preserve">Kosten und Honorare anderer </w:t>
      </w:r>
      <w:r w:rsidR="00543F81" w:rsidRPr="004676F5">
        <w:rPr>
          <w:lang w:val="de-DE"/>
        </w:rPr>
        <w:t xml:space="preserve">[Liquidationsbearbeiter] </w:t>
      </w:r>
      <w:r w:rsidRPr="004676F5">
        <w:rPr>
          <w:lang w:val="de-DE"/>
        </w:rPr>
        <w:t>werden je nach Umfang und Schwierigkeit ihres Auftrags und aufgrund des für die Erfüllung ihrer Leistungen erforderlichen Zeitaufwands bestimmt, wobei gegebenenfalls der Wert der Aktiva berücksichtigt wird.</w:t>
      </w:r>
    </w:p>
    <w:p w14:paraId="35F65D17" w14:textId="77777777" w:rsidR="00EE35E2" w:rsidRPr="004676F5" w:rsidRDefault="00EE35E2" w:rsidP="00EE35E2">
      <w:pPr>
        <w:ind w:firstLine="708"/>
        <w:jc w:val="both"/>
        <w:rPr>
          <w:lang w:val="de-DE"/>
        </w:rPr>
      </w:pPr>
    </w:p>
    <w:p w14:paraId="475E0C21" w14:textId="51CCD7A3" w:rsidR="00EE35E2" w:rsidRPr="004676F5" w:rsidRDefault="00EE35E2" w:rsidP="00EE35E2">
      <w:pPr>
        <w:ind w:firstLine="708"/>
        <w:jc w:val="both"/>
        <w:rPr>
          <w:lang w:val="de-DE"/>
        </w:rPr>
      </w:pPr>
      <w:r w:rsidRPr="004676F5">
        <w:rPr>
          <w:lang w:val="de-DE"/>
        </w:rPr>
        <w:t xml:space="preserve">Der König bestimmt Regeln und die Gebührenordnung für die Festlegung der Honorare der Konkursverwalter und bestimmt die Grundlagen für die Vergütung der </w:t>
      </w:r>
      <w:r w:rsidR="00543F81" w:rsidRPr="004676F5">
        <w:rPr>
          <w:lang w:val="de-DE"/>
        </w:rPr>
        <w:t>[Liquidationsbearbeiter]</w:t>
      </w:r>
      <w:r w:rsidRPr="004676F5">
        <w:rPr>
          <w:lang w:val="de-DE"/>
        </w:rPr>
        <w:t>.</w:t>
      </w:r>
    </w:p>
    <w:p w14:paraId="7E04207B" w14:textId="77777777" w:rsidR="00EE35E2" w:rsidRPr="004676F5" w:rsidRDefault="00EE35E2" w:rsidP="00EE35E2">
      <w:pPr>
        <w:ind w:firstLine="708"/>
        <w:jc w:val="both"/>
        <w:rPr>
          <w:lang w:val="de-DE"/>
        </w:rPr>
      </w:pPr>
    </w:p>
    <w:p w14:paraId="7F5F0E5C" w14:textId="33E1EAA3"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Der König kann auch bestimmen, welche Kosten separat vergütet werden und auf welche Weise sie festgesetzt werden.</w:t>
      </w:r>
    </w:p>
    <w:p w14:paraId="7CB6CD0A" w14:textId="77777777" w:rsidR="00EE35E2" w:rsidRPr="004676F5" w:rsidRDefault="00EE35E2" w:rsidP="00EE35E2">
      <w:pPr>
        <w:ind w:firstLine="708"/>
        <w:jc w:val="both"/>
        <w:rPr>
          <w:lang w:val="de-DE"/>
        </w:rPr>
      </w:pPr>
    </w:p>
    <w:p w14:paraId="0BE4EEF3" w14:textId="77777777" w:rsidR="00EE35E2" w:rsidRPr="004676F5" w:rsidRDefault="00EE35E2" w:rsidP="00EE35E2">
      <w:pPr>
        <w:ind w:firstLine="708"/>
        <w:jc w:val="both"/>
        <w:rPr>
          <w:lang w:val="de-DE"/>
        </w:rPr>
      </w:pPr>
      <w:r w:rsidRPr="004676F5">
        <w:rPr>
          <w:lang w:val="de-DE"/>
        </w:rPr>
        <w:t>Jedem Honorarantrag wird eine ausführliche Auflistung der zu vergütenden Leistungen beigefügt.</w:t>
      </w:r>
    </w:p>
    <w:p w14:paraId="68AF8C8F" w14:textId="77777777" w:rsidR="00EE35E2" w:rsidRPr="004676F5" w:rsidRDefault="00EE35E2" w:rsidP="00EE35E2">
      <w:pPr>
        <w:ind w:firstLine="708"/>
        <w:jc w:val="both"/>
        <w:rPr>
          <w:lang w:val="de-DE"/>
        </w:rPr>
      </w:pPr>
    </w:p>
    <w:p w14:paraId="31B03134" w14:textId="77777777" w:rsidR="00EE35E2" w:rsidRPr="004676F5" w:rsidRDefault="00EE35E2" w:rsidP="00EE35E2">
      <w:pPr>
        <w:ind w:firstLine="708"/>
        <w:jc w:val="both"/>
        <w:rPr>
          <w:lang w:val="de-DE"/>
        </w:rPr>
      </w:pPr>
      <w:r w:rsidRPr="004676F5">
        <w:rPr>
          <w:lang w:val="de-DE"/>
        </w:rPr>
        <w:lastRenderedPageBreak/>
        <w:t>Jedem Antrag auf Kostenerstattung werden die entsprechenden Belege beigefügt.</w:t>
      </w:r>
    </w:p>
    <w:p w14:paraId="4F5C56E8" w14:textId="77777777" w:rsidR="00EE35E2" w:rsidRPr="004676F5" w:rsidRDefault="00EE35E2" w:rsidP="00EE35E2">
      <w:pPr>
        <w:ind w:firstLine="708"/>
        <w:jc w:val="both"/>
        <w:rPr>
          <w:lang w:val="de-DE"/>
        </w:rPr>
      </w:pPr>
    </w:p>
    <w:p w14:paraId="247ED2E8" w14:textId="77777777" w:rsidR="00EE35E2" w:rsidRPr="004676F5" w:rsidRDefault="00EE35E2" w:rsidP="00EE35E2">
      <w:pPr>
        <w:ind w:firstLine="708"/>
        <w:jc w:val="both"/>
        <w:rPr>
          <w:lang w:val="de-DE"/>
        </w:rPr>
      </w:pPr>
      <w:r w:rsidRPr="004676F5">
        <w:rPr>
          <w:lang w:val="de-DE"/>
        </w:rPr>
        <w:t>Reichen die Aktiva nicht aus, um die Kosten der Konkursverwaltung und -liquidation zu decken, wird dem Konkursverwalter eine Pauschalvergütung zuerkannt, deren jährlich zu indexierender Betrag vom König festgelegt wird.</w:t>
      </w:r>
    </w:p>
    <w:p w14:paraId="306DD2D8" w14:textId="77777777" w:rsidR="00EE35E2" w:rsidRPr="004676F5" w:rsidRDefault="00EE35E2" w:rsidP="00EE35E2">
      <w:pPr>
        <w:ind w:firstLine="708"/>
        <w:jc w:val="both"/>
        <w:rPr>
          <w:lang w:val="de-DE"/>
        </w:rPr>
      </w:pPr>
    </w:p>
    <w:p w14:paraId="003E63AB" w14:textId="2CD3C0CD"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Auf Antrag der Konkursverwalter und auf gleichlautende Stellungnahme des Konkursrichters kann das Gericht dem Konkursverwalter erlauben, Kostenerstattungen und Honorarvorschüsse einzubehalten, deren Höhe das Gericht festlegt. Außer unter besonderen Umständen darf die Gesamtsumme der Kosten</w:t>
      </w:r>
      <w:r w:rsidR="005B7A5C" w:rsidRPr="004676F5">
        <w:rPr>
          <w:lang w:val="de-DE"/>
        </w:rPr>
        <w:t>- </w:t>
      </w:r>
      <w:r w:rsidRPr="004676F5">
        <w:rPr>
          <w:lang w:val="de-DE"/>
        </w:rPr>
        <w:t>und Honorarvorschüsse drei Viertel des Betrags nicht überschreiten, der nach den vom König bestimmten Vergütungsregeln festgelegt wird. In keinem Fall darf ein Honorarvorschuss festgesetzt werden, wenn Konkursverwalter die in Artikel XX.130 vorgesehenen Berichte nicht im Register hinterlegen.</w:t>
      </w:r>
    </w:p>
    <w:p w14:paraId="74823743" w14:textId="77777777" w:rsidR="00EE35E2" w:rsidRPr="004676F5" w:rsidRDefault="00EE35E2" w:rsidP="00EE35E2">
      <w:pPr>
        <w:ind w:firstLine="708"/>
        <w:jc w:val="both"/>
        <w:rPr>
          <w:lang w:val="de-DE"/>
        </w:rPr>
      </w:pPr>
    </w:p>
    <w:p w14:paraId="428F029F" w14:textId="044AA3E4" w:rsidR="00EE35E2" w:rsidRPr="004676F5" w:rsidRDefault="00EE35E2" w:rsidP="00EE35E2">
      <w:pPr>
        <w:ind w:firstLine="708"/>
        <w:jc w:val="both"/>
        <w:rPr>
          <w:lang w:val="de-DE"/>
        </w:rPr>
      </w:pPr>
      <w:r w:rsidRPr="004676F5">
        <w:rPr>
          <w:lang w:val="de-DE"/>
        </w:rPr>
        <w:t xml:space="preserve">Das Gericht kann Kostenerstattungen und Honorarvorschüsse auf Antrag anderer </w:t>
      </w:r>
      <w:r w:rsidR="00543F81" w:rsidRPr="004676F5">
        <w:rPr>
          <w:lang w:val="de-DE"/>
        </w:rPr>
        <w:t xml:space="preserve">[Liquidationsbearbeiter] </w:t>
      </w:r>
      <w:r w:rsidRPr="004676F5">
        <w:rPr>
          <w:lang w:val="de-DE"/>
        </w:rPr>
        <w:t>gewähren.</w:t>
      </w:r>
    </w:p>
    <w:p w14:paraId="03646A9A" w14:textId="77777777" w:rsidR="00EE35E2" w:rsidRPr="004676F5" w:rsidRDefault="00EE35E2" w:rsidP="00EE35E2">
      <w:pPr>
        <w:ind w:firstLine="708"/>
        <w:jc w:val="both"/>
        <w:rPr>
          <w:lang w:val="de-DE"/>
        </w:rPr>
      </w:pPr>
    </w:p>
    <w:p w14:paraId="3E5A4B72" w14:textId="6B128909" w:rsidR="00EE35E2" w:rsidRPr="004676F5" w:rsidRDefault="00EE35E2" w:rsidP="00EE35E2">
      <w:pPr>
        <w:ind w:firstLine="708"/>
        <w:jc w:val="both"/>
        <w:rPr>
          <w:lang w:val="de-DE"/>
        </w:rPr>
      </w:pPr>
      <w:r w:rsidRPr="004676F5">
        <w:rPr>
          <w:lang w:val="de-DE"/>
        </w:rPr>
        <w:t>§ 6 </w:t>
      </w:r>
      <w:r w:rsidR="005B7A5C" w:rsidRPr="004676F5">
        <w:rPr>
          <w:lang w:val="de-DE"/>
        </w:rPr>
        <w:t>- </w:t>
      </w:r>
      <w:r w:rsidRPr="004676F5">
        <w:rPr>
          <w:lang w:val="de-DE"/>
        </w:rPr>
        <w:t xml:space="preserve">Auf Antrag eines Interessehabenden, auf Antrag des </w:t>
      </w:r>
      <w:r w:rsidR="00543F81" w:rsidRPr="004676F5">
        <w:rPr>
          <w:lang w:val="de-DE"/>
        </w:rPr>
        <w:t xml:space="preserve">[Liquidationsbearbeiters] </w:t>
      </w:r>
      <w:r w:rsidRPr="004676F5">
        <w:rPr>
          <w:lang w:val="de-DE"/>
        </w:rPr>
        <w:t xml:space="preserve">oder von Amts wegen kann das Gericht jederzeit und sofern es sich als notwendig erweist einen zusätzlichen </w:t>
      </w:r>
      <w:r w:rsidR="00543F81" w:rsidRPr="004676F5">
        <w:rPr>
          <w:lang w:val="de-DE"/>
        </w:rPr>
        <w:t xml:space="preserve">[Liquidationsbearbeiter] </w:t>
      </w:r>
      <w:r w:rsidRPr="004676F5">
        <w:rPr>
          <w:lang w:val="de-DE"/>
        </w:rPr>
        <w:t xml:space="preserve">bestellen, einen </w:t>
      </w:r>
      <w:r w:rsidR="002B2393" w:rsidRPr="004676F5">
        <w:rPr>
          <w:lang w:val="de-DE"/>
        </w:rPr>
        <w:t xml:space="preserve">[Liquidationsbearbeiter] </w:t>
      </w:r>
      <w:r w:rsidRPr="004676F5">
        <w:rPr>
          <w:lang w:val="de-DE"/>
        </w:rPr>
        <w:t xml:space="preserve">ersetzen oder das Mandat eines </w:t>
      </w:r>
      <w:r w:rsidR="002B2393" w:rsidRPr="004676F5">
        <w:rPr>
          <w:lang w:val="de-DE"/>
        </w:rPr>
        <w:t xml:space="preserve">[Liquidationsbearbeiters] </w:t>
      </w:r>
      <w:r w:rsidRPr="004676F5">
        <w:rPr>
          <w:lang w:val="de-DE"/>
        </w:rPr>
        <w:t>beenden.</w:t>
      </w:r>
    </w:p>
    <w:p w14:paraId="290D226B" w14:textId="77777777" w:rsidR="00EE35E2" w:rsidRPr="004676F5" w:rsidRDefault="00EE35E2" w:rsidP="00EE35E2">
      <w:pPr>
        <w:ind w:firstLine="708"/>
        <w:jc w:val="both"/>
        <w:rPr>
          <w:lang w:val="de-DE"/>
        </w:rPr>
      </w:pPr>
    </w:p>
    <w:p w14:paraId="77EE19B7" w14:textId="059BEB8B" w:rsidR="00EE35E2" w:rsidRPr="004676F5" w:rsidRDefault="00EE35E2" w:rsidP="00EE35E2">
      <w:pPr>
        <w:ind w:firstLine="708"/>
        <w:jc w:val="both"/>
        <w:rPr>
          <w:lang w:val="de-DE"/>
        </w:rPr>
      </w:pPr>
      <w:r w:rsidRPr="004676F5">
        <w:rPr>
          <w:lang w:val="de-DE"/>
        </w:rPr>
        <w:t xml:space="preserve">Ein Antrag von Dritten wird vor dem Gericht wie im Eilverfahren eingereicht und gegen den oder die </w:t>
      </w:r>
      <w:r w:rsidR="00543F81" w:rsidRPr="004676F5">
        <w:rPr>
          <w:lang w:val="de-DE"/>
        </w:rPr>
        <w:t xml:space="preserve">[Liquidationsbearbeiter] </w:t>
      </w:r>
      <w:r w:rsidRPr="004676F5">
        <w:rPr>
          <w:lang w:val="de-DE"/>
        </w:rPr>
        <w:t>und gegen den Schuldner gerichtet.</w:t>
      </w:r>
    </w:p>
    <w:p w14:paraId="045D8030" w14:textId="77777777" w:rsidR="00EE35E2" w:rsidRPr="004676F5" w:rsidRDefault="00EE35E2" w:rsidP="00EE35E2">
      <w:pPr>
        <w:ind w:firstLine="708"/>
        <w:jc w:val="both"/>
        <w:rPr>
          <w:lang w:val="de-DE"/>
        </w:rPr>
      </w:pPr>
    </w:p>
    <w:p w14:paraId="120B6AE9" w14:textId="3B5246CC" w:rsidR="00EE35E2" w:rsidRPr="004676F5" w:rsidRDefault="00EE35E2" w:rsidP="00EE35E2">
      <w:pPr>
        <w:ind w:firstLine="708"/>
        <w:jc w:val="both"/>
        <w:rPr>
          <w:lang w:val="de-DE"/>
        </w:rPr>
      </w:pPr>
      <w:r w:rsidRPr="004676F5">
        <w:rPr>
          <w:lang w:val="de-DE"/>
        </w:rPr>
        <w:t xml:space="preserve">Das Insolvenzgericht kann jederzeit den </w:t>
      </w:r>
      <w:r w:rsidR="00543F81" w:rsidRPr="004676F5">
        <w:rPr>
          <w:lang w:val="de-DE"/>
        </w:rPr>
        <w:t>[Liquidationsbearbeiter] [</w:t>
      </w:r>
      <w:r w:rsidR="00B30591" w:rsidRPr="004676F5">
        <w:rPr>
          <w:lang w:val="de-DE"/>
        </w:rPr>
        <w:t>...</w:t>
      </w:r>
      <w:r w:rsidR="00543F81" w:rsidRPr="004676F5">
        <w:rPr>
          <w:lang w:val="de-DE"/>
        </w:rPr>
        <w:t>]</w:t>
      </w:r>
      <w:r w:rsidRPr="004676F5">
        <w:rPr>
          <w:lang w:val="de-DE"/>
        </w:rPr>
        <w:t xml:space="preserve"> ersetzen.</w:t>
      </w:r>
    </w:p>
    <w:p w14:paraId="5B112C55" w14:textId="77777777" w:rsidR="00EE35E2" w:rsidRPr="004676F5" w:rsidRDefault="00EE35E2" w:rsidP="00EE35E2">
      <w:pPr>
        <w:ind w:firstLine="708"/>
        <w:jc w:val="both"/>
        <w:rPr>
          <w:lang w:val="de-DE"/>
        </w:rPr>
      </w:pPr>
    </w:p>
    <w:p w14:paraId="3CDEA1DB" w14:textId="0D31DC4A" w:rsidR="00EE35E2" w:rsidRPr="004676F5" w:rsidRDefault="00543F81" w:rsidP="00EE35E2">
      <w:pPr>
        <w:ind w:firstLine="708"/>
        <w:jc w:val="both"/>
        <w:rPr>
          <w:lang w:val="de-DE"/>
        </w:rPr>
      </w:pPr>
      <w:r w:rsidRPr="004676F5">
        <w:rPr>
          <w:lang w:val="de-DE"/>
        </w:rPr>
        <w:t>[Liquidationsbearbeiter]</w:t>
      </w:r>
      <w:r w:rsidR="00EE35E2" w:rsidRPr="004676F5">
        <w:rPr>
          <w:lang w:val="de-DE"/>
        </w:rPr>
        <w:t xml:space="preserve">, deren Ersetzung in Erwägung gezogen wird, werden zuvor vorgeladen und gegebenenfalls nach Bericht des Konkursrichters in der Ratskammer vernommen. </w:t>
      </w:r>
      <w:r w:rsidRPr="004676F5">
        <w:rPr>
          <w:lang w:val="de-DE"/>
        </w:rPr>
        <w:t>[In Fällen, in denen die Bestellung des Liquidationsbearbeiters öffentlich bekannt gemacht worden ist, wird das Urteil in öffentlicher Sitzung verkündet.]</w:t>
      </w:r>
    </w:p>
    <w:p w14:paraId="43F41464" w14:textId="77777777" w:rsidR="00EE35E2" w:rsidRPr="004676F5" w:rsidRDefault="00EE35E2" w:rsidP="00EE35E2">
      <w:pPr>
        <w:ind w:firstLine="708"/>
        <w:jc w:val="both"/>
        <w:rPr>
          <w:lang w:val="de-DE"/>
        </w:rPr>
      </w:pPr>
    </w:p>
    <w:p w14:paraId="05BF2543" w14:textId="0D6E3008" w:rsidR="00EE35E2" w:rsidRPr="004676F5" w:rsidRDefault="00EE35E2" w:rsidP="00EE35E2">
      <w:pPr>
        <w:ind w:firstLine="708"/>
        <w:jc w:val="both"/>
        <w:rPr>
          <w:lang w:val="de-DE"/>
        </w:rPr>
      </w:pPr>
      <w:r w:rsidRPr="004676F5">
        <w:rPr>
          <w:lang w:val="de-DE"/>
        </w:rPr>
        <w:t xml:space="preserve">Das Urteil zur Anordnung der Ersetzung eines </w:t>
      </w:r>
      <w:r w:rsidR="00543F81" w:rsidRPr="004676F5">
        <w:rPr>
          <w:lang w:val="de-DE"/>
        </w:rPr>
        <w:t xml:space="preserve">[Liquidationsbearbeiters] </w:t>
      </w:r>
      <w:r w:rsidRPr="004676F5">
        <w:rPr>
          <w:lang w:val="de-DE"/>
        </w:rPr>
        <w:t xml:space="preserve">wird dem </w:t>
      </w:r>
      <w:r w:rsidR="00543F81" w:rsidRPr="004676F5">
        <w:rPr>
          <w:lang w:val="de-DE"/>
        </w:rPr>
        <w:t xml:space="preserve">[Liquidationsbearbeiter] </w:t>
      </w:r>
      <w:r w:rsidRPr="004676F5">
        <w:rPr>
          <w:lang w:val="de-DE"/>
        </w:rPr>
        <w:t xml:space="preserve">auf Betreiben des Greffiers notifiziert und binnen fünf Tagen nach seinem Datum im </w:t>
      </w:r>
      <w:r w:rsidRPr="004676F5">
        <w:rPr>
          <w:i/>
          <w:lang w:val="de-DE"/>
        </w:rPr>
        <w:t>Belgischen Staatsblatt</w:t>
      </w:r>
      <w:r w:rsidRPr="004676F5">
        <w:rPr>
          <w:lang w:val="de-DE"/>
        </w:rPr>
        <w:t xml:space="preserve"> veröffentlicht.</w:t>
      </w:r>
    </w:p>
    <w:p w14:paraId="11052228" w14:textId="77777777" w:rsidR="00EE35E2" w:rsidRPr="004676F5" w:rsidRDefault="00EE35E2" w:rsidP="00EE35E2">
      <w:pPr>
        <w:ind w:firstLine="708"/>
        <w:jc w:val="both"/>
        <w:rPr>
          <w:lang w:val="de-DE"/>
        </w:rPr>
      </w:pPr>
    </w:p>
    <w:p w14:paraId="0CFC0F75" w14:textId="288DE914" w:rsidR="00EE35E2" w:rsidRPr="004676F5" w:rsidRDefault="00EE35E2" w:rsidP="00EE35E2">
      <w:pPr>
        <w:ind w:firstLine="708"/>
        <w:jc w:val="both"/>
        <w:rPr>
          <w:lang w:val="de-DE"/>
        </w:rPr>
      </w:pPr>
      <w:r w:rsidRPr="004676F5">
        <w:rPr>
          <w:lang w:val="de-DE"/>
        </w:rPr>
        <w:t xml:space="preserve">Wird ein </w:t>
      </w:r>
      <w:r w:rsidR="00543F81" w:rsidRPr="004676F5">
        <w:rPr>
          <w:lang w:val="de-DE"/>
        </w:rPr>
        <w:t xml:space="preserve">[Liquidationsbearbeiter] </w:t>
      </w:r>
      <w:r w:rsidRPr="004676F5">
        <w:rPr>
          <w:lang w:val="de-DE"/>
        </w:rPr>
        <w:t>auf eigenen Wunsch ersetzt, wird dies ausdrücklich in der oben erwähnten Veröffentlichung vermerkt.</w:t>
      </w:r>
    </w:p>
    <w:p w14:paraId="752FD63B" w14:textId="473A83F4" w:rsidR="00320BC4" w:rsidRPr="004676F5" w:rsidRDefault="00320BC4" w:rsidP="00EE35E2">
      <w:pPr>
        <w:ind w:firstLine="708"/>
        <w:jc w:val="both"/>
        <w:rPr>
          <w:lang w:val="de-DE"/>
        </w:rPr>
      </w:pPr>
    </w:p>
    <w:p w14:paraId="2AE4FE7C" w14:textId="2F6C5377" w:rsidR="00320BC4" w:rsidRPr="004676F5" w:rsidRDefault="00320BC4" w:rsidP="00320BC4">
      <w:pPr>
        <w:jc w:val="both"/>
        <w:rPr>
          <w:i/>
          <w:lang w:val="de-DE"/>
        </w:rPr>
      </w:pPr>
      <w:r w:rsidRPr="004676F5">
        <w:rPr>
          <w:i/>
          <w:lang w:val="de-DE"/>
        </w:rPr>
        <w:t>[Art. </w:t>
      </w:r>
      <w:r w:rsidR="00AF631D" w:rsidRPr="004676F5">
        <w:rPr>
          <w:i/>
          <w:lang w:val="de-DE"/>
        </w:rPr>
        <w:t>XX.</w:t>
      </w:r>
      <w:r w:rsidRPr="004676F5">
        <w:rPr>
          <w:i/>
          <w:lang w:val="de-DE"/>
        </w:rPr>
        <w:t>2</w:t>
      </w:r>
      <w:r w:rsidR="00AF631D" w:rsidRPr="004676F5">
        <w:rPr>
          <w:i/>
          <w:lang w:val="de-DE"/>
        </w:rPr>
        <w:t>0</w:t>
      </w:r>
      <w:r w:rsidRPr="004676F5">
        <w:rPr>
          <w:i/>
          <w:lang w:val="de-DE"/>
        </w:rPr>
        <w:t xml:space="preserve"> </w:t>
      </w:r>
      <w:r w:rsidR="00543F81" w:rsidRPr="004676F5">
        <w:rPr>
          <w:i/>
          <w:lang w:val="de-DE"/>
        </w:rPr>
        <w:t xml:space="preserve">§ 1 Abs. 1 abgeändert durch Art. 19 Nr. 1 des G. vom 7. Juni 2023 (B.S. vom 7. Juli 2023); § 1 Abs. 3 abgeändert durch Art. 19 Nr. 2 des G. vom 7. Juni 2023 (B.S. vom 7. Juli 2023); </w:t>
      </w:r>
      <w:r w:rsidRPr="004676F5">
        <w:rPr>
          <w:i/>
          <w:lang w:val="de-DE"/>
        </w:rPr>
        <w:t>§ 1 Abs. 4 abgeändert durch Art. 218 des G. vom 15. April 2018 (B.S. vom 27. April 2018)</w:t>
      </w:r>
      <w:r w:rsidR="00543F81" w:rsidRPr="004676F5">
        <w:rPr>
          <w:i/>
          <w:lang w:val="de-DE"/>
        </w:rPr>
        <w:t xml:space="preserve"> und Art. 19 Nr. 3 des G. vom 7. Juni 2023 (B.S. vom 7. Juli 2023); § 3 Abs. 2 abgeändert durch Art. 19 Nr. 4 des G. vom 7. Juni 2023 (B.S. vom 7. Juli 2023); § 3 Abs. 3 abgeändert durch Art. 19 Nr. 5 des G. vom 7. Juni 2023 (B.S. vom 7. Juli 2023); § 5 Abs. 2 abgeändert durch Art. 19 Nr. 6 des G. vom 7. Juni 2023 (B.S. vom 7. Juli 2023); § 6 Abs. 1 abgeändert durch Art. 19 Nr. 7 des G. vom 7. Juni 2023 (B.S. vom 7. Juli 2023); § 6 Abs. 2 abgeändert durch Art. 19 Nr. 8 des G. vom 7. Juni 2023 (B.S. vom 7. Juli 2023); § 6 Abs. 3 abgeändert durch Art. 19 Nr. 9 des G. vom 7. Juni 2023 (B.S. vom 7. Juli 2023); § 6 Abs. 4 abgeändert durch Art. 19 Nr. 10 des G. vom 7. Juni 2023 (B.S. vom 7. Juli 2023); § 6 Abs. 5 </w:t>
      </w:r>
      <w:r w:rsidR="00543F81" w:rsidRPr="004676F5">
        <w:rPr>
          <w:i/>
          <w:lang w:val="de-DE"/>
        </w:rPr>
        <w:lastRenderedPageBreak/>
        <w:t>abgeändert durch Art. 19 Nr. 11 des G. vom 7. Juni 2023 (B.S. vom 7. Juli 2023); § 6 Abs. 6 abgeändert durch Art. 19 Nr. 12 des G. vom 7. Juni 2023 (B.S. vom 7. Juli 2023)</w:t>
      </w:r>
      <w:r w:rsidRPr="004676F5">
        <w:rPr>
          <w:i/>
          <w:lang w:val="de-DE"/>
        </w:rPr>
        <w:t>]</w:t>
      </w:r>
    </w:p>
    <w:p w14:paraId="3CE9B473" w14:textId="77777777" w:rsidR="00EE35E2" w:rsidRPr="004676F5" w:rsidRDefault="00EE35E2" w:rsidP="00EE35E2">
      <w:pPr>
        <w:jc w:val="both"/>
        <w:rPr>
          <w:lang w:val="de-DE"/>
        </w:rPr>
      </w:pPr>
    </w:p>
    <w:p w14:paraId="7E3023AB" w14:textId="77777777" w:rsidR="008523FE" w:rsidRPr="004676F5" w:rsidRDefault="008523FE" w:rsidP="00EE35E2">
      <w:pPr>
        <w:jc w:val="both"/>
        <w:rPr>
          <w:lang w:val="de-DE"/>
        </w:rPr>
      </w:pPr>
    </w:p>
    <w:p w14:paraId="43C38DA9" w14:textId="31B6A34D" w:rsidR="008523FE" w:rsidRPr="004676F5" w:rsidRDefault="008523FE" w:rsidP="008523FE">
      <w:pPr>
        <w:jc w:val="center"/>
        <w:rPr>
          <w:lang w:val="de-DE"/>
        </w:rPr>
      </w:pPr>
      <w:r w:rsidRPr="004676F5">
        <w:rPr>
          <w:bCs/>
          <w:lang w:val="de-DE"/>
        </w:rPr>
        <w:t>[</w:t>
      </w:r>
      <w:r w:rsidRPr="004676F5">
        <w:rPr>
          <w:i/>
          <w:iCs/>
          <w:lang w:val="de-DE"/>
        </w:rPr>
        <w:t>Abschnitt 2</w:t>
      </w:r>
      <w:r w:rsidRPr="004676F5">
        <w:rPr>
          <w:lang w:val="de-DE"/>
        </w:rPr>
        <w:t> - Reorganisationsbearbeiter]</w:t>
      </w:r>
    </w:p>
    <w:p w14:paraId="6E55DEF7" w14:textId="77777777" w:rsidR="008523FE" w:rsidRPr="004676F5" w:rsidRDefault="008523FE" w:rsidP="008523FE">
      <w:pPr>
        <w:jc w:val="center"/>
        <w:rPr>
          <w:lang w:val="de-DE"/>
        </w:rPr>
      </w:pPr>
    </w:p>
    <w:p w14:paraId="107B2F05" w14:textId="30BDC817" w:rsidR="008523FE" w:rsidRPr="004676F5" w:rsidRDefault="008523FE" w:rsidP="008523FE">
      <w:pPr>
        <w:jc w:val="both"/>
        <w:rPr>
          <w:i/>
          <w:iCs/>
          <w:lang w:val="de-DE"/>
        </w:rPr>
      </w:pPr>
      <w:r w:rsidRPr="004676F5">
        <w:rPr>
          <w:i/>
          <w:iCs/>
          <w:lang w:val="de-DE"/>
        </w:rPr>
        <w:t>[Unterteilung Abschnitt 2 eingefügt durch Art. 20 des G. vom 7. Juni 2023 (B.S. vom 7. Juli 2023)]</w:t>
      </w:r>
    </w:p>
    <w:p w14:paraId="73A762B5" w14:textId="77777777" w:rsidR="008523FE" w:rsidRPr="004676F5" w:rsidRDefault="008523FE" w:rsidP="008523FE">
      <w:pPr>
        <w:jc w:val="both"/>
        <w:rPr>
          <w:lang w:val="de-DE"/>
        </w:rPr>
      </w:pPr>
    </w:p>
    <w:p w14:paraId="695EE934" w14:textId="77777777" w:rsidR="008523FE" w:rsidRPr="004676F5" w:rsidRDefault="008523FE" w:rsidP="008523FE">
      <w:pPr>
        <w:jc w:val="both"/>
        <w:rPr>
          <w:lang w:val="de-DE"/>
        </w:rPr>
      </w:pPr>
    </w:p>
    <w:p w14:paraId="36BBB0E0" w14:textId="77777777" w:rsidR="008523FE" w:rsidRPr="004676F5" w:rsidRDefault="008523FE" w:rsidP="008523FE">
      <w:pPr>
        <w:jc w:val="both"/>
        <w:rPr>
          <w:lang w:val="de-DE"/>
        </w:rPr>
      </w:pPr>
      <w:r w:rsidRPr="004676F5">
        <w:rPr>
          <w:lang w:val="de-DE"/>
        </w:rPr>
        <w:tab/>
        <w:t>[</w:t>
      </w:r>
      <w:r w:rsidRPr="004676F5">
        <w:rPr>
          <w:b/>
          <w:bCs/>
          <w:lang w:val="de-DE"/>
        </w:rPr>
        <w:t>Art. XX.20/1</w:t>
      </w:r>
      <w:r w:rsidRPr="004676F5">
        <w:rPr>
          <w:lang w:val="de-DE"/>
        </w:rPr>
        <w:t> - Reorganisationsbearbeiter werden aufgrund ihrer Fähigkeiten und gemäß den in der Sache erforderlichen Sachkenntnissen ausgewählt.</w:t>
      </w:r>
    </w:p>
    <w:p w14:paraId="597D4F60" w14:textId="77777777" w:rsidR="008523FE" w:rsidRPr="004676F5" w:rsidRDefault="008523FE" w:rsidP="008523FE">
      <w:pPr>
        <w:jc w:val="both"/>
        <w:rPr>
          <w:lang w:val="de-DE"/>
        </w:rPr>
      </w:pPr>
    </w:p>
    <w:p w14:paraId="375AF316" w14:textId="77777777" w:rsidR="008523FE" w:rsidRPr="004676F5" w:rsidRDefault="008523FE" w:rsidP="008523FE">
      <w:pPr>
        <w:jc w:val="both"/>
        <w:rPr>
          <w:lang w:val="de-DE"/>
        </w:rPr>
      </w:pPr>
      <w:r w:rsidRPr="004676F5">
        <w:rPr>
          <w:lang w:val="de-DE"/>
        </w:rPr>
        <w:tab/>
        <w:t>Sie müssen Garantien hinsichtlich Fachkenntnis, Erfahrung, Unabhängigkeit und Unparteilichkeit bieten. Sie können Teil einer öffentlichen Einrichtung sein oder eines Berufsverbands, der sich mit der Unterstützung der Reorganisation von Unternehmen befasst, und von einem solchen Verband entlohnt werden.</w:t>
      </w:r>
    </w:p>
    <w:p w14:paraId="372C6B55" w14:textId="77777777" w:rsidR="008523FE" w:rsidRPr="004676F5" w:rsidRDefault="008523FE" w:rsidP="008523FE">
      <w:pPr>
        <w:jc w:val="both"/>
        <w:rPr>
          <w:lang w:val="de-DE"/>
        </w:rPr>
      </w:pPr>
    </w:p>
    <w:p w14:paraId="3E1E7BA3" w14:textId="77777777" w:rsidR="008523FE" w:rsidRPr="004676F5" w:rsidRDefault="008523FE" w:rsidP="008523FE">
      <w:pPr>
        <w:jc w:val="both"/>
        <w:rPr>
          <w:lang w:val="de-DE"/>
        </w:rPr>
      </w:pPr>
      <w:r w:rsidRPr="004676F5">
        <w:rPr>
          <w:lang w:val="de-DE"/>
        </w:rPr>
        <w:tab/>
        <w:t>Das Insolvenzgericht kann einen Reorganisationsbearbeiter jederzeit ersetzen.</w:t>
      </w:r>
    </w:p>
    <w:p w14:paraId="3279FB4D" w14:textId="77777777" w:rsidR="008523FE" w:rsidRPr="004676F5" w:rsidRDefault="008523FE" w:rsidP="008523FE">
      <w:pPr>
        <w:jc w:val="both"/>
        <w:rPr>
          <w:lang w:val="de-DE"/>
        </w:rPr>
      </w:pPr>
    </w:p>
    <w:p w14:paraId="0CAA7FB5" w14:textId="77777777" w:rsidR="008523FE" w:rsidRPr="004676F5" w:rsidRDefault="008523FE" w:rsidP="008523FE">
      <w:pPr>
        <w:jc w:val="both"/>
        <w:rPr>
          <w:lang w:val="de-DE"/>
        </w:rPr>
      </w:pPr>
      <w:r w:rsidRPr="004676F5">
        <w:rPr>
          <w:lang w:val="de-DE"/>
        </w:rPr>
        <w:tab/>
        <w:t>Reorganisationsbearbeiter, deren Ersetzung in Erwägung gezogen wird, werden zuvor vorgeladen und gegebenenfalls nach Bericht des beauftragten Richters in der Ratskammer vernommen. In Fällen, in denen die Bestellung des Reorganisationsbearbeiters öffentlich bekannt gemacht worden ist, wird das Urteil in öffentlicher Sitzung verkündet.</w:t>
      </w:r>
    </w:p>
    <w:p w14:paraId="03F20837" w14:textId="77777777" w:rsidR="008523FE" w:rsidRPr="004676F5" w:rsidRDefault="008523FE" w:rsidP="008523FE">
      <w:pPr>
        <w:jc w:val="both"/>
        <w:rPr>
          <w:lang w:val="de-DE"/>
        </w:rPr>
      </w:pPr>
    </w:p>
    <w:p w14:paraId="7731E810" w14:textId="77777777" w:rsidR="008523FE" w:rsidRPr="004676F5" w:rsidRDefault="008523FE" w:rsidP="008523FE">
      <w:pPr>
        <w:jc w:val="both"/>
        <w:rPr>
          <w:lang w:val="de-DE"/>
        </w:rPr>
      </w:pPr>
      <w:r w:rsidRPr="004676F5">
        <w:rPr>
          <w:lang w:val="de-DE"/>
        </w:rPr>
        <w:tab/>
        <w:t xml:space="preserve">Das Urteil zur Anordnung der Ersetzung eines Reorganisationsbearbeiters wird dem Reorganisationsbearbeiter auf Betreiben des Greffiers notifiziert und binnen fünf Tagen nach seinem Datum im </w:t>
      </w:r>
      <w:r w:rsidRPr="004676F5">
        <w:rPr>
          <w:i/>
          <w:lang w:val="de-DE"/>
        </w:rPr>
        <w:t>Belgischen Staatsblatt</w:t>
      </w:r>
      <w:r w:rsidRPr="004676F5">
        <w:rPr>
          <w:lang w:val="de-DE"/>
        </w:rPr>
        <w:t xml:space="preserve"> veröffentlicht, sofern seine Bestellung auf diese Weise veröffentlicht worden war.</w:t>
      </w:r>
    </w:p>
    <w:p w14:paraId="50A0B5F5" w14:textId="77777777" w:rsidR="008523FE" w:rsidRPr="004676F5" w:rsidRDefault="008523FE" w:rsidP="008523FE">
      <w:pPr>
        <w:jc w:val="both"/>
        <w:rPr>
          <w:lang w:val="de-DE"/>
        </w:rPr>
      </w:pPr>
    </w:p>
    <w:p w14:paraId="4071537E" w14:textId="77777777" w:rsidR="008523FE" w:rsidRPr="004676F5" w:rsidRDefault="008523FE" w:rsidP="008523FE">
      <w:pPr>
        <w:jc w:val="both"/>
        <w:rPr>
          <w:lang w:val="de-DE"/>
        </w:rPr>
      </w:pPr>
      <w:r w:rsidRPr="004676F5">
        <w:rPr>
          <w:lang w:val="de-DE"/>
        </w:rPr>
        <w:tab/>
        <w:t>Wird ein Reorganisationsbearbeiter auf eigenen Wunsch ersetzt, wird dies ausdrücklich in der oben erwähnten Veröffentlichung vermerkt.</w:t>
      </w:r>
    </w:p>
    <w:p w14:paraId="569CDA4B" w14:textId="77777777" w:rsidR="008523FE" w:rsidRPr="004676F5" w:rsidRDefault="008523FE" w:rsidP="008523FE">
      <w:pPr>
        <w:jc w:val="both"/>
        <w:rPr>
          <w:lang w:val="de-DE"/>
        </w:rPr>
      </w:pPr>
    </w:p>
    <w:p w14:paraId="28114B05" w14:textId="318F31D9" w:rsidR="008523FE" w:rsidRPr="004676F5" w:rsidRDefault="008523FE" w:rsidP="008523FE">
      <w:pPr>
        <w:jc w:val="both"/>
        <w:rPr>
          <w:lang w:val="de-DE"/>
        </w:rPr>
      </w:pPr>
      <w:r w:rsidRPr="004676F5">
        <w:rPr>
          <w:lang w:val="de-DE"/>
        </w:rPr>
        <w:tab/>
        <w:t>Kosten und Honorare der Reorganisationsbearbeiter, deren Vergütung nicht von einer öffentlichen Einrichtung oder einem Berufsverband wie in Absatz 2 erwähnt getragen wird, werden je nach Umfang und Schwierigkeit ihres Auftrags und des für die Erfüllung ihrer Leistungen erforderlichen Zeitaufwands bestimmt. Wenn ein Interessehabender seine Uneinigkeit über die Kosten und Honorare mitteilt, ordnet das Gericht das Erscheinen der Parteien an, um die Kosten und Honorare zu veranschlagen. Der König kann die Grundlagen für die Vergütung der Reorganisationsbearbeiter bestimmen.]</w:t>
      </w:r>
    </w:p>
    <w:p w14:paraId="66F96E1A" w14:textId="77777777" w:rsidR="008523FE" w:rsidRPr="004676F5" w:rsidRDefault="008523FE" w:rsidP="008523FE">
      <w:pPr>
        <w:jc w:val="both"/>
        <w:rPr>
          <w:lang w:val="de-DE"/>
        </w:rPr>
      </w:pPr>
    </w:p>
    <w:p w14:paraId="01466428" w14:textId="75BCD9A9" w:rsidR="008523FE" w:rsidRPr="004676F5" w:rsidRDefault="008523FE" w:rsidP="008523FE">
      <w:pPr>
        <w:jc w:val="both"/>
        <w:rPr>
          <w:i/>
          <w:iCs/>
          <w:lang w:val="de-DE"/>
        </w:rPr>
      </w:pPr>
      <w:r w:rsidRPr="004676F5">
        <w:rPr>
          <w:i/>
          <w:iCs/>
          <w:lang w:val="de-DE"/>
        </w:rPr>
        <w:t>[Art. XX.20/1 eingefügt durch Art. 21 des G. vom 7. Juni 2023 (B.S. vom 7. Juli 2023)]</w:t>
      </w:r>
    </w:p>
    <w:p w14:paraId="79240C96" w14:textId="77777777" w:rsidR="008523FE" w:rsidRPr="004676F5" w:rsidRDefault="008523FE">
      <w:pPr>
        <w:rPr>
          <w:lang w:val="de-DE"/>
        </w:rPr>
      </w:pPr>
    </w:p>
    <w:p w14:paraId="6AE2AA4E" w14:textId="77777777" w:rsidR="008523FE" w:rsidRPr="004676F5" w:rsidRDefault="008523FE">
      <w:pPr>
        <w:rPr>
          <w:b/>
          <w:lang w:val="de-DE"/>
        </w:rPr>
      </w:pPr>
    </w:p>
    <w:p w14:paraId="0CB09829" w14:textId="77777777" w:rsidR="008523FE" w:rsidRPr="004676F5" w:rsidRDefault="008523FE">
      <w:pPr>
        <w:rPr>
          <w:b/>
          <w:lang w:val="de-DE"/>
        </w:rPr>
      </w:pPr>
      <w:r w:rsidRPr="004676F5">
        <w:rPr>
          <w:b/>
          <w:lang w:val="de-DE"/>
        </w:rPr>
        <w:br w:type="page"/>
      </w:r>
    </w:p>
    <w:p w14:paraId="15D770F8" w14:textId="3BE974A2" w:rsidR="00EE35E2" w:rsidRPr="004676F5" w:rsidRDefault="00EE35E2" w:rsidP="00EE35E2">
      <w:pPr>
        <w:jc w:val="center"/>
        <w:rPr>
          <w:b/>
          <w:iCs/>
          <w:lang w:val="de-DE"/>
        </w:rPr>
      </w:pPr>
      <w:r w:rsidRPr="004676F5">
        <w:rPr>
          <w:b/>
          <w:lang w:val="de-DE"/>
        </w:rPr>
        <w:lastRenderedPageBreak/>
        <w:t>TITEL 2 </w:t>
      </w:r>
      <w:r w:rsidR="005B7A5C" w:rsidRPr="004676F5">
        <w:rPr>
          <w:b/>
          <w:lang w:val="de-DE"/>
        </w:rPr>
        <w:t>- </w:t>
      </w:r>
      <w:r w:rsidR="008523FE" w:rsidRPr="004676F5">
        <w:rPr>
          <w:bCs/>
          <w:lang w:val="de-DE"/>
        </w:rPr>
        <w:t>[</w:t>
      </w:r>
      <w:r w:rsidR="008523FE" w:rsidRPr="004676F5">
        <w:rPr>
          <w:b/>
          <w:i/>
          <w:lang w:val="de-DE"/>
        </w:rPr>
        <w:t>Frühwarnung, Kammern für Unternehmen in Schwierigkeiten und Unternehmensvermittlung</w:t>
      </w:r>
      <w:r w:rsidR="008523FE" w:rsidRPr="004676F5">
        <w:rPr>
          <w:bCs/>
          <w:iCs/>
          <w:lang w:val="de-DE"/>
        </w:rPr>
        <w:t>]</w:t>
      </w:r>
    </w:p>
    <w:p w14:paraId="05159D75" w14:textId="77777777" w:rsidR="00EE35E2" w:rsidRPr="004676F5" w:rsidRDefault="00EE35E2" w:rsidP="00EE35E2">
      <w:pPr>
        <w:jc w:val="center"/>
        <w:rPr>
          <w:lang w:val="de-DE"/>
        </w:rPr>
      </w:pPr>
    </w:p>
    <w:p w14:paraId="6BEF44FD" w14:textId="0176FC15" w:rsidR="008523FE" w:rsidRPr="004676F5" w:rsidRDefault="008523FE" w:rsidP="008523FE">
      <w:pPr>
        <w:jc w:val="both"/>
        <w:rPr>
          <w:i/>
          <w:iCs/>
          <w:lang w:val="de-DE"/>
        </w:rPr>
      </w:pPr>
      <w:r w:rsidRPr="004676F5">
        <w:rPr>
          <w:i/>
          <w:iCs/>
          <w:lang w:val="de-DE"/>
        </w:rPr>
        <w:t>[Überschrift von Titel 2 ersetzt durch Art. 22 des G. vom 7. Juni 2023 (B.S. vom 7. Juli 2023)]</w:t>
      </w:r>
    </w:p>
    <w:p w14:paraId="4BD1365F" w14:textId="77777777" w:rsidR="008523FE" w:rsidRPr="004676F5" w:rsidRDefault="008523FE" w:rsidP="008523FE">
      <w:pPr>
        <w:jc w:val="both"/>
        <w:rPr>
          <w:i/>
          <w:iCs/>
          <w:lang w:val="de-DE"/>
        </w:rPr>
      </w:pPr>
    </w:p>
    <w:p w14:paraId="2946504C" w14:textId="77777777" w:rsidR="00DF5BE5" w:rsidRPr="004676F5" w:rsidRDefault="00DF5BE5" w:rsidP="00EE35E2">
      <w:pPr>
        <w:jc w:val="center"/>
        <w:rPr>
          <w:lang w:val="de-DE"/>
        </w:rPr>
      </w:pPr>
    </w:p>
    <w:p w14:paraId="09832F55" w14:textId="63F113C8" w:rsidR="00EE35E2" w:rsidRPr="004676F5" w:rsidRDefault="00EE35E2" w:rsidP="00EE35E2">
      <w:pPr>
        <w:jc w:val="center"/>
        <w:rPr>
          <w:iCs/>
          <w:lang w:val="de-DE"/>
        </w:rPr>
      </w:pPr>
      <w:r w:rsidRPr="004676F5">
        <w:rPr>
          <w:lang w:val="de-DE"/>
        </w:rPr>
        <w:t>KAPITEL 1 </w:t>
      </w:r>
      <w:r w:rsidR="005B7A5C" w:rsidRPr="004676F5">
        <w:rPr>
          <w:lang w:val="de-DE"/>
        </w:rPr>
        <w:t>- </w:t>
      </w:r>
      <w:r w:rsidR="009201DA" w:rsidRPr="004676F5">
        <w:rPr>
          <w:lang w:val="de-DE"/>
        </w:rPr>
        <w:t>[</w:t>
      </w:r>
      <w:r w:rsidR="009201DA" w:rsidRPr="004676F5">
        <w:rPr>
          <w:i/>
          <w:lang w:val="de-DE"/>
        </w:rPr>
        <w:t>Frühwarn</w:t>
      </w:r>
      <w:r w:rsidRPr="004676F5">
        <w:rPr>
          <w:i/>
          <w:lang w:val="de-DE"/>
        </w:rPr>
        <w:t>ung</w:t>
      </w:r>
      <w:r w:rsidR="009201DA" w:rsidRPr="004676F5">
        <w:rPr>
          <w:iCs/>
          <w:lang w:val="de-DE"/>
        </w:rPr>
        <w:t>]</w:t>
      </w:r>
    </w:p>
    <w:p w14:paraId="08BB7A71" w14:textId="77777777" w:rsidR="00EE35E2" w:rsidRPr="004676F5" w:rsidRDefault="00EE35E2" w:rsidP="00EE35E2">
      <w:pPr>
        <w:jc w:val="both"/>
        <w:rPr>
          <w:lang w:val="de-DE"/>
        </w:rPr>
      </w:pPr>
    </w:p>
    <w:p w14:paraId="78BE058D" w14:textId="0057C15F" w:rsidR="009201DA" w:rsidRPr="004676F5" w:rsidRDefault="009201DA" w:rsidP="00EE35E2">
      <w:pPr>
        <w:jc w:val="both"/>
        <w:rPr>
          <w:i/>
          <w:iCs/>
          <w:lang w:val="de-DE"/>
        </w:rPr>
      </w:pPr>
      <w:r w:rsidRPr="004676F5">
        <w:rPr>
          <w:i/>
          <w:iCs/>
          <w:lang w:val="de-DE"/>
        </w:rPr>
        <w:t>[Überschrift von Kapitel 1 ersetzt durch Art. 23 des G. vom 7. Juni 2023 (B.S. vom 7. Juli 2023)]</w:t>
      </w:r>
    </w:p>
    <w:p w14:paraId="7FB3E4C5" w14:textId="77777777" w:rsidR="009201DA" w:rsidRPr="004676F5" w:rsidRDefault="009201DA" w:rsidP="00EE35E2">
      <w:pPr>
        <w:jc w:val="both"/>
        <w:rPr>
          <w:i/>
          <w:iCs/>
          <w:lang w:val="de-DE"/>
        </w:rPr>
      </w:pPr>
    </w:p>
    <w:p w14:paraId="1B54FB1F" w14:textId="77777777" w:rsidR="00DF5BE5" w:rsidRPr="004676F5" w:rsidRDefault="00DF5BE5" w:rsidP="00EE35E2">
      <w:pPr>
        <w:jc w:val="both"/>
        <w:rPr>
          <w:lang w:val="de-DE"/>
        </w:rPr>
      </w:pPr>
    </w:p>
    <w:p w14:paraId="572EE7E8" w14:textId="77777777" w:rsidR="009201DA" w:rsidRPr="004676F5" w:rsidRDefault="00BE0A56" w:rsidP="009201DA">
      <w:pPr>
        <w:ind w:firstLine="708"/>
        <w:jc w:val="both"/>
        <w:rPr>
          <w:lang w:val="de-DE"/>
        </w:rPr>
      </w:pPr>
      <w:r w:rsidRPr="004676F5">
        <w:rPr>
          <w:b/>
          <w:lang w:val="de-DE"/>
        </w:rPr>
        <w:t>Art. </w:t>
      </w:r>
      <w:r w:rsidR="00EE35E2" w:rsidRPr="004676F5">
        <w:rPr>
          <w:b/>
          <w:lang w:val="de-DE"/>
        </w:rPr>
        <w:t>XX.21</w:t>
      </w:r>
      <w:r w:rsidR="00EE35E2" w:rsidRPr="004676F5">
        <w:rPr>
          <w:lang w:val="de-DE"/>
        </w:rPr>
        <w:t> </w:t>
      </w:r>
      <w:r w:rsidR="005B7A5C" w:rsidRPr="004676F5">
        <w:rPr>
          <w:lang w:val="de-DE"/>
        </w:rPr>
        <w:t>- </w:t>
      </w:r>
      <w:r w:rsidR="009201DA" w:rsidRPr="004676F5">
        <w:rPr>
          <w:lang w:val="de-DE"/>
        </w:rPr>
        <w:t>[§ 1 - Informationen und Angaben, die auf eine wahrscheinliche Insolvenz und die Notwendigkeit sofortigen Handelns hinweisen, können von den zuständigen Diensten der Staatsanwaltschaft oder bei der Kanzlei des Gerichts, in dessen Bereich der Schuldner den Mittelpunkt seiner hauptsächlichen Interessen hat, eingeholt werden.</w:t>
      </w:r>
    </w:p>
    <w:p w14:paraId="3D838992" w14:textId="77777777" w:rsidR="009201DA" w:rsidRPr="004676F5" w:rsidRDefault="009201DA" w:rsidP="009201DA">
      <w:pPr>
        <w:jc w:val="both"/>
        <w:rPr>
          <w:lang w:val="de-DE"/>
        </w:rPr>
      </w:pPr>
    </w:p>
    <w:p w14:paraId="7A417B28" w14:textId="77777777" w:rsidR="009201DA" w:rsidRPr="004676F5" w:rsidRDefault="009201DA" w:rsidP="009201DA">
      <w:pPr>
        <w:jc w:val="both"/>
        <w:rPr>
          <w:lang w:val="de-DE"/>
        </w:rPr>
      </w:pPr>
      <w:r w:rsidRPr="004676F5">
        <w:rPr>
          <w:lang w:val="de-DE"/>
        </w:rPr>
        <w:tab/>
        <w:t>Der König kann erforderliche Maßnahmen ergreifen, um die Verarbeitung der gesammelten Daten in einer logischen Struktur zu ermöglichen, und festlegen, wie die Daten klassifiziert und kombiniert werden, um die Erkennung und Vorhersage einer wahrscheinlichen Insolvenz zu ermöglichen.</w:t>
      </w:r>
    </w:p>
    <w:p w14:paraId="3D1E948F" w14:textId="77777777" w:rsidR="009201DA" w:rsidRPr="004676F5" w:rsidRDefault="009201DA" w:rsidP="009201DA">
      <w:pPr>
        <w:jc w:val="both"/>
        <w:rPr>
          <w:lang w:val="de-DE"/>
        </w:rPr>
      </w:pPr>
    </w:p>
    <w:p w14:paraId="5936027F" w14:textId="77777777" w:rsidR="009201DA" w:rsidRPr="004676F5" w:rsidRDefault="009201DA" w:rsidP="009201DA">
      <w:pPr>
        <w:jc w:val="both"/>
        <w:rPr>
          <w:lang w:val="de-DE"/>
        </w:rPr>
      </w:pPr>
      <w:r w:rsidRPr="004676F5">
        <w:rPr>
          <w:lang w:val="de-DE"/>
        </w:rPr>
        <w:tab/>
        <w:t>Er ergreift geeignete Maßnahmen, um die Vertraulichkeit der Daten in den jeweiligen Kanzleien der Unternehmensgerichte zu gewährleisten und den Schuldnern Zugang zu Frühwarnsystemen zu verschaffen, mit denen Umstände, die zu einem Insolvenzverfahren führen könnten, erkannt werden können und mit denen sie auf die Notwendigkeit eines unverzüglichen Handelns hingewiesen werden können.</w:t>
      </w:r>
    </w:p>
    <w:p w14:paraId="080AA618" w14:textId="77777777" w:rsidR="009201DA" w:rsidRPr="004676F5" w:rsidRDefault="009201DA" w:rsidP="009201DA">
      <w:pPr>
        <w:jc w:val="both"/>
        <w:rPr>
          <w:lang w:val="de-DE"/>
        </w:rPr>
      </w:pPr>
    </w:p>
    <w:p w14:paraId="1B92A609" w14:textId="77777777" w:rsidR="009201DA" w:rsidRPr="004676F5" w:rsidRDefault="009201DA" w:rsidP="009201DA">
      <w:pPr>
        <w:jc w:val="both"/>
        <w:rPr>
          <w:lang w:val="de-DE"/>
        </w:rPr>
      </w:pPr>
      <w:r w:rsidRPr="004676F5">
        <w:rPr>
          <w:lang w:val="de-DE"/>
        </w:rPr>
        <w:tab/>
        <w:t>§ 2 - Die gemäß § 1 gesammelten Informationen und Angaben werden im Zentralregister der wirtschaftlichen Warnindikatoren zur Aufspürung von Unternehmen in finanziellen Schwierigkeiten eingetragen. Der Föderale Öffentliche Dienst Justiz ist der für die Verarbeitung Verantwortliche im Sinne der Verordnung (EU) 2016/679 des Europäischen Parlaments und des Rates vom 27. April 2016 zum Schutz natürlicher Personen bei der Verarbeitung personenbezogener Daten, zum freien Datenverkehr und zur Aufhebung der Richtlinie 95/46/EG.</w:t>
      </w:r>
    </w:p>
    <w:p w14:paraId="63F86D67" w14:textId="77777777" w:rsidR="009201DA" w:rsidRPr="004676F5" w:rsidRDefault="009201DA" w:rsidP="009201DA">
      <w:pPr>
        <w:jc w:val="both"/>
        <w:rPr>
          <w:lang w:val="de-DE"/>
        </w:rPr>
      </w:pPr>
    </w:p>
    <w:p w14:paraId="6C7E79C0" w14:textId="363AF918" w:rsidR="00EE35E2" w:rsidRPr="004676F5" w:rsidRDefault="009201DA" w:rsidP="009201DA">
      <w:pPr>
        <w:ind w:firstLine="708"/>
        <w:jc w:val="both"/>
        <w:rPr>
          <w:lang w:val="de-DE"/>
        </w:rPr>
      </w:pPr>
      <w:r w:rsidRPr="004676F5">
        <w:rPr>
          <w:lang w:val="de-DE"/>
        </w:rPr>
        <w:t>§ 3 - Die in § 1 erwähnten Informationen und Angaben werden ab dem Zeitpunkt ihrer Eintragung in das Zentralregister der wirtschaftlichen Warnindikatoren fünf Jahre aufbewahrt.]</w:t>
      </w:r>
    </w:p>
    <w:p w14:paraId="4B11A705" w14:textId="77777777" w:rsidR="00EE35E2" w:rsidRPr="004676F5" w:rsidRDefault="00EE35E2" w:rsidP="00F5454A">
      <w:pPr>
        <w:jc w:val="both"/>
        <w:rPr>
          <w:lang w:val="de-DE"/>
        </w:rPr>
      </w:pPr>
    </w:p>
    <w:p w14:paraId="696CC355" w14:textId="4BC6A9F1" w:rsidR="00F5454A" w:rsidRPr="004676F5" w:rsidRDefault="00F5454A" w:rsidP="00F5454A">
      <w:pPr>
        <w:jc w:val="both"/>
        <w:rPr>
          <w:i/>
          <w:iCs/>
          <w:lang w:val="de-DE"/>
        </w:rPr>
      </w:pPr>
      <w:r w:rsidRPr="004676F5">
        <w:rPr>
          <w:i/>
          <w:iCs/>
          <w:lang w:val="de-DE"/>
        </w:rPr>
        <w:t xml:space="preserve">[Art. XX.21 </w:t>
      </w:r>
      <w:r w:rsidR="009201DA" w:rsidRPr="004676F5">
        <w:rPr>
          <w:i/>
          <w:iCs/>
          <w:lang w:val="de-DE"/>
        </w:rPr>
        <w:t>ersetzt durch Art. 24 des G. vom 7. Juni 2023 (B.S. vom 7. Juli 2023)</w:t>
      </w:r>
      <w:r w:rsidRPr="004676F5">
        <w:rPr>
          <w:i/>
          <w:iCs/>
          <w:lang w:val="de-DE"/>
        </w:rPr>
        <w:t>]</w:t>
      </w:r>
    </w:p>
    <w:p w14:paraId="66220B46" w14:textId="77777777" w:rsidR="00F5454A" w:rsidRPr="004676F5" w:rsidRDefault="00F5454A" w:rsidP="00F5454A">
      <w:pPr>
        <w:jc w:val="both"/>
        <w:rPr>
          <w:lang w:val="de-DE"/>
        </w:rPr>
      </w:pPr>
    </w:p>
    <w:p w14:paraId="0202673D" w14:textId="77777777" w:rsidR="009201DA" w:rsidRPr="004676F5" w:rsidRDefault="009201DA" w:rsidP="00F5454A">
      <w:pPr>
        <w:jc w:val="both"/>
        <w:rPr>
          <w:lang w:val="de-DE"/>
        </w:rPr>
      </w:pPr>
    </w:p>
    <w:p w14:paraId="258E02FA" w14:textId="77777777" w:rsidR="009201DA" w:rsidRPr="004676F5" w:rsidRDefault="009201DA" w:rsidP="009201DA">
      <w:pPr>
        <w:jc w:val="both"/>
        <w:rPr>
          <w:lang w:val="de-DE"/>
        </w:rPr>
      </w:pPr>
      <w:r w:rsidRPr="004676F5">
        <w:rPr>
          <w:lang w:val="de-DE"/>
        </w:rPr>
        <w:tab/>
        <w:t>[</w:t>
      </w:r>
      <w:r w:rsidRPr="004676F5">
        <w:rPr>
          <w:b/>
          <w:bCs/>
          <w:lang w:val="de-DE"/>
        </w:rPr>
        <w:t>Art. XX.21/1</w:t>
      </w:r>
      <w:r w:rsidRPr="004676F5">
        <w:rPr>
          <w:lang w:val="de-DE"/>
        </w:rPr>
        <w:t> - § 1 - Der Schuldner hat durch einen an das Gericht gerichteten Antrag Zugang zu ihn betreffende Daten. Er ist berechtigt, durch einen an das Gericht gerichteten Antrag ihn betreffende Daten berichtigen zu lassen.</w:t>
      </w:r>
    </w:p>
    <w:p w14:paraId="5414EABD" w14:textId="77777777" w:rsidR="009201DA" w:rsidRPr="004676F5" w:rsidRDefault="009201DA" w:rsidP="009201DA">
      <w:pPr>
        <w:jc w:val="both"/>
        <w:rPr>
          <w:lang w:val="de-DE"/>
        </w:rPr>
      </w:pPr>
    </w:p>
    <w:p w14:paraId="417E3E29" w14:textId="77777777" w:rsidR="009201DA" w:rsidRPr="004676F5" w:rsidRDefault="009201DA" w:rsidP="009201DA">
      <w:pPr>
        <w:jc w:val="both"/>
        <w:rPr>
          <w:lang w:val="de-DE"/>
        </w:rPr>
      </w:pPr>
      <w:r w:rsidRPr="004676F5">
        <w:rPr>
          <w:lang w:val="de-DE"/>
        </w:rPr>
        <w:tab/>
        <w:t xml:space="preserve">Magistrate einschließlich der Magistrate der Staatsanwaltschaft, Greffiers und Sekretäre bei der Staatsanwaltschaft haben im Rahmen der Erfüllung ihrer gesetzlichen Aufträge und unbeschadet der Vorschriften zum Schutz des Berufsgeheimnisses, des Geschäftsgeheimnisses </w:t>
      </w:r>
      <w:r w:rsidRPr="004676F5">
        <w:rPr>
          <w:lang w:val="de-DE"/>
        </w:rPr>
        <w:lastRenderedPageBreak/>
        <w:t>und des Beratungsgeheimnisses Zugang zu den in Artikel XX.21 erwähnten Daten, die für sie sachdienlich sind.</w:t>
      </w:r>
    </w:p>
    <w:p w14:paraId="23237B25" w14:textId="77777777" w:rsidR="009201DA" w:rsidRPr="004676F5" w:rsidRDefault="009201DA" w:rsidP="009201DA">
      <w:pPr>
        <w:jc w:val="both"/>
        <w:rPr>
          <w:lang w:val="de-DE"/>
        </w:rPr>
      </w:pPr>
    </w:p>
    <w:p w14:paraId="23380286" w14:textId="77777777" w:rsidR="009201DA" w:rsidRPr="004676F5" w:rsidRDefault="009201DA" w:rsidP="009201DA">
      <w:pPr>
        <w:jc w:val="both"/>
        <w:rPr>
          <w:lang w:val="de-DE"/>
        </w:rPr>
      </w:pPr>
      <w:r w:rsidRPr="004676F5">
        <w:rPr>
          <w:lang w:val="de-DE"/>
        </w:rPr>
        <w:tab/>
        <w:t>Gemäß den vom König festgelegten Modalitäten kann das Gericht erfasste Daten, die auf eine wahrscheinliche Insolvenz hinweisen, ebenfalls föderalen oder regionalen öffentlichen Einrichtungen oder privaten Einrichtungen mitteilen, die von der zuständigen Behörde bestimmt oder zugelassen worden sind, um Unternehmen in Schwierigkeiten zu helfen.</w:t>
      </w:r>
    </w:p>
    <w:p w14:paraId="36C59E7B" w14:textId="77777777" w:rsidR="009201DA" w:rsidRPr="004676F5" w:rsidRDefault="009201DA" w:rsidP="009201DA">
      <w:pPr>
        <w:jc w:val="both"/>
        <w:rPr>
          <w:lang w:val="de-DE"/>
        </w:rPr>
      </w:pPr>
    </w:p>
    <w:p w14:paraId="5A826001" w14:textId="56A9E778" w:rsidR="009201DA" w:rsidRPr="004676F5" w:rsidRDefault="009201DA" w:rsidP="009201DA">
      <w:pPr>
        <w:jc w:val="both"/>
        <w:rPr>
          <w:lang w:val="de-DE"/>
        </w:rPr>
      </w:pPr>
      <w:r w:rsidRPr="004676F5">
        <w:rPr>
          <w:lang w:val="de-DE"/>
        </w:rPr>
        <w:tab/>
        <w:t>§ 2 - Der König legt die Modalitäten für den Zugang zu den Daten fest und berücksichtigt dabei auch die in § 1 erwähnten Ziele.]</w:t>
      </w:r>
    </w:p>
    <w:p w14:paraId="5F361918" w14:textId="77777777" w:rsidR="009201DA" w:rsidRPr="004676F5" w:rsidRDefault="009201DA" w:rsidP="009201DA">
      <w:pPr>
        <w:jc w:val="both"/>
        <w:rPr>
          <w:lang w:val="de-DE"/>
        </w:rPr>
      </w:pPr>
    </w:p>
    <w:p w14:paraId="3DAADFF2" w14:textId="09A029F4" w:rsidR="009201DA" w:rsidRPr="004676F5" w:rsidRDefault="009201DA" w:rsidP="009201DA">
      <w:pPr>
        <w:jc w:val="both"/>
        <w:rPr>
          <w:i/>
          <w:iCs/>
          <w:lang w:val="de-DE"/>
        </w:rPr>
      </w:pPr>
      <w:r w:rsidRPr="004676F5">
        <w:rPr>
          <w:i/>
          <w:iCs/>
          <w:lang w:val="de-DE"/>
        </w:rPr>
        <w:t>[Art. XX.21/1 eingefügt durch Art. 25 des G. vom 7. Juni 2023 (B.S. vom 7. Juli 2023)]</w:t>
      </w:r>
    </w:p>
    <w:p w14:paraId="32A0B837" w14:textId="77777777" w:rsidR="009201DA" w:rsidRPr="004676F5" w:rsidRDefault="009201DA" w:rsidP="009201DA">
      <w:pPr>
        <w:jc w:val="both"/>
        <w:rPr>
          <w:i/>
          <w:iCs/>
          <w:lang w:val="de-DE"/>
        </w:rPr>
      </w:pPr>
    </w:p>
    <w:p w14:paraId="7F4156C9" w14:textId="77777777" w:rsidR="00DF5BE5" w:rsidRPr="004676F5" w:rsidRDefault="00DF5BE5" w:rsidP="00EE35E2">
      <w:pPr>
        <w:ind w:firstLine="708"/>
        <w:jc w:val="both"/>
        <w:rPr>
          <w:lang w:val="de-DE"/>
        </w:rPr>
      </w:pPr>
    </w:p>
    <w:p w14:paraId="08AB5369" w14:textId="04EA93BF" w:rsidR="00EE35E2" w:rsidRPr="004676F5" w:rsidRDefault="00BE0A56" w:rsidP="00EE35E2">
      <w:pPr>
        <w:ind w:firstLine="708"/>
        <w:jc w:val="both"/>
        <w:rPr>
          <w:lang w:val="de-DE"/>
        </w:rPr>
      </w:pPr>
      <w:r w:rsidRPr="004676F5">
        <w:rPr>
          <w:b/>
          <w:lang w:val="de-DE"/>
        </w:rPr>
        <w:t>Art. </w:t>
      </w:r>
      <w:r w:rsidR="00EE35E2" w:rsidRPr="004676F5">
        <w:rPr>
          <w:b/>
          <w:lang w:val="de-DE"/>
        </w:rPr>
        <w:t>XX.22</w:t>
      </w:r>
      <w:r w:rsidR="00EE35E2" w:rsidRPr="004676F5">
        <w:rPr>
          <w:lang w:val="de-DE"/>
        </w:rPr>
        <w:t> </w:t>
      </w:r>
      <w:r w:rsidR="005B7A5C" w:rsidRPr="004676F5">
        <w:rPr>
          <w:lang w:val="de-DE"/>
        </w:rPr>
        <w:t>- </w:t>
      </w:r>
      <w:r w:rsidR="009201DA" w:rsidRPr="004676F5">
        <w:rPr>
          <w:lang w:val="de-DE"/>
        </w:rPr>
        <w:t>[…]</w:t>
      </w:r>
    </w:p>
    <w:p w14:paraId="79990289" w14:textId="77777777" w:rsidR="009201DA" w:rsidRPr="004676F5" w:rsidRDefault="009201DA" w:rsidP="009201DA">
      <w:pPr>
        <w:jc w:val="both"/>
        <w:rPr>
          <w:lang w:val="de-DE"/>
        </w:rPr>
      </w:pPr>
    </w:p>
    <w:p w14:paraId="5DE7208D" w14:textId="43378F88" w:rsidR="009201DA" w:rsidRPr="004676F5" w:rsidRDefault="009201DA" w:rsidP="009201DA">
      <w:pPr>
        <w:jc w:val="both"/>
        <w:rPr>
          <w:i/>
          <w:iCs/>
          <w:lang w:val="de-DE"/>
        </w:rPr>
      </w:pPr>
      <w:r w:rsidRPr="004676F5">
        <w:rPr>
          <w:i/>
          <w:iCs/>
          <w:lang w:val="de-DE"/>
        </w:rPr>
        <w:t>[Art. XX.22 aufgehoben durch Art. 26 des G. vom 7. Juni 2023 (B.S. vom 7. Juli 2023)]</w:t>
      </w:r>
    </w:p>
    <w:p w14:paraId="2FAB9652" w14:textId="77777777" w:rsidR="00EE35E2" w:rsidRPr="004676F5" w:rsidRDefault="00EE35E2" w:rsidP="009201DA">
      <w:pPr>
        <w:jc w:val="both"/>
        <w:rPr>
          <w:lang w:val="de-DE"/>
        </w:rPr>
      </w:pPr>
    </w:p>
    <w:p w14:paraId="5ECFB312" w14:textId="77777777" w:rsidR="009201DA" w:rsidRPr="004676F5" w:rsidRDefault="009201DA" w:rsidP="009201DA">
      <w:pPr>
        <w:jc w:val="both"/>
        <w:rPr>
          <w:lang w:val="de-DE"/>
        </w:rPr>
      </w:pPr>
    </w:p>
    <w:p w14:paraId="4C3C7638" w14:textId="77777777" w:rsidR="009201DA" w:rsidRPr="004676F5" w:rsidRDefault="009201DA" w:rsidP="009201DA">
      <w:pPr>
        <w:jc w:val="both"/>
        <w:rPr>
          <w:lang w:val="de-DE"/>
        </w:rPr>
      </w:pPr>
      <w:r w:rsidRPr="004676F5">
        <w:rPr>
          <w:lang w:val="de-DE"/>
        </w:rPr>
        <w:tab/>
        <w:t>[</w:t>
      </w:r>
      <w:r w:rsidRPr="004676F5">
        <w:rPr>
          <w:b/>
          <w:bCs/>
          <w:lang w:val="de-DE"/>
        </w:rPr>
        <w:t>Art. XX.22/1</w:t>
      </w:r>
      <w:r w:rsidRPr="004676F5">
        <w:rPr>
          <w:lang w:val="de-DE"/>
        </w:rPr>
        <w:t> - § 1 - Die in Artikel XX.21 erwähnten Informationen und Angaben umfassen:</w:t>
      </w:r>
    </w:p>
    <w:p w14:paraId="46901C7B" w14:textId="77777777" w:rsidR="009201DA" w:rsidRPr="004676F5" w:rsidRDefault="009201DA" w:rsidP="009201DA">
      <w:pPr>
        <w:jc w:val="both"/>
        <w:rPr>
          <w:lang w:val="de-DE"/>
        </w:rPr>
      </w:pPr>
    </w:p>
    <w:p w14:paraId="21A1883B" w14:textId="77777777" w:rsidR="009201DA" w:rsidRPr="004676F5" w:rsidRDefault="009201DA" w:rsidP="009201DA">
      <w:pPr>
        <w:jc w:val="both"/>
        <w:rPr>
          <w:lang w:val="de-DE"/>
        </w:rPr>
      </w:pPr>
      <w:r w:rsidRPr="004676F5">
        <w:rPr>
          <w:lang w:val="de-DE"/>
        </w:rPr>
        <w:tab/>
        <w:t>1. in den Artikeln 1390 bis 1390</w:t>
      </w:r>
      <w:r w:rsidRPr="004676F5">
        <w:rPr>
          <w:i/>
          <w:lang w:val="de-DE"/>
        </w:rPr>
        <w:t>quater</w:t>
      </w:r>
      <w:r w:rsidRPr="004676F5">
        <w:rPr>
          <w:lang w:val="de-DE"/>
        </w:rPr>
        <w:t xml:space="preserve"> des Gerichtsgesetzbuches erwähnte Pfändungsmeldungen, wie sie gemäß Artikel 1390</w:t>
      </w:r>
      <w:r w:rsidRPr="004676F5">
        <w:rPr>
          <w:i/>
          <w:lang w:val="de-DE"/>
        </w:rPr>
        <w:t>septies</w:t>
      </w:r>
      <w:r w:rsidRPr="004676F5">
        <w:rPr>
          <w:lang w:val="de-DE"/>
        </w:rPr>
        <w:t xml:space="preserve"> desselben Gesetzbuches mitzuteilen sind, und ihre Registrierungsnummer,</w:t>
      </w:r>
    </w:p>
    <w:p w14:paraId="4CF40857" w14:textId="77777777" w:rsidR="009201DA" w:rsidRPr="004676F5" w:rsidRDefault="009201DA" w:rsidP="009201DA">
      <w:pPr>
        <w:jc w:val="both"/>
        <w:rPr>
          <w:lang w:val="de-DE"/>
        </w:rPr>
      </w:pPr>
    </w:p>
    <w:p w14:paraId="48F0C154" w14:textId="77777777" w:rsidR="009201DA" w:rsidRPr="004676F5" w:rsidRDefault="009201DA" w:rsidP="009201DA">
      <w:pPr>
        <w:jc w:val="both"/>
        <w:rPr>
          <w:lang w:val="de-DE"/>
        </w:rPr>
      </w:pPr>
      <w:r w:rsidRPr="004676F5">
        <w:rPr>
          <w:lang w:val="de-DE"/>
        </w:rPr>
        <w:tab/>
        <w:t>2. Höhe der geschuldeten Beträge, die gemäß Artikel XX.23 dem Gesetz entsprechend den Unternehmensgerichten mitgeteilt werden müssen,</w:t>
      </w:r>
    </w:p>
    <w:p w14:paraId="5735978B" w14:textId="77777777" w:rsidR="009201DA" w:rsidRPr="004676F5" w:rsidRDefault="009201DA" w:rsidP="009201DA">
      <w:pPr>
        <w:jc w:val="both"/>
        <w:rPr>
          <w:lang w:val="de-DE"/>
        </w:rPr>
      </w:pPr>
    </w:p>
    <w:p w14:paraId="3E039C24" w14:textId="77777777" w:rsidR="009201DA" w:rsidRPr="004676F5" w:rsidRDefault="009201DA" w:rsidP="009201DA">
      <w:pPr>
        <w:jc w:val="both"/>
        <w:rPr>
          <w:lang w:val="de-DE"/>
        </w:rPr>
      </w:pPr>
      <w:r w:rsidRPr="004676F5">
        <w:rPr>
          <w:lang w:val="de-DE"/>
        </w:rPr>
        <w:tab/>
        <w:t>3. den von der Belgischen Nationalbank berechneten Indikator für die finanzielle Gesundheit,</w:t>
      </w:r>
    </w:p>
    <w:p w14:paraId="2B89F974" w14:textId="77777777" w:rsidR="009201DA" w:rsidRPr="004676F5" w:rsidRDefault="009201DA" w:rsidP="009201DA">
      <w:pPr>
        <w:jc w:val="both"/>
        <w:rPr>
          <w:lang w:val="de-DE"/>
        </w:rPr>
      </w:pPr>
    </w:p>
    <w:p w14:paraId="6733B1F4" w14:textId="77777777" w:rsidR="009201DA" w:rsidRPr="004676F5" w:rsidRDefault="009201DA" w:rsidP="009201DA">
      <w:pPr>
        <w:jc w:val="both"/>
        <w:rPr>
          <w:lang w:val="de-DE"/>
        </w:rPr>
      </w:pPr>
      <w:r w:rsidRPr="004676F5">
        <w:rPr>
          <w:lang w:val="de-DE"/>
        </w:rPr>
        <w:tab/>
        <w:t>4. Änderungen in Bezug auf die Anzahl Arbeitnehmer,</w:t>
      </w:r>
    </w:p>
    <w:p w14:paraId="453EBD2D" w14:textId="77777777" w:rsidR="009201DA" w:rsidRPr="004676F5" w:rsidRDefault="009201DA" w:rsidP="009201DA">
      <w:pPr>
        <w:jc w:val="both"/>
        <w:rPr>
          <w:lang w:val="de-DE"/>
        </w:rPr>
      </w:pPr>
    </w:p>
    <w:p w14:paraId="12EC3188" w14:textId="77777777" w:rsidR="009201DA" w:rsidRPr="004676F5" w:rsidRDefault="009201DA" w:rsidP="009201DA">
      <w:pPr>
        <w:jc w:val="both"/>
        <w:rPr>
          <w:lang w:val="de-DE"/>
        </w:rPr>
      </w:pPr>
      <w:r w:rsidRPr="004676F5">
        <w:rPr>
          <w:lang w:val="de-DE"/>
        </w:rPr>
        <w:tab/>
        <w:t>5. Änderungen des Sitzes.</w:t>
      </w:r>
    </w:p>
    <w:p w14:paraId="0A34DB24" w14:textId="77777777" w:rsidR="009201DA" w:rsidRPr="004676F5" w:rsidRDefault="009201DA" w:rsidP="009201DA">
      <w:pPr>
        <w:jc w:val="both"/>
        <w:rPr>
          <w:lang w:val="de-DE"/>
        </w:rPr>
      </w:pPr>
    </w:p>
    <w:p w14:paraId="13D22144" w14:textId="0B34D210" w:rsidR="009201DA" w:rsidRPr="004676F5" w:rsidRDefault="009201DA" w:rsidP="009201DA">
      <w:pPr>
        <w:jc w:val="both"/>
        <w:rPr>
          <w:lang w:val="de-DE"/>
        </w:rPr>
      </w:pPr>
      <w:r w:rsidRPr="004676F5">
        <w:rPr>
          <w:lang w:val="de-DE"/>
        </w:rPr>
        <w:tab/>
        <w:t>§ 2 - Der Präsident der Kammer für Unternehmen in Schwierigkeiten kann auf besonderen und mit Gründen versehenen Antrag bei der Zentralen Kontaktstelle, die von der Belgischen Nationalbank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verwaltet wird, jegliche Informationen über den Schuldner abfragen.]</w:t>
      </w:r>
    </w:p>
    <w:p w14:paraId="29D4FCA3" w14:textId="77777777" w:rsidR="009201DA" w:rsidRPr="004676F5" w:rsidRDefault="009201DA" w:rsidP="009201DA">
      <w:pPr>
        <w:jc w:val="both"/>
        <w:rPr>
          <w:lang w:val="de-DE"/>
        </w:rPr>
      </w:pPr>
    </w:p>
    <w:p w14:paraId="1A5292CC" w14:textId="2DCF760B" w:rsidR="009201DA" w:rsidRPr="004676F5" w:rsidRDefault="009201DA" w:rsidP="009201DA">
      <w:pPr>
        <w:jc w:val="both"/>
        <w:rPr>
          <w:i/>
          <w:iCs/>
          <w:lang w:val="de-DE"/>
        </w:rPr>
      </w:pPr>
      <w:r w:rsidRPr="004676F5">
        <w:rPr>
          <w:i/>
          <w:iCs/>
          <w:lang w:val="de-DE"/>
        </w:rPr>
        <w:t>[Art. XX.22/1 eingefügt durch Art. 27 des G. vom 7. Juni 2023 (B.S. vom 7. Juli 2023)]</w:t>
      </w:r>
    </w:p>
    <w:p w14:paraId="425DEBA3" w14:textId="77777777" w:rsidR="009201DA" w:rsidRPr="004676F5" w:rsidRDefault="009201DA" w:rsidP="009201DA">
      <w:pPr>
        <w:jc w:val="both"/>
        <w:rPr>
          <w:i/>
          <w:iCs/>
          <w:lang w:val="de-DE"/>
        </w:rPr>
      </w:pPr>
    </w:p>
    <w:p w14:paraId="64B2A3F3" w14:textId="77777777" w:rsidR="00DF5BE5" w:rsidRPr="004676F5" w:rsidRDefault="00DF5BE5" w:rsidP="00EE35E2">
      <w:pPr>
        <w:ind w:firstLine="708"/>
        <w:jc w:val="both"/>
        <w:rPr>
          <w:lang w:val="de-DE"/>
        </w:rPr>
      </w:pPr>
    </w:p>
    <w:p w14:paraId="34488B27" w14:textId="1302C08A" w:rsidR="00EE35E2" w:rsidRPr="004676F5" w:rsidRDefault="00BE0A56" w:rsidP="00EE35E2">
      <w:pPr>
        <w:ind w:firstLine="708"/>
        <w:jc w:val="both"/>
        <w:rPr>
          <w:lang w:val="de-DE"/>
        </w:rPr>
      </w:pPr>
      <w:r w:rsidRPr="004676F5">
        <w:rPr>
          <w:b/>
          <w:lang w:val="de-DE"/>
        </w:rPr>
        <w:t>Art. </w:t>
      </w:r>
      <w:r w:rsidR="00EE35E2" w:rsidRPr="004676F5">
        <w:rPr>
          <w:b/>
          <w:lang w:val="de-DE"/>
        </w:rPr>
        <w:t>XX.23</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Auf Verurteilung lautende Versäumnisurteile und kontradiktorische Urteile gegen Schuldner, die die geforderte Hauptsumme nicht angefochten haben, müssen der </w:t>
      </w:r>
      <w:r w:rsidR="00EE35E2" w:rsidRPr="004676F5">
        <w:rPr>
          <w:lang w:val="de-DE"/>
        </w:rPr>
        <w:lastRenderedPageBreak/>
        <w:t>Kanzlei des Gerichts des Bereichs, in dem der Mittelpunkt ihrer hauptsächlichen Interessen gelegen ist, übermittelt werden.</w:t>
      </w:r>
    </w:p>
    <w:p w14:paraId="5E0F23E5" w14:textId="77777777" w:rsidR="00EE35E2" w:rsidRPr="004676F5" w:rsidRDefault="00EE35E2" w:rsidP="00EE35E2">
      <w:pPr>
        <w:ind w:firstLine="708"/>
        <w:jc w:val="both"/>
        <w:rPr>
          <w:lang w:val="de-DE"/>
        </w:rPr>
      </w:pPr>
    </w:p>
    <w:p w14:paraId="05E0E209" w14:textId="77777777" w:rsidR="00EE35E2" w:rsidRPr="004676F5" w:rsidRDefault="00EE35E2" w:rsidP="00EE35E2">
      <w:pPr>
        <w:ind w:firstLine="708"/>
        <w:jc w:val="both"/>
        <w:rPr>
          <w:lang w:val="de-DE"/>
        </w:rPr>
      </w:pPr>
      <w:r w:rsidRPr="004676F5">
        <w:rPr>
          <w:lang w:val="de-DE"/>
        </w:rPr>
        <w:t>Der König bestimmt die Modalitäten für diese Übermittlung.</w:t>
      </w:r>
    </w:p>
    <w:p w14:paraId="1F4C1E95" w14:textId="77777777" w:rsidR="00EE35E2" w:rsidRPr="004676F5" w:rsidRDefault="00EE35E2" w:rsidP="00EE35E2">
      <w:pPr>
        <w:ind w:firstLine="708"/>
        <w:jc w:val="both"/>
        <w:rPr>
          <w:lang w:val="de-DE"/>
        </w:rPr>
      </w:pPr>
    </w:p>
    <w:p w14:paraId="463DED28" w14:textId="77777777" w:rsidR="00EE35E2" w:rsidRPr="004676F5" w:rsidRDefault="00EE35E2" w:rsidP="00EE35E2">
      <w:pPr>
        <w:ind w:firstLine="708"/>
        <w:jc w:val="both"/>
        <w:rPr>
          <w:lang w:val="de-DE"/>
        </w:rPr>
      </w:pPr>
      <w:r w:rsidRPr="004676F5">
        <w:rPr>
          <w:lang w:val="de-DE"/>
        </w:rPr>
        <w:t>Dies gilt ebenfalls für Urteile, mit denen ein Geschäftsmietvertrag zu Lasten des Mieters aufgelöst wird.</w:t>
      </w:r>
    </w:p>
    <w:p w14:paraId="50BFE5C1" w14:textId="77777777" w:rsidR="00EE35E2" w:rsidRPr="004676F5" w:rsidRDefault="00EE35E2" w:rsidP="00EE35E2">
      <w:pPr>
        <w:ind w:firstLine="708"/>
        <w:jc w:val="both"/>
        <w:rPr>
          <w:lang w:val="de-DE"/>
        </w:rPr>
      </w:pPr>
    </w:p>
    <w:p w14:paraId="6CDE0F3A" w14:textId="2208B306"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Innerhalb eines Monats nach Ablauf jedes Quartals schickt das Landesamt für soziale Sicherheit eine Liste der Schuldner, die seit einem Quartal die geschuldeten Sozialversicherungsbeiträge nicht mehr gezahlt haben, an die Kanzlei des Gerichts des Bereichs, in dem der Mittelpunkt ihrer hauptsächlichen Interessen gelegen ist. Auf der Liste wird neben dem Namen des Schuldners auch die geschuldete Summe angegeben.</w:t>
      </w:r>
    </w:p>
    <w:p w14:paraId="1DFB166A" w14:textId="77777777" w:rsidR="00EE35E2" w:rsidRPr="004676F5" w:rsidRDefault="00EE35E2" w:rsidP="00EE35E2">
      <w:pPr>
        <w:ind w:firstLine="708"/>
        <w:jc w:val="both"/>
        <w:rPr>
          <w:lang w:val="de-DE"/>
        </w:rPr>
      </w:pPr>
    </w:p>
    <w:p w14:paraId="44979B2D" w14:textId="77777777" w:rsidR="00EE35E2" w:rsidRPr="004676F5" w:rsidRDefault="00EE35E2" w:rsidP="00EE35E2">
      <w:pPr>
        <w:ind w:firstLine="708"/>
        <w:jc w:val="both"/>
        <w:rPr>
          <w:lang w:val="de-DE"/>
        </w:rPr>
      </w:pPr>
      <w:r w:rsidRPr="004676F5">
        <w:rPr>
          <w:lang w:val="de-DE"/>
        </w:rPr>
        <w:t>Innerhalb eines Monats nach Ablauf jedes Quartals schickt die Finanzverwaltung eine Liste der Schuldner, die seit einem Quartal die geschuldete Mehrwertsteuer oder den geschuldeten Berufssteuervorabzug nicht mehr gezahlt haben, an die Kanzlei des Gerichts des Bereichs, in dem der Mittelpunkt ihrer hauptsächlichen Interessen gelegen ist. Auf der Liste wird neben dem Namen des Schuldners auch die geschuldete Summe angegeben.</w:t>
      </w:r>
    </w:p>
    <w:p w14:paraId="0728EFCF" w14:textId="77777777" w:rsidR="00EE35E2" w:rsidRPr="004676F5" w:rsidRDefault="00EE35E2" w:rsidP="00EE35E2">
      <w:pPr>
        <w:ind w:firstLine="708"/>
        <w:jc w:val="both"/>
        <w:rPr>
          <w:lang w:val="de-DE"/>
        </w:rPr>
      </w:pPr>
    </w:p>
    <w:p w14:paraId="48847F3D" w14:textId="77777777" w:rsidR="00EE35E2" w:rsidRPr="004676F5" w:rsidRDefault="00EE35E2" w:rsidP="00EE35E2">
      <w:pPr>
        <w:ind w:firstLine="708"/>
        <w:jc w:val="both"/>
        <w:rPr>
          <w:lang w:val="de-DE"/>
        </w:rPr>
      </w:pPr>
      <w:r w:rsidRPr="004676F5">
        <w:rPr>
          <w:lang w:val="de-DE"/>
        </w:rPr>
        <w:t>Innerhalb eines Monats nach Ablauf jedes Quartals schickt das Landesinstitut der Sozialversicherungen für Selbständige eine Liste der Schuldner, die seit einem Quartal die geschuldeten Sozialversicherungsbeiträge nicht mehr gezahlt haben, an die Kanzlei des Gerichts des Bereichs, in dem der Mittelpunkt ihrer hauptsächlichen Interessen gelegen ist. Auf der Liste wird neben dem Namen des Schuldners auch die geschuldete Summe angegeben.</w:t>
      </w:r>
    </w:p>
    <w:p w14:paraId="1E1212FD" w14:textId="77777777" w:rsidR="00EE35E2" w:rsidRPr="004676F5" w:rsidRDefault="00EE35E2" w:rsidP="00EE35E2">
      <w:pPr>
        <w:ind w:firstLine="708"/>
        <w:jc w:val="both"/>
        <w:rPr>
          <w:lang w:val="de-DE"/>
        </w:rPr>
      </w:pPr>
    </w:p>
    <w:p w14:paraId="366F46DB" w14:textId="77777777" w:rsidR="00EE35E2" w:rsidRPr="004676F5" w:rsidRDefault="00EE35E2" w:rsidP="00EE35E2">
      <w:pPr>
        <w:ind w:firstLine="708"/>
        <w:jc w:val="both"/>
        <w:rPr>
          <w:lang w:val="de-DE"/>
        </w:rPr>
      </w:pPr>
      <w:r w:rsidRPr="004676F5">
        <w:rPr>
          <w:lang w:val="de-DE"/>
        </w:rPr>
        <w:t>Der König bestimmt die Modalitäten für diese Übermittlung.</w:t>
      </w:r>
    </w:p>
    <w:p w14:paraId="65FE1C51" w14:textId="77777777" w:rsidR="00EE35E2" w:rsidRPr="004676F5" w:rsidRDefault="00EE35E2" w:rsidP="00EE35E2">
      <w:pPr>
        <w:ind w:firstLine="708"/>
        <w:jc w:val="both"/>
        <w:rPr>
          <w:lang w:val="de-DE"/>
        </w:rPr>
      </w:pPr>
    </w:p>
    <w:p w14:paraId="0DB75874" w14:textId="560EEC0B" w:rsidR="00453EBF" w:rsidRPr="004676F5" w:rsidRDefault="00EE35E2" w:rsidP="00453EBF">
      <w:pPr>
        <w:ind w:firstLine="708"/>
        <w:jc w:val="both"/>
        <w:rPr>
          <w:iCs/>
          <w:lang w:val="de-DE"/>
        </w:rPr>
      </w:pPr>
      <w:r w:rsidRPr="004676F5">
        <w:rPr>
          <w:lang w:val="de-DE"/>
        </w:rPr>
        <w:t>§ 3 </w:t>
      </w:r>
      <w:r w:rsidR="005B7A5C" w:rsidRPr="004676F5">
        <w:rPr>
          <w:lang w:val="de-DE"/>
        </w:rPr>
        <w:t>- </w:t>
      </w:r>
      <w:r w:rsidR="009201DA" w:rsidRPr="004676F5">
        <w:rPr>
          <w:lang w:val="de-DE"/>
        </w:rPr>
        <w:t>[Zertifizierte Buchprüfer, zertifizierte Steuerberater, Buchprüfer, Buchprüfer-Fiskalisten]</w:t>
      </w:r>
      <w:r w:rsidRPr="004676F5">
        <w:rPr>
          <w:lang w:val="de-DE"/>
        </w:rPr>
        <w:t xml:space="preserve"> und Betriebsrevisoren, die bei der Ausübung ihres Auftrags schwerwiegende und übereinstimmende Begebenheiten feststellen, </w:t>
      </w:r>
      <w:r w:rsidR="009201DA" w:rsidRPr="004676F5">
        <w:rPr>
          <w:lang w:val="de-DE"/>
        </w:rPr>
        <w:t>[die auf eine wahrscheinliche Insolvenz hinweisen]</w:t>
      </w:r>
      <w:r w:rsidRPr="004676F5">
        <w:rPr>
          <w:lang w:val="de-DE"/>
        </w:rPr>
        <w:t xml:space="preserve">, teilen ihm dies auf ausführliche Weise gegebenenfalls über sein Verwaltungsorgan mit. </w:t>
      </w:r>
      <w:r w:rsidR="009201DA" w:rsidRPr="004676F5">
        <w:rPr>
          <w:lang w:val="de-DE"/>
        </w:rPr>
        <w:t>[Wenn sie innerhalb eines Monats nach der Mitteilung an den Schuldner urteilen, dass die getroffenen Maßnahmen den Fortbestand der wirtschaftlichen Tätigkeit über einen Mindestzeitraum von zwölf Monaten nicht gewährleisten, können der zertifizierte Buchprüfer, der zertifizierte Steuerberater, der Buchprüfer, der Buchprüfer-Fiskalist und der Betriebsrevisor den Präsidenten des Unternehmensgerichts schriftlich über ihre Feststellungen informieren.]</w:t>
      </w:r>
      <w:r w:rsidR="00453EBF" w:rsidRPr="004676F5">
        <w:rPr>
          <w:lang w:val="de-DE"/>
        </w:rPr>
        <w:t xml:space="preserve"> </w:t>
      </w:r>
      <w:r w:rsidR="00453EBF" w:rsidRPr="004676F5">
        <w:rPr>
          <w:iCs/>
          <w:lang w:val="de-DE"/>
        </w:rPr>
        <w:t>In diesem Fall ist Artikel 458 des Strafgesetzbuches nicht anwendbar.</w:t>
      </w:r>
    </w:p>
    <w:p w14:paraId="40EAEDB2" w14:textId="77777777" w:rsidR="00EE35E2" w:rsidRPr="004676F5" w:rsidRDefault="00EE35E2" w:rsidP="00EE35E2">
      <w:pPr>
        <w:ind w:firstLine="708"/>
        <w:jc w:val="both"/>
        <w:rPr>
          <w:lang w:val="de-DE"/>
        </w:rPr>
      </w:pPr>
    </w:p>
    <w:p w14:paraId="0FADA281" w14:textId="32888A2B"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Der König kann es öffentlichen Behörden erlauben oder auferlegen, Informationen an das Gericht zu übermitteln, sofern das Gericht diese Informationen benötigt, </w:t>
      </w:r>
      <w:r w:rsidR="009201DA" w:rsidRPr="004676F5">
        <w:rPr>
          <w:lang w:val="de-DE"/>
        </w:rPr>
        <w:t>[um die wirtschaftliche Lage der Unternehmen zu beurteilen oder damit das Unternehmen Kenntnis von der Dringlichkeit erlangen kann, Maßnahmen zu ergreifen]</w:t>
      </w:r>
      <w:r w:rsidRPr="004676F5">
        <w:rPr>
          <w:lang w:val="de-DE"/>
        </w:rPr>
        <w:t>.</w:t>
      </w:r>
    </w:p>
    <w:p w14:paraId="5B5B9AAD" w14:textId="6449BF5A" w:rsidR="00763745" w:rsidRPr="004676F5" w:rsidRDefault="00763745" w:rsidP="00EE35E2">
      <w:pPr>
        <w:ind w:firstLine="708"/>
        <w:jc w:val="both"/>
        <w:rPr>
          <w:lang w:val="de-DE"/>
        </w:rPr>
      </w:pPr>
    </w:p>
    <w:p w14:paraId="7C3EDE19" w14:textId="61087454" w:rsidR="00763745" w:rsidRPr="004676F5" w:rsidRDefault="00763745" w:rsidP="00763745">
      <w:pPr>
        <w:jc w:val="both"/>
        <w:rPr>
          <w:i/>
          <w:lang w:val="de-DE"/>
        </w:rPr>
      </w:pPr>
      <w:r w:rsidRPr="004676F5">
        <w:rPr>
          <w:i/>
          <w:lang w:val="de-DE"/>
        </w:rPr>
        <w:t>[Art. XX.23 § 3 abgeändert durch Art. 252 des G. vom 15. April 2018 (B.S. vom 27. April 2018)</w:t>
      </w:r>
      <w:r w:rsidR="009201DA" w:rsidRPr="004676F5">
        <w:rPr>
          <w:i/>
          <w:lang w:val="de-DE"/>
        </w:rPr>
        <w:t xml:space="preserve"> und Art. 28 Nr. 2 des G. vom 7. Juni 2023 (B.S. vom 7. Juli 2023); § 4 abgeändert durch Art. 28 Nr. 3 des G. vom 7. Juni 2023 (B.S. vom 7. Juli 2023)</w:t>
      </w:r>
      <w:r w:rsidRPr="004676F5">
        <w:rPr>
          <w:i/>
          <w:lang w:val="de-DE"/>
        </w:rPr>
        <w:t>]</w:t>
      </w:r>
    </w:p>
    <w:p w14:paraId="133FE45D" w14:textId="77777777" w:rsidR="00EE35E2" w:rsidRPr="004676F5" w:rsidRDefault="00EE35E2" w:rsidP="007C6C28">
      <w:pPr>
        <w:jc w:val="both"/>
        <w:rPr>
          <w:lang w:val="de-DE"/>
        </w:rPr>
      </w:pPr>
    </w:p>
    <w:p w14:paraId="55D8AF38" w14:textId="77777777" w:rsidR="007C6C28" w:rsidRPr="004676F5" w:rsidRDefault="007C6C28" w:rsidP="007C6C28">
      <w:pPr>
        <w:jc w:val="both"/>
        <w:rPr>
          <w:lang w:val="de-DE"/>
        </w:rPr>
      </w:pPr>
    </w:p>
    <w:p w14:paraId="57B62458" w14:textId="77777777" w:rsidR="007C6C28" w:rsidRPr="004676F5" w:rsidRDefault="007C6C28">
      <w:pPr>
        <w:rPr>
          <w:iCs/>
          <w:sz w:val="20"/>
          <w:szCs w:val="20"/>
          <w:lang w:val="de-DE"/>
        </w:rPr>
      </w:pPr>
      <w:r w:rsidRPr="004676F5">
        <w:rPr>
          <w:iCs/>
          <w:sz w:val="20"/>
          <w:szCs w:val="20"/>
          <w:lang w:val="de-DE"/>
        </w:rPr>
        <w:br w:type="page"/>
      </w:r>
    </w:p>
    <w:p w14:paraId="119C1DA6" w14:textId="2FCFF351" w:rsidR="007C6C28" w:rsidRPr="004676F5" w:rsidRDefault="007C6C28" w:rsidP="007C6C28">
      <w:pPr>
        <w:jc w:val="both"/>
        <w:rPr>
          <w:iCs/>
          <w:sz w:val="20"/>
          <w:szCs w:val="20"/>
          <w:lang w:val="de-DE"/>
        </w:rPr>
      </w:pPr>
      <w:r w:rsidRPr="004676F5">
        <w:rPr>
          <w:iCs/>
          <w:sz w:val="20"/>
          <w:szCs w:val="20"/>
          <w:lang w:val="de-DE"/>
        </w:rPr>
        <w:lastRenderedPageBreak/>
        <w:t>Ab dem 8. April 2026 (gemäß Art. 119 des G. vom 29. Februar 2024 </w:t>
      </w:r>
      <w:r w:rsidRPr="004676F5">
        <w:rPr>
          <w:i/>
          <w:sz w:val="20"/>
          <w:szCs w:val="20"/>
          <w:lang w:val="de-DE"/>
        </w:rPr>
        <w:t>(II)</w:t>
      </w:r>
      <w:r w:rsidRPr="004676F5">
        <w:rPr>
          <w:iCs/>
          <w:sz w:val="20"/>
          <w:szCs w:val="20"/>
          <w:lang w:val="de-DE"/>
        </w:rPr>
        <w:t xml:space="preserve"> (B.S. vom 8. April 2024)) lautet Art. XX.23 wie folgt:</w:t>
      </w:r>
    </w:p>
    <w:p w14:paraId="2D2A23D3" w14:textId="77777777" w:rsidR="007C6C28" w:rsidRPr="004676F5" w:rsidRDefault="007C6C28" w:rsidP="007C6C28">
      <w:pPr>
        <w:jc w:val="both"/>
        <w:rPr>
          <w:iCs/>
          <w:sz w:val="20"/>
          <w:szCs w:val="20"/>
          <w:lang w:val="de-DE"/>
        </w:rPr>
      </w:pPr>
    </w:p>
    <w:p w14:paraId="186844D9" w14:textId="33005BD6" w:rsidR="007C6C28" w:rsidRPr="004676F5" w:rsidRDefault="007C6C28" w:rsidP="007C6C28">
      <w:pPr>
        <w:jc w:val="both"/>
        <w:rPr>
          <w:iCs/>
          <w:sz w:val="20"/>
          <w:szCs w:val="20"/>
          <w:lang w:val="de-DE"/>
        </w:rPr>
      </w:pPr>
      <w:r w:rsidRPr="004676F5">
        <w:rPr>
          <w:iCs/>
          <w:sz w:val="20"/>
          <w:szCs w:val="20"/>
          <w:lang w:val="de-DE"/>
        </w:rPr>
        <w:t>"</w:t>
      </w:r>
      <w:r w:rsidRPr="004676F5">
        <w:rPr>
          <w:bCs/>
          <w:iCs/>
          <w:sz w:val="20"/>
          <w:szCs w:val="20"/>
          <w:lang w:val="de-DE"/>
        </w:rPr>
        <w:t>Art. XX.23</w:t>
      </w:r>
      <w:r w:rsidRPr="004676F5">
        <w:rPr>
          <w:iCs/>
          <w:sz w:val="20"/>
          <w:szCs w:val="20"/>
          <w:lang w:val="de-DE"/>
        </w:rPr>
        <w:t> - § 1 - Auf Verurteilung lautende Versäumnisurteile und kontradiktorische Urteile gegen Schuldner, die die geforderte Hauptsumme nicht angefochten haben, müssen der Kanzlei des Gerichts des Bereichs, in dem der Mittelpunkt ihrer hauptsächlichen Interessen gelegen ist, übermittelt werden.</w:t>
      </w:r>
    </w:p>
    <w:p w14:paraId="73260050" w14:textId="77777777" w:rsidR="007C6C28" w:rsidRPr="004676F5" w:rsidRDefault="007C6C28" w:rsidP="007C6C28">
      <w:pPr>
        <w:jc w:val="both"/>
        <w:rPr>
          <w:iCs/>
          <w:sz w:val="20"/>
          <w:szCs w:val="20"/>
          <w:lang w:val="de-DE"/>
        </w:rPr>
      </w:pPr>
    </w:p>
    <w:p w14:paraId="13E6E1D8" w14:textId="77777777" w:rsidR="007C6C28" w:rsidRPr="004676F5" w:rsidRDefault="007C6C28" w:rsidP="007C6C28">
      <w:pPr>
        <w:jc w:val="both"/>
        <w:rPr>
          <w:iCs/>
          <w:sz w:val="20"/>
          <w:szCs w:val="20"/>
          <w:lang w:val="de-DE"/>
        </w:rPr>
      </w:pPr>
      <w:r w:rsidRPr="004676F5">
        <w:rPr>
          <w:iCs/>
          <w:sz w:val="20"/>
          <w:szCs w:val="20"/>
          <w:lang w:val="de-DE"/>
        </w:rPr>
        <w:t>Der König bestimmt die Modalitäten für diese Übermittlung.</w:t>
      </w:r>
    </w:p>
    <w:p w14:paraId="1B72DAC9" w14:textId="77777777" w:rsidR="007C6C28" w:rsidRPr="004676F5" w:rsidRDefault="007C6C28" w:rsidP="007C6C28">
      <w:pPr>
        <w:jc w:val="both"/>
        <w:rPr>
          <w:iCs/>
          <w:sz w:val="20"/>
          <w:szCs w:val="20"/>
          <w:lang w:val="de-DE"/>
        </w:rPr>
      </w:pPr>
    </w:p>
    <w:p w14:paraId="20401728" w14:textId="77777777" w:rsidR="007C6C28" w:rsidRPr="004676F5" w:rsidRDefault="007C6C28" w:rsidP="007C6C28">
      <w:pPr>
        <w:jc w:val="both"/>
        <w:rPr>
          <w:iCs/>
          <w:sz w:val="20"/>
          <w:szCs w:val="20"/>
          <w:lang w:val="de-DE"/>
        </w:rPr>
      </w:pPr>
      <w:r w:rsidRPr="004676F5">
        <w:rPr>
          <w:iCs/>
          <w:sz w:val="20"/>
          <w:szCs w:val="20"/>
          <w:lang w:val="de-DE"/>
        </w:rPr>
        <w:t>Dies gilt ebenfalls für Urteile, mit denen ein Geschäftsmietvertrag zu Lasten des Mieters aufgelöst wird.</w:t>
      </w:r>
    </w:p>
    <w:p w14:paraId="55C50D9B" w14:textId="77777777" w:rsidR="007C6C28" w:rsidRPr="004676F5" w:rsidRDefault="007C6C28" w:rsidP="007C6C28">
      <w:pPr>
        <w:jc w:val="both"/>
        <w:rPr>
          <w:iCs/>
          <w:sz w:val="20"/>
          <w:szCs w:val="20"/>
          <w:lang w:val="de-DE"/>
        </w:rPr>
      </w:pPr>
    </w:p>
    <w:p w14:paraId="03A7D65E" w14:textId="77777777" w:rsidR="007C6C28" w:rsidRPr="004676F5" w:rsidRDefault="007C6C28" w:rsidP="007C6C28">
      <w:pPr>
        <w:jc w:val="both"/>
        <w:rPr>
          <w:iCs/>
          <w:sz w:val="20"/>
          <w:szCs w:val="20"/>
          <w:lang w:val="de-DE"/>
        </w:rPr>
      </w:pPr>
      <w:r w:rsidRPr="004676F5">
        <w:rPr>
          <w:iCs/>
          <w:sz w:val="20"/>
          <w:szCs w:val="20"/>
          <w:lang w:val="de-DE"/>
        </w:rPr>
        <w:t>§ 2 - Innerhalb eines Monats nach Ablauf jedes Quartals schickt das Landesamt für soziale Sicherheit eine Liste der Schuldner, die seit einem Quartal die geschuldeten Sozialversicherungsbeiträge nicht mehr gezahlt haben, an die Kanzlei des Gerichts des Bereichs, in dem der Mittelpunkt ihrer hauptsächlichen Interessen gelegen ist. Auf der Liste wird neben dem Namen des Schuldners auch die geschuldete Summe angegeben.</w:t>
      </w:r>
    </w:p>
    <w:p w14:paraId="58D78C91" w14:textId="77777777" w:rsidR="007C6C28" w:rsidRPr="004676F5" w:rsidRDefault="007C6C28" w:rsidP="007C6C28">
      <w:pPr>
        <w:jc w:val="both"/>
        <w:rPr>
          <w:iCs/>
          <w:sz w:val="20"/>
          <w:szCs w:val="20"/>
          <w:lang w:val="de-DE"/>
        </w:rPr>
      </w:pPr>
    </w:p>
    <w:p w14:paraId="60388E42" w14:textId="77777777" w:rsidR="007C6C28" w:rsidRPr="004676F5" w:rsidRDefault="007C6C28" w:rsidP="007C6C28">
      <w:pPr>
        <w:jc w:val="both"/>
        <w:rPr>
          <w:iCs/>
          <w:sz w:val="20"/>
          <w:szCs w:val="20"/>
          <w:lang w:val="de-DE"/>
        </w:rPr>
      </w:pPr>
      <w:r w:rsidRPr="004676F5">
        <w:rPr>
          <w:iCs/>
          <w:sz w:val="20"/>
          <w:szCs w:val="20"/>
          <w:lang w:val="de-DE"/>
        </w:rPr>
        <w:t>Innerhalb eines Monats nach Ablauf jedes Quartals schickt die Finanzverwaltung eine Liste der Schuldner, die seit einem Quartal die geschuldete Mehrwertsteuer oder den geschuldeten Berufssteuervorabzug nicht mehr gezahlt haben, an die Kanzlei des Gerichts des Bereichs, in dem der Mittelpunkt ihrer hauptsächlichen Interessen gelegen ist. Auf der Liste wird neben dem Namen des Schuldners auch die geschuldete Summe angegeben.</w:t>
      </w:r>
    </w:p>
    <w:p w14:paraId="74B67648" w14:textId="77777777" w:rsidR="007C6C28" w:rsidRPr="004676F5" w:rsidRDefault="007C6C28" w:rsidP="007C6C28">
      <w:pPr>
        <w:jc w:val="both"/>
        <w:rPr>
          <w:iCs/>
          <w:sz w:val="20"/>
          <w:szCs w:val="20"/>
          <w:lang w:val="de-DE"/>
        </w:rPr>
      </w:pPr>
    </w:p>
    <w:p w14:paraId="16E48F1C" w14:textId="77777777" w:rsidR="007C6C28" w:rsidRPr="004676F5" w:rsidRDefault="007C6C28" w:rsidP="007C6C28">
      <w:pPr>
        <w:jc w:val="both"/>
        <w:rPr>
          <w:iCs/>
          <w:sz w:val="20"/>
          <w:szCs w:val="20"/>
          <w:lang w:val="de-DE"/>
        </w:rPr>
      </w:pPr>
      <w:r w:rsidRPr="004676F5">
        <w:rPr>
          <w:iCs/>
          <w:sz w:val="20"/>
          <w:szCs w:val="20"/>
          <w:lang w:val="de-DE"/>
        </w:rPr>
        <w:t>Innerhalb eines Monats nach Ablauf jedes Quartals schickt das Landesinstitut der Sozialversicherungen für Selbständige eine Liste der Schuldner, die seit einem Quartal die geschuldeten Sozialversicherungsbeiträge nicht mehr gezahlt haben, an die Kanzlei des Gerichts des Bereichs, in dem der Mittelpunkt ihrer hauptsächlichen Interessen gelegen ist. Auf der Liste wird neben dem Namen des Schuldners auch die geschuldete Summe angegeben.</w:t>
      </w:r>
    </w:p>
    <w:p w14:paraId="5952EED3" w14:textId="77777777" w:rsidR="007C6C28" w:rsidRPr="004676F5" w:rsidRDefault="007C6C28" w:rsidP="007C6C28">
      <w:pPr>
        <w:jc w:val="both"/>
        <w:rPr>
          <w:iCs/>
          <w:sz w:val="20"/>
          <w:szCs w:val="20"/>
          <w:lang w:val="de-DE"/>
        </w:rPr>
      </w:pPr>
    </w:p>
    <w:p w14:paraId="5DA103B2" w14:textId="77777777" w:rsidR="007C6C28" w:rsidRPr="004676F5" w:rsidRDefault="007C6C28" w:rsidP="007C6C28">
      <w:pPr>
        <w:jc w:val="both"/>
        <w:rPr>
          <w:iCs/>
          <w:sz w:val="20"/>
          <w:szCs w:val="20"/>
          <w:lang w:val="de-DE"/>
        </w:rPr>
      </w:pPr>
      <w:r w:rsidRPr="004676F5">
        <w:rPr>
          <w:iCs/>
          <w:sz w:val="20"/>
          <w:szCs w:val="20"/>
          <w:lang w:val="de-DE"/>
        </w:rPr>
        <w:t>Der König bestimmt die Modalitäten für diese Übermittlung.</w:t>
      </w:r>
    </w:p>
    <w:p w14:paraId="0517A4DA" w14:textId="77777777" w:rsidR="007C6C28" w:rsidRPr="004676F5" w:rsidRDefault="007C6C28" w:rsidP="007C6C28">
      <w:pPr>
        <w:jc w:val="both"/>
        <w:rPr>
          <w:iCs/>
          <w:sz w:val="20"/>
          <w:szCs w:val="20"/>
          <w:lang w:val="de-DE"/>
        </w:rPr>
      </w:pPr>
    </w:p>
    <w:p w14:paraId="69203A8C" w14:textId="67BFA844" w:rsidR="007C6C28" w:rsidRPr="004676F5" w:rsidRDefault="007C6C28" w:rsidP="007C6C28">
      <w:pPr>
        <w:jc w:val="both"/>
        <w:rPr>
          <w:iCs/>
          <w:sz w:val="20"/>
          <w:szCs w:val="20"/>
          <w:lang w:val="de-DE"/>
        </w:rPr>
      </w:pPr>
      <w:r w:rsidRPr="004676F5">
        <w:rPr>
          <w:iCs/>
          <w:sz w:val="20"/>
          <w:szCs w:val="20"/>
          <w:lang w:val="de-DE"/>
        </w:rPr>
        <w:t>§ 3 - [Zertifizierte Buchprüfer, zertifizierte Steuerberater, Buchprüfer, Buchprüfer-Fiskalisten] und Betriebsrevisoren, die bei der Ausübung ihres Auftrags schwerwiegende und übereinstimmende Begebenheiten feststellen, [die auf eine wahrscheinliche Insolvenz hinweisen], teilen ihm dies auf ausführliche Weise gegebenenfalls über sein Verwaltungsorgan mit. [Wenn sie innerhalb eines Monats nach der Mitteilung an den Schuldner urteilen, dass die getroffenen Maßnahmen den Fortbestand der wirtschaftlichen Tätigkeit über einen Mindestzeitraum von zwölf Monaten nicht gewährleisten, können der zertifizierte Buchprüfer, der zertifizierte Steuerberater, der Buchprüfer, der Buchprüfer-Fiskalist und der Betriebsrevisor den Präsidenten des Unternehmensgerichts schriftlich über ihre Feststellungen informieren.] In diesem Fall ist [Artikel 352 des Strafgesetzbuches] nicht anwendbar.</w:t>
      </w:r>
    </w:p>
    <w:p w14:paraId="771BE2DC" w14:textId="14730E85" w:rsidR="007C6C28" w:rsidRPr="004676F5" w:rsidRDefault="007C6C28" w:rsidP="007C6C28">
      <w:pPr>
        <w:jc w:val="both"/>
        <w:rPr>
          <w:iCs/>
          <w:sz w:val="20"/>
          <w:szCs w:val="20"/>
          <w:lang w:val="de-DE"/>
        </w:rPr>
      </w:pPr>
    </w:p>
    <w:p w14:paraId="03DAFD73" w14:textId="77777777" w:rsidR="007C6C28" w:rsidRPr="004676F5" w:rsidRDefault="007C6C28" w:rsidP="007C6C28">
      <w:pPr>
        <w:jc w:val="both"/>
        <w:rPr>
          <w:iCs/>
          <w:sz w:val="20"/>
          <w:szCs w:val="20"/>
          <w:lang w:val="de-DE"/>
        </w:rPr>
      </w:pPr>
    </w:p>
    <w:p w14:paraId="0339CB12" w14:textId="77777777" w:rsidR="007C6C28" w:rsidRPr="004676F5" w:rsidRDefault="007C6C28" w:rsidP="007C6C28">
      <w:pPr>
        <w:jc w:val="both"/>
        <w:rPr>
          <w:iCs/>
          <w:sz w:val="20"/>
          <w:szCs w:val="20"/>
          <w:lang w:val="de-DE"/>
        </w:rPr>
      </w:pPr>
      <w:r w:rsidRPr="004676F5">
        <w:rPr>
          <w:iCs/>
          <w:sz w:val="20"/>
          <w:szCs w:val="20"/>
          <w:lang w:val="de-DE"/>
        </w:rPr>
        <w:t>§ 4 - Der König kann es öffentlichen Behörden erlauben oder auferlegen, Informationen an das Gericht zu übermitteln, sofern das Gericht diese Informationen benötigt, [um die wirtschaftliche Lage der Unternehmen zu beurteilen oder damit das Unternehmen Kenntnis von der Dringlichkeit erlangen kann, Maßnahmen zu ergreifen].</w:t>
      </w:r>
    </w:p>
    <w:p w14:paraId="5B301E0C" w14:textId="77777777" w:rsidR="007C6C28" w:rsidRPr="004676F5" w:rsidRDefault="007C6C28" w:rsidP="007C6C28">
      <w:pPr>
        <w:jc w:val="both"/>
        <w:rPr>
          <w:iCs/>
          <w:sz w:val="20"/>
          <w:szCs w:val="20"/>
          <w:lang w:val="de-DE"/>
        </w:rPr>
      </w:pPr>
    </w:p>
    <w:p w14:paraId="5FFD8827" w14:textId="502A7A14" w:rsidR="007C6C28" w:rsidRPr="004676F5" w:rsidRDefault="007C6C28" w:rsidP="007C6C28">
      <w:pPr>
        <w:jc w:val="both"/>
        <w:rPr>
          <w:sz w:val="20"/>
          <w:szCs w:val="20"/>
          <w:lang w:val="de-DE"/>
        </w:rPr>
      </w:pPr>
      <w:r w:rsidRPr="004676F5">
        <w:rPr>
          <w:i/>
          <w:iCs/>
          <w:sz w:val="20"/>
          <w:szCs w:val="20"/>
          <w:lang w:val="de-DE"/>
        </w:rPr>
        <w:t>[Art. XX.23 § 3 abgeändert durch Art. 252 des G. vom 15. April 2018 (B.S. vom 27. April 2018), Art. 28 Nr. 2 des G. vom 7. Juni 2023 (B.S. vom 7. Juli 2023) und Art. 110 des G. vom 29. Februar 2024 (II) (B.S. vom 8. April 2024); § 4 abgeändert durch Art. 28 Nr. 3 des G. vom 7. Juni 2023 (B.S. vom 7. Juli 2023)]</w:t>
      </w:r>
      <w:r w:rsidRPr="004676F5">
        <w:rPr>
          <w:sz w:val="20"/>
          <w:szCs w:val="20"/>
          <w:lang w:val="de-DE"/>
        </w:rPr>
        <w:t>"</w:t>
      </w:r>
    </w:p>
    <w:p w14:paraId="0B6A9D34" w14:textId="1C5D3030" w:rsidR="007C6C28" w:rsidRPr="004676F5" w:rsidRDefault="007C6C28" w:rsidP="007C6C28">
      <w:pPr>
        <w:jc w:val="both"/>
        <w:rPr>
          <w:lang w:val="de-DE"/>
        </w:rPr>
      </w:pPr>
    </w:p>
    <w:p w14:paraId="152891CA" w14:textId="77777777" w:rsidR="00DF5BE5" w:rsidRPr="004676F5" w:rsidRDefault="00DF5BE5" w:rsidP="00EE35E2">
      <w:pPr>
        <w:ind w:firstLine="708"/>
        <w:jc w:val="both"/>
        <w:rPr>
          <w:lang w:val="de-DE"/>
        </w:rPr>
      </w:pPr>
    </w:p>
    <w:p w14:paraId="3D916E07" w14:textId="77777777" w:rsidR="009201DA" w:rsidRPr="004676F5" w:rsidRDefault="009201DA">
      <w:pPr>
        <w:rPr>
          <w:b/>
          <w:lang w:val="de-DE"/>
        </w:rPr>
      </w:pPr>
      <w:r w:rsidRPr="004676F5">
        <w:rPr>
          <w:b/>
          <w:lang w:val="de-DE"/>
        </w:rPr>
        <w:br w:type="page"/>
      </w:r>
    </w:p>
    <w:p w14:paraId="506DA93B" w14:textId="1592D8BC"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XX.24</w:t>
      </w:r>
      <w:r w:rsidR="00EE35E2" w:rsidRPr="004676F5">
        <w:rPr>
          <w:lang w:val="de-DE"/>
        </w:rPr>
        <w:t> </w:t>
      </w:r>
      <w:r w:rsidR="005B7A5C" w:rsidRPr="004676F5">
        <w:rPr>
          <w:lang w:val="de-DE"/>
        </w:rPr>
        <w:t>- </w:t>
      </w:r>
      <w:r w:rsidR="009201DA" w:rsidRPr="004676F5">
        <w:rPr>
          <w:lang w:val="de-DE"/>
        </w:rPr>
        <w:t>[…]</w:t>
      </w:r>
    </w:p>
    <w:p w14:paraId="1A0214C7" w14:textId="77777777" w:rsidR="00EE35E2" w:rsidRPr="004676F5" w:rsidRDefault="00EE35E2" w:rsidP="00EE35E2">
      <w:pPr>
        <w:ind w:firstLine="708"/>
        <w:jc w:val="both"/>
        <w:rPr>
          <w:lang w:val="de-DE"/>
        </w:rPr>
      </w:pPr>
    </w:p>
    <w:p w14:paraId="32C09B0A" w14:textId="77777777" w:rsidR="009201DA" w:rsidRPr="004676F5" w:rsidRDefault="00763745">
      <w:pPr>
        <w:rPr>
          <w:i/>
          <w:lang w:val="de-DE"/>
        </w:rPr>
      </w:pPr>
      <w:r w:rsidRPr="004676F5">
        <w:rPr>
          <w:i/>
          <w:lang w:val="de-DE"/>
        </w:rPr>
        <w:t xml:space="preserve">[Art. XX.24 </w:t>
      </w:r>
      <w:r w:rsidR="009201DA" w:rsidRPr="004676F5">
        <w:rPr>
          <w:i/>
          <w:lang w:val="de-DE"/>
        </w:rPr>
        <w:t>aufgehoben durch Art. 29 des G. vom 7. Juni 2023 (B.S. vom 7. Juli 2023)</w:t>
      </w:r>
      <w:r w:rsidRPr="004676F5">
        <w:rPr>
          <w:i/>
          <w:lang w:val="de-DE"/>
        </w:rPr>
        <w:t>]</w:t>
      </w:r>
    </w:p>
    <w:p w14:paraId="3D3D4948" w14:textId="77777777" w:rsidR="009201DA" w:rsidRPr="004676F5" w:rsidRDefault="009201DA">
      <w:pPr>
        <w:rPr>
          <w:iCs/>
          <w:lang w:val="de-DE"/>
        </w:rPr>
      </w:pPr>
    </w:p>
    <w:p w14:paraId="3F777663" w14:textId="77777777" w:rsidR="009201DA" w:rsidRPr="004676F5" w:rsidRDefault="009201DA">
      <w:pPr>
        <w:rPr>
          <w:iCs/>
          <w:lang w:val="de-DE"/>
        </w:rPr>
      </w:pPr>
    </w:p>
    <w:p w14:paraId="4A9D6B43" w14:textId="77777777" w:rsidR="009201DA" w:rsidRPr="004676F5" w:rsidRDefault="009201DA" w:rsidP="009201DA">
      <w:pPr>
        <w:jc w:val="center"/>
        <w:rPr>
          <w:lang w:val="de-DE"/>
        </w:rPr>
      </w:pPr>
    </w:p>
    <w:p w14:paraId="2F31DF69" w14:textId="77777777" w:rsidR="009201DA" w:rsidRPr="004676F5" w:rsidRDefault="009201DA">
      <w:pPr>
        <w:rPr>
          <w:lang w:val="de-DE"/>
        </w:rPr>
      </w:pPr>
      <w:r w:rsidRPr="004676F5">
        <w:rPr>
          <w:lang w:val="de-DE"/>
        </w:rPr>
        <w:br w:type="page"/>
      </w:r>
    </w:p>
    <w:p w14:paraId="2AA37206" w14:textId="2DE46CE2" w:rsidR="00EE35E2" w:rsidRPr="004676F5" w:rsidRDefault="00EE35E2" w:rsidP="00EE35E2">
      <w:pPr>
        <w:jc w:val="center"/>
        <w:rPr>
          <w:lang w:val="de-DE"/>
        </w:rPr>
      </w:pPr>
      <w:r w:rsidRPr="004676F5">
        <w:rPr>
          <w:lang w:val="de-DE"/>
        </w:rPr>
        <w:lastRenderedPageBreak/>
        <w:t>KAPITEL 2 </w:t>
      </w:r>
      <w:r w:rsidR="005B7A5C" w:rsidRPr="004676F5">
        <w:rPr>
          <w:lang w:val="de-DE"/>
        </w:rPr>
        <w:t>- </w:t>
      </w:r>
      <w:r w:rsidRPr="004676F5">
        <w:rPr>
          <w:i/>
          <w:lang w:val="de-DE"/>
        </w:rPr>
        <w:t>Kammern für Unternehmen in Schwierigkeiten</w:t>
      </w:r>
    </w:p>
    <w:p w14:paraId="7397AC0D" w14:textId="77777777" w:rsidR="009201DA" w:rsidRPr="004676F5" w:rsidRDefault="009201DA" w:rsidP="009201DA">
      <w:pPr>
        <w:jc w:val="center"/>
        <w:rPr>
          <w:iCs/>
          <w:lang w:val="de-DE"/>
        </w:rPr>
      </w:pPr>
    </w:p>
    <w:p w14:paraId="37BBEA7F" w14:textId="77777777" w:rsidR="009201DA" w:rsidRPr="004676F5" w:rsidRDefault="009201DA" w:rsidP="009201DA">
      <w:pPr>
        <w:jc w:val="center"/>
        <w:rPr>
          <w:iCs/>
          <w:lang w:val="de-DE"/>
        </w:rPr>
      </w:pPr>
    </w:p>
    <w:p w14:paraId="45E2EE80" w14:textId="1CB06FC0" w:rsidR="009201DA" w:rsidRPr="004676F5" w:rsidRDefault="009201DA" w:rsidP="009201DA">
      <w:pPr>
        <w:jc w:val="center"/>
        <w:rPr>
          <w:lang w:val="de-DE"/>
        </w:rPr>
      </w:pPr>
      <w:r w:rsidRPr="004676F5">
        <w:rPr>
          <w:iCs/>
          <w:lang w:val="de-DE"/>
        </w:rPr>
        <w:t>[</w:t>
      </w:r>
      <w:r w:rsidRPr="004676F5">
        <w:rPr>
          <w:i/>
          <w:iCs/>
          <w:lang w:val="de-DE"/>
        </w:rPr>
        <w:t>Abschnitt 1</w:t>
      </w:r>
      <w:r w:rsidRPr="004676F5">
        <w:rPr>
          <w:lang w:val="de-DE"/>
        </w:rPr>
        <w:t> - Untersuchung von Amts wegen]</w:t>
      </w:r>
    </w:p>
    <w:p w14:paraId="4673D43E" w14:textId="77777777" w:rsidR="009201DA" w:rsidRPr="004676F5" w:rsidRDefault="009201DA" w:rsidP="009201DA">
      <w:pPr>
        <w:jc w:val="center"/>
        <w:rPr>
          <w:lang w:val="de-DE"/>
        </w:rPr>
      </w:pPr>
    </w:p>
    <w:p w14:paraId="39E54120" w14:textId="412204AE" w:rsidR="009201DA" w:rsidRPr="004676F5" w:rsidRDefault="009201DA" w:rsidP="009201DA">
      <w:pPr>
        <w:jc w:val="both"/>
        <w:rPr>
          <w:i/>
          <w:iCs/>
          <w:lang w:val="de-DE"/>
        </w:rPr>
      </w:pPr>
      <w:r w:rsidRPr="004676F5">
        <w:rPr>
          <w:i/>
          <w:iCs/>
          <w:lang w:val="de-DE"/>
        </w:rPr>
        <w:t>[Unterteilung Abschnitt 1 eingefügt durch Art. 30 des G. vom 7. Juni 2023 (B.S. vom 7. Juli 2023)]</w:t>
      </w:r>
    </w:p>
    <w:p w14:paraId="5B5A16E9" w14:textId="77777777" w:rsidR="00EE35E2" w:rsidRPr="004676F5" w:rsidRDefault="00EE35E2" w:rsidP="00EE35E2">
      <w:pPr>
        <w:jc w:val="both"/>
        <w:rPr>
          <w:lang w:val="de-DE"/>
        </w:rPr>
      </w:pPr>
    </w:p>
    <w:p w14:paraId="2A2DD478" w14:textId="77777777" w:rsidR="00DF5BE5" w:rsidRPr="004676F5" w:rsidRDefault="00DF5BE5" w:rsidP="00EE35E2">
      <w:pPr>
        <w:jc w:val="both"/>
        <w:rPr>
          <w:lang w:val="de-DE"/>
        </w:rPr>
      </w:pPr>
    </w:p>
    <w:p w14:paraId="3B3CC1AE" w14:textId="01C1BD8D" w:rsidR="00EE35E2" w:rsidRPr="004676F5" w:rsidRDefault="00BE0A56" w:rsidP="00EE35E2">
      <w:pPr>
        <w:ind w:firstLine="708"/>
        <w:jc w:val="both"/>
        <w:rPr>
          <w:lang w:val="de-DE"/>
        </w:rPr>
      </w:pPr>
      <w:r w:rsidRPr="004676F5">
        <w:rPr>
          <w:b/>
          <w:lang w:val="de-DE"/>
        </w:rPr>
        <w:t>Art. </w:t>
      </w:r>
      <w:r w:rsidR="00EE35E2" w:rsidRPr="004676F5">
        <w:rPr>
          <w:b/>
          <w:lang w:val="de-DE"/>
        </w:rPr>
        <w:t>XX.25</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Die in Artikel 84 Absatz 3 des Gerichtsgesetzbuches erwähnten Kammern für Unternehmen in Schwierigkeiten verfolgen die Situation der Schuldner, die sich in Schwierigkeiten befinden, um den Fortbestand ihrer Tätigkeiten zu ermöglichen und den Schutz der Rechte der Gläubiger zu sichern.</w:t>
      </w:r>
    </w:p>
    <w:p w14:paraId="24DF11FF" w14:textId="77777777" w:rsidR="00EE35E2" w:rsidRPr="004676F5" w:rsidRDefault="00EE35E2" w:rsidP="00EE35E2">
      <w:pPr>
        <w:ind w:firstLine="708"/>
        <w:jc w:val="both"/>
        <w:rPr>
          <w:lang w:val="de-DE"/>
        </w:rPr>
      </w:pPr>
    </w:p>
    <w:p w14:paraId="1CC218B0" w14:textId="693C85F1"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Eine Kammer für Unternehmen in Schwierigkeiten kann selbst die Untersuchung durchführen oder einen Richter-Berichterstatter mit der Untersuchung beauftragen. Es kann sich um einen Richter des Gerichts handeln, den Präsidenten ausgenommen, oder um einen </w:t>
      </w:r>
      <w:r w:rsidR="00330A85" w:rsidRPr="004676F5">
        <w:rPr>
          <w:lang w:val="de-DE"/>
        </w:rPr>
        <w:t>[Unternehmensrichter]</w:t>
      </w:r>
      <w:r w:rsidRPr="004676F5">
        <w:rPr>
          <w:lang w:val="de-DE"/>
        </w:rPr>
        <w:t>.</w:t>
      </w:r>
    </w:p>
    <w:p w14:paraId="5D39E27D" w14:textId="77777777" w:rsidR="00EE35E2" w:rsidRPr="004676F5" w:rsidRDefault="00EE35E2" w:rsidP="00EE35E2">
      <w:pPr>
        <w:ind w:firstLine="708"/>
        <w:jc w:val="both"/>
        <w:rPr>
          <w:lang w:val="de-DE"/>
        </w:rPr>
      </w:pPr>
    </w:p>
    <w:p w14:paraId="10B2CB5A" w14:textId="1F60C1F7" w:rsidR="00EE35E2" w:rsidRPr="004676F5" w:rsidRDefault="002D4A6F" w:rsidP="00EE35E2">
      <w:pPr>
        <w:ind w:firstLine="708"/>
        <w:jc w:val="both"/>
        <w:rPr>
          <w:lang w:val="de-DE"/>
        </w:rPr>
      </w:pPr>
      <w:r w:rsidRPr="004676F5">
        <w:rPr>
          <w:lang w:val="de-DE"/>
        </w:rPr>
        <w:t>[Ist die Kammer oder der Richter-Berichterstatter der Ansicht, dass eine Insolvenz des Schuldners wahrscheinlich ist, dass eine Absprache zwischen dem Schuldner und seinen Gläubigern angebracht ist oder die Auflösung der juristischen Person ausgesprochen werden kann gemäß dem Gesetzbuch der Gesellschaften und Vereinigungen, können sie den Schuldner vorladen und vernehmen, um jegliche Informationen über den Stand seiner Geschäfte und über mögliche Reorganisationsmaßnahmen zu erhalten.]</w:t>
      </w:r>
    </w:p>
    <w:p w14:paraId="362FEB6D" w14:textId="77777777" w:rsidR="00EE35E2" w:rsidRPr="004676F5" w:rsidRDefault="00EE35E2" w:rsidP="00EE35E2">
      <w:pPr>
        <w:ind w:firstLine="708"/>
        <w:jc w:val="both"/>
        <w:rPr>
          <w:lang w:val="de-DE"/>
        </w:rPr>
      </w:pPr>
    </w:p>
    <w:p w14:paraId="6767831F" w14:textId="091C673B" w:rsidR="00EE35E2" w:rsidRPr="004676F5" w:rsidRDefault="00EE35E2" w:rsidP="00EE35E2">
      <w:pPr>
        <w:ind w:firstLine="708"/>
        <w:jc w:val="both"/>
        <w:rPr>
          <w:lang w:val="de-DE"/>
        </w:rPr>
      </w:pPr>
      <w:r w:rsidRPr="004676F5">
        <w:rPr>
          <w:lang w:val="de-DE"/>
        </w:rPr>
        <w:t xml:space="preserve">In der Vorladung kann der Schuldner aufgefordert werden, vor der Sitzung bestimmte Daten und Informationen in Bezug auf sein Unternehmen </w:t>
      </w:r>
      <w:r w:rsidR="002D4A6F" w:rsidRPr="004676F5">
        <w:rPr>
          <w:lang w:val="de-DE"/>
        </w:rPr>
        <w:t>[</w:t>
      </w:r>
      <w:r w:rsidR="00B30591" w:rsidRPr="004676F5">
        <w:rPr>
          <w:lang w:val="de-DE"/>
        </w:rPr>
        <w:t>...</w:t>
      </w:r>
      <w:r w:rsidR="002D4A6F" w:rsidRPr="004676F5">
        <w:rPr>
          <w:lang w:val="de-DE"/>
        </w:rPr>
        <w:t>]</w:t>
      </w:r>
      <w:r w:rsidRPr="004676F5">
        <w:rPr>
          <w:lang w:val="de-DE"/>
        </w:rPr>
        <w:t xml:space="preserve"> im Register zu hinterlegen.</w:t>
      </w:r>
    </w:p>
    <w:p w14:paraId="091E23E4" w14:textId="77777777" w:rsidR="00EE35E2" w:rsidRPr="004676F5" w:rsidRDefault="00EE35E2" w:rsidP="00EE35E2">
      <w:pPr>
        <w:ind w:firstLine="708"/>
        <w:jc w:val="both"/>
        <w:rPr>
          <w:lang w:val="de-DE"/>
        </w:rPr>
      </w:pPr>
    </w:p>
    <w:p w14:paraId="64539D52" w14:textId="603A82CF" w:rsidR="00EE35E2" w:rsidRPr="004676F5" w:rsidRDefault="00EE35E2" w:rsidP="00EE35E2">
      <w:pPr>
        <w:ind w:firstLine="708"/>
        <w:jc w:val="both"/>
        <w:rPr>
          <w:lang w:val="de-DE"/>
        </w:rPr>
      </w:pPr>
      <w:r w:rsidRPr="004676F5">
        <w:rPr>
          <w:lang w:val="de-DE"/>
        </w:rPr>
        <w:t xml:space="preserve">Die Vorladung wird auf Betreiben des Greffiers </w:t>
      </w:r>
      <w:r w:rsidR="002D4A6F" w:rsidRPr="004676F5">
        <w:rPr>
          <w:lang w:val="de-DE"/>
        </w:rPr>
        <w:t>[an den Wohnsitz, den Sitz oder jeglichen Aufenthaltsort]</w:t>
      </w:r>
      <w:r w:rsidRPr="004676F5">
        <w:rPr>
          <w:lang w:val="de-DE"/>
        </w:rPr>
        <w:t xml:space="preserve"> des Schuldners gerichtet.</w:t>
      </w:r>
    </w:p>
    <w:p w14:paraId="76C7352B" w14:textId="77777777" w:rsidR="00EE35E2" w:rsidRPr="004676F5" w:rsidRDefault="00EE35E2" w:rsidP="00EE35E2">
      <w:pPr>
        <w:ind w:firstLine="708"/>
        <w:jc w:val="both"/>
        <w:rPr>
          <w:lang w:val="de-DE"/>
        </w:rPr>
      </w:pPr>
    </w:p>
    <w:p w14:paraId="534F9F6B" w14:textId="268B6238"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Die Untersuchung findet unter Ausschluss der Öffentlichkeit statt. Der Schuldner erscheint persönlich und kann sich gegebenenfalls von Personen seiner Wahl beistehen lassen.</w:t>
      </w:r>
    </w:p>
    <w:p w14:paraId="30A39BD2" w14:textId="77777777" w:rsidR="00EE35E2" w:rsidRPr="004676F5" w:rsidRDefault="00EE35E2" w:rsidP="00EE35E2">
      <w:pPr>
        <w:ind w:firstLine="708"/>
        <w:jc w:val="both"/>
        <w:rPr>
          <w:lang w:val="de-DE"/>
        </w:rPr>
      </w:pPr>
    </w:p>
    <w:p w14:paraId="0F9D99DD" w14:textId="608F62A4" w:rsidR="00EE35E2" w:rsidRPr="004676F5" w:rsidRDefault="00EE35E2" w:rsidP="00EE35E2">
      <w:pPr>
        <w:ind w:firstLine="708"/>
        <w:jc w:val="both"/>
        <w:rPr>
          <w:lang w:val="de-DE"/>
        </w:rPr>
      </w:pPr>
      <w:r w:rsidRPr="004676F5">
        <w:rPr>
          <w:lang w:val="de-DE"/>
        </w:rPr>
        <w:t xml:space="preserve">Die Kammer oder der Richter-Berichterstatter darf </w:t>
      </w:r>
      <w:r w:rsidR="008F4343" w:rsidRPr="004676F5">
        <w:rPr>
          <w:lang w:val="de-DE"/>
        </w:rPr>
        <w:t>[bei zertifizierten Buchprüfern, zertifizierten Steuerberatern, Buchprüfern, Buchprüfer-Fiskalisten]</w:t>
      </w:r>
      <w:r w:rsidRPr="004676F5">
        <w:rPr>
          <w:lang w:val="de-DE"/>
        </w:rPr>
        <w:t xml:space="preserve"> und Betriebs</w:t>
      </w:r>
      <w:r w:rsidRPr="004676F5">
        <w:rPr>
          <w:lang w:val="de-DE"/>
        </w:rPr>
        <w:softHyphen/>
        <w:t>revisoren des Schuldners Informationen über ihre Empfehlungen an den Schuldner und gegebenenfalls über die zur Gewährleistung des Fortbestands der wirtschaftlichen Tätigkeit getroffenen Maßnahmen einholen. In diesem Fall ist Artikel 458 des Strafgesetzbuches nicht anwendbar.</w:t>
      </w:r>
    </w:p>
    <w:p w14:paraId="2C246D35" w14:textId="77777777" w:rsidR="00EE35E2" w:rsidRPr="004676F5" w:rsidRDefault="00EE35E2" w:rsidP="00EE35E2">
      <w:pPr>
        <w:ind w:firstLine="708"/>
        <w:jc w:val="both"/>
        <w:rPr>
          <w:lang w:val="de-DE"/>
        </w:rPr>
      </w:pPr>
    </w:p>
    <w:p w14:paraId="0C7E4D65" w14:textId="77777777" w:rsidR="00EE35E2" w:rsidRPr="004676F5" w:rsidRDefault="00EE35E2" w:rsidP="00EE35E2">
      <w:pPr>
        <w:ind w:firstLine="708"/>
        <w:jc w:val="both"/>
        <w:rPr>
          <w:lang w:val="de-DE"/>
        </w:rPr>
      </w:pPr>
      <w:r w:rsidRPr="004676F5">
        <w:rPr>
          <w:lang w:val="de-DE"/>
        </w:rPr>
        <w:t>Ferner steht es der Kammer oder dem Richter-Berichterstatter frei, von Amts wegen alle Daten, die für seine Untersuchung nötig sind, zu erfassen. Sie können jegliche Personen, deren Vernehmung sie für erforderlich halten, vernehmen, selbst in Abwesenheit des Schuldners, und die Vorlage aller zweckdienlichen Daten und Informationen anordnen, gegebenenfalls über das Register. Der Schuldner kann andere Unterlagen seiner Wahl vorlegen.</w:t>
      </w:r>
    </w:p>
    <w:p w14:paraId="646BC593" w14:textId="77777777" w:rsidR="00EE35E2" w:rsidRPr="004676F5" w:rsidRDefault="00EE35E2" w:rsidP="00EE35E2">
      <w:pPr>
        <w:ind w:firstLine="708"/>
        <w:jc w:val="both"/>
        <w:rPr>
          <w:lang w:val="de-DE"/>
        </w:rPr>
      </w:pPr>
    </w:p>
    <w:p w14:paraId="158786D9" w14:textId="52217460" w:rsidR="00EE35E2" w:rsidRPr="004676F5" w:rsidRDefault="00EE35E2" w:rsidP="00EE35E2">
      <w:pPr>
        <w:ind w:firstLine="708"/>
        <w:jc w:val="both"/>
        <w:rPr>
          <w:lang w:val="de-DE"/>
        </w:rPr>
      </w:pPr>
      <w:r w:rsidRPr="004676F5">
        <w:rPr>
          <w:lang w:val="de-DE"/>
        </w:rPr>
        <w:t xml:space="preserve">Der Richter-Berichterstatter kann sich von Amts wegen zum </w:t>
      </w:r>
      <w:r w:rsidR="008F4343" w:rsidRPr="004676F5">
        <w:rPr>
          <w:lang w:val="de-DE"/>
        </w:rPr>
        <w:t>[S</w:t>
      </w:r>
      <w:r w:rsidRPr="004676F5">
        <w:rPr>
          <w:lang w:val="de-DE"/>
        </w:rPr>
        <w:t>itz</w:t>
      </w:r>
      <w:r w:rsidR="008F4343" w:rsidRPr="004676F5">
        <w:rPr>
          <w:lang w:val="de-DE"/>
        </w:rPr>
        <w:t>]</w:t>
      </w:r>
      <w:r w:rsidRPr="004676F5">
        <w:rPr>
          <w:lang w:val="de-DE"/>
        </w:rPr>
        <w:t xml:space="preserve"> oder gegebenenfalls zum Mittelpunkt der hauptsächlichen Interessen begeben, wenn der Schuldner nicht erschienen </w:t>
      </w:r>
      <w:r w:rsidRPr="004676F5">
        <w:rPr>
          <w:lang w:val="de-DE"/>
        </w:rPr>
        <w:lastRenderedPageBreak/>
        <w:t>ist. Zuvor benachrichtigt er die Kammer oder das Institut, wenn der Ortstermin bei einem Freiberufler zu erfolgen hat.</w:t>
      </w:r>
    </w:p>
    <w:p w14:paraId="0B4D02A2" w14:textId="77777777" w:rsidR="00EE35E2" w:rsidRPr="004676F5" w:rsidRDefault="00EE35E2" w:rsidP="00EE35E2">
      <w:pPr>
        <w:ind w:firstLine="708"/>
        <w:jc w:val="both"/>
        <w:rPr>
          <w:lang w:val="de-DE"/>
        </w:rPr>
      </w:pPr>
    </w:p>
    <w:p w14:paraId="246AC57D" w14:textId="77777777" w:rsidR="00EE35E2" w:rsidRPr="004676F5" w:rsidRDefault="00EE35E2" w:rsidP="00EE35E2">
      <w:pPr>
        <w:ind w:firstLine="708"/>
        <w:jc w:val="both"/>
        <w:rPr>
          <w:lang w:val="de-DE"/>
        </w:rPr>
      </w:pPr>
      <w:r w:rsidRPr="004676F5">
        <w:rPr>
          <w:lang w:val="de-DE"/>
        </w:rPr>
        <w:t>Die Hilfe eines Greffiers ist nicht erforderlich. Der Richter kann ein Protokoll über seine Feststellungen und die abgegebenen Erklärungen allein erstellen.</w:t>
      </w:r>
    </w:p>
    <w:p w14:paraId="2F270E93" w14:textId="7698D627" w:rsidR="00EE35E2" w:rsidRPr="004676F5" w:rsidRDefault="00EE35E2" w:rsidP="00330A85">
      <w:pPr>
        <w:jc w:val="both"/>
        <w:rPr>
          <w:lang w:val="de-DE"/>
        </w:rPr>
      </w:pPr>
    </w:p>
    <w:p w14:paraId="605C9A57" w14:textId="53C2F0A5" w:rsidR="00330A85" w:rsidRPr="004676F5" w:rsidRDefault="00330A85" w:rsidP="00330A85">
      <w:pPr>
        <w:jc w:val="both"/>
        <w:rPr>
          <w:i/>
          <w:lang w:val="de-DE"/>
        </w:rPr>
      </w:pPr>
      <w:r w:rsidRPr="004676F5">
        <w:rPr>
          <w:i/>
          <w:lang w:val="de-DE"/>
        </w:rPr>
        <w:t>[Art. XX.25 § 2 Abs. 1 abgeändert durch Art. 253 des G. vom 15. April 2018 (B.S. vom 27. April 2018)</w:t>
      </w:r>
      <w:r w:rsidR="008F4343" w:rsidRPr="004676F5">
        <w:rPr>
          <w:i/>
          <w:lang w:val="de-DE"/>
        </w:rPr>
        <w:t>; § 2 Abs. 2 ersetzt durch Art. 31 Nr. 1 des G. vom 7. Juni 2023 (B.S. vom 7. Juli 2023); § 2 Abs. 3 abgeändert durch Art. 31 Nr. 2 des G. vom 7. Juni 2023 (B.S. vom 7. Juli 2023); § 2 Abs. 4 abgeändert durch Art. 31 Nr. 3 des G. vom 7. Juni 2023 (B.S. vom 7. Juli 2023); § 3 Abs. 2 abgeändert durch Art. 31 Nr. 5 des G. vom 7. Juni 2023 (B.S. vom 7. Juli 2023); § 3 Abs. 4 abgeändert durch Art. 31 Nr. 7 des G. vom 7. Juni 2023 (B.S. vom 7. Juli 2023)</w:t>
      </w:r>
      <w:r w:rsidRPr="004676F5">
        <w:rPr>
          <w:i/>
          <w:lang w:val="de-DE"/>
        </w:rPr>
        <w:t>]</w:t>
      </w:r>
    </w:p>
    <w:p w14:paraId="703F3A7D" w14:textId="77777777" w:rsidR="00330A85" w:rsidRPr="004676F5" w:rsidRDefault="00330A85" w:rsidP="00330A85">
      <w:pPr>
        <w:jc w:val="both"/>
        <w:rPr>
          <w:i/>
          <w:lang w:val="de-DE"/>
        </w:rPr>
      </w:pPr>
    </w:p>
    <w:p w14:paraId="7F0B32E2" w14:textId="77777777" w:rsidR="00997F68" w:rsidRPr="004676F5" w:rsidRDefault="00997F68" w:rsidP="00330A85">
      <w:pPr>
        <w:jc w:val="both"/>
        <w:rPr>
          <w:iCs/>
          <w:lang w:val="de-DE"/>
        </w:rPr>
      </w:pPr>
    </w:p>
    <w:p w14:paraId="54A574C3" w14:textId="17D57807" w:rsidR="00997F68" w:rsidRPr="004676F5" w:rsidRDefault="00997F68" w:rsidP="00997F68">
      <w:pPr>
        <w:jc w:val="both"/>
        <w:rPr>
          <w:iCs/>
          <w:sz w:val="20"/>
          <w:szCs w:val="20"/>
          <w:lang w:val="de-DE"/>
        </w:rPr>
      </w:pPr>
      <w:r w:rsidRPr="004676F5">
        <w:rPr>
          <w:iCs/>
          <w:sz w:val="20"/>
          <w:szCs w:val="20"/>
          <w:lang w:val="de-DE"/>
        </w:rPr>
        <w:t>Ab dem 8. April 2026 (gemäß Art. 119 des G. vom 29. Februar 2024 </w:t>
      </w:r>
      <w:r w:rsidRPr="004676F5">
        <w:rPr>
          <w:i/>
          <w:sz w:val="20"/>
          <w:szCs w:val="20"/>
          <w:lang w:val="de-DE"/>
        </w:rPr>
        <w:t>(II)</w:t>
      </w:r>
      <w:r w:rsidRPr="004676F5">
        <w:rPr>
          <w:iCs/>
          <w:sz w:val="20"/>
          <w:szCs w:val="20"/>
          <w:lang w:val="de-DE"/>
        </w:rPr>
        <w:t xml:space="preserve"> (B.S. vom 8. April 2024)) lautet Art. XX.25 wie folgt:</w:t>
      </w:r>
    </w:p>
    <w:p w14:paraId="6A7D38ED" w14:textId="77777777" w:rsidR="00997F68" w:rsidRPr="004676F5" w:rsidRDefault="00997F68" w:rsidP="00997F68">
      <w:pPr>
        <w:jc w:val="both"/>
        <w:rPr>
          <w:iCs/>
          <w:sz w:val="20"/>
          <w:szCs w:val="20"/>
          <w:lang w:val="de-DE"/>
        </w:rPr>
      </w:pPr>
    </w:p>
    <w:p w14:paraId="43E220B9" w14:textId="7B39AD28" w:rsidR="00997F68" w:rsidRPr="004676F5" w:rsidRDefault="00997F68" w:rsidP="00997F68">
      <w:pPr>
        <w:jc w:val="both"/>
        <w:rPr>
          <w:iCs/>
          <w:sz w:val="20"/>
          <w:szCs w:val="20"/>
          <w:lang w:val="de-DE"/>
        </w:rPr>
      </w:pPr>
      <w:r w:rsidRPr="004676F5">
        <w:rPr>
          <w:iCs/>
          <w:sz w:val="20"/>
          <w:szCs w:val="20"/>
          <w:lang w:val="de-DE"/>
        </w:rPr>
        <w:t>"</w:t>
      </w:r>
      <w:r w:rsidRPr="004676F5">
        <w:rPr>
          <w:bCs/>
          <w:iCs/>
          <w:sz w:val="20"/>
          <w:szCs w:val="20"/>
          <w:lang w:val="de-DE"/>
        </w:rPr>
        <w:t>Art. XX.25</w:t>
      </w:r>
      <w:r w:rsidRPr="004676F5">
        <w:rPr>
          <w:iCs/>
          <w:sz w:val="20"/>
          <w:szCs w:val="20"/>
          <w:lang w:val="de-DE"/>
        </w:rPr>
        <w:t> - § 1 - Die in Artikel 84 Absatz 3 des Gerichtsgesetzbuches erwähnten Kammern für Unternehmen in Schwierigkeiten verfolgen die Situation der Schuldner, die sich in Schwierigkeiten befinden, um den Fortbestand ihrer Tätigkeiten zu ermöglichen und den Schutz der Rechte der Gläubiger zu sichern.</w:t>
      </w:r>
    </w:p>
    <w:p w14:paraId="550E3465" w14:textId="77777777" w:rsidR="00997F68" w:rsidRPr="004676F5" w:rsidRDefault="00997F68" w:rsidP="00997F68">
      <w:pPr>
        <w:jc w:val="both"/>
        <w:rPr>
          <w:iCs/>
          <w:sz w:val="20"/>
          <w:szCs w:val="20"/>
          <w:lang w:val="de-DE"/>
        </w:rPr>
      </w:pPr>
    </w:p>
    <w:p w14:paraId="1CFCE2B5" w14:textId="77777777" w:rsidR="00997F68" w:rsidRPr="004676F5" w:rsidRDefault="00997F68" w:rsidP="00997F68">
      <w:pPr>
        <w:jc w:val="both"/>
        <w:rPr>
          <w:iCs/>
          <w:sz w:val="20"/>
          <w:szCs w:val="20"/>
          <w:lang w:val="de-DE"/>
        </w:rPr>
      </w:pPr>
      <w:r w:rsidRPr="004676F5">
        <w:rPr>
          <w:iCs/>
          <w:sz w:val="20"/>
          <w:szCs w:val="20"/>
          <w:lang w:val="de-DE"/>
        </w:rPr>
        <w:t>§ 2 - Eine Kammer für Unternehmen in Schwierigkeiten kann selbst die Untersuchung durchführen oder einen Richter-Berichterstatter mit der Untersuchung beauftragen. Es kann sich um einen Richter des Gerichts handeln, den Präsidenten ausgenommen, oder um einen [Unternehmensrichter].</w:t>
      </w:r>
    </w:p>
    <w:p w14:paraId="2C91EF54" w14:textId="77777777" w:rsidR="00997F68" w:rsidRPr="004676F5" w:rsidRDefault="00997F68" w:rsidP="00997F68">
      <w:pPr>
        <w:jc w:val="both"/>
        <w:rPr>
          <w:iCs/>
          <w:sz w:val="20"/>
          <w:szCs w:val="20"/>
          <w:lang w:val="de-DE"/>
        </w:rPr>
      </w:pPr>
    </w:p>
    <w:p w14:paraId="75973E7B" w14:textId="77777777" w:rsidR="00997F68" w:rsidRPr="004676F5" w:rsidRDefault="00997F68" w:rsidP="00997F68">
      <w:pPr>
        <w:jc w:val="both"/>
        <w:rPr>
          <w:iCs/>
          <w:sz w:val="20"/>
          <w:szCs w:val="20"/>
          <w:lang w:val="de-DE"/>
        </w:rPr>
      </w:pPr>
      <w:r w:rsidRPr="004676F5">
        <w:rPr>
          <w:iCs/>
          <w:sz w:val="20"/>
          <w:szCs w:val="20"/>
          <w:lang w:val="de-DE"/>
        </w:rPr>
        <w:t>[Ist die Kammer oder der Richter-Berichterstatter der Ansicht, dass eine Insolvenz des Schuldners wahrscheinlich ist, dass eine Absprache zwischen dem Schuldner und seinen Gläubigern angebracht ist oder die Auflösung der juristischen Person ausgesprochen werden kann gemäß dem Gesetzbuch der Gesellschaften und Vereinigungen, können sie den Schuldner vorladen und vernehmen, um jegliche Informationen über den Stand seiner Geschäfte und über mögliche Reorganisationsmaßnahmen zu erhalten.]</w:t>
      </w:r>
    </w:p>
    <w:p w14:paraId="4644F423" w14:textId="77777777" w:rsidR="00997F68" w:rsidRPr="004676F5" w:rsidRDefault="00997F68" w:rsidP="00997F68">
      <w:pPr>
        <w:jc w:val="both"/>
        <w:rPr>
          <w:iCs/>
          <w:sz w:val="20"/>
          <w:szCs w:val="20"/>
          <w:lang w:val="de-DE"/>
        </w:rPr>
      </w:pPr>
    </w:p>
    <w:p w14:paraId="5E56BB81" w14:textId="77777777" w:rsidR="00997F68" w:rsidRPr="004676F5" w:rsidRDefault="00997F68" w:rsidP="00997F68">
      <w:pPr>
        <w:jc w:val="both"/>
        <w:rPr>
          <w:iCs/>
          <w:sz w:val="20"/>
          <w:szCs w:val="20"/>
          <w:lang w:val="de-DE"/>
        </w:rPr>
      </w:pPr>
      <w:r w:rsidRPr="004676F5">
        <w:rPr>
          <w:iCs/>
          <w:sz w:val="20"/>
          <w:szCs w:val="20"/>
          <w:lang w:val="de-DE"/>
        </w:rPr>
        <w:t>In der Vorladung kann der Schuldner aufgefordert werden, vor der Sitzung bestimmte Daten und Informationen in Bezug auf sein Unternehmen [...] im Register zu hinterlegen.</w:t>
      </w:r>
    </w:p>
    <w:p w14:paraId="40642712" w14:textId="77777777" w:rsidR="00997F68" w:rsidRPr="004676F5" w:rsidRDefault="00997F68" w:rsidP="00997F68">
      <w:pPr>
        <w:jc w:val="both"/>
        <w:rPr>
          <w:iCs/>
          <w:sz w:val="20"/>
          <w:szCs w:val="20"/>
          <w:lang w:val="de-DE"/>
        </w:rPr>
      </w:pPr>
    </w:p>
    <w:p w14:paraId="5D3BA3E5" w14:textId="77777777" w:rsidR="00997F68" w:rsidRPr="004676F5" w:rsidRDefault="00997F68" w:rsidP="00997F68">
      <w:pPr>
        <w:jc w:val="both"/>
        <w:rPr>
          <w:iCs/>
          <w:sz w:val="20"/>
          <w:szCs w:val="20"/>
          <w:lang w:val="de-DE"/>
        </w:rPr>
      </w:pPr>
      <w:r w:rsidRPr="004676F5">
        <w:rPr>
          <w:iCs/>
          <w:sz w:val="20"/>
          <w:szCs w:val="20"/>
          <w:lang w:val="de-DE"/>
        </w:rPr>
        <w:t>Die Vorladung wird auf Betreiben des Greffiers [an den Wohnsitz, den Sitz oder jeglichen Aufenthaltsort] des Schuldners gerichtet.</w:t>
      </w:r>
    </w:p>
    <w:p w14:paraId="540B7789" w14:textId="77777777" w:rsidR="00997F68" w:rsidRPr="004676F5" w:rsidRDefault="00997F68" w:rsidP="00997F68">
      <w:pPr>
        <w:jc w:val="both"/>
        <w:rPr>
          <w:iCs/>
          <w:sz w:val="20"/>
          <w:szCs w:val="20"/>
          <w:lang w:val="de-DE"/>
        </w:rPr>
      </w:pPr>
    </w:p>
    <w:p w14:paraId="56F59976" w14:textId="77777777" w:rsidR="00997F68" w:rsidRPr="004676F5" w:rsidRDefault="00997F68" w:rsidP="00997F68">
      <w:pPr>
        <w:jc w:val="both"/>
        <w:rPr>
          <w:iCs/>
          <w:sz w:val="20"/>
          <w:szCs w:val="20"/>
          <w:lang w:val="de-DE"/>
        </w:rPr>
      </w:pPr>
      <w:r w:rsidRPr="004676F5">
        <w:rPr>
          <w:iCs/>
          <w:sz w:val="20"/>
          <w:szCs w:val="20"/>
          <w:lang w:val="de-DE"/>
        </w:rPr>
        <w:t>§ 3 - Die Untersuchung findet unter Ausschluss der Öffentlichkeit statt. Der Schuldner erscheint persönlich und kann sich gegebenenfalls von Personen seiner Wahl beistehen lassen.</w:t>
      </w:r>
    </w:p>
    <w:p w14:paraId="270D23C7" w14:textId="77777777" w:rsidR="00997F68" w:rsidRPr="004676F5" w:rsidRDefault="00997F68" w:rsidP="00997F68">
      <w:pPr>
        <w:jc w:val="both"/>
        <w:rPr>
          <w:iCs/>
          <w:sz w:val="20"/>
          <w:szCs w:val="20"/>
          <w:lang w:val="de-DE"/>
        </w:rPr>
      </w:pPr>
    </w:p>
    <w:p w14:paraId="3E224FF3" w14:textId="091CCAA8" w:rsidR="00997F68" w:rsidRPr="004676F5" w:rsidRDefault="00997F68" w:rsidP="00997F68">
      <w:pPr>
        <w:jc w:val="both"/>
        <w:rPr>
          <w:iCs/>
          <w:sz w:val="20"/>
          <w:szCs w:val="20"/>
          <w:lang w:val="de-DE"/>
        </w:rPr>
      </w:pPr>
      <w:r w:rsidRPr="004676F5">
        <w:rPr>
          <w:iCs/>
          <w:sz w:val="20"/>
          <w:szCs w:val="20"/>
          <w:lang w:val="de-DE"/>
        </w:rPr>
        <w:t>Die Kammer oder der Richter-Berichterstatter darf [bei zertifizierten Buchprüfern, zertifizierten Steuerberatern, Buchprüfern, Buchprüfer-Fiskalisten] und Betriebs</w:t>
      </w:r>
      <w:r w:rsidRPr="004676F5">
        <w:rPr>
          <w:iCs/>
          <w:sz w:val="20"/>
          <w:szCs w:val="20"/>
          <w:lang w:val="de-DE"/>
        </w:rPr>
        <w:softHyphen/>
        <w:t>revisoren des Schuldners Informationen über ihre Empfehlungen an den Schuldner und gegebenenfalls über die zur Gewährleistung des Fortbestands der wirtschaftlichen Tätigkeit getroffenen Maßnahmen einholen. In diesem Fall ist [Artikel 352 des Strafgesetzbuches] nicht anwendbar.</w:t>
      </w:r>
    </w:p>
    <w:p w14:paraId="45620221" w14:textId="77777777" w:rsidR="00997F68" w:rsidRPr="004676F5" w:rsidRDefault="00997F68" w:rsidP="00997F68">
      <w:pPr>
        <w:jc w:val="both"/>
        <w:rPr>
          <w:iCs/>
          <w:sz w:val="20"/>
          <w:szCs w:val="20"/>
          <w:lang w:val="de-DE"/>
        </w:rPr>
      </w:pPr>
    </w:p>
    <w:p w14:paraId="5BF8988F" w14:textId="77777777" w:rsidR="00997F68" w:rsidRPr="004676F5" w:rsidRDefault="00997F68" w:rsidP="00997F68">
      <w:pPr>
        <w:jc w:val="both"/>
        <w:rPr>
          <w:iCs/>
          <w:sz w:val="20"/>
          <w:szCs w:val="20"/>
          <w:lang w:val="de-DE"/>
        </w:rPr>
      </w:pPr>
      <w:r w:rsidRPr="004676F5">
        <w:rPr>
          <w:iCs/>
          <w:sz w:val="20"/>
          <w:szCs w:val="20"/>
          <w:lang w:val="de-DE"/>
        </w:rPr>
        <w:t>Ferner steht es der Kammer oder dem Richter-Berichterstatter frei, von Amts wegen alle Daten, die für seine Untersuchung nötig sind, zu erfassen. Sie können jegliche Personen, deren Vernehmung sie für erforderlich halten, vernehmen, selbst in Abwesenheit des Schuldners, und die Vorlage aller zweckdienlichen Daten und Informationen anordnen, gegebenenfalls über das Register. Der Schuldner kann andere Unterlagen seiner Wahl vorlegen.</w:t>
      </w:r>
    </w:p>
    <w:p w14:paraId="6B01875B" w14:textId="77777777" w:rsidR="00997F68" w:rsidRPr="004676F5" w:rsidRDefault="00997F68" w:rsidP="00997F68">
      <w:pPr>
        <w:jc w:val="both"/>
        <w:rPr>
          <w:iCs/>
          <w:sz w:val="20"/>
          <w:szCs w:val="20"/>
          <w:lang w:val="de-DE"/>
        </w:rPr>
      </w:pPr>
    </w:p>
    <w:p w14:paraId="34B28CFE" w14:textId="77777777" w:rsidR="00997F68" w:rsidRPr="004676F5" w:rsidRDefault="00997F68" w:rsidP="00997F68">
      <w:pPr>
        <w:jc w:val="both"/>
        <w:rPr>
          <w:iCs/>
          <w:sz w:val="20"/>
          <w:szCs w:val="20"/>
          <w:lang w:val="de-DE"/>
        </w:rPr>
      </w:pPr>
      <w:r w:rsidRPr="004676F5">
        <w:rPr>
          <w:iCs/>
          <w:sz w:val="20"/>
          <w:szCs w:val="20"/>
          <w:lang w:val="de-DE"/>
        </w:rPr>
        <w:t>Der Richter-Berichterstatter kann sich von Amts wegen zum [Sitz] oder gegebenenfalls zum Mittelpunkt der hauptsächlichen Interessen begeben, wenn der Schuldner nicht erschienen ist. Zuvor benachrichtigt er die Kammer oder das Institut, wenn der Ortstermin bei einem Freiberufler zu erfolgen hat.</w:t>
      </w:r>
    </w:p>
    <w:p w14:paraId="40D7CB82" w14:textId="77777777" w:rsidR="00997F68" w:rsidRPr="004676F5" w:rsidRDefault="00997F68" w:rsidP="00997F68">
      <w:pPr>
        <w:jc w:val="both"/>
        <w:rPr>
          <w:iCs/>
          <w:sz w:val="20"/>
          <w:szCs w:val="20"/>
          <w:lang w:val="de-DE"/>
        </w:rPr>
      </w:pPr>
    </w:p>
    <w:p w14:paraId="31A70EE6" w14:textId="77777777" w:rsidR="00997F68" w:rsidRPr="004676F5" w:rsidRDefault="00997F68" w:rsidP="00997F68">
      <w:pPr>
        <w:jc w:val="both"/>
        <w:rPr>
          <w:iCs/>
          <w:sz w:val="20"/>
          <w:szCs w:val="20"/>
          <w:lang w:val="de-DE"/>
        </w:rPr>
      </w:pPr>
      <w:r w:rsidRPr="004676F5">
        <w:rPr>
          <w:iCs/>
          <w:sz w:val="20"/>
          <w:szCs w:val="20"/>
          <w:lang w:val="de-DE"/>
        </w:rPr>
        <w:lastRenderedPageBreak/>
        <w:t>Die Hilfe eines Greffiers ist nicht erforderlich. Der Richter kann ein Protokoll über seine Feststellungen und die abgegebenen Erklärungen allein erstellen.</w:t>
      </w:r>
    </w:p>
    <w:p w14:paraId="70F34AC5" w14:textId="77777777" w:rsidR="00997F68" w:rsidRPr="004676F5" w:rsidRDefault="00997F68" w:rsidP="00997F68">
      <w:pPr>
        <w:jc w:val="both"/>
        <w:rPr>
          <w:iCs/>
          <w:sz w:val="20"/>
          <w:szCs w:val="20"/>
          <w:lang w:val="de-DE"/>
        </w:rPr>
      </w:pPr>
    </w:p>
    <w:p w14:paraId="408850C4" w14:textId="6851F913" w:rsidR="00997F68" w:rsidRPr="004676F5" w:rsidRDefault="00997F68" w:rsidP="00997F68">
      <w:pPr>
        <w:jc w:val="both"/>
        <w:rPr>
          <w:spacing w:val="2"/>
          <w:sz w:val="20"/>
          <w:szCs w:val="20"/>
          <w:lang w:val="de-DE"/>
        </w:rPr>
      </w:pPr>
      <w:r w:rsidRPr="004676F5">
        <w:rPr>
          <w:i/>
          <w:iCs/>
          <w:spacing w:val="2"/>
          <w:sz w:val="20"/>
          <w:szCs w:val="20"/>
          <w:lang w:val="de-DE"/>
        </w:rPr>
        <w:t>[Art. XX.25 § 2 Abs. 1 abgeändert durch Art. 253 des G. vom 15. April 2018 (B.S. vom 27. April 2018); § 2 Abs. 2 ersetzt durch Art. 31 Nr. 1 des G. vom 7. Juni 2023 (B.S. vom 7. Juli 2023); § 2 Abs. 3 abgeändert durch Art. 31 Nr. 2 des G. vom 7. Juni 2023 (B.S. vom 7. Juli 2023); § 2 Abs. 4 abgeändert durch Art. 31 Nr. 3 des G. vom 7. Juni 2023 (B.S. vom 7. Juli 2023); § 3 Abs. 2 abgeändert durch Art. 31 Nr. 5 des G. vom 7. Juni 2023 (B.S. vom 7. Juli 2023) und Art. 111 des G. vom 29. Februar 2024 (II) (B.S. vom 8. April 2024); § 3 Abs. 4 abgeändert durch Art. 31 Nr. 7 des G. vom 7. Juni 2023 (B.S. vom 7. Juli 2023)]</w:t>
      </w:r>
      <w:r w:rsidRPr="004676F5">
        <w:rPr>
          <w:spacing w:val="2"/>
          <w:sz w:val="20"/>
          <w:szCs w:val="20"/>
          <w:lang w:val="de-DE"/>
        </w:rPr>
        <w:t>"</w:t>
      </w:r>
    </w:p>
    <w:p w14:paraId="3F2F67E2" w14:textId="488F49F1" w:rsidR="00997F68" w:rsidRPr="004676F5" w:rsidRDefault="00997F68" w:rsidP="00997F68">
      <w:pPr>
        <w:jc w:val="both"/>
        <w:rPr>
          <w:iCs/>
          <w:lang w:val="de-DE"/>
        </w:rPr>
      </w:pPr>
    </w:p>
    <w:p w14:paraId="0866DFCB" w14:textId="77777777" w:rsidR="00DF5BE5" w:rsidRPr="004676F5" w:rsidRDefault="00DF5BE5" w:rsidP="00EE35E2">
      <w:pPr>
        <w:ind w:firstLine="708"/>
        <w:jc w:val="both"/>
        <w:rPr>
          <w:lang w:val="de-DE"/>
        </w:rPr>
      </w:pPr>
    </w:p>
    <w:p w14:paraId="6DA41FAC" w14:textId="5E9339BB" w:rsidR="00EE35E2" w:rsidRPr="004676F5" w:rsidRDefault="00BE0A56" w:rsidP="00EE35E2">
      <w:pPr>
        <w:ind w:firstLine="708"/>
        <w:jc w:val="both"/>
        <w:rPr>
          <w:lang w:val="de-DE"/>
        </w:rPr>
      </w:pPr>
      <w:r w:rsidRPr="004676F5">
        <w:rPr>
          <w:b/>
          <w:lang w:val="de-DE"/>
        </w:rPr>
        <w:t>Art. </w:t>
      </w:r>
      <w:r w:rsidR="00EE35E2" w:rsidRPr="004676F5">
        <w:rPr>
          <w:b/>
          <w:lang w:val="de-DE"/>
        </w:rPr>
        <w:t>XX.26</w:t>
      </w:r>
      <w:r w:rsidR="00EE35E2" w:rsidRPr="004676F5">
        <w:rPr>
          <w:lang w:val="de-DE"/>
        </w:rPr>
        <w:t> </w:t>
      </w:r>
      <w:r w:rsidR="005B7A5C" w:rsidRPr="004676F5">
        <w:rPr>
          <w:lang w:val="de-DE"/>
        </w:rPr>
        <w:t>- </w:t>
      </w:r>
      <w:r w:rsidR="00EE35E2" w:rsidRPr="004676F5">
        <w:rPr>
          <w:lang w:val="de-DE"/>
        </w:rPr>
        <w:t>Dem Prokurator des Königs und dem Schuldner können jederzeit die während der Untersuchung erfassten Daten und der in Artikel XX.28 erwähnte Bericht mitgeteilt werden. Der Richter-Berichterstatter oder der Kammervorsitzende bestimmt jedoch, welche Daten nicht mitgeteilt werden dürfen, wenn durch ihre Verbreitung das Berufs</w:t>
      </w:r>
      <w:r w:rsidR="00EE35E2" w:rsidRPr="004676F5">
        <w:rPr>
          <w:lang w:val="de-DE"/>
        </w:rPr>
        <w:softHyphen/>
        <w:t>geheimnis des Schuldners verletzt würde.</w:t>
      </w:r>
    </w:p>
    <w:p w14:paraId="4C5FFAC7" w14:textId="77777777" w:rsidR="00EE35E2" w:rsidRPr="004676F5" w:rsidRDefault="00EE35E2" w:rsidP="00EE35E2">
      <w:pPr>
        <w:ind w:firstLine="708"/>
        <w:jc w:val="both"/>
        <w:rPr>
          <w:lang w:val="de-DE"/>
        </w:rPr>
      </w:pPr>
    </w:p>
    <w:p w14:paraId="19247059" w14:textId="77777777" w:rsidR="00DF5BE5" w:rsidRPr="004676F5" w:rsidRDefault="00DF5BE5" w:rsidP="00EE35E2">
      <w:pPr>
        <w:ind w:firstLine="708"/>
        <w:jc w:val="both"/>
        <w:rPr>
          <w:lang w:val="de-DE"/>
        </w:rPr>
      </w:pPr>
    </w:p>
    <w:p w14:paraId="25F6C7D2" w14:textId="07E09288" w:rsidR="00EE35E2" w:rsidRPr="004676F5" w:rsidRDefault="00BE0A56" w:rsidP="00EE35E2">
      <w:pPr>
        <w:ind w:firstLine="708"/>
        <w:jc w:val="both"/>
        <w:rPr>
          <w:lang w:val="de-DE"/>
        </w:rPr>
      </w:pPr>
      <w:r w:rsidRPr="004676F5">
        <w:rPr>
          <w:b/>
          <w:lang w:val="de-DE"/>
        </w:rPr>
        <w:t>Art. </w:t>
      </w:r>
      <w:r w:rsidR="00EE35E2" w:rsidRPr="004676F5">
        <w:rPr>
          <w:b/>
          <w:lang w:val="de-DE"/>
        </w:rPr>
        <w:t>XX.27</w:t>
      </w:r>
      <w:r w:rsidR="00EE35E2" w:rsidRPr="004676F5">
        <w:rPr>
          <w:lang w:val="de-DE"/>
        </w:rPr>
        <w:t> </w:t>
      </w:r>
      <w:r w:rsidR="005B7A5C" w:rsidRPr="004676F5">
        <w:rPr>
          <w:lang w:val="de-DE"/>
        </w:rPr>
        <w:t>- </w:t>
      </w:r>
      <w:r w:rsidR="00EE35E2" w:rsidRPr="004676F5">
        <w:rPr>
          <w:lang w:val="de-DE"/>
        </w:rPr>
        <w:t>Gemäß den vom König festgelegten Modalitäten kann das Gericht erfasste Daten ebenfalls mit öffentlichen oder privaten Einrichtungen austauschen, die von der zuständigen Behörde bestimmt oder zugelassen worden sind, um Unternehmen in Schwierig</w:t>
      </w:r>
      <w:r w:rsidR="00EE35E2" w:rsidRPr="004676F5">
        <w:rPr>
          <w:lang w:val="de-DE"/>
        </w:rPr>
        <w:softHyphen/>
        <w:t>keiten zu helfen.</w:t>
      </w:r>
    </w:p>
    <w:p w14:paraId="075C93B1" w14:textId="77777777" w:rsidR="00EE35E2" w:rsidRPr="004676F5" w:rsidRDefault="00EE35E2" w:rsidP="00EE35E2">
      <w:pPr>
        <w:ind w:firstLine="708"/>
        <w:jc w:val="both"/>
        <w:rPr>
          <w:lang w:val="de-DE"/>
        </w:rPr>
      </w:pPr>
    </w:p>
    <w:p w14:paraId="059A9CF6" w14:textId="77777777" w:rsidR="00DF5BE5" w:rsidRPr="004676F5" w:rsidRDefault="00DF5BE5" w:rsidP="00EE35E2">
      <w:pPr>
        <w:ind w:firstLine="708"/>
        <w:jc w:val="both"/>
        <w:rPr>
          <w:lang w:val="de-DE"/>
        </w:rPr>
      </w:pPr>
    </w:p>
    <w:p w14:paraId="17842A90" w14:textId="5E2A48B2" w:rsidR="00EE35E2" w:rsidRPr="004676F5" w:rsidRDefault="00BE0A56" w:rsidP="00EE35E2">
      <w:pPr>
        <w:ind w:firstLine="708"/>
        <w:jc w:val="both"/>
        <w:rPr>
          <w:lang w:val="de-DE"/>
        </w:rPr>
      </w:pPr>
      <w:r w:rsidRPr="004676F5">
        <w:rPr>
          <w:b/>
          <w:lang w:val="de-DE"/>
        </w:rPr>
        <w:t>Art. </w:t>
      </w:r>
      <w:r w:rsidR="00EE35E2" w:rsidRPr="004676F5">
        <w:rPr>
          <w:b/>
          <w:lang w:val="de-DE"/>
        </w:rPr>
        <w:t>XX.28</w:t>
      </w:r>
      <w:r w:rsidR="00EE35E2" w:rsidRPr="004676F5">
        <w:rPr>
          <w:lang w:val="de-DE"/>
        </w:rPr>
        <w:t> </w:t>
      </w:r>
      <w:r w:rsidR="005B7A5C" w:rsidRPr="004676F5">
        <w:rPr>
          <w:lang w:val="de-DE"/>
        </w:rPr>
        <w:t>- </w:t>
      </w:r>
      <w:r w:rsidR="00EE35E2" w:rsidRPr="004676F5">
        <w:rPr>
          <w:lang w:val="de-DE"/>
        </w:rPr>
        <w:t xml:space="preserve">Hat die Kammer einen Richter-Berichterstatter bestellt, beendet dieser Richter die Untersuchung innerhalb einer Frist von </w:t>
      </w:r>
      <w:r w:rsidR="008F4343" w:rsidRPr="004676F5">
        <w:rPr>
          <w:lang w:val="de-DE"/>
        </w:rPr>
        <w:t>[acht</w:t>
      </w:r>
      <w:r w:rsidR="00EE35E2" w:rsidRPr="004676F5">
        <w:rPr>
          <w:lang w:val="de-DE"/>
        </w:rPr>
        <w:t xml:space="preserve"> Monaten</w:t>
      </w:r>
      <w:r w:rsidR="008F4343" w:rsidRPr="004676F5">
        <w:rPr>
          <w:lang w:val="de-DE"/>
        </w:rPr>
        <w:t>]</w:t>
      </w:r>
      <w:r w:rsidR="00EE35E2" w:rsidRPr="004676F5">
        <w:rPr>
          <w:lang w:val="de-DE"/>
        </w:rPr>
        <w:t xml:space="preserve"> ab seiner Bestellung. Hat der Richter diese Untersuchung beendet, erstellt er innerhalb der vorerwähnten Frist einen Bericht über die verrichteten Handlungen und fügt seine Schlussfolgerungen bei. Der Bericht wird den erfassten Daten beigefügt und der Kammer für Unternehmen in Schwierigkeiten vorgelegt. Die Kammer für Unternehmen in Schwierigkeiten kann beschließen, die Untersuchung für eine Dauer von höchstens </w:t>
      </w:r>
      <w:r w:rsidR="008F4343" w:rsidRPr="004676F5">
        <w:rPr>
          <w:lang w:val="de-DE"/>
        </w:rPr>
        <w:t>[zehn</w:t>
      </w:r>
      <w:r w:rsidR="00EE35E2" w:rsidRPr="004676F5">
        <w:rPr>
          <w:lang w:val="de-DE"/>
        </w:rPr>
        <w:t xml:space="preserve"> Monaten</w:t>
      </w:r>
      <w:r w:rsidR="008F4343" w:rsidRPr="004676F5">
        <w:rPr>
          <w:lang w:val="de-DE"/>
        </w:rPr>
        <w:t>]</w:t>
      </w:r>
      <w:r w:rsidR="00EE35E2" w:rsidRPr="004676F5">
        <w:rPr>
          <w:lang w:val="de-DE"/>
        </w:rPr>
        <w:t xml:space="preserve"> zu verlängern.</w:t>
      </w:r>
    </w:p>
    <w:p w14:paraId="44619BB2" w14:textId="77777777" w:rsidR="00EE35E2" w:rsidRPr="004676F5" w:rsidRDefault="00EE35E2" w:rsidP="00EE35E2">
      <w:pPr>
        <w:ind w:firstLine="708"/>
        <w:jc w:val="both"/>
        <w:rPr>
          <w:lang w:val="de-DE"/>
        </w:rPr>
      </w:pPr>
    </w:p>
    <w:p w14:paraId="6F9EDD25" w14:textId="2E240BFE" w:rsidR="00EE35E2" w:rsidRPr="004676F5" w:rsidRDefault="00EE35E2" w:rsidP="00EE35E2">
      <w:pPr>
        <w:ind w:firstLine="708"/>
        <w:jc w:val="both"/>
        <w:rPr>
          <w:lang w:val="de-DE"/>
        </w:rPr>
      </w:pPr>
      <w:r w:rsidRPr="004676F5">
        <w:rPr>
          <w:lang w:val="de-DE"/>
        </w:rPr>
        <w:t>Wird die Untersuchung von der Kammer selbst geführt, darf sie eine Dauer von</w:t>
      </w:r>
      <w:r w:rsidR="008F4343" w:rsidRPr="004676F5">
        <w:rPr>
          <w:lang w:val="de-DE"/>
        </w:rPr>
        <w:t xml:space="preserve"> [</w:t>
      </w:r>
      <w:r w:rsidRPr="004676F5">
        <w:rPr>
          <w:lang w:val="de-DE"/>
        </w:rPr>
        <w:t>acht</w:t>
      </w:r>
      <w:r w:rsidR="008F4343" w:rsidRPr="004676F5">
        <w:rPr>
          <w:lang w:val="de-DE"/>
        </w:rPr>
        <w:t>zehn</w:t>
      </w:r>
      <w:r w:rsidRPr="004676F5">
        <w:rPr>
          <w:lang w:val="de-DE"/>
        </w:rPr>
        <w:t xml:space="preserve"> Monaten</w:t>
      </w:r>
      <w:r w:rsidR="008F4343" w:rsidRPr="004676F5">
        <w:rPr>
          <w:lang w:val="de-DE"/>
        </w:rPr>
        <w:t>]</w:t>
      </w:r>
      <w:r w:rsidRPr="004676F5">
        <w:rPr>
          <w:lang w:val="de-DE"/>
        </w:rPr>
        <w:t xml:space="preserve"> nicht überschreiten.</w:t>
      </w:r>
    </w:p>
    <w:p w14:paraId="3C96BA58" w14:textId="77777777" w:rsidR="00EE35E2" w:rsidRPr="004676F5" w:rsidRDefault="00EE35E2" w:rsidP="008F4343">
      <w:pPr>
        <w:jc w:val="both"/>
        <w:rPr>
          <w:lang w:val="de-DE"/>
        </w:rPr>
      </w:pPr>
    </w:p>
    <w:p w14:paraId="1336F78F" w14:textId="7B2DEADC" w:rsidR="008F4343" w:rsidRPr="004676F5" w:rsidRDefault="008F4343" w:rsidP="008F4343">
      <w:pPr>
        <w:jc w:val="both"/>
        <w:rPr>
          <w:i/>
          <w:iCs/>
          <w:lang w:val="de-DE"/>
        </w:rPr>
      </w:pPr>
      <w:r w:rsidRPr="004676F5">
        <w:rPr>
          <w:i/>
          <w:iCs/>
          <w:lang w:val="de-DE"/>
        </w:rPr>
        <w:t xml:space="preserve">[Art. XX.28 Abs. 1 abgeändert durch </w:t>
      </w:r>
      <w:r w:rsidR="00F7432B" w:rsidRPr="004676F5">
        <w:rPr>
          <w:i/>
          <w:iCs/>
          <w:lang w:val="de-DE"/>
        </w:rPr>
        <w:t xml:space="preserve">Art. 4 Nr. 1 und 2 des G. vom 21. März 2021 (B.S. vom 26. März 2021), selbst aufgehoben durch Art. 271 des G. vom 7. Juni 2023 (B.S. vom 7. Juli 2023), und durch </w:t>
      </w:r>
      <w:r w:rsidRPr="004676F5">
        <w:rPr>
          <w:i/>
          <w:iCs/>
          <w:lang w:val="de-DE"/>
        </w:rPr>
        <w:t>Art. 32 Nr. 1 und 2 des G. vom 7. Juni 2023 (B.S. vom 7. Juli 2023); Abs. 2 abgeändert durch</w:t>
      </w:r>
      <w:r w:rsidR="00BE33F2" w:rsidRPr="004676F5">
        <w:rPr>
          <w:i/>
          <w:iCs/>
          <w:lang w:val="de-DE"/>
        </w:rPr>
        <w:t xml:space="preserve"> Art. 4 Nr. 3 des G. vom 21. März 2021 (B.S. vom 26. März 2021), selbst aufgehoben durch Art. 271 des G. vom 7. Juni 2023 (B.S. vom 7. Juli 2023), und durch</w:t>
      </w:r>
      <w:r w:rsidRPr="004676F5">
        <w:rPr>
          <w:i/>
          <w:iCs/>
          <w:lang w:val="de-DE"/>
        </w:rPr>
        <w:t xml:space="preserve"> Art. 32 Nr. 3 des G. vom 7. Juni 2023 (B.S. vom 7. Juli 2023)]</w:t>
      </w:r>
    </w:p>
    <w:p w14:paraId="05F2532F" w14:textId="77777777" w:rsidR="008F4343" w:rsidRPr="004676F5" w:rsidRDefault="008F4343" w:rsidP="008F4343">
      <w:pPr>
        <w:jc w:val="both"/>
        <w:rPr>
          <w:i/>
          <w:iCs/>
          <w:lang w:val="de-DE"/>
        </w:rPr>
      </w:pPr>
    </w:p>
    <w:p w14:paraId="7D779D01" w14:textId="77777777" w:rsidR="00DF5BE5" w:rsidRPr="004676F5" w:rsidRDefault="00DF5BE5" w:rsidP="00EE35E2">
      <w:pPr>
        <w:ind w:firstLine="708"/>
        <w:jc w:val="both"/>
        <w:rPr>
          <w:lang w:val="de-DE"/>
        </w:rPr>
      </w:pPr>
    </w:p>
    <w:p w14:paraId="70CF23CD" w14:textId="08516720" w:rsidR="00EE35E2" w:rsidRPr="004676F5" w:rsidRDefault="00BE0A56" w:rsidP="00EE35E2">
      <w:pPr>
        <w:ind w:firstLine="708"/>
        <w:jc w:val="both"/>
        <w:rPr>
          <w:lang w:val="de-DE"/>
        </w:rPr>
      </w:pPr>
      <w:r w:rsidRPr="004676F5">
        <w:rPr>
          <w:b/>
          <w:lang w:val="de-DE"/>
        </w:rPr>
        <w:t>Art. </w:t>
      </w:r>
      <w:r w:rsidR="00EE35E2" w:rsidRPr="004676F5">
        <w:rPr>
          <w:b/>
          <w:lang w:val="de-DE"/>
        </w:rPr>
        <w:t>XX.29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Geht aus der Untersuchung der Situation des Schuldners hervor, dass bei ihm anscheinend die Bedingungen für einen Konkurs gegeben sind, kann die Kammer für Unternehmen in Schwierigkeiten die Akte dem Prokurator des Königs zusenden.</w:t>
      </w:r>
    </w:p>
    <w:p w14:paraId="559D53CD" w14:textId="77777777" w:rsidR="00EE35E2" w:rsidRPr="004676F5" w:rsidRDefault="00EE35E2" w:rsidP="00EE35E2">
      <w:pPr>
        <w:ind w:firstLine="708"/>
        <w:jc w:val="both"/>
        <w:rPr>
          <w:lang w:val="de-DE"/>
        </w:rPr>
      </w:pPr>
    </w:p>
    <w:p w14:paraId="0FA4C1B5" w14:textId="040C8FAE"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Geht aus der Untersuchung der Situation des Schuldners hervor, dass dieser in Konkurs befindlich ist, kann die Kammer für Unternehmen in Schwierigkeiten unter Angabe der Gründe vorläufig feststellen, dass die Bedingungen für eine Anwendung von Artikel XX.32 anscheinend erfüllt sind und die Akte dem Gerichtspräsidenten zusenden.</w:t>
      </w:r>
    </w:p>
    <w:p w14:paraId="3EA7F540" w14:textId="77777777" w:rsidR="00EE35E2" w:rsidRPr="004676F5" w:rsidRDefault="00EE35E2" w:rsidP="00EE35E2">
      <w:pPr>
        <w:ind w:firstLine="708"/>
        <w:jc w:val="both"/>
        <w:rPr>
          <w:lang w:val="de-DE"/>
        </w:rPr>
      </w:pPr>
    </w:p>
    <w:p w14:paraId="4C787071" w14:textId="5643C79B" w:rsidR="00EE35E2" w:rsidRPr="004676F5" w:rsidRDefault="00EE35E2" w:rsidP="00EE35E2">
      <w:pPr>
        <w:ind w:firstLine="708"/>
        <w:jc w:val="both"/>
        <w:rPr>
          <w:lang w:val="de-DE"/>
        </w:rPr>
      </w:pPr>
      <w:r w:rsidRPr="004676F5">
        <w:rPr>
          <w:lang w:val="de-DE"/>
        </w:rPr>
        <w:lastRenderedPageBreak/>
        <w:t xml:space="preserve">Ist die Kammer für Unternehmen in Schwierigkeiten der Ansicht, dass aus derselben Untersuchung hervorgeht, dass gemäß dem </w:t>
      </w:r>
      <w:r w:rsidR="008F4343" w:rsidRPr="004676F5">
        <w:rPr>
          <w:lang w:val="de-DE"/>
        </w:rPr>
        <w:t>[Gesetzbuch der Gesellschaften und Vereinigungen]</w:t>
      </w:r>
      <w:r w:rsidRPr="004676F5">
        <w:rPr>
          <w:lang w:val="de-DE"/>
        </w:rPr>
        <w:t xml:space="preserve"> die Auflösung der juristischen Person ausgesprochen werden kann, kann sie unbeschadet des Absatzes 1 durch mit Gründen versehene Entscheidung die Akte dem Gericht zusenden, damit über die Auflösung befunden wird; in diesem Fall wird die mit Gründen versehene Entscheidung ebenfalls dem Prokurator des Königs übermittelt.</w:t>
      </w:r>
    </w:p>
    <w:p w14:paraId="437E70DF" w14:textId="77777777" w:rsidR="00EE35E2" w:rsidRPr="004676F5" w:rsidRDefault="00EE35E2" w:rsidP="00EE35E2">
      <w:pPr>
        <w:ind w:firstLine="708"/>
        <w:jc w:val="both"/>
        <w:rPr>
          <w:lang w:val="de-DE"/>
        </w:rPr>
      </w:pPr>
    </w:p>
    <w:p w14:paraId="64BD0256" w14:textId="6D781360" w:rsidR="00EE35E2" w:rsidRPr="004676F5" w:rsidRDefault="00EE35E2" w:rsidP="00EE35E2">
      <w:pPr>
        <w:ind w:firstLine="708"/>
        <w:jc w:val="both"/>
        <w:rPr>
          <w:lang w:val="de-DE"/>
        </w:rPr>
      </w:pPr>
      <w:r w:rsidRPr="004676F5">
        <w:rPr>
          <w:lang w:val="de-DE"/>
        </w:rPr>
        <w:t xml:space="preserve">Ist der Schuldner, der eine juristische Person ist, ein Freiberufler, übermittelt die Kammer für Unternehmen in Schwierigkeiten </w:t>
      </w:r>
      <w:r w:rsidR="00320BC4" w:rsidRPr="004676F5">
        <w:rPr>
          <w:lang w:val="de-DE"/>
        </w:rPr>
        <w:t>[der Kammer oder dem Institut]</w:t>
      </w:r>
      <w:r w:rsidRPr="004676F5">
        <w:rPr>
          <w:lang w:val="de-DE"/>
        </w:rPr>
        <w:t xml:space="preserve"> eine Abschrift der in Absatz 2 erwähnten Entscheidung.</w:t>
      </w:r>
    </w:p>
    <w:p w14:paraId="420F8997" w14:textId="77777777" w:rsidR="00EE35E2" w:rsidRPr="004676F5" w:rsidRDefault="00EE35E2" w:rsidP="00EE35E2">
      <w:pPr>
        <w:ind w:firstLine="708"/>
        <w:jc w:val="both"/>
        <w:rPr>
          <w:lang w:val="de-DE"/>
        </w:rPr>
      </w:pPr>
    </w:p>
    <w:p w14:paraId="691E325B" w14:textId="77777777" w:rsidR="00EE35E2" w:rsidRPr="004676F5" w:rsidRDefault="00EE35E2" w:rsidP="00EE35E2">
      <w:pPr>
        <w:ind w:firstLine="708"/>
        <w:jc w:val="both"/>
        <w:rPr>
          <w:lang w:val="de-DE"/>
        </w:rPr>
      </w:pPr>
      <w:r w:rsidRPr="004676F5">
        <w:rPr>
          <w:lang w:val="de-DE"/>
        </w:rPr>
        <w:t>Sie kann die Akte ebenfalls dem Prokurator des Königs übermitteln.</w:t>
      </w:r>
    </w:p>
    <w:p w14:paraId="467EB85B" w14:textId="77777777" w:rsidR="00EE35E2" w:rsidRPr="004676F5" w:rsidRDefault="00EE35E2" w:rsidP="00EE35E2">
      <w:pPr>
        <w:ind w:firstLine="708"/>
        <w:jc w:val="both"/>
        <w:rPr>
          <w:lang w:val="de-DE"/>
        </w:rPr>
      </w:pPr>
    </w:p>
    <w:p w14:paraId="06735919" w14:textId="4870FED7"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Mitglieder der Kammer für Unternehmen in Schwierigkeiten, die die Unter</w:t>
      </w:r>
      <w:r w:rsidRPr="004676F5">
        <w:rPr>
          <w:lang w:val="de-DE"/>
        </w:rPr>
        <w:softHyphen/>
        <w:t>suchung der Situation des Schuldners durchgeführt haben, dürfen an einem Konkurs</w:t>
      </w:r>
      <w:r w:rsidRPr="004676F5">
        <w:rPr>
          <w:lang w:val="de-DE"/>
        </w:rPr>
        <w:softHyphen/>
        <w:t>verfahren, einem Verfahren der gerichtlichen Reorganisation</w:t>
      </w:r>
      <w:r w:rsidR="00A578B2" w:rsidRPr="004676F5">
        <w:rPr>
          <w:lang w:val="de-DE"/>
        </w:rPr>
        <w:t>[, einem Verfahren der Übertragung unter der Autorität des Gerichts]</w:t>
      </w:r>
      <w:r w:rsidRPr="004676F5">
        <w:rPr>
          <w:lang w:val="de-DE"/>
        </w:rPr>
        <w:t xml:space="preserve"> oder einem Verfahren der gerichtlichen Liquidation in Bezug auf diesen Schuldner nicht teilnehmen.</w:t>
      </w:r>
    </w:p>
    <w:p w14:paraId="48B56D99" w14:textId="733A6EBB" w:rsidR="00320BC4" w:rsidRPr="004676F5" w:rsidRDefault="00320BC4" w:rsidP="00EE35E2">
      <w:pPr>
        <w:ind w:firstLine="708"/>
        <w:jc w:val="both"/>
        <w:rPr>
          <w:lang w:val="de-DE"/>
        </w:rPr>
      </w:pPr>
    </w:p>
    <w:p w14:paraId="23B6E835" w14:textId="1C44A25A" w:rsidR="00320BC4" w:rsidRPr="004676F5" w:rsidRDefault="00320BC4" w:rsidP="00320BC4">
      <w:pPr>
        <w:jc w:val="both"/>
        <w:rPr>
          <w:i/>
          <w:lang w:val="de-DE"/>
        </w:rPr>
      </w:pPr>
      <w:r w:rsidRPr="004676F5">
        <w:rPr>
          <w:i/>
          <w:lang w:val="de-DE"/>
        </w:rPr>
        <w:t xml:space="preserve">[Art. XX.29 </w:t>
      </w:r>
      <w:r w:rsidR="00A578B2" w:rsidRPr="004676F5">
        <w:rPr>
          <w:i/>
          <w:lang w:val="de-DE"/>
        </w:rPr>
        <w:t>§ 2 Abs. 2 abgeändert durch Art. 33</w:t>
      </w:r>
      <w:r w:rsidR="00A578B2" w:rsidRPr="004676F5">
        <w:rPr>
          <w:i/>
          <w:iCs/>
          <w:lang w:val="de-DE"/>
        </w:rPr>
        <w:t xml:space="preserve"> Nr. 1 des G. vom 7. Juni 2023 (B.S. vom 7. Juli 2023);</w:t>
      </w:r>
      <w:r w:rsidR="00A578B2" w:rsidRPr="004676F5">
        <w:rPr>
          <w:i/>
          <w:lang w:val="de-DE"/>
        </w:rPr>
        <w:t xml:space="preserve"> </w:t>
      </w:r>
      <w:r w:rsidRPr="004676F5">
        <w:rPr>
          <w:i/>
          <w:lang w:val="de-DE"/>
        </w:rPr>
        <w:t>§ 2 Abs. 3 abgeändert durch Art. 219 des G. vom 15. April 2018 (B.S. vom 27. April 2018)</w:t>
      </w:r>
      <w:r w:rsidR="00A578B2" w:rsidRPr="004676F5">
        <w:rPr>
          <w:i/>
          <w:lang w:val="de-DE"/>
        </w:rPr>
        <w:t>; § 3 abgeändert durch Art. 33 Nr. 2</w:t>
      </w:r>
      <w:r w:rsidR="00A578B2" w:rsidRPr="004676F5">
        <w:rPr>
          <w:i/>
          <w:iCs/>
          <w:lang w:val="de-DE"/>
        </w:rPr>
        <w:t xml:space="preserve"> des G. vom 7. Juni 2023 (B.S. vom 7. Juli 2023)</w:t>
      </w:r>
      <w:r w:rsidRPr="004676F5">
        <w:rPr>
          <w:i/>
          <w:lang w:val="de-DE"/>
        </w:rPr>
        <w:t>]</w:t>
      </w:r>
    </w:p>
    <w:p w14:paraId="122DC5FD" w14:textId="77777777" w:rsidR="00EE35E2" w:rsidRPr="004676F5" w:rsidRDefault="00EE35E2" w:rsidP="00EE35E2">
      <w:pPr>
        <w:jc w:val="both"/>
        <w:rPr>
          <w:lang w:val="de-DE"/>
        </w:rPr>
      </w:pPr>
    </w:p>
    <w:p w14:paraId="13C0B9D0" w14:textId="77777777" w:rsidR="00A578B2" w:rsidRPr="004676F5" w:rsidRDefault="00A578B2">
      <w:pPr>
        <w:rPr>
          <w:b/>
          <w:lang w:val="de-DE"/>
        </w:rPr>
      </w:pPr>
    </w:p>
    <w:p w14:paraId="3D4D897A" w14:textId="0C73C6E4" w:rsidR="00A578B2" w:rsidRPr="004676F5" w:rsidRDefault="00A578B2" w:rsidP="00A578B2">
      <w:pPr>
        <w:jc w:val="center"/>
        <w:rPr>
          <w:bCs/>
          <w:lang w:val="de-DE"/>
        </w:rPr>
      </w:pPr>
      <w:r w:rsidRPr="004676F5">
        <w:rPr>
          <w:bCs/>
          <w:lang w:val="de-DE"/>
        </w:rPr>
        <w:t>[</w:t>
      </w:r>
      <w:r w:rsidRPr="004676F5">
        <w:rPr>
          <w:i/>
          <w:iCs/>
          <w:lang w:val="de-DE"/>
        </w:rPr>
        <w:t>Abschnitt 2</w:t>
      </w:r>
      <w:r w:rsidRPr="004676F5">
        <w:rPr>
          <w:lang w:val="de-DE"/>
        </w:rPr>
        <w:t> -</w:t>
      </w:r>
      <w:r w:rsidR="001530CD" w:rsidRPr="004676F5">
        <w:rPr>
          <w:lang w:val="de-DE"/>
        </w:rPr>
        <w:t xml:space="preserve"> </w:t>
      </w:r>
      <w:r w:rsidRPr="004676F5">
        <w:rPr>
          <w:lang w:val="de-DE"/>
        </w:rPr>
        <w:t>Untersuchung auf Antrag des Schuldners</w:t>
      </w:r>
      <w:r w:rsidRPr="004676F5">
        <w:rPr>
          <w:bCs/>
          <w:lang w:val="de-DE"/>
        </w:rPr>
        <w:t>]</w:t>
      </w:r>
    </w:p>
    <w:p w14:paraId="2AECC7A5" w14:textId="77777777" w:rsidR="00A578B2" w:rsidRPr="004676F5" w:rsidRDefault="00A578B2" w:rsidP="00A578B2">
      <w:pPr>
        <w:jc w:val="center"/>
        <w:rPr>
          <w:bCs/>
          <w:lang w:val="de-DE"/>
        </w:rPr>
      </w:pPr>
    </w:p>
    <w:p w14:paraId="0D286DA0" w14:textId="77777777" w:rsidR="00A578B2" w:rsidRPr="004676F5" w:rsidRDefault="00A578B2" w:rsidP="00A578B2">
      <w:pPr>
        <w:jc w:val="both"/>
        <w:rPr>
          <w:i/>
          <w:iCs/>
          <w:lang w:val="de-DE"/>
        </w:rPr>
      </w:pPr>
      <w:r w:rsidRPr="004676F5">
        <w:rPr>
          <w:bCs/>
          <w:i/>
          <w:iCs/>
          <w:lang w:val="de-DE"/>
        </w:rPr>
        <w:t xml:space="preserve">[Unterteilung Abschnitt 2 eingefügt durch Art. 34 </w:t>
      </w:r>
      <w:r w:rsidRPr="004676F5">
        <w:rPr>
          <w:i/>
          <w:iCs/>
          <w:lang w:val="de-DE"/>
        </w:rPr>
        <w:t>des G. vom 7. Juni 2023 (B.S. vom 7. Juli 2023)]</w:t>
      </w:r>
    </w:p>
    <w:p w14:paraId="6897DC69" w14:textId="77777777" w:rsidR="00A578B2" w:rsidRPr="004676F5" w:rsidRDefault="00A578B2" w:rsidP="00A578B2">
      <w:pPr>
        <w:jc w:val="both"/>
        <w:rPr>
          <w:lang w:val="de-DE"/>
        </w:rPr>
      </w:pPr>
    </w:p>
    <w:p w14:paraId="15099ED3" w14:textId="77777777" w:rsidR="00A578B2" w:rsidRPr="004676F5" w:rsidRDefault="00A578B2" w:rsidP="00A578B2">
      <w:pPr>
        <w:jc w:val="both"/>
        <w:rPr>
          <w:lang w:val="de-DE"/>
        </w:rPr>
      </w:pPr>
    </w:p>
    <w:p w14:paraId="7E4AC89A" w14:textId="77777777" w:rsidR="00A578B2" w:rsidRPr="004676F5" w:rsidRDefault="00A578B2" w:rsidP="00A578B2">
      <w:pPr>
        <w:jc w:val="both"/>
        <w:rPr>
          <w:lang w:val="de-DE"/>
        </w:rPr>
      </w:pPr>
      <w:r w:rsidRPr="004676F5">
        <w:rPr>
          <w:lang w:val="de-DE"/>
        </w:rPr>
        <w:tab/>
        <w:t>[</w:t>
      </w:r>
      <w:r w:rsidRPr="004676F5">
        <w:rPr>
          <w:b/>
          <w:bCs/>
          <w:lang w:val="de-DE"/>
        </w:rPr>
        <w:t>Art. XX.29/1</w:t>
      </w:r>
      <w:r w:rsidRPr="004676F5">
        <w:rPr>
          <w:lang w:val="de-DE"/>
        </w:rPr>
        <w:t> - § 1 - Ist der Schuldner der Ansicht, dass eine Insolvenz wahrscheinlich ist, kann er bei der Kammer für Unternehmen in Schwierigkeiten beantragen, dass die Gläubiger, deren Identität, Wohnsitz und gegebenenfalls Unternehmensnummer, Gesellschaftsname und Sitz und - soweit verfügbar - die Eigenschaft der Forderung ihm bekannt sind, vor die Kammer für Unternehmen in Schwierigkeiten geladen werden, um mit diesen Gläubigern eine Vereinbarung zu schließen und die Bedingungen dieser Vereinbarung festzustellen.</w:t>
      </w:r>
    </w:p>
    <w:p w14:paraId="15FEB422" w14:textId="77777777" w:rsidR="00A578B2" w:rsidRPr="004676F5" w:rsidRDefault="00A578B2" w:rsidP="00A578B2">
      <w:pPr>
        <w:jc w:val="both"/>
        <w:rPr>
          <w:lang w:val="de-DE"/>
        </w:rPr>
      </w:pPr>
    </w:p>
    <w:p w14:paraId="67513D50" w14:textId="77777777" w:rsidR="00A578B2" w:rsidRPr="004676F5" w:rsidRDefault="00A578B2" w:rsidP="00A578B2">
      <w:pPr>
        <w:jc w:val="both"/>
        <w:rPr>
          <w:lang w:val="de-DE"/>
        </w:rPr>
      </w:pPr>
      <w:r w:rsidRPr="004676F5">
        <w:rPr>
          <w:lang w:val="de-DE"/>
        </w:rPr>
        <w:tab/>
        <w:t>Der Antrag kann per Post oder mündlich bei Erscheinen des Schuldners vor der Kammer für Unternehmen in Schwierigkeiten oder deren Berichterstatter gestellt werden.</w:t>
      </w:r>
    </w:p>
    <w:p w14:paraId="32AA1269" w14:textId="77777777" w:rsidR="00A578B2" w:rsidRPr="004676F5" w:rsidRDefault="00A578B2" w:rsidP="00A578B2">
      <w:pPr>
        <w:jc w:val="both"/>
        <w:rPr>
          <w:lang w:val="de-DE"/>
        </w:rPr>
      </w:pPr>
    </w:p>
    <w:p w14:paraId="419112A6" w14:textId="77777777" w:rsidR="00A578B2" w:rsidRPr="004676F5" w:rsidRDefault="00A578B2" w:rsidP="00A578B2">
      <w:pPr>
        <w:jc w:val="both"/>
        <w:rPr>
          <w:lang w:val="de-DE"/>
        </w:rPr>
      </w:pPr>
      <w:r w:rsidRPr="004676F5">
        <w:rPr>
          <w:lang w:val="de-DE"/>
        </w:rPr>
        <w:tab/>
        <w:t>Die Kammer für Unternehmen in Schwierigkeiten lädt die betroffenen Gläubiger per normaler Post oder E-Mail vor und vernimmt den Schuldner und die Gläubiger unter Ausschluss der Öffentlichkeit. Die Kammer vernimmt die Betroffenen einzeln oder gemeinsam.</w:t>
      </w:r>
    </w:p>
    <w:p w14:paraId="75852F3C" w14:textId="77777777" w:rsidR="00A578B2" w:rsidRPr="004676F5" w:rsidRDefault="00A578B2" w:rsidP="00A578B2">
      <w:pPr>
        <w:jc w:val="both"/>
        <w:rPr>
          <w:lang w:val="de-DE"/>
        </w:rPr>
      </w:pPr>
    </w:p>
    <w:p w14:paraId="11721533" w14:textId="77777777" w:rsidR="00A578B2" w:rsidRPr="004676F5" w:rsidRDefault="00A578B2" w:rsidP="00A578B2">
      <w:pPr>
        <w:jc w:val="both"/>
        <w:rPr>
          <w:lang w:val="de-DE"/>
        </w:rPr>
      </w:pPr>
      <w:r w:rsidRPr="004676F5">
        <w:rPr>
          <w:lang w:val="de-DE"/>
        </w:rPr>
        <w:tab/>
        <w:t>Im Anschluss an diese Vernehmungen kann die Kammer entweder die Untersuchung gemäß Artikel XX.25 § 1 fortsetzen oder gemäß Artikel XX.25 § 2 verfahren.</w:t>
      </w:r>
    </w:p>
    <w:p w14:paraId="60A3F781" w14:textId="77777777" w:rsidR="00A578B2" w:rsidRPr="004676F5" w:rsidRDefault="00A578B2" w:rsidP="00A578B2">
      <w:pPr>
        <w:jc w:val="both"/>
        <w:rPr>
          <w:lang w:val="de-DE"/>
        </w:rPr>
      </w:pPr>
    </w:p>
    <w:p w14:paraId="0D5AEFA0" w14:textId="77777777" w:rsidR="00A578B2" w:rsidRPr="004676F5" w:rsidRDefault="00A578B2" w:rsidP="00A578B2">
      <w:pPr>
        <w:jc w:val="both"/>
        <w:rPr>
          <w:lang w:val="de-DE"/>
        </w:rPr>
      </w:pPr>
      <w:r w:rsidRPr="004676F5">
        <w:rPr>
          <w:lang w:val="de-DE"/>
        </w:rPr>
        <w:lastRenderedPageBreak/>
        <w:tab/>
        <w:t>§ 2 - Die Einnahme von Steuerschulden oder Steuer- oder Sozialabgaben kann mit Zustimmung der öffentlichen Einrichtung ganz oder teilweise ausgesetzt werden unter ähnlichen Bedingungen wie die, die ein privater Wirtschaftsteilnehmer in der gleichen Situation einräumen würde.</w:t>
      </w:r>
    </w:p>
    <w:p w14:paraId="74A785D8" w14:textId="77777777" w:rsidR="00A578B2" w:rsidRPr="004676F5" w:rsidRDefault="00A578B2" w:rsidP="00A578B2">
      <w:pPr>
        <w:jc w:val="both"/>
        <w:rPr>
          <w:lang w:val="de-DE"/>
        </w:rPr>
      </w:pPr>
    </w:p>
    <w:p w14:paraId="6A4F4E80" w14:textId="77777777" w:rsidR="00A578B2" w:rsidRPr="004676F5" w:rsidRDefault="00A578B2" w:rsidP="00A578B2">
      <w:pPr>
        <w:jc w:val="both"/>
        <w:rPr>
          <w:lang w:val="de-DE"/>
        </w:rPr>
      </w:pPr>
      <w:r w:rsidRPr="004676F5">
        <w:rPr>
          <w:lang w:val="de-DE"/>
        </w:rPr>
        <w:tab/>
        <w:t>§ 3 - Kommt es zu einer Vereinbarung, wird deren Wortlaut im Protokoll festgestellt und die Ausfertigung mit der Vollstreckungsklausel versehen.]</w:t>
      </w:r>
    </w:p>
    <w:p w14:paraId="71507889" w14:textId="77777777" w:rsidR="00A578B2" w:rsidRPr="004676F5" w:rsidRDefault="00A578B2" w:rsidP="00A578B2">
      <w:pPr>
        <w:jc w:val="both"/>
        <w:rPr>
          <w:lang w:val="de-DE"/>
        </w:rPr>
      </w:pPr>
    </w:p>
    <w:p w14:paraId="1AF23A13" w14:textId="77777777" w:rsidR="00A578B2" w:rsidRPr="004676F5" w:rsidRDefault="00A578B2" w:rsidP="00A578B2">
      <w:pPr>
        <w:jc w:val="both"/>
        <w:rPr>
          <w:i/>
          <w:iCs/>
          <w:lang w:val="de-DE"/>
        </w:rPr>
      </w:pPr>
      <w:r w:rsidRPr="004676F5">
        <w:rPr>
          <w:i/>
          <w:iCs/>
          <w:lang w:val="de-DE"/>
        </w:rPr>
        <w:t>[Art. XX.29/1 eingefügt durch Art. 35 des G. vom 7. Juni 2023 (B.S. vom 7. Juli 2023)]</w:t>
      </w:r>
    </w:p>
    <w:p w14:paraId="0242B8A3" w14:textId="77777777" w:rsidR="00A578B2" w:rsidRPr="004676F5" w:rsidRDefault="00A578B2" w:rsidP="00A578B2">
      <w:pPr>
        <w:jc w:val="both"/>
        <w:rPr>
          <w:lang w:val="de-DE"/>
        </w:rPr>
      </w:pPr>
    </w:p>
    <w:p w14:paraId="4B452879" w14:textId="77777777" w:rsidR="00A578B2" w:rsidRPr="004676F5" w:rsidRDefault="00A578B2" w:rsidP="00A578B2">
      <w:pPr>
        <w:jc w:val="both"/>
        <w:rPr>
          <w:lang w:val="de-DE"/>
        </w:rPr>
      </w:pPr>
    </w:p>
    <w:p w14:paraId="2FBE1D72" w14:textId="77777777" w:rsidR="00A578B2" w:rsidRPr="004676F5" w:rsidRDefault="00A578B2" w:rsidP="00A578B2">
      <w:pPr>
        <w:jc w:val="center"/>
        <w:rPr>
          <w:bCs/>
          <w:lang w:val="de-DE"/>
        </w:rPr>
      </w:pPr>
      <w:r w:rsidRPr="004676F5">
        <w:rPr>
          <w:lang w:val="de-DE"/>
        </w:rPr>
        <w:t>[</w:t>
      </w:r>
      <w:r w:rsidRPr="004676F5">
        <w:rPr>
          <w:i/>
          <w:iCs/>
          <w:lang w:val="de-DE"/>
        </w:rPr>
        <w:t>Abschnitt 3</w:t>
      </w:r>
      <w:r w:rsidRPr="004676F5">
        <w:rPr>
          <w:lang w:val="de-DE"/>
        </w:rPr>
        <w:t> - Unternehmensvermittlung</w:t>
      </w:r>
      <w:r w:rsidRPr="004676F5">
        <w:rPr>
          <w:bCs/>
          <w:lang w:val="de-DE"/>
        </w:rPr>
        <w:t>]</w:t>
      </w:r>
    </w:p>
    <w:p w14:paraId="5FFEB437" w14:textId="77777777" w:rsidR="00A578B2" w:rsidRPr="004676F5" w:rsidRDefault="00A578B2" w:rsidP="00A578B2">
      <w:pPr>
        <w:jc w:val="center"/>
        <w:rPr>
          <w:bCs/>
          <w:lang w:val="de-DE"/>
        </w:rPr>
      </w:pPr>
    </w:p>
    <w:p w14:paraId="17630558" w14:textId="77777777" w:rsidR="00A578B2" w:rsidRPr="004676F5" w:rsidRDefault="00A578B2" w:rsidP="00A578B2">
      <w:pPr>
        <w:jc w:val="both"/>
        <w:rPr>
          <w:i/>
          <w:iCs/>
          <w:lang w:val="de-DE"/>
        </w:rPr>
      </w:pPr>
      <w:r w:rsidRPr="004676F5">
        <w:rPr>
          <w:bCs/>
          <w:i/>
          <w:iCs/>
          <w:lang w:val="de-DE"/>
        </w:rPr>
        <w:t>[Unterteilung Abschnitt 3 eingefügt durch Art. 36</w:t>
      </w:r>
      <w:r w:rsidRPr="004676F5">
        <w:rPr>
          <w:i/>
          <w:iCs/>
          <w:lang w:val="de-DE"/>
        </w:rPr>
        <w:t xml:space="preserve"> des G. vom 7. Juni 2023 (B.S. vom 7. Juli 2023)]</w:t>
      </w:r>
    </w:p>
    <w:p w14:paraId="7F78F622" w14:textId="77777777" w:rsidR="00A578B2" w:rsidRPr="004676F5" w:rsidRDefault="00A578B2" w:rsidP="00A578B2">
      <w:pPr>
        <w:jc w:val="both"/>
        <w:rPr>
          <w:lang w:val="de-DE"/>
        </w:rPr>
      </w:pPr>
    </w:p>
    <w:p w14:paraId="0B7A92C1" w14:textId="77777777" w:rsidR="00A578B2" w:rsidRPr="004676F5" w:rsidRDefault="00A578B2" w:rsidP="00A578B2">
      <w:pPr>
        <w:jc w:val="both"/>
        <w:rPr>
          <w:lang w:val="de-DE"/>
        </w:rPr>
      </w:pPr>
    </w:p>
    <w:p w14:paraId="23A7BB54" w14:textId="77777777" w:rsidR="00A578B2" w:rsidRPr="004676F5" w:rsidRDefault="00A578B2" w:rsidP="00A578B2">
      <w:pPr>
        <w:jc w:val="both"/>
        <w:rPr>
          <w:lang w:val="de-DE"/>
        </w:rPr>
      </w:pPr>
      <w:r w:rsidRPr="004676F5">
        <w:rPr>
          <w:lang w:val="de-DE"/>
        </w:rPr>
        <w:tab/>
        <w:t>[</w:t>
      </w:r>
      <w:r w:rsidRPr="004676F5">
        <w:rPr>
          <w:b/>
          <w:bCs/>
          <w:lang w:val="de-DE"/>
        </w:rPr>
        <w:t>Art. XX.29/2</w:t>
      </w:r>
      <w:r w:rsidRPr="004676F5">
        <w:rPr>
          <w:lang w:val="de-DE"/>
        </w:rPr>
        <w:t> - § 1 - Auf Antrag des Schuldners kann die Kammer für Unternehmen in Schwierigkeiten einen Reorganisationsbearbeiter bestellen, um die Sanierung des Unternehmens zu erleichtern.</w:t>
      </w:r>
    </w:p>
    <w:p w14:paraId="74CA49C6" w14:textId="77777777" w:rsidR="00A578B2" w:rsidRPr="004676F5" w:rsidRDefault="00A578B2" w:rsidP="00A578B2">
      <w:pPr>
        <w:jc w:val="both"/>
        <w:rPr>
          <w:lang w:val="de-DE"/>
        </w:rPr>
      </w:pPr>
    </w:p>
    <w:p w14:paraId="0F7D1CFB" w14:textId="77777777" w:rsidR="00A578B2" w:rsidRPr="004676F5" w:rsidRDefault="00A578B2" w:rsidP="00A578B2">
      <w:pPr>
        <w:jc w:val="both"/>
        <w:rPr>
          <w:lang w:val="de-DE"/>
        </w:rPr>
      </w:pPr>
      <w:r w:rsidRPr="004676F5">
        <w:rPr>
          <w:lang w:val="de-DE"/>
        </w:rPr>
        <w:tab/>
        <w:t>Die Kammer für Unternehmen in Schwierigkeiten legt durch Beschluss in der Ratskammer Umfang und Dauer des Auftrags des Reorganisationsbearbeiters fest.</w:t>
      </w:r>
    </w:p>
    <w:p w14:paraId="4DCD79F6" w14:textId="77777777" w:rsidR="00A578B2" w:rsidRPr="004676F5" w:rsidRDefault="00A578B2" w:rsidP="00A578B2">
      <w:pPr>
        <w:jc w:val="both"/>
        <w:rPr>
          <w:lang w:val="de-DE"/>
        </w:rPr>
      </w:pPr>
    </w:p>
    <w:p w14:paraId="5ECCB5B8" w14:textId="77777777" w:rsidR="00A578B2" w:rsidRPr="004676F5" w:rsidRDefault="00A578B2" w:rsidP="00A578B2">
      <w:pPr>
        <w:jc w:val="both"/>
        <w:rPr>
          <w:lang w:val="de-DE"/>
        </w:rPr>
      </w:pPr>
      <w:r w:rsidRPr="004676F5">
        <w:rPr>
          <w:lang w:val="de-DE"/>
        </w:rPr>
        <w:tab/>
        <w:t>Die Entscheidung, mit der der Reorganisationsbearbeiter bestellt und sein Vermittlungsauftrag festgelegt wird, und seine Berichte sind vertraulich. Dritte dürfen Berichte des Reorganisationsbearbeiters nur mit Zustimmung des Schuldners zur Kenntnis nehmen.</w:t>
      </w:r>
    </w:p>
    <w:p w14:paraId="6E644E80" w14:textId="77777777" w:rsidR="00A578B2" w:rsidRPr="004676F5" w:rsidRDefault="00A578B2" w:rsidP="00A578B2">
      <w:pPr>
        <w:jc w:val="both"/>
        <w:rPr>
          <w:lang w:val="de-DE"/>
        </w:rPr>
      </w:pPr>
    </w:p>
    <w:p w14:paraId="0E4CC31B" w14:textId="77777777" w:rsidR="00A578B2" w:rsidRPr="004676F5" w:rsidRDefault="00A578B2" w:rsidP="00A578B2">
      <w:pPr>
        <w:jc w:val="both"/>
        <w:rPr>
          <w:lang w:val="de-DE"/>
        </w:rPr>
      </w:pPr>
      <w:r w:rsidRPr="004676F5">
        <w:rPr>
          <w:lang w:val="de-DE"/>
        </w:rPr>
        <w:tab/>
        <w:t>§ 2 - Für die Forderung des Reorganisationsbearbeiters im Zusammenhang mit der Vermittlung gilt bei anschließender Gläubigerkonkurrenz das in den Artikeln 17 und 19 Nr. 1 des Hypothekengesetzes vom 16. Dezember 1851 erwähnte Vorzugsrecht oder diese Forderung wird wie eine außergewöhnliche aufgeschobene Forderung im Rahmen eines Reorganisations</w:t>
      </w:r>
      <w:r w:rsidRPr="004676F5">
        <w:rPr>
          <w:lang w:val="de-DE"/>
        </w:rPr>
        <w:softHyphen/>
        <w:t>plans behandelt.]</w:t>
      </w:r>
    </w:p>
    <w:p w14:paraId="50EE32BE" w14:textId="77777777" w:rsidR="00A578B2" w:rsidRPr="004676F5" w:rsidRDefault="00A578B2" w:rsidP="00A578B2">
      <w:pPr>
        <w:jc w:val="both"/>
        <w:rPr>
          <w:lang w:val="de-DE"/>
        </w:rPr>
      </w:pPr>
    </w:p>
    <w:p w14:paraId="01112D57" w14:textId="26AE5253" w:rsidR="00DF5BE5" w:rsidRPr="004676F5" w:rsidRDefault="00A578B2" w:rsidP="00A578B2">
      <w:pPr>
        <w:jc w:val="both"/>
        <w:rPr>
          <w:b/>
          <w:lang w:val="de-DE"/>
        </w:rPr>
      </w:pPr>
      <w:r w:rsidRPr="004676F5">
        <w:rPr>
          <w:i/>
          <w:iCs/>
          <w:lang w:val="de-DE"/>
        </w:rPr>
        <w:t>[Art. XX.29/2 eingefügt durch Art. 37 des G. vom 7. Juni 2023 (B.S. vom 7. Juli 2023)]</w:t>
      </w:r>
      <w:r w:rsidR="00DF5BE5" w:rsidRPr="004676F5">
        <w:rPr>
          <w:b/>
          <w:lang w:val="de-DE"/>
        </w:rPr>
        <w:br w:type="page"/>
      </w:r>
    </w:p>
    <w:p w14:paraId="0B051F73" w14:textId="5F60BB1D" w:rsidR="00EE35E2" w:rsidRPr="004676F5" w:rsidRDefault="00EE35E2" w:rsidP="00EE35E2">
      <w:pPr>
        <w:jc w:val="center"/>
        <w:rPr>
          <w:b/>
          <w:lang w:val="de-DE"/>
        </w:rPr>
      </w:pPr>
      <w:r w:rsidRPr="004676F5">
        <w:rPr>
          <w:b/>
          <w:lang w:val="de-DE"/>
        </w:rPr>
        <w:lastRenderedPageBreak/>
        <w:t>TITEL 3 </w:t>
      </w:r>
      <w:r w:rsidR="005B7A5C" w:rsidRPr="004676F5">
        <w:rPr>
          <w:b/>
          <w:lang w:val="de-DE"/>
        </w:rPr>
        <w:t>- </w:t>
      </w:r>
      <w:r w:rsidRPr="004676F5">
        <w:rPr>
          <w:b/>
          <w:i/>
          <w:lang w:val="de-DE"/>
        </w:rPr>
        <w:t>Vorläufige Maßnahmen</w:t>
      </w:r>
    </w:p>
    <w:p w14:paraId="5E944522" w14:textId="77777777" w:rsidR="00EE35E2" w:rsidRPr="004676F5" w:rsidRDefault="00EE35E2" w:rsidP="00EE35E2">
      <w:pPr>
        <w:jc w:val="both"/>
        <w:rPr>
          <w:lang w:val="de-DE"/>
        </w:rPr>
      </w:pPr>
    </w:p>
    <w:p w14:paraId="792D2431" w14:textId="77777777" w:rsidR="00DF5BE5" w:rsidRPr="004676F5" w:rsidRDefault="00DF5BE5" w:rsidP="00EE35E2">
      <w:pPr>
        <w:jc w:val="both"/>
        <w:rPr>
          <w:lang w:val="de-DE"/>
        </w:rPr>
      </w:pPr>
    </w:p>
    <w:p w14:paraId="53D27777" w14:textId="39F58558" w:rsidR="00EE35E2" w:rsidRPr="004676F5" w:rsidRDefault="00BE0A56" w:rsidP="00EE35E2">
      <w:pPr>
        <w:ind w:firstLine="708"/>
        <w:jc w:val="both"/>
        <w:rPr>
          <w:lang w:val="de-DE"/>
        </w:rPr>
      </w:pPr>
      <w:r w:rsidRPr="004676F5">
        <w:rPr>
          <w:b/>
          <w:lang w:val="de-DE"/>
        </w:rPr>
        <w:t>Art. </w:t>
      </w:r>
      <w:r w:rsidR="00EE35E2" w:rsidRPr="004676F5">
        <w:rPr>
          <w:b/>
          <w:lang w:val="de-DE"/>
        </w:rPr>
        <w:t>XX.30</w:t>
      </w:r>
      <w:r w:rsidR="00EE35E2" w:rsidRPr="004676F5">
        <w:rPr>
          <w:lang w:val="de-DE"/>
        </w:rPr>
        <w:t> </w:t>
      </w:r>
      <w:r w:rsidR="005B7A5C" w:rsidRPr="004676F5">
        <w:rPr>
          <w:lang w:val="de-DE"/>
        </w:rPr>
        <w:t>- </w:t>
      </w:r>
      <w:r w:rsidR="00A578B2" w:rsidRPr="004676F5">
        <w:rPr>
          <w:lang w:val="de-DE"/>
        </w:rPr>
        <w:t>[Wenn ein Unternehmen aufgrund von Ereignissen nicht mehr von seinen Leitern geführt werden kann oder offensichtliche Verstöße des Schuldners oder eines seiner Organe den Fortbestand des Unternehmens oder seiner wirtschaftlichen Tätigkeiten gefährden und die beantragte Maßnahme den Fortbestand ermöglichen kann, kann der Gerichtspräsident auf Antrag des Schuldners, der Staatsanwaltschaft oder eines Interessehabenden, der gemäß den Formen des Eilverfahrens eingereicht wird, einen oder mehrere Reorganisationsbearbeiter bestellen.]</w:t>
      </w:r>
    </w:p>
    <w:p w14:paraId="4C3E003F" w14:textId="77777777" w:rsidR="00EE35E2" w:rsidRPr="004676F5" w:rsidRDefault="00EE35E2" w:rsidP="00EE35E2">
      <w:pPr>
        <w:ind w:firstLine="708"/>
        <w:jc w:val="both"/>
        <w:rPr>
          <w:lang w:val="de-DE"/>
        </w:rPr>
      </w:pPr>
    </w:p>
    <w:p w14:paraId="475399F9" w14:textId="09476BEA" w:rsidR="00EE35E2" w:rsidRPr="004676F5" w:rsidRDefault="00320BC4" w:rsidP="00EE35E2">
      <w:pPr>
        <w:ind w:firstLine="708"/>
        <w:jc w:val="both"/>
        <w:rPr>
          <w:lang w:val="de-DE"/>
        </w:rPr>
      </w:pPr>
      <w:r w:rsidRPr="004676F5">
        <w:rPr>
          <w:lang w:val="de-DE"/>
        </w:rPr>
        <w:t>[...]</w:t>
      </w:r>
    </w:p>
    <w:p w14:paraId="6D46B614" w14:textId="77777777" w:rsidR="00EE35E2" w:rsidRPr="004676F5" w:rsidRDefault="00EE35E2" w:rsidP="00EE35E2">
      <w:pPr>
        <w:ind w:firstLine="708"/>
        <w:jc w:val="both"/>
        <w:rPr>
          <w:lang w:val="de-DE"/>
        </w:rPr>
      </w:pPr>
    </w:p>
    <w:p w14:paraId="4CC40830" w14:textId="2EC461B9" w:rsidR="00EE35E2" w:rsidRPr="004676F5" w:rsidRDefault="00EE35E2" w:rsidP="00EE35E2">
      <w:pPr>
        <w:ind w:firstLine="708"/>
        <w:jc w:val="both"/>
        <w:rPr>
          <w:lang w:val="de-DE"/>
        </w:rPr>
      </w:pPr>
      <w:r w:rsidRPr="004676F5">
        <w:rPr>
          <w:lang w:val="de-DE"/>
        </w:rPr>
        <w:t xml:space="preserve">Im Beschluss zur Bestellung </w:t>
      </w:r>
      <w:r w:rsidR="00A578B2" w:rsidRPr="004676F5">
        <w:rPr>
          <w:lang w:val="de-DE"/>
        </w:rPr>
        <w:t>[des Reorganisationsbearbeiters]</w:t>
      </w:r>
      <w:r w:rsidRPr="004676F5">
        <w:rPr>
          <w:lang w:val="de-DE"/>
        </w:rPr>
        <w:t xml:space="preserve"> werden Umfang und Dauer des Auftrags </w:t>
      </w:r>
      <w:r w:rsidR="00A578B2" w:rsidRPr="004676F5">
        <w:rPr>
          <w:lang w:val="de-DE"/>
        </w:rPr>
        <w:t xml:space="preserve">[des Reorganisationsbearbeiters] </w:t>
      </w:r>
      <w:r w:rsidRPr="004676F5">
        <w:rPr>
          <w:lang w:val="de-DE"/>
        </w:rPr>
        <w:t>gerechtfertigt und genau bestimmt.</w:t>
      </w:r>
    </w:p>
    <w:p w14:paraId="177AFB12" w14:textId="77777777" w:rsidR="00EE35E2" w:rsidRPr="004676F5" w:rsidRDefault="00EE35E2" w:rsidP="00EE35E2">
      <w:pPr>
        <w:ind w:firstLine="708"/>
        <w:jc w:val="both"/>
        <w:rPr>
          <w:lang w:val="de-DE"/>
        </w:rPr>
      </w:pPr>
    </w:p>
    <w:p w14:paraId="63FEAF03" w14:textId="041B5FAD" w:rsidR="00EE35E2" w:rsidRPr="004676F5" w:rsidRDefault="00EE35E2" w:rsidP="00EE35E2">
      <w:pPr>
        <w:ind w:firstLine="708"/>
        <w:jc w:val="both"/>
        <w:rPr>
          <w:lang w:val="de-DE"/>
        </w:rPr>
      </w:pPr>
      <w:r w:rsidRPr="004676F5">
        <w:rPr>
          <w:lang w:val="de-DE"/>
        </w:rPr>
        <w:t xml:space="preserve">Die Eröffnung eines Verfahrens der gerichtlichen Reorganisation als solche hat nicht die Beendigung des Auftrags </w:t>
      </w:r>
      <w:r w:rsidR="00A578B2" w:rsidRPr="004676F5">
        <w:rPr>
          <w:lang w:val="de-DE"/>
        </w:rPr>
        <w:t xml:space="preserve">[des Reorganisationsbearbeiters] </w:t>
      </w:r>
      <w:r w:rsidRPr="004676F5">
        <w:rPr>
          <w:lang w:val="de-DE"/>
        </w:rPr>
        <w:t>zur Folge. Im Urteil zur Eröffnung des Verfahrens der gerichtlichen Reorganisation oder in einem späteren Urteil wird bestimmt, in welchem Maße der Auftrag aufrechterhalten, geändert oder aufgehoben werden muss.</w:t>
      </w:r>
    </w:p>
    <w:p w14:paraId="6D1081C8" w14:textId="2D4FCD9E" w:rsidR="00320BC4" w:rsidRPr="004676F5" w:rsidRDefault="00320BC4" w:rsidP="00EE35E2">
      <w:pPr>
        <w:ind w:firstLine="708"/>
        <w:jc w:val="both"/>
        <w:rPr>
          <w:lang w:val="de-DE"/>
        </w:rPr>
      </w:pPr>
    </w:p>
    <w:p w14:paraId="698FF8E4" w14:textId="6B0D612F" w:rsidR="00320BC4" w:rsidRPr="004676F5" w:rsidRDefault="00320BC4" w:rsidP="00320BC4">
      <w:pPr>
        <w:jc w:val="both"/>
        <w:rPr>
          <w:i/>
          <w:lang w:val="de-DE"/>
        </w:rPr>
      </w:pPr>
      <w:r w:rsidRPr="004676F5">
        <w:rPr>
          <w:i/>
          <w:lang w:val="de-DE"/>
        </w:rPr>
        <w:t>[Art. XX.30</w:t>
      </w:r>
      <w:r w:rsidR="00A578B2" w:rsidRPr="004676F5">
        <w:rPr>
          <w:i/>
          <w:lang w:val="de-DE"/>
        </w:rPr>
        <w:t xml:space="preserve"> Abs. 1 ersetzt durch </w:t>
      </w:r>
      <w:r w:rsidR="00F7432B" w:rsidRPr="004676F5">
        <w:rPr>
          <w:i/>
          <w:lang w:val="de-DE"/>
        </w:rPr>
        <w:t>Art. 5</w:t>
      </w:r>
      <w:r w:rsidR="00F7432B" w:rsidRPr="004676F5">
        <w:rPr>
          <w:i/>
          <w:iCs/>
          <w:lang w:val="de-DE"/>
        </w:rPr>
        <w:t xml:space="preserve"> des G. vom 21. März 2021 (B.S. vom 26. März 2021), selbst aufgehoben durch Art. 271 des G. vom 7. Juni 2023 (B.S. vom 7. Juli 2023), und erneut ersetzt durch </w:t>
      </w:r>
      <w:r w:rsidR="00A578B2" w:rsidRPr="004676F5">
        <w:rPr>
          <w:i/>
          <w:lang w:val="de-DE"/>
        </w:rPr>
        <w:t>Art. 38 Nr. 1</w:t>
      </w:r>
      <w:r w:rsidR="00A578B2" w:rsidRPr="004676F5">
        <w:rPr>
          <w:i/>
          <w:iCs/>
          <w:lang w:val="de-DE"/>
        </w:rPr>
        <w:t xml:space="preserve"> des G. vom 7. Juni 2023 (B.S. vom 7. Juli 2023);</w:t>
      </w:r>
      <w:r w:rsidRPr="004676F5">
        <w:rPr>
          <w:i/>
          <w:lang w:val="de-DE"/>
        </w:rPr>
        <w:t xml:space="preserve"> frühere Absätze 2 und 3 aufgehoben durch Art. 220 des G. vom 15. April 2018 (B.S. vom 27. April 2018)</w:t>
      </w:r>
      <w:r w:rsidR="00A578B2" w:rsidRPr="004676F5">
        <w:rPr>
          <w:i/>
          <w:lang w:val="de-DE"/>
        </w:rPr>
        <w:t>; Abs. 2 abgeändert durch Art. 38 Nr. 2</w:t>
      </w:r>
      <w:r w:rsidR="00A578B2" w:rsidRPr="004676F5">
        <w:rPr>
          <w:i/>
          <w:iCs/>
          <w:lang w:val="de-DE"/>
        </w:rPr>
        <w:t xml:space="preserve"> des G. vom 7. Juni 2023 (B.S. vom 7. Juli 2023); Abs. 3 abgeändert durch Art. 38 Nr. 3 des G. vom 7. Juni 2023 (B.S. vom 7. Juli 2023)</w:t>
      </w:r>
      <w:r w:rsidRPr="004676F5">
        <w:rPr>
          <w:i/>
          <w:lang w:val="de-DE"/>
        </w:rPr>
        <w:t>]</w:t>
      </w:r>
    </w:p>
    <w:p w14:paraId="3C8CFF40" w14:textId="77777777" w:rsidR="00EE35E2" w:rsidRPr="004676F5" w:rsidRDefault="00EE35E2" w:rsidP="00EE35E2">
      <w:pPr>
        <w:ind w:firstLine="708"/>
        <w:jc w:val="both"/>
        <w:rPr>
          <w:lang w:val="de-DE"/>
        </w:rPr>
      </w:pPr>
    </w:p>
    <w:p w14:paraId="08290914" w14:textId="77777777" w:rsidR="00DF5BE5" w:rsidRPr="004676F5" w:rsidRDefault="00DF5BE5" w:rsidP="00EE35E2">
      <w:pPr>
        <w:ind w:firstLine="708"/>
        <w:jc w:val="both"/>
        <w:rPr>
          <w:lang w:val="de-DE"/>
        </w:rPr>
      </w:pPr>
    </w:p>
    <w:p w14:paraId="0793DA52" w14:textId="620162DE" w:rsidR="00EE35E2" w:rsidRPr="004676F5" w:rsidRDefault="00BE0A56" w:rsidP="00A578B2">
      <w:pPr>
        <w:ind w:firstLine="708"/>
        <w:jc w:val="both"/>
        <w:rPr>
          <w:lang w:val="de-DE"/>
        </w:rPr>
      </w:pPr>
      <w:r w:rsidRPr="004676F5">
        <w:rPr>
          <w:b/>
          <w:lang w:val="de-DE"/>
        </w:rPr>
        <w:t>Art. </w:t>
      </w:r>
      <w:r w:rsidR="00EE35E2" w:rsidRPr="004676F5">
        <w:rPr>
          <w:b/>
          <w:lang w:val="de-DE"/>
        </w:rPr>
        <w:t>XX.31</w:t>
      </w:r>
      <w:r w:rsidR="00EE35E2" w:rsidRPr="004676F5">
        <w:rPr>
          <w:lang w:val="de-DE"/>
        </w:rPr>
        <w:t> </w:t>
      </w:r>
      <w:r w:rsidR="005B7A5C" w:rsidRPr="004676F5">
        <w:rPr>
          <w:lang w:val="de-DE"/>
        </w:rPr>
        <w:t>- </w:t>
      </w:r>
      <w:r w:rsidR="00A578B2" w:rsidRPr="004676F5">
        <w:rPr>
          <w:lang w:val="de-DE"/>
        </w:rPr>
        <w:t>[...]</w:t>
      </w:r>
    </w:p>
    <w:p w14:paraId="68B0F5B2" w14:textId="67CE9297" w:rsidR="00320BC4" w:rsidRPr="004676F5" w:rsidRDefault="00320BC4" w:rsidP="00EE35E2">
      <w:pPr>
        <w:ind w:firstLine="708"/>
        <w:jc w:val="both"/>
        <w:rPr>
          <w:lang w:val="de-DE"/>
        </w:rPr>
      </w:pPr>
    </w:p>
    <w:p w14:paraId="7ADA9E64" w14:textId="6EEEDF05" w:rsidR="00320BC4" w:rsidRPr="004676F5" w:rsidRDefault="00320BC4" w:rsidP="00320BC4">
      <w:pPr>
        <w:jc w:val="both"/>
        <w:rPr>
          <w:i/>
          <w:lang w:val="de-DE"/>
        </w:rPr>
      </w:pPr>
      <w:r w:rsidRPr="004676F5">
        <w:rPr>
          <w:i/>
          <w:lang w:val="de-DE"/>
        </w:rPr>
        <w:t xml:space="preserve">[Art. XX.31 </w:t>
      </w:r>
      <w:r w:rsidR="00A578B2" w:rsidRPr="004676F5">
        <w:rPr>
          <w:i/>
          <w:lang w:val="de-DE"/>
        </w:rPr>
        <w:t>aufgehoben durch Art. 39</w:t>
      </w:r>
      <w:r w:rsidR="00A578B2" w:rsidRPr="004676F5">
        <w:rPr>
          <w:i/>
          <w:iCs/>
          <w:lang w:val="de-DE"/>
        </w:rPr>
        <w:t xml:space="preserve"> des G. vom 7. Juni 2023 (B.S. vom 7. Juli 2023)</w:t>
      </w:r>
      <w:r w:rsidRPr="004676F5">
        <w:rPr>
          <w:i/>
          <w:lang w:val="de-DE"/>
        </w:rPr>
        <w:t>]</w:t>
      </w:r>
    </w:p>
    <w:p w14:paraId="4E2B3DCD" w14:textId="77777777" w:rsidR="00EE35E2" w:rsidRPr="004676F5" w:rsidRDefault="00EE35E2" w:rsidP="00EE35E2">
      <w:pPr>
        <w:ind w:firstLine="708"/>
        <w:jc w:val="both"/>
        <w:rPr>
          <w:lang w:val="de-DE"/>
        </w:rPr>
      </w:pPr>
    </w:p>
    <w:p w14:paraId="6BEEC7C9" w14:textId="77777777" w:rsidR="00DF5BE5" w:rsidRPr="004676F5" w:rsidRDefault="00DF5BE5" w:rsidP="00EE35E2">
      <w:pPr>
        <w:ind w:firstLine="708"/>
        <w:jc w:val="both"/>
        <w:rPr>
          <w:lang w:val="de-DE"/>
        </w:rPr>
      </w:pPr>
    </w:p>
    <w:p w14:paraId="4273582A" w14:textId="2DD821AC" w:rsidR="00EE35E2" w:rsidRPr="004676F5" w:rsidRDefault="00BE0A56" w:rsidP="00EE35E2">
      <w:pPr>
        <w:ind w:firstLine="708"/>
        <w:jc w:val="both"/>
        <w:rPr>
          <w:lang w:val="de-DE"/>
        </w:rPr>
      </w:pPr>
      <w:r w:rsidRPr="004676F5">
        <w:rPr>
          <w:b/>
          <w:lang w:val="de-DE"/>
        </w:rPr>
        <w:t>Art. </w:t>
      </w:r>
      <w:r w:rsidR="00EE35E2" w:rsidRPr="004676F5">
        <w:rPr>
          <w:b/>
          <w:lang w:val="de-DE"/>
        </w:rPr>
        <w:t>XX.32</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Wenn schwerwiegende, genaue und übereinstimmende Indizien dafür bestehen, dass die Bedingungen für einen Konkurs erfüllt sind, kann der Gerichtspräsident dem Unternehmen die Verwaltung der Gesamtheit oder eines Teils seiner Aktiva oder seiner Tätigkeiten ganz oder teilweise entziehen.</w:t>
      </w:r>
    </w:p>
    <w:p w14:paraId="5E0A1DB2" w14:textId="77777777" w:rsidR="00EE35E2" w:rsidRPr="004676F5" w:rsidRDefault="00EE35E2" w:rsidP="00EE35E2">
      <w:pPr>
        <w:ind w:firstLine="708"/>
        <w:jc w:val="both"/>
        <w:rPr>
          <w:lang w:val="de-DE"/>
        </w:rPr>
      </w:pPr>
    </w:p>
    <w:p w14:paraId="452218B8" w14:textId="77777777" w:rsidR="00EE35E2" w:rsidRPr="004676F5" w:rsidRDefault="00EE35E2" w:rsidP="00EE35E2">
      <w:pPr>
        <w:ind w:firstLine="708"/>
        <w:jc w:val="both"/>
        <w:rPr>
          <w:lang w:val="de-DE"/>
        </w:rPr>
      </w:pPr>
      <w:r w:rsidRPr="004676F5">
        <w:rPr>
          <w:lang w:val="de-DE"/>
        </w:rPr>
        <w:t>Der Gerichtspräsident entscheidet entweder auf einseitige Antragschrift eines Interesse</w:t>
      </w:r>
      <w:r w:rsidRPr="004676F5">
        <w:rPr>
          <w:lang w:val="de-DE"/>
        </w:rPr>
        <w:softHyphen/>
        <w:t>habenden oder von Amts wegen.</w:t>
      </w:r>
    </w:p>
    <w:p w14:paraId="481B29A1" w14:textId="77777777" w:rsidR="00EE35E2" w:rsidRPr="004676F5" w:rsidRDefault="00EE35E2" w:rsidP="00EE35E2">
      <w:pPr>
        <w:ind w:firstLine="708"/>
        <w:jc w:val="both"/>
        <w:rPr>
          <w:lang w:val="de-DE"/>
        </w:rPr>
      </w:pPr>
    </w:p>
    <w:p w14:paraId="5518D6B6" w14:textId="5A544AAA"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Der Gerichtspräsident bestimmt einen oder mehrere vorläufige Verwalter, die Erfahrung auf dem Gebiet der Betriebs</w:t>
      </w:r>
      <w:r w:rsidR="005B7A5C" w:rsidRPr="004676F5">
        <w:rPr>
          <w:lang w:val="de-DE"/>
        </w:rPr>
        <w:t>- </w:t>
      </w:r>
      <w:r w:rsidRPr="004676F5">
        <w:rPr>
          <w:lang w:val="de-DE"/>
        </w:rPr>
        <w:t>und Buchführung haben, und bestimmt ihre Befugnisse. Das Konkursgeständnis oder die Vertretung des Unternehmens in einem Konkursverfahren gehören nicht zu diesen Befugnissen.</w:t>
      </w:r>
    </w:p>
    <w:p w14:paraId="34F1DA10" w14:textId="77777777" w:rsidR="00EE35E2" w:rsidRPr="004676F5" w:rsidRDefault="00EE35E2" w:rsidP="00EE35E2">
      <w:pPr>
        <w:ind w:firstLine="708"/>
        <w:jc w:val="both"/>
        <w:rPr>
          <w:lang w:val="de-DE"/>
        </w:rPr>
      </w:pPr>
    </w:p>
    <w:p w14:paraId="3D475867" w14:textId="77777777" w:rsidR="00EE35E2" w:rsidRPr="004676F5" w:rsidRDefault="00EE35E2" w:rsidP="00EE35E2">
      <w:pPr>
        <w:ind w:firstLine="708"/>
        <w:jc w:val="both"/>
        <w:rPr>
          <w:lang w:val="de-DE"/>
        </w:rPr>
      </w:pPr>
      <w:r w:rsidRPr="004676F5">
        <w:rPr>
          <w:lang w:val="de-DE"/>
        </w:rPr>
        <w:t>Der vorläufige Verwalter unterliegt einem Verhaltenskodex und seine Berufshaftpflicht muss durch eine Versicherung gedeckt sein.</w:t>
      </w:r>
    </w:p>
    <w:p w14:paraId="751730EB" w14:textId="77777777" w:rsidR="00EE35E2" w:rsidRPr="004676F5" w:rsidRDefault="00EE35E2" w:rsidP="00EE35E2">
      <w:pPr>
        <w:ind w:firstLine="708"/>
        <w:jc w:val="both"/>
        <w:rPr>
          <w:lang w:val="de-DE"/>
        </w:rPr>
      </w:pPr>
    </w:p>
    <w:p w14:paraId="15BCAED8" w14:textId="046BA92E"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Der Beschluss zum Entzug der Verwaltung bleibt nur wirksam, sofern binnen einundzwanzig Tagen nach seiner Verkündung von einer Interesse habenden Partei, darunter auch der von Amts wegen bestellte vorläufige Verwalter, eine Konkursklage oder eine Klage auf gerichtliche Auflösung oder auf gerichtliche Reorganisation eingereicht wird.</w:t>
      </w:r>
    </w:p>
    <w:p w14:paraId="028C5789" w14:textId="77777777" w:rsidR="00EE35E2" w:rsidRPr="004676F5" w:rsidRDefault="00EE35E2" w:rsidP="00EE35E2">
      <w:pPr>
        <w:ind w:firstLine="708"/>
        <w:jc w:val="both"/>
        <w:rPr>
          <w:lang w:val="de-DE"/>
        </w:rPr>
      </w:pPr>
    </w:p>
    <w:p w14:paraId="5D06C5AF" w14:textId="77777777" w:rsidR="00EE35E2" w:rsidRPr="004676F5" w:rsidRDefault="00EE35E2" w:rsidP="00EE35E2">
      <w:pPr>
        <w:ind w:firstLine="708"/>
        <w:jc w:val="both"/>
        <w:rPr>
          <w:lang w:val="de-DE"/>
        </w:rPr>
      </w:pPr>
      <w:r w:rsidRPr="004676F5">
        <w:rPr>
          <w:lang w:val="de-DE"/>
        </w:rPr>
        <w:t>Der Beschluss verliert von Rechts wegen seine Wirksamkeit, sofern der Konkurs, der Aufschub beziehungsweise die Auflösung nicht binnen vier Monaten nach Einreichung der Klage ausgesprochen wird. Diese Frist wird für die Dauer des dem Schuldner gewährten Zahlungsaufschubs oder während der infolge einer Wiedereröffnung der Verhandlung notwendigen Zeit ausgesetzt.</w:t>
      </w:r>
    </w:p>
    <w:p w14:paraId="67DABD24" w14:textId="77777777" w:rsidR="00EE35E2" w:rsidRPr="004676F5" w:rsidRDefault="00EE35E2" w:rsidP="00EE35E2">
      <w:pPr>
        <w:ind w:firstLine="708"/>
        <w:jc w:val="both"/>
        <w:rPr>
          <w:lang w:val="de-DE"/>
        </w:rPr>
      </w:pPr>
    </w:p>
    <w:p w14:paraId="4D96F481" w14:textId="77777777" w:rsidR="00EE35E2" w:rsidRPr="004676F5" w:rsidRDefault="00EE35E2" w:rsidP="00EE35E2">
      <w:pPr>
        <w:ind w:firstLine="708"/>
        <w:jc w:val="both"/>
        <w:rPr>
          <w:lang w:val="de-DE"/>
        </w:rPr>
      </w:pPr>
      <w:r w:rsidRPr="004676F5">
        <w:rPr>
          <w:lang w:val="de-DE"/>
        </w:rPr>
        <w:t>Der Präsident kann die Befugnisse der vorläufigen Verwalter auf ihren schriftlichen oder im Dringlichkeitsfall auch mündlichen Antrag hin jederzeit ändern.</w:t>
      </w:r>
    </w:p>
    <w:p w14:paraId="332EDE51" w14:textId="77777777" w:rsidR="00EE35E2" w:rsidRPr="004676F5" w:rsidRDefault="00EE35E2" w:rsidP="00EE35E2">
      <w:pPr>
        <w:ind w:firstLine="708"/>
        <w:jc w:val="both"/>
        <w:rPr>
          <w:lang w:val="de-DE"/>
        </w:rPr>
      </w:pPr>
    </w:p>
    <w:p w14:paraId="2813A105" w14:textId="675F1177"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Die Artikel 1031 bis 1034 des Gerichtsgesetzbuches sind ebenfalls anwendbar, wenn aufgrund des vorliegenden Artikels eine Entscheidung von Amts wegen getroffen wird.</w:t>
      </w:r>
    </w:p>
    <w:p w14:paraId="1414FD42" w14:textId="77777777" w:rsidR="00EE35E2" w:rsidRPr="004676F5" w:rsidRDefault="00EE35E2" w:rsidP="00EE35E2">
      <w:pPr>
        <w:ind w:firstLine="708"/>
        <w:jc w:val="both"/>
        <w:rPr>
          <w:lang w:val="de-DE"/>
        </w:rPr>
      </w:pPr>
    </w:p>
    <w:p w14:paraId="0444888C" w14:textId="10513750"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Vom Schuldner unter Verstoß gegen den Entzug der Verwaltung vorgenommene Handlungen sind der Masse gegenüber nicht wirksam, sofern diejenigen, die mit ihm gehandelt haben, vom Entzug der Verwaltung Kenntnis hatten oder sofern sie zu einer der drei in Artikel XX.111 erwähnten Kategorien von Handlungen gehören. Konkursverwalter sind jedoch nicht verpflichtet, die Unwirksamkeit der vom Konkursschuldner vorgenommenen Handlungen geltend zu machen, insoweit die Masse dadurch vermehrt worden ist.</w:t>
      </w:r>
    </w:p>
    <w:p w14:paraId="543725D8" w14:textId="77777777" w:rsidR="00EE35E2" w:rsidRPr="004676F5" w:rsidRDefault="00EE35E2" w:rsidP="00EE35E2">
      <w:pPr>
        <w:ind w:firstLine="708"/>
        <w:jc w:val="both"/>
        <w:rPr>
          <w:lang w:val="de-DE"/>
        </w:rPr>
      </w:pPr>
    </w:p>
    <w:p w14:paraId="62B3B824" w14:textId="77777777" w:rsidR="00EE35E2" w:rsidRPr="004676F5" w:rsidRDefault="00EE35E2" w:rsidP="00EE35E2">
      <w:pPr>
        <w:ind w:firstLine="708"/>
        <w:jc w:val="both"/>
        <w:rPr>
          <w:lang w:val="de-DE"/>
        </w:rPr>
      </w:pPr>
      <w:r w:rsidRPr="004676F5">
        <w:rPr>
          <w:lang w:val="de-DE"/>
        </w:rPr>
        <w:t>Hat der Schuldner am Tag der Entscheidung zum Entzug der Verwaltung über seine Güter verfügt, wird davon ausgegangen, dass der Schuldner nach dieser Entscheidung über seine Güter verfügt hat.</w:t>
      </w:r>
    </w:p>
    <w:p w14:paraId="23AC33C4" w14:textId="77777777" w:rsidR="00EE35E2" w:rsidRPr="004676F5" w:rsidRDefault="00EE35E2" w:rsidP="00EE35E2">
      <w:pPr>
        <w:ind w:firstLine="708"/>
        <w:jc w:val="both"/>
        <w:rPr>
          <w:lang w:val="de-DE"/>
        </w:rPr>
      </w:pPr>
    </w:p>
    <w:p w14:paraId="204AB541" w14:textId="77777777" w:rsidR="00EE35E2" w:rsidRPr="004676F5" w:rsidRDefault="00EE35E2" w:rsidP="00EE35E2">
      <w:pPr>
        <w:ind w:firstLine="708"/>
        <w:jc w:val="both"/>
        <w:rPr>
          <w:lang w:val="de-DE"/>
        </w:rPr>
      </w:pPr>
      <w:r w:rsidRPr="004676F5">
        <w:rPr>
          <w:lang w:val="de-DE"/>
        </w:rPr>
        <w:t>Ist nach der Entscheidung zum Entzug der Verwaltung eine Zahlung an den Schuldner erfolgt und ist sie nicht an den mit der Einnahme von Zahlungen beauftragten vorläufigen Verwalter geleistet worden, gilt derjenige, der gezahlt hat, als von seiner Schuld befreit, wenn er von der Entscheidung keine Kenntnis hatte.</w:t>
      </w:r>
    </w:p>
    <w:p w14:paraId="6D184A4A" w14:textId="77777777" w:rsidR="00EE35E2" w:rsidRPr="004676F5" w:rsidRDefault="00EE35E2" w:rsidP="00EE35E2">
      <w:pPr>
        <w:ind w:firstLine="708"/>
        <w:jc w:val="both"/>
        <w:rPr>
          <w:lang w:val="de-DE"/>
        </w:rPr>
      </w:pPr>
    </w:p>
    <w:p w14:paraId="57E6E441" w14:textId="6A00712B" w:rsidR="00EE35E2" w:rsidRPr="004676F5" w:rsidRDefault="00EE35E2" w:rsidP="00EE35E2">
      <w:pPr>
        <w:ind w:firstLine="708"/>
        <w:jc w:val="both"/>
        <w:rPr>
          <w:lang w:val="de-DE"/>
        </w:rPr>
      </w:pPr>
      <w:r w:rsidRPr="004676F5">
        <w:rPr>
          <w:lang w:val="de-DE"/>
        </w:rPr>
        <w:t>§ 6 </w:t>
      </w:r>
      <w:r w:rsidR="005B7A5C" w:rsidRPr="004676F5">
        <w:rPr>
          <w:lang w:val="de-DE"/>
        </w:rPr>
        <w:t>- </w:t>
      </w:r>
      <w:r w:rsidRPr="004676F5">
        <w:rPr>
          <w:lang w:val="de-DE"/>
        </w:rPr>
        <w:t>Im Streitfall veranschlagt der Gerichtspräsident die Kosten des vorläufigen Verwalters gemäß Artikel XX.20 § 3. Für die Kosten wird von der klagenden Partei oder, bei Bestellung von Amts wegen, vom Schuldner ein Betrag als Sicherheit hinterlegt. Für die Forderung des vorläufigen Verwalters gilt bei anschließender Gläubigerkonkurrenz das in den Artikeln 17 und 19 Nr. 1 des Hypothekengesetzes vom 16. Dezember 1851 erwähnte Vorzugs</w:t>
      </w:r>
      <w:r w:rsidRPr="004676F5">
        <w:rPr>
          <w:lang w:val="de-DE"/>
        </w:rPr>
        <w:softHyphen/>
        <w:t>recht oder diese Forderung wird bei einer gerichtlichen Reorganisation wie eine außergewöhnliche aufgeschobene Forderung behandelt.</w:t>
      </w:r>
    </w:p>
    <w:p w14:paraId="4FCF76B1" w14:textId="77777777" w:rsidR="00EE35E2" w:rsidRPr="004676F5" w:rsidRDefault="00EE35E2" w:rsidP="00EE35E2">
      <w:pPr>
        <w:ind w:firstLine="708"/>
        <w:jc w:val="both"/>
        <w:rPr>
          <w:lang w:val="de-DE"/>
        </w:rPr>
      </w:pPr>
    </w:p>
    <w:p w14:paraId="65093F69" w14:textId="77777777" w:rsidR="00DF5BE5" w:rsidRPr="004676F5" w:rsidRDefault="00DF5BE5" w:rsidP="00EE35E2">
      <w:pPr>
        <w:ind w:firstLine="708"/>
        <w:jc w:val="both"/>
        <w:rPr>
          <w:lang w:val="de-DE"/>
        </w:rPr>
      </w:pPr>
    </w:p>
    <w:p w14:paraId="2ED29A8E" w14:textId="7F8A4063" w:rsidR="00EE35E2" w:rsidRPr="004676F5" w:rsidRDefault="00BE0A56" w:rsidP="00EE35E2">
      <w:pPr>
        <w:ind w:firstLine="708"/>
        <w:jc w:val="both"/>
        <w:rPr>
          <w:lang w:val="de-DE"/>
        </w:rPr>
      </w:pPr>
      <w:r w:rsidRPr="004676F5">
        <w:rPr>
          <w:b/>
          <w:lang w:val="de-DE"/>
        </w:rPr>
        <w:t>Art. </w:t>
      </w:r>
      <w:r w:rsidR="00EE35E2" w:rsidRPr="004676F5">
        <w:rPr>
          <w:b/>
          <w:lang w:val="de-DE"/>
        </w:rPr>
        <w:t>XX.33</w:t>
      </w:r>
      <w:r w:rsidR="00EE35E2" w:rsidRPr="004676F5">
        <w:rPr>
          <w:lang w:val="de-DE"/>
        </w:rPr>
        <w:t> </w:t>
      </w:r>
      <w:r w:rsidR="005B7A5C" w:rsidRPr="004676F5">
        <w:rPr>
          <w:lang w:val="de-DE"/>
        </w:rPr>
        <w:t>- </w:t>
      </w:r>
      <w:r w:rsidR="00EE35E2" w:rsidRPr="004676F5">
        <w:rPr>
          <w:lang w:val="de-DE"/>
        </w:rPr>
        <w:t>In den Artikeln XX.30</w:t>
      </w:r>
      <w:r w:rsidR="00A578B2" w:rsidRPr="004676F5">
        <w:rPr>
          <w:lang w:val="de-DE"/>
        </w:rPr>
        <w:t xml:space="preserve"> [...]</w:t>
      </w:r>
      <w:r w:rsidR="00EE35E2" w:rsidRPr="004676F5">
        <w:rPr>
          <w:lang w:val="de-DE"/>
        </w:rPr>
        <w:t xml:space="preserve"> und XX.32 erwähnte Entscheidungen werden </w:t>
      </w:r>
      <w:r w:rsidR="000E7387" w:rsidRPr="004676F5">
        <w:rPr>
          <w:lang w:val="de-DE"/>
        </w:rPr>
        <w:t xml:space="preserve">[auf Betreiben des Greffiers] </w:t>
      </w:r>
      <w:r w:rsidR="00EE35E2" w:rsidRPr="004676F5">
        <w:rPr>
          <w:lang w:val="de-DE"/>
        </w:rPr>
        <w:t xml:space="preserve">im </w:t>
      </w:r>
      <w:r w:rsidR="00EE35E2" w:rsidRPr="004676F5">
        <w:rPr>
          <w:i/>
          <w:lang w:val="de-DE"/>
        </w:rPr>
        <w:t>Belgischen Staatsblatt</w:t>
      </w:r>
      <w:r w:rsidR="00EE35E2" w:rsidRPr="004676F5">
        <w:rPr>
          <w:lang w:val="de-DE"/>
        </w:rPr>
        <w:t xml:space="preserve"> veröffentlicht.</w:t>
      </w:r>
    </w:p>
    <w:p w14:paraId="607FF347" w14:textId="77777777" w:rsidR="00EE35E2" w:rsidRPr="004676F5" w:rsidRDefault="00EE35E2" w:rsidP="00EE35E2">
      <w:pPr>
        <w:ind w:firstLine="708"/>
        <w:jc w:val="both"/>
        <w:rPr>
          <w:lang w:val="de-DE"/>
        </w:rPr>
      </w:pPr>
    </w:p>
    <w:p w14:paraId="27A4E5C1" w14:textId="77777777" w:rsidR="00EE35E2" w:rsidRPr="004676F5" w:rsidRDefault="00EE35E2" w:rsidP="00EE35E2">
      <w:pPr>
        <w:ind w:firstLine="708"/>
        <w:jc w:val="both"/>
        <w:rPr>
          <w:lang w:val="de-DE"/>
        </w:rPr>
      </w:pPr>
      <w:r w:rsidRPr="004676F5">
        <w:rPr>
          <w:lang w:val="de-DE"/>
        </w:rPr>
        <w:t>Der König kann den Inhalt dieser Veröffentlichung festlegen.</w:t>
      </w:r>
    </w:p>
    <w:p w14:paraId="7C0ED35C" w14:textId="77777777" w:rsidR="00EE35E2" w:rsidRPr="004676F5" w:rsidRDefault="00EE35E2" w:rsidP="000E7387">
      <w:pPr>
        <w:jc w:val="both"/>
        <w:rPr>
          <w:lang w:val="de-DE"/>
        </w:rPr>
      </w:pPr>
    </w:p>
    <w:p w14:paraId="07C0C3D4" w14:textId="0ED2BF61" w:rsidR="000E7387" w:rsidRPr="004676F5" w:rsidRDefault="000E7387" w:rsidP="000E7387">
      <w:pPr>
        <w:jc w:val="both"/>
        <w:rPr>
          <w:i/>
          <w:iCs/>
          <w:lang w:val="de-DE"/>
        </w:rPr>
      </w:pPr>
      <w:r w:rsidRPr="004676F5">
        <w:rPr>
          <w:i/>
          <w:iCs/>
          <w:lang w:val="de-DE"/>
        </w:rPr>
        <w:t>[Art. XX.33 Abs. 1 abgeändert durch Art. 40 Nr. 1 und 2 des G. vom 7. Juni 2023 (B.S. vom 7. Juli 2023)]</w:t>
      </w:r>
    </w:p>
    <w:p w14:paraId="5FCF5DBE" w14:textId="77777777" w:rsidR="00DF5BE5" w:rsidRPr="004676F5" w:rsidRDefault="00DF5BE5" w:rsidP="00EE35E2">
      <w:pPr>
        <w:ind w:firstLine="708"/>
        <w:jc w:val="both"/>
        <w:rPr>
          <w:lang w:val="de-DE"/>
        </w:rPr>
      </w:pPr>
    </w:p>
    <w:p w14:paraId="387BD7A8" w14:textId="77777777" w:rsidR="000E7387" w:rsidRPr="004676F5" w:rsidRDefault="000E7387" w:rsidP="00EE35E2">
      <w:pPr>
        <w:ind w:firstLine="708"/>
        <w:jc w:val="both"/>
        <w:rPr>
          <w:lang w:val="de-DE"/>
        </w:rPr>
      </w:pPr>
    </w:p>
    <w:p w14:paraId="314C1C77" w14:textId="72B49C03" w:rsidR="00EE35E2" w:rsidRPr="004676F5" w:rsidRDefault="00BE0A56" w:rsidP="00DF5BE5">
      <w:pPr>
        <w:ind w:firstLine="708"/>
        <w:jc w:val="both"/>
        <w:rPr>
          <w:lang w:val="de-DE"/>
        </w:rPr>
      </w:pPr>
      <w:r w:rsidRPr="004676F5">
        <w:rPr>
          <w:b/>
          <w:lang w:val="de-DE"/>
        </w:rPr>
        <w:t>Art. </w:t>
      </w:r>
      <w:r w:rsidR="00EE35E2" w:rsidRPr="004676F5">
        <w:rPr>
          <w:b/>
          <w:lang w:val="de-DE"/>
        </w:rPr>
        <w:t>XX.34</w:t>
      </w:r>
      <w:r w:rsidR="00EE35E2" w:rsidRPr="004676F5">
        <w:rPr>
          <w:lang w:val="de-DE"/>
        </w:rPr>
        <w:t> </w:t>
      </w:r>
      <w:r w:rsidR="005B7A5C" w:rsidRPr="004676F5">
        <w:rPr>
          <w:lang w:val="de-DE"/>
        </w:rPr>
        <w:t>- </w:t>
      </w:r>
      <w:r w:rsidR="00EE35E2" w:rsidRPr="004676F5">
        <w:rPr>
          <w:lang w:val="de-DE"/>
        </w:rPr>
        <w:t>Gegen Entscheidungen in Anwendung der Artikel XX.30</w:t>
      </w:r>
      <w:r w:rsidR="000E7387" w:rsidRPr="004676F5">
        <w:rPr>
          <w:lang w:val="de-DE"/>
        </w:rPr>
        <w:t xml:space="preserve"> [...]</w:t>
      </w:r>
      <w:r w:rsidR="00EE35E2" w:rsidRPr="004676F5">
        <w:rPr>
          <w:lang w:val="de-DE"/>
        </w:rPr>
        <w:t xml:space="preserve"> und XX.32 kann kein Einspruch eingelegt werden.</w:t>
      </w:r>
    </w:p>
    <w:p w14:paraId="39CDA8FF" w14:textId="77777777" w:rsidR="000E7387" w:rsidRPr="004676F5" w:rsidRDefault="000E7387" w:rsidP="000E7387">
      <w:pPr>
        <w:jc w:val="both"/>
        <w:rPr>
          <w:lang w:val="de-DE"/>
        </w:rPr>
      </w:pPr>
    </w:p>
    <w:p w14:paraId="1E1D0E0F" w14:textId="0EDDFE33" w:rsidR="000E7387" w:rsidRPr="004676F5" w:rsidRDefault="000E7387" w:rsidP="000E7387">
      <w:pPr>
        <w:jc w:val="both"/>
        <w:rPr>
          <w:i/>
          <w:iCs/>
          <w:lang w:val="de-DE"/>
        </w:rPr>
      </w:pPr>
      <w:r w:rsidRPr="004676F5">
        <w:rPr>
          <w:i/>
          <w:iCs/>
          <w:lang w:val="de-DE"/>
        </w:rPr>
        <w:t>[Art. XX.34 abgeändert durch Art. 41 des G. vom 7. Juni 2023 (B.S. vom 7. Juli 2023)]</w:t>
      </w:r>
    </w:p>
    <w:p w14:paraId="4FECBDEC" w14:textId="77777777" w:rsidR="00EE35E2" w:rsidRPr="004676F5" w:rsidRDefault="00EE35E2" w:rsidP="00EE35E2">
      <w:pPr>
        <w:ind w:firstLine="708"/>
        <w:jc w:val="both"/>
        <w:rPr>
          <w:lang w:val="de-DE"/>
        </w:rPr>
      </w:pPr>
    </w:p>
    <w:p w14:paraId="483EE585" w14:textId="77777777" w:rsidR="00DF5BE5" w:rsidRPr="004676F5" w:rsidRDefault="00DF5BE5" w:rsidP="00EE35E2">
      <w:pPr>
        <w:ind w:firstLine="708"/>
        <w:jc w:val="both"/>
        <w:rPr>
          <w:lang w:val="de-DE"/>
        </w:rPr>
      </w:pPr>
    </w:p>
    <w:p w14:paraId="2FF7F08A" w14:textId="18BD9EE9" w:rsidR="00EE35E2" w:rsidRPr="004676F5" w:rsidRDefault="00BE0A56" w:rsidP="00EE35E2">
      <w:pPr>
        <w:ind w:firstLine="708"/>
        <w:jc w:val="both"/>
        <w:rPr>
          <w:lang w:val="de-DE"/>
        </w:rPr>
      </w:pPr>
      <w:r w:rsidRPr="004676F5">
        <w:rPr>
          <w:b/>
          <w:lang w:val="de-DE"/>
        </w:rPr>
        <w:t>Art. </w:t>
      </w:r>
      <w:r w:rsidR="00EE35E2" w:rsidRPr="004676F5">
        <w:rPr>
          <w:b/>
          <w:lang w:val="de-DE"/>
        </w:rPr>
        <w:t>XX.35</w:t>
      </w:r>
      <w:r w:rsidR="00EE35E2" w:rsidRPr="004676F5">
        <w:rPr>
          <w:lang w:val="de-DE"/>
        </w:rPr>
        <w:t> </w:t>
      </w:r>
      <w:r w:rsidR="005B7A5C" w:rsidRPr="004676F5">
        <w:rPr>
          <w:lang w:val="de-DE"/>
        </w:rPr>
        <w:t>- </w:t>
      </w:r>
      <w:r w:rsidR="00EE35E2" w:rsidRPr="004676F5">
        <w:rPr>
          <w:lang w:val="de-DE"/>
        </w:rPr>
        <w:t>Berufung gegen Entscheidungen in Anwendung der Artikel XX.30</w:t>
      </w:r>
      <w:r w:rsidR="000E7387" w:rsidRPr="004676F5">
        <w:rPr>
          <w:lang w:val="de-DE"/>
        </w:rPr>
        <w:t xml:space="preserve"> [...]</w:t>
      </w:r>
      <w:r w:rsidR="00EE35E2" w:rsidRPr="004676F5">
        <w:rPr>
          <w:lang w:val="de-DE"/>
        </w:rPr>
        <w:t xml:space="preserve"> und XX.32 wird durch eine Antragschrift eingelegt, die innerhalb acht Tagen ab Veröffent</w:t>
      </w:r>
      <w:r w:rsidR="00EE35E2" w:rsidRPr="004676F5">
        <w:rPr>
          <w:lang w:val="de-DE"/>
        </w:rPr>
        <w:softHyphen/>
        <w:t xml:space="preserve">lichung des Urteils oder Beschlusses bei der Kanzlei des </w:t>
      </w:r>
      <w:r w:rsidR="00C71A83" w:rsidRPr="004676F5">
        <w:rPr>
          <w:lang w:val="de-DE"/>
        </w:rPr>
        <w:t>Appellations</w:t>
      </w:r>
      <w:r w:rsidR="008506A5" w:rsidRPr="004676F5">
        <w:rPr>
          <w:lang w:val="de-DE"/>
        </w:rPr>
        <w:t>hofes</w:t>
      </w:r>
      <w:bookmarkStart w:id="0" w:name="_Ref12609997"/>
      <w:r w:rsidR="00623258" w:rsidRPr="004676F5">
        <w:rPr>
          <w:rStyle w:val="Appelnotedebasdep"/>
          <w:lang w:val="de-DE"/>
        </w:rPr>
        <w:footnoteReference w:id="1"/>
      </w:r>
      <w:bookmarkEnd w:id="0"/>
      <w:r w:rsidR="008506A5" w:rsidRPr="004676F5">
        <w:rPr>
          <w:lang w:val="de-DE"/>
        </w:rPr>
        <w:t xml:space="preserve"> </w:t>
      </w:r>
      <w:r w:rsidR="00EE35E2" w:rsidRPr="004676F5">
        <w:rPr>
          <w:lang w:val="de-DE"/>
        </w:rPr>
        <w:t>hinterlegt wird. Spätestens am ersten Werktag nach Hinterlegung der Antragschrift notifiziert der Greffier des</w:t>
      </w:r>
      <w:r w:rsidR="008506A5" w:rsidRPr="004676F5">
        <w:rPr>
          <w:lang w:val="de-DE"/>
        </w:rPr>
        <w:t xml:space="preserve"> </w:t>
      </w:r>
      <w:r w:rsidR="00623258" w:rsidRPr="004676F5">
        <w:rPr>
          <w:lang w:val="de-DE"/>
        </w:rPr>
        <w:t>Appellationshofes</w:t>
      </w:r>
      <w:r w:rsidR="004120DF" w:rsidRPr="004676F5">
        <w:rPr>
          <w:vertAlign w:val="superscript"/>
          <w:lang w:val="de-DE"/>
        </w:rPr>
        <w:fldChar w:fldCharType="begin"/>
      </w:r>
      <w:r w:rsidR="004120DF" w:rsidRPr="004676F5">
        <w:rPr>
          <w:vertAlign w:val="superscript"/>
          <w:lang w:val="de-DE"/>
        </w:rPr>
        <w:instrText xml:space="preserve"> NOTEREF _Ref12609997 \h  \* MERGEFORMAT </w:instrText>
      </w:r>
      <w:r w:rsidR="004120DF" w:rsidRPr="004676F5">
        <w:rPr>
          <w:vertAlign w:val="superscript"/>
          <w:lang w:val="de-DE"/>
        </w:rPr>
      </w:r>
      <w:r w:rsidR="004120DF" w:rsidRPr="004676F5">
        <w:rPr>
          <w:vertAlign w:val="superscript"/>
          <w:lang w:val="de-DE"/>
        </w:rPr>
        <w:fldChar w:fldCharType="separate"/>
      </w:r>
      <w:r w:rsidR="00E704C1">
        <w:rPr>
          <w:vertAlign w:val="superscript"/>
          <w:lang w:val="de-DE"/>
        </w:rPr>
        <w:t>1</w:t>
      </w:r>
      <w:r w:rsidR="004120DF" w:rsidRPr="004676F5">
        <w:rPr>
          <w:vertAlign w:val="superscript"/>
          <w:lang w:val="de-DE"/>
        </w:rPr>
        <w:fldChar w:fldCharType="end"/>
      </w:r>
      <w:r w:rsidR="00623258" w:rsidRPr="004676F5">
        <w:rPr>
          <w:lang w:val="de-DE"/>
        </w:rPr>
        <w:t xml:space="preserve"> </w:t>
      </w:r>
      <w:r w:rsidR="00EE35E2" w:rsidRPr="004676F5">
        <w:rPr>
          <w:lang w:val="de-DE"/>
        </w:rPr>
        <w:t>die Antragschrift per Gerichtsbrief dem möglichen Berufungsbeklagten und gegebenenfalls durch gewöhnlichen Brief oder elektronisch seinem Rechtsanwalt.</w:t>
      </w:r>
    </w:p>
    <w:p w14:paraId="0C5D2B60" w14:textId="77777777" w:rsidR="000E7387" w:rsidRPr="004676F5" w:rsidRDefault="000E7387" w:rsidP="000E7387">
      <w:pPr>
        <w:jc w:val="both"/>
        <w:rPr>
          <w:lang w:val="de-DE"/>
        </w:rPr>
      </w:pPr>
    </w:p>
    <w:p w14:paraId="0D967E4D" w14:textId="71C2B566" w:rsidR="000E7387" w:rsidRPr="004676F5" w:rsidRDefault="000E7387" w:rsidP="000E7387">
      <w:pPr>
        <w:jc w:val="both"/>
        <w:rPr>
          <w:i/>
          <w:iCs/>
          <w:lang w:val="de-DE"/>
        </w:rPr>
      </w:pPr>
      <w:r w:rsidRPr="004676F5">
        <w:rPr>
          <w:i/>
          <w:iCs/>
          <w:lang w:val="de-DE"/>
        </w:rPr>
        <w:t>[Art. XX.35 abgeändert durch Art. 42 des G. vom 7. Juni 2023 (B.S. vom 7. Juli 2023)]</w:t>
      </w:r>
    </w:p>
    <w:p w14:paraId="55D3B413" w14:textId="77777777" w:rsidR="008506A5" w:rsidRPr="004676F5" w:rsidRDefault="008506A5" w:rsidP="00EE35E2">
      <w:pPr>
        <w:ind w:firstLine="708"/>
        <w:jc w:val="both"/>
        <w:rPr>
          <w:lang w:val="de-DE"/>
        </w:rPr>
      </w:pPr>
    </w:p>
    <w:p w14:paraId="35B023DB" w14:textId="77777777" w:rsidR="00EE35E2" w:rsidRPr="004676F5" w:rsidRDefault="00EE35E2" w:rsidP="00EE35E2">
      <w:pPr>
        <w:jc w:val="both"/>
        <w:rPr>
          <w:lang w:val="de-DE"/>
        </w:rPr>
      </w:pPr>
    </w:p>
    <w:p w14:paraId="415C5210" w14:textId="77777777" w:rsidR="00DF5BE5" w:rsidRPr="004676F5" w:rsidRDefault="00DF5BE5">
      <w:pPr>
        <w:rPr>
          <w:b/>
          <w:lang w:val="de-DE"/>
        </w:rPr>
      </w:pPr>
      <w:r w:rsidRPr="004676F5">
        <w:rPr>
          <w:b/>
          <w:lang w:val="de-DE"/>
        </w:rPr>
        <w:br w:type="page"/>
      </w:r>
    </w:p>
    <w:p w14:paraId="0DC510EC" w14:textId="51C66EE3" w:rsidR="00EE35E2" w:rsidRPr="004676F5" w:rsidRDefault="00EE35E2" w:rsidP="00EE35E2">
      <w:pPr>
        <w:jc w:val="center"/>
        <w:rPr>
          <w:bCs/>
          <w:iCs/>
          <w:lang w:val="de-DE"/>
        </w:rPr>
      </w:pPr>
      <w:r w:rsidRPr="004676F5">
        <w:rPr>
          <w:b/>
          <w:lang w:val="de-DE"/>
        </w:rPr>
        <w:lastRenderedPageBreak/>
        <w:t>TITEL 4 </w:t>
      </w:r>
      <w:r w:rsidR="005B7A5C" w:rsidRPr="004676F5">
        <w:rPr>
          <w:b/>
          <w:lang w:val="de-DE"/>
        </w:rPr>
        <w:t>- </w:t>
      </w:r>
      <w:r w:rsidR="000E7387" w:rsidRPr="004676F5">
        <w:rPr>
          <w:bCs/>
          <w:lang w:val="de-DE"/>
        </w:rPr>
        <w:t>[</w:t>
      </w:r>
      <w:r w:rsidR="000E7387" w:rsidRPr="004676F5">
        <w:rPr>
          <w:b/>
          <w:bCs/>
          <w:i/>
          <w:iCs/>
          <w:lang w:val="de-DE"/>
        </w:rPr>
        <w:t>Gütliche Einigung außerhalb einer gerichtlichen Reorganisation</w:t>
      </w:r>
      <w:r w:rsidR="000E7387" w:rsidRPr="004676F5">
        <w:rPr>
          <w:bCs/>
          <w:iCs/>
          <w:lang w:val="de-DE"/>
        </w:rPr>
        <w:t>]</w:t>
      </w:r>
    </w:p>
    <w:p w14:paraId="38D00695" w14:textId="77777777" w:rsidR="000E7387" w:rsidRPr="004676F5" w:rsidRDefault="000E7387" w:rsidP="000E7387">
      <w:pPr>
        <w:rPr>
          <w:bCs/>
          <w:iCs/>
          <w:lang w:val="de-DE"/>
        </w:rPr>
      </w:pPr>
    </w:p>
    <w:p w14:paraId="58C07265" w14:textId="58C3E6F8" w:rsidR="000E7387" w:rsidRPr="004676F5" w:rsidRDefault="000E7387" w:rsidP="000E7387">
      <w:pPr>
        <w:rPr>
          <w:b/>
          <w:i/>
          <w:lang w:val="de-DE"/>
        </w:rPr>
      </w:pPr>
      <w:r w:rsidRPr="004676F5">
        <w:rPr>
          <w:bCs/>
          <w:i/>
          <w:lang w:val="de-DE"/>
        </w:rPr>
        <w:t>[Überschrift von Titel 4 ersetzt durch Art. 43</w:t>
      </w:r>
      <w:r w:rsidRPr="004676F5">
        <w:rPr>
          <w:bCs/>
          <w:i/>
          <w:iCs/>
          <w:lang w:val="de-DE"/>
        </w:rPr>
        <w:t xml:space="preserve"> des G. vom 7. Juni 2023 (B.S. vom 7. Juli 2023)]</w:t>
      </w:r>
    </w:p>
    <w:p w14:paraId="5C26F0CB" w14:textId="77777777" w:rsidR="00EE35E2" w:rsidRPr="004676F5" w:rsidRDefault="00EE35E2" w:rsidP="00EE35E2">
      <w:pPr>
        <w:jc w:val="both"/>
        <w:rPr>
          <w:lang w:val="de-DE"/>
        </w:rPr>
      </w:pPr>
    </w:p>
    <w:p w14:paraId="5CF08B63" w14:textId="77777777" w:rsidR="00DF5BE5" w:rsidRPr="004676F5" w:rsidRDefault="00DF5BE5" w:rsidP="00EE35E2">
      <w:pPr>
        <w:jc w:val="both"/>
        <w:rPr>
          <w:lang w:val="de-DE"/>
        </w:rPr>
      </w:pPr>
    </w:p>
    <w:p w14:paraId="0E2ED512" w14:textId="250E32F9" w:rsidR="00EE35E2" w:rsidRPr="004676F5" w:rsidRDefault="00BE0A56" w:rsidP="000E7387">
      <w:pPr>
        <w:ind w:firstLine="708"/>
        <w:jc w:val="both"/>
        <w:rPr>
          <w:lang w:val="de-DE"/>
        </w:rPr>
      </w:pPr>
      <w:r w:rsidRPr="004676F5">
        <w:rPr>
          <w:b/>
          <w:lang w:val="de-DE"/>
        </w:rPr>
        <w:t>Art. </w:t>
      </w:r>
      <w:r w:rsidR="00EE35E2" w:rsidRPr="004676F5">
        <w:rPr>
          <w:b/>
          <w:lang w:val="de-DE"/>
        </w:rPr>
        <w:t>XX.36</w:t>
      </w:r>
      <w:r w:rsidR="00EE35E2" w:rsidRPr="004676F5">
        <w:rPr>
          <w:lang w:val="de-DE"/>
        </w:rPr>
        <w:t> </w:t>
      </w:r>
      <w:r w:rsidR="005B7A5C" w:rsidRPr="004676F5">
        <w:rPr>
          <w:lang w:val="de-DE"/>
        </w:rPr>
        <w:t>- </w:t>
      </w:r>
      <w:r w:rsidR="000E7387" w:rsidRPr="004676F5">
        <w:rPr>
          <w:lang w:val="de-DE"/>
        </w:rPr>
        <w:t>[...]</w:t>
      </w:r>
    </w:p>
    <w:p w14:paraId="79DAB5BA" w14:textId="77777777" w:rsidR="000E7387" w:rsidRPr="004676F5" w:rsidRDefault="000E7387" w:rsidP="000E7387">
      <w:pPr>
        <w:jc w:val="both"/>
        <w:rPr>
          <w:lang w:val="de-DE"/>
        </w:rPr>
      </w:pPr>
    </w:p>
    <w:p w14:paraId="38292CAE" w14:textId="6A69F813" w:rsidR="000E7387" w:rsidRPr="004676F5" w:rsidRDefault="000E7387" w:rsidP="000E7387">
      <w:pPr>
        <w:jc w:val="both"/>
        <w:rPr>
          <w:i/>
          <w:iCs/>
          <w:lang w:val="de-DE"/>
        </w:rPr>
      </w:pPr>
      <w:r w:rsidRPr="004676F5">
        <w:rPr>
          <w:i/>
          <w:iCs/>
          <w:lang w:val="de-DE"/>
        </w:rPr>
        <w:t>[Art. XX.36 aufgehoben durch Art. 44 des G. vom 7. Juni 2023 (B.S. vom 7. Juli 2023)]</w:t>
      </w:r>
    </w:p>
    <w:p w14:paraId="35B0D9D3" w14:textId="77777777" w:rsidR="00EE35E2" w:rsidRPr="004676F5" w:rsidRDefault="00EE35E2" w:rsidP="00EE35E2">
      <w:pPr>
        <w:ind w:firstLine="708"/>
        <w:jc w:val="both"/>
        <w:rPr>
          <w:lang w:val="de-DE"/>
        </w:rPr>
      </w:pPr>
    </w:p>
    <w:p w14:paraId="5CA135AA" w14:textId="77777777" w:rsidR="00DF5BE5" w:rsidRPr="004676F5" w:rsidRDefault="00DF5BE5" w:rsidP="00EE35E2">
      <w:pPr>
        <w:ind w:firstLine="708"/>
        <w:jc w:val="both"/>
        <w:rPr>
          <w:lang w:val="de-DE"/>
        </w:rPr>
      </w:pPr>
    </w:p>
    <w:p w14:paraId="2F949592" w14:textId="44B58FFD" w:rsidR="00EE35E2" w:rsidRPr="004676F5" w:rsidRDefault="00BE0A56" w:rsidP="00EE35E2">
      <w:pPr>
        <w:ind w:firstLine="708"/>
        <w:jc w:val="both"/>
        <w:rPr>
          <w:lang w:val="de-DE"/>
        </w:rPr>
      </w:pPr>
      <w:r w:rsidRPr="004676F5">
        <w:rPr>
          <w:b/>
          <w:lang w:val="de-DE"/>
        </w:rPr>
        <w:t>Art. </w:t>
      </w:r>
      <w:r w:rsidR="00EE35E2" w:rsidRPr="004676F5">
        <w:rPr>
          <w:b/>
          <w:lang w:val="de-DE"/>
        </w:rPr>
        <w:t>XX.37</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Der Schuldner kann </w:t>
      </w:r>
      <w:r w:rsidR="000E7387" w:rsidRPr="004676F5">
        <w:rPr>
          <w:lang w:val="de-DE"/>
        </w:rPr>
        <w:t>[einem oder mehreren seiner Gläubiger]</w:t>
      </w:r>
      <w:r w:rsidR="00EE35E2" w:rsidRPr="004676F5">
        <w:rPr>
          <w:lang w:val="de-DE"/>
        </w:rPr>
        <w:t xml:space="preserve"> im Hinblick auf die Reorganisation der Gesamtheit oder eines Teils seiner Aktiva oder seiner Tätigkeiten eine gütliche Einigung vorschlagen. </w:t>
      </w:r>
      <w:r w:rsidR="000E7387" w:rsidRPr="004676F5">
        <w:rPr>
          <w:lang w:val="de-DE"/>
        </w:rPr>
        <w:t>[...]</w:t>
      </w:r>
    </w:p>
    <w:p w14:paraId="723AE192" w14:textId="77777777" w:rsidR="00EE35E2" w:rsidRPr="004676F5" w:rsidRDefault="00EE35E2" w:rsidP="00EE35E2">
      <w:pPr>
        <w:ind w:firstLine="708"/>
        <w:jc w:val="both"/>
        <w:rPr>
          <w:lang w:val="de-DE"/>
        </w:rPr>
      </w:pPr>
    </w:p>
    <w:p w14:paraId="57EC8E95" w14:textId="77777777" w:rsidR="00EE35E2" w:rsidRPr="004676F5" w:rsidRDefault="00EE35E2" w:rsidP="00EE35E2">
      <w:pPr>
        <w:ind w:firstLine="708"/>
        <w:jc w:val="both"/>
        <w:rPr>
          <w:lang w:val="de-DE"/>
        </w:rPr>
      </w:pPr>
      <w:r w:rsidRPr="004676F5">
        <w:rPr>
          <w:lang w:val="de-DE"/>
        </w:rPr>
        <w:t>Die Parteien vereinbaren frei den Inhalt dieser Einigung, die Dritte nicht bindet.</w:t>
      </w:r>
    </w:p>
    <w:p w14:paraId="3408B149" w14:textId="77777777" w:rsidR="000E7387" w:rsidRPr="004676F5" w:rsidRDefault="000E7387" w:rsidP="00EE35E2">
      <w:pPr>
        <w:ind w:firstLine="708"/>
        <w:jc w:val="both"/>
        <w:rPr>
          <w:lang w:val="de-DE"/>
        </w:rPr>
      </w:pPr>
    </w:p>
    <w:p w14:paraId="4CA5D3D7" w14:textId="5986AFFB" w:rsidR="000E7387" w:rsidRPr="004676F5" w:rsidRDefault="000E7387" w:rsidP="00EE35E2">
      <w:pPr>
        <w:ind w:firstLine="708"/>
        <w:jc w:val="both"/>
        <w:rPr>
          <w:lang w:val="de-DE"/>
        </w:rPr>
      </w:pPr>
      <w:r w:rsidRPr="004676F5">
        <w:rPr>
          <w:lang w:val="de-DE"/>
        </w:rPr>
        <w:t>[Der Vorschlag muss in Deutsch, Französisch oder Niederländisch oder einer im internationalen Handel gebräuchlichen Sprache erstellt werden.]</w:t>
      </w:r>
    </w:p>
    <w:p w14:paraId="2926BD60" w14:textId="77777777" w:rsidR="00EE35E2" w:rsidRPr="004676F5" w:rsidRDefault="00EE35E2" w:rsidP="00EE35E2">
      <w:pPr>
        <w:ind w:firstLine="708"/>
        <w:jc w:val="both"/>
        <w:rPr>
          <w:lang w:val="de-DE"/>
        </w:rPr>
      </w:pPr>
    </w:p>
    <w:p w14:paraId="057AC169" w14:textId="6A61B018" w:rsidR="00EE35E2" w:rsidRPr="004676F5" w:rsidRDefault="00EE35E2" w:rsidP="000E7387">
      <w:pPr>
        <w:ind w:firstLine="708"/>
        <w:jc w:val="both"/>
        <w:rPr>
          <w:lang w:val="de-DE"/>
        </w:rPr>
      </w:pPr>
      <w:r w:rsidRPr="004676F5">
        <w:rPr>
          <w:lang w:val="de-DE"/>
        </w:rPr>
        <w:t>§ 2 </w:t>
      </w:r>
      <w:r w:rsidR="005B7A5C" w:rsidRPr="004676F5">
        <w:rPr>
          <w:lang w:val="de-DE"/>
        </w:rPr>
        <w:t>- </w:t>
      </w:r>
      <w:r w:rsidR="000E7387" w:rsidRPr="004676F5">
        <w:rPr>
          <w:lang w:val="de-DE"/>
        </w:rPr>
        <w:t>[...]</w:t>
      </w:r>
    </w:p>
    <w:p w14:paraId="515A9563" w14:textId="77777777" w:rsidR="00EE35E2" w:rsidRPr="004676F5" w:rsidRDefault="00EE35E2" w:rsidP="00EE35E2">
      <w:pPr>
        <w:ind w:firstLine="708"/>
        <w:jc w:val="both"/>
        <w:rPr>
          <w:lang w:val="de-DE"/>
        </w:rPr>
      </w:pPr>
    </w:p>
    <w:p w14:paraId="1B21D24E" w14:textId="42DEE2D3"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Vorliegende Bestimmung gilt unbeschadet der Verpflichtungen, die Arbeitnehmer oder ihre Vertreter gemäß den geltenden gesetzlichen oder vertraglichen Bestimmungen zu konsultieren und zu unterrichten.</w:t>
      </w:r>
    </w:p>
    <w:p w14:paraId="7B8DBDEB" w14:textId="77777777" w:rsidR="00EE35E2" w:rsidRPr="004676F5" w:rsidRDefault="00EE35E2" w:rsidP="00EE35E2">
      <w:pPr>
        <w:ind w:firstLine="708"/>
        <w:jc w:val="both"/>
        <w:rPr>
          <w:lang w:val="de-DE"/>
        </w:rPr>
      </w:pPr>
    </w:p>
    <w:p w14:paraId="07BBDA6F" w14:textId="1A2C81AE" w:rsidR="00EE35E2" w:rsidRPr="004676F5" w:rsidRDefault="00EE35E2" w:rsidP="00EE35E2">
      <w:pPr>
        <w:ind w:firstLine="708"/>
        <w:jc w:val="both"/>
        <w:rPr>
          <w:lang w:val="de-DE"/>
        </w:rPr>
      </w:pPr>
      <w:r w:rsidRPr="004676F5">
        <w:rPr>
          <w:lang w:val="de-DE"/>
        </w:rPr>
        <w:t>§ 4 </w:t>
      </w:r>
      <w:r w:rsidR="005B7A5C" w:rsidRPr="004676F5">
        <w:rPr>
          <w:lang w:val="de-DE"/>
        </w:rPr>
        <w:t>- </w:t>
      </w:r>
      <w:r w:rsidR="000E7387" w:rsidRPr="004676F5">
        <w:rPr>
          <w:lang w:val="de-DE"/>
        </w:rPr>
        <w:t>[...]</w:t>
      </w:r>
    </w:p>
    <w:p w14:paraId="614DE2EB" w14:textId="77777777" w:rsidR="000E7387" w:rsidRPr="004676F5" w:rsidRDefault="000E7387" w:rsidP="000E7387">
      <w:pPr>
        <w:jc w:val="both"/>
        <w:rPr>
          <w:lang w:val="de-DE"/>
        </w:rPr>
      </w:pPr>
    </w:p>
    <w:p w14:paraId="2392B6F6" w14:textId="02EB31D0" w:rsidR="000E7387" w:rsidRPr="004676F5" w:rsidRDefault="000E7387" w:rsidP="000E7387">
      <w:pPr>
        <w:jc w:val="both"/>
        <w:rPr>
          <w:i/>
          <w:iCs/>
          <w:lang w:val="de-DE"/>
        </w:rPr>
      </w:pPr>
      <w:r w:rsidRPr="004676F5">
        <w:rPr>
          <w:i/>
          <w:iCs/>
          <w:lang w:val="de-DE"/>
        </w:rPr>
        <w:t>[Art. XX.37 § 1 Abs. 1 abgeändert durch Art. 45 Nr. 1 des G. vom 7. Juni 2023 (B.S. vom 7. Juli 2023); § 1 Abs. 3 eingefügt durch Art. 45 Nr. 2 des G. vom 7. Juni 2023 (B.S. vom 7. Juli 2023); §§ 2 und 4 aufgehoben durch Art. 45 Nr. 3 des G. vom 7. Juni 2023 (B.S. vom 7. Juli 2023)]</w:t>
      </w:r>
    </w:p>
    <w:p w14:paraId="4CB783C1" w14:textId="77777777" w:rsidR="00EE35E2" w:rsidRPr="004676F5" w:rsidRDefault="00EE35E2" w:rsidP="00EE35E2">
      <w:pPr>
        <w:ind w:firstLine="708"/>
        <w:jc w:val="both"/>
        <w:rPr>
          <w:lang w:val="de-DE"/>
        </w:rPr>
      </w:pPr>
    </w:p>
    <w:p w14:paraId="37465C21" w14:textId="77777777" w:rsidR="00DF5BE5" w:rsidRPr="004676F5" w:rsidRDefault="00DF5BE5" w:rsidP="00EE35E2">
      <w:pPr>
        <w:ind w:firstLine="708"/>
        <w:jc w:val="both"/>
        <w:rPr>
          <w:lang w:val="de-DE"/>
        </w:rPr>
      </w:pPr>
    </w:p>
    <w:p w14:paraId="6F8A7BDD" w14:textId="77777777" w:rsidR="006D7745" w:rsidRPr="004676F5" w:rsidRDefault="00BE0A56" w:rsidP="006D7745">
      <w:pPr>
        <w:ind w:firstLine="708"/>
        <w:jc w:val="both"/>
        <w:rPr>
          <w:lang w:val="de-DE"/>
        </w:rPr>
      </w:pPr>
      <w:r w:rsidRPr="004676F5">
        <w:rPr>
          <w:b/>
          <w:lang w:val="de-DE"/>
        </w:rPr>
        <w:t>Art. </w:t>
      </w:r>
      <w:r w:rsidR="00EE35E2" w:rsidRPr="004676F5">
        <w:rPr>
          <w:b/>
          <w:lang w:val="de-DE"/>
        </w:rPr>
        <w:t>XX.38</w:t>
      </w:r>
      <w:r w:rsidR="00EE35E2" w:rsidRPr="004676F5">
        <w:rPr>
          <w:lang w:val="de-DE"/>
        </w:rPr>
        <w:t> </w:t>
      </w:r>
      <w:r w:rsidR="005B7A5C" w:rsidRPr="004676F5">
        <w:rPr>
          <w:lang w:val="de-DE"/>
        </w:rPr>
        <w:t>- </w:t>
      </w:r>
      <w:r w:rsidR="006D7745" w:rsidRPr="004676F5">
        <w:rPr>
          <w:lang w:val="de-DE"/>
        </w:rPr>
        <w:t>[§ 1 - Durch kontradiktorische Antragschrift, die an den Gerichts</w:t>
      </w:r>
      <w:r w:rsidR="006D7745" w:rsidRPr="004676F5">
        <w:rPr>
          <w:lang w:val="de-DE"/>
        </w:rPr>
        <w:softHyphen/>
        <w:t>präsidenten gerichtet und allen von der Vereinbarung betroffenen Parteien notifiziert wird, kann der Schuldner oder eine der Parteien der Vereinbarung beim Gerichtspräsidenten beantragen, die gütliche Einigung zu homologieren und gegebenenfalls die Gesamtheit oder einen Teil der darin aufgenommenen Forderungen für vollstreckbar zu erklären. Das Verfahren verläuft gemäß den Artikeln 1025 bis 1034</w:t>
      </w:r>
      <w:r w:rsidR="006D7745" w:rsidRPr="004676F5">
        <w:rPr>
          <w:i/>
          <w:lang w:val="de-DE"/>
        </w:rPr>
        <w:t>ter</w:t>
      </w:r>
      <w:r w:rsidR="006D7745" w:rsidRPr="004676F5">
        <w:rPr>
          <w:lang w:val="de-DE"/>
        </w:rPr>
        <w:t xml:space="preserve"> des Gerichtsgesetzbuches. Die Antragschrift muss nicht unbedingt von einem Rechtsanwalt unterzeichnet sein. Sie wird in der Sprache des Gerichts eingereicht.</w:t>
      </w:r>
    </w:p>
    <w:p w14:paraId="2EBEC279" w14:textId="77777777" w:rsidR="006D7745" w:rsidRPr="004676F5" w:rsidRDefault="006D7745" w:rsidP="006D7745">
      <w:pPr>
        <w:jc w:val="both"/>
        <w:rPr>
          <w:lang w:val="de-DE"/>
        </w:rPr>
      </w:pPr>
    </w:p>
    <w:p w14:paraId="67377917" w14:textId="77777777" w:rsidR="006D7745" w:rsidRPr="004676F5" w:rsidRDefault="006D7745" w:rsidP="006D7745">
      <w:pPr>
        <w:jc w:val="both"/>
        <w:rPr>
          <w:lang w:val="de-DE"/>
        </w:rPr>
      </w:pPr>
      <w:r w:rsidRPr="004676F5">
        <w:rPr>
          <w:lang w:val="de-DE"/>
        </w:rPr>
        <w:tab/>
        <w:t>Der Homologierungsantrag wird vom Antragsteller in das Register eingetragen. Der Antragsteller lädt die betroffenen Parteien ein, den Antrag über das Register zur Kenntnis zu nehmen.</w:t>
      </w:r>
    </w:p>
    <w:p w14:paraId="562D5F17" w14:textId="77777777" w:rsidR="006D7745" w:rsidRPr="004676F5" w:rsidRDefault="006D7745" w:rsidP="006D7745">
      <w:pPr>
        <w:jc w:val="both"/>
        <w:rPr>
          <w:lang w:val="de-DE"/>
        </w:rPr>
      </w:pPr>
    </w:p>
    <w:p w14:paraId="25A5D93D" w14:textId="77777777" w:rsidR="006D7745" w:rsidRPr="004676F5" w:rsidRDefault="006D7745" w:rsidP="006D7745">
      <w:pPr>
        <w:jc w:val="both"/>
        <w:rPr>
          <w:lang w:val="de-DE"/>
        </w:rPr>
      </w:pPr>
      <w:r w:rsidRPr="004676F5">
        <w:rPr>
          <w:lang w:val="de-DE"/>
        </w:rPr>
        <w:tab/>
        <w:t>Dritte, die nicht Partei der Vereinbarung waren, dürfen nur mit ausdrücklicher Zustimmung des Schuldners Kenntnis von dem Antrag nehmen.</w:t>
      </w:r>
    </w:p>
    <w:p w14:paraId="668BB181" w14:textId="77777777" w:rsidR="006D7745" w:rsidRPr="004676F5" w:rsidRDefault="006D7745" w:rsidP="006D7745">
      <w:pPr>
        <w:jc w:val="both"/>
        <w:rPr>
          <w:lang w:val="de-DE"/>
        </w:rPr>
      </w:pPr>
    </w:p>
    <w:p w14:paraId="1825927C" w14:textId="77777777" w:rsidR="006D7745" w:rsidRPr="004676F5" w:rsidRDefault="006D7745" w:rsidP="006D7745">
      <w:pPr>
        <w:jc w:val="both"/>
        <w:rPr>
          <w:lang w:val="de-DE"/>
        </w:rPr>
      </w:pPr>
      <w:r w:rsidRPr="004676F5">
        <w:rPr>
          <w:lang w:val="de-DE"/>
        </w:rPr>
        <w:lastRenderedPageBreak/>
        <w:tab/>
        <w:t>Das Gericht verweigert die Homologierung der Vereinbarung, wenn der Schuldner offensichtlich keine Aussicht auf wirtschaftliche Bestandfähigkeit hat oder wenn die Vereinbarung offensichtlich nicht umgesetzt werden kann, ohne die Rechte Dritter an den Aktiva des Schuldners zu beeinträchtigen.</w:t>
      </w:r>
    </w:p>
    <w:p w14:paraId="747152BF" w14:textId="77777777" w:rsidR="006D7745" w:rsidRPr="004676F5" w:rsidRDefault="006D7745" w:rsidP="006D7745">
      <w:pPr>
        <w:jc w:val="both"/>
        <w:rPr>
          <w:lang w:val="de-DE"/>
        </w:rPr>
      </w:pPr>
    </w:p>
    <w:p w14:paraId="3A804FF7" w14:textId="77777777" w:rsidR="006D7745" w:rsidRPr="004676F5" w:rsidRDefault="006D7745" w:rsidP="006D7745">
      <w:pPr>
        <w:jc w:val="both"/>
        <w:rPr>
          <w:lang w:val="de-DE"/>
        </w:rPr>
      </w:pPr>
      <w:r w:rsidRPr="004676F5">
        <w:rPr>
          <w:lang w:val="de-DE"/>
        </w:rPr>
        <w:tab/>
        <w:t>§ 2 - Artikel 8.22 des Zivilgesetzbuches und die Artikel XX.111 Nr. 2 und 3 und XX.112 sind weder auf gütliche Einigungen noch auf Handlungen anwendbar, die in Ausführung einer solchen gütlichen Einigung vorgenommen werden, wenn die Vereinbarung homologiert worden ist.</w:t>
      </w:r>
    </w:p>
    <w:p w14:paraId="678883D4" w14:textId="77777777" w:rsidR="006D7745" w:rsidRPr="004676F5" w:rsidRDefault="006D7745" w:rsidP="006D7745">
      <w:pPr>
        <w:jc w:val="both"/>
        <w:rPr>
          <w:lang w:val="de-DE"/>
        </w:rPr>
      </w:pPr>
    </w:p>
    <w:p w14:paraId="7B3658B1" w14:textId="77777777" w:rsidR="006D7745" w:rsidRPr="004676F5" w:rsidRDefault="006D7745" w:rsidP="006D7745">
      <w:pPr>
        <w:jc w:val="both"/>
        <w:rPr>
          <w:lang w:val="de-DE"/>
        </w:rPr>
      </w:pPr>
      <w:r w:rsidRPr="004676F5">
        <w:rPr>
          <w:lang w:val="de-DE"/>
        </w:rPr>
        <w:tab/>
        <w:t>Ist die Vereinbarung homologiert worden, können Gläubiger, die an einer gütlichen Einigung teilnehmen, vom Schuldner, von einem anderen Gläubiger oder von einem Dritten nicht aus dem alleinigen Grund haftbar gemacht werden, dass die gütliche Einigung es nicht ermöglicht hat, den Fortbestand der Gesamtheit oder eines Teils der Aktiva oder der Tätigkeiten tatsächlich zu gewährleisten.</w:t>
      </w:r>
    </w:p>
    <w:p w14:paraId="6EF58817" w14:textId="77777777" w:rsidR="006D7745" w:rsidRPr="004676F5" w:rsidRDefault="006D7745" w:rsidP="006D7745">
      <w:pPr>
        <w:jc w:val="both"/>
        <w:rPr>
          <w:lang w:val="de-DE"/>
        </w:rPr>
      </w:pPr>
    </w:p>
    <w:p w14:paraId="5C72DC0E" w14:textId="77777777" w:rsidR="006D7745" w:rsidRPr="004676F5" w:rsidRDefault="006D7745" w:rsidP="006D7745">
      <w:pPr>
        <w:jc w:val="both"/>
        <w:rPr>
          <w:lang w:val="de-DE"/>
        </w:rPr>
      </w:pPr>
      <w:r w:rsidRPr="004676F5">
        <w:rPr>
          <w:lang w:val="de-DE"/>
        </w:rPr>
        <w:tab/>
        <w:t>§ 3 - Diese Entscheidung unterliegt weder Veröffentlichung noch Notifizierung. Gegen die Entscheidung kann keine Berufung eingelegt werden.</w:t>
      </w:r>
    </w:p>
    <w:p w14:paraId="3D70EF1C" w14:textId="77777777" w:rsidR="006D7745" w:rsidRPr="004676F5" w:rsidRDefault="006D7745" w:rsidP="006D7745">
      <w:pPr>
        <w:jc w:val="both"/>
        <w:rPr>
          <w:lang w:val="de-DE"/>
        </w:rPr>
      </w:pPr>
    </w:p>
    <w:p w14:paraId="3091DFD6" w14:textId="77777777" w:rsidR="006D7745" w:rsidRPr="004676F5" w:rsidRDefault="006D7745" w:rsidP="006D7745">
      <w:pPr>
        <w:jc w:val="both"/>
        <w:rPr>
          <w:lang w:val="de-DE"/>
        </w:rPr>
      </w:pPr>
      <w:r w:rsidRPr="004676F5">
        <w:rPr>
          <w:lang w:val="de-DE"/>
        </w:rPr>
        <w:tab/>
        <w:t>Gegebenenfalls kann der Gerichtspräsident auf Antrag des Schuldners einen Reorganisationsbearbeiter bestellen, um die Ausführung der gütlichen Einigung zu erleichtern.</w:t>
      </w:r>
    </w:p>
    <w:p w14:paraId="6744E656" w14:textId="77777777" w:rsidR="006D7745" w:rsidRPr="004676F5" w:rsidRDefault="006D7745" w:rsidP="006D7745">
      <w:pPr>
        <w:jc w:val="both"/>
        <w:rPr>
          <w:lang w:val="de-DE"/>
        </w:rPr>
      </w:pPr>
    </w:p>
    <w:p w14:paraId="6DB8AB44" w14:textId="3EF0F745" w:rsidR="00EE35E2" w:rsidRPr="004676F5" w:rsidRDefault="006D7745" w:rsidP="006D7745">
      <w:pPr>
        <w:ind w:firstLine="708"/>
        <w:jc w:val="both"/>
        <w:rPr>
          <w:lang w:val="de-DE"/>
        </w:rPr>
      </w:pPr>
      <w:r w:rsidRPr="004676F5">
        <w:rPr>
          <w:lang w:val="de-DE"/>
        </w:rPr>
        <w:t>§ 4 - Für Kosten der gesetzlichen Formvorschriften, die erforderlich sind, damit Rechte aus einer gütlichen Einigung Drittwirksamkeit erlangen, gilt bei anschließender Gläubigerkonkurrenz das in den Artikeln 17 und 19 Nr. 1 des Hypothekengesetzes vom 16. Dezember 1851 erwähnte Vorzugsrecht.]</w:t>
      </w:r>
    </w:p>
    <w:p w14:paraId="7F5CE889" w14:textId="77777777" w:rsidR="006D7745" w:rsidRPr="004676F5" w:rsidRDefault="006D7745" w:rsidP="006D7745">
      <w:pPr>
        <w:jc w:val="both"/>
        <w:rPr>
          <w:lang w:val="de-DE"/>
        </w:rPr>
      </w:pPr>
    </w:p>
    <w:p w14:paraId="1DC72AAD" w14:textId="76C3088B" w:rsidR="006D7745" w:rsidRPr="004676F5" w:rsidRDefault="006D7745" w:rsidP="006D7745">
      <w:pPr>
        <w:jc w:val="both"/>
        <w:rPr>
          <w:i/>
          <w:iCs/>
          <w:lang w:val="de-DE"/>
        </w:rPr>
      </w:pPr>
      <w:r w:rsidRPr="004676F5">
        <w:rPr>
          <w:i/>
          <w:iCs/>
          <w:lang w:val="de-DE"/>
        </w:rPr>
        <w:t>[Art. XX.38 ersetzt durch Art. 46 des G. vom 7. Juni 2023 (B.S. vom 7. Juli 2023)]</w:t>
      </w:r>
    </w:p>
    <w:p w14:paraId="608F3A1A" w14:textId="77777777" w:rsidR="00EE35E2" w:rsidRPr="004676F5" w:rsidRDefault="00EE35E2" w:rsidP="00EE35E2">
      <w:pPr>
        <w:jc w:val="both"/>
        <w:rPr>
          <w:lang w:val="de-DE"/>
        </w:rPr>
      </w:pPr>
    </w:p>
    <w:p w14:paraId="71B4CE96" w14:textId="77777777" w:rsidR="003E519F" w:rsidRPr="004676F5" w:rsidRDefault="003E519F">
      <w:pPr>
        <w:rPr>
          <w:b/>
          <w:lang w:val="de-DE"/>
        </w:rPr>
        <w:sectPr w:rsidR="003E519F" w:rsidRPr="004676F5" w:rsidSect="004120DF">
          <w:type w:val="continuous"/>
          <w:pgSz w:w="11906" w:h="16838" w:code="9"/>
          <w:pgMar w:top="1418" w:right="1418" w:bottom="1418" w:left="1418" w:header="709" w:footer="709" w:gutter="0"/>
          <w:cols w:space="708"/>
          <w:docGrid w:linePitch="360"/>
        </w:sectPr>
      </w:pPr>
    </w:p>
    <w:p w14:paraId="406633D9" w14:textId="13CEF1BE" w:rsidR="00EE35E2" w:rsidRPr="004676F5" w:rsidRDefault="00EE35E2" w:rsidP="00EE35E2">
      <w:pPr>
        <w:jc w:val="center"/>
        <w:rPr>
          <w:bCs/>
          <w:iCs/>
          <w:lang w:val="de-DE"/>
        </w:rPr>
      </w:pPr>
      <w:r w:rsidRPr="004676F5">
        <w:rPr>
          <w:b/>
          <w:lang w:val="de-DE"/>
        </w:rPr>
        <w:lastRenderedPageBreak/>
        <w:t>TITEL 5 </w:t>
      </w:r>
      <w:r w:rsidR="005B7A5C" w:rsidRPr="004676F5">
        <w:rPr>
          <w:b/>
          <w:lang w:val="de-DE"/>
        </w:rPr>
        <w:t>- </w:t>
      </w:r>
      <w:r w:rsidR="006D7745" w:rsidRPr="004676F5">
        <w:rPr>
          <w:bCs/>
          <w:lang w:val="de-DE"/>
        </w:rPr>
        <w:t>[</w:t>
      </w:r>
      <w:r w:rsidR="006D7745" w:rsidRPr="004676F5">
        <w:rPr>
          <w:b/>
          <w:i/>
          <w:lang w:val="de-DE"/>
        </w:rPr>
        <w:t>Allgemeine Bestimmungen für die Titel 5/1 und 5/2</w:t>
      </w:r>
      <w:r w:rsidR="006D7745" w:rsidRPr="004676F5">
        <w:rPr>
          <w:bCs/>
          <w:iCs/>
          <w:lang w:val="de-DE"/>
        </w:rPr>
        <w:t>]</w:t>
      </w:r>
    </w:p>
    <w:p w14:paraId="2DC1CDE5" w14:textId="77777777" w:rsidR="006D7745" w:rsidRPr="004676F5" w:rsidRDefault="006D7745" w:rsidP="00EE35E2">
      <w:pPr>
        <w:jc w:val="center"/>
        <w:rPr>
          <w:bCs/>
          <w:iCs/>
          <w:lang w:val="de-DE"/>
        </w:rPr>
      </w:pPr>
    </w:p>
    <w:p w14:paraId="1A88E189" w14:textId="5C7D8888" w:rsidR="006D7745" w:rsidRPr="004676F5" w:rsidRDefault="006D7745" w:rsidP="006D7745">
      <w:pPr>
        <w:jc w:val="center"/>
        <w:rPr>
          <w:b/>
          <w:bCs/>
          <w:i/>
          <w:iCs/>
          <w:lang w:val="de-DE"/>
        </w:rPr>
      </w:pPr>
      <w:r w:rsidRPr="004676F5">
        <w:rPr>
          <w:bCs/>
          <w:i/>
          <w:iCs/>
          <w:lang w:val="de-DE"/>
        </w:rPr>
        <w:t>[Überschrift von Titel 5 ersetzt durch Art. 47 des G. vom 7. Juni 2023 (B.S. vom 7. Juli 2023)]</w:t>
      </w:r>
    </w:p>
    <w:p w14:paraId="6F4531F4" w14:textId="77777777" w:rsidR="006D7745" w:rsidRPr="004676F5" w:rsidRDefault="006D7745" w:rsidP="00EE35E2">
      <w:pPr>
        <w:jc w:val="center"/>
        <w:rPr>
          <w:bCs/>
          <w:iCs/>
          <w:lang w:val="de-DE"/>
        </w:rPr>
      </w:pPr>
    </w:p>
    <w:p w14:paraId="2BDFE047" w14:textId="77777777" w:rsidR="00EE35E2" w:rsidRPr="004676F5" w:rsidRDefault="00EE35E2" w:rsidP="00EE35E2">
      <w:pPr>
        <w:jc w:val="center"/>
        <w:rPr>
          <w:lang w:val="de-DE"/>
        </w:rPr>
      </w:pPr>
    </w:p>
    <w:p w14:paraId="48B614CB" w14:textId="6292AD81" w:rsidR="00EE35E2" w:rsidRPr="004676F5" w:rsidRDefault="00EE35E2" w:rsidP="00EE35E2">
      <w:pPr>
        <w:jc w:val="center"/>
        <w:rPr>
          <w:i/>
          <w:lang w:val="de-DE"/>
        </w:rPr>
      </w:pPr>
      <w:r w:rsidRPr="004676F5">
        <w:rPr>
          <w:lang w:val="de-DE"/>
        </w:rPr>
        <w:t>KAPITEL 1 </w:t>
      </w:r>
      <w:r w:rsidR="005B7A5C" w:rsidRPr="004676F5">
        <w:rPr>
          <w:lang w:val="de-DE"/>
        </w:rPr>
        <w:t>- </w:t>
      </w:r>
      <w:r w:rsidR="006D7745" w:rsidRPr="004676F5">
        <w:rPr>
          <w:iCs/>
          <w:lang w:val="de-DE"/>
        </w:rPr>
        <w:t>[</w:t>
      </w:r>
      <w:r w:rsidR="006D7745" w:rsidRPr="004676F5">
        <w:rPr>
          <w:i/>
          <w:iCs/>
          <w:lang w:val="de-DE"/>
        </w:rPr>
        <w:t>Einleitende Bestimmungen für die Titel 5/1 und 5/2</w:t>
      </w:r>
      <w:r w:rsidR="006D7745" w:rsidRPr="004676F5">
        <w:rPr>
          <w:lang w:val="de-DE"/>
        </w:rPr>
        <w:t>]</w:t>
      </w:r>
    </w:p>
    <w:p w14:paraId="0C48895D" w14:textId="77777777" w:rsidR="00EE35E2" w:rsidRPr="004676F5" w:rsidRDefault="00EE35E2" w:rsidP="00EE35E2">
      <w:pPr>
        <w:jc w:val="center"/>
        <w:rPr>
          <w:lang w:val="de-DE"/>
        </w:rPr>
      </w:pPr>
    </w:p>
    <w:p w14:paraId="5476178F" w14:textId="23511D8C" w:rsidR="006D7745" w:rsidRPr="004676F5" w:rsidRDefault="006D7745" w:rsidP="006D7745">
      <w:pPr>
        <w:jc w:val="both"/>
        <w:rPr>
          <w:b/>
          <w:i/>
          <w:lang w:val="de-DE"/>
        </w:rPr>
      </w:pPr>
      <w:r w:rsidRPr="004676F5">
        <w:rPr>
          <w:bCs/>
          <w:i/>
          <w:lang w:val="de-DE"/>
        </w:rPr>
        <w:t>[Überschrift von Kapitel 1 ersetzt durch Art. 48</w:t>
      </w:r>
      <w:r w:rsidRPr="004676F5">
        <w:rPr>
          <w:bCs/>
          <w:i/>
          <w:iCs/>
          <w:lang w:val="de-DE"/>
        </w:rPr>
        <w:t xml:space="preserve"> des G. vom 7. Juni 2023 (B.S. vom 7. Juli 2023)]</w:t>
      </w:r>
    </w:p>
    <w:p w14:paraId="02E4E426" w14:textId="77777777" w:rsidR="006D7745" w:rsidRPr="004676F5" w:rsidRDefault="006D7745" w:rsidP="006D7745">
      <w:pPr>
        <w:jc w:val="both"/>
        <w:rPr>
          <w:lang w:val="de-DE"/>
        </w:rPr>
      </w:pPr>
    </w:p>
    <w:p w14:paraId="39A9A8BB" w14:textId="77777777" w:rsidR="006D7745" w:rsidRPr="004676F5" w:rsidRDefault="006D7745" w:rsidP="00EE35E2">
      <w:pPr>
        <w:jc w:val="center"/>
        <w:rPr>
          <w:i/>
          <w:lang w:val="de-DE"/>
        </w:rPr>
      </w:pPr>
    </w:p>
    <w:p w14:paraId="527313F9" w14:textId="304DC2E2" w:rsidR="00EE35E2" w:rsidRPr="004676F5" w:rsidRDefault="006D7745" w:rsidP="00EE35E2">
      <w:pPr>
        <w:jc w:val="center"/>
        <w:rPr>
          <w:iCs/>
          <w:lang w:val="de-DE"/>
        </w:rPr>
      </w:pPr>
      <w:r w:rsidRPr="004676F5">
        <w:rPr>
          <w:iCs/>
          <w:lang w:val="de-DE"/>
        </w:rPr>
        <w:t>[...]</w:t>
      </w:r>
    </w:p>
    <w:p w14:paraId="23D22AEC" w14:textId="77777777" w:rsidR="00EE35E2" w:rsidRPr="004676F5" w:rsidRDefault="00EE35E2" w:rsidP="00EE35E2">
      <w:pPr>
        <w:jc w:val="both"/>
        <w:rPr>
          <w:lang w:val="de-DE"/>
        </w:rPr>
      </w:pPr>
    </w:p>
    <w:p w14:paraId="40481AA4" w14:textId="0843621D" w:rsidR="006D7745" w:rsidRPr="004676F5" w:rsidRDefault="006D7745" w:rsidP="00EE35E2">
      <w:pPr>
        <w:jc w:val="both"/>
        <w:rPr>
          <w:i/>
          <w:iCs/>
          <w:lang w:val="de-DE"/>
        </w:rPr>
      </w:pPr>
      <w:r w:rsidRPr="004676F5">
        <w:rPr>
          <w:i/>
          <w:iCs/>
          <w:lang w:val="de-DE"/>
        </w:rPr>
        <w:t>[</w:t>
      </w:r>
      <w:r w:rsidR="00486A10" w:rsidRPr="004676F5">
        <w:rPr>
          <w:i/>
          <w:iCs/>
          <w:lang w:val="de-DE"/>
        </w:rPr>
        <w:t xml:space="preserve">Frühere </w:t>
      </w:r>
      <w:r w:rsidRPr="004676F5">
        <w:rPr>
          <w:i/>
          <w:iCs/>
          <w:lang w:val="de-DE"/>
        </w:rPr>
        <w:t>Unterteilung Abschnitt 1 aufgehoben durch Art. 49 des G. vom 7. Juni 2023 (B.S. vom 7. Juli 2023)]</w:t>
      </w:r>
    </w:p>
    <w:p w14:paraId="0B5DDFC9" w14:textId="77777777" w:rsidR="006D7745" w:rsidRPr="004676F5" w:rsidRDefault="006D7745" w:rsidP="00EE35E2">
      <w:pPr>
        <w:jc w:val="both"/>
        <w:rPr>
          <w:i/>
          <w:iCs/>
          <w:lang w:val="de-DE"/>
        </w:rPr>
      </w:pPr>
    </w:p>
    <w:p w14:paraId="50C5760D" w14:textId="77777777" w:rsidR="00DF5BE5" w:rsidRPr="004676F5" w:rsidRDefault="00DF5BE5" w:rsidP="00EE35E2">
      <w:pPr>
        <w:jc w:val="both"/>
        <w:rPr>
          <w:lang w:val="de-DE"/>
        </w:rPr>
      </w:pPr>
    </w:p>
    <w:p w14:paraId="09FD50A2" w14:textId="16468C7D" w:rsidR="00EE35E2" w:rsidRPr="004676F5" w:rsidRDefault="00BE0A56" w:rsidP="006D7745">
      <w:pPr>
        <w:ind w:firstLine="708"/>
        <w:jc w:val="both"/>
        <w:rPr>
          <w:lang w:val="de-DE"/>
        </w:rPr>
      </w:pPr>
      <w:r w:rsidRPr="004676F5">
        <w:rPr>
          <w:b/>
          <w:lang w:val="de-DE"/>
        </w:rPr>
        <w:t>Art. </w:t>
      </w:r>
      <w:r w:rsidR="00EE35E2" w:rsidRPr="004676F5">
        <w:rPr>
          <w:b/>
          <w:lang w:val="de-DE"/>
        </w:rPr>
        <w:t>XX.39</w:t>
      </w:r>
      <w:r w:rsidR="00EE35E2" w:rsidRPr="004676F5">
        <w:rPr>
          <w:lang w:val="de-DE"/>
        </w:rPr>
        <w:t> </w:t>
      </w:r>
      <w:r w:rsidR="005B7A5C" w:rsidRPr="004676F5">
        <w:rPr>
          <w:lang w:val="de-DE"/>
        </w:rPr>
        <w:t>- </w:t>
      </w:r>
      <w:r w:rsidR="006D7745" w:rsidRPr="004676F5">
        <w:rPr>
          <w:lang w:val="de-DE"/>
        </w:rPr>
        <w:t>[...]</w:t>
      </w:r>
    </w:p>
    <w:p w14:paraId="2B18445C" w14:textId="77777777" w:rsidR="006D7745" w:rsidRPr="004676F5" w:rsidRDefault="006D7745" w:rsidP="006D7745">
      <w:pPr>
        <w:jc w:val="both"/>
        <w:rPr>
          <w:lang w:val="de-DE"/>
        </w:rPr>
      </w:pPr>
    </w:p>
    <w:p w14:paraId="55D86285" w14:textId="666DDB51" w:rsidR="006D7745" w:rsidRPr="004676F5" w:rsidRDefault="006D7745" w:rsidP="006D7745">
      <w:pPr>
        <w:jc w:val="both"/>
        <w:rPr>
          <w:i/>
          <w:iCs/>
          <w:lang w:val="de-DE"/>
        </w:rPr>
      </w:pPr>
      <w:r w:rsidRPr="004676F5">
        <w:rPr>
          <w:i/>
          <w:iCs/>
          <w:lang w:val="de-DE"/>
        </w:rPr>
        <w:t>[Art. XX.39 aufgehoben durch Art. 50 des G. vom 7. Juni 2023 (B.S. vom 7. Juli 2023)]</w:t>
      </w:r>
    </w:p>
    <w:p w14:paraId="3912CB09" w14:textId="77777777" w:rsidR="00E14193" w:rsidRPr="004676F5" w:rsidRDefault="00E14193" w:rsidP="00E14193">
      <w:pPr>
        <w:jc w:val="both"/>
        <w:rPr>
          <w:i/>
          <w:iCs/>
          <w:lang w:val="de-DE"/>
        </w:rPr>
      </w:pPr>
    </w:p>
    <w:p w14:paraId="2FB6AA7C" w14:textId="77777777" w:rsidR="00E14193" w:rsidRPr="004676F5" w:rsidRDefault="00E14193" w:rsidP="00E14193">
      <w:pPr>
        <w:jc w:val="both"/>
        <w:rPr>
          <w:i/>
          <w:iCs/>
          <w:lang w:val="de-DE"/>
        </w:rPr>
      </w:pPr>
    </w:p>
    <w:p w14:paraId="433AFB6B" w14:textId="5ED06719" w:rsidR="00E14193" w:rsidRPr="004676F5" w:rsidRDefault="00E14193" w:rsidP="00486A10">
      <w:pPr>
        <w:jc w:val="center"/>
        <w:rPr>
          <w:lang w:val="de-DE"/>
        </w:rPr>
      </w:pPr>
      <w:r w:rsidRPr="004676F5">
        <w:rPr>
          <w:lang w:val="de-DE"/>
        </w:rPr>
        <w:t>[...]</w:t>
      </w:r>
    </w:p>
    <w:p w14:paraId="6C248655" w14:textId="77777777" w:rsidR="00E14193" w:rsidRPr="004676F5" w:rsidRDefault="00E14193" w:rsidP="00E14193">
      <w:pPr>
        <w:jc w:val="both"/>
        <w:rPr>
          <w:iCs/>
          <w:lang w:val="de-DE"/>
        </w:rPr>
      </w:pPr>
    </w:p>
    <w:p w14:paraId="48D0B29B" w14:textId="09F235CE" w:rsidR="00E14193" w:rsidRPr="004676F5" w:rsidRDefault="00E14193" w:rsidP="00E14193">
      <w:pPr>
        <w:jc w:val="both"/>
        <w:rPr>
          <w:i/>
          <w:lang w:val="de-DE"/>
        </w:rPr>
      </w:pPr>
      <w:r w:rsidRPr="004676F5">
        <w:rPr>
          <w:i/>
          <w:lang w:val="de-DE"/>
        </w:rPr>
        <w:t>[</w:t>
      </w:r>
      <w:r w:rsidR="00486A10" w:rsidRPr="004676F5">
        <w:rPr>
          <w:i/>
          <w:lang w:val="de-DE"/>
        </w:rPr>
        <w:t xml:space="preserve">Frühere </w:t>
      </w:r>
      <w:r w:rsidRPr="004676F5">
        <w:rPr>
          <w:i/>
          <w:lang w:val="de-DE"/>
        </w:rPr>
        <w:t>Unterteilung Abschnitt 1/1 eingefügt durch Art. 6 des G. vom 21. März 2021 (B.S. vom 26. März 2021)</w:t>
      </w:r>
      <w:r w:rsidRPr="004676F5">
        <w:rPr>
          <w:i/>
          <w:iCs/>
          <w:lang w:val="de-DE"/>
        </w:rPr>
        <w:t xml:space="preserve"> </w:t>
      </w:r>
      <w:r w:rsidR="00074942" w:rsidRPr="004676F5">
        <w:rPr>
          <w:i/>
          <w:iCs/>
          <w:lang w:val="de-DE"/>
        </w:rPr>
        <w:t xml:space="preserve">und </w:t>
      </w:r>
      <w:r w:rsidRPr="004676F5">
        <w:rPr>
          <w:i/>
          <w:iCs/>
          <w:lang w:val="de-DE"/>
        </w:rPr>
        <w:t>aufgehoben durch Art. 51 des G. vom 7. Juni 2023 (B.S. vom 7. Juli 2023)]</w:t>
      </w:r>
    </w:p>
    <w:p w14:paraId="5B077998" w14:textId="77777777" w:rsidR="00E14193" w:rsidRPr="004676F5" w:rsidRDefault="00E14193" w:rsidP="00E14193">
      <w:pPr>
        <w:jc w:val="both"/>
        <w:rPr>
          <w:iCs/>
          <w:lang w:val="de-DE"/>
        </w:rPr>
      </w:pPr>
    </w:p>
    <w:p w14:paraId="0A6BB287" w14:textId="77777777" w:rsidR="00E14193" w:rsidRPr="004676F5" w:rsidRDefault="00E14193" w:rsidP="00EE35E2">
      <w:pPr>
        <w:ind w:firstLine="708"/>
        <w:jc w:val="both"/>
        <w:rPr>
          <w:iCs/>
          <w:lang w:val="de-DE"/>
        </w:rPr>
      </w:pPr>
    </w:p>
    <w:p w14:paraId="1DCE0511" w14:textId="50898977" w:rsidR="00E14193" w:rsidRPr="004676F5" w:rsidRDefault="00E14193" w:rsidP="00EE35E2">
      <w:pPr>
        <w:ind w:firstLine="708"/>
        <w:jc w:val="both"/>
        <w:rPr>
          <w:iCs/>
          <w:lang w:val="de-DE"/>
        </w:rPr>
      </w:pPr>
      <w:r w:rsidRPr="004676F5">
        <w:rPr>
          <w:iCs/>
          <w:lang w:val="de-DE"/>
        </w:rPr>
        <w:t>[</w:t>
      </w:r>
      <w:r w:rsidRPr="004676F5">
        <w:rPr>
          <w:b/>
          <w:bCs/>
          <w:iCs/>
          <w:lang w:val="de-DE"/>
        </w:rPr>
        <w:t>Art. XX.39/1</w:t>
      </w:r>
      <w:r w:rsidRPr="004676F5">
        <w:rPr>
          <w:iCs/>
          <w:lang w:val="de-DE"/>
        </w:rPr>
        <w:t xml:space="preserve"> - [...]]</w:t>
      </w:r>
    </w:p>
    <w:p w14:paraId="543D7CE0" w14:textId="77777777" w:rsidR="00E14193" w:rsidRPr="004676F5" w:rsidRDefault="00E14193" w:rsidP="00E14193">
      <w:pPr>
        <w:jc w:val="both"/>
        <w:rPr>
          <w:iCs/>
          <w:lang w:val="de-DE"/>
        </w:rPr>
      </w:pPr>
    </w:p>
    <w:p w14:paraId="2118DB89" w14:textId="548C34EC" w:rsidR="00E14193" w:rsidRPr="004676F5" w:rsidRDefault="00E14193" w:rsidP="00E14193">
      <w:pPr>
        <w:jc w:val="both"/>
        <w:rPr>
          <w:i/>
          <w:lang w:val="de-DE"/>
        </w:rPr>
      </w:pPr>
      <w:r w:rsidRPr="004676F5">
        <w:rPr>
          <w:i/>
          <w:lang w:val="de-DE"/>
        </w:rPr>
        <w:t>[Art. XX.39/1 eingefügt durch Art. 6 des G. vom 21. März 2021 (B.S. vom 26. März 2021)</w:t>
      </w:r>
      <w:r w:rsidR="00074942" w:rsidRPr="004676F5">
        <w:rPr>
          <w:i/>
          <w:lang w:val="de-DE"/>
        </w:rPr>
        <w:t xml:space="preserve"> und </w:t>
      </w:r>
      <w:r w:rsidRPr="004676F5">
        <w:rPr>
          <w:i/>
          <w:iCs/>
          <w:lang w:val="de-DE"/>
        </w:rPr>
        <w:t>aufgehoben durch Art. 52 des G. vom 7. Juni 2023 (B.S. vom 7. Juli 2023)]</w:t>
      </w:r>
    </w:p>
    <w:p w14:paraId="6A5E9965" w14:textId="77777777" w:rsidR="00E14193" w:rsidRPr="004676F5" w:rsidRDefault="00E14193" w:rsidP="00E14193">
      <w:pPr>
        <w:jc w:val="both"/>
        <w:rPr>
          <w:iCs/>
          <w:lang w:val="de-DE"/>
        </w:rPr>
      </w:pPr>
    </w:p>
    <w:p w14:paraId="4E7374D5" w14:textId="77777777" w:rsidR="00E14193" w:rsidRPr="004676F5" w:rsidRDefault="00E14193" w:rsidP="00E14193">
      <w:pPr>
        <w:jc w:val="both"/>
        <w:rPr>
          <w:iCs/>
          <w:lang w:val="de-DE"/>
        </w:rPr>
      </w:pPr>
    </w:p>
    <w:p w14:paraId="64F7D4F5" w14:textId="7E6CA4BF" w:rsidR="00E14193" w:rsidRPr="004676F5" w:rsidRDefault="00074942" w:rsidP="00EE35E2">
      <w:pPr>
        <w:ind w:firstLine="708"/>
        <w:jc w:val="both"/>
        <w:rPr>
          <w:lang w:val="de-DE"/>
        </w:rPr>
      </w:pPr>
      <w:r w:rsidRPr="004676F5">
        <w:rPr>
          <w:iCs/>
          <w:lang w:val="de-DE"/>
        </w:rPr>
        <w:t>[</w:t>
      </w:r>
      <w:r w:rsidRPr="004676F5">
        <w:rPr>
          <w:b/>
          <w:bCs/>
          <w:lang w:val="de-DE"/>
        </w:rPr>
        <w:t>Art. XX.39/2</w:t>
      </w:r>
      <w:r w:rsidRPr="004676F5">
        <w:rPr>
          <w:lang w:val="de-DE"/>
        </w:rPr>
        <w:t> - Die Bestimmungen der Titel 5 bis 5/2 gelten unbeschadet der Verpflichtungen, die Arbeitnehmer oder ihre Vertreter gemäß den geltenden gesetzlichen oder vertraglichen Bestimmungen einschließlich der in vorliegendem Gesetzbuch enthaltenen Bestimmungen zu konsultieren und zu unterrichten.]</w:t>
      </w:r>
    </w:p>
    <w:p w14:paraId="78153E04" w14:textId="77777777" w:rsidR="00074942" w:rsidRPr="004676F5" w:rsidRDefault="00074942" w:rsidP="00074942">
      <w:pPr>
        <w:jc w:val="both"/>
        <w:rPr>
          <w:lang w:val="de-DE"/>
        </w:rPr>
      </w:pPr>
    </w:p>
    <w:p w14:paraId="2A970081" w14:textId="055553A7" w:rsidR="00074942" w:rsidRPr="004676F5" w:rsidRDefault="00074942" w:rsidP="00074942">
      <w:pPr>
        <w:jc w:val="both"/>
        <w:rPr>
          <w:i/>
          <w:iCs/>
          <w:lang w:val="de-DE"/>
        </w:rPr>
      </w:pPr>
      <w:r w:rsidRPr="004676F5">
        <w:rPr>
          <w:i/>
          <w:iCs/>
          <w:lang w:val="de-DE"/>
        </w:rPr>
        <w:t>[Art. XX.39/2 eingefügt durch Art. 53 des G. vom 7. Juni 2023 (B.S. vom 7. Juli 2023)]</w:t>
      </w:r>
    </w:p>
    <w:p w14:paraId="41B6537F" w14:textId="77777777" w:rsidR="00E14193" w:rsidRPr="004676F5" w:rsidRDefault="00E14193" w:rsidP="00EE35E2">
      <w:pPr>
        <w:ind w:firstLine="708"/>
        <w:jc w:val="both"/>
        <w:rPr>
          <w:iCs/>
          <w:lang w:val="de-DE"/>
        </w:rPr>
      </w:pPr>
    </w:p>
    <w:p w14:paraId="0352A1C2" w14:textId="77777777" w:rsidR="00DF5BE5" w:rsidRPr="004676F5" w:rsidRDefault="00DF5BE5" w:rsidP="00EE35E2">
      <w:pPr>
        <w:ind w:firstLine="708"/>
        <w:jc w:val="both"/>
        <w:rPr>
          <w:i/>
          <w:lang w:val="de-DE"/>
        </w:rPr>
      </w:pPr>
    </w:p>
    <w:p w14:paraId="48D208DA" w14:textId="77777777" w:rsidR="00074942" w:rsidRPr="004676F5" w:rsidRDefault="00074942">
      <w:pPr>
        <w:rPr>
          <w:i/>
          <w:lang w:val="de-DE"/>
        </w:rPr>
      </w:pPr>
      <w:r w:rsidRPr="004676F5">
        <w:rPr>
          <w:i/>
          <w:lang w:val="de-DE"/>
        </w:rPr>
        <w:br w:type="page"/>
      </w:r>
    </w:p>
    <w:p w14:paraId="14144C8C" w14:textId="4987EAC7" w:rsidR="00EE35E2" w:rsidRPr="004676F5" w:rsidRDefault="00074942" w:rsidP="00EE35E2">
      <w:pPr>
        <w:jc w:val="center"/>
        <w:rPr>
          <w:lang w:val="de-DE"/>
        </w:rPr>
      </w:pPr>
      <w:r w:rsidRPr="004676F5">
        <w:rPr>
          <w:lang w:val="de-DE"/>
        </w:rPr>
        <w:lastRenderedPageBreak/>
        <w:t>[...]</w:t>
      </w:r>
    </w:p>
    <w:p w14:paraId="70672B97" w14:textId="77777777" w:rsidR="00074942" w:rsidRPr="004676F5" w:rsidRDefault="00074942" w:rsidP="00EE35E2">
      <w:pPr>
        <w:jc w:val="center"/>
        <w:rPr>
          <w:lang w:val="de-DE"/>
        </w:rPr>
      </w:pPr>
    </w:p>
    <w:p w14:paraId="310C2DCB" w14:textId="5FB3B297" w:rsidR="00074942" w:rsidRPr="004676F5" w:rsidRDefault="00074942" w:rsidP="00074942">
      <w:pPr>
        <w:jc w:val="both"/>
        <w:rPr>
          <w:i/>
          <w:iCs/>
          <w:lang w:val="de-DE"/>
        </w:rPr>
      </w:pPr>
      <w:r w:rsidRPr="004676F5">
        <w:rPr>
          <w:i/>
          <w:iCs/>
          <w:lang w:val="de-DE"/>
        </w:rPr>
        <w:t>[</w:t>
      </w:r>
      <w:r w:rsidR="00486A10" w:rsidRPr="004676F5">
        <w:rPr>
          <w:i/>
          <w:iCs/>
          <w:lang w:val="de-DE"/>
        </w:rPr>
        <w:t xml:space="preserve">Frühere </w:t>
      </w:r>
      <w:r w:rsidRPr="004676F5">
        <w:rPr>
          <w:i/>
          <w:iCs/>
          <w:lang w:val="de-DE"/>
        </w:rPr>
        <w:t>Unterteilung Abschnitt 2 aufgehoben durch Art. 54 des G. vom 7. Juni 2023 (B.S. vom 7. Juli 2023)]</w:t>
      </w:r>
    </w:p>
    <w:p w14:paraId="40C33B57" w14:textId="77777777" w:rsidR="00074942" w:rsidRPr="004676F5" w:rsidRDefault="00074942" w:rsidP="00074942">
      <w:pPr>
        <w:jc w:val="both"/>
        <w:rPr>
          <w:lang w:val="de-DE"/>
        </w:rPr>
      </w:pPr>
    </w:p>
    <w:p w14:paraId="6A6C4B75" w14:textId="77777777" w:rsidR="00DF5BE5" w:rsidRPr="004676F5" w:rsidRDefault="00DF5BE5" w:rsidP="00EE35E2">
      <w:pPr>
        <w:jc w:val="both"/>
        <w:rPr>
          <w:lang w:val="de-DE"/>
        </w:rPr>
      </w:pPr>
    </w:p>
    <w:p w14:paraId="5797BC9E" w14:textId="60410E5D" w:rsidR="00EE35E2" w:rsidRPr="004676F5" w:rsidRDefault="00BE0A56" w:rsidP="00EE35E2">
      <w:pPr>
        <w:ind w:firstLine="708"/>
        <w:jc w:val="both"/>
        <w:rPr>
          <w:lang w:val="de-DE"/>
        </w:rPr>
      </w:pPr>
      <w:r w:rsidRPr="004676F5">
        <w:rPr>
          <w:b/>
          <w:lang w:val="de-DE"/>
        </w:rPr>
        <w:t>Art. </w:t>
      </w:r>
      <w:r w:rsidR="00EE35E2" w:rsidRPr="004676F5">
        <w:rPr>
          <w:b/>
          <w:lang w:val="de-DE"/>
        </w:rPr>
        <w:t>XX.40</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Im Register wird eine Akte der gerichtlichen Reorganisation </w:t>
      </w:r>
      <w:r w:rsidR="00074942" w:rsidRPr="004676F5">
        <w:rPr>
          <w:lang w:val="de-DE"/>
        </w:rPr>
        <w:t xml:space="preserve">[und der Übertragung unter der Autorität des Gerichts] </w:t>
      </w:r>
      <w:r w:rsidR="00EE35E2" w:rsidRPr="004676F5">
        <w:rPr>
          <w:lang w:val="de-DE"/>
        </w:rPr>
        <w:t>geführt, in der alle Angaben in Bezug auf dieses Verfahren und die Sache selbst enthalten sind, einschließlich der Berichte der gerichtlichen Bevollmächtigten und der vorläufigen Verwalter und der Berichte des beauftragten Richters und der Stellungnahmen der Staatsanwaltschaft.</w:t>
      </w:r>
    </w:p>
    <w:p w14:paraId="732BCF90" w14:textId="77777777" w:rsidR="00EE35E2" w:rsidRPr="004676F5" w:rsidRDefault="00EE35E2" w:rsidP="00EE35E2">
      <w:pPr>
        <w:ind w:firstLine="708"/>
        <w:jc w:val="both"/>
        <w:rPr>
          <w:lang w:val="de-DE"/>
        </w:rPr>
      </w:pPr>
    </w:p>
    <w:p w14:paraId="72C6C32B" w14:textId="61CBD892"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Die Hinterlegung einer Forderungsanmeldung im Register unterbricht die Verjährung der Forderung und gilt als Inverzugsetzung.</w:t>
      </w:r>
    </w:p>
    <w:p w14:paraId="4E3A2C33" w14:textId="77777777" w:rsidR="00EE35E2" w:rsidRPr="004676F5" w:rsidRDefault="00EE35E2" w:rsidP="00EE35E2">
      <w:pPr>
        <w:ind w:firstLine="708"/>
        <w:jc w:val="both"/>
        <w:rPr>
          <w:lang w:val="de-DE"/>
        </w:rPr>
      </w:pPr>
    </w:p>
    <w:p w14:paraId="28BE89CE" w14:textId="3C5028F7"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 xml:space="preserve">Jede Partei des Verfahrens und jeder Gläubiger, der in der in Artikel XX.41 § 2 </w:t>
      </w:r>
      <w:r w:rsidR="00074942" w:rsidRPr="004676F5">
        <w:rPr>
          <w:lang w:val="de-DE"/>
        </w:rPr>
        <w:t xml:space="preserve">[Absatz 1] </w:t>
      </w:r>
      <w:r w:rsidRPr="004676F5">
        <w:rPr>
          <w:lang w:val="de-DE"/>
        </w:rPr>
        <w:t xml:space="preserve">Nr. 7 erwähnten Liste </w:t>
      </w:r>
      <w:r w:rsidR="00074942" w:rsidRPr="004676F5">
        <w:rPr>
          <w:lang w:val="de-DE"/>
        </w:rPr>
        <w:t xml:space="preserve">[oder in der gemäß Artikel XX.83/23 vom Schuldner an den Reorganisationsbearbeiter ausgehändigten Liste] </w:t>
      </w:r>
      <w:r w:rsidRPr="004676F5">
        <w:rPr>
          <w:lang w:val="de-DE"/>
        </w:rPr>
        <w:t>aufgenommen ist, kann die Akte einsehen.</w:t>
      </w:r>
      <w:r w:rsidR="00074942" w:rsidRPr="004676F5">
        <w:rPr>
          <w:lang w:val="de-DE"/>
        </w:rPr>
        <w:t xml:space="preserve"> [Einem Gläubiger, der sich in das Register eingetragen hat, kann vom Schuldner oder, falls der Schuldner dies ablehnt, vom beauftragten Richter Akteneinsicht gewährt werden.]</w:t>
      </w:r>
    </w:p>
    <w:p w14:paraId="30B95F2E" w14:textId="77777777" w:rsidR="00EE35E2" w:rsidRPr="004676F5" w:rsidRDefault="00EE35E2" w:rsidP="00EE35E2">
      <w:pPr>
        <w:ind w:firstLine="708"/>
        <w:jc w:val="both"/>
        <w:rPr>
          <w:lang w:val="de-DE"/>
        </w:rPr>
      </w:pPr>
    </w:p>
    <w:p w14:paraId="2BE96BA8" w14:textId="00556A4B" w:rsidR="00B63C0D" w:rsidRPr="004676F5" w:rsidRDefault="00B63C0D" w:rsidP="00EE35E2">
      <w:pPr>
        <w:ind w:firstLine="708"/>
        <w:jc w:val="both"/>
        <w:rPr>
          <w:lang w:val="de-DE"/>
        </w:rPr>
      </w:pPr>
      <w:r w:rsidRPr="004676F5">
        <w:rPr>
          <w:lang w:val="de-DE"/>
        </w:rPr>
        <w:t>[Die Vertreter des Personals im Betriebsrat oder - in dessen Ermangelung - im Ausschuss für Gefahrenverhütung und Schutz am Arbeitsplatz oder - in dessen Ermangelung - die Gewerkschaftsvertretung oder - in deren Ermangelung - eine Abordnung des Personals haben Zugang zur der Akte der öffentlichen gerichtlichen Reorganisation oder der Übertragung unter der Autorität des Gerichts. Vertreter, die nicht in den in Artikel XX.41 § 2 erwähnten Angaben aufgenommen waren, erhalten Akteneinsicht über den Schuldner. Falls der Schuldner Akteneinsicht ablehnt, gewährt der beauftragte Richter ihnen Zugang.]</w:t>
      </w:r>
    </w:p>
    <w:p w14:paraId="69E0E876" w14:textId="77777777" w:rsidR="00B63C0D" w:rsidRPr="004676F5" w:rsidRDefault="00B63C0D" w:rsidP="00EE35E2">
      <w:pPr>
        <w:ind w:firstLine="708"/>
        <w:jc w:val="both"/>
        <w:rPr>
          <w:lang w:val="de-DE"/>
        </w:rPr>
      </w:pPr>
    </w:p>
    <w:p w14:paraId="52853C28" w14:textId="77777777" w:rsidR="00EE35E2" w:rsidRPr="004676F5" w:rsidRDefault="00EE35E2" w:rsidP="00EE35E2">
      <w:pPr>
        <w:ind w:firstLine="708"/>
        <w:jc w:val="both"/>
        <w:rPr>
          <w:lang w:val="de-DE"/>
        </w:rPr>
      </w:pPr>
      <w:r w:rsidRPr="004676F5">
        <w:rPr>
          <w:lang w:val="de-DE"/>
        </w:rPr>
        <w:t>Der beauftragte Richter kann durch einen mit Gründen versehenen Beschluss Daten im Zusammenhang mit dem Geschäftsgeheimnis bestimmen, die den Gläubigern nicht zugänglich sind.</w:t>
      </w:r>
    </w:p>
    <w:p w14:paraId="5C619934" w14:textId="77777777" w:rsidR="00EE35E2" w:rsidRPr="004676F5" w:rsidRDefault="00EE35E2" w:rsidP="00EE35E2">
      <w:pPr>
        <w:ind w:firstLine="708"/>
        <w:jc w:val="both"/>
        <w:rPr>
          <w:lang w:val="de-DE"/>
        </w:rPr>
      </w:pPr>
    </w:p>
    <w:p w14:paraId="273F5574" w14:textId="3CDF6A2A" w:rsidR="00EE35E2" w:rsidRPr="004676F5" w:rsidRDefault="00B63C0D" w:rsidP="00EE35E2">
      <w:pPr>
        <w:ind w:firstLine="708"/>
        <w:jc w:val="both"/>
        <w:rPr>
          <w:lang w:val="de-DE"/>
        </w:rPr>
      </w:pPr>
      <w:r w:rsidRPr="004676F5">
        <w:rPr>
          <w:lang w:val="de-DE"/>
        </w:rPr>
        <w:t>[Unbeschadet des Artikels XX.21/1 können andere Personen, die ein rechtmäßiges Interesse nachweisen können,]</w:t>
      </w:r>
      <w:r w:rsidR="00EE35E2" w:rsidRPr="004676F5">
        <w:rPr>
          <w:lang w:val="de-DE"/>
        </w:rPr>
        <w:t xml:space="preserve"> durch einen über das Register an den beauftragten Richter gerichteten Antrag darum ersuchen, die Akte oder einen Teil der Akte einsehen zu dürfen.</w:t>
      </w:r>
    </w:p>
    <w:p w14:paraId="43BE1CC1" w14:textId="77777777" w:rsidR="00EE35E2" w:rsidRPr="004676F5" w:rsidRDefault="00EE35E2" w:rsidP="00EE35E2">
      <w:pPr>
        <w:ind w:firstLine="708"/>
        <w:jc w:val="both"/>
        <w:rPr>
          <w:lang w:val="de-DE"/>
        </w:rPr>
      </w:pPr>
    </w:p>
    <w:p w14:paraId="6F61FB3E" w14:textId="4E1ADF36"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Der König bestimmt, wie der Zugang zu der in vorliegendem Artikel erwähnten Akte gewährt wird, welche Daten nur begrenzt zugänglich sind und wie die Vertraulichkeit und die Aufbewahrung der Akte gewährleistet werden.</w:t>
      </w:r>
    </w:p>
    <w:p w14:paraId="1CF05F47" w14:textId="77777777" w:rsidR="00EE35E2" w:rsidRPr="004676F5" w:rsidRDefault="00EE35E2" w:rsidP="00EE35E2">
      <w:pPr>
        <w:jc w:val="both"/>
        <w:rPr>
          <w:lang w:val="de-DE"/>
        </w:rPr>
      </w:pPr>
    </w:p>
    <w:p w14:paraId="1AAB01B5" w14:textId="648AB582" w:rsidR="00B63C0D" w:rsidRPr="004676F5" w:rsidRDefault="00B63C0D" w:rsidP="00EE35E2">
      <w:pPr>
        <w:jc w:val="both"/>
        <w:rPr>
          <w:i/>
          <w:iCs/>
          <w:lang w:val="de-DE"/>
        </w:rPr>
      </w:pPr>
      <w:r w:rsidRPr="004676F5">
        <w:rPr>
          <w:i/>
          <w:iCs/>
          <w:lang w:val="de-DE"/>
        </w:rPr>
        <w:t>[Art. XX.40 § 1 abgeändert durch Art. 55 Nr. 1 des G. vom 7. Juni 2023 (B.S. vom 7. Juli 2023); § 3 Abs. 1 abgeändert durch Art. 55 Nr. 2 des G. vom 7. Juni 2023 (B.S. vom 7. Juli 2023); § 3 neuer Absatz 2 eingefügt durch Art. 55 Nr. 3 des G. vom 7. Juni 2023 (B.S. vom 7. Juli 2023); § 3 Abs. 4 abgeändert durch Art. 55 Nr. 4 des G. vom 7. Juni 2023 (B.S. vom 7. Juli 2023)]</w:t>
      </w:r>
    </w:p>
    <w:p w14:paraId="4C83F40B" w14:textId="77777777" w:rsidR="00DF5BE5" w:rsidRPr="004676F5" w:rsidRDefault="00DF5BE5" w:rsidP="00EE35E2">
      <w:pPr>
        <w:jc w:val="both"/>
        <w:rPr>
          <w:lang w:val="de-DE"/>
        </w:rPr>
      </w:pPr>
    </w:p>
    <w:p w14:paraId="7B5991FD" w14:textId="77777777" w:rsidR="00B63C0D" w:rsidRPr="004676F5" w:rsidRDefault="00B63C0D" w:rsidP="00EE35E2">
      <w:pPr>
        <w:jc w:val="both"/>
        <w:rPr>
          <w:lang w:val="de-DE"/>
        </w:rPr>
      </w:pPr>
    </w:p>
    <w:p w14:paraId="334769BC" w14:textId="77777777" w:rsidR="00B63C0D" w:rsidRPr="004676F5" w:rsidRDefault="00B63C0D">
      <w:pPr>
        <w:rPr>
          <w:i/>
          <w:lang w:val="de-DE"/>
        </w:rPr>
      </w:pPr>
      <w:r w:rsidRPr="004676F5">
        <w:rPr>
          <w:i/>
          <w:lang w:val="de-DE"/>
        </w:rPr>
        <w:br w:type="page"/>
      </w:r>
    </w:p>
    <w:p w14:paraId="6100E011" w14:textId="342EFF29" w:rsidR="00B63C0D" w:rsidRPr="004676F5" w:rsidRDefault="00B63C0D" w:rsidP="00EE35E2">
      <w:pPr>
        <w:jc w:val="center"/>
        <w:rPr>
          <w:lang w:val="de-DE"/>
        </w:rPr>
      </w:pPr>
      <w:r w:rsidRPr="004676F5">
        <w:rPr>
          <w:iCs/>
          <w:lang w:val="de-DE"/>
        </w:rPr>
        <w:lastRenderedPageBreak/>
        <w:t>[</w:t>
      </w:r>
      <w:r w:rsidRPr="004676F5">
        <w:rPr>
          <w:lang w:val="de-DE"/>
        </w:rPr>
        <w:t xml:space="preserve">KAPITEL 2 - </w:t>
      </w:r>
      <w:r w:rsidRPr="004676F5">
        <w:rPr>
          <w:i/>
          <w:iCs/>
          <w:lang w:val="de-DE"/>
        </w:rPr>
        <w:t>Gemeinsame Bestimmungen für öffentliche Verfahren der gerichtlichen Reorganisation und der Übertragung unter der Autorität des Gerichts</w:t>
      </w:r>
      <w:r w:rsidRPr="004676F5">
        <w:rPr>
          <w:lang w:val="de-DE"/>
        </w:rPr>
        <w:t>]</w:t>
      </w:r>
    </w:p>
    <w:p w14:paraId="7E96978D" w14:textId="77777777" w:rsidR="00B63C0D" w:rsidRPr="004676F5" w:rsidRDefault="00B63C0D" w:rsidP="00EE35E2">
      <w:pPr>
        <w:jc w:val="center"/>
        <w:rPr>
          <w:lang w:val="de-DE"/>
        </w:rPr>
      </w:pPr>
    </w:p>
    <w:p w14:paraId="42FE0950" w14:textId="700292A2" w:rsidR="00B63C0D" w:rsidRPr="004676F5" w:rsidRDefault="00B63C0D" w:rsidP="00B63C0D">
      <w:pPr>
        <w:jc w:val="both"/>
        <w:rPr>
          <w:i/>
          <w:iCs/>
          <w:lang w:val="de-DE"/>
        </w:rPr>
      </w:pPr>
      <w:r w:rsidRPr="004676F5">
        <w:rPr>
          <w:i/>
          <w:iCs/>
          <w:lang w:val="de-DE"/>
        </w:rPr>
        <w:t>[Unterteilung Kapitel 2 eingefügt durch Art. 56 des G. vom 7. Juni 2023 (B.S. vom 7. Juli 2023)]</w:t>
      </w:r>
    </w:p>
    <w:p w14:paraId="43E44F6D" w14:textId="77777777" w:rsidR="00B63C0D" w:rsidRPr="004676F5" w:rsidRDefault="00B63C0D" w:rsidP="00B63C0D">
      <w:pPr>
        <w:jc w:val="both"/>
        <w:rPr>
          <w:lang w:val="de-DE"/>
        </w:rPr>
      </w:pPr>
    </w:p>
    <w:p w14:paraId="153E6BC5" w14:textId="77777777" w:rsidR="00B63C0D" w:rsidRPr="004676F5" w:rsidRDefault="00B63C0D" w:rsidP="00B63C0D">
      <w:pPr>
        <w:jc w:val="both"/>
        <w:rPr>
          <w:lang w:val="de-DE"/>
        </w:rPr>
      </w:pPr>
    </w:p>
    <w:p w14:paraId="7D362E3F" w14:textId="1CB12A08" w:rsidR="00EE35E2" w:rsidRPr="004676F5" w:rsidRDefault="00B63C0D" w:rsidP="00EE35E2">
      <w:pPr>
        <w:jc w:val="center"/>
        <w:rPr>
          <w:lang w:val="de-DE"/>
        </w:rPr>
      </w:pPr>
      <w:r w:rsidRPr="004676F5">
        <w:rPr>
          <w:iCs/>
          <w:lang w:val="de-DE"/>
        </w:rPr>
        <w:t>[</w:t>
      </w:r>
      <w:r w:rsidR="00EE35E2" w:rsidRPr="004676F5">
        <w:rPr>
          <w:i/>
          <w:lang w:val="de-DE"/>
        </w:rPr>
        <w:t>Abschnitt </w:t>
      </w:r>
      <w:r w:rsidRPr="004676F5">
        <w:rPr>
          <w:i/>
          <w:lang w:val="de-DE"/>
        </w:rPr>
        <w:t>1</w:t>
      </w:r>
      <w:r w:rsidRPr="004676F5">
        <w:rPr>
          <w:iCs/>
          <w:lang w:val="de-DE"/>
        </w:rPr>
        <w:t>]</w:t>
      </w:r>
      <w:r w:rsidR="00EE35E2" w:rsidRPr="004676F5">
        <w:rPr>
          <w:i/>
          <w:lang w:val="de-DE"/>
        </w:rPr>
        <w:t> </w:t>
      </w:r>
      <w:r w:rsidR="005B7A5C" w:rsidRPr="004676F5">
        <w:rPr>
          <w:i/>
          <w:lang w:val="de-DE"/>
        </w:rPr>
        <w:t>- </w:t>
      </w:r>
      <w:r w:rsidRPr="004676F5">
        <w:rPr>
          <w:iCs/>
          <w:lang w:val="de-DE"/>
        </w:rPr>
        <w:t>[</w:t>
      </w:r>
      <w:r w:rsidRPr="004676F5">
        <w:rPr>
          <w:lang w:val="de-DE"/>
        </w:rPr>
        <w:t>Antrag auf öffentliche gerichtliche Reorganisation, auf Übertragung unter der Autorität des Gerichts und Folgeverfahren]</w:t>
      </w:r>
    </w:p>
    <w:p w14:paraId="2AACAF27" w14:textId="77777777" w:rsidR="00B63C0D" w:rsidRPr="004676F5" w:rsidRDefault="00B63C0D" w:rsidP="00EE35E2">
      <w:pPr>
        <w:jc w:val="center"/>
        <w:rPr>
          <w:lang w:val="de-DE"/>
        </w:rPr>
      </w:pPr>
    </w:p>
    <w:p w14:paraId="42F5DE79" w14:textId="608E53A0" w:rsidR="00B63C0D" w:rsidRPr="004676F5" w:rsidRDefault="00B63C0D" w:rsidP="00B63C0D">
      <w:pPr>
        <w:jc w:val="both"/>
        <w:rPr>
          <w:i/>
          <w:iCs/>
          <w:lang w:val="de-DE"/>
        </w:rPr>
      </w:pPr>
      <w:r w:rsidRPr="004676F5">
        <w:rPr>
          <w:i/>
          <w:iCs/>
          <w:lang w:val="de-DE"/>
        </w:rPr>
        <w:t xml:space="preserve">[Früherer Abschnitt 3 </w:t>
      </w:r>
      <w:r w:rsidR="00B20716" w:rsidRPr="004676F5">
        <w:rPr>
          <w:i/>
          <w:iCs/>
          <w:lang w:val="de-DE"/>
        </w:rPr>
        <w:t xml:space="preserve">umgegliedert und </w:t>
      </w:r>
      <w:r w:rsidRPr="004676F5">
        <w:rPr>
          <w:i/>
          <w:iCs/>
          <w:lang w:val="de-DE"/>
        </w:rPr>
        <w:t>umnummeriert zu Abschnitt 1 und Überschrift ersetzt durch Art. 57 des G. vom 7. Juni 2023 (B.S. vom 7. Juli 2023)]</w:t>
      </w:r>
    </w:p>
    <w:p w14:paraId="0D6602C8" w14:textId="77777777" w:rsidR="00B63C0D" w:rsidRPr="004676F5" w:rsidRDefault="00B63C0D" w:rsidP="00B63C0D">
      <w:pPr>
        <w:jc w:val="both"/>
        <w:rPr>
          <w:i/>
          <w:iCs/>
          <w:lang w:val="de-DE"/>
        </w:rPr>
      </w:pPr>
    </w:p>
    <w:p w14:paraId="68B12CC6" w14:textId="77777777" w:rsidR="00DF5BE5" w:rsidRPr="004676F5" w:rsidRDefault="00DF5BE5" w:rsidP="00EE35E2">
      <w:pPr>
        <w:jc w:val="both"/>
        <w:rPr>
          <w:lang w:val="de-DE"/>
        </w:rPr>
      </w:pPr>
    </w:p>
    <w:p w14:paraId="700F8AD5" w14:textId="4825F328" w:rsidR="00EE35E2" w:rsidRPr="004676F5" w:rsidRDefault="00BE0A56" w:rsidP="00EE35E2">
      <w:pPr>
        <w:ind w:firstLine="708"/>
        <w:jc w:val="both"/>
        <w:rPr>
          <w:lang w:val="de-DE"/>
        </w:rPr>
      </w:pPr>
      <w:r w:rsidRPr="004676F5">
        <w:rPr>
          <w:b/>
          <w:lang w:val="de-DE"/>
        </w:rPr>
        <w:t>Art. </w:t>
      </w:r>
      <w:r w:rsidR="00EE35E2" w:rsidRPr="004676F5">
        <w:rPr>
          <w:b/>
          <w:lang w:val="de-DE"/>
        </w:rPr>
        <w:t>XX.41</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Ein Schuldner, der die Eröffnung eines Verfahrens der gerichtlichen Reorganisation </w:t>
      </w:r>
      <w:r w:rsidR="00820E61" w:rsidRPr="004676F5">
        <w:rPr>
          <w:lang w:val="de-DE"/>
        </w:rPr>
        <w:t xml:space="preserve">[oder der Übertragung unter der Autorität des Gerichts] </w:t>
      </w:r>
      <w:r w:rsidR="00EE35E2" w:rsidRPr="004676F5">
        <w:rPr>
          <w:lang w:val="de-DE"/>
        </w:rPr>
        <w:t>beantragt, richtet eine Antragschrift an das Gericht.</w:t>
      </w:r>
    </w:p>
    <w:p w14:paraId="1F4E0498" w14:textId="77777777" w:rsidR="00EE35E2" w:rsidRPr="004676F5" w:rsidRDefault="00EE35E2" w:rsidP="00EE35E2">
      <w:pPr>
        <w:ind w:firstLine="708"/>
        <w:jc w:val="both"/>
        <w:rPr>
          <w:lang w:val="de-DE"/>
        </w:rPr>
      </w:pPr>
    </w:p>
    <w:p w14:paraId="0F12EE66" w14:textId="126B7AE1" w:rsidR="00EE35E2" w:rsidRPr="004676F5" w:rsidRDefault="00EE35E2" w:rsidP="00EE35E2">
      <w:pPr>
        <w:ind w:firstLine="708"/>
        <w:jc w:val="both"/>
        <w:rPr>
          <w:lang w:val="de-DE"/>
        </w:rPr>
      </w:pPr>
      <w:r w:rsidRPr="004676F5">
        <w:rPr>
          <w:lang w:val="de-DE"/>
        </w:rPr>
        <w:t>§ 2 </w:t>
      </w:r>
      <w:r w:rsidR="005B7A5C" w:rsidRPr="004676F5">
        <w:rPr>
          <w:lang w:val="de-DE"/>
        </w:rPr>
        <w:t>- </w:t>
      </w:r>
      <w:r w:rsidR="00820E61" w:rsidRPr="004676F5">
        <w:rPr>
          <w:lang w:val="de-DE"/>
        </w:rPr>
        <w:t>[Er</w:t>
      </w:r>
      <w:r w:rsidRPr="004676F5">
        <w:rPr>
          <w:lang w:val="de-DE"/>
        </w:rPr>
        <w:t xml:space="preserve"> fügt</w:t>
      </w:r>
      <w:r w:rsidR="00820E61" w:rsidRPr="004676F5">
        <w:rPr>
          <w:lang w:val="de-DE"/>
        </w:rPr>
        <w:t>]</w:t>
      </w:r>
      <w:r w:rsidRPr="004676F5">
        <w:rPr>
          <w:lang w:val="de-DE"/>
        </w:rPr>
        <w:t xml:space="preserve"> seiner Antragschrift Folgendes bei:</w:t>
      </w:r>
    </w:p>
    <w:p w14:paraId="645074DA" w14:textId="30EAE95A" w:rsidR="00EE35E2" w:rsidRPr="004676F5" w:rsidRDefault="00F7432B" w:rsidP="00EE35E2">
      <w:pPr>
        <w:ind w:firstLine="708"/>
        <w:jc w:val="both"/>
        <w:rPr>
          <w:lang w:val="de-DE"/>
        </w:rPr>
      </w:pPr>
      <w:r w:rsidRPr="004676F5">
        <w:rPr>
          <w:lang w:val="de-DE"/>
        </w:rPr>
        <w:t xml:space="preserve"> </w:t>
      </w:r>
    </w:p>
    <w:p w14:paraId="7D9FB911" w14:textId="5A38B396" w:rsidR="00EE35E2" w:rsidRPr="004676F5" w:rsidRDefault="00EE35E2" w:rsidP="00EE35E2">
      <w:pPr>
        <w:ind w:firstLine="708"/>
        <w:jc w:val="both"/>
        <w:rPr>
          <w:lang w:val="de-DE"/>
        </w:rPr>
      </w:pPr>
      <w:r w:rsidRPr="004676F5">
        <w:rPr>
          <w:lang w:val="de-DE"/>
        </w:rPr>
        <w:t xml:space="preserve">1. eine Darlegung der Gegebenheiten, auf die sein Antrag gestützt ist und aus der hervorgeht, dass seiner Meinung nach der Fortbestand seines Unternehmens </w:t>
      </w:r>
      <w:r w:rsidR="00820E61" w:rsidRPr="004676F5">
        <w:rPr>
          <w:lang w:val="de-DE"/>
        </w:rPr>
        <w:t>[kurz- oder mittelfristig]</w:t>
      </w:r>
      <w:r w:rsidRPr="004676F5">
        <w:rPr>
          <w:lang w:val="de-DE"/>
        </w:rPr>
        <w:t xml:space="preserve"> gefährdet ist,</w:t>
      </w:r>
    </w:p>
    <w:p w14:paraId="738BB443" w14:textId="77777777" w:rsidR="00EE35E2" w:rsidRPr="004676F5" w:rsidRDefault="00EE35E2" w:rsidP="00EE35E2">
      <w:pPr>
        <w:ind w:firstLine="708"/>
        <w:jc w:val="both"/>
        <w:rPr>
          <w:lang w:val="de-DE"/>
        </w:rPr>
      </w:pPr>
    </w:p>
    <w:p w14:paraId="518F6E8B" w14:textId="770DFC7B" w:rsidR="00EE35E2" w:rsidRPr="004676F5" w:rsidRDefault="00EE35E2" w:rsidP="00EE35E2">
      <w:pPr>
        <w:ind w:firstLine="708"/>
        <w:jc w:val="both"/>
        <w:rPr>
          <w:lang w:val="de-DE"/>
        </w:rPr>
      </w:pPr>
      <w:r w:rsidRPr="004676F5">
        <w:rPr>
          <w:lang w:val="de-DE"/>
        </w:rPr>
        <w:t xml:space="preserve">2. Angabe des Ziels </w:t>
      </w:r>
      <w:r w:rsidR="00820E61" w:rsidRPr="004676F5">
        <w:rPr>
          <w:lang w:val="de-DE"/>
        </w:rPr>
        <w:t>[...]</w:t>
      </w:r>
      <w:r w:rsidRPr="004676F5">
        <w:rPr>
          <w:lang w:val="de-DE"/>
        </w:rPr>
        <w:t xml:space="preserve">, </w:t>
      </w:r>
      <w:r w:rsidR="00820E61" w:rsidRPr="004676F5">
        <w:rPr>
          <w:lang w:val="de-DE"/>
        </w:rPr>
        <w:t>[</w:t>
      </w:r>
      <w:r w:rsidRPr="004676F5">
        <w:rPr>
          <w:lang w:val="de-DE"/>
        </w:rPr>
        <w:t>für d</w:t>
      </w:r>
      <w:r w:rsidR="00820E61" w:rsidRPr="004676F5">
        <w:rPr>
          <w:lang w:val="de-DE"/>
        </w:rPr>
        <w:t>as]</w:t>
      </w:r>
      <w:r w:rsidRPr="004676F5">
        <w:rPr>
          <w:lang w:val="de-DE"/>
        </w:rPr>
        <w:t xml:space="preserve"> er die Eröffnung </w:t>
      </w:r>
      <w:r w:rsidR="00820E61" w:rsidRPr="004676F5">
        <w:rPr>
          <w:lang w:val="de-DE"/>
        </w:rPr>
        <w:t>[des Verfahrens der Reorganisation oder der Übertragung unter der Autorität des Gerichts]</w:t>
      </w:r>
      <w:r w:rsidRPr="004676F5">
        <w:rPr>
          <w:lang w:val="de-DE"/>
        </w:rPr>
        <w:t xml:space="preserve"> beantragt,</w:t>
      </w:r>
    </w:p>
    <w:p w14:paraId="06909C3F" w14:textId="77777777" w:rsidR="00EE35E2" w:rsidRPr="004676F5" w:rsidRDefault="00EE35E2" w:rsidP="00EE35E2">
      <w:pPr>
        <w:ind w:firstLine="708"/>
        <w:jc w:val="both"/>
        <w:rPr>
          <w:lang w:val="de-DE"/>
        </w:rPr>
      </w:pPr>
    </w:p>
    <w:p w14:paraId="74C6D6E1" w14:textId="221F87EA" w:rsidR="00EE35E2" w:rsidRPr="004676F5" w:rsidRDefault="00EE35E2" w:rsidP="00EE35E2">
      <w:pPr>
        <w:ind w:firstLine="708"/>
        <w:jc w:val="both"/>
        <w:rPr>
          <w:lang w:val="de-DE"/>
        </w:rPr>
      </w:pPr>
      <w:r w:rsidRPr="004676F5">
        <w:rPr>
          <w:lang w:val="de-DE"/>
        </w:rPr>
        <w:t xml:space="preserve">3. Angabe einer elektronischen Adresse, unter der er für die Dauer des Verfahrens der gerichtlichen Reorganisation </w:t>
      </w:r>
      <w:r w:rsidR="00820E61" w:rsidRPr="004676F5">
        <w:rPr>
          <w:lang w:val="de-DE"/>
        </w:rPr>
        <w:t xml:space="preserve">[oder der Übertragung unter der Autorität des Gerichts] </w:t>
      </w:r>
      <w:r w:rsidRPr="004676F5">
        <w:rPr>
          <w:lang w:val="de-DE"/>
        </w:rPr>
        <w:t>zu erreichen ist und von der aus er den Empfang der Mitteilungen bestätigen kann,</w:t>
      </w:r>
    </w:p>
    <w:p w14:paraId="0B2E6636" w14:textId="77777777" w:rsidR="00EE35E2" w:rsidRPr="004676F5" w:rsidRDefault="00EE35E2" w:rsidP="00EE35E2">
      <w:pPr>
        <w:ind w:firstLine="708"/>
        <w:jc w:val="both"/>
        <w:rPr>
          <w:lang w:val="de-DE"/>
        </w:rPr>
      </w:pPr>
    </w:p>
    <w:p w14:paraId="0E13CB76" w14:textId="77777777" w:rsidR="00EE35E2" w:rsidRPr="004676F5" w:rsidRDefault="00EE35E2" w:rsidP="00EE35E2">
      <w:pPr>
        <w:ind w:firstLine="708"/>
        <w:jc w:val="both"/>
        <w:rPr>
          <w:lang w:val="de-DE"/>
        </w:rPr>
      </w:pPr>
      <w:r w:rsidRPr="004676F5">
        <w:rPr>
          <w:lang w:val="de-DE"/>
        </w:rPr>
        <w:t>4. die letzten zwei Jahresabschlüsse, die entsprechend der Satzung hätten hinterlegt sein müssen, und der möglicherweise noch nicht hinterlegte Jahresabschluss des letzten Geschäftsjahres oder, wenn der Schuldner eine natürliche Person ist, die letzten zwei Erklärungen zur Steuer der natürlichen Personen; stellt ein Unternehmen einen Antrag vor Ablauf von zwei Geschäftsjahren, legt es die Daten für den Zeitraum seit seiner Errichtung vor,</w:t>
      </w:r>
    </w:p>
    <w:p w14:paraId="287116EE" w14:textId="77777777" w:rsidR="00EE35E2" w:rsidRPr="004676F5" w:rsidRDefault="00EE35E2" w:rsidP="00EE35E2">
      <w:pPr>
        <w:ind w:firstLine="708"/>
        <w:jc w:val="both"/>
        <w:rPr>
          <w:lang w:val="de-DE"/>
        </w:rPr>
      </w:pPr>
    </w:p>
    <w:p w14:paraId="1589709F" w14:textId="7F9AD12A" w:rsidR="00EE35E2" w:rsidRPr="004676F5" w:rsidRDefault="00EE35E2" w:rsidP="00EE35E2">
      <w:pPr>
        <w:ind w:firstLine="708"/>
        <w:jc w:val="both"/>
        <w:rPr>
          <w:lang w:val="de-DE"/>
        </w:rPr>
      </w:pPr>
      <w:r w:rsidRPr="004676F5">
        <w:rPr>
          <w:lang w:val="de-DE"/>
        </w:rPr>
        <w:t xml:space="preserve">5. eine Zwischenbilanz seiner Aktiva und Passiva und eine Ergebnisrechnung, die nicht älter als drei Monate ist, die mit Hilfe eines Betriebsrevisors, </w:t>
      </w:r>
      <w:r w:rsidR="00820E61" w:rsidRPr="004676F5">
        <w:rPr>
          <w:lang w:val="de-DE"/>
        </w:rPr>
        <w:t>[eines zertifizierten Buchprüfers, eines Buchprüfers oder eines Buchprüfer-Fiskalisten]</w:t>
      </w:r>
      <w:r w:rsidRPr="004676F5">
        <w:rPr>
          <w:lang w:val="de-DE"/>
        </w:rPr>
        <w:t xml:space="preserve"> erstellt wurden,</w:t>
      </w:r>
    </w:p>
    <w:p w14:paraId="54B2342A" w14:textId="77777777" w:rsidR="00EE35E2" w:rsidRPr="004676F5" w:rsidRDefault="00EE35E2" w:rsidP="00EE35E2">
      <w:pPr>
        <w:ind w:firstLine="708"/>
        <w:jc w:val="both"/>
        <w:rPr>
          <w:lang w:val="de-DE"/>
        </w:rPr>
      </w:pPr>
    </w:p>
    <w:p w14:paraId="53881622" w14:textId="77777777" w:rsidR="00EE35E2" w:rsidRPr="004676F5" w:rsidRDefault="00EE35E2" w:rsidP="00EE35E2">
      <w:pPr>
        <w:ind w:firstLine="708"/>
        <w:jc w:val="both"/>
        <w:rPr>
          <w:lang w:val="de-DE"/>
        </w:rPr>
      </w:pPr>
      <w:r w:rsidRPr="004676F5">
        <w:rPr>
          <w:lang w:val="de-DE"/>
        </w:rPr>
        <w:t>6. ein Budget mit einer Veranschlagung der Einnahmen und Ausgaben mindestens für die Dauer des beantragten Aufschubs, der mit Hilfe eines der in Nummer 5 erwähnten Berufsangehörigen erstellt wurde; der König kann auf Stellungnahme der Kommission für Buchführungsnormen ein Budgetvoranschlagsmuster festlegen,</w:t>
      </w:r>
    </w:p>
    <w:p w14:paraId="26C5FF41" w14:textId="77777777" w:rsidR="00EE35E2" w:rsidRPr="004676F5" w:rsidRDefault="00EE35E2" w:rsidP="00EE35E2">
      <w:pPr>
        <w:ind w:firstLine="708"/>
        <w:jc w:val="both"/>
        <w:rPr>
          <w:lang w:val="de-DE"/>
        </w:rPr>
      </w:pPr>
    </w:p>
    <w:p w14:paraId="14DE1F7B" w14:textId="7D3DA913" w:rsidR="00EE35E2" w:rsidRPr="004676F5" w:rsidRDefault="00EE35E2" w:rsidP="00EE35E2">
      <w:pPr>
        <w:ind w:firstLine="708"/>
        <w:jc w:val="both"/>
        <w:rPr>
          <w:lang w:val="de-DE"/>
        </w:rPr>
      </w:pPr>
      <w:r w:rsidRPr="004676F5">
        <w:rPr>
          <w:lang w:val="de-DE"/>
        </w:rPr>
        <w:t>7. </w:t>
      </w:r>
      <w:r w:rsidR="00820E61" w:rsidRPr="004676F5">
        <w:rPr>
          <w:lang w:val="de-DE"/>
        </w:rPr>
        <w:t xml:space="preserve">[wenn möglich] </w:t>
      </w:r>
      <w:r w:rsidRPr="004676F5">
        <w:rPr>
          <w:lang w:val="de-DE"/>
        </w:rPr>
        <w:t>eine vollständige Liste der anerkannten und angeblichen Aufschubgläubiger mit Angabe ihres Namens</w:t>
      </w:r>
      <w:r w:rsidR="00820E61" w:rsidRPr="004676F5">
        <w:rPr>
          <w:lang w:val="de-DE"/>
        </w:rPr>
        <w:t xml:space="preserve"> [...]</w:t>
      </w:r>
      <w:r w:rsidRPr="004676F5">
        <w:rPr>
          <w:lang w:val="de-DE"/>
        </w:rPr>
        <w:t xml:space="preserve"> und der Höhe ihrer Forderung; die Eigenschaft eines außergewöhnlichen Aufschubgläubigers und ein Gut, das mit einer dinglichen Sicherheit </w:t>
      </w:r>
      <w:r w:rsidR="00820E61" w:rsidRPr="004676F5">
        <w:rPr>
          <w:lang w:val="de-DE"/>
        </w:rPr>
        <w:t>[belastet ist]</w:t>
      </w:r>
      <w:r w:rsidRPr="004676F5">
        <w:rPr>
          <w:lang w:val="de-DE"/>
        </w:rPr>
        <w:t>, sind besonders zu vermerken,</w:t>
      </w:r>
    </w:p>
    <w:p w14:paraId="286A745F" w14:textId="77777777" w:rsidR="00EE35E2" w:rsidRPr="004676F5" w:rsidRDefault="00EE35E2" w:rsidP="00EE35E2">
      <w:pPr>
        <w:ind w:firstLine="708"/>
        <w:jc w:val="both"/>
        <w:rPr>
          <w:lang w:val="de-DE"/>
        </w:rPr>
      </w:pPr>
    </w:p>
    <w:p w14:paraId="16FF2D51" w14:textId="77777777" w:rsidR="00EE35E2" w:rsidRPr="004676F5" w:rsidRDefault="00EE35E2" w:rsidP="00EE35E2">
      <w:pPr>
        <w:ind w:firstLine="708"/>
        <w:jc w:val="both"/>
        <w:rPr>
          <w:lang w:val="de-DE"/>
        </w:rPr>
      </w:pPr>
      <w:r w:rsidRPr="004676F5">
        <w:rPr>
          <w:lang w:val="de-DE"/>
        </w:rPr>
        <w:t>8. Maßnahmen und Vorschläge, die er in Betracht zieht, um Rentabilität und Zahlungsfähigkeit seines Unternehmens wiederherzustellen, einen möglichen Sozialplan durchzuführen und die Gläubiger zu befriedigen,</w:t>
      </w:r>
    </w:p>
    <w:p w14:paraId="39EA1E25" w14:textId="77777777" w:rsidR="00820E61" w:rsidRPr="004676F5" w:rsidRDefault="00820E61" w:rsidP="00EE35E2">
      <w:pPr>
        <w:ind w:firstLine="708"/>
        <w:jc w:val="both"/>
        <w:rPr>
          <w:lang w:val="de-DE"/>
        </w:rPr>
      </w:pPr>
    </w:p>
    <w:p w14:paraId="059E16E5" w14:textId="77777777" w:rsidR="00820E61" w:rsidRPr="004676F5" w:rsidRDefault="00820E61" w:rsidP="00820E61">
      <w:pPr>
        <w:ind w:firstLine="708"/>
        <w:jc w:val="both"/>
        <w:rPr>
          <w:lang w:val="de-DE"/>
        </w:rPr>
      </w:pPr>
      <w:r w:rsidRPr="004676F5">
        <w:rPr>
          <w:lang w:val="de-DE"/>
        </w:rPr>
        <w:t>[8/1. Angabe der Anzahl Arbeitnehmer, die zum Zeitpunkt der Einreichung der Antragschrift beschäftigt sind,</w:t>
      </w:r>
    </w:p>
    <w:p w14:paraId="1CE10BBC" w14:textId="77777777" w:rsidR="00820E61" w:rsidRPr="004676F5" w:rsidRDefault="00820E61" w:rsidP="00820E61">
      <w:pPr>
        <w:jc w:val="both"/>
        <w:rPr>
          <w:lang w:val="de-DE"/>
        </w:rPr>
      </w:pPr>
    </w:p>
    <w:p w14:paraId="5B212457" w14:textId="6595A8DA" w:rsidR="00820E61" w:rsidRPr="004676F5" w:rsidRDefault="00820E61" w:rsidP="00820E61">
      <w:pPr>
        <w:ind w:firstLine="708"/>
        <w:jc w:val="both"/>
        <w:rPr>
          <w:lang w:val="de-DE"/>
        </w:rPr>
      </w:pPr>
      <w:r w:rsidRPr="004676F5">
        <w:rPr>
          <w:lang w:val="de-DE"/>
        </w:rPr>
        <w:t>8/2. Identifizierungsdaten der verbundenen Unternehmen,]</w:t>
      </w:r>
    </w:p>
    <w:p w14:paraId="567A36DE" w14:textId="77777777" w:rsidR="00EE35E2" w:rsidRPr="004676F5" w:rsidRDefault="00EE35E2" w:rsidP="00EE35E2">
      <w:pPr>
        <w:jc w:val="both"/>
        <w:rPr>
          <w:lang w:val="de-DE"/>
        </w:rPr>
      </w:pPr>
    </w:p>
    <w:p w14:paraId="2997D690" w14:textId="77777777" w:rsidR="00EE35E2" w:rsidRPr="004676F5" w:rsidRDefault="00EE35E2" w:rsidP="00EE35E2">
      <w:pPr>
        <w:ind w:firstLine="708"/>
        <w:jc w:val="both"/>
        <w:rPr>
          <w:lang w:val="de-DE"/>
        </w:rPr>
      </w:pPr>
      <w:r w:rsidRPr="004676F5">
        <w:rPr>
          <w:lang w:val="de-DE"/>
        </w:rPr>
        <w:t>9. Angabe, wie der Schuldner die gesetzlichen oder vertraglichen Verpflichtungen zur Unterrichtung und Konsultierung der Arbeitnehmer oder ihrer Vertreter eingehalten hat,</w:t>
      </w:r>
    </w:p>
    <w:p w14:paraId="410F2C14" w14:textId="77777777" w:rsidR="00EE35E2" w:rsidRPr="004676F5" w:rsidRDefault="00EE35E2" w:rsidP="00EE35E2">
      <w:pPr>
        <w:ind w:firstLine="708"/>
        <w:jc w:val="both"/>
        <w:rPr>
          <w:lang w:val="de-DE"/>
        </w:rPr>
      </w:pPr>
    </w:p>
    <w:p w14:paraId="7E1AC5F7" w14:textId="0A11D51E" w:rsidR="00EE35E2" w:rsidRPr="004676F5" w:rsidRDefault="00EE35E2" w:rsidP="00EE35E2">
      <w:pPr>
        <w:ind w:firstLine="708"/>
        <w:jc w:val="both"/>
        <w:rPr>
          <w:lang w:val="de-DE"/>
        </w:rPr>
      </w:pPr>
      <w:r w:rsidRPr="004676F5">
        <w:rPr>
          <w:lang w:val="de-DE"/>
        </w:rPr>
        <w:t xml:space="preserve">10. eine Liste der Gesellschafter, wenn der Schuldner ein </w:t>
      </w:r>
      <w:r w:rsidR="00320BC4" w:rsidRPr="004676F5">
        <w:rPr>
          <w:lang w:val="de-DE"/>
        </w:rPr>
        <w:t>[in Artikel I.1 Nr. 1 Absatz 1 Buchstabe </w:t>
      </w:r>
      <w:r w:rsidR="00320BC4" w:rsidRPr="004676F5">
        <w:rPr>
          <w:i/>
          <w:iCs/>
          <w:lang w:val="de-DE"/>
        </w:rPr>
        <w:t>(c)</w:t>
      </w:r>
      <w:r w:rsidR="00320BC4" w:rsidRPr="004676F5">
        <w:rPr>
          <w:lang w:val="de-DE"/>
        </w:rPr>
        <w:t>]</w:t>
      </w:r>
      <w:r w:rsidRPr="004676F5">
        <w:rPr>
          <w:lang w:val="de-DE"/>
        </w:rPr>
        <w:t xml:space="preserve"> erwähntes Unternehmen ist oder eine juristische Person, deren Gesellschafter unbeschränkt haften, und Nachweis, dass die Gesellschafter unterrichtet worden sind,</w:t>
      </w:r>
    </w:p>
    <w:p w14:paraId="6429989A" w14:textId="77777777" w:rsidR="00EE35E2" w:rsidRPr="004676F5" w:rsidRDefault="00EE35E2" w:rsidP="00EE35E2">
      <w:pPr>
        <w:ind w:firstLine="708"/>
        <w:jc w:val="both"/>
        <w:rPr>
          <w:lang w:val="de-DE"/>
        </w:rPr>
      </w:pPr>
    </w:p>
    <w:p w14:paraId="2AD04029" w14:textId="08FD4871" w:rsidR="00EE35E2" w:rsidRPr="004676F5" w:rsidRDefault="00EE35E2" w:rsidP="00EE35E2">
      <w:pPr>
        <w:ind w:firstLine="708"/>
        <w:jc w:val="both"/>
        <w:rPr>
          <w:lang w:val="de-DE"/>
        </w:rPr>
      </w:pPr>
      <w:r w:rsidRPr="004676F5">
        <w:rPr>
          <w:lang w:val="de-DE"/>
        </w:rPr>
        <w:t>11. eine Abschrift der Zahlungsbefehle und Mobiliar</w:t>
      </w:r>
      <w:r w:rsidR="005B7A5C" w:rsidRPr="004676F5">
        <w:rPr>
          <w:lang w:val="de-DE"/>
        </w:rPr>
        <w:t>- </w:t>
      </w:r>
      <w:r w:rsidRPr="004676F5">
        <w:rPr>
          <w:lang w:val="de-DE"/>
        </w:rPr>
        <w:t>und Immobiliarvollstreckungs</w:t>
      </w:r>
      <w:r w:rsidRPr="004676F5">
        <w:rPr>
          <w:lang w:val="de-DE"/>
        </w:rPr>
        <w:softHyphen/>
        <w:t>pfändungen, so wie sie in der zentralen Datei der Pfändungs-, Einzugsermächtigungs</w:t>
      </w:r>
      <w:r w:rsidR="005B7A5C" w:rsidRPr="004676F5">
        <w:rPr>
          <w:lang w:val="de-DE"/>
        </w:rPr>
        <w:t>- </w:t>
      </w:r>
      <w:r w:rsidRPr="004676F5">
        <w:rPr>
          <w:lang w:val="de-DE"/>
        </w:rPr>
        <w:t>und Abtretungsmeldungen und der Meldungen einer kollektiven Schuldenregelung erscheinen, wenn er gemäß den Artikeln XX.44 §§ 2 und 3 und XX.51 §§ 2 und 3 die Aussetzung der Verkaufsverrichtungen mit Bezug auf eine Immobiliarvollstreckungspfändung beantragt.</w:t>
      </w:r>
    </w:p>
    <w:p w14:paraId="123A342C" w14:textId="77777777" w:rsidR="00EE35E2" w:rsidRPr="004676F5" w:rsidRDefault="00EE35E2" w:rsidP="00EE35E2">
      <w:pPr>
        <w:ind w:firstLine="708"/>
        <w:jc w:val="both"/>
        <w:rPr>
          <w:lang w:val="de-DE"/>
        </w:rPr>
      </w:pPr>
    </w:p>
    <w:p w14:paraId="55E6AC88" w14:textId="658F63C4" w:rsidR="00820E61" w:rsidRPr="004676F5" w:rsidRDefault="00820E61" w:rsidP="00EE35E2">
      <w:pPr>
        <w:ind w:firstLine="708"/>
        <w:jc w:val="both"/>
        <w:rPr>
          <w:lang w:val="de-DE"/>
        </w:rPr>
      </w:pPr>
      <w:r w:rsidRPr="004676F5">
        <w:rPr>
          <w:lang w:val="de-DE"/>
        </w:rPr>
        <w:t>[Ein in Artikel XX.66/1 erwähnter kleiner oder mittlerer Betrieb, der eine kollektive Einigung erzielen möchte und dabei die für große Unternehmen vorgesehene Regelung in Anspruch nehmen möchte, gibt dies in seiner Antragschrift an.]</w:t>
      </w:r>
    </w:p>
    <w:p w14:paraId="34926727" w14:textId="77777777" w:rsidR="00820E61" w:rsidRPr="004676F5" w:rsidRDefault="00820E61" w:rsidP="00EE35E2">
      <w:pPr>
        <w:ind w:firstLine="708"/>
        <w:jc w:val="both"/>
        <w:rPr>
          <w:lang w:val="de-DE"/>
        </w:rPr>
      </w:pPr>
    </w:p>
    <w:p w14:paraId="5DF03634" w14:textId="132EF5A3" w:rsidR="00EE35E2" w:rsidRPr="004676F5" w:rsidRDefault="00EE35E2" w:rsidP="00EE35E2">
      <w:pPr>
        <w:ind w:firstLine="708"/>
        <w:jc w:val="both"/>
        <w:rPr>
          <w:lang w:val="de-DE"/>
        </w:rPr>
      </w:pPr>
      <w:r w:rsidRPr="004676F5">
        <w:rPr>
          <w:lang w:val="de-DE"/>
        </w:rPr>
        <w:t xml:space="preserve">Ferner kann der Schuldner seiner Antragschrift beliebige andere Schriftstücke beifügen, die er für zweckmäßig erachtet, um den Antrag zu stützen. </w:t>
      </w:r>
      <w:r w:rsidR="00820E61" w:rsidRPr="004676F5">
        <w:rPr>
          <w:lang w:val="de-DE"/>
        </w:rPr>
        <w:t xml:space="preserve">[Er kann insbesondere die Namen der Personalvertreter angeben.] </w:t>
      </w:r>
      <w:r w:rsidRPr="004676F5">
        <w:rPr>
          <w:lang w:val="de-DE"/>
        </w:rPr>
        <w:t>Bei der Hinterlegung der Schriftstücke muss er sich vergewissern, dass sie keine Angaben enthalten, die das Berufsgeheimnis verletzen können, und fügt er gegebenenfalls eine Begründung bei, weshalb einige Schriftstücke aus diesem Grund nicht hinterlegt werden konnten.</w:t>
      </w:r>
    </w:p>
    <w:p w14:paraId="635C47E6" w14:textId="77777777" w:rsidR="00EE35E2" w:rsidRPr="004676F5" w:rsidRDefault="00EE35E2" w:rsidP="00EE35E2">
      <w:pPr>
        <w:ind w:firstLine="708"/>
        <w:jc w:val="both"/>
        <w:rPr>
          <w:lang w:val="de-DE"/>
        </w:rPr>
      </w:pPr>
    </w:p>
    <w:p w14:paraId="663F28AE" w14:textId="2174BD8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Die Antragschrift wird vom Schuldner oder von seinem Rechtsanwalt unterzeich</w:t>
      </w:r>
      <w:r w:rsidRPr="004676F5">
        <w:rPr>
          <w:lang w:val="de-DE"/>
        </w:rPr>
        <w:softHyphen/>
        <w:t>net. Sie wird zusammen mit den zweckdienlichen Unterlagen im Register hinterlegt wie in Artikel XX.15 bestimmt.</w:t>
      </w:r>
    </w:p>
    <w:p w14:paraId="00AD4EC5" w14:textId="77777777" w:rsidR="00820E61" w:rsidRPr="004676F5" w:rsidRDefault="00820E61" w:rsidP="00EE35E2">
      <w:pPr>
        <w:ind w:firstLine="708"/>
        <w:jc w:val="both"/>
        <w:rPr>
          <w:lang w:val="de-DE"/>
        </w:rPr>
      </w:pPr>
    </w:p>
    <w:p w14:paraId="41E8529D" w14:textId="3E90F713" w:rsidR="00820E61" w:rsidRPr="004676F5" w:rsidRDefault="00820E61" w:rsidP="00820E61">
      <w:pPr>
        <w:ind w:firstLine="708"/>
        <w:jc w:val="both"/>
        <w:rPr>
          <w:lang w:val="de-DE"/>
        </w:rPr>
      </w:pPr>
      <w:r w:rsidRPr="004676F5">
        <w:rPr>
          <w:lang w:val="de-DE"/>
        </w:rPr>
        <w:t>[§ 3/1 - Ist der Schuldner nicht in der Lage, seiner Antragschrift die in § 2 Absatz 1 Nr. 5 bis 9 erwähnten Unterlagen beizufügen, hinterlegt er sie spätestens zwei Tage vor der in Artikel XX.46 erwähnten Sitzung im Register.</w:t>
      </w:r>
    </w:p>
    <w:p w14:paraId="08B62B07" w14:textId="77777777" w:rsidR="00820E61" w:rsidRPr="004676F5" w:rsidRDefault="00820E61" w:rsidP="00820E61">
      <w:pPr>
        <w:jc w:val="both"/>
        <w:rPr>
          <w:lang w:val="de-DE"/>
        </w:rPr>
      </w:pPr>
    </w:p>
    <w:p w14:paraId="4F9D64CA" w14:textId="77777777" w:rsidR="00820E61" w:rsidRPr="004676F5" w:rsidRDefault="00820E61" w:rsidP="00820E61">
      <w:pPr>
        <w:jc w:val="both"/>
        <w:rPr>
          <w:lang w:val="de-DE"/>
        </w:rPr>
      </w:pPr>
      <w:r w:rsidRPr="004676F5">
        <w:rPr>
          <w:lang w:val="de-DE"/>
        </w:rPr>
        <w:tab/>
        <w:t>Ist der Schuldner trotz dieser Frist nicht in der Lage, die erforderlichen Unterlagen beizubringen, hinterlegt er innerhalb derselben Frist eine Mitteilung im Register, in der er ausführlich die Gründe angibt, warum er die Unterlagen nicht beibringen konnte.</w:t>
      </w:r>
    </w:p>
    <w:p w14:paraId="64306A87" w14:textId="77777777" w:rsidR="00820E61" w:rsidRPr="004676F5" w:rsidRDefault="00820E61" w:rsidP="00820E61">
      <w:pPr>
        <w:jc w:val="both"/>
        <w:rPr>
          <w:lang w:val="de-DE"/>
        </w:rPr>
      </w:pPr>
    </w:p>
    <w:p w14:paraId="3073B262" w14:textId="77777777" w:rsidR="00820E61" w:rsidRPr="004676F5" w:rsidRDefault="00820E61" w:rsidP="00820E61">
      <w:pPr>
        <w:jc w:val="both"/>
        <w:rPr>
          <w:lang w:val="de-DE"/>
        </w:rPr>
      </w:pPr>
      <w:r w:rsidRPr="004676F5">
        <w:rPr>
          <w:lang w:val="de-DE"/>
        </w:rPr>
        <w:tab/>
        <w:t>Das Gericht entscheidet unter Berücksichtigung der ihm vorgelegten Angaben.</w:t>
      </w:r>
    </w:p>
    <w:p w14:paraId="618F1E4F" w14:textId="77777777" w:rsidR="00820E61" w:rsidRPr="004676F5" w:rsidRDefault="00820E61" w:rsidP="00820E61">
      <w:pPr>
        <w:jc w:val="both"/>
        <w:rPr>
          <w:lang w:val="de-DE"/>
        </w:rPr>
      </w:pPr>
    </w:p>
    <w:p w14:paraId="698C35CA" w14:textId="3205F440" w:rsidR="00820E61" w:rsidRPr="004676F5" w:rsidRDefault="00820E61" w:rsidP="00820E61">
      <w:pPr>
        <w:ind w:firstLine="708"/>
        <w:jc w:val="both"/>
        <w:rPr>
          <w:lang w:val="de-DE"/>
        </w:rPr>
      </w:pPr>
      <w:r w:rsidRPr="004676F5">
        <w:rPr>
          <w:lang w:val="de-DE"/>
        </w:rPr>
        <w:t xml:space="preserve">§ 3/2 - Zielt die Antragschrift auf eine Übertragung des Unternehmens unter den in Titel 5/2 des vorliegenden Buches erwähnten Umständen ab, enthält die Antragschrift die in </w:t>
      </w:r>
      <w:r w:rsidRPr="004676F5">
        <w:rPr>
          <w:lang w:val="de-DE"/>
        </w:rPr>
        <w:lastRenderedPageBreak/>
        <w:t>§ 2 Absatz 1 erwähnten Angaben, die in den Nummern 6 und 8 aufgeführten Angaben ausgenommen. Sie kann jederzeit aus eigener Initiative vom Schuldner oder aufgrund einer Entscheidung des beauftragten Richters ergänzt werden.]</w:t>
      </w:r>
    </w:p>
    <w:p w14:paraId="20088B28" w14:textId="77777777" w:rsidR="00EE35E2" w:rsidRPr="004676F5" w:rsidRDefault="00EE35E2" w:rsidP="00EE35E2">
      <w:pPr>
        <w:ind w:firstLine="708"/>
        <w:jc w:val="both"/>
        <w:rPr>
          <w:lang w:val="de-DE"/>
        </w:rPr>
      </w:pPr>
    </w:p>
    <w:p w14:paraId="02CF3F3F" w14:textId="43683313"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Innerhalb achtundvierzig Stunden ab Einreichung der Antragschrift setzt der Greffier den Prokurator des Königs, der allen Verfahrenshandlungen beiwohnen kann, davon in Kenntnis. Innerhalb derselben Frist benachrichtigt der Greffier die Kammer oder das Institut, der/dem der Freiberufler untersteht, wenn die Antragschrift von einem in Artikel I.1 Nr. 14 erwähnten Unternehmen hinterlegt wurde.</w:t>
      </w:r>
    </w:p>
    <w:p w14:paraId="63BA12D3" w14:textId="77777777" w:rsidR="00EE35E2" w:rsidRPr="004676F5" w:rsidRDefault="00EE35E2" w:rsidP="00EE35E2">
      <w:pPr>
        <w:ind w:firstLine="708"/>
        <w:jc w:val="both"/>
        <w:rPr>
          <w:lang w:val="de-DE"/>
        </w:rPr>
      </w:pPr>
    </w:p>
    <w:p w14:paraId="747118AB" w14:textId="7CA38D06" w:rsidR="00EE35E2" w:rsidRPr="004676F5" w:rsidRDefault="00EE35E2" w:rsidP="00EE35E2">
      <w:pPr>
        <w:ind w:firstLine="708"/>
        <w:jc w:val="both"/>
        <w:rPr>
          <w:lang w:val="de-DE"/>
        </w:rPr>
      </w:pPr>
      <w:r w:rsidRPr="004676F5">
        <w:rPr>
          <w:lang w:val="de-DE"/>
        </w:rPr>
        <w:t xml:space="preserve">Das Gericht kann den gemäß Artikel XX.28 von der Kammer für Unternehmen in Schwierigkeiten erstellten Bericht der Akte der gerichtlichen Reorganisation </w:t>
      </w:r>
      <w:r w:rsidR="00820E61" w:rsidRPr="004676F5">
        <w:rPr>
          <w:lang w:val="de-DE"/>
        </w:rPr>
        <w:t xml:space="preserve">[und der Übertragung unter der Autorität des Gerichts] </w:t>
      </w:r>
      <w:r w:rsidRPr="004676F5">
        <w:rPr>
          <w:lang w:val="de-DE"/>
        </w:rPr>
        <w:t>beifügen.</w:t>
      </w:r>
    </w:p>
    <w:p w14:paraId="7D26E31A" w14:textId="57E35095" w:rsidR="00320BC4" w:rsidRPr="004676F5" w:rsidRDefault="00320BC4" w:rsidP="00EE35E2">
      <w:pPr>
        <w:ind w:firstLine="708"/>
        <w:jc w:val="both"/>
        <w:rPr>
          <w:lang w:val="de-DE"/>
        </w:rPr>
      </w:pPr>
    </w:p>
    <w:p w14:paraId="469752F3" w14:textId="1DE20848" w:rsidR="00320BC4" w:rsidRPr="004676F5" w:rsidRDefault="00320BC4" w:rsidP="00320BC4">
      <w:pPr>
        <w:jc w:val="both"/>
        <w:rPr>
          <w:i/>
          <w:lang w:val="de-DE"/>
        </w:rPr>
      </w:pPr>
      <w:r w:rsidRPr="004676F5">
        <w:rPr>
          <w:i/>
          <w:lang w:val="de-DE"/>
        </w:rPr>
        <w:t xml:space="preserve">[Art. XX.41 </w:t>
      </w:r>
      <w:r w:rsidR="00C42BF5" w:rsidRPr="004676F5">
        <w:rPr>
          <w:i/>
          <w:lang w:val="de-DE"/>
        </w:rPr>
        <w:t>§ 1 abgeändert durch Art. 58 Nr. 1</w:t>
      </w:r>
      <w:r w:rsidR="00C42BF5" w:rsidRPr="004676F5">
        <w:rPr>
          <w:i/>
          <w:iCs/>
          <w:lang w:val="de-DE"/>
        </w:rPr>
        <w:t xml:space="preserve"> des G. vom 7. Juni 2023 (B.S. vom 7. Juli 2023)</w:t>
      </w:r>
      <w:r w:rsidR="00C42BF5" w:rsidRPr="004676F5">
        <w:rPr>
          <w:i/>
          <w:lang w:val="de-DE"/>
        </w:rPr>
        <w:t xml:space="preserve">; § 2 Abs. 1 einleitende Bestimmung abgeändert durch </w:t>
      </w:r>
      <w:r w:rsidR="00F7432B" w:rsidRPr="004676F5">
        <w:rPr>
          <w:i/>
          <w:lang w:val="de-DE"/>
        </w:rPr>
        <w:t>Art. 7 Nr. 1</w:t>
      </w:r>
      <w:r w:rsidR="00F7432B" w:rsidRPr="004676F5">
        <w:rPr>
          <w:i/>
          <w:iCs/>
          <w:lang w:val="de-DE"/>
        </w:rPr>
        <w:t xml:space="preserve"> des G. vom 21. März 2021 (B.S. vom 26. März 2021), selbst aufgehoben durch Art. 271 des G. vom 7. Juni 2023 (B.S. vom 7. Juli 2023), und durch </w:t>
      </w:r>
      <w:r w:rsidR="00C42BF5" w:rsidRPr="004676F5">
        <w:rPr>
          <w:i/>
          <w:lang w:val="de-DE"/>
        </w:rPr>
        <w:t>Art. 58 Nr. 2</w:t>
      </w:r>
      <w:r w:rsidR="00C42BF5" w:rsidRPr="004676F5">
        <w:rPr>
          <w:i/>
          <w:iCs/>
          <w:lang w:val="de-DE"/>
        </w:rPr>
        <w:t xml:space="preserve"> des G. vom 7. Juni 2023 (B.S. vom 7. Juli 2023)</w:t>
      </w:r>
      <w:r w:rsidR="00C42BF5" w:rsidRPr="004676F5">
        <w:rPr>
          <w:i/>
          <w:lang w:val="de-DE"/>
        </w:rPr>
        <w:t>; § 2 Abs. 1 Nr. 1 abgeändert durch Art. 58 Nr. 3</w:t>
      </w:r>
      <w:r w:rsidR="00C42BF5" w:rsidRPr="004676F5">
        <w:rPr>
          <w:i/>
          <w:iCs/>
          <w:lang w:val="de-DE"/>
        </w:rPr>
        <w:t xml:space="preserve"> des G. vom 7. Juni 2023 (B.S. vom 7. Juli 2023)</w:t>
      </w:r>
      <w:r w:rsidR="00C42BF5" w:rsidRPr="004676F5">
        <w:rPr>
          <w:i/>
          <w:lang w:val="de-DE"/>
        </w:rPr>
        <w:t>; § 2 Abs. 1 Nr. 2 abgeändert durch Art. 58 Nr. 4</w:t>
      </w:r>
      <w:r w:rsidR="00C42BF5" w:rsidRPr="004676F5">
        <w:rPr>
          <w:i/>
          <w:iCs/>
          <w:lang w:val="de-DE"/>
        </w:rPr>
        <w:t xml:space="preserve"> des G. vom 7. Juni 2023 (B.S. vom 7. Juli 2023)</w:t>
      </w:r>
      <w:r w:rsidR="00C42BF5" w:rsidRPr="004676F5">
        <w:rPr>
          <w:i/>
          <w:lang w:val="de-DE"/>
        </w:rPr>
        <w:t>; § 2 Abs. 1 Nr. 3 abgeändert durch Art. 58 Nr. 5</w:t>
      </w:r>
      <w:r w:rsidR="00C42BF5" w:rsidRPr="004676F5">
        <w:rPr>
          <w:i/>
          <w:iCs/>
          <w:lang w:val="de-DE"/>
        </w:rPr>
        <w:t xml:space="preserve"> des G. vom 7. Juni 2023 (B.S. vom 7. Juli 2023)</w:t>
      </w:r>
      <w:r w:rsidR="00C42BF5" w:rsidRPr="004676F5">
        <w:rPr>
          <w:i/>
          <w:lang w:val="de-DE"/>
        </w:rPr>
        <w:t>; § 2 Abs. 1 Nr. 5 abgeändert durch Art. 58 Nr. 6</w:t>
      </w:r>
      <w:r w:rsidR="00C42BF5" w:rsidRPr="004676F5">
        <w:rPr>
          <w:i/>
          <w:iCs/>
          <w:lang w:val="de-DE"/>
        </w:rPr>
        <w:t xml:space="preserve"> des G. vom 7. Juni 2023 (B.S. vom 7. Juli 2023)</w:t>
      </w:r>
      <w:r w:rsidR="00C42BF5" w:rsidRPr="004676F5">
        <w:rPr>
          <w:i/>
          <w:lang w:val="de-DE"/>
        </w:rPr>
        <w:t>; § 2 Abs. 1 Nr. 7 abgeändert durch Art. 58 Nr. 7</w:t>
      </w:r>
      <w:r w:rsidR="00C42BF5" w:rsidRPr="004676F5">
        <w:rPr>
          <w:i/>
          <w:iCs/>
          <w:lang w:val="de-DE"/>
        </w:rPr>
        <w:t xml:space="preserve"> des G. vom 7. Juni 2023 (B.S. vom 7. Juli 2023)</w:t>
      </w:r>
      <w:r w:rsidR="00C42BF5" w:rsidRPr="004676F5">
        <w:rPr>
          <w:i/>
          <w:lang w:val="de-DE"/>
        </w:rPr>
        <w:t>; § 2 Abs. 1 Nr. 8/1 und 8/2 eingefügt durch Art. 58 Nr. 8</w:t>
      </w:r>
      <w:r w:rsidR="00C42BF5" w:rsidRPr="004676F5">
        <w:rPr>
          <w:i/>
          <w:iCs/>
          <w:lang w:val="de-DE"/>
        </w:rPr>
        <w:t xml:space="preserve"> des G. vom 7. Juni 2023 (B.S. vom 7. Juli 2023); </w:t>
      </w:r>
      <w:r w:rsidRPr="004676F5">
        <w:rPr>
          <w:i/>
          <w:lang w:val="de-DE"/>
        </w:rPr>
        <w:t>§ </w:t>
      </w:r>
      <w:r w:rsidR="00C42BF5" w:rsidRPr="004676F5">
        <w:rPr>
          <w:i/>
          <w:lang w:val="de-DE"/>
        </w:rPr>
        <w:t>2</w:t>
      </w:r>
      <w:r w:rsidRPr="004676F5">
        <w:rPr>
          <w:i/>
          <w:lang w:val="de-DE"/>
        </w:rPr>
        <w:t xml:space="preserve"> Abs. 1 Nr. 10 abgeändert durch Art. 222 des G. vom 15. April 2018 (B.S. vom 27. April 2018)</w:t>
      </w:r>
      <w:r w:rsidR="00C42BF5" w:rsidRPr="004676F5">
        <w:rPr>
          <w:i/>
          <w:lang w:val="de-DE"/>
        </w:rPr>
        <w:t>; § 2 neuer Absatz 2 eingefügt durch Art. 58 Nr. 9</w:t>
      </w:r>
      <w:r w:rsidR="00C42BF5" w:rsidRPr="004676F5">
        <w:rPr>
          <w:i/>
          <w:iCs/>
          <w:lang w:val="de-DE"/>
        </w:rPr>
        <w:t xml:space="preserve"> des G. vom 7. Juni 2023 (B.S. vom 7. Juli 2023); § 2 Abs. 3 abgeändert durch Art. 58 Nr. 10 des G. vom 7. Juni 2023 (B.S. vom 7. Juli 2023); §§ 3/1 und 3/2 eingefügt durch </w:t>
      </w:r>
      <w:r w:rsidR="00F7432B" w:rsidRPr="004676F5">
        <w:rPr>
          <w:i/>
          <w:iCs/>
          <w:lang w:val="de-DE"/>
        </w:rPr>
        <w:t xml:space="preserve">Art. 7 Nr. 2 des G. vom 21. März 2021 (B.S. vom 26. März 2021), selbst aufgehoben durch Art. 271 des G. vom 7. Juni 2023 (B.S. vom 7. Juli 2023), und erneut eingefügt durch </w:t>
      </w:r>
      <w:r w:rsidR="00C42BF5" w:rsidRPr="004676F5">
        <w:rPr>
          <w:i/>
          <w:iCs/>
          <w:lang w:val="de-DE"/>
        </w:rPr>
        <w:t>Art. 58 Nr. 11 des G. vom 7. Juni 2023 (B.S. vom 7. Juli 2023); § 4 Abs. 2 abgeändert durch Art. 58 Nr. 12 des G. vom 7. Juni 2023 (B.S. vom 7. Juli 2023)</w:t>
      </w:r>
      <w:r w:rsidRPr="004676F5">
        <w:rPr>
          <w:i/>
          <w:lang w:val="de-DE"/>
        </w:rPr>
        <w:t>]</w:t>
      </w:r>
    </w:p>
    <w:p w14:paraId="31CC5E2B" w14:textId="77777777" w:rsidR="00EE35E2" w:rsidRPr="004676F5" w:rsidRDefault="00EE35E2" w:rsidP="00EE35E2">
      <w:pPr>
        <w:ind w:firstLine="708"/>
        <w:jc w:val="both"/>
        <w:rPr>
          <w:lang w:val="de-DE"/>
        </w:rPr>
      </w:pPr>
    </w:p>
    <w:p w14:paraId="08456FD1" w14:textId="77777777" w:rsidR="00DF5BE5" w:rsidRPr="004676F5" w:rsidRDefault="00DF5BE5" w:rsidP="00EE35E2">
      <w:pPr>
        <w:ind w:firstLine="708"/>
        <w:jc w:val="both"/>
        <w:rPr>
          <w:lang w:val="de-DE"/>
        </w:rPr>
      </w:pPr>
    </w:p>
    <w:p w14:paraId="6ADF5062" w14:textId="2D91AABF" w:rsidR="00EE35E2" w:rsidRPr="004676F5" w:rsidRDefault="00BE0A56" w:rsidP="00EE35E2">
      <w:pPr>
        <w:ind w:firstLine="708"/>
        <w:jc w:val="both"/>
        <w:rPr>
          <w:lang w:val="de-DE"/>
        </w:rPr>
      </w:pPr>
      <w:r w:rsidRPr="004676F5">
        <w:rPr>
          <w:b/>
          <w:lang w:val="de-DE"/>
        </w:rPr>
        <w:t>Art. </w:t>
      </w:r>
      <w:r w:rsidR="00EE35E2" w:rsidRPr="004676F5">
        <w:rPr>
          <w:b/>
          <w:lang w:val="de-DE"/>
        </w:rPr>
        <w:t>XX.42</w:t>
      </w:r>
      <w:r w:rsidR="00EE35E2" w:rsidRPr="004676F5">
        <w:rPr>
          <w:lang w:val="de-DE"/>
        </w:rPr>
        <w:t> </w:t>
      </w:r>
      <w:r w:rsidR="005B7A5C" w:rsidRPr="004676F5">
        <w:rPr>
          <w:lang w:val="de-DE"/>
        </w:rPr>
        <w:t>- </w:t>
      </w:r>
      <w:r w:rsidR="00EE35E2" w:rsidRPr="004676F5">
        <w:rPr>
          <w:lang w:val="de-DE"/>
        </w:rPr>
        <w:t xml:space="preserve">In jedem Fall bestimmt der Gerichtspräsident sofort nach Hinterlegung der Antragschrift einen beauftragten Richter, der entweder Richter am Gericht, den Präsidenten ausgenommen, oder </w:t>
      </w:r>
      <w:r w:rsidR="00330A85" w:rsidRPr="004676F5">
        <w:rPr>
          <w:lang w:val="de-DE"/>
        </w:rPr>
        <w:t xml:space="preserve">[Unternehmensrichter] </w:t>
      </w:r>
      <w:r w:rsidR="00EE35E2" w:rsidRPr="004676F5">
        <w:rPr>
          <w:lang w:val="de-DE"/>
        </w:rPr>
        <w:t>ist und der Kammer des Gerichts, bei der die Sache anhängig gemacht worden ist, über Zulässigkeit und Begründetheit des Antrags und über alle für dessen Beurteilung zweckdienlichen Angaben Bericht erstattet.</w:t>
      </w:r>
    </w:p>
    <w:p w14:paraId="141BA6EE" w14:textId="77777777" w:rsidR="00EE35E2" w:rsidRPr="004676F5" w:rsidRDefault="00EE35E2" w:rsidP="00EE35E2">
      <w:pPr>
        <w:ind w:firstLine="708"/>
        <w:jc w:val="both"/>
        <w:rPr>
          <w:lang w:val="de-DE"/>
        </w:rPr>
      </w:pPr>
    </w:p>
    <w:p w14:paraId="03DFBE86" w14:textId="77777777" w:rsidR="00EE35E2" w:rsidRPr="004676F5" w:rsidRDefault="00EE35E2" w:rsidP="00EE35E2">
      <w:pPr>
        <w:ind w:firstLine="708"/>
        <w:jc w:val="both"/>
        <w:rPr>
          <w:lang w:val="de-DE"/>
        </w:rPr>
      </w:pPr>
      <w:r w:rsidRPr="004676F5">
        <w:rPr>
          <w:lang w:val="de-DE"/>
        </w:rPr>
        <w:t>Das Gericht bestimmt in dem in Artikel XX.84 erwähnten Fall einen beauftragten Richter und erteilt ihm den in diesem Artikel angegebenen Auftrag.</w:t>
      </w:r>
    </w:p>
    <w:p w14:paraId="399CC7CA" w14:textId="77777777" w:rsidR="00EE35E2" w:rsidRPr="004676F5" w:rsidRDefault="00EE35E2" w:rsidP="00EE35E2">
      <w:pPr>
        <w:ind w:firstLine="708"/>
        <w:jc w:val="both"/>
        <w:rPr>
          <w:lang w:val="de-DE"/>
        </w:rPr>
      </w:pPr>
    </w:p>
    <w:p w14:paraId="4EA95132" w14:textId="77777777" w:rsidR="00EE35E2" w:rsidRPr="004676F5" w:rsidRDefault="00EE35E2" w:rsidP="00EE35E2">
      <w:pPr>
        <w:ind w:firstLine="708"/>
        <w:jc w:val="both"/>
        <w:rPr>
          <w:lang w:val="de-DE"/>
        </w:rPr>
      </w:pPr>
      <w:r w:rsidRPr="004676F5">
        <w:rPr>
          <w:lang w:val="de-DE"/>
        </w:rPr>
        <w:t>Der beauftragte Richter vernimmt den Schuldner und andere Personen, deren Vernehmung er für zweckdienlich erachtet. Er kann vom Schuldner die Informationen verlangen, die zur Beurteilung dessen Lage erforderlich sind.</w:t>
      </w:r>
    </w:p>
    <w:p w14:paraId="509CC993" w14:textId="77777777" w:rsidR="00DF5BE5" w:rsidRPr="004676F5" w:rsidRDefault="00DF5BE5" w:rsidP="00EE35E2">
      <w:pPr>
        <w:ind w:firstLine="708"/>
        <w:jc w:val="both"/>
        <w:rPr>
          <w:lang w:val="de-DE"/>
        </w:rPr>
      </w:pPr>
    </w:p>
    <w:p w14:paraId="29EDE126" w14:textId="3ABB5EC5" w:rsidR="00EE35E2" w:rsidRPr="004676F5" w:rsidRDefault="00330A85" w:rsidP="00330A85">
      <w:pPr>
        <w:jc w:val="both"/>
        <w:rPr>
          <w:i/>
          <w:lang w:val="de-DE"/>
        </w:rPr>
      </w:pPr>
      <w:r w:rsidRPr="004676F5">
        <w:rPr>
          <w:i/>
          <w:lang w:val="de-DE"/>
        </w:rPr>
        <w:t>[Art. XX.42 Abs. 1 abgeändert durch Art. 253 des G. vom 15. April 2018 (B.S. vom 27. April 2018)]</w:t>
      </w:r>
    </w:p>
    <w:p w14:paraId="074F12A0" w14:textId="7F8A484E" w:rsidR="00330A85" w:rsidRPr="004676F5" w:rsidRDefault="00330A85" w:rsidP="00330A85">
      <w:pPr>
        <w:jc w:val="both"/>
        <w:rPr>
          <w:i/>
          <w:lang w:val="de-DE"/>
        </w:rPr>
      </w:pPr>
    </w:p>
    <w:p w14:paraId="7704E3C6" w14:textId="77777777" w:rsidR="00330A85" w:rsidRPr="004676F5" w:rsidRDefault="00330A85" w:rsidP="00330A85">
      <w:pPr>
        <w:jc w:val="both"/>
        <w:rPr>
          <w:i/>
          <w:lang w:val="de-DE"/>
        </w:rPr>
      </w:pPr>
    </w:p>
    <w:p w14:paraId="25E332FE" w14:textId="469B8D29" w:rsidR="00EE35E2" w:rsidRPr="004676F5" w:rsidRDefault="00BE0A56" w:rsidP="00EE35E2">
      <w:pPr>
        <w:ind w:firstLine="708"/>
        <w:jc w:val="both"/>
        <w:rPr>
          <w:lang w:val="de-DE"/>
        </w:rPr>
      </w:pPr>
      <w:r w:rsidRPr="004676F5">
        <w:rPr>
          <w:b/>
          <w:lang w:val="de-DE"/>
        </w:rPr>
        <w:t>Art. </w:t>
      </w:r>
      <w:r w:rsidR="00EE35E2" w:rsidRPr="004676F5">
        <w:rPr>
          <w:b/>
          <w:lang w:val="de-DE"/>
        </w:rPr>
        <w:t>XX.43</w:t>
      </w:r>
      <w:r w:rsidR="00EE35E2" w:rsidRPr="004676F5">
        <w:rPr>
          <w:lang w:val="de-DE"/>
        </w:rPr>
        <w:t> </w:t>
      </w:r>
      <w:r w:rsidR="005B7A5C" w:rsidRPr="004676F5">
        <w:rPr>
          <w:lang w:val="de-DE"/>
        </w:rPr>
        <w:t>- </w:t>
      </w:r>
      <w:r w:rsidR="00EE35E2" w:rsidRPr="004676F5">
        <w:rPr>
          <w:lang w:val="de-DE"/>
        </w:rPr>
        <w:t xml:space="preserve">Der beauftragte Richter achtet auf die Einhaltung des vorliegenden Gesetzes </w:t>
      </w:r>
      <w:r w:rsidR="00EE35E2" w:rsidRPr="004676F5">
        <w:rPr>
          <w:i/>
          <w:lang w:val="de-DE"/>
        </w:rPr>
        <w:t>[sic, zu lesen ist: des vorliegenden Titels]</w:t>
      </w:r>
      <w:r w:rsidR="00EE35E2" w:rsidRPr="004676F5">
        <w:rPr>
          <w:lang w:val="de-DE"/>
        </w:rPr>
        <w:t xml:space="preserve"> und informiert das Gericht über die Entwicklung der Lage des Schuldners.</w:t>
      </w:r>
    </w:p>
    <w:p w14:paraId="1827F8FE" w14:textId="77777777" w:rsidR="00EE35E2" w:rsidRPr="004676F5" w:rsidRDefault="00EE35E2" w:rsidP="00EE35E2">
      <w:pPr>
        <w:ind w:firstLine="708"/>
        <w:jc w:val="both"/>
        <w:rPr>
          <w:lang w:val="de-DE"/>
        </w:rPr>
      </w:pPr>
    </w:p>
    <w:p w14:paraId="5087DD06" w14:textId="77777777" w:rsidR="00DF5BE5" w:rsidRPr="004676F5" w:rsidRDefault="00DF5BE5" w:rsidP="00EE35E2">
      <w:pPr>
        <w:ind w:firstLine="708"/>
        <w:jc w:val="both"/>
        <w:rPr>
          <w:lang w:val="de-DE"/>
        </w:rPr>
      </w:pPr>
    </w:p>
    <w:p w14:paraId="0737043A" w14:textId="04FE2742" w:rsidR="00EE35E2" w:rsidRPr="004676F5" w:rsidRDefault="00BE0A56" w:rsidP="00EE35E2">
      <w:pPr>
        <w:ind w:firstLine="708"/>
        <w:jc w:val="both"/>
        <w:rPr>
          <w:lang w:val="de-DE"/>
        </w:rPr>
      </w:pPr>
      <w:r w:rsidRPr="004676F5">
        <w:rPr>
          <w:b/>
          <w:lang w:val="de-DE"/>
        </w:rPr>
        <w:t>Art. </w:t>
      </w:r>
      <w:r w:rsidR="00EE35E2" w:rsidRPr="004676F5">
        <w:rPr>
          <w:b/>
          <w:lang w:val="de-DE"/>
        </w:rPr>
        <w:t>XX.44</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Solange das Gericht nicht über den Antrag auf gerichtliche Reorganisation </w:t>
      </w:r>
      <w:r w:rsidR="00D932C8" w:rsidRPr="004676F5">
        <w:rPr>
          <w:lang w:val="de-DE"/>
        </w:rPr>
        <w:t xml:space="preserve">[oder auf Übertragung unter der Autorität des Gerichts] </w:t>
      </w:r>
      <w:r w:rsidR="00EE35E2" w:rsidRPr="004676F5">
        <w:rPr>
          <w:lang w:val="de-DE"/>
        </w:rPr>
        <w:t>entschieden hat und ungeachtet dessen, ob vor oder nach Hinterlegung der Antragschrift Klage erhoben oder ein Vollstreckungsmittel eingeleitet wurde:</w:t>
      </w:r>
    </w:p>
    <w:p w14:paraId="64A9DEC3" w14:textId="77777777" w:rsidR="00EE35E2" w:rsidRPr="004676F5" w:rsidRDefault="00EE35E2" w:rsidP="00EE35E2">
      <w:pPr>
        <w:ind w:firstLine="708"/>
        <w:jc w:val="both"/>
        <w:rPr>
          <w:lang w:val="de-DE"/>
        </w:rPr>
      </w:pPr>
    </w:p>
    <w:p w14:paraId="63D3D9CC" w14:textId="48D0BB77" w:rsidR="00EE35E2" w:rsidRPr="004676F5" w:rsidRDefault="005B7A5C" w:rsidP="00EE35E2">
      <w:pPr>
        <w:ind w:firstLine="708"/>
        <w:jc w:val="both"/>
        <w:rPr>
          <w:lang w:val="de-DE"/>
        </w:rPr>
      </w:pPr>
      <w:r w:rsidRPr="004676F5">
        <w:rPr>
          <w:lang w:val="de-DE"/>
        </w:rPr>
        <w:t>- </w:t>
      </w:r>
      <w:r w:rsidR="00EE35E2" w:rsidRPr="004676F5">
        <w:rPr>
          <w:lang w:val="de-DE"/>
        </w:rPr>
        <w:t>kann gegen den Schuldner der Konkurs nicht eröffnet werden; ist der Schuldner eine juristische Person, kann sie nicht gerichtlich aufgelöst werden,</w:t>
      </w:r>
    </w:p>
    <w:p w14:paraId="515743B8" w14:textId="77777777" w:rsidR="00EE35E2" w:rsidRPr="004676F5" w:rsidRDefault="00EE35E2" w:rsidP="00EE35E2">
      <w:pPr>
        <w:ind w:firstLine="708"/>
        <w:jc w:val="both"/>
        <w:rPr>
          <w:lang w:val="de-DE"/>
        </w:rPr>
      </w:pPr>
    </w:p>
    <w:p w14:paraId="1BCDD72B" w14:textId="4F6E5B35" w:rsidR="00EE35E2" w:rsidRPr="004676F5" w:rsidRDefault="005B7A5C" w:rsidP="00EE35E2">
      <w:pPr>
        <w:ind w:firstLine="708"/>
        <w:jc w:val="both"/>
        <w:rPr>
          <w:lang w:val="de-DE"/>
        </w:rPr>
      </w:pPr>
      <w:r w:rsidRPr="004676F5">
        <w:rPr>
          <w:lang w:val="de-DE"/>
        </w:rPr>
        <w:t>- </w:t>
      </w:r>
      <w:r w:rsidR="00EE35E2" w:rsidRPr="004676F5">
        <w:rPr>
          <w:lang w:val="de-DE"/>
        </w:rPr>
        <w:t>kann keinerlei Verwertung beweglicher oder unbeweglicher Güter des Schuldners infolge der Anwendung eines Vollstreckungsmittels erfolgen.</w:t>
      </w:r>
    </w:p>
    <w:p w14:paraId="42C4409F" w14:textId="77777777" w:rsidR="00EE35E2" w:rsidRPr="004676F5" w:rsidRDefault="00EE35E2" w:rsidP="00EE35E2">
      <w:pPr>
        <w:ind w:firstLine="708"/>
        <w:jc w:val="both"/>
        <w:rPr>
          <w:lang w:val="de-DE"/>
        </w:rPr>
      </w:pPr>
    </w:p>
    <w:p w14:paraId="7DEFEFD8" w14:textId="0E76E381"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Liegt der für einen Zwangsverkauf von Mobilien festgelegte Tag innerhalb einer Frist von zwei Monaten ab Hinterlegung des Antrags auf gerichtliche Reorganisation</w:t>
      </w:r>
      <w:r w:rsidR="00D932C8" w:rsidRPr="004676F5">
        <w:rPr>
          <w:lang w:val="de-DE"/>
        </w:rPr>
        <w:t xml:space="preserve"> [oder auf Übertragung unter der Autorität des Gerichts]</w:t>
      </w:r>
      <w:r w:rsidRPr="004676F5">
        <w:rPr>
          <w:lang w:val="de-DE"/>
        </w:rPr>
        <w:t xml:space="preserve">, können Pfändungsverkaufsverrichtungen fortgesetzt werden. Das Gericht kann jedoch vor oder gleichzeitig mit der Entscheidung zur Eröffnung des Verfahrens </w:t>
      </w:r>
      <w:r w:rsidR="00D932C8" w:rsidRPr="004676F5">
        <w:rPr>
          <w:lang w:val="de-DE"/>
        </w:rPr>
        <w:t>[auf</w:t>
      </w:r>
      <w:r w:rsidRPr="004676F5">
        <w:rPr>
          <w:lang w:val="de-DE"/>
        </w:rPr>
        <w:t xml:space="preserve"> gerichtliche Reorganisation</w:t>
      </w:r>
      <w:r w:rsidR="00D932C8" w:rsidRPr="004676F5">
        <w:rPr>
          <w:lang w:val="de-DE"/>
        </w:rPr>
        <w:t>]</w:t>
      </w:r>
      <w:r w:rsidRPr="004676F5">
        <w:rPr>
          <w:lang w:val="de-DE"/>
        </w:rPr>
        <w:t xml:space="preserve"> die Aussetzung dieser Verrichtungen aussprechen, nachdem es den Bericht des beauftragten Richters angehört hat und auf ausdrücklichen Antrag des Schuldners in seinem Antrag auf gerichtliche Reorganisation wie auch auf Antrag des pfändenden Gläubigers. Der Antrag auf Aussetzung des Verkaufs hat keine aufschiebende Wirkung. Wird die Aussetzung des Verkaufs ausgesprochen, gehen die Kosten aus dieser Aussetzung zu Lasten des Antrag</w:t>
      </w:r>
      <w:r w:rsidRPr="004676F5">
        <w:rPr>
          <w:lang w:val="de-DE"/>
        </w:rPr>
        <w:softHyphen/>
        <w:t>stellers. Die Fristen werden gemäß den Artikeln 52 und folgende des Gerichtsgesetzbuches berechnet.</w:t>
      </w:r>
    </w:p>
    <w:p w14:paraId="78D13ABC" w14:textId="77777777" w:rsidR="00EE35E2" w:rsidRPr="004676F5" w:rsidRDefault="00EE35E2" w:rsidP="00EE35E2">
      <w:pPr>
        <w:ind w:firstLine="708"/>
        <w:jc w:val="both"/>
        <w:rPr>
          <w:lang w:val="de-DE"/>
        </w:rPr>
      </w:pPr>
    </w:p>
    <w:p w14:paraId="0DC73583" w14:textId="2BBC6C2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Liegt der für einen Zwangsverkauf von Immobilien festgelegte Tag innerhalb einer Frist von zwei Monaten ab Hinterlegung des Antrags auf gerichtliche Reorganisation</w:t>
      </w:r>
      <w:r w:rsidR="00D932C8" w:rsidRPr="004676F5">
        <w:rPr>
          <w:lang w:val="de-DE"/>
        </w:rPr>
        <w:t xml:space="preserve"> [oder auf Übertragung unter der Autorität des Gerichts]</w:t>
      </w:r>
      <w:r w:rsidRPr="004676F5">
        <w:rPr>
          <w:lang w:val="de-DE"/>
        </w:rPr>
        <w:t>, können Pfändungsverkaufsverrichtungen fortgesetzt werden. Die Fristen werden gemäß den Artikeln 52 und folgende des Gerichtsgesetzbuches berechnet.</w:t>
      </w:r>
    </w:p>
    <w:p w14:paraId="2E5C95C4" w14:textId="77777777" w:rsidR="00EE35E2" w:rsidRPr="004676F5" w:rsidRDefault="00EE35E2" w:rsidP="00EE35E2">
      <w:pPr>
        <w:ind w:firstLine="708"/>
        <w:jc w:val="both"/>
        <w:rPr>
          <w:lang w:val="de-DE"/>
        </w:rPr>
      </w:pPr>
    </w:p>
    <w:p w14:paraId="30EA5C5E" w14:textId="77777777" w:rsidR="00EE35E2" w:rsidRPr="004676F5" w:rsidRDefault="00EE35E2" w:rsidP="00EE35E2">
      <w:pPr>
        <w:ind w:firstLine="708"/>
        <w:jc w:val="both"/>
        <w:rPr>
          <w:lang w:val="de-DE"/>
        </w:rPr>
      </w:pPr>
      <w:r w:rsidRPr="004676F5">
        <w:rPr>
          <w:lang w:val="de-DE"/>
        </w:rPr>
        <w:t>Der Notar muss jedoch die Verkaufsverrichtungen unterbrechen, wenn folgende Bedingungen kumulativ erfüllt sind:</w:t>
      </w:r>
    </w:p>
    <w:p w14:paraId="29E645A9" w14:textId="77777777" w:rsidR="00EE35E2" w:rsidRPr="004676F5" w:rsidRDefault="00EE35E2" w:rsidP="00EE35E2">
      <w:pPr>
        <w:ind w:firstLine="708"/>
        <w:jc w:val="both"/>
        <w:rPr>
          <w:lang w:val="de-DE"/>
        </w:rPr>
      </w:pPr>
    </w:p>
    <w:p w14:paraId="020B3120" w14:textId="52D6CA04" w:rsidR="00EE35E2" w:rsidRPr="004676F5" w:rsidRDefault="00EE35E2" w:rsidP="00EE35E2">
      <w:pPr>
        <w:ind w:firstLine="708"/>
        <w:jc w:val="both"/>
        <w:rPr>
          <w:lang w:val="de-DE"/>
        </w:rPr>
      </w:pPr>
      <w:r w:rsidRPr="004676F5">
        <w:rPr>
          <w:lang w:val="de-DE"/>
        </w:rPr>
        <w:t>1. </w:t>
      </w:r>
      <w:r w:rsidR="00D932C8" w:rsidRPr="004676F5">
        <w:rPr>
          <w:lang w:val="de-DE"/>
        </w:rPr>
        <w:t xml:space="preserve">[Auf ausdrücklichen Antrag des Schuldners in seiner Antragschrift spricht das Gericht vor oder gleichzeitig mit der Entscheidung zur Eröffnung des Verfahrens die Aussetzung der Zwangsverkaufsverrichtungen aus, nachdem es den Bericht des beauftragten Richters angehört und </w:t>
      </w:r>
      <w:r w:rsidR="00EA5C4E" w:rsidRPr="004676F5">
        <w:rPr>
          <w:lang w:val="de-DE"/>
        </w:rPr>
        <w:t>[eingetragene Hypothekengläubiger, eingetragene bevorrechtigte Gläubiger, gegebenenfalls im Pfandregister registrierte Gläubiger, den pfändenden Gläubiger und Gläubiger, die einen Randvermerk einer aufgrund von Artikel 5.243 des Zivilgesetzbuches erhobenen Klage haben machen lassen, sowie den Schuldner]</w:t>
      </w:r>
      <w:r w:rsidR="00D932C8" w:rsidRPr="004676F5">
        <w:rPr>
          <w:lang w:val="de-DE"/>
        </w:rPr>
        <w:t xml:space="preserve"> vernommen hat. Der Antrag auf Aussetzung des Verkaufs hat keine aufschiebende Wirkung. Vom Notar im Rahmen des Zwangsverkaufs zwischen seiner Bestellung und der Hinterlegung der Antragschrift tatsächlich verauslagte Kosten gehen zu Lasten des Schuldners.]</w:t>
      </w:r>
    </w:p>
    <w:p w14:paraId="02684C1B" w14:textId="77777777" w:rsidR="00EE35E2" w:rsidRPr="004676F5" w:rsidRDefault="00EE35E2" w:rsidP="00EE35E2">
      <w:pPr>
        <w:ind w:firstLine="708"/>
        <w:jc w:val="both"/>
        <w:rPr>
          <w:lang w:val="de-DE"/>
        </w:rPr>
      </w:pPr>
    </w:p>
    <w:p w14:paraId="763C531E" w14:textId="77777777" w:rsidR="00EE35E2" w:rsidRPr="004676F5" w:rsidRDefault="00EE35E2" w:rsidP="00EE35E2">
      <w:pPr>
        <w:ind w:firstLine="708"/>
        <w:jc w:val="both"/>
        <w:rPr>
          <w:lang w:val="de-DE"/>
        </w:rPr>
      </w:pPr>
      <w:r w:rsidRPr="004676F5">
        <w:rPr>
          <w:lang w:val="de-DE"/>
        </w:rPr>
        <w:lastRenderedPageBreak/>
        <w:t>2. Ein Betrag in Höhe dieser Kosten wird in der Amtsstube eines Gerichtsvollziehers entrichtet.</w:t>
      </w:r>
    </w:p>
    <w:p w14:paraId="034D964A" w14:textId="77777777" w:rsidR="00EE35E2" w:rsidRPr="004676F5" w:rsidRDefault="00EE35E2" w:rsidP="00EE35E2">
      <w:pPr>
        <w:ind w:firstLine="708"/>
        <w:jc w:val="both"/>
        <w:rPr>
          <w:lang w:val="de-DE"/>
        </w:rPr>
      </w:pPr>
    </w:p>
    <w:p w14:paraId="528B528C" w14:textId="77777777" w:rsidR="00EE35E2" w:rsidRPr="004676F5" w:rsidRDefault="00EE35E2" w:rsidP="00EE35E2">
      <w:pPr>
        <w:ind w:firstLine="708"/>
        <w:jc w:val="both"/>
        <w:rPr>
          <w:lang w:val="de-DE"/>
        </w:rPr>
      </w:pPr>
      <w:r w:rsidRPr="004676F5">
        <w:rPr>
          <w:lang w:val="de-DE"/>
        </w:rPr>
        <w:t>3. Der Gerichtsvollzieher setzt den Notar unverzüglich per Gerichtsvollzieherurkunde davon in Kenntnis.</w:t>
      </w:r>
    </w:p>
    <w:p w14:paraId="45EAB182" w14:textId="77777777" w:rsidR="00EE35E2" w:rsidRPr="004676F5" w:rsidRDefault="00EE35E2" w:rsidP="00EE35E2">
      <w:pPr>
        <w:ind w:firstLine="708"/>
        <w:jc w:val="both"/>
        <w:rPr>
          <w:lang w:val="de-DE"/>
        </w:rPr>
      </w:pPr>
    </w:p>
    <w:p w14:paraId="57A8A13E" w14:textId="77777777" w:rsidR="00EE35E2" w:rsidRPr="004676F5" w:rsidRDefault="00EE35E2" w:rsidP="00EE35E2">
      <w:pPr>
        <w:ind w:firstLine="708"/>
        <w:jc w:val="both"/>
        <w:rPr>
          <w:lang w:val="de-DE"/>
        </w:rPr>
      </w:pPr>
      <w:r w:rsidRPr="004676F5">
        <w:rPr>
          <w:lang w:val="de-DE"/>
        </w:rPr>
        <w:t>Diese Bedingungen müssen mindestens drei Werktage vor dem für den Zwangsverkauf festgelegten Tag erfüllt sein.</w:t>
      </w:r>
    </w:p>
    <w:p w14:paraId="7B3E9944" w14:textId="77777777" w:rsidR="00EE35E2" w:rsidRPr="004676F5" w:rsidRDefault="00EE35E2" w:rsidP="00EE35E2">
      <w:pPr>
        <w:ind w:firstLine="708"/>
        <w:jc w:val="both"/>
        <w:rPr>
          <w:lang w:val="de-DE"/>
        </w:rPr>
      </w:pPr>
    </w:p>
    <w:p w14:paraId="2B8ACC6D" w14:textId="611DB456" w:rsidR="00EE35E2" w:rsidRPr="004676F5" w:rsidRDefault="00EE35E2" w:rsidP="00EE35E2">
      <w:pPr>
        <w:ind w:firstLine="708"/>
        <w:jc w:val="both"/>
        <w:rPr>
          <w:lang w:val="de-DE"/>
        </w:rPr>
      </w:pPr>
      <w:r w:rsidRPr="004676F5">
        <w:rPr>
          <w:lang w:val="de-DE"/>
        </w:rPr>
        <w:t xml:space="preserve">Der Gerichtsvollzieher leitet den bei ihm entrichteten Betrag innerhalb fünfzehn Tagen ab Eingang an den Notar weiter. Dieser Betrag wird für die Bezahlung </w:t>
      </w:r>
      <w:r w:rsidR="00320BC4" w:rsidRPr="004676F5">
        <w:rPr>
          <w:lang w:val="de-DE"/>
        </w:rPr>
        <w:t>[</w:t>
      </w:r>
      <w:r w:rsidRPr="004676F5">
        <w:rPr>
          <w:lang w:val="de-DE"/>
        </w:rPr>
        <w:t>d</w:t>
      </w:r>
      <w:r w:rsidR="00320BC4" w:rsidRPr="004676F5">
        <w:rPr>
          <w:lang w:val="de-DE"/>
        </w:rPr>
        <w:t>ies</w:t>
      </w:r>
      <w:r w:rsidRPr="004676F5">
        <w:rPr>
          <w:lang w:val="de-DE"/>
        </w:rPr>
        <w:t>er Kosten</w:t>
      </w:r>
      <w:r w:rsidR="00320BC4" w:rsidRPr="004676F5">
        <w:rPr>
          <w:lang w:val="de-DE"/>
        </w:rPr>
        <w:t>]</w:t>
      </w:r>
      <w:r w:rsidRPr="004676F5">
        <w:rPr>
          <w:lang w:val="de-DE"/>
        </w:rPr>
        <w:t xml:space="preserve"> verwendet.</w:t>
      </w:r>
    </w:p>
    <w:p w14:paraId="06D13BDB" w14:textId="77777777" w:rsidR="00EE35E2" w:rsidRPr="004676F5" w:rsidRDefault="00EE35E2" w:rsidP="00EE35E2">
      <w:pPr>
        <w:ind w:firstLine="708"/>
        <w:jc w:val="both"/>
        <w:rPr>
          <w:lang w:val="de-DE"/>
        </w:rPr>
      </w:pPr>
    </w:p>
    <w:p w14:paraId="23F1F443" w14:textId="1350F399"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Bei Pfändung gegen mehrere Schuldner, von denen einer einen Antrag auf gerichtliche Reorganisation </w:t>
      </w:r>
      <w:r w:rsidR="00D932C8" w:rsidRPr="004676F5">
        <w:rPr>
          <w:lang w:val="de-DE"/>
        </w:rPr>
        <w:t xml:space="preserve">[oder auf Übertragung unter der Autorität des Gerichts] </w:t>
      </w:r>
      <w:r w:rsidRPr="004676F5">
        <w:rPr>
          <w:lang w:val="de-DE"/>
        </w:rPr>
        <w:t xml:space="preserve">hinterlegt hat, wird </w:t>
      </w:r>
      <w:r w:rsidR="00263529" w:rsidRPr="004676F5">
        <w:rPr>
          <w:lang w:val="de-DE"/>
        </w:rPr>
        <w:t>[</w:t>
      </w:r>
      <w:r w:rsidRPr="004676F5">
        <w:rPr>
          <w:lang w:val="de-DE"/>
        </w:rPr>
        <w:t>unbeschadet der Paragraphen </w:t>
      </w:r>
      <w:r w:rsidR="00263529" w:rsidRPr="004676F5">
        <w:rPr>
          <w:lang w:val="de-DE"/>
        </w:rPr>
        <w:t>1</w:t>
      </w:r>
      <w:r w:rsidRPr="004676F5">
        <w:rPr>
          <w:lang w:val="de-DE"/>
        </w:rPr>
        <w:t xml:space="preserve"> </w:t>
      </w:r>
      <w:r w:rsidR="00263529" w:rsidRPr="004676F5">
        <w:rPr>
          <w:lang w:val="de-DE"/>
        </w:rPr>
        <w:t>bis</w:t>
      </w:r>
      <w:r w:rsidRPr="004676F5">
        <w:rPr>
          <w:lang w:val="de-DE"/>
        </w:rPr>
        <w:t xml:space="preserve"> 3</w:t>
      </w:r>
      <w:r w:rsidR="00263529" w:rsidRPr="004676F5">
        <w:rPr>
          <w:lang w:val="de-DE"/>
        </w:rPr>
        <w:t>]</w:t>
      </w:r>
      <w:r w:rsidRPr="004676F5">
        <w:rPr>
          <w:lang w:val="de-DE"/>
        </w:rPr>
        <w:t xml:space="preserve"> der Zwangsverkauf von Mobilien oder Immobilien gemäß den Regeln für Mobiliarpfändung beziehungsweise Immobiliarpfändung fortgesetzt. Bei Verkauf infolge Immobiliarvoll</w:t>
      </w:r>
      <w:r w:rsidRPr="004676F5">
        <w:rPr>
          <w:lang w:val="de-DE"/>
        </w:rPr>
        <w:softHyphen/>
        <w:t>streckungs</w:t>
      </w:r>
      <w:r w:rsidRPr="004676F5">
        <w:rPr>
          <w:lang w:val="de-DE"/>
        </w:rPr>
        <w:softHyphen/>
        <w:t xml:space="preserve">pfändung überweist der Notar nach Bezahlung der Hypothekengläubiger und der besonders bevorrechtigten Gläubiger den Restbetrag des Verkaufspreises, der dem Schuldner zukommt, diesem Schuldner oder </w:t>
      </w:r>
      <w:r w:rsidR="005B7A5C" w:rsidRPr="004676F5">
        <w:rPr>
          <w:lang w:val="de-DE"/>
        </w:rPr>
        <w:t>- </w:t>
      </w:r>
      <w:r w:rsidRPr="004676F5">
        <w:rPr>
          <w:lang w:val="de-DE"/>
        </w:rPr>
        <w:t>bei Eröffnung eines Verfahrens der Übertragung unter der Autorität des Gerichts </w:t>
      </w:r>
      <w:r w:rsidR="005B7A5C" w:rsidRPr="004676F5">
        <w:rPr>
          <w:lang w:val="de-DE"/>
        </w:rPr>
        <w:t>- </w:t>
      </w:r>
      <w:r w:rsidRPr="004676F5">
        <w:rPr>
          <w:lang w:val="de-DE"/>
        </w:rPr>
        <w:t xml:space="preserve">an </w:t>
      </w:r>
      <w:r w:rsidR="00D932C8" w:rsidRPr="004676F5">
        <w:rPr>
          <w:lang w:val="de-DE"/>
        </w:rPr>
        <w:t>[den Liquidationsbearbeiter]</w:t>
      </w:r>
      <w:r w:rsidRPr="004676F5">
        <w:rPr>
          <w:lang w:val="de-DE"/>
        </w:rPr>
        <w:t>. Diese Zahlung hat dieselbe befreiende Wirkung wie Zahlungen, die ein Ersteigerer gemäß Artikel 1641 des Gerichtsgesetz</w:t>
      </w:r>
      <w:r w:rsidRPr="004676F5">
        <w:rPr>
          <w:lang w:val="de-DE"/>
        </w:rPr>
        <w:softHyphen/>
        <w:t>buches vornimmt.</w:t>
      </w:r>
    </w:p>
    <w:p w14:paraId="14346E8E" w14:textId="77777777" w:rsidR="00EE35E2" w:rsidRPr="004676F5" w:rsidRDefault="00EE35E2" w:rsidP="00EE35E2">
      <w:pPr>
        <w:ind w:firstLine="708"/>
        <w:jc w:val="both"/>
        <w:rPr>
          <w:lang w:val="de-DE"/>
        </w:rPr>
      </w:pPr>
    </w:p>
    <w:p w14:paraId="3A820A9D" w14:textId="0B8C6BE2"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In allen Fällen muss der Schuldner unverzüglich den Notar oder Gerichtsvoll</w:t>
      </w:r>
      <w:r w:rsidRPr="004676F5">
        <w:rPr>
          <w:lang w:val="de-DE"/>
        </w:rPr>
        <w:softHyphen/>
        <w:t xml:space="preserve">zieher, der mit dem Verkauf des Gutes beauftragt ist, von der Hinterlegung </w:t>
      </w:r>
      <w:r w:rsidR="007C43DB" w:rsidRPr="004676F5">
        <w:rPr>
          <w:lang w:val="de-DE"/>
        </w:rPr>
        <w:t>[in den Paragraphen 2 und 3]</w:t>
      </w:r>
      <w:r w:rsidRPr="004676F5">
        <w:rPr>
          <w:lang w:val="de-DE"/>
        </w:rPr>
        <w:t xml:space="preserve"> erwähnten Antragschrift in Kenntnis setzen. Wird durch diese Antragschrift eine Aussetzung des Verkaufs beantragt, muss der Schuldner gleichzeitig den Notar davon in Kenntnis setzen.</w:t>
      </w:r>
    </w:p>
    <w:p w14:paraId="545C7710" w14:textId="7A5071BB" w:rsidR="00263529" w:rsidRPr="004676F5" w:rsidRDefault="00263529" w:rsidP="00EE35E2">
      <w:pPr>
        <w:ind w:firstLine="708"/>
        <w:jc w:val="both"/>
        <w:rPr>
          <w:lang w:val="de-DE"/>
        </w:rPr>
      </w:pPr>
    </w:p>
    <w:p w14:paraId="7B2819BA" w14:textId="7B05E944" w:rsidR="00263529" w:rsidRPr="004676F5" w:rsidRDefault="00263529" w:rsidP="00263529">
      <w:pPr>
        <w:jc w:val="both"/>
        <w:rPr>
          <w:i/>
          <w:lang w:val="de-DE"/>
        </w:rPr>
      </w:pPr>
      <w:r w:rsidRPr="004676F5">
        <w:rPr>
          <w:i/>
          <w:lang w:val="de-DE"/>
        </w:rPr>
        <w:t xml:space="preserve">[Art. XX.44 </w:t>
      </w:r>
      <w:r w:rsidR="007C43DB" w:rsidRPr="004676F5">
        <w:rPr>
          <w:i/>
          <w:lang w:val="de-DE"/>
        </w:rPr>
        <w:t>§ 1 abgeändert durch Art. 59 Nr. 1</w:t>
      </w:r>
      <w:r w:rsidR="007C43DB" w:rsidRPr="004676F5">
        <w:rPr>
          <w:i/>
          <w:iCs/>
          <w:lang w:val="de-DE"/>
        </w:rPr>
        <w:t xml:space="preserve"> des G. vom 7. Juni 2023 (B.S. vom 7. Juli 2023); § 2 abgeändert durch Art. 59 Nr. 2 und 3 des G. vom 7. Juni 2023 (B.S. vom 7. Juli 2023); § 3 Abs. 1 abgeändert durch Art. 59 Nr. 4 des G. vom 7. Juni 2023 (B.S. vom 7. Juli 2023); </w:t>
      </w:r>
      <w:r w:rsidRPr="004676F5">
        <w:rPr>
          <w:i/>
          <w:lang w:val="de-DE"/>
        </w:rPr>
        <w:t xml:space="preserve">§ 3 Abs. 2 Nr. 1 </w:t>
      </w:r>
      <w:r w:rsidR="007C43DB" w:rsidRPr="004676F5">
        <w:rPr>
          <w:i/>
          <w:lang w:val="de-DE"/>
        </w:rPr>
        <w:t>ersetzt durch Art. 59 Nr. 5</w:t>
      </w:r>
      <w:r w:rsidR="007C43DB" w:rsidRPr="004676F5">
        <w:rPr>
          <w:i/>
          <w:iCs/>
          <w:lang w:val="de-DE"/>
        </w:rPr>
        <w:t xml:space="preserve"> des G. vom 7. Juni 2023 (B.S. vom 7. Juli 2023)</w:t>
      </w:r>
      <w:r w:rsidR="00EA5C4E" w:rsidRPr="004676F5">
        <w:rPr>
          <w:i/>
          <w:iCs/>
          <w:lang w:val="de-DE"/>
        </w:rPr>
        <w:t xml:space="preserve"> und abgeändert durch Art. 77 des G. vom 19. Dezember 2023 (B.S. vom </w:t>
      </w:r>
      <w:r w:rsidR="00185371" w:rsidRPr="004676F5">
        <w:rPr>
          <w:i/>
          <w:iCs/>
          <w:lang w:val="de-DE"/>
        </w:rPr>
        <w:t>27. Dezember 2023)</w:t>
      </w:r>
      <w:r w:rsidRPr="004676F5">
        <w:rPr>
          <w:i/>
          <w:lang w:val="de-DE"/>
        </w:rPr>
        <w:t>; § 3 Abs. 4 abgeändert durch Art. 223 Buchstabe b) des G. vom 15. April 2018 (B.S. vom 27. April 2018); § 4 abgeändert durch Art. 223 Buchstabe c) des G. vom 15. April 2018 (B.S. vom 27. April 2018)</w:t>
      </w:r>
      <w:r w:rsidR="007C43DB" w:rsidRPr="004676F5">
        <w:rPr>
          <w:i/>
          <w:lang w:val="de-DE"/>
        </w:rPr>
        <w:t xml:space="preserve"> und Art. 59 Nr. 6</w:t>
      </w:r>
      <w:r w:rsidR="007C43DB" w:rsidRPr="004676F5">
        <w:rPr>
          <w:i/>
          <w:iCs/>
          <w:lang w:val="de-DE"/>
        </w:rPr>
        <w:t xml:space="preserve"> des G. vom 7. Juni 2023 (B.S. vom 7. Juli 2023); § 5 abgeändert durch Art. 59 Nr. 7 des G. vom 7. Juni 2023 (B.S. vom 7. Juli 2023)</w:t>
      </w:r>
      <w:r w:rsidRPr="004676F5">
        <w:rPr>
          <w:i/>
          <w:lang w:val="de-DE"/>
        </w:rPr>
        <w:t>]</w:t>
      </w:r>
    </w:p>
    <w:p w14:paraId="29DDF863" w14:textId="77777777" w:rsidR="00EE35E2" w:rsidRPr="004676F5" w:rsidRDefault="00EE35E2" w:rsidP="00EE35E2">
      <w:pPr>
        <w:jc w:val="both"/>
        <w:rPr>
          <w:lang w:val="de-DE"/>
        </w:rPr>
      </w:pPr>
    </w:p>
    <w:p w14:paraId="438EAF27" w14:textId="77777777" w:rsidR="00DF5BE5" w:rsidRPr="004676F5" w:rsidRDefault="00DF5BE5" w:rsidP="00EE35E2">
      <w:pPr>
        <w:jc w:val="both"/>
        <w:rPr>
          <w:lang w:val="de-DE"/>
        </w:rPr>
      </w:pPr>
    </w:p>
    <w:p w14:paraId="6697CBB8" w14:textId="77777777" w:rsidR="00931A33" w:rsidRPr="004676F5" w:rsidRDefault="00931A33">
      <w:pPr>
        <w:rPr>
          <w:iCs/>
          <w:lang w:val="de-DE"/>
        </w:rPr>
      </w:pPr>
      <w:r w:rsidRPr="004676F5">
        <w:rPr>
          <w:iCs/>
          <w:lang w:val="de-DE"/>
        </w:rPr>
        <w:br w:type="page"/>
      </w:r>
    </w:p>
    <w:p w14:paraId="53E2460E" w14:textId="2BE0B54B" w:rsidR="00EE35E2" w:rsidRPr="004676F5" w:rsidRDefault="007C43DB" w:rsidP="00EE35E2">
      <w:pPr>
        <w:jc w:val="center"/>
        <w:rPr>
          <w:lang w:val="de-DE"/>
        </w:rPr>
      </w:pPr>
      <w:r w:rsidRPr="004676F5">
        <w:rPr>
          <w:iCs/>
          <w:lang w:val="de-DE"/>
        </w:rPr>
        <w:lastRenderedPageBreak/>
        <w:t>[</w:t>
      </w:r>
      <w:r w:rsidR="00EE35E2" w:rsidRPr="004676F5">
        <w:rPr>
          <w:i/>
          <w:lang w:val="de-DE"/>
        </w:rPr>
        <w:t>Abschnitt </w:t>
      </w:r>
      <w:r w:rsidRPr="004676F5">
        <w:rPr>
          <w:i/>
          <w:lang w:val="de-DE"/>
        </w:rPr>
        <w:t>2</w:t>
      </w:r>
      <w:r w:rsidRPr="004676F5">
        <w:rPr>
          <w:iCs/>
          <w:lang w:val="de-DE"/>
        </w:rPr>
        <w:t>]</w:t>
      </w:r>
      <w:r w:rsidR="00EE35E2" w:rsidRPr="004676F5">
        <w:rPr>
          <w:i/>
          <w:lang w:val="de-DE"/>
        </w:rPr>
        <w:t> </w:t>
      </w:r>
      <w:r w:rsidR="005B7A5C" w:rsidRPr="004676F5">
        <w:rPr>
          <w:i/>
          <w:lang w:val="de-DE"/>
        </w:rPr>
        <w:t>- </w:t>
      </w:r>
      <w:r w:rsidRPr="004676F5">
        <w:rPr>
          <w:iCs/>
          <w:lang w:val="de-DE"/>
        </w:rPr>
        <w:t>[</w:t>
      </w:r>
      <w:r w:rsidR="00EE35E2" w:rsidRPr="004676F5">
        <w:rPr>
          <w:lang w:val="de-DE"/>
        </w:rPr>
        <w:t xml:space="preserve">Bedingungen für die Eröffnung eines Verfahrens </w:t>
      </w:r>
      <w:r w:rsidRPr="004676F5">
        <w:rPr>
          <w:lang w:val="de-DE"/>
        </w:rPr>
        <w:t>der öffentlichen gerichtlichen Reorganisation oder der Übertragung unter der Autorität des Gerichts]</w:t>
      </w:r>
    </w:p>
    <w:p w14:paraId="6E60D655" w14:textId="77777777" w:rsidR="007C43DB" w:rsidRPr="004676F5" w:rsidRDefault="007C43DB" w:rsidP="007C43DB">
      <w:pPr>
        <w:rPr>
          <w:lang w:val="de-DE"/>
        </w:rPr>
      </w:pPr>
    </w:p>
    <w:p w14:paraId="497A8FF8" w14:textId="1E2D9F1F" w:rsidR="007C43DB" w:rsidRPr="004676F5" w:rsidRDefault="007C43DB" w:rsidP="007C43DB">
      <w:pPr>
        <w:rPr>
          <w:b/>
          <w:i/>
          <w:lang w:val="de-DE"/>
        </w:rPr>
      </w:pPr>
      <w:r w:rsidRPr="004676F5">
        <w:rPr>
          <w:bCs/>
          <w:i/>
          <w:lang w:val="de-DE"/>
        </w:rPr>
        <w:t xml:space="preserve">[Früherer Abschnitt 4 </w:t>
      </w:r>
      <w:r w:rsidR="00B20716" w:rsidRPr="004676F5">
        <w:rPr>
          <w:bCs/>
          <w:i/>
          <w:iCs/>
          <w:lang w:val="de-DE"/>
        </w:rPr>
        <w:t xml:space="preserve">umgegliedert und </w:t>
      </w:r>
      <w:r w:rsidRPr="004676F5">
        <w:rPr>
          <w:bCs/>
          <w:i/>
          <w:lang w:val="de-DE"/>
        </w:rPr>
        <w:t>umnummeriert zu Abschnitt 2 und Überschrift ersetzt durch Art. 60</w:t>
      </w:r>
      <w:r w:rsidRPr="004676F5">
        <w:rPr>
          <w:bCs/>
          <w:i/>
          <w:iCs/>
          <w:lang w:val="de-DE"/>
        </w:rPr>
        <w:t xml:space="preserve"> des G. vom 7. Juni 2023 (B.S. vom 7. Juli 2023)]</w:t>
      </w:r>
    </w:p>
    <w:p w14:paraId="140B2E02" w14:textId="77777777" w:rsidR="007C43DB" w:rsidRPr="004676F5" w:rsidRDefault="007C43DB" w:rsidP="007C43DB">
      <w:pPr>
        <w:rPr>
          <w:lang w:val="de-DE"/>
        </w:rPr>
      </w:pPr>
    </w:p>
    <w:p w14:paraId="4DC6FFEA" w14:textId="77777777" w:rsidR="00DF5BE5" w:rsidRPr="004676F5" w:rsidRDefault="00DF5BE5" w:rsidP="00EE35E2">
      <w:pPr>
        <w:jc w:val="both"/>
        <w:rPr>
          <w:lang w:val="de-DE"/>
        </w:rPr>
      </w:pPr>
    </w:p>
    <w:p w14:paraId="6654877A" w14:textId="13A2F27F" w:rsidR="00EE35E2" w:rsidRPr="004676F5" w:rsidRDefault="00BE0A56" w:rsidP="00EE35E2">
      <w:pPr>
        <w:ind w:firstLine="708"/>
        <w:jc w:val="both"/>
        <w:rPr>
          <w:lang w:val="de-DE"/>
        </w:rPr>
      </w:pPr>
      <w:r w:rsidRPr="004676F5">
        <w:rPr>
          <w:b/>
          <w:lang w:val="de-DE"/>
        </w:rPr>
        <w:t>Art. </w:t>
      </w:r>
      <w:r w:rsidR="00EE35E2" w:rsidRPr="004676F5">
        <w:rPr>
          <w:b/>
          <w:lang w:val="de-DE"/>
        </w:rPr>
        <w:t>XX.45</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Ein Verfahren der gerichtlichen Reorganisation </w:t>
      </w:r>
      <w:r w:rsidR="007C43DB" w:rsidRPr="004676F5">
        <w:rPr>
          <w:lang w:val="de-DE"/>
        </w:rPr>
        <w:t xml:space="preserve">[oder der Übertragung unter der Autorität des Gerichts] </w:t>
      </w:r>
      <w:r w:rsidR="00EE35E2" w:rsidRPr="004676F5">
        <w:rPr>
          <w:lang w:val="de-DE"/>
        </w:rPr>
        <w:t xml:space="preserve">wird eröffnet, falls der Fortbestand </w:t>
      </w:r>
      <w:r w:rsidR="007C43DB" w:rsidRPr="004676F5">
        <w:rPr>
          <w:lang w:val="de-DE"/>
        </w:rPr>
        <w:t>[des Schuldners]</w:t>
      </w:r>
      <w:r w:rsidR="00EE35E2" w:rsidRPr="004676F5">
        <w:rPr>
          <w:lang w:val="de-DE"/>
        </w:rPr>
        <w:t xml:space="preserve"> </w:t>
      </w:r>
      <w:r w:rsidR="007C43DB" w:rsidRPr="004676F5">
        <w:rPr>
          <w:lang w:val="de-DE"/>
        </w:rPr>
        <w:t>[kurz- oder mittelfristig]</w:t>
      </w:r>
      <w:r w:rsidR="00EE35E2" w:rsidRPr="004676F5">
        <w:rPr>
          <w:lang w:val="de-DE"/>
        </w:rPr>
        <w:t xml:space="preserve"> Zukunft gefährdet ist.</w:t>
      </w:r>
    </w:p>
    <w:p w14:paraId="53DE3A7F" w14:textId="77777777" w:rsidR="00EE35E2" w:rsidRPr="004676F5" w:rsidRDefault="00EE35E2" w:rsidP="00EE35E2">
      <w:pPr>
        <w:ind w:firstLine="708"/>
        <w:jc w:val="both"/>
        <w:rPr>
          <w:lang w:val="de-DE"/>
        </w:rPr>
      </w:pPr>
    </w:p>
    <w:p w14:paraId="0F76F88D" w14:textId="57A8298A" w:rsidR="00EE35E2" w:rsidRPr="004676F5" w:rsidRDefault="00EE35E2" w:rsidP="00EE35E2">
      <w:pPr>
        <w:ind w:firstLine="708"/>
        <w:jc w:val="both"/>
        <w:rPr>
          <w:lang w:val="de-DE"/>
        </w:rPr>
      </w:pPr>
      <w:r w:rsidRPr="004676F5">
        <w:rPr>
          <w:lang w:val="de-DE"/>
        </w:rPr>
        <w:t>§ 2 </w:t>
      </w:r>
      <w:r w:rsidR="005B7A5C" w:rsidRPr="004676F5">
        <w:rPr>
          <w:lang w:val="de-DE"/>
        </w:rPr>
        <w:t>- </w:t>
      </w:r>
      <w:r w:rsidR="007C43DB" w:rsidRPr="004676F5">
        <w:rPr>
          <w:lang w:val="de-DE"/>
        </w:rPr>
        <w:t>[...]</w:t>
      </w:r>
    </w:p>
    <w:p w14:paraId="6229E79A" w14:textId="77777777" w:rsidR="00EE35E2" w:rsidRPr="004676F5" w:rsidRDefault="00EE35E2" w:rsidP="00EE35E2">
      <w:pPr>
        <w:ind w:firstLine="708"/>
        <w:jc w:val="both"/>
        <w:rPr>
          <w:lang w:val="de-DE"/>
        </w:rPr>
      </w:pPr>
    </w:p>
    <w:p w14:paraId="7CA6E97D" w14:textId="36670D75"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 xml:space="preserve">Der Konkurs des Schuldners steht der Eröffnung oder Fortsetzung eines Verfahrens der gerichtlichen Reorganisation </w:t>
      </w:r>
      <w:r w:rsidR="007C43DB" w:rsidRPr="004676F5">
        <w:rPr>
          <w:lang w:val="de-DE"/>
        </w:rPr>
        <w:t xml:space="preserve">[oder der Übertragung unter der Autorität des Gerichts] </w:t>
      </w:r>
      <w:r w:rsidRPr="004676F5">
        <w:rPr>
          <w:lang w:val="de-DE"/>
        </w:rPr>
        <w:t>an sich nicht im Wege.</w:t>
      </w:r>
    </w:p>
    <w:p w14:paraId="2A586BDA" w14:textId="77777777" w:rsidR="00EE35E2" w:rsidRPr="004676F5" w:rsidRDefault="00EE35E2" w:rsidP="00EE35E2">
      <w:pPr>
        <w:ind w:firstLine="708"/>
        <w:jc w:val="both"/>
        <w:rPr>
          <w:lang w:val="de-DE"/>
        </w:rPr>
      </w:pPr>
    </w:p>
    <w:p w14:paraId="1D2E6563" w14:textId="6956F119"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Das Fehlen der in Artikel XX.41 § 2 erwähnten Schriftstücke steht der Anwendung von Artikel XX.84 § 2 nicht im Wege.</w:t>
      </w:r>
    </w:p>
    <w:p w14:paraId="17F43C9E" w14:textId="77777777" w:rsidR="00EE35E2" w:rsidRPr="004676F5" w:rsidRDefault="00EE35E2" w:rsidP="00EE35E2">
      <w:pPr>
        <w:ind w:firstLine="708"/>
        <w:jc w:val="both"/>
        <w:rPr>
          <w:lang w:val="de-DE"/>
        </w:rPr>
      </w:pPr>
    </w:p>
    <w:p w14:paraId="0FC62EFA" w14:textId="3410727A" w:rsidR="00EE35E2" w:rsidRPr="004676F5" w:rsidRDefault="00EE35E2" w:rsidP="00EE35E2">
      <w:pPr>
        <w:ind w:firstLine="708"/>
        <w:jc w:val="both"/>
        <w:rPr>
          <w:lang w:val="de-DE"/>
        </w:rPr>
      </w:pPr>
      <w:r w:rsidRPr="004676F5">
        <w:rPr>
          <w:lang w:val="de-DE"/>
        </w:rPr>
        <w:t>§ 5 </w:t>
      </w:r>
      <w:r w:rsidR="005B7A5C" w:rsidRPr="004676F5">
        <w:rPr>
          <w:lang w:val="de-DE"/>
        </w:rPr>
        <w:t>- </w:t>
      </w:r>
      <w:r w:rsidR="007C43DB" w:rsidRPr="004676F5">
        <w:rPr>
          <w:lang w:val="de-DE"/>
        </w:rPr>
        <w:t>[...]</w:t>
      </w:r>
    </w:p>
    <w:p w14:paraId="4104DB6D" w14:textId="77777777" w:rsidR="00EE35E2" w:rsidRPr="004676F5" w:rsidRDefault="00EE35E2" w:rsidP="00EE35E2">
      <w:pPr>
        <w:ind w:firstLine="708"/>
        <w:jc w:val="both"/>
        <w:rPr>
          <w:lang w:val="de-DE"/>
        </w:rPr>
      </w:pPr>
    </w:p>
    <w:p w14:paraId="7262BDAF" w14:textId="68CFAF7D" w:rsidR="00EE35E2" w:rsidRPr="004676F5" w:rsidRDefault="00EE35E2" w:rsidP="00EE35E2">
      <w:pPr>
        <w:ind w:firstLine="708"/>
        <w:jc w:val="both"/>
        <w:rPr>
          <w:lang w:val="de-DE"/>
        </w:rPr>
      </w:pPr>
      <w:r w:rsidRPr="004676F5">
        <w:rPr>
          <w:lang w:val="de-DE"/>
        </w:rPr>
        <w:t xml:space="preserve">Ein Antrag auf gerichtliche Reorganisation hat nicht die in Artikel XX.44 erwähnte aufschiebende Wirkung, wenn er von einem Schuldner gestellt wird, der weniger als </w:t>
      </w:r>
      <w:r w:rsidR="007C43DB" w:rsidRPr="004676F5">
        <w:rPr>
          <w:lang w:val="de-DE"/>
        </w:rPr>
        <w:t>[zwölf</w:t>
      </w:r>
      <w:r w:rsidRPr="004676F5">
        <w:rPr>
          <w:lang w:val="de-DE"/>
        </w:rPr>
        <w:t xml:space="preserve"> Monate</w:t>
      </w:r>
      <w:r w:rsidR="007C43DB" w:rsidRPr="004676F5">
        <w:rPr>
          <w:lang w:val="de-DE"/>
        </w:rPr>
        <w:t>]</w:t>
      </w:r>
      <w:r w:rsidRPr="004676F5">
        <w:rPr>
          <w:lang w:val="de-DE"/>
        </w:rPr>
        <w:t xml:space="preserve"> zuvor bereits die Eröffnung eines Verfahrens der gerichtlichen Reorganisation beantragt hat, außer wenn das Gericht durch eine mit Gründen versehene Entscheidung anders befindet.</w:t>
      </w:r>
    </w:p>
    <w:p w14:paraId="5113E1A7" w14:textId="77777777" w:rsidR="00EE35E2" w:rsidRPr="004676F5" w:rsidRDefault="00EE35E2" w:rsidP="00EE35E2">
      <w:pPr>
        <w:ind w:firstLine="708"/>
        <w:jc w:val="both"/>
        <w:rPr>
          <w:lang w:val="de-DE"/>
        </w:rPr>
      </w:pPr>
    </w:p>
    <w:p w14:paraId="02C49FE9" w14:textId="5CBF87C0" w:rsidR="00EE35E2" w:rsidRPr="004676F5" w:rsidRDefault="00EE35E2" w:rsidP="00EE35E2">
      <w:pPr>
        <w:ind w:firstLine="708"/>
        <w:jc w:val="both"/>
        <w:rPr>
          <w:lang w:val="de-DE"/>
        </w:rPr>
      </w:pPr>
      <w:r w:rsidRPr="004676F5">
        <w:rPr>
          <w:lang w:val="de-DE"/>
        </w:rPr>
        <w:t xml:space="preserve">Geht der Antrag von einem Schuldner aus, der vor </w:t>
      </w:r>
      <w:r w:rsidR="007C43DB" w:rsidRPr="004676F5">
        <w:rPr>
          <w:lang w:val="de-DE"/>
        </w:rPr>
        <w:t>[...]</w:t>
      </w:r>
      <w:r w:rsidRPr="004676F5">
        <w:rPr>
          <w:lang w:val="de-DE"/>
        </w:rPr>
        <w:t xml:space="preserve"> weniger als fünf Jahren bereits die Eröffnung eines Verfahrens der gerichtlichen Reorganisation beantragt und bewilligt bekommen hat, dürfen Vereinbarungen zugunsten der Gläubiger aus dem vorhergehenden Verfahren durch das neue Verfahren der gerichtlichen Reorganisation nicht in Frage gestellt werden.</w:t>
      </w:r>
    </w:p>
    <w:p w14:paraId="19CE2A2F" w14:textId="77777777" w:rsidR="007C43DB" w:rsidRPr="004676F5" w:rsidRDefault="007C43DB" w:rsidP="00EE35E2">
      <w:pPr>
        <w:ind w:firstLine="708"/>
        <w:jc w:val="both"/>
        <w:rPr>
          <w:lang w:val="de-DE"/>
        </w:rPr>
      </w:pPr>
    </w:p>
    <w:p w14:paraId="2FA798C6" w14:textId="6163D089" w:rsidR="007C43DB" w:rsidRPr="004676F5" w:rsidRDefault="007C43DB" w:rsidP="00EE35E2">
      <w:pPr>
        <w:ind w:firstLine="708"/>
        <w:jc w:val="both"/>
        <w:rPr>
          <w:lang w:val="de-DE"/>
        </w:rPr>
      </w:pPr>
      <w:r w:rsidRPr="004676F5">
        <w:rPr>
          <w:lang w:val="de-DE"/>
        </w:rPr>
        <w:t>[§ 6 - Ist der Schuldner eine juristische Person, müssen die Leiter für die Einreichung eines Antrags auf gerichtliche Reorganisation nicht die Zustimmung der Generalversammlung oder bestimmter Anteilsinhaber einholen.]</w:t>
      </w:r>
    </w:p>
    <w:p w14:paraId="4C3751C2" w14:textId="77777777" w:rsidR="00EE35E2" w:rsidRPr="004676F5" w:rsidRDefault="00EE35E2" w:rsidP="007C43DB">
      <w:pPr>
        <w:jc w:val="both"/>
        <w:rPr>
          <w:lang w:val="de-DE"/>
        </w:rPr>
      </w:pPr>
    </w:p>
    <w:p w14:paraId="47500907" w14:textId="07F2A8DB" w:rsidR="007C43DB" w:rsidRPr="004676F5" w:rsidRDefault="007C43DB" w:rsidP="007C43DB">
      <w:pPr>
        <w:jc w:val="both"/>
        <w:rPr>
          <w:i/>
          <w:iCs/>
          <w:lang w:val="de-DE"/>
        </w:rPr>
      </w:pPr>
      <w:r w:rsidRPr="004676F5">
        <w:rPr>
          <w:i/>
          <w:iCs/>
          <w:lang w:val="de-DE"/>
        </w:rPr>
        <w:t xml:space="preserve">[Art. XX.45 § 1 abgeändert durch Art. 61 Nr. 1 des G. vom 7. Juni 2023 (B.S. vom 7. Juli 2023); § 2 aufgehoben durch Art. 61 Nr. 2 des G. vom 7. Juni 2023 (B.S. vom 7. Juli 2023); § 3 abgeändert durch Art. 61 Nr. 3 des G. vom 7. Juni 2023 (B.S. vom 7. Juli 2023); § 5 früherer Absatz 1 aufgehoben durch </w:t>
      </w:r>
      <w:r w:rsidR="00F7432B" w:rsidRPr="004676F5">
        <w:rPr>
          <w:i/>
          <w:iCs/>
          <w:lang w:val="de-DE"/>
        </w:rPr>
        <w:t xml:space="preserve">Art. 8 Nr. 1 des G. vom 21. März 2021 (B.S. vom 26. März 2021), selbst aufgehoben durch Art. 271 des G. vom 7. Juni 2023 (B.S. vom 7. Juli 2023), und erneut aufgehoben durch </w:t>
      </w:r>
      <w:r w:rsidRPr="004676F5">
        <w:rPr>
          <w:i/>
          <w:iCs/>
          <w:lang w:val="de-DE"/>
        </w:rPr>
        <w:t xml:space="preserve">Art. 61 Nr. 4 des G. vom 7. Juni 2023 (B.S. vom 7. Juli 2023); § 5 Abs. 1 abgeändert durch Art. 61 Nr. 5 des G. vom 7. Juni 2023 (B.S. vom 7. Juli 2023); § 5 Abs. 2 abgeändert durch </w:t>
      </w:r>
      <w:r w:rsidR="00F7432B" w:rsidRPr="004676F5">
        <w:rPr>
          <w:i/>
          <w:iCs/>
          <w:lang w:val="de-DE"/>
        </w:rPr>
        <w:t xml:space="preserve">Art. 8 Nr. 2 des G. vom 21. März 2021 (B.S. vom 26. März 2021), selbst aufgehoben durch Art. 271 des G. vom 7. Juni 2023 (B.S. vom 7. Juli 2023), und durch </w:t>
      </w:r>
      <w:r w:rsidRPr="004676F5">
        <w:rPr>
          <w:i/>
          <w:iCs/>
          <w:lang w:val="de-DE"/>
        </w:rPr>
        <w:t>Art. 61 Nr. 6 des G. vom 7. Juni 2023 (B.S. vom 7. Juli 2023); § 6 eingefügt durch Art. 61 Nr. 7 des G. vom 7. Juni 2023 (B.S. vom 7. Juli 2023)]</w:t>
      </w:r>
    </w:p>
    <w:p w14:paraId="267A2AD4" w14:textId="77777777" w:rsidR="007C43DB" w:rsidRPr="004676F5" w:rsidRDefault="007C43DB" w:rsidP="007C43DB">
      <w:pPr>
        <w:jc w:val="both"/>
        <w:rPr>
          <w:i/>
          <w:iCs/>
          <w:lang w:val="de-DE"/>
        </w:rPr>
      </w:pPr>
    </w:p>
    <w:p w14:paraId="01486E74" w14:textId="77777777" w:rsidR="00DF5BE5" w:rsidRPr="004676F5" w:rsidRDefault="00DF5BE5" w:rsidP="00EE35E2">
      <w:pPr>
        <w:ind w:firstLine="708"/>
        <w:jc w:val="both"/>
        <w:rPr>
          <w:lang w:val="de-DE"/>
        </w:rPr>
      </w:pPr>
    </w:p>
    <w:p w14:paraId="240FEC24" w14:textId="182485E7" w:rsidR="007C43DB" w:rsidRPr="004676F5" w:rsidRDefault="007C43DB" w:rsidP="007C43DB">
      <w:pPr>
        <w:jc w:val="center"/>
        <w:rPr>
          <w:lang w:val="de-DE"/>
        </w:rPr>
      </w:pPr>
      <w:r w:rsidRPr="004676F5">
        <w:rPr>
          <w:iCs/>
          <w:lang w:val="de-DE"/>
        </w:rPr>
        <w:t>[</w:t>
      </w:r>
      <w:r w:rsidRPr="004676F5">
        <w:rPr>
          <w:i/>
          <w:lang w:val="de-DE"/>
        </w:rPr>
        <w:t>Abschnitt 3</w:t>
      </w:r>
      <w:r w:rsidRPr="004676F5">
        <w:rPr>
          <w:iCs/>
          <w:lang w:val="de-DE"/>
        </w:rPr>
        <w:t>]</w:t>
      </w:r>
      <w:r w:rsidRPr="004676F5">
        <w:rPr>
          <w:i/>
          <w:lang w:val="de-DE"/>
        </w:rPr>
        <w:t> - </w:t>
      </w:r>
      <w:r w:rsidRPr="004676F5">
        <w:rPr>
          <w:iCs/>
          <w:lang w:val="de-DE"/>
        </w:rPr>
        <w:t>[</w:t>
      </w:r>
      <w:r w:rsidRPr="004676F5">
        <w:rPr>
          <w:lang w:val="de-DE"/>
        </w:rPr>
        <w:t>Urteil über den Antrag auf öffentliche gerichtliche Reorganisation oder auf Übertragung unter der Autorität des Gerichts und seine Folgen]</w:t>
      </w:r>
    </w:p>
    <w:p w14:paraId="11E2EC9C" w14:textId="77777777" w:rsidR="007C43DB" w:rsidRPr="004676F5" w:rsidRDefault="007C43DB" w:rsidP="007C43DB">
      <w:pPr>
        <w:rPr>
          <w:lang w:val="de-DE"/>
        </w:rPr>
      </w:pPr>
    </w:p>
    <w:p w14:paraId="499BD3BE" w14:textId="6813A92C" w:rsidR="007C43DB" w:rsidRPr="004676F5" w:rsidRDefault="007C43DB" w:rsidP="007C43DB">
      <w:pPr>
        <w:rPr>
          <w:b/>
          <w:i/>
          <w:lang w:val="de-DE"/>
        </w:rPr>
      </w:pPr>
      <w:r w:rsidRPr="004676F5">
        <w:rPr>
          <w:bCs/>
          <w:i/>
          <w:lang w:val="de-DE"/>
        </w:rPr>
        <w:t xml:space="preserve">[Früherer Abschnitt 5 </w:t>
      </w:r>
      <w:r w:rsidR="00B20716" w:rsidRPr="004676F5">
        <w:rPr>
          <w:bCs/>
          <w:i/>
          <w:iCs/>
          <w:lang w:val="de-DE"/>
        </w:rPr>
        <w:t xml:space="preserve">umgegliedert und </w:t>
      </w:r>
      <w:r w:rsidRPr="004676F5">
        <w:rPr>
          <w:bCs/>
          <w:i/>
          <w:lang w:val="de-DE"/>
        </w:rPr>
        <w:t>umnummeriert zu Abschnitt 3 und Überschrift ersetzt durch Art. 62</w:t>
      </w:r>
      <w:r w:rsidRPr="004676F5">
        <w:rPr>
          <w:bCs/>
          <w:i/>
          <w:iCs/>
          <w:lang w:val="de-DE"/>
        </w:rPr>
        <w:t xml:space="preserve"> des G. vom 7. Juni 2023 (B.S. vom 7. Juli 2023)]</w:t>
      </w:r>
    </w:p>
    <w:p w14:paraId="7A170D44" w14:textId="77777777" w:rsidR="007C43DB" w:rsidRPr="004676F5" w:rsidRDefault="007C43DB" w:rsidP="007C43DB">
      <w:pPr>
        <w:rPr>
          <w:lang w:val="de-DE"/>
        </w:rPr>
      </w:pPr>
    </w:p>
    <w:p w14:paraId="2CA2A343" w14:textId="77777777" w:rsidR="00DF5BE5" w:rsidRPr="004676F5" w:rsidRDefault="00DF5BE5" w:rsidP="00EE35E2">
      <w:pPr>
        <w:jc w:val="both"/>
        <w:rPr>
          <w:lang w:val="de-DE"/>
        </w:rPr>
      </w:pPr>
    </w:p>
    <w:p w14:paraId="765E097E" w14:textId="45DB542D" w:rsidR="00EE35E2" w:rsidRPr="004676F5" w:rsidRDefault="00BE0A56" w:rsidP="00EE35E2">
      <w:pPr>
        <w:ind w:firstLine="708"/>
        <w:jc w:val="both"/>
        <w:rPr>
          <w:lang w:val="de-DE"/>
        </w:rPr>
      </w:pPr>
      <w:r w:rsidRPr="004676F5">
        <w:rPr>
          <w:b/>
          <w:lang w:val="de-DE"/>
        </w:rPr>
        <w:t>Art. </w:t>
      </w:r>
      <w:r w:rsidR="00EE35E2" w:rsidRPr="004676F5">
        <w:rPr>
          <w:b/>
          <w:lang w:val="de-DE"/>
        </w:rPr>
        <w:t>XX.46</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Das Gericht untersucht einen Antrag auf gerichtliche Reorganisation </w:t>
      </w:r>
      <w:r w:rsidR="00073B95" w:rsidRPr="004676F5">
        <w:rPr>
          <w:lang w:val="de-DE"/>
        </w:rPr>
        <w:t xml:space="preserve">[oder auf Übertragung unter der Autorität des Gerichts] </w:t>
      </w:r>
      <w:r w:rsidR="00EE35E2" w:rsidRPr="004676F5">
        <w:rPr>
          <w:lang w:val="de-DE"/>
        </w:rPr>
        <w:t>innerhalb fünfzehn Tagen ab Hinterlegung des Antrags im Register.</w:t>
      </w:r>
    </w:p>
    <w:p w14:paraId="109F23E8" w14:textId="77777777" w:rsidR="00EE35E2" w:rsidRPr="004676F5" w:rsidRDefault="00EE35E2" w:rsidP="00EE35E2">
      <w:pPr>
        <w:ind w:firstLine="708"/>
        <w:jc w:val="both"/>
        <w:rPr>
          <w:lang w:val="de-DE"/>
        </w:rPr>
      </w:pPr>
    </w:p>
    <w:p w14:paraId="44313BF2" w14:textId="77777777" w:rsidR="00EE35E2" w:rsidRPr="004676F5" w:rsidRDefault="00EE35E2" w:rsidP="00EE35E2">
      <w:pPr>
        <w:ind w:firstLine="708"/>
        <w:jc w:val="both"/>
        <w:rPr>
          <w:lang w:val="de-DE"/>
        </w:rPr>
      </w:pPr>
      <w:r w:rsidRPr="004676F5">
        <w:rPr>
          <w:lang w:val="de-DE"/>
        </w:rPr>
        <w:t>Der Schuldner wird spätestens drei volle Tage vor der Sitzung vom Greffier vorgeladen, es sei denn, er hat auf diese Vorladung verzichtet.</w:t>
      </w:r>
    </w:p>
    <w:p w14:paraId="2FD58363" w14:textId="77777777" w:rsidR="00EE35E2" w:rsidRPr="004676F5" w:rsidRDefault="00EE35E2" w:rsidP="00EE35E2">
      <w:pPr>
        <w:ind w:firstLine="708"/>
        <w:jc w:val="both"/>
        <w:rPr>
          <w:lang w:val="de-DE"/>
        </w:rPr>
      </w:pPr>
    </w:p>
    <w:p w14:paraId="2D1E49F4" w14:textId="77777777" w:rsidR="00EE35E2" w:rsidRPr="004676F5" w:rsidRDefault="00EE35E2" w:rsidP="00EE35E2">
      <w:pPr>
        <w:ind w:firstLine="708"/>
        <w:jc w:val="both"/>
        <w:rPr>
          <w:lang w:val="de-DE"/>
        </w:rPr>
      </w:pPr>
      <w:r w:rsidRPr="004676F5">
        <w:rPr>
          <w:lang w:val="de-DE"/>
        </w:rPr>
        <w:t>Der Schuldner wird in der Ratskammer vernommen, außer wenn er ausdrücklich seinen Willen geäußert hat, in öffentlicher Sitzung vernommen zu werden.</w:t>
      </w:r>
    </w:p>
    <w:p w14:paraId="7E07D913" w14:textId="77777777" w:rsidR="00EE35E2" w:rsidRPr="004676F5" w:rsidRDefault="00EE35E2" w:rsidP="00EE35E2">
      <w:pPr>
        <w:ind w:firstLine="708"/>
        <w:jc w:val="both"/>
        <w:rPr>
          <w:lang w:val="de-DE"/>
        </w:rPr>
      </w:pPr>
    </w:p>
    <w:p w14:paraId="0E1F9A07" w14:textId="77777777" w:rsidR="00EE35E2" w:rsidRPr="004676F5" w:rsidRDefault="00EE35E2" w:rsidP="00EE35E2">
      <w:pPr>
        <w:ind w:firstLine="708"/>
        <w:jc w:val="both"/>
        <w:rPr>
          <w:lang w:val="de-DE"/>
        </w:rPr>
      </w:pPr>
      <w:r w:rsidRPr="004676F5">
        <w:rPr>
          <w:lang w:val="de-DE"/>
        </w:rPr>
        <w:t>Nachdem das Gericht den Bericht des beauftragten Richters angehört hat, entscheidet es durch Urteil innerhalb acht Tagen nach Untersuchung des Antrags. Wenn ein Versäumnis oder eine Unregelmäßigkeit bei Hinterlegung der Unterlagen das Gericht nicht daran hindert, zu untersuchen, ob die in Artikel XX.45 vorgesehenen Bedingungen erfüllt sind, und wenn der Schuldner dieses Versäumnis oder diese Unregelmäßigkeit beheben kann, kann das Gericht nach Vernehmung des Schuldners die Sache zur weiteren Behandlung vertagen.</w:t>
      </w:r>
    </w:p>
    <w:p w14:paraId="6D64B636" w14:textId="77777777" w:rsidR="00EE35E2" w:rsidRPr="004676F5" w:rsidRDefault="00EE35E2" w:rsidP="00EE35E2">
      <w:pPr>
        <w:ind w:firstLine="708"/>
        <w:jc w:val="both"/>
        <w:rPr>
          <w:lang w:val="de-DE"/>
        </w:rPr>
      </w:pPr>
    </w:p>
    <w:p w14:paraId="4BAF343F" w14:textId="2455FA3F"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Scheinen die in Artikel XX.45 erwähnten Bedingungen erfüllt, erklärt das Gericht das Verfahren der gerichtlichen Reorganisation für eröffnet und bestimmt es die Dauer des </w:t>
      </w:r>
      <w:r w:rsidR="00073B95" w:rsidRPr="004676F5">
        <w:rPr>
          <w:lang w:val="de-DE"/>
        </w:rPr>
        <w:t>[...]</w:t>
      </w:r>
      <w:r w:rsidRPr="004676F5">
        <w:rPr>
          <w:lang w:val="de-DE"/>
        </w:rPr>
        <w:t xml:space="preserve"> Aufschubs, die </w:t>
      </w:r>
      <w:r w:rsidR="00073B95" w:rsidRPr="004676F5">
        <w:rPr>
          <w:lang w:val="de-DE"/>
        </w:rPr>
        <w:t>[vier]</w:t>
      </w:r>
      <w:r w:rsidRPr="004676F5">
        <w:rPr>
          <w:lang w:val="de-DE"/>
        </w:rPr>
        <w:t xml:space="preserve"> Monate nicht überschreiten darf.</w:t>
      </w:r>
    </w:p>
    <w:p w14:paraId="1B742DD4" w14:textId="77777777" w:rsidR="00EE35E2" w:rsidRPr="004676F5" w:rsidRDefault="00EE35E2" w:rsidP="00EE35E2">
      <w:pPr>
        <w:ind w:firstLine="708"/>
        <w:jc w:val="both"/>
        <w:rPr>
          <w:lang w:val="de-DE"/>
        </w:rPr>
      </w:pPr>
    </w:p>
    <w:p w14:paraId="530EE8CB" w14:textId="1604F12E"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Ist es Ziel des Verfahrens der gerichtlichen Reorganisation, eine Einigung der Gläubiger über einen Reorganisationsplan zu erzielen, bestimmt das Gericht in dem Urteil, mit dem es dieses Verfahren für eröffnet erklärt, oder in einem späteren Urteil Ort, Tag und Uhrzeit, wo außer bei Verlängerung des Aufschubs die Sitzung stattfinden wird, bei der über diesen Plan abgestimmt und über die Homologierung entschieden wird.</w:t>
      </w:r>
    </w:p>
    <w:p w14:paraId="7E059839" w14:textId="77777777" w:rsidR="00EE35E2" w:rsidRPr="004676F5" w:rsidRDefault="00EE35E2" w:rsidP="00EE35E2">
      <w:pPr>
        <w:ind w:firstLine="708"/>
        <w:jc w:val="both"/>
        <w:rPr>
          <w:lang w:val="de-DE"/>
        </w:rPr>
      </w:pPr>
    </w:p>
    <w:p w14:paraId="37ADB2CD" w14:textId="43A49CF6"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Das Gericht kann in dem Urteil, mit dem das Verfahren der gerichtlichen Reorganisation </w:t>
      </w:r>
      <w:r w:rsidR="00073B95" w:rsidRPr="004676F5">
        <w:rPr>
          <w:lang w:val="de-DE"/>
        </w:rPr>
        <w:t xml:space="preserve">[oder der Übertragung unter der Autorität des Gerichts] </w:t>
      </w:r>
      <w:r w:rsidRPr="004676F5">
        <w:rPr>
          <w:lang w:val="de-DE"/>
        </w:rPr>
        <w:t>für eröffnet erklärt wird, oder in einer späteren Entscheidung dem Schuldner zusätzliche Informationspflichten auferlegen, die die Weiterverfolgung des Verfahrens erleichtern.</w:t>
      </w:r>
    </w:p>
    <w:p w14:paraId="1DB13220" w14:textId="77777777" w:rsidR="00EE35E2" w:rsidRPr="004676F5" w:rsidRDefault="00EE35E2" w:rsidP="00EE35E2">
      <w:pPr>
        <w:ind w:firstLine="708"/>
        <w:jc w:val="both"/>
        <w:rPr>
          <w:lang w:val="de-DE"/>
        </w:rPr>
      </w:pPr>
    </w:p>
    <w:p w14:paraId="31DCAC53" w14:textId="37F5A113" w:rsidR="00EE35E2" w:rsidRPr="004676F5" w:rsidRDefault="00EE35E2" w:rsidP="00EE35E2">
      <w:pPr>
        <w:ind w:firstLine="708"/>
        <w:jc w:val="both"/>
        <w:rPr>
          <w:lang w:val="de-DE"/>
        </w:rPr>
      </w:pPr>
      <w:r w:rsidRPr="004676F5">
        <w:rPr>
          <w:lang w:val="de-DE"/>
        </w:rPr>
        <w:t xml:space="preserve">Das Gericht kann den Schuldner insbesondere dazu verpflichten, zu bestimmten Zeitpunkten eine Liste der Gläubiger, die gemäß einem vom Gericht festgelegten Muster zu erstellen ist, in der Reorganisationsakte </w:t>
      </w:r>
      <w:r w:rsidR="00073B95" w:rsidRPr="004676F5">
        <w:rPr>
          <w:lang w:val="de-DE"/>
        </w:rPr>
        <w:t xml:space="preserve">[und in der Übertragungakte] </w:t>
      </w:r>
      <w:r w:rsidRPr="004676F5">
        <w:rPr>
          <w:lang w:val="de-DE"/>
        </w:rPr>
        <w:t>zu hinterlegen. Der König kann bestimmen, auf welche Weise die Liste zu hinterlegen ist.</w:t>
      </w:r>
    </w:p>
    <w:p w14:paraId="79CBB68E" w14:textId="77777777" w:rsidR="00EE35E2" w:rsidRPr="004676F5" w:rsidRDefault="00EE35E2" w:rsidP="00EE35E2">
      <w:pPr>
        <w:ind w:firstLine="708"/>
        <w:jc w:val="both"/>
        <w:rPr>
          <w:lang w:val="de-DE"/>
        </w:rPr>
      </w:pPr>
    </w:p>
    <w:p w14:paraId="17274D97" w14:textId="77777777" w:rsidR="00EE35E2" w:rsidRPr="004676F5" w:rsidRDefault="00EE35E2" w:rsidP="00EE35E2">
      <w:pPr>
        <w:ind w:firstLine="708"/>
        <w:jc w:val="both"/>
        <w:rPr>
          <w:lang w:val="de-DE"/>
        </w:rPr>
      </w:pPr>
      <w:r w:rsidRPr="004676F5">
        <w:rPr>
          <w:lang w:val="de-DE"/>
        </w:rPr>
        <w:t>Wenn der Schuldner diesen Verpflichtungen nicht nachkommt, kann das Gericht wie in Artikel XX.62 bestimmt handeln oder gegebenenfalls eine aufgrund von Artikel XX.59 beantragte Verlängerung des Aufschubs verweigern.</w:t>
      </w:r>
    </w:p>
    <w:p w14:paraId="59D851D3" w14:textId="77777777" w:rsidR="00EE35E2" w:rsidRPr="004676F5" w:rsidRDefault="00EE35E2" w:rsidP="00EE35E2">
      <w:pPr>
        <w:ind w:firstLine="708"/>
        <w:jc w:val="both"/>
        <w:rPr>
          <w:lang w:val="de-DE"/>
        </w:rPr>
      </w:pPr>
    </w:p>
    <w:p w14:paraId="2C04120F" w14:textId="31B072F6" w:rsidR="00073B95" w:rsidRPr="004676F5" w:rsidRDefault="00073B95" w:rsidP="00EE35E2">
      <w:pPr>
        <w:ind w:firstLine="708"/>
        <w:jc w:val="both"/>
        <w:rPr>
          <w:lang w:val="de-DE"/>
        </w:rPr>
      </w:pPr>
      <w:r w:rsidRPr="004676F5">
        <w:rPr>
          <w:lang w:val="de-DE"/>
        </w:rPr>
        <w:t>[§ 5 - [...]</w:t>
      </w:r>
    </w:p>
    <w:p w14:paraId="33A2B8AF" w14:textId="77777777" w:rsidR="00073B95" w:rsidRPr="004676F5" w:rsidRDefault="00073B95" w:rsidP="00EE35E2">
      <w:pPr>
        <w:ind w:firstLine="708"/>
        <w:jc w:val="both"/>
        <w:rPr>
          <w:lang w:val="de-DE"/>
        </w:rPr>
      </w:pPr>
    </w:p>
    <w:p w14:paraId="3992D4FE" w14:textId="295F53E7" w:rsidR="00073B95" w:rsidRPr="004676F5" w:rsidRDefault="00073B95" w:rsidP="00EE35E2">
      <w:pPr>
        <w:ind w:firstLine="708"/>
        <w:jc w:val="both"/>
        <w:rPr>
          <w:lang w:val="de-DE"/>
        </w:rPr>
      </w:pPr>
      <w:r w:rsidRPr="004676F5">
        <w:rPr>
          <w:lang w:val="de-DE"/>
        </w:rPr>
        <w:t>§ 6 - [...]]</w:t>
      </w:r>
    </w:p>
    <w:p w14:paraId="500BEBD4" w14:textId="77777777" w:rsidR="00073B95" w:rsidRPr="004676F5" w:rsidRDefault="00073B95" w:rsidP="00073B95">
      <w:pPr>
        <w:jc w:val="both"/>
        <w:rPr>
          <w:lang w:val="de-DE"/>
        </w:rPr>
      </w:pPr>
    </w:p>
    <w:p w14:paraId="16E7D2C2" w14:textId="397DE43E" w:rsidR="00073B95" w:rsidRPr="004676F5" w:rsidRDefault="00073B95" w:rsidP="00073B95">
      <w:pPr>
        <w:jc w:val="both"/>
        <w:rPr>
          <w:i/>
          <w:iCs/>
          <w:lang w:val="de-DE"/>
        </w:rPr>
      </w:pPr>
      <w:r w:rsidRPr="004676F5">
        <w:rPr>
          <w:i/>
          <w:iCs/>
          <w:lang w:val="de-DE"/>
        </w:rPr>
        <w:t xml:space="preserve">[Art. XX.46 § 1 </w:t>
      </w:r>
      <w:r w:rsidR="004740C0" w:rsidRPr="004676F5">
        <w:rPr>
          <w:i/>
          <w:iCs/>
          <w:lang w:val="de-DE"/>
        </w:rPr>
        <w:t xml:space="preserve">Abs. 1 </w:t>
      </w:r>
      <w:r w:rsidRPr="004676F5">
        <w:rPr>
          <w:i/>
          <w:iCs/>
          <w:lang w:val="de-DE"/>
        </w:rPr>
        <w:t>abgeändert durch Art. 63 Nr. 1 des G. vom 7. Juni 2023 (B.S. vom 7. Juli 2023); § 2 abgeändert durch Art. 63 Nr. 2 des G. vom 7. Juni 2023 (B.S. vom 7. Juli 2023); § 4 Abs. 1 abgeändert durch Art. 63 Nr. 3 des G. vom 7. Juni 2023 (B.S. vom 7. Juli 2023); § 4 Abs. 2 abgeändert durch Art. 63 Nr. 4 des G. vom 7. Juni 2023 (B.S. vom 7. Juli 2023); §§ 5 und 6 eingefügt durch Art. 9 des G. vom 21. März 2021 (B.S. vom 26. März 2021) und aufgehoben durch Art. 63 Nr. 5 des G. vom 7. Juni 2023 (B.S. vom 7. Juli 2023)]</w:t>
      </w:r>
    </w:p>
    <w:p w14:paraId="10BA1AB3" w14:textId="77777777" w:rsidR="00073B95" w:rsidRPr="004676F5" w:rsidRDefault="00073B95" w:rsidP="00073B95">
      <w:pPr>
        <w:jc w:val="both"/>
        <w:rPr>
          <w:i/>
          <w:iCs/>
          <w:lang w:val="de-DE"/>
        </w:rPr>
      </w:pPr>
    </w:p>
    <w:p w14:paraId="5AC7FFCA" w14:textId="77777777" w:rsidR="00DF5BE5" w:rsidRPr="004676F5" w:rsidRDefault="00DF5BE5" w:rsidP="00EE35E2">
      <w:pPr>
        <w:ind w:firstLine="708"/>
        <w:jc w:val="both"/>
        <w:rPr>
          <w:lang w:val="de-DE"/>
        </w:rPr>
      </w:pPr>
    </w:p>
    <w:p w14:paraId="45ACD70D" w14:textId="0476B7FA" w:rsidR="00EE35E2" w:rsidRPr="004676F5" w:rsidRDefault="00BE0A56" w:rsidP="00EE35E2">
      <w:pPr>
        <w:ind w:firstLine="708"/>
        <w:jc w:val="both"/>
        <w:rPr>
          <w:lang w:val="de-DE"/>
        </w:rPr>
      </w:pPr>
      <w:r w:rsidRPr="004676F5">
        <w:rPr>
          <w:b/>
          <w:lang w:val="de-DE"/>
        </w:rPr>
        <w:t>Art. </w:t>
      </w:r>
      <w:r w:rsidR="00EE35E2" w:rsidRPr="004676F5">
        <w:rPr>
          <w:b/>
          <w:lang w:val="de-DE"/>
        </w:rPr>
        <w:t>XX.47</w:t>
      </w:r>
      <w:r w:rsidR="00EE35E2" w:rsidRPr="004676F5">
        <w:rPr>
          <w:lang w:val="de-DE"/>
        </w:rPr>
        <w:t> </w:t>
      </w:r>
      <w:r w:rsidR="005B7A5C" w:rsidRPr="004676F5">
        <w:rPr>
          <w:lang w:val="de-DE"/>
        </w:rPr>
        <w:t>- </w:t>
      </w:r>
      <w:r w:rsidR="00EE35E2" w:rsidRPr="004676F5">
        <w:rPr>
          <w:lang w:val="de-DE"/>
        </w:rPr>
        <w:t xml:space="preserve">Gegen das Urteil, mit dem über einen Antrag auf Eröffnung eines Verfahrens der gerichtlichen Reorganisation </w:t>
      </w:r>
      <w:r w:rsidR="00856F55" w:rsidRPr="004676F5">
        <w:rPr>
          <w:lang w:val="de-DE"/>
        </w:rPr>
        <w:t xml:space="preserve">[oder der Übertragung unter der Autorität des Gerichts] </w:t>
      </w:r>
      <w:r w:rsidR="00EE35E2" w:rsidRPr="004676F5">
        <w:rPr>
          <w:lang w:val="de-DE"/>
        </w:rPr>
        <w:t>befunden wird, kann kein Einspruch eingelegt werden.</w:t>
      </w:r>
    </w:p>
    <w:p w14:paraId="12C2F26E" w14:textId="77777777" w:rsidR="00EE35E2" w:rsidRPr="004676F5" w:rsidRDefault="00EE35E2" w:rsidP="00EE35E2">
      <w:pPr>
        <w:ind w:firstLine="708"/>
        <w:jc w:val="both"/>
        <w:rPr>
          <w:lang w:val="de-DE"/>
        </w:rPr>
      </w:pPr>
    </w:p>
    <w:p w14:paraId="5BDB1E3B" w14:textId="5DD0F776" w:rsidR="00EE35E2" w:rsidRPr="004676F5" w:rsidRDefault="00EE35E2" w:rsidP="004120DF">
      <w:pPr>
        <w:ind w:firstLine="708"/>
        <w:jc w:val="both"/>
        <w:rPr>
          <w:lang w:val="de-DE"/>
        </w:rPr>
      </w:pPr>
      <w:r w:rsidRPr="004676F5">
        <w:rPr>
          <w:lang w:val="de-DE"/>
        </w:rPr>
        <w:t xml:space="preserve">Berufung gegen dieses Urteil wird durch eine Antragschrift eingelegt, die innerhalb acht Tagen ab Notifizierung des Urteils bei der Kanzlei des </w:t>
      </w:r>
      <w:r w:rsidR="004120DF" w:rsidRPr="004676F5">
        <w:rPr>
          <w:lang w:val="de-DE"/>
        </w:rPr>
        <w:t>Appellationshofes</w:t>
      </w:r>
      <w:r w:rsidR="003E519F" w:rsidRPr="004676F5">
        <w:rPr>
          <w:rStyle w:val="Appelnotedebasdep"/>
          <w:lang w:val="de-DE"/>
        </w:rPr>
        <w:footnoteReference w:id="2"/>
      </w:r>
      <w:r w:rsidR="004120DF" w:rsidRPr="004676F5">
        <w:rPr>
          <w:lang w:val="de-DE"/>
        </w:rPr>
        <w:t xml:space="preserve"> </w:t>
      </w:r>
      <w:r w:rsidRPr="004676F5">
        <w:rPr>
          <w:lang w:val="de-DE"/>
        </w:rPr>
        <w:t xml:space="preserve">hinterlegt wird. Spätestens am ersten Werktag nach Hinterlegung notifiziert der Greffier des </w:t>
      </w:r>
      <w:r w:rsidR="004120DF" w:rsidRPr="004676F5">
        <w:rPr>
          <w:lang w:val="de-DE"/>
        </w:rPr>
        <w:t>Appellationshofes</w:t>
      </w:r>
      <w:r w:rsidR="004120DF" w:rsidRPr="004676F5">
        <w:rPr>
          <w:vertAlign w:val="superscript"/>
          <w:lang w:val="de-DE"/>
        </w:rPr>
        <w:fldChar w:fldCharType="begin"/>
      </w:r>
      <w:r w:rsidR="004120DF" w:rsidRPr="004676F5">
        <w:rPr>
          <w:vertAlign w:val="superscript"/>
          <w:lang w:val="de-DE"/>
        </w:rPr>
        <w:instrText xml:space="preserve"> NOTEREF _Ref12609997  \* MERGEFORMAT </w:instrText>
      </w:r>
      <w:r w:rsidR="004120DF" w:rsidRPr="004676F5">
        <w:rPr>
          <w:vertAlign w:val="superscript"/>
          <w:lang w:val="de-DE"/>
        </w:rPr>
        <w:fldChar w:fldCharType="separate"/>
      </w:r>
      <w:r w:rsidR="00E704C1">
        <w:rPr>
          <w:vertAlign w:val="superscript"/>
          <w:lang w:val="de-DE"/>
        </w:rPr>
        <w:t>1</w:t>
      </w:r>
      <w:r w:rsidR="004120DF" w:rsidRPr="004676F5">
        <w:rPr>
          <w:vertAlign w:val="superscript"/>
          <w:lang w:val="de-DE"/>
        </w:rPr>
        <w:fldChar w:fldCharType="end"/>
      </w:r>
      <w:r w:rsidR="004120DF" w:rsidRPr="004676F5">
        <w:rPr>
          <w:lang w:val="de-DE"/>
        </w:rPr>
        <w:t xml:space="preserve"> </w:t>
      </w:r>
      <w:r w:rsidRPr="004676F5">
        <w:rPr>
          <w:lang w:val="de-DE"/>
        </w:rPr>
        <w:t>die Antragschrif</w:t>
      </w:r>
      <w:r w:rsidR="003E519F" w:rsidRPr="004676F5">
        <w:rPr>
          <w:lang w:val="de-DE"/>
        </w:rPr>
        <w:t>t</w:t>
      </w:r>
      <w:r w:rsidRPr="004676F5">
        <w:rPr>
          <w:lang w:val="de-DE"/>
        </w:rPr>
        <w:t xml:space="preserve"> per Gerichtsbrief dem möglichen Berufungsbeklagten und gegebenenfalls durch gewöhnlichen Brief seinem Rechtsanwalt.</w:t>
      </w:r>
    </w:p>
    <w:p w14:paraId="0023A716" w14:textId="77777777" w:rsidR="00EE35E2" w:rsidRPr="004676F5" w:rsidRDefault="00EE35E2" w:rsidP="00EE35E2">
      <w:pPr>
        <w:ind w:firstLine="708"/>
        <w:jc w:val="both"/>
        <w:rPr>
          <w:lang w:val="de-DE"/>
        </w:rPr>
      </w:pPr>
    </w:p>
    <w:p w14:paraId="72CDAED0" w14:textId="77777777" w:rsidR="00EE35E2" w:rsidRPr="004676F5" w:rsidRDefault="00EE35E2" w:rsidP="00EE35E2">
      <w:pPr>
        <w:ind w:firstLine="708"/>
        <w:jc w:val="both"/>
        <w:rPr>
          <w:lang w:val="de-DE"/>
        </w:rPr>
      </w:pPr>
      <w:r w:rsidRPr="004676F5">
        <w:rPr>
          <w:lang w:val="de-DE"/>
        </w:rPr>
        <w:t>Wird im Urteil der Antrag abgewiesen, hat die Berufung aufschiebende Wirkung.</w:t>
      </w:r>
    </w:p>
    <w:p w14:paraId="57B847C4" w14:textId="77777777" w:rsidR="00EE35E2" w:rsidRPr="004676F5" w:rsidRDefault="00EE35E2" w:rsidP="00EE35E2">
      <w:pPr>
        <w:ind w:firstLine="708"/>
        <w:jc w:val="both"/>
        <w:rPr>
          <w:lang w:val="de-DE"/>
        </w:rPr>
      </w:pPr>
    </w:p>
    <w:p w14:paraId="53A60923" w14:textId="10CFBC94" w:rsidR="00EE35E2" w:rsidRPr="004676F5" w:rsidRDefault="00EE35E2" w:rsidP="00EE35E2">
      <w:pPr>
        <w:ind w:firstLine="708"/>
        <w:jc w:val="both"/>
        <w:rPr>
          <w:lang w:val="de-DE"/>
        </w:rPr>
      </w:pPr>
      <w:r w:rsidRPr="004676F5">
        <w:rPr>
          <w:lang w:val="de-DE"/>
        </w:rPr>
        <w:t xml:space="preserve">Die Sache wird im Dringlichkeitsverfahren in der Einleitungssitzung oder einer zeitnahen Sitzung behandelt. Der Bericht des beauftragten Richters wird angehört. Der Bericht des beauftragten Richters kann jedoch auch </w:t>
      </w:r>
      <w:r w:rsidR="00856F55" w:rsidRPr="004676F5">
        <w:rPr>
          <w:lang w:val="de-DE"/>
        </w:rPr>
        <w:t>[...</w:t>
      </w:r>
      <w:r w:rsidR="00D03574" w:rsidRPr="004676F5">
        <w:rPr>
          <w:lang w:val="de-DE"/>
        </w:rPr>
        <w:t>]</w:t>
      </w:r>
      <w:r w:rsidR="004120DF" w:rsidRPr="004676F5">
        <w:rPr>
          <w:lang w:val="de-DE"/>
        </w:rPr>
        <w:t xml:space="preserve"> </w:t>
      </w:r>
      <w:r w:rsidRPr="004676F5">
        <w:rPr>
          <w:lang w:val="de-DE"/>
        </w:rPr>
        <w:t>im Register hinterlegt werden.</w:t>
      </w:r>
    </w:p>
    <w:p w14:paraId="23B962E0" w14:textId="77777777" w:rsidR="00EE35E2" w:rsidRPr="004676F5" w:rsidRDefault="00EE35E2" w:rsidP="004120DF">
      <w:pPr>
        <w:jc w:val="both"/>
        <w:rPr>
          <w:lang w:val="de-DE"/>
        </w:rPr>
      </w:pPr>
    </w:p>
    <w:p w14:paraId="1A12F914" w14:textId="2CDC152B" w:rsidR="00D03574" w:rsidRPr="004676F5" w:rsidRDefault="00D03574" w:rsidP="004120DF">
      <w:pPr>
        <w:jc w:val="both"/>
        <w:rPr>
          <w:i/>
          <w:lang w:val="de-DE"/>
        </w:rPr>
      </w:pPr>
      <w:r w:rsidRPr="004676F5">
        <w:rPr>
          <w:i/>
          <w:lang w:val="de-DE"/>
        </w:rPr>
        <w:t>[</w:t>
      </w:r>
      <w:r w:rsidR="00BE0A56" w:rsidRPr="004676F5">
        <w:rPr>
          <w:i/>
          <w:lang w:val="de-DE"/>
        </w:rPr>
        <w:t>Art. </w:t>
      </w:r>
      <w:r w:rsidRPr="004676F5">
        <w:rPr>
          <w:i/>
          <w:lang w:val="de-DE"/>
        </w:rPr>
        <w:t xml:space="preserve">XX.47 </w:t>
      </w:r>
      <w:r w:rsidR="00856F55" w:rsidRPr="004676F5">
        <w:rPr>
          <w:i/>
          <w:lang w:val="de-DE"/>
        </w:rPr>
        <w:t>Abs. 1 abgeändert durch Art. 64 Nr. 1</w:t>
      </w:r>
      <w:r w:rsidR="00856F55" w:rsidRPr="004676F5">
        <w:rPr>
          <w:i/>
          <w:iCs/>
          <w:lang w:val="de-DE"/>
        </w:rPr>
        <w:t xml:space="preserve"> des G. vom 7. Juni 2023 (B.S. vom 7. Juli 2023); </w:t>
      </w:r>
      <w:r w:rsidRPr="004676F5">
        <w:rPr>
          <w:i/>
          <w:lang w:val="de-DE"/>
        </w:rPr>
        <w:t xml:space="preserve">Abs. 4 abgeändert durch </w:t>
      </w:r>
      <w:r w:rsidR="00BE0A56" w:rsidRPr="004676F5">
        <w:rPr>
          <w:i/>
          <w:lang w:val="de-DE"/>
        </w:rPr>
        <w:t>Art. </w:t>
      </w:r>
      <w:r w:rsidRPr="004676F5">
        <w:rPr>
          <w:i/>
          <w:lang w:val="de-DE"/>
        </w:rPr>
        <w:t>2 des G. vom 20. Februar 2017 (B.S. vom 27. Februar 2017)</w:t>
      </w:r>
      <w:r w:rsidR="00856F55" w:rsidRPr="004676F5">
        <w:rPr>
          <w:i/>
          <w:lang w:val="de-DE"/>
        </w:rPr>
        <w:t xml:space="preserve"> und Art. 64 Nr. 2</w:t>
      </w:r>
      <w:r w:rsidR="00856F55" w:rsidRPr="004676F5">
        <w:rPr>
          <w:i/>
          <w:iCs/>
          <w:lang w:val="de-DE"/>
        </w:rPr>
        <w:t xml:space="preserve"> des G. vom 7. Juni 2023 (B.S. vom 7. Juli 2023)</w:t>
      </w:r>
      <w:r w:rsidRPr="004676F5">
        <w:rPr>
          <w:i/>
          <w:lang w:val="de-DE"/>
        </w:rPr>
        <w:t>]</w:t>
      </w:r>
    </w:p>
    <w:p w14:paraId="64EA359A" w14:textId="77777777" w:rsidR="00D03574" w:rsidRPr="004676F5" w:rsidRDefault="00D03574" w:rsidP="004120DF">
      <w:pPr>
        <w:jc w:val="both"/>
        <w:rPr>
          <w:i/>
          <w:lang w:val="de-DE"/>
        </w:rPr>
      </w:pPr>
    </w:p>
    <w:p w14:paraId="08173DC6" w14:textId="77777777" w:rsidR="00DF5BE5" w:rsidRPr="004676F5" w:rsidRDefault="00DF5BE5" w:rsidP="00EE35E2">
      <w:pPr>
        <w:ind w:firstLine="708"/>
        <w:jc w:val="both"/>
        <w:rPr>
          <w:lang w:val="de-DE"/>
        </w:rPr>
      </w:pPr>
    </w:p>
    <w:p w14:paraId="7EA98CD3" w14:textId="1970B3F6" w:rsidR="00EE35E2" w:rsidRPr="004676F5" w:rsidRDefault="00BE0A56" w:rsidP="00EE35E2">
      <w:pPr>
        <w:ind w:firstLine="708"/>
        <w:jc w:val="both"/>
        <w:rPr>
          <w:lang w:val="de-DE"/>
        </w:rPr>
      </w:pPr>
      <w:r w:rsidRPr="004676F5">
        <w:rPr>
          <w:b/>
          <w:lang w:val="de-DE"/>
        </w:rPr>
        <w:t>Art. </w:t>
      </w:r>
      <w:r w:rsidR="00EE35E2" w:rsidRPr="004676F5">
        <w:rPr>
          <w:b/>
          <w:lang w:val="de-DE"/>
        </w:rPr>
        <w:t>XX.48</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Das Urteil, mit dem ein Verfahren der gerichtlichen Reorganisation </w:t>
      </w:r>
      <w:r w:rsidR="00856F55" w:rsidRPr="004676F5">
        <w:rPr>
          <w:lang w:val="de-DE"/>
        </w:rPr>
        <w:t xml:space="preserve">[oder der Übertragung unter der Autorität des Gerichts] </w:t>
      </w:r>
      <w:r w:rsidR="00EE35E2" w:rsidRPr="004676F5">
        <w:rPr>
          <w:lang w:val="de-DE"/>
        </w:rPr>
        <w:t xml:space="preserve">für eröffnet erklärt wird, wird auf Betreiben des Greffiers innerhalb fünf Tagen auszugsweise im </w:t>
      </w:r>
      <w:r w:rsidR="00EE35E2" w:rsidRPr="004676F5">
        <w:rPr>
          <w:i/>
          <w:lang w:val="de-DE"/>
        </w:rPr>
        <w:t>Belgischen Staatsblatt</w:t>
      </w:r>
      <w:r w:rsidR="00EE35E2" w:rsidRPr="004676F5">
        <w:rPr>
          <w:lang w:val="de-DE"/>
        </w:rPr>
        <w:t xml:space="preserve"> veröffentlicht.</w:t>
      </w:r>
    </w:p>
    <w:p w14:paraId="498C67D3" w14:textId="77777777" w:rsidR="00EE35E2" w:rsidRPr="004676F5" w:rsidRDefault="00EE35E2" w:rsidP="00EE35E2">
      <w:pPr>
        <w:ind w:firstLine="708"/>
        <w:jc w:val="both"/>
        <w:rPr>
          <w:lang w:val="de-DE"/>
        </w:rPr>
      </w:pPr>
    </w:p>
    <w:p w14:paraId="2A77D628" w14:textId="77777777" w:rsidR="00EE35E2" w:rsidRPr="004676F5" w:rsidRDefault="00EE35E2" w:rsidP="00EE35E2">
      <w:pPr>
        <w:ind w:firstLine="708"/>
        <w:jc w:val="both"/>
        <w:rPr>
          <w:lang w:val="de-DE"/>
        </w:rPr>
      </w:pPr>
      <w:r w:rsidRPr="004676F5">
        <w:rPr>
          <w:lang w:val="de-DE"/>
        </w:rPr>
        <w:t>Im Auszug stehen folgende Angaben:</w:t>
      </w:r>
    </w:p>
    <w:p w14:paraId="525F8177" w14:textId="77777777" w:rsidR="00EE35E2" w:rsidRPr="004676F5" w:rsidRDefault="00EE35E2" w:rsidP="00EE35E2">
      <w:pPr>
        <w:ind w:firstLine="708"/>
        <w:jc w:val="both"/>
        <w:rPr>
          <w:lang w:val="de-DE"/>
        </w:rPr>
      </w:pPr>
    </w:p>
    <w:p w14:paraId="34F69044" w14:textId="49A09D5A" w:rsidR="00EE35E2" w:rsidRPr="004676F5" w:rsidRDefault="00EE35E2" w:rsidP="00EE35E2">
      <w:pPr>
        <w:ind w:firstLine="708"/>
        <w:jc w:val="both"/>
        <w:rPr>
          <w:lang w:val="de-DE"/>
        </w:rPr>
      </w:pPr>
      <w:r w:rsidRPr="004676F5">
        <w:rPr>
          <w:lang w:val="de-DE"/>
        </w:rPr>
        <w:t>1. bei einer natürlichen Person Name, Vornamen, Geburtsort und -datum, Art der Haupttätigkeit und Handelsname, unter dem diese Tätigkeit ausgeübt wird, Adresse, Ort der Hauptniederlassung und Unternehmensnummer; bei einer juristischen Person Gesellschafts</w:t>
      </w:r>
      <w:r w:rsidRPr="004676F5">
        <w:rPr>
          <w:lang w:val="de-DE"/>
        </w:rPr>
        <w:softHyphen/>
        <w:t xml:space="preserve">name, Rechtsform, Handelsname, unter dem die Tätigkeit des Unternehmens ausgeübt wird, </w:t>
      </w:r>
      <w:r w:rsidR="00856F55" w:rsidRPr="004676F5">
        <w:rPr>
          <w:lang w:val="de-DE"/>
        </w:rPr>
        <w:t>[Sitz]</w:t>
      </w:r>
      <w:r w:rsidRPr="004676F5">
        <w:rPr>
          <w:lang w:val="de-DE"/>
        </w:rPr>
        <w:t xml:space="preserve"> und Unternehmensnummer; bei einem </w:t>
      </w:r>
      <w:r w:rsidR="00263529" w:rsidRPr="004676F5">
        <w:rPr>
          <w:lang w:val="de-DE"/>
        </w:rPr>
        <w:t>[</w:t>
      </w:r>
      <w:r w:rsidRPr="004676F5">
        <w:rPr>
          <w:lang w:val="de-DE"/>
        </w:rPr>
        <w:t>in Artikel </w:t>
      </w:r>
      <w:r w:rsidR="00263529" w:rsidRPr="004676F5">
        <w:rPr>
          <w:lang w:val="de-DE"/>
        </w:rPr>
        <w:t>I</w:t>
      </w:r>
      <w:r w:rsidRPr="004676F5">
        <w:rPr>
          <w:lang w:val="de-DE"/>
        </w:rPr>
        <w:t xml:space="preserve">.1 </w:t>
      </w:r>
      <w:r w:rsidR="00263529" w:rsidRPr="004676F5">
        <w:rPr>
          <w:lang w:val="de-DE"/>
        </w:rPr>
        <w:t>Nr. </w:t>
      </w:r>
      <w:r w:rsidRPr="004676F5">
        <w:rPr>
          <w:lang w:val="de-DE"/>
        </w:rPr>
        <w:t>1 Absatz 1 Buchstabe </w:t>
      </w:r>
      <w:r w:rsidR="00263529" w:rsidRPr="004676F5">
        <w:rPr>
          <w:i/>
          <w:lang w:val="de-DE"/>
        </w:rPr>
        <w:t>(</w:t>
      </w:r>
      <w:r w:rsidRPr="004676F5">
        <w:rPr>
          <w:i/>
          <w:lang w:val="de-DE"/>
        </w:rPr>
        <w:t>c)</w:t>
      </w:r>
      <w:r w:rsidR="00263529" w:rsidRPr="004676F5">
        <w:rPr>
          <w:lang w:val="de-DE"/>
        </w:rPr>
        <w:t>]</w:t>
      </w:r>
      <w:r w:rsidRPr="004676F5">
        <w:rPr>
          <w:lang w:val="de-DE"/>
        </w:rPr>
        <w:t xml:space="preserve"> erwähnten Unternehmen Handelsname, unter der die Tätigkeit ausgeübt wird, gegebenenfalls Unternehmensnummer, Tätigkeitssitz und gegebenenfalls Identifizierungsdaten des Bevollmächtigten,</w:t>
      </w:r>
    </w:p>
    <w:p w14:paraId="720958F7" w14:textId="77777777" w:rsidR="00EE35E2" w:rsidRPr="004676F5" w:rsidRDefault="00EE35E2" w:rsidP="00EE35E2">
      <w:pPr>
        <w:ind w:firstLine="708"/>
        <w:jc w:val="both"/>
        <w:rPr>
          <w:lang w:val="de-DE"/>
        </w:rPr>
      </w:pPr>
    </w:p>
    <w:p w14:paraId="6BA6FAE2" w14:textId="0EB807BB" w:rsidR="00EE35E2" w:rsidRPr="004676F5" w:rsidRDefault="00EE35E2" w:rsidP="00EE35E2">
      <w:pPr>
        <w:ind w:firstLine="708"/>
        <w:jc w:val="both"/>
        <w:rPr>
          <w:lang w:val="de-DE"/>
        </w:rPr>
      </w:pPr>
      <w:r w:rsidRPr="004676F5">
        <w:rPr>
          <w:lang w:val="de-DE"/>
        </w:rPr>
        <w:t xml:space="preserve">2. Datum des Urteils, mit dem das Verfahren der gerichtlichen Reorganisation </w:t>
      </w:r>
      <w:r w:rsidR="00856F55" w:rsidRPr="004676F5">
        <w:rPr>
          <w:lang w:val="de-DE"/>
        </w:rPr>
        <w:t xml:space="preserve">[oder der Übertragung unter der Autorität des Gerichts] </w:t>
      </w:r>
      <w:r w:rsidRPr="004676F5">
        <w:rPr>
          <w:lang w:val="de-DE"/>
        </w:rPr>
        <w:t>für eröffnet erklärt wird, und Gericht, das das Urteil gefällt hat,</w:t>
      </w:r>
    </w:p>
    <w:p w14:paraId="7FF39361" w14:textId="77777777" w:rsidR="00EE35E2" w:rsidRPr="004676F5" w:rsidRDefault="00EE35E2" w:rsidP="00EE35E2">
      <w:pPr>
        <w:ind w:firstLine="708"/>
        <w:jc w:val="both"/>
        <w:rPr>
          <w:lang w:val="de-DE"/>
        </w:rPr>
      </w:pPr>
    </w:p>
    <w:p w14:paraId="3E69E401" w14:textId="69C63E94" w:rsidR="00EE35E2" w:rsidRPr="004676F5" w:rsidRDefault="00EE35E2" w:rsidP="00EE35E2">
      <w:pPr>
        <w:ind w:firstLine="708"/>
        <w:jc w:val="both"/>
        <w:rPr>
          <w:lang w:val="de-DE"/>
        </w:rPr>
      </w:pPr>
      <w:r w:rsidRPr="004676F5">
        <w:rPr>
          <w:lang w:val="de-DE"/>
        </w:rPr>
        <w:t xml:space="preserve">3. Name und Vorname des beauftragten Richters und gegebenenfalls </w:t>
      </w:r>
      <w:r w:rsidR="00856F55" w:rsidRPr="004676F5">
        <w:rPr>
          <w:lang w:val="de-DE"/>
        </w:rPr>
        <w:t>[des aufgrund des Artikels XX.30 bestellten Reorganisationsbearbeiters]</w:t>
      </w:r>
      <w:r w:rsidRPr="004676F5">
        <w:rPr>
          <w:lang w:val="de-DE"/>
        </w:rPr>
        <w:t xml:space="preserve"> mit der elektronischen Adresse, an die elektronische Mitteilungen für den beauftragten Richter zu richten sind, und der elektronischen Adresse </w:t>
      </w:r>
      <w:r w:rsidR="00856F55" w:rsidRPr="004676F5">
        <w:rPr>
          <w:lang w:val="de-DE"/>
        </w:rPr>
        <w:t>[des Reorganisationsbearbeiters]</w:t>
      </w:r>
      <w:r w:rsidRPr="004676F5">
        <w:rPr>
          <w:lang w:val="de-DE"/>
        </w:rPr>
        <w:t>,</w:t>
      </w:r>
    </w:p>
    <w:p w14:paraId="7F5CC643" w14:textId="77777777" w:rsidR="00EE35E2" w:rsidRPr="004676F5" w:rsidRDefault="00EE35E2" w:rsidP="00EE35E2">
      <w:pPr>
        <w:ind w:firstLine="708"/>
        <w:jc w:val="both"/>
        <w:rPr>
          <w:lang w:val="de-DE"/>
        </w:rPr>
      </w:pPr>
    </w:p>
    <w:p w14:paraId="252EF89E" w14:textId="53A97F87" w:rsidR="00EE35E2" w:rsidRPr="004676F5" w:rsidRDefault="00EE35E2" w:rsidP="00EE35E2">
      <w:pPr>
        <w:ind w:firstLine="708"/>
        <w:jc w:val="both"/>
        <w:rPr>
          <w:lang w:val="de-DE"/>
        </w:rPr>
      </w:pPr>
      <w:r w:rsidRPr="004676F5">
        <w:rPr>
          <w:lang w:val="de-DE"/>
        </w:rPr>
        <w:t xml:space="preserve">4. Ziel </w:t>
      </w:r>
      <w:r w:rsidR="00856F55" w:rsidRPr="004676F5">
        <w:rPr>
          <w:lang w:val="de-DE"/>
        </w:rPr>
        <w:t>[...]</w:t>
      </w:r>
      <w:r w:rsidRPr="004676F5">
        <w:rPr>
          <w:lang w:val="de-DE"/>
        </w:rPr>
        <w:t xml:space="preserve"> des Verfahrens, Enddatum des Aufschubs und gegebenenfalls Ort, Tag und Uhrzeit, die für die Entscheidung über eine Verlängerung des Aufschubs festgesetzt worden sind,</w:t>
      </w:r>
    </w:p>
    <w:p w14:paraId="16049E0B" w14:textId="77777777" w:rsidR="00EE35E2" w:rsidRPr="004676F5" w:rsidRDefault="00EE35E2" w:rsidP="00EE35E2">
      <w:pPr>
        <w:ind w:firstLine="708"/>
        <w:jc w:val="both"/>
        <w:rPr>
          <w:lang w:val="de-DE"/>
        </w:rPr>
      </w:pPr>
    </w:p>
    <w:p w14:paraId="4A2FBAE7" w14:textId="74449C49" w:rsidR="00EE35E2" w:rsidRPr="004676F5" w:rsidRDefault="00EE35E2" w:rsidP="00EE35E2">
      <w:pPr>
        <w:ind w:firstLine="708"/>
        <w:jc w:val="both"/>
        <w:rPr>
          <w:lang w:val="de-DE"/>
        </w:rPr>
      </w:pPr>
      <w:r w:rsidRPr="004676F5">
        <w:rPr>
          <w:lang w:val="de-DE"/>
        </w:rPr>
        <w:t>5. gegebenenfalls Ort, Tag und Uhrzeit, die für Abstimmung und Entscheidung über den Reorganisationsplan festgesetzt worden sind, falls das Gericht sie schon festlegen konnte</w:t>
      </w:r>
      <w:r w:rsidR="00856F55" w:rsidRPr="004676F5">
        <w:rPr>
          <w:lang w:val="de-DE"/>
        </w:rPr>
        <w:t>,</w:t>
      </w:r>
    </w:p>
    <w:p w14:paraId="5545F9CC" w14:textId="77777777" w:rsidR="00856F55" w:rsidRPr="004676F5" w:rsidRDefault="00856F55" w:rsidP="00EE35E2">
      <w:pPr>
        <w:ind w:firstLine="708"/>
        <w:jc w:val="both"/>
        <w:rPr>
          <w:lang w:val="de-DE"/>
        </w:rPr>
      </w:pPr>
    </w:p>
    <w:p w14:paraId="52AF58A4" w14:textId="5D772045" w:rsidR="00856F55" w:rsidRPr="004676F5" w:rsidRDefault="00856F55" w:rsidP="00EE35E2">
      <w:pPr>
        <w:ind w:firstLine="708"/>
        <w:jc w:val="both"/>
        <w:rPr>
          <w:lang w:val="de-DE"/>
        </w:rPr>
      </w:pPr>
      <w:r w:rsidRPr="004676F5">
        <w:rPr>
          <w:lang w:val="de-DE"/>
        </w:rPr>
        <w:t>[6. Entscheidung, ob per Fernabstimmabgabe abgestimmt werden kann.]</w:t>
      </w:r>
    </w:p>
    <w:p w14:paraId="2421FE85" w14:textId="77777777" w:rsidR="00EE35E2" w:rsidRPr="004676F5" w:rsidRDefault="00EE35E2" w:rsidP="00EE35E2">
      <w:pPr>
        <w:ind w:firstLine="708"/>
        <w:jc w:val="both"/>
        <w:rPr>
          <w:lang w:val="de-DE"/>
        </w:rPr>
      </w:pPr>
    </w:p>
    <w:p w14:paraId="472DFC8C" w14:textId="3C94D8C3"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Betrifft das Urteil, mit dem ein Verfahren der gerichtlichen Reorganisation </w:t>
      </w:r>
      <w:r w:rsidR="00743CF5" w:rsidRPr="004676F5">
        <w:rPr>
          <w:lang w:val="de-DE"/>
        </w:rPr>
        <w:t xml:space="preserve">[oder der Übertragung unter der Autorität des Gerichts] </w:t>
      </w:r>
      <w:r w:rsidRPr="004676F5">
        <w:rPr>
          <w:lang w:val="de-DE"/>
        </w:rPr>
        <w:t xml:space="preserve">für eröffnet erklärt wird, ein in Artikel I.1 Nr. 14 erwähntes Unternehmen, benachrichtigt der Greffier die Kammer oder das Institut, der/dem </w:t>
      </w:r>
      <w:r w:rsidR="00263529" w:rsidRPr="004676F5">
        <w:rPr>
          <w:lang w:val="de-DE"/>
        </w:rPr>
        <w:t xml:space="preserve">[...] </w:t>
      </w:r>
      <w:r w:rsidRPr="004676F5">
        <w:rPr>
          <w:lang w:val="de-DE"/>
        </w:rPr>
        <w:t>der Schuldner untersteht.</w:t>
      </w:r>
    </w:p>
    <w:p w14:paraId="029CCE9C" w14:textId="54AEE640" w:rsidR="00263529" w:rsidRPr="004676F5" w:rsidRDefault="00263529" w:rsidP="00EE35E2">
      <w:pPr>
        <w:ind w:firstLine="708"/>
        <w:jc w:val="both"/>
        <w:rPr>
          <w:lang w:val="de-DE"/>
        </w:rPr>
      </w:pPr>
    </w:p>
    <w:p w14:paraId="54C40C34" w14:textId="52235C47" w:rsidR="00263529" w:rsidRPr="004676F5" w:rsidRDefault="00263529" w:rsidP="00263529">
      <w:pPr>
        <w:jc w:val="both"/>
        <w:rPr>
          <w:i/>
          <w:lang w:val="de-DE"/>
        </w:rPr>
      </w:pPr>
      <w:r w:rsidRPr="004676F5">
        <w:rPr>
          <w:i/>
          <w:lang w:val="de-DE"/>
        </w:rPr>
        <w:t xml:space="preserve">[Art. XX.48 </w:t>
      </w:r>
      <w:r w:rsidR="00743CF5" w:rsidRPr="004676F5">
        <w:rPr>
          <w:i/>
          <w:lang w:val="de-DE"/>
        </w:rPr>
        <w:t>§ 1 Abs. 1 abgeändert durch Art. 65 Nr. 1</w:t>
      </w:r>
      <w:r w:rsidR="00743CF5" w:rsidRPr="004676F5">
        <w:rPr>
          <w:i/>
          <w:iCs/>
          <w:lang w:val="de-DE"/>
        </w:rPr>
        <w:t xml:space="preserve"> des G. vom 7. Juni 2023 (B.S. vom 7. Juli 2023); </w:t>
      </w:r>
      <w:r w:rsidRPr="004676F5">
        <w:rPr>
          <w:i/>
          <w:lang w:val="de-DE"/>
        </w:rPr>
        <w:t>§ 1 Abs. 2 Nr. 1 abgeändert durch Art. 224 Nr. 1 des G. vom 15. April 2018 (B.S. vom 27. April 2018)</w:t>
      </w:r>
      <w:r w:rsidR="00743CF5" w:rsidRPr="004676F5">
        <w:rPr>
          <w:i/>
          <w:lang w:val="de-DE"/>
        </w:rPr>
        <w:t xml:space="preserve"> und Art. 65 Nr. 2</w:t>
      </w:r>
      <w:r w:rsidR="00743CF5" w:rsidRPr="004676F5">
        <w:rPr>
          <w:i/>
          <w:iCs/>
          <w:lang w:val="de-DE"/>
        </w:rPr>
        <w:t xml:space="preserve"> des G. vom 7. Juni 2023 (B.S. vom 7. Juli 2023); § 1 Abs. 2 Nr. 2 abgeändert durch Art. 65 Nr. 3 des G. vom 7. Juni 2023 (B.S. vom 7. Juli 2023)</w:t>
      </w:r>
      <w:r w:rsidRPr="004676F5">
        <w:rPr>
          <w:i/>
          <w:lang w:val="de-DE"/>
        </w:rPr>
        <w:t>;</w:t>
      </w:r>
      <w:r w:rsidR="00743CF5" w:rsidRPr="004676F5">
        <w:rPr>
          <w:i/>
          <w:iCs/>
          <w:lang w:val="de-DE"/>
        </w:rPr>
        <w:t xml:space="preserve"> § 1 Abs. 2 Nr. 3 abgeändert durch </w:t>
      </w:r>
      <w:r w:rsidR="00FF3402" w:rsidRPr="004676F5">
        <w:rPr>
          <w:i/>
          <w:iCs/>
          <w:lang w:val="de-DE"/>
        </w:rPr>
        <w:t xml:space="preserve">Art. 10 des G. vom 21. März 2021 (B.S. vom 26. März 2021), selbst aufgehoben durch Art. 271 des G. vom 7. Juni 2023 (B.S. vom 7. Juli 2023), und durch </w:t>
      </w:r>
      <w:r w:rsidR="00743CF5" w:rsidRPr="004676F5">
        <w:rPr>
          <w:i/>
          <w:iCs/>
          <w:lang w:val="de-DE"/>
        </w:rPr>
        <w:t>Art. 65 Nr. 4 des G. vom 7. Juni 2023 (B.S. vom 7. Juli 2023)</w:t>
      </w:r>
      <w:r w:rsidR="00743CF5" w:rsidRPr="004676F5">
        <w:rPr>
          <w:i/>
          <w:lang w:val="de-DE"/>
        </w:rPr>
        <w:t xml:space="preserve">; </w:t>
      </w:r>
      <w:r w:rsidR="00743CF5" w:rsidRPr="004676F5">
        <w:rPr>
          <w:i/>
          <w:iCs/>
          <w:lang w:val="de-DE"/>
        </w:rPr>
        <w:t>§ 1 Abs. 2 Nr. 4 abgeändert durch Art. 65 Nr. 5 des G. vom 7. Juni 2023 (B.S. vom 7. Juli 2023)</w:t>
      </w:r>
      <w:r w:rsidR="00743CF5" w:rsidRPr="004676F5">
        <w:rPr>
          <w:i/>
          <w:lang w:val="de-DE"/>
        </w:rPr>
        <w:t>;</w:t>
      </w:r>
      <w:r w:rsidRPr="004676F5">
        <w:rPr>
          <w:i/>
          <w:lang w:val="de-DE"/>
        </w:rPr>
        <w:t xml:space="preserve"> </w:t>
      </w:r>
      <w:r w:rsidR="00743CF5" w:rsidRPr="004676F5">
        <w:rPr>
          <w:i/>
          <w:lang w:val="de-DE"/>
        </w:rPr>
        <w:t>§ 1 Abs. 2 Nr. 6 eingefügt durch Art. 65 Nr. 6</w:t>
      </w:r>
      <w:r w:rsidR="00743CF5" w:rsidRPr="004676F5">
        <w:rPr>
          <w:i/>
          <w:iCs/>
          <w:lang w:val="de-DE"/>
        </w:rPr>
        <w:t xml:space="preserve"> des G. vom 7. Juni 2023 (B.S. vom 7. Juli 2023); </w:t>
      </w:r>
      <w:r w:rsidRPr="004676F5">
        <w:rPr>
          <w:i/>
          <w:lang w:val="de-DE"/>
        </w:rPr>
        <w:t>§ 2 abgeändert durch Art. 224 Nr. 2 des G. vom 15. April 2018 (B.S. vom 27. April 2018)</w:t>
      </w:r>
      <w:r w:rsidR="00743CF5" w:rsidRPr="004676F5">
        <w:rPr>
          <w:i/>
          <w:lang w:val="de-DE"/>
        </w:rPr>
        <w:t xml:space="preserve"> und Art. 65 Nr. 7</w:t>
      </w:r>
      <w:r w:rsidR="00743CF5" w:rsidRPr="004676F5">
        <w:rPr>
          <w:i/>
          <w:iCs/>
          <w:lang w:val="de-DE"/>
        </w:rPr>
        <w:t xml:space="preserve"> des G. vom 7. Juni 2023 (B.S. vom 7. Juli 2023)</w:t>
      </w:r>
      <w:r w:rsidRPr="004676F5">
        <w:rPr>
          <w:i/>
          <w:lang w:val="de-DE"/>
        </w:rPr>
        <w:t>]</w:t>
      </w:r>
    </w:p>
    <w:p w14:paraId="4A3E6498" w14:textId="77777777" w:rsidR="00EE35E2" w:rsidRPr="004676F5" w:rsidRDefault="00EE35E2" w:rsidP="00EE35E2">
      <w:pPr>
        <w:ind w:firstLine="708"/>
        <w:jc w:val="both"/>
        <w:rPr>
          <w:lang w:val="de-DE"/>
        </w:rPr>
      </w:pPr>
    </w:p>
    <w:p w14:paraId="56A5FDF9" w14:textId="77777777" w:rsidR="00DF5BE5" w:rsidRPr="004676F5" w:rsidRDefault="00DF5BE5" w:rsidP="00EE35E2">
      <w:pPr>
        <w:ind w:firstLine="708"/>
        <w:jc w:val="both"/>
        <w:rPr>
          <w:lang w:val="de-DE"/>
        </w:rPr>
      </w:pPr>
    </w:p>
    <w:p w14:paraId="390D22BB" w14:textId="55942FF8" w:rsidR="00EE35E2" w:rsidRPr="004676F5" w:rsidRDefault="00BE0A56" w:rsidP="00EE35E2">
      <w:pPr>
        <w:ind w:firstLine="708"/>
        <w:jc w:val="both"/>
        <w:rPr>
          <w:lang w:val="de-DE"/>
        </w:rPr>
      </w:pPr>
      <w:r w:rsidRPr="004676F5">
        <w:rPr>
          <w:b/>
          <w:lang w:val="de-DE"/>
        </w:rPr>
        <w:t>Art. </w:t>
      </w:r>
      <w:r w:rsidR="00EE35E2" w:rsidRPr="004676F5">
        <w:rPr>
          <w:b/>
          <w:lang w:val="de-DE"/>
        </w:rPr>
        <w:t>XX.49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Ist es Ziel eines Verfahrens </w:t>
      </w:r>
      <w:r w:rsidR="00743CF5" w:rsidRPr="004676F5">
        <w:rPr>
          <w:lang w:val="de-DE"/>
        </w:rPr>
        <w:t>[...]</w:t>
      </w:r>
      <w:r w:rsidR="00EE35E2" w:rsidRPr="004676F5">
        <w:rPr>
          <w:lang w:val="de-DE"/>
        </w:rPr>
        <w:t>, eine kollektive Einigung oder eine Übertragung des Unternehmens unter der Autorität des Gerichts zu erzielen, setzt der Schuldner die Gläubiger innerhalb acht Tagen ab Urteilsverkündung individuell von den in Artikel XX.48 erwähnten Angaben in Kenntnis.</w:t>
      </w:r>
    </w:p>
    <w:p w14:paraId="47FA41A4" w14:textId="77777777" w:rsidR="00EE35E2" w:rsidRPr="004676F5" w:rsidRDefault="00EE35E2" w:rsidP="00EE35E2">
      <w:pPr>
        <w:ind w:firstLine="708"/>
        <w:jc w:val="both"/>
        <w:rPr>
          <w:lang w:val="de-DE"/>
        </w:rPr>
      </w:pPr>
    </w:p>
    <w:p w14:paraId="66B50505" w14:textId="11AA19EE" w:rsidR="00EE35E2" w:rsidRPr="004676F5" w:rsidRDefault="00EE35E2" w:rsidP="00EE35E2">
      <w:pPr>
        <w:ind w:firstLine="708"/>
        <w:jc w:val="both"/>
        <w:rPr>
          <w:lang w:val="de-DE"/>
        </w:rPr>
      </w:pPr>
      <w:r w:rsidRPr="004676F5">
        <w:rPr>
          <w:lang w:val="de-DE"/>
        </w:rPr>
        <w:t xml:space="preserve">Ferner fügt er dieser Mitteilung die in Artikel XX.41 § 2 </w:t>
      </w:r>
      <w:r w:rsidR="00743CF5" w:rsidRPr="004676F5">
        <w:rPr>
          <w:lang w:val="de-DE"/>
        </w:rPr>
        <w:t xml:space="preserve">[Absatz 1] </w:t>
      </w:r>
      <w:r w:rsidRPr="004676F5">
        <w:rPr>
          <w:lang w:val="de-DE"/>
        </w:rPr>
        <w:t>Nr. 7 erwähnte Liste der Gläubiger bei und gibt die Höhe ihrer Forderung und den besonderen Vermerk der Eigenschaft eines außergewöhnlichen Aufschubgläubigers und der belasteten Güter an.</w:t>
      </w:r>
    </w:p>
    <w:p w14:paraId="498E85DB" w14:textId="77777777" w:rsidR="00EE35E2" w:rsidRPr="004676F5" w:rsidRDefault="00EE35E2" w:rsidP="00EE35E2">
      <w:pPr>
        <w:ind w:firstLine="708"/>
        <w:jc w:val="both"/>
        <w:rPr>
          <w:lang w:val="de-DE"/>
        </w:rPr>
      </w:pPr>
    </w:p>
    <w:p w14:paraId="7BB1F1C1" w14:textId="0D070D23" w:rsidR="00EE35E2" w:rsidRPr="004676F5" w:rsidRDefault="00EE35E2" w:rsidP="00EE35E2">
      <w:pPr>
        <w:ind w:firstLine="708"/>
        <w:jc w:val="both"/>
        <w:rPr>
          <w:lang w:val="de-DE"/>
        </w:rPr>
      </w:pPr>
      <w:r w:rsidRPr="004676F5">
        <w:rPr>
          <w:lang w:val="de-DE"/>
        </w:rPr>
        <w:t xml:space="preserve">Die in vorliegendem Paragraphen erwähnte Mitteilung wird auf elektronischem Wege gemacht, außer wenn ein Gläubiger keine elektronischen Nachrichten empfangen kann. Die elektronische Mitteilung schließt die Möglichkeit für den Empfänger ein, ihre Richtigkeit zu bestätigen. Kann ein Gläubiger keine elektronischen Nachrichten empfangen, sendet der </w:t>
      </w:r>
      <w:r w:rsidRPr="004676F5">
        <w:rPr>
          <w:lang w:val="de-DE"/>
        </w:rPr>
        <w:lastRenderedPageBreak/>
        <w:t>Schuldner diese Mitteilung per Einschreiben mit Rückschein an den Gläubiger und hinterlegt den Einlieferungsschein in der Akte der gerichtlichen Reorganisation</w:t>
      </w:r>
      <w:r w:rsidR="00743CF5" w:rsidRPr="004676F5">
        <w:rPr>
          <w:lang w:val="de-DE"/>
        </w:rPr>
        <w:t xml:space="preserve"> [oder der Übertragung]</w:t>
      </w:r>
      <w:r w:rsidRPr="004676F5">
        <w:rPr>
          <w:lang w:val="de-DE"/>
        </w:rPr>
        <w:t>. In der Mitteilung an den Gläubiger wird darauf hingewiesen, dass der Gläubiger sowohl auf elektronischem Wege als auch auf materiellem Träger die Richtigkeit der darin enthaltenen Angaben bestätigen kann.</w:t>
      </w:r>
    </w:p>
    <w:p w14:paraId="74947917" w14:textId="77777777" w:rsidR="00EE35E2" w:rsidRPr="004676F5" w:rsidRDefault="00EE35E2" w:rsidP="00EE35E2">
      <w:pPr>
        <w:ind w:firstLine="708"/>
        <w:jc w:val="both"/>
        <w:rPr>
          <w:lang w:val="de-DE"/>
        </w:rPr>
      </w:pPr>
    </w:p>
    <w:p w14:paraId="7EF64A7B" w14:textId="77777777" w:rsidR="00EE35E2" w:rsidRPr="004676F5" w:rsidRDefault="00EE35E2" w:rsidP="00EE35E2">
      <w:pPr>
        <w:ind w:firstLine="708"/>
        <w:jc w:val="both"/>
        <w:rPr>
          <w:lang w:val="de-DE"/>
        </w:rPr>
      </w:pPr>
      <w:r w:rsidRPr="004676F5">
        <w:rPr>
          <w:lang w:val="de-DE"/>
        </w:rPr>
        <w:t>Der Schuldner hinterlegt eine Abschrift seiner Mitteilungen im Register oder händigt gegebenenfalls dem Greffier eine Abschrift auf materiellem Träger aus, damit sie in die in Artikel XX.41 erwähnte Akte eingefügt werden.</w:t>
      </w:r>
    </w:p>
    <w:p w14:paraId="49945CE0" w14:textId="77777777" w:rsidR="00EE35E2" w:rsidRPr="004676F5" w:rsidRDefault="00EE35E2" w:rsidP="00EE35E2">
      <w:pPr>
        <w:ind w:firstLine="708"/>
        <w:jc w:val="both"/>
        <w:rPr>
          <w:lang w:val="de-DE"/>
        </w:rPr>
      </w:pPr>
    </w:p>
    <w:p w14:paraId="5BBBD185" w14:textId="77777777" w:rsidR="00EE35E2" w:rsidRPr="004676F5" w:rsidRDefault="00EE35E2" w:rsidP="00EE35E2">
      <w:pPr>
        <w:ind w:firstLine="708"/>
        <w:jc w:val="both"/>
        <w:rPr>
          <w:lang w:val="de-DE"/>
        </w:rPr>
      </w:pPr>
      <w:r w:rsidRPr="004676F5">
        <w:rPr>
          <w:lang w:val="de-DE"/>
        </w:rPr>
        <w:t>Der König kann bestimmen, welche Angaben in der Mitteilung enthalten sein müssen.</w:t>
      </w:r>
    </w:p>
    <w:p w14:paraId="4F61B47B" w14:textId="77777777" w:rsidR="00EE35E2" w:rsidRPr="004676F5" w:rsidRDefault="00EE35E2" w:rsidP="00EE35E2">
      <w:pPr>
        <w:ind w:firstLine="708"/>
        <w:jc w:val="both"/>
        <w:rPr>
          <w:lang w:val="de-DE"/>
        </w:rPr>
      </w:pPr>
    </w:p>
    <w:p w14:paraId="7255B25D" w14:textId="22CA18BD"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Ein Aufschubgläubiger, der Höhe oder Eigenschaft einer Forderung, die in der in Artikel XX.41 § 2 </w:t>
      </w:r>
      <w:r w:rsidR="00743CF5" w:rsidRPr="004676F5">
        <w:rPr>
          <w:lang w:val="de-DE"/>
        </w:rPr>
        <w:t xml:space="preserve">[Absatz 1] </w:t>
      </w:r>
      <w:r w:rsidRPr="004676F5">
        <w:rPr>
          <w:lang w:val="de-DE"/>
        </w:rPr>
        <w:t xml:space="preserve">Nr. 7 erwähnten Liste aufgenommen ist, bestreitet, kann bei fortdauernder Uneinigkeit mit dem Schuldner die Streitsache durch kontradiktorische Antragschrift vor das Gericht bringen, das mit dem Verfahren </w:t>
      </w:r>
      <w:r w:rsidR="00743CF5" w:rsidRPr="004676F5">
        <w:rPr>
          <w:lang w:val="de-DE"/>
        </w:rPr>
        <w:t>[...]</w:t>
      </w:r>
      <w:r w:rsidRPr="004676F5">
        <w:rPr>
          <w:lang w:val="de-DE"/>
        </w:rPr>
        <w:t xml:space="preserve"> befasst ist.</w:t>
      </w:r>
    </w:p>
    <w:p w14:paraId="5CA89843" w14:textId="77777777" w:rsidR="00EE35E2" w:rsidRPr="004676F5" w:rsidRDefault="00EE35E2" w:rsidP="00EE35E2">
      <w:pPr>
        <w:ind w:firstLine="708"/>
        <w:jc w:val="both"/>
        <w:rPr>
          <w:lang w:val="de-DE"/>
        </w:rPr>
      </w:pPr>
    </w:p>
    <w:p w14:paraId="4AE6338E" w14:textId="73245AD9" w:rsidR="00EE35E2" w:rsidRPr="004676F5" w:rsidRDefault="00EE35E2" w:rsidP="00EE35E2">
      <w:pPr>
        <w:ind w:firstLine="708"/>
        <w:jc w:val="both"/>
        <w:rPr>
          <w:lang w:val="de-DE"/>
        </w:rPr>
      </w:pPr>
      <w:r w:rsidRPr="004676F5">
        <w:rPr>
          <w:lang w:val="de-DE"/>
        </w:rPr>
        <w:t xml:space="preserve">Eine aufgeschobene Forderung, die in der in Artikel XX.41 § 2 </w:t>
      </w:r>
      <w:r w:rsidR="00743CF5" w:rsidRPr="004676F5">
        <w:rPr>
          <w:lang w:val="de-DE"/>
        </w:rPr>
        <w:t xml:space="preserve">[Absatz 1] </w:t>
      </w:r>
      <w:r w:rsidRPr="004676F5">
        <w:rPr>
          <w:lang w:val="de-DE"/>
        </w:rPr>
        <w:t>Nr. 7 erwähnten Liste aufgenommen ist, so wie sie gegebenenfalls in Anwendung von Artikel XX.68 geändert worden ist, kann auf dieselbe Weise von einem Interessehabenden angefochten werden. Die Klage wird gegen den Schuldner und Aufschubgläubiger, dessen Forderung angefochten wird, erhoben.</w:t>
      </w:r>
    </w:p>
    <w:p w14:paraId="7C54BA08" w14:textId="77777777" w:rsidR="00EE35E2" w:rsidRPr="004676F5" w:rsidRDefault="00EE35E2" w:rsidP="00EE35E2">
      <w:pPr>
        <w:ind w:firstLine="708"/>
        <w:jc w:val="both"/>
        <w:rPr>
          <w:lang w:val="de-DE"/>
        </w:rPr>
      </w:pPr>
    </w:p>
    <w:p w14:paraId="5971B0E0" w14:textId="77777777" w:rsidR="00EE35E2" w:rsidRPr="004676F5" w:rsidRDefault="00EE35E2" w:rsidP="00EE35E2">
      <w:pPr>
        <w:ind w:firstLine="708"/>
        <w:jc w:val="both"/>
        <w:rPr>
          <w:lang w:val="de-DE"/>
        </w:rPr>
      </w:pPr>
      <w:r w:rsidRPr="004676F5">
        <w:rPr>
          <w:lang w:val="de-DE"/>
        </w:rPr>
        <w:t>Das Gericht entscheidet nach Bericht des beauftragten Richters und nach Vernehmung des Aufschubgläubigers, dessen Forderung angefochten wird, etwaiger beitretender Parteien und des Schuldners.</w:t>
      </w:r>
    </w:p>
    <w:p w14:paraId="799B77D5" w14:textId="77777777" w:rsidR="00EE35E2" w:rsidRPr="004676F5" w:rsidRDefault="00EE35E2" w:rsidP="00EE35E2">
      <w:pPr>
        <w:ind w:firstLine="708"/>
        <w:jc w:val="both"/>
        <w:rPr>
          <w:lang w:val="de-DE"/>
        </w:rPr>
      </w:pPr>
    </w:p>
    <w:p w14:paraId="5C512D40" w14:textId="77777777" w:rsidR="00EE35E2" w:rsidRPr="004676F5" w:rsidRDefault="00EE35E2" w:rsidP="00EE35E2">
      <w:pPr>
        <w:ind w:firstLine="708"/>
        <w:jc w:val="both"/>
        <w:rPr>
          <w:lang w:val="de-DE"/>
        </w:rPr>
      </w:pPr>
      <w:r w:rsidRPr="004676F5">
        <w:rPr>
          <w:lang w:val="de-DE"/>
        </w:rPr>
        <w:t>Der Gläubiger hinterlegt seine Antragschrift im Register. Der Greffier notifiziert die Antragschrift über das Register an den Schuldner und gegebenenfalls an den Gläubiger oder an die betreffende beitretende Partei.</w:t>
      </w:r>
    </w:p>
    <w:p w14:paraId="3141C84B" w14:textId="77777777" w:rsidR="00EE35E2" w:rsidRPr="004676F5" w:rsidRDefault="00EE35E2" w:rsidP="00EE35E2">
      <w:pPr>
        <w:ind w:firstLine="708"/>
        <w:jc w:val="both"/>
        <w:rPr>
          <w:lang w:val="de-DE"/>
        </w:rPr>
      </w:pPr>
    </w:p>
    <w:p w14:paraId="43ADA922" w14:textId="77777777" w:rsidR="00EE35E2" w:rsidRPr="004676F5" w:rsidRDefault="00EE35E2" w:rsidP="00EE35E2">
      <w:pPr>
        <w:ind w:firstLine="708"/>
        <w:jc w:val="both"/>
        <w:rPr>
          <w:lang w:val="de-DE"/>
        </w:rPr>
      </w:pPr>
      <w:r w:rsidRPr="004676F5">
        <w:rPr>
          <w:lang w:val="de-DE"/>
        </w:rPr>
        <w:t>Der Schuldner hinterlegt die auf diese Weise geänderte Liste im Register.</w:t>
      </w:r>
    </w:p>
    <w:p w14:paraId="783E468E" w14:textId="77777777" w:rsidR="00EE35E2" w:rsidRPr="004676F5" w:rsidRDefault="00EE35E2" w:rsidP="00EE35E2">
      <w:pPr>
        <w:ind w:firstLine="708"/>
        <w:jc w:val="both"/>
        <w:rPr>
          <w:lang w:val="de-DE"/>
        </w:rPr>
      </w:pPr>
    </w:p>
    <w:p w14:paraId="0825A130" w14:textId="77777777" w:rsidR="00EE35E2" w:rsidRPr="004676F5" w:rsidRDefault="00EE35E2" w:rsidP="00EE35E2">
      <w:pPr>
        <w:ind w:firstLine="708"/>
        <w:jc w:val="both"/>
        <w:rPr>
          <w:lang w:val="de-DE"/>
        </w:rPr>
      </w:pPr>
      <w:r w:rsidRPr="004676F5">
        <w:rPr>
          <w:lang w:val="de-DE"/>
        </w:rPr>
        <w:t>Das Urteil wird dem Antragsteller, dem Schuldner und etwaigen beitretenden Parteien durch Gerichtsbrief notifiziert.</w:t>
      </w:r>
    </w:p>
    <w:p w14:paraId="26A55B9F" w14:textId="77777777" w:rsidR="00EE35E2" w:rsidRPr="004676F5" w:rsidRDefault="00EE35E2" w:rsidP="00EE35E2">
      <w:pPr>
        <w:jc w:val="both"/>
        <w:rPr>
          <w:lang w:val="de-DE"/>
        </w:rPr>
      </w:pPr>
    </w:p>
    <w:p w14:paraId="78604F09" w14:textId="110B9A81" w:rsidR="00743CF5" w:rsidRPr="004676F5" w:rsidRDefault="00743CF5" w:rsidP="00EE35E2">
      <w:pPr>
        <w:jc w:val="both"/>
        <w:rPr>
          <w:i/>
          <w:iCs/>
          <w:lang w:val="de-DE"/>
        </w:rPr>
      </w:pPr>
      <w:r w:rsidRPr="004676F5">
        <w:rPr>
          <w:i/>
          <w:iCs/>
          <w:lang w:val="de-DE"/>
        </w:rPr>
        <w:t>[Art. XX.49 § 1 Abs. 1 abgeändert durch Art. 66 Nr. 1 des G. vom 7. Juni 2023 (B.S. vom 7. Juli 2023); § 1 Abs. 2 abgeändert durch Art. 66 Nr. 2 des G. vom 7. Juni 2023 (B.S. vom 7. Juli 2023); § 1 Abs. 3 abgeändert durch Art. 66 Nr. 3 des G. vom 7. Juni 2023 (B.S. vom 7. Juli 2023); § 2 Abs. 1 abgeändert durch Art. 66 Nr. 4 und 5 des G. vom 7. Juni 2023 (B.S. vom 7. Juli 2023); § 2 Abs. 2 abgeändert durch Art. 66 Nr. 6 des G. vom 7. Juni 2023 (B.S. vom 7. Juli 2023)]</w:t>
      </w:r>
    </w:p>
    <w:p w14:paraId="30B8AA8B" w14:textId="77777777" w:rsidR="00EE35E2" w:rsidRPr="004676F5" w:rsidRDefault="00EE35E2" w:rsidP="00EE35E2">
      <w:pPr>
        <w:rPr>
          <w:iCs/>
          <w:lang w:val="de-DE"/>
        </w:rPr>
      </w:pPr>
    </w:p>
    <w:p w14:paraId="6C895AB5" w14:textId="77777777" w:rsidR="00743CF5" w:rsidRPr="004676F5" w:rsidRDefault="00743CF5" w:rsidP="00743CF5">
      <w:pPr>
        <w:jc w:val="both"/>
        <w:rPr>
          <w:lang w:val="de-DE"/>
        </w:rPr>
      </w:pPr>
    </w:p>
    <w:p w14:paraId="00C3EEF4" w14:textId="77777777" w:rsidR="008E796B" w:rsidRDefault="008E796B">
      <w:pPr>
        <w:rPr>
          <w:lang w:val="de-DE"/>
        </w:rPr>
      </w:pPr>
      <w:r>
        <w:rPr>
          <w:lang w:val="de-DE"/>
        </w:rPr>
        <w:br w:type="page"/>
      </w:r>
    </w:p>
    <w:p w14:paraId="16F18C50" w14:textId="0B4C14BB" w:rsidR="00743CF5" w:rsidRPr="004676F5" w:rsidRDefault="00743CF5" w:rsidP="00743CF5">
      <w:pPr>
        <w:jc w:val="center"/>
        <w:rPr>
          <w:lang w:val="de-DE"/>
        </w:rPr>
      </w:pPr>
      <w:r w:rsidRPr="004676F5">
        <w:rPr>
          <w:lang w:val="de-DE"/>
        </w:rPr>
        <w:lastRenderedPageBreak/>
        <w:t>[</w:t>
      </w:r>
      <w:r w:rsidRPr="004676F5">
        <w:rPr>
          <w:i/>
          <w:iCs/>
          <w:lang w:val="de-DE"/>
        </w:rPr>
        <w:t>Abschnitt 4</w:t>
      </w:r>
      <w:r w:rsidRPr="004676F5">
        <w:rPr>
          <w:lang w:val="de-DE"/>
        </w:rPr>
        <w:t> - Vorläufige Verwaltung und Beistand eines Reorganisationsbearbeiters]</w:t>
      </w:r>
    </w:p>
    <w:p w14:paraId="4BA0A903" w14:textId="77777777" w:rsidR="00743CF5" w:rsidRPr="004676F5" w:rsidRDefault="00743CF5" w:rsidP="00743CF5">
      <w:pPr>
        <w:jc w:val="both"/>
        <w:rPr>
          <w:lang w:val="de-DE"/>
        </w:rPr>
      </w:pPr>
    </w:p>
    <w:p w14:paraId="6D80AAA9" w14:textId="000842A6" w:rsidR="00743CF5" w:rsidRPr="004676F5" w:rsidRDefault="00743CF5" w:rsidP="00743CF5">
      <w:pPr>
        <w:jc w:val="both"/>
        <w:rPr>
          <w:i/>
          <w:iCs/>
          <w:lang w:val="de-DE"/>
        </w:rPr>
      </w:pPr>
      <w:r w:rsidRPr="004676F5">
        <w:rPr>
          <w:i/>
          <w:iCs/>
          <w:lang w:val="de-DE"/>
        </w:rPr>
        <w:t>[Unterteilung Abschnitt 4 eingefügt durch Art. 67 des G. vom 7. Juni 2023 (B.S. vom 7. Juli 2023)]</w:t>
      </w:r>
    </w:p>
    <w:p w14:paraId="658069DE" w14:textId="77777777" w:rsidR="00743CF5" w:rsidRPr="004676F5" w:rsidRDefault="00743CF5" w:rsidP="00743CF5">
      <w:pPr>
        <w:jc w:val="both"/>
        <w:rPr>
          <w:i/>
          <w:iCs/>
          <w:lang w:val="de-DE"/>
        </w:rPr>
      </w:pPr>
    </w:p>
    <w:p w14:paraId="7120D76B" w14:textId="77777777" w:rsidR="00743CF5" w:rsidRPr="004676F5" w:rsidRDefault="00743CF5" w:rsidP="00743CF5">
      <w:pPr>
        <w:jc w:val="both"/>
        <w:rPr>
          <w:lang w:val="de-DE"/>
        </w:rPr>
      </w:pPr>
    </w:p>
    <w:p w14:paraId="13F52187" w14:textId="2BB70C8C" w:rsidR="00743CF5" w:rsidRPr="004676F5" w:rsidRDefault="00743CF5" w:rsidP="00743CF5">
      <w:pPr>
        <w:jc w:val="both"/>
        <w:rPr>
          <w:lang w:val="de-DE"/>
        </w:rPr>
      </w:pPr>
      <w:r w:rsidRPr="004676F5">
        <w:rPr>
          <w:lang w:val="de-DE"/>
        </w:rPr>
        <w:tab/>
        <w:t>[</w:t>
      </w:r>
      <w:r w:rsidRPr="004676F5">
        <w:rPr>
          <w:b/>
          <w:bCs/>
          <w:lang w:val="de-DE"/>
        </w:rPr>
        <w:t>Art. XX.49/1</w:t>
      </w:r>
      <w:r w:rsidRPr="004676F5">
        <w:rPr>
          <w:lang w:val="de-DE"/>
        </w:rPr>
        <w:t> - § 1 - Wenn beim Schuldner oder bei einem seiner Organe ein offensichtlich grobes Verschulden vorliegt, kann das Gericht oder im Dringlichkeitsfall der Gerichtspräsident einen vorläufigen Verwalter bestellen, der für die Dauer des Aufschubs an die Stelle des Schuldners und seiner Organe tritt.</w:t>
      </w:r>
    </w:p>
    <w:p w14:paraId="3E14030C" w14:textId="77777777" w:rsidR="00743CF5" w:rsidRPr="004676F5" w:rsidRDefault="00743CF5" w:rsidP="00743CF5">
      <w:pPr>
        <w:jc w:val="both"/>
        <w:rPr>
          <w:lang w:val="de-DE"/>
        </w:rPr>
      </w:pPr>
    </w:p>
    <w:p w14:paraId="20C5B662" w14:textId="77777777" w:rsidR="00743CF5" w:rsidRPr="004676F5" w:rsidRDefault="00743CF5" w:rsidP="00743CF5">
      <w:pPr>
        <w:jc w:val="both"/>
        <w:rPr>
          <w:lang w:val="de-DE"/>
        </w:rPr>
      </w:pPr>
      <w:r w:rsidRPr="004676F5">
        <w:rPr>
          <w:lang w:val="de-DE"/>
        </w:rPr>
        <w:tab/>
        <w:t>§ 2 - Das Gericht entscheidet auf Antrag eines Interessehabenden oder der Staatsanwaltschaft nach Anhörung der Gründe des Schuldners und des Berichts des beauftragten Richters im Urteil, mit dem das Verfahren der gerichtlichen Reorganisation oder der Übertragung unter der Autorität des Gerichts eröffnet wird, oder auf eine im Register hinterlegte kontradiktorische Antragschrift in einem späteren Urteil.</w:t>
      </w:r>
    </w:p>
    <w:p w14:paraId="5BF28AF7" w14:textId="77777777" w:rsidR="00743CF5" w:rsidRPr="004676F5" w:rsidRDefault="00743CF5" w:rsidP="00743CF5">
      <w:pPr>
        <w:jc w:val="both"/>
        <w:rPr>
          <w:lang w:val="de-DE"/>
        </w:rPr>
      </w:pPr>
    </w:p>
    <w:p w14:paraId="02CA1CDF" w14:textId="77777777" w:rsidR="00743CF5" w:rsidRPr="004676F5" w:rsidRDefault="00743CF5" w:rsidP="00743CF5">
      <w:pPr>
        <w:jc w:val="both"/>
        <w:rPr>
          <w:lang w:val="de-DE"/>
        </w:rPr>
      </w:pPr>
      <w:r w:rsidRPr="004676F5">
        <w:rPr>
          <w:lang w:val="de-DE"/>
        </w:rPr>
        <w:tab/>
        <w:t>Führt der Schuldner an, das Verschulden sei auf eine andere bestimmte natürliche oder juristische Person zurückzuführen, muss der Schuldner den erzwungenen Beitritt dieser Person bewirken.</w:t>
      </w:r>
    </w:p>
    <w:p w14:paraId="1EC24326" w14:textId="77777777" w:rsidR="00743CF5" w:rsidRPr="004676F5" w:rsidRDefault="00743CF5" w:rsidP="00743CF5">
      <w:pPr>
        <w:jc w:val="both"/>
        <w:rPr>
          <w:lang w:val="de-DE"/>
        </w:rPr>
      </w:pPr>
    </w:p>
    <w:p w14:paraId="1D96BBC3" w14:textId="634239F1" w:rsidR="00743CF5" w:rsidRPr="004676F5" w:rsidRDefault="00743CF5" w:rsidP="00743CF5">
      <w:pPr>
        <w:jc w:val="both"/>
        <w:rPr>
          <w:lang w:val="de-DE"/>
        </w:rPr>
      </w:pPr>
      <w:r w:rsidRPr="004676F5">
        <w:rPr>
          <w:lang w:val="de-DE"/>
        </w:rPr>
        <w:tab/>
        <w:t>§ 3 - Zu jedem Zeitpunkt während des Aufschubzeitraums kann das auf dieselbe Weise angerufene und entscheidende Gericht nach Bericht des vorläufigen Verwalters die aufgrund der Paragraphen 1 und 2 getroffene Entscheidung zurücknehmen oder die Befugnisse des vorläufigen Verwalters ändern.]</w:t>
      </w:r>
    </w:p>
    <w:p w14:paraId="1FF5CCB4" w14:textId="77777777" w:rsidR="00743CF5" w:rsidRPr="004676F5" w:rsidRDefault="00743CF5" w:rsidP="00743CF5">
      <w:pPr>
        <w:jc w:val="both"/>
        <w:rPr>
          <w:lang w:val="de-DE"/>
        </w:rPr>
      </w:pPr>
    </w:p>
    <w:p w14:paraId="54BB092C" w14:textId="484EC5C3" w:rsidR="00743CF5" w:rsidRPr="004676F5" w:rsidRDefault="00743CF5" w:rsidP="00743CF5">
      <w:pPr>
        <w:jc w:val="both"/>
        <w:rPr>
          <w:i/>
          <w:lang w:val="de-DE"/>
        </w:rPr>
      </w:pPr>
      <w:r w:rsidRPr="004676F5">
        <w:rPr>
          <w:i/>
          <w:lang w:val="de-DE"/>
        </w:rPr>
        <w:t>[Art. XX.49/1 eingefügt durch Art. 68</w:t>
      </w:r>
      <w:r w:rsidRPr="004676F5">
        <w:rPr>
          <w:i/>
          <w:iCs/>
          <w:lang w:val="de-DE"/>
        </w:rPr>
        <w:t xml:space="preserve"> des G. vom 7. Juni 2023 (B.S. vom 7. Juli 2023)]</w:t>
      </w:r>
    </w:p>
    <w:p w14:paraId="202039AB" w14:textId="77777777" w:rsidR="00743CF5" w:rsidRPr="004676F5" w:rsidRDefault="00743CF5" w:rsidP="00743CF5">
      <w:pPr>
        <w:jc w:val="both"/>
        <w:rPr>
          <w:lang w:val="de-DE"/>
        </w:rPr>
      </w:pPr>
    </w:p>
    <w:p w14:paraId="3AADDFBD" w14:textId="77777777" w:rsidR="00743CF5" w:rsidRPr="004676F5" w:rsidRDefault="00743CF5" w:rsidP="00743CF5">
      <w:pPr>
        <w:jc w:val="both"/>
        <w:rPr>
          <w:lang w:val="de-DE"/>
        </w:rPr>
      </w:pPr>
    </w:p>
    <w:p w14:paraId="2D339599" w14:textId="7BD462E6" w:rsidR="00743CF5" w:rsidRPr="004676F5" w:rsidRDefault="00743CF5" w:rsidP="00743CF5">
      <w:pPr>
        <w:jc w:val="both"/>
        <w:rPr>
          <w:lang w:val="de-DE"/>
        </w:rPr>
      </w:pPr>
      <w:r w:rsidRPr="004676F5">
        <w:rPr>
          <w:lang w:val="de-DE"/>
        </w:rPr>
        <w:tab/>
        <w:t>[</w:t>
      </w:r>
      <w:r w:rsidRPr="004676F5">
        <w:rPr>
          <w:b/>
          <w:bCs/>
          <w:lang w:val="de-DE"/>
        </w:rPr>
        <w:t>Art. XX.49/2</w:t>
      </w:r>
      <w:r w:rsidRPr="004676F5">
        <w:rPr>
          <w:lang w:val="de-DE"/>
        </w:rPr>
        <w:t> - Auf Antrag eines Interessehabenden und sofern die Reorganisation auf eine kollektive Einigung abzielt, kann das Gericht auf eine im Register hinterlegte kontradiktorische Antragschrift und sofern der Schutz der Interesse habenden Parteien es erfordert, einen Reorganisationsbearbeiter bestellen, der dem Schuldner und den Gläubigern bei den Verhandlungen und der Erstellung des Plans beisteht.</w:t>
      </w:r>
    </w:p>
    <w:p w14:paraId="2EFEE679" w14:textId="77777777" w:rsidR="00743CF5" w:rsidRPr="004676F5" w:rsidRDefault="00743CF5" w:rsidP="00743CF5">
      <w:pPr>
        <w:jc w:val="both"/>
        <w:rPr>
          <w:lang w:val="de-DE"/>
        </w:rPr>
      </w:pPr>
    </w:p>
    <w:p w14:paraId="03DC8C46" w14:textId="2ABFD624" w:rsidR="00743CF5" w:rsidRPr="004676F5" w:rsidRDefault="00743CF5" w:rsidP="00743CF5">
      <w:pPr>
        <w:jc w:val="both"/>
        <w:rPr>
          <w:spacing w:val="-2"/>
          <w:lang w:val="de-DE"/>
        </w:rPr>
      </w:pPr>
      <w:r w:rsidRPr="004676F5">
        <w:rPr>
          <w:spacing w:val="-2"/>
          <w:lang w:val="de-DE"/>
        </w:rPr>
        <w:tab/>
        <w:t>Diese Bestellung wird vorgenommen, wenn der Antrag vom Schuldner ausgeht oder von der Mehrheit aller zu diesem Zeitpunkt im Register eingetragenen Gläubiger unterstützt wird, die anbieten, die Kosten für die Leistungen des Reorganisationsbearbeiters zu übernehmen.]</w:t>
      </w:r>
    </w:p>
    <w:p w14:paraId="7D54A692" w14:textId="77777777" w:rsidR="00743CF5" w:rsidRPr="004676F5" w:rsidRDefault="00743CF5" w:rsidP="00743CF5">
      <w:pPr>
        <w:jc w:val="both"/>
        <w:rPr>
          <w:lang w:val="de-DE"/>
        </w:rPr>
      </w:pPr>
    </w:p>
    <w:p w14:paraId="3E781A41" w14:textId="51289DCF" w:rsidR="00743CF5" w:rsidRPr="004676F5" w:rsidRDefault="00743CF5" w:rsidP="00743CF5">
      <w:pPr>
        <w:jc w:val="both"/>
        <w:rPr>
          <w:i/>
          <w:lang w:val="de-DE"/>
        </w:rPr>
      </w:pPr>
      <w:r w:rsidRPr="004676F5">
        <w:rPr>
          <w:i/>
          <w:lang w:val="de-DE"/>
        </w:rPr>
        <w:t>[Art. XX.49/2eingefügt durch Art. 69</w:t>
      </w:r>
      <w:r w:rsidRPr="004676F5">
        <w:rPr>
          <w:i/>
          <w:iCs/>
          <w:lang w:val="de-DE"/>
        </w:rPr>
        <w:t xml:space="preserve"> des G. vom 7. Juni 2023 (B.S. vom 7. Juli 2023)]</w:t>
      </w:r>
    </w:p>
    <w:p w14:paraId="3EFE0484" w14:textId="77777777" w:rsidR="00743CF5" w:rsidRPr="004676F5" w:rsidRDefault="00743CF5" w:rsidP="00743CF5">
      <w:pPr>
        <w:jc w:val="both"/>
        <w:rPr>
          <w:lang w:val="de-DE"/>
        </w:rPr>
      </w:pPr>
    </w:p>
    <w:p w14:paraId="32000070" w14:textId="77777777" w:rsidR="00743CF5" w:rsidRPr="004676F5" w:rsidRDefault="00743CF5" w:rsidP="00743CF5">
      <w:pPr>
        <w:jc w:val="both"/>
        <w:rPr>
          <w:lang w:val="de-DE"/>
        </w:rPr>
      </w:pPr>
    </w:p>
    <w:p w14:paraId="2F8FF6C7" w14:textId="581D9430" w:rsidR="00743CF5" w:rsidRPr="004676F5" w:rsidRDefault="00743CF5" w:rsidP="00743CF5">
      <w:pPr>
        <w:jc w:val="both"/>
        <w:rPr>
          <w:lang w:val="de-DE"/>
        </w:rPr>
      </w:pPr>
      <w:r w:rsidRPr="004676F5">
        <w:rPr>
          <w:lang w:val="de-DE"/>
        </w:rPr>
        <w:tab/>
        <w:t>[</w:t>
      </w:r>
      <w:r w:rsidRPr="004676F5">
        <w:rPr>
          <w:b/>
          <w:bCs/>
          <w:lang w:val="de-DE"/>
        </w:rPr>
        <w:t>Art. XX.49/3</w:t>
      </w:r>
      <w:r w:rsidRPr="004676F5">
        <w:rPr>
          <w:lang w:val="de-DE"/>
        </w:rPr>
        <w:t xml:space="preserve"> - Die in den Artikeln XX.49/1 und XX.49/2 erwähnten Entscheidungen werden in das Register eingefügt und auf Betreiben des Greffiers im </w:t>
      </w:r>
      <w:r w:rsidRPr="004676F5">
        <w:rPr>
          <w:i/>
          <w:lang w:val="de-DE"/>
        </w:rPr>
        <w:t>Belgischen Staatsblatt</w:t>
      </w:r>
      <w:r w:rsidRPr="004676F5">
        <w:rPr>
          <w:lang w:val="de-DE"/>
        </w:rPr>
        <w:t xml:space="preserve"> veröffentlicht.</w:t>
      </w:r>
    </w:p>
    <w:p w14:paraId="40FB0244" w14:textId="77777777" w:rsidR="00743CF5" w:rsidRPr="004676F5" w:rsidRDefault="00743CF5" w:rsidP="00743CF5">
      <w:pPr>
        <w:jc w:val="both"/>
        <w:rPr>
          <w:lang w:val="de-DE"/>
        </w:rPr>
      </w:pPr>
    </w:p>
    <w:p w14:paraId="7892B999" w14:textId="5D677DFD" w:rsidR="00743CF5" w:rsidRPr="004676F5" w:rsidRDefault="00743CF5" w:rsidP="00743CF5">
      <w:pPr>
        <w:jc w:val="both"/>
        <w:rPr>
          <w:lang w:val="de-DE"/>
        </w:rPr>
      </w:pPr>
      <w:r w:rsidRPr="004676F5">
        <w:rPr>
          <w:lang w:val="de-DE"/>
        </w:rPr>
        <w:tab/>
        <w:t>Der König kann den Inhalt dieser Veröffentlichung festlegen.]</w:t>
      </w:r>
    </w:p>
    <w:p w14:paraId="2FE72D0D" w14:textId="77777777" w:rsidR="00743CF5" w:rsidRPr="004676F5" w:rsidRDefault="00743CF5" w:rsidP="00743CF5">
      <w:pPr>
        <w:jc w:val="both"/>
        <w:rPr>
          <w:lang w:val="de-DE"/>
        </w:rPr>
      </w:pPr>
    </w:p>
    <w:p w14:paraId="1BF4C558" w14:textId="6F705440" w:rsidR="00743CF5" w:rsidRPr="004676F5" w:rsidRDefault="00743CF5" w:rsidP="00743CF5">
      <w:pPr>
        <w:jc w:val="both"/>
        <w:rPr>
          <w:i/>
          <w:lang w:val="de-DE"/>
        </w:rPr>
      </w:pPr>
      <w:r w:rsidRPr="004676F5">
        <w:rPr>
          <w:i/>
          <w:lang w:val="de-DE"/>
        </w:rPr>
        <w:t>[Art. XX.49/3 eingefügt durch Art. 70</w:t>
      </w:r>
      <w:r w:rsidRPr="004676F5">
        <w:rPr>
          <w:i/>
          <w:iCs/>
          <w:lang w:val="de-DE"/>
        </w:rPr>
        <w:t xml:space="preserve"> des G. vom 7. Juni 2023 (B.S. vom 7. Juli 2023)]</w:t>
      </w:r>
    </w:p>
    <w:p w14:paraId="07BD376B" w14:textId="77777777" w:rsidR="00743CF5" w:rsidRPr="004676F5" w:rsidRDefault="00743CF5" w:rsidP="00743CF5">
      <w:pPr>
        <w:jc w:val="both"/>
        <w:rPr>
          <w:lang w:val="de-DE"/>
        </w:rPr>
      </w:pPr>
    </w:p>
    <w:p w14:paraId="52B818F9" w14:textId="77777777" w:rsidR="00743CF5" w:rsidRPr="004676F5" w:rsidRDefault="00743CF5" w:rsidP="00743CF5">
      <w:pPr>
        <w:jc w:val="both"/>
        <w:rPr>
          <w:lang w:val="de-DE"/>
        </w:rPr>
      </w:pPr>
    </w:p>
    <w:p w14:paraId="5CB9D56C" w14:textId="662FAE26" w:rsidR="00743CF5" w:rsidRPr="004676F5" w:rsidRDefault="00743CF5" w:rsidP="00743CF5">
      <w:pPr>
        <w:ind w:firstLine="708"/>
        <w:jc w:val="both"/>
        <w:rPr>
          <w:lang w:val="de-DE"/>
        </w:rPr>
      </w:pPr>
      <w:r w:rsidRPr="004676F5">
        <w:rPr>
          <w:lang w:val="de-DE"/>
        </w:rPr>
        <w:t>[</w:t>
      </w:r>
      <w:r w:rsidRPr="004676F5">
        <w:rPr>
          <w:b/>
          <w:bCs/>
          <w:lang w:val="de-DE"/>
        </w:rPr>
        <w:t>Art. XX.49/4</w:t>
      </w:r>
      <w:r w:rsidRPr="004676F5">
        <w:rPr>
          <w:lang w:val="de-DE"/>
        </w:rPr>
        <w:t> - Gegen Entscheidungen in Anwendung der Artikel XX.49/1 und XX.49/2 kann kein Einspruch eingelegt werden.]</w:t>
      </w:r>
    </w:p>
    <w:p w14:paraId="154AA3EC" w14:textId="77777777" w:rsidR="00743CF5" w:rsidRPr="004676F5" w:rsidRDefault="00743CF5" w:rsidP="00743CF5">
      <w:pPr>
        <w:jc w:val="both"/>
        <w:rPr>
          <w:lang w:val="de-DE"/>
        </w:rPr>
      </w:pPr>
    </w:p>
    <w:p w14:paraId="7BB4467E" w14:textId="618076B4" w:rsidR="00743CF5" w:rsidRPr="004676F5" w:rsidRDefault="00743CF5" w:rsidP="00743CF5">
      <w:pPr>
        <w:jc w:val="both"/>
        <w:rPr>
          <w:i/>
          <w:lang w:val="de-DE"/>
        </w:rPr>
      </w:pPr>
      <w:r w:rsidRPr="004676F5">
        <w:rPr>
          <w:i/>
          <w:lang w:val="de-DE"/>
        </w:rPr>
        <w:t>[Art. XX.49/4 eingefügt durch Art. 71</w:t>
      </w:r>
      <w:r w:rsidRPr="004676F5">
        <w:rPr>
          <w:i/>
          <w:iCs/>
          <w:lang w:val="de-DE"/>
        </w:rPr>
        <w:t xml:space="preserve"> des G. vom 7. Juni 2023 (B.S. vom 7. Juli 2023)]</w:t>
      </w:r>
    </w:p>
    <w:p w14:paraId="0C80B71D" w14:textId="77777777" w:rsidR="00743CF5" w:rsidRPr="004676F5" w:rsidRDefault="00743CF5" w:rsidP="00743CF5">
      <w:pPr>
        <w:jc w:val="both"/>
        <w:rPr>
          <w:lang w:val="de-DE"/>
        </w:rPr>
      </w:pPr>
    </w:p>
    <w:p w14:paraId="603D7323" w14:textId="77777777" w:rsidR="00743CF5" w:rsidRPr="004676F5" w:rsidRDefault="00743CF5" w:rsidP="00743CF5">
      <w:pPr>
        <w:jc w:val="both"/>
        <w:rPr>
          <w:lang w:val="de-DE"/>
        </w:rPr>
      </w:pPr>
    </w:p>
    <w:p w14:paraId="104A66D0" w14:textId="67C82BD6" w:rsidR="00743CF5" w:rsidRPr="004676F5" w:rsidRDefault="00743CF5" w:rsidP="00743CF5">
      <w:pPr>
        <w:jc w:val="both"/>
        <w:rPr>
          <w:lang w:val="de-DE"/>
        </w:rPr>
      </w:pPr>
      <w:r w:rsidRPr="004676F5">
        <w:rPr>
          <w:lang w:val="de-DE"/>
        </w:rPr>
        <w:tab/>
        <w:t>[</w:t>
      </w:r>
      <w:r w:rsidRPr="004676F5">
        <w:rPr>
          <w:b/>
          <w:bCs/>
          <w:lang w:val="de-DE"/>
        </w:rPr>
        <w:t>Art. XX.49/5</w:t>
      </w:r>
      <w:r w:rsidRPr="004676F5">
        <w:rPr>
          <w:lang w:val="de-DE"/>
        </w:rPr>
        <w:t> - Unbeschadet des Artikels XX.2 Nr. 2 wird Berufung gegen Entscheidungen in Anwendung der Artikel XX.49/1 und XX.49/2 durch eine Antragschrift eingelegt, die innerhalb acht Tagen ab Veröffentlichung des Urteils oder Beschlusses bei der Kanzlei des Appellationshofes hinterlegt wird. Spätestens am ersten Werktag nach Hinterlegung der Antragschrift notifiziert der Greffier des Appellationshofes die Antragschrift per Gerichtsbrief dem möglichen Berufungsbeklagten und gegebenenfalls durch gewöhnlichen Brief oder elektronisch seinem Rechtsanwalt.]</w:t>
      </w:r>
    </w:p>
    <w:p w14:paraId="7F7899B3" w14:textId="77777777" w:rsidR="00743CF5" w:rsidRPr="004676F5" w:rsidRDefault="00743CF5" w:rsidP="00743CF5">
      <w:pPr>
        <w:jc w:val="both"/>
        <w:rPr>
          <w:lang w:val="de-DE"/>
        </w:rPr>
      </w:pPr>
    </w:p>
    <w:p w14:paraId="783A532F" w14:textId="77777777" w:rsidR="00FF3402" w:rsidRPr="004676F5" w:rsidRDefault="00743CF5" w:rsidP="00FF3402">
      <w:pPr>
        <w:jc w:val="both"/>
        <w:rPr>
          <w:i/>
          <w:iCs/>
          <w:lang w:val="de-DE"/>
        </w:rPr>
      </w:pPr>
      <w:r w:rsidRPr="004676F5">
        <w:rPr>
          <w:i/>
          <w:iCs/>
          <w:lang w:val="de-DE"/>
        </w:rPr>
        <w:t>[Art. XX.49/5 eingefügt durch Art. 72 des G. vom 7. Juni 2023 (B.S. vom 7. Juli 2023)]</w:t>
      </w:r>
    </w:p>
    <w:p w14:paraId="4DDCD67D" w14:textId="77777777" w:rsidR="00FF3402" w:rsidRPr="004676F5" w:rsidRDefault="00FF3402" w:rsidP="00FF3402">
      <w:pPr>
        <w:jc w:val="both"/>
        <w:rPr>
          <w:i/>
          <w:iCs/>
          <w:lang w:val="de-DE"/>
        </w:rPr>
      </w:pPr>
    </w:p>
    <w:p w14:paraId="7A0FE6F0" w14:textId="77777777" w:rsidR="00FF3402" w:rsidRPr="004676F5" w:rsidRDefault="00FF3402" w:rsidP="00FF3402">
      <w:pPr>
        <w:jc w:val="both"/>
        <w:rPr>
          <w:i/>
          <w:iCs/>
          <w:lang w:val="de-DE"/>
        </w:rPr>
      </w:pPr>
    </w:p>
    <w:p w14:paraId="0D5C42BC" w14:textId="2436D5A1" w:rsidR="00743CF5" w:rsidRPr="004676F5" w:rsidRDefault="00743CF5" w:rsidP="00743CF5">
      <w:pPr>
        <w:jc w:val="center"/>
        <w:rPr>
          <w:lang w:val="de-DE"/>
        </w:rPr>
      </w:pPr>
      <w:r w:rsidRPr="004676F5">
        <w:rPr>
          <w:iCs/>
          <w:lang w:val="de-DE"/>
        </w:rPr>
        <w:t>[</w:t>
      </w:r>
      <w:r w:rsidRPr="004676F5">
        <w:rPr>
          <w:i/>
          <w:lang w:val="de-DE"/>
        </w:rPr>
        <w:t>Abschnitt 5</w:t>
      </w:r>
      <w:r w:rsidRPr="004676F5">
        <w:rPr>
          <w:iCs/>
          <w:lang w:val="de-DE"/>
        </w:rPr>
        <w:t>]</w:t>
      </w:r>
      <w:r w:rsidRPr="004676F5">
        <w:rPr>
          <w:i/>
          <w:lang w:val="de-DE"/>
        </w:rPr>
        <w:t> - </w:t>
      </w:r>
      <w:r w:rsidRPr="004676F5">
        <w:rPr>
          <w:iCs/>
          <w:lang w:val="de-DE"/>
        </w:rPr>
        <w:t>[</w:t>
      </w:r>
      <w:r w:rsidRPr="004676F5">
        <w:rPr>
          <w:lang w:val="de-DE"/>
        </w:rPr>
        <w:t>Auswirkungen der Entscheidung zur Reorganisation oder zur Übertragung unter der Autorität des Gerichts]</w:t>
      </w:r>
    </w:p>
    <w:p w14:paraId="2778CBFD" w14:textId="77777777" w:rsidR="00743CF5" w:rsidRPr="004676F5" w:rsidRDefault="00743CF5" w:rsidP="00743CF5">
      <w:pPr>
        <w:rPr>
          <w:lang w:val="de-DE"/>
        </w:rPr>
      </w:pPr>
    </w:p>
    <w:p w14:paraId="60366A65" w14:textId="70925E57" w:rsidR="00743CF5" w:rsidRPr="004676F5" w:rsidRDefault="00743CF5" w:rsidP="00743CF5">
      <w:pPr>
        <w:rPr>
          <w:b/>
          <w:i/>
          <w:lang w:val="de-DE"/>
        </w:rPr>
      </w:pPr>
      <w:r w:rsidRPr="004676F5">
        <w:rPr>
          <w:bCs/>
          <w:i/>
          <w:lang w:val="de-DE"/>
        </w:rPr>
        <w:t xml:space="preserve">[Früherer Abschnitt 6 </w:t>
      </w:r>
      <w:r w:rsidR="00B20716" w:rsidRPr="004676F5">
        <w:rPr>
          <w:bCs/>
          <w:i/>
          <w:iCs/>
          <w:lang w:val="de-DE"/>
        </w:rPr>
        <w:t xml:space="preserve">umgegliedert und </w:t>
      </w:r>
      <w:r w:rsidRPr="004676F5">
        <w:rPr>
          <w:bCs/>
          <w:i/>
          <w:lang w:val="de-DE"/>
        </w:rPr>
        <w:t>umnummeriert zu Abschnitt 5 und Überschrift ersetzt durch Art. 73</w:t>
      </w:r>
      <w:r w:rsidRPr="004676F5">
        <w:rPr>
          <w:bCs/>
          <w:i/>
          <w:iCs/>
          <w:lang w:val="de-DE"/>
        </w:rPr>
        <w:t xml:space="preserve"> des G. vom 7. Juni 2023 (B.S. vom 7. Juli 2023)]</w:t>
      </w:r>
    </w:p>
    <w:p w14:paraId="229C9B74" w14:textId="77777777" w:rsidR="00743CF5" w:rsidRPr="004676F5" w:rsidRDefault="00743CF5" w:rsidP="00743CF5">
      <w:pPr>
        <w:rPr>
          <w:lang w:val="de-DE"/>
        </w:rPr>
      </w:pPr>
    </w:p>
    <w:p w14:paraId="62BAA423" w14:textId="77777777" w:rsidR="00EE35E2" w:rsidRPr="004676F5" w:rsidRDefault="00EE35E2" w:rsidP="00EE35E2">
      <w:pPr>
        <w:jc w:val="both"/>
        <w:rPr>
          <w:lang w:val="de-DE"/>
        </w:rPr>
      </w:pPr>
    </w:p>
    <w:p w14:paraId="4DDD7E7F" w14:textId="2E10BEE2" w:rsidR="00EE35E2" w:rsidRPr="004676F5" w:rsidRDefault="00BE0A56" w:rsidP="00EE35E2">
      <w:pPr>
        <w:ind w:firstLine="708"/>
        <w:jc w:val="both"/>
        <w:rPr>
          <w:lang w:val="de-DE"/>
        </w:rPr>
      </w:pPr>
      <w:r w:rsidRPr="004676F5">
        <w:rPr>
          <w:b/>
          <w:lang w:val="de-DE"/>
        </w:rPr>
        <w:t>Art. </w:t>
      </w:r>
      <w:r w:rsidR="00EE35E2" w:rsidRPr="004676F5">
        <w:rPr>
          <w:b/>
          <w:lang w:val="de-DE"/>
        </w:rPr>
        <w:t>XX.50</w:t>
      </w:r>
      <w:r w:rsidR="00EE35E2" w:rsidRPr="004676F5">
        <w:rPr>
          <w:lang w:val="de-DE"/>
        </w:rPr>
        <w:t> </w:t>
      </w:r>
      <w:r w:rsidR="005B7A5C" w:rsidRPr="004676F5">
        <w:rPr>
          <w:lang w:val="de-DE"/>
        </w:rPr>
        <w:t>- </w:t>
      </w:r>
      <w:r w:rsidR="00EE35E2" w:rsidRPr="004676F5">
        <w:rPr>
          <w:lang w:val="de-DE"/>
        </w:rPr>
        <w:t>Während des Aufschubs kann für aufgeschobene Forderungen kein Vollstreckungsmittel in Bezug auf bewegliche oder unbewegliche Güter des Schuldners fortgesetzt oder angewandt werden.</w:t>
      </w:r>
    </w:p>
    <w:p w14:paraId="454AAB1F" w14:textId="77777777" w:rsidR="00EE35E2" w:rsidRPr="004676F5" w:rsidRDefault="00EE35E2" w:rsidP="00EE35E2">
      <w:pPr>
        <w:ind w:firstLine="708"/>
        <w:jc w:val="both"/>
        <w:rPr>
          <w:lang w:val="de-DE"/>
        </w:rPr>
      </w:pPr>
    </w:p>
    <w:p w14:paraId="5C93AE0F" w14:textId="77777777" w:rsidR="00EE35E2" w:rsidRPr="004676F5" w:rsidRDefault="00EE35E2" w:rsidP="00EE35E2">
      <w:pPr>
        <w:ind w:firstLine="708"/>
        <w:jc w:val="both"/>
        <w:rPr>
          <w:lang w:val="de-DE"/>
        </w:rPr>
      </w:pPr>
      <w:r w:rsidRPr="004676F5">
        <w:rPr>
          <w:lang w:val="de-DE"/>
        </w:rPr>
        <w:t>Während desselben Zeitraums kann gegen den Schuldner vorbehaltlich der Anmeldung durch den Schuldner selbst der Konkurs nicht eröffnet werden und kann eine juristische Person nicht gerichtlich aufgelöst werden.</w:t>
      </w:r>
    </w:p>
    <w:p w14:paraId="28896193" w14:textId="77777777" w:rsidR="00EE35E2" w:rsidRPr="004676F5" w:rsidRDefault="00EE35E2" w:rsidP="00EE35E2">
      <w:pPr>
        <w:ind w:firstLine="708"/>
        <w:jc w:val="both"/>
        <w:rPr>
          <w:lang w:val="de-DE"/>
        </w:rPr>
      </w:pPr>
    </w:p>
    <w:p w14:paraId="3970FC00" w14:textId="77777777" w:rsidR="00DF5BE5" w:rsidRPr="004676F5" w:rsidRDefault="00DF5BE5" w:rsidP="00EE35E2">
      <w:pPr>
        <w:ind w:firstLine="708"/>
        <w:jc w:val="both"/>
        <w:rPr>
          <w:lang w:val="de-DE"/>
        </w:rPr>
      </w:pPr>
    </w:p>
    <w:p w14:paraId="3E805D4C" w14:textId="27B0FEEA" w:rsidR="00EE35E2" w:rsidRPr="004676F5" w:rsidRDefault="00BE0A56" w:rsidP="00EE35E2">
      <w:pPr>
        <w:ind w:firstLine="708"/>
        <w:jc w:val="both"/>
        <w:rPr>
          <w:lang w:val="de-DE"/>
        </w:rPr>
      </w:pPr>
      <w:r w:rsidRPr="004676F5">
        <w:rPr>
          <w:b/>
          <w:lang w:val="de-DE"/>
        </w:rPr>
        <w:t>Art. </w:t>
      </w:r>
      <w:r w:rsidR="00EE35E2" w:rsidRPr="004676F5">
        <w:rPr>
          <w:b/>
          <w:lang w:val="de-DE"/>
        </w:rPr>
        <w:t>XX.51</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Während des Aufschubs kann für aufgeschobene Forderungen keine Pfändung durchgeführt werden, unbeschadet des Rechts des Gläubigers, eine gesetzliche oder vertragliche Sicherheit zu bestellen. Artikel XX.111 Nr. 3 ist auf solche Sicherheiten nicht anwendbar.</w:t>
      </w:r>
    </w:p>
    <w:p w14:paraId="5D880985" w14:textId="77777777" w:rsidR="00EE35E2" w:rsidRPr="004676F5" w:rsidRDefault="00EE35E2" w:rsidP="00EE35E2">
      <w:pPr>
        <w:ind w:firstLine="708"/>
        <w:jc w:val="both"/>
        <w:rPr>
          <w:lang w:val="de-DE"/>
        </w:rPr>
      </w:pPr>
    </w:p>
    <w:p w14:paraId="46E21626" w14:textId="08E0AF43" w:rsidR="00EE35E2" w:rsidRPr="004676F5" w:rsidRDefault="00EE35E2" w:rsidP="00EE35E2">
      <w:pPr>
        <w:ind w:firstLine="708"/>
        <w:jc w:val="both"/>
        <w:rPr>
          <w:lang w:val="de-DE"/>
        </w:rPr>
      </w:pPr>
      <w:r w:rsidRPr="004676F5">
        <w:rPr>
          <w:lang w:val="de-DE"/>
        </w:rPr>
        <w:t>Pfändungen, die bereits vorher vorgenommen wurden, behalten ihre sichernde Wirkung, das Gericht kann jedoch je nach den Umständen ihre Aufhebung gewähren, nachdem es den Bericht des beauftragten Richters angehört und den Gläubiger und den Schuldner vernommen hat, sofern durch diese Aufhebung kein bedeutender Schaden für den Gläubiger entsteht. Der Aufhebungsantrag wird per Antragschrift eingereicht</w:t>
      </w:r>
      <w:r w:rsidR="00D82EEE" w:rsidRPr="004676F5">
        <w:rPr>
          <w:lang w:val="de-DE"/>
        </w:rPr>
        <w:t>[, die im Register hinterlegt wird]</w:t>
      </w:r>
      <w:r w:rsidRPr="004676F5">
        <w:rPr>
          <w:lang w:val="de-DE"/>
        </w:rPr>
        <w:t>.</w:t>
      </w:r>
    </w:p>
    <w:p w14:paraId="6A7879AF" w14:textId="77777777" w:rsidR="00EE35E2" w:rsidRPr="004676F5" w:rsidRDefault="00EE35E2" w:rsidP="00EE35E2">
      <w:pPr>
        <w:ind w:firstLine="708"/>
        <w:jc w:val="both"/>
        <w:rPr>
          <w:lang w:val="de-DE"/>
        </w:rPr>
      </w:pPr>
    </w:p>
    <w:p w14:paraId="2AE10C29" w14:textId="08F203DD"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Liegt der für einen Zwangsverkauf von Mobilien festgelegte Tag innerhalb einer Frist von zwei Monaten ab Hinterlegung des Antrags auf gerichtliche Reorganisation und hat der Schuldner gegebenenfalls nicht von dem Recht Gebrauch gemacht, in Anwendung von Artikel XX.44 § 2 die Aussetzung zu beantragen, oder wird sein Antrag abgewiesen, können Pfändungsverkaufsverrichtungen ungeachtet des Urteils </w:t>
      </w:r>
      <w:r w:rsidR="00D82EEE" w:rsidRPr="004676F5">
        <w:rPr>
          <w:lang w:val="de-DE"/>
        </w:rPr>
        <w:t>[zur Eröffnung des Verfahrens]</w:t>
      </w:r>
      <w:r w:rsidRPr="004676F5">
        <w:rPr>
          <w:lang w:val="de-DE"/>
        </w:rPr>
        <w:t xml:space="preserve"> </w:t>
      </w:r>
      <w:r w:rsidRPr="004676F5">
        <w:rPr>
          <w:lang w:val="de-DE"/>
        </w:rPr>
        <w:lastRenderedPageBreak/>
        <w:t>fortgesetzt werden. Hat der Schuldner nicht von dem Recht Gebrauch gemacht, in Anwendung von Artikel XX.44 § 2 die Aussetzung zu beantragen, kann er die Aussetzung noch beim Gericht beantragen, das nach Anhörung des Berichts des beauftragten Richters und Vernehmung des Schuldners entscheidet. Der Antrag auf Aussetzung des Verkaufs hat keine aufschiebende Wirkung. Wird die Aussetzung des Verkaufs ausgesprochen, gehen die Kosten aus dieser Aussetzung zu Lasten des Antragstellers. Die Fristen werden gemäß den Artikeln 52 und folgende des Gerichtsgesetzbuches berechnet.</w:t>
      </w:r>
    </w:p>
    <w:p w14:paraId="169C55B7" w14:textId="77777777" w:rsidR="00EE35E2" w:rsidRPr="004676F5" w:rsidRDefault="00EE35E2" w:rsidP="00EE35E2">
      <w:pPr>
        <w:ind w:firstLine="708"/>
        <w:jc w:val="both"/>
        <w:rPr>
          <w:lang w:val="de-DE"/>
        </w:rPr>
      </w:pPr>
    </w:p>
    <w:p w14:paraId="069118A3" w14:textId="7B7A995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 xml:space="preserve">Liegt der für einen Zwangsverkauf von Immobilien festgelegte Tag innerhalb einer Frist von zwei Monaten ab Hinterlegung des Antrags auf gerichtliche Reorganisation und hat der Schuldner nicht von dem Recht Gebrauch gemacht, in Anwendung von </w:t>
      </w:r>
      <w:r w:rsidR="00D82EEE" w:rsidRPr="004676F5">
        <w:rPr>
          <w:lang w:val="de-DE"/>
        </w:rPr>
        <w:t>[</w:t>
      </w:r>
      <w:r w:rsidRPr="004676F5">
        <w:rPr>
          <w:lang w:val="de-DE"/>
        </w:rPr>
        <w:t>Artikel XX.44 § </w:t>
      </w:r>
      <w:r w:rsidR="00D82EEE" w:rsidRPr="004676F5">
        <w:rPr>
          <w:lang w:val="de-DE"/>
        </w:rPr>
        <w:t xml:space="preserve">3] </w:t>
      </w:r>
      <w:r w:rsidRPr="004676F5">
        <w:rPr>
          <w:lang w:val="de-DE"/>
        </w:rPr>
        <w:t>die Aussetzung zu beantragen, oder wird sein Antrag abgewiesen, können Pfändungsverkaufs</w:t>
      </w:r>
      <w:r w:rsidRPr="004676F5">
        <w:rPr>
          <w:lang w:val="de-DE"/>
        </w:rPr>
        <w:softHyphen/>
        <w:t xml:space="preserve">verrichtungen ungeachtet des Urteils zur Eröffnung der gerichtlichen Reorganisation fortgesetzt werden. </w:t>
      </w:r>
      <w:r w:rsidR="00D82EEE" w:rsidRPr="004676F5">
        <w:rPr>
          <w:lang w:val="de-DE"/>
        </w:rPr>
        <w:t xml:space="preserve">[Hat der Schuldner nicht von dem Recht Gebrauch gemacht, in Anwendung von Artikel XX.44 § 3 die Aussetzung zu beantragen, kann er die Aussetzung noch beim Gericht beantragen, das nach Anhörung des Berichts des beauftragten Richters und Vernehmung des Schuldners entscheidet. Der Antrag auf Aussetzung des Verkaufs hat keine aufschiebende Wirkung. Wird die Aussetzung des Verkaufs ausgesprochen, gehen die Kosten aus dieser Aussetzung zu Lasten des Antragstellers.] </w:t>
      </w:r>
      <w:r w:rsidRPr="004676F5">
        <w:rPr>
          <w:lang w:val="de-DE"/>
        </w:rPr>
        <w:t>Die Fristen werden gemäß den Artikeln 52 und folgende des Gerichtsgesetzbuches berechnet.</w:t>
      </w:r>
    </w:p>
    <w:p w14:paraId="076ADFD0" w14:textId="77777777" w:rsidR="00EE35E2" w:rsidRPr="004676F5" w:rsidRDefault="00EE35E2" w:rsidP="00EE35E2">
      <w:pPr>
        <w:rPr>
          <w:lang w:val="de-DE"/>
        </w:rPr>
      </w:pPr>
    </w:p>
    <w:p w14:paraId="2A18E3B0" w14:textId="77777777" w:rsidR="00EE35E2" w:rsidRPr="004676F5" w:rsidRDefault="00EE35E2" w:rsidP="002A3D76">
      <w:pPr>
        <w:jc w:val="both"/>
        <w:rPr>
          <w:lang w:val="de-DE"/>
        </w:rPr>
      </w:pPr>
      <w:r w:rsidRPr="004676F5">
        <w:rPr>
          <w:lang w:val="de-DE"/>
        </w:rPr>
        <w:tab/>
        <w:t>Der Notar muss jedoch die Verkaufsverrichtungen unterbrechen, wenn folgende Bedingungen kumulativ erfüllt sind:</w:t>
      </w:r>
    </w:p>
    <w:p w14:paraId="17E3A876" w14:textId="77777777" w:rsidR="00EE35E2" w:rsidRPr="004676F5" w:rsidRDefault="00EE35E2" w:rsidP="00EE35E2">
      <w:pPr>
        <w:ind w:firstLine="708"/>
        <w:jc w:val="both"/>
        <w:rPr>
          <w:lang w:val="de-DE"/>
        </w:rPr>
      </w:pPr>
    </w:p>
    <w:p w14:paraId="13C28253" w14:textId="4E455CA5" w:rsidR="00EE35E2" w:rsidRPr="004676F5" w:rsidRDefault="00EE35E2" w:rsidP="00EE35E2">
      <w:pPr>
        <w:ind w:firstLine="708"/>
        <w:jc w:val="both"/>
        <w:rPr>
          <w:lang w:val="de-DE"/>
        </w:rPr>
      </w:pPr>
      <w:r w:rsidRPr="004676F5">
        <w:rPr>
          <w:lang w:val="de-DE"/>
        </w:rPr>
        <w:t>1. </w:t>
      </w:r>
      <w:r w:rsidR="00D82EEE" w:rsidRPr="004676F5">
        <w:rPr>
          <w:lang w:val="de-DE"/>
        </w:rPr>
        <w:t xml:space="preserve">[Auf ausdrücklichen Antrag des Schuldners in seiner Antragschrift spricht das Gericht vor oder gleichzeitig mit der Entscheidung zur Eröffnung des Verfahrens die Aussetzung der Zwangsverkaufsverrichtungen aus, nachdem es den Bericht des beauftragten Richters angehört und </w:t>
      </w:r>
      <w:r w:rsidR="00185371" w:rsidRPr="004676F5">
        <w:rPr>
          <w:lang w:val="de-DE"/>
        </w:rPr>
        <w:t>[eingetragene Hypothekengläubiger, eingetragene bevorrechtigte Gläubiger, gegebenenfalls im Pfandregister registrierte Gläubiger, den pfändenden Gläubiger und Gläubiger, die einen Randvermerk einer aufgrund von Artikel 5.243 des Zivilgesetzbuches erhobenen Klage haben machen lassen, sowie den Schuldner]</w:t>
      </w:r>
      <w:r w:rsidR="00D82EEE" w:rsidRPr="004676F5">
        <w:rPr>
          <w:lang w:val="de-DE"/>
        </w:rPr>
        <w:t xml:space="preserve"> vernommen hat. Der Antrag auf Aussetzung des Verkaufs hat keine aufschiebende Wirkung. Vom Notar im Rahmen des Zwangsverkaufs zwischen seiner Bestellung und der Hinterlegung der Antragschrift tatsächlich verauslagte Kosten gehen zu Lasten des Schuldners.]</w:t>
      </w:r>
    </w:p>
    <w:p w14:paraId="280E5A42" w14:textId="77777777" w:rsidR="00EE35E2" w:rsidRPr="004676F5" w:rsidRDefault="00EE35E2" w:rsidP="00EE35E2">
      <w:pPr>
        <w:ind w:firstLine="708"/>
        <w:jc w:val="both"/>
        <w:rPr>
          <w:lang w:val="de-DE"/>
        </w:rPr>
      </w:pPr>
    </w:p>
    <w:p w14:paraId="49A960FB" w14:textId="77777777" w:rsidR="00EE35E2" w:rsidRPr="004676F5" w:rsidRDefault="00EE35E2" w:rsidP="00EE35E2">
      <w:pPr>
        <w:ind w:firstLine="708"/>
        <w:jc w:val="both"/>
        <w:rPr>
          <w:lang w:val="de-DE"/>
        </w:rPr>
      </w:pPr>
      <w:r w:rsidRPr="004676F5">
        <w:rPr>
          <w:lang w:val="de-DE"/>
        </w:rPr>
        <w:t>2. Ein Betrag in Höhe dieser Kosten wird in der Amtsstube eines Gerichtsvollziehers entrichtet.</w:t>
      </w:r>
    </w:p>
    <w:p w14:paraId="01FA5035" w14:textId="77777777" w:rsidR="00EE35E2" w:rsidRPr="004676F5" w:rsidRDefault="00EE35E2" w:rsidP="00EE35E2">
      <w:pPr>
        <w:ind w:firstLine="708"/>
        <w:jc w:val="both"/>
        <w:rPr>
          <w:lang w:val="de-DE"/>
        </w:rPr>
      </w:pPr>
    </w:p>
    <w:p w14:paraId="7AE3BE9E" w14:textId="77777777" w:rsidR="00EE35E2" w:rsidRPr="004676F5" w:rsidRDefault="00EE35E2" w:rsidP="00EE35E2">
      <w:pPr>
        <w:ind w:firstLine="708"/>
        <w:jc w:val="both"/>
        <w:rPr>
          <w:lang w:val="de-DE"/>
        </w:rPr>
      </w:pPr>
      <w:r w:rsidRPr="004676F5">
        <w:rPr>
          <w:lang w:val="de-DE"/>
        </w:rPr>
        <w:t>3. Der Gerichtsvollzieher setzt den Notar unverzüglich per Gerichtsvollzieherurkunde davon in Kenntnis.</w:t>
      </w:r>
    </w:p>
    <w:p w14:paraId="0E14AA8A" w14:textId="77777777" w:rsidR="00EE35E2" w:rsidRPr="004676F5" w:rsidRDefault="00EE35E2" w:rsidP="00EE35E2">
      <w:pPr>
        <w:ind w:firstLine="708"/>
        <w:jc w:val="both"/>
        <w:rPr>
          <w:lang w:val="de-DE"/>
        </w:rPr>
      </w:pPr>
    </w:p>
    <w:p w14:paraId="49DF3358" w14:textId="77777777" w:rsidR="00EE35E2" w:rsidRPr="004676F5" w:rsidRDefault="00EE35E2" w:rsidP="00EE35E2">
      <w:pPr>
        <w:ind w:firstLine="708"/>
        <w:jc w:val="both"/>
        <w:rPr>
          <w:lang w:val="de-DE"/>
        </w:rPr>
      </w:pPr>
      <w:r w:rsidRPr="004676F5">
        <w:rPr>
          <w:lang w:val="de-DE"/>
        </w:rPr>
        <w:t>Diese Bedingungen müssen mindestens drei Werktage vor dem für den Zwangsverkauf festgelegten Tag erfüllt sein.</w:t>
      </w:r>
    </w:p>
    <w:p w14:paraId="12C18E30" w14:textId="77777777" w:rsidR="00EE35E2" w:rsidRPr="004676F5" w:rsidRDefault="00EE35E2" w:rsidP="00EE35E2">
      <w:pPr>
        <w:ind w:firstLine="708"/>
        <w:jc w:val="both"/>
        <w:rPr>
          <w:lang w:val="de-DE"/>
        </w:rPr>
      </w:pPr>
    </w:p>
    <w:p w14:paraId="26788B66" w14:textId="6B88A588" w:rsidR="00EE35E2" w:rsidRPr="004676F5" w:rsidRDefault="00EE35E2" w:rsidP="00EE35E2">
      <w:pPr>
        <w:ind w:firstLine="708"/>
        <w:jc w:val="both"/>
        <w:rPr>
          <w:lang w:val="de-DE"/>
        </w:rPr>
      </w:pPr>
      <w:r w:rsidRPr="004676F5">
        <w:rPr>
          <w:lang w:val="de-DE"/>
        </w:rPr>
        <w:t xml:space="preserve">Der Gerichtsvollzieher leitet den bei ihm entrichteten Betrag innerhalb fünfzehn Tagen ab Eingang an den Notar weiter. Dieser Betrag wird für die Bezahlung </w:t>
      </w:r>
      <w:r w:rsidR="002A3D76" w:rsidRPr="004676F5">
        <w:rPr>
          <w:lang w:val="de-DE"/>
        </w:rPr>
        <w:t>[dies</w:t>
      </w:r>
      <w:r w:rsidRPr="004676F5">
        <w:rPr>
          <w:lang w:val="de-DE"/>
        </w:rPr>
        <w:t>er Kosten</w:t>
      </w:r>
      <w:r w:rsidR="002A3D76" w:rsidRPr="004676F5">
        <w:rPr>
          <w:lang w:val="de-DE"/>
        </w:rPr>
        <w:t>]</w:t>
      </w:r>
      <w:r w:rsidRPr="004676F5">
        <w:rPr>
          <w:lang w:val="de-DE"/>
        </w:rPr>
        <w:t xml:space="preserve"> verwendet.</w:t>
      </w:r>
    </w:p>
    <w:p w14:paraId="7988983A" w14:textId="77777777" w:rsidR="00EE35E2" w:rsidRPr="004676F5" w:rsidRDefault="00EE35E2" w:rsidP="00EE35E2">
      <w:pPr>
        <w:ind w:firstLine="708"/>
        <w:jc w:val="both"/>
        <w:rPr>
          <w:lang w:val="de-DE"/>
        </w:rPr>
      </w:pPr>
    </w:p>
    <w:p w14:paraId="0844D08D" w14:textId="0662E206"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Bei Pfändung gegen mehrere Schuldner, von denen einer einen Antrag auf gerichtliche Reorganisation hinterlegt hat, wird </w:t>
      </w:r>
      <w:r w:rsidR="002A3D76" w:rsidRPr="004676F5">
        <w:rPr>
          <w:lang w:val="de-DE"/>
        </w:rPr>
        <w:t>[</w:t>
      </w:r>
      <w:r w:rsidRPr="004676F5">
        <w:rPr>
          <w:lang w:val="de-DE"/>
        </w:rPr>
        <w:t>unbeschadet der Paragraphen </w:t>
      </w:r>
      <w:r w:rsidR="002A3D76" w:rsidRPr="004676F5">
        <w:rPr>
          <w:lang w:val="de-DE"/>
        </w:rPr>
        <w:t>1 bis</w:t>
      </w:r>
      <w:r w:rsidRPr="004676F5">
        <w:rPr>
          <w:lang w:val="de-DE"/>
        </w:rPr>
        <w:t xml:space="preserve"> 3</w:t>
      </w:r>
      <w:r w:rsidR="002A3D76" w:rsidRPr="004676F5">
        <w:rPr>
          <w:lang w:val="de-DE"/>
        </w:rPr>
        <w:t>]</w:t>
      </w:r>
      <w:r w:rsidRPr="004676F5">
        <w:rPr>
          <w:lang w:val="de-DE"/>
        </w:rPr>
        <w:t xml:space="preserve"> der </w:t>
      </w:r>
      <w:r w:rsidRPr="004676F5">
        <w:rPr>
          <w:lang w:val="de-DE"/>
        </w:rPr>
        <w:lastRenderedPageBreak/>
        <w:t>Zwangsverkauf von Mobilien oder Immobilien gemäß den Regeln für Mobiliarpfändung beziehungsweise Immobiliarpfändung fortgesetzt. Bei Verkauf infolge Immobiliarvoll</w:t>
      </w:r>
      <w:r w:rsidRPr="004676F5">
        <w:rPr>
          <w:lang w:val="de-DE"/>
        </w:rPr>
        <w:softHyphen/>
        <w:t>streckungs</w:t>
      </w:r>
      <w:r w:rsidRPr="004676F5">
        <w:rPr>
          <w:lang w:val="de-DE"/>
        </w:rPr>
        <w:softHyphen/>
        <w:t xml:space="preserve">pfändung überweist der Notar nach Bezahlung der Hypothekengläubiger und der besonders bevorrechtigten Gläubiger den Restbetrag des Verkaufspreises, der dem Schuldner zukommt, diesem Schuldner oder </w:t>
      </w:r>
      <w:r w:rsidR="005B7A5C" w:rsidRPr="004676F5">
        <w:rPr>
          <w:lang w:val="de-DE"/>
        </w:rPr>
        <w:t>- </w:t>
      </w:r>
      <w:r w:rsidRPr="004676F5">
        <w:rPr>
          <w:lang w:val="de-DE"/>
        </w:rPr>
        <w:t>bei Eröffnung eines Verfahrens der Übertragung unter der Autorität des Gerichts </w:t>
      </w:r>
      <w:r w:rsidR="005B7A5C" w:rsidRPr="004676F5">
        <w:rPr>
          <w:lang w:val="de-DE"/>
        </w:rPr>
        <w:t>- </w:t>
      </w:r>
      <w:r w:rsidRPr="004676F5">
        <w:rPr>
          <w:lang w:val="de-DE"/>
        </w:rPr>
        <w:t xml:space="preserve">an </w:t>
      </w:r>
      <w:r w:rsidR="00D82EEE" w:rsidRPr="004676F5">
        <w:rPr>
          <w:lang w:val="de-DE"/>
        </w:rPr>
        <w:t>[den Liquidationsbearbeiter]</w:t>
      </w:r>
      <w:r w:rsidRPr="004676F5">
        <w:rPr>
          <w:lang w:val="de-DE"/>
        </w:rPr>
        <w:t>. Diese Zahlung hat dieselbe befreiende Wirkung wie Zahlungen, die ein Ersteigerer gemäß Artikel 1641 des Gerichtsgesetz</w:t>
      </w:r>
      <w:r w:rsidRPr="004676F5">
        <w:rPr>
          <w:lang w:val="de-DE"/>
        </w:rPr>
        <w:softHyphen/>
        <w:t>buches vornimmt.</w:t>
      </w:r>
    </w:p>
    <w:p w14:paraId="53015EDA" w14:textId="77777777" w:rsidR="00EE35E2" w:rsidRPr="004676F5" w:rsidRDefault="00EE35E2" w:rsidP="00EE35E2">
      <w:pPr>
        <w:ind w:firstLine="708"/>
        <w:jc w:val="both"/>
        <w:rPr>
          <w:lang w:val="de-DE"/>
        </w:rPr>
      </w:pPr>
    </w:p>
    <w:p w14:paraId="76A0C2C9" w14:textId="1C13D107"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 xml:space="preserve">In allen Fällen muss der Schuldner unverzüglich den Notar oder Gerichtsvollzieher, der mit dem Verkauf des Gutes beauftragt ist, von der Hinterlegung der </w:t>
      </w:r>
      <w:r w:rsidR="00D82EEE" w:rsidRPr="004676F5">
        <w:rPr>
          <w:lang w:val="de-DE"/>
        </w:rPr>
        <w:t>[in den Paragraphen 2 oder 3]</w:t>
      </w:r>
      <w:r w:rsidRPr="004676F5">
        <w:rPr>
          <w:lang w:val="de-DE"/>
        </w:rPr>
        <w:t xml:space="preserve"> erwähnten Antragschrift in Kenntnis setzen. Wird durch diese Antragschrift eine Aussetzung des Verkaufs beantragt, muss der Schuldner gleichzeitig den Notar davon in Kenntnis setzen.</w:t>
      </w:r>
    </w:p>
    <w:p w14:paraId="5493CC84" w14:textId="4519BC4B" w:rsidR="002A3D76" w:rsidRPr="004676F5" w:rsidRDefault="002A3D76" w:rsidP="00EE35E2">
      <w:pPr>
        <w:ind w:firstLine="708"/>
        <w:jc w:val="both"/>
        <w:rPr>
          <w:lang w:val="de-DE"/>
        </w:rPr>
      </w:pPr>
    </w:p>
    <w:p w14:paraId="07596902" w14:textId="0FB8BBE2" w:rsidR="002A3D76" w:rsidRPr="004676F5" w:rsidRDefault="002A3D76" w:rsidP="002A3D76">
      <w:pPr>
        <w:jc w:val="both"/>
        <w:rPr>
          <w:i/>
          <w:lang w:val="de-DE"/>
        </w:rPr>
      </w:pPr>
      <w:r w:rsidRPr="004676F5">
        <w:rPr>
          <w:i/>
          <w:lang w:val="de-DE"/>
        </w:rPr>
        <w:t xml:space="preserve">[Art. XX.51 </w:t>
      </w:r>
      <w:r w:rsidR="00D82EEE" w:rsidRPr="004676F5">
        <w:rPr>
          <w:i/>
          <w:lang w:val="de-DE"/>
        </w:rPr>
        <w:t xml:space="preserve">§ 1 </w:t>
      </w:r>
      <w:r w:rsidR="00C87C7B" w:rsidRPr="004676F5">
        <w:rPr>
          <w:i/>
          <w:lang w:val="de-DE"/>
        </w:rPr>
        <w:t xml:space="preserve">Abs. 2 </w:t>
      </w:r>
      <w:r w:rsidR="00D82EEE" w:rsidRPr="004676F5">
        <w:rPr>
          <w:i/>
          <w:lang w:val="de-DE"/>
        </w:rPr>
        <w:t>abgeändert durch Art. 74 Nr. 1</w:t>
      </w:r>
      <w:r w:rsidR="00D82EEE" w:rsidRPr="004676F5">
        <w:rPr>
          <w:i/>
          <w:iCs/>
          <w:lang w:val="de-DE"/>
        </w:rPr>
        <w:t xml:space="preserve"> des G. vom 7. Juni 2023 (B.S. vom 7. Juli 2023); § 2 abgeändert durch Art. 74 Nr. 2 des G. vom 7. Juni 2023 (B.S. vom 7. Juli 2023); § 3 Abs. 1 abgeändert durch Art. 74 Nr. 3 und 4 des G. vom 7. Juni 2023 (B.S. vom 7. Juli 2023); </w:t>
      </w:r>
      <w:r w:rsidRPr="004676F5">
        <w:rPr>
          <w:i/>
          <w:lang w:val="de-DE"/>
        </w:rPr>
        <w:t xml:space="preserve">§ 3 Abs. 2 Nr. 1 </w:t>
      </w:r>
      <w:r w:rsidR="00D82EEE" w:rsidRPr="004676F5">
        <w:rPr>
          <w:i/>
          <w:lang w:val="de-DE"/>
        </w:rPr>
        <w:t>ersetzt durch Art. 74 Nr. 5</w:t>
      </w:r>
      <w:r w:rsidR="00D82EEE" w:rsidRPr="004676F5">
        <w:rPr>
          <w:i/>
          <w:iCs/>
          <w:lang w:val="de-DE"/>
        </w:rPr>
        <w:t xml:space="preserve"> des G. vom 7. Juni 2023 (B.S. vom 7. Juli 2023)</w:t>
      </w:r>
      <w:r w:rsidR="00185371" w:rsidRPr="004676F5">
        <w:rPr>
          <w:i/>
          <w:iCs/>
          <w:lang w:val="de-DE"/>
        </w:rPr>
        <w:t xml:space="preserve"> und abgeändert durch Art. 78 des G. vom 19. Dezember 2023 (B.S. vom 27. Dezember 2023)</w:t>
      </w:r>
      <w:r w:rsidRPr="004676F5">
        <w:rPr>
          <w:i/>
          <w:lang w:val="de-DE"/>
        </w:rPr>
        <w:t>; § 3 Abs. 4 abgeändert durch Art. 225 Buchstabe b) des G. vom 15. April 2018 (B.S. vom 27. April 2018); § 4 abgeändert durch Art. 225 Buchstabe c) des G. vom 15. April 2018 (B.S. vom 27. April 2018)</w:t>
      </w:r>
      <w:r w:rsidR="00D82EEE" w:rsidRPr="004676F5">
        <w:rPr>
          <w:i/>
          <w:lang w:val="de-DE"/>
        </w:rPr>
        <w:t xml:space="preserve"> und Art. 74 Nr. 6</w:t>
      </w:r>
      <w:r w:rsidR="00D82EEE" w:rsidRPr="004676F5">
        <w:rPr>
          <w:i/>
          <w:iCs/>
          <w:lang w:val="de-DE"/>
        </w:rPr>
        <w:t xml:space="preserve"> des G. vom 7. Juni 2023 (B.S. vom 7. Juli 2023); § 5 abgeändert durch Art. 74 Nr. 7 des G. vom 7. Juni 2023 (B.S. vom 7. Juli 2023)</w:t>
      </w:r>
      <w:r w:rsidRPr="004676F5">
        <w:rPr>
          <w:i/>
          <w:lang w:val="de-DE"/>
        </w:rPr>
        <w:t>]</w:t>
      </w:r>
    </w:p>
    <w:p w14:paraId="105D80F3" w14:textId="77777777" w:rsidR="00EE35E2" w:rsidRPr="004676F5" w:rsidRDefault="00EE35E2" w:rsidP="00EE35E2">
      <w:pPr>
        <w:ind w:firstLine="708"/>
        <w:jc w:val="both"/>
        <w:rPr>
          <w:lang w:val="de-DE"/>
        </w:rPr>
      </w:pPr>
    </w:p>
    <w:p w14:paraId="6E289B5A" w14:textId="77777777" w:rsidR="00DF5BE5" w:rsidRPr="004676F5" w:rsidRDefault="00DF5BE5" w:rsidP="00EE35E2">
      <w:pPr>
        <w:ind w:firstLine="708"/>
        <w:jc w:val="both"/>
        <w:rPr>
          <w:lang w:val="de-DE"/>
        </w:rPr>
      </w:pPr>
    </w:p>
    <w:p w14:paraId="26DCCAED" w14:textId="646E8183" w:rsidR="00EE35E2" w:rsidRPr="004676F5" w:rsidRDefault="00BE0A56" w:rsidP="00EE35E2">
      <w:pPr>
        <w:ind w:firstLine="708"/>
        <w:jc w:val="both"/>
        <w:rPr>
          <w:lang w:val="de-DE"/>
        </w:rPr>
      </w:pPr>
      <w:r w:rsidRPr="004676F5">
        <w:rPr>
          <w:b/>
          <w:lang w:val="de-DE"/>
        </w:rPr>
        <w:t>Art. </w:t>
      </w:r>
      <w:r w:rsidR="00EE35E2" w:rsidRPr="004676F5">
        <w:rPr>
          <w:b/>
          <w:lang w:val="de-DE"/>
        </w:rPr>
        <w:t>XX.52</w:t>
      </w:r>
      <w:r w:rsidR="00EE35E2" w:rsidRPr="004676F5">
        <w:rPr>
          <w:lang w:val="de-DE"/>
        </w:rPr>
        <w:t> </w:t>
      </w:r>
      <w:r w:rsidR="005B7A5C" w:rsidRPr="004676F5">
        <w:rPr>
          <w:lang w:val="de-DE"/>
        </w:rPr>
        <w:t>- </w:t>
      </w:r>
      <w:r w:rsidR="00EE35E2" w:rsidRPr="004676F5">
        <w:rPr>
          <w:lang w:val="de-DE"/>
        </w:rPr>
        <w:t>Der Aufschub hat keine Auswirkung auf ein Pfand, das spezifisch für Forderungen bestellt wurde. Ein Pfand auf einen Geschäftsfonds, einen Landwirtschaftsbetrieb oder ein Gesamtvermögen, der/das Forderungen umfasst, stellt kein spezifisch für Forderungen bestelltes Pfand dar.</w:t>
      </w:r>
    </w:p>
    <w:p w14:paraId="7F61AA0E" w14:textId="77777777" w:rsidR="00EE35E2" w:rsidRPr="004676F5" w:rsidRDefault="00EE35E2" w:rsidP="00EE35E2">
      <w:pPr>
        <w:ind w:firstLine="708"/>
        <w:jc w:val="both"/>
        <w:rPr>
          <w:lang w:val="de-DE"/>
        </w:rPr>
      </w:pPr>
    </w:p>
    <w:p w14:paraId="60C5D19F" w14:textId="77777777" w:rsidR="00DF5BE5" w:rsidRPr="004676F5" w:rsidRDefault="00DF5BE5" w:rsidP="00EE35E2">
      <w:pPr>
        <w:ind w:firstLine="708"/>
        <w:jc w:val="both"/>
        <w:rPr>
          <w:lang w:val="de-DE"/>
        </w:rPr>
      </w:pPr>
    </w:p>
    <w:p w14:paraId="2007A864" w14:textId="23849254" w:rsidR="00EE35E2" w:rsidRPr="004676F5" w:rsidRDefault="00BE0A56" w:rsidP="00EE35E2">
      <w:pPr>
        <w:ind w:firstLine="708"/>
        <w:jc w:val="both"/>
        <w:rPr>
          <w:lang w:val="de-DE"/>
        </w:rPr>
      </w:pPr>
      <w:r w:rsidRPr="004676F5">
        <w:rPr>
          <w:b/>
          <w:lang w:val="de-DE"/>
        </w:rPr>
        <w:t>Art. </w:t>
      </w:r>
      <w:r w:rsidR="00EE35E2" w:rsidRPr="004676F5">
        <w:rPr>
          <w:b/>
          <w:lang w:val="de-DE"/>
        </w:rPr>
        <w:t>XX.53</w:t>
      </w:r>
      <w:r w:rsidR="00EE35E2" w:rsidRPr="004676F5">
        <w:rPr>
          <w:lang w:val="de-DE"/>
        </w:rPr>
        <w:t> </w:t>
      </w:r>
      <w:r w:rsidR="005B7A5C" w:rsidRPr="004676F5">
        <w:rPr>
          <w:lang w:val="de-DE"/>
        </w:rPr>
        <w:t>- </w:t>
      </w:r>
      <w:r w:rsidR="00EE35E2" w:rsidRPr="004676F5">
        <w:rPr>
          <w:lang w:val="de-DE"/>
        </w:rPr>
        <w:t xml:space="preserve">Der Aufschub steht der freiwilligen Begleichung aufgeschobener Forderungen durch den Schuldner </w:t>
      </w:r>
      <w:r w:rsidR="00D82EEE" w:rsidRPr="004676F5">
        <w:rPr>
          <w:lang w:val="de-DE"/>
        </w:rPr>
        <w:t xml:space="preserve">[im Rahmen eines Verfahrens der gerichtlichen Reorganisation] </w:t>
      </w:r>
      <w:r w:rsidR="00EE35E2" w:rsidRPr="004676F5">
        <w:rPr>
          <w:lang w:val="de-DE"/>
        </w:rPr>
        <w:t>nicht im Wege, insofern diese Begleichung für den Fortbestand des Unternehmens erforderlich ist.</w:t>
      </w:r>
    </w:p>
    <w:p w14:paraId="60D3BFD2" w14:textId="77777777" w:rsidR="00EE35E2" w:rsidRPr="004676F5" w:rsidRDefault="00EE35E2" w:rsidP="00EE35E2">
      <w:pPr>
        <w:ind w:firstLine="708"/>
        <w:jc w:val="both"/>
        <w:rPr>
          <w:lang w:val="de-DE"/>
        </w:rPr>
      </w:pPr>
    </w:p>
    <w:p w14:paraId="3672BDAC" w14:textId="77777777" w:rsidR="00EE35E2" w:rsidRPr="004676F5" w:rsidRDefault="00EE35E2" w:rsidP="00EE35E2">
      <w:pPr>
        <w:ind w:firstLine="708"/>
        <w:jc w:val="both"/>
        <w:rPr>
          <w:lang w:val="de-DE"/>
        </w:rPr>
      </w:pPr>
      <w:r w:rsidRPr="004676F5">
        <w:rPr>
          <w:lang w:val="de-DE"/>
        </w:rPr>
        <w:t>Die Artikel XX.111 Nr. 2 und XX.112 sind nicht auf Zahlungen anwendbar, die während des Aufschubzeitraums getätigt werden.</w:t>
      </w:r>
    </w:p>
    <w:p w14:paraId="6AE335EA" w14:textId="77777777" w:rsidR="00EE35E2" w:rsidRPr="004676F5" w:rsidRDefault="00EE35E2" w:rsidP="00EE35E2">
      <w:pPr>
        <w:ind w:firstLine="708"/>
        <w:jc w:val="both"/>
        <w:rPr>
          <w:lang w:val="de-DE"/>
        </w:rPr>
      </w:pPr>
    </w:p>
    <w:p w14:paraId="29984852" w14:textId="77777777" w:rsidR="00EE35E2" w:rsidRPr="004676F5" w:rsidRDefault="00EE35E2" w:rsidP="00EE35E2">
      <w:pPr>
        <w:ind w:firstLine="708"/>
        <w:jc w:val="both"/>
        <w:rPr>
          <w:lang w:val="de-DE"/>
        </w:rPr>
      </w:pPr>
      <w:r w:rsidRPr="004676F5">
        <w:rPr>
          <w:lang w:val="de-DE"/>
        </w:rPr>
        <w:t>In den Vorschriften über öffentliche Aufträge werden aufgeschobene Forderungen hinsicht</w:t>
      </w:r>
      <w:r w:rsidRPr="004676F5">
        <w:rPr>
          <w:lang w:val="de-DE"/>
        </w:rPr>
        <w:softHyphen/>
        <w:t>lich der Bestimmung, ob der Schuldner die Modalitäten der Begleichung der betreffenden Forderungen einhält, nicht berücksichtigt. Diese Forderungen werden vom Landesamt für sozia</w:t>
      </w:r>
      <w:r w:rsidRPr="004676F5">
        <w:rPr>
          <w:lang w:val="de-DE"/>
        </w:rPr>
        <w:softHyphen/>
        <w:t>le Sicherheit oder von der Steuerverwaltung in Bescheinigungen, die sie ausstellen, nicht erwähnt.</w:t>
      </w:r>
    </w:p>
    <w:p w14:paraId="521B446F" w14:textId="77777777" w:rsidR="00EE35E2" w:rsidRPr="004676F5" w:rsidRDefault="00EE35E2" w:rsidP="00EE35E2">
      <w:pPr>
        <w:ind w:firstLine="708"/>
        <w:jc w:val="both"/>
        <w:rPr>
          <w:lang w:val="de-DE"/>
        </w:rPr>
      </w:pPr>
    </w:p>
    <w:p w14:paraId="7B1D3D92" w14:textId="7442444C" w:rsidR="00EE35E2" w:rsidRPr="004676F5" w:rsidRDefault="00EE35E2" w:rsidP="00EE35E2">
      <w:pPr>
        <w:ind w:firstLine="708"/>
        <w:jc w:val="both"/>
        <w:rPr>
          <w:lang w:val="de-DE"/>
        </w:rPr>
      </w:pPr>
      <w:r w:rsidRPr="004676F5">
        <w:rPr>
          <w:lang w:val="de-DE"/>
        </w:rPr>
        <w:t xml:space="preserve">Die in Artikel 1798 </w:t>
      </w:r>
      <w:r w:rsidR="00D82EEE" w:rsidRPr="004676F5">
        <w:rPr>
          <w:lang w:val="de-DE"/>
        </w:rPr>
        <w:t>[</w:t>
      </w:r>
      <w:r w:rsidRPr="004676F5">
        <w:rPr>
          <w:lang w:val="de-DE"/>
        </w:rPr>
        <w:t xml:space="preserve">des </w:t>
      </w:r>
      <w:r w:rsidR="00D82EEE" w:rsidRPr="004676F5">
        <w:rPr>
          <w:lang w:val="de-DE"/>
        </w:rPr>
        <w:t xml:space="preserve">früheren </w:t>
      </w:r>
      <w:r w:rsidRPr="004676F5">
        <w:rPr>
          <w:lang w:val="de-DE"/>
        </w:rPr>
        <w:t>Zivilgesetzbuches</w:t>
      </w:r>
      <w:r w:rsidR="00D82EEE" w:rsidRPr="004676F5">
        <w:rPr>
          <w:lang w:val="de-DE"/>
        </w:rPr>
        <w:t>]</w:t>
      </w:r>
      <w:r w:rsidRPr="004676F5">
        <w:rPr>
          <w:lang w:val="de-DE"/>
        </w:rPr>
        <w:t xml:space="preserve"> erwähnte Direktklage wird weder durch das Urteil, mit dem die gerichtliche Reorganisation des Unternehmers für eröffnet erklärt </w:t>
      </w:r>
      <w:r w:rsidRPr="004676F5">
        <w:rPr>
          <w:lang w:val="de-DE"/>
        </w:rPr>
        <w:lastRenderedPageBreak/>
        <w:t>wird, noch durch spätere Entscheidungen, die das Gericht im Laufe der gerichtlichen Reorganisation oder in Anwendung von Artikel XX.84 § 2 trifft, beeinträchtigt.</w:t>
      </w:r>
    </w:p>
    <w:p w14:paraId="2BD015C8" w14:textId="77777777" w:rsidR="00EE35E2" w:rsidRPr="004676F5" w:rsidRDefault="00EE35E2" w:rsidP="00D82EEE">
      <w:pPr>
        <w:jc w:val="both"/>
        <w:rPr>
          <w:lang w:val="de-DE"/>
        </w:rPr>
      </w:pPr>
    </w:p>
    <w:p w14:paraId="7E71A0DC" w14:textId="130C787E" w:rsidR="00D82EEE" w:rsidRPr="004676F5" w:rsidRDefault="00D82EEE" w:rsidP="00D82EEE">
      <w:pPr>
        <w:jc w:val="both"/>
        <w:rPr>
          <w:i/>
          <w:iCs/>
          <w:lang w:val="de-DE"/>
        </w:rPr>
      </w:pPr>
      <w:r w:rsidRPr="004676F5">
        <w:rPr>
          <w:i/>
          <w:iCs/>
          <w:lang w:val="de-DE"/>
        </w:rPr>
        <w:t xml:space="preserve">[Art. XX.53 Abs. 1 abgeändert durch Art. 75 Nr. 1 des G. vom 7. Juni 2023 (B.S. vom 7. Juli 2023); Abs. 4 abgeändert durch Art. 75 </w:t>
      </w:r>
      <w:r w:rsidR="00E62E8E" w:rsidRPr="004676F5">
        <w:rPr>
          <w:i/>
          <w:iCs/>
          <w:lang w:val="de-DE"/>
        </w:rPr>
        <w:t>Nr.</w:t>
      </w:r>
      <w:r w:rsidRPr="004676F5">
        <w:rPr>
          <w:i/>
          <w:iCs/>
          <w:lang w:val="de-DE"/>
        </w:rPr>
        <w:t> 2 des G. vom 7. Juni 2023 (B.S. vom 7. Juli 2023)]</w:t>
      </w:r>
    </w:p>
    <w:p w14:paraId="615C5663" w14:textId="77777777" w:rsidR="00D82EEE" w:rsidRPr="004676F5" w:rsidRDefault="00D82EEE" w:rsidP="00D82EEE">
      <w:pPr>
        <w:jc w:val="both"/>
        <w:rPr>
          <w:i/>
          <w:iCs/>
          <w:lang w:val="de-DE"/>
        </w:rPr>
      </w:pPr>
    </w:p>
    <w:p w14:paraId="68E06A5A" w14:textId="77777777" w:rsidR="00DF5BE5" w:rsidRPr="004676F5" w:rsidRDefault="00DF5BE5" w:rsidP="00EE35E2">
      <w:pPr>
        <w:ind w:firstLine="708"/>
        <w:jc w:val="both"/>
        <w:rPr>
          <w:lang w:val="de-DE"/>
        </w:rPr>
      </w:pPr>
    </w:p>
    <w:p w14:paraId="045CF097" w14:textId="72A9E9B9" w:rsidR="00EE35E2" w:rsidRPr="004676F5" w:rsidRDefault="00BE0A56" w:rsidP="00EE35E2">
      <w:pPr>
        <w:ind w:firstLine="708"/>
        <w:jc w:val="both"/>
        <w:rPr>
          <w:lang w:val="de-DE"/>
        </w:rPr>
      </w:pPr>
      <w:r w:rsidRPr="004676F5">
        <w:rPr>
          <w:b/>
          <w:lang w:val="de-DE"/>
        </w:rPr>
        <w:t>Art. </w:t>
      </w:r>
      <w:r w:rsidR="00EE35E2" w:rsidRPr="004676F5">
        <w:rPr>
          <w:b/>
          <w:lang w:val="de-DE"/>
        </w:rPr>
        <w:t>XX.54</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Der Aufschub kommt dem Ehepartner oder Ex-Ehepartner des Schuldners oder der mit dem Schuldner gesetzlich zusammenwohnenden oder zuvor mit dem Schuldner gesetzlich zusammenwohnenden Person zugute, die für die vertraglichen Schulden des Schuldners im Zusammenhang mit seiner beruflichen Tätigkeit persönlich mithaften. Der Aufschub kann ihnen nicht zugutekommen für eigene oder gemeinsame Schulden aus Verträgen, die sie abgeschlossen haben, ob zusammen mit dem Schuldner oder nicht, und die der beruflichen Tätigkeit des Schuldners fremd sind.</w:t>
      </w:r>
    </w:p>
    <w:p w14:paraId="7C8687ED" w14:textId="77777777" w:rsidR="00EE35E2" w:rsidRPr="004676F5" w:rsidRDefault="00EE35E2" w:rsidP="00EE35E2">
      <w:pPr>
        <w:ind w:firstLine="708"/>
        <w:jc w:val="both"/>
        <w:rPr>
          <w:lang w:val="de-DE"/>
        </w:rPr>
      </w:pPr>
    </w:p>
    <w:p w14:paraId="50197C58" w14:textId="29544E19" w:rsidR="00EE35E2" w:rsidRPr="004676F5" w:rsidRDefault="00EE35E2" w:rsidP="00EE35E2">
      <w:pPr>
        <w:ind w:firstLine="708"/>
        <w:jc w:val="both"/>
        <w:rPr>
          <w:lang w:val="de-DE"/>
        </w:rPr>
      </w:pPr>
      <w:r w:rsidRPr="004676F5">
        <w:rPr>
          <w:lang w:val="de-DE"/>
        </w:rPr>
        <w:t xml:space="preserve">Dieser Schutz kann nicht dem gesetzlich Zusammenwohnenden zugutekommen, dessen Erklärung über das gesetzliche Zusammenwohnen in den sechs Monaten vor Einreichung der in Artikel XX.41 § 1 erwähnten Antragschrift zur Einleitung eines Verfahrens der gerichtlichen Reorganisation </w:t>
      </w:r>
      <w:r w:rsidR="00E62E8E" w:rsidRPr="004676F5">
        <w:rPr>
          <w:lang w:val="de-DE"/>
        </w:rPr>
        <w:t xml:space="preserve">[oder der Übertragung unter der Autorität des Gerichts] </w:t>
      </w:r>
      <w:r w:rsidRPr="004676F5">
        <w:rPr>
          <w:lang w:val="de-DE"/>
        </w:rPr>
        <w:t>abgegeben wurde.</w:t>
      </w:r>
    </w:p>
    <w:p w14:paraId="7CC40F83" w14:textId="77777777" w:rsidR="00EE35E2" w:rsidRPr="004676F5" w:rsidRDefault="00EE35E2" w:rsidP="00EE35E2">
      <w:pPr>
        <w:ind w:firstLine="708"/>
        <w:jc w:val="both"/>
        <w:rPr>
          <w:lang w:val="de-DE"/>
        </w:rPr>
      </w:pPr>
    </w:p>
    <w:p w14:paraId="089402BD" w14:textId="22108B43"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Unbeschadet der Artikel 2043</w:t>
      </w:r>
      <w:r w:rsidRPr="004676F5">
        <w:rPr>
          <w:i/>
          <w:lang w:val="de-DE"/>
        </w:rPr>
        <w:t>bis</w:t>
      </w:r>
      <w:r w:rsidRPr="004676F5">
        <w:rPr>
          <w:lang w:val="de-DE"/>
        </w:rPr>
        <w:t xml:space="preserve"> bis 2043</w:t>
      </w:r>
      <w:r w:rsidRPr="004676F5">
        <w:rPr>
          <w:i/>
          <w:lang w:val="de-DE"/>
        </w:rPr>
        <w:t>octies</w:t>
      </w:r>
      <w:r w:rsidRPr="004676F5">
        <w:rPr>
          <w:lang w:val="de-DE"/>
        </w:rPr>
        <w:t xml:space="preserve"> </w:t>
      </w:r>
      <w:r w:rsidR="00E62E8E" w:rsidRPr="004676F5">
        <w:rPr>
          <w:lang w:val="de-DE"/>
        </w:rPr>
        <w:t>[</w:t>
      </w:r>
      <w:r w:rsidRPr="004676F5">
        <w:rPr>
          <w:lang w:val="de-DE"/>
        </w:rPr>
        <w:t xml:space="preserve">des </w:t>
      </w:r>
      <w:r w:rsidR="00E62E8E" w:rsidRPr="004676F5">
        <w:rPr>
          <w:lang w:val="de-DE"/>
        </w:rPr>
        <w:t xml:space="preserve">früheren </w:t>
      </w:r>
      <w:r w:rsidRPr="004676F5">
        <w:rPr>
          <w:lang w:val="de-DE"/>
        </w:rPr>
        <w:t>Zivilgesetzbuches</w:t>
      </w:r>
      <w:r w:rsidR="00E62E8E" w:rsidRPr="004676F5">
        <w:rPr>
          <w:lang w:val="de-DE"/>
        </w:rPr>
        <w:t>]</w:t>
      </w:r>
      <w:r w:rsidRPr="004676F5">
        <w:rPr>
          <w:lang w:val="de-DE"/>
        </w:rPr>
        <w:t xml:space="preserve"> kommt der Aufschub weder Mitschuldnern noch Bestellern von persönlichen Sicherheiten zugute.</w:t>
      </w:r>
    </w:p>
    <w:p w14:paraId="3139C0BD" w14:textId="77777777" w:rsidR="00EE35E2" w:rsidRPr="004676F5" w:rsidRDefault="00EE35E2" w:rsidP="00EE35E2">
      <w:pPr>
        <w:ind w:firstLine="708"/>
        <w:jc w:val="both"/>
        <w:rPr>
          <w:lang w:val="de-DE"/>
        </w:rPr>
      </w:pPr>
    </w:p>
    <w:p w14:paraId="0FA3CF5B" w14:textId="43EAEC63" w:rsidR="00620833" w:rsidRPr="004676F5" w:rsidRDefault="00EE35E2" w:rsidP="009B24DA">
      <w:pPr>
        <w:ind w:firstLine="708"/>
        <w:jc w:val="both"/>
        <w:rPr>
          <w:lang w:val="de-DE"/>
        </w:rPr>
      </w:pPr>
      <w:r w:rsidRPr="004676F5">
        <w:rPr>
          <w:lang w:val="de-DE"/>
        </w:rPr>
        <w:t>§ 3 </w:t>
      </w:r>
      <w:r w:rsidR="005B7A5C" w:rsidRPr="004676F5">
        <w:rPr>
          <w:lang w:val="de-DE"/>
        </w:rPr>
        <w:t>- </w:t>
      </w:r>
      <w:r w:rsidRPr="004676F5">
        <w:rPr>
          <w:lang w:val="de-DE"/>
        </w:rPr>
        <w:t xml:space="preserve">Ab dem Urteil, mit dem das Verfahren </w:t>
      </w:r>
      <w:r w:rsidR="00E62E8E" w:rsidRPr="004676F5">
        <w:rPr>
          <w:lang w:val="de-DE"/>
        </w:rPr>
        <w:t>[...]</w:t>
      </w:r>
      <w:r w:rsidRPr="004676F5">
        <w:rPr>
          <w:lang w:val="de-DE"/>
        </w:rPr>
        <w:t xml:space="preserve"> für eröffnet erklärt wird, kann eine natürliche Person, die für den Schuldner unentgeltlich eine persönliche Sicherheit geleistet hat, beim Gericht beantragen, dass festgestellt wird, dass der Betrag der persönlichen Sicherheit offensichtlich nicht im Verhältnis steht zu den Möglichkeiten der Schuldenrückzahlung, über die sie zum Zeitpunkt der Gewährung des Aufschubs verfügt, wobei diese Möglichkeiten sowohl in Bezug auf ihre beweglichen und unbeweglichen Güter als auch in Bezug auf ihre Einkünfte zu beurteilen sind.</w:t>
      </w:r>
    </w:p>
    <w:p w14:paraId="1A568E7B" w14:textId="77777777" w:rsidR="009B24DA" w:rsidRPr="004676F5" w:rsidRDefault="009B24DA" w:rsidP="009B24DA">
      <w:pPr>
        <w:ind w:firstLine="708"/>
        <w:jc w:val="both"/>
        <w:rPr>
          <w:lang w:val="de-DE"/>
        </w:rPr>
      </w:pPr>
    </w:p>
    <w:p w14:paraId="05A4D5E9" w14:textId="77777777" w:rsidR="00EE35E2" w:rsidRPr="004676F5" w:rsidRDefault="00EE35E2" w:rsidP="009B24DA">
      <w:pPr>
        <w:ind w:firstLine="708"/>
        <w:jc w:val="both"/>
        <w:rPr>
          <w:lang w:val="de-DE"/>
        </w:rPr>
      </w:pPr>
      <w:r w:rsidRPr="004676F5">
        <w:rPr>
          <w:lang w:val="de-DE"/>
        </w:rPr>
        <w:t>Zu diesem Zweck gibt der Antragsteller in seiner Antragschrift Folgendes an:</w:t>
      </w:r>
    </w:p>
    <w:p w14:paraId="1FAEFB3A" w14:textId="77777777" w:rsidR="00EE35E2" w:rsidRPr="004676F5" w:rsidRDefault="00EE35E2" w:rsidP="00EE35E2">
      <w:pPr>
        <w:ind w:firstLine="708"/>
        <w:jc w:val="both"/>
        <w:rPr>
          <w:lang w:val="de-DE"/>
        </w:rPr>
      </w:pPr>
    </w:p>
    <w:p w14:paraId="16E8A0A9" w14:textId="77777777" w:rsidR="00EE35E2" w:rsidRPr="004676F5" w:rsidRDefault="00EE35E2" w:rsidP="00EE35E2">
      <w:pPr>
        <w:ind w:firstLine="708"/>
        <w:jc w:val="both"/>
        <w:rPr>
          <w:lang w:val="de-DE"/>
        </w:rPr>
      </w:pPr>
      <w:r w:rsidRPr="004676F5">
        <w:rPr>
          <w:lang w:val="de-DE"/>
        </w:rPr>
        <w:t>1. seine Identität, seinen Beruf und seinen Wohnsitz,</w:t>
      </w:r>
    </w:p>
    <w:p w14:paraId="75683CE5" w14:textId="77777777" w:rsidR="00EE35E2" w:rsidRPr="004676F5" w:rsidRDefault="00EE35E2" w:rsidP="00EE35E2">
      <w:pPr>
        <w:ind w:firstLine="708"/>
        <w:jc w:val="both"/>
        <w:rPr>
          <w:lang w:val="de-DE"/>
        </w:rPr>
      </w:pPr>
    </w:p>
    <w:p w14:paraId="3AF524AA" w14:textId="77777777" w:rsidR="00EE35E2" w:rsidRPr="004676F5" w:rsidRDefault="00EE35E2" w:rsidP="00EE35E2">
      <w:pPr>
        <w:ind w:firstLine="708"/>
        <w:jc w:val="both"/>
        <w:rPr>
          <w:lang w:val="de-DE"/>
        </w:rPr>
      </w:pPr>
      <w:r w:rsidRPr="004676F5">
        <w:rPr>
          <w:lang w:val="de-DE"/>
        </w:rPr>
        <w:t>2. Identität und Wohnsitz des Inhabers der Forderung, deren Zahlung durch die Sicherheit besichert ist,</w:t>
      </w:r>
    </w:p>
    <w:p w14:paraId="698C50D1" w14:textId="77777777" w:rsidR="00EE35E2" w:rsidRPr="004676F5" w:rsidRDefault="00EE35E2" w:rsidP="00EE35E2">
      <w:pPr>
        <w:ind w:firstLine="708"/>
        <w:jc w:val="both"/>
        <w:rPr>
          <w:lang w:val="de-DE"/>
        </w:rPr>
      </w:pPr>
    </w:p>
    <w:p w14:paraId="47055192" w14:textId="77777777" w:rsidR="00EE35E2" w:rsidRPr="004676F5" w:rsidRDefault="00EE35E2" w:rsidP="00EE35E2">
      <w:pPr>
        <w:ind w:firstLine="708"/>
        <w:jc w:val="both"/>
        <w:rPr>
          <w:lang w:val="de-DE"/>
        </w:rPr>
      </w:pPr>
      <w:r w:rsidRPr="004676F5">
        <w:rPr>
          <w:lang w:val="de-DE"/>
        </w:rPr>
        <w:t>3. Erklärung, dass bei Eröffnung des Verfahrens seine Verpflichtung nicht im Verhältnis zu seinen Einkünften und seinem Vermögen steht,</w:t>
      </w:r>
    </w:p>
    <w:p w14:paraId="32171A3E" w14:textId="77777777" w:rsidR="00EE35E2" w:rsidRPr="004676F5" w:rsidRDefault="00EE35E2" w:rsidP="00EE35E2">
      <w:pPr>
        <w:ind w:firstLine="708"/>
        <w:jc w:val="both"/>
        <w:rPr>
          <w:lang w:val="de-DE"/>
        </w:rPr>
      </w:pPr>
    </w:p>
    <w:p w14:paraId="3B568BF3" w14:textId="77777777" w:rsidR="00EE35E2" w:rsidRPr="004676F5" w:rsidRDefault="00EE35E2" w:rsidP="00EE35E2">
      <w:pPr>
        <w:ind w:firstLine="708"/>
        <w:jc w:val="both"/>
        <w:rPr>
          <w:lang w:val="de-DE"/>
        </w:rPr>
      </w:pPr>
      <w:r w:rsidRPr="004676F5">
        <w:rPr>
          <w:lang w:val="de-DE"/>
        </w:rPr>
        <w:t>4. Abschrift seiner letzten Erklärung zur Steuer der natürlichen Personen und des letzten Steuerbescheids in Bezug auf die Steuer der natürlichen Personen,</w:t>
      </w:r>
    </w:p>
    <w:p w14:paraId="0243B170" w14:textId="77777777" w:rsidR="00EE35E2" w:rsidRPr="004676F5" w:rsidRDefault="00EE35E2" w:rsidP="00EE35E2">
      <w:pPr>
        <w:ind w:firstLine="708"/>
        <w:jc w:val="both"/>
        <w:rPr>
          <w:lang w:val="de-DE"/>
        </w:rPr>
      </w:pPr>
    </w:p>
    <w:p w14:paraId="79FAC617" w14:textId="77777777" w:rsidR="00EE35E2" w:rsidRPr="004676F5" w:rsidRDefault="00EE35E2" w:rsidP="00EE35E2">
      <w:pPr>
        <w:ind w:firstLine="708"/>
        <w:jc w:val="both"/>
        <w:rPr>
          <w:lang w:val="de-DE"/>
        </w:rPr>
      </w:pPr>
      <w:r w:rsidRPr="004676F5">
        <w:rPr>
          <w:lang w:val="de-DE"/>
        </w:rPr>
        <w:t>5. eine Aufstellung aller Aktiva und Passiva, die sein Vermögen bilden,</w:t>
      </w:r>
    </w:p>
    <w:p w14:paraId="248E473D" w14:textId="77777777" w:rsidR="00EE35E2" w:rsidRPr="004676F5" w:rsidRDefault="00EE35E2" w:rsidP="00EE35E2">
      <w:pPr>
        <w:ind w:firstLine="708"/>
        <w:jc w:val="both"/>
        <w:rPr>
          <w:lang w:val="de-DE"/>
        </w:rPr>
      </w:pPr>
    </w:p>
    <w:p w14:paraId="014FA257" w14:textId="77777777" w:rsidR="00EE35E2" w:rsidRPr="004676F5" w:rsidRDefault="00EE35E2" w:rsidP="00EE35E2">
      <w:pPr>
        <w:ind w:firstLine="708"/>
        <w:jc w:val="both"/>
        <w:rPr>
          <w:lang w:val="de-DE"/>
        </w:rPr>
      </w:pPr>
      <w:r w:rsidRPr="004676F5">
        <w:rPr>
          <w:lang w:val="de-DE"/>
        </w:rPr>
        <w:t>6. Belege für die unentgeltliche Leistung der persönlichen Sicherheit und ihren Umfang,</w:t>
      </w:r>
    </w:p>
    <w:p w14:paraId="67139967" w14:textId="77777777" w:rsidR="00EE35E2" w:rsidRPr="004676F5" w:rsidRDefault="00EE35E2" w:rsidP="00EE35E2">
      <w:pPr>
        <w:ind w:firstLine="708"/>
        <w:jc w:val="both"/>
        <w:rPr>
          <w:lang w:val="de-DE"/>
        </w:rPr>
      </w:pPr>
    </w:p>
    <w:p w14:paraId="75F0EE4A" w14:textId="77777777" w:rsidR="00EE35E2" w:rsidRPr="004676F5" w:rsidRDefault="00EE35E2" w:rsidP="00EE35E2">
      <w:pPr>
        <w:ind w:firstLine="708"/>
        <w:jc w:val="both"/>
        <w:rPr>
          <w:lang w:val="de-DE"/>
        </w:rPr>
      </w:pPr>
      <w:r w:rsidRPr="004676F5">
        <w:rPr>
          <w:lang w:val="de-DE"/>
        </w:rPr>
        <w:lastRenderedPageBreak/>
        <w:t>7. andere Schriftstücke, durch die seine Mittel und Aufwendungen präzise festgelegt werden können.</w:t>
      </w:r>
    </w:p>
    <w:p w14:paraId="36F28B70" w14:textId="77777777" w:rsidR="00EE35E2" w:rsidRPr="004676F5" w:rsidRDefault="00EE35E2" w:rsidP="00EE35E2">
      <w:pPr>
        <w:ind w:firstLine="708"/>
        <w:jc w:val="both"/>
        <w:rPr>
          <w:lang w:val="de-DE"/>
        </w:rPr>
      </w:pPr>
    </w:p>
    <w:p w14:paraId="11DC1996" w14:textId="5CA6FAB5" w:rsidR="00EE35E2" w:rsidRPr="004676F5" w:rsidRDefault="00EE35E2" w:rsidP="00EE35E2">
      <w:pPr>
        <w:ind w:firstLine="708"/>
        <w:jc w:val="both"/>
        <w:rPr>
          <w:lang w:val="de-DE"/>
        </w:rPr>
      </w:pPr>
      <w:r w:rsidRPr="004676F5">
        <w:rPr>
          <w:lang w:val="de-DE"/>
        </w:rPr>
        <w:t xml:space="preserve">Die Antragschrift wird </w:t>
      </w:r>
      <w:r w:rsidR="00E62E8E" w:rsidRPr="004676F5">
        <w:rPr>
          <w:lang w:val="de-DE"/>
        </w:rPr>
        <w:t>[im Register]</w:t>
      </w:r>
      <w:r w:rsidRPr="004676F5">
        <w:rPr>
          <w:lang w:val="de-DE"/>
        </w:rPr>
        <w:t xml:space="preserve"> hinterlegt.</w:t>
      </w:r>
    </w:p>
    <w:p w14:paraId="43CE576C" w14:textId="77777777" w:rsidR="00EE35E2" w:rsidRPr="004676F5" w:rsidRDefault="00EE35E2" w:rsidP="00EE35E2">
      <w:pPr>
        <w:ind w:firstLine="708"/>
        <w:jc w:val="both"/>
        <w:rPr>
          <w:lang w:val="de-DE"/>
        </w:rPr>
      </w:pPr>
    </w:p>
    <w:p w14:paraId="5DFCB275" w14:textId="77777777" w:rsidR="00EE35E2" w:rsidRPr="004676F5" w:rsidRDefault="00EE35E2" w:rsidP="00EE35E2">
      <w:pPr>
        <w:ind w:firstLine="708"/>
        <w:jc w:val="both"/>
        <w:rPr>
          <w:lang w:val="de-DE"/>
        </w:rPr>
      </w:pPr>
      <w:r w:rsidRPr="004676F5">
        <w:rPr>
          <w:lang w:val="de-DE"/>
        </w:rPr>
        <w:t>Die Parteien werden vom Greffier per Gerichtsbrief vorgeladen, um zu der vom Richter anberaumten Sitzung zu erscheinen. In der Vorladung wird angegeben, dass die Antragschrift und die zusätzlichen Unterlagen im Register eingesehen werden können.</w:t>
      </w:r>
    </w:p>
    <w:p w14:paraId="425725BE" w14:textId="77777777" w:rsidR="00EE35E2" w:rsidRPr="004676F5" w:rsidRDefault="00EE35E2" w:rsidP="00EE35E2">
      <w:pPr>
        <w:ind w:firstLine="708"/>
        <w:jc w:val="both"/>
        <w:rPr>
          <w:lang w:val="de-DE"/>
        </w:rPr>
      </w:pPr>
    </w:p>
    <w:p w14:paraId="244FD1CD" w14:textId="77777777" w:rsidR="00EE35E2" w:rsidRPr="004676F5" w:rsidRDefault="00EE35E2" w:rsidP="00EE35E2">
      <w:pPr>
        <w:ind w:firstLine="708"/>
        <w:jc w:val="both"/>
        <w:rPr>
          <w:lang w:val="de-DE"/>
        </w:rPr>
      </w:pPr>
      <w:r w:rsidRPr="004676F5">
        <w:rPr>
          <w:lang w:val="de-DE"/>
        </w:rPr>
        <w:t>Durch die Hinterlegung der Antragschrift werden die Vollstreckungsmittel ausgesetzt.</w:t>
      </w:r>
    </w:p>
    <w:p w14:paraId="25306EE8" w14:textId="77777777" w:rsidR="00EE35E2" w:rsidRPr="004676F5" w:rsidRDefault="00EE35E2" w:rsidP="00EE35E2">
      <w:pPr>
        <w:ind w:firstLine="708"/>
        <w:jc w:val="both"/>
        <w:rPr>
          <w:lang w:val="de-DE"/>
        </w:rPr>
      </w:pPr>
    </w:p>
    <w:p w14:paraId="4E1B6E0E" w14:textId="6600C03E"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Gibt das Gericht dem Antrag statt, kommen der Aufschub und gegebenenfalls die Auswirkungen der gütlichen Einigung</w:t>
      </w:r>
      <w:r w:rsidR="00E62E8E" w:rsidRPr="004676F5">
        <w:rPr>
          <w:lang w:val="de-DE"/>
        </w:rPr>
        <w:t xml:space="preserve"> [und</w:t>
      </w:r>
      <w:r w:rsidRPr="004676F5">
        <w:rPr>
          <w:lang w:val="de-DE"/>
        </w:rPr>
        <w:t xml:space="preserve"> der kollektiven Einigung</w:t>
      </w:r>
      <w:r w:rsidR="00E62E8E" w:rsidRPr="004676F5">
        <w:rPr>
          <w:lang w:val="de-DE"/>
        </w:rPr>
        <w:t>]</w:t>
      </w:r>
      <w:r w:rsidRPr="004676F5">
        <w:rPr>
          <w:lang w:val="de-DE"/>
        </w:rPr>
        <w:t xml:space="preserve"> der natürlichen Person zugute, die für den Schuldner unentgeltlich eine persönliche Sicherheit geleistet hat.</w:t>
      </w:r>
    </w:p>
    <w:p w14:paraId="0D59FCA2" w14:textId="77777777" w:rsidR="00EE35E2" w:rsidRPr="004676F5" w:rsidRDefault="00EE35E2" w:rsidP="00EE35E2">
      <w:pPr>
        <w:ind w:firstLine="708"/>
        <w:jc w:val="both"/>
        <w:rPr>
          <w:lang w:val="de-DE"/>
        </w:rPr>
      </w:pPr>
    </w:p>
    <w:p w14:paraId="503D9BC2" w14:textId="10848128"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 xml:space="preserve">Das Urteil, mit dem dem Antrag stattgegeben wird, wird im Register hinterlegt und auf Betreiben des Greffiers auszugsweise im </w:t>
      </w:r>
      <w:r w:rsidRPr="004676F5">
        <w:rPr>
          <w:i/>
          <w:lang w:val="de-DE"/>
        </w:rPr>
        <w:t>Belgischen Staatsblatt</w:t>
      </w:r>
      <w:r w:rsidRPr="004676F5">
        <w:rPr>
          <w:lang w:val="de-DE"/>
        </w:rPr>
        <w:t xml:space="preserve"> veröffentlicht.</w:t>
      </w:r>
    </w:p>
    <w:p w14:paraId="51A5558E" w14:textId="77777777" w:rsidR="00DF5BE5" w:rsidRPr="004676F5" w:rsidRDefault="00DF5BE5" w:rsidP="00E62E8E">
      <w:pPr>
        <w:jc w:val="both"/>
        <w:rPr>
          <w:lang w:val="de-DE"/>
        </w:rPr>
      </w:pPr>
    </w:p>
    <w:p w14:paraId="23E246C6" w14:textId="4BCCD90F" w:rsidR="00E62E8E" w:rsidRPr="004676F5" w:rsidRDefault="00E62E8E" w:rsidP="00E62E8E">
      <w:pPr>
        <w:jc w:val="both"/>
        <w:rPr>
          <w:i/>
          <w:iCs/>
          <w:lang w:val="de-DE"/>
        </w:rPr>
      </w:pPr>
      <w:r w:rsidRPr="004676F5">
        <w:rPr>
          <w:i/>
          <w:iCs/>
          <w:lang w:val="de-DE"/>
        </w:rPr>
        <w:t>[Art. XX.54 § 1 Abs. 2 abgeändert durch Art. 76 Nr. 1 des G. vom 7. Juni 2023 (B.S. vom 7. Juli 2023); § 2 abgeändert durch Art. 76 Nr. 2 des G. vom 7. Juni 2023 (B.S. vom 7. Juli 2023); § 3 Abs. 1 abgeändert durch Art. 76 Nr. 3 des G. vom 7. Juni 2023 (B.S. vom 7. Juli 2023); § 3 Abs. 3 abgeändert durch Art. 76 Nr. 4 des G. vom 7. Juni 2023 (B.S. vom 7. Juli 2023); § 4 abgeändert durch Art. 76 Nr. 5 des G. vom 7. Juni 2023 (B.S. vom 7. Juli 2023)]</w:t>
      </w:r>
    </w:p>
    <w:p w14:paraId="685D9DBB" w14:textId="77777777" w:rsidR="00E62E8E" w:rsidRPr="004676F5" w:rsidRDefault="00E62E8E" w:rsidP="00E62E8E">
      <w:pPr>
        <w:jc w:val="both"/>
        <w:rPr>
          <w:i/>
          <w:iCs/>
          <w:lang w:val="de-DE"/>
        </w:rPr>
      </w:pPr>
    </w:p>
    <w:p w14:paraId="3D4CF12B" w14:textId="77777777" w:rsidR="00E62E8E" w:rsidRPr="004676F5" w:rsidRDefault="00E62E8E" w:rsidP="00E62E8E">
      <w:pPr>
        <w:jc w:val="both"/>
        <w:rPr>
          <w:i/>
          <w:iCs/>
          <w:lang w:val="de-DE"/>
        </w:rPr>
      </w:pPr>
    </w:p>
    <w:p w14:paraId="4ED0153B" w14:textId="41AC8FD9" w:rsidR="00EE35E2" w:rsidRPr="004676F5" w:rsidRDefault="00BE0A56" w:rsidP="00EE35E2">
      <w:pPr>
        <w:ind w:firstLine="708"/>
        <w:jc w:val="both"/>
        <w:rPr>
          <w:lang w:val="de-DE"/>
        </w:rPr>
      </w:pPr>
      <w:r w:rsidRPr="004676F5">
        <w:rPr>
          <w:b/>
          <w:lang w:val="de-DE"/>
        </w:rPr>
        <w:t>Art. </w:t>
      </w:r>
      <w:r w:rsidR="00EE35E2" w:rsidRPr="004676F5">
        <w:rPr>
          <w:b/>
          <w:lang w:val="de-DE"/>
        </w:rPr>
        <w:t>XX.55</w:t>
      </w:r>
      <w:r w:rsidR="00EE35E2" w:rsidRPr="004676F5">
        <w:rPr>
          <w:lang w:val="de-DE"/>
        </w:rPr>
        <w:t> </w:t>
      </w:r>
      <w:r w:rsidR="005B7A5C" w:rsidRPr="004676F5">
        <w:rPr>
          <w:lang w:val="de-DE"/>
        </w:rPr>
        <w:t>- </w:t>
      </w:r>
      <w:r w:rsidR="00EE35E2" w:rsidRPr="004676F5">
        <w:rPr>
          <w:lang w:val="de-DE"/>
        </w:rPr>
        <w:t>Aufrechnung zwischen aufgeschobenen Forderungen und während des Aufschubs entstandenen Forderungen ist nur erlaubt, wenn diese Forderungen zusammen</w:t>
      </w:r>
      <w:r w:rsidR="00EE35E2" w:rsidRPr="004676F5">
        <w:rPr>
          <w:lang w:val="de-DE"/>
        </w:rPr>
        <w:softHyphen/>
        <w:t>hängen.</w:t>
      </w:r>
    </w:p>
    <w:p w14:paraId="1FCB60D0" w14:textId="77777777" w:rsidR="00EE35E2" w:rsidRPr="004676F5" w:rsidRDefault="00EE35E2" w:rsidP="00EE35E2">
      <w:pPr>
        <w:ind w:firstLine="708"/>
        <w:jc w:val="both"/>
        <w:rPr>
          <w:lang w:val="de-DE"/>
        </w:rPr>
      </w:pPr>
    </w:p>
    <w:p w14:paraId="584DC003" w14:textId="77777777" w:rsidR="00DF5BE5" w:rsidRPr="004676F5" w:rsidRDefault="00DF5BE5" w:rsidP="00EE35E2">
      <w:pPr>
        <w:ind w:firstLine="708"/>
        <w:jc w:val="both"/>
        <w:rPr>
          <w:lang w:val="de-DE"/>
        </w:rPr>
      </w:pPr>
    </w:p>
    <w:p w14:paraId="39CC12A0" w14:textId="1C6FFDA0" w:rsidR="00EE35E2" w:rsidRPr="004676F5" w:rsidRDefault="00BE0A56" w:rsidP="00EE35E2">
      <w:pPr>
        <w:ind w:firstLine="708"/>
        <w:jc w:val="both"/>
        <w:rPr>
          <w:lang w:val="de-DE"/>
        </w:rPr>
      </w:pPr>
      <w:r w:rsidRPr="004676F5">
        <w:rPr>
          <w:b/>
          <w:lang w:val="de-DE"/>
        </w:rPr>
        <w:t>Art. </w:t>
      </w:r>
      <w:r w:rsidR="00EE35E2" w:rsidRPr="004676F5">
        <w:rPr>
          <w:b/>
          <w:lang w:val="de-DE"/>
        </w:rPr>
        <w:t>XX.56</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Ungeachtet anders lautender Vertragsbestimmungen setzt der Antrag oder die Eröffnung des Verfahrens der gerichtlichen Reorganisation </w:t>
      </w:r>
      <w:r w:rsidR="00E62E8E" w:rsidRPr="004676F5">
        <w:rPr>
          <w:lang w:val="de-DE"/>
        </w:rPr>
        <w:t xml:space="preserve">[oder der Übertragung unter der Autorität des Gerichts] </w:t>
      </w:r>
      <w:r w:rsidR="00EE35E2" w:rsidRPr="004676F5">
        <w:rPr>
          <w:lang w:val="de-DE"/>
        </w:rPr>
        <w:t>weder laufenden Verträgen noch den Modalitäten ihrer Ausführung ein Ende.</w:t>
      </w:r>
    </w:p>
    <w:p w14:paraId="64F34E4D" w14:textId="77777777" w:rsidR="00EE35E2" w:rsidRPr="004676F5" w:rsidRDefault="00EE35E2" w:rsidP="00EE35E2">
      <w:pPr>
        <w:ind w:firstLine="708"/>
        <w:jc w:val="both"/>
        <w:rPr>
          <w:lang w:val="de-DE"/>
        </w:rPr>
      </w:pPr>
    </w:p>
    <w:p w14:paraId="650FD96E" w14:textId="77777777" w:rsidR="00EE35E2" w:rsidRPr="004676F5" w:rsidRDefault="00EE35E2" w:rsidP="00EE35E2">
      <w:pPr>
        <w:ind w:firstLine="708"/>
        <w:jc w:val="both"/>
        <w:rPr>
          <w:lang w:val="de-DE"/>
        </w:rPr>
      </w:pPr>
      <w:r w:rsidRPr="004676F5">
        <w:rPr>
          <w:lang w:val="de-DE"/>
        </w:rPr>
        <w:t>Eine Vertragsverletzung seitens des Schuldners vor der Aufschubgewährung erlaubt es dem Gläubiger nicht, den Vertrag zu beenden, wenn der Schuldner innerhalb einer Frist von fünfzehn Tagen ab einer diesbezüglichen, nach der Aufschubgewährung erfolgten Inverzug</w:t>
      </w:r>
      <w:r w:rsidRPr="004676F5">
        <w:rPr>
          <w:lang w:val="de-DE"/>
        </w:rPr>
        <w:softHyphen/>
        <w:t>setzung seitens des Aufschubgläubigers den Vertrag ausführt und somit die Vertragsverletzung behebt.</w:t>
      </w:r>
    </w:p>
    <w:p w14:paraId="2C153BA9" w14:textId="77777777" w:rsidR="00EE35E2" w:rsidRPr="004676F5" w:rsidRDefault="00EE35E2" w:rsidP="00EE35E2">
      <w:pPr>
        <w:ind w:firstLine="708"/>
        <w:jc w:val="both"/>
        <w:rPr>
          <w:lang w:val="de-DE"/>
        </w:rPr>
      </w:pPr>
    </w:p>
    <w:p w14:paraId="459E8F0C" w14:textId="31473C8A"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Ab Verfahrenseröffnung kann der Schuldner jedoch einseitig beschließen, die Erfüllung seiner vertraglichen Verpflichtungen während der Dauer des Aufschubs auszusetzen mit entsprechender Inkenntnissetzung seiner Vertragspartner gemäß Artikel XX.49 § 1, sofern die Reorganisation</w:t>
      </w:r>
      <w:r w:rsidR="00C87C7B" w:rsidRPr="004676F5">
        <w:rPr>
          <w:lang w:val="de-DE"/>
        </w:rPr>
        <w:t xml:space="preserve"> </w:t>
      </w:r>
      <w:r w:rsidR="00E62E8E" w:rsidRPr="004676F5">
        <w:rPr>
          <w:lang w:val="de-DE"/>
        </w:rPr>
        <w:t>[oder die Übertragung]</w:t>
      </w:r>
      <w:r w:rsidRPr="004676F5">
        <w:rPr>
          <w:lang w:val="de-DE"/>
        </w:rPr>
        <w:t xml:space="preserve"> des Unternehmens dies zwingend </w:t>
      </w:r>
      <w:r w:rsidR="00E62E8E" w:rsidRPr="004676F5">
        <w:rPr>
          <w:lang w:val="de-DE"/>
        </w:rPr>
        <w:t>[</w:t>
      </w:r>
      <w:r w:rsidRPr="004676F5">
        <w:rPr>
          <w:lang w:val="de-DE"/>
        </w:rPr>
        <w:t>erforderlich mach</w:t>
      </w:r>
      <w:r w:rsidR="00E62E8E" w:rsidRPr="004676F5">
        <w:rPr>
          <w:lang w:val="de-DE"/>
        </w:rPr>
        <w:t>en]</w:t>
      </w:r>
      <w:r w:rsidRPr="004676F5">
        <w:rPr>
          <w:lang w:val="de-DE"/>
        </w:rPr>
        <w:t>.</w:t>
      </w:r>
    </w:p>
    <w:p w14:paraId="6EE2923A" w14:textId="77777777" w:rsidR="00EE35E2" w:rsidRPr="004676F5" w:rsidRDefault="00EE35E2" w:rsidP="00EE35E2">
      <w:pPr>
        <w:ind w:firstLine="708"/>
        <w:jc w:val="both"/>
        <w:rPr>
          <w:lang w:val="de-DE"/>
        </w:rPr>
      </w:pPr>
    </w:p>
    <w:p w14:paraId="0510B73B" w14:textId="77777777" w:rsidR="00EE35E2" w:rsidRPr="004676F5" w:rsidRDefault="00EE35E2" w:rsidP="00EE35E2">
      <w:pPr>
        <w:ind w:firstLine="708"/>
        <w:jc w:val="both"/>
        <w:rPr>
          <w:lang w:val="de-DE"/>
        </w:rPr>
      </w:pPr>
      <w:r w:rsidRPr="004676F5">
        <w:rPr>
          <w:lang w:val="de-DE"/>
        </w:rPr>
        <w:t>Die Schadenersatzforderung, die dem Vertragspartner wegen der Aussetzung gegebenenfalls geschuldet wird, unterliegt dem Aufschub.</w:t>
      </w:r>
    </w:p>
    <w:p w14:paraId="6D520528" w14:textId="77777777" w:rsidR="00EE35E2" w:rsidRPr="004676F5" w:rsidRDefault="00EE35E2" w:rsidP="00EE35E2">
      <w:pPr>
        <w:ind w:firstLine="708"/>
        <w:jc w:val="both"/>
        <w:rPr>
          <w:lang w:val="de-DE"/>
        </w:rPr>
      </w:pPr>
    </w:p>
    <w:p w14:paraId="7E9CCE9B" w14:textId="77777777" w:rsidR="00EE35E2" w:rsidRPr="004676F5" w:rsidRDefault="00EE35E2" w:rsidP="00EE35E2">
      <w:pPr>
        <w:ind w:firstLine="708"/>
        <w:jc w:val="both"/>
        <w:rPr>
          <w:lang w:val="de-DE"/>
        </w:rPr>
      </w:pPr>
      <w:r w:rsidRPr="004676F5">
        <w:rPr>
          <w:lang w:val="de-DE"/>
        </w:rPr>
        <w:t>Das Recht des Schuldners, einseitig die Erfüllung seiner vertraglichen Verpflichtungen auszusetzen, ist nicht auf Arbeitsverträge anwendbar.</w:t>
      </w:r>
    </w:p>
    <w:p w14:paraId="60AF12E8" w14:textId="77777777" w:rsidR="00EE35E2" w:rsidRPr="004676F5" w:rsidRDefault="00EE35E2" w:rsidP="00EE35E2">
      <w:pPr>
        <w:ind w:firstLine="708"/>
        <w:jc w:val="both"/>
        <w:rPr>
          <w:lang w:val="de-DE"/>
        </w:rPr>
      </w:pPr>
    </w:p>
    <w:p w14:paraId="37753F33" w14:textId="77777777" w:rsidR="00EE35E2" w:rsidRPr="004676F5" w:rsidRDefault="00EE35E2" w:rsidP="00EE35E2">
      <w:pPr>
        <w:ind w:firstLine="708"/>
        <w:jc w:val="both"/>
        <w:rPr>
          <w:lang w:val="de-DE"/>
        </w:rPr>
      </w:pPr>
      <w:r w:rsidRPr="004676F5">
        <w:rPr>
          <w:lang w:val="de-DE"/>
        </w:rPr>
        <w:t>Bei Ausübung dieses Rechts seitens des Schuldners kann der Vertragspartner die Erfüllung seiner eigenen vertraglichen Verpflichtungen aussetzen. Er kann den Vertrag jedoch nicht aus dem alleinigen Grund beenden, dass der Schuldner einseitig seine Erfüllung ausgesetzt hat.</w:t>
      </w:r>
    </w:p>
    <w:p w14:paraId="2806571A" w14:textId="77777777" w:rsidR="00EE35E2" w:rsidRPr="004676F5" w:rsidRDefault="00EE35E2" w:rsidP="00EE35E2">
      <w:pPr>
        <w:ind w:firstLine="708"/>
        <w:jc w:val="both"/>
        <w:rPr>
          <w:lang w:val="de-DE"/>
        </w:rPr>
      </w:pPr>
    </w:p>
    <w:p w14:paraId="1648568A" w14:textId="6C9FEE5B" w:rsidR="00EE35E2" w:rsidRPr="004676F5" w:rsidRDefault="00EE35E2" w:rsidP="00EE35E2">
      <w:pPr>
        <w:ind w:firstLine="708"/>
        <w:jc w:val="both"/>
        <w:rPr>
          <w:lang w:val="de-DE"/>
        </w:rPr>
      </w:pPr>
      <w:r w:rsidRPr="004676F5">
        <w:rPr>
          <w:lang w:val="de-DE"/>
        </w:rPr>
        <w:t>§ 3 </w:t>
      </w:r>
      <w:r w:rsidR="005B7A5C" w:rsidRPr="004676F5">
        <w:rPr>
          <w:lang w:val="de-DE"/>
        </w:rPr>
        <w:t>- </w:t>
      </w:r>
      <w:r w:rsidR="004809DE" w:rsidRPr="004676F5">
        <w:rPr>
          <w:lang w:val="de-DE"/>
        </w:rPr>
        <w:t>[Entschädigungsklauseln]</w:t>
      </w:r>
      <w:r w:rsidRPr="004676F5">
        <w:rPr>
          <w:lang w:val="de-DE"/>
        </w:rPr>
        <w:t>, Klauseln zur Anhebung des Zinssatzes einbegriffen, die eine pauschale Deckung potentieller Schäden bezwecken, die infolge der Nichterfüllung der Hauptverbindlichkeit entstehen, bleiben während des Aufschubzeitraums und bis zur vollständigen Ausführung des Reorganisationsplans in Bezug auf die im Plan aufgenommenen Gläubiger wirkungslos. Der Gläubiger kann jedoch den tatsächlichen Schaden, der infolge der Nichterfüllung der Hauptverbindlichkeit entsteht, in seine aufgeschobene Forderung aufnehmen.</w:t>
      </w:r>
    </w:p>
    <w:p w14:paraId="702CBAA8" w14:textId="77777777" w:rsidR="00EE35E2" w:rsidRPr="004676F5" w:rsidRDefault="00EE35E2" w:rsidP="00EE35E2">
      <w:pPr>
        <w:ind w:firstLine="708"/>
        <w:jc w:val="both"/>
        <w:rPr>
          <w:lang w:val="de-DE"/>
        </w:rPr>
      </w:pPr>
    </w:p>
    <w:p w14:paraId="23143B8C" w14:textId="1126BF3D" w:rsidR="004809DE" w:rsidRPr="004676F5" w:rsidRDefault="004809DE" w:rsidP="004809DE">
      <w:pPr>
        <w:jc w:val="both"/>
        <w:rPr>
          <w:i/>
          <w:iCs/>
          <w:lang w:val="de-DE"/>
        </w:rPr>
      </w:pPr>
      <w:r w:rsidRPr="004676F5">
        <w:rPr>
          <w:i/>
          <w:iCs/>
          <w:lang w:val="de-DE"/>
        </w:rPr>
        <w:t>[Art. XX.56</w:t>
      </w:r>
      <w:r w:rsidR="00E62E8E" w:rsidRPr="004676F5">
        <w:rPr>
          <w:i/>
          <w:iCs/>
          <w:lang w:val="de-DE"/>
        </w:rPr>
        <w:t xml:space="preserve"> § 1 Abs. 1 abgeändert durch Art. 77 Nr. 1 des G. vom 7. Juni 2023 (B.S. vom 7. Juli 2023); § 2 Abs. 1 abgeändert durch Art. 77 Nr. 2 des G. vom 7. Juni 2023 (B.S. vom 7. Juli 2023);</w:t>
      </w:r>
      <w:r w:rsidRPr="004676F5">
        <w:rPr>
          <w:i/>
          <w:iCs/>
          <w:lang w:val="de-DE"/>
        </w:rPr>
        <w:t xml:space="preserve"> § 3 abgeändert durch Art. 23 des G. vom 28.</w:t>
      </w:r>
      <w:r w:rsidR="00880421" w:rsidRPr="004676F5">
        <w:rPr>
          <w:i/>
          <w:iCs/>
          <w:lang w:val="de-DE"/>
        </w:rPr>
        <w:t> </w:t>
      </w:r>
      <w:r w:rsidRPr="004676F5">
        <w:rPr>
          <w:i/>
          <w:iCs/>
          <w:lang w:val="de-DE"/>
        </w:rPr>
        <w:t>April 2022 (B.S. vom 1. Juli</w:t>
      </w:r>
      <w:r w:rsidR="00880421" w:rsidRPr="004676F5">
        <w:rPr>
          <w:i/>
          <w:iCs/>
          <w:lang w:val="de-DE"/>
        </w:rPr>
        <w:t> </w:t>
      </w:r>
      <w:r w:rsidRPr="004676F5">
        <w:rPr>
          <w:i/>
          <w:iCs/>
          <w:lang w:val="de-DE"/>
        </w:rPr>
        <w:t>2022)]</w:t>
      </w:r>
    </w:p>
    <w:p w14:paraId="7F01A6A7" w14:textId="77777777" w:rsidR="00DF5BE5" w:rsidRPr="004676F5" w:rsidRDefault="00DF5BE5" w:rsidP="00EE35E2">
      <w:pPr>
        <w:ind w:firstLine="708"/>
        <w:jc w:val="both"/>
        <w:rPr>
          <w:lang w:val="de-DE"/>
        </w:rPr>
      </w:pPr>
    </w:p>
    <w:p w14:paraId="35BE2BB1" w14:textId="77777777" w:rsidR="004809DE" w:rsidRPr="004676F5" w:rsidRDefault="004809DE" w:rsidP="00EE35E2">
      <w:pPr>
        <w:ind w:firstLine="708"/>
        <w:jc w:val="both"/>
        <w:rPr>
          <w:lang w:val="de-DE"/>
        </w:rPr>
      </w:pPr>
    </w:p>
    <w:p w14:paraId="7D635CF6" w14:textId="532A5485" w:rsidR="00EE35E2" w:rsidRPr="004676F5" w:rsidRDefault="00BE0A56" w:rsidP="00EE35E2">
      <w:pPr>
        <w:ind w:firstLine="708"/>
        <w:jc w:val="both"/>
        <w:rPr>
          <w:lang w:val="de-DE"/>
        </w:rPr>
      </w:pPr>
      <w:r w:rsidRPr="004676F5">
        <w:rPr>
          <w:b/>
          <w:lang w:val="de-DE"/>
        </w:rPr>
        <w:t>Art. </w:t>
      </w:r>
      <w:r w:rsidR="00EE35E2" w:rsidRPr="004676F5">
        <w:rPr>
          <w:b/>
          <w:lang w:val="de-DE"/>
        </w:rPr>
        <w:t>XX.57</w:t>
      </w:r>
      <w:r w:rsidR="00EE35E2" w:rsidRPr="004676F5">
        <w:rPr>
          <w:lang w:val="de-DE"/>
        </w:rPr>
        <w:t> </w:t>
      </w:r>
      <w:r w:rsidR="005B7A5C" w:rsidRPr="004676F5">
        <w:rPr>
          <w:lang w:val="de-DE"/>
        </w:rPr>
        <w:t>- </w:t>
      </w:r>
      <w:r w:rsidR="00EE35E2" w:rsidRPr="004676F5">
        <w:rPr>
          <w:lang w:val="de-DE"/>
        </w:rPr>
        <w:t>Eine Forderung aus laufenden Verträgen mit aufeinanderfolgenden Leistungen, vertraglich geschuldete Zinsen einbegriffen, unterliegt dem Aufschub in dem Maße nicht, wie sie sich auf Leistungen bezieht, die erbracht werden, nachdem das Verfahren für eröffnet erklärt wurde.</w:t>
      </w:r>
    </w:p>
    <w:p w14:paraId="67F232CA" w14:textId="77777777" w:rsidR="00EE35E2" w:rsidRPr="004676F5" w:rsidRDefault="00EE35E2" w:rsidP="00EE35E2">
      <w:pPr>
        <w:ind w:firstLine="708"/>
        <w:jc w:val="both"/>
        <w:rPr>
          <w:lang w:val="de-DE"/>
        </w:rPr>
      </w:pPr>
    </w:p>
    <w:p w14:paraId="51935F1A" w14:textId="77777777" w:rsidR="00DF5BE5" w:rsidRPr="004676F5" w:rsidRDefault="00DF5BE5" w:rsidP="00EE35E2">
      <w:pPr>
        <w:ind w:firstLine="708"/>
        <w:jc w:val="both"/>
        <w:rPr>
          <w:lang w:val="de-DE"/>
        </w:rPr>
      </w:pPr>
    </w:p>
    <w:p w14:paraId="1DB43B9E" w14:textId="5EAAE927" w:rsidR="00EE35E2" w:rsidRPr="004676F5" w:rsidRDefault="00BE0A56" w:rsidP="00EE35E2">
      <w:pPr>
        <w:ind w:firstLine="708"/>
        <w:jc w:val="both"/>
        <w:rPr>
          <w:lang w:val="de-DE"/>
        </w:rPr>
      </w:pPr>
      <w:r w:rsidRPr="004676F5">
        <w:rPr>
          <w:b/>
          <w:lang w:val="de-DE"/>
        </w:rPr>
        <w:t>Art. </w:t>
      </w:r>
      <w:r w:rsidR="00EE35E2" w:rsidRPr="004676F5">
        <w:rPr>
          <w:b/>
          <w:lang w:val="de-DE"/>
        </w:rPr>
        <w:t>XX.58</w:t>
      </w:r>
      <w:r w:rsidR="00EE35E2" w:rsidRPr="004676F5">
        <w:rPr>
          <w:lang w:val="de-DE"/>
        </w:rPr>
        <w:t> </w:t>
      </w:r>
      <w:r w:rsidR="005B7A5C" w:rsidRPr="004676F5">
        <w:rPr>
          <w:lang w:val="de-DE"/>
        </w:rPr>
        <w:t>- </w:t>
      </w:r>
      <w:r w:rsidR="00EE35E2" w:rsidRPr="004676F5">
        <w:rPr>
          <w:lang w:val="de-DE"/>
        </w:rPr>
        <w:t xml:space="preserve">Soweit Forderungen gegen den Schuldner sich auf Leistungen des Vertragspartners beziehen, die während des Verfahrens der gerichtlichen Reorganisation </w:t>
      </w:r>
      <w:r w:rsidR="00E62E8E" w:rsidRPr="004676F5">
        <w:rPr>
          <w:lang w:val="de-DE"/>
        </w:rPr>
        <w:t xml:space="preserve">[oder der Übertragung unter der Autorität des Gerichts] </w:t>
      </w:r>
      <w:r w:rsidR="00EE35E2" w:rsidRPr="004676F5">
        <w:rPr>
          <w:lang w:val="de-DE"/>
        </w:rPr>
        <w:t xml:space="preserve">erbracht werden, und ungeachtet dessen, ob sie aus neuen Verpflichtungen des Schuldners hervorgehen oder aus Verträgen, die zum Zeitpunkt der Eröffnung des Verfahrens laufen, gelten sie bei einem anschließenden Konkurs, einer anschließenden Liquidation oder einer in Artikel XX.91 erwähnten Verteilung bei Übertragung unter der Autorität des Gerichts als Masseschulden, sofern eine enge Verbindung zwischen der Beendigung des Verfahrens der gerichtlichen Reorganisation </w:t>
      </w:r>
      <w:r w:rsidR="00A7028D" w:rsidRPr="004676F5">
        <w:rPr>
          <w:lang w:val="de-DE"/>
        </w:rPr>
        <w:t>[oder der Übertragung unter der Autorität des Gerichts] [</w:t>
      </w:r>
      <w:r w:rsidR="00EE35E2" w:rsidRPr="004676F5">
        <w:rPr>
          <w:lang w:val="de-DE"/>
        </w:rPr>
        <w:t xml:space="preserve">und diesem </w:t>
      </w:r>
      <w:r w:rsidR="00A7028D" w:rsidRPr="004676F5">
        <w:rPr>
          <w:lang w:val="de-DE"/>
        </w:rPr>
        <w:t>Folgev</w:t>
      </w:r>
      <w:r w:rsidR="00EE35E2" w:rsidRPr="004676F5">
        <w:rPr>
          <w:lang w:val="de-DE"/>
        </w:rPr>
        <w:t>erfahren</w:t>
      </w:r>
      <w:r w:rsidR="00A7028D" w:rsidRPr="004676F5">
        <w:rPr>
          <w:lang w:val="de-DE"/>
        </w:rPr>
        <w:t>]</w:t>
      </w:r>
      <w:r w:rsidR="00EE35E2" w:rsidRPr="004676F5">
        <w:rPr>
          <w:lang w:val="de-DE"/>
        </w:rPr>
        <w:t xml:space="preserve"> besteht.</w:t>
      </w:r>
    </w:p>
    <w:p w14:paraId="265FE7B4" w14:textId="77777777" w:rsidR="00EE35E2" w:rsidRPr="004676F5" w:rsidRDefault="00EE35E2" w:rsidP="00EE35E2">
      <w:pPr>
        <w:ind w:firstLine="708"/>
        <w:jc w:val="both"/>
        <w:rPr>
          <w:lang w:val="de-DE"/>
        </w:rPr>
      </w:pPr>
    </w:p>
    <w:p w14:paraId="4848ACEC" w14:textId="3B9FC709" w:rsidR="00EE35E2" w:rsidRPr="004676F5" w:rsidRDefault="00EE35E2" w:rsidP="00EE35E2">
      <w:pPr>
        <w:ind w:firstLine="708"/>
        <w:jc w:val="both"/>
        <w:rPr>
          <w:lang w:val="de-DE"/>
        </w:rPr>
      </w:pPr>
      <w:r w:rsidRPr="004676F5">
        <w:rPr>
          <w:lang w:val="de-DE"/>
        </w:rPr>
        <w:t>Für Steuer</w:t>
      </w:r>
      <w:r w:rsidR="005B7A5C" w:rsidRPr="004676F5">
        <w:rPr>
          <w:lang w:val="de-DE"/>
        </w:rPr>
        <w:t>- </w:t>
      </w:r>
      <w:r w:rsidRPr="004676F5">
        <w:rPr>
          <w:lang w:val="de-DE"/>
        </w:rPr>
        <w:t>oder Sozialabgaben, -beiträge oder -hauptschulden gilt für die Anwendung des vorliegenden Artikels, dass sie sich auf Leistungen des Vertragspartners beziehen.</w:t>
      </w:r>
    </w:p>
    <w:p w14:paraId="271EACFB" w14:textId="77777777" w:rsidR="00EE35E2" w:rsidRPr="004676F5" w:rsidRDefault="00EE35E2" w:rsidP="00EE35E2">
      <w:pPr>
        <w:ind w:firstLine="708"/>
        <w:jc w:val="both"/>
        <w:rPr>
          <w:lang w:val="de-DE"/>
        </w:rPr>
      </w:pPr>
    </w:p>
    <w:p w14:paraId="5EDEEB74" w14:textId="4BB677FF" w:rsidR="00EE35E2" w:rsidRPr="004676F5" w:rsidRDefault="00EE35E2" w:rsidP="00EE35E2">
      <w:pPr>
        <w:ind w:firstLine="708"/>
        <w:jc w:val="both"/>
        <w:rPr>
          <w:lang w:val="de-DE"/>
        </w:rPr>
      </w:pPr>
      <w:r w:rsidRPr="004676F5">
        <w:rPr>
          <w:lang w:val="de-DE"/>
        </w:rPr>
        <w:t>Nebenforderungen von Steuer</w:t>
      </w:r>
      <w:r w:rsidR="005B7A5C" w:rsidRPr="004676F5">
        <w:rPr>
          <w:lang w:val="de-DE"/>
        </w:rPr>
        <w:t>- </w:t>
      </w:r>
      <w:r w:rsidRPr="004676F5">
        <w:rPr>
          <w:lang w:val="de-DE"/>
        </w:rPr>
        <w:t>oder Sozialabgaben, -beiträgen oder -schulden, die während des Verfahrens der gerichtlichen Reorganisation entstehen, gelten bei einem anschli</w:t>
      </w:r>
      <w:r w:rsidR="003775F0" w:rsidRPr="004676F5">
        <w:rPr>
          <w:lang w:val="de-DE"/>
        </w:rPr>
        <w:t>eßenden</w:t>
      </w:r>
      <w:r w:rsidRPr="004676F5">
        <w:rPr>
          <w:lang w:val="de-DE"/>
        </w:rPr>
        <w:t xml:space="preserve"> Konkurs oder einer anschließenden Liquidation nicht als Masseschulden.</w:t>
      </w:r>
    </w:p>
    <w:p w14:paraId="28FBABEA" w14:textId="77777777" w:rsidR="00EE35E2" w:rsidRPr="004676F5" w:rsidRDefault="00EE35E2" w:rsidP="00EE35E2">
      <w:pPr>
        <w:ind w:firstLine="708"/>
        <w:jc w:val="both"/>
        <w:rPr>
          <w:lang w:val="de-DE"/>
        </w:rPr>
      </w:pPr>
    </w:p>
    <w:p w14:paraId="59FF03A0" w14:textId="68935039" w:rsidR="00EE35E2" w:rsidRPr="004676F5" w:rsidRDefault="00EE35E2" w:rsidP="00EE35E2">
      <w:pPr>
        <w:ind w:firstLine="708"/>
        <w:jc w:val="both"/>
        <w:rPr>
          <w:lang w:val="de-DE"/>
        </w:rPr>
      </w:pPr>
      <w:r w:rsidRPr="004676F5">
        <w:rPr>
          <w:lang w:val="de-DE"/>
        </w:rPr>
        <w:t>Gegebenenfalls werden vertraglich, gesetzlich oder gerichtlich festgesetzte Entschä</w:t>
      </w:r>
      <w:r w:rsidRPr="004676F5">
        <w:rPr>
          <w:lang w:val="de-DE"/>
        </w:rPr>
        <w:softHyphen/>
        <w:t xml:space="preserve">digungen, deren Zahlung der Gläubiger aufgrund der Beendigung oder Nichtausführung des Vertrags verlangt, entsprechend ihres Bezugs auf den Zeitraum vor beziehungsweise nach der Eröffnung des Verfahrens </w:t>
      </w:r>
      <w:r w:rsidR="00A7028D" w:rsidRPr="004676F5">
        <w:rPr>
          <w:lang w:val="de-DE"/>
        </w:rPr>
        <w:t xml:space="preserve">[der gerichtlichen Reorganisation oder der Übertragung unter der Autorität des Gerichts] </w:t>
      </w:r>
      <w:r w:rsidRPr="004676F5">
        <w:rPr>
          <w:lang w:val="de-DE"/>
        </w:rPr>
        <w:t>proportional verteilt.</w:t>
      </w:r>
    </w:p>
    <w:p w14:paraId="0EC464B2" w14:textId="77B2AFC6" w:rsidR="00931A33" w:rsidRPr="004676F5" w:rsidRDefault="00931A33">
      <w:pPr>
        <w:rPr>
          <w:lang w:val="de-DE"/>
        </w:rPr>
      </w:pPr>
    </w:p>
    <w:p w14:paraId="1E6B2854" w14:textId="2F454066" w:rsidR="00EE35E2" w:rsidRPr="004676F5" w:rsidRDefault="00EE35E2" w:rsidP="00EE35E2">
      <w:pPr>
        <w:ind w:firstLine="708"/>
        <w:jc w:val="both"/>
        <w:rPr>
          <w:lang w:val="de-DE"/>
        </w:rPr>
      </w:pPr>
      <w:r w:rsidRPr="004676F5">
        <w:rPr>
          <w:lang w:val="de-DE"/>
        </w:rPr>
        <w:t>Die Begleichung der Forderungen erfolgt jedoch nur vorrangig aus dem Erlös aus der Verwertung der Güter, die mit einem dinglichen Recht belastet sind, sofern diese Leistungen zum Fortbestand der Sicherheit oder des Eigentums beigetragen haben.</w:t>
      </w:r>
    </w:p>
    <w:p w14:paraId="0FF6F403" w14:textId="77777777" w:rsidR="00EE35E2" w:rsidRPr="004676F5" w:rsidRDefault="00EE35E2" w:rsidP="00EE35E2">
      <w:pPr>
        <w:rPr>
          <w:lang w:val="de-DE"/>
        </w:rPr>
      </w:pPr>
    </w:p>
    <w:p w14:paraId="3075629F" w14:textId="09C1B6D3" w:rsidR="00A7028D" w:rsidRPr="004676F5" w:rsidRDefault="00A7028D" w:rsidP="00A7028D">
      <w:pPr>
        <w:jc w:val="both"/>
        <w:rPr>
          <w:i/>
          <w:iCs/>
          <w:lang w:val="de-DE"/>
        </w:rPr>
      </w:pPr>
      <w:r w:rsidRPr="004676F5">
        <w:rPr>
          <w:i/>
          <w:iCs/>
          <w:lang w:val="de-DE"/>
        </w:rPr>
        <w:t>[Art. XX.58 Abs. 1 abgeändert durch Art. 78 Nr. 1 des G. vom 7. Juni 2023 (B.S. vom 7. Juli 2023); Abs. 4 abgeändert durch Art. 78 Nr. 2 des G. vom 7. Juni 2023 (B.S. vom 7. Juli 2023)]</w:t>
      </w:r>
    </w:p>
    <w:p w14:paraId="0FFBD43C" w14:textId="77777777" w:rsidR="00DF5BE5" w:rsidRPr="004676F5" w:rsidRDefault="00DF5BE5" w:rsidP="00EE35E2">
      <w:pPr>
        <w:jc w:val="center"/>
        <w:rPr>
          <w:i/>
          <w:lang w:val="de-DE"/>
        </w:rPr>
      </w:pPr>
    </w:p>
    <w:p w14:paraId="027A6E6F" w14:textId="77777777" w:rsidR="00A7028D" w:rsidRPr="004676F5" w:rsidRDefault="00A7028D" w:rsidP="00EE35E2">
      <w:pPr>
        <w:jc w:val="center"/>
        <w:rPr>
          <w:i/>
          <w:lang w:val="de-DE"/>
        </w:rPr>
      </w:pPr>
    </w:p>
    <w:p w14:paraId="7A9AC2C7" w14:textId="0CF8564E" w:rsidR="001B6B48" w:rsidRPr="004676F5" w:rsidRDefault="001B6B48" w:rsidP="001B6B48">
      <w:pPr>
        <w:jc w:val="center"/>
        <w:rPr>
          <w:lang w:val="de-DE"/>
        </w:rPr>
      </w:pPr>
      <w:r w:rsidRPr="004676F5">
        <w:rPr>
          <w:iCs/>
          <w:lang w:val="de-DE"/>
        </w:rPr>
        <w:t>[</w:t>
      </w:r>
      <w:r w:rsidRPr="004676F5">
        <w:rPr>
          <w:i/>
          <w:lang w:val="de-DE"/>
        </w:rPr>
        <w:t>Abschnitt 6</w:t>
      </w:r>
      <w:r w:rsidRPr="004676F5">
        <w:rPr>
          <w:iCs/>
          <w:lang w:val="de-DE"/>
        </w:rPr>
        <w:t>]</w:t>
      </w:r>
      <w:r w:rsidRPr="004676F5">
        <w:rPr>
          <w:i/>
          <w:lang w:val="de-DE"/>
        </w:rPr>
        <w:t> - </w:t>
      </w:r>
      <w:r w:rsidRPr="004676F5">
        <w:rPr>
          <w:iCs/>
          <w:lang w:val="de-DE"/>
        </w:rPr>
        <w:t>[</w:t>
      </w:r>
      <w:r w:rsidRPr="004676F5">
        <w:rPr>
          <w:lang w:val="de-DE"/>
        </w:rPr>
        <w:t>Verlängerung oder Änderung des Aufschubs]</w:t>
      </w:r>
    </w:p>
    <w:p w14:paraId="1E2F4CA6" w14:textId="77777777" w:rsidR="001B6B48" w:rsidRPr="004676F5" w:rsidRDefault="001B6B48" w:rsidP="001B6B48">
      <w:pPr>
        <w:rPr>
          <w:lang w:val="de-DE"/>
        </w:rPr>
      </w:pPr>
    </w:p>
    <w:p w14:paraId="179C35A1" w14:textId="2CC74580" w:rsidR="001B6B48" w:rsidRPr="004676F5" w:rsidRDefault="001B6B48" w:rsidP="001B6B48">
      <w:pPr>
        <w:rPr>
          <w:b/>
          <w:i/>
          <w:lang w:val="de-DE"/>
        </w:rPr>
      </w:pPr>
      <w:r w:rsidRPr="004676F5">
        <w:rPr>
          <w:bCs/>
          <w:i/>
          <w:lang w:val="de-DE"/>
        </w:rPr>
        <w:t xml:space="preserve">[Früherer Abschnitt 7 </w:t>
      </w:r>
      <w:r w:rsidR="00B20716" w:rsidRPr="004676F5">
        <w:rPr>
          <w:bCs/>
          <w:i/>
          <w:iCs/>
          <w:lang w:val="de-DE"/>
        </w:rPr>
        <w:t xml:space="preserve">umgegliedert und </w:t>
      </w:r>
      <w:r w:rsidRPr="004676F5">
        <w:rPr>
          <w:bCs/>
          <w:i/>
          <w:lang w:val="de-DE"/>
        </w:rPr>
        <w:t>umnummeriert zu Abschnitt 6 und Überschrift ersetzt durch Art. 79</w:t>
      </w:r>
      <w:r w:rsidRPr="004676F5">
        <w:rPr>
          <w:bCs/>
          <w:i/>
          <w:iCs/>
          <w:lang w:val="de-DE"/>
        </w:rPr>
        <w:t xml:space="preserve"> des G. vom 7. Juni 2023 (B.S. vom 7. Juli 2023)]</w:t>
      </w:r>
    </w:p>
    <w:p w14:paraId="5EC2133D" w14:textId="77777777" w:rsidR="001B6B48" w:rsidRPr="004676F5" w:rsidRDefault="001B6B48" w:rsidP="001B6B48">
      <w:pPr>
        <w:rPr>
          <w:lang w:val="de-DE"/>
        </w:rPr>
      </w:pPr>
    </w:p>
    <w:p w14:paraId="4750E297" w14:textId="77777777" w:rsidR="00DF5BE5" w:rsidRPr="004676F5" w:rsidRDefault="00DF5BE5" w:rsidP="00EE35E2">
      <w:pPr>
        <w:jc w:val="both"/>
        <w:rPr>
          <w:lang w:val="de-DE"/>
        </w:rPr>
      </w:pPr>
    </w:p>
    <w:p w14:paraId="05118CAE" w14:textId="125AFF0A" w:rsidR="00EE35E2" w:rsidRPr="004676F5" w:rsidRDefault="00BE0A56" w:rsidP="00EE35E2">
      <w:pPr>
        <w:ind w:firstLine="708"/>
        <w:jc w:val="both"/>
        <w:rPr>
          <w:lang w:val="de-DE"/>
        </w:rPr>
      </w:pPr>
      <w:r w:rsidRPr="004676F5">
        <w:rPr>
          <w:b/>
          <w:lang w:val="de-DE"/>
        </w:rPr>
        <w:t>Art. </w:t>
      </w:r>
      <w:r w:rsidR="00EE35E2" w:rsidRPr="004676F5">
        <w:rPr>
          <w:b/>
          <w:lang w:val="de-DE"/>
        </w:rPr>
        <w:t>XX.59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Auf Antrag des Schuldners</w:t>
      </w:r>
      <w:r w:rsidR="001B6B48" w:rsidRPr="004676F5">
        <w:rPr>
          <w:lang w:val="de-DE"/>
        </w:rPr>
        <w:t>[, des Reorganisationsbearbeiters oder des Liquidationsbearbeiters]</w:t>
      </w:r>
      <w:r w:rsidR="00EE35E2" w:rsidRPr="004676F5">
        <w:rPr>
          <w:lang w:val="de-DE"/>
        </w:rPr>
        <w:t xml:space="preserve"> kann das Gericht den gemäß Artikel XX.46 § 2 oder gemäß vorliegendem Artikel gewährten Aufschub um die von ihm bestimmte Dauer verlängern</w:t>
      </w:r>
      <w:r w:rsidR="00D30297" w:rsidRPr="004676F5">
        <w:rPr>
          <w:lang w:val="de-DE"/>
        </w:rPr>
        <w:t>[, sofern die Umstände es unter Berücksichtigung des Ziels des Verfahrens rechtfertigen und die Interessen der betroffenen Parteien es zulassen]</w:t>
      </w:r>
      <w:r w:rsidR="00EE35E2" w:rsidRPr="004676F5">
        <w:rPr>
          <w:lang w:val="de-DE"/>
        </w:rPr>
        <w:t>.</w:t>
      </w:r>
    </w:p>
    <w:p w14:paraId="0D4EB02D" w14:textId="77777777" w:rsidR="00EE35E2" w:rsidRPr="004676F5" w:rsidRDefault="00EE35E2" w:rsidP="00EE35E2">
      <w:pPr>
        <w:ind w:firstLine="708"/>
        <w:jc w:val="both"/>
        <w:rPr>
          <w:lang w:val="de-DE"/>
        </w:rPr>
      </w:pPr>
    </w:p>
    <w:p w14:paraId="1EC97455" w14:textId="779B2597" w:rsidR="00EE35E2" w:rsidRPr="004676F5" w:rsidRDefault="00EE35E2" w:rsidP="00EE35E2">
      <w:pPr>
        <w:ind w:firstLine="708"/>
        <w:jc w:val="both"/>
        <w:rPr>
          <w:lang w:val="de-DE"/>
        </w:rPr>
      </w:pPr>
      <w:r w:rsidRPr="004676F5">
        <w:rPr>
          <w:lang w:val="de-DE"/>
        </w:rPr>
        <w:t xml:space="preserve">Das Gericht entscheidet nach Bericht des beauftragten Richters. </w:t>
      </w:r>
      <w:r w:rsidR="00D30297" w:rsidRPr="004676F5">
        <w:rPr>
          <w:lang w:val="de-DE"/>
        </w:rPr>
        <w:t>[...]</w:t>
      </w:r>
    </w:p>
    <w:p w14:paraId="3180AD62" w14:textId="77777777" w:rsidR="00EE35E2" w:rsidRPr="004676F5" w:rsidRDefault="00EE35E2" w:rsidP="00EE35E2">
      <w:pPr>
        <w:ind w:firstLine="708"/>
        <w:jc w:val="both"/>
        <w:rPr>
          <w:lang w:val="de-DE"/>
        </w:rPr>
      </w:pPr>
    </w:p>
    <w:p w14:paraId="30884D89" w14:textId="1224001D" w:rsidR="00EE35E2" w:rsidRPr="004676F5" w:rsidRDefault="00EE35E2" w:rsidP="00EE35E2">
      <w:pPr>
        <w:ind w:firstLine="708"/>
        <w:jc w:val="both"/>
        <w:rPr>
          <w:lang w:val="de-DE"/>
        </w:rPr>
      </w:pPr>
      <w:r w:rsidRPr="004676F5">
        <w:rPr>
          <w:lang w:val="de-DE"/>
        </w:rPr>
        <w:t xml:space="preserve">Die </w:t>
      </w:r>
      <w:r w:rsidR="00D30297" w:rsidRPr="004676F5">
        <w:rPr>
          <w:lang w:val="de-DE"/>
        </w:rPr>
        <w:t>[Gesam</w:t>
      </w:r>
      <w:r w:rsidRPr="004676F5">
        <w:rPr>
          <w:lang w:val="de-DE"/>
        </w:rPr>
        <w:t>tdauer</w:t>
      </w:r>
      <w:r w:rsidR="00D30297" w:rsidRPr="004676F5">
        <w:rPr>
          <w:lang w:val="de-DE"/>
        </w:rPr>
        <w:t>]</w:t>
      </w:r>
      <w:r w:rsidRPr="004676F5">
        <w:rPr>
          <w:lang w:val="de-DE"/>
        </w:rPr>
        <w:t xml:space="preserve"> des derart verlängerten Aufschubs darf nicht mehr als zwölf Monate ab dem Urteil zur Aufschubgewährung betragen.</w:t>
      </w:r>
    </w:p>
    <w:p w14:paraId="78135ECD" w14:textId="77777777" w:rsidR="00EE35E2" w:rsidRPr="004676F5" w:rsidRDefault="00EE35E2" w:rsidP="00EE35E2">
      <w:pPr>
        <w:ind w:firstLine="708"/>
        <w:jc w:val="both"/>
        <w:rPr>
          <w:lang w:val="de-DE"/>
        </w:rPr>
      </w:pPr>
    </w:p>
    <w:p w14:paraId="1A28DD1B" w14:textId="77777777" w:rsidR="00EE35E2" w:rsidRPr="004676F5" w:rsidRDefault="00EE35E2" w:rsidP="00EE35E2">
      <w:pPr>
        <w:ind w:firstLine="708"/>
        <w:jc w:val="both"/>
        <w:rPr>
          <w:lang w:val="de-DE"/>
        </w:rPr>
      </w:pPr>
      <w:r w:rsidRPr="004676F5">
        <w:rPr>
          <w:lang w:val="de-DE"/>
        </w:rPr>
        <w:t>Zur Vermeidung der Unzulässigkeit muss die Antragschrift spätestens fünfzehn Tage vor Verstreichen der eingeräumten Frist hinterlegt werden.</w:t>
      </w:r>
    </w:p>
    <w:p w14:paraId="2CB70763" w14:textId="77777777" w:rsidR="00EE35E2" w:rsidRPr="004676F5" w:rsidRDefault="00EE35E2" w:rsidP="00EE35E2">
      <w:pPr>
        <w:ind w:firstLine="708"/>
        <w:jc w:val="both"/>
        <w:rPr>
          <w:lang w:val="de-DE"/>
        </w:rPr>
      </w:pPr>
    </w:p>
    <w:p w14:paraId="6530B49A" w14:textId="77777777" w:rsidR="00D30297" w:rsidRPr="004676F5" w:rsidRDefault="00EE35E2" w:rsidP="00D30297">
      <w:pPr>
        <w:ind w:firstLine="708"/>
        <w:jc w:val="both"/>
        <w:rPr>
          <w:lang w:val="de-DE"/>
        </w:rPr>
      </w:pPr>
      <w:r w:rsidRPr="004676F5">
        <w:rPr>
          <w:lang w:val="de-DE"/>
        </w:rPr>
        <w:t>§ 2 </w:t>
      </w:r>
      <w:r w:rsidR="005B7A5C" w:rsidRPr="004676F5">
        <w:rPr>
          <w:lang w:val="de-DE"/>
        </w:rPr>
        <w:t>- </w:t>
      </w:r>
      <w:r w:rsidR="00D30297" w:rsidRPr="004676F5">
        <w:rPr>
          <w:lang w:val="de-DE"/>
        </w:rPr>
        <w:t>[Im Urteil zur Aufschubsverlängerung werden die Umstände angegeben, die die Dauer der durch das Urteil festgelegten Verlängerung rechtfertigen, und die Gründe, warum eine solche Verlängerung die Interessen der betroffenen Parteien nicht übermäßig beeinträchtigt.</w:t>
      </w:r>
    </w:p>
    <w:p w14:paraId="188D56A8" w14:textId="77777777" w:rsidR="00D30297" w:rsidRPr="004676F5" w:rsidRDefault="00D30297" w:rsidP="00D30297">
      <w:pPr>
        <w:jc w:val="both"/>
        <w:rPr>
          <w:lang w:val="de-DE"/>
        </w:rPr>
      </w:pPr>
    </w:p>
    <w:p w14:paraId="4CD0AA98" w14:textId="1920C5BF" w:rsidR="00EE35E2" w:rsidRPr="004676F5" w:rsidRDefault="00D30297" w:rsidP="00D30297">
      <w:pPr>
        <w:ind w:firstLine="708"/>
        <w:jc w:val="both"/>
        <w:rPr>
          <w:lang w:val="de-DE"/>
        </w:rPr>
      </w:pPr>
      <w:r w:rsidRPr="004676F5">
        <w:rPr>
          <w:lang w:val="de-DE"/>
        </w:rPr>
        <w:t>Als solche Umstände können insbesondere die Größe des Unternehmens, die Komplexität der Sache, die Anzahl Arbeitsplätze, die erhalten werden können, oder die Notwendigkeit zusätzlicher Fristen zur Förderung der Verhandlungen angesehen werden.]</w:t>
      </w:r>
    </w:p>
    <w:p w14:paraId="7C2D58DE" w14:textId="77777777" w:rsidR="00EE35E2" w:rsidRPr="004676F5" w:rsidRDefault="00EE35E2" w:rsidP="00EE35E2">
      <w:pPr>
        <w:ind w:firstLine="708"/>
        <w:jc w:val="both"/>
        <w:rPr>
          <w:lang w:val="de-DE"/>
        </w:rPr>
      </w:pPr>
    </w:p>
    <w:p w14:paraId="72B730B6" w14:textId="0220F376"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Gegen die aufgrund des vorliegenden Artikels getroffenen Entscheidungen kann weder Einspruch noch Berufung eingelegt werden.</w:t>
      </w:r>
    </w:p>
    <w:p w14:paraId="78D49DE4" w14:textId="77777777" w:rsidR="00EE35E2" w:rsidRPr="004676F5" w:rsidRDefault="00EE35E2" w:rsidP="00EE35E2">
      <w:pPr>
        <w:ind w:firstLine="708"/>
        <w:jc w:val="both"/>
        <w:rPr>
          <w:lang w:val="de-DE"/>
        </w:rPr>
      </w:pPr>
    </w:p>
    <w:p w14:paraId="0FBA23B3" w14:textId="5864F446"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Das Urteil zur Aufschub</w:t>
      </w:r>
      <w:r w:rsidR="006E2326" w:rsidRPr="004676F5">
        <w:rPr>
          <w:lang w:val="de-DE"/>
        </w:rPr>
        <w:t>s</w:t>
      </w:r>
      <w:r w:rsidRPr="004676F5">
        <w:rPr>
          <w:lang w:val="de-DE"/>
        </w:rPr>
        <w:t xml:space="preserve">verlängerung wird auf Betreiben des Greffiers innerhalb fünf Tagen nach seinem Datum auszugsweise im </w:t>
      </w:r>
      <w:r w:rsidRPr="004676F5">
        <w:rPr>
          <w:i/>
          <w:lang w:val="de-DE"/>
        </w:rPr>
        <w:t>Belgischen Staatsblatt</w:t>
      </w:r>
      <w:r w:rsidRPr="004676F5">
        <w:rPr>
          <w:lang w:val="de-DE"/>
        </w:rPr>
        <w:t xml:space="preserve"> veröffentlicht.</w:t>
      </w:r>
    </w:p>
    <w:p w14:paraId="044BB2A8" w14:textId="43FA363A" w:rsidR="00D30297" w:rsidRPr="004676F5" w:rsidRDefault="00D30297" w:rsidP="00EE35E2">
      <w:pPr>
        <w:jc w:val="both"/>
        <w:rPr>
          <w:lang w:val="de-DE"/>
        </w:rPr>
      </w:pPr>
    </w:p>
    <w:p w14:paraId="0619781B" w14:textId="6817829B" w:rsidR="00D30297" w:rsidRPr="004676F5" w:rsidRDefault="00D30297" w:rsidP="00EE35E2">
      <w:pPr>
        <w:jc w:val="both"/>
        <w:rPr>
          <w:i/>
          <w:iCs/>
          <w:lang w:val="de-DE"/>
        </w:rPr>
      </w:pPr>
      <w:r w:rsidRPr="004676F5">
        <w:rPr>
          <w:i/>
          <w:iCs/>
          <w:lang w:val="de-DE"/>
        </w:rPr>
        <w:t>[Art. XX.59 § 1 Abs. 1 abgeändert durch Art. 80 Nr. 1 und 2 des G. vom 7. Juni 2023 (B.S. vom 7. Juli 2023); § 1 Abs. 2 abgeändert durch Art. 80 Nr. 3 des G. vom 7. Juni 2023 (B.S. vom 7. Juli 2023); § 1 Abs. 3 abgeändert durch Art. 80 Nr. 4 des G. vom 7. Juni 2023 (B.S. vom 7. Juli 2023); § 2 ersetzt durch Art. 80 Nr. 5 des G. vom 7. Juni 2023 (B.S. vom 7. Juli 2023)]</w:t>
      </w:r>
    </w:p>
    <w:p w14:paraId="6FBF3F4D" w14:textId="77777777" w:rsidR="00D30297" w:rsidRPr="004676F5" w:rsidRDefault="00D30297" w:rsidP="00EE35E2">
      <w:pPr>
        <w:jc w:val="both"/>
        <w:rPr>
          <w:lang w:val="de-DE"/>
        </w:rPr>
      </w:pPr>
    </w:p>
    <w:p w14:paraId="03793350" w14:textId="77777777" w:rsidR="00D30297" w:rsidRPr="004676F5" w:rsidRDefault="00D30297" w:rsidP="00EE35E2">
      <w:pPr>
        <w:jc w:val="both"/>
        <w:rPr>
          <w:lang w:val="de-DE"/>
        </w:rPr>
      </w:pPr>
    </w:p>
    <w:p w14:paraId="20FFEFA8" w14:textId="77777777" w:rsidR="00D30297" w:rsidRPr="004676F5" w:rsidRDefault="00D30297" w:rsidP="00D30297">
      <w:pPr>
        <w:jc w:val="both"/>
        <w:rPr>
          <w:lang w:val="de-DE"/>
        </w:rPr>
      </w:pPr>
      <w:r w:rsidRPr="004676F5">
        <w:rPr>
          <w:lang w:val="de-DE"/>
        </w:rPr>
        <w:tab/>
        <w:t>[</w:t>
      </w:r>
      <w:r w:rsidRPr="004676F5">
        <w:rPr>
          <w:b/>
          <w:bCs/>
          <w:lang w:val="de-DE"/>
        </w:rPr>
        <w:t>Art. XX.59/1</w:t>
      </w:r>
      <w:r w:rsidRPr="004676F5">
        <w:rPr>
          <w:lang w:val="de-DE"/>
        </w:rPr>
        <w:t> - Ein Gläubiger, der durch den Aufschub seiner Vollstreckungsmittel offensichtlich geschädigt wird oder dessen Fortbestand durch diesen Aufschub offensichtlich gefährdet ist, kann beim Gericht beantragen, die Wirkungen des in Artikel XX.50 Absatz 1 erwähnten Aufschubs für ihn aufzuheben. Das Gericht gibt einem solchen Antrag nur insoweit statt, als der Ausschluss den Fortbestand der Gesamtheit oder eines Teils der Aktiva und Tätigkeiten des Schuldners nicht gefährdet.</w:t>
      </w:r>
    </w:p>
    <w:p w14:paraId="1599C604" w14:textId="77777777" w:rsidR="00D30297" w:rsidRPr="004676F5" w:rsidRDefault="00D30297" w:rsidP="00D30297">
      <w:pPr>
        <w:jc w:val="both"/>
        <w:rPr>
          <w:lang w:val="de-DE"/>
        </w:rPr>
      </w:pPr>
    </w:p>
    <w:p w14:paraId="5FB3132C" w14:textId="037E310E" w:rsidR="00D30297" w:rsidRPr="004676F5" w:rsidRDefault="00D30297" w:rsidP="00931A33">
      <w:pPr>
        <w:rPr>
          <w:lang w:val="de-DE"/>
        </w:rPr>
      </w:pPr>
      <w:r w:rsidRPr="004676F5">
        <w:rPr>
          <w:lang w:val="de-DE"/>
        </w:rPr>
        <w:tab/>
        <w:t>Das Gericht entscheidet nach Bericht des beauftragten Richters und nach Vernehmung des Antragstellers und des Schuldners.]</w:t>
      </w:r>
    </w:p>
    <w:p w14:paraId="397602DD" w14:textId="77777777" w:rsidR="00DF5BE5" w:rsidRPr="004676F5" w:rsidRDefault="00DF5BE5" w:rsidP="00EE35E2">
      <w:pPr>
        <w:jc w:val="both"/>
        <w:rPr>
          <w:lang w:val="de-DE"/>
        </w:rPr>
      </w:pPr>
    </w:p>
    <w:p w14:paraId="08B04EAA" w14:textId="06068D5D" w:rsidR="00D30297" w:rsidRPr="004676F5" w:rsidRDefault="00D30297" w:rsidP="00D30297">
      <w:pPr>
        <w:jc w:val="both"/>
        <w:rPr>
          <w:i/>
          <w:lang w:val="de-DE"/>
        </w:rPr>
      </w:pPr>
      <w:r w:rsidRPr="004676F5">
        <w:rPr>
          <w:i/>
          <w:lang w:val="de-DE"/>
        </w:rPr>
        <w:t>[Art. XX.59/1 eingefügt durch Art. 81</w:t>
      </w:r>
      <w:r w:rsidRPr="004676F5">
        <w:rPr>
          <w:i/>
          <w:iCs/>
          <w:lang w:val="de-DE"/>
        </w:rPr>
        <w:t xml:space="preserve"> des G. vom 7. Juni 2023 (B.S. vom 7. Juli 2023)]</w:t>
      </w:r>
    </w:p>
    <w:p w14:paraId="2B14DCC8" w14:textId="77777777" w:rsidR="00D30297" w:rsidRPr="004676F5" w:rsidRDefault="00D30297" w:rsidP="00EE35E2">
      <w:pPr>
        <w:jc w:val="both"/>
        <w:rPr>
          <w:lang w:val="de-DE"/>
        </w:rPr>
      </w:pPr>
    </w:p>
    <w:p w14:paraId="29960625" w14:textId="77777777" w:rsidR="00D30297" w:rsidRPr="004676F5" w:rsidRDefault="00D30297" w:rsidP="00EE35E2">
      <w:pPr>
        <w:jc w:val="both"/>
        <w:rPr>
          <w:lang w:val="de-DE"/>
        </w:rPr>
      </w:pPr>
    </w:p>
    <w:p w14:paraId="49450496" w14:textId="77777777" w:rsidR="00D30297" w:rsidRPr="004676F5" w:rsidRDefault="00D30297">
      <w:pPr>
        <w:rPr>
          <w:iCs/>
          <w:lang w:val="de-DE"/>
        </w:rPr>
      </w:pPr>
      <w:r w:rsidRPr="004676F5">
        <w:rPr>
          <w:iCs/>
          <w:lang w:val="de-DE"/>
        </w:rPr>
        <w:br w:type="page"/>
      </w:r>
    </w:p>
    <w:p w14:paraId="0987B09B" w14:textId="2F3FF762" w:rsidR="00D30297" w:rsidRPr="004676F5" w:rsidRDefault="00D30297" w:rsidP="00D30297">
      <w:pPr>
        <w:jc w:val="center"/>
        <w:rPr>
          <w:lang w:val="de-DE"/>
        </w:rPr>
      </w:pPr>
      <w:r w:rsidRPr="004676F5">
        <w:rPr>
          <w:iCs/>
          <w:lang w:val="de-DE"/>
        </w:rPr>
        <w:lastRenderedPageBreak/>
        <w:t>[</w:t>
      </w:r>
      <w:r w:rsidRPr="004676F5">
        <w:rPr>
          <w:i/>
          <w:lang w:val="de-DE"/>
        </w:rPr>
        <w:t>Abschnitt 7</w:t>
      </w:r>
      <w:r w:rsidRPr="004676F5">
        <w:rPr>
          <w:iCs/>
          <w:lang w:val="de-DE"/>
        </w:rPr>
        <w:t>]</w:t>
      </w:r>
      <w:r w:rsidRPr="004676F5">
        <w:rPr>
          <w:i/>
          <w:lang w:val="de-DE"/>
        </w:rPr>
        <w:t> - </w:t>
      </w:r>
      <w:r w:rsidRPr="004676F5">
        <w:rPr>
          <w:lang w:val="de-DE"/>
        </w:rPr>
        <w:t>Änderung des Ziels des Verfahrens</w:t>
      </w:r>
    </w:p>
    <w:p w14:paraId="358EDDC9" w14:textId="77777777" w:rsidR="00D30297" w:rsidRPr="004676F5" w:rsidRDefault="00D30297" w:rsidP="00D30297">
      <w:pPr>
        <w:rPr>
          <w:lang w:val="de-DE"/>
        </w:rPr>
      </w:pPr>
    </w:p>
    <w:p w14:paraId="44DF39B1" w14:textId="31E8D36B" w:rsidR="00D30297" w:rsidRPr="004676F5" w:rsidRDefault="00D30297" w:rsidP="007F14E9">
      <w:pPr>
        <w:jc w:val="both"/>
        <w:rPr>
          <w:b/>
          <w:i/>
          <w:lang w:val="de-DE"/>
        </w:rPr>
      </w:pPr>
      <w:r w:rsidRPr="004676F5">
        <w:rPr>
          <w:bCs/>
          <w:i/>
          <w:lang w:val="de-DE"/>
        </w:rPr>
        <w:t xml:space="preserve">[Früherer Abschnitt 8 </w:t>
      </w:r>
      <w:r w:rsidR="00B20716" w:rsidRPr="004676F5">
        <w:rPr>
          <w:bCs/>
          <w:i/>
          <w:iCs/>
          <w:lang w:val="de-DE"/>
        </w:rPr>
        <w:t xml:space="preserve">umgegliedert und </w:t>
      </w:r>
      <w:r w:rsidRPr="004676F5">
        <w:rPr>
          <w:bCs/>
          <w:i/>
          <w:lang w:val="de-DE"/>
        </w:rPr>
        <w:t>umnummeriert zu Abschnitt 7 durch Art. 82</w:t>
      </w:r>
      <w:r w:rsidRPr="004676F5">
        <w:rPr>
          <w:bCs/>
          <w:i/>
          <w:iCs/>
          <w:lang w:val="de-DE"/>
        </w:rPr>
        <w:t xml:space="preserve"> des G. vom 7. Juni 2023 (B.S. vom 7. Juli 2023)]</w:t>
      </w:r>
    </w:p>
    <w:p w14:paraId="42B514B1" w14:textId="77777777" w:rsidR="00D30297" w:rsidRPr="004676F5" w:rsidRDefault="00D30297" w:rsidP="00D30297">
      <w:pPr>
        <w:rPr>
          <w:lang w:val="de-DE"/>
        </w:rPr>
      </w:pPr>
    </w:p>
    <w:p w14:paraId="6FEFDE53" w14:textId="77777777" w:rsidR="00DF5BE5" w:rsidRPr="004676F5" w:rsidRDefault="00DF5BE5" w:rsidP="00EE35E2">
      <w:pPr>
        <w:jc w:val="both"/>
        <w:rPr>
          <w:lang w:val="de-DE"/>
        </w:rPr>
      </w:pPr>
    </w:p>
    <w:p w14:paraId="6030FE00" w14:textId="1BD51227" w:rsidR="00EE35E2" w:rsidRPr="004676F5" w:rsidRDefault="00BE0A56" w:rsidP="00EE35E2">
      <w:pPr>
        <w:ind w:firstLine="708"/>
        <w:jc w:val="both"/>
        <w:rPr>
          <w:lang w:val="de-DE"/>
        </w:rPr>
      </w:pPr>
      <w:r w:rsidRPr="004676F5">
        <w:rPr>
          <w:b/>
          <w:lang w:val="de-DE"/>
        </w:rPr>
        <w:t>Art. </w:t>
      </w:r>
      <w:r w:rsidR="00EE35E2" w:rsidRPr="004676F5">
        <w:rPr>
          <w:b/>
          <w:lang w:val="de-DE"/>
        </w:rPr>
        <w:t>XX.60</w:t>
      </w:r>
      <w:r w:rsidR="00EE35E2" w:rsidRPr="004676F5">
        <w:rPr>
          <w:lang w:val="de-DE"/>
        </w:rPr>
        <w:t> </w:t>
      </w:r>
      <w:r w:rsidR="005B7A5C" w:rsidRPr="004676F5">
        <w:rPr>
          <w:lang w:val="de-DE"/>
        </w:rPr>
        <w:t>- </w:t>
      </w:r>
      <w:r w:rsidR="00EE35E2" w:rsidRPr="004676F5">
        <w:rPr>
          <w:lang w:val="de-DE"/>
        </w:rPr>
        <w:t>Zu jedem Zeitpunkt während des Aufschubs kann ein Schuldner beim Gericht unbeschadet des Artikels XX.49 beantragen, das Ziel des Verfahrens zu ändern.</w:t>
      </w:r>
    </w:p>
    <w:p w14:paraId="528D3CE9" w14:textId="77777777" w:rsidR="00EE35E2" w:rsidRPr="004676F5" w:rsidRDefault="00EE35E2" w:rsidP="00EE35E2">
      <w:pPr>
        <w:ind w:firstLine="708"/>
        <w:jc w:val="both"/>
        <w:rPr>
          <w:lang w:val="de-DE"/>
        </w:rPr>
      </w:pPr>
    </w:p>
    <w:p w14:paraId="0F669A9A" w14:textId="77777777" w:rsidR="00EE35E2" w:rsidRPr="004676F5" w:rsidRDefault="00EE35E2" w:rsidP="00EE35E2">
      <w:pPr>
        <w:ind w:firstLine="708"/>
        <w:jc w:val="both"/>
        <w:rPr>
          <w:lang w:val="de-DE"/>
        </w:rPr>
      </w:pPr>
      <w:r w:rsidRPr="004676F5">
        <w:rPr>
          <w:lang w:val="de-DE"/>
        </w:rPr>
        <w:t xml:space="preserve">Das Urteil, mit dem das Gericht diesem Antrag stattgibt, wird im </w:t>
      </w:r>
      <w:r w:rsidRPr="004676F5">
        <w:rPr>
          <w:i/>
          <w:lang w:val="de-DE"/>
        </w:rPr>
        <w:t>Belgischen Staatsblatt</w:t>
      </w:r>
      <w:r w:rsidRPr="004676F5">
        <w:rPr>
          <w:lang w:val="de-DE"/>
        </w:rPr>
        <w:t xml:space="preserve"> veröffentlicht und gemäß Artikel XX.49 § 1 notifiziert. Das Urteil, mit dem der Antrag abgewiesen wird, wird dem Schuldner notifiziert.</w:t>
      </w:r>
    </w:p>
    <w:p w14:paraId="6E45C542" w14:textId="77777777" w:rsidR="00EE35E2" w:rsidRPr="004676F5" w:rsidRDefault="00EE35E2" w:rsidP="00EE35E2">
      <w:pPr>
        <w:jc w:val="both"/>
        <w:rPr>
          <w:lang w:val="de-DE"/>
        </w:rPr>
      </w:pPr>
    </w:p>
    <w:p w14:paraId="05AD617A" w14:textId="77777777" w:rsidR="00EE35E2" w:rsidRPr="004676F5" w:rsidRDefault="00EE35E2" w:rsidP="00EE35E2">
      <w:pPr>
        <w:rPr>
          <w:lang w:val="de-DE"/>
        </w:rPr>
      </w:pPr>
    </w:p>
    <w:p w14:paraId="67813965" w14:textId="5054245A" w:rsidR="00EE35E2" w:rsidRPr="004676F5" w:rsidRDefault="00D30297" w:rsidP="00EE35E2">
      <w:pPr>
        <w:jc w:val="center"/>
        <w:rPr>
          <w:lang w:val="de-DE"/>
        </w:rPr>
      </w:pPr>
      <w:r w:rsidRPr="004676F5">
        <w:rPr>
          <w:iCs/>
          <w:lang w:val="de-DE"/>
        </w:rPr>
        <w:t>[</w:t>
      </w:r>
      <w:r w:rsidR="00EE35E2" w:rsidRPr="004676F5">
        <w:rPr>
          <w:i/>
          <w:lang w:val="de-DE"/>
        </w:rPr>
        <w:t>Abschnitt </w:t>
      </w:r>
      <w:r w:rsidRPr="004676F5">
        <w:rPr>
          <w:i/>
          <w:lang w:val="de-DE"/>
        </w:rPr>
        <w:t>8</w:t>
      </w:r>
      <w:r w:rsidRPr="004676F5">
        <w:rPr>
          <w:iCs/>
          <w:lang w:val="de-DE"/>
        </w:rPr>
        <w:t>]</w:t>
      </w:r>
      <w:r w:rsidR="00EE35E2" w:rsidRPr="004676F5">
        <w:rPr>
          <w:lang w:val="de-DE"/>
        </w:rPr>
        <w:t> </w:t>
      </w:r>
      <w:r w:rsidR="005B7A5C" w:rsidRPr="004676F5">
        <w:rPr>
          <w:lang w:val="de-DE"/>
        </w:rPr>
        <w:t>- </w:t>
      </w:r>
      <w:r w:rsidR="00EE35E2" w:rsidRPr="004676F5">
        <w:rPr>
          <w:lang w:val="de-DE"/>
        </w:rPr>
        <w:t>Vorzeitige Beendigung und Abschluss des Verfahrens</w:t>
      </w:r>
    </w:p>
    <w:p w14:paraId="6383BABF" w14:textId="77777777" w:rsidR="00EE35E2" w:rsidRPr="004676F5" w:rsidRDefault="00EE35E2" w:rsidP="00EE35E2">
      <w:pPr>
        <w:jc w:val="both"/>
        <w:rPr>
          <w:lang w:val="de-DE"/>
        </w:rPr>
      </w:pPr>
    </w:p>
    <w:p w14:paraId="42938F50" w14:textId="41DD9686" w:rsidR="00D30297" w:rsidRPr="004676F5" w:rsidRDefault="00D30297" w:rsidP="007F14E9">
      <w:pPr>
        <w:jc w:val="both"/>
        <w:rPr>
          <w:b/>
          <w:i/>
          <w:lang w:val="de-DE"/>
        </w:rPr>
      </w:pPr>
      <w:r w:rsidRPr="004676F5">
        <w:rPr>
          <w:bCs/>
          <w:i/>
          <w:lang w:val="de-DE"/>
        </w:rPr>
        <w:t xml:space="preserve">[Früherer Abschnitt 9 </w:t>
      </w:r>
      <w:r w:rsidR="00B20716" w:rsidRPr="004676F5">
        <w:rPr>
          <w:bCs/>
          <w:i/>
          <w:iCs/>
          <w:lang w:val="de-DE"/>
        </w:rPr>
        <w:t xml:space="preserve">umgegliedert und </w:t>
      </w:r>
      <w:r w:rsidRPr="004676F5">
        <w:rPr>
          <w:bCs/>
          <w:i/>
          <w:lang w:val="de-DE"/>
        </w:rPr>
        <w:t>umnummeriert zu Abschnitt 8 durch Art. 8</w:t>
      </w:r>
      <w:r w:rsidR="007F14E9" w:rsidRPr="004676F5">
        <w:rPr>
          <w:bCs/>
          <w:i/>
          <w:lang w:val="de-DE"/>
        </w:rPr>
        <w:t>4</w:t>
      </w:r>
      <w:r w:rsidRPr="004676F5">
        <w:rPr>
          <w:bCs/>
          <w:i/>
          <w:iCs/>
          <w:lang w:val="de-DE"/>
        </w:rPr>
        <w:t xml:space="preserve"> des G. vom 7. Juni 2023 (B.S. vom 7. Juli 2023)]</w:t>
      </w:r>
    </w:p>
    <w:p w14:paraId="4FA0102C" w14:textId="77777777" w:rsidR="00DF5BE5" w:rsidRPr="004676F5" w:rsidRDefault="00DF5BE5" w:rsidP="00EE35E2">
      <w:pPr>
        <w:jc w:val="both"/>
        <w:rPr>
          <w:lang w:val="de-DE"/>
        </w:rPr>
      </w:pPr>
    </w:p>
    <w:p w14:paraId="3970115C" w14:textId="77777777" w:rsidR="00D30297" w:rsidRPr="004676F5" w:rsidRDefault="00D30297" w:rsidP="00EE35E2">
      <w:pPr>
        <w:jc w:val="both"/>
        <w:rPr>
          <w:lang w:val="de-DE"/>
        </w:rPr>
      </w:pPr>
    </w:p>
    <w:p w14:paraId="4A993935" w14:textId="26B9D14F" w:rsidR="00EE35E2" w:rsidRPr="004676F5" w:rsidRDefault="00BE0A56" w:rsidP="00EE35E2">
      <w:pPr>
        <w:ind w:firstLine="708"/>
        <w:jc w:val="both"/>
        <w:rPr>
          <w:lang w:val="de-DE"/>
        </w:rPr>
      </w:pPr>
      <w:r w:rsidRPr="004676F5">
        <w:rPr>
          <w:b/>
          <w:lang w:val="de-DE"/>
        </w:rPr>
        <w:t>Art. </w:t>
      </w:r>
      <w:r w:rsidR="00EE35E2" w:rsidRPr="004676F5">
        <w:rPr>
          <w:b/>
          <w:lang w:val="de-DE"/>
        </w:rPr>
        <w:t>XX.61</w:t>
      </w:r>
      <w:r w:rsidR="00EE35E2" w:rsidRPr="004676F5">
        <w:rPr>
          <w:lang w:val="de-DE"/>
        </w:rPr>
        <w:t> </w:t>
      </w:r>
      <w:r w:rsidR="005B7A5C" w:rsidRPr="004676F5">
        <w:rPr>
          <w:lang w:val="de-DE"/>
        </w:rPr>
        <w:t>- </w:t>
      </w:r>
      <w:r w:rsidR="00EE35E2" w:rsidRPr="004676F5">
        <w:rPr>
          <w:lang w:val="de-DE"/>
        </w:rPr>
        <w:t xml:space="preserve">Zu jedem Verfahrenszeitpunkt kann ein Schuldner ganz oder teilweise von seinem Antrag auf gerichtliche Reorganisation </w:t>
      </w:r>
      <w:r w:rsidR="00745005" w:rsidRPr="004676F5">
        <w:rPr>
          <w:lang w:val="de-DE"/>
        </w:rPr>
        <w:t xml:space="preserve">[oder Übertragung unter der Autorität des Gerichts] </w:t>
      </w:r>
      <w:r w:rsidR="00EE35E2" w:rsidRPr="004676F5">
        <w:rPr>
          <w:lang w:val="de-DE"/>
        </w:rPr>
        <w:t>zurücktreten.</w:t>
      </w:r>
    </w:p>
    <w:p w14:paraId="73347C32" w14:textId="77777777" w:rsidR="00EE35E2" w:rsidRPr="004676F5" w:rsidRDefault="00EE35E2" w:rsidP="00EE35E2">
      <w:pPr>
        <w:ind w:firstLine="708"/>
        <w:jc w:val="both"/>
        <w:rPr>
          <w:lang w:val="de-DE"/>
        </w:rPr>
      </w:pPr>
    </w:p>
    <w:p w14:paraId="3F8D711E" w14:textId="77777777" w:rsidR="00EE35E2" w:rsidRPr="004676F5" w:rsidRDefault="00EE35E2" w:rsidP="00EE35E2">
      <w:pPr>
        <w:ind w:firstLine="708"/>
        <w:jc w:val="both"/>
        <w:rPr>
          <w:lang w:val="de-DE"/>
        </w:rPr>
      </w:pPr>
      <w:r w:rsidRPr="004676F5">
        <w:rPr>
          <w:lang w:val="de-DE"/>
        </w:rPr>
        <w:t>Auf Antrag des Schuldners und nach Anhörung des Berichts des beauftragten Richters beendet das Gericht das Verfahren ganz oder teilweise.</w:t>
      </w:r>
    </w:p>
    <w:p w14:paraId="3039558E" w14:textId="77777777" w:rsidR="00EE35E2" w:rsidRPr="004676F5" w:rsidRDefault="00EE35E2" w:rsidP="00EE35E2">
      <w:pPr>
        <w:ind w:firstLine="708"/>
        <w:jc w:val="both"/>
        <w:rPr>
          <w:lang w:val="de-DE"/>
        </w:rPr>
      </w:pPr>
    </w:p>
    <w:p w14:paraId="2293F145" w14:textId="77777777" w:rsidR="00EE35E2" w:rsidRPr="004676F5" w:rsidRDefault="00EE35E2" w:rsidP="00EE35E2">
      <w:pPr>
        <w:ind w:firstLine="708"/>
        <w:jc w:val="both"/>
        <w:rPr>
          <w:lang w:val="de-DE"/>
        </w:rPr>
      </w:pPr>
      <w:r w:rsidRPr="004676F5">
        <w:rPr>
          <w:lang w:val="de-DE"/>
        </w:rPr>
        <w:t>Der Schuldner kann beim Gericht beantragen, im Urteil jegliche Einigung festzuhalten, die er mit den von der Beendigung des Verfahrens betroffenen Schuldnern erzielt hat.</w:t>
      </w:r>
    </w:p>
    <w:p w14:paraId="209B9EE3" w14:textId="77777777" w:rsidR="00EE35E2" w:rsidRPr="004676F5" w:rsidRDefault="00EE35E2" w:rsidP="00EE35E2">
      <w:pPr>
        <w:ind w:firstLine="708"/>
        <w:jc w:val="both"/>
        <w:rPr>
          <w:lang w:val="de-DE"/>
        </w:rPr>
      </w:pPr>
    </w:p>
    <w:p w14:paraId="0D2B347F" w14:textId="77777777" w:rsidR="00EE35E2" w:rsidRPr="004676F5" w:rsidRDefault="00EE35E2" w:rsidP="00EE35E2">
      <w:pPr>
        <w:ind w:firstLine="708"/>
        <w:jc w:val="both"/>
        <w:rPr>
          <w:lang w:val="de-DE"/>
        </w:rPr>
      </w:pPr>
      <w:r w:rsidRPr="004676F5">
        <w:rPr>
          <w:lang w:val="de-DE"/>
        </w:rPr>
        <w:t>Das Urteil wird gemäß den in Artikel XX.48 vorgesehenen Modalitäten veröffentlicht.</w:t>
      </w:r>
    </w:p>
    <w:p w14:paraId="4D89B14C" w14:textId="77777777" w:rsidR="00EE35E2" w:rsidRPr="004676F5" w:rsidRDefault="00EE35E2" w:rsidP="00745005">
      <w:pPr>
        <w:jc w:val="both"/>
        <w:rPr>
          <w:lang w:val="de-DE"/>
        </w:rPr>
      </w:pPr>
    </w:p>
    <w:p w14:paraId="22185811" w14:textId="4CCD3F17" w:rsidR="00745005" w:rsidRPr="004676F5" w:rsidRDefault="00745005" w:rsidP="00745005">
      <w:pPr>
        <w:jc w:val="both"/>
        <w:rPr>
          <w:i/>
          <w:iCs/>
          <w:lang w:val="de-DE"/>
        </w:rPr>
      </w:pPr>
      <w:r w:rsidRPr="004676F5">
        <w:rPr>
          <w:i/>
          <w:iCs/>
          <w:lang w:val="de-DE"/>
        </w:rPr>
        <w:t>[Art. XX.61 Abs. 1 abgeändert durch Art. 85 des G. vom 7. Juni 2023 (B.S. vom 7. Juli 2023)]</w:t>
      </w:r>
    </w:p>
    <w:p w14:paraId="30396B1D" w14:textId="77777777" w:rsidR="00745005" w:rsidRPr="004676F5" w:rsidRDefault="00745005" w:rsidP="00745005">
      <w:pPr>
        <w:jc w:val="both"/>
        <w:rPr>
          <w:i/>
          <w:iCs/>
          <w:lang w:val="de-DE"/>
        </w:rPr>
      </w:pPr>
    </w:p>
    <w:p w14:paraId="36637D30" w14:textId="77777777" w:rsidR="00D11212" w:rsidRPr="004676F5" w:rsidRDefault="00D11212" w:rsidP="00EE35E2">
      <w:pPr>
        <w:ind w:firstLine="708"/>
        <w:jc w:val="both"/>
        <w:rPr>
          <w:lang w:val="de-DE"/>
        </w:rPr>
      </w:pPr>
    </w:p>
    <w:p w14:paraId="21C66658" w14:textId="5B53C217" w:rsidR="00EE35E2" w:rsidRPr="004676F5" w:rsidRDefault="00BE0A56" w:rsidP="00EE35E2">
      <w:pPr>
        <w:ind w:firstLine="708"/>
        <w:jc w:val="both"/>
        <w:rPr>
          <w:lang w:val="de-DE"/>
        </w:rPr>
      </w:pPr>
      <w:r w:rsidRPr="004676F5">
        <w:rPr>
          <w:b/>
          <w:lang w:val="de-DE"/>
        </w:rPr>
        <w:t>Art. </w:t>
      </w:r>
      <w:r w:rsidR="00EE35E2" w:rsidRPr="004676F5">
        <w:rPr>
          <w:b/>
          <w:lang w:val="de-DE"/>
        </w:rPr>
        <w:t>XX.62</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Ist ein Schuldner offensichtlich nicht mehr in der Lage, den Fort</w:t>
      </w:r>
      <w:r w:rsidR="00EE35E2" w:rsidRPr="004676F5">
        <w:rPr>
          <w:lang w:val="de-DE"/>
        </w:rPr>
        <w:softHyphen/>
        <w:t xml:space="preserve">bestand </w:t>
      </w:r>
      <w:r w:rsidR="00EE35E2" w:rsidRPr="004676F5">
        <w:rPr>
          <w:lang w:val="de-DE"/>
        </w:rPr>
        <w:softHyphen/>
        <w:t xml:space="preserve">der Gesamtheit oder eines Teils seiner Aktiva oder seiner Tätigkeiten gemäß dem Ziel des Verfahrens zu gewährleisten, </w:t>
      </w:r>
      <w:r w:rsidR="00745005" w:rsidRPr="004676F5">
        <w:rPr>
          <w:lang w:val="de-DE"/>
        </w:rPr>
        <w:t xml:space="preserve">[erfüllt der Aufschub nicht mehr das Ziel, die Verhandlungen über den Reorganisationsplan zu unterstützen,] </w:t>
      </w:r>
      <w:r w:rsidR="00EE35E2" w:rsidRPr="004676F5">
        <w:rPr>
          <w:lang w:val="de-DE"/>
        </w:rPr>
        <w:t xml:space="preserve">oder sind Informationen, die dem beauftragten Richter, dem Gericht oder den Gläubigern bei der Hinterlegung der Antragschrift oder später erteilt wurden, offensichtlich unvollständig oder fehlerhaft, kann das Gericht durch ein Urteil, mit dem das Verfahren abgeschlossen wird, die vorzeitige Beendigung des Verfahrens der gerichtlichen Reorganisation </w:t>
      </w:r>
      <w:r w:rsidR="00745005" w:rsidRPr="004676F5">
        <w:rPr>
          <w:lang w:val="de-DE"/>
        </w:rPr>
        <w:t xml:space="preserve">[oder der Übertragung unter der Autorität des Gerichts] </w:t>
      </w:r>
      <w:r w:rsidR="00EE35E2" w:rsidRPr="004676F5">
        <w:rPr>
          <w:lang w:val="de-DE"/>
        </w:rPr>
        <w:t>anordnen.</w:t>
      </w:r>
    </w:p>
    <w:p w14:paraId="5350F185" w14:textId="77777777" w:rsidR="00EE35E2" w:rsidRPr="004676F5" w:rsidRDefault="00EE35E2" w:rsidP="00EE35E2">
      <w:pPr>
        <w:ind w:firstLine="708"/>
        <w:jc w:val="both"/>
        <w:rPr>
          <w:lang w:val="de-DE"/>
        </w:rPr>
      </w:pPr>
    </w:p>
    <w:p w14:paraId="634E53F4" w14:textId="530F6099"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Das Gericht entscheidet auf Antragschrift des Schuldners</w:t>
      </w:r>
      <w:r w:rsidR="00745005" w:rsidRPr="004676F5">
        <w:rPr>
          <w:lang w:val="de-DE"/>
        </w:rPr>
        <w:t xml:space="preserve"> [oder des gerichtlichen Bevollmächtigten]</w:t>
      </w:r>
      <w:r w:rsidRPr="004676F5">
        <w:rPr>
          <w:lang w:val="de-DE"/>
        </w:rPr>
        <w:t xml:space="preserve"> oder wenn der Schuldner auf Betreiben der Staatsanwaltschaft oder eines Interessehabenden geladen wird, nach Anhörung des Berichts des beauftragten Richters und der Stellungnahme oder der Anträge der Staatsanwaltschaft.</w:t>
      </w:r>
    </w:p>
    <w:p w14:paraId="4EF7B346" w14:textId="77777777" w:rsidR="00EE35E2" w:rsidRPr="004676F5" w:rsidRDefault="00EE35E2" w:rsidP="00EE35E2">
      <w:pPr>
        <w:ind w:firstLine="708"/>
        <w:jc w:val="both"/>
        <w:rPr>
          <w:lang w:val="de-DE"/>
        </w:rPr>
      </w:pPr>
    </w:p>
    <w:p w14:paraId="0FA55308" w14:textId="77777777" w:rsidR="00EE35E2" w:rsidRPr="004676F5" w:rsidRDefault="00EE35E2" w:rsidP="00EE35E2">
      <w:pPr>
        <w:ind w:firstLine="708"/>
        <w:jc w:val="both"/>
        <w:rPr>
          <w:lang w:val="de-DE"/>
        </w:rPr>
      </w:pPr>
      <w:r w:rsidRPr="004676F5">
        <w:rPr>
          <w:lang w:val="de-DE"/>
        </w:rPr>
        <w:lastRenderedPageBreak/>
        <w:t>In diesem Fall kann das Gericht in demselben Urteil den Konkurs des Schuldners oder, wenn der Schuldner eine juristische Person ist, die gerichtliche Liquidation aussprechen, wenn dies ebenfalls Gegenstand des Antrags ist und die diesbezüglichen Bedingungen erfüllt sind.</w:t>
      </w:r>
    </w:p>
    <w:p w14:paraId="546F2223" w14:textId="77777777" w:rsidR="00EE35E2" w:rsidRPr="004676F5" w:rsidRDefault="00EE35E2" w:rsidP="00EE35E2">
      <w:pPr>
        <w:ind w:firstLine="708"/>
        <w:jc w:val="both"/>
        <w:rPr>
          <w:lang w:val="de-DE"/>
        </w:rPr>
      </w:pPr>
    </w:p>
    <w:p w14:paraId="467D7673" w14:textId="34C0B5A0"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 xml:space="preserve">Wenn der beauftragte Richter der Ansicht ist, dass die vorzeitige Beendigung des Verfahrens </w:t>
      </w:r>
      <w:r w:rsidR="00745005" w:rsidRPr="004676F5">
        <w:rPr>
          <w:lang w:val="de-DE"/>
        </w:rPr>
        <w:t>[...]</w:t>
      </w:r>
      <w:r w:rsidRPr="004676F5">
        <w:rPr>
          <w:lang w:val="de-DE"/>
        </w:rPr>
        <w:t xml:space="preserve"> gemäß § 1 gerechtfertigt ist, erstellt er einen Bericht, den er im Register hinterlegt und der Staatsanwaltschaft übermittelt.</w:t>
      </w:r>
    </w:p>
    <w:p w14:paraId="5635FC88" w14:textId="77777777" w:rsidR="00EE35E2" w:rsidRPr="004676F5" w:rsidRDefault="00EE35E2" w:rsidP="00EE35E2">
      <w:pPr>
        <w:ind w:firstLine="708"/>
        <w:jc w:val="both"/>
        <w:rPr>
          <w:lang w:val="de-DE"/>
        </w:rPr>
      </w:pPr>
    </w:p>
    <w:p w14:paraId="7025D6AE" w14:textId="6D454A5D" w:rsidR="00EE35E2" w:rsidRPr="004676F5" w:rsidRDefault="00EE35E2" w:rsidP="00EE35E2">
      <w:pPr>
        <w:ind w:firstLine="708"/>
        <w:jc w:val="both"/>
        <w:rPr>
          <w:lang w:val="de-DE"/>
        </w:rPr>
      </w:pPr>
      <w:r w:rsidRPr="004676F5">
        <w:rPr>
          <w:lang w:val="de-DE"/>
        </w:rPr>
        <w:t xml:space="preserve">Der Schuldner wird per Gerichtsbrief vorgeladen, um binnen acht Tagen nach Hinterlegung des Berichts im Register vor dem Gericht zu erscheinen. Im Gerichtsbrief ist vermerkt, dass der Bericht im Register hinterlegt ist, der Schuldner in der Sitzung vernommen wird und die Staatsanwaltschaft dort die Beendigung des Verfahrens der gerichtlichen Reorganisation </w:t>
      </w:r>
      <w:r w:rsidR="00745005" w:rsidRPr="004676F5">
        <w:rPr>
          <w:lang w:val="de-DE"/>
        </w:rPr>
        <w:t xml:space="preserve">[oder der Übertragung unter der Autorität des Gerichts] </w:t>
      </w:r>
      <w:r w:rsidRPr="004676F5">
        <w:rPr>
          <w:lang w:val="de-DE"/>
        </w:rPr>
        <w:t>beantragen kann.</w:t>
      </w:r>
    </w:p>
    <w:p w14:paraId="76A9B2EA" w14:textId="77777777" w:rsidR="00EE35E2" w:rsidRPr="004676F5" w:rsidRDefault="00EE35E2" w:rsidP="00EE35E2">
      <w:pPr>
        <w:ind w:firstLine="708"/>
        <w:jc w:val="both"/>
        <w:rPr>
          <w:lang w:val="de-DE"/>
        </w:rPr>
      </w:pPr>
    </w:p>
    <w:p w14:paraId="6741B5D0" w14:textId="77777777" w:rsidR="00EE35E2" w:rsidRPr="004676F5" w:rsidRDefault="00EE35E2" w:rsidP="00EE35E2">
      <w:pPr>
        <w:ind w:firstLine="708"/>
        <w:jc w:val="both"/>
        <w:rPr>
          <w:lang w:val="de-DE"/>
        </w:rPr>
      </w:pPr>
      <w:r w:rsidRPr="004676F5">
        <w:rPr>
          <w:lang w:val="de-DE"/>
        </w:rPr>
        <w:t>In der Sitzung wird der Schuldner vernommen und die Stellungnahme der Staatsanwaltschaft angehört; sie kann gegebenenfalls die vorzeitige Beendigung des Verfahrens beantragen.</w:t>
      </w:r>
    </w:p>
    <w:p w14:paraId="5EE8E1AD" w14:textId="77777777" w:rsidR="00EE35E2" w:rsidRPr="004676F5" w:rsidRDefault="00EE35E2" w:rsidP="00EE35E2">
      <w:pPr>
        <w:ind w:firstLine="708"/>
        <w:jc w:val="both"/>
        <w:rPr>
          <w:lang w:val="de-DE"/>
        </w:rPr>
      </w:pPr>
    </w:p>
    <w:p w14:paraId="27268004" w14:textId="6FBF118C" w:rsidR="00EE35E2" w:rsidRPr="004676F5" w:rsidRDefault="00EE35E2" w:rsidP="00D11212">
      <w:pPr>
        <w:ind w:firstLine="708"/>
        <w:jc w:val="both"/>
        <w:rPr>
          <w:lang w:val="de-DE"/>
        </w:rPr>
      </w:pPr>
      <w:r w:rsidRPr="004676F5">
        <w:rPr>
          <w:lang w:val="de-DE"/>
        </w:rPr>
        <w:t>§ 4 </w:t>
      </w:r>
      <w:r w:rsidR="005B7A5C" w:rsidRPr="004676F5">
        <w:rPr>
          <w:lang w:val="de-DE"/>
        </w:rPr>
        <w:t>- </w:t>
      </w:r>
      <w:r w:rsidRPr="004676F5">
        <w:rPr>
          <w:lang w:val="de-DE"/>
        </w:rPr>
        <w:t>Das Urteil wird gemäß den in Artikel XX.48 vorgesehenen Modalitäten veröffentlicht und dem Schuldner per Gerichtsbrief notifiziert.</w:t>
      </w:r>
    </w:p>
    <w:p w14:paraId="0B09EEF3" w14:textId="77777777" w:rsidR="00EE35E2" w:rsidRPr="004676F5" w:rsidRDefault="00EE35E2" w:rsidP="00745005">
      <w:pPr>
        <w:jc w:val="both"/>
        <w:rPr>
          <w:lang w:val="de-DE"/>
        </w:rPr>
      </w:pPr>
    </w:p>
    <w:p w14:paraId="1C0BADD5" w14:textId="6CE46313" w:rsidR="00745005" w:rsidRPr="004676F5" w:rsidRDefault="00745005" w:rsidP="00745005">
      <w:pPr>
        <w:jc w:val="both"/>
        <w:rPr>
          <w:i/>
          <w:iCs/>
          <w:lang w:val="de-DE"/>
        </w:rPr>
      </w:pPr>
      <w:r w:rsidRPr="004676F5">
        <w:rPr>
          <w:i/>
          <w:iCs/>
          <w:lang w:val="de-DE"/>
        </w:rPr>
        <w:t>[Art. XX.62 § 1 abgeändert durch Art. 86 Nr. 1 des G. vom 7. Juni 2023 (B.S. vom 7. Juli 2023); § 2 Abs. 1 abgeändert durch Art. 86 Nr. 2 des G. vom 7. Juni 2023 (B.S. vom 7. Juli 2023); § 3 Abs. 1 abgeändert durch Art. 86 Nr. 3 des G. vom 7. Juni 2023 (B.S. vom 7. Juli 2023); § 3 Abs. 2 abgeändert durch Art. 86 Nr. 4 des G. vom 7. Juni 2023 (B.S. vom 7. Juli 2023)]</w:t>
      </w:r>
    </w:p>
    <w:p w14:paraId="607F65FE" w14:textId="77777777" w:rsidR="00745005" w:rsidRPr="004676F5" w:rsidRDefault="00745005" w:rsidP="00745005">
      <w:pPr>
        <w:jc w:val="both"/>
        <w:rPr>
          <w:i/>
          <w:iCs/>
          <w:lang w:val="de-DE"/>
        </w:rPr>
      </w:pPr>
    </w:p>
    <w:p w14:paraId="17209D6C" w14:textId="77777777" w:rsidR="00D11212" w:rsidRPr="004676F5" w:rsidRDefault="00D11212" w:rsidP="00EE35E2">
      <w:pPr>
        <w:ind w:firstLine="708"/>
        <w:jc w:val="both"/>
        <w:rPr>
          <w:lang w:val="de-DE"/>
        </w:rPr>
      </w:pPr>
    </w:p>
    <w:p w14:paraId="5943F41A" w14:textId="07F451BB" w:rsidR="00EE35E2" w:rsidRPr="004676F5" w:rsidRDefault="00BE0A56" w:rsidP="00EE35E2">
      <w:pPr>
        <w:ind w:firstLine="708"/>
        <w:jc w:val="both"/>
        <w:rPr>
          <w:lang w:val="de-DE"/>
        </w:rPr>
      </w:pPr>
      <w:r w:rsidRPr="004676F5">
        <w:rPr>
          <w:b/>
          <w:lang w:val="de-DE"/>
        </w:rPr>
        <w:t>Art. </w:t>
      </w:r>
      <w:r w:rsidR="00EE35E2" w:rsidRPr="004676F5">
        <w:rPr>
          <w:b/>
          <w:lang w:val="de-DE"/>
        </w:rPr>
        <w:t>XX.63</w:t>
      </w:r>
      <w:r w:rsidR="00EE35E2" w:rsidRPr="004676F5">
        <w:rPr>
          <w:lang w:val="de-DE"/>
        </w:rPr>
        <w:t> </w:t>
      </w:r>
      <w:r w:rsidR="005B7A5C" w:rsidRPr="004676F5">
        <w:rPr>
          <w:lang w:val="de-DE"/>
        </w:rPr>
        <w:t>- </w:t>
      </w:r>
      <w:r w:rsidR="00EE35E2" w:rsidRPr="004676F5">
        <w:rPr>
          <w:lang w:val="de-DE"/>
        </w:rPr>
        <w:t xml:space="preserve">Ab Verkündung des Urteils, mit dem die vorzeitige Beendigung des Verfahrens </w:t>
      </w:r>
      <w:r w:rsidR="00745005" w:rsidRPr="004676F5">
        <w:rPr>
          <w:lang w:val="de-DE"/>
        </w:rPr>
        <w:t>[...]</w:t>
      </w:r>
      <w:r w:rsidR="00EE35E2" w:rsidRPr="004676F5">
        <w:rPr>
          <w:lang w:val="de-DE"/>
        </w:rPr>
        <w:t xml:space="preserve"> angeordnet oder es abgeschlossen wird, endet der Aufschub und können die Gläubiger ihre Rechte und Ansprüche wieder vollständig ausüben beziehungsweise geltend machen.</w:t>
      </w:r>
    </w:p>
    <w:p w14:paraId="1EF8684F" w14:textId="77777777" w:rsidR="00EE35E2" w:rsidRPr="004676F5" w:rsidRDefault="00EE35E2" w:rsidP="00EE35E2">
      <w:pPr>
        <w:ind w:firstLine="708"/>
        <w:jc w:val="both"/>
        <w:rPr>
          <w:lang w:val="de-DE"/>
        </w:rPr>
      </w:pPr>
    </w:p>
    <w:p w14:paraId="3AC65087" w14:textId="77777777" w:rsidR="00EE35E2" w:rsidRPr="004676F5" w:rsidRDefault="00EE35E2" w:rsidP="00EE35E2">
      <w:pPr>
        <w:ind w:firstLine="708"/>
        <w:jc w:val="both"/>
        <w:rPr>
          <w:lang w:val="de-DE"/>
        </w:rPr>
      </w:pPr>
      <w:r w:rsidRPr="004676F5">
        <w:rPr>
          <w:lang w:val="de-DE"/>
        </w:rPr>
        <w:t>Gleiches gilt, wenn der Aufschub abläuft, ohne dass er in Anwendung der Artikel XX.59 oder XX.85 Absatz 3 verlängert wurde.</w:t>
      </w:r>
    </w:p>
    <w:p w14:paraId="3D840CD4" w14:textId="77777777" w:rsidR="00590ECE" w:rsidRPr="004676F5" w:rsidRDefault="00590ECE" w:rsidP="00EE35E2">
      <w:pPr>
        <w:jc w:val="both"/>
        <w:rPr>
          <w:lang w:val="de-DE"/>
        </w:rPr>
      </w:pPr>
    </w:p>
    <w:p w14:paraId="1CBC319D" w14:textId="7341DA6A" w:rsidR="00590ECE" w:rsidRPr="004676F5" w:rsidRDefault="00590ECE" w:rsidP="00590ECE">
      <w:pPr>
        <w:ind w:left="708" w:hanging="708"/>
        <w:jc w:val="both"/>
        <w:rPr>
          <w:i/>
          <w:iCs/>
          <w:lang w:val="de-DE"/>
        </w:rPr>
        <w:sectPr w:rsidR="00590ECE" w:rsidRPr="004676F5" w:rsidSect="003E519F">
          <w:footnotePr>
            <w:numRestart w:val="eachSect"/>
          </w:footnotePr>
          <w:pgSz w:w="11906" w:h="16838" w:code="9"/>
          <w:pgMar w:top="1418" w:right="1418" w:bottom="1418" w:left="1418" w:header="709" w:footer="709" w:gutter="0"/>
          <w:cols w:space="708"/>
          <w:docGrid w:linePitch="360"/>
        </w:sectPr>
      </w:pPr>
      <w:r w:rsidRPr="004676F5">
        <w:rPr>
          <w:i/>
          <w:iCs/>
          <w:lang w:val="de-DE"/>
        </w:rPr>
        <w:t>[Art. XX.63 Abs. 1 abgeändert durch Art. 87 des G. vom 7. Juni 2023 (B.S. vom 7. Juli 2023)]</w:t>
      </w:r>
    </w:p>
    <w:p w14:paraId="48AF6AAA" w14:textId="20B3030D" w:rsidR="00590ECE" w:rsidRPr="004676F5" w:rsidRDefault="00590ECE" w:rsidP="003E519F">
      <w:pPr>
        <w:jc w:val="center"/>
        <w:rPr>
          <w:lang w:val="de-DE"/>
        </w:rPr>
      </w:pPr>
      <w:r w:rsidRPr="004676F5">
        <w:rPr>
          <w:lang w:val="de-DE"/>
        </w:rPr>
        <w:lastRenderedPageBreak/>
        <w:t>[</w:t>
      </w:r>
      <w:r w:rsidRPr="004676F5">
        <w:rPr>
          <w:b/>
          <w:bCs/>
          <w:lang w:val="de-DE"/>
        </w:rPr>
        <w:t xml:space="preserve">TITEL 5/1 - </w:t>
      </w:r>
      <w:r w:rsidRPr="004676F5">
        <w:rPr>
          <w:b/>
          <w:bCs/>
          <w:i/>
          <w:iCs/>
          <w:lang w:val="de-DE"/>
        </w:rPr>
        <w:t>Gerichtliche Reorganisation</w:t>
      </w:r>
      <w:r w:rsidRPr="004676F5">
        <w:rPr>
          <w:lang w:val="de-DE"/>
        </w:rPr>
        <w:t>]</w:t>
      </w:r>
    </w:p>
    <w:p w14:paraId="3005913C" w14:textId="77777777" w:rsidR="00590ECE" w:rsidRPr="004676F5" w:rsidRDefault="00590ECE" w:rsidP="003E519F">
      <w:pPr>
        <w:jc w:val="center"/>
        <w:rPr>
          <w:lang w:val="de-DE"/>
        </w:rPr>
      </w:pPr>
    </w:p>
    <w:p w14:paraId="2BE39B7F" w14:textId="29C85B72" w:rsidR="00590ECE" w:rsidRPr="004676F5" w:rsidRDefault="00590ECE" w:rsidP="00590ECE">
      <w:pPr>
        <w:jc w:val="both"/>
        <w:rPr>
          <w:i/>
          <w:iCs/>
          <w:lang w:val="de-DE"/>
        </w:rPr>
      </w:pPr>
      <w:r w:rsidRPr="004676F5">
        <w:rPr>
          <w:i/>
          <w:iCs/>
          <w:lang w:val="de-DE"/>
        </w:rPr>
        <w:t>[Unterteilung Titel 5/1 eingefügt durch Art. 88 des G. vom 7. Juni 2023 (B.S. vom 7. Juli 2023)]</w:t>
      </w:r>
    </w:p>
    <w:p w14:paraId="043C9D4F" w14:textId="77777777" w:rsidR="00590ECE" w:rsidRPr="004676F5" w:rsidRDefault="00590ECE" w:rsidP="00590ECE">
      <w:pPr>
        <w:jc w:val="both"/>
        <w:rPr>
          <w:i/>
          <w:iCs/>
          <w:lang w:val="de-DE"/>
        </w:rPr>
      </w:pPr>
    </w:p>
    <w:p w14:paraId="51BCFBFC" w14:textId="77777777" w:rsidR="00590ECE" w:rsidRPr="004676F5" w:rsidRDefault="00590ECE" w:rsidP="003E519F">
      <w:pPr>
        <w:jc w:val="center"/>
        <w:rPr>
          <w:lang w:val="de-DE"/>
        </w:rPr>
      </w:pPr>
    </w:p>
    <w:p w14:paraId="7AC81A04" w14:textId="0E087A9F" w:rsidR="00EE35E2" w:rsidRPr="004676F5" w:rsidRDefault="00590ECE" w:rsidP="003E519F">
      <w:pPr>
        <w:jc w:val="center"/>
        <w:rPr>
          <w:iCs/>
          <w:lang w:val="de-DE"/>
        </w:rPr>
      </w:pPr>
      <w:r w:rsidRPr="004676F5">
        <w:rPr>
          <w:lang w:val="de-DE"/>
        </w:rPr>
        <w:t>[</w:t>
      </w:r>
      <w:r w:rsidR="00EE35E2" w:rsidRPr="004676F5">
        <w:rPr>
          <w:lang w:val="de-DE"/>
        </w:rPr>
        <w:t>KAPITEL </w:t>
      </w:r>
      <w:r w:rsidRPr="004676F5">
        <w:rPr>
          <w:lang w:val="de-DE"/>
        </w:rPr>
        <w:t>1]</w:t>
      </w:r>
      <w:r w:rsidR="00EE35E2" w:rsidRPr="004676F5">
        <w:rPr>
          <w:lang w:val="de-DE"/>
        </w:rPr>
        <w:t> </w:t>
      </w:r>
      <w:r w:rsidR="005B7A5C" w:rsidRPr="004676F5">
        <w:rPr>
          <w:lang w:val="de-DE"/>
        </w:rPr>
        <w:t>- </w:t>
      </w:r>
      <w:r w:rsidRPr="004676F5">
        <w:rPr>
          <w:lang w:val="de-DE"/>
        </w:rPr>
        <w:t>[</w:t>
      </w:r>
      <w:r w:rsidRPr="004676F5">
        <w:rPr>
          <w:i/>
          <w:iCs/>
          <w:lang w:val="de-DE"/>
        </w:rPr>
        <w:t>Öffentliche g</w:t>
      </w:r>
      <w:r w:rsidR="00EE35E2" w:rsidRPr="004676F5">
        <w:rPr>
          <w:i/>
          <w:lang w:val="de-DE"/>
        </w:rPr>
        <w:t>erichtliche Reorganisation durch gütliche Einigung</w:t>
      </w:r>
      <w:r w:rsidRPr="004676F5">
        <w:rPr>
          <w:iCs/>
          <w:lang w:val="de-DE"/>
        </w:rPr>
        <w:t>]</w:t>
      </w:r>
    </w:p>
    <w:p w14:paraId="235BA653" w14:textId="77777777" w:rsidR="00590ECE" w:rsidRPr="004676F5" w:rsidRDefault="00590ECE" w:rsidP="003E519F">
      <w:pPr>
        <w:jc w:val="center"/>
        <w:rPr>
          <w:iCs/>
          <w:lang w:val="de-DE"/>
        </w:rPr>
      </w:pPr>
    </w:p>
    <w:p w14:paraId="4D6AB0D4" w14:textId="25F689FC" w:rsidR="00590ECE" w:rsidRPr="004676F5" w:rsidRDefault="00590ECE" w:rsidP="00590ECE">
      <w:pPr>
        <w:jc w:val="both"/>
        <w:rPr>
          <w:b/>
          <w:i/>
          <w:iCs/>
          <w:lang w:val="de-DE"/>
        </w:rPr>
      </w:pPr>
      <w:r w:rsidRPr="004676F5">
        <w:rPr>
          <w:bCs/>
          <w:i/>
          <w:iCs/>
          <w:lang w:val="de-DE"/>
        </w:rPr>
        <w:t>[Frühere</w:t>
      </w:r>
      <w:r w:rsidR="00B20716" w:rsidRPr="004676F5">
        <w:rPr>
          <w:bCs/>
          <w:i/>
          <w:iCs/>
          <w:lang w:val="de-DE"/>
        </w:rPr>
        <w:t>s</w:t>
      </w:r>
      <w:r w:rsidRPr="004676F5">
        <w:rPr>
          <w:bCs/>
          <w:i/>
          <w:iCs/>
          <w:lang w:val="de-DE"/>
        </w:rPr>
        <w:t xml:space="preserve"> Kapitel 2 </w:t>
      </w:r>
      <w:r w:rsidR="00B20716" w:rsidRPr="004676F5">
        <w:rPr>
          <w:bCs/>
          <w:i/>
          <w:iCs/>
          <w:lang w:val="de-DE"/>
        </w:rPr>
        <w:t xml:space="preserve">umgegliedert und </w:t>
      </w:r>
      <w:r w:rsidRPr="004676F5">
        <w:rPr>
          <w:bCs/>
          <w:i/>
          <w:iCs/>
          <w:lang w:val="de-DE"/>
        </w:rPr>
        <w:t>umnummeriert zu Kapitel 1 und Überschrift ersetzt durch Art. 89 des G. vom 7. Juni 2023 (B.S. vom 7. Juli 2023)]</w:t>
      </w:r>
    </w:p>
    <w:p w14:paraId="110E9CA5" w14:textId="77777777" w:rsidR="00590ECE" w:rsidRPr="004676F5" w:rsidRDefault="00590ECE" w:rsidP="00590ECE">
      <w:pPr>
        <w:jc w:val="center"/>
        <w:rPr>
          <w:iCs/>
          <w:lang w:val="de-DE"/>
        </w:rPr>
      </w:pPr>
    </w:p>
    <w:p w14:paraId="7A1B54CB" w14:textId="77777777" w:rsidR="00D11212" w:rsidRPr="004676F5" w:rsidRDefault="00D11212" w:rsidP="00EE35E2">
      <w:pPr>
        <w:jc w:val="both"/>
        <w:rPr>
          <w:lang w:val="de-DE"/>
        </w:rPr>
      </w:pPr>
    </w:p>
    <w:p w14:paraId="0590FB1E" w14:textId="33BF2958" w:rsidR="00EE35E2" w:rsidRPr="004676F5" w:rsidRDefault="00BE0A56" w:rsidP="00EE35E2">
      <w:pPr>
        <w:ind w:firstLine="708"/>
        <w:jc w:val="both"/>
        <w:rPr>
          <w:lang w:val="de-DE"/>
        </w:rPr>
      </w:pPr>
      <w:r w:rsidRPr="004676F5">
        <w:rPr>
          <w:b/>
          <w:lang w:val="de-DE"/>
        </w:rPr>
        <w:t>Art. </w:t>
      </w:r>
      <w:r w:rsidR="00EE35E2" w:rsidRPr="004676F5">
        <w:rPr>
          <w:b/>
          <w:lang w:val="de-DE"/>
        </w:rPr>
        <w:t>XX.64</w:t>
      </w:r>
      <w:r w:rsidR="00EE35E2" w:rsidRPr="004676F5">
        <w:rPr>
          <w:lang w:val="de-DE"/>
        </w:rPr>
        <w:t> </w:t>
      </w:r>
      <w:r w:rsidR="005B7A5C" w:rsidRPr="004676F5">
        <w:rPr>
          <w:lang w:val="de-DE"/>
        </w:rPr>
        <w:t>- </w:t>
      </w:r>
      <w:r w:rsidR="00EE35E2" w:rsidRPr="004676F5">
        <w:rPr>
          <w:lang w:val="de-DE"/>
        </w:rPr>
        <w:t xml:space="preserve">Mit dem Verfahren der gütlichen Einigung wird darauf abgezielt, eine Einigung zwischen dem Schuldner und </w:t>
      </w:r>
      <w:r w:rsidR="00EC7817" w:rsidRPr="004676F5">
        <w:rPr>
          <w:lang w:val="de-DE"/>
        </w:rPr>
        <w:t>[einem oder mehreren seiner Gläubiger]</w:t>
      </w:r>
      <w:r w:rsidR="00EE35E2" w:rsidRPr="004676F5">
        <w:rPr>
          <w:lang w:val="de-DE"/>
        </w:rPr>
        <w:t xml:space="preserve"> abzuschließen im Hinblick auf die Sanierung der Finanzlage oder die Reorganisation seines Unternehmens.</w:t>
      </w:r>
    </w:p>
    <w:p w14:paraId="25FE5BAE" w14:textId="77777777" w:rsidR="00EE35E2" w:rsidRPr="004676F5" w:rsidRDefault="00EE35E2" w:rsidP="00EC7817">
      <w:pPr>
        <w:jc w:val="both"/>
        <w:rPr>
          <w:lang w:val="de-DE"/>
        </w:rPr>
      </w:pPr>
    </w:p>
    <w:p w14:paraId="2A75CB52" w14:textId="68EB7C90" w:rsidR="00EC7817" w:rsidRPr="004676F5" w:rsidRDefault="00EC7817" w:rsidP="00EC7817">
      <w:pPr>
        <w:jc w:val="both"/>
        <w:rPr>
          <w:i/>
          <w:iCs/>
          <w:lang w:val="de-DE"/>
        </w:rPr>
      </w:pPr>
      <w:r w:rsidRPr="004676F5">
        <w:rPr>
          <w:i/>
          <w:iCs/>
          <w:lang w:val="de-DE"/>
        </w:rPr>
        <w:t>[Art. XX.64 abgeändert durch Art. 90 des G. vom 7. Juni 2023 (B.S. vom 7. Juli 2023)]</w:t>
      </w:r>
    </w:p>
    <w:p w14:paraId="57BCBDC3" w14:textId="77777777" w:rsidR="00EC7817" w:rsidRPr="004676F5" w:rsidRDefault="00EC7817" w:rsidP="00EC7817">
      <w:pPr>
        <w:jc w:val="both"/>
        <w:rPr>
          <w:i/>
          <w:iCs/>
          <w:lang w:val="de-DE"/>
        </w:rPr>
      </w:pPr>
    </w:p>
    <w:p w14:paraId="2A0FFB61" w14:textId="77777777" w:rsidR="00D11212" w:rsidRPr="004676F5" w:rsidRDefault="00D11212" w:rsidP="00EE35E2">
      <w:pPr>
        <w:ind w:firstLine="708"/>
        <w:jc w:val="both"/>
        <w:rPr>
          <w:lang w:val="de-DE"/>
        </w:rPr>
      </w:pPr>
    </w:p>
    <w:p w14:paraId="422B718F" w14:textId="35A2BC55" w:rsidR="00EE35E2" w:rsidRPr="004676F5" w:rsidRDefault="00BE0A56" w:rsidP="00EE35E2">
      <w:pPr>
        <w:ind w:firstLine="708"/>
        <w:jc w:val="both"/>
        <w:rPr>
          <w:lang w:val="de-DE"/>
        </w:rPr>
      </w:pPr>
      <w:bookmarkStart w:id="2" w:name="_Hlk181716142"/>
      <w:r w:rsidRPr="004676F5">
        <w:rPr>
          <w:b/>
          <w:lang w:val="de-DE"/>
        </w:rPr>
        <w:t>Art. </w:t>
      </w:r>
      <w:r w:rsidR="00EE35E2" w:rsidRPr="004676F5">
        <w:rPr>
          <w:b/>
          <w:lang w:val="de-DE"/>
        </w:rPr>
        <w:t>XX.65</w:t>
      </w:r>
      <w:r w:rsidR="00EE35E2" w:rsidRPr="004676F5">
        <w:rPr>
          <w:lang w:val="de-DE"/>
        </w:rPr>
        <w:t> </w:t>
      </w:r>
      <w:bookmarkEnd w:id="2"/>
      <w:r w:rsidR="005B7A5C" w:rsidRPr="004676F5">
        <w:rPr>
          <w:lang w:val="de-DE"/>
        </w:rPr>
        <w:t>- </w:t>
      </w:r>
      <w:r w:rsidR="00EE35E2" w:rsidRPr="004676F5">
        <w:rPr>
          <w:lang w:val="de-DE"/>
        </w:rPr>
        <w:t>§ 1 </w:t>
      </w:r>
      <w:r w:rsidR="005B7A5C" w:rsidRPr="004676F5">
        <w:rPr>
          <w:lang w:val="de-DE"/>
        </w:rPr>
        <w:t>- </w:t>
      </w:r>
      <w:r w:rsidR="00EE35E2" w:rsidRPr="004676F5">
        <w:rPr>
          <w:lang w:val="de-DE"/>
        </w:rPr>
        <w:t>Zielt das Verfahren der gerichtlichen Reorganisation darauf ab, eine oder mehrere gütliche Einigungen abzuschließen, verfolgt der Schuldner dieses Ziel unter Aufsicht des beauftragten Richters und gegebenenfalls mit Unterstützung</w:t>
      </w:r>
      <w:r w:rsidR="00EC7817" w:rsidRPr="004676F5">
        <w:rPr>
          <w:lang w:val="de-DE"/>
        </w:rPr>
        <w:t xml:space="preserve"> [eines in Anwendung von Artikel XX.30 bestellten Reorganisationsbearbeiters]</w:t>
      </w:r>
      <w:r w:rsidR="00EE35E2" w:rsidRPr="004676F5">
        <w:rPr>
          <w:lang w:val="de-DE"/>
        </w:rPr>
        <w:t>.</w:t>
      </w:r>
    </w:p>
    <w:p w14:paraId="17B05311" w14:textId="77777777" w:rsidR="00EE35E2" w:rsidRPr="004676F5" w:rsidRDefault="00EE35E2" w:rsidP="00EE35E2">
      <w:pPr>
        <w:ind w:firstLine="708"/>
        <w:jc w:val="both"/>
        <w:rPr>
          <w:lang w:val="de-DE"/>
        </w:rPr>
      </w:pPr>
    </w:p>
    <w:p w14:paraId="626F7E07" w14:textId="7F638D17" w:rsidR="00EE35E2" w:rsidRPr="004676F5" w:rsidRDefault="00EE35E2" w:rsidP="00EE35E2">
      <w:pPr>
        <w:ind w:firstLine="708"/>
        <w:jc w:val="both"/>
        <w:rPr>
          <w:lang w:val="de-DE"/>
        </w:rPr>
      </w:pPr>
      <w:r w:rsidRPr="004676F5">
        <w:rPr>
          <w:lang w:val="de-DE"/>
        </w:rPr>
        <w:t>§ 2 </w:t>
      </w:r>
      <w:r w:rsidR="005B7A5C" w:rsidRPr="004676F5">
        <w:rPr>
          <w:lang w:val="de-DE"/>
        </w:rPr>
        <w:t>- </w:t>
      </w:r>
      <w:r w:rsidR="00EC7817" w:rsidRPr="004676F5">
        <w:rPr>
          <w:lang w:val="de-DE"/>
        </w:rPr>
        <w:t>[</w:t>
      </w:r>
      <w:r w:rsidRPr="004676F5">
        <w:rPr>
          <w:lang w:val="de-DE"/>
        </w:rPr>
        <w:t>Artikel </w:t>
      </w:r>
      <w:r w:rsidR="00EC7817" w:rsidRPr="004676F5">
        <w:rPr>
          <w:lang w:val="de-DE"/>
        </w:rPr>
        <w:t>8:22]</w:t>
      </w:r>
      <w:r w:rsidRPr="004676F5">
        <w:rPr>
          <w:lang w:val="de-DE"/>
        </w:rPr>
        <w:t xml:space="preserve"> des Zivilgesetzbuches und die Artikel XX.111 Nr. 2 und 3 und XX.112 sind weder auf gütliche Einigungen noch auf Handlungen anwendbar, die in Ausführung einer solchen gütlichen Einigung vorgenommen werden.</w:t>
      </w:r>
    </w:p>
    <w:p w14:paraId="6A42BDFD" w14:textId="77777777" w:rsidR="00EE35E2" w:rsidRPr="004676F5" w:rsidRDefault="00EE35E2" w:rsidP="00EE35E2">
      <w:pPr>
        <w:ind w:firstLine="708"/>
        <w:jc w:val="both"/>
        <w:rPr>
          <w:lang w:val="de-DE"/>
        </w:rPr>
      </w:pPr>
    </w:p>
    <w:p w14:paraId="1D7F7EE2" w14:textId="6C1B914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Wird eine gütliche Einigung erzielt, homologiert das Gericht, das auf kontradiktorische Antragschrift des Schuldners und nach Bericht des beauftragten Richters entscheidet, diese Einigung, erklärt sie für vollstreckbar und schließt das Verfahren ab.</w:t>
      </w:r>
    </w:p>
    <w:p w14:paraId="3F337420" w14:textId="77777777" w:rsidR="00EE35E2" w:rsidRPr="004676F5" w:rsidRDefault="00EE35E2" w:rsidP="00EE35E2">
      <w:pPr>
        <w:ind w:firstLine="708"/>
        <w:jc w:val="both"/>
        <w:rPr>
          <w:lang w:val="de-DE"/>
        </w:rPr>
      </w:pPr>
    </w:p>
    <w:p w14:paraId="33FAC92A" w14:textId="0E598361" w:rsidR="00EE35E2" w:rsidRPr="004676F5" w:rsidRDefault="00EC7817" w:rsidP="00EE35E2">
      <w:pPr>
        <w:ind w:firstLine="708"/>
        <w:jc w:val="both"/>
        <w:rPr>
          <w:lang w:val="de-DE"/>
        </w:rPr>
      </w:pPr>
      <w:r w:rsidRPr="004676F5">
        <w:rPr>
          <w:lang w:val="de-DE"/>
        </w:rPr>
        <w:t>[Kann der Schuldner keine gütliche Einigung mit einem oder mehreren der von der Einigung betroffenen Gläubiger erzielen, kann das Gericht auf kontradiktorische Antragschrift des Schuldners diesen Gläubigern in Artikel 5.201 des Zivilgesetzbuches erwähnte günstigere Fristen gewähren. In diesem Fall gilt die Entscheidung des Gerichts als gütliche Einigung in Bezug auf diese Gläubiger.]</w:t>
      </w:r>
    </w:p>
    <w:p w14:paraId="37042C6C" w14:textId="77777777" w:rsidR="00EE35E2" w:rsidRPr="004676F5" w:rsidRDefault="00EE35E2" w:rsidP="00EE35E2">
      <w:pPr>
        <w:ind w:firstLine="708"/>
        <w:jc w:val="both"/>
        <w:rPr>
          <w:lang w:val="de-DE"/>
        </w:rPr>
      </w:pPr>
    </w:p>
    <w:p w14:paraId="3628EEBF" w14:textId="714C8223"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In der Homologierungsentscheidung oder der Entscheidung zur Gewährung günstigerer Fristen kann der Auftrag </w:t>
      </w:r>
      <w:r w:rsidR="00EC7817" w:rsidRPr="004676F5">
        <w:rPr>
          <w:lang w:val="de-DE"/>
        </w:rPr>
        <w:t>[des gemäß Artikel XX.30 bestellten Reorganisationsbearbeiters]</w:t>
      </w:r>
      <w:r w:rsidRPr="004676F5">
        <w:rPr>
          <w:lang w:val="de-DE"/>
        </w:rPr>
        <w:t xml:space="preserve"> verlängert werden, um die Ausführung der gütlichen Einigung oder die Erfüllung der Verpflichtungen des Schuldners zu erleichtern.</w:t>
      </w:r>
    </w:p>
    <w:p w14:paraId="5B5BE21D" w14:textId="77777777" w:rsidR="00EE35E2" w:rsidRPr="004676F5" w:rsidRDefault="00EE35E2" w:rsidP="00EE35E2">
      <w:pPr>
        <w:ind w:firstLine="708"/>
        <w:jc w:val="both"/>
        <w:rPr>
          <w:lang w:val="de-DE"/>
        </w:rPr>
      </w:pPr>
    </w:p>
    <w:p w14:paraId="6EFE4C5F" w14:textId="35C21E10"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Diese Entscheidungen werden gemäß den in Artikel XX.48 vorgesehenen Modalitäten veröffentlicht.</w:t>
      </w:r>
    </w:p>
    <w:p w14:paraId="2CC4D08C" w14:textId="77777777" w:rsidR="00EE35E2" w:rsidRPr="004676F5" w:rsidRDefault="00EE35E2" w:rsidP="00EE35E2">
      <w:pPr>
        <w:ind w:firstLine="708"/>
        <w:jc w:val="both"/>
        <w:rPr>
          <w:lang w:val="de-DE"/>
        </w:rPr>
      </w:pPr>
    </w:p>
    <w:p w14:paraId="15816467" w14:textId="1B06846E" w:rsidR="00EE35E2" w:rsidRPr="004676F5" w:rsidRDefault="00EE35E2" w:rsidP="00EE35E2">
      <w:pPr>
        <w:ind w:firstLine="708"/>
        <w:jc w:val="both"/>
        <w:rPr>
          <w:lang w:val="de-DE"/>
        </w:rPr>
      </w:pPr>
      <w:r w:rsidRPr="004676F5">
        <w:rPr>
          <w:lang w:val="de-DE"/>
        </w:rPr>
        <w:t>§ 6 </w:t>
      </w:r>
      <w:r w:rsidR="005B7A5C" w:rsidRPr="004676F5">
        <w:rPr>
          <w:lang w:val="de-DE"/>
        </w:rPr>
        <w:t>- </w:t>
      </w:r>
      <w:r w:rsidRPr="004676F5">
        <w:rPr>
          <w:lang w:val="de-DE"/>
        </w:rPr>
        <w:t>Für eventuelle Kosten der gesetzlichen Formvorschriften, die erforderlich sind, damit Rechte aus einer gütlichen Einigung Drittwirksamkeit erlangen, gilt bei anschließender Gläubigerkonkurrenz das in den Artikeln 17 und 19 Nr. 1 des Hypothekengesetzes vom 16. Dezember 1851 erwähnte Vorzugsrecht.</w:t>
      </w:r>
    </w:p>
    <w:p w14:paraId="1FF57938" w14:textId="77777777" w:rsidR="00EE35E2" w:rsidRPr="004676F5" w:rsidRDefault="00EE35E2" w:rsidP="00EE35E2">
      <w:pPr>
        <w:ind w:firstLine="708"/>
        <w:jc w:val="both"/>
        <w:rPr>
          <w:lang w:val="de-DE"/>
        </w:rPr>
      </w:pPr>
    </w:p>
    <w:p w14:paraId="27381CDB" w14:textId="4681DE4C" w:rsidR="00EE35E2" w:rsidRPr="004676F5" w:rsidRDefault="00EE35E2" w:rsidP="00EE35E2">
      <w:pPr>
        <w:ind w:firstLine="708"/>
        <w:jc w:val="both"/>
        <w:rPr>
          <w:lang w:val="de-DE"/>
        </w:rPr>
      </w:pPr>
      <w:r w:rsidRPr="004676F5">
        <w:rPr>
          <w:lang w:val="de-DE"/>
        </w:rPr>
        <w:lastRenderedPageBreak/>
        <w:t xml:space="preserve">Wenn der Gerichtspräsident das Ende des Auftrags </w:t>
      </w:r>
      <w:r w:rsidR="00EC7817" w:rsidRPr="004676F5">
        <w:rPr>
          <w:lang w:val="de-DE"/>
        </w:rPr>
        <w:t>[des gemäß Artikel XX.30 bestellten Reorganisations</w:t>
      </w:r>
      <w:r w:rsidR="00EC7817" w:rsidRPr="004676F5">
        <w:rPr>
          <w:lang w:val="de-DE"/>
        </w:rPr>
        <w:softHyphen/>
        <w:t>bearbeiters</w:t>
      </w:r>
      <w:r w:rsidR="007567E4" w:rsidRPr="004676F5">
        <w:rPr>
          <w:lang w:val="de-DE"/>
        </w:rPr>
        <w:t>]</w:t>
      </w:r>
      <w:r w:rsidR="00EC7817" w:rsidRPr="004676F5">
        <w:rPr>
          <w:lang w:val="de-DE"/>
        </w:rPr>
        <w:t xml:space="preserve"> </w:t>
      </w:r>
      <w:r w:rsidRPr="004676F5">
        <w:rPr>
          <w:lang w:val="de-DE"/>
        </w:rPr>
        <w:t>feststellt, legt er die Aufstellung der Kosten und Honorare fest.</w:t>
      </w:r>
    </w:p>
    <w:p w14:paraId="2EB7CA49" w14:textId="77777777" w:rsidR="00EE35E2" w:rsidRPr="004676F5" w:rsidRDefault="00EE35E2" w:rsidP="00EE35E2">
      <w:pPr>
        <w:ind w:firstLine="708"/>
        <w:jc w:val="both"/>
        <w:rPr>
          <w:lang w:val="de-DE"/>
        </w:rPr>
      </w:pPr>
    </w:p>
    <w:p w14:paraId="5BD82C5B" w14:textId="77777777" w:rsidR="00EE35E2" w:rsidRPr="004676F5" w:rsidRDefault="00EE35E2" w:rsidP="00EE35E2">
      <w:pPr>
        <w:ind w:firstLine="708"/>
        <w:jc w:val="both"/>
        <w:rPr>
          <w:lang w:val="de-DE"/>
        </w:rPr>
      </w:pPr>
      <w:r w:rsidRPr="004676F5">
        <w:rPr>
          <w:lang w:val="de-DE"/>
        </w:rPr>
        <w:t>Für diese Forderung gilt bei anschließender Gläubigerkonkurrenz das in den Artikeln 17 und 19 Nr. 1 des Hypothekengesetzes vom 16. Dezember 1851 erwähnte Vorzugsrecht.</w:t>
      </w:r>
    </w:p>
    <w:p w14:paraId="0F2A9719" w14:textId="77777777" w:rsidR="00EE35E2" w:rsidRPr="004676F5" w:rsidRDefault="00EE35E2" w:rsidP="00EE35E2">
      <w:pPr>
        <w:ind w:firstLine="708"/>
        <w:jc w:val="both"/>
        <w:rPr>
          <w:lang w:val="de-DE"/>
        </w:rPr>
      </w:pPr>
    </w:p>
    <w:p w14:paraId="6FF34D1B" w14:textId="34CFC275" w:rsidR="00EE35E2" w:rsidRPr="004676F5" w:rsidRDefault="00EE35E2" w:rsidP="00EE35E2">
      <w:pPr>
        <w:ind w:firstLine="708"/>
        <w:jc w:val="both"/>
        <w:rPr>
          <w:lang w:val="de-DE"/>
        </w:rPr>
      </w:pPr>
      <w:r w:rsidRPr="004676F5">
        <w:rPr>
          <w:lang w:val="de-DE"/>
        </w:rPr>
        <w:t>§ 7 </w:t>
      </w:r>
      <w:r w:rsidR="005B7A5C" w:rsidRPr="004676F5">
        <w:rPr>
          <w:lang w:val="de-DE"/>
        </w:rPr>
        <w:t>- </w:t>
      </w:r>
      <w:r w:rsidR="00EC7817" w:rsidRPr="004676F5">
        <w:rPr>
          <w:lang w:val="de-DE"/>
        </w:rPr>
        <w:t>[...]</w:t>
      </w:r>
    </w:p>
    <w:p w14:paraId="63E1F965" w14:textId="77777777" w:rsidR="00EE35E2" w:rsidRPr="004676F5" w:rsidRDefault="00EE35E2" w:rsidP="00EE35E2">
      <w:pPr>
        <w:ind w:firstLine="708"/>
        <w:jc w:val="both"/>
        <w:rPr>
          <w:lang w:val="de-DE"/>
        </w:rPr>
      </w:pPr>
    </w:p>
    <w:p w14:paraId="6F2989CE" w14:textId="153D630F" w:rsidR="00EE35E2" w:rsidRPr="004676F5" w:rsidRDefault="00EE35E2" w:rsidP="00EE35E2">
      <w:pPr>
        <w:ind w:firstLine="708"/>
        <w:jc w:val="both"/>
        <w:rPr>
          <w:lang w:val="de-DE"/>
        </w:rPr>
      </w:pPr>
      <w:r w:rsidRPr="004676F5">
        <w:rPr>
          <w:lang w:val="de-DE"/>
        </w:rPr>
        <w:t>§ 8 </w:t>
      </w:r>
      <w:r w:rsidR="005B7A5C" w:rsidRPr="004676F5">
        <w:rPr>
          <w:lang w:val="de-DE"/>
        </w:rPr>
        <w:t>- </w:t>
      </w:r>
      <w:r w:rsidRPr="004676F5">
        <w:rPr>
          <w:lang w:val="de-DE"/>
        </w:rPr>
        <w:t>Gläubiger, die an einer gütlichen Einigung teilnehmen, können vom Schuldner, einem anderen Gläubiger oder einem Dritten nicht aus dem alleinigen Grund haftbar gemacht werden, dass die gütliche Einigung es nicht ermöglicht hat, den Fortbestand der Gesamtheit oder eines Teils der Aktiva oder der Tätigkeiten tatsächlich zu gewährleisten.</w:t>
      </w:r>
    </w:p>
    <w:p w14:paraId="17F4C126" w14:textId="77777777" w:rsidR="004809DE" w:rsidRPr="004676F5" w:rsidRDefault="004809DE" w:rsidP="00EE35E2">
      <w:pPr>
        <w:ind w:firstLine="708"/>
        <w:jc w:val="both"/>
        <w:rPr>
          <w:lang w:val="de-DE"/>
        </w:rPr>
      </w:pPr>
    </w:p>
    <w:p w14:paraId="2E1642B0" w14:textId="178BDFCB" w:rsidR="004809DE" w:rsidRPr="004676F5" w:rsidRDefault="004809DE" w:rsidP="004809DE">
      <w:pPr>
        <w:jc w:val="both"/>
        <w:rPr>
          <w:i/>
          <w:iCs/>
          <w:lang w:val="de-DE"/>
        </w:rPr>
      </w:pPr>
      <w:r w:rsidRPr="004676F5">
        <w:rPr>
          <w:i/>
          <w:iCs/>
          <w:lang w:val="de-DE"/>
        </w:rPr>
        <w:t xml:space="preserve">[Art. XX.65 </w:t>
      </w:r>
      <w:r w:rsidR="007567E4" w:rsidRPr="004676F5">
        <w:rPr>
          <w:i/>
          <w:iCs/>
          <w:lang w:val="de-DE"/>
        </w:rPr>
        <w:t>§ 1 abgeändert durch Art. 11</w:t>
      </w:r>
      <w:r w:rsidR="00FF3402" w:rsidRPr="004676F5">
        <w:rPr>
          <w:i/>
          <w:iCs/>
          <w:lang w:val="de-DE"/>
        </w:rPr>
        <w:t xml:space="preserve"> des G. vom 21. März 2021 (B.S. vom 26. März 2021), selbst aufgehoben durch Art. 271 des G. vom 7. Juni 2023 (B.S. vom 7. Juli 2023), und durch </w:t>
      </w:r>
      <w:r w:rsidR="007567E4" w:rsidRPr="004676F5">
        <w:rPr>
          <w:i/>
          <w:iCs/>
          <w:lang w:val="de-DE"/>
        </w:rPr>
        <w:t xml:space="preserve">Art. 91 Nr. 1 des G. vom 7. Juni 2023 (B.S. vom 7. Juli 2023); § 2 abgeändert durch Art. 91 Nr. 2 des G. vom 7. Juni 2023 (B.S. vom 7. Juli 2023); </w:t>
      </w:r>
      <w:r w:rsidRPr="004676F5">
        <w:rPr>
          <w:i/>
          <w:iCs/>
          <w:lang w:val="de-DE"/>
        </w:rPr>
        <w:t xml:space="preserve">§ 3 Abs. 2 </w:t>
      </w:r>
      <w:r w:rsidR="007567E4" w:rsidRPr="004676F5">
        <w:rPr>
          <w:i/>
          <w:iCs/>
          <w:lang w:val="de-DE"/>
        </w:rPr>
        <w:t>ersetzt durch Art. 91 Nr. 3 des G. vom 7. Juni 2023 (B.S. vom 7. Juli 2023); § 4 abgeändert durch Art. 11</w:t>
      </w:r>
      <w:r w:rsidR="00FF3402" w:rsidRPr="004676F5">
        <w:rPr>
          <w:i/>
          <w:iCs/>
          <w:lang w:val="de-DE"/>
        </w:rPr>
        <w:t xml:space="preserve"> des G. vom 21. März 2021 (B.S. vom 26. März 2021), selbst aufgehoben durch Art. 271 des G. vom 7. Juni 2023 (B.S. vom 7. Juli 2023), und durch </w:t>
      </w:r>
      <w:r w:rsidR="007567E4" w:rsidRPr="004676F5">
        <w:rPr>
          <w:i/>
          <w:iCs/>
          <w:lang w:val="de-DE"/>
        </w:rPr>
        <w:t>Art. 91 Nr. 4 des G. vom 7. Juni 2023 (B.S. vom 7. Juli 2023); § 6 Abs. 2 abgeändert durch Art. 91 Nr. 5 des G. vom 7. Juni 2023 (B.S. vom 7. Juli 2023); § 7 aufgehoben durch Art. 91 Nr. 6 des G. vom 7. Juni 2023 (B.S. vom 7. Juli 2023)</w:t>
      </w:r>
      <w:r w:rsidRPr="004676F5">
        <w:rPr>
          <w:i/>
          <w:iCs/>
          <w:lang w:val="de-DE"/>
        </w:rPr>
        <w:t>]</w:t>
      </w:r>
    </w:p>
    <w:p w14:paraId="2798962E" w14:textId="77777777" w:rsidR="00EE35E2" w:rsidRPr="004676F5" w:rsidRDefault="00EE35E2" w:rsidP="00EE35E2">
      <w:pPr>
        <w:ind w:firstLine="708"/>
        <w:jc w:val="both"/>
        <w:rPr>
          <w:lang w:val="de-DE"/>
        </w:rPr>
      </w:pPr>
    </w:p>
    <w:p w14:paraId="23C61D62" w14:textId="77777777" w:rsidR="00D11212" w:rsidRPr="004676F5" w:rsidRDefault="00D11212" w:rsidP="00EE35E2">
      <w:pPr>
        <w:ind w:firstLine="708"/>
        <w:jc w:val="both"/>
        <w:rPr>
          <w:lang w:val="de-DE"/>
        </w:rPr>
      </w:pPr>
    </w:p>
    <w:p w14:paraId="0261F4B3" w14:textId="040D7830" w:rsidR="00EE35E2" w:rsidRPr="004676F5" w:rsidRDefault="00BE0A56" w:rsidP="00EE35E2">
      <w:pPr>
        <w:ind w:firstLine="708"/>
        <w:jc w:val="both"/>
        <w:rPr>
          <w:lang w:val="de-DE"/>
        </w:rPr>
      </w:pPr>
      <w:r w:rsidRPr="004676F5">
        <w:rPr>
          <w:b/>
          <w:lang w:val="de-DE"/>
        </w:rPr>
        <w:t>Art. </w:t>
      </w:r>
      <w:r w:rsidR="00EE35E2" w:rsidRPr="004676F5">
        <w:rPr>
          <w:b/>
          <w:lang w:val="de-DE"/>
        </w:rPr>
        <w:t>XX.66</w:t>
      </w:r>
      <w:r w:rsidR="00EE35E2" w:rsidRPr="004676F5">
        <w:rPr>
          <w:lang w:val="de-DE"/>
        </w:rPr>
        <w:t> </w:t>
      </w:r>
      <w:r w:rsidR="005B7A5C" w:rsidRPr="004676F5">
        <w:rPr>
          <w:lang w:val="de-DE"/>
        </w:rPr>
        <w:t>- </w:t>
      </w:r>
      <w:r w:rsidR="00EE35E2" w:rsidRPr="004676F5">
        <w:rPr>
          <w:lang w:val="de-DE"/>
        </w:rPr>
        <w:t>Einer natürlichen Person, die für den Schuldner unentgeltlich eine persönliche Sicherheit geleistet hat und deren in Artikel XX.54 § 3 erwähntem Antrag stattgeben worden ist, kommen die Auswirkungen der gütlichen Einigung zugute.</w:t>
      </w:r>
    </w:p>
    <w:p w14:paraId="02F51E12" w14:textId="77777777" w:rsidR="00EE35E2" w:rsidRPr="004676F5" w:rsidRDefault="00EE35E2" w:rsidP="00EE35E2">
      <w:pPr>
        <w:jc w:val="both"/>
        <w:rPr>
          <w:lang w:val="de-DE"/>
        </w:rPr>
      </w:pPr>
    </w:p>
    <w:p w14:paraId="108F3E02" w14:textId="77777777" w:rsidR="00D11212" w:rsidRPr="004676F5" w:rsidRDefault="00D11212" w:rsidP="00EE35E2">
      <w:pPr>
        <w:jc w:val="both"/>
        <w:rPr>
          <w:lang w:val="de-DE"/>
        </w:rPr>
      </w:pPr>
    </w:p>
    <w:p w14:paraId="624A964E" w14:textId="77777777" w:rsidR="00D11212" w:rsidRPr="004676F5" w:rsidRDefault="00D11212">
      <w:pPr>
        <w:rPr>
          <w:lang w:val="de-DE"/>
        </w:rPr>
      </w:pPr>
      <w:r w:rsidRPr="004676F5">
        <w:rPr>
          <w:lang w:val="de-DE"/>
        </w:rPr>
        <w:br w:type="page"/>
      </w:r>
    </w:p>
    <w:p w14:paraId="627520C5" w14:textId="143E77FC" w:rsidR="00EE35E2" w:rsidRPr="004676F5" w:rsidRDefault="007567E4" w:rsidP="00EE35E2">
      <w:pPr>
        <w:jc w:val="center"/>
        <w:rPr>
          <w:iCs/>
          <w:lang w:val="de-DE"/>
        </w:rPr>
      </w:pPr>
      <w:r w:rsidRPr="004676F5">
        <w:rPr>
          <w:lang w:val="de-DE"/>
        </w:rPr>
        <w:lastRenderedPageBreak/>
        <w:t>[</w:t>
      </w:r>
      <w:r w:rsidR="00EE35E2" w:rsidRPr="004676F5">
        <w:rPr>
          <w:lang w:val="de-DE"/>
        </w:rPr>
        <w:t>KAPITEL </w:t>
      </w:r>
      <w:r w:rsidRPr="004676F5">
        <w:rPr>
          <w:lang w:val="de-DE"/>
        </w:rPr>
        <w:t>2]</w:t>
      </w:r>
      <w:r w:rsidR="00EE35E2" w:rsidRPr="004676F5">
        <w:rPr>
          <w:lang w:val="de-DE"/>
        </w:rPr>
        <w:t> </w:t>
      </w:r>
      <w:r w:rsidR="005B7A5C" w:rsidRPr="004676F5">
        <w:rPr>
          <w:lang w:val="de-DE"/>
        </w:rPr>
        <w:t>- </w:t>
      </w:r>
      <w:r w:rsidRPr="004676F5">
        <w:rPr>
          <w:lang w:val="de-DE"/>
        </w:rPr>
        <w:t>[</w:t>
      </w:r>
      <w:r w:rsidRPr="004676F5">
        <w:rPr>
          <w:i/>
          <w:iCs/>
          <w:lang w:val="de-DE"/>
        </w:rPr>
        <w:t>Öffentliche g</w:t>
      </w:r>
      <w:r w:rsidR="00EE35E2" w:rsidRPr="004676F5">
        <w:rPr>
          <w:i/>
          <w:lang w:val="de-DE"/>
        </w:rPr>
        <w:t xml:space="preserve">erichtliche Reorganisation durch </w:t>
      </w:r>
      <w:r w:rsidRPr="004676F5">
        <w:rPr>
          <w:i/>
          <w:lang w:val="de-DE"/>
        </w:rPr>
        <w:t xml:space="preserve">eine auf kleine und mittlere Betriebe anwendbare </w:t>
      </w:r>
      <w:r w:rsidR="00EE35E2" w:rsidRPr="004676F5">
        <w:rPr>
          <w:i/>
          <w:lang w:val="de-DE"/>
        </w:rPr>
        <w:t>kollektive Einigung</w:t>
      </w:r>
      <w:r w:rsidRPr="004676F5">
        <w:rPr>
          <w:iCs/>
          <w:lang w:val="de-DE"/>
        </w:rPr>
        <w:t>]</w:t>
      </w:r>
    </w:p>
    <w:p w14:paraId="1FC96910" w14:textId="77777777" w:rsidR="007567E4" w:rsidRPr="004676F5" w:rsidRDefault="007567E4" w:rsidP="00EE35E2">
      <w:pPr>
        <w:jc w:val="center"/>
        <w:rPr>
          <w:iCs/>
          <w:lang w:val="de-DE"/>
        </w:rPr>
      </w:pPr>
    </w:p>
    <w:p w14:paraId="6DD0004D" w14:textId="7E457714" w:rsidR="007567E4" w:rsidRPr="004676F5" w:rsidRDefault="007567E4" w:rsidP="007567E4">
      <w:pPr>
        <w:jc w:val="both"/>
        <w:rPr>
          <w:b/>
          <w:i/>
          <w:iCs/>
          <w:lang w:val="de-DE"/>
        </w:rPr>
      </w:pPr>
      <w:r w:rsidRPr="004676F5">
        <w:rPr>
          <w:bCs/>
          <w:i/>
          <w:iCs/>
          <w:lang w:val="de-DE"/>
        </w:rPr>
        <w:t>[Frühere</w:t>
      </w:r>
      <w:r w:rsidR="00B20716" w:rsidRPr="004676F5">
        <w:rPr>
          <w:bCs/>
          <w:i/>
          <w:iCs/>
          <w:lang w:val="de-DE"/>
        </w:rPr>
        <w:t>s</w:t>
      </w:r>
      <w:r w:rsidRPr="004676F5">
        <w:rPr>
          <w:bCs/>
          <w:i/>
          <w:iCs/>
          <w:lang w:val="de-DE"/>
        </w:rPr>
        <w:t xml:space="preserve"> Kapitel 3 </w:t>
      </w:r>
      <w:r w:rsidR="00B20716" w:rsidRPr="004676F5">
        <w:rPr>
          <w:bCs/>
          <w:i/>
          <w:iCs/>
          <w:lang w:val="de-DE"/>
        </w:rPr>
        <w:t xml:space="preserve">umgegliedert und </w:t>
      </w:r>
      <w:r w:rsidRPr="004676F5">
        <w:rPr>
          <w:bCs/>
          <w:i/>
          <w:iCs/>
          <w:lang w:val="de-DE"/>
        </w:rPr>
        <w:t>umnummeriert zu Kapitel 2 und Überschrift ersetzt durch Art. 92 des G. vom 7. Juni 2023 (B.S. vom 7. Juli 2023)]</w:t>
      </w:r>
    </w:p>
    <w:p w14:paraId="2EA16FA6" w14:textId="77777777" w:rsidR="007567E4" w:rsidRPr="004676F5" w:rsidRDefault="007567E4" w:rsidP="00EE35E2">
      <w:pPr>
        <w:jc w:val="center"/>
        <w:rPr>
          <w:iCs/>
          <w:lang w:val="de-DE"/>
        </w:rPr>
      </w:pPr>
    </w:p>
    <w:p w14:paraId="0BB007A1" w14:textId="77777777" w:rsidR="007567E4" w:rsidRPr="004676F5" w:rsidRDefault="007567E4" w:rsidP="00EE35E2">
      <w:pPr>
        <w:jc w:val="center"/>
        <w:rPr>
          <w:iCs/>
          <w:lang w:val="de-DE"/>
        </w:rPr>
      </w:pPr>
    </w:p>
    <w:p w14:paraId="6961CBB0" w14:textId="549D9D22" w:rsidR="007567E4" w:rsidRPr="004676F5" w:rsidRDefault="007567E4" w:rsidP="007567E4">
      <w:pPr>
        <w:jc w:val="center"/>
        <w:rPr>
          <w:lang w:val="de-DE"/>
        </w:rPr>
      </w:pPr>
      <w:r w:rsidRPr="004676F5">
        <w:rPr>
          <w:iCs/>
          <w:lang w:val="de-DE"/>
        </w:rPr>
        <w:t>[</w:t>
      </w:r>
      <w:r w:rsidRPr="004676F5">
        <w:rPr>
          <w:i/>
          <w:iCs/>
          <w:lang w:val="de-DE"/>
        </w:rPr>
        <w:t>Abschnitt 1</w:t>
      </w:r>
      <w:r w:rsidRPr="004676F5">
        <w:rPr>
          <w:lang w:val="de-DE"/>
        </w:rPr>
        <w:t> - Anwendungsbereich]</w:t>
      </w:r>
    </w:p>
    <w:p w14:paraId="0AA1534E" w14:textId="77777777" w:rsidR="007567E4" w:rsidRPr="004676F5" w:rsidRDefault="007567E4" w:rsidP="007567E4">
      <w:pPr>
        <w:jc w:val="center"/>
        <w:rPr>
          <w:lang w:val="de-DE"/>
        </w:rPr>
      </w:pPr>
    </w:p>
    <w:p w14:paraId="6FE4F3AA" w14:textId="2D2ABF82" w:rsidR="007567E4" w:rsidRPr="004676F5" w:rsidRDefault="007567E4" w:rsidP="007567E4">
      <w:pPr>
        <w:jc w:val="both"/>
        <w:rPr>
          <w:i/>
          <w:iCs/>
          <w:lang w:val="de-DE"/>
        </w:rPr>
      </w:pPr>
      <w:r w:rsidRPr="004676F5">
        <w:rPr>
          <w:i/>
          <w:iCs/>
          <w:lang w:val="de-DE"/>
        </w:rPr>
        <w:t>[Unterteilung Abschnitt 1 eingefügt durch Art. 93 des G. vom 7. Juni 2023 (B.S. vom 7. Juli 2023)]</w:t>
      </w:r>
    </w:p>
    <w:p w14:paraId="67D00031" w14:textId="77777777" w:rsidR="007567E4" w:rsidRPr="004676F5" w:rsidRDefault="007567E4" w:rsidP="007567E4">
      <w:pPr>
        <w:jc w:val="both"/>
        <w:rPr>
          <w:lang w:val="de-DE"/>
        </w:rPr>
      </w:pPr>
    </w:p>
    <w:p w14:paraId="31A44F2A" w14:textId="77777777" w:rsidR="007567E4" w:rsidRPr="004676F5" w:rsidRDefault="007567E4" w:rsidP="007567E4">
      <w:pPr>
        <w:jc w:val="both"/>
        <w:rPr>
          <w:lang w:val="de-DE"/>
        </w:rPr>
      </w:pPr>
    </w:p>
    <w:p w14:paraId="25083AB7" w14:textId="72779CA6" w:rsidR="007567E4" w:rsidRPr="004676F5" w:rsidRDefault="007567E4" w:rsidP="007567E4">
      <w:pPr>
        <w:jc w:val="both"/>
        <w:rPr>
          <w:lang w:val="de-DE"/>
        </w:rPr>
      </w:pPr>
      <w:r w:rsidRPr="004676F5">
        <w:rPr>
          <w:lang w:val="de-DE"/>
        </w:rPr>
        <w:tab/>
        <w:t>[</w:t>
      </w:r>
      <w:r w:rsidRPr="004676F5">
        <w:rPr>
          <w:b/>
          <w:bCs/>
          <w:lang w:val="de-DE"/>
        </w:rPr>
        <w:t>Art. XX.66/1</w:t>
      </w:r>
      <w:r w:rsidRPr="004676F5">
        <w:rPr>
          <w:lang w:val="de-DE"/>
        </w:rPr>
        <w:t> - Vorliegendes Kapitel ist auf den Antrag auf kollektive Einigung anwendbar, der von anderen als den in Artikel XX.83/1 erwähnten Schuldnern eingereicht wird.]</w:t>
      </w:r>
    </w:p>
    <w:p w14:paraId="267DA854" w14:textId="77777777" w:rsidR="007567E4" w:rsidRPr="004676F5" w:rsidRDefault="007567E4" w:rsidP="007567E4">
      <w:pPr>
        <w:jc w:val="both"/>
        <w:rPr>
          <w:lang w:val="de-DE"/>
        </w:rPr>
      </w:pPr>
    </w:p>
    <w:p w14:paraId="0A7348BE" w14:textId="6DBD49C7" w:rsidR="007567E4" w:rsidRPr="004676F5" w:rsidRDefault="007567E4" w:rsidP="007567E4">
      <w:pPr>
        <w:jc w:val="both"/>
        <w:rPr>
          <w:i/>
          <w:iCs/>
          <w:lang w:val="de-DE"/>
        </w:rPr>
      </w:pPr>
      <w:r w:rsidRPr="004676F5">
        <w:rPr>
          <w:i/>
          <w:iCs/>
          <w:lang w:val="de-DE"/>
        </w:rPr>
        <w:t>[Art. XX.66/1 eingefügt durch Art. 94 des G. vom 7. Juni 2023 (B.S. vom 7. Juli 2023)]</w:t>
      </w:r>
    </w:p>
    <w:p w14:paraId="2AFDDABF" w14:textId="77777777" w:rsidR="007567E4" w:rsidRPr="004676F5" w:rsidRDefault="007567E4" w:rsidP="007567E4">
      <w:pPr>
        <w:jc w:val="center"/>
        <w:rPr>
          <w:lang w:val="de-DE"/>
        </w:rPr>
      </w:pPr>
    </w:p>
    <w:p w14:paraId="6B1CBFD9" w14:textId="77777777" w:rsidR="00D11212" w:rsidRPr="004676F5" w:rsidRDefault="00D11212" w:rsidP="007567E4">
      <w:pPr>
        <w:jc w:val="both"/>
        <w:rPr>
          <w:lang w:val="de-DE"/>
        </w:rPr>
      </w:pPr>
    </w:p>
    <w:p w14:paraId="0620522A" w14:textId="0AE2BA31" w:rsidR="007567E4" w:rsidRPr="004676F5" w:rsidRDefault="007567E4" w:rsidP="007567E4">
      <w:pPr>
        <w:jc w:val="center"/>
        <w:rPr>
          <w:lang w:val="de-DE"/>
        </w:rPr>
      </w:pPr>
      <w:r w:rsidRPr="004676F5">
        <w:rPr>
          <w:lang w:val="de-DE"/>
        </w:rPr>
        <w:t>[</w:t>
      </w:r>
      <w:r w:rsidRPr="004676F5">
        <w:rPr>
          <w:i/>
          <w:iCs/>
          <w:lang w:val="de-DE"/>
        </w:rPr>
        <w:t>Abschnitt 2</w:t>
      </w:r>
      <w:r w:rsidRPr="004676F5">
        <w:rPr>
          <w:lang w:val="de-DE"/>
        </w:rPr>
        <w:t> - Reorganisationsplan]</w:t>
      </w:r>
    </w:p>
    <w:p w14:paraId="200CC1D4" w14:textId="77777777" w:rsidR="007567E4" w:rsidRPr="004676F5" w:rsidRDefault="007567E4" w:rsidP="007567E4">
      <w:pPr>
        <w:jc w:val="center"/>
        <w:rPr>
          <w:lang w:val="de-DE"/>
        </w:rPr>
      </w:pPr>
    </w:p>
    <w:p w14:paraId="5D5D81A2" w14:textId="75BAEAAE" w:rsidR="007567E4" w:rsidRPr="004676F5" w:rsidRDefault="007567E4" w:rsidP="007567E4">
      <w:pPr>
        <w:jc w:val="both"/>
        <w:rPr>
          <w:i/>
          <w:iCs/>
          <w:lang w:val="de-DE"/>
        </w:rPr>
      </w:pPr>
      <w:r w:rsidRPr="004676F5">
        <w:rPr>
          <w:i/>
          <w:iCs/>
          <w:lang w:val="de-DE"/>
        </w:rPr>
        <w:t>[Unterteilung Abschnitt 2 eingefügt durch Art. 95 des G. vom 7. Juni 2023 (B.S. vom 7. Juli 2023)]</w:t>
      </w:r>
    </w:p>
    <w:p w14:paraId="4645FC0D" w14:textId="77777777" w:rsidR="007567E4" w:rsidRPr="004676F5" w:rsidRDefault="007567E4" w:rsidP="007567E4">
      <w:pPr>
        <w:jc w:val="both"/>
        <w:rPr>
          <w:i/>
          <w:iCs/>
          <w:lang w:val="de-DE"/>
        </w:rPr>
      </w:pPr>
    </w:p>
    <w:p w14:paraId="2C15A0B7" w14:textId="77777777" w:rsidR="007567E4" w:rsidRPr="004676F5" w:rsidRDefault="007567E4" w:rsidP="007567E4">
      <w:pPr>
        <w:jc w:val="center"/>
        <w:rPr>
          <w:lang w:val="de-DE"/>
        </w:rPr>
      </w:pPr>
    </w:p>
    <w:p w14:paraId="48F8C890" w14:textId="5E7D381F" w:rsidR="00EE35E2" w:rsidRPr="004676F5" w:rsidRDefault="00BE0A56" w:rsidP="00EE35E2">
      <w:pPr>
        <w:ind w:firstLine="708"/>
        <w:jc w:val="both"/>
        <w:rPr>
          <w:lang w:val="de-DE"/>
        </w:rPr>
      </w:pPr>
      <w:r w:rsidRPr="004676F5">
        <w:rPr>
          <w:b/>
          <w:lang w:val="de-DE"/>
        </w:rPr>
        <w:t>Art. </w:t>
      </w:r>
      <w:r w:rsidR="00EE35E2" w:rsidRPr="004676F5">
        <w:rPr>
          <w:b/>
          <w:lang w:val="de-DE"/>
        </w:rPr>
        <w:t>XX.67</w:t>
      </w:r>
      <w:r w:rsidR="00EE35E2" w:rsidRPr="004676F5">
        <w:rPr>
          <w:lang w:val="de-DE"/>
        </w:rPr>
        <w:t> </w:t>
      </w:r>
      <w:r w:rsidR="005B7A5C" w:rsidRPr="004676F5">
        <w:rPr>
          <w:lang w:val="de-DE"/>
        </w:rPr>
        <w:t>- </w:t>
      </w:r>
      <w:r w:rsidR="00EE35E2" w:rsidRPr="004676F5">
        <w:rPr>
          <w:lang w:val="de-DE"/>
        </w:rPr>
        <w:t xml:space="preserve">Mit dem Verfahren der kollektiven Einigung wird darauf abgezielt, </w:t>
      </w:r>
      <w:r w:rsidR="007567E4" w:rsidRPr="004676F5">
        <w:rPr>
          <w:lang w:val="de-DE"/>
        </w:rPr>
        <w:t>[</w:t>
      </w:r>
      <w:r w:rsidR="00BB71D9" w:rsidRPr="004676F5">
        <w:rPr>
          <w:lang w:val="de-DE"/>
        </w:rPr>
        <w:t>es dem Schuldner zu ermöglichen, eine Einigung mit seinen Gläubigern und gegebenenfalls den Anteilsinhabern]</w:t>
      </w:r>
      <w:r w:rsidR="00EE35E2" w:rsidRPr="004676F5">
        <w:rPr>
          <w:lang w:val="de-DE"/>
        </w:rPr>
        <w:t xml:space="preserve"> über einen Reorganisationsplan zu erzielen.</w:t>
      </w:r>
    </w:p>
    <w:p w14:paraId="0B332956" w14:textId="77777777" w:rsidR="00EE35E2" w:rsidRPr="004676F5" w:rsidRDefault="00EE35E2" w:rsidP="00BB71D9">
      <w:pPr>
        <w:jc w:val="both"/>
        <w:rPr>
          <w:lang w:val="de-DE"/>
        </w:rPr>
      </w:pPr>
    </w:p>
    <w:p w14:paraId="7530C3A1" w14:textId="6625585C" w:rsidR="00BB71D9" w:rsidRPr="004676F5" w:rsidRDefault="00BB71D9" w:rsidP="00BB71D9">
      <w:pPr>
        <w:jc w:val="both"/>
        <w:rPr>
          <w:i/>
          <w:iCs/>
          <w:lang w:val="de-DE"/>
        </w:rPr>
      </w:pPr>
      <w:r w:rsidRPr="004676F5">
        <w:rPr>
          <w:i/>
          <w:iCs/>
          <w:lang w:val="de-DE"/>
        </w:rPr>
        <w:t>[Art. XX.67 abgeändert durch Art. 96 des G. vom 7. Juni 2023 (B.S. vom 7. Juli 2023)]</w:t>
      </w:r>
    </w:p>
    <w:p w14:paraId="593F7CF8" w14:textId="77777777" w:rsidR="00BB71D9" w:rsidRPr="004676F5" w:rsidRDefault="00BB71D9" w:rsidP="00BB71D9">
      <w:pPr>
        <w:jc w:val="both"/>
        <w:rPr>
          <w:i/>
          <w:iCs/>
          <w:lang w:val="de-DE"/>
        </w:rPr>
      </w:pPr>
    </w:p>
    <w:p w14:paraId="44C586BB" w14:textId="77777777" w:rsidR="00D11212" w:rsidRPr="004676F5" w:rsidRDefault="00D11212" w:rsidP="00EE35E2">
      <w:pPr>
        <w:ind w:firstLine="708"/>
        <w:jc w:val="both"/>
        <w:rPr>
          <w:lang w:val="de-DE"/>
        </w:rPr>
      </w:pPr>
    </w:p>
    <w:p w14:paraId="68CEA081" w14:textId="520898C1" w:rsidR="00EE35E2" w:rsidRPr="004676F5" w:rsidRDefault="00BE0A56" w:rsidP="00EE35E2">
      <w:pPr>
        <w:ind w:firstLine="708"/>
        <w:jc w:val="both"/>
        <w:rPr>
          <w:lang w:val="de-DE"/>
        </w:rPr>
      </w:pPr>
      <w:r w:rsidRPr="004676F5">
        <w:rPr>
          <w:b/>
          <w:lang w:val="de-DE"/>
        </w:rPr>
        <w:t>Art. </w:t>
      </w:r>
      <w:r w:rsidR="00EE35E2" w:rsidRPr="004676F5">
        <w:rPr>
          <w:b/>
          <w:lang w:val="de-DE"/>
        </w:rPr>
        <w:t>XX.68</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Ein Aufschubgläubiger oder ein Interesse habender Dritter, der in Anwendung von Artikel XX.49 § 2 Höhe oder Eigenschaft seiner Forderung bestreitet, muss seine Antragschrift spätestens einen Monat vor der in Artikel XX.78 erwähnten Sitzung hinterlegen.</w:t>
      </w:r>
    </w:p>
    <w:p w14:paraId="59F05645" w14:textId="77777777" w:rsidR="00EE35E2" w:rsidRPr="004676F5" w:rsidRDefault="00EE35E2" w:rsidP="00EE35E2">
      <w:pPr>
        <w:ind w:firstLine="708"/>
        <w:jc w:val="both"/>
        <w:rPr>
          <w:lang w:val="de-DE"/>
        </w:rPr>
      </w:pPr>
    </w:p>
    <w:p w14:paraId="742A73FF" w14:textId="77777777" w:rsidR="00EE35E2" w:rsidRPr="004676F5" w:rsidRDefault="00EE35E2" w:rsidP="00EE35E2">
      <w:pPr>
        <w:ind w:firstLine="708"/>
        <w:jc w:val="both"/>
        <w:rPr>
          <w:lang w:val="de-DE"/>
        </w:rPr>
      </w:pPr>
      <w:r w:rsidRPr="004676F5">
        <w:rPr>
          <w:lang w:val="de-DE"/>
        </w:rPr>
        <w:t>Spätestens fünfzehn Tage vor derselben Sitzung entscheidet das Gericht nach Anhörung des Berichts des beauftragten Richters über Höhe und Eigenschaft der Forderung. Der Greffier notifiziert die Entscheidung dem Gläubiger und dem Schuldner über das Register.</w:t>
      </w:r>
    </w:p>
    <w:p w14:paraId="1BB10329" w14:textId="77777777" w:rsidR="00EE35E2" w:rsidRPr="004676F5" w:rsidRDefault="00EE35E2" w:rsidP="00EE35E2">
      <w:pPr>
        <w:ind w:firstLine="708"/>
        <w:jc w:val="both"/>
        <w:rPr>
          <w:lang w:val="de-DE"/>
        </w:rPr>
      </w:pPr>
    </w:p>
    <w:p w14:paraId="70D309BE" w14:textId="511F038E"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Wenn spätestens einen Monat vor der in Artikel XX.78 erwähnten Sitzung kein Streitfall vor das Gericht gebracht worden ist, kann der betreffende Gläubiger unbeschadet der Anwendung von Artikel XX.69 nur für den Betrag </w:t>
      </w:r>
      <w:r w:rsidR="00BB71D9" w:rsidRPr="004676F5">
        <w:rPr>
          <w:lang w:val="de-DE"/>
        </w:rPr>
        <w:t>[und die Eigenschaft abstimmen und in den Plan aufgenommen werden, die vom Schuldner vorgeschlagen und gemäß Artikel XX.49 mitgeteilt wurden]</w:t>
      </w:r>
      <w:r w:rsidRPr="004676F5">
        <w:rPr>
          <w:lang w:val="de-DE"/>
        </w:rPr>
        <w:t>.</w:t>
      </w:r>
    </w:p>
    <w:p w14:paraId="6B29B3A9" w14:textId="77777777" w:rsidR="00EE35E2" w:rsidRPr="004676F5" w:rsidRDefault="00EE35E2" w:rsidP="00BB71D9">
      <w:pPr>
        <w:jc w:val="both"/>
        <w:rPr>
          <w:lang w:val="de-DE"/>
        </w:rPr>
      </w:pPr>
    </w:p>
    <w:p w14:paraId="5CB70B39" w14:textId="6C2691F4" w:rsidR="00BB71D9" w:rsidRPr="004676F5" w:rsidRDefault="00BB71D9" w:rsidP="00BB71D9">
      <w:pPr>
        <w:jc w:val="both"/>
        <w:rPr>
          <w:i/>
          <w:iCs/>
          <w:lang w:val="de-DE"/>
        </w:rPr>
      </w:pPr>
      <w:r w:rsidRPr="004676F5">
        <w:rPr>
          <w:i/>
          <w:iCs/>
          <w:lang w:val="de-DE"/>
        </w:rPr>
        <w:t>[Art. XX.68 § 2 abgeändert durch Art. 97 des G. vom 7. Juni 2023 (B.S. vom 7. Juli 2023)]</w:t>
      </w:r>
    </w:p>
    <w:p w14:paraId="39DE3B21" w14:textId="77777777" w:rsidR="00D11212" w:rsidRPr="004676F5" w:rsidRDefault="00D11212" w:rsidP="00EE35E2">
      <w:pPr>
        <w:ind w:firstLine="708"/>
        <w:jc w:val="both"/>
        <w:rPr>
          <w:lang w:val="de-DE"/>
        </w:rPr>
      </w:pPr>
    </w:p>
    <w:p w14:paraId="6573EC39" w14:textId="77777777" w:rsidR="00BB71D9" w:rsidRPr="004676F5" w:rsidRDefault="00BB71D9" w:rsidP="00EE35E2">
      <w:pPr>
        <w:ind w:firstLine="708"/>
        <w:jc w:val="both"/>
        <w:rPr>
          <w:lang w:val="de-DE"/>
        </w:rPr>
      </w:pPr>
    </w:p>
    <w:p w14:paraId="1D8F27A6" w14:textId="466235CA" w:rsidR="00EE35E2" w:rsidRPr="004676F5" w:rsidRDefault="00BE0A56" w:rsidP="00EE35E2">
      <w:pPr>
        <w:ind w:firstLine="708"/>
        <w:jc w:val="both"/>
        <w:rPr>
          <w:lang w:val="de-DE"/>
        </w:rPr>
      </w:pPr>
      <w:r w:rsidRPr="004676F5">
        <w:rPr>
          <w:b/>
          <w:lang w:val="de-DE"/>
        </w:rPr>
        <w:t>Art. </w:t>
      </w:r>
      <w:r w:rsidR="00EE35E2" w:rsidRPr="004676F5">
        <w:rPr>
          <w:b/>
          <w:lang w:val="de-DE"/>
        </w:rPr>
        <w:t>XX.69</w:t>
      </w:r>
      <w:r w:rsidR="00EE35E2" w:rsidRPr="004676F5">
        <w:rPr>
          <w:lang w:val="de-DE"/>
        </w:rPr>
        <w:t> </w:t>
      </w:r>
      <w:r w:rsidR="005B7A5C" w:rsidRPr="004676F5">
        <w:rPr>
          <w:lang w:val="de-DE"/>
        </w:rPr>
        <w:t>- </w:t>
      </w:r>
      <w:r w:rsidR="00EE35E2" w:rsidRPr="004676F5">
        <w:rPr>
          <w:lang w:val="de-DE"/>
        </w:rPr>
        <w:t>Fällt ein Streitfall nicht in die Zuständigkeit des Gerichts, bestimmt es, in welcher Höhe und in welcher Eigenschaft die Forderung vorläufig für die Verrichtungen der gerichtlichen Reorganisation zugelassen wird, und verweist es die Parteien an das zuständige Gericht, damit dieses Gericht über die Sache selbst entscheidet. Gleiches gilt, wenn der Streitfall in die Zuständigkeit des Gerichts fällt, die Entscheidung über den Streitfall aber nicht innerhalb einer ausreichend kurzen Frist getroffen werden könnte.</w:t>
      </w:r>
    </w:p>
    <w:p w14:paraId="17F0C9CC" w14:textId="77777777" w:rsidR="00EE35E2" w:rsidRPr="004676F5" w:rsidRDefault="00EE35E2" w:rsidP="00EE35E2">
      <w:pPr>
        <w:ind w:firstLine="708"/>
        <w:jc w:val="both"/>
        <w:rPr>
          <w:lang w:val="de-DE"/>
        </w:rPr>
      </w:pPr>
    </w:p>
    <w:p w14:paraId="0B7A5D52" w14:textId="77777777" w:rsidR="00EE35E2" w:rsidRPr="004676F5" w:rsidRDefault="00EE35E2" w:rsidP="00EE35E2">
      <w:pPr>
        <w:ind w:firstLine="708"/>
        <w:jc w:val="both"/>
        <w:rPr>
          <w:lang w:val="de-DE"/>
        </w:rPr>
      </w:pPr>
      <w:r w:rsidRPr="004676F5">
        <w:rPr>
          <w:lang w:val="de-DE"/>
        </w:rPr>
        <w:t>Nach Bericht des beauftragten Richters kann das Gericht im Falle absoluter Notwendigkeit und auf einseitige Antragschrift des Schuldners oder eines Gläubigers jederzeit auf der Grundlage neuer Angaben die Entscheidung zur Bestimmung von Höhe und Eigenschaft einer aufgeschobenen Forderung ändern.</w:t>
      </w:r>
    </w:p>
    <w:p w14:paraId="705ACDD4" w14:textId="77777777" w:rsidR="00EE35E2" w:rsidRPr="004676F5" w:rsidRDefault="00EE35E2" w:rsidP="00EE35E2">
      <w:pPr>
        <w:ind w:firstLine="708"/>
        <w:jc w:val="both"/>
        <w:rPr>
          <w:lang w:val="de-DE"/>
        </w:rPr>
      </w:pPr>
    </w:p>
    <w:p w14:paraId="66974350" w14:textId="77777777" w:rsidR="00EE35E2" w:rsidRPr="004676F5" w:rsidRDefault="00EE35E2" w:rsidP="00EE35E2">
      <w:pPr>
        <w:ind w:firstLine="708"/>
        <w:jc w:val="both"/>
        <w:rPr>
          <w:lang w:val="de-DE"/>
        </w:rPr>
      </w:pPr>
      <w:r w:rsidRPr="004676F5">
        <w:rPr>
          <w:lang w:val="de-DE"/>
        </w:rPr>
        <w:t>Gegen das Urteil, mit dem die vorläufig zugelassene Höhe und Eigenschaft einer Forderung bestimmt wird, kann kein Rechtsmittel eingelegt werden.</w:t>
      </w:r>
    </w:p>
    <w:p w14:paraId="53FE334C" w14:textId="77777777" w:rsidR="00EE35E2" w:rsidRPr="004676F5" w:rsidRDefault="00EE35E2" w:rsidP="00BB71D9">
      <w:pPr>
        <w:jc w:val="both"/>
        <w:rPr>
          <w:lang w:val="de-DE"/>
        </w:rPr>
      </w:pPr>
    </w:p>
    <w:p w14:paraId="726970B9" w14:textId="77777777" w:rsidR="00BB71D9" w:rsidRPr="004676F5" w:rsidRDefault="00BB71D9" w:rsidP="00BB71D9">
      <w:pPr>
        <w:jc w:val="both"/>
        <w:rPr>
          <w:lang w:val="de-DE"/>
        </w:rPr>
      </w:pPr>
    </w:p>
    <w:p w14:paraId="403899EE" w14:textId="4F1D98E0" w:rsidR="00BB71D9" w:rsidRPr="004676F5" w:rsidRDefault="00BB71D9" w:rsidP="00BB71D9">
      <w:pPr>
        <w:jc w:val="center"/>
        <w:rPr>
          <w:lang w:val="de-DE"/>
        </w:rPr>
      </w:pPr>
      <w:r w:rsidRPr="004676F5">
        <w:rPr>
          <w:lang w:val="de-DE"/>
        </w:rPr>
        <w:t>[</w:t>
      </w:r>
      <w:r w:rsidRPr="004676F5">
        <w:rPr>
          <w:i/>
          <w:iCs/>
          <w:lang w:val="de-DE"/>
        </w:rPr>
        <w:t>Abschnitt 3</w:t>
      </w:r>
      <w:r w:rsidRPr="004676F5">
        <w:rPr>
          <w:lang w:val="de-DE"/>
        </w:rPr>
        <w:t> - Erstellung und Inhalt des Reorganisationsplans]</w:t>
      </w:r>
    </w:p>
    <w:p w14:paraId="3E764495" w14:textId="77777777" w:rsidR="00BB71D9" w:rsidRPr="004676F5" w:rsidRDefault="00BB71D9" w:rsidP="00BB71D9">
      <w:pPr>
        <w:jc w:val="center"/>
        <w:rPr>
          <w:lang w:val="de-DE"/>
        </w:rPr>
      </w:pPr>
    </w:p>
    <w:p w14:paraId="0376D65E" w14:textId="03CC7DF0" w:rsidR="00BB71D9" w:rsidRPr="004676F5" w:rsidRDefault="00BB71D9" w:rsidP="00BB71D9">
      <w:pPr>
        <w:jc w:val="both"/>
        <w:rPr>
          <w:i/>
          <w:iCs/>
          <w:lang w:val="de-DE"/>
        </w:rPr>
      </w:pPr>
      <w:r w:rsidRPr="004676F5">
        <w:rPr>
          <w:i/>
          <w:iCs/>
          <w:lang w:val="de-DE"/>
        </w:rPr>
        <w:t>[Unterteilung Abschnitt 3 eingefügt durch Art. 98 des G. vom 7. Juni 2023 (B.S. vom 7. Juli 2023)]</w:t>
      </w:r>
    </w:p>
    <w:p w14:paraId="484366EB" w14:textId="77777777" w:rsidR="00BB71D9" w:rsidRPr="004676F5" w:rsidRDefault="00BB71D9" w:rsidP="00BB71D9">
      <w:pPr>
        <w:jc w:val="both"/>
        <w:rPr>
          <w:lang w:val="de-DE"/>
        </w:rPr>
      </w:pPr>
    </w:p>
    <w:p w14:paraId="5A02BF47" w14:textId="77777777" w:rsidR="00D11212" w:rsidRPr="004676F5" w:rsidRDefault="00D11212" w:rsidP="00EE35E2">
      <w:pPr>
        <w:ind w:firstLine="708"/>
        <w:jc w:val="both"/>
        <w:rPr>
          <w:lang w:val="de-DE"/>
        </w:rPr>
      </w:pPr>
    </w:p>
    <w:p w14:paraId="57DAE596" w14:textId="77777777" w:rsidR="00BB71D9" w:rsidRPr="004676F5" w:rsidRDefault="00BE0A56" w:rsidP="00BB71D9">
      <w:pPr>
        <w:ind w:firstLine="708"/>
        <w:jc w:val="both"/>
        <w:rPr>
          <w:lang w:val="de-DE"/>
        </w:rPr>
      </w:pPr>
      <w:r w:rsidRPr="004676F5">
        <w:rPr>
          <w:b/>
          <w:lang w:val="de-DE"/>
        </w:rPr>
        <w:t>Art. </w:t>
      </w:r>
      <w:r w:rsidR="00EE35E2" w:rsidRPr="004676F5">
        <w:rPr>
          <w:b/>
          <w:lang w:val="de-DE"/>
        </w:rPr>
        <w:t>XX.70</w:t>
      </w:r>
      <w:r w:rsidR="00EE35E2" w:rsidRPr="004676F5">
        <w:rPr>
          <w:lang w:val="de-DE"/>
        </w:rPr>
        <w:t> </w:t>
      </w:r>
      <w:r w:rsidR="005B7A5C" w:rsidRPr="004676F5">
        <w:rPr>
          <w:lang w:val="de-DE"/>
        </w:rPr>
        <w:t>- </w:t>
      </w:r>
      <w:r w:rsidR="00BB71D9" w:rsidRPr="004676F5">
        <w:rPr>
          <w:lang w:val="de-DE"/>
        </w:rPr>
        <w:t>[§ 1 - Während des in Artikel XX.44 erwähnten Aufschubs arbeitet der Schuldner einen Reorganisationsplan aus.</w:t>
      </w:r>
    </w:p>
    <w:p w14:paraId="03A67D78" w14:textId="77777777" w:rsidR="00BB71D9" w:rsidRPr="004676F5" w:rsidRDefault="00BB71D9" w:rsidP="00BB71D9">
      <w:pPr>
        <w:jc w:val="both"/>
        <w:rPr>
          <w:lang w:val="de-DE"/>
        </w:rPr>
      </w:pPr>
    </w:p>
    <w:p w14:paraId="25280D22" w14:textId="77777777" w:rsidR="00BB71D9" w:rsidRPr="004676F5" w:rsidRDefault="00BB71D9" w:rsidP="00BB71D9">
      <w:pPr>
        <w:jc w:val="both"/>
        <w:rPr>
          <w:lang w:val="de-DE"/>
        </w:rPr>
      </w:pPr>
      <w:r w:rsidRPr="004676F5">
        <w:rPr>
          <w:lang w:val="de-DE"/>
        </w:rPr>
        <w:tab/>
        <w:t>Ist ein Reorganisationsbearbeiter bestellt worden, trägt er zur Ausarbeitung des Reorganisationsplans bei.</w:t>
      </w:r>
    </w:p>
    <w:p w14:paraId="0C8C8F19" w14:textId="77777777" w:rsidR="00BB71D9" w:rsidRPr="004676F5" w:rsidRDefault="00BB71D9" w:rsidP="00BB71D9">
      <w:pPr>
        <w:jc w:val="both"/>
        <w:rPr>
          <w:lang w:val="de-DE"/>
        </w:rPr>
      </w:pPr>
    </w:p>
    <w:p w14:paraId="075A58F9" w14:textId="77777777" w:rsidR="00BB71D9" w:rsidRPr="004676F5" w:rsidRDefault="00BB71D9" w:rsidP="00BB71D9">
      <w:pPr>
        <w:jc w:val="both"/>
        <w:rPr>
          <w:lang w:val="de-DE"/>
        </w:rPr>
      </w:pPr>
      <w:r w:rsidRPr="004676F5">
        <w:rPr>
          <w:lang w:val="de-DE"/>
        </w:rPr>
        <w:tab/>
        <w:t>§ 2 - Der Plan muss gemäß den Artikeln XX.70/1 bis XX.76 erstellt werden.</w:t>
      </w:r>
    </w:p>
    <w:p w14:paraId="30140659" w14:textId="77777777" w:rsidR="00BB71D9" w:rsidRPr="004676F5" w:rsidRDefault="00BB71D9" w:rsidP="00BB71D9">
      <w:pPr>
        <w:jc w:val="both"/>
        <w:rPr>
          <w:lang w:val="de-DE"/>
        </w:rPr>
      </w:pPr>
    </w:p>
    <w:p w14:paraId="32DED709" w14:textId="15DDC5B4" w:rsidR="00EE35E2" w:rsidRPr="004676F5" w:rsidRDefault="00BB71D9" w:rsidP="00BB71D9">
      <w:pPr>
        <w:ind w:firstLine="708"/>
        <w:jc w:val="both"/>
        <w:rPr>
          <w:lang w:val="de-DE"/>
        </w:rPr>
      </w:pPr>
      <w:r w:rsidRPr="004676F5">
        <w:rPr>
          <w:lang w:val="de-DE"/>
        </w:rPr>
        <w:t>§ 3 - Der Plan kann von den Leitern einer juristischen Person erstellt und hinterlegt werden, ohne dass diese über die Zustimmung der Anteilsinhaber oder der Inhaber von Schuldverschreibungen verfügen müssen.]</w:t>
      </w:r>
    </w:p>
    <w:p w14:paraId="3F8D3E58" w14:textId="77777777" w:rsidR="00BB71D9" w:rsidRPr="004676F5" w:rsidRDefault="00BB71D9" w:rsidP="00BB71D9">
      <w:pPr>
        <w:jc w:val="both"/>
        <w:rPr>
          <w:lang w:val="de-DE"/>
        </w:rPr>
      </w:pPr>
    </w:p>
    <w:p w14:paraId="3D52A483" w14:textId="78713DA6" w:rsidR="00BB71D9" w:rsidRPr="004676F5" w:rsidRDefault="00BB71D9" w:rsidP="00BB71D9">
      <w:pPr>
        <w:jc w:val="both"/>
        <w:rPr>
          <w:i/>
          <w:iCs/>
          <w:lang w:val="de-DE"/>
        </w:rPr>
      </w:pPr>
      <w:r w:rsidRPr="004676F5">
        <w:rPr>
          <w:i/>
          <w:iCs/>
          <w:lang w:val="de-DE"/>
        </w:rPr>
        <w:t>[Art. XX.70 ersetzt durch Art. 99 des G. vom 7. Juni 2023 (B.S. vom 7. Juli 2023)]</w:t>
      </w:r>
    </w:p>
    <w:p w14:paraId="45AA0B40" w14:textId="77777777" w:rsidR="00BB71D9" w:rsidRPr="004676F5" w:rsidRDefault="00BB71D9" w:rsidP="00BB71D9">
      <w:pPr>
        <w:jc w:val="both"/>
        <w:rPr>
          <w:lang w:val="de-DE"/>
        </w:rPr>
      </w:pPr>
    </w:p>
    <w:p w14:paraId="363AAF93" w14:textId="77777777" w:rsidR="00BB71D9" w:rsidRPr="004676F5" w:rsidRDefault="00BB71D9" w:rsidP="00BB71D9">
      <w:pPr>
        <w:jc w:val="both"/>
        <w:rPr>
          <w:lang w:val="de-DE"/>
        </w:rPr>
      </w:pPr>
    </w:p>
    <w:p w14:paraId="2A1FE755" w14:textId="77777777" w:rsidR="00BB71D9" w:rsidRPr="004676F5" w:rsidRDefault="00BB71D9" w:rsidP="00BB71D9">
      <w:pPr>
        <w:jc w:val="both"/>
        <w:rPr>
          <w:lang w:val="de-DE"/>
        </w:rPr>
      </w:pPr>
      <w:r w:rsidRPr="004676F5">
        <w:rPr>
          <w:lang w:val="de-DE"/>
        </w:rPr>
        <w:tab/>
        <w:t>[</w:t>
      </w:r>
      <w:r w:rsidRPr="004676F5">
        <w:rPr>
          <w:b/>
          <w:bCs/>
          <w:lang w:val="de-DE"/>
        </w:rPr>
        <w:t>Art. XX.70/1</w:t>
      </w:r>
      <w:r w:rsidRPr="004676F5">
        <w:rPr>
          <w:lang w:val="de-DE"/>
        </w:rPr>
        <w:t> - § 1 - Der Reorganisationsplan enthält alle Informationen, die für Gläubiger und gegebenenfalls Anteilsinhaber erforderlich sind, damit sie ordnungsgemäß informiert über den vorgeschlagenen Plan abstimmen können.</w:t>
      </w:r>
    </w:p>
    <w:p w14:paraId="24FA6E17" w14:textId="77777777" w:rsidR="00BB71D9" w:rsidRPr="004676F5" w:rsidRDefault="00BB71D9" w:rsidP="00BB71D9">
      <w:pPr>
        <w:jc w:val="both"/>
        <w:rPr>
          <w:lang w:val="de-DE"/>
        </w:rPr>
      </w:pPr>
    </w:p>
    <w:p w14:paraId="365E2366" w14:textId="77777777" w:rsidR="00BB71D9" w:rsidRPr="004676F5" w:rsidRDefault="00BB71D9" w:rsidP="00BB71D9">
      <w:pPr>
        <w:jc w:val="both"/>
        <w:rPr>
          <w:lang w:val="de-DE"/>
        </w:rPr>
      </w:pPr>
      <w:r w:rsidRPr="004676F5">
        <w:rPr>
          <w:lang w:val="de-DE"/>
        </w:rPr>
        <w:tab/>
        <w:t>§ 2 - Der Reorganisationsplan enthält folgende Angaben:</w:t>
      </w:r>
    </w:p>
    <w:p w14:paraId="5480DEFD" w14:textId="77777777" w:rsidR="00BB71D9" w:rsidRPr="004676F5" w:rsidRDefault="00BB71D9" w:rsidP="00BB71D9">
      <w:pPr>
        <w:jc w:val="both"/>
        <w:rPr>
          <w:lang w:val="de-DE"/>
        </w:rPr>
      </w:pPr>
    </w:p>
    <w:p w14:paraId="6EF76F11" w14:textId="77777777" w:rsidR="00BB71D9" w:rsidRPr="004676F5" w:rsidRDefault="00BB71D9" w:rsidP="00BB71D9">
      <w:pPr>
        <w:jc w:val="both"/>
        <w:rPr>
          <w:lang w:val="de-DE"/>
        </w:rPr>
      </w:pPr>
      <w:r w:rsidRPr="004676F5">
        <w:rPr>
          <w:lang w:val="de-DE"/>
        </w:rPr>
        <w:tab/>
        <w:t>1. die Identität des Schuldners, seine Adresse und seine Unternehmensnummer,</w:t>
      </w:r>
    </w:p>
    <w:p w14:paraId="256CD33E" w14:textId="77777777" w:rsidR="00BB71D9" w:rsidRPr="004676F5" w:rsidRDefault="00BB71D9" w:rsidP="00BB71D9">
      <w:pPr>
        <w:jc w:val="both"/>
        <w:rPr>
          <w:lang w:val="de-DE"/>
        </w:rPr>
      </w:pPr>
    </w:p>
    <w:p w14:paraId="5AF0B2EF" w14:textId="77777777" w:rsidR="00BB71D9" w:rsidRPr="004676F5" w:rsidRDefault="00BB71D9" w:rsidP="00BB71D9">
      <w:pPr>
        <w:jc w:val="both"/>
        <w:rPr>
          <w:lang w:val="de-DE"/>
        </w:rPr>
      </w:pPr>
      <w:r w:rsidRPr="004676F5">
        <w:rPr>
          <w:lang w:val="de-DE"/>
        </w:rPr>
        <w:tab/>
        <w:t>2. eine Aufstellung der Aktiva und Passiva des Schuldners zum Zeitpunkt der Einreichung des Reorganisationsplans, eine Beschreibung der wirtschaftlichen Situation des Schuldners und der Position der Arbeitnehmer und eine Beschreibung der Ursachen und des Umfangs der Schwierigkeiten des Schuldners,</w:t>
      </w:r>
    </w:p>
    <w:p w14:paraId="5F0D6A9E" w14:textId="77777777" w:rsidR="00BB71D9" w:rsidRPr="004676F5" w:rsidRDefault="00BB71D9" w:rsidP="00BB71D9">
      <w:pPr>
        <w:jc w:val="both"/>
        <w:rPr>
          <w:lang w:val="de-DE"/>
        </w:rPr>
      </w:pPr>
    </w:p>
    <w:p w14:paraId="20C0098A" w14:textId="77777777" w:rsidR="00BB71D9" w:rsidRPr="004676F5" w:rsidRDefault="00BB71D9" w:rsidP="00BB71D9">
      <w:pPr>
        <w:jc w:val="both"/>
        <w:rPr>
          <w:lang w:val="de-DE"/>
        </w:rPr>
      </w:pPr>
      <w:r w:rsidRPr="004676F5">
        <w:rPr>
          <w:lang w:val="de-DE"/>
        </w:rPr>
        <w:tab/>
        <w:t>3. die namentlich benannten betroffene Parteien und ihre unter den Reorganisationsplan fallenden Forderungen oder Beteiligungen,</w:t>
      </w:r>
    </w:p>
    <w:p w14:paraId="023ABA52" w14:textId="77777777" w:rsidR="00BB71D9" w:rsidRPr="004676F5" w:rsidRDefault="00BB71D9" w:rsidP="00BB71D9">
      <w:pPr>
        <w:jc w:val="both"/>
        <w:rPr>
          <w:lang w:val="de-DE"/>
        </w:rPr>
      </w:pPr>
    </w:p>
    <w:p w14:paraId="220A7E55" w14:textId="77777777" w:rsidR="00BB71D9" w:rsidRPr="004676F5" w:rsidRDefault="00BB71D9" w:rsidP="00BB71D9">
      <w:pPr>
        <w:jc w:val="both"/>
        <w:rPr>
          <w:lang w:val="de-DE"/>
        </w:rPr>
      </w:pPr>
      <w:r w:rsidRPr="004676F5">
        <w:rPr>
          <w:lang w:val="de-DE"/>
        </w:rPr>
        <w:tab/>
        <w:t>4. gegebenenfalls die entweder namentlich benannten oder unter Bezugnahme auf Schuldenkategorien beschriebenen Parteien, die vom Reorganisationsplan nicht betroffen sind, zusammen mit einer Erläuterung der Gründe, weshalb sie nicht betroffen sein sollen,</w:t>
      </w:r>
    </w:p>
    <w:p w14:paraId="079D529C" w14:textId="77777777" w:rsidR="00BB71D9" w:rsidRPr="004676F5" w:rsidRDefault="00BB71D9" w:rsidP="00BB71D9">
      <w:pPr>
        <w:jc w:val="both"/>
        <w:rPr>
          <w:lang w:val="de-DE"/>
        </w:rPr>
      </w:pPr>
    </w:p>
    <w:p w14:paraId="3976D8FA" w14:textId="77777777" w:rsidR="00BB71D9" w:rsidRPr="004676F5" w:rsidRDefault="00BB71D9" w:rsidP="00BB71D9">
      <w:pPr>
        <w:jc w:val="both"/>
        <w:rPr>
          <w:lang w:val="de-DE"/>
        </w:rPr>
      </w:pPr>
      <w:r w:rsidRPr="004676F5">
        <w:rPr>
          <w:lang w:val="de-DE"/>
        </w:rPr>
        <w:tab/>
        <w:t>5. gegebenenfalls die Identität des Reorganisationsbearbeiters,</w:t>
      </w:r>
    </w:p>
    <w:p w14:paraId="1F6ED267" w14:textId="77777777" w:rsidR="00BB71D9" w:rsidRPr="004676F5" w:rsidRDefault="00BB71D9" w:rsidP="00BB71D9">
      <w:pPr>
        <w:jc w:val="both"/>
        <w:rPr>
          <w:lang w:val="de-DE"/>
        </w:rPr>
      </w:pPr>
    </w:p>
    <w:p w14:paraId="798A7C40" w14:textId="77777777" w:rsidR="00BB71D9" w:rsidRPr="004676F5" w:rsidRDefault="00BB71D9" w:rsidP="00BB71D9">
      <w:pPr>
        <w:jc w:val="both"/>
        <w:rPr>
          <w:lang w:val="de-DE"/>
        </w:rPr>
      </w:pPr>
      <w:r w:rsidRPr="004676F5">
        <w:rPr>
          <w:lang w:val="de-DE"/>
        </w:rPr>
        <w:tab/>
        <w:t>6. die Bedingungen des Reorganisationsplans, die unter anderem insbesondere Folgendes enthalten:</w:t>
      </w:r>
    </w:p>
    <w:p w14:paraId="50CDA45A" w14:textId="77777777" w:rsidR="00BB71D9" w:rsidRPr="004676F5" w:rsidRDefault="00BB71D9" w:rsidP="00BB71D9">
      <w:pPr>
        <w:jc w:val="both"/>
        <w:rPr>
          <w:lang w:val="de-DE"/>
        </w:rPr>
      </w:pPr>
    </w:p>
    <w:p w14:paraId="7C26E955" w14:textId="77777777" w:rsidR="00BB71D9" w:rsidRPr="004676F5" w:rsidRDefault="00BB71D9" w:rsidP="00BB71D9">
      <w:pPr>
        <w:jc w:val="both"/>
        <w:rPr>
          <w:lang w:val="de-DE"/>
        </w:rPr>
      </w:pPr>
      <w:r w:rsidRPr="004676F5">
        <w:rPr>
          <w:lang w:val="de-DE"/>
        </w:rPr>
        <w:tab/>
      </w:r>
      <w:r w:rsidRPr="004676F5">
        <w:rPr>
          <w:i/>
          <w:lang w:val="de-DE"/>
        </w:rPr>
        <w:t>a) </w:t>
      </w:r>
      <w:r w:rsidRPr="004676F5">
        <w:rPr>
          <w:lang w:val="de-DE"/>
        </w:rPr>
        <w:t>Maßnahmen, die auf die Reorganisation des Unternehmens abzielen und zu denen die Änderung der Zusammensetzung, der Bedingungen oder der Struktur der Aktiva und Passiva des Schuldners oder jedes anderen Teils der Kapitalstruktur des Schuldners gehört, etwa der Verkauf von Aktiva oder Geschäftsbereichen und der Verkauf des Unternehmens als Ganzen sowie alle erforderlichen operativen Maßnahmen oder eine Kombination dieser Elemente,</w:t>
      </w:r>
    </w:p>
    <w:p w14:paraId="7BD25D82" w14:textId="77777777" w:rsidR="00BB71D9" w:rsidRPr="004676F5" w:rsidRDefault="00BB71D9" w:rsidP="00BB71D9">
      <w:pPr>
        <w:jc w:val="both"/>
        <w:rPr>
          <w:lang w:val="de-DE"/>
        </w:rPr>
      </w:pPr>
    </w:p>
    <w:p w14:paraId="505A3957" w14:textId="77777777" w:rsidR="00BB71D9" w:rsidRPr="004676F5" w:rsidRDefault="00BB71D9" w:rsidP="00BB71D9">
      <w:pPr>
        <w:jc w:val="both"/>
        <w:rPr>
          <w:lang w:val="de-DE"/>
        </w:rPr>
      </w:pPr>
      <w:r w:rsidRPr="004676F5">
        <w:rPr>
          <w:lang w:val="de-DE"/>
        </w:rPr>
        <w:tab/>
      </w:r>
      <w:r w:rsidRPr="004676F5">
        <w:rPr>
          <w:i/>
          <w:lang w:val="de-DE"/>
        </w:rPr>
        <w:t>b) </w:t>
      </w:r>
      <w:r w:rsidRPr="004676F5">
        <w:rPr>
          <w:lang w:val="de-DE"/>
        </w:rPr>
        <w:t>gegebenenfalls die vorgeschlagene Laufzeit der vorgeschlagenen Reorganisations</w:t>
      </w:r>
      <w:r w:rsidRPr="004676F5">
        <w:rPr>
          <w:lang w:val="de-DE"/>
        </w:rPr>
        <w:softHyphen/>
        <w:t>maßnahmen,</w:t>
      </w:r>
    </w:p>
    <w:p w14:paraId="305694D9" w14:textId="77777777" w:rsidR="00BB71D9" w:rsidRPr="004676F5" w:rsidRDefault="00BB71D9" w:rsidP="00BB71D9">
      <w:pPr>
        <w:jc w:val="both"/>
        <w:rPr>
          <w:lang w:val="de-DE"/>
        </w:rPr>
      </w:pPr>
    </w:p>
    <w:p w14:paraId="0499254C" w14:textId="77777777" w:rsidR="00BB71D9" w:rsidRPr="004676F5" w:rsidRDefault="00BB71D9" w:rsidP="00BB71D9">
      <w:pPr>
        <w:jc w:val="both"/>
        <w:rPr>
          <w:lang w:val="de-DE"/>
        </w:rPr>
      </w:pPr>
      <w:r w:rsidRPr="004676F5">
        <w:rPr>
          <w:lang w:val="de-DE"/>
        </w:rPr>
        <w:tab/>
      </w:r>
      <w:r w:rsidRPr="004676F5">
        <w:rPr>
          <w:i/>
          <w:lang w:val="de-DE"/>
        </w:rPr>
        <w:t>c)</w:t>
      </w:r>
      <w:r w:rsidRPr="004676F5">
        <w:rPr>
          <w:lang w:val="de-DE"/>
        </w:rPr>
        <w:t> die Modalitäten der Unterrichtung und Anhörung der Arbeitnehmervertreter,</w:t>
      </w:r>
    </w:p>
    <w:p w14:paraId="02388DA2" w14:textId="77777777" w:rsidR="00BB71D9" w:rsidRPr="004676F5" w:rsidRDefault="00BB71D9" w:rsidP="00BB71D9">
      <w:pPr>
        <w:jc w:val="both"/>
        <w:rPr>
          <w:lang w:val="de-DE"/>
        </w:rPr>
      </w:pPr>
    </w:p>
    <w:p w14:paraId="4E9E3C18" w14:textId="77777777" w:rsidR="00BB71D9" w:rsidRPr="004676F5" w:rsidRDefault="00BB71D9" w:rsidP="00BB71D9">
      <w:pPr>
        <w:jc w:val="both"/>
        <w:rPr>
          <w:lang w:val="de-DE"/>
        </w:rPr>
      </w:pPr>
      <w:r w:rsidRPr="004676F5">
        <w:rPr>
          <w:lang w:val="de-DE"/>
        </w:rPr>
        <w:tab/>
      </w:r>
      <w:r w:rsidRPr="004676F5">
        <w:rPr>
          <w:i/>
          <w:lang w:val="de-DE"/>
        </w:rPr>
        <w:t>d)</w:t>
      </w:r>
      <w:r w:rsidRPr="004676F5">
        <w:rPr>
          <w:lang w:val="de-DE"/>
        </w:rPr>
        <w:t> gegebenenfalls allgemeine Auswirkungen auf die Beschäftigung wie Entlassungen, Kurzarbeitsregelungen oder Ähnliches und</w:t>
      </w:r>
    </w:p>
    <w:p w14:paraId="2774400F" w14:textId="77777777" w:rsidR="00BB71D9" w:rsidRPr="004676F5" w:rsidRDefault="00BB71D9" w:rsidP="00BB71D9">
      <w:pPr>
        <w:jc w:val="both"/>
        <w:rPr>
          <w:lang w:val="de-DE"/>
        </w:rPr>
      </w:pPr>
    </w:p>
    <w:p w14:paraId="31CA5A0A" w14:textId="77777777" w:rsidR="00BB71D9" w:rsidRPr="004676F5" w:rsidRDefault="00BB71D9" w:rsidP="00BB71D9">
      <w:pPr>
        <w:jc w:val="both"/>
        <w:rPr>
          <w:lang w:val="de-DE"/>
        </w:rPr>
      </w:pPr>
      <w:r w:rsidRPr="004676F5">
        <w:rPr>
          <w:lang w:val="de-DE"/>
        </w:rPr>
        <w:tab/>
      </w:r>
      <w:r w:rsidRPr="004676F5">
        <w:rPr>
          <w:i/>
          <w:lang w:val="de-DE"/>
        </w:rPr>
        <w:t>e)</w:t>
      </w:r>
      <w:r w:rsidRPr="004676F5">
        <w:rPr>
          <w:lang w:val="de-DE"/>
        </w:rPr>
        <w:t> eine neue Finanzierung, die als Teil des Reorganisationsplans vorgesehen ist, und die Gründe, weshalb die neue Finanzierung für die Umsetzung dieses Plans erforderlich ist,</w:t>
      </w:r>
    </w:p>
    <w:p w14:paraId="3AECFC43" w14:textId="77777777" w:rsidR="00BB71D9" w:rsidRPr="004676F5" w:rsidRDefault="00BB71D9" w:rsidP="00BB71D9">
      <w:pPr>
        <w:jc w:val="both"/>
        <w:rPr>
          <w:lang w:val="de-DE"/>
        </w:rPr>
      </w:pPr>
    </w:p>
    <w:p w14:paraId="30966CE2" w14:textId="77777777" w:rsidR="00BB71D9" w:rsidRPr="004676F5" w:rsidRDefault="00BB71D9" w:rsidP="00BB71D9">
      <w:pPr>
        <w:jc w:val="both"/>
        <w:rPr>
          <w:lang w:val="de-DE"/>
        </w:rPr>
      </w:pPr>
      <w:r w:rsidRPr="004676F5">
        <w:rPr>
          <w:lang w:val="de-DE"/>
        </w:rPr>
        <w:tab/>
        <w:t>7. eine Begründung, in der erläutert wird, warum eine begründete Aussicht besteht, dass der Reorganisationsplan den Konkurs oder die Liquidation des Unternehmens verhindern und seine Bestandfähigkeit gewährleisten wird, einschließlich der notwendigen Voraussetzungen für den Erfolg des Plans.</w:t>
      </w:r>
    </w:p>
    <w:p w14:paraId="15DBEC13" w14:textId="77777777" w:rsidR="00BB71D9" w:rsidRPr="004676F5" w:rsidRDefault="00BB71D9" w:rsidP="00BB71D9">
      <w:pPr>
        <w:jc w:val="both"/>
        <w:rPr>
          <w:lang w:val="de-DE"/>
        </w:rPr>
      </w:pPr>
    </w:p>
    <w:p w14:paraId="30FC63CE" w14:textId="77777777" w:rsidR="00BB71D9" w:rsidRPr="004676F5" w:rsidRDefault="00BB71D9" w:rsidP="00BB71D9">
      <w:pPr>
        <w:jc w:val="both"/>
        <w:rPr>
          <w:lang w:val="de-DE"/>
        </w:rPr>
      </w:pPr>
      <w:r w:rsidRPr="004676F5">
        <w:rPr>
          <w:lang w:val="de-DE"/>
        </w:rPr>
        <w:tab/>
        <w:t>§ 3 - Der König kann festlegen, welche zusätzlichen Informationen der Plan enthalten muss und in welcher Form diese Informationen zur Verfügung gestellt werden müssen.</w:t>
      </w:r>
    </w:p>
    <w:p w14:paraId="5D8D9393" w14:textId="77777777" w:rsidR="00BB71D9" w:rsidRPr="004676F5" w:rsidRDefault="00BB71D9" w:rsidP="00BB71D9">
      <w:pPr>
        <w:jc w:val="both"/>
        <w:rPr>
          <w:lang w:val="de-DE"/>
        </w:rPr>
      </w:pPr>
    </w:p>
    <w:p w14:paraId="1B636205" w14:textId="77777777" w:rsidR="00BB71D9" w:rsidRPr="004676F5" w:rsidRDefault="00BB71D9" w:rsidP="00BB71D9">
      <w:pPr>
        <w:jc w:val="both"/>
        <w:rPr>
          <w:lang w:val="de-DE"/>
        </w:rPr>
      </w:pPr>
      <w:r w:rsidRPr="004676F5">
        <w:rPr>
          <w:lang w:val="de-DE"/>
        </w:rPr>
        <w:tab/>
        <w:t>§ 4 - Der König stellt im Register eine detaillierte Checkliste zu Reorganisationsplänen zur Verfügung, die praktische Leitlinien dazu enthält, wie der Reorganisationsplan zu erstellen ist.</w:t>
      </w:r>
    </w:p>
    <w:p w14:paraId="4EB417B5" w14:textId="77777777" w:rsidR="00BB71D9" w:rsidRPr="004676F5" w:rsidRDefault="00BB71D9" w:rsidP="00BB71D9">
      <w:pPr>
        <w:jc w:val="both"/>
        <w:rPr>
          <w:lang w:val="de-DE"/>
        </w:rPr>
      </w:pPr>
    </w:p>
    <w:p w14:paraId="1BADA8DD" w14:textId="1BBC7D6F" w:rsidR="00BB71D9" w:rsidRPr="004676F5" w:rsidRDefault="00BB71D9" w:rsidP="00BB71D9">
      <w:pPr>
        <w:jc w:val="both"/>
        <w:rPr>
          <w:lang w:val="de-DE"/>
        </w:rPr>
      </w:pPr>
      <w:r w:rsidRPr="004676F5">
        <w:rPr>
          <w:lang w:val="de-DE"/>
        </w:rPr>
        <w:tab/>
        <w:t>Die Checkliste wird im Register in deutscher, französischer, niederländischer und englischer Sprache zur Verfügung gestellt.]</w:t>
      </w:r>
    </w:p>
    <w:p w14:paraId="29EC3E2B" w14:textId="77777777" w:rsidR="00EE35E2" w:rsidRPr="004676F5" w:rsidRDefault="00EE35E2" w:rsidP="00BB71D9">
      <w:pPr>
        <w:jc w:val="both"/>
        <w:rPr>
          <w:lang w:val="de-DE"/>
        </w:rPr>
      </w:pPr>
    </w:p>
    <w:p w14:paraId="6B2E5A21" w14:textId="393D37C8" w:rsidR="00BB71D9" w:rsidRPr="004676F5" w:rsidRDefault="00BB71D9" w:rsidP="00BB71D9">
      <w:pPr>
        <w:jc w:val="both"/>
        <w:rPr>
          <w:i/>
          <w:lang w:val="de-DE"/>
        </w:rPr>
      </w:pPr>
      <w:r w:rsidRPr="004676F5">
        <w:rPr>
          <w:i/>
          <w:lang w:val="de-DE"/>
        </w:rPr>
        <w:t>[Art. XX.70/1 eingefügt durch Art. 100</w:t>
      </w:r>
      <w:r w:rsidRPr="004676F5">
        <w:rPr>
          <w:i/>
          <w:iCs/>
          <w:lang w:val="de-DE"/>
        </w:rPr>
        <w:t xml:space="preserve"> des G. vom 7. Juni 2023 (B.S. vom 7. Juli 2023)]</w:t>
      </w:r>
    </w:p>
    <w:p w14:paraId="029E85CD" w14:textId="77777777" w:rsidR="00BB71D9" w:rsidRPr="004676F5" w:rsidRDefault="00BB71D9" w:rsidP="00BB71D9">
      <w:pPr>
        <w:jc w:val="both"/>
        <w:rPr>
          <w:lang w:val="de-DE"/>
        </w:rPr>
      </w:pPr>
    </w:p>
    <w:p w14:paraId="6719CD56" w14:textId="77777777" w:rsidR="00D11212" w:rsidRPr="004676F5" w:rsidRDefault="00D11212" w:rsidP="00EE35E2">
      <w:pPr>
        <w:ind w:firstLine="708"/>
        <w:jc w:val="both"/>
        <w:rPr>
          <w:lang w:val="de-DE"/>
        </w:rPr>
      </w:pPr>
    </w:p>
    <w:p w14:paraId="63E754A6" w14:textId="647371C3"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XX.71</w:t>
      </w:r>
      <w:r w:rsidR="00EE35E2" w:rsidRPr="004676F5">
        <w:rPr>
          <w:lang w:val="de-DE"/>
        </w:rPr>
        <w:t> </w:t>
      </w:r>
      <w:r w:rsidR="005B7A5C" w:rsidRPr="004676F5">
        <w:rPr>
          <w:lang w:val="de-DE"/>
        </w:rPr>
        <w:t>- </w:t>
      </w:r>
      <w:r w:rsidR="00BB71D9" w:rsidRPr="004676F5">
        <w:rPr>
          <w:lang w:val="de-DE"/>
        </w:rPr>
        <w:t>[Im Reorganisationsplan wird angegeben, welche Forderungen noch in Anwendung von Artikel XX.49 oder XX.68 angefochten werden, damit Interessehabende über ihren Umfang und ihre Grundlage informiert werden.]</w:t>
      </w:r>
    </w:p>
    <w:p w14:paraId="22512F2F" w14:textId="77777777" w:rsidR="00BB71D9" w:rsidRPr="004676F5" w:rsidRDefault="00BB71D9" w:rsidP="00BB71D9">
      <w:pPr>
        <w:jc w:val="both"/>
        <w:rPr>
          <w:lang w:val="de-DE"/>
        </w:rPr>
      </w:pPr>
    </w:p>
    <w:p w14:paraId="54A7A0BA" w14:textId="6C170AE2" w:rsidR="00BB71D9" w:rsidRPr="004676F5" w:rsidRDefault="00BB71D9" w:rsidP="00BB71D9">
      <w:pPr>
        <w:jc w:val="both"/>
        <w:rPr>
          <w:i/>
          <w:iCs/>
          <w:lang w:val="de-DE"/>
        </w:rPr>
      </w:pPr>
      <w:r w:rsidRPr="004676F5">
        <w:rPr>
          <w:i/>
          <w:iCs/>
          <w:lang w:val="de-DE"/>
        </w:rPr>
        <w:t>[Art. XX.71 ersetzt durch Art. 101 des G. vom 7. Juni 2023 (B.S. vom 7. Juli 2023)]</w:t>
      </w:r>
    </w:p>
    <w:p w14:paraId="3CA76089" w14:textId="77777777" w:rsidR="00EE35E2" w:rsidRPr="004676F5" w:rsidRDefault="00EE35E2" w:rsidP="00EE35E2">
      <w:pPr>
        <w:ind w:firstLine="708"/>
        <w:jc w:val="both"/>
        <w:rPr>
          <w:lang w:val="de-DE"/>
        </w:rPr>
      </w:pPr>
    </w:p>
    <w:p w14:paraId="7C2F47C0" w14:textId="77777777" w:rsidR="00D11212" w:rsidRPr="004676F5" w:rsidRDefault="00D11212" w:rsidP="00EE35E2">
      <w:pPr>
        <w:ind w:firstLine="708"/>
        <w:jc w:val="both"/>
        <w:rPr>
          <w:lang w:val="de-DE"/>
        </w:rPr>
      </w:pPr>
    </w:p>
    <w:p w14:paraId="0B4E18D3" w14:textId="77777777" w:rsidR="00BB71D9" w:rsidRPr="004676F5" w:rsidRDefault="00BE0A56" w:rsidP="00BB71D9">
      <w:pPr>
        <w:ind w:firstLine="708"/>
        <w:jc w:val="both"/>
        <w:rPr>
          <w:lang w:val="de-DE"/>
        </w:rPr>
      </w:pPr>
      <w:r w:rsidRPr="004676F5">
        <w:rPr>
          <w:b/>
          <w:lang w:val="de-DE"/>
        </w:rPr>
        <w:t>Art. </w:t>
      </w:r>
      <w:r w:rsidR="00EE35E2" w:rsidRPr="004676F5">
        <w:rPr>
          <w:b/>
          <w:lang w:val="de-DE"/>
        </w:rPr>
        <w:t>XX.72</w:t>
      </w:r>
      <w:r w:rsidR="00EE35E2" w:rsidRPr="004676F5">
        <w:rPr>
          <w:lang w:val="de-DE"/>
        </w:rPr>
        <w:t> </w:t>
      </w:r>
      <w:r w:rsidR="005B7A5C" w:rsidRPr="004676F5">
        <w:rPr>
          <w:lang w:val="de-DE"/>
        </w:rPr>
        <w:t>- </w:t>
      </w:r>
      <w:r w:rsidR="00BB71D9" w:rsidRPr="004676F5">
        <w:rPr>
          <w:lang w:val="de-DE"/>
        </w:rPr>
        <w:t>[Der Reorganisationsplan kann eine Liste von Gläubigern enthalten, deren Forderungen nominell minimal sind und deren Aufnahme in den Plan als betroffene Gläubiger eine nicht zu rechtfertigende administrative und finanzielle Belastung darstellen würde.</w:t>
      </w:r>
    </w:p>
    <w:p w14:paraId="4E1B0AE0" w14:textId="77777777" w:rsidR="00BB71D9" w:rsidRPr="004676F5" w:rsidRDefault="00BB71D9" w:rsidP="00BB71D9">
      <w:pPr>
        <w:jc w:val="both"/>
        <w:rPr>
          <w:lang w:val="de-DE"/>
        </w:rPr>
      </w:pPr>
    </w:p>
    <w:p w14:paraId="68B25A10" w14:textId="7C7B68B6" w:rsidR="00EE35E2" w:rsidRPr="004676F5" w:rsidRDefault="00BB71D9" w:rsidP="00BB71D9">
      <w:pPr>
        <w:ind w:firstLine="708"/>
        <w:jc w:val="both"/>
        <w:rPr>
          <w:lang w:val="de-DE"/>
        </w:rPr>
      </w:pPr>
      <w:r w:rsidRPr="004676F5">
        <w:rPr>
          <w:lang w:val="de-DE"/>
        </w:rPr>
        <w:t>Der Plan enthält die Gründe, weshalb es im besten Interesse aller betroffenen Gläubiger ist, dass diese Forderungen außerhalb des Plans bearbeitet und sofort beglichen werden.]</w:t>
      </w:r>
    </w:p>
    <w:p w14:paraId="1D35FF37" w14:textId="49A3F23D" w:rsidR="00EE35E2" w:rsidRPr="004676F5" w:rsidRDefault="00EE35E2" w:rsidP="00EE35E2">
      <w:pPr>
        <w:ind w:firstLine="708"/>
        <w:jc w:val="both"/>
        <w:rPr>
          <w:lang w:val="de-DE"/>
        </w:rPr>
      </w:pPr>
    </w:p>
    <w:p w14:paraId="3190DD36" w14:textId="2BE48D58" w:rsidR="002A3D76" w:rsidRPr="004676F5" w:rsidRDefault="002A3D76" w:rsidP="002A3D76">
      <w:pPr>
        <w:jc w:val="both"/>
        <w:rPr>
          <w:i/>
          <w:lang w:val="de-DE"/>
        </w:rPr>
      </w:pPr>
      <w:r w:rsidRPr="004676F5">
        <w:rPr>
          <w:i/>
          <w:lang w:val="de-DE"/>
        </w:rPr>
        <w:t xml:space="preserve">[Art. XX.72 </w:t>
      </w:r>
      <w:r w:rsidR="00BB71D9" w:rsidRPr="004676F5">
        <w:rPr>
          <w:i/>
          <w:lang w:val="de-DE"/>
        </w:rPr>
        <w:t>ersetzt durch Art. 102</w:t>
      </w:r>
      <w:r w:rsidR="00BB71D9" w:rsidRPr="004676F5">
        <w:rPr>
          <w:i/>
          <w:iCs/>
          <w:lang w:val="de-DE"/>
        </w:rPr>
        <w:t xml:space="preserve"> des G. vom 7. Juni 2023 (B.S. vom 7. Juli 2023)</w:t>
      </w:r>
      <w:r w:rsidRPr="004676F5">
        <w:rPr>
          <w:i/>
          <w:lang w:val="de-DE"/>
        </w:rPr>
        <w:t>]</w:t>
      </w:r>
    </w:p>
    <w:p w14:paraId="40C8844C" w14:textId="77777777" w:rsidR="002A3D76" w:rsidRPr="004676F5" w:rsidRDefault="002A3D76" w:rsidP="002A3D76">
      <w:pPr>
        <w:jc w:val="both"/>
        <w:rPr>
          <w:i/>
          <w:lang w:val="de-DE"/>
        </w:rPr>
      </w:pPr>
    </w:p>
    <w:p w14:paraId="3B8CADEF" w14:textId="77777777" w:rsidR="00D11212" w:rsidRPr="004676F5" w:rsidRDefault="00D11212" w:rsidP="00EE35E2">
      <w:pPr>
        <w:ind w:firstLine="708"/>
        <w:jc w:val="both"/>
        <w:rPr>
          <w:lang w:val="de-DE"/>
        </w:rPr>
      </w:pPr>
    </w:p>
    <w:p w14:paraId="7FDE2D82" w14:textId="744B6C21" w:rsidR="00EE35E2" w:rsidRPr="004676F5" w:rsidRDefault="00BE0A56" w:rsidP="00BB71D9">
      <w:pPr>
        <w:ind w:firstLine="708"/>
        <w:jc w:val="both"/>
        <w:rPr>
          <w:lang w:val="de-DE"/>
        </w:rPr>
      </w:pPr>
      <w:r w:rsidRPr="004676F5">
        <w:rPr>
          <w:b/>
          <w:lang w:val="de-DE"/>
        </w:rPr>
        <w:t>Art. </w:t>
      </w:r>
      <w:r w:rsidR="00EE35E2" w:rsidRPr="004676F5">
        <w:rPr>
          <w:b/>
          <w:lang w:val="de-DE"/>
        </w:rPr>
        <w:t>XX.73</w:t>
      </w:r>
      <w:r w:rsidR="00EE35E2" w:rsidRPr="004676F5">
        <w:rPr>
          <w:lang w:val="de-DE"/>
        </w:rPr>
        <w:t> </w:t>
      </w:r>
      <w:r w:rsidR="005B7A5C" w:rsidRPr="004676F5">
        <w:rPr>
          <w:lang w:val="de-DE"/>
        </w:rPr>
        <w:t>- </w:t>
      </w:r>
      <w:r w:rsidR="00BB71D9" w:rsidRPr="004676F5">
        <w:rPr>
          <w:lang w:val="de-DE"/>
        </w:rPr>
        <w:t>[...]</w:t>
      </w:r>
    </w:p>
    <w:p w14:paraId="0984CC31" w14:textId="77777777" w:rsidR="00EE35E2" w:rsidRPr="004676F5" w:rsidRDefault="00EE35E2" w:rsidP="00EE35E2">
      <w:pPr>
        <w:ind w:firstLine="708"/>
        <w:jc w:val="both"/>
        <w:rPr>
          <w:lang w:val="de-DE"/>
        </w:rPr>
      </w:pPr>
    </w:p>
    <w:p w14:paraId="469A1FEF" w14:textId="77777777" w:rsidR="00EE35E2" w:rsidRPr="004676F5" w:rsidRDefault="00EE35E2" w:rsidP="00EE35E2">
      <w:pPr>
        <w:ind w:firstLine="708"/>
        <w:jc w:val="both"/>
        <w:rPr>
          <w:lang w:val="de-DE"/>
        </w:rPr>
      </w:pPr>
      <w:r w:rsidRPr="004676F5">
        <w:rPr>
          <w:lang w:val="de-DE"/>
        </w:rPr>
        <w:t>Im Reorganisationsplan können nicht vorgesehen werden:</w:t>
      </w:r>
    </w:p>
    <w:p w14:paraId="21C7ED24" w14:textId="77777777" w:rsidR="00EE35E2" w:rsidRPr="004676F5" w:rsidRDefault="00EE35E2" w:rsidP="00EE35E2">
      <w:pPr>
        <w:ind w:firstLine="708"/>
        <w:jc w:val="both"/>
        <w:rPr>
          <w:lang w:val="de-DE"/>
        </w:rPr>
      </w:pPr>
    </w:p>
    <w:p w14:paraId="0DE14557" w14:textId="1ED98941" w:rsidR="00EE35E2" w:rsidRPr="004676F5" w:rsidRDefault="005B7A5C" w:rsidP="00EE35E2">
      <w:pPr>
        <w:ind w:firstLine="708"/>
        <w:jc w:val="both"/>
        <w:rPr>
          <w:lang w:val="de-DE"/>
        </w:rPr>
      </w:pPr>
      <w:r w:rsidRPr="004676F5">
        <w:rPr>
          <w:lang w:val="de-DE"/>
        </w:rPr>
        <w:t>- </w:t>
      </w:r>
      <w:r w:rsidR="00EE35E2" w:rsidRPr="004676F5">
        <w:rPr>
          <w:lang w:val="de-DE"/>
        </w:rPr>
        <w:t>Verringerung oder Verzicht auf aufgeschobene Forderungen aus Arbeitsleistungen, Steuer</w:t>
      </w:r>
      <w:r w:rsidRPr="004676F5">
        <w:rPr>
          <w:lang w:val="de-DE"/>
        </w:rPr>
        <w:t>- </w:t>
      </w:r>
      <w:r w:rsidR="00EE35E2" w:rsidRPr="004676F5">
        <w:rPr>
          <w:lang w:val="de-DE"/>
        </w:rPr>
        <w:t>oder Sozialbeiträge und -schulden ausgenommen,</w:t>
      </w:r>
    </w:p>
    <w:p w14:paraId="162DC41E" w14:textId="77777777" w:rsidR="00EE35E2" w:rsidRPr="004676F5" w:rsidRDefault="00EE35E2" w:rsidP="00EE35E2">
      <w:pPr>
        <w:ind w:firstLine="708"/>
        <w:jc w:val="both"/>
        <w:rPr>
          <w:lang w:val="de-DE"/>
        </w:rPr>
      </w:pPr>
    </w:p>
    <w:p w14:paraId="74C97E80" w14:textId="5424FD0A" w:rsidR="00EE35E2" w:rsidRPr="004676F5" w:rsidRDefault="005B7A5C" w:rsidP="00EE35E2">
      <w:pPr>
        <w:ind w:firstLine="708"/>
        <w:jc w:val="both"/>
        <w:rPr>
          <w:lang w:val="de-DE"/>
        </w:rPr>
      </w:pPr>
      <w:r w:rsidRPr="004676F5">
        <w:rPr>
          <w:lang w:val="de-DE"/>
        </w:rPr>
        <w:t>- </w:t>
      </w:r>
      <w:r w:rsidR="00EE35E2" w:rsidRPr="004676F5">
        <w:rPr>
          <w:lang w:val="de-DE"/>
        </w:rPr>
        <w:t>Verringerung von Unterhaltsschulden oder Schulden, die für den Schuldner aus der Verpflichtung hervorgehen, durch sein Verschulden bei Tod oder Beeinträchtigung der körperlichen Unversehrtheit einer Person entstandenen Schaden zu ersetzen,</w:t>
      </w:r>
    </w:p>
    <w:p w14:paraId="7106D8E7" w14:textId="77777777" w:rsidR="00EE35E2" w:rsidRPr="004676F5" w:rsidRDefault="00EE35E2" w:rsidP="00EE35E2">
      <w:pPr>
        <w:ind w:firstLine="708"/>
        <w:jc w:val="both"/>
        <w:rPr>
          <w:lang w:val="de-DE"/>
        </w:rPr>
      </w:pPr>
    </w:p>
    <w:p w14:paraId="2EBBFF0B" w14:textId="34E5DC0B" w:rsidR="00EE35E2" w:rsidRPr="004676F5" w:rsidRDefault="005B7A5C" w:rsidP="00EE35E2">
      <w:pPr>
        <w:ind w:firstLine="708"/>
        <w:jc w:val="both"/>
        <w:rPr>
          <w:lang w:val="de-DE"/>
        </w:rPr>
      </w:pPr>
      <w:r w:rsidRPr="004676F5">
        <w:rPr>
          <w:lang w:val="de-DE"/>
        </w:rPr>
        <w:t>- </w:t>
      </w:r>
      <w:r w:rsidR="00EE35E2" w:rsidRPr="004676F5">
        <w:rPr>
          <w:lang w:val="de-DE"/>
        </w:rPr>
        <w:t>Verringerung oder Erlass von strafrechtlichen Geldbußen.</w:t>
      </w:r>
    </w:p>
    <w:p w14:paraId="2C1CE3B0" w14:textId="77777777" w:rsidR="00BB71D9" w:rsidRPr="004676F5" w:rsidRDefault="00BB71D9" w:rsidP="00BB71D9">
      <w:pPr>
        <w:jc w:val="both"/>
        <w:rPr>
          <w:lang w:val="de-DE"/>
        </w:rPr>
      </w:pPr>
    </w:p>
    <w:p w14:paraId="1BE3CDF6" w14:textId="69F23959" w:rsidR="00BB71D9" w:rsidRPr="004676F5" w:rsidRDefault="00BB71D9" w:rsidP="00BB71D9">
      <w:pPr>
        <w:jc w:val="both"/>
        <w:rPr>
          <w:i/>
          <w:iCs/>
          <w:lang w:val="de-DE"/>
        </w:rPr>
      </w:pPr>
      <w:r w:rsidRPr="004676F5">
        <w:rPr>
          <w:i/>
          <w:iCs/>
          <w:lang w:val="de-DE"/>
        </w:rPr>
        <w:t>[Art. XX.73 frühere Absätze 1 bis 3 aufgehoben durch Art. 103 des G. vom 7. Juni 2023 (B.S. vom 7. Juli 2023)]</w:t>
      </w:r>
    </w:p>
    <w:p w14:paraId="7D341CD6" w14:textId="77777777" w:rsidR="00EE35E2" w:rsidRPr="004676F5" w:rsidRDefault="00EE35E2" w:rsidP="00EE35E2">
      <w:pPr>
        <w:ind w:firstLine="708"/>
        <w:jc w:val="both"/>
        <w:rPr>
          <w:lang w:val="de-DE"/>
        </w:rPr>
      </w:pPr>
    </w:p>
    <w:p w14:paraId="534347C2" w14:textId="77777777" w:rsidR="00D11212" w:rsidRPr="004676F5" w:rsidRDefault="00D11212" w:rsidP="00EE35E2">
      <w:pPr>
        <w:ind w:firstLine="708"/>
        <w:jc w:val="both"/>
        <w:rPr>
          <w:lang w:val="de-DE"/>
        </w:rPr>
      </w:pPr>
    </w:p>
    <w:p w14:paraId="7A2BF186" w14:textId="7682E839" w:rsidR="00EE35E2" w:rsidRPr="004676F5" w:rsidRDefault="00BE0A56" w:rsidP="00BB71D9">
      <w:pPr>
        <w:ind w:firstLine="708"/>
        <w:jc w:val="both"/>
        <w:rPr>
          <w:lang w:val="de-DE"/>
        </w:rPr>
      </w:pPr>
      <w:r w:rsidRPr="004676F5">
        <w:rPr>
          <w:b/>
          <w:lang w:val="de-DE"/>
        </w:rPr>
        <w:t>Art. </w:t>
      </w:r>
      <w:r w:rsidR="00EE35E2" w:rsidRPr="004676F5">
        <w:rPr>
          <w:b/>
          <w:lang w:val="de-DE"/>
        </w:rPr>
        <w:t>XX.74</w:t>
      </w:r>
      <w:r w:rsidR="00EE35E2" w:rsidRPr="004676F5">
        <w:rPr>
          <w:lang w:val="de-DE"/>
        </w:rPr>
        <w:t> </w:t>
      </w:r>
      <w:r w:rsidR="005B7A5C" w:rsidRPr="004676F5">
        <w:rPr>
          <w:lang w:val="de-DE"/>
        </w:rPr>
        <w:t>- </w:t>
      </w:r>
      <w:r w:rsidR="00BB71D9" w:rsidRPr="004676F5">
        <w:rPr>
          <w:lang w:val="de-DE"/>
        </w:rPr>
        <w:t>[...]</w:t>
      </w:r>
    </w:p>
    <w:p w14:paraId="6E6C9EDE" w14:textId="77777777" w:rsidR="00BB71D9" w:rsidRPr="004676F5" w:rsidRDefault="00BB71D9" w:rsidP="00BB71D9">
      <w:pPr>
        <w:jc w:val="both"/>
        <w:rPr>
          <w:lang w:val="de-DE"/>
        </w:rPr>
      </w:pPr>
    </w:p>
    <w:p w14:paraId="1F3E9C27" w14:textId="295395D1" w:rsidR="00BB71D9" w:rsidRPr="004676F5" w:rsidRDefault="00BB71D9" w:rsidP="00BB71D9">
      <w:pPr>
        <w:jc w:val="both"/>
        <w:rPr>
          <w:i/>
          <w:iCs/>
          <w:lang w:val="de-DE"/>
        </w:rPr>
      </w:pPr>
      <w:r w:rsidRPr="004676F5">
        <w:rPr>
          <w:i/>
          <w:iCs/>
          <w:lang w:val="de-DE"/>
        </w:rPr>
        <w:t>[Art. XX.74 aufgehoben durch Art. 104 des G. vom 7. Juni 2023 (B.S. vom 7. Juli 2023)]</w:t>
      </w:r>
    </w:p>
    <w:p w14:paraId="02DD8F01" w14:textId="77777777" w:rsidR="00EE35E2" w:rsidRPr="004676F5" w:rsidRDefault="00EE35E2" w:rsidP="00EE35E2">
      <w:pPr>
        <w:ind w:firstLine="708"/>
        <w:jc w:val="both"/>
        <w:rPr>
          <w:lang w:val="de-DE"/>
        </w:rPr>
      </w:pPr>
    </w:p>
    <w:p w14:paraId="5AE8507F" w14:textId="77777777" w:rsidR="00BB71D9" w:rsidRPr="004676F5" w:rsidRDefault="00BB71D9" w:rsidP="00EE35E2">
      <w:pPr>
        <w:ind w:firstLine="708"/>
        <w:jc w:val="both"/>
        <w:rPr>
          <w:lang w:val="de-DE"/>
        </w:rPr>
      </w:pPr>
    </w:p>
    <w:p w14:paraId="4C67D89C" w14:textId="77777777" w:rsidR="00BB71D9" w:rsidRPr="004676F5" w:rsidRDefault="00BB71D9" w:rsidP="00BB71D9">
      <w:pPr>
        <w:ind w:firstLine="708"/>
        <w:jc w:val="both"/>
        <w:rPr>
          <w:lang w:val="de-DE"/>
        </w:rPr>
      </w:pPr>
      <w:r w:rsidRPr="004676F5">
        <w:rPr>
          <w:lang w:val="de-DE"/>
        </w:rPr>
        <w:t>[</w:t>
      </w:r>
      <w:r w:rsidRPr="004676F5">
        <w:rPr>
          <w:b/>
          <w:bCs/>
          <w:lang w:val="de-DE"/>
        </w:rPr>
        <w:t>Art. XX.74/1</w:t>
      </w:r>
      <w:r w:rsidRPr="004676F5">
        <w:rPr>
          <w:lang w:val="de-DE"/>
        </w:rPr>
        <w:t> - Im Plan kann darüber hinaus vorgesehen werden, dass zwischen aufgeschobenen Forderungen und nach der Homologierung entstandenen Schulden des Gläubiger-Inhabers keine Aufrechnung möglich sein wird. Ein solcher Vorschlag kann nicht in Bezug auf zusammenhängende Forderungen gemacht werden.</w:t>
      </w:r>
    </w:p>
    <w:p w14:paraId="46EDA6AC" w14:textId="77777777" w:rsidR="00BB71D9" w:rsidRPr="004676F5" w:rsidRDefault="00BB71D9" w:rsidP="00BB71D9">
      <w:pPr>
        <w:jc w:val="both"/>
        <w:rPr>
          <w:lang w:val="de-DE"/>
        </w:rPr>
      </w:pPr>
    </w:p>
    <w:p w14:paraId="261FF1B2" w14:textId="77777777" w:rsidR="00BB71D9" w:rsidRPr="004676F5" w:rsidRDefault="00BB71D9" w:rsidP="00BB71D9">
      <w:pPr>
        <w:jc w:val="both"/>
        <w:rPr>
          <w:lang w:val="de-DE"/>
        </w:rPr>
      </w:pPr>
      <w:r w:rsidRPr="004676F5">
        <w:rPr>
          <w:lang w:val="de-DE"/>
        </w:rPr>
        <w:tab/>
        <w:t>Ist für den Fortbestand des Unternehmens eine Verringerung der Lohnsumme erforderlich, wird im Reorganisationsplan ein Abschnitt mit Sozialmaßnahmen vorgesehen, sofern ein solcher Plan noch nicht ausgehandelt worden ist. Gegebenenfalls können in diesem Plan Entlassungen vorgesehen werden.</w:t>
      </w:r>
    </w:p>
    <w:p w14:paraId="32881201" w14:textId="77777777" w:rsidR="00BB71D9" w:rsidRPr="004676F5" w:rsidRDefault="00BB71D9" w:rsidP="00BB71D9">
      <w:pPr>
        <w:jc w:val="both"/>
        <w:rPr>
          <w:lang w:val="de-DE"/>
        </w:rPr>
      </w:pPr>
    </w:p>
    <w:p w14:paraId="449E15C0" w14:textId="1DAE5484" w:rsidR="00BB71D9" w:rsidRPr="004676F5" w:rsidRDefault="00BB71D9" w:rsidP="00BB71D9">
      <w:pPr>
        <w:ind w:firstLine="708"/>
        <w:jc w:val="both"/>
        <w:rPr>
          <w:lang w:val="de-DE"/>
        </w:rPr>
      </w:pPr>
      <w:r w:rsidRPr="004676F5">
        <w:rPr>
          <w:lang w:val="de-DE"/>
        </w:rPr>
        <w:lastRenderedPageBreak/>
        <w:t>Bei Erstellung dieses Plans werden die Vertreter des Personals im Betriebsrat oder - in dessen Ermangelung - im Ausschuss für Gefahrenverhütung und Schutz am Arbeitsplatz oder - in dessen Ermangelung - die Gewerkschaftsvertretung oder - in deren Ermangelung - eine Abordnung des Personals angehört.]</w:t>
      </w:r>
    </w:p>
    <w:p w14:paraId="77EA3B4A" w14:textId="77777777" w:rsidR="00BB71D9" w:rsidRPr="004676F5" w:rsidRDefault="00BB71D9" w:rsidP="00BB71D9">
      <w:pPr>
        <w:ind w:firstLine="708"/>
        <w:jc w:val="both"/>
        <w:rPr>
          <w:lang w:val="de-DE"/>
        </w:rPr>
      </w:pPr>
    </w:p>
    <w:p w14:paraId="32C126C6" w14:textId="72A2F293" w:rsidR="00BB71D9" w:rsidRPr="004676F5" w:rsidRDefault="00BB71D9" w:rsidP="00BB71D9">
      <w:pPr>
        <w:jc w:val="both"/>
        <w:rPr>
          <w:i/>
          <w:lang w:val="de-DE"/>
        </w:rPr>
      </w:pPr>
      <w:r w:rsidRPr="004676F5">
        <w:rPr>
          <w:i/>
          <w:lang w:val="de-DE"/>
        </w:rPr>
        <w:t>[Art. XX.74/1 eingefügt durch Art. 105</w:t>
      </w:r>
      <w:r w:rsidRPr="004676F5">
        <w:rPr>
          <w:i/>
          <w:iCs/>
          <w:lang w:val="de-DE"/>
        </w:rPr>
        <w:t xml:space="preserve"> des G. vom 7. Juni 2023 (B.S. vom 7. Juli 2023)]</w:t>
      </w:r>
    </w:p>
    <w:p w14:paraId="5C96090E" w14:textId="77777777" w:rsidR="00BB71D9" w:rsidRPr="004676F5" w:rsidRDefault="00BB71D9" w:rsidP="00BB71D9">
      <w:pPr>
        <w:jc w:val="both"/>
        <w:rPr>
          <w:lang w:val="de-DE"/>
        </w:rPr>
      </w:pPr>
    </w:p>
    <w:p w14:paraId="08C3CD71" w14:textId="77777777" w:rsidR="00D11212" w:rsidRPr="004676F5" w:rsidRDefault="00D11212" w:rsidP="00EE35E2">
      <w:pPr>
        <w:ind w:firstLine="708"/>
        <w:jc w:val="both"/>
        <w:rPr>
          <w:lang w:val="de-DE"/>
        </w:rPr>
      </w:pPr>
    </w:p>
    <w:p w14:paraId="5AAD24BE" w14:textId="2917E660" w:rsidR="00EE35E2" w:rsidRPr="004676F5" w:rsidRDefault="00BE0A56" w:rsidP="00EE35E2">
      <w:pPr>
        <w:ind w:firstLine="708"/>
        <w:jc w:val="both"/>
        <w:rPr>
          <w:lang w:val="de-DE"/>
        </w:rPr>
      </w:pPr>
      <w:r w:rsidRPr="004676F5">
        <w:rPr>
          <w:b/>
          <w:lang w:val="de-DE"/>
        </w:rPr>
        <w:t>Art. </w:t>
      </w:r>
      <w:r w:rsidR="00EE35E2" w:rsidRPr="004676F5">
        <w:rPr>
          <w:b/>
          <w:lang w:val="de-DE"/>
        </w:rPr>
        <w:t>XX.75</w:t>
      </w:r>
      <w:r w:rsidR="00EE35E2" w:rsidRPr="004676F5">
        <w:rPr>
          <w:lang w:val="de-DE"/>
        </w:rPr>
        <w:t> </w:t>
      </w:r>
      <w:r w:rsidR="005B7A5C" w:rsidRPr="004676F5">
        <w:rPr>
          <w:lang w:val="de-DE"/>
        </w:rPr>
        <w:t>- </w:t>
      </w:r>
      <w:r w:rsidR="00EE35E2" w:rsidRPr="004676F5">
        <w:rPr>
          <w:lang w:val="de-DE"/>
        </w:rPr>
        <w:t>Im Reorganisationsplan kann die freiwillige Übertragung der Gesamtheit oder eines Teils der Aktiva oder der Tätigkeiten vorgesehen werden.</w:t>
      </w:r>
    </w:p>
    <w:p w14:paraId="3F6782CD" w14:textId="77777777" w:rsidR="00EE35E2" w:rsidRPr="004676F5" w:rsidRDefault="00EE35E2" w:rsidP="00EE35E2">
      <w:pPr>
        <w:ind w:firstLine="708"/>
        <w:jc w:val="both"/>
        <w:rPr>
          <w:lang w:val="de-DE"/>
        </w:rPr>
      </w:pPr>
    </w:p>
    <w:p w14:paraId="0356FD87" w14:textId="06605E03" w:rsidR="00BB71D9" w:rsidRPr="004676F5" w:rsidRDefault="00BB71D9" w:rsidP="00EE35E2">
      <w:pPr>
        <w:ind w:firstLine="708"/>
        <w:jc w:val="both"/>
        <w:rPr>
          <w:lang w:val="de-DE"/>
        </w:rPr>
      </w:pPr>
      <w:r w:rsidRPr="004676F5">
        <w:rPr>
          <w:lang w:val="de-DE"/>
        </w:rPr>
        <w:t>[Im Plan kann außer hinsichtlich der in Artikel I.1 Nr. 1 Absatz 2 Buchstabe </w:t>
      </w:r>
      <w:r w:rsidRPr="004676F5">
        <w:rPr>
          <w:i/>
          <w:iCs/>
          <w:lang w:val="de-DE"/>
        </w:rPr>
        <w:t>c)</w:t>
      </w:r>
      <w:r w:rsidRPr="004676F5">
        <w:rPr>
          <w:lang w:val="de-DE"/>
        </w:rPr>
        <w:t xml:space="preserve"> erwähnten Körperschaften die Umwandlung von Forderungen in Aktien vorgesehen werden.]</w:t>
      </w:r>
    </w:p>
    <w:p w14:paraId="0111D1B6" w14:textId="77777777" w:rsidR="00D11212" w:rsidRPr="004676F5" w:rsidRDefault="00D11212" w:rsidP="00BB71D9">
      <w:pPr>
        <w:jc w:val="both"/>
        <w:rPr>
          <w:lang w:val="de-DE"/>
        </w:rPr>
      </w:pPr>
    </w:p>
    <w:p w14:paraId="5BBF9677" w14:textId="118EBBD5" w:rsidR="00BB71D9" w:rsidRPr="004676F5" w:rsidRDefault="00BB71D9" w:rsidP="00BB71D9">
      <w:pPr>
        <w:jc w:val="both"/>
        <w:rPr>
          <w:i/>
          <w:lang w:val="de-DE"/>
        </w:rPr>
      </w:pPr>
      <w:r w:rsidRPr="004676F5">
        <w:rPr>
          <w:i/>
          <w:lang w:val="de-DE"/>
        </w:rPr>
        <w:t>[Art. XX.75 Abs. 2 eingefügt durch Art. 106</w:t>
      </w:r>
      <w:r w:rsidRPr="004676F5">
        <w:rPr>
          <w:i/>
          <w:iCs/>
          <w:lang w:val="de-DE"/>
        </w:rPr>
        <w:t xml:space="preserve"> des G. vom 7. Juni 2023 (B.S. vom 7. Juli 2023)]</w:t>
      </w:r>
    </w:p>
    <w:p w14:paraId="2C5DBFAF" w14:textId="77777777" w:rsidR="00BB71D9" w:rsidRPr="004676F5" w:rsidRDefault="00BB71D9" w:rsidP="00BB71D9">
      <w:pPr>
        <w:jc w:val="both"/>
        <w:rPr>
          <w:lang w:val="de-DE"/>
        </w:rPr>
      </w:pPr>
    </w:p>
    <w:p w14:paraId="497DCAA4" w14:textId="77777777" w:rsidR="00BB71D9" w:rsidRPr="004676F5" w:rsidRDefault="00BB71D9" w:rsidP="00BB71D9">
      <w:pPr>
        <w:jc w:val="both"/>
        <w:rPr>
          <w:lang w:val="de-DE"/>
        </w:rPr>
      </w:pPr>
    </w:p>
    <w:p w14:paraId="4CDE7D32" w14:textId="77777777" w:rsidR="00BB71D9" w:rsidRPr="004676F5" w:rsidRDefault="00BB71D9" w:rsidP="00BB71D9">
      <w:pPr>
        <w:jc w:val="both"/>
        <w:rPr>
          <w:lang w:val="de-DE"/>
        </w:rPr>
      </w:pPr>
      <w:r w:rsidRPr="004676F5">
        <w:rPr>
          <w:lang w:val="de-DE"/>
        </w:rPr>
        <w:tab/>
        <w:t>[</w:t>
      </w:r>
      <w:r w:rsidRPr="004676F5">
        <w:rPr>
          <w:b/>
          <w:bCs/>
          <w:lang w:val="de-DE"/>
        </w:rPr>
        <w:t>Art. XX.75/1</w:t>
      </w:r>
      <w:r w:rsidRPr="004676F5">
        <w:rPr>
          <w:lang w:val="de-DE"/>
        </w:rPr>
        <w:t> - Vorschläge enthalten für jeden Gläubiger einen Zahlungsvorschlag, der sich mindestens auf zwanzig Prozent des Betrags der Hauptforderung belaufen muss. Der Prozentsatz wird ohne Berücksichtigung einer möglichen Umwandlung von Forderungen in Aktien wie in Artikel XX.75 vorgesehen berechnet.</w:t>
      </w:r>
    </w:p>
    <w:p w14:paraId="0E75CB6C" w14:textId="77777777" w:rsidR="00BB71D9" w:rsidRPr="004676F5" w:rsidRDefault="00BB71D9" w:rsidP="00BB71D9">
      <w:pPr>
        <w:jc w:val="both"/>
        <w:rPr>
          <w:lang w:val="de-DE"/>
        </w:rPr>
      </w:pPr>
    </w:p>
    <w:p w14:paraId="5809A30F" w14:textId="77777777" w:rsidR="00BB71D9" w:rsidRPr="004676F5" w:rsidRDefault="00BB71D9" w:rsidP="00BB71D9">
      <w:pPr>
        <w:jc w:val="both"/>
        <w:rPr>
          <w:lang w:val="de-DE"/>
        </w:rPr>
      </w:pPr>
      <w:r w:rsidRPr="004676F5">
        <w:rPr>
          <w:lang w:val="de-DE"/>
        </w:rPr>
        <w:tab/>
        <w:t>Wenn im Plan eine unterschiedliche Behandlung der Gläubiger vorgesehen ist, dürfen öffentliche Gläubiger mit einem unbegrenzten Vorzugsrecht nicht weniger günstig behandelt werden als die am meisten begünstigten gewöhnlichen Aufschubgläubiger.</w:t>
      </w:r>
    </w:p>
    <w:p w14:paraId="04C15277" w14:textId="77777777" w:rsidR="00BB71D9" w:rsidRPr="004676F5" w:rsidRDefault="00BB71D9" w:rsidP="00BB71D9">
      <w:pPr>
        <w:jc w:val="both"/>
        <w:rPr>
          <w:lang w:val="de-DE"/>
        </w:rPr>
      </w:pPr>
    </w:p>
    <w:p w14:paraId="14FFEA0D" w14:textId="38C2BA42" w:rsidR="00BB71D9" w:rsidRPr="004676F5" w:rsidRDefault="00BB71D9" w:rsidP="00BB71D9">
      <w:pPr>
        <w:jc w:val="both"/>
        <w:rPr>
          <w:lang w:val="de-DE"/>
        </w:rPr>
      </w:pPr>
      <w:r w:rsidRPr="004676F5">
        <w:rPr>
          <w:lang w:val="de-DE"/>
        </w:rPr>
        <w:tab/>
        <w:t>Im Plan können für die in den Absätzen 1 und 2 erwähnten Gläubiger oder Klassen von Gläubigern aufgrund zwingender und mit Gründen versehener Erfordernisse im Zusammen</w:t>
      </w:r>
      <w:r w:rsidRPr="004676F5">
        <w:rPr>
          <w:lang w:val="de-DE"/>
        </w:rPr>
        <w:softHyphen/>
        <w:t>hang mit dem Fortbestand des Unternehmens niedrigere Prozentsätze vorgeschlagen werden, die nicht unverhältnismäßig sind.]</w:t>
      </w:r>
    </w:p>
    <w:p w14:paraId="6A2EF390" w14:textId="77777777" w:rsidR="00BB71D9" w:rsidRPr="004676F5" w:rsidRDefault="00BB71D9" w:rsidP="00BB71D9">
      <w:pPr>
        <w:jc w:val="both"/>
        <w:rPr>
          <w:lang w:val="de-DE"/>
        </w:rPr>
      </w:pPr>
    </w:p>
    <w:p w14:paraId="41E0D2FD" w14:textId="7FFF1F82" w:rsidR="00BB71D9" w:rsidRPr="004676F5" w:rsidRDefault="00BB71D9" w:rsidP="00BB71D9">
      <w:pPr>
        <w:jc w:val="both"/>
        <w:rPr>
          <w:i/>
          <w:lang w:val="de-DE"/>
        </w:rPr>
      </w:pPr>
      <w:r w:rsidRPr="004676F5">
        <w:rPr>
          <w:i/>
          <w:lang w:val="de-DE"/>
        </w:rPr>
        <w:t>[Art. XX.75/1 eingefügt durch Art. 107</w:t>
      </w:r>
      <w:r w:rsidRPr="004676F5">
        <w:rPr>
          <w:i/>
          <w:iCs/>
          <w:lang w:val="de-DE"/>
        </w:rPr>
        <w:t xml:space="preserve"> des G. vom 7. Juni 2023 (B.S. vom 7. Juli 2023)]</w:t>
      </w:r>
    </w:p>
    <w:p w14:paraId="6E36E543" w14:textId="77777777" w:rsidR="00BB71D9" w:rsidRPr="004676F5" w:rsidRDefault="00BB71D9" w:rsidP="00BB71D9">
      <w:pPr>
        <w:jc w:val="both"/>
        <w:rPr>
          <w:lang w:val="de-DE"/>
        </w:rPr>
      </w:pPr>
    </w:p>
    <w:p w14:paraId="211337CF" w14:textId="77777777" w:rsidR="00BB71D9" w:rsidRPr="004676F5" w:rsidRDefault="00BB71D9" w:rsidP="00BB71D9">
      <w:pPr>
        <w:jc w:val="both"/>
        <w:rPr>
          <w:lang w:val="de-DE"/>
        </w:rPr>
      </w:pPr>
    </w:p>
    <w:p w14:paraId="53BBC3F3" w14:textId="40D1A58E" w:rsidR="00BB71D9" w:rsidRPr="004676F5" w:rsidRDefault="00BB71D9" w:rsidP="00BB71D9">
      <w:pPr>
        <w:jc w:val="both"/>
        <w:rPr>
          <w:lang w:val="de-DE"/>
        </w:rPr>
      </w:pPr>
      <w:r w:rsidRPr="004676F5">
        <w:rPr>
          <w:lang w:val="de-DE"/>
        </w:rPr>
        <w:tab/>
        <w:t>[</w:t>
      </w:r>
      <w:r w:rsidRPr="004676F5">
        <w:rPr>
          <w:b/>
          <w:bCs/>
          <w:lang w:val="de-DE"/>
        </w:rPr>
        <w:t>Art. XX.75/2</w:t>
      </w:r>
      <w:r w:rsidRPr="004676F5">
        <w:rPr>
          <w:lang w:val="de-DE"/>
        </w:rPr>
        <w:t> - § 1 - Unbeschadet der Zahlung der Zinsen, die außergewöhnlichen Aufschubgläubigern gemäß Vereinbarung oder Gesetz auf ihre Forderungen geschuldet werden, kann im Plan vorgesehen werden, dass die Ausübung der bestehenden Rechte dieser Gläubiger für eine Dauer, die vierundzwanzig Monate ab dem Datum des in Artikel XX.79 erwähnten Homologierungsurteils nicht überschreiten darf, ausgesetzt wird.</w:t>
      </w:r>
    </w:p>
    <w:p w14:paraId="6559303F" w14:textId="77777777" w:rsidR="00BB71D9" w:rsidRPr="004676F5" w:rsidRDefault="00BB71D9" w:rsidP="00BB71D9">
      <w:pPr>
        <w:jc w:val="both"/>
        <w:rPr>
          <w:lang w:val="de-DE"/>
        </w:rPr>
      </w:pPr>
    </w:p>
    <w:p w14:paraId="299CBB1A" w14:textId="77777777" w:rsidR="00BB71D9" w:rsidRPr="004676F5" w:rsidRDefault="00BB71D9" w:rsidP="00BB71D9">
      <w:pPr>
        <w:jc w:val="both"/>
        <w:rPr>
          <w:lang w:val="de-DE"/>
        </w:rPr>
      </w:pPr>
      <w:r w:rsidRPr="004676F5">
        <w:rPr>
          <w:lang w:val="de-DE"/>
        </w:rPr>
        <w:tab/>
        <w:t>Unter denselben Bedingungen kann im Plan eine außerordentliche Verlängerung dieser Aussetzung für eine Dauer von höchstens zwölf Monaten vorgesehen werden. In diesem Fall wird im Plan zum einen bestimmt, dass der Schuldner dem Gericht bei Ablauf der ersten Aussetzungsfrist und nach Vernehmung seines Gläubigers den Nachweis erbringen muss, dass es dem Unternehmen nach Ablauf dieses zusätzlichen Zeitraums aufgrund der Finanzlage und der voraussichtlichen Einnahmen gemäß vernünftigen Prognosen möglich sein wird, die betreffenden außergewöhnlichen Aufschubgläubiger vollständig zu befriedigen, und zum anderen festgehalten, dass das Gericht in Ermangelung dieses Nachweises das Ende dieser Aussetzung anordnen wird.</w:t>
      </w:r>
    </w:p>
    <w:p w14:paraId="7CC2A298" w14:textId="77777777" w:rsidR="00BB71D9" w:rsidRPr="004676F5" w:rsidRDefault="00BB71D9" w:rsidP="00BB71D9">
      <w:pPr>
        <w:jc w:val="both"/>
        <w:rPr>
          <w:lang w:val="de-DE"/>
        </w:rPr>
      </w:pPr>
    </w:p>
    <w:p w14:paraId="51E48C5E" w14:textId="77777777" w:rsidR="00BB71D9" w:rsidRPr="004676F5" w:rsidRDefault="00BB71D9" w:rsidP="00BB71D9">
      <w:pPr>
        <w:jc w:val="both"/>
        <w:rPr>
          <w:lang w:val="de-DE"/>
        </w:rPr>
      </w:pPr>
      <w:r w:rsidRPr="004676F5">
        <w:rPr>
          <w:lang w:val="de-DE"/>
        </w:rPr>
        <w:lastRenderedPageBreak/>
        <w:tab/>
        <w:t>Außer bei individueller Zustimmung dieser Gläubiger oder einer gütlichen Einigung gemäß Artikel XX.38 oder XX.65, deren Abschrift dem Plan bei Hinterlegung im Register beigefügt ist, darf im Plan keine einzige andere Maßnahme enthalten sein, die die Rechte dieser Gläubiger beeinträchtigt.</w:t>
      </w:r>
    </w:p>
    <w:p w14:paraId="47E9C265" w14:textId="77777777" w:rsidR="00BB71D9" w:rsidRPr="004676F5" w:rsidRDefault="00BB71D9" w:rsidP="00BB71D9">
      <w:pPr>
        <w:jc w:val="both"/>
        <w:rPr>
          <w:lang w:val="de-DE"/>
        </w:rPr>
      </w:pPr>
    </w:p>
    <w:p w14:paraId="6DD38B22" w14:textId="4DCEF187" w:rsidR="00BB71D9" w:rsidRPr="004676F5" w:rsidRDefault="00BB71D9" w:rsidP="00BB71D9">
      <w:pPr>
        <w:jc w:val="both"/>
        <w:rPr>
          <w:lang w:val="de-DE"/>
        </w:rPr>
      </w:pPr>
      <w:r w:rsidRPr="004676F5">
        <w:rPr>
          <w:lang w:val="de-DE"/>
        </w:rPr>
        <w:tab/>
        <w:t>§ 2 - Außergewöhnliche Aufschubgläubiger gelten nur für den tatsächlich gesicherten Teil ihrer Forderung als solche.]</w:t>
      </w:r>
    </w:p>
    <w:p w14:paraId="0EBE1F54" w14:textId="77777777" w:rsidR="00BB71D9" w:rsidRPr="004676F5" w:rsidRDefault="00BB71D9" w:rsidP="00BB71D9">
      <w:pPr>
        <w:jc w:val="both"/>
        <w:rPr>
          <w:lang w:val="de-DE"/>
        </w:rPr>
      </w:pPr>
    </w:p>
    <w:p w14:paraId="4C008B33" w14:textId="0FECC929" w:rsidR="00BB71D9" w:rsidRPr="004676F5" w:rsidRDefault="00BB71D9" w:rsidP="00BB71D9">
      <w:pPr>
        <w:jc w:val="both"/>
        <w:rPr>
          <w:i/>
          <w:lang w:val="de-DE"/>
        </w:rPr>
      </w:pPr>
      <w:r w:rsidRPr="004676F5">
        <w:rPr>
          <w:i/>
          <w:lang w:val="de-DE"/>
        </w:rPr>
        <w:t>[Art. XX.75/2 eingefügt durch Art. 108</w:t>
      </w:r>
      <w:r w:rsidRPr="004676F5">
        <w:rPr>
          <w:i/>
          <w:iCs/>
          <w:lang w:val="de-DE"/>
        </w:rPr>
        <w:t xml:space="preserve"> des G. vom 7. Juni 2023 (B.S. vom 7. Juli 2023)]</w:t>
      </w:r>
    </w:p>
    <w:p w14:paraId="44538A1A" w14:textId="77777777" w:rsidR="00BB71D9" w:rsidRPr="004676F5" w:rsidRDefault="00BB71D9" w:rsidP="00BB71D9">
      <w:pPr>
        <w:jc w:val="both"/>
        <w:rPr>
          <w:lang w:val="de-DE"/>
        </w:rPr>
      </w:pPr>
    </w:p>
    <w:p w14:paraId="678D8D83" w14:textId="77777777" w:rsidR="00BB71D9" w:rsidRPr="004676F5" w:rsidRDefault="00BB71D9" w:rsidP="00BB71D9">
      <w:pPr>
        <w:jc w:val="both"/>
        <w:rPr>
          <w:lang w:val="de-DE"/>
        </w:rPr>
      </w:pPr>
    </w:p>
    <w:p w14:paraId="4FF6B474" w14:textId="272F009C" w:rsidR="00BB71D9" w:rsidRPr="004676F5" w:rsidRDefault="00BB71D9" w:rsidP="00EC6EE4">
      <w:pPr>
        <w:jc w:val="center"/>
        <w:rPr>
          <w:lang w:val="de-DE"/>
        </w:rPr>
      </w:pPr>
      <w:r w:rsidRPr="004676F5">
        <w:rPr>
          <w:bCs/>
          <w:lang w:val="de-DE"/>
        </w:rPr>
        <w:t>[</w:t>
      </w:r>
      <w:r w:rsidRPr="004676F5">
        <w:rPr>
          <w:i/>
          <w:iCs/>
          <w:lang w:val="de-DE"/>
        </w:rPr>
        <w:t>Abschnitt 4</w:t>
      </w:r>
      <w:r w:rsidRPr="004676F5">
        <w:rPr>
          <w:lang w:val="de-DE"/>
        </w:rPr>
        <w:t> - Hinterlegung, Billigung und Bestätigung des Reorganisationsplans]</w:t>
      </w:r>
    </w:p>
    <w:p w14:paraId="4BDB6725" w14:textId="77777777" w:rsidR="00BB71D9" w:rsidRPr="004676F5" w:rsidRDefault="00BB71D9" w:rsidP="00BB71D9">
      <w:pPr>
        <w:jc w:val="both"/>
        <w:rPr>
          <w:lang w:val="de-DE"/>
        </w:rPr>
      </w:pPr>
    </w:p>
    <w:p w14:paraId="2CCD4D7F" w14:textId="36F9B8A8" w:rsidR="00EC6EE4" w:rsidRPr="004676F5" w:rsidRDefault="00EC6EE4" w:rsidP="00EC6EE4">
      <w:pPr>
        <w:jc w:val="both"/>
        <w:rPr>
          <w:i/>
          <w:iCs/>
          <w:lang w:val="de-DE"/>
        </w:rPr>
      </w:pPr>
      <w:r w:rsidRPr="004676F5">
        <w:rPr>
          <w:i/>
          <w:iCs/>
          <w:lang w:val="de-DE"/>
        </w:rPr>
        <w:t>[Unterteilung Abschnitt 4 eingefügt durch Art. 109 des G. vom 7. Juni 2023 (B.S. vom 7. Juli 2023)]</w:t>
      </w:r>
    </w:p>
    <w:p w14:paraId="0FD6A30A" w14:textId="77777777" w:rsidR="00BB71D9" w:rsidRPr="004676F5" w:rsidRDefault="00BB71D9" w:rsidP="00BB71D9">
      <w:pPr>
        <w:jc w:val="both"/>
        <w:rPr>
          <w:lang w:val="de-DE"/>
        </w:rPr>
      </w:pPr>
    </w:p>
    <w:p w14:paraId="6C10DF94" w14:textId="77777777" w:rsidR="00EC6EE4" w:rsidRPr="004676F5" w:rsidRDefault="00EC6EE4" w:rsidP="00BB71D9">
      <w:pPr>
        <w:jc w:val="both"/>
        <w:rPr>
          <w:lang w:val="de-DE"/>
        </w:rPr>
      </w:pPr>
    </w:p>
    <w:p w14:paraId="23A6E16D" w14:textId="018F3FC5" w:rsidR="00EE35E2" w:rsidRPr="004676F5" w:rsidRDefault="00BE0A56" w:rsidP="00EE35E2">
      <w:pPr>
        <w:ind w:firstLine="708"/>
        <w:jc w:val="both"/>
        <w:rPr>
          <w:lang w:val="de-DE"/>
        </w:rPr>
      </w:pPr>
      <w:r w:rsidRPr="004676F5">
        <w:rPr>
          <w:b/>
          <w:lang w:val="de-DE"/>
        </w:rPr>
        <w:t>Art. </w:t>
      </w:r>
      <w:r w:rsidR="00EE35E2" w:rsidRPr="004676F5">
        <w:rPr>
          <w:b/>
          <w:lang w:val="de-DE"/>
        </w:rPr>
        <w:t>XX.76</w:t>
      </w:r>
      <w:r w:rsidR="00EE35E2" w:rsidRPr="004676F5">
        <w:rPr>
          <w:lang w:val="de-DE"/>
        </w:rPr>
        <w:t> </w:t>
      </w:r>
      <w:r w:rsidR="005B7A5C" w:rsidRPr="004676F5">
        <w:rPr>
          <w:lang w:val="de-DE"/>
        </w:rPr>
        <w:t>- </w:t>
      </w:r>
      <w:r w:rsidR="00EE35E2" w:rsidRPr="004676F5">
        <w:rPr>
          <w:lang w:val="de-DE"/>
        </w:rPr>
        <w:t>Die Frist für die Ausführung des Plans darf fünf Jahre ab seiner Homologierung nicht überschreiten.</w:t>
      </w:r>
    </w:p>
    <w:p w14:paraId="5422CFD0" w14:textId="77777777" w:rsidR="00EE35E2" w:rsidRPr="004676F5" w:rsidRDefault="00EE35E2" w:rsidP="00EE35E2">
      <w:pPr>
        <w:ind w:firstLine="708"/>
        <w:jc w:val="both"/>
        <w:rPr>
          <w:lang w:val="de-DE"/>
        </w:rPr>
      </w:pPr>
    </w:p>
    <w:p w14:paraId="568B5343" w14:textId="77777777" w:rsidR="00D11212" w:rsidRPr="004676F5" w:rsidRDefault="00D11212" w:rsidP="00EE35E2">
      <w:pPr>
        <w:ind w:firstLine="708"/>
        <w:jc w:val="both"/>
        <w:rPr>
          <w:lang w:val="de-DE"/>
        </w:rPr>
      </w:pPr>
    </w:p>
    <w:p w14:paraId="2D64A5C6" w14:textId="77777777" w:rsidR="00EC6EE4" w:rsidRPr="004676F5" w:rsidRDefault="00BE0A56" w:rsidP="00EC6EE4">
      <w:pPr>
        <w:ind w:firstLine="708"/>
        <w:jc w:val="both"/>
        <w:rPr>
          <w:lang w:val="de-DE"/>
        </w:rPr>
      </w:pPr>
      <w:r w:rsidRPr="004676F5">
        <w:rPr>
          <w:b/>
          <w:lang w:val="de-DE"/>
        </w:rPr>
        <w:t>Art. </w:t>
      </w:r>
      <w:r w:rsidR="00EE35E2" w:rsidRPr="004676F5">
        <w:rPr>
          <w:b/>
          <w:lang w:val="de-DE"/>
        </w:rPr>
        <w:t>XX.77</w:t>
      </w:r>
      <w:r w:rsidR="00EE35E2" w:rsidRPr="004676F5">
        <w:rPr>
          <w:lang w:val="de-DE"/>
        </w:rPr>
        <w:t> </w:t>
      </w:r>
      <w:r w:rsidR="005B7A5C" w:rsidRPr="004676F5">
        <w:rPr>
          <w:lang w:val="de-DE"/>
        </w:rPr>
        <w:t>- </w:t>
      </w:r>
      <w:r w:rsidR="00EC6EE4" w:rsidRPr="004676F5">
        <w:rPr>
          <w:lang w:val="de-DE"/>
        </w:rPr>
        <w:t>[§ 1 - Der Schuldner, der vorläufige Verwalter oder der Reorganisations</w:t>
      </w:r>
      <w:r w:rsidR="00EC6EE4" w:rsidRPr="004676F5">
        <w:rPr>
          <w:lang w:val="de-DE"/>
        </w:rPr>
        <w:softHyphen/>
        <w:t>bearbeiter hinterlegt mindestens zwanzig Tage vor der Sitzung, die in dem in Artikel XX.48 erwähnten Urteil anberaumt ist, den Reorganisationsplan im Register.</w:t>
      </w:r>
    </w:p>
    <w:p w14:paraId="09386311" w14:textId="77777777" w:rsidR="00EC6EE4" w:rsidRPr="004676F5" w:rsidRDefault="00EC6EE4" w:rsidP="00EC6EE4">
      <w:pPr>
        <w:jc w:val="both"/>
        <w:rPr>
          <w:lang w:val="de-DE"/>
        </w:rPr>
      </w:pPr>
    </w:p>
    <w:p w14:paraId="533D3740" w14:textId="77777777" w:rsidR="00EC6EE4" w:rsidRPr="004676F5" w:rsidRDefault="00EC6EE4" w:rsidP="00EC6EE4">
      <w:pPr>
        <w:jc w:val="both"/>
        <w:rPr>
          <w:lang w:val="de-DE"/>
        </w:rPr>
      </w:pPr>
      <w:r w:rsidRPr="004676F5">
        <w:rPr>
          <w:lang w:val="de-DE"/>
        </w:rPr>
        <w:tab/>
        <w:t>Der Schuldner, der vorläufige Verwalter oder der Reorganisationsbearbeiter hinterlegt die Liste der Aufschubgläubiger, gegebenenfalls geändert entweder in Anwendung von Artikel XX.49 oder XX.68 - unter Angabe der laufenden Forderungsanfechtungen - oder aufgrund etwaiger in Anwendung von Artikel XX.53 Absatz 1 vorgenommener Zahlungen.</w:t>
      </w:r>
    </w:p>
    <w:p w14:paraId="6E7D754D" w14:textId="77777777" w:rsidR="00EC6EE4" w:rsidRPr="004676F5" w:rsidRDefault="00EC6EE4" w:rsidP="00EC6EE4">
      <w:pPr>
        <w:jc w:val="both"/>
        <w:rPr>
          <w:lang w:val="de-DE"/>
        </w:rPr>
      </w:pPr>
    </w:p>
    <w:p w14:paraId="5E0A101E" w14:textId="77777777" w:rsidR="00EC6EE4" w:rsidRPr="004676F5" w:rsidRDefault="00EC6EE4" w:rsidP="00EC6EE4">
      <w:pPr>
        <w:jc w:val="both"/>
        <w:rPr>
          <w:lang w:val="de-DE"/>
        </w:rPr>
      </w:pPr>
      <w:r w:rsidRPr="004676F5">
        <w:rPr>
          <w:lang w:val="de-DE"/>
        </w:rPr>
        <w:tab/>
        <w:t>§ 2 - Der Reorganisationsbearbeiter kann den Plan nicht ohne die Zustimmung des Schuldners hinterlegen; der Schuldner darf seine Zustimmung nicht ohne angemessenen Grund verweigern. Ist der Schuldner eine juristische Person, dürfen sich die Leiter nicht in unangemessener Weise der Hinterlegung des Plans widersetzen. Auf Antrag des Reorganisationsbearbeiters kann das Gericht entscheiden, dass der Schuldner oder die Leiter ihre Zustimmung in unangemessener Weise verweigert haben, und die Hinterlegung des Plans erlauben.</w:t>
      </w:r>
    </w:p>
    <w:p w14:paraId="4319468F" w14:textId="77777777" w:rsidR="00EC6EE4" w:rsidRPr="004676F5" w:rsidRDefault="00EC6EE4" w:rsidP="00EC6EE4">
      <w:pPr>
        <w:jc w:val="both"/>
        <w:rPr>
          <w:lang w:val="de-DE"/>
        </w:rPr>
      </w:pPr>
    </w:p>
    <w:p w14:paraId="3BB4B8DC" w14:textId="77777777" w:rsidR="00EC6EE4" w:rsidRPr="004676F5" w:rsidRDefault="00EC6EE4" w:rsidP="00EC6EE4">
      <w:pPr>
        <w:jc w:val="both"/>
        <w:rPr>
          <w:lang w:val="de-DE"/>
        </w:rPr>
      </w:pPr>
      <w:r w:rsidRPr="004676F5">
        <w:rPr>
          <w:lang w:val="de-DE"/>
        </w:rPr>
        <w:tab/>
        <w:t>§ 3 - Der Schuldner darf den Plan erst hinterlegen, nachdem der beauftragte Richter überprüft hat, ob der Plan die in vorliegendem Titel vorgeschriebenen Formvorschriften erfüllt.</w:t>
      </w:r>
    </w:p>
    <w:p w14:paraId="1F24B2C1" w14:textId="77777777" w:rsidR="00EC6EE4" w:rsidRPr="004676F5" w:rsidRDefault="00EC6EE4" w:rsidP="00EC6EE4">
      <w:pPr>
        <w:jc w:val="both"/>
        <w:rPr>
          <w:lang w:val="de-DE"/>
        </w:rPr>
      </w:pPr>
    </w:p>
    <w:p w14:paraId="5DEA5FFE" w14:textId="77777777" w:rsidR="00EC6EE4" w:rsidRPr="004676F5" w:rsidRDefault="00EC6EE4" w:rsidP="00EC6EE4">
      <w:pPr>
        <w:jc w:val="both"/>
        <w:rPr>
          <w:lang w:val="de-DE"/>
        </w:rPr>
      </w:pPr>
      <w:r w:rsidRPr="004676F5">
        <w:rPr>
          <w:lang w:val="de-DE"/>
        </w:rPr>
        <w:tab/>
        <w:t>§ 4 - Sobald der Plan im Register hinterlegt ist, entscheidet das Gericht gegebenenfalls nach Bericht des beauftragten Richters über die Modalitäten der Fernversammlung.</w:t>
      </w:r>
    </w:p>
    <w:p w14:paraId="037170DD" w14:textId="77777777" w:rsidR="00EC6EE4" w:rsidRPr="004676F5" w:rsidRDefault="00EC6EE4" w:rsidP="00EC6EE4">
      <w:pPr>
        <w:jc w:val="both"/>
        <w:rPr>
          <w:lang w:val="de-DE"/>
        </w:rPr>
      </w:pPr>
    </w:p>
    <w:p w14:paraId="32037CBE" w14:textId="77777777" w:rsidR="00EC6EE4" w:rsidRPr="004676F5" w:rsidRDefault="00EC6EE4" w:rsidP="00EC6EE4">
      <w:pPr>
        <w:jc w:val="both"/>
        <w:rPr>
          <w:lang w:val="de-DE"/>
        </w:rPr>
      </w:pPr>
      <w:r w:rsidRPr="004676F5">
        <w:rPr>
          <w:lang w:val="de-DE"/>
        </w:rPr>
        <w:tab/>
        <w:t>§ 5 - Sobald der Plan im Register hinterlegt ist, notifiziert der Greffier dem Schuldner, den Aufschubgläubigern, die auf der Liste der Gläubiger angegeben sind, und gegebenenfalls den Anteilsinhabern, die in der Liste aufgenommen sind, eine Mitteilung mit dem Vermerk:</w:t>
      </w:r>
    </w:p>
    <w:p w14:paraId="4AD5502D" w14:textId="77777777" w:rsidR="00EC6EE4" w:rsidRPr="004676F5" w:rsidRDefault="00EC6EE4" w:rsidP="00EC6EE4">
      <w:pPr>
        <w:jc w:val="both"/>
        <w:rPr>
          <w:lang w:val="de-DE"/>
        </w:rPr>
      </w:pPr>
    </w:p>
    <w:p w14:paraId="7471AF4D" w14:textId="77777777" w:rsidR="00EC6EE4" w:rsidRPr="004676F5" w:rsidRDefault="00EC6EE4" w:rsidP="00EC6EE4">
      <w:pPr>
        <w:jc w:val="both"/>
        <w:rPr>
          <w:lang w:val="de-DE"/>
        </w:rPr>
      </w:pPr>
      <w:r w:rsidRPr="004676F5">
        <w:rPr>
          <w:lang w:val="de-DE"/>
        </w:rPr>
        <w:tab/>
        <w:t>- dass dieser Plan untersucht wird und dass sie ihn im Register einsehen können,</w:t>
      </w:r>
    </w:p>
    <w:p w14:paraId="485F1ED3" w14:textId="77777777" w:rsidR="00EC6EE4" w:rsidRPr="004676F5" w:rsidRDefault="00EC6EE4" w:rsidP="00EC6EE4">
      <w:pPr>
        <w:jc w:val="both"/>
        <w:rPr>
          <w:lang w:val="de-DE"/>
        </w:rPr>
      </w:pPr>
    </w:p>
    <w:p w14:paraId="042E5641" w14:textId="77777777" w:rsidR="00EC6EE4" w:rsidRPr="004676F5" w:rsidRDefault="00EC6EE4" w:rsidP="00EC6EE4">
      <w:pPr>
        <w:jc w:val="both"/>
        <w:rPr>
          <w:lang w:val="de-DE"/>
        </w:rPr>
      </w:pPr>
      <w:r w:rsidRPr="004676F5">
        <w:rPr>
          <w:lang w:val="de-DE"/>
        </w:rPr>
        <w:lastRenderedPageBreak/>
        <w:tab/>
        <w:t>- von Ort, Tag und Uhrzeit der Sitzung, bei der über diesen Plan abgestimmt wird und die mindestens fünfzehn Tage nach dieser Mitteilung stattfinden wird, und gegebenenfalls dem Hinweis, dass unter bestimmten Bedingungen eine Fernstimmabgabe zulässig ist und dass der Gläubiger und gegebenenfalls der Anteilsinhaber seine Stimme spätestens zu Beginn der Sitzung abgeben kann,</w:t>
      </w:r>
    </w:p>
    <w:p w14:paraId="00AFA7AD" w14:textId="77777777" w:rsidR="00EC6EE4" w:rsidRPr="004676F5" w:rsidRDefault="00EC6EE4" w:rsidP="00EC6EE4">
      <w:pPr>
        <w:jc w:val="both"/>
        <w:rPr>
          <w:lang w:val="de-DE"/>
        </w:rPr>
      </w:pPr>
    </w:p>
    <w:p w14:paraId="6DC043D4" w14:textId="77777777" w:rsidR="00EC6EE4" w:rsidRPr="004676F5" w:rsidRDefault="00EC6EE4" w:rsidP="00EC6EE4">
      <w:pPr>
        <w:jc w:val="both"/>
        <w:rPr>
          <w:lang w:val="de-DE"/>
        </w:rPr>
      </w:pPr>
      <w:r w:rsidRPr="004676F5">
        <w:rPr>
          <w:lang w:val="de-DE"/>
        </w:rPr>
        <w:tab/>
        <w:t>- dass sie in der Sitzung ihre Anmerkungen zu dem vorgeschlagenen Plan entweder schriftlich oder mündlich geltend machen können,</w:t>
      </w:r>
    </w:p>
    <w:p w14:paraId="03F70DC3" w14:textId="77777777" w:rsidR="00EC6EE4" w:rsidRPr="004676F5" w:rsidRDefault="00EC6EE4" w:rsidP="00EC6EE4">
      <w:pPr>
        <w:jc w:val="both"/>
        <w:rPr>
          <w:lang w:val="de-DE"/>
        </w:rPr>
      </w:pPr>
    </w:p>
    <w:p w14:paraId="37D7A684" w14:textId="77777777" w:rsidR="00EC6EE4" w:rsidRPr="004676F5" w:rsidRDefault="00EC6EE4" w:rsidP="00EC6EE4">
      <w:pPr>
        <w:jc w:val="both"/>
        <w:rPr>
          <w:lang w:val="de-DE"/>
        </w:rPr>
      </w:pPr>
      <w:r w:rsidRPr="004676F5">
        <w:rPr>
          <w:lang w:val="de-DE"/>
        </w:rPr>
        <w:tab/>
        <w:t>- dass nur Aufschubgläubiger und gegebenenfalls Anteilsinhaber, auf deren Rechte der Plan sich auswirkt, an der Abstimmung teilnehmen können.</w:t>
      </w:r>
    </w:p>
    <w:p w14:paraId="671BE407" w14:textId="77777777" w:rsidR="00EC6EE4" w:rsidRPr="004676F5" w:rsidRDefault="00EC6EE4" w:rsidP="00EC6EE4">
      <w:pPr>
        <w:jc w:val="both"/>
        <w:rPr>
          <w:lang w:val="de-DE"/>
        </w:rPr>
      </w:pPr>
    </w:p>
    <w:p w14:paraId="3407C4B9" w14:textId="77777777" w:rsidR="00EC6EE4" w:rsidRPr="004676F5" w:rsidRDefault="00EC6EE4" w:rsidP="00EC6EE4">
      <w:pPr>
        <w:jc w:val="both"/>
        <w:rPr>
          <w:lang w:val="de-DE"/>
        </w:rPr>
      </w:pPr>
      <w:r w:rsidRPr="004676F5">
        <w:rPr>
          <w:lang w:val="de-DE"/>
        </w:rPr>
        <w:tab/>
        <w:t>§ 6 - Der beauftragte Richter kann entscheiden, dass Mitschuldner, Bürgen und andere Personen, die persönliche Sicherheiten geleistet haben, diese Mitteilung ebenfalls erhalten und auf dieselbe Art und Weise ihre Anmerkungen geltend machen können.</w:t>
      </w:r>
    </w:p>
    <w:p w14:paraId="2912C16E" w14:textId="77777777" w:rsidR="00EC6EE4" w:rsidRPr="004676F5" w:rsidRDefault="00EC6EE4" w:rsidP="00EC6EE4">
      <w:pPr>
        <w:jc w:val="both"/>
        <w:rPr>
          <w:lang w:val="de-DE"/>
        </w:rPr>
      </w:pPr>
    </w:p>
    <w:p w14:paraId="4F9352BB" w14:textId="77777777" w:rsidR="00EC6EE4" w:rsidRPr="004676F5" w:rsidRDefault="00EC6EE4" w:rsidP="00EC6EE4">
      <w:pPr>
        <w:jc w:val="both"/>
        <w:rPr>
          <w:lang w:val="de-DE"/>
        </w:rPr>
      </w:pPr>
      <w:r w:rsidRPr="004676F5">
        <w:rPr>
          <w:lang w:val="de-DE"/>
        </w:rPr>
        <w:tab/>
        <w:t>§ 7 - Der Schuldner, der vorläufige Verwalter oder der Reorganisationsbearbeiter informiert die in Artikel XX.74/1 Absatz 3 erwähnten Vertreter der Arbeitnehmer über den Inhalt dieses Plans, einschließlich der außerordentlichen Aufschubgläubiger, deren Rechte in Anwendung von Artikel XX.76 geändert worden sind.</w:t>
      </w:r>
    </w:p>
    <w:p w14:paraId="61D9AB7F" w14:textId="77777777" w:rsidR="00EC6EE4" w:rsidRPr="004676F5" w:rsidRDefault="00EC6EE4" w:rsidP="00EC6EE4">
      <w:pPr>
        <w:jc w:val="both"/>
        <w:rPr>
          <w:lang w:val="de-DE"/>
        </w:rPr>
      </w:pPr>
    </w:p>
    <w:p w14:paraId="2050505A" w14:textId="551630AA" w:rsidR="00EE35E2" w:rsidRPr="004676F5" w:rsidRDefault="00EC6EE4" w:rsidP="00EC6EE4">
      <w:pPr>
        <w:ind w:firstLine="708"/>
        <w:jc w:val="both"/>
        <w:rPr>
          <w:lang w:val="de-DE"/>
        </w:rPr>
      </w:pPr>
      <w:r w:rsidRPr="004676F5">
        <w:rPr>
          <w:lang w:val="de-DE"/>
        </w:rPr>
        <w:t>§ 8 - Ist Fernabstimmabgabe erlaubt, muss das Gericht Identität und Eigenschaft des Gläubigers überprüfen können. Die in § 5 erwähnte Mitteilung enthält eine genaue Beschreibung der Verfahren für die Fernstimmabgabe.]</w:t>
      </w:r>
    </w:p>
    <w:p w14:paraId="44273FDF" w14:textId="77777777" w:rsidR="00EE35E2" w:rsidRPr="004676F5" w:rsidRDefault="00EE35E2" w:rsidP="00EC6EE4">
      <w:pPr>
        <w:jc w:val="both"/>
        <w:rPr>
          <w:lang w:val="de-DE"/>
        </w:rPr>
      </w:pPr>
    </w:p>
    <w:p w14:paraId="29363B08" w14:textId="36F1B48C" w:rsidR="00EC6EE4" w:rsidRPr="004676F5" w:rsidRDefault="00EC6EE4" w:rsidP="00EC6EE4">
      <w:pPr>
        <w:jc w:val="both"/>
        <w:rPr>
          <w:i/>
          <w:iCs/>
          <w:lang w:val="de-DE"/>
        </w:rPr>
      </w:pPr>
      <w:r w:rsidRPr="004676F5">
        <w:rPr>
          <w:i/>
          <w:iCs/>
          <w:lang w:val="de-DE"/>
        </w:rPr>
        <w:t>[Art. XX.77 ersetzt durch Art. 110 des G. vom 7. Juni 2023 (B.S. vom 7. Juli 2023)]</w:t>
      </w:r>
    </w:p>
    <w:p w14:paraId="59BA090F" w14:textId="77777777" w:rsidR="00EC6EE4" w:rsidRPr="004676F5" w:rsidRDefault="00EC6EE4" w:rsidP="00EC6EE4">
      <w:pPr>
        <w:jc w:val="both"/>
        <w:rPr>
          <w:i/>
          <w:iCs/>
          <w:lang w:val="de-DE"/>
        </w:rPr>
      </w:pPr>
    </w:p>
    <w:p w14:paraId="30CA35AD" w14:textId="77777777" w:rsidR="00D11212" w:rsidRPr="004676F5" w:rsidRDefault="00D11212" w:rsidP="00EE35E2">
      <w:pPr>
        <w:ind w:firstLine="708"/>
        <w:jc w:val="both"/>
        <w:rPr>
          <w:lang w:val="de-DE"/>
        </w:rPr>
      </w:pPr>
    </w:p>
    <w:p w14:paraId="381BC7CB" w14:textId="77777777" w:rsidR="00EC6EE4" w:rsidRPr="004676F5" w:rsidRDefault="00BE0A56" w:rsidP="00EC6EE4">
      <w:pPr>
        <w:ind w:firstLine="708"/>
        <w:jc w:val="both"/>
        <w:rPr>
          <w:lang w:val="de-DE"/>
        </w:rPr>
      </w:pPr>
      <w:r w:rsidRPr="004676F5">
        <w:rPr>
          <w:b/>
          <w:lang w:val="de-DE"/>
        </w:rPr>
        <w:t>Art. </w:t>
      </w:r>
      <w:r w:rsidR="00EE35E2" w:rsidRPr="004676F5">
        <w:rPr>
          <w:b/>
          <w:lang w:val="de-DE"/>
        </w:rPr>
        <w:t>XX.78</w:t>
      </w:r>
      <w:r w:rsidR="00EE35E2" w:rsidRPr="004676F5">
        <w:rPr>
          <w:lang w:val="de-DE"/>
        </w:rPr>
        <w:t> </w:t>
      </w:r>
      <w:r w:rsidR="005B7A5C" w:rsidRPr="004676F5">
        <w:rPr>
          <w:lang w:val="de-DE"/>
        </w:rPr>
        <w:t>- </w:t>
      </w:r>
      <w:r w:rsidR="00EC6EE4" w:rsidRPr="004676F5">
        <w:rPr>
          <w:lang w:val="de-DE"/>
        </w:rPr>
        <w:t>[§ 1 - An dem Tag, der den Gläubigern und dem Schuldner gemäß Artikel XX.77 mitgeteilt worden ist, hört das Gericht den Bericht des beauftragten Richters, den dieser mindestens zwei Werktage vorher im Register hinterlegt hat, und die Gründe des Schuldners und der Gläubiger an.</w:t>
      </w:r>
    </w:p>
    <w:p w14:paraId="1CCC88F2" w14:textId="77777777" w:rsidR="00EC6EE4" w:rsidRPr="004676F5" w:rsidRDefault="00EC6EE4" w:rsidP="00EC6EE4">
      <w:pPr>
        <w:jc w:val="both"/>
        <w:rPr>
          <w:lang w:val="de-DE"/>
        </w:rPr>
      </w:pPr>
    </w:p>
    <w:p w14:paraId="6DAE695A" w14:textId="77777777" w:rsidR="00EC6EE4" w:rsidRPr="004676F5" w:rsidRDefault="00EC6EE4" w:rsidP="00EC6EE4">
      <w:pPr>
        <w:jc w:val="both"/>
        <w:rPr>
          <w:lang w:val="de-DE"/>
        </w:rPr>
      </w:pPr>
      <w:r w:rsidRPr="004676F5">
        <w:rPr>
          <w:lang w:val="de-DE"/>
        </w:rPr>
        <w:tab/>
        <w:t>Die Abstimmung über den Plan findet in einer Sitzung statt, zu der die Gläubiger und der Schuldner vorgeladen werden.</w:t>
      </w:r>
    </w:p>
    <w:p w14:paraId="570C9FCC" w14:textId="77777777" w:rsidR="00EC6EE4" w:rsidRPr="004676F5" w:rsidRDefault="00EC6EE4" w:rsidP="00EC6EE4">
      <w:pPr>
        <w:jc w:val="both"/>
        <w:rPr>
          <w:lang w:val="de-DE"/>
        </w:rPr>
      </w:pPr>
    </w:p>
    <w:p w14:paraId="16D3B265" w14:textId="7A49B130" w:rsidR="00EE35E2" w:rsidRPr="004676F5" w:rsidRDefault="00EC6EE4" w:rsidP="00EC6EE4">
      <w:pPr>
        <w:ind w:firstLine="708"/>
        <w:jc w:val="both"/>
        <w:rPr>
          <w:lang w:val="de-DE"/>
        </w:rPr>
      </w:pPr>
      <w:r w:rsidRPr="004676F5">
        <w:rPr>
          <w:lang w:val="de-DE"/>
        </w:rPr>
        <w:t>§ 2 - Ein Gläubiger, der von der Möglichkeit der Fernstimmabgabe Gebrauch gemacht hat, kann dennoch an der Sitzung teilnehmen und dort seine Stimmabgabe ändern.]</w:t>
      </w:r>
    </w:p>
    <w:p w14:paraId="526F881C" w14:textId="77777777" w:rsidR="00EE35E2" w:rsidRPr="004676F5" w:rsidRDefault="00EE35E2" w:rsidP="00EC6EE4">
      <w:pPr>
        <w:jc w:val="both"/>
        <w:rPr>
          <w:lang w:val="de-DE"/>
        </w:rPr>
      </w:pPr>
    </w:p>
    <w:p w14:paraId="38E3F4A8" w14:textId="561A17A9" w:rsidR="00EC6EE4" w:rsidRPr="004676F5" w:rsidRDefault="00EC6EE4" w:rsidP="00EC6EE4">
      <w:pPr>
        <w:jc w:val="both"/>
        <w:rPr>
          <w:i/>
          <w:iCs/>
          <w:lang w:val="de-DE"/>
        </w:rPr>
      </w:pPr>
      <w:r w:rsidRPr="004676F5">
        <w:rPr>
          <w:i/>
          <w:iCs/>
          <w:lang w:val="de-DE"/>
        </w:rPr>
        <w:t>[Art. XX.78 ersetzt durch Art. 111 des G. vom 7. Juni 2023 (B.S. vom 7. Juli 2023)]</w:t>
      </w:r>
    </w:p>
    <w:p w14:paraId="6B612A4A" w14:textId="77777777" w:rsidR="00EC6EE4" w:rsidRPr="004676F5" w:rsidRDefault="00EC6EE4" w:rsidP="00EC6EE4">
      <w:pPr>
        <w:jc w:val="both"/>
        <w:rPr>
          <w:lang w:val="de-DE"/>
        </w:rPr>
      </w:pPr>
    </w:p>
    <w:p w14:paraId="2810C35E" w14:textId="77777777" w:rsidR="00EC6EE4" w:rsidRPr="004676F5" w:rsidRDefault="00EC6EE4" w:rsidP="00EC6EE4">
      <w:pPr>
        <w:jc w:val="both"/>
        <w:rPr>
          <w:lang w:val="de-DE"/>
        </w:rPr>
      </w:pPr>
    </w:p>
    <w:p w14:paraId="7E4908B0" w14:textId="77777777" w:rsidR="00EC6EE4" w:rsidRPr="004676F5" w:rsidRDefault="00EC6EE4" w:rsidP="00EC6EE4">
      <w:pPr>
        <w:jc w:val="both"/>
        <w:rPr>
          <w:lang w:val="de-DE"/>
        </w:rPr>
      </w:pPr>
      <w:r w:rsidRPr="004676F5">
        <w:rPr>
          <w:lang w:val="de-DE"/>
        </w:rPr>
        <w:tab/>
        <w:t>[</w:t>
      </w:r>
      <w:r w:rsidRPr="004676F5">
        <w:rPr>
          <w:b/>
          <w:bCs/>
          <w:lang w:val="de-DE"/>
        </w:rPr>
        <w:t>Art. XX.78/1</w:t>
      </w:r>
      <w:r w:rsidRPr="004676F5">
        <w:rPr>
          <w:lang w:val="de-DE"/>
        </w:rPr>
        <w:t> - Gläubiger können an der Abstimmung persönlich, über eine im Register hinterlegte schriftliche Vollmacht oder durch ihren Rechtsanwalt, der keiner Sondervollmacht bedarf, teilnehmen.</w:t>
      </w:r>
    </w:p>
    <w:p w14:paraId="52DF3ED9" w14:textId="77777777" w:rsidR="00EC6EE4" w:rsidRPr="004676F5" w:rsidRDefault="00EC6EE4" w:rsidP="00EC6EE4">
      <w:pPr>
        <w:jc w:val="both"/>
        <w:rPr>
          <w:lang w:val="de-DE"/>
        </w:rPr>
      </w:pPr>
    </w:p>
    <w:p w14:paraId="597AEEDC" w14:textId="45A3C531" w:rsidR="00EC6EE4" w:rsidRPr="004676F5" w:rsidRDefault="00EC6EE4" w:rsidP="00EC6EE4">
      <w:pPr>
        <w:jc w:val="both"/>
        <w:rPr>
          <w:lang w:val="de-DE"/>
        </w:rPr>
      </w:pPr>
      <w:r w:rsidRPr="004676F5">
        <w:rPr>
          <w:lang w:val="de-DE"/>
        </w:rPr>
        <w:tab/>
        <w:t>Die schriftliche Vollmacht muss mindestens zwei Werktage vor der Sitzung, die in dem in Artikel XX.46 erwähnten Urteil anberaumt wird, im Register hinterlegt werden.]</w:t>
      </w:r>
    </w:p>
    <w:p w14:paraId="02B95464" w14:textId="77777777" w:rsidR="00EC6EE4" w:rsidRPr="004676F5" w:rsidRDefault="00EC6EE4" w:rsidP="00EC6EE4">
      <w:pPr>
        <w:jc w:val="both"/>
        <w:rPr>
          <w:lang w:val="de-DE"/>
        </w:rPr>
      </w:pPr>
    </w:p>
    <w:p w14:paraId="7B9B5241" w14:textId="13484FE4" w:rsidR="00EC6EE4" w:rsidRPr="004676F5" w:rsidRDefault="00EC6EE4" w:rsidP="00EC6EE4">
      <w:pPr>
        <w:jc w:val="both"/>
        <w:rPr>
          <w:i/>
          <w:lang w:val="de-DE"/>
        </w:rPr>
      </w:pPr>
      <w:r w:rsidRPr="004676F5">
        <w:rPr>
          <w:i/>
          <w:lang w:val="de-DE"/>
        </w:rPr>
        <w:t>[Art. XX.78/1 eingefügt durch Art. 112</w:t>
      </w:r>
      <w:r w:rsidRPr="004676F5">
        <w:rPr>
          <w:i/>
          <w:iCs/>
          <w:lang w:val="de-DE"/>
        </w:rPr>
        <w:t xml:space="preserve"> des G. vom 7. Juni 2023 (B.S. vom 7. Juli 2023)]</w:t>
      </w:r>
    </w:p>
    <w:p w14:paraId="5C2A5A91" w14:textId="77777777" w:rsidR="00EC6EE4" w:rsidRPr="004676F5" w:rsidRDefault="00EC6EE4" w:rsidP="00EC6EE4">
      <w:pPr>
        <w:jc w:val="both"/>
        <w:rPr>
          <w:lang w:val="de-DE"/>
        </w:rPr>
      </w:pPr>
    </w:p>
    <w:p w14:paraId="5FE1550D" w14:textId="77777777" w:rsidR="00EC6EE4" w:rsidRPr="004676F5" w:rsidRDefault="00EC6EE4" w:rsidP="00EC6EE4">
      <w:pPr>
        <w:jc w:val="both"/>
        <w:rPr>
          <w:lang w:val="de-DE"/>
        </w:rPr>
      </w:pPr>
    </w:p>
    <w:p w14:paraId="034B8385" w14:textId="67CA47E5" w:rsidR="00EC6EE4" w:rsidRPr="004676F5" w:rsidRDefault="00EC6EE4" w:rsidP="00EC6EE4">
      <w:pPr>
        <w:jc w:val="both"/>
        <w:rPr>
          <w:lang w:val="de-DE"/>
        </w:rPr>
      </w:pPr>
      <w:r w:rsidRPr="004676F5">
        <w:rPr>
          <w:lang w:val="de-DE"/>
        </w:rPr>
        <w:tab/>
        <w:t>[</w:t>
      </w:r>
      <w:r w:rsidRPr="004676F5">
        <w:rPr>
          <w:b/>
          <w:bCs/>
          <w:lang w:val="de-DE"/>
        </w:rPr>
        <w:t>Art. XX.78/2</w:t>
      </w:r>
      <w:r w:rsidRPr="004676F5">
        <w:rPr>
          <w:lang w:val="de-DE"/>
        </w:rPr>
        <w:t> - Der Reorganisationsplan gilt als von den Gläubigern gebilligt, wenn bei der Abstimmung die Mehrheit von ihnen, die mit ihren Forderungen zumindest die Hälfte aller als Hauptsumme und Zinsen geschuldeten Beträge vertreten, dafür stimmt.</w:t>
      </w:r>
    </w:p>
    <w:p w14:paraId="0301320D" w14:textId="77777777" w:rsidR="00EC6EE4" w:rsidRPr="004676F5" w:rsidRDefault="00EC6EE4" w:rsidP="00EC6EE4">
      <w:pPr>
        <w:jc w:val="both"/>
        <w:rPr>
          <w:lang w:val="de-DE"/>
        </w:rPr>
      </w:pPr>
    </w:p>
    <w:p w14:paraId="5FE9E10F" w14:textId="77777777" w:rsidR="00EC6EE4" w:rsidRPr="004676F5" w:rsidRDefault="00EC6EE4" w:rsidP="00EC6EE4">
      <w:pPr>
        <w:jc w:val="both"/>
        <w:rPr>
          <w:lang w:val="de-DE"/>
        </w:rPr>
      </w:pPr>
      <w:r w:rsidRPr="004676F5">
        <w:rPr>
          <w:lang w:val="de-DE"/>
        </w:rPr>
        <w:tab/>
        <w:t>Für die Berechnung der Mehrheiten werden Gläubiger und geschuldete Beträge berücksichtigt, die in der vom Schuldner gemäß Artikel XX.77 hinterlegten Liste der Gläubiger aufgenommen sind, und Gläubiger, deren Forderungen in Anwendung der Artikel XX.68 und XX.69 im Nachhinein vorläufig zugelassen worden sind.</w:t>
      </w:r>
    </w:p>
    <w:p w14:paraId="2A6BE01A" w14:textId="77777777" w:rsidR="00EC6EE4" w:rsidRPr="004676F5" w:rsidRDefault="00EC6EE4" w:rsidP="00EC6EE4">
      <w:pPr>
        <w:jc w:val="both"/>
        <w:rPr>
          <w:lang w:val="de-DE"/>
        </w:rPr>
      </w:pPr>
    </w:p>
    <w:p w14:paraId="44D7F21E" w14:textId="004C96AD" w:rsidR="00EC6EE4" w:rsidRPr="004676F5" w:rsidRDefault="00EC6EE4" w:rsidP="00EC6EE4">
      <w:pPr>
        <w:jc w:val="both"/>
        <w:rPr>
          <w:lang w:val="de-DE"/>
        </w:rPr>
      </w:pPr>
      <w:r w:rsidRPr="004676F5">
        <w:rPr>
          <w:lang w:val="de-DE"/>
        </w:rPr>
        <w:tab/>
        <w:t>Gläubiger, die nicht an der Abstimmung teilgenommen haben, und ihre Forderungen werden bei der Berechnung der Mehrheiten nicht berücksichtigt. Der Gläubiger oder Anteilsinhaber ist durch die Abstimmung gebunden, selbst wenn er nicht an der Abstimmung teilnimmt.]</w:t>
      </w:r>
    </w:p>
    <w:p w14:paraId="6550E15B" w14:textId="77777777" w:rsidR="00EC6EE4" w:rsidRPr="004676F5" w:rsidRDefault="00EC6EE4" w:rsidP="00EC6EE4">
      <w:pPr>
        <w:jc w:val="both"/>
        <w:rPr>
          <w:lang w:val="de-DE"/>
        </w:rPr>
      </w:pPr>
    </w:p>
    <w:p w14:paraId="77EC759D" w14:textId="0055CE3C" w:rsidR="00EC6EE4" w:rsidRPr="004676F5" w:rsidRDefault="00EC6EE4" w:rsidP="00EC6EE4">
      <w:pPr>
        <w:jc w:val="both"/>
        <w:rPr>
          <w:i/>
          <w:lang w:val="de-DE"/>
        </w:rPr>
      </w:pPr>
      <w:r w:rsidRPr="004676F5">
        <w:rPr>
          <w:i/>
          <w:lang w:val="de-DE"/>
        </w:rPr>
        <w:t>[Art. XX.78/2 eingefügt durch Art. 113</w:t>
      </w:r>
      <w:r w:rsidRPr="004676F5">
        <w:rPr>
          <w:i/>
          <w:iCs/>
          <w:lang w:val="de-DE"/>
        </w:rPr>
        <w:t xml:space="preserve"> des G. vom 7. Juni 2023 (B.S. vom 7. Juli 2023)]</w:t>
      </w:r>
    </w:p>
    <w:p w14:paraId="09878495" w14:textId="77777777" w:rsidR="00EC6EE4" w:rsidRPr="004676F5" w:rsidRDefault="00EC6EE4" w:rsidP="00EC6EE4">
      <w:pPr>
        <w:jc w:val="both"/>
        <w:rPr>
          <w:lang w:val="de-DE"/>
        </w:rPr>
      </w:pPr>
    </w:p>
    <w:p w14:paraId="1BC57596" w14:textId="77777777" w:rsidR="00D11212" w:rsidRPr="004676F5" w:rsidRDefault="00D11212" w:rsidP="00EE35E2">
      <w:pPr>
        <w:ind w:firstLine="708"/>
        <w:jc w:val="both"/>
        <w:rPr>
          <w:lang w:val="de-DE"/>
        </w:rPr>
      </w:pPr>
    </w:p>
    <w:p w14:paraId="7C668E0B" w14:textId="77777777" w:rsidR="00EC6EE4" w:rsidRPr="004676F5" w:rsidRDefault="00BE0A56" w:rsidP="00EC6EE4">
      <w:pPr>
        <w:ind w:firstLine="708"/>
        <w:jc w:val="both"/>
        <w:rPr>
          <w:lang w:val="de-DE"/>
        </w:rPr>
      </w:pPr>
      <w:r w:rsidRPr="004676F5">
        <w:rPr>
          <w:b/>
          <w:lang w:val="de-DE"/>
        </w:rPr>
        <w:t>Art. </w:t>
      </w:r>
      <w:r w:rsidR="00EE35E2" w:rsidRPr="004676F5">
        <w:rPr>
          <w:b/>
          <w:lang w:val="de-DE"/>
        </w:rPr>
        <w:t>XX.79</w:t>
      </w:r>
      <w:r w:rsidR="00EE35E2" w:rsidRPr="004676F5">
        <w:rPr>
          <w:lang w:val="de-DE"/>
        </w:rPr>
        <w:t> </w:t>
      </w:r>
      <w:r w:rsidR="005B7A5C" w:rsidRPr="004676F5">
        <w:rPr>
          <w:lang w:val="de-DE"/>
        </w:rPr>
        <w:t>- </w:t>
      </w:r>
      <w:r w:rsidR="00EC6EE4" w:rsidRPr="004676F5">
        <w:rPr>
          <w:lang w:val="de-DE"/>
        </w:rPr>
        <w:t>[§ 1 - Innerhalb fünfzehn Tagen nach der Sitzung und in jedem Fall vor dem in Anwendung der Artikel XX.48 und XX.59 bestimmten Enddatum des Aufschubs entscheidet das Gericht, ob es den Reorganisationsplan homologiert.</w:t>
      </w:r>
    </w:p>
    <w:p w14:paraId="05644532" w14:textId="77777777" w:rsidR="00EC6EE4" w:rsidRPr="004676F5" w:rsidRDefault="00EC6EE4" w:rsidP="00EC6EE4">
      <w:pPr>
        <w:jc w:val="both"/>
        <w:rPr>
          <w:lang w:val="de-DE"/>
        </w:rPr>
      </w:pPr>
    </w:p>
    <w:p w14:paraId="72BF32C1" w14:textId="77777777" w:rsidR="00EC6EE4" w:rsidRPr="004676F5" w:rsidRDefault="00EC6EE4" w:rsidP="00EC6EE4">
      <w:pPr>
        <w:jc w:val="both"/>
        <w:rPr>
          <w:lang w:val="de-DE"/>
        </w:rPr>
      </w:pPr>
      <w:r w:rsidRPr="004676F5">
        <w:rPr>
          <w:lang w:val="de-DE"/>
        </w:rPr>
        <w:tab/>
        <w:t>§ 2 - Das Gericht überprüft, ob:</w:t>
      </w:r>
    </w:p>
    <w:p w14:paraId="2C0AFAAB" w14:textId="77777777" w:rsidR="00EC6EE4" w:rsidRPr="004676F5" w:rsidRDefault="00EC6EE4" w:rsidP="00EC6EE4">
      <w:pPr>
        <w:jc w:val="both"/>
        <w:rPr>
          <w:lang w:val="de-DE"/>
        </w:rPr>
      </w:pPr>
    </w:p>
    <w:p w14:paraId="3C3F42F8" w14:textId="77777777" w:rsidR="00EC6EE4" w:rsidRPr="004676F5" w:rsidRDefault="00EC6EE4" w:rsidP="00EC6EE4">
      <w:pPr>
        <w:jc w:val="both"/>
        <w:rPr>
          <w:lang w:val="de-DE"/>
        </w:rPr>
      </w:pPr>
      <w:r w:rsidRPr="004676F5">
        <w:rPr>
          <w:lang w:val="de-DE"/>
        </w:rPr>
        <w:tab/>
        <w:t>1. der Reorganisationsplan im Einklang mit Artikel XX.78/2 angenommen worden ist,</w:t>
      </w:r>
    </w:p>
    <w:p w14:paraId="61F8FD8E" w14:textId="77777777" w:rsidR="00EC6EE4" w:rsidRPr="004676F5" w:rsidRDefault="00EC6EE4" w:rsidP="00EC6EE4">
      <w:pPr>
        <w:jc w:val="both"/>
        <w:rPr>
          <w:lang w:val="de-DE"/>
        </w:rPr>
      </w:pPr>
    </w:p>
    <w:p w14:paraId="28242C25" w14:textId="77777777" w:rsidR="00EC6EE4" w:rsidRPr="004676F5" w:rsidRDefault="00EC6EE4" w:rsidP="00EC6EE4">
      <w:pPr>
        <w:jc w:val="both"/>
        <w:rPr>
          <w:lang w:val="de-DE"/>
        </w:rPr>
      </w:pPr>
      <w:r w:rsidRPr="004676F5">
        <w:rPr>
          <w:lang w:val="de-DE"/>
        </w:rPr>
        <w:tab/>
        <w:t>2. der Plan rechtzeitig im Register hinterlegt worden ist.</w:t>
      </w:r>
    </w:p>
    <w:p w14:paraId="0EBE4F14" w14:textId="77777777" w:rsidR="00EC6EE4" w:rsidRPr="004676F5" w:rsidRDefault="00EC6EE4" w:rsidP="00EC6EE4">
      <w:pPr>
        <w:jc w:val="both"/>
        <w:rPr>
          <w:lang w:val="de-DE"/>
        </w:rPr>
      </w:pPr>
    </w:p>
    <w:p w14:paraId="35EC5841" w14:textId="77777777" w:rsidR="00EC6EE4" w:rsidRPr="004676F5" w:rsidRDefault="00EC6EE4" w:rsidP="00EC6EE4">
      <w:pPr>
        <w:jc w:val="both"/>
        <w:rPr>
          <w:lang w:val="de-DE"/>
        </w:rPr>
      </w:pPr>
      <w:r w:rsidRPr="004676F5">
        <w:rPr>
          <w:lang w:val="de-DE"/>
        </w:rPr>
        <w:tab/>
        <w:t>§ 3 - Wenn das Gericht der Ansicht ist, dass die Formalitäten nicht erfüllt worden sind, der Plan gegen die öffentliche Ordnung verstößt oder die Rechte und Interessen der Gläubiger in unangemessener Weise beeinträchtigt werden, kann es vor seiner Entscheidung dem Schuldner durch einen mit Gründen versehenen Beschluss gestatten, den Gläubigern gemäß den Formalitäten von Artikel XX.75/2 einen angepassten Reorganisationsplan vorzulegen. Das Gericht gibt in einer einzigen Entscheidung alle Einwände an, die es gegen den Plan vorzubringen müssen meint. In diesem Fall entscheidet es, den Aufschubzeitraum zu verlängern, wobei die in Artikel XX.59 festgelegte Höchstfrist aber nicht überschritten werden darf. Es bestimmt ebenfalls das Datum der Sitzung, bei der über den Plan abgestimmt wird. Gegen die aufgrund des vorliegenden Paragraphen getroffenen Entscheidungen kann nur zusammen mit einem Einspruch oder einer Berufung gegen das Homologierungsurteil Einspruch oder Berufung eingelegt werden.</w:t>
      </w:r>
    </w:p>
    <w:p w14:paraId="470292F9" w14:textId="77777777" w:rsidR="00EC6EE4" w:rsidRPr="004676F5" w:rsidRDefault="00EC6EE4" w:rsidP="00EC6EE4">
      <w:pPr>
        <w:jc w:val="both"/>
        <w:rPr>
          <w:lang w:val="de-DE"/>
        </w:rPr>
      </w:pPr>
    </w:p>
    <w:p w14:paraId="48CD40BC" w14:textId="77777777" w:rsidR="00EC6EE4" w:rsidRPr="004676F5" w:rsidRDefault="00EC6EE4" w:rsidP="00EC6EE4">
      <w:pPr>
        <w:jc w:val="both"/>
        <w:rPr>
          <w:lang w:val="de-DE"/>
        </w:rPr>
      </w:pPr>
      <w:r w:rsidRPr="004676F5">
        <w:rPr>
          <w:lang w:val="de-DE"/>
        </w:rPr>
        <w:tab/>
        <w:t>§ 4 - Die Homologierung kann nur abgelehnt werden, wenn die durch vorliegendes Gesetz auferlegten Formalitäten nicht erfüllt werden, gegen die öffentliche Ordnung verstoßen wird oder die Rechte und Interessen der Gläubiger in unangemessener Weise beeinträchtigt werden.</w:t>
      </w:r>
    </w:p>
    <w:p w14:paraId="053943D1" w14:textId="77777777" w:rsidR="00EC6EE4" w:rsidRPr="004676F5" w:rsidRDefault="00EC6EE4" w:rsidP="00EC6EE4">
      <w:pPr>
        <w:jc w:val="both"/>
        <w:rPr>
          <w:lang w:val="de-DE"/>
        </w:rPr>
      </w:pPr>
    </w:p>
    <w:p w14:paraId="00EB6266" w14:textId="77777777" w:rsidR="00EC6EE4" w:rsidRPr="004676F5" w:rsidRDefault="00EC6EE4" w:rsidP="00EC6EE4">
      <w:pPr>
        <w:jc w:val="both"/>
        <w:rPr>
          <w:lang w:val="de-DE"/>
        </w:rPr>
      </w:pPr>
      <w:r w:rsidRPr="004676F5">
        <w:rPr>
          <w:lang w:val="de-DE"/>
        </w:rPr>
        <w:tab/>
        <w:t>Sie kann keiner Bedingung unterworfen werden, die nicht im Reorganisationsplan vorgesehen ist; mit der Homologierung kann der Reorganisationsplan auch nicht geändert werden.</w:t>
      </w:r>
    </w:p>
    <w:p w14:paraId="612AA2BE" w14:textId="77777777" w:rsidR="00EC6EE4" w:rsidRPr="004676F5" w:rsidRDefault="00EC6EE4" w:rsidP="00EC6EE4">
      <w:pPr>
        <w:jc w:val="both"/>
        <w:rPr>
          <w:lang w:val="de-DE"/>
        </w:rPr>
      </w:pPr>
    </w:p>
    <w:p w14:paraId="3BB23C00" w14:textId="77777777" w:rsidR="00EC6EE4" w:rsidRPr="004676F5" w:rsidRDefault="00EC6EE4" w:rsidP="00EC6EE4">
      <w:pPr>
        <w:jc w:val="both"/>
        <w:rPr>
          <w:lang w:val="de-DE"/>
        </w:rPr>
      </w:pPr>
      <w:r w:rsidRPr="004676F5">
        <w:rPr>
          <w:lang w:val="de-DE"/>
        </w:rPr>
        <w:tab/>
        <w:t>Das Gericht kann auf Antrag eines Interessehabenden die Homologierung eines Reorganisationsplans verweigern, wenn dieser offensichtlich keine vernünftige Aussicht bietet, Liquidation oder Konkurs des Schuldners zu verhindern oder die Bestandfähigkeit des Unternehmens zu gewährleisten.</w:t>
      </w:r>
    </w:p>
    <w:p w14:paraId="3FB49D4C" w14:textId="77777777" w:rsidR="00EC6EE4" w:rsidRPr="004676F5" w:rsidRDefault="00EC6EE4" w:rsidP="00EC6EE4">
      <w:pPr>
        <w:jc w:val="both"/>
        <w:rPr>
          <w:lang w:val="de-DE"/>
        </w:rPr>
      </w:pPr>
    </w:p>
    <w:p w14:paraId="0F034986" w14:textId="77777777" w:rsidR="00EC6EE4" w:rsidRPr="004676F5" w:rsidRDefault="00EC6EE4" w:rsidP="00EC6EE4">
      <w:pPr>
        <w:jc w:val="both"/>
        <w:rPr>
          <w:lang w:val="de-DE"/>
        </w:rPr>
      </w:pPr>
      <w:r w:rsidRPr="004676F5">
        <w:rPr>
          <w:lang w:val="de-DE"/>
        </w:rPr>
        <w:tab/>
        <w:t>§ 5 - Vorbehaltlich der Streitfälle, die aus der Ausführung des Reorganisationsplans hervorgehen, schließt das Urteil über die Homologierung das Reorganisationsverfahren ab.</w:t>
      </w:r>
    </w:p>
    <w:p w14:paraId="0C285626" w14:textId="77777777" w:rsidR="00EC6EE4" w:rsidRPr="004676F5" w:rsidRDefault="00EC6EE4" w:rsidP="00EC6EE4">
      <w:pPr>
        <w:jc w:val="both"/>
        <w:rPr>
          <w:lang w:val="de-DE"/>
        </w:rPr>
      </w:pPr>
    </w:p>
    <w:p w14:paraId="46ACF13D" w14:textId="19525FBC" w:rsidR="00EE35E2" w:rsidRPr="004676F5" w:rsidRDefault="00EC6EE4" w:rsidP="00EC6EE4">
      <w:pPr>
        <w:ind w:firstLine="708"/>
        <w:jc w:val="both"/>
        <w:rPr>
          <w:lang w:val="de-DE"/>
        </w:rPr>
      </w:pPr>
      <w:r w:rsidRPr="004676F5">
        <w:rPr>
          <w:lang w:val="de-DE"/>
        </w:rPr>
        <w:t xml:space="preserve">Es wird auf Betreiben des Greffiers auszugsweise im </w:t>
      </w:r>
      <w:r w:rsidRPr="004676F5">
        <w:rPr>
          <w:i/>
          <w:iCs/>
          <w:lang w:val="de-DE"/>
        </w:rPr>
        <w:t>Belgischen Staatsblatt</w:t>
      </w:r>
      <w:r w:rsidRPr="004676F5">
        <w:rPr>
          <w:lang w:val="de-DE"/>
        </w:rPr>
        <w:t xml:space="preserve"> veröffentlicht.]</w:t>
      </w:r>
    </w:p>
    <w:p w14:paraId="73AF8CB8" w14:textId="77777777" w:rsidR="00EE35E2" w:rsidRPr="004676F5" w:rsidRDefault="00EE35E2" w:rsidP="00EC6EE4">
      <w:pPr>
        <w:jc w:val="both"/>
        <w:rPr>
          <w:lang w:val="de-DE"/>
        </w:rPr>
      </w:pPr>
    </w:p>
    <w:p w14:paraId="01F31B03" w14:textId="6A86001E" w:rsidR="00EC6EE4" w:rsidRPr="004676F5" w:rsidRDefault="00EC6EE4" w:rsidP="00EC6EE4">
      <w:pPr>
        <w:jc w:val="both"/>
        <w:rPr>
          <w:i/>
          <w:iCs/>
          <w:lang w:val="de-DE"/>
        </w:rPr>
      </w:pPr>
      <w:r w:rsidRPr="004676F5">
        <w:rPr>
          <w:i/>
          <w:iCs/>
          <w:lang w:val="de-DE"/>
        </w:rPr>
        <w:t>[Art. XX.79 ersetzt durch Art. 114 des G. vom 7. Juni 2023 (B.S. vom 7. Juli 2023)]</w:t>
      </w:r>
    </w:p>
    <w:p w14:paraId="1EFB1FF0" w14:textId="77777777" w:rsidR="00EC6EE4" w:rsidRPr="004676F5" w:rsidRDefault="00EC6EE4" w:rsidP="00EC6EE4">
      <w:pPr>
        <w:jc w:val="both"/>
        <w:rPr>
          <w:lang w:val="de-DE"/>
        </w:rPr>
      </w:pPr>
    </w:p>
    <w:p w14:paraId="30B66DB3" w14:textId="77777777" w:rsidR="00D11212" w:rsidRPr="004676F5" w:rsidRDefault="00D11212" w:rsidP="00EE35E2">
      <w:pPr>
        <w:ind w:firstLine="708"/>
        <w:jc w:val="both"/>
        <w:rPr>
          <w:lang w:val="de-DE"/>
        </w:rPr>
      </w:pPr>
    </w:p>
    <w:p w14:paraId="619B336F" w14:textId="6E83FB42" w:rsidR="00EE35E2" w:rsidRPr="004676F5" w:rsidRDefault="00BE0A56" w:rsidP="00EE35E2">
      <w:pPr>
        <w:ind w:firstLine="708"/>
        <w:jc w:val="both"/>
        <w:rPr>
          <w:lang w:val="de-DE"/>
        </w:rPr>
      </w:pPr>
      <w:r w:rsidRPr="004676F5">
        <w:rPr>
          <w:b/>
          <w:lang w:val="de-DE"/>
        </w:rPr>
        <w:t>Art. </w:t>
      </w:r>
      <w:r w:rsidR="00EE35E2" w:rsidRPr="004676F5">
        <w:rPr>
          <w:b/>
          <w:lang w:val="de-DE"/>
        </w:rPr>
        <w:t>XX.80</w:t>
      </w:r>
      <w:r w:rsidR="00EE35E2" w:rsidRPr="004676F5">
        <w:rPr>
          <w:lang w:val="de-DE"/>
        </w:rPr>
        <w:t> </w:t>
      </w:r>
      <w:r w:rsidR="005B7A5C" w:rsidRPr="004676F5">
        <w:rPr>
          <w:lang w:val="de-DE"/>
        </w:rPr>
        <w:t>- </w:t>
      </w:r>
      <w:r w:rsidR="00EE35E2" w:rsidRPr="004676F5">
        <w:rPr>
          <w:lang w:val="de-DE"/>
        </w:rPr>
        <w:t>Das Gericht entscheidet über die Homologierung ungeachtet jeglicher Strafverfolgung, die gegen den Schuldner oder seine Leiter eingeleitet worden ist.</w:t>
      </w:r>
    </w:p>
    <w:p w14:paraId="1A110723" w14:textId="77777777" w:rsidR="00EE35E2" w:rsidRPr="004676F5" w:rsidRDefault="00EE35E2" w:rsidP="006F1AA1">
      <w:pPr>
        <w:jc w:val="both"/>
        <w:rPr>
          <w:lang w:val="de-DE"/>
        </w:rPr>
      </w:pPr>
    </w:p>
    <w:p w14:paraId="138FB5CF" w14:textId="77777777" w:rsidR="006F1AA1" w:rsidRPr="004676F5" w:rsidRDefault="006F1AA1" w:rsidP="006F1AA1">
      <w:pPr>
        <w:jc w:val="both"/>
        <w:rPr>
          <w:lang w:val="de-DE"/>
        </w:rPr>
      </w:pPr>
    </w:p>
    <w:p w14:paraId="07D4B885" w14:textId="77777777" w:rsidR="006F1AA1" w:rsidRPr="004676F5" w:rsidRDefault="006F1AA1" w:rsidP="006F1AA1">
      <w:pPr>
        <w:jc w:val="center"/>
        <w:rPr>
          <w:iCs/>
          <w:lang w:val="de-DE"/>
        </w:rPr>
      </w:pPr>
      <w:r w:rsidRPr="004676F5">
        <w:rPr>
          <w:iCs/>
          <w:lang w:val="de-DE"/>
        </w:rPr>
        <w:t>[</w:t>
      </w:r>
      <w:r w:rsidRPr="004676F5">
        <w:rPr>
          <w:i/>
          <w:iCs/>
          <w:lang w:val="de-DE"/>
        </w:rPr>
        <w:t>Abschnitt 5</w:t>
      </w:r>
      <w:r w:rsidRPr="004676F5">
        <w:rPr>
          <w:lang w:val="de-DE"/>
        </w:rPr>
        <w:t> - Rechtsmittel]</w:t>
      </w:r>
    </w:p>
    <w:p w14:paraId="06B77719" w14:textId="77777777" w:rsidR="006F1AA1" w:rsidRPr="004676F5" w:rsidRDefault="006F1AA1" w:rsidP="006F1AA1">
      <w:pPr>
        <w:jc w:val="both"/>
        <w:rPr>
          <w:i/>
          <w:lang w:val="de-DE"/>
        </w:rPr>
      </w:pPr>
    </w:p>
    <w:p w14:paraId="5CF06DBF" w14:textId="14376394" w:rsidR="006F1AA1" w:rsidRPr="004676F5" w:rsidRDefault="006F1AA1" w:rsidP="006F1AA1">
      <w:pPr>
        <w:jc w:val="both"/>
        <w:rPr>
          <w:i/>
          <w:iCs/>
          <w:lang w:val="de-DE"/>
        </w:rPr>
      </w:pPr>
      <w:r w:rsidRPr="004676F5">
        <w:rPr>
          <w:i/>
          <w:iCs/>
          <w:lang w:val="de-DE"/>
        </w:rPr>
        <w:t>[Unterteilung Abschnitt 5 eingefügt durch Art. 115 des G. vom 7. Juni 2023 (B.S. vom 7. Juli 2023)]</w:t>
      </w:r>
    </w:p>
    <w:p w14:paraId="7A8628B6" w14:textId="77777777" w:rsidR="006F1AA1" w:rsidRPr="004676F5" w:rsidRDefault="006F1AA1" w:rsidP="006F1AA1">
      <w:pPr>
        <w:jc w:val="both"/>
        <w:rPr>
          <w:lang w:val="de-DE"/>
        </w:rPr>
      </w:pPr>
    </w:p>
    <w:p w14:paraId="1A4B8D14" w14:textId="77777777" w:rsidR="00D11212" w:rsidRPr="004676F5" w:rsidRDefault="00D11212" w:rsidP="00EE35E2">
      <w:pPr>
        <w:ind w:firstLine="708"/>
        <w:jc w:val="both"/>
        <w:rPr>
          <w:lang w:val="de-DE"/>
        </w:rPr>
      </w:pPr>
    </w:p>
    <w:p w14:paraId="5F6FF70E" w14:textId="52D84148" w:rsidR="00EE35E2" w:rsidRPr="004676F5" w:rsidRDefault="00BE0A56" w:rsidP="00EE35E2">
      <w:pPr>
        <w:ind w:firstLine="708"/>
        <w:jc w:val="both"/>
        <w:rPr>
          <w:lang w:val="de-DE"/>
        </w:rPr>
      </w:pPr>
      <w:r w:rsidRPr="004676F5">
        <w:rPr>
          <w:b/>
          <w:lang w:val="de-DE"/>
        </w:rPr>
        <w:t>Art. </w:t>
      </w:r>
      <w:r w:rsidR="00EE35E2" w:rsidRPr="004676F5">
        <w:rPr>
          <w:b/>
          <w:lang w:val="de-DE"/>
        </w:rPr>
        <w:t>XX.81</w:t>
      </w:r>
      <w:r w:rsidR="00EE35E2" w:rsidRPr="004676F5">
        <w:rPr>
          <w:lang w:val="de-DE"/>
        </w:rPr>
        <w:t> </w:t>
      </w:r>
      <w:r w:rsidR="005B7A5C" w:rsidRPr="004676F5">
        <w:rPr>
          <w:lang w:val="de-DE"/>
        </w:rPr>
        <w:t>- </w:t>
      </w:r>
      <w:r w:rsidR="00EE35E2" w:rsidRPr="004676F5">
        <w:rPr>
          <w:lang w:val="de-DE"/>
        </w:rPr>
        <w:t>Gegen das Urteil, mit dem über den Homologierungsantrag befunden wird, kann kein Einspruch eingelegt werden.</w:t>
      </w:r>
    </w:p>
    <w:p w14:paraId="6565B62A" w14:textId="77777777" w:rsidR="00EE35E2" w:rsidRPr="004676F5" w:rsidRDefault="00EE35E2" w:rsidP="00EE35E2">
      <w:pPr>
        <w:ind w:firstLine="708"/>
        <w:jc w:val="both"/>
        <w:rPr>
          <w:lang w:val="de-DE"/>
        </w:rPr>
      </w:pPr>
    </w:p>
    <w:p w14:paraId="0A0A608C" w14:textId="77777777" w:rsidR="00EE35E2" w:rsidRPr="004676F5" w:rsidRDefault="00EE35E2" w:rsidP="00EE35E2">
      <w:pPr>
        <w:ind w:firstLine="708"/>
        <w:jc w:val="both"/>
        <w:rPr>
          <w:lang w:val="de-DE"/>
        </w:rPr>
      </w:pPr>
      <w:r w:rsidRPr="004676F5">
        <w:rPr>
          <w:lang w:val="de-DE"/>
        </w:rPr>
        <w:t>Berufung kann eingelegt werden vom Schuldner bei Ablehnung der Homologierung und von den Parteien, die dem Reorganisationsverfahren in dessen Verlauf per Antragschrift beigetreten sind, bei Homologierung. Von einem Gläubiger eingelegte Berufung wird gegen alle anderen Parteien, die dem Reorganisationsverfahren beigetreten sind, und gegen den Schuldner gerichtet.</w:t>
      </w:r>
    </w:p>
    <w:p w14:paraId="4B2694EE" w14:textId="77777777" w:rsidR="00EE35E2" w:rsidRPr="004676F5" w:rsidRDefault="00EE35E2" w:rsidP="00EE35E2">
      <w:pPr>
        <w:ind w:firstLine="708"/>
        <w:jc w:val="both"/>
        <w:rPr>
          <w:lang w:val="de-DE"/>
        </w:rPr>
      </w:pPr>
    </w:p>
    <w:p w14:paraId="222C3F89" w14:textId="77777777" w:rsidR="00EE35E2" w:rsidRPr="004676F5" w:rsidRDefault="00EE35E2" w:rsidP="00EE35E2">
      <w:pPr>
        <w:ind w:firstLine="708"/>
        <w:jc w:val="both"/>
        <w:rPr>
          <w:lang w:val="de-DE"/>
        </w:rPr>
      </w:pPr>
      <w:r w:rsidRPr="004676F5">
        <w:rPr>
          <w:lang w:val="de-DE"/>
        </w:rPr>
        <w:t xml:space="preserve">Berufung wird durch eine Antragschrift eingelegt, die innerhalb fünfzehn Tagen ab Notifizierung des Urteils bei der Kanzlei des </w:t>
      </w:r>
      <w:r w:rsidR="003E519F" w:rsidRPr="004676F5">
        <w:rPr>
          <w:lang w:val="de-DE"/>
        </w:rPr>
        <w:t>Appellationshofes</w:t>
      </w:r>
      <w:r w:rsidR="003E519F" w:rsidRPr="004676F5">
        <w:rPr>
          <w:rStyle w:val="Appelnotedebasdep"/>
          <w:lang w:val="de-DE"/>
        </w:rPr>
        <w:footnoteReference w:id="3"/>
      </w:r>
      <w:r w:rsidR="002C264D" w:rsidRPr="004676F5">
        <w:rPr>
          <w:lang w:val="de-DE"/>
        </w:rPr>
        <w:t xml:space="preserve"> </w:t>
      </w:r>
      <w:r w:rsidRPr="004676F5">
        <w:rPr>
          <w:lang w:val="de-DE"/>
        </w:rPr>
        <w:t>hinterlegt wird. Berufung kann sogar vor Veröffentlichung des Urteils über die Homologierung eingelegt werden.</w:t>
      </w:r>
    </w:p>
    <w:p w14:paraId="168E32C7" w14:textId="77777777" w:rsidR="00EE35E2" w:rsidRPr="004676F5" w:rsidRDefault="00EE35E2" w:rsidP="00EE35E2">
      <w:pPr>
        <w:ind w:firstLine="708"/>
        <w:jc w:val="both"/>
        <w:rPr>
          <w:lang w:val="de-DE"/>
        </w:rPr>
      </w:pPr>
    </w:p>
    <w:p w14:paraId="683EC51F" w14:textId="2577F4A6" w:rsidR="00EE35E2" w:rsidRPr="004676F5" w:rsidRDefault="00EE35E2" w:rsidP="00EE35E2">
      <w:pPr>
        <w:ind w:firstLine="708"/>
        <w:jc w:val="both"/>
        <w:rPr>
          <w:lang w:val="de-DE"/>
        </w:rPr>
      </w:pPr>
      <w:r w:rsidRPr="004676F5">
        <w:rPr>
          <w:lang w:val="de-DE"/>
        </w:rPr>
        <w:t xml:space="preserve">Die Sache wird im Dringlichkeitsverfahren in der Einleitungssitzung oder einer zeitnahen Sitzung </w:t>
      </w:r>
      <w:r w:rsidR="006F1AA1" w:rsidRPr="004676F5">
        <w:rPr>
          <w:lang w:val="de-DE"/>
        </w:rPr>
        <w:t>[nach Bericht des beauftragten Richters]</w:t>
      </w:r>
      <w:r w:rsidRPr="004676F5">
        <w:rPr>
          <w:lang w:val="de-DE"/>
        </w:rPr>
        <w:t xml:space="preserve"> behandelt. </w:t>
      </w:r>
      <w:r w:rsidR="006F1AA1" w:rsidRPr="004676F5">
        <w:rPr>
          <w:lang w:val="de-DE"/>
        </w:rPr>
        <w:t>[…]</w:t>
      </w:r>
    </w:p>
    <w:p w14:paraId="4B1D2561" w14:textId="77777777" w:rsidR="00EE35E2" w:rsidRPr="004676F5" w:rsidRDefault="00EE35E2" w:rsidP="00EE35E2">
      <w:pPr>
        <w:ind w:firstLine="708"/>
        <w:jc w:val="both"/>
        <w:rPr>
          <w:lang w:val="de-DE"/>
        </w:rPr>
      </w:pPr>
    </w:p>
    <w:p w14:paraId="382FE264" w14:textId="29E34641" w:rsidR="00EE35E2" w:rsidRPr="004676F5" w:rsidRDefault="006F1AA1" w:rsidP="00EE35E2">
      <w:pPr>
        <w:ind w:firstLine="708"/>
        <w:jc w:val="both"/>
        <w:rPr>
          <w:lang w:val="de-DE"/>
        </w:rPr>
      </w:pPr>
      <w:r w:rsidRPr="004676F5">
        <w:rPr>
          <w:lang w:val="de-DE"/>
        </w:rPr>
        <w:t>[…]</w:t>
      </w:r>
    </w:p>
    <w:p w14:paraId="200CDC3D" w14:textId="77777777" w:rsidR="00EE35E2" w:rsidRPr="004676F5" w:rsidRDefault="00EE35E2" w:rsidP="00EE35E2">
      <w:pPr>
        <w:ind w:firstLine="708"/>
        <w:jc w:val="both"/>
        <w:rPr>
          <w:lang w:val="de-DE"/>
        </w:rPr>
      </w:pPr>
    </w:p>
    <w:p w14:paraId="2869D5B2" w14:textId="373538E8" w:rsidR="00EE35E2" w:rsidRPr="004676F5" w:rsidRDefault="00EE35E2" w:rsidP="00EE35E2">
      <w:pPr>
        <w:ind w:firstLine="708"/>
        <w:jc w:val="both"/>
        <w:rPr>
          <w:lang w:val="de-DE"/>
        </w:rPr>
      </w:pPr>
      <w:r w:rsidRPr="004676F5">
        <w:rPr>
          <w:lang w:val="de-DE"/>
        </w:rPr>
        <w:t xml:space="preserve">Spätestens am ersten Werktag nach Hinterlegung notifiziert der Greffier des </w:t>
      </w:r>
      <w:r w:rsidR="003E519F" w:rsidRPr="004676F5">
        <w:rPr>
          <w:lang w:val="de-DE"/>
        </w:rPr>
        <w:t>Appellationshofes</w:t>
      </w:r>
      <w:r w:rsidR="003E519F" w:rsidRPr="004676F5">
        <w:rPr>
          <w:vertAlign w:val="superscript"/>
          <w:lang w:val="de-DE"/>
        </w:rPr>
        <w:fldChar w:fldCharType="begin"/>
      </w:r>
      <w:r w:rsidR="003E519F" w:rsidRPr="004676F5">
        <w:rPr>
          <w:vertAlign w:val="superscript"/>
          <w:lang w:val="de-DE"/>
        </w:rPr>
        <w:instrText xml:space="preserve"> NOTEREF _Ref12609997  \* MERGEFORMAT </w:instrText>
      </w:r>
      <w:r w:rsidR="003E519F" w:rsidRPr="004676F5">
        <w:rPr>
          <w:vertAlign w:val="superscript"/>
          <w:lang w:val="de-DE"/>
        </w:rPr>
        <w:fldChar w:fldCharType="separate"/>
      </w:r>
      <w:r w:rsidR="00E704C1">
        <w:rPr>
          <w:vertAlign w:val="superscript"/>
          <w:lang w:val="de-DE"/>
        </w:rPr>
        <w:t>1</w:t>
      </w:r>
      <w:r w:rsidR="003E519F" w:rsidRPr="004676F5">
        <w:rPr>
          <w:vertAlign w:val="superscript"/>
          <w:lang w:val="de-DE"/>
        </w:rPr>
        <w:fldChar w:fldCharType="end"/>
      </w:r>
      <w:r w:rsidR="003E519F" w:rsidRPr="004676F5">
        <w:rPr>
          <w:lang w:val="de-DE"/>
        </w:rPr>
        <w:t xml:space="preserve"> </w:t>
      </w:r>
      <w:r w:rsidRPr="004676F5">
        <w:rPr>
          <w:lang w:val="de-DE"/>
        </w:rPr>
        <w:t>die Antragschrift per Gerichtsbrief den Berufungsbeklagten und gegebenenfalls ihrem Rechtsanwalt.</w:t>
      </w:r>
    </w:p>
    <w:p w14:paraId="7F37D6B7" w14:textId="77777777" w:rsidR="00EE35E2" w:rsidRPr="004676F5" w:rsidRDefault="00EE35E2" w:rsidP="00EE35E2">
      <w:pPr>
        <w:ind w:firstLine="708"/>
        <w:jc w:val="both"/>
        <w:rPr>
          <w:lang w:val="de-DE"/>
        </w:rPr>
      </w:pPr>
    </w:p>
    <w:p w14:paraId="32E8DB51" w14:textId="77777777" w:rsidR="006F1AA1" w:rsidRPr="004676F5" w:rsidRDefault="006F1AA1">
      <w:pPr>
        <w:rPr>
          <w:lang w:val="de-DE"/>
        </w:rPr>
      </w:pPr>
      <w:r w:rsidRPr="004676F5">
        <w:rPr>
          <w:lang w:val="de-DE"/>
        </w:rPr>
        <w:br w:type="page"/>
      </w:r>
    </w:p>
    <w:p w14:paraId="1C352E82" w14:textId="0F0AF86B" w:rsidR="00EE35E2" w:rsidRPr="004676F5" w:rsidRDefault="00EE35E2" w:rsidP="00EE35E2">
      <w:pPr>
        <w:ind w:firstLine="708"/>
        <w:jc w:val="both"/>
        <w:rPr>
          <w:lang w:val="de-DE"/>
        </w:rPr>
      </w:pPr>
      <w:r w:rsidRPr="004676F5">
        <w:rPr>
          <w:lang w:val="de-DE"/>
        </w:rPr>
        <w:lastRenderedPageBreak/>
        <w:t>Wird im Urteil die Homologierung abgelehnt, hat die Berufung aufschiebende Wirkung.</w:t>
      </w:r>
    </w:p>
    <w:p w14:paraId="3F45E6CD" w14:textId="77777777" w:rsidR="00EE35E2" w:rsidRPr="004676F5" w:rsidRDefault="00EE35E2" w:rsidP="00EE35E2">
      <w:pPr>
        <w:ind w:firstLine="708"/>
        <w:jc w:val="both"/>
        <w:rPr>
          <w:lang w:val="de-DE"/>
        </w:rPr>
      </w:pPr>
    </w:p>
    <w:p w14:paraId="77B41B70" w14:textId="398708F8" w:rsidR="009B24DA" w:rsidRPr="004676F5" w:rsidRDefault="002C264D" w:rsidP="002C264D">
      <w:pPr>
        <w:jc w:val="both"/>
        <w:rPr>
          <w:i/>
          <w:lang w:val="de-DE"/>
        </w:rPr>
      </w:pPr>
      <w:r w:rsidRPr="004676F5">
        <w:rPr>
          <w:i/>
          <w:lang w:val="de-DE"/>
        </w:rPr>
        <w:t>[</w:t>
      </w:r>
      <w:r w:rsidR="00BE0A56" w:rsidRPr="004676F5">
        <w:rPr>
          <w:i/>
          <w:lang w:val="de-DE"/>
        </w:rPr>
        <w:t>Art. </w:t>
      </w:r>
      <w:r w:rsidRPr="004676F5">
        <w:rPr>
          <w:i/>
          <w:lang w:val="de-DE"/>
        </w:rPr>
        <w:t>XX.81</w:t>
      </w:r>
      <w:r w:rsidR="003E519F" w:rsidRPr="004676F5">
        <w:rPr>
          <w:i/>
          <w:lang w:val="de-DE"/>
        </w:rPr>
        <w:t xml:space="preserve"> Abs. </w:t>
      </w:r>
      <w:r w:rsidR="009B24DA" w:rsidRPr="004676F5">
        <w:rPr>
          <w:i/>
          <w:lang w:val="de-DE"/>
        </w:rPr>
        <w:t xml:space="preserve">4 abgeändert durch </w:t>
      </w:r>
      <w:r w:rsidR="00BE0A56" w:rsidRPr="004676F5">
        <w:rPr>
          <w:i/>
          <w:lang w:val="de-DE"/>
        </w:rPr>
        <w:t>Art. </w:t>
      </w:r>
      <w:r w:rsidR="009B24DA" w:rsidRPr="004676F5">
        <w:rPr>
          <w:i/>
          <w:lang w:val="de-DE"/>
        </w:rPr>
        <w:t>2 des G. vom 20. Februar 2017 (B.S. vom 27. Februar 2017)</w:t>
      </w:r>
      <w:r w:rsidR="006F1AA1" w:rsidRPr="004676F5">
        <w:rPr>
          <w:i/>
          <w:lang w:val="de-DE"/>
        </w:rPr>
        <w:t xml:space="preserve"> und Art. 116 Nr. 1</w:t>
      </w:r>
      <w:r w:rsidR="006F1AA1" w:rsidRPr="004676F5">
        <w:rPr>
          <w:i/>
          <w:iCs/>
          <w:lang w:val="de-DE"/>
        </w:rPr>
        <w:t xml:space="preserve"> des G. vom 7. Juni 2023 (B.S. vom 7. Juli 2023); früherer Absatz 5 aufgehoben durch Art. 116 Nr. 2 des G. vom 7. Juni 2023 (B.S. vom 7. Juli 2023)</w:t>
      </w:r>
      <w:r w:rsidR="009B24DA" w:rsidRPr="004676F5">
        <w:rPr>
          <w:i/>
          <w:lang w:val="de-DE"/>
        </w:rPr>
        <w:t>]</w:t>
      </w:r>
    </w:p>
    <w:p w14:paraId="2955CFBC" w14:textId="77777777" w:rsidR="006F1AA1" w:rsidRPr="004676F5" w:rsidRDefault="006F1AA1" w:rsidP="002C264D">
      <w:pPr>
        <w:jc w:val="both"/>
        <w:rPr>
          <w:iCs/>
          <w:lang w:val="de-DE"/>
        </w:rPr>
      </w:pPr>
    </w:p>
    <w:p w14:paraId="4EA84A0B" w14:textId="77777777" w:rsidR="006F1AA1" w:rsidRPr="004676F5" w:rsidRDefault="006F1AA1" w:rsidP="002C264D">
      <w:pPr>
        <w:jc w:val="both"/>
        <w:rPr>
          <w:iCs/>
          <w:lang w:val="de-DE"/>
        </w:rPr>
      </w:pPr>
    </w:p>
    <w:p w14:paraId="674ABEF5" w14:textId="7B6D4E56" w:rsidR="006F1AA1" w:rsidRPr="004676F5" w:rsidRDefault="006F1AA1" w:rsidP="006F1AA1">
      <w:pPr>
        <w:jc w:val="center"/>
        <w:rPr>
          <w:iCs/>
          <w:lang w:val="de-DE"/>
        </w:rPr>
      </w:pPr>
      <w:r w:rsidRPr="004676F5">
        <w:rPr>
          <w:iCs/>
          <w:lang w:val="de-DE"/>
        </w:rPr>
        <w:t>[</w:t>
      </w:r>
      <w:r w:rsidRPr="004676F5">
        <w:rPr>
          <w:i/>
          <w:iCs/>
          <w:lang w:val="de-DE"/>
        </w:rPr>
        <w:t>Abschnitt 6</w:t>
      </w:r>
      <w:r w:rsidRPr="004676F5">
        <w:rPr>
          <w:lang w:val="de-DE"/>
        </w:rPr>
        <w:t> - Auswirkungen des homologierten Reorganisationsplans]</w:t>
      </w:r>
    </w:p>
    <w:p w14:paraId="1937F53C" w14:textId="77777777" w:rsidR="006F1AA1" w:rsidRPr="004676F5" w:rsidRDefault="006F1AA1" w:rsidP="006F1AA1">
      <w:pPr>
        <w:jc w:val="both"/>
        <w:rPr>
          <w:lang w:val="de-DE"/>
        </w:rPr>
      </w:pPr>
    </w:p>
    <w:p w14:paraId="2A9E5704" w14:textId="50C2F89A" w:rsidR="006F1AA1" w:rsidRPr="004676F5" w:rsidRDefault="006F1AA1" w:rsidP="006F1AA1">
      <w:pPr>
        <w:jc w:val="both"/>
        <w:rPr>
          <w:i/>
          <w:iCs/>
          <w:lang w:val="de-DE"/>
        </w:rPr>
      </w:pPr>
      <w:r w:rsidRPr="004676F5">
        <w:rPr>
          <w:i/>
          <w:iCs/>
          <w:lang w:val="de-DE"/>
        </w:rPr>
        <w:t>[Unterteilung Abschnitt 6 eingefügt durch Art. 117 des G. vom 7. Juni 2023 (B.S. vom 7. Juli 2023)]</w:t>
      </w:r>
    </w:p>
    <w:p w14:paraId="315BA19F" w14:textId="77777777" w:rsidR="006F1AA1" w:rsidRPr="004676F5" w:rsidRDefault="006F1AA1" w:rsidP="006F1AA1">
      <w:pPr>
        <w:jc w:val="both"/>
        <w:rPr>
          <w:i/>
          <w:iCs/>
          <w:lang w:val="de-DE"/>
        </w:rPr>
      </w:pPr>
    </w:p>
    <w:p w14:paraId="13C10594" w14:textId="77777777" w:rsidR="006F1AA1" w:rsidRPr="004676F5" w:rsidRDefault="006F1AA1" w:rsidP="006F1AA1">
      <w:pPr>
        <w:jc w:val="both"/>
        <w:rPr>
          <w:i/>
          <w:iCs/>
          <w:lang w:val="de-DE"/>
        </w:rPr>
      </w:pPr>
    </w:p>
    <w:p w14:paraId="7182DFDA" w14:textId="5AEB4A7E" w:rsidR="00EE35E2" w:rsidRPr="004676F5" w:rsidRDefault="00BE0A56" w:rsidP="00EE35E2">
      <w:pPr>
        <w:ind w:firstLine="708"/>
        <w:jc w:val="both"/>
        <w:rPr>
          <w:lang w:val="de-DE"/>
        </w:rPr>
      </w:pPr>
      <w:r w:rsidRPr="004676F5">
        <w:rPr>
          <w:b/>
          <w:lang w:val="de-DE"/>
        </w:rPr>
        <w:t>Art. </w:t>
      </w:r>
      <w:r w:rsidR="00EE35E2" w:rsidRPr="004676F5">
        <w:rPr>
          <w:b/>
          <w:lang w:val="de-DE"/>
        </w:rPr>
        <w:t>XX.82</w:t>
      </w:r>
      <w:r w:rsidR="00EE35E2" w:rsidRPr="004676F5">
        <w:rPr>
          <w:lang w:val="de-DE"/>
        </w:rPr>
        <w:t> </w:t>
      </w:r>
      <w:r w:rsidR="005B7A5C" w:rsidRPr="004676F5">
        <w:rPr>
          <w:lang w:val="de-DE"/>
        </w:rPr>
        <w:t>- </w:t>
      </w:r>
      <w:r w:rsidR="00EE35E2" w:rsidRPr="004676F5">
        <w:rPr>
          <w:lang w:val="de-DE"/>
        </w:rPr>
        <w:t>Durch die Homologierung des Reorganisationsplans wird er für alle Aufschubgläubiger zwingend.</w:t>
      </w:r>
      <w:r w:rsidR="006F1AA1" w:rsidRPr="004676F5">
        <w:rPr>
          <w:lang w:val="de-DE"/>
        </w:rPr>
        <w:t xml:space="preserve"> [Sofern die Umsetzung des Reorganisationsplans einen Beschluss der General</w:t>
      </w:r>
      <w:r w:rsidR="006F1AA1" w:rsidRPr="004676F5">
        <w:rPr>
          <w:lang w:val="de-DE"/>
        </w:rPr>
        <w:softHyphen/>
        <w:t>versammlung einer juristischen Person erfordert und die Generalversammlung die Umsetzung des homologierten Plans in unangemessener Weise behindert, kann ein Interessehabender beim Gericht beantragen, dass die juristische Person angewiesen wird, die zur Gewährleistung der Umsetzung des Plans erforderlichen Beschlüsse zu fassen.]</w:t>
      </w:r>
    </w:p>
    <w:p w14:paraId="44D29AEB" w14:textId="77777777" w:rsidR="00EE35E2" w:rsidRPr="004676F5" w:rsidRDefault="00EE35E2" w:rsidP="00EE35E2">
      <w:pPr>
        <w:ind w:firstLine="708"/>
        <w:jc w:val="both"/>
        <w:rPr>
          <w:lang w:val="de-DE"/>
        </w:rPr>
      </w:pPr>
    </w:p>
    <w:p w14:paraId="5E8DF26D" w14:textId="77777777" w:rsidR="00EE35E2" w:rsidRPr="004676F5" w:rsidRDefault="00EE35E2" w:rsidP="00EE35E2">
      <w:pPr>
        <w:ind w:firstLine="708"/>
        <w:jc w:val="both"/>
        <w:rPr>
          <w:lang w:val="de-DE"/>
        </w:rPr>
      </w:pPr>
      <w:r w:rsidRPr="004676F5">
        <w:rPr>
          <w:lang w:val="de-DE"/>
        </w:rPr>
        <w:t>Angefochtene, nach der Homologierung jedoch gerichtlich anerkannte aufgeschobene Forderungen werden gemäß den für Forderungen gleicher Art vorgesehenen Modalitäten beglichen. Die Ausführung des Reorganisationsplans kann keinesfalls aufgrund von Entscheidungen, die in Bezug auf diese Streitfälle getroffen werden, ganz oder teilweise ausgesetzt werden.</w:t>
      </w:r>
    </w:p>
    <w:p w14:paraId="069A1D43" w14:textId="77777777" w:rsidR="00EE35E2" w:rsidRPr="004676F5" w:rsidRDefault="00EE35E2" w:rsidP="00EE35E2">
      <w:pPr>
        <w:ind w:firstLine="708"/>
        <w:jc w:val="both"/>
        <w:rPr>
          <w:lang w:val="de-DE"/>
        </w:rPr>
      </w:pPr>
    </w:p>
    <w:p w14:paraId="616148C3" w14:textId="3E7E4DDC" w:rsidR="00EE35E2" w:rsidRPr="004676F5" w:rsidRDefault="00EE35E2" w:rsidP="00EE35E2">
      <w:pPr>
        <w:ind w:firstLine="708"/>
        <w:jc w:val="both"/>
        <w:rPr>
          <w:lang w:val="de-DE"/>
        </w:rPr>
      </w:pPr>
      <w:r w:rsidRPr="004676F5">
        <w:rPr>
          <w:lang w:val="de-DE"/>
        </w:rPr>
        <w:t xml:space="preserve">Aufgeschobene Forderungen, die weder auf der in Artikel XX.41 § 2 </w:t>
      </w:r>
      <w:r w:rsidR="006F1AA1" w:rsidRPr="004676F5">
        <w:rPr>
          <w:lang w:val="de-DE"/>
        </w:rPr>
        <w:t xml:space="preserve">[Absatz 1] </w:t>
      </w:r>
      <w:r w:rsidRPr="004676F5">
        <w:rPr>
          <w:lang w:val="de-DE"/>
        </w:rPr>
        <w:t xml:space="preserve">Nr. 7 erwähnten Liste, noch im Reorganisationsplan </w:t>
      </w:r>
      <w:r w:rsidR="005B7A5C" w:rsidRPr="004676F5">
        <w:rPr>
          <w:lang w:val="de-DE"/>
        </w:rPr>
        <w:t>- </w:t>
      </w:r>
      <w:r w:rsidRPr="004676F5">
        <w:rPr>
          <w:lang w:val="de-DE"/>
        </w:rPr>
        <w:t>gegebenenfalls in Anwendung von Artikel XX.68 geändert </w:t>
      </w:r>
      <w:r w:rsidR="005B7A5C" w:rsidRPr="004676F5">
        <w:rPr>
          <w:lang w:val="de-DE"/>
        </w:rPr>
        <w:t>- </w:t>
      </w:r>
      <w:r w:rsidRPr="004676F5">
        <w:rPr>
          <w:lang w:val="de-DE"/>
        </w:rPr>
        <w:t>aufgenommen und nicht angefochten worden sind, werden nach vollständiger Ausführung des Plans gemäß Modalitäten, die für Forderungen gleicher Art vorgesehen sind, beglichen. Wurde ein Gläubiger während des Aufschubs jedoch nicht ordnungsgemäß informiert, wird er gemäß Modalitäten und in dem Maße bezahlt, wie es im homologierten Plan für gleichartige Forderungen vorgesehen ist.</w:t>
      </w:r>
    </w:p>
    <w:p w14:paraId="6C314E3C" w14:textId="77777777" w:rsidR="00EE35E2" w:rsidRPr="004676F5" w:rsidRDefault="00EE35E2" w:rsidP="00EE35E2">
      <w:pPr>
        <w:ind w:firstLine="708"/>
        <w:jc w:val="both"/>
        <w:rPr>
          <w:lang w:val="de-DE"/>
        </w:rPr>
      </w:pPr>
    </w:p>
    <w:p w14:paraId="3A933521" w14:textId="77777777" w:rsidR="00EE35E2" w:rsidRPr="004676F5" w:rsidRDefault="00EE35E2" w:rsidP="00EE35E2">
      <w:pPr>
        <w:ind w:firstLine="708"/>
        <w:jc w:val="both"/>
        <w:rPr>
          <w:lang w:val="de-DE"/>
        </w:rPr>
      </w:pPr>
      <w:r w:rsidRPr="004676F5">
        <w:rPr>
          <w:lang w:val="de-DE"/>
        </w:rPr>
        <w:t>Der Schuldner wird durch die vollständige Ausführung des Plans vollständig und definitiv von allen darin angeführten Forderungen befreit, sofern es im Plan nicht ausdrücklich anders festgelegt ist.</w:t>
      </w:r>
    </w:p>
    <w:p w14:paraId="3C6A0B08" w14:textId="77777777" w:rsidR="00EE35E2" w:rsidRPr="004676F5" w:rsidRDefault="00EE35E2" w:rsidP="00EE35E2">
      <w:pPr>
        <w:ind w:firstLine="708"/>
        <w:jc w:val="both"/>
        <w:rPr>
          <w:lang w:val="de-DE"/>
        </w:rPr>
      </w:pPr>
    </w:p>
    <w:p w14:paraId="4B35F5CA" w14:textId="77777777" w:rsidR="00EE35E2" w:rsidRPr="004676F5" w:rsidRDefault="00EE35E2" w:rsidP="00EE35E2">
      <w:pPr>
        <w:ind w:firstLine="708"/>
        <w:jc w:val="both"/>
        <w:rPr>
          <w:lang w:val="de-DE"/>
        </w:rPr>
      </w:pPr>
      <w:r w:rsidRPr="004676F5">
        <w:rPr>
          <w:lang w:val="de-DE"/>
        </w:rPr>
        <w:t>Artikel XX.111 Nr. 2 ist nicht anwendbar auf Zahlungen, die der Schuldner in Ausführung des Plans leistet.</w:t>
      </w:r>
    </w:p>
    <w:p w14:paraId="702335F3" w14:textId="77777777" w:rsidR="00EE35E2" w:rsidRPr="004676F5" w:rsidRDefault="00EE35E2" w:rsidP="00EE35E2">
      <w:pPr>
        <w:ind w:firstLine="708"/>
        <w:jc w:val="both"/>
        <w:rPr>
          <w:lang w:val="de-DE"/>
        </w:rPr>
      </w:pPr>
    </w:p>
    <w:p w14:paraId="11D996E1" w14:textId="483CE057" w:rsidR="00EE35E2" w:rsidRPr="004676F5" w:rsidRDefault="00EE35E2" w:rsidP="00EE35E2">
      <w:pPr>
        <w:ind w:firstLine="708"/>
        <w:jc w:val="both"/>
        <w:rPr>
          <w:lang w:val="de-DE"/>
        </w:rPr>
      </w:pPr>
      <w:r w:rsidRPr="004676F5">
        <w:rPr>
          <w:lang w:val="de-DE"/>
        </w:rPr>
        <w:t>Unbeschadet der Artikel 2043</w:t>
      </w:r>
      <w:r w:rsidRPr="004676F5">
        <w:rPr>
          <w:i/>
          <w:lang w:val="de-DE"/>
        </w:rPr>
        <w:t>bis</w:t>
      </w:r>
      <w:r w:rsidRPr="004676F5">
        <w:rPr>
          <w:lang w:val="de-DE"/>
        </w:rPr>
        <w:t xml:space="preserve"> bis 2043</w:t>
      </w:r>
      <w:r w:rsidRPr="004676F5">
        <w:rPr>
          <w:i/>
          <w:lang w:val="de-DE"/>
        </w:rPr>
        <w:t>octies</w:t>
      </w:r>
      <w:r w:rsidRPr="004676F5">
        <w:rPr>
          <w:lang w:val="de-DE"/>
        </w:rPr>
        <w:t xml:space="preserve"> </w:t>
      </w:r>
      <w:r w:rsidR="006F1AA1" w:rsidRPr="004676F5">
        <w:rPr>
          <w:lang w:val="de-DE"/>
        </w:rPr>
        <w:t>[</w:t>
      </w:r>
      <w:r w:rsidRPr="004676F5">
        <w:rPr>
          <w:lang w:val="de-DE"/>
        </w:rPr>
        <w:t xml:space="preserve">des </w:t>
      </w:r>
      <w:r w:rsidR="006F1AA1" w:rsidRPr="004676F5">
        <w:rPr>
          <w:lang w:val="de-DE"/>
        </w:rPr>
        <w:t xml:space="preserve">früheren </w:t>
      </w:r>
      <w:r w:rsidRPr="004676F5">
        <w:rPr>
          <w:lang w:val="de-DE"/>
        </w:rPr>
        <w:t>Zivilgesetzbuches</w:t>
      </w:r>
      <w:r w:rsidR="006F1AA1" w:rsidRPr="004676F5">
        <w:rPr>
          <w:lang w:val="de-DE"/>
        </w:rPr>
        <w:t>]</w:t>
      </w:r>
      <w:r w:rsidRPr="004676F5">
        <w:rPr>
          <w:lang w:val="de-DE"/>
        </w:rPr>
        <w:t xml:space="preserve"> und der Auswirkungen einer in </w:t>
      </w:r>
      <w:r w:rsidR="006F1AA1" w:rsidRPr="004676F5">
        <w:rPr>
          <w:lang w:val="de-DE"/>
        </w:rPr>
        <w:t>[</w:t>
      </w:r>
      <w:r w:rsidRPr="004676F5">
        <w:rPr>
          <w:lang w:val="de-DE"/>
        </w:rPr>
        <w:t>Artikel XX.7</w:t>
      </w:r>
      <w:r w:rsidR="006F1AA1" w:rsidRPr="004676F5">
        <w:rPr>
          <w:lang w:val="de-DE"/>
        </w:rPr>
        <w:t>5/2]</w:t>
      </w:r>
      <w:r w:rsidRPr="004676F5">
        <w:rPr>
          <w:lang w:val="de-DE"/>
        </w:rPr>
        <w:t xml:space="preserve"> erwähnten Sondervereinbarung kommt der Plan weder Mitschuldnern noch Bestellern von persönlichen Sicherheiten zugute. Der Standpunkt eines Gläubigers dem Plan gegenüber beeinträchtigt nicht die Rechte, die dieser Gläubiger Dritten gegenüber, die sich verbürgt haben, geltend machen kann.</w:t>
      </w:r>
    </w:p>
    <w:p w14:paraId="637DE2EB" w14:textId="77777777" w:rsidR="00EE35E2" w:rsidRPr="004676F5" w:rsidRDefault="00EE35E2" w:rsidP="00EE35E2">
      <w:pPr>
        <w:ind w:firstLine="708"/>
        <w:jc w:val="both"/>
        <w:rPr>
          <w:lang w:val="de-DE"/>
        </w:rPr>
      </w:pPr>
    </w:p>
    <w:p w14:paraId="6F773F83" w14:textId="77777777" w:rsidR="00EE35E2" w:rsidRPr="004676F5" w:rsidRDefault="00EE35E2" w:rsidP="00EE35E2">
      <w:pPr>
        <w:ind w:firstLine="708"/>
        <w:jc w:val="both"/>
        <w:rPr>
          <w:lang w:val="de-DE"/>
        </w:rPr>
      </w:pPr>
      <w:r w:rsidRPr="004676F5">
        <w:rPr>
          <w:lang w:val="de-DE"/>
        </w:rPr>
        <w:lastRenderedPageBreak/>
        <w:t>Der natürlichen Person, die für den Schuldner unentgeltlich eine persönliche Sicherheit geleistet hat und deren in Artikel XX.54 § 3 erwähntem Antrag stattgeben worden ist, kommen die Auswirkungen der kollektiven Einigung zugute.</w:t>
      </w:r>
    </w:p>
    <w:p w14:paraId="14B3BA78" w14:textId="77777777" w:rsidR="006F1AA1" w:rsidRPr="004676F5" w:rsidRDefault="006F1AA1" w:rsidP="006F1AA1">
      <w:pPr>
        <w:jc w:val="both"/>
        <w:rPr>
          <w:lang w:val="de-DE"/>
        </w:rPr>
      </w:pPr>
    </w:p>
    <w:p w14:paraId="4D3D9E34" w14:textId="4FEB1837" w:rsidR="006F1AA1" w:rsidRPr="004676F5" w:rsidRDefault="006F1AA1" w:rsidP="006F1AA1">
      <w:pPr>
        <w:jc w:val="both"/>
        <w:rPr>
          <w:i/>
          <w:iCs/>
          <w:lang w:val="de-DE"/>
        </w:rPr>
      </w:pPr>
      <w:r w:rsidRPr="004676F5">
        <w:rPr>
          <w:i/>
          <w:iCs/>
          <w:lang w:val="de-DE"/>
        </w:rPr>
        <w:t>[Art. XX.82 Abs. 1 abgeändert durch Art. 118 Nr. 1 des G. vom 7. Juni 2023 (B.S. vom 7. Juli 2023); Abs. 3 abgeändert durch Art. 118 Nr. 2 des G. vom 7. Juni 2023 (B.S. vom 7. Juli 2023); Abs. 6 abgeändert durch Art. 118 Nr. 3 des G. vom 7. Juni 2023 (B.S. vom 7. Juli 2023)]</w:t>
      </w:r>
    </w:p>
    <w:p w14:paraId="4E537D04" w14:textId="77777777" w:rsidR="006F1AA1" w:rsidRPr="004676F5" w:rsidRDefault="006F1AA1" w:rsidP="006F1AA1">
      <w:pPr>
        <w:jc w:val="both"/>
        <w:rPr>
          <w:lang w:val="de-DE"/>
        </w:rPr>
      </w:pPr>
    </w:p>
    <w:p w14:paraId="5680BCC9" w14:textId="77777777" w:rsidR="006F1AA1" w:rsidRPr="004676F5" w:rsidRDefault="006F1AA1" w:rsidP="006F1AA1">
      <w:pPr>
        <w:jc w:val="both"/>
        <w:rPr>
          <w:lang w:val="de-DE"/>
        </w:rPr>
      </w:pPr>
    </w:p>
    <w:p w14:paraId="1440002F" w14:textId="657D0675" w:rsidR="006F1AA1" w:rsidRPr="004676F5" w:rsidRDefault="006F1AA1" w:rsidP="006F1AA1">
      <w:pPr>
        <w:jc w:val="center"/>
        <w:rPr>
          <w:lang w:val="de-DE"/>
        </w:rPr>
      </w:pPr>
      <w:r w:rsidRPr="004676F5">
        <w:rPr>
          <w:lang w:val="de-DE"/>
        </w:rPr>
        <w:t>[</w:t>
      </w:r>
      <w:r w:rsidRPr="004676F5">
        <w:rPr>
          <w:i/>
          <w:iCs/>
          <w:lang w:val="de-DE"/>
        </w:rPr>
        <w:t>Abschnitt 7</w:t>
      </w:r>
      <w:r w:rsidRPr="004676F5">
        <w:rPr>
          <w:lang w:val="de-DE"/>
        </w:rPr>
        <w:t> - Widerrufung des Reorganisationsplans und Feststellung, dass der Reorganisationsplan zu Ende geführt wurde]</w:t>
      </w:r>
    </w:p>
    <w:p w14:paraId="71B12A53" w14:textId="77777777" w:rsidR="006F1AA1" w:rsidRPr="004676F5" w:rsidRDefault="006F1AA1" w:rsidP="006F1AA1">
      <w:pPr>
        <w:jc w:val="both"/>
        <w:rPr>
          <w:lang w:val="de-DE"/>
        </w:rPr>
      </w:pPr>
    </w:p>
    <w:p w14:paraId="731D25D0" w14:textId="5C833B26" w:rsidR="006F1AA1" w:rsidRPr="004676F5" w:rsidRDefault="006F1AA1" w:rsidP="006F1AA1">
      <w:pPr>
        <w:jc w:val="both"/>
        <w:rPr>
          <w:i/>
          <w:iCs/>
          <w:lang w:val="de-DE"/>
        </w:rPr>
      </w:pPr>
      <w:r w:rsidRPr="004676F5">
        <w:rPr>
          <w:i/>
          <w:iCs/>
          <w:lang w:val="de-DE"/>
        </w:rPr>
        <w:t>[Unterteilung Abschnitt 7 eingefügt durch Art. 119 des G. vom 7. Juni 2023 (B.S. vom 7. Juli 2023)]</w:t>
      </w:r>
    </w:p>
    <w:p w14:paraId="1C3D0B0A" w14:textId="77777777" w:rsidR="006F1AA1" w:rsidRPr="004676F5" w:rsidRDefault="006F1AA1" w:rsidP="006F1AA1">
      <w:pPr>
        <w:jc w:val="both"/>
        <w:rPr>
          <w:lang w:val="de-DE"/>
        </w:rPr>
      </w:pPr>
    </w:p>
    <w:p w14:paraId="3C8998B3" w14:textId="77777777" w:rsidR="006F1AA1" w:rsidRPr="004676F5" w:rsidRDefault="006F1AA1" w:rsidP="006F1AA1">
      <w:pPr>
        <w:jc w:val="both"/>
        <w:rPr>
          <w:lang w:val="de-DE"/>
        </w:rPr>
      </w:pPr>
    </w:p>
    <w:p w14:paraId="40910A7A" w14:textId="75C3F425" w:rsidR="00EE35E2" w:rsidRPr="004676F5" w:rsidRDefault="00BE0A56" w:rsidP="00EE35E2">
      <w:pPr>
        <w:ind w:firstLine="708"/>
        <w:jc w:val="both"/>
        <w:rPr>
          <w:lang w:val="de-DE"/>
        </w:rPr>
      </w:pPr>
      <w:r w:rsidRPr="004676F5">
        <w:rPr>
          <w:b/>
          <w:lang w:val="de-DE"/>
        </w:rPr>
        <w:t>Art. </w:t>
      </w:r>
      <w:r w:rsidR="00EE35E2" w:rsidRPr="004676F5">
        <w:rPr>
          <w:b/>
          <w:lang w:val="de-DE"/>
        </w:rPr>
        <w:t>XX.83</w:t>
      </w:r>
      <w:r w:rsidR="00EE35E2" w:rsidRPr="004676F5">
        <w:rPr>
          <w:lang w:val="de-DE"/>
        </w:rPr>
        <w:t> </w:t>
      </w:r>
      <w:r w:rsidR="005B7A5C" w:rsidRPr="004676F5">
        <w:rPr>
          <w:lang w:val="de-DE"/>
        </w:rPr>
        <w:t>- </w:t>
      </w:r>
      <w:r w:rsidR="00EE35E2" w:rsidRPr="004676F5">
        <w:rPr>
          <w:lang w:val="de-DE"/>
        </w:rPr>
        <w:t>Ein Gläubiger kann mittels Ladung des Schuldners die Widerrufung eines Reorganisationsplans beantragen, wenn der Plan nicht genau ausgeführt wird oder wenn er nachweist, dass dies notgedrungener Maßen der Fall sein wird und er dadurch Schaden erleiden wird. Der Prokurator des Königs kann die Widerrufung auf dieselbe Weise beantragen, wenn er feststellt, dass der ganze Plan oder ein Teil davon nicht ausgeführt wird.</w:t>
      </w:r>
    </w:p>
    <w:p w14:paraId="174BB6AD" w14:textId="77777777" w:rsidR="00EE35E2" w:rsidRPr="004676F5" w:rsidRDefault="00EE35E2" w:rsidP="00EE35E2">
      <w:pPr>
        <w:ind w:firstLine="708"/>
        <w:jc w:val="both"/>
        <w:rPr>
          <w:lang w:val="de-DE"/>
        </w:rPr>
      </w:pPr>
    </w:p>
    <w:p w14:paraId="4EABC1D8" w14:textId="77777777" w:rsidR="00EE35E2" w:rsidRPr="004676F5" w:rsidRDefault="00EE35E2" w:rsidP="00EE35E2">
      <w:pPr>
        <w:ind w:firstLine="708"/>
        <w:jc w:val="both"/>
        <w:rPr>
          <w:lang w:val="de-DE"/>
        </w:rPr>
      </w:pPr>
      <w:r w:rsidRPr="004676F5">
        <w:rPr>
          <w:lang w:val="de-DE"/>
        </w:rPr>
        <w:t xml:space="preserve">Das Gericht entscheidet nach Vernehmung des Schuldners. Das Urteil zur Widerrufung des Plans wird auf Betreiben des Greffiers im </w:t>
      </w:r>
      <w:r w:rsidRPr="004676F5">
        <w:rPr>
          <w:i/>
          <w:lang w:val="de-DE"/>
        </w:rPr>
        <w:t>Belgischen Staatsblatt</w:t>
      </w:r>
      <w:r w:rsidRPr="004676F5">
        <w:rPr>
          <w:lang w:val="de-DE"/>
        </w:rPr>
        <w:t xml:space="preserve"> veröffentlicht. Betrifft das Urteil einen in Artikel I.1 Nr. 14 erwähnten Freiberufler, benachrichtigt der Greffier die Kammer oder das Institut, der/dem der Freiberufler untersteht.</w:t>
      </w:r>
    </w:p>
    <w:p w14:paraId="2E3861BF" w14:textId="77777777" w:rsidR="00EE35E2" w:rsidRPr="004676F5" w:rsidRDefault="00EE35E2" w:rsidP="00EE35E2">
      <w:pPr>
        <w:ind w:firstLine="708"/>
        <w:jc w:val="both"/>
        <w:rPr>
          <w:lang w:val="de-DE"/>
        </w:rPr>
      </w:pPr>
    </w:p>
    <w:p w14:paraId="440AB3E7" w14:textId="77777777" w:rsidR="00EE35E2" w:rsidRPr="004676F5" w:rsidRDefault="00EE35E2" w:rsidP="00EE35E2">
      <w:pPr>
        <w:ind w:firstLine="708"/>
        <w:jc w:val="both"/>
        <w:rPr>
          <w:lang w:val="de-DE"/>
        </w:rPr>
      </w:pPr>
      <w:r w:rsidRPr="004676F5">
        <w:rPr>
          <w:lang w:val="de-DE"/>
        </w:rPr>
        <w:t>Die Konkurseröffnung gegen den Schuldner führt von Rechts wegen zur Widerrufung des Reorganisationsplans.</w:t>
      </w:r>
    </w:p>
    <w:p w14:paraId="69A484C0" w14:textId="77777777" w:rsidR="00EE35E2" w:rsidRPr="004676F5" w:rsidRDefault="00EE35E2" w:rsidP="00EE35E2">
      <w:pPr>
        <w:ind w:firstLine="708"/>
        <w:jc w:val="both"/>
        <w:rPr>
          <w:lang w:val="de-DE"/>
        </w:rPr>
      </w:pPr>
    </w:p>
    <w:p w14:paraId="67859FCD" w14:textId="77777777" w:rsidR="00EE35E2" w:rsidRPr="004676F5" w:rsidRDefault="00EE35E2" w:rsidP="00EE35E2">
      <w:pPr>
        <w:ind w:firstLine="708"/>
        <w:jc w:val="both"/>
        <w:rPr>
          <w:lang w:val="de-DE"/>
        </w:rPr>
      </w:pPr>
      <w:r w:rsidRPr="004676F5">
        <w:rPr>
          <w:lang w:val="de-DE"/>
        </w:rPr>
        <w:t>Der Reorganisationsplan hat aufgrund seiner Widerrufung keine Auswirkung mehr, außer in Bezug auf bereits ausgeführte Zahlungen und Verrichtungen und unter anderem die bereits durchgeführte Übertragung der Gesamtheit oder eines Teils der Aktiva oder Tätigkeiten. Die Widerrufung hat zur Folge, dass der Schuldner und die Gläubiger sich bis auf vorerwähnte Auswirkungen wieder in der Lage befinden, als hätte es keinen homologierten Reorganisationsplan gegeben.</w:t>
      </w:r>
    </w:p>
    <w:p w14:paraId="0C506473" w14:textId="77777777" w:rsidR="00EE35E2" w:rsidRPr="004676F5" w:rsidRDefault="00EE35E2" w:rsidP="00EE35E2">
      <w:pPr>
        <w:ind w:firstLine="708"/>
        <w:jc w:val="both"/>
        <w:rPr>
          <w:lang w:val="de-DE"/>
        </w:rPr>
      </w:pPr>
    </w:p>
    <w:p w14:paraId="032A559D" w14:textId="77777777" w:rsidR="00EE35E2" w:rsidRPr="004676F5" w:rsidRDefault="00EE35E2" w:rsidP="00EE35E2">
      <w:pPr>
        <w:ind w:firstLine="708"/>
        <w:jc w:val="both"/>
        <w:rPr>
          <w:lang w:val="de-DE"/>
        </w:rPr>
      </w:pPr>
      <w:r w:rsidRPr="004676F5">
        <w:rPr>
          <w:lang w:val="de-DE"/>
        </w:rPr>
        <w:t>Das Gericht kann den Schuldner ab dem ersten Jahrestag der Homologierungs</w:t>
      </w:r>
      <w:r w:rsidRPr="004676F5">
        <w:rPr>
          <w:lang w:val="de-DE"/>
        </w:rPr>
        <w:softHyphen/>
        <w:t>entscheidung jedes Jahr von Amts wegen vorladen, damit er über die Ausführung der kollektiven Einigung Bericht erstattet. Die Erklärungen des Schuldners werden vom Greffier beurkundet, damit sie in der Akte der gerichtlichen Reorganisation hinterlegt werden.</w:t>
      </w:r>
    </w:p>
    <w:p w14:paraId="0A23269B" w14:textId="77777777" w:rsidR="00EE35E2" w:rsidRPr="004676F5" w:rsidRDefault="00EE35E2" w:rsidP="00EE35E2">
      <w:pPr>
        <w:ind w:firstLine="708"/>
        <w:jc w:val="both"/>
        <w:rPr>
          <w:lang w:val="de-DE"/>
        </w:rPr>
      </w:pPr>
    </w:p>
    <w:p w14:paraId="018CAF21" w14:textId="77777777" w:rsidR="00EE35E2" w:rsidRPr="004676F5" w:rsidRDefault="00EE35E2" w:rsidP="00EE35E2">
      <w:pPr>
        <w:ind w:firstLine="708"/>
        <w:jc w:val="both"/>
        <w:rPr>
          <w:lang w:val="de-DE"/>
        </w:rPr>
      </w:pPr>
      <w:r w:rsidRPr="004676F5">
        <w:rPr>
          <w:lang w:val="de-DE"/>
        </w:rPr>
        <w:t>Auf mit Gründen versehenen Antrag des Schuldners kann das Gericht durch Urteil festlegen, dass der Reorganisationsplan korrekt ausgeführt wurde, sofern der Nachweis erbracht wird, dass der Reorganisationsplan gemäß den festgelegten Bedingungen oder abweichend im Einvernehmen mit den betreffenden Gläubigern ausgeführt wurde.</w:t>
      </w:r>
    </w:p>
    <w:p w14:paraId="0D272C8B" w14:textId="77777777" w:rsidR="00EE35E2" w:rsidRPr="004676F5" w:rsidRDefault="00EE35E2" w:rsidP="00EE35E2">
      <w:pPr>
        <w:jc w:val="both"/>
        <w:rPr>
          <w:lang w:val="de-DE"/>
        </w:rPr>
      </w:pPr>
    </w:p>
    <w:p w14:paraId="32E4977C" w14:textId="1AFA4249" w:rsidR="000B77AB" w:rsidRPr="004676F5" w:rsidRDefault="000B77AB">
      <w:pPr>
        <w:rPr>
          <w:lang w:val="de-DE"/>
        </w:rPr>
      </w:pPr>
      <w:r w:rsidRPr="004676F5">
        <w:rPr>
          <w:lang w:val="de-DE"/>
        </w:rPr>
        <w:br w:type="page"/>
      </w:r>
    </w:p>
    <w:p w14:paraId="356459D0" w14:textId="77777777" w:rsidR="000B77AB" w:rsidRPr="004676F5" w:rsidRDefault="000B77AB" w:rsidP="000B77AB">
      <w:pPr>
        <w:jc w:val="center"/>
        <w:rPr>
          <w:lang w:val="de-DE"/>
        </w:rPr>
      </w:pPr>
      <w:r w:rsidRPr="004676F5">
        <w:rPr>
          <w:lang w:val="de-DE"/>
        </w:rPr>
        <w:lastRenderedPageBreak/>
        <w:t>[KAPITEL 3 - </w:t>
      </w:r>
      <w:r w:rsidRPr="004676F5">
        <w:rPr>
          <w:i/>
          <w:iCs/>
          <w:lang w:val="de-DE"/>
        </w:rPr>
        <w:t>Öffentliche gerichtliche Reorganisation durch eine auf große Unternehmen anwendbare kollektive Einigung</w:t>
      </w:r>
      <w:r w:rsidRPr="004676F5">
        <w:rPr>
          <w:lang w:val="de-DE"/>
        </w:rPr>
        <w:t>]</w:t>
      </w:r>
    </w:p>
    <w:p w14:paraId="6B8AB0C2" w14:textId="77777777" w:rsidR="000B77AB" w:rsidRPr="004676F5" w:rsidRDefault="000B77AB" w:rsidP="000B77AB">
      <w:pPr>
        <w:rPr>
          <w:lang w:val="de-DE"/>
        </w:rPr>
      </w:pPr>
    </w:p>
    <w:p w14:paraId="596379D2" w14:textId="6A768616" w:rsidR="000B77AB" w:rsidRPr="004676F5" w:rsidRDefault="000B77AB" w:rsidP="000B77AB">
      <w:pPr>
        <w:jc w:val="both"/>
        <w:rPr>
          <w:i/>
          <w:iCs/>
          <w:lang w:val="de-DE"/>
        </w:rPr>
      </w:pPr>
      <w:r w:rsidRPr="004676F5">
        <w:rPr>
          <w:i/>
          <w:iCs/>
          <w:lang w:val="de-DE"/>
        </w:rPr>
        <w:t>[Unterteilung Kapitel 3 eingefügt durch Art. 120 des G. vom 7. Juni 2023 (B.S. vom 7. Juli 2023)]</w:t>
      </w:r>
    </w:p>
    <w:p w14:paraId="6BC6D309" w14:textId="77777777" w:rsidR="000B77AB" w:rsidRPr="004676F5" w:rsidRDefault="000B77AB" w:rsidP="000B77AB">
      <w:pPr>
        <w:jc w:val="both"/>
        <w:rPr>
          <w:lang w:val="de-DE"/>
        </w:rPr>
      </w:pPr>
    </w:p>
    <w:p w14:paraId="6243839B" w14:textId="77777777" w:rsidR="000B77AB" w:rsidRPr="004676F5" w:rsidRDefault="000B77AB" w:rsidP="000B77AB">
      <w:pPr>
        <w:jc w:val="both"/>
        <w:rPr>
          <w:lang w:val="de-DE"/>
        </w:rPr>
      </w:pPr>
    </w:p>
    <w:p w14:paraId="0DCDABDC" w14:textId="2A0F8507" w:rsidR="000B77AB" w:rsidRPr="004676F5" w:rsidRDefault="000B77AB" w:rsidP="000B77AB">
      <w:pPr>
        <w:jc w:val="center"/>
        <w:rPr>
          <w:lang w:val="de-DE"/>
        </w:rPr>
      </w:pPr>
      <w:r w:rsidRPr="004676F5">
        <w:rPr>
          <w:lang w:val="de-DE"/>
        </w:rPr>
        <w:t>[</w:t>
      </w:r>
      <w:r w:rsidRPr="004676F5">
        <w:rPr>
          <w:i/>
          <w:iCs/>
          <w:lang w:val="de-DE"/>
        </w:rPr>
        <w:t>Abschnitt 1</w:t>
      </w:r>
      <w:r w:rsidRPr="004676F5">
        <w:rPr>
          <w:lang w:val="de-DE"/>
        </w:rPr>
        <w:t> - Anwendungsbereich]</w:t>
      </w:r>
    </w:p>
    <w:p w14:paraId="34E06575" w14:textId="77777777" w:rsidR="000B77AB" w:rsidRPr="004676F5" w:rsidRDefault="000B77AB" w:rsidP="000B77AB">
      <w:pPr>
        <w:jc w:val="center"/>
        <w:rPr>
          <w:lang w:val="de-DE"/>
        </w:rPr>
      </w:pPr>
    </w:p>
    <w:p w14:paraId="35159EC1" w14:textId="7E5BB822" w:rsidR="000B77AB" w:rsidRPr="004676F5" w:rsidRDefault="000B77AB" w:rsidP="000B77AB">
      <w:pPr>
        <w:jc w:val="both"/>
        <w:rPr>
          <w:i/>
          <w:iCs/>
          <w:lang w:val="de-DE"/>
        </w:rPr>
      </w:pPr>
      <w:r w:rsidRPr="004676F5">
        <w:rPr>
          <w:i/>
          <w:iCs/>
          <w:lang w:val="de-DE"/>
        </w:rPr>
        <w:t>[Unterteilung Abschnitt 1 eingefügt durch Art. 121 des G. vom 7. Juni 2023 (B.S. vom 7. Juli 2023)]</w:t>
      </w:r>
    </w:p>
    <w:p w14:paraId="545152A5" w14:textId="77777777" w:rsidR="000B77AB" w:rsidRPr="004676F5" w:rsidRDefault="000B77AB" w:rsidP="000B77AB">
      <w:pPr>
        <w:jc w:val="both"/>
        <w:rPr>
          <w:lang w:val="de-DE"/>
        </w:rPr>
      </w:pPr>
    </w:p>
    <w:p w14:paraId="7679B9A9" w14:textId="77777777" w:rsidR="000B77AB" w:rsidRPr="004676F5" w:rsidRDefault="000B77AB" w:rsidP="000B77AB">
      <w:pPr>
        <w:jc w:val="both"/>
        <w:rPr>
          <w:lang w:val="de-DE"/>
        </w:rPr>
      </w:pPr>
    </w:p>
    <w:p w14:paraId="617DFA9E" w14:textId="0B9B5B7E" w:rsidR="000B77AB" w:rsidRPr="004676F5" w:rsidRDefault="000B77AB" w:rsidP="000B77AB">
      <w:pPr>
        <w:ind w:firstLine="708"/>
        <w:jc w:val="both"/>
        <w:rPr>
          <w:lang w:val="de-DE"/>
        </w:rPr>
      </w:pPr>
      <w:r w:rsidRPr="004676F5">
        <w:rPr>
          <w:lang w:val="de-DE"/>
        </w:rPr>
        <w:t>[</w:t>
      </w:r>
      <w:r w:rsidRPr="004676F5">
        <w:rPr>
          <w:b/>
          <w:bCs/>
          <w:lang w:val="de-DE"/>
        </w:rPr>
        <w:t>Art. XX.83/1</w:t>
      </w:r>
      <w:r w:rsidRPr="004676F5">
        <w:rPr>
          <w:lang w:val="de-DE"/>
        </w:rPr>
        <w:t> - Vorliegendes Kapitel ist auf Gesellschaften, Vereinigungen oder Stiftungen anwendbar, die während zweier aufeinanderfolgender Geschäftsjahre eines oder mehrere der folgenden Kriterien überschreiten:</w:t>
      </w:r>
    </w:p>
    <w:p w14:paraId="39045E69" w14:textId="77777777" w:rsidR="000B77AB" w:rsidRPr="004676F5" w:rsidRDefault="000B77AB" w:rsidP="000B77AB">
      <w:pPr>
        <w:jc w:val="both"/>
        <w:rPr>
          <w:lang w:val="de-DE"/>
        </w:rPr>
      </w:pPr>
    </w:p>
    <w:p w14:paraId="77A6A1E8" w14:textId="77777777" w:rsidR="000B77AB" w:rsidRPr="004676F5" w:rsidRDefault="000B77AB" w:rsidP="000B77AB">
      <w:pPr>
        <w:jc w:val="both"/>
        <w:rPr>
          <w:lang w:val="de-DE"/>
        </w:rPr>
      </w:pPr>
      <w:r w:rsidRPr="004676F5">
        <w:rPr>
          <w:lang w:val="de-DE"/>
        </w:rPr>
        <w:tab/>
        <w:t>- jahresdurchschnittliche Beschäftigtenzahl: 250,</w:t>
      </w:r>
    </w:p>
    <w:p w14:paraId="4E9E3139" w14:textId="77777777" w:rsidR="000B77AB" w:rsidRPr="004676F5" w:rsidRDefault="000B77AB" w:rsidP="000B77AB">
      <w:pPr>
        <w:jc w:val="both"/>
        <w:rPr>
          <w:lang w:val="de-DE"/>
        </w:rPr>
      </w:pPr>
    </w:p>
    <w:p w14:paraId="25D33FEF" w14:textId="77777777" w:rsidR="000B77AB" w:rsidRPr="004676F5" w:rsidRDefault="000B77AB" w:rsidP="000B77AB">
      <w:pPr>
        <w:jc w:val="both"/>
        <w:rPr>
          <w:lang w:val="de-DE"/>
        </w:rPr>
      </w:pPr>
      <w:r w:rsidRPr="004676F5">
        <w:rPr>
          <w:lang w:val="de-DE"/>
        </w:rPr>
        <w:tab/>
        <w:t>- Jahresumsatz ohne Mehrwertsteuer: 40.000.000 EUR,</w:t>
      </w:r>
    </w:p>
    <w:p w14:paraId="344880B4" w14:textId="77777777" w:rsidR="000B77AB" w:rsidRPr="004676F5" w:rsidRDefault="000B77AB" w:rsidP="000B77AB">
      <w:pPr>
        <w:jc w:val="both"/>
        <w:rPr>
          <w:lang w:val="de-DE"/>
        </w:rPr>
      </w:pPr>
    </w:p>
    <w:p w14:paraId="5C7E3ACD" w14:textId="77777777" w:rsidR="000B77AB" w:rsidRPr="004676F5" w:rsidRDefault="000B77AB" w:rsidP="000B77AB">
      <w:pPr>
        <w:jc w:val="both"/>
        <w:rPr>
          <w:lang w:val="de-DE"/>
        </w:rPr>
      </w:pPr>
      <w:r w:rsidRPr="004676F5">
        <w:rPr>
          <w:lang w:val="de-DE"/>
        </w:rPr>
        <w:tab/>
        <w:t>- Bilanzsumme: 20.000.000 EUR.</w:t>
      </w:r>
    </w:p>
    <w:p w14:paraId="71A2BA43" w14:textId="77777777" w:rsidR="000B77AB" w:rsidRPr="004676F5" w:rsidRDefault="000B77AB" w:rsidP="000B77AB">
      <w:pPr>
        <w:jc w:val="both"/>
        <w:rPr>
          <w:lang w:val="de-DE"/>
        </w:rPr>
      </w:pPr>
    </w:p>
    <w:p w14:paraId="0AD09CD8" w14:textId="77777777" w:rsidR="000B77AB" w:rsidRPr="004676F5" w:rsidRDefault="000B77AB" w:rsidP="000B77AB">
      <w:pPr>
        <w:jc w:val="both"/>
        <w:rPr>
          <w:lang w:val="de-DE"/>
        </w:rPr>
      </w:pPr>
      <w:r w:rsidRPr="004676F5">
        <w:rPr>
          <w:lang w:val="de-DE"/>
        </w:rPr>
        <w:tab/>
        <w:t>Vorliegendes Kapitel ist auch auf Unternehmen anwendbar, die miteinander verbunden sind im Sinne von Artikel I.23 Nr. 26, wenn diese Körperschaften als Ganzes betrachtet den in Absatz 1 erwähnten Schwellenwert überschreiten.</w:t>
      </w:r>
    </w:p>
    <w:p w14:paraId="001DD1BB" w14:textId="77777777" w:rsidR="000B77AB" w:rsidRPr="004676F5" w:rsidRDefault="000B77AB" w:rsidP="000B77AB">
      <w:pPr>
        <w:jc w:val="both"/>
        <w:rPr>
          <w:lang w:val="de-DE"/>
        </w:rPr>
      </w:pPr>
    </w:p>
    <w:p w14:paraId="7794223B" w14:textId="08F21E3C" w:rsidR="000B77AB" w:rsidRPr="004676F5" w:rsidRDefault="000B77AB" w:rsidP="000B77AB">
      <w:pPr>
        <w:jc w:val="both"/>
        <w:rPr>
          <w:lang w:val="de-DE"/>
        </w:rPr>
      </w:pPr>
      <w:r w:rsidRPr="004676F5">
        <w:rPr>
          <w:lang w:val="de-DE"/>
        </w:rPr>
        <w:tab/>
        <w:t>Vorliegendes Kapitel ist auch auf Schuldner anwendbar, die in Artikel XX.66/1 erwähnt sind und sich bei der Hinterlegung der in Artikel XX.41 § 2 Absatz 2 erwähnten Antragschrift ausdrücklich dafür entschieden haben, ihren Reorganisationsplan vorliegendem Kapitel zu unterwerfen.]</w:t>
      </w:r>
    </w:p>
    <w:p w14:paraId="5102BB2C" w14:textId="77777777" w:rsidR="000B77AB" w:rsidRPr="004676F5" w:rsidRDefault="000B77AB" w:rsidP="000B77AB">
      <w:pPr>
        <w:jc w:val="both"/>
        <w:rPr>
          <w:lang w:val="de-DE"/>
        </w:rPr>
      </w:pPr>
    </w:p>
    <w:p w14:paraId="792D8533" w14:textId="0133E45D"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 eingefügt durch Art. 122 des G. vom 7. Juni 2023 (B.S. vom 7. Juli 2023)]</w:t>
      </w:r>
    </w:p>
    <w:p w14:paraId="0C958D06" w14:textId="77777777" w:rsidR="000B77AB" w:rsidRPr="004676F5" w:rsidRDefault="000B77AB" w:rsidP="000B77AB">
      <w:pPr>
        <w:jc w:val="both"/>
        <w:rPr>
          <w:lang w:val="de-DE"/>
        </w:rPr>
      </w:pPr>
    </w:p>
    <w:p w14:paraId="604FC539" w14:textId="77777777" w:rsidR="000B77AB" w:rsidRPr="004676F5" w:rsidRDefault="000B77AB" w:rsidP="000B77AB">
      <w:pPr>
        <w:jc w:val="both"/>
        <w:rPr>
          <w:lang w:val="de-DE"/>
        </w:rPr>
      </w:pPr>
    </w:p>
    <w:p w14:paraId="6F4E07E2" w14:textId="5239B083" w:rsidR="000B77AB" w:rsidRPr="004676F5" w:rsidRDefault="000B77AB" w:rsidP="000B77AB">
      <w:pPr>
        <w:jc w:val="center"/>
        <w:rPr>
          <w:lang w:val="de-DE"/>
        </w:rPr>
      </w:pPr>
      <w:r w:rsidRPr="004676F5">
        <w:rPr>
          <w:lang w:val="de-DE"/>
        </w:rPr>
        <w:t>[</w:t>
      </w:r>
      <w:r w:rsidRPr="004676F5">
        <w:rPr>
          <w:i/>
          <w:iCs/>
          <w:lang w:val="de-DE"/>
        </w:rPr>
        <w:t>Abschnitt 2</w:t>
      </w:r>
      <w:r w:rsidRPr="004676F5">
        <w:rPr>
          <w:lang w:val="de-DE"/>
        </w:rPr>
        <w:t> - Reorganisationsplan]</w:t>
      </w:r>
    </w:p>
    <w:p w14:paraId="42104279" w14:textId="77777777" w:rsidR="000B77AB" w:rsidRPr="004676F5" w:rsidRDefault="000B77AB" w:rsidP="000B77AB">
      <w:pPr>
        <w:jc w:val="center"/>
        <w:rPr>
          <w:lang w:val="de-DE"/>
        </w:rPr>
      </w:pPr>
    </w:p>
    <w:p w14:paraId="413B2DF3" w14:textId="3FC98A43" w:rsidR="000B77AB" w:rsidRPr="004676F5" w:rsidRDefault="000B77AB" w:rsidP="000B77AB">
      <w:pPr>
        <w:jc w:val="both"/>
        <w:rPr>
          <w:i/>
          <w:iCs/>
          <w:lang w:val="de-DE"/>
        </w:rPr>
      </w:pPr>
      <w:r w:rsidRPr="004676F5">
        <w:rPr>
          <w:i/>
          <w:iCs/>
          <w:lang w:val="de-DE"/>
        </w:rPr>
        <w:t>[Unterteilung Abschnitt 2 eingefügt durch Art. 123 des G. vom 7. Juni 2023 (B.S. vom 7. Juli 2023)]</w:t>
      </w:r>
    </w:p>
    <w:p w14:paraId="2BFE66DA" w14:textId="77777777" w:rsidR="000B77AB" w:rsidRPr="004676F5" w:rsidRDefault="000B77AB" w:rsidP="000B77AB">
      <w:pPr>
        <w:jc w:val="both"/>
        <w:rPr>
          <w:lang w:val="de-DE"/>
        </w:rPr>
      </w:pPr>
    </w:p>
    <w:p w14:paraId="1F9155E6" w14:textId="77777777" w:rsidR="000B77AB" w:rsidRPr="004676F5" w:rsidRDefault="000B77AB" w:rsidP="000B77AB">
      <w:pPr>
        <w:jc w:val="both"/>
        <w:rPr>
          <w:lang w:val="de-DE"/>
        </w:rPr>
      </w:pPr>
    </w:p>
    <w:p w14:paraId="536FC4E2" w14:textId="29D6BA0F" w:rsidR="000B77AB" w:rsidRPr="004676F5" w:rsidRDefault="000B77AB" w:rsidP="000B77AB">
      <w:pPr>
        <w:ind w:firstLine="708"/>
        <w:jc w:val="both"/>
        <w:rPr>
          <w:lang w:val="de-DE"/>
        </w:rPr>
      </w:pPr>
      <w:r w:rsidRPr="004676F5">
        <w:rPr>
          <w:lang w:val="de-DE"/>
        </w:rPr>
        <w:t>[</w:t>
      </w:r>
      <w:r w:rsidRPr="004676F5">
        <w:rPr>
          <w:b/>
          <w:bCs/>
          <w:lang w:val="de-DE"/>
        </w:rPr>
        <w:t>Art. XX.83/2</w:t>
      </w:r>
      <w:r w:rsidRPr="004676F5">
        <w:rPr>
          <w:lang w:val="de-DE"/>
        </w:rPr>
        <w:t> - Die Artikel XX.67 bis XX.69 sind entsprechend anwendbar.]</w:t>
      </w:r>
    </w:p>
    <w:p w14:paraId="5253FD27" w14:textId="77777777" w:rsidR="000B77AB" w:rsidRPr="004676F5" w:rsidRDefault="000B77AB" w:rsidP="000B77AB">
      <w:pPr>
        <w:jc w:val="both"/>
        <w:rPr>
          <w:lang w:val="de-DE"/>
        </w:rPr>
      </w:pPr>
    </w:p>
    <w:p w14:paraId="79994BF6" w14:textId="349852F2"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83/2 eingefügt durch Art. 124 des G. vom 7. Juni 2023 (B.S. vom 7. Juli 2023)]</w:t>
      </w:r>
    </w:p>
    <w:p w14:paraId="1F941230" w14:textId="77777777" w:rsidR="000B77AB" w:rsidRPr="004676F5" w:rsidRDefault="000B77AB" w:rsidP="000B77AB">
      <w:pPr>
        <w:jc w:val="both"/>
        <w:rPr>
          <w:lang w:val="de-DE"/>
        </w:rPr>
      </w:pPr>
    </w:p>
    <w:p w14:paraId="01E0E952" w14:textId="77777777" w:rsidR="000B77AB" w:rsidRPr="004676F5" w:rsidRDefault="000B77AB" w:rsidP="000B77AB">
      <w:pPr>
        <w:jc w:val="both"/>
        <w:rPr>
          <w:lang w:val="de-DE"/>
        </w:rPr>
      </w:pPr>
    </w:p>
    <w:p w14:paraId="4876525F" w14:textId="77777777" w:rsidR="000B77AB" w:rsidRPr="004676F5" w:rsidRDefault="000B77AB">
      <w:pPr>
        <w:rPr>
          <w:lang w:val="de-DE"/>
        </w:rPr>
      </w:pPr>
      <w:r w:rsidRPr="004676F5">
        <w:rPr>
          <w:lang w:val="de-DE"/>
        </w:rPr>
        <w:br w:type="page"/>
      </w:r>
    </w:p>
    <w:p w14:paraId="07CD3FEE" w14:textId="1DF483F0" w:rsidR="000B77AB" w:rsidRPr="004676F5" w:rsidRDefault="000B77AB" w:rsidP="000B77AB">
      <w:pPr>
        <w:jc w:val="center"/>
        <w:rPr>
          <w:lang w:val="de-DE"/>
        </w:rPr>
      </w:pPr>
      <w:r w:rsidRPr="004676F5">
        <w:rPr>
          <w:lang w:val="de-DE"/>
        </w:rPr>
        <w:lastRenderedPageBreak/>
        <w:t>[</w:t>
      </w:r>
      <w:r w:rsidRPr="004676F5">
        <w:rPr>
          <w:i/>
          <w:iCs/>
          <w:lang w:val="de-DE"/>
        </w:rPr>
        <w:t>Abschnitt 3</w:t>
      </w:r>
      <w:r w:rsidRPr="004676F5">
        <w:rPr>
          <w:lang w:val="de-DE"/>
        </w:rPr>
        <w:t> - Erstellung und Inhalt des Reorganisationsplans]</w:t>
      </w:r>
    </w:p>
    <w:p w14:paraId="35103089" w14:textId="77777777" w:rsidR="000B77AB" w:rsidRPr="004676F5" w:rsidRDefault="000B77AB" w:rsidP="000B77AB">
      <w:pPr>
        <w:jc w:val="center"/>
        <w:rPr>
          <w:lang w:val="de-DE"/>
        </w:rPr>
      </w:pPr>
    </w:p>
    <w:p w14:paraId="15F0D87B" w14:textId="2708F6E5" w:rsidR="000B77AB" w:rsidRPr="004676F5" w:rsidRDefault="000B77AB" w:rsidP="000B77AB">
      <w:pPr>
        <w:jc w:val="both"/>
        <w:rPr>
          <w:i/>
          <w:iCs/>
          <w:lang w:val="de-DE"/>
        </w:rPr>
      </w:pPr>
      <w:r w:rsidRPr="004676F5">
        <w:rPr>
          <w:i/>
          <w:iCs/>
          <w:lang w:val="de-DE"/>
        </w:rPr>
        <w:t>[Unterteilung Abschnitt 3 eingefügt durch Art. 125 des G. vom 7. Juni 2023 (B.S. vom 7. Juli 2023)]</w:t>
      </w:r>
    </w:p>
    <w:p w14:paraId="55467C92" w14:textId="77777777" w:rsidR="000B77AB" w:rsidRPr="004676F5" w:rsidRDefault="000B77AB" w:rsidP="000B77AB">
      <w:pPr>
        <w:jc w:val="center"/>
        <w:rPr>
          <w:lang w:val="de-DE"/>
        </w:rPr>
      </w:pPr>
    </w:p>
    <w:p w14:paraId="6854DAF7" w14:textId="77777777" w:rsidR="000B77AB" w:rsidRPr="004676F5" w:rsidRDefault="000B77AB" w:rsidP="000B77AB">
      <w:pPr>
        <w:jc w:val="both"/>
        <w:rPr>
          <w:lang w:val="de-DE"/>
        </w:rPr>
      </w:pPr>
    </w:p>
    <w:p w14:paraId="2B708926" w14:textId="1DA6EBC6" w:rsidR="000B77AB" w:rsidRPr="004676F5" w:rsidRDefault="000B77AB" w:rsidP="000B77AB">
      <w:pPr>
        <w:jc w:val="both"/>
        <w:rPr>
          <w:lang w:val="de-DE"/>
        </w:rPr>
      </w:pPr>
      <w:r w:rsidRPr="004676F5">
        <w:rPr>
          <w:lang w:val="de-DE"/>
        </w:rPr>
        <w:tab/>
        <w:t>[</w:t>
      </w:r>
      <w:r w:rsidRPr="004676F5">
        <w:rPr>
          <w:b/>
          <w:bCs/>
          <w:lang w:val="de-DE"/>
        </w:rPr>
        <w:t>Art. XX.83/3</w:t>
      </w:r>
      <w:r w:rsidRPr="004676F5">
        <w:rPr>
          <w:lang w:val="de-DE"/>
        </w:rPr>
        <w:t> - § 1 - Während des in Artikel XX.44 erwähnten Aufschubs arbeitet der Schuldner einen Reorganisationsplan aus.</w:t>
      </w:r>
    </w:p>
    <w:p w14:paraId="174A5059" w14:textId="77777777" w:rsidR="000B77AB" w:rsidRPr="004676F5" w:rsidRDefault="000B77AB" w:rsidP="000B77AB">
      <w:pPr>
        <w:jc w:val="both"/>
        <w:rPr>
          <w:lang w:val="de-DE"/>
        </w:rPr>
      </w:pPr>
    </w:p>
    <w:p w14:paraId="18F91C22" w14:textId="77777777" w:rsidR="000B77AB" w:rsidRPr="004676F5" w:rsidRDefault="000B77AB" w:rsidP="000B77AB">
      <w:pPr>
        <w:jc w:val="both"/>
        <w:rPr>
          <w:lang w:val="de-DE"/>
        </w:rPr>
      </w:pPr>
      <w:r w:rsidRPr="004676F5">
        <w:rPr>
          <w:lang w:val="de-DE"/>
        </w:rPr>
        <w:tab/>
        <w:t>Ist ein Reorganisationsbearbeiter bestellt worden, trägt er zur Ausarbeitung des Reorganisationsplans bei.</w:t>
      </w:r>
    </w:p>
    <w:p w14:paraId="27B907DD" w14:textId="77777777" w:rsidR="000B77AB" w:rsidRPr="004676F5" w:rsidRDefault="000B77AB" w:rsidP="000B77AB">
      <w:pPr>
        <w:jc w:val="both"/>
        <w:rPr>
          <w:lang w:val="de-DE"/>
        </w:rPr>
      </w:pPr>
    </w:p>
    <w:p w14:paraId="006F7604" w14:textId="77777777" w:rsidR="000B77AB" w:rsidRPr="004676F5" w:rsidRDefault="000B77AB" w:rsidP="000B77AB">
      <w:pPr>
        <w:jc w:val="both"/>
        <w:rPr>
          <w:lang w:val="de-DE"/>
        </w:rPr>
      </w:pPr>
      <w:r w:rsidRPr="004676F5">
        <w:rPr>
          <w:lang w:val="de-DE"/>
        </w:rPr>
        <w:tab/>
        <w:t>§ 2 - Der Plan muss gemäß den Artikeln XX.83/4 bis XX.83/10 erstellt werden.</w:t>
      </w:r>
    </w:p>
    <w:p w14:paraId="4F0F2AEE" w14:textId="77777777" w:rsidR="000B77AB" w:rsidRPr="004676F5" w:rsidRDefault="000B77AB" w:rsidP="000B77AB">
      <w:pPr>
        <w:jc w:val="both"/>
        <w:rPr>
          <w:lang w:val="de-DE"/>
        </w:rPr>
      </w:pPr>
    </w:p>
    <w:p w14:paraId="13EEBE23" w14:textId="211EF44B" w:rsidR="000B77AB" w:rsidRPr="004676F5" w:rsidRDefault="000B77AB" w:rsidP="000B77AB">
      <w:pPr>
        <w:jc w:val="both"/>
        <w:rPr>
          <w:lang w:val="de-DE"/>
        </w:rPr>
      </w:pPr>
      <w:r w:rsidRPr="004676F5">
        <w:rPr>
          <w:lang w:val="de-DE"/>
        </w:rPr>
        <w:tab/>
        <w:t>§ 3 - Der Plan kann von den Leitern einer juristischen Person erstellt und hinterlegt werden, ohne dass diese über die Zustimmung der Anteilsinhaber oder der Inhaber von Schuldverschreibungen verfügen müssen.]</w:t>
      </w:r>
    </w:p>
    <w:p w14:paraId="6AD7AD40" w14:textId="77777777" w:rsidR="000B77AB" w:rsidRPr="004676F5" w:rsidRDefault="000B77AB" w:rsidP="000B77AB">
      <w:pPr>
        <w:jc w:val="both"/>
        <w:rPr>
          <w:lang w:val="de-DE"/>
        </w:rPr>
      </w:pPr>
    </w:p>
    <w:p w14:paraId="4783284D" w14:textId="2CD7BEE9"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83/3 eingefügt durch Art. 126 des G. vom 7. Juni 2023 (B.S. vom 7. Juli 2023)]</w:t>
      </w:r>
    </w:p>
    <w:p w14:paraId="7E232001" w14:textId="77777777" w:rsidR="000B77AB" w:rsidRPr="004676F5" w:rsidRDefault="000B77AB" w:rsidP="000B77AB">
      <w:pPr>
        <w:jc w:val="both"/>
        <w:rPr>
          <w:lang w:val="de-DE"/>
        </w:rPr>
      </w:pPr>
    </w:p>
    <w:p w14:paraId="22F650F2" w14:textId="77777777" w:rsidR="000B77AB" w:rsidRPr="004676F5" w:rsidRDefault="000B77AB" w:rsidP="000B77AB">
      <w:pPr>
        <w:jc w:val="both"/>
        <w:rPr>
          <w:lang w:val="de-DE"/>
        </w:rPr>
      </w:pPr>
    </w:p>
    <w:p w14:paraId="5E8C219D" w14:textId="3089EB62" w:rsidR="000B77AB" w:rsidRPr="004676F5" w:rsidRDefault="000B77AB" w:rsidP="000B77AB">
      <w:pPr>
        <w:jc w:val="both"/>
        <w:rPr>
          <w:lang w:val="de-DE"/>
        </w:rPr>
      </w:pPr>
      <w:r w:rsidRPr="004676F5">
        <w:rPr>
          <w:lang w:val="de-DE"/>
        </w:rPr>
        <w:tab/>
        <w:t>[</w:t>
      </w:r>
      <w:r w:rsidRPr="004676F5">
        <w:rPr>
          <w:b/>
          <w:bCs/>
          <w:lang w:val="de-DE"/>
        </w:rPr>
        <w:t>Art. XX.83/4</w:t>
      </w:r>
      <w:r w:rsidRPr="004676F5">
        <w:rPr>
          <w:lang w:val="de-DE"/>
        </w:rPr>
        <w:t> - § 1 - Der Reorganisationsplan enthält alle Informationen, die für stimmberechtigte Gläubiger erforderlich sind, damit sie ordnungsgemäß informiert über den vorgeschlagenen Plan abstimmen können.</w:t>
      </w:r>
    </w:p>
    <w:p w14:paraId="40F26BBC" w14:textId="77777777" w:rsidR="000B77AB" w:rsidRPr="004676F5" w:rsidRDefault="000B77AB" w:rsidP="000B77AB">
      <w:pPr>
        <w:rPr>
          <w:lang w:val="de-DE"/>
        </w:rPr>
      </w:pPr>
    </w:p>
    <w:p w14:paraId="2F1BF41F" w14:textId="77777777" w:rsidR="000B77AB" w:rsidRPr="004676F5" w:rsidRDefault="000B77AB" w:rsidP="000B77AB">
      <w:pPr>
        <w:jc w:val="both"/>
        <w:rPr>
          <w:lang w:val="de-DE"/>
        </w:rPr>
      </w:pPr>
      <w:r w:rsidRPr="004676F5">
        <w:rPr>
          <w:lang w:val="de-DE"/>
        </w:rPr>
        <w:tab/>
        <w:t>§ 2 - Der Reorganisationsplan enthält folgende Angaben:</w:t>
      </w:r>
    </w:p>
    <w:p w14:paraId="5E712785" w14:textId="77777777" w:rsidR="000B77AB" w:rsidRPr="004676F5" w:rsidRDefault="000B77AB" w:rsidP="000B77AB">
      <w:pPr>
        <w:jc w:val="both"/>
        <w:rPr>
          <w:lang w:val="de-DE"/>
        </w:rPr>
      </w:pPr>
    </w:p>
    <w:p w14:paraId="3606067D" w14:textId="77777777" w:rsidR="000B77AB" w:rsidRPr="004676F5" w:rsidRDefault="000B77AB" w:rsidP="000B77AB">
      <w:pPr>
        <w:jc w:val="both"/>
        <w:rPr>
          <w:lang w:val="de-DE"/>
        </w:rPr>
      </w:pPr>
      <w:r w:rsidRPr="004676F5">
        <w:rPr>
          <w:lang w:val="de-DE"/>
        </w:rPr>
        <w:tab/>
        <w:t>1. die Identität des Schuldners, seine Adresse und seine Unternehmensnummer,</w:t>
      </w:r>
    </w:p>
    <w:p w14:paraId="2033B5D7" w14:textId="77777777" w:rsidR="000B77AB" w:rsidRPr="004676F5" w:rsidRDefault="000B77AB" w:rsidP="000B77AB">
      <w:pPr>
        <w:jc w:val="both"/>
        <w:rPr>
          <w:lang w:val="de-DE"/>
        </w:rPr>
      </w:pPr>
    </w:p>
    <w:p w14:paraId="7AD3B711" w14:textId="77777777" w:rsidR="000B77AB" w:rsidRPr="004676F5" w:rsidRDefault="000B77AB" w:rsidP="000B77AB">
      <w:pPr>
        <w:jc w:val="both"/>
        <w:rPr>
          <w:lang w:val="de-DE"/>
        </w:rPr>
      </w:pPr>
      <w:r w:rsidRPr="004676F5">
        <w:rPr>
          <w:lang w:val="de-DE"/>
        </w:rPr>
        <w:tab/>
        <w:t>2. eine Aufstellung der Aktiva und Passiva des Schuldners zum Zeitpunkt der Einreichung des Reorganisationsplans einschließlich einer Bewertung der Aktiva, eine Beschreibung der wirtschaftlichen Situation des Schuldners und der Position der Arbeitnehmer und eine Beschreibung der Ursachen und des Umfangs der Schwierigkeiten des Schuldners,</w:t>
      </w:r>
    </w:p>
    <w:p w14:paraId="27230FB2" w14:textId="77777777" w:rsidR="000B77AB" w:rsidRPr="004676F5" w:rsidRDefault="000B77AB" w:rsidP="000B77AB">
      <w:pPr>
        <w:jc w:val="both"/>
        <w:rPr>
          <w:lang w:val="de-DE"/>
        </w:rPr>
      </w:pPr>
    </w:p>
    <w:p w14:paraId="071DF7B5" w14:textId="77777777" w:rsidR="000B77AB" w:rsidRPr="004676F5" w:rsidRDefault="000B77AB" w:rsidP="000B77AB">
      <w:pPr>
        <w:jc w:val="both"/>
        <w:rPr>
          <w:lang w:val="de-DE"/>
        </w:rPr>
      </w:pPr>
      <w:r w:rsidRPr="004676F5">
        <w:rPr>
          <w:lang w:val="de-DE"/>
        </w:rPr>
        <w:tab/>
        <w:t>3. die entweder namentlich benannten oder unter Bezugnahme auf Schuldenkategorien beschriebenen betroffenen Parteien und ihre unter den Reorganisationsplan fallenden Forderungen oder Beteiligungen,</w:t>
      </w:r>
    </w:p>
    <w:p w14:paraId="23B49EA4" w14:textId="77777777" w:rsidR="000B77AB" w:rsidRPr="004676F5" w:rsidRDefault="000B77AB" w:rsidP="000B77AB">
      <w:pPr>
        <w:jc w:val="both"/>
        <w:rPr>
          <w:lang w:val="de-DE"/>
        </w:rPr>
      </w:pPr>
    </w:p>
    <w:p w14:paraId="6336C2C8" w14:textId="77777777" w:rsidR="000B77AB" w:rsidRPr="004676F5" w:rsidRDefault="000B77AB" w:rsidP="000B77AB">
      <w:pPr>
        <w:jc w:val="both"/>
        <w:rPr>
          <w:lang w:val="de-DE"/>
        </w:rPr>
      </w:pPr>
      <w:r w:rsidRPr="004676F5">
        <w:rPr>
          <w:lang w:val="de-DE"/>
        </w:rPr>
        <w:tab/>
        <w:t>4. die Klassen, in die die betroffenen Parteien für die Zwecke der Annahme des Reorganisationsplans gruppiert wurden, und die jeweilige Höhe der Forderungen und Beteiligungen in jeder Klasse,</w:t>
      </w:r>
    </w:p>
    <w:p w14:paraId="46DB5E41" w14:textId="77777777" w:rsidR="000B77AB" w:rsidRPr="004676F5" w:rsidRDefault="000B77AB" w:rsidP="000B77AB">
      <w:pPr>
        <w:jc w:val="both"/>
        <w:rPr>
          <w:lang w:val="de-DE"/>
        </w:rPr>
      </w:pPr>
    </w:p>
    <w:p w14:paraId="68BBB728" w14:textId="77777777" w:rsidR="000B77AB" w:rsidRPr="004676F5" w:rsidRDefault="000B77AB" w:rsidP="000B77AB">
      <w:pPr>
        <w:jc w:val="both"/>
        <w:rPr>
          <w:lang w:val="de-DE"/>
        </w:rPr>
      </w:pPr>
      <w:r w:rsidRPr="004676F5">
        <w:rPr>
          <w:lang w:val="de-DE"/>
        </w:rPr>
        <w:tab/>
        <w:t>5. gegebenenfalls die entweder namentlich benannten oder unter Bezugnahme auf Schuldenkategorien beschriebenen Parteien, die vom Reorganisationsplan nicht betroffen sind, zusammen mit einer Erläuterung der Gründe, weshalb sie nicht betroffen sein sollen,</w:t>
      </w:r>
    </w:p>
    <w:p w14:paraId="046E67AE" w14:textId="77777777" w:rsidR="000B77AB" w:rsidRPr="004676F5" w:rsidRDefault="000B77AB" w:rsidP="000B77AB">
      <w:pPr>
        <w:jc w:val="both"/>
        <w:rPr>
          <w:lang w:val="de-DE"/>
        </w:rPr>
      </w:pPr>
    </w:p>
    <w:p w14:paraId="1A8C3224" w14:textId="77777777" w:rsidR="000B77AB" w:rsidRPr="004676F5" w:rsidRDefault="000B77AB" w:rsidP="000B77AB">
      <w:pPr>
        <w:jc w:val="both"/>
        <w:rPr>
          <w:lang w:val="de-DE"/>
        </w:rPr>
      </w:pPr>
      <w:r w:rsidRPr="004676F5">
        <w:rPr>
          <w:lang w:val="de-DE"/>
        </w:rPr>
        <w:tab/>
        <w:t>6. gegebenenfalls die Identität des Reorganisationsbearbeiters,</w:t>
      </w:r>
    </w:p>
    <w:p w14:paraId="0F6C3DD6" w14:textId="77777777" w:rsidR="000B77AB" w:rsidRPr="004676F5" w:rsidRDefault="000B77AB" w:rsidP="000B77AB">
      <w:pPr>
        <w:jc w:val="both"/>
        <w:rPr>
          <w:lang w:val="de-DE"/>
        </w:rPr>
      </w:pPr>
    </w:p>
    <w:p w14:paraId="4DAD4F30" w14:textId="77777777" w:rsidR="000B77AB" w:rsidRPr="004676F5" w:rsidRDefault="000B77AB">
      <w:pPr>
        <w:rPr>
          <w:lang w:val="de-DE"/>
        </w:rPr>
      </w:pPr>
      <w:r w:rsidRPr="004676F5">
        <w:rPr>
          <w:lang w:val="de-DE"/>
        </w:rPr>
        <w:br w:type="page"/>
      </w:r>
    </w:p>
    <w:p w14:paraId="468CFB68" w14:textId="3617E4B2" w:rsidR="000B77AB" w:rsidRPr="004676F5" w:rsidRDefault="000B77AB" w:rsidP="000B77AB">
      <w:pPr>
        <w:jc w:val="both"/>
        <w:rPr>
          <w:lang w:val="de-DE"/>
        </w:rPr>
      </w:pPr>
      <w:r w:rsidRPr="004676F5">
        <w:rPr>
          <w:lang w:val="de-DE"/>
        </w:rPr>
        <w:lastRenderedPageBreak/>
        <w:tab/>
        <w:t>7. die Bedingungen des Reorganisationsplans, die unter anderem insbesondere Folgendes enthalten:</w:t>
      </w:r>
    </w:p>
    <w:p w14:paraId="29959542" w14:textId="77777777" w:rsidR="000B77AB" w:rsidRPr="004676F5" w:rsidRDefault="000B77AB" w:rsidP="000B77AB">
      <w:pPr>
        <w:jc w:val="both"/>
        <w:rPr>
          <w:lang w:val="de-DE"/>
        </w:rPr>
      </w:pPr>
    </w:p>
    <w:p w14:paraId="6A8BBB99" w14:textId="77777777" w:rsidR="000B77AB" w:rsidRPr="004676F5" w:rsidRDefault="000B77AB" w:rsidP="000B77AB">
      <w:pPr>
        <w:jc w:val="both"/>
        <w:rPr>
          <w:lang w:val="de-DE"/>
        </w:rPr>
      </w:pPr>
      <w:r w:rsidRPr="004676F5">
        <w:rPr>
          <w:lang w:val="de-DE"/>
        </w:rPr>
        <w:tab/>
      </w:r>
      <w:r w:rsidRPr="004676F5">
        <w:rPr>
          <w:i/>
          <w:lang w:val="de-DE"/>
        </w:rPr>
        <w:t>a) </w:t>
      </w:r>
      <w:r w:rsidRPr="004676F5">
        <w:rPr>
          <w:lang w:val="de-DE"/>
        </w:rPr>
        <w:t>Maßnahmen, die auf die Reorganisation des Unternehmens abzielen und zu denen die Änderung der Zusammensetzung, der Bedingungen oder der Struktur der Aktiva und Passiva des Schuldners oder jedes anderen Teils der Kapitalstruktur des Schuldners gehört, etwa der Verkauf von Aktiva oder Geschäftsbereichen und der Verkauf des Unternehmens als Ganzen sowie alle erforderlichen operativen Maßnahmen oder eine Kombination dieser Elemente,</w:t>
      </w:r>
    </w:p>
    <w:p w14:paraId="0DA8C662" w14:textId="77777777" w:rsidR="000B77AB" w:rsidRPr="004676F5" w:rsidRDefault="000B77AB" w:rsidP="000B77AB">
      <w:pPr>
        <w:jc w:val="both"/>
        <w:rPr>
          <w:lang w:val="de-DE"/>
        </w:rPr>
      </w:pPr>
    </w:p>
    <w:p w14:paraId="1ECF635D" w14:textId="77777777" w:rsidR="000B77AB" w:rsidRPr="004676F5" w:rsidRDefault="000B77AB" w:rsidP="000B77AB">
      <w:pPr>
        <w:jc w:val="both"/>
        <w:rPr>
          <w:lang w:val="de-DE"/>
        </w:rPr>
      </w:pPr>
      <w:r w:rsidRPr="004676F5">
        <w:rPr>
          <w:lang w:val="de-DE"/>
        </w:rPr>
        <w:tab/>
      </w:r>
      <w:r w:rsidRPr="004676F5">
        <w:rPr>
          <w:i/>
          <w:lang w:val="de-DE"/>
        </w:rPr>
        <w:t>b) </w:t>
      </w:r>
      <w:r w:rsidRPr="004676F5">
        <w:rPr>
          <w:lang w:val="de-DE"/>
        </w:rPr>
        <w:t>gegebenenfalls die vorgeschlagene Laufzeit der vorgeschlagenen Reorganisations</w:t>
      </w:r>
      <w:r w:rsidRPr="004676F5">
        <w:rPr>
          <w:lang w:val="de-DE"/>
        </w:rPr>
        <w:softHyphen/>
        <w:t>maßnahmen,</w:t>
      </w:r>
    </w:p>
    <w:p w14:paraId="15239E63" w14:textId="77777777" w:rsidR="000B77AB" w:rsidRPr="004676F5" w:rsidRDefault="000B77AB" w:rsidP="000B77AB">
      <w:pPr>
        <w:jc w:val="both"/>
        <w:rPr>
          <w:lang w:val="de-DE"/>
        </w:rPr>
      </w:pPr>
    </w:p>
    <w:p w14:paraId="127FE6E7" w14:textId="77777777" w:rsidR="000B77AB" w:rsidRPr="004676F5" w:rsidRDefault="000B77AB" w:rsidP="000B77AB">
      <w:pPr>
        <w:jc w:val="both"/>
        <w:rPr>
          <w:lang w:val="de-DE"/>
        </w:rPr>
      </w:pPr>
      <w:r w:rsidRPr="004676F5">
        <w:rPr>
          <w:lang w:val="de-DE"/>
        </w:rPr>
        <w:tab/>
      </w:r>
      <w:r w:rsidRPr="004676F5">
        <w:rPr>
          <w:i/>
          <w:lang w:val="de-DE"/>
        </w:rPr>
        <w:t>c)</w:t>
      </w:r>
      <w:r w:rsidRPr="004676F5">
        <w:rPr>
          <w:lang w:val="de-DE"/>
        </w:rPr>
        <w:t> die Modalitäten der Unterrichtung und Anhörung der Arbeitnehmervertreter,</w:t>
      </w:r>
    </w:p>
    <w:p w14:paraId="4FC9E277" w14:textId="77777777" w:rsidR="000B77AB" w:rsidRPr="004676F5" w:rsidRDefault="000B77AB" w:rsidP="000B77AB">
      <w:pPr>
        <w:jc w:val="both"/>
        <w:rPr>
          <w:lang w:val="de-DE"/>
        </w:rPr>
      </w:pPr>
    </w:p>
    <w:p w14:paraId="0F01D210" w14:textId="77777777" w:rsidR="000B77AB" w:rsidRPr="004676F5" w:rsidRDefault="000B77AB" w:rsidP="000B77AB">
      <w:pPr>
        <w:jc w:val="both"/>
        <w:rPr>
          <w:lang w:val="de-DE"/>
        </w:rPr>
      </w:pPr>
      <w:r w:rsidRPr="004676F5">
        <w:rPr>
          <w:lang w:val="de-DE"/>
        </w:rPr>
        <w:tab/>
      </w:r>
      <w:r w:rsidRPr="004676F5">
        <w:rPr>
          <w:i/>
          <w:lang w:val="de-DE"/>
        </w:rPr>
        <w:t>d)</w:t>
      </w:r>
      <w:r w:rsidRPr="004676F5">
        <w:rPr>
          <w:lang w:val="de-DE"/>
        </w:rPr>
        <w:t> gegebenenfalls allgemeine Auswirkungen auf die Beschäftigung wie Entlassungen, Kurzarbeitsregelungen oder Ähnliches,</w:t>
      </w:r>
    </w:p>
    <w:p w14:paraId="53E479B1" w14:textId="77777777" w:rsidR="000B77AB" w:rsidRPr="004676F5" w:rsidRDefault="000B77AB" w:rsidP="000B77AB">
      <w:pPr>
        <w:jc w:val="both"/>
        <w:rPr>
          <w:lang w:val="de-DE"/>
        </w:rPr>
      </w:pPr>
    </w:p>
    <w:p w14:paraId="7F1D58E2" w14:textId="77777777" w:rsidR="000B77AB" w:rsidRPr="004676F5" w:rsidRDefault="000B77AB" w:rsidP="000B77AB">
      <w:pPr>
        <w:jc w:val="both"/>
        <w:rPr>
          <w:lang w:val="de-DE"/>
        </w:rPr>
      </w:pPr>
      <w:r w:rsidRPr="004676F5">
        <w:rPr>
          <w:lang w:val="de-DE"/>
        </w:rPr>
        <w:tab/>
      </w:r>
      <w:r w:rsidRPr="004676F5">
        <w:rPr>
          <w:i/>
          <w:lang w:val="de-DE"/>
        </w:rPr>
        <w:t>e)</w:t>
      </w:r>
      <w:r w:rsidRPr="004676F5">
        <w:rPr>
          <w:lang w:val="de-DE"/>
        </w:rPr>
        <w:t> die voraussichtlichen Finanzströme des Schuldners, und</w:t>
      </w:r>
    </w:p>
    <w:p w14:paraId="23E7D149" w14:textId="77777777" w:rsidR="000B77AB" w:rsidRPr="004676F5" w:rsidRDefault="000B77AB" w:rsidP="000B77AB">
      <w:pPr>
        <w:jc w:val="both"/>
        <w:rPr>
          <w:lang w:val="de-DE"/>
        </w:rPr>
      </w:pPr>
    </w:p>
    <w:p w14:paraId="0F54A8AD" w14:textId="77777777" w:rsidR="000B77AB" w:rsidRPr="004676F5" w:rsidRDefault="000B77AB" w:rsidP="000B77AB">
      <w:pPr>
        <w:jc w:val="both"/>
        <w:rPr>
          <w:lang w:val="de-DE"/>
        </w:rPr>
      </w:pPr>
      <w:r w:rsidRPr="004676F5">
        <w:rPr>
          <w:lang w:val="de-DE"/>
        </w:rPr>
        <w:tab/>
      </w:r>
      <w:r w:rsidRPr="004676F5">
        <w:rPr>
          <w:i/>
          <w:lang w:val="de-DE"/>
        </w:rPr>
        <w:t>f)</w:t>
      </w:r>
      <w:r w:rsidRPr="004676F5">
        <w:rPr>
          <w:lang w:val="de-DE"/>
        </w:rPr>
        <w:t> eine neue Finanzierung, die als Teil des Reorganisationsplans vorgesehen ist, und die Gründe, weshalb die neue Finanzierung für die Umsetzung dieses Plans erforderlich ist,</w:t>
      </w:r>
    </w:p>
    <w:p w14:paraId="3DD7AF71" w14:textId="77777777" w:rsidR="000B77AB" w:rsidRPr="004676F5" w:rsidRDefault="000B77AB" w:rsidP="000B77AB">
      <w:pPr>
        <w:jc w:val="both"/>
        <w:rPr>
          <w:lang w:val="de-DE"/>
        </w:rPr>
      </w:pPr>
    </w:p>
    <w:p w14:paraId="16725D8B" w14:textId="77777777" w:rsidR="000B77AB" w:rsidRPr="004676F5" w:rsidRDefault="000B77AB" w:rsidP="000B77AB">
      <w:pPr>
        <w:jc w:val="both"/>
        <w:rPr>
          <w:lang w:val="de-DE"/>
        </w:rPr>
      </w:pPr>
      <w:r w:rsidRPr="004676F5">
        <w:rPr>
          <w:lang w:val="de-DE"/>
        </w:rPr>
        <w:tab/>
        <w:t>8. eine Begründung, in der erläutert wird, warum eine begründete Aussicht besteht, dass der Reorganisationsplan den Konkurs oder die Liquidation des Unternehmens verhindern und seine Bestandfähigkeit gewährleisten wird, einschließlich der notwendigen Voraussetzungen für den Erfolg des Plans.</w:t>
      </w:r>
    </w:p>
    <w:p w14:paraId="3C7B48A8" w14:textId="77777777" w:rsidR="000B77AB" w:rsidRPr="004676F5" w:rsidRDefault="000B77AB" w:rsidP="000B77AB">
      <w:pPr>
        <w:jc w:val="both"/>
        <w:rPr>
          <w:lang w:val="de-DE"/>
        </w:rPr>
      </w:pPr>
    </w:p>
    <w:p w14:paraId="609F207B" w14:textId="77777777" w:rsidR="000B77AB" w:rsidRPr="004676F5" w:rsidRDefault="000B77AB" w:rsidP="000B77AB">
      <w:pPr>
        <w:jc w:val="both"/>
        <w:rPr>
          <w:lang w:val="de-DE"/>
        </w:rPr>
      </w:pPr>
      <w:r w:rsidRPr="004676F5">
        <w:rPr>
          <w:lang w:val="de-DE"/>
        </w:rPr>
        <w:tab/>
        <w:t>§ 3 - Der König kann festlegen, welche zusätzlichen Informationen der Plan enthalten muss und in welcher Form diese Informationen zur Verfügung gestellt werden müssen.</w:t>
      </w:r>
    </w:p>
    <w:p w14:paraId="53AE0B83" w14:textId="77777777" w:rsidR="000B77AB" w:rsidRPr="004676F5" w:rsidRDefault="000B77AB" w:rsidP="000B77AB">
      <w:pPr>
        <w:jc w:val="both"/>
        <w:rPr>
          <w:lang w:val="de-DE"/>
        </w:rPr>
      </w:pPr>
    </w:p>
    <w:p w14:paraId="56FC91F5" w14:textId="77777777" w:rsidR="000B77AB" w:rsidRPr="004676F5" w:rsidRDefault="000B77AB" w:rsidP="000B77AB">
      <w:pPr>
        <w:jc w:val="both"/>
        <w:rPr>
          <w:lang w:val="de-DE"/>
        </w:rPr>
      </w:pPr>
      <w:r w:rsidRPr="004676F5">
        <w:rPr>
          <w:lang w:val="de-DE"/>
        </w:rPr>
        <w:tab/>
        <w:t>§ 4 - Der König kann im Register eine Checkliste zu Reorganisationsplänen zur Verfügung stellen, die praktische Leitlinien dazu enthält, wie der Reorganisationsplan zu erstellen ist.</w:t>
      </w:r>
    </w:p>
    <w:p w14:paraId="32783707" w14:textId="77777777" w:rsidR="000B77AB" w:rsidRPr="004676F5" w:rsidRDefault="000B77AB" w:rsidP="000B77AB">
      <w:pPr>
        <w:jc w:val="both"/>
        <w:rPr>
          <w:lang w:val="de-DE"/>
        </w:rPr>
      </w:pPr>
    </w:p>
    <w:p w14:paraId="48E3C4E9" w14:textId="4E7863AB" w:rsidR="000B77AB" w:rsidRPr="004676F5" w:rsidRDefault="000B77AB" w:rsidP="000B77AB">
      <w:pPr>
        <w:jc w:val="both"/>
        <w:rPr>
          <w:lang w:val="de-DE"/>
        </w:rPr>
      </w:pPr>
      <w:r w:rsidRPr="004676F5">
        <w:rPr>
          <w:lang w:val="de-DE"/>
        </w:rPr>
        <w:tab/>
        <w:t>Die Checkliste wird im Register in deutscher, französischer, niederländischer und englischer Sprache zur Verfügung gestellt.]</w:t>
      </w:r>
    </w:p>
    <w:p w14:paraId="0A06104D" w14:textId="77777777" w:rsidR="000B77AB" w:rsidRPr="004676F5" w:rsidRDefault="000B77AB" w:rsidP="000B77AB">
      <w:pPr>
        <w:jc w:val="both"/>
        <w:rPr>
          <w:lang w:val="de-DE"/>
        </w:rPr>
      </w:pPr>
    </w:p>
    <w:p w14:paraId="47619902" w14:textId="65739C4B"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83/4 eingefügt durch Art. 127 des G. vom 7. Juni 2023 (B.S. vom 7. Juli 2023)]</w:t>
      </w:r>
    </w:p>
    <w:p w14:paraId="53115785" w14:textId="77777777" w:rsidR="000B77AB" w:rsidRPr="004676F5" w:rsidRDefault="000B77AB" w:rsidP="000B77AB">
      <w:pPr>
        <w:jc w:val="both"/>
        <w:rPr>
          <w:lang w:val="de-DE"/>
        </w:rPr>
      </w:pPr>
    </w:p>
    <w:p w14:paraId="6505EF6A" w14:textId="77777777" w:rsidR="000B77AB" w:rsidRPr="004676F5" w:rsidRDefault="000B77AB" w:rsidP="000B77AB">
      <w:pPr>
        <w:jc w:val="both"/>
        <w:rPr>
          <w:lang w:val="de-DE"/>
        </w:rPr>
      </w:pPr>
    </w:p>
    <w:p w14:paraId="4CA84449" w14:textId="09826D86" w:rsidR="000B77AB" w:rsidRPr="004676F5" w:rsidRDefault="000B77AB" w:rsidP="000B77AB">
      <w:pPr>
        <w:ind w:firstLine="708"/>
        <w:jc w:val="both"/>
        <w:rPr>
          <w:lang w:val="de-DE"/>
        </w:rPr>
      </w:pPr>
      <w:r w:rsidRPr="004676F5">
        <w:rPr>
          <w:bCs/>
          <w:lang w:val="de-DE"/>
        </w:rPr>
        <w:t>[</w:t>
      </w:r>
      <w:r w:rsidRPr="004676F5">
        <w:rPr>
          <w:b/>
          <w:bCs/>
          <w:lang w:val="de-DE"/>
        </w:rPr>
        <w:t>Art. XX.83/5</w:t>
      </w:r>
      <w:r w:rsidRPr="004676F5">
        <w:rPr>
          <w:lang w:val="de-DE"/>
        </w:rPr>
        <w:t> - Im Reorganisationsplan wird angegeben, welche Forderungen noch in Anwendung von Artikel XX.49 oder XX.68 angefochten werden, damit Interessehabende über ihren Umfang und ihre Grundlage informiert werden.]</w:t>
      </w:r>
    </w:p>
    <w:p w14:paraId="66F6BF70" w14:textId="77777777" w:rsidR="000B77AB" w:rsidRPr="004676F5" w:rsidRDefault="000B77AB" w:rsidP="000B77AB">
      <w:pPr>
        <w:jc w:val="both"/>
        <w:rPr>
          <w:lang w:val="de-DE"/>
        </w:rPr>
      </w:pPr>
    </w:p>
    <w:p w14:paraId="67037C66" w14:textId="37206ABD"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83/5 eingefügt durch Art. 128 des G. vom 7. Juni 2023 (B.S. vom 7. Juli 2023)]</w:t>
      </w:r>
    </w:p>
    <w:p w14:paraId="5F7914A9" w14:textId="77777777" w:rsidR="000B77AB" w:rsidRPr="004676F5" w:rsidRDefault="000B77AB" w:rsidP="000B77AB">
      <w:pPr>
        <w:jc w:val="both"/>
        <w:rPr>
          <w:lang w:val="de-DE"/>
        </w:rPr>
      </w:pPr>
    </w:p>
    <w:p w14:paraId="2D75CDDD" w14:textId="77777777" w:rsidR="000B77AB" w:rsidRPr="004676F5" w:rsidRDefault="000B77AB" w:rsidP="000B77AB">
      <w:pPr>
        <w:jc w:val="both"/>
        <w:rPr>
          <w:lang w:val="de-DE"/>
        </w:rPr>
      </w:pPr>
    </w:p>
    <w:p w14:paraId="4102A3B3" w14:textId="1B676F41" w:rsidR="000B77AB" w:rsidRPr="004676F5" w:rsidRDefault="000B77AB" w:rsidP="000B77AB">
      <w:pPr>
        <w:ind w:firstLine="708"/>
        <w:jc w:val="both"/>
        <w:rPr>
          <w:lang w:val="de-DE"/>
        </w:rPr>
      </w:pPr>
      <w:r w:rsidRPr="004676F5">
        <w:rPr>
          <w:lang w:val="de-DE"/>
        </w:rPr>
        <w:t>[</w:t>
      </w:r>
      <w:r w:rsidRPr="004676F5">
        <w:rPr>
          <w:b/>
          <w:bCs/>
          <w:lang w:val="de-DE"/>
        </w:rPr>
        <w:t>Art. XX.83/6 </w:t>
      </w:r>
      <w:r w:rsidRPr="004676F5">
        <w:rPr>
          <w:lang w:val="de-DE"/>
        </w:rPr>
        <w:t xml:space="preserve">- Der Reorganisationsplan kann eine Liste von Gläubigern enthalten, deren Forderungen nominell minimal sind und deren Aufnahme in den Plan als betroffene </w:t>
      </w:r>
      <w:r w:rsidRPr="004676F5">
        <w:rPr>
          <w:lang w:val="de-DE"/>
        </w:rPr>
        <w:lastRenderedPageBreak/>
        <w:t>Gläubiger eine nicht zu rechtfertigende administrative und finanzielle Belastung darstellen würde.</w:t>
      </w:r>
    </w:p>
    <w:p w14:paraId="1D4ED7F5" w14:textId="77777777" w:rsidR="000B77AB" w:rsidRPr="004676F5" w:rsidRDefault="000B77AB" w:rsidP="000B77AB">
      <w:pPr>
        <w:jc w:val="both"/>
        <w:rPr>
          <w:lang w:val="de-DE"/>
        </w:rPr>
      </w:pPr>
    </w:p>
    <w:p w14:paraId="74BF81E1" w14:textId="7A90A7BB" w:rsidR="000B77AB" w:rsidRPr="004676F5" w:rsidRDefault="000B77AB" w:rsidP="000B77AB">
      <w:pPr>
        <w:jc w:val="both"/>
        <w:rPr>
          <w:lang w:val="de-DE"/>
        </w:rPr>
      </w:pPr>
      <w:r w:rsidRPr="004676F5">
        <w:rPr>
          <w:lang w:val="de-DE"/>
        </w:rPr>
        <w:tab/>
        <w:t>Der Plan enthält die Gründe, weshalb es im besten Interesse aller betroffenen Gläubiger ist, dass diese Forderungen außerhalb des Plans bearbeitet und sofort beglichen werden.]</w:t>
      </w:r>
    </w:p>
    <w:p w14:paraId="2C9681AD" w14:textId="77777777" w:rsidR="000B77AB" w:rsidRPr="004676F5" w:rsidRDefault="000B77AB" w:rsidP="000B77AB">
      <w:pPr>
        <w:jc w:val="both"/>
        <w:rPr>
          <w:lang w:val="de-DE"/>
        </w:rPr>
      </w:pPr>
    </w:p>
    <w:p w14:paraId="37BE7E75" w14:textId="3DDAF776"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83/6 eingefügt durch Art. 129 des G. vom 7. Juni 2023 (B.S. vom 7. Juli 2023)]</w:t>
      </w:r>
    </w:p>
    <w:p w14:paraId="13B6BA67" w14:textId="77777777" w:rsidR="000B77AB" w:rsidRPr="004676F5" w:rsidRDefault="000B77AB" w:rsidP="000B77AB">
      <w:pPr>
        <w:jc w:val="both"/>
        <w:rPr>
          <w:lang w:val="de-DE"/>
        </w:rPr>
      </w:pPr>
    </w:p>
    <w:p w14:paraId="71E6978F" w14:textId="77777777" w:rsidR="000B77AB" w:rsidRPr="004676F5" w:rsidRDefault="000B77AB" w:rsidP="000B77AB">
      <w:pPr>
        <w:jc w:val="both"/>
        <w:rPr>
          <w:lang w:val="de-DE"/>
        </w:rPr>
      </w:pPr>
    </w:p>
    <w:p w14:paraId="6EFD5AA9" w14:textId="1D561BAF" w:rsidR="000B77AB" w:rsidRPr="004676F5" w:rsidRDefault="000B77AB" w:rsidP="000B77AB">
      <w:pPr>
        <w:ind w:firstLine="708"/>
        <w:jc w:val="both"/>
        <w:rPr>
          <w:lang w:val="de-DE"/>
        </w:rPr>
      </w:pPr>
      <w:r w:rsidRPr="004676F5">
        <w:rPr>
          <w:bCs/>
          <w:lang w:val="de-DE"/>
        </w:rPr>
        <w:t>[</w:t>
      </w:r>
      <w:r w:rsidRPr="004676F5">
        <w:rPr>
          <w:b/>
          <w:bCs/>
          <w:lang w:val="de-DE"/>
        </w:rPr>
        <w:t>Art. XX.83/7</w:t>
      </w:r>
      <w:r w:rsidRPr="004676F5">
        <w:rPr>
          <w:lang w:val="de-DE"/>
        </w:rPr>
        <w:t> - Im Reorganisationsplan können nicht vorgesehen werden:</w:t>
      </w:r>
    </w:p>
    <w:p w14:paraId="088BF8CA" w14:textId="77777777" w:rsidR="000B77AB" w:rsidRPr="004676F5" w:rsidRDefault="000B77AB" w:rsidP="000B77AB">
      <w:pPr>
        <w:jc w:val="both"/>
        <w:rPr>
          <w:lang w:val="de-DE"/>
        </w:rPr>
      </w:pPr>
    </w:p>
    <w:p w14:paraId="7CD4065D" w14:textId="77777777" w:rsidR="000B77AB" w:rsidRPr="004676F5" w:rsidRDefault="000B77AB" w:rsidP="000B77AB">
      <w:pPr>
        <w:jc w:val="both"/>
        <w:rPr>
          <w:lang w:val="de-DE"/>
        </w:rPr>
      </w:pPr>
      <w:r w:rsidRPr="004676F5">
        <w:rPr>
          <w:lang w:val="de-DE"/>
        </w:rPr>
        <w:tab/>
        <w:t>- Verringerung von oder Verzicht auf aufgeschobene Forderungen aus Arbeits</w:t>
      </w:r>
      <w:r w:rsidRPr="004676F5">
        <w:rPr>
          <w:lang w:val="de-DE"/>
        </w:rPr>
        <w:softHyphen/>
        <w:t>leistungen, Steuer- oder Sozialbeiträge und -schulden ausgenommen,</w:t>
      </w:r>
    </w:p>
    <w:p w14:paraId="6D052BB2" w14:textId="77777777" w:rsidR="000B77AB" w:rsidRPr="004676F5" w:rsidRDefault="000B77AB" w:rsidP="000B77AB">
      <w:pPr>
        <w:jc w:val="both"/>
        <w:rPr>
          <w:lang w:val="de-DE"/>
        </w:rPr>
      </w:pPr>
    </w:p>
    <w:p w14:paraId="7A6A4D10" w14:textId="77777777" w:rsidR="000B77AB" w:rsidRPr="004676F5" w:rsidRDefault="000B77AB" w:rsidP="000B77AB">
      <w:pPr>
        <w:jc w:val="both"/>
        <w:rPr>
          <w:lang w:val="de-DE"/>
        </w:rPr>
      </w:pPr>
      <w:r w:rsidRPr="004676F5">
        <w:rPr>
          <w:lang w:val="de-DE"/>
        </w:rPr>
        <w:tab/>
        <w:t>- Verringerung von Unterhaltsschulden oder Schulden, die für den Schuldner aus der Verpflichtung hervorgehen, durch sein Verschulden bei Tod oder Beeinträchtigung der körperlichen Unversehrtheit einer Person entstandenen Schaden zu ersetzen,</w:t>
      </w:r>
    </w:p>
    <w:p w14:paraId="5B1B5353" w14:textId="77777777" w:rsidR="000B77AB" w:rsidRPr="004676F5" w:rsidRDefault="000B77AB" w:rsidP="000B77AB">
      <w:pPr>
        <w:jc w:val="both"/>
        <w:rPr>
          <w:lang w:val="de-DE"/>
        </w:rPr>
      </w:pPr>
    </w:p>
    <w:p w14:paraId="42588260" w14:textId="00FED879" w:rsidR="000B77AB" w:rsidRPr="004676F5" w:rsidRDefault="000B77AB" w:rsidP="000B77AB">
      <w:pPr>
        <w:jc w:val="both"/>
        <w:rPr>
          <w:lang w:val="de-DE"/>
        </w:rPr>
      </w:pPr>
      <w:r w:rsidRPr="004676F5">
        <w:rPr>
          <w:lang w:val="de-DE"/>
        </w:rPr>
        <w:tab/>
        <w:t>- Verringerung oder Erlass von strafrechtlichen Geldbußen.]</w:t>
      </w:r>
    </w:p>
    <w:p w14:paraId="1F28055F" w14:textId="77777777" w:rsidR="000B77AB" w:rsidRPr="004676F5" w:rsidRDefault="000B77AB" w:rsidP="000B77AB">
      <w:pPr>
        <w:jc w:val="both"/>
        <w:rPr>
          <w:lang w:val="de-DE"/>
        </w:rPr>
      </w:pPr>
    </w:p>
    <w:p w14:paraId="0CC6E41C" w14:textId="441BF9BA"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83/7 eingefügt durch Art. 130 des G. vom 7. Juni 2023 (B.S. vom 7. Juli 2023)]</w:t>
      </w:r>
    </w:p>
    <w:p w14:paraId="3047BEF2" w14:textId="77777777" w:rsidR="000B77AB" w:rsidRPr="004676F5" w:rsidRDefault="000B77AB" w:rsidP="000B77AB">
      <w:pPr>
        <w:jc w:val="both"/>
        <w:rPr>
          <w:lang w:val="de-DE"/>
        </w:rPr>
      </w:pPr>
    </w:p>
    <w:p w14:paraId="5081EDAC" w14:textId="77777777" w:rsidR="000B77AB" w:rsidRPr="004676F5" w:rsidRDefault="000B77AB" w:rsidP="000B77AB">
      <w:pPr>
        <w:jc w:val="both"/>
        <w:rPr>
          <w:lang w:val="de-DE"/>
        </w:rPr>
      </w:pPr>
    </w:p>
    <w:p w14:paraId="2387BA73" w14:textId="5604D3CE" w:rsidR="000B77AB" w:rsidRPr="004676F5" w:rsidRDefault="000B77AB" w:rsidP="000B77AB">
      <w:pPr>
        <w:jc w:val="both"/>
        <w:rPr>
          <w:lang w:val="de-DE"/>
        </w:rPr>
      </w:pPr>
      <w:r w:rsidRPr="004676F5">
        <w:rPr>
          <w:lang w:val="de-DE"/>
        </w:rPr>
        <w:tab/>
        <w:t>[</w:t>
      </w:r>
      <w:r w:rsidRPr="004676F5">
        <w:rPr>
          <w:b/>
          <w:bCs/>
          <w:lang w:val="de-DE"/>
        </w:rPr>
        <w:t>Art. XX.83/8</w:t>
      </w:r>
      <w:r w:rsidRPr="004676F5">
        <w:rPr>
          <w:lang w:val="de-DE"/>
        </w:rPr>
        <w:t> - Im Plan kann darüber hinaus vorgesehen werden, dass zwischen aufgeschobenen Forderungen und nach der Homologierung entstandenen Schulden des Gläubiger-Inhabers keine Aufrechnung möglich sein wird. Ein solcher Vorschlag kann nicht in Bezug auf zusammenhängende Forderungen gemacht werden.</w:t>
      </w:r>
    </w:p>
    <w:p w14:paraId="290894E3" w14:textId="77777777" w:rsidR="000B77AB" w:rsidRPr="004676F5" w:rsidRDefault="000B77AB" w:rsidP="000B77AB">
      <w:pPr>
        <w:jc w:val="both"/>
        <w:rPr>
          <w:lang w:val="de-DE"/>
        </w:rPr>
      </w:pPr>
    </w:p>
    <w:p w14:paraId="49448A67" w14:textId="77777777" w:rsidR="000B77AB" w:rsidRPr="004676F5" w:rsidRDefault="000B77AB" w:rsidP="000B77AB">
      <w:pPr>
        <w:jc w:val="both"/>
        <w:rPr>
          <w:lang w:val="de-DE"/>
        </w:rPr>
      </w:pPr>
      <w:r w:rsidRPr="004676F5">
        <w:rPr>
          <w:lang w:val="de-DE"/>
        </w:rPr>
        <w:tab/>
        <w:t>Ist für den Fortbestand des Unternehmens eine Verringerung der Lohnsumme erforderlich, wird im Reorganisationsplan ein Abschnitt mit Sozialmaßnahmen vorgesehen, sofern ein solcher Plan noch nicht ausgehandelt worden ist. Gegebenenfalls können in diesem Plan Entlassungen vorgesehen werden.</w:t>
      </w:r>
    </w:p>
    <w:p w14:paraId="657E6543" w14:textId="77777777" w:rsidR="000B77AB" w:rsidRPr="004676F5" w:rsidRDefault="000B77AB" w:rsidP="000B77AB">
      <w:pPr>
        <w:jc w:val="both"/>
        <w:rPr>
          <w:lang w:val="de-DE"/>
        </w:rPr>
      </w:pPr>
    </w:p>
    <w:p w14:paraId="3CFF9EFF" w14:textId="01BD756C" w:rsidR="000B77AB" w:rsidRPr="004676F5" w:rsidRDefault="000B77AB" w:rsidP="000B77AB">
      <w:pPr>
        <w:jc w:val="both"/>
        <w:rPr>
          <w:lang w:val="de-DE"/>
        </w:rPr>
      </w:pPr>
      <w:r w:rsidRPr="004676F5">
        <w:rPr>
          <w:lang w:val="de-DE"/>
        </w:rPr>
        <w:tab/>
        <w:t>Bei Erstellung dieses Plans werden die Vertreter des Personals im Betriebsrat oder - in dessen Ermangelung - im Ausschuss für Gefahrenverhütung und Schutz am Arbeitsplatz oder - in dessen Ermangelung - die Gewerkschaftsvertretung oder - in deren Ermangelung - eine Abordnung des Personals angehört.]</w:t>
      </w:r>
    </w:p>
    <w:p w14:paraId="48621720" w14:textId="77777777" w:rsidR="000B77AB" w:rsidRPr="004676F5" w:rsidRDefault="000B77AB" w:rsidP="000B77AB">
      <w:pPr>
        <w:jc w:val="both"/>
        <w:rPr>
          <w:lang w:val="de-DE"/>
        </w:rPr>
      </w:pPr>
    </w:p>
    <w:p w14:paraId="218AC63C" w14:textId="47E69958"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83/8 eingefügt durch Art. 131 des G. vom 7. Juni 2023 (B.S. vom 7. Juli 2023)]</w:t>
      </w:r>
    </w:p>
    <w:p w14:paraId="779D2B8E" w14:textId="77777777" w:rsidR="000B77AB" w:rsidRPr="004676F5" w:rsidRDefault="000B77AB" w:rsidP="000B77AB">
      <w:pPr>
        <w:jc w:val="both"/>
        <w:rPr>
          <w:lang w:val="de-DE"/>
        </w:rPr>
      </w:pPr>
    </w:p>
    <w:p w14:paraId="3310D098" w14:textId="77777777" w:rsidR="000B77AB" w:rsidRPr="004676F5" w:rsidRDefault="000B77AB" w:rsidP="000B77AB">
      <w:pPr>
        <w:jc w:val="both"/>
        <w:rPr>
          <w:lang w:val="de-DE"/>
        </w:rPr>
      </w:pPr>
    </w:p>
    <w:p w14:paraId="271F1556" w14:textId="6DF989A4" w:rsidR="000B77AB" w:rsidRPr="004676F5" w:rsidRDefault="000B77AB" w:rsidP="000B77AB">
      <w:pPr>
        <w:jc w:val="both"/>
        <w:rPr>
          <w:lang w:val="de-DE"/>
        </w:rPr>
      </w:pPr>
      <w:r w:rsidRPr="004676F5">
        <w:rPr>
          <w:lang w:val="de-DE"/>
        </w:rPr>
        <w:tab/>
        <w:t>[</w:t>
      </w:r>
      <w:r w:rsidRPr="004676F5">
        <w:rPr>
          <w:b/>
          <w:bCs/>
          <w:lang w:val="de-DE"/>
        </w:rPr>
        <w:t>Art. XX.83/9</w:t>
      </w:r>
      <w:r w:rsidRPr="004676F5">
        <w:rPr>
          <w:lang w:val="de-DE"/>
        </w:rPr>
        <w:t> - Gläubiger und Anteilsinhaber werden in verschiedene Klassen eingeteilt, wenn die Rechte, die sie bei Liquidation des Vermögens des Schuldners erhalten könnten oder die sie aufgrund der Vereinbarung erhalten würden, sich in Art, Qualität oder Wert so stark unterscheiden, dass von einer vergleichbaren Position nicht die Rede sein kann.</w:t>
      </w:r>
    </w:p>
    <w:p w14:paraId="6E825978" w14:textId="77777777" w:rsidR="000B77AB" w:rsidRPr="004676F5" w:rsidRDefault="000B77AB" w:rsidP="000B77AB">
      <w:pPr>
        <w:jc w:val="both"/>
        <w:rPr>
          <w:lang w:val="de-DE"/>
        </w:rPr>
      </w:pPr>
    </w:p>
    <w:p w14:paraId="19AF5542" w14:textId="77777777" w:rsidR="000B77AB" w:rsidRPr="004676F5" w:rsidRDefault="000B77AB" w:rsidP="000B77AB">
      <w:pPr>
        <w:jc w:val="both"/>
        <w:rPr>
          <w:lang w:val="de-DE"/>
        </w:rPr>
      </w:pPr>
      <w:r w:rsidRPr="004676F5">
        <w:rPr>
          <w:lang w:val="de-DE"/>
        </w:rPr>
        <w:tab/>
        <w:t>In jedem Fall werden außergewöhnliche Aufschubgläubiger und gewöhnliche Aufschubgläubiger in verschiedene Klassen eingeteilt.</w:t>
      </w:r>
    </w:p>
    <w:p w14:paraId="76667C32" w14:textId="77777777" w:rsidR="000B77AB" w:rsidRPr="004676F5" w:rsidRDefault="000B77AB" w:rsidP="000B77AB">
      <w:pPr>
        <w:jc w:val="both"/>
        <w:rPr>
          <w:lang w:val="de-DE"/>
        </w:rPr>
      </w:pPr>
    </w:p>
    <w:p w14:paraId="54B78558" w14:textId="77777777" w:rsidR="000B77AB" w:rsidRPr="004676F5" w:rsidRDefault="000B77AB" w:rsidP="000B77AB">
      <w:pPr>
        <w:jc w:val="both"/>
        <w:rPr>
          <w:lang w:val="de-DE"/>
        </w:rPr>
      </w:pPr>
      <w:r w:rsidRPr="004676F5">
        <w:rPr>
          <w:lang w:val="de-DE"/>
        </w:rPr>
        <w:lastRenderedPageBreak/>
        <w:tab/>
        <w:t>Außergewöhnliche Aufschubgläubiger werden nur bis zu dem Teil ihrer Forderung, für den ein Vorzugsrecht gilt, in eine Klasse von außergewöhnlichen Aufschubgläubigern eingeteilt.</w:t>
      </w:r>
    </w:p>
    <w:p w14:paraId="1F83727D" w14:textId="77777777" w:rsidR="000B77AB" w:rsidRPr="004676F5" w:rsidRDefault="000B77AB" w:rsidP="000B77AB">
      <w:pPr>
        <w:jc w:val="both"/>
        <w:rPr>
          <w:lang w:val="de-DE"/>
        </w:rPr>
      </w:pPr>
    </w:p>
    <w:p w14:paraId="10CBE002" w14:textId="77777777" w:rsidR="000B77AB" w:rsidRPr="004676F5" w:rsidRDefault="000B77AB" w:rsidP="000B77AB">
      <w:pPr>
        <w:jc w:val="both"/>
        <w:rPr>
          <w:lang w:val="de-DE"/>
        </w:rPr>
      </w:pPr>
      <w:r w:rsidRPr="004676F5">
        <w:rPr>
          <w:lang w:val="de-DE"/>
        </w:rPr>
        <w:tab/>
        <w:t>Um im Rahmen der Klassenbildung den Teil der Forderung zu bestimmen, für den ein Vorzugsrecht gilt, muss der Wert geschätzt werden, den dieser Gläubiger aufgrund seines gesetzlichen Vorzugs, der ihm im Falle eines Konkurses oder einer gerichtlichen Liquidation durch die dingliche Sicherheit eingeräumt würde, erhalten hätte.</w:t>
      </w:r>
    </w:p>
    <w:p w14:paraId="785D61D9" w14:textId="77777777" w:rsidR="000B77AB" w:rsidRPr="004676F5" w:rsidRDefault="000B77AB" w:rsidP="000B77AB">
      <w:pPr>
        <w:jc w:val="both"/>
        <w:rPr>
          <w:lang w:val="de-DE"/>
        </w:rPr>
      </w:pPr>
    </w:p>
    <w:p w14:paraId="317FB9B8" w14:textId="5624DD6F" w:rsidR="000B77AB" w:rsidRPr="004676F5" w:rsidRDefault="000B77AB" w:rsidP="000B77AB">
      <w:pPr>
        <w:jc w:val="both"/>
        <w:rPr>
          <w:lang w:val="de-DE"/>
        </w:rPr>
      </w:pPr>
      <w:r w:rsidRPr="004676F5">
        <w:rPr>
          <w:lang w:val="de-DE"/>
        </w:rPr>
        <w:tab/>
        <w:t>Diese Gläubiger werden für den Rest ihrer Forderung in eine Klasse der gewöhnlichen Aufschubgläubiger eingeteilt.]</w:t>
      </w:r>
    </w:p>
    <w:p w14:paraId="133A4333" w14:textId="77777777" w:rsidR="000B77AB" w:rsidRPr="004676F5" w:rsidRDefault="000B77AB" w:rsidP="000B77AB">
      <w:pPr>
        <w:jc w:val="both"/>
        <w:rPr>
          <w:lang w:val="de-DE"/>
        </w:rPr>
      </w:pPr>
    </w:p>
    <w:p w14:paraId="038664FF" w14:textId="23C32706"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83/9 eingefügt durch Art. 132 des G. vom 7. Juni 2023 (B.S. vom 7. Juli 2023)]</w:t>
      </w:r>
    </w:p>
    <w:p w14:paraId="1020E641" w14:textId="77777777" w:rsidR="000B77AB" w:rsidRPr="004676F5" w:rsidRDefault="000B77AB" w:rsidP="000B77AB">
      <w:pPr>
        <w:jc w:val="both"/>
        <w:rPr>
          <w:lang w:val="de-DE"/>
        </w:rPr>
      </w:pPr>
    </w:p>
    <w:p w14:paraId="49E830B9" w14:textId="77777777" w:rsidR="000B77AB" w:rsidRPr="004676F5" w:rsidRDefault="000B77AB" w:rsidP="000B77AB">
      <w:pPr>
        <w:jc w:val="both"/>
        <w:rPr>
          <w:lang w:val="de-DE"/>
        </w:rPr>
      </w:pPr>
    </w:p>
    <w:p w14:paraId="6BA1F9FA" w14:textId="47B804F8" w:rsidR="000B77AB" w:rsidRPr="004676F5" w:rsidRDefault="000B77AB" w:rsidP="000B77AB">
      <w:pPr>
        <w:jc w:val="both"/>
        <w:rPr>
          <w:lang w:val="de-DE"/>
        </w:rPr>
      </w:pPr>
      <w:r w:rsidRPr="004676F5">
        <w:rPr>
          <w:lang w:val="de-DE"/>
        </w:rPr>
        <w:tab/>
        <w:t>[</w:t>
      </w:r>
      <w:r w:rsidRPr="004676F5">
        <w:rPr>
          <w:b/>
          <w:bCs/>
          <w:lang w:val="de-DE"/>
        </w:rPr>
        <w:t>Art. XX.83/10</w:t>
      </w:r>
      <w:r w:rsidRPr="004676F5">
        <w:rPr>
          <w:lang w:val="de-DE"/>
        </w:rPr>
        <w:t> - Die Frist für die Ausführung des Plans darf fünf Jahre ab seiner Homologierung nicht überschreiten.]</w:t>
      </w:r>
    </w:p>
    <w:p w14:paraId="0D965083" w14:textId="77777777" w:rsidR="000B77AB" w:rsidRPr="004676F5" w:rsidRDefault="000B77AB" w:rsidP="000B77AB">
      <w:pPr>
        <w:jc w:val="both"/>
        <w:rPr>
          <w:lang w:val="de-DE"/>
        </w:rPr>
      </w:pPr>
    </w:p>
    <w:p w14:paraId="6B2DD21C" w14:textId="18F84A0D"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83/10 eingefügt durch Art. 133 des G. vom 7. Juni 2023 (B.S. vom 7. Juli 2023)]</w:t>
      </w:r>
    </w:p>
    <w:p w14:paraId="153F1D56" w14:textId="77777777" w:rsidR="000B77AB" w:rsidRPr="004676F5" w:rsidRDefault="000B77AB" w:rsidP="000B77AB">
      <w:pPr>
        <w:jc w:val="both"/>
        <w:rPr>
          <w:lang w:val="de-DE"/>
        </w:rPr>
      </w:pPr>
    </w:p>
    <w:p w14:paraId="3FFFE4AE" w14:textId="77777777" w:rsidR="000B77AB" w:rsidRPr="004676F5" w:rsidRDefault="000B77AB" w:rsidP="000B77AB">
      <w:pPr>
        <w:jc w:val="both"/>
        <w:rPr>
          <w:lang w:val="de-DE"/>
        </w:rPr>
      </w:pPr>
    </w:p>
    <w:p w14:paraId="068DA22D" w14:textId="49D3F12C" w:rsidR="000B77AB" w:rsidRPr="004676F5" w:rsidRDefault="000B77AB" w:rsidP="000B77AB">
      <w:pPr>
        <w:jc w:val="center"/>
        <w:rPr>
          <w:lang w:val="de-DE"/>
        </w:rPr>
      </w:pPr>
      <w:r w:rsidRPr="004676F5">
        <w:rPr>
          <w:lang w:val="de-DE"/>
        </w:rPr>
        <w:t>[</w:t>
      </w:r>
      <w:r w:rsidRPr="004676F5">
        <w:rPr>
          <w:i/>
          <w:iCs/>
          <w:lang w:val="de-DE"/>
        </w:rPr>
        <w:t>Abschnitt 4</w:t>
      </w:r>
      <w:r w:rsidRPr="004676F5">
        <w:rPr>
          <w:lang w:val="de-DE"/>
        </w:rPr>
        <w:t> - Hinterlegung, Billigung und Bestätigung des Reorganisationsplans]</w:t>
      </w:r>
    </w:p>
    <w:p w14:paraId="150CA2AB" w14:textId="77777777" w:rsidR="000B77AB" w:rsidRPr="004676F5" w:rsidRDefault="000B77AB" w:rsidP="000B77AB">
      <w:pPr>
        <w:rPr>
          <w:lang w:val="de-DE"/>
        </w:rPr>
      </w:pPr>
    </w:p>
    <w:p w14:paraId="2F9FF8C9" w14:textId="2C99F156" w:rsidR="000B77AB" w:rsidRPr="004676F5" w:rsidRDefault="000B77AB" w:rsidP="000B77AB">
      <w:pPr>
        <w:jc w:val="both"/>
        <w:rPr>
          <w:i/>
          <w:iCs/>
          <w:lang w:val="de-DE"/>
        </w:rPr>
      </w:pPr>
      <w:r w:rsidRPr="004676F5">
        <w:rPr>
          <w:i/>
          <w:iCs/>
          <w:lang w:val="de-DE"/>
        </w:rPr>
        <w:t>[Unterteilung Abschnitt 4 eingefügt durch Art. 134 des G. vom 7. Juni 2023 (B.S. vom 7. Juli 2023)]</w:t>
      </w:r>
    </w:p>
    <w:p w14:paraId="64B2AC8A" w14:textId="77777777" w:rsidR="000B77AB" w:rsidRPr="004676F5" w:rsidRDefault="000B77AB" w:rsidP="000B77AB">
      <w:pPr>
        <w:rPr>
          <w:lang w:val="de-DE"/>
        </w:rPr>
      </w:pPr>
    </w:p>
    <w:p w14:paraId="6D28BF9A" w14:textId="77777777" w:rsidR="000B77AB" w:rsidRPr="004676F5" w:rsidRDefault="000B77AB" w:rsidP="000B77AB">
      <w:pPr>
        <w:jc w:val="both"/>
        <w:rPr>
          <w:lang w:val="de-DE"/>
        </w:rPr>
      </w:pPr>
    </w:p>
    <w:p w14:paraId="4F4B69E2" w14:textId="40CFB2F7" w:rsidR="000B77AB" w:rsidRPr="004676F5" w:rsidRDefault="000B77AB" w:rsidP="000B77AB">
      <w:pPr>
        <w:jc w:val="both"/>
        <w:rPr>
          <w:lang w:val="de-DE"/>
        </w:rPr>
      </w:pPr>
      <w:r w:rsidRPr="004676F5">
        <w:rPr>
          <w:lang w:val="de-DE"/>
        </w:rPr>
        <w:tab/>
        <w:t>[</w:t>
      </w:r>
      <w:r w:rsidRPr="004676F5">
        <w:rPr>
          <w:b/>
          <w:bCs/>
          <w:lang w:val="de-DE"/>
        </w:rPr>
        <w:t>Art. XX.83/11</w:t>
      </w:r>
      <w:r w:rsidRPr="004676F5">
        <w:rPr>
          <w:lang w:val="de-DE"/>
        </w:rPr>
        <w:t> - § 1 - Der Schuldner, der vorläufige Verwalter oder der Reorgani</w:t>
      </w:r>
      <w:r w:rsidRPr="004676F5">
        <w:rPr>
          <w:lang w:val="de-DE"/>
        </w:rPr>
        <w:softHyphen/>
        <w:t>sationsbearbeiter hinterlegt mindestens zwanzig Tage vor der Sitzung, die in dem in Artikel XX.48 erwähnten Urteil anberaumt ist, den Reorganisationsplan im Register.</w:t>
      </w:r>
    </w:p>
    <w:p w14:paraId="1B29F585" w14:textId="77777777" w:rsidR="000B77AB" w:rsidRPr="004676F5" w:rsidRDefault="000B77AB" w:rsidP="000B77AB">
      <w:pPr>
        <w:jc w:val="both"/>
        <w:rPr>
          <w:lang w:val="de-DE"/>
        </w:rPr>
      </w:pPr>
    </w:p>
    <w:p w14:paraId="33BCB0CE" w14:textId="77777777" w:rsidR="000B77AB" w:rsidRPr="004676F5" w:rsidRDefault="000B77AB" w:rsidP="000B77AB">
      <w:pPr>
        <w:jc w:val="both"/>
        <w:rPr>
          <w:lang w:val="de-DE"/>
        </w:rPr>
      </w:pPr>
      <w:r w:rsidRPr="004676F5">
        <w:rPr>
          <w:lang w:val="de-DE"/>
        </w:rPr>
        <w:tab/>
        <w:t>Der Schuldner, der vorläufige Verwalter oder der Reorganisationsbearbeiter hinterlegt die Liste der Aufschubgläubiger, gegebenenfalls geändert entweder in Anwendung von Artikel XX.49 oder XX.83/5 - unter Angabe der laufenden Forderungsanfechtungen - oder aufgrund etwaiger in Anwendung von Artikel XX.53 Absatz 1 vorgenommener Zahlungen. Wenn der Plan eine Klasse von Anteilsinhabern enthält, hinterlegen sie außerdem eine Liste der ihnen bekannten Anteilsinhaber.</w:t>
      </w:r>
    </w:p>
    <w:p w14:paraId="68D79F3B" w14:textId="77777777" w:rsidR="000B77AB" w:rsidRPr="004676F5" w:rsidRDefault="000B77AB" w:rsidP="000B77AB">
      <w:pPr>
        <w:jc w:val="both"/>
        <w:rPr>
          <w:lang w:val="de-DE"/>
        </w:rPr>
      </w:pPr>
    </w:p>
    <w:p w14:paraId="330496D1" w14:textId="77777777" w:rsidR="000B77AB" w:rsidRPr="004676F5" w:rsidRDefault="000B77AB" w:rsidP="000B77AB">
      <w:pPr>
        <w:jc w:val="both"/>
        <w:rPr>
          <w:lang w:val="de-DE"/>
        </w:rPr>
      </w:pPr>
      <w:r w:rsidRPr="004676F5">
        <w:rPr>
          <w:lang w:val="de-DE"/>
        </w:rPr>
        <w:tab/>
        <w:t>§ 2 - Der Reorganisationsbearbeiter kann den Plan nicht ohne die Zustimmung des Schuldners hinterlegen; der Schuldner darf seine Zustimmung nicht ohne angemessenen Grund verweigern. Ist der Schuldner eine juristische Person, dürfen sich die Leiter nicht in unangemessener Weise der Hinterlegung des Plans widersetzen. Auf Antrag des Reorganisationsbearbeiters kann das Gericht entscheiden, dass der Schuldner oder die Leiter ihre Zustimmung in unangemessener Weise verweigert haben, und die Hinterlegung des Plans erlauben.</w:t>
      </w:r>
    </w:p>
    <w:p w14:paraId="521A977B" w14:textId="77777777" w:rsidR="000B77AB" w:rsidRPr="004676F5" w:rsidRDefault="000B77AB" w:rsidP="000B77AB">
      <w:pPr>
        <w:jc w:val="both"/>
        <w:rPr>
          <w:lang w:val="de-DE"/>
        </w:rPr>
      </w:pPr>
    </w:p>
    <w:p w14:paraId="6132356E" w14:textId="77777777" w:rsidR="000B77AB" w:rsidRPr="004676F5" w:rsidRDefault="000B77AB" w:rsidP="000B77AB">
      <w:pPr>
        <w:jc w:val="both"/>
        <w:rPr>
          <w:lang w:val="de-DE"/>
        </w:rPr>
      </w:pPr>
      <w:r w:rsidRPr="004676F5">
        <w:rPr>
          <w:lang w:val="de-DE"/>
        </w:rPr>
        <w:tab/>
        <w:t>§ 3 - Der Schuldner darf den Plan erst hinterlegen, nachdem der beauftragte Richter überprüft hat, ob der Plan die in vorliegendem Titel vorgeschriebenen Formvorschriften erfüllt.</w:t>
      </w:r>
    </w:p>
    <w:p w14:paraId="5E389E71" w14:textId="77777777" w:rsidR="000B77AB" w:rsidRPr="004676F5" w:rsidRDefault="000B77AB" w:rsidP="000B77AB">
      <w:pPr>
        <w:jc w:val="both"/>
        <w:rPr>
          <w:lang w:val="de-DE"/>
        </w:rPr>
      </w:pPr>
    </w:p>
    <w:p w14:paraId="3D233AF4" w14:textId="64E9177A" w:rsidR="000B77AB" w:rsidRPr="004676F5" w:rsidRDefault="000B77AB" w:rsidP="000B77AB">
      <w:pPr>
        <w:jc w:val="both"/>
        <w:rPr>
          <w:lang w:val="de-DE"/>
        </w:rPr>
      </w:pPr>
      <w:r w:rsidRPr="004676F5">
        <w:rPr>
          <w:lang w:val="de-DE"/>
        </w:rPr>
        <w:lastRenderedPageBreak/>
        <w:tab/>
        <w:t>§ 4 - Sobald der Plan im Register hinterlegt ist, notifiziert der Greffier dem Schuldner, den Aufschubgläubigern, die auf der Liste der Gläubiger angegeben sind, und gegebenenfalls den Anteilsinhabern, die in der Liste aufgenommen sind, eine Mitteilung mit dem Vermerk:</w:t>
      </w:r>
    </w:p>
    <w:p w14:paraId="0B997DAF" w14:textId="77777777" w:rsidR="000B77AB" w:rsidRPr="004676F5" w:rsidRDefault="000B77AB" w:rsidP="000B77AB">
      <w:pPr>
        <w:jc w:val="both"/>
        <w:rPr>
          <w:lang w:val="de-DE"/>
        </w:rPr>
      </w:pPr>
    </w:p>
    <w:p w14:paraId="1A774A4A" w14:textId="77777777" w:rsidR="000B77AB" w:rsidRPr="004676F5" w:rsidRDefault="000B77AB" w:rsidP="000B77AB">
      <w:pPr>
        <w:jc w:val="both"/>
        <w:rPr>
          <w:lang w:val="de-DE"/>
        </w:rPr>
      </w:pPr>
      <w:r w:rsidRPr="004676F5">
        <w:rPr>
          <w:lang w:val="de-DE"/>
        </w:rPr>
        <w:tab/>
        <w:t>- dass dieser Plan untersucht wird und dass sie ihn im Register einsehen können,</w:t>
      </w:r>
    </w:p>
    <w:p w14:paraId="6D69B6B2" w14:textId="77777777" w:rsidR="000B77AB" w:rsidRPr="004676F5" w:rsidRDefault="000B77AB" w:rsidP="000B77AB">
      <w:pPr>
        <w:jc w:val="both"/>
        <w:rPr>
          <w:lang w:val="de-DE"/>
        </w:rPr>
      </w:pPr>
    </w:p>
    <w:p w14:paraId="0B92C540" w14:textId="77777777" w:rsidR="000B77AB" w:rsidRPr="004676F5" w:rsidRDefault="000B77AB" w:rsidP="000B77AB">
      <w:pPr>
        <w:jc w:val="both"/>
        <w:rPr>
          <w:lang w:val="de-DE"/>
        </w:rPr>
      </w:pPr>
      <w:r w:rsidRPr="004676F5">
        <w:rPr>
          <w:lang w:val="de-DE"/>
        </w:rPr>
        <w:tab/>
        <w:t>- von Ort, Tag und Uhrzeit der Sitzung, bei der über diesen Plan abgestimmt wird und die mindestens fünfzehn Tage nach dieser Mitteilung stattfinden wird,</w:t>
      </w:r>
    </w:p>
    <w:p w14:paraId="18A5E206" w14:textId="77777777" w:rsidR="000B77AB" w:rsidRPr="004676F5" w:rsidRDefault="000B77AB" w:rsidP="000B77AB">
      <w:pPr>
        <w:jc w:val="both"/>
        <w:rPr>
          <w:lang w:val="de-DE"/>
        </w:rPr>
      </w:pPr>
    </w:p>
    <w:p w14:paraId="2EDCB561" w14:textId="77777777" w:rsidR="000B77AB" w:rsidRPr="004676F5" w:rsidRDefault="000B77AB" w:rsidP="000B77AB">
      <w:pPr>
        <w:jc w:val="both"/>
        <w:rPr>
          <w:lang w:val="de-DE"/>
        </w:rPr>
      </w:pPr>
      <w:r w:rsidRPr="004676F5">
        <w:rPr>
          <w:lang w:val="de-DE"/>
        </w:rPr>
        <w:tab/>
        <w:t>- mit dem gegebenenfalls darauf hingewiesen wird, dass unter bestimmten Bedingungen eine Fernstimmabgabe zulässig ist und dass der Gläubiger seine Stimme spätestens zu Beginn der Sitzung abgeben kann,</w:t>
      </w:r>
    </w:p>
    <w:p w14:paraId="642722BA" w14:textId="77777777" w:rsidR="000B77AB" w:rsidRPr="004676F5" w:rsidRDefault="000B77AB" w:rsidP="000B77AB">
      <w:pPr>
        <w:jc w:val="both"/>
        <w:rPr>
          <w:lang w:val="de-DE"/>
        </w:rPr>
      </w:pPr>
    </w:p>
    <w:p w14:paraId="4C6C2744" w14:textId="77777777" w:rsidR="000B77AB" w:rsidRPr="004676F5" w:rsidRDefault="000B77AB" w:rsidP="000B77AB">
      <w:pPr>
        <w:jc w:val="both"/>
        <w:rPr>
          <w:lang w:val="de-DE"/>
        </w:rPr>
      </w:pPr>
      <w:r w:rsidRPr="004676F5">
        <w:rPr>
          <w:lang w:val="de-DE"/>
        </w:rPr>
        <w:tab/>
        <w:t>- dass sie in der Sitzung ihre Anmerkungen zu dem vorgeschlagenen Plan entweder schriftlich oder mündlich geltend machen können,</w:t>
      </w:r>
    </w:p>
    <w:p w14:paraId="6C2B328B" w14:textId="77777777" w:rsidR="000B77AB" w:rsidRPr="004676F5" w:rsidRDefault="000B77AB" w:rsidP="000B77AB">
      <w:pPr>
        <w:jc w:val="both"/>
        <w:rPr>
          <w:lang w:val="de-DE"/>
        </w:rPr>
      </w:pPr>
    </w:p>
    <w:p w14:paraId="503EEC57" w14:textId="77777777" w:rsidR="000B77AB" w:rsidRPr="004676F5" w:rsidRDefault="000B77AB" w:rsidP="000B77AB">
      <w:pPr>
        <w:jc w:val="both"/>
        <w:rPr>
          <w:lang w:val="de-DE"/>
        </w:rPr>
      </w:pPr>
      <w:r w:rsidRPr="004676F5">
        <w:rPr>
          <w:lang w:val="de-DE"/>
        </w:rPr>
        <w:tab/>
        <w:t>- dass nur Aufschubgläubiger und gegebenenfalls Anteilsinhaber, auf deren Rechte der Plan sich auswirkt, an der Abstimmung teilnehmen können.</w:t>
      </w:r>
    </w:p>
    <w:p w14:paraId="18FDAA89" w14:textId="77777777" w:rsidR="000B77AB" w:rsidRPr="004676F5" w:rsidRDefault="000B77AB" w:rsidP="000B77AB">
      <w:pPr>
        <w:jc w:val="both"/>
        <w:rPr>
          <w:lang w:val="de-DE"/>
        </w:rPr>
      </w:pPr>
    </w:p>
    <w:p w14:paraId="568416F2" w14:textId="77777777" w:rsidR="000B77AB" w:rsidRPr="004676F5" w:rsidRDefault="000B77AB" w:rsidP="000B77AB">
      <w:pPr>
        <w:jc w:val="both"/>
        <w:rPr>
          <w:lang w:val="de-DE"/>
        </w:rPr>
      </w:pPr>
      <w:r w:rsidRPr="004676F5">
        <w:rPr>
          <w:lang w:val="de-DE"/>
        </w:rPr>
        <w:tab/>
        <w:t>§ 5 - Der beauftragte Richter kann entscheiden, dass Mitschuldner, Bürgen und andere Personen, die persönliche Sicherheiten geleistet haben, diese Mitteilung ebenfalls erhalten und auf dieselbe Art und Weise ihre Anmerkungen geltend machen können.</w:t>
      </w:r>
    </w:p>
    <w:p w14:paraId="24711F34" w14:textId="77777777" w:rsidR="000B77AB" w:rsidRPr="004676F5" w:rsidRDefault="000B77AB" w:rsidP="000B77AB">
      <w:pPr>
        <w:jc w:val="both"/>
        <w:rPr>
          <w:lang w:val="de-DE"/>
        </w:rPr>
      </w:pPr>
    </w:p>
    <w:p w14:paraId="22C6C6D7" w14:textId="77777777" w:rsidR="000B77AB" w:rsidRPr="004676F5" w:rsidRDefault="000B77AB" w:rsidP="000B77AB">
      <w:pPr>
        <w:jc w:val="both"/>
        <w:rPr>
          <w:lang w:val="de-DE"/>
        </w:rPr>
      </w:pPr>
      <w:r w:rsidRPr="004676F5">
        <w:rPr>
          <w:lang w:val="de-DE"/>
        </w:rPr>
        <w:tab/>
        <w:t>§ 6 - Der Schuldner, der vorläufige Verwalter oder der Reorganisationsbearbeiter informiert die in Artikel XX.74/1 Absatz 3 erwähnten Vertreter der Arbeitnehmer über den Inhalt dieses Plans, einschließlich der außerordentlichen Aufschubgläubiger, deren Rechte in Anwendung von Artikel XX.70/1 geändert worden sind.</w:t>
      </w:r>
    </w:p>
    <w:p w14:paraId="3EC6DB61" w14:textId="77777777" w:rsidR="000B77AB" w:rsidRPr="004676F5" w:rsidRDefault="000B77AB" w:rsidP="000B77AB">
      <w:pPr>
        <w:jc w:val="both"/>
        <w:rPr>
          <w:lang w:val="de-DE"/>
        </w:rPr>
      </w:pPr>
    </w:p>
    <w:p w14:paraId="6DDAF7B2" w14:textId="68F56FF2" w:rsidR="000B77AB" w:rsidRPr="004676F5" w:rsidRDefault="000B77AB" w:rsidP="000B77AB">
      <w:pPr>
        <w:jc w:val="both"/>
        <w:rPr>
          <w:lang w:val="de-DE"/>
        </w:rPr>
      </w:pPr>
      <w:r w:rsidRPr="004676F5">
        <w:rPr>
          <w:lang w:val="de-DE"/>
        </w:rPr>
        <w:tab/>
        <w:t>§ 7 - Ist Fernabstimmabgabe erlaubt, muss das Gericht Identität und Eigenschaft des Gläubigers überprüfen können. Die in § 4 erwähnte Mitteilung enthält eine genaue Beschreibung der Verfahren für die Fernstimmabgabe.]</w:t>
      </w:r>
    </w:p>
    <w:p w14:paraId="33BFA4BC" w14:textId="77777777" w:rsidR="000B77AB" w:rsidRPr="004676F5" w:rsidRDefault="000B77AB" w:rsidP="000B77AB">
      <w:pPr>
        <w:jc w:val="both"/>
        <w:rPr>
          <w:lang w:val="de-DE"/>
        </w:rPr>
      </w:pPr>
    </w:p>
    <w:p w14:paraId="1A3BA3BD" w14:textId="4681CAC0"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83/11 eingefügt durch Art. 135 des G. vom 7. Juni 2023 (B.S. vom 7. Juli 2023)]</w:t>
      </w:r>
    </w:p>
    <w:p w14:paraId="065B2591" w14:textId="77777777" w:rsidR="000B77AB" w:rsidRPr="004676F5" w:rsidRDefault="000B77AB" w:rsidP="000B77AB">
      <w:pPr>
        <w:jc w:val="both"/>
        <w:rPr>
          <w:lang w:val="de-DE"/>
        </w:rPr>
      </w:pPr>
    </w:p>
    <w:p w14:paraId="735F7F97" w14:textId="77777777" w:rsidR="000B77AB" w:rsidRPr="004676F5" w:rsidRDefault="000B77AB" w:rsidP="000B77AB">
      <w:pPr>
        <w:jc w:val="both"/>
        <w:rPr>
          <w:lang w:val="de-DE"/>
        </w:rPr>
      </w:pPr>
    </w:p>
    <w:p w14:paraId="31AEABC8" w14:textId="181EF155" w:rsidR="000B77AB" w:rsidRPr="004676F5" w:rsidRDefault="000B77AB" w:rsidP="000B77AB">
      <w:pPr>
        <w:jc w:val="both"/>
        <w:rPr>
          <w:lang w:val="de-DE"/>
        </w:rPr>
      </w:pPr>
      <w:r w:rsidRPr="004676F5">
        <w:rPr>
          <w:lang w:val="de-DE"/>
        </w:rPr>
        <w:tab/>
        <w:t>[</w:t>
      </w:r>
      <w:r w:rsidRPr="004676F5">
        <w:rPr>
          <w:b/>
          <w:bCs/>
          <w:lang w:val="de-DE"/>
        </w:rPr>
        <w:t>Art. XX.83/12</w:t>
      </w:r>
      <w:r w:rsidRPr="004676F5">
        <w:rPr>
          <w:lang w:val="de-DE"/>
        </w:rPr>
        <w:t> - § 1 - An dem Tag, der den Gläubigern, dem Schuldner und den Anteilsinhabern gemäß Artikel XX.83/11 mitgeteilt worden ist, hört das Gericht den Bericht des beauftragten Richters, den dieser mindestens zwei Werktage vorher im Register hinterlegt hat, und die Gründe des Schuldners, der Gläubiger und der Anteilsinhaber an.</w:t>
      </w:r>
    </w:p>
    <w:p w14:paraId="1500EF1A" w14:textId="77777777" w:rsidR="000B77AB" w:rsidRPr="004676F5" w:rsidRDefault="000B77AB" w:rsidP="000B77AB">
      <w:pPr>
        <w:jc w:val="both"/>
        <w:rPr>
          <w:lang w:val="de-DE"/>
        </w:rPr>
      </w:pPr>
    </w:p>
    <w:p w14:paraId="5FE16AF2" w14:textId="77777777" w:rsidR="000B77AB" w:rsidRPr="004676F5" w:rsidRDefault="000B77AB" w:rsidP="000B77AB">
      <w:pPr>
        <w:jc w:val="both"/>
        <w:rPr>
          <w:lang w:val="de-DE"/>
        </w:rPr>
      </w:pPr>
      <w:r w:rsidRPr="004676F5">
        <w:rPr>
          <w:lang w:val="de-DE"/>
        </w:rPr>
        <w:tab/>
        <w:t>Die Abstimmung über den Plan findet in einer Sitzung statt, zu der die Gläubiger, der Schuldner und die Anteilsinhaber vorgeladen werden.</w:t>
      </w:r>
    </w:p>
    <w:p w14:paraId="65D0B016" w14:textId="77777777" w:rsidR="000B77AB" w:rsidRPr="004676F5" w:rsidRDefault="000B77AB" w:rsidP="000B77AB">
      <w:pPr>
        <w:jc w:val="both"/>
        <w:rPr>
          <w:lang w:val="de-DE"/>
        </w:rPr>
      </w:pPr>
    </w:p>
    <w:p w14:paraId="12002498" w14:textId="5207F408" w:rsidR="000B77AB" w:rsidRPr="004676F5" w:rsidRDefault="000B77AB" w:rsidP="000B77AB">
      <w:pPr>
        <w:jc w:val="both"/>
        <w:rPr>
          <w:lang w:val="de-DE"/>
        </w:rPr>
      </w:pPr>
      <w:r w:rsidRPr="004676F5">
        <w:rPr>
          <w:lang w:val="de-DE"/>
        </w:rPr>
        <w:tab/>
        <w:t>§ 2 - Ein Gläubiger oder Anteilsinhaber, der von der Möglichkeit der Fernstimmabgabe Gebrauch gemacht hat, gibt seine Stimme spätestens zu Beginn der in § 1 erwähnten Sitzung ab. Er kann jedoch, obwohl er eine Fernstimmabgabe vorgenommen hat, an der Sitzung teilnehmen und dort seine Stimmabgabe ändern.]</w:t>
      </w:r>
    </w:p>
    <w:p w14:paraId="580CA574" w14:textId="77777777" w:rsidR="000B77AB" w:rsidRPr="004676F5" w:rsidRDefault="000B77AB" w:rsidP="000B77AB">
      <w:pPr>
        <w:jc w:val="both"/>
        <w:rPr>
          <w:lang w:val="de-DE"/>
        </w:rPr>
      </w:pPr>
    </w:p>
    <w:p w14:paraId="503DD7A9" w14:textId="7F33F2C6"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83/12 eingefügt durch Art. 136 des G. vom 7. Juni 2023 (B.S. vom 7. Juli 2023)]</w:t>
      </w:r>
    </w:p>
    <w:p w14:paraId="085D4071" w14:textId="77777777" w:rsidR="000B77AB" w:rsidRPr="004676F5" w:rsidRDefault="000B77AB" w:rsidP="000B77AB">
      <w:pPr>
        <w:jc w:val="both"/>
        <w:rPr>
          <w:lang w:val="de-DE"/>
        </w:rPr>
      </w:pPr>
    </w:p>
    <w:p w14:paraId="2A88A493" w14:textId="77777777" w:rsidR="000B77AB" w:rsidRPr="004676F5" w:rsidRDefault="000B77AB" w:rsidP="000B77AB">
      <w:pPr>
        <w:jc w:val="both"/>
        <w:rPr>
          <w:lang w:val="de-DE"/>
        </w:rPr>
      </w:pPr>
    </w:p>
    <w:p w14:paraId="39F013C4" w14:textId="715F9161" w:rsidR="000B77AB" w:rsidRPr="004676F5" w:rsidRDefault="000B77AB" w:rsidP="000B77AB">
      <w:pPr>
        <w:ind w:firstLine="708"/>
        <w:jc w:val="both"/>
        <w:rPr>
          <w:lang w:val="de-DE"/>
        </w:rPr>
      </w:pPr>
      <w:r w:rsidRPr="004676F5">
        <w:rPr>
          <w:lang w:val="de-DE"/>
        </w:rPr>
        <w:t>[</w:t>
      </w:r>
      <w:r w:rsidRPr="004676F5">
        <w:rPr>
          <w:b/>
          <w:bCs/>
          <w:lang w:val="de-DE"/>
        </w:rPr>
        <w:t>Art. XX.83/13</w:t>
      </w:r>
      <w:r w:rsidRPr="004676F5">
        <w:rPr>
          <w:lang w:val="de-DE"/>
        </w:rPr>
        <w:t> - Gläubiger können an der Abstimmung persönlich, über eine im Register hinterlegte schriftliche Vollmacht oder durch ihren Rechtsanwalt, der keiner Sondervollmacht bedarf, teilnehmen.</w:t>
      </w:r>
    </w:p>
    <w:p w14:paraId="4A331879" w14:textId="77777777" w:rsidR="000B77AB" w:rsidRPr="004676F5" w:rsidRDefault="000B77AB" w:rsidP="000B77AB">
      <w:pPr>
        <w:jc w:val="both"/>
        <w:rPr>
          <w:lang w:val="de-DE"/>
        </w:rPr>
      </w:pPr>
    </w:p>
    <w:p w14:paraId="253EC4BB" w14:textId="47C76A0C" w:rsidR="000B77AB" w:rsidRPr="004676F5" w:rsidRDefault="000B77AB" w:rsidP="000B77AB">
      <w:pPr>
        <w:jc w:val="both"/>
        <w:rPr>
          <w:lang w:val="de-DE"/>
        </w:rPr>
      </w:pPr>
      <w:r w:rsidRPr="004676F5">
        <w:rPr>
          <w:lang w:val="de-DE"/>
        </w:rPr>
        <w:tab/>
        <w:t>Die schriftliche Vollmacht muss mindestens zwei Werktage vor der Sitzung, die in dem in Artikel XX.46 erwähnten Urteil anberaumt wird, im Register hinterlegt werden.]</w:t>
      </w:r>
    </w:p>
    <w:p w14:paraId="46BC7FC0" w14:textId="77777777" w:rsidR="000B77AB" w:rsidRPr="004676F5" w:rsidRDefault="000B77AB" w:rsidP="000B77AB">
      <w:pPr>
        <w:jc w:val="both"/>
        <w:rPr>
          <w:lang w:val="de-DE"/>
        </w:rPr>
      </w:pPr>
    </w:p>
    <w:p w14:paraId="7AA2A85B" w14:textId="33BC0E01"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83/13 eingefügt durch Art. 137 des G. vom 7. Juni 2023 (B.S. vom 7. Juli 2023)]</w:t>
      </w:r>
    </w:p>
    <w:p w14:paraId="1D371A2A" w14:textId="77777777" w:rsidR="000B77AB" w:rsidRPr="004676F5" w:rsidRDefault="000B77AB" w:rsidP="000B77AB">
      <w:pPr>
        <w:jc w:val="both"/>
        <w:rPr>
          <w:lang w:val="de-DE"/>
        </w:rPr>
      </w:pPr>
    </w:p>
    <w:p w14:paraId="1C5D2D83" w14:textId="77777777" w:rsidR="000B77AB" w:rsidRPr="004676F5" w:rsidRDefault="000B77AB" w:rsidP="000B77AB">
      <w:pPr>
        <w:jc w:val="both"/>
        <w:rPr>
          <w:lang w:val="de-DE"/>
        </w:rPr>
      </w:pPr>
    </w:p>
    <w:p w14:paraId="3DA7B39C" w14:textId="6584DECC" w:rsidR="000B77AB" w:rsidRPr="004676F5" w:rsidRDefault="000B77AB" w:rsidP="000B77AB">
      <w:pPr>
        <w:jc w:val="both"/>
        <w:rPr>
          <w:lang w:val="de-DE"/>
        </w:rPr>
      </w:pPr>
      <w:r w:rsidRPr="004676F5">
        <w:rPr>
          <w:lang w:val="de-DE"/>
        </w:rPr>
        <w:tab/>
        <w:t>[</w:t>
      </w:r>
      <w:r w:rsidRPr="004676F5">
        <w:rPr>
          <w:b/>
          <w:bCs/>
          <w:lang w:val="de-DE"/>
        </w:rPr>
        <w:t>Art. XX.83/14</w:t>
      </w:r>
      <w:r w:rsidRPr="004676F5">
        <w:rPr>
          <w:lang w:val="de-DE"/>
        </w:rPr>
        <w:t> - § 1 - Der Reorganisationsplan gilt unter der Bedingung als angenommen, dass in jeder Klasse eine Mehrheit erreicht wird. Der Reorganisationsplan gilt als von einer Klasse von Gläubigern oder Anteilsinhabern gebilligt, wenn bei der Abstimmung die Mehrheit von ihnen, die mit ihren Forderungen zumindest die Hälfte aller als Hauptsumme geschuldeten Beträge und Interessen vertreten, dafür stimmt.</w:t>
      </w:r>
    </w:p>
    <w:p w14:paraId="65A24A47" w14:textId="77777777" w:rsidR="000B77AB" w:rsidRPr="004676F5" w:rsidRDefault="000B77AB" w:rsidP="000B77AB">
      <w:pPr>
        <w:jc w:val="both"/>
        <w:rPr>
          <w:lang w:val="de-DE"/>
        </w:rPr>
      </w:pPr>
    </w:p>
    <w:p w14:paraId="1E086122" w14:textId="77777777" w:rsidR="000B77AB" w:rsidRPr="004676F5" w:rsidRDefault="000B77AB" w:rsidP="000B77AB">
      <w:pPr>
        <w:jc w:val="both"/>
        <w:rPr>
          <w:lang w:val="de-DE"/>
        </w:rPr>
      </w:pPr>
      <w:r w:rsidRPr="004676F5">
        <w:rPr>
          <w:lang w:val="de-DE"/>
        </w:rPr>
        <w:tab/>
        <w:t>Für die Berechnung der Mehrheiten werden in jeder Klasse Gläubiger, Anteilsinhaber und geschuldete Beträge und Interessen berücksichtigt, die in der vom Schuldner gemäß Artikel XX.83/11 hinterlegten Liste der Gläubiger und Anteilsinhaber aufgenommen sind, und Gläubiger, deren Forderungen in Anwendung der Artikel XX.68 und XX.69 im Nachhinein vorläufig zugelassen worden sind.</w:t>
      </w:r>
    </w:p>
    <w:p w14:paraId="428318F0" w14:textId="77777777" w:rsidR="000B77AB" w:rsidRPr="004676F5" w:rsidRDefault="000B77AB" w:rsidP="000B77AB">
      <w:pPr>
        <w:jc w:val="both"/>
        <w:rPr>
          <w:lang w:val="de-DE"/>
        </w:rPr>
      </w:pPr>
    </w:p>
    <w:p w14:paraId="3A6082E2" w14:textId="77777777" w:rsidR="000B77AB" w:rsidRPr="004676F5" w:rsidRDefault="000B77AB" w:rsidP="000B77AB">
      <w:pPr>
        <w:jc w:val="both"/>
        <w:rPr>
          <w:lang w:val="de-DE"/>
        </w:rPr>
      </w:pPr>
      <w:r w:rsidRPr="004676F5">
        <w:rPr>
          <w:lang w:val="de-DE"/>
        </w:rPr>
        <w:tab/>
        <w:t>Gläubiger und Anteilsinhaber, die nicht an der Abstimmung teilgenommen haben, und ihre Forderungen und Interessen werden bei der Berechnung der Mehrheiten nicht berücksichtigt. Der Gläubiger oder Anteilsinhaber ist durch die Abstimmung gebunden, selbst wenn er nicht an der Abstimmung teilnimmt.</w:t>
      </w:r>
    </w:p>
    <w:p w14:paraId="2389EDD2" w14:textId="77777777" w:rsidR="000B77AB" w:rsidRPr="004676F5" w:rsidRDefault="000B77AB" w:rsidP="000B77AB">
      <w:pPr>
        <w:jc w:val="both"/>
        <w:rPr>
          <w:lang w:val="de-DE"/>
        </w:rPr>
      </w:pPr>
    </w:p>
    <w:p w14:paraId="7D756355" w14:textId="5E028710" w:rsidR="000B77AB" w:rsidRPr="004676F5" w:rsidRDefault="000B77AB" w:rsidP="000B77AB">
      <w:pPr>
        <w:jc w:val="both"/>
        <w:rPr>
          <w:lang w:val="de-DE"/>
        </w:rPr>
      </w:pPr>
      <w:r w:rsidRPr="004676F5">
        <w:rPr>
          <w:lang w:val="de-DE"/>
        </w:rPr>
        <w:tab/>
        <w:t>§ 2 - Der Schuldner kann beantragen, dass die Abstimmung ausgesetzt wird, damit er einen angepassten Plan erstellen kann, der den Gläubigern vorgelegt wird. Der angepasste Plan wird im Register hinterlegt und der Greffier notifiziert dem Schuldner und den Gläubigern und gegebenenfalls den Anteilsinhabern eine Mitteilung mit dem Vermerk, dass ein geänderter Plan im Register hinterlegt ist und dass die Abstimmung über den geänderten Plan in der Sitzung, auf die die Abstimmung verschoben worden war, stattfinden wird.]</w:t>
      </w:r>
    </w:p>
    <w:p w14:paraId="1E8A8279" w14:textId="77777777" w:rsidR="000B77AB" w:rsidRPr="004676F5" w:rsidRDefault="000B77AB" w:rsidP="000B77AB">
      <w:pPr>
        <w:jc w:val="both"/>
        <w:rPr>
          <w:lang w:val="de-DE"/>
        </w:rPr>
      </w:pPr>
    </w:p>
    <w:p w14:paraId="64B1CF06" w14:textId="7AB3A369"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83/14 eingefügt durch Art. 138 des G. vom 7. Juni 2023 (B.S. vom 7. Juli 2023)]</w:t>
      </w:r>
    </w:p>
    <w:p w14:paraId="47018075" w14:textId="77777777" w:rsidR="000B77AB" w:rsidRPr="004676F5" w:rsidRDefault="000B77AB" w:rsidP="000B77AB">
      <w:pPr>
        <w:jc w:val="both"/>
        <w:rPr>
          <w:b/>
          <w:bCs/>
          <w:lang w:val="de-DE"/>
        </w:rPr>
      </w:pPr>
    </w:p>
    <w:p w14:paraId="0320610D" w14:textId="77777777" w:rsidR="000B77AB" w:rsidRPr="004676F5" w:rsidRDefault="000B77AB" w:rsidP="000B77AB">
      <w:pPr>
        <w:jc w:val="both"/>
        <w:rPr>
          <w:lang w:val="de-DE"/>
        </w:rPr>
      </w:pPr>
    </w:p>
    <w:p w14:paraId="0C37D0B2" w14:textId="51AC2867" w:rsidR="000B77AB" w:rsidRPr="004676F5" w:rsidRDefault="000B77AB" w:rsidP="000B77AB">
      <w:pPr>
        <w:jc w:val="both"/>
        <w:rPr>
          <w:lang w:val="de-DE"/>
        </w:rPr>
      </w:pPr>
      <w:r w:rsidRPr="004676F5">
        <w:rPr>
          <w:lang w:val="de-DE"/>
        </w:rPr>
        <w:tab/>
        <w:t>[</w:t>
      </w:r>
      <w:r w:rsidRPr="004676F5">
        <w:rPr>
          <w:b/>
          <w:bCs/>
          <w:lang w:val="de-DE"/>
        </w:rPr>
        <w:t>Art. XX.83/15</w:t>
      </w:r>
      <w:r w:rsidRPr="004676F5">
        <w:rPr>
          <w:lang w:val="de-DE"/>
        </w:rPr>
        <w:t> - Innerhalb fünfzehn Tagen nach der Sitzung und in jedem Fall vor dem in Anwendung der Artikel XX.48 und XX.59 bestimmten Enddatum des Aufschubs entscheidet das Gericht im Anschluss an die in den Artikeln XX.83/17 und XX.83/18 erwähnte Überprüfung, ob es den Reorganisationsplan homologiert.]</w:t>
      </w:r>
    </w:p>
    <w:p w14:paraId="37D86ECE" w14:textId="77777777" w:rsidR="000B77AB" w:rsidRPr="004676F5" w:rsidRDefault="000B77AB" w:rsidP="000B77AB">
      <w:pPr>
        <w:jc w:val="both"/>
        <w:rPr>
          <w:lang w:val="de-DE"/>
        </w:rPr>
      </w:pPr>
    </w:p>
    <w:p w14:paraId="13D688B2" w14:textId="6D9992F4"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83/15 eingefügt durch Art. 139 des G. vom 7. Juni 2023 (B.S. vom 7. Juli 2023)]</w:t>
      </w:r>
    </w:p>
    <w:p w14:paraId="2BFB6ED5" w14:textId="77777777" w:rsidR="000B77AB" w:rsidRPr="004676F5" w:rsidRDefault="000B77AB" w:rsidP="000B77AB">
      <w:pPr>
        <w:jc w:val="both"/>
        <w:rPr>
          <w:lang w:val="de-DE"/>
        </w:rPr>
      </w:pPr>
    </w:p>
    <w:p w14:paraId="544DED25" w14:textId="77777777" w:rsidR="000B77AB" w:rsidRPr="004676F5" w:rsidRDefault="000B77AB" w:rsidP="000B77AB">
      <w:pPr>
        <w:jc w:val="both"/>
        <w:rPr>
          <w:lang w:val="de-DE"/>
        </w:rPr>
      </w:pPr>
    </w:p>
    <w:p w14:paraId="37B26DD8" w14:textId="2846AE94" w:rsidR="000B77AB" w:rsidRPr="004676F5" w:rsidRDefault="000B77AB" w:rsidP="000B77AB">
      <w:pPr>
        <w:jc w:val="both"/>
        <w:rPr>
          <w:lang w:val="de-DE"/>
        </w:rPr>
      </w:pPr>
      <w:r w:rsidRPr="004676F5">
        <w:rPr>
          <w:lang w:val="de-DE"/>
        </w:rPr>
        <w:tab/>
        <w:t>[</w:t>
      </w:r>
      <w:r w:rsidRPr="004676F5">
        <w:rPr>
          <w:b/>
          <w:bCs/>
          <w:lang w:val="de-DE"/>
        </w:rPr>
        <w:t>Art. XX.83/16</w:t>
      </w:r>
      <w:r w:rsidRPr="004676F5">
        <w:rPr>
          <w:lang w:val="de-DE"/>
        </w:rPr>
        <w:t> - Das Gericht entscheidet über die Homologierung ungeachtet jeglicher Strafverfolgung, die gegen den Schuldner oder seine Leiter eingeleitet worden ist.]</w:t>
      </w:r>
    </w:p>
    <w:p w14:paraId="498BB89A" w14:textId="77777777" w:rsidR="000B77AB" w:rsidRPr="004676F5" w:rsidRDefault="000B77AB" w:rsidP="000B77AB">
      <w:pPr>
        <w:jc w:val="both"/>
        <w:rPr>
          <w:lang w:val="de-DE"/>
        </w:rPr>
      </w:pPr>
    </w:p>
    <w:p w14:paraId="4653516B" w14:textId="13FE8059"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83/16 eingefügt durch Art. 140 des G. vom 7. Juni 2023 (B.S. vom 7. Juli 2023)]</w:t>
      </w:r>
    </w:p>
    <w:p w14:paraId="79EBC1F2" w14:textId="77777777" w:rsidR="000B77AB" w:rsidRPr="004676F5" w:rsidRDefault="000B77AB" w:rsidP="000B77AB">
      <w:pPr>
        <w:jc w:val="both"/>
        <w:rPr>
          <w:lang w:val="de-DE"/>
        </w:rPr>
      </w:pPr>
    </w:p>
    <w:p w14:paraId="532CCF5C" w14:textId="77777777" w:rsidR="000B77AB" w:rsidRPr="004676F5" w:rsidRDefault="000B77AB" w:rsidP="000B77AB">
      <w:pPr>
        <w:jc w:val="both"/>
        <w:rPr>
          <w:lang w:val="de-DE"/>
        </w:rPr>
      </w:pPr>
    </w:p>
    <w:p w14:paraId="1D2EF979" w14:textId="7CAB27BB" w:rsidR="000B77AB" w:rsidRPr="004676F5" w:rsidRDefault="000B77AB" w:rsidP="000B77AB">
      <w:pPr>
        <w:jc w:val="both"/>
        <w:rPr>
          <w:lang w:val="de-DE"/>
        </w:rPr>
      </w:pPr>
      <w:r w:rsidRPr="004676F5">
        <w:rPr>
          <w:lang w:val="de-DE"/>
        </w:rPr>
        <w:tab/>
        <w:t>[</w:t>
      </w:r>
      <w:r w:rsidRPr="004676F5">
        <w:rPr>
          <w:b/>
          <w:bCs/>
          <w:lang w:val="de-DE"/>
        </w:rPr>
        <w:t>Art. XX.83/17 </w:t>
      </w:r>
      <w:r w:rsidRPr="004676F5">
        <w:rPr>
          <w:lang w:val="de-DE"/>
        </w:rPr>
        <w:t>- § 1 - Das Gericht überprüft, ob:</w:t>
      </w:r>
    </w:p>
    <w:p w14:paraId="2E255D77" w14:textId="77777777" w:rsidR="000B77AB" w:rsidRPr="004676F5" w:rsidRDefault="000B77AB" w:rsidP="000B77AB">
      <w:pPr>
        <w:jc w:val="both"/>
        <w:rPr>
          <w:lang w:val="de-DE"/>
        </w:rPr>
      </w:pPr>
    </w:p>
    <w:p w14:paraId="6A7F7525" w14:textId="77777777" w:rsidR="000B77AB" w:rsidRPr="004676F5" w:rsidRDefault="000B77AB" w:rsidP="000B77AB">
      <w:pPr>
        <w:jc w:val="both"/>
        <w:rPr>
          <w:lang w:val="de-DE"/>
        </w:rPr>
      </w:pPr>
      <w:r w:rsidRPr="004676F5">
        <w:rPr>
          <w:lang w:val="de-DE"/>
        </w:rPr>
        <w:tab/>
        <w:t>1. der Reorganisationsplan im Einklang mit Artikel XX.83/14 angenommen worden ist,</w:t>
      </w:r>
    </w:p>
    <w:p w14:paraId="36BE0141" w14:textId="77777777" w:rsidR="000B77AB" w:rsidRPr="004676F5" w:rsidRDefault="000B77AB" w:rsidP="000B77AB">
      <w:pPr>
        <w:jc w:val="both"/>
        <w:rPr>
          <w:lang w:val="de-DE"/>
        </w:rPr>
      </w:pPr>
    </w:p>
    <w:p w14:paraId="3242FB46" w14:textId="77777777" w:rsidR="000B77AB" w:rsidRPr="004676F5" w:rsidRDefault="000B77AB" w:rsidP="000B77AB">
      <w:pPr>
        <w:jc w:val="both"/>
        <w:rPr>
          <w:lang w:val="de-DE"/>
        </w:rPr>
      </w:pPr>
      <w:r w:rsidRPr="004676F5">
        <w:rPr>
          <w:lang w:val="de-DE"/>
        </w:rPr>
        <w:tab/>
        <w:t>2. die Bildung der Klassen korrekt vorgenommen worden ist und Gläubiger und Anteilsinhaber mit ausreichenden gemeinsamen Interessen in derselben Klasse gleich und im Verhältnis zu ihren Forderungen behandelt werden,</w:t>
      </w:r>
    </w:p>
    <w:p w14:paraId="4EAE6C0B" w14:textId="77777777" w:rsidR="000B77AB" w:rsidRPr="004676F5" w:rsidRDefault="000B77AB" w:rsidP="000B77AB">
      <w:pPr>
        <w:jc w:val="both"/>
        <w:rPr>
          <w:lang w:val="de-DE"/>
        </w:rPr>
      </w:pPr>
    </w:p>
    <w:p w14:paraId="1473C401" w14:textId="77777777" w:rsidR="000B77AB" w:rsidRPr="004676F5" w:rsidRDefault="000B77AB" w:rsidP="000B77AB">
      <w:pPr>
        <w:jc w:val="both"/>
        <w:rPr>
          <w:lang w:val="de-DE"/>
        </w:rPr>
      </w:pPr>
      <w:r w:rsidRPr="004676F5">
        <w:rPr>
          <w:lang w:val="de-DE"/>
        </w:rPr>
        <w:tab/>
        <w:t>3. der Reorganisationsplan im Register hinterlegt worden ist,</w:t>
      </w:r>
    </w:p>
    <w:p w14:paraId="38332451" w14:textId="77777777" w:rsidR="000B77AB" w:rsidRPr="004676F5" w:rsidRDefault="000B77AB" w:rsidP="000B77AB">
      <w:pPr>
        <w:jc w:val="both"/>
        <w:rPr>
          <w:lang w:val="de-DE"/>
        </w:rPr>
      </w:pPr>
    </w:p>
    <w:p w14:paraId="1D051BFB" w14:textId="77777777" w:rsidR="000B77AB" w:rsidRPr="004676F5" w:rsidRDefault="000B77AB" w:rsidP="000B77AB">
      <w:pPr>
        <w:jc w:val="both"/>
        <w:rPr>
          <w:lang w:val="de-DE"/>
        </w:rPr>
      </w:pPr>
      <w:r w:rsidRPr="004676F5">
        <w:rPr>
          <w:lang w:val="de-DE"/>
        </w:rPr>
        <w:tab/>
        <w:t>4. wenn es ablehnende Gläubiger gibt, der Reorganisationsplan das Kriterium des Gläubigerinteresses erfüllt; das Kriterium des Gläubigerinteresses ist erfüllt, wenn kein ablehnender Gläubiger schlechter gestellt würde als bei Anwendung eines normalen Konkursverfahrens,</w:t>
      </w:r>
    </w:p>
    <w:p w14:paraId="680F3CE1" w14:textId="77777777" w:rsidR="000B77AB" w:rsidRPr="004676F5" w:rsidRDefault="000B77AB" w:rsidP="000B77AB">
      <w:pPr>
        <w:jc w:val="both"/>
        <w:rPr>
          <w:lang w:val="de-DE"/>
        </w:rPr>
      </w:pPr>
    </w:p>
    <w:p w14:paraId="2B9F75A1" w14:textId="77777777" w:rsidR="000B77AB" w:rsidRPr="004676F5" w:rsidRDefault="000B77AB" w:rsidP="000B77AB">
      <w:pPr>
        <w:jc w:val="both"/>
        <w:rPr>
          <w:lang w:val="de-DE"/>
        </w:rPr>
      </w:pPr>
      <w:r w:rsidRPr="004676F5">
        <w:rPr>
          <w:lang w:val="de-DE"/>
        </w:rPr>
        <w:tab/>
        <w:t>5. eine etwaige neue Finanzierung, die zur Umsetzung des Reorganisationsplans erforderlich ist, die Interessen der Gläubiger nicht in unangemessener Weise beeinträchtigt.</w:t>
      </w:r>
    </w:p>
    <w:p w14:paraId="1F707EED" w14:textId="77777777" w:rsidR="000B77AB" w:rsidRPr="004676F5" w:rsidRDefault="000B77AB" w:rsidP="000B77AB">
      <w:pPr>
        <w:jc w:val="both"/>
        <w:rPr>
          <w:lang w:val="de-DE"/>
        </w:rPr>
      </w:pPr>
    </w:p>
    <w:p w14:paraId="39C210FB" w14:textId="77777777" w:rsidR="000B77AB" w:rsidRPr="004676F5" w:rsidRDefault="000B77AB" w:rsidP="000B77AB">
      <w:pPr>
        <w:jc w:val="both"/>
        <w:rPr>
          <w:lang w:val="de-DE"/>
        </w:rPr>
      </w:pPr>
      <w:r w:rsidRPr="004676F5">
        <w:rPr>
          <w:lang w:val="de-DE"/>
        </w:rPr>
        <w:tab/>
        <w:t>§ 2 - Das Gericht kann auf Antrag eines Interessehabenden die Homologierung eines Reorganisationsplans verweigern, wenn dieser offensichtlich keine vernünftige Aussicht bietet, Liquidation oder Konkurs des Schuldners zu verhindern oder die Bestandfähigkeit des Unternehmens zu gewährleisten.</w:t>
      </w:r>
    </w:p>
    <w:p w14:paraId="65124094" w14:textId="77777777" w:rsidR="000B77AB" w:rsidRPr="004676F5" w:rsidRDefault="000B77AB" w:rsidP="000B77AB">
      <w:pPr>
        <w:jc w:val="both"/>
        <w:rPr>
          <w:lang w:val="de-DE"/>
        </w:rPr>
      </w:pPr>
    </w:p>
    <w:p w14:paraId="08444DFA" w14:textId="77777777" w:rsidR="000B77AB" w:rsidRPr="004676F5" w:rsidRDefault="000B77AB" w:rsidP="000B77AB">
      <w:pPr>
        <w:jc w:val="both"/>
        <w:rPr>
          <w:lang w:val="de-DE"/>
        </w:rPr>
      </w:pPr>
      <w:r w:rsidRPr="004676F5">
        <w:rPr>
          <w:lang w:val="de-DE"/>
        </w:rPr>
        <w:tab/>
        <w:t>§ 3 - Das Gericht trifft nur dann eine Entscheidung über die Bewertung des Unternehmens, wenn ein Reorganisationsplan von einer ablehnenden betroffenen Partei beanstandet wird wegen:</w:t>
      </w:r>
    </w:p>
    <w:p w14:paraId="3F702BFD" w14:textId="77777777" w:rsidR="000B77AB" w:rsidRPr="004676F5" w:rsidRDefault="000B77AB" w:rsidP="000B77AB">
      <w:pPr>
        <w:jc w:val="both"/>
        <w:rPr>
          <w:lang w:val="de-DE"/>
        </w:rPr>
      </w:pPr>
    </w:p>
    <w:p w14:paraId="4D545D47" w14:textId="77777777" w:rsidR="000B77AB" w:rsidRPr="004676F5" w:rsidRDefault="000B77AB" w:rsidP="000B77AB">
      <w:pPr>
        <w:jc w:val="both"/>
        <w:rPr>
          <w:lang w:val="de-DE"/>
        </w:rPr>
      </w:pPr>
      <w:r w:rsidRPr="004676F5">
        <w:rPr>
          <w:lang w:val="de-DE"/>
        </w:rPr>
        <w:tab/>
      </w:r>
      <w:r w:rsidRPr="004676F5">
        <w:rPr>
          <w:i/>
          <w:lang w:val="de-DE"/>
        </w:rPr>
        <w:t>a)</w:t>
      </w:r>
      <w:r w:rsidRPr="004676F5">
        <w:rPr>
          <w:lang w:val="de-DE"/>
        </w:rPr>
        <w:t> eines mutmaßlichen Verstoßes gegen das Kriterium des Gläubigerinteresses,</w:t>
      </w:r>
    </w:p>
    <w:p w14:paraId="388B5ADD" w14:textId="77777777" w:rsidR="000B77AB" w:rsidRPr="004676F5" w:rsidRDefault="000B77AB" w:rsidP="000B77AB">
      <w:pPr>
        <w:jc w:val="both"/>
        <w:rPr>
          <w:lang w:val="de-DE"/>
        </w:rPr>
      </w:pPr>
    </w:p>
    <w:p w14:paraId="5529A39B" w14:textId="77777777" w:rsidR="000B77AB" w:rsidRPr="004676F5" w:rsidRDefault="000B77AB" w:rsidP="000B77AB">
      <w:pPr>
        <w:jc w:val="both"/>
        <w:rPr>
          <w:lang w:val="de-DE"/>
        </w:rPr>
      </w:pPr>
      <w:r w:rsidRPr="004676F5">
        <w:rPr>
          <w:lang w:val="de-DE"/>
        </w:rPr>
        <w:tab/>
      </w:r>
      <w:r w:rsidRPr="004676F5">
        <w:rPr>
          <w:i/>
          <w:lang w:val="de-DE"/>
        </w:rPr>
        <w:t>b)</w:t>
      </w:r>
      <w:r w:rsidRPr="004676F5">
        <w:rPr>
          <w:lang w:val="de-DE"/>
        </w:rPr>
        <w:t> eines mutmaßlichen Verstoßes gegen die Bedingungen für einen klassenüber</w:t>
      </w:r>
      <w:r w:rsidRPr="004676F5">
        <w:rPr>
          <w:lang w:val="de-DE"/>
        </w:rPr>
        <w:softHyphen/>
        <w:t>greifenden Cram-down gemäß Artikel XX.83/18.</w:t>
      </w:r>
    </w:p>
    <w:p w14:paraId="39764A8D" w14:textId="77777777" w:rsidR="000B77AB" w:rsidRPr="004676F5" w:rsidRDefault="000B77AB" w:rsidP="000B77AB">
      <w:pPr>
        <w:jc w:val="both"/>
        <w:rPr>
          <w:lang w:val="de-DE"/>
        </w:rPr>
      </w:pPr>
    </w:p>
    <w:p w14:paraId="0A16C384" w14:textId="64F8F541" w:rsidR="000B77AB" w:rsidRPr="004676F5" w:rsidRDefault="000B77AB" w:rsidP="000B77AB">
      <w:pPr>
        <w:jc w:val="both"/>
        <w:rPr>
          <w:lang w:val="de-DE"/>
        </w:rPr>
      </w:pPr>
      <w:r w:rsidRPr="004676F5">
        <w:rPr>
          <w:lang w:val="de-DE"/>
        </w:rPr>
        <w:tab/>
        <w:t>§ 4 - Die Homologierung kann keiner Bedingung unterworfen werden, die nicht im Reorganisationsplan vorgesehen ist; mit der Homologierung kann der Reorganisationsplan auch nicht geändert werden.]</w:t>
      </w:r>
    </w:p>
    <w:p w14:paraId="26574C96" w14:textId="77777777" w:rsidR="000B77AB" w:rsidRPr="004676F5" w:rsidRDefault="000B77AB" w:rsidP="000B77AB">
      <w:pPr>
        <w:jc w:val="both"/>
        <w:rPr>
          <w:lang w:val="de-DE"/>
        </w:rPr>
      </w:pPr>
    </w:p>
    <w:p w14:paraId="40D19283" w14:textId="2E868401" w:rsidR="004B5F0E" w:rsidRPr="004676F5" w:rsidRDefault="004B5F0E" w:rsidP="004B5F0E">
      <w:pPr>
        <w:jc w:val="both"/>
        <w:rPr>
          <w:i/>
          <w:iCs/>
          <w:lang w:val="de-DE"/>
        </w:rPr>
      </w:pPr>
      <w:r w:rsidRPr="004676F5">
        <w:rPr>
          <w:i/>
          <w:iCs/>
          <w:lang w:val="de-DE"/>
        </w:rPr>
        <w:t>[Art. XX.83/17 eingefügt durch Art. 141 des G. vom 7. Juni 2023 (B.S. vom 7. Juli 2023)]</w:t>
      </w:r>
    </w:p>
    <w:p w14:paraId="75726675" w14:textId="77777777" w:rsidR="004B5F0E" w:rsidRPr="004676F5" w:rsidRDefault="004B5F0E" w:rsidP="000B77AB">
      <w:pPr>
        <w:jc w:val="both"/>
        <w:rPr>
          <w:lang w:val="de-DE"/>
        </w:rPr>
      </w:pPr>
    </w:p>
    <w:p w14:paraId="31774DDE" w14:textId="77777777" w:rsidR="000B77AB" w:rsidRPr="004676F5" w:rsidRDefault="000B77AB" w:rsidP="000B77AB">
      <w:pPr>
        <w:jc w:val="both"/>
        <w:rPr>
          <w:lang w:val="de-DE"/>
        </w:rPr>
      </w:pPr>
    </w:p>
    <w:p w14:paraId="5F8A1DAA" w14:textId="2E29E6FE" w:rsidR="000B77AB" w:rsidRPr="004676F5" w:rsidRDefault="000B77AB" w:rsidP="000B77AB">
      <w:pPr>
        <w:jc w:val="both"/>
        <w:rPr>
          <w:lang w:val="de-DE"/>
        </w:rPr>
      </w:pPr>
      <w:r w:rsidRPr="004676F5">
        <w:rPr>
          <w:lang w:val="de-DE"/>
        </w:rPr>
        <w:tab/>
        <w:t>[</w:t>
      </w:r>
      <w:r w:rsidRPr="004676F5">
        <w:rPr>
          <w:b/>
          <w:bCs/>
          <w:lang w:val="de-DE"/>
        </w:rPr>
        <w:t>Art. XX.83/18</w:t>
      </w:r>
      <w:r w:rsidRPr="004676F5">
        <w:rPr>
          <w:lang w:val="de-DE"/>
        </w:rPr>
        <w:t> - § 1 - Wird ein Plan nicht in jeder Abstimmungsklasse angenommen, kann er dennoch dem Gericht zur Homologierung gemäß Artikel XX.83/15 vorgelegt werden und für ablehnende Abstimmungsklassen verbindlich werden, wenn der Plan mindestens folgende Voraussetzungen erfüllt:</w:t>
      </w:r>
    </w:p>
    <w:p w14:paraId="50A0F3E6" w14:textId="77777777" w:rsidR="000B77AB" w:rsidRPr="004676F5" w:rsidRDefault="000B77AB" w:rsidP="000B77AB">
      <w:pPr>
        <w:jc w:val="both"/>
        <w:rPr>
          <w:lang w:val="de-DE"/>
        </w:rPr>
      </w:pPr>
    </w:p>
    <w:p w14:paraId="49B9A309" w14:textId="77777777" w:rsidR="000B77AB" w:rsidRPr="004676F5" w:rsidRDefault="000B77AB" w:rsidP="000B77AB">
      <w:pPr>
        <w:jc w:val="both"/>
        <w:rPr>
          <w:lang w:val="de-DE"/>
        </w:rPr>
      </w:pPr>
      <w:r w:rsidRPr="004676F5">
        <w:rPr>
          <w:lang w:val="de-DE"/>
        </w:rPr>
        <w:tab/>
        <w:t>1. Er entspricht Artikel XX.83/17.</w:t>
      </w:r>
    </w:p>
    <w:p w14:paraId="71B059FF" w14:textId="77777777" w:rsidR="000B77AB" w:rsidRPr="004676F5" w:rsidRDefault="000B77AB" w:rsidP="000B77AB">
      <w:pPr>
        <w:jc w:val="both"/>
        <w:rPr>
          <w:lang w:val="de-DE"/>
        </w:rPr>
      </w:pPr>
    </w:p>
    <w:p w14:paraId="157981A7" w14:textId="77777777" w:rsidR="000B77AB" w:rsidRPr="004676F5" w:rsidRDefault="000B77AB" w:rsidP="000B77AB">
      <w:pPr>
        <w:jc w:val="both"/>
        <w:rPr>
          <w:lang w:val="de-DE"/>
        </w:rPr>
      </w:pPr>
      <w:r w:rsidRPr="004676F5">
        <w:rPr>
          <w:lang w:val="de-DE"/>
        </w:rPr>
        <w:lastRenderedPageBreak/>
        <w:tab/>
        <w:t>2. Er ist angenommen worden von: i) einer der beiden bestehenden Abstimmungs</w:t>
      </w:r>
      <w:r w:rsidRPr="004676F5">
        <w:rPr>
          <w:lang w:val="de-DE"/>
        </w:rPr>
        <w:softHyphen/>
        <w:t>klassen oder, wenn mehrere Abstimmungsklassen bestehen, ii) einer Mehrheit der Abstim</w:t>
      </w:r>
      <w:r w:rsidRPr="004676F5">
        <w:rPr>
          <w:lang w:val="de-DE"/>
        </w:rPr>
        <w:softHyphen/>
        <w:t>mungsklassen betroffener Parteien, sofern mindestens eine dieser Klassen eine Klasse mit einer dinglichen Sicherheit gesicherter Gläubiger ist oder gegenüber der Klasse gewöhnlicher Aufschubgläubiger vorrangig ist, oder anderenfalls iii) mindestens einer der Abstimmungsklassen der betroffenen Parteien, bei der vernünftigerweise davon ausgegangen werden kann, dass sie bei Anwendung der normalen Liquidationsvorzugsreihenfolge bezahlt würden.</w:t>
      </w:r>
    </w:p>
    <w:p w14:paraId="716F9A70" w14:textId="77777777" w:rsidR="000B77AB" w:rsidRPr="004676F5" w:rsidRDefault="000B77AB" w:rsidP="000B77AB">
      <w:pPr>
        <w:jc w:val="both"/>
        <w:rPr>
          <w:lang w:val="de-DE"/>
        </w:rPr>
      </w:pPr>
    </w:p>
    <w:p w14:paraId="6184B26C" w14:textId="77777777" w:rsidR="000B77AB" w:rsidRPr="004676F5" w:rsidRDefault="000B77AB" w:rsidP="000B77AB">
      <w:pPr>
        <w:jc w:val="both"/>
        <w:rPr>
          <w:lang w:val="de-DE"/>
        </w:rPr>
      </w:pPr>
      <w:r w:rsidRPr="004676F5">
        <w:rPr>
          <w:lang w:val="de-DE"/>
        </w:rPr>
        <w:tab/>
        <w:t>3. Er weicht nicht zum Nachteil einer der ablehnenden Abstimmungsklassen von der gesetzlichen oder vertraglichen Rangfolge ab, die bei einer Liquidation bestehen würde, es sei denn, es gibt vernünftige Gründe dafür und die vorerwähnten Gläubiger oder Anteilsinhaber werden dadurch nicht offensichtlich benachteiligt.</w:t>
      </w:r>
    </w:p>
    <w:p w14:paraId="3ABDBD44" w14:textId="77777777" w:rsidR="000B77AB" w:rsidRPr="004676F5" w:rsidRDefault="000B77AB" w:rsidP="000B77AB">
      <w:pPr>
        <w:jc w:val="both"/>
        <w:rPr>
          <w:lang w:val="de-DE"/>
        </w:rPr>
      </w:pPr>
    </w:p>
    <w:p w14:paraId="1C129FFD" w14:textId="77777777" w:rsidR="000B77AB" w:rsidRPr="004676F5" w:rsidRDefault="000B77AB" w:rsidP="000B77AB">
      <w:pPr>
        <w:jc w:val="both"/>
        <w:rPr>
          <w:lang w:val="de-DE"/>
        </w:rPr>
      </w:pPr>
      <w:r w:rsidRPr="004676F5">
        <w:rPr>
          <w:lang w:val="de-DE"/>
        </w:rPr>
        <w:tab/>
        <w:t>4. Keine Klasse betroffener Parteien kann nach dem Reorganisationsplan mehr erhalten oder behalten als den vollen Betrag ihrer Forderungen oder Interessen.</w:t>
      </w:r>
    </w:p>
    <w:p w14:paraId="11906EED" w14:textId="77777777" w:rsidR="000B77AB" w:rsidRPr="004676F5" w:rsidRDefault="000B77AB" w:rsidP="000B77AB">
      <w:pPr>
        <w:jc w:val="both"/>
        <w:rPr>
          <w:lang w:val="de-DE"/>
        </w:rPr>
      </w:pPr>
    </w:p>
    <w:p w14:paraId="6CFC2E8C" w14:textId="510E7894" w:rsidR="000B77AB" w:rsidRPr="004676F5" w:rsidRDefault="000B77AB" w:rsidP="000B77AB">
      <w:pPr>
        <w:jc w:val="both"/>
        <w:rPr>
          <w:lang w:val="de-DE"/>
        </w:rPr>
      </w:pPr>
      <w:r w:rsidRPr="004676F5">
        <w:rPr>
          <w:lang w:val="de-DE"/>
        </w:rPr>
        <w:tab/>
        <w:t>§ 2 - Der Plan weicht nicht von der in § 1 Nr. 3 erwähnten gesetzlichen oder vertraglichen Rangfolge ab, wenn sich Anteilsinhaber einer juristischen Person verpflichten, ein Interesse an einer juristischen Person im Austausch für eine neue Finanzierung zu behalten, oder wenn sich Anteilsinhaber als entscheidend für die Kontinuität des Unternehmens erweisen und sich verpflichten, ihre Beteiligung an dem Unternehmen für einen angemessenen Zeitraum aufrechtzuerhalten.]</w:t>
      </w:r>
    </w:p>
    <w:p w14:paraId="08260917" w14:textId="77777777" w:rsidR="000B77AB" w:rsidRPr="004676F5" w:rsidRDefault="000B77AB" w:rsidP="000B77AB">
      <w:pPr>
        <w:jc w:val="both"/>
        <w:rPr>
          <w:lang w:val="de-DE"/>
        </w:rPr>
      </w:pPr>
    </w:p>
    <w:p w14:paraId="4D7308D1" w14:textId="23EA7AB2"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83/18 eingefügt durch Art. 142 des G. vom 7. Juni 2023 (B.S. vom 7. Juli 2023)]</w:t>
      </w:r>
    </w:p>
    <w:p w14:paraId="09FE3D0B" w14:textId="77777777" w:rsidR="000B77AB" w:rsidRPr="004676F5" w:rsidRDefault="000B77AB" w:rsidP="000B77AB">
      <w:pPr>
        <w:jc w:val="both"/>
        <w:rPr>
          <w:lang w:val="de-DE"/>
        </w:rPr>
      </w:pPr>
    </w:p>
    <w:p w14:paraId="078C29F0" w14:textId="77777777" w:rsidR="000B77AB" w:rsidRPr="004676F5" w:rsidRDefault="000B77AB" w:rsidP="000B77AB">
      <w:pPr>
        <w:jc w:val="both"/>
        <w:rPr>
          <w:lang w:val="de-DE"/>
        </w:rPr>
      </w:pPr>
    </w:p>
    <w:p w14:paraId="19C0E9FB" w14:textId="0307A6F1" w:rsidR="000B77AB" w:rsidRPr="004676F5" w:rsidRDefault="000B77AB" w:rsidP="000B77AB">
      <w:pPr>
        <w:jc w:val="center"/>
        <w:rPr>
          <w:lang w:val="de-DE"/>
        </w:rPr>
      </w:pPr>
      <w:r w:rsidRPr="004676F5">
        <w:rPr>
          <w:lang w:val="de-DE"/>
        </w:rPr>
        <w:t>[</w:t>
      </w:r>
      <w:r w:rsidRPr="004676F5">
        <w:rPr>
          <w:i/>
          <w:iCs/>
          <w:lang w:val="de-DE"/>
        </w:rPr>
        <w:t>Abschnitt 5</w:t>
      </w:r>
      <w:r w:rsidRPr="004676F5">
        <w:rPr>
          <w:lang w:val="de-DE"/>
        </w:rPr>
        <w:t> - Abschluss des Verfahrens und Rechtsmittel]</w:t>
      </w:r>
    </w:p>
    <w:p w14:paraId="19A47523" w14:textId="77777777" w:rsidR="000B77AB" w:rsidRPr="004676F5" w:rsidRDefault="000B77AB" w:rsidP="000B77AB">
      <w:pPr>
        <w:jc w:val="both"/>
        <w:rPr>
          <w:lang w:val="de-DE"/>
        </w:rPr>
      </w:pPr>
    </w:p>
    <w:p w14:paraId="37115448" w14:textId="1A470E5E" w:rsidR="000B77AB" w:rsidRPr="004676F5" w:rsidRDefault="000B77AB" w:rsidP="000B77AB">
      <w:pPr>
        <w:jc w:val="both"/>
        <w:rPr>
          <w:i/>
          <w:iCs/>
          <w:lang w:val="de-DE"/>
        </w:rPr>
      </w:pPr>
      <w:r w:rsidRPr="004676F5">
        <w:rPr>
          <w:i/>
          <w:iCs/>
          <w:lang w:val="de-DE"/>
        </w:rPr>
        <w:t>[Unterteilung Abschnitt 5 eingefügt durch Art. 143 des G. vom 7. Juni 2023 (B.S. vom 7. Juli 2023)]</w:t>
      </w:r>
    </w:p>
    <w:p w14:paraId="72C687CE" w14:textId="77777777" w:rsidR="000B77AB" w:rsidRPr="004676F5" w:rsidRDefault="000B77AB" w:rsidP="000B77AB">
      <w:pPr>
        <w:jc w:val="both"/>
        <w:rPr>
          <w:lang w:val="de-DE"/>
        </w:rPr>
      </w:pPr>
    </w:p>
    <w:p w14:paraId="09625273" w14:textId="77777777" w:rsidR="000B77AB" w:rsidRPr="004676F5" w:rsidRDefault="000B77AB" w:rsidP="000B77AB">
      <w:pPr>
        <w:jc w:val="both"/>
        <w:rPr>
          <w:lang w:val="de-DE"/>
        </w:rPr>
      </w:pPr>
    </w:p>
    <w:p w14:paraId="1C01C146" w14:textId="34B40808" w:rsidR="000B77AB" w:rsidRPr="004676F5" w:rsidRDefault="000B77AB" w:rsidP="000B77AB">
      <w:pPr>
        <w:jc w:val="both"/>
        <w:rPr>
          <w:lang w:val="de-DE"/>
        </w:rPr>
      </w:pPr>
      <w:r w:rsidRPr="004676F5">
        <w:rPr>
          <w:lang w:val="de-DE"/>
        </w:rPr>
        <w:tab/>
        <w:t>[</w:t>
      </w:r>
      <w:r w:rsidRPr="004676F5">
        <w:rPr>
          <w:b/>
          <w:bCs/>
          <w:lang w:val="de-DE"/>
        </w:rPr>
        <w:t>Art. XX.83/19</w:t>
      </w:r>
      <w:r w:rsidRPr="004676F5">
        <w:rPr>
          <w:lang w:val="de-DE"/>
        </w:rPr>
        <w:t> - Die Bestimmungen von Artikel XX.81 sind entsprechend anwendbar.]</w:t>
      </w:r>
    </w:p>
    <w:p w14:paraId="47A47CB0" w14:textId="77777777" w:rsidR="000B77AB" w:rsidRPr="004676F5" w:rsidRDefault="000B77AB" w:rsidP="000B77AB">
      <w:pPr>
        <w:jc w:val="both"/>
        <w:rPr>
          <w:lang w:val="de-DE"/>
        </w:rPr>
      </w:pPr>
    </w:p>
    <w:p w14:paraId="0807E54A" w14:textId="3B511142" w:rsidR="000B77AB" w:rsidRPr="004676F5" w:rsidRDefault="000B77AB" w:rsidP="000B77AB">
      <w:pPr>
        <w:jc w:val="both"/>
        <w:rPr>
          <w:i/>
          <w:iCs/>
          <w:lang w:val="de-DE"/>
        </w:rPr>
      </w:pPr>
      <w:r w:rsidRPr="004676F5">
        <w:rPr>
          <w:i/>
          <w:iCs/>
          <w:lang w:val="de-DE"/>
        </w:rPr>
        <w:t>[Art. </w:t>
      </w:r>
      <w:r w:rsidR="004B5F0E" w:rsidRPr="004676F5">
        <w:rPr>
          <w:i/>
          <w:iCs/>
          <w:lang w:val="de-DE"/>
        </w:rPr>
        <w:t>XX.</w:t>
      </w:r>
      <w:r w:rsidRPr="004676F5">
        <w:rPr>
          <w:i/>
          <w:iCs/>
          <w:lang w:val="de-DE"/>
        </w:rPr>
        <w:t>83/19 eingefügt durch Art. 14</w:t>
      </w:r>
      <w:r w:rsidR="00C63BD8" w:rsidRPr="004676F5">
        <w:rPr>
          <w:i/>
          <w:iCs/>
          <w:lang w:val="de-DE"/>
        </w:rPr>
        <w:t>4</w:t>
      </w:r>
      <w:r w:rsidRPr="004676F5">
        <w:rPr>
          <w:i/>
          <w:iCs/>
          <w:lang w:val="de-DE"/>
        </w:rPr>
        <w:t xml:space="preserve"> des G. vom 7. Juni 2023 (B.S. vom 7. Juli 2023)]</w:t>
      </w:r>
    </w:p>
    <w:p w14:paraId="00749F3E" w14:textId="77777777" w:rsidR="000B77AB" w:rsidRPr="004676F5" w:rsidRDefault="000B77AB" w:rsidP="000B77AB">
      <w:pPr>
        <w:jc w:val="both"/>
        <w:rPr>
          <w:lang w:val="de-DE"/>
        </w:rPr>
      </w:pPr>
    </w:p>
    <w:p w14:paraId="0A605673" w14:textId="77777777" w:rsidR="000B77AB" w:rsidRPr="004676F5" w:rsidRDefault="000B77AB" w:rsidP="000B77AB">
      <w:pPr>
        <w:jc w:val="both"/>
        <w:rPr>
          <w:lang w:val="de-DE"/>
        </w:rPr>
      </w:pPr>
    </w:p>
    <w:p w14:paraId="58692791" w14:textId="756A167E" w:rsidR="000B77AB" w:rsidRPr="004676F5" w:rsidRDefault="00ED5B6A" w:rsidP="00ED5B6A">
      <w:pPr>
        <w:jc w:val="center"/>
        <w:rPr>
          <w:lang w:val="de-DE"/>
        </w:rPr>
      </w:pPr>
      <w:r w:rsidRPr="004676F5">
        <w:rPr>
          <w:lang w:val="de-DE"/>
        </w:rPr>
        <w:t>[</w:t>
      </w:r>
      <w:r w:rsidR="000B77AB" w:rsidRPr="004676F5">
        <w:rPr>
          <w:i/>
          <w:iCs/>
          <w:lang w:val="de-DE"/>
        </w:rPr>
        <w:t>Abschnitt 6</w:t>
      </w:r>
      <w:r w:rsidR="000B77AB" w:rsidRPr="004676F5">
        <w:rPr>
          <w:lang w:val="de-DE"/>
        </w:rPr>
        <w:t> - Auswirkungen des homologierten Reorganisationsplans</w:t>
      </w:r>
      <w:r w:rsidRPr="004676F5">
        <w:rPr>
          <w:lang w:val="de-DE"/>
        </w:rPr>
        <w:t>]</w:t>
      </w:r>
    </w:p>
    <w:p w14:paraId="19667D3B" w14:textId="77777777" w:rsidR="00ED5B6A" w:rsidRPr="004676F5" w:rsidRDefault="00ED5B6A" w:rsidP="000B77AB">
      <w:pPr>
        <w:jc w:val="both"/>
        <w:rPr>
          <w:lang w:val="de-DE"/>
        </w:rPr>
      </w:pPr>
    </w:p>
    <w:p w14:paraId="2D2DEC19" w14:textId="69ED30EB" w:rsidR="00ED5B6A" w:rsidRPr="004676F5" w:rsidRDefault="00ED5B6A" w:rsidP="00ED5B6A">
      <w:pPr>
        <w:jc w:val="both"/>
        <w:rPr>
          <w:i/>
          <w:iCs/>
          <w:lang w:val="de-DE"/>
        </w:rPr>
      </w:pPr>
      <w:r w:rsidRPr="004676F5">
        <w:rPr>
          <w:i/>
          <w:iCs/>
          <w:lang w:val="de-DE"/>
        </w:rPr>
        <w:t>[Unterteilung Abschnitt 6 eingefügt durch Art. 14</w:t>
      </w:r>
      <w:r w:rsidR="00C63BD8" w:rsidRPr="004676F5">
        <w:rPr>
          <w:i/>
          <w:iCs/>
          <w:lang w:val="de-DE"/>
        </w:rPr>
        <w:t>5</w:t>
      </w:r>
      <w:r w:rsidRPr="004676F5">
        <w:rPr>
          <w:i/>
          <w:iCs/>
          <w:lang w:val="de-DE"/>
        </w:rPr>
        <w:t xml:space="preserve"> des G. vom 7. Juni 2023 (B.S. vom 7. Juli 2023)]</w:t>
      </w:r>
    </w:p>
    <w:p w14:paraId="05AA1E85" w14:textId="77777777" w:rsidR="00ED5B6A" w:rsidRPr="004676F5" w:rsidRDefault="00ED5B6A" w:rsidP="000B77AB">
      <w:pPr>
        <w:jc w:val="both"/>
        <w:rPr>
          <w:lang w:val="de-DE"/>
        </w:rPr>
      </w:pPr>
    </w:p>
    <w:p w14:paraId="174CB583" w14:textId="77777777" w:rsidR="000B77AB" w:rsidRPr="004676F5" w:rsidRDefault="000B77AB" w:rsidP="000B77AB">
      <w:pPr>
        <w:jc w:val="both"/>
        <w:rPr>
          <w:lang w:val="de-DE"/>
        </w:rPr>
      </w:pPr>
    </w:p>
    <w:p w14:paraId="74DC2AAB" w14:textId="6AA46E37" w:rsidR="000B77AB" w:rsidRPr="004676F5" w:rsidRDefault="000B77AB" w:rsidP="000B77AB">
      <w:pPr>
        <w:jc w:val="both"/>
        <w:rPr>
          <w:lang w:val="de-DE"/>
        </w:rPr>
      </w:pPr>
      <w:r w:rsidRPr="004676F5">
        <w:rPr>
          <w:lang w:val="de-DE"/>
        </w:rPr>
        <w:tab/>
      </w:r>
      <w:r w:rsidR="00ED5B6A" w:rsidRPr="004676F5">
        <w:rPr>
          <w:lang w:val="de-DE"/>
        </w:rPr>
        <w:t>[</w:t>
      </w:r>
      <w:r w:rsidRPr="004676F5">
        <w:rPr>
          <w:b/>
          <w:bCs/>
          <w:lang w:val="de-DE"/>
        </w:rPr>
        <w:t>Art. XX.83/20</w:t>
      </w:r>
      <w:r w:rsidRPr="004676F5">
        <w:rPr>
          <w:lang w:val="de-DE"/>
        </w:rPr>
        <w:t> - Durch die Homologierung des Reorganisationsplans wird er für alle Aufschubgläubiger und Anteilsinhaber zwingend. Sofern die Umsetzung des Reorganisations</w:t>
      </w:r>
      <w:r w:rsidRPr="004676F5">
        <w:rPr>
          <w:lang w:val="de-DE"/>
        </w:rPr>
        <w:softHyphen/>
        <w:t xml:space="preserve">plans einen Beschluss der Generalversammlung einer juristischen Person erfordert und die Generalversammlung die Umsetzung des homologierten Plans in unangemessener Weise behindert, kann ein Interessehabender beim Gericht beantragen, dass die juristische Person </w:t>
      </w:r>
      <w:r w:rsidRPr="004676F5">
        <w:rPr>
          <w:lang w:val="de-DE"/>
        </w:rPr>
        <w:lastRenderedPageBreak/>
        <w:t>angewiesen wird, die zur Gewährleistung der Umsetzung des Plans erforderlichen Beschlüsse zu fassen.</w:t>
      </w:r>
    </w:p>
    <w:p w14:paraId="3D5DD849" w14:textId="77777777" w:rsidR="000B77AB" w:rsidRPr="004676F5" w:rsidRDefault="000B77AB" w:rsidP="000B77AB">
      <w:pPr>
        <w:jc w:val="both"/>
        <w:rPr>
          <w:lang w:val="de-DE"/>
        </w:rPr>
      </w:pPr>
    </w:p>
    <w:p w14:paraId="543F2D3A" w14:textId="77777777" w:rsidR="000B77AB" w:rsidRPr="004676F5" w:rsidRDefault="000B77AB" w:rsidP="000B77AB">
      <w:pPr>
        <w:jc w:val="both"/>
        <w:rPr>
          <w:lang w:val="de-DE"/>
        </w:rPr>
      </w:pPr>
      <w:r w:rsidRPr="004676F5">
        <w:rPr>
          <w:lang w:val="de-DE"/>
        </w:rPr>
        <w:tab/>
        <w:t>Angefochtene, nach der Homologierung jedoch gerichtlich anerkannte aufgeschobene Forderungen werden gemäß den für Forderungen gleicher Art vorgesehenen Modalitäten beglichen. Die Ausführung des Reorganisationsplans kann keinesfalls aufgrund von Entscheidungen, die in Bezug auf diese Streitfälle getroffen werden, ganz oder teilweise ausgesetzt werden.</w:t>
      </w:r>
    </w:p>
    <w:p w14:paraId="16B6F991" w14:textId="77777777" w:rsidR="000B77AB" w:rsidRPr="004676F5" w:rsidRDefault="000B77AB" w:rsidP="000B77AB">
      <w:pPr>
        <w:jc w:val="both"/>
        <w:rPr>
          <w:lang w:val="de-DE"/>
        </w:rPr>
      </w:pPr>
    </w:p>
    <w:p w14:paraId="0490EDF2" w14:textId="77777777" w:rsidR="000B77AB" w:rsidRPr="004676F5" w:rsidRDefault="000B77AB" w:rsidP="000B77AB">
      <w:pPr>
        <w:jc w:val="both"/>
        <w:rPr>
          <w:lang w:val="de-DE"/>
        </w:rPr>
      </w:pPr>
      <w:r w:rsidRPr="004676F5">
        <w:rPr>
          <w:lang w:val="de-DE"/>
        </w:rPr>
        <w:tab/>
        <w:t>Aufgeschobene Forderungen, die weder auf der in Artikel XX.41 § 2 Absatz 1 Nr. 7 erwähnten Liste, noch im Reorganisationsplan - gegebenenfalls in Anwendung von Artikel XX.83/5 geändert - aufgenommen und nicht angefochten worden sind, werden nach vollständiger Ausführung des Plans gemäß Modalitäten, die für Forderungen gleicher Art vorgesehen sind, beglichen. Wurde ein Gläubiger während des Aufschubs jedoch nicht ordnungsgemäß informiert, wird er gemäß Modalitäten und in dem Maße bezahlt, wie es im homologierten Plan für gleichartige Forderungen vorgesehen ist.</w:t>
      </w:r>
    </w:p>
    <w:p w14:paraId="47050E37" w14:textId="77777777" w:rsidR="000B77AB" w:rsidRPr="004676F5" w:rsidRDefault="000B77AB" w:rsidP="000B77AB">
      <w:pPr>
        <w:jc w:val="both"/>
        <w:rPr>
          <w:lang w:val="de-DE"/>
        </w:rPr>
      </w:pPr>
    </w:p>
    <w:p w14:paraId="27FF41C1" w14:textId="77777777" w:rsidR="000B77AB" w:rsidRPr="004676F5" w:rsidRDefault="000B77AB" w:rsidP="000B77AB">
      <w:pPr>
        <w:jc w:val="both"/>
        <w:rPr>
          <w:lang w:val="de-DE"/>
        </w:rPr>
      </w:pPr>
      <w:r w:rsidRPr="004676F5">
        <w:rPr>
          <w:lang w:val="de-DE"/>
        </w:rPr>
        <w:tab/>
        <w:t>Der Schuldner wird durch die vollständige Ausführung des Plans vollständig und definitiv von allen darin angeführten Forderungen befreit, sofern es im Plan nicht ausdrücklich anders festgelegt ist.</w:t>
      </w:r>
    </w:p>
    <w:p w14:paraId="068A4090" w14:textId="77777777" w:rsidR="000B77AB" w:rsidRPr="004676F5" w:rsidRDefault="000B77AB" w:rsidP="000B77AB">
      <w:pPr>
        <w:jc w:val="both"/>
        <w:rPr>
          <w:lang w:val="de-DE"/>
        </w:rPr>
      </w:pPr>
    </w:p>
    <w:p w14:paraId="00DB97AD" w14:textId="77777777" w:rsidR="000B77AB" w:rsidRPr="004676F5" w:rsidRDefault="000B77AB" w:rsidP="000B77AB">
      <w:pPr>
        <w:jc w:val="both"/>
        <w:rPr>
          <w:lang w:val="de-DE"/>
        </w:rPr>
      </w:pPr>
      <w:r w:rsidRPr="004676F5">
        <w:rPr>
          <w:lang w:val="de-DE"/>
        </w:rPr>
        <w:tab/>
        <w:t>Artikel XX.111 Nr. 2 ist nicht anwendbar auf Zahlungen, die der Schuldner in Ausführung des Plans leistet.</w:t>
      </w:r>
    </w:p>
    <w:p w14:paraId="035686A4" w14:textId="1C31BBE3" w:rsidR="000B77AB" w:rsidRPr="004676F5" w:rsidRDefault="000B77AB" w:rsidP="000B77AB">
      <w:pPr>
        <w:jc w:val="both"/>
        <w:rPr>
          <w:lang w:val="de-DE"/>
        </w:rPr>
      </w:pPr>
    </w:p>
    <w:p w14:paraId="2977FD4D" w14:textId="77777777" w:rsidR="000B77AB" w:rsidRPr="004676F5" w:rsidRDefault="000B77AB" w:rsidP="000B77AB">
      <w:pPr>
        <w:jc w:val="both"/>
        <w:rPr>
          <w:lang w:val="de-DE"/>
        </w:rPr>
      </w:pPr>
      <w:r w:rsidRPr="004676F5">
        <w:rPr>
          <w:lang w:val="de-DE"/>
        </w:rPr>
        <w:tab/>
        <w:t>Unbeschadet der Artikel 2043</w:t>
      </w:r>
      <w:r w:rsidRPr="004676F5">
        <w:rPr>
          <w:i/>
          <w:iCs/>
          <w:lang w:val="de-DE"/>
        </w:rPr>
        <w:t>bis</w:t>
      </w:r>
      <w:r w:rsidRPr="004676F5">
        <w:rPr>
          <w:lang w:val="de-DE"/>
        </w:rPr>
        <w:t xml:space="preserve"> bis 2043</w:t>
      </w:r>
      <w:r w:rsidRPr="004676F5">
        <w:rPr>
          <w:i/>
          <w:iCs/>
          <w:lang w:val="de-DE"/>
        </w:rPr>
        <w:t>octies</w:t>
      </w:r>
      <w:r w:rsidRPr="004676F5">
        <w:rPr>
          <w:lang w:val="de-DE"/>
        </w:rPr>
        <w:t xml:space="preserve"> des früheren Zivilgesetzbuches kommt der Plan weder Mitschuldnern noch Bestellern von persönlichen Sicherheiten zugute. Der Standpunkt eines Gläubigers dem Plan gegenüber beeinträchtigt nicht die Rechte, die dieser Gläubiger Dritten gegenüber, die sich verbürgt haben, geltend machen kann.</w:t>
      </w:r>
    </w:p>
    <w:p w14:paraId="7B3D2907" w14:textId="77777777" w:rsidR="000B77AB" w:rsidRPr="004676F5" w:rsidRDefault="000B77AB" w:rsidP="000B77AB">
      <w:pPr>
        <w:jc w:val="both"/>
        <w:rPr>
          <w:lang w:val="de-DE"/>
        </w:rPr>
      </w:pPr>
    </w:p>
    <w:p w14:paraId="745BD8FB" w14:textId="4ABA4778" w:rsidR="000B77AB" w:rsidRPr="004676F5" w:rsidRDefault="000B77AB" w:rsidP="000B77AB">
      <w:pPr>
        <w:jc w:val="both"/>
        <w:rPr>
          <w:lang w:val="de-DE"/>
        </w:rPr>
      </w:pPr>
      <w:r w:rsidRPr="004676F5">
        <w:rPr>
          <w:lang w:val="de-DE"/>
        </w:rPr>
        <w:tab/>
        <w:t>Der natürlichen Person, die für den Schuldner unentgeltlich eine persönliche Sicherheit geleistet hat und deren in Artikel XX.54 § 3 erwähntem Antrag stattgeben worden ist, kommen die Auswirkungen der kollektiven Einigung zugute.</w:t>
      </w:r>
      <w:r w:rsidR="00ED5B6A" w:rsidRPr="004676F5">
        <w:rPr>
          <w:lang w:val="de-DE"/>
        </w:rPr>
        <w:t>]</w:t>
      </w:r>
    </w:p>
    <w:p w14:paraId="37E8ADFA" w14:textId="77777777" w:rsidR="00ED5B6A" w:rsidRPr="004676F5" w:rsidRDefault="00ED5B6A" w:rsidP="000B77AB">
      <w:pPr>
        <w:jc w:val="both"/>
        <w:rPr>
          <w:lang w:val="de-DE"/>
        </w:rPr>
      </w:pPr>
    </w:p>
    <w:p w14:paraId="628ACC2D" w14:textId="1783EE53"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83/20 eingefügt durch Art. 146 des G. vom 7. Juni 2023 (B.S. vom 7. Juli 2023)]</w:t>
      </w:r>
    </w:p>
    <w:p w14:paraId="314C3162" w14:textId="77777777" w:rsidR="00ED5B6A" w:rsidRPr="004676F5" w:rsidRDefault="00ED5B6A" w:rsidP="000B77AB">
      <w:pPr>
        <w:jc w:val="both"/>
        <w:rPr>
          <w:lang w:val="de-DE"/>
        </w:rPr>
      </w:pPr>
    </w:p>
    <w:p w14:paraId="029FF8EB" w14:textId="77777777" w:rsidR="000B77AB" w:rsidRPr="004676F5" w:rsidRDefault="000B77AB" w:rsidP="000B77AB">
      <w:pPr>
        <w:jc w:val="both"/>
        <w:rPr>
          <w:lang w:val="de-DE"/>
        </w:rPr>
      </w:pPr>
    </w:p>
    <w:p w14:paraId="48AA2006" w14:textId="530F5296" w:rsidR="000B77AB" w:rsidRPr="004676F5" w:rsidRDefault="00ED5B6A" w:rsidP="00ED5B6A">
      <w:pPr>
        <w:jc w:val="center"/>
        <w:rPr>
          <w:lang w:val="de-DE"/>
        </w:rPr>
      </w:pPr>
      <w:r w:rsidRPr="004676F5">
        <w:rPr>
          <w:lang w:val="de-DE"/>
        </w:rPr>
        <w:t>[</w:t>
      </w:r>
      <w:r w:rsidR="000B77AB" w:rsidRPr="004676F5">
        <w:rPr>
          <w:i/>
          <w:iCs/>
          <w:lang w:val="de-DE"/>
        </w:rPr>
        <w:t>Abschnitt 7</w:t>
      </w:r>
      <w:r w:rsidR="000B77AB" w:rsidRPr="004676F5">
        <w:rPr>
          <w:lang w:val="de-DE"/>
        </w:rPr>
        <w:t> - Widerrufung des Reorganisationsplans und Feststellung, dass der Reorganisationsplan zu Ende geführt wurde</w:t>
      </w:r>
      <w:r w:rsidRPr="004676F5">
        <w:rPr>
          <w:lang w:val="de-DE"/>
        </w:rPr>
        <w:t>]</w:t>
      </w:r>
    </w:p>
    <w:p w14:paraId="419B7260" w14:textId="77777777" w:rsidR="000B77AB" w:rsidRPr="004676F5" w:rsidRDefault="000B77AB" w:rsidP="000B77AB">
      <w:pPr>
        <w:jc w:val="both"/>
        <w:rPr>
          <w:lang w:val="de-DE"/>
        </w:rPr>
      </w:pPr>
    </w:p>
    <w:p w14:paraId="7FF618E0" w14:textId="3257F005" w:rsidR="00ED5B6A" w:rsidRPr="004676F5" w:rsidRDefault="00ED5B6A" w:rsidP="00ED5B6A">
      <w:pPr>
        <w:jc w:val="both"/>
        <w:rPr>
          <w:i/>
          <w:iCs/>
          <w:lang w:val="de-DE"/>
        </w:rPr>
      </w:pPr>
      <w:r w:rsidRPr="004676F5">
        <w:rPr>
          <w:i/>
          <w:iCs/>
          <w:lang w:val="de-DE"/>
        </w:rPr>
        <w:t>[Unterteilung Abschnitt 7 eingefügt durch Art. 147 des G. vom 7. Juni 2023 (B.S. vom 7. Juli 2023)]</w:t>
      </w:r>
    </w:p>
    <w:p w14:paraId="68B68308" w14:textId="77777777" w:rsidR="00ED5B6A" w:rsidRPr="004676F5" w:rsidRDefault="00ED5B6A" w:rsidP="000B77AB">
      <w:pPr>
        <w:jc w:val="both"/>
        <w:rPr>
          <w:lang w:val="de-DE"/>
        </w:rPr>
      </w:pPr>
    </w:p>
    <w:p w14:paraId="0961C561" w14:textId="77777777" w:rsidR="000B77AB" w:rsidRPr="004676F5" w:rsidRDefault="000B77AB" w:rsidP="000B77AB">
      <w:pPr>
        <w:jc w:val="both"/>
        <w:rPr>
          <w:lang w:val="de-DE"/>
        </w:rPr>
      </w:pPr>
    </w:p>
    <w:p w14:paraId="06DDD330" w14:textId="72EBF309" w:rsidR="000B77AB" w:rsidRPr="004676F5" w:rsidRDefault="000B77AB" w:rsidP="000B77AB">
      <w:pPr>
        <w:jc w:val="both"/>
        <w:rPr>
          <w:lang w:val="de-DE"/>
        </w:rPr>
      </w:pPr>
      <w:r w:rsidRPr="004676F5">
        <w:rPr>
          <w:lang w:val="de-DE"/>
        </w:rPr>
        <w:tab/>
      </w:r>
      <w:r w:rsidR="00ED5B6A" w:rsidRPr="004676F5">
        <w:rPr>
          <w:lang w:val="de-DE"/>
        </w:rPr>
        <w:t>[</w:t>
      </w:r>
      <w:r w:rsidRPr="004676F5">
        <w:rPr>
          <w:b/>
          <w:bCs/>
          <w:lang w:val="de-DE"/>
        </w:rPr>
        <w:t>Art. XX.83/21</w:t>
      </w:r>
      <w:r w:rsidRPr="004676F5">
        <w:rPr>
          <w:lang w:val="de-DE"/>
        </w:rPr>
        <w:t> - Ein Gläubiger oder Anteilsinhaber kann mittels Ladung des Schuldners die Widerrufung eines Reorganisationsplans beantragen, wenn der Plan nicht genau ausgeführt wird oder wenn er nachweist, dass dies notgedrungenermaßen der Fall sein wird und er dadurch Schaden erleiden wird. Der Prokurator des Königs kann die Widerrufung auf dieselbe Weise beantragen, wenn er feststellt, dass der ganze Plan oder ein Teil davon nicht ausgeführt wird.</w:t>
      </w:r>
    </w:p>
    <w:p w14:paraId="06FB8DB7" w14:textId="77777777" w:rsidR="000B77AB" w:rsidRPr="004676F5" w:rsidRDefault="000B77AB" w:rsidP="000B77AB">
      <w:pPr>
        <w:jc w:val="both"/>
        <w:rPr>
          <w:lang w:val="de-DE"/>
        </w:rPr>
      </w:pPr>
    </w:p>
    <w:p w14:paraId="7B785E93" w14:textId="77777777" w:rsidR="000B77AB" w:rsidRPr="004676F5" w:rsidRDefault="000B77AB" w:rsidP="000B77AB">
      <w:pPr>
        <w:jc w:val="both"/>
        <w:rPr>
          <w:lang w:val="de-DE"/>
        </w:rPr>
      </w:pPr>
      <w:r w:rsidRPr="004676F5">
        <w:rPr>
          <w:lang w:val="de-DE"/>
        </w:rPr>
        <w:lastRenderedPageBreak/>
        <w:tab/>
        <w:t xml:space="preserve">Das Gericht entscheidet nach Vernehmung des Schuldners. Das Urteil zur Widerrufung des Plans wird auf Betreiben des Greffiers im </w:t>
      </w:r>
      <w:r w:rsidRPr="004676F5">
        <w:rPr>
          <w:i/>
          <w:lang w:val="de-DE"/>
        </w:rPr>
        <w:t>Belgischen Staatsblatt</w:t>
      </w:r>
      <w:r w:rsidRPr="004676F5">
        <w:rPr>
          <w:lang w:val="de-DE"/>
        </w:rPr>
        <w:t xml:space="preserve"> veröffentlicht. Betrifft das Urteil einen in Artikel I.1 Absatz 1 Nr. 14 erwähnten Freiberufler, benachrichtigt der Greffier die Kammer oder das Institut, der/dem der Freiberufler untersteht.</w:t>
      </w:r>
    </w:p>
    <w:p w14:paraId="53D116FA" w14:textId="77777777" w:rsidR="000B77AB" w:rsidRPr="004676F5" w:rsidRDefault="000B77AB" w:rsidP="000B77AB">
      <w:pPr>
        <w:jc w:val="both"/>
        <w:rPr>
          <w:lang w:val="de-DE"/>
        </w:rPr>
      </w:pPr>
    </w:p>
    <w:p w14:paraId="176B4C1D" w14:textId="77777777" w:rsidR="000B77AB" w:rsidRPr="004676F5" w:rsidRDefault="000B77AB" w:rsidP="000B77AB">
      <w:pPr>
        <w:jc w:val="both"/>
        <w:rPr>
          <w:lang w:val="de-DE"/>
        </w:rPr>
      </w:pPr>
      <w:r w:rsidRPr="004676F5">
        <w:rPr>
          <w:lang w:val="de-DE"/>
        </w:rPr>
        <w:tab/>
        <w:t>Die Konkurseröffnung gegen den Schuldner führt von Rechts wegen zur Widerrufung des Reorganisationsplans.</w:t>
      </w:r>
    </w:p>
    <w:p w14:paraId="0A53BF78" w14:textId="77777777" w:rsidR="000B77AB" w:rsidRPr="004676F5" w:rsidRDefault="000B77AB" w:rsidP="000B77AB">
      <w:pPr>
        <w:jc w:val="both"/>
        <w:rPr>
          <w:lang w:val="de-DE"/>
        </w:rPr>
      </w:pPr>
    </w:p>
    <w:p w14:paraId="49E50448" w14:textId="77777777" w:rsidR="000B77AB" w:rsidRPr="004676F5" w:rsidRDefault="000B77AB" w:rsidP="000B77AB">
      <w:pPr>
        <w:jc w:val="both"/>
        <w:rPr>
          <w:lang w:val="de-DE"/>
        </w:rPr>
      </w:pPr>
      <w:r w:rsidRPr="004676F5">
        <w:rPr>
          <w:lang w:val="de-DE"/>
        </w:rPr>
        <w:tab/>
        <w:t>Der Reorganisationsplan hat aufgrund seiner Widerrufung keine Auswirkung mehr, außer in Bezug auf bereits ausgeführte Zahlungen und Verrichtungen und unter anderem die bereits durchgeführte Übertragung der Gesamtheit oder eines Teils der Aktiva oder Tätigkeiten. Die Widerrufung hat zur Folge, dass der Schuldner, die Gläubiger und die Anteilsinhaber sich bis auf vorerwähnte Auswirkungen wieder in der Lage befinden, als hätte es keinen homologierten Reorganisationsplan gegeben.</w:t>
      </w:r>
    </w:p>
    <w:p w14:paraId="71E22601" w14:textId="77777777" w:rsidR="000B77AB" w:rsidRPr="004676F5" w:rsidRDefault="000B77AB" w:rsidP="000B77AB">
      <w:pPr>
        <w:jc w:val="both"/>
        <w:rPr>
          <w:lang w:val="de-DE"/>
        </w:rPr>
      </w:pPr>
    </w:p>
    <w:p w14:paraId="0BD8EB21" w14:textId="77777777" w:rsidR="000B77AB" w:rsidRPr="004676F5" w:rsidRDefault="000B77AB" w:rsidP="000B77AB">
      <w:pPr>
        <w:jc w:val="both"/>
        <w:rPr>
          <w:lang w:val="de-DE"/>
        </w:rPr>
      </w:pPr>
      <w:r w:rsidRPr="004676F5">
        <w:rPr>
          <w:lang w:val="de-DE"/>
        </w:rPr>
        <w:tab/>
        <w:t>Das Gericht kann den Schuldner ab dem ersten Jahrestag der Homologierungs</w:t>
      </w:r>
      <w:r w:rsidRPr="004676F5">
        <w:rPr>
          <w:lang w:val="de-DE"/>
        </w:rPr>
        <w:softHyphen/>
        <w:t>entscheidung jedes Jahr von Amts wegen vorladen, damit er über die Ausführung der kollektiven Einigung Bericht erstattet. Die Erklärungen des Schuldners werden vom Greffier beurkundet, damit sie in der Akte der gerichtlichen Reorganisation hinterlegt werden.</w:t>
      </w:r>
    </w:p>
    <w:p w14:paraId="1BC100B8" w14:textId="77777777" w:rsidR="000B77AB" w:rsidRPr="004676F5" w:rsidRDefault="000B77AB" w:rsidP="000B77AB">
      <w:pPr>
        <w:jc w:val="both"/>
        <w:rPr>
          <w:lang w:val="de-DE"/>
        </w:rPr>
      </w:pPr>
    </w:p>
    <w:p w14:paraId="5645615E" w14:textId="4734C1BE" w:rsidR="000B77AB" w:rsidRPr="004676F5" w:rsidRDefault="000B77AB" w:rsidP="000B77AB">
      <w:pPr>
        <w:jc w:val="both"/>
        <w:rPr>
          <w:lang w:val="de-DE"/>
        </w:rPr>
      </w:pPr>
      <w:r w:rsidRPr="004676F5">
        <w:rPr>
          <w:lang w:val="de-DE"/>
        </w:rPr>
        <w:tab/>
        <w:t>Auf mit Gründen versehenen Antrag des Schuldners kann das Gericht durch Urteil festlegen, dass der Reorganisationsplan korrekt ausgeführt wurde, sofern der Nachweis erbracht wird, dass der Reorganisationsplan gemäß den festgelegten Bedingungen oder abweichend im Einvernehmen mit den betreffenden Gläubigern oder Anteilsinhabern ausgeführt wurde.</w:t>
      </w:r>
      <w:r w:rsidR="00ED5B6A" w:rsidRPr="004676F5">
        <w:rPr>
          <w:lang w:val="de-DE"/>
        </w:rPr>
        <w:t>]</w:t>
      </w:r>
    </w:p>
    <w:p w14:paraId="77A3C7AB" w14:textId="77777777" w:rsidR="00ED5B6A" w:rsidRPr="004676F5" w:rsidRDefault="00ED5B6A" w:rsidP="000B77AB">
      <w:pPr>
        <w:jc w:val="both"/>
        <w:rPr>
          <w:lang w:val="de-DE"/>
        </w:rPr>
      </w:pPr>
    </w:p>
    <w:p w14:paraId="113C7CF9" w14:textId="21C600F3"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83/21 eingefügt durch Art. 148 des G. vom 7. Juni 2023 (B.S. vom 7. Juli 2023)]</w:t>
      </w:r>
    </w:p>
    <w:p w14:paraId="027E2DB4" w14:textId="77777777" w:rsidR="00ED5B6A" w:rsidRPr="004676F5" w:rsidRDefault="00ED5B6A" w:rsidP="000B77AB">
      <w:pPr>
        <w:jc w:val="both"/>
        <w:rPr>
          <w:lang w:val="de-DE"/>
        </w:rPr>
      </w:pPr>
    </w:p>
    <w:p w14:paraId="7F39A21D" w14:textId="77777777" w:rsidR="000B77AB" w:rsidRPr="004676F5" w:rsidRDefault="000B77AB" w:rsidP="000B77AB">
      <w:pPr>
        <w:jc w:val="both"/>
        <w:rPr>
          <w:lang w:val="de-DE"/>
        </w:rPr>
      </w:pPr>
    </w:p>
    <w:p w14:paraId="613BB727" w14:textId="77777777" w:rsidR="000B77AB" w:rsidRPr="004676F5" w:rsidRDefault="000B77AB" w:rsidP="000B77AB">
      <w:pPr>
        <w:rPr>
          <w:lang w:val="de-DE"/>
        </w:rPr>
      </w:pPr>
    </w:p>
    <w:p w14:paraId="3243A93B" w14:textId="77777777" w:rsidR="000B77AB" w:rsidRPr="004676F5" w:rsidRDefault="000B77AB" w:rsidP="000B77AB">
      <w:pPr>
        <w:rPr>
          <w:lang w:val="de-DE"/>
        </w:rPr>
      </w:pPr>
    </w:p>
    <w:p w14:paraId="3910A50E" w14:textId="77777777" w:rsidR="000B77AB" w:rsidRPr="004676F5" w:rsidRDefault="000B77AB">
      <w:pPr>
        <w:rPr>
          <w:lang w:val="de-DE"/>
        </w:rPr>
      </w:pPr>
      <w:r w:rsidRPr="004676F5">
        <w:rPr>
          <w:lang w:val="de-DE"/>
        </w:rPr>
        <w:br w:type="page"/>
      </w:r>
    </w:p>
    <w:p w14:paraId="039F2624" w14:textId="77777777" w:rsidR="00ED5B6A" w:rsidRPr="004676F5" w:rsidRDefault="00ED5B6A" w:rsidP="00ED5B6A">
      <w:pPr>
        <w:jc w:val="center"/>
        <w:rPr>
          <w:lang w:val="de-DE"/>
        </w:rPr>
      </w:pPr>
      <w:r w:rsidRPr="004676F5">
        <w:rPr>
          <w:lang w:val="de-DE"/>
        </w:rPr>
        <w:lastRenderedPageBreak/>
        <w:t>[KAPITEL 4 - </w:t>
      </w:r>
      <w:r w:rsidRPr="004676F5">
        <w:rPr>
          <w:i/>
          <w:iCs/>
          <w:lang w:val="de-DE"/>
        </w:rPr>
        <w:t>Verfahren der nicht öffentlichen gerichtlichen Reorganisation</w:t>
      </w:r>
      <w:r w:rsidRPr="004676F5">
        <w:rPr>
          <w:lang w:val="de-DE"/>
        </w:rPr>
        <w:t>]</w:t>
      </w:r>
    </w:p>
    <w:p w14:paraId="53612F13" w14:textId="77777777" w:rsidR="00ED5B6A" w:rsidRPr="004676F5" w:rsidRDefault="00ED5B6A" w:rsidP="00ED5B6A">
      <w:pPr>
        <w:jc w:val="center"/>
        <w:rPr>
          <w:lang w:val="de-DE"/>
        </w:rPr>
      </w:pPr>
    </w:p>
    <w:p w14:paraId="6D371788" w14:textId="0AEC329E" w:rsidR="00ED5B6A" w:rsidRPr="004676F5" w:rsidRDefault="00ED5B6A" w:rsidP="00ED5B6A">
      <w:pPr>
        <w:jc w:val="both"/>
        <w:rPr>
          <w:i/>
          <w:iCs/>
          <w:lang w:val="de-DE"/>
        </w:rPr>
      </w:pPr>
      <w:r w:rsidRPr="004676F5">
        <w:rPr>
          <w:i/>
          <w:iCs/>
          <w:lang w:val="de-DE"/>
        </w:rPr>
        <w:t>[Unterteilung Kapitel 4 eingefügt durch Art. 149 des G. vom 7. Juni 2023 (B.S. vom 7. Juli 2023)]</w:t>
      </w:r>
    </w:p>
    <w:p w14:paraId="2057F874" w14:textId="77777777" w:rsidR="00ED5B6A" w:rsidRPr="004676F5" w:rsidRDefault="00ED5B6A" w:rsidP="00ED5B6A">
      <w:pPr>
        <w:jc w:val="both"/>
        <w:rPr>
          <w:lang w:val="de-DE"/>
        </w:rPr>
      </w:pPr>
    </w:p>
    <w:p w14:paraId="4D4B21B2" w14:textId="77777777" w:rsidR="00ED5B6A" w:rsidRPr="004676F5" w:rsidRDefault="00ED5B6A" w:rsidP="00ED5B6A">
      <w:pPr>
        <w:jc w:val="both"/>
        <w:rPr>
          <w:lang w:val="de-DE"/>
        </w:rPr>
      </w:pPr>
    </w:p>
    <w:p w14:paraId="5DDEB866" w14:textId="77777777" w:rsidR="00ED5B6A" w:rsidRPr="004676F5" w:rsidRDefault="00ED5B6A" w:rsidP="00ED5B6A">
      <w:pPr>
        <w:jc w:val="center"/>
        <w:rPr>
          <w:lang w:val="de-DE"/>
        </w:rPr>
      </w:pPr>
      <w:r w:rsidRPr="004676F5">
        <w:rPr>
          <w:lang w:val="de-DE"/>
        </w:rPr>
        <w:t>[</w:t>
      </w:r>
      <w:r w:rsidRPr="004676F5">
        <w:rPr>
          <w:i/>
          <w:iCs/>
          <w:lang w:val="de-DE"/>
        </w:rPr>
        <w:t>Abschnitt 1</w:t>
      </w:r>
      <w:r w:rsidRPr="004676F5">
        <w:rPr>
          <w:lang w:val="de-DE"/>
        </w:rPr>
        <w:t> - Anträge und Folgeverfahren]</w:t>
      </w:r>
    </w:p>
    <w:p w14:paraId="0E20D2B9" w14:textId="77777777" w:rsidR="00ED5B6A" w:rsidRPr="004676F5" w:rsidRDefault="00ED5B6A" w:rsidP="00ED5B6A">
      <w:pPr>
        <w:jc w:val="center"/>
        <w:rPr>
          <w:lang w:val="de-DE"/>
        </w:rPr>
      </w:pPr>
    </w:p>
    <w:p w14:paraId="6ECAAC90" w14:textId="000E2CDA" w:rsidR="00ED5B6A" w:rsidRPr="004676F5" w:rsidRDefault="00ED5B6A" w:rsidP="00ED5B6A">
      <w:pPr>
        <w:jc w:val="both"/>
        <w:rPr>
          <w:i/>
          <w:iCs/>
          <w:lang w:val="de-DE"/>
        </w:rPr>
      </w:pPr>
      <w:r w:rsidRPr="004676F5">
        <w:rPr>
          <w:i/>
          <w:iCs/>
          <w:lang w:val="de-DE"/>
        </w:rPr>
        <w:t>[Unterteilung Abschnitt 1 eingefügt durch Art. 150 des G. vom 7. Juni 2023 (B.S. vom 7. Juli 2023)]</w:t>
      </w:r>
    </w:p>
    <w:p w14:paraId="098EC88E" w14:textId="77777777" w:rsidR="00ED5B6A" w:rsidRPr="004676F5" w:rsidRDefault="00ED5B6A" w:rsidP="00ED5B6A">
      <w:pPr>
        <w:jc w:val="both"/>
        <w:rPr>
          <w:lang w:val="de-DE"/>
        </w:rPr>
      </w:pPr>
    </w:p>
    <w:p w14:paraId="220DE9C6" w14:textId="77777777" w:rsidR="00ED5B6A" w:rsidRPr="004676F5" w:rsidRDefault="00ED5B6A" w:rsidP="00ED5B6A">
      <w:pPr>
        <w:jc w:val="both"/>
        <w:rPr>
          <w:lang w:val="de-DE"/>
        </w:rPr>
      </w:pPr>
    </w:p>
    <w:p w14:paraId="1865F984" w14:textId="115B7AC3" w:rsidR="00ED5B6A" w:rsidRPr="004676F5" w:rsidRDefault="00ED5B6A" w:rsidP="00ED5B6A">
      <w:pPr>
        <w:jc w:val="both"/>
        <w:rPr>
          <w:lang w:val="de-DE"/>
        </w:rPr>
      </w:pPr>
      <w:r w:rsidRPr="004676F5">
        <w:rPr>
          <w:lang w:val="de-DE"/>
        </w:rPr>
        <w:tab/>
        <w:t>[</w:t>
      </w:r>
      <w:r w:rsidRPr="004676F5">
        <w:rPr>
          <w:b/>
          <w:bCs/>
          <w:lang w:val="de-DE"/>
        </w:rPr>
        <w:t>Art. XX.83/22</w:t>
      </w:r>
      <w:r w:rsidRPr="004676F5">
        <w:rPr>
          <w:lang w:val="de-DE"/>
        </w:rPr>
        <w:t> - § 1 - Auf einseitigen Antrag des Schuldners bestellt der Präsident des Unternehmensgerichts, sofern die Bedingungen von § 4 erfüllt sind, einen Reorganisations</w:t>
      </w:r>
      <w:r w:rsidRPr="004676F5">
        <w:rPr>
          <w:lang w:val="de-DE"/>
        </w:rPr>
        <w:softHyphen/>
        <w:t>bearbeiter, um den Abschluss einer gütlichen Einigung im Sinne von Artikel XX.64 zu erleichtern oder einen Reorganisationsplan wie in Artikel XX.67 oder Artikel XX.83/3 vorgesehen zu erstellen.</w:t>
      </w:r>
    </w:p>
    <w:p w14:paraId="1B21EDE2" w14:textId="77777777" w:rsidR="00ED5B6A" w:rsidRPr="004676F5" w:rsidRDefault="00ED5B6A" w:rsidP="00ED5B6A">
      <w:pPr>
        <w:jc w:val="both"/>
        <w:rPr>
          <w:lang w:val="de-DE"/>
        </w:rPr>
      </w:pPr>
    </w:p>
    <w:p w14:paraId="7FAFC207" w14:textId="77777777" w:rsidR="00ED5B6A" w:rsidRPr="004676F5" w:rsidRDefault="00ED5B6A" w:rsidP="00ED5B6A">
      <w:pPr>
        <w:jc w:val="both"/>
        <w:rPr>
          <w:lang w:val="de-DE"/>
        </w:rPr>
      </w:pPr>
      <w:r w:rsidRPr="004676F5">
        <w:rPr>
          <w:lang w:val="de-DE"/>
        </w:rPr>
        <w:tab/>
        <w:t>Der Schuldner gibt in seiner Antragschrift, sofern sie auf die Erzielung einer kollektiven Einigung abzielt, an, ob das Verfahren den Vorschriften von Titel V/I Kapitel 2 oder Kapitel 3 unterliegt.</w:t>
      </w:r>
    </w:p>
    <w:p w14:paraId="14B378F6" w14:textId="77777777" w:rsidR="00ED5B6A" w:rsidRPr="004676F5" w:rsidRDefault="00ED5B6A" w:rsidP="00ED5B6A">
      <w:pPr>
        <w:jc w:val="both"/>
        <w:rPr>
          <w:lang w:val="de-DE"/>
        </w:rPr>
      </w:pPr>
    </w:p>
    <w:p w14:paraId="443436EE" w14:textId="77777777" w:rsidR="00ED5B6A" w:rsidRPr="004676F5" w:rsidRDefault="00ED5B6A" w:rsidP="00ED5B6A">
      <w:pPr>
        <w:jc w:val="both"/>
        <w:rPr>
          <w:lang w:val="de-DE"/>
        </w:rPr>
      </w:pPr>
      <w:r w:rsidRPr="004676F5">
        <w:rPr>
          <w:lang w:val="de-DE"/>
        </w:rPr>
        <w:tab/>
        <w:t>Der Schuldner muss in seiner Antragschrift den Beweis für eine wahrscheinliche Insolvenz erbringen.</w:t>
      </w:r>
    </w:p>
    <w:p w14:paraId="222C1FD4" w14:textId="77777777" w:rsidR="00ED5B6A" w:rsidRPr="004676F5" w:rsidRDefault="00ED5B6A" w:rsidP="00ED5B6A">
      <w:pPr>
        <w:jc w:val="both"/>
        <w:rPr>
          <w:lang w:val="de-DE"/>
        </w:rPr>
      </w:pPr>
    </w:p>
    <w:p w14:paraId="11CDD9EA" w14:textId="77777777" w:rsidR="00ED5B6A" w:rsidRPr="004676F5" w:rsidRDefault="00ED5B6A" w:rsidP="00ED5B6A">
      <w:pPr>
        <w:jc w:val="both"/>
        <w:rPr>
          <w:lang w:val="de-DE"/>
        </w:rPr>
      </w:pPr>
      <w:r w:rsidRPr="004676F5">
        <w:rPr>
          <w:lang w:val="de-DE"/>
        </w:rPr>
        <w:tab/>
        <w:t>Der Schuldner fügt seiner Antragschrift die in Artikel XX.41 § 2 Absatz 1 Nr. 1, 3 und 4 vorgesehenen Unterlagen bei. Der Schuldner kann in seiner Antragschrift angeben, welche Gläubiger er in das Verfahren der nicht öffentlichen gerichtlichen Reorganisation einbeziehen möchte.</w:t>
      </w:r>
    </w:p>
    <w:p w14:paraId="212DADF1" w14:textId="77777777" w:rsidR="00ED5B6A" w:rsidRPr="004676F5" w:rsidRDefault="00ED5B6A" w:rsidP="00ED5B6A">
      <w:pPr>
        <w:jc w:val="both"/>
        <w:rPr>
          <w:lang w:val="de-DE"/>
        </w:rPr>
      </w:pPr>
    </w:p>
    <w:p w14:paraId="7076B869" w14:textId="77777777" w:rsidR="00ED5B6A" w:rsidRPr="004676F5" w:rsidRDefault="00ED5B6A" w:rsidP="00ED5B6A">
      <w:pPr>
        <w:jc w:val="both"/>
        <w:rPr>
          <w:lang w:val="de-DE"/>
        </w:rPr>
      </w:pPr>
      <w:r w:rsidRPr="004676F5">
        <w:rPr>
          <w:lang w:val="de-DE"/>
        </w:rPr>
        <w:tab/>
        <w:t>Das Verfahren ist nicht öffentlich und die Entscheidungen werden nicht bekannt gemacht. Die im Register enthaltenen Angaben sind vertraulich und nur dem Schuldner, dem Reorganisationsbearbeiter, den am Verfahren beteiligten Gläubigern und den Mitgliedern der Gerichtshöfe und Gerichte bei der Ausübung ihres Amtes zugänglich.</w:t>
      </w:r>
    </w:p>
    <w:p w14:paraId="158D8763" w14:textId="77777777" w:rsidR="00ED5B6A" w:rsidRPr="004676F5" w:rsidRDefault="00ED5B6A" w:rsidP="00ED5B6A">
      <w:pPr>
        <w:jc w:val="both"/>
        <w:rPr>
          <w:lang w:val="de-DE"/>
        </w:rPr>
      </w:pPr>
    </w:p>
    <w:p w14:paraId="718FA286" w14:textId="77777777" w:rsidR="00ED5B6A" w:rsidRPr="004676F5" w:rsidRDefault="00ED5B6A" w:rsidP="00ED5B6A">
      <w:pPr>
        <w:jc w:val="both"/>
        <w:rPr>
          <w:lang w:val="de-DE"/>
        </w:rPr>
      </w:pPr>
      <w:r w:rsidRPr="004676F5">
        <w:rPr>
          <w:lang w:val="de-DE"/>
        </w:rPr>
        <w:tab/>
        <w:t>§ 2 - Durch kontradiktorische Antragschrift können Gläubiger oder Anteilsinhaber beim Gerichtspräsidenten beantragen, dass ein Reorganisationsbearbeiter bestellt wird, um den Abschluss einer gütlichen Einigung im Sinne von Artikel XX.83/29 zu erleichtern oder einen Reorganisationsplan wie in Artikel XX.67 oder Artikel XX.83/3 vorgesehen zu erstellen.</w:t>
      </w:r>
    </w:p>
    <w:p w14:paraId="2E5AEC69" w14:textId="77777777" w:rsidR="00ED5B6A" w:rsidRPr="004676F5" w:rsidRDefault="00ED5B6A" w:rsidP="00ED5B6A">
      <w:pPr>
        <w:jc w:val="both"/>
        <w:rPr>
          <w:lang w:val="de-DE"/>
        </w:rPr>
      </w:pPr>
    </w:p>
    <w:p w14:paraId="712C4A30" w14:textId="77777777" w:rsidR="00ED5B6A" w:rsidRPr="004676F5" w:rsidRDefault="00ED5B6A" w:rsidP="00ED5B6A">
      <w:pPr>
        <w:jc w:val="both"/>
        <w:rPr>
          <w:lang w:val="de-DE"/>
        </w:rPr>
      </w:pPr>
      <w:r w:rsidRPr="004676F5">
        <w:rPr>
          <w:lang w:val="de-DE"/>
        </w:rPr>
        <w:tab/>
        <w:t>Wird ein solcher Antrag hinterlegt, kann der Schuldner keinen Antrag auf nicht öffentliche gerichtliche Reorganisation mehr hinterlegen, bis das Gericht über den in Absatz 1 erwähnten Antrag entschieden hat.</w:t>
      </w:r>
    </w:p>
    <w:p w14:paraId="4B270FAB" w14:textId="77777777" w:rsidR="00ED5B6A" w:rsidRPr="004676F5" w:rsidRDefault="00ED5B6A" w:rsidP="00ED5B6A">
      <w:pPr>
        <w:jc w:val="both"/>
        <w:rPr>
          <w:lang w:val="de-DE"/>
        </w:rPr>
      </w:pPr>
    </w:p>
    <w:p w14:paraId="3490F341" w14:textId="77777777" w:rsidR="00ED5B6A" w:rsidRPr="004676F5" w:rsidRDefault="00ED5B6A" w:rsidP="00ED5B6A">
      <w:pPr>
        <w:jc w:val="both"/>
        <w:rPr>
          <w:lang w:val="de-DE"/>
        </w:rPr>
      </w:pPr>
      <w:r w:rsidRPr="004676F5">
        <w:rPr>
          <w:lang w:val="de-DE"/>
        </w:rPr>
        <w:tab/>
        <w:t>Der in Absatz 1 erwähnte Antrag ist nicht zulässig, wenn der Schuldner bereits die in § 1 Absatz 1 erwähnte Antragschrift hinterlegt hat.</w:t>
      </w:r>
    </w:p>
    <w:p w14:paraId="37D0E02D" w14:textId="77777777" w:rsidR="00ED5B6A" w:rsidRPr="004676F5" w:rsidRDefault="00ED5B6A" w:rsidP="00ED5B6A">
      <w:pPr>
        <w:jc w:val="both"/>
        <w:rPr>
          <w:lang w:val="de-DE"/>
        </w:rPr>
      </w:pPr>
    </w:p>
    <w:p w14:paraId="6334F6D6" w14:textId="77777777" w:rsidR="00ED5B6A" w:rsidRPr="004676F5" w:rsidRDefault="00ED5B6A" w:rsidP="00ED5B6A">
      <w:pPr>
        <w:jc w:val="both"/>
        <w:rPr>
          <w:lang w:val="de-DE"/>
        </w:rPr>
      </w:pPr>
      <w:r w:rsidRPr="004676F5">
        <w:rPr>
          <w:lang w:val="de-DE"/>
        </w:rPr>
        <w:tab/>
        <w:t>§ 3 - Die ursprüngliche Antragschrift des Schuldners und die Folgebestandteile des Verfahrens werden vom Schuldner und gegebenenfalls vom Reorganisationsbearbeiter im Register hinterlegt und dort aufbewahrt.</w:t>
      </w:r>
    </w:p>
    <w:p w14:paraId="01EE5D71" w14:textId="77777777" w:rsidR="00ED5B6A" w:rsidRPr="004676F5" w:rsidRDefault="00ED5B6A" w:rsidP="00ED5B6A">
      <w:pPr>
        <w:jc w:val="both"/>
        <w:rPr>
          <w:lang w:val="de-DE"/>
        </w:rPr>
      </w:pPr>
    </w:p>
    <w:p w14:paraId="30836888" w14:textId="77777777" w:rsidR="00ED5B6A" w:rsidRPr="004676F5" w:rsidRDefault="00ED5B6A" w:rsidP="00ED5B6A">
      <w:pPr>
        <w:jc w:val="both"/>
        <w:rPr>
          <w:lang w:val="de-DE"/>
        </w:rPr>
      </w:pPr>
      <w:r w:rsidRPr="004676F5">
        <w:rPr>
          <w:lang w:val="de-DE"/>
        </w:rPr>
        <w:tab/>
        <w:t>§ 4 - Der Antrag wird innerhalb acht Tagen nach seiner Hinterlegung im Register in der Ratskammer behandelt.</w:t>
      </w:r>
    </w:p>
    <w:p w14:paraId="3C4DF0E4" w14:textId="77777777" w:rsidR="00ED5B6A" w:rsidRPr="004676F5" w:rsidRDefault="00ED5B6A" w:rsidP="00ED5B6A">
      <w:pPr>
        <w:jc w:val="both"/>
        <w:rPr>
          <w:lang w:val="de-DE"/>
        </w:rPr>
      </w:pPr>
    </w:p>
    <w:p w14:paraId="151F3040" w14:textId="77777777" w:rsidR="00ED5B6A" w:rsidRPr="004676F5" w:rsidRDefault="00ED5B6A" w:rsidP="00ED5B6A">
      <w:pPr>
        <w:jc w:val="both"/>
        <w:rPr>
          <w:lang w:val="de-DE"/>
        </w:rPr>
      </w:pPr>
      <w:r w:rsidRPr="004676F5">
        <w:rPr>
          <w:lang w:val="de-DE"/>
        </w:rPr>
        <w:tab/>
        <w:t>Dem in § 2 Absatz 1 erwähnten Antrag wird bei wahrscheinlicher Insolvenz des Schuldners stattgegeben, es sei denn, eine summarische Untersuchung ergibt, dass es nicht im kollektiven Interesse der Gläubiger einschließlich der Arbeitnehmer liegt, einem solchen Antrag stattzugeben.</w:t>
      </w:r>
    </w:p>
    <w:p w14:paraId="688ABD6C" w14:textId="77777777" w:rsidR="00ED5B6A" w:rsidRPr="004676F5" w:rsidRDefault="00ED5B6A" w:rsidP="00ED5B6A">
      <w:pPr>
        <w:jc w:val="both"/>
        <w:rPr>
          <w:lang w:val="de-DE"/>
        </w:rPr>
      </w:pPr>
    </w:p>
    <w:p w14:paraId="2D91BE96" w14:textId="77777777" w:rsidR="00ED5B6A" w:rsidRPr="004676F5" w:rsidRDefault="00ED5B6A" w:rsidP="00ED5B6A">
      <w:pPr>
        <w:jc w:val="both"/>
        <w:rPr>
          <w:lang w:val="de-DE"/>
        </w:rPr>
      </w:pPr>
      <w:r w:rsidRPr="004676F5">
        <w:rPr>
          <w:lang w:val="de-DE"/>
        </w:rPr>
        <w:tab/>
        <w:t>Dem Antrag auf Bestellung eines Reorganisationsbearbeiters wird stattgegeben, wenn er vom Schuldner selbst eingereicht oder von der Mehrheit der Anteilsinhaber unterstützt wird.</w:t>
      </w:r>
    </w:p>
    <w:p w14:paraId="4B495EFA" w14:textId="77777777" w:rsidR="00ED5B6A" w:rsidRPr="004676F5" w:rsidRDefault="00ED5B6A" w:rsidP="00ED5B6A">
      <w:pPr>
        <w:jc w:val="both"/>
        <w:rPr>
          <w:lang w:val="de-DE"/>
        </w:rPr>
      </w:pPr>
    </w:p>
    <w:p w14:paraId="58CD7888" w14:textId="77777777" w:rsidR="00ED5B6A" w:rsidRPr="004676F5" w:rsidRDefault="00ED5B6A" w:rsidP="00ED5B6A">
      <w:pPr>
        <w:jc w:val="both"/>
        <w:rPr>
          <w:lang w:val="de-DE"/>
        </w:rPr>
      </w:pPr>
      <w:r w:rsidRPr="004676F5">
        <w:rPr>
          <w:lang w:val="de-DE"/>
        </w:rPr>
        <w:tab/>
        <w:t>§ 5 - Der Beschluss wird im Register hinterlegt.</w:t>
      </w:r>
    </w:p>
    <w:p w14:paraId="5D95DFD5" w14:textId="77777777" w:rsidR="00ED5B6A" w:rsidRPr="004676F5" w:rsidRDefault="00ED5B6A" w:rsidP="00ED5B6A">
      <w:pPr>
        <w:jc w:val="both"/>
        <w:rPr>
          <w:lang w:val="de-DE"/>
        </w:rPr>
      </w:pPr>
    </w:p>
    <w:p w14:paraId="59B8D3D5" w14:textId="77777777" w:rsidR="00ED5B6A" w:rsidRPr="004676F5" w:rsidRDefault="00ED5B6A" w:rsidP="00ED5B6A">
      <w:pPr>
        <w:jc w:val="both"/>
        <w:rPr>
          <w:lang w:val="de-DE"/>
        </w:rPr>
      </w:pPr>
      <w:r w:rsidRPr="004676F5">
        <w:rPr>
          <w:lang w:val="de-DE"/>
        </w:rPr>
        <w:tab/>
        <w:t>§ 6 - Gegen den Beschluss kann kein Einspruch eingelegt werden. Berufung gegen diesen Beschluss wird durch Antragschrift eingelegt, die innerhalb acht Tagen ab Notifizierung des Beschlusses bei der Kanzlei des Appellationshofes hinterlegt wird. Spätestens am ersten Werktag nach Hinterlegung der Antragschrift notifiziert der Greffier des Appellationshofes die Antragschrift per Gerichtsbrief dem möglichen Berufungsbeklagten und gegebenenfalls durch gewöhnlichen Brief seinem Rechtsanwalt.</w:t>
      </w:r>
    </w:p>
    <w:p w14:paraId="22A369F9" w14:textId="77777777" w:rsidR="00ED5B6A" w:rsidRPr="004676F5" w:rsidRDefault="00ED5B6A" w:rsidP="00ED5B6A">
      <w:pPr>
        <w:jc w:val="both"/>
        <w:rPr>
          <w:lang w:val="de-DE"/>
        </w:rPr>
      </w:pPr>
    </w:p>
    <w:p w14:paraId="722535E5" w14:textId="60BF4C6D" w:rsidR="00ED5B6A" w:rsidRPr="004676F5" w:rsidRDefault="00ED5B6A" w:rsidP="00ED5B6A">
      <w:pPr>
        <w:jc w:val="both"/>
        <w:rPr>
          <w:lang w:val="de-DE"/>
        </w:rPr>
      </w:pPr>
      <w:r w:rsidRPr="004676F5">
        <w:rPr>
          <w:lang w:val="de-DE"/>
        </w:rPr>
        <w:tab/>
        <w:t>Berufung gegen einen Beschluss zur Bestellung eines Reorganisationsbearbeiters hat keine aufschiebende Wirkung.]</w:t>
      </w:r>
    </w:p>
    <w:p w14:paraId="3133C003" w14:textId="77777777" w:rsidR="00ED5B6A" w:rsidRPr="004676F5" w:rsidRDefault="00ED5B6A" w:rsidP="00ED5B6A">
      <w:pPr>
        <w:jc w:val="both"/>
        <w:rPr>
          <w:lang w:val="de-DE"/>
        </w:rPr>
      </w:pPr>
    </w:p>
    <w:p w14:paraId="5C600477" w14:textId="211BDA7C"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83/22 eingefügt durch Art. 151 des G. vom 7. Juni 2023 (B.S. vom 7. Juli 2023)]</w:t>
      </w:r>
    </w:p>
    <w:p w14:paraId="7E4D1C87" w14:textId="77777777" w:rsidR="00ED5B6A" w:rsidRPr="004676F5" w:rsidRDefault="00ED5B6A" w:rsidP="00ED5B6A">
      <w:pPr>
        <w:jc w:val="both"/>
        <w:rPr>
          <w:lang w:val="de-DE"/>
        </w:rPr>
      </w:pPr>
    </w:p>
    <w:p w14:paraId="45ABE549" w14:textId="77777777" w:rsidR="00ED5B6A" w:rsidRPr="004676F5" w:rsidRDefault="00ED5B6A" w:rsidP="00ED5B6A">
      <w:pPr>
        <w:jc w:val="both"/>
        <w:rPr>
          <w:lang w:val="de-DE"/>
        </w:rPr>
      </w:pPr>
    </w:p>
    <w:p w14:paraId="6E87E9AC" w14:textId="1BB6D883" w:rsidR="00ED5B6A" w:rsidRPr="004676F5" w:rsidRDefault="00ED5B6A" w:rsidP="00ED5B6A">
      <w:pPr>
        <w:jc w:val="both"/>
        <w:rPr>
          <w:lang w:val="de-DE"/>
        </w:rPr>
      </w:pPr>
      <w:r w:rsidRPr="004676F5">
        <w:rPr>
          <w:lang w:val="de-DE"/>
        </w:rPr>
        <w:tab/>
        <w:t>[</w:t>
      </w:r>
      <w:r w:rsidRPr="004676F5">
        <w:rPr>
          <w:b/>
          <w:bCs/>
          <w:lang w:val="de-DE"/>
        </w:rPr>
        <w:t>Art. XX.83/23 </w:t>
      </w:r>
      <w:r w:rsidRPr="004676F5">
        <w:rPr>
          <w:lang w:val="de-DE"/>
        </w:rPr>
        <w:t>- Auf einfachen Antrag stellt der Schuldner dem Reorganisations</w:t>
      </w:r>
      <w:r w:rsidRPr="004676F5">
        <w:rPr>
          <w:lang w:val="de-DE"/>
        </w:rPr>
        <w:softHyphen/>
        <w:t>bearbeiter eine Liste der Gläubiger und alle Buchhaltungsunterlagen oder sonstigen Unterlagen zur Verfügung, die für den Abschluss einer gütlichen Einigung im Sinne von Artikel XX.64 oder die Erstellung eines Reorganisationsplans wie in Artikel XX.67 oder Artikel XX.83/3 vorgesehen nützlich sind. Der Reorganisationsbearbeiter bestimmt die Frist, innerhalb deren die einzelnen Gläubiger über seinen Auftrag und die in Artikel XX.48 § 1 Absatz 2 Nr. 1 und 3 erwähnten Angaben informiert werden. Er kann beschließen, Verhandlungen mit einem oder mehreren Gläubigern aufzunehmen und diese erst zu einem späteren Zeitpunkt auf andere Gläubiger auszuweiten.</w:t>
      </w:r>
    </w:p>
    <w:p w14:paraId="6F1C689D" w14:textId="77777777" w:rsidR="00ED5B6A" w:rsidRPr="004676F5" w:rsidRDefault="00ED5B6A" w:rsidP="00ED5B6A">
      <w:pPr>
        <w:jc w:val="both"/>
        <w:rPr>
          <w:lang w:val="de-DE"/>
        </w:rPr>
      </w:pPr>
    </w:p>
    <w:p w14:paraId="2FE63610" w14:textId="2EB265F7" w:rsidR="00ED5B6A" w:rsidRPr="004676F5" w:rsidRDefault="00ED5B6A" w:rsidP="00ED5B6A">
      <w:pPr>
        <w:jc w:val="both"/>
        <w:rPr>
          <w:lang w:val="de-DE"/>
        </w:rPr>
      </w:pPr>
      <w:r w:rsidRPr="004676F5">
        <w:rPr>
          <w:lang w:val="de-DE"/>
        </w:rPr>
        <w:tab/>
        <w:t>Die Notifizierung des Reorganisationsbearbeiters erfolgt gemäß den in Artikel XX.49 § 1 Absatz 3 erwähnten Modalitäten und gilt als Mitteilung im Sinne von Artikel XX.49. In der Notifizierung fordert der Reorganisationsbearbeiter die vom Verfahren betroffenen Gläubiger auf, sich in das Register einzutragen.]</w:t>
      </w:r>
    </w:p>
    <w:p w14:paraId="1923F195" w14:textId="77777777" w:rsidR="00ED5B6A" w:rsidRPr="004676F5" w:rsidRDefault="00ED5B6A" w:rsidP="00ED5B6A">
      <w:pPr>
        <w:jc w:val="both"/>
        <w:rPr>
          <w:lang w:val="de-DE"/>
        </w:rPr>
      </w:pPr>
    </w:p>
    <w:p w14:paraId="193FCB82" w14:textId="0E8CD3E3"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83/23 eingefügt durch Art. 152 des G. vom 7. Juni 2023 (B.S. vom 7. Juli 2023)]</w:t>
      </w:r>
    </w:p>
    <w:p w14:paraId="3EAB1461" w14:textId="77777777" w:rsidR="00ED5B6A" w:rsidRPr="004676F5" w:rsidRDefault="00ED5B6A" w:rsidP="00ED5B6A">
      <w:pPr>
        <w:jc w:val="both"/>
        <w:rPr>
          <w:lang w:val="de-DE"/>
        </w:rPr>
      </w:pPr>
    </w:p>
    <w:p w14:paraId="738E2EB7" w14:textId="77777777" w:rsidR="00ED5B6A" w:rsidRPr="004676F5" w:rsidRDefault="00ED5B6A" w:rsidP="00ED5B6A">
      <w:pPr>
        <w:jc w:val="both"/>
        <w:rPr>
          <w:lang w:val="de-DE"/>
        </w:rPr>
      </w:pPr>
    </w:p>
    <w:p w14:paraId="30A32349" w14:textId="230E26B6" w:rsidR="00ED5B6A" w:rsidRPr="004676F5" w:rsidRDefault="00ED5B6A" w:rsidP="00ED5B6A">
      <w:pPr>
        <w:jc w:val="both"/>
        <w:rPr>
          <w:lang w:val="de-DE"/>
        </w:rPr>
      </w:pPr>
      <w:r w:rsidRPr="004676F5">
        <w:rPr>
          <w:lang w:val="de-DE"/>
        </w:rPr>
        <w:tab/>
        <w:t>[</w:t>
      </w:r>
      <w:r w:rsidRPr="004676F5">
        <w:rPr>
          <w:b/>
          <w:bCs/>
          <w:lang w:val="de-DE"/>
        </w:rPr>
        <w:t>Art. XX.83/24</w:t>
      </w:r>
      <w:r w:rsidRPr="004676F5">
        <w:rPr>
          <w:lang w:val="de-DE"/>
        </w:rPr>
        <w:t> - Der Reorganisationsbearbeiter kann aufgrund der Situation des Schuldners, der laufenden Verhandlungen und unter Berücksichtigung des Schadens, den die Maßnahme den betroffenen Gläubigern zufügt, und des allgemeinen Interesses den Gerichtspräsidenten durch kontradiktorische Antragschrift ersuchen, den in Artikel XX.50 und folgenden erwähnten Aufschub gegenüber den betroffenen Gläubigern zu gewähren.</w:t>
      </w:r>
    </w:p>
    <w:p w14:paraId="7D8D6448" w14:textId="77777777" w:rsidR="00ED5B6A" w:rsidRPr="004676F5" w:rsidRDefault="00ED5B6A" w:rsidP="00ED5B6A">
      <w:pPr>
        <w:jc w:val="both"/>
        <w:rPr>
          <w:lang w:val="de-DE"/>
        </w:rPr>
      </w:pPr>
    </w:p>
    <w:p w14:paraId="344D2A46" w14:textId="77777777" w:rsidR="00ED5B6A" w:rsidRPr="004676F5" w:rsidRDefault="00ED5B6A" w:rsidP="00ED5B6A">
      <w:pPr>
        <w:jc w:val="both"/>
        <w:rPr>
          <w:lang w:val="de-DE"/>
        </w:rPr>
      </w:pPr>
      <w:r w:rsidRPr="004676F5">
        <w:rPr>
          <w:lang w:val="de-DE"/>
        </w:rPr>
        <w:tab/>
        <w:t>In seiner Antragschrift gibt der Reorganisationsbearbeiter Namen, Vornamen oder Bezeichnung, Adresse und gegebenenfalls Unternehmensnummer der Gläubiger an, gegenüber denen er die Anordnung des Aufschubs beantragt. Diese Antragschrift wird im Register hinterlegt und aufbewahrt.</w:t>
      </w:r>
    </w:p>
    <w:p w14:paraId="0F5B8CAF" w14:textId="77777777" w:rsidR="00ED5B6A" w:rsidRPr="004676F5" w:rsidRDefault="00ED5B6A" w:rsidP="00ED5B6A">
      <w:pPr>
        <w:jc w:val="both"/>
        <w:rPr>
          <w:lang w:val="de-DE"/>
        </w:rPr>
      </w:pPr>
    </w:p>
    <w:p w14:paraId="4630D377" w14:textId="77777777" w:rsidR="00ED5B6A" w:rsidRPr="004676F5" w:rsidRDefault="00ED5B6A" w:rsidP="00ED5B6A">
      <w:pPr>
        <w:jc w:val="both"/>
        <w:rPr>
          <w:lang w:val="de-DE"/>
        </w:rPr>
      </w:pPr>
      <w:r w:rsidRPr="004676F5">
        <w:rPr>
          <w:lang w:val="de-DE"/>
        </w:rPr>
        <w:tab/>
        <w:t>Der Gerichtspräsident legt die Dauer dieses Aufschubs fest, der nicht mehr als vier Monate betragen darf.</w:t>
      </w:r>
    </w:p>
    <w:p w14:paraId="5A2D576B" w14:textId="77777777" w:rsidR="00ED5B6A" w:rsidRPr="004676F5" w:rsidRDefault="00ED5B6A" w:rsidP="00ED5B6A">
      <w:pPr>
        <w:jc w:val="both"/>
        <w:rPr>
          <w:lang w:val="de-DE"/>
        </w:rPr>
      </w:pPr>
    </w:p>
    <w:p w14:paraId="187F7FE3" w14:textId="3A3BDEB8" w:rsidR="00ED5B6A" w:rsidRPr="004676F5" w:rsidRDefault="00ED5B6A" w:rsidP="00ED5B6A">
      <w:pPr>
        <w:jc w:val="both"/>
        <w:rPr>
          <w:lang w:val="de-DE"/>
        </w:rPr>
      </w:pPr>
      <w:r w:rsidRPr="004676F5">
        <w:rPr>
          <w:lang w:val="de-DE"/>
        </w:rPr>
        <w:tab/>
        <w:t>Der Gerichtspräsident kann den gewährten Aufschub jederzeit von Amts wegen, auf Antrag eines Interesse habenden Gläubigers oder des Reorganisationsbearbeiters nach Vernehmung des Schuldners durch eine mit Gründen versehene Entscheidung beenden.]</w:t>
      </w:r>
    </w:p>
    <w:p w14:paraId="0505296D" w14:textId="77777777" w:rsidR="00ED5B6A" w:rsidRPr="004676F5" w:rsidRDefault="00ED5B6A" w:rsidP="00ED5B6A">
      <w:pPr>
        <w:jc w:val="both"/>
        <w:rPr>
          <w:lang w:val="de-DE"/>
        </w:rPr>
      </w:pPr>
    </w:p>
    <w:p w14:paraId="78F11337" w14:textId="7123B7A1"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83/24 eingefügt durch Art. 153 des G. vom 7. Juni 2023 (B.S. vom 7. Juli 2023)]</w:t>
      </w:r>
    </w:p>
    <w:p w14:paraId="19CE7164" w14:textId="77777777" w:rsidR="00ED5B6A" w:rsidRPr="004676F5" w:rsidRDefault="00ED5B6A" w:rsidP="00ED5B6A">
      <w:pPr>
        <w:jc w:val="both"/>
        <w:rPr>
          <w:lang w:val="de-DE"/>
        </w:rPr>
      </w:pPr>
    </w:p>
    <w:p w14:paraId="4DFC4FBA" w14:textId="77777777" w:rsidR="00ED5B6A" w:rsidRPr="004676F5" w:rsidRDefault="00ED5B6A" w:rsidP="00ED5B6A">
      <w:pPr>
        <w:jc w:val="both"/>
        <w:rPr>
          <w:lang w:val="de-DE"/>
        </w:rPr>
      </w:pPr>
    </w:p>
    <w:p w14:paraId="638B66B7" w14:textId="77A591DD" w:rsidR="00ED5B6A" w:rsidRPr="004676F5" w:rsidRDefault="00ED5B6A" w:rsidP="00ED5B6A">
      <w:pPr>
        <w:jc w:val="both"/>
        <w:rPr>
          <w:lang w:val="de-DE"/>
        </w:rPr>
      </w:pPr>
      <w:r w:rsidRPr="004676F5">
        <w:rPr>
          <w:lang w:val="de-DE"/>
        </w:rPr>
        <w:tab/>
        <w:t>[</w:t>
      </w:r>
      <w:r w:rsidRPr="004676F5">
        <w:rPr>
          <w:b/>
          <w:bCs/>
          <w:lang w:val="de-DE"/>
        </w:rPr>
        <w:t>Art. XX.83/25</w:t>
      </w:r>
      <w:r w:rsidRPr="004676F5">
        <w:rPr>
          <w:lang w:val="de-DE"/>
        </w:rPr>
        <w:t> - Der Reorganisationsbearbeiter nimmt an den Verhandlungen über eine gütliche Einigung im Sinne von Artikel XX.64 oder einen Reorganisationsplan im Sinne der Artikel XX.70 bis XX.78 teil und sorgt dafür, dass die vom Verfahren betroffenen Gläubiger wahrheitsgemäß informiert werden.</w:t>
      </w:r>
    </w:p>
    <w:p w14:paraId="75F053A4" w14:textId="77777777" w:rsidR="00ED5B6A" w:rsidRPr="004676F5" w:rsidRDefault="00ED5B6A" w:rsidP="00ED5B6A">
      <w:pPr>
        <w:jc w:val="both"/>
        <w:rPr>
          <w:lang w:val="de-DE"/>
        </w:rPr>
      </w:pPr>
    </w:p>
    <w:p w14:paraId="1FC5C0A1" w14:textId="2CB70AE2" w:rsidR="00ED5B6A" w:rsidRPr="004676F5" w:rsidRDefault="00ED5B6A" w:rsidP="00ED5B6A">
      <w:pPr>
        <w:jc w:val="both"/>
        <w:rPr>
          <w:lang w:val="de-DE"/>
        </w:rPr>
      </w:pPr>
      <w:r w:rsidRPr="004676F5">
        <w:rPr>
          <w:lang w:val="de-DE"/>
        </w:rPr>
        <w:tab/>
        <w:t>Der Reorganisationsbearbeiter ist als Einziger berechtigt, Vollmacht der konsultierten Gläubiger zu erhalten.]</w:t>
      </w:r>
    </w:p>
    <w:p w14:paraId="1D5570C5" w14:textId="77777777" w:rsidR="00ED5B6A" w:rsidRPr="004676F5" w:rsidRDefault="00ED5B6A" w:rsidP="00ED5B6A">
      <w:pPr>
        <w:jc w:val="both"/>
        <w:rPr>
          <w:lang w:val="de-DE"/>
        </w:rPr>
      </w:pPr>
    </w:p>
    <w:p w14:paraId="21404B84" w14:textId="5E58E5CF"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83/25 eingefügt durch Art. 154 des G. vom 7. Juni 2023 (B.S. vom 7. Juli 2023)]</w:t>
      </w:r>
    </w:p>
    <w:p w14:paraId="6BF8E1A3" w14:textId="77777777" w:rsidR="00ED5B6A" w:rsidRPr="004676F5" w:rsidRDefault="00ED5B6A" w:rsidP="00ED5B6A">
      <w:pPr>
        <w:jc w:val="both"/>
        <w:rPr>
          <w:lang w:val="de-DE"/>
        </w:rPr>
      </w:pPr>
    </w:p>
    <w:p w14:paraId="007B9252" w14:textId="77777777" w:rsidR="00ED5B6A" w:rsidRPr="004676F5" w:rsidRDefault="00ED5B6A" w:rsidP="00ED5B6A">
      <w:pPr>
        <w:jc w:val="both"/>
        <w:rPr>
          <w:lang w:val="de-DE"/>
        </w:rPr>
      </w:pPr>
    </w:p>
    <w:p w14:paraId="50073661" w14:textId="0A3F4F10" w:rsidR="00ED5B6A" w:rsidRPr="004676F5" w:rsidRDefault="00ED5B6A" w:rsidP="00ED5B6A">
      <w:pPr>
        <w:jc w:val="both"/>
        <w:rPr>
          <w:lang w:val="de-DE"/>
        </w:rPr>
      </w:pPr>
      <w:r w:rsidRPr="004676F5">
        <w:rPr>
          <w:lang w:val="de-DE"/>
        </w:rPr>
        <w:tab/>
        <w:t>[</w:t>
      </w:r>
      <w:r w:rsidRPr="004676F5">
        <w:rPr>
          <w:b/>
          <w:bCs/>
          <w:lang w:val="de-DE"/>
        </w:rPr>
        <w:t>Art. XX.83/26</w:t>
      </w:r>
      <w:r w:rsidRPr="004676F5">
        <w:rPr>
          <w:lang w:val="de-DE"/>
        </w:rPr>
        <w:t> - § 1 - Auf Antrag des Reorganisationsbearbeiters, der außerdem die gütliche Einigung und eine Darstellung der Umstände der Einigung beifügt, bestellt das Gericht nach Vernehmung des Schuldners einen beauftragten Richter und bestimmt das Datum, an dem Artikel XX.83/30 angewendet werden soll.</w:t>
      </w:r>
    </w:p>
    <w:p w14:paraId="3FBE12F3" w14:textId="77777777" w:rsidR="00ED5B6A" w:rsidRPr="004676F5" w:rsidRDefault="00ED5B6A" w:rsidP="00ED5B6A">
      <w:pPr>
        <w:jc w:val="both"/>
        <w:rPr>
          <w:lang w:val="de-DE"/>
        </w:rPr>
      </w:pPr>
    </w:p>
    <w:p w14:paraId="79E9BF0D" w14:textId="77777777" w:rsidR="00ED5B6A" w:rsidRPr="004676F5" w:rsidRDefault="00ED5B6A" w:rsidP="00ED5B6A">
      <w:pPr>
        <w:jc w:val="both"/>
        <w:rPr>
          <w:lang w:val="de-DE"/>
        </w:rPr>
      </w:pPr>
      <w:r w:rsidRPr="004676F5">
        <w:rPr>
          <w:lang w:val="de-DE"/>
        </w:rPr>
        <w:tab/>
        <w:t>§ 2 - Der Reorganisationsbearbeiter oder der Schuldner können durch Antragschrift das Gericht um Feststellung ersuchen, dass die für eine kollektive Einigung erforderlichen Angaben gesammelt worden sind, dass der Plan auf den ersten Blick den gesetzlichen Anforderungen entspricht und dass er den vom Verfahren betroffenen Gläubigern und Anteilsinhabern vorgelegt werden kann. Wenn die Billigung des Reorganisationsplans hinreichend plausibel erscheint, bestimmt das Gericht einen beauftragten Richter und legt das Datum fest, an dem über den Plan abgestimmt wird.</w:t>
      </w:r>
    </w:p>
    <w:p w14:paraId="17536091" w14:textId="77777777" w:rsidR="00ED5B6A" w:rsidRPr="004676F5" w:rsidRDefault="00ED5B6A" w:rsidP="00ED5B6A">
      <w:pPr>
        <w:jc w:val="both"/>
        <w:rPr>
          <w:lang w:val="de-DE"/>
        </w:rPr>
      </w:pPr>
    </w:p>
    <w:p w14:paraId="74AC647A" w14:textId="77777777" w:rsidR="00ED5B6A" w:rsidRPr="004676F5" w:rsidRDefault="00ED5B6A" w:rsidP="00ED5B6A">
      <w:pPr>
        <w:jc w:val="both"/>
        <w:rPr>
          <w:lang w:val="de-DE"/>
        </w:rPr>
      </w:pPr>
      <w:r w:rsidRPr="004676F5">
        <w:rPr>
          <w:lang w:val="de-DE"/>
        </w:rPr>
        <w:tab/>
        <w:t>Das Gericht kann seine Entscheidung aussetzen, wenn die betroffenen Gläubiger und der Schuldner sich über die Höhe und die Eigenschaften der Forderung nicht einig sind und keine Entscheidung zur Klärung dieser Streitigkeit getroffen wurde. Es kann auch beschließen, dass die Forderung vorläufig aufgenommen wird.</w:t>
      </w:r>
    </w:p>
    <w:p w14:paraId="1497994E" w14:textId="77777777" w:rsidR="00ED5B6A" w:rsidRPr="004676F5" w:rsidRDefault="00ED5B6A" w:rsidP="00ED5B6A">
      <w:pPr>
        <w:jc w:val="both"/>
        <w:rPr>
          <w:lang w:val="de-DE"/>
        </w:rPr>
      </w:pPr>
    </w:p>
    <w:p w14:paraId="258DACC5" w14:textId="77777777" w:rsidR="00ED5B6A" w:rsidRPr="004676F5" w:rsidRDefault="00ED5B6A">
      <w:pPr>
        <w:rPr>
          <w:lang w:val="de-DE"/>
        </w:rPr>
      </w:pPr>
      <w:r w:rsidRPr="004676F5">
        <w:rPr>
          <w:lang w:val="de-DE"/>
        </w:rPr>
        <w:br w:type="page"/>
      </w:r>
    </w:p>
    <w:p w14:paraId="16E0F7EA" w14:textId="00BE74A6" w:rsidR="00ED5B6A" w:rsidRPr="004676F5" w:rsidRDefault="00ED5B6A" w:rsidP="00ED5B6A">
      <w:pPr>
        <w:jc w:val="both"/>
        <w:rPr>
          <w:lang w:val="de-DE"/>
        </w:rPr>
      </w:pPr>
      <w:r w:rsidRPr="004676F5">
        <w:rPr>
          <w:lang w:val="de-DE"/>
        </w:rPr>
        <w:lastRenderedPageBreak/>
        <w:tab/>
        <w:t>Das Gericht legt die Modalitäten für die Notifizierung des Plans fest.]</w:t>
      </w:r>
    </w:p>
    <w:p w14:paraId="751ED5F7" w14:textId="77777777" w:rsidR="00ED5B6A" w:rsidRPr="004676F5" w:rsidRDefault="00ED5B6A" w:rsidP="00ED5B6A">
      <w:pPr>
        <w:jc w:val="both"/>
        <w:rPr>
          <w:lang w:val="de-DE"/>
        </w:rPr>
      </w:pPr>
    </w:p>
    <w:p w14:paraId="42498A92" w14:textId="3FC56D4E"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83/26 eingefügt durch Art. 155 des G. vom 7. Juni 2023 (B.S. vom 7. Juli 2023)]</w:t>
      </w:r>
    </w:p>
    <w:p w14:paraId="097836DA" w14:textId="77777777" w:rsidR="00ED5B6A" w:rsidRPr="004676F5" w:rsidRDefault="00ED5B6A" w:rsidP="00ED5B6A">
      <w:pPr>
        <w:jc w:val="both"/>
        <w:rPr>
          <w:lang w:val="de-DE"/>
        </w:rPr>
      </w:pPr>
    </w:p>
    <w:p w14:paraId="2691BE7B" w14:textId="77777777" w:rsidR="00ED5B6A" w:rsidRPr="004676F5" w:rsidRDefault="00ED5B6A" w:rsidP="00ED5B6A">
      <w:pPr>
        <w:jc w:val="both"/>
        <w:rPr>
          <w:lang w:val="de-DE"/>
        </w:rPr>
      </w:pPr>
    </w:p>
    <w:p w14:paraId="4AEFEAB1" w14:textId="3BD43405" w:rsidR="00ED5B6A" w:rsidRPr="004676F5" w:rsidRDefault="00ED5B6A" w:rsidP="00ED5B6A">
      <w:pPr>
        <w:jc w:val="both"/>
        <w:rPr>
          <w:lang w:val="de-DE"/>
        </w:rPr>
      </w:pPr>
      <w:r w:rsidRPr="004676F5">
        <w:rPr>
          <w:lang w:val="de-DE"/>
        </w:rPr>
        <w:tab/>
        <w:t>[</w:t>
      </w:r>
      <w:r w:rsidRPr="004676F5">
        <w:rPr>
          <w:b/>
          <w:bCs/>
          <w:lang w:val="de-DE"/>
        </w:rPr>
        <w:t>Art. XX.83/27</w:t>
      </w:r>
      <w:r w:rsidRPr="004676F5">
        <w:rPr>
          <w:lang w:val="de-DE"/>
        </w:rPr>
        <w:t> - § 1 - Zu jedem Verfahrenszeitpunkt kann ein Schuldner ganz oder teilweise von seinem Antrag auf nicht öffentliche gerichtliche Reorganisation zurücktreten. Der Schuldner hinterlegt die Rücktrittskurkunde im Register. Der Präsident oder das Gericht beurkundet den Rücktritt durch eine Entscheidung, die nicht öffentlich bekannt gemacht wird.</w:t>
      </w:r>
    </w:p>
    <w:p w14:paraId="710B52B4" w14:textId="77777777" w:rsidR="00ED5B6A" w:rsidRPr="004676F5" w:rsidRDefault="00ED5B6A" w:rsidP="00ED5B6A">
      <w:pPr>
        <w:jc w:val="both"/>
        <w:rPr>
          <w:lang w:val="de-DE"/>
        </w:rPr>
      </w:pPr>
    </w:p>
    <w:p w14:paraId="5A70AB64" w14:textId="77777777" w:rsidR="00ED5B6A" w:rsidRPr="004676F5" w:rsidRDefault="00ED5B6A" w:rsidP="00ED5B6A">
      <w:pPr>
        <w:jc w:val="both"/>
        <w:rPr>
          <w:lang w:val="de-DE"/>
        </w:rPr>
      </w:pPr>
      <w:r w:rsidRPr="004676F5">
        <w:rPr>
          <w:lang w:val="de-DE"/>
        </w:rPr>
        <w:tab/>
        <w:t>§ 2 - Wenn eine gütliche Einigung im Sinne von Artikel XX.83/29 oder die Billigung eines Reorganisationsplans, der die Bedingungen von Artikel XX.83/34 erfüllt, nicht wahrscheinlich erscheint, beantragt der Reorganisationsbearbeiter beim Gerichtspräsidenten die Beendigung des Verfahrens. Er hinterlegt die entsprechende Antragschrift im Register.</w:t>
      </w:r>
    </w:p>
    <w:p w14:paraId="2F6BF9AA" w14:textId="77777777" w:rsidR="00ED5B6A" w:rsidRPr="004676F5" w:rsidRDefault="00ED5B6A" w:rsidP="00ED5B6A">
      <w:pPr>
        <w:jc w:val="both"/>
        <w:rPr>
          <w:lang w:val="de-DE"/>
        </w:rPr>
      </w:pPr>
    </w:p>
    <w:p w14:paraId="5C55BC88" w14:textId="77777777" w:rsidR="00ED5B6A" w:rsidRPr="004676F5" w:rsidRDefault="00ED5B6A" w:rsidP="00ED5B6A">
      <w:pPr>
        <w:jc w:val="both"/>
        <w:rPr>
          <w:lang w:val="de-DE"/>
        </w:rPr>
      </w:pPr>
      <w:r w:rsidRPr="004676F5">
        <w:rPr>
          <w:lang w:val="de-DE"/>
        </w:rPr>
        <w:tab/>
        <w:t>Der Schuldner wird per Gerichtsbrief vorgeladen, um binnen acht Tagen nach Hinterlegung der Antragschrift im Register vor dem Präsidenten zu erscheinen. Im Gerichtsbrief wird vermerkt, dass der Antrag im Register hinterlegt ist und dass der Schuldner in der Ratskammer vernommen wird.</w:t>
      </w:r>
    </w:p>
    <w:p w14:paraId="602E9C13" w14:textId="77777777" w:rsidR="00ED5B6A" w:rsidRPr="004676F5" w:rsidRDefault="00ED5B6A" w:rsidP="00ED5B6A">
      <w:pPr>
        <w:jc w:val="both"/>
        <w:rPr>
          <w:lang w:val="de-DE"/>
        </w:rPr>
      </w:pPr>
    </w:p>
    <w:p w14:paraId="7726699A" w14:textId="61C51F1C" w:rsidR="00ED5B6A" w:rsidRPr="004676F5" w:rsidRDefault="00ED5B6A" w:rsidP="00ED5B6A">
      <w:pPr>
        <w:jc w:val="both"/>
        <w:rPr>
          <w:lang w:val="de-DE"/>
        </w:rPr>
      </w:pPr>
      <w:r w:rsidRPr="004676F5">
        <w:rPr>
          <w:lang w:val="de-DE"/>
        </w:rPr>
        <w:tab/>
        <w:t>In der Sitzung werden der Schuldner und der Reorganisationsbearbeiter vernommen. Der Präsident entscheidet in der Ratskammer.]</w:t>
      </w:r>
    </w:p>
    <w:p w14:paraId="672A3B2E" w14:textId="77777777" w:rsidR="00ED5B6A" w:rsidRPr="004676F5" w:rsidRDefault="00ED5B6A" w:rsidP="00ED5B6A">
      <w:pPr>
        <w:jc w:val="both"/>
        <w:rPr>
          <w:lang w:val="de-DE"/>
        </w:rPr>
      </w:pPr>
    </w:p>
    <w:p w14:paraId="2E3D9BF6" w14:textId="4C0BF80F"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83/27 eingefügt durch Art. 156 des G. vom 7. Juni 2023 (B.S. vom 7. Juli 2023)]</w:t>
      </w:r>
    </w:p>
    <w:p w14:paraId="13A65B79" w14:textId="77777777" w:rsidR="00ED5B6A" w:rsidRPr="004676F5" w:rsidRDefault="00ED5B6A" w:rsidP="00ED5B6A">
      <w:pPr>
        <w:jc w:val="both"/>
        <w:rPr>
          <w:lang w:val="de-DE"/>
        </w:rPr>
      </w:pPr>
    </w:p>
    <w:p w14:paraId="17AE3DF2" w14:textId="77777777" w:rsidR="00ED5B6A" w:rsidRPr="004676F5" w:rsidRDefault="00ED5B6A" w:rsidP="00ED5B6A">
      <w:pPr>
        <w:jc w:val="both"/>
        <w:rPr>
          <w:lang w:val="de-DE"/>
        </w:rPr>
      </w:pPr>
    </w:p>
    <w:p w14:paraId="01D1688C" w14:textId="314DA9BA" w:rsidR="00ED5B6A" w:rsidRPr="004676F5" w:rsidRDefault="00ED5B6A" w:rsidP="00ED5B6A">
      <w:pPr>
        <w:jc w:val="both"/>
        <w:rPr>
          <w:lang w:val="de-DE"/>
        </w:rPr>
      </w:pPr>
      <w:r w:rsidRPr="004676F5">
        <w:rPr>
          <w:lang w:val="de-DE"/>
        </w:rPr>
        <w:tab/>
        <w:t>[</w:t>
      </w:r>
      <w:r w:rsidRPr="004676F5">
        <w:rPr>
          <w:b/>
          <w:bCs/>
          <w:lang w:val="de-DE"/>
        </w:rPr>
        <w:t>Art. XX.83/28</w:t>
      </w:r>
      <w:r w:rsidRPr="004676F5">
        <w:rPr>
          <w:lang w:val="de-DE"/>
        </w:rPr>
        <w:t> - Im Streitfall werden die Kosten und Honorare des Reorganisations</w:t>
      </w:r>
      <w:r w:rsidRPr="004676F5">
        <w:rPr>
          <w:lang w:val="de-DE"/>
        </w:rPr>
        <w:softHyphen/>
        <w:t>bearbeiters vom Gericht gemäß Artikel XX.20/1 veranschlagt. Für die Forderung des Reorganisationsbearbeiters gilt bei anschließender Einigung mit den Gläubigern das in den Artikeln 17 und 19 Nr. 1 des Hypothekengesetzes vom 16. Dezember 1851 erwähnte Vorzugsrecht und wird diese Forderung gegebenenfalls wie eine außergewöhnliche aufgeschobene Forderung im Rahmen eines Reorganisationsplans behandelt.]</w:t>
      </w:r>
    </w:p>
    <w:p w14:paraId="27E2E1E6" w14:textId="77777777" w:rsidR="00ED5B6A" w:rsidRPr="004676F5" w:rsidRDefault="00ED5B6A" w:rsidP="00ED5B6A">
      <w:pPr>
        <w:jc w:val="both"/>
        <w:rPr>
          <w:lang w:val="de-DE"/>
        </w:rPr>
      </w:pPr>
    </w:p>
    <w:p w14:paraId="2351DD96" w14:textId="640CE853"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83/28 eingefügt durch Art. 157 des G. vom 7. Juni 2023 (B.S. vom 7. Juli 2023)]</w:t>
      </w:r>
    </w:p>
    <w:p w14:paraId="2DC67614" w14:textId="77777777" w:rsidR="00ED5B6A" w:rsidRPr="004676F5" w:rsidRDefault="00ED5B6A" w:rsidP="00ED5B6A">
      <w:pPr>
        <w:jc w:val="both"/>
        <w:rPr>
          <w:lang w:val="de-DE"/>
        </w:rPr>
      </w:pPr>
    </w:p>
    <w:p w14:paraId="59A46211" w14:textId="77777777" w:rsidR="00ED5B6A" w:rsidRPr="004676F5" w:rsidRDefault="00ED5B6A" w:rsidP="00ED5B6A">
      <w:pPr>
        <w:jc w:val="both"/>
        <w:rPr>
          <w:lang w:val="de-DE"/>
        </w:rPr>
      </w:pPr>
    </w:p>
    <w:p w14:paraId="161627F1" w14:textId="3153C84C" w:rsidR="00ED5B6A" w:rsidRPr="004676F5" w:rsidRDefault="00ED5B6A" w:rsidP="00ED5B6A">
      <w:pPr>
        <w:jc w:val="center"/>
        <w:rPr>
          <w:lang w:val="de-DE"/>
        </w:rPr>
      </w:pPr>
      <w:r w:rsidRPr="004676F5">
        <w:rPr>
          <w:bCs/>
          <w:lang w:val="de-DE"/>
        </w:rPr>
        <w:t>[</w:t>
      </w:r>
      <w:r w:rsidRPr="004676F5">
        <w:rPr>
          <w:i/>
          <w:iCs/>
          <w:lang w:val="de-DE"/>
        </w:rPr>
        <w:t>Abschnitt 2</w:t>
      </w:r>
      <w:r w:rsidRPr="004676F5">
        <w:rPr>
          <w:lang w:val="de-DE"/>
        </w:rPr>
        <w:t> - Nicht öffentliche gerichtliche Reorganisation durch gütliche Einigung]</w:t>
      </w:r>
    </w:p>
    <w:p w14:paraId="6B0704CA" w14:textId="77777777" w:rsidR="00ED5B6A" w:rsidRPr="004676F5" w:rsidRDefault="00ED5B6A" w:rsidP="00ED5B6A">
      <w:pPr>
        <w:jc w:val="both"/>
        <w:rPr>
          <w:lang w:val="de-DE"/>
        </w:rPr>
      </w:pPr>
    </w:p>
    <w:p w14:paraId="0BE18F82" w14:textId="599A1473" w:rsidR="00ED5B6A" w:rsidRPr="004676F5" w:rsidRDefault="00ED5B6A" w:rsidP="00ED5B6A">
      <w:pPr>
        <w:jc w:val="both"/>
        <w:rPr>
          <w:i/>
          <w:iCs/>
          <w:lang w:val="de-DE"/>
        </w:rPr>
      </w:pPr>
      <w:r w:rsidRPr="004676F5">
        <w:rPr>
          <w:i/>
          <w:iCs/>
          <w:lang w:val="de-DE"/>
        </w:rPr>
        <w:t>[Unterteilung Abschnitt 2 eingefügt durch Art. 158 des G. vom 7. Juni 2023 (B.S. vom 7. Juli 2023)]</w:t>
      </w:r>
    </w:p>
    <w:p w14:paraId="074FBB16" w14:textId="77777777" w:rsidR="00ED5B6A" w:rsidRPr="004676F5" w:rsidRDefault="00ED5B6A" w:rsidP="00ED5B6A">
      <w:pPr>
        <w:jc w:val="both"/>
        <w:rPr>
          <w:lang w:val="de-DE"/>
        </w:rPr>
      </w:pPr>
    </w:p>
    <w:p w14:paraId="71DE2754" w14:textId="77777777" w:rsidR="00ED5B6A" w:rsidRPr="004676F5" w:rsidRDefault="00ED5B6A" w:rsidP="00ED5B6A">
      <w:pPr>
        <w:jc w:val="both"/>
        <w:rPr>
          <w:lang w:val="de-DE"/>
        </w:rPr>
      </w:pPr>
    </w:p>
    <w:p w14:paraId="7297B979" w14:textId="3A8052A3" w:rsidR="00ED5B6A" w:rsidRPr="004676F5" w:rsidRDefault="00ED5B6A" w:rsidP="00ED5B6A">
      <w:pPr>
        <w:jc w:val="both"/>
        <w:rPr>
          <w:lang w:val="de-DE"/>
        </w:rPr>
      </w:pPr>
      <w:r w:rsidRPr="004676F5">
        <w:rPr>
          <w:lang w:val="de-DE"/>
        </w:rPr>
        <w:tab/>
        <w:t>[</w:t>
      </w:r>
      <w:r w:rsidRPr="004676F5">
        <w:rPr>
          <w:b/>
          <w:bCs/>
          <w:lang w:val="de-DE"/>
        </w:rPr>
        <w:t>Art. XX.83/29</w:t>
      </w:r>
      <w:r w:rsidRPr="004676F5">
        <w:rPr>
          <w:lang w:val="de-DE"/>
        </w:rPr>
        <w:t> - Mit dem Verfahren der nicht öffentlichen gerichtlichen Reorganisation durch gütliche Einigung wird darauf abgezielt, eine Einigung zwischen dem Schuldner und einem oder mehreren seiner Gläubiger abzuschließen im Hinblick auf die Sanierung der Finanzlage oder die Reorganisation seines Unternehmens.]</w:t>
      </w:r>
    </w:p>
    <w:p w14:paraId="41B34FD1" w14:textId="77777777" w:rsidR="00ED5B6A" w:rsidRPr="004676F5" w:rsidRDefault="00ED5B6A" w:rsidP="00ED5B6A">
      <w:pPr>
        <w:jc w:val="both"/>
        <w:rPr>
          <w:lang w:val="de-DE"/>
        </w:rPr>
      </w:pPr>
    </w:p>
    <w:p w14:paraId="251D88D4" w14:textId="55ADA269"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83/29 eingefügt durch Art. 159 des G. vom 7. Juni 2023 (B.S. vom 7. Juli 2023)]</w:t>
      </w:r>
    </w:p>
    <w:p w14:paraId="5806C7EC" w14:textId="77777777" w:rsidR="00ED5B6A" w:rsidRPr="004676F5" w:rsidRDefault="00ED5B6A" w:rsidP="00ED5B6A">
      <w:pPr>
        <w:jc w:val="both"/>
        <w:rPr>
          <w:lang w:val="de-DE"/>
        </w:rPr>
      </w:pPr>
    </w:p>
    <w:p w14:paraId="28A0AD6C" w14:textId="77777777" w:rsidR="00ED5B6A" w:rsidRPr="004676F5" w:rsidRDefault="00ED5B6A" w:rsidP="00ED5B6A">
      <w:pPr>
        <w:jc w:val="both"/>
        <w:rPr>
          <w:lang w:val="de-DE"/>
        </w:rPr>
      </w:pPr>
    </w:p>
    <w:p w14:paraId="3729D44A" w14:textId="611F5115" w:rsidR="00ED5B6A" w:rsidRPr="004676F5" w:rsidRDefault="00ED5B6A" w:rsidP="00ED5B6A">
      <w:pPr>
        <w:jc w:val="both"/>
        <w:rPr>
          <w:lang w:val="de-DE"/>
        </w:rPr>
      </w:pPr>
      <w:r w:rsidRPr="004676F5">
        <w:rPr>
          <w:lang w:val="de-DE"/>
        </w:rPr>
        <w:lastRenderedPageBreak/>
        <w:tab/>
        <w:t>[</w:t>
      </w:r>
      <w:r w:rsidRPr="004676F5">
        <w:rPr>
          <w:b/>
          <w:bCs/>
          <w:lang w:val="de-DE"/>
        </w:rPr>
        <w:t>Art. XX.83/30</w:t>
      </w:r>
      <w:r w:rsidRPr="004676F5">
        <w:rPr>
          <w:lang w:val="de-DE"/>
        </w:rPr>
        <w:t> - § 1 - Zielt das Verfahren der nicht öffentlichen gerichtlichen Reorganisation darauf ab, eine oder mehrere gütliche Einigungen abzuschließen, verfolgt der Schuldner dieses Ziel unter Aufsicht des beauftragten Richters und gegebenenfalls mit Unterstützung eines in Anwendung von Artikel XX.83/22 bestellten Reorganisations</w:t>
      </w:r>
      <w:r w:rsidRPr="004676F5">
        <w:rPr>
          <w:lang w:val="de-DE"/>
        </w:rPr>
        <w:softHyphen/>
        <w:t>beauftragten.</w:t>
      </w:r>
    </w:p>
    <w:p w14:paraId="5AC1DC5E" w14:textId="77777777" w:rsidR="00ED5B6A" w:rsidRPr="004676F5" w:rsidRDefault="00ED5B6A" w:rsidP="00ED5B6A">
      <w:pPr>
        <w:jc w:val="both"/>
        <w:rPr>
          <w:lang w:val="de-DE"/>
        </w:rPr>
      </w:pPr>
    </w:p>
    <w:p w14:paraId="5A2FF8E9" w14:textId="77777777" w:rsidR="00ED5B6A" w:rsidRPr="004676F5" w:rsidRDefault="00ED5B6A" w:rsidP="00ED5B6A">
      <w:pPr>
        <w:jc w:val="both"/>
        <w:rPr>
          <w:lang w:val="de-DE"/>
        </w:rPr>
      </w:pPr>
      <w:r w:rsidRPr="004676F5">
        <w:rPr>
          <w:lang w:val="de-DE"/>
        </w:rPr>
        <w:tab/>
        <w:t>§ 2 - Artikel 8:22 des Zivilgesetzbuches und die Artikel XX.111 Nr. 2 und 3 und XX.112 sind weder auf gütliche Einigungen noch auf Handlungen anwendbar, die in Ausführung einer solchen gütlichen Einigung vorgenommen werden.</w:t>
      </w:r>
    </w:p>
    <w:p w14:paraId="7D6CD8A9" w14:textId="77777777" w:rsidR="00ED5B6A" w:rsidRPr="004676F5" w:rsidRDefault="00ED5B6A" w:rsidP="00ED5B6A">
      <w:pPr>
        <w:jc w:val="both"/>
        <w:rPr>
          <w:lang w:val="de-DE"/>
        </w:rPr>
      </w:pPr>
    </w:p>
    <w:p w14:paraId="53C0B950" w14:textId="77777777" w:rsidR="00ED5B6A" w:rsidRPr="004676F5" w:rsidRDefault="00ED5B6A" w:rsidP="00ED5B6A">
      <w:pPr>
        <w:jc w:val="both"/>
        <w:rPr>
          <w:lang w:val="de-DE"/>
        </w:rPr>
      </w:pPr>
      <w:r w:rsidRPr="004676F5">
        <w:rPr>
          <w:lang w:val="de-DE"/>
        </w:rPr>
        <w:tab/>
        <w:t>§ 3 - Wird eine gütliche Einigung erzielt, homologiert das Gericht, das auf kontradiktorische Antragschrift des Schuldners und nach Bericht des beauftragten Richters entscheidet, diese Einigung, erklärt sie für vollstreckbar und schließt das Verfahren ab.</w:t>
      </w:r>
    </w:p>
    <w:p w14:paraId="23921DE3" w14:textId="77777777" w:rsidR="00ED5B6A" w:rsidRPr="004676F5" w:rsidRDefault="00ED5B6A" w:rsidP="00ED5B6A">
      <w:pPr>
        <w:jc w:val="both"/>
        <w:rPr>
          <w:lang w:val="de-DE"/>
        </w:rPr>
      </w:pPr>
    </w:p>
    <w:p w14:paraId="37914F8D" w14:textId="77777777" w:rsidR="00ED5B6A" w:rsidRPr="004676F5" w:rsidRDefault="00ED5B6A" w:rsidP="00ED5B6A">
      <w:pPr>
        <w:jc w:val="both"/>
        <w:rPr>
          <w:lang w:val="de-DE"/>
        </w:rPr>
      </w:pPr>
      <w:r w:rsidRPr="004676F5">
        <w:rPr>
          <w:lang w:val="de-DE"/>
        </w:rPr>
        <w:tab/>
        <w:t>Kann der Schuldner keine gütliche Einigung mit einem oder mehreren der von der Einigung betroffenen Gläubiger erzielen, kann das Gericht auf kontradiktorische Antragschrift des Schuldners diesen Gläubigern in Artikel 1244 des früheren Zivilgesetzbuches erwähnte günstigere Fristen gewähren. In diesem Fall gilt die Entscheidung des Gerichts als gütliche Einigung in Bezug auf diese Gläubiger.</w:t>
      </w:r>
    </w:p>
    <w:p w14:paraId="5CA5B601" w14:textId="77777777" w:rsidR="00ED5B6A" w:rsidRPr="004676F5" w:rsidRDefault="00ED5B6A" w:rsidP="00ED5B6A">
      <w:pPr>
        <w:jc w:val="both"/>
        <w:rPr>
          <w:lang w:val="de-DE"/>
        </w:rPr>
      </w:pPr>
    </w:p>
    <w:p w14:paraId="5C441FC6" w14:textId="77777777" w:rsidR="00ED5B6A" w:rsidRPr="004676F5" w:rsidRDefault="00ED5B6A" w:rsidP="00ED5B6A">
      <w:pPr>
        <w:jc w:val="both"/>
        <w:rPr>
          <w:lang w:val="de-DE"/>
        </w:rPr>
      </w:pPr>
      <w:r w:rsidRPr="004676F5">
        <w:rPr>
          <w:lang w:val="de-DE"/>
        </w:rPr>
        <w:tab/>
        <w:t>§ 4 - In der Homologierungsentscheidung oder der Entscheidung zur Gewährung günstigerer Fristen kann der Auftrag des in Anwendung von Artikel XX.83/22 bestellten Reorganisationsbearbeiters verlängert werden, um die Ausführung der gütlichen Einigung oder die Erfüllung der Verpflichtungen des Schuldners zu erleichtern.</w:t>
      </w:r>
    </w:p>
    <w:p w14:paraId="3C83DFD9" w14:textId="77777777" w:rsidR="00ED5B6A" w:rsidRPr="004676F5" w:rsidRDefault="00ED5B6A" w:rsidP="00ED5B6A">
      <w:pPr>
        <w:jc w:val="both"/>
        <w:rPr>
          <w:lang w:val="de-DE"/>
        </w:rPr>
      </w:pPr>
    </w:p>
    <w:p w14:paraId="2A2F5768" w14:textId="77777777" w:rsidR="00ED5B6A" w:rsidRPr="004676F5" w:rsidRDefault="00ED5B6A" w:rsidP="00ED5B6A">
      <w:pPr>
        <w:jc w:val="both"/>
        <w:rPr>
          <w:lang w:val="de-DE"/>
        </w:rPr>
      </w:pPr>
      <w:r w:rsidRPr="004676F5">
        <w:rPr>
          <w:lang w:val="de-DE"/>
        </w:rPr>
        <w:tab/>
        <w:t>§ 5 - Die in den Paragraphen 3 und 4 erwähnten Entscheidungen werden nicht öffentlich bekannt gemacht.</w:t>
      </w:r>
    </w:p>
    <w:p w14:paraId="753906DF" w14:textId="77777777" w:rsidR="00ED5B6A" w:rsidRPr="004676F5" w:rsidRDefault="00ED5B6A" w:rsidP="00ED5B6A">
      <w:pPr>
        <w:jc w:val="both"/>
        <w:rPr>
          <w:lang w:val="de-DE"/>
        </w:rPr>
      </w:pPr>
    </w:p>
    <w:p w14:paraId="27C98DE7" w14:textId="77777777" w:rsidR="00ED5B6A" w:rsidRPr="004676F5" w:rsidRDefault="00ED5B6A" w:rsidP="00ED5B6A">
      <w:pPr>
        <w:jc w:val="both"/>
        <w:rPr>
          <w:lang w:val="de-DE"/>
        </w:rPr>
      </w:pPr>
      <w:r w:rsidRPr="004676F5">
        <w:rPr>
          <w:lang w:val="de-DE"/>
        </w:rPr>
        <w:tab/>
        <w:t>§ 6 - Wenn der Gerichtspräsident das Ende des Auftrags des gemäß Artikel XX.83/22 bestellten Reorganisationsbearbeiters feststellt, legt er die Aufstellung der Kosten und Honorare fest.</w:t>
      </w:r>
    </w:p>
    <w:p w14:paraId="7A55982D" w14:textId="77777777" w:rsidR="00ED5B6A" w:rsidRPr="004676F5" w:rsidRDefault="00ED5B6A" w:rsidP="00ED5B6A">
      <w:pPr>
        <w:jc w:val="both"/>
        <w:rPr>
          <w:lang w:val="de-DE"/>
        </w:rPr>
      </w:pPr>
    </w:p>
    <w:p w14:paraId="40BBFE91" w14:textId="77777777" w:rsidR="00ED5B6A" w:rsidRPr="004676F5" w:rsidRDefault="00ED5B6A" w:rsidP="00ED5B6A">
      <w:pPr>
        <w:jc w:val="both"/>
        <w:rPr>
          <w:lang w:val="de-DE"/>
        </w:rPr>
      </w:pPr>
      <w:r w:rsidRPr="004676F5">
        <w:rPr>
          <w:lang w:val="de-DE"/>
        </w:rPr>
        <w:tab/>
        <w:t>Für diese Forderung gilt bei anschließender Gläubigerkonkurrenz das in den Artikeln 17 und 19 Nr. 1 des Hypothekengesetzes vom 16. Dezember 1851 erwähnte Vorzugsrecht.</w:t>
      </w:r>
    </w:p>
    <w:p w14:paraId="0721E336" w14:textId="77777777" w:rsidR="00ED5B6A" w:rsidRPr="004676F5" w:rsidRDefault="00ED5B6A" w:rsidP="00ED5B6A">
      <w:pPr>
        <w:jc w:val="both"/>
        <w:rPr>
          <w:lang w:val="de-DE"/>
        </w:rPr>
      </w:pPr>
    </w:p>
    <w:p w14:paraId="3A163CA0" w14:textId="244ACE4C" w:rsidR="00ED5B6A" w:rsidRPr="004676F5" w:rsidRDefault="00ED5B6A" w:rsidP="00ED5B6A">
      <w:pPr>
        <w:jc w:val="both"/>
        <w:rPr>
          <w:lang w:val="de-DE"/>
        </w:rPr>
      </w:pPr>
      <w:r w:rsidRPr="004676F5">
        <w:rPr>
          <w:lang w:val="de-DE"/>
        </w:rPr>
        <w:tab/>
        <w:t>§ 7 - Gläubiger, die an einer gütlichen Einigung teilnehmen, können vom Schuldner, einem anderen Gläubiger oder einem Dritten nicht aus dem alleinigen Grund haftbar gemacht werden, dass die gütliche Einigung es nicht ermöglicht hat, den Fortbestand der Gesamtheit oder eines Teils der Aktiva oder der Tätigkeiten tatsächlich zu gewährleisten.]</w:t>
      </w:r>
    </w:p>
    <w:p w14:paraId="7111F667" w14:textId="77777777" w:rsidR="00ED5B6A" w:rsidRPr="004676F5" w:rsidRDefault="00ED5B6A" w:rsidP="00ED5B6A">
      <w:pPr>
        <w:jc w:val="both"/>
        <w:rPr>
          <w:lang w:val="de-DE"/>
        </w:rPr>
      </w:pPr>
    </w:p>
    <w:p w14:paraId="2D9A1697" w14:textId="61348479" w:rsidR="00ED5B6A" w:rsidRPr="004676F5" w:rsidRDefault="00ED5B6A" w:rsidP="00ED5B6A">
      <w:pPr>
        <w:jc w:val="both"/>
        <w:rPr>
          <w:i/>
          <w:iCs/>
          <w:lang w:val="de-DE"/>
        </w:rPr>
      </w:pPr>
      <w:r w:rsidRPr="004676F5">
        <w:rPr>
          <w:i/>
          <w:iCs/>
          <w:lang w:val="de-DE"/>
        </w:rPr>
        <w:t>[Art. </w:t>
      </w:r>
      <w:r w:rsidR="004B5F0E" w:rsidRPr="004676F5">
        <w:rPr>
          <w:i/>
          <w:iCs/>
          <w:lang w:val="de-DE"/>
        </w:rPr>
        <w:t>XX.</w:t>
      </w:r>
      <w:r w:rsidRPr="004676F5">
        <w:rPr>
          <w:i/>
          <w:iCs/>
          <w:lang w:val="de-DE"/>
        </w:rPr>
        <w:t>83/30 eingefügt durch Art. 160 des G. vom 7. Juni 2023 (B.S. vom 7. Juli 2023)]</w:t>
      </w:r>
    </w:p>
    <w:p w14:paraId="3F5DAD83" w14:textId="77777777" w:rsidR="00ED5B6A" w:rsidRPr="004676F5" w:rsidRDefault="00ED5B6A" w:rsidP="00ED5B6A">
      <w:pPr>
        <w:jc w:val="both"/>
        <w:rPr>
          <w:lang w:val="de-DE"/>
        </w:rPr>
      </w:pPr>
    </w:p>
    <w:p w14:paraId="11DC86AE" w14:textId="77777777" w:rsidR="00820C89" w:rsidRPr="004676F5" w:rsidRDefault="00820C89" w:rsidP="00ED5B6A">
      <w:pPr>
        <w:jc w:val="both"/>
        <w:rPr>
          <w:lang w:val="de-DE"/>
        </w:rPr>
      </w:pPr>
    </w:p>
    <w:p w14:paraId="5FF8F571" w14:textId="77777777" w:rsidR="00820C89" w:rsidRPr="004676F5" w:rsidRDefault="00820C89">
      <w:pPr>
        <w:rPr>
          <w:bCs/>
          <w:lang w:val="de-DE"/>
        </w:rPr>
      </w:pPr>
      <w:r w:rsidRPr="004676F5">
        <w:rPr>
          <w:bCs/>
          <w:lang w:val="de-DE"/>
        </w:rPr>
        <w:br w:type="page"/>
      </w:r>
    </w:p>
    <w:p w14:paraId="05446746" w14:textId="60600DA9" w:rsidR="00ED5B6A" w:rsidRPr="004676F5" w:rsidRDefault="00820C89" w:rsidP="00820C89">
      <w:pPr>
        <w:jc w:val="center"/>
        <w:rPr>
          <w:lang w:val="de-DE"/>
        </w:rPr>
      </w:pPr>
      <w:r w:rsidRPr="004676F5">
        <w:rPr>
          <w:bCs/>
          <w:lang w:val="de-DE"/>
        </w:rPr>
        <w:lastRenderedPageBreak/>
        <w:t>[</w:t>
      </w:r>
      <w:r w:rsidR="00ED5B6A" w:rsidRPr="004676F5">
        <w:rPr>
          <w:i/>
          <w:iCs/>
          <w:lang w:val="de-DE"/>
        </w:rPr>
        <w:t>Abschnitt 3</w:t>
      </w:r>
      <w:r w:rsidR="00ED5B6A" w:rsidRPr="004676F5">
        <w:rPr>
          <w:lang w:val="de-DE"/>
        </w:rPr>
        <w:t> - Nicht öffentliche gerichtliche Reorganisation durch kollektive Einigung</w:t>
      </w:r>
      <w:r w:rsidRPr="004676F5">
        <w:rPr>
          <w:lang w:val="de-DE"/>
        </w:rPr>
        <w:t>]</w:t>
      </w:r>
    </w:p>
    <w:p w14:paraId="729D1E93" w14:textId="77777777" w:rsidR="00820C89" w:rsidRPr="004676F5" w:rsidRDefault="00820C89" w:rsidP="00ED5B6A">
      <w:pPr>
        <w:jc w:val="both"/>
        <w:rPr>
          <w:lang w:val="de-DE"/>
        </w:rPr>
      </w:pPr>
    </w:p>
    <w:p w14:paraId="1B11B309" w14:textId="290C853C" w:rsidR="00820C89" w:rsidRPr="004676F5" w:rsidRDefault="00820C89" w:rsidP="00820C89">
      <w:pPr>
        <w:jc w:val="both"/>
        <w:rPr>
          <w:i/>
          <w:iCs/>
          <w:lang w:val="de-DE"/>
        </w:rPr>
      </w:pPr>
      <w:r w:rsidRPr="004676F5">
        <w:rPr>
          <w:i/>
          <w:iCs/>
          <w:lang w:val="de-DE"/>
        </w:rPr>
        <w:t>[Unterteilung Abschnitt 3 eingefügt durch Art. 161 des G. vom 7. Juni 2023 (B.S. vom 7. Juli 2023)]</w:t>
      </w:r>
    </w:p>
    <w:p w14:paraId="066A7C14" w14:textId="77777777" w:rsidR="00820C89" w:rsidRPr="004676F5" w:rsidRDefault="00820C89" w:rsidP="00ED5B6A">
      <w:pPr>
        <w:jc w:val="both"/>
        <w:rPr>
          <w:lang w:val="de-DE"/>
        </w:rPr>
      </w:pPr>
    </w:p>
    <w:p w14:paraId="2C3A995C" w14:textId="77777777" w:rsidR="00ED5B6A" w:rsidRPr="004676F5" w:rsidRDefault="00ED5B6A" w:rsidP="00ED5B6A">
      <w:pPr>
        <w:jc w:val="both"/>
        <w:rPr>
          <w:lang w:val="de-DE"/>
        </w:rPr>
      </w:pPr>
    </w:p>
    <w:p w14:paraId="09B12DC0" w14:textId="66353196" w:rsidR="00ED5B6A" w:rsidRPr="004676F5" w:rsidRDefault="00820C89" w:rsidP="00820C89">
      <w:pPr>
        <w:jc w:val="center"/>
        <w:rPr>
          <w:lang w:val="de-DE"/>
        </w:rPr>
      </w:pPr>
      <w:r w:rsidRPr="004676F5">
        <w:rPr>
          <w:bCs/>
          <w:lang w:val="de-DE"/>
        </w:rPr>
        <w:t>[</w:t>
      </w:r>
      <w:r w:rsidR="00ED5B6A" w:rsidRPr="004676F5">
        <w:rPr>
          <w:lang w:val="de-DE"/>
        </w:rPr>
        <w:t>Unterab</w:t>
      </w:r>
      <w:r w:rsidR="00ED5B6A" w:rsidRPr="004676F5">
        <w:rPr>
          <w:lang w:val="de-DE"/>
        </w:rPr>
        <w:softHyphen/>
        <w:t>schnitt 1 - Reorganisationsplan</w:t>
      </w:r>
      <w:r w:rsidRPr="004676F5">
        <w:rPr>
          <w:lang w:val="de-DE"/>
        </w:rPr>
        <w:t>]</w:t>
      </w:r>
    </w:p>
    <w:p w14:paraId="4CD2A376" w14:textId="77777777" w:rsidR="00820C89" w:rsidRPr="004676F5" w:rsidRDefault="00820C89" w:rsidP="00ED5B6A">
      <w:pPr>
        <w:jc w:val="both"/>
        <w:rPr>
          <w:lang w:val="de-DE"/>
        </w:rPr>
      </w:pPr>
    </w:p>
    <w:p w14:paraId="37D8F752" w14:textId="03BF1238" w:rsidR="00820C89" w:rsidRPr="004676F5" w:rsidRDefault="00820C89" w:rsidP="00820C89">
      <w:pPr>
        <w:jc w:val="both"/>
        <w:rPr>
          <w:i/>
          <w:iCs/>
          <w:lang w:val="de-DE"/>
        </w:rPr>
      </w:pPr>
      <w:r w:rsidRPr="004676F5">
        <w:rPr>
          <w:i/>
          <w:iCs/>
          <w:lang w:val="de-DE"/>
        </w:rPr>
        <w:t>[Unterteilung Unterabschnitt 1 eingefügt durch Art. 162 des G. vom 7. Juni 2023 (B.S. vom 7. Juli 2023)]</w:t>
      </w:r>
    </w:p>
    <w:p w14:paraId="6C5C691E" w14:textId="77777777" w:rsidR="00820C89" w:rsidRPr="004676F5" w:rsidRDefault="00820C89" w:rsidP="00ED5B6A">
      <w:pPr>
        <w:jc w:val="both"/>
        <w:rPr>
          <w:lang w:val="de-DE"/>
        </w:rPr>
      </w:pPr>
    </w:p>
    <w:p w14:paraId="6D34E03C" w14:textId="77777777" w:rsidR="00ED5B6A" w:rsidRPr="004676F5" w:rsidRDefault="00ED5B6A" w:rsidP="00ED5B6A">
      <w:pPr>
        <w:jc w:val="both"/>
        <w:rPr>
          <w:lang w:val="de-DE"/>
        </w:rPr>
      </w:pPr>
    </w:p>
    <w:p w14:paraId="230D01F2" w14:textId="7604842E" w:rsidR="00ED5B6A" w:rsidRPr="004676F5" w:rsidRDefault="00820C89" w:rsidP="00820C89">
      <w:pPr>
        <w:ind w:firstLine="708"/>
        <w:jc w:val="both"/>
        <w:rPr>
          <w:lang w:val="de-DE"/>
        </w:rPr>
      </w:pPr>
      <w:r w:rsidRPr="004676F5">
        <w:rPr>
          <w:lang w:val="de-DE"/>
        </w:rPr>
        <w:t>[</w:t>
      </w:r>
      <w:r w:rsidR="00ED5B6A" w:rsidRPr="004676F5">
        <w:rPr>
          <w:b/>
          <w:bCs/>
          <w:lang w:val="de-DE"/>
        </w:rPr>
        <w:t>Art. XX.83/31</w:t>
      </w:r>
      <w:r w:rsidR="00ED5B6A" w:rsidRPr="004676F5">
        <w:rPr>
          <w:lang w:val="de-DE"/>
        </w:rPr>
        <w:t> - Mit dem Verfahren der nicht öffentlichen gerichtlichen Reorganisation durch kollektive Einigung soll es dem Schuldner ermöglicht werden, die Zustimmung seiner Gläubiger oder einiger von ihnen und gegebenenfalls der Anteilsinhaber zu einem Reorgani</w:t>
      </w:r>
      <w:r w:rsidR="00ED5B6A" w:rsidRPr="004676F5">
        <w:rPr>
          <w:lang w:val="de-DE"/>
        </w:rPr>
        <w:softHyphen/>
        <w:t>sationsplan zu erhalten.</w:t>
      </w:r>
      <w:r w:rsidRPr="004676F5">
        <w:rPr>
          <w:lang w:val="de-DE"/>
        </w:rPr>
        <w:t>]</w:t>
      </w:r>
    </w:p>
    <w:p w14:paraId="45105C68" w14:textId="77777777" w:rsidR="00ED5B6A" w:rsidRPr="004676F5" w:rsidRDefault="00ED5B6A" w:rsidP="00ED5B6A">
      <w:pPr>
        <w:jc w:val="both"/>
        <w:rPr>
          <w:lang w:val="de-DE"/>
        </w:rPr>
      </w:pPr>
    </w:p>
    <w:p w14:paraId="7C0B4FBB" w14:textId="4E1404BE"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83/31 eingefügt durch Art. 163 des G. vom 7. Juni 2023 (B.S. vom 7. Juli 2023)]</w:t>
      </w:r>
    </w:p>
    <w:p w14:paraId="5E898E9D" w14:textId="77777777" w:rsidR="00820C89" w:rsidRPr="004676F5" w:rsidRDefault="00820C89" w:rsidP="00ED5B6A">
      <w:pPr>
        <w:jc w:val="both"/>
        <w:rPr>
          <w:lang w:val="de-DE"/>
        </w:rPr>
      </w:pPr>
    </w:p>
    <w:p w14:paraId="1FB5E42A" w14:textId="77777777" w:rsidR="00ED5B6A" w:rsidRPr="004676F5" w:rsidRDefault="00ED5B6A" w:rsidP="00ED5B6A">
      <w:pPr>
        <w:jc w:val="both"/>
        <w:rPr>
          <w:lang w:val="de-DE"/>
        </w:rPr>
      </w:pPr>
    </w:p>
    <w:p w14:paraId="1FFEE5B1" w14:textId="5E359AC2" w:rsidR="00ED5B6A" w:rsidRPr="004676F5" w:rsidRDefault="00820C89" w:rsidP="00820C89">
      <w:pPr>
        <w:jc w:val="center"/>
        <w:rPr>
          <w:lang w:val="de-DE"/>
        </w:rPr>
      </w:pPr>
      <w:r w:rsidRPr="004676F5">
        <w:rPr>
          <w:bCs/>
          <w:lang w:val="de-DE"/>
        </w:rPr>
        <w:t>[</w:t>
      </w:r>
      <w:r w:rsidR="00ED5B6A" w:rsidRPr="004676F5">
        <w:rPr>
          <w:lang w:val="de-DE"/>
        </w:rPr>
        <w:t>Unterab</w:t>
      </w:r>
      <w:r w:rsidR="00ED5B6A" w:rsidRPr="004676F5">
        <w:rPr>
          <w:lang w:val="de-DE"/>
        </w:rPr>
        <w:softHyphen/>
        <w:t>schnitt 2 - Erstellung, Inhalt und Hinterlegung des Reorganisationsplans</w:t>
      </w:r>
      <w:r w:rsidRPr="004676F5">
        <w:rPr>
          <w:lang w:val="de-DE"/>
        </w:rPr>
        <w:t>]</w:t>
      </w:r>
    </w:p>
    <w:p w14:paraId="27062E5A" w14:textId="77777777" w:rsidR="00820C89" w:rsidRPr="004676F5" w:rsidRDefault="00820C89" w:rsidP="00ED5B6A">
      <w:pPr>
        <w:jc w:val="both"/>
        <w:rPr>
          <w:lang w:val="de-DE"/>
        </w:rPr>
      </w:pPr>
    </w:p>
    <w:p w14:paraId="3C9C02A2" w14:textId="6036D23A" w:rsidR="00820C89" w:rsidRPr="004676F5" w:rsidRDefault="00820C89" w:rsidP="00820C89">
      <w:pPr>
        <w:jc w:val="both"/>
        <w:rPr>
          <w:i/>
          <w:iCs/>
          <w:lang w:val="de-DE"/>
        </w:rPr>
      </w:pPr>
      <w:r w:rsidRPr="004676F5">
        <w:rPr>
          <w:i/>
          <w:iCs/>
          <w:lang w:val="de-DE"/>
        </w:rPr>
        <w:t>[Unterteilung Unterabschnitt 2 eingefügt durch Art. 164 des G. vom 7. Juni 2023 (B.S. vom 7. Juli 2023)]</w:t>
      </w:r>
    </w:p>
    <w:p w14:paraId="613E4156" w14:textId="77777777" w:rsidR="00820C89" w:rsidRPr="004676F5" w:rsidRDefault="00820C89" w:rsidP="00ED5B6A">
      <w:pPr>
        <w:jc w:val="both"/>
        <w:rPr>
          <w:lang w:val="de-DE"/>
        </w:rPr>
      </w:pPr>
    </w:p>
    <w:p w14:paraId="23E21C41" w14:textId="77777777" w:rsidR="00ED5B6A" w:rsidRPr="004676F5" w:rsidRDefault="00ED5B6A" w:rsidP="00ED5B6A">
      <w:pPr>
        <w:jc w:val="both"/>
        <w:rPr>
          <w:lang w:val="de-DE"/>
        </w:rPr>
      </w:pPr>
    </w:p>
    <w:p w14:paraId="3462AD93" w14:textId="583D2D2D"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XX.83/32</w:t>
      </w:r>
      <w:r w:rsidRPr="004676F5">
        <w:rPr>
          <w:lang w:val="de-DE"/>
        </w:rPr>
        <w:t> - § 1 - Der Plan muss gemäß den Artikeln XX.70/1 bis XX.77 oder XX.83/4 bis XX.83/11 erstellt werden.</w:t>
      </w:r>
    </w:p>
    <w:p w14:paraId="48A9B093" w14:textId="77777777" w:rsidR="00ED5B6A" w:rsidRPr="004676F5" w:rsidRDefault="00ED5B6A" w:rsidP="00ED5B6A">
      <w:pPr>
        <w:jc w:val="both"/>
        <w:rPr>
          <w:lang w:val="de-DE"/>
        </w:rPr>
      </w:pPr>
    </w:p>
    <w:p w14:paraId="30E7DEE1" w14:textId="77777777" w:rsidR="00ED5B6A" w:rsidRPr="004676F5" w:rsidRDefault="00ED5B6A" w:rsidP="00ED5B6A">
      <w:pPr>
        <w:jc w:val="both"/>
        <w:rPr>
          <w:lang w:val="de-DE"/>
        </w:rPr>
      </w:pPr>
      <w:r w:rsidRPr="004676F5">
        <w:rPr>
          <w:lang w:val="de-DE"/>
        </w:rPr>
        <w:tab/>
        <w:t>§ 2 - Der Plan kann von den Leitern einer juristischen Person erstellt und hinterlegt werden, ohne dass diese über die Zustimmung der Anteilsinhaber oder der Inhaber von Schuldverschreibungen verfügen müssen.</w:t>
      </w:r>
    </w:p>
    <w:p w14:paraId="4A5E31A8" w14:textId="77777777" w:rsidR="00ED5B6A" w:rsidRPr="004676F5" w:rsidRDefault="00ED5B6A" w:rsidP="00ED5B6A">
      <w:pPr>
        <w:jc w:val="both"/>
        <w:rPr>
          <w:lang w:val="de-DE"/>
        </w:rPr>
      </w:pPr>
    </w:p>
    <w:p w14:paraId="1AA3E4A8" w14:textId="5F87CA29" w:rsidR="00ED5B6A" w:rsidRPr="004676F5" w:rsidRDefault="00ED5B6A" w:rsidP="00ED5B6A">
      <w:pPr>
        <w:jc w:val="both"/>
        <w:rPr>
          <w:lang w:val="de-DE"/>
        </w:rPr>
      </w:pPr>
      <w:r w:rsidRPr="004676F5">
        <w:rPr>
          <w:lang w:val="de-DE"/>
        </w:rPr>
        <w:tab/>
        <w:t>§ 3 - Der beauftragte Richter kann entscheiden, dass von der Einigung betroffene Mitschuldner, Bürgen und andere Personen, die persönliche Sicherheiten geleistet haben, diese Mitteilung ebenfalls erhalten und auf dieselbe Art und Weise ihre Anmerkungen geltend machen können.</w:t>
      </w:r>
      <w:r w:rsidR="00820C89" w:rsidRPr="004676F5">
        <w:rPr>
          <w:lang w:val="de-DE"/>
        </w:rPr>
        <w:t>]</w:t>
      </w:r>
    </w:p>
    <w:p w14:paraId="1C87C6B8" w14:textId="77777777" w:rsidR="00ED5B6A" w:rsidRPr="004676F5" w:rsidRDefault="00ED5B6A" w:rsidP="00ED5B6A">
      <w:pPr>
        <w:jc w:val="both"/>
        <w:rPr>
          <w:lang w:val="de-DE"/>
        </w:rPr>
      </w:pPr>
    </w:p>
    <w:p w14:paraId="1D5CE57F" w14:textId="36445984"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83/32 eingefügt durch Art. 165 des G. vom 7. Juni 2023 (B.S. vom 7. Juli 2023)]</w:t>
      </w:r>
    </w:p>
    <w:p w14:paraId="1FDF3179" w14:textId="77777777" w:rsidR="00ED5B6A" w:rsidRPr="004676F5" w:rsidRDefault="00ED5B6A" w:rsidP="00ED5B6A">
      <w:pPr>
        <w:jc w:val="both"/>
        <w:rPr>
          <w:lang w:val="de-DE"/>
        </w:rPr>
      </w:pPr>
    </w:p>
    <w:p w14:paraId="6A6F7369" w14:textId="77777777" w:rsidR="00ED5B6A" w:rsidRPr="004676F5" w:rsidRDefault="00ED5B6A" w:rsidP="00ED5B6A">
      <w:pPr>
        <w:jc w:val="both"/>
        <w:rPr>
          <w:lang w:val="de-DE"/>
        </w:rPr>
      </w:pPr>
    </w:p>
    <w:p w14:paraId="50AB697F" w14:textId="187D0EB7"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XX.83/33</w:t>
      </w:r>
      <w:r w:rsidRPr="004676F5">
        <w:rPr>
          <w:lang w:val="de-DE"/>
        </w:rPr>
        <w:t> - § 1 - Der Schuldner, der vorläufige Verwalter oder der Reorgani</w:t>
      </w:r>
      <w:r w:rsidRPr="004676F5">
        <w:rPr>
          <w:lang w:val="de-DE"/>
        </w:rPr>
        <w:softHyphen/>
        <w:t>sationsbearbeiter hinterlegt mindestens zwanzig Tage vor der Sitzung, die in dem in Artikel XX.83/26 erwähnten Urteil anberaumt ist, den Reorganisationsplan im Register.</w:t>
      </w:r>
    </w:p>
    <w:p w14:paraId="5AFB0B9F" w14:textId="77777777" w:rsidR="00ED5B6A" w:rsidRPr="004676F5" w:rsidRDefault="00ED5B6A" w:rsidP="00ED5B6A">
      <w:pPr>
        <w:jc w:val="both"/>
        <w:rPr>
          <w:lang w:val="de-DE"/>
        </w:rPr>
      </w:pPr>
    </w:p>
    <w:p w14:paraId="6BF9AE79" w14:textId="77777777" w:rsidR="00ED5B6A" w:rsidRPr="004676F5" w:rsidRDefault="00ED5B6A" w:rsidP="00ED5B6A">
      <w:pPr>
        <w:jc w:val="both"/>
        <w:rPr>
          <w:lang w:val="de-DE"/>
        </w:rPr>
      </w:pPr>
      <w:r w:rsidRPr="004676F5">
        <w:rPr>
          <w:lang w:val="de-DE"/>
        </w:rPr>
        <w:tab/>
        <w:t>Der Schuldner, der vorläufige Verwalter oder der Reorganisationsbearbeiter hinterlegt die Liste der Gläubiger unter Angabe der laufenden Forderungsanfechtungen und der Schuldforderungen, die aufgrund etwaiger in Anwendung von Artikel XX.53 Absatz 1 vorgenommener Zahlungen geändert wurden. Wenn der Plan eine Klasse von Anteilsinhabern betrifft, hinterlegen sie außerdem eine Liste der betroffenen Anteilsinhaber.</w:t>
      </w:r>
    </w:p>
    <w:p w14:paraId="64A73E62" w14:textId="77777777" w:rsidR="00ED5B6A" w:rsidRPr="004676F5" w:rsidRDefault="00ED5B6A" w:rsidP="00ED5B6A">
      <w:pPr>
        <w:jc w:val="both"/>
        <w:rPr>
          <w:lang w:val="de-DE"/>
        </w:rPr>
      </w:pPr>
    </w:p>
    <w:p w14:paraId="7F111B20" w14:textId="77777777" w:rsidR="00ED5B6A" w:rsidRPr="004676F5" w:rsidRDefault="00ED5B6A" w:rsidP="00ED5B6A">
      <w:pPr>
        <w:jc w:val="both"/>
        <w:rPr>
          <w:lang w:val="de-DE"/>
        </w:rPr>
      </w:pPr>
      <w:r w:rsidRPr="004676F5">
        <w:rPr>
          <w:lang w:val="de-DE"/>
        </w:rPr>
        <w:tab/>
        <w:t>§ 2 - Der Reorganisationsbearbeiter kann den Plan nicht ohne die Zustimmung des Schuldners hinterlegen; der Schuldner darf seine Zustimmung nicht ohne angemessenen Grund verweigern. Ist der Schuldner eine juristische Person, dürfen sich die Leiter nicht in unangemessener Weise der Hinterlegung des Plans widersetzen. Auf Antrag des Reorganisationsbearbeiters kann das Gericht entscheiden, dass der Schuldner oder die Leiter ihre Zustimmung in unangemessener Weise verweigert haben, und die Hinterlegung des Plans erlauben.</w:t>
      </w:r>
    </w:p>
    <w:p w14:paraId="4E4A9F8C" w14:textId="77777777" w:rsidR="00ED5B6A" w:rsidRPr="004676F5" w:rsidRDefault="00ED5B6A" w:rsidP="00ED5B6A">
      <w:pPr>
        <w:jc w:val="both"/>
        <w:rPr>
          <w:lang w:val="de-DE"/>
        </w:rPr>
      </w:pPr>
    </w:p>
    <w:p w14:paraId="1FD7A0B1" w14:textId="77777777" w:rsidR="00ED5B6A" w:rsidRPr="004676F5" w:rsidRDefault="00ED5B6A" w:rsidP="00ED5B6A">
      <w:pPr>
        <w:jc w:val="both"/>
        <w:rPr>
          <w:lang w:val="de-DE"/>
        </w:rPr>
      </w:pPr>
      <w:r w:rsidRPr="004676F5">
        <w:rPr>
          <w:lang w:val="de-DE"/>
        </w:rPr>
        <w:tab/>
        <w:t>Der Schuldner darf den Plan erst hinterlegen, nachdem der beauftragte Richter überprüft hat, ob der Plan die in vorliegendem Kapitel vorgeschriebenen Formvorschriften erfüllt.</w:t>
      </w:r>
    </w:p>
    <w:p w14:paraId="2E3C702E" w14:textId="77777777" w:rsidR="00ED5B6A" w:rsidRPr="004676F5" w:rsidRDefault="00ED5B6A" w:rsidP="00ED5B6A">
      <w:pPr>
        <w:jc w:val="both"/>
        <w:rPr>
          <w:lang w:val="de-DE"/>
        </w:rPr>
      </w:pPr>
    </w:p>
    <w:p w14:paraId="5FA8724B" w14:textId="77777777" w:rsidR="00ED5B6A" w:rsidRPr="004676F5" w:rsidRDefault="00ED5B6A" w:rsidP="00ED5B6A">
      <w:pPr>
        <w:jc w:val="both"/>
        <w:rPr>
          <w:lang w:val="de-DE"/>
        </w:rPr>
      </w:pPr>
      <w:r w:rsidRPr="004676F5">
        <w:rPr>
          <w:lang w:val="de-DE"/>
        </w:rPr>
        <w:tab/>
        <w:t>§ 3 - Sobald der Plan im Register hinterlegt ist, notifiziert der Greffier dem Schuldner, den Aufschubgläubigern, die auf der Liste der beteiligten Gläubiger angegeben sind, und gegebenenfalls den Anteilsinhabern, die in der Liste aufgenommen sind, eine Mitteilung mit dem Vermerk:</w:t>
      </w:r>
    </w:p>
    <w:p w14:paraId="5C35A26D" w14:textId="77777777" w:rsidR="00ED5B6A" w:rsidRPr="004676F5" w:rsidRDefault="00ED5B6A" w:rsidP="00ED5B6A">
      <w:pPr>
        <w:jc w:val="both"/>
        <w:rPr>
          <w:lang w:val="de-DE"/>
        </w:rPr>
      </w:pPr>
    </w:p>
    <w:p w14:paraId="10A5211E" w14:textId="77777777" w:rsidR="00ED5B6A" w:rsidRPr="004676F5" w:rsidRDefault="00ED5B6A" w:rsidP="00ED5B6A">
      <w:pPr>
        <w:jc w:val="both"/>
        <w:rPr>
          <w:lang w:val="de-DE"/>
        </w:rPr>
      </w:pPr>
      <w:r w:rsidRPr="004676F5">
        <w:rPr>
          <w:lang w:val="de-DE"/>
        </w:rPr>
        <w:tab/>
        <w:t>- dass dieser Plan untersucht wird und dass sie ihn im Register einsehen können,</w:t>
      </w:r>
    </w:p>
    <w:p w14:paraId="29F4367E" w14:textId="77777777" w:rsidR="00ED5B6A" w:rsidRPr="004676F5" w:rsidRDefault="00ED5B6A" w:rsidP="00ED5B6A">
      <w:pPr>
        <w:jc w:val="both"/>
        <w:rPr>
          <w:lang w:val="de-DE"/>
        </w:rPr>
      </w:pPr>
    </w:p>
    <w:p w14:paraId="18DB5B43" w14:textId="77777777" w:rsidR="00ED5B6A" w:rsidRPr="004676F5" w:rsidRDefault="00ED5B6A" w:rsidP="00ED5B6A">
      <w:pPr>
        <w:jc w:val="both"/>
        <w:rPr>
          <w:lang w:val="de-DE"/>
        </w:rPr>
      </w:pPr>
      <w:r w:rsidRPr="004676F5">
        <w:rPr>
          <w:lang w:val="de-DE"/>
        </w:rPr>
        <w:tab/>
        <w:t>- von Ort, Tag und Uhrzeit der Sitzung, bei der über diesen Plan abgestimmt wird und die mindestens fünfzehn Tage nach dieser Mitteilung stattfinden wird,</w:t>
      </w:r>
    </w:p>
    <w:p w14:paraId="3248EADD" w14:textId="77777777" w:rsidR="00ED5B6A" w:rsidRPr="004676F5" w:rsidRDefault="00ED5B6A" w:rsidP="00ED5B6A">
      <w:pPr>
        <w:jc w:val="both"/>
        <w:rPr>
          <w:lang w:val="de-DE"/>
        </w:rPr>
      </w:pPr>
    </w:p>
    <w:p w14:paraId="3266EBBD" w14:textId="77777777" w:rsidR="00ED5B6A" w:rsidRPr="004676F5" w:rsidRDefault="00ED5B6A" w:rsidP="00ED5B6A">
      <w:pPr>
        <w:jc w:val="both"/>
        <w:rPr>
          <w:lang w:val="de-DE"/>
        </w:rPr>
      </w:pPr>
      <w:r w:rsidRPr="004676F5">
        <w:rPr>
          <w:lang w:val="de-DE"/>
        </w:rPr>
        <w:tab/>
        <w:t>- mit dem gegebenenfalls darauf hingewiesen wird, dass unter bestimmten Bedingungen eine Fernstimmabgabe zulässig ist und dass der Gläubiger seine Stimme spätestens zu Beginn der Sitzung abgeben kann,</w:t>
      </w:r>
    </w:p>
    <w:p w14:paraId="316E8821" w14:textId="77777777" w:rsidR="00ED5B6A" w:rsidRPr="004676F5" w:rsidRDefault="00ED5B6A" w:rsidP="00ED5B6A">
      <w:pPr>
        <w:jc w:val="both"/>
        <w:rPr>
          <w:lang w:val="de-DE"/>
        </w:rPr>
      </w:pPr>
    </w:p>
    <w:p w14:paraId="786924FD" w14:textId="77777777" w:rsidR="00ED5B6A" w:rsidRPr="004676F5" w:rsidRDefault="00ED5B6A" w:rsidP="00ED5B6A">
      <w:pPr>
        <w:jc w:val="both"/>
        <w:rPr>
          <w:lang w:val="de-DE"/>
        </w:rPr>
      </w:pPr>
      <w:r w:rsidRPr="004676F5">
        <w:rPr>
          <w:lang w:val="de-DE"/>
        </w:rPr>
        <w:tab/>
        <w:t>- dass sie in der Sitzung ihre Anmerkungen zu dem vorgeschlagenen Plan entweder schriftlich oder mündlich geltend machen können und dass in ihrer Abwesenheit trotzdem über den Plan abgestimmt wird,</w:t>
      </w:r>
    </w:p>
    <w:p w14:paraId="74BCF74B" w14:textId="77777777" w:rsidR="00ED5B6A" w:rsidRPr="004676F5" w:rsidRDefault="00ED5B6A" w:rsidP="00ED5B6A">
      <w:pPr>
        <w:jc w:val="both"/>
        <w:rPr>
          <w:lang w:val="de-DE"/>
        </w:rPr>
      </w:pPr>
    </w:p>
    <w:p w14:paraId="1067DBFB" w14:textId="77777777" w:rsidR="00ED5B6A" w:rsidRPr="004676F5" w:rsidRDefault="00ED5B6A" w:rsidP="00ED5B6A">
      <w:pPr>
        <w:jc w:val="both"/>
        <w:rPr>
          <w:lang w:val="de-DE"/>
        </w:rPr>
      </w:pPr>
      <w:r w:rsidRPr="004676F5">
        <w:rPr>
          <w:lang w:val="de-DE"/>
        </w:rPr>
        <w:tab/>
        <w:t>- dass nur Aufschubgläubiger und gegebenenfalls Anteilsinhaber, auf deren Rechte der Plan sich auswirkt, an der Abstimmung teilnehmen können.</w:t>
      </w:r>
    </w:p>
    <w:p w14:paraId="7B6ED6AA" w14:textId="77777777" w:rsidR="00ED5B6A" w:rsidRPr="004676F5" w:rsidRDefault="00ED5B6A" w:rsidP="00ED5B6A">
      <w:pPr>
        <w:jc w:val="both"/>
        <w:rPr>
          <w:lang w:val="de-DE"/>
        </w:rPr>
      </w:pPr>
    </w:p>
    <w:p w14:paraId="662E3795" w14:textId="77777777" w:rsidR="00ED5B6A" w:rsidRPr="004676F5" w:rsidRDefault="00ED5B6A" w:rsidP="00ED5B6A">
      <w:pPr>
        <w:jc w:val="both"/>
        <w:rPr>
          <w:lang w:val="de-DE"/>
        </w:rPr>
      </w:pPr>
      <w:r w:rsidRPr="004676F5">
        <w:rPr>
          <w:lang w:val="de-DE"/>
        </w:rPr>
        <w:tab/>
        <w:t>§ 4 - Der beauftragte Richter kann entscheiden, dass von der Einigung betroffene Mitschuldner, Bürgen und andere Personen, die persönliche Sicherheiten geleistet haben, diese Mitteilung ebenfalls erhalten und auf dieselbe Art und Weise ihre Anmerkungen geltend machen können.</w:t>
      </w:r>
    </w:p>
    <w:p w14:paraId="16174AD7" w14:textId="77777777" w:rsidR="00ED5B6A" w:rsidRPr="004676F5" w:rsidRDefault="00ED5B6A" w:rsidP="00ED5B6A">
      <w:pPr>
        <w:jc w:val="both"/>
        <w:rPr>
          <w:lang w:val="de-DE"/>
        </w:rPr>
      </w:pPr>
    </w:p>
    <w:p w14:paraId="169EC950" w14:textId="6F06F11A" w:rsidR="00ED5B6A" w:rsidRPr="004676F5" w:rsidRDefault="00ED5B6A" w:rsidP="00ED5B6A">
      <w:pPr>
        <w:jc w:val="both"/>
        <w:rPr>
          <w:lang w:val="de-DE"/>
        </w:rPr>
      </w:pPr>
      <w:r w:rsidRPr="004676F5">
        <w:rPr>
          <w:lang w:val="de-DE"/>
        </w:rPr>
        <w:tab/>
        <w:t>§ 5 - Ist Fernabstimmabgabe erlaubt, muss das Gericht Identität und Eigenschaft des Gläubigers überprüfen können. Die in § 3 erwähnte Mitteilung enthält eine genaue Beschreibung der Verfahren für die Fernstimmabgabe.</w:t>
      </w:r>
      <w:r w:rsidR="00820C89" w:rsidRPr="004676F5">
        <w:rPr>
          <w:lang w:val="de-DE"/>
        </w:rPr>
        <w:t>]</w:t>
      </w:r>
    </w:p>
    <w:p w14:paraId="0B3A37FD" w14:textId="77777777" w:rsidR="00820C89" w:rsidRPr="004676F5" w:rsidRDefault="00820C89" w:rsidP="00ED5B6A">
      <w:pPr>
        <w:jc w:val="both"/>
        <w:rPr>
          <w:lang w:val="de-DE"/>
        </w:rPr>
      </w:pPr>
    </w:p>
    <w:p w14:paraId="593E6161" w14:textId="3BAA2103"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83/33 eingefügt durch Art. 166 des G. vom 7. Juni 2023 (B.S. vom 7. Juli 2023)]</w:t>
      </w:r>
    </w:p>
    <w:p w14:paraId="5644C6CE" w14:textId="77777777" w:rsidR="00820C89" w:rsidRPr="004676F5" w:rsidRDefault="00820C89" w:rsidP="00ED5B6A">
      <w:pPr>
        <w:jc w:val="both"/>
        <w:rPr>
          <w:lang w:val="de-DE"/>
        </w:rPr>
      </w:pPr>
    </w:p>
    <w:p w14:paraId="12518797" w14:textId="77777777" w:rsidR="00820C89" w:rsidRPr="004676F5" w:rsidRDefault="00820C89" w:rsidP="00ED5B6A">
      <w:pPr>
        <w:jc w:val="both"/>
        <w:rPr>
          <w:lang w:val="de-DE"/>
        </w:rPr>
      </w:pPr>
    </w:p>
    <w:p w14:paraId="3A5493B1" w14:textId="77777777" w:rsidR="00820C89" w:rsidRPr="004676F5" w:rsidRDefault="00820C89">
      <w:pPr>
        <w:rPr>
          <w:bCs/>
          <w:lang w:val="de-DE"/>
        </w:rPr>
      </w:pPr>
      <w:r w:rsidRPr="004676F5">
        <w:rPr>
          <w:bCs/>
          <w:lang w:val="de-DE"/>
        </w:rPr>
        <w:br w:type="page"/>
      </w:r>
    </w:p>
    <w:p w14:paraId="09B4CBF5" w14:textId="4F9C4D76" w:rsidR="00ED5B6A" w:rsidRPr="004676F5" w:rsidRDefault="00820C89" w:rsidP="00820C89">
      <w:pPr>
        <w:jc w:val="center"/>
        <w:rPr>
          <w:lang w:val="de-DE"/>
        </w:rPr>
      </w:pPr>
      <w:r w:rsidRPr="004676F5">
        <w:rPr>
          <w:bCs/>
          <w:lang w:val="de-DE"/>
        </w:rPr>
        <w:lastRenderedPageBreak/>
        <w:t>[</w:t>
      </w:r>
      <w:r w:rsidR="00ED5B6A" w:rsidRPr="004676F5">
        <w:rPr>
          <w:lang w:val="de-DE"/>
        </w:rPr>
        <w:t>Unterab</w:t>
      </w:r>
      <w:r w:rsidR="00ED5B6A" w:rsidRPr="004676F5">
        <w:rPr>
          <w:lang w:val="de-DE"/>
        </w:rPr>
        <w:softHyphen/>
        <w:t>schnitt 3 - Abstimmung über den Reorganisationsplan</w:t>
      </w:r>
      <w:r w:rsidRPr="004676F5">
        <w:rPr>
          <w:lang w:val="de-DE"/>
        </w:rPr>
        <w:t>]</w:t>
      </w:r>
    </w:p>
    <w:p w14:paraId="7801244E" w14:textId="77777777" w:rsidR="00ED5B6A" w:rsidRPr="004676F5" w:rsidRDefault="00ED5B6A" w:rsidP="00ED5B6A">
      <w:pPr>
        <w:jc w:val="both"/>
        <w:rPr>
          <w:lang w:val="de-DE"/>
        </w:rPr>
      </w:pPr>
    </w:p>
    <w:p w14:paraId="4BA677FD" w14:textId="79B27E18" w:rsidR="00820C89" w:rsidRPr="004676F5" w:rsidRDefault="00820C89" w:rsidP="00820C89">
      <w:pPr>
        <w:jc w:val="both"/>
        <w:rPr>
          <w:i/>
          <w:iCs/>
          <w:lang w:val="de-DE"/>
        </w:rPr>
      </w:pPr>
      <w:r w:rsidRPr="004676F5">
        <w:rPr>
          <w:i/>
          <w:iCs/>
          <w:lang w:val="de-DE"/>
        </w:rPr>
        <w:t>[Unterteilung Unterabschnitt 3 eingefügt durch Art. 167 des G. vom 7. Juni 2023 (B.S. vom 7. Juli 2023)]</w:t>
      </w:r>
    </w:p>
    <w:p w14:paraId="7FBC2111" w14:textId="77777777" w:rsidR="00820C89" w:rsidRPr="004676F5" w:rsidRDefault="00820C89" w:rsidP="00ED5B6A">
      <w:pPr>
        <w:jc w:val="both"/>
        <w:rPr>
          <w:lang w:val="de-DE"/>
        </w:rPr>
      </w:pPr>
    </w:p>
    <w:p w14:paraId="276D64E2" w14:textId="77777777" w:rsidR="00ED5B6A" w:rsidRPr="004676F5" w:rsidRDefault="00ED5B6A" w:rsidP="00ED5B6A">
      <w:pPr>
        <w:jc w:val="both"/>
        <w:rPr>
          <w:lang w:val="de-DE"/>
        </w:rPr>
      </w:pPr>
    </w:p>
    <w:p w14:paraId="2AC4068C" w14:textId="7F6BEF06"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XX.83/34</w:t>
      </w:r>
      <w:r w:rsidRPr="004676F5">
        <w:rPr>
          <w:lang w:val="de-DE"/>
        </w:rPr>
        <w:t> - Die Abstimmung über den Plan erfolgt gemäß den in den Artikeln XX.78 bis XX.78/2 oder XX.83/12 bis XX.83/14 bestimmten Modalitäten.</w:t>
      </w:r>
      <w:r w:rsidR="00820C89" w:rsidRPr="004676F5">
        <w:rPr>
          <w:lang w:val="de-DE"/>
        </w:rPr>
        <w:t>]</w:t>
      </w:r>
    </w:p>
    <w:p w14:paraId="09F6C7F1" w14:textId="77777777" w:rsidR="00820C89" w:rsidRPr="004676F5" w:rsidRDefault="00820C89" w:rsidP="00ED5B6A">
      <w:pPr>
        <w:jc w:val="both"/>
        <w:rPr>
          <w:lang w:val="de-DE"/>
        </w:rPr>
      </w:pPr>
    </w:p>
    <w:p w14:paraId="26878CFE" w14:textId="6AB1EFC8"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83/34 eingefügt durch Art. 168 des G. vom 7. Juni 2023 (B.S. vom 7. Juli 2023)]</w:t>
      </w:r>
    </w:p>
    <w:p w14:paraId="363838D4" w14:textId="77777777" w:rsidR="00820C89" w:rsidRPr="004676F5" w:rsidRDefault="00820C89" w:rsidP="00ED5B6A">
      <w:pPr>
        <w:jc w:val="both"/>
        <w:rPr>
          <w:lang w:val="de-DE"/>
        </w:rPr>
      </w:pPr>
    </w:p>
    <w:p w14:paraId="7C9877CE" w14:textId="77777777" w:rsidR="00820C89" w:rsidRPr="004676F5" w:rsidRDefault="00820C89" w:rsidP="00ED5B6A">
      <w:pPr>
        <w:jc w:val="both"/>
        <w:rPr>
          <w:lang w:val="de-DE"/>
        </w:rPr>
      </w:pPr>
    </w:p>
    <w:p w14:paraId="0B8230B6" w14:textId="28C5AD86" w:rsidR="00ED5B6A" w:rsidRPr="004676F5" w:rsidRDefault="00820C89" w:rsidP="00820C89">
      <w:pPr>
        <w:jc w:val="center"/>
        <w:rPr>
          <w:lang w:val="de-DE"/>
        </w:rPr>
      </w:pPr>
      <w:r w:rsidRPr="004676F5">
        <w:rPr>
          <w:bCs/>
          <w:lang w:val="de-DE"/>
        </w:rPr>
        <w:t>[</w:t>
      </w:r>
      <w:r w:rsidR="00ED5B6A" w:rsidRPr="004676F5">
        <w:rPr>
          <w:lang w:val="de-DE"/>
        </w:rPr>
        <w:t>Unterab</w:t>
      </w:r>
      <w:r w:rsidR="00ED5B6A" w:rsidRPr="004676F5">
        <w:rPr>
          <w:lang w:val="de-DE"/>
        </w:rPr>
        <w:softHyphen/>
        <w:t>schnitt 4 - Homologierung des Reorganisationsplans</w:t>
      </w:r>
      <w:r w:rsidRPr="004676F5">
        <w:rPr>
          <w:lang w:val="de-DE"/>
        </w:rPr>
        <w:t>]</w:t>
      </w:r>
    </w:p>
    <w:p w14:paraId="5D53DC29" w14:textId="77777777" w:rsidR="00820C89" w:rsidRPr="004676F5" w:rsidRDefault="00820C89" w:rsidP="00ED5B6A">
      <w:pPr>
        <w:jc w:val="both"/>
        <w:rPr>
          <w:lang w:val="de-DE"/>
        </w:rPr>
      </w:pPr>
    </w:p>
    <w:p w14:paraId="0B3D2AB2" w14:textId="00CD43B6" w:rsidR="00820C89" w:rsidRPr="004676F5" w:rsidRDefault="00820C89" w:rsidP="00820C89">
      <w:pPr>
        <w:jc w:val="both"/>
        <w:rPr>
          <w:i/>
          <w:iCs/>
          <w:lang w:val="de-DE"/>
        </w:rPr>
      </w:pPr>
      <w:r w:rsidRPr="004676F5">
        <w:rPr>
          <w:i/>
          <w:iCs/>
          <w:lang w:val="de-DE"/>
        </w:rPr>
        <w:t>[Unterteilung Unterabschnitt 4 eingefügt durch Art. 169 des G. vom 7. Juni 2023 (B.S. vom 7. Juli 2023)]</w:t>
      </w:r>
    </w:p>
    <w:p w14:paraId="1B652DAA" w14:textId="77777777" w:rsidR="00820C89" w:rsidRPr="004676F5" w:rsidRDefault="00820C89" w:rsidP="00ED5B6A">
      <w:pPr>
        <w:jc w:val="both"/>
        <w:rPr>
          <w:lang w:val="de-DE"/>
        </w:rPr>
      </w:pPr>
    </w:p>
    <w:p w14:paraId="50CBE4B6" w14:textId="77777777" w:rsidR="00ED5B6A" w:rsidRPr="004676F5" w:rsidRDefault="00ED5B6A" w:rsidP="00ED5B6A">
      <w:pPr>
        <w:jc w:val="both"/>
        <w:rPr>
          <w:lang w:val="de-DE"/>
        </w:rPr>
      </w:pPr>
    </w:p>
    <w:p w14:paraId="3911FD8C" w14:textId="3ED3F649"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XX.83/35</w:t>
      </w:r>
      <w:r w:rsidRPr="004676F5">
        <w:rPr>
          <w:lang w:val="de-DE"/>
        </w:rPr>
        <w:t> - Innerhalb fünfzehn Tagen nach der Sitzung und in jedem Fall vor dem in Anwendung der Artikel XX.48 und XX.59 bestimmten Enddatum des Aufschubs entscheidet das Gericht im Anschluss an die in Artikel XX.83/37 erwähnte Überprüfung, ob es den Reorganisationsplan homologiert.</w:t>
      </w:r>
      <w:r w:rsidR="00820C89" w:rsidRPr="004676F5">
        <w:rPr>
          <w:lang w:val="de-DE"/>
        </w:rPr>
        <w:t>]</w:t>
      </w:r>
    </w:p>
    <w:p w14:paraId="542CF575" w14:textId="77777777" w:rsidR="00820C89" w:rsidRPr="004676F5" w:rsidRDefault="00820C89" w:rsidP="00ED5B6A">
      <w:pPr>
        <w:jc w:val="both"/>
        <w:rPr>
          <w:lang w:val="de-DE"/>
        </w:rPr>
      </w:pPr>
    </w:p>
    <w:p w14:paraId="2AA89B00" w14:textId="089921F3"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83/35 eingefügt durch Art. 170 des G. vom 7. Juni 2023 (B.S. vom 7. Juli 2023)]</w:t>
      </w:r>
    </w:p>
    <w:p w14:paraId="0C41689C" w14:textId="77777777" w:rsidR="00820C89" w:rsidRPr="004676F5" w:rsidRDefault="00820C89" w:rsidP="00ED5B6A">
      <w:pPr>
        <w:jc w:val="both"/>
        <w:rPr>
          <w:lang w:val="de-DE"/>
        </w:rPr>
      </w:pPr>
    </w:p>
    <w:p w14:paraId="0238BF20" w14:textId="77777777" w:rsidR="00ED5B6A" w:rsidRPr="004676F5" w:rsidRDefault="00ED5B6A" w:rsidP="00ED5B6A">
      <w:pPr>
        <w:jc w:val="both"/>
        <w:rPr>
          <w:lang w:val="de-DE"/>
        </w:rPr>
      </w:pPr>
    </w:p>
    <w:p w14:paraId="1E3CA725" w14:textId="1D2B8E44"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XX.83/36</w:t>
      </w:r>
      <w:r w:rsidRPr="004676F5">
        <w:rPr>
          <w:lang w:val="de-DE"/>
        </w:rPr>
        <w:t> - Das Gericht entscheidet über die Homologierung ungeachtet jeglicher Strafverfolgung, die gegen den Schuldner oder seine Leiter eingeleitet worden ist.</w:t>
      </w:r>
      <w:r w:rsidR="00820C89" w:rsidRPr="004676F5">
        <w:rPr>
          <w:lang w:val="de-DE"/>
        </w:rPr>
        <w:t>]</w:t>
      </w:r>
    </w:p>
    <w:p w14:paraId="58EBEC64" w14:textId="77777777" w:rsidR="00820C89" w:rsidRPr="004676F5" w:rsidRDefault="00820C89" w:rsidP="00ED5B6A">
      <w:pPr>
        <w:jc w:val="both"/>
        <w:rPr>
          <w:lang w:val="de-DE"/>
        </w:rPr>
      </w:pPr>
    </w:p>
    <w:p w14:paraId="389E1F15" w14:textId="66D5AFF6"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83/36 eingefügt durch Art. 171 des G. vom 7. Juni 2023 (B.S. vom 7. Juli 2023)]</w:t>
      </w:r>
    </w:p>
    <w:p w14:paraId="2A40D837" w14:textId="77777777" w:rsidR="00820C89" w:rsidRPr="004676F5" w:rsidRDefault="00820C89" w:rsidP="00ED5B6A">
      <w:pPr>
        <w:jc w:val="both"/>
        <w:rPr>
          <w:lang w:val="de-DE"/>
        </w:rPr>
      </w:pPr>
    </w:p>
    <w:p w14:paraId="17E4FB61" w14:textId="77777777" w:rsidR="00ED5B6A" w:rsidRPr="004676F5" w:rsidRDefault="00ED5B6A" w:rsidP="00ED5B6A">
      <w:pPr>
        <w:jc w:val="both"/>
        <w:rPr>
          <w:lang w:val="de-DE"/>
        </w:rPr>
      </w:pPr>
    </w:p>
    <w:p w14:paraId="7F98D987" w14:textId="177F455A"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XX.83/37</w:t>
      </w:r>
      <w:r w:rsidRPr="004676F5">
        <w:rPr>
          <w:lang w:val="de-DE"/>
        </w:rPr>
        <w:t> - Die Überprüfung durch das Gericht erfolgt gemäß den in Artikel XX.79 oder in den Artikeln XX.83/15 bis XX.83/18 festgelegten Regeln.</w:t>
      </w:r>
    </w:p>
    <w:p w14:paraId="25DDFCC4" w14:textId="77777777" w:rsidR="00ED5B6A" w:rsidRPr="004676F5" w:rsidRDefault="00ED5B6A" w:rsidP="00ED5B6A">
      <w:pPr>
        <w:jc w:val="both"/>
        <w:rPr>
          <w:lang w:val="de-DE"/>
        </w:rPr>
      </w:pPr>
    </w:p>
    <w:p w14:paraId="5036B442" w14:textId="3CC86D4F" w:rsidR="00ED5B6A" w:rsidRPr="004676F5" w:rsidRDefault="00ED5B6A" w:rsidP="00ED5B6A">
      <w:pPr>
        <w:jc w:val="both"/>
        <w:rPr>
          <w:lang w:val="de-DE"/>
        </w:rPr>
      </w:pPr>
      <w:r w:rsidRPr="004676F5">
        <w:rPr>
          <w:lang w:val="de-DE"/>
        </w:rPr>
        <w:tab/>
        <w:t>Das Urteil, in dem über die Homologierung entschieden wird, wird nicht bekannt gemacht. Es wird vom Greffier im Register hinterlegt.</w:t>
      </w:r>
      <w:r w:rsidR="00820C89" w:rsidRPr="004676F5">
        <w:rPr>
          <w:lang w:val="de-DE"/>
        </w:rPr>
        <w:t>]</w:t>
      </w:r>
    </w:p>
    <w:p w14:paraId="21AE4934" w14:textId="77777777" w:rsidR="00820C89" w:rsidRPr="004676F5" w:rsidRDefault="00820C89" w:rsidP="00ED5B6A">
      <w:pPr>
        <w:jc w:val="both"/>
        <w:rPr>
          <w:lang w:val="de-DE"/>
        </w:rPr>
      </w:pPr>
    </w:p>
    <w:p w14:paraId="40B8338E" w14:textId="07C342DF"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83/37 eingefügt durch Art. 172 des G. vom 7. Juni 2023 (B.S. vom 7. Juli 2023)]</w:t>
      </w:r>
    </w:p>
    <w:p w14:paraId="14ABD468" w14:textId="77777777" w:rsidR="00820C89" w:rsidRPr="004676F5" w:rsidRDefault="00820C89" w:rsidP="00ED5B6A">
      <w:pPr>
        <w:jc w:val="both"/>
        <w:rPr>
          <w:lang w:val="de-DE"/>
        </w:rPr>
      </w:pPr>
    </w:p>
    <w:p w14:paraId="5DAE25A3" w14:textId="77777777" w:rsidR="00ED5B6A" w:rsidRPr="004676F5" w:rsidRDefault="00ED5B6A" w:rsidP="00ED5B6A">
      <w:pPr>
        <w:jc w:val="both"/>
        <w:rPr>
          <w:lang w:val="de-DE"/>
        </w:rPr>
      </w:pPr>
    </w:p>
    <w:p w14:paraId="695EBF54" w14:textId="77777777" w:rsidR="00820C89" w:rsidRPr="004676F5" w:rsidRDefault="00820C89">
      <w:pPr>
        <w:rPr>
          <w:bCs/>
          <w:lang w:val="de-DE"/>
        </w:rPr>
      </w:pPr>
      <w:r w:rsidRPr="004676F5">
        <w:rPr>
          <w:bCs/>
          <w:lang w:val="de-DE"/>
        </w:rPr>
        <w:br w:type="page"/>
      </w:r>
    </w:p>
    <w:p w14:paraId="3A7A7F65" w14:textId="3DEA878B" w:rsidR="00ED5B6A" w:rsidRPr="004676F5" w:rsidRDefault="00820C89" w:rsidP="00820C89">
      <w:pPr>
        <w:jc w:val="center"/>
        <w:rPr>
          <w:lang w:val="de-DE"/>
        </w:rPr>
      </w:pPr>
      <w:r w:rsidRPr="004676F5">
        <w:rPr>
          <w:bCs/>
          <w:lang w:val="de-DE"/>
        </w:rPr>
        <w:lastRenderedPageBreak/>
        <w:t>[</w:t>
      </w:r>
      <w:r w:rsidR="00ED5B6A" w:rsidRPr="004676F5">
        <w:rPr>
          <w:i/>
          <w:iCs/>
          <w:lang w:val="de-DE"/>
        </w:rPr>
        <w:t>Abschnitt 4</w:t>
      </w:r>
      <w:r w:rsidR="00ED5B6A" w:rsidRPr="004676F5">
        <w:rPr>
          <w:lang w:val="de-DE"/>
        </w:rPr>
        <w:t> - Abschluss des Verfahrens und Rechtsmittel</w:t>
      </w:r>
      <w:r w:rsidRPr="004676F5">
        <w:rPr>
          <w:lang w:val="de-DE"/>
        </w:rPr>
        <w:t>]</w:t>
      </w:r>
    </w:p>
    <w:p w14:paraId="688B1393" w14:textId="77777777" w:rsidR="00820C89" w:rsidRPr="004676F5" w:rsidRDefault="00820C89" w:rsidP="00ED5B6A">
      <w:pPr>
        <w:jc w:val="both"/>
        <w:rPr>
          <w:lang w:val="de-DE"/>
        </w:rPr>
      </w:pPr>
    </w:p>
    <w:p w14:paraId="59AB6B7E" w14:textId="4B71FD4C" w:rsidR="00820C89" w:rsidRPr="004676F5" w:rsidRDefault="00820C89" w:rsidP="00820C89">
      <w:pPr>
        <w:jc w:val="both"/>
        <w:rPr>
          <w:i/>
          <w:iCs/>
          <w:lang w:val="de-DE"/>
        </w:rPr>
      </w:pPr>
      <w:r w:rsidRPr="004676F5">
        <w:rPr>
          <w:i/>
          <w:iCs/>
          <w:lang w:val="de-DE"/>
        </w:rPr>
        <w:t>[Unterteilung Abschnitt 4 eingefügt durch Art. 173 des G. vom 7. Juni 2023 (B.S. vom 7. Juli 2023)]</w:t>
      </w:r>
    </w:p>
    <w:p w14:paraId="1571AC67" w14:textId="77777777" w:rsidR="00820C89" w:rsidRPr="004676F5" w:rsidRDefault="00820C89" w:rsidP="00ED5B6A">
      <w:pPr>
        <w:jc w:val="both"/>
        <w:rPr>
          <w:lang w:val="de-DE"/>
        </w:rPr>
      </w:pPr>
    </w:p>
    <w:p w14:paraId="08762707" w14:textId="77777777" w:rsidR="00ED5B6A" w:rsidRPr="004676F5" w:rsidRDefault="00ED5B6A" w:rsidP="00ED5B6A">
      <w:pPr>
        <w:jc w:val="both"/>
        <w:rPr>
          <w:lang w:val="de-DE"/>
        </w:rPr>
      </w:pPr>
    </w:p>
    <w:p w14:paraId="1B47E5A2" w14:textId="6CF2C721" w:rsidR="00ED5B6A" w:rsidRPr="004676F5" w:rsidRDefault="00820C89" w:rsidP="00820C89">
      <w:pPr>
        <w:ind w:firstLine="708"/>
        <w:jc w:val="both"/>
        <w:rPr>
          <w:lang w:val="de-DE"/>
        </w:rPr>
      </w:pPr>
      <w:r w:rsidRPr="004676F5">
        <w:rPr>
          <w:lang w:val="de-DE"/>
        </w:rPr>
        <w:t>[</w:t>
      </w:r>
      <w:r w:rsidR="00ED5B6A" w:rsidRPr="004676F5">
        <w:rPr>
          <w:b/>
          <w:bCs/>
          <w:lang w:val="de-DE"/>
        </w:rPr>
        <w:t>Art. XX.83/38</w:t>
      </w:r>
      <w:r w:rsidR="00ED5B6A" w:rsidRPr="004676F5">
        <w:rPr>
          <w:lang w:val="de-DE"/>
        </w:rPr>
        <w:t> - Vorbehaltlich der Streitfälle, die aus der Ausführung des Reorgani</w:t>
      </w:r>
      <w:r w:rsidR="00ED5B6A" w:rsidRPr="004676F5">
        <w:rPr>
          <w:lang w:val="de-DE"/>
        </w:rPr>
        <w:softHyphen/>
        <w:t>sationsplans hervorgehen, schließt das Urteil über die Homologierung das Reorganisations</w:t>
      </w:r>
      <w:r w:rsidR="00ED5B6A" w:rsidRPr="004676F5">
        <w:rPr>
          <w:lang w:val="de-DE"/>
        </w:rPr>
        <w:softHyphen/>
        <w:t>verfahren ab.</w:t>
      </w:r>
      <w:r w:rsidRPr="004676F5">
        <w:rPr>
          <w:lang w:val="de-DE"/>
        </w:rPr>
        <w:t>]</w:t>
      </w:r>
    </w:p>
    <w:p w14:paraId="56FAE16B" w14:textId="77777777" w:rsidR="00820C89" w:rsidRPr="004676F5" w:rsidRDefault="00820C89" w:rsidP="00820C89">
      <w:pPr>
        <w:ind w:firstLine="708"/>
        <w:jc w:val="both"/>
        <w:rPr>
          <w:lang w:val="de-DE"/>
        </w:rPr>
      </w:pPr>
    </w:p>
    <w:p w14:paraId="0B70210E" w14:textId="455887E0"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83/38 eingefügt durch Art. 174 des G. vom 7. Juni 2023 (B.S. vom 7. Juli 2023)]</w:t>
      </w:r>
    </w:p>
    <w:p w14:paraId="202FFBF5" w14:textId="77777777" w:rsidR="00820C89" w:rsidRPr="004676F5" w:rsidRDefault="00820C89" w:rsidP="00820C89">
      <w:pPr>
        <w:ind w:firstLine="708"/>
        <w:jc w:val="both"/>
        <w:rPr>
          <w:lang w:val="de-DE"/>
        </w:rPr>
      </w:pPr>
    </w:p>
    <w:p w14:paraId="304128A2" w14:textId="77777777" w:rsidR="00ED5B6A" w:rsidRPr="004676F5" w:rsidRDefault="00ED5B6A" w:rsidP="00ED5B6A">
      <w:pPr>
        <w:jc w:val="both"/>
        <w:rPr>
          <w:lang w:val="de-DE"/>
        </w:rPr>
      </w:pPr>
    </w:p>
    <w:p w14:paraId="43D930FE" w14:textId="6B33A6A6"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XX.83/39</w:t>
      </w:r>
      <w:r w:rsidRPr="004676F5">
        <w:rPr>
          <w:lang w:val="de-DE"/>
        </w:rPr>
        <w:t> - Gegen das Urteil, mit dem über den Homologierungsantrag befunden wird, kann kein Einspruch eingelegt werden.</w:t>
      </w:r>
    </w:p>
    <w:p w14:paraId="7E395923" w14:textId="77777777" w:rsidR="00ED5B6A" w:rsidRPr="004676F5" w:rsidRDefault="00ED5B6A" w:rsidP="00ED5B6A">
      <w:pPr>
        <w:jc w:val="both"/>
        <w:rPr>
          <w:lang w:val="de-DE"/>
        </w:rPr>
      </w:pPr>
    </w:p>
    <w:p w14:paraId="791D7DE3" w14:textId="77777777" w:rsidR="00ED5B6A" w:rsidRPr="004676F5" w:rsidRDefault="00ED5B6A" w:rsidP="00ED5B6A">
      <w:pPr>
        <w:jc w:val="both"/>
        <w:rPr>
          <w:lang w:val="de-DE"/>
        </w:rPr>
      </w:pPr>
      <w:r w:rsidRPr="004676F5">
        <w:rPr>
          <w:lang w:val="de-DE"/>
        </w:rPr>
        <w:tab/>
        <w:t>Berufung kann eingelegt werden vom Schuldner bei Ablehnung der Homologierung und von den Parteien, die dem Reorganisationsverfahren in dessen Verlauf per Antragschrift beigetreten sind, bei Homologierung. Von einem Gläubiger eingelegte Berufung wird gegen alle anderen Parteien, die dem Reorganisationsverfahren beigetreten sind, und gegen den Schuldner gerichtet.</w:t>
      </w:r>
    </w:p>
    <w:p w14:paraId="7B735623" w14:textId="77777777" w:rsidR="00ED5B6A" w:rsidRPr="004676F5" w:rsidRDefault="00ED5B6A" w:rsidP="00ED5B6A">
      <w:pPr>
        <w:jc w:val="both"/>
        <w:rPr>
          <w:lang w:val="de-DE"/>
        </w:rPr>
      </w:pPr>
    </w:p>
    <w:p w14:paraId="12BC737B" w14:textId="77777777" w:rsidR="00ED5B6A" w:rsidRPr="004676F5" w:rsidRDefault="00ED5B6A" w:rsidP="00ED5B6A">
      <w:pPr>
        <w:jc w:val="both"/>
        <w:rPr>
          <w:lang w:val="de-DE"/>
        </w:rPr>
      </w:pPr>
      <w:r w:rsidRPr="004676F5">
        <w:rPr>
          <w:lang w:val="de-DE"/>
        </w:rPr>
        <w:tab/>
        <w:t>Das Berufungsverfahren findet unter Ausschluss der Öffentlichkeit statt und wird nicht bekannt gemacht.</w:t>
      </w:r>
    </w:p>
    <w:p w14:paraId="62A6E569" w14:textId="77777777" w:rsidR="00ED5B6A" w:rsidRPr="004676F5" w:rsidRDefault="00ED5B6A" w:rsidP="00ED5B6A">
      <w:pPr>
        <w:jc w:val="both"/>
        <w:rPr>
          <w:lang w:val="de-DE"/>
        </w:rPr>
      </w:pPr>
    </w:p>
    <w:p w14:paraId="37BBE209" w14:textId="77777777" w:rsidR="00ED5B6A" w:rsidRPr="004676F5" w:rsidRDefault="00ED5B6A" w:rsidP="00ED5B6A">
      <w:pPr>
        <w:jc w:val="both"/>
        <w:rPr>
          <w:lang w:val="de-DE"/>
        </w:rPr>
      </w:pPr>
      <w:r w:rsidRPr="004676F5">
        <w:rPr>
          <w:lang w:val="de-DE"/>
        </w:rPr>
        <w:tab/>
        <w:t>Berufung wird durch eine Antragschrift eingelegt, die innerhalb fünfzehn Tagen ab Notifizierung des Urteils bei der Kanzlei des Appellationshofes hinterlegt wird.</w:t>
      </w:r>
    </w:p>
    <w:p w14:paraId="3DDB3488" w14:textId="77777777" w:rsidR="00ED5B6A" w:rsidRPr="004676F5" w:rsidRDefault="00ED5B6A" w:rsidP="00ED5B6A">
      <w:pPr>
        <w:jc w:val="both"/>
        <w:rPr>
          <w:lang w:val="de-DE"/>
        </w:rPr>
      </w:pPr>
    </w:p>
    <w:p w14:paraId="1D7B2744" w14:textId="77777777" w:rsidR="00ED5B6A" w:rsidRPr="004676F5" w:rsidRDefault="00ED5B6A" w:rsidP="00ED5B6A">
      <w:pPr>
        <w:jc w:val="both"/>
        <w:rPr>
          <w:lang w:val="de-DE"/>
        </w:rPr>
      </w:pPr>
      <w:r w:rsidRPr="004676F5">
        <w:rPr>
          <w:lang w:val="de-DE"/>
        </w:rPr>
        <w:tab/>
        <w:t>Die Sache wird im Dringlichkeitsverfahren in der Ratskammer nach Anhörung des Berichts des beauftragten Richters behandelt.</w:t>
      </w:r>
    </w:p>
    <w:p w14:paraId="189E17B9" w14:textId="77777777" w:rsidR="00ED5B6A" w:rsidRPr="004676F5" w:rsidRDefault="00ED5B6A" w:rsidP="00ED5B6A">
      <w:pPr>
        <w:jc w:val="both"/>
        <w:rPr>
          <w:lang w:val="de-DE"/>
        </w:rPr>
      </w:pPr>
    </w:p>
    <w:p w14:paraId="0400DAA5" w14:textId="77777777" w:rsidR="00ED5B6A" w:rsidRPr="004676F5" w:rsidRDefault="00ED5B6A" w:rsidP="00ED5B6A">
      <w:pPr>
        <w:jc w:val="both"/>
        <w:rPr>
          <w:lang w:val="de-DE"/>
        </w:rPr>
      </w:pPr>
      <w:r w:rsidRPr="004676F5">
        <w:rPr>
          <w:lang w:val="de-DE"/>
        </w:rPr>
        <w:tab/>
        <w:t>Spätestens am ersten Werktag nach Hinterlegung notifiziert der Greffier des Appellationshofes die Antragschrift per Gerichtsbrief den Berufungsbeklagten und gegebenenfalls durch gewöhnlichen Brief ihrem Rechtsanwalt.</w:t>
      </w:r>
    </w:p>
    <w:p w14:paraId="2FD09587" w14:textId="77777777" w:rsidR="00ED5B6A" w:rsidRPr="004676F5" w:rsidRDefault="00ED5B6A" w:rsidP="00ED5B6A">
      <w:pPr>
        <w:jc w:val="both"/>
        <w:rPr>
          <w:lang w:val="de-DE"/>
        </w:rPr>
      </w:pPr>
    </w:p>
    <w:p w14:paraId="70052E9D" w14:textId="3B416560" w:rsidR="00ED5B6A" w:rsidRPr="004676F5" w:rsidRDefault="00ED5B6A" w:rsidP="00ED5B6A">
      <w:pPr>
        <w:jc w:val="both"/>
        <w:rPr>
          <w:lang w:val="de-DE"/>
        </w:rPr>
      </w:pPr>
      <w:r w:rsidRPr="004676F5">
        <w:rPr>
          <w:lang w:val="de-DE"/>
        </w:rPr>
        <w:tab/>
        <w:t>Wird im Urteil die Homologierung abgelehnt, hat die Berufung aufschiebende Wirkung.</w:t>
      </w:r>
      <w:r w:rsidR="00820C89" w:rsidRPr="004676F5">
        <w:rPr>
          <w:lang w:val="de-DE"/>
        </w:rPr>
        <w:t>]</w:t>
      </w:r>
    </w:p>
    <w:p w14:paraId="2665C819" w14:textId="77777777" w:rsidR="00820C89" w:rsidRPr="004676F5" w:rsidRDefault="00820C89" w:rsidP="00ED5B6A">
      <w:pPr>
        <w:jc w:val="both"/>
        <w:rPr>
          <w:lang w:val="de-DE"/>
        </w:rPr>
      </w:pPr>
    </w:p>
    <w:p w14:paraId="1BA692CB" w14:textId="74AB054F"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83/39 eingefügt durch Art. 175 des G. vom 7. Juni 2023 (B.S. vom 7. Juli 2023)]</w:t>
      </w:r>
    </w:p>
    <w:p w14:paraId="63F2CD9C" w14:textId="77777777" w:rsidR="00820C89" w:rsidRPr="004676F5" w:rsidRDefault="00820C89" w:rsidP="00ED5B6A">
      <w:pPr>
        <w:jc w:val="both"/>
        <w:rPr>
          <w:lang w:val="de-DE"/>
        </w:rPr>
      </w:pPr>
    </w:p>
    <w:p w14:paraId="11DA1D52" w14:textId="77777777" w:rsidR="00ED5B6A" w:rsidRPr="004676F5" w:rsidRDefault="00ED5B6A" w:rsidP="00ED5B6A">
      <w:pPr>
        <w:jc w:val="both"/>
        <w:rPr>
          <w:lang w:val="de-DE"/>
        </w:rPr>
      </w:pPr>
    </w:p>
    <w:p w14:paraId="59BE5537" w14:textId="29786092" w:rsidR="00ED5B6A" w:rsidRPr="004676F5" w:rsidRDefault="00820C89" w:rsidP="00820C89">
      <w:pPr>
        <w:jc w:val="center"/>
        <w:rPr>
          <w:lang w:val="de-DE"/>
        </w:rPr>
      </w:pPr>
      <w:r w:rsidRPr="004676F5">
        <w:rPr>
          <w:bCs/>
          <w:lang w:val="de-DE"/>
        </w:rPr>
        <w:t>[</w:t>
      </w:r>
      <w:r w:rsidR="00ED5B6A" w:rsidRPr="004676F5">
        <w:rPr>
          <w:i/>
          <w:iCs/>
          <w:lang w:val="de-DE"/>
        </w:rPr>
        <w:t>Abschnitt 5</w:t>
      </w:r>
      <w:r w:rsidR="00ED5B6A" w:rsidRPr="004676F5">
        <w:rPr>
          <w:lang w:val="de-DE"/>
        </w:rPr>
        <w:t> - Auswirkungen des homologierten Reorganisationsplans</w:t>
      </w:r>
      <w:r w:rsidRPr="004676F5">
        <w:rPr>
          <w:lang w:val="de-DE"/>
        </w:rPr>
        <w:t>]</w:t>
      </w:r>
    </w:p>
    <w:p w14:paraId="28C0A9F8" w14:textId="77777777" w:rsidR="00820C89" w:rsidRPr="004676F5" w:rsidRDefault="00820C89" w:rsidP="00ED5B6A">
      <w:pPr>
        <w:jc w:val="both"/>
        <w:rPr>
          <w:lang w:val="de-DE"/>
        </w:rPr>
      </w:pPr>
    </w:p>
    <w:p w14:paraId="1D887F3B" w14:textId="4039A86C" w:rsidR="00820C89" w:rsidRPr="004676F5" w:rsidRDefault="00820C89" w:rsidP="00820C89">
      <w:pPr>
        <w:jc w:val="both"/>
        <w:rPr>
          <w:i/>
          <w:iCs/>
          <w:lang w:val="de-DE"/>
        </w:rPr>
      </w:pPr>
      <w:r w:rsidRPr="004676F5">
        <w:rPr>
          <w:i/>
          <w:iCs/>
          <w:lang w:val="de-DE"/>
        </w:rPr>
        <w:t>[Unterteilung Abschnitt 5 eingefügt durch Art. 176 des G. vom 7. Juni 2023 (B.S. vom 7. Juli 2023)]</w:t>
      </w:r>
    </w:p>
    <w:p w14:paraId="39E34100" w14:textId="77777777" w:rsidR="00820C89" w:rsidRPr="004676F5" w:rsidRDefault="00820C89" w:rsidP="00ED5B6A">
      <w:pPr>
        <w:jc w:val="both"/>
        <w:rPr>
          <w:lang w:val="de-DE"/>
        </w:rPr>
      </w:pPr>
    </w:p>
    <w:p w14:paraId="2079D421" w14:textId="77777777" w:rsidR="00ED5B6A" w:rsidRPr="004676F5" w:rsidRDefault="00ED5B6A" w:rsidP="00ED5B6A">
      <w:pPr>
        <w:jc w:val="both"/>
        <w:rPr>
          <w:lang w:val="de-DE"/>
        </w:rPr>
      </w:pPr>
    </w:p>
    <w:p w14:paraId="7CCBB8F9" w14:textId="16F49D78"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XX.83/40 </w:t>
      </w:r>
      <w:r w:rsidRPr="004676F5">
        <w:rPr>
          <w:lang w:val="de-DE"/>
        </w:rPr>
        <w:t>- Durch die Homologierung des Reorganisationsplans wird er zwingend für alle Aufschubgläubiger und Anteilsinhaber, an die die in Artikel XX.83/26 erwähnte Notifizierung gerichtet worden ist.</w:t>
      </w:r>
    </w:p>
    <w:p w14:paraId="2E841122" w14:textId="77777777" w:rsidR="00ED5B6A" w:rsidRPr="004676F5" w:rsidRDefault="00ED5B6A" w:rsidP="00ED5B6A">
      <w:pPr>
        <w:jc w:val="both"/>
        <w:rPr>
          <w:lang w:val="de-DE"/>
        </w:rPr>
      </w:pPr>
    </w:p>
    <w:p w14:paraId="1B9215C1" w14:textId="77777777" w:rsidR="00ED5B6A" w:rsidRPr="004676F5" w:rsidRDefault="00ED5B6A" w:rsidP="00ED5B6A">
      <w:pPr>
        <w:jc w:val="both"/>
        <w:rPr>
          <w:lang w:val="de-DE"/>
        </w:rPr>
      </w:pPr>
      <w:r w:rsidRPr="004676F5">
        <w:rPr>
          <w:lang w:val="de-DE"/>
        </w:rPr>
        <w:tab/>
        <w:t>Sofern die Umsetzung des Reorganisationsplans einen Beschluss der General</w:t>
      </w:r>
      <w:r w:rsidRPr="004676F5">
        <w:rPr>
          <w:lang w:val="de-DE"/>
        </w:rPr>
        <w:softHyphen/>
        <w:t>versammlung einer juristischen Person erfordert und die Generalversammlung die Umsetzung des homologierten Plans in unangemessener Weise behindert, kann ein Interessehabender beim Gericht beantragen, dass die juristische Person angewiesen wird, die zur Gewährleistung der Umsetzung des Plans erforderlichen Beschlüsse zu fassen.</w:t>
      </w:r>
    </w:p>
    <w:p w14:paraId="4E593CC4" w14:textId="77777777" w:rsidR="00ED5B6A" w:rsidRPr="004676F5" w:rsidRDefault="00ED5B6A" w:rsidP="00ED5B6A">
      <w:pPr>
        <w:jc w:val="both"/>
        <w:rPr>
          <w:lang w:val="de-DE"/>
        </w:rPr>
      </w:pPr>
    </w:p>
    <w:p w14:paraId="507D191F" w14:textId="77777777" w:rsidR="00ED5B6A" w:rsidRPr="004676F5" w:rsidRDefault="00ED5B6A" w:rsidP="00ED5B6A">
      <w:pPr>
        <w:jc w:val="both"/>
        <w:rPr>
          <w:lang w:val="de-DE"/>
        </w:rPr>
      </w:pPr>
      <w:r w:rsidRPr="004676F5">
        <w:rPr>
          <w:lang w:val="de-DE"/>
        </w:rPr>
        <w:tab/>
        <w:t>Gemäß Artikel XX.49, XX.68 oder XX.83/2 angefochtene, nach der Homologierung jedoch gerichtlich anerkannte aufgeschobene Forderungen werden gemäß den für Forderungen gleicher Art vorgesehenen Modalitäten beglichen. Die Ausführung des Reorganisationsplans kann keinesfalls aufgrund von Entscheidungen, die in Bezug auf diese Streitfälle getroffen werden, ganz oder teilweise ausgesetzt werden.</w:t>
      </w:r>
    </w:p>
    <w:p w14:paraId="6A39A602" w14:textId="77777777" w:rsidR="00ED5B6A" w:rsidRPr="004676F5" w:rsidRDefault="00ED5B6A" w:rsidP="00ED5B6A">
      <w:pPr>
        <w:jc w:val="both"/>
        <w:rPr>
          <w:lang w:val="de-DE"/>
        </w:rPr>
      </w:pPr>
    </w:p>
    <w:p w14:paraId="40A27C35" w14:textId="77777777" w:rsidR="00ED5B6A" w:rsidRPr="004676F5" w:rsidRDefault="00ED5B6A" w:rsidP="00ED5B6A">
      <w:pPr>
        <w:jc w:val="both"/>
        <w:rPr>
          <w:lang w:val="de-DE"/>
        </w:rPr>
      </w:pPr>
      <w:r w:rsidRPr="004676F5">
        <w:rPr>
          <w:lang w:val="de-DE"/>
        </w:rPr>
        <w:tab/>
        <w:t>Der Schuldner wird durch die vollständige Ausführung des Plans vollständig und definitiv von allen darin angeführten Forderungen befreit, sofern es im Plan nicht ausdrücklich anders festgelegt ist.</w:t>
      </w:r>
    </w:p>
    <w:p w14:paraId="3483E328" w14:textId="77777777" w:rsidR="00ED5B6A" w:rsidRPr="004676F5" w:rsidRDefault="00ED5B6A" w:rsidP="00ED5B6A">
      <w:pPr>
        <w:jc w:val="both"/>
        <w:rPr>
          <w:lang w:val="de-DE"/>
        </w:rPr>
      </w:pPr>
    </w:p>
    <w:p w14:paraId="42AE5092" w14:textId="77777777" w:rsidR="00ED5B6A" w:rsidRPr="004676F5" w:rsidRDefault="00ED5B6A" w:rsidP="00ED5B6A">
      <w:pPr>
        <w:jc w:val="both"/>
        <w:rPr>
          <w:lang w:val="de-DE"/>
        </w:rPr>
      </w:pPr>
      <w:r w:rsidRPr="004676F5">
        <w:rPr>
          <w:lang w:val="de-DE"/>
        </w:rPr>
        <w:tab/>
        <w:t>Artikel XX.111 Nr. 2 ist nicht anwendbar auf Zahlungen, die der Schuldner in Ausführung des Plans leistet.</w:t>
      </w:r>
    </w:p>
    <w:p w14:paraId="3455BF1E" w14:textId="77777777" w:rsidR="00ED5B6A" w:rsidRPr="004676F5" w:rsidRDefault="00ED5B6A" w:rsidP="00ED5B6A">
      <w:pPr>
        <w:jc w:val="both"/>
        <w:rPr>
          <w:lang w:val="de-DE"/>
        </w:rPr>
      </w:pPr>
    </w:p>
    <w:p w14:paraId="58919FB7" w14:textId="46D37D6E" w:rsidR="00ED5B6A" w:rsidRPr="004676F5" w:rsidRDefault="00ED5B6A" w:rsidP="00ED5B6A">
      <w:pPr>
        <w:jc w:val="both"/>
        <w:rPr>
          <w:lang w:val="de-DE"/>
        </w:rPr>
      </w:pPr>
      <w:r w:rsidRPr="004676F5">
        <w:rPr>
          <w:lang w:val="de-DE"/>
        </w:rPr>
        <w:tab/>
        <w:t>Unbeschadet der Artikel 2043</w:t>
      </w:r>
      <w:r w:rsidRPr="004676F5">
        <w:rPr>
          <w:i/>
          <w:iCs/>
          <w:lang w:val="de-DE"/>
        </w:rPr>
        <w:t>bis</w:t>
      </w:r>
      <w:r w:rsidRPr="004676F5">
        <w:rPr>
          <w:lang w:val="de-DE"/>
        </w:rPr>
        <w:t xml:space="preserve"> bis 2043</w:t>
      </w:r>
      <w:r w:rsidRPr="004676F5">
        <w:rPr>
          <w:i/>
          <w:iCs/>
          <w:lang w:val="de-DE"/>
        </w:rPr>
        <w:t>octies</w:t>
      </w:r>
      <w:r w:rsidRPr="004676F5">
        <w:rPr>
          <w:lang w:val="de-DE"/>
        </w:rPr>
        <w:t xml:space="preserve"> des früheren Zivilgesetzbuches und der Auswirkungen einer in Artikel XX.74/1 oder XX.83/8 erwähnten Sondervereinbarung kommt der Plan weder Mitschuldnern noch Bestellern von persönlichen Sicherheiten zugute. Der Standpunkt eines Gläubigers dem Plan gegenüber beeinträchtigt nicht die Rechte, die dieser Gläubiger Dritten gegenüber, die sich verbürgt haben, geltend machen kann.</w:t>
      </w:r>
      <w:r w:rsidR="00820C89" w:rsidRPr="004676F5">
        <w:rPr>
          <w:lang w:val="de-DE"/>
        </w:rPr>
        <w:t>]</w:t>
      </w:r>
    </w:p>
    <w:p w14:paraId="54347436" w14:textId="77777777" w:rsidR="00820C89" w:rsidRPr="004676F5" w:rsidRDefault="00820C89" w:rsidP="00ED5B6A">
      <w:pPr>
        <w:jc w:val="both"/>
        <w:rPr>
          <w:lang w:val="de-DE"/>
        </w:rPr>
      </w:pPr>
    </w:p>
    <w:p w14:paraId="768435AF" w14:textId="791D6E52"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83/40 eingefügt durch Art. 177 des G. vom 7. Juni 2023 (B.S. vom 7. Juli 2023)]</w:t>
      </w:r>
    </w:p>
    <w:p w14:paraId="1FFFCA2A" w14:textId="77777777" w:rsidR="00ED5B6A" w:rsidRPr="004676F5" w:rsidRDefault="00ED5B6A" w:rsidP="00ED5B6A">
      <w:pPr>
        <w:jc w:val="both"/>
        <w:rPr>
          <w:lang w:val="de-DE"/>
        </w:rPr>
      </w:pPr>
    </w:p>
    <w:p w14:paraId="6E8A93D5" w14:textId="77777777" w:rsidR="00820C89" w:rsidRPr="004676F5" w:rsidRDefault="00820C89" w:rsidP="00ED5B6A">
      <w:pPr>
        <w:jc w:val="both"/>
        <w:rPr>
          <w:lang w:val="de-DE"/>
        </w:rPr>
      </w:pPr>
    </w:p>
    <w:p w14:paraId="70FCFAFE" w14:textId="78C8CA31" w:rsidR="00ED5B6A" w:rsidRPr="004676F5" w:rsidRDefault="00820C89" w:rsidP="00820C89">
      <w:pPr>
        <w:jc w:val="center"/>
        <w:rPr>
          <w:lang w:val="de-DE"/>
        </w:rPr>
      </w:pPr>
      <w:r w:rsidRPr="004676F5">
        <w:rPr>
          <w:bCs/>
          <w:lang w:val="de-DE"/>
        </w:rPr>
        <w:t>[</w:t>
      </w:r>
      <w:r w:rsidR="00ED5B6A" w:rsidRPr="004676F5">
        <w:rPr>
          <w:i/>
          <w:iCs/>
          <w:lang w:val="de-DE"/>
        </w:rPr>
        <w:t>Abschnitt 6</w:t>
      </w:r>
      <w:r w:rsidR="00ED5B6A" w:rsidRPr="004676F5">
        <w:rPr>
          <w:lang w:val="de-DE"/>
        </w:rPr>
        <w:t> - Widerrufung des Reorganisationsplans und Feststellung, dass der Reorganisationsplan zu Ende geführt wurde</w:t>
      </w:r>
      <w:r w:rsidRPr="004676F5">
        <w:rPr>
          <w:lang w:val="de-DE"/>
        </w:rPr>
        <w:t>]</w:t>
      </w:r>
    </w:p>
    <w:p w14:paraId="3FD663B3" w14:textId="77777777" w:rsidR="00820C89" w:rsidRPr="004676F5" w:rsidRDefault="00820C89" w:rsidP="00ED5B6A">
      <w:pPr>
        <w:jc w:val="both"/>
        <w:rPr>
          <w:lang w:val="de-DE"/>
        </w:rPr>
      </w:pPr>
    </w:p>
    <w:p w14:paraId="15CAAF2F" w14:textId="15CE9758" w:rsidR="00820C89" w:rsidRPr="004676F5" w:rsidRDefault="00820C89" w:rsidP="00820C89">
      <w:pPr>
        <w:jc w:val="both"/>
        <w:rPr>
          <w:i/>
          <w:iCs/>
          <w:lang w:val="de-DE"/>
        </w:rPr>
      </w:pPr>
      <w:r w:rsidRPr="004676F5">
        <w:rPr>
          <w:i/>
          <w:iCs/>
          <w:lang w:val="de-DE"/>
        </w:rPr>
        <w:t>[Unterteilung Abschnitt 6 eingefügt durch Art. 178 des G. vom 7. Juni 2023 (B.S. vom 7. Juli 2023)]</w:t>
      </w:r>
    </w:p>
    <w:p w14:paraId="1DF4FF8F" w14:textId="77777777" w:rsidR="00820C89" w:rsidRPr="004676F5" w:rsidRDefault="00820C89" w:rsidP="00ED5B6A">
      <w:pPr>
        <w:jc w:val="both"/>
        <w:rPr>
          <w:lang w:val="de-DE"/>
        </w:rPr>
      </w:pPr>
    </w:p>
    <w:p w14:paraId="281695E7" w14:textId="77777777" w:rsidR="00ED5B6A" w:rsidRPr="004676F5" w:rsidRDefault="00ED5B6A" w:rsidP="00ED5B6A">
      <w:pPr>
        <w:jc w:val="both"/>
        <w:rPr>
          <w:lang w:val="de-DE"/>
        </w:rPr>
      </w:pPr>
    </w:p>
    <w:p w14:paraId="05817E29" w14:textId="19628787" w:rsidR="00ED5B6A" w:rsidRPr="004676F5" w:rsidRDefault="00ED5B6A" w:rsidP="00ED5B6A">
      <w:pPr>
        <w:jc w:val="both"/>
        <w:rPr>
          <w:lang w:val="de-DE"/>
        </w:rPr>
      </w:pPr>
      <w:r w:rsidRPr="004676F5">
        <w:rPr>
          <w:lang w:val="de-DE"/>
        </w:rPr>
        <w:tab/>
      </w:r>
      <w:r w:rsidR="00820C89" w:rsidRPr="004676F5">
        <w:rPr>
          <w:lang w:val="de-DE"/>
        </w:rPr>
        <w:t>[</w:t>
      </w:r>
      <w:r w:rsidRPr="004676F5">
        <w:rPr>
          <w:b/>
          <w:bCs/>
          <w:lang w:val="de-DE"/>
        </w:rPr>
        <w:t>Art. XX.83/41</w:t>
      </w:r>
      <w:r w:rsidRPr="004676F5">
        <w:rPr>
          <w:lang w:val="de-DE"/>
        </w:rPr>
        <w:t> - Ein Gläubiger kann mittels Ladung des Schuldners die Widerrufung eines Reorganisationsplans beantragen, wenn der Plan nicht genau ausgeführt wird oder wenn er nachweist, dass dies notgedrungenermaßen der Fall sein wird und er dadurch Schaden erleiden wird. Der Prokurator des Königs kann die Widerrufung auf dieselbe Weise beantragen, wenn er feststellt, dass der ganze Plan oder ein Teil davon nicht ausgeführt wird.</w:t>
      </w:r>
    </w:p>
    <w:p w14:paraId="53D1AA0F" w14:textId="77777777" w:rsidR="00ED5B6A" w:rsidRPr="004676F5" w:rsidRDefault="00ED5B6A" w:rsidP="00ED5B6A">
      <w:pPr>
        <w:jc w:val="both"/>
        <w:rPr>
          <w:lang w:val="de-DE"/>
        </w:rPr>
      </w:pPr>
    </w:p>
    <w:p w14:paraId="2D75E003" w14:textId="77777777" w:rsidR="00ED5B6A" w:rsidRPr="004676F5" w:rsidRDefault="00ED5B6A" w:rsidP="00ED5B6A">
      <w:pPr>
        <w:jc w:val="both"/>
        <w:rPr>
          <w:lang w:val="de-DE"/>
        </w:rPr>
      </w:pPr>
      <w:r w:rsidRPr="004676F5">
        <w:rPr>
          <w:lang w:val="de-DE"/>
        </w:rPr>
        <w:tab/>
        <w:t>Das Gericht entscheidet nach Vernehmung des Schuldners.</w:t>
      </w:r>
    </w:p>
    <w:p w14:paraId="1E1F8F69" w14:textId="77777777" w:rsidR="00ED5B6A" w:rsidRPr="004676F5" w:rsidRDefault="00ED5B6A" w:rsidP="00ED5B6A">
      <w:pPr>
        <w:jc w:val="both"/>
        <w:rPr>
          <w:lang w:val="de-DE"/>
        </w:rPr>
      </w:pPr>
    </w:p>
    <w:p w14:paraId="3BCD6B16" w14:textId="77777777" w:rsidR="00ED5B6A" w:rsidRPr="004676F5" w:rsidRDefault="00ED5B6A" w:rsidP="00ED5B6A">
      <w:pPr>
        <w:jc w:val="both"/>
        <w:rPr>
          <w:lang w:val="de-DE"/>
        </w:rPr>
      </w:pPr>
      <w:r w:rsidRPr="004676F5">
        <w:rPr>
          <w:lang w:val="de-DE"/>
        </w:rPr>
        <w:tab/>
        <w:t>Die Konkurseröffnung gegen den Schuldner führt von Rechts wegen zur Widerrufung des Reorganisationsplans.</w:t>
      </w:r>
    </w:p>
    <w:p w14:paraId="529210D2" w14:textId="77777777" w:rsidR="00ED5B6A" w:rsidRPr="004676F5" w:rsidRDefault="00ED5B6A" w:rsidP="00ED5B6A">
      <w:pPr>
        <w:jc w:val="both"/>
        <w:rPr>
          <w:lang w:val="de-DE"/>
        </w:rPr>
      </w:pPr>
    </w:p>
    <w:p w14:paraId="489C1C5C" w14:textId="77777777" w:rsidR="00ED5B6A" w:rsidRPr="004676F5" w:rsidRDefault="00ED5B6A" w:rsidP="00ED5B6A">
      <w:pPr>
        <w:jc w:val="both"/>
        <w:rPr>
          <w:lang w:val="de-DE"/>
        </w:rPr>
      </w:pPr>
      <w:r w:rsidRPr="004676F5">
        <w:rPr>
          <w:lang w:val="de-DE"/>
        </w:rPr>
        <w:tab/>
        <w:t xml:space="preserve">Der Reorganisationsplan hat aufgrund seiner Widerrufung keine Auswirkung mehr, außer in Bezug auf bereits ausgeführte Zahlungen und Verrichtungen und unter anderem die bereits durchgeführte Übertragung der Gesamtheit oder eines Teils der Aktiva oder Tätigkeiten. </w:t>
      </w:r>
      <w:r w:rsidRPr="004676F5">
        <w:rPr>
          <w:lang w:val="de-DE"/>
        </w:rPr>
        <w:lastRenderedPageBreak/>
        <w:t>Die Widerrufung hat zur Folge, dass der Schuldner und die Gläubiger sich bis auf vorerwähnte Auswirkungen wieder in der Lage befinden, als hätte es keinen homologierten Reorganisations</w:t>
      </w:r>
      <w:r w:rsidRPr="004676F5">
        <w:rPr>
          <w:lang w:val="de-DE"/>
        </w:rPr>
        <w:softHyphen/>
        <w:t>plan gegeben.</w:t>
      </w:r>
    </w:p>
    <w:p w14:paraId="27F8C79F" w14:textId="77777777" w:rsidR="00ED5B6A" w:rsidRPr="004676F5" w:rsidRDefault="00ED5B6A" w:rsidP="00ED5B6A">
      <w:pPr>
        <w:jc w:val="both"/>
        <w:rPr>
          <w:lang w:val="de-DE"/>
        </w:rPr>
      </w:pPr>
    </w:p>
    <w:p w14:paraId="0E0EDC35" w14:textId="77777777" w:rsidR="00ED5B6A" w:rsidRPr="004676F5" w:rsidRDefault="00ED5B6A" w:rsidP="00ED5B6A">
      <w:pPr>
        <w:jc w:val="both"/>
        <w:rPr>
          <w:lang w:val="de-DE"/>
        </w:rPr>
      </w:pPr>
      <w:r w:rsidRPr="004676F5">
        <w:rPr>
          <w:lang w:val="de-DE"/>
        </w:rPr>
        <w:tab/>
        <w:t>Das Gericht kann den Schuldner ab dem ersten Jahrestag der Homologierungs</w:t>
      </w:r>
      <w:r w:rsidRPr="004676F5">
        <w:rPr>
          <w:lang w:val="de-DE"/>
        </w:rPr>
        <w:softHyphen/>
        <w:t>entscheidung jedes Jahr von Amts wegen vorladen, damit er über die Ausführung der kollektiven Einigung Bericht erstattet. Die Erklärungen des Schuldners werden vom Greffier beurkundet, damit sie in der Akte der gerichtlichen Reorganisation hinterlegt werden.</w:t>
      </w:r>
    </w:p>
    <w:p w14:paraId="6B228EA1" w14:textId="77777777" w:rsidR="00ED5B6A" w:rsidRPr="004676F5" w:rsidRDefault="00ED5B6A" w:rsidP="00ED5B6A">
      <w:pPr>
        <w:jc w:val="both"/>
        <w:rPr>
          <w:lang w:val="de-DE"/>
        </w:rPr>
      </w:pPr>
    </w:p>
    <w:p w14:paraId="2863D4B6" w14:textId="77777777" w:rsidR="00820C89" w:rsidRPr="004676F5" w:rsidRDefault="00ED5B6A" w:rsidP="00ED5B6A">
      <w:pPr>
        <w:jc w:val="both"/>
        <w:rPr>
          <w:lang w:val="de-DE"/>
        </w:rPr>
      </w:pPr>
      <w:r w:rsidRPr="004676F5">
        <w:rPr>
          <w:lang w:val="de-DE"/>
        </w:rPr>
        <w:tab/>
        <w:t>Auf mit Gründen versehenen Antrag des Schuldners kann das Gericht durch Urteil festlegen, dass der Reorganisationsplan korrekt ausgeführt wurde, sofern der Nachweis erbracht wird, dass der Reorganisationsplan gemäß den festgelegten Bedingungen oder abweichend im Einvernehmen mit den betreffenden Gläubigern ausgeführt wurde.</w:t>
      </w:r>
      <w:r w:rsidR="00820C89" w:rsidRPr="004676F5">
        <w:rPr>
          <w:lang w:val="de-DE"/>
        </w:rPr>
        <w:t>]</w:t>
      </w:r>
    </w:p>
    <w:p w14:paraId="01AEF1EA" w14:textId="77777777" w:rsidR="00820C89" w:rsidRPr="004676F5" w:rsidRDefault="00820C89" w:rsidP="00ED5B6A">
      <w:pPr>
        <w:jc w:val="both"/>
        <w:rPr>
          <w:lang w:val="de-DE"/>
        </w:rPr>
      </w:pPr>
    </w:p>
    <w:p w14:paraId="16E910B7" w14:textId="50ACB71B" w:rsidR="00820C89" w:rsidRPr="004676F5" w:rsidRDefault="00820C89" w:rsidP="00820C89">
      <w:pPr>
        <w:jc w:val="both"/>
        <w:rPr>
          <w:i/>
          <w:iCs/>
          <w:lang w:val="de-DE"/>
        </w:rPr>
      </w:pPr>
      <w:r w:rsidRPr="004676F5">
        <w:rPr>
          <w:i/>
          <w:iCs/>
          <w:lang w:val="de-DE"/>
        </w:rPr>
        <w:t>[Art. </w:t>
      </w:r>
      <w:r w:rsidR="004B5F0E" w:rsidRPr="004676F5">
        <w:rPr>
          <w:i/>
          <w:iCs/>
          <w:lang w:val="de-DE"/>
        </w:rPr>
        <w:t>XX.</w:t>
      </w:r>
      <w:r w:rsidRPr="004676F5">
        <w:rPr>
          <w:i/>
          <w:iCs/>
          <w:lang w:val="de-DE"/>
        </w:rPr>
        <w:t>83/41 eingefügt durch Art. 1</w:t>
      </w:r>
      <w:r w:rsidR="003C53DB" w:rsidRPr="004676F5">
        <w:rPr>
          <w:i/>
          <w:iCs/>
          <w:lang w:val="de-DE"/>
        </w:rPr>
        <w:t>79</w:t>
      </w:r>
      <w:r w:rsidRPr="004676F5">
        <w:rPr>
          <w:i/>
          <w:iCs/>
          <w:lang w:val="de-DE"/>
        </w:rPr>
        <w:t xml:space="preserve"> des G. vom 7. Juni 2023 (B.S. vom 7. Juli 2023)]</w:t>
      </w:r>
    </w:p>
    <w:p w14:paraId="20B4BD08" w14:textId="18E41965" w:rsidR="00ED5B6A" w:rsidRPr="004676F5" w:rsidRDefault="00ED5B6A" w:rsidP="00ED5B6A">
      <w:pPr>
        <w:jc w:val="both"/>
        <w:rPr>
          <w:lang w:val="de-DE"/>
        </w:rPr>
      </w:pPr>
      <w:r w:rsidRPr="004676F5">
        <w:rPr>
          <w:lang w:val="de-DE"/>
        </w:rPr>
        <w:br w:type="page"/>
      </w:r>
    </w:p>
    <w:p w14:paraId="069436F6" w14:textId="7CC3CC7D" w:rsidR="00EE35E2" w:rsidRPr="004676F5" w:rsidRDefault="003C53DB" w:rsidP="00EE35E2">
      <w:pPr>
        <w:jc w:val="center"/>
        <w:rPr>
          <w:iCs/>
          <w:lang w:val="de-DE"/>
        </w:rPr>
      </w:pPr>
      <w:r w:rsidRPr="004676F5">
        <w:rPr>
          <w:lang w:val="de-DE"/>
        </w:rPr>
        <w:lastRenderedPageBreak/>
        <w:t>[</w:t>
      </w:r>
      <w:r w:rsidRPr="004676F5">
        <w:rPr>
          <w:b/>
          <w:bCs/>
          <w:lang w:val="de-DE"/>
        </w:rPr>
        <w:t>TITEL 5/2</w:t>
      </w:r>
      <w:r w:rsidRPr="004676F5">
        <w:rPr>
          <w:lang w:val="de-DE"/>
        </w:rPr>
        <w:t>]</w:t>
      </w:r>
      <w:r w:rsidR="00EE35E2" w:rsidRPr="004676F5">
        <w:rPr>
          <w:lang w:val="de-DE"/>
        </w:rPr>
        <w:t> </w:t>
      </w:r>
      <w:r w:rsidR="005B7A5C" w:rsidRPr="004676F5">
        <w:rPr>
          <w:lang w:val="de-DE"/>
        </w:rPr>
        <w:t>- </w:t>
      </w:r>
      <w:r w:rsidRPr="004676F5">
        <w:rPr>
          <w:lang w:val="de-DE"/>
        </w:rPr>
        <w:t>[</w:t>
      </w:r>
      <w:r w:rsidR="00EE35E2" w:rsidRPr="004676F5">
        <w:rPr>
          <w:b/>
          <w:bCs/>
          <w:i/>
          <w:lang w:val="de-DE"/>
        </w:rPr>
        <w:t>Übertragung unter der Autorität des Gerichts</w:t>
      </w:r>
      <w:r w:rsidRPr="004676F5">
        <w:rPr>
          <w:iCs/>
          <w:lang w:val="de-DE"/>
        </w:rPr>
        <w:t>]</w:t>
      </w:r>
    </w:p>
    <w:p w14:paraId="7F0D2FD0" w14:textId="77777777" w:rsidR="00EE35E2" w:rsidRPr="004676F5" w:rsidRDefault="00EE35E2" w:rsidP="00EE35E2">
      <w:pPr>
        <w:jc w:val="both"/>
        <w:rPr>
          <w:lang w:val="de-DE"/>
        </w:rPr>
      </w:pPr>
    </w:p>
    <w:p w14:paraId="6456E1AD" w14:textId="089DC5A9" w:rsidR="003C53DB" w:rsidRPr="004676F5" w:rsidRDefault="003C53DB" w:rsidP="00EE35E2">
      <w:pPr>
        <w:jc w:val="both"/>
        <w:rPr>
          <w:i/>
          <w:iCs/>
          <w:lang w:val="de-DE"/>
        </w:rPr>
      </w:pPr>
      <w:r w:rsidRPr="004676F5">
        <w:rPr>
          <w:i/>
          <w:iCs/>
          <w:lang w:val="de-DE"/>
        </w:rPr>
        <w:t>[Früheres Kapitel 4 umgegliedert zu Titel 5/2 und Überschrift ersetzt durch Art. 180 des G. vom 7. Juni 2023 (B.S. vom 7. Juli 2023)]</w:t>
      </w:r>
    </w:p>
    <w:p w14:paraId="563037D0" w14:textId="77777777" w:rsidR="003C53DB" w:rsidRPr="004676F5" w:rsidRDefault="003C53DB" w:rsidP="00EE35E2">
      <w:pPr>
        <w:jc w:val="both"/>
        <w:rPr>
          <w:i/>
          <w:iCs/>
          <w:lang w:val="de-DE"/>
        </w:rPr>
      </w:pPr>
    </w:p>
    <w:p w14:paraId="37F04476" w14:textId="77777777" w:rsidR="00D11212" w:rsidRPr="004676F5" w:rsidRDefault="00D11212" w:rsidP="00EE35E2">
      <w:pPr>
        <w:jc w:val="both"/>
        <w:rPr>
          <w:lang w:val="de-DE"/>
        </w:rPr>
      </w:pPr>
    </w:p>
    <w:p w14:paraId="177F2D20" w14:textId="4CF6E600" w:rsidR="00EE35E2" w:rsidRPr="004676F5" w:rsidRDefault="00BE0A56" w:rsidP="00EE35E2">
      <w:pPr>
        <w:ind w:firstLine="708"/>
        <w:jc w:val="both"/>
        <w:rPr>
          <w:lang w:val="de-DE"/>
        </w:rPr>
      </w:pPr>
      <w:r w:rsidRPr="004676F5">
        <w:rPr>
          <w:b/>
          <w:lang w:val="de-DE"/>
        </w:rPr>
        <w:t>Art. </w:t>
      </w:r>
      <w:r w:rsidR="00EE35E2" w:rsidRPr="004676F5">
        <w:rPr>
          <w:b/>
          <w:lang w:val="de-DE"/>
        </w:rPr>
        <w:t>XX.84</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B20716" w:rsidRPr="004676F5">
        <w:rPr>
          <w:lang w:val="de-DE"/>
        </w:rPr>
        <w:t>[Die Übertragung unter der Autorität des Gerichts der Gesamtheit oder eines Teils der Tätigkeiten eines Unternehmens kann im Hinblick auf eine wirksame Liquidation der juristischen Person oder des Vermögens des in Artikel I.1 Nr. 1 Buchstabe </w:t>
      </w:r>
      <w:r w:rsidR="00B20716" w:rsidRPr="004676F5">
        <w:rPr>
          <w:i/>
          <w:lang w:val="de-DE"/>
        </w:rPr>
        <w:t>a)</w:t>
      </w:r>
      <w:r w:rsidR="00B20716" w:rsidRPr="004676F5">
        <w:rPr>
          <w:lang w:val="de-DE"/>
        </w:rPr>
        <w:t xml:space="preserve"> erwähnten Unternehmens durch das Gericht angeordnet werden. Der Schuldner kann diese Übertragung entweder in der ursprünglichen Antragschrift oder zu jedem anderen Zeitpunkt im Laufe des Verfahrens beantragen.]</w:t>
      </w:r>
    </w:p>
    <w:p w14:paraId="04F2D854" w14:textId="77777777" w:rsidR="00EE35E2" w:rsidRPr="004676F5" w:rsidRDefault="00EE35E2" w:rsidP="00EE35E2">
      <w:pPr>
        <w:ind w:firstLine="708"/>
        <w:jc w:val="both"/>
        <w:rPr>
          <w:lang w:val="de-DE"/>
        </w:rPr>
      </w:pPr>
    </w:p>
    <w:p w14:paraId="7361CEBA" w14:textId="3212E864" w:rsidR="00EE35E2" w:rsidRPr="004676F5" w:rsidRDefault="00B20716" w:rsidP="00EE35E2">
      <w:pPr>
        <w:ind w:firstLine="708"/>
        <w:jc w:val="both"/>
        <w:rPr>
          <w:lang w:val="de-DE"/>
        </w:rPr>
      </w:pPr>
      <w:r w:rsidRPr="004676F5">
        <w:rPr>
          <w:lang w:val="de-DE"/>
        </w:rPr>
        <w:t>[Beantragt der Schuldner im Laufe des Verfahrens die Übertragung unter der Autorität des Gerichts]</w:t>
      </w:r>
      <w:r w:rsidR="00EE35E2" w:rsidRPr="004676F5">
        <w:rPr>
          <w:lang w:val="de-DE"/>
        </w:rPr>
        <w:t xml:space="preserve">, werden die Vertreter des Personals im Betriebsrat oder </w:t>
      </w:r>
      <w:r w:rsidR="005B7A5C" w:rsidRPr="004676F5">
        <w:rPr>
          <w:lang w:val="de-DE"/>
        </w:rPr>
        <w:t>- </w:t>
      </w:r>
      <w:r w:rsidR="00EE35E2" w:rsidRPr="004676F5">
        <w:rPr>
          <w:lang w:val="de-DE"/>
        </w:rPr>
        <w:t>in dessen Ermangelung </w:t>
      </w:r>
      <w:r w:rsidR="005B7A5C" w:rsidRPr="004676F5">
        <w:rPr>
          <w:lang w:val="de-DE"/>
        </w:rPr>
        <w:t>- </w:t>
      </w:r>
      <w:r w:rsidR="00EE35E2" w:rsidRPr="004676F5">
        <w:rPr>
          <w:lang w:val="de-DE"/>
        </w:rPr>
        <w:t xml:space="preserve">im Ausschuss für Gefahrenverhütung und Schutz am Arbeitsplatz oder </w:t>
      </w:r>
      <w:r w:rsidR="005B7A5C" w:rsidRPr="004676F5">
        <w:rPr>
          <w:lang w:val="de-DE"/>
        </w:rPr>
        <w:t>- </w:t>
      </w:r>
      <w:r w:rsidR="00EE35E2" w:rsidRPr="004676F5">
        <w:rPr>
          <w:lang w:val="de-DE"/>
        </w:rPr>
        <w:t>in dessen Ermangelung </w:t>
      </w:r>
      <w:r w:rsidR="005B7A5C" w:rsidRPr="004676F5">
        <w:rPr>
          <w:lang w:val="de-DE"/>
        </w:rPr>
        <w:t>- </w:t>
      </w:r>
      <w:r w:rsidR="00EE35E2" w:rsidRPr="004676F5">
        <w:rPr>
          <w:lang w:val="de-DE"/>
        </w:rPr>
        <w:t xml:space="preserve">die Gewerkschaftsvertretung oder </w:t>
      </w:r>
      <w:r w:rsidR="005B7A5C" w:rsidRPr="004676F5">
        <w:rPr>
          <w:lang w:val="de-DE"/>
        </w:rPr>
        <w:t>- </w:t>
      </w:r>
      <w:r w:rsidR="00EE35E2" w:rsidRPr="004676F5">
        <w:rPr>
          <w:lang w:val="de-DE"/>
        </w:rPr>
        <w:t>in deren Ermangelung </w:t>
      </w:r>
      <w:r w:rsidR="005B7A5C" w:rsidRPr="004676F5">
        <w:rPr>
          <w:lang w:val="de-DE"/>
        </w:rPr>
        <w:t>- </w:t>
      </w:r>
      <w:r w:rsidR="00EE35E2" w:rsidRPr="004676F5">
        <w:rPr>
          <w:lang w:val="de-DE"/>
        </w:rPr>
        <w:t>eine Abordnung des Personals konsultiert.</w:t>
      </w:r>
    </w:p>
    <w:p w14:paraId="0A44A8F7" w14:textId="77777777" w:rsidR="00EE35E2" w:rsidRPr="004676F5" w:rsidRDefault="00EE35E2" w:rsidP="00EE35E2">
      <w:pPr>
        <w:ind w:firstLine="708"/>
        <w:jc w:val="both"/>
        <w:rPr>
          <w:lang w:val="de-DE"/>
        </w:rPr>
      </w:pPr>
    </w:p>
    <w:p w14:paraId="0712B4B8" w14:textId="7CDFDBE7"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Dieselbe Übertragung kann mittels Ladung angeordnet werden, die vom Prokurator des Königs, von einem Gläubiger oder von einer Person, die ein Interesse am Erwerb der Gesamtheit oder eines Teils des Unternehmens hat, veranlasst wird:</w:t>
      </w:r>
    </w:p>
    <w:p w14:paraId="73ABB807" w14:textId="77777777" w:rsidR="00EE35E2" w:rsidRPr="004676F5" w:rsidRDefault="00EE35E2" w:rsidP="00EE35E2">
      <w:pPr>
        <w:ind w:firstLine="708"/>
        <w:jc w:val="both"/>
        <w:rPr>
          <w:lang w:val="de-DE"/>
        </w:rPr>
      </w:pPr>
    </w:p>
    <w:p w14:paraId="1DBFE5CC" w14:textId="77777777" w:rsidR="00EE35E2" w:rsidRPr="004676F5" w:rsidRDefault="00EE35E2" w:rsidP="00EE35E2">
      <w:pPr>
        <w:ind w:firstLine="708"/>
        <w:jc w:val="both"/>
        <w:rPr>
          <w:lang w:val="de-DE"/>
        </w:rPr>
      </w:pPr>
      <w:r w:rsidRPr="004676F5">
        <w:rPr>
          <w:lang w:val="de-DE"/>
        </w:rPr>
        <w:t>1. wenn der Schuldner sich im Konkurs befindet, ohne die Eröffnung eines Verfahrens der gerichtlichen Reorganisation beantragt zu haben,</w:t>
      </w:r>
    </w:p>
    <w:p w14:paraId="65DF8352" w14:textId="77777777" w:rsidR="00EE35E2" w:rsidRPr="004676F5" w:rsidRDefault="00EE35E2" w:rsidP="00EE35E2">
      <w:pPr>
        <w:ind w:firstLine="708"/>
        <w:jc w:val="both"/>
        <w:rPr>
          <w:lang w:val="de-DE"/>
        </w:rPr>
      </w:pPr>
    </w:p>
    <w:p w14:paraId="4ABDD42E" w14:textId="3AE37E53" w:rsidR="00EE35E2" w:rsidRPr="004676F5" w:rsidRDefault="00EE35E2" w:rsidP="00EE35E2">
      <w:pPr>
        <w:ind w:firstLine="708"/>
        <w:jc w:val="both"/>
        <w:rPr>
          <w:lang w:val="de-DE"/>
        </w:rPr>
      </w:pPr>
      <w:r w:rsidRPr="004676F5">
        <w:rPr>
          <w:lang w:val="de-DE"/>
        </w:rPr>
        <w:t xml:space="preserve">2. wenn das Gericht den Antrag auf Eröffnung des Verfahrens in Anwendung von Artikel XX.46 abweist, die vorzeitige Beendigung des Verfahrens in Anwendung von Artikel XX.62 anordnet oder den Reorganisationsplan in Anwendung </w:t>
      </w:r>
      <w:r w:rsidR="00B20716" w:rsidRPr="004676F5">
        <w:rPr>
          <w:lang w:val="de-DE"/>
        </w:rPr>
        <w:t>[der Artikel XX.83, XX.83/21 oder XX/41]</w:t>
      </w:r>
      <w:r w:rsidRPr="004676F5">
        <w:rPr>
          <w:lang w:val="de-DE"/>
        </w:rPr>
        <w:t xml:space="preserve"> widerruft,</w:t>
      </w:r>
    </w:p>
    <w:p w14:paraId="6F81B80F" w14:textId="77777777" w:rsidR="00EE35E2" w:rsidRPr="004676F5" w:rsidRDefault="00EE35E2" w:rsidP="00EE35E2">
      <w:pPr>
        <w:ind w:firstLine="708"/>
        <w:jc w:val="both"/>
        <w:rPr>
          <w:lang w:val="de-DE"/>
        </w:rPr>
      </w:pPr>
    </w:p>
    <w:p w14:paraId="5E7EFF00" w14:textId="154D5567" w:rsidR="00EE35E2" w:rsidRPr="004676F5" w:rsidRDefault="00EE35E2" w:rsidP="00EE35E2">
      <w:pPr>
        <w:ind w:firstLine="708"/>
        <w:jc w:val="both"/>
        <w:rPr>
          <w:lang w:val="de-DE"/>
        </w:rPr>
      </w:pPr>
      <w:r w:rsidRPr="004676F5">
        <w:rPr>
          <w:lang w:val="de-DE"/>
        </w:rPr>
        <w:t xml:space="preserve">3. wenn die Gläubiger den Reorganisationsplan in Anwendung </w:t>
      </w:r>
      <w:r w:rsidR="00B20716" w:rsidRPr="004676F5">
        <w:rPr>
          <w:lang w:val="de-DE"/>
        </w:rPr>
        <w:t>[der Artikel XX.78, XX.83/12 oder XX.83/34]</w:t>
      </w:r>
      <w:r w:rsidRPr="004676F5">
        <w:rPr>
          <w:lang w:val="de-DE"/>
        </w:rPr>
        <w:t xml:space="preserve"> nicht billigen,</w:t>
      </w:r>
    </w:p>
    <w:p w14:paraId="49097E0A" w14:textId="77777777" w:rsidR="00EE35E2" w:rsidRPr="004676F5" w:rsidRDefault="00EE35E2" w:rsidP="00EE35E2">
      <w:pPr>
        <w:ind w:firstLine="708"/>
        <w:jc w:val="both"/>
        <w:rPr>
          <w:lang w:val="de-DE"/>
        </w:rPr>
      </w:pPr>
    </w:p>
    <w:p w14:paraId="0C3513B6" w14:textId="0C557A97" w:rsidR="00EE35E2" w:rsidRPr="004676F5" w:rsidRDefault="00EE35E2" w:rsidP="00EE35E2">
      <w:pPr>
        <w:ind w:firstLine="708"/>
        <w:jc w:val="both"/>
        <w:rPr>
          <w:lang w:val="de-DE"/>
        </w:rPr>
      </w:pPr>
      <w:r w:rsidRPr="004676F5">
        <w:rPr>
          <w:lang w:val="de-DE"/>
        </w:rPr>
        <w:t xml:space="preserve">4. wenn das Gericht die Homologierung des Reorganisationsplans in Anwendung </w:t>
      </w:r>
      <w:r w:rsidR="00B20716" w:rsidRPr="004676F5">
        <w:rPr>
          <w:lang w:val="de-DE"/>
        </w:rPr>
        <w:t>[der Artikel XX.79, XX.83/15 oder XX.83/35]</w:t>
      </w:r>
      <w:r w:rsidRPr="004676F5">
        <w:rPr>
          <w:lang w:val="de-DE"/>
        </w:rPr>
        <w:t xml:space="preserve"> ablehnt.</w:t>
      </w:r>
    </w:p>
    <w:p w14:paraId="6B41EAEE" w14:textId="77777777" w:rsidR="00EE35E2" w:rsidRPr="004676F5" w:rsidRDefault="00EE35E2" w:rsidP="00EE35E2">
      <w:pPr>
        <w:ind w:firstLine="708"/>
        <w:jc w:val="both"/>
        <w:rPr>
          <w:lang w:val="de-DE"/>
        </w:rPr>
      </w:pPr>
    </w:p>
    <w:p w14:paraId="5ADEA70B" w14:textId="77777777" w:rsidR="00EE35E2" w:rsidRPr="004676F5" w:rsidRDefault="00EE35E2" w:rsidP="00EE35E2">
      <w:pPr>
        <w:ind w:firstLine="708"/>
        <w:jc w:val="both"/>
        <w:rPr>
          <w:lang w:val="de-DE"/>
        </w:rPr>
      </w:pPr>
      <w:r w:rsidRPr="004676F5">
        <w:rPr>
          <w:lang w:val="de-DE"/>
        </w:rPr>
        <w:t>Der Antrag auf Übertragung kann in der Ladung, die die vorzeitige Beendigung des Reorganisationsverfahrens oder die Widerrufung des Reorganisationsplans zum Gegenstand hat, oder in einer gesonderten Gerichtsvollzieherurkunde, die gegen den Schuldner gerichtet ist, gestellt werden.</w:t>
      </w:r>
    </w:p>
    <w:p w14:paraId="2ABB3121" w14:textId="77777777" w:rsidR="00EE35E2" w:rsidRPr="004676F5" w:rsidRDefault="00EE35E2" w:rsidP="00EE35E2">
      <w:pPr>
        <w:ind w:firstLine="708"/>
        <w:jc w:val="both"/>
        <w:rPr>
          <w:lang w:val="de-DE"/>
        </w:rPr>
      </w:pPr>
    </w:p>
    <w:p w14:paraId="6A589A8C" w14:textId="3FA8EE03"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Wenn das Gericht die Übertragung in dem Urteil anordnet, in dem es den Antrag auf Eröffnung des Verfahrens der gerichtlichen Reorganisation abweist, die vorzeitige Beendigung des Verfahrens anordnet, den Reorganisationsplan widerruft oder die Homologierung ablehnt, entscheidet es nach Bericht des beauftragten Richters und beauftragt ihn, über die Ausführung der Übertragung Bericht zu erstatten.</w:t>
      </w:r>
    </w:p>
    <w:p w14:paraId="642DEBB6" w14:textId="77777777" w:rsidR="00EE35E2" w:rsidRPr="004676F5" w:rsidRDefault="00EE35E2" w:rsidP="00EE35E2">
      <w:pPr>
        <w:ind w:firstLine="708"/>
        <w:jc w:val="both"/>
        <w:rPr>
          <w:lang w:val="de-DE"/>
        </w:rPr>
      </w:pPr>
    </w:p>
    <w:p w14:paraId="50B892D0" w14:textId="10C8AAA5" w:rsidR="00EE35E2" w:rsidRPr="004676F5" w:rsidRDefault="00EE35E2" w:rsidP="00EE35E2">
      <w:pPr>
        <w:ind w:firstLine="708"/>
        <w:jc w:val="both"/>
        <w:rPr>
          <w:lang w:val="de-DE"/>
        </w:rPr>
      </w:pPr>
      <w:r w:rsidRPr="004676F5">
        <w:rPr>
          <w:lang w:val="de-DE"/>
        </w:rPr>
        <w:t xml:space="preserve">Wenn das Gericht die Übertragung in einem anderen Urteil anordnet als dem, mit dem der Aufschub beendet wird, bestimmt es einen Richter am Gericht, den Präsidenten </w:t>
      </w:r>
      <w:r w:rsidRPr="004676F5">
        <w:rPr>
          <w:lang w:val="de-DE"/>
        </w:rPr>
        <w:lastRenderedPageBreak/>
        <w:t xml:space="preserve">ausgenommen, oder einen </w:t>
      </w:r>
      <w:r w:rsidR="00F90C42" w:rsidRPr="004676F5">
        <w:rPr>
          <w:lang w:val="de-DE"/>
        </w:rPr>
        <w:t>[Unternehmensrichter]</w:t>
      </w:r>
      <w:r w:rsidRPr="004676F5">
        <w:rPr>
          <w:lang w:val="de-DE"/>
        </w:rPr>
        <w:t>, damit er über die Ausführung der Übertragung Bericht erstattet.</w:t>
      </w:r>
    </w:p>
    <w:p w14:paraId="53E50C67" w14:textId="77777777" w:rsidR="00EE35E2" w:rsidRPr="004676F5" w:rsidRDefault="00EE35E2" w:rsidP="00EE35E2">
      <w:pPr>
        <w:ind w:firstLine="708"/>
        <w:jc w:val="both"/>
        <w:rPr>
          <w:lang w:val="de-DE"/>
        </w:rPr>
      </w:pPr>
    </w:p>
    <w:p w14:paraId="1519B944" w14:textId="265C54D7" w:rsidR="00EE35E2" w:rsidRPr="004676F5" w:rsidRDefault="00EE35E2" w:rsidP="00EE35E2">
      <w:pPr>
        <w:ind w:firstLine="708"/>
        <w:jc w:val="both"/>
        <w:rPr>
          <w:lang w:val="de-DE"/>
        </w:rPr>
      </w:pPr>
      <w:r w:rsidRPr="004676F5">
        <w:rPr>
          <w:lang w:val="de-DE"/>
        </w:rPr>
        <w:t>§ 4 </w:t>
      </w:r>
      <w:r w:rsidR="005B7A5C" w:rsidRPr="004676F5">
        <w:rPr>
          <w:lang w:val="de-DE"/>
        </w:rPr>
        <w:t>- </w:t>
      </w:r>
      <w:r w:rsidR="00B20716" w:rsidRPr="004676F5">
        <w:rPr>
          <w:lang w:val="de-DE"/>
        </w:rPr>
        <w:t>[…]</w:t>
      </w:r>
    </w:p>
    <w:p w14:paraId="16E5241F" w14:textId="77777777" w:rsidR="00EE35E2" w:rsidRPr="004676F5" w:rsidRDefault="00EE35E2" w:rsidP="00EE35E2">
      <w:pPr>
        <w:ind w:firstLine="708"/>
        <w:jc w:val="both"/>
        <w:rPr>
          <w:lang w:val="de-DE"/>
        </w:rPr>
      </w:pPr>
    </w:p>
    <w:p w14:paraId="6FA77880" w14:textId="562F7903" w:rsidR="00D11212" w:rsidRPr="004676F5" w:rsidRDefault="00F90C42" w:rsidP="00F90C42">
      <w:pPr>
        <w:jc w:val="both"/>
        <w:rPr>
          <w:i/>
          <w:lang w:val="de-DE"/>
        </w:rPr>
      </w:pPr>
      <w:r w:rsidRPr="004676F5">
        <w:rPr>
          <w:i/>
          <w:lang w:val="de-DE"/>
        </w:rPr>
        <w:t xml:space="preserve">[Art. XX.84 </w:t>
      </w:r>
      <w:r w:rsidR="00B20716" w:rsidRPr="004676F5">
        <w:rPr>
          <w:i/>
          <w:lang w:val="de-DE"/>
        </w:rPr>
        <w:t>§ 1 Abs. 1 ersetzt durch Art. 181 Nr. 1</w:t>
      </w:r>
      <w:r w:rsidR="00B20716" w:rsidRPr="004676F5">
        <w:rPr>
          <w:i/>
          <w:iCs/>
          <w:lang w:val="de-DE"/>
        </w:rPr>
        <w:t xml:space="preserve"> des G. vom 7. Juni 2023 (B.S. vom 7. Juli 2023)</w:t>
      </w:r>
      <w:r w:rsidR="00B20716" w:rsidRPr="004676F5">
        <w:rPr>
          <w:i/>
          <w:lang w:val="de-DE"/>
        </w:rPr>
        <w:t>; § 1 Abs. 2 abgeändert durch Art. 181 Nr. 2</w:t>
      </w:r>
      <w:r w:rsidR="00B20716" w:rsidRPr="004676F5">
        <w:rPr>
          <w:i/>
          <w:iCs/>
          <w:lang w:val="de-DE"/>
        </w:rPr>
        <w:t xml:space="preserve"> des G. vom 7. Juni 2023 (B.S. vom 7. Juli 2023)</w:t>
      </w:r>
      <w:r w:rsidR="00B20716" w:rsidRPr="004676F5">
        <w:rPr>
          <w:i/>
          <w:lang w:val="de-DE"/>
        </w:rPr>
        <w:t>; § 2 Abs. 1 Nr. 2 abgeändert durch Art. 181 Nr. 3</w:t>
      </w:r>
      <w:r w:rsidR="00B20716" w:rsidRPr="004676F5">
        <w:rPr>
          <w:i/>
          <w:iCs/>
          <w:lang w:val="de-DE"/>
        </w:rPr>
        <w:t xml:space="preserve"> des G. vom 7. Juni 2023 (B.S. vom 7. Juli 2023)</w:t>
      </w:r>
      <w:r w:rsidR="00B20716" w:rsidRPr="004676F5">
        <w:rPr>
          <w:i/>
          <w:lang w:val="de-DE"/>
        </w:rPr>
        <w:t>; § 2 Abs. 1 Nr. 3 abgeändert durch Art. 181 Nr. 4</w:t>
      </w:r>
      <w:r w:rsidR="00B20716" w:rsidRPr="004676F5">
        <w:rPr>
          <w:i/>
          <w:iCs/>
          <w:lang w:val="de-DE"/>
        </w:rPr>
        <w:t xml:space="preserve"> des G. vom 7. Juni 2023 (B.S. vom 7. Juli 2023)</w:t>
      </w:r>
      <w:r w:rsidR="00B20716" w:rsidRPr="004676F5">
        <w:rPr>
          <w:i/>
          <w:lang w:val="de-DE"/>
        </w:rPr>
        <w:t>; § 2 Abs. 1 Nr. 4 abgeändert durch Art. 181 Nr. 5</w:t>
      </w:r>
      <w:r w:rsidR="00B20716" w:rsidRPr="004676F5">
        <w:rPr>
          <w:i/>
          <w:iCs/>
          <w:lang w:val="de-DE"/>
        </w:rPr>
        <w:t xml:space="preserve"> des G. vom 7. Juni 2023 (B.S. vom 7. Juli 2023)</w:t>
      </w:r>
      <w:r w:rsidR="00B20716" w:rsidRPr="004676F5">
        <w:rPr>
          <w:i/>
          <w:lang w:val="de-DE"/>
        </w:rPr>
        <w:t xml:space="preserve">; </w:t>
      </w:r>
      <w:r w:rsidRPr="004676F5">
        <w:rPr>
          <w:i/>
          <w:lang w:val="de-DE"/>
        </w:rPr>
        <w:t>§ 3 Abs. 2 abgeändert durch Art. 253 des G. vom 15. April 2018 (B.S. vom 27. April 2018)</w:t>
      </w:r>
      <w:r w:rsidR="00B20716" w:rsidRPr="004676F5">
        <w:rPr>
          <w:i/>
          <w:lang w:val="de-DE"/>
        </w:rPr>
        <w:t>; § 4 aufgehoben durch Art. 181 Nr. 6</w:t>
      </w:r>
      <w:r w:rsidR="00B20716" w:rsidRPr="004676F5">
        <w:rPr>
          <w:i/>
          <w:iCs/>
          <w:lang w:val="de-DE"/>
        </w:rPr>
        <w:t xml:space="preserve"> des G. vom 7. Juni 2023 (B.S. vom 7. Juli 2023)</w:t>
      </w:r>
      <w:r w:rsidRPr="004676F5">
        <w:rPr>
          <w:i/>
          <w:lang w:val="de-DE"/>
        </w:rPr>
        <w:t>]</w:t>
      </w:r>
    </w:p>
    <w:p w14:paraId="693AFD8B" w14:textId="171DAEF1" w:rsidR="00F90C42" w:rsidRPr="004676F5" w:rsidRDefault="00F90C42" w:rsidP="00F90C42">
      <w:pPr>
        <w:jc w:val="both"/>
        <w:rPr>
          <w:i/>
          <w:lang w:val="de-DE"/>
        </w:rPr>
      </w:pPr>
    </w:p>
    <w:p w14:paraId="68CD072D" w14:textId="77777777" w:rsidR="00F90C42" w:rsidRPr="004676F5" w:rsidRDefault="00F90C42" w:rsidP="00F90C42">
      <w:pPr>
        <w:jc w:val="both"/>
        <w:rPr>
          <w:i/>
          <w:lang w:val="de-DE"/>
        </w:rPr>
      </w:pPr>
    </w:p>
    <w:p w14:paraId="06C6AC08" w14:textId="5228B2C4" w:rsidR="00EE35E2" w:rsidRPr="004676F5" w:rsidRDefault="00BE0A56" w:rsidP="00EE35E2">
      <w:pPr>
        <w:ind w:firstLine="708"/>
        <w:jc w:val="both"/>
        <w:rPr>
          <w:lang w:val="de-DE"/>
        </w:rPr>
      </w:pPr>
      <w:r w:rsidRPr="004676F5">
        <w:rPr>
          <w:b/>
          <w:lang w:val="de-DE"/>
        </w:rPr>
        <w:t>Art. </w:t>
      </w:r>
      <w:r w:rsidR="00EE35E2" w:rsidRPr="004676F5">
        <w:rPr>
          <w:b/>
          <w:lang w:val="de-DE"/>
        </w:rPr>
        <w:t>XX.85</w:t>
      </w:r>
      <w:r w:rsidR="00EE35E2" w:rsidRPr="004676F5">
        <w:rPr>
          <w:lang w:val="de-DE"/>
        </w:rPr>
        <w:t> </w:t>
      </w:r>
      <w:r w:rsidR="005B7A5C" w:rsidRPr="004676F5">
        <w:rPr>
          <w:lang w:val="de-DE"/>
        </w:rPr>
        <w:t>- </w:t>
      </w:r>
      <w:r w:rsidR="00B20716" w:rsidRPr="004676F5">
        <w:rPr>
          <w:lang w:val="de-DE"/>
        </w:rPr>
        <w:t>[Im Urteil, mit dem die Übertragung angeordnet wird, wird ein Liquidationsbearbeiter bestellt, der damit beauftragt ist, die Übertragung im Namen und für Rechnung des Schuldners zu organisieren und durchzuführen. Im Urteil wird festgelegt, ob der Gegenstand der Übertragung alle Aktiva und Tätigkeiten des Schuldners oder nur einen Teil davon betrifft. In letzterem Fall wird im Urteil der Gegenstand der Übertragung bestimmt oder diese Bestimmung der Beurteilung des Liquidationsbearbeiters überlassen.]</w:t>
      </w:r>
    </w:p>
    <w:p w14:paraId="0EC2672E" w14:textId="77777777" w:rsidR="00EE35E2" w:rsidRPr="004676F5" w:rsidRDefault="00EE35E2" w:rsidP="00EE35E2">
      <w:pPr>
        <w:ind w:firstLine="708"/>
        <w:jc w:val="both"/>
        <w:rPr>
          <w:lang w:val="de-DE"/>
        </w:rPr>
      </w:pPr>
    </w:p>
    <w:p w14:paraId="52FD12FF" w14:textId="3F8A4B1B" w:rsidR="00EE35E2" w:rsidRPr="004676F5" w:rsidRDefault="00EE35E2" w:rsidP="00EE35E2">
      <w:pPr>
        <w:ind w:firstLine="708"/>
        <w:jc w:val="both"/>
        <w:rPr>
          <w:lang w:val="de-DE"/>
        </w:rPr>
      </w:pPr>
      <w:r w:rsidRPr="004676F5">
        <w:rPr>
          <w:lang w:val="de-DE"/>
        </w:rPr>
        <w:t xml:space="preserve">Betrifft die Übertragung ein in Artikel I.1 Nr. 14 bestimmtes Unternehmen, bestellt das Gericht auf der Grundlage der in Artikel XX.20 erwähnten Liste mindestens </w:t>
      </w:r>
      <w:r w:rsidR="009602AB" w:rsidRPr="004676F5">
        <w:rPr>
          <w:lang w:val="de-DE"/>
        </w:rPr>
        <w:t>[einen Liquidationsbearbeiter]</w:t>
      </w:r>
      <w:r w:rsidRPr="004676F5">
        <w:rPr>
          <w:lang w:val="de-DE"/>
        </w:rPr>
        <w:t>, der Mitglied der Kammer oder des Instituts ist, der/dem der von der Übertragung betroffene Freiberufler untersteht.</w:t>
      </w:r>
    </w:p>
    <w:p w14:paraId="51CE9ED2" w14:textId="77777777" w:rsidR="00EE35E2" w:rsidRPr="004676F5" w:rsidRDefault="00EE35E2" w:rsidP="00EE35E2">
      <w:pPr>
        <w:ind w:firstLine="708"/>
        <w:jc w:val="both"/>
        <w:rPr>
          <w:lang w:val="de-DE"/>
        </w:rPr>
      </w:pPr>
    </w:p>
    <w:p w14:paraId="7EAFC47D" w14:textId="135FD475" w:rsidR="00EE35E2" w:rsidRPr="004676F5" w:rsidRDefault="00EE35E2" w:rsidP="00EE35E2">
      <w:pPr>
        <w:ind w:firstLine="708"/>
        <w:jc w:val="both"/>
        <w:rPr>
          <w:lang w:val="de-DE"/>
        </w:rPr>
      </w:pPr>
      <w:r w:rsidRPr="004676F5">
        <w:rPr>
          <w:lang w:val="de-DE"/>
        </w:rPr>
        <w:t xml:space="preserve">Das Gericht kann in demselben Urteil einen zusätzlichen Aufschub von nicht mehr als </w:t>
      </w:r>
      <w:r w:rsidR="009602AB" w:rsidRPr="004676F5">
        <w:rPr>
          <w:lang w:val="de-DE"/>
        </w:rPr>
        <w:t>[vier]</w:t>
      </w:r>
      <w:r w:rsidRPr="004676F5">
        <w:rPr>
          <w:lang w:val="de-DE"/>
        </w:rPr>
        <w:t xml:space="preserve"> Monaten ab seiner Entscheidung anordnen, mit den in den Artikeln XX.50 bis XX.58 angegebenen Auswirkungen.</w:t>
      </w:r>
    </w:p>
    <w:p w14:paraId="3811E652" w14:textId="77777777" w:rsidR="00EE35E2" w:rsidRPr="004676F5" w:rsidRDefault="00EE35E2" w:rsidP="00EE35E2">
      <w:pPr>
        <w:ind w:firstLine="708"/>
        <w:jc w:val="both"/>
        <w:rPr>
          <w:lang w:val="de-DE"/>
        </w:rPr>
      </w:pPr>
    </w:p>
    <w:p w14:paraId="21BDBBD2" w14:textId="42049B44" w:rsidR="00EE35E2" w:rsidRPr="004676F5" w:rsidRDefault="00EE35E2" w:rsidP="00EE35E2">
      <w:pPr>
        <w:ind w:firstLine="708"/>
        <w:jc w:val="both"/>
        <w:rPr>
          <w:lang w:val="de-DE"/>
        </w:rPr>
      </w:pPr>
      <w:r w:rsidRPr="004676F5">
        <w:rPr>
          <w:lang w:val="de-DE"/>
        </w:rPr>
        <w:t xml:space="preserve">Das Urteil wird auf Betreiben </w:t>
      </w:r>
      <w:r w:rsidR="009602AB" w:rsidRPr="004676F5">
        <w:rPr>
          <w:lang w:val="de-DE"/>
        </w:rPr>
        <w:t>[des bestellten Liquidationsbearbeiters]</w:t>
      </w:r>
      <w:r w:rsidRPr="004676F5">
        <w:rPr>
          <w:lang w:val="de-DE"/>
        </w:rPr>
        <w:t xml:space="preserve"> auszugsweise im </w:t>
      </w:r>
      <w:r w:rsidRPr="004676F5">
        <w:rPr>
          <w:i/>
          <w:lang w:val="de-DE"/>
        </w:rPr>
        <w:t>Belgischen Staatsblatt</w:t>
      </w:r>
      <w:r w:rsidRPr="004676F5">
        <w:rPr>
          <w:lang w:val="de-DE"/>
        </w:rPr>
        <w:t xml:space="preserve"> veröffentlicht.</w:t>
      </w:r>
    </w:p>
    <w:p w14:paraId="06DB2D93" w14:textId="77777777" w:rsidR="00EE35E2" w:rsidRPr="004676F5" w:rsidRDefault="00EE35E2" w:rsidP="009602AB">
      <w:pPr>
        <w:jc w:val="both"/>
        <w:rPr>
          <w:lang w:val="de-DE"/>
        </w:rPr>
      </w:pPr>
    </w:p>
    <w:p w14:paraId="3C42FB1D" w14:textId="5D0C18CF" w:rsidR="009602AB" w:rsidRPr="004676F5" w:rsidRDefault="009602AB" w:rsidP="009602AB">
      <w:pPr>
        <w:jc w:val="both"/>
        <w:rPr>
          <w:i/>
          <w:iCs/>
          <w:lang w:val="de-DE"/>
        </w:rPr>
      </w:pPr>
      <w:r w:rsidRPr="004676F5">
        <w:rPr>
          <w:i/>
          <w:iCs/>
          <w:lang w:val="de-DE"/>
        </w:rPr>
        <w:t>[Art. XX.85 Abs. 1 ersetzt durch Art. 182 Nr. 1 des G. vom 7. Juni 2023 (B.S. vom 7. Juli 2023); Abs. 2 abgeändert durch Art. 182 Nr. 2 des G. vom 7. Juni 2023 (B.S. vom 7. Juli 2023); Abs. 3 abgeändert durch Art. 182 Nr. 3 des G. vom 7. Juni 2023 (B.S. vom 7. Juli 2023); Abs. 4 abgeändert durch Art. 182 Nr. 4 des G. vom 7. Juni 2023 (B.S. vom 7. Juli 2023)]</w:t>
      </w:r>
    </w:p>
    <w:p w14:paraId="2170226B" w14:textId="77777777" w:rsidR="00D11212" w:rsidRPr="004676F5" w:rsidRDefault="00D11212" w:rsidP="00EE35E2">
      <w:pPr>
        <w:ind w:firstLine="708"/>
        <w:jc w:val="both"/>
        <w:rPr>
          <w:lang w:val="de-DE"/>
        </w:rPr>
      </w:pPr>
    </w:p>
    <w:p w14:paraId="663D1387" w14:textId="77777777" w:rsidR="009602AB" w:rsidRPr="004676F5" w:rsidRDefault="009602AB" w:rsidP="00EE35E2">
      <w:pPr>
        <w:ind w:firstLine="708"/>
        <w:jc w:val="both"/>
        <w:rPr>
          <w:lang w:val="de-DE"/>
        </w:rPr>
      </w:pPr>
    </w:p>
    <w:p w14:paraId="65E51752" w14:textId="59B63C2F" w:rsidR="00EE35E2" w:rsidRPr="004676F5" w:rsidRDefault="00BE0A56" w:rsidP="00EE35E2">
      <w:pPr>
        <w:ind w:firstLine="708"/>
        <w:jc w:val="both"/>
        <w:rPr>
          <w:lang w:val="de-DE"/>
        </w:rPr>
      </w:pPr>
      <w:r w:rsidRPr="004676F5">
        <w:rPr>
          <w:b/>
          <w:lang w:val="de-DE"/>
        </w:rPr>
        <w:t>Art. </w:t>
      </w:r>
      <w:r w:rsidR="00EE35E2" w:rsidRPr="004676F5">
        <w:rPr>
          <w:b/>
          <w:lang w:val="de-DE"/>
        </w:rPr>
        <w:t>XX.86</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Unbeschadet der Bestimmungen des vorliegenden Buches werden die genaueren Modalitäten der Übertragung der Rechte und Pflichten der von einer Unternehmensübertragung unter der Autorität des Gerichts betroffenen Arbeitnehmer in einem kollektiven Arbeitsabkommen festgelegt, das im Nationalen Arbeitsrat abgeschlossen und vom König für allgemein verbindlich erklärt wird.</w:t>
      </w:r>
    </w:p>
    <w:p w14:paraId="20BC8453" w14:textId="77777777" w:rsidR="00EE35E2" w:rsidRPr="004676F5" w:rsidRDefault="00EE35E2" w:rsidP="00EE35E2">
      <w:pPr>
        <w:ind w:firstLine="708"/>
        <w:jc w:val="both"/>
        <w:rPr>
          <w:lang w:val="de-DE"/>
        </w:rPr>
      </w:pPr>
    </w:p>
    <w:p w14:paraId="6DEB87CF" w14:textId="77777777" w:rsidR="009602AB" w:rsidRPr="004676F5" w:rsidRDefault="009602AB">
      <w:pPr>
        <w:rPr>
          <w:lang w:val="de-DE"/>
        </w:rPr>
      </w:pPr>
      <w:r w:rsidRPr="004676F5">
        <w:rPr>
          <w:lang w:val="de-DE"/>
        </w:rPr>
        <w:br w:type="page"/>
      </w:r>
    </w:p>
    <w:p w14:paraId="7B2D2E54" w14:textId="50231BBA" w:rsidR="00EE35E2" w:rsidRPr="004676F5" w:rsidRDefault="00EE35E2" w:rsidP="00EE35E2">
      <w:pPr>
        <w:ind w:firstLine="708"/>
        <w:jc w:val="both"/>
        <w:rPr>
          <w:lang w:val="de-DE"/>
        </w:rPr>
      </w:pPr>
      <w:r w:rsidRPr="004676F5">
        <w:rPr>
          <w:lang w:val="de-DE"/>
        </w:rPr>
        <w:lastRenderedPageBreak/>
        <w:t>§ 2 </w:t>
      </w:r>
      <w:r w:rsidR="005B7A5C" w:rsidRPr="004676F5">
        <w:rPr>
          <w:lang w:val="de-DE"/>
        </w:rPr>
        <w:t>- </w:t>
      </w:r>
      <w:r w:rsidRPr="004676F5">
        <w:rPr>
          <w:lang w:val="de-DE"/>
        </w:rPr>
        <w:t>Das in § 1 erwähnte kollektive Arbeitsabkommen regelt:</w:t>
      </w:r>
    </w:p>
    <w:p w14:paraId="0F5745FA" w14:textId="77777777" w:rsidR="00EE35E2" w:rsidRPr="004676F5" w:rsidRDefault="00EE35E2" w:rsidP="00EE35E2">
      <w:pPr>
        <w:ind w:firstLine="708"/>
        <w:jc w:val="both"/>
        <w:rPr>
          <w:lang w:val="de-DE"/>
        </w:rPr>
      </w:pPr>
    </w:p>
    <w:p w14:paraId="22244C3B" w14:textId="77777777" w:rsidR="00EE35E2" w:rsidRPr="004676F5" w:rsidRDefault="00EE35E2" w:rsidP="00EE35E2">
      <w:pPr>
        <w:ind w:firstLine="708"/>
        <w:jc w:val="both"/>
        <w:rPr>
          <w:lang w:val="de-DE"/>
        </w:rPr>
      </w:pPr>
      <w:r w:rsidRPr="004676F5">
        <w:rPr>
          <w:lang w:val="de-DE"/>
        </w:rPr>
        <w:t>1. die Unterrichtung der von einer Übertragung unter der Autorität des Gerichts betroffenen Arbeitnehmer, wenn es weder Betriebsrat noch Gewerkschaftsvertretung in dem Unternehmen gibt,</w:t>
      </w:r>
    </w:p>
    <w:p w14:paraId="658D470D" w14:textId="77777777" w:rsidR="00EE35E2" w:rsidRPr="004676F5" w:rsidRDefault="00EE35E2" w:rsidP="00EE35E2">
      <w:pPr>
        <w:ind w:firstLine="708"/>
        <w:jc w:val="both"/>
        <w:rPr>
          <w:lang w:val="de-DE"/>
        </w:rPr>
      </w:pPr>
    </w:p>
    <w:p w14:paraId="77EBB2D5" w14:textId="3E97BECF" w:rsidR="00EE35E2" w:rsidRPr="004676F5" w:rsidRDefault="00EE35E2" w:rsidP="00EE35E2">
      <w:pPr>
        <w:ind w:firstLine="708"/>
        <w:jc w:val="both"/>
        <w:rPr>
          <w:lang w:val="de-DE"/>
        </w:rPr>
      </w:pPr>
      <w:r w:rsidRPr="004676F5">
        <w:rPr>
          <w:lang w:val="de-DE"/>
        </w:rPr>
        <w:t xml:space="preserve">2. die Auskünfte, die </w:t>
      </w:r>
      <w:r w:rsidR="009602AB" w:rsidRPr="004676F5">
        <w:rPr>
          <w:lang w:val="de-DE"/>
        </w:rPr>
        <w:t>[der Liquidationsbearbeiter]</w:t>
      </w:r>
      <w:r w:rsidRPr="004676F5">
        <w:rPr>
          <w:lang w:val="de-DE"/>
        </w:rPr>
        <w:t xml:space="preserve"> dem Erwerber und den betroffenen Arbeitnehmern auf der Grundlage der vom Schuldner zu machenden Angaben erteilen muss,</w:t>
      </w:r>
    </w:p>
    <w:p w14:paraId="283891E9" w14:textId="77777777" w:rsidR="00EE35E2" w:rsidRPr="004676F5" w:rsidRDefault="00EE35E2" w:rsidP="00EE35E2">
      <w:pPr>
        <w:ind w:firstLine="708"/>
        <w:jc w:val="both"/>
        <w:rPr>
          <w:lang w:val="de-DE"/>
        </w:rPr>
      </w:pPr>
    </w:p>
    <w:p w14:paraId="1D426D4A" w14:textId="77777777" w:rsidR="00EE35E2" w:rsidRPr="004676F5" w:rsidRDefault="00EE35E2" w:rsidP="00EE35E2">
      <w:pPr>
        <w:ind w:firstLine="708"/>
        <w:jc w:val="both"/>
        <w:rPr>
          <w:lang w:val="de-DE"/>
        </w:rPr>
      </w:pPr>
      <w:r w:rsidRPr="004676F5">
        <w:rPr>
          <w:lang w:val="de-DE"/>
        </w:rPr>
        <w:t>3. die Aufrechterhaltung der Rechte und Pflichten der von einer Übertragung unter der Autorität des Gerichts betroffenen Arbeitnehmer einschließlich der eventuellen Abweichungs</w:t>
      </w:r>
      <w:r w:rsidRPr="004676F5">
        <w:rPr>
          <w:lang w:val="de-DE"/>
        </w:rPr>
        <w:softHyphen/>
        <w:t>möglichkeiten,</w:t>
      </w:r>
    </w:p>
    <w:p w14:paraId="18677AF7" w14:textId="77777777" w:rsidR="00EE35E2" w:rsidRPr="004676F5" w:rsidRDefault="00EE35E2" w:rsidP="00EE35E2">
      <w:pPr>
        <w:ind w:firstLine="708"/>
        <w:jc w:val="both"/>
        <w:rPr>
          <w:lang w:val="de-DE"/>
        </w:rPr>
      </w:pPr>
    </w:p>
    <w:p w14:paraId="54E5095B" w14:textId="77777777" w:rsidR="00EE35E2" w:rsidRPr="004676F5" w:rsidRDefault="00EE35E2" w:rsidP="00EE35E2">
      <w:pPr>
        <w:ind w:firstLine="708"/>
        <w:jc w:val="both"/>
        <w:rPr>
          <w:lang w:val="de-DE"/>
        </w:rPr>
      </w:pPr>
      <w:r w:rsidRPr="004676F5">
        <w:rPr>
          <w:lang w:val="de-DE"/>
        </w:rPr>
        <w:t>4. die Auswahl der Arbeitnehmer, die übernommen werden,</w:t>
      </w:r>
    </w:p>
    <w:p w14:paraId="71A4C7AA" w14:textId="77777777" w:rsidR="00EE35E2" w:rsidRPr="004676F5" w:rsidRDefault="00EE35E2" w:rsidP="00EE35E2">
      <w:pPr>
        <w:ind w:firstLine="708"/>
        <w:jc w:val="both"/>
        <w:rPr>
          <w:lang w:val="de-DE"/>
        </w:rPr>
      </w:pPr>
    </w:p>
    <w:p w14:paraId="598CBC44" w14:textId="769D943B" w:rsidR="00EE35E2" w:rsidRPr="004676F5" w:rsidRDefault="00EE35E2" w:rsidP="00EE35E2">
      <w:pPr>
        <w:ind w:firstLine="708"/>
        <w:jc w:val="both"/>
        <w:rPr>
          <w:lang w:val="de-DE"/>
        </w:rPr>
      </w:pPr>
      <w:r w:rsidRPr="004676F5">
        <w:rPr>
          <w:lang w:val="de-DE"/>
        </w:rPr>
        <w:t xml:space="preserve">5. die Modalitäten für das Schließen eines Vertrags über die geplante Übertragung zwischen dem Schuldner beziehungsweise </w:t>
      </w:r>
      <w:r w:rsidR="009602AB" w:rsidRPr="004676F5">
        <w:rPr>
          <w:lang w:val="de-DE"/>
        </w:rPr>
        <w:t xml:space="preserve">[dem Liquidationsbearbeiter] </w:t>
      </w:r>
      <w:r w:rsidRPr="004676F5">
        <w:rPr>
          <w:lang w:val="de-DE"/>
        </w:rPr>
        <w:t>und dem Erwerber und den Inhalt dieses Vertrags in Bezug auf die Rechte und Pflichten der übernommenen Arbeitnehmer,</w:t>
      </w:r>
    </w:p>
    <w:p w14:paraId="071F721F" w14:textId="77777777" w:rsidR="00EE35E2" w:rsidRPr="004676F5" w:rsidRDefault="00EE35E2" w:rsidP="00EE35E2">
      <w:pPr>
        <w:ind w:firstLine="708"/>
        <w:jc w:val="both"/>
        <w:rPr>
          <w:lang w:val="de-DE"/>
        </w:rPr>
      </w:pPr>
    </w:p>
    <w:p w14:paraId="5C69B493" w14:textId="77777777" w:rsidR="00EE35E2" w:rsidRPr="004676F5" w:rsidRDefault="00EE35E2" w:rsidP="00EE35E2">
      <w:pPr>
        <w:ind w:firstLine="708"/>
        <w:jc w:val="both"/>
        <w:rPr>
          <w:lang w:val="de-DE"/>
        </w:rPr>
      </w:pPr>
      <w:r w:rsidRPr="004676F5">
        <w:rPr>
          <w:lang w:val="de-DE"/>
        </w:rPr>
        <w:t>6. die zukünftige Behandlung der Schulden gegenüber den übernommenen Arbeit</w:t>
      </w:r>
      <w:r w:rsidRPr="004676F5">
        <w:rPr>
          <w:lang w:val="de-DE"/>
        </w:rPr>
        <w:softHyphen/>
        <w:t>nehmern.</w:t>
      </w:r>
    </w:p>
    <w:p w14:paraId="5E4156C6" w14:textId="77777777" w:rsidR="00EE35E2" w:rsidRPr="004676F5" w:rsidRDefault="00EE35E2" w:rsidP="00EE35E2">
      <w:pPr>
        <w:ind w:firstLine="708"/>
        <w:jc w:val="both"/>
        <w:rPr>
          <w:lang w:val="de-DE"/>
        </w:rPr>
      </w:pPr>
    </w:p>
    <w:p w14:paraId="0BAACEF0" w14:textId="530ABA91"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Dem Erwerber obliegt es, die Arbeitnehmer auszusuchen, die er übernehmen wird.</w:t>
      </w:r>
    </w:p>
    <w:p w14:paraId="32D17AF8" w14:textId="77777777" w:rsidR="00EE35E2" w:rsidRPr="004676F5" w:rsidRDefault="00EE35E2" w:rsidP="00EE35E2">
      <w:pPr>
        <w:ind w:firstLine="708"/>
        <w:jc w:val="both"/>
        <w:rPr>
          <w:lang w:val="de-DE"/>
        </w:rPr>
      </w:pPr>
    </w:p>
    <w:p w14:paraId="29675543" w14:textId="77777777" w:rsidR="00EE35E2" w:rsidRPr="004676F5" w:rsidRDefault="00EE35E2" w:rsidP="00EE35E2">
      <w:pPr>
        <w:ind w:firstLine="708"/>
        <w:jc w:val="both"/>
        <w:rPr>
          <w:lang w:val="de-DE"/>
        </w:rPr>
      </w:pPr>
      <w:r w:rsidRPr="004676F5">
        <w:rPr>
          <w:lang w:val="de-DE"/>
        </w:rPr>
        <w:t>Die Wahl des Erwerbers muss aus technischen, wirtschaftlichen und organisatorischen Gründen ohne verbotene Unterscheidung erfolgen.</w:t>
      </w:r>
    </w:p>
    <w:p w14:paraId="7C3EA4A8" w14:textId="77777777" w:rsidR="00EE35E2" w:rsidRPr="004676F5" w:rsidRDefault="00EE35E2" w:rsidP="00EE35E2">
      <w:pPr>
        <w:ind w:firstLine="708"/>
        <w:jc w:val="both"/>
        <w:rPr>
          <w:lang w:val="de-DE"/>
        </w:rPr>
      </w:pPr>
    </w:p>
    <w:p w14:paraId="07462CE2" w14:textId="77777777" w:rsidR="009602AB" w:rsidRPr="004676F5" w:rsidRDefault="009602AB" w:rsidP="00EE35E2">
      <w:pPr>
        <w:ind w:firstLine="708"/>
        <w:jc w:val="both"/>
        <w:rPr>
          <w:lang w:val="de-DE"/>
        </w:rPr>
      </w:pPr>
      <w:r w:rsidRPr="004676F5">
        <w:rPr>
          <w:lang w:val="de-DE"/>
        </w:rPr>
        <w:t>[Im Rahmen der in Artikel XX.89 erwähnten Ermächtigung prüft das Gericht die Begründung der Wahl des Erwerbers in Bezug auf die verschiedenen Kategorien von Arbeitnehmern. In Ermangelung einer angemessenen Begründung kann das Gericht die Übertragung ablehnen.]</w:t>
      </w:r>
    </w:p>
    <w:p w14:paraId="3E9827E2" w14:textId="77777777" w:rsidR="009602AB" w:rsidRPr="004676F5" w:rsidRDefault="009602AB" w:rsidP="00EE35E2">
      <w:pPr>
        <w:ind w:firstLine="708"/>
        <w:jc w:val="both"/>
        <w:rPr>
          <w:lang w:val="de-DE"/>
        </w:rPr>
      </w:pPr>
    </w:p>
    <w:p w14:paraId="0A3FBF84" w14:textId="2A34972B" w:rsidR="00EE35E2" w:rsidRPr="004676F5" w:rsidRDefault="00EE35E2" w:rsidP="00EE35E2">
      <w:pPr>
        <w:ind w:firstLine="708"/>
        <w:jc w:val="both"/>
        <w:rPr>
          <w:lang w:val="de-DE"/>
        </w:rPr>
      </w:pPr>
      <w:r w:rsidRPr="004676F5">
        <w:rPr>
          <w:lang w:val="de-DE"/>
        </w:rPr>
        <w:t>Insbesondere dürfen Arbeitnehmervertreter im übertragenen Unternehmen oder übertragenen Teil des Unternehmens nicht allein aufgrund der Tätigkeit, die sie als Arbeitnehmervertreter im übertragenen Unternehmen oder übertragenen Teil des Unternehmens ausüben, unterschiedlich behandelt werden.</w:t>
      </w:r>
    </w:p>
    <w:p w14:paraId="4AA2CF71" w14:textId="77777777" w:rsidR="00EE35E2" w:rsidRPr="004676F5" w:rsidRDefault="00EE35E2" w:rsidP="00EE35E2">
      <w:pPr>
        <w:ind w:firstLine="708"/>
        <w:jc w:val="both"/>
        <w:rPr>
          <w:lang w:val="de-DE"/>
        </w:rPr>
      </w:pPr>
    </w:p>
    <w:p w14:paraId="62FD0D7F" w14:textId="77777777" w:rsidR="00EE35E2" w:rsidRPr="004676F5" w:rsidRDefault="00EE35E2" w:rsidP="00EE35E2">
      <w:pPr>
        <w:ind w:firstLine="708"/>
        <w:jc w:val="both"/>
        <w:rPr>
          <w:lang w:val="de-DE"/>
        </w:rPr>
      </w:pPr>
      <w:r w:rsidRPr="004676F5">
        <w:rPr>
          <w:lang w:val="de-DE"/>
        </w:rPr>
        <w:t>Dass keine verbotene Unterscheidung gemacht wird, gilt bis zum Gegenbeweis als erwiesen, wenn das vor der Übertragung unter der Autorität des Gerichts bestehende Verhältnis zwischen Arbeitnehmern, die im übertragenen Unternehmen oder übertragenen Teil des Unternehmens beschäftigt sind, und ihren Vertretern in den Organen dieses Unternehmens oder Teils des Unternehmens nach der Übertragung gleich bleibt.</w:t>
      </w:r>
    </w:p>
    <w:p w14:paraId="20FBAD1C" w14:textId="77777777" w:rsidR="00EE35E2" w:rsidRPr="004676F5" w:rsidRDefault="00EE35E2" w:rsidP="00EE35E2">
      <w:pPr>
        <w:ind w:firstLine="708"/>
        <w:jc w:val="both"/>
        <w:rPr>
          <w:lang w:val="de-DE"/>
        </w:rPr>
      </w:pPr>
    </w:p>
    <w:p w14:paraId="722CDB31" w14:textId="7E85DAB0"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In dem in § 1 erwähnten kollektiven Arbeitsabkommen kann es dem Erwerber und den übernommenen Arbeitnehmern gestattet werden, zum Zeitpunkt der Übertragung unter der Autorität des Gerichts Einzelarbeitsverträge zu ändern, sofern diese Änderungen hauptsächlich aus technischen, wirtschaftlichen oder organisatorischen Gründen erfolgen.</w:t>
      </w:r>
    </w:p>
    <w:p w14:paraId="3DE1E6B4" w14:textId="77777777" w:rsidR="00EE35E2" w:rsidRPr="004676F5" w:rsidRDefault="00EE35E2" w:rsidP="00EE35E2">
      <w:pPr>
        <w:ind w:firstLine="708"/>
        <w:jc w:val="both"/>
        <w:rPr>
          <w:lang w:val="de-DE"/>
        </w:rPr>
      </w:pPr>
    </w:p>
    <w:p w14:paraId="7EF3B971" w14:textId="37FFD8BF" w:rsidR="009602AB" w:rsidRPr="004676F5" w:rsidRDefault="009602AB" w:rsidP="00EE35E2">
      <w:pPr>
        <w:ind w:firstLine="708"/>
        <w:jc w:val="both"/>
        <w:rPr>
          <w:lang w:val="de-DE"/>
        </w:rPr>
      </w:pPr>
      <w:r w:rsidRPr="004676F5">
        <w:rPr>
          <w:lang w:val="de-DE"/>
        </w:rPr>
        <w:lastRenderedPageBreak/>
        <w:t>[§ 4/1 - Wenn das Angebot von einer in Artikel XX.87 § 2 erwähnten Person ausgeht, weist der Erwerber in seinem Angebot auf diese Tatsache hin.]</w:t>
      </w:r>
    </w:p>
    <w:p w14:paraId="1FD1B9A5" w14:textId="77777777" w:rsidR="009602AB" w:rsidRPr="004676F5" w:rsidRDefault="009602AB" w:rsidP="00EE35E2">
      <w:pPr>
        <w:ind w:firstLine="708"/>
        <w:jc w:val="both"/>
        <w:rPr>
          <w:lang w:val="de-DE"/>
        </w:rPr>
      </w:pPr>
    </w:p>
    <w:p w14:paraId="1E5C63A1" w14:textId="793A5CF8"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 xml:space="preserve">Der Erwerber, der Schuldner oder </w:t>
      </w:r>
      <w:r w:rsidR="009602AB" w:rsidRPr="004676F5">
        <w:rPr>
          <w:lang w:val="de-DE"/>
        </w:rPr>
        <w:t xml:space="preserve">[der Liquidationsbearbeiter] </w:t>
      </w:r>
      <w:r w:rsidRPr="004676F5">
        <w:rPr>
          <w:lang w:val="de-DE"/>
        </w:rPr>
        <w:t>kann durch eine an das Arbeitsgericht des Gesellschaftssitzes oder der Hauptniederlassung des Schuldners gerichtete Antragschrift die Homologierung des in § 2 Nr. 5 erwähnten Vertrags über die geplante Übertragung beantragen.</w:t>
      </w:r>
    </w:p>
    <w:p w14:paraId="5966E1F7" w14:textId="77777777" w:rsidR="00EE35E2" w:rsidRPr="004676F5" w:rsidRDefault="00EE35E2" w:rsidP="00EE35E2">
      <w:pPr>
        <w:ind w:firstLine="708"/>
        <w:jc w:val="both"/>
        <w:rPr>
          <w:lang w:val="de-DE"/>
        </w:rPr>
      </w:pPr>
    </w:p>
    <w:p w14:paraId="5AF7AFB3" w14:textId="77777777" w:rsidR="00EE35E2" w:rsidRPr="004676F5" w:rsidRDefault="00EE35E2" w:rsidP="00EE35E2">
      <w:pPr>
        <w:ind w:firstLine="708"/>
        <w:jc w:val="both"/>
        <w:rPr>
          <w:lang w:val="de-DE"/>
        </w:rPr>
      </w:pPr>
      <w:r w:rsidRPr="004676F5">
        <w:rPr>
          <w:lang w:val="de-DE"/>
        </w:rPr>
        <w:t>Das Arbeitsgericht überprüft, ob die gesetzlichen Bedingungen von den unterzeich</w:t>
      </w:r>
      <w:r w:rsidRPr="004676F5">
        <w:rPr>
          <w:lang w:val="de-DE"/>
        </w:rPr>
        <w:softHyphen/>
        <w:t>nenden Parteien erfüllt worden sind und die öffentliche Ordnung aufrechterhalten worden ist.</w:t>
      </w:r>
    </w:p>
    <w:p w14:paraId="6B1C403D" w14:textId="77777777" w:rsidR="00EE35E2" w:rsidRPr="004676F5" w:rsidRDefault="00EE35E2" w:rsidP="00EE35E2">
      <w:pPr>
        <w:ind w:firstLine="708"/>
        <w:jc w:val="both"/>
        <w:rPr>
          <w:lang w:val="de-DE"/>
        </w:rPr>
      </w:pPr>
    </w:p>
    <w:p w14:paraId="35D958AD" w14:textId="77777777" w:rsidR="00EE35E2" w:rsidRPr="004676F5" w:rsidRDefault="00EE35E2" w:rsidP="00EE35E2">
      <w:pPr>
        <w:ind w:firstLine="708"/>
        <w:jc w:val="both"/>
        <w:rPr>
          <w:lang w:val="de-DE"/>
        </w:rPr>
      </w:pPr>
      <w:r w:rsidRPr="004676F5">
        <w:rPr>
          <w:lang w:val="de-DE"/>
        </w:rPr>
        <w:t>Das Gericht entscheidet nach Vernehmung der Vertreter der Arbeitnehmer und des Antragstellers in äußerster Dringlichkeit.</w:t>
      </w:r>
    </w:p>
    <w:p w14:paraId="6E2BA9B4" w14:textId="77777777" w:rsidR="00EE35E2" w:rsidRPr="004676F5" w:rsidRDefault="00EE35E2" w:rsidP="00EE35E2">
      <w:pPr>
        <w:ind w:firstLine="708"/>
        <w:jc w:val="both"/>
        <w:rPr>
          <w:lang w:val="de-DE"/>
        </w:rPr>
      </w:pPr>
    </w:p>
    <w:p w14:paraId="1C1A5BD3" w14:textId="028FF99E" w:rsidR="00EE35E2" w:rsidRPr="004676F5" w:rsidRDefault="00EE35E2" w:rsidP="00EE35E2">
      <w:pPr>
        <w:ind w:firstLine="708"/>
        <w:jc w:val="both"/>
        <w:rPr>
          <w:lang w:val="de-DE"/>
        </w:rPr>
      </w:pPr>
      <w:r w:rsidRPr="004676F5">
        <w:rPr>
          <w:lang w:val="de-DE"/>
        </w:rPr>
        <w:t>§ 6 </w:t>
      </w:r>
      <w:r w:rsidR="005B7A5C" w:rsidRPr="004676F5">
        <w:rPr>
          <w:lang w:val="de-DE"/>
        </w:rPr>
        <w:t>- </w:t>
      </w:r>
      <w:r w:rsidRPr="004676F5">
        <w:rPr>
          <w:lang w:val="de-DE"/>
        </w:rPr>
        <w:t>Wird die Homologierung erteilt, ist der Erwerber nur an die Schulden und Verpflichtungen gebunden, die in dem Vertrag, dessen Homologierung beantragt wird, enthalten sind. Die Umsetzung von Änderungen an den Arbeitsbedingungen, die kollektiv beschlossen worden sind oder kollektiv angewandt werden, ist an die aufschiebende Bedingung geknüpft, dass ein kollektives Arbeitsabkommen abgeschlossen wird, in dem der diesbezügliche Wortlaut wiedergegeben ist.</w:t>
      </w:r>
    </w:p>
    <w:p w14:paraId="3A4163D4" w14:textId="77777777" w:rsidR="00EE35E2" w:rsidRPr="004676F5" w:rsidRDefault="00EE35E2" w:rsidP="009602AB">
      <w:pPr>
        <w:jc w:val="both"/>
        <w:rPr>
          <w:lang w:val="de-DE"/>
        </w:rPr>
      </w:pPr>
    </w:p>
    <w:p w14:paraId="3DCA0E46" w14:textId="60B0A100" w:rsidR="009602AB" w:rsidRPr="004676F5" w:rsidRDefault="009602AB" w:rsidP="009602AB">
      <w:pPr>
        <w:jc w:val="both"/>
        <w:rPr>
          <w:i/>
          <w:iCs/>
          <w:lang w:val="de-DE"/>
        </w:rPr>
      </w:pPr>
      <w:r w:rsidRPr="004676F5">
        <w:rPr>
          <w:i/>
          <w:iCs/>
          <w:lang w:val="de-DE"/>
        </w:rPr>
        <w:t>[Art. XX.86 § 2 einziger Absatz Nr. 2 abgeändert durch Art. 183 Nr. 3 des G. vom 7. Juni 2023 (B.S. vom 7. Juli 2023); § 2 einziger Absatz Nr. 5 abgeändert durch Art. 183 Nr. 5 des G. vom 7. Juni 2023 (B.S. vom 7. Juli 2023); § 3 neuer Absatz 3 eingefügt durch Art. 183 Nr. 6 des G. vom 7. Juni 2023 (B.S. vom 7. Juli 2023); § 4/1 eingefügt durch Art. 183 Nr. 9 des G. vom 7. Juni 2023 (B.S. vom 7. Juli 2023); § 5 Abs. 1 abgeändert durch Art. 183 Nr. 10 des G. vom 7. Juni 2023 (B.S. vom 7. Juli 2023)]</w:t>
      </w:r>
    </w:p>
    <w:p w14:paraId="7CBC88F3" w14:textId="77777777" w:rsidR="009602AB" w:rsidRPr="004676F5" w:rsidRDefault="009602AB" w:rsidP="009602AB">
      <w:pPr>
        <w:jc w:val="both"/>
        <w:rPr>
          <w:i/>
          <w:iCs/>
          <w:lang w:val="de-DE"/>
        </w:rPr>
      </w:pPr>
    </w:p>
    <w:p w14:paraId="799F7C00" w14:textId="77777777" w:rsidR="00D11212" w:rsidRPr="004676F5" w:rsidRDefault="00D11212" w:rsidP="00EE35E2">
      <w:pPr>
        <w:ind w:firstLine="708"/>
        <w:jc w:val="both"/>
        <w:rPr>
          <w:lang w:val="de-DE"/>
        </w:rPr>
      </w:pPr>
    </w:p>
    <w:p w14:paraId="766510D8" w14:textId="29EEF7A1" w:rsidR="00EE35E2" w:rsidRPr="004676F5" w:rsidRDefault="00BE0A56" w:rsidP="00EE35E2">
      <w:pPr>
        <w:ind w:firstLine="708"/>
        <w:jc w:val="both"/>
        <w:rPr>
          <w:lang w:val="de-DE"/>
        </w:rPr>
      </w:pPr>
      <w:r w:rsidRPr="004676F5">
        <w:rPr>
          <w:b/>
          <w:lang w:val="de-DE"/>
        </w:rPr>
        <w:t>Art. </w:t>
      </w:r>
      <w:r w:rsidR="00EE35E2" w:rsidRPr="004676F5">
        <w:rPr>
          <w:b/>
          <w:lang w:val="de-DE"/>
        </w:rPr>
        <w:t>XX.87</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9602AB" w:rsidRPr="004676F5">
        <w:rPr>
          <w:lang w:val="de-DE"/>
        </w:rPr>
        <w:t>[Der bestellte Liquidationsbearbeiter organisiert und führt die vom Gericht angeordnete Übertragung durch.]</w:t>
      </w:r>
    </w:p>
    <w:p w14:paraId="1E44309F" w14:textId="77777777" w:rsidR="00EE35E2" w:rsidRPr="004676F5" w:rsidRDefault="00EE35E2" w:rsidP="00EE35E2">
      <w:pPr>
        <w:ind w:firstLine="708"/>
        <w:jc w:val="both"/>
        <w:rPr>
          <w:lang w:val="de-DE"/>
        </w:rPr>
      </w:pPr>
    </w:p>
    <w:p w14:paraId="390A0ADF" w14:textId="77777777" w:rsidR="00EE35E2" w:rsidRPr="004676F5" w:rsidRDefault="00EE35E2" w:rsidP="00EE35E2">
      <w:pPr>
        <w:ind w:firstLine="708"/>
        <w:jc w:val="both"/>
        <w:rPr>
          <w:lang w:val="de-DE"/>
        </w:rPr>
      </w:pPr>
      <w:r w:rsidRPr="004676F5">
        <w:rPr>
          <w:lang w:val="de-DE"/>
        </w:rPr>
        <w:t>Er sucht und holt Angebote ein und achtet vorrangig auf die Aufrechterhaltung der Gesamtheit oder eines Teils der Tätigkeit des Unternehmens unter Berücksichtigung der Rechte der Gläubiger.</w:t>
      </w:r>
    </w:p>
    <w:p w14:paraId="514FCEF3" w14:textId="77777777" w:rsidR="00EE35E2" w:rsidRPr="004676F5" w:rsidRDefault="00EE35E2" w:rsidP="00EE35E2">
      <w:pPr>
        <w:ind w:firstLine="708"/>
        <w:jc w:val="both"/>
        <w:rPr>
          <w:lang w:val="de-DE"/>
        </w:rPr>
      </w:pPr>
    </w:p>
    <w:p w14:paraId="7DC3141E" w14:textId="77777777" w:rsidR="00EE35E2" w:rsidRPr="004676F5" w:rsidRDefault="00EE35E2" w:rsidP="00EE35E2">
      <w:pPr>
        <w:ind w:firstLine="708"/>
        <w:jc w:val="both"/>
        <w:rPr>
          <w:lang w:val="de-DE"/>
        </w:rPr>
      </w:pPr>
      <w:r w:rsidRPr="004676F5">
        <w:rPr>
          <w:lang w:val="de-DE"/>
        </w:rPr>
        <w:t>Er führt den Verkauf oder die Übertragung wahlweise öffentlich oder freihändig durch; in letzterem Fall bestimmt er in seinem Angebotsaufruf das Verfahren, das die Bieter befolgen müssen. Er legt insbesondere die äußerste Frist für die Übermittlung der Angebote fest, nach deren Verstreichen kein neues Angebot mehr berücksichtigt werden kann. Wenn er beabsichtigt, den anderen Bietern ein Angebot mitzuteilen, um ein oder mehrere Übergebote zu bewirken, erwähnt er dies und verdeutlicht, wie diese Übergebote organisiert werden. Er gibt gegebenenfalls an, welche Sicherheiten in Bezug auf Beschäftigung und Zahlung des Verkaufspreises und welche Finanzprojekte oder -pläne für das Unternehmen mitgeteilt werden müssen. Damit ein Angebot berücksichtigt werden kann, muss der gebotene Preis für die Gesamtheit der verkauften oder übertragenen Aktiva dem vermutlichen Wert der Zwangsverwertung bei Konkurs oder Liquidation entsprechen oder diesen Wert übersteigen.</w:t>
      </w:r>
    </w:p>
    <w:p w14:paraId="3FE7CCEB" w14:textId="77777777" w:rsidR="00EE35E2" w:rsidRPr="004676F5" w:rsidRDefault="00EE35E2" w:rsidP="00EE35E2">
      <w:pPr>
        <w:ind w:firstLine="708"/>
        <w:jc w:val="both"/>
        <w:rPr>
          <w:lang w:val="de-DE"/>
        </w:rPr>
      </w:pPr>
    </w:p>
    <w:p w14:paraId="3AAD1D53" w14:textId="72ED7520"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Wenn ein Angebot von Personen ausgeht, die in den letzten sechs Monaten vor Eröffnung des Verfahrens die Kontrolle über das Unternehmen ausüben oder ausgeübt haben </w:t>
      </w:r>
      <w:r w:rsidRPr="004676F5">
        <w:rPr>
          <w:lang w:val="de-DE"/>
        </w:rPr>
        <w:lastRenderedPageBreak/>
        <w:t>und gleichzeitig direkt oder indirekt die Kontrolle über Rechte ausüben, die für die Fortführung der Tätigkeiten des Unternehmens notwendig sind, kann dieses Angebot nur berücksichtigt werden unter der Voraussetzung, dass diese Rechte den anderen Bietern unter denselben Bedingungen zugänglich sind.</w:t>
      </w:r>
    </w:p>
    <w:p w14:paraId="1E4ADDB5" w14:textId="77777777" w:rsidR="00EE35E2" w:rsidRPr="004676F5" w:rsidRDefault="00EE35E2" w:rsidP="00EE35E2">
      <w:pPr>
        <w:ind w:firstLine="708"/>
        <w:jc w:val="both"/>
        <w:rPr>
          <w:lang w:val="de-DE"/>
        </w:rPr>
      </w:pPr>
    </w:p>
    <w:p w14:paraId="39283974" w14:textId="671C4649"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Ein sich bewerbender Bieter kann einen oder mehrere laufende Verträge angeben, die nicht intuitu personae zwischen dem Schuldner und einem oder mehreren Vertragspartnern abgeschlossen wurden und die er einschließlich ausstehender Schulden vollständig übernehmen möchte, wenn sein Angebot angenommen wird. Wenn in diesem Fall der Verkauf gemäß Artikel XX.90 erfolgt, tritt der betreffende Bieter für den oder die angegebenen Verträge von Rechts wegen in die Rechte des Schuldners ein, ohne dass der Vertragspartner dazu seine Einwilligung zu geben hat. Ausstehende Schulden in Bezug auf die auf diese Weise angegebenen Verträge, die vom Erwerber getragen werden, werden nicht als Bestandteil des in § 1 Absatz 3 erwähnten Preises angesehen.</w:t>
      </w:r>
    </w:p>
    <w:p w14:paraId="5730E2AB" w14:textId="77777777" w:rsidR="00EE35E2" w:rsidRPr="004676F5" w:rsidRDefault="00EE35E2" w:rsidP="00EE35E2">
      <w:pPr>
        <w:ind w:firstLine="708"/>
        <w:jc w:val="both"/>
        <w:rPr>
          <w:lang w:val="de-DE"/>
        </w:rPr>
      </w:pPr>
    </w:p>
    <w:p w14:paraId="0974978F" w14:textId="396186C9" w:rsidR="00EE35E2" w:rsidRPr="004676F5" w:rsidRDefault="00EE35E2" w:rsidP="00EE35E2">
      <w:pPr>
        <w:ind w:firstLine="708"/>
        <w:jc w:val="both"/>
        <w:rPr>
          <w:lang w:val="de-DE"/>
        </w:rPr>
      </w:pPr>
      <w:r w:rsidRPr="004676F5">
        <w:rPr>
          <w:lang w:val="de-DE"/>
        </w:rPr>
        <w:t>§ 4 </w:t>
      </w:r>
      <w:r w:rsidR="005B7A5C" w:rsidRPr="004676F5">
        <w:rPr>
          <w:lang w:val="de-DE"/>
        </w:rPr>
        <w:t>- </w:t>
      </w:r>
      <w:r w:rsidR="009602AB" w:rsidRPr="004676F5">
        <w:rPr>
          <w:lang w:val="de-DE"/>
        </w:rPr>
        <w:t>[Der bestellte Liquidationsbearbeiter]</w:t>
      </w:r>
      <w:r w:rsidRPr="004676F5">
        <w:rPr>
          <w:lang w:val="de-DE"/>
        </w:rPr>
        <w:t xml:space="preserve"> arbeitet ein oder mehrere Entwürfe für gleichzeitige oder aufeinanderfolgende Verkäufe aus, in denen er die von ihm unternommenen Schritte, die Bedingungen des geplanten Verkaufs und die Begründung seiner Entwürfe darlegt; für jeden Verkauf fügt er einen Vertragsentwurf bei.</w:t>
      </w:r>
    </w:p>
    <w:p w14:paraId="58E70FD5" w14:textId="77777777" w:rsidR="00EE35E2" w:rsidRPr="004676F5" w:rsidRDefault="00EE35E2" w:rsidP="00EE35E2">
      <w:pPr>
        <w:ind w:firstLine="708"/>
        <w:jc w:val="both"/>
        <w:rPr>
          <w:lang w:val="de-DE"/>
        </w:rPr>
      </w:pPr>
    </w:p>
    <w:p w14:paraId="335731C6" w14:textId="77777777" w:rsidR="00EE35E2" w:rsidRPr="004676F5" w:rsidRDefault="00EE35E2" w:rsidP="00EE35E2">
      <w:pPr>
        <w:ind w:firstLine="708"/>
        <w:jc w:val="both"/>
        <w:rPr>
          <w:lang w:val="de-DE"/>
        </w:rPr>
      </w:pPr>
      <w:r w:rsidRPr="004676F5">
        <w:rPr>
          <w:lang w:val="de-DE"/>
        </w:rPr>
        <w:t>Er hinterlegt seine Entwürfe im Register und übermittelt sie darüber hinaus dem beauftragten Richter und dem Schuldner und beantragt beim Gericht per kontradiktorische Antragschrift, die dem Schuldner mindestens acht Tage vor der Sitzung notifiziert wird, die Ermächtigung zur Ausführung des vorgeschlagenen Verkaufs.</w:t>
      </w:r>
    </w:p>
    <w:p w14:paraId="331D5924" w14:textId="77777777" w:rsidR="00EE35E2" w:rsidRPr="004676F5" w:rsidRDefault="00EE35E2" w:rsidP="00EE35E2">
      <w:pPr>
        <w:ind w:firstLine="708"/>
        <w:jc w:val="both"/>
        <w:rPr>
          <w:lang w:val="de-DE"/>
        </w:rPr>
      </w:pPr>
    </w:p>
    <w:p w14:paraId="07F17640" w14:textId="767B7D99"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Angebote oder Angebotsänderungen, die nach diesem Antrag erfolgen, werden vom Gericht nicht berücksichtigt.</w:t>
      </w:r>
    </w:p>
    <w:p w14:paraId="55522341" w14:textId="77777777" w:rsidR="00EE35E2" w:rsidRPr="004676F5" w:rsidRDefault="00EE35E2" w:rsidP="009602AB">
      <w:pPr>
        <w:jc w:val="both"/>
        <w:rPr>
          <w:lang w:val="de-DE"/>
        </w:rPr>
      </w:pPr>
    </w:p>
    <w:p w14:paraId="6167DF9C" w14:textId="3896F393" w:rsidR="009602AB" w:rsidRPr="004676F5" w:rsidRDefault="009602AB" w:rsidP="009602AB">
      <w:pPr>
        <w:jc w:val="both"/>
        <w:rPr>
          <w:i/>
          <w:iCs/>
          <w:lang w:val="de-DE"/>
        </w:rPr>
      </w:pPr>
      <w:r w:rsidRPr="004676F5">
        <w:rPr>
          <w:i/>
          <w:iCs/>
          <w:lang w:val="de-DE"/>
        </w:rPr>
        <w:t>[Art. XX.87 § 1 Abs. 1 ersetzt durch Art. 184 Nr. 1 des G. vom 7. Juni 2023 (B.S. vom 7. Juli 2023); § 4 Abs. 1 abgeändert durch Art. 184 Nr. 2 des G. vom 7. Juni 2023 (B.S. vom 7. Juli 2023)]</w:t>
      </w:r>
    </w:p>
    <w:p w14:paraId="4D704E19" w14:textId="77777777" w:rsidR="009602AB" w:rsidRPr="004676F5" w:rsidRDefault="009602AB" w:rsidP="009602AB">
      <w:pPr>
        <w:jc w:val="both"/>
        <w:rPr>
          <w:i/>
          <w:iCs/>
          <w:lang w:val="de-DE"/>
        </w:rPr>
      </w:pPr>
    </w:p>
    <w:p w14:paraId="4B1F62AF" w14:textId="77777777" w:rsidR="00D11212" w:rsidRPr="004676F5" w:rsidRDefault="00D11212" w:rsidP="00EE35E2">
      <w:pPr>
        <w:ind w:firstLine="708"/>
        <w:jc w:val="both"/>
        <w:rPr>
          <w:lang w:val="de-DE"/>
        </w:rPr>
      </w:pPr>
    </w:p>
    <w:p w14:paraId="0E19A6E6" w14:textId="4660BA28" w:rsidR="00EE35E2" w:rsidRPr="004676F5" w:rsidRDefault="00BE0A56" w:rsidP="00EE35E2">
      <w:pPr>
        <w:ind w:firstLine="708"/>
        <w:jc w:val="both"/>
        <w:rPr>
          <w:lang w:val="de-DE"/>
        </w:rPr>
      </w:pPr>
      <w:r w:rsidRPr="004676F5">
        <w:rPr>
          <w:b/>
          <w:lang w:val="de-DE"/>
        </w:rPr>
        <w:t>Art. </w:t>
      </w:r>
      <w:r w:rsidR="00EE35E2" w:rsidRPr="004676F5">
        <w:rPr>
          <w:b/>
          <w:lang w:val="de-DE"/>
        </w:rPr>
        <w:t>XX.88</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Bezieht der Verkauf sich auf unbewegliche Güter und wird im Entwurf ein öffentlicher Verkauf vorgesehen, wird dieser gemäß Artikel 1193 des Gerichts</w:t>
      </w:r>
      <w:r w:rsidR="00EE35E2" w:rsidRPr="004676F5">
        <w:rPr>
          <w:lang w:val="de-DE"/>
        </w:rPr>
        <w:softHyphen/>
        <w:t>gesetz</w:t>
      </w:r>
      <w:r w:rsidR="00EE35E2" w:rsidRPr="004676F5">
        <w:rPr>
          <w:lang w:val="de-DE"/>
        </w:rPr>
        <w:softHyphen/>
        <w:t>buches von einem vom Gericht bestimmten Notar vorgenommen.</w:t>
      </w:r>
    </w:p>
    <w:p w14:paraId="0924786F" w14:textId="77777777" w:rsidR="00EE35E2" w:rsidRPr="004676F5" w:rsidRDefault="00EE35E2" w:rsidP="00EE35E2">
      <w:pPr>
        <w:ind w:firstLine="708"/>
        <w:jc w:val="both"/>
        <w:rPr>
          <w:lang w:val="de-DE"/>
        </w:rPr>
      </w:pPr>
    </w:p>
    <w:p w14:paraId="572CFA9D" w14:textId="446535FB"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Bezieht der Verkauf sich auf unbewegliche Güter und wählt </w:t>
      </w:r>
      <w:r w:rsidR="000C30C8" w:rsidRPr="004676F5">
        <w:rPr>
          <w:lang w:val="de-DE"/>
        </w:rPr>
        <w:t xml:space="preserve">[der Liquidationsbearbeiter] </w:t>
      </w:r>
      <w:r w:rsidRPr="004676F5">
        <w:rPr>
          <w:lang w:val="de-DE"/>
        </w:rPr>
        <w:t xml:space="preserve">einen freihändigen Verkauf, legt er dem Gericht einen Vertragsentwurf vor, der von einem von ihm bestimmten Notar erstellt wird und legt dem Gericht die Gründe dar, weshalb ein freihändiger Verkauf angezeigt ist. Er fügt ein Schätzgutachten </w:t>
      </w:r>
      <w:r w:rsidR="00185371" w:rsidRPr="004676F5">
        <w:rPr>
          <w:lang w:val="de-DE"/>
        </w:rPr>
        <w:t xml:space="preserve">[des Sachverständigen, der vom Notar, der den Vertragsentwurf erstellt hat, bestimmt worden ist,] </w:t>
      </w:r>
      <w:r w:rsidRPr="004676F5">
        <w:rPr>
          <w:lang w:val="de-DE"/>
        </w:rPr>
        <w:t xml:space="preserve">und eine nach Eröffnung des Reorganisationsverfahrens ausgestellte Bescheinigung </w:t>
      </w:r>
      <w:r w:rsidR="0037746C" w:rsidRPr="004676F5">
        <w:rPr>
          <w:lang w:val="de-DE"/>
        </w:rPr>
        <w:t>[</w:t>
      </w:r>
      <w:r w:rsidR="0037746C" w:rsidRPr="004676F5">
        <w:rPr>
          <w:rFonts w:eastAsia="Calibri"/>
          <w:lang w:val="de-DE"/>
        </w:rPr>
        <w:t>der Generalverwaltung Vermögensdokumentation</w:t>
      </w:r>
      <w:r w:rsidR="0037746C" w:rsidRPr="004676F5">
        <w:rPr>
          <w:lang w:val="de-DE"/>
        </w:rPr>
        <w:t>]</w:t>
      </w:r>
      <w:r w:rsidRPr="004676F5">
        <w:rPr>
          <w:lang w:val="de-DE"/>
        </w:rPr>
        <w:t xml:space="preserve"> bei, in der bestehende Eintragungen und alle Übertragungen von Zahlungsbefehlen oder Pfändungen in Bezug auf diese unbeweglichen Güter angegeben sind. Der Entwurf und seine Anlagen werden im Register hinterlegt.</w:t>
      </w:r>
    </w:p>
    <w:p w14:paraId="73972D07" w14:textId="77777777" w:rsidR="00EE35E2" w:rsidRPr="004676F5" w:rsidRDefault="00EE35E2" w:rsidP="00EE35E2">
      <w:pPr>
        <w:ind w:firstLine="708"/>
        <w:jc w:val="both"/>
        <w:rPr>
          <w:lang w:val="de-DE"/>
        </w:rPr>
      </w:pPr>
    </w:p>
    <w:p w14:paraId="09A75723" w14:textId="3DB47EA2" w:rsidR="00EE35E2" w:rsidRPr="004676F5" w:rsidRDefault="00EE35E2" w:rsidP="00EE35E2">
      <w:pPr>
        <w:ind w:firstLine="708"/>
        <w:jc w:val="both"/>
        <w:rPr>
          <w:lang w:val="de-DE"/>
        </w:rPr>
      </w:pPr>
      <w:r w:rsidRPr="004676F5">
        <w:rPr>
          <w:lang w:val="de-DE"/>
        </w:rPr>
        <w:t>Eingetragene Hypothekengläubiger, eingetragene bevorrechtigte Gläubiger</w:t>
      </w:r>
      <w:r w:rsidR="00185371" w:rsidRPr="004676F5">
        <w:rPr>
          <w:lang w:val="de-DE"/>
        </w:rPr>
        <w:t>[, gegebenenfalls im Pfandregister registrierte Gläubiger, Gläubiger]</w:t>
      </w:r>
      <w:r w:rsidRPr="004676F5">
        <w:rPr>
          <w:lang w:val="de-DE"/>
        </w:rPr>
        <w:t>, die einen Zahlungsbefehl oder eine Pfändungsurkunde haben eintragen lassen</w:t>
      </w:r>
      <w:r w:rsidR="00185371" w:rsidRPr="004676F5">
        <w:rPr>
          <w:lang w:val="de-DE"/>
        </w:rPr>
        <w:t xml:space="preserve"> [und diejenigen, die einen Randvermerk </w:t>
      </w:r>
      <w:r w:rsidR="00185371" w:rsidRPr="004676F5">
        <w:rPr>
          <w:lang w:val="de-DE"/>
        </w:rPr>
        <w:lastRenderedPageBreak/>
        <w:t>einer aufgrund von Artikel 5.243 des Zivilgesetzbuches erhobenen Klage haben machen lassen,]</w:t>
      </w:r>
      <w:r w:rsidRPr="004676F5">
        <w:rPr>
          <w:lang w:val="de-DE"/>
        </w:rPr>
        <w:t xml:space="preserve"> müssen mindestens acht Tage vor der Sitzung per Gerichtsbrief zu dem Ermächtigungs</w:t>
      </w:r>
      <w:r w:rsidRPr="004676F5">
        <w:rPr>
          <w:lang w:val="de-DE"/>
        </w:rPr>
        <w:softHyphen/>
        <w:t>verfahren vorgeladen werden. Sie können vom Gericht verlangen, dass die Ermächtigung zum freihändigen Verkauf an bestimmte Bedingungen wie einen Mindestkaufpreis geknüpft wird.</w:t>
      </w:r>
    </w:p>
    <w:p w14:paraId="73C69B46" w14:textId="77777777" w:rsidR="00EE35E2" w:rsidRPr="004676F5" w:rsidRDefault="00EE35E2" w:rsidP="00EE35E2">
      <w:pPr>
        <w:ind w:firstLine="708"/>
        <w:jc w:val="both"/>
        <w:rPr>
          <w:lang w:val="de-DE"/>
        </w:rPr>
      </w:pPr>
    </w:p>
    <w:p w14:paraId="253FCA29" w14:textId="77777777" w:rsidR="00EE35E2" w:rsidRPr="004676F5" w:rsidRDefault="00EE35E2" w:rsidP="00EE35E2">
      <w:pPr>
        <w:ind w:firstLine="708"/>
        <w:jc w:val="both"/>
        <w:rPr>
          <w:lang w:val="de-DE"/>
        </w:rPr>
      </w:pPr>
      <w:r w:rsidRPr="004676F5">
        <w:rPr>
          <w:lang w:val="de-DE"/>
        </w:rPr>
        <w:t>In allen Fällen muss der Verkauf gemäß dem vom Gericht angenommenen Entwurf durch den Notar, der ihn erstellt hat, erfolgen.</w:t>
      </w:r>
    </w:p>
    <w:p w14:paraId="1B3B58F2" w14:textId="77777777" w:rsidR="00EE35E2" w:rsidRPr="004676F5" w:rsidRDefault="00EE35E2" w:rsidP="00EE35E2">
      <w:pPr>
        <w:ind w:firstLine="708"/>
        <w:jc w:val="both"/>
        <w:rPr>
          <w:lang w:val="de-DE"/>
        </w:rPr>
      </w:pPr>
    </w:p>
    <w:p w14:paraId="4ECFEB6B" w14:textId="3C50CEDB"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 xml:space="preserve">Gehören unbewegliche Güter in Miteigentum dem Schuldner und anderen Personen, kann das Gericht auf Antrag </w:t>
      </w:r>
      <w:r w:rsidR="000C30C8" w:rsidRPr="004676F5">
        <w:rPr>
          <w:lang w:val="de-DE"/>
        </w:rPr>
        <w:t xml:space="preserve">[des Liquidationsbearbeiters] </w:t>
      </w:r>
      <w:r w:rsidRPr="004676F5">
        <w:rPr>
          <w:lang w:val="de-DE"/>
        </w:rPr>
        <w:t>den Verkauf der ungeteilten unbeweglichen Güter anordnen. Eingetragene Hypothekengläubiger, eingetragene bevorrechtigte Gläubiger</w:t>
      </w:r>
      <w:r w:rsidR="00185371" w:rsidRPr="004676F5">
        <w:rPr>
          <w:lang w:val="de-DE"/>
        </w:rPr>
        <w:t>[, gegebenenfalls im Pfandregister registrierte Gläubiger, Gläubiger]</w:t>
      </w:r>
      <w:r w:rsidRPr="004676F5">
        <w:rPr>
          <w:lang w:val="de-DE"/>
        </w:rPr>
        <w:t xml:space="preserve">, die einen Zahlungsbefehl oder eine Pfändungsurkunde haben eintragen lassen, </w:t>
      </w:r>
      <w:r w:rsidR="00185371" w:rsidRPr="004676F5">
        <w:rPr>
          <w:lang w:val="de-DE"/>
        </w:rPr>
        <w:t>[</w:t>
      </w:r>
      <w:r w:rsidR="000A092E" w:rsidRPr="004676F5">
        <w:rPr>
          <w:lang w:val="de-DE"/>
        </w:rPr>
        <w:t>und diejenigen, die einen Randvermerk einer aufgrund von Artikel 5.243 des Zivilgesetzbuches erhobenen Klage haben machen lassen, sowie der Schuldner</w:t>
      </w:r>
      <w:r w:rsidR="00185371" w:rsidRPr="004676F5">
        <w:rPr>
          <w:lang w:val="de-DE"/>
        </w:rPr>
        <w:t>]</w:t>
      </w:r>
      <w:r w:rsidRPr="004676F5">
        <w:rPr>
          <w:lang w:val="de-DE"/>
        </w:rPr>
        <w:t xml:space="preserve"> und die anderen Miteigentümer müssen mindestens acht Tage vor der Sitzung per Gerichtsbrief zu dem Ermächtigungsverfahren vorgeladen werden. In diesem Fall erfolgt der Verkauf auf Antrag </w:t>
      </w:r>
      <w:r w:rsidR="000C30C8" w:rsidRPr="004676F5">
        <w:rPr>
          <w:lang w:val="de-DE"/>
        </w:rPr>
        <w:t xml:space="preserve">[des Liquidationsbearbeiters] </w:t>
      </w:r>
      <w:r w:rsidRPr="004676F5">
        <w:rPr>
          <w:lang w:val="de-DE"/>
        </w:rPr>
        <w:t>allein.</w:t>
      </w:r>
    </w:p>
    <w:p w14:paraId="198747DB" w14:textId="77777777" w:rsidR="00EE35E2" w:rsidRPr="004676F5" w:rsidRDefault="00EE35E2" w:rsidP="00EE35E2">
      <w:pPr>
        <w:ind w:firstLine="708"/>
        <w:jc w:val="both"/>
        <w:rPr>
          <w:lang w:val="de-DE"/>
        </w:rPr>
      </w:pPr>
    </w:p>
    <w:p w14:paraId="75DC6A2E" w14:textId="2D0B5C0F" w:rsidR="00EE35E2" w:rsidRPr="004676F5" w:rsidRDefault="00EE35E2" w:rsidP="00EE35E2">
      <w:pPr>
        <w:ind w:firstLine="708"/>
        <w:jc w:val="both"/>
        <w:rPr>
          <w:lang w:val="de-DE"/>
        </w:rPr>
      </w:pPr>
      <w:r w:rsidRPr="004676F5">
        <w:rPr>
          <w:lang w:val="de-DE"/>
        </w:rPr>
        <w:t xml:space="preserve">Bei Einverständnis aller Miteigentümer in Bezug auf den Verkauf des ungeteilten unbeweglichen Guts kann das Gericht auf gemeinsamen Antrag </w:t>
      </w:r>
      <w:r w:rsidR="000C30C8" w:rsidRPr="004676F5">
        <w:rPr>
          <w:lang w:val="de-DE"/>
        </w:rPr>
        <w:t xml:space="preserve">[des Liquidationsbearbeiters] </w:t>
      </w:r>
      <w:r w:rsidRPr="004676F5">
        <w:rPr>
          <w:lang w:val="de-DE"/>
        </w:rPr>
        <w:t>und der anderen Miteigentümer die Ermächtigung zu diesem Verkauf erteilen, nachdem die eingetragenen Hypothekengläubiger, die eingetragenen bevorrechtigten Gläubiger</w:t>
      </w:r>
      <w:r w:rsidR="000A092E" w:rsidRPr="004676F5">
        <w:rPr>
          <w:lang w:val="de-DE"/>
        </w:rPr>
        <w:t>[, gegebenenfalls die im Pfandregister registrierten Gläubiger, die Gläubiger]</w:t>
      </w:r>
      <w:r w:rsidRPr="004676F5">
        <w:rPr>
          <w:lang w:val="de-DE"/>
        </w:rPr>
        <w:t xml:space="preserve">, die einen Zahlungsbefehl oder eine Pfändungsurkunde haben eintragen lassen, </w:t>
      </w:r>
      <w:r w:rsidR="000A092E" w:rsidRPr="004676F5">
        <w:rPr>
          <w:lang w:val="de-DE"/>
        </w:rPr>
        <w:t>[und diejenigen, die einen Randvermerk einer aufgrund von Artikel 5.243 des Zivilgesetzbuches erhobenen Klage haben machen lassen, sowie der Schuldner]</w:t>
      </w:r>
      <w:r w:rsidRPr="004676F5">
        <w:rPr>
          <w:lang w:val="de-DE"/>
        </w:rPr>
        <w:t xml:space="preserve"> mindestens acht Tage vor der Sitzung per Gerichtsbrief vorgeladen worden sind.</w:t>
      </w:r>
    </w:p>
    <w:p w14:paraId="23E26DCF" w14:textId="77777777" w:rsidR="00EE35E2" w:rsidRPr="004676F5" w:rsidRDefault="00EE35E2" w:rsidP="00EE35E2">
      <w:pPr>
        <w:ind w:firstLine="708"/>
        <w:jc w:val="both"/>
        <w:rPr>
          <w:lang w:val="de-DE"/>
        </w:rPr>
      </w:pPr>
    </w:p>
    <w:p w14:paraId="409B64DB" w14:textId="12FCFC02"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Bezieht der Verkauf sich auf bewegliche Güter einschließlich eines Geschäftsfonds und wählt </w:t>
      </w:r>
      <w:r w:rsidR="000C30C8" w:rsidRPr="004676F5">
        <w:rPr>
          <w:lang w:val="de-DE"/>
        </w:rPr>
        <w:t xml:space="preserve">[der Liquidationsbearbeiter] </w:t>
      </w:r>
      <w:r w:rsidRPr="004676F5">
        <w:rPr>
          <w:lang w:val="de-DE"/>
        </w:rPr>
        <w:t>einen freihändigen Verkauf, müssen Gläubiger, die ihre Sicherheiten haben eintragen oder registrieren lassen, mindestens acht Tage vor der Sitzung per Gerichtsbrief zu dem Ermächtigungsverfahren vorgeladen werden. Sie können vom Gericht verlangen, dass die Ermächtigung zum freihändigen Verkauf an bestimmte Bedingungen wie einen Mindestkaufpreis geknüpft wird.</w:t>
      </w:r>
    </w:p>
    <w:p w14:paraId="24790A6A" w14:textId="77777777" w:rsidR="00EE35E2" w:rsidRPr="004676F5" w:rsidRDefault="00EE35E2" w:rsidP="00EE35E2">
      <w:pPr>
        <w:ind w:firstLine="708"/>
        <w:jc w:val="both"/>
        <w:rPr>
          <w:lang w:val="de-DE"/>
        </w:rPr>
      </w:pPr>
    </w:p>
    <w:p w14:paraId="52914AB7" w14:textId="40AA5E59"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In allen Fällen wird im Urteil die Identität der ordnungsgemäß vorgeladenen Gläubiger und Miteigentümer vermerkt.</w:t>
      </w:r>
    </w:p>
    <w:p w14:paraId="2AEC2FE4" w14:textId="77777777" w:rsidR="00EE35E2" w:rsidRPr="004676F5" w:rsidRDefault="00EE35E2" w:rsidP="0037746C">
      <w:pPr>
        <w:jc w:val="both"/>
        <w:rPr>
          <w:lang w:val="de-DE"/>
        </w:rPr>
      </w:pPr>
    </w:p>
    <w:p w14:paraId="41F5F666" w14:textId="3A3CE9A4" w:rsidR="0037746C" w:rsidRPr="004676F5" w:rsidRDefault="0037746C" w:rsidP="0037746C">
      <w:pPr>
        <w:jc w:val="both"/>
        <w:rPr>
          <w:i/>
          <w:lang w:val="de-DE"/>
        </w:rPr>
      </w:pPr>
      <w:r w:rsidRPr="004676F5">
        <w:rPr>
          <w:i/>
          <w:lang w:val="de-DE"/>
        </w:rPr>
        <w:t>[</w:t>
      </w:r>
      <w:r w:rsidR="00BE0A56" w:rsidRPr="004676F5">
        <w:rPr>
          <w:i/>
          <w:lang w:val="de-DE"/>
        </w:rPr>
        <w:t>Art. </w:t>
      </w:r>
      <w:r w:rsidRPr="004676F5">
        <w:rPr>
          <w:i/>
          <w:lang w:val="de-DE"/>
        </w:rPr>
        <w:t xml:space="preserve">XX.88 § 2 Abs. 1 abgeändert durch </w:t>
      </w:r>
      <w:r w:rsidR="00BE0A56" w:rsidRPr="004676F5">
        <w:rPr>
          <w:i/>
          <w:lang w:val="de-DE"/>
        </w:rPr>
        <w:t>Art. </w:t>
      </w:r>
      <w:r w:rsidRPr="004676F5">
        <w:rPr>
          <w:i/>
          <w:lang w:val="de-DE"/>
        </w:rPr>
        <w:t>129 des G. vom 11. Juli 2018 (B.S. vom 20. Juli 2018</w:t>
      </w:r>
      <w:r w:rsidR="000C30C8" w:rsidRPr="004676F5">
        <w:rPr>
          <w:i/>
          <w:lang w:val="de-DE"/>
        </w:rPr>
        <w:t>)</w:t>
      </w:r>
      <w:r w:rsidR="000A092E" w:rsidRPr="004676F5">
        <w:rPr>
          <w:i/>
          <w:lang w:val="de-DE"/>
        </w:rPr>
        <w:t>,</w:t>
      </w:r>
      <w:r w:rsidR="000C30C8" w:rsidRPr="004676F5">
        <w:rPr>
          <w:i/>
          <w:lang w:val="de-DE"/>
        </w:rPr>
        <w:t xml:space="preserve"> Art. 185</w:t>
      </w:r>
      <w:r w:rsidR="000C30C8" w:rsidRPr="004676F5">
        <w:rPr>
          <w:i/>
          <w:iCs/>
          <w:lang w:val="de-DE"/>
        </w:rPr>
        <w:t xml:space="preserve"> des G. vom 7. Juni 2023 (B.S. vom 7. Juli 2023)</w:t>
      </w:r>
      <w:r w:rsidR="000A092E" w:rsidRPr="004676F5">
        <w:rPr>
          <w:i/>
          <w:iCs/>
          <w:lang w:val="de-DE"/>
        </w:rPr>
        <w:t xml:space="preserve"> und Art. 79 Nr. 1 des G. vom 19. Dezember 2023 (B.S. vom 27. Dezember 2023)</w:t>
      </w:r>
      <w:r w:rsidR="000C30C8" w:rsidRPr="004676F5">
        <w:rPr>
          <w:i/>
          <w:iCs/>
          <w:lang w:val="de-DE"/>
        </w:rPr>
        <w:t xml:space="preserve">; </w:t>
      </w:r>
      <w:r w:rsidR="000A092E" w:rsidRPr="004676F5">
        <w:rPr>
          <w:i/>
          <w:iCs/>
          <w:lang w:val="de-DE"/>
        </w:rPr>
        <w:t xml:space="preserve">§ 2 Abs. 2 abgeändert durch Art. 79 Nr. 2 und 3 des G. vom 19. Dezember 2023 (B.S. vom 27. Dezember 2023); </w:t>
      </w:r>
      <w:r w:rsidR="000C30C8" w:rsidRPr="004676F5">
        <w:rPr>
          <w:i/>
          <w:iCs/>
          <w:lang w:val="de-DE"/>
        </w:rPr>
        <w:t xml:space="preserve">§ 3 Abs. 1 </w:t>
      </w:r>
      <w:r w:rsidR="000A092E" w:rsidRPr="004676F5">
        <w:rPr>
          <w:i/>
          <w:iCs/>
          <w:lang w:val="de-DE"/>
        </w:rPr>
        <w:t>abgeändert durch Art. 185 des G. vom 7. Juni 2023 (B.S. vom 7. Juli 2023) und Art. 79 Nr. 4 und 5 des G. vom 19. Dezember 2023 (B.S. vom 27. Dezember 2023);</w:t>
      </w:r>
      <w:r w:rsidR="000A092E" w:rsidRPr="004676F5">
        <w:rPr>
          <w:i/>
          <w:lang w:val="de-DE"/>
        </w:rPr>
        <w:t xml:space="preserve"> </w:t>
      </w:r>
      <w:r w:rsidR="000A092E" w:rsidRPr="004676F5">
        <w:rPr>
          <w:i/>
          <w:iCs/>
          <w:lang w:val="de-DE"/>
        </w:rPr>
        <w:t xml:space="preserve">§ 3 Abs. 2 </w:t>
      </w:r>
      <w:r w:rsidR="000C30C8" w:rsidRPr="004676F5">
        <w:rPr>
          <w:i/>
          <w:iCs/>
          <w:lang w:val="de-DE"/>
        </w:rPr>
        <w:t>abgeändert durch Art. 185 des G. vom 7. Juni 2023 (B.S. vom 7. Juli 2023)</w:t>
      </w:r>
      <w:r w:rsidR="000A092E" w:rsidRPr="004676F5">
        <w:rPr>
          <w:i/>
          <w:iCs/>
          <w:lang w:val="de-DE"/>
        </w:rPr>
        <w:t xml:space="preserve"> und Art. 79 Nr. 6 und 7 des G. vom 19. Dezember 2023 (B.S. vom 27. Dezember 2023);</w:t>
      </w:r>
      <w:r w:rsidR="000C30C8" w:rsidRPr="004676F5">
        <w:rPr>
          <w:i/>
          <w:lang w:val="de-DE"/>
        </w:rPr>
        <w:t xml:space="preserve"> § 4 abgeändert durch Art. 185</w:t>
      </w:r>
      <w:r w:rsidR="000C30C8" w:rsidRPr="004676F5">
        <w:rPr>
          <w:i/>
          <w:iCs/>
          <w:lang w:val="de-DE"/>
        </w:rPr>
        <w:t xml:space="preserve"> des G. vom 7. Juni 2023 (B.S. vom 7. Juli 2023)</w:t>
      </w:r>
      <w:r w:rsidRPr="004676F5">
        <w:rPr>
          <w:i/>
          <w:lang w:val="de-DE"/>
        </w:rPr>
        <w:t>]</w:t>
      </w:r>
    </w:p>
    <w:p w14:paraId="13FA8637" w14:textId="77777777" w:rsidR="0037746C" w:rsidRPr="004676F5" w:rsidRDefault="0037746C" w:rsidP="0037746C">
      <w:pPr>
        <w:jc w:val="both"/>
        <w:rPr>
          <w:i/>
          <w:lang w:val="de-DE"/>
        </w:rPr>
      </w:pPr>
    </w:p>
    <w:p w14:paraId="0CFBB9AF" w14:textId="77777777" w:rsidR="00D11212" w:rsidRPr="004676F5" w:rsidRDefault="00D11212" w:rsidP="00EE35E2">
      <w:pPr>
        <w:ind w:firstLine="708"/>
        <w:jc w:val="both"/>
        <w:rPr>
          <w:lang w:val="de-DE"/>
        </w:rPr>
      </w:pPr>
    </w:p>
    <w:p w14:paraId="300F2FEA" w14:textId="40FCA73C"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XX.89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Nach Bericht des beauftragten Richters erteilt das gemäß Artikel XX.87 befasste Gericht die Ermächtigung zum geplanten Verkauf, wenn dieser die in § 1 desselben Artikels festgelegten Bedingungen erfüllt. Im Falle mehrerer vergleichbarer Angebote </w:t>
      </w:r>
      <w:r w:rsidR="000C30C8" w:rsidRPr="004676F5">
        <w:rPr>
          <w:lang w:val="de-DE"/>
        </w:rPr>
        <w:t xml:space="preserve">[von Kaufbewerbern] </w:t>
      </w:r>
      <w:r w:rsidR="00EE35E2" w:rsidRPr="004676F5">
        <w:rPr>
          <w:lang w:val="de-DE"/>
        </w:rPr>
        <w:t>gibt das Gericht dem Angebot den Vorzug, das die Erhaltung der Arbeitsplätze durch ein Sozialabkommen gewährleistet.</w:t>
      </w:r>
    </w:p>
    <w:p w14:paraId="51ADE678" w14:textId="77777777" w:rsidR="00EE35E2" w:rsidRPr="004676F5" w:rsidRDefault="00EE35E2" w:rsidP="00EE35E2">
      <w:pPr>
        <w:ind w:firstLine="708"/>
        <w:jc w:val="both"/>
        <w:rPr>
          <w:lang w:val="de-DE"/>
        </w:rPr>
      </w:pPr>
    </w:p>
    <w:p w14:paraId="176F67DB" w14:textId="797273A3" w:rsidR="00EE35E2" w:rsidRPr="004676F5" w:rsidRDefault="00EE35E2" w:rsidP="00EE35E2">
      <w:pPr>
        <w:ind w:firstLine="708"/>
        <w:jc w:val="both"/>
        <w:rPr>
          <w:lang w:val="de-DE"/>
        </w:rPr>
      </w:pPr>
      <w:r w:rsidRPr="004676F5">
        <w:rPr>
          <w:lang w:val="de-DE"/>
        </w:rPr>
        <w:t xml:space="preserve">Das Gericht vernimmt die Vertreter des Personals im Betriebsrat oder </w:t>
      </w:r>
      <w:r w:rsidR="005B7A5C" w:rsidRPr="004676F5">
        <w:rPr>
          <w:lang w:val="de-DE"/>
        </w:rPr>
        <w:t>- </w:t>
      </w:r>
      <w:r w:rsidRPr="004676F5">
        <w:rPr>
          <w:lang w:val="de-DE"/>
        </w:rPr>
        <w:t>in dessen Ermangelung </w:t>
      </w:r>
      <w:r w:rsidR="005B7A5C" w:rsidRPr="004676F5">
        <w:rPr>
          <w:lang w:val="de-DE"/>
        </w:rPr>
        <w:t>- </w:t>
      </w:r>
      <w:r w:rsidRPr="004676F5">
        <w:rPr>
          <w:lang w:val="de-DE"/>
        </w:rPr>
        <w:t xml:space="preserve">im Ausschuss für Gefahrenverhütung und Schutz am Arbeitsplatz oder </w:t>
      </w:r>
      <w:r w:rsidR="005B7A5C" w:rsidRPr="004676F5">
        <w:rPr>
          <w:lang w:val="de-DE"/>
        </w:rPr>
        <w:t>- </w:t>
      </w:r>
      <w:r w:rsidRPr="004676F5">
        <w:rPr>
          <w:lang w:val="de-DE"/>
        </w:rPr>
        <w:t>in dessen Ermangelung </w:t>
      </w:r>
      <w:r w:rsidR="005B7A5C" w:rsidRPr="004676F5">
        <w:rPr>
          <w:lang w:val="de-DE"/>
        </w:rPr>
        <w:t>- </w:t>
      </w:r>
      <w:r w:rsidRPr="004676F5">
        <w:rPr>
          <w:lang w:val="de-DE"/>
        </w:rPr>
        <w:t xml:space="preserve">die Gewerkschaftsvertretung oder </w:t>
      </w:r>
      <w:r w:rsidR="005B7A5C" w:rsidRPr="004676F5">
        <w:rPr>
          <w:lang w:val="de-DE"/>
        </w:rPr>
        <w:t>- </w:t>
      </w:r>
      <w:r w:rsidRPr="004676F5">
        <w:rPr>
          <w:lang w:val="de-DE"/>
        </w:rPr>
        <w:t>in deren Ermangelung </w:t>
      </w:r>
      <w:r w:rsidR="005B7A5C" w:rsidRPr="004676F5">
        <w:rPr>
          <w:lang w:val="de-DE"/>
        </w:rPr>
        <w:t>- </w:t>
      </w:r>
      <w:r w:rsidRPr="004676F5">
        <w:rPr>
          <w:lang w:val="de-DE"/>
        </w:rPr>
        <w:t>eine Abordnung des Personals.</w:t>
      </w:r>
    </w:p>
    <w:p w14:paraId="27F0035E" w14:textId="77777777" w:rsidR="00EE35E2" w:rsidRPr="004676F5" w:rsidRDefault="00EE35E2" w:rsidP="00EE35E2">
      <w:pPr>
        <w:ind w:firstLine="708"/>
        <w:jc w:val="both"/>
        <w:rPr>
          <w:lang w:val="de-DE"/>
        </w:rPr>
      </w:pPr>
    </w:p>
    <w:p w14:paraId="3DBDF993" w14:textId="29DDDEB1"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In einem Verkaufsentwurf können mehrere Angebote von verschiedenen Kaufbewerbern berücksichtigt werden.</w:t>
      </w:r>
    </w:p>
    <w:p w14:paraId="3C1C60BB" w14:textId="77777777" w:rsidR="00EE35E2" w:rsidRPr="004676F5" w:rsidRDefault="00EE35E2" w:rsidP="000C30C8">
      <w:pPr>
        <w:jc w:val="both"/>
        <w:rPr>
          <w:lang w:val="de-DE"/>
        </w:rPr>
      </w:pPr>
    </w:p>
    <w:p w14:paraId="57BC6C78" w14:textId="31145E44" w:rsidR="000C30C8" w:rsidRPr="004676F5" w:rsidRDefault="000C30C8" w:rsidP="000C30C8">
      <w:pPr>
        <w:jc w:val="both"/>
        <w:rPr>
          <w:i/>
          <w:iCs/>
          <w:lang w:val="de-DE"/>
        </w:rPr>
      </w:pPr>
      <w:r w:rsidRPr="004676F5">
        <w:rPr>
          <w:i/>
          <w:iCs/>
          <w:lang w:val="de-DE"/>
        </w:rPr>
        <w:t>[Art. XX.89 § 1 Abs. 1 abgeändert durch Art. 186 des G. vom 7. Juni 2023 (B.S. vom 7. Juli 2023)]</w:t>
      </w:r>
    </w:p>
    <w:p w14:paraId="27B7C817" w14:textId="77777777" w:rsidR="00D11212" w:rsidRPr="004676F5" w:rsidRDefault="00D11212" w:rsidP="00EE35E2">
      <w:pPr>
        <w:ind w:firstLine="708"/>
        <w:jc w:val="both"/>
        <w:rPr>
          <w:lang w:val="de-DE"/>
        </w:rPr>
      </w:pPr>
    </w:p>
    <w:p w14:paraId="0EB42076" w14:textId="77777777" w:rsidR="000C30C8" w:rsidRPr="004676F5" w:rsidRDefault="000C30C8" w:rsidP="00EE35E2">
      <w:pPr>
        <w:ind w:firstLine="708"/>
        <w:jc w:val="both"/>
        <w:rPr>
          <w:lang w:val="de-DE"/>
        </w:rPr>
      </w:pPr>
    </w:p>
    <w:p w14:paraId="5083F23F" w14:textId="48B81CB7" w:rsidR="00EE35E2" w:rsidRPr="004676F5" w:rsidRDefault="00BE0A56" w:rsidP="00EE35E2">
      <w:pPr>
        <w:ind w:firstLine="708"/>
        <w:jc w:val="both"/>
        <w:rPr>
          <w:lang w:val="de-DE"/>
        </w:rPr>
      </w:pPr>
      <w:r w:rsidRPr="004676F5">
        <w:rPr>
          <w:b/>
          <w:lang w:val="de-DE"/>
        </w:rPr>
        <w:t>Art. </w:t>
      </w:r>
      <w:r w:rsidR="00EE35E2" w:rsidRPr="004676F5">
        <w:rPr>
          <w:b/>
          <w:lang w:val="de-DE"/>
        </w:rPr>
        <w:t>XX.90</w:t>
      </w:r>
      <w:r w:rsidR="00EE35E2" w:rsidRPr="004676F5">
        <w:rPr>
          <w:lang w:val="de-DE"/>
        </w:rPr>
        <w:t> </w:t>
      </w:r>
      <w:r w:rsidR="005B7A5C" w:rsidRPr="004676F5">
        <w:rPr>
          <w:lang w:val="de-DE"/>
        </w:rPr>
        <w:t>- </w:t>
      </w:r>
      <w:r w:rsidR="00EE35E2" w:rsidRPr="004676F5">
        <w:rPr>
          <w:lang w:val="de-DE"/>
        </w:rPr>
        <w:t xml:space="preserve">Auf Betreiben des mit der Übertragung beauftragten </w:t>
      </w:r>
      <w:r w:rsidR="000C30C8" w:rsidRPr="004676F5">
        <w:rPr>
          <w:lang w:val="de-DE"/>
        </w:rPr>
        <w:t xml:space="preserve">[Liquidationsbearbeiters] </w:t>
      </w:r>
      <w:r w:rsidR="00EE35E2" w:rsidRPr="004676F5">
        <w:rPr>
          <w:lang w:val="de-DE"/>
        </w:rPr>
        <w:t xml:space="preserve">wird das Urteil, mit dem der Verkauf erlaubt wird, auszugsweise im </w:t>
      </w:r>
      <w:r w:rsidR="00EE35E2" w:rsidRPr="004676F5">
        <w:rPr>
          <w:i/>
          <w:lang w:val="de-DE"/>
        </w:rPr>
        <w:t>Belgischen Staatsblatt</w:t>
      </w:r>
      <w:r w:rsidR="00EE35E2" w:rsidRPr="004676F5">
        <w:rPr>
          <w:lang w:val="de-DE"/>
        </w:rPr>
        <w:t xml:space="preserve"> veröffentlicht und den Gläubigern übermittelt mit Angabe des Namens des bestellten Notars oder des vom Gericht bestimmten Gerichtsvollziehers.</w:t>
      </w:r>
    </w:p>
    <w:p w14:paraId="70F13732" w14:textId="77777777" w:rsidR="00EE35E2" w:rsidRPr="004676F5" w:rsidRDefault="00EE35E2" w:rsidP="00EE35E2">
      <w:pPr>
        <w:ind w:firstLine="708"/>
        <w:jc w:val="both"/>
        <w:rPr>
          <w:lang w:val="de-DE"/>
        </w:rPr>
      </w:pPr>
    </w:p>
    <w:p w14:paraId="70DF70F9" w14:textId="70625539" w:rsidR="00EE35E2" w:rsidRPr="004676F5" w:rsidRDefault="00EE35E2" w:rsidP="00EE35E2">
      <w:pPr>
        <w:ind w:firstLine="708"/>
        <w:jc w:val="both"/>
        <w:rPr>
          <w:lang w:val="de-DE"/>
        </w:rPr>
      </w:pPr>
      <w:r w:rsidRPr="004676F5">
        <w:rPr>
          <w:lang w:val="de-DE"/>
        </w:rPr>
        <w:t xml:space="preserve">Die Sache wird </w:t>
      </w:r>
      <w:r w:rsidR="000C30C8" w:rsidRPr="004676F5">
        <w:rPr>
          <w:lang w:val="de-DE"/>
        </w:rPr>
        <w:t xml:space="preserve">[bei Berufung] </w:t>
      </w:r>
      <w:r w:rsidRPr="004676F5">
        <w:rPr>
          <w:lang w:val="de-DE"/>
        </w:rPr>
        <w:t xml:space="preserve">im Dringlichkeitsverfahren in der Einleitungssitzung oder einer zeitnahen Sitzung nach Anhörung des Berichts des beauftragten Richters untersucht. </w:t>
      </w:r>
      <w:r w:rsidR="000C30C8" w:rsidRPr="004676F5">
        <w:rPr>
          <w:lang w:val="de-DE"/>
        </w:rPr>
        <w:t>[…]</w:t>
      </w:r>
    </w:p>
    <w:p w14:paraId="46FDEB61" w14:textId="77777777" w:rsidR="00EE35E2" w:rsidRPr="004676F5" w:rsidRDefault="00EE35E2" w:rsidP="00EE35E2">
      <w:pPr>
        <w:ind w:firstLine="708"/>
        <w:jc w:val="both"/>
        <w:rPr>
          <w:lang w:val="de-DE"/>
        </w:rPr>
      </w:pPr>
    </w:p>
    <w:p w14:paraId="163BC9DF" w14:textId="1A0D640E" w:rsidR="00EE35E2" w:rsidRPr="004676F5" w:rsidRDefault="00EE35E2" w:rsidP="00EE35E2">
      <w:pPr>
        <w:ind w:firstLine="708"/>
        <w:jc w:val="both"/>
        <w:rPr>
          <w:lang w:val="de-DE"/>
        </w:rPr>
      </w:pPr>
      <w:r w:rsidRPr="004676F5">
        <w:rPr>
          <w:lang w:val="de-DE"/>
        </w:rPr>
        <w:t xml:space="preserve">Will ein Erwerber den Verkauf trotz einer eingelegten Berufung durchführen, gewährt </w:t>
      </w:r>
      <w:r w:rsidR="000C30C8" w:rsidRPr="004676F5">
        <w:rPr>
          <w:lang w:val="de-DE"/>
        </w:rPr>
        <w:t xml:space="preserve">[der Liquidationsbearbeiter] </w:t>
      </w:r>
      <w:r w:rsidRPr="004676F5">
        <w:rPr>
          <w:lang w:val="de-DE"/>
        </w:rPr>
        <w:t>seine volle Mitwirkung, ohne der in Artikel 1398 des Gerichtsgesetzbuches erwähnten Haftung zu unterliegen.</w:t>
      </w:r>
    </w:p>
    <w:p w14:paraId="0EBC3D7E" w14:textId="77777777" w:rsidR="00EE35E2" w:rsidRPr="004676F5" w:rsidRDefault="00EE35E2" w:rsidP="000C30C8">
      <w:pPr>
        <w:jc w:val="both"/>
        <w:rPr>
          <w:lang w:val="de-DE"/>
        </w:rPr>
      </w:pPr>
    </w:p>
    <w:p w14:paraId="78F8BFC9" w14:textId="729FA411" w:rsidR="000C30C8" w:rsidRPr="004676F5" w:rsidRDefault="000C30C8" w:rsidP="000C30C8">
      <w:pPr>
        <w:jc w:val="both"/>
        <w:rPr>
          <w:i/>
          <w:iCs/>
          <w:lang w:val="de-DE"/>
        </w:rPr>
      </w:pPr>
      <w:r w:rsidRPr="004676F5">
        <w:rPr>
          <w:i/>
          <w:iCs/>
          <w:lang w:val="de-DE"/>
        </w:rPr>
        <w:t xml:space="preserve">[Art. XX.90 Abs. 1 abgeändert durch Art. 187 Nr. 1 des G. vom 7. Juni 2023 (B.S. vom 7. Juli 2023); Abs. 2 abgeändert durch Art. 187 Nr. 2 des G. vom 7. Juni 2023 (B.S. vom 7. Juli 2023); Abs. 3 abgeändert durch Art. 187 Nr. 3 des G. vom 7. Juni 2023 (B.S. vom 7. Juli 2023)] </w:t>
      </w:r>
    </w:p>
    <w:p w14:paraId="668FB734" w14:textId="77777777" w:rsidR="00D11212" w:rsidRPr="004676F5" w:rsidRDefault="00D11212" w:rsidP="00EE35E2">
      <w:pPr>
        <w:ind w:firstLine="708"/>
        <w:jc w:val="both"/>
        <w:rPr>
          <w:lang w:val="de-DE"/>
        </w:rPr>
      </w:pPr>
    </w:p>
    <w:p w14:paraId="71886DF0" w14:textId="77777777" w:rsidR="000C30C8" w:rsidRPr="004676F5" w:rsidRDefault="000C30C8" w:rsidP="00EE35E2">
      <w:pPr>
        <w:ind w:firstLine="708"/>
        <w:jc w:val="both"/>
        <w:rPr>
          <w:lang w:val="de-DE"/>
        </w:rPr>
      </w:pPr>
    </w:p>
    <w:p w14:paraId="32743B14" w14:textId="014416A4" w:rsidR="00EE35E2" w:rsidRPr="004676F5" w:rsidRDefault="00BE0A56" w:rsidP="00EE35E2">
      <w:pPr>
        <w:ind w:firstLine="708"/>
        <w:jc w:val="both"/>
        <w:rPr>
          <w:lang w:val="de-DE"/>
        </w:rPr>
      </w:pPr>
      <w:r w:rsidRPr="004676F5">
        <w:rPr>
          <w:b/>
          <w:lang w:val="de-DE"/>
        </w:rPr>
        <w:t>Art. </w:t>
      </w:r>
      <w:r w:rsidR="00EE35E2" w:rsidRPr="004676F5">
        <w:rPr>
          <w:b/>
          <w:lang w:val="de-DE"/>
        </w:rPr>
        <w:t>XX.91</w:t>
      </w:r>
      <w:r w:rsidR="00EE35E2" w:rsidRPr="004676F5">
        <w:rPr>
          <w:lang w:val="de-DE"/>
        </w:rPr>
        <w:t> </w:t>
      </w:r>
      <w:r w:rsidR="005B7A5C" w:rsidRPr="004676F5">
        <w:rPr>
          <w:lang w:val="de-DE"/>
        </w:rPr>
        <w:t>- </w:t>
      </w:r>
      <w:r w:rsidR="00EE35E2" w:rsidRPr="004676F5">
        <w:rPr>
          <w:lang w:val="de-DE"/>
        </w:rPr>
        <w:t>Der Verkauf wird gemäß dem vom Gericht angenommenen Vertrags</w:t>
      </w:r>
      <w:r w:rsidR="00EE35E2" w:rsidRPr="004676F5">
        <w:rPr>
          <w:lang w:val="de-DE"/>
        </w:rPr>
        <w:softHyphen/>
        <w:t>entwurf durchgeführt.</w:t>
      </w:r>
    </w:p>
    <w:p w14:paraId="300B4B67" w14:textId="77777777" w:rsidR="00EE35E2" w:rsidRPr="004676F5" w:rsidRDefault="00EE35E2" w:rsidP="00EE35E2">
      <w:pPr>
        <w:ind w:firstLine="708"/>
        <w:jc w:val="both"/>
        <w:rPr>
          <w:lang w:val="de-DE"/>
        </w:rPr>
      </w:pPr>
    </w:p>
    <w:p w14:paraId="3C587FCA" w14:textId="5D55AA49" w:rsidR="00EE35E2" w:rsidRPr="004676F5" w:rsidRDefault="00EE35E2" w:rsidP="00EE35E2">
      <w:pPr>
        <w:ind w:firstLine="708"/>
        <w:jc w:val="both"/>
        <w:rPr>
          <w:lang w:val="de-DE"/>
        </w:rPr>
      </w:pPr>
      <w:r w:rsidRPr="004676F5">
        <w:rPr>
          <w:lang w:val="de-DE"/>
        </w:rPr>
        <w:t xml:space="preserve">Bezieht dieser Verkauf sich auf unbewegliche Güter und wird im Entwurf ein öffentlicher Verkauf vorgesehen, wird im Urteil der Gerichtsvollzieher bestimmt, der mit dem Verkauf beauftragt wird und den erzielten Preis entgegennimmt. Der Preis wird von dem durch das Gericht bestellten </w:t>
      </w:r>
      <w:r w:rsidR="000C30C8" w:rsidRPr="004676F5">
        <w:rPr>
          <w:lang w:val="de-DE"/>
        </w:rPr>
        <w:t xml:space="preserve">[Liquidationsbearbeiter] </w:t>
      </w:r>
      <w:r w:rsidRPr="004676F5">
        <w:rPr>
          <w:lang w:val="de-DE"/>
        </w:rPr>
        <w:t>eingenommen und anschließend unter Wahrung der rechtmäßigen Vorrangsgründe verteilt.</w:t>
      </w:r>
    </w:p>
    <w:p w14:paraId="2A2B4C44" w14:textId="77777777" w:rsidR="00EE35E2" w:rsidRPr="004676F5" w:rsidRDefault="00EE35E2" w:rsidP="00EE35E2">
      <w:pPr>
        <w:ind w:firstLine="708"/>
        <w:jc w:val="both"/>
        <w:rPr>
          <w:lang w:val="de-DE"/>
        </w:rPr>
      </w:pPr>
    </w:p>
    <w:p w14:paraId="5A19850C" w14:textId="4B31165F" w:rsidR="00EE35E2" w:rsidRPr="004676F5" w:rsidRDefault="000C30C8" w:rsidP="00EE35E2">
      <w:pPr>
        <w:ind w:firstLine="708"/>
        <w:jc w:val="both"/>
        <w:rPr>
          <w:lang w:val="de-DE"/>
        </w:rPr>
      </w:pPr>
      <w:r w:rsidRPr="004676F5">
        <w:rPr>
          <w:lang w:val="de-DE"/>
        </w:rPr>
        <w:t xml:space="preserve">[Der Liquidationsbearbeiter] </w:t>
      </w:r>
      <w:r w:rsidR="00EE35E2" w:rsidRPr="004676F5">
        <w:rPr>
          <w:lang w:val="de-DE"/>
        </w:rPr>
        <w:t xml:space="preserve">fordert alle Gläubiger, die in der in Artikel XX.41 § 2 </w:t>
      </w:r>
      <w:r w:rsidRPr="004676F5">
        <w:rPr>
          <w:lang w:val="de-DE"/>
        </w:rPr>
        <w:t xml:space="preserve">[Absatz 1] </w:t>
      </w:r>
      <w:r w:rsidR="00EE35E2" w:rsidRPr="004676F5">
        <w:rPr>
          <w:lang w:val="de-DE"/>
        </w:rPr>
        <w:t>Nr. 7 erwähnten Liste aufgenommen sind, auf, sich im Register anzumelden, ausgenommen Gläubiger, für die er feststellt, dass sie für eine Verteilung nicht in Betracht kommen.</w:t>
      </w:r>
    </w:p>
    <w:p w14:paraId="6F96C43C" w14:textId="77777777" w:rsidR="000C30C8" w:rsidRPr="004676F5" w:rsidRDefault="000C30C8" w:rsidP="00EE35E2">
      <w:pPr>
        <w:ind w:firstLine="708"/>
        <w:jc w:val="both"/>
        <w:rPr>
          <w:lang w:val="de-DE"/>
        </w:rPr>
      </w:pPr>
    </w:p>
    <w:p w14:paraId="5DC95C0F" w14:textId="0B1CC568" w:rsidR="000C30C8" w:rsidRPr="004676F5" w:rsidRDefault="000C30C8" w:rsidP="00EE35E2">
      <w:pPr>
        <w:ind w:firstLine="708"/>
        <w:jc w:val="both"/>
        <w:rPr>
          <w:lang w:val="de-DE"/>
        </w:rPr>
      </w:pPr>
      <w:r w:rsidRPr="004676F5">
        <w:rPr>
          <w:lang w:val="de-DE"/>
        </w:rPr>
        <w:t>[Der Liquidationsbearbeiter bildet Rückstellungen für Beträge, die für die Abwicklung der gerichtlichen Liquidation oder des Konkurses erforderlich sind.]</w:t>
      </w:r>
    </w:p>
    <w:p w14:paraId="182CB3CF" w14:textId="77777777" w:rsidR="000C30C8" w:rsidRPr="004676F5" w:rsidRDefault="000C30C8" w:rsidP="000C30C8">
      <w:pPr>
        <w:jc w:val="both"/>
        <w:rPr>
          <w:lang w:val="de-DE"/>
        </w:rPr>
      </w:pPr>
    </w:p>
    <w:p w14:paraId="00169BD5" w14:textId="1F5EDB31" w:rsidR="000C30C8" w:rsidRPr="004676F5" w:rsidRDefault="000C30C8" w:rsidP="000C30C8">
      <w:pPr>
        <w:jc w:val="both"/>
        <w:rPr>
          <w:i/>
          <w:iCs/>
          <w:lang w:val="de-DE"/>
        </w:rPr>
      </w:pPr>
      <w:r w:rsidRPr="004676F5">
        <w:rPr>
          <w:i/>
          <w:iCs/>
          <w:lang w:val="de-DE"/>
        </w:rPr>
        <w:t>[Art. XX.91 Abs. 2 abgeändert durch Art. 188 Nr. 1 des G. vom 7. Juni 2023 (B.S. vom 7. Juli 2023); Abs. 3 abgeändert durch Art. 188 Nr. 2 des G. vom 7. Juni 2023 (B.S. vom 7. Juli 2023); Abs. 4 eingefügt durch Art. 188 Nr. 3 des G. vom 7. Juni 2023 (B.S. vom 7. Juli 2023)]</w:t>
      </w:r>
    </w:p>
    <w:p w14:paraId="20120DFB" w14:textId="77777777" w:rsidR="00EE35E2" w:rsidRPr="004676F5" w:rsidRDefault="00EE35E2" w:rsidP="00EE35E2">
      <w:pPr>
        <w:ind w:firstLine="708"/>
        <w:jc w:val="both"/>
        <w:rPr>
          <w:lang w:val="de-DE"/>
        </w:rPr>
      </w:pPr>
    </w:p>
    <w:p w14:paraId="6FAF09E2" w14:textId="77777777" w:rsidR="00D11212" w:rsidRPr="004676F5" w:rsidRDefault="00D11212" w:rsidP="00EE35E2">
      <w:pPr>
        <w:ind w:firstLine="708"/>
        <w:jc w:val="both"/>
        <w:rPr>
          <w:lang w:val="de-DE"/>
        </w:rPr>
      </w:pPr>
    </w:p>
    <w:p w14:paraId="291B09AE" w14:textId="4AAFB5FE" w:rsidR="00EE35E2" w:rsidRPr="004676F5" w:rsidRDefault="00BE0A56" w:rsidP="00EE35E2">
      <w:pPr>
        <w:ind w:firstLine="708"/>
        <w:jc w:val="both"/>
        <w:rPr>
          <w:lang w:val="de-DE"/>
        </w:rPr>
      </w:pPr>
      <w:r w:rsidRPr="004676F5">
        <w:rPr>
          <w:b/>
          <w:lang w:val="de-DE"/>
        </w:rPr>
        <w:t>Art. </w:t>
      </w:r>
      <w:r w:rsidR="00EE35E2" w:rsidRPr="004676F5">
        <w:rPr>
          <w:b/>
          <w:lang w:val="de-DE"/>
        </w:rPr>
        <w:t>XX.92</w:t>
      </w:r>
      <w:r w:rsidR="00EE35E2" w:rsidRPr="004676F5">
        <w:rPr>
          <w:lang w:val="de-DE"/>
        </w:rPr>
        <w:t> </w:t>
      </w:r>
      <w:r w:rsidR="005B7A5C" w:rsidRPr="004676F5">
        <w:rPr>
          <w:lang w:val="de-DE"/>
        </w:rPr>
        <w:t>- </w:t>
      </w:r>
      <w:r w:rsidR="00EE35E2" w:rsidRPr="004676F5">
        <w:rPr>
          <w:lang w:val="de-DE"/>
        </w:rPr>
        <w:t>Infolge des Verkaufs der beweglichen oder unbeweglichen Güter gehen die Rechte der Gläubiger auf den erzielten Preis über.</w:t>
      </w:r>
      <w:r w:rsidR="000C30C8" w:rsidRPr="004676F5">
        <w:rPr>
          <w:lang w:val="de-DE"/>
        </w:rPr>
        <w:t xml:space="preserve"> [Der Verkauf ist entlastend.]</w:t>
      </w:r>
    </w:p>
    <w:p w14:paraId="1F0D003E" w14:textId="77777777" w:rsidR="000C30C8" w:rsidRPr="004676F5" w:rsidRDefault="000C30C8" w:rsidP="000C30C8">
      <w:pPr>
        <w:jc w:val="both"/>
        <w:rPr>
          <w:lang w:val="de-DE"/>
        </w:rPr>
      </w:pPr>
    </w:p>
    <w:p w14:paraId="3029B537" w14:textId="2D1DCB2D" w:rsidR="000C30C8" w:rsidRPr="004676F5" w:rsidRDefault="000C30C8" w:rsidP="000C30C8">
      <w:pPr>
        <w:jc w:val="both"/>
        <w:rPr>
          <w:i/>
          <w:iCs/>
          <w:lang w:val="de-DE"/>
        </w:rPr>
      </w:pPr>
      <w:r w:rsidRPr="004676F5">
        <w:rPr>
          <w:i/>
          <w:iCs/>
          <w:lang w:val="de-DE"/>
        </w:rPr>
        <w:t>[Art. XX.92 abgeändert durch Art. 189 des G. vom 7. Juni 2023 (B.S. vom 7. Juli 2023)]</w:t>
      </w:r>
    </w:p>
    <w:p w14:paraId="0D4F2551" w14:textId="77777777" w:rsidR="00EE35E2" w:rsidRPr="004676F5" w:rsidRDefault="00EE35E2" w:rsidP="00EE35E2">
      <w:pPr>
        <w:ind w:firstLine="708"/>
        <w:jc w:val="both"/>
        <w:rPr>
          <w:lang w:val="de-DE"/>
        </w:rPr>
      </w:pPr>
    </w:p>
    <w:p w14:paraId="30574462" w14:textId="77777777" w:rsidR="00D11212" w:rsidRPr="004676F5" w:rsidRDefault="00D11212" w:rsidP="00EE35E2">
      <w:pPr>
        <w:ind w:firstLine="708"/>
        <w:jc w:val="both"/>
        <w:rPr>
          <w:lang w:val="de-DE"/>
        </w:rPr>
      </w:pPr>
    </w:p>
    <w:p w14:paraId="1EE720AC" w14:textId="243C2640" w:rsidR="00EE35E2" w:rsidRPr="004676F5" w:rsidRDefault="00BE0A56" w:rsidP="00EE35E2">
      <w:pPr>
        <w:ind w:firstLine="708"/>
        <w:jc w:val="both"/>
        <w:rPr>
          <w:lang w:val="de-DE"/>
        </w:rPr>
      </w:pPr>
      <w:r w:rsidRPr="004676F5">
        <w:rPr>
          <w:b/>
          <w:lang w:val="de-DE"/>
        </w:rPr>
        <w:t>Art. </w:t>
      </w:r>
      <w:r w:rsidR="00EE35E2" w:rsidRPr="004676F5">
        <w:rPr>
          <w:b/>
          <w:lang w:val="de-DE"/>
        </w:rPr>
        <w:t>XX.93</w:t>
      </w:r>
      <w:r w:rsidR="00EE35E2" w:rsidRPr="004676F5">
        <w:rPr>
          <w:lang w:val="de-DE"/>
        </w:rPr>
        <w:t> </w:t>
      </w:r>
      <w:r w:rsidR="005B7A5C" w:rsidRPr="004676F5">
        <w:rPr>
          <w:lang w:val="de-DE"/>
        </w:rPr>
        <w:t>- </w:t>
      </w:r>
      <w:r w:rsidR="00EE35E2" w:rsidRPr="004676F5">
        <w:rPr>
          <w:lang w:val="de-DE"/>
        </w:rPr>
        <w:t xml:space="preserve">Urteilt </w:t>
      </w:r>
      <w:r w:rsidR="000C30C8" w:rsidRPr="004676F5">
        <w:rPr>
          <w:lang w:val="de-DE"/>
        </w:rPr>
        <w:t>[</w:t>
      </w:r>
      <w:r w:rsidR="00EE35E2" w:rsidRPr="004676F5">
        <w:rPr>
          <w:lang w:val="de-DE"/>
        </w:rPr>
        <w:t xml:space="preserve">der bestellte </w:t>
      </w:r>
      <w:r w:rsidR="000C30C8" w:rsidRPr="004676F5">
        <w:rPr>
          <w:lang w:val="de-DE"/>
        </w:rPr>
        <w:t>Liquidationsbearbeiter]</w:t>
      </w:r>
      <w:r w:rsidR="00EE35E2" w:rsidRPr="004676F5">
        <w:rPr>
          <w:lang w:val="de-DE"/>
        </w:rPr>
        <w:t xml:space="preserve">, dass alle übertragbaren Tätigkeiten übertragen worden sind, und in jedem Fall vor Ende des Aufschubs beantragt er beim Gericht </w:t>
      </w:r>
      <w:r w:rsidR="000C30C8" w:rsidRPr="004676F5">
        <w:rPr>
          <w:lang w:val="de-DE"/>
        </w:rPr>
        <w:t>[per an den Schuldner und gegebenenfalls an den Kläger auf Übertragung unter der Autorität des Gerichts gerichtete kontradiktorische Antragschrift, das Verfahren abzuschließen und ihn von seinem Auftrag zu befreien]</w:t>
      </w:r>
      <w:r w:rsidR="00EE35E2" w:rsidRPr="004676F5">
        <w:rPr>
          <w:lang w:val="de-DE"/>
        </w:rPr>
        <w:t>.</w:t>
      </w:r>
    </w:p>
    <w:p w14:paraId="23DD1B63" w14:textId="77777777" w:rsidR="00EE35E2" w:rsidRPr="004676F5" w:rsidRDefault="00EE35E2" w:rsidP="000C30C8">
      <w:pPr>
        <w:jc w:val="both"/>
        <w:rPr>
          <w:lang w:val="de-DE"/>
        </w:rPr>
      </w:pPr>
    </w:p>
    <w:p w14:paraId="6814B31A" w14:textId="013FEC74" w:rsidR="000C30C8" w:rsidRPr="004676F5" w:rsidRDefault="000C30C8" w:rsidP="000C30C8">
      <w:pPr>
        <w:jc w:val="both"/>
        <w:rPr>
          <w:i/>
          <w:iCs/>
          <w:lang w:val="de-DE"/>
        </w:rPr>
      </w:pPr>
      <w:r w:rsidRPr="004676F5">
        <w:rPr>
          <w:i/>
          <w:iCs/>
          <w:lang w:val="de-DE"/>
        </w:rPr>
        <w:t>[Art. XX.93 abgeändert durch Art. 1</w:t>
      </w:r>
      <w:r w:rsidR="008F5AFC" w:rsidRPr="004676F5">
        <w:rPr>
          <w:i/>
          <w:iCs/>
          <w:lang w:val="de-DE"/>
        </w:rPr>
        <w:t>90</w:t>
      </w:r>
      <w:r w:rsidRPr="004676F5">
        <w:rPr>
          <w:i/>
          <w:iCs/>
          <w:lang w:val="de-DE"/>
        </w:rPr>
        <w:t xml:space="preserve"> Nr. 1 und 2 des G. vom 7. Juni 2023 (B.S. vom 7. Juli 2023)]</w:t>
      </w:r>
    </w:p>
    <w:p w14:paraId="053DE8C2" w14:textId="77777777" w:rsidR="000C30C8" w:rsidRPr="004676F5" w:rsidRDefault="000C30C8" w:rsidP="000C30C8">
      <w:pPr>
        <w:jc w:val="both"/>
        <w:rPr>
          <w:i/>
          <w:iCs/>
          <w:lang w:val="de-DE"/>
        </w:rPr>
      </w:pPr>
    </w:p>
    <w:p w14:paraId="74706194" w14:textId="77777777" w:rsidR="00D11212" w:rsidRPr="004676F5" w:rsidRDefault="00D11212" w:rsidP="00EE35E2">
      <w:pPr>
        <w:ind w:firstLine="708"/>
        <w:jc w:val="both"/>
        <w:rPr>
          <w:lang w:val="de-DE"/>
        </w:rPr>
      </w:pPr>
    </w:p>
    <w:p w14:paraId="40683168" w14:textId="77777777" w:rsidR="000C30C8" w:rsidRPr="004676F5" w:rsidRDefault="000C30C8" w:rsidP="000C30C8">
      <w:pPr>
        <w:ind w:firstLine="708"/>
        <w:jc w:val="both"/>
        <w:rPr>
          <w:lang w:val="de-DE"/>
        </w:rPr>
      </w:pPr>
      <w:r w:rsidRPr="004676F5">
        <w:rPr>
          <w:lang w:val="de-DE"/>
        </w:rPr>
        <w:t>[</w:t>
      </w:r>
      <w:r w:rsidRPr="004676F5">
        <w:rPr>
          <w:b/>
          <w:bCs/>
          <w:lang w:val="de-DE"/>
        </w:rPr>
        <w:t>Art. XX.93/1</w:t>
      </w:r>
      <w:r w:rsidRPr="004676F5">
        <w:rPr>
          <w:lang w:val="de-DE"/>
        </w:rPr>
        <w:t> - § 1 - Die Parteien werden innerhalb acht Tagen nach Hinterlegung der in Artikel XX.93 erwähnten Antragschrift im Register per Gerichtsbrief vorgeladen, damit sie vor Gericht erscheinen. Im Gerichtsbrief ist vermerkt, dass die Antragschrift im Register hinterlegt ist und dass der Schuldner in einer Sitzung vernommen wird, in der der Liquidationsbearbeiter von seinem Auftrag befreit wird und der Konkurs oder die gerichtliche Liquidation des Schuldners ausgesprochen werden kann.</w:t>
      </w:r>
    </w:p>
    <w:p w14:paraId="783C3B91" w14:textId="77777777" w:rsidR="000C30C8" w:rsidRPr="004676F5" w:rsidRDefault="000C30C8" w:rsidP="000C30C8">
      <w:pPr>
        <w:jc w:val="both"/>
        <w:rPr>
          <w:lang w:val="de-DE"/>
        </w:rPr>
      </w:pPr>
    </w:p>
    <w:p w14:paraId="39C6333F" w14:textId="77777777" w:rsidR="000C30C8" w:rsidRPr="004676F5" w:rsidRDefault="000C30C8" w:rsidP="000C30C8">
      <w:pPr>
        <w:jc w:val="both"/>
        <w:rPr>
          <w:lang w:val="de-DE"/>
        </w:rPr>
      </w:pPr>
      <w:r w:rsidRPr="004676F5">
        <w:rPr>
          <w:lang w:val="de-DE"/>
        </w:rPr>
        <w:tab/>
        <w:t>Das Gericht entscheidet nach Bericht des beauftragten Richters und nach Vernehmung des Schuldners und des Liquidationsbearbeiters. Der Interessehabende, der die Klage auf Übertragung eingelegt hat, wird ebenfalls vernommen.</w:t>
      </w:r>
    </w:p>
    <w:p w14:paraId="03A8BE40" w14:textId="77777777" w:rsidR="000C30C8" w:rsidRPr="004676F5" w:rsidRDefault="000C30C8" w:rsidP="000C30C8">
      <w:pPr>
        <w:jc w:val="both"/>
        <w:rPr>
          <w:lang w:val="de-DE"/>
        </w:rPr>
      </w:pPr>
    </w:p>
    <w:p w14:paraId="7B973FDD" w14:textId="77777777" w:rsidR="000C30C8" w:rsidRPr="004676F5" w:rsidRDefault="000C30C8" w:rsidP="000C30C8">
      <w:pPr>
        <w:jc w:val="both"/>
        <w:rPr>
          <w:lang w:val="de-DE"/>
        </w:rPr>
      </w:pPr>
      <w:r w:rsidRPr="004676F5">
        <w:rPr>
          <w:lang w:val="de-DE"/>
        </w:rPr>
        <w:tab/>
        <w:t>Wenn das Gericht feststellt, dass die Bedingungen für einen Konkurs erfüllt sind, eröffnet es den Konkurs gemäß Artikel XX.100. Es ernennt den während der Übertragung amtierenden beauftragten Richter zum Konkursrichter und bestellt den im Rahmen der Übertragung bestellten Liquidationsbearbeiter als Konkursverwalter, es sei denn, dieser hatte nicht die Eigenschaft eines Konkursverwalters. In letzterem Fall bestellt das Gericht einen Konkursverwalter, der bei der Übertragung noch nicht als Liquidationsbearbeiter tätig war.</w:t>
      </w:r>
    </w:p>
    <w:p w14:paraId="7479FE56" w14:textId="77777777" w:rsidR="000C30C8" w:rsidRPr="004676F5" w:rsidRDefault="000C30C8" w:rsidP="000C30C8">
      <w:pPr>
        <w:jc w:val="both"/>
        <w:rPr>
          <w:lang w:val="de-DE"/>
        </w:rPr>
      </w:pPr>
    </w:p>
    <w:p w14:paraId="071F2F98" w14:textId="77777777" w:rsidR="000C30C8" w:rsidRPr="004676F5" w:rsidRDefault="000C30C8" w:rsidP="000C30C8">
      <w:pPr>
        <w:jc w:val="both"/>
        <w:rPr>
          <w:lang w:val="de-DE"/>
        </w:rPr>
      </w:pPr>
      <w:r w:rsidRPr="004676F5">
        <w:rPr>
          <w:lang w:val="de-DE"/>
        </w:rPr>
        <w:tab/>
        <w:t>Das Gericht kann ebenfalls die gerichtliche Liquidation des Schuldners, der eine juristische Person ist, anordnen und den für die Übertragung bestellten Liquidationsbearbeiter als Liquidator bestellen, wenn der Schuldner es beantragt oder das öffentliche Interesse es erfordert und sofern es nicht offensichtlich gegen die Interessen der Gläubiger verstößt.</w:t>
      </w:r>
    </w:p>
    <w:p w14:paraId="5271818E" w14:textId="77777777" w:rsidR="000C30C8" w:rsidRPr="004676F5" w:rsidRDefault="000C30C8" w:rsidP="000C30C8">
      <w:pPr>
        <w:jc w:val="both"/>
        <w:rPr>
          <w:lang w:val="de-DE"/>
        </w:rPr>
      </w:pPr>
    </w:p>
    <w:p w14:paraId="182B680C" w14:textId="1C9D1AF5" w:rsidR="000C30C8" w:rsidRPr="004676F5" w:rsidRDefault="000C30C8" w:rsidP="000C30C8">
      <w:pPr>
        <w:ind w:firstLine="708"/>
        <w:jc w:val="both"/>
        <w:rPr>
          <w:lang w:val="de-DE"/>
        </w:rPr>
      </w:pPr>
      <w:r w:rsidRPr="004676F5">
        <w:rPr>
          <w:lang w:val="de-DE"/>
        </w:rPr>
        <w:lastRenderedPageBreak/>
        <w:t>§ 2 - Der Liquidationsbearbeiter, der nicht als Konkursverwalter oder Liquidator bestellt wird, übermittelt den Erlös aus den Übertragungen an den Konkursverwalter oder den Liquidator im Hinblick auf die Verteilung.]</w:t>
      </w:r>
    </w:p>
    <w:p w14:paraId="2B48ED22" w14:textId="77777777" w:rsidR="000C30C8" w:rsidRPr="004676F5" w:rsidRDefault="000C30C8" w:rsidP="000C30C8">
      <w:pPr>
        <w:jc w:val="both"/>
        <w:rPr>
          <w:lang w:val="de-DE"/>
        </w:rPr>
      </w:pPr>
    </w:p>
    <w:p w14:paraId="0916C63A" w14:textId="7436DEA6" w:rsidR="000C30C8" w:rsidRPr="004676F5" w:rsidRDefault="000C30C8" w:rsidP="000C30C8">
      <w:pPr>
        <w:jc w:val="both"/>
        <w:rPr>
          <w:i/>
          <w:iCs/>
          <w:lang w:val="de-DE"/>
        </w:rPr>
      </w:pPr>
      <w:r w:rsidRPr="004676F5">
        <w:rPr>
          <w:i/>
          <w:iCs/>
          <w:lang w:val="de-DE"/>
        </w:rPr>
        <w:t>[Art. </w:t>
      </w:r>
      <w:r w:rsidR="00F454AF" w:rsidRPr="004676F5">
        <w:rPr>
          <w:i/>
          <w:iCs/>
          <w:lang w:val="de-DE"/>
        </w:rPr>
        <w:t>XX.</w:t>
      </w:r>
      <w:r w:rsidRPr="004676F5">
        <w:rPr>
          <w:i/>
          <w:iCs/>
          <w:lang w:val="de-DE"/>
        </w:rPr>
        <w:t>93/1 eingefügt durch Art. 191 des G. vom 7. Juni 2023 (B.S. vom 7. Juli 2023)]</w:t>
      </w:r>
    </w:p>
    <w:p w14:paraId="3EA3C0C9" w14:textId="77777777" w:rsidR="000C30C8" w:rsidRPr="004676F5" w:rsidRDefault="000C30C8" w:rsidP="000C30C8">
      <w:pPr>
        <w:jc w:val="both"/>
        <w:rPr>
          <w:lang w:val="de-DE"/>
        </w:rPr>
      </w:pPr>
    </w:p>
    <w:p w14:paraId="65A7AA42" w14:textId="77777777" w:rsidR="000C30C8" w:rsidRPr="004676F5" w:rsidRDefault="000C30C8" w:rsidP="000C30C8">
      <w:pPr>
        <w:jc w:val="both"/>
        <w:rPr>
          <w:lang w:val="de-DE"/>
        </w:rPr>
      </w:pPr>
    </w:p>
    <w:p w14:paraId="165C68F3" w14:textId="547CA1DB" w:rsidR="00EE35E2" w:rsidRPr="004676F5" w:rsidRDefault="00BE0A56" w:rsidP="00EE35E2">
      <w:pPr>
        <w:ind w:firstLine="708"/>
        <w:jc w:val="both"/>
        <w:rPr>
          <w:lang w:val="de-DE"/>
        </w:rPr>
      </w:pPr>
      <w:r w:rsidRPr="004676F5">
        <w:rPr>
          <w:b/>
          <w:lang w:val="de-DE"/>
        </w:rPr>
        <w:t>Art. </w:t>
      </w:r>
      <w:r w:rsidR="00EE35E2" w:rsidRPr="004676F5">
        <w:rPr>
          <w:b/>
          <w:lang w:val="de-DE"/>
        </w:rPr>
        <w:t>XX.94</w:t>
      </w:r>
      <w:r w:rsidR="00EE35E2" w:rsidRPr="004676F5">
        <w:rPr>
          <w:lang w:val="de-DE"/>
        </w:rPr>
        <w:t> </w:t>
      </w:r>
      <w:r w:rsidR="005B7A5C" w:rsidRPr="004676F5">
        <w:rPr>
          <w:lang w:val="de-DE"/>
        </w:rPr>
        <w:t>- </w:t>
      </w:r>
      <w:r w:rsidR="00EE35E2" w:rsidRPr="004676F5">
        <w:rPr>
          <w:lang w:val="de-DE"/>
        </w:rPr>
        <w:t xml:space="preserve">Wenn über den Schuldner der Konkurs oder die gerichtliche Liquidation eröffnet wird, bevor </w:t>
      </w:r>
      <w:r w:rsidR="00EC7BBB" w:rsidRPr="004676F5">
        <w:rPr>
          <w:lang w:val="de-DE"/>
        </w:rPr>
        <w:t xml:space="preserve">[der Liquidationsbearbeiter] </w:t>
      </w:r>
      <w:r w:rsidR="00EE35E2" w:rsidRPr="004676F5">
        <w:rPr>
          <w:lang w:val="de-DE"/>
        </w:rPr>
        <w:t xml:space="preserve">seinen Auftrag vollständig ausgeführt hat, beantragt </w:t>
      </w:r>
      <w:r w:rsidR="00EC7BBB" w:rsidRPr="004676F5">
        <w:rPr>
          <w:lang w:val="de-DE"/>
        </w:rPr>
        <w:t xml:space="preserve">[der Liquidationsbearbeiter] </w:t>
      </w:r>
      <w:r w:rsidR="00EE35E2" w:rsidRPr="004676F5">
        <w:rPr>
          <w:lang w:val="de-DE"/>
        </w:rPr>
        <w:t xml:space="preserve">beim Gericht, ihn von seinem Auftrag zu befreien. Das Gericht kann auf der Grundlage des Berichts des beauftragten Richters entscheiden, dass </w:t>
      </w:r>
      <w:r w:rsidR="00EC7BBB" w:rsidRPr="004676F5">
        <w:rPr>
          <w:lang w:val="de-DE"/>
        </w:rPr>
        <w:t xml:space="preserve">[der Liquidationsbearbeiter] </w:t>
      </w:r>
      <w:r w:rsidR="00EE35E2" w:rsidRPr="004676F5">
        <w:rPr>
          <w:lang w:val="de-DE"/>
        </w:rPr>
        <w:t xml:space="preserve">bestimmte Aufgaben noch beenden kann. In jedem Fall übermittelt </w:t>
      </w:r>
      <w:r w:rsidR="00EC7BBB" w:rsidRPr="004676F5">
        <w:rPr>
          <w:lang w:val="de-DE"/>
        </w:rPr>
        <w:t xml:space="preserve">[der Liquidationsbearbeiter] </w:t>
      </w:r>
      <w:r w:rsidR="00EE35E2" w:rsidRPr="004676F5">
        <w:rPr>
          <w:lang w:val="de-DE"/>
        </w:rPr>
        <w:t>den Erlös aus den Übertragungen an den Konkursverwalter oder den Liquidator im Hinblick auf die Verteilung.</w:t>
      </w:r>
    </w:p>
    <w:p w14:paraId="7232E141" w14:textId="77777777" w:rsidR="00EE35E2" w:rsidRPr="004676F5" w:rsidRDefault="00EE35E2" w:rsidP="00EE35E2">
      <w:pPr>
        <w:ind w:firstLine="708"/>
        <w:jc w:val="both"/>
        <w:rPr>
          <w:lang w:val="de-DE"/>
        </w:rPr>
      </w:pPr>
    </w:p>
    <w:p w14:paraId="24F8768C" w14:textId="6CF3BB8B" w:rsidR="00EE35E2" w:rsidRPr="004676F5" w:rsidRDefault="00EE35E2" w:rsidP="00EE35E2">
      <w:pPr>
        <w:ind w:firstLine="708"/>
        <w:jc w:val="both"/>
        <w:rPr>
          <w:lang w:val="de-DE"/>
        </w:rPr>
      </w:pPr>
      <w:r w:rsidRPr="004676F5">
        <w:rPr>
          <w:lang w:val="de-DE"/>
        </w:rPr>
        <w:t xml:space="preserve">Die Honorare </w:t>
      </w:r>
      <w:r w:rsidR="00EC7BBB" w:rsidRPr="004676F5">
        <w:rPr>
          <w:lang w:val="de-DE"/>
        </w:rPr>
        <w:t xml:space="preserve">[des Liquidationsbearbeiters] </w:t>
      </w:r>
      <w:r w:rsidRPr="004676F5">
        <w:rPr>
          <w:lang w:val="de-DE"/>
        </w:rPr>
        <w:t xml:space="preserve">werden auf den Teil der Honorare des Konkursverwalters oder des Liquidators angerechnet, der den Erlös der </w:t>
      </w:r>
      <w:r w:rsidR="00EC7BBB" w:rsidRPr="004676F5">
        <w:rPr>
          <w:lang w:val="de-DE"/>
        </w:rPr>
        <w:t xml:space="preserve">[vom Liquidationsbearbeiter] </w:t>
      </w:r>
      <w:r w:rsidRPr="004676F5">
        <w:rPr>
          <w:lang w:val="de-DE"/>
        </w:rPr>
        <w:t>vorgenommenen Übertragungen betrifft.</w:t>
      </w:r>
    </w:p>
    <w:p w14:paraId="7888331F" w14:textId="77777777" w:rsidR="00EC7BBB" w:rsidRPr="004676F5" w:rsidRDefault="00EC7BBB" w:rsidP="00EC7BBB">
      <w:pPr>
        <w:jc w:val="both"/>
        <w:rPr>
          <w:lang w:val="de-DE"/>
        </w:rPr>
      </w:pPr>
    </w:p>
    <w:p w14:paraId="4D74395A" w14:textId="67EF1925" w:rsidR="00EC7BBB" w:rsidRPr="004676F5" w:rsidRDefault="00EC7BBB" w:rsidP="00EC7BBB">
      <w:pPr>
        <w:jc w:val="both"/>
        <w:rPr>
          <w:i/>
          <w:iCs/>
          <w:lang w:val="de-DE"/>
        </w:rPr>
      </w:pPr>
      <w:r w:rsidRPr="004676F5">
        <w:rPr>
          <w:i/>
          <w:iCs/>
          <w:lang w:val="de-DE"/>
        </w:rPr>
        <w:t>[Art. XX.94 Abs. 1 und 2 abgeändert durch Art. 192 des G. vom 7. Juni 2023 (B.S. vom 7. Juli 2023)]</w:t>
      </w:r>
    </w:p>
    <w:p w14:paraId="6AE89D1E" w14:textId="77777777" w:rsidR="00EE35E2" w:rsidRPr="004676F5" w:rsidRDefault="00EE35E2" w:rsidP="00EE35E2">
      <w:pPr>
        <w:ind w:firstLine="708"/>
        <w:jc w:val="both"/>
        <w:rPr>
          <w:lang w:val="de-DE"/>
        </w:rPr>
      </w:pPr>
    </w:p>
    <w:p w14:paraId="78E073F1" w14:textId="77777777" w:rsidR="00D11212" w:rsidRPr="004676F5" w:rsidRDefault="00D11212" w:rsidP="00EE35E2">
      <w:pPr>
        <w:ind w:firstLine="708"/>
        <w:jc w:val="both"/>
        <w:rPr>
          <w:lang w:val="de-DE"/>
        </w:rPr>
      </w:pPr>
    </w:p>
    <w:p w14:paraId="55CCE20E" w14:textId="6046D47B" w:rsidR="00EE35E2" w:rsidRPr="004676F5" w:rsidRDefault="00BE0A56" w:rsidP="00EE35E2">
      <w:pPr>
        <w:ind w:firstLine="708"/>
        <w:jc w:val="both"/>
        <w:rPr>
          <w:lang w:val="de-DE"/>
        </w:rPr>
      </w:pPr>
      <w:r w:rsidRPr="004676F5">
        <w:rPr>
          <w:b/>
          <w:lang w:val="de-DE"/>
        </w:rPr>
        <w:t>Art. </w:t>
      </w:r>
      <w:r w:rsidR="00EE35E2" w:rsidRPr="004676F5">
        <w:rPr>
          <w:b/>
          <w:lang w:val="de-DE"/>
        </w:rPr>
        <w:t>XX.95</w:t>
      </w:r>
      <w:r w:rsidR="00EE35E2" w:rsidRPr="004676F5">
        <w:rPr>
          <w:lang w:val="de-DE"/>
        </w:rPr>
        <w:t> </w:t>
      </w:r>
      <w:r w:rsidR="005B7A5C" w:rsidRPr="004676F5">
        <w:rPr>
          <w:lang w:val="de-DE"/>
        </w:rPr>
        <w:t>- </w:t>
      </w:r>
      <w:r w:rsidR="00EE35E2" w:rsidRPr="004676F5">
        <w:rPr>
          <w:lang w:val="de-DE"/>
        </w:rPr>
        <w:t xml:space="preserve">Die Entscheidung zum Abschluss des Verfahrens </w:t>
      </w:r>
      <w:r w:rsidR="00EC7BBB" w:rsidRPr="004676F5">
        <w:rPr>
          <w:lang w:val="de-DE"/>
        </w:rPr>
        <w:t>[der Übertragung unter der Autorität des Gerichts]</w:t>
      </w:r>
      <w:r w:rsidR="00EE35E2" w:rsidRPr="004676F5">
        <w:rPr>
          <w:lang w:val="de-DE"/>
        </w:rPr>
        <w:t xml:space="preserve"> </w:t>
      </w:r>
      <w:r w:rsidR="00EC7BBB" w:rsidRPr="004676F5">
        <w:rPr>
          <w:lang w:val="de-DE"/>
        </w:rPr>
        <w:t>[und die anschließende Konkurseröffnung oder Liquidation werden]</w:t>
      </w:r>
      <w:r w:rsidR="00EE35E2" w:rsidRPr="004676F5">
        <w:rPr>
          <w:lang w:val="de-DE"/>
        </w:rPr>
        <w:t xml:space="preserve"> auszugsweise im </w:t>
      </w:r>
      <w:r w:rsidR="00EE35E2" w:rsidRPr="004676F5">
        <w:rPr>
          <w:i/>
          <w:lang w:val="de-DE"/>
        </w:rPr>
        <w:t>Belgischen Staatsblatt</w:t>
      </w:r>
      <w:r w:rsidR="00EE35E2" w:rsidRPr="004676F5">
        <w:rPr>
          <w:lang w:val="de-DE"/>
        </w:rPr>
        <w:t xml:space="preserve"> veröffentlicht.</w:t>
      </w:r>
    </w:p>
    <w:p w14:paraId="30091684" w14:textId="77777777" w:rsidR="00EE35E2" w:rsidRPr="004676F5" w:rsidRDefault="00EE35E2" w:rsidP="00EE35E2">
      <w:pPr>
        <w:ind w:firstLine="708"/>
        <w:jc w:val="both"/>
        <w:rPr>
          <w:lang w:val="de-DE"/>
        </w:rPr>
      </w:pPr>
    </w:p>
    <w:p w14:paraId="67B1A137" w14:textId="385B800C" w:rsidR="00EE35E2" w:rsidRPr="004676F5" w:rsidRDefault="00EE35E2" w:rsidP="00EE35E2">
      <w:pPr>
        <w:ind w:firstLine="708"/>
        <w:jc w:val="both"/>
        <w:rPr>
          <w:lang w:val="de-DE"/>
        </w:rPr>
      </w:pPr>
      <w:r w:rsidRPr="004676F5">
        <w:rPr>
          <w:lang w:val="de-DE"/>
        </w:rPr>
        <w:t xml:space="preserve">Die Entscheidung zum Abschluss des Verfahrens </w:t>
      </w:r>
      <w:r w:rsidR="00F454AF" w:rsidRPr="004676F5">
        <w:rPr>
          <w:lang w:val="de-DE"/>
        </w:rPr>
        <w:t xml:space="preserve">[der Übertragung unter der Autorität des Gerichts] </w:t>
      </w:r>
      <w:r w:rsidRPr="004676F5">
        <w:rPr>
          <w:lang w:val="de-DE"/>
        </w:rPr>
        <w:t>befreit den Erwerber von allen Verpflichtungen, die nicht in der Übertragungsurkunde angegeben sind.</w:t>
      </w:r>
    </w:p>
    <w:p w14:paraId="288ADFA3" w14:textId="77777777" w:rsidR="00EC7BBB" w:rsidRPr="004676F5" w:rsidRDefault="00EC7BBB" w:rsidP="00EC7BBB">
      <w:pPr>
        <w:jc w:val="both"/>
        <w:rPr>
          <w:lang w:val="de-DE"/>
        </w:rPr>
      </w:pPr>
    </w:p>
    <w:p w14:paraId="3B45FE7A" w14:textId="6EC162C7" w:rsidR="00EC7BBB" w:rsidRPr="004676F5" w:rsidRDefault="00EC7BBB" w:rsidP="00EC7BBB">
      <w:pPr>
        <w:jc w:val="both"/>
        <w:rPr>
          <w:i/>
          <w:iCs/>
          <w:lang w:val="de-DE"/>
        </w:rPr>
      </w:pPr>
      <w:r w:rsidRPr="004676F5">
        <w:rPr>
          <w:i/>
          <w:iCs/>
          <w:lang w:val="de-DE"/>
        </w:rPr>
        <w:t>[Art. XX.95 Abs. 1 abgeändert durch Art. 193 Nr. 1 und 2 des G. vom 7. Juni 2023 (B.S. vom 7. Juli 2023</w:t>
      </w:r>
      <w:r w:rsidR="00F454AF" w:rsidRPr="004676F5">
        <w:rPr>
          <w:i/>
          <w:iCs/>
          <w:lang w:val="de-DE"/>
        </w:rPr>
        <w:t>);</w:t>
      </w:r>
      <w:r w:rsidR="00F454AF" w:rsidRPr="004676F5">
        <w:rPr>
          <w:lang w:val="de-DE"/>
        </w:rPr>
        <w:t xml:space="preserve"> </w:t>
      </w:r>
      <w:r w:rsidR="00F454AF" w:rsidRPr="004676F5">
        <w:rPr>
          <w:i/>
          <w:iCs/>
          <w:lang w:val="de-DE"/>
        </w:rPr>
        <w:t>Abs. 2 abgeändert durch Art. 193 Nr. 1 des G. vom 7. Juni 2023 (B.S. vom 7. Juli 2023)</w:t>
      </w:r>
      <w:r w:rsidRPr="004676F5">
        <w:rPr>
          <w:i/>
          <w:iCs/>
          <w:lang w:val="de-DE"/>
        </w:rPr>
        <w:t>]</w:t>
      </w:r>
    </w:p>
    <w:p w14:paraId="14713F9B" w14:textId="77777777" w:rsidR="00F454AF" w:rsidRPr="004676F5" w:rsidRDefault="00F454AF" w:rsidP="00EC7BBB">
      <w:pPr>
        <w:jc w:val="both"/>
        <w:rPr>
          <w:i/>
          <w:iCs/>
          <w:lang w:val="de-DE"/>
        </w:rPr>
      </w:pPr>
    </w:p>
    <w:p w14:paraId="79B62AF2" w14:textId="77777777" w:rsidR="00F454AF" w:rsidRPr="004676F5" w:rsidRDefault="00F454AF" w:rsidP="00EC7BBB">
      <w:pPr>
        <w:jc w:val="both"/>
        <w:rPr>
          <w:i/>
          <w:iCs/>
          <w:lang w:val="de-DE"/>
        </w:rPr>
      </w:pPr>
    </w:p>
    <w:p w14:paraId="53573E91" w14:textId="42F01FF9" w:rsidR="00EE35E2" w:rsidRPr="004676F5" w:rsidRDefault="00BE0A56" w:rsidP="00EC7BBB">
      <w:pPr>
        <w:ind w:firstLine="708"/>
        <w:jc w:val="both"/>
        <w:rPr>
          <w:lang w:val="de-DE"/>
        </w:rPr>
      </w:pPr>
      <w:r w:rsidRPr="004676F5">
        <w:rPr>
          <w:b/>
          <w:lang w:val="de-DE"/>
        </w:rPr>
        <w:t>Art. </w:t>
      </w:r>
      <w:r w:rsidR="00EE35E2" w:rsidRPr="004676F5">
        <w:rPr>
          <w:b/>
          <w:lang w:val="de-DE"/>
        </w:rPr>
        <w:t>XX.96</w:t>
      </w:r>
      <w:r w:rsidR="00EE35E2" w:rsidRPr="004676F5">
        <w:rPr>
          <w:lang w:val="de-DE"/>
        </w:rPr>
        <w:t> </w:t>
      </w:r>
      <w:r w:rsidR="005B7A5C" w:rsidRPr="004676F5">
        <w:rPr>
          <w:lang w:val="de-DE"/>
        </w:rPr>
        <w:t>- </w:t>
      </w:r>
      <w:r w:rsidR="00EC7BBB" w:rsidRPr="004676F5">
        <w:rPr>
          <w:lang w:val="de-DE"/>
        </w:rPr>
        <w:t>[...]</w:t>
      </w:r>
    </w:p>
    <w:p w14:paraId="20B2D004" w14:textId="77777777" w:rsidR="00EC7BBB" w:rsidRPr="004676F5" w:rsidRDefault="00EC7BBB" w:rsidP="00EC7BBB">
      <w:pPr>
        <w:jc w:val="both"/>
        <w:rPr>
          <w:lang w:val="de-DE"/>
        </w:rPr>
      </w:pPr>
    </w:p>
    <w:p w14:paraId="4C027CF0" w14:textId="15D6441E" w:rsidR="00EC7BBB" w:rsidRPr="004676F5" w:rsidRDefault="00EC7BBB" w:rsidP="00EC7BBB">
      <w:pPr>
        <w:jc w:val="both"/>
        <w:rPr>
          <w:i/>
          <w:iCs/>
          <w:lang w:val="de-DE"/>
        </w:rPr>
      </w:pPr>
      <w:r w:rsidRPr="004676F5">
        <w:rPr>
          <w:i/>
          <w:iCs/>
          <w:lang w:val="de-DE"/>
        </w:rPr>
        <w:t>[Art. XX.96 aufgehoben durch Art. 194 des G. vom 7. Juni 2023 (B.S. vom 7. Juli 2023)]</w:t>
      </w:r>
    </w:p>
    <w:p w14:paraId="550834E3" w14:textId="77777777" w:rsidR="00EE35E2" w:rsidRPr="004676F5" w:rsidRDefault="00EE35E2" w:rsidP="00EE35E2">
      <w:pPr>
        <w:ind w:firstLine="708"/>
        <w:jc w:val="both"/>
        <w:rPr>
          <w:lang w:val="de-DE"/>
        </w:rPr>
      </w:pPr>
    </w:p>
    <w:p w14:paraId="36E1DE1A" w14:textId="77777777" w:rsidR="00D11212" w:rsidRPr="004676F5" w:rsidRDefault="00D11212" w:rsidP="00EE35E2">
      <w:pPr>
        <w:ind w:firstLine="708"/>
        <w:jc w:val="both"/>
        <w:rPr>
          <w:lang w:val="de-DE"/>
        </w:rPr>
      </w:pPr>
    </w:p>
    <w:p w14:paraId="12126C08" w14:textId="4367EDA4" w:rsidR="00EE35E2" w:rsidRPr="004676F5" w:rsidRDefault="00BE0A56" w:rsidP="00EE35E2">
      <w:pPr>
        <w:ind w:firstLine="708"/>
        <w:jc w:val="both"/>
        <w:rPr>
          <w:lang w:val="de-DE"/>
        </w:rPr>
      </w:pPr>
      <w:r w:rsidRPr="004676F5">
        <w:rPr>
          <w:b/>
          <w:lang w:val="de-DE"/>
        </w:rPr>
        <w:t>Art. </w:t>
      </w:r>
      <w:r w:rsidR="00EE35E2" w:rsidRPr="004676F5">
        <w:rPr>
          <w:b/>
          <w:lang w:val="de-DE"/>
        </w:rPr>
        <w:t>XX.97</w:t>
      </w:r>
      <w:r w:rsidR="00EE35E2" w:rsidRPr="004676F5">
        <w:rPr>
          <w:lang w:val="de-DE"/>
        </w:rPr>
        <w:t> </w:t>
      </w:r>
      <w:r w:rsidR="005B7A5C" w:rsidRPr="004676F5">
        <w:rPr>
          <w:lang w:val="de-DE"/>
        </w:rPr>
        <w:t>- </w:t>
      </w:r>
      <w:r w:rsidR="00EC7BBB" w:rsidRPr="004676F5">
        <w:rPr>
          <w:lang w:val="de-DE"/>
        </w:rPr>
        <w:t>[Die Übertragung unter der Autorität des Gerichts des Vermögens einer natürlichen oder juristischen Person]</w:t>
      </w:r>
      <w:r w:rsidR="00EE35E2" w:rsidRPr="004676F5">
        <w:rPr>
          <w:lang w:val="de-DE"/>
        </w:rPr>
        <w:t xml:space="preserve"> kann für sich allein keine Grundlage für eine Haftpflichtklage darstellen, die gegen einen Kreditgeber oder einen Anleger erhoben wird, der einen Kredit für eine neue Tätigkeit gewährt oder in eine neue Tätigkeit investiert hat, die der Schuldner oder ein Geschäftsführer, Verwalter oder Leiter des Schuldners entfaltet, ungeachtet der Form, unter der diese neue Tätigkeit ausgeübt wird.</w:t>
      </w:r>
    </w:p>
    <w:p w14:paraId="0204EB10" w14:textId="77777777" w:rsidR="00EC7BBB" w:rsidRPr="004676F5" w:rsidRDefault="00EC7BBB" w:rsidP="00EC7BBB">
      <w:pPr>
        <w:jc w:val="both"/>
        <w:rPr>
          <w:lang w:val="de-DE"/>
        </w:rPr>
      </w:pPr>
    </w:p>
    <w:p w14:paraId="36BFE1ED" w14:textId="44642255" w:rsidR="00EC7BBB" w:rsidRPr="004676F5" w:rsidRDefault="00EC7BBB" w:rsidP="00EC7BBB">
      <w:pPr>
        <w:jc w:val="both"/>
        <w:rPr>
          <w:i/>
          <w:iCs/>
          <w:lang w:val="de-DE"/>
        </w:rPr>
      </w:pPr>
      <w:r w:rsidRPr="004676F5">
        <w:rPr>
          <w:i/>
          <w:iCs/>
          <w:lang w:val="de-DE"/>
        </w:rPr>
        <w:t>[Art. XX.97 abgeändert durch Art.195 Nr. 1 des G. vom 7. Juni 2023 (B.S. vom 7. Juli 2023)]</w:t>
      </w:r>
    </w:p>
    <w:p w14:paraId="3FE33853" w14:textId="0AF49183" w:rsidR="00EC7BBB" w:rsidRPr="004676F5" w:rsidRDefault="00EC7BBB">
      <w:pPr>
        <w:rPr>
          <w:lang w:val="de-DE"/>
        </w:rPr>
      </w:pPr>
      <w:r w:rsidRPr="004676F5">
        <w:rPr>
          <w:lang w:val="de-DE"/>
        </w:rPr>
        <w:br w:type="page"/>
      </w:r>
    </w:p>
    <w:p w14:paraId="637EFB65" w14:textId="749A709D" w:rsidR="00EC7BBB" w:rsidRPr="004676F5" w:rsidRDefault="00EC7BBB" w:rsidP="00EC7BBB">
      <w:pPr>
        <w:jc w:val="center"/>
        <w:rPr>
          <w:lang w:val="de-DE"/>
        </w:rPr>
      </w:pPr>
      <w:r w:rsidRPr="004676F5">
        <w:rPr>
          <w:lang w:val="de-DE"/>
        </w:rPr>
        <w:lastRenderedPageBreak/>
        <w:t>[</w:t>
      </w:r>
      <w:r w:rsidRPr="004676F5">
        <w:rPr>
          <w:b/>
          <w:bCs/>
          <w:lang w:val="de-DE"/>
        </w:rPr>
        <w:t>TITEL 5/3 - </w:t>
      </w:r>
      <w:r w:rsidRPr="004676F5">
        <w:rPr>
          <w:b/>
          <w:bCs/>
          <w:i/>
          <w:iCs/>
          <w:lang w:val="de-DE"/>
        </w:rPr>
        <w:t>Nicht öffentliche Vorbereitung eines Konkurses</w:t>
      </w:r>
      <w:r w:rsidRPr="004676F5">
        <w:rPr>
          <w:lang w:val="de-DE"/>
        </w:rPr>
        <w:t>]</w:t>
      </w:r>
    </w:p>
    <w:p w14:paraId="034328E9" w14:textId="77777777" w:rsidR="00EC7BBB" w:rsidRPr="004676F5" w:rsidRDefault="00EC7BBB" w:rsidP="00EC7BBB">
      <w:pPr>
        <w:jc w:val="center"/>
        <w:rPr>
          <w:lang w:val="de-DE"/>
        </w:rPr>
      </w:pPr>
    </w:p>
    <w:p w14:paraId="7B9AA2DD" w14:textId="2EF44408" w:rsidR="00EC7BBB" w:rsidRPr="004676F5" w:rsidRDefault="00EC7BBB" w:rsidP="00EC7BBB">
      <w:pPr>
        <w:jc w:val="both"/>
        <w:rPr>
          <w:i/>
          <w:iCs/>
          <w:lang w:val="de-DE"/>
        </w:rPr>
      </w:pPr>
      <w:r w:rsidRPr="004676F5">
        <w:rPr>
          <w:i/>
          <w:iCs/>
          <w:lang w:val="de-DE"/>
        </w:rPr>
        <w:t>[Unterteilung Titel 5/3 eingefügt durch Art. 196 des G. vom 7. Juni 2023 (B.S. vom 7. Juli 2023)]</w:t>
      </w:r>
    </w:p>
    <w:p w14:paraId="0A5ED611" w14:textId="77777777" w:rsidR="00EC7BBB" w:rsidRPr="004676F5" w:rsidRDefault="00EC7BBB" w:rsidP="00EC7BBB">
      <w:pPr>
        <w:jc w:val="both"/>
        <w:rPr>
          <w:lang w:val="de-DE"/>
        </w:rPr>
      </w:pPr>
    </w:p>
    <w:p w14:paraId="71463C61" w14:textId="77777777" w:rsidR="00EC7BBB" w:rsidRPr="004676F5" w:rsidRDefault="00EC7BBB" w:rsidP="00EC7BBB">
      <w:pPr>
        <w:jc w:val="both"/>
        <w:rPr>
          <w:lang w:val="de-DE"/>
        </w:rPr>
      </w:pPr>
    </w:p>
    <w:p w14:paraId="01383849" w14:textId="421703EE" w:rsidR="00EC7BBB" w:rsidRPr="004676F5" w:rsidRDefault="00EC7BBB" w:rsidP="00EC7BBB">
      <w:pPr>
        <w:jc w:val="both"/>
        <w:rPr>
          <w:lang w:val="de-DE"/>
        </w:rPr>
      </w:pPr>
      <w:r w:rsidRPr="004676F5">
        <w:rPr>
          <w:lang w:val="de-DE"/>
        </w:rPr>
        <w:tab/>
        <w:t>[</w:t>
      </w:r>
      <w:r w:rsidRPr="004676F5">
        <w:rPr>
          <w:b/>
          <w:bCs/>
          <w:lang w:val="de-DE"/>
        </w:rPr>
        <w:t>Art. XX.97/1</w:t>
      </w:r>
      <w:r w:rsidRPr="004676F5">
        <w:rPr>
          <w:lang w:val="de-DE"/>
        </w:rPr>
        <w:t> - § 1 - Ein Schuldner, der der Ansicht ist, dass er sich in Konkurs befindet, kann beim Gericht, das gemäß vorliegendem Gesetz zuständig wäre, beantragen, dass es den Konkurs über ihn eröffnet und vor der Konkurseröffnung die Übertragung der Gesamtheit oder eines Teils seiner Aktiva und seiner Tätigkeiten vorbereitet wird.</w:t>
      </w:r>
    </w:p>
    <w:p w14:paraId="64D3E763" w14:textId="77777777" w:rsidR="00EC7BBB" w:rsidRPr="004676F5" w:rsidRDefault="00EC7BBB" w:rsidP="00EC7BBB">
      <w:pPr>
        <w:jc w:val="both"/>
        <w:rPr>
          <w:lang w:val="de-DE"/>
        </w:rPr>
      </w:pPr>
    </w:p>
    <w:p w14:paraId="3060BAE0" w14:textId="77777777" w:rsidR="00EC7BBB" w:rsidRPr="004676F5" w:rsidRDefault="00EC7BBB" w:rsidP="00EC7BBB">
      <w:pPr>
        <w:jc w:val="both"/>
        <w:rPr>
          <w:lang w:val="de-DE"/>
        </w:rPr>
      </w:pPr>
      <w:r w:rsidRPr="004676F5">
        <w:rPr>
          <w:lang w:val="de-DE"/>
        </w:rPr>
        <w:tab/>
        <w:t>§ 2 - Die Antragschrift wird im Register hinterlegt. Der Schuldner fügt dem Antrag die in Artikel XX.103 erwähnten Unterlagen bei. Das Verfahren findet unter Ausschluss der Öffentlichkeit statt und wird nicht bekannt gemacht.</w:t>
      </w:r>
    </w:p>
    <w:p w14:paraId="09EDF6A0" w14:textId="77777777" w:rsidR="00EC7BBB" w:rsidRPr="004676F5" w:rsidRDefault="00EC7BBB" w:rsidP="00EC7BBB">
      <w:pPr>
        <w:jc w:val="both"/>
        <w:rPr>
          <w:lang w:val="de-DE"/>
        </w:rPr>
      </w:pPr>
    </w:p>
    <w:p w14:paraId="091B0409" w14:textId="77777777" w:rsidR="00EC7BBB" w:rsidRPr="004676F5" w:rsidRDefault="00EC7BBB" w:rsidP="00EC7BBB">
      <w:pPr>
        <w:jc w:val="both"/>
        <w:rPr>
          <w:lang w:val="de-DE"/>
        </w:rPr>
      </w:pPr>
      <w:r w:rsidRPr="004676F5">
        <w:rPr>
          <w:lang w:val="de-DE"/>
        </w:rPr>
        <w:tab/>
        <w:t>Der Antrag wird innerhalb dreier Werktage in der Ratskammer behandelt.</w:t>
      </w:r>
    </w:p>
    <w:p w14:paraId="6C7691AD" w14:textId="77777777" w:rsidR="00EC7BBB" w:rsidRPr="004676F5" w:rsidRDefault="00EC7BBB" w:rsidP="00EC7BBB">
      <w:pPr>
        <w:jc w:val="both"/>
        <w:rPr>
          <w:lang w:val="de-DE"/>
        </w:rPr>
      </w:pPr>
    </w:p>
    <w:p w14:paraId="1BBF93D5" w14:textId="77777777" w:rsidR="00EC7BBB" w:rsidRPr="004676F5" w:rsidRDefault="00EC7BBB" w:rsidP="00EC7BBB">
      <w:pPr>
        <w:jc w:val="both"/>
        <w:rPr>
          <w:lang w:val="de-DE"/>
        </w:rPr>
      </w:pPr>
      <w:r w:rsidRPr="004676F5">
        <w:rPr>
          <w:lang w:val="de-DE"/>
        </w:rPr>
        <w:tab/>
        <w:t>§ 3 - Der Schuldner zeigt in seiner Antragschrift, dass mit dieser Art der Vorbereitung des Konkurses:</w:t>
      </w:r>
    </w:p>
    <w:p w14:paraId="1F972121" w14:textId="77777777" w:rsidR="00EC7BBB" w:rsidRPr="004676F5" w:rsidRDefault="00EC7BBB" w:rsidP="00EC7BBB">
      <w:pPr>
        <w:jc w:val="both"/>
        <w:rPr>
          <w:lang w:val="de-DE"/>
        </w:rPr>
      </w:pPr>
    </w:p>
    <w:p w14:paraId="03DEC529" w14:textId="77777777" w:rsidR="00EC7BBB" w:rsidRPr="004676F5" w:rsidRDefault="00EC7BBB" w:rsidP="00EC7BBB">
      <w:pPr>
        <w:jc w:val="both"/>
        <w:rPr>
          <w:lang w:val="de-DE"/>
        </w:rPr>
      </w:pPr>
      <w:r w:rsidRPr="004676F5">
        <w:rPr>
          <w:lang w:val="de-DE"/>
        </w:rPr>
        <w:tab/>
        <w:t>- die Liquidation des Unternehmens erleichtert wird und eine höchstmögliche Zahlung an alle Gläubiger erreicht wird und</w:t>
      </w:r>
    </w:p>
    <w:p w14:paraId="143E6507" w14:textId="77777777" w:rsidR="00EC7BBB" w:rsidRPr="004676F5" w:rsidRDefault="00EC7BBB" w:rsidP="00EC7BBB">
      <w:pPr>
        <w:jc w:val="both"/>
        <w:rPr>
          <w:lang w:val="de-DE"/>
        </w:rPr>
      </w:pPr>
    </w:p>
    <w:p w14:paraId="38B67AAF" w14:textId="07FE8BB8" w:rsidR="00EC7BBB" w:rsidRPr="004676F5" w:rsidRDefault="00EC7BBB" w:rsidP="00EC7BBB">
      <w:pPr>
        <w:jc w:val="both"/>
        <w:rPr>
          <w:vanish/>
          <w:lang w:val="de-DE"/>
          <w:specVanish/>
        </w:rPr>
      </w:pPr>
      <w:r w:rsidRPr="004676F5">
        <w:rPr>
          <w:lang w:val="de-DE"/>
        </w:rPr>
        <w:tab/>
        <w:t>- die Beschäftigung so weit wie möglich erhalten werden kann.</w:t>
      </w:r>
    </w:p>
    <w:p w14:paraId="55F041ED" w14:textId="5C03A2C9" w:rsidR="00EC7BBB" w:rsidRPr="004676F5" w:rsidRDefault="00EC7BBB" w:rsidP="00EC7BBB">
      <w:pPr>
        <w:jc w:val="both"/>
        <w:rPr>
          <w:lang w:val="de-DE"/>
        </w:rPr>
      </w:pPr>
      <w:r w:rsidRPr="004676F5">
        <w:rPr>
          <w:lang w:val="de-DE"/>
        </w:rPr>
        <w:t>]</w:t>
      </w:r>
    </w:p>
    <w:p w14:paraId="2A0A85AF" w14:textId="77777777" w:rsidR="00EC7BBB" w:rsidRPr="004676F5" w:rsidRDefault="00EC7BBB" w:rsidP="00EC7BBB">
      <w:pPr>
        <w:jc w:val="both"/>
        <w:rPr>
          <w:lang w:val="de-DE"/>
        </w:rPr>
      </w:pPr>
    </w:p>
    <w:p w14:paraId="23AFA07B" w14:textId="70581E83" w:rsidR="00EC7BBB" w:rsidRPr="004676F5" w:rsidRDefault="00EC7BBB" w:rsidP="00EC7BBB">
      <w:pPr>
        <w:jc w:val="both"/>
        <w:rPr>
          <w:i/>
          <w:iCs/>
          <w:lang w:val="de-DE"/>
        </w:rPr>
      </w:pPr>
      <w:r w:rsidRPr="004676F5">
        <w:rPr>
          <w:i/>
          <w:iCs/>
          <w:lang w:val="de-DE"/>
        </w:rPr>
        <w:t>[Art. </w:t>
      </w:r>
      <w:r w:rsidR="00F454AF" w:rsidRPr="004676F5">
        <w:rPr>
          <w:i/>
          <w:iCs/>
          <w:lang w:val="de-DE"/>
        </w:rPr>
        <w:t>XX.</w:t>
      </w:r>
      <w:r w:rsidRPr="004676F5">
        <w:rPr>
          <w:i/>
          <w:iCs/>
          <w:lang w:val="de-DE"/>
        </w:rPr>
        <w:t>97/1 eingefügt durch Art. 197 des G. vom 7. Juni 2023 (B.S. vom 7. Juli 2023)]</w:t>
      </w:r>
    </w:p>
    <w:p w14:paraId="45BC71E1" w14:textId="77777777" w:rsidR="00EC7BBB" w:rsidRPr="004676F5" w:rsidRDefault="00EC7BBB" w:rsidP="00EC7BBB">
      <w:pPr>
        <w:jc w:val="both"/>
        <w:rPr>
          <w:lang w:val="de-DE"/>
        </w:rPr>
      </w:pPr>
    </w:p>
    <w:p w14:paraId="643A57C8" w14:textId="77777777" w:rsidR="00EC7BBB" w:rsidRPr="004676F5" w:rsidRDefault="00EC7BBB" w:rsidP="00EC7BBB">
      <w:pPr>
        <w:jc w:val="both"/>
        <w:rPr>
          <w:lang w:val="de-DE"/>
        </w:rPr>
      </w:pPr>
    </w:p>
    <w:p w14:paraId="6B2FF990" w14:textId="0308A59F" w:rsidR="00EC7BBB" w:rsidRPr="004676F5" w:rsidRDefault="00EC7BBB" w:rsidP="00EC7BBB">
      <w:pPr>
        <w:jc w:val="both"/>
        <w:rPr>
          <w:lang w:val="de-DE"/>
        </w:rPr>
      </w:pPr>
      <w:r w:rsidRPr="004676F5">
        <w:rPr>
          <w:lang w:val="de-DE"/>
        </w:rPr>
        <w:tab/>
        <w:t>[</w:t>
      </w:r>
      <w:r w:rsidRPr="004676F5">
        <w:rPr>
          <w:b/>
          <w:bCs/>
          <w:lang w:val="de-DE"/>
        </w:rPr>
        <w:t>Art. XX.97/2</w:t>
      </w:r>
      <w:r w:rsidRPr="004676F5">
        <w:rPr>
          <w:lang w:val="de-DE"/>
        </w:rPr>
        <w:t> - Das mit dem Konkurs befasste Unternehmensgericht bestellt einen oder mehrere Liquidationsbearbeiter, im Folgenden als vorgesehene Konkursverwalter bezeichnet, die im Falle der Konkurseröffnung außer in Ausnahmefällen als Konkursverwalter bestellt werden, und einen Konkursrichter, im Folgenden als vorgesehener Konkursrichter bezeichnet, der außer in Ausnahmefällen auch im Konkurs als Konkursrichter bestellt wird.</w:t>
      </w:r>
    </w:p>
    <w:p w14:paraId="2A85F5A9" w14:textId="77777777" w:rsidR="00EC7BBB" w:rsidRPr="004676F5" w:rsidRDefault="00EC7BBB" w:rsidP="00EC7BBB">
      <w:pPr>
        <w:jc w:val="both"/>
        <w:rPr>
          <w:lang w:val="de-DE"/>
        </w:rPr>
      </w:pPr>
    </w:p>
    <w:p w14:paraId="702E210B" w14:textId="422D8BC4" w:rsidR="00EC7BBB" w:rsidRPr="004676F5" w:rsidRDefault="00EC7BBB" w:rsidP="00EC7BBB">
      <w:pPr>
        <w:jc w:val="both"/>
        <w:rPr>
          <w:lang w:val="de-DE"/>
        </w:rPr>
      </w:pPr>
      <w:r w:rsidRPr="004676F5">
        <w:rPr>
          <w:lang w:val="de-DE"/>
        </w:rPr>
        <w:tab/>
        <w:t>Die Bestellung gilt für einen Zeitraum von höchstens dreißig Tagen und kann auf Antrag des Schuldners oder des vorgesehenen Konkursverwalters vom Gericht nach Anhörung des vorgesehenen Konkursrichters um bis zu dreißig Tage verlängert werden.]</w:t>
      </w:r>
    </w:p>
    <w:p w14:paraId="077E9835" w14:textId="77777777" w:rsidR="00EC7BBB" w:rsidRPr="004676F5" w:rsidRDefault="00EC7BBB" w:rsidP="00EC7BBB">
      <w:pPr>
        <w:jc w:val="both"/>
        <w:rPr>
          <w:lang w:val="de-DE"/>
        </w:rPr>
      </w:pPr>
    </w:p>
    <w:p w14:paraId="74667652" w14:textId="4ADD850D" w:rsidR="00EC7BBB" w:rsidRPr="004676F5" w:rsidRDefault="00EC7BBB" w:rsidP="00EC7BBB">
      <w:pPr>
        <w:jc w:val="both"/>
        <w:rPr>
          <w:i/>
          <w:iCs/>
          <w:lang w:val="de-DE"/>
        </w:rPr>
      </w:pPr>
      <w:r w:rsidRPr="004676F5">
        <w:rPr>
          <w:i/>
          <w:iCs/>
          <w:lang w:val="de-DE"/>
        </w:rPr>
        <w:t>[Art.</w:t>
      </w:r>
      <w:r w:rsidR="00F454AF" w:rsidRPr="004676F5">
        <w:rPr>
          <w:i/>
          <w:iCs/>
          <w:lang w:val="de-DE"/>
        </w:rPr>
        <w:t xml:space="preserve"> XX.</w:t>
      </w:r>
      <w:r w:rsidRPr="004676F5">
        <w:rPr>
          <w:i/>
          <w:iCs/>
          <w:lang w:val="de-DE"/>
        </w:rPr>
        <w:t>97/2 eingefügt durch Art. 198 des G. vom 7. Juni 2023 (B.S. vom 7. Juli 2023)]</w:t>
      </w:r>
    </w:p>
    <w:p w14:paraId="4310BE6F" w14:textId="77777777" w:rsidR="00EC7BBB" w:rsidRPr="004676F5" w:rsidRDefault="00EC7BBB" w:rsidP="00EC7BBB">
      <w:pPr>
        <w:jc w:val="both"/>
        <w:rPr>
          <w:lang w:val="de-DE"/>
        </w:rPr>
      </w:pPr>
    </w:p>
    <w:p w14:paraId="34B69C3B" w14:textId="77777777" w:rsidR="00EC7BBB" w:rsidRPr="004676F5" w:rsidRDefault="00EC7BBB" w:rsidP="00EC7BBB">
      <w:pPr>
        <w:jc w:val="both"/>
        <w:rPr>
          <w:lang w:val="de-DE"/>
        </w:rPr>
      </w:pPr>
    </w:p>
    <w:p w14:paraId="0B23736D" w14:textId="5D90A844" w:rsidR="00EC7BBB" w:rsidRPr="004676F5" w:rsidRDefault="00EC7BBB" w:rsidP="00EC7BBB">
      <w:pPr>
        <w:jc w:val="both"/>
        <w:rPr>
          <w:lang w:val="de-DE"/>
        </w:rPr>
      </w:pPr>
      <w:r w:rsidRPr="004676F5">
        <w:rPr>
          <w:lang w:val="de-DE"/>
        </w:rPr>
        <w:tab/>
        <w:t>[</w:t>
      </w:r>
      <w:r w:rsidRPr="004676F5">
        <w:rPr>
          <w:b/>
          <w:bCs/>
          <w:lang w:val="de-DE"/>
        </w:rPr>
        <w:t>Art. XX.97/3</w:t>
      </w:r>
      <w:r w:rsidRPr="004676F5">
        <w:rPr>
          <w:lang w:val="de-DE"/>
        </w:rPr>
        <w:t> - Der bestellte vorgesehene Konkursverwalter prüft, inwieweit das vom Schuldner vorgeschlagene Ziel erreichbar ist. Er ist an der Vorbereitung des möglichen Konkurses beteiligt und vertritt dort die Interessen der Masse der Gläubiger des Schuldners; er unterliegt der Aufsicht des vorgesehenen Konkursrichters.</w:t>
      </w:r>
    </w:p>
    <w:p w14:paraId="6A0FDFA8" w14:textId="77777777" w:rsidR="00EC7BBB" w:rsidRPr="004676F5" w:rsidRDefault="00EC7BBB" w:rsidP="00EC7BBB">
      <w:pPr>
        <w:jc w:val="both"/>
        <w:rPr>
          <w:lang w:val="de-DE"/>
        </w:rPr>
      </w:pPr>
    </w:p>
    <w:p w14:paraId="7E041FAC" w14:textId="7D7D77C7" w:rsidR="00EC7BBB" w:rsidRPr="004676F5" w:rsidRDefault="00EC7BBB" w:rsidP="00EC7BBB">
      <w:pPr>
        <w:jc w:val="both"/>
        <w:rPr>
          <w:lang w:val="de-DE"/>
        </w:rPr>
      </w:pPr>
      <w:r w:rsidRPr="004676F5">
        <w:rPr>
          <w:lang w:val="de-DE"/>
        </w:rPr>
        <w:tab/>
        <w:t xml:space="preserve">Der vorgesehene Konkursverwalter informiert den vorgesehenen Konkursrichter schriftlich über die Möglichkeit, dass die Gesamtheit oder ein Teil der Aktiva oder das gesamte Unternehmen oder ein Teil des Unternehmens an verbundene Unternehmen oder an Personen übertragen werden, die die Kontrolle über das Unternehmen ausüben oder während sechs </w:t>
      </w:r>
      <w:r w:rsidRPr="004676F5">
        <w:rPr>
          <w:lang w:val="de-DE"/>
        </w:rPr>
        <w:lastRenderedPageBreak/>
        <w:t>Monaten vor Eröffnung des Verfahrens ausgeübt haben und die gleichzeitig direkt oder indirekt die Kontrolle über Rechte ausüben, die für den Wert des Unternehmens und die Übertragung seiner Tätigkeiten ausschlaggebend sind.]</w:t>
      </w:r>
    </w:p>
    <w:p w14:paraId="4717C8CC" w14:textId="77777777" w:rsidR="00EC7BBB" w:rsidRPr="004676F5" w:rsidRDefault="00EC7BBB" w:rsidP="00EC7BBB">
      <w:pPr>
        <w:jc w:val="both"/>
        <w:rPr>
          <w:lang w:val="de-DE"/>
        </w:rPr>
      </w:pPr>
    </w:p>
    <w:p w14:paraId="3B345B71" w14:textId="482EEEAB" w:rsidR="00EC7BBB" w:rsidRPr="004676F5" w:rsidRDefault="00EC7BBB" w:rsidP="00EC7BBB">
      <w:pPr>
        <w:jc w:val="both"/>
        <w:rPr>
          <w:i/>
          <w:iCs/>
          <w:lang w:val="de-DE"/>
        </w:rPr>
      </w:pPr>
      <w:r w:rsidRPr="004676F5">
        <w:rPr>
          <w:i/>
          <w:iCs/>
          <w:lang w:val="de-DE"/>
        </w:rPr>
        <w:t>[Art. </w:t>
      </w:r>
      <w:r w:rsidR="00F454AF" w:rsidRPr="004676F5">
        <w:rPr>
          <w:i/>
          <w:iCs/>
          <w:lang w:val="de-DE"/>
        </w:rPr>
        <w:t>XX.</w:t>
      </w:r>
      <w:r w:rsidRPr="004676F5">
        <w:rPr>
          <w:i/>
          <w:iCs/>
          <w:lang w:val="de-DE"/>
        </w:rPr>
        <w:t>97/3 eingefügt durch Art. 199 des G. vom 7. Juni 2023 (B.S. vom 7. Juli 2023)]</w:t>
      </w:r>
    </w:p>
    <w:p w14:paraId="02F990CB" w14:textId="77777777" w:rsidR="00EC7BBB" w:rsidRPr="004676F5" w:rsidRDefault="00EC7BBB" w:rsidP="00EC7BBB">
      <w:pPr>
        <w:jc w:val="both"/>
        <w:rPr>
          <w:lang w:val="de-DE"/>
        </w:rPr>
      </w:pPr>
    </w:p>
    <w:p w14:paraId="2C1730E6" w14:textId="77777777" w:rsidR="00EC7BBB" w:rsidRPr="004676F5" w:rsidRDefault="00EC7BBB" w:rsidP="00EC7BBB">
      <w:pPr>
        <w:jc w:val="both"/>
        <w:rPr>
          <w:lang w:val="de-DE"/>
        </w:rPr>
      </w:pPr>
    </w:p>
    <w:p w14:paraId="10BBA453" w14:textId="29812E34" w:rsidR="00EC7BBB" w:rsidRPr="004676F5" w:rsidRDefault="00EC7BBB" w:rsidP="00EC7BBB">
      <w:pPr>
        <w:ind w:firstLine="708"/>
        <w:jc w:val="both"/>
        <w:rPr>
          <w:lang w:val="de-DE"/>
        </w:rPr>
      </w:pPr>
      <w:r w:rsidRPr="004676F5">
        <w:rPr>
          <w:lang w:val="de-DE"/>
        </w:rPr>
        <w:t>[</w:t>
      </w:r>
      <w:r w:rsidRPr="004676F5">
        <w:rPr>
          <w:b/>
          <w:bCs/>
          <w:lang w:val="de-DE"/>
        </w:rPr>
        <w:t>Art. XX.97/4</w:t>
      </w:r>
      <w:r w:rsidRPr="004676F5">
        <w:rPr>
          <w:lang w:val="de-DE"/>
        </w:rPr>
        <w:t> - Der vorgesehene Konkursverwalter hat das Recht, Informationen über den Schuldner oder seine Verwaltungsorgane zu dem in Artikel XX.97/1 beschriebenen Zweck einzuholen. Nur wenn der Schuldner zustimmt, kann er Kontakt zu Dritten aufnehmen oder einen Sachverständigen mit einer Untersuchung beauftragen. Das Gericht kann dem vorgesehenen Konkursverwalter jedoch jederzeit zusätzliche Befugnisse erteilen, wenn es dies für notwendig erachtet, auch von Amts wegen.]</w:t>
      </w:r>
    </w:p>
    <w:p w14:paraId="482D1793" w14:textId="77777777" w:rsidR="00EC7BBB" w:rsidRPr="004676F5" w:rsidRDefault="00EC7BBB" w:rsidP="00EC7BBB">
      <w:pPr>
        <w:jc w:val="both"/>
        <w:rPr>
          <w:lang w:val="de-DE"/>
        </w:rPr>
      </w:pPr>
    </w:p>
    <w:p w14:paraId="49DAC284" w14:textId="4D7541F0" w:rsidR="00EC7BBB" w:rsidRPr="004676F5" w:rsidRDefault="00EC7BBB" w:rsidP="00EC7BBB">
      <w:pPr>
        <w:jc w:val="both"/>
        <w:rPr>
          <w:i/>
          <w:iCs/>
          <w:lang w:val="de-DE"/>
        </w:rPr>
      </w:pPr>
      <w:r w:rsidRPr="004676F5">
        <w:rPr>
          <w:i/>
          <w:iCs/>
          <w:lang w:val="de-DE"/>
        </w:rPr>
        <w:t>[Art. </w:t>
      </w:r>
      <w:r w:rsidR="00F454AF" w:rsidRPr="004676F5">
        <w:rPr>
          <w:i/>
          <w:iCs/>
          <w:lang w:val="de-DE"/>
        </w:rPr>
        <w:t>XX.</w:t>
      </w:r>
      <w:r w:rsidRPr="004676F5">
        <w:rPr>
          <w:i/>
          <w:iCs/>
          <w:lang w:val="de-DE"/>
        </w:rPr>
        <w:t>97/4 eingefügt durch Art. 200 des G. vom 7. Juni 2023 (B.S. vom 7. Juli 2023)]</w:t>
      </w:r>
    </w:p>
    <w:p w14:paraId="402E435B" w14:textId="77777777" w:rsidR="00EC7BBB" w:rsidRPr="004676F5" w:rsidRDefault="00EC7BBB" w:rsidP="00EC7BBB">
      <w:pPr>
        <w:jc w:val="both"/>
        <w:rPr>
          <w:lang w:val="de-DE"/>
        </w:rPr>
      </w:pPr>
    </w:p>
    <w:p w14:paraId="099BC38C" w14:textId="77777777" w:rsidR="00EC7BBB" w:rsidRPr="004676F5" w:rsidRDefault="00EC7BBB" w:rsidP="00EC7BBB">
      <w:pPr>
        <w:jc w:val="both"/>
        <w:rPr>
          <w:lang w:val="de-DE"/>
        </w:rPr>
      </w:pPr>
    </w:p>
    <w:p w14:paraId="19DCC3E3" w14:textId="7124FFE6" w:rsidR="00EC7BBB" w:rsidRPr="004676F5" w:rsidRDefault="00EC7BBB" w:rsidP="00EC7BBB">
      <w:pPr>
        <w:jc w:val="both"/>
        <w:rPr>
          <w:lang w:val="de-DE"/>
        </w:rPr>
      </w:pPr>
      <w:r w:rsidRPr="004676F5">
        <w:rPr>
          <w:lang w:val="de-DE"/>
        </w:rPr>
        <w:tab/>
        <w:t>[</w:t>
      </w:r>
      <w:r w:rsidRPr="004676F5">
        <w:rPr>
          <w:b/>
          <w:bCs/>
          <w:lang w:val="de-DE"/>
        </w:rPr>
        <w:t>Art. XX.97/5</w:t>
      </w:r>
      <w:r w:rsidRPr="004676F5">
        <w:rPr>
          <w:lang w:val="de-DE"/>
        </w:rPr>
        <w:t> - Der Schuldner behält jederzeit das Recht, beim Gericht die Eröffnung des Konkurses zu beantragen. Dies erfolgt über eine Anmeldung der Zahlungseinstellung, die vorrangig behandelt wird.</w:t>
      </w:r>
    </w:p>
    <w:p w14:paraId="45539F0D" w14:textId="77777777" w:rsidR="00EC7BBB" w:rsidRPr="004676F5" w:rsidRDefault="00EC7BBB" w:rsidP="00EC7BBB">
      <w:pPr>
        <w:jc w:val="both"/>
        <w:rPr>
          <w:lang w:val="de-DE"/>
        </w:rPr>
      </w:pPr>
    </w:p>
    <w:p w14:paraId="3409896B" w14:textId="77777777" w:rsidR="00EC7BBB" w:rsidRPr="004676F5" w:rsidRDefault="00EC7BBB" w:rsidP="00EC7BBB">
      <w:pPr>
        <w:jc w:val="both"/>
        <w:rPr>
          <w:lang w:val="de-DE"/>
        </w:rPr>
      </w:pPr>
      <w:r w:rsidRPr="004676F5">
        <w:rPr>
          <w:lang w:val="de-DE"/>
        </w:rPr>
        <w:tab/>
        <w:t>Der vorgesehene Konkursverwalter kann durch eine im Register hinterlegte Antragschrift beantragen, dass sein Auftrag beendet wird und das Gericht die Vorbereitung des Konkurses einstellt.</w:t>
      </w:r>
    </w:p>
    <w:p w14:paraId="6CE9A396" w14:textId="77777777" w:rsidR="00EC7BBB" w:rsidRPr="004676F5" w:rsidRDefault="00EC7BBB" w:rsidP="00EC7BBB">
      <w:pPr>
        <w:jc w:val="both"/>
        <w:rPr>
          <w:lang w:val="de-DE"/>
        </w:rPr>
      </w:pPr>
    </w:p>
    <w:p w14:paraId="5A35A9E7" w14:textId="77777777" w:rsidR="00EC7BBB" w:rsidRPr="004676F5" w:rsidRDefault="00EC7BBB" w:rsidP="00EC7BBB">
      <w:pPr>
        <w:jc w:val="both"/>
        <w:rPr>
          <w:lang w:val="de-DE"/>
        </w:rPr>
      </w:pPr>
      <w:r w:rsidRPr="004676F5">
        <w:rPr>
          <w:lang w:val="de-DE"/>
        </w:rPr>
        <w:tab/>
        <w:t>Die Gläubiger, die Staatsanwaltschaft oder der Konkursverwalter des Hauptverfahrens im Falle eines in Artikel XX.12 erwähnten Territorialinsolvenzverfahrens behalten ihr Recht, die in Artikel XX.100 vorgesehene Konkursklage einzureichen.</w:t>
      </w:r>
    </w:p>
    <w:p w14:paraId="57C3D8DC" w14:textId="77777777" w:rsidR="00EC7BBB" w:rsidRPr="004676F5" w:rsidRDefault="00EC7BBB" w:rsidP="00EC7BBB">
      <w:pPr>
        <w:jc w:val="both"/>
        <w:rPr>
          <w:lang w:val="de-DE"/>
        </w:rPr>
      </w:pPr>
    </w:p>
    <w:p w14:paraId="0F6356E0" w14:textId="77777777" w:rsidR="00EC7BBB" w:rsidRPr="004676F5" w:rsidRDefault="00EC7BBB" w:rsidP="00EC7BBB">
      <w:pPr>
        <w:jc w:val="both"/>
        <w:rPr>
          <w:lang w:val="de-DE"/>
        </w:rPr>
      </w:pPr>
      <w:r w:rsidRPr="004676F5">
        <w:rPr>
          <w:lang w:val="de-DE"/>
        </w:rPr>
        <w:tab/>
        <w:t>Wenn der Schuldner nach Ablauf der gegebenenfalls verlängerten Frist von dreißig Tagen nichts unternimmt, handelt das Gericht nach Vorladung des Schuldners gemäß den Artikeln XX.100 und XX.101.</w:t>
      </w:r>
    </w:p>
    <w:p w14:paraId="710898E1" w14:textId="77777777" w:rsidR="00EC7BBB" w:rsidRPr="004676F5" w:rsidRDefault="00EC7BBB" w:rsidP="00EC7BBB">
      <w:pPr>
        <w:jc w:val="both"/>
        <w:rPr>
          <w:lang w:val="de-DE"/>
        </w:rPr>
      </w:pPr>
    </w:p>
    <w:p w14:paraId="71DDD0D8" w14:textId="6BE332EE" w:rsidR="00EC7BBB" w:rsidRPr="004676F5" w:rsidRDefault="00EC7BBB" w:rsidP="00EC7BBB">
      <w:pPr>
        <w:jc w:val="both"/>
        <w:rPr>
          <w:lang w:val="de-DE"/>
        </w:rPr>
      </w:pPr>
      <w:r w:rsidRPr="004676F5">
        <w:rPr>
          <w:lang w:val="de-DE"/>
        </w:rPr>
        <w:tab/>
        <w:t>Wird der Konkurs eröffnet, bestellt das Gericht vorbehaltlich einer mit Gründen versehenen gegenteiligen Entscheidung den vorgesehenen Konkursrichter und den vorgesehenen Konkursverwalter als Konkursrichter beziehungsweise Konkursverwalter im Konkurs.]</w:t>
      </w:r>
    </w:p>
    <w:p w14:paraId="74762E43" w14:textId="77777777" w:rsidR="00EC7BBB" w:rsidRPr="004676F5" w:rsidRDefault="00EC7BBB" w:rsidP="00EC7BBB">
      <w:pPr>
        <w:jc w:val="both"/>
        <w:rPr>
          <w:lang w:val="de-DE"/>
        </w:rPr>
      </w:pPr>
    </w:p>
    <w:p w14:paraId="73B4A59F" w14:textId="7F233DDC" w:rsidR="00EC7BBB" w:rsidRPr="004676F5" w:rsidRDefault="00EC7BBB" w:rsidP="00EC7BBB">
      <w:pPr>
        <w:jc w:val="both"/>
        <w:rPr>
          <w:i/>
          <w:iCs/>
          <w:lang w:val="de-DE"/>
        </w:rPr>
      </w:pPr>
      <w:r w:rsidRPr="004676F5">
        <w:rPr>
          <w:i/>
          <w:iCs/>
          <w:lang w:val="de-DE"/>
        </w:rPr>
        <w:t>[Art. </w:t>
      </w:r>
      <w:r w:rsidR="00F454AF" w:rsidRPr="004676F5">
        <w:rPr>
          <w:i/>
          <w:iCs/>
          <w:lang w:val="de-DE"/>
        </w:rPr>
        <w:t>XX.</w:t>
      </w:r>
      <w:r w:rsidRPr="004676F5">
        <w:rPr>
          <w:i/>
          <w:iCs/>
          <w:lang w:val="de-DE"/>
        </w:rPr>
        <w:t>97/5 eingefügt durch Art. 201 des G. vom 7. Juni 2023 (B.S. vom 7. Juli 2023)]</w:t>
      </w:r>
    </w:p>
    <w:p w14:paraId="60DC04E5" w14:textId="77777777" w:rsidR="00EC7BBB" w:rsidRPr="004676F5" w:rsidRDefault="00EC7BBB" w:rsidP="00EC7BBB">
      <w:pPr>
        <w:jc w:val="both"/>
        <w:rPr>
          <w:lang w:val="de-DE"/>
        </w:rPr>
      </w:pPr>
    </w:p>
    <w:p w14:paraId="4BA45771" w14:textId="77777777" w:rsidR="00EC7BBB" w:rsidRPr="004676F5" w:rsidRDefault="00EC7BBB" w:rsidP="00EC7BBB">
      <w:pPr>
        <w:jc w:val="both"/>
        <w:rPr>
          <w:lang w:val="de-DE"/>
        </w:rPr>
      </w:pPr>
    </w:p>
    <w:p w14:paraId="18C3235A" w14:textId="51C3A9AB" w:rsidR="00EC7BBB" w:rsidRPr="004676F5" w:rsidRDefault="00EC7BBB" w:rsidP="00EC7BBB">
      <w:pPr>
        <w:jc w:val="both"/>
        <w:rPr>
          <w:lang w:val="de-DE"/>
        </w:rPr>
      </w:pPr>
      <w:r w:rsidRPr="004676F5">
        <w:rPr>
          <w:lang w:val="de-DE"/>
        </w:rPr>
        <w:tab/>
        <w:t>[</w:t>
      </w:r>
      <w:r w:rsidRPr="004676F5">
        <w:rPr>
          <w:b/>
          <w:bCs/>
          <w:lang w:val="de-DE"/>
        </w:rPr>
        <w:t>Art. XX.97/6</w:t>
      </w:r>
      <w:r w:rsidRPr="004676F5">
        <w:rPr>
          <w:lang w:val="de-DE"/>
        </w:rPr>
        <w:t> - Die Kosten des vorgesehenen Konkursverwalters werden im Streitfall vom Gericht wie die Kosten eines gerichtlichen Sachverständigen festgelegt. Für die Forderung des vorgesehenen Konkursverwalters gilt bei anschließender Gläubigerkonkurrenz das in den Artikeln 17 und 19 Nr. 1 des Hypothekengesetzes vom 16. Dezember 1851 erwähnte Vorzugsrecht.]</w:t>
      </w:r>
    </w:p>
    <w:p w14:paraId="6C0D7A6C" w14:textId="77777777" w:rsidR="00EC7BBB" w:rsidRPr="004676F5" w:rsidRDefault="00EC7BBB" w:rsidP="00EC7BBB">
      <w:pPr>
        <w:jc w:val="both"/>
        <w:rPr>
          <w:lang w:val="de-DE"/>
        </w:rPr>
      </w:pPr>
    </w:p>
    <w:p w14:paraId="7FF5A8C4" w14:textId="4A09B7D7" w:rsidR="00EC7BBB" w:rsidRPr="004676F5" w:rsidRDefault="00EC7BBB" w:rsidP="00EC7BBB">
      <w:pPr>
        <w:jc w:val="both"/>
        <w:rPr>
          <w:i/>
          <w:iCs/>
          <w:lang w:val="de-DE"/>
        </w:rPr>
      </w:pPr>
      <w:r w:rsidRPr="004676F5">
        <w:rPr>
          <w:i/>
          <w:iCs/>
          <w:lang w:val="de-DE"/>
        </w:rPr>
        <w:t>[Art. </w:t>
      </w:r>
      <w:r w:rsidR="00F454AF" w:rsidRPr="004676F5">
        <w:rPr>
          <w:i/>
          <w:iCs/>
          <w:lang w:val="de-DE"/>
        </w:rPr>
        <w:t>XX.</w:t>
      </w:r>
      <w:r w:rsidRPr="004676F5">
        <w:rPr>
          <w:i/>
          <w:iCs/>
          <w:lang w:val="de-DE"/>
        </w:rPr>
        <w:t>97/6 eingefügt durch Art. 202 des G. vom 7. Juni 2023 (B.S. vom 7. Juli 2023)]</w:t>
      </w:r>
    </w:p>
    <w:p w14:paraId="5E453259" w14:textId="77777777" w:rsidR="00D11212" w:rsidRPr="004676F5" w:rsidRDefault="00D11212">
      <w:pPr>
        <w:rPr>
          <w:b/>
          <w:lang w:val="de-DE"/>
        </w:rPr>
      </w:pPr>
      <w:r w:rsidRPr="004676F5">
        <w:rPr>
          <w:b/>
          <w:lang w:val="de-DE"/>
        </w:rPr>
        <w:br w:type="page"/>
      </w:r>
    </w:p>
    <w:p w14:paraId="1FA97047" w14:textId="0B06129B" w:rsidR="00EE35E2" w:rsidRPr="004676F5" w:rsidRDefault="00EE35E2" w:rsidP="00EE35E2">
      <w:pPr>
        <w:jc w:val="center"/>
        <w:rPr>
          <w:b/>
          <w:lang w:val="de-DE"/>
        </w:rPr>
      </w:pPr>
      <w:r w:rsidRPr="004676F5">
        <w:rPr>
          <w:b/>
          <w:lang w:val="de-DE"/>
        </w:rPr>
        <w:lastRenderedPageBreak/>
        <w:t>TITEL 6 </w:t>
      </w:r>
      <w:r w:rsidR="005B7A5C" w:rsidRPr="004676F5">
        <w:rPr>
          <w:b/>
          <w:lang w:val="de-DE"/>
        </w:rPr>
        <w:t>- </w:t>
      </w:r>
      <w:r w:rsidRPr="004676F5">
        <w:rPr>
          <w:b/>
          <w:i/>
          <w:lang w:val="de-DE"/>
        </w:rPr>
        <w:t>Konkurs</w:t>
      </w:r>
    </w:p>
    <w:p w14:paraId="42451581" w14:textId="77777777" w:rsidR="00EE35E2" w:rsidRPr="004676F5" w:rsidRDefault="00EE35E2" w:rsidP="00EE35E2">
      <w:pPr>
        <w:jc w:val="center"/>
        <w:rPr>
          <w:lang w:val="de-DE"/>
        </w:rPr>
      </w:pPr>
    </w:p>
    <w:p w14:paraId="6F56DB2A" w14:textId="77777777" w:rsidR="00D11212" w:rsidRPr="004676F5" w:rsidRDefault="00D11212" w:rsidP="00EE35E2">
      <w:pPr>
        <w:jc w:val="center"/>
        <w:rPr>
          <w:lang w:val="de-DE"/>
        </w:rPr>
      </w:pPr>
    </w:p>
    <w:p w14:paraId="7222CA46" w14:textId="5CFE50FE" w:rsidR="00EE35E2" w:rsidRPr="004676F5" w:rsidRDefault="00EE35E2" w:rsidP="00EE35E2">
      <w:pPr>
        <w:jc w:val="center"/>
        <w:rPr>
          <w:lang w:val="de-DE"/>
        </w:rPr>
      </w:pPr>
      <w:r w:rsidRPr="004676F5">
        <w:rPr>
          <w:lang w:val="de-DE"/>
        </w:rPr>
        <w:t>KAPITEL 1 </w:t>
      </w:r>
      <w:r w:rsidR="005B7A5C" w:rsidRPr="004676F5">
        <w:rPr>
          <w:lang w:val="de-DE"/>
        </w:rPr>
        <w:t>- </w:t>
      </w:r>
      <w:r w:rsidRPr="004676F5">
        <w:rPr>
          <w:i/>
          <w:lang w:val="de-DE"/>
        </w:rPr>
        <w:t>Zahlungseinstellung und Konkurseröffnung</w:t>
      </w:r>
    </w:p>
    <w:p w14:paraId="3BB6CE8D" w14:textId="77777777" w:rsidR="00EE35E2" w:rsidRPr="004676F5" w:rsidRDefault="00EE35E2" w:rsidP="00EE35E2">
      <w:pPr>
        <w:jc w:val="both"/>
        <w:rPr>
          <w:lang w:val="de-DE"/>
        </w:rPr>
      </w:pPr>
    </w:p>
    <w:p w14:paraId="6F1EB915" w14:textId="77777777" w:rsidR="00D11212" w:rsidRPr="004676F5" w:rsidRDefault="00D11212" w:rsidP="00EE35E2">
      <w:pPr>
        <w:jc w:val="both"/>
        <w:rPr>
          <w:lang w:val="de-DE"/>
        </w:rPr>
      </w:pPr>
    </w:p>
    <w:p w14:paraId="08AF4DDF" w14:textId="024AD938" w:rsidR="00EE35E2" w:rsidRPr="004676F5" w:rsidRDefault="00BE0A56" w:rsidP="00EE35E2">
      <w:pPr>
        <w:ind w:firstLine="708"/>
        <w:jc w:val="both"/>
        <w:rPr>
          <w:lang w:val="de-DE"/>
        </w:rPr>
      </w:pPr>
      <w:r w:rsidRPr="004676F5">
        <w:rPr>
          <w:b/>
          <w:lang w:val="de-DE"/>
        </w:rPr>
        <w:t>Art. </w:t>
      </w:r>
      <w:r w:rsidR="00EE35E2" w:rsidRPr="004676F5">
        <w:rPr>
          <w:b/>
          <w:lang w:val="de-DE"/>
        </w:rPr>
        <w:t>XX.98</w:t>
      </w:r>
      <w:r w:rsidR="00EE35E2" w:rsidRPr="004676F5">
        <w:rPr>
          <w:lang w:val="de-DE"/>
        </w:rPr>
        <w:t> </w:t>
      </w:r>
      <w:r w:rsidR="005B7A5C" w:rsidRPr="004676F5">
        <w:rPr>
          <w:lang w:val="de-DE"/>
        </w:rPr>
        <w:t>- </w:t>
      </w:r>
      <w:r w:rsidR="00EE35E2" w:rsidRPr="004676F5">
        <w:rPr>
          <w:lang w:val="de-DE"/>
        </w:rPr>
        <w:t>Ziel des Konkursverfahrens ist es, das Vermögen eines Schuldners unter die Verwaltungsbefugnis eines Konkursverwalters zu stellen, der damit beauftragt ist, das Vermögen des Konkursschuldners zu verwalten, zu liquidieren und den Ertrag der Liquidation unter die Schuldner zu verteilen.</w:t>
      </w:r>
    </w:p>
    <w:p w14:paraId="484B2593" w14:textId="77777777" w:rsidR="00EE35E2" w:rsidRPr="004676F5" w:rsidRDefault="00EE35E2" w:rsidP="00EE35E2">
      <w:pPr>
        <w:ind w:firstLine="708"/>
        <w:jc w:val="both"/>
        <w:rPr>
          <w:lang w:val="de-DE"/>
        </w:rPr>
      </w:pPr>
    </w:p>
    <w:p w14:paraId="05ED4FC6" w14:textId="77777777" w:rsidR="00D11212" w:rsidRPr="004676F5" w:rsidRDefault="00D11212" w:rsidP="00EE35E2">
      <w:pPr>
        <w:ind w:firstLine="708"/>
        <w:jc w:val="both"/>
        <w:rPr>
          <w:lang w:val="de-DE"/>
        </w:rPr>
      </w:pPr>
    </w:p>
    <w:p w14:paraId="7C1A0A76" w14:textId="0A24BB5D" w:rsidR="00EE35E2" w:rsidRPr="004676F5" w:rsidRDefault="00BE0A56" w:rsidP="00EE35E2">
      <w:pPr>
        <w:ind w:firstLine="708"/>
        <w:jc w:val="both"/>
        <w:rPr>
          <w:lang w:val="de-DE"/>
        </w:rPr>
      </w:pPr>
      <w:r w:rsidRPr="004676F5">
        <w:rPr>
          <w:b/>
          <w:lang w:val="de-DE"/>
        </w:rPr>
        <w:t>Art. </w:t>
      </w:r>
      <w:r w:rsidR="00EE35E2" w:rsidRPr="004676F5">
        <w:rPr>
          <w:b/>
          <w:lang w:val="de-DE"/>
        </w:rPr>
        <w:t>XX.99</w:t>
      </w:r>
      <w:r w:rsidR="00EE35E2" w:rsidRPr="004676F5">
        <w:rPr>
          <w:lang w:val="de-DE"/>
        </w:rPr>
        <w:t> </w:t>
      </w:r>
      <w:r w:rsidR="005B7A5C" w:rsidRPr="004676F5">
        <w:rPr>
          <w:lang w:val="de-DE"/>
        </w:rPr>
        <w:t>- </w:t>
      </w:r>
      <w:r w:rsidR="00EE35E2" w:rsidRPr="004676F5">
        <w:rPr>
          <w:lang w:val="de-DE"/>
        </w:rPr>
        <w:t>Ein Schuldner, der seine Zahlungen auf dauerhafte Weise eingestellt hat und dessen Kreditwürdigkeit beeinträchtigt ist, befindet sich im Konkurs.</w:t>
      </w:r>
    </w:p>
    <w:p w14:paraId="0E103F2A" w14:textId="77777777" w:rsidR="00EE35E2" w:rsidRPr="004676F5" w:rsidRDefault="00EE35E2" w:rsidP="00EE35E2">
      <w:pPr>
        <w:ind w:firstLine="708"/>
        <w:jc w:val="both"/>
        <w:rPr>
          <w:lang w:val="de-DE"/>
        </w:rPr>
      </w:pPr>
    </w:p>
    <w:p w14:paraId="2053F01F" w14:textId="77777777" w:rsidR="00EE35E2" w:rsidRPr="004676F5" w:rsidRDefault="00EE35E2" w:rsidP="00EE35E2">
      <w:pPr>
        <w:ind w:firstLine="708"/>
        <w:jc w:val="both"/>
        <w:rPr>
          <w:lang w:val="de-DE"/>
        </w:rPr>
      </w:pPr>
      <w:r w:rsidRPr="004676F5">
        <w:rPr>
          <w:lang w:val="de-DE"/>
        </w:rPr>
        <w:t>Gegen jemanden, der als natürliche Person keine wirtschaftliche Tätigkeit mehr ausübt, kann der Konkurs eröffnet werden, sofern er seine Zahlungen eingestellt hat, als er noch diese Tätigkeit ausübte.</w:t>
      </w:r>
    </w:p>
    <w:p w14:paraId="4F2FA223" w14:textId="77777777" w:rsidR="00EE35E2" w:rsidRPr="004676F5" w:rsidRDefault="00EE35E2" w:rsidP="00EE35E2">
      <w:pPr>
        <w:ind w:firstLine="708"/>
        <w:jc w:val="both"/>
        <w:rPr>
          <w:lang w:val="de-DE"/>
        </w:rPr>
      </w:pPr>
    </w:p>
    <w:p w14:paraId="716C007D" w14:textId="77777777" w:rsidR="00EE35E2" w:rsidRPr="004676F5" w:rsidRDefault="00EE35E2" w:rsidP="00EE35E2">
      <w:pPr>
        <w:ind w:firstLine="708"/>
        <w:jc w:val="both"/>
        <w:rPr>
          <w:lang w:val="de-DE"/>
        </w:rPr>
      </w:pPr>
      <w:r w:rsidRPr="004676F5">
        <w:rPr>
          <w:lang w:val="de-DE"/>
        </w:rPr>
        <w:t>Gegen eine natürliche Person, die gestorben ist, nachdem sie ihre Zahlungen auf dauerhafte Weise eingestellt hatte, und deren Kreditwürdigkeit beeinträchtigt war, kann bis zu sechs Monaten nach ihrem Tod der Konkurs eröffnet werden.</w:t>
      </w:r>
    </w:p>
    <w:p w14:paraId="575BAB34" w14:textId="77777777" w:rsidR="00EE35E2" w:rsidRPr="004676F5" w:rsidRDefault="00EE35E2" w:rsidP="00EE35E2">
      <w:pPr>
        <w:ind w:firstLine="708"/>
        <w:jc w:val="both"/>
        <w:rPr>
          <w:lang w:val="de-DE"/>
        </w:rPr>
      </w:pPr>
    </w:p>
    <w:p w14:paraId="72C3C407" w14:textId="77777777" w:rsidR="00EE35E2" w:rsidRPr="004676F5" w:rsidRDefault="00EE35E2" w:rsidP="00EE35E2">
      <w:pPr>
        <w:ind w:firstLine="708"/>
        <w:jc w:val="both"/>
        <w:rPr>
          <w:lang w:val="de-DE"/>
        </w:rPr>
      </w:pPr>
      <w:r w:rsidRPr="004676F5">
        <w:rPr>
          <w:lang w:val="de-DE"/>
        </w:rPr>
        <w:t>Gegen eine aufgelöste juristische Person kann bis zu sechs Monaten nach Abschluss der Liquidation der Konkurs eröffnet werden.</w:t>
      </w:r>
    </w:p>
    <w:p w14:paraId="5B442E16" w14:textId="77777777" w:rsidR="00EE35E2" w:rsidRPr="004676F5" w:rsidRDefault="00EE35E2" w:rsidP="00EE35E2">
      <w:pPr>
        <w:ind w:firstLine="708"/>
        <w:jc w:val="both"/>
        <w:rPr>
          <w:lang w:val="de-DE"/>
        </w:rPr>
      </w:pPr>
    </w:p>
    <w:p w14:paraId="61A8F169" w14:textId="2AEE8726" w:rsidR="00EE35E2" w:rsidRPr="004676F5" w:rsidRDefault="00EE35E2" w:rsidP="00EE35E2">
      <w:pPr>
        <w:ind w:firstLine="708"/>
        <w:jc w:val="both"/>
        <w:rPr>
          <w:lang w:val="de-DE"/>
        </w:rPr>
      </w:pPr>
      <w:r w:rsidRPr="004676F5">
        <w:rPr>
          <w:lang w:val="de-DE"/>
        </w:rPr>
        <w:t xml:space="preserve">Bei Konkurs eines </w:t>
      </w:r>
      <w:r w:rsidR="002A3D76" w:rsidRPr="004676F5">
        <w:rPr>
          <w:lang w:val="de-DE"/>
        </w:rPr>
        <w:t>[in Artikel I.1 Nr. 1 Absatz 1 Buchstabe </w:t>
      </w:r>
      <w:r w:rsidR="002A3D76" w:rsidRPr="004676F5">
        <w:rPr>
          <w:i/>
          <w:iCs/>
          <w:lang w:val="de-DE"/>
        </w:rPr>
        <w:t>(c)</w:t>
      </w:r>
      <w:r w:rsidR="002A3D76" w:rsidRPr="004676F5">
        <w:rPr>
          <w:iCs/>
          <w:lang w:val="de-DE"/>
        </w:rPr>
        <w:t xml:space="preserve">] </w:t>
      </w:r>
      <w:r w:rsidRPr="004676F5">
        <w:rPr>
          <w:lang w:val="de-DE"/>
        </w:rPr>
        <w:t>erwähnten Unternehmens oder einer juristischen Person, deren Gesellschafter aufgrund des Gesetzes unbeschränkt haften, kann nur der Konkursverwalter einen Gesellschafter persönlich haftbar machen für die Passiva dieses Unternehmens.</w:t>
      </w:r>
    </w:p>
    <w:p w14:paraId="294226CE" w14:textId="1BC3888F" w:rsidR="00EE35E2" w:rsidRPr="004676F5" w:rsidRDefault="00EE35E2" w:rsidP="00EE35E2">
      <w:pPr>
        <w:ind w:firstLine="708"/>
        <w:jc w:val="both"/>
        <w:rPr>
          <w:lang w:val="de-DE"/>
        </w:rPr>
      </w:pPr>
    </w:p>
    <w:p w14:paraId="375AA1ED" w14:textId="69D53592" w:rsidR="002A3D76" w:rsidRPr="004676F5" w:rsidRDefault="002A3D76" w:rsidP="002A3D76">
      <w:pPr>
        <w:jc w:val="both"/>
        <w:rPr>
          <w:i/>
          <w:lang w:val="de-DE"/>
        </w:rPr>
      </w:pPr>
      <w:r w:rsidRPr="004676F5">
        <w:rPr>
          <w:i/>
          <w:lang w:val="de-DE"/>
        </w:rPr>
        <w:t>[Art. XX.99 Abs. 5 abgeändert durch Art. 229 des G. vom 15. April 2018 (B.S. vom 27. April 2018)]</w:t>
      </w:r>
    </w:p>
    <w:p w14:paraId="33750758" w14:textId="77777777" w:rsidR="002A3D76" w:rsidRPr="004676F5" w:rsidRDefault="002A3D76" w:rsidP="002A3D76">
      <w:pPr>
        <w:jc w:val="both"/>
        <w:rPr>
          <w:i/>
          <w:lang w:val="de-DE"/>
        </w:rPr>
      </w:pPr>
    </w:p>
    <w:p w14:paraId="69D7889F" w14:textId="77777777" w:rsidR="00D11212" w:rsidRPr="004676F5" w:rsidRDefault="00D11212" w:rsidP="00EE35E2">
      <w:pPr>
        <w:ind w:firstLine="708"/>
        <w:jc w:val="both"/>
        <w:rPr>
          <w:lang w:val="de-DE"/>
        </w:rPr>
      </w:pPr>
    </w:p>
    <w:p w14:paraId="0CA12929" w14:textId="426E081B" w:rsidR="00EE35E2" w:rsidRPr="004676F5" w:rsidRDefault="00BE0A56" w:rsidP="00EE35E2">
      <w:pPr>
        <w:ind w:firstLine="708"/>
        <w:jc w:val="both"/>
        <w:rPr>
          <w:lang w:val="de-DE"/>
        </w:rPr>
      </w:pPr>
      <w:r w:rsidRPr="004676F5">
        <w:rPr>
          <w:b/>
          <w:lang w:val="de-DE"/>
        </w:rPr>
        <w:t>Art. </w:t>
      </w:r>
      <w:r w:rsidR="00EE35E2" w:rsidRPr="004676F5">
        <w:rPr>
          <w:b/>
          <w:lang w:val="de-DE"/>
        </w:rPr>
        <w:t>XX.100</w:t>
      </w:r>
      <w:r w:rsidR="00EE35E2" w:rsidRPr="004676F5">
        <w:rPr>
          <w:lang w:val="de-DE"/>
        </w:rPr>
        <w:t> </w:t>
      </w:r>
      <w:r w:rsidR="005B7A5C" w:rsidRPr="004676F5">
        <w:rPr>
          <w:lang w:val="de-DE"/>
        </w:rPr>
        <w:t>- </w:t>
      </w:r>
      <w:r w:rsidR="00EE35E2" w:rsidRPr="004676F5">
        <w:rPr>
          <w:lang w:val="de-DE"/>
        </w:rPr>
        <w:t xml:space="preserve">Unbeschadet der Bestimmungen der Titel 1 und 4 des vorliegenden Buches wird der Konkurs durch Urteil des Insolvenzgerichts, bei dem die Sache anhängig gemacht worden ist, entweder auf Geständnis des Schuldners oder auf Ladung eines oder mehrerer Gläubiger, der Staatsanwaltschaft, des </w:t>
      </w:r>
      <w:r w:rsidR="001A6E25" w:rsidRPr="004676F5">
        <w:rPr>
          <w:lang w:val="de-DE"/>
        </w:rPr>
        <w:t>[in den Artikeln XX.32 und XX.83/33]</w:t>
      </w:r>
      <w:r w:rsidR="00EE35E2" w:rsidRPr="004676F5">
        <w:rPr>
          <w:lang w:val="de-DE"/>
        </w:rPr>
        <w:t xml:space="preserve"> erwähnten vorläufigen Verwalters oder, bei einem in Artikel XX.13 erwähnten Territorialinsolvenzverfahren, des Konkursverwalters des Hauptverfahrens eröffnet.</w:t>
      </w:r>
    </w:p>
    <w:p w14:paraId="1DB4C4DE" w14:textId="77777777" w:rsidR="00EE35E2" w:rsidRPr="004676F5" w:rsidRDefault="00EE35E2" w:rsidP="00EE35E2">
      <w:pPr>
        <w:ind w:firstLine="708"/>
        <w:jc w:val="both"/>
        <w:rPr>
          <w:lang w:val="de-DE"/>
        </w:rPr>
      </w:pPr>
    </w:p>
    <w:p w14:paraId="2A172927" w14:textId="77777777" w:rsidR="001A6E25" w:rsidRPr="004676F5" w:rsidRDefault="001A6E25" w:rsidP="001A6E25">
      <w:pPr>
        <w:ind w:firstLine="708"/>
        <w:jc w:val="both"/>
        <w:rPr>
          <w:lang w:val="de-DE"/>
        </w:rPr>
      </w:pPr>
      <w:r w:rsidRPr="004676F5">
        <w:rPr>
          <w:lang w:val="de-DE"/>
        </w:rPr>
        <w:t>[Die in Absatz 1 erwähnten Konkurskläger können mit demselben Schriftstück beantragen, dass das Gericht die gerichtliche Auflösung des Schuldners anordnet, nachdem es festgestellt hat, dass die Bedingungen für einen Konkurs gegeben sind.</w:t>
      </w:r>
    </w:p>
    <w:p w14:paraId="55928B64" w14:textId="77777777" w:rsidR="001A6E25" w:rsidRPr="004676F5" w:rsidRDefault="001A6E25" w:rsidP="001A6E25">
      <w:pPr>
        <w:jc w:val="both"/>
        <w:rPr>
          <w:lang w:val="de-DE"/>
        </w:rPr>
      </w:pPr>
    </w:p>
    <w:p w14:paraId="71FA6D71" w14:textId="77777777" w:rsidR="001A6E25" w:rsidRPr="004676F5" w:rsidRDefault="001A6E25" w:rsidP="001A6E25">
      <w:pPr>
        <w:jc w:val="both"/>
        <w:rPr>
          <w:lang w:val="de-DE"/>
        </w:rPr>
      </w:pPr>
      <w:r w:rsidRPr="004676F5">
        <w:rPr>
          <w:lang w:val="de-DE"/>
        </w:rPr>
        <w:tab/>
        <w:t>Eine Körperschaft, die aufgelöst und liquidiert werden kann und Konkursgeständnis anmeldet, kann in der Anmeldung oder bei der anschließenden Sitzung beantragen, dass das Gericht ihre gerichtliche Auflösung anordnet, nachdem es festgestellt hat, dass die Bedingungen für einen Konkurs gegeben sind.</w:t>
      </w:r>
    </w:p>
    <w:p w14:paraId="2F457A65" w14:textId="77777777" w:rsidR="001A6E25" w:rsidRPr="004676F5" w:rsidRDefault="001A6E25" w:rsidP="001A6E25">
      <w:pPr>
        <w:jc w:val="both"/>
        <w:rPr>
          <w:lang w:val="de-DE"/>
        </w:rPr>
      </w:pPr>
    </w:p>
    <w:p w14:paraId="17752F5D" w14:textId="77777777" w:rsidR="001A6E25" w:rsidRPr="004676F5" w:rsidRDefault="001A6E25" w:rsidP="001A6E25">
      <w:pPr>
        <w:jc w:val="both"/>
        <w:rPr>
          <w:lang w:val="de-DE"/>
        </w:rPr>
      </w:pPr>
      <w:r w:rsidRPr="004676F5">
        <w:rPr>
          <w:lang w:val="de-DE"/>
        </w:rPr>
        <w:tab/>
        <w:t>Das Gericht ordnet eine gerichtliche Auflösung an, wenn es keine nennenswerten Aktiva gibt und das öffentliche Interesse es erfordert.</w:t>
      </w:r>
    </w:p>
    <w:p w14:paraId="05A6BEE2" w14:textId="77777777" w:rsidR="001A6E25" w:rsidRPr="004676F5" w:rsidRDefault="001A6E25" w:rsidP="001A6E25">
      <w:pPr>
        <w:jc w:val="both"/>
        <w:rPr>
          <w:lang w:val="de-DE"/>
        </w:rPr>
      </w:pPr>
    </w:p>
    <w:p w14:paraId="4FD51C7E" w14:textId="67D0DF92" w:rsidR="001A6E25" w:rsidRPr="004676F5" w:rsidRDefault="001A6E25" w:rsidP="001A6E25">
      <w:pPr>
        <w:ind w:firstLine="708"/>
        <w:jc w:val="both"/>
        <w:rPr>
          <w:lang w:val="de-DE"/>
        </w:rPr>
      </w:pPr>
      <w:r w:rsidRPr="004676F5">
        <w:rPr>
          <w:lang w:val="de-DE"/>
        </w:rPr>
        <w:t>Wenn das Gericht die gerichtliche Auflösung anordnet, wird das Verfahren gemäß Artikel 2:76 und folgenden des Gesetzbuches der Gesellschaften und Vereinigungen fortgesetzt.]</w:t>
      </w:r>
    </w:p>
    <w:p w14:paraId="3829A57A" w14:textId="77777777" w:rsidR="001A6E25" w:rsidRPr="004676F5" w:rsidRDefault="001A6E25" w:rsidP="001A6E25">
      <w:pPr>
        <w:ind w:firstLine="708"/>
        <w:jc w:val="both"/>
        <w:rPr>
          <w:lang w:val="de-DE"/>
        </w:rPr>
      </w:pPr>
    </w:p>
    <w:p w14:paraId="3AF12A40" w14:textId="136E7280" w:rsidR="00EE35E2" w:rsidRPr="004676F5" w:rsidRDefault="00EE35E2" w:rsidP="00EE35E2">
      <w:pPr>
        <w:ind w:firstLine="708"/>
        <w:jc w:val="both"/>
        <w:rPr>
          <w:lang w:val="de-DE"/>
        </w:rPr>
      </w:pPr>
      <w:r w:rsidRPr="004676F5">
        <w:rPr>
          <w:lang w:val="de-DE"/>
        </w:rPr>
        <w:t xml:space="preserve">Bei Konkursladung eines </w:t>
      </w:r>
      <w:r w:rsidR="002A3D76" w:rsidRPr="004676F5">
        <w:rPr>
          <w:lang w:val="de-DE"/>
        </w:rPr>
        <w:t>[in Artikel I.1 Nr. 1 Absatz 1 Buchstabe </w:t>
      </w:r>
      <w:r w:rsidR="002A3D76" w:rsidRPr="004676F5">
        <w:rPr>
          <w:i/>
          <w:iCs/>
          <w:lang w:val="de-DE"/>
        </w:rPr>
        <w:t>(c)</w:t>
      </w:r>
      <w:r w:rsidR="002A3D76" w:rsidRPr="004676F5">
        <w:rPr>
          <w:lang w:val="de-DE"/>
        </w:rPr>
        <w:t>]</w:t>
      </w:r>
      <w:r w:rsidRPr="004676F5">
        <w:rPr>
          <w:lang w:val="de-DE"/>
        </w:rPr>
        <w:t xml:space="preserve"> erwähnten Unternehmens oder einer juristischen Person, deren Gesellschafter unbeschränkt haften, muss der Kläger deren Gesellschafter, die ihm bekannt sind, in das Verfahren einbeziehen.</w:t>
      </w:r>
    </w:p>
    <w:p w14:paraId="085C0D46" w14:textId="77777777" w:rsidR="001A6E25" w:rsidRPr="004676F5" w:rsidRDefault="001A6E25" w:rsidP="001A6E25">
      <w:pPr>
        <w:jc w:val="both"/>
        <w:rPr>
          <w:lang w:val="de-DE"/>
        </w:rPr>
      </w:pPr>
    </w:p>
    <w:p w14:paraId="71C37ABB" w14:textId="3294A78B" w:rsidR="00EE35E2" w:rsidRPr="004676F5" w:rsidRDefault="00EE35E2" w:rsidP="00EE35E2">
      <w:pPr>
        <w:ind w:firstLine="708"/>
        <w:jc w:val="both"/>
        <w:rPr>
          <w:lang w:val="de-DE"/>
        </w:rPr>
      </w:pPr>
      <w:r w:rsidRPr="004676F5">
        <w:rPr>
          <w:lang w:val="de-DE"/>
        </w:rPr>
        <w:t xml:space="preserve">Bei Konkursgeständnis eines </w:t>
      </w:r>
      <w:r w:rsidR="002A3D76" w:rsidRPr="004676F5">
        <w:rPr>
          <w:lang w:val="de-DE"/>
        </w:rPr>
        <w:t>[in Artikel I.1 Nr. 1 Absatz 1 Buchstabe </w:t>
      </w:r>
      <w:r w:rsidR="002A3D76" w:rsidRPr="004676F5">
        <w:rPr>
          <w:i/>
          <w:iCs/>
          <w:lang w:val="de-DE"/>
        </w:rPr>
        <w:t>(c)</w:t>
      </w:r>
      <w:r w:rsidR="002A3D76" w:rsidRPr="004676F5">
        <w:rPr>
          <w:iCs/>
          <w:lang w:val="de-DE"/>
        </w:rPr>
        <w:t>]</w:t>
      </w:r>
      <w:r w:rsidR="002A3D76" w:rsidRPr="004676F5">
        <w:rPr>
          <w:i/>
          <w:iCs/>
          <w:lang w:val="de-DE"/>
        </w:rPr>
        <w:t xml:space="preserve"> </w:t>
      </w:r>
      <w:r w:rsidRPr="004676F5">
        <w:rPr>
          <w:lang w:val="de-DE"/>
        </w:rPr>
        <w:t>erwähnten Unternehmens oder einer juristischen Person, deren Gesellschafter unbeschränkt haften, muss das Unternehmen die Gesellschafter in das Verfahren einbeziehen.</w:t>
      </w:r>
    </w:p>
    <w:p w14:paraId="024B0871" w14:textId="138F8343" w:rsidR="002A3D76" w:rsidRPr="004676F5" w:rsidRDefault="002A3D76" w:rsidP="00EE35E2">
      <w:pPr>
        <w:ind w:firstLine="708"/>
        <w:jc w:val="both"/>
        <w:rPr>
          <w:lang w:val="de-DE"/>
        </w:rPr>
      </w:pPr>
    </w:p>
    <w:p w14:paraId="03AB5B44" w14:textId="10790DCE" w:rsidR="002A3D76" w:rsidRPr="004676F5" w:rsidRDefault="002A3D76" w:rsidP="002A3D76">
      <w:pPr>
        <w:jc w:val="both"/>
        <w:rPr>
          <w:i/>
          <w:lang w:val="de-DE"/>
        </w:rPr>
      </w:pPr>
      <w:r w:rsidRPr="004676F5">
        <w:rPr>
          <w:i/>
          <w:lang w:val="de-DE"/>
        </w:rPr>
        <w:t xml:space="preserve">[Art. XX.100 </w:t>
      </w:r>
      <w:r w:rsidR="001A6E25" w:rsidRPr="004676F5">
        <w:rPr>
          <w:i/>
          <w:iCs/>
          <w:lang w:val="de-DE"/>
        </w:rPr>
        <w:t xml:space="preserve">Abs. 1 abgeändert durch Art. 203 Nr. 1 des G. vom 7. Juni 2023 (B.S. vom 7. Juli 2023); neue Absätze 2 bis 5 eingefügt durch Art. 203 Nr. 2 des G. vom 7. Juni 2023 (B.S. vom 7. Juli 2023); </w:t>
      </w:r>
      <w:r w:rsidRPr="004676F5">
        <w:rPr>
          <w:i/>
          <w:lang w:val="de-DE"/>
        </w:rPr>
        <w:t>Abs. </w:t>
      </w:r>
      <w:r w:rsidR="001A6E25" w:rsidRPr="004676F5">
        <w:rPr>
          <w:i/>
          <w:lang w:val="de-DE"/>
        </w:rPr>
        <w:t>6</w:t>
      </w:r>
      <w:r w:rsidRPr="004676F5">
        <w:rPr>
          <w:i/>
          <w:lang w:val="de-DE"/>
        </w:rPr>
        <w:t xml:space="preserve"> und </w:t>
      </w:r>
      <w:r w:rsidR="001A6E25" w:rsidRPr="004676F5">
        <w:rPr>
          <w:i/>
          <w:lang w:val="de-DE"/>
        </w:rPr>
        <w:t>7 (frühere Absätze 2 und 3)</w:t>
      </w:r>
      <w:r w:rsidRPr="004676F5">
        <w:rPr>
          <w:i/>
          <w:lang w:val="de-DE"/>
        </w:rPr>
        <w:t xml:space="preserve"> abgeändert durch Art. 230 des G. vom 15. April 2018 (B.S. vom 27. April 2018)]</w:t>
      </w:r>
    </w:p>
    <w:p w14:paraId="73484327" w14:textId="77777777" w:rsidR="00EE35E2" w:rsidRPr="004676F5" w:rsidRDefault="00EE35E2" w:rsidP="00EE35E2">
      <w:pPr>
        <w:ind w:firstLine="708"/>
        <w:jc w:val="both"/>
        <w:rPr>
          <w:lang w:val="de-DE"/>
        </w:rPr>
      </w:pPr>
    </w:p>
    <w:p w14:paraId="36452CAC" w14:textId="77777777" w:rsidR="00D11212" w:rsidRPr="004676F5" w:rsidRDefault="00D11212" w:rsidP="00EE35E2">
      <w:pPr>
        <w:ind w:firstLine="708"/>
        <w:jc w:val="both"/>
        <w:rPr>
          <w:lang w:val="de-DE"/>
        </w:rPr>
      </w:pPr>
    </w:p>
    <w:p w14:paraId="16CFA5EB" w14:textId="0B98D9F6" w:rsidR="00EE35E2" w:rsidRPr="004676F5" w:rsidRDefault="00BE0A56" w:rsidP="00EE35E2">
      <w:pPr>
        <w:ind w:firstLine="708"/>
        <w:jc w:val="both"/>
        <w:rPr>
          <w:lang w:val="de-DE"/>
        </w:rPr>
      </w:pPr>
      <w:r w:rsidRPr="004676F5">
        <w:rPr>
          <w:b/>
          <w:lang w:val="de-DE"/>
        </w:rPr>
        <w:t>Art. </w:t>
      </w:r>
      <w:r w:rsidR="00EE35E2" w:rsidRPr="004676F5">
        <w:rPr>
          <w:b/>
          <w:lang w:val="de-DE"/>
        </w:rPr>
        <w:t>XX.101</w:t>
      </w:r>
      <w:r w:rsidR="00EE35E2" w:rsidRPr="004676F5">
        <w:rPr>
          <w:lang w:val="de-DE"/>
        </w:rPr>
        <w:t> </w:t>
      </w:r>
      <w:r w:rsidR="005B7A5C" w:rsidRPr="004676F5">
        <w:rPr>
          <w:lang w:val="de-DE"/>
        </w:rPr>
        <w:t>- </w:t>
      </w:r>
      <w:r w:rsidR="00EE35E2" w:rsidRPr="004676F5">
        <w:rPr>
          <w:lang w:val="de-DE"/>
        </w:rPr>
        <w:t>Sowohl bei Geständnis als bei Konkursklage kann das Insolvenzgericht seine Entscheidung für eine Frist von fünfzehn Tagen aussetzen, während deren der Schuldner eine gerichtliche Reorganisation beantragen kann oder der Prokurator des Königs, ein Gläubiger oder eine Person, die ein Interesse am Erwerb der Gesamtheit oder eines Teils der Aktiva oder der Tätigkeiten des Schuldners hat, eine gerichtliche Reorganisation durch Übertragung unter der Autorität des Gerichts beantragen kann.</w:t>
      </w:r>
    </w:p>
    <w:p w14:paraId="371CDD45" w14:textId="77777777" w:rsidR="00EE35E2" w:rsidRPr="004676F5" w:rsidRDefault="00EE35E2" w:rsidP="00EE35E2">
      <w:pPr>
        <w:ind w:firstLine="708"/>
        <w:jc w:val="both"/>
        <w:rPr>
          <w:lang w:val="de-DE"/>
        </w:rPr>
      </w:pPr>
    </w:p>
    <w:p w14:paraId="6961830B" w14:textId="77777777" w:rsidR="00D11212" w:rsidRPr="004676F5" w:rsidRDefault="00D11212" w:rsidP="00EE35E2">
      <w:pPr>
        <w:ind w:firstLine="708"/>
        <w:jc w:val="both"/>
        <w:rPr>
          <w:lang w:val="de-DE"/>
        </w:rPr>
      </w:pPr>
    </w:p>
    <w:p w14:paraId="5CED3B2D" w14:textId="2FED066A" w:rsidR="00EE35E2" w:rsidRPr="004676F5" w:rsidRDefault="00BE0A56" w:rsidP="00EE35E2">
      <w:pPr>
        <w:ind w:firstLine="708"/>
        <w:jc w:val="both"/>
        <w:rPr>
          <w:lang w:val="de-DE"/>
        </w:rPr>
      </w:pPr>
      <w:r w:rsidRPr="004676F5">
        <w:rPr>
          <w:b/>
          <w:lang w:val="de-DE"/>
        </w:rPr>
        <w:t>Art. </w:t>
      </w:r>
      <w:r w:rsidR="00EE35E2" w:rsidRPr="004676F5">
        <w:rPr>
          <w:b/>
          <w:lang w:val="de-DE"/>
        </w:rPr>
        <w:t>XX.102</w:t>
      </w:r>
      <w:r w:rsidR="00EE35E2" w:rsidRPr="004676F5">
        <w:rPr>
          <w:lang w:val="de-DE"/>
        </w:rPr>
        <w:t> </w:t>
      </w:r>
      <w:r w:rsidR="005B7A5C" w:rsidRPr="004676F5">
        <w:rPr>
          <w:lang w:val="de-DE"/>
        </w:rPr>
        <w:t>- </w:t>
      </w:r>
      <w:r w:rsidR="00EE35E2" w:rsidRPr="004676F5">
        <w:rPr>
          <w:lang w:val="de-DE"/>
        </w:rPr>
        <w:t>Ein Schuldner ist verpflichtet, binnen einem Monat, nachdem er seine Zahlungen eingestellt hat, dies bei der Kanzlei des zuständigen Gerichts zu gestehen.</w:t>
      </w:r>
    </w:p>
    <w:p w14:paraId="140402B2" w14:textId="77777777" w:rsidR="00EE35E2" w:rsidRPr="004676F5" w:rsidRDefault="00EE35E2" w:rsidP="00EE35E2">
      <w:pPr>
        <w:ind w:firstLine="708"/>
        <w:jc w:val="both"/>
        <w:rPr>
          <w:lang w:val="de-DE"/>
        </w:rPr>
      </w:pPr>
    </w:p>
    <w:p w14:paraId="78E815DE" w14:textId="77777777" w:rsidR="00EE35E2" w:rsidRPr="004676F5" w:rsidRDefault="00EE35E2" w:rsidP="00EE35E2">
      <w:pPr>
        <w:ind w:firstLine="708"/>
        <w:jc w:val="both"/>
        <w:rPr>
          <w:lang w:val="de-DE"/>
        </w:rPr>
      </w:pPr>
      <w:r w:rsidRPr="004676F5">
        <w:rPr>
          <w:lang w:val="de-DE"/>
        </w:rPr>
        <w:t>Das Geständnis erfolgt elektronisch im Register oder ausnahmsweise durch Hinterlegung einer Urkunde bei der Kanzlei, wenn der Schuldner nicht die Möglichkeit hat, das Geständnis elektronisch zu hinterlegen. In letzterem Fall wandelt der Greffier die Urkunde in eine elektronische Unterlage um. Der König legt die Form des Geständnisses fest.</w:t>
      </w:r>
    </w:p>
    <w:p w14:paraId="7A9BD01E" w14:textId="77777777" w:rsidR="00EE35E2" w:rsidRPr="004676F5" w:rsidRDefault="00EE35E2" w:rsidP="00EE35E2">
      <w:pPr>
        <w:ind w:firstLine="708"/>
        <w:jc w:val="both"/>
        <w:rPr>
          <w:lang w:val="de-DE"/>
        </w:rPr>
      </w:pPr>
    </w:p>
    <w:p w14:paraId="468C1372" w14:textId="6513D62B" w:rsidR="00EE35E2" w:rsidRPr="004676F5" w:rsidRDefault="00EE35E2" w:rsidP="00EE35E2">
      <w:pPr>
        <w:ind w:firstLine="708"/>
        <w:jc w:val="both"/>
        <w:rPr>
          <w:lang w:val="de-DE"/>
        </w:rPr>
      </w:pPr>
      <w:r w:rsidRPr="004676F5">
        <w:rPr>
          <w:lang w:val="de-DE"/>
        </w:rPr>
        <w:t xml:space="preserve">Der Schuldner erhält eine Bestätigung des Empfangs des Geständnisses. Spätestens zu diesem Zeitpunkt müssen Geständnis und Angaben zur Untermauerung des Konkurses dem Betriebsrat oder </w:t>
      </w:r>
      <w:r w:rsidR="005B7A5C" w:rsidRPr="004676F5">
        <w:rPr>
          <w:lang w:val="de-DE"/>
        </w:rPr>
        <w:t>- </w:t>
      </w:r>
      <w:r w:rsidRPr="004676F5">
        <w:rPr>
          <w:lang w:val="de-DE"/>
        </w:rPr>
        <w:t>in dessen Ermangelung </w:t>
      </w:r>
      <w:r w:rsidR="005B7A5C" w:rsidRPr="004676F5">
        <w:rPr>
          <w:lang w:val="de-DE"/>
        </w:rPr>
        <w:t>- </w:t>
      </w:r>
      <w:r w:rsidRPr="004676F5">
        <w:rPr>
          <w:lang w:val="de-DE"/>
        </w:rPr>
        <w:t xml:space="preserve">dem Ausschuss für Gefahrenverhütung und Schutz am Arbeitsplatz oder </w:t>
      </w:r>
      <w:r w:rsidR="005B7A5C" w:rsidRPr="004676F5">
        <w:rPr>
          <w:lang w:val="de-DE"/>
        </w:rPr>
        <w:t>- </w:t>
      </w:r>
      <w:r w:rsidRPr="004676F5">
        <w:rPr>
          <w:lang w:val="de-DE"/>
        </w:rPr>
        <w:t>in dessen Ermangelung </w:t>
      </w:r>
      <w:r w:rsidR="005B7A5C" w:rsidRPr="004676F5">
        <w:rPr>
          <w:lang w:val="de-DE"/>
        </w:rPr>
        <w:t>- </w:t>
      </w:r>
      <w:r w:rsidRPr="004676F5">
        <w:rPr>
          <w:lang w:val="de-DE"/>
        </w:rPr>
        <w:t xml:space="preserve">der Gewerkschaftsvertretung, wenn eine Gewerkschaftsvertretung gebildet worden ist, oder </w:t>
      </w:r>
      <w:r w:rsidR="005B7A5C" w:rsidRPr="004676F5">
        <w:rPr>
          <w:lang w:val="de-DE"/>
        </w:rPr>
        <w:t>- </w:t>
      </w:r>
      <w:r w:rsidRPr="004676F5">
        <w:rPr>
          <w:lang w:val="de-DE"/>
        </w:rPr>
        <w:t>in deren Ermangelung </w:t>
      </w:r>
      <w:r w:rsidR="005B7A5C" w:rsidRPr="004676F5">
        <w:rPr>
          <w:lang w:val="de-DE"/>
        </w:rPr>
        <w:t>- </w:t>
      </w:r>
      <w:r w:rsidRPr="004676F5">
        <w:rPr>
          <w:lang w:val="de-DE"/>
        </w:rPr>
        <w:t>einer Abordnung des Personals mitgeteilt werden. Dieses Geständnis und diese Angaben werden dort besprochen.</w:t>
      </w:r>
    </w:p>
    <w:p w14:paraId="06D2E2B2" w14:textId="77777777" w:rsidR="00EE35E2" w:rsidRPr="004676F5" w:rsidRDefault="00EE35E2" w:rsidP="00EE35E2">
      <w:pPr>
        <w:ind w:firstLine="708"/>
        <w:jc w:val="both"/>
        <w:rPr>
          <w:lang w:val="de-DE"/>
        </w:rPr>
      </w:pPr>
    </w:p>
    <w:p w14:paraId="634F77D1" w14:textId="77777777" w:rsidR="00EE35E2" w:rsidRPr="004676F5" w:rsidRDefault="00EE35E2" w:rsidP="00EE35E2">
      <w:pPr>
        <w:ind w:firstLine="708"/>
        <w:jc w:val="both"/>
        <w:rPr>
          <w:lang w:val="de-DE"/>
        </w:rPr>
      </w:pPr>
      <w:r w:rsidRPr="004676F5">
        <w:rPr>
          <w:lang w:val="de-DE"/>
        </w:rPr>
        <w:t>Die Verpflichtung, dieses Geständnis abzulegen, wird ab Hinterlegung eines Antrags auf gerichtliche Reorganisation und solange der aufgrund des Titels 5 gewährte Aufschub dauert ausgesetzt.</w:t>
      </w:r>
    </w:p>
    <w:p w14:paraId="7AB46CC1" w14:textId="77777777" w:rsidR="00EE35E2" w:rsidRPr="004676F5" w:rsidRDefault="00EE35E2" w:rsidP="00EE35E2">
      <w:pPr>
        <w:ind w:firstLine="708"/>
        <w:jc w:val="both"/>
        <w:rPr>
          <w:lang w:val="de-DE"/>
        </w:rPr>
      </w:pPr>
    </w:p>
    <w:p w14:paraId="76BD3487" w14:textId="77777777" w:rsidR="00EE35E2" w:rsidRPr="004676F5" w:rsidRDefault="00EE35E2" w:rsidP="00EE35E2">
      <w:pPr>
        <w:ind w:firstLine="708"/>
        <w:jc w:val="both"/>
        <w:rPr>
          <w:lang w:val="de-DE"/>
        </w:rPr>
      </w:pPr>
      <w:r w:rsidRPr="004676F5">
        <w:rPr>
          <w:lang w:val="de-DE"/>
        </w:rPr>
        <w:lastRenderedPageBreak/>
        <w:t>Die in Absatz 1 erwähnte Verpflichtung gilt nicht für Vereinigungen ohne Gewinn</w:t>
      </w:r>
      <w:r w:rsidRPr="004676F5">
        <w:rPr>
          <w:lang w:val="de-DE"/>
        </w:rPr>
        <w:softHyphen/>
        <w:t>erzielungsabsicht, internationale Vereinigungen ohne Gewinnerzielungsabsicht, Stiftungen, europäische politische Parteien und europäische politische Stiftungen.</w:t>
      </w:r>
    </w:p>
    <w:p w14:paraId="5395082B" w14:textId="77777777" w:rsidR="00EE35E2" w:rsidRPr="004676F5" w:rsidRDefault="00EE35E2" w:rsidP="00EE35E2">
      <w:pPr>
        <w:ind w:firstLine="708"/>
        <w:jc w:val="both"/>
        <w:rPr>
          <w:lang w:val="de-DE"/>
        </w:rPr>
      </w:pPr>
    </w:p>
    <w:p w14:paraId="17672D78" w14:textId="77777777" w:rsidR="00EE35E2" w:rsidRPr="004676F5" w:rsidRDefault="00EE35E2" w:rsidP="00EE35E2">
      <w:pPr>
        <w:rPr>
          <w:lang w:val="de-DE"/>
        </w:rPr>
      </w:pPr>
    </w:p>
    <w:p w14:paraId="6C4811E2" w14:textId="7F73E4BE" w:rsidR="00EE35E2" w:rsidRPr="004676F5" w:rsidRDefault="00BE0A56" w:rsidP="00EE35E2">
      <w:pPr>
        <w:ind w:firstLine="708"/>
        <w:jc w:val="both"/>
        <w:rPr>
          <w:lang w:val="de-DE"/>
        </w:rPr>
      </w:pPr>
      <w:r w:rsidRPr="004676F5">
        <w:rPr>
          <w:b/>
          <w:lang w:val="de-DE"/>
        </w:rPr>
        <w:t>Art. </w:t>
      </w:r>
      <w:r w:rsidR="00EE35E2" w:rsidRPr="004676F5">
        <w:rPr>
          <w:b/>
          <w:lang w:val="de-DE"/>
        </w:rPr>
        <w:t>XX.103</w:t>
      </w:r>
      <w:r w:rsidR="00EE35E2" w:rsidRPr="004676F5">
        <w:rPr>
          <w:lang w:val="de-DE"/>
        </w:rPr>
        <w:t> </w:t>
      </w:r>
      <w:r w:rsidR="005B7A5C" w:rsidRPr="004676F5">
        <w:rPr>
          <w:lang w:val="de-DE"/>
        </w:rPr>
        <w:t>- </w:t>
      </w:r>
      <w:r w:rsidR="00EE35E2" w:rsidRPr="004676F5">
        <w:rPr>
          <w:lang w:val="de-DE"/>
        </w:rPr>
        <w:t>Der Schuldner fügt seinem Geständnis auf dieselbe Weise Folgendes bei:</w:t>
      </w:r>
    </w:p>
    <w:p w14:paraId="23E2FB45" w14:textId="77777777" w:rsidR="00EE35E2" w:rsidRPr="004676F5" w:rsidRDefault="00EE35E2" w:rsidP="00EE35E2">
      <w:pPr>
        <w:ind w:firstLine="708"/>
        <w:jc w:val="both"/>
        <w:rPr>
          <w:lang w:val="de-DE"/>
        </w:rPr>
      </w:pPr>
    </w:p>
    <w:p w14:paraId="55CE5CC2" w14:textId="77777777" w:rsidR="00EE35E2" w:rsidRPr="004676F5" w:rsidRDefault="00EE35E2" w:rsidP="00EE35E2">
      <w:pPr>
        <w:ind w:firstLine="708"/>
        <w:jc w:val="both"/>
        <w:rPr>
          <w:lang w:val="de-DE"/>
        </w:rPr>
      </w:pPr>
      <w:r w:rsidRPr="004676F5">
        <w:rPr>
          <w:lang w:val="de-DE"/>
        </w:rPr>
        <w:t>1. die Bilanz seiner Geschäfte oder ein Schreiben mit den Gründen, weshalb er die Bilanz nicht hinterlegen kann,</w:t>
      </w:r>
    </w:p>
    <w:p w14:paraId="68C95E62" w14:textId="77777777" w:rsidR="00EE35E2" w:rsidRPr="004676F5" w:rsidRDefault="00EE35E2" w:rsidP="00EE35E2">
      <w:pPr>
        <w:ind w:firstLine="708"/>
        <w:jc w:val="both"/>
        <w:rPr>
          <w:lang w:val="de-DE"/>
        </w:rPr>
      </w:pPr>
    </w:p>
    <w:p w14:paraId="1036C2A0" w14:textId="5F6890A4" w:rsidR="00EE35E2" w:rsidRPr="004676F5" w:rsidRDefault="00EE35E2" w:rsidP="00EE35E2">
      <w:pPr>
        <w:ind w:firstLine="708"/>
        <w:jc w:val="both"/>
        <w:rPr>
          <w:lang w:val="de-DE"/>
        </w:rPr>
      </w:pPr>
      <w:r w:rsidRPr="004676F5">
        <w:rPr>
          <w:lang w:val="de-DE"/>
        </w:rPr>
        <w:t>2. eine Bilanz mit dem in Buch III Titel 3 Kapitel 2 des vorliegenden Gesetzbuches erwähnten Stand der Aktiva und Passiva und die Auflistung und Bewertung aller beweglichen und unbeweglichen Güter des Schuldners, den Stand der Forderungen und Schulden, eine Gewinn</w:t>
      </w:r>
      <w:r w:rsidR="005B7A5C" w:rsidRPr="004676F5">
        <w:rPr>
          <w:lang w:val="de-DE"/>
        </w:rPr>
        <w:t>- </w:t>
      </w:r>
      <w:r w:rsidRPr="004676F5">
        <w:rPr>
          <w:lang w:val="de-DE"/>
        </w:rPr>
        <w:t>und Verlusttabelle, die letzte ordnungsgemäß abgeschlossene Ergebnisrechnung und eine Ausgabentabelle; sie muss vom Schuldner für richtig bescheinigt, datiert und unterzeichnet sein,</w:t>
      </w:r>
    </w:p>
    <w:p w14:paraId="1FD5329E" w14:textId="77777777" w:rsidR="00EE35E2" w:rsidRPr="004676F5" w:rsidRDefault="00EE35E2" w:rsidP="00EE35E2">
      <w:pPr>
        <w:ind w:firstLine="708"/>
        <w:jc w:val="both"/>
        <w:rPr>
          <w:lang w:val="de-DE"/>
        </w:rPr>
      </w:pPr>
    </w:p>
    <w:p w14:paraId="51039D9B" w14:textId="77777777" w:rsidR="00EE35E2" w:rsidRPr="004676F5" w:rsidRDefault="00EE35E2" w:rsidP="00EE35E2">
      <w:pPr>
        <w:ind w:firstLine="708"/>
        <w:jc w:val="both"/>
        <w:rPr>
          <w:lang w:val="de-DE"/>
        </w:rPr>
      </w:pPr>
      <w:r w:rsidRPr="004676F5">
        <w:rPr>
          <w:lang w:val="de-DE"/>
        </w:rPr>
        <w:t>3. Angaben zu dem Ort, an dem die Buchhaltung befindlich ist, gegebenenfalls mit der Angabe, dass sie von Dritten geführt wird; in diesem Fall Kontaktdaten dieser Dritten und Mittel, um Zugang zu dieser Buchhaltung zu erhalten,</w:t>
      </w:r>
    </w:p>
    <w:p w14:paraId="12C224B8" w14:textId="77777777" w:rsidR="00EE35E2" w:rsidRPr="004676F5" w:rsidRDefault="00EE35E2" w:rsidP="00EE35E2">
      <w:pPr>
        <w:ind w:firstLine="708"/>
        <w:jc w:val="both"/>
        <w:rPr>
          <w:lang w:val="de-DE"/>
        </w:rPr>
      </w:pPr>
    </w:p>
    <w:p w14:paraId="3D075F6A" w14:textId="77777777" w:rsidR="00EE35E2" w:rsidRPr="004676F5" w:rsidRDefault="00EE35E2" w:rsidP="00EE35E2">
      <w:pPr>
        <w:ind w:firstLine="708"/>
        <w:jc w:val="both"/>
        <w:rPr>
          <w:lang w:val="de-DE"/>
        </w:rPr>
      </w:pPr>
      <w:r w:rsidRPr="004676F5">
        <w:rPr>
          <w:lang w:val="de-DE"/>
        </w:rPr>
        <w:t>4. sofern der Schuldner Personal beschäftigt oder in den letzten achtzehn Monaten beschäftigt hat, das Personalregister, das in Artikel 4 § 1 Nr. 2 des Königlichen Erlasses Nr. 5 vom 23. Oktober 1978 über die Führung der Sozialdokumente vorgesehene individuelle Konto des vergangenen und des laufenden Kalenderjahres, Angaben über das Sozialsekretariat und die Sozialkassen, denen das Unternehmen angeschlossen ist, Identität der Mitglieder des Ausschusses für Gefahrenverhütung und Schutz am Arbeitsplatz und der Mitglieder der Gewerkschaftsvertretung und gegebenenfalls den Zugriffscode, der dem Unternehmen vom Landesamt für soziale Sicherheit zugeteilt worden ist und Einsicht in das elektronische Personalregister und Zugriff auf die anderen erforderlichen Identifizierungsdaten erlaubt,</w:t>
      </w:r>
    </w:p>
    <w:p w14:paraId="5EE444AA" w14:textId="77777777" w:rsidR="00EE35E2" w:rsidRPr="004676F5" w:rsidRDefault="00EE35E2" w:rsidP="00EE35E2">
      <w:pPr>
        <w:ind w:firstLine="708"/>
        <w:jc w:val="both"/>
        <w:rPr>
          <w:lang w:val="de-DE"/>
        </w:rPr>
      </w:pPr>
    </w:p>
    <w:p w14:paraId="762B21D2" w14:textId="77777777" w:rsidR="00EE35E2" w:rsidRPr="004676F5" w:rsidRDefault="00EE35E2" w:rsidP="00EE35E2">
      <w:pPr>
        <w:ind w:firstLine="708"/>
        <w:jc w:val="both"/>
        <w:rPr>
          <w:lang w:val="de-DE"/>
        </w:rPr>
      </w:pPr>
      <w:r w:rsidRPr="004676F5">
        <w:rPr>
          <w:lang w:val="de-DE"/>
        </w:rPr>
        <w:t>5. eine Liste mit Namen und Adresse der Kunden und Lieferanten,</w:t>
      </w:r>
    </w:p>
    <w:p w14:paraId="6FBD5CFD" w14:textId="77777777" w:rsidR="00EE35E2" w:rsidRPr="004676F5" w:rsidRDefault="00EE35E2" w:rsidP="00EE35E2">
      <w:pPr>
        <w:ind w:firstLine="708"/>
        <w:jc w:val="both"/>
        <w:rPr>
          <w:lang w:val="de-DE"/>
        </w:rPr>
      </w:pPr>
    </w:p>
    <w:p w14:paraId="4EA53EBC" w14:textId="77777777" w:rsidR="00EE35E2" w:rsidRPr="004676F5" w:rsidRDefault="00EE35E2" w:rsidP="00EE35E2">
      <w:pPr>
        <w:ind w:firstLine="708"/>
        <w:jc w:val="both"/>
        <w:rPr>
          <w:lang w:val="de-DE"/>
        </w:rPr>
      </w:pPr>
      <w:r w:rsidRPr="004676F5">
        <w:rPr>
          <w:lang w:val="de-DE"/>
        </w:rPr>
        <w:t>6. eine Liste mit Namen und Adresse der natürlichen Personen, die für das Unternehmen unentgeltlich eine persönliche Sicherheit geleistet haben,</w:t>
      </w:r>
    </w:p>
    <w:p w14:paraId="346490A2" w14:textId="77777777" w:rsidR="00EE35E2" w:rsidRPr="004676F5" w:rsidRDefault="00EE35E2" w:rsidP="00EE35E2">
      <w:pPr>
        <w:ind w:firstLine="708"/>
        <w:jc w:val="both"/>
        <w:rPr>
          <w:lang w:val="de-DE"/>
        </w:rPr>
      </w:pPr>
    </w:p>
    <w:p w14:paraId="110D64A1" w14:textId="052FE858" w:rsidR="00EE35E2" w:rsidRPr="004676F5" w:rsidRDefault="00EE35E2" w:rsidP="00EE35E2">
      <w:pPr>
        <w:ind w:firstLine="708"/>
        <w:jc w:val="both"/>
        <w:rPr>
          <w:lang w:val="de-DE"/>
        </w:rPr>
      </w:pPr>
      <w:r w:rsidRPr="004676F5">
        <w:rPr>
          <w:lang w:val="de-DE"/>
        </w:rPr>
        <w:t xml:space="preserve">7. eine Liste der Gesellschafter, wenn der Schuldner ein </w:t>
      </w:r>
      <w:r w:rsidR="002A3D76" w:rsidRPr="004676F5">
        <w:rPr>
          <w:lang w:val="de-DE"/>
        </w:rPr>
        <w:t>[in Artikel I.1 Nr. 1 Absatz </w:t>
      </w:r>
      <w:r w:rsidR="00A449A2" w:rsidRPr="004676F5">
        <w:rPr>
          <w:lang w:val="de-DE"/>
        </w:rPr>
        <w:t>1</w:t>
      </w:r>
      <w:r w:rsidR="002A3D76" w:rsidRPr="004676F5">
        <w:rPr>
          <w:lang w:val="de-DE"/>
        </w:rPr>
        <w:t xml:space="preserve"> Buchstabe </w:t>
      </w:r>
      <w:r w:rsidR="002A3D76" w:rsidRPr="004676F5">
        <w:rPr>
          <w:i/>
          <w:iCs/>
          <w:lang w:val="de-DE"/>
        </w:rPr>
        <w:t>(c)</w:t>
      </w:r>
      <w:r w:rsidR="002A3D76" w:rsidRPr="004676F5">
        <w:rPr>
          <w:iCs/>
          <w:lang w:val="de-DE"/>
        </w:rPr>
        <w:t>]</w:t>
      </w:r>
      <w:r w:rsidRPr="004676F5">
        <w:rPr>
          <w:lang w:val="de-DE"/>
        </w:rPr>
        <w:t xml:space="preserve"> erwähntes Unternehmen ist oder eine juristische Person, deren Gesellschafter unbeschränkt haften, und Nachweis, dass die Gesellschafter unterrichtet worden sind. </w:t>
      </w:r>
    </w:p>
    <w:p w14:paraId="49DA3CCB" w14:textId="77777777" w:rsidR="00EE35E2" w:rsidRPr="004676F5" w:rsidRDefault="00EE35E2" w:rsidP="00EE35E2">
      <w:pPr>
        <w:ind w:firstLine="708"/>
        <w:jc w:val="both"/>
        <w:rPr>
          <w:lang w:val="de-DE"/>
        </w:rPr>
      </w:pPr>
    </w:p>
    <w:p w14:paraId="545B1C73" w14:textId="77777777" w:rsidR="00EE35E2" w:rsidRPr="004676F5" w:rsidRDefault="00EE35E2" w:rsidP="00EE35E2">
      <w:pPr>
        <w:ind w:firstLine="708"/>
        <w:jc w:val="both"/>
        <w:rPr>
          <w:lang w:val="de-DE"/>
        </w:rPr>
      </w:pPr>
      <w:r w:rsidRPr="004676F5">
        <w:rPr>
          <w:lang w:val="de-DE"/>
        </w:rPr>
        <w:t>Der Schuldner achtet bei der Hinterlegung der Schriftstücke auf die Einhaltung seines Berufsgeheimnisses.</w:t>
      </w:r>
    </w:p>
    <w:p w14:paraId="465F4669" w14:textId="77777777" w:rsidR="00EE35E2" w:rsidRPr="004676F5" w:rsidRDefault="00EE35E2" w:rsidP="00EE35E2">
      <w:pPr>
        <w:ind w:firstLine="708"/>
        <w:jc w:val="both"/>
        <w:rPr>
          <w:lang w:val="de-DE"/>
        </w:rPr>
      </w:pPr>
    </w:p>
    <w:p w14:paraId="501D13CB" w14:textId="6FE6F8C7" w:rsidR="00EE35E2" w:rsidRPr="004676F5" w:rsidRDefault="00EE35E2" w:rsidP="00EE35E2">
      <w:pPr>
        <w:ind w:firstLine="708"/>
        <w:jc w:val="both"/>
        <w:rPr>
          <w:lang w:val="de-DE"/>
        </w:rPr>
      </w:pPr>
      <w:r w:rsidRPr="004676F5">
        <w:rPr>
          <w:lang w:val="de-DE"/>
        </w:rPr>
        <w:t>Ist es dem Unternehmen unmöglich, seinem Geständnis die individuellen Konten und gegebenenfalls den vom Landesamt für soziale Sicherheit an die Arbeitgeber zugeteilten Zugriffscode, die in Absatz 1 Nr. 4 erwähnt sind, beizufügen, übernimmt das Sozialsekretariat, dem das Unternehmen angeschlossen war, unverzüglich und unentgeltlich diese Verpflich</w:t>
      </w:r>
      <w:r w:rsidRPr="004676F5">
        <w:rPr>
          <w:lang w:val="de-DE"/>
        </w:rPr>
        <w:softHyphen/>
        <w:t xml:space="preserve">tungen auf einfachen Antrag der Konkursverwalter. </w:t>
      </w:r>
      <w:r w:rsidR="001A6E25" w:rsidRPr="004676F5">
        <w:rPr>
          <w:lang w:val="de-DE"/>
        </w:rPr>
        <w:t>[Das Sozialsekretariat oder der Erbringer von Sozialdienstleistungen stellt dem Konkursverwalter auf einfachen Antrag hin]</w:t>
      </w:r>
      <w:r w:rsidRPr="004676F5">
        <w:rPr>
          <w:lang w:val="de-DE"/>
        </w:rPr>
        <w:t xml:space="preserve"> </w:t>
      </w:r>
      <w:r w:rsidRPr="004676F5">
        <w:rPr>
          <w:lang w:val="de-DE"/>
        </w:rPr>
        <w:lastRenderedPageBreak/>
        <w:t>unentgeltlich die letzten Sozialdokumente in Bezug auf die Arbeitnehmer und die Austrittsdokumente aus, die den Arbeitnehmern auszuhändigen sind.</w:t>
      </w:r>
    </w:p>
    <w:p w14:paraId="068D30EF" w14:textId="77777777" w:rsidR="00EE35E2" w:rsidRPr="004676F5" w:rsidRDefault="00EE35E2" w:rsidP="00EE35E2">
      <w:pPr>
        <w:ind w:firstLine="708"/>
        <w:jc w:val="both"/>
        <w:rPr>
          <w:lang w:val="de-DE"/>
        </w:rPr>
      </w:pPr>
    </w:p>
    <w:p w14:paraId="719B00A9" w14:textId="77777777" w:rsidR="00EE35E2" w:rsidRPr="004676F5" w:rsidRDefault="00EE35E2" w:rsidP="00EE35E2">
      <w:pPr>
        <w:ind w:firstLine="708"/>
        <w:jc w:val="both"/>
        <w:rPr>
          <w:lang w:val="de-DE"/>
        </w:rPr>
      </w:pPr>
      <w:r w:rsidRPr="004676F5">
        <w:rPr>
          <w:lang w:val="de-DE"/>
        </w:rPr>
        <w:t>Nach Hinterlegung im Register erhält der Anmelder eine Empfangsbestätigung.</w:t>
      </w:r>
    </w:p>
    <w:p w14:paraId="62754A4E" w14:textId="77777777" w:rsidR="00EE35E2" w:rsidRPr="004676F5" w:rsidRDefault="00EE35E2" w:rsidP="00EE35E2">
      <w:pPr>
        <w:ind w:firstLine="708"/>
        <w:jc w:val="both"/>
        <w:rPr>
          <w:lang w:val="de-DE"/>
        </w:rPr>
      </w:pPr>
    </w:p>
    <w:p w14:paraId="48B0765D" w14:textId="19F137BC" w:rsidR="00EE35E2" w:rsidRPr="004676F5" w:rsidRDefault="00EE35E2" w:rsidP="00EE35E2">
      <w:pPr>
        <w:ind w:firstLine="708"/>
        <w:jc w:val="both"/>
        <w:rPr>
          <w:lang w:val="de-DE"/>
        </w:rPr>
      </w:pPr>
      <w:r w:rsidRPr="004676F5">
        <w:rPr>
          <w:lang w:val="de-DE"/>
        </w:rPr>
        <w:t>Die Hinterlegung im Register jeglicher anderen Schriftstücke in Bezug auf den Konkurs wird auf dieselbe Weise festgestellt, ohne das erneut eine Hinterlegungsurkunde zu erstellen wäre.</w:t>
      </w:r>
    </w:p>
    <w:p w14:paraId="55F3F0E0" w14:textId="0A6CA974" w:rsidR="00A449A2" w:rsidRPr="004676F5" w:rsidRDefault="00A449A2" w:rsidP="00EE35E2">
      <w:pPr>
        <w:ind w:firstLine="708"/>
        <w:jc w:val="both"/>
        <w:rPr>
          <w:lang w:val="de-DE"/>
        </w:rPr>
      </w:pPr>
    </w:p>
    <w:p w14:paraId="05AD8616" w14:textId="676418B6" w:rsidR="00A449A2" w:rsidRPr="004676F5" w:rsidRDefault="00A449A2" w:rsidP="00A449A2">
      <w:pPr>
        <w:jc w:val="both"/>
        <w:rPr>
          <w:i/>
          <w:lang w:val="de-DE"/>
        </w:rPr>
      </w:pPr>
      <w:r w:rsidRPr="004676F5">
        <w:rPr>
          <w:i/>
          <w:lang w:val="de-DE"/>
        </w:rPr>
        <w:t>[Art. XX.103 Abs. 1 Nr. 7 abgeändert durch Art. 231 des G. vom 15. April 2018 (B.S. vom 27. April 2018)</w:t>
      </w:r>
      <w:r w:rsidR="001A6E25" w:rsidRPr="004676F5">
        <w:rPr>
          <w:i/>
          <w:lang w:val="de-DE"/>
        </w:rPr>
        <w:t>; Abs. 3 abgeändert durch Art. 205</w:t>
      </w:r>
      <w:r w:rsidR="001A6E25" w:rsidRPr="004676F5">
        <w:rPr>
          <w:i/>
          <w:iCs/>
          <w:lang w:val="de-DE"/>
        </w:rPr>
        <w:t xml:space="preserve"> des G. vom 7. Juni 2023 (B.S. vom 7. Juli 2023)</w:t>
      </w:r>
      <w:r w:rsidRPr="004676F5">
        <w:rPr>
          <w:i/>
          <w:lang w:val="de-DE"/>
        </w:rPr>
        <w:t>]</w:t>
      </w:r>
    </w:p>
    <w:p w14:paraId="34B9BA6F" w14:textId="77777777" w:rsidR="00EE35E2" w:rsidRPr="004676F5" w:rsidRDefault="00EE35E2" w:rsidP="00EE35E2">
      <w:pPr>
        <w:ind w:firstLine="708"/>
        <w:jc w:val="both"/>
        <w:rPr>
          <w:lang w:val="de-DE"/>
        </w:rPr>
      </w:pPr>
    </w:p>
    <w:p w14:paraId="5431F656" w14:textId="77777777" w:rsidR="00D11212" w:rsidRPr="004676F5" w:rsidRDefault="00D11212" w:rsidP="00EE35E2">
      <w:pPr>
        <w:ind w:firstLine="708"/>
        <w:jc w:val="both"/>
        <w:rPr>
          <w:lang w:val="de-DE"/>
        </w:rPr>
      </w:pPr>
    </w:p>
    <w:p w14:paraId="1BC41C0F" w14:textId="11552328" w:rsidR="00EE35E2" w:rsidRPr="004676F5" w:rsidRDefault="00BE0A56" w:rsidP="00EE35E2">
      <w:pPr>
        <w:ind w:firstLine="708"/>
        <w:jc w:val="both"/>
        <w:rPr>
          <w:lang w:val="de-DE"/>
        </w:rPr>
      </w:pPr>
      <w:r w:rsidRPr="004676F5">
        <w:rPr>
          <w:b/>
          <w:lang w:val="de-DE"/>
        </w:rPr>
        <w:t>Art. </w:t>
      </w:r>
      <w:r w:rsidR="00EE35E2" w:rsidRPr="004676F5">
        <w:rPr>
          <w:b/>
          <w:lang w:val="de-DE"/>
        </w:rPr>
        <w:t>XX.104</w:t>
      </w:r>
      <w:r w:rsidR="00EE35E2" w:rsidRPr="004676F5">
        <w:rPr>
          <w:lang w:val="de-DE"/>
        </w:rPr>
        <w:t> </w:t>
      </w:r>
      <w:r w:rsidR="005B7A5C" w:rsidRPr="004676F5">
        <w:rPr>
          <w:lang w:val="de-DE"/>
        </w:rPr>
        <w:t>- </w:t>
      </w:r>
      <w:r w:rsidR="00EE35E2" w:rsidRPr="004676F5">
        <w:rPr>
          <w:lang w:val="de-DE"/>
        </w:rPr>
        <w:t>Mit dem Konkurseröffnungsurteil bestellt das Insolvenzgericht unter seinen Mitgliedern, Präsident ausgenommen, einen oder mehrere Konkursrichter. Das Insolvenzgericht bestimmt je nach Umfang des Konkurses einen oder mehrere Konkurs</w:t>
      </w:r>
      <w:r w:rsidR="00EE35E2" w:rsidRPr="004676F5">
        <w:rPr>
          <w:lang w:val="de-DE"/>
        </w:rPr>
        <w:softHyphen/>
        <w:t>verwalter.</w:t>
      </w:r>
    </w:p>
    <w:p w14:paraId="4D75249E" w14:textId="77777777" w:rsidR="00EE35E2" w:rsidRPr="004676F5" w:rsidRDefault="00EE35E2" w:rsidP="00EE35E2">
      <w:pPr>
        <w:ind w:firstLine="708"/>
        <w:jc w:val="both"/>
        <w:rPr>
          <w:lang w:val="de-DE"/>
        </w:rPr>
      </w:pPr>
    </w:p>
    <w:p w14:paraId="220AB1F1" w14:textId="77777777" w:rsidR="00EE35E2" w:rsidRPr="004676F5" w:rsidRDefault="00EE35E2" w:rsidP="00EE35E2">
      <w:pPr>
        <w:ind w:firstLine="708"/>
        <w:jc w:val="both"/>
        <w:rPr>
          <w:lang w:val="de-DE"/>
        </w:rPr>
      </w:pPr>
      <w:r w:rsidRPr="004676F5">
        <w:rPr>
          <w:lang w:val="de-DE"/>
        </w:rPr>
        <w:t>Es ordnet den Konkursgläubigern an, ihre Forderungen binnen einer Frist von höchstens dreißig Tagen ab dem Konkurseröffnungsurteil im Register anzumelden, und es ordnet die in Artikel XX.107 erwähnte Veröffentlichung an.</w:t>
      </w:r>
    </w:p>
    <w:p w14:paraId="0F593DA6" w14:textId="77777777" w:rsidR="00EE35E2" w:rsidRPr="004676F5" w:rsidRDefault="00EE35E2" w:rsidP="00EE35E2">
      <w:pPr>
        <w:ind w:firstLine="708"/>
        <w:jc w:val="both"/>
        <w:rPr>
          <w:lang w:val="de-DE"/>
        </w:rPr>
      </w:pPr>
    </w:p>
    <w:p w14:paraId="6D9ECDA3" w14:textId="77777777" w:rsidR="00EE35E2" w:rsidRPr="004676F5" w:rsidRDefault="00EE35E2" w:rsidP="00EE35E2">
      <w:pPr>
        <w:ind w:firstLine="708"/>
        <w:jc w:val="both"/>
        <w:rPr>
          <w:lang w:val="de-DE"/>
        </w:rPr>
      </w:pPr>
      <w:r w:rsidRPr="004676F5">
        <w:rPr>
          <w:lang w:val="de-DE"/>
        </w:rPr>
        <w:t>Im selben Urteil wird das Datum für die Hinterlegung des ersten Protokolls über die Prüfung der Forderungen im Register bestimmt. Dieser Zeitpunkt wird so gewählt, dass mindestens fünf und höchstens dreißig Tage zwischen dem Ablauf der für die Anmeldung der Forderungen gewährten Frist und der Hinterlegung des ersten Prüfungsprotokolls liegen.</w:t>
      </w:r>
    </w:p>
    <w:p w14:paraId="0043D93C" w14:textId="77777777" w:rsidR="00EE35E2" w:rsidRPr="004676F5" w:rsidRDefault="00EE35E2" w:rsidP="00EE35E2">
      <w:pPr>
        <w:ind w:firstLine="708"/>
        <w:jc w:val="both"/>
        <w:rPr>
          <w:lang w:val="de-DE"/>
        </w:rPr>
      </w:pPr>
    </w:p>
    <w:p w14:paraId="45F17F61" w14:textId="77777777" w:rsidR="00D11212" w:rsidRPr="004676F5" w:rsidRDefault="00D11212" w:rsidP="00EE35E2">
      <w:pPr>
        <w:ind w:firstLine="708"/>
        <w:jc w:val="both"/>
        <w:rPr>
          <w:lang w:val="de-DE"/>
        </w:rPr>
      </w:pPr>
    </w:p>
    <w:p w14:paraId="5CB08900" w14:textId="4EC7774C" w:rsidR="00EE35E2" w:rsidRPr="004676F5" w:rsidRDefault="00BE0A56" w:rsidP="00EE35E2">
      <w:pPr>
        <w:ind w:firstLine="708"/>
        <w:jc w:val="both"/>
        <w:rPr>
          <w:lang w:val="de-DE"/>
        </w:rPr>
      </w:pPr>
      <w:r w:rsidRPr="004676F5">
        <w:rPr>
          <w:b/>
          <w:lang w:val="de-DE"/>
        </w:rPr>
        <w:t>Art. </w:t>
      </w:r>
      <w:r w:rsidR="00EE35E2" w:rsidRPr="004676F5">
        <w:rPr>
          <w:b/>
          <w:lang w:val="de-DE"/>
        </w:rPr>
        <w:t>XX.105</w:t>
      </w:r>
      <w:r w:rsidR="00EE35E2" w:rsidRPr="004676F5">
        <w:rPr>
          <w:lang w:val="de-DE"/>
        </w:rPr>
        <w:t> </w:t>
      </w:r>
      <w:r w:rsidR="005B7A5C" w:rsidRPr="004676F5">
        <w:rPr>
          <w:lang w:val="de-DE"/>
        </w:rPr>
        <w:t>- </w:t>
      </w:r>
      <w:r w:rsidR="00EE35E2" w:rsidRPr="004676F5">
        <w:rPr>
          <w:lang w:val="de-DE"/>
        </w:rPr>
        <w:t>Es wird davon ausgegangen, dass der Konkursschuldner seine Zahlungen ab dem Konkurseröffnungsurteil oder ab seinem Tod, wenn die Konkurseröffnung nach seinem Tod erfolgt, einstellt.</w:t>
      </w:r>
    </w:p>
    <w:p w14:paraId="7B84A847" w14:textId="77777777" w:rsidR="00EE35E2" w:rsidRPr="004676F5" w:rsidRDefault="00EE35E2" w:rsidP="00EE35E2">
      <w:pPr>
        <w:ind w:firstLine="708"/>
        <w:jc w:val="both"/>
        <w:rPr>
          <w:lang w:val="de-DE"/>
        </w:rPr>
      </w:pPr>
    </w:p>
    <w:p w14:paraId="2B389F7C" w14:textId="77777777" w:rsidR="00EE35E2" w:rsidRPr="004676F5" w:rsidRDefault="00EE35E2" w:rsidP="00EE35E2">
      <w:pPr>
        <w:ind w:firstLine="708"/>
        <w:jc w:val="both"/>
        <w:rPr>
          <w:lang w:val="de-DE"/>
        </w:rPr>
      </w:pPr>
      <w:r w:rsidRPr="004676F5">
        <w:rPr>
          <w:lang w:val="de-DE"/>
        </w:rPr>
        <w:t>Das Gericht kann die Zahlungseinstellung nicht auf ein früheres Datum festlegen, es sei denn, ernsthafte und objektive Begebenheiten weisen unzweifelhaft darauf hin, dass die Zahlungen vor dem Urteil eingestellt worden sind; diese Begebenheiten müssen im Urteil vermerkt werden.</w:t>
      </w:r>
    </w:p>
    <w:p w14:paraId="364B1CE8" w14:textId="77777777" w:rsidR="00EE35E2" w:rsidRPr="004676F5" w:rsidRDefault="00EE35E2" w:rsidP="00EE35E2">
      <w:pPr>
        <w:ind w:firstLine="708"/>
        <w:jc w:val="both"/>
        <w:rPr>
          <w:lang w:val="de-DE"/>
        </w:rPr>
      </w:pPr>
    </w:p>
    <w:p w14:paraId="7AA0C758" w14:textId="77777777" w:rsidR="00EE35E2" w:rsidRPr="004676F5" w:rsidRDefault="00EE35E2" w:rsidP="00EE35E2">
      <w:pPr>
        <w:ind w:firstLine="708"/>
        <w:jc w:val="both"/>
        <w:rPr>
          <w:lang w:val="de-DE"/>
        </w:rPr>
      </w:pPr>
      <w:r w:rsidRPr="004676F5">
        <w:rPr>
          <w:lang w:val="de-DE"/>
        </w:rPr>
        <w:t>Wird der Konkursschuldner auf Betreiben der Konkursverwalter oder werden der Konkursschuldner und die Konkursverwalter auf Betreiben eines Interessehabenden geladen, kann das Gericht durch ein späteres Urteil beschließen, das Datum der Zahlungseinstellung zu ändern.</w:t>
      </w:r>
    </w:p>
    <w:p w14:paraId="050C7DB9" w14:textId="77777777" w:rsidR="00EE35E2" w:rsidRPr="004676F5" w:rsidRDefault="00EE35E2" w:rsidP="00EE35E2">
      <w:pPr>
        <w:ind w:firstLine="708"/>
        <w:jc w:val="both"/>
        <w:rPr>
          <w:lang w:val="de-DE"/>
        </w:rPr>
      </w:pPr>
    </w:p>
    <w:p w14:paraId="4B3FD455" w14:textId="77777777" w:rsidR="00EE35E2" w:rsidRPr="004676F5" w:rsidRDefault="00EE35E2" w:rsidP="00EE35E2">
      <w:pPr>
        <w:ind w:firstLine="708"/>
        <w:jc w:val="both"/>
        <w:rPr>
          <w:lang w:val="de-DE"/>
        </w:rPr>
      </w:pPr>
      <w:r w:rsidRPr="004676F5">
        <w:rPr>
          <w:lang w:val="de-DE"/>
        </w:rPr>
        <w:t>Im Urteil werden die Angaben vermerkt, auf deren Grundlage das Gericht das Datum der Zahlungseinstellung bestimmt hat.</w:t>
      </w:r>
    </w:p>
    <w:p w14:paraId="6AC1AE92" w14:textId="77777777" w:rsidR="00EE35E2" w:rsidRPr="004676F5" w:rsidRDefault="00EE35E2" w:rsidP="00EE35E2">
      <w:pPr>
        <w:ind w:firstLine="708"/>
        <w:jc w:val="both"/>
        <w:rPr>
          <w:lang w:val="de-DE"/>
        </w:rPr>
      </w:pPr>
    </w:p>
    <w:p w14:paraId="2353143F" w14:textId="77777777" w:rsidR="00EE35E2" w:rsidRPr="004676F5" w:rsidRDefault="00EE35E2" w:rsidP="00EE35E2">
      <w:pPr>
        <w:ind w:firstLine="708"/>
        <w:jc w:val="both"/>
        <w:rPr>
          <w:lang w:val="de-DE"/>
        </w:rPr>
      </w:pPr>
      <w:r w:rsidRPr="004676F5">
        <w:rPr>
          <w:lang w:val="de-DE"/>
        </w:rPr>
        <w:t xml:space="preserve">Eine Klage auf Festlegung des Datums der Zahlungseinstellung auf einen anderen Zeitpunkt als den, der durch das Konkurseröffnungsurteil oder ein späteres Urteil bestimmt wird, ist nach Ablauf von sechs Monaten ab dem Konkurseröffnungsurteil nicht mehr zulässig, </w:t>
      </w:r>
      <w:r w:rsidRPr="004676F5">
        <w:rPr>
          <w:lang w:val="de-DE"/>
        </w:rPr>
        <w:lastRenderedPageBreak/>
        <w:t>unbeschadet jedoch der Rechtsmittel, die gegen das Konkurseröffnungsurteil eingelegt werden können.</w:t>
      </w:r>
    </w:p>
    <w:p w14:paraId="453C7C5E" w14:textId="77777777" w:rsidR="00EE35E2" w:rsidRPr="004676F5" w:rsidRDefault="00EE35E2" w:rsidP="00EE35E2">
      <w:pPr>
        <w:ind w:firstLine="708"/>
        <w:jc w:val="both"/>
        <w:rPr>
          <w:lang w:val="de-DE"/>
        </w:rPr>
      </w:pPr>
    </w:p>
    <w:p w14:paraId="3C7C06ED" w14:textId="77777777" w:rsidR="00EE35E2" w:rsidRPr="004676F5" w:rsidRDefault="00EE35E2" w:rsidP="00EE35E2">
      <w:pPr>
        <w:ind w:firstLine="708"/>
        <w:jc w:val="both"/>
        <w:rPr>
          <w:lang w:val="de-DE"/>
        </w:rPr>
      </w:pPr>
      <w:r w:rsidRPr="004676F5">
        <w:rPr>
          <w:lang w:val="de-DE"/>
        </w:rPr>
        <w:t>Durch das Urteil darf das Datum der Zahlungseinstellung nicht auf ein Datum festgelegt werden, das mehr als sechs Monate vor dem Konkurseröffnungsurteil liegt, außer wenn dieses Urteil den Konkurs einer mehr als sechs Monate vor dem Konkurseröffnungsurteil aufgelösten juristischen Person betrifft, ob deren Liquidation abgeschlossen ist oder nicht, und wenn Indizien dafür bestehen, dass diese mit der Absicht durchgeführt wird oder worden ist, den Gläubigern zu schaden. In diesem Fall kann das Datum der Zahlungseinstellung auf den Tag der Auflösungsentscheidung festgelegt werden.</w:t>
      </w:r>
    </w:p>
    <w:p w14:paraId="7D2297B2" w14:textId="77777777" w:rsidR="00EE35E2" w:rsidRPr="004676F5" w:rsidRDefault="00EE35E2" w:rsidP="00EE35E2">
      <w:pPr>
        <w:ind w:firstLine="708"/>
        <w:jc w:val="both"/>
        <w:rPr>
          <w:lang w:val="de-DE"/>
        </w:rPr>
      </w:pPr>
    </w:p>
    <w:p w14:paraId="3322938E" w14:textId="77777777" w:rsidR="00D11212" w:rsidRPr="004676F5" w:rsidRDefault="00D11212" w:rsidP="00EE35E2">
      <w:pPr>
        <w:ind w:firstLine="708"/>
        <w:jc w:val="both"/>
        <w:rPr>
          <w:lang w:val="de-DE"/>
        </w:rPr>
      </w:pPr>
    </w:p>
    <w:p w14:paraId="50838D38" w14:textId="747FADC8" w:rsidR="00EE35E2" w:rsidRPr="004676F5" w:rsidRDefault="00BE0A56" w:rsidP="00EE35E2">
      <w:pPr>
        <w:ind w:firstLine="708"/>
        <w:jc w:val="both"/>
        <w:rPr>
          <w:lang w:val="de-DE"/>
        </w:rPr>
      </w:pPr>
      <w:r w:rsidRPr="004676F5">
        <w:rPr>
          <w:b/>
          <w:lang w:val="de-DE"/>
        </w:rPr>
        <w:t>Art. </w:t>
      </w:r>
      <w:r w:rsidR="00EE35E2" w:rsidRPr="004676F5">
        <w:rPr>
          <w:b/>
          <w:lang w:val="de-DE"/>
        </w:rPr>
        <w:t>XX.106</w:t>
      </w:r>
      <w:r w:rsidR="00EE35E2" w:rsidRPr="004676F5">
        <w:rPr>
          <w:lang w:val="de-DE"/>
        </w:rPr>
        <w:t> </w:t>
      </w:r>
      <w:r w:rsidR="005B7A5C" w:rsidRPr="004676F5">
        <w:rPr>
          <w:lang w:val="de-DE"/>
        </w:rPr>
        <w:t>- </w:t>
      </w:r>
      <w:r w:rsidR="00EE35E2" w:rsidRPr="004676F5">
        <w:rPr>
          <w:lang w:val="de-DE"/>
        </w:rPr>
        <w:t>Das Konkurseröffnungsurteil wird dem Konkursschuldner auf Antrag der Konkursverwalter zugestellt.</w:t>
      </w:r>
    </w:p>
    <w:p w14:paraId="61CD86FE" w14:textId="77777777" w:rsidR="00EE35E2" w:rsidRPr="004676F5" w:rsidRDefault="00EE35E2" w:rsidP="00EE35E2">
      <w:pPr>
        <w:ind w:firstLine="708"/>
        <w:jc w:val="both"/>
        <w:rPr>
          <w:lang w:val="de-DE"/>
        </w:rPr>
      </w:pPr>
    </w:p>
    <w:p w14:paraId="24C09C76" w14:textId="24E78FFC" w:rsidR="00EE35E2" w:rsidRPr="004676F5" w:rsidRDefault="00EE35E2" w:rsidP="00EE35E2">
      <w:pPr>
        <w:ind w:firstLine="708"/>
        <w:jc w:val="both"/>
        <w:rPr>
          <w:lang w:val="de-DE"/>
        </w:rPr>
      </w:pPr>
      <w:r w:rsidRPr="004676F5">
        <w:rPr>
          <w:lang w:val="de-DE"/>
        </w:rPr>
        <w:t>Die Zustellungsurkunde enthält zur Vermeidung der Nichtigkeit neben dem Wortlaut der Artikel </w:t>
      </w:r>
      <w:r w:rsidR="000E09CA" w:rsidRPr="004676F5">
        <w:rPr>
          <w:lang w:val="de-DE"/>
        </w:rPr>
        <w:t>[</w:t>
      </w:r>
      <w:r w:rsidRPr="004676F5">
        <w:rPr>
          <w:lang w:val="de-DE"/>
        </w:rPr>
        <w:t>XX.10</w:t>
      </w:r>
      <w:r w:rsidR="000E09CA" w:rsidRPr="004676F5">
        <w:rPr>
          <w:lang w:val="de-DE"/>
        </w:rPr>
        <w:t>8</w:t>
      </w:r>
      <w:r w:rsidRPr="004676F5">
        <w:rPr>
          <w:lang w:val="de-DE"/>
        </w:rPr>
        <w:t xml:space="preserve"> und XX.10</w:t>
      </w:r>
      <w:r w:rsidR="000E09CA" w:rsidRPr="004676F5">
        <w:rPr>
          <w:lang w:val="de-DE"/>
        </w:rPr>
        <w:t>9]</w:t>
      </w:r>
      <w:r w:rsidRPr="004676F5">
        <w:rPr>
          <w:lang w:val="de-DE"/>
        </w:rPr>
        <w:t xml:space="preserve"> die Anmahnung, von den Protokollen über die Prüfung der Forderungen Kenntnis zu nehmen.</w:t>
      </w:r>
    </w:p>
    <w:p w14:paraId="0C3F1AB6" w14:textId="77777777" w:rsidR="00EE35E2" w:rsidRPr="004676F5" w:rsidRDefault="00EE35E2" w:rsidP="00EE35E2">
      <w:pPr>
        <w:ind w:firstLine="708"/>
        <w:jc w:val="both"/>
        <w:rPr>
          <w:lang w:val="de-DE"/>
        </w:rPr>
      </w:pPr>
    </w:p>
    <w:p w14:paraId="6BF0624D" w14:textId="25CCEB66" w:rsidR="00EE35E2" w:rsidRPr="004676F5" w:rsidRDefault="00EE35E2" w:rsidP="00EE35E2">
      <w:pPr>
        <w:ind w:firstLine="708"/>
        <w:jc w:val="both"/>
        <w:rPr>
          <w:lang w:val="de-DE"/>
        </w:rPr>
      </w:pPr>
      <w:r w:rsidRPr="004676F5">
        <w:rPr>
          <w:lang w:val="de-DE"/>
        </w:rPr>
        <w:t>Die Zustellungsurkunde enthält ebenfalls den Wortlaut der Artikel </w:t>
      </w:r>
      <w:r w:rsidR="000E09CA" w:rsidRPr="004676F5">
        <w:rPr>
          <w:lang w:val="de-DE"/>
        </w:rPr>
        <w:t>[</w:t>
      </w:r>
      <w:r w:rsidRPr="004676F5">
        <w:rPr>
          <w:lang w:val="de-DE"/>
        </w:rPr>
        <w:t>XX.14</w:t>
      </w:r>
      <w:r w:rsidR="000E09CA" w:rsidRPr="004676F5">
        <w:rPr>
          <w:lang w:val="de-DE"/>
        </w:rPr>
        <w:t>6</w:t>
      </w:r>
      <w:r w:rsidRPr="004676F5">
        <w:rPr>
          <w:lang w:val="de-DE"/>
        </w:rPr>
        <w:t xml:space="preserve"> und </w:t>
      </w:r>
      <w:r w:rsidR="001A6E25" w:rsidRPr="004676F5">
        <w:rPr>
          <w:lang w:val="de-DE"/>
        </w:rPr>
        <w:t>[</w:t>
      </w:r>
      <w:r w:rsidRPr="004676F5">
        <w:rPr>
          <w:lang w:val="de-DE"/>
        </w:rPr>
        <w:t>XX.16</w:t>
      </w:r>
      <w:r w:rsidR="001A6E25" w:rsidRPr="004676F5">
        <w:rPr>
          <w:lang w:val="de-DE"/>
        </w:rPr>
        <w:t>6]</w:t>
      </w:r>
      <w:r w:rsidR="000E09CA" w:rsidRPr="004676F5">
        <w:rPr>
          <w:lang w:val="de-DE"/>
        </w:rPr>
        <w:t>]</w:t>
      </w:r>
      <w:r w:rsidRPr="004676F5">
        <w:rPr>
          <w:lang w:val="de-DE"/>
        </w:rPr>
        <w:t>.</w:t>
      </w:r>
    </w:p>
    <w:p w14:paraId="3EB71C58" w14:textId="77777777" w:rsidR="000E09CA" w:rsidRPr="004676F5" w:rsidRDefault="000E09CA" w:rsidP="00EE35E2">
      <w:pPr>
        <w:ind w:firstLine="708"/>
        <w:jc w:val="both"/>
        <w:rPr>
          <w:lang w:val="de-DE"/>
        </w:rPr>
      </w:pPr>
    </w:p>
    <w:p w14:paraId="23930A6C" w14:textId="26A21325" w:rsidR="000E09CA" w:rsidRPr="004676F5" w:rsidRDefault="000E09CA" w:rsidP="000E09CA">
      <w:pPr>
        <w:jc w:val="both"/>
        <w:rPr>
          <w:i/>
          <w:iCs/>
          <w:lang w:val="de-DE"/>
        </w:rPr>
      </w:pPr>
      <w:r w:rsidRPr="004676F5">
        <w:rPr>
          <w:i/>
          <w:iCs/>
          <w:lang w:val="de-DE"/>
        </w:rPr>
        <w:t>[Art. XX.106 Abs. 2 abgeändert durch Art. 139</w:t>
      </w:r>
      <w:r w:rsidRPr="004676F5">
        <w:rPr>
          <w:i/>
          <w:lang w:val="de-DE"/>
        </w:rPr>
        <w:t xml:space="preserve"> des G. vom 28. November 2021</w:t>
      </w:r>
      <w:r w:rsidR="00E70517" w:rsidRPr="004676F5">
        <w:rPr>
          <w:i/>
          <w:lang w:val="de-DE"/>
        </w:rPr>
        <w:t> (I)</w:t>
      </w:r>
      <w:r w:rsidRPr="004676F5">
        <w:rPr>
          <w:i/>
          <w:lang w:val="de-DE"/>
        </w:rPr>
        <w:t xml:space="preserve"> (B.S. vom 30. November 2021)</w:t>
      </w:r>
      <w:r w:rsidR="001A6E25" w:rsidRPr="004676F5">
        <w:rPr>
          <w:i/>
          <w:lang w:val="de-DE"/>
        </w:rPr>
        <w:t xml:space="preserve">; </w:t>
      </w:r>
      <w:r w:rsidR="001A6E25" w:rsidRPr="004676F5">
        <w:rPr>
          <w:i/>
          <w:iCs/>
          <w:lang w:val="de-DE"/>
        </w:rPr>
        <w:t>Abs. 3 abgeändert durch Art. 139</w:t>
      </w:r>
      <w:r w:rsidR="001A6E25" w:rsidRPr="004676F5">
        <w:rPr>
          <w:i/>
          <w:lang w:val="de-DE"/>
        </w:rPr>
        <w:t xml:space="preserve"> des G. vom 28. November 2021 (I) (B.S. vom 30. November 2021) und Art. 206</w:t>
      </w:r>
      <w:r w:rsidR="001A6E25" w:rsidRPr="004676F5">
        <w:rPr>
          <w:i/>
          <w:iCs/>
          <w:lang w:val="de-DE"/>
        </w:rPr>
        <w:t xml:space="preserve"> des G. vom 7. Juni 2023 (B.S. vom 7. Juli 2023)</w:t>
      </w:r>
      <w:r w:rsidRPr="004676F5">
        <w:rPr>
          <w:i/>
          <w:lang w:val="de-DE"/>
        </w:rPr>
        <w:t>]</w:t>
      </w:r>
    </w:p>
    <w:p w14:paraId="7FF807EC" w14:textId="77777777" w:rsidR="00EE35E2" w:rsidRPr="004676F5" w:rsidRDefault="00EE35E2" w:rsidP="00EE35E2">
      <w:pPr>
        <w:ind w:firstLine="708"/>
        <w:jc w:val="both"/>
        <w:rPr>
          <w:lang w:val="de-DE"/>
        </w:rPr>
      </w:pPr>
    </w:p>
    <w:p w14:paraId="6954F4EC" w14:textId="77777777" w:rsidR="00D11212" w:rsidRPr="004676F5" w:rsidRDefault="00D11212" w:rsidP="00EE35E2">
      <w:pPr>
        <w:ind w:firstLine="708"/>
        <w:jc w:val="both"/>
        <w:rPr>
          <w:lang w:val="de-DE"/>
        </w:rPr>
      </w:pPr>
    </w:p>
    <w:p w14:paraId="7B44FC3D" w14:textId="795EA3B8" w:rsidR="00EE35E2" w:rsidRPr="004676F5" w:rsidRDefault="00BE0A56" w:rsidP="00EE35E2">
      <w:pPr>
        <w:ind w:firstLine="708"/>
        <w:jc w:val="both"/>
        <w:rPr>
          <w:lang w:val="de-DE"/>
        </w:rPr>
      </w:pPr>
      <w:r w:rsidRPr="004676F5">
        <w:rPr>
          <w:b/>
          <w:lang w:val="de-DE"/>
        </w:rPr>
        <w:t>Art. </w:t>
      </w:r>
      <w:r w:rsidR="00EE35E2" w:rsidRPr="004676F5">
        <w:rPr>
          <w:b/>
          <w:lang w:val="de-DE"/>
        </w:rPr>
        <w:t>XX.107</w:t>
      </w:r>
      <w:r w:rsidR="00EE35E2" w:rsidRPr="004676F5">
        <w:rPr>
          <w:lang w:val="de-DE"/>
        </w:rPr>
        <w:t> </w:t>
      </w:r>
      <w:r w:rsidR="005B7A5C" w:rsidRPr="004676F5">
        <w:rPr>
          <w:lang w:val="de-DE"/>
        </w:rPr>
        <w:t>- </w:t>
      </w:r>
      <w:r w:rsidR="001A6E25" w:rsidRPr="004676F5">
        <w:rPr>
          <w:lang w:val="de-DE"/>
        </w:rPr>
        <w:t xml:space="preserve">[§ 1] - </w:t>
      </w:r>
      <w:r w:rsidR="00EE35E2" w:rsidRPr="004676F5">
        <w:rPr>
          <w:lang w:val="de-DE"/>
        </w:rPr>
        <w:t xml:space="preserve">Das Konkurseröffnungsurteil und das spätere Urteil zur Festlegung der Zahlungseinstellung werden auf Betreiben des Konkursverwalters binnen fünf Tagen nach ihrem jeweiligen Datum auszugsweise im </w:t>
      </w:r>
      <w:r w:rsidR="00EE35E2" w:rsidRPr="004676F5">
        <w:rPr>
          <w:i/>
          <w:lang w:val="de-DE"/>
        </w:rPr>
        <w:t>Belgischen Staatsblatt</w:t>
      </w:r>
      <w:r w:rsidR="00EE35E2" w:rsidRPr="004676F5">
        <w:rPr>
          <w:lang w:val="de-DE"/>
        </w:rPr>
        <w:t xml:space="preserve"> veröffentlicht.</w:t>
      </w:r>
    </w:p>
    <w:p w14:paraId="208DAFB1" w14:textId="77777777" w:rsidR="00EE35E2" w:rsidRPr="004676F5" w:rsidRDefault="00EE35E2" w:rsidP="00EE35E2">
      <w:pPr>
        <w:ind w:firstLine="708"/>
        <w:jc w:val="both"/>
        <w:rPr>
          <w:lang w:val="de-DE"/>
        </w:rPr>
      </w:pPr>
    </w:p>
    <w:p w14:paraId="0637B59F" w14:textId="77777777" w:rsidR="00EE35E2" w:rsidRPr="004676F5" w:rsidRDefault="00EE35E2" w:rsidP="00EE35E2">
      <w:pPr>
        <w:ind w:firstLine="708"/>
        <w:jc w:val="both"/>
        <w:rPr>
          <w:lang w:val="de-DE"/>
        </w:rPr>
      </w:pPr>
      <w:r w:rsidRPr="004676F5">
        <w:rPr>
          <w:lang w:val="de-DE"/>
        </w:rPr>
        <w:t>Im Auszug stehen folgende Angaben:</w:t>
      </w:r>
    </w:p>
    <w:p w14:paraId="223F5786" w14:textId="77777777" w:rsidR="00EE35E2" w:rsidRPr="004676F5" w:rsidRDefault="00EE35E2" w:rsidP="00EE35E2">
      <w:pPr>
        <w:ind w:firstLine="708"/>
        <w:jc w:val="both"/>
        <w:rPr>
          <w:lang w:val="de-DE"/>
        </w:rPr>
      </w:pPr>
    </w:p>
    <w:p w14:paraId="730D8372" w14:textId="4FE46656" w:rsidR="00EE35E2" w:rsidRPr="004676F5" w:rsidRDefault="00EE35E2" w:rsidP="00EE35E2">
      <w:pPr>
        <w:ind w:firstLine="708"/>
        <w:jc w:val="both"/>
        <w:rPr>
          <w:lang w:val="de-DE"/>
        </w:rPr>
      </w:pPr>
      <w:r w:rsidRPr="004676F5">
        <w:rPr>
          <w:lang w:val="de-DE"/>
        </w:rPr>
        <w:t>1. bei einer natürlichen Person Name, Vornamen, Geburtsort und -datum, Art der Haupttätigkeit und Handelsname, unter der diese Tätigkeit ausgeübt wird, Adresse, Ort der Hauptniederlassung und Unternehmensnummer; bei einer juristischen Person Gesellschafts</w:t>
      </w:r>
      <w:r w:rsidRPr="004676F5">
        <w:rPr>
          <w:lang w:val="de-DE"/>
        </w:rPr>
        <w:softHyphen/>
        <w:t xml:space="preserve">name, Rechtsform, Handelsname, unter der die Tätigkeit des Unternehmens ausgeübt wird, </w:t>
      </w:r>
      <w:r w:rsidR="0079445F" w:rsidRPr="004676F5">
        <w:rPr>
          <w:lang w:val="de-DE"/>
        </w:rPr>
        <w:t>[Sitz]</w:t>
      </w:r>
      <w:r w:rsidRPr="004676F5">
        <w:rPr>
          <w:lang w:val="de-DE"/>
        </w:rPr>
        <w:t xml:space="preserve"> und Unternehmensnummer; bei einem </w:t>
      </w:r>
      <w:r w:rsidR="005C0AC4" w:rsidRPr="004676F5">
        <w:rPr>
          <w:lang w:val="de-DE"/>
        </w:rPr>
        <w:t>[in Artikel I.1 Nr. 1 Absatz 1 Buchstabe </w:t>
      </w:r>
      <w:r w:rsidR="005C0AC4" w:rsidRPr="004676F5">
        <w:rPr>
          <w:i/>
          <w:iCs/>
          <w:lang w:val="de-DE"/>
        </w:rPr>
        <w:t>(c)</w:t>
      </w:r>
      <w:r w:rsidR="005C0AC4" w:rsidRPr="004676F5">
        <w:rPr>
          <w:lang w:val="de-DE"/>
        </w:rPr>
        <w:t>]</w:t>
      </w:r>
      <w:r w:rsidRPr="004676F5">
        <w:rPr>
          <w:lang w:val="de-DE"/>
        </w:rPr>
        <w:t xml:space="preserve"> erwähnten Unternehmen Handelsname, unter der die Tätigkeit ausgeübt wird, gegebenenfalls Unternehmensnummer, Tätigkeitssitz und gegebenenfalls Identifizierungsdaten des Bevollmächtigten,</w:t>
      </w:r>
    </w:p>
    <w:p w14:paraId="6878AF76" w14:textId="77777777" w:rsidR="00EE35E2" w:rsidRPr="004676F5" w:rsidRDefault="00EE35E2" w:rsidP="00EE35E2">
      <w:pPr>
        <w:ind w:firstLine="708"/>
        <w:jc w:val="both"/>
        <w:rPr>
          <w:lang w:val="de-DE"/>
        </w:rPr>
      </w:pPr>
    </w:p>
    <w:p w14:paraId="78F0363A" w14:textId="77777777" w:rsidR="00EE35E2" w:rsidRPr="004676F5" w:rsidRDefault="00EE35E2" w:rsidP="00EE35E2">
      <w:pPr>
        <w:ind w:firstLine="708"/>
        <w:jc w:val="both"/>
        <w:rPr>
          <w:lang w:val="de-DE"/>
        </w:rPr>
      </w:pPr>
      <w:r w:rsidRPr="004676F5">
        <w:rPr>
          <w:lang w:val="de-DE"/>
        </w:rPr>
        <w:t>2. Datum des Konkurseröffnungsurteils und Gericht, das das Urteil gefällt hat, und Name des Konkursrichters,</w:t>
      </w:r>
    </w:p>
    <w:p w14:paraId="325D52A5" w14:textId="77777777" w:rsidR="00EE35E2" w:rsidRPr="004676F5" w:rsidRDefault="00EE35E2" w:rsidP="00EE35E2">
      <w:pPr>
        <w:ind w:firstLine="708"/>
        <w:jc w:val="both"/>
        <w:rPr>
          <w:lang w:val="de-DE"/>
        </w:rPr>
      </w:pPr>
    </w:p>
    <w:p w14:paraId="41385C48" w14:textId="77777777" w:rsidR="00EE35E2" w:rsidRPr="004676F5" w:rsidRDefault="00EE35E2" w:rsidP="00EE35E2">
      <w:pPr>
        <w:ind w:firstLine="708"/>
        <w:jc w:val="both"/>
        <w:rPr>
          <w:lang w:val="de-DE"/>
        </w:rPr>
      </w:pPr>
      <w:r w:rsidRPr="004676F5">
        <w:rPr>
          <w:lang w:val="de-DE"/>
        </w:rPr>
        <w:t>3. gegebenenfalls Datum des Urteils zur Festlegung der Zahlungseinstellung und Datum dieser Zahlungseinstellung,</w:t>
      </w:r>
    </w:p>
    <w:p w14:paraId="2A3915EB" w14:textId="77777777" w:rsidR="00EE35E2" w:rsidRPr="004676F5" w:rsidRDefault="00EE35E2" w:rsidP="00EE35E2">
      <w:pPr>
        <w:ind w:firstLine="708"/>
        <w:jc w:val="both"/>
        <w:rPr>
          <w:lang w:val="de-DE"/>
        </w:rPr>
      </w:pPr>
    </w:p>
    <w:p w14:paraId="6B0A9117" w14:textId="77777777" w:rsidR="00EE35E2" w:rsidRPr="004676F5" w:rsidRDefault="00EE35E2" w:rsidP="00EE35E2">
      <w:pPr>
        <w:ind w:firstLine="708"/>
        <w:jc w:val="both"/>
        <w:rPr>
          <w:lang w:val="de-DE"/>
        </w:rPr>
      </w:pPr>
      <w:r w:rsidRPr="004676F5">
        <w:rPr>
          <w:lang w:val="de-DE"/>
        </w:rPr>
        <w:t>4. Name, Vornamen und elektronische Adresse der Konkursverwalter,</w:t>
      </w:r>
    </w:p>
    <w:p w14:paraId="0F6D0C74" w14:textId="77777777" w:rsidR="00EE35E2" w:rsidRPr="004676F5" w:rsidRDefault="00EE35E2" w:rsidP="00EE35E2">
      <w:pPr>
        <w:ind w:firstLine="708"/>
        <w:jc w:val="both"/>
        <w:rPr>
          <w:lang w:val="de-DE"/>
        </w:rPr>
      </w:pPr>
    </w:p>
    <w:p w14:paraId="65838399" w14:textId="77777777" w:rsidR="00EE35E2" w:rsidRPr="004676F5" w:rsidRDefault="00EE35E2" w:rsidP="00EE35E2">
      <w:pPr>
        <w:ind w:firstLine="708"/>
        <w:jc w:val="both"/>
        <w:rPr>
          <w:lang w:val="de-DE"/>
        </w:rPr>
      </w:pPr>
      <w:r w:rsidRPr="004676F5">
        <w:rPr>
          <w:lang w:val="de-DE"/>
        </w:rPr>
        <w:lastRenderedPageBreak/>
        <w:t>5. Frist und Modalitäten für die Hinterlegung von Forderungsanmeldung im Register,</w:t>
      </w:r>
    </w:p>
    <w:p w14:paraId="015C6D09" w14:textId="77777777" w:rsidR="00EE35E2" w:rsidRPr="004676F5" w:rsidRDefault="00EE35E2" w:rsidP="00EE35E2">
      <w:pPr>
        <w:ind w:firstLine="708"/>
        <w:jc w:val="both"/>
        <w:rPr>
          <w:lang w:val="de-DE"/>
        </w:rPr>
      </w:pPr>
    </w:p>
    <w:p w14:paraId="51CFADB0" w14:textId="77777777" w:rsidR="00EE35E2" w:rsidRPr="004676F5" w:rsidRDefault="00EE35E2" w:rsidP="00EE35E2">
      <w:pPr>
        <w:ind w:firstLine="708"/>
        <w:jc w:val="both"/>
        <w:rPr>
          <w:lang w:val="de-DE"/>
        </w:rPr>
      </w:pPr>
      <w:r w:rsidRPr="004676F5">
        <w:rPr>
          <w:lang w:val="de-DE"/>
        </w:rPr>
        <w:t>6. Datum für die Hinterlegung des ersten Protokolls über die Prüfung der Forderungen.</w:t>
      </w:r>
    </w:p>
    <w:p w14:paraId="45A1349B" w14:textId="77777777" w:rsidR="0079445F" w:rsidRPr="004676F5" w:rsidRDefault="0079445F" w:rsidP="0079445F">
      <w:pPr>
        <w:jc w:val="both"/>
        <w:rPr>
          <w:lang w:val="de-DE"/>
        </w:rPr>
      </w:pPr>
    </w:p>
    <w:p w14:paraId="718ACD80" w14:textId="0014F97F" w:rsidR="0079445F" w:rsidRPr="004676F5" w:rsidRDefault="0079445F" w:rsidP="0079445F">
      <w:pPr>
        <w:jc w:val="both"/>
        <w:rPr>
          <w:lang w:val="de-DE"/>
        </w:rPr>
      </w:pPr>
      <w:r w:rsidRPr="004676F5">
        <w:rPr>
          <w:lang w:val="de-DE"/>
        </w:rPr>
        <w:tab/>
        <w:t>[§ 2 - Unbeschadet des Artikels 2:74 § 4 des Gesetzbuches der Gesellschaften und Vereinigungen wird ein Auszug aus der in Artikel XX.100 Absatz 4 erwähnten Entscheidung auf Betreiben des Greffiers im Register hinterlegt.</w:t>
      </w:r>
    </w:p>
    <w:p w14:paraId="4FB86DDC" w14:textId="3FB43855" w:rsidR="0079445F" w:rsidRPr="004676F5" w:rsidRDefault="0079445F" w:rsidP="0079445F">
      <w:pPr>
        <w:rPr>
          <w:lang w:val="de-DE"/>
        </w:rPr>
      </w:pPr>
    </w:p>
    <w:p w14:paraId="715B7626" w14:textId="77777777" w:rsidR="0079445F" w:rsidRPr="004676F5" w:rsidRDefault="0079445F" w:rsidP="0079445F">
      <w:pPr>
        <w:jc w:val="both"/>
        <w:rPr>
          <w:lang w:val="de-DE"/>
        </w:rPr>
      </w:pPr>
      <w:r w:rsidRPr="004676F5">
        <w:rPr>
          <w:lang w:val="de-DE"/>
        </w:rPr>
        <w:tab/>
        <w:t>Im Auszug stehen folgende Angaben:</w:t>
      </w:r>
    </w:p>
    <w:p w14:paraId="5CD078DA" w14:textId="77777777" w:rsidR="0079445F" w:rsidRPr="004676F5" w:rsidRDefault="0079445F" w:rsidP="0079445F">
      <w:pPr>
        <w:jc w:val="both"/>
        <w:rPr>
          <w:lang w:val="de-DE"/>
        </w:rPr>
      </w:pPr>
    </w:p>
    <w:p w14:paraId="44B93683" w14:textId="77777777" w:rsidR="0079445F" w:rsidRPr="004676F5" w:rsidRDefault="0079445F" w:rsidP="0079445F">
      <w:pPr>
        <w:jc w:val="both"/>
        <w:rPr>
          <w:lang w:val="de-DE"/>
        </w:rPr>
      </w:pPr>
      <w:r w:rsidRPr="004676F5">
        <w:rPr>
          <w:lang w:val="de-DE"/>
        </w:rPr>
        <w:tab/>
        <w:t>- Name der juristischen Person, Rechtsform, Handelsname, unter dem die Tätigkeit ausgeübt wird, Sitz und Unternehmensnummer,</w:t>
      </w:r>
    </w:p>
    <w:p w14:paraId="106D07F9" w14:textId="77777777" w:rsidR="0079445F" w:rsidRPr="004676F5" w:rsidRDefault="0079445F" w:rsidP="0079445F">
      <w:pPr>
        <w:jc w:val="both"/>
        <w:rPr>
          <w:lang w:val="de-DE"/>
        </w:rPr>
      </w:pPr>
    </w:p>
    <w:p w14:paraId="4C7AA2B8" w14:textId="7FE1DB62" w:rsidR="0079445F" w:rsidRPr="004676F5" w:rsidRDefault="0079445F" w:rsidP="0079445F">
      <w:pPr>
        <w:jc w:val="both"/>
        <w:rPr>
          <w:lang w:val="de-DE"/>
        </w:rPr>
      </w:pPr>
      <w:r w:rsidRPr="004676F5">
        <w:rPr>
          <w:lang w:val="de-DE"/>
        </w:rPr>
        <w:tab/>
        <w:t>- Datum des Urteils, mit dem die gerichtliche Auflösung ausgesprochen wird, und Gericht, das das Urteil ausgesprochen hat.]</w:t>
      </w:r>
    </w:p>
    <w:p w14:paraId="2747145A" w14:textId="7B08DDB5" w:rsidR="00EE35E2" w:rsidRPr="004676F5" w:rsidRDefault="00EE35E2" w:rsidP="00EE35E2">
      <w:pPr>
        <w:ind w:firstLine="708"/>
        <w:jc w:val="both"/>
        <w:rPr>
          <w:lang w:val="de-DE"/>
        </w:rPr>
      </w:pPr>
    </w:p>
    <w:p w14:paraId="1E2E551A" w14:textId="3D0DFF06" w:rsidR="005C0AC4" w:rsidRPr="004676F5" w:rsidRDefault="005C0AC4" w:rsidP="005C0AC4">
      <w:pPr>
        <w:jc w:val="both"/>
        <w:rPr>
          <w:i/>
          <w:lang w:val="de-DE"/>
        </w:rPr>
      </w:pPr>
      <w:r w:rsidRPr="004676F5">
        <w:rPr>
          <w:i/>
          <w:lang w:val="de-DE"/>
        </w:rPr>
        <w:t xml:space="preserve">[Art. XX.107 </w:t>
      </w:r>
      <w:r w:rsidR="001A6E25" w:rsidRPr="004676F5">
        <w:rPr>
          <w:i/>
          <w:lang w:val="de-DE"/>
        </w:rPr>
        <w:t>§ 1 (frühere Absätze 1 und 2) nummeriert durch Art. </w:t>
      </w:r>
      <w:r w:rsidR="0079445F" w:rsidRPr="004676F5">
        <w:rPr>
          <w:i/>
          <w:lang w:val="de-DE"/>
        </w:rPr>
        <w:t>207 Nr. 1</w:t>
      </w:r>
      <w:r w:rsidR="0079445F" w:rsidRPr="004676F5">
        <w:rPr>
          <w:i/>
          <w:iCs/>
          <w:lang w:val="de-DE"/>
        </w:rPr>
        <w:t xml:space="preserve"> des G. vom 7. Juni 2023 (B.S. vom 7. Juli 2023); § 1 </w:t>
      </w:r>
      <w:r w:rsidRPr="004676F5">
        <w:rPr>
          <w:i/>
          <w:lang w:val="de-DE"/>
        </w:rPr>
        <w:t>Abs. 2 Nr. 1 abgeändert durch Art. 232 des G. vom 15. April 2018 (B.S. vom 27. April 2018)</w:t>
      </w:r>
      <w:r w:rsidR="0079445F" w:rsidRPr="004676F5">
        <w:rPr>
          <w:i/>
          <w:lang w:val="de-DE"/>
        </w:rPr>
        <w:t xml:space="preserve"> und Art. 207 Nr. 2</w:t>
      </w:r>
      <w:r w:rsidR="0079445F" w:rsidRPr="004676F5">
        <w:rPr>
          <w:i/>
          <w:iCs/>
          <w:lang w:val="de-DE"/>
        </w:rPr>
        <w:t xml:space="preserve"> des G. vom 7. Juni 2023 (B.S. vom 7. Juli 2023); § 2 eingefügt durch Art. 207 Nr. 1 des G. vom 7. Juni 2023 (B.S. vom 7. Juli 2023)</w:t>
      </w:r>
      <w:r w:rsidRPr="004676F5">
        <w:rPr>
          <w:i/>
          <w:lang w:val="de-DE"/>
        </w:rPr>
        <w:t>]</w:t>
      </w:r>
    </w:p>
    <w:p w14:paraId="1774D018" w14:textId="77777777" w:rsidR="005C0AC4" w:rsidRPr="004676F5" w:rsidRDefault="005C0AC4" w:rsidP="005C0AC4">
      <w:pPr>
        <w:jc w:val="both"/>
        <w:rPr>
          <w:i/>
          <w:lang w:val="de-DE"/>
        </w:rPr>
      </w:pPr>
    </w:p>
    <w:p w14:paraId="6CE496B6" w14:textId="77777777" w:rsidR="00D11212" w:rsidRPr="004676F5" w:rsidRDefault="00D11212" w:rsidP="00EE35E2">
      <w:pPr>
        <w:ind w:firstLine="708"/>
        <w:jc w:val="both"/>
        <w:rPr>
          <w:lang w:val="de-DE"/>
        </w:rPr>
      </w:pPr>
    </w:p>
    <w:p w14:paraId="1876B20A" w14:textId="117228C5" w:rsidR="00EE35E2" w:rsidRPr="004676F5" w:rsidRDefault="00BE0A56" w:rsidP="00EE35E2">
      <w:pPr>
        <w:ind w:firstLine="708"/>
        <w:jc w:val="both"/>
        <w:rPr>
          <w:lang w:val="de-DE"/>
        </w:rPr>
      </w:pPr>
      <w:r w:rsidRPr="004676F5">
        <w:rPr>
          <w:b/>
          <w:lang w:val="de-DE"/>
        </w:rPr>
        <w:t>Art. </w:t>
      </w:r>
      <w:r w:rsidR="00EE35E2" w:rsidRPr="004676F5">
        <w:rPr>
          <w:b/>
          <w:lang w:val="de-DE"/>
        </w:rPr>
        <w:t>XX.108</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Jedes Konkurseröffnungsurteil oder jedes Urteil zur Festlegung des Datums der Zahlungseinstellung ist vorläufig und auf der Urschrift ab der Verkündung vollstreckbar.</w:t>
      </w:r>
    </w:p>
    <w:p w14:paraId="1C98EF18" w14:textId="77777777" w:rsidR="00EE35E2" w:rsidRPr="004676F5" w:rsidRDefault="00EE35E2" w:rsidP="00EE35E2">
      <w:pPr>
        <w:ind w:firstLine="708"/>
        <w:jc w:val="both"/>
        <w:rPr>
          <w:lang w:val="de-DE"/>
        </w:rPr>
      </w:pPr>
    </w:p>
    <w:p w14:paraId="32192DCF" w14:textId="2546D259"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Gegen diese Urteile können säumige Parteien Einspruch und Interessehabende, die nicht Partei gewesen sind, Dritteinspruch erheben.</w:t>
      </w:r>
      <w:r w:rsidR="0079445F" w:rsidRPr="004676F5">
        <w:rPr>
          <w:lang w:val="de-DE"/>
        </w:rPr>
        <w:t xml:space="preserve"> [Ein Schuldner, der seine Zahlungseinstellung eingesteht, ist keine Partei im Urteil, das über sein Konkursgeständnis entscheidet.]</w:t>
      </w:r>
    </w:p>
    <w:p w14:paraId="0AFF199F" w14:textId="77777777" w:rsidR="00EE35E2" w:rsidRPr="004676F5" w:rsidRDefault="00EE35E2" w:rsidP="00EE35E2">
      <w:pPr>
        <w:ind w:firstLine="708"/>
        <w:jc w:val="both"/>
        <w:rPr>
          <w:lang w:val="de-DE"/>
        </w:rPr>
      </w:pPr>
    </w:p>
    <w:p w14:paraId="77869DCF" w14:textId="6E667608"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Einspruch ist nur zulässig, wenn er binnen fünfzehn Tagen ab Zustellung des Urteils eingelegt wird.</w:t>
      </w:r>
    </w:p>
    <w:p w14:paraId="0260FF1F" w14:textId="77777777" w:rsidR="00EE35E2" w:rsidRPr="004676F5" w:rsidRDefault="00EE35E2" w:rsidP="00EE35E2">
      <w:pPr>
        <w:ind w:firstLine="708"/>
        <w:jc w:val="both"/>
        <w:rPr>
          <w:lang w:val="de-DE"/>
        </w:rPr>
      </w:pPr>
    </w:p>
    <w:p w14:paraId="5E27F18C" w14:textId="60A325F7" w:rsidR="00EE35E2" w:rsidRPr="004676F5" w:rsidRDefault="00EE35E2" w:rsidP="00EE35E2">
      <w:pPr>
        <w:ind w:firstLine="708"/>
        <w:jc w:val="both"/>
        <w:rPr>
          <w:lang w:val="de-DE"/>
        </w:rPr>
      </w:pPr>
      <w:r w:rsidRPr="004676F5">
        <w:rPr>
          <w:lang w:val="de-DE"/>
        </w:rPr>
        <w:t xml:space="preserve">Betrifft der Konkurs ein </w:t>
      </w:r>
      <w:r w:rsidR="00256756" w:rsidRPr="004676F5">
        <w:rPr>
          <w:lang w:val="de-DE"/>
        </w:rPr>
        <w:t>[in Artikel I.1 Nr. 1 Absatz 1</w:t>
      </w:r>
      <w:r w:rsidR="005C0AC4" w:rsidRPr="004676F5">
        <w:rPr>
          <w:lang w:val="de-DE"/>
        </w:rPr>
        <w:t xml:space="preserve"> Buchstabe </w:t>
      </w:r>
      <w:r w:rsidR="005C0AC4" w:rsidRPr="004676F5">
        <w:rPr>
          <w:i/>
          <w:iCs/>
          <w:lang w:val="de-DE"/>
        </w:rPr>
        <w:t>(c)</w:t>
      </w:r>
      <w:r w:rsidR="005C0AC4" w:rsidRPr="004676F5">
        <w:rPr>
          <w:iCs/>
          <w:lang w:val="de-DE"/>
        </w:rPr>
        <w:t>]</w:t>
      </w:r>
      <w:r w:rsidRPr="004676F5">
        <w:rPr>
          <w:lang w:val="de-DE"/>
        </w:rPr>
        <w:t xml:space="preserve"> des vorliegenden Buches erwähntes Unternehmen oder eine juristische Person, deren Gesellschafter unbeschränkt haften, ist </w:t>
      </w:r>
      <w:r w:rsidR="0079445F" w:rsidRPr="004676F5">
        <w:rPr>
          <w:lang w:val="de-DE"/>
        </w:rPr>
        <w:t>[</w:t>
      </w:r>
      <w:r w:rsidRPr="004676F5">
        <w:rPr>
          <w:lang w:val="de-DE"/>
        </w:rPr>
        <w:t xml:space="preserve">der </w:t>
      </w:r>
      <w:r w:rsidR="0079445F" w:rsidRPr="004676F5">
        <w:rPr>
          <w:lang w:val="de-DE"/>
        </w:rPr>
        <w:t>Dritte</w:t>
      </w:r>
      <w:r w:rsidRPr="004676F5">
        <w:rPr>
          <w:lang w:val="de-DE"/>
        </w:rPr>
        <w:t>inspruch</w:t>
      </w:r>
      <w:r w:rsidR="0079445F" w:rsidRPr="004676F5">
        <w:rPr>
          <w:lang w:val="de-DE"/>
        </w:rPr>
        <w:t>]</w:t>
      </w:r>
      <w:r w:rsidRPr="004676F5">
        <w:rPr>
          <w:lang w:val="de-DE"/>
        </w:rPr>
        <w:t xml:space="preserve"> eines Gesellschafters, der von dem Konkursgeständnis nicht in Kenntnis gesetzt worden ist beziehungsweise keine Kenntnis von dem Konkursgeständnis hatte, nur zulässig, wenn er binnen sechs Monaten ab Veröffentlichung des Konkurses im </w:t>
      </w:r>
      <w:r w:rsidRPr="004676F5">
        <w:rPr>
          <w:i/>
          <w:lang w:val="de-DE"/>
        </w:rPr>
        <w:t>Belgischen Staatsblatt</w:t>
      </w:r>
      <w:r w:rsidRPr="004676F5">
        <w:rPr>
          <w:lang w:val="de-DE"/>
        </w:rPr>
        <w:t xml:space="preserve"> und in jedem Fall binnen fünfzehn Tagen ab dem Zeitpunkt, zu dem der Betreffende Kenntnis des Urteils erhalten hat, eingelegt wird.</w:t>
      </w:r>
    </w:p>
    <w:p w14:paraId="3D6A64EC" w14:textId="77777777" w:rsidR="00EE35E2" w:rsidRPr="004676F5" w:rsidRDefault="00EE35E2" w:rsidP="00EE35E2">
      <w:pPr>
        <w:ind w:firstLine="708"/>
        <w:jc w:val="both"/>
        <w:rPr>
          <w:lang w:val="de-DE"/>
        </w:rPr>
      </w:pPr>
    </w:p>
    <w:p w14:paraId="35AE9324" w14:textId="497AEF14" w:rsidR="00EE35E2" w:rsidRPr="004676F5" w:rsidRDefault="00EE35E2" w:rsidP="00EE35E2">
      <w:pPr>
        <w:ind w:firstLine="708"/>
        <w:jc w:val="both"/>
        <w:rPr>
          <w:lang w:val="de-DE"/>
        </w:rPr>
      </w:pPr>
      <w:r w:rsidRPr="004676F5">
        <w:rPr>
          <w:lang w:val="de-DE"/>
        </w:rPr>
        <w:t xml:space="preserve">Dritteinspruch ist nur zulässig, wenn er binnen fünfzehn Tagen ab Veröffentlichung </w:t>
      </w:r>
      <w:r w:rsidR="0079445F" w:rsidRPr="004676F5">
        <w:rPr>
          <w:lang w:val="de-DE"/>
        </w:rPr>
        <w:t>[</w:t>
      </w:r>
      <w:r w:rsidRPr="004676F5">
        <w:rPr>
          <w:lang w:val="de-DE"/>
        </w:rPr>
        <w:t xml:space="preserve">des </w:t>
      </w:r>
      <w:r w:rsidR="0079445F" w:rsidRPr="004676F5">
        <w:rPr>
          <w:lang w:val="de-DE"/>
        </w:rPr>
        <w:t>Urteil</w:t>
      </w:r>
      <w:r w:rsidRPr="004676F5">
        <w:rPr>
          <w:lang w:val="de-DE"/>
        </w:rPr>
        <w:t>s</w:t>
      </w:r>
      <w:r w:rsidR="0079445F" w:rsidRPr="004676F5">
        <w:rPr>
          <w:lang w:val="de-DE"/>
        </w:rPr>
        <w:t>]</w:t>
      </w:r>
      <w:r w:rsidRPr="004676F5">
        <w:rPr>
          <w:lang w:val="de-DE"/>
        </w:rPr>
        <w:t xml:space="preserve"> im </w:t>
      </w:r>
      <w:r w:rsidRPr="004676F5">
        <w:rPr>
          <w:i/>
          <w:lang w:val="de-DE"/>
        </w:rPr>
        <w:t>Belgischen Staatsblatt</w:t>
      </w:r>
      <w:r w:rsidRPr="004676F5">
        <w:rPr>
          <w:lang w:val="de-DE"/>
        </w:rPr>
        <w:t xml:space="preserve"> eingelegt wird.</w:t>
      </w:r>
    </w:p>
    <w:p w14:paraId="054FAB04" w14:textId="77777777" w:rsidR="00EE35E2" w:rsidRPr="004676F5" w:rsidRDefault="00EE35E2" w:rsidP="00EE35E2">
      <w:pPr>
        <w:ind w:firstLine="708"/>
        <w:jc w:val="both"/>
        <w:rPr>
          <w:lang w:val="de-DE"/>
        </w:rPr>
      </w:pPr>
    </w:p>
    <w:p w14:paraId="0299B70B" w14:textId="77777777" w:rsidR="00EC4681" w:rsidRPr="004676F5" w:rsidRDefault="00EC4681">
      <w:pPr>
        <w:rPr>
          <w:lang w:val="de-DE"/>
        </w:rPr>
      </w:pPr>
      <w:r w:rsidRPr="004676F5">
        <w:rPr>
          <w:lang w:val="de-DE"/>
        </w:rPr>
        <w:br w:type="page"/>
      </w:r>
    </w:p>
    <w:p w14:paraId="5C60713F" w14:textId="7D1AA786" w:rsidR="00EE35E2" w:rsidRPr="004676F5" w:rsidRDefault="00EE35E2" w:rsidP="00EE35E2">
      <w:pPr>
        <w:ind w:firstLine="708"/>
        <w:jc w:val="both"/>
        <w:rPr>
          <w:lang w:val="de-DE"/>
        </w:rPr>
      </w:pPr>
      <w:r w:rsidRPr="004676F5">
        <w:rPr>
          <w:lang w:val="de-DE"/>
        </w:rPr>
        <w:lastRenderedPageBreak/>
        <w:t xml:space="preserve">Die Frist, um gegen diese Urteile Berufung einzulegen, beträgt fünfzehn Tage ab der in Artikel XX.107 erwähnten Veröffentlichung </w:t>
      </w:r>
      <w:r w:rsidR="0079445F" w:rsidRPr="004676F5">
        <w:rPr>
          <w:lang w:val="de-DE"/>
        </w:rPr>
        <w:t xml:space="preserve">[des Urteils] </w:t>
      </w:r>
      <w:r w:rsidRPr="004676F5">
        <w:rPr>
          <w:lang w:val="de-DE"/>
        </w:rPr>
        <w:t xml:space="preserve">im </w:t>
      </w:r>
      <w:r w:rsidRPr="004676F5">
        <w:rPr>
          <w:i/>
          <w:lang w:val="de-DE"/>
        </w:rPr>
        <w:t>Belgischen Staatsblatt</w:t>
      </w:r>
      <w:r w:rsidRPr="004676F5">
        <w:rPr>
          <w:lang w:val="de-DE"/>
        </w:rPr>
        <w:t>.</w:t>
      </w:r>
    </w:p>
    <w:p w14:paraId="7AE571F3" w14:textId="77777777" w:rsidR="00EE35E2" w:rsidRPr="004676F5" w:rsidRDefault="00EE35E2" w:rsidP="00EE35E2">
      <w:pPr>
        <w:ind w:firstLine="708"/>
        <w:jc w:val="both"/>
        <w:rPr>
          <w:lang w:val="de-DE"/>
        </w:rPr>
      </w:pPr>
    </w:p>
    <w:p w14:paraId="4F515EFA" w14:textId="2A4B2AA1" w:rsidR="00D11212" w:rsidRPr="004676F5" w:rsidRDefault="005C0AC4" w:rsidP="005C0AC4">
      <w:pPr>
        <w:jc w:val="both"/>
        <w:rPr>
          <w:i/>
          <w:lang w:val="de-DE"/>
        </w:rPr>
      </w:pPr>
      <w:r w:rsidRPr="004676F5">
        <w:rPr>
          <w:i/>
          <w:lang w:val="de-DE"/>
        </w:rPr>
        <w:t xml:space="preserve">[Art. XX.108 </w:t>
      </w:r>
      <w:r w:rsidR="0079445F" w:rsidRPr="004676F5">
        <w:rPr>
          <w:i/>
          <w:lang w:val="de-DE"/>
        </w:rPr>
        <w:t>§ 2 abgeändert durch Art. 208 Nr. 1</w:t>
      </w:r>
      <w:r w:rsidR="0079445F" w:rsidRPr="004676F5">
        <w:rPr>
          <w:i/>
          <w:iCs/>
          <w:lang w:val="de-DE"/>
        </w:rPr>
        <w:t xml:space="preserve"> des G. vom 7. Juni 2023 (B.S. vom 7. Juli 2023); </w:t>
      </w:r>
      <w:r w:rsidRPr="004676F5">
        <w:rPr>
          <w:i/>
          <w:lang w:val="de-DE"/>
        </w:rPr>
        <w:t>§ 3 Abs. 2 abgeändert durch Art. 233 des G. vom 15. April 2018 (B.S. vom 27. April 2018)</w:t>
      </w:r>
      <w:r w:rsidR="0079445F" w:rsidRPr="004676F5">
        <w:rPr>
          <w:i/>
          <w:lang w:val="de-DE"/>
        </w:rPr>
        <w:t xml:space="preserve"> und Art. 208 Nr. 2</w:t>
      </w:r>
      <w:r w:rsidR="0079445F" w:rsidRPr="004676F5">
        <w:rPr>
          <w:i/>
          <w:iCs/>
          <w:lang w:val="de-DE"/>
        </w:rPr>
        <w:t xml:space="preserve"> des G. vom 7. Juni 2023 (B.S. vom 7. Juli 2023); § 3 Abs. 3 abgeändert durch Art. 208 Nr. 3 des G. vom 7. Juni 2023 (B.S. vom 7. Juli 2023); § 3 Abs. 4 abgeändert durch Art. 208 Nr. 4 des G. vom 7. Juni 2023 (B.S. vom 7. Juli 2023)</w:t>
      </w:r>
      <w:r w:rsidRPr="004676F5">
        <w:rPr>
          <w:i/>
          <w:lang w:val="de-DE"/>
        </w:rPr>
        <w:t>]</w:t>
      </w:r>
    </w:p>
    <w:p w14:paraId="72326451" w14:textId="123F6978" w:rsidR="005C0AC4" w:rsidRPr="004676F5" w:rsidRDefault="005C0AC4" w:rsidP="005C0AC4">
      <w:pPr>
        <w:jc w:val="both"/>
        <w:rPr>
          <w:i/>
          <w:lang w:val="de-DE"/>
        </w:rPr>
      </w:pPr>
    </w:p>
    <w:p w14:paraId="25BDE5C1" w14:textId="77777777" w:rsidR="005C0AC4" w:rsidRPr="004676F5" w:rsidRDefault="005C0AC4" w:rsidP="005C0AC4">
      <w:pPr>
        <w:jc w:val="both"/>
        <w:rPr>
          <w:i/>
          <w:lang w:val="de-DE"/>
        </w:rPr>
      </w:pPr>
    </w:p>
    <w:p w14:paraId="7FB585A4" w14:textId="638B0879" w:rsidR="00EE35E2" w:rsidRPr="004676F5" w:rsidRDefault="00BE0A56" w:rsidP="00EE35E2">
      <w:pPr>
        <w:ind w:firstLine="708"/>
        <w:jc w:val="both"/>
        <w:rPr>
          <w:lang w:val="de-DE"/>
        </w:rPr>
      </w:pPr>
      <w:r w:rsidRPr="004676F5">
        <w:rPr>
          <w:b/>
          <w:lang w:val="de-DE"/>
        </w:rPr>
        <w:t>Art. </w:t>
      </w:r>
      <w:r w:rsidR="00EE35E2" w:rsidRPr="004676F5">
        <w:rPr>
          <w:b/>
          <w:lang w:val="de-DE"/>
        </w:rPr>
        <w:t>XX.109</w:t>
      </w:r>
      <w:r w:rsidR="00EE35E2" w:rsidRPr="004676F5">
        <w:rPr>
          <w:lang w:val="de-DE"/>
        </w:rPr>
        <w:t> </w:t>
      </w:r>
      <w:r w:rsidR="005B7A5C" w:rsidRPr="004676F5">
        <w:rPr>
          <w:lang w:val="de-DE"/>
        </w:rPr>
        <w:t>- </w:t>
      </w:r>
      <w:r w:rsidR="00EE35E2" w:rsidRPr="004676F5">
        <w:rPr>
          <w:lang w:val="de-DE"/>
        </w:rPr>
        <w:t>Berufung, Einspruch oder Dritteinspruch gegen ein Konkurseröffnungs</w:t>
      </w:r>
      <w:r w:rsidR="00EE35E2" w:rsidRPr="004676F5">
        <w:rPr>
          <w:lang w:val="de-DE"/>
        </w:rPr>
        <w:softHyphen/>
        <w:t>urteil oder ein Urteil zur Abweisung der Konkurseröffnung wird ohne Verzug verhandlungs</w:t>
      </w:r>
      <w:r w:rsidR="00EE35E2" w:rsidRPr="004676F5">
        <w:rPr>
          <w:lang w:val="de-DE"/>
        </w:rPr>
        <w:softHyphen/>
        <w:t>bereit gemacht.</w:t>
      </w:r>
    </w:p>
    <w:p w14:paraId="71D4E933" w14:textId="77777777" w:rsidR="00EE35E2" w:rsidRPr="004676F5" w:rsidRDefault="00EE35E2" w:rsidP="00EE35E2">
      <w:pPr>
        <w:ind w:firstLine="708"/>
        <w:jc w:val="both"/>
        <w:rPr>
          <w:lang w:val="de-DE"/>
        </w:rPr>
      </w:pPr>
    </w:p>
    <w:p w14:paraId="100336DA" w14:textId="77777777" w:rsidR="00EE35E2" w:rsidRPr="004676F5" w:rsidRDefault="00EE35E2" w:rsidP="00EE35E2">
      <w:pPr>
        <w:ind w:firstLine="708"/>
        <w:jc w:val="both"/>
        <w:rPr>
          <w:lang w:val="de-DE"/>
        </w:rPr>
      </w:pPr>
      <w:r w:rsidRPr="004676F5">
        <w:rPr>
          <w:lang w:val="de-DE"/>
        </w:rPr>
        <w:t>Der Konkursverwalter ist vor Schließung der Verhandlung in das Verfahren einzube</w:t>
      </w:r>
      <w:r w:rsidRPr="004676F5">
        <w:rPr>
          <w:lang w:val="de-DE"/>
        </w:rPr>
        <w:softHyphen/>
        <w:t>ziehen.</w:t>
      </w:r>
    </w:p>
    <w:p w14:paraId="665BFD45" w14:textId="77777777" w:rsidR="00EE35E2" w:rsidRPr="004676F5" w:rsidRDefault="00EE35E2" w:rsidP="00EE35E2">
      <w:pPr>
        <w:ind w:firstLine="708"/>
        <w:jc w:val="both"/>
        <w:rPr>
          <w:lang w:val="de-DE"/>
        </w:rPr>
      </w:pPr>
    </w:p>
    <w:p w14:paraId="7210231E" w14:textId="77777777" w:rsidR="00EE35E2" w:rsidRPr="004676F5" w:rsidRDefault="00EE35E2" w:rsidP="00EE35E2">
      <w:pPr>
        <w:ind w:firstLine="708"/>
        <w:jc w:val="both"/>
        <w:rPr>
          <w:lang w:val="de-DE"/>
        </w:rPr>
      </w:pPr>
      <w:r w:rsidRPr="004676F5">
        <w:rPr>
          <w:lang w:val="de-DE"/>
        </w:rPr>
        <w:t>Auf Antrag der zuerst handelnden Partei wird die Sache anberaumt, um binnen einem Monat nach dem Anberaumungsantrag vorgebracht zu werden.</w:t>
      </w:r>
    </w:p>
    <w:p w14:paraId="70203B0B" w14:textId="77777777" w:rsidR="00EE35E2" w:rsidRPr="004676F5" w:rsidRDefault="00EE35E2" w:rsidP="00EE35E2">
      <w:pPr>
        <w:jc w:val="both"/>
        <w:rPr>
          <w:lang w:val="de-DE"/>
        </w:rPr>
      </w:pPr>
    </w:p>
    <w:p w14:paraId="7B03D2B5" w14:textId="77777777" w:rsidR="0079445F" w:rsidRPr="004676F5" w:rsidRDefault="0079445F" w:rsidP="00EE35E2">
      <w:pPr>
        <w:jc w:val="both"/>
        <w:rPr>
          <w:lang w:val="de-DE"/>
        </w:rPr>
      </w:pPr>
    </w:p>
    <w:p w14:paraId="178D599A" w14:textId="77777777" w:rsidR="0079445F" w:rsidRPr="004676F5" w:rsidRDefault="0079445F" w:rsidP="0079445F">
      <w:pPr>
        <w:jc w:val="both"/>
        <w:rPr>
          <w:lang w:val="de-DE"/>
        </w:rPr>
      </w:pPr>
      <w:r w:rsidRPr="004676F5">
        <w:rPr>
          <w:lang w:val="de-DE"/>
        </w:rPr>
        <w:tab/>
        <w:t>[</w:t>
      </w:r>
      <w:r w:rsidRPr="004676F5">
        <w:rPr>
          <w:b/>
          <w:bCs/>
          <w:lang w:val="de-DE"/>
        </w:rPr>
        <w:t>Art. XX.109/1</w:t>
      </w:r>
      <w:r w:rsidRPr="004676F5">
        <w:rPr>
          <w:lang w:val="de-DE"/>
        </w:rPr>
        <w:t> - In Abweichung von den Artikeln XX.108 und XX.109 kann gegen die in Artikel XX.100 Absatz 4 erwähnte Entscheidung gemäß den Artikeln 2:75, 2:113 § 3/1 und 2:114 § 3/1 des Gesetzbuches der Gesellschaften und Vereinigungen Beschwerde eingelegt werden.</w:t>
      </w:r>
    </w:p>
    <w:p w14:paraId="24B3287D" w14:textId="77777777" w:rsidR="0079445F" w:rsidRPr="004676F5" w:rsidRDefault="0079445F" w:rsidP="0079445F">
      <w:pPr>
        <w:jc w:val="both"/>
        <w:rPr>
          <w:lang w:val="de-DE"/>
        </w:rPr>
      </w:pPr>
    </w:p>
    <w:p w14:paraId="7F9D1976" w14:textId="7E58C872" w:rsidR="0079445F" w:rsidRPr="004676F5" w:rsidRDefault="0079445F" w:rsidP="0079445F">
      <w:pPr>
        <w:jc w:val="both"/>
        <w:rPr>
          <w:lang w:val="de-DE"/>
        </w:rPr>
      </w:pPr>
      <w:r w:rsidRPr="004676F5">
        <w:rPr>
          <w:lang w:val="de-DE"/>
        </w:rPr>
        <w:tab/>
        <w:t>Ein Gläubiger, der dem Verfahren nicht beitritt, kann innerhalb einer Frist von höchstens fünf Jahren nach Veröffentlichung der in Artikel XX.100 Absatz 4 erwähnten Entscheidung Dritteinspruch einlegen, auch wenn er sich nicht auf einen Betrug des Schuldners beruft oder wenn er keine Hypothek, kein Vorzugsrecht oder kein anderes Recht als sein Forderungsrecht geltend machen kann.]</w:t>
      </w:r>
    </w:p>
    <w:p w14:paraId="600970B3" w14:textId="77777777" w:rsidR="0079445F" w:rsidRPr="004676F5" w:rsidRDefault="0079445F" w:rsidP="0079445F">
      <w:pPr>
        <w:jc w:val="both"/>
        <w:rPr>
          <w:lang w:val="de-DE"/>
        </w:rPr>
      </w:pPr>
    </w:p>
    <w:p w14:paraId="3951D57B" w14:textId="1C6CA195" w:rsidR="0079445F" w:rsidRPr="004676F5" w:rsidRDefault="0079445F" w:rsidP="0079445F">
      <w:pPr>
        <w:jc w:val="both"/>
        <w:rPr>
          <w:i/>
          <w:iCs/>
          <w:lang w:val="de-DE"/>
        </w:rPr>
      </w:pPr>
      <w:r w:rsidRPr="004676F5">
        <w:rPr>
          <w:i/>
          <w:iCs/>
          <w:lang w:val="de-DE"/>
        </w:rPr>
        <w:t>[Art. </w:t>
      </w:r>
      <w:r w:rsidR="00EC4681" w:rsidRPr="004676F5">
        <w:rPr>
          <w:i/>
          <w:iCs/>
          <w:lang w:val="de-DE"/>
        </w:rPr>
        <w:t>XX.</w:t>
      </w:r>
      <w:r w:rsidRPr="004676F5">
        <w:rPr>
          <w:i/>
          <w:iCs/>
          <w:lang w:val="de-DE"/>
        </w:rPr>
        <w:t>109/1 eingefügt durch Art. 209 des G. vom 7. Juni 2023 (B.S. vom 7. Juli 2023)]</w:t>
      </w:r>
    </w:p>
    <w:p w14:paraId="4B132400" w14:textId="77777777" w:rsidR="0079445F" w:rsidRPr="004676F5" w:rsidRDefault="0079445F" w:rsidP="0079445F">
      <w:pPr>
        <w:jc w:val="both"/>
        <w:rPr>
          <w:lang w:val="de-DE"/>
        </w:rPr>
      </w:pPr>
    </w:p>
    <w:p w14:paraId="1F860CA9" w14:textId="77777777" w:rsidR="00D11212" w:rsidRPr="004676F5" w:rsidRDefault="00D11212" w:rsidP="00EE35E2">
      <w:pPr>
        <w:jc w:val="center"/>
        <w:rPr>
          <w:lang w:val="de-DE"/>
        </w:rPr>
      </w:pPr>
    </w:p>
    <w:p w14:paraId="74A06604" w14:textId="77777777" w:rsidR="00D11212" w:rsidRPr="004676F5" w:rsidRDefault="00D11212">
      <w:pPr>
        <w:rPr>
          <w:lang w:val="de-DE"/>
        </w:rPr>
      </w:pPr>
      <w:r w:rsidRPr="004676F5">
        <w:rPr>
          <w:lang w:val="de-DE"/>
        </w:rPr>
        <w:br w:type="page"/>
      </w:r>
    </w:p>
    <w:p w14:paraId="48769140" w14:textId="5643BDD0" w:rsidR="00EE35E2" w:rsidRPr="004676F5" w:rsidRDefault="00EE35E2" w:rsidP="00EE35E2">
      <w:pPr>
        <w:jc w:val="center"/>
        <w:rPr>
          <w:lang w:val="de-DE"/>
        </w:rPr>
      </w:pPr>
      <w:r w:rsidRPr="004676F5">
        <w:rPr>
          <w:lang w:val="de-DE"/>
        </w:rPr>
        <w:lastRenderedPageBreak/>
        <w:t>KAPITEL 2 </w:t>
      </w:r>
      <w:r w:rsidR="005B7A5C" w:rsidRPr="004676F5">
        <w:rPr>
          <w:lang w:val="de-DE"/>
        </w:rPr>
        <w:t>- </w:t>
      </w:r>
      <w:r w:rsidRPr="004676F5">
        <w:rPr>
          <w:i/>
          <w:lang w:val="de-DE"/>
        </w:rPr>
        <w:t>Folgen der Konkurseröffnung</w:t>
      </w:r>
    </w:p>
    <w:p w14:paraId="07AF3060" w14:textId="77777777" w:rsidR="00EE35E2" w:rsidRPr="004676F5" w:rsidRDefault="00EE35E2" w:rsidP="00EE35E2">
      <w:pPr>
        <w:jc w:val="both"/>
        <w:rPr>
          <w:lang w:val="de-DE"/>
        </w:rPr>
      </w:pPr>
    </w:p>
    <w:p w14:paraId="66DF8A78" w14:textId="77777777" w:rsidR="00D11212" w:rsidRPr="004676F5" w:rsidRDefault="00D11212" w:rsidP="00EE35E2">
      <w:pPr>
        <w:jc w:val="both"/>
        <w:rPr>
          <w:lang w:val="de-DE"/>
        </w:rPr>
      </w:pPr>
    </w:p>
    <w:p w14:paraId="28D01542" w14:textId="5B2B33E8" w:rsidR="00EE35E2" w:rsidRPr="004676F5" w:rsidRDefault="00BE0A56" w:rsidP="00EE35E2">
      <w:pPr>
        <w:ind w:firstLine="708"/>
        <w:jc w:val="both"/>
        <w:rPr>
          <w:lang w:val="de-DE"/>
        </w:rPr>
      </w:pPr>
      <w:r w:rsidRPr="004676F5">
        <w:rPr>
          <w:b/>
          <w:lang w:val="de-DE"/>
        </w:rPr>
        <w:t>Art. </w:t>
      </w:r>
      <w:r w:rsidR="00EE35E2" w:rsidRPr="004676F5">
        <w:rPr>
          <w:b/>
          <w:lang w:val="de-DE"/>
        </w:rPr>
        <w:t>XX.110</w:t>
      </w:r>
      <w:r w:rsidR="00EE35E2" w:rsidRPr="004676F5">
        <w:rPr>
          <w:lang w:val="de-DE"/>
        </w:rPr>
        <w:t> </w:t>
      </w:r>
      <w:r w:rsidR="005B7A5C" w:rsidRPr="004676F5">
        <w:rPr>
          <w:lang w:val="de-DE"/>
        </w:rPr>
        <w:t>- </w:t>
      </w:r>
      <w:r w:rsidR="00EE35E2" w:rsidRPr="004676F5">
        <w:rPr>
          <w:lang w:val="de-DE"/>
        </w:rPr>
        <w:t xml:space="preserve">§ 1 </w:t>
      </w:r>
      <w:r w:rsidR="005B7A5C" w:rsidRPr="004676F5">
        <w:rPr>
          <w:lang w:val="de-DE"/>
        </w:rPr>
        <w:t>- </w:t>
      </w:r>
      <w:r w:rsidR="00EE35E2" w:rsidRPr="004676F5">
        <w:rPr>
          <w:lang w:val="de-DE"/>
        </w:rPr>
        <w:t>Ab dem Tag des Konkurseröffnungsurteils wird dem Konkurs</w:t>
      </w:r>
      <w:r w:rsidR="00EE35E2" w:rsidRPr="004676F5">
        <w:rPr>
          <w:lang w:val="de-DE"/>
        </w:rPr>
        <w:softHyphen/>
        <w:t>schuldner von Rechts wegen die Verwaltung der Gesamtheit seiner Güter entzogen einschließlich derer, die ihm während des Konkursverfahrens aus einem Grund zufallen, der vor der Konkurseröffnung liegt.</w:t>
      </w:r>
    </w:p>
    <w:p w14:paraId="51CC3B86" w14:textId="77777777" w:rsidR="00EE35E2" w:rsidRPr="004676F5" w:rsidRDefault="00EE35E2" w:rsidP="00EE35E2">
      <w:pPr>
        <w:ind w:firstLine="708"/>
        <w:jc w:val="both"/>
        <w:rPr>
          <w:lang w:val="de-DE"/>
        </w:rPr>
      </w:pPr>
    </w:p>
    <w:p w14:paraId="23146683" w14:textId="14161FEB"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Zahlungen, Geschäfte und Handlungen des Konkursschuldners und Zahlungen an den Konkursschuldner, die ab dem Tag des Konkurseröffnungsurteils vorgenommen werden, sind der Masse gegenüber nicht wirksam.</w:t>
      </w:r>
    </w:p>
    <w:p w14:paraId="60AD7978" w14:textId="77777777" w:rsidR="00EE35E2" w:rsidRPr="004676F5" w:rsidRDefault="00EE35E2" w:rsidP="00EE35E2">
      <w:pPr>
        <w:ind w:firstLine="708"/>
        <w:jc w:val="both"/>
        <w:rPr>
          <w:lang w:val="de-DE"/>
        </w:rPr>
      </w:pPr>
    </w:p>
    <w:p w14:paraId="7A19CE2D" w14:textId="557599C7"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In Artikel 1408 des Gerichtsgesetzbuches erwähnte Güter, mit Ausnahme der in Nr. 3 dieses Artikels erwähnten Güter, die für den Beruf des Gepfändeten unerlässlich sind, sind von den Konkursaktiva ausgeschlossen. Sie stehen weiterhin unter der Verwaltung und zur Verfügung des Konkursschuldners.</w:t>
      </w:r>
    </w:p>
    <w:p w14:paraId="4B078F88" w14:textId="77777777" w:rsidR="00EE35E2" w:rsidRPr="004676F5" w:rsidRDefault="00EE35E2" w:rsidP="00EE35E2">
      <w:pPr>
        <w:ind w:firstLine="708"/>
        <w:jc w:val="both"/>
        <w:rPr>
          <w:lang w:val="de-DE"/>
        </w:rPr>
      </w:pPr>
    </w:p>
    <w:p w14:paraId="7C1A1F8E" w14:textId="77777777" w:rsidR="00EE35E2" w:rsidRPr="004676F5" w:rsidRDefault="00EE35E2" w:rsidP="00EE35E2">
      <w:pPr>
        <w:ind w:firstLine="708"/>
        <w:jc w:val="both"/>
        <w:rPr>
          <w:lang w:val="de-DE"/>
        </w:rPr>
      </w:pPr>
      <w:r w:rsidRPr="004676F5">
        <w:rPr>
          <w:lang w:val="de-DE"/>
        </w:rPr>
        <w:t>Von den Konkursaktiva werden auch Güter, Beträge, Summen und Zahlungen ausgeschlossen, die der Konkursschuldner ab Konkurseröffnung erhält aus Ursachen, die nach dem Konkurs liegen.</w:t>
      </w:r>
    </w:p>
    <w:p w14:paraId="113991E9" w14:textId="77777777" w:rsidR="00EE35E2" w:rsidRPr="004676F5" w:rsidRDefault="00EE35E2" w:rsidP="00EE35E2">
      <w:pPr>
        <w:ind w:firstLine="708"/>
        <w:jc w:val="both"/>
        <w:rPr>
          <w:lang w:val="de-DE"/>
        </w:rPr>
      </w:pPr>
    </w:p>
    <w:p w14:paraId="689F4CEB" w14:textId="77777777" w:rsidR="00EE35E2" w:rsidRPr="004676F5" w:rsidRDefault="00EE35E2" w:rsidP="00EE35E2">
      <w:pPr>
        <w:ind w:firstLine="708"/>
        <w:jc w:val="both"/>
        <w:rPr>
          <w:lang w:val="de-DE"/>
        </w:rPr>
      </w:pPr>
      <w:r w:rsidRPr="004676F5">
        <w:rPr>
          <w:lang w:val="de-DE"/>
        </w:rPr>
        <w:t>Von den Konkursaktiva werden auch Entschädigungen ausgeschlossen, die dem Konkursschuldner für den Ersatz eines personengebundenen Schadens gewährt werden, der durch eine unerlaubte Handlung verursacht worden ist.</w:t>
      </w:r>
    </w:p>
    <w:p w14:paraId="4256B2D4" w14:textId="77777777" w:rsidR="00EE35E2" w:rsidRPr="004676F5" w:rsidRDefault="00EE35E2" w:rsidP="00EE35E2">
      <w:pPr>
        <w:ind w:firstLine="708"/>
        <w:jc w:val="both"/>
        <w:rPr>
          <w:lang w:val="de-DE"/>
        </w:rPr>
      </w:pPr>
    </w:p>
    <w:p w14:paraId="13175898" w14:textId="77777777" w:rsidR="00EE35E2" w:rsidRPr="004676F5" w:rsidRDefault="00EE35E2" w:rsidP="00EE35E2">
      <w:pPr>
        <w:ind w:firstLine="708"/>
        <w:jc w:val="both"/>
        <w:rPr>
          <w:lang w:val="de-DE"/>
        </w:rPr>
      </w:pPr>
      <w:r w:rsidRPr="004676F5">
        <w:rPr>
          <w:lang w:val="de-DE"/>
        </w:rPr>
        <w:t>Der Konkursschuldner verwaltet ebenfalls die in den Absätzen 2 und 3 erwähnten Güter und Beträge und verfügt darüber.</w:t>
      </w:r>
    </w:p>
    <w:p w14:paraId="01AE7013" w14:textId="77777777" w:rsidR="00EE35E2" w:rsidRPr="004676F5" w:rsidRDefault="00EE35E2" w:rsidP="00EE35E2">
      <w:pPr>
        <w:ind w:firstLine="708"/>
        <w:jc w:val="both"/>
        <w:rPr>
          <w:lang w:val="de-DE"/>
        </w:rPr>
      </w:pPr>
    </w:p>
    <w:p w14:paraId="1C0E4CDD" w14:textId="77777777" w:rsidR="00D11212" w:rsidRPr="004676F5" w:rsidRDefault="00D11212" w:rsidP="00EE35E2">
      <w:pPr>
        <w:ind w:firstLine="708"/>
        <w:jc w:val="both"/>
        <w:rPr>
          <w:lang w:val="de-DE"/>
        </w:rPr>
      </w:pPr>
    </w:p>
    <w:p w14:paraId="6BA78A75" w14:textId="639F29A3" w:rsidR="00EE35E2" w:rsidRPr="004676F5" w:rsidRDefault="00BE0A56" w:rsidP="00EE35E2">
      <w:pPr>
        <w:ind w:firstLine="708"/>
        <w:jc w:val="both"/>
        <w:rPr>
          <w:lang w:val="de-DE"/>
        </w:rPr>
      </w:pPr>
      <w:r w:rsidRPr="004676F5">
        <w:rPr>
          <w:b/>
          <w:lang w:val="de-DE"/>
        </w:rPr>
        <w:t>Art. </w:t>
      </w:r>
      <w:r w:rsidR="00EE35E2" w:rsidRPr="004676F5">
        <w:rPr>
          <w:b/>
          <w:lang w:val="de-DE"/>
        </w:rPr>
        <w:t>XX.111</w:t>
      </w:r>
      <w:r w:rsidR="00EE35E2" w:rsidRPr="004676F5">
        <w:rPr>
          <w:lang w:val="de-DE"/>
        </w:rPr>
        <w:t> </w:t>
      </w:r>
      <w:r w:rsidR="005B7A5C" w:rsidRPr="004676F5">
        <w:rPr>
          <w:lang w:val="de-DE"/>
        </w:rPr>
        <w:t>- </w:t>
      </w:r>
      <w:r w:rsidR="00EE35E2" w:rsidRPr="004676F5">
        <w:rPr>
          <w:lang w:val="de-DE"/>
        </w:rPr>
        <w:t>Unbeschadet der Artikel XX.37, XX.53, XX.65</w:t>
      </w:r>
      <w:r w:rsidR="0079445F" w:rsidRPr="004676F5">
        <w:rPr>
          <w:lang w:val="de-DE"/>
        </w:rPr>
        <w:t xml:space="preserve">[, </w:t>
      </w:r>
      <w:r w:rsidR="00EE35E2" w:rsidRPr="004676F5">
        <w:rPr>
          <w:lang w:val="de-DE"/>
        </w:rPr>
        <w:t>XX.82</w:t>
      </w:r>
      <w:r w:rsidR="0079445F" w:rsidRPr="004676F5">
        <w:rPr>
          <w:lang w:val="de-DE"/>
        </w:rPr>
        <w:t>, XX.83/20 und XX.83/40]</w:t>
      </w:r>
      <w:r w:rsidR="00EE35E2" w:rsidRPr="004676F5">
        <w:rPr>
          <w:lang w:val="de-DE"/>
        </w:rPr>
        <w:t xml:space="preserve"> sind folgende Handlungen beziehungsweise Rechte der Masse gegenüber nicht wirksam, wenn der Schuldner sie von dem Zeitpunkt an, den das Gericht als Zeitpunkt der Zahlungseinstellung bestimmt hat, vorgenommen hat:</w:t>
      </w:r>
    </w:p>
    <w:p w14:paraId="1577A8FC" w14:textId="77777777" w:rsidR="00EE35E2" w:rsidRPr="004676F5" w:rsidRDefault="00EE35E2" w:rsidP="00EE35E2">
      <w:pPr>
        <w:ind w:firstLine="708"/>
        <w:jc w:val="both"/>
        <w:rPr>
          <w:lang w:val="de-DE"/>
        </w:rPr>
      </w:pPr>
    </w:p>
    <w:p w14:paraId="2A9A9667" w14:textId="77777777" w:rsidR="00EE35E2" w:rsidRPr="004676F5" w:rsidRDefault="00EE35E2" w:rsidP="00EE35E2">
      <w:pPr>
        <w:ind w:firstLine="708"/>
        <w:jc w:val="both"/>
        <w:rPr>
          <w:lang w:val="de-DE"/>
        </w:rPr>
      </w:pPr>
      <w:r w:rsidRPr="004676F5">
        <w:rPr>
          <w:lang w:val="de-DE"/>
        </w:rPr>
        <w:t>1. Handlungen, bei denen unentgeltlich über bewegliche oder unbewegliche Güter verfügt wird, und Tauschhandlungen, -geschäfte oder -verträge oder entgeltliche Handlungen, Geschäfte oder Verträge, wenn der Wert dessen, was der Konkursschuldner gegeben hat, den Wert dessen, was er dafür bekommen hat, beträchtlich übersteigt,</w:t>
      </w:r>
    </w:p>
    <w:p w14:paraId="0788B281" w14:textId="77777777" w:rsidR="00EE35E2" w:rsidRPr="004676F5" w:rsidRDefault="00EE35E2" w:rsidP="00EE35E2">
      <w:pPr>
        <w:ind w:firstLine="708"/>
        <w:jc w:val="both"/>
        <w:rPr>
          <w:lang w:val="de-DE"/>
        </w:rPr>
      </w:pPr>
    </w:p>
    <w:p w14:paraId="2234C479" w14:textId="6138221A" w:rsidR="00EE35E2" w:rsidRPr="004676F5" w:rsidRDefault="00EE35E2" w:rsidP="00EE35E2">
      <w:pPr>
        <w:ind w:firstLine="708"/>
        <w:jc w:val="both"/>
        <w:rPr>
          <w:lang w:val="de-DE"/>
        </w:rPr>
      </w:pPr>
      <w:r w:rsidRPr="004676F5">
        <w:rPr>
          <w:lang w:val="de-DE"/>
        </w:rPr>
        <w:t xml:space="preserve">2. Zahlungen </w:t>
      </w:r>
      <w:r w:rsidR="005B7A5C" w:rsidRPr="004676F5">
        <w:rPr>
          <w:lang w:val="de-DE"/>
        </w:rPr>
        <w:t>- </w:t>
      </w:r>
      <w:r w:rsidRPr="004676F5">
        <w:rPr>
          <w:lang w:val="de-DE"/>
        </w:rPr>
        <w:t>ob in bar oder durch Übertragung, Verkauf oder auf andere Weise </w:t>
      </w:r>
      <w:r w:rsidR="005B7A5C" w:rsidRPr="004676F5">
        <w:rPr>
          <w:lang w:val="de-DE"/>
        </w:rPr>
        <w:t>- </w:t>
      </w:r>
      <w:r w:rsidRPr="004676F5">
        <w:rPr>
          <w:lang w:val="de-DE"/>
        </w:rPr>
        <w:t>für nicht fällige Schulden oder Zahlungen anders als in bar oder mit Handelspapieren für fällige Schulden,</w:t>
      </w:r>
    </w:p>
    <w:p w14:paraId="5D6225FB" w14:textId="77777777" w:rsidR="00EE35E2" w:rsidRPr="004676F5" w:rsidRDefault="00EE35E2" w:rsidP="00EE35E2">
      <w:pPr>
        <w:ind w:firstLine="708"/>
        <w:jc w:val="both"/>
        <w:rPr>
          <w:lang w:val="de-DE"/>
        </w:rPr>
      </w:pPr>
    </w:p>
    <w:p w14:paraId="1957E7BA" w14:textId="14A7A9AC" w:rsidR="00EE35E2" w:rsidRPr="004676F5" w:rsidRDefault="00EE35E2" w:rsidP="00EE35E2">
      <w:pPr>
        <w:ind w:firstLine="708"/>
        <w:jc w:val="both"/>
        <w:rPr>
          <w:lang w:val="de-DE"/>
        </w:rPr>
      </w:pPr>
      <w:r w:rsidRPr="004676F5">
        <w:rPr>
          <w:lang w:val="de-DE"/>
        </w:rPr>
        <w:t>3. vertragliche Hypotheken und Nutzungspfand</w:t>
      </w:r>
      <w:r w:rsidR="005B7A5C" w:rsidRPr="004676F5">
        <w:rPr>
          <w:lang w:val="de-DE"/>
        </w:rPr>
        <w:t>- </w:t>
      </w:r>
      <w:r w:rsidRPr="004676F5">
        <w:rPr>
          <w:lang w:val="de-DE"/>
        </w:rPr>
        <w:t>oder Pfandrechte an Gütern des Schuldners für vorher eingegangene Schulden.</w:t>
      </w:r>
    </w:p>
    <w:p w14:paraId="51377D0F" w14:textId="77777777" w:rsidR="0079445F" w:rsidRPr="004676F5" w:rsidRDefault="0079445F" w:rsidP="0079445F">
      <w:pPr>
        <w:jc w:val="both"/>
        <w:rPr>
          <w:lang w:val="de-DE"/>
        </w:rPr>
      </w:pPr>
    </w:p>
    <w:p w14:paraId="5805120D" w14:textId="7603F7E0" w:rsidR="0079445F" w:rsidRPr="004676F5" w:rsidRDefault="0079445F" w:rsidP="0079445F">
      <w:pPr>
        <w:jc w:val="both"/>
        <w:rPr>
          <w:i/>
          <w:iCs/>
          <w:lang w:val="de-DE"/>
        </w:rPr>
      </w:pPr>
      <w:r w:rsidRPr="004676F5">
        <w:rPr>
          <w:i/>
          <w:iCs/>
          <w:lang w:val="de-DE"/>
        </w:rPr>
        <w:t>[Art. XX.111 einziger Absatz einleitende Bestimmung abgeändert durch Art. 210 des G. vom 7. Juni 2023 (B.S. vom 7. Juli 2023)]</w:t>
      </w:r>
    </w:p>
    <w:p w14:paraId="5C61805E" w14:textId="77777777" w:rsidR="00EE35E2" w:rsidRPr="004676F5" w:rsidRDefault="00EE35E2" w:rsidP="00EE35E2">
      <w:pPr>
        <w:ind w:firstLine="708"/>
        <w:jc w:val="both"/>
        <w:rPr>
          <w:lang w:val="de-DE"/>
        </w:rPr>
      </w:pPr>
    </w:p>
    <w:p w14:paraId="23868006" w14:textId="77777777" w:rsidR="00D11212" w:rsidRPr="004676F5" w:rsidRDefault="00D11212" w:rsidP="00EE35E2">
      <w:pPr>
        <w:ind w:firstLine="708"/>
        <w:jc w:val="both"/>
        <w:rPr>
          <w:lang w:val="de-DE"/>
        </w:rPr>
      </w:pPr>
    </w:p>
    <w:p w14:paraId="79EA32E7" w14:textId="23542B00"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XX.112</w:t>
      </w:r>
      <w:r w:rsidR="00EE35E2" w:rsidRPr="004676F5">
        <w:rPr>
          <w:lang w:val="de-DE"/>
        </w:rPr>
        <w:t> </w:t>
      </w:r>
      <w:r w:rsidR="005B7A5C" w:rsidRPr="004676F5">
        <w:rPr>
          <w:lang w:val="de-DE"/>
        </w:rPr>
        <w:t>- </w:t>
      </w:r>
      <w:r w:rsidR="00EE35E2" w:rsidRPr="004676F5">
        <w:rPr>
          <w:lang w:val="de-DE"/>
        </w:rPr>
        <w:t>Andere Zahlungen seitens des Schuldners für fällige Schulden und entgeltliche Handlungen, die er nach Zahlungseinstellung und vor dem Konkurseröffnungs</w:t>
      </w:r>
      <w:r w:rsidR="00EE35E2" w:rsidRPr="004676F5">
        <w:rPr>
          <w:lang w:val="de-DE"/>
        </w:rPr>
        <w:softHyphen/>
        <w:t>urteil vorgenommen hat, können unbeschadet der Artikel XX.37, XX.53, XX.65</w:t>
      </w:r>
      <w:r w:rsidR="00D33FCB" w:rsidRPr="004676F5">
        <w:rPr>
          <w:lang w:val="de-DE"/>
        </w:rPr>
        <w:t xml:space="preserve">[, XX.82, XX.83/20 und XX.83/40] </w:t>
      </w:r>
      <w:r w:rsidR="00EE35E2" w:rsidRPr="004676F5">
        <w:rPr>
          <w:lang w:val="de-DE"/>
        </w:rPr>
        <w:t>der Masse gegenüber für unwirksam erklärt werden, sofern diejenigen, die etwas vom Schuldner bekommen haben oder mit ihm gehandelt haben, von der Zahlungseinstellung Kenntnis hatten.</w:t>
      </w:r>
    </w:p>
    <w:p w14:paraId="07CB43B5" w14:textId="77777777" w:rsidR="00D33FCB" w:rsidRPr="004676F5" w:rsidRDefault="00D33FCB" w:rsidP="00D33FCB">
      <w:pPr>
        <w:jc w:val="both"/>
        <w:rPr>
          <w:lang w:val="de-DE"/>
        </w:rPr>
      </w:pPr>
    </w:p>
    <w:p w14:paraId="0D9D6EBB" w14:textId="06F930D0" w:rsidR="00D33FCB" w:rsidRPr="004676F5" w:rsidRDefault="00D33FCB" w:rsidP="00D33FCB">
      <w:pPr>
        <w:jc w:val="both"/>
        <w:rPr>
          <w:i/>
          <w:iCs/>
          <w:lang w:val="de-DE"/>
        </w:rPr>
      </w:pPr>
      <w:r w:rsidRPr="004676F5">
        <w:rPr>
          <w:i/>
          <w:iCs/>
          <w:lang w:val="de-DE"/>
        </w:rPr>
        <w:t>[Art. XX.112 abgeändert durch Art. 211 des G. vom 7. Juni 2023 (B.S. vom 7. Juli 2023)]</w:t>
      </w:r>
    </w:p>
    <w:p w14:paraId="28AFC81F" w14:textId="77777777" w:rsidR="00EE35E2" w:rsidRPr="004676F5" w:rsidRDefault="00EE35E2" w:rsidP="00EE35E2">
      <w:pPr>
        <w:ind w:firstLine="708"/>
        <w:jc w:val="both"/>
        <w:rPr>
          <w:lang w:val="de-DE"/>
        </w:rPr>
      </w:pPr>
    </w:p>
    <w:p w14:paraId="7A9D1F01" w14:textId="77777777" w:rsidR="00D11212" w:rsidRPr="004676F5" w:rsidRDefault="00D11212" w:rsidP="00EE35E2">
      <w:pPr>
        <w:ind w:firstLine="708"/>
        <w:jc w:val="both"/>
        <w:rPr>
          <w:lang w:val="de-DE"/>
        </w:rPr>
      </w:pPr>
    </w:p>
    <w:p w14:paraId="78BB7015" w14:textId="15ABF8A8" w:rsidR="00EE35E2" w:rsidRPr="004676F5" w:rsidRDefault="00BE0A56" w:rsidP="00EE35E2">
      <w:pPr>
        <w:ind w:firstLine="708"/>
        <w:jc w:val="both"/>
        <w:rPr>
          <w:lang w:val="de-DE"/>
        </w:rPr>
      </w:pPr>
      <w:r w:rsidRPr="004676F5">
        <w:rPr>
          <w:b/>
          <w:lang w:val="de-DE"/>
        </w:rPr>
        <w:t>Art. </w:t>
      </w:r>
      <w:r w:rsidR="00EE35E2" w:rsidRPr="004676F5">
        <w:rPr>
          <w:b/>
          <w:lang w:val="de-DE"/>
        </w:rPr>
        <w:t>XX.113</w:t>
      </w:r>
      <w:r w:rsidR="00EE35E2" w:rsidRPr="004676F5">
        <w:rPr>
          <w:lang w:val="de-DE"/>
        </w:rPr>
        <w:t> </w:t>
      </w:r>
      <w:r w:rsidR="005B7A5C" w:rsidRPr="004676F5">
        <w:rPr>
          <w:lang w:val="de-DE"/>
        </w:rPr>
        <w:t>- </w:t>
      </w:r>
      <w:r w:rsidR="00EE35E2" w:rsidRPr="004676F5">
        <w:rPr>
          <w:lang w:val="de-DE"/>
        </w:rPr>
        <w:t>Auf gültige Weise erworbene Hypothekarrechte, Vorzugsrechte und Rechte in Bezug auf Sicherheiten auf beweglichen Gütern können bis zum Tag des Konkurseröffnungsurteils eingetragen oder registriert werden.</w:t>
      </w:r>
    </w:p>
    <w:p w14:paraId="49C7C63F" w14:textId="77777777" w:rsidR="00EE35E2" w:rsidRPr="004676F5" w:rsidRDefault="00EE35E2" w:rsidP="00EE35E2">
      <w:pPr>
        <w:ind w:firstLine="708"/>
        <w:jc w:val="both"/>
        <w:rPr>
          <w:lang w:val="de-DE"/>
        </w:rPr>
      </w:pPr>
    </w:p>
    <w:p w14:paraId="100D3907" w14:textId="77777777" w:rsidR="00EE35E2" w:rsidRPr="004676F5" w:rsidRDefault="00EE35E2" w:rsidP="00EE35E2">
      <w:pPr>
        <w:ind w:firstLine="708"/>
        <w:jc w:val="both"/>
        <w:rPr>
          <w:lang w:val="de-DE"/>
        </w:rPr>
      </w:pPr>
      <w:r w:rsidRPr="004676F5">
        <w:rPr>
          <w:lang w:val="de-DE"/>
        </w:rPr>
        <w:t>Eintragungen oder Registrierungen, die nach der Zahlungseinstellung entgegen</w:t>
      </w:r>
      <w:r w:rsidRPr="004676F5">
        <w:rPr>
          <w:lang w:val="de-DE"/>
        </w:rPr>
        <w:softHyphen/>
        <w:t>genommen worden sind, können jedoch für unwirksam erklärt werden, sofern zwischen dem Datum der Urkunde zur Bestellung der Hypothek oder des Vorzugsrechts und dem Datum der Eintragung oder Registrierung mehr als fünfzehn Tage abgelaufen sind.</w:t>
      </w:r>
    </w:p>
    <w:p w14:paraId="665188B9" w14:textId="77777777" w:rsidR="00EE35E2" w:rsidRPr="004676F5" w:rsidRDefault="00EE35E2" w:rsidP="00EE35E2">
      <w:pPr>
        <w:ind w:firstLine="708"/>
        <w:jc w:val="both"/>
        <w:rPr>
          <w:lang w:val="de-DE"/>
        </w:rPr>
      </w:pPr>
    </w:p>
    <w:p w14:paraId="60F71079" w14:textId="77777777" w:rsidR="00D11212" w:rsidRPr="004676F5" w:rsidRDefault="00D11212" w:rsidP="00EE35E2">
      <w:pPr>
        <w:ind w:firstLine="708"/>
        <w:jc w:val="both"/>
        <w:rPr>
          <w:lang w:val="de-DE"/>
        </w:rPr>
      </w:pPr>
    </w:p>
    <w:p w14:paraId="013FE80C" w14:textId="1B628C54" w:rsidR="00EE35E2" w:rsidRPr="004676F5" w:rsidRDefault="00BE0A56" w:rsidP="00EE35E2">
      <w:pPr>
        <w:ind w:firstLine="708"/>
        <w:jc w:val="both"/>
        <w:rPr>
          <w:lang w:val="de-DE"/>
        </w:rPr>
      </w:pPr>
      <w:r w:rsidRPr="004676F5">
        <w:rPr>
          <w:b/>
          <w:lang w:val="de-DE"/>
        </w:rPr>
        <w:t>Art. </w:t>
      </w:r>
      <w:r w:rsidR="00EE35E2" w:rsidRPr="004676F5">
        <w:rPr>
          <w:b/>
          <w:lang w:val="de-DE"/>
        </w:rPr>
        <w:t>XX.114</w:t>
      </w:r>
      <w:r w:rsidR="00EE35E2" w:rsidRPr="004676F5">
        <w:rPr>
          <w:lang w:val="de-DE"/>
        </w:rPr>
        <w:t> </w:t>
      </w:r>
      <w:r w:rsidR="005B7A5C" w:rsidRPr="004676F5">
        <w:rPr>
          <w:lang w:val="de-DE"/>
        </w:rPr>
        <w:t>- </w:t>
      </w:r>
      <w:r w:rsidR="00EE35E2" w:rsidRPr="004676F5">
        <w:rPr>
          <w:lang w:val="de-DE"/>
        </w:rPr>
        <w:t>Handlungen oder Zahlungen, die mit betrügerischer Benachteiligung der Rechte der Gläubiger vorgenommen werden, sind unwirksam ungeachtet des Zeitpunkts, an dem sie vorgenommen worden sind.</w:t>
      </w:r>
    </w:p>
    <w:p w14:paraId="0BB5D207" w14:textId="77777777" w:rsidR="00EE35E2" w:rsidRPr="004676F5" w:rsidRDefault="00EE35E2" w:rsidP="00EE35E2">
      <w:pPr>
        <w:ind w:firstLine="708"/>
        <w:jc w:val="both"/>
        <w:rPr>
          <w:lang w:val="de-DE"/>
        </w:rPr>
      </w:pPr>
    </w:p>
    <w:p w14:paraId="59471CD3" w14:textId="77777777" w:rsidR="00D11212" w:rsidRPr="004676F5" w:rsidRDefault="00D11212" w:rsidP="00EE35E2">
      <w:pPr>
        <w:ind w:firstLine="708"/>
        <w:jc w:val="both"/>
        <w:rPr>
          <w:lang w:val="de-DE"/>
        </w:rPr>
      </w:pPr>
    </w:p>
    <w:p w14:paraId="1829BE88" w14:textId="6D47382A" w:rsidR="00EE35E2" w:rsidRPr="004676F5" w:rsidRDefault="00BE0A56" w:rsidP="00EE35E2">
      <w:pPr>
        <w:ind w:firstLine="708"/>
        <w:jc w:val="both"/>
        <w:rPr>
          <w:lang w:val="de-DE"/>
        </w:rPr>
      </w:pPr>
      <w:r w:rsidRPr="004676F5">
        <w:rPr>
          <w:b/>
          <w:lang w:val="de-DE"/>
        </w:rPr>
        <w:t>Art. </w:t>
      </w:r>
      <w:r w:rsidR="00EE35E2" w:rsidRPr="004676F5">
        <w:rPr>
          <w:b/>
          <w:lang w:val="de-DE"/>
        </w:rPr>
        <w:t>XX.115</w:t>
      </w:r>
      <w:r w:rsidR="00EE35E2" w:rsidRPr="004676F5">
        <w:rPr>
          <w:lang w:val="de-DE"/>
        </w:rPr>
        <w:t> </w:t>
      </w:r>
      <w:r w:rsidR="005B7A5C" w:rsidRPr="004676F5">
        <w:rPr>
          <w:lang w:val="de-DE"/>
        </w:rPr>
        <w:t>- </w:t>
      </w:r>
      <w:r w:rsidR="00EE35E2" w:rsidRPr="004676F5">
        <w:rPr>
          <w:lang w:val="de-DE"/>
        </w:rPr>
        <w:t>Ist ein Wechsel nach dem Zeitpunkt, der als Zeitpunkt der Zahlungs</w:t>
      </w:r>
      <w:r w:rsidR="00EE35E2" w:rsidRPr="004676F5">
        <w:rPr>
          <w:lang w:val="de-DE"/>
        </w:rPr>
        <w:softHyphen/>
        <w:t>einstellung bestimmt worden ist, und vor dem Konkurseröffnungsurteil gezahlt worden, kann Erstattungsklage nur gegen denjenigen erhoben werden, für dessen Rechnung der Wechsel ausgegeben worden ist; handelt es sich um einen Eigenwechsel, kann die Klage nur gegen den ersten Indossanten erhoben werden.</w:t>
      </w:r>
    </w:p>
    <w:p w14:paraId="147F2A8C" w14:textId="77777777" w:rsidR="00EE35E2" w:rsidRPr="004676F5" w:rsidRDefault="00EE35E2" w:rsidP="00EE35E2">
      <w:pPr>
        <w:ind w:firstLine="708"/>
        <w:jc w:val="both"/>
        <w:rPr>
          <w:lang w:val="de-DE"/>
        </w:rPr>
      </w:pPr>
    </w:p>
    <w:p w14:paraId="6D8FE6BE" w14:textId="77777777" w:rsidR="00EE35E2" w:rsidRPr="004676F5" w:rsidRDefault="00EE35E2" w:rsidP="00EE35E2">
      <w:pPr>
        <w:ind w:firstLine="708"/>
        <w:jc w:val="both"/>
        <w:rPr>
          <w:lang w:val="de-DE"/>
        </w:rPr>
      </w:pPr>
      <w:r w:rsidRPr="004676F5">
        <w:rPr>
          <w:lang w:val="de-DE"/>
        </w:rPr>
        <w:t>In beiden Fällen ist der Beweis zu erbringen, dass derjenige, gegen den auf Erstattung geklagt wird, bei Ausgabe des Wertpapiers von der Zahlungseinstellung Kenntnis hatte.</w:t>
      </w:r>
    </w:p>
    <w:p w14:paraId="4493F578" w14:textId="77777777" w:rsidR="00EE35E2" w:rsidRPr="004676F5" w:rsidRDefault="00EE35E2" w:rsidP="00EE35E2">
      <w:pPr>
        <w:ind w:firstLine="708"/>
        <w:jc w:val="both"/>
        <w:rPr>
          <w:lang w:val="de-DE"/>
        </w:rPr>
      </w:pPr>
    </w:p>
    <w:p w14:paraId="7B3CCC8A" w14:textId="77777777" w:rsidR="00D11212" w:rsidRPr="004676F5" w:rsidRDefault="00D11212" w:rsidP="00EE35E2">
      <w:pPr>
        <w:ind w:firstLine="708"/>
        <w:jc w:val="both"/>
        <w:rPr>
          <w:lang w:val="de-DE"/>
        </w:rPr>
      </w:pPr>
    </w:p>
    <w:p w14:paraId="667FC311" w14:textId="7511A3E8" w:rsidR="00EE35E2" w:rsidRPr="004676F5" w:rsidRDefault="00BE0A56" w:rsidP="00EE35E2">
      <w:pPr>
        <w:ind w:firstLine="708"/>
        <w:jc w:val="both"/>
        <w:rPr>
          <w:lang w:val="de-DE"/>
        </w:rPr>
      </w:pPr>
      <w:r w:rsidRPr="004676F5">
        <w:rPr>
          <w:b/>
          <w:lang w:val="de-DE"/>
        </w:rPr>
        <w:t>Art. </w:t>
      </w:r>
      <w:r w:rsidR="00EE35E2" w:rsidRPr="004676F5">
        <w:rPr>
          <w:b/>
          <w:lang w:val="de-DE"/>
        </w:rPr>
        <w:t>XX.116</w:t>
      </w:r>
      <w:r w:rsidR="00EE35E2" w:rsidRPr="004676F5">
        <w:rPr>
          <w:lang w:val="de-DE"/>
        </w:rPr>
        <w:t> </w:t>
      </w:r>
      <w:r w:rsidR="005B7A5C" w:rsidRPr="004676F5">
        <w:rPr>
          <w:lang w:val="de-DE"/>
        </w:rPr>
        <w:t>- </w:t>
      </w:r>
      <w:r w:rsidR="00EE35E2" w:rsidRPr="004676F5">
        <w:rPr>
          <w:lang w:val="de-DE"/>
        </w:rPr>
        <w:t>Durch das Konkurseröffnungsurteil werden nicht fällige Schulden dem Konkursschuldner gegenüber einforderbar. Ist der Konkursschuldner Aussteller eines Eigenwechsels, Akzeptant eines Wechsels oder mangels Akzept Aussteller des Wechsels, sind die anderen Schuldner verpflichtet, sich für die Zahlung zum Fälligkeitstermin zu verbürgen, wenn sie nicht eine sofortige Zahlung vorziehen.</w:t>
      </w:r>
    </w:p>
    <w:p w14:paraId="4E6B439C" w14:textId="77777777" w:rsidR="00EE35E2" w:rsidRPr="004676F5" w:rsidRDefault="00EE35E2" w:rsidP="00EE35E2">
      <w:pPr>
        <w:ind w:firstLine="708"/>
        <w:jc w:val="both"/>
        <w:rPr>
          <w:lang w:val="de-DE"/>
        </w:rPr>
      </w:pPr>
    </w:p>
    <w:p w14:paraId="040D88C0" w14:textId="77777777" w:rsidR="00EE35E2" w:rsidRPr="004676F5" w:rsidRDefault="00EE35E2" w:rsidP="00EE35E2">
      <w:pPr>
        <w:ind w:firstLine="708"/>
        <w:jc w:val="both"/>
        <w:rPr>
          <w:lang w:val="de-DE"/>
        </w:rPr>
      </w:pPr>
      <w:r w:rsidRPr="004676F5">
        <w:rPr>
          <w:lang w:val="de-DE"/>
        </w:rPr>
        <w:t>Nicht fällige Schulden, die keine Zinsen bringen und deren Fälligkeitstermin mehr als ein Jahr nach dem Konkurseröffnungsurteil liegt, werden nur unter Abzug des gesetzlichen Zinses, gerechnet ab dem Konkurseröffnungsurteil bis zum Fälligkeitstermin, in die Passiva aufgenommen.</w:t>
      </w:r>
    </w:p>
    <w:p w14:paraId="1643CF65" w14:textId="77777777" w:rsidR="00EE35E2" w:rsidRPr="004676F5" w:rsidRDefault="00EE35E2" w:rsidP="00EE35E2">
      <w:pPr>
        <w:ind w:firstLine="708"/>
        <w:jc w:val="both"/>
        <w:rPr>
          <w:lang w:val="de-DE"/>
        </w:rPr>
      </w:pPr>
    </w:p>
    <w:p w14:paraId="42781E86" w14:textId="77777777" w:rsidR="00EE35E2" w:rsidRPr="004676F5" w:rsidRDefault="00EE35E2" w:rsidP="00EE35E2">
      <w:pPr>
        <w:ind w:firstLine="708"/>
        <w:jc w:val="both"/>
        <w:rPr>
          <w:lang w:val="de-DE"/>
        </w:rPr>
      </w:pPr>
      <w:r w:rsidRPr="004676F5">
        <w:rPr>
          <w:lang w:val="de-DE"/>
        </w:rPr>
        <w:t>Bei sofortiger Zahlung eines nicht fälligen Eigenwechsels oder Wechsels, der keine Zinsen bringt, seitens eines der Mitschuldner erfolgt die Zahlung unter Abzug des gesetzlichen Zinses für die Zeit bis zum Fälligkeitstermin.</w:t>
      </w:r>
    </w:p>
    <w:p w14:paraId="1537C370" w14:textId="77777777" w:rsidR="00EE35E2" w:rsidRPr="004676F5" w:rsidRDefault="00EE35E2" w:rsidP="00EE35E2">
      <w:pPr>
        <w:ind w:firstLine="708"/>
        <w:jc w:val="both"/>
        <w:rPr>
          <w:lang w:val="de-DE"/>
        </w:rPr>
      </w:pPr>
    </w:p>
    <w:p w14:paraId="1751617A" w14:textId="77777777" w:rsidR="00D11212" w:rsidRPr="004676F5" w:rsidRDefault="00D11212" w:rsidP="00EE35E2">
      <w:pPr>
        <w:ind w:firstLine="708"/>
        <w:jc w:val="both"/>
        <w:rPr>
          <w:lang w:val="de-DE"/>
        </w:rPr>
      </w:pPr>
    </w:p>
    <w:p w14:paraId="28154B3B" w14:textId="1E37C797" w:rsidR="00EE35E2" w:rsidRPr="004676F5" w:rsidRDefault="00BE0A56" w:rsidP="00EE35E2">
      <w:pPr>
        <w:ind w:firstLine="708"/>
        <w:jc w:val="both"/>
        <w:rPr>
          <w:lang w:val="de-DE"/>
        </w:rPr>
      </w:pPr>
      <w:r w:rsidRPr="004676F5">
        <w:rPr>
          <w:b/>
          <w:lang w:val="de-DE"/>
        </w:rPr>
        <w:t>Art. </w:t>
      </w:r>
      <w:r w:rsidR="00EE35E2" w:rsidRPr="004676F5">
        <w:rPr>
          <w:b/>
          <w:lang w:val="de-DE"/>
        </w:rPr>
        <w:t>XX.117</w:t>
      </w:r>
      <w:r w:rsidR="00EE35E2" w:rsidRPr="004676F5">
        <w:rPr>
          <w:lang w:val="de-DE"/>
        </w:rPr>
        <w:t> </w:t>
      </w:r>
      <w:r w:rsidR="005B7A5C" w:rsidRPr="004676F5">
        <w:rPr>
          <w:lang w:val="de-DE"/>
        </w:rPr>
        <w:t>- </w:t>
      </w:r>
      <w:r w:rsidR="00EE35E2" w:rsidRPr="004676F5">
        <w:rPr>
          <w:lang w:val="de-DE"/>
        </w:rPr>
        <w:t>Ab dem Konkurseröffnungsurteil hören Zinsen von Forderungen, die nicht durch ein besonderes Vorzugsrecht, ein Pfandrecht oder eine Hypothek gesichert sind, ausschließlich der Masse gegenüber zu laufen auf.</w:t>
      </w:r>
    </w:p>
    <w:p w14:paraId="53F3DBF7" w14:textId="77777777" w:rsidR="00EE35E2" w:rsidRPr="004676F5" w:rsidRDefault="00EE35E2" w:rsidP="00EE35E2">
      <w:pPr>
        <w:ind w:firstLine="708"/>
        <w:jc w:val="both"/>
        <w:rPr>
          <w:lang w:val="de-DE"/>
        </w:rPr>
      </w:pPr>
    </w:p>
    <w:p w14:paraId="4D4A8226" w14:textId="77777777" w:rsidR="00EE35E2" w:rsidRPr="004676F5" w:rsidRDefault="00EE35E2" w:rsidP="00EE35E2">
      <w:pPr>
        <w:ind w:firstLine="708"/>
        <w:jc w:val="both"/>
        <w:rPr>
          <w:lang w:val="de-DE"/>
        </w:rPr>
      </w:pPr>
      <w:r w:rsidRPr="004676F5">
        <w:rPr>
          <w:lang w:val="de-DE"/>
        </w:rPr>
        <w:t>Zinsen gesicherter Forderungen können nur vom Ertrag aus den mit dem Vorzugsrecht, dem Pfandrecht oder der Hypothek verbundenen Gütern gefordert werden.</w:t>
      </w:r>
    </w:p>
    <w:p w14:paraId="3E6FC977" w14:textId="77777777" w:rsidR="00EE35E2" w:rsidRPr="004676F5" w:rsidRDefault="00EE35E2" w:rsidP="00EE35E2">
      <w:pPr>
        <w:ind w:firstLine="708"/>
        <w:jc w:val="both"/>
        <w:rPr>
          <w:lang w:val="de-DE"/>
        </w:rPr>
      </w:pPr>
    </w:p>
    <w:p w14:paraId="6190B604" w14:textId="77777777" w:rsidR="00D11212" w:rsidRPr="004676F5" w:rsidRDefault="00D11212" w:rsidP="00EE35E2">
      <w:pPr>
        <w:ind w:firstLine="708"/>
        <w:jc w:val="both"/>
        <w:rPr>
          <w:lang w:val="de-DE"/>
        </w:rPr>
      </w:pPr>
    </w:p>
    <w:p w14:paraId="07A3A4DA" w14:textId="63E3086B" w:rsidR="00EE35E2" w:rsidRPr="004676F5" w:rsidRDefault="00BE0A56" w:rsidP="00EE35E2">
      <w:pPr>
        <w:ind w:firstLine="708"/>
        <w:jc w:val="both"/>
        <w:rPr>
          <w:lang w:val="de-DE"/>
        </w:rPr>
      </w:pPr>
      <w:r w:rsidRPr="004676F5">
        <w:rPr>
          <w:b/>
          <w:lang w:val="de-DE"/>
        </w:rPr>
        <w:t>Art. </w:t>
      </w:r>
      <w:r w:rsidR="00EE35E2" w:rsidRPr="004676F5">
        <w:rPr>
          <w:b/>
          <w:lang w:val="de-DE"/>
        </w:rPr>
        <w:t>XX.118</w:t>
      </w:r>
      <w:r w:rsidR="00EE35E2" w:rsidRPr="004676F5">
        <w:rPr>
          <w:lang w:val="de-DE"/>
        </w:rPr>
        <w:t> </w:t>
      </w:r>
      <w:r w:rsidR="005B7A5C" w:rsidRPr="004676F5">
        <w:rPr>
          <w:lang w:val="de-DE"/>
        </w:rPr>
        <w:t>- </w:t>
      </w:r>
      <w:r w:rsidR="00EE35E2" w:rsidRPr="004676F5">
        <w:rPr>
          <w:lang w:val="de-DE"/>
        </w:rPr>
        <w:t>Ab demselben Urteil kann eine Mobiliar</w:t>
      </w:r>
      <w:r w:rsidR="005B7A5C" w:rsidRPr="004676F5">
        <w:rPr>
          <w:lang w:val="de-DE"/>
        </w:rPr>
        <w:t>- </w:t>
      </w:r>
      <w:r w:rsidR="00EE35E2" w:rsidRPr="004676F5">
        <w:rPr>
          <w:lang w:val="de-DE"/>
        </w:rPr>
        <w:t>oder Immobiliarklage beziehungsweise ein Mobiliar</w:t>
      </w:r>
      <w:r w:rsidR="005B7A5C" w:rsidRPr="004676F5">
        <w:rPr>
          <w:lang w:val="de-DE"/>
        </w:rPr>
        <w:t>- </w:t>
      </w:r>
      <w:r w:rsidR="00EE35E2" w:rsidRPr="004676F5">
        <w:rPr>
          <w:lang w:val="de-DE"/>
        </w:rPr>
        <w:t>oder Immobiliarvollstreckungsmittel nur gegen die Konkursverwalter fortgesetzt oder erhoben beziehungsweise angewandt werden. Das Gericht kann den Konkursschuldner jedoch als beitretende Partei zulassen.</w:t>
      </w:r>
    </w:p>
    <w:p w14:paraId="2BF7FA2A" w14:textId="77777777" w:rsidR="00EE35E2" w:rsidRPr="004676F5" w:rsidRDefault="00EE35E2" w:rsidP="00EE35E2">
      <w:pPr>
        <w:ind w:firstLine="708"/>
        <w:jc w:val="both"/>
        <w:rPr>
          <w:lang w:val="de-DE"/>
        </w:rPr>
      </w:pPr>
    </w:p>
    <w:p w14:paraId="6344F539" w14:textId="77777777" w:rsidR="00EE35E2" w:rsidRPr="004676F5" w:rsidRDefault="00EE35E2" w:rsidP="00EE35E2">
      <w:pPr>
        <w:ind w:firstLine="708"/>
        <w:jc w:val="both"/>
        <w:rPr>
          <w:lang w:val="de-DE"/>
        </w:rPr>
      </w:pPr>
      <w:r w:rsidRPr="004676F5">
        <w:rPr>
          <w:lang w:val="de-DE"/>
        </w:rPr>
        <w:t>Entscheidungen in Bezug auf die gegen den Konkursschuldner persönlich fortgesetzten oder erhobenen Klagen sind der Masse gegenüber nicht wirksam.</w:t>
      </w:r>
    </w:p>
    <w:p w14:paraId="67806EFC" w14:textId="77777777" w:rsidR="00EE35E2" w:rsidRPr="004676F5" w:rsidRDefault="00EE35E2" w:rsidP="00EE35E2">
      <w:pPr>
        <w:ind w:firstLine="708"/>
        <w:jc w:val="both"/>
        <w:rPr>
          <w:lang w:val="de-DE"/>
        </w:rPr>
      </w:pPr>
    </w:p>
    <w:p w14:paraId="452EAD3C" w14:textId="77777777" w:rsidR="00D11212" w:rsidRPr="004676F5" w:rsidRDefault="00D11212" w:rsidP="00EE35E2">
      <w:pPr>
        <w:ind w:firstLine="708"/>
        <w:jc w:val="both"/>
        <w:rPr>
          <w:lang w:val="de-DE"/>
        </w:rPr>
      </w:pPr>
    </w:p>
    <w:p w14:paraId="2AB8C205" w14:textId="457D1EB0" w:rsidR="00EE35E2" w:rsidRPr="004676F5" w:rsidRDefault="00BE0A56" w:rsidP="00EE35E2">
      <w:pPr>
        <w:ind w:firstLine="708"/>
        <w:jc w:val="both"/>
        <w:rPr>
          <w:lang w:val="de-DE"/>
        </w:rPr>
      </w:pPr>
      <w:r w:rsidRPr="004676F5">
        <w:rPr>
          <w:b/>
          <w:lang w:val="de-DE"/>
        </w:rPr>
        <w:t>Art. </w:t>
      </w:r>
      <w:r w:rsidR="00EE35E2" w:rsidRPr="004676F5">
        <w:rPr>
          <w:b/>
          <w:lang w:val="de-DE"/>
        </w:rPr>
        <w:t>XX.119</w:t>
      </w:r>
      <w:r w:rsidR="00EE35E2" w:rsidRPr="004676F5">
        <w:rPr>
          <w:lang w:val="de-DE"/>
        </w:rPr>
        <w:t> </w:t>
      </w:r>
      <w:r w:rsidR="005B7A5C" w:rsidRPr="004676F5">
        <w:rPr>
          <w:lang w:val="de-DE"/>
        </w:rPr>
        <w:t>- </w:t>
      </w:r>
      <w:r w:rsidR="00EE35E2" w:rsidRPr="004676F5">
        <w:rPr>
          <w:lang w:val="de-DE"/>
        </w:rPr>
        <w:t>Verfahren in Bezug auf die Masse, die am Konkursdatum anhängig sind und in denen der Konkursschuldner einbezogen ist, sind von Rechts wegen bis zur Forderungsanmeldung ausgesetzt. Sie bleiben bis zur Hinterlegung des ersten Prüfungs</w:t>
      </w:r>
      <w:r w:rsidR="00EE35E2" w:rsidRPr="004676F5">
        <w:rPr>
          <w:lang w:val="de-DE"/>
        </w:rPr>
        <w:softHyphen/>
        <w:t>protokolls ausgesetzt, außer wenn der Konkursverwalter die Verfahren im Interesse der Masse wieder aufnimmt.</w:t>
      </w:r>
    </w:p>
    <w:p w14:paraId="0CF810E3" w14:textId="77777777" w:rsidR="00EE35E2" w:rsidRPr="004676F5" w:rsidRDefault="00EE35E2" w:rsidP="00EE35E2">
      <w:pPr>
        <w:ind w:firstLine="708"/>
        <w:jc w:val="both"/>
        <w:rPr>
          <w:lang w:val="de-DE"/>
        </w:rPr>
      </w:pPr>
    </w:p>
    <w:p w14:paraId="23AC8A7D" w14:textId="77777777" w:rsidR="00EE35E2" w:rsidRPr="004676F5" w:rsidRDefault="00EE35E2" w:rsidP="00EE35E2">
      <w:pPr>
        <w:ind w:firstLine="708"/>
        <w:jc w:val="both"/>
        <w:rPr>
          <w:lang w:val="de-DE"/>
        </w:rPr>
      </w:pPr>
      <w:r w:rsidRPr="004676F5">
        <w:rPr>
          <w:lang w:val="de-DE"/>
        </w:rPr>
        <w:t>Wird eine auf diese Weise eingereichte Forderung im ersten Prüfungsprotokoll aufgenommen, werden die vorerwähnten anhängigen Verfahren der Masse gegenüber gegenstandslos.</w:t>
      </w:r>
    </w:p>
    <w:p w14:paraId="2D49B5D4" w14:textId="77777777" w:rsidR="00EE35E2" w:rsidRPr="004676F5" w:rsidRDefault="00EE35E2" w:rsidP="00EE35E2">
      <w:pPr>
        <w:ind w:firstLine="708"/>
        <w:jc w:val="both"/>
        <w:rPr>
          <w:lang w:val="de-DE"/>
        </w:rPr>
      </w:pPr>
    </w:p>
    <w:p w14:paraId="7FD14660" w14:textId="0FDCA966" w:rsidR="00EE35E2" w:rsidRPr="004676F5" w:rsidRDefault="00EE35E2" w:rsidP="00EE35E2">
      <w:pPr>
        <w:ind w:firstLine="708"/>
        <w:jc w:val="both"/>
        <w:rPr>
          <w:lang w:val="de-DE"/>
        </w:rPr>
      </w:pPr>
      <w:r w:rsidRPr="004676F5">
        <w:rPr>
          <w:lang w:val="de-DE"/>
        </w:rPr>
        <w:t xml:space="preserve">Wird eine auf diese Weise eingereichte Forderung im </w:t>
      </w:r>
      <w:r w:rsidR="00D33FCB" w:rsidRPr="004676F5">
        <w:rPr>
          <w:lang w:val="de-DE"/>
        </w:rPr>
        <w:t>[zwei</w:t>
      </w:r>
      <w:r w:rsidRPr="004676F5">
        <w:rPr>
          <w:lang w:val="de-DE"/>
        </w:rPr>
        <w:t>ten</w:t>
      </w:r>
      <w:r w:rsidR="00D33FCB" w:rsidRPr="004676F5">
        <w:rPr>
          <w:lang w:val="de-DE"/>
        </w:rPr>
        <w:t>]</w:t>
      </w:r>
      <w:r w:rsidRPr="004676F5">
        <w:rPr>
          <w:lang w:val="de-DE"/>
        </w:rPr>
        <w:t xml:space="preserve"> Prüfungsprotokoll beanstandet oder gestundet in Bezug auf die Masse, hat der Konkursverwalter die anhängigen Verfahren wieder aufzunehmen, zumindest damit über den beanstandeten oder gestundeten Teil entschieden wird.</w:t>
      </w:r>
    </w:p>
    <w:p w14:paraId="1065E852" w14:textId="77777777" w:rsidR="00D33FCB" w:rsidRPr="004676F5" w:rsidRDefault="00D33FCB" w:rsidP="00D33FCB">
      <w:pPr>
        <w:jc w:val="both"/>
        <w:rPr>
          <w:lang w:val="de-DE"/>
        </w:rPr>
      </w:pPr>
    </w:p>
    <w:p w14:paraId="60232F6C" w14:textId="6481A80B" w:rsidR="00D33FCB" w:rsidRPr="004676F5" w:rsidRDefault="00D33FCB" w:rsidP="00D33FCB">
      <w:pPr>
        <w:jc w:val="both"/>
        <w:rPr>
          <w:i/>
          <w:iCs/>
          <w:lang w:val="de-DE"/>
        </w:rPr>
      </w:pPr>
      <w:r w:rsidRPr="004676F5">
        <w:rPr>
          <w:i/>
          <w:iCs/>
          <w:lang w:val="de-DE"/>
        </w:rPr>
        <w:t>[Art. XX.119 Abs. 3 abgeändert durch Art. 212 des G. vom 7. Juni 2023 (B.S. vom 7. Juli 2023)]</w:t>
      </w:r>
    </w:p>
    <w:p w14:paraId="1A85D234" w14:textId="77777777" w:rsidR="00EE35E2" w:rsidRPr="004676F5" w:rsidRDefault="00EE35E2" w:rsidP="00EE35E2">
      <w:pPr>
        <w:ind w:firstLine="708"/>
        <w:jc w:val="both"/>
        <w:rPr>
          <w:lang w:val="de-DE"/>
        </w:rPr>
      </w:pPr>
    </w:p>
    <w:p w14:paraId="1ADDDC26" w14:textId="77777777" w:rsidR="00D11212" w:rsidRPr="004676F5" w:rsidRDefault="00D11212" w:rsidP="00EE35E2">
      <w:pPr>
        <w:ind w:firstLine="708"/>
        <w:jc w:val="both"/>
        <w:rPr>
          <w:lang w:val="de-DE"/>
        </w:rPr>
      </w:pPr>
    </w:p>
    <w:p w14:paraId="4C536DAE" w14:textId="1987979D" w:rsidR="00EE35E2" w:rsidRPr="004676F5" w:rsidRDefault="00BE0A56" w:rsidP="00EE35E2">
      <w:pPr>
        <w:ind w:firstLine="708"/>
        <w:jc w:val="both"/>
        <w:rPr>
          <w:lang w:val="de-DE"/>
        </w:rPr>
      </w:pPr>
      <w:r w:rsidRPr="004676F5">
        <w:rPr>
          <w:b/>
          <w:lang w:val="de-DE"/>
        </w:rPr>
        <w:t>Art. </w:t>
      </w:r>
      <w:r w:rsidR="00EE35E2" w:rsidRPr="004676F5">
        <w:rPr>
          <w:b/>
          <w:lang w:val="de-DE"/>
        </w:rPr>
        <w:t>XX.120</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Vor dem Konkurseröffnungsurteil vorgenommene Pfändungen werden ausgesetzt.</w:t>
      </w:r>
    </w:p>
    <w:p w14:paraId="37A377D0" w14:textId="77777777" w:rsidR="00EE35E2" w:rsidRPr="004676F5" w:rsidRDefault="00EE35E2" w:rsidP="00EE35E2">
      <w:pPr>
        <w:ind w:firstLine="708"/>
        <w:jc w:val="both"/>
        <w:rPr>
          <w:lang w:val="de-DE"/>
        </w:rPr>
      </w:pPr>
    </w:p>
    <w:p w14:paraId="15384AF8" w14:textId="78F8D146" w:rsidR="00EE35E2" w:rsidRPr="004676F5" w:rsidRDefault="00EE35E2" w:rsidP="00EE35E2">
      <w:pPr>
        <w:ind w:firstLine="708"/>
        <w:jc w:val="both"/>
        <w:rPr>
          <w:lang w:val="de-DE"/>
        </w:rPr>
      </w:pPr>
      <w:r w:rsidRPr="004676F5">
        <w:rPr>
          <w:lang w:val="de-DE"/>
        </w:rPr>
        <w:t xml:space="preserve">Wenn jedoch der Tag des Zwangsverkaufs von gepfändeten beweglichen Gütern bereits vor diesem Urteil festgelegt und durch Anschlag bekannt gegeben worden ist, erfolgt dieser Verkauf für Rechnung der Masse. Wenn es im Interesse der Masse erforderlich ist, kann </w:t>
      </w:r>
      <w:r w:rsidR="00D33FCB" w:rsidRPr="004676F5">
        <w:rPr>
          <w:lang w:val="de-DE"/>
        </w:rPr>
        <w:t>[</w:t>
      </w:r>
      <w:r w:rsidRPr="004676F5">
        <w:rPr>
          <w:lang w:val="de-DE"/>
        </w:rPr>
        <w:t>d</w:t>
      </w:r>
      <w:r w:rsidR="00D33FCB" w:rsidRPr="004676F5">
        <w:rPr>
          <w:lang w:val="de-DE"/>
        </w:rPr>
        <w:t>as</w:t>
      </w:r>
      <w:r w:rsidRPr="004676F5">
        <w:rPr>
          <w:lang w:val="de-DE"/>
        </w:rPr>
        <w:t xml:space="preserve"> </w:t>
      </w:r>
      <w:r w:rsidR="00D33FCB" w:rsidRPr="004676F5">
        <w:rPr>
          <w:lang w:val="de-DE"/>
        </w:rPr>
        <w:t>Ge</w:t>
      </w:r>
      <w:r w:rsidRPr="004676F5">
        <w:rPr>
          <w:lang w:val="de-DE"/>
        </w:rPr>
        <w:t>richt</w:t>
      </w:r>
      <w:r w:rsidR="00D33FCB" w:rsidRPr="004676F5">
        <w:rPr>
          <w:lang w:val="de-DE"/>
        </w:rPr>
        <w:t>]</w:t>
      </w:r>
      <w:r w:rsidRPr="004676F5">
        <w:rPr>
          <w:lang w:val="de-DE"/>
        </w:rPr>
        <w:t xml:space="preserve"> auf Antrag der Konkursverwalter die Vertagung oder Absetzung des Verkaufs erlauben, nachdem die eingetragenen oder registrierten Hypothekengläubiger und bevorrechtigten Gläubiger </w:t>
      </w:r>
      <w:r w:rsidR="005C0AC4" w:rsidRPr="004676F5">
        <w:rPr>
          <w:lang w:val="de-DE"/>
        </w:rPr>
        <w:t xml:space="preserve">[und der pfändende Gläubiger] </w:t>
      </w:r>
      <w:r w:rsidRPr="004676F5">
        <w:rPr>
          <w:lang w:val="de-DE"/>
        </w:rPr>
        <w:t>mindestens acht Tage vor der Sitzung per Gerichtsbrief vorgeladen worden sind.</w:t>
      </w:r>
    </w:p>
    <w:p w14:paraId="2BA0CEDB" w14:textId="77777777" w:rsidR="00EE35E2" w:rsidRPr="004676F5" w:rsidRDefault="00EE35E2" w:rsidP="00EE35E2">
      <w:pPr>
        <w:ind w:firstLine="708"/>
        <w:jc w:val="both"/>
        <w:rPr>
          <w:lang w:val="de-DE"/>
        </w:rPr>
      </w:pPr>
    </w:p>
    <w:p w14:paraId="532C7B54" w14:textId="77777777" w:rsidR="00EE35E2" w:rsidRPr="004676F5" w:rsidRDefault="00EE35E2" w:rsidP="00EE35E2">
      <w:pPr>
        <w:ind w:firstLine="708"/>
        <w:jc w:val="both"/>
        <w:rPr>
          <w:lang w:val="de-DE"/>
        </w:rPr>
      </w:pPr>
      <w:r w:rsidRPr="004676F5">
        <w:rPr>
          <w:lang w:val="de-DE"/>
        </w:rPr>
        <w:t>Wenn gleichfalls vor diesem Urteil gegen einen Beschluss, der gemäß den Artikeln 1580, 1580</w:t>
      </w:r>
      <w:r w:rsidRPr="004676F5">
        <w:rPr>
          <w:i/>
          <w:lang w:val="de-DE"/>
        </w:rPr>
        <w:t>bis</w:t>
      </w:r>
      <w:r w:rsidRPr="004676F5">
        <w:rPr>
          <w:lang w:val="de-DE"/>
        </w:rPr>
        <w:t xml:space="preserve"> und 1580</w:t>
      </w:r>
      <w:r w:rsidRPr="004676F5">
        <w:rPr>
          <w:i/>
          <w:lang w:val="de-DE"/>
        </w:rPr>
        <w:t>ter</w:t>
      </w:r>
      <w:r w:rsidRPr="004676F5">
        <w:rPr>
          <w:lang w:val="de-DE"/>
        </w:rPr>
        <w:t xml:space="preserve"> des Gerichtsgesetzbuches erlassen wurde, kein Einspruch </w:t>
      </w:r>
      <w:r w:rsidRPr="004676F5">
        <w:rPr>
          <w:lang w:val="de-DE"/>
        </w:rPr>
        <w:lastRenderedPageBreak/>
        <w:t>wie in den Artikeln 1033 und 1034 desselben Gerichtsgesetzbuches erwähnt mehr eingelegt werden kann, können Verkaufsverrichtungen infolge einer Immobiliarvollstreckungspfändung für Rechnung der Masse fortgesetzt werden.</w:t>
      </w:r>
    </w:p>
    <w:p w14:paraId="6C842233" w14:textId="77777777" w:rsidR="00EE35E2" w:rsidRPr="004676F5" w:rsidRDefault="00EE35E2" w:rsidP="00EE35E2">
      <w:pPr>
        <w:ind w:firstLine="708"/>
        <w:jc w:val="both"/>
        <w:rPr>
          <w:lang w:val="de-DE"/>
        </w:rPr>
      </w:pPr>
    </w:p>
    <w:p w14:paraId="2420F2D1" w14:textId="274AA4C3" w:rsidR="00EE35E2" w:rsidRPr="004676F5" w:rsidRDefault="00EE35E2" w:rsidP="00EE35E2">
      <w:pPr>
        <w:ind w:firstLine="708"/>
        <w:jc w:val="both"/>
        <w:rPr>
          <w:lang w:val="de-DE"/>
        </w:rPr>
      </w:pPr>
      <w:r w:rsidRPr="004676F5">
        <w:rPr>
          <w:lang w:val="de-DE"/>
        </w:rPr>
        <w:t xml:space="preserve">Wenn es im Interesse der Masse erforderlich ist, kann der Konkursrichter auf Antrag der Konkursverwalter die Vertagung oder Absetzung des Verkaufs erlauben, nachdem </w:t>
      </w:r>
      <w:r w:rsidR="00EF0C8D" w:rsidRPr="004676F5">
        <w:rPr>
          <w:lang w:val="de-DE"/>
        </w:rPr>
        <w:t>[die eingetragenen Hypothekengläubiger, die eingetragenen bevorrechtigten Gläubiger, gegebenenfalls die im Pfandregister registrierten Gläubiger, der pfändende Gläubiger und die Gläubiger, die einen Randvermerk einer aufgrund von Artikel 5.243 des Zivilgesetzbuches erhobenen Klage haben machen lassen,</w:t>
      </w:r>
      <w:r w:rsidR="005C0AC4" w:rsidRPr="004676F5">
        <w:rPr>
          <w:lang w:val="de-DE"/>
        </w:rPr>
        <w:t xml:space="preserve">] </w:t>
      </w:r>
      <w:r w:rsidRPr="004676F5">
        <w:rPr>
          <w:lang w:val="de-DE"/>
        </w:rPr>
        <w:t>mindestens acht Tage vor der Sitzung per Gerichtsbrief vorgeladen worden sind. Der Konkursverwalter muss unverzüglich den Notar, der mit dem Verkauf des Gutes beauftragt ist, von seinem Vertagungs</w:t>
      </w:r>
      <w:r w:rsidR="005B7A5C" w:rsidRPr="004676F5">
        <w:rPr>
          <w:lang w:val="de-DE"/>
        </w:rPr>
        <w:t>- </w:t>
      </w:r>
      <w:r w:rsidRPr="004676F5">
        <w:rPr>
          <w:lang w:val="de-DE"/>
        </w:rPr>
        <w:t>oder Absetzungsantrag schriftlich in Kenntnis setzen. Ein solcher Vertagungs</w:t>
      </w:r>
      <w:r w:rsidR="005B7A5C" w:rsidRPr="004676F5">
        <w:rPr>
          <w:lang w:val="de-DE"/>
        </w:rPr>
        <w:t>- </w:t>
      </w:r>
      <w:r w:rsidRPr="004676F5">
        <w:rPr>
          <w:lang w:val="de-DE"/>
        </w:rPr>
        <w:t>oder Absetzungsantrag ist nach einer gemäß Artikel 1582 des Gerichtsgesetzbuches erfolgten Anmahnung des Schuldners nicht mehr zulässig.</w:t>
      </w:r>
    </w:p>
    <w:p w14:paraId="1F10122C" w14:textId="77777777" w:rsidR="00EE35E2" w:rsidRPr="004676F5" w:rsidRDefault="00EE35E2" w:rsidP="00EE35E2">
      <w:pPr>
        <w:ind w:firstLine="708"/>
        <w:jc w:val="both"/>
        <w:rPr>
          <w:lang w:val="de-DE"/>
        </w:rPr>
      </w:pPr>
    </w:p>
    <w:p w14:paraId="6B477FF2" w14:textId="0071FB38" w:rsidR="00EE35E2" w:rsidRPr="004676F5" w:rsidRDefault="00EE35E2" w:rsidP="00D33FCB">
      <w:pPr>
        <w:ind w:firstLine="708"/>
        <w:jc w:val="both"/>
        <w:rPr>
          <w:lang w:val="de-DE"/>
        </w:rPr>
      </w:pPr>
      <w:r w:rsidRPr="004676F5">
        <w:rPr>
          <w:lang w:val="de-DE"/>
        </w:rPr>
        <w:t>Vom Notar im Rahmen des Zwangsverkaufs zwischen seiner Bestellung und der Hinterlegung des Vertagungs</w:t>
      </w:r>
      <w:r w:rsidR="005B7A5C" w:rsidRPr="004676F5">
        <w:rPr>
          <w:lang w:val="de-DE"/>
        </w:rPr>
        <w:t>- </w:t>
      </w:r>
      <w:r w:rsidRPr="004676F5">
        <w:rPr>
          <w:lang w:val="de-DE"/>
        </w:rPr>
        <w:t xml:space="preserve">oder Absetzungsantrags tatsächlich verauslagte Kosten </w:t>
      </w:r>
      <w:r w:rsidR="00D33FCB" w:rsidRPr="004676F5">
        <w:rPr>
          <w:lang w:val="de-DE"/>
        </w:rPr>
        <w:t>[haben das Vorzugsrecht der Gerichtskosten, wenn das Gericht]</w:t>
      </w:r>
      <w:r w:rsidRPr="004676F5">
        <w:rPr>
          <w:lang w:val="de-DE"/>
        </w:rPr>
        <w:t xml:space="preserve"> die Vertagung oder Absetzung des Verkaufs erlaubt. </w:t>
      </w:r>
      <w:r w:rsidR="00D33FCB" w:rsidRPr="004676F5">
        <w:rPr>
          <w:lang w:val="de-DE"/>
        </w:rPr>
        <w:t>[...]</w:t>
      </w:r>
    </w:p>
    <w:p w14:paraId="310460F9" w14:textId="77777777" w:rsidR="00EE35E2" w:rsidRPr="004676F5" w:rsidRDefault="00EE35E2" w:rsidP="00EE35E2">
      <w:pPr>
        <w:ind w:firstLine="708"/>
        <w:jc w:val="both"/>
        <w:rPr>
          <w:lang w:val="de-DE"/>
        </w:rPr>
      </w:pPr>
    </w:p>
    <w:p w14:paraId="10090641" w14:textId="65E794C3" w:rsidR="00EE35E2" w:rsidRPr="004676F5" w:rsidRDefault="00D33FCB" w:rsidP="00EE35E2">
      <w:pPr>
        <w:ind w:firstLine="708"/>
        <w:jc w:val="both"/>
        <w:rPr>
          <w:lang w:val="de-DE"/>
        </w:rPr>
      </w:pPr>
      <w:r w:rsidRPr="004676F5">
        <w:rPr>
          <w:lang w:val="de-DE"/>
        </w:rPr>
        <w:t>[...]</w:t>
      </w:r>
    </w:p>
    <w:p w14:paraId="45419E44" w14:textId="77777777" w:rsidR="00EE35E2" w:rsidRPr="004676F5" w:rsidRDefault="00EE35E2" w:rsidP="00EE35E2">
      <w:pPr>
        <w:ind w:firstLine="708"/>
        <w:jc w:val="both"/>
        <w:rPr>
          <w:lang w:val="de-DE"/>
        </w:rPr>
      </w:pPr>
    </w:p>
    <w:p w14:paraId="01616874" w14:textId="510C83B0"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Bei Pfändung gegen mehrere Schuldner und wenn der Konkurs nur über einen von ihnen eröffnet worden ist, wird der Zwangsverkauf von Mobilien oder Immobilien gemäß den Regeln für Mobiliarpfändung beziehungsweise Immobiliarpfändung fortgesetzt. Nach Bezahlung der Hypothekengläubiger und der besonders bevorrechtigten Gläubiger überweist </w:t>
      </w:r>
      <w:r w:rsidR="00D33FCB" w:rsidRPr="004676F5">
        <w:rPr>
          <w:lang w:val="de-DE"/>
        </w:rPr>
        <w:t xml:space="preserve">[der Gerichtsvollzieher oder] </w:t>
      </w:r>
      <w:r w:rsidRPr="004676F5">
        <w:rPr>
          <w:lang w:val="de-DE"/>
        </w:rPr>
        <w:t>der Notar gegebenenfalls den Restbetrag des Verkaufspreises, der dem Schuldner zukommt, an den Konkursverwalter. Diese Zahlung hat dieselbe befreiende Wirkung wie Zahlungen, die ein Ersteigerer gemäß Artikel 1641 des Gerichtsgesetzbuches vornimmt.</w:t>
      </w:r>
    </w:p>
    <w:p w14:paraId="10F0E423" w14:textId="00B55C55" w:rsidR="00EE35E2" w:rsidRPr="004676F5" w:rsidRDefault="00EE35E2" w:rsidP="005C0AC4">
      <w:pPr>
        <w:jc w:val="both"/>
        <w:rPr>
          <w:lang w:val="de-DE"/>
        </w:rPr>
      </w:pPr>
    </w:p>
    <w:p w14:paraId="48A3E199" w14:textId="5CBCE6DC" w:rsidR="005C0AC4" w:rsidRPr="004676F5" w:rsidRDefault="005C0AC4" w:rsidP="005C0AC4">
      <w:pPr>
        <w:jc w:val="both"/>
        <w:rPr>
          <w:i/>
          <w:lang w:val="de-DE"/>
        </w:rPr>
      </w:pPr>
      <w:r w:rsidRPr="004676F5">
        <w:rPr>
          <w:i/>
          <w:lang w:val="de-DE"/>
        </w:rPr>
        <w:t>[Art. XX.120 § 1 Abs. 2 abgeändert durch Art. 234 Buchstabe a) des G. vom 15. April 2018 (B.S. vom 27. April 2018)</w:t>
      </w:r>
      <w:r w:rsidR="00D33FCB" w:rsidRPr="004676F5">
        <w:rPr>
          <w:i/>
          <w:lang w:val="de-DE"/>
        </w:rPr>
        <w:t xml:space="preserve"> und Art. 213 Nr. 1</w:t>
      </w:r>
      <w:r w:rsidR="00D33FCB" w:rsidRPr="004676F5">
        <w:rPr>
          <w:i/>
          <w:iCs/>
          <w:lang w:val="de-DE"/>
        </w:rPr>
        <w:t xml:space="preserve"> des G. vom 7. Juni 2023 (B.S. vom 7. Juli 2023)</w:t>
      </w:r>
      <w:r w:rsidRPr="004676F5">
        <w:rPr>
          <w:i/>
          <w:lang w:val="de-DE"/>
        </w:rPr>
        <w:t>; § 1 Abs. 4 abgeändert durch Art. 234 Buchstabe b) des G. vom 15. April 2018 (B.S. vom 27. April 2018)</w:t>
      </w:r>
      <w:r w:rsidR="00EF0C8D" w:rsidRPr="004676F5">
        <w:rPr>
          <w:i/>
          <w:lang w:val="de-DE"/>
        </w:rPr>
        <w:t xml:space="preserve"> und Art. 80 des G. vom 19. Dezember 2023 (B.S. vom 27. Dezember 2023)</w:t>
      </w:r>
      <w:r w:rsidRPr="004676F5">
        <w:rPr>
          <w:i/>
          <w:lang w:val="de-DE"/>
        </w:rPr>
        <w:t xml:space="preserve">; </w:t>
      </w:r>
      <w:r w:rsidR="00D33FCB" w:rsidRPr="004676F5">
        <w:rPr>
          <w:i/>
          <w:lang w:val="de-DE"/>
        </w:rPr>
        <w:t>§ 1 Abs. 5 abgeändert durch Art. 213 Nr. 2</w:t>
      </w:r>
      <w:r w:rsidR="00D33FCB" w:rsidRPr="004676F5">
        <w:rPr>
          <w:i/>
          <w:iCs/>
          <w:lang w:val="de-DE"/>
        </w:rPr>
        <w:t xml:space="preserve"> des G. vom 7. Juni 2023 (B.S. vom 7. Juli 2023); </w:t>
      </w:r>
      <w:r w:rsidRPr="004676F5">
        <w:rPr>
          <w:i/>
          <w:lang w:val="de-DE"/>
        </w:rPr>
        <w:t xml:space="preserve">§ 1 Abs. 6 </w:t>
      </w:r>
      <w:r w:rsidR="00D33FCB" w:rsidRPr="004676F5">
        <w:rPr>
          <w:i/>
          <w:lang w:val="de-DE"/>
        </w:rPr>
        <w:t>aufgehoben durch Art. 213 Nr. 3</w:t>
      </w:r>
      <w:r w:rsidR="00D33FCB" w:rsidRPr="004676F5">
        <w:rPr>
          <w:i/>
          <w:iCs/>
          <w:lang w:val="de-DE"/>
        </w:rPr>
        <w:t xml:space="preserve"> des G. vom 7. Juni 2023 (B.S. vom 7. Juli 2023); § 2 abgeändert durch Art. 213 Nr. 4 des G. vom 7. Juni 2023 (B.S. vom 7. Juli 2023)</w:t>
      </w:r>
      <w:r w:rsidRPr="004676F5">
        <w:rPr>
          <w:i/>
          <w:lang w:val="de-DE"/>
        </w:rPr>
        <w:t>]</w:t>
      </w:r>
    </w:p>
    <w:p w14:paraId="046CDCD3" w14:textId="30FA5538" w:rsidR="00D11212" w:rsidRPr="004676F5" w:rsidRDefault="00D11212" w:rsidP="00EE35E2">
      <w:pPr>
        <w:ind w:firstLine="708"/>
        <w:jc w:val="both"/>
        <w:rPr>
          <w:lang w:val="de-DE"/>
        </w:rPr>
      </w:pPr>
    </w:p>
    <w:p w14:paraId="0EA40590" w14:textId="77777777" w:rsidR="005C0AC4" w:rsidRPr="004676F5" w:rsidRDefault="005C0AC4" w:rsidP="00EE35E2">
      <w:pPr>
        <w:ind w:firstLine="708"/>
        <w:jc w:val="both"/>
        <w:rPr>
          <w:lang w:val="de-DE"/>
        </w:rPr>
      </w:pPr>
    </w:p>
    <w:p w14:paraId="5F603BEB" w14:textId="3B6275C0" w:rsidR="00EE35E2" w:rsidRPr="004676F5" w:rsidRDefault="00BE0A56" w:rsidP="00EE35E2">
      <w:pPr>
        <w:ind w:firstLine="708"/>
        <w:jc w:val="both"/>
        <w:rPr>
          <w:lang w:val="de-DE"/>
        </w:rPr>
      </w:pPr>
      <w:r w:rsidRPr="004676F5">
        <w:rPr>
          <w:b/>
          <w:lang w:val="de-DE"/>
        </w:rPr>
        <w:t>Art. </w:t>
      </w:r>
      <w:r w:rsidR="00EE35E2" w:rsidRPr="004676F5">
        <w:rPr>
          <w:b/>
          <w:lang w:val="de-DE"/>
        </w:rPr>
        <w:t>XX.121</w:t>
      </w:r>
      <w:r w:rsidR="00EE35E2" w:rsidRPr="004676F5">
        <w:rPr>
          <w:lang w:val="de-DE"/>
        </w:rPr>
        <w:t> </w:t>
      </w:r>
      <w:r w:rsidR="005B7A5C" w:rsidRPr="004676F5">
        <w:rPr>
          <w:lang w:val="de-DE"/>
        </w:rPr>
        <w:t>- </w:t>
      </w:r>
      <w:r w:rsidR="00EE35E2" w:rsidRPr="004676F5">
        <w:rPr>
          <w:lang w:val="de-DE"/>
        </w:rPr>
        <w:t>Vollstreckungsmittel zum Zweck der Zahlung von Forderungen auf bewegliche Güter, die durch eine Sicherheit auf einem beweglichen Gut oder ein besonderes Vorzugsrecht besichert sind und zur Konkursmasse gehören, werden bis zur Hinterlegung des ersten Protokolls über die Prüfung der Forderungen ausgesetzt, unbeschadet jeglicher Sicherungsmaßnahmen und eines vom Eigentümer erworbenen Rechts, vermietete Güter wieder in Besitz zu nehmen. In letzterem Fall hört die im vorliegenden Artikel bestimmte Aussetzung der Vollstreckungsmittel von Rechts wegen zugunsten des Eigentümers auf.</w:t>
      </w:r>
    </w:p>
    <w:p w14:paraId="09E77D7B" w14:textId="77777777" w:rsidR="00EE35E2" w:rsidRPr="004676F5" w:rsidRDefault="00EE35E2" w:rsidP="00EE35E2">
      <w:pPr>
        <w:ind w:firstLine="708"/>
        <w:jc w:val="both"/>
        <w:rPr>
          <w:lang w:val="de-DE"/>
        </w:rPr>
      </w:pPr>
    </w:p>
    <w:p w14:paraId="10C57E0D" w14:textId="77777777" w:rsidR="00EE35E2" w:rsidRPr="004676F5" w:rsidRDefault="00EE35E2" w:rsidP="00EE35E2">
      <w:pPr>
        <w:ind w:firstLine="708"/>
        <w:jc w:val="both"/>
        <w:rPr>
          <w:lang w:val="de-DE"/>
        </w:rPr>
      </w:pPr>
      <w:r w:rsidRPr="004676F5">
        <w:rPr>
          <w:lang w:val="de-DE"/>
        </w:rPr>
        <w:lastRenderedPageBreak/>
        <w:t>Das Gericht kann jedoch auf Antrag der Konkursverwalter, nachdem es den betroffenen besonders bevorrechtigten Gläubiger per Gerichtsschreiben vorgeladen hat, die Aussetzung der Vollstreckung für eine Höchstdauer von einem Jahr ab Konkurseröffnung anordnen, wenn es im Interesse der Masse erforderlich ist und sofern eine Verwertung der beweglichen Güter erwartet werden kann, die die bevorrechtigten Gläubiger nicht benachteiligt.</w:t>
      </w:r>
    </w:p>
    <w:p w14:paraId="03816C34" w14:textId="77777777" w:rsidR="00EE35E2" w:rsidRPr="004676F5" w:rsidRDefault="00EE35E2" w:rsidP="00EE35E2">
      <w:pPr>
        <w:jc w:val="both"/>
        <w:rPr>
          <w:lang w:val="de-DE"/>
        </w:rPr>
      </w:pPr>
    </w:p>
    <w:p w14:paraId="1720B234" w14:textId="4447765B" w:rsidR="00D11212" w:rsidRPr="004676F5" w:rsidRDefault="00D11212">
      <w:pPr>
        <w:rPr>
          <w:lang w:val="de-DE"/>
        </w:rPr>
      </w:pPr>
    </w:p>
    <w:p w14:paraId="4B0B343E" w14:textId="77777777" w:rsidR="00514DED" w:rsidRPr="004676F5" w:rsidRDefault="00514DED">
      <w:pPr>
        <w:rPr>
          <w:lang w:val="de-DE"/>
        </w:rPr>
      </w:pPr>
      <w:r w:rsidRPr="004676F5">
        <w:rPr>
          <w:lang w:val="de-DE"/>
        </w:rPr>
        <w:br w:type="page"/>
      </w:r>
    </w:p>
    <w:p w14:paraId="5C6127EA" w14:textId="04945EF3" w:rsidR="00EE35E2" w:rsidRPr="004676F5" w:rsidRDefault="00EE35E2" w:rsidP="00EE35E2">
      <w:pPr>
        <w:jc w:val="center"/>
        <w:rPr>
          <w:lang w:val="de-DE"/>
        </w:rPr>
      </w:pPr>
      <w:r w:rsidRPr="004676F5">
        <w:rPr>
          <w:lang w:val="de-DE"/>
        </w:rPr>
        <w:lastRenderedPageBreak/>
        <w:t>KAPITEL 3 </w:t>
      </w:r>
      <w:r w:rsidR="005B7A5C" w:rsidRPr="004676F5">
        <w:rPr>
          <w:lang w:val="de-DE"/>
        </w:rPr>
        <w:t>- </w:t>
      </w:r>
      <w:r w:rsidRPr="004676F5">
        <w:rPr>
          <w:i/>
          <w:lang w:val="de-DE"/>
        </w:rPr>
        <w:t>Verwaltung und Liquidation der Masse</w:t>
      </w:r>
    </w:p>
    <w:p w14:paraId="16453099" w14:textId="77777777" w:rsidR="00EE35E2" w:rsidRPr="004676F5" w:rsidRDefault="00EE35E2" w:rsidP="00EE35E2">
      <w:pPr>
        <w:jc w:val="center"/>
        <w:rPr>
          <w:lang w:val="de-DE"/>
        </w:rPr>
      </w:pPr>
    </w:p>
    <w:p w14:paraId="77662955" w14:textId="77777777" w:rsidR="00D11212" w:rsidRPr="004676F5" w:rsidRDefault="00D11212" w:rsidP="00EE35E2">
      <w:pPr>
        <w:jc w:val="center"/>
        <w:rPr>
          <w:lang w:val="de-DE"/>
        </w:rPr>
      </w:pPr>
    </w:p>
    <w:p w14:paraId="254C9439" w14:textId="4410A84D" w:rsidR="00EE35E2" w:rsidRPr="004676F5" w:rsidRDefault="00EE35E2" w:rsidP="00EE35E2">
      <w:pPr>
        <w:jc w:val="center"/>
        <w:rPr>
          <w:lang w:val="de-DE"/>
        </w:rPr>
      </w:pPr>
      <w:r w:rsidRPr="004676F5">
        <w:rPr>
          <w:i/>
          <w:lang w:val="de-DE"/>
        </w:rPr>
        <w:t>Abschnitt 1 </w:t>
      </w:r>
      <w:r w:rsidR="005B7A5C" w:rsidRPr="004676F5">
        <w:rPr>
          <w:i/>
          <w:lang w:val="de-DE"/>
        </w:rPr>
        <w:t>- </w:t>
      </w:r>
      <w:r w:rsidRPr="004676F5">
        <w:rPr>
          <w:lang w:val="de-DE"/>
        </w:rPr>
        <w:t>Bestellung und gesetzliche Aufträge der Konkursverwalter und der Konkursrichter</w:t>
      </w:r>
    </w:p>
    <w:p w14:paraId="05DF0961" w14:textId="77777777" w:rsidR="00EE35E2" w:rsidRPr="004676F5" w:rsidRDefault="00EE35E2" w:rsidP="00EE35E2">
      <w:pPr>
        <w:jc w:val="both"/>
        <w:rPr>
          <w:lang w:val="de-DE"/>
        </w:rPr>
      </w:pPr>
    </w:p>
    <w:p w14:paraId="58778A54" w14:textId="77777777" w:rsidR="00D11212" w:rsidRPr="004676F5" w:rsidRDefault="00D11212" w:rsidP="00EE35E2">
      <w:pPr>
        <w:jc w:val="both"/>
        <w:rPr>
          <w:lang w:val="de-DE"/>
        </w:rPr>
      </w:pPr>
    </w:p>
    <w:p w14:paraId="7D02AC47" w14:textId="7BF11366" w:rsidR="00EE35E2" w:rsidRPr="004676F5" w:rsidRDefault="00BE0A56" w:rsidP="00EE35E2">
      <w:pPr>
        <w:ind w:firstLine="708"/>
        <w:jc w:val="both"/>
        <w:rPr>
          <w:lang w:val="de-DE"/>
        </w:rPr>
      </w:pPr>
      <w:r w:rsidRPr="004676F5">
        <w:rPr>
          <w:b/>
          <w:lang w:val="de-DE"/>
        </w:rPr>
        <w:t>Art. </w:t>
      </w:r>
      <w:r w:rsidR="00EE35E2" w:rsidRPr="004676F5">
        <w:rPr>
          <w:b/>
          <w:lang w:val="de-DE"/>
        </w:rPr>
        <w:t>XX.122</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Unbeschadet der Anwendung der Bestimmungen der Verord</w:t>
      </w:r>
      <w:r w:rsidR="00EE35E2" w:rsidRPr="004676F5">
        <w:rPr>
          <w:lang w:val="de-DE"/>
        </w:rPr>
        <w:softHyphen/>
        <w:t xml:space="preserve">nung 2015/848/EU des Europäischen Parlaments und des Rates über Insolvenzverfahren werden Konkursverwalter unter den Personen gewählt, die in einer Liste eingetragen sind, die von der Generalversammlung des </w:t>
      </w:r>
      <w:r w:rsidR="00763745" w:rsidRPr="004676F5">
        <w:rPr>
          <w:lang w:val="de-DE"/>
        </w:rPr>
        <w:t xml:space="preserve">[Unternehmensgerichts] </w:t>
      </w:r>
      <w:r w:rsidR="00EE35E2" w:rsidRPr="004676F5">
        <w:rPr>
          <w:lang w:val="de-DE"/>
        </w:rPr>
        <w:t>des Bereichs aufgestellt wird, in dem der Konkurs ausgesprochen wird. Zu diesem Zweck können die Mitglieder der Generalver</w:t>
      </w:r>
      <w:r w:rsidR="00EE35E2" w:rsidRPr="004676F5">
        <w:rPr>
          <w:lang w:val="de-DE"/>
        </w:rPr>
        <w:softHyphen/>
        <w:t>sammlung selbst oder mittels Vollmacht an der Abstimmung teilnehmen.</w:t>
      </w:r>
    </w:p>
    <w:p w14:paraId="6A9811FB" w14:textId="77777777" w:rsidR="00EE35E2" w:rsidRPr="004676F5" w:rsidRDefault="00EE35E2" w:rsidP="00EE35E2">
      <w:pPr>
        <w:ind w:firstLine="708"/>
        <w:jc w:val="both"/>
        <w:rPr>
          <w:lang w:val="de-DE"/>
        </w:rPr>
      </w:pPr>
    </w:p>
    <w:p w14:paraId="66F6C37E" w14:textId="77777777" w:rsidR="00EE35E2" w:rsidRPr="004676F5" w:rsidRDefault="00EE35E2" w:rsidP="00EE35E2">
      <w:pPr>
        <w:ind w:firstLine="708"/>
        <w:jc w:val="both"/>
        <w:rPr>
          <w:lang w:val="de-DE"/>
        </w:rPr>
      </w:pPr>
      <w:r w:rsidRPr="004676F5">
        <w:rPr>
          <w:lang w:val="de-DE"/>
        </w:rPr>
        <w:t>In der in Absatz 1 erwähnten Liste können nur Rechtsanwälte aufgenommen werden, die im Verzeichnis einer Rechtsanwaltskammer eingetragen sind, ungeachtet des Ortes ihrer Eintragung. Sie müssen eine besondere Ausbildung aufweisen und Garantien hinsichtlich der Fachkenntnis im Bereich der Liquidationsverfahren bieten.</w:t>
      </w:r>
    </w:p>
    <w:p w14:paraId="23B69589" w14:textId="77777777" w:rsidR="00EE35E2" w:rsidRPr="004676F5" w:rsidRDefault="00EE35E2" w:rsidP="00EE35E2">
      <w:pPr>
        <w:ind w:firstLine="708"/>
        <w:jc w:val="both"/>
        <w:rPr>
          <w:lang w:val="de-DE"/>
        </w:rPr>
      </w:pPr>
    </w:p>
    <w:p w14:paraId="2E937DAA" w14:textId="77777777" w:rsidR="00EE35E2" w:rsidRPr="004676F5" w:rsidRDefault="00EE35E2" w:rsidP="00EE35E2">
      <w:pPr>
        <w:ind w:firstLine="708"/>
        <w:jc w:val="both"/>
        <w:rPr>
          <w:lang w:val="de-DE"/>
        </w:rPr>
      </w:pPr>
      <w:r w:rsidRPr="004676F5">
        <w:rPr>
          <w:lang w:val="de-DE"/>
        </w:rPr>
        <w:t>In der Liste wird für jeden Eingetragenen ebenfalls vermerkt, für welche Konkurse er bereits als Konkursverwalter bestellt worden ist. Auf jeden Fall werden in der Liste der Name des Konkursschuldners, das Datum der Bestellung des Konkursverwalters und gegebenenfalls das Datum, an dem sein Auftrag geendet hat, vermerkt.</w:t>
      </w:r>
    </w:p>
    <w:p w14:paraId="6B48B4E0" w14:textId="77777777" w:rsidR="00EE35E2" w:rsidRPr="004676F5" w:rsidRDefault="00EE35E2" w:rsidP="00EE35E2">
      <w:pPr>
        <w:ind w:firstLine="708"/>
        <w:jc w:val="both"/>
        <w:rPr>
          <w:lang w:val="de-DE"/>
        </w:rPr>
      </w:pPr>
    </w:p>
    <w:p w14:paraId="5F4FF893" w14:textId="2CE28F03" w:rsidR="00EE35E2" w:rsidRPr="004676F5" w:rsidRDefault="00EE35E2" w:rsidP="00EE35E2">
      <w:pPr>
        <w:ind w:firstLine="708"/>
        <w:jc w:val="both"/>
        <w:rPr>
          <w:lang w:val="de-DE"/>
        </w:rPr>
      </w:pPr>
      <w:r w:rsidRPr="004676F5">
        <w:rPr>
          <w:lang w:val="de-DE"/>
        </w:rPr>
        <w:t xml:space="preserve">Die Gerichte schreiben die Liste der Konkursverwalter jährlich fort und </w:t>
      </w:r>
      <w:r w:rsidR="005C0AC4" w:rsidRPr="004676F5">
        <w:rPr>
          <w:lang w:val="de-DE"/>
        </w:rPr>
        <w:t>[der Greffier sorgt für ihre Veröffentlichung im Register]</w:t>
      </w:r>
      <w:r w:rsidRPr="004676F5">
        <w:rPr>
          <w:lang w:val="de-DE"/>
        </w:rPr>
        <w:t xml:space="preserve"> im Laufe der ersten Woche des Kalenderjahres.</w:t>
      </w:r>
    </w:p>
    <w:p w14:paraId="19FFFB58" w14:textId="77777777" w:rsidR="00EE35E2" w:rsidRPr="004676F5" w:rsidRDefault="00EE35E2" w:rsidP="00EE35E2">
      <w:pPr>
        <w:ind w:firstLine="708"/>
        <w:jc w:val="both"/>
        <w:rPr>
          <w:lang w:val="de-DE"/>
        </w:rPr>
      </w:pPr>
    </w:p>
    <w:p w14:paraId="0C5A0D94" w14:textId="1BCAB075"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Andere Personen, die die in § 1 vorgesehenen Ausbildungsbedingungen erfüllen und die in § 1 vorgesehenen Garantien bieten, können wegen besonderer Fachkenntnisse und ihrer Erfahrung in dem Bereich, dem der Schuldner angehört, als Konkursverwalter hinzugezogen werden, wenn es aufgrund der Art und des Umfangs des Konkurses erforderlich ist.</w:t>
      </w:r>
    </w:p>
    <w:p w14:paraId="75C7997D" w14:textId="77777777" w:rsidR="00EE35E2" w:rsidRPr="004676F5" w:rsidRDefault="00EE35E2" w:rsidP="00EE35E2">
      <w:pPr>
        <w:ind w:firstLine="708"/>
        <w:jc w:val="both"/>
        <w:rPr>
          <w:lang w:val="de-DE"/>
        </w:rPr>
      </w:pPr>
    </w:p>
    <w:p w14:paraId="05584F7E" w14:textId="3B2609C6"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Der König bestimmt, wie Bewerber beim Gericht vorgeschlagen werden, und die Fristen, die bei der Prüfung der Bewerbungen einzuhalten sind. Der König kann ebenfalls die Bedingungen in Bezug auf Ausbildung und Fachkenntnisse im Bereich der Liquidations</w:t>
      </w:r>
      <w:r w:rsidRPr="004676F5">
        <w:rPr>
          <w:lang w:val="de-DE"/>
        </w:rPr>
        <w:softHyphen/>
        <w:t>verfahren näher bestimmen.</w:t>
      </w:r>
    </w:p>
    <w:p w14:paraId="27EE4AA6" w14:textId="567CA319" w:rsidR="00EE35E2" w:rsidRPr="004676F5" w:rsidRDefault="00EE35E2" w:rsidP="005C0AC4">
      <w:pPr>
        <w:jc w:val="both"/>
        <w:rPr>
          <w:lang w:val="de-DE"/>
        </w:rPr>
      </w:pPr>
    </w:p>
    <w:p w14:paraId="0689DF83" w14:textId="204015CE" w:rsidR="005C0AC4" w:rsidRPr="004676F5" w:rsidRDefault="005C0AC4" w:rsidP="005C0AC4">
      <w:pPr>
        <w:jc w:val="both"/>
        <w:rPr>
          <w:i/>
          <w:lang w:val="de-DE"/>
        </w:rPr>
      </w:pPr>
      <w:r w:rsidRPr="004676F5">
        <w:rPr>
          <w:i/>
          <w:lang w:val="de-DE"/>
        </w:rPr>
        <w:t xml:space="preserve">[Art. XX.122 </w:t>
      </w:r>
      <w:r w:rsidR="00763745" w:rsidRPr="004676F5">
        <w:rPr>
          <w:i/>
          <w:lang w:val="de-DE"/>
        </w:rPr>
        <w:t xml:space="preserve">§ 1 Abs. 1 abgeändert durch Art. 252 des G. vom 15. April 2018 (B.S. vom 27. April 2018); </w:t>
      </w:r>
      <w:r w:rsidRPr="004676F5">
        <w:rPr>
          <w:i/>
          <w:lang w:val="de-DE"/>
        </w:rPr>
        <w:t>§ 1 Abs. 4 abgeändert durch Art. 235 des G. vom 15. April 2018 (B.S. vom 27. April 2018)]</w:t>
      </w:r>
    </w:p>
    <w:p w14:paraId="075F58CD" w14:textId="77777777" w:rsidR="005C0AC4" w:rsidRPr="004676F5" w:rsidRDefault="005C0AC4" w:rsidP="005C0AC4">
      <w:pPr>
        <w:jc w:val="both"/>
        <w:rPr>
          <w:i/>
          <w:lang w:val="de-DE"/>
        </w:rPr>
      </w:pPr>
    </w:p>
    <w:p w14:paraId="7BB28CC8" w14:textId="77777777" w:rsidR="00D11212" w:rsidRPr="004676F5" w:rsidRDefault="00D11212" w:rsidP="00EE35E2">
      <w:pPr>
        <w:ind w:firstLine="708"/>
        <w:jc w:val="both"/>
        <w:rPr>
          <w:lang w:val="de-DE"/>
        </w:rPr>
      </w:pPr>
    </w:p>
    <w:p w14:paraId="0BCFC3A1" w14:textId="2C18F207" w:rsidR="00EE35E2" w:rsidRPr="004676F5" w:rsidRDefault="00BE0A56" w:rsidP="00EE35E2">
      <w:pPr>
        <w:ind w:firstLine="708"/>
        <w:jc w:val="both"/>
        <w:rPr>
          <w:lang w:val="de-DE"/>
        </w:rPr>
      </w:pPr>
      <w:r w:rsidRPr="004676F5">
        <w:rPr>
          <w:b/>
          <w:lang w:val="de-DE"/>
        </w:rPr>
        <w:t>Art. </w:t>
      </w:r>
      <w:r w:rsidR="00EE35E2" w:rsidRPr="004676F5">
        <w:rPr>
          <w:b/>
          <w:lang w:val="de-DE"/>
        </w:rPr>
        <w:t>XX.123</w:t>
      </w:r>
      <w:r w:rsidR="00EE35E2" w:rsidRPr="004676F5">
        <w:rPr>
          <w:lang w:val="de-DE"/>
        </w:rPr>
        <w:t> </w:t>
      </w:r>
      <w:r w:rsidR="005B7A5C" w:rsidRPr="004676F5">
        <w:rPr>
          <w:lang w:val="de-DE"/>
        </w:rPr>
        <w:t>- </w:t>
      </w:r>
      <w:r w:rsidR="00EE35E2" w:rsidRPr="004676F5">
        <w:rPr>
          <w:lang w:val="de-DE"/>
        </w:rPr>
        <w:t xml:space="preserve">Ist der Konkursschuldner ein Freiberufler, ordnet das Gericht dem bestellten Konkursverwalter gemäß Artikel XX.20 § 1 als Mitverwalter des Konkurses einen Inhaber des entsprechenden freien Berufes bei, </w:t>
      </w:r>
      <w:r w:rsidR="00514DED" w:rsidRPr="004676F5">
        <w:rPr>
          <w:lang w:val="de-DE"/>
        </w:rPr>
        <w:t>[der den Konkursverwalter in Bezug auf technische und berufsethische Aspekte des Berufs und in Bezug auf den Schutz vertraulicher Daten im Zusammenhang mit dem freien Beruf unterstützen kann]</w:t>
      </w:r>
      <w:r w:rsidR="00EE35E2" w:rsidRPr="004676F5">
        <w:rPr>
          <w:lang w:val="de-DE"/>
        </w:rPr>
        <w:t>.</w:t>
      </w:r>
    </w:p>
    <w:p w14:paraId="129B4A2E" w14:textId="77777777" w:rsidR="00514DED" w:rsidRPr="004676F5" w:rsidRDefault="00514DED" w:rsidP="00514DED">
      <w:pPr>
        <w:jc w:val="both"/>
        <w:rPr>
          <w:lang w:val="de-DE"/>
        </w:rPr>
      </w:pPr>
    </w:p>
    <w:p w14:paraId="52C7044C" w14:textId="00923E2F" w:rsidR="00514DED" w:rsidRPr="004676F5" w:rsidRDefault="00514DED" w:rsidP="00514DED">
      <w:pPr>
        <w:jc w:val="both"/>
        <w:rPr>
          <w:i/>
          <w:iCs/>
          <w:lang w:val="de-DE"/>
        </w:rPr>
      </w:pPr>
      <w:r w:rsidRPr="004676F5">
        <w:rPr>
          <w:i/>
          <w:iCs/>
          <w:lang w:val="de-DE"/>
        </w:rPr>
        <w:t>[Art. XX.123 abgeändert durch Art. 214 des G. vom 7. Juni 2023 (B.S. vom 7. Juli 2023)]</w:t>
      </w:r>
    </w:p>
    <w:p w14:paraId="3C90AB6A" w14:textId="77777777" w:rsidR="00EE35E2" w:rsidRPr="004676F5" w:rsidRDefault="00EE35E2" w:rsidP="00EE35E2">
      <w:pPr>
        <w:ind w:firstLine="708"/>
        <w:jc w:val="both"/>
        <w:rPr>
          <w:lang w:val="de-DE"/>
        </w:rPr>
      </w:pPr>
    </w:p>
    <w:p w14:paraId="150CD6A1" w14:textId="77777777" w:rsidR="00D11212" w:rsidRPr="004676F5" w:rsidRDefault="00D11212" w:rsidP="00EE35E2">
      <w:pPr>
        <w:ind w:firstLine="708"/>
        <w:jc w:val="both"/>
        <w:rPr>
          <w:lang w:val="de-DE"/>
        </w:rPr>
      </w:pPr>
    </w:p>
    <w:p w14:paraId="28929F27" w14:textId="693DEB45" w:rsidR="00EE35E2" w:rsidRPr="004676F5" w:rsidRDefault="00BE0A56" w:rsidP="00EE35E2">
      <w:pPr>
        <w:ind w:firstLine="708"/>
        <w:jc w:val="both"/>
        <w:rPr>
          <w:lang w:val="de-DE"/>
        </w:rPr>
      </w:pPr>
      <w:r w:rsidRPr="004676F5">
        <w:rPr>
          <w:b/>
          <w:lang w:val="de-DE"/>
        </w:rPr>
        <w:t>Art. </w:t>
      </w:r>
      <w:r w:rsidR="00EE35E2" w:rsidRPr="004676F5">
        <w:rPr>
          <w:b/>
          <w:lang w:val="de-DE"/>
        </w:rPr>
        <w:t>XX.124</w:t>
      </w:r>
      <w:r w:rsidR="00EE35E2" w:rsidRPr="004676F5">
        <w:rPr>
          <w:lang w:val="de-DE"/>
        </w:rPr>
        <w:t> </w:t>
      </w:r>
      <w:r w:rsidR="005B7A5C" w:rsidRPr="004676F5">
        <w:rPr>
          <w:lang w:val="de-DE"/>
        </w:rPr>
        <w:t>- </w:t>
      </w:r>
      <w:r w:rsidR="00EE35E2" w:rsidRPr="004676F5">
        <w:rPr>
          <w:lang w:val="de-DE"/>
        </w:rPr>
        <w:t>Gegen Entscheidungen, mit dem eine Eintragung in eine Liste der Konkursverwalter verweigert oder eine Eintra</w:t>
      </w:r>
      <w:r w:rsidR="009B24DA" w:rsidRPr="004676F5">
        <w:rPr>
          <w:lang w:val="de-DE"/>
        </w:rPr>
        <w:t>gung gestrichen wird, kann beim [Märktegerichtshof]</w:t>
      </w:r>
      <w:r w:rsidR="00EE35E2" w:rsidRPr="004676F5">
        <w:rPr>
          <w:lang w:val="de-DE"/>
        </w:rPr>
        <w:t xml:space="preserve"> Berufung eingelegt werden. Auf Antrag des Betreffenden findet die Verhandlung unter Ausschluss der Öffentlichkeit statt. Die Berufungsfrist beträgt einen Monat ab dem Tag der Notifizierung der Entscheidung. Der </w:t>
      </w:r>
      <w:r w:rsidR="009B24DA" w:rsidRPr="004676F5">
        <w:rPr>
          <w:lang w:val="de-DE"/>
        </w:rPr>
        <w:t>[Märktegerichtshof]</w:t>
      </w:r>
      <w:r w:rsidR="00EE35E2" w:rsidRPr="004676F5">
        <w:rPr>
          <w:lang w:val="de-DE"/>
        </w:rPr>
        <w:t xml:space="preserve"> ordnet gegebenenfalls die Eintragung in die Liste an.</w:t>
      </w:r>
    </w:p>
    <w:p w14:paraId="1BF06BA5" w14:textId="77777777" w:rsidR="00EE35E2" w:rsidRPr="004676F5" w:rsidRDefault="00EE35E2" w:rsidP="00EE35E2">
      <w:pPr>
        <w:ind w:firstLine="708"/>
        <w:jc w:val="both"/>
        <w:rPr>
          <w:lang w:val="de-DE"/>
        </w:rPr>
      </w:pPr>
    </w:p>
    <w:p w14:paraId="715E4F90" w14:textId="78352B88" w:rsidR="009B24DA" w:rsidRPr="004676F5" w:rsidRDefault="009B24DA" w:rsidP="009B24DA">
      <w:pPr>
        <w:jc w:val="both"/>
        <w:rPr>
          <w:i/>
          <w:lang w:val="de-DE"/>
        </w:rPr>
      </w:pPr>
      <w:r w:rsidRPr="004676F5">
        <w:rPr>
          <w:i/>
          <w:lang w:val="de-DE"/>
        </w:rPr>
        <w:t>[</w:t>
      </w:r>
      <w:r w:rsidR="00BE0A56" w:rsidRPr="004676F5">
        <w:rPr>
          <w:i/>
          <w:lang w:val="de-DE"/>
        </w:rPr>
        <w:t>Art. </w:t>
      </w:r>
      <w:r w:rsidRPr="004676F5">
        <w:rPr>
          <w:i/>
          <w:lang w:val="de-DE"/>
        </w:rPr>
        <w:t xml:space="preserve">XX.124 abgeändert durch </w:t>
      </w:r>
      <w:r w:rsidR="00BE0A56" w:rsidRPr="004676F5">
        <w:rPr>
          <w:i/>
          <w:lang w:val="de-DE"/>
        </w:rPr>
        <w:t>Art. </w:t>
      </w:r>
      <w:r w:rsidRPr="004676F5">
        <w:rPr>
          <w:i/>
          <w:lang w:val="de-DE"/>
        </w:rPr>
        <w:t>2 des G. vom 20. Februar 2017 (B.S. vom 27. Februar 2017)]</w:t>
      </w:r>
    </w:p>
    <w:p w14:paraId="4A1F311C" w14:textId="77777777" w:rsidR="009B24DA" w:rsidRPr="004676F5" w:rsidRDefault="009B24DA" w:rsidP="009B24DA">
      <w:pPr>
        <w:jc w:val="both"/>
        <w:rPr>
          <w:i/>
          <w:lang w:val="de-DE"/>
        </w:rPr>
      </w:pPr>
    </w:p>
    <w:p w14:paraId="29ABEB4C" w14:textId="77777777" w:rsidR="00D11212" w:rsidRPr="004676F5" w:rsidRDefault="00D11212" w:rsidP="00EE35E2">
      <w:pPr>
        <w:ind w:firstLine="708"/>
        <w:jc w:val="both"/>
        <w:rPr>
          <w:lang w:val="de-DE"/>
        </w:rPr>
      </w:pPr>
    </w:p>
    <w:p w14:paraId="0053148E" w14:textId="157BB38B" w:rsidR="00EE35E2" w:rsidRPr="004676F5" w:rsidRDefault="00BE0A56" w:rsidP="00EE35E2">
      <w:pPr>
        <w:ind w:firstLine="708"/>
        <w:jc w:val="both"/>
        <w:rPr>
          <w:lang w:val="de-DE"/>
        </w:rPr>
      </w:pPr>
      <w:r w:rsidRPr="004676F5">
        <w:rPr>
          <w:b/>
          <w:lang w:val="de-DE"/>
        </w:rPr>
        <w:t>Art. </w:t>
      </w:r>
      <w:r w:rsidR="00EE35E2" w:rsidRPr="004676F5">
        <w:rPr>
          <w:b/>
          <w:lang w:val="de-DE"/>
        </w:rPr>
        <w:t>XX.125</w:t>
      </w:r>
      <w:r w:rsidR="00EE35E2" w:rsidRPr="004676F5">
        <w:rPr>
          <w:lang w:val="de-DE"/>
        </w:rPr>
        <w:t> </w:t>
      </w:r>
      <w:r w:rsidR="005B7A5C" w:rsidRPr="004676F5">
        <w:rPr>
          <w:lang w:val="de-DE"/>
        </w:rPr>
        <w:t>- </w:t>
      </w:r>
      <w:r w:rsidR="00EE35E2" w:rsidRPr="004676F5">
        <w:rPr>
          <w:lang w:val="de-DE"/>
        </w:rPr>
        <w:t xml:space="preserve">Eine Person, die in der Liste erscheint, kann auf eigenen Antrag von der Generalversammlung des </w:t>
      </w:r>
      <w:r w:rsidR="00330A85" w:rsidRPr="004676F5">
        <w:rPr>
          <w:lang w:val="de-DE"/>
        </w:rPr>
        <w:t xml:space="preserve">[Unternehmensgerichts] </w:t>
      </w:r>
      <w:r w:rsidR="00EE35E2" w:rsidRPr="004676F5">
        <w:rPr>
          <w:lang w:val="de-DE"/>
        </w:rPr>
        <w:t>gestrichen werden. Die Generalversammlung streicht auch Personen von der Liste, die die gesetzlichen Anforderungen nicht mehr erfüllen. Eine Person kann auch in Ausführung eines auf Ladung der Staatsanwaltschaft gefällten Urteils von der Liste gestrichen werden. Auf Antrag des Betreffenden findet die Verhandlung unter Ausschluss der Öffentlichkeit statt.</w:t>
      </w:r>
    </w:p>
    <w:p w14:paraId="6A63FF45" w14:textId="1944EA3D" w:rsidR="00330A85" w:rsidRPr="004676F5" w:rsidRDefault="00330A85" w:rsidP="00EE35E2">
      <w:pPr>
        <w:ind w:firstLine="708"/>
        <w:jc w:val="both"/>
        <w:rPr>
          <w:lang w:val="de-DE"/>
        </w:rPr>
      </w:pPr>
    </w:p>
    <w:p w14:paraId="03DAD66B" w14:textId="177FFE3C" w:rsidR="00330A85" w:rsidRPr="004676F5" w:rsidRDefault="00330A85" w:rsidP="00330A85">
      <w:pPr>
        <w:jc w:val="both"/>
        <w:rPr>
          <w:i/>
          <w:lang w:val="de-DE"/>
        </w:rPr>
      </w:pPr>
      <w:r w:rsidRPr="004676F5">
        <w:rPr>
          <w:i/>
          <w:lang w:val="de-DE"/>
        </w:rPr>
        <w:t>[Art. XX.125 abgeändert durch Art. 252 des G. vom 15. April 2018 (B.S. vom 27. April 2018)]</w:t>
      </w:r>
    </w:p>
    <w:p w14:paraId="2449031D" w14:textId="77777777" w:rsidR="00330A85" w:rsidRPr="004676F5" w:rsidRDefault="00330A85" w:rsidP="00330A85">
      <w:pPr>
        <w:jc w:val="both"/>
        <w:rPr>
          <w:i/>
          <w:lang w:val="de-DE"/>
        </w:rPr>
      </w:pPr>
    </w:p>
    <w:p w14:paraId="0E484223" w14:textId="77777777" w:rsidR="00D11212" w:rsidRPr="004676F5" w:rsidRDefault="00D11212" w:rsidP="00EE35E2">
      <w:pPr>
        <w:ind w:firstLine="708"/>
        <w:jc w:val="both"/>
        <w:rPr>
          <w:lang w:val="de-DE"/>
        </w:rPr>
      </w:pPr>
    </w:p>
    <w:p w14:paraId="051DF530" w14:textId="3245AEE0" w:rsidR="00EE35E2" w:rsidRPr="004676F5" w:rsidRDefault="00EE35E2" w:rsidP="00EE35E2">
      <w:pPr>
        <w:jc w:val="center"/>
        <w:rPr>
          <w:lang w:val="de-DE"/>
        </w:rPr>
      </w:pPr>
      <w:r w:rsidRPr="004676F5">
        <w:rPr>
          <w:i/>
          <w:lang w:val="de-DE"/>
        </w:rPr>
        <w:t>Abschnitt 2 </w:t>
      </w:r>
      <w:r w:rsidR="005B7A5C" w:rsidRPr="004676F5">
        <w:rPr>
          <w:lang w:val="de-DE"/>
        </w:rPr>
        <w:t>- </w:t>
      </w:r>
      <w:r w:rsidRPr="004676F5">
        <w:rPr>
          <w:lang w:val="de-DE"/>
        </w:rPr>
        <w:t>Amtsantritt und Aufgaben der Konkursverwalter und der Konkursrichter</w:t>
      </w:r>
    </w:p>
    <w:p w14:paraId="6953E452" w14:textId="77777777" w:rsidR="00EE35E2" w:rsidRPr="004676F5" w:rsidRDefault="00EE35E2" w:rsidP="00EE35E2">
      <w:pPr>
        <w:jc w:val="both"/>
        <w:rPr>
          <w:lang w:val="de-DE"/>
        </w:rPr>
      </w:pPr>
    </w:p>
    <w:p w14:paraId="526AFE6D" w14:textId="77777777" w:rsidR="00D11212" w:rsidRPr="004676F5" w:rsidRDefault="00D11212" w:rsidP="00EE35E2">
      <w:pPr>
        <w:jc w:val="both"/>
        <w:rPr>
          <w:lang w:val="de-DE"/>
        </w:rPr>
      </w:pPr>
    </w:p>
    <w:p w14:paraId="6DAF8971" w14:textId="10718CAF" w:rsidR="00EE35E2" w:rsidRPr="00B86275" w:rsidRDefault="00BE0A56" w:rsidP="00EE35E2">
      <w:pPr>
        <w:ind w:firstLine="708"/>
        <w:jc w:val="both"/>
        <w:rPr>
          <w:lang w:val="nl-NL"/>
        </w:rPr>
      </w:pPr>
      <w:r w:rsidRPr="004676F5">
        <w:rPr>
          <w:b/>
          <w:lang w:val="de-DE"/>
        </w:rPr>
        <w:t>Art. </w:t>
      </w:r>
      <w:r w:rsidR="00EE35E2" w:rsidRPr="004676F5">
        <w:rPr>
          <w:b/>
          <w:lang w:val="de-DE"/>
        </w:rPr>
        <w:t>XX.126</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Bei Eintragung in die Liste legen die in Artikel XX.122 erwähnten Konkursverwalter vor dem Gerichtspräsidenten einen Eid mit folgendem Wortlaut ab: "Ich schwöre Treue dem König, Gehorsam der Verfassung und den Gesetzen des belgischen Volkes. Ich schwöre den </w:t>
      </w:r>
      <w:r w:rsidR="00EE35E2" w:rsidRPr="004676F5">
        <w:rPr>
          <w:i/>
          <w:lang w:val="de-DE"/>
        </w:rPr>
        <w:t>[sic, zu lesen ist: die]</w:t>
      </w:r>
      <w:r w:rsidR="00EE35E2" w:rsidRPr="004676F5">
        <w:rPr>
          <w:lang w:val="de-DE"/>
        </w:rPr>
        <w:t xml:space="preserve"> mir erteilten Aufträge auf Ehre und Gewissen, genau und ehrlich zu erfüllen." </w:t>
      </w:r>
      <w:r w:rsidR="00EE35E2" w:rsidRPr="00B86275">
        <w:rPr>
          <w:lang w:val="fr-BE"/>
        </w:rPr>
        <w:t xml:space="preserve">"Je jure fidélité au Roi, obéissance à la Constitution et aux lois du Peuple belge. Je jure d’accomplir mes missions en honneur et conscience, avec exactitude et probité." </w:t>
      </w:r>
      <w:r w:rsidR="00EE35E2" w:rsidRPr="00B86275">
        <w:rPr>
          <w:lang w:val="nl-NL"/>
        </w:rPr>
        <w:t>"Ik zweer getrouwheid aan de Koning, gehoorzaamheid aan de Grondwet en aan de wetten van het Belgische volk. Ik zweer mijn opdrachten in eer en geweten, nauwgezet en eerlijk te zullen vervullen."</w:t>
      </w:r>
    </w:p>
    <w:p w14:paraId="023898D5" w14:textId="77777777" w:rsidR="00EE35E2" w:rsidRPr="00B86275" w:rsidRDefault="00EE35E2" w:rsidP="00EE35E2">
      <w:pPr>
        <w:ind w:firstLine="708"/>
        <w:jc w:val="both"/>
        <w:rPr>
          <w:lang w:val="nl-NL"/>
        </w:rPr>
      </w:pPr>
    </w:p>
    <w:p w14:paraId="504BE2B1" w14:textId="6F82394D"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Die in § 1 erwähnten Konkursverwalter bestätigen ihren Amtsantritt spätestens am ersten Werktag nach ihrer Bestellung elektronisch über das Register.</w:t>
      </w:r>
    </w:p>
    <w:p w14:paraId="0A448CCE" w14:textId="77777777" w:rsidR="00EE35E2" w:rsidRPr="004676F5" w:rsidRDefault="00EE35E2" w:rsidP="00EE35E2">
      <w:pPr>
        <w:ind w:firstLine="708"/>
        <w:jc w:val="both"/>
        <w:rPr>
          <w:lang w:val="de-DE"/>
        </w:rPr>
      </w:pPr>
    </w:p>
    <w:p w14:paraId="02DA5F8E" w14:textId="4B38A7DC"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Der Konkursverwalter meldet dem Gerichtspräsidenten jede Form von Interessen</w:t>
      </w:r>
      <w:r w:rsidRPr="004676F5">
        <w:rPr>
          <w:lang w:val="de-DE"/>
        </w:rPr>
        <w:softHyphen/>
        <w:t>konflikt oder jeden Anschein von Parteilichkeit.</w:t>
      </w:r>
    </w:p>
    <w:p w14:paraId="0E907E37" w14:textId="77777777" w:rsidR="00EE35E2" w:rsidRPr="004676F5" w:rsidRDefault="00EE35E2" w:rsidP="00EE35E2">
      <w:pPr>
        <w:ind w:firstLine="708"/>
        <w:jc w:val="both"/>
        <w:rPr>
          <w:lang w:val="de-DE"/>
        </w:rPr>
      </w:pPr>
    </w:p>
    <w:p w14:paraId="5846BD3A" w14:textId="77777777" w:rsidR="00EE35E2" w:rsidRPr="004676F5" w:rsidRDefault="00EE35E2" w:rsidP="00EE35E2">
      <w:pPr>
        <w:ind w:firstLine="708"/>
        <w:jc w:val="both"/>
        <w:rPr>
          <w:lang w:val="de-DE"/>
        </w:rPr>
      </w:pPr>
      <w:r w:rsidRPr="004676F5">
        <w:rPr>
          <w:lang w:val="de-DE"/>
        </w:rPr>
        <w:t>Der Konkursverwalter meldet auf jeden Fall, dass er oder einer seiner Gesellschafter oder direkten Mitarbeiter außer in der Eigenschaft als Konkursverwalter im Laufe der letzten achtzehn Monate vor dem Konkurseröffnungsurteil Leistungen zu Gunsten des Konkursschuldners oder der Verwalter und Geschäftsführer der in Konkurs geratenen juristischen Person oder zu Gunsten eines Gläubigers erbracht hat.</w:t>
      </w:r>
    </w:p>
    <w:p w14:paraId="2CD64239" w14:textId="77777777" w:rsidR="00EE35E2" w:rsidRPr="004676F5" w:rsidRDefault="00EE35E2" w:rsidP="00EE35E2">
      <w:pPr>
        <w:ind w:firstLine="708"/>
        <w:jc w:val="both"/>
        <w:rPr>
          <w:lang w:val="de-DE"/>
        </w:rPr>
      </w:pPr>
    </w:p>
    <w:p w14:paraId="32B74A9E" w14:textId="67050FB7" w:rsidR="00EE35E2" w:rsidRPr="004676F5" w:rsidRDefault="00EE35E2" w:rsidP="00EE35E2">
      <w:pPr>
        <w:ind w:firstLine="708"/>
        <w:jc w:val="both"/>
        <w:rPr>
          <w:lang w:val="de-DE"/>
        </w:rPr>
      </w:pPr>
      <w:r w:rsidRPr="004676F5">
        <w:rPr>
          <w:lang w:val="de-DE"/>
        </w:rPr>
        <w:t>Die Erklärungen des Konkursverwalters werden zur Konkursakte gelegt</w:t>
      </w:r>
      <w:r w:rsidR="00514DED" w:rsidRPr="004676F5">
        <w:rPr>
          <w:lang w:val="de-DE"/>
        </w:rPr>
        <w:t>[, können aber nur vom Gerichtspräsidenten oder vom Prokurator des Königs konsultiert werden]</w:t>
      </w:r>
      <w:r w:rsidRPr="004676F5">
        <w:rPr>
          <w:lang w:val="de-DE"/>
        </w:rPr>
        <w:t>.</w:t>
      </w:r>
    </w:p>
    <w:p w14:paraId="3CB654EF" w14:textId="77777777" w:rsidR="00EE35E2" w:rsidRPr="004676F5" w:rsidRDefault="00EE35E2" w:rsidP="00EE35E2">
      <w:pPr>
        <w:ind w:firstLine="708"/>
        <w:jc w:val="both"/>
        <w:rPr>
          <w:lang w:val="de-DE"/>
        </w:rPr>
      </w:pPr>
    </w:p>
    <w:p w14:paraId="39E51DE1" w14:textId="77777777" w:rsidR="00EE35E2" w:rsidRPr="004676F5" w:rsidRDefault="00EE35E2" w:rsidP="00EE35E2">
      <w:pPr>
        <w:ind w:firstLine="708"/>
        <w:jc w:val="both"/>
        <w:rPr>
          <w:lang w:val="de-DE"/>
        </w:rPr>
      </w:pPr>
      <w:r w:rsidRPr="004676F5">
        <w:rPr>
          <w:lang w:val="de-DE"/>
        </w:rPr>
        <w:t>Der Gerichtspräsident beurteilt, ob die Erklärungen den Konkursverwalter an der Ausführung seines Auftrags hindern.</w:t>
      </w:r>
    </w:p>
    <w:p w14:paraId="25B81E67" w14:textId="77777777" w:rsidR="00EE35E2" w:rsidRPr="004676F5" w:rsidRDefault="00EE35E2" w:rsidP="00EE35E2">
      <w:pPr>
        <w:ind w:firstLine="708"/>
        <w:jc w:val="both"/>
        <w:rPr>
          <w:lang w:val="de-DE"/>
        </w:rPr>
      </w:pPr>
    </w:p>
    <w:p w14:paraId="23730AD8" w14:textId="77777777" w:rsidR="00EE35E2" w:rsidRPr="004676F5" w:rsidRDefault="00EE35E2" w:rsidP="00EE35E2">
      <w:pPr>
        <w:ind w:firstLine="708"/>
        <w:jc w:val="both"/>
        <w:rPr>
          <w:lang w:val="de-DE"/>
        </w:rPr>
      </w:pPr>
      <w:r w:rsidRPr="004676F5">
        <w:rPr>
          <w:lang w:val="de-DE"/>
        </w:rPr>
        <w:t>Das Gericht kann den Konkursverwalter gemäß dem in Artikel XX.20 oder gegebenenfalls dem in Artikel XX.127 vorgesehenen Verfahren ersetzen.</w:t>
      </w:r>
    </w:p>
    <w:p w14:paraId="0F73C781" w14:textId="77777777" w:rsidR="00EE35E2" w:rsidRPr="004676F5" w:rsidRDefault="00EE35E2" w:rsidP="00514DED">
      <w:pPr>
        <w:jc w:val="both"/>
        <w:rPr>
          <w:lang w:val="de-DE"/>
        </w:rPr>
      </w:pPr>
    </w:p>
    <w:p w14:paraId="4512FA7A" w14:textId="216F91B8" w:rsidR="00514DED" w:rsidRPr="004676F5" w:rsidRDefault="00514DED" w:rsidP="00514DED">
      <w:pPr>
        <w:jc w:val="both"/>
        <w:rPr>
          <w:i/>
          <w:iCs/>
          <w:lang w:val="de-DE"/>
        </w:rPr>
      </w:pPr>
      <w:r w:rsidRPr="004676F5">
        <w:rPr>
          <w:i/>
          <w:iCs/>
          <w:lang w:val="de-DE"/>
        </w:rPr>
        <w:t>[Art. XX.126 § 3 Abs. 3 abgeändert durch Art. 215 des G. vom 7. Juni 2023 (B.S. vom 7. Juli 2023)]</w:t>
      </w:r>
    </w:p>
    <w:p w14:paraId="42F7C91D" w14:textId="77777777" w:rsidR="00514DED" w:rsidRPr="004676F5" w:rsidRDefault="00514DED" w:rsidP="00514DED">
      <w:pPr>
        <w:jc w:val="both"/>
        <w:rPr>
          <w:i/>
          <w:iCs/>
          <w:lang w:val="de-DE"/>
        </w:rPr>
      </w:pPr>
    </w:p>
    <w:p w14:paraId="67B95AD4" w14:textId="77777777" w:rsidR="00D11212" w:rsidRPr="004676F5" w:rsidRDefault="00D11212" w:rsidP="00EE35E2">
      <w:pPr>
        <w:ind w:firstLine="708"/>
        <w:jc w:val="both"/>
        <w:rPr>
          <w:lang w:val="de-DE"/>
        </w:rPr>
      </w:pPr>
    </w:p>
    <w:p w14:paraId="4CDE7558" w14:textId="439B1683" w:rsidR="00EE35E2" w:rsidRPr="004676F5" w:rsidRDefault="00BE0A56" w:rsidP="00EE35E2">
      <w:pPr>
        <w:ind w:firstLine="708"/>
        <w:jc w:val="both"/>
        <w:rPr>
          <w:lang w:val="de-DE"/>
        </w:rPr>
      </w:pPr>
      <w:r w:rsidRPr="004676F5">
        <w:rPr>
          <w:b/>
          <w:lang w:val="de-DE"/>
        </w:rPr>
        <w:t>Art. </w:t>
      </w:r>
      <w:r w:rsidR="00EE35E2" w:rsidRPr="004676F5">
        <w:rPr>
          <w:b/>
          <w:lang w:val="de-DE"/>
        </w:rPr>
        <w:t>XX.127</w:t>
      </w:r>
      <w:r w:rsidR="00EE35E2" w:rsidRPr="004676F5">
        <w:rPr>
          <w:lang w:val="de-DE"/>
        </w:rPr>
        <w:t> </w:t>
      </w:r>
      <w:r w:rsidR="005B7A5C" w:rsidRPr="004676F5">
        <w:rPr>
          <w:lang w:val="de-DE"/>
        </w:rPr>
        <w:t>- </w:t>
      </w:r>
      <w:r w:rsidR="00EE35E2" w:rsidRPr="004676F5">
        <w:rPr>
          <w:lang w:val="de-DE"/>
        </w:rPr>
        <w:t>Unbeschadet der in Artikel XX.126 vorgesehenen Meldepflicht beantragt der Konkursverwalter durch eine an das Insolvenzgericht gerichtete Antragschrift die Bestellung eines Ad-hoc-Konkursverwalters, insofern dadurch das Auftreten eines Interessen</w:t>
      </w:r>
      <w:r w:rsidR="00EE35E2" w:rsidRPr="004676F5">
        <w:rPr>
          <w:lang w:val="de-DE"/>
        </w:rPr>
        <w:softHyphen/>
        <w:t>konflikts vermieden werden kann. Das Gericht entscheidet nach Bericht des Konkursrichters.</w:t>
      </w:r>
    </w:p>
    <w:p w14:paraId="0D489441" w14:textId="77777777" w:rsidR="00EE35E2" w:rsidRPr="004676F5" w:rsidRDefault="00EE35E2" w:rsidP="00EE35E2">
      <w:pPr>
        <w:ind w:firstLine="708"/>
        <w:jc w:val="both"/>
        <w:rPr>
          <w:lang w:val="de-DE"/>
        </w:rPr>
      </w:pPr>
    </w:p>
    <w:p w14:paraId="346C2894" w14:textId="77777777" w:rsidR="00EE35E2" w:rsidRPr="004676F5" w:rsidRDefault="00EE35E2" w:rsidP="00EE35E2">
      <w:pPr>
        <w:ind w:firstLine="708"/>
        <w:jc w:val="both"/>
        <w:rPr>
          <w:lang w:val="de-DE"/>
        </w:rPr>
      </w:pPr>
      <w:r w:rsidRPr="004676F5">
        <w:rPr>
          <w:lang w:val="de-DE"/>
        </w:rPr>
        <w:t>Das Gericht kann ebenfalls von Amts wegen einen Ad-hoc-Konkursverwalter bestellen. Das in Artikel XX.126 vorgesehene Verfahren ist entsprechend anwendbar.</w:t>
      </w:r>
    </w:p>
    <w:p w14:paraId="345D7AA0" w14:textId="77777777" w:rsidR="00EE35E2" w:rsidRPr="004676F5" w:rsidRDefault="00EE35E2" w:rsidP="00EE35E2">
      <w:pPr>
        <w:ind w:firstLine="708"/>
        <w:jc w:val="both"/>
        <w:rPr>
          <w:lang w:val="de-DE"/>
        </w:rPr>
      </w:pPr>
    </w:p>
    <w:p w14:paraId="01362332" w14:textId="77777777" w:rsidR="00EE35E2" w:rsidRPr="004676F5" w:rsidRDefault="00EE35E2" w:rsidP="00EE35E2">
      <w:pPr>
        <w:ind w:firstLine="708"/>
        <w:jc w:val="both"/>
        <w:rPr>
          <w:lang w:val="de-DE"/>
        </w:rPr>
      </w:pPr>
      <w:r w:rsidRPr="004676F5">
        <w:rPr>
          <w:lang w:val="de-DE"/>
        </w:rPr>
        <w:t>Wenn ein Ad-hoc-Konkursverwalter zur Ersetzung eines Konkursverwalters bestellt wird, muss er die Annahme seines Auftrags über das Register bestätigen. Bei Beendigung seines Auftrags erstellt der Ad-hoc-Konkursverwalter einen Bericht über seine Tätigkeiten und lässt er seine Kostenaufstellung und sein Honorar vom Gericht festsetzen, das nach Anhörung des Konkursrichters und Vernehmung des Konkursverwalters entscheidet.</w:t>
      </w:r>
    </w:p>
    <w:p w14:paraId="14F0EB31" w14:textId="77777777" w:rsidR="00EE35E2" w:rsidRPr="004676F5" w:rsidRDefault="00EE35E2" w:rsidP="00EE35E2">
      <w:pPr>
        <w:ind w:firstLine="708"/>
        <w:jc w:val="both"/>
        <w:rPr>
          <w:lang w:val="de-DE"/>
        </w:rPr>
      </w:pPr>
    </w:p>
    <w:p w14:paraId="797B68DA" w14:textId="77777777" w:rsidR="00EE35E2" w:rsidRPr="004676F5" w:rsidRDefault="00EE35E2" w:rsidP="00EE35E2">
      <w:pPr>
        <w:ind w:firstLine="708"/>
        <w:jc w:val="both"/>
        <w:rPr>
          <w:lang w:val="de-DE"/>
        </w:rPr>
      </w:pPr>
      <w:r w:rsidRPr="004676F5">
        <w:rPr>
          <w:lang w:val="de-DE"/>
        </w:rPr>
        <w:t>Der Konkursverwalter nimmt die Kostenaufstellung und das Honorar des Ad-hoc-Konkursverwalters als Kosten des Konkurses in seiner Schlussabrechnung auf.</w:t>
      </w:r>
    </w:p>
    <w:p w14:paraId="0E72656D" w14:textId="77777777" w:rsidR="00EE35E2" w:rsidRPr="004676F5" w:rsidRDefault="00EE35E2" w:rsidP="00EE35E2">
      <w:pPr>
        <w:ind w:firstLine="708"/>
        <w:jc w:val="both"/>
        <w:rPr>
          <w:lang w:val="de-DE"/>
        </w:rPr>
      </w:pPr>
    </w:p>
    <w:p w14:paraId="55A9C9F5" w14:textId="77777777" w:rsidR="00D11212" w:rsidRPr="004676F5" w:rsidRDefault="00D11212" w:rsidP="00EE35E2">
      <w:pPr>
        <w:ind w:firstLine="708"/>
        <w:jc w:val="both"/>
        <w:rPr>
          <w:lang w:val="de-DE"/>
        </w:rPr>
      </w:pPr>
    </w:p>
    <w:p w14:paraId="6DB5A128" w14:textId="6594A988" w:rsidR="00EE35E2" w:rsidRPr="004676F5" w:rsidRDefault="00BE0A56" w:rsidP="00EE35E2">
      <w:pPr>
        <w:ind w:firstLine="708"/>
        <w:jc w:val="both"/>
        <w:rPr>
          <w:lang w:val="de-DE"/>
        </w:rPr>
      </w:pPr>
      <w:r w:rsidRPr="004676F5">
        <w:rPr>
          <w:b/>
          <w:lang w:val="de-DE"/>
        </w:rPr>
        <w:t>Art. </w:t>
      </w:r>
      <w:r w:rsidR="00EE35E2" w:rsidRPr="004676F5">
        <w:rPr>
          <w:b/>
          <w:lang w:val="de-DE"/>
        </w:rPr>
        <w:t>XX.128</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Konkursverwalter teilen dem Konkursrichter zumindest einmal im Jahr und zum ersten Mal zwölf Monate nach ihrem Amtsantritt einen ausführlichen Bericht über die Lage des Konkurses mit.</w:t>
      </w:r>
    </w:p>
    <w:p w14:paraId="6BF45D9C" w14:textId="77777777" w:rsidR="00EE35E2" w:rsidRPr="004676F5" w:rsidRDefault="00EE35E2" w:rsidP="00EE35E2">
      <w:pPr>
        <w:ind w:firstLine="708"/>
        <w:jc w:val="both"/>
        <w:rPr>
          <w:lang w:val="de-DE"/>
        </w:rPr>
      </w:pPr>
    </w:p>
    <w:p w14:paraId="18B82109" w14:textId="77777777" w:rsidR="00EE35E2" w:rsidRPr="004676F5" w:rsidRDefault="00EE35E2" w:rsidP="00EE35E2">
      <w:pPr>
        <w:ind w:firstLine="708"/>
        <w:jc w:val="both"/>
        <w:rPr>
          <w:lang w:val="de-DE"/>
        </w:rPr>
      </w:pPr>
      <w:r w:rsidRPr="004676F5">
        <w:rPr>
          <w:lang w:val="de-DE"/>
        </w:rPr>
        <w:t>Wird im Laufe des Jahres der Konkurseröffnung ein Antrag auf Abschluss des Konkurs</w:t>
      </w:r>
      <w:r w:rsidRPr="004676F5">
        <w:rPr>
          <w:lang w:val="de-DE"/>
        </w:rPr>
        <w:softHyphen/>
        <w:t>verfahrens hinterlegt, fügt der Konkursverwalter seiner Antragschrift einen Bericht bei.</w:t>
      </w:r>
    </w:p>
    <w:p w14:paraId="6AD81761" w14:textId="77777777" w:rsidR="00EE35E2" w:rsidRPr="004676F5" w:rsidRDefault="00EE35E2" w:rsidP="00EE35E2">
      <w:pPr>
        <w:ind w:firstLine="708"/>
        <w:jc w:val="both"/>
        <w:rPr>
          <w:lang w:val="de-DE"/>
        </w:rPr>
      </w:pPr>
    </w:p>
    <w:p w14:paraId="7F05DE85" w14:textId="158FCBCB" w:rsidR="00EE35E2" w:rsidRPr="004676F5" w:rsidRDefault="00EE35E2" w:rsidP="00EE35E2">
      <w:pPr>
        <w:ind w:firstLine="708"/>
        <w:jc w:val="both"/>
        <w:rPr>
          <w:lang w:val="de-DE"/>
        </w:rPr>
      </w:pPr>
      <w:r w:rsidRPr="004676F5">
        <w:rPr>
          <w:lang w:val="de-DE"/>
        </w:rPr>
        <w:t xml:space="preserve">Dieser Bericht wird in der Konkursakte hinterlegt und enthält unter anderem eine Darlegung der Einnahmen, Angaben zu den Forderungsbeitreibungen und den von dem und gegen den Konkursverwalter </w:t>
      </w:r>
      <w:r w:rsidR="00514DED" w:rsidRPr="004676F5">
        <w:rPr>
          <w:lang w:val="de-DE"/>
        </w:rPr>
        <w:t xml:space="preserve">[in seiner Eigenschaft als Konkursverwalter] </w:t>
      </w:r>
      <w:r w:rsidRPr="004676F5">
        <w:rPr>
          <w:lang w:val="de-DE"/>
        </w:rPr>
        <w:t>eingereichten Klagen, eine Darlegung der Ausgaben, der Verteilungen und der noch zu liquidierenden Aktiva, den Stand der Streitfälle in Bezug auf die Forderungen und eine Aktualisierung des in Artikel XX.134 erwähnten Inventars der Aktiva.</w:t>
      </w:r>
    </w:p>
    <w:p w14:paraId="1F367EF1" w14:textId="77777777" w:rsidR="00EE35E2" w:rsidRPr="004676F5" w:rsidRDefault="00EE35E2" w:rsidP="00EE35E2">
      <w:pPr>
        <w:ind w:firstLine="708"/>
        <w:jc w:val="both"/>
        <w:rPr>
          <w:lang w:val="de-DE"/>
        </w:rPr>
      </w:pPr>
    </w:p>
    <w:p w14:paraId="08B0A950" w14:textId="7F769666"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Konkursverwalter hinterlegen am Ende jedes Kalenderjahres auf jeden Fall eine zusammenfassende Erklärung hinsichtlich der mehrwertsteuerpflichtigen Umsätze.</w:t>
      </w:r>
    </w:p>
    <w:p w14:paraId="7C5C19A8" w14:textId="77777777" w:rsidR="00EE35E2" w:rsidRPr="004676F5" w:rsidRDefault="00EE35E2" w:rsidP="00514DED">
      <w:pPr>
        <w:jc w:val="both"/>
        <w:rPr>
          <w:lang w:val="de-DE"/>
        </w:rPr>
      </w:pPr>
    </w:p>
    <w:p w14:paraId="6D837257" w14:textId="661DEA3B" w:rsidR="00514DED" w:rsidRPr="004676F5" w:rsidRDefault="00514DED" w:rsidP="00514DED">
      <w:pPr>
        <w:jc w:val="both"/>
        <w:rPr>
          <w:i/>
          <w:iCs/>
          <w:lang w:val="de-DE"/>
        </w:rPr>
      </w:pPr>
      <w:r w:rsidRPr="004676F5">
        <w:rPr>
          <w:i/>
          <w:iCs/>
          <w:lang w:val="de-DE"/>
        </w:rPr>
        <w:t>[Art. XX.128 § 1 Abs. 3 abgeändert durch Art. 216 des G. vom 7. Juni 2023 (B.S. vom 7. Juli 2023)]</w:t>
      </w:r>
    </w:p>
    <w:p w14:paraId="745139B0" w14:textId="77777777" w:rsidR="00C2771B" w:rsidRPr="004676F5" w:rsidRDefault="00C2771B" w:rsidP="00EE35E2">
      <w:pPr>
        <w:ind w:firstLine="708"/>
        <w:jc w:val="both"/>
        <w:rPr>
          <w:lang w:val="de-DE"/>
        </w:rPr>
      </w:pPr>
    </w:p>
    <w:p w14:paraId="08E6D7C5" w14:textId="77777777" w:rsidR="00514DED" w:rsidRPr="004676F5" w:rsidRDefault="00514DED" w:rsidP="00EE35E2">
      <w:pPr>
        <w:ind w:firstLine="708"/>
        <w:jc w:val="both"/>
        <w:rPr>
          <w:lang w:val="de-DE"/>
        </w:rPr>
      </w:pPr>
    </w:p>
    <w:p w14:paraId="6B1F1849" w14:textId="316C07F7"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XX.129</w:t>
      </w:r>
      <w:r w:rsidR="00EE35E2" w:rsidRPr="004676F5">
        <w:rPr>
          <w:lang w:val="de-DE"/>
        </w:rPr>
        <w:t> </w:t>
      </w:r>
      <w:r w:rsidR="005B7A5C" w:rsidRPr="004676F5">
        <w:rPr>
          <w:lang w:val="de-DE"/>
        </w:rPr>
        <w:t>- </w:t>
      </w:r>
      <w:r w:rsidR="00EE35E2" w:rsidRPr="004676F5">
        <w:rPr>
          <w:lang w:val="de-DE"/>
        </w:rPr>
        <w:t>Der Konkursrichter ist insbesondere damit beauftragt, Verrichtungen, Verwaltung und Liquidation des Konkurses und insbesondere die Abwicklung der Forderungen der Arbeitnehmer des Konkursschuldners zu beaufsichtigen und beschleunigen; er ordnet dringende Maßnahmen an, die für die Sicherstellung und Aufbewahrung der Güter der Masse erforderlich sind, und führt den Vorsitz der Versammlungen der Konkursgläubiger.</w:t>
      </w:r>
    </w:p>
    <w:p w14:paraId="22F39265" w14:textId="77777777" w:rsidR="00EE35E2" w:rsidRPr="004676F5" w:rsidRDefault="00EE35E2" w:rsidP="00EE35E2">
      <w:pPr>
        <w:ind w:firstLine="708"/>
        <w:jc w:val="both"/>
        <w:rPr>
          <w:lang w:val="de-DE"/>
        </w:rPr>
      </w:pPr>
    </w:p>
    <w:p w14:paraId="7543F97D" w14:textId="77777777" w:rsidR="00EE35E2" w:rsidRPr="004676F5" w:rsidRDefault="00EE35E2" w:rsidP="00EE35E2">
      <w:pPr>
        <w:ind w:firstLine="708"/>
        <w:jc w:val="both"/>
        <w:rPr>
          <w:lang w:val="de-DE"/>
        </w:rPr>
      </w:pPr>
      <w:r w:rsidRPr="004676F5">
        <w:rPr>
          <w:lang w:val="de-DE"/>
        </w:rPr>
        <w:t>Der Konkursrichter kann aus eigener Initiative oder auf Ersuchen des Insolvenzgerichts auf der Sitzung Bericht über alle Streitfälle erstatten, die durch den Konkurs entstanden sind. Zu diesem Zweck setzt der Konkursverwalter den Konkursrichter zeitig von dem Datum der Sitzung in Kenntnis. Der Bericht des Konkursrichters ist Pflicht, wenn das Gesetz es ausdrück</w:t>
      </w:r>
      <w:r w:rsidRPr="004676F5">
        <w:rPr>
          <w:lang w:val="de-DE"/>
        </w:rPr>
        <w:softHyphen/>
        <w:t>lich vorsieht.</w:t>
      </w:r>
    </w:p>
    <w:p w14:paraId="120B6DB4" w14:textId="77777777" w:rsidR="00514DED" w:rsidRPr="004676F5" w:rsidRDefault="00514DED" w:rsidP="00EE35E2">
      <w:pPr>
        <w:ind w:firstLine="708"/>
        <w:jc w:val="both"/>
        <w:rPr>
          <w:lang w:val="de-DE"/>
        </w:rPr>
      </w:pPr>
    </w:p>
    <w:p w14:paraId="4BCA4DB7" w14:textId="5AB1EDAE" w:rsidR="00514DED" w:rsidRPr="004676F5" w:rsidRDefault="00514DED" w:rsidP="00EE35E2">
      <w:pPr>
        <w:ind w:firstLine="708"/>
        <w:jc w:val="both"/>
        <w:rPr>
          <w:lang w:val="de-DE"/>
        </w:rPr>
      </w:pPr>
      <w:r w:rsidRPr="004676F5">
        <w:rPr>
          <w:lang w:val="de-DE"/>
        </w:rPr>
        <w:t>[Das Insolvenzgericht kann jederzeit den Konkursrichter durch ein anderes seiner Mitglieder ersetzen.]</w:t>
      </w:r>
    </w:p>
    <w:p w14:paraId="4BC73795" w14:textId="77777777" w:rsidR="00EE35E2" w:rsidRPr="004676F5" w:rsidRDefault="00EE35E2" w:rsidP="00EE35E2">
      <w:pPr>
        <w:ind w:firstLine="708"/>
        <w:jc w:val="both"/>
        <w:rPr>
          <w:lang w:val="de-DE"/>
        </w:rPr>
      </w:pPr>
    </w:p>
    <w:p w14:paraId="34AC1CAE" w14:textId="4EBBBF6D" w:rsidR="00EE35E2" w:rsidRPr="004676F5" w:rsidRDefault="00EE35E2" w:rsidP="00EE35E2">
      <w:pPr>
        <w:ind w:firstLine="708"/>
        <w:jc w:val="both"/>
        <w:rPr>
          <w:lang w:val="de-DE"/>
        </w:rPr>
      </w:pPr>
      <w:r w:rsidRPr="004676F5">
        <w:rPr>
          <w:lang w:val="de-DE"/>
        </w:rPr>
        <w:t xml:space="preserve">Bei </w:t>
      </w:r>
      <w:r w:rsidR="00514DED" w:rsidRPr="004676F5">
        <w:rPr>
          <w:lang w:val="de-DE"/>
        </w:rPr>
        <w:t xml:space="preserve">[zeitweiliger] </w:t>
      </w:r>
      <w:r w:rsidRPr="004676F5">
        <w:rPr>
          <w:lang w:val="de-DE"/>
        </w:rPr>
        <w:t>Verhinderung des Konkursrichters ordnet der Gerichtspräsident seine Ersetzung an.</w:t>
      </w:r>
    </w:p>
    <w:p w14:paraId="49D518FA" w14:textId="77777777" w:rsidR="00EE35E2" w:rsidRPr="004676F5" w:rsidRDefault="00EE35E2" w:rsidP="00EE35E2">
      <w:pPr>
        <w:ind w:firstLine="708"/>
        <w:jc w:val="both"/>
        <w:rPr>
          <w:lang w:val="de-DE"/>
        </w:rPr>
      </w:pPr>
    </w:p>
    <w:p w14:paraId="0F2BF987" w14:textId="77777777" w:rsidR="00EE35E2" w:rsidRPr="004676F5" w:rsidRDefault="00EE35E2" w:rsidP="00EE35E2">
      <w:pPr>
        <w:ind w:firstLine="708"/>
        <w:jc w:val="both"/>
        <w:rPr>
          <w:lang w:val="de-DE"/>
        </w:rPr>
      </w:pPr>
      <w:r w:rsidRPr="004676F5">
        <w:rPr>
          <w:lang w:val="de-DE"/>
        </w:rPr>
        <w:t>Wenn der Konkursrichter über die durch den Konkurs entstandenen Streitfälle Bericht erstattet, kann er dem Spruchkörper nicht angehören.</w:t>
      </w:r>
    </w:p>
    <w:p w14:paraId="25106731" w14:textId="77777777" w:rsidR="00EE35E2" w:rsidRPr="004676F5" w:rsidRDefault="00EE35E2" w:rsidP="00EE35E2">
      <w:pPr>
        <w:ind w:firstLine="708"/>
        <w:jc w:val="both"/>
        <w:rPr>
          <w:lang w:val="de-DE"/>
        </w:rPr>
      </w:pPr>
    </w:p>
    <w:p w14:paraId="015390A8" w14:textId="77777777" w:rsidR="00EE35E2" w:rsidRPr="004676F5" w:rsidRDefault="00EE35E2" w:rsidP="00EE35E2">
      <w:pPr>
        <w:ind w:firstLine="708"/>
        <w:jc w:val="both"/>
        <w:rPr>
          <w:lang w:val="de-DE"/>
        </w:rPr>
      </w:pPr>
      <w:r w:rsidRPr="004676F5">
        <w:rPr>
          <w:lang w:val="de-DE"/>
        </w:rPr>
        <w:t>Der Konkursrichter kann außerhalb seines Amtsbereichs alle zu seinem Auftrag gehörenden Handlungen vornehmen, wenn er der Meinung ist, es sei aufgrund der Ernsthaftigkeit oder Dringlichkeit des Falls erforderlich.</w:t>
      </w:r>
    </w:p>
    <w:p w14:paraId="7DE125F0" w14:textId="77777777" w:rsidR="00EE35E2" w:rsidRPr="004676F5" w:rsidRDefault="00EE35E2" w:rsidP="00EE35E2">
      <w:pPr>
        <w:ind w:firstLine="708"/>
        <w:jc w:val="both"/>
        <w:rPr>
          <w:lang w:val="de-DE"/>
        </w:rPr>
      </w:pPr>
    </w:p>
    <w:p w14:paraId="41796F23" w14:textId="77777777" w:rsidR="00EE35E2" w:rsidRPr="004676F5" w:rsidRDefault="00EE35E2" w:rsidP="00EE35E2">
      <w:pPr>
        <w:ind w:firstLine="708"/>
        <w:jc w:val="both"/>
        <w:rPr>
          <w:lang w:val="de-DE"/>
        </w:rPr>
      </w:pPr>
      <w:r w:rsidRPr="004676F5">
        <w:rPr>
          <w:lang w:val="de-DE"/>
        </w:rPr>
        <w:t>Beschlüsse des Konkursrichters werden mit Gründen versehen.</w:t>
      </w:r>
    </w:p>
    <w:p w14:paraId="6AA955F9" w14:textId="77777777" w:rsidR="00EE35E2" w:rsidRPr="004676F5" w:rsidRDefault="00EE35E2" w:rsidP="00514DED">
      <w:pPr>
        <w:jc w:val="both"/>
        <w:rPr>
          <w:lang w:val="de-DE"/>
        </w:rPr>
      </w:pPr>
    </w:p>
    <w:p w14:paraId="3A8A93E4" w14:textId="2B99ECA0" w:rsidR="00514DED" w:rsidRPr="004676F5" w:rsidRDefault="00514DED" w:rsidP="00514DED">
      <w:pPr>
        <w:jc w:val="both"/>
        <w:rPr>
          <w:i/>
          <w:iCs/>
          <w:lang w:val="de-DE"/>
        </w:rPr>
      </w:pPr>
      <w:r w:rsidRPr="004676F5">
        <w:rPr>
          <w:i/>
          <w:iCs/>
          <w:lang w:val="de-DE"/>
        </w:rPr>
        <w:t>[Art. XX.129 neuer Absatz 3 eingefügt durch Art. 217 Nr. 1 des G. vom 7. Juni 2023 (B.S. vom 7. Juli 2023); Abs. 4 abgeändert durch Art. 217 Nr. 2 des G. vom 7. Juni 2023 (B.S. vom 7. Juli 2023)]</w:t>
      </w:r>
    </w:p>
    <w:p w14:paraId="5FB342A7" w14:textId="77777777" w:rsidR="00514DED" w:rsidRPr="004676F5" w:rsidRDefault="00514DED" w:rsidP="00514DED">
      <w:pPr>
        <w:jc w:val="both"/>
        <w:rPr>
          <w:i/>
          <w:iCs/>
          <w:lang w:val="de-DE"/>
        </w:rPr>
      </w:pPr>
    </w:p>
    <w:p w14:paraId="7D541D80" w14:textId="77777777" w:rsidR="00C2771B" w:rsidRPr="004676F5" w:rsidRDefault="00C2771B" w:rsidP="00EE35E2">
      <w:pPr>
        <w:ind w:firstLine="708"/>
        <w:jc w:val="both"/>
        <w:rPr>
          <w:lang w:val="de-DE"/>
        </w:rPr>
      </w:pPr>
    </w:p>
    <w:p w14:paraId="1EFCB4DB" w14:textId="2C1B8E6D" w:rsidR="00EE35E2" w:rsidRPr="004676F5" w:rsidRDefault="00BE0A56" w:rsidP="00EE35E2">
      <w:pPr>
        <w:ind w:firstLine="708"/>
        <w:jc w:val="both"/>
        <w:rPr>
          <w:lang w:val="de-DE"/>
        </w:rPr>
      </w:pPr>
      <w:r w:rsidRPr="004676F5">
        <w:rPr>
          <w:b/>
          <w:lang w:val="de-DE"/>
        </w:rPr>
        <w:t>Art. </w:t>
      </w:r>
      <w:r w:rsidR="00EE35E2" w:rsidRPr="004676F5">
        <w:rPr>
          <w:b/>
          <w:lang w:val="de-DE"/>
        </w:rPr>
        <w:t>XX.130</w:t>
      </w:r>
      <w:r w:rsidR="00EE35E2" w:rsidRPr="004676F5">
        <w:rPr>
          <w:lang w:val="de-DE"/>
        </w:rPr>
        <w:t> </w:t>
      </w:r>
      <w:r w:rsidR="005B7A5C" w:rsidRPr="004676F5">
        <w:rPr>
          <w:lang w:val="de-DE"/>
        </w:rPr>
        <w:t>- </w:t>
      </w:r>
      <w:r w:rsidR="00EE35E2" w:rsidRPr="004676F5">
        <w:rPr>
          <w:lang w:val="de-DE"/>
        </w:rPr>
        <w:t>Unbeschadet des Artikels XX.18 kann der Prokurator des Königs bei allen Verrichtungen des Konkurses anwesend sein und sich von den Konkursverwaltern jegliche Informationen geben lassen, die er für nützlich hält.</w:t>
      </w:r>
    </w:p>
    <w:p w14:paraId="5FB30B0D" w14:textId="77777777" w:rsidR="00C2771B" w:rsidRPr="004676F5" w:rsidRDefault="00C2771B" w:rsidP="00C2771B">
      <w:pPr>
        <w:rPr>
          <w:i/>
          <w:lang w:val="de-DE"/>
        </w:rPr>
      </w:pPr>
    </w:p>
    <w:p w14:paraId="72BBD53A" w14:textId="77777777" w:rsidR="00C2771B" w:rsidRPr="004676F5" w:rsidRDefault="00C2771B" w:rsidP="00C2771B">
      <w:pPr>
        <w:rPr>
          <w:i/>
          <w:lang w:val="de-DE"/>
        </w:rPr>
      </w:pPr>
    </w:p>
    <w:p w14:paraId="2AEFF44E" w14:textId="33EB19B7" w:rsidR="00EE35E2" w:rsidRPr="004676F5" w:rsidRDefault="00EE35E2" w:rsidP="00C2771B">
      <w:pPr>
        <w:jc w:val="center"/>
        <w:rPr>
          <w:lang w:val="de-DE"/>
        </w:rPr>
      </w:pPr>
      <w:r w:rsidRPr="004676F5">
        <w:rPr>
          <w:i/>
          <w:lang w:val="de-DE"/>
        </w:rPr>
        <w:t>Abschnitt 3 </w:t>
      </w:r>
      <w:r w:rsidR="005B7A5C" w:rsidRPr="004676F5">
        <w:rPr>
          <w:i/>
          <w:lang w:val="de-DE"/>
        </w:rPr>
        <w:t>- </w:t>
      </w:r>
      <w:r w:rsidRPr="004676F5">
        <w:rPr>
          <w:lang w:val="de-DE"/>
        </w:rPr>
        <w:t>Konkursverwaltung</w:t>
      </w:r>
    </w:p>
    <w:p w14:paraId="527C0CE8" w14:textId="77777777" w:rsidR="00EE35E2" w:rsidRPr="004676F5" w:rsidRDefault="00EE35E2" w:rsidP="00EE35E2">
      <w:pPr>
        <w:jc w:val="both"/>
        <w:rPr>
          <w:lang w:val="de-DE"/>
        </w:rPr>
      </w:pPr>
    </w:p>
    <w:p w14:paraId="7C07FF70" w14:textId="77777777" w:rsidR="00C2771B" w:rsidRPr="004676F5" w:rsidRDefault="00C2771B" w:rsidP="00EE35E2">
      <w:pPr>
        <w:jc w:val="both"/>
        <w:rPr>
          <w:lang w:val="de-DE"/>
        </w:rPr>
      </w:pPr>
    </w:p>
    <w:p w14:paraId="59DF5FC0" w14:textId="2810FB14" w:rsidR="00EE35E2" w:rsidRPr="004676F5" w:rsidRDefault="00BE0A56" w:rsidP="00EE35E2">
      <w:pPr>
        <w:ind w:firstLine="708"/>
        <w:jc w:val="both"/>
        <w:rPr>
          <w:lang w:val="de-DE"/>
        </w:rPr>
      </w:pPr>
      <w:r w:rsidRPr="004676F5">
        <w:rPr>
          <w:b/>
          <w:lang w:val="de-DE"/>
        </w:rPr>
        <w:t>Art. </w:t>
      </w:r>
      <w:r w:rsidR="00EE35E2" w:rsidRPr="004676F5">
        <w:rPr>
          <w:b/>
          <w:lang w:val="de-DE"/>
        </w:rPr>
        <w:t>XX.131</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Im Register wird für jeden Konkurs eine Akte geführt, die zumindest Folgendes enthält:</w:t>
      </w:r>
    </w:p>
    <w:p w14:paraId="69693086" w14:textId="77777777" w:rsidR="00EE35E2" w:rsidRPr="004676F5" w:rsidRDefault="00EE35E2" w:rsidP="00EE35E2">
      <w:pPr>
        <w:ind w:firstLine="708"/>
        <w:jc w:val="both"/>
        <w:rPr>
          <w:lang w:val="de-DE"/>
        </w:rPr>
      </w:pPr>
    </w:p>
    <w:p w14:paraId="0377747A" w14:textId="77777777" w:rsidR="00EE35E2" w:rsidRPr="004676F5" w:rsidRDefault="00EE35E2" w:rsidP="00EE35E2">
      <w:pPr>
        <w:ind w:firstLine="708"/>
        <w:jc w:val="both"/>
        <w:rPr>
          <w:lang w:val="de-DE"/>
        </w:rPr>
      </w:pPr>
      <w:r w:rsidRPr="004676F5">
        <w:rPr>
          <w:lang w:val="de-DE"/>
        </w:rPr>
        <w:t>1. beglaubigte Abschrift des Konkurseröffnungsurteils, des Urteils zur Festlegung des Datums der Zahlungseinstellung und der Entscheidungen, die nach Einlegung der Rechtsmittel gegen diese Urteile gefällt worden sind,</w:t>
      </w:r>
    </w:p>
    <w:p w14:paraId="18BC2019" w14:textId="77777777" w:rsidR="00EE35E2" w:rsidRPr="004676F5" w:rsidRDefault="00EE35E2" w:rsidP="00EE35E2">
      <w:pPr>
        <w:ind w:firstLine="708"/>
        <w:jc w:val="both"/>
        <w:rPr>
          <w:lang w:val="de-DE"/>
        </w:rPr>
      </w:pPr>
    </w:p>
    <w:p w14:paraId="04282645" w14:textId="77777777" w:rsidR="00EE35E2" w:rsidRPr="004676F5" w:rsidRDefault="00EE35E2" w:rsidP="00EE35E2">
      <w:pPr>
        <w:ind w:firstLine="708"/>
        <w:jc w:val="both"/>
        <w:rPr>
          <w:lang w:val="de-DE"/>
        </w:rPr>
      </w:pPr>
      <w:r w:rsidRPr="004676F5">
        <w:rPr>
          <w:lang w:val="de-DE"/>
        </w:rPr>
        <w:t>2. Auszüge aus den in vorliegendem Titel erwähnten Veröffentlichungen,</w:t>
      </w:r>
    </w:p>
    <w:p w14:paraId="1350C79D" w14:textId="77777777" w:rsidR="00EE35E2" w:rsidRPr="004676F5" w:rsidRDefault="00EE35E2" w:rsidP="00EE35E2">
      <w:pPr>
        <w:ind w:firstLine="708"/>
        <w:jc w:val="both"/>
        <w:rPr>
          <w:lang w:val="de-DE"/>
        </w:rPr>
      </w:pPr>
    </w:p>
    <w:p w14:paraId="1D067B66" w14:textId="77777777" w:rsidR="00EE35E2" w:rsidRPr="004676F5" w:rsidRDefault="00EE35E2" w:rsidP="00EE35E2">
      <w:pPr>
        <w:ind w:firstLine="708"/>
        <w:jc w:val="both"/>
        <w:rPr>
          <w:lang w:val="de-DE"/>
        </w:rPr>
      </w:pPr>
      <w:r w:rsidRPr="004676F5">
        <w:rPr>
          <w:lang w:val="de-DE"/>
        </w:rPr>
        <w:t>3. von den Konkursrichtern getroffene Beschlüsse,</w:t>
      </w:r>
    </w:p>
    <w:p w14:paraId="1CB8B5B9" w14:textId="77777777" w:rsidR="00EE35E2" w:rsidRPr="004676F5" w:rsidRDefault="00EE35E2" w:rsidP="00EE35E2">
      <w:pPr>
        <w:ind w:firstLine="708"/>
        <w:jc w:val="both"/>
        <w:rPr>
          <w:lang w:val="de-DE"/>
        </w:rPr>
      </w:pPr>
    </w:p>
    <w:p w14:paraId="7520407D" w14:textId="77777777" w:rsidR="00EE35E2" w:rsidRPr="004676F5" w:rsidRDefault="00EE35E2" w:rsidP="00EE35E2">
      <w:pPr>
        <w:ind w:firstLine="708"/>
        <w:jc w:val="both"/>
        <w:rPr>
          <w:lang w:val="de-DE"/>
        </w:rPr>
      </w:pPr>
      <w:r w:rsidRPr="004676F5">
        <w:rPr>
          <w:lang w:val="de-DE"/>
        </w:rPr>
        <w:t>4. gegebenenfalls Protokoll über den Ortstermin und in Artikel XX.134 erwähntes Inventar,</w:t>
      </w:r>
    </w:p>
    <w:p w14:paraId="7156E3C8" w14:textId="77777777" w:rsidR="00EE35E2" w:rsidRPr="004676F5" w:rsidRDefault="00EE35E2" w:rsidP="00EE35E2">
      <w:pPr>
        <w:ind w:firstLine="708"/>
        <w:jc w:val="both"/>
        <w:rPr>
          <w:lang w:val="de-DE"/>
        </w:rPr>
      </w:pPr>
    </w:p>
    <w:p w14:paraId="2D6D70E9" w14:textId="77777777" w:rsidR="00EE35E2" w:rsidRPr="004676F5" w:rsidRDefault="00EE35E2" w:rsidP="00EE35E2">
      <w:pPr>
        <w:ind w:firstLine="708"/>
        <w:jc w:val="both"/>
        <w:rPr>
          <w:lang w:val="de-DE"/>
        </w:rPr>
      </w:pPr>
      <w:r w:rsidRPr="004676F5">
        <w:rPr>
          <w:lang w:val="de-DE"/>
        </w:rPr>
        <w:t>5. Forderungsanmeldungen und ihre Anlagen,</w:t>
      </w:r>
    </w:p>
    <w:p w14:paraId="5A915ADB" w14:textId="77777777" w:rsidR="00EE35E2" w:rsidRPr="004676F5" w:rsidRDefault="00EE35E2" w:rsidP="00EE35E2">
      <w:pPr>
        <w:ind w:firstLine="708"/>
        <w:jc w:val="both"/>
        <w:rPr>
          <w:lang w:val="de-DE"/>
        </w:rPr>
      </w:pPr>
    </w:p>
    <w:p w14:paraId="155776F3" w14:textId="77777777" w:rsidR="00EE35E2" w:rsidRPr="004676F5" w:rsidRDefault="00EE35E2" w:rsidP="00EE35E2">
      <w:pPr>
        <w:ind w:firstLine="708"/>
        <w:jc w:val="both"/>
        <w:rPr>
          <w:lang w:val="de-DE"/>
        </w:rPr>
      </w:pPr>
      <w:r w:rsidRPr="004676F5">
        <w:rPr>
          <w:lang w:val="de-DE"/>
        </w:rPr>
        <w:t>6. Protokolle über die Prüfung der Forderungen,</w:t>
      </w:r>
    </w:p>
    <w:p w14:paraId="577B17A0" w14:textId="77777777" w:rsidR="00EE35E2" w:rsidRPr="004676F5" w:rsidRDefault="00EE35E2" w:rsidP="00EE35E2">
      <w:pPr>
        <w:ind w:firstLine="708"/>
        <w:jc w:val="both"/>
        <w:rPr>
          <w:lang w:val="de-DE"/>
        </w:rPr>
      </w:pPr>
    </w:p>
    <w:p w14:paraId="28463CAD" w14:textId="77777777" w:rsidR="00EE35E2" w:rsidRPr="004676F5" w:rsidRDefault="00EE35E2" w:rsidP="00EE35E2">
      <w:pPr>
        <w:ind w:firstLine="708"/>
        <w:jc w:val="both"/>
        <w:rPr>
          <w:lang w:val="de-DE"/>
        </w:rPr>
      </w:pPr>
      <w:r w:rsidRPr="004676F5">
        <w:rPr>
          <w:lang w:val="de-DE"/>
        </w:rPr>
        <w:t>7. in Artikel XX.164 vorgesehene Tabelle,</w:t>
      </w:r>
    </w:p>
    <w:p w14:paraId="299293BD" w14:textId="77777777" w:rsidR="00EE35E2" w:rsidRPr="004676F5" w:rsidRDefault="00EE35E2" w:rsidP="00EE35E2">
      <w:pPr>
        <w:ind w:firstLine="708"/>
        <w:jc w:val="both"/>
        <w:rPr>
          <w:lang w:val="de-DE"/>
        </w:rPr>
      </w:pPr>
    </w:p>
    <w:p w14:paraId="773A79CC" w14:textId="77A5FDD8" w:rsidR="00EE35E2" w:rsidRPr="004676F5" w:rsidRDefault="00EE35E2" w:rsidP="00EE35E2">
      <w:pPr>
        <w:ind w:firstLine="708"/>
        <w:jc w:val="both"/>
        <w:rPr>
          <w:lang w:val="de-DE"/>
        </w:rPr>
      </w:pPr>
      <w:r w:rsidRPr="004676F5">
        <w:rPr>
          <w:lang w:val="de-DE"/>
        </w:rPr>
        <w:t xml:space="preserve">8. von den Konkursverwaltern erstellte Berichte und Verteilungspläne, die </w:t>
      </w:r>
      <w:r w:rsidR="00514DED" w:rsidRPr="004676F5">
        <w:rPr>
          <w:lang w:val="de-DE"/>
        </w:rPr>
        <w:t>[in den Artikeln XX.128, XX.135, XX.168, XX.171 und XX.192]</w:t>
      </w:r>
      <w:r w:rsidRPr="004676F5">
        <w:rPr>
          <w:lang w:val="de-DE"/>
        </w:rPr>
        <w:t xml:space="preserve"> erwähnt sind,</w:t>
      </w:r>
    </w:p>
    <w:p w14:paraId="195F7389" w14:textId="77777777" w:rsidR="00EE35E2" w:rsidRPr="004676F5" w:rsidRDefault="00EE35E2" w:rsidP="00EE35E2">
      <w:pPr>
        <w:ind w:firstLine="708"/>
        <w:jc w:val="both"/>
        <w:rPr>
          <w:lang w:val="de-DE"/>
        </w:rPr>
      </w:pPr>
    </w:p>
    <w:p w14:paraId="7DDFFBF3" w14:textId="77777777" w:rsidR="00EE35E2" w:rsidRPr="004676F5" w:rsidRDefault="00EE35E2" w:rsidP="00EE35E2">
      <w:pPr>
        <w:ind w:firstLine="708"/>
        <w:jc w:val="both"/>
        <w:rPr>
          <w:lang w:val="de-DE"/>
        </w:rPr>
      </w:pPr>
      <w:r w:rsidRPr="004676F5">
        <w:rPr>
          <w:lang w:val="de-DE"/>
        </w:rPr>
        <w:t>9. in Artikel XX.147 erwähnte Bilanz,</w:t>
      </w:r>
    </w:p>
    <w:p w14:paraId="14D1876D" w14:textId="77777777" w:rsidR="00EE35E2" w:rsidRPr="004676F5" w:rsidRDefault="00EE35E2" w:rsidP="00EE35E2">
      <w:pPr>
        <w:ind w:firstLine="708"/>
        <w:jc w:val="both"/>
        <w:rPr>
          <w:lang w:val="de-DE"/>
        </w:rPr>
      </w:pPr>
    </w:p>
    <w:p w14:paraId="454514AC" w14:textId="77777777" w:rsidR="00EE35E2" w:rsidRPr="004676F5" w:rsidRDefault="00EE35E2" w:rsidP="00EE35E2">
      <w:pPr>
        <w:ind w:firstLine="708"/>
        <w:jc w:val="both"/>
        <w:rPr>
          <w:lang w:val="de-DE"/>
        </w:rPr>
      </w:pPr>
      <w:r w:rsidRPr="004676F5">
        <w:rPr>
          <w:lang w:val="de-DE"/>
        </w:rPr>
        <w:t>10. Liste der Vergleiche und Homologierungen, die in Artikel XX.151 erwähnt sind,</w:t>
      </w:r>
    </w:p>
    <w:p w14:paraId="0636ED8B" w14:textId="77777777" w:rsidR="00EE35E2" w:rsidRPr="004676F5" w:rsidRDefault="00EE35E2" w:rsidP="00EE35E2">
      <w:pPr>
        <w:ind w:firstLine="708"/>
        <w:jc w:val="both"/>
        <w:rPr>
          <w:lang w:val="de-DE"/>
        </w:rPr>
      </w:pPr>
    </w:p>
    <w:p w14:paraId="0443A5EC" w14:textId="77777777" w:rsidR="00EE35E2" w:rsidRPr="004676F5" w:rsidRDefault="00EE35E2" w:rsidP="00EE35E2">
      <w:pPr>
        <w:ind w:firstLine="708"/>
        <w:jc w:val="both"/>
        <w:rPr>
          <w:lang w:val="de-DE"/>
        </w:rPr>
      </w:pPr>
      <w:r w:rsidRPr="004676F5">
        <w:rPr>
          <w:lang w:val="de-DE"/>
        </w:rPr>
        <w:t>11. in Artikel XX.170 erwähnte vereinfachte Rechnung.</w:t>
      </w:r>
    </w:p>
    <w:p w14:paraId="3240F998" w14:textId="77777777" w:rsidR="00EE35E2" w:rsidRPr="004676F5" w:rsidRDefault="00EE35E2" w:rsidP="00EE35E2">
      <w:pPr>
        <w:ind w:firstLine="708"/>
        <w:jc w:val="both"/>
        <w:rPr>
          <w:lang w:val="de-DE"/>
        </w:rPr>
      </w:pPr>
    </w:p>
    <w:p w14:paraId="01B4122A" w14:textId="0C50F522"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Schuldner und Gläubiger, die eine Forderung angemeldet haben, haben gemäß Artikel XX.18 Fernzugang zu der Konkursakte. Andere Interessehabende beantragen einen solchen Zugang über das Register beim Konkursrichter, der durch Beschluss diesen Zugang gewährt oder ablehnt.</w:t>
      </w:r>
    </w:p>
    <w:p w14:paraId="742995D8" w14:textId="77777777" w:rsidR="00EE35E2" w:rsidRPr="004676F5" w:rsidRDefault="00EE35E2" w:rsidP="00EE35E2">
      <w:pPr>
        <w:ind w:firstLine="708"/>
        <w:jc w:val="both"/>
        <w:rPr>
          <w:lang w:val="de-DE"/>
        </w:rPr>
      </w:pPr>
    </w:p>
    <w:p w14:paraId="7A666F56" w14:textId="77777777" w:rsidR="00EE35E2" w:rsidRPr="004676F5" w:rsidRDefault="00EE35E2" w:rsidP="00EE35E2">
      <w:pPr>
        <w:ind w:firstLine="708"/>
        <w:jc w:val="both"/>
        <w:rPr>
          <w:lang w:val="de-DE"/>
        </w:rPr>
      </w:pPr>
      <w:r w:rsidRPr="004676F5">
        <w:rPr>
          <w:lang w:val="de-DE"/>
        </w:rPr>
        <w:t>Interessehabende können beim Konkursverwalter gegen Zahlung einer Gebühr wie in Artikel XX.19 vorgesehen eine materielle Kopie der Dateien aus dem Register, die nicht unter das Berufsgeheimnis oder Geschäftsgeheimnis fallen, erhalten.</w:t>
      </w:r>
    </w:p>
    <w:p w14:paraId="46CA2E5A" w14:textId="77777777" w:rsidR="00EE35E2" w:rsidRPr="004676F5" w:rsidRDefault="00EE35E2" w:rsidP="00EE35E2">
      <w:pPr>
        <w:ind w:firstLine="708"/>
        <w:jc w:val="both"/>
        <w:rPr>
          <w:lang w:val="de-DE"/>
        </w:rPr>
      </w:pPr>
    </w:p>
    <w:p w14:paraId="55611321" w14:textId="77777777" w:rsidR="00EE35E2" w:rsidRPr="004676F5" w:rsidRDefault="00EE35E2" w:rsidP="00EE35E2">
      <w:pPr>
        <w:ind w:firstLine="708"/>
        <w:jc w:val="both"/>
        <w:rPr>
          <w:lang w:val="de-DE"/>
        </w:rPr>
      </w:pPr>
      <w:r w:rsidRPr="004676F5">
        <w:rPr>
          <w:lang w:val="de-DE"/>
        </w:rPr>
        <w:t>Der König legt fest, wie vorliegender Paragraph angewendet wird.</w:t>
      </w:r>
    </w:p>
    <w:p w14:paraId="77591BBA" w14:textId="77777777" w:rsidR="00514DED" w:rsidRPr="004676F5" w:rsidRDefault="00514DED" w:rsidP="00514DED">
      <w:pPr>
        <w:jc w:val="both"/>
        <w:rPr>
          <w:lang w:val="de-DE"/>
        </w:rPr>
      </w:pPr>
    </w:p>
    <w:p w14:paraId="2CA9979D" w14:textId="55CFC4EF" w:rsidR="00514DED" w:rsidRPr="004676F5" w:rsidRDefault="00514DED" w:rsidP="00514DED">
      <w:pPr>
        <w:jc w:val="both"/>
        <w:rPr>
          <w:i/>
          <w:iCs/>
          <w:lang w:val="de-DE"/>
        </w:rPr>
      </w:pPr>
      <w:r w:rsidRPr="004676F5">
        <w:rPr>
          <w:i/>
          <w:iCs/>
          <w:lang w:val="de-DE"/>
        </w:rPr>
        <w:t>[Art. XX.131 § 1 einziger Absatz Nr. 8 abgeändert durch Art. 218 des G. vom 7. Juni 2023 (B.S. vom 7. Juli 2023)]</w:t>
      </w:r>
    </w:p>
    <w:p w14:paraId="0827AA10" w14:textId="77777777" w:rsidR="00EE35E2" w:rsidRPr="004676F5" w:rsidRDefault="00EE35E2" w:rsidP="00EE35E2">
      <w:pPr>
        <w:ind w:firstLine="708"/>
        <w:jc w:val="both"/>
        <w:rPr>
          <w:lang w:val="de-DE"/>
        </w:rPr>
      </w:pPr>
    </w:p>
    <w:p w14:paraId="74B3EFD1" w14:textId="77777777" w:rsidR="00C2771B" w:rsidRPr="004676F5" w:rsidRDefault="00C2771B" w:rsidP="00EE35E2">
      <w:pPr>
        <w:ind w:firstLine="708"/>
        <w:jc w:val="both"/>
        <w:rPr>
          <w:lang w:val="de-DE"/>
        </w:rPr>
      </w:pPr>
    </w:p>
    <w:p w14:paraId="3604141F" w14:textId="50229398" w:rsidR="00EE35E2" w:rsidRPr="004676F5" w:rsidRDefault="00BE0A56" w:rsidP="00EE35E2">
      <w:pPr>
        <w:ind w:firstLine="708"/>
        <w:jc w:val="both"/>
        <w:rPr>
          <w:lang w:val="de-DE"/>
        </w:rPr>
      </w:pPr>
      <w:r w:rsidRPr="004676F5">
        <w:rPr>
          <w:b/>
          <w:lang w:val="de-DE"/>
        </w:rPr>
        <w:t>Art. </w:t>
      </w:r>
      <w:r w:rsidR="00EE35E2" w:rsidRPr="004676F5">
        <w:rPr>
          <w:b/>
          <w:lang w:val="de-DE"/>
        </w:rPr>
        <w:t>XX.132</w:t>
      </w:r>
      <w:r w:rsidR="00EE35E2" w:rsidRPr="004676F5">
        <w:rPr>
          <w:lang w:val="de-DE"/>
        </w:rPr>
        <w:t> </w:t>
      </w:r>
      <w:r w:rsidR="005B7A5C" w:rsidRPr="004676F5">
        <w:rPr>
          <w:lang w:val="de-DE"/>
        </w:rPr>
        <w:t>- </w:t>
      </w:r>
      <w:r w:rsidR="00EE35E2" w:rsidRPr="004676F5">
        <w:rPr>
          <w:lang w:val="de-DE"/>
        </w:rPr>
        <w:t>Die Konkursverwalter treten unverzüglich nach dem Konkurseröffnungs</w:t>
      </w:r>
      <w:r w:rsidR="00EE35E2" w:rsidRPr="004676F5">
        <w:rPr>
          <w:lang w:val="de-DE"/>
        </w:rPr>
        <w:softHyphen/>
        <w:t>urteil ihr Amt an, nachdem sie ihren Amtsantritt bestätigt haben.</w:t>
      </w:r>
    </w:p>
    <w:p w14:paraId="5584B204" w14:textId="77777777" w:rsidR="00EE35E2" w:rsidRPr="004676F5" w:rsidRDefault="00EE35E2" w:rsidP="00EE35E2">
      <w:pPr>
        <w:ind w:firstLine="708"/>
        <w:jc w:val="both"/>
        <w:rPr>
          <w:lang w:val="de-DE"/>
        </w:rPr>
      </w:pPr>
    </w:p>
    <w:p w14:paraId="5EAE2B9A" w14:textId="77777777" w:rsidR="00EE35E2" w:rsidRPr="004676F5" w:rsidRDefault="00EE35E2" w:rsidP="00EE35E2">
      <w:pPr>
        <w:ind w:firstLine="708"/>
        <w:jc w:val="both"/>
        <w:rPr>
          <w:lang w:val="de-DE"/>
        </w:rPr>
      </w:pPr>
      <w:r w:rsidRPr="004676F5">
        <w:rPr>
          <w:lang w:val="de-DE"/>
        </w:rPr>
        <w:t>Sie verwalten den Konkurs mit der Sorgfalt eines guten Familienvaters unter Aufsicht des Konkursrichters.</w:t>
      </w:r>
    </w:p>
    <w:p w14:paraId="5ACB9F37" w14:textId="77777777" w:rsidR="00EE35E2" w:rsidRPr="004676F5" w:rsidRDefault="00EE35E2" w:rsidP="00EE35E2">
      <w:pPr>
        <w:ind w:firstLine="708"/>
        <w:jc w:val="both"/>
        <w:rPr>
          <w:lang w:val="de-DE"/>
        </w:rPr>
      </w:pPr>
    </w:p>
    <w:p w14:paraId="50A7ECE0" w14:textId="77777777" w:rsidR="00EE35E2" w:rsidRPr="004676F5" w:rsidRDefault="00EE35E2" w:rsidP="00EE35E2">
      <w:pPr>
        <w:ind w:firstLine="708"/>
        <w:jc w:val="both"/>
        <w:rPr>
          <w:lang w:val="de-DE"/>
        </w:rPr>
      </w:pPr>
      <w:r w:rsidRPr="004676F5">
        <w:rPr>
          <w:lang w:val="de-DE"/>
        </w:rPr>
        <w:t>Die Konkursverwalter arbeiten aktiv und vorrangig an der Feststellung des Betrags der Forderungen mit, die von den Arbeitnehmern des in Konkurs geratenen Unternehmens angemeldet werden.</w:t>
      </w:r>
    </w:p>
    <w:p w14:paraId="55373CCB" w14:textId="77777777" w:rsidR="00EE35E2" w:rsidRPr="004676F5" w:rsidRDefault="00EE35E2" w:rsidP="00EE35E2">
      <w:pPr>
        <w:ind w:firstLine="708"/>
        <w:jc w:val="both"/>
        <w:rPr>
          <w:lang w:val="de-DE"/>
        </w:rPr>
      </w:pPr>
    </w:p>
    <w:p w14:paraId="43241568" w14:textId="77777777" w:rsidR="00C2771B" w:rsidRPr="004676F5" w:rsidRDefault="00C2771B" w:rsidP="00EE35E2">
      <w:pPr>
        <w:ind w:firstLine="708"/>
        <w:jc w:val="both"/>
        <w:rPr>
          <w:lang w:val="de-DE"/>
        </w:rPr>
      </w:pPr>
    </w:p>
    <w:p w14:paraId="5A561291" w14:textId="5E14AA52" w:rsidR="00EE35E2" w:rsidRPr="004676F5" w:rsidRDefault="00BE0A56" w:rsidP="00EE35E2">
      <w:pPr>
        <w:ind w:firstLine="708"/>
        <w:jc w:val="both"/>
        <w:rPr>
          <w:lang w:val="de-DE"/>
        </w:rPr>
      </w:pPr>
      <w:r w:rsidRPr="004676F5">
        <w:rPr>
          <w:b/>
          <w:lang w:val="de-DE"/>
        </w:rPr>
        <w:t>Art. </w:t>
      </w:r>
      <w:r w:rsidR="00EE35E2" w:rsidRPr="004676F5">
        <w:rPr>
          <w:b/>
          <w:lang w:val="de-DE"/>
        </w:rPr>
        <w:t>XX.133</w:t>
      </w:r>
      <w:r w:rsidR="00EE35E2" w:rsidRPr="004676F5">
        <w:rPr>
          <w:lang w:val="de-DE"/>
        </w:rPr>
        <w:t> </w:t>
      </w:r>
      <w:r w:rsidR="005B7A5C" w:rsidRPr="004676F5">
        <w:rPr>
          <w:lang w:val="de-DE"/>
        </w:rPr>
        <w:t>- </w:t>
      </w:r>
      <w:r w:rsidR="00EE35E2" w:rsidRPr="004676F5">
        <w:rPr>
          <w:lang w:val="de-DE"/>
        </w:rPr>
        <w:t>Der Konkursrichter entscheidet in Absprache mit den Konkursver</w:t>
      </w:r>
      <w:r w:rsidR="00EE35E2" w:rsidRPr="004676F5">
        <w:rPr>
          <w:lang w:val="de-DE"/>
        </w:rPr>
        <w:softHyphen/>
        <w:t>waltern, ob ein Ortstermin angezeigt ist, gegebenenfalls im Beisein des Greffiers.</w:t>
      </w:r>
    </w:p>
    <w:p w14:paraId="33133212" w14:textId="77777777" w:rsidR="00EE35E2" w:rsidRPr="004676F5" w:rsidRDefault="00EE35E2" w:rsidP="00EE35E2">
      <w:pPr>
        <w:ind w:firstLine="708"/>
        <w:jc w:val="both"/>
        <w:rPr>
          <w:lang w:val="de-DE"/>
        </w:rPr>
      </w:pPr>
    </w:p>
    <w:p w14:paraId="0274BDE0" w14:textId="77777777" w:rsidR="00EE35E2" w:rsidRPr="004676F5" w:rsidRDefault="00EE35E2" w:rsidP="00EE35E2">
      <w:pPr>
        <w:ind w:firstLine="708"/>
        <w:jc w:val="both"/>
        <w:rPr>
          <w:lang w:val="de-DE"/>
        </w:rPr>
      </w:pPr>
      <w:r w:rsidRPr="004676F5">
        <w:rPr>
          <w:lang w:val="de-DE"/>
        </w:rPr>
        <w:t>Zuvor benachrichtigt er die Kammer oder das Institut, wenn ein Ortstermin bei einem Freiberufler zu erfolgen hat.</w:t>
      </w:r>
    </w:p>
    <w:p w14:paraId="53A4EBFA" w14:textId="77777777" w:rsidR="00EE35E2" w:rsidRPr="004676F5" w:rsidRDefault="00EE35E2" w:rsidP="00EE35E2">
      <w:pPr>
        <w:ind w:firstLine="708"/>
        <w:jc w:val="both"/>
        <w:rPr>
          <w:lang w:val="de-DE"/>
        </w:rPr>
      </w:pPr>
    </w:p>
    <w:p w14:paraId="78FDB919" w14:textId="77777777" w:rsidR="00EE35E2" w:rsidRPr="004676F5" w:rsidRDefault="00EE35E2" w:rsidP="00EE35E2">
      <w:pPr>
        <w:ind w:firstLine="708"/>
        <w:jc w:val="both"/>
        <w:rPr>
          <w:lang w:val="de-DE"/>
        </w:rPr>
      </w:pPr>
      <w:r w:rsidRPr="004676F5">
        <w:rPr>
          <w:lang w:val="de-DE"/>
        </w:rPr>
        <w:t>Die Artikel 1010 Absatz 1, 1011, 1013 und 1015 erster Satz des Gerichtsgesetzbuches sind entsprechend anwendbar auf Ortstermine.</w:t>
      </w:r>
    </w:p>
    <w:p w14:paraId="38B2FEC6" w14:textId="77777777" w:rsidR="00EE35E2" w:rsidRPr="004676F5" w:rsidRDefault="00EE35E2" w:rsidP="00EE35E2">
      <w:pPr>
        <w:ind w:firstLine="708"/>
        <w:jc w:val="both"/>
        <w:rPr>
          <w:lang w:val="de-DE"/>
        </w:rPr>
      </w:pPr>
    </w:p>
    <w:p w14:paraId="45E4D429" w14:textId="77777777" w:rsidR="00C2771B" w:rsidRPr="004676F5" w:rsidRDefault="00C2771B" w:rsidP="00EE35E2">
      <w:pPr>
        <w:ind w:firstLine="708"/>
        <w:jc w:val="both"/>
        <w:rPr>
          <w:lang w:val="de-DE"/>
        </w:rPr>
      </w:pPr>
    </w:p>
    <w:p w14:paraId="76AC07C0" w14:textId="25C970ED" w:rsidR="00EE35E2" w:rsidRPr="004676F5" w:rsidRDefault="00BE0A56" w:rsidP="00EE35E2">
      <w:pPr>
        <w:ind w:firstLine="708"/>
        <w:jc w:val="both"/>
        <w:rPr>
          <w:lang w:val="de-DE"/>
        </w:rPr>
      </w:pPr>
      <w:r w:rsidRPr="004676F5">
        <w:rPr>
          <w:b/>
          <w:lang w:val="de-DE"/>
        </w:rPr>
        <w:t>Art. </w:t>
      </w:r>
      <w:r w:rsidR="00EE35E2" w:rsidRPr="004676F5">
        <w:rPr>
          <w:b/>
          <w:lang w:val="de-DE"/>
        </w:rPr>
        <w:t>XX.134</w:t>
      </w:r>
      <w:r w:rsidR="00EE35E2" w:rsidRPr="004676F5">
        <w:rPr>
          <w:lang w:val="de-DE"/>
        </w:rPr>
        <w:t> </w:t>
      </w:r>
      <w:r w:rsidR="005B7A5C" w:rsidRPr="004676F5">
        <w:rPr>
          <w:lang w:val="de-DE"/>
        </w:rPr>
        <w:t>- </w:t>
      </w:r>
      <w:r w:rsidR="00EE35E2" w:rsidRPr="004676F5">
        <w:rPr>
          <w:lang w:val="de-DE"/>
        </w:rPr>
        <w:t>Die Konkursverwalter erstellen ab ihrem Amtsantritt unter Aufsicht des Konkursrichters im Beisein oder nach ordnungsgemäßer Vorladung des Konkursschuldners unverzüglich das Inventar der beweglichen und unbeweglichen, materiellen und immateriellen Güter des Konkursschuldners auf. Der Konkursrichter unterzeichnet das Inventar. Das unterzeichnete Inventar wird im Register hinterlegt.</w:t>
      </w:r>
    </w:p>
    <w:p w14:paraId="40B24F4E" w14:textId="77777777" w:rsidR="00EE35E2" w:rsidRPr="004676F5" w:rsidRDefault="00EE35E2" w:rsidP="00EE35E2">
      <w:pPr>
        <w:ind w:firstLine="708"/>
        <w:jc w:val="both"/>
        <w:rPr>
          <w:lang w:val="de-DE"/>
        </w:rPr>
      </w:pPr>
    </w:p>
    <w:p w14:paraId="1399353C" w14:textId="77777777" w:rsidR="00EE35E2" w:rsidRPr="004676F5" w:rsidRDefault="00EE35E2" w:rsidP="00EE35E2">
      <w:pPr>
        <w:ind w:firstLine="708"/>
        <w:jc w:val="both"/>
        <w:rPr>
          <w:lang w:val="de-DE"/>
        </w:rPr>
      </w:pPr>
      <w:r w:rsidRPr="004676F5">
        <w:rPr>
          <w:lang w:val="de-DE"/>
        </w:rPr>
        <w:t>Im Inventar werden alle Güter einschließlich der in Artikel XX.110 § 3 erwähnten Güter separat beschrieben.</w:t>
      </w:r>
    </w:p>
    <w:p w14:paraId="779C06BA" w14:textId="77777777" w:rsidR="00EE35E2" w:rsidRPr="004676F5" w:rsidRDefault="00EE35E2" w:rsidP="00EE35E2">
      <w:pPr>
        <w:ind w:firstLine="708"/>
        <w:jc w:val="both"/>
        <w:rPr>
          <w:lang w:val="de-DE"/>
        </w:rPr>
      </w:pPr>
    </w:p>
    <w:p w14:paraId="37BAF5CC" w14:textId="77777777" w:rsidR="00EE35E2" w:rsidRPr="004676F5" w:rsidRDefault="00EE35E2" w:rsidP="00EE35E2">
      <w:pPr>
        <w:ind w:firstLine="708"/>
        <w:jc w:val="both"/>
        <w:rPr>
          <w:lang w:val="de-DE"/>
        </w:rPr>
      </w:pPr>
      <w:r w:rsidRPr="004676F5">
        <w:rPr>
          <w:lang w:val="de-DE"/>
        </w:rPr>
        <w:t>Konkursverwalter können sich bei der Aufstellung des Inventars, bei der Schätzung der Gegenstände, bei der Aufbewahrung der Aktiva und bei ihrer Verwertung unter ihrer Verantwortung von denjenigen helfen lassen, die sie für geeignet halten, wenn der Konkursrichter sie dazu ermächtigt hat.</w:t>
      </w:r>
    </w:p>
    <w:p w14:paraId="1A746010" w14:textId="77777777" w:rsidR="00EE35E2" w:rsidRPr="004676F5" w:rsidRDefault="00EE35E2" w:rsidP="00EE35E2">
      <w:pPr>
        <w:ind w:firstLine="708"/>
        <w:jc w:val="both"/>
        <w:rPr>
          <w:lang w:val="de-DE"/>
        </w:rPr>
      </w:pPr>
    </w:p>
    <w:p w14:paraId="7D960E31" w14:textId="77777777" w:rsidR="00C2771B" w:rsidRPr="004676F5" w:rsidRDefault="00C2771B" w:rsidP="00EE35E2">
      <w:pPr>
        <w:ind w:firstLine="708"/>
        <w:jc w:val="both"/>
        <w:rPr>
          <w:lang w:val="de-DE"/>
        </w:rPr>
      </w:pPr>
    </w:p>
    <w:p w14:paraId="00AB597A" w14:textId="2EB1A0DD" w:rsidR="00EE35E2" w:rsidRPr="004676F5" w:rsidRDefault="00BE0A56" w:rsidP="00EE35E2">
      <w:pPr>
        <w:ind w:firstLine="708"/>
        <w:jc w:val="both"/>
        <w:rPr>
          <w:lang w:val="de-DE"/>
        </w:rPr>
      </w:pPr>
      <w:r w:rsidRPr="004676F5">
        <w:rPr>
          <w:b/>
          <w:lang w:val="de-DE"/>
        </w:rPr>
        <w:t>Art. </w:t>
      </w:r>
      <w:r w:rsidR="00EE35E2" w:rsidRPr="004676F5">
        <w:rPr>
          <w:b/>
          <w:lang w:val="de-DE"/>
        </w:rPr>
        <w:t>XX.135</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Wenn sich herausstellt, dass die Aktiva nicht ausreichen, um die vermutlichen Kosten der Konkursverwaltung und -liquidation zu decken, kann das Gericht auf Antrag der Konkursverwalter oder sogar von Amts wegen nach Vernehmung der Konkursverwalter den Abschluss des Konkursverfahrens aussprechen. Der Konkursschuldner wird per Gerichtsbrief, der den Wortlaut des vorliegenden Artikels enthält, vorgeladen.</w:t>
      </w:r>
    </w:p>
    <w:p w14:paraId="4894518C" w14:textId="77777777" w:rsidR="00EE35E2" w:rsidRPr="004676F5" w:rsidRDefault="00EE35E2" w:rsidP="00EE35E2">
      <w:pPr>
        <w:ind w:firstLine="708"/>
        <w:jc w:val="both"/>
        <w:rPr>
          <w:lang w:val="de-DE"/>
        </w:rPr>
      </w:pPr>
    </w:p>
    <w:p w14:paraId="7D09327C" w14:textId="77777777" w:rsidR="00EE35E2" w:rsidRPr="004676F5" w:rsidRDefault="00EE35E2" w:rsidP="00EE35E2">
      <w:pPr>
        <w:ind w:firstLine="708"/>
        <w:jc w:val="both"/>
        <w:rPr>
          <w:lang w:val="de-DE"/>
        </w:rPr>
      </w:pPr>
      <w:r w:rsidRPr="004676F5">
        <w:rPr>
          <w:lang w:val="de-DE"/>
        </w:rPr>
        <w:t>Die Antragschrift kann jederzeit nach Konkurseröffnung im Register hinterlegt werden, selbst wenn das Inventar noch nicht aufgestellt ist.</w:t>
      </w:r>
    </w:p>
    <w:p w14:paraId="33C57E5D" w14:textId="77777777" w:rsidR="00514DED" w:rsidRPr="004676F5" w:rsidRDefault="00514DED" w:rsidP="00EE35E2">
      <w:pPr>
        <w:ind w:firstLine="708"/>
        <w:jc w:val="both"/>
        <w:rPr>
          <w:lang w:val="de-DE"/>
        </w:rPr>
      </w:pPr>
    </w:p>
    <w:p w14:paraId="623F10A4" w14:textId="027A1F59" w:rsidR="00514DED" w:rsidRPr="004676F5" w:rsidRDefault="00514DED" w:rsidP="00EE35E2">
      <w:pPr>
        <w:ind w:firstLine="708"/>
        <w:jc w:val="both"/>
        <w:rPr>
          <w:lang w:val="de-DE"/>
        </w:rPr>
      </w:pPr>
      <w:r w:rsidRPr="004676F5">
        <w:rPr>
          <w:lang w:val="de-DE"/>
        </w:rPr>
        <w:t>[Der Konkursverwalter hinterlegt im Register zusammen mit seiner Antragschrift einen Bericht darüber, ob der Konkursschuldner, der eine natürliche Person ist, offensichtlich grobe Fehler begangen hat, die zum Konkurs beigetragen haben, oder bei Ablegung des Konkursgeständnisses oder später auf Fragen des Konkursrichters oder des Konkursverwalters wissentlich falsche Auskünfte erteilt hat. Der Konkursverwalter kann in der Antragschrift auf Schließung des Verfahrens auch den in Artikel XX.173 § 3 erwähnten Antrag einreichen oder beantragen, dass das Gericht über das in Artikel XX.229 §§ 1, 2 und 4 erwähnte Verbot entscheidet.]</w:t>
      </w:r>
    </w:p>
    <w:p w14:paraId="64E2C76A" w14:textId="77777777" w:rsidR="00EE35E2" w:rsidRPr="004676F5" w:rsidRDefault="00EE35E2" w:rsidP="00EE35E2">
      <w:pPr>
        <w:ind w:firstLine="708"/>
        <w:jc w:val="both"/>
        <w:rPr>
          <w:lang w:val="de-DE"/>
        </w:rPr>
      </w:pPr>
    </w:p>
    <w:p w14:paraId="6B091DD3" w14:textId="7A8FF0C4"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Die Entscheidung, das Konkursverfahren abzuschließen, bringt die Auflösung der juristischen Person und die sofortige Beendigung der Liquidation mit sich, wenn festgestellt wird, dass die Aktiva nicht ausreichen, um die vermutlichen Kosten der Konkursverwaltung und -liquidation zu decken.</w:t>
      </w:r>
    </w:p>
    <w:p w14:paraId="57CA0C34" w14:textId="77777777" w:rsidR="00EE35E2" w:rsidRPr="004676F5" w:rsidRDefault="00EE35E2" w:rsidP="00EE35E2">
      <w:pPr>
        <w:ind w:firstLine="708"/>
        <w:jc w:val="both"/>
        <w:rPr>
          <w:lang w:val="de-DE"/>
        </w:rPr>
      </w:pPr>
    </w:p>
    <w:p w14:paraId="7D431E19" w14:textId="54218B4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Der Abschluss des Konkursverfahrens wegen unzureichender Aktiva kann nur ausgesprochen werden, wenn festgestellt wird, dass die Konkursverwalter alles in ihrer Macht stehende getan haben, um den Arbeitnehmern die gesetzlich vorgesehenen Sozialdokumente auszuhändigen.</w:t>
      </w:r>
    </w:p>
    <w:p w14:paraId="12E6A4EA" w14:textId="77777777" w:rsidR="00EE35E2" w:rsidRPr="004676F5" w:rsidRDefault="00EE35E2" w:rsidP="00EE35E2">
      <w:pPr>
        <w:ind w:firstLine="708"/>
        <w:jc w:val="both"/>
        <w:rPr>
          <w:lang w:val="de-DE"/>
        </w:rPr>
      </w:pPr>
    </w:p>
    <w:p w14:paraId="355153FD" w14:textId="67CB8A51"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Mit dem Abschluss des Konkursverfahrens endet das Mandat der Konkursver</w:t>
      </w:r>
      <w:r w:rsidRPr="004676F5">
        <w:rPr>
          <w:lang w:val="de-DE"/>
        </w:rPr>
        <w:softHyphen/>
        <w:t>walter.</w:t>
      </w:r>
    </w:p>
    <w:p w14:paraId="0C0FE67B" w14:textId="77777777" w:rsidR="00EE35E2" w:rsidRPr="004676F5" w:rsidRDefault="00EE35E2" w:rsidP="00EE35E2">
      <w:pPr>
        <w:ind w:firstLine="708"/>
        <w:jc w:val="both"/>
        <w:rPr>
          <w:lang w:val="de-DE"/>
        </w:rPr>
      </w:pPr>
    </w:p>
    <w:p w14:paraId="5909C0CB" w14:textId="43EE71AF" w:rsidR="00EE35E2" w:rsidRPr="004676F5" w:rsidRDefault="00EE35E2" w:rsidP="00EE35E2">
      <w:pPr>
        <w:ind w:firstLine="708"/>
        <w:jc w:val="both"/>
        <w:rPr>
          <w:lang w:val="de-DE"/>
        </w:rPr>
      </w:pPr>
      <w:r w:rsidRPr="004676F5">
        <w:rPr>
          <w:lang w:val="de-DE"/>
        </w:rPr>
        <w:t xml:space="preserve">Die Entscheidung wird auf Betreiben </w:t>
      </w:r>
      <w:r w:rsidR="00514DED" w:rsidRPr="004676F5">
        <w:rPr>
          <w:lang w:val="de-DE"/>
        </w:rPr>
        <w:t>[des Greffiers]</w:t>
      </w:r>
      <w:r w:rsidRPr="004676F5">
        <w:rPr>
          <w:lang w:val="de-DE"/>
        </w:rPr>
        <w:t xml:space="preserve"> auszugsweise im </w:t>
      </w:r>
      <w:r w:rsidRPr="004676F5">
        <w:rPr>
          <w:i/>
          <w:lang w:val="de-DE"/>
        </w:rPr>
        <w:t>Belgischen Staatsblatt</w:t>
      </w:r>
      <w:r w:rsidRPr="004676F5">
        <w:rPr>
          <w:lang w:val="de-DE"/>
        </w:rPr>
        <w:t xml:space="preserve"> veröffentlicht. Dieser Auszug enthält Namen, Vornamen, elektronische Adresse und Adresse der als Liquidatoren betrachteten Personen.</w:t>
      </w:r>
    </w:p>
    <w:p w14:paraId="663609DB" w14:textId="77777777" w:rsidR="00EE35E2" w:rsidRPr="004676F5" w:rsidRDefault="00EE35E2" w:rsidP="00EE35E2">
      <w:pPr>
        <w:ind w:firstLine="708"/>
        <w:jc w:val="both"/>
        <w:rPr>
          <w:lang w:val="de-DE"/>
        </w:rPr>
      </w:pPr>
    </w:p>
    <w:p w14:paraId="4224F5CB" w14:textId="343AC3A7" w:rsidR="00EE35E2" w:rsidRPr="004676F5" w:rsidRDefault="00514DED" w:rsidP="00EE35E2">
      <w:pPr>
        <w:ind w:firstLine="708"/>
        <w:jc w:val="both"/>
        <w:rPr>
          <w:lang w:val="de-DE"/>
        </w:rPr>
      </w:pPr>
      <w:r w:rsidRPr="004676F5">
        <w:rPr>
          <w:lang w:val="de-DE"/>
        </w:rPr>
        <w:t>[Artikel 2:79 des Gesetzbuches der Gesellschaften und Vereinigungen ist anwendbar.]</w:t>
      </w:r>
    </w:p>
    <w:p w14:paraId="1EF6416B" w14:textId="77777777" w:rsidR="00EE35E2" w:rsidRPr="004676F5" w:rsidRDefault="00EE35E2" w:rsidP="00EE35E2">
      <w:pPr>
        <w:ind w:firstLine="708"/>
        <w:jc w:val="both"/>
        <w:rPr>
          <w:lang w:val="de-DE"/>
        </w:rPr>
      </w:pPr>
    </w:p>
    <w:p w14:paraId="68386316" w14:textId="667516D1"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Das Urteil ordnet gegebenenfalls Rechnungslegung durch die Konkursverwalter an. Das Insolvenzgericht erkennt über diesbezügliche Streitfälle.</w:t>
      </w:r>
    </w:p>
    <w:p w14:paraId="563E2C31" w14:textId="77777777" w:rsidR="00EE35E2" w:rsidRPr="004676F5" w:rsidRDefault="00EE35E2" w:rsidP="00EE35E2">
      <w:pPr>
        <w:ind w:firstLine="708"/>
        <w:jc w:val="both"/>
        <w:rPr>
          <w:lang w:val="de-DE"/>
        </w:rPr>
      </w:pPr>
    </w:p>
    <w:p w14:paraId="2A322E8A" w14:textId="5795C0EC" w:rsidR="00EE35E2" w:rsidRPr="004676F5" w:rsidRDefault="00EE35E2" w:rsidP="00EE35E2">
      <w:pPr>
        <w:ind w:firstLine="708"/>
        <w:jc w:val="both"/>
        <w:rPr>
          <w:lang w:val="de-DE"/>
        </w:rPr>
      </w:pPr>
      <w:r w:rsidRPr="004676F5">
        <w:rPr>
          <w:lang w:val="de-DE"/>
        </w:rPr>
        <w:t>§ 6 </w:t>
      </w:r>
      <w:r w:rsidR="005B7A5C" w:rsidRPr="004676F5">
        <w:rPr>
          <w:lang w:val="de-DE"/>
        </w:rPr>
        <w:t>- </w:t>
      </w:r>
      <w:r w:rsidRPr="004676F5">
        <w:rPr>
          <w:lang w:val="de-DE"/>
        </w:rPr>
        <w:t>Der König kann das Verfahren zur Hinterlegung später auftretender Aktiva und die Bestimmung dieser Aktiva bei neu auftretenden Passiva festlegen.</w:t>
      </w:r>
    </w:p>
    <w:p w14:paraId="62303CB2" w14:textId="77777777" w:rsidR="00EE35E2" w:rsidRPr="004676F5" w:rsidRDefault="00EE35E2" w:rsidP="00514DED">
      <w:pPr>
        <w:jc w:val="both"/>
        <w:rPr>
          <w:lang w:val="de-DE"/>
        </w:rPr>
      </w:pPr>
    </w:p>
    <w:p w14:paraId="745A34A4" w14:textId="0F9E0D93" w:rsidR="00514DED" w:rsidRPr="004676F5" w:rsidRDefault="00514DED" w:rsidP="00514DED">
      <w:pPr>
        <w:jc w:val="both"/>
        <w:rPr>
          <w:i/>
          <w:iCs/>
          <w:lang w:val="de-DE"/>
        </w:rPr>
      </w:pPr>
      <w:r w:rsidRPr="004676F5">
        <w:rPr>
          <w:i/>
          <w:iCs/>
          <w:lang w:val="de-DE"/>
        </w:rPr>
        <w:t>[Art. XX.135 § 1 Abs. 3 eingefügt durch Art. 220 Nr. 1 des G. vom 7. Juni 2023 (B.S. vom 7. Juli 2023); § 4 Abs. 2 abgeändert durch Art. 220 Nr. 2 des G. vom 7. Juni 2023 (B.S. vom 7. Juli 2023); § 4 Abs. 3 ersetzt durch Art. 220 Nr. 3 des G. vom 7. Juni 2023 (B.S. vom 7. Juli 2023)]</w:t>
      </w:r>
    </w:p>
    <w:p w14:paraId="6F956D53" w14:textId="77777777" w:rsidR="00C2771B" w:rsidRPr="004676F5" w:rsidRDefault="00C2771B" w:rsidP="00EE35E2">
      <w:pPr>
        <w:ind w:firstLine="708"/>
        <w:jc w:val="both"/>
        <w:rPr>
          <w:lang w:val="de-DE"/>
        </w:rPr>
      </w:pPr>
    </w:p>
    <w:p w14:paraId="42A3A139" w14:textId="77777777" w:rsidR="00514DED" w:rsidRPr="004676F5" w:rsidRDefault="00514DED" w:rsidP="00EE35E2">
      <w:pPr>
        <w:ind w:firstLine="708"/>
        <w:jc w:val="both"/>
        <w:rPr>
          <w:lang w:val="de-DE"/>
        </w:rPr>
      </w:pPr>
    </w:p>
    <w:p w14:paraId="5290023C" w14:textId="3A82ED47" w:rsidR="00EE35E2" w:rsidRPr="004676F5" w:rsidRDefault="00BE0A56" w:rsidP="00EE35E2">
      <w:pPr>
        <w:ind w:firstLine="708"/>
        <w:jc w:val="both"/>
        <w:rPr>
          <w:lang w:val="de-DE"/>
        </w:rPr>
      </w:pPr>
      <w:r w:rsidRPr="004676F5">
        <w:rPr>
          <w:b/>
          <w:lang w:val="de-DE"/>
        </w:rPr>
        <w:t>Art. </w:t>
      </w:r>
      <w:r w:rsidR="00EE35E2" w:rsidRPr="004676F5">
        <w:rPr>
          <w:b/>
          <w:lang w:val="de-DE"/>
        </w:rPr>
        <w:t>XX.136</w:t>
      </w:r>
      <w:r w:rsidR="00EE35E2" w:rsidRPr="004676F5">
        <w:rPr>
          <w:lang w:val="de-DE"/>
        </w:rPr>
        <w:t> </w:t>
      </w:r>
      <w:r w:rsidR="005B7A5C" w:rsidRPr="004676F5">
        <w:rPr>
          <w:lang w:val="de-DE"/>
        </w:rPr>
        <w:t>- </w:t>
      </w:r>
      <w:r w:rsidR="00EE35E2" w:rsidRPr="004676F5">
        <w:rPr>
          <w:lang w:val="de-DE"/>
        </w:rPr>
        <w:t xml:space="preserve">Die Vollstreckung des in Anwendung von Artikel XX.135 verkündeten Urteils zum Abschluss des Konkursverfahrens wird während eines Monates ab dem Datum seiner Veröffentlichung im </w:t>
      </w:r>
      <w:r w:rsidR="00EE35E2" w:rsidRPr="004676F5">
        <w:rPr>
          <w:i/>
          <w:lang w:val="de-DE"/>
        </w:rPr>
        <w:t>Belgischen Staatsblatt</w:t>
      </w:r>
      <w:r w:rsidR="00EE35E2" w:rsidRPr="004676F5">
        <w:rPr>
          <w:lang w:val="de-DE"/>
        </w:rPr>
        <w:t xml:space="preserve"> ausgesetzt.</w:t>
      </w:r>
    </w:p>
    <w:p w14:paraId="79B2A603" w14:textId="77777777" w:rsidR="00EE35E2" w:rsidRPr="004676F5" w:rsidRDefault="00EE35E2" w:rsidP="00EE35E2">
      <w:pPr>
        <w:ind w:firstLine="708"/>
        <w:jc w:val="both"/>
        <w:rPr>
          <w:lang w:val="de-DE"/>
        </w:rPr>
      </w:pPr>
    </w:p>
    <w:p w14:paraId="5597C8B6" w14:textId="77777777" w:rsidR="00C2771B" w:rsidRPr="004676F5" w:rsidRDefault="00C2771B" w:rsidP="00EE35E2">
      <w:pPr>
        <w:ind w:firstLine="708"/>
        <w:jc w:val="both"/>
        <w:rPr>
          <w:lang w:val="de-DE"/>
        </w:rPr>
      </w:pPr>
    </w:p>
    <w:p w14:paraId="3AFBBF44" w14:textId="5AA1E64D" w:rsidR="00EE35E2" w:rsidRPr="004676F5" w:rsidRDefault="00BE0A56" w:rsidP="00EE35E2">
      <w:pPr>
        <w:ind w:firstLine="708"/>
        <w:jc w:val="both"/>
        <w:rPr>
          <w:lang w:val="de-DE"/>
        </w:rPr>
      </w:pPr>
      <w:r w:rsidRPr="004676F5">
        <w:rPr>
          <w:b/>
          <w:lang w:val="de-DE"/>
        </w:rPr>
        <w:t>Art. </w:t>
      </w:r>
      <w:r w:rsidR="00EE35E2" w:rsidRPr="004676F5">
        <w:rPr>
          <w:b/>
          <w:lang w:val="de-DE"/>
        </w:rPr>
        <w:t>XX.137</w:t>
      </w:r>
      <w:r w:rsidR="00EE35E2" w:rsidRPr="004676F5">
        <w:rPr>
          <w:lang w:val="de-DE"/>
        </w:rPr>
        <w:t> </w:t>
      </w:r>
      <w:r w:rsidR="005B7A5C" w:rsidRPr="004676F5">
        <w:rPr>
          <w:lang w:val="de-DE"/>
        </w:rPr>
        <w:t>- </w:t>
      </w:r>
      <w:r w:rsidR="00EE35E2" w:rsidRPr="004676F5">
        <w:rPr>
          <w:lang w:val="de-DE"/>
        </w:rPr>
        <w:t>Ist ein Konkurs nach dem Tod eröffnet worden, bevor das Inventar aufgestellt worden ist, oder ist der Konkursschuldner gestorben, bevor mit dem Inventar begonnen worden ist, wird das Inventar unverzüglich im Beisein oder nach ordnungsgemäßer Vorladung der Erben nach den in Artikel XX.134 vorgeschriebenen Modalitäten aufgestellt.</w:t>
      </w:r>
    </w:p>
    <w:p w14:paraId="66E562AD" w14:textId="77777777" w:rsidR="00EE35E2" w:rsidRPr="004676F5" w:rsidRDefault="00EE35E2" w:rsidP="00EE35E2">
      <w:pPr>
        <w:ind w:firstLine="708"/>
        <w:jc w:val="both"/>
        <w:rPr>
          <w:lang w:val="de-DE"/>
        </w:rPr>
      </w:pPr>
    </w:p>
    <w:p w14:paraId="090771ED" w14:textId="77777777" w:rsidR="00C2771B" w:rsidRPr="004676F5" w:rsidRDefault="00C2771B" w:rsidP="00EE35E2">
      <w:pPr>
        <w:ind w:firstLine="708"/>
        <w:jc w:val="both"/>
        <w:rPr>
          <w:lang w:val="de-DE"/>
        </w:rPr>
      </w:pPr>
    </w:p>
    <w:p w14:paraId="7DAA33DC" w14:textId="5C2F8406" w:rsidR="00EE35E2" w:rsidRPr="004676F5" w:rsidRDefault="00BE0A56" w:rsidP="00EE35E2">
      <w:pPr>
        <w:ind w:firstLine="708"/>
        <w:jc w:val="both"/>
        <w:rPr>
          <w:lang w:val="de-DE"/>
        </w:rPr>
      </w:pPr>
      <w:r w:rsidRPr="004676F5">
        <w:rPr>
          <w:b/>
          <w:lang w:val="de-DE"/>
        </w:rPr>
        <w:t>Art. </w:t>
      </w:r>
      <w:r w:rsidR="00EE35E2" w:rsidRPr="004676F5">
        <w:rPr>
          <w:b/>
          <w:lang w:val="de-DE"/>
        </w:rPr>
        <w:t>XX.138</w:t>
      </w:r>
      <w:r w:rsidR="00EE35E2" w:rsidRPr="004676F5">
        <w:rPr>
          <w:lang w:val="de-DE"/>
        </w:rPr>
        <w:t> </w:t>
      </w:r>
      <w:r w:rsidR="005B7A5C" w:rsidRPr="004676F5">
        <w:rPr>
          <w:lang w:val="de-DE"/>
        </w:rPr>
        <w:t>- </w:t>
      </w:r>
      <w:r w:rsidR="00EE35E2" w:rsidRPr="004676F5">
        <w:rPr>
          <w:lang w:val="de-DE"/>
        </w:rPr>
        <w:t>Nach Aufstellung des Inventars werden Waren, Gelder, Geschäfts</w:t>
      </w:r>
      <w:r w:rsidR="00EE35E2" w:rsidRPr="004676F5">
        <w:rPr>
          <w:lang w:val="de-DE"/>
        </w:rPr>
        <w:softHyphen/>
        <w:t>papiere, Forderungstitel, bewegliche Güter und Sachen des Schuldners den Konkursverwaltern anvertraut, die am Fuße dieses Inventars erklären, dass sie sie entgegennehmen.</w:t>
      </w:r>
    </w:p>
    <w:p w14:paraId="059489EB" w14:textId="77777777" w:rsidR="00EE35E2" w:rsidRPr="004676F5" w:rsidRDefault="00EE35E2" w:rsidP="00EE35E2">
      <w:pPr>
        <w:ind w:firstLine="708"/>
        <w:jc w:val="both"/>
        <w:rPr>
          <w:lang w:val="de-DE"/>
        </w:rPr>
      </w:pPr>
    </w:p>
    <w:p w14:paraId="2E7BADC0" w14:textId="77777777" w:rsidR="00EE35E2" w:rsidRPr="004676F5" w:rsidRDefault="00EE35E2" w:rsidP="00EE35E2">
      <w:pPr>
        <w:ind w:firstLine="708"/>
        <w:jc w:val="both"/>
        <w:rPr>
          <w:lang w:val="de-DE"/>
        </w:rPr>
      </w:pPr>
      <w:r w:rsidRPr="004676F5">
        <w:rPr>
          <w:lang w:val="de-DE"/>
        </w:rPr>
        <w:t>Der Konkursschuldner oder die Verwalter oder Geschäftsführer einer in Konkurs geratenen juristischen Person müssen Buchhaltung und Archive aufbewahren, wenn der Konkursverwalter sie dazu auffordert. Sie müssen sie auf ersten Antrag des Konkursverwalters zur Verfügung stellen. Die Archive müssen während sieben Jahren ab Konkurseröffnung im Original oder als Abschrift methodisch gelagert und aufbewahrt werden. Schriftstücke, die nicht als Nachweis gegen Dritte dienen, werden drei Jahre aufbewahrt.</w:t>
      </w:r>
    </w:p>
    <w:p w14:paraId="59C56D20" w14:textId="77777777" w:rsidR="00EE35E2" w:rsidRPr="004676F5" w:rsidRDefault="00EE35E2" w:rsidP="00EE35E2">
      <w:pPr>
        <w:ind w:firstLine="708"/>
        <w:jc w:val="both"/>
        <w:rPr>
          <w:lang w:val="de-DE"/>
        </w:rPr>
      </w:pPr>
    </w:p>
    <w:p w14:paraId="05F83E51" w14:textId="1EB6CE43" w:rsidR="00EE35E2" w:rsidRPr="004676F5" w:rsidRDefault="00EE35E2" w:rsidP="00EE35E2">
      <w:pPr>
        <w:ind w:firstLine="708"/>
        <w:jc w:val="both"/>
        <w:rPr>
          <w:lang w:val="de-DE"/>
        </w:rPr>
      </w:pPr>
      <w:r w:rsidRPr="004676F5">
        <w:rPr>
          <w:lang w:val="de-DE"/>
        </w:rPr>
        <w:t>Unbeschadet des Artikels XX.16 müssen Konkursverwalter von ihnen nach einem Konkurs angelegte Akten unter Berücksichtigung der in Artikel 2276</w:t>
      </w:r>
      <w:r w:rsidRPr="004676F5">
        <w:rPr>
          <w:i/>
          <w:lang w:val="de-DE"/>
        </w:rPr>
        <w:t>bis</w:t>
      </w:r>
      <w:r w:rsidRPr="004676F5">
        <w:rPr>
          <w:lang w:val="de-DE"/>
        </w:rPr>
        <w:t xml:space="preserve"> </w:t>
      </w:r>
      <w:r w:rsidR="00514DED" w:rsidRPr="004676F5">
        <w:rPr>
          <w:lang w:val="de-DE"/>
        </w:rPr>
        <w:t>[</w:t>
      </w:r>
      <w:r w:rsidRPr="004676F5">
        <w:rPr>
          <w:lang w:val="de-DE"/>
        </w:rPr>
        <w:t xml:space="preserve">des </w:t>
      </w:r>
      <w:r w:rsidR="00514DED" w:rsidRPr="004676F5">
        <w:rPr>
          <w:lang w:val="de-DE"/>
        </w:rPr>
        <w:t xml:space="preserve">früheren </w:t>
      </w:r>
      <w:r w:rsidRPr="004676F5">
        <w:rPr>
          <w:lang w:val="de-DE"/>
        </w:rPr>
        <w:t>Zivilgesetzbuches</w:t>
      </w:r>
      <w:r w:rsidR="00514DED" w:rsidRPr="004676F5">
        <w:rPr>
          <w:lang w:val="de-DE"/>
        </w:rPr>
        <w:t>]</w:t>
      </w:r>
      <w:r w:rsidRPr="004676F5">
        <w:rPr>
          <w:lang w:val="de-DE"/>
        </w:rPr>
        <w:t xml:space="preserve"> vorgesehenen gesetzlichen Fristen aufbewahren.</w:t>
      </w:r>
    </w:p>
    <w:p w14:paraId="1F7B6D2A" w14:textId="77777777" w:rsidR="00EE35E2" w:rsidRPr="004676F5" w:rsidRDefault="00EE35E2" w:rsidP="00514DED">
      <w:pPr>
        <w:jc w:val="both"/>
        <w:rPr>
          <w:lang w:val="de-DE"/>
        </w:rPr>
      </w:pPr>
    </w:p>
    <w:p w14:paraId="19AFD85E" w14:textId="66108F20" w:rsidR="00514DED" w:rsidRPr="004676F5" w:rsidRDefault="00514DED" w:rsidP="00514DED">
      <w:pPr>
        <w:jc w:val="both"/>
        <w:rPr>
          <w:i/>
          <w:iCs/>
          <w:lang w:val="de-DE"/>
        </w:rPr>
      </w:pPr>
      <w:r w:rsidRPr="004676F5">
        <w:rPr>
          <w:i/>
          <w:iCs/>
          <w:lang w:val="de-DE"/>
        </w:rPr>
        <w:t>[Art. XX.138 Abs. 3 abgeändert durch Art. 221 des G. vom 7. Juni 2023 (B.S. vom 7. Juli 2023)]</w:t>
      </w:r>
    </w:p>
    <w:p w14:paraId="2058F3B6" w14:textId="77777777" w:rsidR="00514DED" w:rsidRPr="004676F5" w:rsidRDefault="00514DED" w:rsidP="00514DED">
      <w:pPr>
        <w:jc w:val="both"/>
        <w:rPr>
          <w:i/>
          <w:iCs/>
          <w:lang w:val="de-DE"/>
        </w:rPr>
      </w:pPr>
    </w:p>
    <w:p w14:paraId="5D179F86" w14:textId="77777777" w:rsidR="00C2771B" w:rsidRPr="004676F5" w:rsidRDefault="00C2771B" w:rsidP="00EE35E2">
      <w:pPr>
        <w:ind w:firstLine="708"/>
        <w:jc w:val="both"/>
        <w:rPr>
          <w:lang w:val="de-DE"/>
        </w:rPr>
      </w:pPr>
    </w:p>
    <w:p w14:paraId="6E4FCB84" w14:textId="79791E26"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XX.139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Die Konkursverwalter beschließen unverzüglich nach ihrem Amts</w:t>
      </w:r>
      <w:r w:rsidR="00EE35E2" w:rsidRPr="004676F5">
        <w:rPr>
          <w:lang w:val="de-DE"/>
        </w:rPr>
        <w:softHyphen/>
        <w:t>an</w:t>
      </w:r>
      <w:r w:rsidR="00EE35E2" w:rsidRPr="004676F5">
        <w:rPr>
          <w:lang w:val="de-DE"/>
        </w:rPr>
        <w:softHyphen/>
        <w:t>tritt, ob sie vor dem Datum des Konkurseröffnungsurteils geschlossene Verträge, denen durch dieses Urteil kein Ende gesetzt wird, weiter ausführen oder ob sie sie einseitig kündigen, wenn die Verwaltung der Masse es zwingend erforderlich macht. Diese Entscheidung darf dingliche Rechte Dritter der Masse gegenüber nicht beeinträchtigen.</w:t>
      </w:r>
    </w:p>
    <w:p w14:paraId="063F801E" w14:textId="77777777" w:rsidR="00EE35E2" w:rsidRPr="004676F5" w:rsidRDefault="00EE35E2" w:rsidP="00EE35E2">
      <w:pPr>
        <w:ind w:firstLine="708"/>
        <w:jc w:val="both"/>
        <w:rPr>
          <w:lang w:val="de-DE"/>
        </w:rPr>
      </w:pPr>
    </w:p>
    <w:p w14:paraId="4D22A76F" w14:textId="77777777" w:rsidR="00EE35E2" w:rsidRPr="004676F5" w:rsidRDefault="00EE35E2" w:rsidP="00EE35E2">
      <w:pPr>
        <w:ind w:firstLine="708"/>
        <w:jc w:val="both"/>
        <w:rPr>
          <w:lang w:val="de-DE"/>
        </w:rPr>
      </w:pPr>
      <w:r w:rsidRPr="004676F5">
        <w:rPr>
          <w:lang w:val="de-DE"/>
        </w:rPr>
        <w:t>Die Partei, die den Vertrag mit dem Konkursschuldner geschlossen hat, kann die Konkursverwalter anmahnen, diese Entscheidung binnen fünfzehn Tagen zu treffen. Ist keine Fristverlängerung vereinbart worden oder treffen die Konkursverwalter vor Ablauf dieser Frist keine ausdrückliche Entscheidung, wird davon ausgegangen, dass der Vertrag gekündigt worden ist. Die Schadenersatzforderung, die dem Vertragspartner aufgrund dieser Kündigung eventuell geschuldet wird, wird in die Masse aufgenommen.</w:t>
      </w:r>
    </w:p>
    <w:p w14:paraId="457E316E" w14:textId="77777777" w:rsidR="00EE35E2" w:rsidRPr="004676F5" w:rsidRDefault="00EE35E2" w:rsidP="00EE35E2">
      <w:pPr>
        <w:ind w:firstLine="708"/>
        <w:jc w:val="both"/>
        <w:rPr>
          <w:lang w:val="de-DE"/>
        </w:rPr>
      </w:pPr>
    </w:p>
    <w:p w14:paraId="153B1637" w14:textId="77777777" w:rsidR="00EE35E2" w:rsidRPr="004676F5" w:rsidRDefault="00EE35E2" w:rsidP="00EE35E2">
      <w:pPr>
        <w:ind w:firstLine="708"/>
        <w:jc w:val="both"/>
        <w:rPr>
          <w:lang w:val="de-DE"/>
        </w:rPr>
      </w:pPr>
      <w:r w:rsidRPr="004676F5">
        <w:rPr>
          <w:lang w:val="de-DE"/>
        </w:rPr>
        <w:t>Beschließen die Konkursverwalter, den Vertrag auszuführen, hat der Vertragspartner zu Lasten der Masse Anrecht auf die Ausführung der Verbindlichkeit des Konkursschuldners, insoweit sie Leistungen betrifft, die nach dem Datum des Konkurseröffnungsurteils erbracht werden.</w:t>
      </w:r>
    </w:p>
    <w:p w14:paraId="16CFF9E0" w14:textId="77777777" w:rsidR="00EE35E2" w:rsidRPr="004676F5" w:rsidRDefault="00EE35E2" w:rsidP="00EE35E2">
      <w:pPr>
        <w:ind w:firstLine="708"/>
        <w:jc w:val="both"/>
        <w:rPr>
          <w:lang w:val="de-DE"/>
        </w:rPr>
      </w:pPr>
    </w:p>
    <w:p w14:paraId="43B1BB33" w14:textId="62D609D1"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Äußern die Konkursverwalter bei Einstellung der Tätigkeiten, insbesondere anlässlich des Konkurseröffnungsurteils, ausdrücklich oder stillschweigend den Willen, bestehende Arbeitsverträge zu kündigen, müssen sie die besonderen Formalitäten und Verfahren, die auf die Kündigung dieser Verträge Anwendung finden, nicht einhalten.</w:t>
      </w:r>
    </w:p>
    <w:p w14:paraId="14676F8B" w14:textId="77777777" w:rsidR="00EE35E2" w:rsidRPr="004676F5" w:rsidRDefault="00EE35E2" w:rsidP="00EE35E2">
      <w:pPr>
        <w:ind w:firstLine="708"/>
        <w:jc w:val="both"/>
        <w:rPr>
          <w:lang w:val="de-DE"/>
        </w:rPr>
      </w:pPr>
    </w:p>
    <w:p w14:paraId="5F2EDD11" w14:textId="77777777" w:rsidR="00EE35E2" w:rsidRPr="004676F5" w:rsidRDefault="00EE35E2" w:rsidP="00EE35E2">
      <w:pPr>
        <w:ind w:firstLine="708"/>
        <w:jc w:val="both"/>
        <w:rPr>
          <w:lang w:val="de-DE"/>
        </w:rPr>
      </w:pPr>
      <w:r w:rsidRPr="004676F5">
        <w:rPr>
          <w:lang w:val="de-DE"/>
        </w:rPr>
        <w:t>Schließen die Konkursverwalter im Hinblick auf die vollständige oder teilweise Fortsetzung oder die Wiederaufnahme der Tätigkeiten jedoch neue Arbeitsverträge mit den in Absatz 1 erwähnten Vertragspartnern, gelten für diese die Formalitäten und Verfahren der Verträge, die während des Zeitraums der Fortsetzung der Tätigkeiten gekündigt werden.</w:t>
      </w:r>
    </w:p>
    <w:p w14:paraId="23E3D083" w14:textId="77777777" w:rsidR="00EE35E2" w:rsidRPr="004676F5" w:rsidRDefault="00EE35E2" w:rsidP="00EE35E2">
      <w:pPr>
        <w:ind w:firstLine="708"/>
        <w:jc w:val="both"/>
        <w:rPr>
          <w:lang w:val="de-DE"/>
        </w:rPr>
      </w:pPr>
    </w:p>
    <w:p w14:paraId="75C2E450" w14:textId="77777777" w:rsidR="00EE35E2" w:rsidRPr="004676F5" w:rsidRDefault="00EE35E2" w:rsidP="00EE35E2">
      <w:pPr>
        <w:ind w:firstLine="708"/>
        <w:jc w:val="both"/>
        <w:rPr>
          <w:lang w:val="de-DE"/>
        </w:rPr>
      </w:pPr>
      <w:r w:rsidRPr="004676F5">
        <w:rPr>
          <w:lang w:val="de-DE"/>
        </w:rPr>
        <w:t>Nach Konkurseröffnung und vor Abschluss der Liquidation dieses Konkurses haben die Konkursverwalter die Möglichkeit, mit Erlaubnis des Konkursrichters entlassenen Arbeitnehmern einen Vorschuss zu gewähren, der den geschuldeten Entlohnungen und Entschädigungen entspricht und auf 80 Prozent des in Artikel 19 Nr. 3</w:t>
      </w:r>
      <w:r w:rsidRPr="004676F5">
        <w:rPr>
          <w:i/>
          <w:lang w:val="de-DE"/>
        </w:rPr>
        <w:t>ter</w:t>
      </w:r>
      <w:r w:rsidRPr="004676F5">
        <w:rPr>
          <w:lang w:val="de-DE"/>
        </w:rPr>
        <w:t xml:space="preserve"> des Hypotheken</w:t>
      </w:r>
      <w:r w:rsidRPr="004676F5">
        <w:rPr>
          <w:lang w:val="de-DE"/>
        </w:rPr>
        <w:softHyphen/>
        <w:t>gesetzes vom 16. Dezember 1851 erwähnten Betrages begrenzt ist.</w:t>
      </w:r>
    </w:p>
    <w:p w14:paraId="50BDD024" w14:textId="77777777" w:rsidR="00EE35E2" w:rsidRPr="004676F5" w:rsidRDefault="00EE35E2" w:rsidP="00EE35E2">
      <w:pPr>
        <w:ind w:firstLine="708"/>
        <w:jc w:val="both"/>
        <w:rPr>
          <w:lang w:val="de-DE"/>
        </w:rPr>
      </w:pPr>
    </w:p>
    <w:p w14:paraId="1CE6D151" w14:textId="77777777" w:rsidR="00C2771B" w:rsidRPr="004676F5" w:rsidRDefault="00C2771B" w:rsidP="00EE35E2">
      <w:pPr>
        <w:ind w:firstLine="708"/>
        <w:jc w:val="both"/>
        <w:rPr>
          <w:lang w:val="de-DE"/>
        </w:rPr>
      </w:pPr>
    </w:p>
    <w:p w14:paraId="5DF8DAE7" w14:textId="7DF58957" w:rsidR="00EE35E2" w:rsidRPr="004676F5" w:rsidRDefault="00BE0A56" w:rsidP="00EE35E2">
      <w:pPr>
        <w:ind w:firstLine="708"/>
        <w:jc w:val="both"/>
        <w:rPr>
          <w:lang w:val="de-DE"/>
        </w:rPr>
      </w:pPr>
      <w:r w:rsidRPr="004676F5">
        <w:rPr>
          <w:b/>
          <w:lang w:val="de-DE"/>
        </w:rPr>
        <w:t>Art. </w:t>
      </w:r>
      <w:r w:rsidR="00EE35E2" w:rsidRPr="004676F5">
        <w:rPr>
          <w:b/>
          <w:lang w:val="de-DE"/>
        </w:rPr>
        <w:t>XX.140</w:t>
      </w:r>
      <w:r w:rsidR="00EE35E2" w:rsidRPr="004676F5">
        <w:rPr>
          <w:lang w:val="de-DE"/>
        </w:rPr>
        <w:t> </w:t>
      </w:r>
      <w:r w:rsidR="005B7A5C" w:rsidRPr="004676F5">
        <w:rPr>
          <w:lang w:val="de-DE"/>
        </w:rPr>
        <w:t>- </w:t>
      </w:r>
      <w:r w:rsidR="00EE35E2" w:rsidRPr="004676F5">
        <w:rPr>
          <w:lang w:val="de-DE"/>
        </w:rPr>
        <w:t xml:space="preserve">Auf Antrag der Konkursverwalter oder eines Interessehabenden kann das Gericht nach Bericht des Konkursrichters und nach Vernehmung der Konkursverwalter und der Vertreter des Personals im Betriebsrat oder </w:t>
      </w:r>
      <w:r w:rsidR="005B7A5C" w:rsidRPr="004676F5">
        <w:rPr>
          <w:lang w:val="de-DE"/>
        </w:rPr>
        <w:t>- </w:t>
      </w:r>
      <w:r w:rsidR="00EE35E2" w:rsidRPr="004676F5">
        <w:rPr>
          <w:lang w:val="de-DE"/>
        </w:rPr>
        <w:t>in dessen Ermangelung </w:t>
      </w:r>
      <w:r w:rsidR="005B7A5C" w:rsidRPr="004676F5">
        <w:rPr>
          <w:lang w:val="de-DE"/>
        </w:rPr>
        <w:t>- </w:t>
      </w:r>
      <w:r w:rsidR="00EE35E2" w:rsidRPr="004676F5">
        <w:rPr>
          <w:lang w:val="de-DE"/>
        </w:rPr>
        <w:t xml:space="preserve">im Ausschuss für Gefahrenverhütung und Schutz am Arbeitsplatz oder </w:t>
      </w:r>
      <w:r w:rsidR="005B7A5C" w:rsidRPr="004676F5">
        <w:rPr>
          <w:lang w:val="de-DE"/>
        </w:rPr>
        <w:t>- </w:t>
      </w:r>
      <w:r w:rsidR="00EE35E2" w:rsidRPr="004676F5">
        <w:rPr>
          <w:lang w:val="de-DE"/>
        </w:rPr>
        <w:t>in dessen Ermangelung </w:t>
      </w:r>
      <w:r w:rsidR="005B7A5C" w:rsidRPr="004676F5">
        <w:rPr>
          <w:lang w:val="de-DE"/>
        </w:rPr>
        <w:t>- </w:t>
      </w:r>
      <w:r w:rsidR="00EE35E2" w:rsidRPr="004676F5">
        <w:rPr>
          <w:lang w:val="de-DE"/>
        </w:rPr>
        <w:t xml:space="preserve">der Gewerkschaftsvertretung, wenn eine Gewerkschaftsvertretung gebildet worden ist, oder </w:t>
      </w:r>
      <w:r w:rsidR="005B7A5C" w:rsidRPr="004676F5">
        <w:rPr>
          <w:lang w:val="de-DE"/>
        </w:rPr>
        <w:t>- </w:t>
      </w:r>
      <w:r w:rsidR="00EE35E2" w:rsidRPr="004676F5">
        <w:rPr>
          <w:lang w:val="de-DE"/>
        </w:rPr>
        <w:t>in deren Ermangelung </w:t>
      </w:r>
      <w:r w:rsidR="005B7A5C" w:rsidRPr="004676F5">
        <w:rPr>
          <w:lang w:val="de-DE"/>
        </w:rPr>
        <w:t>- </w:t>
      </w:r>
      <w:r w:rsidR="00EE35E2" w:rsidRPr="004676F5">
        <w:rPr>
          <w:lang w:val="de-DE"/>
        </w:rPr>
        <w:t>einer Abordnung des Personals die Ermächtigung erteilen, die Tätigkeiten des Konkursschuldners vorläufig ganz oder teilweise von den Konkursverwaltern oder unter Aufsicht der Konkursverwalter von dem Konkursschuldner oder von einem Dritten fortsetzen zu lassen, sofern die Belange der Gläubiger dem nicht im Wege stehen. Auf Antrag der Konkursverwalter oder eines Interessehabenden und nach Bericht des Konkursrichters kann das Gericht diese Maßnahme jederzeit ändern oder widerrufen.</w:t>
      </w:r>
    </w:p>
    <w:p w14:paraId="2EF2BEE3" w14:textId="77777777" w:rsidR="00EE35E2" w:rsidRPr="004676F5" w:rsidRDefault="00EE35E2" w:rsidP="00EE35E2">
      <w:pPr>
        <w:ind w:firstLine="708"/>
        <w:jc w:val="both"/>
        <w:rPr>
          <w:lang w:val="de-DE"/>
        </w:rPr>
      </w:pPr>
    </w:p>
    <w:p w14:paraId="3191E4AE" w14:textId="77777777" w:rsidR="00EE35E2" w:rsidRPr="004676F5" w:rsidRDefault="00EE35E2" w:rsidP="00EE35E2">
      <w:pPr>
        <w:ind w:firstLine="708"/>
        <w:jc w:val="both"/>
        <w:rPr>
          <w:lang w:val="de-DE"/>
        </w:rPr>
      </w:pPr>
      <w:r w:rsidRPr="004676F5">
        <w:rPr>
          <w:lang w:val="de-DE"/>
        </w:rPr>
        <w:t xml:space="preserve">Unmittelbar nach dem Konkurseröffnungsurteil können die Konkursverwalter nach Konzertierung mit den repräsentativen Gewerkschaften oder, in deren Ermangelung, mit dem </w:t>
      </w:r>
      <w:r w:rsidRPr="004676F5">
        <w:rPr>
          <w:lang w:val="de-DE"/>
        </w:rPr>
        <w:lastRenderedPageBreak/>
        <w:t>anwesenden Personal im Interesse der Masse und in Erwartung der in Anwendung von Absatz 1 zu fassenden Entscheidung des Gerichts die Fortsetzung der Tätigkeiten erlauben.</w:t>
      </w:r>
    </w:p>
    <w:p w14:paraId="44FEB55C" w14:textId="77777777" w:rsidR="00EE35E2" w:rsidRPr="004676F5" w:rsidRDefault="00EE35E2" w:rsidP="00EE35E2">
      <w:pPr>
        <w:ind w:firstLine="708"/>
        <w:jc w:val="both"/>
        <w:rPr>
          <w:lang w:val="de-DE"/>
        </w:rPr>
      </w:pPr>
    </w:p>
    <w:p w14:paraId="7A807591" w14:textId="77777777" w:rsidR="00C2771B" w:rsidRPr="004676F5" w:rsidRDefault="00C2771B" w:rsidP="00EE35E2">
      <w:pPr>
        <w:ind w:firstLine="708"/>
        <w:jc w:val="both"/>
        <w:rPr>
          <w:lang w:val="de-DE"/>
        </w:rPr>
      </w:pPr>
    </w:p>
    <w:p w14:paraId="2D2B3224" w14:textId="31D9847C" w:rsidR="00EE35E2" w:rsidRPr="004676F5" w:rsidRDefault="00BE0A56" w:rsidP="00EE35E2">
      <w:pPr>
        <w:ind w:firstLine="708"/>
        <w:jc w:val="both"/>
        <w:rPr>
          <w:lang w:val="de-DE"/>
        </w:rPr>
      </w:pPr>
      <w:r w:rsidRPr="004676F5">
        <w:rPr>
          <w:b/>
          <w:lang w:val="de-DE"/>
        </w:rPr>
        <w:t>Art. </w:t>
      </w:r>
      <w:r w:rsidR="00EE35E2" w:rsidRPr="004676F5">
        <w:rPr>
          <w:b/>
          <w:lang w:val="de-DE"/>
        </w:rPr>
        <w:t>XX.141</w:t>
      </w:r>
      <w:r w:rsidR="00EE35E2" w:rsidRPr="004676F5">
        <w:rPr>
          <w:lang w:val="de-DE"/>
        </w:rPr>
        <w:t> </w:t>
      </w:r>
      <w:r w:rsidR="005B7A5C" w:rsidRPr="004676F5">
        <w:rPr>
          <w:lang w:val="de-DE"/>
        </w:rPr>
        <w:t>- </w:t>
      </w:r>
      <w:r w:rsidR="00EE35E2" w:rsidRPr="004676F5">
        <w:rPr>
          <w:lang w:val="de-DE"/>
        </w:rPr>
        <w:t>Mit Erlaubnis des Konkursrichters können die Konkursverwalter dem Konkursschuldner, der eine natürliche Person ist, und seiner Familie den Hausrat und die Sachen abgeben, die für den Eigenverbrauch notwendig sind. Die Konkursverwalter stellen ein Inventar dieser Gegenstände auf. Mit Erlaubnis des Konkursrichters können sie dem Konkursschuldner, der eine natürliche Person ist, und seiner Familie auch Lebensunterhalt gewähren.</w:t>
      </w:r>
    </w:p>
    <w:p w14:paraId="6D2F494C" w14:textId="77777777" w:rsidR="00EE35E2" w:rsidRPr="004676F5" w:rsidRDefault="00EE35E2" w:rsidP="00EE35E2">
      <w:pPr>
        <w:ind w:firstLine="708"/>
        <w:jc w:val="both"/>
        <w:rPr>
          <w:lang w:val="de-DE"/>
        </w:rPr>
      </w:pPr>
    </w:p>
    <w:p w14:paraId="4A1BC79E" w14:textId="77777777" w:rsidR="00EE35E2" w:rsidRPr="004676F5" w:rsidRDefault="00EE35E2" w:rsidP="00EE35E2">
      <w:pPr>
        <w:ind w:firstLine="708"/>
        <w:jc w:val="both"/>
        <w:rPr>
          <w:lang w:val="de-DE"/>
        </w:rPr>
      </w:pPr>
      <w:r w:rsidRPr="004676F5">
        <w:rPr>
          <w:lang w:val="de-DE"/>
        </w:rPr>
        <w:t>Beanstandungen in Bezug auf die Anwendung des vorliegenden Artikels sind durch Antragschrift an das Gericht zu richten.</w:t>
      </w:r>
    </w:p>
    <w:p w14:paraId="26C5DE87" w14:textId="77777777" w:rsidR="00EE35E2" w:rsidRPr="004676F5" w:rsidRDefault="00EE35E2" w:rsidP="00EE35E2">
      <w:pPr>
        <w:ind w:firstLine="708"/>
        <w:jc w:val="both"/>
        <w:rPr>
          <w:lang w:val="de-DE"/>
        </w:rPr>
      </w:pPr>
    </w:p>
    <w:p w14:paraId="0FF6AAA0" w14:textId="77777777" w:rsidR="00C2771B" w:rsidRPr="004676F5" w:rsidRDefault="00C2771B" w:rsidP="00EE35E2">
      <w:pPr>
        <w:ind w:firstLine="708"/>
        <w:jc w:val="both"/>
        <w:rPr>
          <w:lang w:val="de-DE"/>
        </w:rPr>
      </w:pPr>
    </w:p>
    <w:p w14:paraId="04FC7DD7" w14:textId="34A21ECF" w:rsidR="00EE35E2" w:rsidRPr="004676F5" w:rsidRDefault="00BE0A56" w:rsidP="00EE35E2">
      <w:pPr>
        <w:ind w:firstLine="708"/>
        <w:jc w:val="both"/>
        <w:rPr>
          <w:lang w:val="de-DE"/>
        </w:rPr>
      </w:pPr>
      <w:r w:rsidRPr="004676F5">
        <w:rPr>
          <w:b/>
          <w:lang w:val="de-DE"/>
        </w:rPr>
        <w:t>Art. </w:t>
      </w:r>
      <w:r w:rsidR="00EE35E2" w:rsidRPr="004676F5">
        <w:rPr>
          <w:b/>
          <w:lang w:val="de-DE"/>
        </w:rPr>
        <w:t>XX.142</w:t>
      </w:r>
      <w:r w:rsidR="00EE35E2" w:rsidRPr="004676F5">
        <w:rPr>
          <w:lang w:val="de-DE"/>
        </w:rPr>
        <w:t> </w:t>
      </w:r>
      <w:r w:rsidR="005B7A5C" w:rsidRPr="004676F5">
        <w:rPr>
          <w:lang w:val="de-DE"/>
        </w:rPr>
        <w:t>- </w:t>
      </w:r>
      <w:r w:rsidR="00EE35E2" w:rsidRPr="004676F5">
        <w:rPr>
          <w:lang w:val="de-DE"/>
        </w:rPr>
        <w:t xml:space="preserve">Die Konkursverwalter können </w:t>
      </w:r>
      <w:r w:rsidR="005B7A5C" w:rsidRPr="004676F5">
        <w:rPr>
          <w:lang w:val="de-DE"/>
        </w:rPr>
        <w:t>- </w:t>
      </w:r>
      <w:r w:rsidR="00EE35E2" w:rsidRPr="004676F5">
        <w:rPr>
          <w:lang w:val="de-DE"/>
        </w:rPr>
        <w:t>auch bei Anfechtung des Konkurs</w:t>
      </w:r>
      <w:r w:rsidR="00EE35E2" w:rsidRPr="004676F5">
        <w:rPr>
          <w:lang w:val="de-DE"/>
        </w:rPr>
        <w:softHyphen/>
        <w:t>eröffnungsurteils </w:t>
      </w:r>
      <w:r w:rsidR="005B7A5C" w:rsidRPr="004676F5">
        <w:rPr>
          <w:lang w:val="de-DE"/>
        </w:rPr>
        <w:t>- </w:t>
      </w:r>
      <w:r w:rsidR="00EE35E2" w:rsidRPr="004676F5">
        <w:rPr>
          <w:lang w:val="de-DE"/>
        </w:rPr>
        <w:t>mit Ermächtigung des Konkursrichters unverzüglich die Aktiva veräußern, wenn sie schnellem Verderb beziehungsweise schneller Wertminderung ausgesetzt sind oder wenn die Kosten für die Aufbewahrung der Güter angesichts der Konkursaktiva zu hoch sind.</w:t>
      </w:r>
    </w:p>
    <w:p w14:paraId="6574600B" w14:textId="77777777" w:rsidR="00EE35E2" w:rsidRPr="004676F5" w:rsidRDefault="00EE35E2" w:rsidP="00EE35E2">
      <w:pPr>
        <w:ind w:firstLine="708"/>
        <w:jc w:val="both"/>
        <w:rPr>
          <w:lang w:val="de-DE"/>
        </w:rPr>
      </w:pPr>
    </w:p>
    <w:p w14:paraId="3C957604" w14:textId="77777777" w:rsidR="00C2771B" w:rsidRPr="004676F5" w:rsidRDefault="00C2771B" w:rsidP="00EE35E2">
      <w:pPr>
        <w:ind w:firstLine="708"/>
        <w:jc w:val="both"/>
        <w:rPr>
          <w:lang w:val="de-DE"/>
        </w:rPr>
      </w:pPr>
    </w:p>
    <w:p w14:paraId="4CDD4022" w14:textId="60C7767A" w:rsidR="00EE35E2" w:rsidRPr="004676F5" w:rsidRDefault="00BE0A56" w:rsidP="00EE35E2">
      <w:pPr>
        <w:ind w:firstLine="708"/>
        <w:jc w:val="both"/>
        <w:rPr>
          <w:lang w:val="de-DE"/>
        </w:rPr>
      </w:pPr>
      <w:r w:rsidRPr="004676F5">
        <w:rPr>
          <w:b/>
          <w:lang w:val="de-DE"/>
        </w:rPr>
        <w:t>Art. </w:t>
      </w:r>
      <w:r w:rsidR="00EE35E2" w:rsidRPr="004676F5">
        <w:rPr>
          <w:b/>
          <w:lang w:val="de-DE"/>
        </w:rPr>
        <w:t>XX.143</w:t>
      </w:r>
      <w:r w:rsidR="00EE35E2" w:rsidRPr="004676F5">
        <w:rPr>
          <w:lang w:val="de-DE"/>
        </w:rPr>
        <w:t> </w:t>
      </w:r>
      <w:r w:rsidR="005B7A5C" w:rsidRPr="004676F5">
        <w:rPr>
          <w:lang w:val="de-DE"/>
        </w:rPr>
        <w:t>- </w:t>
      </w:r>
      <w:r w:rsidR="00EE35E2" w:rsidRPr="004676F5">
        <w:rPr>
          <w:lang w:val="de-DE"/>
        </w:rPr>
        <w:t>An den Konkursschuldner gerichtete Briefsendungen werden den Konkursverwaltern von jedem Postbetreiber übergeben auf einen von den Konkursverwaltern unterzeichneten schriftlichen Antrag hin, der mit Angabe von Namen und Adresse des Konkursschuldners an den Postbetreiber gerichtet wird. Die Konkursverwalter öffnen die Briefsendungen. Ist der Konkursschuldner anwesend, wohnt er ihrer Öffnung bei. Briefsendungen, die nicht ausschließlich die wirtschaftliche Tätigkeit des Konkursschuldners oder eine neue Tätigkeit des Konkursschuldners betreffen, werden von den Konkursverwaltern an den Konkursschuldner übermittelt oder an die vom Konkursschuldner angegebene Adresse gesandt.</w:t>
      </w:r>
    </w:p>
    <w:p w14:paraId="5EF23988" w14:textId="77777777" w:rsidR="00EE35E2" w:rsidRPr="004676F5" w:rsidRDefault="00EE35E2" w:rsidP="00EE35E2">
      <w:pPr>
        <w:ind w:firstLine="708"/>
        <w:jc w:val="both"/>
        <w:rPr>
          <w:lang w:val="de-DE"/>
        </w:rPr>
      </w:pPr>
    </w:p>
    <w:p w14:paraId="0D9606CD" w14:textId="77777777" w:rsidR="00EE35E2" w:rsidRPr="004676F5" w:rsidRDefault="00EE35E2" w:rsidP="00EE35E2">
      <w:pPr>
        <w:ind w:firstLine="708"/>
        <w:jc w:val="both"/>
        <w:rPr>
          <w:lang w:val="de-DE"/>
        </w:rPr>
      </w:pPr>
      <w:r w:rsidRPr="004676F5">
        <w:rPr>
          <w:lang w:val="de-DE"/>
        </w:rPr>
        <w:t>Nach Hinterlegung des ersten Protokolls über die Prüfung der Forderungen kann der Konkursschuldner, der eine natürliche Person ist, den Konkursrichter um Erlaubnis bitten, an ihn gerichtete Briefsendungen persönlich zu öffnen.</w:t>
      </w:r>
    </w:p>
    <w:p w14:paraId="4F8FABA1" w14:textId="77777777" w:rsidR="00EE35E2" w:rsidRPr="004676F5" w:rsidRDefault="00EE35E2" w:rsidP="00EE35E2">
      <w:pPr>
        <w:ind w:firstLine="708"/>
        <w:jc w:val="both"/>
        <w:rPr>
          <w:lang w:val="de-DE"/>
        </w:rPr>
      </w:pPr>
    </w:p>
    <w:p w14:paraId="55B8326D" w14:textId="521367BC" w:rsidR="00EE35E2" w:rsidRPr="004676F5" w:rsidRDefault="00EE35E2" w:rsidP="00EE35E2">
      <w:pPr>
        <w:ind w:firstLine="708"/>
        <w:jc w:val="both"/>
        <w:rPr>
          <w:lang w:val="de-DE"/>
        </w:rPr>
      </w:pPr>
      <w:r w:rsidRPr="004676F5">
        <w:rPr>
          <w:lang w:val="de-DE"/>
        </w:rPr>
        <w:t xml:space="preserve">Bei Verweigerung muss der Konkursrichter </w:t>
      </w:r>
      <w:r w:rsidR="00B12711" w:rsidRPr="004676F5">
        <w:rPr>
          <w:lang w:val="de-DE"/>
        </w:rPr>
        <w:t>seine Entscheidung</w:t>
      </w:r>
      <w:r w:rsidRPr="004676F5">
        <w:rPr>
          <w:lang w:val="de-DE"/>
        </w:rPr>
        <w:t xml:space="preserve"> mit Gründen versehen.</w:t>
      </w:r>
    </w:p>
    <w:p w14:paraId="167371DE" w14:textId="77777777" w:rsidR="00EE35E2" w:rsidRPr="004676F5" w:rsidRDefault="00EE35E2" w:rsidP="00EE35E2">
      <w:pPr>
        <w:ind w:firstLine="708"/>
        <w:jc w:val="both"/>
        <w:rPr>
          <w:lang w:val="de-DE"/>
        </w:rPr>
      </w:pPr>
    </w:p>
    <w:p w14:paraId="65E40532" w14:textId="77777777" w:rsidR="00EE35E2" w:rsidRPr="004676F5" w:rsidRDefault="00EE35E2" w:rsidP="00EE35E2">
      <w:pPr>
        <w:ind w:firstLine="708"/>
        <w:jc w:val="both"/>
        <w:rPr>
          <w:lang w:val="de-DE"/>
        </w:rPr>
      </w:pPr>
      <w:r w:rsidRPr="004676F5">
        <w:rPr>
          <w:lang w:val="de-DE"/>
        </w:rPr>
        <w:t>An einen Freiberufler gerichtete Briefsendungen werden dem Konkursverwalter gemäß den von der Kammer oder dem Institut festgelegten Richtlinien übergeben, der/dem der Schuldner zum Zeitpunkt des Konkurses untersteht.</w:t>
      </w:r>
    </w:p>
    <w:p w14:paraId="77A84E2A" w14:textId="77777777" w:rsidR="00EE35E2" w:rsidRPr="004676F5" w:rsidRDefault="00EE35E2" w:rsidP="00EE35E2">
      <w:pPr>
        <w:ind w:firstLine="708"/>
        <w:jc w:val="both"/>
        <w:rPr>
          <w:lang w:val="de-DE"/>
        </w:rPr>
      </w:pPr>
    </w:p>
    <w:p w14:paraId="0ECB9CE5" w14:textId="77777777" w:rsidR="00C2771B" w:rsidRPr="004676F5" w:rsidRDefault="00C2771B" w:rsidP="00EE35E2">
      <w:pPr>
        <w:ind w:firstLine="708"/>
        <w:jc w:val="both"/>
        <w:rPr>
          <w:lang w:val="de-DE"/>
        </w:rPr>
      </w:pPr>
    </w:p>
    <w:p w14:paraId="344EA594" w14:textId="6172052A" w:rsidR="00EE35E2" w:rsidRPr="004676F5" w:rsidRDefault="00BE0A56" w:rsidP="00EE35E2">
      <w:pPr>
        <w:ind w:firstLine="708"/>
        <w:jc w:val="both"/>
        <w:rPr>
          <w:lang w:val="de-DE"/>
        </w:rPr>
      </w:pPr>
      <w:r w:rsidRPr="004676F5">
        <w:rPr>
          <w:b/>
          <w:lang w:val="de-DE"/>
        </w:rPr>
        <w:t>Art. </w:t>
      </w:r>
      <w:r w:rsidR="00EE35E2" w:rsidRPr="004676F5">
        <w:rPr>
          <w:b/>
          <w:lang w:val="de-DE"/>
        </w:rPr>
        <w:t>XX.144</w:t>
      </w:r>
      <w:r w:rsidR="00EE35E2" w:rsidRPr="004676F5">
        <w:rPr>
          <w:lang w:val="de-DE"/>
        </w:rPr>
        <w:t> </w:t>
      </w:r>
      <w:r w:rsidR="005B7A5C" w:rsidRPr="004676F5">
        <w:rPr>
          <w:lang w:val="de-DE"/>
        </w:rPr>
        <w:t>- </w:t>
      </w:r>
      <w:r w:rsidR="00EE35E2" w:rsidRPr="004676F5">
        <w:rPr>
          <w:lang w:val="de-DE"/>
        </w:rPr>
        <w:t>Forderungen oder Summen, die dem Konkursschuldner geschuldet werden, werden von den Konkursverwaltern ermittelt und gegen Quittung beigetrieben.</w:t>
      </w:r>
    </w:p>
    <w:p w14:paraId="4832F4EF" w14:textId="77777777" w:rsidR="00EE35E2" w:rsidRPr="004676F5" w:rsidRDefault="00EE35E2" w:rsidP="00EE35E2">
      <w:pPr>
        <w:ind w:firstLine="708"/>
        <w:jc w:val="both"/>
        <w:rPr>
          <w:lang w:val="de-DE"/>
        </w:rPr>
      </w:pPr>
    </w:p>
    <w:p w14:paraId="65EB4A51" w14:textId="3374F1DC" w:rsidR="00EE35E2" w:rsidRPr="004676F5" w:rsidRDefault="00EE35E2" w:rsidP="00EE35E2">
      <w:pPr>
        <w:ind w:firstLine="708"/>
        <w:jc w:val="both"/>
        <w:rPr>
          <w:lang w:val="de-DE"/>
        </w:rPr>
      </w:pPr>
      <w:r w:rsidRPr="004676F5">
        <w:rPr>
          <w:lang w:val="de-DE"/>
        </w:rPr>
        <w:t>Gelder aus den von den Konkursverwaltern vorgenommenen Veräußerungen und Beitreibungen werden im Laufe des Monats nach Entgegennahme bei der Hinterlegungs</w:t>
      </w:r>
      <w:r w:rsidR="005B7A5C" w:rsidRPr="004676F5">
        <w:rPr>
          <w:lang w:val="de-DE"/>
        </w:rPr>
        <w:t>- </w:t>
      </w:r>
      <w:r w:rsidRPr="004676F5">
        <w:rPr>
          <w:lang w:val="de-DE"/>
        </w:rPr>
        <w:t xml:space="preserve">und Konsignationskasse eingezahlt. Zur Finanzierung der laufenden Geschäfte kann der Konkursverwalter unter Aufsicht des Konkursrichters einen beschränkten Betrag auf einem pro </w:t>
      </w:r>
      <w:r w:rsidRPr="004676F5">
        <w:rPr>
          <w:lang w:val="de-DE"/>
        </w:rPr>
        <w:lastRenderedPageBreak/>
        <w:t>Konkurs individualisierten Konto aufbewahren; der Konkursrichter legt den diesbezüglichen Höchstbetrag fest.</w:t>
      </w:r>
    </w:p>
    <w:p w14:paraId="0E8EE8EF" w14:textId="77777777" w:rsidR="00EE35E2" w:rsidRPr="004676F5" w:rsidRDefault="00EE35E2" w:rsidP="00EE35E2">
      <w:pPr>
        <w:ind w:firstLine="708"/>
        <w:jc w:val="both"/>
        <w:rPr>
          <w:lang w:val="de-DE"/>
        </w:rPr>
      </w:pPr>
    </w:p>
    <w:p w14:paraId="1B8AD4B2" w14:textId="77777777" w:rsidR="00EE35E2" w:rsidRPr="004676F5" w:rsidRDefault="00EE35E2" w:rsidP="00EE35E2">
      <w:pPr>
        <w:ind w:firstLine="708"/>
        <w:jc w:val="both"/>
        <w:rPr>
          <w:lang w:val="de-DE"/>
        </w:rPr>
      </w:pPr>
      <w:r w:rsidRPr="004676F5">
        <w:rPr>
          <w:lang w:val="de-DE"/>
        </w:rPr>
        <w:t>Bei Verzug schulden die Konkursverwalter unbeschadet der Anwendung von Artikel XX.20 Verzugszinsen zum gesetzlichen Zinssatz für Summen, die sie nicht eingezahlt haben.</w:t>
      </w:r>
    </w:p>
    <w:p w14:paraId="380E6929" w14:textId="77777777" w:rsidR="00EE35E2" w:rsidRPr="004676F5" w:rsidRDefault="00EE35E2" w:rsidP="00EE35E2">
      <w:pPr>
        <w:ind w:firstLine="708"/>
        <w:jc w:val="both"/>
        <w:rPr>
          <w:lang w:val="de-DE"/>
        </w:rPr>
      </w:pPr>
    </w:p>
    <w:p w14:paraId="1BE52216" w14:textId="77777777" w:rsidR="00C2771B" w:rsidRPr="004676F5" w:rsidRDefault="00C2771B" w:rsidP="00EE35E2">
      <w:pPr>
        <w:ind w:firstLine="708"/>
        <w:jc w:val="both"/>
        <w:rPr>
          <w:lang w:val="de-DE"/>
        </w:rPr>
      </w:pPr>
    </w:p>
    <w:p w14:paraId="405977D0" w14:textId="511ACCF6" w:rsidR="00EE35E2" w:rsidRPr="004676F5" w:rsidRDefault="00BE0A56" w:rsidP="00EE35E2">
      <w:pPr>
        <w:ind w:firstLine="708"/>
        <w:jc w:val="both"/>
        <w:rPr>
          <w:lang w:val="de-DE"/>
        </w:rPr>
      </w:pPr>
      <w:r w:rsidRPr="004676F5">
        <w:rPr>
          <w:b/>
          <w:lang w:val="de-DE"/>
        </w:rPr>
        <w:t>Art. </w:t>
      </w:r>
      <w:r w:rsidR="00EE35E2" w:rsidRPr="004676F5">
        <w:rPr>
          <w:b/>
          <w:lang w:val="de-DE"/>
        </w:rPr>
        <w:t>XX.145</w:t>
      </w:r>
      <w:r w:rsidR="00EE35E2" w:rsidRPr="004676F5">
        <w:rPr>
          <w:lang w:val="de-DE"/>
        </w:rPr>
        <w:t> </w:t>
      </w:r>
      <w:r w:rsidR="005B7A5C" w:rsidRPr="004676F5">
        <w:rPr>
          <w:lang w:val="de-DE"/>
        </w:rPr>
        <w:t>- </w:t>
      </w:r>
      <w:r w:rsidR="00EE35E2" w:rsidRPr="004676F5">
        <w:rPr>
          <w:lang w:val="de-DE"/>
        </w:rPr>
        <w:t xml:space="preserve">Die Zahlung der den Gläubigern zugeteilten Beträge wird von den Konkursverwaltern auf Vorlage </w:t>
      </w:r>
      <w:r w:rsidR="005C0AC4" w:rsidRPr="004676F5">
        <w:rPr>
          <w:lang w:val="de-DE"/>
        </w:rPr>
        <w:t>[eines vom Konkursrichter unterzeichneten]</w:t>
      </w:r>
      <w:r w:rsidR="00EE35E2" w:rsidRPr="004676F5">
        <w:rPr>
          <w:lang w:val="de-DE"/>
        </w:rPr>
        <w:t xml:space="preserve"> und in der Konkursakte hinterlegten Verteilungsplans vorgenommen.</w:t>
      </w:r>
    </w:p>
    <w:p w14:paraId="43564DE4" w14:textId="77777777" w:rsidR="00EE35E2" w:rsidRPr="004676F5" w:rsidRDefault="00EE35E2" w:rsidP="00EE35E2">
      <w:pPr>
        <w:ind w:firstLine="708"/>
        <w:jc w:val="both"/>
        <w:rPr>
          <w:lang w:val="de-DE"/>
        </w:rPr>
      </w:pPr>
    </w:p>
    <w:p w14:paraId="60F6E9CF" w14:textId="0B8680CE" w:rsidR="00EE35E2" w:rsidRPr="004676F5" w:rsidRDefault="00EE35E2" w:rsidP="00EE35E2">
      <w:pPr>
        <w:ind w:firstLine="708"/>
        <w:jc w:val="both"/>
        <w:rPr>
          <w:lang w:val="de-DE"/>
        </w:rPr>
      </w:pPr>
      <w:r w:rsidRPr="004676F5">
        <w:rPr>
          <w:lang w:val="de-DE"/>
        </w:rPr>
        <w:t>Beträge, die den Konkursverwaltern als Honorar oder Honorarvorschuss, vorgesehen in Artikel XX.20, geschuldet werden, und ihre Kosten, Gerichtskosten und Dritten geschuldete Kosten im Rahmen der Liquidation werden vom Gericht auf der Grundlage eines dazu eingereichten Antrags und der Stellungnahme des Konkursrichters festgesetzt. Anträgen auf Festsetzung von Gerichtskosten und Dritten geschuldeten Kosten werden entsprechende Belege beigefügt. Die erwähnten Honorare, Kosten und Auslagen werden dem Konkursverwalter auf der Grundlage einer mit dem Sichtvermerk des Konkursrichters versehenen Aufstellung von der Hinterlegungs</w:t>
      </w:r>
      <w:r w:rsidR="005B7A5C" w:rsidRPr="004676F5">
        <w:rPr>
          <w:lang w:val="de-DE"/>
        </w:rPr>
        <w:t>- </w:t>
      </w:r>
      <w:r w:rsidRPr="004676F5">
        <w:rPr>
          <w:lang w:val="de-DE"/>
        </w:rPr>
        <w:t>und Konsignationskasse gezahlt.</w:t>
      </w:r>
    </w:p>
    <w:p w14:paraId="7B749D10" w14:textId="77777777" w:rsidR="00EE35E2" w:rsidRPr="004676F5" w:rsidRDefault="00EE35E2" w:rsidP="00EE35E2">
      <w:pPr>
        <w:ind w:firstLine="708"/>
        <w:jc w:val="both"/>
        <w:rPr>
          <w:lang w:val="de-DE"/>
        </w:rPr>
      </w:pPr>
    </w:p>
    <w:p w14:paraId="43BA5A1C" w14:textId="49B6641D" w:rsidR="00EE35E2" w:rsidRPr="004676F5" w:rsidRDefault="00EE35E2" w:rsidP="00EE35E2">
      <w:pPr>
        <w:ind w:firstLine="708"/>
        <w:jc w:val="both"/>
        <w:rPr>
          <w:lang w:val="de-DE"/>
        </w:rPr>
      </w:pPr>
      <w:r w:rsidRPr="004676F5">
        <w:rPr>
          <w:lang w:val="de-DE"/>
        </w:rPr>
        <w:t>Summen, die bei Abschluss des Konkursverfahrens nicht verteilt werden konnten, werden zugunsten der betreffenden Gläubiger bei der Hinterlegungs</w:t>
      </w:r>
      <w:r w:rsidR="005B7A5C" w:rsidRPr="004676F5">
        <w:rPr>
          <w:lang w:val="de-DE"/>
        </w:rPr>
        <w:t>- </w:t>
      </w:r>
      <w:r w:rsidRPr="004676F5">
        <w:rPr>
          <w:lang w:val="de-DE"/>
        </w:rPr>
        <w:t>und Konsignationskasse eingezahlt.</w:t>
      </w:r>
    </w:p>
    <w:p w14:paraId="5F1FC235" w14:textId="69AE30E8" w:rsidR="00EE35E2" w:rsidRPr="004676F5" w:rsidRDefault="00EE35E2" w:rsidP="00EE35E2">
      <w:pPr>
        <w:ind w:firstLine="708"/>
        <w:jc w:val="both"/>
        <w:rPr>
          <w:lang w:val="de-DE"/>
        </w:rPr>
      </w:pPr>
    </w:p>
    <w:p w14:paraId="5A971E61" w14:textId="7C1273EC" w:rsidR="005C0AC4" w:rsidRPr="004676F5" w:rsidRDefault="005C0AC4" w:rsidP="005C0AC4">
      <w:pPr>
        <w:jc w:val="both"/>
        <w:rPr>
          <w:i/>
          <w:lang w:val="de-DE"/>
        </w:rPr>
      </w:pPr>
      <w:r w:rsidRPr="004676F5">
        <w:rPr>
          <w:i/>
          <w:lang w:val="de-DE"/>
        </w:rPr>
        <w:t>[Art. XX.145 Abs. 1 abgeändert durch Art. 236</w:t>
      </w:r>
      <w:r w:rsidR="007109BD" w:rsidRPr="004676F5">
        <w:rPr>
          <w:i/>
          <w:lang w:val="de-DE"/>
        </w:rPr>
        <w:t xml:space="preserve"> des G. vom 15. April 2018 (B.S. vom 27. April 2018)]</w:t>
      </w:r>
    </w:p>
    <w:p w14:paraId="6AF62D67" w14:textId="77777777" w:rsidR="007109BD" w:rsidRPr="004676F5" w:rsidRDefault="007109BD" w:rsidP="005C0AC4">
      <w:pPr>
        <w:jc w:val="both"/>
        <w:rPr>
          <w:i/>
          <w:lang w:val="de-DE"/>
        </w:rPr>
      </w:pPr>
    </w:p>
    <w:p w14:paraId="606A4385" w14:textId="77777777" w:rsidR="00C2771B" w:rsidRPr="004676F5" w:rsidRDefault="00C2771B" w:rsidP="00EE35E2">
      <w:pPr>
        <w:ind w:firstLine="708"/>
        <w:jc w:val="both"/>
        <w:rPr>
          <w:lang w:val="de-DE"/>
        </w:rPr>
      </w:pPr>
    </w:p>
    <w:p w14:paraId="67AD1E1B" w14:textId="016DFF76" w:rsidR="00EE35E2" w:rsidRPr="004676F5" w:rsidRDefault="00BE0A56" w:rsidP="00EE35E2">
      <w:pPr>
        <w:ind w:firstLine="708"/>
        <w:jc w:val="both"/>
        <w:rPr>
          <w:lang w:val="de-DE"/>
        </w:rPr>
      </w:pPr>
      <w:r w:rsidRPr="004676F5">
        <w:rPr>
          <w:b/>
          <w:lang w:val="de-DE"/>
        </w:rPr>
        <w:t>Art. </w:t>
      </w:r>
      <w:r w:rsidR="00EE35E2" w:rsidRPr="004676F5">
        <w:rPr>
          <w:b/>
          <w:lang w:val="de-DE"/>
        </w:rPr>
        <w:t>XX.146</w:t>
      </w:r>
      <w:r w:rsidR="00EE35E2" w:rsidRPr="004676F5">
        <w:rPr>
          <w:lang w:val="de-DE"/>
        </w:rPr>
        <w:t> </w:t>
      </w:r>
      <w:r w:rsidR="005B7A5C" w:rsidRPr="004676F5">
        <w:rPr>
          <w:lang w:val="de-DE"/>
        </w:rPr>
        <w:t>- </w:t>
      </w:r>
      <w:r w:rsidR="00EE35E2" w:rsidRPr="004676F5">
        <w:rPr>
          <w:lang w:val="de-DE"/>
        </w:rPr>
        <w:t xml:space="preserve">Der Konkursschuldner oder die Geschäftsführer und Verwalter der in Konkurs geratenen juristischen Person folgen allen Vorladungen, die sie entweder vom Konkursrichter oder von den Konkursverwaltern erhalten, </w:t>
      </w:r>
      <w:r w:rsidR="000701A7" w:rsidRPr="004676F5">
        <w:rPr>
          <w:lang w:val="de-DE"/>
        </w:rPr>
        <w:t>[geben ihnen zum Zeitpunkt des Konkurses und danach alle erforderlichen Auskünfte und tragen sich mit einer von ihnen verwalteten E-Mail-Adresse, unter der sie alle Benachrichtigungen und Mitteilungen erhalten können, in das Register ein]</w:t>
      </w:r>
      <w:r w:rsidR="00EE35E2" w:rsidRPr="004676F5">
        <w:rPr>
          <w:lang w:val="de-DE"/>
        </w:rPr>
        <w:t>.</w:t>
      </w:r>
    </w:p>
    <w:p w14:paraId="7768D503" w14:textId="77777777" w:rsidR="00EE35E2" w:rsidRPr="004676F5" w:rsidRDefault="00EE35E2" w:rsidP="00EE35E2">
      <w:pPr>
        <w:ind w:firstLine="708"/>
        <w:jc w:val="both"/>
        <w:rPr>
          <w:lang w:val="de-DE"/>
        </w:rPr>
      </w:pPr>
    </w:p>
    <w:p w14:paraId="0BC0C0D0" w14:textId="77777777" w:rsidR="00EE35E2" w:rsidRPr="004676F5" w:rsidRDefault="00EE35E2" w:rsidP="00EE35E2">
      <w:pPr>
        <w:ind w:firstLine="708"/>
        <w:jc w:val="both"/>
        <w:rPr>
          <w:lang w:val="de-DE"/>
        </w:rPr>
      </w:pPr>
      <w:r w:rsidRPr="004676F5">
        <w:rPr>
          <w:lang w:val="de-DE"/>
        </w:rPr>
        <w:t>Der Konkursschuldner oder die Geschäftsführer und Verwalter der in Konkurs geratenen juristischen Person müssen den Konkursverwaltern jeden Adressenwechsel und jede neue elektronische Adresse mitteilen. Ansonsten gelten die Vorladungen als gültig, wenn sie an die letzte Adresse gerichtet werden, die der Betreffende den Konkursverwaltern mitgeteilt hat.</w:t>
      </w:r>
    </w:p>
    <w:p w14:paraId="0C9D9AAA" w14:textId="77777777" w:rsidR="000701A7" w:rsidRPr="004676F5" w:rsidRDefault="000701A7" w:rsidP="000701A7">
      <w:pPr>
        <w:jc w:val="both"/>
        <w:rPr>
          <w:lang w:val="de-DE"/>
        </w:rPr>
      </w:pPr>
    </w:p>
    <w:p w14:paraId="4AC755D5" w14:textId="63A58898" w:rsidR="000701A7" w:rsidRPr="004676F5" w:rsidRDefault="000701A7" w:rsidP="000701A7">
      <w:pPr>
        <w:jc w:val="both"/>
        <w:rPr>
          <w:i/>
          <w:iCs/>
          <w:lang w:val="de-DE"/>
        </w:rPr>
      </w:pPr>
      <w:r w:rsidRPr="004676F5">
        <w:rPr>
          <w:i/>
          <w:iCs/>
          <w:lang w:val="de-DE"/>
        </w:rPr>
        <w:t>[Art. XX.146 Abs. 1 abgeändert durch Art. 222 des G. vom 7. Juni 2023 (B.S. vom 7. Juli 2023)]</w:t>
      </w:r>
    </w:p>
    <w:p w14:paraId="7CB1B49D" w14:textId="77777777" w:rsidR="00EE35E2" w:rsidRPr="004676F5" w:rsidRDefault="00EE35E2" w:rsidP="00EE35E2">
      <w:pPr>
        <w:ind w:firstLine="708"/>
        <w:jc w:val="both"/>
        <w:rPr>
          <w:lang w:val="de-DE"/>
        </w:rPr>
      </w:pPr>
    </w:p>
    <w:p w14:paraId="486AEF0F" w14:textId="77777777" w:rsidR="00C2771B" w:rsidRPr="004676F5" w:rsidRDefault="00C2771B" w:rsidP="00EE35E2">
      <w:pPr>
        <w:ind w:firstLine="708"/>
        <w:jc w:val="both"/>
        <w:rPr>
          <w:lang w:val="de-DE"/>
        </w:rPr>
      </w:pPr>
    </w:p>
    <w:p w14:paraId="4961EE63" w14:textId="4B80A94D" w:rsidR="00EE35E2" w:rsidRPr="004676F5" w:rsidRDefault="00BE0A56" w:rsidP="00EE35E2">
      <w:pPr>
        <w:ind w:firstLine="708"/>
        <w:jc w:val="both"/>
        <w:rPr>
          <w:lang w:val="de-DE"/>
        </w:rPr>
      </w:pPr>
      <w:r w:rsidRPr="004676F5">
        <w:rPr>
          <w:b/>
          <w:lang w:val="de-DE"/>
        </w:rPr>
        <w:t>Art. </w:t>
      </w:r>
      <w:r w:rsidR="00EE35E2" w:rsidRPr="004676F5">
        <w:rPr>
          <w:b/>
          <w:lang w:val="de-DE"/>
        </w:rPr>
        <w:t>XX.147</w:t>
      </w:r>
      <w:r w:rsidR="00EE35E2" w:rsidRPr="004676F5">
        <w:rPr>
          <w:lang w:val="de-DE"/>
        </w:rPr>
        <w:t> </w:t>
      </w:r>
      <w:r w:rsidR="005B7A5C" w:rsidRPr="004676F5">
        <w:rPr>
          <w:lang w:val="de-DE"/>
        </w:rPr>
        <w:t>- </w:t>
      </w:r>
      <w:r w:rsidR="00EE35E2" w:rsidRPr="004676F5">
        <w:rPr>
          <w:lang w:val="de-DE"/>
        </w:rPr>
        <w:t>Die Konkursverwalter laden den Konkursschuldner ein, um in seinem Beisein die Bücher und Buchungsvorgänge festzustellen und abzuschließen.</w:t>
      </w:r>
    </w:p>
    <w:p w14:paraId="4D0320EF" w14:textId="77777777" w:rsidR="00EE35E2" w:rsidRPr="004676F5" w:rsidRDefault="00EE35E2" w:rsidP="00EE35E2">
      <w:pPr>
        <w:ind w:firstLine="708"/>
        <w:jc w:val="both"/>
        <w:rPr>
          <w:lang w:val="de-DE"/>
        </w:rPr>
      </w:pPr>
    </w:p>
    <w:p w14:paraId="0C1349EB" w14:textId="77777777" w:rsidR="00EE35E2" w:rsidRPr="004676F5" w:rsidRDefault="00EE35E2" w:rsidP="00EE35E2">
      <w:pPr>
        <w:ind w:firstLine="708"/>
        <w:jc w:val="both"/>
        <w:rPr>
          <w:lang w:val="de-DE"/>
        </w:rPr>
      </w:pPr>
      <w:r w:rsidRPr="004676F5">
        <w:rPr>
          <w:lang w:val="de-DE"/>
        </w:rPr>
        <w:lastRenderedPageBreak/>
        <w:t>Die Konkursverwalter nehmen die Prüfung der Bilanz vor. Erweisen sich bedeutende Berichtigungen als erforderlich oder wurde bei Geständnis der Zahlungseinstellung keine Bilanz hinterlegt, können die Konkursverwalter die Bilanz erstellen, gegebenenfalls nachdem die Verwalter und Geschäftsführer der in Konkurs geratenen juristischen Person gesamtschuldnerisch zur Zahlung der Kosten dieser Erstellung verurteilt wurden.</w:t>
      </w:r>
    </w:p>
    <w:p w14:paraId="5B076EB9" w14:textId="77777777" w:rsidR="00EE35E2" w:rsidRPr="004676F5" w:rsidRDefault="00EE35E2" w:rsidP="00EE35E2">
      <w:pPr>
        <w:ind w:firstLine="708"/>
        <w:jc w:val="both"/>
        <w:rPr>
          <w:lang w:val="de-DE"/>
        </w:rPr>
      </w:pPr>
    </w:p>
    <w:p w14:paraId="472F8B72" w14:textId="132EB943" w:rsidR="00EE35E2" w:rsidRPr="004676F5" w:rsidRDefault="00EE35E2" w:rsidP="00EE35E2">
      <w:pPr>
        <w:ind w:firstLine="708"/>
        <w:jc w:val="both"/>
        <w:rPr>
          <w:lang w:val="de-DE"/>
        </w:rPr>
      </w:pPr>
      <w:r w:rsidRPr="004676F5">
        <w:rPr>
          <w:lang w:val="de-DE"/>
        </w:rPr>
        <w:t xml:space="preserve">Die Konkursverwalter können für die Erstellung der Bilanz die Hilfe </w:t>
      </w:r>
      <w:r w:rsidR="000701A7" w:rsidRPr="004676F5">
        <w:rPr>
          <w:lang w:val="de-DE"/>
        </w:rPr>
        <w:t>[eines zertifizierten Buchprüfers, eines Buchprüfers, eines Buchprüfer-Fiskalisten oder eines Betriebsrevisors]</w:t>
      </w:r>
      <w:r w:rsidRPr="004676F5">
        <w:rPr>
          <w:lang w:val="de-DE"/>
        </w:rPr>
        <w:t xml:space="preserve"> in Anspruch nehmen.</w:t>
      </w:r>
    </w:p>
    <w:p w14:paraId="06055EE6" w14:textId="77777777" w:rsidR="00EE35E2" w:rsidRPr="004676F5" w:rsidRDefault="00EE35E2" w:rsidP="00EE35E2">
      <w:pPr>
        <w:ind w:firstLine="708"/>
        <w:jc w:val="both"/>
        <w:rPr>
          <w:lang w:val="de-DE"/>
        </w:rPr>
      </w:pPr>
    </w:p>
    <w:p w14:paraId="17163FCD" w14:textId="77777777" w:rsidR="00EE35E2" w:rsidRPr="004676F5" w:rsidRDefault="00EE35E2" w:rsidP="00EE35E2">
      <w:pPr>
        <w:ind w:firstLine="708"/>
        <w:jc w:val="both"/>
        <w:rPr>
          <w:lang w:val="de-DE"/>
        </w:rPr>
      </w:pPr>
      <w:r w:rsidRPr="004676F5">
        <w:rPr>
          <w:lang w:val="de-DE"/>
        </w:rPr>
        <w:t>Die Bilanz wird zur Konkursakte gelegt.</w:t>
      </w:r>
    </w:p>
    <w:p w14:paraId="6AC92AAD" w14:textId="77777777" w:rsidR="000701A7" w:rsidRPr="004676F5" w:rsidRDefault="000701A7" w:rsidP="000701A7">
      <w:pPr>
        <w:jc w:val="both"/>
        <w:rPr>
          <w:lang w:val="de-DE"/>
        </w:rPr>
      </w:pPr>
    </w:p>
    <w:p w14:paraId="713DEF6E" w14:textId="0D1DA09F" w:rsidR="000701A7" w:rsidRPr="004676F5" w:rsidRDefault="000701A7" w:rsidP="000701A7">
      <w:pPr>
        <w:jc w:val="both"/>
        <w:rPr>
          <w:i/>
          <w:iCs/>
          <w:lang w:val="de-DE"/>
        </w:rPr>
      </w:pPr>
      <w:r w:rsidRPr="004676F5">
        <w:rPr>
          <w:i/>
          <w:iCs/>
          <w:lang w:val="de-DE"/>
        </w:rPr>
        <w:t xml:space="preserve">[Art. XX.147 Abs. 3 abgeändert durch Art. 223 </w:t>
      </w:r>
      <w:r w:rsidR="00EC4681" w:rsidRPr="004676F5">
        <w:rPr>
          <w:i/>
          <w:iCs/>
          <w:lang w:val="de-DE"/>
        </w:rPr>
        <w:t xml:space="preserve">Nr. 2 </w:t>
      </w:r>
      <w:r w:rsidRPr="004676F5">
        <w:rPr>
          <w:i/>
          <w:iCs/>
          <w:lang w:val="de-DE"/>
        </w:rPr>
        <w:t>des G. vom 7. Juni 2023 (B.S. vom 7. Juli 2023)]</w:t>
      </w:r>
    </w:p>
    <w:p w14:paraId="4B9A4F53" w14:textId="77777777" w:rsidR="00EE35E2" w:rsidRPr="004676F5" w:rsidRDefault="00EE35E2" w:rsidP="00EE35E2">
      <w:pPr>
        <w:ind w:firstLine="708"/>
        <w:jc w:val="both"/>
        <w:rPr>
          <w:lang w:val="de-DE"/>
        </w:rPr>
      </w:pPr>
    </w:p>
    <w:p w14:paraId="79E1F14D" w14:textId="77777777" w:rsidR="00C2771B" w:rsidRPr="004676F5" w:rsidRDefault="00C2771B" w:rsidP="00EE35E2">
      <w:pPr>
        <w:ind w:firstLine="708"/>
        <w:jc w:val="both"/>
        <w:rPr>
          <w:lang w:val="de-DE"/>
        </w:rPr>
      </w:pPr>
    </w:p>
    <w:p w14:paraId="6BF3021E" w14:textId="6CE2AC79" w:rsidR="00EE35E2" w:rsidRPr="004676F5" w:rsidRDefault="00BE0A56" w:rsidP="00EE35E2">
      <w:pPr>
        <w:ind w:firstLine="708"/>
        <w:jc w:val="both"/>
        <w:rPr>
          <w:lang w:val="de-DE"/>
        </w:rPr>
      </w:pPr>
      <w:r w:rsidRPr="004676F5">
        <w:rPr>
          <w:b/>
          <w:lang w:val="de-DE"/>
        </w:rPr>
        <w:t>Art. </w:t>
      </w:r>
      <w:r w:rsidR="00EE35E2" w:rsidRPr="004676F5">
        <w:rPr>
          <w:b/>
          <w:lang w:val="de-DE"/>
        </w:rPr>
        <w:t>XX.148</w:t>
      </w:r>
      <w:r w:rsidR="00EE35E2" w:rsidRPr="004676F5">
        <w:rPr>
          <w:lang w:val="de-DE"/>
        </w:rPr>
        <w:t> </w:t>
      </w:r>
      <w:r w:rsidR="005B7A5C" w:rsidRPr="004676F5">
        <w:rPr>
          <w:lang w:val="de-DE"/>
        </w:rPr>
        <w:t>- </w:t>
      </w:r>
      <w:r w:rsidR="00EE35E2" w:rsidRPr="004676F5">
        <w:rPr>
          <w:lang w:val="de-DE"/>
        </w:rPr>
        <w:t>Der Konkursrichter darf den Konkursschuldner, seine Arbeitnehmer und jede andere Person sowohl in Bezug auf die Prüfung der Bücher und Buchungsvorgänge als auch auf Ursachen und Umstände des Konkurses vernehmen.</w:t>
      </w:r>
    </w:p>
    <w:p w14:paraId="64A52F82" w14:textId="77777777" w:rsidR="00EE35E2" w:rsidRPr="004676F5" w:rsidRDefault="00EE35E2" w:rsidP="00EE35E2">
      <w:pPr>
        <w:ind w:firstLine="708"/>
        <w:jc w:val="both"/>
        <w:rPr>
          <w:lang w:val="de-DE"/>
        </w:rPr>
      </w:pPr>
    </w:p>
    <w:p w14:paraId="301C7CBF" w14:textId="77777777" w:rsidR="00C2771B" w:rsidRPr="004676F5" w:rsidRDefault="00C2771B" w:rsidP="00EE35E2">
      <w:pPr>
        <w:ind w:firstLine="708"/>
        <w:jc w:val="both"/>
        <w:rPr>
          <w:lang w:val="de-DE"/>
        </w:rPr>
      </w:pPr>
    </w:p>
    <w:p w14:paraId="4FEA8227" w14:textId="3F691C62" w:rsidR="00EE35E2" w:rsidRPr="004676F5" w:rsidRDefault="00BE0A56" w:rsidP="00EE35E2">
      <w:pPr>
        <w:ind w:firstLine="708"/>
        <w:jc w:val="both"/>
        <w:rPr>
          <w:lang w:val="de-DE"/>
        </w:rPr>
      </w:pPr>
      <w:r w:rsidRPr="004676F5">
        <w:rPr>
          <w:b/>
          <w:lang w:val="de-DE"/>
        </w:rPr>
        <w:t>Art. </w:t>
      </w:r>
      <w:r w:rsidR="00EE35E2" w:rsidRPr="004676F5">
        <w:rPr>
          <w:b/>
          <w:lang w:val="de-DE"/>
        </w:rPr>
        <w:t>XX.149</w:t>
      </w:r>
      <w:r w:rsidR="00EE35E2" w:rsidRPr="004676F5">
        <w:rPr>
          <w:lang w:val="de-DE"/>
        </w:rPr>
        <w:t> </w:t>
      </w:r>
      <w:r w:rsidR="005B7A5C" w:rsidRPr="004676F5">
        <w:rPr>
          <w:lang w:val="de-DE"/>
        </w:rPr>
        <w:t>- </w:t>
      </w:r>
      <w:r w:rsidR="00EE35E2" w:rsidRPr="004676F5">
        <w:rPr>
          <w:lang w:val="de-DE"/>
        </w:rPr>
        <w:t>Wenn ein Konkurs gegen einen Schuldner nach seinem Tode eröffnet wird oder wenn der Konkursschuldner nach Konkurseröffnung stirbt, können seine Erben bei allen Konkursverrichtungen erscheinen oder sich vertreten lassen. Sie verfügen über das gleiche Recht auf Zugang zur Konkursakte wie ihr Rechtsvorgänger.</w:t>
      </w:r>
    </w:p>
    <w:p w14:paraId="728FF90B" w14:textId="77777777" w:rsidR="00EE35E2" w:rsidRPr="004676F5" w:rsidRDefault="00EE35E2" w:rsidP="00EE35E2">
      <w:pPr>
        <w:ind w:firstLine="708"/>
        <w:jc w:val="both"/>
        <w:rPr>
          <w:lang w:val="de-DE"/>
        </w:rPr>
      </w:pPr>
    </w:p>
    <w:p w14:paraId="185203E6" w14:textId="77777777" w:rsidR="00C2771B" w:rsidRPr="004676F5" w:rsidRDefault="00C2771B" w:rsidP="00EE35E2">
      <w:pPr>
        <w:ind w:firstLine="708"/>
        <w:jc w:val="both"/>
        <w:rPr>
          <w:lang w:val="de-DE"/>
        </w:rPr>
      </w:pPr>
    </w:p>
    <w:p w14:paraId="1D6C4D6C" w14:textId="516564B2" w:rsidR="00EE35E2" w:rsidRPr="004676F5" w:rsidRDefault="00BE0A56" w:rsidP="00EE35E2">
      <w:pPr>
        <w:ind w:firstLine="708"/>
        <w:jc w:val="both"/>
        <w:rPr>
          <w:lang w:val="de-DE"/>
        </w:rPr>
      </w:pPr>
      <w:r w:rsidRPr="004676F5">
        <w:rPr>
          <w:b/>
          <w:lang w:val="de-DE"/>
        </w:rPr>
        <w:t>Art. </w:t>
      </w:r>
      <w:r w:rsidR="00EE35E2" w:rsidRPr="004676F5">
        <w:rPr>
          <w:b/>
          <w:lang w:val="de-DE"/>
        </w:rPr>
        <w:t>XX.150</w:t>
      </w:r>
      <w:r w:rsidR="00EE35E2" w:rsidRPr="004676F5">
        <w:rPr>
          <w:lang w:val="de-DE"/>
        </w:rPr>
        <w:t> </w:t>
      </w:r>
      <w:r w:rsidR="005B7A5C" w:rsidRPr="004676F5">
        <w:rPr>
          <w:lang w:val="de-DE"/>
        </w:rPr>
        <w:t>- </w:t>
      </w:r>
      <w:r w:rsidR="00EE35E2" w:rsidRPr="004676F5">
        <w:rPr>
          <w:lang w:val="de-DE"/>
        </w:rPr>
        <w:t>Konkursverwalter sind ab ihrem Amtsantritt auf persönliche Haftung verpflichtet, alle Handlungen zur Wahrung der Rechte des Konkursschuldners gegen seine Schuldner vorzunehmen.</w:t>
      </w:r>
    </w:p>
    <w:p w14:paraId="5EE2EAEB" w14:textId="77777777" w:rsidR="00EE35E2" w:rsidRPr="004676F5" w:rsidRDefault="00EE35E2" w:rsidP="00EE35E2">
      <w:pPr>
        <w:ind w:firstLine="708"/>
        <w:jc w:val="both"/>
        <w:rPr>
          <w:lang w:val="de-DE"/>
        </w:rPr>
      </w:pPr>
    </w:p>
    <w:p w14:paraId="425B2C89" w14:textId="77777777" w:rsidR="00EE35E2" w:rsidRPr="004676F5" w:rsidRDefault="00EE35E2" w:rsidP="00EE35E2">
      <w:pPr>
        <w:ind w:firstLine="708"/>
        <w:jc w:val="both"/>
        <w:rPr>
          <w:lang w:val="de-DE"/>
        </w:rPr>
      </w:pPr>
      <w:r w:rsidRPr="004676F5">
        <w:rPr>
          <w:lang w:val="de-DE"/>
        </w:rPr>
        <w:t>Sie sind auch verpflichtet, die Eintragung der Hypotheken an unbeweglichen Gütern des Konkursschuldners vorzunehmen, von denen sie Kenntnis haben.</w:t>
      </w:r>
    </w:p>
    <w:p w14:paraId="3EC86494" w14:textId="77777777" w:rsidR="00EE35E2" w:rsidRPr="004676F5" w:rsidRDefault="00EE35E2" w:rsidP="00EE35E2">
      <w:pPr>
        <w:ind w:firstLine="708"/>
        <w:jc w:val="both"/>
        <w:rPr>
          <w:lang w:val="de-DE"/>
        </w:rPr>
      </w:pPr>
    </w:p>
    <w:p w14:paraId="28C74F51" w14:textId="77777777" w:rsidR="00EE35E2" w:rsidRPr="004676F5" w:rsidRDefault="00EE35E2" w:rsidP="00EE35E2">
      <w:pPr>
        <w:ind w:firstLine="708"/>
        <w:jc w:val="both"/>
        <w:rPr>
          <w:lang w:val="de-DE"/>
        </w:rPr>
      </w:pPr>
      <w:r w:rsidRPr="004676F5">
        <w:rPr>
          <w:lang w:val="de-DE"/>
        </w:rPr>
        <w:t>Sie können die Eintragung der Hypotheken an unbeweglichen Gütern der Schuldner des Konkursschuldners verlangen, wenn der Konkursschuldner sie nicht verlangt hat.</w:t>
      </w:r>
    </w:p>
    <w:p w14:paraId="013AB032" w14:textId="77777777" w:rsidR="00EE35E2" w:rsidRPr="004676F5" w:rsidRDefault="00EE35E2" w:rsidP="00EE35E2">
      <w:pPr>
        <w:ind w:firstLine="708"/>
        <w:jc w:val="both"/>
        <w:rPr>
          <w:lang w:val="de-DE"/>
        </w:rPr>
      </w:pPr>
    </w:p>
    <w:p w14:paraId="43861281" w14:textId="77777777" w:rsidR="00EE35E2" w:rsidRPr="004676F5" w:rsidRDefault="00EE35E2" w:rsidP="00EE35E2">
      <w:pPr>
        <w:ind w:firstLine="708"/>
        <w:jc w:val="both"/>
        <w:rPr>
          <w:lang w:val="de-DE"/>
        </w:rPr>
      </w:pPr>
      <w:r w:rsidRPr="004676F5">
        <w:rPr>
          <w:lang w:val="de-DE"/>
        </w:rPr>
        <w:t>Die betreffenden Eintragungen werden von den Konkursverwaltern auf den Namen der Masse vorgenommen; sie fügen ihrem Eintragungsbordereau als Nachweis für ihre Bestellung eine Abschrift des Konkurseröffnungsurteils bei.</w:t>
      </w:r>
    </w:p>
    <w:p w14:paraId="0980BC61" w14:textId="77777777" w:rsidR="00EE35E2" w:rsidRPr="004676F5" w:rsidRDefault="00EE35E2" w:rsidP="00EE35E2">
      <w:pPr>
        <w:ind w:firstLine="708"/>
        <w:jc w:val="both"/>
        <w:rPr>
          <w:lang w:val="de-DE"/>
        </w:rPr>
      </w:pPr>
    </w:p>
    <w:p w14:paraId="2AC78831" w14:textId="77777777" w:rsidR="00C2771B" w:rsidRPr="004676F5" w:rsidRDefault="00C2771B" w:rsidP="00EE35E2">
      <w:pPr>
        <w:ind w:firstLine="708"/>
        <w:jc w:val="both"/>
        <w:rPr>
          <w:lang w:val="de-DE"/>
        </w:rPr>
      </w:pPr>
    </w:p>
    <w:p w14:paraId="43C0870F" w14:textId="3872DA25" w:rsidR="00EE35E2" w:rsidRPr="004676F5" w:rsidRDefault="00BE0A56" w:rsidP="00EE35E2">
      <w:pPr>
        <w:ind w:firstLine="708"/>
        <w:jc w:val="both"/>
        <w:rPr>
          <w:lang w:val="de-DE"/>
        </w:rPr>
      </w:pPr>
      <w:r w:rsidRPr="004676F5">
        <w:rPr>
          <w:b/>
          <w:lang w:val="de-DE"/>
        </w:rPr>
        <w:t>Art. </w:t>
      </w:r>
      <w:r w:rsidR="00EE35E2" w:rsidRPr="004676F5">
        <w:rPr>
          <w:b/>
          <w:lang w:val="de-DE"/>
        </w:rPr>
        <w:t>XX.151</w:t>
      </w:r>
      <w:r w:rsidR="00EE35E2" w:rsidRPr="004676F5">
        <w:rPr>
          <w:lang w:val="de-DE"/>
        </w:rPr>
        <w:t> </w:t>
      </w:r>
      <w:r w:rsidR="005B7A5C" w:rsidRPr="004676F5">
        <w:rPr>
          <w:lang w:val="de-DE"/>
        </w:rPr>
        <w:t>- </w:t>
      </w:r>
      <w:r w:rsidR="00EE35E2" w:rsidRPr="004676F5">
        <w:rPr>
          <w:lang w:val="de-DE"/>
        </w:rPr>
        <w:t>Die Konkursverwalter können mit Ermächtigung des Konkursrichters nach ordnungsgemäßer Vorladung des Konkursschuldners über alle die Masse betreffenden Streitfälle, selbst wenn sie Immobiliarklagen oder -rechte betreffen, Vergleiche schließen.</w:t>
      </w:r>
    </w:p>
    <w:p w14:paraId="4C0A1A53" w14:textId="77777777" w:rsidR="00EE35E2" w:rsidRPr="004676F5" w:rsidRDefault="00EE35E2" w:rsidP="00EE35E2">
      <w:pPr>
        <w:ind w:firstLine="708"/>
        <w:jc w:val="both"/>
        <w:rPr>
          <w:lang w:val="de-DE"/>
        </w:rPr>
      </w:pPr>
    </w:p>
    <w:p w14:paraId="3AA0ADC1" w14:textId="77777777" w:rsidR="00EE35E2" w:rsidRPr="004676F5" w:rsidRDefault="00EE35E2" w:rsidP="00EE35E2">
      <w:pPr>
        <w:ind w:firstLine="708"/>
        <w:jc w:val="both"/>
        <w:rPr>
          <w:lang w:val="de-DE"/>
        </w:rPr>
      </w:pPr>
      <w:r w:rsidRPr="004676F5">
        <w:rPr>
          <w:lang w:val="de-DE"/>
        </w:rPr>
        <w:t>Wenn der Wert des Gegenstands eines Vergleichs 50.000 EUR übersteigt, wird der Vergleich erst verbindlich, nachdem er nach Bericht des Konkursrichters vom Gericht homologiert worden ist. Der Konkursschuldner wird für die Homologierung vorgeladen.</w:t>
      </w:r>
    </w:p>
    <w:p w14:paraId="4136A984" w14:textId="77777777" w:rsidR="00EE35E2" w:rsidRPr="004676F5" w:rsidRDefault="00EE35E2" w:rsidP="00EE35E2">
      <w:pPr>
        <w:ind w:firstLine="708"/>
        <w:jc w:val="both"/>
        <w:rPr>
          <w:lang w:val="de-DE"/>
        </w:rPr>
      </w:pPr>
    </w:p>
    <w:p w14:paraId="69121613" w14:textId="77777777" w:rsidR="00C2771B" w:rsidRPr="004676F5" w:rsidRDefault="00C2771B" w:rsidP="00EE35E2">
      <w:pPr>
        <w:ind w:firstLine="708"/>
        <w:jc w:val="both"/>
        <w:rPr>
          <w:lang w:val="de-DE"/>
        </w:rPr>
      </w:pPr>
    </w:p>
    <w:p w14:paraId="75E5D108" w14:textId="6D6AE7C4" w:rsidR="00EE35E2" w:rsidRPr="004676F5" w:rsidRDefault="00BE0A56" w:rsidP="00EE35E2">
      <w:pPr>
        <w:ind w:firstLine="708"/>
        <w:jc w:val="both"/>
        <w:rPr>
          <w:lang w:val="de-DE"/>
        </w:rPr>
      </w:pPr>
      <w:r w:rsidRPr="004676F5">
        <w:rPr>
          <w:b/>
          <w:lang w:val="de-DE"/>
        </w:rPr>
        <w:t>Art. </w:t>
      </w:r>
      <w:r w:rsidR="00EE35E2" w:rsidRPr="004676F5">
        <w:rPr>
          <w:b/>
          <w:lang w:val="de-DE"/>
        </w:rPr>
        <w:t>XX.152</w:t>
      </w:r>
      <w:r w:rsidR="00EE35E2" w:rsidRPr="004676F5">
        <w:rPr>
          <w:lang w:val="de-DE"/>
        </w:rPr>
        <w:t> </w:t>
      </w:r>
      <w:r w:rsidR="005B7A5C" w:rsidRPr="004676F5">
        <w:rPr>
          <w:lang w:val="de-DE"/>
        </w:rPr>
        <w:t>- </w:t>
      </w:r>
      <w:r w:rsidR="00EE35E2" w:rsidRPr="004676F5">
        <w:rPr>
          <w:lang w:val="de-DE"/>
        </w:rPr>
        <w:t>Die Konkursverwalter können sich an den Konkursschuldner wenden, damit er ihnen bei ihrer Geschäftsführung hilft und Auskünfte gibt. Der Konkursrichter bestimmt die Bedingungen für seine Arbeit.</w:t>
      </w:r>
    </w:p>
    <w:p w14:paraId="0C9122F6" w14:textId="77777777" w:rsidR="00EE35E2" w:rsidRPr="004676F5" w:rsidRDefault="00EE35E2" w:rsidP="00EE35E2">
      <w:pPr>
        <w:ind w:firstLine="708"/>
        <w:jc w:val="both"/>
        <w:rPr>
          <w:lang w:val="de-DE"/>
        </w:rPr>
      </w:pPr>
    </w:p>
    <w:p w14:paraId="36F6DF01" w14:textId="77777777" w:rsidR="00C2771B" w:rsidRPr="004676F5" w:rsidRDefault="00C2771B" w:rsidP="00EE35E2">
      <w:pPr>
        <w:ind w:firstLine="708"/>
        <w:jc w:val="both"/>
        <w:rPr>
          <w:lang w:val="de-DE"/>
        </w:rPr>
      </w:pPr>
    </w:p>
    <w:p w14:paraId="37D60693" w14:textId="68FA606E" w:rsidR="00EE35E2" w:rsidRPr="004676F5" w:rsidRDefault="00BE0A56" w:rsidP="00EE35E2">
      <w:pPr>
        <w:ind w:firstLine="708"/>
        <w:jc w:val="both"/>
        <w:rPr>
          <w:lang w:val="de-DE"/>
        </w:rPr>
      </w:pPr>
      <w:r w:rsidRPr="004676F5">
        <w:rPr>
          <w:b/>
          <w:lang w:val="de-DE"/>
        </w:rPr>
        <w:t>Art. </w:t>
      </w:r>
      <w:r w:rsidR="00EE35E2" w:rsidRPr="004676F5">
        <w:rPr>
          <w:b/>
          <w:lang w:val="de-DE"/>
        </w:rPr>
        <w:t>XX.153</w:t>
      </w:r>
      <w:r w:rsidR="00EE35E2" w:rsidRPr="004676F5">
        <w:rPr>
          <w:lang w:val="de-DE"/>
        </w:rPr>
        <w:t> </w:t>
      </w:r>
      <w:r w:rsidR="005B7A5C" w:rsidRPr="004676F5">
        <w:rPr>
          <w:lang w:val="de-DE"/>
        </w:rPr>
        <w:t>- </w:t>
      </w:r>
      <w:r w:rsidR="00EE35E2" w:rsidRPr="004676F5">
        <w:rPr>
          <w:lang w:val="de-DE"/>
        </w:rPr>
        <w:t>Bei jedem Konkurs müssen die Konkursverwalter dem Konkursrichter</w:t>
      </w:r>
      <w:r w:rsidR="000701A7" w:rsidRPr="004676F5">
        <w:rPr>
          <w:lang w:val="de-DE"/>
        </w:rPr>
        <w:t xml:space="preserve"> </w:t>
      </w:r>
      <w:r w:rsidR="00EE35E2" w:rsidRPr="004676F5">
        <w:rPr>
          <w:lang w:val="de-DE"/>
        </w:rPr>
        <w:t>binnen zwei Monaten nach ihrem Amtsantritt einen Schriftsatz oder kurzen Bericht über die vermutliche Lage des Konkurses, seine hauptsächlichen Ursachen und Umstände und die Merkmale, die er aufweist, mitteilen.</w:t>
      </w:r>
    </w:p>
    <w:p w14:paraId="28C70DBF" w14:textId="77777777" w:rsidR="00EE35E2" w:rsidRPr="004676F5" w:rsidRDefault="00EE35E2" w:rsidP="00EE35E2">
      <w:pPr>
        <w:ind w:firstLine="708"/>
        <w:jc w:val="both"/>
        <w:rPr>
          <w:lang w:val="de-DE"/>
        </w:rPr>
      </w:pPr>
    </w:p>
    <w:p w14:paraId="776711C7" w14:textId="0A26519D" w:rsidR="00EE35E2" w:rsidRPr="004676F5" w:rsidRDefault="00EE35E2" w:rsidP="00EE35E2">
      <w:pPr>
        <w:ind w:firstLine="708"/>
        <w:jc w:val="both"/>
        <w:rPr>
          <w:lang w:val="de-DE"/>
        </w:rPr>
      </w:pPr>
      <w:r w:rsidRPr="004676F5">
        <w:rPr>
          <w:lang w:val="de-DE"/>
        </w:rPr>
        <w:t>Der Konkursverwalter hinterlegt den Bericht in der Konkursakte. Der Konkursrichter fügt seine Anmerkungen bei und benachrichtigt gegebenenfalls den Prokurator des Königs, dass der Bericht ihm nicht zeitig mitgeteilt worden ist, und gibt dabei die für diese Verspätung angeführten Gründe an. Sowohl der Bericht als auch die gemachten Anmerkungen sind vertraulich und nur dem Konkursverwalter, dem Konkursrichter</w:t>
      </w:r>
      <w:r w:rsidR="008A2C17" w:rsidRPr="004676F5">
        <w:rPr>
          <w:lang w:val="de-DE"/>
        </w:rPr>
        <w:t>,</w:t>
      </w:r>
      <w:r w:rsidRPr="004676F5">
        <w:rPr>
          <w:lang w:val="de-DE"/>
        </w:rPr>
        <w:t xml:space="preserve"> dem Prokurator des Königs</w:t>
      </w:r>
      <w:r w:rsidR="008A2C17" w:rsidRPr="004676F5">
        <w:rPr>
          <w:lang w:val="de-DE"/>
        </w:rPr>
        <w:t xml:space="preserve"> [und dem Gerichtspräsidenten]</w:t>
      </w:r>
      <w:r w:rsidRPr="004676F5">
        <w:rPr>
          <w:lang w:val="de-DE"/>
        </w:rPr>
        <w:t xml:space="preserve"> zugänglich.</w:t>
      </w:r>
    </w:p>
    <w:p w14:paraId="3404522B" w14:textId="77777777" w:rsidR="000701A7" w:rsidRPr="004676F5" w:rsidRDefault="000701A7" w:rsidP="000701A7">
      <w:pPr>
        <w:jc w:val="both"/>
        <w:rPr>
          <w:lang w:val="de-DE"/>
        </w:rPr>
      </w:pPr>
    </w:p>
    <w:p w14:paraId="017F4095" w14:textId="48577055" w:rsidR="000701A7" w:rsidRPr="004676F5" w:rsidRDefault="000701A7" w:rsidP="000701A7">
      <w:pPr>
        <w:jc w:val="both"/>
        <w:rPr>
          <w:i/>
          <w:iCs/>
          <w:lang w:val="de-DE"/>
        </w:rPr>
      </w:pPr>
      <w:r w:rsidRPr="004676F5">
        <w:rPr>
          <w:i/>
          <w:iCs/>
          <w:lang w:val="de-DE"/>
        </w:rPr>
        <w:t>[Art.</w:t>
      </w:r>
      <w:r w:rsidR="008A2C17" w:rsidRPr="004676F5">
        <w:rPr>
          <w:i/>
          <w:iCs/>
          <w:lang w:val="de-DE"/>
        </w:rPr>
        <w:t> </w:t>
      </w:r>
      <w:r w:rsidRPr="004676F5">
        <w:rPr>
          <w:i/>
          <w:iCs/>
          <w:lang w:val="de-DE"/>
        </w:rPr>
        <w:t>XX.153 Abs. 2 abgeändert durch Art. 224 des G. vom 7. Juni 2023 (B.S. vom 7. Juli 2023)]</w:t>
      </w:r>
    </w:p>
    <w:p w14:paraId="482204BD" w14:textId="77777777" w:rsidR="00EE35E2" w:rsidRPr="004676F5" w:rsidRDefault="00EE35E2" w:rsidP="00EE35E2">
      <w:pPr>
        <w:ind w:firstLine="708"/>
        <w:jc w:val="both"/>
        <w:rPr>
          <w:lang w:val="de-DE"/>
        </w:rPr>
      </w:pPr>
    </w:p>
    <w:p w14:paraId="5C1CB3D4" w14:textId="77777777" w:rsidR="00C2771B" w:rsidRPr="004676F5" w:rsidRDefault="00C2771B" w:rsidP="00EE35E2">
      <w:pPr>
        <w:ind w:firstLine="708"/>
        <w:jc w:val="both"/>
        <w:rPr>
          <w:lang w:val="de-DE"/>
        </w:rPr>
      </w:pPr>
    </w:p>
    <w:p w14:paraId="542BBECE" w14:textId="1EA7D40F" w:rsidR="00EE35E2" w:rsidRPr="004676F5" w:rsidRDefault="00BE0A56" w:rsidP="00EE35E2">
      <w:pPr>
        <w:ind w:firstLine="708"/>
        <w:jc w:val="both"/>
        <w:rPr>
          <w:lang w:val="de-DE"/>
        </w:rPr>
      </w:pPr>
      <w:r w:rsidRPr="004676F5">
        <w:rPr>
          <w:b/>
          <w:lang w:val="de-DE"/>
        </w:rPr>
        <w:t>Art. </w:t>
      </w:r>
      <w:r w:rsidR="00EE35E2" w:rsidRPr="004676F5">
        <w:rPr>
          <w:b/>
          <w:lang w:val="de-DE"/>
        </w:rPr>
        <w:t>XX.154</w:t>
      </w:r>
      <w:r w:rsidR="00EE35E2" w:rsidRPr="004676F5">
        <w:rPr>
          <w:lang w:val="de-DE"/>
        </w:rPr>
        <w:t> </w:t>
      </w:r>
      <w:r w:rsidR="005B7A5C" w:rsidRPr="004676F5">
        <w:rPr>
          <w:lang w:val="de-DE"/>
        </w:rPr>
        <w:t>- </w:t>
      </w:r>
      <w:r w:rsidR="00EE35E2" w:rsidRPr="004676F5">
        <w:rPr>
          <w:lang w:val="de-DE"/>
        </w:rPr>
        <w:t>Werden der Konkursschuldner oder die Geschäftsführer und Verwalter der in Konkurs geratenen juristischen Person wegen einer in den Artikeln 489, 489</w:t>
      </w:r>
      <w:r w:rsidR="00EE35E2" w:rsidRPr="004676F5">
        <w:rPr>
          <w:i/>
          <w:lang w:val="de-DE"/>
        </w:rPr>
        <w:t>bis</w:t>
      </w:r>
      <w:r w:rsidR="00EE35E2" w:rsidRPr="004676F5">
        <w:rPr>
          <w:lang w:val="de-DE"/>
        </w:rPr>
        <w:t>, 489</w:t>
      </w:r>
      <w:r w:rsidR="00EE35E2" w:rsidRPr="004676F5">
        <w:rPr>
          <w:i/>
          <w:lang w:val="de-DE"/>
        </w:rPr>
        <w:t>ter</w:t>
      </w:r>
      <w:r w:rsidR="00EE35E2" w:rsidRPr="004676F5">
        <w:rPr>
          <w:lang w:val="de-DE"/>
        </w:rPr>
        <w:t>, 490</w:t>
      </w:r>
      <w:r w:rsidR="00EE35E2" w:rsidRPr="004676F5">
        <w:rPr>
          <w:i/>
          <w:lang w:val="de-DE"/>
        </w:rPr>
        <w:t>bis</w:t>
      </w:r>
      <w:r w:rsidR="00EE35E2" w:rsidRPr="004676F5">
        <w:rPr>
          <w:lang w:val="de-DE"/>
        </w:rPr>
        <w:t xml:space="preserve"> oder 492</w:t>
      </w:r>
      <w:r w:rsidR="00EE35E2" w:rsidRPr="004676F5">
        <w:rPr>
          <w:i/>
          <w:lang w:val="de-DE"/>
        </w:rPr>
        <w:t>bis</w:t>
      </w:r>
      <w:r w:rsidR="00EE35E2" w:rsidRPr="004676F5">
        <w:rPr>
          <w:lang w:val="de-DE"/>
        </w:rPr>
        <w:t xml:space="preserve"> des Strafgesetzbuches vorgesehenen Straftat verfolgt oder ist gegen sie ein Vorführungs</w:t>
      </w:r>
      <w:r w:rsidR="005B7A5C" w:rsidRPr="004676F5">
        <w:rPr>
          <w:lang w:val="de-DE"/>
        </w:rPr>
        <w:t>- </w:t>
      </w:r>
      <w:r w:rsidR="00EE35E2" w:rsidRPr="004676F5">
        <w:rPr>
          <w:lang w:val="de-DE"/>
        </w:rPr>
        <w:t>oder Haftbefehl erlassen worden oder sind sie aus vorerwähnten Gründen von der Ratskammer vorgeladen oder vor das Korrektionalgericht geladen worden, setzt der Prokurator des Königs den Konkursrichter und den Konkursverwalter unverzüglich davon in Kenntnis.</w:t>
      </w:r>
    </w:p>
    <w:p w14:paraId="2D43C92B" w14:textId="77777777" w:rsidR="00EE35E2" w:rsidRPr="004676F5" w:rsidRDefault="00EE35E2" w:rsidP="00EE35E2">
      <w:pPr>
        <w:rPr>
          <w:lang w:val="de-DE"/>
        </w:rPr>
      </w:pPr>
    </w:p>
    <w:p w14:paraId="0CC75F94" w14:textId="77777777" w:rsidR="00997F68" w:rsidRPr="004676F5" w:rsidRDefault="00997F68">
      <w:pPr>
        <w:rPr>
          <w:lang w:val="de-DE"/>
        </w:rPr>
      </w:pPr>
    </w:p>
    <w:p w14:paraId="2F7E1DE0" w14:textId="19DBC8B3" w:rsidR="00997F68" w:rsidRPr="004676F5" w:rsidRDefault="00997F68" w:rsidP="00997F68">
      <w:pPr>
        <w:jc w:val="both"/>
        <w:rPr>
          <w:iCs/>
          <w:sz w:val="20"/>
          <w:szCs w:val="20"/>
          <w:lang w:val="de-DE"/>
        </w:rPr>
      </w:pPr>
      <w:r w:rsidRPr="004676F5">
        <w:rPr>
          <w:iCs/>
          <w:sz w:val="20"/>
          <w:szCs w:val="20"/>
          <w:lang w:val="de-DE"/>
        </w:rPr>
        <w:t>Ab dem 8. April 2026 (gemäß Art. 119 des G. vom 29. Februar 2024 </w:t>
      </w:r>
      <w:r w:rsidRPr="004676F5">
        <w:rPr>
          <w:i/>
          <w:sz w:val="20"/>
          <w:szCs w:val="20"/>
          <w:lang w:val="de-DE"/>
        </w:rPr>
        <w:t>(II)</w:t>
      </w:r>
      <w:r w:rsidRPr="004676F5">
        <w:rPr>
          <w:iCs/>
          <w:sz w:val="20"/>
          <w:szCs w:val="20"/>
          <w:lang w:val="de-DE"/>
        </w:rPr>
        <w:t xml:space="preserve"> (B.S. vom 8. April 2024)) lautet Art. XX.154 wie folgt:</w:t>
      </w:r>
    </w:p>
    <w:p w14:paraId="144CE109" w14:textId="77777777" w:rsidR="00997F68" w:rsidRPr="004676F5" w:rsidRDefault="00997F68" w:rsidP="00997F68">
      <w:pPr>
        <w:jc w:val="both"/>
        <w:rPr>
          <w:iCs/>
          <w:sz w:val="20"/>
          <w:szCs w:val="20"/>
          <w:lang w:val="de-DE"/>
        </w:rPr>
      </w:pPr>
    </w:p>
    <w:p w14:paraId="389A1495" w14:textId="03FF362D" w:rsidR="00997F68" w:rsidRPr="004676F5" w:rsidRDefault="00997F68" w:rsidP="00997F68">
      <w:pPr>
        <w:jc w:val="both"/>
        <w:rPr>
          <w:iCs/>
          <w:sz w:val="20"/>
          <w:szCs w:val="20"/>
          <w:lang w:val="de-DE"/>
        </w:rPr>
      </w:pPr>
      <w:r w:rsidRPr="004676F5">
        <w:rPr>
          <w:iCs/>
          <w:sz w:val="20"/>
          <w:szCs w:val="20"/>
          <w:lang w:val="de-DE"/>
        </w:rPr>
        <w:t>"</w:t>
      </w:r>
      <w:r w:rsidRPr="004676F5">
        <w:rPr>
          <w:bCs/>
          <w:iCs/>
          <w:sz w:val="20"/>
          <w:szCs w:val="20"/>
          <w:lang w:val="de-DE"/>
        </w:rPr>
        <w:t>Art. XX.154</w:t>
      </w:r>
      <w:r w:rsidRPr="004676F5">
        <w:rPr>
          <w:iCs/>
          <w:sz w:val="20"/>
          <w:szCs w:val="20"/>
          <w:lang w:val="de-DE"/>
        </w:rPr>
        <w:t> - Werden der Konkursschuldner oder die Geschäftsführer und Verwalter der in Konkurs geratenen juristischen Person wegen einer [in den Artikeln 476, 490, 491 oder 496] des Strafgesetzbuches vorgesehenen Straftat verfolgt oder ist gegen sie ein Vorführungs- oder Haftbefehl erlassen worden oder sind sie aus vorerwähnten Gründen von der Ratskammer vorgeladen oder vor das Korrektionalgericht geladen worden, setzt der Prokurator des Königs den Konkursrichter und den Konkursverwalter unverzüglich davon in Kenntnis.</w:t>
      </w:r>
    </w:p>
    <w:p w14:paraId="46443A01" w14:textId="77777777" w:rsidR="00997F68" w:rsidRPr="004676F5" w:rsidRDefault="00997F68" w:rsidP="00997F68">
      <w:pPr>
        <w:jc w:val="both"/>
        <w:rPr>
          <w:iCs/>
          <w:sz w:val="20"/>
          <w:szCs w:val="20"/>
          <w:lang w:val="de-DE"/>
        </w:rPr>
      </w:pPr>
    </w:p>
    <w:p w14:paraId="2AE3E113" w14:textId="27B3E737" w:rsidR="00997F68" w:rsidRPr="004676F5" w:rsidRDefault="00997F68" w:rsidP="00997F68">
      <w:pPr>
        <w:jc w:val="both"/>
        <w:rPr>
          <w:sz w:val="20"/>
          <w:szCs w:val="20"/>
          <w:lang w:val="de-DE"/>
        </w:rPr>
      </w:pPr>
      <w:r w:rsidRPr="004676F5">
        <w:rPr>
          <w:i/>
          <w:sz w:val="20"/>
          <w:szCs w:val="20"/>
          <w:lang w:val="de-DE"/>
        </w:rPr>
        <w:t>[Art. XX.154 abgeändert durch Art. 112</w:t>
      </w:r>
      <w:r w:rsidRPr="004676F5">
        <w:rPr>
          <w:i/>
          <w:iCs/>
          <w:sz w:val="20"/>
          <w:szCs w:val="20"/>
          <w:lang w:val="de-DE"/>
        </w:rPr>
        <w:t xml:space="preserve"> des G. vom 29. Februar 2024 (II) (B.S. vom 8. April 2024)]</w:t>
      </w:r>
      <w:r w:rsidRPr="004676F5">
        <w:rPr>
          <w:sz w:val="20"/>
          <w:szCs w:val="20"/>
          <w:lang w:val="de-DE"/>
        </w:rPr>
        <w:t>"</w:t>
      </w:r>
    </w:p>
    <w:p w14:paraId="1C89326B" w14:textId="0A146A2E" w:rsidR="00C2771B" w:rsidRPr="004676F5" w:rsidRDefault="00C2771B" w:rsidP="00997F68">
      <w:pPr>
        <w:jc w:val="both"/>
        <w:rPr>
          <w:lang w:val="de-DE"/>
        </w:rPr>
      </w:pPr>
      <w:r w:rsidRPr="004676F5">
        <w:rPr>
          <w:lang w:val="de-DE"/>
        </w:rPr>
        <w:br w:type="page"/>
      </w:r>
    </w:p>
    <w:p w14:paraId="565FE466" w14:textId="4CDC5362" w:rsidR="00EE35E2" w:rsidRPr="004676F5" w:rsidRDefault="00EE35E2" w:rsidP="00EE35E2">
      <w:pPr>
        <w:jc w:val="center"/>
        <w:rPr>
          <w:lang w:val="de-DE"/>
        </w:rPr>
      </w:pPr>
      <w:r w:rsidRPr="004676F5">
        <w:rPr>
          <w:lang w:val="de-DE"/>
        </w:rPr>
        <w:lastRenderedPageBreak/>
        <w:t>KAPITEL 4 </w:t>
      </w:r>
      <w:r w:rsidR="005B7A5C" w:rsidRPr="004676F5">
        <w:rPr>
          <w:lang w:val="de-DE"/>
        </w:rPr>
        <w:t>- </w:t>
      </w:r>
      <w:r w:rsidRPr="004676F5">
        <w:rPr>
          <w:lang w:val="de-DE"/>
        </w:rPr>
        <w:t>Anmeldung und Prüfung der Forderungen</w:t>
      </w:r>
    </w:p>
    <w:p w14:paraId="37C9F95E" w14:textId="77777777" w:rsidR="00EE35E2" w:rsidRPr="004676F5" w:rsidRDefault="00EE35E2" w:rsidP="00EE35E2">
      <w:pPr>
        <w:jc w:val="both"/>
        <w:rPr>
          <w:lang w:val="de-DE"/>
        </w:rPr>
      </w:pPr>
    </w:p>
    <w:p w14:paraId="5A705C98" w14:textId="77777777" w:rsidR="00C2771B" w:rsidRPr="004676F5" w:rsidRDefault="00C2771B" w:rsidP="00EE35E2">
      <w:pPr>
        <w:jc w:val="both"/>
        <w:rPr>
          <w:lang w:val="de-DE"/>
        </w:rPr>
      </w:pPr>
    </w:p>
    <w:p w14:paraId="239D1E12" w14:textId="0685634A" w:rsidR="00EE35E2" w:rsidRPr="004676F5" w:rsidRDefault="00BE0A56" w:rsidP="00EE35E2">
      <w:pPr>
        <w:ind w:firstLine="708"/>
        <w:jc w:val="both"/>
        <w:rPr>
          <w:lang w:val="de-DE"/>
        </w:rPr>
      </w:pPr>
      <w:r w:rsidRPr="004676F5">
        <w:rPr>
          <w:b/>
          <w:lang w:val="de-DE"/>
        </w:rPr>
        <w:t>Art. </w:t>
      </w:r>
      <w:r w:rsidR="00EE35E2" w:rsidRPr="004676F5">
        <w:rPr>
          <w:b/>
          <w:lang w:val="de-DE"/>
        </w:rPr>
        <w:t>XX.155</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Um bei einer Verteilung berücksichtigt zu werden oder um irgendein Vorrangsrecht ausüben zu können, müssen Insolvenzgläubiger spätestens an dem durch das Konkurseröffnungsurteil bestimmten Tag ihre Forderungen im Register anmelden. Rechtstitel, auf denen Forderungen beruhen, sind der Forderungsanmeldung beizufügen. Bei der Anmeldung werden Identifikationsdaten des Gläubigers und Grundlage, Höhe und Sicherheiten der Forderungen angegeben.</w:t>
      </w:r>
    </w:p>
    <w:p w14:paraId="5D974CC3" w14:textId="77777777" w:rsidR="00EE35E2" w:rsidRPr="004676F5" w:rsidRDefault="00EE35E2" w:rsidP="00EE35E2">
      <w:pPr>
        <w:ind w:firstLine="708"/>
        <w:jc w:val="both"/>
        <w:rPr>
          <w:lang w:val="de-DE"/>
        </w:rPr>
      </w:pPr>
    </w:p>
    <w:p w14:paraId="1068C5D6" w14:textId="77777777" w:rsidR="00EE35E2" w:rsidRPr="004676F5" w:rsidRDefault="00EE35E2" w:rsidP="00EE35E2">
      <w:pPr>
        <w:ind w:firstLine="708"/>
        <w:jc w:val="both"/>
        <w:rPr>
          <w:lang w:val="de-DE"/>
        </w:rPr>
      </w:pPr>
      <w:r w:rsidRPr="004676F5">
        <w:rPr>
          <w:lang w:val="de-DE"/>
        </w:rPr>
        <w:t>Die Gläubiger werden durch eine im Register hinterlegte Mitteilung und durch ein Rundschreiben informiert, das die Konkursverwalter an die Gläubiger richten, soweit sie bekannt sind.</w:t>
      </w:r>
    </w:p>
    <w:p w14:paraId="1E7A52EC" w14:textId="77777777" w:rsidR="00EE35E2" w:rsidRPr="004676F5" w:rsidRDefault="00EE35E2" w:rsidP="00EE35E2">
      <w:pPr>
        <w:ind w:firstLine="708"/>
        <w:jc w:val="both"/>
        <w:rPr>
          <w:lang w:val="de-DE"/>
        </w:rPr>
      </w:pPr>
    </w:p>
    <w:p w14:paraId="55CBF9B4" w14:textId="77777777" w:rsidR="00EE35E2" w:rsidRPr="004676F5" w:rsidRDefault="00EE35E2" w:rsidP="00EE35E2">
      <w:pPr>
        <w:ind w:firstLine="708"/>
        <w:jc w:val="both"/>
        <w:rPr>
          <w:lang w:val="de-DE"/>
        </w:rPr>
      </w:pPr>
      <w:r w:rsidRPr="004676F5">
        <w:rPr>
          <w:lang w:val="de-DE"/>
        </w:rPr>
        <w:t>In der Mitteilung und im Rundschreiben werden Ort, Tag und Uhrzeit angegeben, die für die Hinterlegung des ersten Protokolls über die Prüfung der Forderungen festgelegt worden sind.</w:t>
      </w:r>
    </w:p>
    <w:p w14:paraId="0D3763A8" w14:textId="77777777" w:rsidR="00EE35E2" w:rsidRPr="004676F5" w:rsidRDefault="00EE35E2" w:rsidP="00EE35E2">
      <w:pPr>
        <w:ind w:firstLine="708"/>
        <w:jc w:val="both"/>
        <w:rPr>
          <w:lang w:val="de-DE"/>
        </w:rPr>
      </w:pPr>
    </w:p>
    <w:p w14:paraId="20F6E1C6" w14:textId="77777777" w:rsidR="00EE35E2" w:rsidRPr="004676F5" w:rsidRDefault="00EE35E2" w:rsidP="00EE35E2">
      <w:pPr>
        <w:ind w:firstLine="708"/>
        <w:jc w:val="both"/>
        <w:rPr>
          <w:lang w:val="de-DE"/>
        </w:rPr>
      </w:pPr>
      <w:r w:rsidRPr="004676F5">
        <w:rPr>
          <w:lang w:val="de-DE"/>
        </w:rPr>
        <w:t>Das Register stellt dem Gläubiger, der eine Forderung hinterlegt hat, eine Empfangs</w:t>
      </w:r>
      <w:r w:rsidRPr="004676F5">
        <w:rPr>
          <w:lang w:val="de-DE"/>
        </w:rPr>
        <w:softHyphen/>
        <w:t>bestätigung aus.</w:t>
      </w:r>
    </w:p>
    <w:p w14:paraId="3A40362E" w14:textId="77777777" w:rsidR="00EE35E2" w:rsidRPr="004676F5" w:rsidRDefault="00EE35E2" w:rsidP="00EE35E2">
      <w:pPr>
        <w:ind w:firstLine="708"/>
        <w:jc w:val="both"/>
        <w:rPr>
          <w:lang w:val="de-DE"/>
        </w:rPr>
      </w:pPr>
    </w:p>
    <w:p w14:paraId="4C6B66F7" w14:textId="6EC96C65"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Die Verpflichtung zur Anmeldung von Forderungen und zur Hinterlegung von Anlagen im Register findet keine Anwendung auf natürliche Personen oder auf juristische Personen, die im Ausland ansässig sind, es sei denn, sie werden durch einen Dritten vertreten, der gewerbsmäßig rechtlichen Beistand leistet.</w:t>
      </w:r>
    </w:p>
    <w:p w14:paraId="4F59ECEB" w14:textId="77777777" w:rsidR="00EE35E2" w:rsidRPr="004676F5" w:rsidRDefault="00EE35E2" w:rsidP="00EE35E2">
      <w:pPr>
        <w:ind w:firstLine="708"/>
        <w:jc w:val="both"/>
        <w:rPr>
          <w:lang w:val="de-DE"/>
        </w:rPr>
      </w:pPr>
    </w:p>
    <w:p w14:paraId="47E2CF62" w14:textId="77777777" w:rsidR="00EE35E2" w:rsidRPr="004676F5" w:rsidRDefault="00EE35E2" w:rsidP="00EE35E2">
      <w:pPr>
        <w:ind w:firstLine="708"/>
        <w:jc w:val="both"/>
        <w:rPr>
          <w:lang w:val="de-DE"/>
        </w:rPr>
      </w:pPr>
      <w:r w:rsidRPr="004676F5">
        <w:rPr>
          <w:lang w:val="de-DE"/>
        </w:rPr>
        <w:t>Die Partei, die nicht zur Hinterlegung auf elektronischem Weg verpflichtet ist und davon keinen Gebrauch macht, muss die in § 1 erwähnten Schriftstücke per Einschreibesendung oder gegen Empfangsbestätigung an der Büroadresse des Konkursverwalters wie im Urteil angegeben hinterlegen. Der Konkursverwalter wandelt die Schriftstücke in ein elektronisches Format um und erklärt sie für gleichlautend.</w:t>
      </w:r>
    </w:p>
    <w:p w14:paraId="633ABE89" w14:textId="77777777" w:rsidR="00EE35E2" w:rsidRPr="004676F5" w:rsidRDefault="00EE35E2" w:rsidP="00EE35E2">
      <w:pPr>
        <w:ind w:firstLine="708"/>
        <w:jc w:val="both"/>
        <w:rPr>
          <w:lang w:val="de-DE"/>
        </w:rPr>
      </w:pPr>
    </w:p>
    <w:p w14:paraId="5FAC891A" w14:textId="657DB290"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Der König kann die Form festlegen, in der die Forderungsanmeldung gemacht werden muss.</w:t>
      </w:r>
    </w:p>
    <w:p w14:paraId="79148388" w14:textId="77777777" w:rsidR="00EE35E2" w:rsidRPr="004676F5" w:rsidRDefault="00EE35E2" w:rsidP="00EE35E2">
      <w:pPr>
        <w:ind w:firstLine="708"/>
        <w:jc w:val="both"/>
        <w:rPr>
          <w:lang w:val="de-DE"/>
        </w:rPr>
      </w:pPr>
    </w:p>
    <w:p w14:paraId="2306F77D" w14:textId="5D457EDD"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Forderungsanmeldungen erfolgen in der Sprache des Konkurseröffnungsurteils. Sie können jedoch ebenfalls in einer anderen Landessprache oder Englisch eingereicht werden.</w:t>
      </w:r>
    </w:p>
    <w:p w14:paraId="5D512C48" w14:textId="77777777" w:rsidR="00EE35E2" w:rsidRPr="004676F5" w:rsidRDefault="00EE35E2" w:rsidP="00EE35E2">
      <w:pPr>
        <w:ind w:firstLine="708"/>
        <w:jc w:val="both"/>
        <w:rPr>
          <w:lang w:val="de-DE"/>
        </w:rPr>
      </w:pPr>
    </w:p>
    <w:p w14:paraId="0E1CB700" w14:textId="77777777" w:rsidR="00EE35E2" w:rsidRPr="004676F5" w:rsidRDefault="00EE35E2" w:rsidP="00EE35E2">
      <w:pPr>
        <w:ind w:firstLine="708"/>
        <w:jc w:val="both"/>
        <w:rPr>
          <w:lang w:val="de-DE"/>
        </w:rPr>
      </w:pPr>
      <w:r w:rsidRPr="004676F5">
        <w:rPr>
          <w:lang w:val="de-DE"/>
        </w:rPr>
        <w:t>Anlagen zu der Anmeldung können nach Wahl des Anmelders in einer anderen Sprache beigefügt werden.</w:t>
      </w:r>
    </w:p>
    <w:p w14:paraId="7EA5439A" w14:textId="77777777" w:rsidR="00EE35E2" w:rsidRPr="004676F5" w:rsidRDefault="00EE35E2" w:rsidP="00EE35E2">
      <w:pPr>
        <w:ind w:firstLine="708"/>
        <w:jc w:val="both"/>
        <w:rPr>
          <w:lang w:val="de-DE"/>
        </w:rPr>
      </w:pPr>
    </w:p>
    <w:p w14:paraId="251F6B86" w14:textId="77777777" w:rsidR="00EE35E2" w:rsidRPr="004676F5" w:rsidRDefault="00EE35E2" w:rsidP="00EE35E2">
      <w:pPr>
        <w:ind w:firstLine="708"/>
        <w:jc w:val="both"/>
        <w:rPr>
          <w:lang w:val="de-DE"/>
        </w:rPr>
      </w:pPr>
      <w:r w:rsidRPr="004676F5">
        <w:rPr>
          <w:lang w:val="de-DE"/>
        </w:rPr>
        <w:t>Das Gericht kann die Übersetzung der Anmeldung und der Anlagen beim Anmelder anfordern, der die diesbezüglichen Kosten trägt.</w:t>
      </w:r>
    </w:p>
    <w:p w14:paraId="416CC1D5" w14:textId="77777777" w:rsidR="00EE35E2" w:rsidRPr="004676F5" w:rsidRDefault="00EE35E2" w:rsidP="00EE35E2">
      <w:pPr>
        <w:ind w:firstLine="708"/>
        <w:jc w:val="both"/>
        <w:rPr>
          <w:lang w:val="de-DE"/>
        </w:rPr>
      </w:pPr>
    </w:p>
    <w:p w14:paraId="0454CD2B" w14:textId="77777777" w:rsidR="00C2771B" w:rsidRPr="004676F5" w:rsidRDefault="00C2771B" w:rsidP="00EE35E2">
      <w:pPr>
        <w:ind w:firstLine="708"/>
        <w:jc w:val="both"/>
        <w:rPr>
          <w:lang w:val="de-DE"/>
        </w:rPr>
      </w:pPr>
    </w:p>
    <w:p w14:paraId="444F945B" w14:textId="77777777" w:rsidR="00C2771B" w:rsidRPr="004676F5" w:rsidRDefault="00C2771B">
      <w:pPr>
        <w:rPr>
          <w:lang w:val="de-DE"/>
        </w:rPr>
      </w:pPr>
      <w:r w:rsidRPr="004676F5">
        <w:rPr>
          <w:lang w:val="de-DE"/>
        </w:rPr>
        <w:br w:type="page"/>
      </w:r>
    </w:p>
    <w:p w14:paraId="3BFB4791" w14:textId="5C246106"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XX.156</w:t>
      </w:r>
      <w:r w:rsidR="00EE35E2" w:rsidRPr="004676F5">
        <w:rPr>
          <w:lang w:val="de-DE"/>
        </w:rPr>
        <w:t> </w:t>
      </w:r>
      <w:r w:rsidR="005B7A5C" w:rsidRPr="004676F5">
        <w:rPr>
          <w:lang w:val="de-DE"/>
        </w:rPr>
        <w:t>- </w:t>
      </w:r>
      <w:r w:rsidR="00EE35E2" w:rsidRPr="004676F5">
        <w:rPr>
          <w:lang w:val="de-DE"/>
        </w:rPr>
        <w:t>In der Anmeldung jedes Gläubigers wird Folgendes angegeben:</w:t>
      </w:r>
    </w:p>
    <w:p w14:paraId="31F55DB8" w14:textId="77777777" w:rsidR="00EE35E2" w:rsidRPr="004676F5" w:rsidRDefault="00EE35E2" w:rsidP="00EE35E2">
      <w:pPr>
        <w:ind w:firstLine="708"/>
        <w:jc w:val="both"/>
        <w:rPr>
          <w:lang w:val="de-DE"/>
        </w:rPr>
      </w:pPr>
    </w:p>
    <w:p w14:paraId="2D191FBB" w14:textId="69F64458" w:rsidR="00EE35E2" w:rsidRPr="004676F5" w:rsidRDefault="005B7A5C" w:rsidP="00EE35E2">
      <w:pPr>
        <w:ind w:firstLine="708"/>
        <w:jc w:val="both"/>
        <w:rPr>
          <w:lang w:val="de-DE"/>
        </w:rPr>
      </w:pPr>
      <w:r w:rsidRPr="004676F5">
        <w:rPr>
          <w:lang w:val="de-DE"/>
        </w:rPr>
        <w:t>- </w:t>
      </w:r>
      <w:r w:rsidR="00EE35E2" w:rsidRPr="004676F5">
        <w:rPr>
          <w:lang w:val="de-DE"/>
        </w:rPr>
        <w:t xml:space="preserve">seine Identität, seine Unternehmensnummer und gegebenenfalls sein Beruf und sein Wohnsitz oder, wenn es sich um eine juristische Person handelt, seine Unternehmensnummer, sein Gesellschaftsname und sein </w:t>
      </w:r>
      <w:r w:rsidR="008A2C17" w:rsidRPr="004676F5">
        <w:rPr>
          <w:lang w:val="de-DE"/>
        </w:rPr>
        <w:t>[Sitz]</w:t>
      </w:r>
      <w:r w:rsidR="00EE35E2" w:rsidRPr="004676F5">
        <w:rPr>
          <w:lang w:val="de-DE"/>
        </w:rPr>
        <w:t>,</w:t>
      </w:r>
    </w:p>
    <w:p w14:paraId="37E31224" w14:textId="77777777" w:rsidR="00EE35E2" w:rsidRPr="004676F5" w:rsidRDefault="00EE35E2" w:rsidP="00EE35E2">
      <w:pPr>
        <w:ind w:firstLine="708"/>
        <w:jc w:val="both"/>
        <w:rPr>
          <w:lang w:val="de-DE"/>
        </w:rPr>
      </w:pPr>
    </w:p>
    <w:p w14:paraId="1D3BB450" w14:textId="08E99AB6" w:rsidR="00EE35E2" w:rsidRPr="004676F5" w:rsidRDefault="005B7A5C" w:rsidP="00EE35E2">
      <w:pPr>
        <w:ind w:firstLine="708"/>
        <w:jc w:val="both"/>
        <w:rPr>
          <w:lang w:val="de-DE"/>
        </w:rPr>
      </w:pPr>
      <w:r w:rsidRPr="004676F5">
        <w:rPr>
          <w:lang w:val="de-DE"/>
        </w:rPr>
        <w:t>- </w:t>
      </w:r>
      <w:r w:rsidR="00EE35E2" w:rsidRPr="004676F5">
        <w:rPr>
          <w:lang w:val="de-DE"/>
        </w:rPr>
        <w:t>Höhe und Grund seiner Forderung, mit ihr verbundene Vorzugsrechte, Hypotheken oder dingliche Sicherheiten auf beweglichen Gütern und der Forderung zugrunde liegender Rechtstitel.</w:t>
      </w:r>
    </w:p>
    <w:p w14:paraId="1681349C" w14:textId="77777777" w:rsidR="00EE35E2" w:rsidRPr="004676F5" w:rsidRDefault="00EE35E2" w:rsidP="00EE35E2">
      <w:pPr>
        <w:ind w:firstLine="708"/>
        <w:jc w:val="both"/>
        <w:rPr>
          <w:lang w:val="de-DE"/>
        </w:rPr>
      </w:pPr>
    </w:p>
    <w:p w14:paraId="75CC0C73" w14:textId="77777777" w:rsidR="00EE35E2" w:rsidRPr="004676F5" w:rsidRDefault="00EE35E2" w:rsidP="00EE35E2">
      <w:pPr>
        <w:ind w:firstLine="708"/>
        <w:jc w:val="both"/>
        <w:rPr>
          <w:lang w:val="de-DE"/>
        </w:rPr>
      </w:pPr>
      <w:r w:rsidRPr="004676F5">
        <w:rPr>
          <w:lang w:val="de-DE"/>
        </w:rPr>
        <w:t>In Ermangelung dessen können die Konkursverwalter die Forderung ablehnen oder sie als nicht bevorrechtigt betrachten.</w:t>
      </w:r>
    </w:p>
    <w:p w14:paraId="3006986E" w14:textId="77777777" w:rsidR="00EE35E2" w:rsidRPr="004676F5" w:rsidRDefault="00EE35E2" w:rsidP="00EE35E2">
      <w:pPr>
        <w:ind w:firstLine="708"/>
        <w:jc w:val="both"/>
        <w:rPr>
          <w:lang w:val="de-DE"/>
        </w:rPr>
      </w:pPr>
    </w:p>
    <w:p w14:paraId="08128928" w14:textId="77777777" w:rsidR="00EE35E2" w:rsidRPr="004676F5" w:rsidRDefault="00EE35E2" w:rsidP="00EE35E2">
      <w:pPr>
        <w:ind w:firstLine="708"/>
        <w:jc w:val="both"/>
        <w:rPr>
          <w:lang w:val="de-DE"/>
        </w:rPr>
      </w:pPr>
      <w:r w:rsidRPr="004676F5">
        <w:rPr>
          <w:lang w:val="de-DE"/>
        </w:rPr>
        <w:t>Gläubiger, die über persönliche Sicherheiten verfügen, vermerken dies in der Forderungs</w:t>
      </w:r>
      <w:r w:rsidRPr="004676F5">
        <w:rPr>
          <w:lang w:val="de-DE"/>
        </w:rPr>
        <w:softHyphen/>
        <w:t>anmeldung oder spätestens drei Monate ab dem Datum des Konkurseröffnungs</w:t>
      </w:r>
      <w:r w:rsidRPr="004676F5">
        <w:rPr>
          <w:lang w:val="de-DE"/>
        </w:rPr>
        <w:softHyphen/>
        <w:t>urteils, sofern der Konkurs nicht vorher abgeschlossen wird, und geben Namen, Vornamen und Adresse der natürlichen Personen an, die für den Konkursschuldner unentgeltlich eine persönliche Sicherheit geleistet haben; in Ermangelung dessen sind diese Personen entlastet.</w:t>
      </w:r>
    </w:p>
    <w:p w14:paraId="132F95B7" w14:textId="77777777" w:rsidR="008A2C17" w:rsidRPr="004676F5" w:rsidRDefault="008A2C17" w:rsidP="008A2C17">
      <w:pPr>
        <w:jc w:val="both"/>
        <w:rPr>
          <w:lang w:val="de-DE"/>
        </w:rPr>
      </w:pPr>
    </w:p>
    <w:p w14:paraId="498DCABF" w14:textId="0968040D" w:rsidR="008A2C17" w:rsidRPr="004676F5" w:rsidRDefault="008A2C17" w:rsidP="008A2C17">
      <w:pPr>
        <w:jc w:val="both"/>
        <w:rPr>
          <w:i/>
          <w:iCs/>
          <w:lang w:val="de-DE"/>
        </w:rPr>
      </w:pPr>
      <w:r w:rsidRPr="004676F5">
        <w:rPr>
          <w:i/>
          <w:iCs/>
          <w:lang w:val="de-DE"/>
        </w:rPr>
        <w:t>[Art. XX.156 Abs. 1 erster Gedankenstrich abgeändert durch Art. 225 des G. vom 7. Juni 2023 (B.S. vom 7. Juli 2023)]</w:t>
      </w:r>
    </w:p>
    <w:p w14:paraId="4A248B2A" w14:textId="77777777" w:rsidR="00EE35E2" w:rsidRPr="004676F5" w:rsidRDefault="00EE35E2" w:rsidP="00EE35E2">
      <w:pPr>
        <w:ind w:firstLine="708"/>
        <w:jc w:val="both"/>
        <w:rPr>
          <w:lang w:val="de-DE"/>
        </w:rPr>
      </w:pPr>
    </w:p>
    <w:p w14:paraId="76FB969B" w14:textId="77777777" w:rsidR="00C2771B" w:rsidRPr="004676F5" w:rsidRDefault="00C2771B" w:rsidP="00EE35E2">
      <w:pPr>
        <w:ind w:firstLine="708"/>
        <w:jc w:val="both"/>
        <w:rPr>
          <w:lang w:val="de-DE"/>
        </w:rPr>
      </w:pPr>
    </w:p>
    <w:p w14:paraId="2CCDBC09" w14:textId="43D1F6DB" w:rsidR="00EE35E2" w:rsidRPr="004676F5" w:rsidRDefault="00BE0A56" w:rsidP="00EE35E2">
      <w:pPr>
        <w:ind w:firstLine="708"/>
        <w:jc w:val="both"/>
        <w:rPr>
          <w:lang w:val="de-DE"/>
        </w:rPr>
      </w:pPr>
      <w:r w:rsidRPr="004676F5">
        <w:rPr>
          <w:b/>
          <w:lang w:val="de-DE"/>
        </w:rPr>
        <w:t>Art. </w:t>
      </w:r>
      <w:r w:rsidR="00EE35E2" w:rsidRPr="004676F5">
        <w:rPr>
          <w:b/>
          <w:lang w:val="de-DE"/>
        </w:rPr>
        <w:t>XX.157</w:t>
      </w:r>
      <w:r w:rsidR="00EE35E2" w:rsidRPr="004676F5">
        <w:rPr>
          <w:lang w:val="de-DE"/>
        </w:rPr>
        <w:t> </w:t>
      </w:r>
      <w:r w:rsidR="005B7A5C" w:rsidRPr="004676F5">
        <w:rPr>
          <w:lang w:val="de-DE"/>
        </w:rPr>
        <w:t>- </w:t>
      </w:r>
      <w:r w:rsidR="00EE35E2" w:rsidRPr="004676F5">
        <w:rPr>
          <w:lang w:val="de-DE"/>
        </w:rPr>
        <w:t>Unbeschadet der Anwendung internationaler Verträge enthält die Anmeldung eines Gläubigers, der seinen Wohnsitz nicht in einem Mitgliedstaat der Europäischen Union hat, Wahl des Wohnsitzes im Bereich des Gerichts, das den Konkurs ausgesprochen hat.</w:t>
      </w:r>
    </w:p>
    <w:p w14:paraId="6BB36555" w14:textId="77777777" w:rsidR="00EE35E2" w:rsidRPr="004676F5" w:rsidRDefault="00EE35E2" w:rsidP="00EE35E2">
      <w:pPr>
        <w:ind w:firstLine="708"/>
        <w:jc w:val="both"/>
        <w:rPr>
          <w:lang w:val="de-DE"/>
        </w:rPr>
      </w:pPr>
    </w:p>
    <w:p w14:paraId="5C435355" w14:textId="77777777" w:rsidR="00EE35E2" w:rsidRPr="004676F5" w:rsidRDefault="00EE35E2" w:rsidP="00EE35E2">
      <w:pPr>
        <w:ind w:firstLine="708"/>
        <w:jc w:val="both"/>
        <w:rPr>
          <w:lang w:val="de-DE"/>
        </w:rPr>
      </w:pPr>
      <w:r w:rsidRPr="004676F5">
        <w:rPr>
          <w:lang w:val="de-DE"/>
        </w:rPr>
        <w:t>Hat er keinen Wohnsitz gewählt, können alle an ihn gerichteten Zustellungen und Mitteilungen bei der Kanzlei des Gerichts erfolgen.</w:t>
      </w:r>
    </w:p>
    <w:p w14:paraId="1DE0BB9F" w14:textId="77777777" w:rsidR="00EE35E2" w:rsidRPr="004676F5" w:rsidRDefault="00EE35E2" w:rsidP="00EE35E2">
      <w:pPr>
        <w:ind w:firstLine="708"/>
        <w:jc w:val="both"/>
        <w:rPr>
          <w:lang w:val="de-DE"/>
        </w:rPr>
      </w:pPr>
    </w:p>
    <w:p w14:paraId="518A9123" w14:textId="77777777" w:rsidR="00C2771B" w:rsidRPr="004676F5" w:rsidRDefault="00C2771B" w:rsidP="00EE35E2">
      <w:pPr>
        <w:ind w:firstLine="708"/>
        <w:jc w:val="both"/>
        <w:rPr>
          <w:lang w:val="de-DE"/>
        </w:rPr>
      </w:pPr>
    </w:p>
    <w:p w14:paraId="4BEEC567" w14:textId="4800F6F6" w:rsidR="00EE35E2" w:rsidRPr="004676F5" w:rsidRDefault="00BE0A56" w:rsidP="00EE35E2">
      <w:pPr>
        <w:ind w:firstLine="708"/>
        <w:jc w:val="both"/>
        <w:rPr>
          <w:lang w:val="de-DE"/>
        </w:rPr>
      </w:pPr>
      <w:r w:rsidRPr="004676F5">
        <w:rPr>
          <w:b/>
          <w:lang w:val="de-DE"/>
        </w:rPr>
        <w:t>Art. </w:t>
      </w:r>
      <w:r w:rsidR="00EE35E2" w:rsidRPr="004676F5">
        <w:rPr>
          <w:b/>
          <w:lang w:val="de-DE"/>
        </w:rPr>
        <w:t>XX.158</w:t>
      </w:r>
      <w:r w:rsidR="00EE35E2" w:rsidRPr="004676F5">
        <w:rPr>
          <w:lang w:val="de-DE"/>
        </w:rPr>
        <w:t> </w:t>
      </w:r>
      <w:r w:rsidR="005B7A5C" w:rsidRPr="004676F5">
        <w:rPr>
          <w:lang w:val="de-DE"/>
        </w:rPr>
        <w:t>- </w:t>
      </w:r>
      <w:r w:rsidR="00EE35E2" w:rsidRPr="004676F5">
        <w:rPr>
          <w:lang w:val="de-DE"/>
        </w:rPr>
        <w:t xml:space="preserve">Die Prüfung der Forderungen wird vom Konkursverwalter im Beisein oder nach ordnungsgemäßer Vorladung des Konkursschuldners vorgenommen. </w:t>
      </w:r>
      <w:r w:rsidR="008A2C17" w:rsidRPr="004676F5">
        <w:rPr>
          <w:lang w:val="de-DE"/>
        </w:rPr>
        <w:t xml:space="preserve">[Ein im Register eingetragener Konkursschuldner wird über das Register vorgeladen.] </w:t>
      </w:r>
      <w:r w:rsidR="00EE35E2" w:rsidRPr="004676F5">
        <w:rPr>
          <w:lang w:val="de-DE"/>
        </w:rPr>
        <w:t>Die Forderungstitel werden anhand der Bücher und Buchungsvorgänge des Konkursschuldners geprüft.</w:t>
      </w:r>
    </w:p>
    <w:p w14:paraId="2217EA85" w14:textId="77777777" w:rsidR="00EE35E2" w:rsidRPr="004676F5" w:rsidRDefault="00EE35E2" w:rsidP="00EE35E2">
      <w:pPr>
        <w:ind w:firstLine="708"/>
        <w:jc w:val="both"/>
        <w:rPr>
          <w:lang w:val="de-DE"/>
        </w:rPr>
      </w:pPr>
    </w:p>
    <w:p w14:paraId="0A8CAB97" w14:textId="77777777" w:rsidR="00EE35E2" w:rsidRPr="004676F5" w:rsidRDefault="00EE35E2" w:rsidP="00EE35E2">
      <w:pPr>
        <w:ind w:firstLine="708"/>
        <w:jc w:val="both"/>
        <w:rPr>
          <w:lang w:val="de-DE"/>
        </w:rPr>
      </w:pPr>
      <w:r w:rsidRPr="004676F5">
        <w:rPr>
          <w:lang w:val="de-DE"/>
        </w:rPr>
        <w:t>Der Konkursschuldner wird auch über die Konkursliquidation vernommen.</w:t>
      </w:r>
    </w:p>
    <w:p w14:paraId="2368BE0D" w14:textId="77777777" w:rsidR="008A2C17" w:rsidRPr="004676F5" w:rsidRDefault="008A2C17" w:rsidP="008A2C17">
      <w:pPr>
        <w:jc w:val="both"/>
        <w:rPr>
          <w:lang w:val="de-DE"/>
        </w:rPr>
      </w:pPr>
    </w:p>
    <w:p w14:paraId="0381C4AE" w14:textId="32EABEC8" w:rsidR="008A2C17" w:rsidRPr="004676F5" w:rsidRDefault="008A2C17" w:rsidP="008A2C17">
      <w:pPr>
        <w:jc w:val="both"/>
        <w:rPr>
          <w:i/>
          <w:iCs/>
          <w:lang w:val="de-DE"/>
        </w:rPr>
      </w:pPr>
      <w:r w:rsidRPr="004676F5">
        <w:rPr>
          <w:i/>
          <w:iCs/>
          <w:lang w:val="de-DE"/>
        </w:rPr>
        <w:t>[Art. XX.158 Abs. 1 abgeändert durch Art. 226 des G. vom 7. Juni 2023 (B.S. vom 7. Juli 2023)]</w:t>
      </w:r>
    </w:p>
    <w:p w14:paraId="519F66F8" w14:textId="77777777" w:rsidR="00EE35E2" w:rsidRPr="004676F5" w:rsidRDefault="00EE35E2" w:rsidP="00EE35E2">
      <w:pPr>
        <w:ind w:firstLine="708"/>
        <w:jc w:val="both"/>
        <w:rPr>
          <w:lang w:val="de-DE"/>
        </w:rPr>
      </w:pPr>
    </w:p>
    <w:p w14:paraId="6B3E0AE3" w14:textId="77777777" w:rsidR="00C2771B" w:rsidRPr="004676F5" w:rsidRDefault="00C2771B" w:rsidP="00EE35E2">
      <w:pPr>
        <w:ind w:firstLine="708"/>
        <w:jc w:val="both"/>
        <w:rPr>
          <w:lang w:val="de-DE"/>
        </w:rPr>
      </w:pPr>
    </w:p>
    <w:p w14:paraId="46349BA7" w14:textId="0B1BC7FA" w:rsidR="00EE35E2" w:rsidRPr="004676F5" w:rsidRDefault="00BE0A56" w:rsidP="00EE35E2">
      <w:pPr>
        <w:ind w:firstLine="708"/>
        <w:jc w:val="both"/>
        <w:rPr>
          <w:lang w:val="de-DE"/>
        </w:rPr>
      </w:pPr>
      <w:r w:rsidRPr="004676F5">
        <w:rPr>
          <w:b/>
          <w:lang w:val="de-DE"/>
        </w:rPr>
        <w:t>Art. </w:t>
      </w:r>
      <w:r w:rsidR="00EE35E2" w:rsidRPr="004676F5">
        <w:rPr>
          <w:b/>
          <w:lang w:val="de-DE"/>
        </w:rPr>
        <w:t>XX.159</w:t>
      </w:r>
      <w:r w:rsidR="00EE35E2" w:rsidRPr="004676F5">
        <w:rPr>
          <w:lang w:val="de-DE"/>
        </w:rPr>
        <w:t> </w:t>
      </w:r>
      <w:r w:rsidR="005B7A5C" w:rsidRPr="004676F5">
        <w:rPr>
          <w:lang w:val="de-DE"/>
        </w:rPr>
        <w:t>- </w:t>
      </w:r>
      <w:r w:rsidR="00EE35E2" w:rsidRPr="004676F5">
        <w:rPr>
          <w:lang w:val="de-DE"/>
        </w:rPr>
        <w:t xml:space="preserve">Nach Anmeldung einer Forderung bis zu dem Tag, der für die Verhandlung über die Streitfälle, die sie hervorruft, festgelegt worden ist, kann der Konkursrichter selbst von Amts wegen anordnen, dass der Gläubiger oder sein Bevollmächtigter oder andere Personen, die Auskünfte erteilen können, persönlich erscheinen. Er erstellt ein Protokoll über ihre Aussagen. Er kann auch anordnen, dass der Gläubiger seine </w:t>
      </w:r>
      <w:r w:rsidR="00EE35E2" w:rsidRPr="004676F5">
        <w:rPr>
          <w:lang w:val="de-DE"/>
        </w:rPr>
        <w:lastRenderedPageBreak/>
        <w:t>Bücher vorlegt, oder aufgrund einer Anordnung zur Buchprüfung fordern, dass ihm daraus ein vom Richter des Ortes ausgefertigter Auszug ausgehändigt wird.</w:t>
      </w:r>
    </w:p>
    <w:p w14:paraId="6B4432CD" w14:textId="77777777" w:rsidR="00EE35E2" w:rsidRPr="004676F5" w:rsidRDefault="00EE35E2" w:rsidP="00EE35E2">
      <w:pPr>
        <w:ind w:firstLine="708"/>
        <w:jc w:val="both"/>
        <w:rPr>
          <w:lang w:val="de-DE"/>
        </w:rPr>
      </w:pPr>
    </w:p>
    <w:p w14:paraId="325DDA36" w14:textId="77777777" w:rsidR="00C2771B" w:rsidRPr="004676F5" w:rsidRDefault="00C2771B" w:rsidP="00EE35E2">
      <w:pPr>
        <w:ind w:firstLine="708"/>
        <w:jc w:val="both"/>
        <w:rPr>
          <w:lang w:val="de-DE"/>
        </w:rPr>
      </w:pPr>
    </w:p>
    <w:p w14:paraId="55890748" w14:textId="2594D043" w:rsidR="00EE35E2" w:rsidRPr="004676F5" w:rsidRDefault="00BE0A56" w:rsidP="00EE35E2">
      <w:pPr>
        <w:ind w:firstLine="708"/>
        <w:jc w:val="both"/>
        <w:rPr>
          <w:lang w:val="de-DE"/>
        </w:rPr>
      </w:pPr>
      <w:r w:rsidRPr="004676F5">
        <w:rPr>
          <w:b/>
          <w:lang w:val="de-DE"/>
        </w:rPr>
        <w:t>Art. </w:t>
      </w:r>
      <w:r w:rsidR="00EE35E2" w:rsidRPr="004676F5">
        <w:rPr>
          <w:b/>
          <w:lang w:val="de-DE"/>
        </w:rPr>
        <w:t>XX.160</w:t>
      </w:r>
      <w:r w:rsidR="00EE35E2" w:rsidRPr="004676F5">
        <w:rPr>
          <w:lang w:val="de-DE"/>
        </w:rPr>
        <w:t> </w:t>
      </w:r>
      <w:r w:rsidR="005B7A5C" w:rsidRPr="004676F5">
        <w:rPr>
          <w:lang w:val="de-DE"/>
        </w:rPr>
        <w:t>- </w:t>
      </w:r>
      <w:r w:rsidR="00EE35E2" w:rsidRPr="004676F5">
        <w:rPr>
          <w:lang w:val="de-DE"/>
        </w:rPr>
        <w:t>Protokolle über die Prüfung der Forderungen werden von den Konkurs</w:t>
      </w:r>
      <w:r w:rsidR="00EE35E2" w:rsidRPr="004676F5">
        <w:rPr>
          <w:lang w:val="de-DE"/>
        </w:rPr>
        <w:softHyphen/>
        <w:t>ver</w:t>
      </w:r>
      <w:r w:rsidR="00EE35E2" w:rsidRPr="004676F5">
        <w:rPr>
          <w:lang w:val="de-DE"/>
        </w:rPr>
        <w:softHyphen/>
        <w:t>waltern erstellt, von ihnen selbst unterzeichnet und im Register hinterlegt, mit Notifizierung an den Konkursrichter.</w:t>
      </w:r>
    </w:p>
    <w:p w14:paraId="04E941CE" w14:textId="77777777" w:rsidR="00EE35E2" w:rsidRPr="004676F5" w:rsidRDefault="00EE35E2" w:rsidP="00EE35E2">
      <w:pPr>
        <w:ind w:firstLine="708"/>
        <w:jc w:val="both"/>
        <w:rPr>
          <w:lang w:val="de-DE"/>
        </w:rPr>
      </w:pPr>
    </w:p>
    <w:p w14:paraId="038E3DDA" w14:textId="77777777" w:rsidR="00C2771B" w:rsidRPr="004676F5" w:rsidRDefault="00C2771B" w:rsidP="00EE35E2">
      <w:pPr>
        <w:ind w:firstLine="708"/>
        <w:jc w:val="both"/>
        <w:rPr>
          <w:lang w:val="de-DE"/>
        </w:rPr>
      </w:pPr>
    </w:p>
    <w:p w14:paraId="02E788A6" w14:textId="643A01B2" w:rsidR="00EE35E2" w:rsidRPr="004676F5" w:rsidRDefault="00BE0A56" w:rsidP="00EE35E2">
      <w:pPr>
        <w:ind w:firstLine="708"/>
        <w:jc w:val="both"/>
        <w:rPr>
          <w:lang w:val="de-DE"/>
        </w:rPr>
      </w:pPr>
      <w:r w:rsidRPr="004676F5">
        <w:rPr>
          <w:b/>
          <w:lang w:val="de-DE"/>
        </w:rPr>
        <w:t>Art. </w:t>
      </w:r>
      <w:r w:rsidR="00EE35E2" w:rsidRPr="004676F5">
        <w:rPr>
          <w:b/>
          <w:lang w:val="de-DE"/>
        </w:rPr>
        <w:t>XX.161</w:t>
      </w:r>
      <w:r w:rsidR="00EE35E2" w:rsidRPr="004676F5">
        <w:rPr>
          <w:lang w:val="de-DE"/>
        </w:rPr>
        <w:t> </w:t>
      </w:r>
      <w:r w:rsidR="005B7A5C" w:rsidRPr="004676F5">
        <w:rPr>
          <w:lang w:val="de-DE"/>
        </w:rPr>
        <w:t>- </w:t>
      </w:r>
      <w:r w:rsidR="00EE35E2" w:rsidRPr="004676F5">
        <w:rPr>
          <w:lang w:val="de-DE"/>
        </w:rPr>
        <w:t>Die Konkursverwalter hinterlegen das erste Prüfungsprotokoll spätestens an dem im Konkurseröffnungsurteil festgelegten Datum im Register.</w:t>
      </w:r>
    </w:p>
    <w:p w14:paraId="0772017B" w14:textId="77777777" w:rsidR="00EE35E2" w:rsidRPr="004676F5" w:rsidRDefault="00EE35E2" w:rsidP="00EE35E2">
      <w:pPr>
        <w:ind w:firstLine="708"/>
        <w:jc w:val="both"/>
        <w:rPr>
          <w:lang w:val="de-DE"/>
        </w:rPr>
      </w:pPr>
    </w:p>
    <w:p w14:paraId="3BAF6F81" w14:textId="77777777" w:rsidR="00EE35E2" w:rsidRPr="004676F5" w:rsidRDefault="00EE35E2" w:rsidP="00EE35E2">
      <w:pPr>
        <w:ind w:firstLine="708"/>
        <w:jc w:val="both"/>
        <w:rPr>
          <w:lang w:val="de-DE"/>
        </w:rPr>
      </w:pPr>
      <w:r w:rsidRPr="004676F5">
        <w:rPr>
          <w:lang w:val="de-DE"/>
        </w:rPr>
        <w:t>Sechs beziehungsweise zwölf Monate nach dem Konkurseröffnungsurteil hinterlegen die Konkursverwalter ein ergänzendes Prüfungsprotokoll im Register, in dem das erste Prüfungsprotokoll übernommen wird, die Prüfung der gestundeten Forderungen fortgesetzt wird und die zwischenzeitlich hinterlegten Forderungen geprüft werden. Dies gilt auch, wenn seit dem vorhergehenden Prüfungsprotokoll keine Änderungen eingetreten sind.</w:t>
      </w:r>
    </w:p>
    <w:p w14:paraId="54556B97" w14:textId="77777777" w:rsidR="00EE35E2" w:rsidRPr="004676F5" w:rsidRDefault="00EE35E2" w:rsidP="00EE35E2">
      <w:pPr>
        <w:ind w:firstLine="708"/>
        <w:jc w:val="both"/>
        <w:rPr>
          <w:lang w:val="de-DE"/>
        </w:rPr>
      </w:pPr>
    </w:p>
    <w:p w14:paraId="6C0D5233" w14:textId="4BD50707" w:rsidR="00EE35E2" w:rsidRPr="004676F5" w:rsidRDefault="00EE35E2" w:rsidP="00EE35E2">
      <w:pPr>
        <w:ind w:firstLine="708"/>
        <w:jc w:val="both"/>
        <w:rPr>
          <w:lang w:val="de-DE"/>
        </w:rPr>
      </w:pPr>
      <w:r w:rsidRPr="004676F5">
        <w:rPr>
          <w:lang w:val="de-DE"/>
        </w:rPr>
        <w:t xml:space="preserve">Im ersten und zweiten Protokoll können die Konkursverwalter Forderungen annehmen, bis zur nächsten Prüfung stunden oder bestreiten. Zwischen diesen Protokollen können sie Streitfälle in Bezug auf Forderungen, die sie annehmen oder bestreiten wollen, an das Gericht verweisen. </w:t>
      </w:r>
      <w:r w:rsidR="008A2C17" w:rsidRPr="004676F5">
        <w:rPr>
          <w:lang w:val="de-DE"/>
        </w:rPr>
        <w:t>[Außer wenn auf Initiative des Gläubigers und mit Zustimmung des Konkursverwalters eine Forderungsanmeldung geändert wird, wird davon ausgegangen, dass die in der Forderungsanmeldung enthaltenen Angaben richtig sind.]</w:t>
      </w:r>
    </w:p>
    <w:p w14:paraId="56176044" w14:textId="77777777" w:rsidR="00EE35E2" w:rsidRPr="004676F5" w:rsidRDefault="00EE35E2" w:rsidP="00EE35E2">
      <w:pPr>
        <w:ind w:firstLine="708"/>
        <w:jc w:val="both"/>
        <w:rPr>
          <w:lang w:val="de-DE"/>
        </w:rPr>
      </w:pPr>
    </w:p>
    <w:p w14:paraId="59D506B7" w14:textId="17E23BB1" w:rsidR="00EE35E2" w:rsidRPr="004676F5" w:rsidRDefault="008A2C17" w:rsidP="00EE35E2">
      <w:pPr>
        <w:ind w:firstLine="708"/>
        <w:jc w:val="both"/>
        <w:rPr>
          <w:lang w:val="de-DE"/>
        </w:rPr>
      </w:pPr>
      <w:r w:rsidRPr="004676F5">
        <w:rPr>
          <w:lang w:val="de-DE"/>
        </w:rPr>
        <w:t>[Bestrittene Forderungen]</w:t>
      </w:r>
      <w:r w:rsidR="00EE35E2" w:rsidRPr="004676F5">
        <w:rPr>
          <w:lang w:val="de-DE"/>
        </w:rPr>
        <w:t xml:space="preserve"> werden gemäß Artikel XX.163 behandelt. Der Konkursverwalter lädt den betreffenden Gläubiger zwecks Untersuchung des Streitfalls per Einschreiben oder über das Register für den Tag und die Uhrzeit, die in Absprache mit der Kanzlei festgelegt werden, vor das Gericht vor.</w:t>
      </w:r>
    </w:p>
    <w:p w14:paraId="5C6F778A" w14:textId="77777777" w:rsidR="00EE35E2" w:rsidRPr="004676F5" w:rsidRDefault="00EE35E2" w:rsidP="00EE35E2">
      <w:pPr>
        <w:ind w:firstLine="708"/>
        <w:jc w:val="both"/>
        <w:rPr>
          <w:lang w:val="de-DE"/>
        </w:rPr>
      </w:pPr>
    </w:p>
    <w:p w14:paraId="3B49D9E7" w14:textId="77777777" w:rsidR="00EE35E2" w:rsidRPr="004676F5" w:rsidRDefault="00EE35E2" w:rsidP="00EE35E2">
      <w:pPr>
        <w:ind w:firstLine="708"/>
        <w:jc w:val="both"/>
        <w:rPr>
          <w:lang w:val="de-DE"/>
        </w:rPr>
      </w:pPr>
      <w:r w:rsidRPr="004676F5">
        <w:rPr>
          <w:lang w:val="de-DE"/>
        </w:rPr>
        <w:t>Die Konkursverwalter lassen die Forderungen der Arbeitnehmer des Konkurs</w:t>
      </w:r>
      <w:r w:rsidRPr="004676F5">
        <w:rPr>
          <w:lang w:val="de-DE"/>
        </w:rPr>
        <w:softHyphen/>
        <w:t>schuldners, die vollständig oder für einen vorläufigen Betrag angenommen worden sind, sofort dem Fonds für die Entschädigung der bei Unternehmensschließungen entlassenen Arbeit</w:t>
      </w:r>
      <w:r w:rsidRPr="004676F5">
        <w:rPr>
          <w:lang w:val="de-DE"/>
        </w:rPr>
        <w:softHyphen/>
        <w:t>nehmer zukommen.</w:t>
      </w:r>
    </w:p>
    <w:p w14:paraId="1B39348F" w14:textId="77777777" w:rsidR="00EE35E2" w:rsidRPr="004676F5" w:rsidRDefault="00EE35E2" w:rsidP="00EE35E2">
      <w:pPr>
        <w:ind w:firstLine="708"/>
        <w:jc w:val="both"/>
        <w:rPr>
          <w:lang w:val="de-DE"/>
        </w:rPr>
      </w:pPr>
    </w:p>
    <w:p w14:paraId="7CA209EB" w14:textId="77777777" w:rsidR="00EE35E2" w:rsidRPr="004676F5" w:rsidRDefault="00EE35E2" w:rsidP="00EE35E2">
      <w:pPr>
        <w:ind w:firstLine="708"/>
        <w:jc w:val="both"/>
        <w:rPr>
          <w:lang w:val="de-DE"/>
        </w:rPr>
      </w:pPr>
      <w:r w:rsidRPr="004676F5">
        <w:rPr>
          <w:lang w:val="de-DE"/>
        </w:rPr>
        <w:t>Klagen auf Aufnahme von Forderungen, deren Aufnahme gemäß Artikel XX.165 Absatz 3 und 4 nach Hinterlegung des letzten Prüfungsprotokolls beantragt wird, werden durch eine gegen die Konkursverwalter gerichtete Ladung eingeleitet.</w:t>
      </w:r>
    </w:p>
    <w:p w14:paraId="18E6EB40" w14:textId="77777777" w:rsidR="008A2C17" w:rsidRPr="004676F5" w:rsidRDefault="008A2C17" w:rsidP="008A2C17">
      <w:pPr>
        <w:jc w:val="both"/>
        <w:rPr>
          <w:lang w:val="de-DE"/>
        </w:rPr>
      </w:pPr>
    </w:p>
    <w:p w14:paraId="1DF442CA" w14:textId="727749E1" w:rsidR="008A2C17" w:rsidRPr="004676F5" w:rsidRDefault="008A2C17" w:rsidP="008A2C17">
      <w:pPr>
        <w:jc w:val="both"/>
        <w:rPr>
          <w:i/>
          <w:iCs/>
          <w:lang w:val="de-DE"/>
        </w:rPr>
      </w:pPr>
      <w:r w:rsidRPr="004676F5">
        <w:rPr>
          <w:i/>
          <w:iCs/>
          <w:lang w:val="de-DE"/>
        </w:rPr>
        <w:t>[</w:t>
      </w:r>
      <w:r w:rsidR="00885A63" w:rsidRPr="004676F5">
        <w:rPr>
          <w:i/>
          <w:iCs/>
          <w:lang w:val="de-DE"/>
        </w:rPr>
        <w:t>Art. XX.161 Abs. 3 abgeändert durch Art. 227 Nr. 1 des G. vom 7. Juni 2023 (B.S. vom 7. Juli 2023); Abs. 4 abgeändert durch Art. 227 Nr. 2 des G. vom 7. Juni 2023 (B.S. vom 7. Juli 2023)]</w:t>
      </w:r>
    </w:p>
    <w:p w14:paraId="6F637082" w14:textId="77777777" w:rsidR="00EE35E2" w:rsidRPr="004676F5" w:rsidRDefault="00EE35E2" w:rsidP="00EE35E2">
      <w:pPr>
        <w:ind w:firstLine="708"/>
        <w:jc w:val="both"/>
        <w:rPr>
          <w:lang w:val="de-DE"/>
        </w:rPr>
      </w:pPr>
    </w:p>
    <w:p w14:paraId="54E01A0B" w14:textId="77777777" w:rsidR="00C2771B" w:rsidRPr="004676F5" w:rsidRDefault="00C2771B" w:rsidP="00EE35E2">
      <w:pPr>
        <w:ind w:firstLine="708"/>
        <w:jc w:val="both"/>
        <w:rPr>
          <w:lang w:val="de-DE"/>
        </w:rPr>
      </w:pPr>
    </w:p>
    <w:p w14:paraId="34540AB6" w14:textId="1D5C32DC" w:rsidR="00EE35E2" w:rsidRPr="004676F5" w:rsidRDefault="00BE0A56" w:rsidP="00EE35E2">
      <w:pPr>
        <w:ind w:firstLine="708"/>
        <w:jc w:val="both"/>
        <w:rPr>
          <w:lang w:val="de-DE"/>
        </w:rPr>
      </w:pPr>
      <w:r w:rsidRPr="004676F5">
        <w:rPr>
          <w:b/>
          <w:lang w:val="de-DE"/>
        </w:rPr>
        <w:t>Art. </w:t>
      </w:r>
      <w:r w:rsidR="00EE35E2" w:rsidRPr="004676F5">
        <w:rPr>
          <w:b/>
          <w:lang w:val="de-DE"/>
        </w:rPr>
        <w:t>XX.162</w:t>
      </w:r>
      <w:r w:rsidR="00EE35E2" w:rsidRPr="004676F5">
        <w:rPr>
          <w:lang w:val="de-DE"/>
        </w:rPr>
        <w:t> </w:t>
      </w:r>
      <w:r w:rsidR="005B7A5C" w:rsidRPr="004676F5">
        <w:rPr>
          <w:lang w:val="de-DE"/>
        </w:rPr>
        <w:t>- </w:t>
      </w:r>
      <w:r w:rsidR="00EE35E2" w:rsidRPr="004676F5">
        <w:rPr>
          <w:lang w:val="de-DE"/>
        </w:rPr>
        <w:t>Konkursschuldner und Gläubiger können binnen einem Monat nach dem in Artikel XX.161 für die Hinterlegung des Prüfungsprotokolls festgelegten äußersten Datum gegen vorgenommene und vorzunehmende Prüfungen Einwände vorbringen.</w:t>
      </w:r>
    </w:p>
    <w:p w14:paraId="172BC57B" w14:textId="77777777" w:rsidR="00EE35E2" w:rsidRPr="004676F5" w:rsidRDefault="00EE35E2" w:rsidP="00EE35E2">
      <w:pPr>
        <w:ind w:firstLine="708"/>
        <w:jc w:val="both"/>
        <w:rPr>
          <w:lang w:val="de-DE"/>
        </w:rPr>
      </w:pPr>
    </w:p>
    <w:p w14:paraId="0543BF9A" w14:textId="77777777" w:rsidR="00EE35E2" w:rsidRPr="004676F5" w:rsidRDefault="00EE35E2" w:rsidP="00EE35E2">
      <w:pPr>
        <w:ind w:firstLine="708"/>
        <w:jc w:val="both"/>
        <w:rPr>
          <w:lang w:val="de-DE"/>
        </w:rPr>
      </w:pPr>
      <w:r w:rsidRPr="004676F5">
        <w:rPr>
          <w:lang w:val="de-DE"/>
        </w:rPr>
        <w:t>Hinterlegt der Konkursverwalter das Prüfungsprotokoll nach dem in Artikel XX.161 festgelegten Datum, setzt die Frist erst am Datum der Hinterlegung des Protokolls ein.</w:t>
      </w:r>
    </w:p>
    <w:p w14:paraId="131A281A" w14:textId="77777777" w:rsidR="00EE35E2" w:rsidRPr="004676F5" w:rsidRDefault="00EE35E2" w:rsidP="00EE35E2">
      <w:pPr>
        <w:ind w:firstLine="708"/>
        <w:jc w:val="both"/>
        <w:rPr>
          <w:lang w:val="de-DE"/>
        </w:rPr>
      </w:pPr>
    </w:p>
    <w:p w14:paraId="6D8126EA" w14:textId="77777777" w:rsidR="00EE35E2" w:rsidRPr="004676F5" w:rsidRDefault="00EE35E2" w:rsidP="00EE35E2">
      <w:pPr>
        <w:ind w:firstLine="708"/>
        <w:jc w:val="both"/>
        <w:rPr>
          <w:lang w:val="de-DE"/>
        </w:rPr>
      </w:pPr>
      <w:r w:rsidRPr="004676F5">
        <w:rPr>
          <w:lang w:val="de-DE"/>
        </w:rPr>
        <w:t>Einwände werden Konkursverwaltern und Gläubigern, deren Forderung bestritten wird, durch Gerichtsvollzieherurkunde zugestellt. Diese Urkunde enthält Ladung der Konkurs</w:t>
      </w:r>
      <w:r w:rsidRPr="004676F5">
        <w:rPr>
          <w:lang w:val="de-DE"/>
        </w:rPr>
        <w:softHyphen/>
        <w:t>verwalter, Gläubiger und Konkursschuldner vor Gericht, damit über die Forderung, gegen die ein Einwand vorgebracht worden ist, entschieden wird. Der betreffende Konkursschuldner wird von den Konkursverwaltern durch Vorladung in Kenntnis gesetzt.</w:t>
      </w:r>
    </w:p>
    <w:p w14:paraId="0EBEC510" w14:textId="77777777" w:rsidR="00EE35E2" w:rsidRPr="004676F5" w:rsidRDefault="00EE35E2" w:rsidP="00EE35E2">
      <w:pPr>
        <w:ind w:firstLine="708"/>
        <w:jc w:val="both"/>
        <w:rPr>
          <w:lang w:val="de-DE"/>
        </w:rPr>
      </w:pPr>
    </w:p>
    <w:p w14:paraId="479AB993" w14:textId="77777777" w:rsidR="00C2771B" w:rsidRPr="004676F5" w:rsidRDefault="00C2771B" w:rsidP="00EE35E2">
      <w:pPr>
        <w:ind w:firstLine="708"/>
        <w:jc w:val="both"/>
        <w:rPr>
          <w:lang w:val="de-DE"/>
        </w:rPr>
      </w:pPr>
    </w:p>
    <w:p w14:paraId="15CE102D" w14:textId="317BD809" w:rsidR="00EE35E2" w:rsidRPr="004676F5" w:rsidRDefault="00BE0A56" w:rsidP="00EE35E2">
      <w:pPr>
        <w:ind w:firstLine="708"/>
        <w:jc w:val="both"/>
        <w:rPr>
          <w:lang w:val="de-DE"/>
        </w:rPr>
      </w:pPr>
      <w:r w:rsidRPr="004676F5">
        <w:rPr>
          <w:b/>
          <w:lang w:val="de-DE"/>
        </w:rPr>
        <w:t>Art. </w:t>
      </w:r>
      <w:r w:rsidR="00EE35E2" w:rsidRPr="004676F5">
        <w:rPr>
          <w:b/>
          <w:lang w:val="de-DE"/>
        </w:rPr>
        <w:t>XX.163</w:t>
      </w:r>
      <w:r w:rsidR="00EE35E2" w:rsidRPr="004676F5">
        <w:rPr>
          <w:lang w:val="de-DE"/>
        </w:rPr>
        <w:t> </w:t>
      </w:r>
      <w:r w:rsidR="005B7A5C" w:rsidRPr="004676F5">
        <w:rPr>
          <w:lang w:val="de-DE"/>
        </w:rPr>
        <w:t>- </w:t>
      </w:r>
      <w:r w:rsidR="00EE35E2" w:rsidRPr="004676F5">
        <w:rPr>
          <w:lang w:val="de-DE"/>
        </w:rPr>
        <w:t>An dem für die Verhandlung über die Streitfälle festgelegten Tag entscheidet das Gericht ohne vorherige Ladung über alle Streitfälle, wenn möglich durch ein einziges Urteil. Das Urteil wird nach Vernehmung der Konkursverwalter, des Konkurs</w:t>
      </w:r>
      <w:r w:rsidR="00EE35E2" w:rsidRPr="004676F5">
        <w:rPr>
          <w:lang w:val="de-DE"/>
        </w:rPr>
        <w:softHyphen/>
        <w:t>schuldners und der Einwände vorbringenden Gläubiger und anmeldenden Gläubiger, sofern sie erscheinen, erlassen. Gegen das Urteil kann kein Einspruch eingelegt werden.</w:t>
      </w:r>
    </w:p>
    <w:p w14:paraId="1D4F44AC" w14:textId="77777777" w:rsidR="00EE35E2" w:rsidRPr="004676F5" w:rsidRDefault="00EE35E2" w:rsidP="00EE35E2">
      <w:pPr>
        <w:ind w:firstLine="708"/>
        <w:jc w:val="both"/>
        <w:rPr>
          <w:lang w:val="de-DE"/>
        </w:rPr>
      </w:pPr>
    </w:p>
    <w:p w14:paraId="050A486A" w14:textId="77777777" w:rsidR="00EE35E2" w:rsidRPr="004676F5" w:rsidRDefault="00EE35E2" w:rsidP="00EE35E2">
      <w:pPr>
        <w:ind w:firstLine="708"/>
        <w:jc w:val="both"/>
        <w:rPr>
          <w:lang w:val="de-DE"/>
        </w:rPr>
      </w:pPr>
      <w:r w:rsidRPr="004676F5">
        <w:rPr>
          <w:lang w:val="de-DE"/>
        </w:rPr>
        <w:t>Streitfälle, die nicht unverzüglich zur Beratung gestellt werden, werden getrennt und vor allem anderen gemäß dem gewöhnlichen Verfahren weiterbehandelt.</w:t>
      </w:r>
    </w:p>
    <w:p w14:paraId="7688BA62" w14:textId="77777777" w:rsidR="00EE35E2" w:rsidRPr="004676F5" w:rsidRDefault="00EE35E2" w:rsidP="00EE35E2">
      <w:pPr>
        <w:ind w:firstLine="708"/>
        <w:jc w:val="both"/>
        <w:rPr>
          <w:lang w:val="de-DE"/>
        </w:rPr>
      </w:pPr>
    </w:p>
    <w:p w14:paraId="7663446C" w14:textId="77777777" w:rsidR="00C2771B" w:rsidRPr="004676F5" w:rsidRDefault="00C2771B" w:rsidP="00EE35E2">
      <w:pPr>
        <w:ind w:firstLine="708"/>
        <w:jc w:val="both"/>
        <w:rPr>
          <w:lang w:val="de-DE"/>
        </w:rPr>
      </w:pPr>
    </w:p>
    <w:p w14:paraId="5944E921" w14:textId="4B55EED5" w:rsidR="00EE35E2" w:rsidRPr="004676F5" w:rsidRDefault="00BE0A56" w:rsidP="00EE35E2">
      <w:pPr>
        <w:ind w:firstLine="708"/>
        <w:jc w:val="both"/>
        <w:rPr>
          <w:lang w:val="de-DE"/>
        </w:rPr>
      </w:pPr>
      <w:r w:rsidRPr="004676F5">
        <w:rPr>
          <w:b/>
          <w:lang w:val="de-DE"/>
        </w:rPr>
        <w:t>Art. </w:t>
      </w:r>
      <w:r w:rsidR="00EE35E2" w:rsidRPr="004676F5">
        <w:rPr>
          <w:b/>
          <w:lang w:val="de-DE"/>
        </w:rPr>
        <w:t>XX.164</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Der Konkursverwalter erstellt für jeden Konkurs eine Tabelle, die für jede angemeldete Forderung folgende Angaben enthält:</w:t>
      </w:r>
    </w:p>
    <w:p w14:paraId="43B0879B" w14:textId="77777777" w:rsidR="00EE35E2" w:rsidRPr="004676F5" w:rsidRDefault="00EE35E2" w:rsidP="00EE35E2">
      <w:pPr>
        <w:ind w:firstLine="708"/>
        <w:jc w:val="both"/>
        <w:rPr>
          <w:lang w:val="de-DE"/>
        </w:rPr>
      </w:pPr>
    </w:p>
    <w:p w14:paraId="664F1F5F" w14:textId="77777777" w:rsidR="00EE35E2" w:rsidRPr="004676F5" w:rsidRDefault="00EE35E2" w:rsidP="00EE35E2">
      <w:pPr>
        <w:ind w:firstLine="708"/>
        <w:jc w:val="both"/>
        <w:rPr>
          <w:lang w:val="de-DE"/>
        </w:rPr>
      </w:pPr>
      <w:r w:rsidRPr="004676F5">
        <w:rPr>
          <w:lang w:val="de-DE"/>
        </w:rPr>
        <w:t>1. laufende Nummer,</w:t>
      </w:r>
    </w:p>
    <w:p w14:paraId="04736618" w14:textId="77777777" w:rsidR="00EE35E2" w:rsidRPr="004676F5" w:rsidRDefault="00EE35E2" w:rsidP="00EE35E2">
      <w:pPr>
        <w:ind w:firstLine="708"/>
        <w:jc w:val="both"/>
        <w:rPr>
          <w:lang w:val="de-DE"/>
        </w:rPr>
      </w:pPr>
    </w:p>
    <w:p w14:paraId="5A204D61" w14:textId="1A582907" w:rsidR="00EE35E2" w:rsidRPr="004676F5" w:rsidRDefault="00EE35E2" w:rsidP="00EE35E2">
      <w:pPr>
        <w:ind w:firstLine="708"/>
        <w:jc w:val="both"/>
        <w:rPr>
          <w:lang w:val="de-DE"/>
        </w:rPr>
      </w:pPr>
      <w:r w:rsidRPr="004676F5">
        <w:rPr>
          <w:lang w:val="de-DE"/>
        </w:rPr>
        <w:t xml:space="preserve">2. Identität, Beruf, gegebenenfalls Unternehmensnummer und Wohnsitz oder, wenn es sich um eine juristische Person handelt, Haupttätigkeit, Identität, Unternehmensnummer und </w:t>
      </w:r>
      <w:r w:rsidR="00885A63" w:rsidRPr="004676F5">
        <w:rPr>
          <w:lang w:val="de-DE"/>
        </w:rPr>
        <w:t>[S</w:t>
      </w:r>
      <w:r w:rsidRPr="004676F5">
        <w:rPr>
          <w:lang w:val="de-DE"/>
        </w:rPr>
        <w:t>itz</w:t>
      </w:r>
      <w:r w:rsidR="00885A63" w:rsidRPr="004676F5">
        <w:rPr>
          <w:lang w:val="de-DE"/>
        </w:rPr>
        <w:t>]</w:t>
      </w:r>
      <w:r w:rsidRPr="004676F5">
        <w:rPr>
          <w:lang w:val="de-DE"/>
        </w:rPr>
        <w:t xml:space="preserve"> des Gläubigers, der seine Forderung und seine Forderungstitel hinterlegt hat; handelt es sich um ein </w:t>
      </w:r>
      <w:r w:rsidR="007109BD" w:rsidRPr="004676F5">
        <w:rPr>
          <w:lang w:val="de-DE"/>
        </w:rPr>
        <w:t>[in Artikel I.1 Nr. 1 Absatz 1 Buchstabe </w:t>
      </w:r>
      <w:r w:rsidR="007109BD" w:rsidRPr="004676F5">
        <w:rPr>
          <w:i/>
          <w:iCs/>
          <w:lang w:val="de-DE"/>
        </w:rPr>
        <w:t>(c)</w:t>
      </w:r>
      <w:r w:rsidR="007109BD" w:rsidRPr="004676F5">
        <w:rPr>
          <w:lang w:val="de-DE"/>
        </w:rPr>
        <w:t xml:space="preserve">] </w:t>
      </w:r>
      <w:r w:rsidRPr="004676F5">
        <w:rPr>
          <w:lang w:val="de-DE"/>
        </w:rPr>
        <w:t>erwähntes Unternehmen, Bezeichnung, unter der die Tätigkeit ausgeübt wird, gegebenenfalls Unternehmensnummer, Tätigkeitssitz und gegebenenfalls Identifizierungsdaten des Bevollmächtigten,</w:t>
      </w:r>
    </w:p>
    <w:p w14:paraId="244577F4" w14:textId="77777777" w:rsidR="00EE35E2" w:rsidRPr="004676F5" w:rsidRDefault="00EE35E2" w:rsidP="00EE35E2">
      <w:pPr>
        <w:ind w:firstLine="708"/>
        <w:jc w:val="both"/>
        <w:rPr>
          <w:lang w:val="de-DE"/>
        </w:rPr>
      </w:pPr>
    </w:p>
    <w:p w14:paraId="18178CD5" w14:textId="77777777" w:rsidR="00EE35E2" w:rsidRPr="004676F5" w:rsidRDefault="00EE35E2" w:rsidP="00EE35E2">
      <w:pPr>
        <w:ind w:firstLine="708"/>
        <w:jc w:val="both"/>
        <w:rPr>
          <w:lang w:val="de-DE"/>
        </w:rPr>
      </w:pPr>
      <w:r w:rsidRPr="004676F5">
        <w:rPr>
          <w:lang w:val="de-DE"/>
        </w:rPr>
        <w:t>3. Höhe der angemeldeten Forderung,</w:t>
      </w:r>
    </w:p>
    <w:p w14:paraId="5A827BE7" w14:textId="77777777" w:rsidR="00EE35E2" w:rsidRPr="004676F5" w:rsidRDefault="00EE35E2" w:rsidP="00EE35E2">
      <w:pPr>
        <w:ind w:firstLine="708"/>
        <w:jc w:val="both"/>
        <w:rPr>
          <w:lang w:val="de-DE"/>
        </w:rPr>
      </w:pPr>
    </w:p>
    <w:p w14:paraId="5AD8336B" w14:textId="77777777" w:rsidR="00EE35E2" w:rsidRPr="004676F5" w:rsidRDefault="00EE35E2" w:rsidP="00EE35E2">
      <w:pPr>
        <w:ind w:firstLine="708"/>
        <w:jc w:val="both"/>
        <w:rPr>
          <w:lang w:val="de-DE"/>
        </w:rPr>
      </w:pPr>
      <w:r w:rsidRPr="004676F5">
        <w:rPr>
          <w:lang w:val="de-DE"/>
        </w:rPr>
        <w:t>4. vom Gläubiger beanspruchte Vorzugsrechte, Hypotheken und dingliche Sicherheiten auf beweglichen Gütern,</w:t>
      </w:r>
    </w:p>
    <w:p w14:paraId="33397C4B" w14:textId="77777777" w:rsidR="00EE35E2" w:rsidRPr="004676F5" w:rsidRDefault="00EE35E2" w:rsidP="00EE35E2">
      <w:pPr>
        <w:ind w:firstLine="708"/>
        <w:jc w:val="both"/>
        <w:rPr>
          <w:lang w:val="de-DE"/>
        </w:rPr>
      </w:pPr>
    </w:p>
    <w:p w14:paraId="3F621CB7" w14:textId="77777777" w:rsidR="00EE35E2" w:rsidRPr="004676F5" w:rsidRDefault="00EE35E2" w:rsidP="00EE35E2">
      <w:pPr>
        <w:ind w:firstLine="708"/>
        <w:jc w:val="both"/>
        <w:rPr>
          <w:lang w:val="de-DE"/>
        </w:rPr>
      </w:pPr>
      <w:r w:rsidRPr="004676F5">
        <w:rPr>
          <w:lang w:val="de-DE"/>
        </w:rPr>
        <w:t>5. Aufnahme oder Bestreitung,</w:t>
      </w:r>
    </w:p>
    <w:p w14:paraId="31F47FA8" w14:textId="77777777" w:rsidR="00EE35E2" w:rsidRPr="004676F5" w:rsidRDefault="00EE35E2" w:rsidP="00EE35E2">
      <w:pPr>
        <w:ind w:firstLine="708"/>
        <w:jc w:val="both"/>
        <w:rPr>
          <w:lang w:val="de-DE"/>
        </w:rPr>
      </w:pPr>
    </w:p>
    <w:p w14:paraId="0BD22E72" w14:textId="77777777" w:rsidR="00EE35E2" w:rsidRPr="004676F5" w:rsidRDefault="00EE35E2" w:rsidP="00EE35E2">
      <w:pPr>
        <w:ind w:firstLine="708"/>
        <w:jc w:val="both"/>
        <w:rPr>
          <w:lang w:val="de-DE"/>
        </w:rPr>
      </w:pPr>
      <w:r w:rsidRPr="004676F5">
        <w:rPr>
          <w:lang w:val="de-DE"/>
        </w:rPr>
        <w:t>6. Listennummer des Streitfalls,</w:t>
      </w:r>
    </w:p>
    <w:p w14:paraId="194C79CC" w14:textId="77777777" w:rsidR="00EE35E2" w:rsidRPr="004676F5" w:rsidRDefault="00EE35E2" w:rsidP="00EE35E2">
      <w:pPr>
        <w:ind w:firstLine="708"/>
        <w:jc w:val="both"/>
        <w:rPr>
          <w:lang w:val="de-DE"/>
        </w:rPr>
      </w:pPr>
    </w:p>
    <w:p w14:paraId="25E94B4C" w14:textId="77777777" w:rsidR="00EE35E2" w:rsidRPr="004676F5" w:rsidRDefault="00EE35E2" w:rsidP="00EE35E2">
      <w:pPr>
        <w:ind w:firstLine="708"/>
        <w:jc w:val="both"/>
        <w:rPr>
          <w:lang w:val="de-DE"/>
        </w:rPr>
      </w:pPr>
      <w:r w:rsidRPr="004676F5">
        <w:rPr>
          <w:lang w:val="de-DE"/>
        </w:rPr>
        <w:t>7. Zusammenfassung und Datum der Entscheidung über den Streitfall,</w:t>
      </w:r>
    </w:p>
    <w:p w14:paraId="01FA6154" w14:textId="77777777" w:rsidR="00EE35E2" w:rsidRPr="004676F5" w:rsidRDefault="00EE35E2" w:rsidP="00EE35E2">
      <w:pPr>
        <w:ind w:firstLine="708"/>
        <w:jc w:val="both"/>
        <w:rPr>
          <w:lang w:val="de-DE"/>
        </w:rPr>
      </w:pPr>
    </w:p>
    <w:p w14:paraId="7D748843" w14:textId="77777777" w:rsidR="00EE35E2" w:rsidRPr="004676F5" w:rsidRDefault="00EE35E2" w:rsidP="00EE35E2">
      <w:pPr>
        <w:ind w:firstLine="708"/>
        <w:jc w:val="both"/>
        <w:rPr>
          <w:lang w:val="de-DE"/>
        </w:rPr>
      </w:pPr>
      <w:r w:rsidRPr="004676F5">
        <w:rPr>
          <w:lang w:val="de-DE"/>
        </w:rPr>
        <w:t>8. andere Informationen, deren Mitteilung an Interessehabende nützlich sein kann.</w:t>
      </w:r>
    </w:p>
    <w:p w14:paraId="7A9C6DBF" w14:textId="77777777" w:rsidR="00EE35E2" w:rsidRPr="004676F5" w:rsidRDefault="00EE35E2" w:rsidP="00EE35E2">
      <w:pPr>
        <w:ind w:firstLine="708"/>
        <w:jc w:val="both"/>
        <w:rPr>
          <w:lang w:val="de-DE"/>
        </w:rPr>
      </w:pPr>
    </w:p>
    <w:p w14:paraId="5E2B2F72" w14:textId="4B5127A9"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Die Tabelle wird in der Konkursakte hinterlegt und vom Konkursverwalter regelmäßig fortgeschrieben.</w:t>
      </w:r>
    </w:p>
    <w:p w14:paraId="46E03D13" w14:textId="2393CC3C" w:rsidR="007109BD" w:rsidRPr="004676F5" w:rsidRDefault="007109BD" w:rsidP="00EE35E2">
      <w:pPr>
        <w:ind w:firstLine="708"/>
        <w:jc w:val="both"/>
        <w:rPr>
          <w:lang w:val="de-DE"/>
        </w:rPr>
      </w:pPr>
    </w:p>
    <w:p w14:paraId="780ED476" w14:textId="68729482" w:rsidR="007109BD" w:rsidRPr="004676F5" w:rsidRDefault="007109BD" w:rsidP="007109BD">
      <w:pPr>
        <w:jc w:val="both"/>
        <w:rPr>
          <w:i/>
          <w:lang w:val="de-DE"/>
        </w:rPr>
      </w:pPr>
      <w:r w:rsidRPr="004676F5">
        <w:rPr>
          <w:i/>
          <w:lang w:val="de-DE"/>
        </w:rPr>
        <w:t>[Art. XX.164 § 1 einziger Absatz Nr. 2 abgeändert durch Art. 237 des G. vom 15. April 2018 (B.S. vom 27. April 2018)</w:t>
      </w:r>
      <w:r w:rsidR="00885A63" w:rsidRPr="004676F5">
        <w:rPr>
          <w:i/>
          <w:lang w:val="de-DE"/>
        </w:rPr>
        <w:t xml:space="preserve"> und Art. 228</w:t>
      </w:r>
      <w:r w:rsidR="00885A63" w:rsidRPr="004676F5">
        <w:rPr>
          <w:i/>
          <w:iCs/>
          <w:lang w:val="de-DE"/>
        </w:rPr>
        <w:t xml:space="preserve"> des G. vom 7. Juni 2023 (B.S. vom 7. Juli 2023)</w:t>
      </w:r>
      <w:r w:rsidRPr="004676F5">
        <w:rPr>
          <w:i/>
          <w:lang w:val="de-DE"/>
        </w:rPr>
        <w:t>]</w:t>
      </w:r>
    </w:p>
    <w:p w14:paraId="39C81A61" w14:textId="77777777" w:rsidR="00EE35E2" w:rsidRPr="004676F5" w:rsidRDefault="00EE35E2" w:rsidP="00EE35E2">
      <w:pPr>
        <w:ind w:firstLine="708"/>
        <w:jc w:val="both"/>
        <w:rPr>
          <w:lang w:val="de-DE"/>
        </w:rPr>
      </w:pPr>
    </w:p>
    <w:p w14:paraId="4CA8DFA4" w14:textId="77777777" w:rsidR="00C2771B" w:rsidRPr="004676F5" w:rsidRDefault="00C2771B" w:rsidP="00EE35E2">
      <w:pPr>
        <w:ind w:firstLine="708"/>
        <w:jc w:val="both"/>
        <w:rPr>
          <w:lang w:val="de-DE"/>
        </w:rPr>
      </w:pPr>
    </w:p>
    <w:p w14:paraId="05987FB5" w14:textId="45DD41B9"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XX.165</w:t>
      </w:r>
      <w:r w:rsidR="00EE35E2" w:rsidRPr="004676F5">
        <w:rPr>
          <w:lang w:val="de-DE"/>
        </w:rPr>
        <w:t> </w:t>
      </w:r>
      <w:r w:rsidR="005B7A5C" w:rsidRPr="004676F5">
        <w:rPr>
          <w:lang w:val="de-DE"/>
        </w:rPr>
        <w:t>- </w:t>
      </w:r>
      <w:r w:rsidR="00EE35E2" w:rsidRPr="004676F5">
        <w:rPr>
          <w:lang w:val="de-DE"/>
        </w:rPr>
        <w:t>Bekannte oder unbekannte Gläubiger, die es versäumt haben, ihre Forderungen anzumelden oder zu bestätigen, werden bei den Verteilungen nicht berücksichtigt.</w:t>
      </w:r>
    </w:p>
    <w:p w14:paraId="4667F029" w14:textId="77777777" w:rsidR="00EE35E2" w:rsidRPr="004676F5" w:rsidRDefault="00EE35E2" w:rsidP="00EE35E2">
      <w:pPr>
        <w:ind w:firstLine="708"/>
        <w:jc w:val="both"/>
        <w:rPr>
          <w:lang w:val="de-DE"/>
        </w:rPr>
      </w:pPr>
    </w:p>
    <w:p w14:paraId="1C753195" w14:textId="77777777" w:rsidR="00EE35E2" w:rsidRPr="004676F5" w:rsidRDefault="00EE35E2" w:rsidP="00EE35E2">
      <w:pPr>
        <w:ind w:firstLine="708"/>
        <w:jc w:val="both"/>
        <w:rPr>
          <w:lang w:val="de-DE"/>
        </w:rPr>
      </w:pPr>
      <w:r w:rsidRPr="004676F5">
        <w:rPr>
          <w:lang w:val="de-DE"/>
        </w:rPr>
        <w:t>Bis zur Ladung zu der in Artikel XX.170 erwähnten Versammlung haben säumige Gläubiger das Recht, auf Aufnahme zu klagen, ohne dass wegen ihrer Klage bereits angeordnete Verteilungen ausgesetzt werden können. Sie haben nur Anspruch auf eine Dividende auf noch nicht verteilte Aktiva. Sie tragen selbst die Kosten und Ausgaben, die durch Prüfung und Aufnahme ihrer Forderungen entstehen.</w:t>
      </w:r>
    </w:p>
    <w:p w14:paraId="56FBEF0E" w14:textId="77777777" w:rsidR="00EE35E2" w:rsidRPr="004676F5" w:rsidRDefault="00EE35E2" w:rsidP="00EE35E2">
      <w:pPr>
        <w:ind w:firstLine="708"/>
        <w:jc w:val="both"/>
        <w:rPr>
          <w:lang w:val="de-DE"/>
        </w:rPr>
      </w:pPr>
    </w:p>
    <w:p w14:paraId="1A0EC255" w14:textId="30253B9D" w:rsidR="00EE35E2" w:rsidRPr="004676F5" w:rsidRDefault="00EE35E2" w:rsidP="00EE35E2">
      <w:pPr>
        <w:ind w:firstLine="708"/>
        <w:jc w:val="both"/>
        <w:rPr>
          <w:lang w:val="de-DE"/>
        </w:rPr>
      </w:pPr>
      <w:r w:rsidRPr="004676F5">
        <w:rPr>
          <w:lang w:val="de-DE"/>
        </w:rPr>
        <w:t>Das Recht, auf Aufnahme zu klagen, verjährt in einem Jahr ab dem Konkurseröffnungs</w:t>
      </w:r>
      <w:r w:rsidRPr="004676F5">
        <w:rPr>
          <w:lang w:val="de-DE"/>
        </w:rPr>
        <w:softHyphen/>
        <w:t>urteil, außer für Forderungen, die im Rahmen einer während der Liquidation fortgesetzten oder erhobenen Beitritts</w:t>
      </w:r>
      <w:r w:rsidR="005B7A5C" w:rsidRPr="004676F5">
        <w:rPr>
          <w:lang w:val="de-DE"/>
        </w:rPr>
        <w:t>- </w:t>
      </w:r>
      <w:r w:rsidRPr="004676F5">
        <w:rPr>
          <w:lang w:val="de-DE"/>
        </w:rPr>
        <w:t>oder Gewährleistungsklage festgestellt werden.</w:t>
      </w:r>
    </w:p>
    <w:p w14:paraId="4341ECFA" w14:textId="77777777" w:rsidR="00EE35E2" w:rsidRPr="004676F5" w:rsidRDefault="00EE35E2" w:rsidP="00EE35E2">
      <w:pPr>
        <w:ind w:firstLine="708"/>
        <w:jc w:val="both"/>
        <w:rPr>
          <w:lang w:val="de-DE"/>
        </w:rPr>
      </w:pPr>
    </w:p>
    <w:p w14:paraId="532D1234" w14:textId="77777777" w:rsidR="00EE35E2" w:rsidRPr="004676F5" w:rsidRDefault="00EE35E2" w:rsidP="00EE35E2">
      <w:pPr>
        <w:ind w:firstLine="708"/>
        <w:jc w:val="both"/>
        <w:rPr>
          <w:lang w:val="de-DE"/>
        </w:rPr>
      </w:pPr>
      <w:r w:rsidRPr="004676F5">
        <w:rPr>
          <w:lang w:val="de-DE"/>
        </w:rPr>
        <w:t>Das Recht, auf Aufnahme einer Forderung zu klagen, die während der Liquidation von einem anderen Gericht als dem Konkursgericht festgestellt wird, verjährt in sechs Monaten ab dem Tag, an dem das Endurteil formell rechtskräftig wird.</w:t>
      </w:r>
    </w:p>
    <w:p w14:paraId="03203780" w14:textId="77777777" w:rsidR="00EE35E2" w:rsidRPr="004676F5" w:rsidRDefault="00EE35E2" w:rsidP="00EE35E2">
      <w:pPr>
        <w:jc w:val="both"/>
        <w:rPr>
          <w:lang w:val="de-DE"/>
        </w:rPr>
      </w:pPr>
    </w:p>
    <w:p w14:paraId="05FDDE7A" w14:textId="77777777" w:rsidR="00C2771B" w:rsidRPr="004676F5" w:rsidRDefault="00C2771B">
      <w:pPr>
        <w:rPr>
          <w:lang w:val="de-DE"/>
        </w:rPr>
      </w:pPr>
      <w:r w:rsidRPr="004676F5">
        <w:rPr>
          <w:lang w:val="de-DE"/>
        </w:rPr>
        <w:br w:type="page"/>
      </w:r>
    </w:p>
    <w:p w14:paraId="774CB1E8" w14:textId="2839A68C" w:rsidR="00EE35E2" w:rsidRPr="004676F5" w:rsidRDefault="00EE35E2" w:rsidP="00EE35E2">
      <w:pPr>
        <w:jc w:val="center"/>
        <w:rPr>
          <w:lang w:val="de-DE"/>
        </w:rPr>
      </w:pPr>
      <w:r w:rsidRPr="004676F5">
        <w:rPr>
          <w:lang w:val="de-DE"/>
        </w:rPr>
        <w:lastRenderedPageBreak/>
        <w:t>KAPITEL 5 </w:t>
      </w:r>
      <w:r w:rsidR="005B7A5C" w:rsidRPr="004676F5">
        <w:rPr>
          <w:lang w:val="de-DE"/>
        </w:rPr>
        <w:t>- </w:t>
      </w:r>
      <w:r w:rsidRPr="004676F5">
        <w:rPr>
          <w:lang w:val="de-DE"/>
        </w:rPr>
        <w:t>Konkursliquidation</w:t>
      </w:r>
    </w:p>
    <w:p w14:paraId="5451FBF8" w14:textId="77777777" w:rsidR="00EE35E2" w:rsidRPr="004676F5" w:rsidRDefault="00EE35E2" w:rsidP="00EE35E2">
      <w:pPr>
        <w:jc w:val="both"/>
        <w:rPr>
          <w:lang w:val="de-DE"/>
        </w:rPr>
      </w:pPr>
    </w:p>
    <w:p w14:paraId="683C3CF9" w14:textId="77777777" w:rsidR="00C2771B" w:rsidRPr="004676F5" w:rsidRDefault="00C2771B" w:rsidP="00EE35E2">
      <w:pPr>
        <w:jc w:val="both"/>
        <w:rPr>
          <w:lang w:val="de-DE"/>
        </w:rPr>
      </w:pPr>
    </w:p>
    <w:p w14:paraId="69FBFB2A" w14:textId="7A34E576" w:rsidR="00EE35E2" w:rsidRPr="004676F5" w:rsidRDefault="00BE0A56" w:rsidP="00EE35E2">
      <w:pPr>
        <w:ind w:firstLine="708"/>
        <w:jc w:val="both"/>
        <w:rPr>
          <w:lang w:val="de-DE"/>
        </w:rPr>
      </w:pPr>
      <w:r w:rsidRPr="004676F5">
        <w:rPr>
          <w:b/>
          <w:lang w:val="de-DE"/>
        </w:rPr>
        <w:t>Art. </w:t>
      </w:r>
      <w:r w:rsidR="00EE35E2" w:rsidRPr="004676F5">
        <w:rPr>
          <w:b/>
          <w:lang w:val="de-DE"/>
        </w:rPr>
        <w:t>XX.166</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Ab Hinterlegung des ersten Protokolls über die Prüfung der Forderungen oder ab irgendeinem späteren Datum nehmen die Konkursverwalter die Konkurs</w:t>
      </w:r>
      <w:r w:rsidR="00EE35E2" w:rsidRPr="004676F5">
        <w:rPr>
          <w:lang w:val="de-DE"/>
        </w:rPr>
        <w:softHyphen/>
        <w:t>liquidation vor.</w:t>
      </w:r>
    </w:p>
    <w:p w14:paraId="02DF6AE1" w14:textId="77777777" w:rsidR="00EE35E2" w:rsidRPr="004676F5" w:rsidRDefault="00EE35E2" w:rsidP="00EE35E2">
      <w:pPr>
        <w:ind w:firstLine="708"/>
        <w:jc w:val="both"/>
        <w:rPr>
          <w:lang w:val="de-DE"/>
        </w:rPr>
      </w:pPr>
    </w:p>
    <w:p w14:paraId="5013ED70" w14:textId="348D84CC" w:rsidR="00EE35E2" w:rsidRPr="004676F5" w:rsidRDefault="00976E1D" w:rsidP="00EE35E2">
      <w:pPr>
        <w:ind w:firstLine="708"/>
        <w:jc w:val="both"/>
        <w:rPr>
          <w:lang w:val="de-DE"/>
        </w:rPr>
      </w:pPr>
      <w:r w:rsidRPr="004676F5">
        <w:rPr>
          <w:lang w:val="de-DE"/>
        </w:rPr>
        <w:t>[Die in Artikel XX.158 erwähnte Vorladung enthält auch die Mitteilung an den Konkursschuldner, dass er vom Konkursrichter in Anwesenheit der Konkursverwalter vernommen werden kann, sofern ein entsprechender Antrag spätestens acht Tage nach der in vorliegendem Artikel erwähnten Mitteilung im Register hinterlegt wird. Der Konkursschuldner wird gegebenenfalls spätestens am Datum des Abschlusses des ersten Protokolls über die Prüfung der Forderungen vernommen.]</w:t>
      </w:r>
    </w:p>
    <w:p w14:paraId="2788C845" w14:textId="77777777" w:rsidR="00EE35E2" w:rsidRPr="004676F5" w:rsidRDefault="00EE35E2" w:rsidP="00EE35E2">
      <w:pPr>
        <w:ind w:firstLine="708"/>
        <w:jc w:val="both"/>
        <w:rPr>
          <w:lang w:val="de-DE"/>
        </w:rPr>
      </w:pPr>
    </w:p>
    <w:p w14:paraId="4577BCBB" w14:textId="77777777" w:rsidR="00EE35E2" w:rsidRPr="004676F5" w:rsidRDefault="00EE35E2" w:rsidP="00EE35E2">
      <w:pPr>
        <w:ind w:firstLine="708"/>
        <w:jc w:val="both"/>
        <w:rPr>
          <w:lang w:val="de-DE"/>
        </w:rPr>
      </w:pPr>
      <w:r w:rsidRPr="004676F5">
        <w:rPr>
          <w:lang w:val="de-DE"/>
        </w:rPr>
        <w:t>Der Konkursrichter erstellt ein Protokoll, das die vorgebrachten Anmerkungen enthält, und hinterlegt es im Register.</w:t>
      </w:r>
    </w:p>
    <w:p w14:paraId="1D903E95" w14:textId="77777777" w:rsidR="00EE35E2" w:rsidRPr="004676F5" w:rsidRDefault="00EE35E2" w:rsidP="00EE35E2">
      <w:pPr>
        <w:ind w:firstLine="708"/>
        <w:jc w:val="both"/>
        <w:rPr>
          <w:lang w:val="de-DE"/>
        </w:rPr>
      </w:pPr>
    </w:p>
    <w:p w14:paraId="41BD9C24" w14:textId="77777777" w:rsidR="00EE35E2" w:rsidRPr="004676F5" w:rsidRDefault="00EE35E2" w:rsidP="00EE35E2">
      <w:pPr>
        <w:ind w:firstLine="708"/>
        <w:jc w:val="both"/>
        <w:rPr>
          <w:lang w:val="de-DE"/>
        </w:rPr>
      </w:pPr>
      <w:r w:rsidRPr="004676F5">
        <w:rPr>
          <w:lang w:val="de-DE"/>
        </w:rPr>
        <w:t>Die Konkursverwalter veräußern unter Aufsicht des Konkursrichters und unter Einhaltung der Bestimmungen der Artikel XX.144 und XX.145 unter anderem die unbeweglichen Güter, Waren und beweglichen Güter, ohne dass es nötig ist, den Konkursschuldner vorzuladen. Ungeachtet jeglichen Einspruchs des Konkursschuldners können sie auf die in Artikel XX.151 vorgeschriebene Weise über gleich welche ihm zustehenden Rechte Vergleiche schließen.</w:t>
      </w:r>
    </w:p>
    <w:p w14:paraId="221BEBE5" w14:textId="77777777" w:rsidR="00EE35E2" w:rsidRPr="004676F5" w:rsidRDefault="00EE35E2" w:rsidP="00EE35E2">
      <w:pPr>
        <w:ind w:firstLine="708"/>
        <w:jc w:val="both"/>
        <w:rPr>
          <w:lang w:val="de-DE"/>
        </w:rPr>
      </w:pPr>
    </w:p>
    <w:p w14:paraId="2435695D" w14:textId="5E0D0CC4"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Sind die Gläubiger oder der Konkursschuldner der Meinung, dass ihre Rechte durch einen geplanten Verkauf von Aktiva gefährdet sind, können sie im Eilverfahren die Bestellung eines Ad-hoc-Konkursverwalters beantragen. Dieser kann beim Gericht beantragen, den Verkauf, der die Rechte der Betroffenen offensichtlich gefährdet, zu verbieten.</w:t>
      </w:r>
    </w:p>
    <w:p w14:paraId="3017DEF7" w14:textId="77777777" w:rsidR="00EE35E2" w:rsidRPr="004676F5" w:rsidRDefault="00EE35E2" w:rsidP="00EE35E2">
      <w:pPr>
        <w:ind w:firstLine="708"/>
        <w:jc w:val="both"/>
        <w:rPr>
          <w:lang w:val="de-DE"/>
        </w:rPr>
      </w:pPr>
    </w:p>
    <w:p w14:paraId="1ED17CD4" w14:textId="2DE1228E"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Auf Antrag der Konkursverwalter kann das Gericht im Rahmen der Konkursliquidation die Übertragung eines aktiven Unternehmens nach vertraglich festgelegten Modalitäten homologieren; die Konkursverwalter oder nach Abschluss des Konkursverfahrens ein Interessehabender können auf Einhaltung dieser Modalitäten klagen.</w:t>
      </w:r>
    </w:p>
    <w:p w14:paraId="65AE9559" w14:textId="77777777" w:rsidR="00EE35E2" w:rsidRPr="004676F5" w:rsidRDefault="00EE35E2" w:rsidP="00976E1D">
      <w:pPr>
        <w:jc w:val="both"/>
        <w:rPr>
          <w:lang w:val="de-DE"/>
        </w:rPr>
      </w:pPr>
    </w:p>
    <w:p w14:paraId="2367361A" w14:textId="0ABDD262" w:rsidR="00976E1D" w:rsidRPr="004676F5" w:rsidRDefault="00976E1D" w:rsidP="00976E1D">
      <w:pPr>
        <w:jc w:val="both"/>
        <w:rPr>
          <w:i/>
          <w:iCs/>
          <w:lang w:val="de-DE"/>
        </w:rPr>
      </w:pPr>
      <w:r w:rsidRPr="004676F5">
        <w:rPr>
          <w:i/>
          <w:iCs/>
          <w:lang w:val="de-DE"/>
        </w:rPr>
        <w:t>[Art. XX.166 § 1 Abs. 2 ersetzt durch Art. 229 des G. vom 7. Juni 2023 (B.S. vom 7. Juli 2023)]</w:t>
      </w:r>
    </w:p>
    <w:p w14:paraId="48F90535" w14:textId="77777777" w:rsidR="00976E1D" w:rsidRPr="004676F5" w:rsidRDefault="00976E1D" w:rsidP="00976E1D">
      <w:pPr>
        <w:jc w:val="both"/>
        <w:rPr>
          <w:i/>
          <w:iCs/>
          <w:lang w:val="de-DE"/>
        </w:rPr>
      </w:pPr>
    </w:p>
    <w:p w14:paraId="75A46A58" w14:textId="77777777" w:rsidR="00C2771B" w:rsidRPr="004676F5" w:rsidRDefault="00C2771B" w:rsidP="00EE35E2">
      <w:pPr>
        <w:ind w:firstLine="708"/>
        <w:jc w:val="both"/>
        <w:rPr>
          <w:lang w:val="de-DE"/>
        </w:rPr>
      </w:pPr>
    </w:p>
    <w:p w14:paraId="3F90AB34" w14:textId="1F164F7E" w:rsidR="00EE35E2" w:rsidRPr="004676F5" w:rsidRDefault="00BE0A56" w:rsidP="00EE35E2">
      <w:pPr>
        <w:ind w:firstLine="708"/>
        <w:jc w:val="both"/>
        <w:rPr>
          <w:lang w:val="de-DE"/>
        </w:rPr>
      </w:pPr>
      <w:r w:rsidRPr="004676F5">
        <w:rPr>
          <w:b/>
          <w:lang w:val="de-DE"/>
        </w:rPr>
        <w:t>Art. </w:t>
      </w:r>
      <w:r w:rsidR="00EE35E2" w:rsidRPr="004676F5">
        <w:rPr>
          <w:b/>
          <w:lang w:val="de-DE"/>
        </w:rPr>
        <w:t>XX.167</w:t>
      </w:r>
      <w:r w:rsidR="00EE35E2" w:rsidRPr="004676F5">
        <w:rPr>
          <w:lang w:val="de-DE"/>
        </w:rPr>
        <w:t> </w:t>
      </w:r>
      <w:r w:rsidR="005B7A5C" w:rsidRPr="004676F5">
        <w:rPr>
          <w:lang w:val="de-DE"/>
        </w:rPr>
        <w:t>- </w:t>
      </w:r>
      <w:r w:rsidR="00EE35E2" w:rsidRPr="004676F5">
        <w:rPr>
          <w:lang w:val="de-DE"/>
        </w:rPr>
        <w:t>Der Konkursrichter kann jederzeit eine Gläubigerversammlung oder eine Versammlung bestimmter Gläubiger einberufen.</w:t>
      </w:r>
    </w:p>
    <w:p w14:paraId="2C04BFD6" w14:textId="77777777" w:rsidR="00EE35E2" w:rsidRPr="004676F5" w:rsidRDefault="00EE35E2" w:rsidP="00EE35E2">
      <w:pPr>
        <w:ind w:firstLine="708"/>
        <w:jc w:val="both"/>
        <w:rPr>
          <w:lang w:val="de-DE"/>
        </w:rPr>
      </w:pPr>
    </w:p>
    <w:p w14:paraId="4D403554" w14:textId="77777777" w:rsidR="00EE35E2" w:rsidRPr="004676F5" w:rsidRDefault="00EE35E2" w:rsidP="00EE35E2">
      <w:pPr>
        <w:ind w:firstLine="708"/>
        <w:jc w:val="both"/>
        <w:rPr>
          <w:lang w:val="de-DE"/>
        </w:rPr>
      </w:pPr>
      <w:r w:rsidRPr="004676F5">
        <w:rPr>
          <w:lang w:val="de-DE"/>
        </w:rPr>
        <w:t>Der Konkursrichter beruft eine Versammlung ein, wenn der Antrag von Gläubigern gestellt wird, die mehr als ein Drittel der Forderungen vertreten.</w:t>
      </w:r>
    </w:p>
    <w:p w14:paraId="334AC762" w14:textId="77777777" w:rsidR="00EE35E2" w:rsidRPr="004676F5" w:rsidRDefault="00EE35E2" w:rsidP="00EE35E2">
      <w:pPr>
        <w:ind w:firstLine="708"/>
        <w:jc w:val="both"/>
        <w:rPr>
          <w:lang w:val="de-DE"/>
        </w:rPr>
      </w:pPr>
    </w:p>
    <w:p w14:paraId="56CFDBB5" w14:textId="77777777" w:rsidR="00EE35E2" w:rsidRPr="004676F5" w:rsidRDefault="00EE35E2" w:rsidP="00EE35E2">
      <w:pPr>
        <w:ind w:firstLine="708"/>
        <w:jc w:val="both"/>
        <w:rPr>
          <w:lang w:val="de-DE"/>
        </w:rPr>
      </w:pPr>
      <w:r w:rsidRPr="004676F5">
        <w:rPr>
          <w:lang w:val="de-DE"/>
        </w:rPr>
        <w:t>Der Konkursrichter ordnet die Vorladung der im Konkurs eingetragenen Gläubiger an und bestimmt Ort, Tag und Uhrzeit der Versammlung. Eine Mitteilung wird auf Betreiben des Greffiers mindestens einen Monat vor dem Datum der Versammlung im Register hinterlegt. Der Konkursrichter kann jedoch die Vorladung der Gläubiger durch Rundschreiben erlauben.</w:t>
      </w:r>
    </w:p>
    <w:p w14:paraId="7F2C982D" w14:textId="77777777" w:rsidR="00EE35E2" w:rsidRPr="004676F5" w:rsidRDefault="00EE35E2" w:rsidP="00EE35E2">
      <w:pPr>
        <w:ind w:firstLine="708"/>
        <w:jc w:val="both"/>
        <w:rPr>
          <w:lang w:val="de-DE"/>
        </w:rPr>
      </w:pPr>
    </w:p>
    <w:p w14:paraId="6CD6E5FD" w14:textId="77777777" w:rsidR="00EE35E2" w:rsidRPr="004676F5" w:rsidRDefault="00EE35E2" w:rsidP="00EE35E2">
      <w:pPr>
        <w:ind w:firstLine="708"/>
        <w:jc w:val="both"/>
        <w:rPr>
          <w:lang w:val="de-DE"/>
        </w:rPr>
      </w:pPr>
      <w:r w:rsidRPr="004676F5">
        <w:rPr>
          <w:lang w:val="de-DE"/>
        </w:rPr>
        <w:t>Der Konkursschuldner wird ordnungsgemäß zu dieser Versammlung vorgeladen. Er kann dort über die Entwicklung der Liquidation vernommen werden.</w:t>
      </w:r>
    </w:p>
    <w:p w14:paraId="0B420DA1" w14:textId="77777777" w:rsidR="00EE35E2" w:rsidRPr="004676F5" w:rsidRDefault="00EE35E2" w:rsidP="00EE35E2">
      <w:pPr>
        <w:ind w:firstLine="708"/>
        <w:jc w:val="both"/>
        <w:rPr>
          <w:lang w:val="de-DE"/>
        </w:rPr>
      </w:pPr>
    </w:p>
    <w:p w14:paraId="00119091" w14:textId="77777777" w:rsidR="00EE35E2" w:rsidRPr="004676F5" w:rsidRDefault="00EE35E2" w:rsidP="00EE35E2">
      <w:pPr>
        <w:ind w:firstLine="708"/>
        <w:jc w:val="both"/>
        <w:rPr>
          <w:lang w:val="de-DE"/>
        </w:rPr>
      </w:pPr>
      <w:r w:rsidRPr="004676F5">
        <w:rPr>
          <w:lang w:val="de-DE"/>
        </w:rPr>
        <w:t>Die versammelten Gläubiger können mit einfacher Mehrheit die Konkursverwalter beauftragen, über einen festen Preis für die Gesamtheit oder einen Teil der noch nicht abgewickelten Rechte oder Ansprüche zu verhandeln und sie zu veräußern.</w:t>
      </w:r>
    </w:p>
    <w:p w14:paraId="3CE3AB32" w14:textId="77777777" w:rsidR="00EE35E2" w:rsidRPr="004676F5" w:rsidRDefault="00EE35E2" w:rsidP="00EE35E2">
      <w:pPr>
        <w:ind w:firstLine="708"/>
        <w:jc w:val="both"/>
        <w:rPr>
          <w:lang w:val="de-DE"/>
        </w:rPr>
      </w:pPr>
    </w:p>
    <w:p w14:paraId="052B7091" w14:textId="77777777" w:rsidR="00C2771B" w:rsidRPr="004676F5" w:rsidRDefault="00C2771B" w:rsidP="00EE35E2">
      <w:pPr>
        <w:ind w:firstLine="708"/>
        <w:jc w:val="both"/>
        <w:rPr>
          <w:lang w:val="de-DE"/>
        </w:rPr>
      </w:pPr>
    </w:p>
    <w:p w14:paraId="6E8A0BCB" w14:textId="7725B530" w:rsidR="00EE35E2" w:rsidRPr="004676F5" w:rsidRDefault="00BE0A56" w:rsidP="00EE35E2">
      <w:pPr>
        <w:ind w:firstLine="708"/>
        <w:jc w:val="both"/>
        <w:rPr>
          <w:lang w:val="de-DE"/>
        </w:rPr>
      </w:pPr>
      <w:r w:rsidRPr="004676F5">
        <w:rPr>
          <w:b/>
          <w:lang w:val="de-DE"/>
        </w:rPr>
        <w:t>Art. </w:t>
      </w:r>
      <w:r w:rsidR="00EE35E2" w:rsidRPr="004676F5">
        <w:rPr>
          <w:b/>
          <w:lang w:val="de-DE"/>
        </w:rPr>
        <w:t>XX.168</w:t>
      </w:r>
      <w:r w:rsidR="00EE35E2" w:rsidRPr="004676F5">
        <w:rPr>
          <w:lang w:val="de-DE"/>
        </w:rPr>
        <w:t> </w:t>
      </w:r>
      <w:r w:rsidR="005B7A5C" w:rsidRPr="004676F5">
        <w:rPr>
          <w:lang w:val="de-DE"/>
        </w:rPr>
        <w:t>- </w:t>
      </w:r>
      <w:r w:rsidR="00EE35E2" w:rsidRPr="004676F5">
        <w:rPr>
          <w:lang w:val="de-DE"/>
        </w:rPr>
        <w:t>Der Konkursrichter ordnet gegebenenfalls eine Verteilung an die Gläubiger an und bestimmt ihre Höhe. Jede Zahlung, die auf Anordnung oder mit Erlaubnis des Konkursrichters vorgenommen wird, hat die Entlastung der Konkursverwalter zur Folge.</w:t>
      </w:r>
    </w:p>
    <w:p w14:paraId="40F34F86" w14:textId="77777777" w:rsidR="00EE35E2" w:rsidRPr="004676F5" w:rsidRDefault="00EE35E2" w:rsidP="00EE35E2">
      <w:pPr>
        <w:ind w:firstLine="708"/>
        <w:jc w:val="both"/>
        <w:rPr>
          <w:lang w:val="de-DE"/>
        </w:rPr>
      </w:pPr>
    </w:p>
    <w:p w14:paraId="513EAD5B" w14:textId="77777777" w:rsidR="00C2771B" w:rsidRPr="004676F5" w:rsidRDefault="00C2771B" w:rsidP="00EE35E2">
      <w:pPr>
        <w:ind w:firstLine="708"/>
        <w:jc w:val="both"/>
        <w:rPr>
          <w:lang w:val="de-DE"/>
        </w:rPr>
      </w:pPr>
    </w:p>
    <w:p w14:paraId="6C8D688D" w14:textId="5C4E4E28" w:rsidR="00EE35E2" w:rsidRPr="004676F5" w:rsidRDefault="00BE0A56" w:rsidP="00EE35E2">
      <w:pPr>
        <w:ind w:firstLine="708"/>
        <w:jc w:val="both"/>
        <w:rPr>
          <w:lang w:val="de-DE"/>
        </w:rPr>
      </w:pPr>
      <w:r w:rsidRPr="004676F5">
        <w:rPr>
          <w:b/>
          <w:lang w:val="de-DE"/>
        </w:rPr>
        <w:t>Art. </w:t>
      </w:r>
      <w:r w:rsidR="00EE35E2" w:rsidRPr="004676F5">
        <w:rPr>
          <w:b/>
          <w:lang w:val="de-DE"/>
        </w:rPr>
        <w:t>XX.169</w:t>
      </w:r>
      <w:r w:rsidR="00EE35E2" w:rsidRPr="004676F5">
        <w:rPr>
          <w:lang w:val="de-DE"/>
        </w:rPr>
        <w:t> </w:t>
      </w:r>
      <w:r w:rsidR="005B7A5C" w:rsidRPr="004676F5">
        <w:rPr>
          <w:lang w:val="de-DE"/>
        </w:rPr>
        <w:t>- </w:t>
      </w:r>
      <w:r w:rsidR="00EE35E2" w:rsidRPr="004676F5">
        <w:rPr>
          <w:lang w:val="de-DE"/>
        </w:rPr>
        <w:t>Gibt es Gläubiger, deren binnen der vorgeschriebenen Frist angemeldete und bestätigte Forderungen Anlass zu Streitfällen gegeben haben, über die noch nicht endgültig entschieden ist, wird keine Verteilung vorgenommen, bevor der Teil, der ihren Forderungen entspricht, wie sie angemeldet und bestätigt worden sind, nicht zurückgelegt worden ist.</w:t>
      </w:r>
    </w:p>
    <w:p w14:paraId="07F0EA07" w14:textId="77777777" w:rsidR="00EE35E2" w:rsidRPr="004676F5" w:rsidRDefault="00EE35E2" w:rsidP="00EE35E2">
      <w:pPr>
        <w:ind w:firstLine="708"/>
        <w:jc w:val="both"/>
        <w:rPr>
          <w:lang w:val="de-DE"/>
        </w:rPr>
      </w:pPr>
    </w:p>
    <w:p w14:paraId="404ECB4F" w14:textId="77777777" w:rsidR="00C2771B" w:rsidRPr="004676F5" w:rsidRDefault="00C2771B" w:rsidP="00EE35E2">
      <w:pPr>
        <w:ind w:firstLine="708"/>
        <w:jc w:val="both"/>
        <w:rPr>
          <w:lang w:val="de-DE"/>
        </w:rPr>
      </w:pPr>
    </w:p>
    <w:p w14:paraId="29DA7B74" w14:textId="3F3E8801" w:rsidR="00EE35E2" w:rsidRPr="004676F5" w:rsidRDefault="00BE0A56" w:rsidP="00EE35E2">
      <w:pPr>
        <w:ind w:firstLine="708"/>
        <w:jc w:val="both"/>
        <w:rPr>
          <w:lang w:val="de-DE"/>
        </w:rPr>
      </w:pPr>
      <w:r w:rsidRPr="004676F5">
        <w:rPr>
          <w:b/>
          <w:lang w:val="de-DE"/>
        </w:rPr>
        <w:t>Art. </w:t>
      </w:r>
      <w:r w:rsidR="00EE35E2" w:rsidRPr="004676F5">
        <w:rPr>
          <w:b/>
          <w:lang w:val="de-DE"/>
        </w:rPr>
        <w:t>XX.170</w:t>
      </w:r>
      <w:r w:rsidR="00EE35E2" w:rsidRPr="004676F5">
        <w:rPr>
          <w:lang w:val="de-DE"/>
        </w:rPr>
        <w:t> </w:t>
      </w:r>
      <w:r w:rsidR="005B7A5C" w:rsidRPr="004676F5">
        <w:rPr>
          <w:lang w:val="de-DE"/>
        </w:rPr>
        <w:t>- </w:t>
      </w:r>
      <w:r w:rsidR="00976E1D" w:rsidRPr="004676F5">
        <w:rPr>
          <w:lang w:val="de-DE"/>
        </w:rPr>
        <w:t>[Wenn die Konkursliquidation abgeschlossen ist, hinterlegt der Konkursverwalter im Register zu Händen des Konkursrichters eine Antragschrift zur Anberaumung der Gläubiger</w:t>
      </w:r>
      <w:r w:rsidR="00976E1D" w:rsidRPr="004676F5">
        <w:rPr>
          <w:lang w:val="de-DE"/>
        </w:rPr>
        <w:softHyphen/>
        <w:t>versammlung. Die Gläubiger und der Konkursschuldner werden nach Prüfung und Billigung der Rechnungen der Konkursverwalter vom Konkursverwalter auf Beschluss des Konkursrichters vorgeladen. Datum, Uhrzeit und Ort werden nach Absprache zwischen dem Konkursrichter und der Kanzlei festgelegt.]</w:t>
      </w:r>
    </w:p>
    <w:p w14:paraId="3DBEDE3E" w14:textId="77777777" w:rsidR="00EE35E2" w:rsidRPr="004676F5" w:rsidRDefault="00EE35E2" w:rsidP="00EE35E2">
      <w:pPr>
        <w:ind w:firstLine="708"/>
        <w:jc w:val="both"/>
        <w:rPr>
          <w:lang w:val="de-DE"/>
        </w:rPr>
      </w:pPr>
    </w:p>
    <w:p w14:paraId="5E60C6D7" w14:textId="14CC30BC" w:rsidR="00EE35E2" w:rsidRPr="004676F5" w:rsidRDefault="00EE35E2" w:rsidP="00EE35E2">
      <w:pPr>
        <w:ind w:firstLine="708"/>
        <w:jc w:val="both"/>
        <w:rPr>
          <w:lang w:val="de-DE"/>
        </w:rPr>
      </w:pPr>
      <w:r w:rsidRPr="004676F5">
        <w:rPr>
          <w:lang w:val="de-DE"/>
        </w:rPr>
        <w:t xml:space="preserve">Die vereinfachte Rechnung der Konkursverwalter, in der Höhe der Aktiva, Kosten und Honorare der Konkursverwalter, Masseschulden und Verteilung an die verschiedenen Kategorien Gläubiger vermerkt sind, </w:t>
      </w:r>
      <w:r w:rsidR="00976E1D" w:rsidRPr="004676F5">
        <w:rPr>
          <w:lang w:val="de-DE"/>
        </w:rPr>
        <w:t>[wird dieser Vorladung nur für Gläubiger beigefügt, die nicht über das Register erreicht werden können]</w:t>
      </w:r>
      <w:r w:rsidRPr="004676F5">
        <w:rPr>
          <w:lang w:val="de-DE"/>
        </w:rPr>
        <w:t>. Sie wird ebenfalls zur Konkursakte gelegt.</w:t>
      </w:r>
    </w:p>
    <w:p w14:paraId="41B90989" w14:textId="77777777" w:rsidR="00EE35E2" w:rsidRPr="004676F5" w:rsidRDefault="00EE35E2" w:rsidP="00EE35E2">
      <w:pPr>
        <w:ind w:firstLine="708"/>
        <w:jc w:val="both"/>
        <w:rPr>
          <w:lang w:val="de-DE"/>
        </w:rPr>
      </w:pPr>
    </w:p>
    <w:p w14:paraId="72AFA808" w14:textId="77777777" w:rsidR="00EE35E2" w:rsidRPr="004676F5" w:rsidRDefault="00EE35E2" w:rsidP="00EE35E2">
      <w:pPr>
        <w:ind w:firstLine="708"/>
        <w:jc w:val="both"/>
        <w:rPr>
          <w:lang w:val="de-DE"/>
        </w:rPr>
      </w:pPr>
      <w:r w:rsidRPr="004676F5">
        <w:rPr>
          <w:lang w:val="de-DE"/>
        </w:rPr>
        <w:t>In dieser Versammlung wird die Rechnung besprochen und abgeschlossen.</w:t>
      </w:r>
    </w:p>
    <w:p w14:paraId="57CE1DE3" w14:textId="77777777" w:rsidR="00EE35E2" w:rsidRPr="004676F5" w:rsidRDefault="00EE35E2" w:rsidP="00EE35E2">
      <w:pPr>
        <w:ind w:firstLine="708"/>
        <w:jc w:val="both"/>
        <w:rPr>
          <w:lang w:val="de-DE"/>
        </w:rPr>
      </w:pPr>
    </w:p>
    <w:p w14:paraId="195D655C" w14:textId="77777777" w:rsidR="00EE35E2" w:rsidRPr="004676F5" w:rsidRDefault="00EE35E2" w:rsidP="00EE35E2">
      <w:pPr>
        <w:ind w:firstLine="708"/>
        <w:jc w:val="both"/>
        <w:rPr>
          <w:lang w:val="de-DE"/>
        </w:rPr>
      </w:pPr>
      <w:r w:rsidRPr="004676F5">
        <w:rPr>
          <w:lang w:val="de-DE"/>
        </w:rPr>
        <w:t>Der Rechnungssaldo ist Gegenstand einer letzten Verteilung.</w:t>
      </w:r>
    </w:p>
    <w:p w14:paraId="2F06305F" w14:textId="77777777" w:rsidR="00EE35E2" w:rsidRPr="004676F5" w:rsidRDefault="00EE35E2" w:rsidP="00EE35E2">
      <w:pPr>
        <w:ind w:firstLine="708"/>
        <w:jc w:val="both"/>
        <w:rPr>
          <w:lang w:val="de-DE"/>
        </w:rPr>
      </w:pPr>
    </w:p>
    <w:p w14:paraId="1B7A7DF6" w14:textId="77777777" w:rsidR="00EE35E2" w:rsidRPr="004676F5" w:rsidRDefault="00EE35E2" w:rsidP="00EE35E2">
      <w:pPr>
        <w:ind w:firstLine="708"/>
        <w:jc w:val="both"/>
        <w:rPr>
          <w:lang w:val="de-DE"/>
        </w:rPr>
      </w:pPr>
      <w:r w:rsidRPr="004676F5">
        <w:rPr>
          <w:lang w:val="de-DE"/>
        </w:rPr>
        <w:t>Ein positiver Saldo steht von Rechts wegen dem Konkursschuldner oder bei einer juristischen Person den Aktionären zu.</w:t>
      </w:r>
    </w:p>
    <w:p w14:paraId="70B39002" w14:textId="77777777" w:rsidR="00976E1D" w:rsidRPr="004676F5" w:rsidRDefault="00976E1D" w:rsidP="00976E1D">
      <w:pPr>
        <w:jc w:val="both"/>
        <w:rPr>
          <w:lang w:val="de-DE"/>
        </w:rPr>
      </w:pPr>
    </w:p>
    <w:p w14:paraId="66262D61" w14:textId="1B64480D" w:rsidR="00976E1D" w:rsidRPr="004676F5" w:rsidRDefault="00976E1D" w:rsidP="00976E1D">
      <w:pPr>
        <w:jc w:val="both"/>
        <w:rPr>
          <w:i/>
          <w:iCs/>
          <w:lang w:val="de-DE"/>
        </w:rPr>
      </w:pPr>
      <w:r w:rsidRPr="004676F5">
        <w:rPr>
          <w:i/>
          <w:iCs/>
          <w:lang w:val="de-DE"/>
        </w:rPr>
        <w:t>[Art. XX.170 Abs. 1 ersetzt durch Art. 230 Nr. 1 des G. vom 7. Juni 2023 (B.S. vom 7. Juli 2023); Abs. 2 abgeändert durch Art. 230 Nr. 2 des G. vom 7. Juni 2023 (B.S. vom 7. Juli 2023)]</w:t>
      </w:r>
    </w:p>
    <w:p w14:paraId="453F0ADA" w14:textId="77777777" w:rsidR="00EE35E2" w:rsidRPr="004676F5" w:rsidRDefault="00EE35E2" w:rsidP="00EE35E2">
      <w:pPr>
        <w:ind w:firstLine="708"/>
        <w:jc w:val="both"/>
        <w:rPr>
          <w:lang w:val="de-DE"/>
        </w:rPr>
      </w:pPr>
    </w:p>
    <w:p w14:paraId="1E9027C9" w14:textId="77777777" w:rsidR="00C2771B" w:rsidRPr="004676F5" w:rsidRDefault="00C2771B" w:rsidP="00EE35E2">
      <w:pPr>
        <w:ind w:firstLine="708"/>
        <w:jc w:val="both"/>
        <w:rPr>
          <w:lang w:val="de-DE"/>
        </w:rPr>
      </w:pPr>
    </w:p>
    <w:p w14:paraId="1B5314A7" w14:textId="48BF0EEB" w:rsidR="00EE35E2" w:rsidRPr="004676F5" w:rsidRDefault="00BE0A56" w:rsidP="00EE35E2">
      <w:pPr>
        <w:ind w:firstLine="708"/>
        <w:jc w:val="both"/>
        <w:rPr>
          <w:lang w:val="de-DE"/>
        </w:rPr>
      </w:pPr>
      <w:r w:rsidRPr="004676F5">
        <w:rPr>
          <w:b/>
          <w:lang w:val="de-DE"/>
        </w:rPr>
        <w:t>Art. </w:t>
      </w:r>
      <w:r w:rsidR="00EE35E2" w:rsidRPr="004676F5">
        <w:rPr>
          <w:b/>
          <w:lang w:val="de-DE"/>
        </w:rPr>
        <w:t>XX.171</w:t>
      </w:r>
      <w:r w:rsidR="00EE35E2" w:rsidRPr="004676F5">
        <w:rPr>
          <w:lang w:val="de-DE"/>
        </w:rPr>
        <w:t> </w:t>
      </w:r>
      <w:r w:rsidR="005B7A5C" w:rsidRPr="004676F5">
        <w:rPr>
          <w:lang w:val="de-DE"/>
        </w:rPr>
        <w:t>- </w:t>
      </w:r>
      <w:r w:rsidR="008122BC" w:rsidRPr="004676F5">
        <w:rPr>
          <w:lang w:val="de-DE"/>
        </w:rPr>
        <w:t xml:space="preserve">[Nach Bericht des Konkursrichters ordnet das Gericht nach ordnungsgemäßer Vorladung des Konkursschuldners auf Antrag des Konkursverwalters den Abschluss des Konkursverfahrens an, nachdem es gegebenenfalls in den Streitfällen in Bezug auf die Rechnung entschieden und wenn nötig die Rechnung berichtigt hat. Der Konkursverwalter hinterlegt im Register zusammen mit seiner Antragschrift einen Bericht darüber, ob der Konkursschuldner, der eine natürliche Person ist, offensichtlich grobe Fehler begangen hat, die zum Konkurs beigetragen haben, oder bei Ablegung des Konkursgeständnisses oder später auf Fragen des Konkursrichters oder des Konkursverwalters wissentlich falsche Auskünfte erteilt hat. Der Konkursverwalter kann in der Antragschrift auf </w:t>
      </w:r>
      <w:r w:rsidR="008122BC" w:rsidRPr="004676F5">
        <w:rPr>
          <w:lang w:val="de-DE"/>
        </w:rPr>
        <w:lastRenderedPageBreak/>
        <w:t>Schließung des Verfahrens auch den in Artikel XX.173 § 3 erwähnten Antrag einreichen oder beantragen, dass das Gericht über das in Artikel XX.229 §§ 1, 2 und 4 erwähnte Verbot entscheidet.]</w:t>
      </w:r>
    </w:p>
    <w:p w14:paraId="5D4BFAD8" w14:textId="77777777" w:rsidR="00EE35E2" w:rsidRPr="004676F5" w:rsidRDefault="00EE35E2" w:rsidP="00EE35E2">
      <w:pPr>
        <w:ind w:firstLine="708"/>
        <w:jc w:val="both"/>
        <w:rPr>
          <w:lang w:val="de-DE"/>
        </w:rPr>
      </w:pPr>
    </w:p>
    <w:p w14:paraId="46E328CE" w14:textId="77777777" w:rsidR="00EE35E2" w:rsidRPr="004676F5" w:rsidRDefault="00EE35E2" w:rsidP="00EE35E2">
      <w:pPr>
        <w:ind w:firstLine="708"/>
        <w:jc w:val="both"/>
        <w:rPr>
          <w:lang w:val="de-DE"/>
        </w:rPr>
      </w:pPr>
      <w:r w:rsidRPr="004676F5">
        <w:rPr>
          <w:lang w:val="de-DE"/>
        </w:rPr>
        <w:t>Binnen einem Monat nach dem Urteil, durch das der Abschluss des Konkursverfahrens angeordnet wird, übermitteln die Konkursverwalter der Mehrwertsteuerverwaltung und der Verwaltung des Steuerwesens für Unternehmen und Einkünfte eine Abschrift der verbesserten vereinfachten Rechnung und eine Auflistung der Beträge, die den verschiedenen Gläubigern tatsächlich gezahlt wurden.</w:t>
      </w:r>
    </w:p>
    <w:p w14:paraId="13A135BD" w14:textId="77777777" w:rsidR="00EE35E2" w:rsidRPr="004676F5" w:rsidRDefault="00EE35E2" w:rsidP="00EE35E2">
      <w:pPr>
        <w:ind w:firstLine="708"/>
        <w:jc w:val="both"/>
        <w:rPr>
          <w:lang w:val="de-DE"/>
        </w:rPr>
      </w:pPr>
    </w:p>
    <w:p w14:paraId="2A975167" w14:textId="676DEBDE" w:rsidR="00EE35E2" w:rsidRPr="004676F5" w:rsidRDefault="00EE35E2" w:rsidP="00EE35E2">
      <w:pPr>
        <w:ind w:firstLine="708"/>
        <w:jc w:val="both"/>
        <w:rPr>
          <w:lang w:val="de-DE"/>
        </w:rPr>
      </w:pPr>
      <w:r w:rsidRPr="004676F5">
        <w:rPr>
          <w:lang w:val="de-DE"/>
        </w:rPr>
        <w:t xml:space="preserve">Das Urteil, durch das der Abschluss </w:t>
      </w:r>
      <w:r w:rsidR="008122BC" w:rsidRPr="004676F5">
        <w:rPr>
          <w:lang w:val="de-DE"/>
        </w:rPr>
        <w:t>des Konkursverfahrens</w:t>
      </w:r>
      <w:r w:rsidRPr="004676F5">
        <w:rPr>
          <w:lang w:val="de-DE"/>
        </w:rPr>
        <w:t xml:space="preserve"> angeordnet wird, wird auf Betreiben </w:t>
      </w:r>
      <w:r w:rsidR="008122BC" w:rsidRPr="004676F5">
        <w:rPr>
          <w:lang w:val="de-DE"/>
        </w:rPr>
        <w:t xml:space="preserve">[des Greffiers] </w:t>
      </w:r>
      <w:r w:rsidRPr="004676F5">
        <w:rPr>
          <w:lang w:val="de-DE"/>
        </w:rPr>
        <w:t xml:space="preserve">auszugsweise im </w:t>
      </w:r>
      <w:r w:rsidRPr="004676F5">
        <w:rPr>
          <w:i/>
          <w:lang w:val="de-DE"/>
        </w:rPr>
        <w:t>Belgischen Staatsblatt</w:t>
      </w:r>
      <w:r w:rsidRPr="004676F5">
        <w:rPr>
          <w:lang w:val="de-DE"/>
        </w:rPr>
        <w:t xml:space="preserve"> veröffentlicht.</w:t>
      </w:r>
    </w:p>
    <w:p w14:paraId="0A1AA9AC" w14:textId="77777777" w:rsidR="00EE35E2" w:rsidRPr="004676F5" w:rsidRDefault="00EE35E2" w:rsidP="00EE35E2">
      <w:pPr>
        <w:ind w:firstLine="708"/>
        <w:jc w:val="both"/>
        <w:rPr>
          <w:lang w:val="de-DE"/>
        </w:rPr>
      </w:pPr>
    </w:p>
    <w:p w14:paraId="3BEBE960" w14:textId="390BB6C1" w:rsidR="00EE35E2" w:rsidRPr="004676F5" w:rsidRDefault="00EE35E2" w:rsidP="00EE35E2">
      <w:pPr>
        <w:ind w:firstLine="708"/>
        <w:jc w:val="both"/>
        <w:rPr>
          <w:lang w:val="de-DE"/>
        </w:rPr>
      </w:pPr>
      <w:r w:rsidRPr="004676F5">
        <w:rPr>
          <w:lang w:val="de-DE"/>
        </w:rPr>
        <w:t>Mit dem Abschluss des Konkursverfahrens endet der Auftrag der Konkursverwalter, ausgenommen hinsichtlich der Ausführung des Abschlusses, und geht eine allgemeine Entlastung einher.</w:t>
      </w:r>
    </w:p>
    <w:p w14:paraId="6464E310" w14:textId="1D571C81" w:rsidR="00EE35E2" w:rsidRPr="004676F5" w:rsidRDefault="00EE35E2" w:rsidP="007109BD">
      <w:pPr>
        <w:jc w:val="both"/>
        <w:rPr>
          <w:lang w:val="de-DE"/>
        </w:rPr>
      </w:pPr>
    </w:p>
    <w:p w14:paraId="31ED3AA2" w14:textId="71316995" w:rsidR="007109BD" w:rsidRPr="004676F5" w:rsidRDefault="007109BD" w:rsidP="007109BD">
      <w:pPr>
        <w:jc w:val="both"/>
        <w:rPr>
          <w:i/>
          <w:lang w:val="de-DE"/>
        </w:rPr>
      </w:pPr>
      <w:r w:rsidRPr="004676F5">
        <w:rPr>
          <w:i/>
          <w:lang w:val="de-DE"/>
        </w:rPr>
        <w:t>[Art. </w:t>
      </w:r>
      <w:r w:rsidR="00A55F0E" w:rsidRPr="004676F5">
        <w:rPr>
          <w:i/>
          <w:lang w:val="de-DE"/>
        </w:rPr>
        <w:t>XX.</w:t>
      </w:r>
      <w:r w:rsidRPr="004676F5">
        <w:rPr>
          <w:i/>
          <w:lang w:val="de-DE"/>
        </w:rPr>
        <w:t xml:space="preserve">171 </w:t>
      </w:r>
      <w:r w:rsidR="008122BC" w:rsidRPr="004676F5">
        <w:rPr>
          <w:i/>
          <w:lang w:val="de-DE"/>
        </w:rPr>
        <w:t>Abs. 1 ersetzt durch Art. 231 Nr. 1</w:t>
      </w:r>
      <w:r w:rsidR="008122BC" w:rsidRPr="004676F5">
        <w:rPr>
          <w:i/>
          <w:iCs/>
          <w:lang w:val="de-DE"/>
        </w:rPr>
        <w:t xml:space="preserve"> des G. vom 7. Juni 2023 (B.S. vom 7. Juli 2023); </w:t>
      </w:r>
      <w:r w:rsidRPr="004676F5">
        <w:rPr>
          <w:i/>
          <w:lang w:val="de-DE"/>
        </w:rPr>
        <w:t>Abs. 3 abgeändert durch Art. 238 des G. vom 15. April 2018 (B.S. vom 27. April 2018)</w:t>
      </w:r>
      <w:r w:rsidR="008122BC" w:rsidRPr="004676F5">
        <w:rPr>
          <w:i/>
          <w:lang w:val="de-DE"/>
        </w:rPr>
        <w:t xml:space="preserve"> und Art. 231 Nr. 2</w:t>
      </w:r>
      <w:r w:rsidR="008122BC" w:rsidRPr="004676F5">
        <w:rPr>
          <w:i/>
          <w:iCs/>
          <w:lang w:val="de-DE"/>
        </w:rPr>
        <w:t xml:space="preserve"> des G. vom 7. Juni 2023 (B.S. vom 7. Juli 2023)</w:t>
      </w:r>
      <w:r w:rsidRPr="004676F5">
        <w:rPr>
          <w:i/>
          <w:lang w:val="de-DE"/>
        </w:rPr>
        <w:t>]</w:t>
      </w:r>
    </w:p>
    <w:p w14:paraId="0E6C7E3C" w14:textId="77777777" w:rsidR="007109BD" w:rsidRPr="004676F5" w:rsidRDefault="007109BD" w:rsidP="007109BD">
      <w:pPr>
        <w:jc w:val="both"/>
        <w:rPr>
          <w:i/>
          <w:lang w:val="de-DE"/>
        </w:rPr>
      </w:pPr>
    </w:p>
    <w:p w14:paraId="0D67B8D4" w14:textId="77777777" w:rsidR="00C2771B" w:rsidRPr="004676F5" w:rsidRDefault="00C2771B" w:rsidP="00EE35E2">
      <w:pPr>
        <w:ind w:firstLine="708"/>
        <w:jc w:val="both"/>
        <w:rPr>
          <w:lang w:val="de-DE"/>
        </w:rPr>
      </w:pPr>
    </w:p>
    <w:p w14:paraId="5F2A5296" w14:textId="451C8325" w:rsidR="00EE35E2" w:rsidRPr="004676F5" w:rsidRDefault="00BE0A56" w:rsidP="00EE35E2">
      <w:pPr>
        <w:ind w:firstLine="708"/>
        <w:jc w:val="both"/>
        <w:rPr>
          <w:lang w:val="de-DE"/>
        </w:rPr>
      </w:pPr>
      <w:r w:rsidRPr="004676F5">
        <w:rPr>
          <w:b/>
          <w:lang w:val="de-DE"/>
        </w:rPr>
        <w:t>Art. </w:t>
      </w:r>
      <w:r w:rsidR="00EE35E2" w:rsidRPr="004676F5">
        <w:rPr>
          <w:b/>
          <w:lang w:val="de-DE"/>
        </w:rPr>
        <w:t>XX.172</w:t>
      </w:r>
      <w:r w:rsidR="00EE35E2" w:rsidRPr="004676F5">
        <w:rPr>
          <w:lang w:val="de-DE"/>
        </w:rPr>
        <w:t> </w:t>
      </w:r>
      <w:r w:rsidR="005B7A5C" w:rsidRPr="004676F5">
        <w:rPr>
          <w:lang w:val="de-DE"/>
        </w:rPr>
        <w:t>- </w:t>
      </w:r>
      <w:r w:rsidR="00EE35E2" w:rsidRPr="004676F5">
        <w:rPr>
          <w:lang w:val="de-DE"/>
        </w:rPr>
        <w:t>Die Entscheidung, das Konkursverfahren in Bezug auf eine juristische Person abzuschließen, bringt die Auflösung dieser juristischen Person und die unmittelbare Beendigung ihrer Liquidation mit sich.</w:t>
      </w:r>
    </w:p>
    <w:p w14:paraId="75AF3FD2" w14:textId="77777777" w:rsidR="00EE35E2" w:rsidRPr="004676F5" w:rsidRDefault="00EE35E2" w:rsidP="00EE35E2">
      <w:pPr>
        <w:ind w:firstLine="708"/>
        <w:jc w:val="both"/>
        <w:rPr>
          <w:lang w:val="de-DE"/>
        </w:rPr>
      </w:pPr>
    </w:p>
    <w:p w14:paraId="5F305ABE" w14:textId="55091183" w:rsidR="00EE35E2" w:rsidRPr="004676F5" w:rsidRDefault="008122BC" w:rsidP="00EE35E2">
      <w:pPr>
        <w:ind w:firstLine="708"/>
        <w:jc w:val="both"/>
        <w:rPr>
          <w:lang w:val="de-DE"/>
        </w:rPr>
      </w:pPr>
      <w:r w:rsidRPr="004676F5">
        <w:rPr>
          <w:lang w:val="de-DE"/>
        </w:rPr>
        <w:t>[Artikel 2:79 des Gesetzbuches der Gesellschaften und Vereinigungen ist anwendbar.]</w:t>
      </w:r>
    </w:p>
    <w:p w14:paraId="5D1603D0" w14:textId="77777777" w:rsidR="00EE35E2" w:rsidRPr="004676F5" w:rsidRDefault="00EE35E2" w:rsidP="00EE35E2">
      <w:pPr>
        <w:ind w:firstLine="708"/>
        <w:jc w:val="both"/>
        <w:rPr>
          <w:lang w:val="de-DE"/>
        </w:rPr>
      </w:pPr>
    </w:p>
    <w:p w14:paraId="309D25C5" w14:textId="7D02CB20" w:rsidR="00EE35E2" w:rsidRPr="004676F5" w:rsidRDefault="00EE35E2" w:rsidP="00EE35E2">
      <w:pPr>
        <w:ind w:firstLine="708"/>
        <w:jc w:val="both"/>
        <w:rPr>
          <w:lang w:val="de-DE"/>
        </w:rPr>
      </w:pPr>
      <w:r w:rsidRPr="004676F5">
        <w:rPr>
          <w:lang w:val="de-DE"/>
        </w:rPr>
        <w:t xml:space="preserve">Die Entscheidung wird auf Betreiben </w:t>
      </w:r>
      <w:r w:rsidR="008122BC" w:rsidRPr="004676F5">
        <w:rPr>
          <w:lang w:val="de-DE"/>
        </w:rPr>
        <w:t xml:space="preserve">[des Greffiers] </w:t>
      </w:r>
      <w:r w:rsidRPr="004676F5">
        <w:rPr>
          <w:lang w:val="de-DE"/>
        </w:rPr>
        <w:t xml:space="preserve">auszugsweise im </w:t>
      </w:r>
      <w:r w:rsidRPr="004676F5">
        <w:rPr>
          <w:i/>
          <w:lang w:val="de-DE"/>
        </w:rPr>
        <w:t>Belgischen Staatsblatt</w:t>
      </w:r>
      <w:r w:rsidRPr="004676F5">
        <w:rPr>
          <w:lang w:val="de-DE"/>
        </w:rPr>
        <w:t xml:space="preserve"> veröffentlicht. Dieser Auszug enthält Namen, Vornamen, elektronische Adresse und Adresse der als Liquidatoren betrachteten Personen.</w:t>
      </w:r>
    </w:p>
    <w:p w14:paraId="17BEBCED" w14:textId="77777777" w:rsidR="00EE35E2" w:rsidRPr="004676F5" w:rsidRDefault="00EE35E2" w:rsidP="00EE35E2">
      <w:pPr>
        <w:ind w:firstLine="708"/>
        <w:jc w:val="both"/>
        <w:rPr>
          <w:lang w:val="de-DE"/>
        </w:rPr>
      </w:pPr>
    </w:p>
    <w:p w14:paraId="0B629915" w14:textId="77777777" w:rsidR="00EE35E2" w:rsidRPr="004676F5" w:rsidRDefault="00EE35E2" w:rsidP="00EE35E2">
      <w:pPr>
        <w:ind w:firstLine="708"/>
        <w:jc w:val="both"/>
        <w:rPr>
          <w:lang w:val="de-DE"/>
        </w:rPr>
      </w:pPr>
      <w:r w:rsidRPr="004676F5">
        <w:rPr>
          <w:lang w:val="de-DE"/>
        </w:rPr>
        <w:t>Der König kann das Verfahren zur Hinterlegung später auftretender Aktiva und die Bestimmung dieser Aktiva bei neu auftretenden Passiva festlegen. Er kann ebenfalls die Bestimmung der nicht veräußerten Aktiva, die nach Abschluss des Konkursverfahrens übrig bleiben, festlegen.</w:t>
      </w:r>
    </w:p>
    <w:p w14:paraId="60976AF5" w14:textId="6C7B9F87" w:rsidR="00EE35E2" w:rsidRPr="004676F5" w:rsidRDefault="00EE35E2" w:rsidP="00EE35E2">
      <w:pPr>
        <w:jc w:val="both"/>
        <w:rPr>
          <w:lang w:val="de-DE"/>
        </w:rPr>
      </w:pPr>
    </w:p>
    <w:p w14:paraId="5DA3FC98" w14:textId="48E64D56" w:rsidR="007109BD" w:rsidRPr="004676F5" w:rsidRDefault="007109BD" w:rsidP="00EE35E2">
      <w:pPr>
        <w:jc w:val="both"/>
        <w:rPr>
          <w:i/>
          <w:lang w:val="de-DE"/>
        </w:rPr>
      </w:pPr>
      <w:r w:rsidRPr="004676F5">
        <w:rPr>
          <w:i/>
          <w:lang w:val="de-DE"/>
        </w:rPr>
        <w:t xml:space="preserve">[Art. XX.172 </w:t>
      </w:r>
      <w:r w:rsidR="008122BC" w:rsidRPr="004676F5">
        <w:rPr>
          <w:i/>
          <w:lang w:val="de-DE"/>
        </w:rPr>
        <w:t>Abs. 2 ersetzt durch Art. 232 Nr. 1</w:t>
      </w:r>
      <w:r w:rsidR="008122BC" w:rsidRPr="004676F5">
        <w:rPr>
          <w:i/>
          <w:iCs/>
          <w:lang w:val="de-DE"/>
        </w:rPr>
        <w:t xml:space="preserve"> des G. vom 7. Juni 2023 (B.S. vom 7. Juli 2023); </w:t>
      </w:r>
      <w:r w:rsidRPr="004676F5">
        <w:rPr>
          <w:i/>
          <w:lang w:val="de-DE"/>
        </w:rPr>
        <w:t>Abs. 3 abgeändert durch Art. 239 des G. vom 15. April 2018 (B.S. vom 27. April 2018)</w:t>
      </w:r>
      <w:r w:rsidR="008122BC" w:rsidRPr="004676F5">
        <w:rPr>
          <w:i/>
          <w:lang w:val="de-DE"/>
        </w:rPr>
        <w:t xml:space="preserve"> und Art. 232 Nr. 2</w:t>
      </w:r>
      <w:r w:rsidR="008122BC" w:rsidRPr="004676F5">
        <w:rPr>
          <w:i/>
          <w:iCs/>
          <w:lang w:val="de-DE"/>
        </w:rPr>
        <w:t xml:space="preserve"> des G. vom 7. Juni 2023 (B.S. vom 7. Juli 2023)</w:t>
      </w:r>
      <w:r w:rsidRPr="004676F5">
        <w:rPr>
          <w:i/>
          <w:lang w:val="de-DE"/>
        </w:rPr>
        <w:t>]</w:t>
      </w:r>
    </w:p>
    <w:p w14:paraId="2BEF18EA" w14:textId="77777777" w:rsidR="00C2771B" w:rsidRPr="004676F5" w:rsidRDefault="00C2771B">
      <w:pPr>
        <w:rPr>
          <w:lang w:val="de-DE"/>
        </w:rPr>
      </w:pPr>
      <w:r w:rsidRPr="004676F5">
        <w:rPr>
          <w:lang w:val="de-DE"/>
        </w:rPr>
        <w:br w:type="page"/>
      </w:r>
    </w:p>
    <w:p w14:paraId="0E9B8FAB" w14:textId="37A1F60E" w:rsidR="00EE35E2" w:rsidRPr="004676F5" w:rsidRDefault="00EE35E2" w:rsidP="00EE35E2">
      <w:pPr>
        <w:jc w:val="center"/>
        <w:rPr>
          <w:lang w:val="de-DE"/>
        </w:rPr>
      </w:pPr>
      <w:r w:rsidRPr="004676F5">
        <w:rPr>
          <w:lang w:val="de-DE"/>
        </w:rPr>
        <w:lastRenderedPageBreak/>
        <w:t>KAPITEL 6 </w:t>
      </w:r>
      <w:r w:rsidR="005B7A5C" w:rsidRPr="004676F5">
        <w:rPr>
          <w:lang w:val="de-DE"/>
        </w:rPr>
        <w:t>- </w:t>
      </w:r>
      <w:r w:rsidRPr="004676F5">
        <w:rPr>
          <w:lang w:val="de-DE"/>
        </w:rPr>
        <w:t>Erlass</w:t>
      </w:r>
    </w:p>
    <w:p w14:paraId="00E3519E" w14:textId="77777777" w:rsidR="00EE35E2" w:rsidRPr="004676F5" w:rsidRDefault="00EE35E2" w:rsidP="00EE35E2">
      <w:pPr>
        <w:jc w:val="both"/>
        <w:rPr>
          <w:lang w:val="de-DE"/>
        </w:rPr>
      </w:pPr>
    </w:p>
    <w:p w14:paraId="2BBEBA3F" w14:textId="77777777" w:rsidR="00C2771B" w:rsidRPr="004676F5" w:rsidRDefault="00C2771B" w:rsidP="00EE35E2">
      <w:pPr>
        <w:jc w:val="both"/>
        <w:rPr>
          <w:lang w:val="de-DE"/>
        </w:rPr>
      </w:pPr>
    </w:p>
    <w:p w14:paraId="7C61D6F8" w14:textId="77777777" w:rsidR="008122BC" w:rsidRPr="004676F5" w:rsidRDefault="00BE0A56" w:rsidP="008122BC">
      <w:pPr>
        <w:ind w:firstLine="708"/>
        <w:jc w:val="both"/>
        <w:rPr>
          <w:lang w:val="de-DE"/>
        </w:rPr>
      </w:pPr>
      <w:r w:rsidRPr="004676F5">
        <w:rPr>
          <w:b/>
          <w:lang w:val="de-DE"/>
        </w:rPr>
        <w:t>Art. </w:t>
      </w:r>
      <w:r w:rsidR="00EE35E2" w:rsidRPr="004676F5">
        <w:rPr>
          <w:b/>
          <w:lang w:val="de-DE"/>
        </w:rPr>
        <w:t>XX.173</w:t>
      </w:r>
      <w:r w:rsidR="00EE35E2" w:rsidRPr="004676F5">
        <w:rPr>
          <w:lang w:val="de-DE"/>
        </w:rPr>
        <w:t> </w:t>
      </w:r>
      <w:r w:rsidR="005B7A5C" w:rsidRPr="004676F5">
        <w:rPr>
          <w:lang w:val="de-DE"/>
        </w:rPr>
        <w:t>- </w:t>
      </w:r>
      <w:r w:rsidR="008122BC" w:rsidRPr="004676F5">
        <w:rPr>
          <w:lang w:val="de-DE"/>
        </w:rPr>
        <w:t>[§ 1 - Ist der Konkursschuldner eine natürliche Person, wird er unbeschadet der von dem Konkursschuldner oder einem Dritten geleisteten dinglichen Sicherheiten seinen Gläubigern gegenüber von der Restschuld befreit.</w:t>
      </w:r>
    </w:p>
    <w:p w14:paraId="5080ED51" w14:textId="77777777" w:rsidR="008122BC" w:rsidRPr="004676F5" w:rsidRDefault="008122BC" w:rsidP="008122BC">
      <w:pPr>
        <w:jc w:val="both"/>
        <w:rPr>
          <w:lang w:val="de-DE"/>
        </w:rPr>
      </w:pPr>
    </w:p>
    <w:p w14:paraId="7D1D14C3" w14:textId="77777777" w:rsidR="008122BC" w:rsidRPr="004676F5" w:rsidRDefault="008122BC" w:rsidP="008122BC">
      <w:pPr>
        <w:jc w:val="both"/>
        <w:rPr>
          <w:lang w:val="de-DE"/>
        </w:rPr>
      </w:pPr>
      <w:r w:rsidRPr="004676F5">
        <w:rPr>
          <w:lang w:val="de-DE"/>
        </w:rPr>
        <w:tab/>
        <w:t>Der Erlass hat keine Auswirkung auf Unterhaltsschulden des Konkursschuldners oder Schulden, die für den Konkursschuldner aus der Verpflichtung hervorgehen, durch sein Verschulden bei Tod oder Beeinträchtigung der körperlichen Unversehrtheit einer Person entstandenen Schaden zu ersetzen.</w:t>
      </w:r>
    </w:p>
    <w:p w14:paraId="5FB282F6" w14:textId="77777777" w:rsidR="008122BC" w:rsidRPr="004676F5" w:rsidRDefault="008122BC" w:rsidP="008122BC">
      <w:pPr>
        <w:jc w:val="both"/>
        <w:rPr>
          <w:lang w:val="de-DE"/>
        </w:rPr>
      </w:pPr>
    </w:p>
    <w:p w14:paraId="5E56F699" w14:textId="77777777" w:rsidR="008122BC" w:rsidRPr="004676F5" w:rsidRDefault="008122BC" w:rsidP="008122BC">
      <w:pPr>
        <w:jc w:val="both"/>
        <w:rPr>
          <w:lang w:val="de-DE"/>
        </w:rPr>
      </w:pPr>
      <w:r w:rsidRPr="004676F5">
        <w:rPr>
          <w:lang w:val="de-DE"/>
        </w:rPr>
        <w:tab/>
        <w:t>§ 2 - Unbeschadet des Paragraphen 1 befreien die in Artikel XX.135 erwähnte Schließung des Konkursverfahrens und der in Artikel XX.171 erwähnte Abschluss den Schuldner von seiner Restschuld.</w:t>
      </w:r>
    </w:p>
    <w:p w14:paraId="493F469D" w14:textId="77777777" w:rsidR="008122BC" w:rsidRPr="004676F5" w:rsidRDefault="008122BC" w:rsidP="008122BC">
      <w:pPr>
        <w:jc w:val="both"/>
        <w:rPr>
          <w:lang w:val="de-DE"/>
        </w:rPr>
      </w:pPr>
    </w:p>
    <w:p w14:paraId="1B84D89E" w14:textId="77777777" w:rsidR="008122BC" w:rsidRPr="004676F5" w:rsidRDefault="008122BC" w:rsidP="008122BC">
      <w:pPr>
        <w:jc w:val="both"/>
        <w:rPr>
          <w:lang w:val="de-DE"/>
        </w:rPr>
      </w:pPr>
      <w:r w:rsidRPr="004676F5">
        <w:rPr>
          <w:lang w:val="de-DE"/>
        </w:rPr>
        <w:tab/>
        <w:t>§ 3 - Ein Interessehabender einschließlich des Konkursverwalters und der Staatsanwaltschaft kann ab Veröffentlichung des Konkursurteils durch Antragschrift, die der Greffier dem Konkursschuldner zur Kenntnis bringt, beantragen, dass der Erlass durch mit Gründen versehene Entscheidung nur teilweise gewährt oder vollständig abgelehnt wird, wenn der Konkursschuldner offensichtlich grobe Fehler begangen hat, die zum Konkurs beigetragen haben, oder bei Ablegung des Konkursgeständnisses oder später auf Fragen des Konkursrichters oder des Konkursverwalters wissentlich falsche Auskünfte erteilt hat.</w:t>
      </w:r>
    </w:p>
    <w:p w14:paraId="5276E83C" w14:textId="77777777" w:rsidR="008122BC" w:rsidRPr="004676F5" w:rsidRDefault="008122BC" w:rsidP="008122BC">
      <w:pPr>
        <w:jc w:val="both"/>
        <w:rPr>
          <w:lang w:val="de-DE"/>
        </w:rPr>
      </w:pPr>
    </w:p>
    <w:p w14:paraId="36B82089" w14:textId="77777777" w:rsidR="008122BC" w:rsidRPr="004676F5" w:rsidRDefault="008122BC" w:rsidP="008122BC">
      <w:pPr>
        <w:jc w:val="both"/>
        <w:rPr>
          <w:lang w:val="de-DE"/>
        </w:rPr>
      </w:pPr>
      <w:r w:rsidRPr="004676F5">
        <w:rPr>
          <w:lang w:val="de-DE"/>
        </w:rPr>
        <w:tab/>
        <w:t>Das Recht, zu verlangen, dass der Erlass nur teilweise gewährt oder vollständig abgelehnt wird, erlischt drei Jahre nach dem Zeitpunkt, an dem gemäß Artikel XX.165 Absatz 3 das Recht auf Aufnahme abgelaufen ist.</w:t>
      </w:r>
    </w:p>
    <w:p w14:paraId="50C50056" w14:textId="77777777" w:rsidR="008122BC" w:rsidRPr="004676F5" w:rsidRDefault="008122BC" w:rsidP="008122BC">
      <w:pPr>
        <w:jc w:val="both"/>
        <w:rPr>
          <w:lang w:val="de-DE"/>
        </w:rPr>
      </w:pPr>
    </w:p>
    <w:p w14:paraId="30AAB18B" w14:textId="77777777" w:rsidR="008122BC" w:rsidRPr="004676F5" w:rsidRDefault="008122BC" w:rsidP="008122BC">
      <w:pPr>
        <w:jc w:val="both"/>
        <w:rPr>
          <w:lang w:val="de-DE"/>
        </w:rPr>
      </w:pPr>
      <w:r w:rsidRPr="004676F5">
        <w:rPr>
          <w:lang w:val="de-DE"/>
        </w:rPr>
        <w:tab/>
        <w:t>Die gleiche Klage kann spätestens drei Monate nach Veröffentlichung des Urteils, mit dem das Konkursverfahren abgeschlossen wird, durch Dritteinspruch im Wege einer Antragschrift eingelegt werden, soweit diese Frist von drei Jahren nicht abgelaufen ist.</w:t>
      </w:r>
    </w:p>
    <w:p w14:paraId="1F69F438" w14:textId="77777777" w:rsidR="008122BC" w:rsidRPr="004676F5" w:rsidRDefault="008122BC" w:rsidP="008122BC">
      <w:pPr>
        <w:jc w:val="both"/>
        <w:rPr>
          <w:lang w:val="de-DE"/>
        </w:rPr>
      </w:pPr>
    </w:p>
    <w:p w14:paraId="3ECAD033" w14:textId="77777777" w:rsidR="008122BC" w:rsidRPr="004676F5" w:rsidRDefault="008122BC" w:rsidP="008122BC">
      <w:pPr>
        <w:jc w:val="both"/>
        <w:rPr>
          <w:lang w:val="de-DE"/>
        </w:rPr>
      </w:pPr>
      <w:r w:rsidRPr="004676F5">
        <w:rPr>
          <w:lang w:val="de-DE"/>
        </w:rPr>
        <w:tab/>
        <w:t>Ein vom Gericht nur teilweise gewährter Erlass wird verhältnismäßig unter alle Gläubiger verteilt ohne Berücksichtigung der rechtmäßigen Vorzugsgründe.</w:t>
      </w:r>
    </w:p>
    <w:p w14:paraId="05A215CA" w14:textId="77777777" w:rsidR="008122BC" w:rsidRPr="004676F5" w:rsidRDefault="008122BC" w:rsidP="008122BC">
      <w:pPr>
        <w:jc w:val="both"/>
        <w:rPr>
          <w:lang w:val="de-DE"/>
        </w:rPr>
      </w:pPr>
    </w:p>
    <w:p w14:paraId="362A9105" w14:textId="77777777" w:rsidR="008122BC" w:rsidRPr="004676F5" w:rsidRDefault="008122BC" w:rsidP="008122BC">
      <w:pPr>
        <w:jc w:val="both"/>
        <w:rPr>
          <w:lang w:val="de-DE"/>
        </w:rPr>
      </w:pPr>
      <w:r w:rsidRPr="004676F5">
        <w:rPr>
          <w:lang w:val="de-DE"/>
        </w:rPr>
        <w:tab/>
        <w:t>Ist der Konkursschuldner ein Freiberufler, notifiziert der Greffier der Kammer oder dem Institut eine Abschrift des Urteils, mit dem der Erlass nur teilweise gewährt oder vollständig abgelehnt wird.</w:t>
      </w:r>
    </w:p>
    <w:p w14:paraId="1A0A2DDB" w14:textId="77777777" w:rsidR="008122BC" w:rsidRPr="004676F5" w:rsidRDefault="008122BC" w:rsidP="008122BC">
      <w:pPr>
        <w:jc w:val="both"/>
        <w:rPr>
          <w:lang w:val="de-DE"/>
        </w:rPr>
      </w:pPr>
    </w:p>
    <w:p w14:paraId="48A152B8" w14:textId="042B15E0" w:rsidR="00EE35E2" w:rsidRPr="004676F5" w:rsidRDefault="008122BC" w:rsidP="008122BC">
      <w:pPr>
        <w:ind w:firstLine="708"/>
        <w:jc w:val="both"/>
        <w:rPr>
          <w:lang w:val="de-DE"/>
        </w:rPr>
      </w:pPr>
      <w:r w:rsidRPr="004676F5">
        <w:rPr>
          <w:lang w:val="de-DE"/>
        </w:rPr>
        <w:t xml:space="preserve">Das Urteil, mit dem der Erlass nur teilweise gewährt oder vollständig abgelehnt wird, wird vom Greffier auszugsweise im </w:t>
      </w:r>
      <w:r w:rsidRPr="004676F5">
        <w:rPr>
          <w:i/>
          <w:lang w:val="de-DE"/>
        </w:rPr>
        <w:t>Belgischen Staatsblatt</w:t>
      </w:r>
      <w:r w:rsidRPr="004676F5">
        <w:rPr>
          <w:lang w:val="de-DE"/>
        </w:rPr>
        <w:t xml:space="preserve"> veröffentlicht.]</w:t>
      </w:r>
    </w:p>
    <w:p w14:paraId="6FEF3688" w14:textId="55DB8425" w:rsidR="00EE35E2" w:rsidRPr="004676F5" w:rsidRDefault="00EE35E2" w:rsidP="00EE35E2">
      <w:pPr>
        <w:ind w:firstLine="708"/>
        <w:jc w:val="both"/>
        <w:rPr>
          <w:lang w:val="de-DE"/>
        </w:rPr>
      </w:pPr>
    </w:p>
    <w:p w14:paraId="61696199" w14:textId="3A7359FA" w:rsidR="007109BD" w:rsidRPr="004676F5" w:rsidRDefault="007109BD" w:rsidP="007109BD">
      <w:pPr>
        <w:jc w:val="both"/>
        <w:rPr>
          <w:i/>
          <w:lang w:val="de-DE"/>
        </w:rPr>
      </w:pPr>
      <w:r w:rsidRPr="004676F5">
        <w:rPr>
          <w:i/>
          <w:lang w:val="de-DE"/>
        </w:rPr>
        <w:t>[Art. </w:t>
      </w:r>
      <w:r w:rsidR="008122BC" w:rsidRPr="004676F5">
        <w:rPr>
          <w:i/>
          <w:lang w:val="de-DE"/>
        </w:rPr>
        <w:t>XX.173 ersetzt durch Art. 233</w:t>
      </w:r>
      <w:r w:rsidR="008122BC" w:rsidRPr="004676F5">
        <w:rPr>
          <w:i/>
          <w:iCs/>
          <w:lang w:val="de-DE"/>
        </w:rPr>
        <w:t xml:space="preserve"> des G. vom 7. Juni 2023 (B.S. vom 7. Juli 2023)]</w:t>
      </w:r>
    </w:p>
    <w:p w14:paraId="470BE981" w14:textId="42965E15" w:rsidR="00567F8C" w:rsidRPr="004676F5" w:rsidRDefault="00567F8C" w:rsidP="00EE35E2">
      <w:pPr>
        <w:ind w:firstLine="708"/>
        <w:jc w:val="both"/>
        <w:rPr>
          <w:lang w:val="de-DE"/>
        </w:rPr>
      </w:pPr>
    </w:p>
    <w:p w14:paraId="1DA42EE9" w14:textId="77777777" w:rsidR="007109BD" w:rsidRPr="004676F5" w:rsidRDefault="007109BD" w:rsidP="00EE35E2">
      <w:pPr>
        <w:ind w:firstLine="708"/>
        <w:jc w:val="both"/>
        <w:rPr>
          <w:lang w:val="de-DE"/>
        </w:rPr>
      </w:pPr>
    </w:p>
    <w:p w14:paraId="2F09DB7F" w14:textId="3D71BF4E" w:rsidR="00EE35E2" w:rsidRPr="004676F5" w:rsidRDefault="00BE0A56" w:rsidP="00EE35E2">
      <w:pPr>
        <w:ind w:firstLine="708"/>
        <w:jc w:val="both"/>
        <w:rPr>
          <w:lang w:val="de-DE"/>
        </w:rPr>
      </w:pPr>
      <w:r w:rsidRPr="004676F5">
        <w:rPr>
          <w:b/>
          <w:lang w:val="de-DE"/>
        </w:rPr>
        <w:t>Art. </w:t>
      </w:r>
      <w:r w:rsidR="00EE35E2" w:rsidRPr="004676F5">
        <w:rPr>
          <w:b/>
          <w:lang w:val="de-DE"/>
        </w:rPr>
        <w:t>XX.174</w:t>
      </w:r>
      <w:r w:rsidR="00EE35E2" w:rsidRPr="004676F5">
        <w:rPr>
          <w:lang w:val="de-DE"/>
        </w:rPr>
        <w:t> </w:t>
      </w:r>
      <w:r w:rsidR="005B7A5C" w:rsidRPr="004676F5">
        <w:rPr>
          <w:lang w:val="de-DE"/>
        </w:rPr>
        <w:t>- </w:t>
      </w:r>
      <w:r w:rsidR="00EE35E2" w:rsidRPr="004676F5">
        <w:rPr>
          <w:lang w:val="de-DE"/>
        </w:rPr>
        <w:t xml:space="preserve">Der Ehepartner oder Ex-Ehepartner des Konkursschuldners oder die mit dem Konkursschuldner gesetzlich zusammenwohnende oder zuvor mit dem Konkursschuldner gesetzlich zusammenwohnende Person, der/die persönlich für die während der Zeit der Ehe oder des gesetzlichen Zusammenwohnens entstandenen Schulden </w:t>
      </w:r>
      <w:r w:rsidR="008122BC" w:rsidRPr="004676F5">
        <w:rPr>
          <w:lang w:val="de-DE"/>
        </w:rPr>
        <w:t xml:space="preserve">[laut Gesetz oder Vertrag] </w:t>
      </w:r>
      <w:r w:rsidR="00EE35E2" w:rsidRPr="004676F5">
        <w:rPr>
          <w:lang w:val="de-DE"/>
        </w:rPr>
        <w:t>haftbar ist, wird infolge des Erlasses von dieser Verpflichtung befreit.</w:t>
      </w:r>
    </w:p>
    <w:p w14:paraId="2836649D" w14:textId="77777777" w:rsidR="00EE35E2" w:rsidRPr="004676F5" w:rsidRDefault="00EE35E2" w:rsidP="00EE35E2">
      <w:pPr>
        <w:ind w:firstLine="708"/>
        <w:jc w:val="both"/>
        <w:rPr>
          <w:lang w:val="de-DE"/>
        </w:rPr>
      </w:pPr>
    </w:p>
    <w:p w14:paraId="49BEADD5" w14:textId="77777777" w:rsidR="00EE35E2" w:rsidRPr="004676F5" w:rsidRDefault="00EE35E2" w:rsidP="00EE35E2">
      <w:pPr>
        <w:ind w:firstLine="708"/>
        <w:jc w:val="both"/>
        <w:rPr>
          <w:lang w:val="de-DE"/>
        </w:rPr>
      </w:pPr>
      <w:r w:rsidRPr="004676F5">
        <w:rPr>
          <w:lang w:val="de-DE"/>
        </w:rPr>
        <w:t>Der Erlass kann nicht dem gesetzlich Zusammenwohnenden zugutekommen, dessen Erklärung über das gesetzliche Zusammenwohnen in den sechs Monaten vor Eröffnung des Konkursverfahrens abgegeben wurde.</w:t>
      </w:r>
    </w:p>
    <w:p w14:paraId="331F9334" w14:textId="77777777" w:rsidR="00EE35E2" w:rsidRPr="004676F5" w:rsidRDefault="00EE35E2" w:rsidP="00EE35E2">
      <w:pPr>
        <w:ind w:firstLine="708"/>
        <w:jc w:val="both"/>
        <w:rPr>
          <w:lang w:val="de-DE"/>
        </w:rPr>
      </w:pPr>
    </w:p>
    <w:p w14:paraId="5D5F0F06" w14:textId="77777777" w:rsidR="00EE35E2" w:rsidRPr="004676F5" w:rsidRDefault="00EE35E2" w:rsidP="00EE35E2">
      <w:pPr>
        <w:ind w:firstLine="708"/>
        <w:jc w:val="both"/>
        <w:rPr>
          <w:lang w:val="de-DE"/>
        </w:rPr>
      </w:pPr>
      <w:r w:rsidRPr="004676F5">
        <w:rPr>
          <w:lang w:val="de-DE"/>
        </w:rPr>
        <w:t>Der Erlass hat keine Auswirkung auf eigene oder gemeinsame Schulden des Ehepartners oder Ex-Ehepartners oder der gesetzlich zusammenwohnenden oder zuvor gesetzlich zusammenwohnenden Person aus einem von den Betreffenden geschlossenen Vertrag, die der beruflichen Tätigkeit des Konkursschuldners fremd sind, ob diese Schulden allein oder mit dem Konkursschuldner eingegangen wurden.</w:t>
      </w:r>
    </w:p>
    <w:p w14:paraId="22D050EB" w14:textId="77777777" w:rsidR="00EE35E2" w:rsidRPr="004676F5" w:rsidRDefault="00EE35E2" w:rsidP="00EE35E2">
      <w:pPr>
        <w:ind w:firstLine="708"/>
        <w:jc w:val="both"/>
        <w:rPr>
          <w:lang w:val="de-DE"/>
        </w:rPr>
      </w:pPr>
    </w:p>
    <w:p w14:paraId="2CBD04E4" w14:textId="5055170A" w:rsidR="00EE35E2" w:rsidRPr="004676F5" w:rsidRDefault="008122BC" w:rsidP="008122BC">
      <w:pPr>
        <w:jc w:val="both"/>
        <w:rPr>
          <w:i/>
          <w:iCs/>
          <w:lang w:val="de-DE"/>
        </w:rPr>
      </w:pPr>
      <w:r w:rsidRPr="004676F5">
        <w:rPr>
          <w:i/>
          <w:iCs/>
          <w:lang w:val="de-DE"/>
        </w:rPr>
        <w:t>[Art. XX.174 Abs. 1 abgeändert durch Art. 234 des G. vom 7. Juni 2023 (B.S. vom 7. Juli 2023)]</w:t>
      </w:r>
    </w:p>
    <w:p w14:paraId="6A71572C" w14:textId="77777777" w:rsidR="00567F8C" w:rsidRPr="004676F5" w:rsidRDefault="00567F8C">
      <w:pPr>
        <w:rPr>
          <w:lang w:val="de-DE"/>
        </w:rPr>
      </w:pPr>
      <w:r w:rsidRPr="004676F5">
        <w:rPr>
          <w:lang w:val="de-DE"/>
        </w:rPr>
        <w:br w:type="page"/>
      </w:r>
    </w:p>
    <w:p w14:paraId="192A239B" w14:textId="4C9C21D6" w:rsidR="00EE35E2" w:rsidRPr="004676F5" w:rsidRDefault="00EE35E2" w:rsidP="00EE35E2">
      <w:pPr>
        <w:jc w:val="center"/>
        <w:rPr>
          <w:lang w:val="de-DE"/>
        </w:rPr>
      </w:pPr>
      <w:r w:rsidRPr="004676F5">
        <w:rPr>
          <w:lang w:val="de-DE"/>
        </w:rPr>
        <w:lastRenderedPageBreak/>
        <w:t>KAPITEL 7 </w:t>
      </w:r>
      <w:r w:rsidR="005B7A5C" w:rsidRPr="004676F5">
        <w:rPr>
          <w:lang w:val="de-DE"/>
        </w:rPr>
        <w:t>- </w:t>
      </w:r>
      <w:r w:rsidRPr="004676F5">
        <w:rPr>
          <w:lang w:val="de-DE"/>
        </w:rPr>
        <w:t>Gläubiger und Bürgen</w:t>
      </w:r>
    </w:p>
    <w:p w14:paraId="00A4A503" w14:textId="77777777" w:rsidR="00EE35E2" w:rsidRPr="004676F5" w:rsidRDefault="00EE35E2" w:rsidP="00EE35E2">
      <w:pPr>
        <w:jc w:val="center"/>
        <w:rPr>
          <w:lang w:val="de-DE"/>
        </w:rPr>
      </w:pPr>
    </w:p>
    <w:p w14:paraId="475B244E" w14:textId="77777777" w:rsidR="00567F8C" w:rsidRPr="004676F5" w:rsidRDefault="00567F8C" w:rsidP="00EE35E2">
      <w:pPr>
        <w:jc w:val="center"/>
        <w:rPr>
          <w:lang w:val="de-DE"/>
        </w:rPr>
      </w:pPr>
    </w:p>
    <w:p w14:paraId="0E8C915E" w14:textId="31E16FED" w:rsidR="00EE35E2" w:rsidRPr="004676F5" w:rsidRDefault="00EE35E2" w:rsidP="00EE35E2">
      <w:pPr>
        <w:jc w:val="center"/>
        <w:rPr>
          <w:lang w:val="de-DE"/>
        </w:rPr>
      </w:pPr>
      <w:r w:rsidRPr="004676F5">
        <w:rPr>
          <w:i/>
          <w:lang w:val="de-DE"/>
        </w:rPr>
        <w:t>Abschnitt 1 </w:t>
      </w:r>
      <w:r w:rsidR="005B7A5C" w:rsidRPr="004676F5">
        <w:rPr>
          <w:lang w:val="de-DE"/>
        </w:rPr>
        <w:t>- </w:t>
      </w:r>
      <w:r w:rsidRPr="004676F5">
        <w:rPr>
          <w:lang w:val="de-DE"/>
        </w:rPr>
        <w:t>Mitschuldner, persönliche Sicherheiten und Bürgen</w:t>
      </w:r>
    </w:p>
    <w:p w14:paraId="41B17799" w14:textId="77777777" w:rsidR="00EE35E2" w:rsidRPr="004676F5" w:rsidRDefault="00EE35E2" w:rsidP="00EE35E2">
      <w:pPr>
        <w:jc w:val="both"/>
        <w:rPr>
          <w:lang w:val="de-DE"/>
        </w:rPr>
      </w:pPr>
    </w:p>
    <w:p w14:paraId="5046081D" w14:textId="77777777" w:rsidR="00567F8C" w:rsidRPr="004676F5" w:rsidRDefault="00567F8C" w:rsidP="00EE35E2">
      <w:pPr>
        <w:jc w:val="both"/>
        <w:rPr>
          <w:lang w:val="de-DE"/>
        </w:rPr>
      </w:pPr>
    </w:p>
    <w:p w14:paraId="29B23114" w14:textId="474C5437" w:rsidR="00EE35E2" w:rsidRPr="004676F5" w:rsidRDefault="00BE0A56" w:rsidP="00EE35E2">
      <w:pPr>
        <w:ind w:firstLine="708"/>
        <w:jc w:val="both"/>
        <w:rPr>
          <w:lang w:val="de-DE"/>
        </w:rPr>
      </w:pPr>
      <w:r w:rsidRPr="004676F5">
        <w:rPr>
          <w:b/>
          <w:lang w:val="de-DE"/>
        </w:rPr>
        <w:t>Art. </w:t>
      </w:r>
      <w:r w:rsidR="00EE35E2" w:rsidRPr="004676F5">
        <w:rPr>
          <w:b/>
          <w:lang w:val="de-DE"/>
        </w:rPr>
        <w:t>XX.175</w:t>
      </w:r>
      <w:r w:rsidR="00EE35E2" w:rsidRPr="004676F5">
        <w:rPr>
          <w:lang w:val="de-DE"/>
        </w:rPr>
        <w:t> </w:t>
      </w:r>
      <w:r w:rsidR="005B7A5C" w:rsidRPr="004676F5">
        <w:rPr>
          <w:lang w:val="de-DE"/>
        </w:rPr>
        <w:t>- </w:t>
      </w:r>
      <w:r w:rsidR="00EE35E2" w:rsidRPr="004676F5">
        <w:rPr>
          <w:lang w:val="de-DE"/>
        </w:rPr>
        <w:t>Unbeschadet der Artikel 2043</w:t>
      </w:r>
      <w:r w:rsidR="00EE35E2" w:rsidRPr="004676F5">
        <w:rPr>
          <w:i/>
          <w:lang w:val="de-DE"/>
        </w:rPr>
        <w:t>bis</w:t>
      </w:r>
      <w:r w:rsidR="00EE35E2" w:rsidRPr="004676F5">
        <w:rPr>
          <w:lang w:val="de-DE"/>
        </w:rPr>
        <w:t xml:space="preserve"> bis 2043</w:t>
      </w:r>
      <w:r w:rsidR="00EE35E2" w:rsidRPr="004676F5">
        <w:rPr>
          <w:i/>
          <w:lang w:val="de-DE"/>
        </w:rPr>
        <w:t>octies</w:t>
      </w:r>
      <w:r w:rsidR="00EE35E2" w:rsidRPr="004676F5">
        <w:rPr>
          <w:lang w:val="de-DE"/>
        </w:rPr>
        <w:t xml:space="preserve"> </w:t>
      </w:r>
      <w:r w:rsidR="008122BC" w:rsidRPr="004676F5">
        <w:rPr>
          <w:lang w:val="de-DE"/>
        </w:rPr>
        <w:t>[</w:t>
      </w:r>
      <w:r w:rsidR="00EE35E2" w:rsidRPr="004676F5">
        <w:rPr>
          <w:lang w:val="de-DE"/>
        </w:rPr>
        <w:t xml:space="preserve">des </w:t>
      </w:r>
      <w:r w:rsidR="008122BC" w:rsidRPr="004676F5">
        <w:rPr>
          <w:lang w:val="de-DE"/>
        </w:rPr>
        <w:t xml:space="preserve">früheren </w:t>
      </w:r>
      <w:r w:rsidR="00EE35E2" w:rsidRPr="004676F5">
        <w:rPr>
          <w:lang w:val="de-DE"/>
        </w:rPr>
        <w:t>Zivilgesetzbuches</w:t>
      </w:r>
      <w:r w:rsidR="008122BC" w:rsidRPr="004676F5">
        <w:rPr>
          <w:lang w:val="de-DE"/>
        </w:rPr>
        <w:t>]</w:t>
      </w:r>
      <w:r w:rsidR="00EE35E2" w:rsidRPr="004676F5">
        <w:rPr>
          <w:lang w:val="de-DE"/>
        </w:rPr>
        <w:t xml:space="preserve"> und des Artikels XX.176 kommt ein Erlass weder Mitschuldnern noch Bestellern von persönlichen Sicherheiten zugute.</w:t>
      </w:r>
    </w:p>
    <w:p w14:paraId="34119F5D" w14:textId="77777777" w:rsidR="00EE35E2" w:rsidRPr="004676F5" w:rsidRDefault="00EE35E2" w:rsidP="008122BC">
      <w:pPr>
        <w:jc w:val="both"/>
        <w:rPr>
          <w:lang w:val="de-DE"/>
        </w:rPr>
      </w:pPr>
    </w:p>
    <w:p w14:paraId="157C2A17" w14:textId="1D7FCE57" w:rsidR="008122BC" w:rsidRPr="004676F5" w:rsidRDefault="008122BC" w:rsidP="008122BC">
      <w:pPr>
        <w:jc w:val="both"/>
        <w:rPr>
          <w:i/>
          <w:iCs/>
          <w:lang w:val="de-DE"/>
        </w:rPr>
      </w:pPr>
      <w:r w:rsidRPr="004676F5">
        <w:rPr>
          <w:i/>
          <w:iCs/>
          <w:lang w:val="de-DE"/>
        </w:rPr>
        <w:t>[Art. XX.175 abgeändert durch Art. 235 des G. vom 7. Juni 2023 (B.S. vom 7. Juli 2023)]</w:t>
      </w:r>
    </w:p>
    <w:p w14:paraId="7C4DD9A4" w14:textId="77777777" w:rsidR="008122BC" w:rsidRPr="004676F5" w:rsidRDefault="008122BC" w:rsidP="008122BC">
      <w:pPr>
        <w:jc w:val="both"/>
        <w:rPr>
          <w:i/>
          <w:iCs/>
          <w:lang w:val="de-DE"/>
        </w:rPr>
      </w:pPr>
    </w:p>
    <w:p w14:paraId="231B771F" w14:textId="77777777" w:rsidR="00567F8C" w:rsidRPr="004676F5" w:rsidRDefault="00567F8C" w:rsidP="00EE35E2">
      <w:pPr>
        <w:ind w:firstLine="708"/>
        <w:jc w:val="both"/>
        <w:rPr>
          <w:lang w:val="de-DE"/>
        </w:rPr>
      </w:pPr>
    </w:p>
    <w:p w14:paraId="6FB5ACE9" w14:textId="0780CAE5" w:rsidR="00EE35E2" w:rsidRPr="004676F5" w:rsidRDefault="00BE0A56" w:rsidP="00EE35E2">
      <w:pPr>
        <w:ind w:firstLine="708"/>
        <w:jc w:val="both"/>
        <w:rPr>
          <w:lang w:val="de-DE"/>
        </w:rPr>
      </w:pPr>
      <w:r w:rsidRPr="004676F5">
        <w:rPr>
          <w:b/>
          <w:lang w:val="de-DE"/>
        </w:rPr>
        <w:t>Art. </w:t>
      </w:r>
      <w:r w:rsidR="00EE35E2" w:rsidRPr="004676F5">
        <w:rPr>
          <w:b/>
          <w:lang w:val="de-DE"/>
        </w:rPr>
        <w:t>XX.176</w:t>
      </w:r>
      <w:r w:rsidR="00EE35E2" w:rsidRPr="004676F5">
        <w:rPr>
          <w:lang w:val="de-DE"/>
        </w:rPr>
        <w:t> </w:t>
      </w:r>
      <w:r w:rsidR="005B7A5C" w:rsidRPr="004676F5">
        <w:rPr>
          <w:lang w:val="de-DE"/>
        </w:rPr>
        <w:t>- </w:t>
      </w:r>
      <w:r w:rsidR="00EE35E2" w:rsidRPr="004676F5">
        <w:rPr>
          <w:lang w:val="de-DE"/>
        </w:rPr>
        <w:t>Ab Eröffnung des Verfahrens kann eine natürliche Personen, die für den Konkursschuldner unentgeltlich eine persönliche Sicherheit geleistet hat, beim Insolvenz</w:t>
      </w:r>
      <w:r w:rsidR="00EE35E2" w:rsidRPr="004676F5">
        <w:rPr>
          <w:lang w:val="de-DE"/>
        </w:rPr>
        <w:softHyphen/>
        <w:t>gericht per Antragschrift</w:t>
      </w:r>
      <w:r w:rsidR="008122BC" w:rsidRPr="004676F5">
        <w:rPr>
          <w:lang w:val="de-DE"/>
        </w:rPr>
        <w:t>[, die im Register zu hinterlegen ist,]</w:t>
      </w:r>
      <w:r w:rsidR="00EE35E2" w:rsidRPr="004676F5">
        <w:rPr>
          <w:lang w:val="de-DE"/>
        </w:rPr>
        <w:t xml:space="preserve"> beantragen, ganz oder teilweise von ihrer Verpflichtung befreit zu werden, wenn bei Eröffnung dieses Verfahrens der Betrag der persönlichen Sicherheit offensichtlich nicht im Verhältnis zu ihren Rückzahlungsmöglichkeiten steht, wobei diese Möglichkeiten sowohl in Bezug auf ihre beweglichen und unbeweglichen Güter als auch in Bezug auf ihre Einkünfte zu beurteilen sind.</w:t>
      </w:r>
    </w:p>
    <w:p w14:paraId="27B75FE1" w14:textId="77777777" w:rsidR="00EE35E2" w:rsidRPr="004676F5" w:rsidRDefault="00EE35E2" w:rsidP="00EE35E2">
      <w:pPr>
        <w:ind w:firstLine="708"/>
        <w:jc w:val="both"/>
        <w:rPr>
          <w:lang w:val="de-DE"/>
        </w:rPr>
      </w:pPr>
    </w:p>
    <w:p w14:paraId="40E610AE" w14:textId="77777777" w:rsidR="00EE35E2" w:rsidRPr="004676F5" w:rsidRDefault="00EE35E2" w:rsidP="00EE35E2">
      <w:pPr>
        <w:ind w:firstLine="708"/>
        <w:jc w:val="both"/>
        <w:rPr>
          <w:lang w:val="de-DE"/>
        </w:rPr>
      </w:pPr>
      <w:r w:rsidRPr="004676F5">
        <w:rPr>
          <w:lang w:val="de-DE"/>
        </w:rPr>
        <w:t>Der Antragsteller gibt in seiner Antragschrift Folgendes an:</w:t>
      </w:r>
    </w:p>
    <w:p w14:paraId="551ACA29" w14:textId="77777777" w:rsidR="00EE35E2" w:rsidRPr="004676F5" w:rsidRDefault="00EE35E2" w:rsidP="00EE35E2">
      <w:pPr>
        <w:ind w:firstLine="708"/>
        <w:jc w:val="both"/>
        <w:rPr>
          <w:lang w:val="de-DE"/>
        </w:rPr>
      </w:pPr>
    </w:p>
    <w:p w14:paraId="7FCA76C2" w14:textId="370045DE" w:rsidR="00EE35E2" w:rsidRPr="004676F5" w:rsidRDefault="005B7A5C" w:rsidP="00EE35E2">
      <w:pPr>
        <w:ind w:firstLine="708"/>
        <w:jc w:val="both"/>
        <w:rPr>
          <w:lang w:val="de-DE"/>
        </w:rPr>
      </w:pPr>
      <w:r w:rsidRPr="004676F5">
        <w:rPr>
          <w:lang w:val="de-DE"/>
        </w:rPr>
        <w:t>- </w:t>
      </w:r>
      <w:r w:rsidR="00EE35E2" w:rsidRPr="004676F5">
        <w:rPr>
          <w:lang w:val="de-DE"/>
        </w:rPr>
        <w:t>seine Identität, seinen Beruf und seinen Wohnsitz,</w:t>
      </w:r>
    </w:p>
    <w:p w14:paraId="153AF7F3" w14:textId="77777777" w:rsidR="00EE35E2" w:rsidRPr="004676F5" w:rsidRDefault="00EE35E2" w:rsidP="00EE35E2">
      <w:pPr>
        <w:ind w:firstLine="708"/>
        <w:jc w:val="both"/>
        <w:rPr>
          <w:lang w:val="de-DE"/>
        </w:rPr>
      </w:pPr>
    </w:p>
    <w:p w14:paraId="1246E857" w14:textId="2DC9BF1F" w:rsidR="00EE35E2" w:rsidRPr="004676F5" w:rsidRDefault="005B7A5C" w:rsidP="00EE35E2">
      <w:pPr>
        <w:ind w:firstLine="708"/>
        <w:jc w:val="both"/>
        <w:rPr>
          <w:lang w:val="de-DE"/>
        </w:rPr>
      </w:pPr>
      <w:r w:rsidRPr="004676F5">
        <w:rPr>
          <w:lang w:val="de-DE"/>
        </w:rPr>
        <w:t>- </w:t>
      </w:r>
      <w:r w:rsidR="00EE35E2" w:rsidRPr="004676F5">
        <w:rPr>
          <w:lang w:val="de-DE"/>
        </w:rPr>
        <w:t>Identität und Wohnsitz des Inhabers der Forderung, deren Zahlung durch die Sicherheit besichert ist,</w:t>
      </w:r>
    </w:p>
    <w:p w14:paraId="454C1AE3" w14:textId="77777777" w:rsidR="00EE35E2" w:rsidRPr="004676F5" w:rsidRDefault="00EE35E2" w:rsidP="00EE35E2">
      <w:pPr>
        <w:ind w:firstLine="708"/>
        <w:jc w:val="both"/>
        <w:rPr>
          <w:lang w:val="de-DE"/>
        </w:rPr>
      </w:pPr>
    </w:p>
    <w:p w14:paraId="13B042AC" w14:textId="6E5CA060" w:rsidR="00EE35E2" w:rsidRPr="004676F5" w:rsidRDefault="005B7A5C" w:rsidP="00EE35E2">
      <w:pPr>
        <w:ind w:firstLine="708"/>
        <w:jc w:val="both"/>
        <w:rPr>
          <w:lang w:val="de-DE"/>
        </w:rPr>
      </w:pPr>
      <w:r w:rsidRPr="004676F5">
        <w:rPr>
          <w:lang w:val="de-DE"/>
        </w:rPr>
        <w:t>- </w:t>
      </w:r>
      <w:r w:rsidR="00EE35E2" w:rsidRPr="004676F5">
        <w:rPr>
          <w:lang w:val="de-DE"/>
        </w:rPr>
        <w:t>Erklärung, dass bei Eröffnung des Verfahrens seine Verpflichtung nicht im Verhältnis zu seinen Einkünften und seinem Vermögen steht,</w:t>
      </w:r>
    </w:p>
    <w:p w14:paraId="6BFA698B" w14:textId="77777777" w:rsidR="00EE35E2" w:rsidRPr="004676F5" w:rsidRDefault="00EE35E2" w:rsidP="00EE35E2">
      <w:pPr>
        <w:ind w:firstLine="708"/>
        <w:jc w:val="both"/>
        <w:rPr>
          <w:lang w:val="de-DE"/>
        </w:rPr>
      </w:pPr>
    </w:p>
    <w:p w14:paraId="00AFE805" w14:textId="6B9FFE41" w:rsidR="00EE35E2" w:rsidRPr="004676F5" w:rsidRDefault="005B7A5C" w:rsidP="00EE35E2">
      <w:pPr>
        <w:ind w:firstLine="708"/>
        <w:jc w:val="both"/>
        <w:rPr>
          <w:lang w:val="de-DE"/>
        </w:rPr>
      </w:pPr>
      <w:r w:rsidRPr="004676F5">
        <w:rPr>
          <w:lang w:val="de-DE"/>
        </w:rPr>
        <w:t>- </w:t>
      </w:r>
      <w:r w:rsidR="00EE35E2" w:rsidRPr="004676F5">
        <w:rPr>
          <w:lang w:val="de-DE"/>
        </w:rPr>
        <w:t>Abschrift seiner letzten Erklärung zur Steuer der natürlichen Personen und des letzten Steuerbescheids in Bezug auf die Steuer der natürlichen Personen,</w:t>
      </w:r>
    </w:p>
    <w:p w14:paraId="7764B84B" w14:textId="77777777" w:rsidR="00EE35E2" w:rsidRPr="004676F5" w:rsidRDefault="00EE35E2" w:rsidP="00EE35E2">
      <w:pPr>
        <w:ind w:firstLine="708"/>
        <w:jc w:val="both"/>
        <w:rPr>
          <w:lang w:val="de-DE"/>
        </w:rPr>
      </w:pPr>
    </w:p>
    <w:p w14:paraId="6DFF0317" w14:textId="719BD1F3" w:rsidR="00EE35E2" w:rsidRPr="004676F5" w:rsidRDefault="005B7A5C" w:rsidP="00EE35E2">
      <w:pPr>
        <w:ind w:firstLine="708"/>
        <w:jc w:val="both"/>
        <w:rPr>
          <w:lang w:val="de-DE"/>
        </w:rPr>
      </w:pPr>
      <w:r w:rsidRPr="004676F5">
        <w:rPr>
          <w:lang w:val="de-DE"/>
        </w:rPr>
        <w:t>- </w:t>
      </w:r>
      <w:r w:rsidR="00EE35E2" w:rsidRPr="004676F5">
        <w:rPr>
          <w:lang w:val="de-DE"/>
        </w:rPr>
        <w:t>eine Aufstellung aller Aktiva und Passiva, die sein Vermögen bilden,</w:t>
      </w:r>
    </w:p>
    <w:p w14:paraId="6B2679AC" w14:textId="77777777" w:rsidR="00EE35E2" w:rsidRPr="004676F5" w:rsidRDefault="00EE35E2" w:rsidP="00EE35E2">
      <w:pPr>
        <w:ind w:firstLine="708"/>
        <w:jc w:val="both"/>
        <w:rPr>
          <w:lang w:val="de-DE"/>
        </w:rPr>
      </w:pPr>
    </w:p>
    <w:p w14:paraId="3E16A01D" w14:textId="7A9E7C04" w:rsidR="00EE35E2" w:rsidRPr="004676F5" w:rsidRDefault="005B7A5C" w:rsidP="00EE35E2">
      <w:pPr>
        <w:ind w:firstLine="708"/>
        <w:jc w:val="both"/>
        <w:rPr>
          <w:lang w:val="de-DE"/>
        </w:rPr>
      </w:pPr>
      <w:r w:rsidRPr="004676F5">
        <w:rPr>
          <w:lang w:val="de-DE"/>
        </w:rPr>
        <w:t>- </w:t>
      </w:r>
      <w:r w:rsidR="00EE35E2" w:rsidRPr="004676F5">
        <w:rPr>
          <w:lang w:val="de-DE"/>
        </w:rPr>
        <w:t>Belege für die unentgeltliche Leistung der persönlichen Sicherheit und ihren Umfang,</w:t>
      </w:r>
    </w:p>
    <w:p w14:paraId="05095048" w14:textId="77777777" w:rsidR="00EE35E2" w:rsidRPr="004676F5" w:rsidRDefault="00EE35E2" w:rsidP="00EE35E2">
      <w:pPr>
        <w:ind w:firstLine="708"/>
        <w:jc w:val="both"/>
        <w:rPr>
          <w:lang w:val="de-DE"/>
        </w:rPr>
      </w:pPr>
    </w:p>
    <w:p w14:paraId="5159822B" w14:textId="412996E0" w:rsidR="00EE35E2" w:rsidRPr="004676F5" w:rsidRDefault="005B7A5C" w:rsidP="00EE35E2">
      <w:pPr>
        <w:ind w:firstLine="708"/>
        <w:jc w:val="both"/>
        <w:rPr>
          <w:lang w:val="de-DE"/>
        </w:rPr>
      </w:pPr>
      <w:r w:rsidRPr="004676F5">
        <w:rPr>
          <w:lang w:val="de-DE"/>
        </w:rPr>
        <w:t>- </w:t>
      </w:r>
      <w:r w:rsidR="00EE35E2" w:rsidRPr="004676F5">
        <w:rPr>
          <w:lang w:val="de-DE"/>
        </w:rPr>
        <w:t>andere Schriftstücke, durch die seine Mittel und Aufwendungen präzise festgelegt werden können.</w:t>
      </w:r>
    </w:p>
    <w:p w14:paraId="71E3854F" w14:textId="77777777" w:rsidR="00EE35E2" w:rsidRPr="004676F5" w:rsidRDefault="00EE35E2" w:rsidP="00EE35E2">
      <w:pPr>
        <w:ind w:firstLine="708"/>
        <w:jc w:val="both"/>
        <w:rPr>
          <w:lang w:val="de-DE"/>
        </w:rPr>
      </w:pPr>
    </w:p>
    <w:p w14:paraId="407E11CC" w14:textId="77777777" w:rsidR="00EE35E2" w:rsidRPr="004676F5" w:rsidRDefault="00EE35E2" w:rsidP="00EE35E2">
      <w:pPr>
        <w:ind w:firstLine="708"/>
        <w:jc w:val="both"/>
        <w:rPr>
          <w:lang w:val="de-DE"/>
        </w:rPr>
      </w:pPr>
      <w:r w:rsidRPr="004676F5">
        <w:rPr>
          <w:lang w:val="de-DE"/>
        </w:rPr>
        <w:t>Die Antragschrift wird zur Konkursakte gelegt.</w:t>
      </w:r>
    </w:p>
    <w:p w14:paraId="3F7DA0BE" w14:textId="77777777" w:rsidR="00EE35E2" w:rsidRPr="004676F5" w:rsidRDefault="00EE35E2" w:rsidP="00EE35E2">
      <w:pPr>
        <w:ind w:firstLine="708"/>
        <w:jc w:val="both"/>
        <w:rPr>
          <w:lang w:val="de-DE"/>
        </w:rPr>
      </w:pPr>
    </w:p>
    <w:p w14:paraId="518C6680" w14:textId="77777777" w:rsidR="00EE35E2" w:rsidRPr="004676F5" w:rsidRDefault="00EE35E2" w:rsidP="00EE35E2">
      <w:pPr>
        <w:ind w:firstLine="708"/>
        <w:jc w:val="both"/>
        <w:rPr>
          <w:lang w:val="de-DE"/>
        </w:rPr>
      </w:pPr>
      <w:r w:rsidRPr="004676F5">
        <w:rPr>
          <w:lang w:val="de-DE"/>
        </w:rPr>
        <w:t>Die Parteien werden vom Greffier per Gerichtsbrief vorgeladen, um zu der vom Richter anberaumten Sitzung zu erscheinen. In der Vorladung wird angegeben, dass die Antragschrift und die zusätzlichen Unterlagen in der Konkursakte eingesehen werden können.</w:t>
      </w:r>
    </w:p>
    <w:p w14:paraId="12450F4D" w14:textId="77777777" w:rsidR="00EE35E2" w:rsidRPr="004676F5" w:rsidRDefault="00EE35E2" w:rsidP="00EE35E2">
      <w:pPr>
        <w:ind w:firstLine="708"/>
        <w:jc w:val="both"/>
        <w:rPr>
          <w:lang w:val="de-DE"/>
        </w:rPr>
      </w:pPr>
    </w:p>
    <w:p w14:paraId="7E68A56E" w14:textId="77777777" w:rsidR="00EE35E2" w:rsidRPr="004676F5" w:rsidRDefault="00EE35E2" w:rsidP="00EE35E2">
      <w:pPr>
        <w:ind w:firstLine="708"/>
        <w:jc w:val="both"/>
        <w:rPr>
          <w:lang w:val="de-DE"/>
        </w:rPr>
      </w:pPr>
      <w:r w:rsidRPr="004676F5">
        <w:rPr>
          <w:lang w:val="de-DE"/>
        </w:rPr>
        <w:t>Durch die Hinterlegung der Antragschrift werden die Vollstreckungsmittel ausgesetzt.</w:t>
      </w:r>
    </w:p>
    <w:p w14:paraId="0F9F7077" w14:textId="77777777" w:rsidR="00EE35E2" w:rsidRPr="004676F5" w:rsidRDefault="00EE35E2" w:rsidP="00EE35E2">
      <w:pPr>
        <w:ind w:firstLine="708"/>
        <w:jc w:val="both"/>
        <w:rPr>
          <w:lang w:val="de-DE"/>
        </w:rPr>
      </w:pPr>
    </w:p>
    <w:p w14:paraId="72AA3050" w14:textId="573184EC" w:rsidR="00EE35E2" w:rsidRPr="004676F5" w:rsidRDefault="00EE35E2" w:rsidP="00EE35E2">
      <w:pPr>
        <w:ind w:firstLine="708"/>
        <w:jc w:val="both"/>
        <w:rPr>
          <w:lang w:val="de-DE"/>
        </w:rPr>
      </w:pPr>
      <w:r w:rsidRPr="004676F5">
        <w:rPr>
          <w:lang w:val="de-DE"/>
        </w:rPr>
        <w:lastRenderedPageBreak/>
        <w:t xml:space="preserve">Das Urteil zur Anordnung der Befreiung wird </w:t>
      </w:r>
      <w:r w:rsidR="007109BD" w:rsidRPr="004676F5">
        <w:rPr>
          <w:lang w:val="de-DE"/>
        </w:rPr>
        <w:t xml:space="preserve">[auf Betreiben </w:t>
      </w:r>
      <w:r w:rsidR="008122BC" w:rsidRPr="004676F5">
        <w:rPr>
          <w:lang w:val="de-DE"/>
        </w:rPr>
        <w:t>[des Greffiers]</w:t>
      </w:r>
      <w:r w:rsidR="007109BD" w:rsidRPr="004676F5">
        <w:rPr>
          <w:lang w:val="de-DE"/>
        </w:rPr>
        <w:t xml:space="preserve">] </w:t>
      </w:r>
      <w:r w:rsidRPr="004676F5">
        <w:rPr>
          <w:lang w:val="de-DE"/>
        </w:rPr>
        <w:t xml:space="preserve">auszugsweise im </w:t>
      </w:r>
      <w:r w:rsidRPr="004676F5">
        <w:rPr>
          <w:i/>
          <w:lang w:val="de-DE"/>
        </w:rPr>
        <w:t>Belgischen Staatsblatt</w:t>
      </w:r>
      <w:r w:rsidRPr="004676F5">
        <w:rPr>
          <w:lang w:val="de-DE"/>
        </w:rPr>
        <w:t xml:space="preserve"> veröffentlicht.</w:t>
      </w:r>
    </w:p>
    <w:p w14:paraId="060C57EA" w14:textId="77777777" w:rsidR="00EE35E2" w:rsidRPr="004676F5" w:rsidRDefault="00EE35E2" w:rsidP="00EE35E2">
      <w:pPr>
        <w:ind w:firstLine="708"/>
        <w:jc w:val="both"/>
        <w:rPr>
          <w:lang w:val="de-DE"/>
        </w:rPr>
      </w:pPr>
    </w:p>
    <w:p w14:paraId="22956063" w14:textId="77777777" w:rsidR="00EE35E2" w:rsidRPr="004676F5" w:rsidRDefault="00EE35E2" w:rsidP="00EE35E2">
      <w:pPr>
        <w:ind w:firstLine="708"/>
        <w:jc w:val="both"/>
        <w:rPr>
          <w:lang w:val="de-DE"/>
        </w:rPr>
      </w:pPr>
      <w:r w:rsidRPr="004676F5">
        <w:rPr>
          <w:lang w:val="de-DE"/>
        </w:rPr>
        <w:t>Wird der Leister der persönlichen Sicherheit vom Gericht nicht vollständig von seiner Verpflichtung entlastet, erhalten die Gläubiger das Recht zurück, ihre Ansprüche auf seine Güter einzeln auszuüben.</w:t>
      </w:r>
    </w:p>
    <w:p w14:paraId="579F682A" w14:textId="77777777" w:rsidR="00EE35E2" w:rsidRPr="004676F5" w:rsidRDefault="00EE35E2" w:rsidP="00EE35E2">
      <w:pPr>
        <w:ind w:firstLine="708"/>
        <w:jc w:val="both"/>
        <w:rPr>
          <w:lang w:val="de-DE"/>
        </w:rPr>
      </w:pPr>
    </w:p>
    <w:p w14:paraId="196C07ED" w14:textId="3A7D25CA" w:rsidR="00567F8C" w:rsidRPr="004676F5" w:rsidRDefault="007109BD" w:rsidP="007109BD">
      <w:pPr>
        <w:jc w:val="both"/>
        <w:rPr>
          <w:i/>
          <w:lang w:val="de-DE"/>
        </w:rPr>
      </w:pPr>
      <w:r w:rsidRPr="004676F5">
        <w:rPr>
          <w:i/>
          <w:lang w:val="de-DE"/>
        </w:rPr>
        <w:t xml:space="preserve">[Art. XX.176 </w:t>
      </w:r>
      <w:r w:rsidR="008122BC" w:rsidRPr="004676F5">
        <w:rPr>
          <w:i/>
          <w:lang w:val="de-DE"/>
        </w:rPr>
        <w:t>Abs. 1 abgeändert durch Art. 236 Nr. 1</w:t>
      </w:r>
      <w:r w:rsidR="008122BC" w:rsidRPr="004676F5">
        <w:rPr>
          <w:i/>
          <w:iCs/>
          <w:lang w:val="de-DE"/>
        </w:rPr>
        <w:t xml:space="preserve"> des G. vom 7. Juni 2023 (B.S. vom 7. Juli 2023); </w:t>
      </w:r>
      <w:r w:rsidRPr="004676F5">
        <w:rPr>
          <w:i/>
          <w:lang w:val="de-DE"/>
        </w:rPr>
        <w:t>Abs. 6 abgeändert durch Art. 241 des G. vom 15. April 2018 (B.S. vom 27. April 2018)</w:t>
      </w:r>
      <w:r w:rsidR="008122BC" w:rsidRPr="004676F5">
        <w:rPr>
          <w:i/>
          <w:lang w:val="de-DE"/>
        </w:rPr>
        <w:t xml:space="preserve"> und Art. 236 Nr. 2</w:t>
      </w:r>
      <w:r w:rsidR="008122BC" w:rsidRPr="004676F5">
        <w:rPr>
          <w:i/>
          <w:iCs/>
          <w:lang w:val="de-DE"/>
        </w:rPr>
        <w:t xml:space="preserve"> des G. vom 7. Juni 2023 (B.S. vom 7. Juli 2023)</w:t>
      </w:r>
      <w:r w:rsidRPr="004676F5">
        <w:rPr>
          <w:i/>
          <w:lang w:val="de-DE"/>
        </w:rPr>
        <w:t>]</w:t>
      </w:r>
    </w:p>
    <w:p w14:paraId="34FE6CA4" w14:textId="1F9A93B1" w:rsidR="007109BD" w:rsidRPr="004676F5" w:rsidRDefault="007109BD" w:rsidP="007109BD">
      <w:pPr>
        <w:jc w:val="both"/>
        <w:rPr>
          <w:i/>
          <w:lang w:val="de-DE"/>
        </w:rPr>
      </w:pPr>
    </w:p>
    <w:p w14:paraId="0820B08D" w14:textId="77777777" w:rsidR="007109BD" w:rsidRPr="004676F5" w:rsidRDefault="007109BD" w:rsidP="007109BD">
      <w:pPr>
        <w:jc w:val="both"/>
        <w:rPr>
          <w:lang w:val="de-DE"/>
        </w:rPr>
      </w:pPr>
    </w:p>
    <w:p w14:paraId="6078BB74" w14:textId="249DA726" w:rsidR="00EE35E2" w:rsidRPr="004676F5" w:rsidRDefault="00BE0A56" w:rsidP="00EE35E2">
      <w:pPr>
        <w:ind w:firstLine="708"/>
        <w:jc w:val="both"/>
        <w:rPr>
          <w:lang w:val="de-DE"/>
        </w:rPr>
      </w:pPr>
      <w:r w:rsidRPr="004676F5">
        <w:rPr>
          <w:b/>
          <w:lang w:val="de-DE"/>
        </w:rPr>
        <w:t>Art. </w:t>
      </w:r>
      <w:r w:rsidR="00EE35E2" w:rsidRPr="004676F5">
        <w:rPr>
          <w:b/>
          <w:lang w:val="de-DE"/>
        </w:rPr>
        <w:t>XX.177</w:t>
      </w:r>
      <w:r w:rsidR="00EE35E2" w:rsidRPr="004676F5">
        <w:rPr>
          <w:lang w:val="de-DE"/>
        </w:rPr>
        <w:t> </w:t>
      </w:r>
      <w:r w:rsidR="005B7A5C" w:rsidRPr="004676F5">
        <w:rPr>
          <w:lang w:val="de-DE"/>
        </w:rPr>
        <w:t>- </w:t>
      </w:r>
      <w:r w:rsidR="00EE35E2" w:rsidRPr="004676F5">
        <w:rPr>
          <w:lang w:val="de-DE"/>
        </w:rPr>
        <w:t>Inhaber von Verbindlichkeiten, die vom Konkursschuldner und von anderen in Konkurs geratenen Mitschuldnern gesamtschuldnerisch eingegangen, indossiert oder besichert worden sind, werden bei den Verteilungen in allen Massen berücksichtigt und erscheinen dort für den Nennwert ihrer Forderung, bis sie vollständig beglichen ist.</w:t>
      </w:r>
    </w:p>
    <w:p w14:paraId="12BC3F5D" w14:textId="77777777" w:rsidR="00EE35E2" w:rsidRPr="004676F5" w:rsidRDefault="00EE35E2" w:rsidP="00EE35E2">
      <w:pPr>
        <w:ind w:firstLine="708"/>
        <w:jc w:val="both"/>
        <w:rPr>
          <w:lang w:val="de-DE"/>
        </w:rPr>
      </w:pPr>
    </w:p>
    <w:p w14:paraId="5AD78DAD" w14:textId="77777777" w:rsidR="00567F8C" w:rsidRPr="004676F5" w:rsidRDefault="00567F8C" w:rsidP="00EE35E2">
      <w:pPr>
        <w:ind w:firstLine="708"/>
        <w:jc w:val="both"/>
        <w:rPr>
          <w:lang w:val="de-DE"/>
        </w:rPr>
      </w:pPr>
    </w:p>
    <w:p w14:paraId="1A631D36" w14:textId="52F75CB6" w:rsidR="00EE35E2" w:rsidRPr="004676F5" w:rsidRDefault="00BE0A56" w:rsidP="00EE35E2">
      <w:pPr>
        <w:ind w:firstLine="708"/>
        <w:jc w:val="both"/>
        <w:rPr>
          <w:lang w:val="de-DE"/>
        </w:rPr>
      </w:pPr>
      <w:r w:rsidRPr="004676F5">
        <w:rPr>
          <w:b/>
          <w:lang w:val="de-DE"/>
        </w:rPr>
        <w:t>Art. </w:t>
      </w:r>
      <w:r w:rsidR="00EE35E2" w:rsidRPr="004676F5">
        <w:rPr>
          <w:b/>
          <w:lang w:val="de-DE"/>
        </w:rPr>
        <w:t>XX.178</w:t>
      </w:r>
      <w:r w:rsidR="00EE35E2" w:rsidRPr="004676F5">
        <w:rPr>
          <w:lang w:val="de-DE"/>
        </w:rPr>
        <w:t> </w:t>
      </w:r>
      <w:r w:rsidR="005B7A5C" w:rsidRPr="004676F5">
        <w:rPr>
          <w:lang w:val="de-DE"/>
        </w:rPr>
        <w:t>- </w:t>
      </w:r>
      <w:r w:rsidR="00EE35E2" w:rsidRPr="004676F5">
        <w:rPr>
          <w:lang w:val="de-DE"/>
        </w:rPr>
        <w:t xml:space="preserve">Für Konkurse von Mitschuldnern besteht kein gegenseitiges Regressrecht aufgrund gezahlter Dividenden, außer wenn die Summe der Dividenden aus diesen Massen den Betrag der Forderung </w:t>
      </w:r>
      <w:r w:rsidR="005B7A5C" w:rsidRPr="004676F5">
        <w:rPr>
          <w:lang w:val="de-DE"/>
        </w:rPr>
        <w:t>- </w:t>
      </w:r>
      <w:r w:rsidR="00EE35E2" w:rsidRPr="004676F5">
        <w:rPr>
          <w:lang w:val="de-DE"/>
        </w:rPr>
        <w:t>Hauptsumme und Nebenleistungen </w:t>
      </w:r>
      <w:r w:rsidR="005B7A5C" w:rsidRPr="004676F5">
        <w:rPr>
          <w:lang w:val="de-DE"/>
        </w:rPr>
        <w:t>- </w:t>
      </w:r>
      <w:r w:rsidR="00EE35E2" w:rsidRPr="004676F5">
        <w:rPr>
          <w:lang w:val="de-DE"/>
        </w:rPr>
        <w:t>überschreitet; in diesem Fall steht dieser Überschuss den Schuldnern, für die sich die anderen verbürgt haben, nach der Reihen</w:t>
      </w:r>
      <w:r w:rsidR="00EE35E2" w:rsidRPr="004676F5">
        <w:rPr>
          <w:lang w:val="de-DE"/>
        </w:rPr>
        <w:softHyphen/>
        <w:t>folge der Verbindlichkeiten zu.</w:t>
      </w:r>
    </w:p>
    <w:p w14:paraId="676461A7" w14:textId="77777777" w:rsidR="00EE35E2" w:rsidRPr="004676F5" w:rsidRDefault="00EE35E2" w:rsidP="00EE35E2">
      <w:pPr>
        <w:ind w:firstLine="708"/>
        <w:jc w:val="both"/>
        <w:rPr>
          <w:lang w:val="de-DE"/>
        </w:rPr>
      </w:pPr>
    </w:p>
    <w:p w14:paraId="110336FC" w14:textId="77777777" w:rsidR="00567F8C" w:rsidRPr="004676F5" w:rsidRDefault="00567F8C" w:rsidP="00EE35E2">
      <w:pPr>
        <w:ind w:firstLine="708"/>
        <w:jc w:val="both"/>
        <w:rPr>
          <w:lang w:val="de-DE"/>
        </w:rPr>
      </w:pPr>
    </w:p>
    <w:p w14:paraId="436129ED" w14:textId="546828D7" w:rsidR="00EE35E2" w:rsidRPr="004676F5" w:rsidRDefault="00BE0A56" w:rsidP="00EE35E2">
      <w:pPr>
        <w:ind w:firstLine="708"/>
        <w:jc w:val="both"/>
        <w:rPr>
          <w:lang w:val="de-DE"/>
        </w:rPr>
      </w:pPr>
      <w:r w:rsidRPr="004676F5">
        <w:rPr>
          <w:b/>
          <w:lang w:val="de-DE"/>
        </w:rPr>
        <w:t>Art. </w:t>
      </w:r>
      <w:r w:rsidR="00EE35E2" w:rsidRPr="004676F5">
        <w:rPr>
          <w:b/>
          <w:lang w:val="de-DE"/>
        </w:rPr>
        <w:t>XX.179</w:t>
      </w:r>
      <w:r w:rsidR="00EE35E2" w:rsidRPr="004676F5">
        <w:rPr>
          <w:lang w:val="de-DE"/>
        </w:rPr>
        <w:t> </w:t>
      </w:r>
      <w:r w:rsidR="005B7A5C" w:rsidRPr="004676F5">
        <w:rPr>
          <w:lang w:val="de-DE"/>
        </w:rPr>
        <w:t>- </w:t>
      </w:r>
      <w:r w:rsidR="00EE35E2" w:rsidRPr="004676F5">
        <w:rPr>
          <w:lang w:val="de-DE"/>
        </w:rPr>
        <w:t>Wenn der Inhaber von Verbindlichkeiten, die vom Konkursschuldner mit anderen Mitschuldnern gesamtschuldnerisch eingegangen worden sind oder für die eine Bürgschaft geleistet worden ist, vor dem Konkurs einen Vorschuss auf seine Forderung erhalten hat, wird er nur unter Abzug dieses Vorschusses in die Masse aufgenommen und behält er für den noch geschuldeten Betrag seine Rechte gegenüber den Mitschuldnern oder dem Bürgen.</w:t>
      </w:r>
    </w:p>
    <w:p w14:paraId="019254C6" w14:textId="77777777" w:rsidR="00EE35E2" w:rsidRPr="004676F5" w:rsidRDefault="00EE35E2" w:rsidP="00EE35E2">
      <w:pPr>
        <w:ind w:firstLine="708"/>
        <w:jc w:val="both"/>
        <w:rPr>
          <w:lang w:val="de-DE"/>
        </w:rPr>
      </w:pPr>
    </w:p>
    <w:p w14:paraId="65CAE414" w14:textId="77777777" w:rsidR="00567F8C" w:rsidRPr="004676F5" w:rsidRDefault="00567F8C" w:rsidP="00EE35E2">
      <w:pPr>
        <w:ind w:firstLine="708"/>
        <w:jc w:val="both"/>
        <w:rPr>
          <w:lang w:val="de-DE"/>
        </w:rPr>
      </w:pPr>
    </w:p>
    <w:p w14:paraId="339CBD4B" w14:textId="2E266D6F" w:rsidR="00EE35E2" w:rsidRPr="004676F5" w:rsidRDefault="00BE0A56" w:rsidP="00EE35E2">
      <w:pPr>
        <w:ind w:firstLine="708"/>
        <w:jc w:val="both"/>
        <w:rPr>
          <w:lang w:val="de-DE"/>
        </w:rPr>
      </w:pPr>
      <w:r w:rsidRPr="004676F5">
        <w:rPr>
          <w:b/>
          <w:lang w:val="de-DE"/>
        </w:rPr>
        <w:t>Art. </w:t>
      </w:r>
      <w:r w:rsidR="00EE35E2" w:rsidRPr="004676F5">
        <w:rPr>
          <w:b/>
          <w:lang w:val="de-DE"/>
        </w:rPr>
        <w:t>XX.180</w:t>
      </w:r>
      <w:r w:rsidR="00EE35E2" w:rsidRPr="004676F5">
        <w:rPr>
          <w:lang w:val="de-DE"/>
        </w:rPr>
        <w:t> </w:t>
      </w:r>
      <w:r w:rsidR="005B7A5C" w:rsidRPr="004676F5">
        <w:rPr>
          <w:lang w:val="de-DE"/>
        </w:rPr>
        <w:t>- </w:t>
      </w:r>
      <w:r w:rsidR="00EE35E2" w:rsidRPr="004676F5">
        <w:rPr>
          <w:lang w:val="de-DE"/>
        </w:rPr>
        <w:t>Der Mitschuldner oder der Bürge, der die Teilzahlung vorgenommen hat, erscheint in der Masse für alles, was er zur Entlastung des Konkursschuldners gezahlt hat.</w:t>
      </w:r>
    </w:p>
    <w:p w14:paraId="1F16A603" w14:textId="77777777" w:rsidR="00EE35E2" w:rsidRPr="004676F5" w:rsidRDefault="00EE35E2" w:rsidP="00EE35E2">
      <w:pPr>
        <w:jc w:val="both"/>
        <w:rPr>
          <w:lang w:val="de-DE"/>
        </w:rPr>
      </w:pPr>
    </w:p>
    <w:p w14:paraId="42EB8AAB" w14:textId="77777777" w:rsidR="00567F8C" w:rsidRPr="004676F5" w:rsidRDefault="00567F8C" w:rsidP="00EE35E2">
      <w:pPr>
        <w:jc w:val="both"/>
        <w:rPr>
          <w:lang w:val="de-DE"/>
        </w:rPr>
      </w:pPr>
    </w:p>
    <w:p w14:paraId="6133AA32" w14:textId="3F1B68DE" w:rsidR="00EE35E2" w:rsidRPr="004676F5" w:rsidRDefault="00EE35E2" w:rsidP="00EE35E2">
      <w:pPr>
        <w:jc w:val="center"/>
        <w:rPr>
          <w:lang w:val="de-DE"/>
        </w:rPr>
      </w:pPr>
      <w:r w:rsidRPr="004676F5">
        <w:rPr>
          <w:i/>
          <w:lang w:val="de-DE"/>
        </w:rPr>
        <w:t>Abschnitt 2 </w:t>
      </w:r>
      <w:r w:rsidR="005B7A5C" w:rsidRPr="004676F5">
        <w:rPr>
          <w:lang w:val="de-DE"/>
        </w:rPr>
        <w:t>- </w:t>
      </w:r>
      <w:r w:rsidRPr="004676F5">
        <w:rPr>
          <w:lang w:val="de-DE"/>
        </w:rPr>
        <w:t>Pfandgläubiger und Gläubiger mit Vorzugsrecht auf bewegliche Güter</w:t>
      </w:r>
    </w:p>
    <w:p w14:paraId="16152578" w14:textId="77777777" w:rsidR="00EE35E2" w:rsidRPr="004676F5" w:rsidRDefault="00EE35E2" w:rsidP="00EE35E2">
      <w:pPr>
        <w:jc w:val="both"/>
        <w:rPr>
          <w:lang w:val="de-DE"/>
        </w:rPr>
      </w:pPr>
    </w:p>
    <w:p w14:paraId="444B3640" w14:textId="77777777" w:rsidR="00567F8C" w:rsidRPr="004676F5" w:rsidRDefault="00567F8C" w:rsidP="00EE35E2">
      <w:pPr>
        <w:jc w:val="both"/>
        <w:rPr>
          <w:lang w:val="de-DE"/>
        </w:rPr>
      </w:pPr>
    </w:p>
    <w:p w14:paraId="146CFDEF" w14:textId="31A1721A" w:rsidR="00EE35E2" w:rsidRPr="004676F5" w:rsidRDefault="00BE0A56" w:rsidP="00EE35E2">
      <w:pPr>
        <w:ind w:firstLine="708"/>
        <w:jc w:val="both"/>
        <w:rPr>
          <w:lang w:val="de-DE"/>
        </w:rPr>
      </w:pPr>
      <w:r w:rsidRPr="004676F5">
        <w:rPr>
          <w:b/>
          <w:lang w:val="de-DE"/>
        </w:rPr>
        <w:t>Art. </w:t>
      </w:r>
      <w:r w:rsidR="00EE35E2" w:rsidRPr="004676F5">
        <w:rPr>
          <w:b/>
          <w:lang w:val="de-DE"/>
        </w:rPr>
        <w:t>XX.181</w:t>
      </w:r>
      <w:r w:rsidR="00EE35E2" w:rsidRPr="004676F5">
        <w:rPr>
          <w:lang w:val="de-DE"/>
        </w:rPr>
        <w:t> </w:t>
      </w:r>
      <w:r w:rsidR="005B7A5C" w:rsidRPr="004676F5">
        <w:rPr>
          <w:lang w:val="de-DE"/>
        </w:rPr>
        <w:t>- </w:t>
      </w:r>
      <w:r w:rsidR="00EE35E2" w:rsidRPr="004676F5">
        <w:rPr>
          <w:lang w:val="de-DE"/>
        </w:rPr>
        <w:t>Konkursverwalter können mit Ermächtigung des Konkursrichters jederzeit ein Pfand zugunsten der Konkursmasse einlösen, indem sie die Schuld begleichen.</w:t>
      </w:r>
    </w:p>
    <w:p w14:paraId="345674A5" w14:textId="77777777" w:rsidR="00EE35E2" w:rsidRPr="004676F5" w:rsidRDefault="00EE35E2" w:rsidP="00EE35E2">
      <w:pPr>
        <w:ind w:firstLine="708"/>
        <w:jc w:val="both"/>
        <w:rPr>
          <w:lang w:val="de-DE"/>
        </w:rPr>
      </w:pPr>
    </w:p>
    <w:p w14:paraId="73C5A7F8" w14:textId="77777777" w:rsidR="00567F8C" w:rsidRPr="004676F5" w:rsidRDefault="00567F8C" w:rsidP="00EE35E2">
      <w:pPr>
        <w:ind w:firstLine="708"/>
        <w:jc w:val="both"/>
        <w:rPr>
          <w:lang w:val="de-DE"/>
        </w:rPr>
      </w:pPr>
    </w:p>
    <w:p w14:paraId="00C9C09F" w14:textId="24149FF3" w:rsidR="00EE35E2" w:rsidRPr="004676F5" w:rsidRDefault="00BE0A56" w:rsidP="00EE35E2">
      <w:pPr>
        <w:ind w:firstLine="708"/>
        <w:jc w:val="both"/>
        <w:rPr>
          <w:lang w:val="de-DE"/>
        </w:rPr>
      </w:pPr>
      <w:r w:rsidRPr="004676F5">
        <w:rPr>
          <w:b/>
          <w:lang w:val="de-DE"/>
        </w:rPr>
        <w:t>Art. </w:t>
      </w:r>
      <w:r w:rsidR="00EE35E2" w:rsidRPr="004676F5">
        <w:rPr>
          <w:b/>
          <w:lang w:val="de-DE"/>
        </w:rPr>
        <w:t>XX.182</w:t>
      </w:r>
      <w:r w:rsidR="00EE35E2" w:rsidRPr="004676F5">
        <w:rPr>
          <w:lang w:val="de-DE"/>
        </w:rPr>
        <w:t> </w:t>
      </w:r>
      <w:r w:rsidR="005B7A5C" w:rsidRPr="004676F5">
        <w:rPr>
          <w:lang w:val="de-DE"/>
        </w:rPr>
        <w:t>- </w:t>
      </w:r>
      <w:r w:rsidR="00EE35E2" w:rsidRPr="004676F5">
        <w:rPr>
          <w:lang w:val="de-DE"/>
        </w:rPr>
        <w:t>Lösen die Konkursverwalter das Pfand nicht ein und verkauft der Gläubiger es zu einem Preis, der die Forderung überschreitet, wird der Überschuss von den Konkursverwaltern beigetrieben. Beträgt der Preis weniger als die Forderung, erscheint der Pfandgläubiger für den Restbetrag als nicht bevorrechtigter Gläubiger in der Masse.</w:t>
      </w:r>
    </w:p>
    <w:p w14:paraId="56EF3A0D" w14:textId="77777777" w:rsidR="00EE35E2" w:rsidRPr="004676F5" w:rsidRDefault="00EE35E2" w:rsidP="00EE35E2">
      <w:pPr>
        <w:ind w:firstLine="708"/>
        <w:jc w:val="both"/>
        <w:rPr>
          <w:lang w:val="de-DE"/>
        </w:rPr>
      </w:pPr>
    </w:p>
    <w:p w14:paraId="3292D798" w14:textId="77777777" w:rsidR="00567F8C" w:rsidRPr="004676F5" w:rsidRDefault="00567F8C" w:rsidP="00EE35E2">
      <w:pPr>
        <w:ind w:firstLine="708"/>
        <w:jc w:val="both"/>
        <w:rPr>
          <w:lang w:val="de-DE"/>
        </w:rPr>
      </w:pPr>
    </w:p>
    <w:p w14:paraId="4665C37A" w14:textId="7A7A9D61"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XX.183</w:t>
      </w:r>
      <w:r w:rsidR="00EE35E2" w:rsidRPr="004676F5">
        <w:rPr>
          <w:lang w:val="de-DE"/>
        </w:rPr>
        <w:t> </w:t>
      </w:r>
      <w:r w:rsidR="005B7A5C" w:rsidRPr="004676F5">
        <w:rPr>
          <w:lang w:val="de-DE"/>
        </w:rPr>
        <w:t>- </w:t>
      </w:r>
      <w:r w:rsidR="00EE35E2" w:rsidRPr="004676F5">
        <w:rPr>
          <w:lang w:val="de-DE"/>
        </w:rPr>
        <w:t>Für Arbeitnehmer, die in Artikel 1 des Gesetzes vom 12. April 1965 über den Schutz der Entlohnung der Arbeitnehmer erwähnt sind, werden die Entlohnung wie in Artikel 2 Absatz 1 dieses Gesetzes bestimmt und in der Entlohnung einbegriffene Entschädigungen, die denselben Personen wegen Beendigung ihres Arbeitsverhältnisses geschuldet werden, ob das Arbeitsverhältnis vor oder nach Konkurseröffnung geendet hat, unter die bevorrechtigten Forderungen aufgenommen mit demselben Rang und in Höhe derselben Beträge wie das Vorzugsrecht, das denselben Personen durch Artikel 19 Nr. 3</w:t>
      </w:r>
      <w:r w:rsidR="00EE35E2" w:rsidRPr="004676F5">
        <w:rPr>
          <w:i/>
          <w:lang w:val="de-DE"/>
        </w:rPr>
        <w:t>ter</w:t>
      </w:r>
      <w:r w:rsidR="00EE35E2" w:rsidRPr="004676F5">
        <w:rPr>
          <w:lang w:val="de-DE"/>
        </w:rPr>
        <w:t xml:space="preserve"> des Hypothekengesetzes vom 16. Dezember 1851 zuerkannt wird.</w:t>
      </w:r>
    </w:p>
    <w:p w14:paraId="4908F051" w14:textId="77777777" w:rsidR="00EE35E2" w:rsidRPr="004676F5" w:rsidRDefault="00EE35E2" w:rsidP="00EE35E2">
      <w:pPr>
        <w:jc w:val="both"/>
        <w:rPr>
          <w:lang w:val="de-DE"/>
        </w:rPr>
      </w:pPr>
    </w:p>
    <w:p w14:paraId="76F83AD3" w14:textId="77777777" w:rsidR="00567F8C" w:rsidRPr="004676F5" w:rsidRDefault="00567F8C" w:rsidP="00EE35E2">
      <w:pPr>
        <w:jc w:val="both"/>
        <w:rPr>
          <w:lang w:val="de-DE"/>
        </w:rPr>
      </w:pPr>
    </w:p>
    <w:p w14:paraId="2BF5A3F8" w14:textId="5AB76C6C" w:rsidR="00EE35E2" w:rsidRPr="004676F5" w:rsidRDefault="00EE35E2" w:rsidP="00EE35E2">
      <w:pPr>
        <w:jc w:val="center"/>
        <w:rPr>
          <w:lang w:val="de-DE"/>
        </w:rPr>
      </w:pPr>
      <w:r w:rsidRPr="004676F5">
        <w:rPr>
          <w:i/>
          <w:lang w:val="de-DE"/>
        </w:rPr>
        <w:t>Abschnitt 3 </w:t>
      </w:r>
      <w:r w:rsidR="005B7A5C" w:rsidRPr="004676F5">
        <w:rPr>
          <w:lang w:val="de-DE"/>
        </w:rPr>
        <w:t>- </w:t>
      </w:r>
      <w:r w:rsidRPr="004676F5">
        <w:rPr>
          <w:lang w:val="de-DE"/>
        </w:rPr>
        <w:t>Rechte der Hypothekengläubiger und der Gläubiger mit Vorzugsrecht auf unbewegliche Güter</w:t>
      </w:r>
    </w:p>
    <w:p w14:paraId="09A0298E" w14:textId="77777777" w:rsidR="00EE35E2" w:rsidRPr="004676F5" w:rsidRDefault="00EE35E2" w:rsidP="00EE35E2">
      <w:pPr>
        <w:jc w:val="both"/>
        <w:rPr>
          <w:lang w:val="de-DE"/>
        </w:rPr>
      </w:pPr>
    </w:p>
    <w:p w14:paraId="6066D27F" w14:textId="77777777" w:rsidR="00567F8C" w:rsidRPr="004676F5" w:rsidRDefault="00567F8C" w:rsidP="00EE35E2">
      <w:pPr>
        <w:jc w:val="both"/>
        <w:rPr>
          <w:lang w:val="de-DE"/>
        </w:rPr>
      </w:pPr>
    </w:p>
    <w:p w14:paraId="63A64EE4" w14:textId="7D4454FA" w:rsidR="00EE35E2" w:rsidRPr="004676F5" w:rsidRDefault="00BE0A56" w:rsidP="00EE35E2">
      <w:pPr>
        <w:ind w:firstLine="708"/>
        <w:jc w:val="both"/>
        <w:rPr>
          <w:lang w:val="de-DE"/>
        </w:rPr>
      </w:pPr>
      <w:r w:rsidRPr="004676F5">
        <w:rPr>
          <w:b/>
          <w:lang w:val="de-DE"/>
        </w:rPr>
        <w:t>Art. </w:t>
      </w:r>
      <w:r w:rsidR="00EE35E2" w:rsidRPr="004676F5">
        <w:rPr>
          <w:b/>
          <w:lang w:val="de-DE"/>
        </w:rPr>
        <w:t>XX.184</w:t>
      </w:r>
      <w:r w:rsidR="00EE35E2" w:rsidRPr="004676F5">
        <w:rPr>
          <w:lang w:val="de-DE"/>
        </w:rPr>
        <w:t> </w:t>
      </w:r>
      <w:r w:rsidR="005B7A5C" w:rsidRPr="004676F5">
        <w:rPr>
          <w:lang w:val="de-DE"/>
        </w:rPr>
        <w:t>- </w:t>
      </w:r>
      <w:r w:rsidR="00EE35E2" w:rsidRPr="004676F5">
        <w:rPr>
          <w:lang w:val="de-DE"/>
        </w:rPr>
        <w:t>Wenn die Verteilung des Preises der unbeweglichen Güter vor oder gleichzeitig mit der des Preises der beweglichen Güter erfolgt, treten bevorrechtigte Gläubiger oder Hypothekengläubiger, die aus dem Preis der unbeweglichen Güter nicht ganz befriedigt worden sind, nach Verhältnis dessen, was ihnen noch geschuldet wird, zusammen mit den nicht bevorrechtigten Gläubigern für die Gelder an, die der nicht bevorrechtigten Masse zukommen, sofern ihre Forderungen jedoch unter Einhaltung der weiter oben festgelegten Formen bestätigt und geprüft worden sind.</w:t>
      </w:r>
    </w:p>
    <w:p w14:paraId="7E2D6B39" w14:textId="77777777" w:rsidR="00EE35E2" w:rsidRPr="004676F5" w:rsidRDefault="00EE35E2" w:rsidP="00EE35E2">
      <w:pPr>
        <w:ind w:firstLine="708"/>
        <w:jc w:val="both"/>
        <w:rPr>
          <w:lang w:val="de-DE"/>
        </w:rPr>
      </w:pPr>
    </w:p>
    <w:p w14:paraId="2F776737" w14:textId="77777777" w:rsidR="00567F8C" w:rsidRPr="004676F5" w:rsidRDefault="00567F8C" w:rsidP="00EE35E2">
      <w:pPr>
        <w:ind w:firstLine="708"/>
        <w:jc w:val="both"/>
        <w:rPr>
          <w:lang w:val="de-DE"/>
        </w:rPr>
      </w:pPr>
    </w:p>
    <w:p w14:paraId="12BF660D" w14:textId="6FE5674F" w:rsidR="00EE35E2" w:rsidRPr="004676F5" w:rsidRDefault="00BE0A56" w:rsidP="00EE35E2">
      <w:pPr>
        <w:ind w:firstLine="708"/>
        <w:jc w:val="both"/>
        <w:rPr>
          <w:lang w:val="de-DE"/>
        </w:rPr>
      </w:pPr>
      <w:r w:rsidRPr="004676F5">
        <w:rPr>
          <w:b/>
          <w:lang w:val="de-DE"/>
        </w:rPr>
        <w:t>Art. </w:t>
      </w:r>
      <w:r w:rsidR="00EE35E2" w:rsidRPr="004676F5">
        <w:rPr>
          <w:b/>
          <w:lang w:val="de-DE"/>
        </w:rPr>
        <w:t>XX.185</w:t>
      </w:r>
      <w:r w:rsidR="00EE35E2" w:rsidRPr="004676F5">
        <w:rPr>
          <w:lang w:val="de-DE"/>
        </w:rPr>
        <w:t> </w:t>
      </w:r>
      <w:r w:rsidR="005B7A5C" w:rsidRPr="004676F5">
        <w:rPr>
          <w:lang w:val="de-DE"/>
        </w:rPr>
        <w:t>- </w:t>
      </w:r>
      <w:r w:rsidR="00EE35E2" w:rsidRPr="004676F5">
        <w:rPr>
          <w:lang w:val="de-DE"/>
        </w:rPr>
        <w:t>Wenn vor der Verteilung des Preises der unbeweglichen Güter eine oder mehrere Verteilungen von Geldern vorgenommen werden, nehmen Gläubiger mit Vorzugsrecht auf die unbeweglichen Güter und Hypothekengläubiger nach Verhältnis des Gesamtbetrags ihrer Forderung daran teil, unbeschadet der weiter unten beschriebenen Aussonderung.</w:t>
      </w:r>
    </w:p>
    <w:p w14:paraId="53BAB59F" w14:textId="77777777" w:rsidR="00EE35E2" w:rsidRPr="004676F5" w:rsidRDefault="00EE35E2" w:rsidP="00EE35E2">
      <w:pPr>
        <w:ind w:firstLine="708"/>
        <w:jc w:val="both"/>
        <w:rPr>
          <w:lang w:val="de-DE"/>
        </w:rPr>
      </w:pPr>
    </w:p>
    <w:p w14:paraId="3CD677BE" w14:textId="77777777" w:rsidR="00567F8C" w:rsidRPr="004676F5" w:rsidRDefault="00567F8C" w:rsidP="00EE35E2">
      <w:pPr>
        <w:ind w:firstLine="708"/>
        <w:jc w:val="both"/>
        <w:rPr>
          <w:lang w:val="de-DE"/>
        </w:rPr>
      </w:pPr>
    </w:p>
    <w:p w14:paraId="0ABC8BD8" w14:textId="33DA2FF9" w:rsidR="00EE35E2" w:rsidRPr="004676F5" w:rsidRDefault="00BE0A56" w:rsidP="00EE35E2">
      <w:pPr>
        <w:ind w:firstLine="708"/>
        <w:jc w:val="both"/>
        <w:rPr>
          <w:lang w:val="de-DE"/>
        </w:rPr>
      </w:pPr>
      <w:r w:rsidRPr="004676F5">
        <w:rPr>
          <w:b/>
          <w:lang w:val="de-DE"/>
        </w:rPr>
        <w:t>Art. </w:t>
      </w:r>
      <w:r w:rsidR="00EE35E2" w:rsidRPr="004676F5">
        <w:rPr>
          <w:b/>
          <w:lang w:val="de-DE"/>
        </w:rPr>
        <w:t>XX.186</w:t>
      </w:r>
      <w:r w:rsidR="00EE35E2" w:rsidRPr="004676F5">
        <w:rPr>
          <w:lang w:val="de-DE"/>
        </w:rPr>
        <w:t> </w:t>
      </w:r>
      <w:r w:rsidR="005B7A5C" w:rsidRPr="004676F5">
        <w:rPr>
          <w:lang w:val="de-DE"/>
        </w:rPr>
        <w:t>- </w:t>
      </w:r>
      <w:r w:rsidR="00EE35E2" w:rsidRPr="004676F5">
        <w:rPr>
          <w:lang w:val="de-DE"/>
        </w:rPr>
        <w:t>Nach Verkauf der unbeweglichen Güter und Festsetzung des Rangver</w:t>
      </w:r>
      <w:r w:rsidR="00EE35E2" w:rsidRPr="004676F5">
        <w:rPr>
          <w:lang w:val="de-DE"/>
        </w:rPr>
        <w:softHyphen/>
        <w:t>hältnisses zwischen Hypothekengläubigern und bevorrechtigten Gläubigern erhalten diejenigen von ihnen, die angesichts des Preises der unbeweglichen Güter für die Gesamtheit ihrer Forderung einen günstigen Rang haben, den ihnen als Hypothekengläubiger zukommenden Betrag nur unter Abzug der Beträge, die sie aus der nicht bevorrechtigten Masse erhalten haben.</w:t>
      </w:r>
    </w:p>
    <w:p w14:paraId="7E4D8C72" w14:textId="77777777" w:rsidR="00EE35E2" w:rsidRPr="004676F5" w:rsidRDefault="00EE35E2" w:rsidP="00EE35E2">
      <w:pPr>
        <w:ind w:firstLine="708"/>
        <w:jc w:val="both"/>
        <w:rPr>
          <w:lang w:val="de-DE"/>
        </w:rPr>
      </w:pPr>
    </w:p>
    <w:p w14:paraId="0011ED5A" w14:textId="77777777" w:rsidR="00EE35E2" w:rsidRPr="004676F5" w:rsidRDefault="00EE35E2" w:rsidP="00EE35E2">
      <w:pPr>
        <w:ind w:firstLine="708"/>
        <w:jc w:val="both"/>
        <w:rPr>
          <w:lang w:val="de-DE"/>
        </w:rPr>
      </w:pPr>
      <w:r w:rsidRPr="004676F5">
        <w:rPr>
          <w:lang w:val="de-DE"/>
        </w:rPr>
        <w:t>Auf diese Weise abgezogene Beträge bleiben nicht in der hypothekarisch gesicherten Masse, sondern werden ausgesondert und fallen in die nicht bevorrechtigte Masse zurück.</w:t>
      </w:r>
    </w:p>
    <w:p w14:paraId="4ACB3397" w14:textId="77777777" w:rsidR="00EE35E2" w:rsidRPr="004676F5" w:rsidRDefault="00EE35E2" w:rsidP="00EE35E2">
      <w:pPr>
        <w:ind w:firstLine="708"/>
        <w:jc w:val="both"/>
        <w:rPr>
          <w:lang w:val="de-DE"/>
        </w:rPr>
      </w:pPr>
    </w:p>
    <w:p w14:paraId="708713E7" w14:textId="77777777" w:rsidR="00567F8C" w:rsidRPr="004676F5" w:rsidRDefault="00567F8C" w:rsidP="00EE35E2">
      <w:pPr>
        <w:ind w:firstLine="708"/>
        <w:jc w:val="both"/>
        <w:rPr>
          <w:lang w:val="de-DE"/>
        </w:rPr>
      </w:pPr>
    </w:p>
    <w:p w14:paraId="0913698D" w14:textId="4AC5FBD3" w:rsidR="00EE35E2" w:rsidRPr="004676F5" w:rsidRDefault="00BE0A56" w:rsidP="00EE35E2">
      <w:pPr>
        <w:ind w:firstLine="708"/>
        <w:jc w:val="both"/>
        <w:rPr>
          <w:lang w:val="de-DE"/>
        </w:rPr>
      </w:pPr>
      <w:r w:rsidRPr="004676F5">
        <w:rPr>
          <w:b/>
          <w:lang w:val="de-DE"/>
        </w:rPr>
        <w:t>Art. </w:t>
      </w:r>
      <w:r w:rsidR="00EE35E2" w:rsidRPr="004676F5">
        <w:rPr>
          <w:b/>
          <w:lang w:val="de-DE"/>
        </w:rPr>
        <w:t>XX.187</w:t>
      </w:r>
      <w:r w:rsidR="00EE35E2" w:rsidRPr="004676F5">
        <w:rPr>
          <w:lang w:val="de-DE"/>
        </w:rPr>
        <w:t> </w:t>
      </w:r>
      <w:r w:rsidR="005B7A5C" w:rsidRPr="004676F5">
        <w:rPr>
          <w:lang w:val="de-DE"/>
        </w:rPr>
        <w:t>- </w:t>
      </w:r>
      <w:r w:rsidR="00EE35E2" w:rsidRPr="004676F5">
        <w:rPr>
          <w:lang w:val="de-DE"/>
        </w:rPr>
        <w:t>Rechte von Hypothekengläubigern, die bei der Verteilung des Preises der unbeweglichen Güter nur für einen Teil einen günstigen Rang haben, werden in der nicht bevorrechtigten Masse nach Verhältnis des Betrags, der ihnen nach Festsetzung des Rangverhältnisses in Bezug auf die unbeweglichen Güter noch geschuldet wird, endgültig festgelegt. Was sie bei früheren Verteilungen über den festgelegten Betrag hinaus erhalten haben, wird vom Betrag, der ihnen als Hypothekengläubiger zugeteilt wird, abgezogen und fließt zu der nicht bevorrechtigten Masse zurück.</w:t>
      </w:r>
    </w:p>
    <w:p w14:paraId="48C4F79A" w14:textId="77777777" w:rsidR="00EE35E2" w:rsidRPr="004676F5" w:rsidRDefault="00EE35E2" w:rsidP="00EE35E2">
      <w:pPr>
        <w:ind w:firstLine="708"/>
        <w:jc w:val="both"/>
        <w:rPr>
          <w:lang w:val="de-DE"/>
        </w:rPr>
      </w:pPr>
    </w:p>
    <w:p w14:paraId="475B9D52" w14:textId="77777777" w:rsidR="00567F8C" w:rsidRPr="004676F5" w:rsidRDefault="00567F8C" w:rsidP="00EE35E2">
      <w:pPr>
        <w:ind w:firstLine="708"/>
        <w:jc w:val="both"/>
        <w:rPr>
          <w:lang w:val="de-DE"/>
        </w:rPr>
      </w:pPr>
    </w:p>
    <w:p w14:paraId="20AF2C7B" w14:textId="388AC1F0"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XX.188</w:t>
      </w:r>
      <w:r w:rsidR="00EE35E2" w:rsidRPr="004676F5">
        <w:rPr>
          <w:lang w:val="de-DE"/>
        </w:rPr>
        <w:t> </w:t>
      </w:r>
      <w:r w:rsidR="005B7A5C" w:rsidRPr="004676F5">
        <w:rPr>
          <w:lang w:val="de-DE"/>
        </w:rPr>
        <w:t>- </w:t>
      </w:r>
      <w:r w:rsidR="00EE35E2" w:rsidRPr="004676F5">
        <w:rPr>
          <w:lang w:val="de-DE"/>
        </w:rPr>
        <w:t>Hypothekengläubiger, die keinen günstigen Rang haben, werden als nicht bevorrechtigte Gläubiger betrachtet und als solche behandelt, was die Folgen aller Verrich</w:t>
      </w:r>
      <w:r w:rsidR="00EE35E2" w:rsidRPr="004676F5">
        <w:rPr>
          <w:lang w:val="de-DE"/>
        </w:rPr>
        <w:softHyphen/>
        <w:t>tungen in Bezug auf die nicht bevorrechtigte Masse betrifft.</w:t>
      </w:r>
    </w:p>
    <w:p w14:paraId="7B4A2E6A" w14:textId="77777777" w:rsidR="00EE35E2" w:rsidRPr="004676F5" w:rsidRDefault="00EE35E2" w:rsidP="00EE35E2">
      <w:pPr>
        <w:jc w:val="both"/>
        <w:rPr>
          <w:lang w:val="de-DE"/>
        </w:rPr>
      </w:pPr>
    </w:p>
    <w:p w14:paraId="67E3A080" w14:textId="69A8312C" w:rsidR="00567F8C" w:rsidRPr="004676F5" w:rsidRDefault="00567F8C">
      <w:pPr>
        <w:rPr>
          <w:i/>
          <w:lang w:val="de-DE"/>
        </w:rPr>
      </w:pPr>
    </w:p>
    <w:p w14:paraId="2291426B" w14:textId="0E9A7B97" w:rsidR="00EE35E2" w:rsidRPr="004676F5" w:rsidRDefault="00EE35E2" w:rsidP="00EE35E2">
      <w:pPr>
        <w:jc w:val="center"/>
        <w:rPr>
          <w:lang w:val="de-DE"/>
        </w:rPr>
      </w:pPr>
      <w:r w:rsidRPr="004676F5">
        <w:rPr>
          <w:i/>
          <w:lang w:val="de-DE"/>
        </w:rPr>
        <w:t>Abschnitt 4 </w:t>
      </w:r>
      <w:r w:rsidR="005B7A5C" w:rsidRPr="004676F5">
        <w:rPr>
          <w:lang w:val="de-DE"/>
        </w:rPr>
        <w:t>- </w:t>
      </w:r>
      <w:r w:rsidRPr="004676F5">
        <w:rPr>
          <w:lang w:val="de-DE"/>
        </w:rPr>
        <w:t>Folgen des Konkurses eines der Ehepartner für den anderen</w:t>
      </w:r>
    </w:p>
    <w:p w14:paraId="39ADB646" w14:textId="77777777" w:rsidR="00EE35E2" w:rsidRPr="004676F5" w:rsidRDefault="00EE35E2" w:rsidP="00EE35E2">
      <w:pPr>
        <w:jc w:val="both"/>
        <w:rPr>
          <w:lang w:val="de-DE"/>
        </w:rPr>
      </w:pPr>
    </w:p>
    <w:p w14:paraId="58366622" w14:textId="77777777" w:rsidR="00567F8C" w:rsidRPr="004676F5" w:rsidRDefault="00567F8C" w:rsidP="00EE35E2">
      <w:pPr>
        <w:jc w:val="both"/>
        <w:rPr>
          <w:lang w:val="de-DE"/>
        </w:rPr>
      </w:pPr>
    </w:p>
    <w:p w14:paraId="39F903DD" w14:textId="30B54379" w:rsidR="00EE35E2" w:rsidRPr="004676F5" w:rsidRDefault="00BE0A56" w:rsidP="00EE35E2">
      <w:pPr>
        <w:ind w:firstLine="708"/>
        <w:jc w:val="both"/>
        <w:rPr>
          <w:lang w:val="de-DE"/>
        </w:rPr>
      </w:pPr>
      <w:r w:rsidRPr="004676F5">
        <w:rPr>
          <w:b/>
          <w:lang w:val="de-DE"/>
        </w:rPr>
        <w:t>Art. </w:t>
      </w:r>
      <w:r w:rsidR="00EE35E2" w:rsidRPr="004676F5">
        <w:rPr>
          <w:b/>
          <w:lang w:val="de-DE"/>
        </w:rPr>
        <w:t>XX.189</w:t>
      </w:r>
      <w:r w:rsidR="00EE35E2" w:rsidRPr="004676F5">
        <w:rPr>
          <w:lang w:val="de-DE"/>
        </w:rPr>
        <w:t> </w:t>
      </w:r>
      <w:r w:rsidR="005B7A5C" w:rsidRPr="004676F5">
        <w:rPr>
          <w:lang w:val="de-DE"/>
        </w:rPr>
        <w:t>- </w:t>
      </w:r>
      <w:r w:rsidR="00EE35E2" w:rsidRPr="004676F5">
        <w:rPr>
          <w:lang w:val="de-DE"/>
        </w:rPr>
        <w:t xml:space="preserve">Konkursverwalter können ohne das vorherige Einverständnis des Ehepartners eines Konkursschuldners oder die gerichtliche Ermächtigung, die </w:t>
      </w:r>
      <w:r w:rsidR="00891B45" w:rsidRPr="004676F5">
        <w:rPr>
          <w:lang w:val="de-DE"/>
        </w:rPr>
        <w:t>[in Artikel 215 § 1 des früheren Zivilgesetzbuches und den Artikeln 2.3.32 und 2.3.34 des Zivilgesetzbuches]</w:t>
      </w:r>
      <w:r w:rsidR="00EE35E2" w:rsidRPr="004676F5">
        <w:rPr>
          <w:lang w:val="de-DE"/>
        </w:rPr>
        <w:t xml:space="preserve"> vorgeschrieben sind, bewegliche und unbewegliche Güter sowohl aus dem Sondergut des in Konkurs geratenen Ehepartners als auch aus dem Gesamtgut verkaufen.</w:t>
      </w:r>
    </w:p>
    <w:p w14:paraId="4F523A6A" w14:textId="77777777" w:rsidR="00891B45" w:rsidRPr="004676F5" w:rsidRDefault="00891B45" w:rsidP="00891B45">
      <w:pPr>
        <w:jc w:val="both"/>
        <w:rPr>
          <w:lang w:val="de-DE"/>
        </w:rPr>
      </w:pPr>
    </w:p>
    <w:p w14:paraId="7AE81D18" w14:textId="14FD1C90" w:rsidR="00891B45" w:rsidRPr="004676F5" w:rsidRDefault="00891B45" w:rsidP="00891B45">
      <w:pPr>
        <w:jc w:val="both"/>
        <w:rPr>
          <w:i/>
          <w:iCs/>
          <w:lang w:val="de-DE"/>
        </w:rPr>
      </w:pPr>
      <w:r w:rsidRPr="004676F5">
        <w:rPr>
          <w:i/>
          <w:iCs/>
          <w:lang w:val="de-DE"/>
        </w:rPr>
        <w:t>[Art. XX.189 abgeändert durch Art. 237 des G. vom 7. Juni 2023 (B.S. vom 7. Juli 2023)]</w:t>
      </w:r>
    </w:p>
    <w:p w14:paraId="21160323" w14:textId="77777777" w:rsidR="00EE35E2" w:rsidRPr="004676F5" w:rsidRDefault="00EE35E2" w:rsidP="00EE35E2">
      <w:pPr>
        <w:ind w:firstLine="708"/>
        <w:jc w:val="both"/>
        <w:rPr>
          <w:lang w:val="de-DE"/>
        </w:rPr>
      </w:pPr>
    </w:p>
    <w:p w14:paraId="648324FD" w14:textId="77777777" w:rsidR="00567F8C" w:rsidRPr="004676F5" w:rsidRDefault="00567F8C" w:rsidP="00EE35E2">
      <w:pPr>
        <w:ind w:firstLine="708"/>
        <w:jc w:val="both"/>
        <w:rPr>
          <w:lang w:val="de-DE"/>
        </w:rPr>
      </w:pPr>
    </w:p>
    <w:p w14:paraId="162EDE7F" w14:textId="25688FF8" w:rsidR="00EE35E2" w:rsidRPr="004676F5" w:rsidRDefault="00BE0A56" w:rsidP="00EE35E2">
      <w:pPr>
        <w:ind w:firstLine="708"/>
        <w:jc w:val="both"/>
        <w:rPr>
          <w:lang w:val="de-DE"/>
        </w:rPr>
      </w:pPr>
      <w:r w:rsidRPr="004676F5">
        <w:rPr>
          <w:b/>
          <w:lang w:val="de-DE"/>
        </w:rPr>
        <w:t>Art. </w:t>
      </w:r>
      <w:r w:rsidR="00EE35E2" w:rsidRPr="004676F5">
        <w:rPr>
          <w:b/>
          <w:lang w:val="de-DE"/>
        </w:rPr>
        <w:t>XX.190</w:t>
      </w:r>
      <w:r w:rsidR="00EE35E2" w:rsidRPr="004676F5">
        <w:rPr>
          <w:lang w:val="de-DE"/>
        </w:rPr>
        <w:t> </w:t>
      </w:r>
      <w:r w:rsidR="005B7A5C" w:rsidRPr="004676F5">
        <w:rPr>
          <w:lang w:val="de-DE"/>
        </w:rPr>
        <w:t>- </w:t>
      </w:r>
      <w:r w:rsidR="00EE35E2" w:rsidRPr="004676F5">
        <w:rPr>
          <w:lang w:val="de-DE"/>
        </w:rPr>
        <w:t>Wird der eheliche Güterstand der Ehepartner nach Eröffnung und vor Abschluss des Konkursverfahrens aufgelöst, können sich weder der Ehepartner des Konkursschuldners noch die Konkursverwalter auf die im Ehevertrag bestimmten Vorteile berufen.</w:t>
      </w:r>
    </w:p>
    <w:p w14:paraId="1F1A66C9" w14:textId="77777777" w:rsidR="00EE35E2" w:rsidRPr="004676F5" w:rsidRDefault="00EE35E2" w:rsidP="00EE35E2">
      <w:pPr>
        <w:ind w:firstLine="708"/>
        <w:jc w:val="both"/>
        <w:rPr>
          <w:lang w:val="de-DE"/>
        </w:rPr>
      </w:pPr>
    </w:p>
    <w:p w14:paraId="52E5ECC8" w14:textId="77777777" w:rsidR="00EE35E2" w:rsidRPr="004676F5" w:rsidRDefault="00EE35E2" w:rsidP="00EE35E2">
      <w:pPr>
        <w:ind w:firstLine="708"/>
        <w:jc w:val="both"/>
        <w:rPr>
          <w:lang w:val="de-DE"/>
        </w:rPr>
      </w:pPr>
      <w:r w:rsidRPr="004676F5">
        <w:rPr>
          <w:lang w:val="de-DE"/>
        </w:rPr>
        <w:t>Vom Konkursschuldner bei der Ausübung seiner beruflichen Tätigkeit eingegangene gemeinsame Schulden, die durch die Konkursliquidation nicht beglichen worden sind, können nicht auf das Sondergut des Ehepartners des Konkursschuldners beigetrieben werden.</w:t>
      </w:r>
    </w:p>
    <w:p w14:paraId="59B9A499" w14:textId="77777777" w:rsidR="00EE35E2" w:rsidRPr="004676F5" w:rsidRDefault="00EE35E2" w:rsidP="00EE35E2">
      <w:pPr>
        <w:jc w:val="both"/>
        <w:rPr>
          <w:lang w:val="de-DE"/>
        </w:rPr>
      </w:pPr>
    </w:p>
    <w:p w14:paraId="41EC69A8" w14:textId="77777777" w:rsidR="00567F8C" w:rsidRPr="004676F5" w:rsidRDefault="00567F8C" w:rsidP="00EE35E2">
      <w:pPr>
        <w:jc w:val="both"/>
        <w:rPr>
          <w:lang w:val="de-DE"/>
        </w:rPr>
      </w:pPr>
    </w:p>
    <w:p w14:paraId="259E3756" w14:textId="291D3025" w:rsidR="00EE35E2" w:rsidRPr="004676F5" w:rsidRDefault="00EE35E2" w:rsidP="00EE35E2">
      <w:pPr>
        <w:jc w:val="center"/>
        <w:rPr>
          <w:lang w:val="de-DE"/>
        </w:rPr>
      </w:pPr>
      <w:r w:rsidRPr="004676F5">
        <w:rPr>
          <w:i/>
          <w:lang w:val="de-DE"/>
        </w:rPr>
        <w:t>Abschnitt 5 </w:t>
      </w:r>
      <w:r w:rsidR="005B7A5C" w:rsidRPr="004676F5">
        <w:rPr>
          <w:lang w:val="de-DE"/>
        </w:rPr>
        <w:t>- </w:t>
      </w:r>
      <w:r w:rsidRPr="004676F5">
        <w:rPr>
          <w:lang w:val="de-DE"/>
        </w:rPr>
        <w:t>Auswirkungen des Konkurses auf die Haftung Dritter in Bezug auf die Finanzierung einer neuen Tätigkeit</w:t>
      </w:r>
    </w:p>
    <w:p w14:paraId="41BDA7E6" w14:textId="77777777" w:rsidR="00EE35E2" w:rsidRPr="004676F5" w:rsidRDefault="00EE35E2" w:rsidP="00EE35E2">
      <w:pPr>
        <w:jc w:val="both"/>
        <w:rPr>
          <w:lang w:val="de-DE"/>
        </w:rPr>
      </w:pPr>
    </w:p>
    <w:p w14:paraId="23DEEB3D" w14:textId="77777777" w:rsidR="00567F8C" w:rsidRPr="004676F5" w:rsidRDefault="00567F8C" w:rsidP="00EE35E2">
      <w:pPr>
        <w:jc w:val="both"/>
        <w:rPr>
          <w:lang w:val="de-DE"/>
        </w:rPr>
      </w:pPr>
    </w:p>
    <w:p w14:paraId="39F33DFB" w14:textId="500ADDBC" w:rsidR="00EE35E2" w:rsidRPr="004676F5" w:rsidRDefault="00BE0A56" w:rsidP="00EE35E2">
      <w:pPr>
        <w:ind w:firstLine="708"/>
        <w:jc w:val="both"/>
        <w:rPr>
          <w:lang w:val="de-DE"/>
        </w:rPr>
      </w:pPr>
      <w:r w:rsidRPr="004676F5">
        <w:rPr>
          <w:b/>
          <w:lang w:val="de-DE"/>
        </w:rPr>
        <w:t>Art. </w:t>
      </w:r>
      <w:r w:rsidR="00EE35E2" w:rsidRPr="004676F5">
        <w:rPr>
          <w:b/>
          <w:lang w:val="de-DE"/>
        </w:rPr>
        <w:t>XX.191</w:t>
      </w:r>
      <w:r w:rsidR="00EE35E2" w:rsidRPr="004676F5">
        <w:rPr>
          <w:lang w:val="de-DE"/>
        </w:rPr>
        <w:t> </w:t>
      </w:r>
      <w:r w:rsidR="005B7A5C" w:rsidRPr="004676F5">
        <w:rPr>
          <w:lang w:val="de-DE"/>
        </w:rPr>
        <w:t>- </w:t>
      </w:r>
      <w:r w:rsidR="00EE35E2" w:rsidRPr="004676F5">
        <w:rPr>
          <w:lang w:val="de-DE"/>
        </w:rPr>
        <w:t>Der Konkurs einer natürlichen oder juristischen Person kann für sich allein keine Grundlage für eine Haftpflichtklage darstellen, die gegen einen Kreditgeber oder einen Anleger erhoben wird, der einen Kredit für eine neue Tätigkeit gewährt oder in eine neue Tätigkeit investiert hat, die der Konkursschuldner oder ein Geschäftsführer, Verwalter oder Leiter der in Konkurs geratenen juristischen Person entfaltet, ungeachtet der Form, unter der diese neue Tätigkeit ausgeübt wird.</w:t>
      </w:r>
    </w:p>
    <w:p w14:paraId="439D9036" w14:textId="77777777" w:rsidR="00EE35E2" w:rsidRPr="004676F5" w:rsidRDefault="00EE35E2" w:rsidP="00EE35E2">
      <w:pPr>
        <w:ind w:firstLine="708"/>
        <w:jc w:val="both"/>
        <w:rPr>
          <w:lang w:val="de-DE"/>
        </w:rPr>
      </w:pPr>
    </w:p>
    <w:p w14:paraId="0EB25325" w14:textId="77777777" w:rsidR="00567F8C" w:rsidRPr="004676F5" w:rsidRDefault="00567F8C">
      <w:pPr>
        <w:rPr>
          <w:lang w:val="de-DE"/>
        </w:rPr>
      </w:pPr>
      <w:r w:rsidRPr="004676F5">
        <w:rPr>
          <w:lang w:val="de-DE"/>
        </w:rPr>
        <w:br w:type="page"/>
      </w:r>
    </w:p>
    <w:p w14:paraId="6A2C58A7" w14:textId="4F0F7496" w:rsidR="00EE35E2" w:rsidRPr="004676F5" w:rsidRDefault="00EE35E2" w:rsidP="00EE35E2">
      <w:pPr>
        <w:jc w:val="center"/>
        <w:rPr>
          <w:lang w:val="de-DE"/>
        </w:rPr>
      </w:pPr>
      <w:r w:rsidRPr="004676F5">
        <w:rPr>
          <w:lang w:val="de-DE"/>
        </w:rPr>
        <w:lastRenderedPageBreak/>
        <w:t>KAPITEL 8 </w:t>
      </w:r>
      <w:r w:rsidR="005B7A5C" w:rsidRPr="004676F5">
        <w:rPr>
          <w:lang w:val="de-DE"/>
        </w:rPr>
        <w:t>- </w:t>
      </w:r>
      <w:r w:rsidRPr="004676F5">
        <w:rPr>
          <w:i/>
          <w:lang w:val="de-DE"/>
        </w:rPr>
        <w:t>Verteilung unter die Gläubiger</w:t>
      </w:r>
    </w:p>
    <w:p w14:paraId="4251F0EF" w14:textId="77777777" w:rsidR="00EE35E2" w:rsidRPr="004676F5" w:rsidRDefault="00EE35E2" w:rsidP="00EE35E2">
      <w:pPr>
        <w:jc w:val="both"/>
        <w:rPr>
          <w:lang w:val="de-DE"/>
        </w:rPr>
      </w:pPr>
    </w:p>
    <w:p w14:paraId="5C94DABD" w14:textId="77777777" w:rsidR="00567F8C" w:rsidRPr="004676F5" w:rsidRDefault="00567F8C" w:rsidP="00EE35E2">
      <w:pPr>
        <w:jc w:val="both"/>
        <w:rPr>
          <w:lang w:val="de-DE"/>
        </w:rPr>
      </w:pPr>
    </w:p>
    <w:p w14:paraId="55985D4D" w14:textId="3EC27451" w:rsidR="00EE35E2" w:rsidRPr="004676F5" w:rsidRDefault="00BE0A56" w:rsidP="00EE35E2">
      <w:pPr>
        <w:ind w:firstLine="708"/>
        <w:jc w:val="both"/>
        <w:rPr>
          <w:lang w:val="de-DE"/>
        </w:rPr>
      </w:pPr>
      <w:r w:rsidRPr="004676F5">
        <w:rPr>
          <w:b/>
          <w:lang w:val="de-DE"/>
        </w:rPr>
        <w:t>Art. </w:t>
      </w:r>
      <w:r w:rsidR="00EE35E2" w:rsidRPr="004676F5">
        <w:rPr>
          <w:b/>
          <w:lang w:val="de-DE"/>
        </w:rPr>
        <w:t>XX.192</w:t>
      </w:r>
      <w:r w:rsidR="00EE35E2" w:rsidRPr="004676F5">
        <w:rPr>
          <w:lang w:val="de-DE"/>
        </w:rPr>
        <w:t> </w:t>
      </w:r>
      <w:r w:rsidR="005B7A5C" w:rsidRPr="004676F5">
        <w:rPr>
          <w:lang w:val="de-DE"/>
        </w:rPr>
        <w:t>- </w:t>
      </w:r>
      <w:r w:rsidR="00EE35E2" w:rsidRPr="004676F5">
        <w:rPr>
          <w:lang w:val="de-DE"/>
        </w:rPr>
        <w:t>Der Betrag der Aktiva des Konkursschuldners abzüglich der Kosten und Ausgaben der Konkursverwaltung, des dem Konkursschuldner und seiner Familie gewährten Lebensunterhalts und der den bevorrechtigten Gläubigern gezahlten Beträge wird unter alle Gläubiger nach Verhältnis ihrer Forderungen verteilt.</w:t>
      </w:r>
    </w:p>
    <w:p w14:paraId="5140283E" w14:textId="77777777" w:rsidR="00EE35E2" w:rsidRPr="004676F5" w:rsidRDefault="00EE35E2" w:rsidP="00EE35E2">
      <w:pPr>
        <w:jc w:val="both"/>
        <w:rPr>
          <w:lang w:val="de-DE"/>
        </w:rPr>
      </w:pPr>
    </w:p>
    <w:p w14:paraId="2554A120" w14:textId="77777777" w:rsidR="00567F8C" w:rsidRPr="004676F5" w:rsidRDefault="00567F8C">
      <w:pPr>
        <w:rPr>
          <w:lang w:val="de-DE"/>
        </w:rPr>
      </w:pPr>
      <w:r w:rsidRPr="004676F5">
        <w:rPr>
          <w:lang w:val="de-DE"/>
        </w:rPr>
        <w:br w:type="page"/>
      </w:r>
    </w:p>
    <w:p w14:paraId="3AB610DB" w14:textId="0A2129DB" w:rsidR="00EE35E2" w:rsidRPr="004676F5" w:rsidRDefault="00EE35E2" w:rsidP="00EE35E2">
      <w:pPr>
        <w:jc w:val="center"/>
        <w:rPr>
          <w:lang w:val="de-DE"/>
        </w:rPr>
      </w:pPr>
      <w:r w:rsidRPr="004676F5">
        <w:rPr>
          <w:lang w:val="de-DE"/>
        </w:rPr>
        <w:lastRenderedPageBreak/>
        <w:t>KAPITEL 9 </w:t>
      </w:r>
      <w:r w:rsidR="005B7A5C" w:rsidRPr="004676F5">
        <w:rPr>
          <w:lang w:val="de-DE"/>
        </w:rPr>
        <w:t>- </w:t>
      </w:r>
      <w:r w:rsidRPr="004676F5">
        <w:rPr>
          <w:i/>
          <w:lang w:val="de-DE"/>
        </w:rPr>
        <w:t>Verkauf der unbeweglichen Güter des Konkursschuldners</w:t>
      </w:r>
    </w:p>
    <w:p w14:paraId="75B17F4A" w14:textId="77777777" w:rsidR="00EE35E2" w:rsidRPr="004676F5" w:rsidRDefault="00EE35E2" w:rsidP="00EE35E2">
      <w:pPr>
        <w:jc w:val="both"/>
        <w:rPr>
          <w:lang w:val="de-DE"/>
        </w:rPr>
      </w:pPr>
    </w:p>
    <w:p w14:paraId="356D4301" w14:textId="77777777" w:rsidR="00567F8C" w:rsidRPr="004676F5" w:rsidRDefault="00567F8C" w:rsidP="00EE35E2">
      <w:pPr>
        <w:jc w:val="both"/>
        <w:rPr>
          <w:lang w:val="de-DE"/>
        </w:rPr>
      </w:pPr>
    </w:p>
    <w:p w14:paraId="3BB0406D" w14:textId="70BEE749" w:rsidR="00EE35E2" w:rsidRPr="004676F5" w:rsidRDefault="00BE0A56" w:rsidP="00EE35E2">
      <w:pPr>
        <w:ind w:firstLine="708"/>
        <w:jc w:val="both"/>
        <w:rPr>
          <w:lang w:val="de-DE"/>
        </w:rPr>
      </w:pPr>
      <w:r w:rsidRPr="004676F5">
        <w:rPr>
          <w:b/>
          <w:lang w:val="de-DE"/>
        </w:rPr>
        <w:t>Art. </w:t>
      </w:r>
      <w:r w:rsidR="00EE35E2" w:rsidRPr="004676F5">
        <w:rPr>
          <w:b/>
          <w:lang w:val="de-DE"/>
        </w:rPr>
        <w:t>XX.193</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Unbeschadet des Artikels XX.120 sind einzig die Konkursverwalter befugt, den Verkauf von unbeweglichen Gütern vorzunehmen. Der Konkursrichter ordnet den Verkauf auf Antrag der Konkursverwalter an. Ordnet der Konkursrichter einen öffentlichen oder freihändigen Verkauf an</w:t>
      </w:r>
      <w:r w:rsidR="00D35125" w:rsidRPr="004676F5">
        <w:rPr>
          <w:lang w:val="de-DE"/>
        </w:rPr>
        <w:t xml:space="preserve"> [oder erlaubt er einen solchen Verkauf]</w:t>
      </w:r>
      <w:r w:rsidR="00EE35E2" w:rsidRPr="004676F5">
        <w:rPr>
          <w:lang w:val="de-DE"/>
        </w:rPr>
        <w:t>, erfolgt dieser gemäß den Artikeln 1190 bis 1193</w:t>
      </w:r>
      <w:r w:rsidR="00EE35E2" w:rsidRPr="004676F5">
        <w:rPr>
          <w:i/>
          <w:lang w:val="de-DE"/>
        </w:rPr>
        <w:t>ter</w:t>
      </w:r>
      <w:r w:rsidR="00EE35E2" w:rsidRPr="004676F5">
        <w:rPr>
          <w:lang w:val="de-DE"/>
        </w:rPr>
        <w:t xml:space="preserve"> des Gerichtsgesetzbuches.</w:t>
      </w:r>
    </w:p>
    <w:p w14:paraId="73A45EE0" w14:textId="77777777" w:rsidR="00EE35E2" w:rsidRPr="004676F5" w:rsidRDefault="00EE35E2" w:rsidP="00EE35E2">
      <w:pPr>
        <w:ind w:firstLine="708"/>
        <w:jc w:val="both"/>
        <w:rPr>
          <w:lang w:val="de-DE"/>
        </w:rPr>
      </w:pPr>
    </w:p>
    <w:p w14:paraId="03D8A9F2" w14:textId="77777777" w:rsidR="00EE35E2" w:rsidRPr="004676F5" w:rsidRDefault="00EE35E2" w:rsidP="00EE35E2">
      <w:pPr>
        <w:ind w:firstLine="708"/>
        <w:jc w:val="both"/>
        <w:rPr>
          <w:lang w:val="de-DE"/>
        </w:rPr>
      </w:pPr>
      <w:r w:rsidRPr="004676F5">
        <w:rPr>
          <w:lang w:val="de-DE"/>
        </w:rPr>
        <w:t>Die vorhergehenden Bestimmungen sind nicht anwendbar auf den ersteingetragenen Hypothekengläubiger; dieser kann unbeschadet des Artikels XX.120 nach Hinterlegung des ersten Protokolls über die Prüfung der Forderungen das hypothekarisch belastete Gut gemäß den Bestimmungen der Artikel 1560 bis 1626 des Gerichtsgesetzbuches verkaufen lassen.</w:t>
      </w:r>
    </w:p>
    <w:p w14:paraId="29FC520D" w14:textId="77777777" w:rsidR="00EE35E2" w:rsidRPr="004676F5" w:rsidRDefault="00EE35E2" w:rsidP="00EE35E2">
      <w:pPr>
        <w:ind w:firstLine="708"/>
        <w:jc w:val="both"/>
        <w:rPr>
          <w:lang w:val="de-DE"/>
        </w:rPr>
      </w:pPr>
    </w:p>
    <w:p w14:paraId="4FE48BD9" w14:textId="5353BAAA"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Gehören unbewegliche Güter in Miteigentum dem Konkursschuldner und anderen Personen, kann </w:t>
      </w:r>
      <w:r w:rsidR="00891B45" w:rsidRPr="004676F5">
        <w:rPr>
          <w:lang w:val="de-DE"/>
        </w:rPr>
        <w:t>[das Gericht]</w:t>
      </w:r>
      <w:r w:rsidRPr="004676F5">
        <w:rPr>
          <w:lang w:val="de-DE"/>
        </w:rPr>
        <w:t xml:space="preserve"> auf Antrag der Konkursverwalter den Verkauf der ungeteilten unbeweglichen Güter anordnen. Eingetragene Hypothekengläubiger,</w:t>
      </w:r>
      <w:r w:rsidR="002B6448" w:rsidRPr="004676F5">
        <w:rPr>
          <w:lang w:val="de-DE"/>
        </w:rPr>
        <w:t xml:space="preserve"> </w:t>
      </w:r>
      <w:r w:rsidR="00EF0C8D" w:rsidRPr="004676F5">
        <w:rPr>
          <w:lang w:val="de-DE"/>
        </w:rPr>
        <w:t>[eingetragene bevorrechtigte Gläubiger, gegebenenfalls im Pfandregister registrierte Gläubiger,]</w:t>
      </w:r>
      <w:r w:rsidRPr="004676F5">
        <w:rPr>
          <w:lang w:val="de-DE"/>
        </w:rPr>
        <w:t xml:space="preserve"> Gläubiger, die einen Zahlungsbefehl oder eine Pfändungsurkunde haben übertragen lassen, </w:t>
      </w:r>
      <w:r w:rsidR="0043261D" w:rsidRPr="004676F5">
        <w:rPr>
          <w:lang w:val="de-DE"/>
        </w:rPr>
        <w:t>[und diejenigen, die einen Randvermerk einer aufgrund von Artikel 5.243 des Zivilgesetzbuches erhobenen Klage haben machen lassen, sowie der Konkursschuldner]</w:t>
      </w:r>
      <w:r w:rsidRPr="004676F5">
        <w:rPr>
          <w:lang w:val="de-DE"/>
        </w:rPr>
        <w:t xml:space="preserve"> und die anderen Miteigentümer müssen mindestens acht Tage vor der Sitzung per Gerichtsbrief zu dem Ermächtigungsverfahren vorgeladen werden. In diesem Fall erfolgt der Verkauf auf Antrag des Konkursverwalters allein.</w:t>
      </w:r>
    </w:p>
    <w:p w14:paraId="0DD5D67B" w14:textId="77777777" w:rsidR="00EE35E2" w:rsidRPr="004676F5" w:rsidRDefault="00EE35E2" w:rsidP="00EE35E2">
      <w:pPr>
        <w:ind w:firstLine="708"/>
        <w:jc w:val="both"/>
        <w:rPr>
          <w:lang w:val="de-DE"/>
        </w:rPr>
      </w:pPr>
    </w:p>
    <w:p w14:paraId="5F91ED92" w14:textId="3F64D1F6" w:rsidR="00EE35E2" w:rsidRPr="004676F5" w:rsidRDefault="00EE35E2" w:rsidP="00EE35E2">
      <w:pPr>
        <w:ind w:firstLine="708"/>
        <w:jc w:val="both"/>
        <w:rPr>
          <w:lang w:val="de-DE"/>
        </w:rPr>
      </w:pPr>
      <w:r w:rsidRPr="004676F5">
        <w:rPr>
          <w:lang w:val="de-DE"/>
        </w:rPr>
        <w:t xml:space="preserve">Bei Einverständnis aller Miteigentümer in Bezug auf den Verkauf des ungeteilten unbeweglichen Guts kann </w:t>
      </w:r>
      <w:r w:rsidR="00891B45" w:rsidRPr="004676F5">
        <w:rPr>
          <w:lang w:val="de-DE"/>
        </w:rPr>
        <w:t xml:space="preserve">[das Gericht] </w:t>
      </w:r>
      <w:r w:rsidRPr="004676F5">
        <w:rPr>
          <w:lang w:val="de-DE"/>
        </w:rPr>
        <w:t xml:space="preserve">auf gemeinsamen Antrag des Konkursverwalters und der anderen Miteigentümer diesen Verkauf anordnen, nachdem die eingetragenen Hypothekengläubiger, </w:t>
      </w:r>
      <w:r w:rsidR="0043261D" w:rsidRPr="004676F5">
        <w:rPr>
          <w:lang w:val="de-DE"/>
        </w:rPr>
        <w:t>[die eingetragenen bevorrechtigten Gläubiger, gegebenenfalls die im Pfandregister registrierten Gläubiger,]</w:t>
      </w:r>
      <w:r w:rsidRPr="004676F5">
        <w:rPr>
          <w:lang w:val="de-DE"/>
        </w:rPr>
        <w:t xml:space="preserve"> die Gläubiger, die einen Zahlungsbefehl oder eine Pfändungsurkunde haben übertragen lassen, </w:t>
      </w:r>
      <w:r w:rsidR="0043261D" w:rsidRPr="004676F5">
        <w:rPr>
          <w:lang w:val="de-DE"/>
        </w:rPr>
        <w:t xml:space="preserve">[und diejenigen, die einen Randvermerk einer aufgrund von Artikel 5.243 des Zivilgesetzbuches erhobenen Klage haben machen lassen, sowie der Konkursschuldner] </w:t>
      </w:r>
      <w:r w:rsidRPr="004676F5">
        <w:rPr>
          <w:lang w:val="de-DE"/>
        </w:rPr>
        <w:t xml:space="preserve">mindestens acht Tage vor der Sitzung per Gerichtsbrief </w:t>
      </w:r>
      <w:r w:rsidR="00E450ED" w:rsidRPr="004676F5">
        <w:rPr>
          <w:lang w:val="de-DE"/>
        </w:rPr>
        <w:t xml:space="preserve">zu dem Ermächtigungsverfahren </w:t>
      </w:r>
      <w:r w:rsidRPr="004676F5">
        <w:rPr>
          <w:lang w:val="de-DE"/>
        </w:rPr>
        <w:t>vorgeladen worden sind.</w:t>
      </w:r>
    </w:p>
    <w:p w14:paraId="7C53DF6A" w14:textId="77777777" w:rsidR="00EE35E2" w:rsidRPr="004676F5" w:rsidRDefault="00EE35E2" w:rsidP="00EE35E2">
      <w:pPr>
        <w:ind w:firstLine="708"/>
        <w:jc w:val="both"/>
        <w:rPr>
          <w:lang w:val="de-DE"/>
        </w:rPr>
      </w:pPr>
    </w:p>
    <w:p w14:paraId="38AEDC7F" w14:textId="11F04086"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Im Beschluss wird die Identität der ordnungsgemäß zum Verfahren vorgeladenen Gläubiger und Miteigentümer vermerkt.</w:t>
      </w:r>
    </w:p>
    <w:p w14:paraId="16A89E6B" w14:textId="5DD21EE6" w:rsidR="00D35125" w:rsidRPr="004676F5" w:rsidRDefault="00D35125" w:rsidP="00EE35E2">
      <w:pPr>
        <w:ind w:firstLine="708"/>
        <w:jc w:val="both"/>
        <w:rPr>
          <w:lang w:val="de-DE"/>
        </w:rPr>
      </w:pPr>
    </w:p>
    <w:p w14:paraId="60F847F4" w14:textId="42DD7F18" w:rsidR="00D35125" w:rsidRPr="004676F5" w:rsidRDefault="00D35125" w:rsidP="00D35125">
      <w:pPr>
        <w:jc w:val="both"/>
        <w:rPr>
          <w:i/>
          <w:lang w:val="de-DE"/>
        </w:rPr>
      </w:pPr>
      <w:r w:rsidRPr="004676F5">
        <w:rPr>
          <w:i/>
          <w:lang w:val="de-DE"/>
        </w:rPr>
        <w:t>[Art. </w:t>
      </w:r>
      <w:r w:rsidR="00E450ED" w:rsidRPr="004676F5">
        <w:rPr>
          <w:i/>
          <w:lang w:val="de-DE"/>
        </w:rPr>
        <w:t>XX.</w:t>
      </w:r>
      <w:r w:rsidRPr="004676F5">
        <w:rPr>
          <w:i/>
          <w:lang w:val="de-DE"/>
        </w:rPr>
        <w:t>193 § 1 Abs. 1 abgeändert durch Art. 242 des G. vom 15. April 2018 (B.S. vom 27. April 2018)</w:t>
      </w:r>
      <w:r w:rsidR="00891B45" w:rsidRPr="004676F5">
        <w:rPr>
          <w:i/>
          <w:lang w:val="de-DE"/>
        </w:rPr>
        <w:t>; § 2 Abs. 1 abgeändert durch Art. 238 Nr. 1</w:t>
      </w:r>
      <w:r w:rsidR="00891B45" w:rsidRPr="004676F5">
        <w:rPr>
          <w:i/>
          <w:iCs/>
          <w:lang w:val="de-DE"/>
        </w:rPr>
        <w:t xml:space="preserve"> des G. vom 7. Juni 2023 (B.S. vom 7. Juli 2023)</w:t>
      </w:r>
      <w:r w:rsidR="004D76E8" w:rsidRPr="004676F5">
        <w:rPr>
          <w:i/>
          <w:iCs/>
          <w:lang w:val="de-DE"/>
        </w:rPr>
        <w:t xml:space="preserve"> und Art. 81 Nr. 1 und 2 des G. vom 19. Dezember 2023 (B.S. vom 27. Dezember 2023)</w:t>
      </w:r>
      <w:r w:rsidR="00891B45" w:rsidRPr="004676F5">
        <w:rPr>
          <w:i/>
          <w:iCs/>
          <w:lang w:val="de-DE"/>
        </w:rPr>
        <w:t>; § 2 Abs. 2 abgeändert durch Art. 238 Nr. 2 des G. vom 7. Juni 2023 (B.S. vom 7. Juli 2023)</w:t>
      </w:r>
      <w:r w:rsidR="004D76E8" w:rsidRPr="004676F5">
        <w:rPr>
          <w:i/>
          <w:iCs/>
          <w:lang w:val="de-DE"/>
        </w:rPr>
        <w:t xml:space="preserve"> und Art. 81 Nr. 3 und 4 des G. vom 19. Dezember 2023 (B.S. vom 27. Dezember 2023)</w:t>
      </w:r>
      <w:r w:rsidRPr="004676F5">
        <w:rPr>
          <w:i/>
          <w:lang w:val="de-DE"/>
        </w:rPr>
        <w:t>]</w:t>
      </w:r>
    </w:p>
    <w:p w14:paraId="274DB8B3" w14:textId="77777777" w:rsidR="00EE35E2" w:rsidRPr="004676F5" w:rsidRDefault="00EE35E2" w:rsidP="00EE35E2">
      <w:pPr>
        <w:jc w:val="both"/>
        <w:rPr>
          <w:lang w:val="de-DE"/>
        </w:rPr>
      </w:pPr>
    </w:p>
    <w:p w14:paraId="6BB36638" w14:textId="77777777" w:rsidR="00567F8C" w:rsidRPr="004676F5" w:rsidRDefault="00567F8C">
      <w:pPr>
        <w:rPr>
          <w:lang w:val="de-DE"/>
        </w:rPr>
      </w:pPr>
      <w:r w:rsidRPr="004676F5">
        <w:rPr>
          <w:lang w:val="de-DE"/>
        </w:rPr>
        <w:br w:type="page"/>
      </w:r>
    </w:p>
    <w:p w14:paraId="5C655F37" w14:textId="0A064744" w:rsidR="00EE35E2" w:rsidRPr="004676F5" w:rsidRDefault="00EE35E2" w:rsidP="00EE35E2">
      <w:pPr>
        <w:jc w:val="center"/>
        <w:rPr>
          <w:lang w:val="de-DE"/>
        </w:rPr>
      </w:pPr>
      <w:r w:rsidRPr="004676F5">
        <w:rPr>
          <w:lang w:val="de-DE"/>
        </w:rPr>
        <w:lastRenderedPageBreak/>
        <w:t>KAPITEL 10 </w:t>
      </w:r>
      <w:r w:rsidR="005B7A5C" w:rsidRPr="004676F5">
        <w:rPr>
          <w:lang w:val="de-DE"/>
        </w:rPr>
        <w:t>- </w:t>
      </w:r>
      <w:r w:rsidRPr="004676F5">
        <w:rPr>
          <w:i/>
          <w:lang w:val="de-DE"/>
        </w:rPr>
        <w:t>Herausgabeanspruch</w:t>
      </w:r>
    </w:p>
    <w:p w14:paraId="380297F9" w14:textId="77777777" w:rsidR="00EE35E2" w:rsidRPr="004676F5" w:rsidRDefault="00EE35E2" w:rsidP="00EE35E2">
      <w:pPr>
        <w:jc w:val="both"/>
        <w:rPr>
          <w:lang w:val="de-DE"/>
        </w:rPr>
      </w:pPr>
    </w:p>
    <w:p w14:paraId="568D00E0" w14:textId="77777777" w:rsidR="00567F8C" w:rsidRPr="004676F5" w:rsidRDefault="00567F8C" w:rsidP="00EE35E2">
      <w:pPr>
        <w:jc w:val="both"/>
        <w:rPr>
          <w:lang w:val="de-DE"/>
        </w:rPr>
      </w:pPr>
    </w:p>
    <w:p w14:paraId="7A676DE8" w14:textId="5219AEF1" w:rsidR="00EE35E2" w:rsidRPr="004676F5" w:rsidRDefault="00BE0A56" w:rsidP="00EE35E2">
      <w:pPr>
        <w:ind w:firstLine="708"/>
        <w:jc w:val="both"/>
        <w:rPr>
          <w:lang w:val="de-DE"/>
        </w:rPr>
      </w:pPr>
      <w:r w:rsidRPr="004676F5">
        <w:rPr>
          <w:b/>
          <w:lang w:val="de-DE"/>
        </w:rPr>
        <w:t>Art. </w:t>
      </w:r>
      <w:r w:rsidR="00EE35E2" w:rsidRPr="004676F5">
        <w:rPr>
          <w:b/>
          <w:lang w:val="de-DE"/>
        </w:rPr>
        <w:t>XX.194</w:t>
      </w:r>
      <w:r w:rsidR="00EE35E2" w:rsidRPr="004676F5">
        <w:rPr>
          <w:lang w:val="de-DE"/>
        </w:rPr>
        <w:t> </w:t>
      </w:r>
      <w:r w:rsidR="005B7A5C" w:rsidRPr="004676F5">
        <w:rPr>
          <w:lang w:val="de-DE"/>
        </w:rPr>
        <w:t>- </w:t>
      </w:r>
      <w:r w:rsidR="00EE35E2" w:rsidRPr="004676F5">
        <w:rPr>
          <w:lang w:val="de-DE"/>
        </w:rPr>
        <w:t>Durch den Konkurs wird der Anspruch des Eigentümers auf Herausgabe der im Besitz des Schuldners befindlichen Güter nicht beeinträchtigt.</w:t>
      </w:r>
    </w:p>
    <w:p w14:paraId="6CF069FF" w14:textId="77777777" w:rsidR="00EE35E2" w:rsidRPr="004676F5" w:rsidRDefault="00EE35E2" w:rsidP="00EE35E2">
      <w:pPr>
        <w:ind w:firstLine="708"/>
        <w:jc w:val="both"/>
        <w:rPr>
          <w:lang w:val="de-DE"/>
        </w:rPr>
      </w:pPr>
    </w:p>
    <w:p w14:paraId="5E1F3A45" w14:textId="77777777" w:rsidR="00EE35E2" w:rsidRPr="004676F5" w:rsidRDefault="00EE35E2" w:rsidP="00EE35E2">
      <w:pPr>
        <w:ind w:firstLine="708"/>
        <w:jc w:val="both"/>
        <w:rPr>
          <w:lang w:val="de-DE"/>
        </w:rPr>
      </w:pPr>
      <w:r w:rsidRPr="004676F5">
        <w:rPr>
          <w:lang w:val="de-DE"/>
        </w:rPr>
        <w:t>Zur Vermeidung des Verfalls muss der Herausgabeanspruch vor Hinterlegung des ersten Protokolls über die Prüfung der Forderungen geltend gemacht werden.</w:t>
      </w:r>
    </w:p>
    <w:p w14:paraId="6F0B52CA" w14:textId="77777777" w:rsidR="00EE35E2" w:rsidRPr="004676F5" w:rsidRDefault="00EE35E2" w:rsidP="00EE35E2">
      <w:pPr>
        <w:ind w:firstLine="708"/>
        <w:jc w:val="both"/>
        <w:rPr>
          <w:lang w:val="de-DE"/>
        </w:rPr>
      </w:pPr>
    </w:p>
    <w:p w14:paraId="2073F48A" w14:textId="77777777" w:rsidR="00EE35E2" w:rsidRPr="004676F5" w:rsidRDefault="00EE35E2" w:rsidP="00EE35E2">
      <w:pPr>
        <w:ind w:firstLine="708"/>
        <w:jc w:val="both"/>
        <w:rPr>
          <w:lang w:val="de-DE"/>
        </w:rPr>
      </w:pPr>
      <w:r w:rsidRPr="004676F5">
        <w:rPr>
          <w:lang w:val="de-DE"/>
        </w:rPr>
        <w:t>Wenn die Aufbewahrung oder Herausgabe zurückgeforderter Güter Kosten zu Lasten der Masse verursacht hat, verlangt der Konkursverwalter, dass diese Kosten bei Abgabe der Güter gezahlt werden. Weigert sich der Eigentümer, diese Kosten zu zahlen, ist der Konkursverwalter berechtigt, das Zurückbehaltungsrecht auszuüben.</w:t>
      </w:r>
    </w:p>
    <w:p w14:paraId="1B790E01" w14:textId="77777777" w:rsidR="00EE35E2" w:rsidRPr="004676F5" w:rsidRDefault="00EE35E2" w:rsidP="00EE35E2">
      <w:pPr>
        <w:ind w:firstLine="708"/>
        <w:jc w:val="both"/>
        <w:rPr>
          <w:lang w:val="de-DE"/>
        </w:rPr>
      </w:pPr>
    </w:p>
    <w:p w14:paraId="0E1AF4DD" w14:textId="77777777" w:rsidR="00567F8C" w:rsidRPr="004676F5" w:rsidRDefault="00567F8C" w:rsidP="00EE35E2">
      <w:pPr>
        <w:ind w:firstLine="708"/>
        <w:jc w:val="both"/>
        <w:rPr>
          <w:lang w:val="de-DE"/>
        </w:rPr>
      </w:pPr>
    </w:p>
    <w:p w14:paraId="3B30741D" w14:textId="01AD1EC9" w:rsidR="00EE35E2" w:rsidRPr="004676F5" w:rsidRDefault="00BE0A56" w:rsidP="00EE35E2">
      <w:pPr>
        <w:ind w:firstLine="708"/>
        <w:jc w:val="both"/>
        <w:rPr>
          <w:lang w:val="de-DE"/>
        </w:rPr>
      </w:pPr>
      <w:r w:rsidRPr="004676F5">
        <w:rPr>
          <w:b/>
          <w:lang w:val="de-DE"/>
        </w:rPr>
        <w:t>Art. </w:t>
      </w:r>
      <w:r w:rsidR="00EE35E2" w:rsidRPr="004676F5">
        <w:rPr>
          <w:b/>
          <w:lang w:val="de-DE"/>
        </w:rPr>
        <w:t>XX.195</w:t>
      </w:r>
      <w:r w:rsidR="00EE35E2" w:rsidRPr="004676F5">
        <w:rPr>
          <w:lang w:val="de-DE"/>
        </w:rPr>
        <w:t> </w:t>
      </w:r>
      <w:r w:rsidR="005B7A5C" w:rsidRPr="004676F5">
        <w:rPr>
          <w:lang w:val="de-DE"/>
        </w:rPr>
        <w:t>- </w:t>
      </w:r>
      <w:r w:rsidR="00EE35E2" w:rsidRPr="004676F5">
        <w:rPr>
          <w:lang w:val="de-DE"/>
        </w:rPr>
        <w:t>Bei Konkurs kann der Eigentümer noch nicht bezahlter Handelspapiere und anderer noch nicht bezahlter Wertpapiere, die sich am Tage des Konkurseröffnungsurteils in natura im Portefeuille des Konkursschuldners befinden, Anspruch auf Herausgabe dieser Papiere geltend machen, wenn er sie mit dem einfachen Auftrag übergeben hat, sie beizutreiben und ihren Betrag zu seiner Verfügung zu halten, oder wenn er sie speziell für bestimmte Zahlungen bestimmt hat.</w:t>
      </w:r>
    </w:p>
    <w:p w14:paraId="4CE34E5B" w14:textId="77777777" w:rsidR="00EE35E2" w:rsidRPr="004676F5" w:rsidRDefault="00EE35E2" w:rsidP="00EE35E2">
      <w:pPr>
        <w:ind w:firstLine="708"/>
        <w:jc w:val="both"/>
        <w:rPr>
          <w:lang w:val="de-DE"/>
        </w:rPr>
      </w:pPr>
    </w:p>
    <w:p w14:paraId="4741E062" w14:textId="77777777" w:rsidR="00567F8C" w:rsidRPr="004676F5" w:rsidRDefault="00567F8C" w:rsidP="00EE35E2">
      <w:pPr>
        <w:ind w:firstLine="708"/>
        <w:jc w:val="both"/>
        <w:rPr>
          <w:lang w:val="de-DE"/>
        </w:rPr>
      </w:pPr>
    </w:p>
    <w:p w14:paraId="4549FBF3" w14:textId="5482AD9D" w:rsidR="00EE35E2" w:rsidRPr="004676F5" w:rsidRDefault="00BE0A56" w:rsidP="00EE35E2">
      <w:pPr>
        <w:ind w:firstLine="708"/>
        <w:jc w:val="both"/>
        <w:rPr>
          <w:lang w:val="de-DE"/>
        </w:rPr>
      </w:pPr>
      <w:r w:rsidRPr="004676F5">
        <w:rPr>
          <w:b/>
          <w:lang w:val="de-DE"/>
        </w:rPr>
        <w:t>Art. </w:t>
      </w:r>
      <w:r w:rsidR="00EE35E2" w:rsidRPr="004676F5">
        <w:rPr>
          <w:b/>
          <w:lang w:val="de-DE"/>
        </w:rPr>
        <w:t>XX.196</w:t>
      </w:r>
      <w:r w:rsidR="00EE35E2" w:rsidRPr="004676F5">
        <w:rPr>
          <w:lang w:val="de-DE"/>
        </w:rPr>
        <w:t> </w:t>
      </w:r>
      <w:r w:rsidR="005B7A5C" w:rsidRPr="004676F5">
        <w:rPr>
          <w:lang w:val="de-DE"/>
        </w:rPr>
        <w:t>- </w:t>
      </w:r>
      <w:r w:rsidR="00EE35E2" w:rsidRPr="004676F5">
        <w:rPr>
          <w:lang w:val="de-DE"/>
        </w:rPr>
        <w:t>Anspruch auf Herausgabe von Waren, die beim Konkursschuldner in Verwahrung gegeben oder hinterlegt worden sind, um für Rechnung des Versenders verkauft zu werden, kann ebenfalls geltend gemacht werden, solange sie ganz oder teilweise in natura vorhanden sind.</w:t>
      </w:r>
    </w:p>
    <w:p w14:paraId="425365C8" w14:textId="77777777" w:rsidR="00EE35E2" w:rsidRPr="004676F5" w:rsidRDefault="00EE35E2" w:rsidP="00EE35E2">
      <w:pPr>
        <w:ind w:firstLine="708"/>
        <w:jc w:val="both"/>
        <w:rPr>
          <w:lang w:val="de-DE"/>
        </w:rPr>
      </w:pPr>
    </w:p>
    <w:p w14:paraId="14746E98" w14:textId="77777777" w:rsidR="00EE35E2" w:rsidRPr="004676F5" w:rsidRDefault="00EE35E2" w:rsidP="00EE35E2">
      <w:pPr>
        <w:ind w:firstLine="708"/>
        <w:jc w:val="both"/>
        <w:rPr>
          <w:lang w:val="de-DE"/>
        </w:rPr>
      </w:pPr>
      <w:r w:rsidRPr="004676F5">
        <w:rPr>
          <w:lang w:val="de-DE"/>
        </w:rPr>
        <w:t>Selbst Anspruch auf Herausgabe des Preises oder eines Teils des Preises dieser Waren kann geltend gemacht werden, sofern er weder bezahlt noch in Wertpapieren beglichen, noch über ein laufendes Konto zwischen dem Konkursschuldner und dem Käufer verrechnet worden ist.</w:t>
      </w:r>
    </w:p>
    <w:p w14:paraId="51C374E4" w14:textId="77777777" w:rsidR="00EE35E2" w:rsidRPr="004676F5" w:rsidRDefault="00EE35E2" w:rsidP="00EE35E2">
      <w:pPr>
        <w:ind w:firstLine="708"/>
        <w:jc w:val="both"/>
        <w:rPr>
          <w:lang w:val="de-DE"/>
        </w:rPr>
      </w:pPr>
    </w:p>
    <w:p w14:paraId="52682718" w14:textId="77777777" w:rsidR="00567F8C" w:rsidRPr="004676F5" w:rsidRDefault="00567F8C" w:rsidP="00EE35E2">
      <w:pPr>
        <w:ind w:firstLine="708"/>
        <w:jc w:val="both"/>
        <w:rPr>
          <w:lang w:val="de-DE"/>
        </w:rPr>
      </w:pPr>
    </w:p>
    <w:p w14:paraId="00B09C83" w14:textId="48E62AC8" w:rsidR="00EE35E2" w:rsidRPr="004676F5" w:rsidRDefault="00BE0A56" w:rsidP="00EE35E2">
      <w:pPr>
        <w:ind w:firstLine="708"/>
        <w:jc w:val="both"/>
        <w:rPr>
          <w:lang w:val="de-DE"/>
        </w:rPr>
      </w:pPr>
      <w:r w:rsidRPr="004676F5">
        <w:rPr>
          <w:b/>
          <w:lang w:val="de-DE"/>
        </w:rPr>
        <w:t>Art. </w:t>
      </w:r>
      <w:r w:rsidR="00EE35E2" w:rsidRPr="004676F5">
        <w:rPr>
          <w:b/>
          <w:lang w:val="de-DE"/>
        </w:rPr>
        <w:t>XX.197</w:t>
      </w:r>
      <w:r w:rsidR="00EE35E2" w:rsidRPr="004676F5">
        <w:rPr>
          <w:lang w:val="de-DE"/>
        </w:rPr>
        <w:t> </w:t>
      </w:r>
      <w:r w:rsidR="005B7A5C" w:rsidRPr="004676F5">
        <w:rPr>
          <w:lang w:val="de-DE"/>
        </w:rPr>
        <w:t>- </w:t>
      </w:r>
      <w:r w:rsidR="00EE35E2" w:rsidRPr="004676F5">
        <w:rPr>
          <w:lang w:val="de-DE"/>
        </w:rPr>
        <w:t>Anspruch auf Herausgabe von Waren, die dem Konkursschuldner zugesandt worden sind, kann ebenfalls geltend gemacht werden, solange die Übergabe in seinen Lagern oder in denen des Kommissionärs, der damit beauftragt ist, sie für Rechnung des Konkursschuldners zu verkaufen, nicht erfolgt ist.</w:t>
      </w:r>
    </w:p>
    <w:p w14:paraId="12710A6F" w14:textId="77777777" w:rsidR="00EE35E2" w:rsidRPr="004676F5" w:rsidRDefault="00EE35E2" w:rsidP="00EE35E2">
      <w:pPr>
        <w:ind w:firstLine="708"/>
        <w:jc w:val="both"/>
        <w:rPr>
          <w:lang w:val="de-DE"/>
        </w:rPr>
      </w:pPr>
    </w:p>
    <w:p w14:paraId="15AA0AB0" w14:textId="77777777" w:rsidR="00EE35E2" w:rsidRPr="004676F5" w:rsidRDefault="00EE35E2" w:rsidP="00EE35E2">
      <w:pPr>
        <w:ind w:firstLine="708"/>
        <w:jc w:val="both"/>
        <w:rPr>
          <w:lang w:val="de-DE"/>
        </w:rPr>
      </w:pPr>
      <w:r w:rsidRPr="004676F5">
        <w:rPr>
          <w:lang w:val="de-DE"/>
        </w:rPr>
        <w:t>Der Herausgabeanspruch ist jedoch nicht zulässig, wenn die Waren vor ihrer Ankunft ohne Betrug mittels Konnossements oder vom Absender unterzeichneter Rechnungen und Frachtbriefe verkauft worden sind.</w:t>
      </w:r>
    </w:p>
    <w:p w14:paraId="3768B00F" w14:textId="77777777" w:rsidR="00EE35E2" w:rsidRPr="004676F5" w:rsidRDefault="00EE35E2" w:rsidP="00EE35E2">
      <w:pPr>
        <w:ind w:firstLine="708"/>
        <w:jc w:val="both"/>
        <w:rPr>
          <w:lang w:val="de-DE"/>
        </w:rPr>
      </w:pPr>
    </w:p>
    <w:p w14:paraId="4636EE6D" w14:textId="77777777" w:rsidR="00EE35E2" w:rsidRPr="004676F5" w:rsidRDefault="00EE35E2" w:rsidP="00EE35E2">
      <w:pPr>
        <w:ind w:firstLine="708"/>
        <w:jc w:val="both"/>
        <w:rPr>
          <w:lang w:val="de-DE"/>
        </w:rPr>
      </w:pPr>
      <w:r w:rsidRPr="004676F5">
        <w:rPr>
          <w:lang w:val="de-DE"/>
        </w:rPr>
        <w:t>Der Herausgabeanspruch muss unter Berücksichtigung der Rechte des Pfandgläubigers erfolgen, der mittels Konnossements oder Frachtbriefs in den Besitz der Waren eingewiesen worden ist.</w:t>
      </w:r>
    </w:p>
    <w:p w14:paraId="4465ABF5" w14:textId="77777777" w:rsidR="00EE35E2" w:rsidRPr="004676F5" w:rsidRDefault="00EE35E2" w:rsidP="00EE35E2">
      <w:pPr>
        <w:ind w:firstLine="708"/>
        <w:jc w:val="both"/>
        <w:rPr>
          <w:lang w:val="de-DE"/>
        </w:rPr>
      </w:pPr>
    </w:p>
    <w:p w14:paraId="0B82A01D" w14:textId="77777777" w:rsidR="00567F8C" w:rsidRPr="004676F5" w:rsidRDefault="00567F8C" w:rsidP="00EE35E2">
      <w:pPr>
        <w:ind w:firstLine="708"/>
        <w:jc w:val="both"/>
        <w:rPr>
          <w:lang w:val="de-DE"/>
        </w:rPr>
      </w:pPr>
    </w:p>
    <w:p w14:paraId="2D451E4D" w14:textId="56D203F1" w:rsidR="00EE35E2" w:rsidRPr="004676F5" w:rsidRDefault="00BE0A56" w:rsidP="00EE35E2">
      <w:pPr>
        <w:ind w:firstLine="708"/>
        <w:jc w:val="both"/>
        <w:rPr>
          <w:lang w:val="de-DE"/>
        </w:rPr>
      </w:pPr>
      <w:r w:rsidRPr="004676F5">
        <w:rPr>
          <w:b/>
          <w:lang w:val="de-DE"/>
        </w:rPr>
        <w:t>Art. </w:t>
      </w:r>
      <w:r w:rsidR="00EE35E2" w:rsidRPr="004676F5">
        <w:rPr>
          <w:b/>
          <w:lang w:val="de-DE"/>
        </w:rPr>
        <w:t>XX.198</w:t>
      </w:r>
      <w:r w:rsidR="00EE35E2" w:rsidRPr="004676F5">
        <w:rPr>
          <w:lang w:val="de-DE"/>
        </w:rPr>
        <w:t> </w:t>
      </w:r>
      <w:r w:rsidR="005B7A5C" w:rsidRPr="004676F5">
        <w:rPr>
          <w:lang w:val="de-DE"/>
        </w:rPr>
        <w:t>- </w:t>
      </w:r>
      <w:r w:rsidR="00EE35E2" w:rsidRPr="004676F5">
        <w:rPr>
          <w:lang w:val="de-DE"/>
        </w:rPr>
        <w:t xml:space="preserve">Wer Anspruch auf Herausgabe einer Sache geltend macht, ist verpflichtet, vor Rücknahme aus der Masse Anzahlungen, die er erhalten hat, und gezahlte </w:t>
      </w:r>
      <w:r w:rsidR="00EE35E2" w:rsidRPr="004676F5">
        <w:rPr>
          <w:lang w:val="de-DE"/>
        </w:rPr>
        <w:lastRenderedPageBreak/>
        <w:t>Vorschüsse für Fracht oder Beförderung, Provision, Versicherung oder andere Kosten zurückzuzahlen und Beträge, die aus den gleichen Gründen geschuldet werden, zu zahlen.</w:t>
      </w:r>
    </w:p>
    <w:p w14:paraId="4FA8386D" w14:textId="77777777" w:rsidR="00EE35E2" w:rsidRPr="004676F5" w:rsidRDefault="00EE35E2" w:rsidP="00EE35E2">
      <w:pPr>
        <w:ind w:firstLine="708"/>
        <w:jc w:val="both"/>
        <w:rPr>
          <w:lang w:val="de-DE"/>
        </w:rPr>
      </w:pPr>
    </w:p>
    <w:p w14:paraId="0389A03E" w14:textId="77777777" w:rsidR="00567F8C" w:rsidRPr="004676F5" w:rsidRDefault="00567F8C" w:rsidP="00EE35E2">
      <w:pPr>
        <w:ind w:firstLine="708"/>
        <w:jc w:val="both"/>
        <w:rPr>
          <w:lang w:val="de-DE"/>
        </w:rPr>
      </w:pPr>
    </w:p>
    <w:p w14:paraId="51D51A8D" w14:textId="379082A2" w:rsidR="00EE35E2" w:rsidRPr="004676F5" w:rsidRDefault="00BE0A56" w:rsidP="00EE35E2">
      <w:pPr>
        <w:ind w:firstLine="708"/>
        <w:jc w:val="both"/>
        <w:rPr>
          <w:lang w:val="de-DE"/>
        </w:rPr>
      </w:pPr>
      <w:r w:rsidRPr="004676F5">
        <w:rPr>
          <w:b/>
          <w:lang w:val="de-DE"/>
        </w:rPr>
        <w:t>Art. </w:t>
      </w:r>
      <w:r w:rsidR="00EE35E2" w:rsidRPr="004676F5">
        <w:rPr>
          <w:b/>
          <w:lang w:val="de-DE"/>
        </w:rPr>
        <w:t>XX.199</w:t>
      </w:r>
      <w:r w:rsidR="00EE35E2" w:rsidRPr="004676F5">
        <w:rPr>
          <w:lang w:val="de-DE"/>
        </w:rPr>
        <w:t> </w:t>
      </w:r>
      <w:r w:rsidR="005B7A5C" w:rsidRPr="004676F5">
        <w:rPr>
          <w:lang w:val="de-DE"/>
        </w:rPr>
        <w:t>- </w:t>
      </w:r>
      <w:r w:rsidR="00EE35E2" w:rsidRPr="004676F5">
        <w:rPr>
          <w:lang w:val="de-DE"/>
        </w:rPr>
        <w:t>Verkaufte Waren, die dem Konkursschuldner noch nicht geliefert worden sind oder noch nicht an den Konkursschuldner oder für seine Rechnung an einen Dritten gesandt worden sind, kann der Verkäufer zurückbehalten.</w:t>
      </w:r>
    </w:p>
    <w:p w14:paraId="77687D9E" w14:textId="77777777" w:rsidR="00EE35E2" w:rsidRPr="004676F5" w:rsidRDefault="00EE35E2" w:rsidP="00EE35E2">
      <w:pPr>
        <w:ind w:firstLine="708"/>
        <w:jc w:val="both"/>
        <w:rPr>
          <w:lang w:val="de-DE"/>
        </w:rPr>
      </w:pPr>
    </w:p>
    <w:p w14:paraId="7EA813E6" w14:textId="77777777" w:rsidR="00567F8C" w:rsidRPr="004676F5" w:rsidRDefault="00567F8C" w:rsidP="00EE35E2">
      <w:pPr>
        <w:ind w:firstLine="708"/>
        <w:jc w:val="both"/>
        <w:rPr>
          <w:lang w:val="de-DE"/>
        </w:rPr>
      </w:pPr>
    </w:p>
    <w:p w14:paraId="1110685A" w14:textId="4A6677DE" w:rsidR="00EE35E2" w:rsidRPr="004676F5" w:rsidRDefault="00BE0A56" w:rsidP="00EE35E2">
      <w:pPr>
        <w:ind w:firstLine="708"/>
        <w:jc w:val="both"/>
        <w:rPr>
          <w:lang w:val="de-DE"/>
        </w:rPr>
      </w:pPr>
      <w:r w:rsidRPr="004676F5">
        <w:rPr>
          <w:b/>
          <w:lang w:val="de-DE"/>
        </w:rPr>
        <w:t>Art. </w:t>
      </w:r>
      <w:r w:rsidR="00EE35E2" w:rsidRPr="004676F5">
        <w:rPr>
          <w:b/>
          <w:lang w:val="de-DE"/>
        </w:rPr>
        <w:t>XX.200</w:t>
      </w:r>
      <w:r w:rsidR="00EE35E2" w:rsidRPr="004676F5">
        <w:rPr>
          <w:lang w:val="de-DE"/>
        </w:rPr>
        <w:t> </w:t>
      </w:r>
      <w:r w:rsidR="005B7A5C" w:rsidRPr="004676F5">
        <w:rPr>
          <w:lang w:val="de-DE"/>
        </w:rPr>
        <w:t>- </w:t>
      </w:r>
      <w:r w:rsidR="00EE35E2" w:rsidRPr="004676F5">
        <w:rPr>
          <w:lang w:val="de-DE"/>
        </w:rPr>
        <w:t>In dem in den Artikeln XX.197 und XX.199 vorgesehenen Fall können die Konkursverwalter mit Ermächtigung des Konkursrichters die Lieferung der Waren gegen den zwischen Verkäufer und Konkursschuldner vereinbarten Preis verlangen.</w:t>
      </w:r>
    </w:p>
    <w:p w14:paraId="3D7FF9AC" w14:textId="77777777" w:rsidR="00EE35E2" w:rsidRPr="004676F5" w:rsidRDefault="00EE35E2" w:rsidP="00EE35E2">
      <w:pPr>
        <w:ind w:firstLine="708"/>
        <w:jc w:val="both"/>
        <w:rPr>
          <w:lang w:val="de-DE"/>
        </w:rPr>
      </w:pPr>
    </w:p>
    <w:p w14:paraId="7199FF11" w14:textId="77777777" w:rsidR="00567F8C" w:rsidRPr="004676F5" w:rsidRDefault="00567F8C" w:rsidP="00EE35E2">
      <w:pPr>
        <w:ind w:firstLine="708"/>
        <w:jc w:val="both"/>
        <w:rPr>
          <w:lang w:val="de-DE"/>
        </w:rPr>
      </w:pPr>
    </w:p>
    <w:p w14:paraId="3BDB293C" w14:textId="2C582572" w:rsidR="00EE35E2" w:rsidRPr="004676F5" w:rsidRDefault="00BE0A56" w:rsidP="00EE35E2">
      <w:pPr>
        <w:ind w:firstLine="708"/>
        <w:jc w:val="both"/>
        <w:rPr>
          <w:lang w:val="de-DE"/>
        </w:rPr>
      </w:pPr>
      <w:r w:rsidRPr="004676F5">
        <w:rPr>
          <w:b/>
          <w:lang w:val="de-DE"/>
        </w:rPr>
        <w:t>Art. </w:t>
      </w:r>
      <w:r w:rsidR="00EE35E2" w:rsidRPr="004676F5">
        <w:rPr>
          <w:b/>
          <w:lang w:val="de-DE"/>
        </w:rPr>
        <w:t>XX.201</w:t>
      </w:r>
      <w:r w:rsidR="00EE35E2" w:rsidRPr="004676F5">
        <w:rPr>
          <w:lang w:val="de-DE"/>
        </w:rPr>
        <w:t> </w:t>
      </w:r>
      <w:r w:rsidR="005B7A5C" w:rsidRPr="004676F5">
        <w:rPr>
          <w:lang w:val="de-DE"/>
        </w:rPr>
        <w:t>- </w:t>
      </w:r>
      <w:r w:rsidR="00EE35E2" w:rsidRPr="004676F5">
        <w:rPr>
          <w:lang w:val="de-DE"/>
        </w:rPr>
        <w:t>Die Konkursverwalter können mit Ermächtigung des Konkursrichters Ansprüchen auf Herausgabe von Waren, Handelspapieren und anderen Wertpapieren oder Gütern stattgeben.</w:t>
      </w:r>
    </w:p>
    <w:p w14:paraId="61C9B897" w14:textId="77777777" w:rsidR="00EE35E2" w:rsidRPr="004676F5" w:rsidRDefault="00EE35E2" w:rsidP="00EE35E2">
      <w:pPr>
        <w:ind w:firstLine="708"/>
        <w:jc w:val="both"/>
        <w:rPr>
          <w:lang w:val="de-DE"/>
        </w:rPr>
      </w:pPr>
    </w:p>
    <w:p w14:paraId="12BB51E0" w14:textId="1FB5E278" w:rsidR="00EE35E2" w:rsidRPr="004676F5" w:rsidRDefault="00EE35E2" w:rsidP="00EE35E2">
      <w:pPr>
        <w:ind w:firstLine="708"/>
        <w:jc w:val="both"/>
        <w:rPr>
          <w:lang w:val="de-DE"/>
        </w:rPr>
      </w:pPr>
      <w:r w:rsidRPr="004676F5">
        <w:rPr>
          <w:lang w:val="de-DE"/>
        </w:rPr>
        <w:t xml:space="preserve">Die Konkursverwalter können jedoch mit Erlaubnis des Konkursrichters den in Artikel XX.194 vorgesehenen Herausgabeanspruch zurückweisen, indem sie den zwischen Verkäufer und Konkursschuldner vereinbarten Preis unter Ausschluss von Zinsen und </w:t>
      </w:r>
      <w:r w:rsidR="004809DE" w:rsidRPr="004676F5">
        <w:rPr>
          <w:lang w:val="de-DE"/>
        </w:rPr>
        <w:t>[Entschädigungsklauseln]</w:t>
      </w:r>
      <w:r w:rsidRPr="004676F5">
        <w:rPr>
          <w:lang w:val="de-DE"/>
        </w:rPr>
        <w:t>, die gegebenenfalls Schulden in der Masse bleiben, zahlen, wenn es im Interesse der Masse erforderlich ist.</w:t>
      </w:r>
    </w:p>
    <w:p w14:paraId="3740A9C2" w14:textId="77777777" w:rsidR="00EE35E2" w:rsidRPr="004676F5" w:rsidRDefault="00EE35E2" w:rsidP="00EE35E2">
      <w:pPr>
        <w:ind w:firstLine="708"/>
        <w:jc w:val="both"/>
        <w:rPr>
          <w:lang w:val="de-DE"/>
        </w:rPr>
      </w:pPr>
    </w:p>
    <w:p w14:paraId="46BD57D6" w14:textId="77777777" w:rsidR="00EE35E2" w:rsidRPr="004676F5" w:rsidRDefault="00EE35E2" w:rsidP="00EE35E2">
      <w:pPr>
        <w:ind w:firstLine="708"/>
        <w:jc w:val="both"/>
        <w:rPr>
          <w:lang w:val="de-DE"/>
        </w:rPr>
      </w:pPr>
      <w:r w:rsidRPr="004676F5">
        <w:rPr>
          <w:lang w:val="de-DE"/>
        </w:rPr>
        <w:t>Im Streitfall entscheidet das Gericht auf Antrag der Interessehabenden nach Bericht des Konkursrichters.</w:t>
      </w:r>
    </w:p>
    <w:p w14:paraId="1B595B8A" w14:textId="77777777" w:rsidR="004809DE" w:rsidRPr="004676F5" w:rsidRDefault="004809DE" w:rsidP="00EE35E2">
      <w:pPr>
        <w:ind w:firstLine="708"/>
        <w:jc w:val="both"/>
        <w:rPr>
          <w:lang w:val="de-DE"/>
        </w:rPr>
      </w:pPr>
    </w:p>
    <w:p w14:paraId="455A504B" w14:textId="2BF31CBA" w:rsidR="004809DE" w:rsidRPr="004676F5" w:rsidRDefault="004809DE" w:rsidP="004809DE">
      <w:pPr>
        <w:jc w:val="both"/>
        <w:rPr>
          <w:i/>
          <w:iCs/>
          <w:lang w:val="de-DE"/>
        </w:rPr>
      </w:pPr>
      <w:r w:rsidRPr="004676F5">
        <w:rPr>
          <w:i/>
          <w:iCs/>
          <w:lang w:val="de-DE"/>
        </w:rPr>
        <w:t>[Art. XX.201 Abs. 2 abgeändert durch Art. 25 des G. vom 28. April 2022 (B.S. vom 1. Juli 2022)]</w:t>
      </w:r>
    </w:p>
    <w:p w14:paraId="68DF76D8" w14:textId="77777777" w:rsidR="00EE35E2" w:rsidRPr="004676F5" w:rsidRDefault="00EE35E2" w:rsidP="00EE35E2">
      <w:pPr>
        <w:jc w:val="both"/>
        <w:rPr>
          <w:lang w:val="de-DE"/>
        </w:rPr>
      </w:pPr>
    </w:p>
    <w:p w14:paraId="5FDF2EF5" w14:textId="77777777" w:rsidR="00567F8C" w:rsidRPr="004676F5" w:rsidRDefault="00567F8C">
      <w:pPr>
        <w:rPr>
          <w:b/>
          <w:lang w:val="de-DE"/>
        </w:rPr>
      </w:pPr>
      <w:r w:rsidRPr="004676F5">
        <w:rPr>
          <w:b/>
          <w:lang w:val="de-DE"/>
        </w:rPr>
        <w:br w:type="page"/>
      </w:r>
    </w:p>
    <w:p w14:paraId="10195BD3" w14:textId="64B47DC5" w:rsidR="00EE35E2" w:rsidRPr="004676F5" w:rsidRDefault="00EE35E2" w:rsidP="00EE35E2">
      <w:pPr>
        <w:jc w:val="center"/>
        <w:rPr>
          <w:b/>
          <w:lang w:val="de-DE"/>
        </w:rPr>
      </w:pPr>
      <w:r w:rsidRPr="004676F5">
        <w:rPr>
          <w:b/>
          <w:lang w:val="de-DE"/>
        </w:rPr>
        <w:lastRenderedPageBreak/>
        <w:t>TITEL 7 </w:t>
      </w:r>
      <w:r w:rsidR="005B7A5C" w:rsidRPr="004676F5">
        <w:rPr>
          <w:b/>
          <w:lang w:val="de-DE"/>
        </w:rPr>
        <w:t>- </w:t>
      </w:r>
      <w:r w:rsidRPr="004676F5">
        <w:rPr>
          <w:b/>
          <w:i/>
          <w:lang w:val="de-DE"/>
        </w:rPr>
        <w:t>Grenzüberschreitende Insolvenz</w:t>
      </w:r>
    </w:p>
    <w:p w14:paraId="37E479EE" w14:textId="77777777" w:rsidR="00EE35E2" w:rsidRPr="004676F5" w:rsidRDefault="00EE35E2" w:rsidP="00EE35E2">
      <w:pPr>
        <w:jc w:val="center"/>
        <w:rPr>
          <w:lang w:val="de-DE"/>
        </w:rPr>
      </w:pPr>
    </w:p>
    <w:p w14:paraId="532675DA" w14:textId="77777777" w:rsidR="00567F8C" w:rsidRPr="004676F5" w:rsidRDefault="00567F8C" w:rsidP="00EE35E2">
      <w:pPr>
        <w:jc w:val="center"/>
        <w:rPr>
          <w:lang w:val="de-DE"/>
        </w:rPr>
      </w:pPr>
    </w:p>
    <w:p w14:paraId="05841699" w14:textId="58B6CE29" w:rsidR="00EE35E2" w:rsidRPr="004676F5" w:rsidRDefault="00EE35E2" w:rsidP="00EE35E2">
      <w:pPr>
        <w:jc w:val="center"/>
        <w:rPr>
          <w:lang w:val="de-DE"/>
        </w:rPr>
      </w:pPr>
      <w:r w:rsidRPr="004676F5">
        <w:rPr>
          <w:lang w:val="de-DE"/>
        </w:rPr>
        <w:t>KAPITEL 1 </w:t>
      </w:r>
      <w:r w:rsidR="005B7A5C" w:rsidRPr="004676F5">
        <w:rPr>
          <w:lang w:val="de-DE"/>
        </w:rPr>
        <w:t>- </w:t>
      </w:r>
      <w:r w:rsidRPr="004676F5">
        <w:rPr>
          <w:i/>
          <w:lang w:val="de-DE"/>
        </w:rPr>
        <w:t>Europäische Insolvenz</w:t>
      </w:r>
    </w:p>
    <w:p w14:paraId="37639C5C" w14:textId="77777777" w:rsidR="00EE35E2" w:rsidRPr="004676F5" w:rsidRDefault="00EE35E2" w:rsidP="00EE35E2">
      <w:pPr>
        <w:jc w:val="both"/>
        <w:rPr>
          <w:lang w:val="de-DE"/>
        </w:rPr>
      </w:pPr>
    </w:p>
    <w:p w14:paraId="037258C8" w14:textId="77777777" w:rsidR="00567F8C" w:rsidRPr="004676F5" w:rsidRDefault="00567F8C" w:rsidP="00EE35E2">
      <w:pPr>
        <w:jc w:val="both"/>
        <w:rPr>
          <w:lang w:val="de-DE"/>
        </w:rPr>
      </w:pPr>
    </w:p>
    <w:p w14:paraId="54C49E96" w14:textId="764F8F41" w:rsidR="00EE35E2" w:rsidRPr="004676F5" w:rsidRDefault="00BE0A56" w:rsidP="00EE35E2">
      <w:pPr>
        <w:ind w:firstLine="708"/>
        <w:jc w:val="both"/>
        <w:rPr>
          <w:lang w:val="de-DE"/>
        </w:rPr>
      </w:pPr>
      <w:r w:rsidRPr="004676F5">
        <w:rPr>
          <w:b/>
          <w:lang w:val="de-DE"/>
        </w:rPr>
        <w:t>Art. </w:t>
      </w:r>
      <w:r w:rsidR="00EE35E2" w:rsidRPr="004676F5">
        <w:rPr>
          <w:b/>
          <w:lang w:val="de-DE"/>
        </w:rPr>
        <w:t>XX.202</w:t>
      </w:r>
      <w:r w:rsidR="00EE35E2" w:rsidRPr="004676F5">
        <w:rPr>
          <w:lang w:val="de-DE"/>
        </w:rPr>
        <w:t> </w:t>
      </w:r>
      <w:r w:rsidR="005B7A5C" w:rsidRPr="004676F5">
        <w:rPr>
          <w:lang w:val="de-DE"/>
        </w:rPr>
        <w:t>- </w:t>
      </w:r>
      <w:r w:rsidR="00EE35E2" w:rsidRPr="004676F5">
        <w:rPr>
          <w:lang w:val="de-DE"/>
        </w:rPr>
        <w:t xml:space="preserve">Hat ein Schuldner, gegen den gemäß Artikel 3 Absatz 1 der Insolvenzverordnung ein Verfahren in einem anderen Mitgliedstaat eröffnet ist, eine Niederlassung in Belgien, werden der wesentliche Inhalt der Entscheidung zur Eröffnung des Insolvenzverfahrens, die Identität des bestellten </w:t>
      </w:r>
      <w:r w:rsidR="00C66858" w:rsidRPr="004676F5">
        <w:rPr>
          <w:lang w:val="de-DE"/>
        </w:rPr>
        <w:t>[</w:t>
      </w:r>
      <w:r w:rsidR="00891B45" w:rsidRPr="004676F5">
        <w:rPr>
          <w:lang w:val="de-DE"/>
        </w:rPr>
        <w:t xml:space="preserve">Liquidationsbearbeiters] </w:t>
      </w:r>
      <w:r w:rsidR="00EE35E2" w:rsidRPr="004676F5">
        <w:rPr>
          <w:lang w:val="de-DE"/>
        </w:rPr>
        <w:t>und die Zuständigkeits</w:t>
      </w:r>
      <w:r w:rsidR="00EE35E2" w:rsidRPr="004676F5">
        <w:rPr>
          <w:lang w:val="de-DE"/>
        </w:rPr>
        <w:softHyphen/>
        <w:t xml:space="preserve">regel, die das Gericht angewandt hat, das das Verfahren eröffnet hat, </w:t>
      </w:r>
      <w:r w:rsidR="00D35125" w:rsidRPr="004676F5">
        <w:rPr>
          <w:lang w:val="de-DE"/>
        </w:rPr>
        <w:t xml:space="preserve">[auf Betreiben des ausländischen </w:t>
      </w:r>
      <w:r w:rsidR="002B2393" w:rsidRPr="004676F5">
        <w:rPr>
          <w:lang w:val="de-DE"/>
        </w:rPr>
        <w:t>[Liquidationsbearbeiters]</w:t>
      </w:r>
      <w:r w:rsidR="00D35125" w:rsidRPr="004676F5">
        <w:rPr>
          <w:lang w:val="de-DE"/>
        </w:rPr>
        <w:t xml:space="preserve">] </w:t>
      </w:r>
      <w:r w:rsidR="00EE35E2" w:rsidRPr="004676F5">
        <w:rPr>
          <w:lang w:val="de-DE"/>
        </w:rPr>
        <w:t xml:space="preserve">im </w:t>
      </w:r>
      <w:r w:rsidR="00EE35E2" w:rsidRPr="004676F5">
        <w:rPr>
          <w:i/>
          <w:lang w:val="de-DE"/>
        </w:rPr>
        <w:t>Belgischen Staatsblatt</w:t>
      </w:r>
      <w:r w:rsidR="00EE35E2" w:rsidRPr="004676F5">
        <w:rPr>
          <w:lang w:val="de-DE"/>
        </w:rPr>
        <w:t xml:space="preserve"> veröffentlicht. Gleiches gilt, wenn der </w:t>
      </w:r>
      <w:r w:rsidR="00891B45" w:rsidRPr="004676F5">
        <w:rPr>
          <w:lang w:val="de-DE"/>
        </w:rPr>
        <w:t xml:space="preserve">[Liquidationsbearbeiter] </w:t>
      </w:r>
      <w:r w:rsidR="00EE35E2" w:rsidRPr="004676F5">
        <w:rPr>
          <w:lang w:val="de-DE"/>
        </w:rPr>
        <w:t>oder der Schuldner in Eigenverwaltung dies beantragt.</w:t>
      </w:r>
    </w:p>
    <w:p w14:paraId="1604C799" w14:textId="727F466A" w:rsidR="00EE35E2" w:rsidRPr="004676F5" w:rsidRDefault="00EE35E2" w:rsidP="00EE35E2">
      <w:pPr>
        <w:ind w:firstLine="708"/>
        <w:jc w:val="both"/>
        <w:rPr>
          <w:lang w:val="de-DE"/>
        </w:rPr>
      </w:pPr>
    </w:p>
    <w:p w14:paraId="17BD3C08" w14:textId="5ED63799" w:rsidR="00D35125" w:rsidRPr="004676F5" w:rsidRDefault="00D35125" w:rsidP="00D35125">
      <w:pPr>
        <w:jc w:val="both"/>
        <w:rPr>
          <w:i/>
          <w:lang w:val="de-DE"/>
        </w:rPr>
      </w:pPr>
      <w:r w:rsidRPr="004676F5">
        <w:rPr>
          <w:i/>
          <w:lang w:val="de-DE"/>
        </w:rPr>
        <w:t>[Art. XX.202 abgeändert durch Art. 243 des G. vom 15. April 2018 (B.S. vom 27. April 2018)</w:t>
      </w:r>
      <w:r w:rsidR="00891B45" w:rsidRPr="004676F5">
        <w:rPr>
          <w:i/>
          <w:lang w:val="de-DE"/>
        </w:rPr>
        <w:t xml:space="preserve"> und Art. 239</w:t>
      </w:r>
      <w:r w:rsidR="00891B45" w:rsidRPr="004676F5">
        <w:rPr>
          <w:i/>
          <w:iCs/>
          <w:lang w:val="de-DE"/>
        </w:rPr>
        <w:t xml:space="preserve"> des G. vom 7. Juni 2023 (B.S. vom 7. Juli 2023)</w:t>
      </w:r>
      <w:r w:rsidRPr="004676F5">
        <w:rPr>
          <w:i/>
          <w:lang w:val="de-DE"/>
        </w:rPr>
        <w:t>]</w:t>
      </w:r>
    </w:p>
    <w:p w14:paraId="1911F99F" w14:textId="77777777" w:rsidR="00D35125" w:rsidRPr="004676F5" w:rsidRDefault="00D35125" w:rsidP="00D35125">
      <w:pPr>
        <w:jc w:val="both"/>
        <w:rPr>
          <w:i/>
          <w:lang w:val="de-DE"/>
        </w:rPr>
      </w:pPr>
    </w:p>
    <w:p w14:paraId="5069E9A9" w14:textId="77777777" w:rsidR="00567F8C" w:rsidRPr="004676F5" w:rsidRDefault="00567F8C" w:rsidP="00EE35E2">
      <w:pPr>
        <w:ind w:firstLine="708"/>
        <w:jc w:val="both"/>
        <w:rPr>
          <w:lang w:val="de-DE"/>
        </w:rPr>
      </w:pPr>
    </w:p>
    <w:p w14:paraId="0A35D143" w14:textId="228B3A18" w:rsidR="00EE35E2" w:rsidRPr="004676F5" w:rsidRDefault="00BE0A56" w:rsidP="00EE35E2">
      <w:pPr>
        <w:ind w:firstLine="708"/>
        <w:jc w:val="both"/>
        <w:rPr>
          <w:lang w:val="de-DE"/>
        </w:rPr>
      </w:pPr>
      <w:r w:rsidRPr="004676F5">
        <w:rPr>
          <w:b/>
          <w:lang w:val="de-DE"/>
        </w:rPr>
        <w:t>Art. </w:t>
      </w:r>
      <w:r w:rsidR="00EE35E2" w:rsidRPr="004676F5">
        <w:rPr>
          <w:b/>
          <w:lang w:val="de-DE"/>
        </w:rPr>
        <w:t>XX.203</w:t>
      </w:r>
      <w:r w:rsidR="00EE35E2" w:rsidRPr="004676F5">
        <w:rPr>
          <w:lang w:val="de-DE"/>
        </w:rPr>
        <w:t> </w:t>
      </w:r>
      <w:r w:rsidR="005B7A5C" w:rsidRPr="004676F5">
        <w:rPr>
          <w:lang w:val="de-DE"/>
        </w:rPr>
        <w:t>- </w:t>
      </w:r>
      <w:r w:rsidR="00EE35E2" w:rsidRPr="004676F5">
        <w:rPr>
          <w:lang w:val="de-DE"/>
        </w:rPr>
        <w:t>Bei Eröffnung eines Territorialinsolvenzverfahrens aufgrund von Artikel 3 Absatz 2 der Insolvenzverordnung wird die Konkurssituation der Niederlassung eines Schuldners unabhängig davon beurteilt, ob der Schuldner ein Unternehmen ist; ebenso wenig fließt die Lage der im Ausland gelegenen Niederlassungen des Schuldners in die diesbezügliche Entscheidung ein.</w:t>
      </w:r>
    </w:p>
    <w:p w14:paraId="4DA9BB26" w14:textId="77777777" w:rsidR="00EE35E2" w:rsidRPr="004676F5" w:rsidRDefault="00EE35E2" w:rsidP="00EE35E2">
      <w:pPr>
        <w:ind w:firstLine="708"/>
        <w:jc w:val="both"/>
        <w:rPr>
          <w:lang w:val="de-DE"/>
        </w:rPr>
      </w:pPr>
    </w:p>
    <w:p w14:paraId="037D8969" w14:textId="77777777" w:rsidR="00EE35E2" w:rsidRPr="004676F5" w:rsidRDefault="00EE35E2" w:rsidP="00EE35E2">
      <w:pPr>
        <w:ind w:firstLine="708"/>
        <w:jc w:val="both"/>
        <w:rPr>
          <w:lang w:val="de-DE"/>
        </w:rPr>
      </w:pPr>
      <w:r w:rsidRPr="004676F5">
        <w:rPr>
          <w:lang w:val="de-DE"/>
        </w:rPr>
        <w:t>Bei Eröffnung eines Territorialinsolvenzverfahrens aufgrund von Artikel 3 Absatz 3 der Insolvenzverordnung infolge der Anerkennung einer ausländischen gerichtlichen Entscheidung zur Eröffnung eines Hauptverfahrens wird die Konkurssituation aufgrund der Insolvenz des Schuldners nicht erneut geprüft, wenn es für das Hauptinsolvenzverfahren erforderlich war, dass der Schuldner insolvent ist.</w:t>
      </w:r>
    </w:p>
    <w:p w14:paraId="020D2424" w14:textId="77777777" w:rsidR="00EE35E2" w:rsidRPr="004676F5" w:rsidRDefault="00EE35E2" w:rsidP="00EE35E2">
      <w:pPr>
        <w:ind w:firstLine="708"/>
        <w:jc w:val="both"/>
        <w:rPr>
          <w:lang w:val="de-DE"/>
        </w:rPr>
      </w:pPr>
    </w:p>
    <w:p w14:paraId="4D3025E3" w14:textId="77777777" w:rsidR="00567F8C" w:rsidRPr="004676F5" w:rsidRDefault="00567F8C" w:rsidP="00EE35E2">
      <w:pPr>
        <w:ind w:firstLine="708"/>
        <w:jc w:val="both"/>
        <w:rPr>
          <w:lang w:val="de-DE"/>
        </w:rPr>
      </w:pPr>
    </w:p>
    <w:p w14:paraId="4B2A40C5" w14:textId="18690D12" w:rsidR="00EE35E2" w:rsidRPr="004676F5" w:rsidRDefault="00BE0A56" w:rsidP="00EE35E2">
      <w:pPr>
        <w:ind w:firstLine="708"/>
        <w:jc w:val="both"/>
        <w:rPr>
          <w:lang w:val="de-DE"/>
        </w:rPr>
      </w:pPr>
      <w:r w:rsidRPr="004676F5">
        <w:rPr>
          <w:b/>
          <w:lang w:val="de-DE"/>
        </w:rPr>
        <w:t>Art. </w:t>
      </w:r>
      <w:r w:rsidR="00EE35E2" w:rsidRPr="004676F5">
        <w:rPr>
          <w:b/>
          <w:lang w:val="de-DE"/>
        </w:rPr>
        <w:t>XX.204</w:t>
      </w:r>
      <w:r w:rsidR="00EE35E2" w:rsidRPr="004676F5">
        <w:rPr>
          <w:lang w:val="de-DE"/>
        </w:rPr>
        <w:t> </w:t>
      </w:r>
      <w:r w:rsidR="005B7A5C" w:rsidRPr="004676F5">
        <w:rPr>
          <w:lang w:val="de-DE"/>
        </w:rPr>
        <w:t>- </w:t>
      </w:r>
      <w:r w:rsidR="00EE35E2" w:rsidRPr="004676F5">
        <w:rPr>
          <w:lang w:val="de-DE"/>
        </w:rPr>
        <w:t xml:space="preserve">Wenn der </w:t>
      </w:r>
      <w:r w:rsidR="00891B45" w:rsidRPr="004676F5">
        <w:rPr>
          <w:lang w:val="de-DE"/>
        </w:rPr>
        <w:t xml:space="preserve">[Liquidationsbearbeiter] </w:t>
      </w:r>
      <w:r w:rsidR="00EE35E2" w:rsidRPr="004676F5">
        <w:rPr>
          <w:lang w:val="de-DE"/>
        </w:rPr>
        <w:t>eines in einem anderen Mitgliedstaat eröffneten Hauptinsolvenzverfahrens in Bezug auf das Vermögen, das in Belgien befindlich ist, gemäß Artikel 36 der Insolvenzverordnung eine einseitige Zusicherung des Inhalts geben möchte, muss diese Zusicherung in einer schriftlichen Unterlage festgehalten werden, von der eine authentifizierte Ausfertigung im Register hinterlegt wird. Eine Fassung in Deutsch, Französisch oder Niederländisch muss der schriftlichen Unterlage beigelegt werden, sollte die Zusicherung nicht in einer dieser Sprachen abgefasst sein.</w:t>
      </w:r>
    </w:p>
    <w:p w14:paraId="2F03A51A" w14:textId="77777777" w:rsidR="00EE35E2" w:rsidRPr="004676F5" w:rsidRDefault="00EE35E2" w:rsidP="00891B45">
      <w:pPr>
        <w:jc w:val="both"/>
        <w:rPr>
          <w:lang w:val="de-DE"/>
        </w:rPr>
      </w:pPr>
    </w:p>
    <w:p w14:paraId="0E7315AC" w14:textId="1EE481B0" w:rsidR="00891B45" w:rsidRPr="004676F5" w:rsidRDefault="00891B45" w:rsidP="00891B45">
      <w:pPr>
        <w:jc w:val="both"/>
        <w:rPr>
          <w:i/>
          <w:iCs/>
          <w:lang w:val="de-DE"/>
        </w:rPr>
      </w:pPr>
      <w:r w:rsidRPr="004676F5">
        <w:rPr>
          <w:i/>
          <w:iCs/>
          <w:lang w:val="de-DE"/>
        </w:rPr>
        <w:t>[Art. XX.204 abgeändert durch Art. 240 des G. vom 7. Juni 2023 (B.S. vom 7. Juli 2023)]</w:t>
      </w:r>
    </w:p>
    <w:p w14:paraId="798D3B41" w14:textId="77777777" w:rsidR="00891B45" w:rsidRPr="004676F5" w:rsidRDefault="00891B45" w:rsidP="00891B45">
      <w:pPr>
        <w:jc w:val="both"/>
        <w:rPr>
          <w:i/>
          <w:iCs/>
          <w:lang w:val="de-DE"/>
        </w:rPr>
      </w:pPr>
    </w:p>
    <w:p w14:paraId="39E1A0A0" w14:textId="77777777" w:rsidR="00567F8C" w:rsidRPr="004676F5" w:rsidRDefault="00567F8C" w:rsidP="00EE35E2">
      <w:pPr>
        <w:ind w:firstLine="708"/>
        <w:jc w:val="both"/>
        <w:rPr>
          <w:lang w:val="de-DE"/>
        </w:rPr>
      </w:pPr>
    </w:p>
    <w:p w14:paraId="1FDBED39" w14:textId="2385F6F0" w:rsidR="00EE35E2" w:rsidRPr="004676F5" w:rsidRDefault="00BE0A56" w:rsidP="00EE35E2">
      <w:pPr>
        <w:ind w:firstLine="708"/>
        <w:jc w:val="both"/>
        <w:rPr>
          <w:lang w:val="de-DE"/>
        </w:rPr>
      </w:pPr>
      <w:r w:rsidRPr="004676F5">
        <w:rPr>
          <w:b/>
          <w:lang w:val="de-DE"/>
        </w:rPr>
        <w:t>Art. </w:t>
      </w:r>
      <w:r w:rsidR="00EE35E2" w:rsidRPr="004676F5">
        <w:rPr>
          <w:b/>
          <w:lang w:val="de-DE"/>
        </w:rPr>
        <w:t>XX.205</w:t>
      </w:r>
      <w:r w:rsidR="00EE35E2" w:rsidRPr="004676F5">
        <w:rPr>
          <w:lang w:val="de-DE"/>
        </w:rPr>
        <w:t> </w:t>
      </w:r>
      <w:r w:rsidR="005B7A5C" w:rsidRPr="004676F5">
        <w:rPr>
          <w:lang w:val="de-DE"/>
        </w:rPr>
        <w:t>- </w:t>
      </w:r>
      <w:r w:rsidR="00EE35E2" w:rsidRPr="004676F5">
        <w:rPr>
          <w:lang w:val="de-DE"/>
        </w:rPr>
        <w:t xml:space="preserve">Wenn in einem anderen Mitgliedstaat ein Hauptverfahren aufgrund von Artikel 3 Absatz 1 der Insolvenzverordnung eröffnet wurde, setzt der Greffier den </w:t>
      </w:r>
      <w:r w:rsidR="00891B45" w:rsidRPr="004676F5">
        <w:rPr>
          <w:lang w:val="de-DE"/>
        </w:rPr>
        <w:t xml:space="preserve">[Liquidationsbearbeiter] </w:t>
      </w:r>
      <w:r w:rsidR="00EE35E2" w:rsidRPr="004676F5">
        <w:rPr>
          <w:lang w:val="de-DE"/>
        </w:rPr>
        <w:t xml:space="preserve">binnen fünfzehn Tagen schriftlich von jedem Antrag auf Eröffnung eines Sekundärinsolvenzverfahrens in Kenntnis; er gibt dabei an, dass dieser seinen Standpunkt innerhalb einer vom Gericht festgelegten Frist mitteilen kann. Solange dem </w:t>
      </w:r>
      <w:r w:rsidR="00891B45" w:rsidRPr="004676F5">
        <w:rPr>
          <w:lang w:val="de-DE"/>
        </w:rPr>
        <w:t xml:space="preserve">[Liquidationsbearbeiter] </w:t>
      </w:r>
      <w:r w:rsidR="00EE35E2" w:rsidRPr="004676F5">
        <w:rPr>
          <w:lang w:val="de-DE"/>
        </w:rPr>
        <w:t>nicht die Gelegenheit gegeben worden ist, sich zu dem Antrag zu äußern, kann kein Sekundär</w:t>
      </w:r>
      <w:r w:rsidR="00EE35E2" w:rsidRPr="004676F5">
        <w:rPr>
          <w:lang w:val="de-DE"/>
        </w:rPr>
        <w:softHyphen/>
        <w:t>insolvenzverfahren eröffnet werden.</w:t>
      </w:r>
    </w:p>
    <w:p w14:paraId="5328680A" w14:textId="77777777" w:rsidR="00EE35E2" w:rsidRPr="004676F5" w:rsidRDefault="00EE35E2" w:rsidP="00EE35E2">
      <w:pPr>
        <w:ind w:firstLine="708"/>
        <w:jc w:val="both"/>
        <w:rPr>
          <w:lang w:val="de-DE"/>
        </w:rPr>
      </w:pPr>
    </w:p>
    <w:p w14:paraId="502C3AA6" w14:textId="3BCEF86F" w:rsidR="00EE35E2" w:rsidRPr="004676F5" w:rsidRDefault="00EE35E2" w:rsidP="00EE35E2">
      <w:pPr>
        <w:ind w:firstLine="708"/>
        <w:jc w:val="both"/>
        <w:rPr>
          <w:lang w:val="de-DE"/>
        </w:rPr>
      </w:pPr>
      <w:r w:rsidRPr="004676F5">
        <w:rPr>
          <w:lang w:val="de-DE"/>
        </w:rPr>
        <w:t>Interessehabende können jedoch durch Antragschrift die Bestellung eines Ad-hoc-</w:t>
      </w:r>
      <w:r w:rsidR="00891B45" w:rsidRPr="004676F5">
        <w:rPr>
          <w:lang w:val="de-DE"/>
        </w:rPr>
        <w:t xml:space="preserve">[Liquidationsbearbeiters] </w:t>
      </w:r>
      <w:r w:rsidRPr="004676F5">
        <w:rPr>
          <w:lang w:val="de-DE"/>
        </w:rPr>
        <w:t>beantragen, der im Rahmen der Ausführung oder Fortsetzung von Arbeitsverträgen, die in Belgien geschlossen wurden, Sicherungsmaßnahmen ergreifen kann.</w:t>
      </w:r>
    </w:p>
    <w:p w14:paraId="4BD2C52D" w14:textId="77777777" w:rsidR="00EE35E2" w:rsidRPr="004676F5" w:rsidRDefault="00EE35E2" w:rsidP="00891B45">
      <w:pPr>
        <w:jc w:val="both"/>
        <w:rPr>
          <w:lang w:val="de-DE"/>
        </w:rPr>
      </w:pPr>
    </w:p>
    <w:p w14:paraId="5A645520" w14:textId="28570BC5" w:rsidR="00891B45" w:rsidRPr="004676F5" w:rsidRDefault="00891B45" w:rsidP="00891B45">
      <w:pPr>
        <w:jc w:val="both"/>
        <w:rPr>
          <w:i/>
          <w:iCs/>
          <w:lang w:val="de-DE"/>
        </w:rPr>
      </w:pPr>
      <w:r w:rsidRPr="004676F5">
        <w:rPr>
          <w:i/>
          <w:iCs/>
          <w:lang w:val="de-DE"/>
        </w:rPr>
        <w:t>[Art. XX.205 Abs. 1 und 2 abgeändert durch Art. 241 des G. vom 7. Juni 2023 (B.S. vom 7. Juli 2023)]</w:t>
      </w:r>
    </w:p>
    <w:p w14:paraId="20DDD484" w14:textId="77777777" w:rsidR="00891B45" w:rsidRPr="004676F5" w:rsidRDefault="00891B45" w:rsidP="00891B45">
      <w:pPr>
        <w:jc w:val="both"/>
        <w:rPr>
          <w:lang w:val="de-DE"/>
        </w:rPr>
      </w:pPr>
    </w:p>
    <w:p w14:paraId="6FE32523" w14:textId="77777777" w:rsidR="00567F8C" w:rsidRPr="004676F5" w:rsidRDefault="00567F8C" w:rsidP="00EE35E2">
      <w:pPr>
        <w:ind w:firstLine="708"/>
        <w:jc w:val="both"/>
        <w:rPr>
          <w:lang w:val="de-DE"/>
        </w:rPr>
      </w:pPr>
    </w:p>
    <w:p w14:paraId="7814AF17" w14:textId="715FBEA7" w:rsidR="00EE35E2" w:rsidRPr="004676F5" w:rsidRDefault="00BE0A56" w:rsidP="00EE35E2">
      <w:pPr>
        <w:ind w:firstLine="708"/>
        <w:jc w:val="both"/>
        <w:rPr>
          <w:lang w:val="de-DE"/>
        </w:rPr>
      </w:pPr>
      <w:r w:rsidRPr="004676F5">
        <w:rPr>
          <w:b/>
          <w:lang w:val="de-DE"/>
        </w:rPr>
        <w:t>Art. </w:t>
      </w:r>
      <w:r w:rsidR="00EE35E2" w:rsidRPr="004676F5">
        <w:rPr>
          <w:b/>
          <w:lang w:val="de-DE"/>
        </w:rPr>
        <w:t>XX.206</w:t>
      </w:r>
      <w:r w:rsidR="00EE35E2" w:rsidRPr="004676F5">
        <w:rPr>
          <w:lang w:val="de-DE"/>
        </w:rPr>
        <w:t> </w:t>
      </w:r>
      <w:r w:rsidR="005B7A5C" w:rsidRPr="004676F5">
        <w:rPr>
          <w:lang w:val="de-DE"/>
        </w:rPr>
        <w:t>- </w:t>
      </w:r>
      <w:r w:rsidR="00EE35E2" w:rsidRPr="004676F5">
        <w:rPr>
          <w:lang w:val="de-DE"/>
        </w:rPr>
        <w:t xml:space="preserve">Ein Eingreifen eines </w:t>
      </w:r>
      <w:r w:rsidR="00891B45" w:rsidRPr="004676F5">
        <w:rPr>
          <w:lang w:val="de-DE"/>
        </w:rPr>
        <w:t xml:space="preserve">[Liquidationsbearbeiters] </w:t>
      </w:r>
      <w:r w:rsidR="00EE35E2" w:rsidRPr="004676F5">
        <w:rPr>
          <w:lang w:val="de-DE"/>
        </w:rPr>
        <w:t>in ein Insolvenzverfahren in einem anderen Mitgliedstaat erfolgt über einen Rechtsanwalt.</w:t>
      </w:r>
    </w:p>
    <w:p w14:paraId="4C8DFD77" w14:textId="77777777" w:rsidR="00EE35E2" w:rsidRPr="004676F5" w:rsidRDefault="00EE35E2" w:rsidP="00891B45">
      <w:pPr>
        <w:jc w:val="both"/>
        <w:rPr>
          <w:lang w:val="de-DE"/>
        </w:rPr>
      </w:pPr>
    </w:p>
    <w:p w14:paraId="4E4266C4" w14:textId="65CCE793" w:rsidR="00891B45" w:rsidRPr="004676F5" w:rsidRDefault="00891B45" w:rsidP="00891B45">
      <w:pPr>
        <w:jc w:val="both"/>
        <w:rPr>
          <w:i/>
          <w:iCs/>
          <w:lang w:val="de-DE"/>
        </w:rPr>
      </w:pPr>
      <w:r w:rsidRPr="004676F5">
        <w:rPr>
          <w:i/>
          <w:iCs/>
          <w:lang w:val="de-DE"/>
        </w:rPr>
        <w:t>[Art. XX.206 abgeändert durch Art. 242 des G. vom 7. Juni 2023 (B.S. vom 7. Juli 2023)]</w:t>
      </w:r>
    </w:p>
    <w:p w14:paraId="119F80D6" w14:textId="77777777" w:rsidR="00891B45" w:rsidRPr="004676F5" w:rsidRDefault="00891B45" w:rsidP="00891B45">
      <w:pPr>
        <w:jc w:val="both"/>
        <w:rPr>
          <w:lang w:val="de-DE"/>
        </w:rPr>
      </w:pPr>
    </w:p>
    <w:p w14:paraId="7E419EA9" w14:textId="77777777" w:rsidR="00567F8C" w:rsidRPr="004676F5" w:rsidRDefault="00567F8C" w:rsidP="00EE35E2">
      <w:pPr>
        <w:ind w:firstLine="708"/>
        <w:jc w:val="both"/>
        <w:rPr>
          <w:lang w:val="de-DE"/>
        </w:rPr>
      </w:pPr>
    </w:p>
    <w:p w14:paraId="3670B0D5" w14:textId="343605EC" w:rsidR="00EE35E2" w:rsidRPr="004676F5" w:rsidRDefault="00BE0A56" w:rsidP="00EE35E2">
      <w:pPr>
        <w:ind w:firstLine="708"/>
        <w:jc w:val="both"/>
        <w:rPr>
          <w:lang w:val="de-DE"/>
        </w:rPr>
      </w:pPr>
      <w:r w:rsidRPr="004676F5">
        <w:rPr>
          <w:b/>
          <w:lang w:val="de-DE"/>
        </w:rPr>
        <w:t>Art. </w:t>
      </w:r>
      <w:r w:rsidR="00EE35E2" w:rsidRPr="004676F5">
        <w:rPr>
          <w:b/>
          <w:lang w:val="de-DE"/>
        </w:rPr>
        <w:t>XX.207</w:t>
      </w:r>
      <w:r w:rsidR="00EE35E2" w:rsidRPr="004676F5">
        <w:rPr>
          <w:lang w:val="de-DE"/>
        </w:rPr>
        <w:t> </w:t>
      </w:r>
      <w:r w:rsidR="005B7A5C" w:rsidRPr="004676F5">
        <w:rPr>
          <w:lang w:val="de-DE"/>
        </w:rPr>
        <w:t>- </w:t>
      </w:r>
      <w:r w:rsidR="00EE35E2" w:rsidRPr="004676F5">
        <w:rPr>
          <w:lang w:val="de-DE"/>
        </w:rPr>
        <w:t>Wird bei einem belgischen Gericht ein Antrag auf Eröffnung eines Insolvenzverfahrens anhängig gemacht oder hat ein belgisches Gericht ein Insolvenzverfahren eröffnet aufgrund der Insolvenzverordnung, fällt ein Antrag auf Zusammenarbeit mit einem Gericht eines anderen Mitgliedstaates, bei dem ein Antrag auf Eröffnung eines Insolvenz</w:t>
      </w:r>
      <w:r w:rsidR="00EE35E2" w:rsidRPr="004676F5">
        <w:rPr>
          <w:lang w:val="de-DE"/>
        </w:rPr>
        <w:softHyphen/>
        <w:t>verfahrens anhängig ist oder das ein solches Verfahren eröffnet hat, in die Zuständigkeit des Konkursrichters oder des beauftragten Richters.</w:t>
      </w:r>
    </w:p>
    <w:p w14:paraId="1C3CA38A" w14:textId="77777777" w:rsidR="00EE35E2" w:rsidRPr="004676F5" w:rsidRDefault="00EE35E2" w:rsidP="00EE35E2">
      <w:pPr>
        <w:ind w:firstLine="708"/>
        <w:jc w:val="both"/>
        <w:rPr>
          <w:lang w:val="de-DE"/>
        </w:rPr>
      </w:pPr>
    </w:p>
    <w:p w14:paraId="5D5A9589" w14:textId="77777777" w:rsidR="00EE35E2" w:rsidRPr="004676F5" w:rsidRDefault="00EE35E2" w:rsidP="00EE35E2">
      <w:pPr>
        <w:ind w:firstLine="708"/>
        <w:jc w:val="both"/>
        <w:rPr>
          <w:lang w:val="de-DE"/>
        </w:rPr>
      </w:pPr>
      <w:r w:rsidRPr="004676F5">
        <w:rPr>
          <w:lang w:val="de-DE"/>
        </w:rPr>
        <w:t>Diese Bestimmung ist ebenfalls anwendbar, wenn ein belgisches Gericht ein Insolvenz</w:t>
      </w:r>
      <w:r w:rsidRPr="004676F5">
        <w:rPr>
          <w:lang w:val="de-DE"/>
        </w:rPr>
        <w:softHyphen/>
        <w:t>verfahren in Bezug auf ein Mitglied einer Unternehmensgruppe eröffnet hat, wenn bei einem Gericht eines anderen Mitgliedstaates ein Antrag auf Eröffnung eines Verfahrens in Bezug auf ein anderes Mitglied derselben Gruppe anhängig ist oder dieses Gericht ein solches Verfahren eröffnet hat.</w:t>
      </w:r>
    </w:p>
    <w:p w14:paraId="77278FA5" w14:textId="77777777" w:rsidR="00EE35E2" w:rsidRPr="004676F5" w:rsidRDefault="00EE35E2" w:rsidP="00EE35E2">
      <w:pPr>
        <w:ind w:firstLine="708"/>
        <w:jc w:val="both"/>
        <w:rPr>
          <w:lang w:val="de-DE"/>
        </w:rPr>
      </w:pPr>
    </w:p>
    <w:p w14:paraId="43BE95D7" w14:textId="77777777" w:rsidR="00567F8C" w:rsidRPr="004676F5" w:rsidRDefault="00567F8C" w:rsidP="00EE35E2">
      <w:pPr>
        <w:ind w:firstLine="708"/>
        <w:jc w:val="both"/>
        <w:rPr>
          <w:lang w:val="de-DE"/>
        </w:rPr>
      </w:pPr>
    </w:p>
    <w:p w14:paraId="01873E56" w14:textId="2A127ABC" w:rsidR="00EE35E2" w:rsidRPr="004676F5" w:rsidRDefault="00BE0A56" w:rsidP="00EE35E2">
      <w:pPr>
        <w:ind w:firstLine="708"/>
        <w:jc w:val="both"/>
        <w:rPr>
          <w:lang w:val="de-DE"/>
        </w:rPr>
      </w:pPr>
      <w:r w:rsidRPr="004676F5">
        <w:rPr>
          <w:b/>
          <w:lang w:val="de-DE"/>
        </w:rPr>
        <w:t>Art. </w:t>
      </w:r>
      <w:r w:rsidR="00EE35E2" w:rsidRPr="004676F5">
        <w:rPr>
          <w:b/>
          <w:lang w:val="de-DE"/>
        </w:rPr>
        <w:t>XX.208</w:t>
      </w:r>
      <w:r w:rsidR="00EE35E2" w:rsidRPr="004676F5">
        <w:rPr>
          <w:lang w:val="de-DE"/>
        </w:rPr>
        <w:t> </w:t>
      </w:r>
      <w:r w:rsidR="005B7A5C" w:rsidRPr="004676F5">
        <w:rPr>
          <w:lang w:val="de-DE"/>
        </w:rPr>
        <w:t>- </w:t>
      </w:r>
      <w:r w:rsidR="00EE35E2" w:rsidRPr="004676F5">
        <w:rPr>
          <w:lang w:val="de-DE"/>
        </w:rPr>
        <w:t xml:space="preserve">Wird bei einem belgischen Gericht ein Antrag auf Eröffnung eines Insolvenzverfahrens anhängig gemacht oder hat ein belgisches Gericht ein Insolvenzverfahren eröffnet aufgrund der Insolvenzverordnung, fällt ein Antrag auf Zusammenarbeit dieses Gerichts mit einem von einem Gericht eines anderen Mitgliedstaates bestellten </w:t>
      </w:r>
      <w:r w:rsidR="00891B45" w:rsidRPr="004676F5">
        <w:rPr>
          <w:lang w:val="de-DE"/>
        </w:rPr>
        <w:t xml:space="preserve">[Liquidationsbearbeiter] </w:t>
      </w:r>
      <w:r w:rsidR="00EE35E2" w:rsidRPr="004676F5">
        <w:rPr>
          <w:lang w:val="de-DE"/>
        </w:rPr>
        <w:t>in die Zuständigkeit des Konkursrichters oder des beauftragten Richters.</w:t>
      </w:r>
    </w:p>
    <w:p w14:paraId="3C6F2BEE" w14:textId="77777777" w:rsidR="00EE35E2" w:rsidRPr="004676F5" w:rsidRDefault="00EE35E2" w:rsidP="00891B45">
      <w:pPr>
        <w:jc w:val="both"/>
        <w:rPr>
          <w:lang w:val="de-DE"/>
        </w:rPr>
      </w:pPr>
    </w:p>
    <w:p w14:paraId="27968DA7" w14:textId="489560B6" w:rsidR="00891B45" w:rsidRPr="004676F5" w:rsidRDefault="00891B45" w:rsidP="00891B45">
      <w:pPr>
        <w:jc w:val="both"/>
        <w:rPr>
          <w:i/>
          <w:iCs/>
          <w:lang w:val="de-DE"/>
        </w:rPr>
      </w:pPr>
      <w:r w:rsidRPr="004676F5">
        <w:rPr>
          <w:i/>
          <w:iCs/>
          <w:lang w:val="de-DE"/>
        </w:rPr>
        <w:t>[Art. XX.208 abgeändert durch Art. 243 des G. vom 7. Juni 2023 (B.S. vom 7. Juli 2023)]</w:t>
      </w:r>
    </w:p>
    <w:p w14:paraId="3A43F741" w14:textId="77777777" w:rsidR="00891B45" w:rsidRPr="004676F5" w:rsidRDefault="00891B45" w:rsidP="00891B45">
      <w:pPr>
        <w:jc w:val="both"/>
        <w:rPr>
          <w:lang w:val="de-DE"/>
        </w:rPr>
      </w:pPr>
    </w:p>
    <w:p w14:paraId="0FF51644" w14:textId="77777777" w:rsidR="00567F8C" w:rsidRPr="004676F5" w:rsidRDefault="00567F8C" w:rsidP="00EE35E2">
      <w:pPr>
        <w:ind w:firstLine="708"/>
        <w:jc w:val="both"/>
        <w:rPr>
          <w:lang w:val="de-DE"/>
        </w:rPr>
      </w:pPr>
    </w:p>
    <w:p w14:paraId="4863F49C" w14:textId="074D34AB" w:rsidR="00EE35E2" w:rsidRPr="004676F5" w:rsidRDefault="00BE0A56" w:rsidP="00EE35E2">
      <w:pPr>
        <w:ind w:firstLine="708"/>
        <w:jc w:val="both"/>
        <w:rPr>
          <w:lang w:val="de-DE"/>
        </w:rPr>
      </w:pPr>
      <w:r w:rsidRPr="004676F5">
        <w:rPr>
          <w:b/>
          <w:lang w:val="de-DE"/>
        </w:rPr>
        <w:t>Art. </w:t>
      </w:r>
      <w:r w:rsidR="00EE35E2" w:rsidRPr="004676F5">
        <w:rPr>
          <w:b/>
          <w:lang w:val="de-DE"/>
        </w:rPr>
        <w:t>XX.209</w:t>
      </w:r>
      <w:r w:rsidR="00EE35E2" w:rsidRPr="004676F5">
        <w:rPr>
          <w:lang w:val="de-DE"/>
        </w:rPr>
        <w:t> </w:t>
      </w:r>
      <w:r w:rsidR="005B7A5C" w:rsidRPr="004676F5">
        <w:rPr>
          <w:lang w:val="de-DE"/>
        </w:rPr>
        <w:t>- </w:t>
      </w:r>
      <w:r w:rsidR="00EE35E2" w:rsidRPr="004676F5">
        <w:rPr>
          <w:lang w:val="de-DE"/>
        </w:rPr>
        <w:t>Der Konkursrichter oder der beauftragte Richter ist ermächtigt, mit Gerichten anderer Mitgliedstaaten oder Personen, die diese bestellt haben, direkt zu kommunizieren und sie direkt um Informationen und Unterstützung zu ersuchen.</w:t>
      </w:r>
    </w:p>
    <w:p w14:paraId="3DABF092" w14:textId="77777777" w:rsidR="00EE35E2" w:rsidRPr="004676F5" w:rsidRDefault="00EE35E2" w:rsidP="00EE35E2">
      <w:pPr>
        <w:ind w:firstLine="708"/>
        <w:jc w:val="both"/>
        <w:rPr>
          <w:lang w:val="de-DE"/>
        </w:rPr>
      </w:pPr>
    </w:p>
    <w:p w14:paraId="0838DA19" w14:textId="77777777" w:rsidR="00EE35E2" w:rsidRPr="004676F5" w:rsidRDefault="00EE35E2" w:rsidP="00EE35E2">
      <w:pPr>
        <w:ind w:firstLine="708"/>
        <w:jc w:val="both"/>
        <w:rPr>
          <w:lang w:val="de-DE"/>
        </w:rPr>
      </w:pPr>
      <w:r w:rsidRPr="004676F5">
        <w:rPr>
          <w:lang w:val="de-DE"/>
        </w:rPr>
        <w:t>Die Kommunikation kann auf jedem als geeignet erachteten Weg erfolgen.</w:t>
      </w:r>
    </w:p>
    <w:p w14:paraId="06A640C1" w14:textId="77777777" w:rsidR="004A6A0B" w:rsidRPr="004676F5" w:rsidRDefault="004A6A0B">
      <w:pPr>
        <w:rPr>
          <w:lang w:val="de-DE"/>
        </w:rPr>
      </w:pPr>
      <w:r w:rsidRPr="004676F5">
        <w:rPr>
          <w:lang w:val="de-DE"/>
        </w:rPr>
        <w:br w:type="page"/>
      </w:r>
    </w:p>
    <w:p w14:paraId="752F6D06" w14:textId="017528AE" w:rsidR="00EE35E2" w:rsidRPr="004676F5" w:rsidRDefault="00EE35E2" w:rsidP="00EE35E2">
      <w:pPr>
        <w:ind w:firstLine="708"/>
        <w:jc w:val="both"/>
        <w:rPr>
          <w:lang w:val="de-DE"/>
        </w:rPr>
      </w:pPr>
      <w:r w:rsidRPr="004676F5">
        <w:rPr>
          <w:lang w:val="de-DE"/>
        </w:rPr>
        <w:lastRenderedPageBreak/>
        <w:t xml:space="preserve">Der Konkursrichter oder der beauftragte Richter vermerkt im Register alle Kontakte, die er mit einem Gericht eines anderen Mitgliedstaates oder einer Person, die dieses Gericht bestellt hat, und mit einem von einem Gericht eines anderen Mitgliedstaates bestellten </w:t>
      </w:r>
      <w:r w:rsidR="00891B45" w:rsidRPr="004676F5">
        <w:rPr>
          <w:lang w:val="de-DE"/>
        </w:rPr>
        <w:t xml:space="preserve">[Liquidationsbearbeiter] </w:t>
      </w:r>
      <w:r w:rsidRPr="004676F5">
        <w:rPr>
          <w:lang w:val="de-DE"/>
        </w:rPr>
        <w:t>hat.</w:t>
      </w:r>
    </w:p>
    <w:p w14:paraId="6D01FC3D" w14:textId="77777777" w:rsidR="00891B45" w:rsidRPr="004676F5" w:rsidRDefault="00891B45" w:rsidP="00891B45">
      <w:pPr>
        <w:jc w:val="both"/>
        <w:rPr>
          <w:lang w:val="de-DE"/>
        </w:rPr>
      </w:pPr>
    </w:p>
    <w:p w14:paraId="1BC766D1" w14:textId="7DBD06A4" w:rsidR="00891B45" w:rsidRPr="004676F5" w:rsidRDefault="00891B45" w:rsidP="00891B45">
      <w:pPr>
        <w:jc w:val="both"/>
        <w:rPr>
          <w:i/>
          <w:iCs/>
          <w:lang w:val="de-DE"/>
        </w:rPr>
      </w:pPr>
      <w:r w:rsidRPr="004676F5">
        <w:rPr>
          <w:i/>
          <w:iCs/>
          <w:lang w:val="de-DE"/>
        </w:rPr>
        <w:t>[Art. XX.209 Abs. 3 abgeändert durch Art. 244 des G. vom 7. Juni 2023 (B.S. vom 7. Juli 2023)]</w:t>
      </w:r>
    </w:p>
    <w:p w14:paraId="48C32374" w14:textId="77777777" w:rsidR="00891B45" w:rsidRPr="004676F5" w:rsidRDefault="00891B45" w:rsidP="00891B45">
      <w:pPr>
        <w:jc w:val="both"/>
        <w:rPr>
          <w:lang w:val="de-DE"/>
        </w:rPr>
      </w:pPr>
    </w:p>
    <w:p w14:paraId="37766C93" w14:textId="77777777" w:rsidR="00EE35E2" w:rsidRPr="004676F5" w:rsidRDefault="00EE35E2" w:rsidP="00EE35E2">
      <w:pPr>
        <w:jc w:val="both"/>
        <w:rPr>
          <w:lang w:val="de-DE"/>
        </w:rPr>
      </w:pPr>
    </w:p>
    <w:p w14:paraId="553024BC" w14:textId="77777777" w:rsidR="00567F8C" w:rsidRPr="004676F5" w:rsidRDefault="00567F8C">
      <w:pPr>
        <w:rPr>
          <w:lang w:val="de-DE"/>
        </w:rPr>
      </w:pPr>
      <w:r w:rsidRPr="004676F5">
        <w:rPr>
          <w:lang w:val="de-DE"/>
        </w:rPr>
        <w:br w:type="page"/>
      </w:r>
    </w:p>
    <w:p w14:paraId="32FE1844" w14:textId="2FA8B727" w:rsidR="00EE35E2" w:rsidRPr="004676F5" w:rsidRDefault="00EE35E2" w:rsidP="00EE35E2">
      <w:pPr>
        <w:jc w:val="center"/>
        <w:rPr>
          <w:lang w:val="de-DE"/>
        </w:rPr>
      </w:pPr>
      <w:r w:rsidRPr="004676F5">
        <w:rPr>
          <w:lang w:val="de-DE"/>
        </w:rPr>
        <w:lastRenderedPageBreak/>
        <w:t>KAPITEL 2 </w:t>
      </w:r>
      <w:r w:rsidR="005B7A5C" w:rsidRPr="004676F5">
        <w:rPr>
          <w:lang w:val="de-DE"/>
        </w:rPr>
        <w:t>- </w:t>
      </w:r>
      <w:r w:rsidRPr="004676F5">
        <w:rPr>
          <w:i/>
          <w:lang w:val="de-DE"/>
        </w:rPr>
        <w:t>Andere grenzüberschreitende Insolvenzverfahren</w:t>
      </w:r>
    </w:p>
    <w:p w14:paraId="58F5A59E" w14:textId="77777777" w:rsidR="00EE35E2" w:rsidRPr="004676F5" w:rsidRDefault="00EE35E2" w:rsidP="00EE35E2">
      <w:pPr>
        <w:jc w:val="both"/>
        <w:rPr>
          <w:lang w:val="de-DE"/>
        </w:rPr>
      </w:pPr>
    </w:p>
    <w:p w14:paraId="62DF9216" w14:textId="77777777" w:rsidR="00567F8C" w:rsidRPr="004676F5" w:rsidRDefault="00567F8C" w:rsidP="00EE35E2">
      <w:pPr>
        <w:jc w:val="both"/>
        <w:rPr>
          <w:lang w:val="de-DE"/>
        </w:rPr>
      </w:pPr>
    </w:p>
    <w:p w14:paraId="35F44137" w14:textId="37725E75" w:rsidR="00EE35E2" w:rsidRPr="004676F5" w:rsidRDefault="00BE0A56" w:rsidP="00EE35E2">
      <w:pPr>
        <w:ind w:firstLine="708"/>
        <w:jc w:val="both"/>
        <w:rPr>
          <w:lang w:val="de-DE"/>
        </w:rPr>
      </w:pPr>
      <w:r w:rsidRPr="004676F5">
        <w:rPr>
          <w:b/>
          <w:lang w:val="de-DE"/>
        </w:rPr>
        <w:t>Art. </w:t>
      </w:r>
      <w:r w:rsidR="00EE35E2" w:rsidRPr="004676F5">
        <w:rPr>
          <w:b/>
          <w:lang w:val="de-DE"/>
        </w:rPr>
        <w:t>XX.210</w:t>
      </w:r>
      <w:r w:rsidR="00EE35E2" w:rsidRPr="004676F5">
        <w:rPr>
          <w:lang w:val="de-DE"/>
        </w:rPr>
        <w:t> </w:t>
      </w:r>
      <w:r w:rsidR="005B7A5C" w:rsidRPr="004676F5">
        <w:rPr>
          <w:lang w:val="de-DE"/>
        </w:rPr>
        <w:t>- </w:t>
      </w:r>
      <w:r w:rsidR="00EE35E2" w:rsidRPr="004676F5">
        <w:rPr>
          <w:lang w:val="de-DE"/>
        </w:rPr>
        <w:t>Vorliegendes Kapitel findet Anwendung, wenn die Verord</w:t>
      </w:r>
      <w:r w:rsidR="00EE35E2" w:rsidRPr="004676F5">
        <w:rPr>
          <w:lang w:val="de-DE"/>
        </w:rPr>
        <w:softHyphen/>
        <w:t>nung (EU) 2015/848 des Europäischen Parlaments und des Rates über Insolvenzverfahren nicht anwendbar ist.</w:t>
      </w:r>
    </w:p>
    <w:p w14:paraId="7676B20B" w14:textId="77777777" w:rsidR="00EE35E2" w:rsidRPr="004676F5" w:rsidRDefault="00EE35E2" w:rsidP="00EE35E2">
      <w:pPr>
        <w:ind w:firstLine="708"/>
        <w:jc w:val="both"/>
        <w:rPr>
          <w:lang w:val="de-DE"/>
        </w:rPr>
      </w:pPr>
    </w:p>
    <w:p w14:paraId="429952BF" w14:textId="77777777" w:rsidR="00567F8C" w:rsidRPr="004676F5" w:rsidRDefault="00567F8C" w:rsidP="00EE35E2">
      <w:pPr>
        <w:ind w:firstLine="708"/>
        <w:jc w:val="both"/>
        <w:rPr>
          <w:lang w:val="de-DE"/>
        </w:rPr>
      </w:pPr>
    </w:p>
    <w:p w14:paraId="0F0841E1" w14:textId="0E9A0F68" w:rsidR="00EE35E2" w:rsidRPr="004676F5" w:rsidRDefault="00BE0A56" w:rsidP="00EE35E2">
      <w:pPr>
        <w:ind w:firstLine="708"/>
        <w:jc w:val="both"/>
        <w:rPr>
          <w:lang w:val="de-DE"/>
        </w:rPr>
      </w:pPr>
      <w:r w:rsidRPr="004676F5">
        <w:rPr>
          <w:b/>
          <w:lang w:val="de-DE"/>
        </w:rPr>
        <w:t>Art. </w:t>
      </w:r>
      <w:r w:rsidR="00EE35E2" w:rsidRPr="004676F5">
        <w:rPr>
          <w:b/>
          <w:lang w:val="de-DE"/>
        </w:rPr>
        <w:t>XX.211</w:t>
      </w:r>
      <w:r w:rsidR="00EE35E2" w:rsidRPr="004676F5">
        <w:rPr>
          <w:lang w:val="de-DE"/>
        </w:rPr>
        <w:t> </w:t>
      </w:r>
      <w:r w:rsidR="005B7A5C" w:rsidRPr="004676F5">
        <w:rPr>
          <w:lang w:val="de-DE"/>
        </w:rPr>
        <w:t>- </w:t>
      </w:r>
      <w:r w:rsidR="00EE35E2" w:rsidRPr="004676F5">
        <w:rPr>
          <w:lang w:val="de-DE"/>
        </w:rPr>
        <w:t>Bei Eröffnung eines Territorialinsolvenzverfahrens aufgrund von Artikel 118 § 1 Absatz 2 Nr. 2 des Gesetzbuches über das internationale Privatrecht wird die Konkurssituation der Niederlassung eines Schuldners unabhängig davon beurteilt, ob der Schuldner ein Unternehmen ist; ebenso wenig fließt die Lage der im Ausland gelegenen Niederlassungen des Schuldners in die diesbezügliche Entscheidung ein.</w:t>
      </w:r>
    </w:p>
    <w:p w14:paraId="4AD41C12" w14:textId="77777777" w:rsidR="00EE35E2" w:rsidRPr="004676F5" w:rsidRDefault="00EE35E2" w:rsidP="00EE35E2">
      <w:pPr>
        <w:ind w:firstLine="708"/>
        <w:jc w:val="both"/>
        <w:rPr>
          <w:lang w:val="de-DE"/>
        </w:rPr>
      </w:pPr>
    </w:p>
    <w:p w14:paraId="4645B562" w14:textId="77777777" w:rsidR="00EE35E2" w:rsidRPr="004676F5" w:rsidRDefault="00EE35E2" w:rsidP="00EE35E2">
      <w:pPr>
        <w:ind w:firstLine="708"/>
        <w:jc w:val="both"/>
        <w:rPr>
          <w:lang w:val="de-DE"/>
        </w:rPr>
      </w:pPr>
      <w:r w:rsidRPr="004676F5">
        <w:rPr>
          <w:lang w:val="de-DE"/>
        </w:rPr>
        <w:t>Bei Eröffnung eines Territorialinsolvenzverfahrens aufgrund von Artikel 118 § 1 Absatz 2 Nr. 2 des Gesetzbuches über das internationale Privatrecht infolge der Anerkennung einer ausländischen gerichtlichen Entscheidung zur Eröffnung eines Hauptverfahrens wird die Konkurssituation aufgrund der Insolvenz des Schuldners nicht erneut geprüft, wenn es für das Hauptinsolvenzverfahren erforderlich war, dass der Schuldner insolvent ist.</w:t>
      </w:r>
    </w:p>
    <w:p w14:paraId="7B4C3814" w14:textId="77777777" w:rsidR="00EE35E2" w:rsidRPr="004676F5" w:rsidRDefault="00EE35E2" w:rsidP="00EE35E2">
      <w:pPr>
        <w:ind w:firstLine="708"/>
        <w:jc w:val="both"/>
        <w:rPr>
          <w:lang w:val="de-DE"/>
        </w:rPr>
      </w:pPr>
    </w:p>
    <w:p w14:paraId="36106269" w14:textId="77777777" w:rsidR="00567F8C" w:rsidRPr="004676F5" w:rsidRDefault="00567F8C" w:rsidP="00EE35E2">
      <w:pPr>
        <w:ind w:firstLine="708"/>
        <w:jc w:val="both"/>
        <w:rPr>
          <w:lang w:val="de-DE"/>
        </w:rPr>
      </w:pPr>
    </w:p>
    <w:p w14:paraId="2D9C1576" w14:textId="0E472A1D" w:rsidR="00EE35E2" w:rsidRPr="004676F5" w:rsidRDefault="00BE0A56" w:rsidP="00EE35E2">
      <w:pPr>
        <w:ind w:firstLine="708"/>
        <w:jc w:val="both"/>
        <w:rPr>
          <w:lang w:val="de-DE"/>
        </w:rPr>
      </w:pPr>
      <w:r w:rsidRPr="004676F5">
        <w:rPr>
          <w:b/>
          <w:lang w:val="de-DE"/>
        </w:rPr>
        <w:t>Art. </w:t>
      </w:r>
      <w:r w:rsidR="00EE35E2" w:rsidRPr="004676F5">
        <w:rPr>
          <w:b/>
          <w:lang w:val="de-DE"/>
        </w:rPr>
        <w:t>XX.212</w:t>
      </w:r>
      <w:r w:rsidR="00EE35E2" w:rsidRPr="004676F5">
        <w:rPr>
          <w:lang w:val="de-DE"/>
        </w:rPr>
        <w:t> </w:t>
      </w:r>
      <w:r w:rsidR="005B7A5C" w:rsidRPr="004676F5">
        <w:rPr>
          <w:lang w:val="de-DE"/>
        </w:rPr>
        <w:t>- </w:t>
      </w:r>
      <w:r w:rsidR="00EE35E2" w:rsidRPr="004676F5">
        <w:rPr>
          <w:lang w:val="de-DE"/>
        </w:rPr>
        <w:t>Gläubiger können ihre Forderung im Rahmen eines Insolvenzverfahrens aufgrund von Artikel 118 § 1 Absatz 2 des Gesetzbuches über das internationale Privatrecht einreichen.</w:t>
      </w:r>
    </w:p>
    <w:p w14:paraId="57F01600" w14:textId="77777777" w:rsidR="00EE35E2" w:rsidRPr="004676F5" w:rsidRDefault="00EE35E2" w:rsidP="00EE35E2">
      <w:pPr>
        <w:ind w:firstLine="708"/>
        <w:jc w:val="both"/>
        <w:rPr>
          <w:lang w:val="de-DE"/>
        </w:rPr>
      </w:pPr>
    </w:p>
    <w:p w14:paraId="3088D871" w14:textId="77777777" w:rsidR="00567F8C" w:rsidRPr="004676F5" w:rsidRDefault="00567F8C" w:rsidP="00EE35E2">
      <w:pPr>
        <w:ind w:firstLine="708"/>
        <w:jc w:val="both"/>
        <w:rPr>
          <w:lang w:val="de-DE"/>
        </w:rPr>
      </w:pPr>
    </w:p>
    <w:p w14:paraId="0CE423BF" w14:textId="0A820735" w:rsidR="00EE35E2" w:rsidRPr="004676F5" w:rsidRDefault="00BE0A56" w:rsidP="00EE35E2">
      <w:pPr>
        <w:ind w:firstLine="708"/>
        <w:jc w:val="both"/>
        <w:rPr>
          <w:lang w:val="de-DE"/>
        </w:rPr>
      </w:pPr>
      <w:r w:rsidRPr="004676F5">
        <w:rPr>
          <w:b/>
          <w:lang w:val="de-DE"/>
        </w:rPr>
        <w:t>Art. </w:t>
      </w:r>
      <w:r w:rsidR="00EE35E2" w:rsidRPr="004676F5">
        <w:rPr>
          <w:b/>
          <w:lang w:val="de-DE"/>
        </w:rPr>
        <w:t>XX.213</w:t>
      </w:r>
      <w:r w:rsidR="00EE35E2" w:rsidRPr="004676F5">
        <w:rPr>
          <w:lang w:val="de-DE"/>
        </w:rPr>
        <w:t> </w:t>
      </w:r>
      <w:r w:rsidR="005B7A5C" w:rsidRPr="004676F5">
        <w:rPr>
          <w:lang w:val="de-DE"/>
        </w:rPr>
        <w:t>- </w:t>
      </w:r>
      <w:r w:rsidR="00EE35E2" w:rsidRPr="004676F5">
        <w:rPr>
          <w:lang w:val="de-DE"/>
        </w:rPr>
        <w:t xml:space="preserve">Läuft gegen einen Schuldner ein Insolvenzverfahren in einem anderen Staat, werden auf Antrag des ausländischen </w:t>
      </w:r>
      <w:r w:rsidR="00891B45" w:rsidRPr="004676F5">
        <w:rPr>
          <w:lang w:val="de-DE"/>
        </w:rPr>
        <w:t xml:space="preserve">[Liquidationsbearbeiters] </w:t>
      </w:r>
      <w:r w:rsidR="00EE35E2" w:rsidRPr="004676F5">
        <w:rPr>
          <w:lang w:val="de-DE"/>
        </w:rPr>
        <w:t xml:space="preserve">der wesentliche Inhalt der Entscheidung zur Eröffnung des Insolvenzverfahrens und die Identität des bestellten </w:t>
      </w:r>
      <w:r w:rsidR="00891B45" w:rsidRPr="004676F5">
        <w:rPr>
          <w:lang w:val="de-DE"/>
        </w:rPr>
        <w:t xml:space="preserve">[Liquidationsbearbeiters] </w:t>
      </w:r>
      <w:r w:rsidR="00EE35E2" w:rsidRPr="004676F5">
        <w:rPr>
          <w:lang w:val="de-DE"/>
        </w:rPr>
        <w:t xml:space="preserve">im </w:t>
      </w:r>
      <w:r w:rsidR="00EE35E2" w:rsidRPr="004676F5">
        <w:rPr>
          <w:i/>
          <w:lang w:val="de-DE"/>
        </w:rPr>
        <w:t>Belgischen Staatsblatt</w:t>
      </w:r>
      <w:r w:rsidR="00EE35E2" w:rsidRPr="004676F5">
        <w:rPr>
          <w:lang w:val="de-DE"/>
        </w:rPr>
        <w:t xml:space="preserve"> veröffentlicht, sofern die Entscheidung zur Verfahrenseröffnung aufgrund von Artikel 121 des Gesetzbuches über das internationale Privatrecht in Belgien anerkannt ist oder anerkannt werden kann.</w:t>
      </w:r>
    </w:p>
    <w:p w14:paraId="273C0ECF" w14:textId="77777777" w:rsidR="00EE35E2" w:rsidRPr="004676F5" w:rsidRDefault="00EE35E2" w:rsidP="00EE35E2">
      <w:pPr>
        <w:ind w:firstLine="708"/>
        <w:jc w:val="both"/>
        <w:rPr>
          <w:lang w:val="de-DE"/>
        </w:rPr>
      </w:pPr>
    </w:p>
    <w:p w14:paraId="4610EC6C" w14:textId="77777777" w:rsidR="00EE35E2" w:rsidRPr="004676F5" w:rsidRDefault="00EE35E2" w:rsidP="00EE35E2">
      <w:pPr>
        <w:ind w:firstLine="708"/>
        <w:jc w:val="both"/>
        <w:rPr>
          <w:lang w:val="de-DE"/>
        </w:rPr>
      </w:pPr>
      <w:r w:rsidRPr="004676F5">
        <w:rPr>
          <w:lang w:val="de-DE"/>
        </w:rPr>
        <w:t>Besitzt der Schuldner eine Niederlassung in Belgien, erfolgt die in Absatz 1 erwähnte Veröffentlichung von Amts wegen.</w:t>
      </w:r>
    </w:p>
    <w:p w14:paraId="7C6AD1C6" w14:textId="77777777" w:rsidR="00891B45" w:rsidRPr="004676F5" w:rsidRDefault="00891B45" w:rsidP="00891B45">
      <w:pPr>
        <w:jc w:val="both"/>
        <w:rPr>
          <w:lang w:val="de-DE"/>
        </w:rPr>
      </w:pPr>
    </w:p>
    <w:p w14:paraId="21357B79" w14:textId="1375A010" w:rsidR="00891B45" w:rsidRPr="004676F5" w:rsidRDefault="00891B45" w:rsidP="00891B45">
      <w:pPr>
        <w:jc w:val="both"/>
        <w:rPr>
          <w:i/>
          <w:iCs/>
          <w:lang w:val="de-DE"/>
        </w:rPr>
      </w:pPr>
      <w:r w:rsidRPr="004676F5">
        <w:rPr>
          <w:i/>
          <w:iCs/>
          <w:lang w:val="de-DE"/>
        </w:rPr>
        <w:t>[Art. XX.213</w:t>
      </w:r>
      <w:r w:rsidR="00C66858" w:rsidRPr="004676F5">
        <w:rPr>
          <w:i/>
          <w:iCs/>
          <w:lang w:val="de-DE"/>
        </w:rPr>
        <w:t xml:space="preserve"> Abs. 1</w:t>
      </w:r>
      <w:r w:rsidRPr="004676F5">
        <w:rPr>
          <w:i/>
          <w:iCs/>
          <w:lang w:val="de-DE"/>
        </w:rPr>
        <w:t xml:space="preserve"> abgeändert durch Art. 245 des G. vom 7. Juni 2023 (B.S. vom 7. Juli 2023)]</w:t>
      </w:r>
    </w:p>
    <w:p w14:paraId="469C6942" w14:textId="77777777" w:rsidR="00891B45" w:rsidRPr="004676F5" w:rsidRDefault="00891B45" w:rsidP="00891B45">
      <w:pPr>
        <w:jc w:val="both"/>
        <w:rPr>
          <w:lang w:val="de-DE"/>
        </w:rPr>
      </w:pPr>
    </w:p>
    <w:p w14:paraId="58E1C24C" w14:textId="77777777" w:rsidR="00567F8C" w:rsidRPr="004676F5" w:rsidRDefault="00567F8C" w:rsidP="00EE35E2">
      <w:pPr>
        <w:ind w:firstLine="708"/>
        <w:jc w:val="both"/>
        <w:rPr>
          <w:lang w:val="de-DE"/>
        </w:rPr>
      </w:pPr>
    </w:p>
    <w:p w14:paraId="67E7CD7A" w14:textId="0BECC1A2" w:rsidR="00EE35E2" w:rsidRPr="004676F5" w:rsidRDefault="00BE0A56" w:rsidP="00EE35E2">
      <w:pPr>
        <w:ind w:firstLine="708"/>
        <w:jc w:val="both"/>
        <w:rPr>
          <w:lang w:val="de-DE"/>
        </w:rPr>
      </w:pPr>
      <w:r w:rsidRPr="004676F5">
        <w:rPr>
          <w:b/>
          <w:lang w:val="de-DE"/>
        </w:rPr>
        <w:t>Art. </w:t>
      </w:r>
      <w:r w:rsidR="00EE35E2" w:rsidRPr="004676F5">
        <w:rPr>
          <w:b/>
          <w:lang w:val="de-DE"/>
        </w:rPr>
        <w:t>XX.214</w:t>
      </w:r>
      <w:r w:rsidR="00EE35E2" w:rsidRPr="004676F5">
        <w:rPr>
          <w:lang w:val="de-DE"/>
        </w:rPr>
        <w:t> </w:t>
      </w:r>
      <w:r w:rsidR="005B7A5C" w:rsidRPr="004676F5">
        <w:rPr>
          <w:lang w:val="de-DE"/>
        </w:rPr>
        <w:t>- </w:t>
      </w:r>
      <w:r w:rsidR="00EE35E2" w:rsidRPr="004676F5">
        <w:rPr>
          <w:lang w:val="de-DE"/>
        </w:rPr>
        <w:t xml:space="preserve">Die Bestellung des ausländischen </w:t>
      </w:r>
      <w:r w:rsidR="00891B45" w:rsidRPr="004676F5">
        <w:rPr>
          <w:lang w:val="de-DE"/>
        </w:rPr>
        <w:t xml:space="preserve">[Liquidationsbearbeiters] </w:t>
      </w:r>
      <w:r w:rsidR="00EE35E2" w:rsidRPr="004676F5">
        <w:rPr>
          <w:lang w:val="de-DE"/>
        </w:rPr>
        <w:t>wird durch Vorlage einer beglaubigten Abschrift der Bestellungsentscheidung oder durch eine andere vom zuständigen ausländischen Gericht ausgestellte Bescheinigung nachgewiesen. Eine Übersetzung dieser Schriftstücke kann verlangt werden.</w:t>
      </w:r>
    </w:p>
    <w:p w14:paraId="42C2A26D" w14:textId="77777777" w:rsidR="00EE35E2" w:rsidRPr="004676F5" w:rsidRDefault="00EE35E2" w:rsidP="00891B45">
      <w:pPr>
        <w:jc w:val="both"/>
        <w:rPr>
          <w:lang w:val="de-DE"/>
        </w:rPr>
      </w:pPr>
    </w:p>
    <w:p w14:paraId="21D21678" w14:textId="7F83DD7A" w:rsidR="00891B45" w:rsidRPr="004676F5" w:rsidRDefault="00891B45" w:rsidP="00891B45">
      <w:pPr>
        <w:jc w:val="both"/>
        <w:rPr>
          <w:i/>
          <w:iCs/>
          <w:lang w:val="de-DE"/>
        </w:rPr>
      </w:pPr>
      <w:r w:rsidRPr="004676F5">
        <w:rPr>
          <w:i/>
          <w:iCs/>
          <w:lang w:val="de-DE"/>
        </w:rPr>
        <w:t>[Art. XX.214 abgeändert durch Art. 246 des G. vom 7. Juni 2023 (B.S. vom 7. Juli 2023)]</w:t>
      </w:r>
    </w:p>
    <w:p w14:paraId="1C693327" w14:textId="77777777" w:rsidR="00891B45" w:rsidRPr="004676F5" w:rsidRDefault="00891B45" w:rsidP="00891B45">
      <w:pPr>
        <w:jc w:val="both"/>
        <w:rPr>
          <w:lang w:val="de-DE"/>
        </w:rPr>
      </w:pPr>
    </w:p>
    <w:p w14:paraId="3FDE1906" w14:textId="77777777" w:rsidR="00567F8C" w:rsidRPr="004676F5" w:rsidRDefault="00567F8C" w:rsidP="00EE35E2">
      <w:pPr>
        <w:ind w:firstLine="708"/>
        <w:jc w:val="both"/>
        <w:rPr>
          <w:lang w:val="de-DE"/>
        </w:rPr>
      </w:pPr>
    </w:p>
    <w:p w14:paraId="703FFBEA" w14:textId="77777777" w:rsidR="00891B45" w:rsidRPr="004676F5" w:rsidRDefault="00891B45">
      <w:pPr>
        <w:rPr>
          <w:b/>
          <w:lang w:val="de-DE"/>
        </w:rPr>
      </w:pPr>
      <w:r w:rsidRPr="004676F5">
        <w:rPr>
          <w:b/>
          <w:lang w:val="de-DE"/>
        </w:rPr>
        <w:br w:type="page"/>
      </w:r>
    </w:p>
    <w:p w14:paraId="4672C476" w14:textId="12D0D31F" w:rsidR="00EE35E2" w:rsidRPr="004676F5" w:rsidRDefault="00BE0A56" w:rsidP="00EE35E2">
      <w:pPr>
        <w:ind w:firstLine="708"/>
        <w:jc w:val="both"/>
        <w:rPr>
          <w:lang w:val="de-DE"/>
        </w:rPr>
      </w:pPr>
      <w:r w:rsidRPr="004676F5">
        <w:rPr>
          <w:b/>
          <w:lang w:val="de-DE"/>
        </w:rPr>
        <w:lastRenderedPageBreak/>
        <w:t>Art. </w:t>
      </w:r>
      <w:r w:rsidR="00EE35E2" w:rsidRPr="004676F5">
        <w:rPr>
          <w:b/>
          <w:lang w:val="de-DE"/>
        </w:rPr>
        <w:t>XX.215</w:t>
      </w:r>
      <w:r w:rsidR="00EE35E2" w:rsidRPr="004676F5">
        <w:rPr>
          <w:lang w:val="de-DE"/>
        </w:rPr>
        <w:t> </w:t>
      </w:r>
      <w:r w:rsidR="005B7A5C" w:rsidRPr="004676F5">
        <w:rPr>
          <w:lang w:val="de-DE"/>
        </w:rPr>
        <w:t>- </w:t>
      </w:r>
      <w:r w:rsidR="00EE35E2" w:rsidRPr="004676F5">
        <w:rPr>
          <w:lang w:val="de-DE"/>
        </w:rPr>
        <w:t xml:space="preserve">Ein Eingreifen eines </w:t>
      </w:r>
      <w:r w:rsidR="00891B45" w:rsidRPr="004676F5">
        <w:rPr>
          <w:lang w:val="de-DE"/>
        </w:rPr>
        <w:t xml:space="preserve">[Liquidationsbearbeiters] </w:t>
      </w:r>
      <w:r w:rsidR="00EE35E2" w:rsidRPr="004676F5">
        <w:rPr>
          <w:lang w:val="de-DE"/>
        </w:rPr>
        <w:t>in ein Insolvenzverfahren in einem anderen Staat erfolgt über einen Rechtsanwalt.</w:t>
      </w:r>
    </w:p>
    <w:p w14:paraId="3BE7AF12" w14:textId="77777777" w:rsidR="00EE35E2" w:rsidRPr="004676F5" w:rsidRDefault="00EE35E2" w:rsidP="00891B45">
      <w:pPr>
        <w:jc w:val="both"/>
        <w:rPr>
          <w:lang w:val="de-DE"/>
        </w:rPr>
      </w:pPr>
    </w:p>
    <w:p w14:paraId="1A4FEC1B" w14:textId="07C8B79B" w:rsidR="00891B45" w:rsidRPr="004676F5" w:rsidRDefault="00891B45" w:rsidP="00891B45">
      <w:pPr>
        <w:jc w:val="both"/>
        <w:rPr>
          <w:i/>
          <w:iCs/>
          <w:lang w:val="de-DE"/>
        </w:rPr>
      </w:pPr>
      <w:r w:rsidRPr="004676F5">
        <w:rPr>
          <w:i/>
          <w:iCs/>
          <w:lang w:val="de-DE"/>
        </w:rPr>
        <w:t>[Art. XX.215 abgeändert durch Art. 247 des G. vom 7. Juni 2023 (B.S. vom 7. Juli 2023)]</w:t>
      </w:r>
    </w:p>
    <w:p w14:paraId="3EDEC8EB" w14:textId="77777777" w:rsidR="00891B45" w:rsidRPr="004676F5" w:rsidRDefault="00891B45" w:rsidP="00891B45">
      <w:pPr>
        <w:jc w:val="both"/>
        <w:rPr>
          <w:lang w:val="de-DE"/>
        </w:rPr>
      </w:pPr>
    </w:p>
    <w:p w14:paraId="423414F7" w14:textId="77777777" w:rsidR="00567F8C" w:rsidRPr="004676F5" w:rsidRDefault="00567F8C" w:rsidP="00EE35E2">
      <w:pPr>
        <w:ind w:firstLine="708"/>
        <w:jc w:val="both"/>
        <w:rPr>
          <w:lang w:val="de-DE"/>
        </w:rPr>
      </w:pPr>
    </w:p>
    <w:p w14:paraId="63150FE2" w14:textId="437E56CF" w:rsidR="00EE35E2" w:rsidRPr="004676F5" w:rsidRDefault="00BE0A56" w:rsidP="00EE35E2">
      <w:pPr>
        <w:ind w:firstLine="708"/>
        <w:jc w:val="both"/>
        <w:rPr>
          <w:lang w:val="de-DE"/>
        </w:rPr>
      </w:pPr>
      <w:r w:rsidRPr="004676F5">
        <w:rPr>
          <w:b/>
          <w:lang w:val="de-DE"/>
        </w:rPr>
        <w:t>Art. </w:t>
      </w:r>
      <w:r w:rsidR="00EE35E2" w:rsidRPr="004676F5">
        <w:rPr>
          <w:b/>
          <w:lang w:val="de-DE"/>
        </w:rPr>
        <w:t>XX.216</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Ein </w:t>
      </w:r>
      <w:r w:rsidR="00891B45" w:rsidRPr="004676F5">
        <w:rPr>
          <w:lang w:val="de-DE"/>
        </w:rPr>
        <w:t xml:space="preserve">[Liquidationsbearbeiter] </w:t>
      </w:r>
      <w:r w:rsidR="00EE35E2" w:rsidRPr="004676F5">
        <w:rPr>
          <w:lang w:val="de-DE"/>
        </w:rPr>
        <w:t>in einer aufgrund von Artikel 121 des Gesetzbuches über das internationale Privatrecht anerkannten ausländischen Hauptinsolvenz kann alle Befugnisse ausüben, die ihm im Recht des Staates, in dem die ausländische Insolvenz ausgesprochen wurde, zustehen, außer wenn ein Verfahren aufgrund von Artikel 118 § 1 Absatz 2 Nr. 2 des Gesetzbuches über das internationale Privatrecht eröffnet wurde.</w:t>
      </w:r>
    </w:p>
    <w:p w14:paraId="3A0F4E3C" w14:textId="77777777" w:rsidR="00EE35E2" w:rsidRPr="004676F5" w:rsidRDefault="00EE35E2" w:rsidP="00EE35E2">
      <w:pPr>
        <w:ind w:firstLine="708"/>
        <w:jc w:val="both"/>
        <w:rPr>
          <w:lang w:val="de-DE"/>
        </w:rPr>
      </w:pPr>
    </w:p>
    <w:p w14:paraId="7839144F" w14:textId="351F2F56" w:rsidR="00EE35E2" w:rsidRPr="004676F5" w:rsidRDefault="00EE35E2" w:rsidP="00EE35E2">
      <w:pPr>
        <w:ind w:firstLine="708"/>
        <w:jc w:val="both"/>
        <w:rPr>
          <w:lang w:val="de-DE"/>
        </w:rPr>
      </w:pPr>
      <w:r w:rsidRPr="004676F5">
        <w:rPr>
          <w:lang w:val="de-DE"/>
        </w:rPr>
        <w:t xml:space="preserve">Ist in Belgien ein Verfahren aufgrund von Artikel 118 § 1 Absatz 2 Nr. 2 des Gesetzbuches über das internationale Privatrecht eröffnet worden, kann ein ausländischer </w:t>
      </w:r>
      <w:r w:rsidR="00891B45" w:rsidRPr="004676F5">
        <w:rPr>
          <w:lang w:val="de-DE"/>
        </w:rPr>
        <w:t xml:space="preserve">[Liquidationsbearbeiter] </w:t>
      </w:r>
      <w:r w:rsidRPr="004676F5">
        <w:rPr>
          <w:lang w:val="de-DE"/>
        </w:rPr>
        <w:t>Vorschläge machen, um die Aktiva zu verwerten oder in irgendeiner Weise zu nutzen.</w:t>
      </w:r>
    </w:p>
    <w:p w14:paraId="40CD0399" w14:textId="77777777" w:rsidR="00EE35E2" w:rsidRPr="004676F5" w:rsidRDefault="00EE35E2" w:rsidP="00EE35E2">
      <w:pPr>
        <w:ind w:firstLine="708"/>
        <w:jc w:val="both"/>
        <w:rPr>
          <w:lang w:val="de-DE"/>
        </w:rPr>
      </w:pPr>
    </w:p>
    <w:p w14:paraId="140FE9D0" w14:textId="13870F03"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In einem aufgrund von Artikel 121 des Gesetzbuches über das internationale Privatrecht anerkannten ausländischen Hauptinsolvenzverfahren darf der </w:t>
      </w:r>
      <w:r w:rsidR="00891B45" w:rsidRPr="004676F5">
        <w:rPr>
          <w:lang w:val="de-DE"/>
        </w:rPr>
        <w:t xml:space="preserve">[Liquidationsbearbeiter] </w:t>
      </w:r>
      <w:r w:rsidRPr="004676F5">
        <w:rPr>
          <w:lang w:val="de-DE"/>
        </w:rPr>
        <w:t>unbeschadet des Artikels 119 § 2 des Gesetzbuches über das internationale Privatrecht seine sämtlichen Befugnisse über die in Belgien befindlichen Güter des Schuldners ausüben einschließlich des Rechts, sie an einen anderen Ort zu bringen.</w:t>
      </w:r>
    </w:p>
    <w:p w14:paraId="41899340" w14:textId="77777777" w:rsidR="00EE35E2" w:rsidRPr="004676F5" w:rsidRDefault="00EE35E2" w:rsidP="00EE35E2">
      <w:pPr>
        <w:ind w:firstLine="708"/>
        <w:jc w:val="both"/>
        <w:rPr>
          <w:lang w:val="de-DE"/>
        </w:rPr>
      </w:pPr>
    </w:p>
    <w:p w14:paraId="55E2CB0D" w14:textId="37A3F514"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 xml:space="preserve">Bei der Wahrnehmung seiner Befugnisse in Belgien muss ein ausländischer </w:t>
      </w:r>
      <w:r w:rsidR="00891B45" w:rsidRPr="004676F5">
        <w:rPr>
          <w:lang w:val="de-DE"/>
        </w:rPr>
        <w:t xml:space="preserve">[Liquidationsbearbeiter] </w:t>
      </w:r>
      <w:r w:rsidRPr="004676F5">
        <w:rPr>
          <w:lang w:val="de-DE"/>
        </w:rPr>
        <w:t>dem belgischen Recht und insbesondere den Vorschriften in Bezug auf die Verwertung der Güter nachkommen. Diese Befugnisse dürfen nicht die Anwendung von Zwangsmitteln oder das Recht einschließen, über Rechtsstreitigkeiten oder andere Streitsachen zu befinden.</w:t>
      </w:r>
    </w:p>
    <w:p w14:paraId="02B226C0" w14:textId="77777777" w:rsidR="00891B45" w:rsidRPr="004676F5" w:rsidRDefault="00891B45" w:rsidP="00891B45">
      <w:pPr>
        <w:jc w:val="both"/>
        <w:rPr>
          <w:lang w:val="de-DE"/>
        </w:rPr>
      </w:pPr>
    </w:p>
    <w:p w14:paraId="1EBF911C" w14:textId="42A4BE50" w:rsidR="00891B45" w:rsidRPr="004676F5" w:rsidRDefault="00891B45" w:rsidP="00891B45">
      <w:pPr>
        <w:jc w:val="both"/>
        <w:rPr>
          <w:i/>
          <w:iCs/>
          <w:lang w:val="de-DE"/>
        </w:rPr>
      </w:pPr>
      <w:r w:rsidRPr="004676F5">
        <w:rPr>
          <w:i/>
          <w:iCs/>
          <w:lang w:val="de-DE"/>
        </w:rPr>
        <w:t>[Art. XX.216 § 1 Abs. 1 und 2 abgeändert durch Art. 248 des G. vom 7. Juni 2023 (B.S. vom 7. Juli 2023); § 2 abgeändert durch Art. 248 des G. vom 7. Juni 2023 (B.S. vom 7. Juli 2023); § 3 abgeändert durch Art. 248 des G. vom 7. Juni 2023 (B.S. vom 7. Juli 2023)]</w:t>
      </w:r>
    </w:p>
    <w:p w14:paraId="78949287" w14:textId="77777777" w:rsidR="00EE35E2" w:rsidRPr="004676F5" w:rsidRDefault="00EE35E2" w:rsidP="00EE35E2">
      <w:pPr>
        <w:ind w:firstLine="708"/>
        <w:jc w:val="both"/>
        <w:rPr>
          <w:lang w:val="de-DE"/>
        </w:rPr>
      </w:pPr>
    </w:p>
    <w:p w14:paraId="76C638F4" w14:textId="77777777" w:rsidR="00567F8C" w:rsidRPr="004676F5" w:rsidRDefault="00567F8C" w:rsidP="00EE35E2">
      <w:pPr>
        <w:ind w:firstLine="708"/>
        <w:jc w:val="both"/>
        <w:rPr>
          <w:lang w:val="de-DE"/>
        </w:rPr>
      </w:pPr>
    </w:p>
    <w:p w14:paraId="2D83E8D8" w14:textId="361D1D93" w:rsidR="00EE35E2" w:rsidRPr="004676F5" w:rsidRDefault="00BE0A56" w:rsidP="00EE35E2">
      <w:pPr>
        <w:ind w:firstLine="708"/>
        <w:jc w:val="both"/>
        <w:rPr>
          <w:lang w:val="de-DE"/>
        </w:rPr>
      </w:pPr>
      <w:r w:rsidRPr="004676F5">
        <w:rPr>
          <w:b/>
          <w:lang w:val="de-DE"/>
        </w:rPr>
        <w:t>Art. </w:t>
      </w:r>
      <w:r w:rsidR="00EE35E2" w:rsidRPr="004676F5">
        <w:rPr>
          <w:b/>
          <w:lang w:val="de-DE"/>
        </w:rPr>
        <w:t>XX.217</w:t>
      </w:r>
      <w:r w:rsidR="00EE35E2" w:rsidRPr="004676F5">
        <w:rPr>
          <w:lang w:val="de-DE"/>
        </w:rPr>
        <w:t> </w:t>
      </w:r>
      <w:r w:rsidR="005B7A5C" w:rsidRPr="004676F5">
        <w:rPr>
          <w:lang w:val="de-DE"/>
        </w:rPr>
        <w:t>- </w:t>
      </w:r>
      <w:r w:rsidR="00EE35E2" w:rsidRPr="004676F5">
        <w:rPr>
          <w:lang w:val="de-DE"/>
        </w:rPr>
        <w:t xml:space="preserve">Ist ein Insolvenzverfahren aufgrund von Artikel 118 § 1 Absatz 2 des Gesetzbuches über das internationale Privatrecht eröffnet worden, ist der Richter zuständig, um soweit nach vernünftigem Ermessen möglich direkt oder über den </w:t>
      </w:r>
      <w:r w:rsidR="002D1971" w:rsidRPr="004676F5">
        <w:rPr>
          <w:lang w:val="de-DE"/>
        </w:rPr>
        <w:t xml:space="preserve">[Liquidationsbearbeiter] </w:t>
      </w:r>
      <w:r w:rsidR="00EE35E2" w:rsidRPr="004676F5">
        <w:rPr>
          <w:lang w:val="de-DE"/>
        </w:rPr>
        <w:t xml:space="preserve">oder einen Dritten dem ausländischen Richter oder dem ausländischen </w:t>
      </w:r>
      <w:r w:rsidR="00891B45" w:rsidRPr="004676F5">
        <w:rPr>
          <w:lang w:val="de-DE"/>
        </w:rPr>
        <w:t xml:space="preserve">[Liquidationsbearbeiter] </w:t>
      </w:r>
      <w:r w:rsidR="00EE35E2" w:rsidRPr="004676F5">
        <w:rPr>
          <w:lang w:val="de-DE"/>
        </w:rPr>
        <w:t>Auskünfte zu erteilen, mit ihm zu kommunizieren oder auf andere Weise mit ihm zusammenzuarbeiten, sofern das ausländische Verfahren aufgrund von Artikel 121 des Gesetzbuches über das internationale Privatrecht in Belgien anerkannt ist oder anerkannt werden kann.</w:t>
      </w:r>
    </w:p>
    <w:p w14:paraId="561A51B0" w14:textId="77777777" w:rsidR="002D1971" w:rsidRPr="004676F5" w:rsidRDefault="002D1971" w:rsidP="002D1971">
      <w:pPr>
        <w:jc w:val="both"/>
        <w:rPr>
          <w:lang w:val="de-DE"/>
        </w:rPr>
      </w:pPr>
    </w:p>
    <w:p w14:paraId="1398FE63" w14:textId="611FEF8B" w:rsidR="002D1971" w:rsidRPr="004676F5" w:rsidRDefault="002D1971" w:rsidP="002D1971">
      <w:pPr>
        <w:jc w:val="both"/>
        <w:rPr>
          <w:i/>
          <w:iCs/>
          <w:lang w:val="de-DE"/>
        </w:rPr>
      </w:pPr>
      <w:r w:rsidRPr="004676F5">
        <w:rPr>
          <w:i/>
          <w:iCs/>
          <w:lang w:val="de-DE"/>
        </w:rPr>
        <w:t>[Art. XX.217 abgeändert durch Art. 249 des G. vom 7. Juni 2023 (B.S. vom 7. Juli 2023)]</w:t>
      </w:r>
    </w:p>
    <w:p w14:paraId="42375363" w14:textId="77777777" w:rsidR="002D1971" w:rsidRPr="004676F5" w:rsidRDefault="002D1971" w:rsidP="002D1971">
      <w:pPr>
        <w:jc w:val="both"/>
        <w:rPr>
          <w:lang w:val="de-DE"/>
        </w:rPr>
      </w:pPr>
    </w:p>
    <w:p w14:paraId="6678B656" w14:textId="77777777" w:rsidR="00567F8C" w:rsidRPr="004676F5" w:rsidRDefault="00567F8C" w:rsidP="00EE35E2">
      <w:pPr>
        <w:ind w:firstLine="708"/>
        <w:jc w:val="both"/>
        <w:rPr>
          <w:lang w:val="de-DE"/>
        </w:rPr>
      </w:pPr>
    </w:p>
    <w:p w14:paraId="3FF7F1B6" w14:textId="0CA8D564" w:rsidR="00EE35E2" w:rsidRPr="004676F5" w:rsidRDefault="00BE0A56" w:rsidP="00EE35E2">
      <w:pPr>
        <w:ind w:firstLine="708"/>
        <w:jc w:val="both"/>
        <w:rPr>
          <w:lang w:val="de-DE"/>
        </w:rPr>
      </w:pPr>
      <w:r w:rsidRPr="004676F5">
        <w:rPr>
          <w:b/>
          <w:lang w:val="de-DE"/>
        </w:rPr>
        <w:t>Art. </w:t>
      </w:r>
      <w:r w:rsidR="00EE35E2" w:rsidRPr="004676F5">
        <w:rPr>
          <w:b/>
          <w:lang w:val="de-DE"/>
        </w:rPr>
        <w:t>XX.218</w:t>
      </w:r>
      <w:r w:rsidR="00EE35E2" w:rsidRPr="004676F5">
        <w:rPr>
          <w:lang w:val="de-DE"/>
        </w:rPr>
        <w:t> </w:t>
      </w:r>
      <w:r w:rsidR="005B7A5C" w:rsidRPr="004676F5">
        <w:rPr>
          <w:lang w:val="de-DE"/>
        </w:rPr>
        <w:t>- </w:t>
      </w:r>
      <w:r w:rsidR="00EE35E2" w:rsidRPr="004676F5">
        <w:rPr>
          <w:lang w:val="de-DE"/>
        </w:rPr>
        <w:t xml:space="preserve">Wird bei einem belgischen Gericht ein Antrag auf Eröffnung eines Insolvenzverfahrens anhängig gemacht oder hat ein belgisches Gericht ein Insolvenzverfahren eröffnet aufgrund von Artikel 118 § 1 Absatz 2 des Gesetzbuches über das internationale Privatrecht, fällt ein Antrag auf Zusammenarbeit mit einem Gericht eines anderen Staates, bei </w:t>
      </w:r>
      <w:r w:rsidR="00EE35E2" w:rsidRPr="004676F5">
        <w:rPr>
          <w:lang w:val="de-DE"/>
        </w:rPr>
        <w:lastRenderedPageBreak/>
        <w:t>dem ein Antrag auf Eröffnung eines Insolvenzverfahrens anhängig ist oder das ein solches Verfahren eröffnet hat, in die Zuständigkeit des Konkursrichters oder des beauftragten Richters.</w:t>
      </w:r>
    </w:p>
    <w:p w14:paraId="26009F3F" w14:textId="77777777" w:rsidR="00EE35E2" w:rsidRPr="004676F5" w:rsidRDefault="00EE35E2" w:rsidP="00EE35E2">
      <w:pPr>
        <w:ind w:firstLine="708"/>
        <w:jc w:val="both"/>
        <w:rPr>
          <w:lang w:val="de-DE"/>
        </w:rPr>
      </w:pPr>
    </w:p>
    <w:p w14:paraId="00E9FC59" w14:textId="77777777" w:rsidR="00EE35E2" w:rsidRPr="004676F5" w:rsidRDefault="00EE35E2" w:rsidP="00EE35E2">
      <w:pPr>
        <w:ind w:firstLine="708"/>
        <w:jc w:val="both"/>
        <w:rPr>
          <w:lang w:val="de-DE"/>
        </w:rPr>
      </w:pPr>
      <w:r w:rsidRPr="004676F5">
        <w:rPr>
          <w:lang w:val="de-DE"/>
        </w:rPr>
        <w:t>Diese Bestimmung ist ebenfalls anwendbar, wenn ein belgisches Gericht ein Insolvenz</w:t>
      </w:r>
      <w:r w:rsidRPr="004676F5">
        <w:rPr>
          <w:lang w:val="de-DE"/>
        </w:rPr>
        <w:softHyphen/>
        <w:t>verfahren in Bezug auf ein Mitglied einer Unternehmensgruppe eröffnet hat, wenn bei einem Gericht eines anderen Staates ein Antrag auf Eröffnung eines Verfahrens in Bezug auf ein anderes Mitglied derselben Gruppe anhängig ist oder dieses Gericht ein solches Verfahren eröffnet hat.</w:t>
      </w:r>
    </w:p>
    <w:p w14:paraId="2B82883F" w14:textId="77777777" w:rsidR="00EE35E2" w:rsidRPr="004676F5" w:rsidRDefault="00EE35E2" w:rsidP="00EE35E2">
      <w:pPr>
        <w:ind w:firstLine="708"/>
        <w:jc w:val="both"/>
        <w:rPr>
          <w:lang w:val="de-DE"/>
        </w:rPr>
      </w:pPr>
    </w:p>
    <w:p w14:paraId="49B1AF48" w14:textId="77777777" w:rsidR="00EE35E2" w:rsidRPr="004676F5" w:rsidRDefault="00EE35E2" w:rsidP="00EE35E2">
      <w:pPr>
        <w:ind w:firstLine="708"/>
        <w:jc w:val="both"/>
        <w:rPr>
          <w:lang w:val="de-DE"/>
        </w:rPr>
      </w:pPr>
      <w:r w:rsidRPr="004676F5">
        <w:rPr>
          <w:lang w:val="de-DE"/>
        </w:rPr>
        <w:t>Der Konkursrichter oder der beauftragte Richter ist ermächtigt, mit Gerichten anderer Staaten oder Personen, die diese bestellt haben, direkt zu kommunizieren und sie direkt um Informationen und Unterstützung zu ersuchen.</w:t>
      </w:r>
    </w:p>
    <w:p w14:paraId="409E2CB1" w14:textId="77777777" w:rsidR="00EE35E2" w:rsidRPr="004676F5" w:rsidRDefault="00EE35E2" w:rsidP="00EE35E2">
      <w:pPr>
        <w:ind w:firstLine="708"/>
        <w:jc w:val="both"/>
        <w:rPr>
          <w:lang w:val="de-DE"/>
        </w:rPr>
      </w:pPr>
    </w:p>
    <w:p w14:paraId="0F25680F" w14:textId="77777777" w:rsidR="00EE35E2" w:rsidRPr="004676F5" w:rsidRDefault="00EE35E2" w:rsidP="00EE35E2">
      <w:pPr>
        <w:ind w:firstLine="708"/>
        <w:jc w:val="both"/>
        <w:rPr>
          <w:lang w:val="de-DE"/>
        </w:rPr>
      </w:pPr>
      <w:r w:rsidRPr="004676F5">
        <w:rPr>
          <w:lang w:val="de-DE"/>
        </w:rPr>
        <w:t>Die Kommunikation kann auf jedem als geeignet erachteten Weg erfolgen.</w:t>
      </w:r>
    </w:p>
    <w:p w14:paraId="2915AE30" w14:textId="77777777" w:rsidR="00EE35E2" w:rsidRPr="004676F5" w:rsidRDefault="00EE35E2" w:rsidP="00EE35E2">
      <w:pPr>
        <w:ind w:firstLine="708"/>
        <w:jc w:val="both"/>
        <w:rPr>
          <w:lang w:val="de-DE"/>
        </w:rPr>
      </w:pPr>
    </w:p>
    <w:p w14:paraId="3FC83DC1" w14:textId="2C920700" w:rsidR="00EE35E2" w:rsidRPr="004676F5" w:rsidRDefault="00EE35E2" w:rsidP="00EE35E2">
      <w:pPr>
        <w:ind w:firstLine="708"/>
        <w:jc w:val="both"/>
        <w:rPr>
          <w:lang w:val="de-DE"/>
        </w:rPr>
      </w:pPr>
      <w:r w:rsidRPr="004676F5">
        <w:rPr>
          <w:lang w:val="de-DE"/>
        </w:rPr>
        <w:t xml:space="preserve">Der Konkursrichter oder der beauftragte Richter vermerkt im Register des Verfahrens alle Kontakte, die er mit einem Gericht eines anderen Staates oder einer Person, die dieses Gericht bestellt hat, und mit einem von einem Gericht eines anderen Staates bestellten </w:t>
      </w:r>
      <w:r w:rsidR="002D1971" w:rsidRPr="004676F5">
        <w:rPr>
          <w:lang w:val="de-DE"/>
        </w:rPr>
        <w:t xml:space="preserve">[Liquidationsbearbeiter] </w:t>
      </w:r>
      <w:r w:rsidRPr="004676F5">
        <w:rPr>
          <w:lang w:val="de-DE"/>
        </w:rPr>
        <w:t>hat.</w:t>
      </w:r>
    </w:p>
    <w:p w14:paraId="5980FBF5" w14:textId="77777777" w:rsidR="002D1971" w:rsidRPr="004676F5" w:rsidRDefault="002D1971" w:rsidP="002D1971">
      <w:pPr>
        <w:jc w:val="both"/>
        <w:rPr>
          <w:lang w:val="de-DE"/>
        </w:rPr>
      </w:pPr>
    </w:p>
    <w:p w14:paraId="7F48793C" w14:textId="2CFD35A0" w:rsidR="002D1971" w:rsidRPr="004676F5" w:rsidRDefault="002D1971" w:rsidP="002D1971">
      <w:pPr>
        <w:jc w:val="both"/>
        <w:rPr>
          <w:i/>
          <w:iCs/>
          <w:lang w:val="de-DE"/>
        </w:rPr>
      </w:pPr>
      <w:r w:rsidRPr="004676F5">
        <w:rPr>
          <w:i/>
          <w:iCs/>
          <w:lang w:val="de-DE"/>
        </w:rPr>
        <w:t>[Art. XX.218 Abs. 5 abgeändert durch Art. 250 des G. vom 7. Juni 2023 (B.S. vom 7. Juli 2023)]</w:t>
      </w:r>
    </w:p>
    <w:p w14:paraId="20360433" w14:textId="77777777" w:rsidR="002D1971" w:rsidRPr="004676F5" w:rsidRDefault="002D1971" w:rsidP="002D1971">
      <w:pPr>
        <w:jc w:val="both"/>
        <w:rPr>
          <w:lang w:val="de-DE"/>
        </w:rPr>
      </w:pPr>
    </w:p>
    <w:p w14:paraId="1A4CC7C3" w14:textId="77777777" w:rsidR="00567F8C" w:rsidRPr="004676F5" w:rsidRDefault="00567F8C" w:rsidP="00EE35E2">
      <w:pPr>
        <w:ind w:firstLine="708"/>
        <w:jc w:val="both"/>
        <w:rPr>
          <w:lang w:val="de-DE"/>
        </w:rPr>
      </w:pPr>
    </w:p>
    <w:p w14:paraId="0E98409C" w14:textId="7D50DCA8" w:rsidR="00EE35E2" w:rsidRPr="004676F5" w:rsidRDefault="00BE0A56" w:rsidP="00EE35E2">
      <w:pPr>
        <w:ind w:firstLine="708"/>
        <w:jc w:val="both"/>
        <w:rPr>
          <w:lang w:val="de-DE"/>
        </w:rPr>
      </w:pPr>
      <w:r w:rsidRPr="004676F5">
        <w:rPr>
          <w:b/>
          <w:lang w:val="de-DE"/>
        </w:rPr>
        <w:t>Art. </w:t>
      </w:r>
      <w:r w:rsidR="00EE35E2" w:rsidRPr="004676F5">
        <w:rPr>
          <w:b/>
          <w:lang w:val="de-DE"/>
        </w:rPr>
        <w:t>XX.219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Auf Antrag des ausländischen Richters oder des ausländischen </w:t>
      </w:r>
      <w:r w:rsidR="002D1971" w:rsidRPr="004676F5">
        <w:rPr>
          <w:lang w:val="de-DE"/>
        </w:rPr>
        <w:t xml:space="preserve">[Liquidationsbearbeiters] </w:t>
      </w:r>
      <w:r w:rsidR="00EE35E2" w:rsidRPr="004676F5">
        <w:rPr>
          <w:lang w:val="de-DE"/>
        </w:rPr>
        <w:t xml:space="preserve">erteilt der </w:t>
      </w:r>
      <w:r w:rsidR="002D1971" w:rsidRPr="004676F5">
        <w:rPr>
          <w:lang w:val="de-DE"/>
        </w:rPr>
        <w:t xml:space="preserve">[Liquidationsbearbeiter] </w:t>
      </w:r>
      <w:r w:rsidR="00EE35E2" w:rsidRPr="004676F5">
        <w:rPr>
          <w:lang w:val="de-DE"/>
        </w:rPr>
        <w:t>die Auskünfte, die für die Abwicklung eines ausländischen Insolvenzverfahrens von Bedeutung sein können, insbesondere den Stand der Anmeldung und Prüfung der Forderungen und alle Maßnahmen zur Rettung oder Sanierung des Schuldners oder zur Beendigung des Verfahrens, unbeschadet gesetzlicher Geheim</w:t>
      </w:r>
      <w:r w:rsidR="00EE35E2" w:rsidRPr="004676F5">
        <w:rPr>
          <w:lang w:val="de-DE"/>
        </w:rPr>
        <w:softHyphen/>
        <w:t>haltungs</w:t>
      </w:r>
      <w:r w:rsidR="00EE35E2" w:rsidRPr="004676F5">
        <w:rPr>
          <w:lang w:val="de-DE"/>
        </w:rPr>
        <w:softHyphen/>
        <w:t>verpflichtungen und der Regeln zur Einschränkung der Mitteilung von Auskünften.</w:t>
      </w:r>
    </w:p>
    <w:p w14:paraId="01F36011" w14:textId="77777777" w:rsidR="00EE35E2" w:rsidRPr="004676F5" w:rsidRDefault="00EE35E2" w:rsidP="00EE35E2">
      <w:pPr>
        <w:ind w:firstLine="708"/>
        <w:jc w:val="both"/>
        <w:rPr>
          <w:lang w:val="de-DE"/>
        </w:rPr>
      </w:pPr>
    </w:p>
    <w:p w14:paraId="70B912E9" w14:textId="6FB7C6E7"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 xml:space="preserve">Bei der Insolvenzabwicklung arbeitet der </w:t>
      </w:r>
      <w:r w:rsidR="002D1971" w:rsidRPr="004676F5">
        <w:rPr>
          <w:lang w:val="de-DE"/>
        </w:rPr>
        <w:t xml:space="preserve">[Liquidationsbearbeiter] </w:t>
      </w:r>
      <w:r w:rsidRPr="004676F5">
        <w:rPr>
          <w:lang w:val="de-DE"/>
        </w:rPr>
        <w:t xml:space="preserve">soweit nach vernünftigem Ermessen möglich mit dem ausländischen Richter oder dem ausländischen </w:t>
      </w:r>
      <w:r w:rsidR="002D1971" w:rsidRPr="004676F5">
        <w:rPr>
          <w:lang w:val="de-DE"/>
        </w:rPr>
        <w:t xml:space="preserve">[Liquidationsbearbeiter] </w:t>
      </w:r>
      <w:r w:rsidRPr="004676F5">
        <w:rPr>
          <w:lang w:val="de-DE"/>
        </w:rPr>
        <w:t>zusammen. Diese Zusammenarbeit kann in beliebiger Form, einschließlich durch den Abschluss von Vereinbarungen oder Verständigungen, erfolgen.</w:t>
      </w:r>
    </w:p>
    <w:p w14:paraId="07177155" w14:textId="77777777" w:rsidR="00EE35E2" w:rsidRPr="004676F5" w:rsidRDefault="00EE35E2" w:rsidP="00EE35E2">
      <w:pPr>
        <w:ind w:firstLine="708"/>
        <w:jc w:val="both"/>
        <w:rPr>
          <w:lang w:val="de-DE"/>
        </w:rPr>
      </w:pPr>
    </w:p>
    <w:p w14:paraId="296377A9" w14:textId="77777777" w:rsidR="00EE35E2" w:rsidRPr="004676F5" w:rsidRDefault="00EE35E2" w:rsidP="00EE35E2">
      <w:pPr>
        <w:ind w:firstLine="708"/>
        <w:jc w:val="both"/>
        <w:rPr>
          <w:lang w:val="de-DE"/>
        </w:rPr>
      </w:pPr>
      <w:r w:rsidRPr="004676F5">
        <w:rPr>
          <w:lang w:val="de-DE"/>
        </w:rPr>
        <w:t>Diese Zusammenarbeit kann sich insbesondere darauf beziehen, die Möglichkeit einer Sanierung des Schuldners zu prüfen und, falls eine solche Möglichkeit besteht, die Ausarbeitung und Umsetzung eines Sanierungsplans zu koordinieren.</w:t>
      </w:r>
    </w:p>
    <w:p w14:paraId="67F2678F" w14:textId="77777777" w:rsidR="00EE35E2" w:rsidRPr="004676F5" w:rsidRDefault="00EE35E2" w:rsidP="00EE35E2">
      <w:pPr>
        <w:ind w:firstLine="708"/>
        <w:jc w:val="both"/>
        <w:rPr>
          <w:lang w:val="de-DE"/>
        </w:rPr>
      </w:pPr>
    </w:p>
    <w:p w14:paraId="597BB8A2" w14:textId="46500356" w:rsidR="00EE35E2" w:rsidRPr="004676F5" w:rsidRDefault="00EE35E2" w:rsidP="00EE35E2">
      <w:pPr>
        <w:ind w:firstLine="708"/>
        <w:jc w:val="both"/>
        <w:rPr>
          <w:lang w:val="de-DE"/>
        </w:rPr>
      </w:pPr>
      <w:r w:rsidRPr="004676F5">
        <w:rPr>
          <w:lang w:val="de-DE"/>
        </w:rPr>
        <w:t xml:space="preserve">Der </w:t>
      </w:r>
      <w:r w:rsidR="002D1971" w:rsidRPr="004676F5">
        <w:rPr>
          <w:lang w:val="de-DE"/>
        </w:rPr>
        <w:t xml:space="preserve">[Liquidationsbearbeiter] </w:t>
      </w:r>
      <w:r w:rsidRPr="004676F5">
        <w:rPr>
          <w:lang w:val="de-DE"/>
        </w:rPr>
        <w:t xml:space="preserve">arbeitet ebenfalls mit dem ausländischen </w:t>
      </w:r>
      <w:r w:rsidR="002D1971" w:rsidRPr="004676F5">
        <w:rPr>
          <w:lang w:val="de-DE"/>
        </w:rPr>
        <w:t xml:space="preserve">[Liquidationsbearbeiter] </w:t>
      </w:r>
      <w:r w:rsidRPr="004676F5">
        <w:rPr>
          <w:lang w:val="de-DE"/>
        </w:rPr>
        <w:t>zusammen bei der Verwaltung der Verwertung oder Verwendung der Güter und des Unternehmens des Schuldners.</w:t>
      </w:r>
    </w:p>
    <w:p w14:paraId="7A66F6F7" w14:textId="77777777" w:rsidR="00EE35E2" w:rsidRPr="004676F5" w:rsidRDefault="00EE35E2" w:rsidP="00EE35E2">
      <w:pPr>
        <w:ind w:firstLine="708"/>
        <w:jc w:val="both"/>
        <w:rPr>
          <w:lang w:val="de-DE"/>
        </w:rPr>
      </w:pPr>
    </w:p>
    <w:p w14:paraId="32A90EED" w14:textId="77777777" w:rsidR="002D1971" w:rsidRPr="004676F5" w:rsidRDefault="002D1971">
      <w:pPr>
        <w:rPr>
          <w:lang w:val="de-DE"/>
        </w:rPr>
      </w:pPr>
      <w:r w:rsidRPr="004676F5">
        <w:rPr>
          <w:lang w:val="de-DE"/>
        </w:rPr>
        <w:br w:type="page"/>
      </w:r>
    </w:p>
    <w:p w14:paraId="5B1D52F2" w14:textId="504643EF" w:rsidR="00EE35E2" w:rsidRPr="004676F5" w:rsidRDefault="00EE35E2" w:rsidP="00EE35E2">
      <w:pPr>
        <w:ind w:firstLine="708"/>
        <w:jc w:val="both"/>
        <w:rPr>
          <w:lang w:val="de-DE"/>
        </w:rPr>
      </w:pPr>
      <w:r w:rsidRPr="004676F5">
        <w:rPr>
          <w:lang w:val="de-DE"/>
        </w:rPr>
        <w:lastRenderedPageBreak/>
        <w:t>§ 3 </w:t>
      </w:r>
      <w:r w:rsidR="005B7A5C" w:rsidRPr="004676F5">
        <w:rPr>
          <w:lang w:val="de-DE"/>
        </w:rPr>
        <w:t>- </w:t>
      </w:r>
      <w:r w:rsidRPr="004676F5">
        <w:rPr>
          <w:lang w:val="de-DE"/>
        </w:rPr>
        <w:t xml:space="preserve">Ein </w:t>
      </w:r>
      <w:r w:rsidR="002D1971" w:rsidRPr="004676F5">
        <w:rPr>
          <w:lang w:val="de-DE"/>
        </w:rPr>
        <w:t xml:space="preserve">[Liquidationsbearbeiter] </w:t>
      </w:r>
      <w:r w:rsidRPr="004676F5">
        <w:rPr>
          <w:lang w:val="de-DE"/>
        </w:rPr>
        <w:t>kann sich aus schwerwiegenden Gründen weigern, einem Auskunfts</w:t>
      </w:r>
      <w:r w:rsidR="005B7A5C" w:rsidRPr="004676F5">
        <w:rPr>
          <w:lang w:val="de-DE"/>
        </w:rPr>
        <w:t>- </w:t>
      </w:r>
      <w:r w:rsidRPr="004676F5">
        <w:rPr>
          <w:lang w:val="de-DE"/>
        </w:rPr>
        <w:t xml:space="preserve">oder Zusammenarbeitsantrag nachzukommen. Der </w:t>
      </w:r>
      <w:r w:rsidR="002D1971" w:rsidRPr="004676F5">
        <w:rPr>
          <w:lang w:val="de-DE"/>
        </w:rPr>
        <w:t xml:space="preserve">[Liquidationsbearbeiter] </w:t>
      </w:r>
      <w:r w:rsidRPr="004676F5">
        <w:rPr>
          <w:lang w:val="de-DE"/>
        </w:rPr>
        <w:t>kann den Konkursrichter ersuchen, eine Entscheidung in Bezug auf die in Erwägung gezogene Weigerung zu treffen.</w:t>
      </w:r>
    </w:p>
    <w:p w14:paraId="7FFCB448" w14:textId="77777777" w:rsidR="002D1971" w:rsidRPr="004676F5" w:rsidRDefault="002D1971" w:rsidP="002D1971">
      <w:pPr>
        <w:jc w:val="both"/>
        <w:rPr>
          <w:lang w:val="de-DE"/>
        </w:rPr>
      </w:pPr>
    </w:p>
    <w:p w14:paraId="5308A830" w14:textId="507C6BF4" w:rsidR="002D1971" w:rsidRPr="004676F5" w:rsidRDefault="002D1971" w:rsidP="002D1971">
      <w:pPr>
        <w:jc w:val="both"/>
        <w:rPr>
          <w:i/>
          <w:iCs/>
          <w:lang w:val="de-DE"/>
        </w:rPr>
      </w:pPr>
      <w:r w:rsidRPr="004676F5">
        <w:rPr>
          <w:i/>
          <w:iCs/>
          <w:lang w:val="de-DE"/>
        </w:rPr>
        <w:t>[Art. XX.219 § 1 abgeändert durch Art. 251 des G. vom 7. Juni 2023 (B.S. vom 7. Juli 2023); § 2 Abs. 1 und 3 abgeändert durch Art. 251 des G. vom 7. Juni 2023 (B.S. vom 7. Juli 2023); § 3 abgeändert durch Art. 251 des G. vom 7. Juni 2023 (B.S. vom 7. Juli 2023)]</w:t>
      </w:r>
    </w:p>
    <w:p w14:paraId="0F03F971" w14:textId="77777777" w:rsidR="00EE35E2" w:rsidRPr="004676F5" w:rsidRDefault="00EE35E2" w:rsidP="00EE35E2">
      <w:pPr>
        <w:ind w:firstLine="708"/>
        <w:jc w:val="both"/>
        <w:rPr>
          <w:lang w:val="de-DE"/>
        </w:rPr>
      </w:pPr>
    </w:p>
    <w:p w14:paraId="26850A44" w14:textId="77777777" w:rsidR="00567F8C" w:rsidRPr="004676F5" w:rsidRDefault="00567F8C" w:rsidP="00EE35E2">
      <w:pPr>
        <w:ind w:firstLine="708"/>
        <w:jc w:val="both"/>
        <w:rPr>
          <w:lang w:val="de-DE"/>
        </w:rPr>
      </w:pPr>
    </w:p>
    <w:p w14:paraId="58E79E9B" w14:textId="7F243EF1" w:rsidR="00EE35E2" w:rsidRPr="004676F5" w:rsidRDefault="00BE0A56" w:rsidP="00EE35E2">
      <w:pPr>
        <w:ind w:firstLine="708"/>
        <w:jc w:val="both"/>
        <w:rPr>
          <w:lang w:val="de-DE"/>
        </w:rPr>
      </w:pPr>
      <w:r w:rsidRPr="004676F5">
        <w:rPr>
          <w:b/>
          <w:lang w:val="de-DE"/>
        </w:rPr>
        <w:t>Art. </w:t>
      </w:r>
      <w:r w:rsidR="00EE35E2" w:rsidRPr="004676F5">
        <w:rPr>
          <w:b/>
          <w:lang w:val="de-DE"/>
        </w:rPr>
        <w:t>XX.220</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Bis nicht auf unwiderrufliche Weise über den Antrag auf Anerkennung des ausländischen Insolvenzverfahrens entschieden ist, kann das Gericht auf Antrag des ausländischen </w:t>
      </w:r>
      <w:r w:rsidR="002D1971" w:rsidRPr="004676F5">
        <w:rPr>
          <w:lang w:val="de-DE"/>
        </w:rPr>
        <w:t>[Liquidationsbearbeiters]</w:t>
      </w:r>
      <w:r w:rsidR="00EE35E2" w:rsidRPr="004676F5">
        <w:rPr>
          <w:lang w:val="de-DE"/>
        </w:rPr>
        <w:t>, eines Gläubigers oder des Schuldners Maßnahmen zur Erhaltung der Güter des Schuldners und zur Sicherung der Rechte der Gläubiger anordnen.</w:t>
      </w:r>
    </w:p>
    <w:p w14:paraId="48BC7A39" w14:textId="77777777" w:rsidR="00EE35E2" w:rsidRPr="004676F5" w:rsidRDefault="00EE35E2" w:rsidP="00EE35E2">
      <w:pPr>
        <w:ind w:firstLine="708"/>
        <w:jc w:val="both"/>
        <w:rPr>
          <w:lang w:val="de-DE"/>
        </w:rPr>
      </w:pPr>
    </w:p>
    <w:p w14:paraId="01A9B55A" w14:textId="1F09278A"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In § 1 erwähnte Sicherungsmaßnahmen können Maßnahmen umfassen, die zur Erhaltung des Vermögens des Schuldners und zum Schutz der Interessen der Gläubiger beitragen können, wie:</w:t>
      </w:r>
    </w:p>
    <w:p w14:paraId="669EEC99" w14:textId="77777777" w:rsidR="00EE35E2" w:rsidRPr="004676F5" w:rsidRDefault="00EE35E2" w:rsidP="00EE35E2">
      <w:pPr>
        <w:ind w:firstLine="708"/>
        <w:jc w:val="both"/>
        <w:rPr>
          <w:lang w:val="de-DE"/>
        </w:rPr>
      </w:pPr>
    </w:p>
    <w:p w14:paraId="79E79E8B" w14:textId="77777777" w:rsidR="00EE35E2" w:rsidRPr="004676F5" w:rsidRDefault="00EE35E2" w:rsidP="00EE35E2">
      <w:pPr>
        <w:ind w:firstLine="708"/>
        <w:jc w:val="both"/>
        <w:rPr>
          <w:lang w:val="de-DE"/>
        </w:rPr>
      </w:pPr>
      <w:r w:rsidRPr="004676F5">
        <w:rPr>
          <w:i/>
          <w:lang w:val="de-DE"/>
        </w:rPr>
        <w:t>a)</w:t>
      </w:r>
      <w:r w:rsidRPr="004676F5">
        <w:rPr>
          <w:lang w:val="de-DE"/>
        </w:rPr>
        <w:t xml:space="preserve"> eine Aussetzung der gerichtlichen Vollstreckung in Bezug auf irgendein Teil des Vermögens des Schuldners,</w:t>
      </w:r>
    </w:p>
    <w:p w14:paraId="45BA348E" w14:textId="77777777" w:rsidR="00567F8C" w:rsidRPr="004676F5" w:rsidRDefault="00567F8C" w:rsidP="00EE35E2">
      <w:pPr>
        <w:ind w:firstLine="708"/>
        <w:jc w:val="both"/>
        <w:rPr>
          <w:i/>
          <w:lang w:val="de-DE"/>
        </w:rPr>
      </w:pPr>
    </w:p>
    <w:p w14:paraId="137F0162" w14:textId="4BF8A53E" w:rsidR="00EE35E2" w:rsidRPr="004676F5" w:rsidRDefault="00EE35E2" w:rsidP="00EE35E2">
      <w:pPr>
        <w:ind w:firstLine="708"/>
        <w:jc w:val="both"/>
        <w:rPr>
          <w:lang w:val="de-DE"/>
        </w:rPr>
      </w:pPr>
      <w:r w:rsidRPr="004676F5">
        <w:rPr>
          <w:i/>
          <w:lang w:val="de-DE"/>
        </w:rPr>
        <w:t>b)</w:t>
      </w:r>
      <w:r w:rsidRPr="004676F5">
        <w:rPr>
          <w:lang w:val="de-DE"/>
        </w:rPr>
        <w:t xml:space="preserve"> Verlust oder Beschränkung der Verwaltung des Schuldners über seine in Belgien befindlichen Güter, mit Bestellung eines oder mehrerer gerichtlicher Bevollmächtigter oder </w:t>
      </w:r>
      <w:r w:rsidR="002D1971" w:rsidRPr="004676F5">
        <w:rPr>
          <w:lang w:val="de-DE"/>
        </w:rPr>
        <w:t>[Liquidationsbearbeiter]</w:t>
      </w:r>
      <w:r w:rsidRPr="004676F5">
        <w:rPr>
          <w:lang w:val="de-DE"/>
        </w:rPr>
        <w:t>, oder</w:t>
      </w:r>
    </w:p>
    <w:p w14:paraId="0A64BF42" w14:textId="77777777" w:rsidR="00EE35E2" w:rsidRPr="004676F5" w:rsidRDefault="00EE35E2" w:rsidP="00EE35E2">
      <w:pPr>
        <w:ind w:firstLine="708"/>
        <w:jc w:val="both"/>
        <w:rPr>
          <w:lang w:val="de-DE"/>
        </w:rPr>
      </w:pPr>
    </w:p>
    <w:p w14:paraId="5609F25C" w14:textId="77777777" w:rsidR="00EE35E2" w:rsidRPr="004676F5" w:rsidRDefault="00EE35E2" w:rsidP="00EE35E2">
      <w:pPr>
        <w:ind w:firstLine="708"/>
        <w:jc w:val="both"/>
        <w:rPr>
          <w:lang w:val="de-DE"/>
        </w:rPr>
      </w:pPr>
      <w:r w:rsidRPr="004676F5">
        <w:rPr>
          <w:i/>
          <w:lang w:val="de-DE"/>
        </w:rPr>
        <w:t>c)</w:t>
      </w:r>
      <w:r w:rsidRPr="004676F5">
        <w:rPr>
          <w:lang w:val="de-DE"/>
        </w:rPr>
        <w:t> Vernehmung von Zeugen über die Zusammensetzung des Vermögens des Schuldners.</w:t>
      </w:r>
    </w:p>
    <w:p w14:paraId="56A393C7" w14:textId="77777777" w:rsidR="00EE35E2" w:rsidRPr="004676F5" w:rsidRDefault="00EE35E2" w:rsidP="00EE35E2">
      <w:pPr>
        <w:ind w:firstLine="708"/>
        <w:jc w:val="both"/>
        <w:rPr>
          <w:lang w:val="de-DE"/>
        </w:rPr>
      </w:pPr>
    </w:p>
    <w:p w14:paraId="5C6929C2" w14:textId="2656EF4F"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Sicherungsmaßnahmen können abgeändert oder zurückgezogen werden bis zu dem Zeitpunkt, wo der Richter über den Antrag auf Anerkennung der ausländischen Insolvenz entscheidet. Sicherungsmaßnahmen enden zum Zeitpunkt, wo die Entscheidung über die Anerkennung unwiderruflich wird, außer wenn in dieser Entscheidung etwas anderes festgelegt wird.</w:t>
      </w:r>
    </w:p>
    <w:p w14:paraId="315C10D6" w14:textId="77777777" w:rsidR="002D1971" w:rsidRPr="004676F5" w:rsidRDefault="002D1971" w:rsidP="002D1971">
      <w:pPr>
        <w:jc w:val="both"/>
        <w:rPr>
          <w:lang w:val="de-DE"/>
        </w:rPr>
      </w:pPr>
    </w:p>
    <w:p w14:paraId="63D11DD9" w14:textId="64EFE722" w:rsidR="002D1971" w:rsidRPr="004676F5" w:rsidRDefault="002D1971" w:rsidP="002D1971">
      <w:pPr>
        <w:jc w:val="both"/>
        <w:rPr>
          <w:i/>
          <w:iCs/>
          <w:lang w:val="de-DE"/>
        </w:rPr>
      </w:pPr>
      <w:r w:rsidRPr="004676F5">
        <w:rPr>
          <w:i/>
          <w:iCs/>
          <w:lang w:val="de-DE"/>
        </w:rPr>
        <w:t xml:space="preserve">[Art. XX.220 § 1 abgeändert durch Art. 252 </w:t>
      </w:r>
      <w:r w:rsidR="00F87A64" w:rsidRPr="004676F5">
        <w:rPr>
          <w:i/>
          <w:iCs/>
          <w:lang w:val="de-DE"/>
        </w:rPr>
        <w:t xml:space="preserve">Nr. 1 </w:t>
      </w:r>
      <w:r w:rsidRPr="004676F5">
        <w:rPr>
          <w:i/>
          <w:iCs/>
          <w:lang w:val="de-DE"/>
        </w:rPr>
        <w:t xml:space="preserve">des G. vom 7. Juni 2023 (B.S. vom 7. Juli 2023); § 2 einziger Absatz Buchstabe b) abgeändert durch Art. 252 </w:t>
      </w:r>
      <w:r w:rsidR="00F87A64" w:rsidRPr="004676F5">
        <w:rPr>
          <w:i/>
          <w:iCs/>
          <w:lang w:val="de-DE"/>
        </w:rPr>
        <w:t>Nr. 2 d</w:t>
      </w:r>
      <w:r w:rsidRPr="004676F5">
        <w:rPr>
          <w:i/>
          <w:iCs/>
          <w:lang w:val="de-DE"/>
        </w:rPr>
        <w:t>es G. vom 7. Juni 2023 (B.S. vom 7. Juli 2023)]</w:t>
      </w:r>
    </w:p>
    <w:p w14:paraId="4E6C34EE" w14:textId="77777777" w:rsidR="002D1971" w:rsidRPr="004676F5" w:rsidRDefault="002D1971" w:rsidP="002D1971">
      <w:pPr>
        <w:jc w:val="both"/>
        <w:rPr>
          <w:lang w:val="de-DE"/>
        </w:rPr>
      </w:pPr>
    </w:p>
    <w:p w14:paraId="7EE3978C" w14:textId="77777777" w:rsidR="00567F8C" w:rsidRPr="004676F5" w:rsidRDefault="00567F8C" w:rsidP="00EE35E2">
      <w:pPr>
        <w:ind w:firstLine="708"/>
        <w:jc w:val="both"/>
        <w:rPr>
          <w:lang w:val="de-DE"/>
        </w:rPr>
      </w:pPr>
    </w:p>
    <w:p w14:paraId="7C39C87F" w14:textId="08191C82" w:rsidR="00EE35E2" w:rsidRPr="004676F5" w:rsidRDefault="00BE0A56" w:rsidP="00EE35E2">
      <w:pPr>
        <w:ind w:firstLine="708"/>
        <w:jc w:val="both"/>
        <w:rPr>
          <w:lang w:val="de-DE"/>
        </w:rPr>
      </w:pPr>
      <w:r w:rsidRPr="004676F5">
        <w:rPr>
          <w:b/>
          <w:lang w:val="de-DE"/>
        </w:rPr>
        <w:t>Art. </w:t>
      </w:r>
      <w:r w:rsidR="00EE35E2" w:rsidRPr="004676F5">
        <w:rPr>
          <w:b/>
          <w:lang w:val="de-DE"/>
        </w:rPr>
        <w:t>XX.221</w:t>
      </w:r>
      <w:r w:rsidR="00EE35E2" w:rsidRPr="004676F5">
        <w:rPr>
          <w:lang w:val="de-DE"/>
        </w:rPr>
        <w:t> </w:t>
      </w:r>
      <w:r w:rsidR="005B7A5C" w:rsidRPr="004676F5">
        <w:rPr>
          <w:lang w:val="de-DE"/>
        </w:rPr>
        <w:t>- </w:t>
      </w:r>
      <w:r w:rsidR="00EE35E2" w:rsidRPr="004676F5">
        <w:rPr>
          <w:lang w:val="de-DE"/>
        </w:rPr>
        <w:t xml:space="preserve">Ein Gläubiger, der nach Eröffnung eines Verfahrens im Ausland auf irgendeine Weise, insbesondere durch Zwangsvollstreckung, vollständig oder teilweise aus den Gütern des Schuldners befriedigt wird, die im belgischen Staatsgebiet befindlich sind, hat das vom ausländischen </w:t>
      </w:r>
      <w:r w:rsidR="002D1971" w:rsidRPr="004676F5">
        <w:rPr>
          <w:lang w:val="de-DE"/>
        </w:rPr>
        <w:t xml:space="preserve">[Liquidationsbearbeiter] </w:t>
      </w:r>
      <w:r w:rsidR="00EE35E2" w:rsidRPr="004676F5">
        <w:rPr>
          <w:lang w:val="de-DE"/>
        </w:rPr>
        <w:t>Erlangte herauszugeben, sofern das ausländische Verfahren aufgrund von Artikel 121 des Gesetzbuches über das internationale Privatrecht in Belgien anerkannt ist oder anerkannt werden kann.</w:t>
      </w:r>
    </w:p>
    <w:p w14:paraId="4FCDAD0B" w14:textId="77777777" w:rsidR="00EE35E2" w:rsidRPr="004676F5" w:rsidRDefault="00EE35E2" w:rsidP="00EE35E2">
      <w:pPr>
        <w:ind w:firstLine="708"/>
        <w:jc w:val="both"/>
        <w:rPr>
          <w:lang w:val="de-DE"/>
        </w:rPr>
      </w:pPr>
    </w:p>
    <w:p w14:paraId="2074510B" w14:textId="77777777" w:rsidR="00EE35E2" w:rsidRPr="004676F5" w:rsidRDefault="00EE35E2" w:rsidP="00EE35E2">
      <w:pPr>
        <w:ind w:firstLine="708"/>
        <w:jc w:val="both"/>
        <w:rPr>
          <w:lang w:val="de-DE"/>
        </w:rPr>
      </w:pPr>
      <w:r w:rsidRPr="004676F5">
        <w:rPr>
          <w:lang w:val="de-DE"/>
        </w:rPr>
        <w:t xml:space="preserve">Ein Gläubiger, der in einem im Ausland eröffneten Insolvenzverfahren eine Quote auf seine Forderung erlangt hat, nimmt an der Verteilung im Rahmen eines in Belgien eröffneten </w:t>
      </w:r>
      <w:r w:rsidRPr="004676F5">
        <w:rPr>
          <w:lang w:val="de-DE"/>
        </w:rPr>
        <w:lastRenderedPageBreak/>
        <w:t>Verfahrens erst dann teil, wenn die Gläubiger gleichen Ranges oder gleicher Kategorie in diesem anderen Verfahren die gleiche Quote erlangt haben.</w:t>
      </w:r>
    </w:p>
    <w:p w14:paraId="2955E8DE" w14:textId="77777777" w:rsidR="00EE35E2" w:rsidRPr="004676F5" w:rsidRDefault="00EE35E2" w:rsidP="002D1971">
      <w:pPr>
        <w:jc w:val="both"/>
        <w:rPr>
          <w:lang w:val="de-DE"/>
        </w:rPr>
      </w:pPr>
    </w:p>
    <w:p w14:paraId="03138265" w14:textId="018785BD" w:rsidR="002D1971" w:rsidRPr="004676F5" w:rsidRDefault="002D1971" w:rsidP="002D1971">
      <w:pPr>
        <w:jc w:val="both"/>
        <w:rPr>
          <w:i/>
          <w:iCs/>
          <w:lang w:val="de-DE"/>
        </w:rPr>
      </w:pPr>
      <w:r w:rsidRPr="004676F5">
        <w:rPr>
          <w:i/>
          <w:iCs/>
          <w:lang w:val="de-DE"/>
        </w:rPr>
        <w:t>[Art. XX.221 Abs. 1 abgeändert durch Art. 253 des G. vom 7. Juni 2023 (B.S. vom 7. Juli 2023)]</w:t>
      </w:r>
    </w:p>
    <w:p w14:paraId="34877A51" w14:textId="77777777" w:rsidR="002D1971" w:rsidRPr="004676F5" w:rsidRDefault="002D1971" w:rsidP="002D1971">
      <w:pPr>
        <w:jc w:val="both"/>
        <w:rPr>
          <w:lang w:val="de-DE"/>
        </w:rPr>
      </w:pPr>
    </w:p>
    <w:p w14:paraId="5FD34644" w14:textId="77777777" w:rsidR="00567F8C" w:rsidRPr="004676F5" w:rsidRDefault="00567F8C" w:rsidP="00EE35E2">
      <w:pPr>
        <w:ind w:firstLine="708"/>
        <w:jc w:val="both"/>
        <w:rPr>
          <w:lang w:val="de-DE"/>
        </w:rPr>
      </w:pPr>
    </w:p>
    <w:p w14:paraId="473B92B1" w14:textId="3D3C4323" w:rsidR="00EE35E2" w:rsidRPr="004676F5" w:rsidRDefault="00BE0A56" w:rsidP="00EE35E2">
      <w:pPr>
        <w:ind w:firstLine="708"/>
        <w:jc w:val="both"/>
        <w:rPr>
          <w:lang w:val="de-DE"/>
        </w:rPr>
      </w:pPr>
      <w:r w:rsidRPr="004676F5">
        <w:rPr>
          <w:b/>
          <w:lang w:val="de-DE"/>
        </w:rPr>
        <w:t>Art. </w:t>
      </w:r>
      <w:r w:rsidR="00EE35E2" w:rsidRPr="004676F5">
        <w:rPr>
          <w:b/>
          <w:lang w:val="de-DE"/>
        </w:rPr>
        <w:t>XX.222</w:t>
      </w:r>
      <w:r w:rsidR="00EE35E2" w:rsidRPr="004676F5">
        <w:rPr>
          <w:lang w:val="de-DE"/>
        </w:rPr>
        <w:t> </w:t>
      </w:r>
      <w:r w:rsidR="005B7A5C" w:rsidRPr="004676F5">
        <w:rPr>
          <w:lang w:val="de-DE"/>
        </w:rPr>
        <w:t>- </w:t>
      </w:r>
      <w:r w:rsidR="00EE35E2" w:rsidRPr="004676F5">
        <w:rPr>
          <w:lang w:val="de-DE"/>
        </w:rPr>
        <w:t>Wer an einen Schuldner leistet, über dessen Vermögen ein Insolvenz</w:t>
      </w:r>
      <w:r w:rsidR="00EE35E2" w:rsidRPr="004676F5">
        <w:rPr>
          <w:lang w:val="de-DE"/>
        </w:rPr>
        <w:softHyphen/>
        <w:t xml:space="preserve">verfahren eröffnet worden ist, obwohl er an den </w:t>
      </w:r>
      <w:r w:rsidR="002D1971" w:rsidRPr="004676F5">
        <w:rPr>
          <w:lang w:val="de-DE"/>
        </w:rPr>
        <w:t xml:space="preserve">[Liquidationsbearbeiter] </w:t>
      </w:r>
      <w:r w:rsidR="00EE35E2" w:rsidRPr="004676F5">
        <w:rPr>
          <w:lang w:val="de-DE"/>
        </w:rPr>
        <w:t>dieses Verfahrens hätte leisten müssen, wird befreit, wenn ihm die Eröffnung des Insolvenzverfahrens nicht bekannt war.</w:t>
      </w:r>
    </w:p>
    <w:p w14:paraId="1901378C" w14:textId="77777777" w:rsidR="002D1971" w:rsidRPr="004676F5" w:rsidRDefault="002D1971" w:rsidP="002D1971">
      <w:pPr>
        <w:jc w:val="both"/>
        <w:rPr>
          <w:lang w:val="de-DE"/>
        </w:rPr>
      </w:pPr>
    </w:p>
    <w:p w14:paraId="72E69CDB" w14:textId="2D828546" w:rsidR="002D1971" w:rsidRPr="004676F5" w:rsidRDefault="002D1971" w:rsidP="002D1971">
      <w:pPr>
        <w:jc w:val="both"/>
        <w:rPr>
          <w:i/>
          <w:iCs/>
          <w:lang w:val="de-DE"/>
        </w:rPr>
      </w:pPr>
      <w:r w:rsidRPr="004676F5">
        <w:rPr>
          <w:i/>
          <w:iCs/>
          <w:lang w:val="de-DE"/>
        </w:rPr>
        <w:t>[Art. XX.222 abgeändert durch Art. 254 des G. vom 7. Juni 2023 (B.S. vom 7. Juli 2023)]</w:t>
      </w:r>
    </w:p>
    <w:p w14:paraId="0831A8FA" w14:textId="77777777" w:rsidR="002D1971" w:rsidRPr="004676F5" w:rsidRDefault="002D1971" w:rsidP="002D1971">
      <w:pPr>
        <w:jc w:val="both"/>
        <w:rPr>
          <w:lang w:val="de-DE"/>
        </w:rPr>
      </w:pPr>
    </w:p>
    <w:p w14:paraId="53777108" w14:textId="77777777" w:rsidR="00567F8C" w:rsidRPr="004676F5" w:rsidRDefault="00567F8C" w:rsidP="00EE35E2">
      <w:pPr>
        <w:ind w:firstLine="708"/>
        <w:jc w:val="both"/>
        <w:rPr>
          <w:lang w:val="de-DE"/>
        </w:rPr>
      </w:pPr>
    </w:p>
    <w:p w14:paraId="0E1D8515" w14:textId="1D05AF55" w:rsidR="00EE35E2" w:rsidRPr="004676F5" w:rsidRDefault="00BE0A56" w:rsidP="00EE35E2">
      <w:pPr>
        <w:ind w:firstLine="708"/>
        <w:jc w:val="both"/>
        <w:rPr>
          <w:lang w:val="de-DE"/>
        </w:rPr>
      </w:pPr>
      <w:r w:rsidRPr="004676F5">
        <w:rPr>
          <w:b/>
          <w:lang w:val="de-DE"/>
        </w:rPr>
        <w:t>Art. </w:t>
      </w:r>
      <w:r w:rsidR="00EE35E2" w:rsidRPr="004676F5">
        <w:rPr>
          <w:b/>
          <w:lang w:val="de-DE"/>
        </w:rPr>
        <w:t>XX.223</w:t>
      </w:r>
      <w:r w:rsidR="00EE35E2" w:rsidRPr="004676F5">
        <w:rPr>
          <w:lang w:val="de-DE"/>
        </w:rPr>
        <w:t> </w:t>
      </w:r>
      <w:r w:rsidR="005B7A5C" w:rsidRPr="004676F5">
        <w:rPr>
          <w:lang w:val="de-DE"/>
        </w:rPr>
        <w:t>- </w:t>
      </w:r>
      <w:r w:rsidR="00EE35E2" w:rsidRPr="004676F5">
        <w:rPr>
          <w:lang w:val="de-DE"/>
        </w:rPr>
        <w:t xml:space="preserve">Verbleibt bei Beendigung eines Territorialinsolvenzverfahrens ein Überschuss, so übergibt der in diesem Verfahren bestellte </w:t>
      </w:r>
      <w:r w:rsidR="002D1971" w:rsidRPr="004676F5">
        <w:rPr>
          <w:lang w:val="de-DE"/>
        </w:rPr>
        <w:t xml:space="preserve">[Liquidationsbearbeiter] </w:t>
      </w:r>
      <w:r w:rsidR="00EE35E2" w:rsidRPr="004676F5">
        <w:rPr>
          <w:lang w:val="de-DE"/>
        </w:rPr>
        <w:t xml:space="preserve">den Überschuss unverzüglich dem </w:t>
      </w:r>
      <w:r w:rsidR="002D1971" w:rsidRPr="004676F5">
        <w:rPr>
          <w:lang w:val="de-DE"/>
        </w:rPr>
        <w:t xml:space="preserve">[Liquidationsbearbeiter] </w:t>
      </w:r>
      <w:r w:rsidR="00EE35E2" w:rsidRPr="004676F5">
        <w:rPr>
          <w:lang w:val="de-DE"/>
        </w:rPr>
        <w:t>des Hauptverfahrens.</w:t>
      </w:r>
    </w:p>
    <w:p w14:paraId="3C0BA088" w14:textId="77777777" w:rsidR="002D1971" w:rsidRPr="004676F5" w:rsidRDefault="002D1971" w:rsidP="002D1971">
      <w:pPr>
        <w:jc w:val="both"/>
        <w:rPr>
          <w:lang w:val="de-DE"/>
        </w:rPr>
      </w:pPr>
    </w:p>
    <w:p w14:paraId="6D9B9D50" w14:textId="054B329F" w:rsidR="002D1971" w:rsidRPr="004676F5" w:rsidRDefault="002D1971" w:rsidP="002D1971">
      <w:pPr>
        <w:jc w:val="both"/>
        <w:rPr>
          <w:i/>
          <w:iCs/>
          <w:lang w:val="de-DE"/>
        </w:rPr>
      </w:pPr>
      <w:r w:rsidRPr="004676F5">
        <w:rPr>
          <w:i/>
          <w:iCs/>
          <w:lang w:val="de-DE"/>
        </w:rPr>
        <w:t>[Art. XX.223 abgeändert durch Art. 255 des G. vom 7. Juni 2023 (B.S. vom 7. Juli 2023)]</w:t>
      </w:r>
    </w:p>
    <w:p w14:paraId="7EC6B615" w14:textId="77777777" w:rsidR="002D1971" w:rsidRPr="004676F5" w:rsidRDefault="002D1971" w:rsidP="002D1971">
      <w:pPr>
        <w:jc w:val="both"/>
        <w:rPr>
          <w:lang w:val="de-DE"/>
        </w:rPr>
      </w:pPr>
    </w:p>
    <w:p w14:paraId="1D8740F6" w14:textId="77777777" w:rsidR="00EE35E2" w:rsidRPr="004676F5" w:rsidRDefault="00EE35E2" w:rsidP="00EE35E2">
      <w:pPr>
        <w:jc w:val="both"/>
        <w:rPr>
          <w:lang w:val="de-DE"/>
        </w:rPr>
      </w:pPr>
    </w:p>
    <w:p w14:paraId="68D3D809" w14:textId="7243B602" w:rsidR="00567F8C" w:rsidRPr="004676F5" w:rsidRDefault="00567F8C">
      <w:pPr>
        <w:rPr>
          <w:b/>
          <w:lang w:val="de-DE"/>
        </w:rPr>
      </w:pPr>
    </w:p>
    <w:p w14:paraId="66BB1F72" w14:textId="77777777" w:rsidR="002D1971" w:rsidRPr="004676F5" w:rsidRDefault="002D1971">
      <w:pPr>
        <w:rPr>
          <w:b/>
          <w:lang w:val="de-DE"/>
        </w:rPr>
      </w:pPr>
      <w:r w:rsidRPr="004676F5">
        <w:rPr>
          <w:b/>
          <w:lang w:val="de-DE"/>
        </w:rPr>
        <w:br w:type="page"/>
      </w:r>
    </w:p>
    <w:p w14:paraId="2213B3BA" w14:textId="2AAA6A42" w:rsidR="00EE35E2" w:rsidRPr="004676F5" w:rsidRDefault="00EE35E2" w:rsidP="00EE35E2">
      <w:pPr>
        <w:jc w:val="center"/>
        <w:rPr>
          <w:lang w:val="de-DE"/>
        </w:rPr>
      </w:pPr>
      <w:r w:rsidRPr="004676F5">
        <w:rPr>
          <w:b/>
          <w:lang w:val="de-DE"/>
        </w:rPr>
        <w:lastRenderedPageBreak/>
        <w:t xml:space="preserve">TITEL 7 – </w:t>
      </w:r>
      <w:r w:rsidRPr="004676F5">
        <w:rPr>
          <w:b/>
          <w:i/>
          <w:lang w:val="de-DE"/>
        </w:rPr>
        <w:t xml:space="preserve">Haftpflichtklage </w:t>
      </w:r>
      <w:r w:rsidRPr="004676F5">
        <w:rPr>
          <w:i/>
          <w:lang w:val="de-DE"/>
        </w:rPr>
        <w:t>[sic, zu lesen ist: 8]</w:t>
      </w:r>
    </w:p>
    <w:p w14:paraId="68E2B3F8" w14:textId="77777777" w:rsidR="00EE35E2" w:rsidRPr="004676F5" w:rsidRDefault="00EE35E2" w:rsidP="00EE35E2">
      <w:pPr>
        <w:jc w:val="both"/>
        <w:rPr>
          <w:lang w:val="de-DE"/>
        </w:rPr>
      </w:pPr>
    </w:p>
    <w:p w14:paraId="5C1F2348" w14:textId="77777777" w:rsidR="00567F8C" w:rsidRPr="004676F5" w:rsidRDefault="00567F8C" w:rsidP="00EE35E2">
      <w:pPr>
        <w:jc w:val="both"/>
        <w:rPr>
          <w:lang w:val="de-DE"/>
        </w:rPr>
      </w:pPr>
    </w:p>
    <w:p w14:paraId="31997A77" w14:textId="515A4B61" w:rsidR="00EE35E2" w:rsidRPr="004676F5" w:rsidRDefault="00BE0A56" w:rsidP="00EE35E2">
      <w:pPr>
        <w:ind w:firstLine="708"/>
        <w:jc w:val="both"/>
        <w:rPr>
          <w:lang w:val="de-DE"/>
        </w:rPr>
      </w:pPr>
      <w:r w:rsidRPr="004676F5">
        <w:rPr>
          <w:b/>
          <w:lang w:val="de-DE"/>
        </w:rPr>
        <w:t>Art. </w:t>
      </w:r>
      <w:r w:rsidR="00EE35E2" w:rsidRPr="004676F5">
        <w:rPr>
          <w:b/>
          <w:lang w:val="de-DE"/>
        </w:rPr>
        <w:t>XX.224</w:t>
      </w:r>
      <w:r w:rsidR="00EE35E2" w:rsidRPr="004676F5">
        <w:rPr>
          <w:lang w:val="de-DE"/>
        </w:rPr>
        <w:t> </w:t>
      </w:r>
      <w:r w:rsidR="005B7A5C" w:rsidRPr="004676F5">
        <w:rPr>
          <w:lang w:val="de-DE"/>
        </w:rPr>
        <w:t>- </w:t>
      </w:r>
      <w:r w:rsidR="00EE35E2" w:rsidRPr="004676F5">
        <w:rPr>
          <w:lang w:val="de-DE"/>
        </w:rPr>
        <w:t xml:space="preserve">Vorliegender Titel ist nicht anwendbar auf Unternehmen, die </w:t>
      </w:r>
      <w:r w:rsidR="00D35125" w:rsidRPr="004676F5">
        <w:rPr>
          <w:lang w:val="de-DE"/>
        </w:rPr>
        <w:t>[in Artikel I.1 Nr. 1 Absatz 1 Buchstabe </w:t>
      </w:r>
      <w:r w:rsidR="00D35125" w:rsidRPr="004676F5">
        <w:rPr>
          <w:i/>
          <w:iCs/>
          <w:lang w:val="de-DE"/>
        </w:rPr>
        <w:t>(</w:t>
      </w:r>
      <w:r w:rsidR="001233DD" w:rsidRPr="004676F5">
        <w:rPr>
          <w:i/>
          <w:iCs/>
          <w:lang w:val="de-DE"/>
        </w:rPr>
        <w:t>a</w:t>
      </w:r>
      <w:r w:rsidR="00D35125" w:rsidRPr="004676F5">
        <w:rPr>
          <w:i/>
          <w:iCs/>
          <w:lang w:val="de-DE"/>
        </w:rPr>
        <w:t>)</w:t>
      </w:r>
      <w:r w:rsidR="00D35125" w:rsidRPr="004676F5">
        <w:rPr>
          <w:lang w:val="de-DE"/>
        </w:rPr>
        <w:t>]</w:t>
      </w:r>
      <w:r w:rsidR="00EE35E2" w:rsidRPr="004676F5">
        <w:rPr>
          <w:lang w:val="de-DE"/>
        </w:rPr>
        <w:t xml:space="preserve"> des vorliegenden Buches erwähnt sind.</w:t>
      </w:r>
    </w:p>
    <w:p w14:paraId="67FC03FD" w14:textId="3A1CA34B" w:rsidR="00EE35E2" w:rsidRPr="004676F5" w:rsidRDefault="00EE35E2" w:rsidP="00EE35E2">
      <w:pPr>
        <w:ind w:firstLine="708"/>
        <w:jc w:val="both"/>
        <w:rPr>
          <w:lang w:val="de-DE"/>
        </w:rPr>
      </w:pPr>
    </w:p>
    <w:p w14:paraId="77B1405F" w14:textId="01F8A1CF" w:rsidR="00D35125" w:rsidRPr="004676F5" w:rsidRDefault="00D35125" w:rsidP="00D35125">
      <w:pPr>
        <w:jc w:val="both"/>
        <w:rPr>
          <w:i/>
          <w:lang w:val="de-DE"/>
        </w:rPr>
      </w:pPr>
      <w:r w:rsidRPr="004676F5">
        <w:rPr>
          <w:i/>
          <w:lang w:val="de-DE"/>
        </w:rPr>
        <w:t>[Art. XX.224 abgeändert durch Art. 244 des G. vom 15. April 2018 (B.S. vom 27. April 2018)]</w:t>
      </w:r>
    </w:p>
    <w:p w14:paraId="3A6420EC" w14:textId="77777777" w:rsidR="00D35125" w:rsidRPr="004676F5" w:rsidRDefault="00D35125" w:rsidP="00D35125">
      <w:pPr>
        <w:jc w:val="both"/>
        <w:rPr>
          <w:i/>
          <w:lang w:val="de-DE"/>
        </w:rPr>
      </w:pPr>
    </w:p>
    <w:p w14:paraId="4A31FC2B" w14:textId="77777777" w:rsidR="00567F8C" w:rsidRPr="004676F5" w:rsidRDefault="00567F8C" w:rsidP="00EE35E2">
      <w:pPr>
        <w:ind w:firstLine="708"/>
        <w:jc w:val="both"/>
        <w:rPr>
          <w:lang w:val="de-DE"/>
        </w:rPr>
      </w:pPr>
    </w:p>
    <w:p w14:paraId="7AA3CFBD" w14:textId="702D6CE7" w:rsidR="00EE35E2" w:rsidRPr="004676F5" w:rsidRDefault="00BE0A56" w:rsidP="00EE35E2">
      <w:pPr>
        <w:ind w:firstLine="708"/>
        <w:jc w:val="both"/>
        <w:rPr>
          <w:lang w:val="de-DE"/>
        </w:rPr>
      </w:pPr>
      <w:r w:rsidRPr="004676F5">
        <w:rPr>
          <w:b/>
          <w:lang w:val="de-DE"/>
        </w:rPr>
        <w:t>Art. </w:t>
      </w:r>
      <w:r w:rsidR="00EE35E2" w:rsidRPr="004676F5">
        <w:rPr>
          <w:b/>
          <w:lang w:val="de-DE"/>
        </w:rPr>
        <w:t>XX.225</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Bei Konkurs eines Unternehmens und mangels Masse können Verwalter, Geschäftsführer, Beauftragte für die tägliche Geschäftsführung und Mitglieder des Direktionsausschusses oder des Aufsichtsrates, auch ehemalige, und andere Personen, die effektiv befugt gewesen sind, das Unternehmen zu verwalten, für die Gesamtheit oder einen Teil der </w:t>
      </w:r>
      <w:r w:rsidR="00460A23" w:rsidRPr="004676F5">
        <w:rPr>
          <w:lang w:val="de-DE"/>
        </w:rPr>
        <w:t>Gesellschafts</w:t>
      </w:r>
      <w:r w:rsidR="00EE35E2" w:rsidRPr="004676F5">
        <w:rPr>
          <w:lang w:val="de-DE"/>
        </w:rPr>
        <w:t>schulden in Höhe des Mangels an Masse für persönlich haftbar erklärt werden, gesamtschuldnerisch oder nicht, wenn erwiesen ist, dass ein offensichtlich grobes Verschulden ihrerseits zum Konkurs beigetragen hat.</w:t>
      </w:r>
    </w:p>
    <w:p w14:paraId="796588DB" w14:textId="77777777" w:rsidR="00EE35E2" w:rsidRPr="004676F5" w:rsidRDefault="00EE35E2" w:rsidP="00EE35E2">
      <w:pPr>
        <w:ind w:firstLine="708"/>
        <w:jc w:val="both"/>
        <w:rPr>
          <w:lang w:val="de-DE"/>
        </w:rPr>
      </w:pPr>
    </w:p>
    <w:p w14:paraId="47403BDC" w14:textId="06A93FB4" w:rsidR="00EE35E2" w:rsidRPr="004676F5" w:rsidRDefault="00EE35E2" w:rsidP="00EE35E2">
      <w:pPr>
        <w:ind w:firstLine="708"/>
        <w:jc w:val="both"/>
        <w:rPr>
          <w:lang w:val="de-DE"/>
        </w:rPr>
      </w:pPr>
      <w:r w:rsidRPr="004676F5">
        <w:rPr>
          <w:lang w:val="de-DE"/>
        </w:rPr>
        <w:t xml:space="preserve">Als offensichtlich grobes Verschulden gilt in jedem Fall organisierte oder nicht organisierte schwere Steuerhinterziehung im Sinne von </w:t>
      </w:r>
      <w:r w:rsidR="002D1971" w:rsidRPr="004676F5">
        <w:rPr>
          <w:lang w:val="de-DE"/>
        </w:rPr>
        <w:t>[Artikel 4 Nr. 23 Buchstabe </w:t>
      </w:r>
      <w:r w:rsidR="002D1971" w:rsidRPr="004676F5">
        <w:rPr>
          <w:i/>
          <w:lang w:val="de-DE"/>
        </w:rPr>
        <w:t>k)</w:t>
      </w:r>
      <w:r w:rsidR="002D1971" w:rsidRPr="004676F5">
        <w:rPr>
          <w:lang w:val="de-DE"/>
        </w:rPr>
        <w:t xml:space="preserve"> des Gesetzes vom 18. September 2017 zur Verhinderung von Geldwäsche und Terrorismusfinanzierung und zur Beschränkung der Nutzung von Bargeld]</w:t>
      </w:r>
      <w:r w:rsidRPr="004676F5">
        <w:rPr>
          <w:lang w:val="de-DE"/>
        </w:rPr>
        <w:t>.</w:t>
      </w:r>
    </w:p>
    <w:p w14:paraId="06453BF8" w14:textId="77777777" w:rsidR="00EE35E2" w:rsidRPr="004676F5" w:rsidRDefault="00EE35E2" w:rsidP="00EE35E2">
      <w:pPr>
        <w:ind w:firstLine="708"/>
        <w:jc w:val="both"/>
        <w:rPr>
          <w:lang w:val="de-DE"/>
        </w:rPr>
      </w:pPr>
    </w:p>
    <w:p w14:paraId="291A52CA" w14:textId="463CAE31"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Paragraph 1 ist nicht anwendbar, wenn das in Konkurs geratene Unternehmen in den letzten drei Geschäftsjahren vor dem Konkurs oder in allen Geschäftsjahren, wenn das Unternehmen vor weniger als drei Jahren errichtet worden ist, einen durchschnittlichen Umsatz erzielt hat, der ohne Mehrwertsteuer unter 620 000 EUR liegt, und wenn die Bilanzsumme des letzten Geschäftsjahres nicht über 370 000 EUR lag</w:t>
      </w:r>
      <w:r w:rsidR="00395FF2" w:rsidRPr="004676F5">
        <w:rPr>
          <w:lang w:val="de-DE"/>
        </w:rPr>
        <w:t xml:space="preserve"> [...]</w:t>
      </w:r>
      <w:r w:rsidRPr="004676F5">
        <w:rPr>
          <w:lang w:val="de-DE"/>
        </w:rPr>
        <w:t>.</w:t>
      </w:r>
    </w:p>
    <w:p w14:paraId="71E6E3F9" w14:textId="77777777" w:rsidR="00EE35E2" w:rsidRPr="004676F5" w:rsidRDefault="00EE35E2" w:rsidP="00EE35E2">
      <w:pPr>
        <w:ind w:firstLine="708"/>
        <w:jc w:val="both"/>
        <w:rPr>
          <w:lang w:val="de-DE"/>
        </w:rPr>
      </w:pPr>
    </w:p>
    <w:p w14:paraId="41C4CA6F" w14:textId="52BEF95B"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Die in § 1 erwähnte Klage kann sowohl von den Konkursverwaltern als von geschädigten Gläubigern erhoben werden. Ein geschädigter Gläubiger kann nur Klage erheben, wenn der Konkursverwalter sie nicht selber in einer Frist von einem Monat, nachdem er dazu vom geschädigten Gläubiger angemahnt worden ist, eingereicht hat. Der geschädigte Gläubiger setzt den Konkursverwalter hiervon in Kenntnis. Der Konkursverwalter kann dem Verfahren, das der Gläubiger eingereicht hat, beitreten. In diesem Fall gilt, dass der Konkursverwalter die Klage von Rechts wegen als Rechtsnachfolger des Gläubigers fortsetzt.</w:t>
      </w:r>
    </w:p>
    <w:p w14:paraId="3596CB48" w14:textId="77777777" w:rsidR="00EE35E2" w:rsidRPr="004676F5" w:rsidRDefault="00EE35E2" w:rsidP="00EE35E2">
      <w:pPr>
        <w:ind w:firstLine="708"/>
        <w:jc w:val="both"/>
        <w:rPr>
          <w:lang w:val="de-DE"/>
        </w:rPr>
      </w:pPr>
    </w:p>
    <w:p w14:paraId="75016384" w14:textId="216C9A2A"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Tritt der Konkursverwalter dem Verfahren bei, wird der Gläubiger zu Lasten der Masse für seine Kosten und Ausgaben entschädigt. Der Gläubiger hat ebenfalls Anrecht auf Entschädigung für seine Kosten und Ausgaben, wenn der Konkursverwalter dem Verfahren nicht beigetreten ist und die Klage vorteilhaft für die Masse war.</w:t>
      </w:r>
    </w:p>
    <w:p w14:paraId="5153C167" w14:textId="77777777" w:rsidR="00EE35E2" w:rsidRPr="004676F5" w:rsidRDefault="00EE35E2" w:rsidP="00EE35E2">
      <w:pPr>
        <w:ind w:firstLine="708"/>
        <w:jc w:val="both"/>
        <w:rPr>
          <w:lang w:val="de-DE"/>
        </w:rPr>
      </w:pPr>
    </w:p>
    <w:p w14:paraId="152F6F67" w14:textId="189FA118"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Ob die Klage von Konkursverwalter oder vom Gläubiger erhoben wird:</w:t>
      </w:r>
    </w:p>
    <w:p w14:paraId="57D173DF" w14:textId="77777777" w:rsidR="00EE35E2" w:rsidRPr="004676F5" w:rsidRDefault="00EE35E2" w:rsidP="00EE35E2">
      <w:pPr>
        <w:ind w:firstLine="708"/>
        <w:jc w:val="both"/>
        <w:rPr>
          <w:lang w:val="de-DE"/>
        </w:rPr>
      </w:pPr>
    </w:p>
    <w:p w14:paraId="1957075C" w14:textId="77777777" w:rsidR="00EE35E2" w:rsidRPr="004676F5" w:rsidRDefault="00EE35E2" w:rsidP="00EE35E2">
      <w:pPr>
        <w:ind w:firstLine="708"/>
        <w:jc w:val="both"/>
        <w:rPr>
          <w:lang w:val="de-DE"/>
        </w:rPr>
      </w:pPr>
      <w:r w:rsidRPr="004676F5">
        <w:rPr>
          <w:lang w:val="de-DE"/>
        </w:rPr>
        <w:t>1. eine vom Gericht zuerkannte Entschädigung wegen verringerter oder nicht vorhandener Aktiva wird verhältnismäßig unter die Gläubiger verteilt unter Wahrung der rechtmäßigen Vorrangsgründe in Bezug auf diese Aktiva,</w:t>
      </w:r>
    </w:p>
    <w:p w14:paraId="3AC203A1" w14:textId="77777777" w:rsidR="00EE35E2" w:rsidRPr="004676F5" w:rsidRDefault="00EE35E2" w:rsidP="00EE35E2">
      <w:pPr>
        <w:ind w:firstLine="708"/>
        <w:jc w:val="both"/>
        <w:rPr>
          <w:lang w:val="de-DE"/>
        </w:rPr>
      </w:pPr>
    </w:p>
    <w:p w14:paraId="4011FB99" w14:textId="77777777" w:rsidR="00EE35E2" w:rsidRPr="004676F5" w:rsidRDefault="00EE35E2" w:rsidP="00EE35E2">
      <w:pPr>
        <w:ind w:firstLine="708"/>
        <w:jc w:val="both"/>
        <w:rPr>
          <w:lang w:val="de-DE"/>
        </w:rPr>
      </w:pPr>
      <w:r w:rsidRPr="004676F5">
        <w:rPr>
          <w:lang w:val="de-DE"/>
        </w:rPr>
        <w:t>2. eine vom Gericht zuerkannte Entschädigung wegen Erhöhung der Passiva wird verhältnismäßig unter alle Gläubiger verteilt ohne Berücksichtigung der rechtmäßigen Vorrangs</w:t>
      </w:r>
      <w:r w:rsidRPr="004676F5">
        <w:rPr>
          <w:lang w:val="de-DE"/>
        </w:rPr>
        <w:softHyphen/>
        <w:t>gründe.</w:t>
      </w:r>
    </w:p>
    <w:p w14:paraId="0CEDFAB2" w14:textId="77777777" w:rsidR="00EE35E2" w:rsidRPr="004676F5" w:rsidRDefault="00EE35E2" w:rsidP="00EE35E2">
      <w:pPr>
        <w:ind w:firstLine="708"/>
        <w:jc w:val="both"/>
        <w:rPr>
          <w:lang w:val="de-DE"/>
        </w:rPr>
      </w:pPr>
    </w:p>
    <w:p w14:paraId="20B73789" w14:textId="77777777" w:rsidR="00EE35E2" w:rsidRPr="004676F5" w:rsidRDefault="00EE35E2" w:rsidP="00EE35E2">
      <w:pPr>
        <w:ind w:firstLine="708"/>
        <w:jc w:val="both"/>
        <w:rPr>
          <w:lang w:val="de-DE"/>
        </w:rPr>
      </w:pPr>
      <w:r w:rsidRPr="004676F5">
        <w:rPr>
          <w:lang w:val="de-DE"/>
        </w:rPr>
        <w:t>Die Verteilung erfolgt nach Abzug der Masseschulden.</w:t>
      </w:r>
    </w:p>
    <w:p w14:paraId="2FDA5771" w14:textId="77777777" w:rsidR="00EE35E2" w:rsidRPr="004676F5" w:rsidRDefault="00EE35E2" w:rsidP="00EE35E2">
      <w:pPr>
        <w:ind w:firstLine="708"/>
        <w:jc w:val="both"/>
        <w:rPr>
          <w:lang w:val="de-DE"/>
        </w:rPr>
      </w:pPr>
    </w:p>
    <w:p w14:paraId="66594744" w14:textId="2D9385A2" w:rsidR="00EE35E2" w:rsidRPr="004676F5" w:rsidRDefault="00EE35E2" w:rsidP="00EE35E2">
      <w:pPr>
        <w:ind w:firstLine="708"/>
        <w:jc w:val="both"/>
        <w:rPr>
          <w:lang w:val="de-DE"/>
        </w:rPr>
      </w:pPr>
      <w:r w:rsidRPr="004676F5">
        <w:rPr>
          <w:lang w:val="de-DE"/>
        </w:rPr>
        <w:t>§ 6 </w:t>
      </w:r>
      <w:r w:rsidR="005B7A5C" w:rsidRPr="004676F5">
        <w:rPr>
          <w:lang w:val="de-DE"/>
        </w:rPr>
        <w:t>- </w:t>
      </w:r>
      <w:r w:rsidRPr="004676F5">
        <w:rPr>
          <w:lang w:val="de-DE"/>
        </w:rPr>
        <w:t xml:space="preserve">Ist eine in § 1 erwähnte für persönlich haftbar erklärte Person Freiberufler, notifiziert der Greffier eine Abschrift des Urteils </w:t>
      </w:r>
      <w:r w:rsidR="00D35125" w:rsidRPr="004676F5">
        <w:rPr>
          <w:lang w:val="de-DE"/>
        </w:rPr>
        <w:t>[an die Kammer oder das Institut]</w:t>
      </w:r>
      <w:r w:rsidRPr="004676F5">
        <w:rPr>
          <w:lang w:val="de-DE"/>
        </w:rPr>
        <w:t>.</w:t>
      </w:r>
    </w:p>
    <w:p w14:paraId="0DDD47A6" w14:textId="7D1261D9" w:rsidR="00D35125" w:rsidRPr="004676F5" w:rsidRDefault="00D35125" w:rsidP="00EE35E2">
      <w:pPr>
        <w:ind w:firstLine="708"/>
        <w:jc w:val="both"/>
        <w:rPr>
          <w:lang w:val="de-DE"/>
        </w:rPr>
      </w:pPr>
    </w:p>
    <w:p w14:paraId="4540CB07" w14:textId="1768D50F" w:rsidR="00D35125" w:rsidRPr="004676F5" w:rsidRDefault="00D35125" w:rsidP="00D35125">
      <w:pPr>
        <w:jc w:val="both"/>
        <w:rPr>
          <w:i/>
          <w:lang w:val="de-DE"/>
        </w:rPr>
      </w:pPr>
      <w:r w:rsidRPr="004676F5">
        <w:rPr>
          <w:i/>
          <w:lang w:val="de-DE"/>
        </w:rPr>
        <w:t>[Art. XX.225</w:t>
      </w:r>
      <w:r w:rsidR="00395FF2" w:rsidRPr="004676F5">
        <w:rPr>
          <w:i/>
          <w:lang w:val="de-DE"/>
        </w:rPr>
        <w:t xml:space="preserve"> </w:t>
      </w:r>
      <w:r w:rsidR="002D1971" w:rsidRPr="004676F5">
        <w:rPr>
          <w:i/>
          <w:lang w:val="de-DE"/>
        </w:rPr>
        <w:t>§ 1 Abs. 2 abgeändert durch Art. 256</w:t>
      </w:r>
      <w:r w:rsidR="002D1971" w:rsidRPr="004676F5">
        <w:rPr>
          <w:i/>
          <w:iCs/>
          <w:lang w:val="de-DE"/>
        </w:rPr>
        <w:t xml:space="preserve"> des G. vom 7. Juni 2023 (B.S. vom 7. Juli 2023); </w:t>
      </w:r>
      <w:r w:rsidR="00395FF2" w:rsidRPr="004676F5">
        <w:rPr>
          <w:i/>
          <w:lang w:val="de-DE"/>
        </w:rPr>
        <w:t>§ 2 abgeändert durch Art. 30</w:t>
      </w:r>
      <w:r w:rsidR="00395FF2" w:rsidRPr="004676F5">
        <w:rPr>
          <w:i/>
          <w:iCs/>
          <w:lang w:val="de-DE"/>
        </w:rPr>
        <w:t xml:space="preserve"> des G. vom 23. März 2019 (B.S. vom 4. April 2019);</w:t>
      </w:r>
      <w:r w:rsidRPr="004676F5">
        <w:rPr>
          <w:i/>
          <w:lang w:val="de-DE"/>
        </w:rPr>
        <w:t xml:space="preserve"> § 6 abgeändert durch Art. 245 des G. vom 15. April 2018 (B.S. vom 27. April 2018)]</w:t>
      </w:r>
    </w:p>
    <w:p w14:paraId="0A0FE4E8" w14:textId="77777777" w:rsidR="00EE35E2" w:rsidRPr="004676F5" w:rsidRDefault="00EE35E2" w:rsidP="00EE35E2">
      <w:pPr>
        <w:ind w:firstLine="708"/>
        <w:jc w:val="both"/>
        <w:rPr>
          <w:lang w:val="de-DE"/>
        </w:rPr>
      </w:pPr>
    </w:p>
    <w:p w14:paraId="1ECD4CA9" w14:textId="77777777" w:rsidR="00567F8C" w:rsidRPr="004676F5" w:rsidRDefault="00567F8C" w:rsidP="00EE35E2">
      <w:pPr>
        <w:ind w:firstLine="708"/>
        <w:jc w:val="both"/>
        <w:rPr>
          <w:lang w:val="de-DE"/>
        </w:rPr>
      </w:pPr>
    </w:p>
    <w:p w14:paraId="4502A199" w14:textId="66239396" w:rsidR="00EE35E2" w:rsidRPr="004676F5" w:rsidRDefault="00BE0A56" w:rsidP="00EE35E2">
      <w:pPr>
        <w:ind w:firstLine="708"/>
        <w:jc w:val="both"/>
        <w:rPr>
          <w:lang w:val="de-DE"/>
        </w:rPr>
      </w:pPr>
      <w:r w:rsidRPr="004676F5">
        <w:rPr>
          <w:b/>
          <w:lang w:val="de-DE"/>
        </w:rPr>
        <w:t>Art. </w:t>
      </w:r>
      <w:r w:rsidR="00EE35E2" w:rsidRPr="004676F5">
        <w:rPr>
          <w:b/>
          <w:lang w:val="de-DE"/>
        </w:rPr>
        <w:t>XX.226</w:t>
      </w:r>
      <w:r w:rsidR="00EE35E2" w:rsidRPr="004676F5">
        <w:rPr>
          <w:lang w:val="de-DE"/>
        </w:rPr>
        <w:t> </w:t>
      </w:r>
      <w:r w:rsidR="005B7A5C" w:rsidRPr="004676F5">
        <w:rPr>
          <w:lang w:val="de-DE"/>
        </w:rPr>
        <w:t>- </w:t>
      </w:r>
      <w:r w:rsidR="00EE35E2" w:rsidRPr="004676F5">
        <w:rPr>
          <w:lang w:val="de-DE"/>
        </w:rPr>
        <w:t>Unbeschadet des Artikels XX.225 können Verwalter, Geschäftsführer, Beauftragte für die tägliche Geschäftsführung und Mitglieder des Direktionsausschusses oder des Aufsichtsrates, auch ehemalige, und andere Personen, die effektiv befugt gewesen sind, das Unternehmen zu verwalten, vom Landesamt für soziale Sicherheit oder vom Konkursverwalter persönlich und gesamtschuldnerisch haftbar gemacht werden für die Gesamtheit oder einen Teil der zum Zeitpunkt der Verkündung des Konkurses geschuldeten Sozialbeiträge einschließlich Verzugszinsen, wenn erwiesen ist, dass sie im Laufe eines Zeitraums von fünf Jahren vor Verkündung des Konkurses in mindestens zwei Konkursen oder Liquidationen von Unternehmen verwickelt waren, bei denen Schulden gegenüber einer Einrichtung zur Einnahme von Sozialversicherungsbeiträgen nicht beglichen wurden, sofern sie zum Zeitpunkt des Konkurses, der Auflösung oder des Beginns der Liquidation dieser Unternehmen in diesen Unternehmen die Eigenschaft eines Leiters oder ehemaligen Leiters oder eines Mitglieds oder ehemaligen Mitglieds des Direktionsausschusses oder Aufsichtsrates hatten oder hinsichtlich der Unternehmensgeschäfte effektiv eine leitende Funktion hatten oder gehabt hatten.</w:t>
      </w:r>
    </w:p>
    <w:p w14:paraId="10FE38E3" w14:textId="77777777" w:rsidR="00EE35E2" w:rsidRPr="004676F5" w:rsidRDefault="00EE35E2" w:rsidP="00EE35E2">
      <w:pPr>
        <w:ind w:firstLine="708"/>
        <w:jc w:val="both"/>
        <w:rPr>
          <w:lang w:val="de-DE"/>
        </w:rPr>
      </w:pPr>
    </w:p>
    <w:p w14:paraId="03D908D4" w14:textId="77777777" w:rsidR="00EE35E2" w:rsidRPr="004676F5" w:rsidRDefault="00EE35E2" w:rsidP="00EE35E2">
      <w:pPr>
        <w:ind w:firstLine="708"/>
        <w:jc w:val="both"/>
        <w:rPr>
          <w:lang w:val="de-DE"/>
        </w:rPr>
      </w:pPr>
      <w:r w:rsidRPr="004676F5">
        <w:rPr>
          <w:lang w:val="de-DE"/>
        </w:rPr>
        <w:t>Ist eine Klage aufgrund von Artikel XX.225 erhoben worden, werden Beträge, die infolge dieser Klage dem LASS zugesprochen werden, auf den Betrag angerechnet, der dem LASS aufgrund des vorliegenden Artikels zugesprochen wird.</w:t>
      </w:r>
    </w:p>
    <w:p w14:paraId="38344E82" w14:textId="77777777" w:rsidR="00EE35E2" w:rsidRPr="004676F5" w:rsidRDefault="00EE35E2" w:rsidP="00EE35E2">
      <w:pPr>
        <w:ind w:firstLine="708"/>
        <w:jc w:val="both"/>
        <w:rPr>
          <w:lang w:val="de-DE"/>
        </w:rPr>
      </w:pPr>
    </w:p>
    <w:p w14:paraId="49B4B27C" w14:textId="77777777" w:rsidR="00567F8C" w:rsidRPr="004676F5" w:rsidRDefault="00567F8C" w:rsidP="00EE35E2">
      <w:pPr>
        <w:ind w:firstLine="708"/>
        <w:jc w:val="both"/>
        <w:rPr>
          <w:lang w:val="de-DE"/>
        </w:rPr>
      </w:pPr>
    </w:p>
    <w:p w14:paraId="3430100C" w14:textId="5F62894F" w:rsidR="00EE35E2" w:rsidRPr="004676F5" w:rsidRDefault="00BE0A56" w:rsidP="00EE35E2">
      <w:pPr>
        <w:ind w:firstLine="708"/>
        <w:jc w:val="both"/>
        <w:rPr>
          <w:lang w:val="de-DE"/>
        </w:rPr>
      </w:pPr>
      <w:r w:rsidRPr="004676F5">
        <w:rPr>
          <w:b/>
          <w:lang w:val="de-DE"/>
        </w:rPr>
        <w:t>Art. </w:t>
      </w:r>
      <w:r w:rsidR="00EE35E2" w:rsidRPr="004676F5">
        <w:rPr>
          <w:b/>
          <w:lang w:val="de-DE"/>
        </w:rPr>
        <w:t>XX.227</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 xml:space="preserve">Bei Konkurs eines Unternehmens und mangels Masse können Verwalter, Geschäftsführer, Beauftragte für die tägliche Geschäftsführung und Mitglieder des Direktionsausschusses oder des Aufsichtsrates, auch ehemalige, und andere Personen, die effektiv befugt gewesen sind, das Unternehmen zu verwalten, für die Gesamtheit oder einen Teil der </w:t>
      </w:r>
      <w:r w:rsidR="00460A23" w:rsidRPr="004676F5">
        <w:rPr>
          <w:lang w:val="de-DE"/>
        </w:rPr>
        <w:t>Gesellschafts</w:t>
      </w:r>
      <w:r w:rsidR="00EE35E2" w:rsidRPr="004676F5">
        <w:rPr>
          <w:lang w:val="de-DE"/>
        </w:rPr>
        <w:t>schulden gegenüber der Masse für persönlich haftbar erklärt werden, gesamt</w:t>
      </w:r>
      <w:r w:rsidR="00EE35E2" w:rsidRPr="004676F5">
        <w:rPr>
          <w:lang w:val="de-DE"/>
        </w:rPr>
        <w:softHyphen/>
        <w:t>schuldnerisch oder nicht, wenn:</w:t>
      </w:r>
    </w:p>
    <w:p w14:paraId="32E45D66" w14:textId="77777777" w:rsidR="00EE35E2" w:rsidRPr="004676F5" w:rsidRDefault="00EE35E2" w:rsidP="00EE35E2">
      <w:pPr>
        <w:ind w:firstLine="708"/>
        <w:jc w:val="both"/>
        <w:rPr>
          <w:lang w:val="de-DE"/>
        </w:rPr>
      </w:pPr>
    </w:p>
    <w:p w14:paraId="7DDFDF01" w14:textId="77777777" w:rsidR="00EE35E2" w:rsidRPr="004676F5" w:rsidRDefault="00EE35E2" w:rsidP="00EE35E2">
      <w:pPr>
        <w:ind w:firstLine="708"/>
        <w:jc w:val="both"/>
        <w:rPr>
          <w:lang w:val="de-DE"/>
        </w:rPr>
      </w:pPr>
      <w:r w:rsidRPr="004676F5">
        <w:rPr>
          <w:i/>
          <w:lang w:val="de-DE"/>
        </w:rPr>
        <w:t>a)</w:t>
      </w:r>
      <w:r w:rsidRPr="004676F5">
        <w:rPr>
          <w:lang w:val="de-DE"/>
        </w:rPr>
        <w:t> die betreffende Person zu einem bestimmten Zeitpunkt vor dem Konkurs wusste oder wissen musste, dass es offensichtlich keine vernünftigen Perspektiven gab, das Unternehmen oder seine Tätigkeiten aufrechtzuerhalten und einen Konkurs zu vermeiden,</w:t>
      </w:r>
    </w:p>
    <w:p w14:paraId="107B181C" w14:textId="77777777" w:rsidR="00EE35E2" w:rsidRPr="004676F5" w:rsidRDefault="00EE35E2" w:rsidP="00EE35E2">
      <w:pPr>
        <w:ind w:firstLine="708"/>
        <w:jc w:val="both"/>
        <w:rPr>
          <w:lang w:val="de-DE"/>
        </w:rPr>
      </w:pPr>
    </w:p>
    <w:p w14:paraId="5D58AFA1" w14:textId="77777777" w:rsidR="00EE35E2" w:rsidRPr="004676F5" w:rsidRDefault="00EE35E2" w:rsidP="00EE35E2">
      <w:pPr>
        <w:ind w:firstLine="708"/>
        <w:jc w:val="both"/>
        <w:rPr>
          <w:lang w:val="de-DE"/>
        </w:rPr>
      </w:pPr>
      <w:r w:rsidRPr="004676F5">
        <w:rPr>
          <w:i/>
          <w:lang w:val="de-DE"/>
        </w:rPr>
        <w:t>b)</w:t>
      </w:r>
      <w:r w:rsidRPr="004676F5">
        <w:rPr>
          <w:lang w:val="de-DE"/>
        </w:rPr>
        <w:t xml:space="preserve"> die betreffende Person zu diesem Zeitpunkt eine der vorerwähnten Eigenschaften hatte und</w:t>
      </w:r>
    </w:p>
    <w:p w14:paraId="2E569BF1" w14:textId="77777777" w:rsidR="00EE35E2" w:rsidRPr="004676F5" w:rsidRDefault="00EE35E2" w:rsidP="00EE35E2">
      <w:pPr>
        <w:ind w:firstLine="708"/>
        <w:jc w:val="both"/>
        <w:rPr>
          <w:lang w:val="de-DE"/>
        </w:rPr>
      </w:pPr>
    </w:p>
    <w:p w14:paraId="4BA927F8" w14:textId="77777777" w:rsidR="00EE35E2" w:rsidRPr="004676F5" w:rsidRDefault="00EE35E2" w:rsidP="00EE35E2">
      <w:pPr>
        <w:ind w:firstLine="708"/>
        <w:jc w:val="both"/>
        <w:rPr>
          <w:lang w:val="de-DE"/>
        </w:rPr>
      </w:pPr>
      <w:r w:rsidRPr="004676F5">
        <w:rPr>
          <w:i/>
          <w:lang w:val="de-DE"/>
        </w:rPr>
        <w:t>c)</w:t>
      </w:r>
      <w:r w:rsidRPr="004676F5">
        <w:rPr>
          <w:lang w:val="de-DE"/>
        </w:rPr>
        <w:t> die betreffende Person zu dem in Buchstabe </w:t>
      </w:r>
      <w:r w:rsidRPr="004676F5">
        <w:rPr>
          <w:i/>
          <w:lang w:val="de-DE"/>
        </w:rPr>
        <w:t>a)</w:t>
      </w:r>
      <w:r w:rsidRPr="004676F5">
        <w:rPr>
          <w:lang w:val="de-DE"/>
        </w:rPr>
        <w:t xml:space="preserve"> erwähnten Zeitpunkt nicht gehandelt hat, wie ein mit üblicher Vorsicht und Sorgfalt handelnder Verwalter unter denselben Umständen gehandelt hätte.</w:t>
      </w:r>
    </w:p>
    <w:p w14:paraId="336F3082" w14:textId="77777777" w:rsidR="00EE35E2" w:rsidRPr="004676F5" w:rsidRDefault="00EE35E2" w:rsidP="00EE35E2">
      <w:pPr>
        <w:ind w:firstLine="708"/>
        <w:jc w:val="both"/>
        <w:rPr>
          <w:lang w:val="de-DE"/>
        </w:rPr>
      </w:pPr>
    </w:p>
    <w:p w14:paraId="4BA4B5C8" w14:textId="7AF21BD0" w:rsidR="00EE35E2" w:rsidRPr="004676F5" w:rsidRDefault="00EE35E2" w:rsidP="00EE35E2">
      <w:pPr>
        <w:ind w:firstLine="708"/>
        <w:jc w:val="both"/>
        <w:rPr>
          <w:lang w:val="de-DE"/>
        </w:rPr>
      </w:pPr>
      <w:r w:rsidRPr="004676F5">
        <w:rPr>
          <w:lang w:val="de-DE"/>
        </w:rPr>
        <w:lastRenderedPageBreak/>
        <w:t>§ 2 </w:t>
      </w:r>
      <w:r w:rsidR="005B7A5C" w:rsidRPr="004676F5">
        <w:rPr>
          <w:lang w:val="de-DE"/>
        </w:rPr>
        <w:t>- </w:t>
      </w:r>
      <w:r w:rsidRPr="004676F5">
        <w:rPr>
          <w:lang w:val="de-DE"/>
        </w:rPr>
        <w:t>Eine in vorliegendem Artikel erwähnte Klage fällt in die ausschließliche Zuständig</w:t>
      </w:r>
      <w:r w:rsidRPr="004676F5">
        <w:rPr>
          <w:lang w:val="de-DE"/>
        </w:rPr>
        <w:softHyphen/>
        <w:t>keit des Konkursverwalters.</w:t>
      </w:r>
    </w:p>
    <w:p w14:paraId="08DE893C" w14:textId="77777777" w:rsidR="00EE35E2" w:rsidRPr="004676F5" w:rsidRDefault="00EE35E2" w:rsidP="00EE35E2">
      <w:pPr>
        <w:ind w:firstLine="708"/>
        <w:jc w:val="both"/>
        <w:rPr>
          <w:lang w:val="de-DE"/>
        </w:rPr>
      </w:pPr>
    </w:p>
    <w:p w14:paraId="5C437286" w14:textId="7524F15C"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Eine vom Gericht zuerkannte Entschädigung wegen verringerter oder nicht vorhandener Aktiva wird verhältnismäßig unter die Gläubiger verteilt unter Wahrung der rechtmäßigen Vorrangsgründe.</w:t>
      </w:r>
    </w:p>
    <w:p w14:paraId="228D7392" w14:textId="77777777" w:rsidR="00EE35E2" w:rsidRPr="004676F5" w:rsidRDefault="00EE35E2" w:rsidP="00EE35E2">
      <w:pPr>
        <w:ind w:firstLine="708"/>
        <w:jc w:val="both"/>
        <w:rPr>
          <w:lang w:val="de-DE"/>
        </w:rPr>
      </w:pPr>
    </w:p>
    <w:p w14:paraId="2797694E" w14:textId="77777777" w:rsidR="00EE35E2" w:rsidRPr="004676F5" w:rsidRDefault="00EE35E2" w:rsidP="00EE35E2">
      <w:pPr>
        <w:ind w:firstLine="708"/>
        <w:jc w:val="both"/>
        <w:rPr>
          <w:lang w:val="de-DE"/>
        </w:rPr>
      </w:pPr>
      <w:r w:rsidRPr="004676F5">
        <w:rPr>
          <w:lang w:val="de-DE"/>
        </w:rPr>
        <w:t>Eine vom Gericht zuerkannte Entschädigung wegen Erhöhung der Passiva wird verhältnismäßig unter alle Gläubiger verteilt ohne Berücksichtigung der rechtmäßigen Vorrangsgründe.</w:t>
      </w:r>
    </w:p>
    <w:p w14:paraId="76AF90D3" w14:textId="77777777" w:rsidR="00EE35E2" w:rsidRPr="004676F5" w:rsidRDefault="00EE35E2" w:rsidP="00EE35E2">
      <w:pPr>
        <w:ind w:firstLine="708"/>
        <w:jc w:val="both"/>
        <w:rPr>
          <w:lang w:val="de-DE"/>
        </w:rPr>
      </w:pPr>
    </w:p>
    <w:p w14:paraId="4853F765" w14:textId="77777777" w:rsidR="00EE35E2" w:rsidRPr="004676F5" w:rsidRDefault="00EE35E2" w:rsidP="00EE35E2">
      <w:pPr>
        <w:ind w:firstLine="708"/>
        <w:jc w:val="both"/>
        <w:rPr>
          <w:lang w:val="de-DE"/>
        </w:rPr>
      </w:pPr>
      <w:r w:rsidRPr="004676F5">
        <w:rPr>
          <w:lang w:val="de-DE"/>
        </w:rPr>
        <w:t>Die Verteilung erfolgt nach Abzug der Masseschulden.</w:t>
      </w:r>
    </w:p>
    <w:p w14:paraId="5846CA90" w14:textId="77777777" w:rsidR="00EE35E2" w:rsidRPr="004676F5" w:rsidRDefault="00EE35E2" w:rsidP="00EE35E2">
      <w:pPr>
        <w:ind w:firstLine="708"/>
        <w:jc w:val="both"/>
        <w:rPr>
          <w:lang w:val="de-DE"/>
        </w:rPr>
      </w:pPr>
    </w:p>
    <w:p w14:paraId="2ED5CD3B" w14:textId="7A1D470B"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Ist eine in § 1 erwähnte für persönlich haftbar erklärte Person Freiberufler, notifiziert der Greffier eine Abschrift des Urteils </w:t>
      </w:r>
      <w:r w:rsidR="00D35125" w:rsidRPr="004676F5">
        <w:rPr>
          <w:lang w:val="de-DE"/>
        </w:rPr>
        <w:t>[an die Kammer oder das Institut]</w:t>
      </w:r>
      <w:r w:rsidRPr="004676F5">
        <w:rPr>
          <w:lang w:val="de-DE"/>
        </w:rPr>
        <w:t>.</w:t>
      </w:r>
    </w:p>
    <w:p w14:paraId="5B2F1EE2" w14:textId="77777777" w:rsidR="00EE35E2" w:rsidRPr="004676F5" w:rsidRDefault="00EE35E2" w:rsidP="00EE35E2">
      <w:pPr>
        <w:ind w:firstLine="708"/>
        <w:jc w:val="both"/>
        <w:rPr>
          <w:lang w:val="de-DE"/>
        </w:rPr>
      </w:pPr>
    </w:p>
    <w:p w14:paraId="39C0A4C2" w14:textId="3B6044C9"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 xml:space="preserve">Paragraph 1 ist nicht anwendbar, wenn das Unternehmen, über das der Konkurs eröffnet worden ist, eine VoG, IVoG oder Stiftung ist, </w:t>
      </w:r>
      <w:r w:rsidR="002D1971" w:rsidRPr="004676F5">
        <w:rPr>
          <w:lang w:val="de-DE"/>
        </w:rPr>
        <w:t>[deren Größe nicht mehr als eines der in Artikel 3:47 § 2 oder Artikel 3:51 § 2 des Gesetzbuches der Gesellschaften und Vereinigungen festgelegten Kriterien überschreitet]</w:t>
      </w:r>
      <w:r w:rsidRPr="004676F5">
        <w:rPr>
          <w:lang w:val="de-DE"/>
        </w:rPr>
        <w:t>.</w:t>
      </w:r>
    </w:p>
    <w:p w14:paraId="7D512D29" w14:textId="2E3E7F72" w:rsidR="00D35125" w:rsidRPr="004676F5" w:rsidRDefault="00D35125" w:rsidP="00EE35E2">
      <w:pPr>
        <w:ind w:firstLine="708"/>
        <w:jc w:val="both"/>
        <w:rPr>
          <w:lang w:val="de-DE"/>
        </w:rPr>
      </w:pPr>
    </w:p>
    <w:p w14:paraId="2EAC1481" w14:textId="0A1EF150" w:rsidR="00D35125" w:rsidRPr="004676F5" w:rsidRDefault="00D35125" w:rsidP="00D35125">
      <w:pPr>
        <w:jc w:val="both"/>
        <w:rPr>
          <w:i/>
          <w:lang w:val="de-DE"/>
        </w:rPr>
      </w:pPr>
      <w:r w:rsidRPr="004676F5">
        <w:rPr>
          <w:i/>
          <w:lang w:val="de-DE"/>
        </w:rPr>
        <w:t>[Art. XX.227 § 4 abgeändert durch Art. 246 des G. vom 15. April 2018 (B.S. vom 27. April 2018)</w:t>
      </w:r>
      <w:r w:rsidR="002D1971" w:rsidRPr="004676F5">
        <w:rPr>
          <w:i/>
          <w:lang w:val="de-DE"/>
        </w:rPr>
        <w:t>; § 5 abgeändert durch Art. 257</w:t>
      </w:r>
      <w:r w:rsidR="002D1971" w:rsidRPr="004676F5">
        <w:rPr>
          <w:i/>
          <w:iCs/>
          <w:lang w:val="de-DE"/>
        </w:rPr>
        <w:t xml:space="preserve"> des G. vom 7. Juni 2023 (B.S. vom 7. Juli 2023)</w:t>
      </w:r>
      <w:r w:rsidRPr="004676F5">
        <w:rPr>
          <w:i/>
          <w:lang w:val="de-DE"/>
        </w:rPr>
        <w:t>]</w:t>
      </w:r>
    </w:p>
    <w:p w14:paraId="2E7D8C75" w14:textId="77777777" w:rsidR="00EE35E2" w:rsidRPr="004676F5" w:rsidRDefault="00EE35E2" w:rsidP="00EE35E2">
      <w:pPr>
        <w:ind w:firstLine="708"/>
        <w:jc w:val="both"/>
        <w:rPr>
          <w:lang w:val="de-DE"/>
        </w:rPr>
      </w:pPr>
    </w:p>
    <w:p w14:paraId="21822026" w14:textId="77777777" w:rsidR="00567F8C" w:rsidRPr="004676F5" w:rsidRDefault="00567F8C" w:rsidP="00EE35E2">
      <w:pPr>
        <w:ind w:firstLine="708"/>
        <w:jc w:val="both"/>
        <w:rPr>
          <w:lang w:val="de-DE"/>
        </w:rPr>
      </w:pPr>
    </w:p>
    <w:p w14:paraId="18181BC3" w14:textId="3D535BB3" w:rsidR="00EE35E2" w:rsidRPr="004676F5" w:rsidRDefault="00BE0A56" w:rsidP="00EE35E2">
      <w:pPr>
        <w:ind w:firstLine="708"/>
        <w:jc w:val="both"/>
        <w:rPr>
          <w:lang w:val="de-DE"/>
        </w:rPr>
      </w:pPr>
      <w:r w:rsidRPr="004676F5">
        <w:rPr>
          <w:b/>
          <w:lang w:val="de-DE"/>
        </w:rPr>
        <w:t>Art. </w:t>
      </w:r>
      <w:r w:rsidR="00EE35E2" w:rsidRPr="004676F5">
        <w:rPr>
          <w:b/>
          <w:lang w:val="de-DE"/>
        </w:rPr>
        <w:t>XX.228</w:t>
      </w:r>
      <w:r w:rsidR="00EE35E2" w:rsidRPr="004676F5">
        <w:rPr>
          <w:lang w:val="de-DE"/>
        </w:rPr>
        <w:t> </w:t>
      </w:r>
      <w:r w:rsidR="005B7A5C" w:rsidRPr="004676F5">
        <w:rPr>
          <w:lang w:val="de-DE"/>
        </w:rPr>
        <w:t>- </w:t>
      </w:r>
      <w:r w:rsidR="00EE35E2" w:rsidRPr="004676F5">
        <w:rPr>
          <w:lang w:val="de-DE"/>
        </w:rPr>
        <w:t>Klagen aufgrund der Artikel XX.225, XX.226 und XX.227 werden ausschließlich vor das Insolvenzgericht gebracht.</w:t>
      </w:r>
    </w:p>
    <w:p w14:paraId="6FEDC607" w14:textId="77777777" w:rsidR="00EE35E2" w:rsidRPr="004676F5" w:rsidRDefault="00EE35E2" w:rsidP="00EE35E2">
      <w:pPr>
        <w:jc w:val="both"/>
        <w:rPr>
          <w:lang w:val="de-DE"/>
        </w:rPr>
      </w:pPr>
    </w:p>
    <w:p w14:paraId="0FD2F19B" w14:textId="77777777" w:rsidR="00567F8C" w:rsidRPr="004676F5" w:rsidRDefault="00567F8C">
      <w:pPr>
        <w:rPr>
          <w:b/>
          <w:lang w:val="de-DE"/>
        </w:rPr>
      </w:pPr>
      <w:r w:rsidRPr="004676F5">
        <w:rPr>
          <w:b/>
          <w:lang w:val="de-DE"/>
        </w:rPr>
        <w:br w:type="page"/>
      </w:r>
    </w:p>
    <w:p w14:paraId="2A8B92EA" w14:textId="7292DBE0" w:rsidR="00EE35E2" w:rsidRPr="004676F5" w:rsidRDefault="00EE35E2" w:rsidP="00EE35E2">
      <w:pPr>
        <w:jc w:val="center"/>
        <w:rPr>
          <w:b/>
          <w:lang w:val="de-DE"/>
        </w:rPr>
      </w:pPr>
      <w:r w:rsidRPr="004676F5">
        <w:rPr>
          <w:b/>
          <w:lang w:val="de-DE"/>
        </w:rPr>
        <w:lastRenderedPageBreak/>
        <w:t>TITEL 9 </w:t>
      </w:r>
      <w:r w:rsidR="005B7A5C" w:rsidRPr="004676F5">
        <w:rPr>
          <w:b/>
          <w:lang w:val="de-DE"/>
        </w:rPr>
        <w:t>- </w:t>
      </w:r>
      <w:r w:rsidRPr="004676F5">
        <w:rPr>
          <w:b/>
          <w:i/>
          <w:lang w:val="de-DE"/>
        </w:rPr>
        <w:t>Verbotsbestimmungen und Rehabilitierungen</w:t>
      </w:r>
    </w:p>
    <w:p w14:paraId="478FD90C" w14:textId="77777777" w:rsidR="00EE35E2" w:rsidRPr="004676F5" w:rsidRDefault="00EE35E2" w:rsidP="00EE35E2">
      <w:pPr>
        <w:jc w:val="center"/>
        <w:rPr>
          <w:lang w:val="de-DE"/>
        </w:rPr>
      </w:pPr>
    </w:p>
    <w:p w14:paraId="74868A7B" w14:textId="77777777" w:rsidR="00567F8C" w:rsidRPr="004676F5" w:rsidRDefault="00567F8C" w:rsidP="00EE35E2">
      <w:pPr>
        <w:jc w:val="center"/>
        <w:rPr>
          <w:lang w:val="de-DE"/>
        </w:rPr>
      </w:pPr>
    </w:p>
    <w:p w14:paraId="687B8AD1" w14:textId="2B6835E4" w:rsidR="00EE35E2" w:rsidRPr="004676F5" w:rsidRDefault="00EE35E2" w:rsidP="00EE35E2">
      <w:pPr>
        <w:jc w:val="center"/>
        <w:rPr>
          <w:lang w:val="de-DE"/>
        </w:rPr>
      </w:pPr>
      <w:r w:rsidRPr="004676F5">
        <w:rPr>
          <w:lang w:val="de-DE"/>
        </w:rPr>
        <w:t>KAPITEL 1 </w:t>
      </w:r>
      <w:r w:rsidR="005B7A5C" w:rsidRPr="004676F5">
        <w:rPr>
          <w:lang w:val="de-DE"/>
        </w:rPr>
        <w:t>- </w:t>
      </w:r>
      <w:r w:rsidRPr="004676F5">
        <w:rPr>
          <w:i/>
          <w:lang w:val="de-DE"/>
        </w:rPr>
        <w:t>Verbotsbestimmungen</w:t>
      </w:r>
    </w:p>
    <w:p w14:paraId="668950C3" w14:textId="77777777" w:rsidR="00EE35E2" w:rsidRPr="004676F5" w:rsidRDefault="00EE35E2" w:rsidP="00EE35E2">
      <w:pPr>
        <w:jc w:val="both"/>
        <w:rPr>
          <w:lang w:val="de-DE"/>
        </w:rPr>
      </w:pPr>
    </w:p>
    <w:p w14:paraId="3CEC24B4" w14:textId="77777777" w:rsidR="00567F8C" w:rsidRPr="004676F5" w:rsidRDefault="00567F8C" w:rsidP="00EE35E2">
      <w:pPr>
        <w:jc w:val="both"/>
        <w:rPr>
          <w:lang w:val="de-DE"/>
        </w:rPr>
      </w:pPr>
    </w:p>
    <w:p w14:paraId="4A48DB64" w14:textId="4D7816BE" w:rsidR="00EE35E2" w:rsidRPr="004676F5" w:rsidRDefault="00BE0A56" w:rsidP="00EE35E2">
      <w:pPr>
        <w:ind w:firstLine="708"/>
        <w:jc w:val="both"/>
        <w:rPr>
          <w:lang w:val="de-DE"/>
        </w:rPr>
      </w:pPr>
      <w:r w:rsidRPr="004676F5">
        <w:rPr>
          <w:b/>
          <w:lang w:val="de-DE"/>
        </w:rPr>
        <w:t>Art. </w:t>
      </w:r>
      <w:r w:rsidR="00EE35E2" w:rsidRPr="004676F5">
        <w:rPr>
          <w:b/>
          <w:lang w:val="de-DE"/>
        </w:rPr>
        <w:t>XX.229</w:t>
      </w:r>
      <w:r w:rsidR="00EE35E2" w:rsidRPr="004676F5">
        <w:rPr>
          <w:lang w:val="de-DE"/>
        </w:rPr>
        <w:t> </w:t>
      </w:r>
      <w:r w:rsidR="005B7A5C" w:rsidRPr="004676F5">
        <w:rPr>
          <w:lang w:val="de-DE"/>
        </w:rPr>
        <w:t>- </w:t>
      </w:r>
      <w:r w:rsidR="00EE35E2" w:rsidRPr="004676F5">
        <w:rPr>
          <w:lang w:val="de-DE"/>
        </w:rPr>
        <w:t>§ 1 </w:t>
      </w:r>
      <w:r w:rsidR="005B7A5C" w:rsidRPr="004676F5">
        <w:rPr>
          <w:lang w:val="de-DE"/>
        </w:rPr>
        <w:t>- </w:t>
      </w:r>
      <w:r w:rsidR="00EE35E2" w:rsidRPr="004676F5">
        <w:rPr>
          <w:lang w:val="de-DE"/>
        </w:rPr>
        <w:t>Das Insolvenzgericht, das den Konkurs eröffnet hat, oder, wenn dieser im Ausland eröffnet worden ist, das Insolvenzgericht Brüssel kann in dem Fall, wo erwiesen ist, dass ein offensichtlich grobes Verschulden des Konkursschuldners zum Konkurs beigetragen hat, es diesem Konkursschuldner durch ein mit Gründen versehenes Urteil verbieten, selbst oder durch eine Mittelsperson ein Unternehmen zu führen.</w:t>
      </w:r>
    </w:p>
    <w:p w14:paraId="68156889" w14:textId="77777777" w:rsidR="00EE35E2" w:rsidRPr="004676F5" w:rsidRDefault="00EE35E2" w:rsidP="00EE35E2">
      <w:pPr>
        <w:ind w:firstLine="708"/>
        <w:jc w:val="both"/>
        <w:rPr>
          <w:lang w:val="de-DE"/>
        </w:rPr>
      </w:pPr>
    </w:p>
    <w:p w14:paraId="18584E7A" w14:textId="121330D1" w:rsidR="00EE35E2" w:rsidRPr="004676F5" w:rsidRDefault="00EE35E2" w:rsidP="00EE35E2">
      <w:pPr>
        <w:ind w:firstLine="708"/>
        <w:jc w:val="both"/>
        <w:rPr>
          <w:lang w:val="de-DE"/>
        </w:rPr>
      </w:pPr>
      <w:r w:rsidRPr="004676F5">
        <w:rPr>
          <w:lang w:val="de-DE"/>
        </w:rPr>
        <w:t>§ 2 </w:t>
      </w:r>
      <w:r w:rsidR="005B7A5C" w:rsidRPr="004676F5">
        <w:rPr>
          <w:lang w:val="de-DE"/>
        </w:rPr>
        <w:t>- </w:t>
      </w:r>
      <w:r w:rsidRPr="004676F5">
        <w:rPr>
          <w:lang w:val="de-DE"/>
        </w:rPr>
        <w:t>Wenn sich herausstellt, dass der Konkursschuldner oder die Verwalter und Geschäfts</w:t>
      </w:r>
      <w:r w:rsidRPr="004676F5">
        <w:rPr>
          <w:lang w:val="de-DE"/>
        </w:rPr>
        <w:softHyphen/>
        <w:t xml:space="preserve">führer einer juristischen Person es ohne rechtmäßige Verhinderung versäumt haben, </w:t>
      </w:r>
      <w:r w:rsidR="002D1971" w:rsidRPr="004676F5">
        <w:rPr>
          <w:lang w:val="de-DE"/>
        </w:rPr>
        <w:t>[den in Artikel XX.146 auferlegten Verpflichtungen nachzukommen, kann das Insolvenzgericht oder]</w:t>
      </w:r>
      <w:r w:rsidRPr="004676F5">
        <w:rPr>
          <w:lang w:val="de-DE"/>
        </w:rPr>
        <w:t xml:space="preserve"> das Insolvenzgericht Brüssel, wenn der Konkurs im Ausland eröffnet wurde, diesen Personen durch ein mit Gründen versehenes Urteil das Verbot auferlegen, selbst oder durch eine Mittelsperson Ämter als Verwalter, Kommissar oder Geschäftsführer einer juristischen Person, jegliche Ämter, bei denen die Vollmacht verliehen wird, Verpflichtungen für eine juristische Person einzugehen, Ämter einer mit der Geschäftsführung einer Niederlassung in Belgien beauftragten Person, wie in </w:t>
      </w:r>
      <w:r w:rsidR="002D1971" w:rsidRPr="004676F5">
        <w:rPr>
          <w:lang w:val="de-DE"/>
        </w:rPr>
        <w:t>[Artikel 2:149 des Gesetzbuches der Gesellschaften und Vereinigungen]</w:t>
      </w:r>
      <w:r w:rsidRPr="004676F5">
        <w:rPr>
          <w:lang w:val="de-DE"/>
        </w:rPr>
        <w:t xml:space="preserve"> erwähnt, oder den Beruf als Börsenmakler oder Korrespondent-Börsenmakler auszuüben.</w:t>
      </w:r>
    </w:p>
    <w:p w14:paraId="0EC757B8" w14:textId="77777777" w:rsidR="00EE35E2" w:rsidRPr="004676F5" w:rsidRDefault="00EE35E2" w:rsidP="00EE35E2">
      <w:pPr>
        <w:ind w:firstLine="708"/>
        <w:jc w:val="both"/>
        <w:rPr>
          <w:lang w:val="de-DE"/>
        </w:rPr>
      </w:pPr>
    </w:p>
    <w:p w14:paraId="107CE691" w14:textId="475C4B23" w:rsidR="00EE35E2" w:rsidRPr="004676F5" w:rsidRDefault="002D1971" w:rsidP="00EE35E2">
      <w:pPr>
        <w:ind w:firstLine="708"/>
        <w:jc w:val="both"/>
        <w:rPr>
          <w:lang w:val="de-DE"/>
        </w:rPr>
      </w:pPr>
      <w:r w:rsidRPr="004676F5">
        <w:rPr>
          <w:lang w:val="de-DE"/>
        </w:rPr>
        <w:t>[...]</w:t>
      </w:r>
    </w:p>
    <w:p w14:paraId="22A60F69" w14:textId="77777777" w:rsidR="00EE35E2" w:rsidRPr="004676F5" w:rsidRDefault="00EE35E2" w:rsidP="00EE35E2">
      <w:pPr>
        <w:ind w:firstLine="708"/>
        <w:jc w:val="both"/>
        <w:rPr>
          <w:lang w:val="de-DE"/>
        </w:rPr>
      </w:pPr>
    </w:p>
    <w:p w14:paraId="57A9F49A" w14:textId="2001B260" w:rsidR="00EE35E2" w:rsidRPr="004676F5" w:rsidRDefault="00EE35E2" w:rsidP="00EE35E2">
      <w:pPr>
        <w:ind w:firstLine="708"/>
        <w:jc w:val="both"/>
        <w:rPr>
          <w:lang w:val="de-DE"/>
        </w:rPr>
      </w:pPr>
      <w:r w:rsidRPr="004676F5">
        <w:rPr>
          <w:lang w:val="de-DE"/>
        </w:rPr>
        <w:t>§ 3 </w:t>
      </w:r>
      <w:r w:rsidR="005B7A5C" w:rsidRPr="004676F5">
        <w:rPr>
          <w:lang w:val="de-DE"/>
        </w:rPr>
        <w:t>- </w:t>
      </w:r>
      <w:r w:rsidRPr="004676F5">
        <w:rPr>
          <w:lang w:val="de-DE"/>
        </w:rPr>
        <w:t>Dem Konkursschuldner werden für die Anwendung des vorliegenden Artikels gleichgestellt: Verwalter und Geschäftsführer einer juristischen Person, über die der Konkurs eröffnet worden ist, wenn ihr Rücktritt nicht wenigstens ein Jahr vor der Konkurseröffnung veröffentlicht worden ist, und Personen, die zwar nicht Verwalter oder Geschäftsführer waren, aber tatsächlich befugt waren, die juristische Person, über die der Konkurs eröffnet worden ist, zu verwalten.</w:t>
      </w:r>
    </w:p>
    <w:p w14:paraId="2E19A066" w14:textId="77777777" w:rsidR="00EE35E2" w:rsidRPr="004676F5" w:rsidRDefault="00EE35E2" w:rsidP="00EE35E2">
      <w:pPr>
        <w:ind w:firstLine="708"/>
        <w:jc w:val="both"/>
        <w:rPr>
          <w:lang w:val="de-DE"/>
        </w:rPr>
      </w:pPr>
    </w:p>
    <w:p w14:paraId="282B2479" w14:textId="4C6FCA00" w:rsidR="00EE35E2" w:rsidRPr="004676F5" w:rsidRDefault="00EE35E2" w:rsidP="00EE35E2">
      <w:pPr>
        <w:ind w:firstLine="708"/>
        <w:jc w:val="both"/>
        <w:rPr>
          <w:lang w:val="de-DE"/>
        </w:rPr>
      </w:pPr>
      <w:r w:rsidRPr="004676F5">
        <w:rPr>
          <w:lang w:val="de-DE"/>
        </w:rPr>
        <w:t>§ 4 </w:t>
      </w:r>
      <w:r w:rsidR="005B7A5C" w:rsidRPr="004676F5">
        <w:rPr>
          <w:lang w:val="de-DE"/>
        </w:rPr>
        <w:t>- </w:t>
      </w:r>
      <w:r w:rsidRPr="004676F5">
        <w:rPr>
          <w:lang w:val="de-DE"/>
        </w:rPr>
        <w:t xml:space="preserve">Außerdem kann das Gericht, das den Konkurs der juristischen Person eröffnet hat, oder, wenn dieser im Ausland eröffnet worden ist, das Insolvenzgericht Brüssel Personen, die aufgrund von § 3 dem Konkursschuldner gleichgestellt sind, in dem Fall, wo erwiesen ist, dass ein offensichtlich grobes Verschulden einer dieser Personen zum Konkurs beigetragen hat, durch ein mit Gründen versehenes Urteil das Verbot auferlegen, selbst oder durch eine Mittelsperson </w:t>
      </w:r>
      <w:r w:rsidR="002D1971" w:rsidRPr="004676F5">
        <w:rPr>
          <w:lang w:val="de-DE"/>
        </w:rPr>
        <w:t>[ein Amt, mit dem die Befugnis einhergeht, eine juristische Person zu verpflichten]</w:t>
      </w:r>
      <w:r w:rsidRPr="004676F5">
        <w:rPr>
          <w:lang w:val="de-DE"/>
        </w:rPr>
        <w:t>, auszuüben.</w:t>
      </w:r>
    </w:p>
    <w:p w14:paraId="1A23115F" w14:textId="77777777" w:rsidR="00EE35E2" w:rsidRPr="004676F5" w:rsidRDefault="00EE35E2" w:rsidP="00EE35E2">
      <w:pPr>
        <w:ind w:firstLine="708"/>
        <w:jc w:val="both"/>
        <w:rPr>
          <w:lang w:val="de-DE"/>
        </w:rPr>
      </w:pPr>
    </w:p>
    <w:p w14:paraId="4E5E3411" w14:textId="0B9BC91F" w:rsidR="00EE35E2" w:rsidRPr="004676F5" w:rsidRDefault="00EE35E2" w:rsidP="00EE35E2">
      <w:pPr>
        <w:ind w:firstLine="708"/>
        <w:jc w:val="both"/>
        <w:rPr>
          <w:lang w:val="de-DE"/>
        </w:rPr>
      </w:pPr>
      <w:r w:rsidRPr="004676F5">
        <w:rPr>
          <w:lang w:val="de-DE"/>
        </w:rPr>
        <w:t>§ 5 </w:t>
      </w:r>
      <w:r w:rsidR="005B7A5C" w:rsidRPr="004676F5">
        <w:rPr>
          <w:lang w:val="de-DE"/>
        </w:rPr>
        <w:t>- </w:t>
      </w:r>
      <w:r w:rsidRPr="004676F5">
        <w:rPr>
          <w:lang w:val="de-DE"/>
        </w:rPr>
        <w:t>Die Dauer des in den Paragraphen 1, 3 und 4 erwähnten Verbots wird durch das Gericht bestimmt. Sie darf nicht mehr als zehn Jahre betragen.</w:t>
      </w:r>
    </w:p>
    <w:p w14:paraId="0F003FC1" w14:textId="77777777" w:rsidR="00EE35E2" w:rsidRPr="004676F5" w:rsidRDefault="00EE35E2" w:rsidP="00EE35E2">
      <w:pPr>
        <w:ind w:firstLine="708"/>
        <w:jc w:val="both"/>
        <w:rPr>
          <w:lang w:val="de-DE"/>
        </w:rPr>
      </w:pPr>
    </w:p>
    <w:p w14:paraId="179A7ED8" w14:textId="77777777" w:rsidR="00EE35E2" w:rsidRPr="004676F5" w:rsidRDefault="00EE35E2" w:rsidP="00EE35E2">
      <w:pPr>
        <w:ind w:firstLine="708"/>
        <w:jc w:val="both"/>
        <w:rPr>
          <w:lang w:val="de-DE"/>
        </w:rPr>
      </w:pPr>
      <w:r w:rsidRPr="004676F5">
        <w:rPr>
          <w:lang w:val="de-DE"/>
        </w:rPr>
        <w:t>Die Dauer des in § 2 erwähnten Verbots wird durch das Gericht bestimmt. Sie beträgt drei Jahre.</w:t>
      </w:r>
    </w:p>
    <w:p w14:paraId="1D00F2FF" w14:textId="77777777" w:rsidR="00EE35E2" w:rsidRPr="004676F5" w:rsidRDefault="00EE35E2" w:rsidP="00EE35E2">
      <w:pPr>
        <w:ind w:firstLine="708"/>
        <w:jc w:val="both"/>
        <w:rPr>
          <w:lang w:val="de-DE"/>
        </w:rPr>
      </w:pPr>
    </w:p>
    <w:p w14:paraId="4876E1E6" w14:textId="763BD535" w:rsidR="00EE35E2" w:rsidRPr="004676F5" w:rsidRDefault="00EE35E2" w:rsidP="00EE35E2">
      <w:pPr>
        <w:ind w:firstLine="708"/>
        <w:jc w:val="both"/>
        <w:rPr>
          <w:lang w:val="de-DE"/>
        </w:rPr>
      </w:pPr>
      <w:r w:rsidRPr="004676F5">
        <w:rPr>
          <w:lang w:val="de-DE"/>
        </w:rPr>
        <w:t>§ 6 </w:t>
      </w:r>
      <w:r w:rsidR="005B7A5C" w:rsidRPr="004676F5">
        <w:rPr>
          <w:lang w:val="de-DE"/>
        </w:rPr>
        <w:t>- </w:t>
      </w:r>
      <w:r w:rsidRPr="004676F5">
        <w:rPr>
          <w:lang w:val="de-DE"/>
        </w:rPr>
        <w:t>Das Gericht kann das Verbot mit Aufschub während eines Zeitraums von drei Jahren verhängen oder die Verkündung für dieselbe Dauer aussetzen.</w:t>
      </w:r>
      <w:r w:rsidR="002D1971" w:rsidRPr="004676F5">
        <w:rPr>
          <w:lang w:val="de-DE"/>
        </w:rPr>
        <w:t xml:space="preserve"> [Das Gericht gibt die </w:t>
      </w:r>
      <w:r w:rsidR="002D1971" w:rsidRPr="004676F5">
        <w:rPr>
          <w:lang w:val="de-DE"/>
        </w:rPr>
        <w:lastRenderedPageBreak/>
        <w:t>Bedingungen an, von denen es den Aufschub oder die Aussetzung der Verkündung abhängig macht.]</w:t>
      </w:r>
    </w:p>
    <w:p w14:paraId="77E97933" w14:textId="77777777" w:rsidR="002D1971" w:rsidRPr="004676F5" w:rsidRDefault="002D1971" w:rsidP="002D1971">
      <w:pPr>
        <w:jc w:val="both"/>
        <w:rPr>
          <w:lang w:val="de-DE"/>
        </w:rPr>
      </w:pPr>
    </w:p>
    <w:p w14:paraId="4B32C8DF" w14:textId="53943E43" w:rsidR="002D1971" w:rsidRPr="004676F5" w:rsidRDefault="002D1971" w:rsidP="002D1971">
      <w:pPr>
        <w:jc w:val="both"/>
        <w:rPr>
          <w:i/>
          <w:iCs/>
          <w:sz w:val="28"/>
          <w:szCs w:val="28"/>
          <w:lang w:val="de-DE"/>
        </w:rPr>
      </w:pPr>
      <w:r w:rsidRPr="004676F5">
        <w:rPr>
          <w:i/>
          <w:iCs/>
          <w:lang w:val="de-DE"/>
        </w:rPr>
        <w:t>[Art. XX.229 § 2 abgeändert durch Art. 258 Nr. 1 des G. vom 7. Juni 2023 (B.S. vom 7. Juli 2023); § 2 früherer Absatz 2 aufgehoben durch Art. 258 Nr. 2 des G. vom 7. Juni 2023 (B.S. vom 7. Juli 2023); § 4</w:t>
      </w:r>
      <w:r w:rsidR="00C31D98" w:rsidRPr="004676F5">
        <w:rPr>
          <w:i/>
          <w:iCs/>
          <w:lang w:val="de-DE"/>
        </w:rPr>
        <w:t xml:space="preserve"> abgeändert durch Art. 258 Nr. 3 des G. vom 7. Juni 2023 (B.S. vom 7. Juli 2023); § 6 abgeändert durch Art. 258 Nr. 4 des G. vom 7. Juni 2023 (B.S. vom 7. Juli 2023)]</w:t>
      </w:r>
    </w:p>
    <w:p w14:paraId="13C5166A" w14:textId="77777777" w:rsidR="00567F8C" w:rsidRPr="004676F5" w:rsidRDefault="00567F8C" w:rsidP="00EE35E2">
      <w:pPr>
        <w:ind w:firstLine="708"/>
        <w:jc w:val="both"/>
        <w:rPr>
          <w:lang w:val="de-DE"/>
        </w:rPr>
      </w:pPr>
    </w:p>
    <w:p w14:paraId="0AF99C87" w14:textId="77777777" w:rsidR="00EE35E2" w:rsidRPr="004676F5" w:rsidRDefault="00EE35E2" w:rsidP="00EE35E2">
      <w:pPr>
        <w:ind w:firstLine="708"/>
        <w:jc w:val="both"/>
        <w:rPr>
          <w:lang w:val="de-DE"/>
        </w:rPr>
      </w:pPr>
    </w:p>
    <w:p w14:paraId="24F6AD7A" w14:textId="188A91FC" w:rsidR="00EE35E2" w:rsidRPr="004676F5" w:rsidRDefault="00BE0A56" w:rsidP="00EE35E2">
      <w:pPr>
        <w:ind w:firstLine="708"/>
        <w:jc w:val="both"/>
        <w:rPr>
          <w:lang w:val="de-DE"/>
        </w:rPr>
      </w:pPr>
      <w:r w:rsidRPr="004676F5">
        <w:rPr>
          <w:b/>
          <w:lang w:val="de-DE"/>
        </w:rPr>
        <w:t>Art. </w:t>
      </w:r>
      <w:r w:rsidR="00EE35E2" w:rsidRPr="004676F5">
        <w:rPr>
          <w:b/>
          <w:lang w:val="de-DE"/>
        </w:rPr>
        <w:t>XX.230</w:t>
      </w:r>
      <w:r w:rsidR="00EE35E2" w:rsidRPr="004676F5">
        <w:rPr>
          <w:lang w:val="de-DE"/>
        </w:rPr>
        <w:t> </w:t>
      </w:r>
      <w:r w:rsidR="005B7A5C" w:rsidRPr="004676F5">
        <w:rPr>
          <w:lang w:val="de-DE"/>
        </w:rPr>
        <w:t>- </w:t>
      </w:r>
      <w:r w:rsidR="00C31D98" w:rsidRPr="004676F5">
        <w:rPr>
          <w:lang w:val="de-DE"/>
        </w:rPr>
        <w:t>[Das in vorliegendem Kapitel erwähnte Verbot kann vom Gericht auf Antrag der Staatsanwaltschaft, des Konkursverwalters oder eines im Konkurs unbezahlt gebliebenen Gläubigers ausgesprochen werden.]</w:t>
      </w:r>
    </w:p>
    <w:p w14:paraId="3F359A31" w14:textId="77777777" w:rsidR="00C31D98" w:rsidRPr="004676F5" w:rsidRDefault="00C31D98" w:rsidP="00EE35E2">
      <w:pPr>
        <w:ind w:firstLine="708"/>
        <w:jc w:val="both"/>
        <w:rPr>
          <w:lang w:val="de-DE"/>
        </w:rPr>
      </w:pPr>
    </w:p>
    <w:p w14:paraId="0907ED95" w14:textId="256AA4DB" w:rsidR="00C31D98" w:rsidRPr="004676F5" w:rsidRDefault="00C31D98" w:rsidP="00EE35E2">
      <w:pPr>
        <w:ind w:firstLine="708"/>
        <w:jc w:val="both"/>
        <w:rPr>
          <w:lang w:val="de-DE"/>
        </w:rPr>
      </w:pPr>
      <w:r w:rsidRPr="004676F5">
        <w:rPr>
          <w:lang w:val="de-DE"/>
        </w:rPr>
        <w:t>[Unbeschadet des Artikels XX.171 wird der Konkursschuldner oder eine der dem Konkursschuldner aufgrund von Artikel XX.229 gleichgestellten Personen durch kontradiktorische Antragschrift vor das Insolvenzgericht geladen. Der Greffier notifiziert die Antragschrift dem Beklagten und gegebenenfalls dem Konkursverwalter, wenn die Antragschrift nicht vom Konkursverwalter hinterlegt wurde.]</w:t>
      </w:r>
    </w:p>
    <w:p w14:paraId="2669F145" w14:textId="77777777" w:rsidR="00EE35E2" w:rsidRPr="004676F5" w:rsidRDefault="00EE35E2" w:rsidP="00EE35E2">
      <w:pPr>
        <w:ind w:firstLine="708"/>
        <w:jc w:val="both"/>
        <w:rPr>
          <w:lang w:val="de-DE"/>
        </w:rPr>
      </w:pPr>
    </w:p>
    <w:p w14:paraId="4959B6A3" w14:textId="77777777" w:rsidR="00EE35E2" w:rsidRPr="004676F5" w:rsidRDefault="00EE35E2" w:rsidP="00EE35E2">
      <w:pPr>
        <w:ind w:firstLine="708"/>
        <w:jc w:val="both"/>
        <w:rPr>
          <w:lang w:val="de-DE"/>
        </w:rPr>
      </w:pPr>
      <w:r w:rsidRPr="004676F5">
        <w:rPr>
          <w:lang w:val="de-DE"/>
        </w:rPr>
        <w:t>Die Frist für das Erscheinen beträgt acht Tage.</w:t>
      </w:r>
    </w:p>
    <w:p w14:paraId="360CE9F5" w14:textId="77777777" w:rsidR="00C31D98" w:rsidRPr="004676F5" w:rsidRDefault="00C31D98" w:rsidP="00C31D98">
      <w:pPr>
        <w:jc w:val="both"/>
        <w:rPr>
          <w:lang w:val="de-DE"/>
        </w:rPr>
      </w:pPr>
    </w:p>
    <w:p w14:paraId="25240340" w14:textId="6D51A6F4" w:rsidR="00C31D98" w:rsidRPr="004676F5" w:rsidRDefault="00C31D98" w:rsidP="00C31D98">
      <w:pPr>
        <w:jc w:val="both"/>
        <w:rPr>
          <w:i/>
          <w:iCs/>
          <w:sz w:val="28"/>
          <w:szCs w:val="28"/>
          <w:lang w:val="de-DE"/>
        </w:rPr>
      </w:pPr>
      <w:r w:rsidRPr="004676F5">
        <w:rPr>
          <w:i/>
          <w:iCs/>
          <w:lang w:val="de-DE"/>
        </w:rPr>
        <w:t>[Art. XX.230 Abs. 1 ersetzt durch Art. 259 Nr. 1 des G. vom 7. Juni 2023 (B.S. vom 7. Juli 2023); neuer Absatz 2 eingefügt durch Art. 259 Nr. 2 des G. vom 7. Juni 2023 (B.S. vom 7. Juli 2023)]</w:t>
      </w:r>
    </w:p>
    <w:p w14:paraId="11C06B80" w14:textId="77777777" w:rsidR="00EE35E2" w:rsidRPr="004676F5" w:rsidRDefault="00EE35E2" w:rsidP="00EE35E2">
      <w:pPr>
        <w:ind w:firstLine="708"/>
        <w:jc w:val="both"/>
        <w:rPr>
          <w:lang w:val="de-DE"/>
        </w:rPr>
      </w:pPr>
    </w:p>
    <w:p w14:paraId="1DE8D0A3" w14:textId="77777777" w:rsidR="00567F8C" w:rsidRPr="004676F5" w:rsidRDefault="00567F8C" w:rsidP="00EE35E2">
      <w:pPr>
        <w:ind w:firstLine="708"/>
        <w:jc w:val="both"/>
        <w:rPr>
          <w:lang w:val="de-DE"/>
        </w:rPr>
      </w:pPr>
    </w:p>
    <w:p w14:paraId="0798CD78" w14:textId="3BE77730" w:rsidR="00EE35E2" w:rsidRPr="004676F5" w:rsidRDefault="00BE0A56" w:rsidP="00EE35E2">
      <w:pPr>
        <w:ind w:firstLine="708"/>
        <w:jc w:val="both"/>
        <w:rPr>
          <w:lang w:val="de-DE"/>
        </w:rPr>
      </w:pPr>
      <w:r w:rsidRPr="004676F5">
        <w:rPr>
          <w:b/>
          <w:lang w:val="de-DE"/>
        </w:rPr>
        <w:t>Art. </w:t>
      </w:r>
      <w:r w:rsidR="00EE35E2" w:rsidRPr="004676F5">
        <w:rPr>
          <w:b/>
          <w:lang w:val="de-DE"/>
        </w:rPr>
        <w:t>XX.231</w:t>
      </w:r>
      <w:r w:rsidR="00EE35E2" w:rsidRPr="004676F5">
        <w:rPr>
          <w:lang w:val="de-DE"/>
        </w:rPr>
        <w:t> </w:t>
      </w:r>
      <w:r w:rsidR="005B7A5C" w:rsidRPr="004676F5">
        <w:rPr>
          <w:lang w:val="de-DE"/>
        </w:rPr>
        <w:t>- </w:t>
      </w:r>
      <w:r w:rsidR="00EE35E2" w:rsidRPr="004676F5">
        <w:rPr>
          <w:lang w:val="de-DE"/>
        </w:rPr>
        <w:t>Am festgesetzten Tag oder am Tag, auf den die Sache vertagt worden ist, vernimmt das Gericht den Konkursschuldner gegebenenfalls in Begleitung seines Beistands in der Ratskammer. Das Gericht kann ebenfalls jede Person vernehmen, deren Vernehmung es für erforderlich erachtet, unter anderem den Konkursrichter, wenn der Konkurs in Belgien eröffnet worden ist.</w:t>
      </w:r>
    </w:p>
    <w:p w14:paraId="0C0F1651" w14:textId="77777777" w:rsidR="00EE35E2" w:rsidRPr="004676F5" w:rsidRDefault="00EE35E2" w:rsidP="00EE35E2">
      <w:pPr>
        <w:ind w:firstLine="708"/>
        <w:jc w:val="both"/>
        <w:rPr>
          <w:lang w:val="de-DE"/>
        </w:rPr>
      </w:pPr>
    </w:p>
    <w:p w14:paraId="39D7CADD" w14:textId="77777777" w:rsidR="00EE35E2" w:rsidRPr="004676F5" w:rsidRDefault="00EE35E2" w:rsidP="00EE35E2">
      <w:pPr>
        <w:ind w:firstLine="708"/>
        <w:jc w:val="both"/>
        <w:rPr>
          <w:lang w:val="de-DE"/>
        </w:rPr>
      </w:pPr>
      <w:r w:rsidRPr="004676F5">
        <w:rPr>
          <w:lang w:val="de-DE"/>
        </w:rPr>
        <w:t>Gegebenenfalls wird die Stellungnahme der Staatsanwaltschaft angehört.</w:t>
      </w:r>
    </w:p>
    <w:p w14:paraId="268E44EC" w14:textId="77777777" w:rsidR="00EE35E2" w:rsidRPr="004676F5" w:rsidRDefault="00EE35E2" w:rsidP="00EE35E2">
      <w:pPr>
        <w:ind w:firstLine="708"/>
        <w:jc w:val="both"/>
        <w:rPr>
          <w:lang w:val="de-DE"/>
        </w:rPr>
      </w:pPr>
    </w:p>
    <w:p w14:paraId="3AF6D3E6" w14:textId="77777777" w:rsidR="00EE35E2" w:rsidRPr="004676F5" w:rsidRDefault="00EE35E2" w:rsidP="00EE35E2">
      <w:pPr>
        <w:ind w:firstLine="708"/>
        <w:jc w:val="both"/>
        <w:rPr>
          <w:lang w:val="de-DE"/>
        </w:rPr>
      </w:pPr>
      <w:r w:rsidRPr="004676F5">
        <w:rPr>
          <w:lang w:val="de-DE"/>
        </w:rPr>
        <w:t>Das Urteil wird in öffentlicher Sitzung verkündet.</w:t>
      </w:r>
    </w:p>
    <w:p w14:paraId="2A2BE0F1" w14:textId="77777777" w:rsidR="00EE35E2" w:rsidRPr="004676F5" w:rsidRDefault="00EE35E2" w:rsidP="00EE35E2">
      <w:pPr>
        <w:ind w:firstLine="708"/>
        <w:jc w:val="both"/>
        <w:rPr>
          <w:lang w:val="de-DE"/>
        </w:rPr>
      </w:pPr>
    </w:p>
    <w:p w14:paraId="706154D7" w14:textId="04B8E2F6" w:rsidR="00EE35E2" w:rsidRPr="004676F5" w:rsidRDefault="00EE35E2" w:rsidP="00EE35E2">
      <w:pPr>
        <w:ind w:firstLine="708"/>
        <w:jc w:val="both"/>
        <w:rPr>
          <w:lang w:val="de-DE"/>
        </w:rPr>
      </w:pPr>
      <w:r w:rsidRPr="004676F5">
        <w:rPr>
          <w:lang w:val="de-DE"/>
        </w:rPr>
        <w:t xml:space="preserve">Es wird im </w:t>
      </w:r>
      <w:r w:rsidRPr="004676F5">
        <w:rPr>
          <w:i/>
          <w:lang w:val="de-DE"/>
        </w:rPr>
        <w:t>Belgischen Staatsblatt</w:t>
      </w:r>
      <w:r w:rsidRPr="004676F5">
        <w:rPr>
          <w:lang w:val="de-DE"/>
        </w:rPr>
        <w:t xml:space="preserve"> veröffentlicht und der Greffier notifiziert es dem Konkursschuldner per Gerichtsbrief </w:t>
      </w:r>
      <w:r w:rsidR="00D35125" w:rsidRPr="004676F5">
        <w:rPr>
          <w:lang w:val="de-DE"/>
        </w:rPr>
        <w:t>[...]</w:t>
      </w:r>
      <w:r w:rsidRPr="004676F5">
        <w:rPr>
          <w:lang w:val="de-DE"/>
        </w:rPr>
        <w:t>.</w:t>
      </w:r>
    </w:p>
    <w:p w14:paraId="43E7BBA0" w14:textId="2C15D52C" w:rsidR="00D35125" w:rsidRPr="004676F5" w:rsidRDefault="00D35125" w:rsidP="00EE35E2">
      <w:pPr>
        <w:ind w:firstLine="708"/>
        <w:jc w:val="both"/>
        <w:rPr>
          <w:lang w:val="de-DE"/>
        </w:rPr>
      </w:pPr>
    </w:p>
    <w:p w14:paraId="5C9FCFFA" w14:textId="00FD9FC9" w:rsidR="00D35125" w:rsidRPr="004676F5" w:rsidRDefault="00D35125" w:rsidP="00D35125">
      <w:pPr>
        <w:jc w:val="both"/>
        <w:rPr>
          <w:i/>
          <w:lang w:val="de-DE"/>
        </w:rPr>
      </w:pPr>
      <w:r w:rsidRPr="004676F5">
        <w:rPr>
          <w:i/>
          <w:lang w:val="de-DE"/>
        </w:rPr>
        <w:t>[Art. XX.231 Abs. 4 abgeändert durch Art. 247 des G. vom 15. April 2018 (B.S. vom 27. April 2018)]</w:t>
      </w:r>
    </w:p>
    <w:p w14:paraId="6100AD65" w14:textId="77777777" w:rsidR="00EE35E2" w:rsidRPr="004676F5" w:rsidRDefault="00EE35E2" w:rsidP="00EE35E2">
      <w:pPr>
        <w:ind w:firstLine="708"/>
        <w:jc w:val="both"/>
        <w:rPr>
          <w:lang w:val="de-DE"/>
        </w:rPr>
      </w:pPr>
    </w:p>
    <w:p w14:paraId="7208EE1B" w14:textId="77777777" w:rsidR="001D4C19" w:rsidRPr="004676F5" w:rsidRDefault="001D4C19" w:rsidP="00EE35E2">
      <w:pPr>
        <w:ind w:firstLine="708"/>
        <w:jc w:val="both"/>
        <w:rPr>
          <w:lang w:val="de-DE"/>
        </w:rPr>
      </w:pPr>
    </w:p>
    <w:p w14:paraId="5BA369A8" w14:textId="21874D39" w:rsidR="00EE35E2" w:rsidRPr="004676F5" w:rsidRDefault="00BE0A56" w:rsidP="00EE35E2">
      <w:pPr>
        <w:ind w:firstLine="708"/>
        <w:jc w:val="both"/>
        <w:rPr>
          <w:lang w:val="de-DE"/>
        </w:rPr>
      </w:pPr>
      <w:r w:rsidRPr="004676F5">
        <w:rPr>
          <w:b/>
          <w:lang w:val="de-DE"/>
        </w:rPr>
        <w:t>Art. </w:t>
      </w:r>
      <w:r w:rsidR="00EE35E2" w:rsidRPr="004676F5">
        <w:rPr>
          <w:b/>
          <w:lang w:val="de-DE"/>
        </w:rPr>
        <w:t>XX.232</w:t>
      </w:r>
      <w:r w:rsidR="00EE35E2" w:rsidRPr="004676F5">
        <w:rPr>
          <w:lang w:val="de-DE"/>
        </w:rPr>
        <w:t> </w:t>
      </w:r>
      <w:r w:rsidR="005B7A5C" w:rsidRPr="004676F5">
        <w:rPr>
          <w:lang w:val="de-DE"/>
        </w:rPr>
        <w:t>- </w:t>
      </w:r>
      <w:r w:rsidR="00EE35E2" w:rsidRPr="004676F5">
        <w:rPr>
          <w:lang w:val="de-DE"/>
        </w:rPr>
        <w:t>Der Konkursschuldner oder eine der dem Konkursschuldner aufgrund von Artikel XX.229 gleichgestellten Personen und die Staatsanwaltschaft können Berufung einlegen. Die Berufungsfrist läuft ab der Notifizierung.</w:t>
      </w:r>
    </w:p>
    <w:p w14:paraId="271948F2" w14:textId="77777777" w:rsidR="00EE35E2" w:rsidRPr="004676F5" w:rsidRDefault="00EE35E2" w:rsidP="00EE35E2">
      <w:pPr>
        <w:ind w:firstLine="708"/>
        <w:jc w:val="both"/>
        <w:rPr>
          <w:lang w:val="de-DE"/>
        </w:rPr>
      </w:pPr>
    </w:p>
    <w:p w14:paraId="10102982" w14:textId="77777777" w:rsidR="00EE35E2" w:rsidRPr="004676F5" w:rsidRDefault="00EE35E2" w:rsidP="00EE35E2">
      <w:pPr>
        <w:ind w:firstLine="708"/>
        <w:jc w:val="both"/>
        <w:rPr>
          <w:lang w:val="de-DE"/>
        </w:rPr>
      </w:pPr>
      <w:r w:rsidRPr="004676F5">
        <w:rPr>
          <w:lang w:val="de-DE"/>
        </w:rPr>
        <w:lastRenderedPageBreak/>
        <w:t xml:space="preserve">Die Vorladung wird dem Konkursschuldner von der Kanzlei des </w:t>
      </w:r>
      <w:r w:rsidR="00D03574" w:rsidRPr="004676F5">
        <w:rPr>
          <w:lang w:val="de-DE"/>
        </w:rPr>
        <w:t>Appellationshofes</w:t>
      </w:r>
      <w:r w:rsidR="00D03574" w:rsidRPr="004676F5">
        <w:rPr>
          <w:rStyle w:val="Appelnotedebasdep"/>
          <w:lang w:val="de-DE"/>
        </w:rPr>
        <w:footnoteReference w:id="4"/>
      </w:r>
      <w:r w:rsidR="00D03574" w:rsidRPr="004676F5">
        <w:rPr>
          <w:lang w:val="de-DE"/>
        </w:rPr>
        <w:t xml:space="preserve"> </w:t>
      </w:r>
      <w:r w:rsidRPr="004676F5">
        <w:rPr>
          <w:lang w:val="de-DE"/>
        </w:rPr>
        <w:t>notifiziert. Wird die Berufung von der Staatsanwaltschaft eingelegt, wird die Abschrift der Antragschrift der Vorladung beigefügt.</w:t>
      </w:r>
    </w:p>
    <w:p w14:paraId="57151F8A" w14:textId="77777777" w:rsidR="00EE35E2" w:rsidRPr="004676F5" w:rsidRDefault="00EE35E2" w:rsidP="00EE35E2">
      <w:pPr>
        <w:ind w:firstLine="708"/>
        <w:jc w:val="both"/>
        <w:rPr>
          <w:lang w:val="de-DE"/>
        </w:rPr>
      </w:pPr>
    </w:p>
    <w:p w14:paraId="6067DDA1" w14:textId="77777777" w:rsidR="00EE35E2" w:rsidRPr="004676F5" w:rsidRDefault="00EE35E2" w:rsidP="00EE35E2">
      <w:pPr>
        <w:ind w:firstLine="708"/>
        <w:jc w:val="both"/>
        <w:rPr>
          <w:lang w:val="de-DE"/>
        </w:rPr>
      </w:pPr>
      <w:r w:rsidRPr="004676F5">
        <w:rPr>
          <w:lang w:val="de-DE"/>
        </w:rPr>
        <w:t>Die Frist für das Erscheinen beträgt acht Tage.</w:t>
      </w:r>
    </w:p>
    <w:p w14:paraId="0BAE43EE" w14:textId="77777777" w:rsidR="00EE35E2" w:rsidRPr="004676F5" w:rsidRDefault="00EE35E2" w:rsidP="00EE35E2">
      <w:pPr>
        <w:ind w:firstLine="708"/>
        <w:jc w:val="both"/>
        <w:rPr>
          <w:lang w:val="de-DE"/>
        </w:rPr>
      </w:pPr>
    </w:p>
    <w:p w14:paraId="3770BE27" w14:textId="77777777" w:rsidR="00EE35E2" w:rsidRPr="004676F5" w:rsidRDefault="00EE35E2" w:rsidP="00EE35E2">
      <w:pPr>
        <w:ind w:firstLine="708"/>
        <w:jc w:val="both"/>
        <w:rPr>
          <w:lang w:val="de-DE"/>
        </w:rPr>
      </w:pPr>
      <w:r w:rsidRPr="004676F5">
        <w:rPr>
          <w:lang w:val="de-DE"/>
        </w:rPr>
        <w:t xml:space="preserve">Der </w:t>
      </w:r>
      <w:r w:rsidR="009B24DA" w:rsidRPr="004676F5">
        <w:rPr>
          <w:lang w:val="de-DE"/>
        </w:rPr>
        <w:t>[Märktegerichtshof]</w:t>
      </w:r>
      <w:r w:rsidRPr="004676F5">
        <w:rPr>
          <w:lang w:val="de-DE"/>
        </w:rPr>
        <w:t xml:space="preserve"> befindet binnen einem Monat ab Einlegung der Berufung.</w:t>
      </w:r>
    </w:p>
    <w:p w14:paraId="7B3BBCF3" w14:textId="77777777" w:rsidR="00EE35E2" w:rsidRPr="004676F5" w:rsidRDefault="00EE35E2" w:rsidP="00EE35E2">
      <w:pPr>
        <w:ind w:firstLine="708"/>
        <w:jc w:val="both"/>
        <w:rPr>
          <w:lang w:val="de-DE"/>
        </w:rPr>
      </w:pPr>
    </w:p>
    <w:p w14:paraId="3DCCADDD" w14:textId="77777777" w:rsidR="00EE35E2" w:rsidRPr="004676F5" w:rsidRDefault="00EE35E2" w:rsidP="00EE35E2">
      <w:pPr>
        <w:ind w:firstLine="708"/>
        <w:jc w:val="both"/>
        <w:rPr>
          <w:lang w:val="de-DE"/>
        </w:rPr>
      </w:pPr>
      <w:r w:rsidRPr="004676F5">
        <w:rPr>
          <w:lang w:val="de-DE"/>
        </w:rPr>
        <w:t xml:space="preserve">Am festgesetzten Tag vernimmt der </w:t>
      </w:r>
      <w:r w:rsidR="009B24DA" w:rsidRPr="004676F5">
        <w:rPr>
          <w:lang w:val="de-DE"/>
        </w:rPr>
        <w:t>[Märktegerichtshof]</w:t>
      </w:r>
      <w:r w:rsidRPr="004676F5">
        <w:rPr>
          <w:lang w:val="de-DE"/>
        </w:rPr>
        <w:t xml:space="preserve"> den Konkursschuldner gegebenenfalls in Begleitung seines Beistands. Der </w:t>
      </w:r>
      <w:r w:rsidR="009B24DA" w:rsidRPr="004676F5">
        <w:rPr>
          <w:lang w:val="de-DE"/>
        </w:rPr>
        <w:t>[Märktegerichtshof]</w:t>
      </w:r>
      <w:r w:rsidRPr="004676F5">
        <w:rPr>
          <w:lang w:val="de-DE"/>
        </w:rPr>
        <w:t xml:space="preserve"> kann ebenfalls Personen vernehmen, deren Vernehmung er für erforderlich erachtet.</w:t>
      </w:r>
    </w:p>
    <w:p w14:paraId="7036CD3A" w14:textId="77777777" w:rsidR="00EE35E2" w:rsidRPr="004676F5" w:rsidRDefault="00EE35E2" w:rsidP="00EE35E2">
      <w:pPr>
        <w:ind w:firstLine="708"/>
        <w:jc w:val="both"/>
        <w:rPr>
          <w:lang w:val="de-DE"/>
        </w:rPr>
      </w:pPr>
    </w:p>
    <w:p w14:paraId="016C1107" w14:textId="77777777" w:rsidR="00EE35E2" w:rsidRPr="004676F5" w:rsidRDefault="00EE35E2" w:rsidP="00EE35E2">
      <w:pPr>
        <w:ind w:firstLine="708"/>
        <w:jc w:val="both"/>
        <w:rPr>
          <w:lang w:val="de-DE"/>
        </w:rPr>
      </w:pPr>
      <w:r w:rsidRPr="004676F5">
        <w:rPr>
          <w:lang w:val="de-DE"/>
        </w:rPr>
        <w:t>Die Stellungnahme der Staatsanwaltschaft wird angehört.</w:t>
      </w:r>
    </w:p>
    <w:p w14:paraId="29D5DCD6" w14:textId="77777777" w:rsidR="00EE35E2" w:rsidRPr="004676F5" w:rsidRDefault="00EE35E2" w:rsidP="00EE35E2">
      <w:pPr>
        <w:ind w:firstLine="708"/>
        <w:jc w:val="both"/>
        <w:rPr>
          <w:lang w:val="de-DE"/>
        </w:rPr>
      </w:pPr>
    </w:p>
    <w:p w14:paraId="0C85C66D" w14:textId="3CA88DFB" w:rsidR="00EE35E2" w:rsidRPr="004676F5" w:rsidRDefault="00C31D98" w:rsidP="00EE35E2">
      <w:pPr>
        <w:ind w:firstLine="708"/>
        <w:jc w:val="both"/>
        <w:rPr>
          <w:lang w:val="de-DE"/>
        </w:rPr>
      </w:pPr>
      <w:r w:rsidRPr="004676F5">
        <w:rPr>
          <w:lang w:val="de-DE"/>
        </w:rPr>
        <w:t xml:space="preserve">[Der Entscheid wird auf Betreiben des Greffiers im </w:t>
      </w:r>
      <w:r w:rsidRPr="004676F5">
        <w:rPr>
          <w:i/>
          <w:lang w:val="de-DE"/>
        </w:rPr>
        <w:t>Belgischen Staatsblatt</w:t>
      </w:r>
      <w:r w:rsidRPr="004676F5">
        <w:rPr>
          <w:lang w:val="de-DE"/>
        </w:rPr>
        <w:t xml:space="preserve"> veröffentlicht und dem Konkursschuldner notifiziert.]</w:t>
      </w:r>
    </w:p>
    <w:p w14:paraId="031A09EC" w14:textId="77777777" w:rsidR="00EE35E2" w:rsidRPr="004676F5" w:rsidRDefault="00EE35E2" w:rsidP="00EE35E2">
      <w:pPr>
        <w:ind w:firstLine="708"/>
        <w:jc w:val="both"/>
        <w:rPr>
          <w:lang w:val="de-DE"/>
        </w:rPr>
      </w:pPr>
    </w:p>
    <w:p w14:paraId="18FB550D" w14:textId="70C25975" w:rsidR="009B24DA" w:rsidRPr="004676F5" w:rsidRDefault="009B24DA" w:rsidP="009B24DA">
      <w:pPr>
        <w:jc w:val="both"/>
        <w:rPr>
          <w:i/>
          <w:lang w:val="de-DE"/>
        </w:rPr>
      </w:pPr>
      <w:r w:rsidRPr="004676F5">
        <w:rPr>
          <w:i/>
          <w:lang w:val="de-DE"/>
        </w:rPr>
        <w:t>[</w:t>
      </w:r>
      <w:r w:rsidR="00BE0A56" w:rsidRPr="004676F5">
        <w:rPr>
          <w:i/>
          <w:lang w:val="de-DE"/>
        </w:rPr>
        <w:t>Art. </w:t>
      </w:r>
      <w:r w:rsidRPr="004676F5">
        <w:rPr>
          <w:i/>
          <w:lang w:val="de-DE"/>
        </w:rPr>
        <w:t xml:space="preserve">XX.232 Abs. 4 und 5 abgeändert durch </w:t>
      </w:r>
      <w:r w:rsidR="00BE0A56" w:rsidRPr="004676F5">
        <w:rPr>
          <w:i/>
          <w:lang w:val="de-DE"/>
        </w:rPr>
        <w:t>Art. </w:t>
      </w:r>
      <w:r w:rsidRPr="004676F5">
        <w:rPr>
          <w:i/>
          <w:lang w:val="de-DE"/>
        </w:rPr>
        <w:t>2 des G. vom 20. Februar 2017 (B.S. vom 27. Februar 2017)</w:t>
      </w:r>
      <w:r w:rsidR="00D35125" w:rsidRPr="004676F5">
        <w:rPr>
          <w:i/>
          <w:lang w:val="de-DE"/>
        </w:rPr>
        <w:t xml:space="preserve">; Abs. 7 </w:t>
      </w:r>
      <w:r w:rsidR="00C31D98" w:rsidRPr="004676F5">
        <w:rPr>
          <w:i/>
          <w:lang w:val="de-DE"/>
        </w:rPr>
        <w:t>ersetzt durch Art. 260 Nr. 2</w:t>
      </w:r>
      <w:r w:rsidR="00C31D98" w:rsidRPr="004676F5">
        <w:rPr>
          <w:i/>
          <w:iCs/>
          <w:lang w:val="de-DE"/>
        </w:rPr>
        <w:t xml:space="preserve"> des G. vom 7. Juni 2023 (B.S. vom 7. Juli 2023)</w:t>
      </w:r>
      <w:r w:rsidRPr="004676F5">
        <w:rPr>
          <w:i/>
          <w:lang w:val="de-DE"/>
        </w:rPr>
        <w:t>]</w:t>
      </w:r>
    </w:p>
    <w:p w14:paraId="7CFA994B" w14:textId="77777777" w:rsidR="009B24DA" w:rsidRPr="004676F5" w:rsidRDefault="009B24DA" w:rsidP="009B24DA">
      <w:pPr>
        <w:jc w:val="both"/>
        <w:rPr>
          <w:i/>
          <w:lang w:val="de-DE"/>
        </w:rPr>
      </w:pPr>
    </w:p>
    <w:p w14:paraId="34D7C8F9" w14:textId="77777777" w:rsidR="001D4C19" w:rsidRPr="004676F5" w:rsidRDefault="001D4C19" w:rsidP="00EE35E2">
      <w:pPr>
        <w:ind w:firstLine="708"/>
        <w:jc w:val="both"/>
        <w:rPr>
          <w:lang w:val="de-DE"/>
        </w:rPr>
      </w:pPr>
    </w:p>
    <w:p w14:paraId="5545B7EC" w14:textId="4604F5DD" w:rsidR="00EE35E2" w:rsidRPr="004676F5" w:rsidRDefault="00BE0A56" w:rsidP="00EE35E2">
      <w:pPr>
        <w:ind w:firstLine="708"/>
        <w:jc w:val="both"/>
        <w:rPr>
          <w:lang w:val="de-DE"/>
        </w:rPr>
      </w:pPr>
      <w:r w:rsidRPr="004676F5">
        <w:rPr>
          <w:b/>
          <w:lang w:val="de-DE"/>
        </w:rPr>
        <w:t>Art. </w:t>
      </w:r>
      <w:r w:rsidR="00EE35E2" w:rsidRPr="004676F5">
        <w:rPr>
          <w:b/>
          <w:lang w:val="de-DE"/>
        </w:rPr>
        <w:t>XX.233</w:t>
      </w:r>
      <w:r w:rsidR="00EE35E2" w:rsidRPr="004676F5">
        <w:rPr>
          <w:lang w:val="de-DE"/>
        </w:rPr>
        <w:t> </w:t>
      </w:r>
      <w:r w:rsidR="005B7A5C" w:rsidRPr="004676F5">
        <w:rPr>
          <w:lang w:val="de-DE"/>
        </w:rPr>
        <w:t>- </w:t>
      </w:r>
      <w:r w:rsidR="00EE35E2" w:rsidRPr="004676F5">
        <w:rPr>
          <w:lang w:val="de-DE"/>
        </w:rPr>
        <w:t>Die Frist für das Einlegen einer Kassationsbeschwerde beträgt zwei Monate ab dem Tag der Notifizierung des Entscheids.</w:t>
      </w:r>
    </w:p>
    <w:p w14:paraId="6EADACCD" w14:textId="77777777" w:rsidR="00EE35E2" w:rsidRPr="004676F5" w:rsidRDefault="00EE35E2" w:rsidP="00EE35E2">
      <w:pPr>
        <w:ind w:firstLine="708"/>
        <w:jc w:val="both"/>
        <w:rPr>
          <w:lang w:val="de-DE"/>
        </w:rPr>
      </w:pPr>
    </w:p>
    <w:p w14:paraId="17CB2D09" w14:textId="77777777" w:rsidR="00EE35E2" w:rsidRPr="004676F5" w:rsidRDefault="00EE35E2" w:rsidP="00EE35E2">
      <w:pPr>
        <w:ind w:firstLine="708"/>
        <w:jc w:val="both"/>
        <w:rPr>
          <w:lang w:val="de-DE"/>
        </w:rPr>
      </w:pPr>
      <w:r w:rsidRPr="004676F5">
        <w:rPr>
          <w:lang w:val="de-DE"/>
        </w:rPr>
        <w:t>Unbeschadet des Absatzes 1 wird die Kassationsbeschwerde eingelegt und die Sache entschieden gemäß den in Zivilsachen vorgesehenen Formen und Fristen. Der Beistand eines Rechtsanwalts beim Kassationshof ist nicht erforderlich.</w:t>
      </w:r>
    </w:p>
    <w:p w14:paraId="688B6FC9" w14:textId="77777777" w:rsidR="00EE35E2" w:rsidRPr="004676F5" w:rsidRDefault="00EE35E2" w:rsidP="00EE35E2">
      <w:pPr>
        <w:ind w:firstLine="708"/>
        <w:jc w:val="both"/>
        <w:rPr>
          <w:lang w:val="de-DE"/>
        </w:rPr>
      </w:pPr>
    </w:p>
    <w:p w14:paraId="484C50BB" w14:textId="77777777" w:rsidR="00EE35E2" w:rsidRPr="004676F5" w:rsidRDefault="00EE35E2" w:rsidP="00EE35E2">
      <w:pPr>
        <w:ind w:firstLine="708"/>
        <w:jc w:val="both"/>
        <w:rPr>
          <w:lang w:val="de-DE"/>
        </w:rPr>
      </w:pPr>
      <w:r w:rsidRPr="004676F5">
        <w:rPr>
          <w:lang w:val="de-DE"/>
        </w:rPr>
        <w:t>Die Kassationsbeschwerde hat keine aufschiebende Wirkung.</w:t>
      </w:r>
    </w:p>
    <w:p w14:paraId="32C1E030" w14:textId="77777777" w:rsidR="00EE35E2" w:rsidRPr="004676F5" w:rsidRDefault="00EE35E2" w:rsidP="00EE35E2">
      <w:pPr>
        <w:ind w:firstLine="708"/>
        <w:jc w:val="both"/>
        <w:rPr>
          <w:lang w:val="de-DE"/>
        </w:rPr>
      </w:pPr>
    </w:p>
    <w:p w14:paraId="52C26B80" w14:textId="77777777" w:rsidR="001D4C19" w:rsidRPr="004676F5" w:rsidRDefault="001D4C19" w:rsidP="00EE35E2">
      <w:pPr>
        <w:ind w:firstLine="708"/>
        <w:jc w:val="both"/>
        <w:rPr>
          <w:lang w:val="de-DE"/>
        </w:rPr>
      </w:pPr>
    </w:p>
    <w:p w14:paraId="07A2F415" w14:textId="3A741CA5" w:rsidR="00EE35E2" w:rsidRPr="004676F5" w:rsidRDefault="00BE0A56" w:rsidP="00EE35E2">
      <w:pPr>
        <w:ind w:firstLine="708"/>
        <w:jc w:val="both"/>
        <w:rPr>
          <w:lang w:val="de-DE"/>
        </w:rPr>
      </w:pPr>
      <w:bookmarkStart w:id="3" w:name="_Hlk199926204"/>
      <w:r w:rsidRPr="004676F5">
        <w:rPr>
          <w:b/>
          <w:lang w:val="de-DE"/>
        </w:rPr>
        <w:t>Art. </w:t>
      </w:r>
      <w:r w:rsidR="00EE35E2" w:rsidRPr="004676F5">
        <w:rPr>
          <w:b/>
          <w:lang w:val="de-DE"/>
        </w:rPr>
        <w:t>XX.234</w:t>
      </w:r>
      <w:r w:rsidR="00EE35E2" w:rsidRPr="004676F5">
        <w:rPr>
          <w:lang w:val="de-DE"/>
        </w:rPr>
        <w:t> </w:t>
      </w:r>
      <w:r w:rsidR="005B7A5C" w:rsidRPr="004676F5">
        <w:rPr>
          <w:lang w:val="de-DE"/>
        </w:rPr>
        <w:t>- </w:t>
      </w:r>
      <w:r w:rsidR="00EE35E2" w:rsidRPr="004676F5">
        <w:rPr>
          <w:lang w:val="de-DE"/>
        </w:rPr>
        <w:t>Verstöße gegen das durch die vorhergehenden Artikel festgelegte Verbot werden mit einer Gefängnisstrafe von drei Monaten bis zu zwei Jahren und mit einer Geldbuße von 25 bis zu 250 EUR geahndet.</w:t>
      </w:r>
    </w:p>
    <w:p w14:paraId="117A704C" w14:textId="77777777" w:rsidR="00EE35E2" w:rsidRPr="004676F5" w:rsidRDefault="00EE35E2" w:rsidP="00EE35E2">
      <w:pPr>
        <w:ind w:firstLine="708"/>
        <w:jc w:val="both"/>
        <w:rPr>
          <w:lang w:val="de-DE"/>
        </w:rPr>
      </w:pPr>
    </w:p>
    <w:p w14:paraId="2132BC99" w14:textId="77777777" w:rsidR="00EE35E2" w:rsidRPr="004676F5" w:rsidRDefault="00EE35E2" w:rsidP="00EE35E2">
      <w:pPr>
        <w:ind w:firstLine="708"/>
        <w:jc w:val="both"/>
        <w:rPr>
          <w:lang w:val="de-DE"/>
        </w:rPr>
      </w:pPr>
      <w:r w:rsidRPr="004676F5">
        <w:rPr>
          <w:lang w:val="de-DE"/>
        </w:rPr>
        <w:t>Die Bestimmungen von Buch I des Strafgesetzbuches einschließlich Kapitel VII und Artikel 85 sind auf diese Verstöße anwendbar.</w:t>
      </w:r>
    </w:p>
    <w:bookmarkEnd w:id="3"/>
    <w:p w14:paraId="3279FAC5" w14:textId="77777777" w:rsidR="00EE35E2" w:rsidRPr="004676F5" w:rsidRDefault="00EE35E2" w:rsidP="00252049">
      <w:pPr>
        <w:jc w:val="both"/>
        <w:rPr>
          <w:lang w:val="de-DE"/>
        </w:rPr>
      </w:pPr>
    </w:p>
    <w:p w14:paraId="6FBDF23F" w14:textId="77777777" w:rsidR="00252049" w:rsidRPr="004676F5" w:rsidRDefault="00252049" w:rsidP="00252049">
      <w:pPr>
        <w:jc w:val="both"/>
        <w:rPr>
          <w:lang w:val="de-DE"/>
        </w:rPr>
      </w:pPr>
    </w:p>
    <w:p w14:paraId="74910DF6" w14:textId="1F4531B2" w:rsidR="00252049" w:rsidRPr="004676F5" w:rsidRDefault="00252049" w:rsidP="00252049">
      <w:pPr>
        <w:jc w:val="both"/>
        <w:rPr>
          <w:sz w:val="20"/>
          <w:szCs w:val="20"/>
          <w:lang w:val="de-DE"/>
        </w:rPr>
      </w:pPr>
      <w:r w:rsidRPr="004676F5">
        <w:rPr>
          <w:sz w:val="20"/>
          <w:szCs w:val="20"/>
          <w:lang w:val="de-DE"/>
        </w:rPr>
        <w:t>Ab dem 8. April 2026 (gemäß Art. 38 des G. vom 29. Februar 2024</w:t>
      </w:r>
      <w:r w:rsidR="00CE5BB7" w:rsidRPr="004676F5">
        <w:rPr>
          <w:sz w:val="20"/>
          <w:szCs w:val="20"/>
          <w:lang w:val="de-DE"/>
        </w:rPr>
        <w:t> </w:t>
      </w:r>
      <w:r w:rsidR="00CE5BB7" w:rsidRPr="004676F5">
        <w:rPr>
          <w:i/>
          <w:iCs/>
          <w:sz w:val="20"/>
          <w:szCs w:val="20"/>
          <w:lang w:val="de-DE"/>
        </w:rPr>
        <w:t>(I)</w:t>
      </w:r>
      <w:r w:rsidRPr="004676F5">
        <w:rPr>
          <w:sz w:val="20"/>
          <w:szCs w:val="20"/>
          <w:lang w:val="de-DE"/>
        </w:rPr>
        <w:t xml:space="preserve"> (B.S. vom 8. April 2024)) lautet Art. XX.234 wie folgt:</w:t>
      </w:r>
    </w:p>
    <w:p w14:paraId="7BD1828F" w14:textId="77777777" w:rsidR="00252049" w:rsidRPr="004676F5" w:rsidRDefault="00252049" w:rsidP="00252049">
      <w:pPr>
        <w:rPr>
          <w:sz w:val="20"/>
          <w:szCs w:val="20"/>
          <w:lang w:val="de-DE"/>
        </w:rPr>
      </w:pPr>
    </w:p>
    <w:p w14:paraId="1D700401" w14:textId="33209C74" w:rsidR="00252049" w:rsidRPr="004676F5" w:rsidRDefault="00252049" w:rsidP="00252049">
      <w:pPr>
        <w:jc w:val="both"/>
        <w:rPr>
          <w:sz w:val="20"/>
          <w:szCs w:val="20"/>
          <w:lang w:val="de-DE"/>
        </w:rPr>
      </w:pPr>
      <w:r w:rsidRPr="004676F5">
        <w:rPr>
          <w:sz w:val="20"/>
          <w:szCs w:val="20"/>
          <w:lang w:val="de-DE"/>
        </w:rPr>
        <w:t>"</w:t>
      </w:r>
      <w:r w:rsidRPr="004676F5">
        <w:rPr>
          <w:bCs/>
          <w:sz w:val="20"/>
          <w:szCs w:val="20"/>
          <w:lang w:val="de-DE"/>
        </w:rPr>
        <w:t>Art. XX.234</w:t>
      </w:r>
      <w:r w:rsidRPr="004676F5">
        <w:rPr>
          <w:sz w:val="20"/>
          <w:szCs w:val="20"/>
          <w:lang w:val="de-DE"/>
        </w:rPr>
        <w:t> - Verstöße gegen das durch die vorhergehenden Artikel festgelegte Verbot werden [mit einer Strafe der Stufe 2] geahndet.</w:t>
      </w:r>
    </w:p>
    <w:p w14:paraId="6D566EBC" w14:textId="77777777" w:rsidR="00252049" w:rsidRPr="004676F5" w:rsidRDefault="00252049" w:rsidP="00252049">
      <w:pPr>
        <w:jc w:val="both"/>
        <w:rPr>
          <w:sz w:val="20"/>
          <w:szCs w:val="20"/>
          <w:lang w:val="de-DE"/>
        </w:rPr>
      </w:pPr>
    </w:p>
    <w:p w14:paraId="11B27C74" w14:textId="77777777" w:rsidR="00C31D98" w:rsidRPr="004676F5" w:rsidRDefault="00C31D98">
      <w:pPr>
        <w:rPr>
          <w:sz w:val="20"/>
          <w:szCs w:val="20"/>
          <w:lang w:val="de-DE"/>
        </w:rPr>
      </w:pPr>
      <w:r w:rsidRPr="004676F5">
        <w:rPr>
          <w:sz w:val="20"/>
          <w:szCs w:val="20"/>
          <w:lang w:val="de-DE"/>
        </w:rPr>
        <w:br w:type="page"/>
      </w:r>
    </w:p>
    <w:p w14:paraId="27E30102" w14:textId="5098D1B9" w:rsidR="00252049" w:rsidRPr="004676F5" w:rsidRDefault="00252049" w:rsidP="00252049">
      <w:pPr>
        <w:jc w:val="both"/>
        <w:rPr>
          <w:sz w:val="20"/>
          <w:szCs w:val="20"/>
          <w:lang w:val="de-DE"/>
        </w:rPr>
      </w:pPr>
      <w:r w:rsidRPr="004676F5">
        <w:rPr>
          <w:sz w:val="20"/>
          <w:szCs w:val="20"/>
          <w:lang w:val="de-DE"/>
        </w:rPr>
        <w:lastRenderedPageBreak/>
        <w:t>[...]</w:t>
      </w:r>
    </w:p>
    <w:p w14:paraId="0F967655" w14:textId="77777777" w:rsidR="00252049" w:rsidRPr="004676F5" w:rsidRDefault="00252049" w:rsidP="00252049">
      <w:pPr>
        <w:jc w:val="both"/>
        <w:rPr>
          <w:sz w:val="20"/>
          <w:szCs w:val="20"/>
          <w:lang w:val="de-DE"/>
        </w:rPr>
      </w:pPr>
    </w:p>
    <w:p w14:paraId="171EC063" w14:textId="2692E66B" w:rsidR="00252049" w:rsidRPr="004676F5" w:rsidRDefault="00252049" w:rsidP="00252049">
      <w:pPr>
        <w:jc w:val="both"/>
        <w:rPr>
          <w:sz w:val="20"/>
          <w:szCs w:val="20"/>
          <w:lang w:val="de-DE"/>
        </w:rPr>
      </w:pPr>
      <w:r w:rsidRPr="004676F5">
        <w:rPr>
          <w:i/>
          <w:iCs/>
          <w:sz w:val="20"/>
          <w:szCs w:val="20"/>
          <w:lang w:val="de-DE"/>
        </w:rPr>
        <w:t>[Art. XX.234 abgeändert durch Art. 34 Nr. 1 des G. vom 29. Februar 2024</w:t>
      </w:r>
      <w:r w:rsidR="00CE5BB7" w:rsidRPr="004676F5">
        <w:rPr>
          <w:i/>
          <w:iCs/>
          <w:sz w:val="20"/>
          <w:szCs w:val="20"/>
          <w:lang w:val="de-DE"/>
        </w:rPr>
        <w:t> (I)</w:t>
      </w:r>
      <w:r w:rsidRPr="004676F5">
        <w:rPr>
          <w:i/>
          <w:iCs/>
          <w:sz w:val="20"/>
          <w:szCs w:val="20"/>
          <w:lang w:val="de-DE"/>
        </w:rPr>
        <w:t xml:space="preserve"> (B.S. vom 8. April 2024); früherer Absatz 2 aufgehoben durch Art. 34 Nr. 2 des G. vom 29. Februar 2024</w:t>
      </w:r>
      <w:r w:rsidR="00CE5BB7" w:rsidRPr="004676F5">
        <w:rPr>
          <w:i/>
          <w:iCs/>
          <w:sz w:val="20"/>
          <w:szCs w:val="20"/>
          <w:lang w:val="de-DE"/>
        </w:rPr>
        <w:t> (I)</w:t>
      </w:r>
      <w:r w:rsidRPr="004676F5">
        <w:rPr>
          <w:i/>
          <w:iCs/>
          <w:sz w:val="20"/>
          <w:szCs w:val="20"/>
          <w:lang w:val="de-DE"/>
        </w:rPr>
        <w:t xml:space="preserve"> (B.S. vom 8. April 2024)]</w:t>
      </w:r>
      <w:r w:rsidRPr="004676F5">
        <w:rPr>
          <w:sz w:val="20"/>
          <w:szCs w:val="20"/>
          <w:lang w:val="de-DE"/>
        </w:rPr>
        <w:t>"</w:t>
      </w:r>
    </w:p>
    <w:p w14:paraId="49213D43" w14:textId="4AAA73FB" w:rsidR="00252049" w:rsidRPr="004676F5" w:rsidRDefault="00252049" w:rsidP="00252049">
      <w:pPr>
        <w:jc w:val="both"/>
        <w:rPr>
          <w:lang w:val="de-DE"/>
        </w:rPr>
      </w:pPr>
    </w:p>
    <w:p w14:paraId="0C963275" w14:textId="77777777" w:rsidR="001D4C19" w:rsidRPr="004676F5" w:rsidRDefault="001D4C19" w:rsidP="00EE35E2">
      <w:pPr>
        <w:ind w:firstLine="708"/>
        <w:jc w:val="both"/>
        <w:rPr>
          <w:lang w:val="de-DE"/>
        </w:rPr>
      </w:pPr>
    </w:p>
    <w:p w14:paraId="791A72A4" w14:textId="121855AE" w:rsidR="00EE35E2" w:rsidRPr="004676F5" w:rsidRDefault="00BE0A56" w:rsidP="00EE35E2">
      <w:pPr>
        <w:ind w:firstLine="708"/>
        <w:jc w:val="both"/>
        <w:rPr>
          <w:lang w:val="de-DE"/>
        </w:rPr>
      </w:pPr>
      <w:r w:rsidRPr="004676F5">
        <w:rPr>
          <w:b/>
          <w:lang w:val="de-DE"/>
        </w:rPr>
        <w:t>Art. </w:t>
      </w:r>
      <w:r w:rsidR="00EE35E2" w:rsidRPr="004676F5">
        <w:rPr>
          <w:b/>
          <w:lang w:val="de-DE"/>
        </w:rPr>
        <w:t>XX.235</w:t>
      </w:r>
      <w:r w:rsidR="00EE35E2" w:rsidRPr="004676F5">
        <w:rPr>
          <w:lang w:val="de-DE"/>
        </w:rPr>
        <w:t> </w:t>
      </w:r>
      <w:r w:rsidR="005B7A5C" w:rsidRPr="004676F5">
        <w:rPr>
          <w:lang w:val="de-DE"/>
        </w:rPr>
        <w:t>- </w:t>
      </w:r>
      <w:r w:rsidR="00C31D98" w:rsidRPr="004676F5">
        <w:rPr>
          <w:lang w:val="de-DE"/>
        </w:rPr>
        <w:t xml:space="preserve">[§ 1] - </w:t>
      </w:r>
      <w:r w:rsidR="00EE35E2" w:rsidRPr="004676F5">
        <w:rPr>
          <w:lang w:val="de-DE"/>
        </w:rPr>
        <w:t>Entscheide und Urteile, durch die das Verbot aufgelegt wird, werden unwirksam:</w:t>
      </w:r>
    </w:p>
    <w:p w14:paraId="06ACEA01" w14:textId="77777777" w:rsidR="00EE35E2" w:rsidRPr="004676F5" w:rsidRDefault="00EE35E2" w:rsidP="00EE35E2">
      <w:pPr>
        <w:ind w:firstLine="708"/>
        <w:jc w:val="both"/>
        <w:rPr>
          <w:lang w:val="de-DE"/>
        </w:rPr>
      </w:pPr>
    </w:p>
    <w:p w14:paraId="3299D58C" w14:textId="15792F1E" w:rsidR="00EE35E2" w:rsidRPr="004676F5" w:rsidRDefault="005B7A5C" w:rsidP="00EE35E2">
      <w:pPr>
        <w:ind w:firstLine="708"/>
        <w:jc w:val="both"/>
        <w:rPr>
          <w:lang w:val="de-DE"/>
        </w:rPr>
      </w:pPr>
      <w:r w:rsidRPr="004676F5">
        <w:rPr>
          <w:lang w:val="de-DE"/>
        </w:rPr>
        <w:t>- </w:t>
      </w:r>
      <w:r w:rsidR="00EE35E2" w:rsidRPr="004676F5">
        <w:rPr>
          <w:lang w:val="de-DE"/>
        </w:rPr>
        <w:t>wenn das Konkurseröffnungsurteil widerrufen wird,</w:t>
      </w:r>
    </w:p>
    <w:p w14:paraId="52A223A4" w14:textId="77777777" w:rsidR="00EE35E2" w:rsidRPr="004676F5" w:rsidRDefault="00EE35E2" w:rsidP="00EE35E2">
      <w:pPr>
        <w:ind w:firstLine="708"/>
        <w:jc w:val="both"/>
        <w:rPr>
          <w:lang w:val="de-DE"/>
        </w:rPr>
      </w:pPr>
    </w:p>
    <w:p w14:paraId="313E24DE" w14:textId="6437732E" w:rsidR="00EE35E2" w:rsidRPr="004676F5" w:rsidRDefault="005B7A5C" w:rsidP="00EE35E2">
      <w:pPr>
        <w:ind w:firstLine="708"/>
        <w:jc w:val="both"/>
        <w:rPr>
          <w:lang w:val="de-DE"/>
        </w:rPr>
      </w:pPr>
      <w:r w:rsidRPr="004676F5">
        <w:rPr>
          <w:lang w:val="de-DE"/>
        </w:rPr>
        <w:t>- </w:t>
      </w:r>
      <w:r w:rsidR="00EE35E2" w:rsidRPr="004676F5">
        <w:rPr>
          <w:lang w:val="de-DE"/>
        </w:rPr>
        <w:t>wenn der Konkursschuldner rehabilitiert wird.</w:t>
      </w:r>
    </w:p>
    <w:p w14:paraId="38192DC5" w14:textId="77777777" w:rsidR="00EE35E2" w:rsidRPr="004676F5" w:rsidRDefault="00EE35E2" w:rsidP="00C31D98">
      <w:pPr>
        <w:jc w:val="both"/>
        <w:rPr>
          <w:lang w:val="de-DE"/>
        </w:rPr>
      </w:pPr>
    </w:p>
    <w:p w14:paraId="48CFBBC9" w14:textId="5A7723D1" w:rsidR="00C31D98" w:rsidRPr="004676F5" w:rsidRDefault="00C31D98" w:rsidP="00C31D98">
      <w:pPr>
        <w:jc w:val="both"/>
        <w:rPr>
          <w:lang w:val="de-DE"/>
        </w:rPr>
      </w:pPr>
      <w:r w:rsidRPr="004676F5">
        <w:rPr>
          <w:lang w:val="de-DE"/>
        </w:rPr>
        <w:tab/>
        <w:t>[§ 2 - Die Staatsanwaltschaft kann beim Insolvenzgericht beantragen, dass der Aufschub aufgehoben oder die Aussetzung der Verkündung beendet wird, wenn der Konkursschuldner die Bedingungen nicht erfüllt hat oder gegen ihn ein neues Insolvenzverfahren eingeleitet wurde.</w:t>
      </w:r>
    </w:p>
    <w:p w14:paraId="6463D892" w14:textId="77777777" w:rsidR="00C31D98" w:rsidRPr="004676F5" w:rsidRDefault="00C31D98" w:rsidP="00C31D98">
      <w:pPr>
        <w:jc w:val="both"/>
        <w:rPr>
          <w:lang w:val="de-DE"/>
        </w:rPr>
      </w:pPr>
    </w:p>
    <w:p w14:paraId="4FE48377" w14:textId="27A5FA4B" w:rsidR="00C31D98" w:rsidRPr="004676F5" w:rsidRDefault="00C31D98" w:rsidP="00C31D98">
      <w:pPr>
        <w:jc w:val="both"/>
        <w:rPr>
          <w:lang w:val="de-DE"/>
        </w:rPr>
      </w:pPr>
      <w:r w:rsidRPr="004676F5">
        <w:rPr>
          <w:lang w:val="de-DE"/>
        </w:rPr>
        <w:tab/>
        <w:t>Der Antrag wird durch kontradiktorische Antragschrift eingereicht, die bei der Kanzlei des Insolvenzgerichts hinterlegt wird.]</w:t>
      </w:r>
    </w:p>
    <w:p w14:paraId="36182E6F" w14:textId="77777777" w:rsidR="00C31D98" w:rsidRPr="004676F5" w:rsidRDefault="00C31D98" w:rsidP="00C31D98">
      <w:pPr>
        <w:jc w:val="both"/>
        <w:rPr>
          <w:lang w:val="de-DE"/>
        </w:rPr>
      </w:pPr>
    </w:p>
    <w:p w14:paraId="78C77693" w14:textId="2F024B48" w:rsidR="00C31D98" w:rsidRPr="004676F5" w:rsidRDefault="00C31D98" w:rsidP="00C31D98">
      <w:pPr>
        <w:jc w:val="both"/>
        <w:rPr>
          <w:i/>
          <w:iCs/>
          <w:lang w:val="de-DE"/>
        </w:rPr>
      </w:pPr>
      <w:r w:rsidRPr="004676F5">
        <w:rPr>
          <w:i/>
          <w:iCs/>
          <w:lang w:val="de-DE"/>
        </w:rPr>
        <w:t>[Art. XX.235 § 1 (früherer einziger Absatz) nummeriert durch Art. 261 des G. vom 7. Juni 2023 (B.S. vom 7. Juli 2023); § 2 eingefügt durch Art. 261 des G. vom 7. Juni 2023 (B.S. vom 7. Juli 2023)]</w:t>
      </w:r>
    </w:p>
    <w:p w14:paraId="02DC9CB0" w14:textId="77777777" w:rsidR="00C31D98" w:rsidRPr="004676F5" w:rsidRDefault="00C31D98" w:rsidP="00C31D98">
      <w:pPr>
        <w:jc w:val="both"/>
        <w:rPr>
          <w:i/>
          <w:iCs/>
          <w:lang w:val="de-DE"/>
        </w:rPr>
      </w:pPr>
    </w:p>
    <w:p w14:paraId="38FD9F3B" w14:textId="77777777" w:rsidR="001D4C19" w:rsidRPr="004676F5" w:rsidRDefault="001D4C19" w:rsidP="00EE35E2">
      <w:pPr>
        <w:ind w:firstLine="708"/>
        <w:jc w:val="both"/>
        <w:rPr>
          <w:lang w:val="de-DE"/>
        </w:rPr>
      </w:pPr>
    </w:p>
    <w:p w14:paraId="74D26AE7" w14:textId="502B1344" w:rsidR="00EE35E2" w:rsidRPr="004676F5" w:rsidRDefault="00BE0A56" w:rsidP="00EE35E2">
      <w:pPr>
        <w:ind w:firstLine="708"/>
        <w:jc w:val="both"/>
        <w:rPr>
          <w:lang w:val="de-DE"/>
        </w:rPr>
      </w:pPr>
      <w:r w:rsidRPr="004676F5">
        <w:rPr>
          <w:b/>
          <w:lang w:val="de-DE"/>
        </w:rPr>
        <w:t>Art. </w:t>
      </w:r>
      <w:r w:rsidR="00EE35E2" w:rsidRPr="004676F5">
        <w:rPr>
          <w:b/>
          <w:lang w:val="de-DE"/>
        </w:rPr>
        <w:t>XX.236</w:t>
      </w:r>
      <w:r w:rsidR="00EE35E2" w:rsidRPr="004676F5">
        <w:rPr>
          <w:lang w:val="de-DE"/>
        </w:rPr>
        <w:t> </w:t>
      </w:r>
      <w:r w:rsidR="005B7A5C" w:rsidRPr="004676F5">
        <w:rPr>
          <w:lang w:val="de-DE"/>
        </w:rPr>
        <w:t>- </w:t>
      </w:r>
      <w:r w:rsidR="00EE35E2" w:rsidRPr="004676F5">
        <w:rPr>
          <w:lang w:val="de-DE"/>
        </w:rPr>
        <w:t>Vorliegendes Kapitel findet keine Anwendung bei Konkurs eines Unternehmens, das Disziplinarregeln unterliegt, die durch oder aufgrund des Gesetzes festgelegt sind.</w:t>
      </w:r>
    </w:p>
    <w:p w14:paraId="475C2344" w14:textId="77777777" w:rsidR="00EE35E2" w:rsidRPr="004676F5" w:rsidRDefault="00EE35E2" w:rsidP="00EE35E2">
      <w:pPr>
        <w:jc w:val="both"/>
        <w:rPr>
          <w:lang w:val="de-DE"/>
        </w:rPr>
      </w:pPr>
    </w:p>
    <w:p w14:paraId="34C1D194" w14:textId="77777777" w:rsidR="00EE35E2" w:rsidRPr="004676F5" w:rsidRDefault="00EE35E2" w:rsidP="00EE35E2">
      <w:pPr>
        <w:rPr>
          <w:lang w:val="de-DE"/>
        </w:rPr>
      </w:pPr>
      <w:r w:rsidRPr="004676F5">
        <w:rPr>
          <w:lang w:val="de-DE"/>
        </w:rPr>
        <w:br w:type="page"/>
      </w:r>
    </w:p>
    <w:p w14:paraId="0A91E77F" w14:textId="4D44CB98" w:rsidR="00EE35E2" w:rsidRPr="004676F5" w:rsidRDefault="00EE35E2" w:rsidP="00EE35E2">
      <w:pPr>
        <w:jc w:val="center"/>
        <w:rPr>
          <w:lang w:val="de-DE"/>
        </w:rPr>
      </w:pPr>
      <w:r w:rsidRPr="004676F5">
        <w:rPr>
          <w:lang w:val="de-DE"/>
        </w:rPr>
        <w:lastRenderedPageBreak/>
        <w:t>KAPITEL 2 </w:t>
      </w:r>
      <w:r w:rsidR="005B7A5C" w:rsidRPr="004676F5">
        <w:rPr>
          <w:lang w:val="de-DE"/>
        </w:rPr>
        <w:t>- </w:t>
      </w:r>
      <w:r w:rsidRPr="004676F5">
        <w:rPr>
          <w:i/>
          <w:lang w:val="de-DE"/>
        </w:rPr>
        <w:t>Rehabilitierung</w:t>
      </w:r>
    </w:p>
    <w:p w14:paraId="1A6AA69D" w14:textId="77777777" w:rsidR="00EE35E2" w:rsidRPr="004676F5" w:rsidRDefault="00EE35E2" w:rsidP="00EE35E2">
      <w:pPr>
        <w:jc w:val="both"/>
        <w:rPr>
          <w:lang w:val="de-DE"/>
        </w:rPr>
      </w:pPr>
    </w:p>
    <w:p w14:paraId="0886A6B6" w14:textId="77777777" w:rsidR="001D4C19" w:rsidRPr="004676F5" w:rsidRDefault="001D4C19" w:rsidP="00EE35E2">
      <w:pPr>
        <w:jc w:val="both"/>
        <w:rPr>
          <w:lang w:val="de-DE"/>
        </w:rPr>
      </w:pPr>
    </w:p>
    <w:p w14:paraId="30B64725" w14:textId="4E709547" w:rsidR="00EE35E2" w:rsidRPr="004676F5" w:rsidRDefault="00BE0A56" w:rsidP="00EE35E2">
      <w:pPr>
        <w:ind w:firstLine="708"/>
        <w:jc w:val="both"/>
        <w:rPr>
          <w:lang w:val="de-DE"/>
        </w:rPr>
      </w:pPr>
      <w:r w:rsidRPr="004676F5">
        <w:rPr>
          <w:b/>
          <w:lang w:val="de-DE"/>
        </w:rPr>
        <w:t>Art. </w:t>
      </w:r>
      <w:r w:rsidR="00EE35E2" w:rsidRPr="004676F5">
        <w:rPr>
          <w:b/>
          <w:lang w:val="de-DE"/>
        </w:rPr>
        <w:t>XX.237</w:t>
      </w:r>
      <w:r w:rsidR="00EE35E2" w:rsidRPr="004676F5">
        <w:rPr>
          <w:lang w:val="de-DE"/>
        </w:rPr>
        <w:t> </w:t>
      </w:r>
      <w:r w:rsidR="005B7A5C" w:rsidRPr="004676F5">
        <w:rPr>
          <w:lang w:val="de-DE"/>
        </w:rPr>
        <w:t>- </w:t>
      </w:r>
      <w:r w:rsidR="00EE35E2" w:rsidRPr="004676F5">
        <w:rPr>
          <w:lang w:val="de-DE"/>
        </w:rPr>
        <w:t xml:space="preserve">Ein Konkursschuldner, der keinen Erlass erhalten hat und alle von ihm geschuldeten Beträge </w:t>
      </w:r>
      <w:r w:rsidR="005B7A5C" w:rsidRPr="004676F5">
        <w:rPr>
          <w:lang w:val="de-DE"/>
        </w:rPr>
        <w:t>- </w:t>
      </w:r>
      <w:r w:rsidR="00EE35E2" w:rsidRPr="004676F5">
        <w:rPr>
          <w:lang w:val="de-DE"/>
        </w:rPr>
        <w:t>Hauptsumme, Zinsen und Kosten </w:t>
      </w:r>
      <w:r w:rsidR="005B7A5C" w:rsidRPr="004676F5">
        <w:rPr>
          <w:lang w:val="de-DE"/>
        </w:rPr>
        <w:t>- </w:t>
      </w:r>
      <w:r w:rsidR="00EE35E2" w:rsidRPr="004676F5">
        <w:rPr>
          <w:lang w:val="de-DE"/>
        </w:rPr>
        <w:t>vollständig getilgt hat, kann seine Rehabilitierung erlangen.</w:t>
      </w:r>
    </w:p>
    <w:p w14:paraId="5BD424AA" w14:textId="77777777" w:rsidR="00EE35E2" w:rsidRPr="004676F5" w:rsidRDefault="00EE35E2" w:rsidP="00EE35E2">
      <w:pPr>
        <w:ind w:firstLine="708"/>
        <w:jc w:val="both"/>
        <w:rPr>
          <w:lang w:val="de-DE"/>
        </w:rPr>
      </w:pPr>
    </w:p>
    <w:p w14:paraId="748F7FDF" w14:textId="0F7A0D07" w:rsidR="00EE35E2" w:rsidRPr="004676F5" w:rsidRDefault="00C31D98" w:rsidP="00EE35E2">
      <w:pPr>
        <w:ind w:firstLine="708"/>
        <w:jc w:val="both"/>
        <w:rPr>
          <w:lang w:val="de-DE"/>
        </w:rPr>
      </w:pPr>
      <w:r w:rsidRPr="004676F5">
        <w:rPr>
          <w:lang w:val="de-DE"/>
        </w:rPr>
        <w:t>[...]</w:t>
      </w:r>
    </w:p>
    <w:p w14:paraId="4029805A" w14:textId="77777777" w:rsidR="00EE35E2" w:rsidRPr="004676F5" w:rsidRDefault="00EE35E2" w:rsidP="00EE35E2">
      <w:pPr>
        <w:ind w:firstLine="708"/>
        <w:jc w:val="both"/>
        <w:rPr>
          <w:lang w:val="de-DE"/>
        </w:rPr>
      </w:pPr>
    </w:p>
    <w:p w14:paraId="132DDDBB" w14:textId="77777777" w:rsidR="00EE35E2" w:rsidRPr="004676F5" w:rsidRDefault="00EE35E2" w:rsidP="00EE35E2">
      <w:pPr>
        <w:ind w:firstLine="708"/>
        <w:jc w:val="both"/>
        <w:rPr>
          <w:lang w:val="de-DE"/>
        </w:rPr>
      </w:pPr>
      <w:r w:rsidRPr="004676F5">
        <w:rPr>
          <w:lang w:val="de-DE"/>
        </w:rPr>
        <w:t>Ein Konkursschuldner kann nach seinem Tod rehabilitiert werden.</w:t>
      </w:r>
    </w:p>
    <w:p w14:paraId="6FC59D4E" w14:textId="77777777" w:rsidR="00C31D98" w:rsidRPr="004676F5" w:rsidRDefault="00C31D98" w:rsidP="00C31D98">
      <w:pPr>
        <w:jc w:val="both"/>
        <w:rPr>
          <w:lang w:val="de-DE"/>
        </w:rPr>
      </w:pPr>
    </w:p>
    <w:p w14:paraId="639EBF18" w14:textId="751432C5" w:rsidR="00C31D98" w:rsidRPr="004676F5" w:rsidRDefault="00C31D98" w:rsidP="00C31D98">
      <w:pPr>
        <w:jc w:val="both"/>
        <w:rPr>
          <w:i/>
          <w:iCs/>
          <w:lang w:val="de-DE"/>
        </w:rPr>
      </w:pPr>
      <w:r w:rsidRPr="004676F5">
        <w:rPr>
          <w:i/>
          <w:iCs/>
          <w:lang w:val="de-DE"/>
        </w:rPr>
        <w:t>[Art. XX.237 früherer Absatz 2 aufgehoben durch Art. 262 des G. vom 7. Juni 2023 (B.S. vom 7. Juli 2023)]</w:t>
      </w:r>
    </w:p>
    <w:p w14:paraId="61A00B06" w14:textId="77777777" w:rsidR="00EE35E2" w:rsidRPr="004676F5" w:rsidRDefault="00EE35E2" w:rsidP="00EE35E2">
      <w:pPr>
        <w:ind w:firstLine="708"/>
        <w:jc w:val="both"/>
        <w:rPr>
          <w:lang w:val="de-DE"/>
        </w:rPr>
      </w:pPr>
    </w:p>
    <w:p w14:paraId="53D3D8F1" w14:textId="77777777" w:rsidR="001D4C19" w:rsidRPr="004676F5" w:rsidRDefault="001D4C19" w:rsidP="00EE35E2">
      <w:pPr>
        <w:ind w:firstLine="708"/>
        <w:jc w:val="both"/>
        <w:rPr>
          <w:lang w:val="de-DE"/>
        </w:rPr>
      </w:pPr>
    </w:p>
    <w:p w14:paraId="013687BF" w14:textId="4F483706" w:rsidR="00EE35E2" w:rsidRPr="004676F5" w:rsidRDefault="00BE0A56" w:rsidP="00EE35E2">
      <w:pPr>
        <w:ind w:firstLine="708"/>
        <w:jc w:val="both"/>
        <w:rPr>
          <w:lang w:val="de-DE"/>
        </w:rPr>
      </w:pPr>
      <w:r w:rsidRPr="004676F5">
        <w:rPr>
          <w:b/>
          <w:lang w:val="de-DE"/>
        </w:rPr>
        <w:t>Art. </w:t>
      </w:r>
      <w:r w:rsidR="00EE35E2" w:rsidRPr="004676F5">
        <w:rPr>
          <w:b/>
          <w:lang w:val="de-DE"/>
        </w:rPr>
        <w:t>XX.238</w:t>
      </w:r>
      <w:r w:rsidR="00EE35E2" w:rsidRPr="004676F5">
        <w:rPr>
          <w:lang w:val="de-DE"/>
        </w:rPr>
        <w:t> </w:t>
      </w:r>
      <w:r w:rsidR="005B7A5C" w:rsidRPr="004676F5">
        <w:rPr>
          <w:lang w:val="de-DE"/>
        </w:rPr>
        <w:t>- </w:t>
      </w:r>
      <w:r w:rsidR="00EE35E2" w:rsidRPr="004676F5">
        <w:rPr>
          <w:lang w:val="de-DE"/>
        </w:rPr>
        <w:t xml:space="preserve">Ein Rehabilitierungsantrag ist an das </w:t>
      </w:r>
      <w:r w:rsidR="00330A85" w:rsidRPr="004676F5">
        <w:rPr>
          <w:lang w:val="de-DE"/>
        </w:rPr>
        <w:t xml:space="preserve">[Unternehmensgericht] </w:t>
      </w:r>
      <w:r w:rsidR="00EE35E2" w:rsidRPr="004676F5">
        <w:rPr>
          <w:lang w:val="de-DE"/>
        </w:rPr>
        <w:t>zu richten, in dessen Bereich der Konkursschuldner seinen Wohnsitz hat. Der Antragsteller fügt seiner Antragschrift die Quittungen und anderen Belege bei.</w:t>
      </w:r>
    </w:p>
    <w:p w14:paraId="240256F9" w14:textId="77777777" w:rsidR="00EE35E2" w:rsidRPr="004676F5" w:rsidRDefault="00EE35E2" w:rsidP="00EE35E2">
      <w:pPr>
        <w:ind w:firstLine="708"/>
        <w:jc w:val="both"/>
        <w:rPr>
          <w:lang w:val="de-DE"/>
        </w:rPr>
      </w:pPr>
    </w:p>
    <w:p w14:paraId="08CF44DC" w14:textId="77777777" w:rsidR="00EE35E2" w:rsidRPr="004676F5" w:rsidRDefault="00EE35E2" w:rsidP="00EE35E2">
      <w:pPr>
        <w:ind w:firstLine="708"/>
        <w:jc w:val="both"/>
        <w:rPr>
          <w:lang w:val="de-DE"/>
        </w:rPr>
      </w:pPr>
      <w:r w:rsidRPr="004676F5">
        <w:rPr>
          <w:lang w:val="de-DE"/>
        </w:rPr>
        <w:t>Er wird im Register hinterlegt.</w:t>
      </w:r>
    </w:p>
    <w:p w14:paraId="129165F5" w14:textId="77777777" w:rsidR="00EE35E2" w:rsidRPr="004676F5" w:rsidRDefault="00EE35E2" w:rsidP="00EE35E2">
      <w:pPr>
        <w:ind w:firstLine="708"/>
        <w:jc w:val="both"/>
        <w:rPr>
          <w:lang w:val="de-DE"/>
        </w:rPr>
      </w:pPr>
    </w:p>
    <w:p w14:paraId="6F012268" w14:textId="04E7CA01" w:rsidR="00EE35E2" w:rsidRPr="004676F5" w:rsidRDefault="00EE35E2" w:rsidP="00EE35E2">
      <w:pPr>
        <w:ind w:firstLine="708"/>
        <w:jc w:val="both"/>
        <w:rPr>
          <w:lang w:val="de-DE"/>
        </w:rPr>
      </w:pPr>
      <w:r w:rsidRPr="004676F5">
        <w:rPr>
          <w:lang w:val="de-DE"/>
        </w:rPr>
        <w:t xml:space="preserve">Er wird auf Betreiben des Greffiers im </w:t>
      </w:r>
      <w:r w:rsidRPr="004676F5">
        <w:rPr>
          <w:i/>
          <w:lang w:val="de-DE"/>
        </w:rPr>
        <w:t>Belgischen Staatsblatt</w:t>
      </w:r>
      <w:r w:rsidRPr="004676F5">
        <w:rPr>
          <w:lang w:val="de-DE"/>
        </w:rPr>
        <w:t xml:space="preserve"> veröffentlicht.</w:t>
      </w:r>
    </w:p>
    <w:p w14:paraId="4B3D2B81" w14:textId="04BAD4F9" w:rsidR="00330A85" w:rsidRPr="004676F5" w:rsidRDefault="00330A85" w:rsidP="00EE35E2">
      <w:pPr>
        <w:ind w:firstLine="708"/>
        <w:jc w:val="both"/>
        <w:rPr>
          <w:lang w:val="de-DE"/>
        </w:rPr>
      </w:pPr>
    </w:p>
    <w:p w14:paraId="0E891785" w14:textId="195957A8" w:rsidR="00330A85" w:rsidRPr="004676F5" w:rsidRDefault="00330A85" w:rsidP="00330A85">
      <w:pPr>
        <w:jc w:val="both"/>
        <w:rPr>
          <w:i/>
          <w:lang w:val="de-DE"/>
        </w:rPr>
      </w:pPr>
      <w:r w:rsidRPr="004676F5">
        <w:rPr>
          <w:i/>
          <w:lang w:val="de-DE"/>
        </w:rPr>
        <w:t>[Art. XX.238 abgeändert durch Art. 252 des G. vom 15. April 2018 (B.S. vom 27. April 2018)]</w:t>
      </w:r>
    </w:p>
    <w:p w14:paraId="1991F365" w14:textId="77777777" w:rsidR="00EE35E2" w:rsidRPr="004676F5" w:rsidRDefault="00EE35E2" w:rsidP="00EE35E2">
      <w:pPr>
        <w:ind w:firstLine="708"/>
        <w:jc w:val="both"/>
        <w:rPr>
          <w:lang w:val="de-DE"/>
        </w:rPr>
      </w:pPr>
    </w:p>
    <w:p w14:paraId="0F333273" w14:textId="77777777" w:rsidR="001D4C19" w:rsidRPr="004676F5" w:rsidRDefault="001D4C19" w:rsidP="00EE35E2">
      <w:pPr>
        <w:ind w:firstLine="708"/>
        <w:jc w:val="both"/>
        <w:rPr>
          <w:lang w:val="de-DE"/>
        </w:rPr>
      </w:pPr>
    </w:p>
    <w:p w14:paraId="3A232791" w14:textId="36B55C3C" w:rsidR="00EE35E2" w:rsidRPr="004676F5" w:rsidRDefault="00BE0A56" w:rsidP="00EE35E2">
      <w:pPr>
        <w:ind w:firstLine="708"/>
        <w:jc w:val="both"/>
        <w:rPr>
          <w:lang w:val="de-DE"/>
        </w:rPr>
      </w:pPr>
      <w:r w:rsidRPr="004676F5">
        <w:rPr>
          <w:b/>
          <w:lang w:val="de-DE"/>
        </w:rPr>
        <w:t>Art. </w:t>
      </w:r>
      <w:r w:rsidR="00EE35E2" w:rsidRPr="004676F5">
        <w:rPr>
          <w:b/>
          <w:lang w:val="de-DE"/>
        </w:rPr>
        <w:t>XX.239</w:t>
      </w:r>
      <w:r w:rsidR="00EE35E2" w:rsidRPr="004676F5">
        <w:rPr>
          <w:lang w:val="de-DE"/>
        </w:rPr>
        <w:t> </w:t>
      </w:r>
      <w:r w:rsidR="005B7A5C" w:rsidRPr="004676F5">
        <w:rPr>
          <w:lang w:val="de-DE"/>
        </w:rPr>
        <w:t>- </w:t>
      </w:r>
      <w:r w:rsidR="00EE35E2" w:rsidRPr="004676F5">
        <w:rPr>
          <w:lang w:val="de-DE"/>
        </w:rPr>
        <w:t xml:space="preserve">Gläubiger, deren Forderung </w:t>
      </w:r>
      <w:r w:rsidR="005B7A5C" w:rsidRPr="004676F5">
        <w:rPr>
          <w:lang w:val="de-DE"/>
        </w:rPr>
        <w:t>- </w:t>
      </w:r>
      <w:r w:rsidR="00EE35E2" w:rsidRPr="004676F5">
        <w:rPr>
          <w:lang w:val="de-DE"/>
        </w:rPr>
        <w:t>Hauptsumme, Zinsen und Kosten </w:t>
      </w:r>
      <w:r w:rsidR="005B7A5C" w:rsidRPr="004676F5">
        <w:rPr>
          <w:lang w:val="de-DE"/>
        </w:rPr>
        <w:t>- </w:t>
      </w:r>
      <w:r w:rsidR="00EE35E2" w:rsidRPr="004676F5">
        <w:rPr>
          <w:lang w:val="de-DE"/>
        </w:rPr>
        <w:t xml:space="preserve">nicht vollständig getilgt worden ist, und andere Interessehabende können binnen einem Monat nach der Veröffentlichung im </w:t>
      </w:r>
      <w:r w:rsidR="00EE35E2" w:rsidRPr="004676F5">
        <w:rPr>
          <w:i/>
          <w:lang w:val="de-DE"/>
        </w:rPr>
        <w:t>Belgischen Staatsblatt</w:t>
      </w:r>
      <w:r w:rsidR="00EE35E2" w:rsidRPr="004676F5">
        <w:rPr>
          <w:lang w:val="de-DE"/>
        </w:rPr>
        <w:t xml:space="preserve"> durch einfachen Schriftsatz unter Vorlage von Belegen bei der Kanzlei Einspruch gegen die Rehabilitierung einlegen. Gläubiger, die Einspruch einlegen, können im Rehabilitierungsverfahren nie als Partei auftreten.</w:t>
      </w:r>
    </w:p>
    <w:p w14:paraId="71B1AB95" w14:textId="77777777" w:rsidR="00EE35E2" w:rsidRPr="004676F5" w:rsidRDefault="00EE35E2" w:rsidP="00EE35E2">
      <w:pPr>
        <w:ind w:firstLine="708"/>
        <w:jc w:val="both"/>
        <w:rPr>
          <w:lang w:val="de-DE"/>
        </w:rPr>
      </w:pPr>
    </w:p>
    <w:p w14:paraId="48105F07" w14:textId="77777777" w:rsidR="001D4C19" w:rsidRPr="004676F5" w:rsidRDefault="001D4C19" w:rsidP="00EE35E2">
      <w:pPr>
        <w:ind w:firstLine="708"/>
        <w:jc w:val="both"/>
        <w:rPr>
          <w:lang w:val="de-DE"/>
        </w:rPr>
      </w:pPr>
    </w:p>
    <w:p w14:paraId="371A5899" w14:textId="2E0D4D5A" w:rsidR="00EE35E2" w:rsidRPr="004676F5" w:rsidRDefault="00BE0A56" w:rsidP="00EE35E2">
      <w:pPr>
        <w:ind w:firstLine="708"/>
        <w:jc w:val="both"/>
        <w:rPr>
          <w:lang w:val="de-DE"/>
        </w:rPr>
      </w:pPr>
      <w:r w:rsidRPr="004676F5">
        <w:rPr>
          <w:b/>
          <w:lang w:val="de-DE"/>
        </w:rPr>
        <w:t>Art. </w:t>
      </w:r>
      <w:r w:rsidR="00EE35E2" w:rsidRPr="004676F5">
        <w:rPr>
          <w:b/>
          <w:lang w:val="de-DE"/>
        </w:rPr>
        <w:t>XX.240</w:t>
      </w:r>
      <w:r w:rsidR="00EE35E2" w:rsidRPr="004676F5">
        <w:rPr>
          <w:lang w:val="de-DE"/>
        </w:rPr>
        <w:t> </w:t>
      </w:r>
      <w:r w:rsidR="005B7A5C" w:rsidRPr="004676F5">
        <w:rPr>
          <w:lang w:val="de-DE"/>
        </w:rPr>
        <w:t>- </w:t>
      </w:r>
      <w:r w:rsidR="00EE35E2" w:rsidRPr="004676F5">
        <w:rPr>
          <w:lang w:val="de-DE"/>
        </w:rPr>
        <w:t>Bei Ablauf der in Artikel XX.241 erwähnten Frist erlässt das Gericht seine Entscheidung. Vor seiner Entscheidung kann das Gericht den Antragsteller und Dritte vernehmen.</w:t>
      </w:r>
    </w:p>
    <w:p w14:paraId="08C5C33F" w14:textId="77777777" w:rsidR="00EE35E2" w:rsidRPr="004676F5" w:rsidRDefault="00EE35E2" w:rsidP="00EE35E2">
      <w:pPr>
        <w:ind w:firstLine="708"/>
        <w:jc w:val="both"/>
        <w:rPr>
          <w:lang w:val="de-DE"/>
        </w:rPr>
      </w:pPr>
    </w:p>
    <w:p w14:paraId="25DFFD50" w14:textId="77777777" w:rsidR="00EE35E2" w:rsidRPr="004676F5" w:rsidRDefault="00EE35E2" w:rsidP="00EE35E2">
      <w:pPr>
        <w:ind w:firstLine="708"/>
        <w:jc w:val="both"/>
        <w:rPr>
          <w:lang w:val="de-DE"/>
        </w:rPr>
      </w:pPr>
      <w:r w:rsidRPr="004676F5">
        <w:rPr>
          <w:lang w:val="de-DE"/>
        </w:rPr>
        <w:t>Wird der Antrag abgewiesen, kann er erst nach Ablauf eines Jahres erneut eingereicht werden.</w:t>
      </w:r>
    </w:p>
    <w:p w14:paraId="1D05AD19" w14:textId="77777777" w:rsidR="00EE35E2" w:rsidRPr="004676F5" w:rsidRDefault="00EE35E2" w:rsidP="00EE35E2">
      <w:pPr>
        <w:ind w:firstLine="708"/>
        <w:jc w:val="both"/>
        <w:rPr>
          <w:lang w:val="de-DE"/>
        </w:rPr>
      </w:pPr>
    </w:p>
    <w:p w14:paraId="7DCE530C" w14:textId="77777777" w:rsidR="001D4C19" w:rsidRPr="004676F5" w:rsidRDefault="001D4C19" w:rsidP="00EE35E2">
      <w:pPr>
        <w:ind w:firstLine="708"/>
        <w:jc w:val="both"/>
        <w:rPr>
          <w:lang w:val="de-DE"/>
        </w:rPr>
      </w:pPr>
    </w:p>
    <w:p w14:paraId="6F54F1B0" w14:textId="492B932B" w:rsidR="00EE35E2" w:rsidRPr="004676F5" w:rsidRDefault="00BE0A56" w:rsidP="00EE35E2">
      <w:pPr>
        <w:ind w:firstLine="708"/>
        <w:jc w:val="both"/>
        <w:rPr>
          <w:lang w:val="de-DE"/>
        </w:rPr>
      </w:pPr>
      <w:r w:rsidRPr="004676F5">
        <w:rPr>
          <w:b/>
          <w:lang w:val="de-DE"/>
        </w:rPr>
        <w:t>Art. </w:t>
      </w:r>
      <w:r w:rsidR="00EE35E2" w:rsidRPr="004676F5">
        <w:rPr>
          <w:b/>
          <w:lang w:val="de-DE"/>
        </w:rPr>
        <w:t>XX.241</w:t>
      </w:r>
      <w:r w:rsidR="00EE35E2" w:rsidRPr="004676F5">
        <w:rPr>
          <w:lang w:val="de-DE"/>
        </w:rPr>
        <w:t> </w:t>
      </w:r>
      <w:r w:rsidR="005B7A5C" w:rsidRPr="004676F5">
        <w:rPr>
          <w:lang w:val="de-DE"/>
        </w:rPr>
        <w:t>- </w:t>
      </w:r>
      <w:r w:rsidR="00EE35E2" w:rsidRPr="004676F5">
        <w:rPr>
          <w:lang w:val="de-DE"/>
        </w:rPr>
        <w:t xml:space="preserve">Das Urteil zur Gewährung der Rehabilitierung wird </w:t>
      </w:r>
      <w:r w:rsidR="00D35125" w:rsidRPr="004676F5">
        <w:rPr>
          <w:lang w:val="de-DE"/>
        </w:rPr>
        <w:t xml:space="preserve">[auf Betreiben des Greffiers] </w:t>
      </w:r>
      <w:r w:rsidR="00EE35E2" w:rsidRPr="004676F5">
        <w:rPr>
          <w:lang w:val="de-DE"/>
        </w:rPr>
        <w:t xml:space="preserve">im </w:t>
      </w:r>
      <w:r w:rsidR="00EE35E2" w:rsidRPr="004676F5">
        <w:rPr>
          <w:i/>
          <w:lang w:val="de-DE"/>
        </w:rPr>
        <w:t>Belgischen Staatsblatt</w:t>
      </w:r>
      <w:r w:rsidR="00EE35E2" w:rsidRPr="004676F5">
        <w:rPr>
          <w:lang w:val="de-DE"/>
        </w:rPr>
        <w:t xml:space="preserve"> veröffentlicht.</w:t>
      </w:r>
    </w:p>
    <w:p w14:paraId="5633551D" w14:textId="0A5517B9" w:rsidR="00D35125" w:rsidRPr="004676F5" w:rsidRDefault="00D35125" w:rsidP="00EE35E2">
      <w:pPr>
        <w:ind w:firstLine="708"/>
        <w:jc w:val="both"/>
        <w:rPr>
          <w:lang w:val="de-DE"/>
        </w:rPr>
      </w:pPr>
    </w:p>
    <w:p w14:paraId="7D7BD40B" w14:textId="78AC45A5" w:rsidR="00D35125" w:rsidRPr="004676F5" w:rsidRDefault="00D35125" w:rsidP="00D35125">
      <w:pPr>
        <w:jc w:val="both"/>
        <w:rPr>
          <w:i/>
          <w:lang w:val="de-DE"/>
        </w:rPr>
      </w:pPr>
      <w:r w:rsidRPr="004676F5">
        <w:rPr>
          <w:i/>
          <w:lang w:val="de-DE"/>
        </w:rPr>
        <w:t>[Art. XX.241 abgeändert durch Art. 249 des G. vom 15. April 2018 (B.S. vom 27. April 2018)]</w:t>
      </w:r>
    </w:p>
    <w:p w14:paraId="28C8D05E" w14:textId="77777777" w:rsidR="00EE35E2" w:rsidRPr="004676F5" w:rsidRDefault="00EE35E2" w:rsidP="00EE35E2">
      <w:pPr>
        <w:jc w:val="both"/>
        <w:rPr>
          <w:lang w:val="de-DE"/>
        </w:rPr>
      </w:pPr>
    </w:p>
    <w:p w14:paraId="3AEE817D" w14:textId="77777777" w:rsidR="001D4C19" w:rsidRPr="004676F5" w:rsidRDefault="001D4C19" w:rsidP="00EE35E2">
      <w:pPr>
        <w:jc w:val="center"/>
        <w:rPr>
          <w:b/>
          <w:lang w:val="de-DE"/>
        </w:rPr>
      </w:pPr>
    </w:p>
    <w:p w14:paraId="6AEA5BFE" w14:textId="77777777" w:rsidR="001D4C19" w:rsidRPr="004676F5" w:rsidRDefault="001D4C19">
      <w:pPr>
        <w:rPr>
          <w:b/>
          <w:lang w:val="de-DE"/>
        </w:rPr>
      </w:pPr>
      <w:r w:rsidRPr="004676F5">
        <w:rPr>
          <w:b/>
          <w:lang w:val="de-DE"/>
        </w:rPr>
        <w:br w:type="page"/>
      </w:r>
    </w:p>
    <w:p w14:paraId="3BD81955" w14:textId="178D86BC" w:rsidR="00EE35E2" w:rsidRPr="004676F5" w:rsidRDefault="00EE35E2" w:rsidP="00EE35E2">
      <w:pPr>
        <w:jc w:val="center"/>
        <w:rPr>
          <w:b/>
          <w:lang w:val="de-DE"/>
        </w:rPr>
      </w:pPr>
      <w:r w:rsidRPr="004676F5">
        <w:rPr>
          <w:b/>
          <w:lang w:val="de-DE"/>
        </w:rPr>
        <w:lastRenderedPageBreak/>
        <w:t>TITEL 10 </w:t>
      </w:r>
      <w:r w:rsidR="005B7A5C" w:rsidRPr="004676F5">
        <w:rPr>
          <w:b/>
          <w:lang w:val="de-DE"/>
        </w:rPr>
        <w:t>- </w:t>
      </w:r>
      <w:r w:rsidRPr="004676F5">
        <w:rPr>
          <w:b/>
          <w:i/>
          <w:lang w:val="de-DE"/>
        </w:rPr>
        <w:t>Widerruf eines Konkurses</w:t>
      </w:r>
    </w:p>
    <w:p w14:paraId="6C50A7AB" w14:textId="77777777" w:rsidR="00EE35E2" w:rsidRPr="004676F5" w:rsidRDefault="00EE35E2" w:rsidP="00EE35E2">
      <w:pPr>
        <w:jc w:val="both"/>
        <w:rPr>
          <w:lang w:val="de-DE"/>
        </w:rPr>
      </w:pPr>
    </w:p>
    <w:p w14:paraId="6D3D4A7F" w14:textId="77777777" w:rsidR="001D4C19" w:rsidRPr="004676F5" w:rsidRDefault="001D4C19" w:rsidP="00EE35E2">
      <w:pPr>
        <w:jc w:val="both"/>
        <w:rPr>
          <w:lang w:val="de-DE"/>
        </w:rPr>
      </w:pPr>
    </w:p>
    <w:p w14:paraId="635FE23F" w14:textId="007F9BB5" w:rsidR="00EE35E2" w:rsidRPr="004676F5" w:rsidRDefault="00BE0A56" w:rsidP="00EE35E2">
      <w:pPr>
        <w:ind w:firstLine="708"/>
        <w:jc w:val="both"/>
        <w:rPr>
          <w:lang w:val="de-DE"/>
        </w:rPr>
      </w:pPr>
      <w:r w:rsidRPr="004676F5">
        <w:rPr>
          <w:b/>
          <w:lang w:val="de-DE"/>
        </w:rPr>
        <w:t>Art. </w:t>
      </w:r>
      <w:r w:rsidR="00EE35E2" w:rsidRPr="004676F5">
        <w:rPr>
          <w:b/>
          <w:lang w:val="de-DE"/>
        </w:rPr>
        <w:t>XX.242</w:t>
      </w:r>
      <w:r w:rsidR="00EE35E2" w:rsidRPr="004676F5">
        <w:rPr>
          <w:lang w:val="de-DE"/>
        </w:rPr>
        <w:t> </w:t>
      </w:r>
      <w:r w:rsidR="005B7A5C" w:rsidRPr="004676F5">
        <w:rPr>
          <w:lang w:val="de-DE"/>
        </w:rPr>
        <w:t>- </w:t>
      </w:r>
      <w:r w:rsidR="00EE35E2" w:rsidRPr="004676F5">
        <w:rPr>
          <w:lang w:val="de-DE"/>
        </w:rPr>
        <w:t xml:space="preserve">Das Urteil, mit dem ein Konkurs widerrufen wird, wird auf Betreiben </w:t>
      </w:r>
      <w:r w:rsidR="00E731D6" w:rsidRPr="004676F5">
        <w:rPr>
          <w:lang w:val="de-DE"/>
        </w:rPr>
        <w:t>[</w:t>
      </w:r>
      <w:r w:rsidR="00EE35E2" w:rsidRPr="004676F5">
        <w:rPr>
          <w:lang w:val="de-DE"/>
        </w:rPr>
        <w:t xml:space="preserve">des </w:t>
      </w:r>
      <w:r w:rsidR="00E731D6" w:rsidRPr="004676F5">
        <w:rPr>
          <w:lang w:val="de-DE"/>
        </w:rPr>
        <w:t>Greffiers]</w:t>
      </w:r>
      <w:r w:rsidR="00EE35E2" w:rsidRPr="004676F5">
        <w:rPr>
          <w:lang w:val="de-DE"/>
        </w:rPr>
        <w:t xml:space="preserve"> innerhalb fünf Tagen nach seinem Datum auszugsweise </w:t>
      </w:r>
      <w:r w:rsidR="00E749ED" w:rsidRPr="004676F5">
        <w:rPr>
          <w:lang w:val="de-DE"/>
        </w:rPr>
        <w:t xml:space="preserve">[im </w:t>
      </w:r>
      <w:r w:rsidR="00E749ED" w:rsidRPr="004676F5">
        <w:rPr>
          <w:i/>
          <w:lang w:val="de-DE"/>
        </w:rPr>
        <w:t>Belgischen Staatsblatt</w:t>
      </w:r>
      <w:r w:rsidR="00E749ED" w:rsidRPr="004676F5">
        <w:rPr>
          <w:lang w:val="de-DE"/>
        </w:rPr>
        <w:t xml:space="preserve">] </w:t>
      </w:r>
      <w:r w:rsidR="00EE35E2" w:rsidRPr="004676F5">
        <w:rPr>
          <w:lang w:val="de-DE"/>
        </w:rPr>
        <w:t>veröffentlicht.</w:t>
      </w:r>
    </w:p>
    <w:p w14:paraId="70776B51" w14:textId="77777777" w:rsidR="00EE35E2" w:rsidRPr="004676F5" w:rsidRDefault="00EE35E2" w:rsidP="00EE35E2">
      <w:pPr>
        <w:rPr>
          <w:lang w:val="de-DE"/>
        </w:rPr>
      </w:pPr>
    </w:p>
    <w:p w14:paraId="305CF9DD" w14:textId="77777777" w:rsidR="00EE35E2" w:rsidRPr="004676F5" w:rsidRDefault="00EE35E2" w:rsidP="00EE35E2">
      <w:pPr>
        <w:ind w:firstLine="708"/>
        <w:jc w:val="both"/>
        <w:rPr>
          <w:lang w:val="de-DE"/>
        </w:rPr>
      </w:pPr>
      <w:r w:rsidRPr="004676F5">
        <w:rPr>
          <w:lang w:val="de-DE"/>
        </w:rPr>
        <w:t>Im Auszug stehen folgende Angaben:</w:t>
      </w:r>
    </w:p>
    <w:p w14:paraId="79EA5B70" w14:textId="77777777" w:rsidR="00EE35E2" w:rsidRPr="004676F5" w:rsidRDefault="00EE35E2" w:rsidP="00EE35E2">
      <w:pPr>
        <w:ind w:firstLine="708"/>
        <w:jc w:val="both"/>
        <w:rPr>
          <w:lang w:val="de-DE"/>
        </w:rPr>
      </w:pPr>
    </w:p>
    <w:p w14:paraId="2EC2D4D2" w14:textId="201D1D5F" w:rsidR="00EE35E2" w:rsidRPr="004676F5" w:rsidRDefault="00EE35E2" w:rsidP="00EE35E2">
      <w:pPr>
        <w:ind w:firstLine="708"/>
        <w:jc w:val="both"/>
        <w:rPr>
          <w:lang w:val="de-DE"/>
        </w:rPr>
      </w:pPr>
      <w:r w:rsidRPr="004676F5">
        <w:rPr>
          <w:lang w:val="de-DE"/>
        </w:rPr>
        <w:t>1. bei einer natürlichen Person Name, Vornamen, Geburtsort und -datum, Adresse, Ort der Hauptniederlassung und Unternehmensnummer; bei einer juristischen Person Gesell</w:t>
      </w:r>
      <w:r w:rsidRPr="004676F5">
        <w:rPr>
          <w:lang w:val="de-DE"/>
        </w:rPr>
        <w:softHyphen/>
        <w:t>schafts</w:t>
      </w:r>
      <w:r w:rsidRPr="004676F5">
        <w:rPr>
          <w:lang w:val="de-DE"/>
        </w:rPr>
        <w:softHyphen/>
        <w:t xml:space="preserve">name, Rechtsform, </w:t>
      </w:r>
      <w:r w:rsidR="00C31D98" w:rsidRPr="004676F5">
        <w:rPr>
          <w:lang w:val="de-DE"/>
        </w:rPr>
        <w:t>[Sitz]</w:t>
      </w:r>
      <w:r w:rsidRPr="004676F5">
        <w:rPr>
          <w:lang w:val="de-DE"/>
        </w:rPr>
        <w:t xml:space="preserve"> und Unternehmensnummer; bei einem </w:t>
      </w:r>
      <w:r w:rsidR="00E731D6" w:rsidRPr="004676F5">
        <w:rPr>
          <w:lang w:val="de-DE"/>
        </w:rPr>
        <w:t>[in Artikel I.1 Nr. 1 Absatz 1 Buchstabe </w:t>
      </w:r>
      <w:r w:rsidR="00E731D6" w:rsidRPr="004676F5">
        <w:rPr>
          <w:i/>
          <w:iCs/>
          <w:lang w:val="de-DE"/>
        </w:rPr>
        <w:t>(c)</w:t>
      </w:r>
      <w:r w:rsidR="00E731D6" w:rsidRPr="004676F5">
        <w:rPr>
          <w:lang w:val="de-DE"/>
        </w:rPr>
        <w:t>]</w:t>
      </w:r>
      <w:r w:rsidRPr="004676F5">
        <w:rPr>
          <w:lang w:val="de-DE"/>
        </w:rPr>
        <w:t xml:space="preserve"> erwähnten Unternehmen Handelsname, unter der die Tätigkeit ausgeübt wird, gegebenenfalls Unternehmensnummer, Tätigkeitssitz und gegebenen</w:t>
      </w:r>
      <w:r w:rsidRPr="004676F5">
        <w:rPr>
          <w:lang w:val="de-DE"/>
        </w:rPr>
        <w:softHyphen/>
        <w:t>falls Identifizierungsdaten des Bevollmächtigten,</w:t>
      </w:r>
    </w:p>
    <w:p w14:paraId="036B3CF5" w14:textId="77777777" w:rsidR="00EE35E2" w:rsidRPr="004676F5" w:rsidRDefault="00EE35E2" w:rsidP="00EE35E2">
      <w:pPr>
        <w:ind w:firstLine="708"/>
        <w:jc w:val="both"/>
        <w:rPr>
          <w:lang w:val="de-DE"/>
        </w:rPr>
      </w:pPr>
    </w:p>
    <w:p w14:paraId="440E2D1D" w14:textId="77777777" w:rsidR="00EE35E2" w:rsidRPr="004676F5" w:rsidRDefault="00EE35E2" w:rsidP="00EE35E2">
      <w:pPr>
        <w:ind w:firstLine="708"/>
        <w:jc w:val="both"/>
        <w:rPr>
          <w:lang w:val="de-DE"/>
        </w:rPr>
      </w:pPr>
      <w:r w:rsidRPr="004676F5">
        <w:rPr>
          <w:lang w:val="de-DE"/>
        </w:rPr>
        <w:t>2. Datum des Konkurseröffnungsurteils und Gericht, das das Urteil ausgesprochen hat.</w:t>
      </w:r>
    </w:p>
    <w:p w14:paraId="6EE58E85" w14:textId="77777777" w:rsidR="00EE35E2" w:rsidRPr="004676F5" w:rsidRDefault="00EE35E2" w:rsidP="00EE35E2">
      <w:pPr>
        <w:jc w:val="both"/>
        <w:rPr>
          <w:lang w:val="de-DE"/>
        </w:rPr>
      </w:pPr>
    </w:p>
    <w:p w14:paraId="77996E1D" w14:textId="4CE43445" w:rsidR="001D4C19" w:rsidRPr="004676F5" w:rsidRDefault="00E731D6" w:rsidP="00EE35E2">
      <w:pPr>
        <w:jc w:val="both"/>
        <w:rPr>
          <w:i/>
          <w:lang w:val="de-DE"/>
        </w:rPr>
      </w:pPr>
      <w:r w:rsidRPr="004676F5">
        <w:rPr>
          <w:i/>
          <w:lang w:val="de-DE"/>
        </w:rPr>
        <w:t>[Art. XX.242 Abs. 1 abgeändert durch Art. 250 Nr. 1 des G. vom 15. April 2018 (B.S. vom 27. April 2018); Abs. 2 Nr. 1 abgeändert durch Art. 250 Nr. 2 des G. vom 15. April 2018 (B.S. vom 27. April 2018)</w:t>
      </w:r>
      <w:r w:rsidR="00C31D98" w:rsidRPr="004676F5">
        <w:rPr>
          <w:i/>
          <w:lang w:val="de-DE"/>
        </w:rPr>
        <w:t xml:space="preserve"> und Art. 263</w:t>
      </w:r>
      <w:r w:rsidR="00C31D98" w:rsidRPr="004676F5">
        <w:rPr>
          <w:i/>
          <w:iCs/>
          <w:lang w:val="de-DE"/>
        </w:rPr>
        <w:t xml:space="preserve"> des G. vom 7. Juni 2023 (B.S. vom 7. Juli 2023)</w:t>
      </w:r>
      <w:r w:rsidRPr="004676F5">
        <w:rPr>
          <w:i/>
          <w:lang w:val="de-DE"/>
        </w:rPr>
        <w:t>]</w:t>
      </w:r>
    </w:p>
    <w:p w14:paraId="54223AA8" w14:textId="77777777" w:rsidR="001D4C19" w:rsidRPr="004676F5" w:rsidRDefault="001D4C19">
      <w:pPr>
        <w:rPr>
          <w:b/>
          <w:lang w:val="de-DE"/>
        </w:rPr>
      </w:pPr>
      <w:r w:rsidRPr="004676F5">
        <w:rPr>
          <w:b/>
          <w:lang w:val="de-DE"/>
        </w:rPr>
        <w:br w:type="page"/>
      </w:r>
    </w:p>
    <w:p w14:paraId="40311D11" w14:textId="1E73DAA5" w:rsidR="00EE35E2" w:rsidRPr="004676F5" w:rsidRDefault="00EE35E2" w:rsidP="00EE35E2">
      <w:pPr>
        <w:jc w:val="center"/>
        <w:rPr>
          <w:lang w:val="de-DE"/>
        </w:rPr>
      </w:pPr>
      <w:r w:rsidRPr="004676F5">
        <w:rPr>
          <w:b/>
          <w:lang w:val="de-DE"/>
        </w:rPr>
        <w:lastRenderedPageBreak/>
        <w:t xml:space="preserve">TITEL 10 </w:t>
      </w:r>
      <w:r w:rsidRPr="004676F5">
        <w:rPr>
          <w:i/>
          <w:lang w:val="de-DE"/>
        </w:rPr>
        <w:t>[sic, zu lesen ist: 11]</w:t>
      </w:r>
      <w:r w:rsidRPr="004676F5">
        <w:rPr>
          <w:b/>
          <w:lang w:val="de-DE"/>
        </w:rPr>
        <w:t> </w:t>
      </w:r>
      <w:r w:rsidR="005B7A5C" w:rsidRPr="004676F5">
        <w:rPr>
          <w:b/>
          <w:lang w:val="de-DE"/>
        </w:rPr>
        <w:t>- </w:t>
      </w:r>
      <w:r w:rsidRPr="004676F5">
        <w:rPr>
          <w:b/>
          <w:i/>
          <w:lang w:val="de-DE"/>
        </w:rPr>
        <w:t>Beurteilung der Insolvenzverfahren</w:t>
      </w:r>
      <w:r w:rsidRPr="004676F5">
        <w:rPr>
          <w:i/>
          <w:lang w:val="de-DE"/>
        </w:rPr>
        <w:t xml:space="preserve"> </w:t>
      </w:r>
    </w:p>
    <w:p w14:paraId="3734ED71" w14:textId="77777777" w:rsidR="00EE35E2" w:rsidRPr="004676F5" w:rsidRDefault="00EE35E2" w:rsidP="00EE35E2">
      <w:pPr>
        <w:jc w:val="both"/>
        <w:rPr>
          <w:lang w:val="de-DE"/>
        </w:rPr>
      </w:pPr>
    </w:p>
    <w:p w14:paraId="0485E0D8" w14:textId="77777777" w:rsidR="001D4C19" w:rsidRPr="004676F5" w:rsidRDefault="001D4C19" w:rsidP="00EE35E2">
      <w:pPr>
        <w:jc w:val="both"/>
        <w:rPr>
          <w:lang w:val="de-DE"/>
        </w:rPr>
      </w:pPr>
    </w:p>
    <w:p w14:paraId="1F0F7B50" w14:textId="1E1614DF" w:rsidR="00EE35E2" w:rsidRPr="004676F5" w:rsidRDefault="00BE0A56" w:rsidP="00EE35E2">
      <w:pPr>
        <w:ind w:firstLine="708"/>
        <w:jc w:val="both"/>
        <w:rPr>
          <w:lang w:val="de-DE"/>
        </w:rPr>
      </w:pPr>
      <w:r w:rsidRPr="004676F5">
        <w:rPr>
          <w:b/>
          <w:lang w:val="de-DE"/>
        </w:rPr>
        <w:t>Art. </w:t>
      </w:r>
      <w:r w:rsidR="00EE35E2" w:rsidRPr="004676F5">
        <w:rPr>
          <w:b/>
          <w:lang w:val="de-DE"/>
        </w:rPr>
        <w:t>XX.243</w:t>
      </w:r>
      <w:r w:rsidR="00EE35E2" w:rsidRPr="004676F5">
        <w:rPr>
          <w:lang w:val="de-DE"/>
        </w:rPr>
        <w:t> </w:t>
      </w:r>
      <w:r w:rsidR="005B7A5C" w:rsidRPr="004676F5">
        <w:rPr>
          <w:lang w:val="de-DE"/>
        </w:rPr>
        <w:t>- </w:t>
      </w:r>
      <w:r w:rsidR="00EE35E2" w:rsidRPr="004676F5">
        <w:rPr>
          <w:lang w:val="de-DE"/>
        </w:rPr>
        <w:t xml:space="preserve">Zwei Jahre nach Inkrafttreten des vorliegenden Buches führt der für Justiz zuständige Minister eine Beurteilung darüber durch, ob die </w:t>
      </w:r>
      <w:r w:rsidR="00C31D98" w:rsidRPr="004676F5">
        <w:rPr>
          <w:lang w:val="de-DE"/>
        </w:rPr>
        <w:t>[im Gesetz vom 21. März 2021 zur Abänderung des Buches XX des Wirtschaftsgesetzbuches und des Einkommensteuergesetzbuches 1992]</w:t>
      </w:r>
      <w:r w:rsidR="00EE35E2" w:rsidRPr="004676F5">
        <w:rPr>
          <w:lang w:val="de-DE"/>
        </w:rPr>
        <w:t xml:space="preserve"> erwähnten Verfahren für Vereinigungen </w:t>
      </w:r>
      <w:r w:rsidR="00C31D98" w:rsidRPr="004676F5">
        <w:rPr>
          <w:lang w:val="de-DE"/>
        </w:rPr>
        <w:t>[und Stiftungen gemäß der Begriffsbestimmung im Gesetzbuch der Gesellschaften und Vereinigungen]</w:t>
      </w:r>
      <w:r w:rsidR="00EE35E2" w:rsidRPr="004676F5">
        <w:rPr>
          <w:lang w:val="de-DE"/>
        </w:rPr>
        <w:t>, angemessen sind. In dieser Studie werden gegebenenfalls Verbesserungsansätze im Bereich der Rechtsvorschriften vorgeschlagen.</w:t>
      </w:r>
    </w:p>
    <w:p w14:paraId="2FFA726C" w14:textId="77777777" w:rsidR="00EE35E2" w:rsidRPr="004676F5" w:rsidRDefault="00EE35E2" w:rsidP="00EE35E2">
      <w:pPr>
        <w:ind w:firstLine="708"/>
        <w:jc w:val="both"/>
        <w:rPr>
          <w:lang w:val="de-DE"/>
        </w:rPr>
      </w:pPr>
    </w:p>
    <w:p w14:paraId="36046237" w14:textId="77777777" w:rsidR="00EE35E2" w:rsidRPr="004676F5" w:rsidRDefault="00EE35E2" w:rsidP="001D4C19">
      <w:pPr>
        <w:ind w:firstLine="708"/>
        <w:jc w:val="both"/>
        <w:rPr>
          <w:lang w:val="de-DE"/>
        </w:rPr>
      </w:pPr>
      <w:r w:rsidRPr="004676F5">
        <w:rPr>
          <w:lang w:val="de-DE"/>
        </w:rPr>
        <w:t>Die Studie wird der Abgeordnetenkammer übermittelt.</w:t>
      </w:r>
      <w:r w:rsidR="001D4C19" w:rsidRPr="004676F5">
        <w:rPr>
          <w:lang w:val="de-DE"/>
        </w:rPr>
        <w:t>]</w:t>
      </w:r>
    </w:p>
    <w:p w14:paraId="2F1A1CCB" w14:textId="77777777" w:rsidR="00C31D98" w:rsidRPr="004676F5" w:rsidRDefault="00C31D98" w:rsidP="00C31D98">
      <w:pPr>
        <w:jc w:val="both"/>
        <w:rPr>
          <w:lang w:val="de-DE"/>
        </w:rPr>
      </w:pPr>
    </w:p>
    <w:p w14:paraId="0B79425A" w14:textId="509124E3" w:rsidR="00C31D98" w:rsidRPr="004676F5" w:rsidRDefault="00C31D98" w:rsidP="00C31D98">
      <w:pPr>
        <w:jc w:val="both"/>
        <w:rPr>
          <w:i/>
          <w:iCs/>
          <w:lang w:val="de-DE"/>
        </w:rPr>
      </w:pPr>
      <w:r w:rsidRPr="004676F5">
        <w:rPr>
          <w:i/>
          <w:iCs/>
          <w:lang w:val="de-DE"/>
        </w:rPr>
        <w:t>[Art. XX.243 Abs. 1 abgeändert durch Art. 264 des G. vom 7. Juni 2023 (B.S. vom 7. Juli 2023)]</w:t>
      </w:r>
    </w:p>
    <w:p w14:paraId="6138AEAC" w14:textId="77777777" w:rsidR="001D4C19" w:rsidRPr="004676F5" w:rsidRDefault="001D4C19" w:rsidP="00454231">
      <w:pPr>
        <w:jc w:val="both"/>
        <w:rPr>
          <w:lang w:val="de-DE"/>
        </w:rPr>
      </w:pPr>
    </w:p>
    <w:p w14:paraId="5691DC64" w14:textId="77777777" w:rsidR="008E100F" w:rsidRPr="004676F5" w:rsidRDefault="008E100F" w:rsidP="00462450">
      <w:pPr>
        <w:rPr>
          <w:lang w:val="de-DE"/>
        </w:rPr>
      </w:pPr>
    </w:p>
    <w:sectPr w:rsidR="008E100F" w:rsidRPr="004676F5" w:rsidSect="003E519F">
      <w:footnotePr>
        <w:numRestart w:val="eachPage"/>
      </w:foot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728B" w14:textId="77777777" w:rsidR="004E5604" w:rsidRDefault="004E5604" w:rsidP="00623258">
      <w:r>
        <w:separator/>
      </w:r>
    </w:p>
  </w:endnote>
  <w:endnote w:type="continuationSeparator" w:id="0">
    <w:p w14:paraId="2C31D27A" w14:textId="77777777" w:rsidR="004E5604" w:rsidRDefault="004E5604" w:rsidP="0062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1FDD" w14:textId="77777777" w:rsidR="004E5604" w:rsidRDefault="004E5604" w:rsidP="00623258">
      <w:r>
        <w:separator/>
      </w:r>
    </w:p>
  </w:footnote>
  <w:footnote w:type="continuationSeparator" w:id="0">
    <w:p w14:paraId="6665158D" w14:textId="77777777" w:rsidR="004E5604" w:rsidRDefault="004E5604" w:rsidP="00623258">
      <w:r>
        <w:continuationSeparator/>
      </w:r>
    </w:p>
  </w:footnote>
  <w:footnote w:id="1">
    <w:p w14:paraId="4A6C2560" w14:textId="77777777" w:rsidR="004C75EF" w:rsidRPr="00623258" w:rsidRDefault="004C75EF">
      <w:pPr>
        <w:pStyle w:val="Notedebasdepage"/>
        <w:rPr>
          <w:lang w:val="de-DE"/>
        </w:rPr>
      </w:pPr>
      <w:bookmarkStart w:id="1" w:name="_Ref12610120"/>
      <w:r>
        <w:rPr>
          <w:rStyle w:val="Appelnotedebasdep"/>
        </w:rPr>
        <w:footnoteRef/>
      </w:r>
      <w:r w:rsidRPr="00623258">
        <w:rPr>
          <w:lang w:val="de-DE"/>
        </w:rPr>
        <w:t xml:space="preserve"> In Anl</w:t>
      </w:r>
      <w:r>
        <w:rPr>
          <w:lang w:val="de-DE"/>
        </w:rPr>
        <w:t>ehnung an Artikel 79 § 4 Absatz </w:t>
      </w:r>
      <w:r w:rsidRPr="00623258">
        <w:rPr>
          <w:lang w:val="de-DE"/>
        </w:rPr>
        <w:t>1</w:t>
      </w:r>
      <w:r>
        <w:rPr>
          <w:lang w:val="de-DE"/>
        </w:rPr>
        <w:t xml:space="preserve"> und 2 Nr. 6 und § 5 Absatz 4 erster Satz wird die Abänderung durch Artikel 2 des Gesetzes vom 20. Februar 2017 (B.S. vom 27. Februar 2017) nicht an dieser Stelle angebracht.</w:t>
      </w:r>
      <w:bookmarkEnd w:id="1"/>
    </w:p>
  </w:footnote>
  <w:footnote w:id="2">
    <w:p w14:paraId="31E2C10C" w14:textId="77777777" w:rsidR="004C75EF" w:rsidRPr="003E519F" w:rsidRDefault="004C75EF">
      <w:pPr>
        <w:pStyle w:val="Notedebasdepage"/>
        <w:rPr>
          <w:lang w:val="de-DE"/>
        </w:rPr>
      </w:pPr>
      <w:r>
        <w:rPr>
          <w:rStyle w:val="Appelnotedebasdep"/>
        </w:rPr>
        <w:footnoteRef/>
      </w:r>
      <w:r w:rsidRPr="003E519F">
        <w:rPr>
          <w:lang w:val="de-DE"/>
        </w:rPr>
        <w:t xml:space="preserve"> </w:t>
      </w:r>
      <w:r>
        <w:rPr>
          <w:lang w:val="de-DE"/>
        </w:rPr>
        <w:t>In Anlehnung an Artikel 79 § 4 Absatz 1 und 2 Nr. 6 und § 5 Absatz 4 erster Satz wird die Abänderung durch Artikel 2 des Gesetzes vom 20. Februar 2017 (B.S. vom 27. Februar 2017) nicht an dieser Stelle angebracht.</w:t>
      </w:r>
    </w:p>
  </w:footnote>
  <w:footnote w:id="3">
    <w:p w14:paraId="6314B5C9" w14:textId="77777777" w:rsidR="004C75EF" w:rsidRPr="003E519F" w:rsidRDefault="004C75EF">
      <w:pPr>
        <w:pStyle w:val="Notedebasdepage"/>
        <w:rPr>
          <w:lang w:val="de-DE"/>
        </w:rPr>
      </w:pPr>
      <w:r>
        <w:rPr>
          <w:rStyle w:val="Appelnotedebasdep"/>
        </w:rPr>
        <w:footnoteRef/>
      </w:r>
      <w:r w:rsidRPr="003E519F">
        <w:rPr>
          <w:lang w:val="de-DE"/>
        </w:rPr>
        <w:t xml:space="preserve"> </w:t>
      </w:r>
      <w:r>
        <w:rPr>
          <w:lang w:val="de-DE"/>
        </w:rPr>
        <w:t>In Anlehnung an Artikel 79 § 4 Absatz 1 und 2 Nr. 6 und § 5 Absatz 4 erster Satz wird die Abänderung durch Artikel 2 des Gesetzes vom 20. Februar 2017 (B.S. vom 27. Februar 2017) nicht an dieser Stelle angebracht.</w:t>
      </w:r>
    </w:p>
  </w:footnote>
  <w:footnote w:id="4">
    <w:p w14:paraId="2C8EC45A" w14:textId="77777777" w:rsidR="004C75EF" w:rsidRPr="00D03574" w:rsidRDefault="004C75EF">
      <w:pPr>
        <w:pStyle w:val="Notedebasdepage"/>
        <w:rPr>
          <w:lang w:val="de-DE"/>
        </w:rPr>
      </w:pPr>
      <w:r>
        <w:rPr>
          <w:rStyle w:val="Appelnotedebasdep"/>
        </w:rPr>
        <w:footnoteRef/>
      </w:r>
      <w:r w:rsidRPr="00D03574">
        <w:rPr>
          <w:lang w:val="de-DE"/>
        </w:rPr>
        <w:t xml:space="preserve"> </w:t>
      </w:r>
      <w:r>
        <w:rPr>
          <w:lang w:val="de-DE"/>
        </w:rPr>
        <w:t>In Anlehnung an Artikel 79 § 4 Absatz 1 und 2 Nr. 6 und § 5 Absatz 4 erster Satz wird die Abänderung durch Artikel 2 des Gesetzes vom 20. Februar 2017 (B.S. vom 27. Februar 2017) nicht an dieser Stelle angebracht.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A3F17"/>
    <w:multiLevelType w:val="multilevel"/>
    <w:tmpl w:val="F21E08CA"/>
    <w:styleLink w:val="Listeactuelle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9102C17"/>
    <w:multiLevelType w:val="hybridMultilevel"/>
    <w:tmpl w:val="F21E08CA"/>
    <w:lvl w:ilvl="0" w:tplc="1B0E312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1C6F7462"/>
    <w:multiLevelType w:val="hybridMultilevel"/>
    <w:tmpl w:val="2A58E862"/>
    <w:lvl w:ilvl="0" w:tplc="99DC016E">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5" w15:restartNumberingAfterBreak="0">
    <w:nsid w:val="20824C29"/>
    <w:multiLevelType w:val="hybridMultilevel"/>
    <w:tmpl w:val="085CEE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593566"/>
    <w:multiLevelType w:val="hybridMultilevel"/>
    <w:tmpl w:val="148CA75A"/>
    <w:lvl w:ilvl="0" w:tplc="90209808">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7"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D30B09"/>
    <w:multiLevelType w:val="hybridMultilevel"/>
    <w:tmpl w:val="4738A0B2"/>
    <w:lvl w:ilvl="0" w:tplc="61CC59EC">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E8370E3"/>
    <w:multiLevelType w:val="hybridMultilevel"/>
    <w:tmpl w:val="3ABC9A2C"/>
    <w:lvl w:ilvl="0" w:tplc="75CA347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594975791">
    <w:abstractNumId w:val="6"/>
  </w:num>
  <w:num w:numId="2" w16cid:durableId="183934809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3" w16cid:durableId="1456751465">
    <w:abstractNumId w:val="10"/>
  </w:num>
  <w:num w:numId="4" w16cid:durableId="138496436">
    <w:abstractNumId w:val="9"/>
  </w:num>
  <w:num w:numId="5" w16cid:durableId="1197235908">
    <w:abstractNumId w:val="1"/>
  </w:num>
  <w:num w:numId="6" w16cid:durableId="1040209130">
    <w:abstractNumId w:val="7"/>
  </w:num>
  <w:num w:numId="7" w16cid:durableId="911961986">
    <w:abstractNumId w:val="8"/>
  </w:num>
  <w:num w:numId="8" w16cid:durableId="533463568">
    <w:abstractNumId w:val="4"/>
  </w:num>
  <w:num w:numId="9" w16cid:durableId="1497769916">
    <w:abstractNumId w:val="3"/>
  </w:num>
  <w:num w:numId="10" w16cid:durableId="550386406">
    <w:abstractNumId w:val="2"/>
  </w:num>
  <w:num w:numId="11" w16cid:durableId="1383407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44"/>
    <w:rsid w:val="00002004"/>
    <w:rsid w:val="00002C1A"/>
    <w:rsid w:val="0000450F"/>
    <w:rsid w:val="000053B8"/>
    <w:rsid w:val="00006AA2"/>
    <w:rsid w:val="00007F74"/>
    <w:rsid w:val="000107D6"/>
    <w:rsid w:val="000107F5"/>
    <w:rsid w:val="00010B15"/>
    <w:rsid w:val="00010E82"/>
    <w:rsid w:val="0001250D"/>
    <w:rsid w:val="00016935"/>
    <w:rsid w:val="00020267"/>
    <w:rsid w:val="00020EA0"/>
    <w:rsid w:val="00021398"/>
    <w:rsid w:val="000242C9"/>
    <w:rsid w:val="00024CC5"/>
    <w:rsid w:val="000279D2"/>
    <w:rsid w:val="00027A02"/>
    <w:rsid w:val="00033CB9"/>
    <w:rsid w:val="00037E56"/>
    <w:rsid w:val="00041464"/>
    <w:rsid w:val="00041A10"/>
    <w:rsid w:val="00043291"/>
    <w:rsid w:val="0004441E"/>
    <w:rsid w:val="00044712"/>
    <w:rsid w:val="000464BD"/>
    <w:rsid w:val="00047804"/>
    <w:rsid w:val="00050063"/>
    <w:rsid w:val="00051BEC"/>
    <w:rsid w:val="000522F8"/>
    <w:rsid w:val="0005245E"/>
    <w:rsid w:val="000540DB"/>
    <w:rsid w:val="00054D39"/>
    <w:rsid w:val="00054D68"/>
    <w:rsid w:val="00061F2A"/>
    <w:rsid w:val="00062985"/>
    <w:rsid w:val="00065C4F"/>
    <w:rsid w:val="00067405"/>
    <w:rsid w:val="000678CE"/>
    <w:rsid w:val="000701A7"/>
    <w:rsid w:val="00070556"/>
    <w:rsid w:val="00070CA0"/>
    <w:rsid w:val="00070D8B"/>
    <w:rsid w:val="000714DA"/>
    <w:rsid w:val="00071582"/>
    <w:rsid w:val="00073B95"/>
    <w:rsid w:val="00074942"/>
    <w:rsid w:val="0007495F"/>
    <w:rsid w:val="0007593E"/>
    <w:rsid w:val="000807D3"/>
    <w:rsid w:val="00081096"/>
    <w:rsid w:val="000848FD"/>
    <w:rsid w:val="000867F3"/>
    <w:rsid w:val="0009060C"/>
    <w:rsid w:val="00091D23"/>
    <w:rsid w:val="00094173"/>
    <w:rsid w:val="00094C4E"/>
    <w:rsid w:val="00094CAB"/>
    <w:rsid w:val="00094DD5"/>
    <w:rsid w:val="00096112"/>
    <w:rsid w:val="00096F51"/>
    <w:rsid w:val="000A0063"/>
    <w:rsid w:val="000A092E"/>
    <w:rsid w:val="000A1E2C"/>
    <w:rsid w:val="000A20E7"/>
    <w:rsid w:val="000A263D"/>
    <w:rsid w:val="000A26B7"/>
    <w:rsid w:val="000A2E4B"/>
    <w:rsid w:val="000A3BD3"/>
    <w:rsid w:val="000A67C9"/>
    <w:rsid w:val="000A68C2"/>
    <w:rsid w:val="000A6E2C"/>
    <w:rsid w:val="000B2693"/>
    <w:rsid w:val="000B2F0E"/>
    <w:rsid w:val="000B2F2E"/>
    <w:rsid w:val="000B7544"/>
    <w:rsid w:val="000B77AB"/>
    <w:rsid w:val="000C0E31"/>
    <w:rsid w:val="000C30C8"/>
    <w:rsid w:val="000C3C81"/>
    <w:rsid w:val="000D06E3"/>
    <w:rsid w:val="000D149B"/>
    <w:rsid w:val="000D3610"/>
    <w:rsid w:val="000D380E"/>
    <w:rsid w:val="000D4028"/>
    <w:rsid w:val="000D428D"/>
    <w:rsid w:val="000D61BE"/>
    <w:rsid w:val="000D669D"/>
    <w:rsid w:val="000E09CA"/>
    <w:rsid w:val="000E3F36"/>
    <w:rsid w:val="000E6035"/>
    <w:rsid w:val="000E6768"/>
    <w:rsid w:val="000E7387"/>
    <w:rsid w:val="000E7505"/>
    <w:rsid w:val="000F0DF3"/>
    <w:rsid w:val="000F11AA"/>
    <w:rsid w:val="000F18F2"/>
    <w:rsid w:val="000F2ABF"/>
    <w:rsid w:val="000F3683"/>
    <w:rsid w:val="000F37E6"/>
    <w:rsid w:val="000F3DD2"/>
    <w:rsid w:val="000F5F44"/>
    <w:rsid w:val="000F60D7"/>
    <w:rsid w:val="000F668D"/>
    <w:rsid w:val="000F67E0"/>
    <w:rsid w:val="0010000F"/>
    <w:rsid w:val="00101E20"/>
    <w:rsid w:val="00102763"/>
    <w:rsid w:val="00102782"/>
    <w:rsid w:val="0010524E"/>
    <w:rsid w:val="00110F98"/>
    <w:rsid w:val="0011394C"/>
    <w:rsid w:val="00113F59"/>
    <w:rsid w:val="001146AE"/>
    <w:rsid w:val="00115238"/>
    <w:rsid w:val="0011796A"/>
    <w:rsid w:val="0012182F"/>
    <w:rsid w:val="00122039"/>
    <w:rsid w:val="001233DD"/>
    <w:rsid w:val="00125C2D"/>
    <w:rsid w:val="00126905"/>
    <w:rsid w:val="001308C7"/>
    <w:rsid w:val="001327CD"/>
    <w:rsid w:val="00134962"/>
    <w:rsid w:val="0013666A"/>
    <w:rsid w:val="00136B98"/>
    <w:rsid w:val="001372AA"/>
    <w:rsid w:val="00137AE1"/>
    <w:rsid w:val="00140620"/>
    <w:rsid w:val="00144CA6"/>
    <w:rsid w:val="00145EE8"/>
    <w:rsid w:val="001470D9"/>
    <w:rsid w:val="0015157C"/>
    <w:rsid w:val="001527B1"/>
    <w:rsid w:val="001530CD"/>
    <w:rsid w:val="00153102"/>
    <w:rsid w:val="00154AAA"/>
    <w:rsid w:val="001553D0"/>
    <w:rsid w:val="00155758"/>
    <w:rsid w:val="00155E2F"/>
    <w:rsid w:val="0016083D"/>
    <w:rsid w:val="0016414E"/>
    <w:rsid w:val="001646A9"/>
    <w:rsid w:val="00166E24"/>
    <w:rsid w:val="00170794"/>
    <w:rsid w:val="001727DC"/>
    <w:rsid w:val="00173FDB"/>
    <w:rsid w:val="00175170"/>
    <w:rsid w:val="001763F3"/>
    <w:rsid w:val="00177E8B"/>
    <w:rsid w:val="001814E4"/>
    <w:rsid w:val="00183875"/>
    <w:rsid w:val="00185371"/>
    <w:rsid w:val="00186448"/>
    <w:rsid w:val="00186F2F"/>
    <w:rsid w:val="0018751C"/>
    <w:rsid w:val="001905F2"/>
    <w:rsid w:val="00190B93"/>
    <w:rsid w:val="0019123C"/>
    <w:rsid w:val="00191722"/>
    <w:rsid w:val="001926FE"/>
    <w:rsid w:val="00192CC5"/>
    <w:rsid w:val="00192F42"/>
    <w:rsid w:val="001A2085"/>
    <w:rsid w:val="001A36B9"/>
    <w:rsid w:val="001A6E25"/>
    <w:rsid w:val="001B0F93"/>
    <w:rsid w:val="001B1842"/>
    <w:rsid w:val="001B51A9"/>
    <w:rsid w:val="001B605C"/>
    <w:rsid w:val="001B64F8"/>
    <w:rsid w:val="001B6B48"/>
    <w:rsid w:val="001C4D73"/>
    <w:rsid w:val="001D448B"/>
    <w:rsid w:val="001D4C19"/>
    <w:rsid w:val="001D5CB7"/>
    <w:rsid w:val="001D682D"/>
    <w:rsid w:val="001D7C66"/>
    <w:rsid w:val="001E01DB"/>
    <w:rsid w:val="001E0564"/>
    <w:rsid w:val="001E190F"/>
    <w:rsid w:val="001E466E"/>
    <w:rsid w:val="001E61AF"/>
    <w:rsid w:val="001F0766"/>
    <w:rsid w:val="001F1639"/>
    <w:rsid w:val="001F23B7"/>
    <w:rsid w:val="001F25F9"/>
    <w:rsid w:val="001F3248"/>
    <w:rsid w:val="001F370C"/>
    <w:rsid w:val="001F370F"/>
    <w:rsid w:val="001F377D"/>
    <w:rsid w:val="001F543B"/>
    <w:rsid w:val="001F5529"/>
    <w:rsid w:val="001F6624"/>
    <w:rsid w:val="001F7D08"/>
    <w:rsid w:val="00200116"/>
    <w:rsid w:val="00201B7E"/>
    <w:rsid w:val="00203A3F"/>
    <w:rsid w:val="00204FA1"/>
    <w:rsid w:val="00204FCB"/>
    <w:rsid w:val="002057B8"/>
    <w:rsid w:val="002064D4"/>
    <w:rsid w:val="00206646"/>
    <w:rsid w:val="00207B76"/>
    <w:rsid w:val="002125E5"/>
    <w:rsid w:val="00212CBA"/>
    <w:rsid w:val="0022045D"/>
    <w:rsid w:val="002242BA"/>
    <w:rsid w:val="002311D9"/>
    <w:rsid w:val="00233760"/>
    <w:rsid w:val="00235ED2"/>
    <w:rsid w:val="00242FEF"/>
    <w:rsid w:val="002433D0"/>
    <w:rsid w:val="00246F70"/>
    <w:rsid w:val="002501EB"/>
    <w:rsid w:val="002508C4"/>
    <w:rsid w:val="002519FC"/>
    <w:rsid w:val="00251FD9"/>
    <w:rsid w:val="00252049"/>
    <w:rsid w:val="00252339"/>
    <w:rsid w:val="002531FD"/>
    <w:rsid w:val="0025333A"/>
    <w:rsid w:val="002554AE"/>
    <w:rsid w:val="0025610F"/>
    <w:rsid w:val="0025661A"/>
    <w:rsid w:val="00256756"/>
    <w:rsid w:val="00260234"/>
    <w:rsid w:val="00260C41"/>
    <w:rsid w:val="002629DE"/>
    <w:rsid w:val="00263529"/>
    <w:rsid w:val="002639C1"/>
    <w:rsid w:val="00264616"/>
    <w:rsid w:val="00264B42"/>
    <w:rsid w:val="00264F93"/>
    <w:rsid w:val="002650D6"/>
    <w:rsid w:val="00266D2A"/>
    <w:rsid w:val="00270F53"/>
    <w:rsid w:val="002740F4"/>
    <w:rsid w:val="00274D5D"/>
    <w:rsid w:val="00276E0D"/>
    <w:rsid w:val="00277C9C"/>
    <w:rsid w:val="00280329"/>
    <w:rsid w:val="0028112E"/>
    <w:rsid w:val="00285C12"/>
    <w:rsid w:val="00285FF9"/>
    <w:rsid w:val="002860AE"/>
    <w:rsid w:val="00286866"/>
    <w:rsid w:val="00286BA6"/>
    <w:rsid w:val="00296630"/>
    <w:rsid w:val="00297AF7"/>
    <w:rsid w:val="002A1316"/>
    <w:rsid w:val="002A1923"/>
    <w:rsid w:val="002A1927"/>
    <w:rsid w:val="002A27D8"/>
    <w:rsid w:val="002A3D76"/>
    <w:rsid w:val="002A70EE"/>
    <w:rsid w:val="002A7B89"/>
    <w:rsid w:val="002B2393"/>
    <w:rsid w:val="002B2B70"/>
    <w:rsid w:val="002B63FD"/>
    <w:rsid w:val="002B6448"/>
    <w:rsid w:val="002B7DC2"/>
    <w:rsid w:val="002C20FB"/>
    <w:rsid w:val="002C264D"/>
    <w:rsid w:val="002C3625"/>
    <w:rsid w:val="002C4B3F"/>
    <w:rsid w:val="002C7304"/>
    <w:rsid w:val="002D0C46"/>
    <w:rsid w:val="002D1971"/>
    <w:rsid w:val="002D1C90"/>
    <w:rsid w:val="002D304F"/>
    <w:rsid w:val="002D3444"/>
    <w:rsid w:val="002D3D59"/>
    <w:rsid w:val="002D42EE"/>
    <w:rsid w:val="002D4A6F"/>
    <w:rsid w:val="002D53BD"/>
    <w:rsid w:val="002D6472"/>
    <w:rsid w:val="002D64EC"/>
    <w:rsid w:val="002E11BF"/>
    <w:rsid w:val="002E1724"/>
    <w:rsid w:val="002E1A56"/>
    <w:rsid w:val="002E20BA"/>
    <w:rsid w:val="002E2E67"/>
    <w:rsid w:val="002E737D"/>
    <w:rsid w:val="002F012E"/>
    <w:rsid w:val="002F0EBE"/>
    <w:rsid w:val="002F21FF"/>
    <w:rsid w:val="002F26DE"/>
    <w:rsid w:val="002F277C"/>
    <w:rsid w:val="002F3B3B"/>
    <w:rsid w:val="002F3E72"/>
    <w:rsid w:val="002F53A1"/>
    <w:rsid w:val="002F657D"/>
    <w:rsid w:val="002F716B"/>
    <w:rsid w:val="002F72DB"/>
    <w:rsid w:val="003017FE"/>
    <w:rsid w:val="0030197B"/>
    <w:rsid w:val="00301C31"/>
    <w:rsid w:val="00302651"/>
    <w:rsid w:val="00302D19"/>
    <w:rsid w:val="003042D1"/>
    <w:rsid w:val="003105E2"/>
    <w:rsid w:val="00313551"/>
    <w:rsid w:val="003138E7"/>
    <w:rsid w:val="003140C8"/>
    <w:rsid w:val="0031470F"/>
    <w:rsid w:val="00317EA7"/>
    <w:rsid w:val="0032004A"/>
    <w:rsid w:val="00320AA7"/>
    <w:rsid w:val="00320BC4"/>
    <w:rsid w:val="00322D42"/>
    <w:rsid w:val="00323DEC"/>
    <w:rsid w:val="00324620"/>
    <w:rsid w:val="00325552"/>
    <w:rsid w:val="00330A85"/>
    <w:rsid w:val="00332381"/>
    <w:rsid w:val="003323FA"/>
    <w:rsid w:val="00333835"/>
    <w:rsid w:val="00333F19"/>
    <w:rsid w:val="00335845"/>
    <w:rsid w:val="003366FD"/>
    <w:rsid w:val="003368DF"/>
    <w:rsid w:val="0033694E"/>
    <w:rsid w:val="00337EDF"/>
    <w:rsid w:val="00340EAC"/>
    <w:rsid w:val="0034154F"/>
    <w:rsid w:val="00342D16"/>
    <w:rsid w:val="003454B3"/>
    <w:rsid w:val="00346DEC"/>
    <w:rsid w:val="00351084"/>
    <w:rsid w:val="003519CA"/>
    <w:rsid w:val="00351E0F"/>
    <w:rsid w:val="00354311"/>
    <w:rsid w:val="00355502"/>
    <w:rsid w:val="00355B29"/>
    <w:rsid w:val="00357639"/>
    <w:rsid w:val="003601E0"/>
    <w:rsid w:val="00361072"/>
    <w:rsid w:val="0036267D"/>
    <w:rsid w:val="003640E0"/>
    <w:rsid w:val="0036569C"/>
    <w:rsid w:val="003658CE"/>
    <w:rsid w:val="00365BA4"/>
    <w:rsid w:val="00372655"/>
    <w:rsid w:val="0037324B"/>
    <w:rsid w:val="00375085"/>
    <w:rsid w:val="0037576E"/>
    <w:rsid w:val="00375BBA"/>
    <w:rsid w:val="00376870"/>
    <w:rsid w:val="0037703A"/>
    <w:rsid w:val="0037746C"/>
    <w:rsid w:val="003775F0"/>
    <w:rsid w:val="00380818"/>
    <w:rsid w:val="00382F79"/>
    <w:rsid w:val="00384BFD"/>
    <w:rsid w:val="003854E4"/>
    <w:rsid w:val="00387D38"/>
    <w:rsid w:val="00390224"/>
    <w:rsid w:val="0039070E"/>
    <w:rsid w:val="0039109A"/>
    <w:rsid w:val="00391238"/>
    <w:rsid w:val="003918D2"/>
    <w:rsid w:val="00393501"/>
    <w:rsid w:val="0039351D"/>
    <w:rsid w:val="00393A9B"/>
    <w:rsid w:val="00395A52"/>
    <w:rsid w:val="00395FF2"/>
    <w:rsid w:val="0039615D"/>
    <w:rsid w:val="00397553"/>
    <w:rsid w:val="00397C5B"/>
    <w:rsid w:val="003A094C"/>
    <w:rsid w:val="003A13B8"/>
    <w:rsid w:val="003A35D2"/>
    <w:rsid w:val="003A44FB"/>
    <w:rsid w:val="003A5CE1"/>
    <w:rsid w:val="003A72F6"/>
    <w:rsid w:val="003A7F3F"/>
    <w:rsid w:val="003B0CEF"/>
    <w:rsid w:val="003B13C9"/>
    <w:rsid w:val="003B23B1"/>
    <w:rsid w:val="003B741E"/>
    <w:rsid w:val="003C1E5F"/>
    <w:rsid w:val="003C352D"/>
    <w:rsid w:val="003C4686"/>
    <w:rsid w:val="003C488B"/>
    <w:rsid w:val="003C53DB"/>
    <w:rsid w:val="003C7649"/>
    <w:rsid w:val="003D1A36"/>
    <w:rsid w:val="003D32B7"/>
    <w:rsid w:val="003D61D4"/>
    <w:rsid w:val="003D6918"/>
    <w:rsid w:val="003D6A5C"/>
    <w:rsid w:val="003D7572"/>
    <w:rsid w:val="003D7A2C"/>
    <w:rsid w:val="003E02D4"/>
    <w:rsid w:val="003E12D4"/>
    <w:rsid w:val="003E32DF"/>
    <w:rsid w:val="003E3500"/>
    <w:rsid w:val="003E3DF5"/>
    <w:rsid w:val="003E3FE7"/>
    <w:rsid w:val="003E519F"/>
    <w:rsid w:val="003E6AEF"/>
    <w:rsid w:val="003E6C61"/>
    <w:rsid w:val="003F03A0"/>
    <w:rsid w:val="003F0B4D"/>
    <w:rsid w:val="003F1424"/>
    <w:rsid w:val="003F18D9"/>
    <w:rsid w:val="003F1C2F"/>
    <w:rsid w:val="003F32BF"/>
    <w:rsid w:val="003F5E25"/>
    <w:rsid w:val="003F6C37"/>
    <w:rsid w:val="0040161D"/>
    <w:rsid w:val="00402682"/>
    <w:rsid w:val="00402892"/>
    <w:rsid w:val="004030AE"/>
    <w:rsid w:val="00410628"/>
    <w:rsid w:val="004106F5"/>
    <w:rsid w:val="004120DF"/>
    <w:rsid w:val="00413CD6"/>
    <w:rsid w:val="00416F1C"/>
    <w:rsid w:val="004215F6"/>
    <w:rsid w:val="00421898"/>
    <w:rsid w:val="004228CA"/>
    <w:rsid w:val="00422BD6"/>
    <w:rsid w:val="00424B08"/>
    <w:rsid w:val="00427C54"/>
    <w:rsid w:val="00431266"/>
    <w:rsid w:val="0043237C"/>
    <w:rsid w:val="0043261D"/>
    <w:rsid w:val="00435B36"/>
    <w:rsid w:val="00435B6C"/>
    <w:rsid w:val="00437658"/>
    <w:rsid w:val="00437C96"/>
    <w:rsid w:val="004411D3"/>
    <w:rsid w:val="004413B6"/>
    <w:rsid w:val="004437B9"/>
    <w:rsid w:val="00447FDE"/>
    <w:rsid w:val="00452F7B"/>
    <w:rsid w:val="00453EBF"/>
    <w:rsid w:val="00454231"/>
    <w:rsid w:val="0045434D"/>
    <w:rsid w:val="0045485F"/>
    <w:rsid w:val="00456FEB"/>
    <w:rsid w:val="00457D9D"/>
    <w:rsid w:val="00460A23"/>
    <w:rsid w:val="00462450"/>
    <w:rsid w:val="00463FA9"/>
    <w:rsid w:val="004661C1"/>
    <w:rsid w:val="004676F5"/>
    <w:rsid w:val="00472C89"/>
    <w:rsid w:val="00473416"/>
    <w:rsid w:val="004740C0"/>
    <w:rsid w:val="0047633C"/>
    <w:rsid w:val="00476C8A"/>
    <w:rsid w:val="00477C2A"/>
    <w:rsid w:val="0048079D"/>
    <w:rsid w:val="00480881"/>
    <w:rsid w:val="004808C3"/>
    <w:rsid w:val="004809DE"/>
    <w:rsid w:val="00481594"/>
    <w:rsid w:val="00481B48"/>
    <w:rsid w:val="0048281D"/>
    <w:rsid w:val="0048281F"/>
    <w:rsid w:val="00485DD2"/>
    <w:rsid w:val="00486A10"/>
    <w:rsid w:val="00487AC6"/>
    <w:rsid w:val="00487DD7"/>
    <w:rsid w:val="00490221"/>
    <w:rsid w:val="00491110"/>
    <w:rsid w:val="00491C4B"/>
    <w:rsid w:val="00491E54"/>
    <w:rsid w:val="00492D11"/>
    <w:rsid w:val="0049321E"/>
    <w:rsid w:val="004932B6"/>
    <w:rsid w:val="00493B1B"/>
    <w:rsid w:val="00494D9F"/>
    <w:rsid w:val="00496AA3"/>
    <w:rsid w:val="004A1CBF"/>
    <w:rsid w:val="004A23CB"/>
    <w:rsid w:val="004A4FF0"/>
    <w:rsid w:val="004A5E73"/>
    <w:rsid w:val="004A6A0B"/>
    <w:rsid w:val="004B23A4"/>
    <w:rsid w:val="004B25BD"/>
    <w:rsid w:val="004B31E4"/>
    <w:rsid w:val="004B3E3C"/>
    <w:rsid w:val="004B4A47"/>
    <w:rsid w:val="004B5F0E"/>
    <w:rsid w:val="004C0E0A"/>
    <w:rsid w:val="004C10A2"/>
    <w:rsid w:val="004C135D"/>
    <w:rsid w:val="004C46A3"/>
    <w:rsid w:val="004C5D6C"/>
    <w:rsid w:val="004C75EF"/>
    <w:rsid w:val="004D27AC"/>
    <w:rsid w:val="004D3716"/>
    <w:rsid w:val="004D4488"/>
    <w:rsid w:val="004D4805"/>
    <w:rsid w:val="004D59D0"/>
    <w:rsid w:val="004D76E8"/>
    <w:rsid w:val="004D7E5A"/>
    <w:rsid w:val="004E1A84"/>
    <w:rsid w:val="004E5193"/>
    <w:rsid w:val="004E5604"/>
    <w:rsid w:val="004E7883"/>
    <w:rsid w:val="004F03A4"/>
    <w:rsid w:val="004F13FF"/>
    <w:rsid w:val="004F314D"/>
    <w:rsid w:val="004F5583"/>
    <w:rsid w:val="004F61C6"/>
    <w:rsid w:val="004F6B42"/>
    <w:rsid w:val="004F7418"/>
    <w:rsid w:val="00501860"/>
    <w:rsid w:val="00502F1C"/>
    <w:rsid w:val="005051B0"/>
    <w:rsid w:val="00505D97"/>
    <w:rsid w:val="00507CA8"/>
    <w:rsid w:val="005130CA"/>
    <w:rsid w:val="005134C2"/>
    <w:rsid w:val="00513978"/>
    <w:rsid w:val="0051470C"/>
    <w:rsid w:val="00514DED"/>
    <w:rsid w:val="00514F85"/>
    <w:rsid w:val="00515C51"/>
    <w:rsid w:val="0051705A"/>
    <w:rsid w:val="00517509"/>
    <w:rsid w:val="00520C77"/>
    <w:rsid w:val="00523416"/>
    <w:rsid w:val="00523BAD"/>
    <w:rsid w:val="005240AB"/>
    <w:rsid w:val="005256FF"/>
    <w:rsid w:val="005263E2"/>
    <w:rsid w:val="005267A3"/>
    <w:rsid w:val="00530E56"/>
    <w:rsid w:val="00532025"/>
    <w:rsid w:val="0053393E"/>
    <w:rsid w:val="00533A33"/>
    <w:rsid w:val="005349E2"/>
    <w:rsid w:val="00536484"/>
    <w:rsid w:val="005368EC"/>
    <w:rsid w:val="0053695D"/>
    <w:rsid w:val="00536E84"/>
    <w:rsid w:val="0054149A"/>
    <w:rsid w:val="00542FBC"/>
    <w:rsid w:val="005437EE"/>
    <w:rsid w:val="00543F81"/>
    <w:rsid w:val="0054667D"/>
    <w:rsid w:val="00547C54"/>
    <w:rsid w:val="00552303"/>
    <w:rsid w:val="005523DE"/>
    <w:rsid w:val="00554519"/>
    <w:rsid w:val="00554890"/>
    <w:rsid w:val="00555BD8"/>
    <w:rsid w:val="0055630A"/>
    <w:rsid w:val="00561321"/>
    <w:rsid w:val="0056169A"/>
    <w:rsid w:val="005619DA"/>
    <w:rsid w:val="00564F20"/>
    <w:rsid w:val="00567BB6"/>
    <w:rsid w:val="00567F8C"/>
    <w:rsid w:val="00570FE8"/>
    <w:rsid w:val="005711CD"/>
    <w:rsid w:val="0057273F"/>
    <w:rsid w:val="0057369A"/>
    <w:rsid w:val="005813CC"/>
    <w:rsid w:val="005849FB"/>
    <w:rsid w:val="0058577B"/>
    <w:rsid w:val="0058595D"/>
    <w:rsid w:val="00590ECE"/>
    <w:rsid w:val="00591DDC"/>
    <w:rsid w:val="005921BB"/>
    <w:rsid w:val="00594279"/>
    <w:rsid w:val="005945B2"/>
    <w:rsid w:val="005946A7"/>
    <w:rsid w:val="00594AE6"/>
    <w:rsid w:val="00594C2B"/>
    <w:rsid w:val="00595EFA"/>
    <w:rsid w:val="005A0170"/>
    <w:rsid w:val="005A216B"/>
    <w:rsid w:val="005A2312"/>
    <w:rsid w:val="005A2585"/>
    <w:rsid w:val="005A259C"/>
    <w:rsid w:val="005A2CB2"/>
    <w:rsid w:val="005A426B"/>
    <w:rsid w:val="005B35E1"/>
    <w:rsid w:val="005B40CF"/>
    <w:rsid w:val="005B6482"/>
    <w:rsid w:val="005B6C3E"/>
    <w:rsid w:val="005B7726"/>
    <w:rsid w:val="005B7A5C"/>
    <w:rsid w:val="005C0AC4"/>
    <w:rsid w:val="005C3AA4"/>
    <w:rsid w:val="005C42F1"/>
    <w:rsid w:val="005C47F1"/>
    <w:rsid w:val="005C76BB"/>
    <w:rsid w:val="005D04DA"/>
    <w:rsid w:val="005D0A09"/>
    <w:rsid w:val="005D2648"/>
    <w:rsid w:val="005D2A9E"/>
    <w:rsid w:val="005D332D"/>
    <w:rsid w:val="005D39C5"/>
    <w:rsid w:val="005D523B"/>
    <w:rsid w:val="005D5BFE"/>
    <w:rsid w:val="005D7CEE"/>
    <w:rsid w:val="005E14E9"/>
    <w:rsid w:val="005E1EB6"/>
    <w:rsid w:val="005E209B"/>
    <w:rsid w:val="005E4833"/>
    <w:rsid w:val="005E5598"/>
    <w:rsid w:val="005E6A40"/>
    <w:rsid w:val="005E6F74"/>
    <w:rsid w:val="005F2707"/>
    <w:rsid w:val="005F2D46"/>
    <w:rsid w:val="005F5270"/>
    <w:rsid w:val="005F7749"/>
    <w:rsid w:val="006017BB"/>
    <w:rsid w:val="00602B9A"/>
    <w:rsid w:val="00604C37"/>
    <w:rsid w:val="0060660F"/>
    <w:rsid w:val="0060717D"/>
    <w:rsid w:val="00607BDB"/>
    <w:rsid w:val="006111BA"/>
    <w:rsid w:val="0061470E"/>
    <w:rsid w:val="00615CDD"/>
    <w:rsid w:val="0061795C"/>
    <w:rsid w:val="00620833"/>
    <w:rsid w:val="00620878"/>
    <w:rsid w:val="00621B78"/>
    <w:rsid w:val="00622BD3"/>
    <w:rsid w:val="0062301D"/>
    <w:rsid w:val="00623258"/>
    <w:rsid w:val="00623F4A"/>
    <w:rsid w:val="00624234"/>
    <w:rsid w:val="0062466E"/>
    <w:rsid w:val="00625F58"/>
    <w:rsid w:val="00626208"/>
    <w:rsid w:val="00626AF8"/>
    <w:rsid w:val="00627E33"/>
    <w:rsid w:val="00630D85"/>
    <w:rsid w:val="0063227B"/>
    <w:rsid w:val="00632675"/>
    <w:rsid w:val="0063448A"/>
    <w:rsid w:val="00636459"/>
    <w:rsid w:val="006367D3"/>
    <w:rsid w:val="006403EE"/>
    <w:rsid w:val="00640BBB"/>
    <w:rsid w:val="0064210C"/>
    <w:rsid w:val="00642C49"/>
    <w:rsid w:val="00643792"/>
    <w:rsid w:val="0064464E"/>
    <w:rsid w:val="0064642F"/>
    <w:rsid w:val="006475DA"/>
    <w:rsid w:val="00650576"/>
    <w:rsid w:val="00650D78"/>
    <w:rsid w:val="00650E1D"/>
    <w:rsid w:val="00650FBF"/>
    <w:rsid w:val="0065243E"/>
    <w:rsid w:val="00653843"/>
    <w:rsid w:val="00653947"/>
    <w:rsid w:val="00654BDA"/>
    <w:rsid w:val="00655187"/>
    <w:rsid w:val="0065533C"/>
    <w:rsid w:val="00656A8A"/>
    <w:rsid w:val="00657AA4"/>
    <w:rsid w:val="00657D4B"/>
    <w:rsid w:val="006601DF"/>
    <w:rsid w:val="00660735"/>
    <w:rsid w:val="0066077D"/>
    <w:rsid w:val="00661B45"/>
    <w:rsid w:val="006628A4"/>
    <w:rsid w:val="006628EB"/>
    <w:rsid w:val="00662B3D"/>
    <w:rsid w:val="00663046"/>
    <w:rsid w:val="00663177"/>
    <w:rsid w:val="00663BF1"/>
    <w:rsid w:val="00664554"/>
    <w:rsid w:val="0066692A"/>
    <w:rsid w:val="00666FDD"/>
    <w:rsid w:val="00673E57"/>
    <w:rsid w:val="00674794"/>
    <w:rsid w:val="006764BF"/>
    <w:rsid w:val="00680111"/>
    <w:rsid w:val="0068045B"/>
    <w:rsid w:val="0068173D"/>
    <w:rsid w:val="00684100"/>
    <w:rsid w:val="006843BC"/>
    <w:rsid w:val="00685151"/>
    <w:rsid w:val="006868C3"/>
    <w:rsid w:val="006878CC"/>
    <w:rsid w:val="00690432"/>
    <w:rsid w:val="00690CB4"/>
    <w:rsid w:val="00692B96"/>
    <w:rsid w:val="00692DC7"/>
    <w:rsid w:val="0069647C"/>
    <w:rsid w:val="006A1338"/>
    <w:rsid w:val="006A29C3"/>
    <w:rsid w:val="006A7165"/>
    <w:rsid w:val="006B0D16"/>
    <w:rsid w:val="006B6115"/>
    <w:rsid w:val="006C0BE7"/>
    <w:rsid w:val="006C21A8"/>
    <w:rsid w:val="006C2834"/>
    <w:rsid w:val="006C2B87"/>
    <w:rsid w:val="006C363A"/>
    <w:rsid w:val="006C4762"/>
    <w:rsid w:val="006D1EFB"/>
    <w:rsid w:val="006D71E0"/>
    <w:rsid w:val="006D7745"/>
    <w:rsid w:val="006E0E43"/>
    <w:rsid w:val="006E1562"/>
    <w:rsid w:val="006E180F"/>
    <w:rsid w:val="006E2326"/>
    <w:rsid w:val="006E6C4B"/>
    <w:rsid w:val="006F08B3"/>
    <w:rsid w:val="006F0E54"/>
    <w:rsid w:val="006F1076"/>
    <w:rsid w:val="006F16F9"/>
    <w:rsid w:val="006F1AA1"/>
    <w:rsid w:val="006F1B24"/>
    <w:rsid w:val="006F2520"/>
    <w:rsid w:val="006F3D4B"/>
    <w:rsid w:val="006F404A"/>
    <w:rsid w:val="006F4974"/>
    <w:rsid w:val="006F53F7"/>
    <w:rsid w:val="006F5A0E"/>
    <w:rsid w:val="006F7055"/>
    <w:rsid w:val="00700382"/>
    <w:rsid w:val="00701652"/>
    <w:rsid w:val="0070234A"/>
    <w:rsid w:val="00702754"/>
    <w:rsid w:val="00703434"/>
    <w:rsid w:val="0070496C"/>
    <w:rsid w:val="00707304"/>
    <w:rsid w:val="007109BD"/>
    <w:rsid w:val="00710C79"/>
    <w:rsid w:val="0071235D"/>
    <w:rsid w:val="00712925"/>
    <w:rsid w:val="007165D2"/>
    <w:rsid w:val="0072612E"/>
    <w:rsid w:val="00726E9F"/>
    <w:rsid w:val="007274AC"/>
    <w:rsid w:val="00727AC1"/>
    <w:rsid w:val="0073238E"/>
    <w:rsid w:val="00733250"/>
    <w:rsid w:val="0073667D"/>
    <w:rsid w:val="00737653"/>
    <w:rsid w:val="00740C64"/>
    <w:rsid w:val="00741332"/>
    <w:rsid w:val="00741434"/>
    <w:rsid w:val="00741D66"/>
    <w:rsid w:val="00743CF5"/>
    <w:rsid w:val="00745005"/>
    <w:rsid w:val="00745C1F"/>
    <w:rsid w:val="00746829"/>
    <w:rsid w:val="00747557"/>
    <w:rsid w:val="00750245"/>
    <w:rsid w:val="00751A56"/>
    <w:rsid w:val="00752565"/>
    <w:rsid w:val="00755C88"/>
    <w:rsid w:val="007567E4"/>
    <w:rsid w:val="00757927"/>
    <w:rsid w:val="007632F6"/>
    <w:rsid w:val="00763745"/>
    <w:rsid w:val="00763E6F"/>
    <w:rsid w:val="007726EF"/>
    <w:rsid w:val="00772FE5"/>
    <w:rsid w:val="007738B4"/>
    <w:rsid w:val="007748FE"/>
    <w:rsid w:val="007764CB"/>
    <w:rsid w:val="007769E2"/>
    <w:rsid w:val="00780AD3"/>
    <w:rsid w:val="00781700"/>
    <w:rsid w:val="00784609"/>
    <w:rsid w:val="007851EF"/>
    <w:rsid w:val="007853B6"/>
    <w:rsid w:val="007854CD"/>
    <w:rsid w:val="00786162"/>
    <w:rsid w:val="00786EF4"/>
    <w:rsid w:val="00790870"/>
    <w:rsid w:val="00791289"/>
    <w:rsid w:val="00791FCC"/>
    <w:rsid w:val="007925C8"/>
    <w:rsid w:val="00792EEA"/>
    <w:rsid w:val="0079445F"/>
    <w:rsid w:val="00794B7E"/>
    <w:rsid w:val="007960CA"/>
    <w:rsid w:val="00796D21"/>
    <w:rsid w:val="00797973"/>
    <w:rsid w:val="007A0138"/>
    <w:rsid w:val="007A54C0"/>
    <w:rsid w:val="007A7DCC"/>
    <w:rsid w:val="007B0FC9"/>
    <w:rsid w:val="007B13F4"/>
    <w:rsid w:val="007B217F"/>
    <w:rsid w:val="007B2756"/>
    <w:rsid w:val="007B6F44"/>
    <w:rsid w:val="007B7321"/>
    <w:rsid w:val="007C28C5"/>
    <w:rsid w:val="007C43DB"/>
    <w:rsid w:val="007C6C28"/>
    <w:rsid w:val="007D0E7D"/>
    <w:rsid w:val="007D0E8D"/>
    <w:rsid w:val="007D4AE5"/>
    <w:rsid w:val="007D5F55"/>
    <w:rsid w:val="007D6391"/>
    <w:rsid w:val="007D64D3"/>
    <w:rsid w:val="007D707C"/>
    <w:rsid w:val="007E024F"/>
    <w:rsid w:val="007E0589"/>
    <w:rsid w:val="007E0D46"/>
    <w:rsid w:val="007E0E9F"/>
    <w:rsid w:val="007E11E1"/>
    <w:rsid w:val="007E14FB"/>
    <w:rsid w:val="007E2AED"/>
    <w:rsid w:val="007E2C8C"/>
    <w:rsid w:val="007E3B15"/>
    <w:rsid w:val="007E4185"/>
    <w:rsid w:val="007E4208"/>
    <w:rsid w:val="007E4366"/>
    <w:rsid w:val="007E4A77"/>
    <w:rsid w:val="007E4FFE"/>
    <w:rsid w:val="007E701B"/>
    <w:rsid w:val="007F0346"/>
    <w:rsid w:val="007F14E9"/>
    <w:rsid w:val="007F1B78"/>
    <w:rsid w:val="007F255A"/>
    <w:rsid w:val="007F463D"/>
    <w:rsid w:val="007F57BA"/>
    <w:rsid w:val="007F5A05"/>
    <w:rsid w:val="007F671D"/>
    <w:rsid w:val="00802794"/>
    <w:rsid w:val="00806B08"/>
    <w:rsid w:val="00807BB5"/>
    <w:rsid w:val="00807D61"/>
    <w:rsid w:val="0081222B"/>
    <w:rsid w:val="008122BC"/>
    <w:rsid w:val="00812E15"/>
    <w:rsid w:val="008147E8"/>
    <w:rsid w:val="0081694D"/>
    <w:rsid w:val="0081732A"/>
    <w:rsid w:val="00820237"/>
    <w:rsid w:val="0082027C"/>
    <w:rsid w:val="00820491"/>
    <w:rsid w:val="00820C08"/>
    <w:rsid w:val="00820C89"/>
    <w:rsid w:val="00820E61"/>
    <w:rsid w:val="0082197D"/>
    <w:rsid w:val="00825F82"/>
    <w:rsid w:val="00826BA0"/>
    <w:rsid w:val="00827EEB"/>
    <w:rsid w:val="008303C5"/>
    <w:rsid w:val="008343E5"/>
    <w:rsid w:val="00835127"/>
    <w:rsid w:val="00835D60"/>
    <w:rsid w:val="00837758"/>
    <w:rsid w:val="008401FD"/>
    <w:rsid w:val="008452F1"/>
    <w:rsid w:val="00846BCC"/>
    <w:rsid w:val="008506A5"/>
    <w:rsid w:val="0085150D"/>
    <w:rsid w:val="008523FE"/>
    <w:rsid w:val="008532CA"/>
    <w:rsid w:val="008562C5"/>
    <w:rsid w:val="00856F55"/>
    <w:rsid w:val="00857EC4"/>
    <w:rsid w:val="00860B33"/>
    <w:rsid w:val="00861079"/>
    <w:rsid w:val="00862484"/>
    <w:rsid w:val="00862CA3"/>
    <w:rsid w:val="00863E59"/>
    <w:rsid w:val="0086443D"/>
    <w:rsid w:val="0086612A"/>
    <w:rsid w:val="00866231"/>
    <w:rsid w:val="00866C9B"/>
    <w:rsid w:val="008670B5"/>
    <w:rsid w:val="00870ECD"/>
    <w:rsid w:val="0087129E"/>
    <w:rsid w:val="008715BD"/>
    <w:rsid w:val="00871B33"/>
    <w:rsid w:val="00872C9E"/>
    <w:rsid w:val="00872F21"/>
    <w:rsid w:val="00876564"/>
    <w:rsid w:val="008778DB"/>
    <w:rsid w:val="00880421"/>
    <w:rsid w:val="00881814"/>
    <w:rsid w:val="00882D52"/>
    <w:rsid w:val="00883FB9"/>
    <w:rsid w:val="00885A31"/>
    <w:rsid w:val="00885A63"/>
    <w:rsid w:val="008860E5"/>
    <w:rsid w:val="008861C4"/>
    <w:rsid w:val="00886976"/>
    <w:rsid w:val="00887278"/>
    <w:rsid w:val="00887955"/>
    <w:rsid w:val="00890D8E"/>
    <w:rsid w:val="00891B45"/>
    <w:rsid w:val="00892EC9"/>
    <w:rsid w:val="0089425C"/>
    <w:rsid w:val="00895A27"/>
    <w:rsid w:val="00895CD7"/>
    <w:rsid w:val="008A06FF"/>
    <w:rsid w:val="008A1473"/>
    <w:rsid w:val="008A1DDC"/>
    <w:rsid w:val="008A2415"/>
    <w:rsid w:val="008A2825"/>
    <w:rsid w:val="008A2C17"/>
    <w:rsid w:val="008A3633"/>
    <w:rsid w:val="008A53EB"/>
    <w:rsid w:val="008A719D"/>
    <w:rsid w:val="008A74E1"/>
    <w:rsid w:val="008A7715"/>
    <w:rsid w:val="008A7A28"/>
    <w:rsid w:val="008B17E1"/>
    <w:rsid w:val="008B46D2"/>
    <w:rsid w:val="008B6B3F"/>
    <w:rsid w:val="008B70F5"/>
    <w:rsid w:val="008C0317"/>
    <w:rsid w:val="008C07AF"/>
    <w:rsid w:val="008C1624"/>
    <w:rsid w:val="008C2036"/>
    <w:rsid w:val="008C2151"/>
    <w:rsid w:val="008C5996"/>
    <w:rsid w:val="008C6746"/>
    <w:rsid w:val="008C75F8"/>
    <w:rsid w:val="008D38A8"/>
    <w:rsid w:val="008D4711"/>
    <w:rsid w:val="008D6C15"/>
    <w:rsid w:val="008D748D"/>
    <w:rsid w:val="008E0F29"/>
    <w:rsid w:val="008E100F"/>
    <w:rsid w:val="008E3B20"/>
    <w:rsid w:val="008E4279"/>
    <w:rsid w:val="008E5AFC"/>
    <w:rsid w:val="008E5BFF"/>
    <w:rsid w:val="008E7024"/>
    <w:rsid w:val="008E7245"/>
    <w:rsid w:val="008E796B"/>
    <w:rsid w:val="008E7E02"/>
    <w:rsid w:val="008F23A3"/>
    <w:rsid w:val="008F4343"/>
    <w:rsid w:val="008F43C9"/>
    <w:rsid w:val="008F46A1"/>
    <w:rsid w:val="008F4750"/>
    <w:rsid w:val="008F4D95"/>
    <w:rsid w:val="008F5316"/>
    <w:rsid w:val="008F5AFC"/>
    <w:rsid w:val="00900885"/>
    <w:rsid w:val="00901C74"/>
    <w:rsid w:val="0090288E"/>
    <w:rsid w:val="00902B82"/>
    <w:rsid w:val="00903C04"/>
    <w:rsid w:val="009046CA"/>
    <w:rsid w:val="009063B6"/>
    <w:rsid w:val="00906D26"/>
    <w:rsid w:val="00910590"/>
    <w:rsid w:val="0091139E"/>
    <w:rsid w:val="00912E03"/>
    <w:rsid w:val="00914097"/>
    <w:rsid w:val="00914447"/>
    <w:rsid w:val="009169FB"/>
    <w:rsid w:val="009171C7"/>
    <w:rsid w:val="009201DA"/>
    <w:rsid w:val="00921020"/>
    <w:rsid w:val="00921168"/>
    <w:rsid w:val="0092239B"/>
    <w:rsid w:val="00927837"/>
    <w:rsid w:val="00930654"/>
    <w:rsid w:val="009310F3"/>
    <w:rsid w:val="00931546"/>
    <w:rsid w:val="00931A33"/>
    <w:rsid w:val="009335EE"/>
    <w:rsid w:val="00933CDE"/>
    <w:rsid w:val="009343BC"/>
    <w:rsid w:val="00934815"/>
    <w:rsid w:val="0094133B"/>
    <w:rsid w:val="0094304C"/>
    <w:rsid w:val="00943EB6"/>
    <w:rsid w:val="009446A1"/>
    <w:rsid w:val="00944733"/>
    <w:rsid w:val="009448CB"/>
    <w:rsid w:val="009449F1"/>
    <w:rsid w:val="0095116E"/>
    <w:rsid w:val="00952151"/>
    <w:rsid w:val="00952DEE"/>
    <w:rsid w:val="009531C0"/>
    <w:rsid w:val="00953CD1"/>
    <w:rsid w:val="009602AB"/>
    <w:rsid w:val="0096152E"/>
    <w:rsid w:val="00962A0A"/>
    <w:rsid w:val="009631A5"/>
    <w:rsid w:val="00965330"/>
    <w:rsid w:val="00967E1A"/>
    <w:rsid w:val="0097319D"/>
    <w:rsid w:val="00973E94"/>
    <w:rsid w:val="00974D74"/>
    <w:rsid w:val="00975345"/>
    <w:rsid w:val="009764A9"/>
    <w:rsid w:val="00976E1D"/>
    <w:rsid w:val="0097703E"/>
    <w:rsid w:val="0097772E"/>
    <w:rsid w:val="00977E4B"/>
    <w:rsid w:val="00980046"/>
    <w:rsid w:val="00980259"/>
    <w:rsid w:val="0098050D"/>
    <w:rsid w:val="009812A6"/>
    <w:rsid w:val="00982AB8"/>
    <w:rsid w:val="009839A8"/>
    <w:rsid w:val="00991836"/>
    <w:rsid w:val="0099437F"/>
    <w:rsid w:val="00995DE0"/>
    <w:rsid w:val="00995E3D"/>
    <w:rsid w:val="00996FA8"/>
    <w:rsid w:val="00997F68"/>
    <w:rsid w:val="009A0370"/>
    <w:rsid w:val="009A08A5"/>
    <w:rsid w:val="009A5968"/>
    <w:rsid w:val="009A71E8"/>
    <w:rsid w:val="009A7C11"/>
    <w:rsid w:val="009A7CE0"/>
    <w:rsid w:val="009B004F"/>
    <w:rsid w:val="009B20C5"/>
    <w:rsid w:val="009B24DA"/>
    <w:rsid w:val="009B2EBE"/>
    <w:rsid w:val="009B40DA"/>
    <w:rsid w:val="009B5BE7"/>
    <w:rsid w:val="009B66E2"/>
    <w:rsid w:val="009B7E11"/>
    <w:rsid w:val="009C0DCE"/>
    <w:rsid w:val="009C2C1C"/>
    <w:rsid w:val="009C4D11"/>
    <w:rsid w:val="009C5246"/>
    <w:rsid w:val="009C5B68"/>
    <w:rsid w:val="009C6CEC"/>
    <w:rsid w:val="009D12B6"/>
    <w:rsid w:val="009D1A1A"/>
    <w:rsid w:val="009D1D4B"/>
    <w:rsid w:val="009D3DCF"/>
    <w:rsid w:val="009D4ADF"/>
    <w:rsid w:val="009D749E"/>
    <w:rsid w:val="009E1067"/>
    <w:rsid w:val="009E138E"/>
    <w:rsid w:val="009E165E"/>
    <w:rsid w:val="009E5AB3"/>
    <w:rsid w:val="009E5EBC"/>
    <w:rsid w:val="009E654E"/>
    <w:rsid w:val="009E7AF7"/>
    <w:rsid w:val="009F1F7C"/>
    <w:rsid w:val="009F24CD"/>
    <w:rsid w:val="009F2B51"/>
    <w:rsid w:val="009F2F37"/>
    <w:rsid w:val="009F3E4F"/>
    <w:rsid w:val="009F50B6"/>
    <w:rsid w:val="009F58FD"/>
    <w:rsid w:val="009F66EF"/>
    <w:rsid w:val="009F76FD"/>
    <w:rsid w:val="009F7ABB"/>
    <w:rsid w:val="00A02BA0"/>
    <w:rsid w:val="00A03295"/>
    <w:rsid w:val="00A037EB"/>
    <w:rsid w:val="00A03CB1"/>
    <w:rsid w:val="00A06589"/>
    <w:rsid w:val="00A07317"/>
    <w:rsid w:val="00A07E8C"/>
    <w:rsid w:val="00A1199C"/>
    <w:rsid w:val="00A11CFE"/>
    <w:rsid w:val="00A11DFA"/>
    <w:rsid w:val="00A12382"/>
    <w:rsid w:val="00A14FFA"/>
    <w:rsid w:val="00A1531A"/>
    <w:rsid w:val="00A1548A"/>
    <w:rsid w:val="00A1562E"/>
    <w:rsid w:val="00A15D3B"/>
    <w:rsid w:val="00A162A7"/>
    <w:rsid w:val="00A16897"/>
    <w:rsid w:val="00A16B06"/>
    <w:rsid w:val="00A2065C"/>
    <w:rsid w:val="00A22769"/>
    <w:rsid w:val="00A22CF1"/>
    <w:rsid w:val="00A22F1E"/>
    <w:rsid w:val="00A234B5"/>
    <w:rsid w:val="00A2392A"/>
    <w:rsid w:val="00A2647A"/>
    <w:rsid w:val="00A27F43"/>
    <w:rsid w:val="00A340B8"/>
    <w:rsid w:val="00A3472E"/>
    <w:rsid w:val="00A37D44"/>
    <w:rsid w:val="00A42FA9"/>
    <w:rsid w:val="00A449A2"/>
    <w:rsid w:val="00A46873"/>
    <w:rsid w:val="00A4783C"/>
    <w:rsid w:val="00A54A42"/>
    <w:rsid w:val="00A54B03"/>
    <w:rsid w:val="00A55DFE"/>
    <w:rsid w:val="00A55F0E"/>
    <w:rsid w:val="00A56641"/>
    <w:rsid w:val="00A56747"/>
    <w:rsid w:val="00A568AA"/>
    <w:rsid w:val="00A56B8C"/>
    <w:rsid w:val="00A56EB7"/>
    <w:rsid w:val="00A574AB"/>
    <w:rsid w:val="00A578B2"/>
    <w:rsid w:val="00A6011F"/>
    <w:rsid w:val="00A601A0"/>
    <w:rsid w:val="00A63088"/>
    <w:rsid w:val="00A64F7A"/>
    <w:rsid w:val="00A7028D"/>
    <w:rsid w:val="00A71857"/>
    <w:rsid w:val="00A720C3"/>
    <w:rsid w:val="00A725D7"/>
    <w:rsid w:val="00A72A5C"/>
    <w:rsid w:val="00A75A18"/>
    <w:rsid w:val="00A75A45"/>
    <w:rsid w:val="00A77460"/>
    <w:rsid w:val="00A77A0F"/>
    <w:rsid w:val="00A80FBF"/>
    <w:rsid w:val="00A81C34"/>
    <w:rsid w:val="00A8203A"/>
    <w:rsid w:val="00A82659"/>
    <w:rsid w:val="00A82CBA"/>
    <w:rsid w:val="00A84B30"/>
    <w:rsid w:val="00A87A99"/>
    <w:rsid w:val="00A93194"/>
    <w:rsid w:val="00A95AFE"/>
    <w:rsid w:val="00AA0B2E"/>
    <w:rsid w:val="00AA1D42"/>
    <w:rsid w:val="00AA3C05"/>
    <w:rsid w:val="00AA44EE"/>
    <w:rsid w:val="00AA48AE"/>
    <w:rsid w:val="00AA5568"/>
    <w:rsid w:val="00AB0E03"/>
    <w:rsid w:val="00AB2957"/>
    <w:rsid w:val="00AB2CF8"/>
    <w:rsid w:val="00AB7474"/>
    <w:rsid w:val="00AC0398"/>
    <w:rsid w:val="00AC0A3E"/>
    <w:rsid w:val="00AC518C"/>
    <w:rsid w:val="00AC5746"/>
    <w:rsid w:val="00AC5E98"/>
    <w:rsid w:val="00AC6A7B"/>
    <w:rsid w:val="00AD018B"/>
    <w:rsid w:val="00AD0EFB"/>
    <w:rsid w:val="00AD2142"/>
    <w:rsid w:val="00AD30AA"/>
    <w:rsid w:val="00AD3274"/>
    <w:rsid w:val="00AD327F"/>
    <w:rsid w:val="00AD3AA9"/>
    <w:rsid w:val="00AD40DF"/>
    <w:rsid w:val="00AD4794"/>
    <w:rsid w:val="00AD4CEE"/>
    <w:rsid w:val="00AD7E4C"/>
    <w:rsid w:val="00AE1019"/>
    <w:rsid w:val="00AE14CC"/>
    <w:rsid w:val="00AE480C"/>
    <w:rsid w:val="00AE551D"/>
    <w:rsid w:val="00AE6697"/>
    <w:rsid w:val="00AF38E0"/>
    <w:rsid w:val="00AF484A"/>
    <w:rsid w:val="00AF631D"/>
    <w:rsid w:val="00AF6977"/>
    <w:rsid w:val="00B00B1E"/>
    <w:rsid w:val="00B04019"/>
    <w:rsid w:val="00B05CE4"/>
    <w:rsid w:val="00B1246A"/>
    <w:rsid w:val="00B12711"/>
    <w:rsid w:val="00B12995"/>
    <w:rsid w:val="00B1340F"/>
    <w:rsid w:val="00B14651"/>
    <w:rsid w:val="00B14EE1"/>
    <w:rsid w:val="00B162A3"/>
    <w:rsid w:val="00B165E0"/>
    <w:rsid w:val="00B17101"/>
    <w:rsid w:val="00B20716"/>
    <w:rsid w:val="00B20850"/>
    <w:rsid w:val="00B20CBE"/>
    <w:rsid w:val="00B228E3"/>
    <w:rsid w:val="00B22E33"/>
    <w:rsid w:val="00B24B5B"/>
    <w:rsid w:val="00B2592A"/>
    <w:rsid w:val="00B27A2D"/>
    <w:rsid w:val="00B27CF8"/>
    <w:rsid w:val="00B30591"/>
    <w:rsid w:val="00B36E83"/>
    <w:rsid w:val="00B40388"/>
    <w:rsid w:val="00B41A0B"/>
    <w:rsid w:val="00B427AE"/>
    <w:rsid w:val="00B43103"/>
    <w:rsid w:val="00B45D75"/>
    <w:rsid w:val="00B4603F"/>
    <w:rsid w:val="00B47ECB"/>
    <w:rsid w:val="00B524AF"/>
    <w:rsid w:val="00B529A0"/>
    <w:rsid w:val="00B54AAB"/>
    <w:rsid w:val="00B552CD"/>
    <w:rsid w:val="00B56B00"/>
    <w:rsid w:val="00B570D5"/>
    <w:rsid w:val="00B6155A"/>
    <w:rsid w:val="00B61C9F"/>
    <w:rsid w:val="00B62F51"/>
    <w:rsid w:val="00B63C0D"/>
    <w:rsid w:val="00B67579"/>
    <w:rsid w:val="00B70822"/>
    <w:rsid w:val="00B70DD5"/>
    <w:rsid w:val="00B71553"/>
    <w:rsid w:val="00B71A00"/>
    <w:rsid w:val="00B71C2A"/>
    <w:rsid w:val="00B73F68"/>
    <w:rsid w:val="00B743D3"/>
    <w:rsid w:val="00B7624B"/>
    <w:rsid w:val="00B763E4"/>
    <w:rsid w:val="00B76556"/>
    <w:rsid w:val="00B83C07"/>
    <w:rsid w:val="00B86091"/>
    <w:rsid w:val="00B86275"/>
    <w:rsid w:val="00B907A3"/>
    <w:rsid w:val="00B90A6A"/>
    <w:rsid w:val="00B95783"/>
    <w:rsid w:val="00B978A6"/>
    <w:rsid w:val="00B97BBD"/>
    <w:rsid w:val="00BA0BC5"/>
    <w:rsid w:val="00BA0C3D"/>
    <w:rsid w:val="00BA0DA1"/>
    <w:rsid w:val="00BA135F"/>
    <w:rsid w:val="00BA2266"/>
    <w:rsid w:val="00BA5F18"/>
    <w:rsid w:val="00BA6079"/>
    <w:rsid w:val="00BA746B"/>
    <w:rsid w:val="00BA7CF0"/>
    <w:rsid w:val="00BA7DDF"/>
    <w:rsid w:val="00BA7F18"/>
    <w:rsid w:val="00BB1F7E"/>
    <w:rsid w:val="00BB71D9"/>
    <w:rsid w:val="00BB72B2"/>
    <w:rsid w:val="00BB73E6"/>
    <w:rsid w:val="00BC0787"/>
    <w:rsid w:val="00BC16BF"/>
    <w:rsid w:val="00BC359C"/>
    <w:rsid w:val="00BC461C"/>
    <w:rsid w:val="00BC5AAC"/>
    <w:rsid w:val="00BC60DE"/>
    <w:rsid w:val="00BD2F82"/>
    <w:rsid w:val="00BD488E"/>
    <w:rsid w:val="00BE0244"/>
    <w:rsid w:val="00BE0A56"/>
    <w:rsid w:val="00BE1ABA"/>
    <w:rsid w:val="00BE2D64"/>
    <w:rsid w:val="00BE33F2"/>
    <w:rsid w:val="00BE3682"/>
    <w:rsid w:val="00BE3947"/>
    <w:rsid w:val="00BE3C07"/>
    <w:rsid w:val="00BE5914"/>
    <w:rsid w:val="00BE5F5C"/>
    <w:rsid w:val="00BE758F"/>
    <w:rsid w:val="00BE7695"/>
    <w:rsid w:val="00BE7BFA"/>
    <w:rsid w:val="00BF07E9"/>
    <w:rsid w:val="00BF1930"/>
    <w:rsid w:val="00BF34DE"/>
    <w:rsid w:val="00BF3C11"/>
    <w:rsid w:val="00BF3E40"/>
    <w:rsid w:val="00C00C27"/>
    <w:rsid w:val="00C04120"/>
    <w:rsid w:val="00C04D13"/>
    <w:rsid w:val="00C055A4"/>
    <w:rsid w:val="00C056D4"/>
    <w:rsid w:val="00C11DA1"/>
    <w:rsid w:val="00C120DD"/>
    <w:rsid w:val="00C14867"/>
    <w:rsid w:val="00C14CB7"/>
    <w:rsid w:val="00C16BA9"/>
    <w:rsid w:val="00C178ED"/>
    <w:rsid w:val="00C227CB"/>
    <w:rsid w:val="00C22AF2"/>
    <w:rsid w:val="00C23C7C"/>
    <w:rsid w:val="00C244AE"/>
    <w:rsid w:val="00C246BE"/>
    <w:rsid w:val="00C2553B"/>
    <w:rsid w:val="00C25F31"/>
    <w:rsid w:val="00C268D2"/>
    <w:rsid w:val="00C26F44"/>
    <w:rsid w:val="00C2771B"/>
    <w:rsid w:val="00C309D5"/>
    <w:rsid w:val="00C31D98"/>
    <w:rsid w:val="00C34EF9"/>
    <w:rsid w:val="00C42BF5"/>
    <w:rsid w:val="00C42CCE"/>
    <w:rsid w:val="00C459E1"/>
    <w:rsid w:val="00C46B2E"/>
    <w:rsid w:val="00C47AE6"/>
    <w:rsid w:val="00C47B55"/>
    <w:rsid w:val="00C53C28"/>
    <w:rsid w:val="00C5750E"/>
    <w:rsid w:val="00C60A1E"/>
    <w:rsid w:val="00C62BB3"/>
    <w:rsid w:val="00C62C19"/>
    <w:rsid w:val="00C63089"/>
    <w:rsid w:val="00C63BAB"/>
    <w:rsid w:val="00C63BD8"/>
    <w:rsid w:val="00C641DA"/>
    <w:rsid w:val="00C64D38"/>
    <w:rsid w:val="00C66858"/>
    <w:rsid w:val="00C67179"/>
    <w:rsid w:val="00C7057E"/>
    <w:rsid w:val="00C71A83"/>
    <w:rsid w:val="00C73772"/>
    <w:rsid w:val="00C739CF"/>
    <w:rsid w:val="00C73AF6"/>
    <w:rsid w:val="00C745BD"/>
    <w:rsid w:val="00C74E78"/>
    <w:rsid w:val="00C75BE1"/>
    <w:rsid w:val="00C75FB6"/>
    <w:rsid w:val="00C76DF6"/>
    <w:rsid w:val="00C76ECF"/>
    <w:rsid w:val="00C76F75"/>
    <w:rsid w:val="00C77D20"/>
    <w:rsid w:val="00C82F78"/>
    <w:rsid w:val="00C832AA"/>
    <w:rsid w:val="00C83B97"/>
    <w:rsid w:val="00C853B7"/>
    <w:rsid w:val="00C85AFC"/>
    <w:rsid w:val="00C8628E"/>
    <w:rsid w:val="00C8668A"/>
    <w:rsid w:val="00C87C7B"/>
    <w:rsid w:val="00C902EF"/>
    <w:rsid w:val="00C94CBB"/>
    <w:rsid w:val="00C94E46"/>
    <w:rsid w:val="00C94F70"/>
    <w:rsid w:val="00C95D7A"/>
    <w:rsid w:val="00C966BA"/>
    <w:rsid w:val="00C96B80"/>
    <w:rsid w:val="00C9701A"/>
    <w:rsid w:val="00CA1E57"/>
    <w:rsid w:val="00CA2281"/>
    <w:rsid w:val="00CA6152"/>
    <w:rsid w:val="00CA6435"/>
    <w:rsid w:val="00CB0045"/>
    <w:rsid w:val="00CB02F8"/>
    <w:rsid w:val="00CB1CB6"/>
    <w:rsid w:val="00CB218D"/>
    <w:rsid w:val="00CB53D7"/>
    <w:rsid w:val="00CB56FE"/>
    <w:rsid w:val="00CB6EEC"/>
    <w:rsid w:val="00CC00E5"/>
    <w:rsid w:val="00CC01F3"/>
    <w:rsid w:val="00CC1D39"/>
    <w:rsid w:val="00CC2045"/>
    <w:rsid w:val="00CC241C"/>
    <w:rsid w:val="00CC29D9"/>
    <w:rsid w:val="00CC3ED9"/>
    <w:rsid w:val="00CC4800"/>
    <w:rsid w:val="00CC604B"/>
    <w:rsid w:val="00CC6EF2"/>
    <w:rsid w:val="00CC73B2"/>
    <w:rsid w:val="00CD0B88"/>
    <w:rsid w:val="00CD1D4A"/>
    <w:rsid w:val="00CD36FE"/>
    <w:rsid w:val="00CD6ED7"/>
    <w:rsid w:val="00CE0EA7"/>
    <w:rsid w:val="00CE1D07"/>
    <w:rsid w:val="00CE3F7B"/>
    <w:rsid w:val="00CE5A09"/>
    <w:rsid w:val="00CE5BB7"/>
    <w:rsid w:val="00CE6AEA"/>
    <w:rsid w:val="00CE7C89"/>
    <w:rsid w:val="00CF3FEE"/>
    <w:rsid w:val="00CF551B"/>
    <w:rsid w:val="00CF7F1C"/>
    <w:rsid w:val="00D00121"/>
    <w:rsid w:val="00D00A7E"/>
    <w:rsid w:val="00D03290"/>
    <w:rsid w:val="00D03574"/>
    <w:rsid w:val="00D03B0B"/>
    <w:rsid w:val="00D04E8C"/>
    <w:rsid w:val="00D04F82"/>
    <w:rsid w:val="00D05B70"/>
    <w:rsid w:val="00D067D3"/>
    <w:rsid w:val="00D068E9"/>
    <w:rsid w:val="00D104CB"/>
    <w:rsid w:val="00D11212"/>
    <w:rsid w:val="00D11BC0"/>
    <w:rsid w:val="00D1713C"/>
    <w:rsid w:val="00D17371"/>
    <w:rsid w:val="00D2087A"/>
    <w:rsid w:val="00D20ADC"/>
    <w:rsid w:val="00D2117A"/>
    <w:rsid w:val="00D233B8"/>
    <w:rsid w:val="00D240EA"/>
    <w:rsid w:val="00D24B30"/>
    <w:rsid w:val="00D252ED"/>
    <w:rsid w:val="00D27717"/>
    <w:rsid w:val="00D30297"/>
    <w:rsid w:val="00D3142B"/>
    <w:rsid w:val="00D33AB9"/>
    <w:rsid w:val="00D33FCB"/>
    <w:rsid w:val="00D3425C"/>
    <w:rsid w:val="00D34498"/>
    <w:rsid w:val="00D35125"/>
    <w:rsid w:val="00D35F51"/>
    <w:rsid w:val="00D42676"/>
    <w:rsid w:val="00D44CF7"/>
    <w:rsid w:val="00D46577"/>
    <w:rsid w:val="00D504F9"/>
    <w:rsid w:val="00D51504"/>
    <w:rsid w:val="00D528C7"/>
    <w:rsid w:val="00D52AA3"/>
    <w:rsid w:val="00D52D80"/>
    <w:rsid w:val="00D53A23"/>
    <w:rsid w:val="00D55C1D"/>
    <w:rsid w:val="00D55C61"/>
    <w:rsid w:val="00D56ABB"/>
    <w:rsid w:val="00D57AA5"/>
    <w:rsid w:val="00D61169"/>
    <w:rsid w:val="00D64066"/>
    <w:rsid w:val="00D65098"/>
    <w:rsid w:val="00D67A3D"/>
    <w:rsid w:val="00D67B0D"/>
    <w:rsid w:val="00D70DFF"/>
    <w:rsid w:val="00D70EFB"/>
    <w:rsid w:val="00D733EB"/>
    <w:rsid w:val="00D76094"/>
    <w:rsid w:val="00D76CC7"/>
    <w:rsid w:val="00D77315"/>
    <w:rsid w:val="00D7790D"/>
    <w:rsid w:val="00D77A0A"/>
    <w:rsid w:val="00D77BC1"/>
    <w:rsid w:val="00D77F4C"/>
    <w:rsid w:val="00D81D6B"/>
    <w:rsid w:val="00D82343"/>
    <w:rsid w:val="00D82EEE"/>
    <w:rsid w:val="00D84929"/>
    <w:rsid w:val="00D84EB4"/>
    <w:rsid w:val="00D8509A"/>
    <w:rsid w:val="00D87F07"/>
    <w:rsid w:val="00D903F1"/>
    <w:rsid w:val="00D90EE6"/>
    <w:rsid w:val="00D91D6B"/>
    <w:rsid w:val="00D932C8"/>
    <w:rsid w:val="00D94627"/>
    <w:rsid w:val="00D9557F"/>
    <w:rsid w:val="00DA0E1E"/>
    <w:rsid w:val="00DA16D4"/>
    <w:rsid w:val="00DA252E"/>
    <w:rsid w:val="00DA3B7E"/>
    <w:rsid w:val="00DA3F26"/>
    <w:rsid w:val="00DA4E29"/>
    <w:rsid w:val="00DB0C69"/>
    <w:rsid w:val="00DB1F88"/>
    <w:rsid w:val="00DB20D6"/>
    <w:rsid w:val="00DB2D1B"/>
    <w:rsid w:val="00DB6D85"/>
    <w:rsid w:val="00DB6E41"/>
    <w:rsid w:val="00DB7E73"/>
    <w:rsid w:val="00DC288B"/>
    <w:rsid w:val="00DC3CC3"/>
    <w:rsid w:val="00DC40EC"/>
    <w:rsid w:val="00DC559C"/>
    <w:rsid w:val="00DC5DCA"/>
    <w:rsid w:val="00DC65B9"/>
    <w:rsid w:val="00DC7905"/>
    <w:rsid w:val="00DD0D94"/>
    <w:rsid w:val="00DD2A62"/>
    <w:rsid w:val="00DD452C"/>
    <w:rsid w:val="00DD5C89"/>
    <w:rsid w:val="00DD68A0"/>
    <w:rsid w:val="00DD6973"/>
    <w:rsid w:val="00DD7A85"/>
    <w:rsid w:val="00DD7E15"/>
    <w:rsid w:val="00DE0629"/>
    <w:rsid w:val="00DE07A3"/>
    <w:rsid w:val="00DE0C53"/>
    <w:rsid w:val="00DE19D1"/>
    <w:rsid w:val="00DE2C28"/>
    <w:rsid w:val="00DE30A4"/>
    <w:rsid w:val="00DE4A49"/>
    <w:rsid w:val="00DE60F0"/>
    <w:rsid w:val="00DF0C3C"/>
    <w:rsid w:val="00DF13B5"/>
    <w:rsid w:val="00DF2660"/>
    <w:rsid w:val="00DF287F"/>
    <w:rsid w:val="00DF2DF2"/>
    <w:rsid w:val="00DF3A5F"/>
    <w:rsid w:val="00DF55E4"/>
    <w:rsid w:val="00DF59BE"/>
    <w:rsid w:val="00DF5BE5"/>
    <w:rsid w:val="00DF7D5E"/>
    <w:rsid w:val="00E00F54"/>
    <w:rsid w:val="00E01FB8"/>
    <w:rsid w:val="00E036D9"/>
    <w:rsid w:val="00E03FDB"/>
    <w:rsid w:val="00E052E7"/>
    <w:rsid w:val="00E057DB"/>
    <w:rsid w:val="00E064B4"/>
    <w:rsid w:val="00E13953"/>
    <w:rsid w:val="00E14193"/>
    <w:rsid w:val="00E14321"/>
    <w:rsid w:val="00E156F3"/>
    <w:rsid w:val="00E20E6A"/>
    <w:rsid w:val="00E2419C"/>
    <w:rsid w:val="00E25173"/>
    <w:rsid w:val="00E25F90"/>
    <w:rsid w:val="00E27355"/>
    <w:rsid w:val="00E30873"/>
    <w:rsid w:val="00E30CBE"/>
    <w:rsid w:val="00E33F9C"/>
    <w:rsid w:val="00E340B2"/>
    <w:rsid w:val="00E34399"/>
    <w:rsid w:val="00E34F02"/>
    <w:rsid w:val="00E3555A"/>
    <w:rsid w:val="00E358E9"/>
    <w:rsid w:val="00E37662"/>
    <w:rsid w:val="00E42057"/>
    <w:rsid w:val="00E43762"/>
    <w:rsid w:val="00E439B8"/>
    <w:rsid w:val="00E44C74"/>
    <w:rsid w:val="00E44D70"/>
    <w:rsid w:val="00E450ED"/>
    <w:rsid w:val="00E45307"/>
    <w:rsid w:val="00E46FFB"/>
    <w:rsid w:val="00E47C8C"/>
    <w:rsid w:val="00E50100"/>
    <w:rsid w:val="00E50CFF"/>
    <w:rsid w:val="00E51015"/>
    <w:rsid w:val="00E524CB"/>
    <w:rsid w:val="00E54099"/>
    <w:rsid w:val="00E54E98"/>
    <w:rsid w:val="00E55EF2"/>
    <w:rsid w:val="00E56C9E"/>
    <w:rsid w:val="00E57E9E"/>
    <w:rsid w:val="00E614AC"/>
    <w:rsid w:val="00E62E8E"/>
    <w:rsid w:val="00E63B21"/>
    <w:rsid w:val="00E66D01"/>
    <w:rsid w:val="00E704C1"/>
    <w:rsid w:val="00E70517"/>
    <w:rsid w:val="00E7178E"/>
    <w:rsid w:val="00E71B2F"/>
    <w:rsid w:val="00E71C0A"/>
    <w:rsid w:val="00E728E1"/>
    <w:rsid w:val="00E72E76"/>
    <w:rsid w:val="00E731D6"/>
    <w:rsid w:val="00E749ED"/>
    <w:rsid w:val="00E80E03"/>
    <w:rsid w:val="00E823FB"/>
    <w:rsid w:val="00E82417"/>
    <w:rsid w:val="00E84348"/>
    <w:rsid w:val="00E843F0"/>
    <w:rsid w:val="00E85D64"/>
    <w:rsid w:val="00E86818"/>
    <w:rsid w:val="00E86E64"/>
    <w:rsid w:val="00E875CD"/>
    <w:rsid w:val="00E921EE"/>
    <w:rsid w:val="00E93419"/>
    <w:rsid w:val="00E93B89"/>
    <w:rsid w:val="00E95656"/>
    <w:rsid w:val="00E95FDC"/>
    <w:rsid w:val="00E967E0"/>
    <w:rsid w:val="00EA0D15"/>
    <w:rsid w:val="00EA5961"/>
    <w:rsid w:val="00EA5C4E"/>
    <w:rsid w:val="00EB131E"/>
    <w:rsid w:val="00EB24A8"/>
    <w:rsid w:val="00EB3058"/>
    <w:rsid w:val="00EB4680"/>
    <w:rsid w:val="00EB5061"/>
    <w:rsid w:val="00EB6EE0"/>
    <w:rsid w:val="00EC0310"/>
    <w:rsid w:val="00EC0F9E"/>
    <w:rsid w:val="00EC2DE5"/>
    <w:rsid w:val="00EC3609"/>
    <w:rsid w:val="00EC446E"/>
    <w:rsid w:val="00EC4681"/>
    <w:rsid w:val="00EC5614"/>
    <w:rsid w:val="00EC6255"/>
    <w:rsid w:val="00EC62EB"/>
    <w:rsid w:val="00EC6EE4"/>
    <w:rsid w:val="00EC7300"/>
    <w:rsid w:val="00EC76B4"/>
    <w:rsid w:val="00EC7817"/>
    <w:rsid w:val="00EC7BBB"/>
    <w:rsid w:val="00ED0C8C"/>
    <w:rsid w:val="00ED1035"/>
    <w:rsid w:val="00ED1273"/>
    <w:rsid w:val="00ED5B6A"/>
    <w:rsid w:val="00ED686C"/>
    <w:rsid w:val="00EE139D"/>
    <w:rsid w:val="00EE35E2"/>
    <w:rsid w:val="00EE610A"/>
    <w:rsid w:val="00EE76B7"/>
    <w:rsid w:val="00EF0C8D"/>
    <w:rsid w:val="00EF2332"/>
    <w:rsid w:val="00EF53C5"/>
    <w:rsid w:val="00F01EB4"/>
    <w:rsid w:val="00F03135"/>
    <w:rsid w:val="00F0360C"/>
    <w:rsid w:val="00F03F24"/>
    <w:rsid w:val="00F05273"/>
    <w:rsid w:val="00F07519"/>
    <w:rsid w:val="00F14498"/>
    <w:rsid w:val="00F14946"/>
    <w:rsid w:val="00F16021"/>
    <w:rsid w:val="00F20B6E"/>
    <w:rsid w:val="00F22488"/>
    <w:rsid w:val="00F2372E"/>
    <w:rsid w:val="00F24382"/>
    <w:rsid w:val="00F24CD9"/>
    <w:rsid w:val="00F269C4"/>
    <w:rsid w:val="00F26D7D"/>
    <w:rsid w:val="00F27975"/>
    <w:rsid w:val="00F306B8"/>
    <w:rsid w:val="00F307F4"/>
    <w:rsid w:val="00F310CC"/>
    <w:rsid w:val="00F317BF"/>
    <w:rsid w:val="00F37DEB"/>
    <w:rsid w:val="00F4045F"/>
    <w:rsid w:val="00F408FF"/>
    <w:rsid w:val="00F40988"/>
    <w:rsid w:val="00F41E34"/>
    <w:rsid w:val="00F432DC"/>
    <w:rsid w:val="00F454AF"/>
    <w:rsid w:val="00F47198"/>
    <w:rsid w:val="00F4739A"/>
    <w:rsid w:val="00F52A2D"/>
    <w:rsid w:val="00F5332A"/>
    <w:rsid w:val="00F5454A"/>
    <w:rsid w:val="00F5577C"/>
    <w:rsid w:val="00F56DFE"/>
    <w:rsid w:val="00F60AF7"/>
    <w:rsid w:val="00F64195"/>
    <w:rsid w:val="00F6427E"/>
    <w:rsid w:val="00F6771A"/>
    <w:rsid w:val="00F70652"/>
    <w:rsid w:val="00F70CA4"/>
    <w:rsid w:val="00F70FB6"/>
    <w:rsid w:val="00F712F3"/>
    <w:rsid w:val="00F71E6A"/>
    <w:rsid w:val="00F74229"/>
    <w:rsid w:val="00F7432B"/>
    <w:rsid w:val="00F76466"/>
    <w:rsid w:val="00F80309"/>
    <w:rsid w:val="00F80948"/>
    <w:rsid w:val="00F82527"/>
    <w:rsid w:val="00F82DBB"/>
    <w:rsid w:val="00F848E1"/>
    <w:rsid w:val="00F87A64"/>
    <w:rsid w:val="00F90C42"/>
    <w:rsid w:val="00F9293B"/>
    <w:rsid w:val="00F94546"/>
    <w:rsid w:val="00F95BE0"/>
    <w:rsid w:val="00F9693B"/>
    <w:rsid w:val="00F97E05"/>
    <w:rsid w:val="00FA0AD9"/>
    <w:rsid w:val="00FA3428"/>
    <w:rsid w:val="00FA6D5F"/>
    <w:rsid w:val="00FA7377"/>
    <w:rsid w:val="00FB31A4"/>
    <w:rsid w:val="00FB392B"/>
    <w:rsid w:val="00FB40A7"/>
    <w:rsid w:val="00FB4ADC"/>
    <w:rsid w:val="00FB4E0A"/>
    <w:rsid w:val="00FB5235"/>
    <w:rsid w:val="00FB55E9"/>
    <w:rsid w:val="00FB7B5D"/>
    <w:rsid w:val="00FC0788"/>
    <w:rsid w:val="00FC094A"/>
    <w:rsid w:val="00FC0C7F"/>
    <w:rsid w:val="00FC2250"/>
    <w:rsid w:val="00FC507C"/>
    <w:rsid w:val="00FC6DC1"/>
    <w:rsid w:val="00FC75EF"/>
    <w:rsid w:val="00FD0E69"/>
    <w:rsid w:val="00FD17EE"/>
    <w:rsid w:val="00FD4FF3"/>
    <w:rsid w:val="00FE0EB5"/>
    <w:rsid w:val="00FE14A4"/>
    <w:rsid w:val="00FE2A44"/>
    <w:rsid w:val="00FE32FD"/>
    <w:rsid w:val="00FE3AF3"/>
    <w:rsid w:val="00FE4899"/>
    <w:rsid w:val="00FE5837"/>
    <w:rsid w:val="00FE62BF"/>
    <w:rsid w:val="00FF2664"/>
    <w:rsid w:val="00FF3402"/>
    <w:rsid w:val="00FF351E"/>
    <w:rsid w:val="00FF3EA7"/>
    <w:rsid w:val="00FF542D"/>
    <w:rsid w:val="00FF54FD"/>
    <w:rsid w:val="00FF631B"/>
    <w:rsid w:val="00FF663F"/>
    <w:rsid w:val="00FF66A4"/>
    <w:rsid w:val="00FF7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A995D"/>
  <w15:docId w15:val="{4BED3B82-5330-4581-8EAB-9789940A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D7D"/>
    <w:rPr>
      <w:sz w:val="24"/>
      <w:szCs w:val="24"/>
    </w:rPr>
  </w:style>
  <w:style w:type="paragraph" w:styleId="Titre1">
    <w:name w:val="heading 1"/>
    <w:basedOn w:val="Normal"/>
    <w:link w:val="Titre1Car"/>
    <w:uiPriority w:val="9"/>
    <w:qFormat/>
    <w:rsid w:val="00626208"/>
    <w:pPr>
      <w:spacing w:line="348" w:lineRule="auto"/>
      <w:outlineLvl w:val="0"/>
    </w:pPr>
    <w:rPr>
      <w:rFonts w:eastAsiaTheme="minorEastAsia"/>
      <w:b/>
      <w:bCs/>
      <w:color w:val="0076CC"/>
      <w:kern w:val="36"/>
      <w:sz w:val="31"/>
      <w:szCs w:val="31"/>
      <w:lang w:val="de-DE" w:eastAsia="de-DE" w:bidi="de-DE"/>
    </w:rPr>
  </w:style>
  <w:style w:type="paragraph" w:styleId="Titre2">
    <w:name w:val="heading 2"/>
    <w:basedOn w:val="Normal"/>
    <w:link w:val="Titre2Car"/>
    <w:uiPriority w:val="9"/>
    <w:qFormat/>
    <w:rsid w:val="00626208"/>
    <w:pPr>
      <w:spacing w:before="210" w:after="45"/>
      <w:outlineLvl w:val="1"/>
    </w:pPr>
    <w:rPr>
      <w:rFonts w:eastAsiaTheme="minorEastAsia"/>
      <w:b/>
      <w:bCs/>
      <w:sz w:val="28"/>
      <w:szCs w:val="28"/>
      <w:lang w:val="de-DE" w:eastAsia="de-DE" w:bidi="de-DE"/>
    </w:rPr>
  </w:style>
  <w:style w:type="paragraph" w:styleId="Titre3">
    <w:name w:val="heading 3"/>
    <w:basedOn w:val="Normal"/>
    <w:link w:val="Titre3Car"/>
    <w:uiPriority w:val="9"/>
    <w:qFormat/>
    <w:rsid w:val="00626208"/>
    <w:pPr>
      <w:spacing w:before="210"/>
      <w:outlineLvl w:val="2"/>
    </w:pPr>
    <w:rPr>
      <w:rFonts w:eastAsiaTheme="minorEastAsia"/>
      <w:b/>
      <w:bCs/>
      <w:color w:val="474747"/>
      <w:lang w:val="de-DE" w:eastAsia="de-DE" w:bidi="de-DE"/>
    </w:rPr>
  </w:style>
  <w:style w:type="paragraph" w:styleId="Titre4">
    <w:name w:val="heading 4"/>
    <w:basedOn w:val="Normal"/>
    <w:link w:val="Titre4Car"/>
    <w:uiPriority w:val="9"/>
    <w:qFormat/>
    <w:rsid w:val="00626208"/>
    <w:pPr>
      <w:spacing w:before="210" w:after="210"/>
      <w:outlineLvl w:val="3"/>
    </w:pPr>
    <w:rPr>
      <w:rFonts w:eastAsiaTheme="minorEastAsia"/>
      <w:b/>
      <w:bCs/>
      <w:sz w:val="31"/>
      <w:szCs w:val="31"/>
      <w:lang w:val="de-DE" w:eastAsia="de-DE" w:bidi="de-DE"/>
    </w:rPr>
  </w:style>
  <w:style w:type="paragraph" w:styleId="Titre5">
    <w:name w:val="heading 5"/>
    <w:basedOn w:val="Normal"/>
    <w:link w:val="Titre5Car"/>
    <w:uiPriority w:val="9"/>
    <w:qFormat/>
    <w:rsid w:val="00626208"/>
    <w:pPr>
      <w:spacing w:before="210" w:after="210"/>
      <w:outlineLvl w:val="4"/>
    </w:pPr>
    <w:rPr>
      <w:rFonts w:eastAsiaTheme="minorEastAsia"/>
      <w:b/>
      <w:bCs/>
      <w:lang w:val="de-DE" w:eastAsia="de-DE" w:bidi="de-DE"/>
    </w:rPr>
  </w:style>
  <w:style w:type="paragraph" w:styleId="Titre6">
    <w:name w:val="heading 6"/>
    <w:basedOn w:val="Normal"/>
    <w:link w:val="Titre6Car"/>
    <w:uiPriority w:val="9"/>
    <w:qFormat/>
    <w:rsid w:val="00626208"/>
    <w:pPr>
      <w:spacing w:before="210" w:after="210"/>
      <w:outlineLvl w:val="5"/>
    </w:pPr>
    <w:rPr>
      <w:rFonts w:eastAsiaTheme="minorEastAsia"/>
      <w:b/>
      <w:bCs/>
      <w:sz w:val="17"/>
      <w:szCs w:val="17"/>
      <w:lang w:val="de-DE" w:eastAsia="de-DE" w:bidi="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rsid w:val="005E6F74"/>
    <w:rPr>
      <w:rFonts w:ascii="Tahoma" w:hAnsi="Tahoma" w:cs="Tahoma"/>
      <w:sz w:val="16"/>
      <w:szCs w:val="16"/>
    </w:rPr>
  </w:style>
  <w:style w:type="character" w:customStyle="1" w:styleId="TextedebullesCar">
    <w:name w:val="Texte de bulles Car"/>
    <w:basedOn w:val="Policepardfaut"/>
    <w:link w:val="Textedebulles"/>
    <w:uiPriority w:val="99"/>
    <w:rsid w:val="005E6F74"/>
    <w:rPr>
      <w:rFonts w:ascii="Tahoma" w:hAnsi="Tahoma" w:cs="Tahoma"/>
      <w:sz w:val="16"/>
      <w:szCs w:val="16"/>
    </w:rPr>
  </w:style>
  <w:style w:type="character" w:customStyle="1" w:styleId="Titre1Car">
    <w:name w:val="Titre 1 Car"/>
    <w:basedOn w:val="Policepardfaut"/>
    <w:link w:val="Titre1"/>
    <w:uiPriority w:val="9"/>
    <w:rsid w:val="00626208"/>
    <w:rPr>
      <w:rFonts w:eastAsiaTheme="minorEastAsia"/>
      <w:b/>
      <w:bCs/>
      <w:color w:val="0076CC"/>
      <w:kern w:val="36"/>
      <w:sz w:val="31"/>
      <w:szCs w:val="31"/>
      <w:lang w:val="de-DE" w:eastAsia="de-DE" w:bidi="de-DE"/>
    </w:rPr>
  </w:style>
  <w:style w:type="character" w:customStyle="1" w:styleId="Titre2Car">
    <w:name w:val="Titre 2 Car"/>
    <w:basedOn w:val="Policepardfaut"/>
    <w:link w:val="Titre2"/>
    <w:uiPriority w:val="9"/>
    <w:rsid w:val="00626208"/>
    <w:rPr>
      <w:rFonts w:eastAsiaTheme="minorEastAsia"/>
      <w:b/>
      <w:bCs/>
      <w:sz w:val="28"/>
      <w:szCs w:val="28"/>
      <w:lang w:val="de-DE" w:eastAsia="de-DE" w:bidi="de-DE"/>
    </w:rPr>
  </w:style>
  <w:style w:type="character" w:customStyle="1" w:styleId="Titre3Car">
    <w:name w:val="Titre 3 Car"/>
    <w:basedOn w:val="Policepardfaut"/>
    <w:link w:val="Titre3"/>
    <w:uiPriority w:val="9"/>
    <w:rsid w:val="00626208"/>
    <w:rPr>
      <w:rFonts w:eastAsiaTheme="minorEastAsia"/>
      <w:b/>
      <w:bCs/>
      <w:color w:val="474747"/>
      <w:sz w:val="24"/>
      <w:szCs w:val="24"/>
      <w:lang w:val="de-DE" w:eastAsia="de-DE" w:bidi="de-DE"/>
    </w:rPr>
  </w:style>
  <w:style w:type="character" w:customStyle="1" w:styleId="Titre4Car">
    <w:name w:val="Titre 4 Car"/>
    <w:basedOn w:val="Policepardfaut"/>
    <w:link w:val="Titre4"/>
    <w:uiPriority w:val="9"/>
    <w:rsid w:val="00626208"/>
    <w:rPr>
      <w:rFonts w:eastAsiaTheme="minorEastAsia"/>
      <w:b/>
      <w:bCs/>
      <w:sz w:val="31"/>
      <w:szCs w:val="31"/>
      <w:lang w:val="de-DE" w:eastAsia="de-DE" w:bidi="de-DE"/>
    </w:rPr>
  </w:style>
  <w:style w:type="character" w:customStyle="1" w:styleId="Titre5Car">
    <w:name w:val="Titre 5 Car"/>
    <w:basedOn w:val="Policepardfaut"/>
    <w:link w:val="Titre5"/>
    <w:uiPriority w:val="9"/>
    <w:rsid w:val="00626208"/>
    <w:rPr>
      <w:rFonts w:eastAsiaTheme="minorEastAsia"/>
      <w:b/>
      <w:bCs/>
      <w:sz w:val="24"/>
      <w:szCs w:val="24"/>
      <w:lang w:val="de-DE" w:eastAsia="de-DE" w:bidi="de-DE"/>
    </w:rPr>
  </w:style>
  <w:style w:type="character" w:customStyle="1" w:styleId="Titre6Car">
    <w:name w:val="Titre 6 Car"/>
    <w:basedOn w:val="Policepardfaut"/>
    <w:link w:val="Titre6"/>
    <w:uiPriority w:val="9"/>
    <w:rsid w:val="00626208"/>
    <w:rPr>
      <w:rFonts w:eastAsiaTheme="minorEastAsia"/>
      <w:b/>
      <w:bCs/>
      <w:sz w:val="17"/>
      <w:szCs w:val="17"/>
      <w:lang w:val="de-DE" w:eastAsia="de-DE" w:bidi="de-DE"/>
    </w:rPr>
  </w:style>
  <w:style w:type="character" w:customStyle="1" w:styleId="En-tteCar">
    <w:name w:val="En-tête Car"/>
    <w:basedOn w:val="Policepardfaut"/>
    <w:link w:val="En-tte"/>
    <w:uiPriority w:val="99"/>
    <w:rsid w:val="00626208"/>
    <w:rPr>
      <w:rFonts w:eastAsiaTheme="minorEastAsia"/>
      <w:sz w:val="24"/>
      <w:szCs w:val="24"/>
      <w:lang w:val="de-DE" w:eastAsia="de-DE" w:bidi="de-DE"/>
    </w:rPr>
  </w:style>
  <w:style w:type="paragraph" w:styleId="En-tte">
    <w:name w:val="header"/>
    <w:basedOn w:val="Normal"/>
    <w:link w:val="En-tteCar"/>
    <w:uiPriority w:val="99"/>
    <w:unhideWhenUsed/>
    <w:rsid w:val="00626208"/>
    <w:pPr>
      <w:tabs>
        <w:tab w:val="center" w:pos="4536"/>
        <w:tab w:val="right" w:pos="9072"/>
      </w:tabs>
    </w:pPr>
    <w:rPr>
      <w:rFonts w:eastAsiaTheme="minorEastAsia"/>
      <w:lang w:val="de-DE" w:eastAsia="de-DE" w:bidi="de-DE"/>
    </w:rPr>
  </w:style>
  <w:style w:type="character" w:customStyle="1" w:styleId="PieddepageCar">
    <w:name w:val="Pied de page Car"/>
    <w:basedOn w:val="Policepardfaut"/>
    <w:link w:val="Pieddepage"/>
    <w:uiPriority w:val="99"/>
    <w:rsid w:val="00626208"/>
    <w:rPr>
      <w:rFonts w:eastAsiaTheme="minorEastAsia"/>
      <w:sz w:val="24"/>
      <w:szCs w:val="24"/>
      <w:lang w:val="de-DE" w:eastAsia="de-DE" w:bidi="de-DE"/>
    </w:rPr>
  </w:style>
  <w:style w:type="paragraph" w:styleId="Pieddepage">
    <w:name w:val="footer"/>
    <w:basedOn w:val="Normal"/>
    <w:link w:val="PieddepageCar"/>
    <w:uiPriority w:val="99"/>
    <w:unhideWhenUsed/>
    <w:rsid w:val="00626208"/>
    <w:pPr>
      <w:tabs>
        <w:tab w:val="center" w:pos="4536"/>
        <w:tab w:val="right" w:pos="9072"/>
      </w:tabs>
    </w:pPr>
    <w:rPr>
      <w:rFonts w:eastAsiaTheme="minorEastAsia"/>
      <w:lang w:val="de-DE" w:eastAsia="de-DE" w:bidi="de-DE"/>
    </w:rPr>
  </w:style>
  <w:style w:type="paragraph" w:customStyle="1" w:styleId="Level1">
    <w:name w:val="Level 1"/>
    <w:basedOn w:val="Normal"/>
    <w:uiPriority w:val="99"/>
    <w:rsid w:val="00881814"/>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EE35E2"/>
    <w:pPr>
      <w:ind w:left="720"/>
      <w:contextualSpacing/>
    </w:pPr>
    <w:rPr>
      <w:rFonts w:eastAsiaTheme="minorHAnsi" w:cstheme="minorBidi"/>
      <w:szCs w:val="22"/>
      <w:lang w:val="de-DE" w:eastAsia="de-DE" w:bidi="de-DE"/>
    </w:rPr>
  </w:style>
  <w:style w:type="table" w:styleId="Grilledutableau">
    <w:name w:val="Table Grid"/>
    <w:basedOn w:val="TableauNormal"/>
    <w:rsid w:val="00496AA3"/>
    <w:rPr>
      <w:rFonts w:eastAsiaTheme="minorHAnsi" w:cstheme="minorBidi"/>
      <w:sz w:val="24"/>
      <w:szCs w:val="22"/>
      <w:lang w:val="de-DE" w:eastAsia="de-DE" w:bidi="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623258"/>
    <w:rPr>
      <w:sz w:val="20"/>
      <w:szCs w:val="20"/>
    </w:rPr>
  </w:style>
  <w:style w:type="character" w:customStyle="1" w:styleId="NotedebasdepageCar">
    <w:name w:val="Note de bas de page Car"/>
    <w:basedOn w:val="Policepardfaut"/>
    <w:link w:val="Notedebasdepage"/>
    <w:semiHidden/>
    <w:rsid w:val="00623258"/>
  </w:style>
  <w:style w:type="character" w:styleId="Appelnotedebasdep">
    <w:name w:val="footnote reference"/>
    <w:basedOn w:val="Policepardfaut"/>
    <w:semiHidden/>
    <w:unhideWhenUsed/>
    <w:rsid w:val="00623258"/>
    <w:rPr>
      <w:vertAlign w:val="superscript"/>
    </w:rPr>
  </w:style>
  <w:style w:type="character" w:customStyle="1" w:styleId="hgkelc">
    <w:name w:val="hgkelc"/>
    <w:basedOn w:val="Policepardfaut"/>
    <w:rsid w:val="00204FA1"/>
  </w:style>
  <w:style w:type="numbering" w:customStyle="1" w:styleId="Aucuneliste1">
    <w:name w:val="Aucune liste1"/>
    <w:next w:val="Aucuneliste"/>
    <w:uiPriority w:val="99"/>
    <w:semiHidden/>
    <w:unhideWhenUsed/>
    <w:rsid w:val="00BE3682"/>
  </w:style>
  <w:style w:type="numbering" w:customStyle="1" w:styleId="Listeactuelle1">
    <w:name w:val="Liste actuelle1"/>
    <w:uiPriority w:val="99"/>
    <w:rsid w:val="00B2592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805">
      <w:bodyDiv w:val="1"/>
      <w:marLeft w:val="0"/>
      <w:marRight w:val="0"/>
      <w:marTop w:val="0"/>
      <w:marBottom w:val="0"/>
      <w:divBdr>
        <w:top w:val="none" w:sz="0" w:space="0" w:color="auto"/>
        <w:left w:val="none" w:sz="0" w:space="0" w:color="auto"/>
        <w:bottom w:val="none" w:sz="0" w:space="0" w:color="auto"/>
        <w:right w:val="none" w:sz="0" w:space="0" w:color="auto"/>
      </w:divBdr>
    </w:div>
    <w:div w:id="4215051">
      <w:bodyDiv w:val="1"/>
      <w:marLeft w:val="0"/>
      <w:marRight w:val="0"/>
      <w:marTop w:val="0"/>
      <w:marBottom w:val="0"/>
      <w:divBdr>
        <w:top w:val="none" w:sz="0" w:space="0" w:color="auto"/>
        <w:left w:val="none" w:sz="0" w:space="0" w:color="auto"/>
        <w:bottom w:val="none" w:sz="0" w:space="0" w:color="auto"/>
        <w:right w:val="none" w:sz="0" w:space="0" w:color="auto"/>
      </w:divBdr>
    </w:div>
    <w:div w:id="4865000">
      <w:bodyDiv w:val="1"/>
      <w:marLeft w:val="0"/>
      <w:marRight w:val="0"/>
      <w:marTop w:val="0"/>
      <w:marBottom w:val="0"/>
      <w:divBdr>
        <w:top w:val="none" w:sz="0" w:space="0" w:color="auto"/>
        <w:left w:val="none" w:sz="0" w:space="0" w:color="auto"/>
        <w:bottom w:val="none" w:sz="0" w:space="0" w:color="auto"/>
        <w:right w:val="none" w:sz="0" w:space="0" w:color="auto"/>
      </w:divBdr>
    </w:div>
    <w:div w:id="9260683">
      <w:bodyDiv w:val="1"/>
      <w:marLeft w:val="0"/>
      <w:marRight w:val="0"/>
      <w:marTop w:val="0"/>
      <w:marBottom w:val="0"/>
      <w:divBdr>
        <w:top w:val="none" w:sz="0" w:space="0" w:color="auto"/>
        <w:left w:val="none" w:sz="0" w:space="0" w:color="auto"/>
        <w:bottom w:val="none" w:sz="0" w:space="0" w:color="auto"/>
        <w:right w:val="none" w:sz="0" w:space="0" w:color="auto"/>
      </w:divBdr>
    </w:div>
    <w:div w:id="11222035">
      <w:bodyDiv w:val="1"/>
      <w:marLeft w:val="0"/>
      <w:marRight w:val="0"/>
      <w:marTop w:val="0"/>
      <w:marBottom w:val="0"/>
      <w:divBdr>
        <w:top w:val="none" w:sz="0" w:space="0" w:color="auto"/>
        <w:left w:val="none" w:sz="0" w:space="0" w:color="auto"/>
        <w:bottom w:val="none" w:sz="0" w:space="0" w:color="auto"/>
        <w:right w:val="none" w:sz="0" w:space="0" w:color="auto"/>
      </w:divBdr>
    </w:div>
    <w:div w:id="13531912">
      <w:bodyDiv w:val="1"/>
      <w:marLeft w:val="0"/>
      <w:marRight w:val="0"/>
      <w:marTop w:val="0"/>
      <w:marBottom w:val="0"/>
      <w:divBdr>
        <w:top w:val="none" w:sz="0" w:space="0" w:color="auto"/>
        <w:left w:val="none" w:sz="0" w:space="0" w:color="auto"/>
        <w:bottom w:val="none" w:sz="0" w:space="0" w:color="auto"/>
        <w:right w:val="none" w:sz="0" w:space="0" w:color="auto"/>
      </w:divBdr>
    </w:div>
    <w:div w:id="22443221">
      <w:bodyDiv w:val="1"/>
      <w:marLeft w:val="0"/>
      <w:marRight w:val="0"/>
      <w:marTop w:val="0"/>
      <w:marBottom w:val="0"/>
      <w:divBdr>
        <w:top w:val="none" w:sz="0" w:space="0" w:color="auto"/>
        <w:left w:val="none" w:sz="0" w:space="0" w:color="auto"/>
        <w:bottom w:val="none" w:sz="0" w:space="0" w:color="auto"/>
        <w:right w:val="none" w:sz="0" w:space="0" w:color="auto"/>
      </w:divBdr>
    </w:div>
    <w:div w:id="25983665">
      <w:bodyDiv w:val="1"/>
      <w:marLeft w:val="0"/>
      <w:marRight w:val="0"/>
      <w:marTop w:val="0"/>
      <w:marBottom w:val="0"/>
      <w:divBdr>
        <w:top w:val="none" w:sz="0" w:space="0" w:color="auto"/>
        <w:left w:val="none" w:sz="0" w:space="0" w:color="auto"/>
        <w:bottom w:val="none" w:sz="0" w:space="0" w:color="auto"/>
        <w:right w:val="none" w:sz="0" w:space="0" w:color="auto"/>
      </w:divBdr>
    </w:div>
    <w:div w:id="28186980">
      <w:bodyDiv w:val="1"/>
      <w:marLeft w:val="0"/>
      <w:marRight w:val="0"/>
      <w:marTop w:val="0"/>
      <w:marBottom w:val="0"/>
      <w:divBdr>
        <w:top w:val="none" w:sz="0" w:space="0" w:color="auto"/>
        <w:left w:val="none" w:sz="0" w:space="0" w:color="auto"/>
        <w:bottom w:val="none" w:sz="0" w:space="0" w:color="auto"/>
        <w:right w:val="none" w:sz="0" w:space="0" w:color="auto"/>
      </w:divBdr>
    </w:div>
    <w:div w:id="35586202">
      <w:bodyDiv w:val="1"/>
      <w:marLeft w:val="0"/>
      <w:marRight w:val="0"/>
      <w:marTop w:val="0"/>
      <w:marBottom w:val="0"/>
      <w:divBdr>
        <w:top w:val="none" w:sz="0" w:space="0" w:color="auto"/>
        <w:left w:val="none" w:sz="0" w:space="0" w:color="auto"/>
        <w:bottom w:val="none" w:sz="0" w:space="0" w:color="auto"/>
        <w:right w:val="none" w:sz="0" w:space="0" w:color="auto"/>
      </w:divBdr>
    </w:div>
    <w:div w:id="46803870">
      <w:bodyDiv w:val="1"/>
      <w:marLeft w:val="0"/>
      <w:marRight w:val="0"/>
      <w:marTop w:val="0"/>
      <w:marBottom w:val="0"/>
      <w:divBdr>
        <w:top w:val="none" w:sz="0" w:space="0" w:color="auto"/>
        <w:left w:val="none" w:sz="0" w:space="0" w:color="auto"/>
        <w:bottom w:val="none" w:sz="0" w:space="0" w:color="auto"/>
        <w:right w:val="none" w:sz="0" w:space="0" w:color="auto"/>
      </w:divBdr>
    </w:div>
    <w:div w:id="47921960">
      <w:bodyDiv w:val="1"/>
      <w:marLeft w:val="0"/>
      <w:marRight w:val="0"/>
      <w:marTop w:val="0"/>
      <w:marBottom w:val="0"/>
      <w:divBdr>
        <w:top w:val="none" w:sz="0" w:space="0" w:color="auto"/>
        <w:left w:val="none" w:sz="0" w:space="0" w:color="auto"/>
        <w:bottom w:val="none" w:sz="0" w:space="0" w:color="auto"/>
        <w:right w:val="none" w:sz="0" w:space="0" w:color="auto"/>
      </w:divBdr>
    </w:div>
    <w:div w:id="49614297">
      <w:bodyDiv w:val="1"/>
      <w:marLeft w:val="0"/>
      <w:marRight w:val="0"/>
      <w:marTop w:val="0"/>
      <w:marBottom w:val="0"/>
      <w:divBdr>
        <w:top w:val="none" w:sz="0" w:space="0" w:color="auto"/>
        <w:left w:val="none" w:sz="0" w:space="0" w:color="auto"/>
        <w:bottom w:val="none" w:sz="0" w:space="0" w:color="auto"/>
        <w:right w:val="none" w:sz="0" w:space="0" w:color="auto"/>
      </w:divBdr>
    </w:div>
    <w:div w:id="52240005">
      <w:bodyDiv w:val="1"/>
      <w:marLeft w:val="0"/>
      <w:marRight w:val="0"/>
      <w:marTop w:val="0"/>
      <w:marBottom w:val="0"/>
      <w:divBdr>
        <w:top w:val="none" w:sz="0" w:space="0" w:color="auto"/>
        <w:left w:val="none" w:sz="0" w:space="0" w:color="auto"/>
        <w:bottom w:val="none" w:sz="0" w:space="0" w:color="auto"/>
        <w:right w:val="none" w:sz="0" w:space="0" w:color="auto"/>
      </w:divBdr>
    </w:div>
    <w:div w:id="52894344">
      <w:bodyDiv w:val="1"/>
      <w:marLeft w:val="0"/>
      <w:marRight w:val="0"/>
      <w:marTop w:val="0"/>
      <w:marBottom w:val="0"/>
      <w:divBdr>
        <w:top w:val="none" w:sz="0" w:space="0" w:color="auto"/>
        <w:left w:val="none" w:sz="0" w:space="0" w:color="auto"/>
        <w:bottom w:val="none" w:sz="0" w:space="0" w:color="auto"/>
        <w:right w:val="none" w:sz="0" w:space="0" w:color="auto"/>
      </w:divBdr>
    </w:div>
    <w:div w:id="53242517">
      <w:bodyDiv w:val="1"/>
      <w:marLeft w:val="0"/>
      <w:marRight w:val="0"/>
      <w:marTop w:val="0"/>
      <w:marBottom w:val="0"/>
      <w:divBdr>
        <w:top w:val="none" w:sz="0" w:space="0" w:color="auto"/>
        <w:left w:val="none" w:sz="0" w:space="0" w:color="auto"/>
        <w:bottom w:val="none" w:sz="0" w:space="0" w:color="auto"/>
        <w:right w:val="none" w:sz="0" w:space="0" w:color="auto"/>
      </w:divBdr>
    </w:div>
    <w:div w:id="53546010">
      <w:bodyDiv w:val="1"/>
      <w:marLeft w:val="0"/>
      <w:marRight w:val="0"/>
      <w:marTop w:val="0"/>
      <w:marBottom w:val="0"/>
      <w:divBdr>
        <w:top w:val="none" w:sz="0" w:space="0" w:color="auto"/>
        <w:left w:val="none" w:sz="0" w:space="0" w:color="auto"/>
        <w:bottom w:val="none" w:sz="0" w:space="0" w:color="auto"/>
        <w:right w:val="none" w:sz="0" w:space="0" w:color="auto"/>
      </w:divBdr>
    </w:div>
    <w:div w:id="55469444">
      <w:bodyDiv w:val="1"/>
      <w:marLeft w:val="0"/>
      <w:marRight w:val="0"/>
      <w:marTop w:val="0"/>
      <w:marBottom w:val="0"/>
      <w:divBdr>
        <w:top w:val="none" w:sz="0" w:space="0" w:color="auto"/>
        <w:left w:val="none" w:sz="0" w:space="0" w:color="auto"/>
        <w:bottom w:val="none" w:sz="0" w:space="0" w:color="auto"/>
        <w:right w:val="none" w:sz="0" w:space="0" w:color="auto"/>
      </w:divBdr>
    </w:div>
    <w:div w:id="57175475">
      <w:bodyDiv w:val="1"/>
      <w:marLeft w:val="0"/>
      <w:marRight w:val="0"/>
      <w:marTop w:val="0"/>
      <w:marBottom w:val="0"/>
      <w:divBdr>
        <w:top w:val="none" w:sz="0" w:space="0" w:color="auto"/>
        <w:left w:val="none" w:sz="0" w:space="0" w:color="auto"/>
        <w:bottom w:val="none" w:sz="0" w:space="0" w:color="auto"/>
        <w:right w:val="none" w:sz="0" w:space="0" w:color="auto"/>
      </w:divBdr>
    </w:div>
    <w:div w:id="58745350">
      <w:bodyDiv w:val="1"/>
      <w:marLeft w:val="0"/>
      <w:marRight w:val="0"/>
      <w:marTop w:val="0"/>
      <w:marBottom w:val="0"/>
      <w:divBdr>
        <w:top w:val="none" w:sz="0" w:space="0" w:color="auto"/>
        <w:left w:val="none" w:sz="0" w:space="0" w:color="auto"/>
        <w:bottom w:val="none" w:sz="0" w:space="0" w:color="auto"/>
        <w:right w:val="none" w:sz="0" w:space="0" w:color="auto"/>
      </w:divBdr>
    </w:div>
    <w:div w:id="61484757">
      <w:bodyDiv w:val="1"/>
      <w:marLeft w:val="0"/>
      <w:marRight w:val="0"/>
      <w:marTop w:val="0"/>
      <w:marBottom w:val="0"/>
      <w:divBdr>
        <w:top w:val="none" w:sz="0" w:space="0" w:color="auto"/>
        <w:left w:val="none" w:sz="0" w:space="0" w:color="auto"/>
        <w:bottom w:val="none" w:sz="0" w:space="0" w:color="auto"/>
        <w:right w:val="none" w:sz="0" w:space="0" w:color="auto"/>
      </w:divBdr>
    </w:div>
    <w:div w:id="69741496">
      <w:bodyDiv w:val="1"/>
      <w:marLeft w:val="0"/>
      <w:marRight w:val="0"/>
      <w:marTop w:val="0"/>
      <w:marBottom w:val="0"/>
      <w:divBdr>
        <w:top w:val="none" w:sz="0" w:space="0" w:color="auto"/>
        <w:left w:val="none" w:sz="0" w:space="0" w:color="auto"/>
        <w:bottom w:val="none" w:sz="0" w:space="0" w:color="auto"/>
        <w:right w:val="none" w:sz="0" w:space="0" w:color="auto"/>
      </w:divBdr>
    </w:div>
    <w:div w:id="78404599">
      <w:bodyDiv w:val="1"/>
      <w:marLeft w:val="0"/>
      <w:marRight w:val="0"/>
      <w:marTop w:val="0"/>
      <w:marBottom w:val="0"/>
      <w:divBdr>
        <w:top w:val="none" w:sz="0" w:space="0" w:color="auto"/>
        <w:left w:val="none" w:sz="0" w:space="0" w:color="auto"/>
        <w:bottom w:val="none" w:sz="0" w:space="0" w:color="auto"/>
        <w:right w:val="none" w:sz="0" w:space="0" w:color="auto"/>
      </w:divBdr>
    </w:div>
    <w:div w:id="91173097">
      <w:bodyDiv w:val="1"/>
      <w:marLeft w:val="0"/>
      <w:marRight w:val="0"/>
      <w:marTop w:val="0"/>
      <w:marBottom w:val="0"/>
      <w:divBdr>
        <w:top w:val="none" w:sz="0" w:space="0" w:color="auto"/>
        <w:left w:val="none" w:sz="0" w:space="0" w:color="auto"/>
        <w:bottom w:val="none" w:sz="0" w:space="0" w:color="auto"/>
        <w:right w:val="none" w:sz="0" w:space="0" w:color="auto"/>
      </w:divBdr>
    </w:div>
    <w:div w:id="95100176">
      <w:bodyDiv w:val="1"/>
      <w:marLeft w:val="0"/>
      <w:marRight w:val="0"/>
      <w:marTop w:val="0"/>
      <w:marBottom w:val="0"/>
      <w:divBdr>
        <w:top w:val="none" w:sz="0" w:space="0" w:color="auto"/>
        <w:left w:val="none" w:sz="0" w:space="0" w:color="auto"/>
        <w:bottom w:val="none" w:sz="0" w:space="0" w:color="auto"/>
        <w:right w:val="none" w:sz="0" w:space="0" w:color="auto"/>
      </w:divBdr>
    </w:div>
    <w:div w:id="97649333">
      <w:bodyDiv w:val="1"/>
      <w:marLeft w:val="0"/>
      <w:marRight w:val="0"/>
      <w:marTop w:val="0"/>
      <w:marBottom w:val="0"/>
      <w:divBdr>
        <w:top w:val="none" w:sz="0" w:space="0" w:color="auto"/>
        <w:left w:val="none" w:sz="0" w:space="0" w:color="auto"/>
        <w:bottom w:val="none" w:sz="0" w:space="0" w:color="auto"/>
        <w:right w:val="none" w:sz="0" w:space="0" w:color="auto"/>
      </w:divBdr>
    </w:div>
    <w:div w:id="103573865">
      <w:bodyDiv w:val="1"/>
      <w:marLeft w:val="0"/>
      <w:marRight w:val="0"/>
      <w:marTop w:val="0"/>
      <w:marBottom w:val="0"/>
      <w:divBdr>
        <w:top w:val="none" w:sz="0" w:space="0" w:color="auto"/>
        <w:left w:val="none" w:sz="0" w:space="0" w:color="auto"/>
        <w:bottom w:val="none" w:sz="0" w:space="0" w:color="auto"/>
        <w:right w:val="none" w:sz="0" w:space="0" w:color="auto"/>
      </w:divBdr>
    </w:div>
    <w:div w:id="108357061">
      <w:bodyDiv w:val="1"/>
      <w:marLeft w:val="0"/>
      <w:marRight w:val="0"/>
      <w:marTop w:val="0"/>
      <w:marBottom w:val="0"/>
      <w:divBdr>
        <w:top w:val="none" w:sz="0" w:space="0" w:color="auto"/>
        <w:left w:val="none" w:sz="0" w:space="0" w:color="auto"/>
        <w:bottom w:val="none" w:sz="0" w:space="0" w:color="auto"/>
        <w:right w:val="none" w:sz="0" w:space="0" w:color="auto"/>
      </w:divBdr>
    </w:div>
    <w:div w:id="110632797">
      <w:bodyDiv w:val="1"/>
      <w:marLeft w:val="0"/>
      <w:marRight w:val="0"/>
      <w:marTop w:val="0"/>
      <w:marBottom w:val="0"/>
      <w:divBdr>
        <w:top w:val="none" w:sz="0" w:space="0" w:color="auto"/>
        <w:left w:val="none" w:sz="0" w:space="0" w:color="auto"/>
        <w:bottom w:val="none" w:sz="0" w:space="0" w:color="auto"/>
        <w:right w:val="none" w:sz="0" w:space="0" w:color="auto"/>
      </w:divBdr>
    </w:div>
    <w:div w:id="118843015">
      <w:bodyDiv w:val="1"/>
      <w:marLeft w:val="0"/>
      <w:marRight w:val="0"/>
      <w:marTop w:val="0"/>
      <w:marBottom w:val="0"/>
      <w:divBdr>
        <w:top w:val="none" w:sz="0" w:space="0" w:color="auto"/>
        <w:left w:val="none" w:sz="0" w:space="0" w:color="auto"/>
        <w:bottom w:val="none" w:sz="0" w:space="0" w:color="auto"/>
        <w:right w:val="none" w:sz="0" w:space="0" w:color="auto"/>
      </w:divBdr>
    </w:div>
    <w:div w:id="118885941">
      <w:bodyDiv w:val="1"/>
      <w:marLeft w:val="0"/>
      <w:marRight w:val="0"/>
      <w:marTop w:val="0"/>
      <w:marBottom w:val="0"/>
      <w:divBdr>
        <w:top w:val="none" w:sz="0" w:space="0" w:color="auto"/>
        <w:left w:val="none" w:sz="0" w:space="0" w:color="auto"/>
        <w:bottom w:val="none" w:sz="0" w:space="0" w:color="auto"/>
        <w:right w:val="none" w:sz="0" w:space="0" w:color="auto"/>
      </w:divBdr>
    </w:div>
    <w:div w:id="123892548">
      <w:bodyDiv w:val="1"/>
      <w:marLeft w:val="0"/>
      <w:marRight w:val="0"/>
      <w:marTop w:val="0"/>
      <w:marBottom w:val="0"/>
      <w:divBdr>
        <w:top w:val="none" w:sz="0" w:space="0" w:color="auto"/>
        <w:left w:val="none" w:sz="0" w:space="0" w:color="auto"/>
        <w:bottom w:val="none" w:sz="0" w:space="0" w:color="auto"/>
        <w:right w:val="none" w:sz="0" w:space="0" w:color="auto"/>
      </w:divBdr>
    </w:div>
    <w:div w:id="127671290">
      <w:bodyDiv w:val="1"/>
      <w:marLeft w:val="0"/>
      <w:marRight w:val="0"/>
      <w:marTop w:val="0"/>
      <w:marBottom w:val="0"/>
      <w:divBdr>
        <w:top w:val="none" w:sz="0" w:space="0" w:color="auto"/>
        <w:left w:val="none" w:sz="0" w:space="0" w:color="auto"/>
        <w:bottom w:val="none" w:sz="0" w:space="0" w:color="auto"/>
        <w:right w:val="none" w:sz="0" w:space="0" w:color="auto"/>
      </w:divBdr>
    </w:div>
    <w:div w:id="127742181">
      <w:bodyDiv w:val="1"/>
      <w:marLeft w:val="0"/>
      <w:marRight w:val="0"/>
      <w:marTop w:val="0"/>
      <w:marBottom w:val="0"/>
      <w:divBdr>
        <w:top w:val="none" w:sz="0" w:space="0" w:color="auto"/>
        <w:left w:val="none" w:sz="0" w:space="0" w:color="auto"/>
        <w:bottom w:val="none" w:sz="0" w:space="0" w:color="auto"/>
        <w:right w:val="none" w:sz="0" w:space="0" w:color="auto"/>
      </w:divBdr>
    </w:div>
    <w:div w:id="129131971">
      <w:bodyDiv w:val="1"/>
      <w:marLeft w:val="0"/>
      <w:marRight w:val="0"/>
      <w:marTop w:val="0"/>
      <w:marBottom w:val="0"/>
      <w:divBdr>
        <w:top w:val="none" w:sz="0" w:space="0" w:color="auto"/>
        <w:left w:val="none" w:sz="0" w:space="0" w:color="auto"/>
        <w:bottom w:val="none" w:sz="0" w:space="0" w:color="auto"/>
        <w:right w:val="none" w:sz="0" w:space="0" w:color="auto"/>
      </w:divBdr>
    </w:div>
    <w:div w:id="131679532">
      <w:bodyDiv w:val="1"/>
      <w:marLeft w:val="0"/>
      <w:marRight w:val="0"/>
      <w:marTop w:val="0"/>
      <w:marBottom w:val="0"/>
      <w:divBdr>
        <w:top w:val="none" w:sz="0" w:space="0" w:color="auto"/>
        <w:left w:val="none" w:sz="0" w:space="0" w:color="auto"/>
        <w:bottom w:val="none" w:sz="0" w:space="0" w:color="auto"/>
        <w:right w:val="none" w:sz="0" w:space="0" w:color="auto"/>
      </w:divBdr>
    </w:div>
    <w:div w:id="134299388">
      <w:bodyDiv w:val="1"/>
      <w:marLeft w:val="0"/>
      <w:marRight w:val="0"/>
      <w:marTop w:val="0"/>
      <w:marBottom w:val="0"/>
      <w:divBdr>
        <w:top w:val="none" w:sz="0" w:space="0" w:color="auto"/>
        <w:left w:val="none" w:sz="0" w:space="0" w:color="auto"/>
        <w:bottom w:val="none" w:sz="0" w:space="0" w:color="auto"/>
        <w:right w:val="none" w:sz="0" w:space="0" w:color="auto"/>
      </w:divBdr>
    </w:div>
    <w:div w:id="136144178">
      <w:bodyDiv w:val="1"/>
      <w:marLeft w:val="0"/>
      <w:marRight w:val="0"/>
      <w:marTop w:val="0"/>
      <w:marBottom w:val="0"/>
      <w:divBdr>
        <w:top w:val="none" w:sz="0" w:space="0" w:color="auto"/>
        <w:left w:val="none" w:sz="0" w:space="0" w:color="auto"/>
        <w:bottom w:val="none" w:sz="0" w:space="0" w:color="auto"/>
        <w:right w:val="none" w:sz="0" w:space="0" w:color="auto"/>
      </w:divBdr>
    </w:div>
    <w:div w:id="136144459">
      <w:bodyDiv w:val="1"/>
      <w:marLeft w:val="0"/>
      <w:marRight w:val="0"/>
      <w:marTop w:val="0"/>
      <w:marBottom w:val="0"/>
      <w:divBdr>
        <w:top w:val="none" w:sz="0" w:space="0" w:color="auto"/>
        <w:left w:val="none" w:sz="0" w:space="0" w:color="auto"/>
        <w:bottom w:val="none" w:sz="0" w:space="0" w:color="auto"/>
        <w:right w:val="none" w:sz="0" w:space="0" w:color="auto"/>
      </w:divBdr>
    </w:div>
    <w:div w:id="140774491">
      <w:bodyDiv w:val="1"/>
      <w:marLeft w:val="0"/>
      <w:marRight w:val="0"/>
      <w:marTop w:val="0"/>
      <w:marBottom w:val="0"/>
      <w:divBdr>
        <w:top w:val="none" w:sz="0" w:space="0" w:color="auto"/>
        <w:left w:val="none" w:sz="0" w:space="0" w:color="auto"/>
        <w:bottom w:val="none" w:sz="0" w:space="0" w:color="auto"/>
        <w:right w:val="none" w:sz="0" w:space="0" w:color="auto"/>
      </w:divBdr>
    </w:div>
    <w:div w:id="143393220">
      <w:bodyDiv w:val="1"/>
      <w:marLeft w:val="0"/>
      <w:marRight w:val="0"/>
      <w:marTop w:val="0"/>
      <w:marBottom w:val="0"/>
      <w:divBdr>
        <w:top w:val="none" w:sz="0" w:space="0" w:color="auto"/>
        <w:left w:val="none" w:sz="0" w:space="0" w:color="auto"/>
        <w:bottom w:val="none" w:sz="0" w:space="0" w:color="auto"/>
        <w:right w:val="none" w:sz="0" w:space="0" w:color="auto"/>
      </w:divBdr>
    </w:div>
    <w:div w:id="145707297">
      <w:bodyDiv w:val="1"/>
      <w:marLeft w:val="0"/>
      <w:marRight w:val="0"/>
      <w:marTop w:val="0"/>
      <w:marBottom w:val="0"/>
      <w:divBdr>
        <w:top w:val="none" w:sz="0" w:space="0" w:color="auto"/>
        <w:left w:val="none" w:sz="0" w:space="0" w:color="auto"/>
        <w:bottom w:val="none" w:sz="0" w:space="0" w:color="auto"/>
        <w:right w:val="none" w:sz="0" w:space="0" w:color="auto"/>
      </w:divBdr>
    </w:div>
    <w:div w:id="145900620">
      <w:bodyDiv w:val="1"/>
      <w:marLeft w:val="0"/>
      <w:marRight w:val="0"/>
      <w:marTop w:val="0"/>
      <w:marBottom w:val="0"/>
      <w:divBdr>
        <w:top w:val="none" w:sz="0" w:space="0" w:color="auto"/>
        <w:left w:val="none" w:sz="0" w:space="0" w:color="auto"/>
        <w:bottom w:val="none" w:sz="0" w:space="0" w:color="auto"/>
        <w:right w:val="none" w:sz="0" w:space="0" w:color="auto"/>
      </w:divBdr>
    </w:div>
    <w:div w:id="151334537">
      <w:bodyDiv w:val="1"/>
      <w:marLeft w:val="0"/>
      <w:marRight w:val="0"/>
      <w:marTop w:val="0"/>
      <w:marBottom w:val="0"/>
      <w:divBdr>
        <w:top w:val="none" w:sz="0" w:space="0" w:color="auto"/>
        <w:left w:val="none" w:sz="0" w:space="0" w:color="auto"/>
        <w:bottom w:val="none" w:sz="0" w:space="0" w:color="auto"/>
        <w:right w:val="none" w:sz="0" w:space="0" w:color="auto"/>
      </w:divBdr>
    </w:div>
    <w:div w:id="152990681">
      <w:bodyDiv w:val="1"/>
      <w:marLeft w:val="0"/>
      <w:marRight w:val="0"/>
      <w:marTop w:val="0"/>
      <w:marBottom w:val="0"/>
      <w:divBdr>
        <w:top w:val="none" w:sz="0" w:space="0" w:color="auto"/>
        <w:left w:val="none" w:sz="0" w:space="0" w:color="auto"/>
        <w:bottom w:val="none" w:sz="0" w:space="0" w:color="auto"/>
        <w:right w:val="none" w:sz="0" w:space="0" w:color="auto"/>
      </w:divBdr>
    </w:div>
    <w:div w:id="154496846">
      <w:bodyDiv w:val="1"/>
      <w:marLeft w:val="0"/>
      <w:marRight w:val="0"/>
      <w:marTop w:val="0"/>
      <w:marBottom w:val="0"/>
      <w:divBdr>
        <w:top w:val="none" w:sz="0" w:space="0" w:color="auto"/>
        <w:left w:val="none" w:sz="0" w:space="0" w:color="auto"/>
        <w:bottom w:val="none" w:sz="0" w:space="0" w:color="auto"/>
        <w:right w:val="none" w:sz="0" w:space="0" w:color="auto"/>
      </w:divBdr>
    </w:div>
    <w:div w:id="158542725">
      <w:bodyDiv w:val="1"/>
      <w:marLeft w:val="0"/>
      <w:marRight w:val="0"/>
      <w:marTop w:val="0"/>
      <w:marBottom w:val="0"/>
      <w:divBdr>
        <w:top w:val="none" w:sz="0" w:space="0" w:color="auto"/>
        <w:left w:val="none" w:sz="0" w:space="0" w:color="auto"/>
        <w:bottom w:val="none" w:sz="0" w:space="0" w:color="auto"/>
        <w:right w:val="none" w:sz="0" w:space="0" w:color="auto"/>
      </w:divBdr>
    </w:div>
    <w:div w:id="163084430">
      <w:bodyDiv w:val="1"/>
      <w:marLeft w:val="0"/>
      <w:marRight w:val="0"/>
      <w:marTop w:val="0"/>
      <w:marBottom w:val="0"/>
      <w:divBdr>
        <w:top w:val="none" w:sz="0" w:space="0" w:color="auto"/>
        <w:left w:val="none" w:sz="0" w:space="0" w:color="auto"/>
        <w:bottom w:val="none" w:sz="0" w:space="0" w:color="auto"/>
        <w:right w:val="none" w:sz="0" w:space="0" w:color="auto"/>
      </w:divBdr>
    </w:div>
    <w:div w:id="164243670">
      <w:bodyDiv w:val="1"/>
      <w:marLeft w:val="0"/>
      <w:marRight w:val="0"/>
      <w:marTop w:val="0"/>
      <w:marBottom w:val="0"/>
      <w:divBdr>
        <w:top w:val="none" w:sz="0" w:space="0" w:color="auto"/>
        <w:left w:val="none" w:sz="0" w:space="0" w:color="auto"/>
        <w:bottom w:val="none" w:sz="0" w:space="0" w:color="auto"/>
        <w:right w:val="none" w:sz="0" w:space="0" w:color="auto"/>
      </w:divBdr>
    </w:div>
    <w:div w:id="177162405">
      <w:bodyDiv w:val="1"/>
      <w:marLeft w:val="0"/>
      <w:marRight w:val="0"/>
      <w:marTop w:val="0"/>
      <w:marBottom w:val="0"/>
      <w:divBdr>
        <w:top w:val="none" w:sz="0" w:space="0" w:color="auto"/>
        <w:left w:val="none" w:sz="0" w:space="0" w:color="auto"/>
        <w:bottom w:val="none" w:sz="0" w:space="0" w:color="auto"/>
        <w:right w:val="none" w:sz="0" w:space="0" w:color="auto"/>
      </w:divBdr>
    </w:div>
    <w:div w:id="179011088">
      <w:bodyDiv w:val="1"/>
      <w:marLeft w:val="0"/>
      <w:marRight w:val="0"/>
      <w:marTop w:val="0"/>
      <w:marBottom w:val="0"/>
      <w:divBdr>
        <w:top w:val="none" w:sz="0" w:space="0" w:color="auto"/>
        <w:left w:val="none" w:sz="0" w:space="0" w:color="auto"/>
        <w:bottom w:val="none" w:sz="0" w:space="0" w:color="auto"/>
        <w:right w:val="none" w:sz="0" w:space="0" w:color="auto"/>
      </w:divBdr>
    </w:div>
    <w:div w:id="186792003">
      <w:bodyDiv w:val="1"/>
      <w:marLeft w:val="0"/>
      <w:marRight w:val="0"/>
      <w:marTop w:val="0"/>
      <w:marBottom w:val="0"/>
      <w:divBdr>
        <w:top w:val="none" w:sz="0" w:space="0" w:color="auto"/>
        <w:left w:val="none" w:sz="0" w:space="0" w:color="auto"/>
        <w:bottom w:val="none" w:sz="0" w:space="0" w:color="auto"/>
        <w:right w:val="none" w:sz="0" w:space="0" w:color="auto"/>
      </w:divBdr>
    </w:div>
    <w:div w:id="191918752">
      <w:bodyDiv w:val="1"/>
      <w:marLeft w:val="0"/>
      <w:marRight w:val="0"/>
      <w:marTop w:val="0"/>
      <w:marBottom w:val="0"/>
      <w:divBdr>
        <w:top w:val="none" w:sz="0" w:space="0" w:color="auto"/>
        <w:left w:val="none" w:sz="0" w:space="0" w:color="auto"/>
        <w:bottom w:val="none" w:sz="0" w:space="0" w:color="auto"/>
        <w:right w:val="none" w:sz="0" w:space="0" w:color="auto"/>
      </w:divBdr>
    </w:div>
    <w:div w:id="192233507">
      <w:bodyDiv w:val="1"/>
      <w:marLeft w:val="0"/>
      <w:marRight w:val="0"/>
      <w:marTop w:val="0"/>
      <w:marBottom w:val="0"/>
      <w:divBdr>
        <w:top w:val="none" w:sz="0" w:space="0" w:color="auto"/>
        <w:left w:val="none" w:sz="0" w:space="0" w:color="auto"/>
        <w:bottom w:val="none" w:sz="0" w:space="0" w:color="auto"/>
        <w:right w:val="none" w:sz="0" w:space="0" w:color="auto"/>
      </w:divBdr>
    </w:div>
    <w:div w:id="194390872">
      <w:bodyDiv w:val="1"/>
      <w:marLeft w:val="0"/>
      <w:marRight w:val="0"/>
      <w:marTop w:val="0"/>
      <w:marBottom w:val="0"/>
      <w:divBdr>
        <w:top w:val="none" w:sz="0" w:space="0" w:color="auto"/>
        <w:left w:val="none" w:sz="0" w:space="0" w:color="auto"/>
        <w:bottom w:val="none" w:sz="0" w:space="0" w:color="auto"/>
        <w:right w:val="none" w:sz="0" w:space="0" w:color="auto"/>
      </w:divBdr>
    </w:div>
    <w:div w:id="198057501">
      <w:bodyDiv w:val="1"/>
      <w:marLeft w:val="0"/>
      <w:marRight w:val="0"/>
      <w:marTop w:val="0"/>
      <w:marBottom w:val="0"/>
      <w:divBdr>
        <w:top w:val="none" w:sz="0" w:space="0" w:color="auto"/>
        <w:left w:val="none" w:sz="0" w:space="0" w:color="auto"/>
        <w:bottom w:val="none" w:sz="0" w:space="0" w:color="auto"/>
        <w:right w:val="none" w:sz="0" w:space="0" w:color="auto"/>
      </w:divBdr>
    </w:div>
    <w:div w:id="204299039">
      <w:bodyDiv w:val="1"/>
      <w:marLeft w:val="0"/>
      <w:marRight w:val="0"/>
      <w:marTop w:val="0"/>
      <w:marBottom w:val="0"/>
      <w:divBdr>
        <w:top w:val="none" w:sz="0" w:space="0" w:color="auto"/>
        <w:left w:val="none" w:sz="0" w:space="0" w:color="auto"/>
        <w:bottom w:val="none" w:sz="0" w:space="0" w:color="auto"/>
        <w:right w:val="none" w:sz="0" w:space="0" w:color="auto"/>
      </w:divBdr>
    </w:div>
    <w:div w:id="207500206">
      <w:bodyDiv w:val="1"/>
      <w:marLeft w:val="0"/>
      <w:marRight w:val="0"/>
      <w:marTop w:val="0"/>
      <w:marBottom w:val="0"/>
      <w:divBdr>
        <w:top w:val="none" w:sz="0" w:space="0" w:color="auto"/>
        <w:left w:val="none" w:sz="0" w:space="0" w:color="auto"/>
        <w:bottom w:val="none" w:sz="0" w:space="0" w:color="auto"/>
        <w:right w:val="none" w:sz="0" w:space="0" w:color="auto"/>
      </w:divBdr>
    </w:div>
    <w:div w:id="210194200">
      <w:bodyDiv w:val="1"/>
      <w:marLeft w:val="0"/>
      <w:marRight w:val="0"/>
      <w:marTop w:val="0"/>
      <w:marBottom w:val="0"/>
      <w:divBdr>
        <w:top w:val="none" w:sz="0" w:space="0" w:color="auto"/>
        <w:left w:val="none" w:sz="0" w:space="0" w:color="auto"/>
        <w:bottom w:val="none" w:sz="0" w:space="0" w:color="auto"/>
        <w:right w:val="none" w:sz="0" w:space="0" w:color="auto"/>
      </w:divBdr>
    </w:div>
    <w:div w:id="210194272">
      <w:bodyDiv w:val="1"/>
      <w:marLeft w:val="0"/>
      <w:marRight w:val="0"/>
      <w:marTop w:val="0"/>
      <w:marBottom w:val="0"/>
      <w:divBdr>
        <w:top w:val="none" w:sz="0" w:space="0" w:color="auto"/>
        <w:left w:val="none" w:sz="0" w:space="0" w:color="auto"/>
        <w:bottom w:val="none" w:sz="0" w:space="0" w:color="auto"/>
        <w:right w:val="none" w:sz="0" w:space="0" w:color="auto"/>
      </w:divBdr>
    </w:div>
    <w:div w:id="212036523">
      <w:bodyDiv w:val="1"/>
      <w:marLeft w:val="0"/>
      <w:marRight w:val="0"/>
      <w:marTop w:val="0"/>
      <w:marBottom w:val="0"/>
      <w:divBdr>
        <w:top w:val="none" w:sz="0" w:space="0" w:color="auto"/>
        <w:left w:val="none" w:sz="0" w:space="0" w:color="auto"/>
        <w:bottom w:val="none" w:sz="0" w:space="0" w:color="auto"/>
        <w:right w:val="none" w:sz="0" w:space="0" w:color="auto"/>
      </w:divBdr>
    </w:div>
    <w:div w:id="214857299">
      <w:bodyDiv w:val="1"/>
      <w:marLeft w:val="0"/>
      <w:marRight w:val="0"/>
      <w:marTop w:val="0"/>
      <w:marBottom w:val="0"/>
      <w:divBdr>
        <w:top w:val="none" w:sz="0" w:space="0" w:color="auto"/>
        <w:left w:val="none" w:sz="0" w:space="0" w:color="auto"/>
        <w:bottom w:val="none" w:sz="0" w:space="0" w:color="auto"/>
        <w:right w:val="none" w:sz="0" w:space="0" w:color="auto"/>
      </w:divBdr>
    </w:div>
    <w:div w:id="220558086">
      <w:bodyDiv w:val="1"/>
      <w:marLeft w:val="0"/>
      <w:marRight w:val="0"/>
      <w:marTop w:val="0"/>
      <w:marBottom w:val="0"/>
      <w:divBdr>
        <w:top w:val="none" w:sz="0" w:space="0" w:color="auto"/>
        <w:left w:val="none" w:sz="0" w:space="0" w:color="auto"/>
        <w:bottom w:val="none" w:sz="0" w:space="0" w:color="auto"/>
        <w:right w:val="none" w:sz="0" w:space="0" w:color="auto"/>
      </w:divBdr>
    </w:div>
    <w:div w:id="221215167">
      <w:bodyDiv w:val="1"/>
      <w:marLeft w:val="0"/>
      <w:marRight w:val="0"/>
      <w:marTop w:val="0"/>
      <w:marBottom w:val="0"/>
      <w:divBdr>
        <w:top w:val="none" w:sz="0" w:space="0" w:color="auto"/>
        <w:left w:val="none" w:sz="0" w:space="0" w:color="auto"/>
        <w:bottom w:val="none" w:sz="0" w:space="0" w:color="auto"/>
        <w:right w:val="none" w:sz="0" w:space="0" w:color="auto"/>
      </w:divBdr>
    </w:div>
    <w:div w:id="223880950">
      <w:bodyDiv w:val="1"/>
      <w:marLeft w:val="0"/>
      <w:marRight w:val="0"/>
      <w:marTop w:val="0"/>
      <w:marBottom w:val="0"/>
      <w:divBdr>
        <w:top w:val="none" w:sz="0" w:space="0" w:color="auto"/>
        <w:left w:val="none" w:sz="0" w:space="0" w:color="auto"/>
        <w:bottom w:val="none" w:sz="0" w:space="0" w:color="auto"/>
        <w:right w:val="none" w:sz="0" w:space="0" w:color="auto"/>
      </w:divBdr>
    </w:div>
    <w:div w:id="225799908">
      <w:bodyDiv w:val="1"/>
      <w:marLeft w:val="0"/>
      <w:marRight w:val="0"/>
      <w:marTop w:val="0"/>
      <w:marBottom w:val="0"/>
      <w:divBdr>
        <w:top w:val="none" w:sz="0" w:space="0" w:color="auto"/>
        <w:left w:val="none" w:sz="0" w:space="0" w:color="auto"/>
        <w:bottom w:val="none" w:sz="0" w:space="0" w:color="auto"/>
        <w:right w:val="none" w:sz="0" w:space="0" w:color="auto"/>
      </w:divBdr>
    </w:div>
    <w:div w:id="226501693">
      <w:bodyDiv w:val="1"/>
      <w:marLeft w:val="0"/>
      <w:marRight w:val="0"/>
      <w:marTop w:val="0"/>
      <w:marBottom w:val="0"/>
      <w:divBdr>
        <w:top w:val="none" w:sz="0" w:space="0" w:color="auto"/>
        <w:left w:val="none" w:sz="0" w:space="0" w:color="auto"/>
        <w:bottom w:val="none" w:sz="0" w:space="0" w:color="auto"/>
        <w:right w:val="none" w:sz="0" w:space="0" w:color="auto"/>
      </w:divBdr>
    </w:div>
    <w:div w:id="232351342">
      <w:bodyDiv w:val="1"/>
      <w:marLeft w:val="0"/>
      <w:marRight w:val="0"/>
      <w:marTop w:val="0"/>
      <w:marBottom w:val="0"/>
      <w:divBdr>
        <w:top w:val="none" w:sz="0" w:space="0" w:color="auto"/>
        <w:left w:val="none" w:sz="0" w:space="0" w:color="auto"/>
        <w:bottom w:val="none" w:sz="0" w:space="0" w:color="auto"/>
        <w:right w:val="none" w:sz="0" w:space="0" w:color="auto"/>
      </w:divBdr>
    </w:div>
    <w:div w:id="233205148">
      <w:bodyDiv w:val="1"/>
      <w:marLeft w:val="0"/>
      <w:marRight w:val="0"/>
      <w:marTop w:val="0"/>
      <w:marBottom w:val="0"/>
      <w:divBdr>
        <w:top w:val="none" w:sz="0" w:space="0" w:color="auto"/>
        <w:left w:val="none" w:sz="0" w:space="0" w:color="auto"/>
        <w:bottom w:val="none" w:sz="0" w:space="0" w:color="auto"/>
        <w:right w:val="none" w:sz="0" w:space="0" w:color="auto"/>
      </w:divBdr>
      <w:divsChild>
        <w:div w:id="654452573">
          <w:marLeft w:val="0"/>
          <w:marRight w:val="0"/>
          <w:marTop w:val="0"/>
          <w:marBottom w:val="0"/>
          <w:divBdr>
            <w:top w:val="none" w:sz="0" w:space="0" w:color="auto"/>
            <w:left w:val="none" w:sz="0" w:space="0" w:color="auto"/>
            <w:bottom w:val="none" w:sz="0" w:space="0" w:color="auto"/>
            <w:right w:val="none" w:sz="0" w:space="0" w:color="auto"/>
          </w:divBdr>
          <w:divsChild>
            <w:div w:id="876351990">
              <w:marLeft w:val="0"/>
              <w:marRight w:val="0"/>
              <w:marTop w:val="0"/>
              <w:marBottom w:val="0"/>
              <w:divBdr>
                <w:top w:val="none" w:sz="0" w:space="0" w:color="auto"/>
                <w:left w:val="none" w:sz="0" w:space="0" w:color="auto"/>
                <w:bottom w:val="none" w:sz="0" w:space="0" w:color="auto"/>
                <w:right w:val="none" w:sz="0" w:space="0" w:color="auto"/>
              </w:divBdr>
              <w:divsChild>
                <w:div w:id="148405228">
                  <w:marLeft w:val="0"/>
                  <w:marRight w:val="0"/>
                  <w:marTop w:val="225"/>
                  <w:marBottom w:val="0"/>
                  <w:divBdr>
                    <w:top w:val="none" w:sz="0" w:space="0" w:color="auto"/>
                    <w:left w:val="none" w:sz="0" w:space="0" w:color="auto"/>
                    <w:bottom w:val="none" w:sz="0" w:space="0" w:color="auto"/>
                    <w:right w:val="none" w:sz="0" w:space="0" w:color="auto"/>
                  </w:divBdr>
                  <w:divsChild>
                    <w:div w:id="531382327">
                      <w:marLeft w:val="0"/>
                      <w:marRight w:val="0"/>
                      <w:marTop w:val="0"/>
                      <w:marBottom w:val="0"/>
                      <w:divBdr>
                        <w:top w:val="none" w:sz="0" w:space="0" w:color="auto"/>
                        <w:left w:val="none" w:sz="0" w:space="0" w:color="auto"/>
                        <w:bottom w:val="none" w:sz="0" w:space="0" w:color="auto"/>
                        <w:right w:val="none" w:sz="0" w:space="0" w:color="auto"/>
                      </w:divBdr>
                      <w:divsChild>
                        <w:div w:id="718625716">
                          <w:marLeft w:val="0"/>
                          <w:marRight w:val="0"/>
                          <w:marTop w:val="0"/>
                          <w:marBottom w:val="0"/>
                          <w:divBdr>
                            <w:top w:val="none" w:sz="0" w:space="0" w:color="auto"/>
                            <w:left w:val="none" w:sz="0" w:space="0" w:color="auto"/>
                            <w:bottom w:val="none" w:sz="0" w:space="0" w:color="auto"/>
                            <w:right w:val="none" w:sz="0" w:space="0" w:color="auto"/>
                          </w:divBdr>
                          <w:divsChild>
                            <w:div w:id="89549779">
                              <w:marLeft w:val="0"/>
                              <w:marRight w:val="0"/>
                              <w:marTop w:val="0"/>
                              <w:marBottom w:val="0"/>
                              <w:divBdr>
                                <w:top w:val="none" w:sz="0" w:space="0" w:color="auto"/>
                                <w:left w:val="none" w:sz="0" w:space="0" w:color="auto"/>
                                <w:bottom w:val="none" w:sz="0" w:space="0" w:color="auto"/>
                                <w:right w:val="none" w:sz="0" w:space="0" w:color="auto"/>
                              </w:divBdr>
                              <w:divsChild>
                                <w:div w:id="12042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831405">
          <w:marLeft w:val="0"/>
          <w:marRight w:val="0"/>
          <w:marTop w:val="800"/>
          <w:marBottom w:val="0"/>
          <w:divBdr>
            <w:top w:val="none" w:sz="0" w:space="0" w:color="auto"/>
            <w:left w:val="none" w:sz="0" w:space="0" w:color="auto"/>
            <w:bottom w:val="none" w:sz="0" w:space="0" w:color="auto"/>
            <w:right w:val="none" w:sz="0" w:space="0" w:color="auto"/>
          </w:divBdr>
        </w:div>
      </w:divsChild>
    </w:div>
    <w:div w:id="237449168">
      <w:bodyDiv w:val="1"/>
      <w:marLeft w:val="0"/>
      <w:marRight w:val="0"/>
      <w:marTop w:val="0"/>
      <w:marBottom w:val="0"/>
      <w:divBdr>
        <w:top w:val="none" w:sz="0" w:space="0" w:color="auto"/>
        <w:left w:val="none" w:sz="0" w:space="0" w:color="auto"/>
        <w:bottom w:val="none" w:sz="0" w:space="0" w:color="auto"/>
        <w:right w:val="none" w:sz="0" w:space="0" w:color="auto"/>
      </w:divBdr>
    </w:div>
    <w:div w:id="237860512">
      <w:bodyDiv w:val="1"/>
      <w:marLeft w:val="0"/>
      <w:marRight w:val="0"/>
      <w:marTop w:val="0"/>
      <w:marBottom w:val="0"/>
      <w:divBdr>
        <w:top w:val="none" w:sz="0" w:space="0" w:color="auto"/>
        <w:left w:val="none" w:sz="0" w:space="0" w:color="auto"/>
        <w:bottom w:val="none" w:sz="0" w:space="0" w:color="auto"/>
        <w:right w:val="none" w:sz="0" w:space="0" w:color="auto"/>
      </w:divBdr>
    </w:div>
    <w:div w:id="238634909">
      <w:bodyDiv w:val="1"/>
      <w:marLeft w:val="0"/>
      <w:marRight w:val="0"/>
      <w:marTop w:val="0"/>
      <w:marBottom w:val="0"/>
      <w:divBdr>
        <w:top w:val="none" w:sz="0" w:space="0" w:color="auto"/>
        <w:left w:val="none" w:sz="0" w:space="0" w:color="auto"/>
        <w:bottom w:val="none" w:sz="0" w:space="0" w:color="auto"/>
        <w:right w:val="none" w:sz="0" w:space="0" w:color="auto"/>
      </w:divBdr>
    </w:div>
    <w:div w:id="240334429">
      <w:bodyDiv w:val="1"/>
      <w:marLeft w:val="0"/>
      <w:marRight w:val="0"/>
      <w:marTop w:val="0"/>
      <w:marBottom w:val="0"/>
      <w:divBdr>
        <w:top w:val="none" w:sz="0" w:space="0" w:color="auto"/>
        <w:left w:val="none" w:sz="0" w:space="0" w:color="auto"/>
        <w:bottom w:val="none" w:sz="0" w:space="0" w:color="auto"/>
        <w:right w:val="none" w:sz="0" w:space="0" w:color="auto"/>
      </w:divBdr>
    </w:div>
    <w:div w:id="241184984">
      <w:bodyDiv w:val="1"/>
      <w:marLeft w:val="0"/>
      <w:marRight w:val="0"/>
      <w:marTop w:val="0"/>
      <w:marBottom w:val="0"/>
      <w:divBdr>
        <w:top w:val="none" w:sz="0" w:space="0" w:color="auto"/>
        <w:left w:val="none" w:sz="0" w:space="0" w:color="auto"/>
        <w:bottom w:val="none" w:sz="0" w:space="0" w:color="auto"/>
        <w:right w:val="none" w:sz="0" w:space="0" w:color="auto"/>
      </w:divBdr>
    </w:div>
    <w:div w:id="241452783">
      <w:bodyDiv w:val="1"/>
      <w:marLeft w:val="0"/>
      <w:marRight w:val="0"/>
      <w:marTop w:val="0"/>
      <w:marBottom w:val="0"/>
      <w:divBdr>
        <w:top w:val="none" w:sz="0" w:space="0" w:color="auto"/>
        <w:left w:val="none" w:sz="0" w:space="0" w:color="auto"/>
        <w:bottom w:val="none" w:sz="0" w:space="0" w:color="auto"/>
        <w:right w:val="none" w:sz="0" w:space="0" w:color="auto"/>
      </w:divBdr>
    </w:div>
    <w:div w:id="245649860">
      <w:bodyDiv w:val="1"/>
      <w:marLeft w:val="0"/>
      <w:marRight w:val="0"/>
      <w:marTop w:val="0"/>
      <w:marBottom w:val="0"/>
      <w:divBdr>
        <w:top w:val="none" w:sz="0" w:space="0" w:color="auto"/>
        <w:left w:val="none" w:sz="0" w:space="0" w:color="auto"/>
        <w:bottom w:val="none" w:sz="0" w:space="0" w:color="auto"/>
        <w:right w:val="none" w:sz="0" w:space="0" w:color="auto"/>
      </w:divBdr>
    </w:div>
    <w:div w:id="246381862">
      <w:bodyDiv w:val="1"/>
      <w:marLeft w:val="0"/>
      <w:marRight w:val="0"/>
      <w:marTop w:val="0"/>
      <w:marBottom w:val="0"/>
      <w:divBdr>
        <w:top w:val="none" w:sz="0" w:space="0" w:color="auto"/>
        <w:left w:val="none" w:sz="0" w:space="0" w:color="auto"/>
        <w:bottom w:val="none" w:sz="0" w:space="0" w:color="auto"/>
        <w:right w:val="none" w:sz="0" w:space="0" w:color="auto"/>
      </w:divBdr>
    </w:div>
    <w:div w:id="249896217">
      <w:bodyDiv w:val="1"/>
      <w:marLeft w:val="0"/>
      <w:marRight w:val="0"/>
      <w:marTop w:val="0"/>
      <w:marBottom w:val="0"/>
      <w:divBdr>
        <w:top w:val="none" w:sz="0" w:space="0" w:color="auto"/>
        <w:left w:val="none" w:sz="0" w:space="0" w:color="auto"/>
        <w:bottom w:val="none" w:sz="0" w:space="0" w:color="auto"/>
        <w:right w:val="none" w:sz="0" w:space="0" w:color="auto"/>
      </w:divBdr>
    </w:div>
    <w:div w:id="250116753">
      <w:bodyDiv w:val="1"/>
      <w:marLeft w:val="0"/>
      <w:marRight w:val="0"/>
      <w:marTop w:val="0"/>
      <w:marBottom w:val="0"/>
      <w:divBdr>
        <w:top w:val="none" w:sz="0" w:space="0" w:color="auto"/>
        <w:left w:val="none" w:sz="0" w:space="0" w:color="auto"/>
        <w:bottom w:val="none" w:sz="0" w:space="0" w:color="auto"/>
        <w:right w:val="none" w:sz="0" w:space="0" w:color="auto"/>
      </w:divBdr>
    </w:div>
    <w:div w:id="252053277">
      <w:bodyDiv w:val="1"/>
      <w:marLeft w:val="0"/>
      <w:marRight w:val="0"/>
      <w:marTop w:val="0"/>
      <w:marBottom w:val="0"/>
      <w:divBdr>
        <w:top w:val="none" w:sz="0" w:space="0" w:color="auto"/>
        <w:left w:val="none" w:sz="0" w:space="0" w:color="auto"/>
        <w:bottom w:val="none" w:sz="0" w:space="0" w:color="auto"/>
        <w:right w:val="none" w:sz="0" w:space="0" w:color="auto"/>
      </w:divBdr>
    </w:div>
    <w:div w:id="256602506">
      <w:bodyDiv w:val="1"/>
      <w:marLeft w:val="0"/>
      <w:marRight w:val="0"/>
      <w:marTop w:val="0"/>
      <w:marBottom w:val="0"/>
      <w:divBdr>
        <w:top w:val="none" w:sz="0" w:space="0" w:color="auto"/>
        <w:left w:val="none" w:sz="0" w:space="0" w:color="auto"/>
        <w:bottom w:val="none" w:sz="0" w:space="0" w:color="auto"/>
        <w:right w:val="none" w:sz="0" w:space="0" w:color="auto"/>
      </w:divBdr>
    </w:div>
    <w:div w:id="257099000">
      <w:bodyDiv w:val="1"/>
      <w:marLeft w:val="0"/>
      <w:marRight w:val="0"/>
      <w:marTop w:val="0"/>
      <w:marBottom w:val="0"/>
      <w:divBdr>
        <w:top w:val="none" w:sz="0" w:space="0" w:color="auto"/>
        <w:left w:val="none" w:sz="0" w:space="0" w:color="auto"/>
        <w:bottom w:val="none" w:sz="0" w:space="0" w:color="auto"/>
        <w:right w:val="none" w:sz="0" w:space="0" w:color="auto"/>
      </w:divBdr>
    </w:div>
    <w:div w:id="258678866">
      <w:bodyDiv w:val="1"/>
      <w:marLeft w:val="0"/>
      <w:marRight w:val="0"/>
      <w:marTop w:val="0"/>
      <w:marBottom w:val="0"/>
      <w:divBdr>
        <w:top w:val="none" w:sz="0" w:space="0" w:color="auto"/>
        <w:left w:val="none" w:sz="0" w:space="0" w:color="auto"/>
        <w:bottom w:val="none" w:sz="0" w:space="0" w:color="auto"/>
        <w:right w:val="none" w:sz="0" w:space="0" w:color="auto"/>
      </w:divBdr>
    </w:div>
    <w:div w:id="266541103">
      <w:bodyDiv w:val="1"/>
      <w:marLeft w:val="0"/>
      <w:marRight w:val="0"/>
      <w:marTop w:val="0"/>
      <w:marBottom w:val="0"/>
      <w:divBdr>
        <w:top w:val="none" w:sz="0" w:space="0" w:color="auto"/>
        <w:left w:val="none" w:sz="0" w:space="0" w:color="auto"/>
        <w:bottom w:val="none" w:sz="0" w:space="0" w:color="auto"/>
        <w:right w:val="none" w:sz="0" w:space="0" w:color="auto"/>
      </w:divBdr>
    </w:div>
    <w:div w:id="273904544">
      <w:bodyDiv w:val="1"/>
      <w:marLeft w:val="0"/>
      <w:marRight w:val="0"/>
      <w:marTop w:val="0"/>
      <w:marBottom w:val="0"/>
      <w:divBdr>
        <w:top w:val="none" w:sz="0" w:space="0" w:color="auto"/>
        <w:left w:val="none" w:sz="0" w:space="0" w:color="auto"/>
        <w:bottom w:val="none" w:sz="0" w:space="0" w:color="auto"/>
        <w:right w:val="none" w:sz="0" w:space="0" w:color="auto"/>
      </w:divBdr>
    </w:div>
    <w:div w:id="274873687">
      <w:bodyDiv w:val="1"/>
      <w:marLeft w:val="0"/>
      <w:marRight w:val="0"/>
      <w:marTop w:val="0"/>
      <w:marBottom w:val="0"/>
      <w:divBdr>
        <w:top w:val="none" w:sz="0" w:space="0" w:color="auto"/>
        <w:left w:val="none" w:sz="0" w:space="0" w:color="auto"/>
        <w:bottom w:val="none" w:sz="0" w:space="0" w:color="auto"/>
        <w:right w:val="none" w:sz="0" w:space="0" w:color="auto"/>
      </w:divBdr>
    </w:div>
    <w:div w:id="275912555">
      <w:bodyDiv w:val="1"/>
      <w:marLeft w:val="0"/>
      <w:marRight w:val="0"/>
      <w:marTop w:val="0"/>
      <w:marBottom w:val="0"/>
      <w:divBdr>
        <w:top w:val="none" w:sz="0" w:space="0" w:color="auto"/>
        <w:left w:val="none" w:sz="0" w:space="0" w:color="auto"/>
        <w:bottom w:val="none" w:sz="0" w:space="0" w:color="auto"/>
        <w:right w:val="none" w:sz="0" w:space="0" w:color="auto"/>
      </w:divBdr>
    </w:div>
    <w:div w:id="276256908">
      <w:bodyDiv w:val="1"/>
      <w:marLeft w:val="0"/>
      <w:marRight w:val="0"/>
      <w:marTop w:val="0"/>
      <w:marBottom w:val="0"/>
      <w:divBdr>
        <w:top w:val="none" w:sz="0" w:space="0" w:color="auto"/>
        <w:left w:val="none" w:sz="0" w:space="0" w:color="auto"/>
        <w:bottom w:val="none" w:sz="0" w:space="0" w:color="auto"/>
        <w:right w:val="none" w:sz="0" w:space="0" w:color="auto"/>
      </w:divBdr>
    </w:div>
    <w:div w:id="276375578">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4966839">
      <w:bodyDiv w:val="1"/>
      <w:marLeft w:val="0"/>
      <w:marRight w:val="0"/>
      <w:marTop w:val="0"/>
      <w:marBottom w:val="0"/>
      <w:divBdr>
        <w:top w:val="none" w:sz="0" w:space="0" w:color="auto"/>
        <w:left w:val="none" w:sz="0" w:space="0" w:color="auto"/>
        <w:bottom w:val="none" w:sz="0" w:space="0" w:color="auto"/>
        <w:right w:val="none" w:sz="0" w:space="0" w:color="auto"/>
      </w:divBdr>
    </w:div>
    <w:div w:id="285476869">
      <w:bodyDiv w:val="1"/>
      <w:marLeft w:val="0"/>
      <w:marRight w:val="0"/>
      <w:marTop w:val="0"/>
      <w:marBottom w:val="0"/>
      <w:divBdr>
        <w:top w:val="none" w:sz="0" w:space="0" w:color="auto"/>
        <w:left w:val="none" w:sz="0" w:space="0" w:color="auto"/>
        <w:bottom w:val="none" w:sz="0" w:space="0" w:color="auto"/>
        <w:right w:val="none" w:sz="0" w:space="0" w:color="auto"/>
      </w:divBdr>
    </w:div>
    <w:div w:id="294723328">
      <w:bodyDiv w:val="1"/>
      <w:marLeft w:val="0"/>
      <w:marRight w:val="0"/>
      <w:marTop w:val="0"/>
      <w:marBottom w:val="0"/>
      <w:divBdr>
        <w:top w:val="none" w:sz="0" w:space="0" w:color="auto"/>
        <w:left w:val="none" w:sz="0" w:space="0" w:color="auto"/>
        <w:bottom w:val="none" w:sz="0" w:space="0" w:color="auto"/>
        <w:right w:val="none" w:sz="0" w:space="0" w:color="auto"/>
      </w:divBdr>
    </w:div>
    <w:div w:id="300774670">
      <w:bodyDiv w:val="1"/>
      <w:marLeft w:val="0"/>
      <w:marRight w:val="0"/>
      <w:marTop w:val="0"/>
      <w:marBottom w:val="0"/>
      <w:divBdr>
        <w:top w:val="none" w:sz="0" w:space="0" w:color="auto"/>
        <w:left w:val="none" w:sz="0" w:space="0" w:color="auto"/>
        <w:bottom w:val="none" w:sz="0" w:space="0" w:color="auto"/>
        <w:right w:val="none" w:sz="0" w:space="0" w:color="auto"/>
      </w:divBdr>
    </w:div>
    <w:div w:id="301348830">
      <w:bodyDiv w:val="1"/>
      <w:marLeft w:val="0"/>
      <w:marRight w:val="0"/>
      <w:marTop w:val="0"/>
      <w:marBottom w:val="0"/>
      <w:divBdr>
        <w:top w:val="none" w:sz="0" w:space="0" w:color="auto"/>
        <w:left w:val="none" w:sz="0" w:space="0" w:color="auto"/>
        <w:bottom w:val="none" w:sz="0" w:space="0" w:color="auto"/>
        <w:right w:val="none" w:sz="0" w:space="0" w:color="auto"/>
      </w:divBdr>
    </w:div>
    <w:div w:id="310183159">
      <w:bodyDiv w:val="1"/>
      <w:marLeft w:val="0"/>
      <w:marRight w:val="0"/>
      <w:marTop w:val="0"/>
      <w:marBottom w:val="0"/>
      <w:divBdr>
        <w:top w:val="none" w:sz="0" w:space="0" w:color="auto"/>
        <w:left w:val="none" w:sz="0" w:space="0" w:color="auto"/>
        <w:bottom w:val="none" w:sz="0" w:space="0" w:color="auto"/>
        <w:right w:val="none" w:sz="0" w:space="0" w:color="auto"/>
      </w:divBdr>
    </w:div>
    <w:div w:id="314065034">
      <w:bodyDiv w:val="1"/>
      <w:marLeft w:val="0"/>
      <w:marRight w:val="0"/>
      <w:marTop w:val="0"/>
      <w:marBottom w:val="0"/>
      <w:divBdr>
        <w:top w:val="none" w:sz="0" w:space="0" w:color="auto"/>
        <w:left w:val="none" w:sz="0" w:space="0" w:color="auto"/>
        <w:bottom w:val="none" w:sz="0" w:space="0" w:color="auto"/>
        <w:right w:val="none" w:sz="0" w:space="0" w:color="auto"/>
      </w:divBdr>
    </w:div>
    <w:div w:id="318191143">
      <w:bodyDiv w:val="1"/>
      <w:marLeft w:val="0"/>
      <w:marRight w:val="0"/>
      <w:marTop w:val="0"/>
      <w:marBottom w:val="0"/>
      <w:divBdr>
        <w:top w:val="none" w:sz="0" w:space="0" w:color="auto"/>
        <w:left w:val="none" w:sz="0" w:space="0" w:color="auto"/>
        <w:bottom w:val="none" w:sz="0" w:space="0" w:color="auto"/>
        <w:right w:val="none" w:sz="0" w:space="0" w:color="auto"/>
      </w:divBdr>
    </w:div>
    <w:div w:id="321272920">
      <w:bodyDiv w:val="1"/>
      <w:marLeft w:val="0"/>
      <w:marRight w:val="0"/>
      <w:marTop w:val="0"/>
      <w:marBottom w:val="0"/>
      <w:divBdr>
        <w:top w:val="none" w:sz="0" w:space="0" w:color="auto"/>
        <w:left w:val="none" w:sz="0" w:space="0" w:color="auto"/>
        <w:bottom w:val="none" w:sz="0" w:space="0" w:color="auto"/>
        <w:right w:val="none" w:sz="0" w:space="0" w:color="auto"/>
      </w:divBdr>
    </w:div>
    <w:div w:id="324435936">
      <w:bodyDiv w:val="1"/>
      <w:marLeft w:val="0"/>
      <w:marRight w:val="0"/>
      <w:marTop w:val="0"/>
      <w:marBottom w:val="0"/>
      <w:divBdr>
        <w:top w:val="none" w:sz="0" w:space="0" w:color="auto"/>
        <w:left w:val="none" w:sz="0" w:space="0" w:color="auto"/>
        <w:bottom w:val="none" w:sz="0" w:space="0" w:color="auto"/>
        <w:right w:val="none" w:sz="0" w:space="0" w:color="auto"/>
      </w:divBdr>
    </w:div>
    <w:div w:id="324743089">
      <w:bodyDiv w:val="1"/>
      <w:marLeft w:val="0"/>
      <w:marRight w:val="0"/>
      <w:marTop w:val="0"/>
      <w:marBottom w:val="0"/>
      <w:divBdr>
        <w:top w:val="none" w:sz="0" w:space="0" w:color="auto"/>
        <w:left w:val="none" w:sz="0" w:space="0" w:color="auto"/>
        <w:bottom w:val="none" w:sz="0" w:space="0" w:color="auto"/>
        <w:right w:val="none" w:sz="0" w:space="0" w:color="auto"/>
      </w:divBdr>
    </w:div>
    <w:div w:id="325091063">
      <w:bodyDiv w:val="1"/>
      <w:marLeft w:val="0"/>
      <w:marRight w:val="0"/>
      <w:marTop w:val="0"/>
      <w:marBottom w:val="0"/>
      <w:divBdr>
        <w:top w:val="none" w:sz="0" w:space="0" w:color="auto"/>
        <w:left w:val="none" w:sz="0" w:space="0" w:color="auto"/>
        <w:bottom w:val="none" w:sz="0" w:space="0" w:color="auto"/>
        <w:right w:val="none" w:sz="0" w:space="0" w:color="auto"/>
      </w:divBdr>
    </w:div>
    <w:div w:id="328023613">
      <w:bodyDiv w:val="1"/>
      <w:marLeft w:val="0"/>
      <w:marRight w:val="0"/>
      <w:marTop w:val="0"/>
      <w:marBottom w:val="0"/>
      <w:divBdr>
        <w:top w:val="none" w:sz="0" w:space="0" w:color="auto"/>
        <w:left w:val="none" w:sz="0" w:space="0" w:color="auto"/>
        <w:bottom w:val="none" w:sz="0" w:space="0" w:color="auto"/>
        <w:right w:val="none" w:sz="0" w:space="0" w:color="auto"/>
      </w:divBdr>
    </w:div>
    <w:div w:id="328026255">
      <w:bodyDiv w:val="1"/>
      <w:marLeft w:val="0"/>
      <w:marRight w:val="0"/>
      <w:marTop w:val="0"/>
      <w:marBottom w:val="0"/>
      <w:divBdr>
        <w:top w:val="none" w:sz="0" w:space="0" w:color="auto"/>
        <w:left w:val="none" w:sz="0" w:space="0" w:color="auto"/>
        <w:bottom w:val="none" w:sz="0" w:space="0" w:color="auto"/>
        <w:right w:val="none" w:sz="0" w:space="0" w:color="auto"/>
      </w:divBdr>
    </w:div>
    <w:div w:id="330958461">
      <w:bodyDiv w:val="1"/>
      <w:marLeft w:val="0"/>
      <w:marRight w:val="0"/>
      <w:marTop w:val="0"/>
      <w:marBottom w:val="0"/>
      <w:divBdr>
        <w:top w:val="none" w:sz="0" w:space="0" w:color="auto"/>
        <w:left w:val="none" w:sz="0" w:space="0" w:color="auto"/>
        <w:bottom w:val="none" w:sz="0" w:space="0" w:color="auto"/>
        <w:right w:val="none" w:sz="0" w:space="0" w:color="auto"/>
      </w:divBdr>
    </w:div>
    <w:div w:id="332149291">
      <w:bodyDiv w:val="1"/>
      <w:marLeft w:val="0"/>
      <w:marRight w:val="0"/>
      <w:marTop w:val="0"/>
      <w:marBottom w:val="0"/>
      <w:divBdr>
        <w:top w:val="none" w:sz="0" w:space="0" w:color="auto"/>
        <w:left w:val="none" w:sz="0" w:space="0" w:color="auto"/>
        <w:bottom w:val="none" w:sz="0" w:space="0" w:color="auto"/>
        <w:right w:val="none" w:sz="0" w:space="0" w:color="auto"/>
      </w:divBdr>
    </w:div>
    <w:div w:id="333845080">
      <w:bodyDiv w:val="1"/>
      <w:marLeft w:val="0"/>
      <w:marRight w:val="0"/>
      <w:marTop w:val="0"/>
      <w:marBottom w:val="0"/>
      <w:divBdr>
        <w:top w:val="none" w:sz="0" w:space="0" w:color="auto"/>
        <w:left w:val="none" w:sz="0" w:space="0" w:color="auto"/>
        <w:bottom w:val="none" w:sz="0" w:space="0" w:color="auto"/>
        <w:right w:val="none" w:sz="0" w:space="0" w:color="auto"/>
      </w:divBdr>
    </w:div>
    <w:div w:id="340857137">
      <w:bodyDiv w:val="1"/>
      <w:marLeft w:val="0"/>
      <w:marRight w:val="0"/>
      <w:marTop w:val="0"/>
      <w:marBottom w:val="0"/>
      <w:divBdr>
        <w:top w:val="none" w:sz="0" w:space="0" w:color="auto"/>
        <w:left w:val="none" w:sz="0" w:space="0" w:color="auto"/>
        <w:bottom w:val="none" w:sz="0" w:space="0" w:color="auto"/>
        <w:right w:val="none" w:sz="0" w:space="0" w:color="auto"/>
      </w:divBdr>
    </w:div>
    <w:div w:id="342635589">
      <w:bodyDiv w:val="1"/>
      <w:marLeft w:val="0"/>
      <w:marRight w:val="0"/>
      <w:marTop w:val="0"/>
      <w:marBottom w:val="0"/>
      <w:divBdr>
        <w:top w:val="none" w:sz="0" w:space="0" w:color="auto"/>
        <w:left w:val="none" w:sz="0" w:space="0" w:color="auto"/>
        <w:bottom w:val="none" w:sz="0" w:space="0" w:color="auto"/>
        <w:right w:val="none" w:sz="0" w:space="0" w:color="auto"/>
      </w:divBdr>
    </w:div>
    <w:div w:id="344093944">
      <w:bodyDiv w:val="1"/>
      <w:marLeft w:val="0"/>
      <w:marRight w:val="0"/>
      <w:marTop w:val="0"/>
      <w:marBottom w:val="0"/>
      <w:divBdr>
        <w:top w:val="none" w:sz="0" w:space="0" w:color="auto"/>
        <w:left w:val="none" w:sz="0" w:space="0" w:color="auto"/>
        <w:bottom w:val="none" w:sz="0" w:space="0" w:color="auto"/>
        <w:right w:val="none" w:sz="0" w:space="0" w:color="auto"/>
      </w:divBdr>
    </w:div>
    <w:div w:id="349646760">
      <w:bodyDiv w:val="1"/>
      <w:marLeft w:val="0"/>
      <w:marRight w:val="0"/>
      <w:marTop w:val="0"/>
      <w:marBottom w:val="0"/>
      <w:divBdr>
        <w:top w:val="none" w:sz="0" w:space="0" w:color="auto"/>
        <w:left w:val="none" w:sz="0" w:space="0" w:color="auto"/>
        <w:bottom w:val="none" w:sz="0" w:space="0" w:color="auto"/>
        <w:right w:val="none" w:sz="0" w:space="0" w:color="auto"/>
      </w:divBdr>
    </w:div>
    <w:div w:id="353502532">
      <w:bodyDiv w:val="1"/>
      <w:marLeft w:val="0"/>
      <w:marRight w:val="0"/>
      <w:marTop w:val="0"/>
      <w:marBottom w:val="0"/>
      <w:divBdr>
        <w:top w:val="none" w:sz="0" w:space="0" w:color="auto"/>
        <w:left w:val="none" w:sz="0" w:space="0" w:color="auto"/>
        <w:bottom w:val="none" w:sz="0" w:space="0" w:color="auto"/>
        <w:right w:val="none" w:sz="0" w:space="0" w:color="auto"/>
      </w:divBdr>
    </w:div>
    <w:div w:id="363941949">
      <w:bodyDiv w:val="1"/>
      <w:marLeft w:val="0"/>
      <w:marRight w:val="0"/>
      <w:marTop w:val="0"/>
      <w:marBottom w:val="0"/>
      <w:divBdr>
        <w:top w:val="none" w:sz="0" w:space="0" w:color="auto"/>
        <w:left w:val="none" w:sz="0" w:space="0" w:color="auto"/>
        <w:bottom w:val="none" w:sz="0" w:space="0" w:color="auto"/>
        <w:right w:val="none" w:sz="0" w:space="0" w:color="auto"/>
      </w:divBdr>
    </w:div>
    <w:div w:id="364403391">
      <w:bodyDiv w:val="1"/>
      <w:marLeft w:val="0"/>
      <w:marRight w:val="0"/>
      <w:marTop w:val="0"/>
      <w:marBottom w:val="0"/>
      <w:divBdr>
        <w:top w:val="none" w:sz="0" w:space="0" w:color="auto"/>
        <w:left w:val="none" w:sz="0" w:space="0" w:color="auto"/>
        <w:bottom w:val="none" w:sz="0" w:space="0" w:color="auto"/>
        <w:right w:val="none" w:sz="0" w:space="0" w:color="auto"/>
      </w:divBdr>
    </w:div>
    <w:div w:id="368460317">
      <w:bodyDiv w:val="1"/>
      <w:marLeft w:val="0"/>
      <w:marRight w:val="0"/>
      <w:marTop w:val="0"/>
      <w:marBottom w:val="0"/>
      <w:divBdr>
        <w:top w:val="none" w:sz="0" w:space="0" w:color="auto"/>
        <w:left w:val="none" w:sz="0" w:space="0" w:color="auto"/>
        <w:bottom w:val="none" w:sz="0" w:space="0" w:color="auto"/>
        <w:right w:val="none" w:sz="0" w:space="0" w:color="auto"/>
      </w:divBdr>
    </w:div>
    <w:div w:id="371348449">
      <w:bodyDiv w:val="1"/>
      <w:marLeft w:val="0"/>
      <w:marRight w:val="0"/>
      <w:marTop w:val="0"/>
      <w:marBottom w:val="0"/>
      <w:divBdr>
        <w:top w:val="none" w:sz="0" w:space="0" w:color="auto"/>
        <w:left w:val="none" w:sz="0" w:space="0" w:color="auto"/>
        <w:bottom w:val="none" w:sz="0" w:space="0" w:color="auto"/>
        <w:right w:val="none" w:sz="0" w:space="0" w:color="auto"/>
      </w:divBdr>
    </w:div>
    <w:div w:id="375324799">
      <w:bodyDiv w:val="1"/>
      <w:marLeft w:val="0"/>
      <w:marRight w:val="0"/>
      <w:marTop w:val="0"/>
      <w:marBottom w:val="0"/>
      <w:divBdr>
        <w:top w:val="none" w:sz="0" w:space="0" w:color="auto"/>
        <w:left w:val="none" w:sz="0" w:space="0" w:color="auto"/>
        <w:bottom w:val="none" w:sz="0" w:space="0" w:color="auto"/>
        <w:right w:val="none" w:sz="0" w:space="0" w:color="auto"/>
      </w:divBdr>
    </w:div>
    <w:div w:id="382146220">
      <w:bodyDiv w:val="1"/>
      <w:marLeft w:val="0"/>
      <w:marRight w:val="0"/>
      <w:marTop w:val="0"/>
      <w:marBottom w:val="0"/>
      <w:divBdr>
        <w:top w:val="none" w:sz="0" w:space="0" w:color="auto"/>
        <w:left w:val="none" w:sz="0" w:space="0" w:color="auto"/>
        <w:bottom w:val="none" w:sz="0" w:space="0" w:color="auto"/>
        <w:right w:val="none" w:sz="0" w:space="0" w:color="auto"/>
      </w:divBdr>
    </w:div>
    <w:div w:id="386413724">
      <w:bodyDiv w:val="1"/>
      <w:marLeft w:val="0"/>
      <w:marRight w:val="0"/>
      <w:marTop w:val="0"/>
      <w:marBottom w:val="0"/>
      <w:divBdr>
        <w:top w:val="none" w:sz="0" w:space="0" w:color="auto"/>
        <w:left w:val="none" w:sz="0" w:space="0" w:color="auto"/>
        <w:bottom w:val="none" w:sz="0" w:space="0" w:color="auto"/>
        <w:right w:val="none" w:sz="0" w:space="0" w:color="auto"/>
      </w:divBdr>
    </w:div>
    <w:div w:id="389350149">
      <w:bodyDiv w:val="1"/>
      <w:marLeft w:val="0"/>
      <w:marRight w:val="0"/>
      <w:marTop w:val="0"/>
      <w:marBottom w:val="0"/>
      <w:divBdr>
        <w:top w:val="none" w:sz="0" w:space="0" w:color="auto"/>
        <w:left w:val="none" w:sz="0" w:space="0" w:color="auto"/>
        <w:bottom w:val="none" w:sz="0" w:space="0" w:color="auto"/>
        <w:right w:val="none" w:sz="0" w:space="0" w:color="auto"/>
      </w:divBdr>
    </w:div>
    <w:div w:id="393941093">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9057096">
      <w:bodyDiv w:val="1"/>
      <w:marLeft w:val="0"/>
      <w:marRight w:val="0"/>
      <w:marTop w:val="0"/>
      <w:marBottom w:val="0"/>
      <w:divBdr>
        <w:top w:val="none" w:sz="0" w:space="0" w:color="auto"/>
        <w:left w:val="none" w:sz="0" w:space="0" w:color="auto"/>
        <w:bottom w:val="none" w:sz="0" w:space="0" w:color="auto"/>
        <w:right w:val="none" w:sz="0" w:space="0" w:color="auto"/>
      </w:divBdr>
    </w:div>
    <w:div w:id="400300716">
      <w:bodyDiv w:val="1"/>
      <w:marLeft w:val="0"/>
      <w:marRight w:val="0"/>
      <w:marTop w:val="0"/>
      <w:marBottom w:val="0"/>
      <w:divBdr>
        <w:top w:val="none" w:sz="0" w:space="0" w:color="auto"/>
        <w:left w:val="none" w:sz="0" w:space="0" w:color="auto"/>
        <w:bottom w:val="none" w:sz="0" w:space="0" w:color="auto"/>
        <w:right w:val="none" w:sz="0" w:space="0" w:color="auto"/>
      </w:divBdr>
    </w:div>
    <w:div w:id="404497393">
      <w:bodyDiv w:val="1"/>
      <w:marLeft w:val="0"/>
      <w:marRight w:val="0"/>
      <w:marTop w:val="0"/>
      <w:marBottom w:val="0"/>
      <w:divBdr>
        <w:top w:val="none" w:sz="0" w:space="0" w:color="auto"/>
        <w:left w:val="none" w:sz="0" w:space="0" w:color="auto"/>
        <w:bottom w:val="none" w:sz="0" w:space="0" w:color="auto"/>
        <w:right w:val="none" w:sz="0" w:space="0" w:color="auto"/>
      </w:divBdr>
    </w:div>
    <w:div w:id="410780236">
      <w:bodyDiv w:val="1"/>
      <w:marLeft w:val="0"/>
      <w:marRight w:val="0"/>
      <w:marTop w:val="0"/>
      <w:marBottom w:val="0"/>
      <w:divBdr>
        <w:top w:val="none" w:sz="0" w:space="0" w:color="auto"/>
        <w:left w:val="none" w:sz="0" w:space="0" w:color="auto"/>
        <w:bottom w:val="none" w:sz="0" w:space="0" w:color="auto"/>
        <w:right w:val="none" w:sz="0" w:space="0" w:color="auto"/>
      </w:divBdr>
    </w:div>
    <w:div w:id="420807388">
      <w:bodyDiv w:val="1"/>
      <w:marLeft w:val="0"/>
      <w:marRight w:val="0"/>
      <w:marTop w:val="0"/>
      <w:marBottom w:val="0"/>
      <w:divBdr>
        <w:top w:val="none" w:sz="0" w:space="0" w:color="auto"/>
        <w:left w:val="none" w:sz="0" w:space="0" w:color="auto"/>
        <w:bottom w:val="none" w:sz="0" w:space="0" w:color="auto"/>
        <w:right w:val="none" w:sz="0" w:space="0" w:color="auto"/>
      </w:divBdr>
    </w:div>
    <w:div w:id="420952758">
      <w:bodyDiv w:val="1"/>
      <w:marLeft w:val="0"/>
      <w:marRight w:val="0"/>
      <w:marTop w:val="0"/>
      <w:marBottom w:val="0"/>
      <w:divBdr>
        <w:top w:val="none" w:sz="0" w:space="0" w:color="auto"/>
        <w:left w:val="none" w:sz="0" w:space="0" w:color="auto"/>
        <w:bottom w:val="none" w:sz="0" w:space="0" w:color="auto"/>
        <w:right w:val="none" w:sz="0" w:space="0" w:color="auto"/>
      </w:divBdr>
    </w:div>
    <w:div w:id="425158259">
      <w:bodyDiv w:val="1"/>
      <w:marLeft w:val="0"/>
      <w:marRight w:val="0"/>
      <w:marTop w:val="0"/>
      <w:marBottom w:val="0"/>
      <w:divBdr>
        <w:top w:val="none" w:sz="0" w:space="0" w:color="auto"/>
        <w:left w:val="none" w:sz="0" w:space="0" w:color="auto"/>
        <w:bottom w:val="none" w:sz="0" w:space="0" w:color="auto"/>
        <w:right w:val="none" w:sz="0" w:space="0" w:color="auto"/>
      </w:divBdr>
    </w:div>
    <w:div w:id="430928522">
      <w:bodyDiv w:val="1"/>
      <w:marLeft w:val="0"/>
      <w:marRight w:val="0"/>
      <w:marTop w:val="0"/>
      <w:marBottom w:val="0"/>
      <w:divBdr>
        <w:top w:val="none" w:sz="0" w:space="0" w:color="auto"/>
        <w:left w:val="none" w:sz="0" w:space="0" w:color="auto"/>
        <w:bottom w:val="none" w:sz="0" w:space="0" w:color="auto"/>
        <w:right w:val="none" w:sz="0" w:space="0" w:color="auto"/>
      </w:divBdr>
    </w:div>
    <w:div w:id="434785002">
      <w:bodyDiv w:val="1"/>
      <w:marLeft w:val="0"/>
      <w:marRight w:val="0"/>
      <w:marTop w:val="0"/>
      <w:marBottom w:val="0"/>
      <w:divBdr>
        <w:top w:val="none" w:sz="0" w:space="0" w:color="auto"/>
        <w:left w:val="none" w:sz="0" w:space="0" w:color="auto"/>
        <w:bottom w:val="none" w:sz="0" w:space="0" w:color="auto"/>
        <w:right w:val="none" w:sz="0" w:space="0" w:color="auto"/>
      </w:divBdr>
    </w:div>
    <w:div w:id="445083782">
      <w:bodyDiv w:val="1"/>
      <w:marLeft w:val="0"/>
      <w:marRight w:val="0"/>
      <w:marTop w:val="0"/>
      <w:marBottom w:val="0"/>
      <w:divBdr>
        <w:top w:val="none" w:sz="0" w:space="0" w:color="auto"/>
        <w:left w:val="none" w:sz="0" w:space="0" w:color="auto"/>
        <w:bottom w:val="none" w:sz="0" w:space="0" w:color="auto"/>
        <w:right w:val="none" w:sz="0" w:space="0" w:color="auto"/>
      </w:divBdr>
    </w:div>
    <w:div w:id="445738341">
      <w:bodyDiv w:val="1"/>
      <w:marLeft w:val="0"/>
      <w:marRight w:val="0"/>
      <w:marTop w:val="0"/>
      <w:marBottom w:val="0"/>
      <w:divBdr>
        <w:top w:val="none" w:sz="0" w:space="0" w:color="auto"/>
        <w:left w:val="none" w:sz="0" w:space="0" w:color="auto"/>
        <w:bottom w:val="none" w:sz="0" w:space="0" w:color="auto"/>
        <w:right w:val="none" w:sz="0" w:space="0" w:color="auto"/>
      </w:divBdr>
    </w:div>
    <w:div w:id="453446917">
      <w:bodyDiv w:val="1"/>
      <w:marLeft w:val="0"/>
      <w:marRight w:val="0"/>
      <w:marTop w:val="0"/>
      <w:marBottom w:val="0"/>
      <w:divBdr>
        <w:top w:val="none" w:sz="0" w:space="0" w:color="auto"/>
        <w:left w:val="none" w:sz="0" w:space="0" w:color="auto"/>
        <w:bottom w:val="none" w:sz="0" w:space="0" w:color="auto"/>
        <w:right w:val="none" w:sz="0" w:space="0" w:color="auto"/>
      </w:divBdr>
    </w:div>
    <w:div w:id="454254980">
      <w:bodyDiv w:val="1"/>
      <w:marLeft w:val="0"/>
      <w:marRight w:val="0"/>
      <w:marTop w:val="0"/>
      <w:marBottom w:val="0"/>
      <w:divBdr>
        <w:top w:val="none" w:sz="0" w:space="0" w:color="auto"/>
        <w:left w:val="none" w:sz="0" w:space="0" w:color="auto"/>
        <w:bottom w:val="none" w:sz="0" w:space="0" w:color="auto"/>
        <w:right w:val="none" w:sz="0" w:space="0" w:color="auto"/>
      </w:divBdr>
    </w:div>
    <w:div w:id="454258974">
      <w:bodyDiv w:val="1"/>
      <w:marLeft w:val="0"/>
      <w:marRight w:val="0"/>
      <w:marTop w:val="0"/>
      <w:marBottom w:val="0"/>
      <w:divBdr>
        <w:top w:val="none" w:sz="0" w:space="0" w:color="auto"/>
        <w:left w:val="none" w:sz="0" w:space="0" w:color="auto"/>
        <w:bottom w:val="none" w:sz="0" w:space="0" w:color="auto"/>
        <w:right w:val="none" w:sz="0" w:space="0" w:color="auto"/>
      </w:divBdr>
    </w:div>
    <w:div w:id="461657170">
      <w:bodyDiv w:val="1"/>
      <w:marLeft w:val="0"/>
      <w:marRight w:val="0"/>
      <w:marTop w:val="0"/>
      <w:marBottom w:val="0"/>
      <w:divBdr>
        <w:top w:val="none" w:sz="0" w:space="0" w:color="auto"/>
        <w:left w:val="none" w:sz="0" w:space="0" w:color="auto"/>
        <w:bottom w:val="none" w:sz="0" w:space="0" w:color="auto"/>
        <w:right w:val="none" w:sz="0" w:space="0" w:color="auto"/>
      </w:divBdr>
    </w:div>
    <w:div w:id="463161860">
      <w:bodyDiv w:val="1"/>
      <w:marLeft w:val="0"/>
      <w:marRight w:val="0"/>
      <w:marTop w:val="0"/>
      <w:marBottom w:val="0"/>
      <w:divBdr>
        <w:top w:val="none" w:sz="0" w:space="0" w:color="auto"/>
        <w:left w:val="none" w:sz="0" w:space="0" w:color="auto"/>
        <w:bottom w:val="none" w:sz="0" w:space="0" w:color="auto"/>
        <w:right w:val="none" w:sz="0" w:space="0" w:color="auto"/>
      </w:divBdr>
    </w:div>
    <w:div w:id="470362304">
      <w:bodyDiv w:val="1"/>
      <w:marLeft w:val="0"/>
      <w:marRight w:val="0"/>
      <w:marTop w:val="0"/>
      <w:marBottom w:val="0"/>
      <w:divBdr>
        <w:top w:val="none" w:sz="0" w:space="0" w:color="auto"/>
        <w:left w:val="none" w:sz="0" w:space="0" w:color="auto"/>
        <w:bottom w:val="none" w:sz="0" w:space="0" w:color="auto"/>
        <w:right w:val="none" w:sz="0" w:space="0" w:color="auto"/>
      </w:divBdr>
    </w:div>
    <w:div w:id="475339357">
      <w:bodyDiv w:val="1"/>
      <w:marLeft w:val="0"/>
      <w:marRight w:val="0"/>
      <w:marTop w:val="0"/>
      <w:marBottom w:val="0"/>
      <w:divBdr>
        <w:top w:val="none" w:sz="0" w:space="0" w:color="auto"/>
        <w:left w:val="none" w:sz="0" w:space="0" w:color="auto"/>
        <w:bottom w:val="none" w:sz="0" w:space="0" w:color="auto"/>
        <w:right w:val="none" w:sz="0" w:space="0" w:color="auto"/>
      </w:divBdr>
    </w:div>
    <w:div w:id="475954902">
      <w:bodyDiv w:val="1"/>
      <w:marLeft w:val="0"/>
      <w:marRight w:val="0"/>
      <w:marTop w:val="0"/>
      <w:marBottom w:val="0"/>
      <w:divBdr>
        <w:top w:val="none" w:sz="0" w:space="0" w:color="auto"/>
        <w:left w:val="none" w:sz="0" w:space="0" w:color="auto"/>
        <w:bottom w:val="none" w:sz="0" w:space="0" w:color="auto"/>
        <w:right w:val="none" w:sz="0" w:space="0" w:color="auto"/>
      </w:divBdr>
    </w:div>
    <w:div w:id="476456378">
      <w:bodyDiv w:val="1"/>
      <w:marLeft w:val="0"/>
      <w:marRight w:val="0"/>
      <w:marTop w:val="0"/>
      <w:marBottom w:val="0"/>
      <w:divBdr>
        <w:top w:val="none" w:sz="0" w:space="0" w:color="auto"/>
        <w:left w:val="none" w:sz="0" w:space="0" w:color="auto"/>
        <w:bottom w:val="none" w:sz="0" w:space="0" w:color="auto"/>
        <w:right w:val="none" w:sz="0" w:space="0" w:color="auto"/>
      </w:divBdr>
    </w:div>
    <w:div w:id="478378673">
      <w:bodyDiv w:val="1"/>
      <w:marLeft w:val="0"/>
      <w:marRight w:val="0"/>
      <w:marTop w:val="0"/>
      <w:marBottom w:val="0"/>
      <w:divBdr>
        <w:top w:val="none" w:sz="0" w:space="0" w:color="auto"/>
        <w:left w:val="none" w:sz="0" w:space="0" w:color="auto"/>
        <w:bottom w:val="none" w:sz="0" w:space="0" w:color="auto"/>
        <w:right w:val="none" w:sz="0" w:space="0" w:color="auto"/>
      </w:divBdr>
    </w:div>
    <w:div w:id="479346506">
      <w:bodyDiv w:val="1"/>
      <w:marLeft w:val="0"/>
      <w:marRight w:val="0"/>
      <w:marTop w:val="0"/>
      <w:marBottom w:val="0"/>
      <w:divBdr>
        <w:top w:val="none" w:sz="0" w:space="0" w:color="auto"/>
        <w:left w:val="none" w:sz="0" w:space="0" w:color="auto"/>
        <w:bottom w:val="none" w:sz="0" w:space="0" w:color="auto"/>
        <w:right w:val="none" w:sz="0" w:space="0" w:color="auto"/>
      </w:divBdr>
    </w:div>
    <w:div w:id="480469498">
      <w:bodyDiv w:val="1"/>
      <w:marLeft w:val="0"/>
      <w:marRight w:val="0"/>
      <w:marTop w:val="0"/>
      <w:marBottom w:val="0"/>
      <w:divBdr>
        <w:top w:val="none" w:sz="0" w:space="0" w:color="auto"/>
        <w:left w:val="none" w:sz="0" w:space="0" w:color="auto"/>
        <w:bottom w:val="none" w:sz="0" w:space="0" w:color="auto"/>
        <w:right w:val="none" w:sz="0" w:space="0" w:color="auto"/>
      </w:divBdr>
    </w:div>
    <w:div w:id="486017124">
      <w:bodyDiv w:val="1"/>
      <w:marLeft w:val="0"/>
      <w:marRight w:val="0"/>
      <w:marTop w:val="0"/>
      <w:marBottom w:val="0"/>
      <w:divBdr>
        <w:top w:val="none" w:sz="0" w:space="0" w:color="auto"/>
        <w:left w:val="none" w:sz="0" w:space="0" w:color="auto"/>
        <w:bottom w:val="none" w:sz="0" w:space="0" w:color="auto"/>
        <w:right w:val="none" w:sz="0" w:space="0" w:color="auto"/>
      </w:divBdr>
    </w:div>
    <w:div w:id="489250570">
      <w:bodyDiv w:val="1"/>
      <w:marLeft w:val="0"/>
      <w:marRight w:val="0"/>
      <w:marTop w:val="0"/>
      <w:marBottom w:val="0"/>
      <w:divBdr>
        <w:top w:val="none" w:sz="0" w:space="0" w:color="auto"/>
        <w:left w:val="none" w:sz="0" w:space="0" w:color="auto"/>
        <w:bottom w:val="none" w:sz="0" w:space="0" w:color="auto"/>
        <w:right w:val="none" w:sz="0" w:space="0" w:color="auto"/>
      </w:divBdr>
    </w:div>
    <w:div w:id="492837308">
      <w:bodyDiv w:val="1"/>
      <w:marLeft w:val="0"/>
      <w:marRight w:val="0"/>
      <w:marTop w:val="0"/>
      <w:marBottom w:val="0"/>
      <w:divBdr>
        <w:top w:val="none" w:sz="0" w:space="0" w:color="auto"/>
        <w:left w:val="none" w:sz="0" w:space="0" w:color="auto"/>
        <w:bottom w:val="none" w:sz="0" w:space="0" w:color="auto"/>
        <w:right w:val="none" w:sz="0" w:space="0" w:color="auto"/>
      </w:divBdr>
    </w:div>
    <w:div w:id="492838610">
      <w:bodyDiv w:val="1"/>
      <w:marLeft w:val="0"/>
      <w:marRight w:val="0"/>
      <w:marTop w:val="0"/>
      <w:marBottom w:val="0"/>
      <w:divBdr>
        <w:top w:val="none" w:sz="0" w:space="0" w:color="auto"/>
        <w:left w:val="none" w:sz="0" w:space="0" w:color="auto"/>
        <w:bottom w:val="none" w:sz="0" w:space="0" w:color="auto"/>
        <w:right w:val="none" w:sz="0" w:space="0" w:color="auto"/>
      </w:divBdr>
    </w:div>
    <w:div w:id="493225309">
      <w:bodyDiv w:val="1"/>
      <w:marLeft w:val="0"/>
      <w:marRight w:val="0"/>
      <w:marTop w:val="0"/>
      <w:marBottom w:val="0"/>
      <w:divBdr>
        <w:top w:val="none" w:sz="0" w:space="0" w:color="auto"/>
        <w:left w:val="none" w:sz="0" w:space="0" w:color="auto"/>
        <w:bottom w:val="none" w:sz="0" w:space="0" w:color="auto"/>
        <w:right w:val="none" w:sz="0" w:space="0" w:color="auto"/>
      </w:divBdr>
    </w:div>
    <w:div w:id="506477525">
      <w:bodyDiv w:val="1"/>
      <w:marLeft w:val="0"/>
      <w:marRight w:val="0"/>
      <w:marTop w:val="0"/>
      <w:marBottom w:val="0"/>
      <w:divBdr>
        <w:top w:val="none" w:sz="0" w:space="0" w:color="auto"/>
        <w:left w:val="none" w:sz="0" w:space="0" w:color="auto"/>
        <w:bottom w:val="none" w:sz="0" w:space="0" w:color="auto"/>
        <w:right w:val="none" w:sz="0" w:space="0" w:color="auto"/>
      </w:divBdr>
    </w:div>
    <w:div w:id="509683682">
      <w:bodyDiv w:val="1"/>
      <w:marLeft w:val="0"/>
      <w:marRight w:val="0"/>
      <w:marTop w:val="0"/>
      <w:marBottom w:val="0"/>
      <w:divBdr>
        <w:top w:val="none" w:sz="0" w:space="0" w:color="auto"/>
        <w:left w:val="none" w:sz="0" w:space="0" w:color="auto"/>
        <w:bottom w:val="none" w:sz="0" w:space="0" w:color="auto"/>
        <w:right w:val="none" w:sz="0" w:space="0" w:color="auto"/>
      </w:divBdr>
    </w:div>
    <w:div w:id="515076642">
      <w:bodyDiv w:val="1"/>
      <w:marLeft w:val="0"/>
      <w:marRight w:val="0"/>
      <w:marTop w:val="0"/>
      <w:marBottom w:val="0"/>
      <w:divBdr>
        <w:top w:val="none" w:sz="0" w:space="0" w:color="auto"/>
        <w:left w:val="none" w:sz="0" w:space="0" w:color="auto"/>
        <w:bottom w:val="none" w:sz="0" w:space="0" w:color="auto"/>
        <w:right w:val="none" w:sz="0" w:space="0" w:color="auto"/>
      </w:divBdr>
    </w:div>
    <w:div w:id="517233103">
      <w:bodyDiv w:val="1"/>
      <w:marLeft w:val="0"/>
      <w:marRight w:val="0"/>
      <w:marTop w:val="0"/>
      <w:marBottom w:val="0"/>
      <w:divBdr>
        <w:top w:val="none" w:sz="0" w:space="0" w:color="auto"/>
        <w:left w:val="none" w:sz="0" w:space="0" w:color="auto"/>
        <w:bottom w:val="none" w:sz="0" w:space="0" w:color="auto"/>
        <w:right w:val="none" w:sz="0" w:space="0" w:color="auto"/>
      </w:divBdr>
    </w:div>
    <w:div w:id="522130759">
      <w:bodyDiv w:val="1"/>
      <w:marLeft w:val="0"/>
      <w:marRight w:val="0"/>
      <w:marTop w:val="0"/>
      <w:marBottom w:val="0"/>
      <w:divBdr>
        <w:top w:val="none" w:sz="0" w:space="0" w:color="auto"/>
        <w:left w:val="none" w:sz="0" w:space="0" w:color="auto"/>
        <w:bottom w:val="none" w:sz="0" w:space="0" w:color="auto"/>
        <w:right w:val="none" w:sz="0" w:space="0" w:color="auto"/>
      </w:divBdr>
    </w:div>
    <w:div w:id="524095218">
      <w:bodyDiv w:val="1"/>
      <w:marLeft w:val="0"/>
      <w:marRight w:val="0"/>
      <w:marTop w:val="0"/>
      <w:marBottom w:val="0"/>
      <w:divBdr>
        <w:top w:val="none" w:sz="0" w:space="0" w:color="auto"/>
        <w:left w:val="none" w:sz="0" w:space="0" w:color="auto"/>
        <w:bottom w:val="none" w:sz="0" w:space="0" w:color="auto"/>
        <w:right w:val="none" w:sz="0" w:space="0" w:color="auto"/>
      </w:divBdr>
    </w:div>
    <w:div w:id="524096319">
      <w:bodyDiv w:val="1"/>
      <w:marLeft w:val="0"/>
      <w:marRight w:val="0"/>
      <w:marTop w:val="0"/>
      <w:marBottom w:val="0"/>
      <w:divBdr>
        <w:top w:val="none" w:sz="0" w:space="0" w:color="auto"/>
        <w:left w:val="none" w:sz="0" w:space="0" w:color="auto"/>
        <w:bottom w:val="none" w:sz="0" w:space="0" w:color="auto"/>
        <w:right w:val="none" w:sz="0" w:space="0" w:color="auto"/>
      </w:divBdr>
    </w:div>
    <w:div w:id="529144543">
      <w:bodyDiv w:val="1"/>
      <w:marLeft w:val="0"/>
      <w:marRight w:val="0"/>
      <w:marTop w:val="0"/>
      <w:marBottom w:val="0"/>
      <w:divBdr>
        <w:top w:val="none" w:sz="0" w:space="0" w:color="auto"/>
        <w:left w:val="none" w:sz="0" w:space="0" w:color="auto"/>
        <w:bottom w:val="none" w:sz="0" w:space="0" w:color="auto"/>
        <w:right w:val="none" w:sz="0" w:space="0" w:color="auto"/>
      </w:divBdr>
    </w:div>
    <w:div w:id="533422861">
      <w:bodyDiv w:val="1"/>
      <w:marLeft w:val="0"/>
      <w:marRight w:val="0"/>
      <w:marTop w:val="0"/>
      <w:marBottom w:val="0"/>
      <w:divBdr>
        <w:top w:val="none" w:sz="0" w:space="0" w:color="auto"/>
        <w:left w:val="none" w:sz="0" w:space="0" w:color="auto"/>
        <w:bottom w:val="none" w:sz="0" w:space="0" w:color="auto"/>
        <w:right w:val="none" w:sz="0" w:space="0" w:color="auto"/>
      </w:divBdr>
    </w:div>
    <w:div w:id="539509728">
      <w:bodyDiv w:val="1"/>
      <w:marLeft w:val="0"/>
      <w:marRight w:val="0"/>
      <w:marTop w:val="0"/>
      <w:marBottom w:val="0"/>
      <w:divBdr>
        <w:top w:val="none" w:sz="0" w:space="0" w:color="auto"/>
        <w:left w:val="none" w:sz="0" w:space="0" w:color="auto"/>
        <w:bottom w:val="none" w:sz="0" w:space="0" w:color="auto"/>
        <w:right w:val="none" w:sz="0" w:space="0" w:color="auto"/>
      </w:divBdr>
    </w:div>
    <w:div w:id="539898340">
      <w:bodyDiv w:val="1"/>
      <w:marLeft w:val="0"/>
      <w:marRight w:val="0"/>
      <w:marTop w:val="0"/>
      <w:marBottom w:val="0"/>
      <w:divBdr>
        <w:top w:val="none" w:sz="0" w:space="0" w:color="auto"/>
        <w:left w:val="none" w:sz="0" w:space="0" w:color="auto"/>
        <w:bottom w:val="none" w:sz="0" w:space="0" w:color="auto"/>
        <w:right w:val="none" w:sz="0" w:space="0" w:color="auto"/>
      </w:divBdr>
    </w:div>
    <w:div w:id="543174332">
      <w:bodyDiv w:val="1"/>
      <w:marLeft w:val="0"/>
      <w:marRight w:val="0"/>
      <w:marTop w:val="0"/>
      <w:marBottom w:val="0"/>
      <w:divBdr>
        <w:top w:val="none" w:sz="0" w:space="0" w:color="auto"/>
        <w:left w:val="none" w:sz="0" w:space="0" w:color="auto"/>
        <w:bottom w:val="none" w:sz="0" w:space="0" w:color="auto"/>
        <w:right w:val="none" w:sz="0" w:space="0" w:color="auto"/>
      </w:divBdr>
    </w:div>
    <w:div w:id="546139647">
      <w:bodyDiv w:val="1"/>
      <w:marLeft w:val="0"/>
      <w:marRight w:val="0"/>
      <w:marTop w:val="0"/>
      <w:marBottom w:val="0"/>
      <w:divBdr>
        <w:top w:val="none" w:sz="0" w:space="0" w:color="auto"/>
        <w:left w:val="none" w:sz="0" w:space="0" w:color="auto"/>
        <w:bottom w:val="none" w:sz="0" w:space="0" w:color="auto"/>
        <w:right w:val="none" w:sz="0" w:space="0" w:color="auto"/>
      </w:divBdr>
    </w:div>
    <w:div w:id="546336702">
      <w:bodyDiv w:val="1"/>
      <w:marLeft w:val="0"/>
      <w:marRight w:val="0"/>
      <w:marTop w:val="0"/>
      <w:marBottom w:val="0"/>
      <w:divBdr>
        <w:top w:val="none" w:sz="0" w:space="0" w:color="auto"/>
        <w:left w:val="none" w:sz="0" w:space="0" w:color="auto"/>
        <w:bottom w:val="none" w:sz="0" w:space="0" w:color="auto"/>
        <w:right w:val="none" w:sz="0" w:space="0" w:color="auto"/>
      </w:divBdr>
    </w:div>
    <w:div w:id="547768598">
      <w:bodyDiv w:val="1"/>
      <w:marLeft w:val="0"/>
      <w:marRight w:val="0"/>
      <w:marTop w:val="0"/>
      <w:marBottom w:val="0"/>
      <w:divBdr>
        <w:top w:val="none" w:sz="0" w:space="0" w:color="auto"/>
        <w:left w:val="none" w:sz="0" w:space="0" w:color="auto"/>
        <w:bottom w:val="none" w:sz="0" w:space="0" w:color="auto"/>
        <w:right w:val="none" w:sz="0" w:space="0" w:color="auto"/>
      </w:divBdr>
    </w:div>
    <w:div w:id="548343928">
      <w:bodyDiv w:val="1"/>
      <w:marLeft w:val="0"/>
      <w:marRight w:val="0"/>
      <w:marTop w:val="0"/>
      <w:marBottom w:val="0"/>
      <w:divBdr>
        <w:top w:val="none" w:sz="0" w:space="0" w:color="auto"/>
        <w:left w:val="none" w:sz="0" w:space="0" w:color="auto"/>
        <w:bottom w:val="none" w:sz="0" w:space="0" w:color="auto"/>
        <w:right w:val="none" w:sz="0" w:space="0" w:color="auto"/>
      </w:divBdr>
    </w:div>
    <w:div w:id="551502248">
      <w:bodyDiv w:val="1"/>
      <w:marLeft w:val="0"/>
      <w:marRight w:val="0"/>
      <w:marTop w:val="0"/>
      <w:marBottom w:val="0"/>
      <w:divBdr>
        <w:top w:val="none" w:sz="0" w:space="0" w:color="auto"/>
        <w:left w:val="none" w:sz="0" w:space="0" w:color="auto"/>
        <w:bottom w:val="none" w:sz="0" w:space="0" w:color="auto"/>
        <w:right w:val="none" w:sz="0" w:space="0" w:color="auto"/>
      </w:divBdr>
    </w:div>
    <w:div w:id="552616037">
      <w:bodyDiv w:val="1"/>
      <w:marLeft w:val="0"/>
      <w:marRight w:val="0"/>
      <w:marTop w:val="0"/>
      <w:marBottom w:val="0"/>
      <w:divBdr>
        <w:top w:val="none" w:sz="0" w:space="0" w:color="auto"/>
        <w:left w:val="none" w:sz="0" w:space="0" w:color="auto"/>
        <w:bottom w:val="none" w:sz="0" w:space="0" w:color="auto"/>
        <w:right w:val="none" w:sz="0" w:space="0" w:color="auto"/>
      </w:divBdr>
    </w:div>
    <w:div w:id="557059512">
      <w:bodyDiv w:val="1"/>
      <w:marLeft w:val="0"/>
      <w:marRight w:val="0"/>
      <w:marTop w:val="0"/>
      <w:marBottom w:val="0"/>
      <w:divBdr>
        <w:top w:val="none" w:sz="0" w:space="0" w:color="auto"/>
        <w:left w:val="none" w:sz="0" w:space="0" w:color="auto"/>
        <w:bottom w:val="none" w:sz="0" w:space="0" w:color="auto"/>
        <w:right w:val="none" w:sz="0" w:space="0" w:color="auto"/>
      </w:divBdr>
    </w:div>
    <w:div w:id="560874198">
      <w:bodyDiv w:val="1"/>
      <w:marLeft w:val="0"/>
      <w:marRight w:val="0"/>
      <w:marTop w:val="0"/>
      <w:marBottom w:val="0"/>
      <w:divBdr>
        <w:top w:val="none" w:sz="0" w:space="0" w:color="auto"/>
        <w:left w:val="none" w:sz="0" w:space="0" w:color="auto"/>
        <w:bottom w:val="none" w:sz="0" w:space="0" w:color="auto"/>
        <w:right w:val="none" w:sz="0" w:space="0" w:color="auto"/>
      </w:divBdr>
    </w:div>
    <w:div w:id="567037826">
      <w:bodyDiv w:val="1"/>
      <w:marLeft w:val="0"/>
      <w:marRight w:val="0"/>
      <w:marTop w:val="0"/>
      <w:marBottom w:val="0"/>
      <w:divBdr>
        <w:top w:val="none" w:sz="0" w:space="0" w:color="auto"/>
        <w:left w:val="none" w:sz="0" w:space="0" w:color="auto"/>
        <w:bottom w:val="none" w:sz="0" w:space="0" w:color="auto"/>
        <w:right w:val="none" w:sz="0" w:space="0" w:color="auto"/>
      </w:divBdr>
    </w:div>
    <w:div w:id="567886161">
      <w:bodyDiv w:val="1"/>
      <w:marLeft w:val="0"/>
      <w:marRight w:val="0"/>
      <w:marTop w:val="0"/>
      <w:marBottom w:val="0"/>
      <w:divBdr>
        <w:top w:val="none" w:sz="0" w:space="0" w:color="auto"/>
        <w:left w:val="none" w:sz="0" w:space="0" w:color="auto"/>
        <w:bottom w:val="none" w:sz="0" w:space="0" w:color="auto"/>
        <w:right w:val="none" w:sz="0" w:space="0" w:color="auto"/>
      </w:divBdr>
    </w:div>
    <w:div w:id="568612014">
      <w:bodyDiv w:val="1"/>
      <w:marLeft w:val="0"/>
      <w:marRight w:val="0"/>
      <w:marTop w:val="0"/>
      <w:marBottom w:val="0"/>
      <w:divBdr>
        <w:top w:val="none" w:sz="0" w:space="0" w:color="auto"/>
        <w:left w:val="none" w:sz="0" w:space="0" w:color="auto"/>
        <w:bottom w:val="none" w:sz="0" w:space="0" w:color="auto"/>
        <w:right w:val="none" w:sz="0" w:space="0" w:color="auto"/>
      </w:divBdr>
    </w:div>
    <w:div w:id="573589670">
      <w:bodyDiv w:val="1"/>
      <w:marLeft w:val="0"/>
      <w:marRight w:val="0"/>
      <w:marTop w:val="0"/>
      <w:marBottom w:val="0"/>
      <w:divBdr>
        <w:top w:val="none" w:sz="0" w:space="0" w:color="auto"/>
        <w:left w:val="none" w:sz="0" w:space="0" w:color="auto"/>
        <w:bottom w:val="none" w:sz="0" w:space="0" w:color="auto"/>
        <w:right w:val="none" w:sz="0" w:space="0" w:color="auto"/>
      </w:divBdr>
    </w:div>
    <w:div w:id="584996883">
      <w:bodyDiv w:val="1"/>
      <w:marLeft w:val="0"/>
      <w:marRight w:val="0"/>
      <w:marTop w:val="0"/>
      <w:marBottom w:val="0"/>
      <w:divBdr>
        <w:top w:val="none" w:sz="0" w:space="0" w:color="auto"/>
        <w:left w:val="none" w:sz="0" w:space="0" w:color="auto"/>
        <w:bottom w:val="none" w:sz="0" w:space="0" w:color="auto"/>
        <w:right w:val="none" w:sz="0" w:space="0" w:color="auto"/>
      </w:divBdr>
    </w:div>
    <w:div w:id="585574605">
      <w:bodyDiv w:val="1"/>
      <w:marLeft w:val="0"/>
      <w:marRight w:val="0"/>
      <w:marTop w:val="0"/>
      <w:marBottom w:val="0"/>
      <w:divBdr>
        <w:top w:val="none" w:sz="0" w:space="0" w:color="auto"/>
        <w:left w:val="none" w:sz="0" w:space="0" w:color="auto"/>
        <w:bottom w:val="none" w:sz="0" w:space="0" w:color="auto"/>
        <w:right w:val="none" w:sz="0" w:space="0" w:color="auto"/>
      </w:divBdr>
    </w:div>
    <w:div w:id="600338040">
      <w:bodyDiv w:val="1"/>
      <w:marLeft w:val="0"/>
      <w:marRight w:val="0"/>
      <w:marTop w:val="0"/>
      <w:marBottom w:val="0"/>
      <w:divBdr>
        <w:top w:val="none" w:sz="0" w:space="0" w:color="auto"/>
        <w:left w:val="none" w:sz="0" w:space="0" w:color="auto"/>
        <w:bottom w:val="none" w:sz="0" w:space="0" w:color="auto"/>
        <w:right w:val="none" w:sz="0" w:space="0" w:color="auto"/>
      </w:divBdr>
    </w:div>
    <w:div w:id="603611529">
      <w:bodyDiv w:val="1"/>
      <w:marLeft w:val="0"/>
      <w:marRight w:val="0"/>
      <w:marTop w:val="0"/>
      <w:marBottom w:val="0"/>
      <w:divBdr>
        <w:top w:val="none" w:sz="0" w:space="0" w:color="auto"/>
        <w:left w:val="none" w:sz="0" w:space="0" w:color="auto"/>
        <w:bottom w:val="none" w:sz="0" w:space="0" w:color="auto"/>
        <w:right w:val="none" w:sz="0" w:space="0" w:color="auto"/>
      </w:divBdr>
    </w:div>
    <w:div w:id="605043560">
      <w:bodyDiv w:val="1"/>
      <w:marLeft w:val="0"/>
      <w:marRight w:val="0"/>
      <w:marTop w:val="0"/>
      <w:marBottom w:val="0"/>
      <w:divBdr>
        <w:top w:val="none" w:sz="0" w:space="0" w:color="auto"/>
        <w:left w:val="none" w:sz="0" w:space="0" w:color="auto"/>
        <w:bottom w:val="none" w:sz="0" w:space="0" w:color="auto"/>
        <w:right w:val="none" w:sz="0" w:space="0" w:color="auto"/>
      </w:divBdr>
    </w:div>
    <w:div w:id="607783255">
      <w:bodyDiv w:val="1"/>
      <w:marLeft w:val="0"/>
      <w:marRight w:val="0"/>
      <w:marTop w:val="0"/>
      <w:marBottom w:val="0"/>
      <w:divBdr>
        <w:top w:val="none" w:sz="0" w:space="0" w:color="auto"/>
        <w:left w:val="none" w:sz="0" w:space="0" w:color="auto"/>
        <w:bottom w:val="none" w:sz="0" w:space="0" w:color="auto"/>
        <w:right w:val="none" w:sz="0" w:space="0" w:color="auto"/>
      </w:divBdr>
    </w:div>
    <w:div w:id="608664618">
      <w:bodyDiv w:val="1"/>
      <w:marLeft w:val="0"/>
      <w:marRight w:val="0"/>
      <w:marTop w:val="0"/>
      <w:marBottom w:val="0"/>
      <w:divBdr>
        <w:top w:val="none" w:sz="0" w:space="0" w:color="auto"/>
        <w:left w:val="none" w:sz="0" w:space="0" w:color="auto"/>
        <w:bottom w:val="none" w:sz="0" w:space="0" w:color="auto"/>
        <w:right w:val="none" w:sz="0" w:space="0" w:color="auto"/>
      </w:divBdr>
    </w:div>
    <w:div w:id="609358466">
      <w:bodyDiv w:val="1"/>
      <w:marLeft w:val="0"/>
      <w:marRight w:val="0"/>
      <w:marTop w:val="0"/>
      <w:marBottom w:val="0"/>
      <w:divBdr>
        <w:top w:val="none" w:sz="0" w:space="0" w:color="auto"/>
        <w:left w:val="none" w:sz="0" w:space="0" w:color="auto"/>
        <w:bottom w:val="none" w:sz="0" w:space="0" w:color="auto"/>
        <w:right w:val="none" w:sz="0" w:space="0" w:color="auto"/>
      </w:divBdr>
    </w:div>
    <w:div w:id="616136407">
      <w:bodyDiv w:val="1"/>
      <w:marLeft w:val="0"/>
      <w:marRight w:val="0"/>
      <w:marTop w:val="0"/>
      <w:marBottom w:val="0"/>
      <w:divBdr>
        <w:top w:val="none" w:sz="0" w:space="0" w:color="auto"/>
        <w:left w:val="none" w:sz="0" w:space="0" w:color="auto"/>
        <w:bottom w:val="none" w:sz="0" w:space="0" w:color="auto"/>
        <w:right w:val="none" w:sz="0" w:space="0" w:color="auto"/>
      </w:divBdr>
    </w:div>
    <w:div w:id="617219155">
      <w:bodyDiv w:val="1"/>
      <w:marLeft w:val="0"/>
      <w:marRight w:val="0"/>
      <w:marTop w:val="0"/>
      <w:marBottom w:val="0"/>
      <w:divBdr>
        <w:top w:val="none" w:sz="0" w:space="0" w:color="auto"/>
        <w:left w:val="none" w:sz="0" w:space="0" w:color="auto"/>
        <w:bottom w:val="none" w:sz="0" w:space="0" w:color="auto"/>
        <w:right w:val="none" w:sz="0" w:space="0" w:color="auto"/>
      </w:divBdr>
    </w:div>
    <w:div w:id="622462222">
      <w:bodyDiv w:val="1"/>
      <w:marLeft w:val="0"/>
      <w:marRight w:val="0"/>
      <w:marTop w:val="0"/>
      <w:marBottom w:val="0"/>
      <w:divBdr>
        <w:top w:val="none" w:sz="0" w:space="0" w:color="auto"/>
        <w:left w:val="none" w:sz="0" w:space="0" w:color="auto"/>
        <w:bottom w:val="none" w:sz="0" w:space="0" w:color="auto"/>
        <w:right w:val="none" w:sz="0" w:space="0" w:color="auto"/>
      </w:divBdr>
    </w:div>
    <w:div w:id="626355909">
      <w:bodyDiv w:val="1"/>
      <w:marLeft w:val="0"/>
      <w:marRight w:val="0"/>
      <w:marTop w:val="0"/>
      <w:marBottom w:val="0"/>
      <w:divBdr>
        <w:top w:val="none" w:sz="0" w:space="0" w:color="auto"/>
        <w:left w:val="none" w:sz="0" w:space="0" w:color="auto"/>
        <w:bottom w:val="none" w:sz="0" w:space="0" w:color="auto"/>
        <w:right w:val="none" w:sz="0" w:space="0" w:color="auto"/>
      </w:divBdr>
    </w:div>
    <w:div w:id="628709133">
      <w:bodyDiv w:val="1"/>
      <w:marLeft w:val="0"/>
      <w:marRight w:val="0"/>
      <w:marTop w:val="0"/>
      <w:marBottom w:val="0"/>
      <w:divBdr>
        <w:top w:val="none" w:sz="0" w:space="0" w:color="auto"/>
        <w:left w:val="none" w:sz="0" w:space="0" w:color="auto"/>
        <w:bottom w:val="none" w:sz="0" w:space="0" w:color="auto"/>
        <w:right w:val="none" w:sz="0" w:space="0" w:color="auto"/>
      </w:divBdr>
    </w:div>
    <w:div w:id="630289959">
      <w:bodyDiv w:val="1"/>
      <w:marLeft w:val="0"/>
      <w:marRight w:val="0"/>
      <w:marTop w:val="0"/>
      <w:marBottom w:val="0"/>
      <w:divBdr>
        <w:top w:val="none" w:sz="0" w:space="0" w:color="auto"/>
        <w:left w:val="none" w:sz="0" w:space="0" w:color="auto"/>
        <w:bottom w:val="none" w:sz="0" w:space="0" w:color="auto"/>
        <w:right w:val="none" w:sz="0" w:space="0" w:color="auto"/>
      </w:divBdr>
    </w:div>
    <w:div w:id="646470234">
      <w:bodyDiv w:val="1"/>
      <w:marLeft w:val="0"/>
      <w:marRight w:val="0"/>
      <w:marTop w:val="0"/>
      <w:marBottom w:val="0"/>
      <w:divBdr>
        <w:top w:val="none" w:sz="0" w:space="0" w:color="auto"/>
        <w:left w:val="none" w:sz="0" w:space="0" w:color="auto"/>
        <w:bottom w:val="none" w:sz="0" w:space="0" w:color="auto"/>
        <w:right w:val="none" w:sz="0" w:space="0" w:color="auto"/>
      </w:divBdr>
    </w:div>
    <w:div w:id="650410068">
      <w:bodyDiv w:val="1"/>
      <w:marLeft w:val="0"/>
      <w:marRight w:val="0"/>
      <w:marTop w:val="0"/>
      <w:marBottom w:val="0"/>
      <w:divBdr>
        <w:top w:val="none" w:sz="0" w:space="0" w:color="auto"/>
        <w:left w:val="none" w:sz="0" w:space="0" w:color="auto"/>
        <w:bottom w:val="none" w:sz="0" w:space="0" w:color="auto"/>
        <w:right w:val="none" w:sz="0" w:space="0" w:color="auto"/>
      </w:divBdr>
    </w:div>
    <w:div w:id="651449541">
      <w:bodyDiv w:val="1"/>
      <w:marLeft w:val="0"/>
      <w:marRight w:val="0"/>
      <w:marTop w:val="0"/>
      <w:marBottom w:val="0"/>
      <w:divBdr>
        <w:top w:val="none" w:sz="0" w:space="0" w:color="auto"/>
        <w:left w:val="none" w:sz="0" w:space="0" w:color="auto"/>
        <w:bottom w:val="none" w:sz="0" w:space="0" w:color="auto"/>
        <w:right w:val="none" w:sz="0" w:space="0" w:color="auto"/>
      </w:divBdr>
    </w:div>
    <w:div w:id="652678728">
      <w:bodyDiv w:val="1"/>
      <w:marLeft w:val="0"/>
      <w:marRight w:val="0"/>
      <w:marTop w:val="0"/>
      <w:marBottom w:val="0"/>
      <w:divBdr>
        <w:top w:val="none" w:sz="0" w:space="0" w:color="auto"/>
        <w:left w:val="none" w:sz="0" w:space="0" w:color="auto"/>
        <w:bottom w:val="none" w:sz="0" w:space="0" w:color="auto"/>
        <w:right w:val="none" w:sz="0" w:space="0" w:color="auto"/>
      </w:divBdr>
    </w:div>
    <w:div w:id="655885085">
      <w:bodyDiv w:val="1"/>
      <w:marLeft w:val="0"/>
      <w:marRight w:val="0"/>
      <w:marTop w:val="0"/>
      <w:marBottom w:val="0"/>
      <w:divBdr>
        <w:top w:val="none" w:sz="0" w:space="0" w:color="auto"/>
        <w:left w:val="none" w:sz="0" w:space="0" w:color="auto"/>
        <w:bottom w:val="none" w:sz="0" w:space="0" w:color="auto"/>
        <w:right w:val="none" w:sz="0" w:space="0" w:color="auto"/>
      </w:divBdr>
    </w:div>
    <w:div w:id="656035185">
      <w:bodyDiv w:val="1"/>
      <w:marLeft w:val="0"/>
      <w:marRight w:val="0"/>
      <w:marTop w:val="0"/>
      <w:marBottom w:val="0"/>
      <w:divBdr>
        <w:top w:val="none" w:sz="0" w:space="0" w:color="auto"/>
        <w:left w:val="none" w:sz="0" w:space="0" w:color="auto"/>
        <w:bottom w:val="none" w:sz="0" w:space="0" w:color="auto"/>
        <w:right w:val="none" w:sz="0" w:space="0" w:color="auto"/>
      </w:divBdr>
    </w:div>
    <w:div w:id="658000874">
      <w:bodyDiv w:val="1"/>
      <w:marLeft w:val="0"/>
      <w:marRight w:val="0"/>
      <w:marTop w:val="0"/>
      <w:marBottom w:val="0"/>
      <w:divBdr>
        <w:top w:val="none" w:sz="0" w:space="0" w:color="auto"/>
        <w:left w:val="none" w:sz="0" w:space="0" w:color="auto"/>
        <w:bottom w:val="none" w:sz="0" w:space="0" w:color="auto"/>
        <w:right w:val="none" w:sz="0" w:space="0" w:color="auto"/>
      </w:divBdr>
    </w:div>
    <w:div w:id="659190044">
      <w:bodyDiv w:val="1"/>
      <w:marLeft w:val="0"/>
      <w:marRight w:val="0"/>
      <w:marTop w:val="0"/>
      <w:marBottom w:val="0"/>
      <w:divBdr>
        <w:top w:val="none" w:sz="0" w:space="0" w:color="auto"/>
        <w:left w:val="none" w:sz="0" w:space="0" w:color="auto"/>
        <w:bottom w:val="none" w:sz="0" w:space="0" w:color="auto"/>
        <w:right w:val="none" w:sz="0" w:space="0" w:color="auto"/>
      </w:divBdr>
    </w:div>
    <w:div w:id="660888601">
      <w:bodyDiv w:val="1"/>
      <w:marLeft w:val="0"/>
      <w:marRight w:val="0"/>
      <w:marTop w:val="0"/>
      <w:marBottom w:val="0"/>
      <w:divBdr>
        <w:top w:val="none" w:sz="0" w:space="0" w:color="auto"/>
        <w:left w:val="none" w:sz="0" w:space="0" w:color="auto"/>
        <w:bottom w:val="none" w:sz="0" w:space="0" w:color="auto"/>
        <w:right w:val="none" w:sz="0" w:space="0" w:color="auto"/>
      </w:divBdr>
    </w:div>
    <w:div w:id="660961671">
      <w:bodyDiv w:val="1"/>
      <w:marLeft w:val="0"/>
      <w:marRight w:val="0"/>
      <w:marTop w:val="0"/>
      <w:marBottom w:val="0"/>
      <w:divBdr>
        <w:top w:val="none" w:sz="0" w:space="0" w:color="auto"/>
        <w:left w:val="none" w:sz="0" w:space="0" w:color="auto"/>
        <w:bottom w:val="none" w:sz="0" w:space="0" w:color="auto"/>
        <w:right w:val="none" w:sz="0" w:space="0" w:color="auto"/>
      </w:divBdr>
    </w:div>
    <w:div w:id="661467824">
      <w:bodyDiv w:val="1"/>
      <w:marLeft w:val="0"/>
      <w:marRight w:val="0"/>
      <w:marTop w:val="0"/>
      <w:marBottom w:val="0"/>
      <w:divBdr>
        <w:top w:val="none" w:sz="0" w:space="0" w:color="auto"/>
        <w:left w:val="none" w:sz="0" w:space="0" w:color="auto"/>
        <w:bottom w:val="none" w:sz="0" w:space="0" w:color="auto"/>
        <w:right w:val="none" w:sz="0" w:space="0" w:color="auto"/>
      </w:divBdr>
    </w:div>
    <w:div w:id="661544688">
      <w:bodyDiv w:val="1"/>
      <w:marLeft w:val="0"/>
      <w:marRight w:val="0"/>
      <w:marTop w:val="0"/>
      <w:marBottom w:val="0"/>
      <w:divBdr>
        <w:top w:val="none" w:sz="0" w:space="0" w:color="auto"/>
        <w:left w:val="none" w:sz="0" w:space="0" w:color="auto"/>
        <w:bottom w:val="none" w:sz="0" w:space="0" w:color="auto"/>
        <w:right w:val="none" w:sz="0" w:space="0" w:color="auto"/>
      </w:divBdr>
    </w:div>
    <w:div w:id="665592698">
      <w:bodyDiv w:val="1"/>
      <w:marLeft w:val="0"/>
      <w:marRight w:val="0"/>
      <w:marTop w:val="0"/>
      <w:marBottom w:val="0"/>
      <w:divBdr>
        <w:top w:val="none" w:sz="0" w:space="0" w:color="auto"/>
        <w:left w:val="none" w:sz="0" w:space="0" w:color="auto"/>
        <w:bottom w:val="none" w:sz="0" w:space="0" w:color="auto"/>
        <w:right w:val="none" w:sz="0" w:space="0" w:color="auto"/>
      </w:divBdr>
    </w:div>
    <w:div w:id="670569557">
      <w:bodyDiv w:val="1"/>
      <w:marLeft w:val="0"/>
      <w:marRight w:val="0"/>
      <w:marTop w:val="0"/>
      <w:marBottom w:val="0"/>
      <w:divBdr>
        <w:top w:val="none" w:sz="0" w:space="0" w:color="auto"/>
        <w:left w:val="none" w:sz="0" w:space="0" w:color="auto"/>
        <w:bottom w:val="none" w:sz="0" w:space="0" w:color="auto"/>
        <w:right w:val="none" w:sz="0" w:space="0" w:color="auto"/>
      </w:divBdr>
    </w:div>
    <w:div w:id="677387439">
      <w:bodyDiv w:val="1"/>
      <w:marLeft w:val="0"/>
      <w:marRight w:val="0"/>
      <w:marTop w:val="0"/>
      <w:marBottom w:val="0"/>
      <w:divBdr>
        <w:top w:val="none" w:sz="0" w:space="0" w:color="auto"/>
        <w:left w:val="none" w:sz="0" w:space="0" w:color="auto"/>
        <w:bottom w:val="none" w:sz="0" w:space="0" w:color="auto"/>
        <w:right w:val="none" w:sz="0" w:space="0" w:color="auto"/>
      </w:divBdr>
    </w:div>
    <w:div w:id="686978643">
      <w:bodyDiv w:val="1"/>
      <w:marLeft w:val="0"/>
      <w:marRight w:val="0"/>
      <w:marTop w:val="0"/>
      <w:marBottom w:val="0"/>
      <w:divBdr>
        <w:top w:val="none" w:sz="0" w:space="0" w:color="auto"/>
        <w:left w:val="none" w:sz="0" w:space="0" w:color="auto"/>
        <w:bottom w:val="none" w:sz="0" w:space="0" w:color="auto"/>
        <w:right w:val="none" w:sz="0" w:space="0" w:color="auto"/>
      </w:divBdr>
    </w:div>
    <w:div w:id="688991898">
      <w:bodyDiv w:val="1"/>
      <w:marLeft w:val="0"/>
      <w:marRight w:val="0"/>
      <w:marTop w:val="0"/>
      <w:marBottom w:val="0"/>
      <w:divBdr>
        <w:top w:val="none" w:sz="0" w:space="0" w:color="auto"/>
        <w:left w:val="none" w:sz="0" w:space="0" w:color="auto"/>
        <w:bottom w:val="none" w:sz="0" w:space="0" w:color="auto"/>
        <w:right w:val="none" w:sz="0" w:space="0" w:color="auto"/>
      </w:divBdr>
    </w:div>
    <w:div w:id="690689529">
      <w:bodyDiv w:val="1"/>
      <w:marLeft w:val="0"/>
      <w:marRight w:val="0"/>
      <w:marTop w:val="0"/>
      <w:marBottom w:val="0"/>
      <w:divBdr>
        <w:top w:val="none" w:sz="0" w:space="0" w:color="auto"/>
        <w:left w:val="none" w:sz="0" w:space="0" w:color="auto"/>
        <w:bottom w:val="none" w:sz="0" w:space="0" w:color="auto"/>
        <w:right w:val="none" w:sz="0" w:space="0" w:color="auto"/>
      </w:divBdr>
    </w:div>
    <w:div w:id="691688124">
      <w:bodyDiv w:val="1"/>
      <w:marLeft w:val="0"/>
      <w:marRight w:val="0"/>
      <w:marTop w:val="0"/>
      <w:marBottom w:val="0"/>
      <w:divBdr>
        <w:top w:val="none" w:sz="0" w:space="0" w:color="auto"/>
        <w:left w:val="none" w:sz="0" w:space="0" w:color="auto"/>
        <w:bottom w:val="none" w:sz="0" w:space="0" w:color="auto"/>
        <w:right w:val="none" w:sz="0" w:space="0" w:color="auto"/>
      </w:divBdr>
    </w:div>
    <w:div w:id="692538488">
      <w:bodyDiv w:val="1"/>
      <w:marLeft w:val="0"/>
      <w:marRight w:val="0"/>
      <w:marTop w:val="0"/>
      <w:marBottom w:val="0"/>
      <w:divBdr>
        <w:top w:val="none" w:sz="0" w:space="0" w:color="auto"/>
        <w:left w:val="none" w:sz="0" w:space="0" w:color="auto"/>
        <w:bottom w:val="none" w:sz="0" w:space="0" w:color="auto"/>
        <w:right w:val="none" w:sz="0" w:space="0" w:color="auto"/>
      </w:divBdr>
    </w:div>
    <w:div w:id="693846562">
      <w:bodyDiv w:val="1"/>
      <w:marLeft w:val="0"/>
      <w:marRight w:val="0"/>
      <w:marTop w:val="0"/>
      <w:marBottom w:val="0"/>
      <w:divBdr>
        <w:top w:val="none" w:sz="0" w:space="0" w:color="auto"/>
        <w:left w:val="none" w:sz="0" w:space="0" w:color="auto"/>
        <w:bottom w:val="none" w:sz="0" w:space="0" w:color="auto"/>
        <w:right w:val="none" w:sz="0" w:space="0" w:color="auto"/>
      </w:divBdr>
    </w:div>
    <w:div w:id="694385499">
      <w:bodyDiv w:val="1"/>
      <w:marLeft w:val="0"/>
      <w:marRight w:val="0"/>
      <w:marTop w:val="0"/>
      <w:marBottom w:val="0"/>
      <w:divBdr>
        <w:top w:val="none" w:sz="0" w:space="0" w:color="auto"/>
        <w:left w:val="none" w:sz="0" w:space="0" w:color="auto"/>
        <w:bottom w:val="none" w:sz="0" w:space="0" w:color="auto"/>
        <w:right w:val="none" w:sz="0" w:space="0" w:color="auto"/>
      </w:divBdr>
    </w:div>
    <w:div w:id="697315614">
      <w:bodyDiv w:val="1"/>
      <w:marLeft w:val="0"/>
      <w:marRight w:val="0"/>
      <w:marTop w:val="0"/>
      <w:marBottom w:val="0"/>
      <w:divBdr>
        <w:top w:val="none" w:sz="0" w:space="0" w:color="auto"/>
        <w:left w:val="none" w:sz="0" w:space="0" w:color="auto"/>
        <w:bottom w:val="none" w:sz="0" w:space="0" w:color="auto"/>
        <w:right w:val="none" w:sz="0" w:space="0" w:color="auto"/>
      </w:divBdr>
    </w:div>
    <w:div w:id="699017405">
      <w:bodyDiv w:val="1"/>
      <w:marLeft w:val="0"/>
      <w:marRight w:val="0"/>
      <w:marTop w:val="0"/>
      <w:marBottom w:val="0"/>
      <w:divBdr>
        <w:top w:val="none" w:sz="0" w:space="0" w:color="auto"/>
        <w:left w:val="none" w:sz="0" w:space="0" w:color="auto"/>
        <w:bottom w:val="none" w:sz="0" w:space="0" w:color="auto"/>
        <w:right w:val="none" w:sz="0" w:space="0" w:color="auto"/>
      </w:divBdr>
    </w:div>
    <w:div w:id="699935305">
      <w:bodyDiv w:val="1"/>
      <w:marLeft w:val="0"/>
      <w:marRight w:val="0"/>
      <w:marTop w:val="0"/>
      <w:marBottom w:val="0"/>
      <w:divBdr>
        <w:top w:val="none" w:sz="0" w:space="0" w:color="auto"/>
        <w:left w:val="none" w:sz="0" w:space="0" w:color="auto"/>
        <w:bottom w:val="none" w:sz="0" w:space="0" w:color="auto"/>
        <w:right w:val="none" w:sz="0" w:space="0" w:color="auto"/>
      </w:divBdr>
    </w:div>
    <w:div w:id="702024291">
      <w:bodyDiv w:val="1"/>
      <w:marLeft w:val="0"/>
      <w:marRight w:val="0"/>
      <w:marTop w:val="0"/>
      <w:marBottom w:val="0"/>
      <w:divBdr>
        <w:top w:val="none" w:sz="0" w:space="0" w:color="auto"/>
        <w:left w:val="none" w:sz="0" w:space="0" w:color="auto"/>
        <w:bottom w:val="none" w:sz="0" w:space="0" w:color="auto"/>
        <w:right w:val="none" w:sz="0" w:space="0" w:color="auto"/>
      </w:divBdr>
    </w:div>
    <w:div w:id="704259058">
      <w:bodyDiv w:val="1"/>
      <w:marLeft w:val="0"/>
      <w:marRight w:val="0"/>
      <w:marTop w:val="0"/>
      <w:marBottom w:val="0"/>
      <w:divBdr>
        <w:top w:val="none" w:sz="0" w:space="0" w:color="auto"/>
        <w:left w:val="none" w:sz="0" w:space="0" w:color="auto"/>
        <w:bottom w:val="none" w:sz="0" w:space="0" w:color="auto"/>
        <w:right w:val="none" w:sz="0" w:space="0" w:color="auto"/>
      </w:divBdr>
    </w:div>
    <w:div w:id="706758437">
      <w:bodyDiv w:val="1"/>
      <w:marLeft w:val="0"/>
      <w:marRight w:val="0"/>
      <w:marTop w:val="0"/>
      <w:marBottom w:val="0"/>
      <w:divBdr>
        <w:top w:val="none" w:sz="0" w:space="0" w:color="auto"/>
        <w:left w:val="none" w:sz="0" w:space="0" w:color="auto"/>
        <w:bottom w:val="none" w:sz="0" w:space="0" w:color="auto"/>
        <w:right w:val="none" w:sz="0" w:space="0" w:color="auto"/>
      </w:divBdr>
    </w:div>
    <w:div w:id="708721481">
      <w:bodyDiv w:val="1"/>
      <w:marLeft w:val="0"/>
      <w:marRight w:val="0"/>
      <w:marTop w:val="0"/>
      <w:marBottom w:val="0"/>
      <w:divBdr>
        <w:top w:val="none" w:sz="0" w:space="0" w:color="auto"/>
        <w:left w:val="none" w:sz="0" w:space="0" w:color="auto"/>
        <w:bottom w:val="none" w:sz="0" w:space="0" w:color="auto"/>
        <w:right w:val="none" w:sz="0" w:space="0" w:color="auto"/>
      </w:divBdr>
    </w:div>
    <w:div w:id="709185902">
      <w:bodyDiv w:val="1"/>
      <w:marLeft w:val="0"/>
      <w:marRight w:val="0"/>
      <w:marTop w:val="0"/>
      <w:marBottom w:val="0"/>
      <w:divBdr>
        <w:top w:val="none" w:sz="0" w:space="0" w:color="auto"/>
        <w:left w:val="none" w:sz="0" w:space="0" w:color="auto"/>
        <w:bottom w:val="none" w:sz="0" w:space="0" w:color="auto"/>
        <w:right w:val="none" w:sz="0" w:space="0" w:color="auto"/>
      </w:divBdr>
    </w:div>
    <w:div w:id="709887370">
      <w:bodyDiv w:val="1"/>
      <w:marLeft w:val="0"/>
      <w:marRight w:val="0"/>
      <w:marTop w:val="0"/>
      <w:marBottom w:val="0"/>
      <w:divBdr>
        <w:top w:val="none" w:sz="0" w:space="0" w:color="auto"/>
        <w:left w:val="none" w:sz="0" w:space="0" w:color="auto"/>
        <w:bottom w:val="none" w:sz="0" w:space="0" w:color="auto"/>
        <w:right w:val="none" w:sz="0" w:space="0" w:color="auto"/>
      </w:divBdr>
    </w:div>
    <w:div w:id="713115270">
      <w:bodyDiv w:val="1"/>
      <w:marLeft w:val="0"/>
      <w:marRight w:val="0"/>
      <w:marTop w:val="0"/>
      <w:marBottom w:val="0"/>
      <w:divBdr>
        <w:top w:val="none" w:sz="0" w:space="0" w:color="auto"/>
        <w:left w:val="none" w:sz="0" w:space="0" w:color="auto"/>
        <w:bottom w:val="none" w:sz="0" w:space="0" w:color="auto"/>
        <w:right w:val="none" w:sz="0" w:space="0" w:color="auto"/>
      </w:divBdr>
    </w:div>
    <w:div w:id="718745017">
      <w:bodyDiv w:val="1"/>
      <w:marLeft w:val="0"/>
      <w:marRight w:val="0"/>
      <w:marTop w:val="0"/>
      <w:marBottom w:val="0"/>
      <w:divBdr>
        <w:top w:val="none" w:sz="0" w:space="0" w:color="auto"/>
        <w:left w:val="none" w:sz="0" w:space="0" w:color="auto"/>
        <w:bottom w:val="none" w:sz="0" w:space="0" w:color="auto"/>
        <w:right w:val="none" w:sz="0" w:space="0" w:color="auto"/>
      </w:divBdr>
    </w:div>
    <w:div w:id="720373031">
      <w:bodyDiv w:val="1"/>
      <w:marLeft w:val="0"/>
      <w:marRight w:val="0"/>
      <w:marTop w:val="0"/>
      <w:marBottom w:val="0"/>
      <w:divBdr>
        <w:top w:val="none" w:sz="0" w:space="0" w:color="auto"/>
        <w:left w:val="none" w:sz="0" w:space="0" w:color="auto"/>
        <w:bottom w:val="none" w:sz="0" w:space="0" w:color="auto"/>
        <w:right w:val="none" w:sz="0" w:space="0" w:color="auto"/>
      </w:divBdr>
    </w:div>
    <w:div w:id="720831118">
      <w:bodyDiv w:val="1"/>
      <w:marLeft w:val="0"/>
      <w:marRight w:val="0"/>
      <w:marTop w:val="0"/>
      <w:marBottom w:val="0"/>
      <w:divBdr>
        <w:top w:val="none" w:sz="0" w:space="0" w:color="auto"/>
        <w:left w:val="none" w:sz="0" w:space="0" w:color="auto"/>
        <w:bottom w:val="none" w:sz="0" w:space="0" w:color="auto"/>
        <w:right w:val="none" w:sz="0" w:space="0" w:color="auto"/>
      </w:divBdr>
    </w:div>
    <w:div w:id="722750927">
      <w:bodyDiv w:val="1"/>
      <w:marLeft w:val="0"/>
      <w:marRight w:val="0"/>
      <w:marTop w:val="0"/>
      <w:marBottom w:val="0"/>
      <w:divBdr>
        <w:top w:val="none" w:sz="0" w:space="0" w:color="auto"/>
        <w:left w:val="none" w:sz="0" w:space="0" w:color="auto"/>
        <w:bottom w:val="none" w:sz="0" w:space="0" w:color="auto"/>
        <w:right w:val="none" w:sz="0" w:space="0" w:color="auto"/>
      </w:divBdr>
    </w:div>
    <w:div w:id="723871727">
      <w:bodyDiv w:val="1"/>
      <w:marLeft w:val="0"/>
      <w:marRight w:val="0"/>
      <w:marTop w:val="0"/>
      <w:marBottom w:val="0"/>
      <w:divBdr>
        <w:top w:val="none" w:sz="0" w:space="0" w:color="auto"/>
        <w:left w:val="none" w:sz="0" w:space="0" w:color="auto"/>
        <w:bottom w:val="none" w:sz="0" w:space="0" w:color="auto"/>
        <w:right w:val="none" w:sz="0" w:space="0" w:color="auto"/>
      </w:divBdr>
    </w:div>
    <w:div w:id="730276395">
      <w:bodyDiv w:val="1"/>
      <w:marLeft w:val="0"/>
      <w:marRight w:val="0"/>
      <w:marTop w:val="0"/>
      <w:marBottom w:val="0"/>
      <w:divBdr>
        <w:top w:val="none" w:sz="0" w:space="0" w:color="auto"/>
        <w:left w:val="none" w:sz="0" w:space="0" w:color="auto"/>
        <w:bottom w:val="none" w:sz="0" w:space="0" w:color="auto"/>
        <w:right w:val="none" w:sz="0" w:space="0" w:color="auto"/>
      </w:divBdr>
    </w:div>
    <w:div w:id="732509225">
      <w:bodyDiv w:val="1"/>
      <w:marLeft w:val="0"/>
      <w:marRight w:val="0"/>
      <w:marTop w:val="0"/>
      <w:marBottom w:val="0"/>
      <w:divBdr>
        <w:top w:val="none" w:sz="0" w:space="0" w:color="auto"/>
        <w:left w:val="none" w:sz="0" w:space="0" w:color="auto"/>
        <w:bottom w:val="none" w:sz="0" w:space="0" w:color="auto"/>
        <w:right w:val="none" w:sz="0" w:space="0" w:color="auto"/>
      </w:divBdr>
    </w:div>
    <w:div w:id="734008712">
      <w:bodyDiv w:val="1"/>
      <w:marLeft w:val="0"/>
      <w:marRight w:val="0"/>
      <w:marTop w:val="0"/>
      <w:marBottom w:val="0"/>
      <w:divBdr>
        <w:top w:val="none" w:sz="0" w:space="0" w:color="auto"/>
        <w:left w:val="none" w:sz="0" w:space="0" w:color="auto"/>
        <w:bottom w:val="none" w:sz="0" w:space="0" w:color="auto"/>
        <w:right w:val="none" w:sz="0" w:space="0" w:color="auto"/>
      </w:divBdr>
    </w:div>
    <w:div w:id="739716950">
      <w:bodyDiv w:val="1"/>
      <w:marLeft w:val="0"/>
      <w:marRight w:val="0"/>
      <w:marTop w:val="0"/>
      <w:marBottom w:val="0"/>
      <w:divBdr>
        <w:top w:val="none" w:sz="0" w:space="0" w:color="auto"/>
        <w:left w:val="none" w:sz="0" w:space="0" w:color="auto"/>
        <w:bottom w:val="none" w:sz="0" w:space="0" w:color="auto"/>
        <w:right w:val="none" w:sz="0" w:space="0" w:color="auto"/>
      </w:divBdr>
    </w:div>
    <w:div w:id="742064435">
      <w:bodyDiv w:val="1"/>
      <w:marLeft w:val="0"/>
      <w:marRight w:val="0"/>
      <w:marTop w:val="0"/>
      <w:marBottom w:val="0"/>
      <w:divBdr>
        <w:top w:val="none" w:sz="0" w:space="0" w:color="auto"/>
        <w:left w:val="none" w:sz="0" w:space="0" w:color="auto"/>
        <w:bottom w:val="none" w:sz="0" w:space="0" w:color="auto"/>
        <w:right w:val="none" w:sz="0" w:space="0" w:color="auto"/>
      </w:divBdr>
    </w:div>
    <w:div w:id="742416278">
      <w:bodyDiv w:val="1"/>
      <w:marLeft w:val="0"/>
      <w:marRight w:val="0"/>
      <w:marTop w:val="0"/>
      <w:marBottom w:val="0"/>
      <w:divBdr>
        <w:top w:val="none" w:sz="0" w:space="0" w:color="auto"/>
        <w:left w:val="none" w:sz="0" w:space="0" w:color="auto"/>
        <w:bottom w:val="none" w:sz="0" w:space="0" w:color="auto"/>
        <w:right w:val="none" w:sz="0" w:space="0" w:color="auto"/>
      </w:divBdr>
    </w:div>
    <w:div w:id="742801070">
      <w:bodyDiv w:val="1"/>
      <w:marLeft w:val="0"/>
      <w:marRight w:val="0"/>
      <w:marTop w:val="0"/>
      <w:marBottom w:val="0"/>
      <w:divBdr>
        <w:top w:val="none" w:sz="0" w:space="0" w:color="auto"/>
        <w:left w:val="none" w:sz="0" w:space="0" w:color="auto"/>
        <w:bottom w:val="none" w:sz="0" w:space="0" w:color="auto"/>
        <w:right w:val="none" w:sz="0" w:space="0" w:color="auto"/>
      </w:divBdr>
    </w:div>
    <w:div w:id="744257997">
      <w:bodyDiv w:val="1"/>
      <w:marLeft w:val="0"/>
      <w:marRight w:val="0"/>
      <w:marTop w:val="0"/>
      <w:marBottom w:val="0"/>
      <w:divBdr>
        <w:top w:val="none" w:sz="0" w:space="0" w:color="auto"/>
        <w:left w:val="none" w:sz="0" w:space="0" w:color="auto"/>
        <w:bottom w:val="none" w:sz="0" w:space="0" w:color="auto"/>
        <w:right w:val="none" w:sz="0" w:space="0" w:color="auto"/>
      </w:divBdr>
    </w:div>
    <w:div w:id="745418205">
      <w:bodyDiv w:val="1"/>
      <w:marLeft w:val="0"/>
      <w:marRight w:val="0"/>
      <w:marTop w:val="0"/>
      <w:marBottom w:val="0"/>
      <w:divBdr>
        <w:top w:val="none" w:sz="0" w:space="0" w:color="auto"/>
        <w:left w:val="none" w:sz="0" w:space="0" w:color="auto"/>
        <w:bottom w:val="none" w:sz="0" w:space="0" w:color="auto"/>
        <w:right w:val="none" w:sz="0" w:space="0" w:color="auto"/>
      </w:divBdr>
    </w:div>
    <w:div w:id="750931113">
      <w:bodyDiv w:val="1"/>
      <w:marLeft w:val="0"/>
      <w:marRight w:val="0"/>
      <w:marTop w:val="0"/>
      <w:marBottom w:val="0"/>
      <w:divBdr>
        <w:top w:val="none" w:sz="0" w:space="0" w:color="auto"/>
        <w:left w:val="none" w:sz="0" w:space="0" w:color="auto"/>
        <w:bottom w:val="none" w:sz="0" w:space="0" w:color="auto"/>
        <w:right w:val="none" w:sz="0" w:space="0" w:color="auto"/>
      </w:divBdr>
    </w:div>
    <w:div w:id="752506809">
      <w:bodyDiv w:val="1"/>
      <w:marLeft w:val="0"/>
      <w:marRight w:val="0"/>
      <w:marTop w:val="0"/>
      <w:marBottom w:val="0"/>
      <w:divBdr>
        <w:top w:val="none" w:sz="0" w:space="0" w:color="auto"/>
        <w:left w:val="none" w:sz="0" w:space="0" w:color="auto"/>
        <w:bottom w:val="none" w:sz="0" w:space="0" w:color="auto"/>
        <w:right w:val="none" w:sz="0" w:space="0" w:color="auto"/>
      </w:divBdr>
    </w:div>
    <w:div w:id="756291979">
      <w:bodyDiv w:val="1"/>
      <w:marLeft w:val="0"/>
      <w:marRight w:val="0"/>
      <w:marTop w:val="0"/>
      <w:marBottom w:val="0"/>
      <w:divBdr>
        <w:top w:val="none" w:sz="0" w:space="0" w:color="auto"/>
        <w:left w:val="none" w:sz="0" w:space="0" w:color="auto"/>
        <w:bottom w:val="none" w:sz="0" w:space="0" w:color="auto"/>
        <w:right w:val="none" w:sz="0" w:space="0" w:color="auto"/>
      </w:divBdr>
    </w:div>
    <w:div w:id="756445781">
      <w:bodyDiv w:val="1"/>
      <w:marLeft w:val="0"/>
      <w:marRight w:val="0"/>
      <w:marTop w:val="0"/>
      <w:marBottom w:val="0"/>
      <w:divBdr>
        <w:top w:val="none" w:sz="0" w:space="0" w:color="auto"/>
        <w:left w:val="none" w:sz="0" w:space="0" w:color="auto"/>
        <w:bottom w:val="none" w:sz="0" w:space="0" w:color="auto"/>
        <w:right w:val="none" w:sz="0" w:space="0" w:color="auto"/>
      </w:divBdr>
    </w:div>
    <w:div w:id="761225763">
      <w:bodyDiv w:val="1"/>
      <w:marLeft w:val="0"/>
      <w:marRight w:val="0"/>
      <w:marTop w:val="0"/>
      <w:marBottom w:val="0"/>
      <w:divBdr>
        <w:top w:val="none" w:sz="0" w:space="0" w:color="auto"/>
        <w:left w:val="none" w:sz="0" w:space="0" w:color="auto"/>
        <w:bottom w:val="none" w:sz="0" w:space="0" w:color="auto"/>
        <w:right w:val="none" w:sz="0" w:space="0" w:color="auto"/>
      </w:divBdr>
    </w:div>
    <w:div w:id="763259146">
      <w:bodyDiv w:val="1"/>
      <w:marLeft w:val="0"/>
      <w:marRight w:val="0"/>
      <w:marTop w:val="0"/>
      <w:marBottom w:val="0"/>
      <w:divBdr>
        <w:top w:val="none" w:sz="0" w:space="0" w:color="auto"/>
        <w:left w:val="none" w:sz="0" w:space="0" w:color="auto"/>
        <w:bottom w:val="none" w:sz="0" w:space="0" w:color="auto"/>
        <w:right w:val="none" w:sz="0" w:space="0" w:color="auto"/>
      </w:divBdr>
    </w:div>
    <w:div w:id="773210603">
      <w:bodyDiv w:val="1"/>
      <w:marLeft w:val="0"/>
      <w:marRight w:val="0"/>
      <w:marTop w:val="0"/>
      <w:marBottom w:val="0"/>
      <w:divBdr>
        <w:top w:val="none" w:sz="0" w:space="0" w:color="auto"/>
        <w:left w:val="none" w:sz="0" w:space="0" w:color="auto"/>
        <w:bottom w:val="none" w:sz="0" w:space="0" w:color="auto"/>
        <w:right w:val="none" w:sz="0" w:space="0" w:color="auto"/>
      </w:divBdr>
    </w:div>
    <w:div w:id="774401873">
      <w:bodyDiv w:val="1"/>
      <w:marLeft w:val="0"/>
      <w:marRight w:val="0"/>
      <w:marTop w:val="0"/>
      <w:marBottom w:val="0"/>
      <w:divBdr>
        <w:top w:val="none" w:sz="0" w:space="0" w:color="auto"/>
        <w:left w:val="none" w:sz="0" w:space="0" w:color="auto"/>
        <w:bottom w:val="none" w:sz="0" w:space="0" w:color="auto"/>
        <w:right w:val="none" w:sz="0" w:space="0" w:color="auto"/>
      </w:divBdr>
    </w:div>
    <w:div w:id="778254891">
      <w:bodyDiv w:val="1"/>
      <w:marLeft w:val="0"/>
      <w:marRight w:val="0"/>
      <w:marTop w:val="0"/>
      <w:marBottom w:val="0"/>
      <w:divBdr>
        <w:top w:val="none" w:sz="0" w:space="0" w:color="auto"/>
        <w:left w:val="none" w:sz="0" w:space="0" w:color="auto"/>
        <w:bottom w:val="none" w:sz="0" w:space="0" w:color="auto"/>
        <w:right w:val="none" w:sz="0" w:space="0" w:color="auto"/>
      </w:divBdr>
    </w:div>
    <w:div w:id="782110729">
      <w:bodyDiv w:val="1"/>
      <w:marLeft w:val="0"/>
      <w:marRight w:val="0"/>
      <w:marTop w:val="0"/>
      <w:marBottom w:val="0"/>
      <w:divBdr>
        <w:top w:val="none" w:sz="0" w:space="0" w:color="auto"/>
        <w:left w:val="none" w:sz="0" w:space="0" w:color="auto"/>
        <w:bottom w:val="none" w:sz="0" w:space="0" w:color="auto"/>
        <w:right w:val="none" w:sz="0" w:space="0" w:color="auto"/>
      </w:divBdr>
    </w:div>
    <w:div w:id="788746791">
      <w:bodyDiv w:val="1"/>
      <w:marLeft w:val="0"/>
      <w:marRight w:val="0"/>
      <w:marTop w:val="0"/>
      <w:marBottom w:val="0"/>
      <w:divBdr>
        <w:top w:val="none" w:sz="0" w:space="0" w:color="auto"/>
        <w:left w:val="none" w:sz="0" w:space="0" w:color="auto"/>
        <w:bottom w:val="none" w:sz="0" w:space="0" w:color="auto"/>
        <w:right w:val="none" w:sz="0" w:space="0" w:color="auto"/>
      </w:divBdr>
    </w:div>
    <w:div w:id="790703790">
      <w:bodyDiv w:val="1"/>
      <w:marLeft w:val="0"/>
      <w:marRight w:val="0"/>
      <w:marTop w:val="0"/>
      <w:marBottom w:val="0"/>
      <w:divBdr>
        <w:top w:val="none" w:sz="0" w:space="0" w:color="auto"/>
        <w:left w:val="none" w:sz="0" w:space="0" w:color="auto"/>
        <w:bottom w:val="none" w:sz="0" w:space="0" w:color="auto"/>
        <w:right w:val="none" w:sz="0" w:space="0" w:color="auto"/>
      </w:divBdr>
    </w:div>
    <w:div w:id="791706583">
      <w:bodyDiv w:val="1"/>
      <w:marLeft w:val="0"/>
      <w:marRight w:val="0"/>
      <w:marTop w:val="0"/>
      <w:marBottom w:val="0"/>
      <w:divBdr>
        <w:top w:val="none" w:sz="0" w:space="0" w:color="auto"/>
        <w:left w:val="none" w:sz="0" w:space="0" w:color="auto"/>
        <w:bottom w:val="none" w:sz="0" w:space="0" w:color="auto"/>
        <w:right w:val="none" w:sz="0" w:space="0" w:color="auto"/>
      </w:divBdr>
    </w:div>
    <w:div w:id="792558280">
      <w:bodyDiv w:val="1"/>
      <w:marLeft w:val="0"/>
      <w:marRight w:val="0"/>
      <w:marTop w:val="0"/>
      <w:marBottom w:val="0"/>
      <w:divBdr>
        <w:top w:val="none" w:sz="0" w:space="0" w:color="auto"/>
        <w:left w:val="none" w:sz="0" w:space="0" w:color="auto"/>
        <w:bottom w:val="none" w:sz="0" w:space="0" w:color="auto"/>
        <w:right w:val="none" w:sz="0" w:space="0" w:color="auto"/>
      </w:divBdr>
    </w:div>
    <w:div w:id="793642388">
      <w:bodyDiv w:val="1"/>
      <w:marLeft w:val="0"/>
      <w:marRight w:val="0"/>
      <w:marTop w:val="0"/>
      <w:marBottom w:val="0"/>
      <w:divBdr>
        <w:top w:val="none" w:sz="0" w:space="0" w:color="auto"/>
        <w:left w:val="none" w:sz="0" w:space="0" w:color="auto"/>
        <w:bottom w:val="none" w:sz="0" w:space="0" w:color="auto"/>
        <w:right w:val="none" w:sz="0" w:space="0" w:color="auto"/>
      </w:divBdr>
    </w:div>
    <w:div w:id="801652723">
      <w:bodyDiv w:val="1"/>
      <w:marLeft w:val="0"/>
      <w:marRight w:val="0"/>
      <w:marTop w:val="0"/>
      <w:marBottom w:val="0"/>
      <w:divBdr>
        <w:top w:val="none" w:sz="0" w:space="0" w:color="auto"/>
        <w:left w:val="none" w:sz="0" w:space="0" w:color="auto"/>
        <w:bottom w:val="none" w:sz="0" w:space="0" w:color="auto"/>
        <w:right w:val="none" w:sz="0" w:space="0" w:color="auto"/>
      </w:divBdr>
    </w:div>
    <w:div w:id="806971450">
      <w:bodyDiv w:val="1"/>
      <w:marLeft w:val="0"/>
      <w:marRight w:val="0"/>
      <w:marTop w:val="0"/>
      <w:marBottom w:val="0"/>
      <w:divBdr>
        <w:top w:val="none" w:sz="0" w:space="0" w:color="auto"/>
        <w:left w:val="none" w:sz="0" w:space="0" w:color="auto"/>
        <w:bottom w:val="none" w:sz="0" w:space="0" w:color="auto"/>
        <w:right w:val="none" w:sz="0" w:space="0" w:color="auto"/>
      </w:divBdr>
    </w:div>
    <w:div w:id="810251321">
      <w:bodyDiv w:val="1"/>
      <w:marLeft w:val="0"/>
      <w:marRight w:val="0"/>
      <w:marTop w:val="0"/>
      <w:marBottom w:val="0"/>
      <w:divBdr>
        <w:top w:val="none" w:sz="0" w:space="0" w:color="auto"/>
        <w:left w:val="none" w:sz="0" w:space="0" w:color="auto"/>
        <w:bottom w:val="none" w:sz="0" w:space="0" w:color="auto"/>
        <w:right w:val="none" w:sz="0" w:space="0" w:color="auto"/>
      </w:divBdr>
    </w:div>
    <w:div w:id="810485661">
      <w:bodyDiv w:val="1"/>
      <w:marLeft w:val="0"/>
      <w:marRight w:val="0"/>
      <w:marTop w:val="0"/>
      <w:marBottom w:val="0"/>
      <w:divBdr>
        <w:top w:val="none" w:sz="0" w:space="0" w:color="auto"/>
        <w:left w:val="none" w:sz="0" w:space="0" w:color="auto"/>
        <w:bottom w:val="none" w:sz="0" w:space="0" w:color="auto"/>
        <w:right w:val="none" w:sz="0" w:space="0" w:color="auto"/>
      </w:divBdr>
    </w:div>
    <w:div w:id="813253034">
      <w:bodyDiv w:val="1"/>
      <w:marLeft w:val="0"/>
      <w:marRight w:val="0"/>
      <w:marTop w:val="0"/>
      <w:marBottom w:val="0"/>
      <w:divBdr>
        <w:top w:val="none" w:sz="0" w:space="0" w:color="auto"/>
        <w:left w:val="none" w:sz="0" w:space="0" w:color="auto"/>
        <w:bottom w:val="none" w:sz="0" w:space="0" w:color="auto"/>
        <w:right w:val="none" w:sz="0" w:space="0" w:color="auto"/>
      </w:divBdr>
    </w:div>
    <w:div w:id="815806531">
      <w:bodyDiv w:val="1"/>
      <w:marLeft w:val="0"/>
      <w:marRight w:val="0"/>
      <w:marTop w:val="0"/>
      <w:marBottom w:val="0"/>
      <w:divBdr>
        <w:top w:val="none" w:sz="0" w:space="0" w:color="auto"/>
        <w:left w:val="none" w:sz="0" w:space="0" w:color="auto"/>
        <w:bottom w:val="none" w:sz="0" w:space="0" w:color="auto"/>
        <w:right w:val="none" w:sz="0" w:space="0" w:color="auto"/>
      </w:divBdr>
    </w:div>
    <w:div w:id="815882299">
      <w:bodyDiv w:val="1"/>
      <w:marLeft w:val="0"/>
      <w:marRight w:val="0"/>
      <w:marTop w:val="0"/>
      <w:marBottom w:val="0"/>
      <w:divBdr>
        <w:top w:val="none" w:sz="0" w:space="0" w:color="auto"/>
        <w:left w:val="none" w:sz="0" w:space="0" w:color="auto"/>
        <w:bottom w:val="none" w:sz="0" w:space="0" w:color="auto"/>
        <w:right w:val="none" w:sz="0" w:space="0" w:color="auto"/>
      </w:divBdr>
    </w:div>
    <w:div w:id="820270256">
      <w:bodyDiv w:val="1"/>
      <w:marLeft w:val="0"/>
      <w:marRight w:val="0"/>
      <w:marTop w:val="0"/>
      <w:marBottom w:val="0"/>
      <w:divBdr>
        <w:top w:val="none" w:sz="0" w:space="0" w:color="auto"/>
        <w:left w:val="none" w:sz="0" w:space="0" w:color="auto"/>
        <w:bottom w:val="none" w:sz="0" w:space="0" w:color="auto"/>
        <w:right w:val="none" w:sz="0" w:space="0" w:color="auto"/>
      </w:divBdr>
    </w:div>
    <w:div w:id="824933257">
      <w:bodyDiv w:val="1"/>
      <w:marLeft w:val="0"/>
      <w:marRight w:val="0"/>
      <w:marTop w:val="0"/>
      <w:marBottom w:val="0"/>
      <w:divBdr>
        <w:top w:val="none" w:sz="0" w:space="0" w:color="auto"/>
        <w:left w:val="none" w:sz="0" w:space="0" w:color="auto"/>
        <w:bottom w:val="none" w:sz="0" w:space="0" w:color="auto"/>
        <w:right w:val="none" w:sz="0" w:space="0" w:color="auto"/>
      </w:divBdr>
    </w:div>
    <w:div w:id="828905369">
      <w:bodyDiv w:val="1"/>
      <w:marLeft w:val="0"/>
      <w:marRight w:val="0"/>
      <w:marTop w:val="0"/>
      <w:marBottom w:val="0"/>
      <w:divBdr>
        <w:top w:val="none" w:sz="0" w:space="0" w:color="auto"/>
        <w:left w:val="none" w:sz="0" w:space="0" w:color="auto"/>
        <w:bottom w:val="none" w:sz="0" w:space="0" w:color="auto"/>
        <w:right w:val="none" w:sz="0" w:space="0" w:color="auto"/>
      </w:divBdr>
    </w:div>
    <w:div w:id="829173230">
      <w:bodyDiv w:val="1"/>
      <w:marLeft w:val="0"/>
      <w:marRight w:val="0"/>
      <w:marTop w:val="0"/>
      <w:marBottom w:val="0"/>
      <w:divBdr>
        <w:top w:val="none" w:sz="0" w:space="0" w:color="auto"/>
        <w:left w:val="none" w:sz="0" w:space="0" w:color="auto"/>
        <w:bottom w:val="none" w:sz="0" w:space="0" w:color="auto"/>
        <w:right w:val="none" w:sz="0" w:space="0" w:color="auto"/>
      </w:divBdr>
    </w:div>
    <w:div w:id="833103025">
      <w:bodyDiv w:val="1"/>
      <w:marLeft w:val="0"/>
      <w:marRight w:val="0"/>
      <w:marTop w:val="0"/>
      <w:marBottom w:val="0"/>
      <w:divBdr>
        <w:top w:val="none" w:sz="0" w:space="0" w:color="auto"/>
        <w:left w:val="none" w:sz="0" w:space="0" w:color="auto"/>
        <w:bottom w:val="none" w:sz="0" w:space="0" w:color="auto"/>
        <w:right w:val="none" w:sz="0" w:space="0" w:color="auto"/>
      </w:divBdr>
    </w:div>
    <w:div w:id="837958852">
      <w:bodyDiv w:val="1"/>
      <w:marLeft w:val="0"/>
      <w:marRight w:val="0"/>
      <w:marTop w:val="0"/>
      <w:marBottom w:val="0"/>
      <w:divBdr>
        <w:top w:val="none" w:sz="0" w:space="0" w:color="auto"/>
        <w:left w:val="none" w:sz="0" w:space="0" w:color="auto"/>
        <w:bottom w:val="none" w:sz="0" w:space="0" w:color="auto"/>
        <w:right w:val="none" w:sz="0" w:space="0" w:color="auto"/>
      </w:divBdr>
    </w:div>
    <w:div w:id="842672838">
      <w:bodyDiv w:val="1"/>
      <w:marLeft w:val="0"/>
      <w:marRight w:val="0"/>
      <w:marTop w:val="0"/>
      <w:marBottom w:val="0"/>
      <w:divBdr>
        <w:top w:val="none" w:sz="0" w:space="0" w:color="auto"/>
        <w:left w:val="none" w:sz="0" w:space="0" w:color="auto"/>
        <w:bottom w:val="none" w:sz="0" w:space="0" w:color="auto"/>
        <w:right w:val="none" w:sz="0" w:space="0" w:color="auto"/>
      </w:divBdr>
    </w:div>
    <w:div w:id="846791679">
      <w:bodyDiv w:val="1"/>
      <w:marLeft w:val="0"/>
      <w:marRight w:val="0"/>
      <w:marTop w:val="0"/>
      <w:marBottom w:val="0"/>
      <w:divBdr>
        <w:top w:val="none" w:sz="0" w:space="0" w:color="auto"/>
        <w:left w:val="none" w:sz="0" w:space="0" w:color="auto"/>
        <w:bottom w:val="none" w:sz="0" w:space="0" w:color="auto"/>
        <w:right w:val="none" w:sz="0" w:space="0" w:color="auto"/>
      </w:divBdr>
    </w:div>
    <w:div w:id="849485529">
      <w:bodyDiv w:val="1"/>
      <w:marLeft w:val="0"/>
      <w:marRight w:val="0"/>
      <w:marTop w:val="0"/>
      <w:marBottom w:val="0"/>
      <w:divBdr>
        <w:top w:val="none" w:sz="0" w:space="0" w:color="auto"/>
        <w:left w:val="none" w:sz="0" w:space="0" w:color="auto"/>
        <w:bottom w:val="none" w:sz="0" w:space="0" w:color="auto"/>
        <w:right w:val="none" w:sz="0" w:space="0" w:color="auto"/>
      </w:divBdr>
    </w:div>
    <w:div w:id="853954873">
      <w:bodyDiv w:val="1"/>
      <w:marLeft w:val="0"/>
      <w:marRight w:val="0"/>
      <w:marTop w:val="0"/>
      <w:marBottom w:val="0"/>
      <w:divBdr>
        <w:top w:val="none" w:sz="0" w:space="0" w:color="auto"/>
        <w:left w:val="none" w:sz="0" w:space="0" w:color="auto"/>
        <w:bottom w:val="none" w:sz="0" w:space="0" w:color="auto"/>
        <w:right w:val="none" w:sz="0" w:space="0" w:color="auto"/>
      </w:divBdr>
    </w:div>
    <w:div w:id="855849038">
      <w:bodyDiv w:val="1"/>
      <w:marLeft w:val="0"/>
      <w:marRight w:val="0"/>
      <w:marTop w:val="0"/>
      <w:marBottom w:val="0"/>
      <w:divBdr>
        <w:top w:val="none" w:sz="0" w:space="0" w:color="auto"/>
        <w:left w:val="none" w:sz="0" w:space="0" w:color="auto"/>
        <w:bottom w:val="none" w:sz="0" w:space="0" w:color="auto"/>
        <w:right w:val="none" w:sz="0" w:space="0" w:color="auto"/>
      </w:divBdr>
    </w:div>
    <w:div w:id="855921252">
      <w:bodyDiv w:val="1"/>
      <w:marLeft w:val="0"/>
      <w:marRight w:val="0"/>
      <w:marTop w:val="0"/>
      <w:marBottom w:val="0"/>
      <w:divBdr>
        <w:top w:val="none" w:sz="0" w:space="0" w:color="auto"/>
        <w:left w:val="none" w:sz="0" w:space="0" w:color="auto"/>
        <w:bottom w:val="none" w:sz="0" w:space="0" w:color="auto"/>
        <w:right w:val="none" w:sz="0" w:space="0" w:color="auto"/>
      </w:divBdr>
    </w:div>
    <w:div w:id="857039069">
      <w:bodyDiv w:val="1"/>
      <w:marLeft w:val="0"/>
      <w:marRight w:val="0"/>
      <w:marTop w:val="0"/>
      <w:marBottom w:val="0"/>
      <w:divBdr>
        <w:top w:val="none" w:sz="0" w:space="0" w:color="auto"/>
        <w:left w:val="none" w:sz="0" w:space="0" w:color="auto"/>
        <w:bottom w:val="none" w:sz="0" w:space="0" w:color="auto"/>
        <w:right w:val="none" w:sz="0" w:space="0" w:color="auto"/>
      </w:divBdr>
    </w:div>
    <w:div w:id="858935142">
      <w:bodyDiv w:val="1"/>
      <w:marLeft w:val="0"/>
      <w:marRight w:val="0"/>
      <w:marTop w:val="0"/>
      <w:marBottom w:val="0"/>
      <w:divBdr>
        <w:top w:val="none" w:sz="0" w:space="0" w:color="auto"/>
        <w:left w:val="none" w:sz="0" w:space="0" w:color="auto"/>
        <w:bottom w:val="none" w:sz="0" w:space="0" w:color="auto"/>
        <w:right w:val="none" w:sz="0" w:space="0" w:color="auto"/>
      </w:divBdr>
    </w:div>
    <w:div w:id="859008636">
      <w:bodyDiv w:val="1"/>
      <w:marLeft w:val="0"/>
      <w:marRight w:val="0"/>
      <w:marTop w:val="0"/>
      <w:marBottom w:val="0"/>
      <w:divBdr>
        <w:top w:val="none" w:sz="0" w:space="0" w:color="auto"/>
        <w:left w:val="none" w:sz="0" w:space="0" w:color="auto"/>
        <w:bottom w:val="none" w:sz="0" w:space="0" w:color="auto"/>
        <w:right w:val="none" w:sz="0" w:space="0" w:color="auto"/>
      </w:divBdr>
    </w:div>
    <w:div w:id="861282373">
      <w:bodyDiv w:val="1"/>
      <w:marLeft w:val="0"/>
      <w:marRight w:val="0"/>
      <w:marTop w:val="0"/>
      <w:marBottom w:val="0"/>
      <w:divBdr>
        <w:top w:val="none" w:sz="0" w:space="0" w:color="auto"/>
        <w:left w:val="none" w:sz="0" w:space="0" w:color="auto"/>
        <w:bottom w:val="none" w:sz="0" w:space="0" w:color="auto"/>
        <w:right w:val="none" w:sz="0" w:space="0" w:color="auto"/>
      </w:divBdr>
    </w:div>
    <w:div w:id="868027645">
      <w:bodyDiv w:val="1"/>
      <w:marLeft w:val="0"/>
      <w:marRight w:val="0"/>
      <w:marTop w:val="0"/>
      <w:marBottom w:val="0"/>
      <w:divBdr>
        <w:top w:val="none" w:sz="0" w:space="0" w:color="auto"/>
        <w:left w:val="none" w:sz="0" w:space="0" w:color="auto"/>
        <w:bottom w:val="none" w:sz="0" w:space="0" w:color="auto"/>
        <w:right w:val="none" w:sz="0" w:space="0" w:color="auto"/>
      </w:divBdr>
    </w:div>
    <w:div w:id="873006317">
      <w:bodyDiv w:val="1"/>
      <w:marLeft w:val="0"/>
      <w:marRight w:val="0"/>
      <w:marTop w:val="0"/>
      <w:marBottom w:val="0"/>
      <w:divBdr>
        <w:top w:val="none" w:sz="0" w:space="0" w:color="auto"/>
        <w:left w:val="none" w:sz="0" w:space="0" w:color="auto"/>
        <w:bottom w:val="none" w:sz="0" w:space="0" w:color="auto"/>
        <w:right w:val="none" w:sz="0" w:space="0" w:color="auto"/>
      </w:divBdr>
    </w:div>
    <w:div w:id="876357809">
      <w:bodyDiv w:val="1"/>
      <w:marLeft w:val="0"/>
      <w:marRight w:val="0"/>
      <w:marTop w:val="0"/>
      <w:marBottom w:val="0"/>
      <w:divBdr>
        <w:top w:val="none" w:sz="0" w:space="0" w:color="auto"/>
        <w:left w:val="none" w:sz="0" w:space="0" w:color="auto"/>
        <w:bottom w:val="none" w:sz="0" w:space="0" w:color="auto"/>
        <w:right w:val="none" w:sz="0" w:space="0" w:color="auto"/>
      </w:divBdr>
    </w:div>
    <w:div w:id="881402799">
      <w:bodyDiv w:val="1"/>
      <w:marLeft w:val="0"/>
      <w:marRight w:val="0"/>
      <w:marTop w:val="0"/>
      <w:marBottom w:val="0"/>
      <w:divBdr>
        <w:top w:val="none" w:sz="0" w:space="0" w:color="auto"/>
        <w:left w:val="none" w:sz="0" w:space="0" w:color="auto"/>
        <w:bottom w:val="none" w:sz="0" w:space="0" w:color="auto"/>
        <w:right w:val="none" w:sz="0" w:space="0" w:color="auto"/>
      </w:divBdr>
    </w:div>
    <w:div w:id="883374135">
      <w:bodyDiv w:val="1"/>
      <w:marLeft w:val="0"/>
      <w:marRight w:val="0"/>
      <w:marTop w:val="0"/>
      <w:marBottom w:val="0"/>
      <w:divBdr>
        <w:top w:val="none" w:sz="0" w:space="0" w:color="auto"/>
        <w:left w:val="none" w:sz="0" w:space="0" w:color="auto"/>
        <w:bottom w:val="none" w:sz="0" w:space="0" w:color="auto"/>
        <w:right w:val="none" w:sz="0" w:space="0" w:color="auto"/>
      </w:divBdr>
    </w:div>
    <w:div w:id="884758954">
      <w:bodyDiv w:val="1"/>
      <w:marLeft w:val="0"/>
      <w:marRight w:val="0"/>
      <w:marTop w:val="0"/>
      <w:marBottom w:val="0"/>
      <w:divBdr>
        <w:top w:val="none" w:sz="0" w:space="0" w:color="auto"/>
        <w:left w:val="none" w:sz="0" w:space="0" w:color="auto"/>
        <w:bottom w:val="none" w:sz="0" w:space="0" w:color="auto"/>
        <w:right w:val="none" w:sz="0" w:space="0" w:color="auto"/>
      </w:divBdr>
    </w:div>
    <w:div w:id="890115373">
      <w:bodyDiv w:val="1"/>
      <w:marLeft w:val="0"/>
      <w:marRight w:val="0"/>
      <w:marTop w:val="0"/>
      <w:marBottom w:val="0"/>
      <w:divBdr>
        <w:top w:val="none" w:sz="0" w:space="0" w:color="auto"/>
        <w:left w:val="none" w:sz="0" w:space="0" w:color="auto"/>
        <w:bottom w:val="none" w:sz="0" w:space="0" w:color="auto"/>
        <w:right w:val="none" w:sz="0" w:space="0" w:color="auto"/>
      </w:divBdr>
    </w:div>
    <w:div w:id="892426460">
      <w:bodyDiv w:val="1"/>
      <w:marLeft w:val="0"/>
      <w:marRight w:val="0"/>
      <w:marTop w:val="0"/>
      <w:marBottom w:val="0"/>
      <w:divBdr>
        <w:top w:val="none" w:sz="0" w:space="0" w:color="auto"/>
        <w:left w:val="none" w:sz="0" w:space="0" w:color="auto"/>
        <w:bottom w:val="none" w:sz="0" w:space="0" w:color="auto"/>
        <w:right w:val="none" w:sz="0" w:space="0" w:color="auto"/>
      </w:divBdr>
    </w:div>
    <w:div w:id="897860835">
      <w:bodyDiv w:val="1"/>
      <w:marLeft w:val="0"/>
      <w:marRight w:val="0"/>
      <w:marTop w:val="0"/>
      <w:marBottom w:val="0"/>
      <w:divBdr>
        <w:top w:val="none" w:sz="0" w:space="0" w:color="auto"/>
        <w:left w:val="none" w:sz="0" w:space="0" w:color="auto"/>
        <w:bottom w:val="none" w:sz="0" w:space="0" w:color="auto"/>
        <w:right w:val="none" w:sz="0" w:space="0" w:color="auto"/>
      </w:divBdr>
    </w:div>
    <w:div w:id="900602427">
      <w:bodyDiv w:val="1"/>
      <w:marLeft w:val="0"/>
      <w:marRight w:val="0"/>
      <w:marTop w:val="0"/>
      <w:marBottom w:val="0"/>
      <w:divBdr>
        <w:top w:val="none" w:sz="0" w:space="0" w:color="auto"/>
        <w:left w:val="none" w:sz="0" w:space="0" w:color="auto"/>
        <w:bottom w:val="none" w:sz="0" w:space="0" w:color="auto"/>
        <w:right w:val="none" w:sz="0" w:space="0" w:color="auto"/>
      </w:divBdr>
    </w:div>
    <w:div w:id="901451632">
      <w:bodyDiv w:val="1"/>
      <w:marLeft w:val="0"/>
      <w:marRight w:val="0"/>
      <w:marTop w:val="0"/>
      <w:marBottom w:val="0"/>
      <w:divBdr>
        <w:top w:val="none" w:sz="0" w:space="0" w:color="auto"/>
        <w:left w:val="none" w:sz="0" w:space="0" w:color="auto"/>
        <w:bottom w:val="none" w:sz="0" w:space="0" w:color="auto"/>
        <w:right w:val="none" w:sz="0" w:space="0" w:color="auto"/>
      </w:divBdr>
    </w:div>
    <w:div w:id="915751723">
      <w:bodyDiv w:val="1"/>
      <w:marLeft w:val="0"/>
      <w:marRight w:val="0"/>
      <w:marTop w:val="0"/>
      <w:marBottom w:val="0"/>
      <w:divBdr>
        <w:top w:val="none" w:sz="0" w:space="0" w:color="auto"/>
        <w:left w:val="none" w:sz="0" w:space="0" w:color="auto"/>
        <w:bottom w:val="none" w:sz="0" w:space="0" w:color="auto"/>
        <w:right w:val="none" w:sz="0" w:space="0" w:color="auto"/>
      </w:divBdr>
    </w:div>
    <w:div w:id="917597876">
      <w:bodyDiv w:val="1"/>
      <w:marLeft w:val="0"/>
      <w:marRight w:val="0"/>
      <w:marTop w:val="0"/>
      <w:marBottom w:val="0"/>
      <w:divBdr>
        <w:top w:val="none" w:sz="0" w:space="0" w:color="auto"/>
        <w:left w:val="none" w:sz="0" w:space="0" w:color="auto"/>
        <w:bottom w:val="none" w:sz="0" w:space="0" w:color="auto"/>
        <w:right w:val="none" w:sz="0" w:space="0" w:color="auto"/>
      </w:divBdr>
    </w:div>
    <w:div w:id="922684999">
      <w:bodyDiv w:val="1"/>
      <w:marLeft w:val="0"/>
      <w:marRight w:val="0"/>
      <w:marTop w:val="0"/>
      <w:marBottom w:val="0"/>
      <w:divBdr>
        <w:top w:val="none" w:sz="0" w:space="0" w:color="auto"/>
        <w:left w:val="none" w:sz="0" w:space="0" w:color="auto"/>
        <w:bottom w:val="none" w:sz="0" w:space="0" w:color="auto"/>
        <w:right w:val="none" w:sz="0" w:space="0" w:color="auto"/>
      </w:divBdr>
    </w:div>
    <w:div w:id="923801113">
      <w:bodyDiv w:val="1"/>
      <w:marLeft w:val="0"/>
      <w:marRight w:val="0"/>
      <w:marTop w:val="0"/>
      <w:marBottom w:val="0"/>
      <w:divBdr>
        <w:top w:val="none" w:sz="0" w:space="0" w:color="auto"/>
        <w:left w:val="none" w:sz="0" w:space="0" w:color="auto"/>
        <w:bottom w:val="none" w:sz="0" w:space="0" w:color="auto"/>
        <w:right w:val="none" w:sz="0" w:space="0" w:color="auto"/>
      </w:divBdr>
    </w:div>
    <w:div w:id="924143263">
      <w:bodyDiv w:val="1"/>
      <w:marLeft w:val="0"/>
      <w:marRight w:val="0"/>
      <w:marTop w:val="0"/>
      <w:marBottom w:val="0"/>
      <w:divBdr>
        <w:top w:val="none" w:sz="0" w:space="0" w:color="auto"/>
        <w:left w:val="none" w:sz="0" w:space="0" w:color="auto"/>
        <w:bottom w:val="none" w:sz="0" w:space="0" w:color="auto"/>
        <w:right w:val="none" w:sz="0" w:space="0" w:color="auto"/>
      </w:divBdr>
    </w:div>
    <w:div w:id="927230287">
      <w:bodyDiv w:val="1"/>
      <w:marLeft w:val="0"/>
      <w:marRight w:val="0"/>
      <w:marTop w:val="0"/>
      <w:marBottom w:val="0"/>
      <w:divBdr>
        <w:top w:val="none" w:sz="0" w:space="0" w:color="auto"/>
        <w:left w:val="none" w:sz="0" w:space="0" w:color="auto"/>
        <w:bottom w:val="none" w:sz="0" w:space="0" w:color="auto"/>
        <w:right w:val="none" w:sz="0" w:space="0" w:color="auto"/>
      </w:divBdr>
    </w:div>
    <w:div w:id="929198152">
      <w:bodyDiv w:val="1"/>
      <w:marLeft w:val="0"/>
      <w:marRight w:val="0"/>
      <w:marTop w:val="0"/>
      <w:marBottom w:val="0"/>
      <w:divBdr>
        <w:top w:val="none" w:sz="0" w:space="0" w:color="auto"/>
        <w:left w:val="none" w:sz="0" w:space="0" w:color="auto"/>
        <w:bottom w:val="none" w:sz="0" w:space="0" w:color="auto"/>
        <w:right w:val="none" w:sz="0" w:space="0" w:color="auto"/>
      </w:divBdr>
    </w:div>
    <w:div w:id="935020491">
      <w:bodyDiv w:val="1"/>
      <w:marLeft w:val="0"/>
      <w:marRight w:val="0"/>
      <w:marTop w:val="0"/>
      <w:marBottom w:val="0"/>
      <w:divBdr>
        <w:top w:val="none" w:sz="0" w:space="0" w:color="auto"/>
        <w:left w:val="none" w:sz="0" w:space="0" w:color="auto"/>
        <w:bottom w:val="none" w:sz="0" w:space="0" w:color="auto"/>
        <w:right w:val="none" w:sz="0" w:space="0" w:color="auto"/>
      </w:divBdr>
    </w:div>
    <w:div w:id="939065702">
      <w:bodyDiv w:val="1"/>
      <w:marLeft w:val="0"/>
      <w:marRight w:val="0"/>
      <w:marTop w:val="0"/>
      <w:marBottom w:val="0"/>
      <w:divBdr>
        <w:top w:val="none" w:sz="0" w:space="0" w:color="auto"/>
        <w:left w:val="none" w:sz="0" w:space="0" w:color="auto"/>
        <w:bottom w:val="none" w:sz="0" w:space="0" w:color="auto"/>
        <w:right w:val="none" w:sz="0" w:space="0" w:color="auto"/>
      </w:divBdr>
    </w:div>
    <w:div w:id="940722178">
      <w:bodyDiv w:val="1"/>
      <w:marLeft w:val="0"/>
      <w:marRight w:val="0"/>
      <w:marTop w:val="0"/>
      <w:marBottom w:val="0"/>
      <w:divBdr>
        <w:top w:val="none" w:sz="0" w:space="0" w:color="auto"/>
        <w:left w:val="none" w:sz="0" w:space="0" w:color="auto"/>
        <w:bottom w:val="none" w:sz="0" w:space="0" w:color="auto"/>
        <w:right w:val="none" w:sz="0" w:space="0" w:color="auto"/>
      </w:divBdr>
    </w:div>
    <w:div w:id="947009527">
      <w:bodyDiv w:val="1"/>
      <w:marLeft w:val="0"/>
      <w:marRight w:val="0"/>
      <w:marTop w:val="0"/>
      <w:marBottom w:val="0"/>
      <w:divBdr>
        <w:top w:val="none" w:sz="0" w:space="0" w:color="auto"/>
        <w:left w:val="none" w:sz="0" w:space="0" w:color="auto"/>
        <w:bottom w:val="none" w:sz="0" w:space="0" w:color="auto"/>
        <w:right w:val="none" w:sz="0" w:space="0" w:color="auto"/>
      </w:divBdr>
    </w:div>
    <w:div w:id="947546579">
      <w:bodyDiv w:val="1"/>
      <w:marLeft w:val="0"/>
      <w:marRight w:val="0"/>
      <w:marTop w:val="0"/>
      <w:marBottom w:val="0"/>
      <w:divBdr>
        <w:top w:val="none" w:sz="0" w:space="0" w:color="auto"/>
        <w:left w:val="none" w:sz="0" w:space="0" w:color="auto"/>
        <w:bottom w:val="none" w:sz="0" w:space="0" w:color="auto"/>
        <w:right w:val="none" w:sz="0" w:space="0" w:color="auto"/>
      </w:divBdr>
    </w:div>
    <w:div w:id="952786440">
      <w:bodyDiv w:val="1"/>
      <w:marLeft w:val="0"/>
      <w:marRight w:val="0"/>
      <w:marTop w:val="0"/>
      <w:marBottom w:val="0"/>
      <w:divBdr>
        <w:top w:val="none" w:sz="0" w:space="0" w:color="auto"/>
        <w:left w:val="none" w:sz="0" w:space="0" w:color="auto"/>
        <w:bottom w:val="none" w:sz="0" w:space="0" w:color="auto"/>
        <w:right w:val="none" w:sz="0" w:space="0" w:color="auto"/>
      </w:divBdr>
    </w:div>
    <w:div w:id="959339070">
      <w:bodyDiv w:val="1"/>
      <w:marLeft w:val="0"/>
      <w:marRight w:val="0"/>
      <w:marTop w:val="0"/>
      <w:marBottom w:val="0"/>
      <w:divBdr>
        <w:top w:val="none" w:sz="0" w:space="0" w:color="auto"/>
        <w:left w:val="none" w:sz="0" w:space="0" w:color="auto"/>
        <w:bottom w:val="none" w:sz="0" w:space="0" w:color="auto"/>
        <w:right w:val="none" w:sz="0" w:space="0" w:color="auto"/>
      </w:divBdr>
    </w:div>
    <w:div w:id="960845896">
      <w:bodyDiv w:val="1"/>
      <w:marLeft w:val="0"/>
      <w:marRight w:val="0"/>
      <w:marTop w:val="0"/>
      <w:marBottom w:val="0"/>
      <w:divBdr>
        <w:top w:val="none" w:sz="0" w:space="0" w:color="auto"/>
        <w:left w:val="none" w:sz="0" w:space="0" w:color="auto"/>
        <w:bottom w:val="none" w:sz="0" w:space="0" w:color="auto"/>
        <w:right w:val="none" w:sz="0" w:space="0" w:color="auto"/>
      </w:divBdr>
    </w:div>
    <w:div w:id="963653861">
      <w:bodyDiv w:val="1"/>
      <w:marLeft w:val="0"/>
      <w:marRight w:val="0"/>
      <w:marTop w:val="0"/>
      <w:marBottom w:val="0"/>
      <w:divBdr>
        <w:top w:val="none" w:sz="0" w:space="0" w:color="auto"/>
        <w:left w:val="none" w:sz="0" w:space="0" w:color="auto"/>
        <w:bottom w:val="none" w:sz="0" w:space="0" w:color="auto"/>
        <w:right w:val="none" w:sz="0" w:space="0" w:color="auto"/>
      </w:divBdr>
    </w:div>
    <w:div w:id="964042801">
      <w:bodyDiv w:val="1"/>
      <w:marLeft w:val="0"/>
      <w:marRight w:val="0"/>
      <w:marTop w:val="0"/>
      <w:marBottom w:val="0"/>
      <w:divBdr>
        <w:top w:val="none" w:sz="0" w:space="0" w:color="auto"/>
        <w:left w:val="none" w:sz="0" w:space="0" w:color="auto"/>
        <w:bottom w:val="none" w:sz="0" w:space="0" w:color="auto"/>
        <w:right w:val="none" w:sz="0" w:space="0" w:color="auto"/>
      </w:divBdr>
    </w:div>
    <w:div w:id="965040378">
      <w:bodyDiv w:val="1"/>
      <w:marLeft w:val="0"/>
      <w:marRight w:val="0"/>
      <w:marTop w:val="0"/>
      <w:marBottom w:val="0"/>
      <w:divBdr>
        <w:top w:val="none" w:sz="0" w:space="0" w:color="auto"/>
        <w:left w:val="none" w:sz="0" w:space="0" w:color="auto"/>
        <w:bottom w:val="none" w:sz="0" w:space="0" w:color="auto"/>
        <w:right w:val="none" w:sz="0" w:space="0" w:color="auto"/>
      </w:divBdr>
    </w:div>
    <w:div w:id="966353239">
      <w:bodyDiv w:val="1"/>
      <w:marLeft w:val="0"/>
      <w:marRight w:val="0"/>
      <w:marTop w:val="0"/>
      <w:marBottom w:val="0"/>
      <w:divBdr>
        <w:top w:val="none" w:sz="0" w:space="0" w:color="auto"/>
        <w:left w:val="none" w:sz="0" w:space="0" w:color="auto"/>
        <w:bottom w:val="none" w:sz="0" w:space="0" w:color="auto"/>
        <w:right w:val="none" w:sz="0" w:space="0" w:color="auto"/>
      </w:divBdr>
    </w:div>
    <w:div w:id="969172311">
      <w:bodyDiv w:val="1"/>
      <w:marLeft w:val="0"/>
      <w:marRight w:val="0"/>
      <w:marTop w:val="0"/>
      <w:marBottom w:val="0"/>
      <w:divBdr>
        <w:top w:val="none" w:sz="0" w:space="0" w:color="auto"/>
        <w:left w:val="none" w:sz="0" w:space="0" w:color="auto"/>
        <w:bottom w:val="none" w:sz="0" w:space="0" w:color="auto"/>
        <w:right w:val="none" w:sz="0" w:space="0" w:color="auto"/>
      </w:divBdr>
    </w:div>
    <w:div w:id="972520468">
      <w:bodyDiv w:val="1"/>
      <w:marLeft w:val="0"/>
      <w:marRight w:val="0"/>
      <w:marTop w:val="0"/>
      <w:marBottom w:val="0"/>
      <w:divBdr>
        <w:top w:val="none" w:sz="0" w:space="0" w:color="auto"/>
        <w:left w:val="none" w:sz="0" w:space="0" w:color="auto"/>
        <w:bottom w:val="none" w:sz="0" w:space="0" w:color="auto"/>
        <w:right w:val="none" w:sz="0" w:space="0" w:color="auto"/>
      </w:divBdr>
    </w:div>
    <w:div w:id="982268782">
      <w:bodyDiv w:val="1"/>
      <w:marLeft w:val="0"/>
      <w:marRight w:val="0"/>
      <w:marTop w:val="0"/>
      <w:marBottom w:val="0"/>
      <w:divBdr>
        <w:top w:val="none" w:sz="0" w:space="0" w:color="auto"/>
        <w:left w:val="none" w:sz="0" w:space="0" w:color="auto"/>
        <w:bottom w:val="none" w:sz="0" w:space="0" w:color="auto"/>
        <w:right w:val="none" w:sz="0" w:space="0" w:color="auto"/>
      </w:divBdr>
    </w:div>
    <w:div w:id="987633970">
      <w:bodyDiv w:val="1"/>
      <w:marLeft w:val="0"/>
      <w:marRight w:val="0"/>
      <w:marTop w:val="0"/>
      <w:marBottom w:val="0"/>
      <w:divBdr>
        <w:top w:val="none" w:sz="0" w:space="0" w:color="auto"/>
        <w:left w:val="none" w:sz="0" w:space="0" w:color="auto"/>
        <w:bottom w:val="none" w:sz="0" w:space="0" w:color="auto"/>
        <w:right w:val="none" w:sz="0" w:space="0" w:color="auto"/>
      </w:divBdr>
    </w:div>
    <w:div w:id="990400709">
      <w:bodyDiv w:val="1"/>
      <w:marLeft w:val="0"/>
      <w:marRight w:val="0"/>
      <w:marTop w:val="0"/>
      <w:marBottom w:val="0"/>
      <w:divBdr>
        <w:top w:val="none" w:sz="0" w:space="0" w:color="auto"/>
        <w:left w:val="none" w:sz="0" w:space="0" w:color="auto"/>
        <w:bottom w:val="none" w:sz="0" w:space="0" w:color="auto"/>
        <w:right w:val="none" w:sz="0" w:space="0" w:color="auto"/>
      </w:divBdr>
    </w:div>
    <w:div w:id="991103373">
      <w:bodyDiv w:val="1"/>
      <w:marLeft w:val="0"/>
      <w:marRight w:val="0"/>
      <w:marTop w:val="0"/>
      <w:marBottom w:val="0"/>
      <w:divBdr>
        <w:top w:val="none" w:sz="0" w:space="0" w:color="auto"/>
        <w:left w:val="none" w:sz="0" w:space="0" w:color="auto"/>
        <w:bottom w:val="none" w:sz="0" w:space="0" w:color="auto"/>
        <w:right w:val="none" w:sz="0" w:space="0" w:color="auto"/>
      </w:divBdr>
    </w:div>
    <w:div w:id="992568649">
      <w:bodyDiv w:val="1"/>
      <w:marLeft w:val="0"/>
      <w:marRight w:val="0"/>
      <w:marTop w:val="0"/>
      <w:marBottom w:val="0"/>
      <w:divBdr>
        <w:top w:val="none" w:sz="0" w:space="0" w:color="auto"/>
        <w:left w:val="none" w:sz="0" w:space="0" w:color="auto"/>
        <w:bottom w:val="none" w:sz="0" w:space="0" w:color="auto"/>
        <w:right w:val="none" w:sz="0" w:space="0" w:color="auto"/>
      </w:divBdr>
    </w:div>
    <w:div w:id="998729972">
      <w:bodyDiv w:val="1"/>
      <w:marLeft w:val="0"/>
      <w:marRight w:val="0"/>
      <w:marTop w:val="0"/>
      <w:marBottom w:val="0"/>
      <w:divBdr>
        <w:top w:val="none" w:sz="0" w:space="0" w:color="auto"/>
        <w:left w:val="none" w:sz="0" w:space="0" w:color="auto"/>
        <w:bottom w:val="none" w:sz="0" w:space="0" w:color="auto"/>
        <w:right w:val="none" w:sz="0" w:space="0" w:color="auto"/>
      </w:divBdr>
    </w:div>
    <w:div w:id="1000348361">
      <w:bodyDiv w:val="1"/>
      <w:marLeft w:val="0"/>
      <w:marRight w:val="0"/>
      <w:marTop w:val="0"/>
      <w:marBottom w:val="0"/>
      <w:divBdr>
        <w:top w:val="none" w:sz="0" w:space="0" w:color="auto"/>
        <w:left w:val="none" w:sz="0" w:space="0" w:color="auto"/>
        <w:bottom w:val="none" w:sz="0" w:space="0" w:color="auto"/>
        <w:right w:val="none" w:sz="0" w:space="0" w:color="auto"/>
      </w:divBdr>
    </w:div>
    <w:div w:id="1002974665">
      <w:bodyDiv w:val="1"/>
      <w:marLeft w:val="0"/>
      <w:marRight w:val="0"/>
      <w:marTop w:val="0"/>
      <w:marBottom w:val="0"/>
      <w:divBdr>
        <w:top w:val="none" w:sz="0" w:space="0" w:color="auto"/>
        <w:left w:val="none" w:sz="0" w:space="0" w:color="auto"/>
        <w:bottom w:val="none" w:sz="0" w:space="0" w:color="auto"/>
        <w:right w:val="none" w:sz="0" w:space="0" w:color="auto"/>
      </w:divBdr>
    </w:div>
    <w:div w:id="1005019148">
      <w:bodyDiv w:val="1"/>
      <w:marLeft w:val="0"/>
      <w:marRight w:val="0"/>
      <w:marTop w:val="0"/>
      <w:marBottom w:val="0"/>
      <w:divBdr>
        <w:top w:val="none" w:sz="0" w:space="0" w:color="auto"/>
        <w:left w:val="none" w:sz="0" w:space="0" w:color="auto"/>
        <w:bottom w:val="none" w:sz="0" w:space="0" w:color="auto"/>
        <w:right w:val="none" w:sz="0" w:space="0" w:color="auto"/>
      </w:divBdr>
    </w:div>
    <w:div w:id="1006132307">
      <w:bodyDiv w:val="1"/>
      <w:marLeft w:val="0"/>
      <w:marRight w:val="0"/>
      <w:marTop w:val="0"/>
      <w:marBottom w:val="0"/>
      <w:divBdr>
        <w:top w:val="none" w:sz="0" w:space="0" w:color="auto"/>
        <w:left w:val="none" w:sz="0" w:space="0" w:color="auto"/>
        <w:bottom w:val="none" w:sz="0" w:space="0" w:color="auto"/>
        <w:right w:val="none" w:sz="0" w:space="0" w:color="auto"/>
      </w:divBdr>
    </w:div>
    <w:div w:id="1010984604">
      <w:bodyDiv w:val="1"/>
      <w:marLeft w:val="0"/>
      <w:marRight w:val="0"/>
      <w:marTop w:val="0"/>
      <w:marBottom w:val="0"/>
      <w:divBdr>
        <w:top w:val="none" w:sz="0" w:space="0" w:color="auto"/>
        <w:left w:val="none" w:sz="0" w:space="0" w:color="auto"/>
        <w:bottom w:val="none" w:sz="0" w:space="0" w:color="auto"/>
        <w:right w:val="none" w:sz="0" w:space="0" w:color="auto"/>
      </w:divBdr>
    </w:div>
    <w:div w:id="1011295777">
      <w:bodyDiv w:val="1"/>
      <w:marLeft w:val="0"/>
      <w:marRight w:val="0"/>
      <w:marTop w:val="0"/>
      <w:marBottom w:val="0"/>
      <w:divBdr>
        <w:top w:val="none" w:sz="0" w:space="0" w:color="auto"/>
        <w:left w:val="none" w:sz="0" w:space="0" w:color="auto"/>
        <w:bottom w:val="none" w:sz="0" w:space="0" w:color="auto"/>
        <w:right w:val="none" w:sz="0" w:space="0" w:color="auto"/>
      </w:divBdr>
    </w:div>
    <w:div w:id="1020816489">
      <w:bodyDiv w:val="1"/>
      <w:marLeft w:val="0"/>
      <w:marRight w:val="0"/>
      <w:marTop w:val="0"/>
      <w:marBottom w:val="0"/>
      <w:divBdr>
        <w:top w:val="none" w:sz="0" w:space="0" w:color="auto"/>
        <w:left w:val="none" w:sz="0" w:space="0" w:color="auto"/>
        <w:bottom w:val="none" w:sz="0" w:space="0" w:color="auto"/>
        <w:right w:val="none" w:sz="0" w:space="0" w:color="auto"/>
      </w:divBdr>
    </w:div>
    <w:div w:id="1020937118">
      <w:bodyDiv w:val="1"/>
      <w:marLeft w:val="0"/>
      <w:marRight w:val="0"/>
      <w:marTop w:val="0"/>
      <w:marBottom w:val="0"/>
      <w:divBdr>
        <w:top w:val="none" w:sz="0" w:space="0" w:color="auto"/>
        <w:left w:val="none" w:sz="0" w:space="0" w:color="auto"/>
        <w:bottom w:val="none" w:sz="0" w:space="0" w:color="auto"/>
        <w:right w:val="none" w:sz="0" w:space="0" w:color="auto"/>
      </w:divBdr>
    </w:div>
    <w:div w:id="1021469116">
      <w:bodyDiv w:val="1"/>
      <w:marLeft w:val="0"/>
      <w:marRight w:val="0"/>
      <w:marTop w:val="0"/>
      <w:marBottom w:val="0"/>
      <w:divBdr>
        <w:top w:val="none" w:sz="0" w:space="0" w:color="auto"/>
        <w:left w:val="none" w:sz="0" w:space="0" w:color="auto"/>
        <w:bottom w:val="none" w:sz="0" w:space="0" w:color="auto"/>
        <w:right w:val="none" w:sz="0" w:space="0" w:color="auto"/>
      </w:divBdr>
    </w:div>
    <w:div w:id="1024592893">
      <w:bodyDiv w:val="1"/>
      <w:marLeft w:val="0"/>
      <w:marRight w:val="0"/>
      <w:marTop w:val="0"/>
      <w:marBottom w:val="0"/>
      <w:divBdr>
        <w:top w:val="none" w:sz="0" w:space="0" w:color="auto"/>
        <w:left w:val="none" w:sz="0" w:space="0" w:color="auto"/>
        <w:bottom w:val="none" w:sz="0" w:space="0" w:color="auto"/>
        <w:right w:val="none" w:sz="0" w:space="0" w:color="auto"/>
      </w:divBdr>
    </w:div>
    <w:div w:id="1027364634">
      <w:bodyDiv w:val="1"/>
      <w:marLeft w:val="0"/>
      <w:marRight w:val="0"/>
      <w:marTop w:val="0"/>
      <w:marBottom w:val="0"/>
      <w:divBdr>
        <w:top w:val="none" w:sz="0" w:space="0" w:color="auto"/>
        <w:left w:val="none" w:sz="0" w:space="0" w:color="auto"/>
        <w:bottom w:val="none" w:sz="0" w:space="0" w:color="auto"/>
        <w:right w:val="none" w:sz="0" w:space="0" w:color="auto"/>
      </w:divBdr>
    </w:div>
    <w:div w:id="1030111684">
      <w:bodyDiv w:val="1"/>
      <w:marLeft w:val="0"/>
      <w:marRight w:val="0"/>
      <w:marTop w:val="0"/>
      <w:marBottom w:val="0"/>
      <w:divBdr>
        <w:top w:val="none" w:sz="0" w:space="0" w:color="auto"/>
        <w:left w:val="none" w:sz="0" w:space="0" w:color="auto"/>
        <w:bottom w:val="none" w:sz="0" w:space="0" w:color="auto"/>
        <w:right w:val="none" w:sz="0" w:space="0" w:color="auto"/>
      </w:divBdr>
    </w:div>
    <w:div w:id="1033387400">
      <w:bodyDiv w:val="1"/>
      <w:marLeft w:val="0"/>
      <w:marRight w:val="0"/>
      <w:marTop w:val="0"/>
      <w:marBottom w:val="0"/>
      <w:divBdr>
        <w:top w:val="none" w:sz="0" w:space="0" w:color="auto"/>
        <w:left w:val="none" w:sz="0" w:space="0" w:color="auto"/>
        <w:bottom w:val="none" w:sz="0" w:space="0" w:color="auto"/>
        <w:right w:val="none" w:sz="0" w:space="0" w:color="auto"/>
      </w:divBdr>
    </w:div>
    <w:div w:id="1033963202">
      <w:bodyDiv w:val="1"/>
      <w:marLeft w:val="0"/>
      <w:marRight w:val="0"/>
      <w:marTop w:val="0"/>
      <w:marBottom w:val="0"/>
      <w:divBdr>
        <w:top w:val="none" w:sz="0" w:space="0" w:color="auto"/>
        <w:left w:val="none" w:sz="0" w:space="0" w:color="auto"/>
        <w:bottom w:val="none" w:sz="0" w:space="0" w:color="auto"/>
        <w:right w:val="none" w:sz="0" w:space="0" w:color="auto"/>
      </w:divBdr>
    </w:div>
    <w:div w:id="1043141349">
      <w:bodyDiv w:val="1"/>
      <w:marLeft w:val="0"/>
      <w:marRight w:val="0"/>
      <w:marTop w:val="0"/>
      <w:marBottom w:val="0"/>
      <w:divBdr>
        <w:top w:val="none" w:sz="0" w:space="0" w:color="auto"/>
        <w:left w:val="none" w:sz="0" w:space="0" w:color="auto"/>
        <w:bottom w:val="none" w:sz="0" w:space="0" w:color="auto"/>
        <w:right w:val="none" w:sz="0" w:space="0" w:color="auto"/>
      </w:divBdr>
    </w:div>
    <w:div w:id="1044645010">
      <w:bodyDiv w:val="1"/>
      <w:marLeft w:val="0"/>
      <w:marRight w:val="0"/>
      <w:marTop w:val="0"/>
      <w:marBottom w:val="0"/>
      <w:divBdr>
        <w:top w:val="none" w:sz="0" w:space="0" w:color="auto"/>
        <w:left w:val="none" w:sz="0" w:space="0" w:color="auto"/>
        <w:bottom w:val="none" w:sz="0" w:space="0" w:color="auto"/>
        <w:right w:val="none" w:sz="0" w:space="0" w:color="auto"/>
      </w:divBdr>
    </w:div>
    <w:div w:id="1045370550">
      <w:bodyDiv w:val="1"/>
      <w:marLeft w:val="0"/>
      <w:marRight w:val="0"/>
      <w:marTop w:val="0"/>
      <w:marBottom w:val="0"/>
      <w:divBdr>
        <w:top w:val="none" w:sz="0" w:space="0" w:color="auto"/>
        <w:left w:val="none" w:sz="0" w:space="0" w:color="auto"/>
        <w:bottom w:val="none" w:sz="0" w:space="0" w:color="auto"/>
        <w:right w:val="none" w:sz="0" w:space="0" w:color="auto"/>
      </w:divBdr>
    </w:div>
    <w:div w:id="1057555137">
      <w:bodyDiv w:val="1"/>
      <w:marLeft w:val="0"/>
      <w:marRight w:val="0"/>
      <w:marTop w:val="0"/>
      <w:marBottom w:val="0"/>
      <w:divBdr>
        <w:top w:val="none" w:sz="0" w:space="0" w:color="auto"/>
        <w:left w:val="none" w:sz="0" w:space="0" w:color="auto"/>
        <w:bottom w:val="none" w:sz="0" w:space="0" w:color="auto"/>
        <w:right w:val="none" w:sz="0" w:space="0" w:color="auto"/>
      </w:divBdr>
    </w:div>
    <w:div w:id="1059547788">
      <w:bodyDiv w:val="1"/>
      <w:marLeft w:val="0"/>
      <w:marRight w:val="0"/>
      <w:marTop w:val="0"/>
      <w:marBottom w:val="0"/>
      <w:divBdr>
        <w:top w:val="none" w:sz="0" w:space="0" w:color="auto"/>
        <w:left w:val="none" w:sz="0" w:space="0" w:color="auto"/>
        <w:bottom w:val="none" w:sz="0" w:space="0" w:color="auto"/>
        <w:right w:val="none" w:sz="0" w:space="0" w:color="auto"/>
      </w:divBdr>
    </w:div>
    <w:div w:id="1061245359">
      <w:bodyDiv w:val="1"/>
      <w:marLeft w:val="0"/>
      <w:marRight w:val="0"/>
      <w:marTop w:val="0"/>
      <w:marBottom w:val="0"/>
      <w:divBdr>
        <w:top w:val="none" w:sz="0" w:space="0" w:color="auto"/>
        <w:left w:val="none" w:sz="0" w:space="0" w:color="auto"/>
        <w:bottom w:val="none" w:sz="0" w:space="0" w:color="auto"/>
        <w:right w:val="none" w:sz="0" w:space="0" w:color="auto"/>
      </w:divBdr>
    </w:div>
    <w:div w:id="1064067973">
      <w:bodyDiv w:val="1"/>
      <w:marLeft w:val="0"/>
      <w:marRight w:val="0"/>
      <w:marTop w:val="0"/>
      <w:marBottom w:val="0"/>
      <w:divBdr>
        <w:top w:val="none" w:sz="0" w:space="0" w:color="auto"/>
        <w:left w:val="none" w:sz="0" w:space="0" w:color="auto"/>
        <w:bottom w:val="none" w:sz="0" w:space="0" w:color="auto"/>
        <w:right w:val="none" w:sz="0" w:space="0" w:color="auto"/>
      </w:divBdr>
    </w:div>
    <w:div w:id="1066949551">
      <w:bodyDiv w:val="1"/>
      <w:marLeft w:val="0"/>
      <w:marRight w:val="0"/>
      <w:marTop w:val="0"/>
      <w:marBottom w:val="0"/>
      <w:divBdr>
        <w:top w:val="none" w:sz="0" w:space="0" w:color="auto"/>
        <w:left w:val="none" w:sz="0" w:space="0" w:color="auto"/>
        <w:bottom w:val="none" w:sz="0" w:space="0" w:color="auto"/>
        <w:right w:val="none" w:sz="0" w:space="0" w:color="auto"/>
      </w:divBdr>
    </w:div>
    <w:div w:id="1067145839">
      <w:bodyDiv w:val="1"/>
      <w:marLeft w:val="0"/>
      <w:marRight w:val="0"/>
      <w:marTop w:val="0"/>
      <w:marBottom w:val="0"/>
      <w:divBdr>
        <w:top w:val="none" w:sz="0" w:space="0" w:color="auto"/>
        <w:left w:val="none" w:sz="0" w:space="0" w:color="auto"/>
        <w:bottom w:val="none" w:sz="0" w:space="0" w:color="auto"/>
        <w:right w:val="none" w:sz="0" w:space="0" w:color="auto"/>
      </w:divBdr>
    </w:div>
    <w:div w:id="1068304344">
      <w:bodyDiv w:val="1"/>
      <w:marLeft w:val="0"/>
      <w:marRight w:val="0"/>
      <w:marTop w:val="0"/>
      <w:marBottom w:val="0"/>
      <w:divBdr>
        <w:top w:val="none" w:sz="0" w:space="0" w:color="auto"/>
        <w:left w:val="none" w:sz="0" w:space="0" w:color="auto"/>
        <w:bottom w:val="none" w:sz="0" w:space="0" w:color="auto"/>
        <w:right w:val="none" w:sz="0" w:space="0" w:color="auto"/>
      </w:divBdr>
    </w:div>
    <w:div w:id="1071150916">
      <w:bodyDiv w:val="1"/>
      <w:marLeft w:val="0"/>
      <w:marRight w:val="0"/>
      <w:marTop w:val="0"/>
      <w:marBottom w:val="0"/>
      <w:divBdr>
        <w:top w:val="none" w:sz="0" w:space="0" w:color="auto"/>
        <w:left w:val="none" w:sz="0" w:space="0" w:color="auto"/>
        <w:bottom w:val="none" w:sz="0" w:space="0" w:color="auto"/>
        <w:right w:val="none" w:sz="0" w:space="0" w:color="auto"/>
      </w:divBdr>
    </w:div>
    <w:div w:id="1077438330">
      <w:bodyDiv w:val="1"/>
      <w:marLeft w:val="0"/>
      <w:marRight w:val="0"/>
      <w:marTop w:val="0"/>
      <w:marBottom w:val="0"/>
      <w:divBdr>
        <w:top w:val="none" w:sz="0" w:space="0" w:color="auto"/>
        <w:left w:val="none" w:sz="0" w:space="0" w:color="auto"/>
        <w:bottom w:val="none" w:sz="0" w:space="0" w:color="auto"/>
        <w:right w:val="none" w:sz="0" w:space="0" w:color="auto"/>
      </w:divBdr>
    </w:div>
    <w:div w:id="1078863096">
      <w:bodyDiv w:val="1"/>
      <w:marLeft w:val="0"/>
      <w:marRight w:val="0"/>
      <w:marTop w:val="0"/>
      <w:marBottom w:val="0"/>
      <w:divBdr>
        <w:top w:val="none" w:sz="0" w:space="0" w:color="auto"/>
        <w:left w:val="none" w:sz="0" w:space="0" w:color="auto"/>
        <w:bottom w:val="none" w:sz="0" w:space="0" w:color="auto"/>
        <w:right w:val="none" w:sz="0" w:space="0" w:color="auto"/>
      </w:divBdr>
    </w:div>
    <w:div w:id="1082528101">
      <w:bodyDiv w:val="1"/>
      <w:marLeft w:val="0"/>
      <w:marRight w:val="0"/>
      <w:marTop w:val="0"/>
      <w:marBottom w:val="0"/>
      <w:divBdr>
        <w:top w:val="none" w:sz="0" w:space="0" w:color="auto"/>
        <w:left w:val="none" w:sz="0" w:space="0" w:color="auto"/>
        <w:bottom w:val="none" w:sz="0" w:space="0" w:color="auto"/>
        <w:right w:val="none" w:sz="0" w:space="0" w:color="auto"/>
      </w:divBdr>
    </w:div>
    <w:div w:id="1084255519">
      <w:bodyDiv w:val="1"/>
      <w:marLeft w:val="0"/>
      <w:marRight w:val="0"/>
      <w:marTop w:val="0"/>
      <w:marBottom w:val="0"/>
      <w:divBdr>
        <w:top w:val="none" w:sz="0" w:space="0" w:color="auto"/>
        <w:left w:val="none" w:sz="0" w:space="0" w:color="auto"/>
        <w:bottom w:val="none" w:sz="0" w:space="0" w:color="auto"/>
        <w:right w:val="none" w:sz="0" w:space="0" w:color="auto"/>
      </w:divBdr>
    </w:div>
    <w:div w:id="1087967751">
      <w:bodyDiv w:val="1"/>
      <w:marLeft w:val="0"/>
      <w:marRight w:val="0"/>
      <w:marTop w:val="0"/>
      <w:marBottom w:val="0"/>
      <w:divBdr>
        <w:top w:val="none" w:sz="0" w:space="0" w:color="auto"/>
        <w:left w:val="none" w:sz="0" w:space="0" w:color="auto"/>
        <w:bottom w:val="none" w:sz="0" w:space="0" w:color="auto"/>
        <w:right w:val="none" w:sz="0" w:space="0" w:color="auto"/>
      </w:divBdr>
    </w:div>
    <w:div w:id="1090350900">
      <w:bodyDiv w:val="1"/>
      <w:marLeft w:val="0"/>
      <w:marRight w:val="0"/>
      <w:marTop w:val="0"/>
      <w:marBottom w:val="0"/>
      <w:divBdr>
        <w:top w:val="none" w:sz="0" w:space="0" w:color="auto"/>
        <w:left w:val="none" w:sz="0" w:space="0" w:color="auto"/>
        <w:bottom w:val="none" w:sz="0" w:space="0" w:color="auto"/>
        <w:right w:val="none" w:sz="0" w:space="0" w:color="auto"/>
      </w:divBdr>
    </w:div>
    <w:div w:id="1090931066">
      <w:bodyDiv w:val="1"/>
      <w:marLeft w:val="0"/>
      <w:marRight w:val="0"/>
      <w:marTop w:val="0"/>
      <w:marBottom w:val="0"/>
      <w:divBdr>
        <w:top w:val="none" w:sz="0" w:space="0" w:color="auto"/>
        <w:left w:val="none" w:sz="0" w:space="0" w:color="auto"/>
        <w:bottom w:val="none" w:sz="0" w:space="0" w:color="auto"/>
        <w:right w:val="none" w:sz="0" w:space="0" w:color="auto"/>
      </w:divBdr>
    </w:div>
    <w:div w:id="1093865327">
      <w:bodyDiv w:val="1"/>
      <w:marLeft w:val="0"/>
      <w:marRight w:val="0"/>
      <w:marTop w:val="0"/>
      <w:marBottom w:val="0"/>
      <w:divBdr>
        <w:top w:val="none" w:sz="0" w:space="0" w:color="auto"/>
        <w:left w:val="none" w:sz="0" w:space="0" w:color="auto"/>
        <w:bottom w:val="none" w:sz="0" w:space="0" w:color="auto"/>
        <w:right w:val="none" w:sz="0" w:space="0" w:color="auto"/>
      </w:divBdr>
    </w:div>
    <w:div w:id="1096558449">
      <w:bodyDiv w:val="1"/>
      <w:marLeft w:val="0"/>
      <w:marRight w:val="0"/>
      <w:marTop w:val="0"/>
      <w:marBottom w:val="0"/>
      <w:divBdr>
        <w:top w:val="none" w:sz="0" w:space="0" w:color="auto"/>
        <w:left w:val="none" w:sz="0" w:space="0" w:color="auto"/>
        <w:bottom w:val="none" w:sz="0" w:space="0" w:color="auto"/>
        <w:right w:val="none" w:sz="0" w:space="0" w:color="auto"/>
      </w:divBdr>
    </w:div>
    <w:div w:id="1098063337">
      <w:bodyDiv w:val="1"/>
      <w:marLeft w:val="0"/>
      <w:marRight w:val="0"/>
      <w:marTop w:val="0"/>
      <w:marBottom w:val="0"/>
      <w:divBdr>
        <w:top w:val="none" w:sz="0" w:space="0" w:color="auto"/>
        <w:left w:val="none" w:sz="0" w:space="0" w:color="auto"/>
        <w:bottom w:val="none" w:sz="0" w:space="0" w:color="auto"/>
        <w:right w:val="none" w:sz="0" w:space="0" w:color="auto"/>
      </w:divBdr>
    </w:div>
    <w:div w:id="1099834925">
      <w:bodyDiv w:val="1"/>
      <w:marLeft w:val="0"/>
      <w:marRight w:val="0"/>
      <w:marTop w:val="0"/>
      <w:marBottom w:val="0"/>
      <w:divBdr>
        <w:top w:val="none" w:sz="0" w:space="0" w:color="auto"/>
        <w:left w:val="none" w:sz="0" w:space="0" w:color="auto"/>
        <w:bottom w:val="none" w:sz="0" w:space="0" w:color="auto"/>
        <w:right w:val="none" w:sz="0" w:space="0" w:color="auto"/>
      </w:divBdr>
    </w:div>
    <w:div w:id="1106462985">
      <w:bodyDiv w:val="1"/>
      <w:marLeft w:val="0"/>
      <w:marRight w:val="0"/>
      <w:marTop w:val="0"/>
      <w:marBottom w:val="0"/>
      <w:divBdr>
        <w:top w:val="none" w:sz="0" w:space="0" w:color="auto"/>
        <w:left w:val="none" w:sz="0" w:space="0" w:color="auto"/>
        <w:bottom w:val="none" w:sz="0" w:space="0" w:color="auto"/>
        <w:right w:val="none" w:sz="0" w:space="0" w:color="auto"/>
      </w:divBdr>
    </w:div>
    <w:div w:id="1106847100">
      <w:bodyDiv w:val="1"/>
      <w:marLeft w:val="0"/>
      <w:marRight w:val="0"/>
      <w:marTop w:val="0"/>
      <w:marBottom w:val="0"/>
      <w:divBdr>
        <w:top w:val="none" w:sz="0" w:space="0" w:color="auto"/>
        <w:left w:val="none" w:sz="0" w:space="0" w:color="auto"/>
        <w:bottom w:val="none" w:sz="0" w:space="0" w:color="auto"/>
        <w:right w:val="none" w:sz="0" w:space="0" w:color="auto"/>
      </w:divBdr>
    </w:div>
    <w:div w:id="1107121795">
      <w:bodyDiv w:val="1"/>
      <w:marLeft w:val="0"/>
      <w:marRight w:val="0"/>
      <w:marTop w:val="0"/>
      <w:marBottom w:val="0"/>
      <w:divBdr>
        <w:top w:val="none" w:sz="0" w:space="0" w:color="auto"/>
        <w:left w:val="none" w:sz="0" w:space="0" w:color="auto"/>
        <w:bottom w:val="none" w:sz="0" w:space="0" w:color="auto"/>
        <w:right w:val="none" w:sz="0" w:space="0" w:color="auto"/>
      </w:divBdr>
    </w:div>
    <w:div w:id="1111706394">
      <w:bodyDiv w:val="1"/>
      <w:marLeft w:val="0"/>
      <w:marRight w:val="0"/>
      <w:marTop w:val="0"/>
      <w:marBottom w:val="0"/>
      <w:divBdr>
        <w:top w:val="none" w:sz="0" w:space="0" w:color="auto"/>
        <w:left w:val="none" w:sz="0" w:space="0" w:color="auto"/>
        <w:bottom w:val="none" w:sz="0" w:space="0" w:color="auto"/>
        <w:right w:val="none" w:sz="0" w:space="0" w:color="auto"/>
      </w:divBdr>
    </w:div>
    <w:div w:id="1112432754">
      <w:bodyDiv w:val="1"/>
      <w:marLeft w:val="0"/>
      <w:marRight w:val="0"/>
      <w:marTop w:val="0"/>
      <w:marBottom w:val="0"/>
      <w:divBdr>
        <w:top w:val="none" w:sz="0" w:space="0" w:color="auto"/>
        <w:left w:val="none" w:sz="0" w:space="0" w:color="auto"/>
        <w:bottom w:val="none" w:sz="0" w:space="0" w:color="auto"/>
        <w:right w:val="none" w:sz="0" w:space="0" w:color="auto"/>
      </w:divBdr>
    </w:div>
    <w:div w:id="1115102544">
      <w:bodyDiv w:val="1"/>
      <w:marLeft w:val="0"/>
      <w:marRight w:val="0"/>
      <w:marTop w:val="0"/>
      <w:marBottom w:val="0"/>
      <w:divBdr>
        <w:top w:val="none" w:sz="0" w:space="0" w:color="auto"/>
        <w:left w:val="none" w:sz="0" w:space="0" w:color="auto"/>
        <w:bottom w:val="none" w:sz="0" w:space="0" w:color="auto"/>
        <w:right w:val="none" w:sz="0" w:space="0" w:color="auto"/>
      </w:divBdr>
    </w:div>
    <w:div w:id="1121730612">
      <w:bodyDiv w:val="1"/>
      <w:marLeft w:val="0"/>
      <w:marRight w:val="0"/>
      <w:marTop w:val="0"/>
      <w:marBottom w:val="0"/>
      <w:divBdr>
        <w:top w:val="none" w:sz="0" w:space="0" w:color="auto"/>
        <w:left w:val="none" w:sz="0" w:space="0" w:color="auto"/>
        <w:bottom w:val="none" w:sz="0" w:space="0" w:color="auto"/>
        <w:right w:val="none" w:sz="0" w:space="0" w:color="auto"/>
      </w:divBdr>
    </w:div>
    <w:div w:id="1127158911">
      <w:bodyDiv w:val="1"/>
      <w:marLeft w:val="0"/>
      <w:marRight w:val="0"/>
      <w:marTop w:val="0"/>
      <w:marBottom w:val="0"/>
      <w:divBdr>
        <w:top w:val="none" w:sz="0" w:space="0" w:color="auto"/>
        <w:left w:val="none" w:sz="0" w:space="0" w:color="auto"/>
        <w:bottom w:val="none" w:sz="0" w:space="0" w:color="auto"/>
        <w:right w:val="none" w:sz="0" w:space="0" w:color="auto"/>
      </w:divBdr>
    </w:div>
    <w:div w:id="1129666843">
      <w:bodyDiv w:val="1"/>
      <w:marLeft w:val="0"/>
      <w:marRight w:val="0"/>
      <w:marTop w:val="0"/>
      <w:marBottom w:val="0"/>
      <w:divBdr>
        <w:top w:val="none" w:sz="0" w:space="0" w:color="auto"/>
        <w:left w:val="none" w:sz="0" w:space="0" w:color="auto"/>
        <w:bottom w:val="none" w:sz="0" w:space="0" w:color="auto"/>
        <w:right w:val="none" w:sz="0" w:space="0" w:color="auto"/>
      </w:divBdr>
    </w:div>
    <w:div w:id="1129713484">
      <w:bodyDiv w:val="1"/>
      <w:marLeft w:val="0"/>
      <w:marRight w:val="0"/>
      <w:marTop w:val="0"/>
      <w:marBottom w:val="0"/>
      <w:divBdr>
        <w:top w:val="none" w:sz="0" w:space="0" w:color="auto"/>
        <w:left w:val="none" w:sz="0" w:space="0" w:color="auto"/>
        <w:bottom w:val="none" w:sz="0" w:space="0" w:color="auto"/>
        <w:right w:val="none" w:sz="0" w:space="0" w:color="auto"/>
      </w:divBdr>
    </w:div>
    <w:div w:id="1130246557">
      <w:bodyDiv w:val="1"/>
      <w:marLeft w:val="0"/>
      <w:marRight w:val="0"/>
      <w:marTop w:val="0"/>
      <w:marBottom w:val="0"/>
      <w:divBdr>
        <w:top w:val="none" w:sz="0" w:space="0" w:color="auto"/>
        <w:left w:val="none" w:sz="0" w:space="0" w:color="auto"/>
        <w:bottom w:val="none" w:sz="0" w:space="0" w:color="auto"/>
        <w:right w:val="none" w:sz="0" w:space="0" w:color="auto"/>
      </w:divBdr>
    </w:div>
    <w:div w:id="1130325784">
      <w:bodyDiv w:val="1"/>
      <w:marLeft w:val="0"/>
      <w:marRight w:val="0"/>
      <w:marTop w:val="0"/>
      <w:marBottom w:val="0"/>
      <w:divBdr>
        <w:top w:val="none" w:sz="0" w:space="0" w:color="auto"/>
        <w:left w:val="none" w:sz="0" w:space="0" w:color="auto"/>
        <w:bottom w:val="none" w:sz="0" w:space="0" w:color="auto"/>
        <w:right w:val="none" w:sz="0" w:space="0" w:color="auto"/>
      </w:divBdr>
    </w:div>
    <w:div w:id="1133793237">
      <w:bodyDiv w:val="1"/>
      <w:marLeft w:val="0"/>
      <w:marRight w:val="0"/>
      <w:marTop w:val="0"/>
      <w:marBottom w:val="0"/>
      <w:divBdr>
        <w:top w:val="none" w:sz="0" w:space="0" w:color="auto"/>
        <w:left w:val="none" w:sz="0" w:space="0" w:color="auto"/>
        <w:bottom w:val="none" w:sz="0" w:space="0" w:color="auto"/>
        <w:right w:val="none" w:sz="0" w:space="0" w:color="auto"/>
      </w:divBdr>
    </w:div>
    <w:div w:id="1134520676">
      <w:bodyDiv w:val="1"/>
      <w:marLeft w:val="0"/>
      <w:marRight w:val="0"/>
      <w:marTop w:val="0"/>
      <w:marBottom w:val="0"/>
      <w:divBdr>
        <w:top w:val="none" w:sz="0" w:space="0" w:color="auto"/>
        <w:left w:val="none" w:sz="0" w:space="0" w:color="auto"/>
        <w:bottom w:val="none" w:sz="0" w:space="0" w:color="auto"/>
        <w:right w:val="none" w:sz="0" w:space="0" w:color="auto"/>
      </w:divBdr>
    </w:div>
    <w:div w:id="1142239032">
      <w:bodyDiv w:val="1"/>
      <w:marLeft w:val="0"/>
      <w:marRight w:val="0"/>
      <w:marTop w:val="0"/>
      <w:marBottom w:val="0"/>
      <w:divBdr>
        <w:top w:val="none" w:sz="0" w:space="0" w:color="auto"/>
        <w:left w:val="none" w:sz="0" w:space="0" w:color="auto"/>
        <w:bottom w:val="none" w:sz="0" w:space="0" w:color="auto"/>
        <w:right w:val="none" w:sz="0" w:space="0" w:color="auto"/>
      </w:divBdr>
    </w:div>
    <w:div w:id="1146707415">
      <w:bodyDiv w:val="1"/>
      <w:marLeft w:val="0"/>
      <w:marRight w:val="0"/>
      <w:marTop w:val="0"/>
      <w:marBottom w:val="0"/>
      <w:divBdr>
        <w:top w:val="none" w:sz="0" w:space="0" w:color="auto"/>
        <w:left w:val="none" w:sz="0" w:space="0" w:color="auto"/>
        <w:bottom w:val="none" w:sz="0" w:space="0" w:color="auto"/>
        <w:right w:val="none" w:sz="0" w:space="0" w:color="auto"/>
      </w:divBdr>
    </w:div>
    <w:div w:id="1148597528">
      <w:bodyDiv w:val="1"/>
      <w:marLeft w:val="0"/>
      <w:marRight w:val="0"/>
      <w:marTop w:val="0"/>
      <w:marBottom w:val="0"/>
      <w:divBdr>
        <w:top w:val="none" w:sz="0" w:space="0" w:color="auto"/>
        <w:left w:val="none" w:sz="0" w:space="0" w:color="auto"/>
        <w:bottom w:val="none" w:sz="0" w:space="0" w:color="auto"/>
        <w:right w:val="none" w:sz="0" w:space="0" w:color="auto"/>
      </w:divBdr>
    </w:div>
    <w:div w:id="1148789326">
      <w:bodyDiv w:val="1"/>
      <w:marLeft w:val="0"/>
      <w:marRight w:val="0"/>
      <w:marTop w:val="0"/>
      <w:marBottom w:val="0"/>
      <w:divBdr>
        <w:top w:val="none" w:sz="0" w:space="0" w:color="auto"/>
        <w:left w:val="none" w:sz="0" w:space="0" w:color="auto"/>
        <w:bottom w:val="none" w:sz="0" w:space="0" w:color="auto"/>
        <w:right w:val="none" w:sz="0" w:space="0" w:color="auto"/>
      </w:divBdr>
    </w:div>
    <w:div w:id="1149131629">
      <w:bodyDiv w:val="1"/>
      <w:marLeft w:val="0"/>
      <w:marRight w:val="0"/>
      <w:marTop w:val="0"/>
      <w:marBottom w:val="0"/>
      <w:divBdr>
        <w:top w:val="none" w:sz="0" w:space="0" w:color="auto"/>
        <w:left w:val="none" w:sz="0" w:space="0" w:color="auto"/>
        <w:bottom w:val="none" w:sz="0" w:space="0" w:color="auto"/>
        <w:right w:val="none" w:sz="0" w:space="0" w:color="auto"/>
      </w:divBdr>
    </w:div>
    <w:div w:id="1155296796">
      <w:bodyDiv w:val="1"/>
      <w:marLeft w:val="0"/>
      <w:marRight w:val="0"/>
      <w:marTop w:val="0"/>
      <w:marBottom w:val="0"/>
      <w:divBdr>
        <w:top w:val="none" w:sz="0" w:space="0" w:color="auto"/>
        <w:left w:val="none" w:sz="0" w:space="0" w:color="auto"/>
        <w:bottom w:val="none" w:sz="0" w:space="0" w:color="auto"/>
        <w:right w:val="none" w:sz="0" w:space="0" w:color="auto"/>
      </w:divBdr>
    </w:div>
    <w:div w:id="1160074657">
      <w:bodyDiv w:val="1"/>
      <w:marLeft w:val="0"/>
      <w:marRight w:val="0"/>
      <w:marTop w:val="0"/>
      <w:marBottom w:val="0"/>
      <w:divBdr>
        <w:top w:val="none" w:sz="0" w:space="0" w:color="auto"/>
        <w:left w:val="none" w:sz="0" w:space="0" w:color="auto"/>
        <w:bottom w:val="none" w:sz="0" w:space="0" w:color="auto"/>
        <w:right w:val="none" w:sz="0" w:space="0" w:color="auto"/>
      </w:divBdr>
    </w:div>
    <w:div w:id="1160580348">
      <w:bodyDiv w:val="1"/>
      <w:marLeft w:val="0"/>
      <w:marRight w:val="0"/>
      <w:marTop w:val="0"/>
      <w:marBottom w:val="0"/>
      <w:divBdr>
        <w:top w:val="none" w:sz="0" w:space="0" w:color="auto"/>
        <w:left w:val="none" w:sz="0" w:space="0" w:color="auto"/>
        <w:bottom w:val="none" w:sz="0" w:space="0" w:color="auto"/>
        <w:right w:val="none" w:sz="0" w:space="0" w:color="auto"/>
      </w:divBdr>
    </w:div>
    <w:div w:id="1160928618">
      <w:bodyDiv w:val="1"/>
      <w:marLeft w:val="0"/>
      <w:marRight w:val="0"/>
      <w:marTop w:val="0"/>
      <w:marBottom w:val="0"/>
      <w:divBdr>
        <w:top w:val="none" w:sz="0" w:space="0" w:color="auto"/>
        <w:left w:val="none" w:sz="0" w:space="0" w:color="auto"/>
        <w:bottom w:val="none" w:sz="0" w:space="0" w:color="auto"/>
        <w:right w:val="none" w:sz="0" w:space="0" w:color="auto"/>
      </w:divBdr>
    </w:div>
    <w:div w:id="1163665588">
      <w:bodyDiv w:val="1"/>
      <w:marLeft w:val="0"/>
      <w:marRight w:val="0"/>
      <w:marTop w:val="0"/>
      <w:marBottom w:val="0"/>
      <w:divBdr>
        <w:top w:val="none" w:sz="0" w:space="0" w:color="auto"/>
        <w:left w:val="none" w:sz="0" w:space="0" w:color="auto"/>
        <w:bottom w:val="none" w:sz="0" w:space="0" w:color="auto"/>
        <w:right w:val="none" w:sz="0" w:space="0" w:color="auto"/>
      </w:divBdr>
    </w:div>
    <w:div w:id="1167553528">
      <w:bodyDiv w:val="1"/>
      <w:marLeft w:val="0"/>
      <w:marRight w:val="0"/>
      <w:marTop w:val="0"/>
      <w:marBottom w:val="0"/>
      <w:divBdr>
        <w:top w:val="none" w:sz="0" w:space="0" w:color="auto"/>
        <w:left w:val="none" w:sz="0" w:space="0" w:color="auto"/>
        <w:bottom w:val="none" w:sz="0" w:space="0" w:color="auto"/>
        <w:right w:val="none" w:sz="0" w:space="0" w:color="auto"/>
      </w:divBdr>
    </w:div>
    <w:div w:id="1175801883">
      <w:bodyDiv w:val="1"/>
      <w:marLeft w:val="0"/>
      <w:marRight w:val="0"/>
      <w:marTop w:val="0"/>
      <w:marBottom w:val="0"/>
      <w:divBdr>
        <w:top w:val="none" w:sz="0" w:space="0" w:color="auto"/>
        <w:left w:val="none" w:sz="0" w:space="0" w:color="auto"/>
        <w:bottom w:val="none" w:sz="0" w:space="0" w:color="auto"/>
        <w:right w:val="none" w:sz="0" w:space="0" w:color="auto"/>
      </w:divBdr>
    </w:div>
    <w:div w:id="1180239481">
      <w:bodyDiv w:val="1"/>
      <w:marLeft w:val="0"/>
      <w:marRight w:val="0"/>
      <w:marTop w:val="0"/>
      <w:marBottom w:val="0"/>
      <w:divBdr>
        <w:top w:val="none" w:sz="0" w:space="0" w:color="auto"/>
        <w:left w:val="none" w:sz="0" w:space="0" w:color="auto"/>
        <w:bottom w:val="none" w:sz="0" w:space="0" w:color="auto"/>
        <w:right w:val="none" w:sz="0" w:space="0" w:color="auto"/>
      </w:divBdr>
    </w:div>
    <w:div w:id="1185174703">
      <w:bodyDiv w:val="1"/>
      <w:marLeft w:val="0"/>
      <w:marRight w:val="0"/>
      <w:marTop w:val="0"/>
      <w:marBottom w:val="0"/>
      <w:divBdr>
        <w:top w:val="none" w:sz="0" w:space="0" w:color="auto"/>
        <w:left w:val="none" w:sz="0" w:space="0" w:color="auto"/>
        <w:bottom w:val="none" w:sz="0" w:space="0" w:color="auto"/>
        <w:right w:val="none" w:sz="0" w:space="0" w:color="auto"/>
      </w:divBdr>
    </w:div>
    <w:div w:id="1187402918">
      <w:bodyDiv w:val="1"/>
      <w:marLeft w:val="0"/>
      <w:marRight w:val="0"/>
      <w:marTop w:val="0"/>
      <w:marBottom w:val="0"/>
      <w:divBdr>
        <w:top w:val="none" w:sz="0" w:space="0" w:color="auto"/>
        <w:left w:val="none" w:sz="0" w:space="0" w:color="auto"/>
        <w:bottom w:val="none" w:sz="0" w:space="0" w:color="auto"/>
        <w:right w:val="none" w:sz="0" w:space="0" w:color="auto"/>
      </w:divBdr>
    </w:div>
    <w:div w:id="1189758036">
      <w:bodyDiv w:val="1"/>
      <w:marLeft w:val="0"/>
      <w:marRight w:val="0"/>
      <w:marTop w:val="0"/>
      <w:marBottom w:val="0"/>
      <w:divBdr>
        <w:top w:val="none" w:sz="0" w:space="0" w:color="auto"/>
        <w:left w:val="none" w:sz="0" w:space="0" w:color="auto"/>
        <w:bottom w:val="none" w:sz="0" w:space="0" w:color="auto"/>
        <w:right w:val="none" w:sz="0" w:space="0" w:color="auto"/>
      </w:divBdr>
    </w:div>
    <w:div w:id="1189758693">
      <w:bodyDiv w:val="1"/>
      <w:marLeft w:val="0"/>
      <w:marRight w:val="0"/>
      <w:marTop w:val="0"/>
      <w:marBottom w:val="0"/>
      <w:divBdr>
        <w:top w:val="none" w:sz="0" w:space="0" w:color="auto"/>
        <w:left w:val="none" w:sz="0" w:space="0" w:color="auto"/>
        <w:bottom w:val="none" w:sz="0" w:space="0" w:color="auto"/>
        <w:right w:val="none" w:sz="0" w:space="0" w:color="auto"/>
      </w:divBdr>
    </w:div>
    <w:div w:id="1192034425">
      <w:bodyDiv w:val="1"/>
      <w:marLeft w:val="0"/>
      <w:marRight w:val="0"/>
      <w:marTop w:val="0"/>
      <w:marBottom w:val="0"/>
      <w:divBdr>
        <w:top w:val="none" w:sz="0" w:space="0" w:color="auto"/>
        <w:left w:val="none" w:sz="0" w:space="0" w:color="auto"/>
        <w:bottom w:val="none" w:sz="0" w:space="0" w:color="auto"/>
        <w:right w:val="none" w:sz="0" w:space="0" w:color="auto"/>
      </w:divBdr>
    </w:div>
    <w:div w:id="1193962524">
      <w:bodyDiv w:val="1"/>
      <w:marLeft w:val="0"/>
      <w:marRight w:val="0"/>
      <w:marTop w:val="0"/>
      <w:marBottom w:val="0"/>
      <w:divBdr>
        <w:top w:val="none" w:sz="0" w:space="0" w:color="auto"/>
        <w:left w:val="none" w:sz="0" w:space="0" w:color="auto"/>
        <w:bottom w:val="none" w:sz="0" w:space="0" w:color="auto"/>
        <w:right w:val="none" w:sz="0" w:space="0" w:color="auto"/>
      </w:divBdr>
    </w:div>
    <w:div w:id="1194032342">
      <w:bodyDiv w:val="1"/>
      <w:marLeft w:val="0"/>
      <w:marRight w:val="0"/>
      <w:marTop w:val="0"/>
      <w:marBottom w:val="0"/>
      <w:divBdr>
        <w:top w:val="none" w:sz="0" w:space="0" w:color="auto"/>
        <w:left w:val="none" w:sz="0" w:space="0" w:color="auto"/>
        <w:bottom w:val="none" w:sz="0" w:space="0" w:color="auto"/>
        <w:right w:val="none" w:sz="0" w:space="0" w:color="auto"/>
      </w:divBdr>
    </w:div>
    <w:div w:id="1209489144">
      <w:bodyDiv w:val="1"/>
      <w:marLeft w:val="0"/>
      <w:marRight w:val="0"/>
      <w:marTop w:val="0"/>
      <w:marBottom w:val="0"/>
      <w:divBdr>
        <w:top w:val="none" w:sz="0" w:space="0" w:color="auto"/>
        <w:left w:val="none" w:sz="0" w:space="0" w:color="auto"/>
        <w:bottom w:val="none" w:sz="0" w:space="0" w:color="auto"/>
        <w:right w:val="none" w:sz="0" w:space="0" w:color="auto"/>
      </w:divBdr>
    </w:div>
    <w:div w:id="1210916131">
      <w:bodyDiv w:val="1"/>
      <w:marLeft w:val="0"/>
      <w:marRight w:val="0"/>
      <w:marTop w:val="0"/>
      <w:marBottom w:val="0"/>
      <w:divBdr>
        <w:top w:val="none" w:sz="0" w:space="0" w:color="auto"/>
        <w:left w:val="none" w:sz="0" w:space="0" w:color="auto"/>
        <w:bottom w:val="none" w:sz="0" w:space="0" w:color="auto"/>
        <w:right w:val="none" w:sz="0" w:space="0" w:color="auto"/>
      </w:divBdr>
    </w:div>
    <w:div w:id="1211310974">
      <w:bodyDiv w:val="1"/>
      <w:marLeft w:val="0"/>
      <w:marRight w:val="0"/>
      <w:marTop w:val="0"/>
      <w:marBottom w:val="0"/>
      <w:divBdr>
        <w:top w:val="none" w:sz="0" w:space="0" w:color="auto"/>
        <w:left w:val="none" w:sz="0" w:space="0" w:color="auto"/>
        <w:bottom w:val="none" w:sz="0" w:space="0" w:color="auto"/>
        <w:right w:val="none" w:sz="0" w:space="0" w:color="auto"/>
      </w:divBdr>
    </w:div>
    <w:div w:id="1213956031">
      <w:bodyDiv w:val="1"/>
      <w:marLeft w:val="0"/>
      <w:marRight w:val="0"/>
      <w:marTop w:val="0"/>
      <w:marBottom w:val="0"/>
      <w:divBdr>
        <w:top w:val="none" w:sz="0" w:space="0" w:color="auto"/>
        <w:left w:val="none" w:sz="0" w:space="0" w:color="auto"/>
        <w:bottom w:val="none" w:sz="0" w:space="0" w:color="auto"/>
        <w:right w:val="none" w:sz="0" w:space="0" w:color="auto"/>
      </w:divBdr>
    </w:div>
    <w:div w:id="1218316302">
      <w:bodyDiv w:val="1"/>
      <w:marLeft w:val="0"/>
      <w:marRight w:val="0"/>
      <w:marTop w:val="0"/>
      <w:marBottom w:val="0"/>
      <w:divBdr>
        <w:top w:val="none" w:sz="0" w:space="0" w:color="auto"/>
        <w:left w:val="none" w:sz="0" w:space="0" w:color="auto"/>
        <w:bottom w:val="none" w:sz="0" w:space="0" w:color="auto"/>
        <w:right w:val="none" w:sz="0" w:space="0" w:color="auto"/>
      </w:divBdr>
    </w:div>
    <w:div w:id="1221019040">
      <w:bodyDiv w:val="1"/>
      <w:marLeft w:val="0"/>
      <w:marRight w:val="0"/>
      <w:marTop w:val="0"/>
      <w:marBottom w:val="0"/>
      <w:divBdr>
        <w:top w:val="none" w:sz="0" w:space="0" w:color="auto"/>
        <w:left w:val="none" w:sz="0" w:space="0" w:color="auto"/>
        <w:bottom w:val="none" w:sz="0" w:space="0" w:color="auto"/>
        <w:right w:val="none" w:sz="0" w:space="0" w:color="auto"/>
      </w:divBdr>
    </w:div>
    <w:div w:id="1222012948">
      <w:bodyDiv w:val="1"/>
      <w:marLeft w:val="0"/>
      <w:marRight w:val="0"/>
      <w:marTop w:val="0"/>
      <w:marBottom w:val="0"/>
      <w:divBdr>
        <w:top w:val="none" w:sz="0" w:space="0" w:color="auto"/>
        <w:left w:val="none" w:sz="0" w:space="0" w:color="auto"/>
        <w:bottom w:val="none" w:sz="0" w:space="0" w:color="auto"/>
        <w:right w:val="none" w:sz="0" w:space="0" w:color="auto"/>
      </w:divBdr>
    </w:div>
    <w:div w:id="1222594671">
      <w:bodyDiv w:val="1"/>
      <w:marLeft w:val="0"/>
      <w:marRight w:val="0"/>
      <w:marTop w:val="0"/>
      <w:marBottom w:val="0"/>
      <w:divBdr>
        <w:top w:val="none" w:sz="0" w:space="0" w:color="auto"/>
        <w:left w:val="none" w:sz="0" w:space="0" w:color="auto"/>
        <w:bottom w:val="none" w:sz="0" w:space="0" w:color="auto"/>
        <w:right w:val="none" w:sz="0" w:space="0" w:color="auto"/>
      </w:divBdr>
    </w:div>
    <w:div w:id="1232697939">
      <w:bodyDiv w:val="1"/>
      <w:marLeft w:val="0"/>
      <w:marRight w:val="0"/>
      <w:marTop w:val="0"/>
      <w:marBottom w:val="0"/>
      <w:divBdr>
        <w:top w:val="none" w:sz="0" w:space="0" w:color="auto"/>
        <w:left w:val="none" w:sz="0" w:space="0" w:color="auto"/>
        <w:bottom w:val="none" w:sz="0" w:space="0" w:color="auto"/>
        <w:right w:val="none" w:sz="0" w:space="0" w:color="auto"/>
      </w:divBdr>
    </w:div>
    <w:div w:id="1233202956">
      <w:bodyDiv w:val="1"/>
      <w:marLeft w:val="0"/>
      <w:marRight w:val="0"/>
      <w:marTop w:val="0"/>
      <w:marBottom w:val="0"/>
      <w:divBdr>
        <w:top w:val="none" w:sz="0" w:space="0" w:color="auto"/>
        <w:left w:val="none" w:sz="0" w:space="0" w:color="auto"/>
        <w:bottom w:val="none" w:sz="0" w:space="0" w:color="auto"/>
        <w:right w:val="none" w:sz="0" w:space="0" w:color="auto"/>
      </w:divBdr>
    </w:div>
    <w:div w:id="1234120336">
      <w:bodyDiv w:val="1"/>
      <w:marLeft w:val="0"/>
      <w:marRight w:val="0"/>
      <w:marTop w:val="0"/>
      <w:marBottom w:val="0"/>
      <w:divBdr>
        <w:top w:val="none" w:sz="0" w:space="0" w:color="auto"/>
        <w:left w:val="none" w:sz="0" w:space="0" w:color="auto"/>
        <w:bottom w:val="none" w:sz="0" w:space="0" w:color="auto"/>
        <w:right w:val="none" w:sz="0" w:space="0" w:color="auto"/>
      </w:divBdr>
    </w:div>
    <w:div w:id="1237978496">
      <w:bodyDiv w:val="1"/>
      <w:marLeft w:val="0"/>
      <w:marRight w:val="0"/>
      <w:marTop w:val="0"/>
      <w:marBottom w:val="0"/>
      <w:divBdr>
        <w:top w:val="none" w:sz="0" w:space="0" w:color="auto"/>
        <w:left w:val="none" w:sz="0" w:space="0" w:color="auto"/>
        <w:bottom w:val="none" w:sz="0" w:space="0" w:color="auto"/>
        <w:right w:val="none" w:sz="0" w:space="0" w:color="auto"/>
      </w:divBdr>
    </w:div>
    <w:div w:id="1245840193">
      <w:bodyDiv w:val="1"/>
      <w:marLeft w:val="0"/>
      <w:marRight w:val="0"/>
      <w:marTop w:val="0"/>
      <w:marBottom w:val="0"/>
      <w:divBdr>
        <w:top w:val="none" w:sz="0" w:space="0" w:color="auto"/>
        <w:left w:val="none" w:sz="0" w:space="0" w:color="auto"/>
        <w:bottom w:val="none" w:sz="0" w:space="0" w:color="auto"/>
        <w:right w:val="none" w:sz="0" w:space="0" w:color="auto"/>
      </w:divBdr>
    </w:div>
    <w:div w:id="1259682683">
      <w:bodyDiv w:val="1"/>
      <w:marLeft w:val="0"/>
      <w:marRight w:val="0"/>
      <w:marTop w:val="0"/>
      <w:marBottom w:val="0"/>
      <w:divBdr>
        <w:top w:val="none" w:sz="0" w:space="0" w:color="auto"/>
        <w:left w:val="none" w:sz="0" w:space="0" w:color="auto"/>
        <w:bottom w:val="none" w:sz="0" w:space="0" w:color="auto"/>
        <w:right w:val="none" w:sz="0" w:space="0" w:color="auto"/>
      </w:divBdr>
    </w:div>
    <w:div w:id="1264529274">
      <w:bodyDiv w:val="1"/>
      <w:marLeft w:val="0"/>
      <w:marRight w:val="0"/>
      <w:marTop w:val="0"/>
      <w:marBottom w:val="0"/>
      <w:divBdr>
        <w:top w:val="none" w:sz="0" w:space="0" w:color="auto"/>
        <w:left w:val="none" w:sz="0" w:space="0" w:color="auto"/>
        <w:bottom w:val="none" w:sz="0" w:space="0" w:color="auto"/>
        <w:right w:val="none" w:sz="0" w:space="0" w:color="auto"/>
      </w:divBdr>
    </w:div>
    <w:div w:id="1265042555">
      <w:bodyDiv w:val="1"/>
      <w:marLeft w:val="0"/>
      <w:marRight w:val="0"/>
      <w:marTop w:val="0"/>
      <w:marBottom w:val="0"/>
      <w:divBdr>
        <w:top w:val="none" w:sz="0" w:space="0" w:color="auto"/>
        <w:left w:val="none" w:sz="0" w:space="0" w:color="auto"/>
        <w:bottom w:val="none" w:sz="0" w:space="0" w:color="auto"/>
        <w:right w:val="none" w:sz="0" w:space="0" w:color="auto"/>
      </w:divBdr>
    </w:div>
    <w:div w:id="1270315262">
      <w:bodyDiv w:val="1"/>
      <w:marLeft w:val="0"/>
      <w:marRight w:val="0"/>
      <w:marTop w:val="0"/>
      <w:marBottom w:val="0"/>
      <w:divBdr>
        <w:top w:val="none" w:sz="0" w:space="0" w:color="auto"/>
        <w:left w:val="none" w:sz="0" w:space="0" w:color="auto"/>
        <w:bottom w:val="none" w:sz="0" w:space="0" w:color="auto"/>
        <w:right w:val="none" w:sz="0" w:space="0" w:color="auto"/>
      </w:divBdr>
    </w:div>
    <w:div w:id="1272128695">
      <w:bodyDiv w:val="1"/>
      <w:marLeft w:val="0"/>
      <w:marRight w:val="0"/>
      <w:marTop w:val="0"/>
      <w:marBottom w:val="0"/>
      <w:divBdr>
        <w:top w:val="none" w:sz="0" w:space="0" w:color="auto"/>
        <w:left w:val="none" w:sz="0" w:space="0" w:color="auto"/>
        <w:bottom w:val="none" w:sz="0" w:space="0" w:color="auto"/>
        <w:right w:val="none" w:sz="0" w:space="0" w:color="auto"/>
      </w:divBdr>
    </w:div>
    <w:div w:id="1278100415">
      <w:bodyDiv w:val="1"/>
      <w:marLeft w:val="0"/>
      <w:marRight w:val="0"/>
      <w:marTop w:val="0"/>
      <w:marBottom w:val="0"/>
      <w:divBdr>
        <w:top w:val="none" w:sz="0" w:space="0" w:color="auto"/>
        <w:left w:val="none" w:sz="0" w:space="0" w:color="auto"/>
        <w:bottom w:val="none" w:sz="0" w:space="0" w:color="auto"/>
        <w:right w:val="none" w:sz="0" w:space="0" w:color="auto"/>
      </w:divBdr>
    </w:div>
    <w:div w:id="1278953157">
      <w:bodyDiv w:val="1"/>
      <w:marLeft w:val="0"/>
      <w:marRight w:val="0"/>
      <w:marTop w:val="0"/>
      <w:marBottom w:val="0"/>
      <w:divBdr>
        <w:top w:val="none" w:sz="0" w:space="0" w:color="auto"/>
        <w:left w:val="none" w:sz="0" w:space="0" w:color="auto"/>
        <w:bottom w:val="none" w:sz="0" w:space="0" w:color="auto"/>
        <w:right w:val="none" w:sz="0" w:space="0" w:color="auto"/>
      </w:divBdr>
    </w:div>
    <w:div w:id="1280910514">
      <w:bodyDiv w:val="1"/>
      <w:marLeft w:val="0"/>
      <w:marRight w:val="0"/>
      <w:marTop w:val="0"/>
      <w:marBottom w:val="0"/>
      <w:divBdr>
        <w:top w:val="none" w:sz="0" w:space="0" w:color="auto"/>
        <w:left w:val="none" w:sz="0" w:space="0" w:color="auto"/>
        <w:bottom w:val="none" w:sz="0" w:space="0" w:color="auto"/>
        <w:right w:val="none" w:sz="0" w:space="0" w:color="auto"/>
      </w:divBdr>
    </w:div>
    <w:div w:id="1282610676">
      <w:bodyDiv w:val="1"/>
      <w:marLeft w:val="0"/>
      <w:marRight w:val="0"/>
      <w:marTop w:val="0"/>
      <w:marBottom w:val="0"/>
      <w:divBdr>
        <w:top w:val="none" w:sz="0" w:space="0" w:color="auto"/>
        <w:left w:val="none" w:sz="0" w:space="0" w:color="auto"/>
        <w:bottom w:val="none" w:sz="0" w:space="0" w:color="auto"/>
        <w:right w:val="none" w:sz="0" w:space="0" w:color="auto"/>
      </w:divBdr>
    </w:div>
    <w:div w:id="1282802108">
      <w:bodyDiv w:val="1"/>
      <w:marLeft w:val="0"/>
      <w:marRight w:val="0"/>
      <w:marTop w:val="0"/>
      <w:marBottom w:val="0"/>
      <w:divBdr>
        <w:top w:val="none" w:sz="0" w:space="0" w:color="auto"/>
        <w:left w:val="none" w:sz="0" w:space="0" w:color="auto"/>
        <w:bottom w:val="none" w:sz="0" w:space="0" w:color="auto"/>
        <w:right w:val="none" w:sz="0" w:space="0" w:color="auto"/>
      </w:divBdr>
    </w:div>
    <w:div w:id="1283422902">
      <w:bodyDiv w:val="1"/>
      <w:marLeft w:val="0"/>
      <w:marRight w:val="0"/>
      <w:marTop w:val="0"/>
      <w:marBottom w:val="0"/>
      <w:divBdr>
        <w:top w:val="none" w:sz="0" w:space="0" w:color="auto"/>
        <w:left w:val="none" w:sz="0" w:space="0" w:color="auto"/>
        <w:bottom w:val="none" w:sz="0" w:space="0" w:color="auto"/>
        <w:right w:val="none" w:sz="0" w:space="0" w:color="auto"/>
      </w:divBdr>
    </w:div>
    <w:div w:id="1291014718">
      <w:bodyDiv w:val="1"/>
      <w:marLeft w:val="0"/>
      <w:marRight w:val="0"/>
      <w:marTop w:val="0"/>
      <w:marBottom w:val="0"/>
      <w:divBdr>
        <w:top w:val="none" w:sz="0" w:space="0" w:color="auto"/>
        <w:left w:val="none" w:sz="0" w:space="0" w:color="auto"/>
        <w:bottom w:val="none" w:sz="0" w:space="0" w:color="auto"/>
        <w:right w:val="none" w:sz="0" w:space="0" w:color="auto"/>
      </w:divBdr>
    </w:div>
    <w:div w:id="1294016489">
      <w:bodyDiv w:val="1"/>
      <w:marLeft w:val="0"/>
      <w:marRight w:val="0"/>
      <w:marTop w:val="0"/>
      <w:marBottom w:val="0"/>
      <w:divBdr>
        <w:top w:val="none" w:sz="0" w:space="0" w:color="auto"/>
        <w:left w:val="none" w:sz="0" w:space="0" w:color="auto"/>
        <w:bottom w:val="none" w:sz="0" w:space="0" w:color="auto"/>
        <w:right w:val="none" w:sz="0" w:space="0" w:color="auto"/>
      </w:divBdr>
    </w:div>
    <w:div w:id="1294601818">
      <w:bodyDiv w:val="1"/>
      <w:marLeft w:val="0"/>
      <w:marRight w:val="0"/>
      <w:marTop w:val="0"/>
      <w:marBottom w:val="0"/>
      <w:divBdr>
        <w:top w:val="none" w:sz="0" w:space="0" w:color="auto"/>
        <w:left w:val="none" w:sz="0" w:space="0" w:color="auto"/>
        <w:bottom w:val="none" w:sz="0" w:space="0" w:color="auto"/>
        <w:right w:val="none" w:sz="0" w:space="0" w:color="auto"/>
      </w:divBdr>
    </w:div>
    <w:div w:id="1294675590">
      <w:bodyDiv w:val="1"/>
      <w:marLeft w:val="0"/>
      <w:marRight w:val="0"/>
      <w:marTop w:val="0"/>
      <w:marBottom w:val="0"/>
      <w:divBdr>
        <w:top w:val="none" w:sz="0" w:space="0" w:color="auto"/>
        <w:left w:val="none" w:sz="0" w:space="0" w:color="auto"/>
        <w:bottom w:val="none" w:sz="0" w:space="0" w:color="auto"/>
        <w:right w:val="none" w:sz="0" w:space="0" w:color="auto"/>
      </w:divBdr>
    </w:div>
    <w:div w:id="1296789042">
      <w:bodyDiv w:val="1"/>
      <w:marLeft w:val="0"/>
      <w:marRight w:val="0"/>
      <w:marTop w:val="0"/>
      <w:marBottom w:val="0"/>
      <w:divBdr>
        <w:top w:val="none" w:sz="0" w:space="0" w:color="auto"/>
        <w:left w:val="none" w:sz="0" w:space="0" w:color="auto"/>
        <w:bottom w:val="none" w:sz="0" w:space="0" w:color="auto"/>
        <w:right w:val="none" w:sz="0" w:space="0" w:color="auto"/>
      </w:divBdr>
    </w:div>
    <w:div w:id="1297367835">
      <w:bodyDiv w:val="1"/>
      <w:marLeft w:val="0"/>
      <w:marRight w:val="0"/>
      <w:marTop w:val="0"/>
      <w:marBottom w:val="0"/>
      <w:divBdr>
        <w:top w:val="none" w:sz="0" w:space="0" w:color="auto"/>
        <w:left w:val="none" w:sz="0" w:space="0" w:color="auto"/>
        <w:bottom w:val="none" w:sz="0" w:space="0" w:color="auto"/>
        <w:right w:val="none" w:sz="0" w:space="0" w:color="auto"/>
      </w:divBdr>
    </w:div>
    <w:div w:id="1298028894">
      <w:bodyDiv w:val="1"/>
      <w:marLeft w:val="0"/>
      <w:marRight w:val="0"/>
      <w:marTop w:val="0"/>
      <w:marBottom w:val="0"/>
      <w:divBdr>
        <w:top w:val="none" w:sz="0" w:space="0" w:color="auto"/>
        <w:left w:val="none" w:sz="0" w:space="0" w:color="auto"/>
        <w:bottom w:val="none" w:sz="0" w:space="0" w:color="auto"/>
        <w:right w:val="none" w:sz="0" w:space="0" w:color="auto"/>
      </w:divBdr>
    </w:div>
    <w:div w:id="1304045937">
      <w:bodyDiv w:val="1"/>
      <w:marLeft w:val="0"/>
      <w:marRight w:val="0"/>
      <w:marTop w:val="0"/>
      <w:marBottom w:val="0"/>
      <w:divBdr>
        <w:top w:val="none" w:sz="0" w:space="0" w:color="auto"/>
        <w:left w:val="none" w:sz="0" w:space="0" w:color="auto"/>
        <w:bottom w:val="none" w:sz="0" w:space="0" w:color="auto"/>
        <w:right w:val="none" w:sz="0" w:space="0" w:color="auto"/>
      </w:divBdr>
    </w:div>
    <w:div w:id="1305046319">
      <w:bodyDiv w:val="1"/>
      <w:marLeft w:val="0"/>
      <w:marRight w:val="0"/>
      <w:marTop w:val="0"/>
      <w:marBottom w:val="0"/>
      <w:divBdr>
        <w:top w:val="none" w:sz="0" w:space="0" w:color="auto"/>
        <w:left w:val="none" w:sz="0" w:space="0" w:color="auto"/>
        <w:bottom w:val="none" w:sz="0" w:space="0" w:color="auto"/>
        <w:right w:val="none" w:sz="0" w:space="0" w:color="auto"/>
      </w:divBdr>
    </w:div>
    <w:div w:id="1308439648">
      <w:bodyDiv w:val="1"/>
      <w:marLeft w:val="0"/>
      <w:marRight w:val="0"/>
      <w:marTop w:val="0"/>
      <w:marBottom w:val="0"/>
      <w:divBdr>
        <w:top w:val="none" w:sz="0" w:space="0" w:color="auto"/>
        <w:left w:val="none" w:sz="0" w:space="0" w:color="auto"/>
        <w:bottom w:val="none" w:sz="0" w:space="0" w:color="auto"/>
        <w:right w:val="none" w:sz="0" w:space="0" w:color="auto"/>
      </w:divBdr>
    </w:div>
    <w:div w:id="1310792577">
      <w:bodyDiv w:val="1"/>
      <w:marLeft w:val="0"/>
      <w:marRight w:val="0"/>
      <w:marTop w:val="0"/>
      <w:marBottom w:val="0"/>
      <w:divBdr>
        <w:top w:val="none" w:sz="0" w:space="0" w:color="auto"/>
        <w:left w:val="none" w:sz="0" w:space="0" w:color="auto"/>
        <w:bottom w:val="none" w:sz="0" w:space="0" w:color="auto"/>
        <w:right w:val="none" w:sz="0" w:space="0" w:color="auto"/>
      </w:divBdr>
    </w:div>
    <w:div w:id="1322080752">
      <w:bodyDiv w:val="1"/>
      <w:marLeft w:val="0"/>
      <w:marRight w:val="0"/>
      <w:marTop w:val="0"/>
      <w:marBottom w:val="0"/>
      <w:divBdr>
        <w:top w:val="none" w:sz="0" w:space="0" w:color="auto"/>
        <w:left w:val="none" w:sz="0" w:space="0" w:color="auto"/>
        <w:bottom w:val="none" w:sz="0" w:space="0" w:color="auto"/>
        <w:right w:val="none" w:sz="0" w:space="0" w:color="auto"/>
      </w:divBdr>
    </w:div>
    <w:div w:id="1331300456">
      <w:bodyDiv w:val="1"/>
      <w:marLeft w:val="0"/>
      <w:marRight w:val="0"/>
      <w:marTop w:val="0"/>
      <w:marBottom w:val="0"/>
      <w:divBdr>
        <w:top w:val="none" w:sz="0" w:space="0" w:color="auto"/>
        <w:left w:val="none" w:sz="0" w:space="0" w:color="auto"/>
        <w:bottom w:val="none" w:sz="0" w:space="0" w:color="auto"/>
        <w:right w:val="none" w:sz="0" w:space="0" w:color="auto"/>
      </w:divBdr>
    </w:div>
    <w:div w:id="1331787534">
      <w:bodyDiv w:val="1"/>
      <w:marLeft w:val="0"/>
      <w:marRight w:val="0"/>
      <w:marTop w:val="0"/>
      <w:marBottom w:val="0"/>
      <w:divBdr>
        <w:top w:val="none" w:sz="0" w:space="0" w:color="auto"/>
        <w:left w:val="none" w:sz="0" w:space="0" w:color="auto"/>
        <w:bottom w:val="none" w:sz="0" w:space="0" w:color="auto"/>
        <w:right w:val="none" w:sz="0" w:space="0" w:color="auto"/>
      </w:divBdr>
    </w:div>
    <w:div w:id="1336374517">
      <w:bodyDiv w:val="1"/>
      <w:marLeft w:val="0"/>
      <w:marRight w:val="0"/>
      <w:marTop w:val="0"/>
      <w:marBottom w:val="0"/>
      <w:divBdr>
        <w:top w:val="none" w:sz="0" w:space="0" w:color="auto"/>
        <w:left w:val="none" w:sz="0" w:space="0" w:color="auto"/>
        <w:bottom w:val="none" w:sz="0" w:space="0" w:color="auto"/>
        <w:right w:val="none" w:sz="0" w:space="0" w:color="auto"/>
      </w:divBdr>
    </w:div>
    <w:div w:id="1348171363">
      <w:bodyDiv w:val="1"/>
      <w:marLeft w:val="0"/>
      <w:marRight w:val="0"/>
      <w:marTop w:val="0"/>
      <w:marBottom w:val="0"/>
      <w:divBdr>
        <w:top w:val="none" w:sz="0" w:space="0" w:color="auto"/>
        <w:left w:val="none" w:sz="0" w:space="0" w:color="auto"/>
        <w:bottom w:val="none" w:sz="0" w:space="0" w:color="auto"/>
        <w:right w:val="none" w:sz="0" w:space="0" w:color="auto"/>
      </w:divBdr>
    </w:div>
    <w:div w:id="1356923628">
      <w:bodyDiv w:val="1"/>
      <w:marLeft w:val="0"/>
      <w:marRight w:val="0"/>
      <w:marTop w:val="0"/>
      <w:marBottom w:val="0"/>
      <w:divBdr>
        <w:top w:val="none" w:sz="0" w:space="0" w:color="auto"/>
        <w:left w:val="none" w:sz="0" w:space="0" w:color="auto"/>
        <w:bottom w:val="none" w:sz="0" w:space="0" w:color="auto"/>
        <w:right w:val="none" w:sz="0" w:space="0" w:color="auto"/>
      </w:divBdr>
    </w:div>
    <w:div w:id="1359816954">
      <w:bodyDiv w:val="1"/>
      <w:marLeft w:val="0"/>
      <w:marRight w:val="0"/>
      <w:marTop w:val="0"/>
      <w:marBottom w:val="0"/>
      <w:divBdr>
        <w:top w:val="none" w:sz="0" w:space="0" w:color="auto"/>
        <w:left w:val="none" w:sz="0" w:space="0" w:color="auto"/>
        <w:bottom w:val="none" w:sz="0" w:space="0" w:color="auto"/>
        <w:right w:val="none" w:sz="0" w:space="0" w:color="auto"/>
      </w:divBdr>
    </w:div>
    <w:div w:id="1360355826">
      <w:bodyDiv w:val="1"/>
      <w:marLeft w:val="0"/>
      <w:marRight w:val="0"/>
      <w:marTop w:val="0"/>
      <w:marBottom w:val="0"/>
      <w:divBdr>
        <w:top w:val="none" w:sz="0" w:space="0" w:color="auto"/>
        <w:left w:val="none" w:sz="0" w:space="0" w:color="auto"/>
        <w:bottom w:val="none" w:sz="0" w:space="0" w:color="auto"/>
        <w:right w:val="none" w:sz="0" w:space="0" w:color="auto"/>
      </w:divBdr>
    </w:div>
    <w:div w:id="1361591548">
      <w:bodyDiv w:val="1"/>
      <w:marLeft w:val="0"/>
      <w:marRight w:val="0"/>
      <w:marTop w:val="0"/>
      <w:marBottom w:val="0"/>
      <w:divBdr>
        <w:top w:val="none" w:sz="0" w:space="0" w:color="auto"/>
        <w:left w:val="none" w:sz="0" w:space="0" w:color="auto"/>
        <w:bottom w:val="none" w:sz="0" w:space="0" w:color="auto"/>
        <w:right w:val="none" w:sz="0" w:space="0" w:color="auto"/>
      </w:divBdr>
    </w:div>
    <w:div w:id="1365786276">
      <w:bodyDiv w:val="1"/>
      <w:marLeft w:val="0"/>
      <w:marRight w:val="0"/>
      <w:marTop w:val="0"/>
      <w:marBottom w:val="0"/>
      <w:divBdr>
        <w:top w:val="none" w:sz="0" w:space="0" w:color="auto"/>
        <w:left w:val="none" w:sz="0" w:space="0" w:color="auto"/>
        <w:bottom w:val="none" w:sz="0" w:space="0" w:color="auto"/>
        <w:right w:val="none" w:sz="0" w:space="0" w:color="auto"/>
      </w:divBdr>
    </w:div>
    <w:div w:id="1365861269">
      <w:bodyDiv w:val="1"/>
      <w:marLeft w:val="0"/>
      <w:marRight w:val="0"/>
      <w:marTop w:val="0"/>
      <w:marBottom w:val="0"/>
      <w:divBdr>
        <w:top w:val="none" w:sz="0" w:space="0" w:color="auto"/>
        <w:left w:val="none" w:sz="0" w:space="0" w:color="auto"/>
        <w:bottom w:val="none" w:sz="0" w:space="0" w:color="auto"/>
        <w:right w:val="none" w:sz="0" w:space="0" w:color="auto"/>
      </w:divBdr>
    </w:div>
    <w:div w:id="1368337017">
      <w:bodyDiv w:val="1"/>
      <w:marLeft w:val="0"/>
      <w:marRight w:val="0"/>
      <w:marTop w:val="0"/>
      <w:marBottom w:val="0"/>
      <w:divBdr>
        <w:top w:val="none" w:sz="0" w:space="0" w:color="auto"/>
        <w:left w:val="none" w:sz="0" w:space="0" w:color="auto"/>
        <w:bottom w:val="none" w:sz="0" w:space="0" w:color="auto"/>
        <w:right w:val="none" w:sz="0" w:space="0" w:color="auto"/>
      </w:divBdr>
    </w:div>
    <w:div w:id="1371956901">
      <w:bodyDiv w:val="1"/>
      <w:marLeft w:val="0"/>
      <w:marRight w:val="0"/>
      <w:marTop w:val="0"/>
      <w:marBottom w:val="0"/>
      <w:divBdr>
        <w:top w:val="none" w:sz="0" w:space="0" w:color="auto"/>
        <w:left w:val="none" w:sz="0" w:space="0" w:color="auto"/>
        <w:bottom w:val="none" w:sz="0" w:space="0" w:color="auto"/>
        <w:right w:val="none" w:sz="0" w:space="0" w:color="auto"/>
      </w:divBdr>
    </w:div>
    <w:div w:id="1377511208">
      <w:bodyDiv w:val="1"/>
      <w:marLeft w:val="0"/>
      <w:marRight w:val="0"/>
      <w:marTop w:val="0"/>
      <w:marBottom w:val="0"/>
      <w:divBdr>
        <w:top w:val="none" w:sz="0" w:space="0" w:color="auto"/>
        <w:left w:val="none" w:sz="0" w:space="0" w:color="auto"/>
        <w:bottom w:val="none" w:sz="0" w:space="0" w:color="auto"/>
        <w:right w:val="none" w:sz="0" w:space="0" w:color="auto"/>
      </w:divBdr>
    </w:div>
    <w:div w:id="1381394927">
      <w:bodyDiv w:val="1"/>
      <w:marLeft w:val="0"/>
      <w:marRight w:val="0"/>
      <w:marTop w:val="0"/>
      <w:marBottom w:val="0"/>
      <w:divBdr>
        <w:top w:val="none" w:sz="0" w:space="0" w:color="auto"/>
        <w:left w:val="none" w:sz="0" w:space="0" w:color="auto"/>
        <w:bottom w:val="none" w:sz="0" w:space="0" w:color="auto"/>
        <w:right w:val="none" w:sz="0" w:space="0" w:color="auto"/>
      </w:divBdr>
    </w:div>
    <w:div w:id="1382749472">
      <w:bodyDiv w:val="1"/>
      <w:marLeft w:val="0"/>
      <w:marRight w:val="0"/>
      <w:marTop w:val="0"/>
      <w:marBottom w:val="0"/>
      <w:divBdr>
        <w:top w:val="none" w:sz="0" w:space="0" w:color="auto"/>
        <w:left w:val="none" w:sz="0" w:space="0" w:color="auto"/>
        <w:bottom w:val="none" w:sz="0" w:space="0" w:color="auto"/>
        <w:right w:val="none" w:sz="0" w:space="0" w:color="auto"/>
      </w:divBdr>
    </w:div>
    <w:div w:id="1385175261">
      <w:bodyDiv w:val="1"/>
      <w:marLeft w:val="0"/>
      <w:marRight w:val="0"/>
      <w:marTop w:val="0"/>
      <w:marBottom w:val="0"/>
      <w:divBdr>
        <w:top w:val="none" w:sz="0" w:space="0" w:color="auto"/>
        <w:left w:val="none" w:sz="0" w:space="0" w:color="auto"/>
        <w:bottom w:val="none" w:sz="0" w:space="0" w:color="auto"/>
        <w:right w:val="none" w:sz="0" w:space="0" w:color="auto"/>
      </w:divBdr>
    </w:div>
    <w:div w:id="1388064534">
      <w:bodyDiv w:val="1"/>
      <w:marLeft w:val="0"/>
      <w:marRight w:val="0"/>
      <w:marTop w:val="0"/>
      <w:marBottom w:val="0"/>
      <w:divBdr>
        <w:top w:val="none" w:sz="0" w:space="0" w:color="auto"/>
        <w:left w:val="none" w:sz="0" w:space="0" w:color="auto"/>
        <w:bottom w:val="none" w:sz="0" w:space="0" w:color="auto"/>
        <w:right w:val="none" w:sz="0" w:space="0" w:color="auto"/>
      </w:divBdr>
    </w:div>
    <w:div w:id="1390036938">
      <w:bodyDiv w:val="1"/>
      <w:marLeft w:val="0"/>
      <w:marRight w:val="0"/>
      <w:marTop w:val="0"/>
      <w:marBottom w:val="0"/>
      <w:divBdr>
        <w:top w:val="none" w:sz="0" w:space="0" w:color="auto"/>
        <w:left w:val="none" w:sz="0" w:space="0" w:color="auto"/>
        <w:bottom w:val="none" w:sz="0" w:space="0" w:color="auto"/>
        <w:right w:val="none" w:sz="0" w:space="0" w:color="auto"/>
      </w:divBdr>
    </w:div>
    <w:div w:id="1392344093">
      <w:bodyDiv w:val="1"/>
      <w:marLeft w:val="0"/>
      <w:marRight w:val="0"/>
      <w:marTop w:val="0"/>
      <w:marBottom w:val="0"/>
      <w:divBdr>
        <w:top w:val="none" w:sz="0" w:space="0" w:color="auto"/>
        <w:left w:val="none" w:sz="0" w:space="0" w:color="auto"/>
        <w:bottom w:val="none" w:sz="0" w:space="0" w:color="auto"/>
        <w:right w:val="none" w:sz="0" w:space="0" w:color="auto"/>
      </w:divBdr>
    </w:div>
    <w:div w:id="1393960801">
      <w:bodyDiv w:val="1"/>
      <w:marLeft w:val="0"/>
      <w:marRight w:val="0"/>
      <w:marTop w:val="0"/>
      <w:marBottom w:val="0"/>
      <w:divBdr>
        <w:top w:val="none" w:sz="0" w:space="0" w:color="auto"/>
        <w:left w:val="none" w:sz="0" w:space="0" w:color="auto"/>
        <w:bottom w:val="none" w:sz="0" w:space="0" w:color="auto"/>
        <w:right w:val="none" w:sz="0" w:space="0" w:color="auto"/>
      </w:divBdr>
    </w:div>
    <w:div w:id="1395272235">
      <w:bodyDiv w:val="1"/>
      <w:marLeft w:val="0"/>
      <w:marRight w:val="0"/>
      <w:marTop w:val="0"/>
      <w:marBottom w:val="0"/>
      <w:divBdr>
        <w:top w:val="none" w:sz="0" w:space="0" w:color="auto"/>
        <w:left w:val="none" w:sz="0" w:space="0" w:color="auto"/>
        <w:bottom w:val="none" w:sz="0" w:space="0" w:color="auto"/>
        <w:right w:val="none" w:sz="0" w:space="0" w:color="auto"/>
      </w:divBdr>
    </w:div>
    <w:div w:id="1400135114">
      <w:bodyDiv w:val="1"/>
      <w:marLeft w:val="0"/>
      <w:marRight w:val="0"/>
      <w:marTop w:val="0"/>
      <w:marBottom w:val="0"/>
      <w:divBdr>
        <w:top w:val="none" w:sz="0" w:space="0" w:color="auto"/>
        <w:left w:val="none" w:sz="0" w:space="0" w:color="auto"/>
        <w:bottom w:val="none" w:sz="0" w:space="0" w:color="auto"/>
        <w:right w:val="none" w:sz="0" w:space="0" w:color="auto"/>
      </w:divBdr>
    </w:div>
    <w:div w:id="1400324064">
      <w:bodyDiv w:val="1"/>
      <w:marLeft w:val="0"/>
      <w:marRight w:val="0"/>
      <w:marTop w:val="0"/>
      <w:marBottom w:val="0"/>
      <w:divBdr>
        <w:top w:val="none" w:sz="0" w:space="0" w:color="auto"/>
        <w:left w:val="none" w:sz="0" w:space="0" w:color="auto"/>
        <w:bottom w:val="none" w:sz="0" w:space="0" w:color="auto"/>
        <w:right w:val="none" w:sz="0" w:space="0" w:color="auto"/>
      </w:divBdr>
    </w:div>
    <w:div w:id="1404064276">
      <w:bodyDiv w:val="1"/>
      <w:marLeft w:val="0"/>
      <w:marRight w:val="0"/>
      <w:marTop w:val="0"/>
      <w:marBottom w:val="0"/>
      <w:divBdr>
        <w:top w:val="none" w:sz="0" w:space="0" w:color="auto"/>
        <w:left w:val="none" w:sz="0" w:space="0" w:color="auto"/>
        <w:bottom w:val="none" w:sz="0" w:space="0" w:color="auto"/>
        <w:right w:val="none" w:sz="0" w:space="0" w:color="auto"/>
      </w:divBdr>
    </w:div>
    <w:div w:id="1405176434">
      <w:bodyDiv w:val="1"/>
      <w:marLeft w:val="0"/>
      <w:marRight w:val="0"/>
      <w:marTop w:val="0"/>
      <w:marBottom w:val="0"/>
      <w:divBdr>
        <w:top w:val="none" w:sz="0" w:space="0" w:color="auto"/>
        <w:left w:val="none" w:sz="0" w:space="0" w:color="auto"/>
        <w:bottom w:val="none" w:sz="0" w:space="0" w:color="auto"/>
        <w:right w:val="none" w:sz="0" w:space="0" w:color="auto"/>
      </w:divBdr>
    </w:div>
    <w:div w:id="1411073575">
      <w:bodyDiv w:val="1"/>
      <w:marLeft w:val="0"/>
      <w:marRight w:val="0"/>
      <w:marTop w:val="0"/>
      <w:marBottom w:val="0"/>
      <w:divBdr>
        <w:top w:val="none" w:sz="0" w:space="0" w:color="auto"/>
        <w:left w:val="none" w:sz="0" w:space="0" w:color="auto"/>
        <w:bottom w:val="none" w:sz="0" w:space="0" w:color="auto"/>
        <w:right w:val="none" w:sz="0" w:space="0" w:color="auto"/>
      </w:divBdr>
    </w:div>
    <w:div w:id="1418474464">
      <w:bodyDiv w:val="1"/>
      <w:marLeft w:val="0"/>
      <w:marRight w:val="0"/>
      <w:marTop w:val="0"/>
      <w:marBottom w:val="0"/>
      <w:divBdr>
        <w:top w:val="none" w:sz="0" w:space="0" w:color="auto"/>
        <w:left w:val="none" w:sz="0" w:space="0" w:color="auto"/>
        <w:bottom w:val="none" w:sz="0" w:space="0" w:color="auto"/>
        <w:right w:val="none" w:sz="0" w:space="0" w:color="auto"/>
      </w:divBdr>
    </w:div>
    <w:div w:id="1423986081">
      <w:bodyDiv w:val="1"/>
      <w:marLeft w:val="0"/>
      <w:marRight w:val="0"/>
      <w:marTop w:val="0"/>
      <w:marBottom w:val="0"/>
      <w:divBdr>
        <w:top w:val="none" w:sz="0" w:space="0" w:color="auto"/>
        <w:left w:val="none" w:sz="0" w:space="0" w:color="auto"/>
        <w:bottom w:val="none" w:sz="0" w:space="0" w:color="auto"/>
        <w:right w:val="none" w:sz="0" w:space="0" w:color="auto"/>
      </w:divBdr>
    </w:div>
    <w:div w:id="1428388019">
      <w:bodyDiv w:val="1"/>
      <w:marLeft w:val="0"/>
      <w:marRight w:val="0"/>
      <w:marTop w:val="0"/>
      <w:marBottom w:val="0"/>
      <w:divBdr>
        <w:top w:val="none" w:sz="0" w:space="0" w:color="auto"/>
        <w:left w:val="none" w:sz="0" w:space="0" w:color="auto"/>
        <w:bottom w:val="none" w:sz="0" w:space="0" w:color="auto"/>
        <w:right w:val="none" w:sz="0" w:space="0" w:color="auto"/>
      </w:divBdr>
    </w:div>
    <w:div w:id="1432047471">
      <w:bodyDiv w:val="1"/>
      <w:marLeft w:val="0"/>
      <w:marRight w:val="0"/>
      <w:marTop w:val="0"/>
      <w:marBottom w:val="0"/>
      <w:divBdr>
        <w:top w:val="none" w:sz="0" w:space="0" w:color="auto"/>
        <w:left w:val="none" w:sz="0" w:space="0" w:color="auto"/>
        <w:bottom w:val="none" w:sz="0" w:space="0" w:color="auto"/>
        <w:right w:val="none" w:sz="0" w:space="0" w:color="auto"/>
      </w:divBdr>
    </w:div>
    <w:div w:id="1435977457">
      <w:bodyDiv w:val="1"/>
      <w:marLeft w:val="0"/>
      <w:marRight w:val="0"/>
      <w:marTop w:val="0"/>
      <w:marBottom w:val="0"/>
      <w:divBdr>
        <w:top w:val="none" w:sz="0" w:space="0" w:color="auto"/>
        <w:left w:val="none" w:sz="0" w:space="0" w:color="auto"/>
        <w:bottom w:val="none" w:sz="0" w:space="0" w:color="auto"/>
        <w:right w:val="none" w:sz="0" w:space="0" w:color="auto"/>
      </w:divBdr>
    </w:div>
    <w:div w:id="1436169295">
      <w:bodyDiv w:val="1"/>
      <w:marLeft w:val="0"/>
      <w:marRight w:val="0"/>
      <w:marTop w:val="0"/>
      <w:marBottom w:val="0"/>
      <w:divBdr>
        <w:top w:val="none" w:sz="0" w:space="0" w:color="auto"/>
        <w:left w:val="none" w:sz="0" w:space="0" w:color="auto"/>
        <w:bottom w:val="none" w:sz="0" w:space="0" w:color="auto"/>
        <w:right w:val="none" w:sz="0" w:space="0" w:color="auto"/>
      </w:divBdr>
    </w:div>
    <w:div w:id="1436706893">
      <w:bodyDiv w:val="1"/>
      <w:marLeft w:val="0"/>
      <w:marRight w:val="0"/>
      <w:marTop w:val="0"/>
      <w:marBottom w:val="0"/>
      <w:divBdr>
        <w:top w:val="none" w:sz="0" w:space="0" w:color="auto"/>
        <w:left w:val="none" w:sz="0" w:space="0" w:color="auto"/>
        <w:bottom w:val="none" w:sz="0" w:space="0" w:color="auto"/>
        <w:right w:val="none" w:sz="0" w:space="0" w:color="auto"/>
      </w:divBdr>
    </w:div>
    <w:div w:id="1439446931">
      <w:bodyDiv w:val="1"/>
      <w:marLeft w:val="0"/>
      <w:marRight w:val="0"/>
      <w:marTop w:val="0"/>
      <w:marBottom w:val="0"/>
      <w:divBdr>
        <w:top w:val="none" w:sz="0" w:space="0" w:color="auto"/>
        <w:left w:val="none" w:sz="0" w:space="0" w:color="auto"/>
        <w:bottom w:val="none" w:sz="0" w:space="0" w:color="auto"/>
        <w:right w:val="none" w:sz="0" w:space="0" w:color="auto"/>
      </w:divBdr>
    </w:div>
    <w:div w:id="1442334647">
      <w:bodyDiv w:val="1"/>
      <w:marLeft w:val="0"/>
      <w:marRight w:val="0"/>
      <w:marTop w:val="0"/>
      <w:marBottom w:val="0"/>
      <w:divBdr>
        <w:top w:val="none" w:sz="0" w:space="0" w:color="auto"/>
        <w:left w:val="none" w:sz="0" w:space="0" w:color="auto"/>
        <w:bottom w:val="none" w:sz="0" w:space="0" w:color="auto"/>
        <w:right w:val="none" w:sz="0" w:space="0" w:color="auto"/>
      </w:divBdr>
    </w:div>
    <w:div w:id="1443306468">
      <w:bodyDiv w:val="1"/>
      <w:marLeft w:val="0"/>
      <w:marRight w:val="0"/>
      <w:marTop w:val="0"/>
      <w:marBottom w:val="0"/>
      <w:divBdr>
        <w:top w:val="none" w:sz="0" w:space="0" w:color="auto"/>
        <w:left w:val="none" w:sz="0" w:space="0" w:color="auto"/>
        <w:bottom w:val="none" w:sz="0" w:space="0" w:color="auto"/>
        <w:right w:val="none" w:sz="0" w:space="0" w:color="auto"/>
      </w:divBdr>
    </w:div>
    <w:div w:id="1448154977">
      <w:bodyDiv w:val="1"/>
      <w:marLeft w:val="0"/>
      <w:marRight w:val="0"/>
      <w:marTop w:val="0"/>
      <w:marBottom w:val="0"/>
      <w:divBdr>
        <w:top w:val="none" w:sz="0" w:space="0" w:color="auto"/>
        <w:left w:val="none" w:sz="0" w:space="0" w:color="auto"/>
        <w:bottom w:val="none" w:sz="0" w:space="0" w:color="auto"/>
        <w:right w:val="none" w:sz="0" w:space="0" w:color="auto"/>
      </w:divBdr>
    </w:div>
    <w:div w:id="1456484796">
      <w:bodyDiv w:val="1"/>
      <w:marLeft w:val="0"/>
      <w:marRight w:val="0"/>
      <w:marTop w:val="0"/>
      <w:marBottom w:val="0"/>
      <w:divBdr>
        <w:top w:val="none" w:sz="0" w:space="0" w:color="auto"/>
        <w:left w:val="none" w:sz="0" w:space="0" w:color="auto"/>
        <w:bottom w:val="none" w:sz="0" w:space="0" w:color="auto"/>
        <w:right w:val="none" w:sz="0" w:space="0" w:color="auto"/>
      </w:divBdr>
    </w:div>
    <w:div w:id="1458062967">
      <w:bodyDiv w:val="1"/>
      <w:marLeft w:val="0"/>
      <w:marRight w:val="0"/>
      <w:marTop w:val="0"/>
      <w:marBottom w:val="0"/>
      <w:divBdr>
        <w:top w:val="none" w:sz="0" w:space="0" w:color="auto"/>
        <w:left w:val="none" w:sz="0" w:space="0" w:color="auto"/>
        <w:bottom w:val="none" w:sz="0" w:space="0" w:color="auto"/>
        <w:right w:val="none" w:sz="0" w:space="0" w:color="auto"/>
      </w:divBdr>
    </w:div>
    <w:div w:id="1458454809">
      <w:bodyDiv w:val="1"/>
      <w:marLeft w:val="0"/>
      <w:marRight w:val="0"/>
      <w:marTop w:val="0"/>
      <w:marBottom w:val="0"/>
      <w:divBdr>
        <w:top w:val="none" w:sz="0" w:space="0" w:color="auto"/>
        <w:left w:val="none" w:sz="0" w:space="0" w:color="auto"/>
        <w:bottom w:val="none" w:sz="0" w:space="0" w:color="auto"/>
        <w:right w:val="none" w:sz="0" w:space="0" w:color="auto"/>
      </w:divBdr>
    </w:div>
    <w:div w:id="1458524229">
      <w:bodyDiv w:val="1"/>
      <w:marLeft w:val="0"/>
      <w:marRight w:val="0"/>
      <w:marTop w:val="0"/>
      <w:marBottom w:val="0"/>
      <w:divBdr>
        <w:top w:val="none" w:sz="0" w:space="0" w:color="auto"/>
        <w:left w:val="none" w:sz="0" w:space="0" w:color="auto"/>
        <w:bottom w:val="none" w:sz="0" w:space="0" w:color="auto"/>
        <w:right w:val="none" w:sz="0" w:space="0" w:color="auto"/>
      </w:divBdr>
    </w:div>
    <w:div w:id="1461074488">
      <w:bodyDiv w:val="1"/>
      <w:marLeft w:val="0"/>
      <w:marRight w:val="0"/>
      <w:marTop w:val="0"/>
      <w:marBottom w:val="0"/>
      <w:divBdr>
        <w:top w:val="none" w:sz="0" w:space="0" w:color="auto"/>
        <w:left w:val="none" w:sz="0" w:space="0" w:color="auto"/>
        <w:bottom w:val="none" w:sz="0" w:space="0" w:color="auto"/>
        <w:right w:val="none" w:sz="0" w:space="0" w:color="auto"/>
      </w:divBdr>
    </w:div>
    <w:div w:id="1461194012">
      <w:bodyDiv w:val="1"/>
      <w:marLeft w:val="0"/>
      <w:marRight w:val="0"/>
      <w:marTop w:val="0"/>
      <w:marBottom w:val="0"/>
      <w:divBdr>
        <w:top w:val="none" w:sz="0" w:space="0" w:color="auto"/>
        <w:left w:val="none" w:sz="0" w:space="0" w:color="auto"/>
        <w:bottom w:val="none" w:sz="0" w:space="0" w:color="auto"/>
        <w:right w:val="none" w:sz="0" w:space="0" w:color="auto"/>
      </w:divBdr>
    </w:div>
    <w:div w:id="1461996438">
      <w:bodyDiv w:val="1"/>
      <w:marLeft w:val="0"/>
      <w:marRight w:val="0"/>
      <w:marTop w:val="0"/>
      <w:marBottom w:val="0"/>
      <w:divBdr>
        <w:top w:val="none" w:sz="0" w:space="0" w:color="auto"/>
        <w:left w:val="none" w:sz="0" w:space="0" w:color="auto"/>
        <w:bottom w:val="none" w:sz="0" w:space="0" w:color="auto"/>
        <w:right w:val="none" w:sz="0" w:space="0" w:color="auto"/>
      </w:divBdr>
    </w:div>
    <w:div w:id="1462307225">
      <w:bodyDiv w:val="1"/>
      <w:marLeft w:val="0"/>
      <w:marRight w:val="0"/>
      <w:marTop w:val="0"/>
      <w:marBottom w:val="0"/>
      <w:divBdr>
        <w:top w:val="none" w:sz="0" w:space="0" w:color="auto"/>
        <w:left w:val="none" w:sz="0" w:space="0" w:color="auto"/>
        <w:bottom w:val="none" w:sz="0" w:space="0" w:color="auto"/>
        <w:right w:val="none" w:sz="0" w:space="0" w:color="auto"/>
      </w:divBdr>
    </w:div>
    <w:div w:id="1463885404">
      <w:bodyDiv w:val="1"/>
      <w:marLeft w:val="0"/>
      <w:marRight w:val="0"/>
      <w:marTop w:val="0"/>
      <w:marBottom w:val="0"/>
      <w:divBdr>
        <w:top w:val="none" w:sz="0" w:space="0" w:color="auto"/>
        <w:left w:val="none" w:sz="0" w:space="0" w:color="auto"/>
        <w:bottom w:val="none" w:sz="0" w:space="0" w:color="auto"/>
        <w:right w:val="none" w:sz="0" w:space="0" w:color="auto"/>
      </w:divBdr>
    </w:div>
    <w:div w:id="1465923886">
      <w:bodyDiv w:val="1"/>
      <w:marLeft w:val="0"/>
      <w:marRight w:val="0"/>
      <w:marTop w:val="0"/>
      <w:marBottom w:val="0"/>
      <w:divBdr>
        <w:top w:val="none" w:sz="0" w:space="0" w:color="auto"/>
        <w:left w:val="none" w:sz="0" w:space="0" w:color="auto"/>
        <w:bottom w:val="none" w:sz="0" w:space="0" w:color="auto"/>
        <w:right w:val="none" w:sz="0" w:space="0" w:color="auto"/>
      </w:divBdr>
    </w:div>
    <w:div w:id="1465928575">
      <w:bodyDiv w:val="1"/>
      <w:marLeft w:val="0"/>
      <w:marRight w:val="0"/>
      <w:marTop w:val="0"/>
      <w:marBottom w:val="0"/>
      <w:divBdr>
        <w:top w:val="none" w:sz="0" w:space="0" w:color="auto"/>
        <w:left w:val="none" w:sz="0" w:space="0" w:color="auto"/>
        <w:bottom w:val="none" w:sz="0" w:space="0" w:color="auto"/>
        <w:right w:val="none" w:sz="0" w:space="0" w:color="auto"/>
      </w:divBdr>
    </w:div>
    <w:div w:id="1474635352">
      <w:bodyDiv w:val="1"/>
      <w:marLeft w:val="0"/>
      <w:marRight w:val="0"/>
      <w:marTop w:val="0"/>
      <w:marBottom w:val="0"/>
      <w:divBdr>
        <w:top w:val="none" w:sz="0" w:space="0" w:color="auto"/>
        <w:left w:val="none" w:sz="0" w:space="0" w:color="auto"/>
        <w:bottom w:val="none" w:sz="0" w:space="0" w:color="auto"/>
        <w:right w:val="none" w:sz="0" w:space="0" w:color="auto"/>
      </w:divBdr>
    </w:div>
    <w:div w:id="1475175715">
      <w:bodyDiv w:val="1"/>
      <w:marLeft w:val="0"/>
      <w:marRight w:val="0"/>
      <w:marTop w:val="0"/>
      <w:marBottom w:val="0"/>
      <w:divBdr>
        <w:top w:val="none" w:sz="0" w:space="0" w:color="auto"/>
        <w:left w:val="none" w:sz="0" w:space="0" w:color="auto"/>
        <w:bottom w:val="none" w:sz="0" w:space="0" w:color="auto"/>
        <w:right w:val="none" w:sz="0" w:space="0" w:color="auto"/>
      </w:divBdr>
    </w:div>
    <w:div w:id="1479227813">
      <w:bodyDiv w:val="1"/>
      <w:marLeft w:val="0"/>
      <w:marRight w:val="0"/>
      <w:marTop w:val="0"/>
      <w:marBottom w:val="0"/>
      <w:divBdr>
        <w:top w:val="none" w:sz="0" w:space="0" w:color="auto"/>
        <w:left w:val="none" w:sz="0" w:space="0" w:color="auto"/>
        <w:bottom w:val="none" w:sz="0" w:space="0" w:color="auto"/>
        <w:right w:val="none" w:sz="0" w:space="0" w:color="auto"/>
      </w:divBdr>
    </w:div>
    <w:div w:id="1485782143">
      <w:bodyDiv w:val="1"/>
      <w:marLeft w:val="0"/>
      <w:marRight w:val="0"/>
      <w:marTop w:val="0"/>
      <w:marBottom w:val="0"/>
      <w:divBdr>
        <w:top w:val="none" w:sz="0" w:space="0" w:color="auto"/>
        <w:left w:val="none" w:sz="0" w:space="0" w:color="auto"/>
        <w:bottom w:val="none" w:sz="0" w:space="0" w:color="auto"/>
        <w:right w:val="none" w:sz="0" w:space="0" w:color="auto"/>
      </w:divBdr>
    </w:div>
    <w:div w:id="1486624085">
      <w:bodyDiv w:val="1"/>
      <w:marLeft w:val="0"/>
      <w:marRight w:val="0"/>
      <w:marTop w:val="0"/>
      <w:marBottom w:val="0"/>
      <w:divBdr>
        <w:top w:val="none" w:sz="0" w:space="0" w:color="auto"/>
        <w:left w:val="none" w:sz="0" w:space="0" w:color="auto"/>
        <w:bottom w:val="none" w:sz="0" w:space="0" w:color="auto"/>
        <w:right w:val="none" w:sz="0" w:space="0" w:color="auto"/>
      </w:divBdr>
    </w:div>
    <w:div w:id="1491141625">
      <w:bodyDiv w:val="1"/>
      <w:marLeft w:val="0"/>
      <w:marRight w:val="0"/>
      <w:marTop w:val="0"/>
      <w:marBottom w:val="0"/>
      <w:divBdr>
        <w:top w:val="none" w:sz="0" w:space="0" w:color="auto"/>
        <w:left w:val="none" w:sz="0" w:space="0" w:color="auto"/>
        <w:bottom w:val="none" w:sz="0" w:space="0" w:color="auto"/>
        <w:right w:val="none" w:sz="0" w:space="0" w:color="auto"/>
      </w:divBdr>
    </w:div>
    <w:div w:id="1495338783">
      <w:bodyDiv w:val="1"/>
      <w:marLeft w:val="0"/>
      <w:marRight w:val="0"/>
      <w:marTop w:val="0"/>
      <w:marBottom w:val="0"/>
      <w:divBdr>
        <w:top w:val="none" w:sz="0" w:space="0" w:color="auto"/>
        <w:left w:val="none" w:sz="0" w:space="0" w:color="auto"/>
        <w:bottom w:val="none" w:sz="0" w:space="0" w:color="auto"/>
        <w:right w:val="none" w:sz="0" w:space="0" w:color="auto"/>
      </w:divBdr>
    </w:div>
    <w:div w:id="1497064863">
      <w:bodyDiv w:val="1"/>
      <w:marLeft w:val="0"/>
      <w:marRight w:val="0"/>
      <w:marTop w:val="0"/>
      <w:marBottom w:val="0"/>
      <w:divBdr>
        <w:top w:val="none" w:sz="0" w:space="0" w:color="auto"/>
        <w:left w:val="none" w:sz="0" w:space="0" w:color="auto"/>
        <w:bottom w:val="none" w:sz="0" w:space="0" w:color="auto"/>
        <w:right w:val="none" w:sz="0" w:space="0" w:color="auto"/>
      </w:divBdr>
    </w:div>
    <w:div w:id="1504275927">
      <w:bodyDiv w:val="1"/>
      <w:marLeft w:val="0"/>
      <w:marRight w:val="0"/>
      <w:marTop w:val="0"/>
      <w:marBottom w:val="0"/>
      <w:divBdr>
        <w:top w:val="none" w:sz="0" w:space="0" w:color="auto"/>
        <w:left w:val="none" w:sz="0" w:space="0" w:color="auto"/>
        <w:bottom w:val="none" w:sz="0" w:space="0" w:color="auto"/>
        <w:right w:val="none" w:sz="0" w:space="0" w:color="auto"/>
      </w:divBdr>
    </w:div>
    <w:div w:id="1504927369">
      <w:bodyDiv w:val="1"/>
      <w:marLeft w:val="0"/>
      <w:marRight w:val="0"/>
      <w:marTop w:val="0"/>
      <w:marBottom w:val="0"/>
      <w:divBdr>
        <w:top w:val="none" w:sz="0" w:space="0" w:color="auto"/>
        <w:left w:val="none" w:sz="0" w:space="0" w:color="auto"/>
        <w:bottom w:val="none" w:sz="0" w:space="0" w:color="auto"/>
        <w:right w:val="none" w:sz="0" w:space="0" w:color="auto"/>
      </w:divBdr>
    </w:div>
    <w:div w:id="1508867634">
      <w:bodyDiv w:val="1"/>
      <w:marLeft w:val="0"/>
      <w:marRight w:val="0"/>
      <w:marTop w:val="0"/>
      <w:marBottom w:val="0"/>
      <w:divBdr>
        <w:top w:val="none" w:sz="0" w:space="0" w:color="auto"/>
        <w:left w:val="none" w:sz="0" w:space="0" w:color="auto"/>
        <w:bottom w:val="none" w:sz="0" w:space="0" w:color="auto"/>
        <w:right w:val="none" w:sz="0" w:space="0" w:color="auto"/>
      </w:divBdr>
    </w:div>
    <w:div w:id="1512722364">
      <w:bodyDiv w:val="1"/>
      <w:marLeft w:val="0"/>
      <w:marRight w:val="0"/>
      <w:marTop w:val="0"/>
      <w:marBottom w:val="0"/>
      <w:divBdr>
        <w:top w:val="none" w:sz="0" w:space="0" w:color="auto"/>
        <w:left w:val="none" w:sz="0" w:space="0" w:color="auto"/>
        <w:bottom w:val="none" w:sz="0" w:space="0" w:color="auto"/>
        <w:right w:val="none" w:sz="0" w:space="0" w:color="auto"/>
      </w:divBdr>
    </w:div>
    <w:div w:id="1513451655">
      <w:bodyDiv w:val="1"/>
      <w:marLeft w:val="0"/>
      <w:marRight w:val="0"/>
      <w:marTop w:val="0"/>
      <w:marBottom w:val="0"/>
      <w:divBdr>
        <w:top w:val="none" w:sz="0" w:space="0" w:color="auto"/>
        <w:left w:val="none" w:sz="0" w:space="0" w:color="auto"/>
        <w:bottom w:val="none" w:sz="0" w:space="0" w:color="auto"/>
        <w:right w:val="none" w:sz="0" w:space="0" w:color="auto"/>
      </w:divBdr>
    </w:div>
    <w:div w:id="1515726713">
      <w:bodyDiv w:val="1"/>
      <w:marLeft w:val="0"/>
      <w:marRight w:val="0"/>
      <w:marTop w:val="0"/>
      <w:marBottom w:val="0"/>
      <w:divBdr>
        <w:top w:val="none" w:sz="0" w:space="0" w:color="auto"/>
        <w:left w:val="none" w:sz="0" w:space="0" w:color="auto"/>
        <w:bottom w:val="none" w:sz="0" w:space="0" w:color="auto"/>
        <w:right w:val="none" w:sz="0" w:space="0" w:color="auto"/>
      </w:divBdr>
    </w:div>
    <w:div w:id="1516726766">
      <w:bodyDiv w:val="1"/>
      <w:marLeft w:val="0"/>
      <w:marRight w:val="0"/>
      <w:marTop w:val="0"/>
      <w:marBottom w:val="0"/>
      <w:divBdr>
        <w:top w:val="none" w:sz="0" w:space="0" w:color="auto"/>
        <w:left w:val="none" w:sz="0" w:space="0" w:color="auto"/>
        <w:bottom w:val="none" w:sz="0" w:space="0" w:color="auto"/>
        <w:right w:val="none" w:sz="0" w:space="0" w:color="auto"/>
      </w:divBdr>
    </w:div>
    <w:div w:id="1527981454">
      <w:bodyDiv w:val="1"/>
      <w:marLeft w:val="0"/>
      <w:marRight w:val="0"/>
      <w:marTop w:val="0"/>
      <w:marBottom w:val="0"/>
      <w:divBdr>
        <w:top w:val="none" w:sz="0" w:space="0" w:color="auto"/>
        <w:left w:val="none" w:sz="0" w:space="0" w:color="auto"/>
        <w:bottom w:val="none" w:sz="0" w:space="0" w:color="auto"/>
        <w:right w:val="none" w:sz="0" w:space="0" w:color="auto"/>
      </w:divBdr>
    </w:div>
    <w:div w:id="1530530750">
      <w:bodyDiv w:val="1"/>
      <w:marLeft w:val="0"/>
      <w:marRight w:val="0"/>
      <w:marTop w:val="0"/>
      <w:marBottom w:val="0"/>
      <w:divBdr>
        <w:top w:val="none" w:sz="0" w:space="0" w:color="auto"/>
        <w:left w:val="none" w:sz="0" w:space="0" w:color="auto"/>
        <w:bottom w:val="none" w:sz="0" w:space="0" w:color="auto"/>
        <w:right w:val="none" w:sz="0" w:space="0" w:color="auto"/>
      </w:divBdr>
    </w:div>
    <w:div w:id="1540169862">
      <w:bodyDiv w:val="1"/>
      <w:marLeft w:val="0"/>
      <w:marRight w:val="0"/>
      <w:marTop w:val="0"/>
      <w:marBottom w:val="0"/>
      <w:divBdr>
        <w:top w:val="none" w:sz="0" w:space="0" w:color="auto"/>
        <w:left w:val="none" w:sz="0" w:space="0" w:color="auto"/>
        <w:bottom w:val="none" w:sz="0" w:space="0" w:color="auto"/>
        <w:right w:val="none" w:sz="0" w:space="0" w:color="auto"/>
      </w:divBdr>
    </w:div>
    <w:div w:id="1541472654">
      <w:bodyDiv w:val="1"/>
      <w:marLeft w:val="0"/>
      <w:marRight w:val="0"/>
      <w:marTop w:val="0"/>
      <w:marBottom w:val="0"/>
      <w:divBdr>
        <w:top w:val="none" w:sz="0" w:space="0" w:color="auto"/>
        <w:left w:val="none" w:sz="0" w:space="0" w:color="auto"/>
        <w:bottom w:val="none" w:sz="0" w:space="0" w:color="auto"/>
        <w:right w:val="none" w:sz="0" w:space="0" w:color="auto"/>
      </w:divBdr>
    </w:div>
    <w:div w:id="1555703640">
      <w:bodyDiv w:val="1"/>
      <w:marLeft w:val="0"/>
      <w:marRight w:val="0"/>
      <w:marTop w:val="0"/>
      <w:marBottom w:val="0"/>
      <w:divBdr>
        <w:top w:val="none" w:sz="0" w:space="0" w:color="auto"/>
        <w:left w:val="none" w:sz="0" w:space="0" w:color="auto"/>
        <w:bottom w:val="none" w:sz="0" w:space="0" w:color="auto"/>
        <w:right w:val="none" w:sz="0" w:space="0" w:color="auto"/>
      </w:divBdr>
    </w:div>
    <w:div w:id="1556239108">
      <w:bodyDiv w:val="1"/>
      <w:marLeft w:val="0"/>
      <w:marRight w:val="0"/>
      <w:marTop w:val="0"/>
      <w:marBottom w:val="0"/>
      <w:divBdr>
        <w:top w:val="none" w:sz="0" w:space="0" w:color="auto"/>
        <w:left w:val="none" w:sz="0" w:space="0" w:color="auto"/>
        <w:bottom w:val="none" w:sz="0" w:space="0" w:color="auto"/>
        <w:right w:val="none" w:sz="0" w:space="0" w:color="auto"/>
      </w:divBdr>
    </w:div>
    <w:div w:id="1557473925">
      <w:bodyDiv w:val="1"/>
      <w:marLeft w:val="0"/>
      <w:marRight w:val="0"/>
      <w:marTop w:val="0"/>
      <w:marBottom w:val="0"/>
      <w:divBdr>
        <w:top w:val="none" w:sz="0" w:space="0" w:color="auto"/>
        <w:left w:val="none" w:sz="0" w:space="0" w:color="auto"/>
        <w:bottom w:val="none" w:sz="0" w:space="0" w:color="auto"/>
        <w:right w:val="none" w:sz="0" w:space="0" w:color="auto"/>
      </w:divBdr>
    </w:div>
    <w:div w:id="1557617952">
      <w:bodyDiv w:val="1"/>
      <w:marLeft w:val="0"/>
      <w:marRight w:val="0"/>
      <w:marTop w:val="0"/>
      <w:marBottom w:val="0"/>
      <w:divBdr>
        <w:top w:val="none" w:sz="0" w:space="0" w:color="auto"/>
        <w:left w:val="none" w:sz="0" w:space="0" w:color="auto"/>
        <w:bottom w:val="none" w:sz="0" w:space="0" w:color="auto"/>
        <w:right w:val="none" w:sz="0" w:space="0" w:color="auto"/>
      </w:divBdr>
    </w:div>
    <w:div w:id="1560743253">
      <w:bodyDiv w:val="1"/>
      <w:marLeft w:val="0"/>
      <w:marRight w:val="0"/>
      <w:marTop w:val="0"/>
      <w:marBottom w:val="0"/>
      <w:divBdr>
        <w:top w:val="none" w:sz="0" w:space="0" w:color="auto"/>
        <w:left w:val="none" w:sz="0" w:space="0" w:color="auto"/>
        <w:bottom w:val="none" w:sz="0" w:space="0" w:color="auto"/>
        <w:right w:val="none" w:sz="0" w:space="0" w:color="auto"/>
      </w:divBdr>
    </w:div>
    <w:div w:id="1563717620">
      <w:bodyDiv w:val="1"/>
      <w:marLeft w:val="0"/>
      <w:marRight w:val="0"/>
      <w:marTop w:val="0"/>
      <w:marBottom w:val="0"/>
      <w:divBdr>
        <w:top w:val="none" w:sz="0" w:space="0" w:color="auto"/>
        <w:left w:val="none" w:sz="0" w:space="0" w:color="auto"/>
        <w:bottom w:val="none" w:sz="0" w:space="0" w:color="auto"/>
        <w:right w:val="none" w:sz="0" w:space="0" w:color="auto"/>
      </w:divBdr>
    </w:div>
    <w:div w:id="1564295867">
      <w:bodyDiv w:val="1"/>
      <w:marLeft w:val="0"/>
      <w:marRight w:val="0"/>
      <w:marTop w:val="0"/>
      <w:marBottom w:val="0"/>
      <w:divBdr>
        <w:top w:val="none" w:sz="0" w:space="0" w:color="auto"/>
        <w:left w:val="none" w:sz="0" w:space="0" w:color="auto"/>
        <w:bottom w:val="none" w:sz="0" w:space="0" w:color="auto"/>
        <w:right w:val="none" w:sz="0" w:space="0" w:color="auto"/>
      </w:divBdr>
    </w:div>
    <w:div w:id="1571042589">
      <w:bodyDiv w:val="1"/>
      <w:marLeft w:val="0"/>
      <w:marRight w:val="0"/>
      <w:marTop w:val="0"/>
      <w:marBottom w:val="0"/>
      <w:divBdr>
        <w:top w:val="none" w:sz="0" w:space="0" w:color="auto"/>
        <w:left w:val="none" w:sz="0" w:space="0" w:color="auto"/>
        <w:bottom w:val="none" w:sz="0" w:space="0" w:color="auto"/>
        <w:right w:val="none" w:sz="0" w:space="0" w:color="auto"/>
      </w:divBdr>
    </w:div>
    <w:div w:id="1571959214">
      <w:bodyDiv w:val="1"/>
      <w:marLeft w:val="0"/>
      <w:marRight w:val="0"/>
      <w:marTop w:val="0"/>
      <w:marBottom w:val="0"/>
      <w:divBdr>
        <w:top w:val="none" w:sz="0" w:space="0" w:color="auto"/>
        <w:left w:val="none" w:sz="0" w:space="0" w:color="auto"/>
        <w:bottom w:val="none" w:sz="0" w:space="0" w:color="auto"/>
        <w:right w:val="none" w:sz="0" w:space="0" w:color="auto"/>
      </w:divBdr>
    </w:div>
    <w:div w:id="1584336581">
      <w:bodyDiv w:val="1"/>
      <w:marLeft w:val="0"/>
      <w:marRight w:val="0"/>
      <w:marTop w:val="0"/>
      <w:marBottom w:val="0"/>
      <w:divBdr>
        <w:top w:val="none" w:sz="0" w:space="0" w:color="auto"/>
        <w:left w:val="none" w:sz="0" w:space="0" w:color="auto"/>
        <w:bottom w:val="none" w:sz="0" w:space="0" w:color="auto"/>
        <w:right w:val="none" w:sz="0" w:space="0" w:color="auto"/>
      </w:divBdr>
    </w:div>
    <w:div w:id="1586648730">
      <w:bodyDiv w:val="1"/>
      <w:marLeft w:val="0"/>
      <w:marRight w:val="0"/>
      <w:marTop w:val="0"/>
      <w:marBottom w:val="0"/>
      <w:divBdr>
        <w:top w:val="none" w:sz="0" w:space="0" w:color="auto"/>
        <w:left w:val="none" w:sz="0" w:space="0" w:color="auto"/>
        <w:bottom w:val="none" w:sz="0" w:space="0" w:color="auto"/>
        <w:right w:val="none" w:sz="0" w:space="0" w:color="auto"/>
      </w:divBdr>
    </w:div>
    <w:div w:id="1587037890">
      <w:bodyDiv w:val="1"/>
      <w:marLeft w:val="0"/>
      <w:marRight w:val="0"/>
      <w:marTop w:val="0"/>
      <w:marBottom w:val="0"/>
      <w:divBdr>
        <w:top w:val="none" w:sz="0" w:space="0" w:color="auto"/>
        <w:left w:val="none" w:sz="0" w:space="0" w:color="auto"/>
        <w:bottom w:val="none" w:sz="0" w:space="0" w:color="auto"/>
        <w:right w:val="none" w:sz="0" w:space="0" w:color="auto"/>
      </w:divBdr>
    </w:div>
    <w:div w:id="1590045250">
      <w:bodyDiv w:val="1"/>
      <w:marLeft w:val="0"/>
      <w:marRight w:val="0"/>
      <w:marTop w:val="0"/>
      <w:marBottom w:val="0"/>
      <w:divBdr>
        <w:top w:val="none" w:sz="0" w:space="0" w:color="auto"/>
        <w:left w:val="none" w:sz="0" w:space="0" w:color="auto"/>
        <w:bottom w:val="none" w:sz="0" w:space="0" w:color="auto"/>
        <w:right w:val="none" w:sz="0" w:space="0" w:color="auto"/>
      </w:divBdr>
    </w:div>
    <w:div w:id="1590192478">
      <w:bodyDiv w:val="1"/>
      <w:marLeft w:val="0"/>
      <w:marRight w:val="0"/>
      <w:marTop w:val="0"/>
      <w:marBottom w:val="0"/>
      <w:divBdr>
        <w:top w:val="none" w:sz="0" w:space="0" w:color="auto"/>
        <w:left w:val="none" w:sz="0" w:space="0" w:color="auto"/>
        <w:bottom w:val="none" w:sz="0" w:space="0" w:color="auto"/>
        <w:right w:val="none" w:sz="0" w:space="0" w:color="auto"/>
      </w:divBdr>
    </w:div>
    <w:div w:id="1593662882">
      <w:bodyDiv w:val="1"/>
      <w:marLeft w:val="0"/>
      <w:marRight w:val="0"/>
      <w:marTop w:val="0"/>
      <w:marBottom w:val="0"/>
      <w:divBdr>
        <w:top w:val="none" w:sz="0" w:space="0" w:color="auto"/>
        <w:left w:val="none" w:sz="0" w:space="0" w:color="auto"/>
        <w:bottom w:val="none" w:sz="0" w:space="0" w:color="auto"/>
        <w:right w:val="none" w:sz="0" w:space="0" w:color="auto"/>
      </w:divBdr>
    </w:div>
    <w:div w:id="1600797083">
      <w:bodyDiv w:val="1"/>
      <w:marLeft w:val="0"/>
      <w:marRight w:val="0"/>
      <w:marTop w:val="0"/>
      <w:marBottom w:val="0"/>
      <w:divBdr>
        <w:top w:val="none" w:sz="0" w:space="0" w:color="auto"/>
        <w:left w:val="none" w:sz="0" w:space="0" w:color="auto"/>
        <w:bottom w:val="none" w:sz="0" w:space="0" w:color="auto"/>
        <w:right w:val="none" w:sz="0" w:space="0" w:color="auto"/>
      </w:divBdr>
    </w:div>
    <w:div w:id="1602689931">
      <w:bodyDiv w:val="1"/>
      <w:marLeft w:val="0"/>
      <w:marRight w:val="0"/>
      <w:marTop w:val="0"/>
      <w:marBottom w:val="0"/>
      <w:divBdr>
        <w:top w:val="none" w:sz="0" w:space="0" w:color="auto"/>
        <w:left w:val="none" w:sz="0" w:space="0" w:color="auto"/>
        <w:bottom w:val="none" w:sz="0" w:space="0" w:color="auto"/>
        <w:right w:val="none" w:sz="0" w:space="0" w:color="auto"/>
      </w:divBdr>
    </w:div>
    <w:div w:id="1604217957">
      <w:bodyDiv w:val="1"/>
      <w:marLeft w:val="0"/>
      <w:marRight w:val="0"/>
      <w:marTop w:val="0"/>
      <w:marBottom w:val="0"/>
      <w:divBdr>
        <w:top w:val="none" w:sz="0" w:space="0" w:color="auto"/>
        <w:left w:val="none" w:sz="0" w:space="0" w:color="auto"/>
        <w:bottom w:val="none" w:sz="0" w:space="0" w:color="auto"/>
        <w:right w:val="none" w:sz="0" w:space="0" w:color="auto"/>
      </w:divBdr>
    </w:div>
    <w:div w:id="1607352060">
      <w:bodyDiv w:val="1"/>
      <w:marLeft w:val="0"/>
      <w:marRight w:val="0"/>
      <w:marTop w:val="0"/>
      <w:marBottom w:val="0"/>
      <w:divBdr>
        <w:top w:val="none" w:sz="0" w:space="0" w:color="auto"/>
        <w:left w:val="none" w:sz="0" w:space="0" w:color="auto"/>
        <w:bottom w:val="none" w:sz="0" w:space="0" w:color="auto"/>
        <w:right w:val="none" w:sz="0" w:space="0" w:color="auto"/>
      </w:divBdr>
    </w:div>
    <w:div w:id="1614050878">
      <w:bodyDiv w:val="1"/>
      <w:marLeft w:val="0"/>
      <w:marRight w:val="0"/>
      <w:marTop w:val="0"/>
      <w:marBottom w:val="0"/>
      <w:divBdr>
        <w:top w:val="none" w:sz="0" w:space="0" w:color="auto"/>
        <w:left w:val="none" w:sz="0" w:space="0" w:color="auto"/>
        <w:bottom w:val="none" w:sz="0" w:space="0" w:color="auto"/>
        <w:right w:val="none" w:sz="0" w:space="0" w:color="auto"/>
      </w:divBdr>
    </w:div>
    <w:div w:id="1616667471">
      <w:bodyDiv w:val="1"/>
      <w:marLeft w:val="0"/>
      <w:marRight w:val="0"/>
      <w:marTop w:val="0"/>
      <w:marBottom w:val="0"/>
      <w:divBdr>
        <w:top w:val="none" w:sz="0" w:space="0" w:color="auto"/>
        <w:left w:val="none" w:sz="0" w:space="0" w:color="auto"/>
        <w:bottom w:val="none" w:sz="0" w:space="0" w:color="auto"/>
        <w:right w:val="none" w:sz="0" w:space="0" w:color="auto"/>
      </w:divBdr>
    </w:div>
    <w:div w:id="1619069004">
      <w:bodyDiv w:val="1"/>
      <w:marLeft w:val="0"/>
      <w:marRight w:val="0"/>
      <w:marTop w:val="0"/>
      <w:marBottom w:val="0"/>
      <w:divBdr>
        <w:top w:val="none" w:sz="0" w:space="0" w:color="auto"/>
        <w:left w:val="none" w:sz="0" w:space="0" w:color="auto"/>
        <w:bottom w:val="none" w:sz="0" w:space="0" w:color="auto"/>
        <w:right w:val="none" w:sz="0" w:space="0" w:color="auto"/>
      </w:divBdr>
    </w:div>
    <w:div w:id="1626543936">
      <w:bodyDiv w:val="1"/>
      <w:marLeft w:val="0"/>
      <w:marRight w:val="0"/>
      <w:marTop w:val="0"/>
      <w:marBottom w:val="0"/>
      <w:divBdr>
        <w:top w:val="none" w:sz="0" w:space="0" w:color="auto"/>
        <w:left w:val="none" w:sz="0" w:space="0" w:color="auto"/>
        <w:bottom w:val="none" w:sz="0" w:space="0" w:color="auto"/>
        <w:right w:val="none" w:sz="0" w:space="0" w:color="auto"/>
      </w:divBdr>
    </w:div>
    <w:div w:id="1627198671">
      <w:bodyDiv w:val="1"/>
      <w:marLeft w:val="0"/>
      <w:marRight w:val="0"/>
      <w:marTop w:val="0"/>
      <w:marBottom w:val="0"/>
      <w:divBdr>
        <w:top w:val="none" w:sz="0" w:space="0" w:color="auto"/>
        <w:left w:val="none" w:sz="0" w:space="0" w:color="auto"/>
        <w:bottom w:val="none" w:sz="0" w:space="0" w:color="auto"/>
        <w:right w:val="none" w:sz="0" w:space="0" w:color="auto"/>
      </w:divBdr>
    </w:div>
    <w:div w:id="1627737796">
      <w:bodyDiv w:val="1"/>
      <w:marLeft w:val="0"/>
      <w:marRight w:val="0"/>
      <w:marTop w:val="0"/>
      <w:marBottom w:val="0"/>
      <w:divBdr>
        <w:top w:val="none" w:sz="0" w:space="0" w:color="auto"/>
        <w:left w:val="none" w:sz="0" w:space="0" w:color="auto"/>
        <w:bottom w:val="none" w:sz="0" w:space="0" w:color="auto"/>
        <w:right w:val="none" w:sz="0" w:space="0" w:color="auto"/>
      </w:divBdr>
    </w:div>
    <w:div w:id="1628001597">
      <w:bodyDiv w:val="1"/>
      <w:marLeft w:val="0"/>
      <w:marRight w:val="0"/>
      <w:marTop w:val="0"/>
      <w:marBottom w:val="0"/>
      <w:divBdr>
        <w:top w:val="none" w:sz="0" w:space="0" w:color="auto"/>
        <w:left w:val="none" w:sz="0" w:space="0" w:color="auto"/>
        <w:bottom w:val="none" w:sz="0" w:space="0" w:color="auto"/>
        <w:right w:val="none" w:sz="0" w:space="0" w:color="auto"/>
      </w:divBdr>
    </w:div>
    <w:div w:id="1630745247">
      <w:bodyDiv w:val="1"/>
      <w:marLeft w:val="0"/>
      <w:marRight w:val="0"/>
      <w:marTop w:val="0"/>
      <w:marBottom w:val="0"/>
      <w:divBdr>
        <w:top w:val="none" w:sz="0" w:space="0" w:color="auto"/>
        <w:left w:val="none" w:sz="0" w:space="0" w:color="auto"/>
        <w:bottom w:val="none" w:sz="0" w:space="0" w:color="auto"/>
        <w:right w:val="none" w:sz="0" w:space="0" w:color="auto"/>
      </w:divBdr>
    </w:div>
    <w:div w:id="1632055398">
      <w:bodyDiv w:val="1"/>
      <w:marLeft w:val="0"/>
      <w:marRight w:val="0"/>
      <w:marTop w:val="0"/>
      <w:marBottom w:val="0"/>
      <w:divBdr>
        <w:top w:val="none" w:sz="0" w:space="0" w:color="auto"/>
        <w:left w:val="none" w:sz="0" w:space="0" w:color="auto"/>
        <w:bottom w:val="none" w:sz="0" w:space="0" w:color="auto"/>
        <w:right w:val="none" w:sz="0" w:space="0" w:color="auto"/>
      </w:divBdr>
    </w:div>
    <w:div w:id="1632058899">
      <w:bodyDiv w:val="1"/>
      <w:marLeft w:val="0"/>
      <w:marRight w:val="0"/>
      <w:marTop w:val="0"/>
      <w:marBottom w:val="0"/>
      <w:divBdr>
        <w:top w:val="none" w:sz="0" w:space="0" w:color="auto"/>
        <w:left w:val="none" w:sz="0" w:space="0" w:color="auto"/>
        <w:bottom w:val="none" w:sz="0" w:space="0" w:color="auto"/>
        <w:right w:val="none" w:sz="0" w:space="0" w:color="auto"/>
      </w:divBdr>
    </w:div>
    <w:div w:id="1637182888">
      <w:bodyDiv w:val="1"/>
      <w:marLeft w:val="0"/>
      <w:marRight w:val="0"/>
      <w:marTop w:val="0"/>
      <w:marBottom w:val="0"/>
      <w:divBdr>
        <w:top w:val="none" w:sz="0" w:space="0" w:color="auto"/>
        <w:left w:val="none" w:sz="0" w:space="0" w:color="auto"/>
        <w:bottom w:val="none" w:sz="0" w:space="0" w:color="auto"/>
        <w:right w:val="none" w:sz="0" w:space="0" w:color="auto"/>
      </w:divBdr>
    </w:div>
    <w:div w:id="1640378588">
      <w:bodyDiv w:val="1"/>
      <w:marLeft w:val="0"/>
      <w:marRight w:val="0"/>
      <w:marTop w:val="0"/>
      <w:marBottom w:val="0"/>
      <w:divBdr>
        <w:top w:val="none" w:sz="0" w:space="0" w:color="auto"/>
        <w:left w:val="none" w:sz="0" w:space="0" w:color="auto"/>
        <w:bottom w:val="none" w:sz="0" w:space="0" w:color="auto"/>
        <w:right w:val="none" w:sz="0" w:space="0" w:color="auto"/>
      </w:divBdr>
    </w:div>
    <w:div w:id="1641762586">
      <w:bodyDiv w:val="1"/>
      <w:marLeft w:val="0"/>
      <w:marRight w:val="0"/>
      <w:marTop w:val="0"/>
      <w:marBottom w:val="0"/>
      <w:divBdr>
        <w:top w:val="none" w:sz="0" w:space="0" w:color="auto"/>
        <w:left w:val="none" w:sz="0" w:space="0" w:color="auto"/>
        <w:bottom w:val="none" w:sz="0" w:space="0" w:color="auto"/>
        <w:right w:val="none" w:sz="0" w:space="0" w:color="auto"/>
      </w:divBdr>
    </w:div>
    <w:div w:id="1643387721">
      <w:bodyDiv w:val="1"/>
      <w:marLeft w:val="0"/>
      <w:marRight w:val="0"/>
      <w:marTop w:val="0"/>
      <w:marBottom w:val="0"/>
      <w:divBdr>
        <w:top w:val="none" w:sz="0" w:space="0" w:color="auto"/>
        <w:left w:val="none" w:sz="0" w:space="0" w:color="auto"/>
        <w:bottom w:val="none" w:sz="0" w:space="0" w:color="auto"/>
        <w:right w:val="none" w:sz="0" w:space="0" w:color="auto"/>
      </w:divBdr>
    </w:div>
    <w:div w:id="1647276914">
      <w:bodyDiv w:val="1"/>
      <w:marLeft w:val="0"/>
      <w:marRight w:val="0"/>
      <w:marTop w:val="0"/>
      <w:marBottom w:val="0"/>
      <w:divBdr>
        <w:top w:val="none" w:sz="0" w:space="0" w:color="auto"/>
        <w:left w:val="none" w:sz="0" w:space="0" w:color="auto"/>
        <w:bottom w:val="none" w:sz="0" w:space="0" w:color="auto"/>
        <w:right w:val="none" w:sz="0" w:space="0" w:color="auto"/>
      </w:divBdr>
    </w:div>
    <w:div w:id="1654681633">
      <w:bodyDiv w:val="1"/>
      <w:marLeft w:val="0"/>
      <w:marRight w:val="0"/>
      <w:marTop w:val="0"/>
      <w:marBottom w:val="0"/>
      <w:divBdr>
        <w:top w:val="none" w:sz="0" w:space="0" w:color="auto"/>
        <w:left w:val="none" w:sz="0" w:space="0" w:color="auto"/>
        <w:bottom w:val="none" w:sz="0" w:space="0" w:color="auto"/>
        <w:right w:val="none" w:sz="0" w:space="0" w:color="auto"/>
      </w:divBdr>
    </w:div>
    <w:div w:id="1654721738">
      <w:bodyDiv w:val="1"/>
      <w:marLeft w:val="0"/>
      <w:marRight w:val="0"/>
      <w:marTop w:val="0"/>
      <w:marBottom w:val="0"/>
      <w:divBdr>
        <w:top w:val="none" w:sz="0" w:space="0" w:color="auto"/>
        <w:left w:val="none" w:sz="0" w:space="0" w:color="auto"/>
        <w:bottom w:val="none" w:sz="0" w:space="0" w:color="auto"/>
        <w:right w:val="none" w:sz="0" w:space="0" w:color="auto"/>
      </w:divBdr>
    </w:div>
    <w:div w:id="1655716198">
      <w:bodyDiv w:val="1"/>
      <w:marLeft w:val="0"/>
      <w:marRight w:val="0"/>
      <w:marTop w:val="0"/>
      <w:marBottom w:val="0"/>
      <w:divBdr>
        <w:top w:val="none" w:sz="0" w:space="0" w:color="auto"/>
        <w:left w:val="none" w:sz="0" w:space="0" w:color="auto"/>
        <w:bottom w:val="none" w:sz="0" w:space="0" w:color="auto"/>
        <w:right w:val="none" w:sz="0" w:space="0" w:color="auto"/>
      </w:divBdr>
    </w:div>
    <w:div w:id="1657953020">
      <w:bodyDiv w:val="1"/>
      <w:marLeft w:val="0"/>
      <w:marRight w:val="0"/>
      <w:marTop w:val="0"/>
      <w:marBottom w:val="0"/>
      <w:divBdr>
        <w:top w:val="none" w:sz="0" w:space="0" w:color="auto"/>
        <w:left w:val="none" w:sz="0" w:space="0" w:color="auto"/>
        <w:bottom w:val="none" w:sz="0" w:space="0" w:color="auto"/>
        <w:right w:val="none" w:sz="0" w:space="0" w:color="auto"/>
      </w:divBdr>
    </w:div>
    <w:div w:id="1658027569">
      <w:bodyDiv w:val="1"/>
      <w:marLeft w:val="0"/>
      <w:marRight w:val="0"/>
      <w:marTop w:val="0"/>
      <w:marBottom w:val="0"/>
      <w:divBdr>
        <w:top w:val="none" w:sz="0" w:space="0" w:color="auto"/>
        <w:left w:val="none" w:sz="0" w:space="0" w:color="auto"/>
        <w:bottom w:val="none" w:sz="0" w:space="0" w:color="auto"/>
        <w:right w:val="none" w:sz="0" w:space="0" w:color="auto"/>
      </w:divBdr>
    </w:div>
    <w:div w:id="1670205995">
      <w:bodyDiv w:val="1"/>
      <w:marLeft w:val="0"/>
      <w:marRight w:val="0"/>
      <w:marTop w:val="0"/>
      <w:marBottom w:val="0"/>
      <w:divBdr>
        <w:top w:val="none" w:sz="0" w:space="0" w:color="auto"/>
        <w:left w:val="none" w:sz="0" w:space="0" w:color="auto"/>
        <w:bottom w:val="none" w:sz="0" w:space="0" w:color="auto"/>
        <w:right w:val="none" w:sz="0" w:space="0" w:color="auto"/>
      </w:divBdr>
    </w:div>
    <w:div w:id="1677417376">
      <w:bodyDiv w:val="1"/>
      <w:marLeft w:val="0"/>
      <w:marRight w:val="0"/>
      <w:marTop w:val="0"/>
      <w:marBottom w:val="0"/>
      <w:divBdr>
        <w:top w:val="none" w:sz="0" w:space="0" w:color="auto"/>
        <w:left w:val="none" w:sz="0" w:space="0" w:color="auto"/>
        <w:bottom w:val="none" w:sz="0" w:space="0" w:color="auto"/>
        <w:right w:val="none" w:sz="0" w:space="0" w:color="auto"/>
      </w:divBdr>
    </w:div>
    <w:div w:id="1679385445">
      <w:bodyDiv w:val="1"/>
      <w:marLeft w:val="0"/>
      <w:marRight w:val="0"/>
      <w:marTop w:val="0"/>
      <w:marBottom w:val="0"/>
      <w:divBdr>
        <w:top w:val="none" w:sz="0" w:space="0" w:color="auto"/>
        <w:left w:val="none" w:sz="0" w:space="0" w:color="auto"/>
        <w:bottom w:val="none" w:sz="0" w:space="0" w:color="auto"/>
        <w:right w:val="none" w:sz="0" w:space="0" w:color="auto"/>
      </w:divBdr>
    </w:div>
    <w:div w:id="1680426319">
      <w:bodyDiv w:val="1"/>
      <w:marLeft w:val="0"/>
      <w:marRight w:val="0"/>
      <w:marTop w:val="0"/>
      <w:marBottom w:val="0"/>
      <w:divBdr>
        <w:top w:val="none" w:sz="0" w:space="0" w:color="auto"/>
        <w:left w:val="none" w:sz="0" w:space="0" w:color="auto"/>
        <w:bottom w:val="none" w:sz="0" w:space="0" w:color="auto"/>
        <w:right w:val="none" w:sz="0" w:space="0" w:color="auto"/>
      </w:divBdr>
    </w:div>
    <w:div w:id="1683432803">
      <w:bodyDiv w:val="1"/>
      <w:marLeft w:val="0"/>
      <w:marRight w:val="0"/>
      <w:marTop w:val="0"/>
      <w:marBottom w:val="0"/>
      <w:divBdr>
        <w:top w:val="none" w:sz="0" w:space="0" w:color="auto"/>
        <w:left w:val="none" w:sz="0" w:space="0" w:color="auto"/>
        <w:bottom w:val="none" w:sz="0" w:space="0" w:color="auto"/>
        <w:right w:val="none" w:sz="0" w:space="0" w:color="auto"/>
      </w:divBdr>
    </w:div>
    <w:div w:id="1685548075">
      <w:bodyDiv w:val="1"/>
      <w:marLeft w:val="0"/>
      <w:marRight w:val="0"/>
      <w:marTop w:val="0"/>
      <w:marBottom w:val="0"/>
      <w:divBdr>
        <w:top w:val="none" w:sz="0" w:space="0" w:color="auto"/>
        <w:left w:val="none" w:sz="0" w:space="0" w:color="auto"/>
        <w:bottom w:val="none" w:sz="0" w:space="0" w:color="auto"/>
        <w:right w:val="none" w:sz="0" w:space="0" w:color="auto"/>
      </w:divBdr>
    </w:div>
    <w:div w:id="1685932735">
      <w:bodyDiv w:val="1"/>
      <w:marLeft w:val="0"/>
      <w:marRight w:val="0"/>
      <w:marTop w:val="0"/>
      <w:marBottom w:val="0"/>
      <w:divBdr>
        <w:top w:val="none" w:sz="0" w:space="0" w:color="auto"/>
        <w:left w:val="none" w:sz="0" w:space="0" w:color="auto"/>
        <w:bottom w:val="none" w:sz="0" w:space="0" w:color="auto"/>
        <w:right w:val="none" w:sz="0" w:space="0" w:color="auto"/>
      </w:divBdr>
    </w:div>
    <w:div w:id="1693609202">
      <w:bodyDiv w:val="1"/>
      <w:marLeft w:val="0"/>
      <w:marRight w:val="0"/>
      <w:marTop w:val="0"/>
      <w:marBottom w:val="0"/>
      <w:divBdr>
        <w:top w:val="none" w:sz="0" w:space="0" w:color="auto"/>
        <w:left w:val="none" w:sz="0" w:space="0" w:color="auto"/>
        <w:bottom w:val="none" w:sz="0" w:space="0" w:color="auto"/>
        <w:right w:val="none" w:sz="0" w:space="0" w:color="auto"/>
      </w:divBdr>
    </w:div>
    <w:div w:id="1694653509">
      <w:bodyDiv w:val="1"/>
      <w:marLeft w:val="0"/>
      <w:marRight w:val="0"/>
      <w:marTop w:val="0"/>
      <w:marBottom w:val="0"/>
      <w:divBdr>
        <w:top w:val="none" w:sz="0" w:space="0" w:color="auto"/>
        <w:left w:val="none" w:sz="0" w:space="0" w:color="auto"/>
        <w:bottom w:val="none" w:sz="0" w:space="0" w:color="auto"/>
        <w:right w:val="none" w:sz="0" w:space="0" w:color="auto"/>
      </w:divBdr>
    </w:div>
    <w:div w:id="1695374818">
      <w:bodyDiv w:val="1"/>
      <w:marLeft w:val="0"/>
      <w:marRight w:val="0"/>
      <w:marTop w:val="0"/>
      <w:marBottom w:val="0"/>
      <w:divBdr>
        <w:top w:val="none" w:sz="0" w:space="0" w:color="auto"/>
        <w:left w:val="none" w:sz="0" w:space="0" w:color="auto"/>
        <w:bottom w:val="none" w:sz="0" w:space="0" w:color="auto"/>
        <w:right w:val="none" w:sz="0" w:space="0" w:color="auto"/>
      </w:divBdr>
    </w:div>
    <w:div w:id="1697582816">
      <w:bodyDiv w:val="1"/>
      <w:marLeft w:val="0"/>
      <w:marRight w:val="0"/>
      <w:marTop w:val="0"/>
      <w:marBottom w:val="0"/>
      <w:divBdr>
        <w:top w:val="none" w:sz="0" w:space="0" w:color="auto"/>
        <w:left w:val="none" w:sz="0" w:space="0" w:color="auto"/>
        <w:bottom w:val="none" w:sz="0" w:space="0" w:color="auto"/>
        <w:right w:val="none" w:sz="0" w:space="0" w:color="auto"/>
      </w:divBdr>
    </w:div>
    <w:div w:id="1703094668">
      <w:bodyDiv w:val="1"/>
      <w:marLeft w:val="0"/>
      <w:marRight w:val="0"/>
      <w:marTop w:val="0"/>
      <w:marBottom w:val="0"/>
      <w:divBdr>
        <w:top w:val="none" w:sz="0" w:space="0" w:color="auto"/>
        <w:left w:val="none" w:sz="0" w:space="0" w:color="auto"/>
        <w:bottom w:val="none" w:sz="0" w:space="0" w:color="auto"/>
        <w:right w:val="none" w:sz="0" w:space="0" w:color="auto"/>
      </w:divBdr>
    </w:div>
    <w:div w:id="1705864843">
      <w:bodyDiv w:val="1"/>
      <w:marLeft w:val="0"/>
      <w:marRight w:val="0"/>
      <w:marTop w:val="0"/>
      <w:marBottom w:val="0"/>
      <w:divBdr>
        <w:top w:val="none" w:sz="0" w:space="0" w:color="auto"/>
        <w:left w:val="none" w:sz="0" w:space="0" w:color="auto"/>
        <w:bottom w:val="none" w:sz="0" w:space="0" w:color="auto"/>
        <w:right w:val="none" w:sz="0" w:space="0" w:color="auto"/>
      </w:divBdr>
    </w:div>
    <w:div w:id="1706757093">
      <w:bodyDiv w:val="1"/>
      <w:marLeft w:val="0"/>
      <w:marRight w:val="0"/>
      <w:marTop w:val="0"/>
      <w:marBottom w:val="0"/>
      <w:divBdr>
        <w:top w:val="none" w:sz="0" w:space="0" w:color="auto"/>
        <w:left w:val="none" w:sz="0" w:space="0" w:color="auto"/>
        <w:bottom w:val="none" w:sz="0" w:space="0" w:color="auto"/>
        <w:right w:val="none" w:sz="0" w:space="0" w:color="auto"/>
      </w:divBdr>
    </w:div>
    <w:div w:id="1710910466">
      <w:bodyDiv w:val="1"/>
      <w:marLeft w:val="0"/>
      <w:marRight w:val="0"/>
      <w:marTop w:val="0"/>
      <w:marBottom w:val="0"/>
      <w:divBdr>
        <w:top w:val="none" w:sz="0" w:space="0" w:color="auto"/>
        <w:left w:val="none" w:sz="0" w:space="0" w:color="auto"/>
        <w:bottom w:val="none" w:sz="0" w:space="0" w:color="auto"/>
        <w:right w:val="none" w:sz="0" w:space="0" w:color="auto"/>
      </w:divBdr>
    </w:div>
    <w:div w:id="1716855309">
      <w:bodyDiv w:val="1"/>
      <w:marLeft w:val="0"/>
      <w:marRight w:val="0"/>
      <w:marTop w:val="0"/>
      <w:marBottom w:val="0"/>
      <w:divBdr>
        <w:top w:val="none" w:sz="0" w:space="0" w:color="auto"/>
        <w:left w:val="none" w:sz="0" w:space="0" w:color="auto"/>
        <w:bottom w:val="none" w:sz="0" w:space="0" w:color="auto"/>
        <w:right w:val="none" w:sz="0" w:space="0" w:color="auto"/>
      </w:divBdr>
    </w:div>
    <w:div w:id="1717461618">
      <w:bodyDiv w:val="1"/>
      <w:marLeft w:val="0"/>
      <w:marRight w:val="0"/>
      <w:marTop w:val="0"/>
      <w:marBottom w:val="0"/>
      <w:divBdr>
        <w:top w:val="none" w:sz="0" w:space="0" w:color="auto"/>
        <w:left w:val="none" w:sz="0" w:space="0" w:color="auto"/>
        <w:bottom w:val="none" w:sz="0" w:space="0" w:color="auto"/>
        <w:right w:val="none" w:sz="0" w:space="0" w:color="auto"/>
      </w:divBdr>
    </w:div>
    <w:div w:id="1719625653">
      <w:bodyDiv w:val="1"/>
      <w:marLeft w:val="0"/>
      <w:marRight w:val="0"/>
      <w:marTop w:val="0"/>
      <w:marBottom w:val="0"/>
      <w:divBdr>
        <w:top w:val="none" w:sz="0" w:space="0" w:color="auto"/>
        <w:left w:val="none" w:sz="0" w:space="0" w:color="auto"/>
        <w:bottom w:val="none" w:sz="0" w:space="0" w:color="auto"/>
        <w:right w:val="none" w:sz="0" w:space="0" w:color="auto"/>
      </w:divBdr>
    </w:div>
    <w:div w:id="1731074371">
      <w:bodyDiv w:val="1"/>
      <w:marLeft w:val="0"/>
      <w:marRight w:val="0"/>
      <w:marTop w:val="0"/>
      <w:marBottom w:val="0"/>
      <w:divBdr>
        <w:top w:val="none" w:sz="0" w:space="0" w:color="auto"/>
        <w:left w:val="none" w:sz="0" w:space="0" w:color="auto"/>
        <w:bottom w:val="none" w:sz="0" w:space="0" w:color="auto"/>
        <w:right w:val="none" w:sz="0" w:space="0" w:color="auto"/>
      </w:divBdr>
    </w:div>
    <w:div w:id="1732384849">
      <w:bodyDiv w:val="1"/>
      <w:marLeft w:val="0"/>
      <w:marRight w:val="0"/>
      <w:marTop w:val="0"/>
      <w:marBottom w:val="0"/>
      <w:divBdr>
        <w:top w:val="none" w:sz="0" w:space="0" w:color="auto"/>
        <w:left w:val="none" w:sz="0" w:space="0" w:color="auto"/>
        <w:bottom w:val="none" w:sz="0" w:space="0" w:color="auto"/>
        <w:right w:val="none" w:sz="0" w:space="0" w:color="auto"/>
      </w:divBdr>
    </w:div>
    <w:div w:id="1734348805">
      <w:bodyDiv w:val="1"/>
      <w:marLeft w:val="0"/>
      <w:marRight w:val="0"/>
      <w:marTop w:val="0"/>
      <w:marBottom w:val="0"/>
      <w:divBdr>
        <w:top w:val="none" w:sz="0" w:space="0" w:color="auto"/>
        <w:left w:val="none" w:sz="0" w:space="0" w:color="auto"/>
        <w:bottom w:val="none" w:sz="0" w:space="0" w:color="auto"/>
        <w:right w:val="none" w:sz="0" w:space="0" w:color="auto"/>
      </w:divBdr>
    </w:div>
    <w:div w:id="1735084504">
      <w:bodyDiv w:val="1"/>
      <w:marLeft w:val="0"/>
      <w:marRight w:val="0"/>
      <w:marTop w:val="0"/>
      <w:marBottom w:val="0"/>
      <w:divBdr>
        <w:top w:val="none" w:sz="0" w:space="0" w:color="auto"/>
        <w:left w:val="none" w:sz="0" w:space="0" w:color="auto"/>
        <w:bottom w:val="none" w:sz="0" w:space="0" w:color="auto"/>
        <w:right w:val="none" w:sz="0" w:space="0" w:color="auto"/>
      </w:divBdr>
    </w:div>
    <w:div w:id="1735664222">
      <w:bodyDiv w:val="1"/>
      <w:marLeft w:val="0"/>
      <w:marRight w:val="0"/>
      <w:marTop w:val="0"/>
      <w:marBottom w:val="0"/>
      <w:divBdr>
        <w:top w:val="none" w:sz="0" w:space="0" w:color="auto"/>
        <w:left w:val="none" w:sz="0" w:space="0" w:color="auto"/>
        <w:bottom w:val="none" w:sz="0" w:space="0" w:color="auto"/>
        <w:right w:val="none" w:sz="0" w:space="0" w:color="auto"/>
      </w:divBdr>
    </w:div>
    <w:div w:id="1736313779">
      <w:bodyDiv w:val="1"/>
      <w:marLeft w:val="0"/>
      <w:marRight w:val="0"/>
      <w:marTop w:val="0"/>
      <w:marBottom w:val="0"/>
      <w:divBdr>
        <w:top w:val="none" w:sz="0" w:space="0" w:color="auto"/>
        <w:left w:val="none" w:sz="0" w:space="0" w:color="auto"/>
        <w:bottom w:val="none" w:sz="0" w:space="0" w:color="auto"/>
        <w:right w:val="none" w:sz="0" w:space="0" w:color="auto"/>
      </w:divBdr>
    </w:div>
    <w:div w:id="1741171197">
      <w:bodyDiv w:val="1"/>
      <w:marLeft w:val="0"/>
      <w:marRight w:val="0"/>
      <w:marTop w:val="0"/>
      <w:marBottom w:val="0"/>
      <w:divBdr>
        <w:top w:val="none" w:sz="0" w:space="0" w:color="auto"/>
        <w:left w:val="none" w:sz="0" w:space="0" w:color="auto"/>
        <w:bottom w:val="none" w:sz="0" w:space="0" w:color="auto"/>
        <w:right w:val="none" w:sz="0" w:space="0" w:color="auto"/>
      </w:divBdr>
    </w:div>
    <w:div w:id="1751585873">
      <w:bodyDiv w:val="1"/>
      <w:marLeft w:val="0"/>
      <w:marRight w:val="0"/>
      <w:marTop w:val="0"/>
      <w:marBottom w:val="0"/>
      <w:divBdr>
        <w:top w:val="none" w:sz="0" w:space="0" w:color="auto"/>
        <w:left w:val="none" w:sz="0" w:space="0" w:color="auto"/>
        <w:bottom w:val="none" w:sz="0" w:space="0" w:color="auto"/>
        <w:right w:val="none" w:sz="0" w:space="0" w:color="auto"/>
      </w:divBdr>
    </w:div>
    <w:div w:id="1751661720">
      <w:bodyDiv w:val="1"/>
      <w:marLeft w:val="0"/>
      <w:marRight w:val="0"/>
      <w:marTop w:val="0"/>
      <w:marBottom w:val="0"/>
      <w:divBdr>
        <w:top w:val="none" w:sz="0" w:space="0" w:color="auto"/>
        <w:left w:val="none" w:sz="0" w:space="0" w:color="auto"/>
        <w:bottom w:val="none" w:sz="0" w:space="0" w:color="auto"/>
        <w:right w:val="none" w:sz="0" w:space="0" w:color="auto"/>
      </w:divBdr>
    </w:div>
    <w:div w:id="1758555403">
      <w:bodyDiv w:val="1"/>
      <w:marLeft w:val="0"/>
      <w:marRight w:val="0"/>
      <w:marTop w:val="0"/>
      <w:marBottom w:val="0"/>
      <w:divBdr>
        <w:top w:val="none" w:sz="0" w:space="0" w:color="auto"/>
        <w:left w:val="none" w:sz="0" w:space="0" w:color="auto"/>
        <w:bottom w:val="none" w:sz="0" w:space="0" w:color="auto"/>
        <w:right w:val="none" w:sz="0" w:space="0" w:color="auto"/>
      </w:divBdr>
    </w:div>
    <w:div w:id="1759062290">
      <w:bodyDiv w:val="1"/>
      <w:marLeft w:val="0"/>
      <w:marRight w:val="0"/>
      <w:marTop w:val="0"/>
      <w:marBottom w:val="0"/>
      <w:divBdr>
        <w:top w:val="none" w:sz="0" w:space="0" w:color="auto"/>
        <w:left w:val="none" w:sz="0" w:space="0" w:color="auto"/>
        <w:bottom w:val="none" w:sz="0" w:space="0" w:color="auto"/>
        <w:right w:val="none" w:sz="0" w:space="0" w:color="auto"/>
      </w:divBdr>
    </w:div>
    <w:div w:id="1759866645">
      <w:bodyDiv w:val="1"/>
      <w:marLeft w:val="0"/>
      <w:marRight w:val="0"/>
      <w:marTop w:val="0"/>
      <w:marBottom w:val="0"/>
      <w:divBdr>
        <w:top w:val="none" w:sz="0" w:space="0" w:color="auto"/>
        <w:left w:val="none" w:sz="0" w:space="0" w:color="auto"/>
        <w:bottom w:val="none" w:sz="0" w:space="0" w:color="auto"/>
        <w:right w:val="none" w:sz="0" w:space="0" w:color="auto"/>
      </w:divBdr>
    </w:div>
    <w:div w:id="1765998929">
      <w:bodyDiv w:val="1"/>
      <w:marLeft w:val="0"/>
      <w:marRight w:val="0"/>
      <w:marTop w:val="0"/>
      <w:marBottom w:val="0"/>
      <w:divBdr>
        <w:top w:val="none" w:sz="0" w:space="0" w:color="auto"/>
        <w:left w:val="none" w:sz="0" w:space="0" w:color="auto"/>
        <w:bottom w:val="none" w:sz="0" w:space="0" w:color="auto"/>
        <w:right w:val="none" w:sz="0" w:space="0" w:color="auto"/>
      </w:divBdr>
    </w:div>
    <w:div w:id="1766146293">
      <w:bodyDiv w:val="1"/>
      <w:marLeft w:val="0"/>
      <w:marRight w:val="0"/>
      <w:marTop w:val="0"/>
      <w:marBottom w:val="0"/>
      <w:divBdr>
        <w:top w:val="none" w:sz="0" w:space="0" w:color="auto"/>
        <w:left w:val="none" w:sz="0" w:space="0" w:color="auto"/>
        <w:bottom w:val="none" w:sz="0" w:space="0" w:color="auto"/>
        <w:right w:val="none" w:sz="0" w:space="0" w:color="auto"/>
      </w:divBdr>
    </w:div>
    <w:div w:id="1773428474">
      <w:bodyDiv w:val="1"/>
      <w:marLeft w:val="0"/>
      <w:marRight w:val="0"/>
      <w:marTop w:val="0"/>
      <w:marBottom w:val="0"/>
      <w:divBdr>
        <w:top w:val="none" w:sz="0" w:space="0" w:color="auto"/>
        <w:left w:val="none" w:sz="0" w:space="0" w:color="auto"/>
        <w:bottom w:val="none" w:sz="0" w:space="0" w:color="auto"/>
        <w:right w:val="none" w:sz="0" w:space="0" w:color="auto"/>
      </w:divBdr>
    </w:div>
    <w:div w:id="1782143513">
      <w:bodyDiv w:val="1"/>
      <w:marLeft w:val="0"/>
      <w:marRight w:val="0"/>
      <w:marTop w:val="0"/>
      <w:marBottom w:val="0"/>
      <w:divBdr>
        <w:top w:val="none" w:sz="0" w:space="0" w:color="auto"/>
        <w:left w:val="none" w:sz="0" w:space="0" w:color="auto"/>
        <w:bottom w:val="none" w:sz="0" w:space="0" w:color="auto"/>
        <w:right w:val="none" w:sz="0" w:space="0" w:color="auto"/>
      </w:divBdr>
    </w:div>
    <w:div w:id="1782602150">
      <w:bodyDiv w:val="1"/>
      <w:marLeft w:val="0"/>
      <w:marRight w:val="0"/>
      <w:marTop w:val="0"/>
      <w:marBottom w:val="0"/>
      <w:divBdr>
        <w:top w:val="none" w:sz="0" w:space="0" w:color="auto"/>
        <w:left w:val="none" w:sz="0" w:space="0" w:color="auto"/>
        <w:bottom w:val="none" w:sz="0" w:space="0" w:color="auto"/>
        <w:right w:val="none" w:sz="0" w:space="0" w:color="auto"/>
      </w:divBdr>
    </w:div>
    <w:div w:id="1782917425">
      <w:bodyDiv w:val="1"/>
      <w:marLeft w:val="0"/>
      <w:marRight w:val="0"/>
      <w:marTop w:val="0"/>
      <w:marBottom w:val="0"/>
      <w:divBdr>
        <w:top w:val="none" w:sz="0" w:space="0" w:color="auto"/>
        <w:left w:val="none" w:sz="0" w:space="0" w:color="auto"/>
        <w:bottom w:val="none" w:sz="0" w:space="0" w:color="auto"/>
        <w:right w:val="none" w:sz="0" w:space="0" w:color="auto"/>
      </w:divBdr>
    </w:div>
    <w:div w:id="1790082987">
      <w:bodyDiv w:val="1"/>
      <w:marLeft w:val="0"/>
      <w:marRight w:val="0"/>
      <w:marTop w:val="0"/>
      <w:marBottom w:val="0"/>
      <w:divBdr>
        <w:top w:val="none" w:sz="0" w:space="0" w:color="auto"/>
        <w:left w:val="none" w:sz="0" w:space="0" w:color="auto"/>
        <w:bottom w:val="none" w:sz="0" w:space="0" w:color="auto"/>
        <w:right w:val="none" w:sz="0" w:space="0" w:color="auto"/>
      </w:divBdr>
    </w:div>
    <w:div w:id="1792043805">
      <w:bodyDiv w:val="1"/>
      <w:marLeft w:val="0"/>
      <w:marRight w:val="0"/>
      <w:marTop w:val="0"/>
      <w:marBottom w:val="0"/>
      <w:divBdr>
        <w:top w:val="none" w:sz="0" w:space="0" w:color="auto"/>
        <w:left w:val="none" w:sz="0" w:space="0" w:color="auto"/>
        <w:bottom w:val="none" w:sz="0" w:space="0" w:color="auto"/>
        <w:right w:val="none" w:sz="0" w:space="0" w:color="auto"/>
      </w:divBdr>
    </w:div>
    <w:div w:id="1794786999">
      <w:bodyDiv w:val="1"/>
      <w:marLeft w:val="0"/>
      <w:marRight w:val="0"/>
      <w:marTop w:val="0"/>
      <w:marBottom w:val="0"/>
      <w:divBdr>
        <w:top w:val="none" w:sz="0" w:space="0" w:color="auto"/>
        <w:left w:val="none" w:sz="0" w:space="0" w:color="auto"/>
        <w:bottom w:val="none" w:sz="0" w:space="0" w:color="auto"/>
        <w:right w:val="none" w:sz="0" w:space="0" w:color="auto"/>
      </w:divBdr>
    </w:div>
    <w:div w:id="1794905437">
      <w:bodyDiv w:val="1"/>
      <w:marLeft w:val="0"/>
      <w:marRight w:val="0"/>
      <w:marTop w:val="0"/>
      <w:marBottom w:val="0"/>
      <w:divBdr>
        <w:top w:val="none" w:sz="0" w:space="0" w:color="auto"/>
        <w:left w:val="none" w:sz="0" w:space="0" w:color="auto"/>
        <w:bottom w:val="none" w:sz="0" w:space="0" w:color="auto"/>
        <w:right w:val="none" w:sz="0" w:space="0" w:color="auto"/>
      </w:divBdr>
    </w:div>
    <w:div w:id="1802114230">
      <w:bodyDiv w:val="1"/>
      <w:marLeft w:val="0"/>
      <w:marRight w:val="0"/>
      <w:marTop w:val="0"/>
      <w:marBottom w:val="0"/>
      <w:divBdr>
        <w:top w:val="none" w:sz="0" w:space="0" w:color="auto"/>
        <w:left w:val="none" w:sz="0" w:space="0" w:color="auto"/>
        <w:bottom w:val="none" w:sz="0" w:space="0" w:color="auto"/>
        <w:right w:val="none" w:sz="0" w:space="0" w:color="auto"/>
      </w:divBdr>
    </w:div>
    <w:div w:id="1804034028">
      <w:bodyDiv w:val="1"/>
      <w:marLeft w:val="0"/>
      <w:marRight w:val="0"/>
      <w:marTop w:val="0"/>
      <w:marBottom w:val="0"/>
      <w:divBdr>
        <w:top w:val="none" w:sz="0" w:space="0" w:color="auto"/>
        <w:left w:val="none" w:sz="0" w:space="0" w:color="auto"/>
        <w:bottom w:val="none" w:sz="0" w:space="0" w:color="auto"/>
        <w:right w:val="none" w:sz="0" w:space="0" w:color="auto"/>
      </w:divBdr>
    </w:div>
    <w:div w:id="1815953579">
      <w:bodyDiv w:val="1"/>
      <w:marLeft w:val="0"/>
      <w:marRight w:val="0"/>
      <w:marTop w:val="0"/>
      <w:marBottom w:val="0"/>
      <w:divBdr>
        <w:top w:val="none" w:sz="0" w:space="0" w:color="auto"/>
        <w:left w:val="none" w:sz="0" w:space="0" w:color="auto"/>
        <w:bottom w:val="none" w:sz="0" w:space="0" w:color="auto"/>
        <w:right w:val="none" w:sz="0" w:space="0" w:color="auto"/>
      </w:divBdr>
    </w:div>
    <w:div w:id="1816095243">
      <w:bodyDiv w:val="1"/>
      <w:marLeft w:val="0"/>
      <w:marRight w:val="0"/>
      <w:marTop w:val="0"/>
      <w:marBottom w:val="0"/>
      <w:divBdr>
        <w:top w:val="none" w:sz="0" w:space="0" w:color="auto"/>
        <w:left w:val="none" w:sz="0" w:space="0" w:color="auto"/>
        <w:bottom w:val="none" w:sz="0" w:space="0" w:color="auto"/>
        <w:right w:val="none" w:sz="0" w:space="0" w:color="auto"/>
      </w:divBdr>
    </w:div>
    <w:div w:id="1817529792">
      <w:bodyDiv w:val="1"/>
      <w:marLeft w:val="0"/>
      <w:marRight w:val="0"/>
      <w:marTop w:val="0"/>
      <w:marBottom w:val="0"/>
      <w:divBdr>
        <w:top w:val="none" w:sz="0" w:space="0" w:color="auto"/>
        <w:left w:val="none" w:sz="0" w:space="0" w:color="auto"/>
        <w:bottom w:val="none" w:sz="0" w:space="0" w:color="auto"/>
        <w:right w:val="none" w:sz="0" w:space="0" w:color="auto"/>
      </w:divBdr>
    </w:div>
    <w:div w:id="1824350779">
      <w:bodyDiv w:val="1"/>
      <w:marLeft w:val="0"/>
      <w:marRight w:val="0"/>
      <w:marTop w:val="0"/>
      <w:marBottom w:val="0"/>
      <w:divBdr>
        <w:top w:val="none" w:sz="0" w:space="0" w:color="auto"/>
        <w:left w:val="none" w:sz="0" w:space="0" w:color="auto"/>
        <w:bottom w:val="none" w:sz="0" w:space="0" w:color="auto"/>
        <w:right w:val="none" w:sz="0" w:space="0" w:color="auto"/>
      </w:divBdr>
    </w:div>
    <w:div w:id="1826317803">
      <w:bodyDiv w:val="1"/>
      <w:marLeft w:val="0"/>
      <w:marRight w:val="0"/>
      <w:marTop w:val="0"/>
      <w:marBottom w:val="0"/>
      <w:divBdr>
        <w:top w:val="none" w:sz="0" w:space="0" w:color="auto"/>
        <w:left w:val="none" w:sz="0" w:space="0" w:color="auto"/>
        <w:bottom w:val="none" w:sz="0" w:space="0" w:color="auto"/>
        <w:right w:val="none" w:sz="0" w:space="0" w:color="auto"/>
      </w:divBdr>
    </w:div>
    <w:div w:id="1826387010">
      <w:bodyDiv w:val="1"/>
      <w:marLeft w:val="0"/>
      <w:marRight w:val="0"/>
      <w:marTop w:val="0"/>
      <w:marBottom w:val="0"/>
      <w:divBdr>
        <w:top w:val="none" w:sz="0" w:space="0" w:color="auto"/>
        <w:left w:val="none" w:sz="0" w:space="0" w:color="auto"/>
        <w:bottom w:val="none" w:sz="0" w:space="0" w:color="auto"/>
        <w:right w:val="none" w:sz="0" w:space="0" w:color="auto"/>
      </w:divBdr>
    </w:div>
    <w:div w:id="1829323376">
      <w:bodyDiv w:val="1"/>
      <w:marLeft w:val="0"/>
      <w:marRight w:val="0"/>
      <w:marTop w:val="0"/>
      <w:marBottom w:val="0"/>
      <w:divBdr>
        <w:top w:val="none" w:sz="0" w:space="0" w:color="auto"/>
        <w:left w:val="none" w:sz="0" w:space="0" w:color="auto"/>
        <w:bottom w:val="none" w:sz="0" w:space="0" w:color="auto"/>
        <w:right w:val="none" w:sz="0" w:space="0" w:color="auto"/>
      </w:divBdr>
    </w:div>
    <w:div w:id="1837332686">
      <w:bodyDiv w:val="1"/>
      <w:marLeft w:val="0"/>
      <w:marRight w:val="0"/>
      <w:marTop w:val="0"/>
      <w:marBottom w:val="0"/>
      <w:divBdr>
        <w:top w:val="none" w:sz="0" w:space="0" w:color="auto"/>
        <w:left w:val="none" w:sz="0" w:space="0" w:color="auto"/>
        <w:bottom w:val="none" w:sz="0" w:space="0" w:color="auto"/>
        <w:right w:val="none" w:sz="0" w:space="0" w:color="auto"/>
      </w:divBdr>
    </w:div>
    <w:div w:id="1842156502">
      <w:bodyDiv w:val="1"/>
      <w:marLeft w:val="0"/>
      <w:marRight w:val="0"/>
      <w:marTop w:val="0"/>
      <w:marBottom w:val="0"/>
      <w:divBdr>
        <w:top w:val="none" w:sz="0" w:space="0" w:color="auto"/>
        <w:left w:val="none" w:sz="0" w:space="0" w:color="auto"/>
        <w:bottom w:val="none" w:sz="0" w:space="0" w:color="auto"/>
        <w:right w:val="none" w:sz="0" w:space="0" w:color="auto"/>
      </w:divBdr>
    </w:div>
    <w:div w:id="1849709011">
      <w:bodyDiv w:val="1"/>
      <w:marLeft w:val="0"/>
      <w:marRight w:val="0"/>
      <w:marTop w:val="0"/>
      <w:marBottom w:val="0"/>
      <w:divBdr>
        <w:top w:val="none" w:sz="0" w:space="0" w:color="auto"/>
        <w:left w:val="none" w:sz="0" w:space="0" w:color="auto"/>
        <w:bottom w:val="none" w:sz="0" w:space="0" w:color="auto"/>
        <w:right w:val="none" w:sz="0" w:space="0" w:color="auto"/>
      </w:divBdr>
    </w:div>
    <w:div w:id="1856844609">
      <w:bodyDiv w:val="1"/>
      <w:marLeft w:val="0"/>
      <w:marRight w:val="0"/>
      <w:marTop w:val="0"/>
      <w:marBottom w:val="0"/>
      <w:divBdr>
        <w:top w:val="none" w:sz="0" w:space="0" w:color="auto"/>
        <w:left w:val="none" w:sz="0" w:space="0" w:color="auto"/>
        <w:bottom w:val="none" w:sz="0" w:space="0" w:color="auto"/>
        <w:right w:val="none" w:sz="0" w:space="0" w:color="auto"/>
      </w:divBdr>
    </w:div>
    <w:div w:id="1858037948">
      <w:bodyDiv w:val="1"/>
      <w:marLeft w:val="0"/>
      <w:marRight w:val="0"/>
      <w:marTop w:val="0"/>
      <w:marBottom w:val="0"/>
      <w:divBdr>
        <w:top w:val="none" w:sz="0" w:space="0" w:color="auto"/>
        <w:left w:val="none" w:sz="0" w:space="0" w:color="auto"/>
        <w:bottom w:val="none" w:sz="0" w:space="0" w:color="auto"/>
        <w:right w:val="none" w:sz="0" w:space="0" w:color="auto"/>
      </w:divBdr>
    </w:div>
    <w:div w:id="1858813057">
      <w:bodyDiv w:val="1"/>
      <w:marLeft w:val="0"/>
      <w:marRight w:val="0"/>
      <w:marTop w:val="0"/>
      <w:marBottom w:val="0"/>
      <w:divBdr>
        <w:top w:val="none" w:sz="0" w:space="0" w:color="auto"/>
        <w:left w:val="none" w:sz="0" w:space="0" w:color="auto"/>
        <w:bottom w:val="none" w:sz="0" w:space="0" w:color="auto"/>
        <w:right w:val="none" w:sz="0" w:space="0" w:color="auto"/>
      </w:divBdr>
    </w:div>
    <w:div w:id="1858889871">
      <w:bodyDiv w:val="1"/>
      <w:marLeft w:val="0"/>
      <w:marRight w:val="0"/>
      <w:marTop w:val="0"/>
      <w:marBottom w:val="0"/>
      <w:divBdr>
        <w:top w:val="none" w:sz="0" w:space="0" w:color="auto"/>
        <w:left w:val="none" w:sz="0" w:space="0" w:color="auto"/>
        <w:bottom w:val="none" w:sz="0" w:space="0" w:color="auto"/>
        <w:right w:val="none" w:sz="0" w:space="0" w:color="auto"/>
      </w:divBdr>
    </w:div>
    <w:div w:id="1859268872">
      <w:bodyDiv w:val="1"/>
      <w:marLeft w:val="0"/>
      <w:marRight w:val="0"/>
      <w:marTop w:val="0"/>
      <w:marBottom w:val="0"/>
      <w:divBdr>
        <w:top w:val="none" w:sz="0" w:space="0" w:color="auto"/>
        <w:left w:val="none" w:sz="0" w:space="0" w:color="auto"/>
        <w:bottom w:val="none" w:sz="0" w:space="0" w:color="auto"/>
        <w:right w:val="none" w:sz="0" w:space="0" w:color="auto"/>
      </w:divBdr>
    </w:div>
    <w:div w:id="1862082825">
      <w:bodyDiv w:val="1"/>
      <w:marLeft w:val="0"/>
      <w:marRight w:val="0"/>
      <w:marTop w:val="0"/>
      <w:marBottom w:val="0"/>
      <w:divBdr>
        <w:top w:val="none" w:sz="0" w:space="0" w:color="auto"/>
        <w:left w:val="none" w:sz="0" w:space="0" w:color="auto"/>
        <w:bottom w:val="none" w:sz="0" w:space="0" w:color="auto"/>
        <w:right w:val="none" w:sz="0" w:space="0" w:color="auto"/>
      </w:divBdr>
    </w:div>
    <w:div w:id="1862696055">
      <w:bodyDiv w:val="1"/>
      <w:marLeft w:val="0"/>
      <w:marRight w:val="0"/>
      <w:marTop w:val="0"/>
      <w:marBottom w:val="0"/>
      <w:divBdr>
        <w:top w:val="none" w:sz="0" w:space="0" w:color="auto"/>
        <w:left w:val="none" w:sz="0" w:space="0" w:color="auto"/>
        <w:bottom w:val="none" w:sz="0" w:space="0" w:color="auto"/>
        <w:right w:val="none" w:sz="0" w:space="0" w:color="auto"/>
      </w:divBdr>
    </w:div>
    <w:div w:id="1864632034">
      <w:bodyDiv w:val="1"/>
      <w:marLeft w:val="0"/>
      <w:marRight w:val="0"/>
      <w:marTop w:val="0"/>
      <w:marBottom w:val="0"/>
      <w:divBdr>
        <w:top w:val="none" w:sz="0" w:space="0" w:color="auto"/>
        <w:left w:val="none" w:sz="0" w:space="0" w:color="auto"/>
        <w:bottom w:val="none" w:sz="0" w:space="0" w:color="auto"/>
        <w:right w:val="none" w:sz="0" w:space="0" w:color="auto"/>
      </w:divBdr>
    </w:div>
    <w:div w:id="1866016692">
      <w:bodyDiv w:val="1"/>
      <w:marLeft w:val="0"/>
      <w:marRight w:val="0"/>
      <w:marTop w:val="0"/>
      <w:marBottom w:val="0"/>
      <w:divBdr>
        <w:top w:val="none" w:sz="0" w:space="0" w:color="auto"/>
        <w:left w:val="none" w:sz="0" w:space="0" w:color="auto"/>
        <w:bottom w:val="none" w:sz="0" w:space="0" w:color="auto"/>
        <w:right w:val="none" w:sz="0" w:space="0" w:color="auto"/>
      </w:divBdr>
    </w:div>
    <w:div w:id="1868522044">
      <w:bodyDiv w:val="1"/>
      <w:marLeft w:val="0"/>
      <w:marRight w:val="0"/>
      <w:marTop w:val="0"/>
      <w:marBottom w:val="0"/>
      <w:divBdr>
        <w:top w:val="none" w:sz="0" w:space="0" w:color="auto"/>
        <w:left w:val="none" w:sz="0" w:space="0" w:color="auto"/>
        <w:bottom w:val="none" w:sz="0" w:space="0" w:color="auto"/>
        <w:right w:val="none" w:sz="0" w:space="0" w:color="auto"/>
      </w:divBdr>
    </w:div>
    <w:div w:id="1870989610">
      <w:bodyDiv w:val="1"/>
      <w:marLeft w:val="0"/>
      <w:marRight w:val="0"/>
      <w:marTop w:val="0"/>
      <w:marBottom w:val="0"/>
      <w:divBdr>
        <w:top w:val="none" w:sz="0" w:space="0" w:color="auto"/>
        <w:left w:val="none" w:sz="0" w:space="0" w:color="auto"/>
        <w:bottom w:val="none" w:sz="0" w:space="0" w:color="auto"/>
        <w:right w:val="none" w:sz="0" w:space="0" w:color="auto"/>
      </w:divBdr>
    </w:div>
    <w:div w:id="1873492824">
      <w:bodyDiv w:val="1"/>
      <w:marLeft w:val="0"/>
      <w:marRight w:val="0"/>
      <w:marTop w:val="0"/>
      <w:marBottom w:val="0"/>
      <w:divBdr>
        <w:top w:val="none" w:sz="0" w:space="0" w:color="auto"/>
        <w:left w:val="none" w:sz="0" w:space="0" w:color="auto"/>
        <w:bottom w:val="none" w:sz="0" w:space="0" w:color="auto"/>
        <w:right w:val="none" w:sz="0" w:space="0" w:color="auto"/>
      </w:divBdr>
    </w:div>
    <w:div w:id="1874152366">
      <w:bodyDiv w:val="1"/>
      <w:marLeft w:val="0"/>
      <w:marRight w:val="0"/>
      <w:marTop w:val="0"/>
      <w:marBottom w:val="0"/>
      <w:divBdr>
        <w:top w:val="none" w:sz="0" w:space="0" w:color="auto"/>
        <w:left w:val="none" w:sz="0" w:space="0" w:color="auto"/>
        <w:bottom w:val="none" w:sz="0" w:space="0" w:color="auto"/>
        <w:right w:val="none" w:sz="0" w:space="0" w:color="auto"/>
      </w:divBdr>
    </w:div>
    <w:div w:id="1879926897">
      <w:bodyDiv w:val="1"/>
      <w:marLeft w:val="0"/>
      <w:marRight w:val="0"/>
      <w:marTop w:val="0"/>
      <w:marBottom w:val="0"/>
      <w:divBdr>
        <w:top w:val="none" w:sz="0" w:space="0" w:color="auto"/>
        <w:left w:val="none" w:sz="0" w:space="0" w:color="auto"/>
        <w:bottom w:val="none" w:sz="0" w:space="0" w:color="auto"/>
        <w:right w:val="none" w:sz="0" w:space="0" w:color="auto"/>
      </w:divBdr>
    </w:div>
    <w:div w:id="1884518773">
      <w:bodyDiv w:val="1"/>
      <w:marLeft w:val="0"/>
      <w:marRight w:val="0"/>
      <w:marTop w:val="0"/>
      <w:marBottom w:val="0"/>
      <w:divBdr>
        <w:top w:val="none" w:sz="0" w:space="0" w:color="auto"/>
        <w:left w:val="none" w:sz="0" w:space="0" w:color="auto"/>
        <w:bottom w:val="none" w:sz="0" w:space="0" w:color="auto"/>
        <w:right w:val="none" w:sz="0" w:space="0" w:color="auto"/>
      </w:divBdr>
    </w:div>
    <w:div w:id="1887109446">
      <w:bodyDiv w:val="1"/>
      <w:marLeft w:val="0"/>
      <w:marRight w:val="0"/>
      <w:marTop w:val="0"/>
      <w:marBottom w:val="0"/>
      <w:divBdr>
        <w:top w:val="none" w:sz="0" w:space="0" w:color="auto"/>
        <w:left w:val="none" w:sz="0" w:space="0" w:color="auto"/>
        <w:bottom w:val="none" w:sz="0" w:space="0" w:color="auto"/>
        <w:right w:val="none" w:sz="0" w:space="0" w:color="auto"/>
      </w:divBdr>
    </w:div>
    <w:div w:id="1889680890">
      <w:bodyDiv w:val="1"/>
      <w:marLeft w:val="0"/>
      <w:marRight w:val="0"/>
      <w:marTop w:val="0"/>
      <w:marBottom w:val="0"/>
      <w:divBdr>
        <w:top w:val="none" w:sz="0" w:space="0" w:color="auto"/>
        <w:left w:val="none" w:sz="0" w:space="0" w:color="auto"/>
        <w:bottom w:val="none" w:sz="0" w:space="0" w:color="auto"/>
        <w:right w:val="none" w:sz="0" w:space="0" w:color="auto"/>
      </w:divBdr>
    </w:div>
    <w:div w:id="1890533119">
      <w:bodyDiv w:val="1"/>
      <w:marLeft w:val="0"/>
      <w:marRight w:val="0"/>
      <w:marTop w:val="0"/>
      <w:marBottom w:val="0"/>
      <w:divBdr>
        <w:top w:val="none" w:sz="0" w:space="0" w:color="auto"/>
        <w:left w:val="none" w:sz="0" w:space="0" w:color="auto"/>
        <w:bottom w:val="none" w:sz="0" w:space="0" w:color="auto"/>
        <w:right w:val="none" w:sz="0" w:space="0" w:color="auto"/>
      </w:divBdr>
    </w:div>
    <w:div w:id="1892381456">
      <w:bodyDiv w:val="1"/>
      <w:marLeft w:val="0"/>
      <w:marRight w:val="0"/>
      <w:marTop w:val="0"/>
      <w:marBottom w:val="0"/>
      <w:divBdr>
        <w:top w:val="none" w:sz="0" w:space="0" w:color="auto"/>
        <w:left w:val="none" w:sz="0" w:space="0" w:color="auto"/>
        <w:bottom w:val="none" w:sz="0" w:space="0" w:color="auto"/>
        <w:right w:val="none" w:sz="0" w:space="0" w:color="auto"/>
      </w:divBdr>
    </w:div>
    <w:div w:id="1898734947">
      <w:bodyDiv w:val="1"/>
      <w:marLeft w:val="0"/>
      <w:marRight w:val="0"/>
      <w:marTop w:val="0"/>
      <w:marBottom w:val="0"/>
      <w:divBdr>
        <w:top w:val="none" w:sz="0" w:space="0" w:color="auto"/>
        <w:left w:val="none" w:sz="0" w:space="0" w:color="auto"/>
        <w:bottom w:val="none" w:sz="0" w:space="0" w:color="auto"/>
        <w:right w:val="none" w:sz="0" w:space="0" w:color="auto"/>
      </w:divBdr>
      <w:divsChild>
        <w:div w:id="701516441">
          <w:marLeft w:val="0"/>
          <w:marRight w:val="0"/>
          <w:marTop w:val="800"/>
          <w:marBottom w:val="0"/>
          <w:divBdr>
            <w:top w:val="none" w:sz="0" w:space="0" w:color="auto"/>
            <w:left w:val="none" w:sz="0" w:space="0" w:color="auto"/>
            <w:bottom w:val="none" w:sz="0" w:space="0" w:color="auto"/>
            <w:right w:val="none" w:sz="0" w:space="0" w:color="auto"/>
          </w:divBdr>
        </w:div>
        <w:div w:id="1425299640">
          <w:marLeft w:val="0"/>
          <w:marRight w:val="0"/>
          <w:marTop w:val="0"/>
          <w:marBottom w:val="0"/>
          <w:divBdr>
            <w:top w:val="none" w:sz="0" w:space="0" w:color="auto"/>
            <w:left w:val="none" w:sz="0" w:space="0" w:color="auto"/>
            <w:bottom w:val="none" w:sz="0" w:space="0" w:color="auto"/>
            <w:right w:val="none" w:sz="0" w:space="0" w:color="auto"/>
          </w:divBdr>
          <w:divsChild>
            <w:div w:id="388698249">
              <w:marLeft w:val="0"/>
              <w:marRight w:val="0"/>
              <w:marTop w:val="0"/>
              <w:marBottom w:val="0"/>
              <w:divBdr>
                <w:top w:val="none" w:sz="0" w:space="0" w:color="auto"/>
                <w:left w:val="none" w:sz="0" w:space="0" w:color="auto"/>
                <w:bottom w:val="none" w:sz="0" w:space="0" w:color="auto"/>
                <w:right w:val="none" w:sz="0" w:space="0" w:color="auto"/>
              </w:divBdr>
              <w:divsChild>
                <w:div w:id="441387446">
                  <w:marLeft w:val="0"/>
                  <w:marRight w:val="0"/>
                  <w:marTop w:val="225"/>
                  <w:marBottom w:val="0"/>
                  <w:divBdr>
                    <w:top w:val="none" w:sz="0" w:space="0" w:color="auto"/>
                    <w:left w:val="none" w:sz="0" w:space="0" w:color="auto"/>
                    <w:bottom w:val="none" w:sz="0" w:space="0" w:color="auto"/>
                    <w:right w:val="none" w:sz="0" w:space="0" w:color="auto"/>
                  </w:divBdr>
                  <w:divsChild>
                    <w:div w:id="788280177">
                      <w:marLeft w:val="0"/>
                      <w:marRight w:val="0"/>
                      <w:marTop w:val="0"/>
                      <w:marBottom w:val="0"/>
                      <w:divBdr>
                        <w:top w:val="none" w:sz="0" w:space="0" w:color="auto"/>
                        <w:left w:val="none" w:sz="0" w:space="0" w:color="auto"/>
                        <w:bottom w:val="none" w:sz="0" w:space="0" w:color="auto"/>
                        <w:right w:val="none" w:sz="0" w:space="0" w:color="auto"/>
                      </w:divBdr>
                      <w:divsChild>
                        <w:div w:id="472719293">
                          <w:marLeft w:val="0"/>
                          <w:marRight w:val="0"/>
                          <w:marTop w:val="0"/>
                          <w:marBottom w:val="0"/>
                          <w:divBdr>
                            <w:top w:val="none" w:sz="0" w:space="0" w:color="auto"/>
                            <w:left w:val="none" w:sz="0" w:space="0" w:color="auto"/>
                            <w:bottom w:val="none" w:sz="0" w:space="0" w:color="auto"/>
                            <w:right w:val="none" w:sz="0" w:space="0" w:color="auto"/>
                          </w:divBdr>
                          <w:divsChild>
                            <w:div w:id="1773629115">
                              <w:marLeft w:val="0"/>
                              <w:marRight w:val="0"/>
                              <w:marTop w:val="0"/>
                              <w:marBottom w:val="0"/>
                              <w:divBdr>
                                <w:top w:val="none" w:sz="0" w:space="0" w:color="auto"/>
                                <w:left w:val="none" w:sz="0" w:space="0" w:color="auto"/>
                                <w:bottom w:val="none" w:sz="0" w:space="0" w:color="auto"/>
                                <w:right w:val="none" w:sz="0" w:space="0" w:color="auto"/>
                              </w:divBdr>
                              <w:divsChild>
                                <w:div w:id="16116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632491">
      <w:bodyDiv w:val="1"/>
      <w:marLeft w:val="0"/>
      <w:marRight w:val="0"/>
      <w:marTop w:val="0"/>
      <w:marBottom w:val="0"/>
      <w:divBdr>
        <w:top w:val="none" w:sz="0" w:space="0" w:color="auto"/>
        <w:left w:val="none" w:sz="0" w:space="0" w:color="auto"/>
        <w:bottom w:val="none" w:sz="0" w:space="0" w:color="auto"/>
        <w:right w:val="none" w:sz="0" w:space="0" w:color="auto"/>
      </w:divBdr>
    </w:div>
    <w:div w:id="1905020723">
      <w:bodyDiv w:val="1"/>
      <w:marLeft w:val="0"/>
      <w:marRight w:val="0"/>
      <w:marTop w:val="0"/>
      <w:marBottom w:val="0"/>
      <w:divBdr>
        <w:top w:val="none" w:sz="0" w:space="0" w:color="auto"/>
        <w:left w:val="none" w:sz="0" w:space="0" w:color="auto"/>
        <w:bottom w:val="none" w:sz="0" w:space="0" w:color="auto"/>
        <w:right w:val="none" w:sz="0" w:space="0" w:color="auto"/>
      </w:divBdr>
    </w:div>
    <w:div w:id="1907915614">
      <w:bodyDiv w:val="1"/>
      <w:marLeft w:val="0"/>
      <w:marRight w:val="0"/>
      <w:marTop w:val="0"/>
      <w:marBottom w:val="0"/>
      <w:divBdr>
        <w:top w:val="none" w:sz="0" w:space="0" w:color="auto"/>
        <w:left w:val="none" w:sz="0" w:space="0" w:color="auto"/>
        <w:bottom w:val="none" w:sz="0" w:space="0" w:color="auto"/>
        <w:right w:val="none" w:sz="0" w:space="0" w:color="auto"/>
      </w:divBdr>
    </w:div>
    <w:div w:id="1908028187">
      <w:bodyDiv w:val="1"/>
      <w:marLeft w:val="0"/>
      <w:marRight w:val="0"/>
      <w:marTop w:val="0"/>
      <w:marBottom w:val="0"/>
      <w:divBdr>
        <w:top w:val="none" w:sz="0" w:space="0" w:color="auto"/>
        <w:left w:val="none" w:sz="0" w:space="0" w:color="auto"/>
        <w:bottom w:val="none" w:sz="0" w:space="0" w:color="auto"/>
        <w:right w:val="none" w:sz="0" w:space="0" w:color="auto"/>
      </w:divBdr>
    </w:div>
    <w:div w:id="1908564802">
      <w:bodyDiv w:val="1"/>
      <w:marLeft w:val="0"/>
      <w:marRight w:val="0"/>
      <w:marTop w:val="0"/>
      <w:marBottom w:val="0"/>
      <w:divBdr>
        <w:top w:val="none" w:sz="0" w:space="0" w:color="auto"/>
        <w:left w:val="none" w:sz="0" w:space="0" w:color="auto"/>
        <w:bottom w:val="none" w:sz="0" w:space="0" w:color="auto"/>
        <w:right w:val="none" w:sz="0" w:space="0" w:color="auto"/>
      </w:divBdr>
    </w:div>
    <w:div w:id="1912160037">
      <w:bodyDiv w:val="1"/>
      <w:marLeft w:val="0"/>
      <w:marRight w:val="0"/>
      <w:marTop w:val="0"/>
      <w:marBottom w:val="0"/>
      <w:divBdr>
        <w:top w:val="none" w:sz="0" w:space="0" w:color="auto"/>
        <w:left w:val="none" w:sz="0" w:space="0" w:color="auto"/>
        <w:bottom w:val="none" w:sz="0" w:space="0" w:color="auto"/>
        <w:right w:val="none" w:sz="0" w:space="0" w:color="auto"/>
      </w:divBdr>
    </w:div>
    <w:div w:id="1912353768">
      <w:bodyDiv w:val="1"/>
      <w:marLeft w:val="0"/>
      <w:marRight w:val="0"/>
      <w:marTop w:val="0"/>
      <w:marBottom w:val="0"/>
      <w:divBdr>
        <w:top w:val="none" w:sz="0" w:space="0" w:color="auto"/>
        <w:left w:val="none" w:sz="0" w:space="0" w:color="auto"/>
        <w:bottom w:val="none" w:sz="0" w:space="0" w:color="auto"/>
        <w:right w:val="none" w:sz="0" w:space="0" w:color="auto"/>
      </w:divBdr>
    </w:div>
    <w:div w:id="1913929933">
      <w:bodyDiv w:val="1"/>
      <w:marLeft w:val="0"/>
      <w:marRight w:val="0"/>
      <w:marTop w:val="0"/>
      <w:marBottom w:val="0"/>
      <w:divBdr>
        <w:top w:val="none" w:sz="0" w:space="0" w:color="auto"/>
        <w:left w:val="none" w:sz="0" w:space="0" w:color="auto"/>
        <w:bottom w:val="none" w:sz="0" w:space="0" w:color="auto"/>
        <w:right w:val="none" w:sz="0" w:space="0" w:color="auto"/>
      </w:divBdr>
    </w:div>
    <w:div w:id="1914124084">
      <w:bodyDiv w:val="1"/>
      <w:marLeft w:val="0"/>
      <w:marRight w:val="0"/>
      <w:marTop w:val="0"/>
      <w:marBottom w:val="0"/>
      <w:divBdr>
        <w:top w:val="none" w:sz="0" w:space="0" w:color="auto"/>
        <w:left w:val="none" w:sz="0" w:space="0" w:color="auto"/>
        <w:bottom w:val="none" w:sz="0" w:space="0" w:color="auto"/>
        <w:right w:val="none" w:sz="0" w:space="0" w:color="auto"/>
      </w:divBdr>
    </w:div>
    <w:div w:id="1915897095">
      <w:bodyDiv w:val="1"/>
      <w:marLeft w:val="0"/>
      <w:marRight w:val="0"/>
      <w:marTop w:val="0"/>
      <w:marBottom w:val="0"/>
      <w:divBdr>
        <w:top w:val="none" w:sz="0" w:space="0" w:color="auto"/>
        <w:left w:val="none" w:sz="0" w:space="0" w:color="auto"/>
        <w:bottom w:val="none" w:sz="0" w:space="0" w:color="auto"/>
        <w:right w:val="none" w:sz="0" w:space="0" w:color="auto"/>
      </w:divBdr>
    </w:div>
    <w:div w:id="1918515038">
      <w:bodyDiv w:val="1"/>
      <w:marLeft w:val="0"/>
      <w:marRight w:val="0"/>
      <w:marTop w:val="0"/>
      <w:marBottom w:val="0"/>
      <w:divBdr>
        <w:top w:val="none" w:sz="0" w:space="0" w:color="auto"/>
        <w:left w:val="none" w:sz="0" w:space="0" w:color="auto"/>
        <w:bottom w:val="none" w:sz="0" w:space="0" w:color="auto"/>
        <w:right w:val="none" w:sz="0" w:space="0" w:color="auto"/>
      </w:divBdr>
    </w:div>
    <w:div w:id="1920676295">
      <w:bodyDiv w:val="1"/>
      <w:marLeft w:val="0"/>
      <w:marRight w:val="0"/>
      <w:marTop w:val="0"/>
      <w:marBottom w:val="0"/>
      <w:divBdr>
        <w:top w:val="none" w:sz="0" w:space="0" w:color="auto"/>
        <w:left w:val="none" w:sz="0" w:space="0" w:color="auto"/>
        <w:bottom w:val="none" w:sz="0" w:space="0" w:color="auto"/>
        <w:right w:val="none" w:sz="0" w:space="0" w:color="auto"/>
      </w:divBdr>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
    <w:div w:id="1921596762">
      <w:bodyDiv w:val="1"/>
      <w:marLeft w:val="0"/>
      <w:marRight w:val="0"/>
      <w:marTop w:val="0"/>
      <w:marBottom w:val="0"/>
      <w:divBdr>
        <w:top w:val="none" w:sz="0" w:space="0" w:color="auto"/>
        <w:left w:val="none" w:sz="0" w:space="0" w:color="auto"/>
        <w:bottom w:val="none" w:sz="0" w:space="0" w:color="auto"/>
        <w:right w:val="none" w:sz="0" w:space="0" w:color="auto"/>
      </w:divBdr>
    </w:div>
    <w:div w:id="1922906876">
      <w:bodyDiv w:val="1"/>
      <w:marLeft w:val="0"/>
      <w:marRight w:val="0"/>
      <w:marTop w:val="0"/>
      <w:marBottom w:val="0"/>
      <w:divBdr>
        <w:top w:val="none" w:sz="0" w:space="0" w:color="auto"/>
        <w:left w:val="none" w:sz="0" w:space="0" w:color="auto"/>
        <w:bottom w:val="none" w:sz="0" w:space="0" w:color="auto"/>
        <w:right w:val="none" w:sz="0" w:space="0" w:color="auto"/>
      </w:divBdr>
    </w:div>
    <w:div w:id="1925407633">
      <w:bodyDiv w:val="1"/>
      <w:marLeft w:val="0"/>
      <w:marRight w:val="0"/>
      <w:marTop w:val="0"/>
      <w:marBottom w:val="0"/>
      <w:divBdr>
        <w:top w:val="none" w:sz="0" w:space="0" w:color="auto"/>
        <w:left w:val="none" w:sz="0" w:space="0" w:color="auto"/>
        <w:bottom w:val="none" w:sz="0" w:space="0" w:color="auto"/>
        <w:right w:val="none" w:sz="0" w:space="0" w:color="auto"/>
      </w:divBdr>
    </w:div>
    <w:div w:id="1929386613">
      <w:bodyDiv w:val="1"/>
      <w:marLeft w:val="0"/>
      <w:marRight w:val="0"/>
      <w:marTop w:val="0"/>
      <w:marBottom w:val="0"/>
      <w:divBdr>
        <w:top w:val="none" w:sz="0" w:space="0" w:color="auto"/>
        <w:left w:val="none" w:sz="0" w:space="0" w:color="auto"/>
        <w:bottom w:val="none" w:sz="0" w:space="0" w:color="auto"/>
        <w:right w:val="none" w:sz="0" w:space="0" w:color="auto"/>
      </w:divBdr>
    </w:div>
    <w:div w:id="1932736505">
      <w:bodyDiv w:val="1"/>
      <w:marLeft w:val="0"/>
      <w:marRight w:val="0"/>
      <w:marTop w:val="0"/>
      <w:marBottom w:val="0"/>
      <w:divBdr>
        <w:top w:val="none" w:sz="0" w:space="0" w:color="auto"/>
        <w:left w:val="none" w:sz="0" w:space="0" w:color="auto"/>
        <w:bottom w:val="none" w:sz="0" w:space="0" w:color="auto"/>
        <w:right w:val="none" w:sz="0" w:space="0" w:color="auto"/>
      </w:divBdr>
    </w:div>
    <w:div w:id="1932855391">
      <w:bodyDiv w:val="1"/>
      <w:marLeft w:val="0"/>
      <w:marRight w:val="0"/>
      <w:marTop w:val="0"/>
      <w:marBottom w:val="0"/>
      <w:divBdr>
        <w:top w:val="none" w:sz="0" w:space="0" w:color="auto"/>
        <w:left w:val="none" w:sz="0" w:space="0" w:color="auto"/>
        <w:bottom w:val="none" w:sz="0" w:space="0" w:color="auto"/>
        <w:right w:val="none" w:sz="0" w:space="0" w:color="auto"/>
      </w:divBdr>
    </w:div>
    <w:div w:id="1933931280">
      <w:bodyDiv w:val="1"/>
      <w:marLeft w:val="0"/>
      <w:marRight w:val="0"/>
      <w:marTop w:val="0"/>
      <w:marBottom w:val="0"/>
      <w:divBdr>
        <w:top w:val="none" w:sz="0" w:space="0" w:color="auto"/>
        <w:left w:val="none" w:sz="0" w:space="0" w:color="auto"/>
        <w:bottom w:val="none" w:sz="0" w:space="0" w:color="auto"/>
        <w:right w:val="none" w:sz="0" w:space="0" w:color="auto"/>
      </w:divBdr>
    </w:div>
    <w:div w:id="1943342485">
      <w:bodyDiv w:val="1"/>
      <w:marLeft w:val="0"/>
      <w:marRight w:val="0"/>
      <w:marTop w:val="0"/>
      <w:marBottom w:val="0"/>
      <w:divBdr>
        <w:top w:val="none" w:sz="0" w:space="0" w:color="auto"/>
        <w:left w:val="none" w:sz="0" w:space="0" w:color="auto"/>
        <w:bottom w:val="none" w:sz="0" w:space="0" w:color="auto"/>
        <w:right w:val="none" w:sz="0" w:space="0" w:color="auto"/>
      </w:divBdr>
    </w:div>
    <w:div w:id="1943681746">
      <w:bodyDiv w:val="1"/>
      <w:marLeft w:val="0"/>
      <w:marRight w:val="0"/>
      <w:marTop w:val="0"/>
      <w:marBottom w:val="0"/>
      <w:divBdr>
        <w:top w:val="none" w:sz="0" w:space="0" w:color="auto"/>
        <w:left w:val="none" w:sz="0" w:space="0" w:color="auto"/>
        <w:bottom w:val="none" w:sz="0" w:space="0" w:color="auto"/>
        <w:right w:val="none" w:sz="0" w:space="0" w:color="auto"/>
      </w:divBdr>
    </w:div>
    <w:div w:id="1945653326">
      <w:bodyDiv w:val="1"/>
      <w:marLeft w:val="0"/>
      <w:marRight w:val="0"/>
      <w:marTop w:val="0"/>
      <w:marBottom w:val="0"/>
      <w:divBdr>
        <w:top w:val="none" w:sz="0" w:space="0" w:color="auto"/>
        <w:left w:val="none" w:sz="0" w:space="0" w:color="auto"/>
        <w:bottom w:val="none" w:sz="0" w:space="0" w:color="auto"/>
        <w:right w:val="none" w:sz="0" w:space="0" w:color="auto"/>
      </w:divBdr>
    </w:div>
    <w:div w:id="1945842344">
      <w:bodyDiv w:val="1"/>
      <w:marLeft w:val="0"/>
      <w:marRight w:val="0"/>
      <w:marTop w:val="0"/>
      <w:marBottom w:val="0"/>
      <w:divBdr>
        <w:top w:val="none" w:sz="0" w:space="0" w:color="auto"/>
        <w:left w:val="none" w:sz="0" w:space="0" w:color="auto"/>
        <w:bottom w:val="none" w:sz="0" w:space="0" w:color="auto"/>
        <w:right w:val="none" w:sz="0" w:space="0" w:color="auto"/>
      </w:divBdr>
    </w:div>
    <w:div w:id="1949045809">
      <w:bodyDiv w:val="1"/>
      <w:marLeft w:val="0"/>
      <w:marRight w:val="0"/>
      <w:marTop w:val="0"/>
      <w:marBottom w:val="0"/>
      <w:divBdr>
        <w:top w:val="none" w:sz="0" w:space="0" w:color="auto"/>
        <w:left w:val="none" w:sz="0" w:space="0" w:color="auto"/>
        <w:bottom w:val="none" w:sz="0" w:space="0" w:color="auto"/>
        <w:right w:val="none" w:sz="0" w:space="0" w:color="auto"/>
      </w:divBdr>
    </w:div>
    <w:div w:id="1951936718">
      <w:bodyDiv w:val="1"/>
      <w:marLeft w:val="0"/>
      <w:marRight w:val="0"/>
      <w:marTop w:val="0"/>
      <w:marBottom w:val="0"/>
      <w:divBdr>
        <w:top w:val="none" w:sz="0" w:space="0" w:color="auto"/>
        <w:left w:val="none" w:sz="0" w:space="0" w:color="auto"/>
        <w:bottom w:val="none" w:sz="0" w:space="0" w:color="auto"/>
        <w:right w:val="none" w:sz="0" w:space="0" w:color="auto"/>
      </w:divBdr>
    </w:div>
    <w:div w:id="1952542295">
      <w:bodyDiv w:val="1"/>
      <w:marLeft w:val="0"/>
      <w:marRight w:val="0"/>
      <w:marTop w:val="0"/>
      <w:marBottom w:val="0"/>
      <w:divBdr>
        <w:top w:val="none" w:sz="0" w:space="0" w:color="auto"/>
        <w:left w:val="none" w:sz="0" w:space="0" w:color="auto"/>
        <w:bottom w:val="none" w:sz="0" w:space="0" w:color="auto"/>
        <w:right w:val="none" w:sz="0" w:space="0" w:color="auto"/>
      </w:divBdr>
    </w:div>
    <w:div w:id="1955406851">
      <w:bodyDiv w:val="1"/>
      <w:marLeft w:val="0"/>
      <w:marRight w:val="0"/>
      <w:marTop w:val="0"/>
      <w:marBottom w:val="0"/>
      <w:divBdr>
        <w:top w:val="none" w:sz="0" w:space="0" w:color="auto"/>
        <w:left w:val="none" w:sz="0" w:space="0" w:color="auto"/>
        <w:bottom w:val="none" w:sz="0" w:space="0" w:color="auto"/>
        <w:right w:val="none" w:sz="0" w:space="0" w:color="auto"/>
      </w:divBdr>
    </w:div>
    <w:div w:id="1956519547">
      <w:bodyDiv w:val="1"/>
      <w:marLeft w:val="0"/>
      <w:marRight w:val="0"/>
      <w:marTop w:val="0"/>
      <w:marBottom w:val="0"/>
      <w:divBdr>
        <w:top w:val="none" w:sz="0" w:space="0" w:color="auto"/>
        <w:left w:val="none" w:sz="0" w:space="0" w:color="auto"/>
        <w:bottom w:val="none" w:sz="0" w:space="0" w:color="auto"/>
        <w:right w:val="none" w:sz="0" w:space="0" w:color="auto"/>
      </w:divBdr>
    </w:div>
    <w:div w:id="1957176557">
      <w:bodyDiv w:val="1"/>
      <w:marLeft w:val="0"/>
      <w:marRight w:val="0"/>
      <w:marTop w:val="0"/>
      <w:marBottom w:val="0"/>
      <w:divBdr>
        <w:top w:val="none" w:sz="0" w:space="0" w:color="auto"/>
        <w:left w:val="none" w:sz="0" w:space="0" w:color="auto"/>
        <w:bottom w:val="none" w:sz="0" w:space="0" w:color="auto"/>
        <w:right w:val="none" w:sz="0" w:space="0" w:color="auto"/>
      </w:divBdr>
    </w:div>
    <w:div w:id="1959875584">
      <w:bodyDiv w:val="1"/>
      <w:marLeft w:val="0"/>
      <w:marRight w:val="0"/>
      <w:marTop w:val="0"/>
      <w:marBottom w:val="0"/>
      <w:divBdr>
        <w:top w:val="none" w:sz="0" w:space="0" w:color="auto"/>
        <w:left w:val="none" w:sz="0" w:space="0" w:color="auto"/>
        <w:bottom w:val="none" w:sz="0" w:space="0" w:color="auto"/>
        <w:right w:val="none" w:sz="0" w:space="0" w:color="auto"/>
      </w:divBdr>
    </w:div>
    <w:div w:id="1963534022">
      <w:bodyDiv w:val="1"/>
      <w:marLeft w:val="0"/>
      <w:marRight w:val="0"/>
      <w:marTop w:val="0"/>
      <w:marBottom w:val="0"/>
      <w:divBdr>
        <w:top w:val="none" w:sz="0" w:space="0" w:color="auto"/>
        <w:left w:val="none" w:sz="0" w:space="0" w:color="auto"/>
        <w:bottom w:val="none" w:sz="0" w:space="0" w:color="auto"/>
        <w:right w:val="none" w:sz="0" w:space="0" w:color="auto"/>
      </w:divBdr>
    </w:div>
    <w:div w:id="1968075505">
      <w:bodyDiv w:val="1"/>
      <w:marLeft w:val="0"/>
      <w:marRight w:val="0"/>
      <w:marTop w:val="0"/>
      <w:marBottom w:val="0"/>
      <w:divBdr>
        <w:top w:val="none" w:sz="0" w:space="0" w:color="auto"/>
        <w:left w:val="none" w:sz="0" w:space="0" w:color="auto"/>
        <w:bottom w:val="none" w:sz="0" w:space="0" w:color="auto"/>
        <w:right w:val="none" w:sz="0" w:space="0" w:color="auto"/>
      </w:divBdr>
    </w:div>
    <w:div w:id="1968197098">
      <w:bodyDiv w:val="1"/>
      <w:marLeft w:val="0"/>
      <w:marRight w:val="0"/>
      <w:marTop w:val="0"/>
      <w:marBottom w:val="0"/>
      <w:divBdr>
        <w:top w:val="none" w:sz="0" w:space="0" w:color="auto"/>
        <w:left w:val="none" w:sz="0" w:space="0" w:color="auto"/>
        <w:bottom w:val="none" w:sz="0" w:space="0" w:color="auto"/>
        <w:right w:val="none" w:sz="0" w:space="0" w:color="auto"/>
      </w:divBdr>
    </w:div>
    <w:div w:id="1973944498">
      <w:bodyDiv w:val="1"/>
      <w:marLeft w:val="0"/>
      <w:marRight w:val="0"/>
      <w:marTop w:val="0"/>
      <w:marBottom w:val="0"/>
      <w:divBdr>
        <w:top w:val="none" w:sz="0" w:space="0" w:color="auto"/>
        <w:left w:val="none" w:sz="0" w:space="0" w:color="auto"/>
        <w:bottom w:val="none" w:sz="0" w:space="0" w:color="auto"/>
        <w:right w:val="none" w:sz="0" w:space="0" w:color="auto"/>
      </w:divBdr>
    </w:div>
    <w:div w:id="1974754250">
      <w:bodyDiv w:val="1"/>
      <w:marLeft w:val="0"/>
      <w:marRight w:val="0"/>
      <w:marTop w:val="0"/>
      <w:marBottom w:val="0"/>
      <w:divBdr>
        <w:top w:val="none" w:sz="0" w:space="0" w:color="auto"/>
        <w:left w:val="none" w:sz="0" w:space="0" w:color="auto"/>
        <w:bottom w:val="none" w:sz="0" w:space="0" w:color="auto"/>
        <w:right w:val="none" w:sz="0" w:space="0" w:color="auto"/>
      </w:divBdr>
    </w:div>
    <w:div w:id="1976795104">
      <w:bodyDiv w:val="1"/>
      <w:marLeft w:val="0"/>
      <w:marRight w:val="0"/>
      <w:marTop w:val="0"/>
      <w:marBottom w:val="0"/>
      <w:divBdr>
        <w:top w:val="none" w:sz="0" w:space="0" w:color="auto"/>
        <w:left w:val="none" w:sz="0" w:space="0" w:color="auto"/>
        <w:bottom w:val="none" w:sz="0" w:space="0" w:color="auto"/>
        <w:right w:val="none" w:sz="0" w:space="0" w:color="auto"/>
      </w:divBdr>
    </w:div>
    <w:div w:id="1981836855">
      <w:bodyDiv w:val="1"/>
      <w:marLeft w:val="0"/>
      <w:marRight w:val="0"/>
      <w:marTop w:val="0"/>
      <w:marBottom w:val="0"/>
      <w:divBdr>
        <w:top w:val="none" w:sz="0" w:space="0" w:color="auto"/>
        <w:left w:val="none" w:sz="0" w:space="0" w:color="auto"/>
        <w:bottom w:val="none" w:sz="0" w:space="0" w:color="auto"/>
        <w:right w:val="none" w:sz="0" w:space="0" w:color="auto"/>
      </w:divBdr>
    </w:div>
    <w:div w:id="1983148705">
      <w:bodyDiv w:val="1"/>
      <w:marLeft w:val="0"/>
      <w:marRight w:val="0"/>
      <w:marTop w:val="0"/>
      <w:marBottom w:val="0"/>
      <w:divBdr>
        <w:top w:val="none" w:sz="0" w:space="0" w:color="auto"/>
        <w:left w:val="none" w:sz="0" w:space="0" w:color="auto"/>
        <w:bottom w:val="none" w:sz="0" w:space="0" w:color="auto"/>
        <w:right w:val="none" w:sz="0" w:space="0" w:color="auto"/>
      </w:divBdr>
    </w:div>
    <w:div w:id="1984192855">
      <w:bodyDiv w:val="1"/>
      <w:marLeft w:val="0"/>
      <w:marRight w:val="0"/>
      <w:marTop w:val="0"/>
      <w:marBottom w:val="0"/>
      <w:divBdr>
        <w:top w:val="none" w:sz="0" w:space="0" w:color="auto"/>
        <w:left w:val="none" w:sz="0" w:space="0" w:color="auto"/>
        <w:bottom w:val="none" w:sz="0" w:space="0" w:color="auto"/>
        <w:right w:val="none" w:sz="0" w:space="0" w:color="auto"/>
      </w:divBdr>
    </w:div>
    <w:div w:id="1988362900">
      <w:bodyDiv w:val="1"/>
      <w:marLeft w:val="0"/>
      <w:marRight w:val="0"/>
      <w:marTop w:val="0"/>
      <w:marBottom w:val="0"/>
      <w:divBdr>
        <w:top w:val="none" w:sz="0" w:space="0" w:color="auto"/>
        <w:left w:val="none" w:sz="0" w:space="0" w:color="auto"/>
        <w:bottom w:val="none" w:sz="0" w:space="0" w:color="auto"/>
        <w:right w:val="none" w:sz="0" w:space="0" w:color="auto"/>
      </w:divBdr>
    </w:div>
    <w:div w:id="1991860431">
      <w:bodyDiv w:val="1"/>
      <w:marLeft w:val="0"/>
      <w:marRight w:val="0"/>
      <w:marTop w:val="0"/>
      <w:marBottom w:val="0"/>
      <w:divBdr>
        <w:top w:val="none" w:sz="0" w:space="0" w:color="auto"/>
        <w:left w:val="none" w:sz="0" w:space="0" w:color="auto"/>
        <w:bottom w:val="none" w:sz="0" w:space="0" w:color="auto"/>
        <w:right w:val="none" w:sz="0" w:space="0" w:color="auto"/>
      </w:divBdr>
    </w:div>
    <w:div w:id="1993413411">
      <w:bodyDiv w:val="1"/>
      <w:marLeft w:val="0"/>
      <w:marRight w:val="0"/>
      <w:marTop w:val="0"/>
      <w:marBottom w:val="0"/>
      <w:divBdr>
        <w:top w:val="none" w:sz="0" w:space="0" w:color="auto"/>
        <w:left w:val="none" w:sz="0" w:space="0" w:color="auto"/>
        <w:bottom w:val="none" w:sz="0" w:space="0" w:color="auto"/>
        <w:right w:val="none" w:sz="0" w:space="0" w:color="auto"/>
      </w:divBdr>
    </w:div>
    <w:div w:id="1995525521">
      <w:bodyDiv w:val="1"/>
      <w:marLeft w:val="0"/>
      <w:marRight w:val="0"/>
      <w:marTop w:val="0"/>
      <w:marBottom w:val="0"/>
      <w:divBdr>
        <w:top w:val="none" w:sz="0" w:space="0" w:color="auto"/>
        <w:left w:val="none" w:sz="0" w:space="0" w:color="auto"/>
        <w:bottom w:val="none" w:sz="0" w:space="0" w:color="auto"/>
        <w:right w:val="none" w:sz="0" w:space="0" w:color="auto"/>
      </w:divBdr>
    </w:div>
    <w:div w:id="1998217693">
      <w:bodyDiv w:val="1"/>
      <w:marLeft w:val="0"/>
      <w:marRight w:val="0"/>
      <w:marTop w:val="0"/>
      <w:marBottom w:val="0"/>
      <w:divBdr>
        <w:top w:val="none" w:sz="0" w:space="0" w:color="auto"/>
        <w:left w:val="none" w:sz="0" w:space="0" w:color="auto"/>
        <w:bottom w:val="none" w:sz="0" w:space="0" w:color="auto"/>
        <w:right w:val="none" w:sz="0" w:space="0" w:color="auto"/>
      </w:divBdr>
    </w:div>
    <w:div w:id="1998797171">
      <w:bodyDiv w:val="1"/>
      <w:marLeft w:val="0"/>
      <w:marRight w:val="0"/>
      <w:marTop w:val="0"/>
      <w:marBottom w:val="0"/>
      <w:divBdr>
        <w:top w:val="none" w:sz="0" w:space="0" w:color="auto"/>
        <w:left w:val="none" w:sz="0" w:space="0" w:color="auto"/>
        <w:bottom w:val="none" w:sz="0" w:space="0" w:color="auto"/>
        <w:right w:val="none" w:sz="0" w:space="0" w:color="auto"/>
      </w:divBdr>
    </w:div>
    <w:div w:id="2004241615">
      <w:bodyDiv w:val="1"/>
      <w:marLeft w:val="0"/>
      <w:marRight w:val="0"/>
      <w:marTop w:val="0"/>
      <w:marBottom w:val="0"/>
      <w:divBdr>
        <w:top w:val="none" w:sz="0" w:space="0" w:color="auto"/>
        <w:left w:val="none" w:sz="0" w:space="0" w:color="auto"/>
        <w:bottom w:val="none" w:sz="0" w:space="0" w:color="auto"/>
        <w:right w:val="none" w:sz="0" w:space="0" w:color="auto"/>
      </w:divBdr>
    </w:div>
    <w:div w:id="2004893265">
      <w:bodyDiv w:val="1"/>
      <w:marLeft w:val="0"/>
      <w:marRight w:val="0"/>
      <w:marTop w:val="0"/>
      <w:marBottom w:val="0"/>
      <w:divBdr>
        <w:top w:val="none" w:sz="0" w:space="0" w:color="auto"/>
        <w:left w:val="none" w:sz="0" w:space="0" w:color="auto"/>
        <w:bottom w:val="none" w:sz="0" w:space="0" w:color="auto"/>
        <w:right w:val="none" w:sz="0" w:space="0" w:color="auto"/>
      </w:divBdr>
    </w:div>
    <w:div w:id="2005166097">
      <w:bodyDiv w:val="1"/>
      <w:marLeft w:val="0"/>
      <w:marRight w:val="0"/>
      <w:marTop w:val="0"/>
      <w:marBottom w:val="0"/>
      <w:divBdr>
        <w:top w:val="none" w:sz="0" w:space="0" w:color="auto"/>
        <w:left w:val="none" w:sz="0" w:space="0" w:color="auto"/>
        <w:bottom w:val="none" w:sz="0" w:space="0" w:color="auto"/>
        <w:right w:val="none" w:sz="0" w:space="0" w:color="auto"/>
      </w:divBdr>
    </w:div>
    <w:div w:id="2013099105">
      <w:bodyDiv w:val="1"/>
      <w:marLeft w:val="0"/>
      <w:marRight w:val="0"/>
      <w:marTop w:val="0"/>
      <w:marBottom w:val="0"/>
      <w:divBdr>
        <w:top w:val="none" w:sz="0" w:space="0" w:color="auto"/>
        <w:left w:val="none" w:sz="0" w:space="0" w:color="auto"/>
        <w:bottom w:val="none" w:sz="0" w:space="0" w:color="auto"/>
        <w:right w:val="none" w:sz="0" w:space="0" w:color="auto"/>
      </w:divBdr>
    </w:div>
    <w:div w:id="2016564955">
      <w:bodyDiv w:val="1"/>
      <w:marLeft w:val="0"/>
      <w:marRight w:val="0"/>
      <w:marTop w:val="0"/>
      <w:marBottom w:val="0"/>
      <w:divBdr>
        <w:top w:val="none" w:sz="0" w:space="0" w:color="auto"/>
        <w:left w:val="none" w:sz="0" w:space="0" w:color="auto"/>
        <w:bottom w:val="none" w:sz="0" w:space="0" w:color="auto"/>
        <w:right w:val="none" w:sz="0" w:space="0" w:color="auto"/>
      </w:divBdr>
    </w:div>
    <w:div w:id="2018192085">
      <w:bodyDiv w:val="1"/>
      <w:marLeft w:val="0"/>
      <w:marRight w:val="0"/>
      <w:marTop w:val="0"/>
      <w:marBottom w:val="0"/>
      <w:divBdr>
        <w:top w:val="none" w:sz="0" w:space="0" w:color="auto"/>
        <w:left w:val="none" w:sz="0" w:space="0" w:color="auto"/>
        <w:bottom w:val="none" w:sz="0" w:space="0" w:color="auto"/>
        <w:right w:val="none" w:sz="0" w:space="0" w:color="auto"/>
      </w:divBdr>
    </w:div>
    <w:div w:id="2020692001">
      <w:bodyDiv w:val="1"/>
      <w:marLeft w:val="0"/>
      <w:marRight w:val="0"/>
      <w:marTop w:val="0"/>
      <w:marBottom w:val="0"/>
      <w:divBdr>
        <w:top w:val="none" w:sz="0" w:space="0" w:color="auto"/>
        <w:left w:val="none" w:sz="0" w:space="0" w:color="auto"/>
        <w:bottom w:val="none" w:sz="0" w:space="0" w:color="auto"/>
        <w:right w:val="none" w:sz="0" w:space="0" w:color="auto"/>
      </w:divBdr>
    </w:div>
    <w:div w:id="2025547789">
      <w:bodyDiv w:val="1"/>
      <w:marLeft w:val="0"/>
      <w:marRight w:val="0"/>
      <w:marTop w:val="0"/>
      <w:marBottom w:val="0"/>
      <w:divBdr>
        <w:top w:val="none" w:sz="0" w:space="0" w:color="auto"/>
        <w:left w:val="none" w:sz="0" w:space="0" w:color="auto"/>
        <w:bottom w:val="none" w:sz="0" w:space="0" w:color="auto"/>
        <w:right w:val="none" w:sz="0" w:space="0" w:color="auto"/>
      </w:divBdr>
    </w:div>
    <w:div w:id="2026131950">
      <w:bodyDiv w:val="1"/>
      <w:marLeft w:val="0"/>
      <w:marRight w:val="0"/>
      <w:marTop w:val="0"/>
      <w:marBottom w:val="0"/>
      <w:divBdr>
        <w:top w:val="none" w:sz="0" w:space="0" w:color="auto"/>
        <w:left w:val="none" w:sz="0" w:space="0" w:color="auto"/>
        <w:bottom w:val="none" w:sz="0" w:space="0" w:color="auto"/>
        <w:right w:val="none" w:sz="0" w:space="0" w:color="auto"/>
      </w:divBdr>
    </w:div>
    <w:div w:id="2027437321">
      <w:bodyDiv w:val="1"/>
      <w:marLeft w:val="0"/>
      <w:marRight w:val="0"/>
      <w:marTop w:val="0"/>
      <w:marBottom w:val="0"/>
      <w:divBdr>
        <w:top w:val="none" w:sz="0" w:space="0" w:color="auto"/>
        <w:left w:val="none" w:sz="0" w:space="0" w:color="auto"/>
        <w:bottom w:val="none" w:sz="0" w:space="0" w:color="auto"/>
        <w:right w:val="none" w:sz="0" w:space="0" w:color="auto"/>
      </w:divBdr>
    </w:div>
    <w:div w:id="2030837900">
      <w:bodyDiv w:val="1"/>
      <w:marLeft w:val="0"/>
      <w:marRight w:val="0"/>
      <w:marTop w:val="0"/>
      <w:marBottom w:val="0"/>
      <w:divBdr>
        <w:top w:val="none" w:sz="0" w:space="0" w:color="auto"/>
        <w:left w:val="none" w:sz="0" w:space="0" w:color="auto"/>
        <w:bottom w:val="none" w:sz="0" w:space="0" w:color="auto"/>
        <w:right w:val="none" w:sz="0" w:space="0" w:color="auto"/>
      </w:divBdr>
    </w:div>
    <w:div w:id="2032338808">
      <w:bodyDiv w:val="1"/>
      <w:marLeft w:val="0"/>
      <w:marRight w:val="0"/>
      <w:marTop w:val="0"/>
      <w:marBottom w:val="0"/>
      <w:divBdr>
        <w:top w:val="none" w:sz="0" w:space="0" w:color="auto"/>
        <w:left w:val="none" w:sz="0" w:space="0" w:color="auto"/>
        <w:bottom w:val="none" w:sz="0" w:space="0" w:color="auto"/>
        <w:right w:val="none" w:sz="0" w:space="0" w:color="auto"/>
      </w:divBdr>
    </w:div>
    <w:div w:id="2034307344">
      <w:bodyDiv w:val="1"/>
      <w:marLeft w:val="0"/>
      <w:marRight w:val="0"/>
      <w:marTop w:val="0"/>
      <w:marBottom w:val="0"/>
      <w:divBdr>
        <w:top w:val="none" w:sz="0" w:space="0" w:color="auto"/>
        <w:left w:val="none" w:sz="0" w:space="0" w:color="auto"/>
        <w:bottom w:val="none" w:sz="0" w:space="0" w:color="auto"/>
        <w:right w:val="none" w:sz="0" w:space="0" w:color="auto"/>
      </w:divBdr>
    </w:div>
    <w:div w:id="2036155796">
      <w:bodyDiv w:val="1"/>
      <w:marLeft w:val="0"/>
      <w:marRight w:val="0"/>
      <w:marTop w:val="0"/>
      <w:marBottom w:val="0"/>
      <w:divBdr>
        <w:top w:val="none" w:sz="0" w:space="0" w:color="auto"/>
        <w:left w:val="none" w:sz="0" w:space="0" w:color="auto"/>
        <w:bottom w:val="none" w:sz="0" w:space="0" w:color="auto"/>
        <w:right w:val="none" w:sz="0" w:space="0" w:color="auto"/>
      </w:divBdr>
    </w:div>
    <w:div w:id="2037002692">
      <w:bodyDiv w:val="1"/>
      <w:marLeft w:val="0"/>
      <w:marRight w:val="0"/>
      <w:marTop w:val="0"/>
      <w:marBottom w:val="0"/>
      <w:divBdr>
        <w:top w:val="none" w:sz="0" w:space="0" w:color="auto"/>
        <w:left w:val="none" w:sz="0" w:space="0" w:color="auto"/>
        <w:bottom w:val="none" w:sz="0" w:space="0" w:color="auto"/>
        <w:right w:val="none" w:sz="0" w:space="0" w:color="auto"/>
      </w:divBdr>
    </w:div>
    <w:div w:id="2042894014">
      <w:bodyDiv w:val="1"/>
      <w:marLeft w:val="0"/>
      <w:marRight w:val="0"/>
      <w:marTop w:val="0"/>
      <w:marBottom w:val="0"/>
      <w:divBdr>
        <w:top w:val="none" w:sz="0" w:space="0" w:color="auto"/>
        <w:left w:val="none" w:sz="0" w:space="0" w:color="auto"/>
        <w:bottom w:val="none" w:sz="0" w:space="0" w:color="auto"/>
        <w:right w:val="none" w:sz="0" w:space="0" w:color="auto"/>
      </w:divBdr>
    </w:div>
    <w:div w:id="2045590427">
      <w:bodyDiv w:val="1"/>
      <w:marLeft w:val="0"/>
      <w:marRight w:val="0"/>
      <w:marTop w:val="0"/>
      <w:marBottom w:val="0"/>
      <w:divBdr>
        <w:top w:val="none" w:sz="0" w:space="0" w:color="auto"/>
        <w:left w:val="none" w:sz="0" w:space="0" w:color="auto"/>
        <w:bottom w:val="none" w:sz="0" w:space="0" w:color="auto"/>
        <w:right w:val="none" w:sz="0" w:space="0" w:color="auto"/>
      </w:divBdr>
    </w:div>
    <w:div w:id="2053767766">
      <w:bodyDiv w:val="1"/>
      <w:marLeft w:val="0"/>
      <w:marRight w:val="0"/>
      <w:marTop w:val="0"/>
      <w:marBottom w:val="0"/>
      <w:divBdr>
        <w:top w:val="none" w:sz="0" w:space="0" w:color="auto"/>
        <w:left w:val="none" w:sz="0" w:space="0" w:color="auto"/>
        <w:bottom w:val="none" w:sz="0" w:space="0" w:color="auto"/>
        <w:right w:val="none" w:sz="0" w:space="0" w:color="auto"/>
      </w:divBdr>
    </w:div>
    <w:div w:id="2063210197">
      <w:bodyDiv w:val="1"/>
      <w:marLeft w:val="0"/>
      <w:marRight w:val="0"/>
      <w:marTop w:val="0"/>
      <w:marBottom w:val="0"/>
      <w:divBdr>
        <w:top w:val="none" w:sz="0" w:space="0" w:color="auto"/>
        <w:left w:val="none" w:sz="0" w:space="0" w:color="auto"/>
        <w:bottom w:val="none" w:sz="0" w:space="0" w:color="auto"/>
        <w:right w:val="none" w:sz="0" w:space="0" w:color="auto"/>
      </w:divBdr>
    </w:div>
    <w:div w:id="2063475646">
      <w:bodyDiv w:val="1"/>
      <w:marLeft w:val="0"/>
      <w:marRight w:val="0"/>
      <w:marTop w:val="0"/>
      <w:marBottom w:val="0"/>
      <w:divBdr>
        <w:top w:val="none" w:sz="0" w:space="0" w:color="auto"/>
        <w:left w:val="none" w:sz="0" w:space="0" w:color="auto"/>
        <w:bottom w:val="none" w:sz="0" w:space="0" w:color="auto"/>
        <w:right w:val="none" w:sz="0" w:space="0" w:color="auto"/>
      </w:divBdr>
    </w:div>
    <w:div w:id="2067726826">
      <w:bodyDiv w:val="1"/>
      <w:marLeft w:val="0"/>
      <w:marRight w:val="0"/>
      <w:marTop w:val="0"/>
      <w:marBottom w:val="0"/>
      <w:divBdr>
        <w:top w:val="none" w:sz="0" w:space="0" w:color="auto"/>
        <w:left w:val="none" w:sz="0" w:space="0" w:color="auto"/>
        <w:bottom w:val="none" w:sz="0" w:space="0" w:color="auto"/>
        <w:right w:val="none" w:sz="0" w:space="0" w:color="auto"/>
      </w:divBdr>
    </w:div>
    <w:div w:id="2069258928">
      <w:bodyDiv w:val="1"/>
      <w:marLeft w:val="0"/>
      <w:marRight w:val="0"/>
      <w:marTop w:val="0"/>
      <w:marBottom w:val="0"/>
      <w:divBdr>
        <w:top w:val="none" w:sz="0" w:space="0" w:color="auto"/>
        <w:left w:val="none" w:sz="0" w:space="0" w:color="auto"/>
        <w:bottom w:val="none" w:sz="0" w:space="0" w:color="auto"/>
        <w:right w:val="none" w:sz="0" w:space="0" w:color="auto"/>
      </w:divBdr>
    </w:div>
    <w:div w:id="2069259420">
      <w:bodyDiv w:val="1"/>
      <w:marLeft w:val="0"/>
      <w:marRight w:val="0"/>
      <w:marTop w:val="0"/>
      <w:marBottom w:val="0"/>
      <w:divBdr>
        <w:top w:val="none" w:sz="0" w:space="0" w:color="auto"/>
        <w:left w:val="none" w:sz="0" w:space="0" w:color="auto"/>
        <w:bottom w:val="none" w:sz="0" w:space="0" w:color="auto"/>
        <w:right w:val="none" w:sz="0" w:space="0" w:color="auto"/>
      </w:divBdr>
    </w:div>
    <w:div w:id="2072343615">
      <w:bodyDiv w:val="1"/>
      <w:marLeft w:val="0"/>
      <w:marRight w:val="0"/>
      <w:marTop w:val="0"/>
      <w:marBottom w:val="0"/>
      <w:divBdr>
        <w:top w:val="none" w:sz="0" w:space="0" w:color="auto"/>
        <w:left w:val="none" w:sz="0" w:space="0" w:color="auto"/>
        <w:bottom w:val="none" w:sz="0" w:space="0" w:color="auto"/>
        <w:right w:val="none" w:sz="0" w:space="0" w:color="auto"/>
      </w:divBdr>
    </w:div>
    <w:div w:id="2073890466">
      <w:bodyDiv w:val="1"/>
      <w:marLeft w:val="0"/>
      <w:marRight w:val="0"/>
      <w:marTop w:val="0"/>
      <w:marBottom w:val="0"/>
      <w:divBdr>
        <w:top w:val="none" w:sz="0" w:space="0" w:color="auto"/>
        <w:left w:val="none" w:sz="0" w:space="0" w:color="auto"/>
        <w:bottom w:val="none" w:sz="0" w:space="0" w:color="auto"/>
        <w:right w:val="none" w:sz="0" w:space="0" w:color="auto"/>
      </w:divBdr>
    </w:div>
    <w:div w:id="2078434529">
      <w:bodyDiv w:val="1"/>
      <w:marLeft w:val="0"/>
      <w:marRight w:val="0"/>
      <w:marTop w:val="0"/>
      <w:marBottom w:val="0"/>
      <w:divBdr>
        <w:top w:val="none" w:sz="0" w:space="0" w:color="auto"/>
        <w:left w:val="none" w:sz="0" w:space="0" w:color="auto"/>
        <w:bottom w:val="none" w:sz="0" w:space="0" w:color="auto"/>
        <w:right w:val="none" w:sz="0" w:space="0" w:color="auto"/>
      </w:divBdr>
    </w:div>
    <w:div w:id="2080009561">
      <w:bodyDiv w:val="1"/>
      <w:marLeft w:val="0"/>
      <w:marRight w:val="0"/>
      <w:marTop w:val="0"/>
      <w:marBottom w:val="0"/>
      <w:divBdr>
        <w:top w:val="none" w:sz="0" w:space="0" w:color="auto"/>
        <w:left w:val="none" w:sz="0" w:space="0" w:color="auto"/>
        <w:bottom w:val="none" w:sz="0" w:space="0" w:color="auto"/>
        <w:right w:val="none" w:sz="0" w:space="0" w:color="auto"/>
      </w:divBdr>
    </w:div>
    <w:div w:id="2082748844">
      <w:bodyDiv w:val="1"/>
      <w:marLeft w:val="0"/>
      <w:marRight w:val="0"/>
      <w:marTop w:val="0"/>
      <w:marBottom w:val="0"/>
      <w:divBdr>
        <w:top w:val="none" w:sz="0" w:space="0" w:color="auto"/>
        <w:left w:val="none" w:sz="0" w:space="0" w:color="auto"/>
        <w:bottom w:val="none" w:sz="0" w:space="0" w:color="auto"/>
        <w:right w:val="none" w:sz="0" w:space="0" w:color="auto"/>
      </w:divBdr>
    </w:div>
    <w:div w:id="2096659968">
      <w:bodyDiv w:val="1"/>
      <w:marLeft w:val="0"/>
      <w:marRight w:val="0"/>
      <w:marTop w:val="0"/>
      <w:marBottom w:val="0"/>
      <w:divBdr>
        <w:top w:val="none" w:sz="0" w:space="0" w:color="auto"/>
        <w:left w:val="none" w:sz="0" w:space="0" w:color="auto"/>
        <w:bottom w:val="none" w:sz="0" w:space="0" w:color="auto"/>
        <w:right w:val="none" w:sz="0" w:space="0" w:color="auto"/>
      </w:divBdr>
    </w:div>
    <w:div w:id="2099129358">
      <w:bodyDiv w:val="1"/>
      <w:marLeft w:val="0"/>
      <w:marRight w:val="0"/>
      <w:marTop w:val="0"/>
      <w:marBottom w:val="0"/>
      <w:divBdr>
        <w:top w:val="none" w:sz="0" w:space="0" w:color="auto"/>
        <w:left w:val="none" w:sz="0" w:space="0" w:color="auto"/>
        <w:bottom w:val="none" w:sz="0" w:space="0" w:color="auto"/>
        <w:right w:val="none" w:sz="0" w:space="0" w:color="auto"/>
      </w:divBdr>
    </w:div>
    <w:div w:id="2100978728">
      <w:bodyDiv w:val="1"/>
      <w:marLeft w:val="0"/>
      <w:marRight w:val="0"/>
      <w:marTop w:val="0"/>
      <w:marBottom w:val="0"/>
      <w:divBdr>
        <w:top w:val="none" w:sz="0" w:space="0" w:color="auto"/>
        <w:left w:val="none" w:sz="0" w:space="0" w:color="auto"/>
        <w:bottom w:val="none" w:sz="0" w:space="0" w:color="auto"/>
        <w:right w:val="none" w:sz="0" w:space="0" w:color="auto"/>
      </w:divBdr>
    </w:div>
    <w:div w:id="2101636554">
      <w:bodyDiv w:val="1"/>
      <w:marLeft w:val="0"/>
      <w:marRight w:val="0"/>
      <w:marTop w:val="0"/>
      <w:marBottom w:val="0"/>
      <w:divBdr>
        <w:top w:val="none" w:sz="0" w:space="0" w:color="auto"/>
        <w:left w:val="none" w:sz="0" w:space="0" w:color="auto"/>
        <w:bottom w:val="none" w:sz="0" w:space="0" w:color="auto"/>
        <w:right w:val="none" w:sz="0" w:space="0" w:color="auto"/>
      </w:divBdr>
    </w:div>
    <w:div w:id="2101832764">
      <w:bodyDiv w:val="1"/>
      <w:marLeft w:val="0"/>
      <w:marRight w:val="0"/>
      <w:marTop w:val="0"/>
      <w:marBottom w:val="0"/>
      <w:divBdr>
        <w:top w:val="none" w:sz="0" w:space="0" w:color="auto"/>
        <w:left w:val="none" w:sz="0" w:space="0" w:color="auto"/>
        <w:bottom w:val="none" w:sz="0" w:space="0" w:color="auto"/>
        <w:right w:val="none" w:sz="0" w:space="0" w:color="auto"/>
      </w:divBdr>
    </w:div>
    <w:div w:id="2103142425">
      <w:bodyDiv w:val="1"/>
      <w:marLeft w:val="0"/>
      <w:marRight w:val="0"/>
      <w:marTop w:val="0"/>
      <w:marBottom w:val="0"/>
      <w:divBdr>
        <w:top w:val="none" w:sz="0" w:space="0" w:color="auto"/>
        <w:left w:val="none" w:sz="0" w:space="0" w:color="auto"/>
        <w:bottom w:val="none" w:sz="0" w:space="0" w:color="auto"/>
        <w:right w:val="none" w:sz="0" w:space="0" w:color="auto"/>
      </w:divBdr>
    </w:div>
    <w:div w:id="2105757006">
      <w:bodyDiv w:val="1"/>
      <w:marLeft w:val="0"/>
      <w:marRight w:val="0"/>
      <w:marTop w:val="0"/>
      <w:marBottom w:val="0"/>
      <w:divBdr>
        <w:top w:val="none" w:sz="0" w:space="0" w:color="auto"/>
        <w:left w:val="none" w:sz="0" w:space="0" w:color="auto"/>
        <w:bottom w:val="none" w:sz="0" w:space="0" w:color="auto"/>
        <w:right w:val="none" w:sz="0" w:space="0" w:color="auto"/>
      </w:divBdr>
    </w:div>
    <w:div w:id="2110541271">
      <w:bodyDiv w:val="1"/>
      <w:marLeft w:val="0"/>
      <w:marRight w:val="0"/>
      <w:marTop w:val="0"/>
      <w:marBottom w:val="0"/>
      <w:divBdr>
        <w:top w:val="none" w:sz="0" w:space="0" w:color="auto"/>
        <w:left w:val="none" w:sz="0" w:space="0" w:color="auto"/>
        <w:bottom w:val="none" w:sz="0" w:space="0" w:color="auto"/>
        <w:right w:val="none" w:sz="0" w:space="0" w:color="auto"/>
      </w:divBdr>
    </w:div>
    <w:div w:id="2112435253">
      <w:bodyDiv w:val="1"/>
      <w:marLeft w:val="0"/>
      <w:marRight w:val="0"/>
      <w:marTop w:val="0"/>
      <w:marBottom w:val="0"/>
      <w:divBdr>
        <w:top w:val="none" w:sz="0" w:space="0" w:color="auto"/>
        <w:left w:val="none" w:sz="0" w:space="0" w:color="auto"/>
        <w:bottom w:val="none" w:sz="0" w:space="0" w:color="auto"/>
        <w:right w:val="none" w:sz="0" w:space="0" w:color="auto"/>
      </w:divBdr>
    </w:div>
    <w:div w:id="2117556424">
      <w:bodyDiv w:val="1"/>
      <w:marLeft w:val="0"/>
      <w:marRight w:val="0"/>
      <w:marTop w:val="0"/>
      <w:marBottom w:val="0"/>
      <w:divBdr>
        <w:top w:val="none" w:sz="0" w:space="0" w:color="auto"/>
        <w:left w:val="none" w:sz="0" w:space="0" w:color="auto"/>
        <w:bottom w:val="none" w:sz="0" w:space="0" w:color="auto"/>
        <w:right w:val="none" w:sz="0" w:space="0" w:color="auto"/>
      </w:divBdr>
    </w:div>
    <w:div w:id="2118284395">
      <w:bodyDiv w:val="1"/>
      <w:marLeft w:val="0"/>
      <w:marRight w:val="0"/>
      <w:marTop w:val="0"/>
      <w:marBottom w:val="0"/>
      <w:divBdr>
        <w:top w:val="none" w:sz="0" w:space="0" w:color="auto"/>
        <w:left w:val="none" w:sz="0" w:space="0" w:color="auto"/>
        <w:bottom w:val="none" w:sz="0" w:space="0" w:color="auto"/>
        <w:right w:val="none" w:sz="0" w:space="0" w:color="auto"/>
      </w:divBdr>
    </w:div>
    <w:div w:id="2118594607">
      <w:bodyDiv w:val="1"/>
      <w:marLeft w:val="0"/>
      <w:marRight w:val="0"/>
      <w:marTop w:val="0"/>
      <w:marBottom w:val="0"/>
      <w:divBdr>
        <w:top w:val="none" w:sz="0" w:space="0" w:color="auto"/>
        <w:left w:val="none" w:sz="0" w:space="0" w:color="auto"/>
        <w:bottom w:val="none" w:sz="0" w:space="0" w:color="auto"/>
        <w:right w:val="none" w:sz="0" w:space="0" w:color="auto"/>
      </w:divBdr>
    </w:div>
    <w:div w:id="2122064013">
      <w:bodyDiv w:val="1"/>
      <w:marLeft w:val="0"/>
      <w:marRight w:val="0"/>
      <w:marTop w:val="0"/>
      <w:marBottom w:val="0"/>
      <w:divBdr>
        <w:top w:val="none" w:sz="0" w:space="0" w:color="auto"/>
        <w:left w:val="none" w:sz="0" w:space="0" w:color="auto"/>
        <w:bottom w:val="none" w:sz="0" w:space="0" w:color="auto"/>
        <w:right w:val="none" w:sz="0" w:space="0" w:color="auto"/>
      </w:divBdr>
    </w:div>
    <w:div w:id="2123183760">
      <w:bodyDiv w:val="1"/>
      <w:marLeft w:val="0"/>
      <w:marRight w:val="0"/>
      <w:marTop w:val="0"/>
      <w:marBottom w:val="0"/>
      <w:divBdr>
        <w:top w:val="none" w:sz="0" w:space="0" w:color="auto"/>
        <w:left w:val="none" w:sz="0" w:space="0" w:color="auto"/>
        <w:bottom w:val="none" w:sz="0" w:space="0" w:color="auto"/>
        <w:right w:val="none" w:sz="0" w:space="0" w:color="auto"/>
      </w:divBdr>
    </w:div>
    <w:div w:id="2123915311">
      <w:bodyDiv w:val="1"/>
      <w:marLeft w:val="0"/>
      <w:marRight w:val="0"/>
      <w:marTop w:val="0"/>
      <w:marBottom w:val="0"/>
      <w:divBdr>
        <w:top w:val="none" w:sz="0" w:space="0" w:color="auto"/>
        <w:left w:val="none" w:sz="0" w:space="0" w:color="auto"/>
        <w:bottom w:val="none" w:sz="0" w:space="0" w:color="auto"/>
        <w:right w:val="none" w:sz="0" w:space="0" w:color="auto"/>
      </w:divBdr>
    </w:div>
    <w:div w:id="2126580188">
      <w:bodyDiv w:val="1"/>
      <w:marLeft w:val="0"/>
      <w:marRight w:val="0"/>
      <w:marTop w:val="0"/>
      <w:marBottom w:val="0"/>
      <w:divBdr>
        <w:top w:val="none" w:sz="0" w:space="0" w:color="auto"/>
        <w:left w:val="none" w:sz="0" w:space="0" w:color="auto"/>
        <w:bottom w:val="none" w:sz="0" w:space="0" w:color="auto"/>
        <w:right w:val="none" w:sz="0" w:space="0" w:color="auto"/>
      </w:divBdr>
    </w:div>
    <w:div w:id="2127117128">
      <w:bodyDiv w:val="1"/>
      <w:marLeft w:val="0"/>
      <w:marRight w:val="0"/>
      <w:marTop w:val="0"/>
      <w:marBottom w:val="0"/>
      <w:divBdr>
        <w:top w:val="none" w:sz="0" w:space="0" w:color="auto"/>
        <w:left w:val="none" w:sz="0" w:space="0" w:color="auto"/>
        <w:bottom w:val="none" w:sz="0" w:space="0" w:color="auto"/>
        <w:right w:val="none" w:sz="0" w:space="0" w:color="auto"/>
      </w:divBdr>
    </w:div>
    <w:div w:id="2130313276">
      <w:bodyDiv w:val="1"/>
      <w:marLeft w:val="0"/>
      <w:marRight w:val="0"/>
      <w:marTop w:val="0"/>
      <w:marBottom w:val="0"/>
      <w:divBdr>
        <w:top w:val="none" w:sz="0" w:space="0" w:color="auto"/>
        <w:left w:val="none" w:sz="0" w:space="0" w:color="auto"/>
        <w:bottom w:val="none" w:sz="0" w:space="0" w:color="auto"/>
        <w:right w:val="none" w:sz="0" w:space="0" w:color="auto"/>
      </w:divBdr>
    </w:div>
    <w:div w:id="2135711379">
      <w:bodyDiv w:val="1"/>
      <w:marLeft w:val="0"/>
      <w:marRight w:val="0"/>
      <w:marTop w:val="0"/>
      <w:marBottom w:val="0"/>
      <w:divBdr>
        <w:top w:val="none" w:sz="0" w:space="0" w:color="auto"/>
        <w:left w:val="none" w:sz="0" w:space="0" w:color="auto"/>
        <w:bottom w:val="none" w:sz="0" w:space="0" w:color="auto"/>
        <w:right w:val="none" w:sz="0" w:space="0" w:color="auto"/>
      </w:divBdr>
    </w:div>
    <w:div w:id="2136485083">
      <w:bodyDiv w:val="1"/>
      <w:marLeft w:val="0"/>
      <w:marRight w:val="0"/>
      <w:marTop w:val="0"/>
      <w:marBottom w:val="0"/>
      <w:divBdr>
        <w:top w:val="none" w:sz="0" w:space="0" w:color="auto"/>
        <w:left w:val="none" w:sz="0" w:space="0" w:color="auto"/>
        <w:bottom w:val="none" w:sz="0" w:space="0" w:color="auto"/>
        <w:right w:val="none" w:sz="0" w:space="0" w:color="auto"/>
      </w:divBdr>
    </w:div>
    <w:div w:id="21398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1F4DB-37DA-4EA3-88E0-861231DB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725</Pages>
  <Words>249622</Words>
  <Characters>1422851</Characters>
  <Application>Microsoft Office Word</Application>
  <DocSecurity>0</DocSecurity>
  <Lines>11857</Lines>
  <Paragraphs>3338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dc:creator>
  <cp:keywords/>
  <dc:description/>
  <cp:lastModifiedBy>Mireille Servais</cp:lastModifiedBy>
  <cp:revision>4</cp:revision>
  <cp:lastPrinted>2026-06-22T07:48:00Z</cp:lastPrinted>
  <dcterms:created xsi:type="dcterms:W3CDTF">2026-06-23T13:03:00Z</dcterms:created>
  <dcterms:modified xsi:type="dcterms:W3CDTF">2026-06-24T07:27:00Z</dcterms:modified>
</cp:coreProperties>
</file>